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Override PartName="/word/footer2.xml" ContentType="application/vnd.openxmlformats-officedocument.wordprocessingml.footer+xml"/>
  <Default Extension="png" ContentType="image/png"/>
  <Default Extension="jpeg" ContentType="image/jpeg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Heading4"/>
        <w:ind w:right="38"/>
      </w:pPr>
      <w:bookmarkStart w:name="Thesis_Sanborn_K.pdf" w:id="1"/>
      <w:bookmarkEnd w:id="1"/>
      <w:r>
        <w:rPr>
          <w:b w:val="0"/>
        </w:rPr>
      </w:r>
      <w:bookmarkStart w:name="Consolidated as of 4 April.pdf" w:id="2"/>
      <w:bookmarkEnd w:id="2"/>
      <w:r>
        <w:rPr>
          <w:b w:val="0"/>
        </w:rPr>
      </w:r>
      <w:r>
        <w:rPr/>
        <w:t>EXPLORING CROSS-LAMINATED TIMBER USE FOR</w:t>
      </w:r>
      <w:r>
        <w:rPr>
          <w:spacing w:val="-68"/>
        </w:rPr>
        <w:t> </w:t>
      </w:r>
      <w:r>
        <w:rPr/>
        <w:t>TEMPORARY</w:t>
      </w:r>
      <w:r>
        <w:rPr>
          <w:spacing w:val="-1"/>
        </w:rPr>
        <w:t> </w:t>
      </w:r>
      <w:r>
        <w:rPr/>
        <w:t>MILITARY</w:t>
      </w:r>
      <w:r>
        <w:rPr>
          <w:spacing w:val="-1"/>
        </w:rPr>
        <w:t> </w:t>
      </w:r>
      <w:r>
        <w:rPr/>
        <w:t>STRUCTURES:</w:t>
      </w:r>
    </w:p>
    <w:p>
      <w:pPr>
        <w:spacing w:before="0"/>
        <w:ind w:left="359" w:right="41" w:firstLine="0"/>
        <w:jc w:val="center"/>
        <w:rPr>
          <w:b/>
          <w:sz w:val="28"/>
        </w:rPr>
      </w:pPr>
      <w:r>
        <w:rPr>
          <w:b/>
          <w:sz w:val="28"/>
        </w:rPr>
        <w:t>BALLISTIC</w:t>
      </w:r>
      <w:r>
        <w:rPr>
          <w:b/>
          <w:spacing w:val="-8"/>
          <w:sz w:val="28"/>
        </w:rPr>
        <w:t> </w:t>
      </w:r>
      <w:r>
        <w:rPr>
          <w:b/>
          <w:sz w:val="28"/>
        </w:rPr>
        <w:t>CONSIDERATIONS</w:t>
      </w: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spacing w:before="9"/>
        <w:rPr>
          <w:b/>
          <w:sz w:val="29"/>
        </w:rPr>
      </w:pPr>
    </w:p>
    <w:p>
      <w:pPr>
        <w:pStyle w:val="BodyText"/>
        <w:ind w:left="4062" w:right="3742"/>
        <w:jc w:val="center"/>
      </w:pPr>
      <w:r>
        <w:rPr/>
        <w:t>A Dissertation</w:t>
      </w:r>
      <w:r>
        <w:rPr>
          <w:spacing w:val="-58"/>
        </w:rPr>
        <w:t> </w:t>
      </w:r>
      <w:r>
        <w:rPr/>
        <w:t>Presented</w:t>
      </w:r>
      <w:r>
        <w:rPr>
          <w:spacing w:val="-3"/>
        </w:rPr>
        <w:t> </w:t>
      </w:r>
      <w:r>
        <w:rPr/>
        <w:t>to</w:t>
      </w:r>
    </w:p>
    <w:p>
      <w:pPr>
        <w:pStyle w:val="BodyText"/>
        <w:ind w:left="359" w:right="40"/>
        <w:jc w:val="center"/>
      </w:pPr>
      <w:r>
        <w:rPr/>
        <w:t>The</w:t>
      </w:r>
      <w:r>
        <w:rPr>
          <w:spacing w:val="-2"/>
        </w:rPr>
        <w:t> </w:t>
      </w:r>
      <w:r>
        <w:rPr/>
        <w:t>Academic</w:t>
      </w:r>
      <w:r>
        <w:rPr>
          <w:spacing w:val="-2"/>
        </w:rPr>
        <w:t> </w:t>
      </w:r>
      <w:r>
        <w:rPr/>
        <w:t>Faculty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231"/>
        <w:ind w:left="359" w:right="39"/>
        <w:jc w:val="center"/>
      </w:pPr>
      <w:r>
        <w:rPr/>
        <w:t>by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230"/>
        <w:ind w:left="359" w:right="41"/>
        <w:jc w:val="center"/>
      </w:pPr>
      <w:r>
        <w:rPr/>
        <w:t>Kathryn</w:t>
      </w:r>
      <w:r>
        <w:rPr>
          <w:spacing w:val="-2"/>
        </w:rPr>
        <w:t> </w:t>
      </w:r>
      <w:r>
        <w:rPr/>
        <w:t>Purchase</w:t>
      </w:r>
      <w:r>
        <w:rPr>
          <w:spacing w:val="-2"/>
        </w:rPr>
        <w:t> </w:t>
      </w:r>
      <w:r>
        <w:rPr/>
        <w:t>Sanborn,</w:t>
      </w:r>
      <w:r>
        <w:rPr>
          <w:spacing w:val="-2"/>
        </w:rPr>
        <w:t> </w:t>
      </w:r>
      <w:r>
        <w:rPr/>
        <w:t>P.E.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206"/>
        <w:ind w:left="359" w:right="41"/>
        <w:jc w:val="center"/>
      </w:pPr>
      <w:r>
        <w:rPr/>
        <w:t>In</w:t>
      </w:r>
      <w:r>
        <w:rPr>
          <w:spacing w:val="-3"/>
        </w:rPr>
        <w:t> </w:t>
      </w:r>
      <w:r>
        <w:rPr/>
        <w:t>Partial</w:t>
      </w:r>
      <w:r>
        <w:rPr>
          <w:spacing w:val="-2"/>
        </w:rPr>
        <w:t> </w:t>
      </w:r>
      <w:r>
        <w:rPr/>
        <w:t>Fulfillment</w:t>
      </w:r>
    </w:p>
    <w:p>
      <w:pPr>
        <w:pStyle w:val="BodyText"/>
        <w:ind w:left="3036" w:right="2714"/>
        <w:jc w:val="center"/>
      </w:pPr>
      <w:r>
        <w:rPr/>
        <w:t>Of the Requirements for the Degree</w:t>
      </w:r>
      <w:r>
        <w:rPr>
          <w:spacing w:val="-57"/>
        </w:rPr>
        <w:t> </w:t>
      </w:r>
      <w:r>
        <w:rPr/>
        <w:t>Doctor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Philosophy</w:t>
      </w:r>
      <w:r>
        <w:rPr>
          <w:spacing w:val="-2"/>
        </w:rPr>
        <w:t> </w:t>
      </w:r>
      <w:r>
        <w:rPr/>
        <w:t>in</w:t>
      </w:r>
      <w:r>
        <w:rPr>
          <w:spacing w:val="-2"/>
        </w:rPr>
        <w:t> </w:t>
      </w:r>
      <w:r>
        <w:rPr/>
        <w:t>the</w:t>
      </w:r>
    </w:p>
    <w:p>
      <w:pPr>
        <w:pStyle w:val="BodyText"/>
        <w:ind w:left="359" w:right="40"/>
        <w:jc w:val="center"/>
      </w:pPr>
      <w:r>
        <w:rPr/>
        <w:t>School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Civil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Environmental</w:t>
      </w:r>
      <w:r>
        <w:rPr>
          <w:spacing w:val="-1"/>
        </w:rPr>
        <w:t> </w:t>
      </w:r>
      <w:r>
        <w:rPr/>
        <w:t>Engineering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61"/>
        <w:ind w:left="3035" w:right="2714"/>
        <w:jc w:val="center"/>
      </w:pPr>
      <w:r>
        <w:rPr/>
        <w:t>Georgia Institute of Technology</w:t>
      </w:r>
      <w:r>
        <w:rPr>
          <w:spacing w:val="-57"/>
        </w:rPr>
        <w:t> </w:t>
      </w:r>
      <w:r>
        <w:rPr/>
        <w:t>May 2018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230"/>
        <w:ind w:left="359" w:right="41"/>
        <w:jc w:val="center"/>
      </w:pPr>
      <w:r>
        <w:rPr/>
        <w:t>Copyright</w:t>
      </w:r>
      <w:r>
        <w:rPr>
          <w:spacing w:val="-1"/>
        </w:rPr>
        <w:t> </w:t>
      </w:r>
      <w:r>
        <w:rPr/>
        <w:t>©</w:t>
      </w:r>
      <w:r>
        <w:rPr>
          <w:spacing w:val="-3"/>
        </w:rPr>
        <w:t> </w:t>
      </w:r>
      <w:r>
        <w:rPr/>
        <w:t>2018</w:t>
      </w:r>
      <w:r>
        <w:rPr>
          <w:spacing w:val="-1"/>
        </w:rPr>
        <w:t> </w:t>
      </w:r>
      <w:r>
        <w:rPr/>
        <w:t>Kathryn</w:t>
      </w:r>
      <w:r>
        <w:rPr>
          <w:spacing w:val="-1"/>
        </w:rPr>
        <w:t> </w:t>
      </w:r>
      <w:r>
        <w:rPr/>
        <w:t>Purchase</w:t>
      </w:r>
      <w:r>
        <w:rPr>
          <w:spacing w:val="-2"/>
        </w:rPr>
        <w:t> </w:t>
      </w:r>
      <w:r>
        <w:rPr/>
        <w:t>Sanborn</w:t>
      </w:r>
    </w:p>
    <w:p>
      <w:pPr>
        <w:spacing w:after="0"/>
        <w:jc w:val="center"/>
        <w:sectPr>
          <w:type w:val="continuous"/>
          <w:pgSz w:w="12240" w:h="15840"/>
          <w:pgMar w:top="1380" w:bottom="280" w:left="1720" w:right="1320"/>
        </w:sectPr>
      </w:pPr>
    </w:p>
    <w:p>
      <w:pPr>
        <w:pStyle w:val="Heading4"/>
        <w:ind w:right="38"/>
      </w:pPr>
      <w:r>
        <w:rPr/>
        <w:t>EXPLORING CROSS-LAMINATED TIMBER USE FOR</w:t>
      </w:r>
      <w:r>
        <w:rPr>
          <w:spacing w:val="-68"/>
        </w:rPr>
        <w:t> </w:t>
      </w:r>
      <w:r>
        <w:rPr/>
        <w:t>TEMPORARY</w:t>
      </w:r>
      <w:r>
        <w:rPr>
          <w:spacing w:val="-1"/>
        </w:rPr>
        <w:t> </w:t>
      </w:r>
      <w:r>
        <w:rPr/>
        <w:t>MILITARY</w:t>
      </w:r>
      <w:r>
        <w:rPr>
          <w:spacing w:val="-1"/>
        </w:rPr>
        <w:t> </w:t>
      </w:r>
      <w:r>
        <w:rPr/>
        <w:t>STRUCTURES:</w:t>
      </w:r>
    </w:p>
    <w:p>
      <w:pPr>
        <w:spacing w:before="0"/>
        <w:ind w:left="359" w:right="41" w:firstLine="0"/>
        <w:jc w:val="center"/>
        <w:rPr>
          <w:b/>
          <w:sz w:val="28"/>
        </w:rPr>
      </w:pPr>
      <w:r>
        <w:rPr>
          <w:b/>
          <w:sz w:val="28"/>
        </w:rPr>
        <w:t>BALLISTIC</w:t>
      </w:r>
      <w:r>
        <w:rPr>
          <w:b/>
          <w:spacing w:val="-8"/>
          <w:sz w:val="28"/>
        </w:rPr>
        <w:t> </w:t>
      </w:r>
      <w:r>
        <w:rPr>
          <w:b/>
          <w:sz w:val="28"/>
        </w:rPr>
        <w:t>CONSIDERATIONS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12"/>
        </w:rPr>
      </w:pPr>
    </w:p>
    <w:tbl>
      <w:tblPr>
        <w:tblW w:w="0" w:type="auto"/>
        <w:jc w:val="left"/>
        <w:tblInd w:w="2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29"/>
        <w:gridCol w:w="4196"/>
      </w:tblGrid>
      <w:tr>
        <w:trPr>
          <w:trHeight w:val="546" w:hRule="atLeast"/>
        </w:trPr>
        <w:tc>
          <w:tcPr>
            <w:tcW w:w="4229" w:type="dxa"/>
          </w:tcPr>
          <w:p>
            <w:pPr>
              <w:pStyle w:val="TableParagraph"/>
              <w:spacing w:line="266" w:lineRule="exact"/>
              <w:ind w:left="200"/>
              <w:rPr>
                <w:sz w:val="24"/>
              </w:rPr>
            </w:pPr>
            <w:r>
              <w:rPr>
                <w:sz w:val="24"/>
              </w:rPr>
              <w:t>Approved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by:</w:t>
            </w:r>
          </w:p>
        </w:tc>
        <w:tc>
          <w:tcPr>
            <w:tcW w:w="4196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656" w:hRule="atLeast"/>
        </w:trPr>
        <w:tc>
          <w:tcPr>
            <w:tcW w:w="4229" w:type="dxa"/>
          </w:tcPr>
          <w:p>
            <w:pPr>
              <w:pStyle w:val="TableParagraph"/>
              <w:spacing w:before="6"/>
              <w:rPr>
                <w:b/>
                <w:sz w:val="23"/>
              </w:rPr>
            </w:pPr>
          </w:p>
          <w:p>
            <w:pPr>
              <w:pStyle w:val="TableParagraph"/>
              <w:ind w:left="200" w:right="635"/>
              <w:jc w:val="both"/>
              <w:rPr>
                <w:sz w:val="24"/>
              </w:rPr>
            </w:pPr>
            <w:r>
              <w:rPr>
                <w:sz w:val="24"/>
              </w:rPr>
              <w:t>Dr. Lauren K. Stewart, Co-Advisor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School of Civil and Environmental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Engineering</w:t>
            </w:r>
          </w:p>
          <w:p>
            <w:pPr>
              <w:pStyle w:val="TableParagraph"/>
              <w:spacing w:before="1"/>
              <w:ind w:left="200"/>
              <w:jc w:val="both"/>
              <w:rPr>
                <w:i/>
                <w:sz w:val="24"/>
              </w:rPr>
            </w:pPr>
            <w:r>
              <w:rPr>
                <w:i/>
                <w:sz w:val="24"/>
              </w:rPr>
              <w:t>Georgia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Institute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of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Technology</w:t>
            </w:r>
          </w:p>
        </w:tc>
        <w:tc>
          <w:tcPr>
            <w:tcW w:w="4196" w:type="dxa"/>
          </w:tcPr>
          <w:p>
            <w:pPr>
              <w:pStyle w:val="TableParagraph"/>
              <w:spacing w:before="6"/>
              <w:rPr>
                <w:b/>
                <w:sz w:val="23"/>
              </w:rPr>
            </w:pPr>
          </w:p>
          <w:p>
            <w:pPr>
              <w:pStyle w:val="TableParagraph"/>
              <w:ind w:left="637"/>
              <w:rPr>
                <w:sz w:val="24"/>
              </w:rPr>
            </w:pPr>
            <w:r>
              <w:rPr>
                <w:sz w:val="24"/>
              </w:rPr>
              <w:t>Dr.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Kimberly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Kurtis</w:t>
            </w:r>
          </w:p>
          <w:p>
            <w:pPr>
              <w:pStyle w:val="TableParagraph"/>
              <w:ind w:left="637" w:right="179"/>
              <w:rPr>
                <w:sz w:val="24"/>
              </w:rPr>
            </w:pPr>
            <w:r>
              <w:rPr>
                <w:sz w:val="24"/>
              </w:rPr>
              <w:t>School of Civil and Environmental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Engineering</w:t>
            </w:r>
          </w:p>
          <w:p>
            <w:pPr>
              <w:pStyle w:val="TableParagraph"/>
              <w:spacing w:before="1"/>
              <w:ind w:left="637"/>
              <w:rPr>
                <w:i/>
                <w:sz w:val="24"/>
              </w:rPr>
            </w:pPr>
            <w:r>
              <w:rPr>
                <w:i/>
                <w:sz w:val="24"/>
              </w:rPr>
              <w:t>Georgia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Institute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of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Technology</w:t>
            </w:r>
          </w:p>
        </w:tc>
      </w:tr>
      <w:tr>
        <w:trPr>
          <w:trHeight w:val="1396" w:hRule="atLeast"/>
        </w:trPr>
        <w:tc>
          <w:tcPr>
            <w:tcW w:w="4229" w:type="dxa"/>
          </w:tcPr>
          <w:p>
            <w:pPr>
              <w:pStyle w:val="TableParagraph"/>
              <w:spacing w:before="5"/>
              <w:rPr>
                <w:b/>
                <w:sz w:val="23"/>
              </w:rPr>
            </w:pPr>
          </w:p>
          <w:p>
            <w:pPr>
              <w:pStyle w:val="TableParagraph"/>
              <w:spacing w:before="1"/>
              <w:ind w:left="200" w:right="682"/>
              <w:rPr>
                <w:sz w:val="24"/>
              </w:rPr>
            </w:pPr>
            <w:r>
              <w:rPr>
                <w:sz w:val="24"/>
              </w:rPr>
              <w:t>Dr. T. Russell Gentry, Co-Advisor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School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Architecture</w:t>
            </w:r>
          </w:p>
          <w:p>
            <w:pPr>
              <w:pStyle w:val="TableParagraph"/>
              <w:spacing w:before="1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Georgia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Institute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of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Technology</w:t>
            </w:r>
          </w:p>
        </w:tc>
        <w:tc>
          <w:tcPr>
            <w:tcW w:w="4196" w:type="dxa"/>
          </w:tcPr>
          <w:p>
            <w:pPr>
              <w:pStyle w:val="TableParagraph"/>
              <w:spacing w:before="5"/>
              <w:rPr>
                <w:b/>
                <w:sz w:val="23"/>
              </w:rPr>
            </w:pPr>
          </w:p>
          <w:p>
            <w:pPr>
              <w:pStyle w:val="TableParagraph"/>
              <w:spacing w:before="1"/>
              <w:ind w:left="637" w:right="412"/>
              <w:rPr>
                <w:i/>
                <w:sz w:val="24"/>
              </w:rPr>
            </w:pPr>
            <w:r>
              <w:rPr>
                <w:sz w:val="24"/>
              </w:rPr>
              <w:t>Dr. Daniel Castro-Lacouture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School of Building Construction</w:t>
            </w:r>
            <w:r>
              <w:rPr>
                <w:spacing w:val="-57"/>
                <w:sz w:val="24"/>
              </w:rPr>
              <w:t> </w:t>
            </w:r>
            <w:r>
              <w:rPr>
                <w:i/>
                <w:sz w:val="24"/>
              </w:rPr>
              <w:t>Georgia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Institute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of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Technology</w:t>
            </w:r>
          </w:p>
        </w:tc>
      </w:tr>
      <w:tr>
        <w:trPr>
          <w:trHeight w:val="1534" w:hRule="atLeast"/>
        </w:trPr>
        <w:tc>
          <w:tcPr>
            <w:tcW w:w="4229" w:type="dxa"/>
          </w:tcPr>
          <w:p>
            <w:pPr>
              <w:pStyle w:val="TableParagraph"/>
              <w:spacing w:before="10"/>
              <w:rPr>
                <w:b/>
                <w:sz w:val="24"/>
              </w:rPr>
            </w:pPr>
          </w:p>
          <w:p>
            <w:pPr>
              <w:pStyle w:val="TableParagraph"/>
              <w:ind w:left="200"/>
              <w:rPr>
                <w:sz w:val="24"/>
              </w:rPr>
            </w:pPr>
            <w:r>
              <w:rPr>
                <w:sz w:val="24"/>
              </w:rPr>
              <w:t>Dr.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Lawrence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Kahn</w:t>
            </w:r>
          </w:p>
          <w:p>
            <w:pPr>
              <w:pStyle w:val="TableParagraph"/>
              <w:ind w:left="200" w:right="649"/>
              <w:rPr>
                <w:sz w:val="24"/>
              </w:rPr>
            </w:pPr>
            <w:r>
              <w:rPr>
                <w:sz w:val="24"/>
              </w:rPr>
              <w:t>School of Civil and Environmental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Engineering</w:t>
            </w:r>
          </w:p>
          <w:p>
            <w:pPr>
              <w:pStyle w:val="TableParagraph"/>
              <w:spacing w:before="2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Georgia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Institute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of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Technology</w:t>
            </w:r>
          </w:p>
        </w:tc>
        <w:tc>
          <w:tcPr>
            <w:tcW w:w="4196" w:type="dxa"/>
          </w:tcPr>
          <w:p>
            <w:pPr>
              <w:pStyle w:val="TableParagraph"/>
              <w:spacing w:before="10"/>
              <w:rPr>
                <w:b/>
                <w:sz w:val="24"/>
              </w:rPr>
            </w:pPr>
          </w:p>
          <w:p>
            <w:pPr>
              <w:pStyle w:val="TableParagraph"/>
              <w:ind w:left="637"/>
              <w:rPr>
                <w:sz w:val="24"/>
              </w:rPr>
            </w:pPr>
            <w:r>
              <w:rPr>
                <w:sz w:val="24"/>
              </w:rPr>
              <w:t>Dr.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Sheldon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Jeter</w:t>
            </w:r>
          </w:p>
          <w:p>
            <w:pPr>
              <w:pStyle w:val="TableParagraph"/>
              <w:ind w:left="637"/>
              <w:rPr>
                <w:sz w:val="24"/>
              </w:rPr>
            </w:pPr>
            <w:r>
              <w:rPr>
                <w:sz w:val="24"/>
              </w:rPr>
              <w:t>School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Mechanical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Engineering</w:t>
            </w:r>
          </w:p>
          <w:p>
            <w:pPr>
              <w:pStyle w:val="TableParagraph"/>
              <w:spacing w:before="1"/>
              <w:ind w:left="637"/>
              <w:rPr>
                <w:i/>
                <w:sz w:val="24"/>
              </w:rPr>
            </w:pPr>
            <w:r>
              <w:rPr>
                <w:i/>
                <w:sz w:val="24"/>
              </w:rPr>
              <w:t>Georgia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Institute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of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Technology</w:t>
            </w:r>
          </w:p>
        </w:tc>
      </w:tr>
      <w:tr>
        <w:trPr>
          <w:trHeight w:val="408" w:hRule="atLeast"/>
        </w:trPr>
        <w:tc>
          <w:tcPr>
            <w:tcW w:w="4229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196" w:type="dxa"/>
          </w:tcPr>
          <w:p>
            <w:pPr>
              <w:pStyle w:val="TableParagraph"/>
              <w:spacing w:line="256" w:lineRule="exact" w:before="132"/>
              <w:ind w:left="745"/>
              <w:rPr>
                <w:sz w:val="24"/>
              </w:rPr>
            </w:pPr>
            <w:r>
              <w:rPr>
                <w:sz w:val="24"/>
              </w:rPr>
              <w:t>Date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Approved:</w:t>
            </w:r>
            <w:r>
              <w:rPr>
                <w:spacing w:val="59"/>
                <w:sz w:val="24"/>
              </w:rPr>
              <w:t> </w:t>
            </w:r>
            <w:r>
              <w:rPr>
                <w:sz w:val="24"/>
              </w:rPr>
              <w:t>March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30,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2018</w:t>
            </w:r>
          </w:p>
        </w:tc>
      </w:tr>
    </w:tbl>
    <w:p>
      <w:pPr>
        <w:spacing w:after="0" w:line="256" w:lineRule="exact"/>
        <w:rPr>
          <w:sz w:val="24"/>
        </w:rPr>
        <w:sectPr>
          <w:pgSz w:w="12240" w:h="15840"/>
          <w:pgMar w:top="1380" w:bottom="280" w:left="1720" w:right="132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5"/>
        </w:rPr>
      </w:pPr>
    </w:p>
    <w:p>
      <w:pPr>
        <w:pStyle w:val="BodyText"/>
        <w:spacing w:before="90"/>
        <w:ind w:left="359" w:right="40"/>
        <w:jc w:val="center"/>
      </w:pPr>
      <w:r>
        <w:rPr/>
        <w:t>To</w:t>
      </w:r>
      <w:r>
        <w:rPr>
          <w:spacing w:val="-1"/>
        </w:rPr>
        <w:t> </w:t>
      </w:r>
      <w:r>
        <w:rPr/>
        <w:t>Marc,</w:t>
      </w:r>
      <w:r>
        <w:rPr>
          <w:spacing w:val="-1"/>
        </w:rPr>
        <w:t> </w:t>
      </w:r>
      <w:r>
        <w:rPr/>
        <w:t>my</w:t>
      </w:r>
      <w:r>
        <w:rPr>
          <w:spacing w:val="-1"/>
        </w:rPr>
        <w:t> </w:t>
      </w:r>
      <w:r>
        <w:rPr/>
        <w:t>rock,</w:t>
      </w:r>
      <w:r>
        <w:rPr>
          <w:spacing w:val="-1"/>
        </w:rPr>
        <w:t> </w:t>
      </w:r>
      <w:r>
        <w:rPr/>
        <w:t>my</w:t>
      </w:r>
      <w:r>
        <w:rPr>
          <w:spacing w:val="-1"/>
        </w:rPr>
        <w:t> </w:t>
      </w:r>
      <w:r>
        <w:rPr/>
        <w:t>inspiration,</w:t>
      </w:r>
      <w:r>
        <w:rPr>
          <w:spacing w:val="-1"/>
        </w:rPr>
        <w:t> </w:t>
      </w:r>
      <w:r>
        <w:rPr/>
        <w:t>and my compass</w:t>
      </w:r>
    </w:p>
    <w:p>
      <w:pPr>
        <w:spacing w:after="0"/>
        <w:jc w:val="center"/>
        <w:sectPr>
          <w:pgSz w:w="12240" w:h="15840"/>
          <w:pgMar w:top="1500" w:bottom="280" w:left="1720" w:right="1320"/>
        </w:sectPr>
      </w:pPr>
    </w:p>
    <w:p>
      <w:pPr>
        <w:pStyle w:val="Heading4"/>
        <w:ind w:right="163"/>
      </w:pPr>
      <w:bookmarkStart w:name="_TOC_250077" w:id="3"/>
      <w:bookmarkStart w:name="ACKNOWLEDGEMENTS" w:id="4"/>
      <w:r>
        <w:rPr>
          <w:b w:val="0"/>
        </w:rPr>
      </w:r>
      <w:bookmarkEnd w:id="3"/>
      <w:r>
        <w:rPr/>
        <w:t>ACKNOWLEDGEMENTS</w:t>
      </w: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44"/>
        </w:rPr>
      </w:pPr>
    </w:p>
    <w:p>
      <w:pPr>
        <w:pStyle w:val="BodyText"/>
        <w:spacing w:line="480" w:lineRule="auto"/>
        <w:ind w:left="440" w:right="267" w:firstLine="720"/>
      </w:pPr>
      <w:r>
        <w:rPr/>
        <w:t>This work would not have been possible without the assistance of many people</w:t>
      </w:r>
      <w:r>
        <w:rPr>
          <w:spacing w:val="1"/>
        </w:rPr>
        <w:t> </w:t>
      </w:r>
      <w:r>
        <w:rPr/>
        <w:t>along the way.</w:t>
      </w:r>
      <w:r>
        <w:rPr>
          <w:spacing w:val="1"/>
        </w:rPr>
        <w:t> </w:t>
      </w:r>
      <w:r>
        <w:rPr/>
        <w:t>The opportunity to pursue a PhD became a reality thanks to amazing</w:t>
      </w:r>
      <w:r>
        <w:rPr>
          <w:spacing w:val="1"/>
        </w:rPr>
        <w:t> </w:t>
      </w:r>
      <w:r>
        <w:rPr/>
        <w:t>mentors and educators in the Department of Civil &amp; Mechanical Engineering at the</w:t>
      </w:r>
      <w:r>
        <w:rPr>
          <w:spacing w:val="1"/>
        </w:rPr>
        <w:t> </w:t>
      </w:r>
      <w:r>
        <w:rPr/>
        <w:t>United States Military Academy who made this all possible.</w:t>
      </w:r>
      <w:r>
        <w:rPr>
          <w:spacing w:val="1"/>
        </w:rPr>
        <w:t> </w:t>
      </w:r>
      <w:r>
        <w:rPr/>
        <w:t>I am grateful to COL Fred</w:t>
      </w:r>
      <w:r>
        <w:rPr>
          <w:spacing w:val="1"/>
        </w:rPr>
        <w:t> </w:t>
      </w:r>
      <w:r>
        <w:rPr/>
        <w:t>Meyer, COL Joseph Hanus and COL Brad Wambeke for all of their support, guidance</w:t>
      </w:r>
      <w:r>
        <w:rPr>
          <w:spacing w:val="1"/>
        </w:rPr>
        <w:t> </w:t>
      </w:r>
      <w:r>
        <w:rPr/>
        <w:t>and leadership.</w:t>
      </w:r>
      <w:r>
        <w:rPr>
          <w:spacing w:val="1"/>
        </w:rPr>
        <w:t> </w:t>
      </w:r>
      <w:r>
        <w:rPr/>
        <w:t>Dr. Chris Conley, who originally suggested I look at CLT, has been an</w:t>
      </w:r>
      <w:r>
        <w:rPr>
          <w:spacing w:val="1"/>
        </w:rPr>
        <w:t> </w:t>
      </w:r>
      <w:r>
        <w:rPr/>
        <w:t>invaluable</w:t>
      </w:r>
      <w:r>
        <w:rPr>
          <w:spacing w:val="-2"/>
        </w:rPr>
        <w:t> </w:t>
      </w:r>
      <w:r>
        <w:rPr/>
        <w:t>sounding</w:t>
      </w:r>
      <w:r>
        <w:rPr>
          <w:spacing w:val="-1"/>
        </w:rPr>
        <w:t> </w:t>
      </w:r>
      <w:r>
        <w:rPr/>
        <w:t>board,</w:t>
      </w:r>
      <w:r>
        <w:rPr>
          <w:spacing w:val="-2"/>
        </w:rPr>
        <w:t> </w:t>
      </w:r>
      <w:r>
        <w:rPr/>
        <w:t>technical</w:t>
      </w:r>
      <w:r>
        <w:rPr>
          <w:spacing w:val="-2"/>
        </w:rPr>
        <w:t> </w:t>
      </w:r>
      <w:r>
        <w:rPr/>
        <w:t>expert,</w:t>
      </w:r>
      <w:r>
        <w:rPr>
          <w:spacing w:val="-2"/>
        </w:rPr>
        <w:t> </w:t>
      </w:r>
      <w:r>
        <w:rPr/>
        <w:t>facilitator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mentor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me for</w:t>
      </w:r>
      <w:r>
        <w:rPr>
          <w:spacing w:val="-1"/>
        </w:rPr>
        <w:t> </w:t>
      </w:r>
      <w:r>
        <w:rPr/>
        <w:t>many</w:t>
      </w:r>
      <w:r>
        <w:rPr>
          <w:spacing w:val="-1"/>
        </w:rPr>
        <w:t> </w:t>
      </w:r>
      <w:r>
        <w:rPr/>
        <w:t>years</w:t>
      </w:r>
      <w:r>
        <w:rPr>
          <w:spacing w:val="-57"/>
        </w:rPr>
        <w:t> </w:t>
      </w:r>
      <w:r>
        <w:rPr/>
        <w:t>but</w:t>
      </w:r>
      <w:r>
        <w:rPr>
          <w:spacing w:val="-1"/>
        </w:rPr>
        <w:t> </w:t>
      </w:r>
      <w:r>
        <w:rPr/>
        <w:t>especially these</w:t>
      </w:r>
      <w:r>
        <w:rPr>
          <w:spacing w:val="-1"/>
        </w:rPr>
        <w:t> </w:t>
      </w:r>
      <w:r>
        <w:rPr/>
        <w:t>last</w:t>
      </w:r>
      <w:r>
        <w:rPr>
          <w:spacing w:val="-1"/>
        </w:rPr>
        <w:t> </w:t>
      </w:r>
      <w:r>
        <w:rPr/>
        <w:t>three.</w:t>
      </w:r>
    </w:p>
    <w:p>
      <w:pPr>
        <w:pStyle w:val="BodyText"/>
        <w:spacing w:line="480" w:lineRule="auto" w:before="160"/>
        <w:ind w:left="440" w:right="135" w:firstLine="720"/>
      </w:pPr>
      <w:r>
        <w:rPr/>
        <w:t>I am especially grateful to have had the guidance and support of my two advisors,</w:t>
      </w:r>
      <w:r>
        <w:rPr>
          <w:spacing w:val="-57"/>
        </w:rPr>
        <w:t> </w:t>
      </w:r>
      <w:r>
        <w:rPr/>
        <w:t>Dr. Lauren Stewart and Dr. Gentry.</w:t>
      </w:r>
      <w:r>
        <w:rPr>
          <w:spacing w:val="1"/>
        </w:rPr>
        <w:t> </w:t>
      </w:r>
      <w:r>
        <w:rPr/>
        <w:t>Dr. Stewart took me on when she already had a full</w:t>
      </w:r>
      <w:r>
        <w:rPr>
          <w:spacing w:val="1"/>
        </w:rPr>
        <w:t> </w:t>
      </w:r>
      <w:r>
        <w:rPr/>
        <w:t>research group and has provided me with many opportunities and the support to complete</w:t>
      </w:r>
      <w:r>
        <w:rPr>
          <w:spacing w:val="-58"/>
        </w:rPr>
        <w:t> </w:t>
      </w:r>
      <w:r>
        <w:rPr/>
        <w:t>this program.</w:t>
      </w:r>
      <w:r>
        <w:rPr>
          <w:spacing w:val="60"/>
        </w:rPr>
        <w:t> </w:t>
      </w:r>
      <w:r>
        <w:rPr/>
        <w:t>Dr. Gentry, who’s MacGyver engineering skills are enviable, also added</w:t>
      </w:r>
      <w:r>
        <w:rPr>
          <w:spacing w:val="1"/>
        </w:rPr>
        <w:t> </w:t>
      </w:r>
      <w:r>
        <w:rPr/>
        <w:t>me to his already full plate without hesitation and has always found time to meet with me</w:t>
      </w:r>
      <w:r>
        <w:rPr>
          <w:spacing w:val="-57"/>
        </w:rPr>
        <w:t> </w:t>
      </w:r>
      <w:r>
        <w:rPr/>
        <w:t>and</w:t>
      </w:r>
      <w:r>
        <w:rPr>
          <w:spacing w:val="-1"/>
        </w:rPr>
        <w:t> </w:t>
      </w:r>
      <w:r>
        <w:rPr/>
        <w:t>provide</w:t>
      </w:r>
      <w:r>
        <w:rPr>
          <w:spacing w:val="-1"/>
        </w:rPr>
        <w:t> </w:t>
      </w:r>
      <w:r>
        <w:rPr/>
        <w:t>assistance</w:t>
      </w:r>
      <w:r>
        <w:rPr>
          <w:spacing w:val="-1"/>
        </w:rPr>
        <w:t> </w:t>
      </w:r>
      <w:r>
        <w:rPr/>
        <w:t>and guidance.</w:t>
      </w:r>
    </w:p>
    <w:p>
      <w:pPr>
        <w:pStyle w:val="BodyText"/>
        <w:spacing w:line="480" w:lineRule="auto" w:before="160"/>
        <w:ind w:left="440" w:right="119" w:firstLine="720"/>
      </w:pPr>
      <w:r>
        <w:rPr/>
        <w:t>This work would not have been possible without the commitment of the other</w:t>
      </w:r>
      <w:r>
        <w:rPr>
          <w:spacing w:val="1"/>
        </w:rPr>
        <w:t> </w:t>
      </w:r>
      <w:r>
        <w:rPr/>
        <w:t>members of my committee, Dr. Lawrence Kahn, Dr. Kimberly Kurtis, Dr. Sheldon Jeter</w:t>
      </w:r>
      <w:r>
        <w:rPr>
          <w:spacing w:val="1"/>
        </w:rPr>
        <w:t> </w:t>
      </w:r>
      <w:r>
        <w:rPr/>
        <w:t>and Dr. Daniel Castro-Lacouture.</w:t>
      </w:r>
      <w:r>
        <w:rPr>
          <w:spacing w:val="1"/>
        </w:rPr>
        <w:t> </w:t>
      </w:r>
      <w:r>
        <w:rPr/>
        <w:t>Thank you for your time, your support and your</w:t>
      </w:r>
      <w:r>
        <w:rPr>
          <w:spacing w:val="1"/>
        </w:rPr>
        <w:t> </w:t>
      </w:r>
      <w:r>
        <w:rPr/>
        <w:t>feedback.</w:t>
      </w:r>
      <w:r>
        <w:rPr>
          <w:spacing w:val="1"/>
        </w:rPr>
        <w:t> </w:t>
      </w:r>
      <w:r>
        <w:rPr/>
        <w:t>I have thoroughly enjoyed working with all of you and I am extremely grateful</w:t>
      </w:r>
      <w:r>
        <w:rPr>
          <w:spacing w:val="-58"/>
        </w:rPr>
        <w:t> </w:t>
      </w:r>
      <w:r>
        <w:rPr/>
        <w:t>to</w:t>
      </w:r>
      <w:r>
        <w:rPr>
          <w:spacing w:val="-1"/>
        </w:rPr>
        <w:t> </w:t>
      </w:r>
      <w:r>
        <w:rPr/>
        <w:t>have such</w:t>
      </w:r>
      <w:r>
        <w:rPr>
          <w:spacing w:val="-2"/>
        </w:rPr>
        <w:t> </w:t>
      </w:r>
      <w:r>
        <w:rPr/>
        <w:t>an amazing committee.</w:t>
      </w:r>
    </w:p>
    <w:p>
      <w:pPr>
        <w:spacing w:after="0" w:line="480" w:lineRule="auto"/>
        <w:sectPr>
          <w:footerReference w:type="default" r:id="rId5"/>
          <w:pgSz w:w="12240" w:h="15840"/>
          <w:pgMar w:footer="984" w:header="0" w:top="1460" w:bottom="1180" w:left="1720" w:right="1320"/>
          <w:pgNumType w:start="4"/>
        </w:sectPr>
      </w:pPr>
    </w:p>
    <w:p>
      <w:pPr>
        <w:pStyle w:val="BodyText"/>
        <w:spacing w:line="480" w:lineRule="auto" w:before="78"/>
        <w:ind w:left="440" w:right="135" w:firstLine="720"/>
      </w:pPr>
      <w:r>
        <w:rPr/>
        <w:t>Many thanks to the U.S. Forest Service for the Wood Innovations Grant which</w:t>
      </w:r>
      <w:r>
        <w:rPr>
          <w:spacing w:val="1"/>
        </w:rPr>
        <w:t> </w:t>
      </w:r>
      <w:r>
        <w:rPr/>
        <w:t>contributed to the funding of this work.</w:t>
      </w:r>
      <w:r>
        <w:rPr>
          <w:spacing w:val="1"/>
        </w:rPr>
        <w:t> </w:t>
      </w:r>
      <w:r>
        <w:rPr/>
        <w:t>Additionally, a big thanks with several of the</w:t>
      </w:r>
      <w:r>
        <w:rPr>
          <w:spacing w:val="1"/>
        </w:rPr>
        <w:t> </w:t>
      </w:r>
      <w:r>
        <w:rPr/>
        <w:t>collaborators including Dr. Charles Randow at ARL, Dr. Bill Heard, Dr. Jesse Sherburn,</w:t>
      </w:r>
      <w:r>
        <w:rPr>
          <w:spacing w:val="1"/>
        </w:rPr>
        <w:t> </w:t>
      </w:r>
      <w:r>
        <w:rPr/>
        <w:t>Mr. Omar Flores, Mr. David Roman-Castro and Mr. Ricky Magee at ERDC, Mr. Robert</w:t>
      </w:r>
      <w:r>
        <w:rPr>
          <w:spacing w:val="1"/>
        </w:rPr>
        <w:t> </w:t>
      </w:r>
      <w:r>
        <w:rPr/>
        <w:t>Tudhope</w:t>
      </w:r>
      <w:r>
        <w:rPr>
          <w:spacing w:val="-2"/>
        </w:rPr>
        <w:t> </w:t>
      </w:r>
      <w:r>
        <w:rPr/>
        <w:t>at</w:t>
      </w:r>
      <w:r>
        <w:rPr>
          <w:spacing w:val="-2"/>
        </w:rPr>
        <w:t> </w:t>
      </w:r>
      <w:r>
        <w:rPr/>
        <w:t>SmartLam,</w:t>
      </w:r>
      <w:r>
        <w:rPr>
          <w:spacing w:val="-1"/>
        </w:rPr>
        <w:t> </w:t>
      </w:r>
      <w:r>
        <w:rPr/>
        <w:t>Mr.</w:t>
      </w:r>
      <w:r>
        <w:rPr>
          <w:spacing w:val="-1"/>
        </w:rPr>
        <w:t> </w:t>
      </w:r>
      <w:r>
        <w:rPr/>
        <w:t>Bill</w:t>
      </w:r>
      <w:r>
        <w:rPr>
          <w:spacing w:val="-2"/>
        </w:rPr>
        <w:t> </w:t>
      </w:r>
      <w:r>
        <w:rPr/>
        <w:t>Tobin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Mr.</w:t>
      </w:r>
      <w:r>
        <w:rPr>
          <w:spacing w:val="-2"/>
        </w:rPr>
        <w:t> </w:t>
      </w:r>
      <w:r>
        <w:rPr/>
        <w:t>Charles</w:t>
      </w:r>
      <w:r>
        <w:rPr>
          <w:spacing w:val="-1"/>
        </w:rPr>
        <w:t> </w:t>
      </w:r>
      <w:r>
        <w:rPr/>
        <w:t>Stark</w:t>
      </w:r>
      <w:r>
        <w:rPr>
          <w:spacing w:val="-4"/>
        </w:rPr>
        <w:t> </w:t>
      </w:r>
      <w:r>
        <w:rPr/>
        <w:t>at</w:t>
      </w:r>
      <w:r>
        <w:rPr>
          <w:spacing w:val="-1"/>
        </w:rPr>
        <w:t> </w:t>
      </w:r>
      <w:r>
        <w:rPr/>
        <w:t>LendLease,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folks</w:t>
      </w:r>
      <w:r>
        <w:rPr>
          <w:spacing w:val="-57"/>
        </w:rPr>
        <w:t> </w:t>
      </w:r>
      <w:r>
        <w:rPr/>
        <w:t>at</w:t>
      </w:r>
      <w:r>
        <w:rPr>
          <w:spacing w:val="-1"/>
        </w:rPr>
        <w:t> </w:t>
      </w:r>
      <w:r>
        <w:rPr/>
        <w:t>WoodWorks.</w:t>
      </w:r>
    </w:p>
    <w:p>
      <w:pPr>
        <w:pStyle w:val="BodyText"/>
        <w:spacing w:line="480" w:lineRule="auto" w:before="160"/>
        <w:ind w:left="439" w:right="135" w:firstLine="720"/>
      </w:pPr>
      <w:r>
        <w:rPr/>
        <w:t>I have also had the help of many fellow students along the way.</w:t>
      </w:r>
      <w:r>
        <w:rPr>
          <w:spacing w:val="1"/>
        </w:rPr>
        <w:t> </w:t>
      </w:r>
      <w:r>
        <w:rPr/>
        <w:t>Huge thanks to</w:t>
      </w:r>
      <w:r>
        <w:rPr>
          <w:spacing w:val="1"/>
        </w:rPr>
        <w:t> </w:t>
      </w:r>
      <w:r>
        <w:rPr/>
        <w:t>Cadets Zade Koch and Andrew Valkenburg for their help with the ballistics tests at the</w:t>
      </w:r>
      <w:r>
        <w:rPr>
          <w:spacing w:val="1"/>
        </w:rPr>
        <w:t> </w:t>
      </w:r>
      <w:r>
        <w:rPr/>
        <w:t>range facilities.</w:t>
      </w:r>
      <w:r>
        <w:rPr>
          <w:spacing w:val="1"/>
        </w:rPr>
        <w:t> </w:t>
      </w:r>
      <w:r>
        <w:rPr/>
        <w:t>Many thanks to my CLT production crew that included CPT Brian Riser,</w:t>
      </w:r>
      <w:r>
        <w:rPr>
          <w:spacing w:val="-57"/>
        </w:rPr>
        <w:t> </w:t>
      </w:r>
      <w:r>
        <w:rPr/>
        <w:t>Alex Herdt, Bennett Crawford, Justin Wilson and Daniel Rosborough.</w:t>
      </w:r>
      <w:r>
        <w:rPr>
          <w:spacing w:val="60"/>
        </w:rPr>
        <w:t> </w:t>
      </w:r>
      <w:r>
        <w:rPr/>
        <w:t>Danny also took</w:t>
      </w:r>
      <w:r>
        <w:rPr>
          <w:spacing w:val="1"/>
        </w:rPr>
        <w:t> </w:t>
      </w:r>
      <w:r>
        <w:rPr/>
        <w:t>on the monotonous task of hundreds of hardness test with no complaints and a smile –</w:t>
      </w:r>
      <w:r>
        <w:rPr>
          <w:spacing w:val="1"/>
        </w:rPr>
        <w:t> </w:t>
      </w:r>
      <w:r>
        <w:rPr/>
        <w:t>thank you.</w:t>
      </w:r>
      <w:r>
        <w:rPr>
          <w:spacing w:val="1"/>
        </w:rPr>
        <w:t> </w:t>
      </w:r>
      <w:r>
        <w:rPr/>
        <w:t>I am also sincerely appreciative for all the help and ideas Mr. Jake Tompkins</w:t>
      </w:r>
      <w:r>
        <w:rPr>
          <w:spacing w:val="1"/>
        </w:rPr>
        <w:t> </w:t>
      </w:r>
      <w:r>
        <w:rPr/>
        <w:t>provided</w:t>
      </w:r>
      <w:r>
        <w:rPr>
          <w:spacing w:val="1"/>
        </w:rPr>
        <w:t> </w:t>
      </w:r>
      <w:r>
        <w:rPr/>
        <w:t>to</w:t>
      </w:r>
      <w:r>
        <w:rPr>
          <w:spacing w:val="2"/>
        </w:rPr>
        <w:t> </w:t>
      </w:r>
      <w:r>
        <w:rPr/>
        <w:t>me</w:t>
      </w:r>
      <w:r>
        <w:rPr>
          <w:spacing w:val="3"/>
        </w:rPr>
        <w:t> </w:t>
      </w:r>
      <w:r>
        <w:rPr/>
        <w:t>at</w:t>
      </w:r>
      <w:r>
        <w:rPr>
          <w:spacing w:val="4"/>
        </w:rPr>
        <w:t> </w:t>
      </w:r>
      <w:r>
        <w:rPr/>
        <w:t>the</w:t>
      </w:r>
      <w:r>
        <w:rPr>
          <w:spacing w:val="3"/>
        </w:rPr>
        <w:t> </w:t>
      </w:r>
      <w:r>
        <w:rPr/>
        <w:t>Digital</w:t>
      </w:r>
      <w:r>
        <w:rPr>
          <w:spacing w:val="4"/>
        </w:rPr>
        <w:t> </w:t>
      </w:r>
      <w:r>
        <w:rPr/>
        <w:t>Fabrication</w:t>
      </w:r>
      <w:r>
        <w:rPr>
          <w:spacing w:val="3"/>
        </w:rPr>
        <w:t> </w:t>
      </w:r>
      <w:r>
        <w:rPr/>
        <w:t>Lab.</w:t>
      </w:r>
      <w:r>
        <w:rPr>
          <w:spacing w:val="63"/>
        </w:rPr>
        <w:t> </w:t>
      </w:r>
      <w:r>
        <w:rPr/>
        <w:t>It</w:t>
      </w:r>
      <w:r>
        <w:rPr>
          <w:spacing w:val="3"/>
        </w:rPr>
        <w:t> </w:t>
      </w:r>
      <w:r>
        <w:rPr/>
        <w:t>truly</w:t>
      </w:r>
      <w:r>
        <w:rPr>
          <w:spacing w:val="1"/>
        </w:rPr>
        <w:t> </w:t>
      </w:r>
      <w:r>
        <w:rPr/>
        <w:t>takes</w:t>
      </w:r>
      <w:r>
        <w:rPr>
          <w:spacing w:val="3"/>
        </w:rPr>
        <w:t> </w:t>
      </w:r>
      <w:r>
        <w:rPr/>
        <w:t>a</w:t>
      </w:r>
      <w:r>
        <w:rPr>
          <w:spacing w:val="2"/>
        </w:rPr>
        <w:t> </w:t>
      </w:r>
      <w:r>
        <w:rPr/>
        <w:t>village</w:t>
      </w:r>
      <w:r>
        <w:rPr>
          <w:spacing w:val="4"/>
        </w:rPr>
        <w:t> </w:t>
      </w:r>
      <w:r>
        <w:rPr/>
        <w:t>of</w:t>
      </w:r>
      <w:r>
        <w:rPr>
          <w:spacing w:val="2"/>
        </w:rPr>
        <w:t> </w:t>
      </w:r>
      <w:r>
        <w:rPr/>
        <w:t>support</w:t>
      </w:r>
      <w:r>
        <w:rPr>
          <w:spacing w:val="4"/>
        </w:rPr>
        <w:t> </w:t>
      </w:r>
      <w:r>
        <w:rPr/>
        <w:t>to</w:t>
      </w:r>
      <w:r>
        <w:rPr>
          <w:spacing w:val="1"/>
        </w:rPr>
        <w:t> </w:t>
      </w:r>
      <w:r>
        <w:rPr/>
        <w:t>crash</w:t>
      </w:r>
      <w:r>
        <w:rPr>
          <w:spacing w:val="1"/>
        </w:rPr>
        <w:t> </w:t>
      </w:r>
      <w:r>
        <w:rPr/>
        <w:t>a PhD to the three years the Army gave us (let alone two in one house!) and I am forever</w:t>
      </w:r>
      <w:r>
        <w:rPr>
          <w:spacing w:val="1"/>
        </w:rPr>
        <w:t> </w:t>
      </w:r>
      <w:r>
        <w:rPr/>
        <w:t>grateful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Genevieve</w:t>
      </w:r>
      <w:r>
        <w:rPr>
          <w:spacing w:val="-1"/>
        </w:rPr>
        <w:t> </w:t>
      </w:r>
      <w:r>
        <w:rPr/>
        <w:t>Pezzola,</w:t>
      </w:r>
      <w:r>
        <w:rPr>
          <w:spacing w:val="-1"/>
        </w:rPr>
        <w:t> </w:t>
      </w:r>
      <w:r>
        <w:rPr/>
        <w:t>Natalia Cardelino,</w:t>
      </w:r>
      <w:r>
        <w:rPr>
          <w:spacing w:val="-3"/>
        </w:rPr>
        <w:t> </w:t>
      </w:r>
      <w:r>
        <w:rPr/>
        <w:t>Rebecca</w:t>
      </w:r>
      <w:r>
        <w:rPr>
          <w:spacing w:val="-1"/>
        </w:rPr>
        <w:t> </w:t>
      </w:r>
      <w:r>
        <w:rPr/>
        <w:t>Nylen,</w:t>
      </w:r>
      <w:r>
        <w:rPr>
          <w:spacing w:val="-1"/>
        </w:rPr>
        <w:t> </w:t>
      </w:r>
      <w:r>
        <w:rPr/>
        <w:t>Dr.</w:t>
      </w:r>
      <w:r>
        <w:rPr>
          <w:spacing w:val="-1"/>
        </w:rPr>
        <w:t> </w:t>
      </w:r>
      <w:r>
        <w:rPr/>
        <w:t>Nan Gao,</w:t>
      </w:r>
      <w:r>
        <w:rPr>
          <w:spacing w:val="-1"/>
        </w:rPr>
        <w:t> </w:t>
      </w:r>
      <w:r>
        <w:rPr/>
        <w:t>Dr.</w:t>
      </w:r>
    </w:p>
    <w:p>
      <w:pPr>
        <w:pStyle w:val="BodyText"/>
        <w:ind w:left="439"/>
      </w:pPr>
      <w:r>
        <w:rPr/>
        <w:t>Giovanni</w:t>
      </w:r>
      <w:r>
        <w:rPr>
          <w:spacing w:val="-2"/>
        </w:rPr>
        <w:t> </w:t>
      </w:r>
      <w:r>
        <w:rPr/>
        <w:t>Loreto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listening</w:t>
      </w:r>
      <w:r>
        <w:rPr>
          <w:spacing w:val="-1"/>
        </w:rPr>
        <w:t> </w:t>
      </w:r>
      <w:r>
        <w:rPr/>
        <w:t>to</w:t>
      </w:r>
      <w:r>
        <w:rPr>
          <w:spacing w:val="-2"/>
        </w:rPr>
        <w:t> </w:t>
      </w:r>
      <w:r>
        <w:rPr/>
        <w:t>my</w:t>
      </w:r>
      <w:r>
        <w:rPr>
          <w:spacing w:val="-1"/>
        </w:rPr>
        <w:t> </w:t>
      </w:r>
      <w:r>
        <w:rPr/>
        <w:t>ideas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my</w:t>
      </w:r>
      <w:r>
        <w:rPr>
          <w:spacing w:val="-1"/>
        </w:rPr>
        <w:t> </w:t>
      </w:r>
      <w:r>
        <w:rPr/>
        <w:t>venting</w:t>
      </w:r>
      <w:r>
        <w:rPr>
          <w:spacing w:val="-3"/>
        </w:rPr>
        <w:t> </w:t>
      </w:r>
      <w:r>
        <w:rPr/>
        <w:t>tangents.</w:t>
      </w:r>
    </w:p>
    <w:p>
      <w:pPr>
        <w:pStyle w:val="BodyText"/>
        <w:spacing w:before="10"/>
        <w:rPr>
          <w:sz w:val="37"/>
        </w:rPr>
      </w:pPr>
    </w:p>
    <w:p>
      <w:pPr>
        <w:pStyle w:val="BodyText"/>
        <w:spacing w:line="480" w:lineRule="auto"/>
        <w:ind w:left="439" w:right="290" w:firstLine="720"/>
      </w:pPr>
      <w:r>
        <w:rPr/>
        <w:t>The true inspiration for this work is the Soldiers I have had the honor of serving</w:t>
      </w:r>
      <w:r>
        <w:rPr>
          <w:spacing w:val="1"/>
        </w:rPr>
        <w:t> </w:t>
      </w:r>
      <w:r>
        <w:rPr/>
        <w:t>with over the past 16 years.</w:t>
      </w:r>
      <w:r>
        <w:rPr>
          <w:spacing w:val="1"/>
        </w:rPr>
        <w:t> </w:t>
      </w:r>
      <w:r>
        <w:rPr/>
        <w:t>Despite our time at school removing us from the “regular”</w:t>
      </w:r>
      <w:r>
        <w:rPr>
          <w:spacing w:val="1"/>
        </w:rPr>
        <w:t> </w:t>
      </w:r>
      <w:r>
        <w:rPr/>
        <w:t>Army, I have been continuously motivated by the amazing men and woman who</w:t>
      </w:r>
      <w:r>
        <w:rPr>
          <w:spacing w:val="1"/>
        </w:rPr>
        <w:t> </w:t>
      </w:r>
      <w:r>
        <w:rPr/>
        <w:t>volunteer for our Army and have spent years away from their families and friends while</w:t>
      </w:r>
      <w:r>
        <w:rPr>
          <w:spacing w:val="-57"/>
        </w:rPr>
        <w:t> </w:t>
      </w:r>
      <w:r>
        <w:rPr/>
        <w:t>living in temporary military structures.</w:t>
      </w:r>
      <w:r>
        <w:rPr>
          <w:spacing w:val="1"/>
        </w:rPr>
        <w:t> </w:t>
      </w:r>
      <w:r>
        <w:rPr/>
        <w:t>I truly hope my work can eventually benefit the</w:t>
      </w:r>
      <w:r>
        <w:rPr>
          <w:spacing w:val="-57"/>
        </w:rPr>
        <w:t> </w:t>
      </w:r>
      <w:r>
        <w:rPr/>
        <w:t>lives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Soldiers someday in the future.</w:t>
      </w:r>
    </w:p>
    <w:p>
      <w:pPr>
        <w:spacing w:after="0" w:line="480" w:lineRule="auto"/>
        <w:sectPr>
          <w:pgSz w:w="12240" w:h="15840"/>
          <w:pgMar w:header="0" w:footer="984" w:top="1360" w:bottom="1260" w:left="1720" w:right="1320"/>
        </w:sectPr>
      </w:pPr>
    </w:p>
    <w:p>
      <w:pPr>
        <w:pStyle w:val="BodyText"/>
        <w:spacing w:line="480" w:lineRule="auto" w:before="78"/>
        <w:ind w:left="440" w:right="245" w:firstLine="720"/>
      </w:pPr>
      <w:r>
        <w:rPr/>
        <w:t>The love and support of my family is a constant in my life and I am forever</w:t>
      </w:r>
      <w:r>
        <w:rPr>
          <w:spacing w:val="1"/>
        </w:rPr>
        <w:t> </w:t>
      </w:r>
      <w:r>
        <w:rPr/>
        <w:t>grateful for the encouragement my parents have always provided to me.</w:t>
      </w:r>
      <w:r>
        <w:rPr>
          <w:spacing w:val="1"/>
        </w:rPr>
        <w:t> </w:t>
      </w:r>
      <w:r>
        <w:rPr/>
        <w:t>They instilled a</w:t>
      </w:r>
      <w:r>
        <w:rPr>
          <w:spacing w:val="-58"/>
        </w:rPr>
        <w:t> </w:t>
      </w:r>
      <w:r>
        <w:rPr/>
        <w:t>work ethic in me at a young age that has helped present opportunities like earning my</w:t>
      </w:r>
      <w:r>
        <w:rPr>
          <w:spacing w:val="1"/>
        </w:rPr>
        <w:t> </w:t>
      </w:r>
      <w:r>
        <w:rPr/>
        <w:t>doctorate.</w:t>
      </w:r>
      <w:r>
        <w:rPr>
          <w:spacing w:val="56"/>
        </w:rPr>
        <w:t> </w:t>
      </w:r>
      <w:r>
        <w:rPr/>
        <w:t>My siblings’</w:t>
      </w:r>
      <w:r>
        <w:rPr>
          <w:spacing w:val="-2"/>
        </w:rPr>
        <w:t> </w:t>
      </w:r>
      <w:r>
        <w:rPr/>
        <w:t>senses of</w:t>
      </w:r>
      <w:r>
        <w:rPr>
          <w:spacing w:val="-2"/>
        </w:rPr>
        <w:t> </w:t>
      </w:r>
      <w:r>
        <w:rPr/>
        <w:t>humor and</w:t>
      </w:r>
      <w:r>
        <w:rPr>
          <w:spacing w:val="-1"/>
        </w:rPr>
        <w:t> </w:t>
      </w:r>
      <w:r>
        <w:rPr/>
        <w:t>support have</w:t>
      </w:r>
      <w:r>
        <w:rPr>
          <w:spacing w:val="-2"/>
        </w:rPr>
        <w:t> </w:t>
      </w:r>
      <w:r>
        <w:rPr/>
        <w:t>also been</w:t>
      </w:r>
      <w:r>
        <w:rPr>
          <w:spacing w:val="-3"/>
        </w:rPr>
        <w:t> </w:t>
      </w:r>
      <w:r>
        <w:rPr/>
        <w:t>invaluable and</w:t>
      </w:r>
      <w:r>
        <w:rPr>
          <w:spacing w:val="-3"/>
        </w:rPr>
        <w:t> </w:t>
      </w:r>
      <w:r>
        <w:rPr/>
        <w:t>kept</w:t>
      </w:r>
      <w:r>
        <w:rPr>
          <w:spacing w:val="-57"/>
        </w:rPr>
        <w:t> </w:t>
      </w:r>
      <w:r>
        <w:rPr/>
        <w:t>me grounded.</w:t>
      </w:r>
      <w:r>
        <w:rPr>
          <w:spacing w:val="1"/>
        </w:rPr>
        <w:t> </w:t>
      </w:r>
      <w:r>
        <w:rPr/>
        <w:t>My in-laws have also provided unending support and encouragement to</w:t>
      </w:r>
      <w:r>
        <w:rPr>
          <w:spacing w:val="1"/>
        </w:rPr>
        <w:t> </w:t>
      </w:r>
      <w:r>
        <w:rPr/>
        <w:t>both</w:t>
      </w:r>
      <w:r>
        <w:rPr>
          <w:spacing w:val="-1"/>
        </w:rPr>
        <w:t> </w:t>
      </w:r>
      <w:r>
        <w:rPr/>
        <w:t>Marc</w:t>
      </w:r>
      <w:r>
        <w:rPr>
          <w:spacing w:val="-2"/>
        </w:rPr>
        <w:t> </w:t>
      </w:r>
      <w:r>
        <w:rPr/>
        <w:t>and I.</w:t>
      </w:r>
      <w:r>
        <w:rPr>
          <w:spacing w:val="59"/>
        </w:rPr>
        <w:t> </w:t>
      </w:r>
      <w:r>
        <w:rPr/>
        <w:t>I</w:t>
      </w:r>
      <w:r>
        <w:rPr>
          <w:spacing w:val="-1"/>
        </w:rPr>
        <w:t> </w:t>
      </w:r>
      <w:r>
        <w:rPr/>
        <w:t>am</w:t>
      </w:r>
      <w:r>
        <w:rPr>
          <w:spacing w:val="-2"/>
        </w:rPr>
        <w:t> </w:t>
      </w:r>
      <w:r>
        <w:rPr/>
        <w:t>forever</w:t>
      </w:r>
      <w:r>
        <w:rPr>
          <w:spacing w:val="-1"/>
        </w:rPr>
        <w:t> </w:t>
      </w:r>
      <w:r>
        <w:rPr/>
        <w:t>grateful for</w:t>
      </w:r>
      <w:r>
        <w:rPr>
          <w:spacing w:val="-1"/>
        </w:rPr>
        <w:t> </w:t>
      </w:r>
      <w:r>
        <w:rPr/>
        <w:t>an amazing</w:t>
      </w:r>
      <w:r>
        <w:rPr>
          <w:spacing w:val="-1"/>
        </w:rPr>
        <w:t> </w:t>
      </w:r>
      <w:r>
        <w:rPr/>
        <w:t>family network</w:t>
      </w:r>
      <w:r>
        <w:rPr>
          <w:spacing w:val="-3"/>
        </w:rPr>
        <w:t> </w:t>
      </w:r>
      <w:r>
        <w:rPr/>
        <w:t>in</w:t>
      </w:r>
      <w:r>
        <w:rPr>
          <w:spacing w:val="1"/>
        </w:rPr>
        <w:t> </w:t>
      </w:r>
      <w:r>
        <w:rPr/>
        <w:t>my</w:t>
      </w:r>
      <w:r>
        <w:rPr>
          <w:spacing w:val="-1"/>
        </w:rPr>
        <w:t> </w:t>
      </w:r>
      <w:r>
        <w:rPr/>
        <w:t>life.</w:t>
      </w:r>
    </w:p>
    <w:p>
      <w:pPr>
        <w:pStyle w:val="BodyText"/>
        <w:spacing w:line="480" w:lineRule="auto" w:before="160"/>
        <w:ind w:left="440" w:right="269" w:firstLine="720"/>
      </w:pPr>
      <w:r>
        <w:rPr/>
        <w:t>Finally, I want to thank Marc, my amazing husband for all of his love, support</w:t>
      </w:r>
      <w:r>
        <w:rPr>
          <w:spacing w:val="1"/>
        </w:rPr>
        <w:t> </w:t>
      </w:r>
      <w:r>
        <w:rPr/>
        <w:t>and encouragement.</w:t>
      </w:r>
      <w:r>
        <w:rPr>
          <w:spacing w:val="1"/>
        </w:rPr>
        <w:t> </w:t>
      </w:r>
      <w:r>
        <w:rPr/>
        <w:t>I would not have made it without his wisdom, Jedi Mathcad skills,</w:t>
      </w:r>
      <w:r>
        <w:rPr>
          <w:spacing w:val="-57"/>
        </w:rPr>
        <w:t> </w:t>
      </w:r>
      <w:r>
        <w:rPr/>
        <w:t>Sketch-Up artistry and unmatched patience with me, all while working on his own</w:t>
      </w:r>
      <w:r>
        <w:rPr>
          <w:spacing w:val="1"/>
        </w:rPr>
        <w:t> </w:t>
      </w:r>
      <w:r>
        <w:rPr/>
        <w:t>research and dissertation.</w:t>
      </w:r>
      <w:r>
        <w:rPr>
          <w:spacing w:val="1"/>
        </w:rPr>
        <w:t> </w:t>
      </w:r>
      <w:r>
        <w:rPr/>
        <w:t>You make it look easy and provide me with daily motivation.</w:t>
      </w:r>
      <w:r>
        <w:rPr>
          <w:spacing w:val="-57"/>
        </w:rPr>
        <w:t> </w:t>
      </w:r>
      <w:r>
        <w:rPr/>
        <w:t>This</w:t>
      </w:r>
      <w:r>
        <w:rPr>
          <w:spacing w:val="-1"/>
        </w:rPr>
        <w:t> </w:t>
      </w:r>
      <w:r>
        <w:rPr/>
        <w:t>chapter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our</w:t>
      </w:r>
      <w:r>
        <w:rPr>
          <w:spacing w:val="-1"/>
        </w:rPr>
        <w:t> </w:t>
      </w:r>
      <w:r>
        <w:rPr/>
        <w:t>journey</w:t>
      </w:r>
      <w:r>
        <w:rPr>
          <w:spacing w:val="-1"/>
        </w:rPr>
        <w:t> </w:t>
      </w:r>
      <w:r>
        <w:rPr/>
        <w:t>has been</w:t>
      </w:r>
      <w:r>
        <w:rPr>
          <w:spacing w:val="-3"/>
        </w:rPr>
        <w:t> </w:t>
      </w:r>
      <w:r>
        <w:rPr/>
        <w:t>a challenging</w:t>
      </w:r>
      <w:r>
        <w:rPr>
          <w:spacing w:val="-1"/>
        </w:rPr>
        <w:t> </w:t>
      </w:r>
      <w:r>
        <w:rPr/>
        <w:t>but</w:t>
      </w:r>
      <w:r>
        <w:rPr>
          <w:spacing w:val="-1"/>
        </w:rPr>
        <w:t> </w:t>
      </w:r>
      <w:r>
        <w:rPr/>
        <w:t>amazing one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I</w:t>
      </w:r>
      <w:r>
        <w:rPr>
          <w:spacing w:val="-1"/>
        </w:rPr>
        <w:t> </w:t>
      </w:r>
      <w:r>
        <w:rPr/>
        <w:t>am</w:t>
      </w:r>
      <w:r>
        <w:rPr>
          <w:spacing w:val="-3"/>
        </w:rPr>
        <w:t> </w:t>
      </w:r>
      <w:r>
        <w:rPr/>
        <w:t>so grateful</w:t>
      </w:r>
      <w:r>
        <w:rPr>
          <w:spacing w:val="-57"/>
        </w:rPr>
        <w:t> </w:t>
      </w:r>
      <w:r>
        <w:rPr/>
        <w:t>to</w:t>
      </w:r>
      <w:r>
        <w:rPr>
          <w:spacing w:val="-1"/>
        </w:rPr>
        <w:t> </w:t>
      </w:r>
      <w:r>
        <w:rPr/>
        <w:t>have you</w:t>
      </w:r>
      <w:r>
        <w:rPr>
          <w:spacing w:val="-2"/>
        </w:rPr>
        <w:t> </w:t>
      </w:r>
      <w:r>
        <w:rPr/>
        <w:t>by</w:t>
      </w:r>
      <w:r>
        <w:rPr>
          <w:spacing w:val="1"/>
        </w:rPr>
        <w:t> </w:t>
      </w:r>
      <w:r>
        <w:rPr/>
        <w:t>my side and inspiring</w:t>
      </w:r>
      <w:r>
        <w:rPr>
          <w:spacing w:val="-2"/>
        </w:rPr>
        <w:t> </w:t>
      </w:r>
      <w:r>
        <w:rPr/>
        <w:t>me daily.</w:t>
      </w:r>
    </w:p>
    <w:p>
      <w:pPr>
        <w:spacing w:after="0" w:line="480" w:lineRule="auto"/>
        <w:sectPr>
          <w:pgSz w:w="12240" w:h="15840"/>
          <w:pgMar w:header="0" w:footer="984" w:top="1360" w:bottom="1260" w:left="1720" w:right="1320"/>
        </w:sectPr>
      </w:pPr>
    </w:p>
    <w:p>
      <w:pPr>
        <w:pStyle w:val="Heading4"/>
        <w:ind w:right="132"/>
      </w:pPr>
      <w:r>
        <w:rPr/>
        <w:t>TABLE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CONTENTS</w:t>
      </w:r>
    </w:p>
    <w:p>
      <w:pPr>
        <w:spacing w:after="0"/>
        <w:sectPr>
          <w:pgSz w:w="12240" w:h="15840"/>
          <w:pgMar w:header="0" w:footer="984" w:top="1380" w:bottom="1641" w:left="1720" w:right="1320"/>
        </w:sect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1"/>
            <w:tabs>
              <w:tab w:pos="9080" w:val="right" w:leader="dot"/>
            </w:tabs>
            <w:spacing w:before="825"/>
          </w:pPr>
          <w:hyperlink w:history="true" w:anchor="_TOC_250077">
            <w:r>
              <w:rPr/>
              <w:t>ACKNOWLEDGEMENTS</w:t>
              <w:tab/>
              <w:t>iv</w:t>
            </w:r>
          </w:hyperlink>
        </w:p>
        <w:p>
          <w:pPr>
            <w:pStyle w:val="TOC1"/>
            <w:tabs>
              <w:tab w:pos="9081" w:val="right" w:leader="dot"/>
            </w:tabs>
          </w:pPr>
          <w:hyperlink w:history="true" w:anchor="_TOC_250076">
            <w:r>
              <w:rPr/>
              <w:t>LIST</w:t>
            </w:r>
            <w:r>
              <w:rPr>
                <w:spacing w:val="-2"/>
              </w:rPr>
              <w:t> </w:t>
            </w:r>
            <w:r>
              <w:rPr/>
              <w:t>OF</w:t>
            </w:r>
            <w:r>
              <w:rPr>
                <w:spacing w:val="-1"/>
              </w:rPr>
              <w:t> </w:t>
            </w:r>
            <w:r>
              <w:rPr/>
              <w:t>TABLES</w:t>
              <w:tab/>
              <w:t>xiii</w:t>
            </w:r>
          </w:hyperlink>
        </w:p>
        <w:p>
          <w:pPr>
            <w:pStyle w:val="TOC1"/>
            <w:tabs>
              <w:tab w:pos="9081" w:val="right" w:leader="dot"/>
            </w:tabs>
          </w:pPr>
          <w:hyperlink w:history="true" w:anchor="_TOC_250075">
            <w:r>
              <w:rPr/>
              <w:t>LIST</w:t>
            </w:r>
            <w:r>
              <w:rPr>
                <w:spacing w:val="-2"/>
              </w:rPr>
              <w:t> </w:t>
            </w:r>
            <w:r>
              <w:rPr/>
              <w:t>OF</w:t>
            </w:r>
            <w:r>
              <w:rPr>
                <w:spacing w:val="-1"/>
              </w:rPr>
              <w:t> </w:t>
            </w:r>
            <w:r>
              <w:rPr/>
              <w:t>FIGURES</w:t>
              <w:tab/>
              <w:t>xvii</w:t>
            </w:r>
          </w:hyperlink>
        </w:p>
        <w:p>
          <w:pPr>
            <w:pStyle w:val="TOC1"/>
            <w:tabs>
              <w:tab w:pos="9080" w:val="right" w:leader="dot"/>
            </w:tabs>
          </w:pPr>
          <w:hyperlink w:history="true" w:anchor="_TOC_250074">
            <w:r>
              <w:rPr/>
              <w:t>LIST</w:t>
            </w:r>
            <w:r>
              <w:rPr>
                <w:spacing w:val="-2"/>
              </w:rPr>
              <w:t> </w:t>
            </w:r>
            <w:r>
              <w:rPr/>
              <w:t>OF</w:t>
            </w:r>
            <w:r>
              <w:rPr>
                <w:spacing w:val="-1"/>
              </w:rPr>
              <w:t> </w:t>
            </w:r>
            <w:r>
              <w:rPr/>
              <w:t>ABBREVIATIONS</w:t>
              <w:tab/>
              <w:t>xxvii</w:t>
            </w:r>
          </w:hyperlink>
        </w:p>
        <w:p>
          <w:pPr>
            <w:pStyle w:val="TOC1"/>
            <w:tabs>
              <w:tab w:pos="9079" w:val="right" w:leader="dot"/>
            </w:tabs>
          </w:pPr>
          <w:hyperlink w:history="true" w:anchor="_TOC_250073">
            <w:r>
              <w:rPr/>
              <w:t>LIST</w:t>
            </w:r>
            <w:r>
              <w:rPr>
                <w:spacing w:val="-2"/>
              </w:rPr>
              <w:t> </w:t>
            </w:r>
            <w:r>
              <w:rPr/>
              <w:t>OF</w:t>
            </w:r>
            <w:r>
              <w:rPr>
                <w:spacing w:val="-1"/>
              </w:rPr>
              <w:t> </w:t>
            </w:r>
            <w:r>
              <w:rPr/>
              <w:t>SYMBOLS</w:t>
              <w:tab/>
              <w:t>xxx</w:t>
            </w:r>
          </w:hyperlink>
        </w:p>
        <w:p>
          <w:pPr>
            <w:pStyle w:val="TOC1"/>
            <w:tabs>
              <w:tab w:pos="9079" w:val="right" w:leader="dot"/>
            </w:tabs>
          </w:pPr>
          <w:hyperlink w:history="true" w:anchor="_TOC_250072">
            <w:r>
              <w:rPr/>
              <w:t>SUMMARY</w:t>
              <w:tab/>
              <w:t>xxxv</w:t>
            </w:r>
          </w:hyperlink>
        </w:p>
        <w:p>
          <w:pPr>
            <w:pStyle w:val="TOC1"/>
            <w:tabs>
              <w:tab w:pos="9079" w:val="right" w:leader="dot"/>
            </w:tabs>
          </w:pPr>
          <w:hyperlink w:history="true" w:anchor="_TOC_250071">
            <w:r>
              <w:rPr/>
              <w:t>CHAPTER</w:t>
            </w:r>
            <w:r>
              <w:rPr>
                <w:spacing w:val="-1"/>
              </w:rPr>
              <w:t> </w:t>
            </w:r>
            <w:r>
              <w:rPr/>
              <w:t>1: INTRODUCTION</w:t>
              <w:tab/>
              <w:t>1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1520" w:val="left" w:leader="none"/>
              <w:tab w:pos="9079" w:val="right" w:leader="dot"/>
            </w:tabs>
            <w:spacing w:line="240" w:lineRule="auto" w:before="276" w:after="0"/>
            <w:ind w:left="1520" w:right="0" w:hanging="360"/>
            <w:jc w:val="left"/>
          </w:pPr>
          <w:hyperlink w:history="true" w:anchor="_TOC_250070">
            <w:r>
              <w:rPr/>
              <w:t>Problem</w:t>
            </w:r>
            <w:r>
              <w:rPr>
                <w:spacing w:val="-2"/>
              </w:rPr>
              <w:t> </w:t>
            </w:r>
            <w:r>
              <w:rPr/>
              <w:t>Statement</w:t>
              <w:tab/>
              <w:t>1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1520" w:val="left" w:leader="none"/>
              <w:tab w:pos="9079" w:val="right" w:leader="dot"/>
            </w:tabs>
            <w:spacing w:line="240" w:lineRule="auto" w:before="276" w:after="0"/>
            <w:ind w:left="1520" w:right="0" w:hanging="360"/>
            <w:jc w:val="left"/>
          </w:pPr>
          <w:hyperlink w:history="true" w:anchor="_TOC_250069">
            <w:r>
              <w:rPr/>
              <w:t>Objectives</w:t>
            </w:r>
            <w:r>
              <w:rPr>
                <w:spacing w:val="-1"/>
              </w:rPr>
              <w:t> </w:t>
            </w:r>
            <w:r>
              <w:rPr/>
              <w:t>and Scope: Research</w:t>
            </w:r>
            <w:r>
              <w:rPr>
                <w:spacing w:val="-2"/>
              </w:rPr>
              <w:t> </w:t>
            </w:r>
            <w:r>
              <w:rPr/>
              <w:t>Questions</w:t>
              <w:tab/>
              <w:t>3</w:t>
            </w:r>
          </w:hyperlink>
        </w:p>
        <w:p>
          <w:pPr>
            <w:pStyle w:val="TOC4"/>
            <w:numPr>
              <w:ilvl w:val="2"/>
              <w:numId w:val="1"/>
            </w:numPr>
            <w:tabs>
              <w:tab w:pos="2060" w:val="left" w:leader="none"/>
              <w:tab w:pos="9079" w:val="righ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Research</w:t>
          </w:r>
          <w:r>
            <w:rPr>
              <w:spacing w:val="-1"/>
            </w:rPr>
            <w:t> </w:t>
          </w:r>
          <w:r>
            <w:rPr/>
            <w:t>goals and</w:t>
          </w:r>
          <w:r>
            <w:rPr>
              <w:spacing w:val="-2"/>
            </w:rPr>
            <w:t> </w:t>
          </w:r>
          <w:r>
            <w:rPr/>
            <w:t>objectives</w:t>
            <w:tab/>
            <w:t>4</w:t>
          </w:r>
        </w:p>
        <w:p>
          <w:pPr>
            <w:pStyle w:val="TOC4"/>
            <w:numPr>
              <w:ilvl w:val="2"/>
              <w:numId w:val="1"/>
            </w:numPr>
            <w:tabs>
              <w:tab w:pos="2060" w:val="left" w:leader="none"/>
              <w:tab w:pos="9079" w:val="righ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Research</w:t>
          </w:r>
          <w:r>
            <w:rPr>
              <w:spacing w:val="-1"/>
            </w:rPr>
            <w:t> </w:t>
          </w:r>
          <w:r>
            <w:rPr/>
            <w:t>Questions</w:t>
            <w:tab/>
            <w:t>8</w:t>
          </w:r>
        </w:p>
        <w:p>
          <w:pPr>
            <w:pStyle w:val="TOC2"/>
            <w:numPr>
              <w:ilvl w:val="1"/>
              <w:numId w:val="1"/>
            </w:numPr>
            <w:tabs>
              <w:tab w:pos="1520" w:val="left" w:leader="none"/>
              <w:tab w:pos="9079" w:val="right" w:leader="dot"/>
            </w:tabs>
            <w:spacing w:line="240" w:lineRule="auto" w:before="1" w:after="0"/>
            <w:ind w:left="1520" w:right="0" w:hanging="360"/>
            <w:jc w:val="left"/>
          </w:pPr>
          <w:hyperlink w:history="true" w:anchor="_TOC_250068">
            <w:r>
              <w:rPr/>
              <w:t>Outline</w:t>
            </w:r>
            <w:r>
              <w:rPr>
                <w:spacing w:val="-2"/>
              </w:rPr>
              <w:t> </w:t>
            </w:r>
            <w:r>
              <w:rPr/>
              <w:t>of</w:t>
            </w:r>
            <w:r>
              <w:rPr>
                <w:spacing w:val="-1"/>
              </w:rPr>
              <w:t> </w:t>
            </w:r>
            <w:r>
              <w:rPr/>
              <w:t>this dissertation</w:t>
              <w:tab/>
              <w:t>10</w:t>
            </w:r>
          </w:hyperlink>
        </w:p>
        <w:p>
          <w:pPr>
            <w:pStyle w:val="TOC1"/>
            <w:tabs>
              <w:tab w:pos="9079" w:val="right" w:leader="dot"/>
            </w:tabs>
            <w:ind w:left="439"/>
          </w:pPr>
          <w:hyperlink w:history="true" w:anchor="_TOC_250067">
            <w:r>
              <w:rPr/>
              <w:t>CHAPTER</w:t>
            </w:r>
            <w:r>
              <w:rPr>
                <w:spacing w:val="-1"/>
              </w:rPr>
              <w:t> </w:t>
            </w:r>
            <w:r>
              <w:rPr/>
              <w:t>2: BACKGROUND</w:t>
              <w:tab/>
              <w:t>12</w:t>
            </w:r>
          </w:hyperlink>
        </w:p>
        <w:p>
          <w:pPr>
            <w:pStyle w:val="TOC2"/>
            <w:numPr>
              <w:ilvl w:val="1"/>
              <w:numId w:val="2"/>
            </w:numPr>
            <w:tabs>
              <w:tab w:pos="1520" w:val="left" w:leader="none"/>
              <w:tab w:pos="9079" w:val="right" w:leader="dot"/>
            </w:tabs>
            <w:spacing w:line="240" w:lineRule="auto" w:before="276" w:after="0"/>
            <w:ind w:left="1520" w:right="0" w:hanging="361"/>
            <w:jc w:val="left"/>
          </w:pPr>
          <w:hyperlink w:history="true" w:anchor="_TOC_250066">
            <w:r>
              <w:rPr/>
              <w:t>Cross-Laminated</w:t>
            </w:r>
            <w:r>
              <w:rPr>
                <w:spacing w:val="-1"/>
              </w:rPr>
              <w:t> </w:t>
            </w:r>
            <w:r>
              <w:rPr/>
              <w:t>Timber (CLT)</w:t>
              <w:tab/>
              <w:t>12</w:t>
            </w:r>
          </w:hyperlink>
        </w:p>
        <w:p>
          <w:pPr>
            <w:pStyle w:val="TOC4"/>
            <w:numPr>
              <w:ilvl w:val="2"/>
              <w:numId w:val="2"/>
            </w:numPr>
            <w:tabs>
              <w:tab w:pos="2060" w:val="left" w:leader="none"/>
              <w:tab w:pos="9079" w:val="righ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The</w:t>
          </w:r>
          <w:r>
            <w:rPr>
              <w:spacing w:val="-1"/>
            </w:rPr>
            <w:t> </w:t>
          </w:r>
          <w:r>
            <w:rPr/>
            <w:t>introduction of</w:t>
          </w:r>
          <w:r>
            <w:rPr>
              <w:spacing w:val="-1"/>
            </w:rPr>
            <w:t> </w:t>
          </w:r>
          <w:r>
            <w:rPr/>
            <w:t>CLT: a</w:t>
          </w:r>
          <w:r>
            <w:rPr>
              <w:spacing w:val="1"/>
            </w:rPr>
            <w:t> </w:t>
          </w:r>
          <w:r>
            <w:rPr/>
            <w:t>brief</w:t>
          </w:r>
          <w:r>
            <w:rPr>
              <w:spacing w:val="-1"/>
            </w:rPr>
            <w:t> </w:t>
          </w:r>
          <w:r>
            <w:rPr/>
            <w:t>history</w:t>
            <w:tab/>
            <w:t>12</w:t>
          </w:r>
        </w:p>
        <w:p>
          <w:pPr>
            <w:pStyle w:val="TOC4"/>
            <w:numPr>
              <w:ilvl w:val="2"/>
              <w:numId w:val="2"/>
            </w:numPr>
            <w:tabs>
              <w:tab w:pos="2060" w:val="left" w:leader="none"/>
              <w:tab w:pos="9079" w:val="righ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CLT:</w:t>
          </w:r>
          <w:r>
            <w:rPr>
              <w:spacing w:val="-1"/>
            </w:rPr>
            <w:t> </w:t>
          </w:r>
          <w:r>
            <w:rPr/>
            <w:t>What is it?</w:t>
            <w:tab/>
            <w:t>14</w:t>
          </w:r>
        </w:p>
        <w:p>
          <w:pPr>
            <w:pStyle w:val="TOC4"/>
            <w:numPr>
              <w:ilvl w:val="2"/>
              <w:numId w:val="2"/>
            </w:numPr>
            <w:tabs>
              <w:tab w:pos="2060" w:val="left" w:leader="none"/>
              <w:tab w:pos="9079" w:val="righ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The</w:t>
          </w:r>
          <w:r>
            <w:rPr>
              <w:spacing w:val="-1"/>
            </w:rPr>
            <w:t> </w:t>
          </w:r>
          <w:r>
            <w:rPr/>
            <w:t>Manufacturing</w:t>
          </w:r>
          <w:r>
            <w:rPr>
              <w:spacing w:val="-2"/>
            </w:rPr>
            <w:t> </w:t>
          </w:r>
          <w:r>
            <w:rPr/>
            <w:t>Process of</w:t>
          </w:r>
          <w:r>
            <w:rPr>
              <w:spacing w:val="-1"/>
            </w:rPr>
            <w:t> </w:t>
          </w:r>
          <w:r>
            <w:rPr/>
            <w:t>CLT</w:t>
            <w:tab/>
            <w:t>24</w:t>
          </w:r>
        </w:p>
        <w:p>
          <w:pPr>
            <w:pStyle w:val="TOC4"/>
            <w:numPr>
              <w:ilvl w:val="2"/>
              <w:numId w:val="2"/>
            </w:numPr>
            <w:tabs>
              <w:tab w:pos="2062" w:val="left" w:leader="none"/>
              <w:tab w:pos="9079" w:val="right" w:leader="dot"/>
            </w:tabs>
            <w:spacing w:line="240" w:lineRule="auto" w:before="0" w:after="0"/>
            <w:ind w:left="2061" w:right="0" w:hanging="542"/>
            <w:jc w:val="left"/>
          </w:pPr>
          <w:r>
            <w:rPr/>
            <w:t>Wood</w:t>
          </w:r>
          <w:r>
            <w:rPr>
              <w:spacing w:val="-1"/>
            </w:rPr>
            <w:t> </w:t>
          </w:r>
          <w:r>
            <w:rPr/>
            <w:t>and Moisture Content</w:t>
          </w:r>
          <w:r>
            <w:rPr>
              <w:spacing w:val="-1"/>
            </w:rPr>
            <w:t> </w:t>
          </w:r>
          <w:r>
            <w:rPr/>
            <w:t>– how</w:t>
          </w:r>
          <w:r>
            <w:rPr>
              <w:spacing w:val="-1"/>
            </w:rPr>
            <w:t> </w:t>
          </w:r>
          <w:r>
            <w:rPr/>
            <w:t>it relates</w:t>
          </w:r>
          <w:r>
            <w:rPr>
              <w:spacing w:val="-2"/>
            </w:rPr>
            <w:t> </w:t>
          </w:r>
          <w:r>
            <w:rPr/>
            <w:t>to CLT</w:t>
            <w:tab/>
            <w:t>26</w:t>
          </w:r>
        </w:p>
        <w:p>
          <w:pPr>
            <w:pStyle w:val="TOC4"/>
            <w:numPr>
              <w:ilvl w:val="2"/>
              <w:numId w:val="2"/>
            </w:numPr>
            <w:tabs>
              <w:tab w:pos="2060" w:val="left" w:leader="none"/>
              <w:tab w:pos="9079" w:val="righ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Mechanical</w:t>
          </w:r>
          <w:r>
            <w:rPr>
              <w:spacing w:val="-1"/>
            </w:rPr>
            <w:t> </w:t>
          </w:r>
          <w:r>
            <w:rPr/>
            <w:t>performance of CLT</w:t>
            <w:tab/>
            <w:t>29</w:t>
          </w:r>
        </w:p>
        <w:p>
          <w:pPr>
            <w:pStyle w:val="TOC4"/>
            <w:numPr>
              <w:ilvl w:val="2"/>
              <w:numId w:val="2"/>
            </w:numPr>
            <w:tabs>
              <w:tab w:pos="2060" w:val="left" w:leader="none"/>
              <w:tab w:pos="9079" w:val="righ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Hardness</w:t>
          </w:r>
          <w:r>
            <w:rPr>
              <w:spacing w:val="-1"/>
            </w:rPr>
            <w:t> </w:t>
          </w:r>
          <w:r>
            <w:rPr/>
            <w:t>of</w:t>
          </w:r>
          <w:r>
            <w:rPr>
              <w:spacing w:val="-1"/>
            </w:rPr>
            <w:t> </w:t>
          </w:r>
          <w:r>
            <w:rPr/>
            <w:t>wood</w:t>
            <w:tab/>
            <w:t>31</w:t>
          </w:r>
        </w:p>
        <w:p>
          <w:pPr>
            <w:pStyle w:val="TOC4"/>
            <w:numPr>
              <w:ilvl w:val="2"/>
              <w:numId w:val="2"/>
            </w:numPr>
            <w:tabs>
              <w:tab w:pos="2060" w:val="left" w:leader="none"/>
              <w:tab w:pos="9079" w:val="righ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Seismic</w:t>
          </w:r>
          <w:r>
            <w:rPr>
              <w:spacing w:val="-1"/>
            </w:rPr>
            <w:t> </w:t>
          </w:r>
          <w:r>
            <w:rPr/>
            <w:t>performance</w:t>
            <w:tab/>
            <w:t>33</w:t>
          </w:r>
        </w:p>
        <w:p>
          <w:pPr>
            <w:pStyle w:val="TOC4"/>
            <w:numPr>
              <w:ilvl w:val="2"/>
              <w:numId w:val="2"/>
            </w:numPr>
            <w:tabs>
              <w:tab w:pos="2060" w:val="left" w:leader="none"/>
              <w:tab w:pos="9079" w:val="righ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Fire</w:t>
          </w:r>
          <w:r>
            <w:rPr>
              <w:spacing w:val="-1"/>
            </w:rPr>
            <w:t> </w:t>
          </w:r>
          <w:r>
            <w:rPr/>
            <w:t>Performance</w:t>
            <w:tab/>
            <w:t>33</w:t>
          </w:r>
        </w:p>
        <w:p>
          <w:pPr>
            <w:pStyle w:val="TOC4"/>
            <w:numPr>
              <w:ilvl w:val="2"/>
              <w:numId w:val="2"/>
            </w:numPr>
            <w:tabs>
              <w:tab w:pos="2060" w:val="left" w:leader="none"/>
              <w:tab w:pos="9079" w:val="righ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Connections</w:t>
          </w:r>
          <w:r>
            <w:rPr>
              <w:spacing w:val="-1"/>
            </w:rPr>
            <w:t> </w:t>
          </w:r>
          <w:r>
            <w:rPr/>
            <w:t>with CLT</w:t>
            <w:tab/>
            <w:t>36</w:t>
          </w:r>
        </w:p>
        <w:p>
          <w:pPr>
            <w:pStyle w:val="TOC2"/>
            <w:numPr>
              <w:ilvl w:val="1"/>
              <w:numId w:val="2"/>
            </w:numPr>
            <w:tabs>
              <w:tab w:pos="1520" w:val="left" w:leader="none"/>
              <w:tab w:pos="9079" w:val="right" w:leader="dot"/>
            </w:tabs>
            <w:spacing w:line="240" w:lineRule="auto" w:before="276" w:after="0"/>
            <w:ind w:left="1520" w:right="0" w:hanging="360"/>
            <w:jc w:val="left"/>
          </w:pPr>
          <w:hyperlink w:history="true" w:anchor="_TOC_250065">
            <w:r>
              <w:rPr/>
              <w:t>Advantages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-1"/>
              </w:rPr>
              <w:t> </w:t>
            </w:r>
            <w:r>
              <w:rPr/>
              <w:t>CLT as a building material</w:t>
              <w:tab/>
              <w:t>37</w:t>
            </w:r>
          </w:hyperlink>
        </w:p>
        <w:p>
          <w:pPr>
            <w:pStyle w:val="TOC2"/>
            <w:numPr>
              <w:ilvl w:val="1"/>
              <w:numId w:val="2"/>
            </w:numPr>
            <w:tabs>
              <w:tab w:pos="1520" w:val="left" w:leader="none"/>
              <w:tab w:pos="9079" w:val="right" w:leader="dot"/>
            </w:tabs>
            <w:spacing w:line="240" w:lineRule="auto" w:before="276" w:after="0"/>
            <w:ind w:left="1520" w:right="0" w:hanging="360"/>
            <w:jc w:val="left"/>
          </w:pPr>
          <w:hyperlink w:history="true" w:anchor="_TOC_250064">
            <w:r>
              <w:rPr/>
              <w:t>Challenges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-1"/>
              </w:rPr>
              <w:t> </w:t>
            </w:r>
            <w:r>
              <w:rPr/>
              <w:t>CLT</w:t>
            </w:r>
            <w:r>
              <w:rPr>
                <w:spacing w:val="-1"/>
              </w:rPr>
              <w:t> </w:t>
            </w:r>
            <w:r>
              <w:rPr/>
              <w:t>as a building</w:t>
            </w:r>
            <w:r>
              <w:rPr>
                <w:spacing w:val="-2"/>
              </w:rPr>
              <w:t> </w:t>
            </w:r>
            <w:r>
              <w:rPr/>
              <w:t>material</w:t>
              <w:tab/>
              <w:t>39</w:t>
            </w:r>
          </w:hyperlink>
        </w:p>
        <w:p>
          <w:pPr>
            <w:pStyle w:val="TOC2"/>
            <w:numPr>
              <w:ilvl w:val="1"/>
              <w:numId w:val="2"/>
            </w:numPr>
            <w:tabs>
              <w:tab w:pos="1520" w:val="left" w:leader="none"/>
              <w:tab w:pos="9079" w:val="right" w:leader="dot"/>
            </w:tabs>
            <w:spacing w:line="240" w:lineRule="auto" w:before="275" w:after="0"/>
            <w:ind w:left="1520" w:right="0" w:hanging="360"/>
            <w:jc w:val="left"/>
          </w:pPr>
          <w:hyperlink w:history="true" w:anchor="_TOC_250063">
            <w:r>
              <w:rPr/>
              <w:t>Military</w:t>
            </w:r>
            <w:r>
              <w:rPr>
                <w:spacing w:val="-3"/>
              </w:rPr>
              <w:t> </w:t>
            </w:r>
            <w:r>
              <w:rPr/>
              <w:t>temporary structures</w:t>
              <w:tab/>
              <w:t>42</w:t>
            </w:r>
          </w:hyperlink>
        </w:p>
        <w:p>
          <w:pPr>
            <w:pStyle w:val="TOC4"/>
            <w:numPr>
              <w:ilvl w:val="2"/>
              <w:numId w:val="2"/>
            </w:numPr>
            <w:tabs>
              <w:tab w:pos="2060" w:val="left" w:leader="none"/>
              <w:tab w:pos="9079" w:val="righ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The</w:t>
          </w:r>
          <w:r>
            <w:rPr>
              <w:spacing w:val="-1"/>
            </w:rPr>
            <w:t> </w:t>
          </w:r>
          <w:r>
            <w:rPr/>
            <w:t>Barracks</w:t>
          </w:r>
          <w:r>
            <w:rPr>
              <w:spacing w:val="-1"/>
            </w:rPr>
            <w:t> </w:t>
          </w:r>
          <w:r>
            <w:rPr/>
            <w:t>Hut or B-hut</w:t>
            <w:tab/>
            <w:t>44</w:t>
          </w:r>
        </w:p>
        <w:p>
          <w:pPr>
            <w:pStyle w:val="TOC4"/>
            <w:numPr>
              <w:ilvl w:val="2"/>
              <w:numId w:val="2"/>
            </w:numPr>
            <w:tabs>
              <w:tab w:pos="2060" w:val="left" w:leader="none"/>
              <w:tab w:pos="9079" w:val="righ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Logistics</w:t>
          </w:r>
          <w:r>
            <w:rPr>
              <w:spacing w:val="-1"/>
            </w:rPr>
            <w:t> </w:t>
          </w:r>
          <w:r>
            <w:rPr/>
            <w:t>and</w:t>
          </w:r>
          <w:r>
            <w:rPr>
              <w:spacing w:val="-2"/>
            </w:rPr>
            <w:t> </w:t>
          </w:r>
          <w:r>
            <w:rPr/>
            <w:t>B-hut supply chain</w:t>
            <w:tab/>
            <w:t>48</w:t>
          </w:r>
        </w:p>
        <w:p>
          <w:pPr>
            <w:pStyle w:val="TOC4"/>
            <w:numPr>
              <w:ilvl w:val="2"/>
              <w:numId w:val="2"/>
            </w:numPr>
            <w:tabs>
              <w:tab w:pos="2060" w:val="left" w:leader="none"/>
              <w:tab w:pos="9079" w:val="right" w:leader="dot"/>
            </w:tabs>
            <w:spacing w:line="240" w:lineRule="auto" w:before="0" w:after="20"/>
            <w:ind w:left="2060" w:right="0" w:hanging="540"/>
            <w:jc w:val="left"/>
          </w:pPr>
          <w:r>
            <w:rPr/>
            <w:t>Sustainability</w:t>
          </w:r>
          <w:r>
            <w:rPr>
              <w:spacing w:val="-1"/>
            </w:rPr>
            <w:t> </w:t>
          </w:r>
          <w:r>
            <w:rPr/>
            <w:t>and</w:t>
          </w:r>
          <w:r>
            <w:rPr>
              <w:spacing w:val="-2"/>
            </w:rPr>
            <w:t> </w:t>
          </w:r>
          <w:r>
            <w:rPr/>
            <w:t>the next generations</w:t>
          </w:r>
          <w:r>
            <w:rPr>
              <w:spacing w:val="-1"/>
            </w:rPr>
            <w:t> </w:t>
          </w:r>
          <w:r>
            <w:rPr/>
            <w:t>of</w:t>
          </w:r>
          <w:r>
            <w:rPr>
              <w:spacing w:val="-1"/>
            </w:rPr>
            <w:t> </w:t>
          </w:r>
          <w:r>
            <w:rPr/>
            <w:t>B-huts</w:t>
            <w:tab/>
            <w:t>50</w:t>
          </w:r>
        </w:p>
        <w:p>
          <w:pPr>
            <w:pStyle w:val="TOC4"/>
            <w:tabs>
              <w:tab w:pos="8839" w:val="left" w:leader="dot"/>
            </w:tabs>
            <w:spacing w:before="78"/>
            <w:ind w:left="1520" w:firstLine="0"/>
          </w:pPr>
          <w:r>
            <w:rPr/>
            <w:t>2.4.2</w:t>
          </w:r>
          <w:r>
            <w:rPr>
              <w:spacing w:val="-2"/>
            </w:rPr>
            <w:t> </w:t>
          </w:r>
          <w:r>
            <w:rPr/>
            <w:t>Survivability</w:t>
          </w:r>
          <w:r>
            <w:rPr>
              <w:spacing w:val="-1"/>
            </w:rPr>
            <w:t> </w:t>
          </w:r>
          <w:r>
            <w:rPr/>
            <w:t>and</w:t>
          </w:r>
          <w:r>
            <w:rPr>
              <w:spacing w:val="-1"/>
            </w:rPr>
            <w:t> </w:t>
          </w:r>
          <w:r>
            <w:rPr/>
            <w:t>force</w:t>
          </w:r>
          <w:r>
            <w:rPr>
              <w:spacing w:val="-1"/>
            </w:rPr>
            <w:t> </w:t>
          </w:r>
          <w:r>
            <w:rPr/>
            <w:t>protection</w:t>
          </w:r>
          <w:r>
            <w:rPr>
              <w:spacing w:val="-2"/>
            </w:rPr>
            <w:t> </w:t>
          </w:r>
          <w:r>
            <w:rPr/>
            <w:t>of</w:t>
          </w:r>
          <w:r>
            <w:rPr>
              <w:spacing w:val="-2"/>
            </w:rPr>
            <w:t> </w:t>
          </w:r>
          <w:r>
            <w:rPr/>
            <w:t>B-huts</w:t>
            <w:tab/>
            <w:t>51</w:t>
          </w:r>
        </w:p>
        <w:p>
          <w:pPr>
            <w:pStyle w:val="TOC2"/>
            <w:numPr>
              <w:ilvl w:val="1"/>
              <w:numId w:val="2"/>
            </w:numPr>
            <w:tabs>
              <w:tab w:pos="1520" w:val="left" w:leader="none"/>
              <w:tab w:pos="8839" w:val="left" w:leader="dot"/>
            </w:tabs>
            <w:spacing w:line="240" w:lineRule="auto" w:before="276" w:after="0"/>
            <w:ind w:left="1520" w:right="0" w:hanging="360"/>
            <w:jc w:val="left"/>
          </w:pPr>
          <w:hyperlink w:history="true" w:anchor="_TOC_250062">
            <w:r>
              <w:rPr/>
              <w:t>Other</w:t>
            </w:r>
            <w:r>
              <w:rPr>
                <w:spacing w:val="-2"/>
              </w:rPr>
              <w:t> </w:t>
            </w:r>
            <w:r>
              <w:rPr/>
              <w:t>uses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-2"/>
              </w:rPr>
              <w:t> </w:t>
            </w:r>
            <w:r>
              <w:rPr/>
              <w:t>temporary</w:t>
            </w:r>
            <w:r>
              <w:rPr>
                <w:spacing w:val="-1"/>
              </w:rPr>
              <w:t> </w:t>
            </w:r>
            <w:r>
              <w:rPr/>
              <w:t>structures</w:t>
              <w:tab/>
              <w:t>53</w:t>
            </w:r>
          </w:hyperlink>
        </w:p>
        <w:p>
          <w:pPr>
            <w:pStyle w:val="TOC2"/>
            <w:numPr>
              <w:ilvl w:val="1"/>
              <w:numId w:val="2"/>
            </w:numPr>
            <w:tabs>
              <w:tab w:pos="1520" w:val="left" w:leader="none"/>
              <w:tab w:pos="8839" w:val="left" w:leader="dot"/>
            </w:tabs>
            <w:spacing w:line="240" w:lineRule="auto" w:before="276" w:after="0"/>
            <w:ind w:left="1520" w:right="0" w:hanging="360"/>
            <w:jc w:val="left"/>
          </w:pPr>
          <w:hyperlink w:history="true" w:anchor="_TOC_250061">
            <w:r>
              <w:rPr/>
              <w:t>Force</w:t>
            </w:r>
            <w:r>
              <w:rPr>
                <w:spacing w:val="-2"/>
              </w:rPr>
              <w:t> </w:t>
            </w:r>
            <w:r>
              <w:rPr/>
              <w:t>protection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-2"/>
              </w:rPr>
              <w:t> </w:t>
            </w:r>
            <w:r>
              <w:rPr/>
              <w:t>military</w:t>
            </w:r>
            <w:r>
              <w:rPr>
                <w:spacing w:val="-2"/>
              </w:rPr>
              <w:t> </w:t>
            </w:r>
            <w:r>
              <w:rPr/>
              <w:t>facilities</w:t>
              <w:tab/>
              <w:t>54</w:t>
            </w:r>
          </w:hyperlink>
        </w:p>
        <w:p>
          <w:pPr>
            <w:pStyle w:val="TOC4"/>
            <w:numPr>
              <w:ilvl w:val="2"/>
              <w:numId w:val="2"/>
            </w:numPr>
            <w:tabs>
              <w:tab w:pos="2060" w:val="left" w:leader="none"/>
              <w:tab w:pos="8839" w:val="left" w:leader="dot"/>
            </w:tabs>
            <w:spacing w:line="240" w:lineRule="auto" w:before="0" w:after="0"/>
            <w:ind w:left="1520" w:right="119" w:firstLine="0"/>
            <w:jc w:val="left"/>
          </w:pPr>
          <w:r>
            <w:rPr/>
            <w:t>How buildings are built for force protection – Unified Facilities Criteria</w:t>
          </w:r>
          <w:r>
            <w:rPr>
              <w:spacing w:val="1"/>
            </w:rPr>
            <w:t> </w:t>
          </w:r>
          <w:r>
            <w:rPr/>
            <w:t>and</w:t>
          </w:r>
          <w:r>
            <w:rPr>
              <w:spacing w:val="-1"/>
            </w:rPr>
            <w:t> </w:t>
          </w:r>
          <w:r>
            <w:rPr/>
            <w:t>threat</w:t>
          </w:r>
          <w:r>
            <w:rPr>
              <w:spacing w:val="-1"/>
            </w:rPr>
            <w:t> </w:t>
          </w:r>
          <w:r>
            <w:rPr/>
            <w:t>levels</w:t>
            <w:tab/>
          </w:r>
          <w:r>
            <w:rPr>
              <w:spacing w:val="-3"/>
            </w:rPr>
            <w:t>55</w:t>
          </w:r>
        </w:p>
        <w:p>
          <w:pPr>
            <w:pStyle w:val="TOC4"/>
            <w:numPr>
              <w:ilvl w:val="2"/>
              <w:numId w:val="2"/>
            </w:numPr>
            <w:tabs>
              <w:tab w:pos="2060" w:val="left" w:leader="none"/>
              <w:tab w:pos="8839" w:val="lef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Ballistic</w:t>
          </w:r>
          <w:r>
            <w:rPr>
              <w:spacing w:val="-2"/>
            </w:rPr>
            <w:t> </w:t>
          </w:r>
          <w:r>
            <w:rPr/>
            <w:t>and</w:t>
          </w:r>
          <w:r>
            <w:rPr>
              <w:spacing w:val="-2"/>
            </w:rPr>
            <w:t> </w:t>
          </w:r>
          <w:r>
            <w:rPr/>
            <w:t>fragment</w:t>
          </w:r>
          <w:r>
            <w:rPr>
              <w:spacing w:val="-1"/>
            </w:rPr>
            <w:t> </w:t>
          </w:r>
          <w:r>
            <w:rPr/>
            <w:t>penetration</w:t>
            <w:tab/>
            <w:t>58</w:t>
          </w:r>
        </w:p>
        <w:p>
          <w:pPr>
            <w:pStyle w:val="TOC1"/>
            <w:tabs>
              <w:tab w:pos="8839" w:val="left" w:leader="dot"/>
            </w:tabs>
          </w:pPr>
          <w:r>
            <w:rPr/>
            <w:t>CHAPTER</w:t>
          </w:r>
          <w:r>
            <w:rPr>
              <w:spacing w:val="-4"/>
            </w:rPr>
            <w:t> </w:t>
          </w:r>
          <w:r>
            <w:rPr/>
            <w:t>3:</w:t>
          </w:r>
          <w:r>
            <w:rPr>
              <w:spacing w:val="-4"/>
            </w:rPr>
            <w:t> </w:t>
          </w:r>
          <w:r>
            <w:rPr/>
            <w:t>FUNDAMENTALS</w:t>
          </w:r>
          <w:r>
            <w:rPr>
              <w:spacing w:val="-4"/>
            </w:rPr>
            <w:t> </w:t>
          </w:r>
          <w:r>
            <w:rPr/>
            <w:t>OF</w:t>
          </w:r>
          <w:r>
            <w:rPr>
              <w:spacing w:val="-5"/>
            </w:rPr>
            <w:t> </w:t>
          </w:r>
          <w:r>
            <w:rPr/>
            <w:t>PENETRATION</w:t>
          </w:r>
          <w:r>
            <w:rPr>
              <w:spacing w:val="-5"/>
            </w:rPr>
            <w:t> </w:t>
          </w:r>
          <w:r>
            <w:rPr/>
            <w:t>MECHANICS</w:t>
            <w:tab/>
            <w:t>63</w:t>
          </w:r>
        </w:p>
        <w:p>
          <w:pPr>
            <w:pStyle w:val="TOC2"/>
            <w:numPr>
              <w:ilvl w:val="1"/>
              <w:numId w:val="3"/>
            </w:numPr>
            <w:tabs>
              <w:tab w:pos="1520" w:val="left" w:leader="none"/>
              <w:tab w:pos="8839" w:val="left" w:leader="dot"/>
            </w:tabs>
            <w:spacing w:line="240" w:lineRule="auto" w:before="276" w:after="0"/>
            <w:ind w:left="1520" w:right="0" w:hanging="360"/>
            <w:jc w:val="left"/>
          </w:pPr>
          <w:hyperlink w:history="true" w:anchor="_TOC_250060">
            <w:r>
              <w:rPr/>
              <w:t>The</w:t>
            </w:r>
            <w:r>
              <w:rPr>
                <w:spacing w:val="-2"/>
              </w:rPr>
              <w:t> </w:t>
            </w:r>
            <w:r>
              <w:rPr/>
              <w:t>importance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-2"/>
              </w:rPr>
              <w:t> </w:t>
            </w:r>
            <w:r>
              <w:rPr/>
              <w:t>studying</w:t>
            </w:r>
            <w:r>
              <w:rPr>
                <w:spacing w:val="-2"/>
              </w:rPr>
              <w:t> </w:t>
            </w:r>
            <w:r>
              <w:rPr/>
              <w:t>penetration</w:t>
            </w:r>
            <w:r>
              <w:rPr>
                <w:spacing w:val="-1"/>
              </w:rPr>
              <w:t> </w:t>
            </w:r>
            <w:r>
              <w:rPr/>
              <w:t>mechanics</w:t>
            </w:r>
            <w:r>
              <w:rPr>
                <w:spacing w:val="-1"/>
              </w:rPr>
              <w:t> </w:t>
            </w:r>
            <w:r>
              <w:rPr/>
              <w:t>and</w:t>
            </w:r>
            <w:r>
              <w:rPr>
                <w:spacing w:val="-3"/>
              </w:rPr>
              <w:t> </w:t>
            </w:r>
            <w:r>
              <w:rPr/>
              <w:t>terminal</w:t>
            </w:r>
            <w:r>
              <w:rPr>
                <w:spacing w:val="-2"/>
              </w:rPr>
              <w:t> </w:t>
            </w:r>
            <w:r>
              <w:rPr/>
              <w:t>ballistics</w:t>
              <w:tab/>
              <w:t>63</w:t>
            </w:r>
          </w:hyperlink>
        </w:p>
        <w:p>
          <w:pPr>
            <w:pStyle w:val="TOC2"/>
            <w:numPr>
              <w:ilvl w:val="1"/>
              <w:numId w:val="3"/>
            </w:numPr>
            <w:tabs>
              <w:tab w:pos="1520" w:val="left" w:leader="none"/>
              <w:tab w:pos="8839" w:val="left" w:leader="dot"/>
            </w:tabs>
            <w:spacing w:line="240" w:lineRule="auto" w:before="276" w:after="0"/>
            <w:ind w:left="1520" w:right="0" w:hanging="360"/>
            <w:jc w:val="left"/>
          </w:pPr>
          <w:hyperlink w:history="true" w:anchor="_TOC_250059">
            <w:r>
              <w:rPr/>
              <w:t>Fundamental</w:t>
            </w:r>
            <w:r>
              <w:rPr>
                <w:spacing w:val="-2"/>
              </w:rPr>
              <w:t> </w:t>
            </w:r>
            <w:r>
              <w:rPr/>
              <w:t>governing</w:t>
            </w:r>
            <w:r>
              <w:rPr>
                <w:spacing w:val="-2"/>
              </w:rPr>
              <w:t> </w:t>
            </w:r>
            <w:r>
              <w:rPr/>
              <w:t>equations</w:t>
              <w:tab/>
              <w:t>63</w:t>
            </w:r>
          </w:hyperlink>
        </w:p>
        <w:p>
          <w:pPr>
            <w:pStyle w:val="TOC2"/>
            <w:numPr>
              <w:ilvl w:val="1"/>
              <w:numId w:val="3"/>
            </w:numPr>
            <w:tabs>
              <w:tab w:pos="1520" w:val="left" w:leader="none"/>
              <w:tab w:pos="8839" w:val="left" w:leader="dot"/>
            </w:tabs>
            <w:spacing w:line="240" w:lineRule="auto" w:before="276" w:after="0"/>
            <w:ind w:left="1520" w:right="0" w:hanging="360"/>
            <w:jc w:val="left"/>
          </w:pPr>
          <w:hyperlink w:history="true" w:anchor="_TOC_250058">
            <w:r>
              <w:rPr/>
              <w:t>Early</w:t>
            </w:r>
            <w:r>
              <w:rPr>
                <w:spacing w:val="-2"/>
              </w:rPr>
              <w:t> </w:t>
            </w:r>
            <w:r>
              <w:rPr/>
              <w:t>science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-2"/>
              </w:rPr>
              <w:t> </w:t>
            </w:r>
            <w:r>
              <w:rPr/>
              <w:t>penetration</w:t>
            </w:r>
            <w:r>
              <w:rPr>
                <w:spacing w:val="-1"/>
              </w:rPr>
              <w:t> </w:t>
            </w:r>
            <w:r>
              <w:rPr/>
              <w:t>mechanics</w:t>
              <w:tab/>
              <w:t>65</w:t>
            </w:r>
          </w:hyperlink>
        </w:p>
        <w:p>
          <w:pPr>
            <w:pStyle w:val="TOC4"/>
            <w:numPr>
              <w:ilvl w:val="2"/>
              <w:numId w:val="3"/>
            </w:numPr>
            <w:tabs>
              <w:tab w:pos="2060" w:val="left" w:leader="none"/>
              <w:tab w:pos="8839" w:val="lef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Poncelet</w:t>
          </w:r>
          <w:r>
            <w:rPr>
              <w:spacing w:val="-2"/>
            </w:rPr>
            <w:t> </w:t>
          </w:r>
          <w:r>
            <w:rPr/>
            <w:t>Equation</w:t>
            <w:tab/>
            <w:t>65</w:t>
          </w:r>
        </w:p>
        <w:p>
          <w:pPr>
            <w:pStyle w:val="TOC4"/>
            <w:numPr>
              <w:ilvl w:val="2"/>
              <w:numId w:val="3"/>
            </w:numPr>
            <w:tabs>
              <w:tab w:pos="2060" w:val="left" w:leader="none"/>
              <w:tab w:pos="8839" w:val="lef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Classic</w:t>
          </w:r>
          <w:r>
            <w:rPr>
              <w:spacing w:val="-2"/>
            </w:rPr>
            <w:t> </w:t>
          </w:r>
          <w:r>
            <w:rPr/>
            <w:t>penetration</w:t>
          </w:r>
          <w:r>
            <w:rPr>
              <w:spacing w:val="-2"/>
            </w:rPr>
            <w:t> </w:t>
          </w:r>
          <w:r>
            <w:rPr/>
            <w:t>equations</w:t>
            <w:tab/>
            <w:t>67</w:t>
          </w:r>
        </w:p>
        <w:p>
          <w:pPr>
            <w:pStyle w:val="TOC4"/>
            <w:numPr>
              <w:ilvl w:val="2"/>
              <w:numId w:val="3"/>
            </w:numPr>
            <w:tabs>
              <w:tab w:pos="2060" w:val="left" w:leader="none"/>
              <w:tab w:pos="8839" w:val="lef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Shaped-charge</w:t>
          </w:r>
          <w:r>
            <w:rPr>
              <w:spacing w:val="-2"/>
            </w:rPr>
            <w:t> </w:t>
          </w:r>
          <w:r>
            <w:rPr/>
            <w:t>jet</w:t>
          </w:r>
          <w:r>
            <w:rPr>
              <w:spacing w:val="-2"/>
            </w:rPr>
            <w:t> </w:t>
          </w:r>
          <w:r>
            <w:rPr/>
            <w:t>penetration</w:t>
            <w:tab/>
            <w:t>68</w:t>
          </w:r>
        </w:p>
        <w:p>
          <w:pPr>
            <w:pStyle w:val="TOC2"/>
            <w:numPr>
              <w:ilvl w:val="1"/>
              <w:numId w:val="3"/>
            </w:numPr>
            <w:tabs>
              <w:tab w:pos="1520" w:val="left" w:leader="none"/>
              <w:tab w:pos="8839" w:val="left" w:leader="dot"/>
            </w:tabs>
            <w:spacing w:line="240" w:lineRule="auto" w:before="276" w:after="0"/>
            <w:ind w:left="1520" w:right="0" w:hanging="360"/>
            <w:jc w:val="left"/>
          </w:pPr>
          <w:hyperlink w:history="true" w:anchor="_TOC_250057">
            <w:r>
              <w:rPr/>
              <w:t>Impulsive</w:t>
            </w:r>
            <w:r>
              <w:rPr>
                <w:spacing w:val="-1"/>
              </w:rPr>
              <w:t> </w:t>
            </w:r>
            <w:r>
              <w:rPr/>
              <w:t>loading</w:t>
              <w:tab/>
              <w:t>69</w:t>
            </w:r>
          </w:hyperlink>
        </w:p>
        <w:p>
          <w:pPr>
            <w:pStyle w:val="TOC2"/>
            <w:numPr>
              <w:ilvl w:val="1"/>
              <w:numId w:val="3"/>
            </w:numPr>
            <w:tabs>
              <w:tab w:pos="1520" w:val="left" w:leader="none"/>
              <w:tab w:pos="8839" w:val="left" w:leader="dot"/>
            </w:tabs>
            <w:spacing w:line="240" w:lineRule="auto" w:before="276" w:after="0"/>
            <w:ind w:left="1520" w:right="0" w:hanging="360"/>
            <w:jc w:val="left"/>
          </w:pPr>
          <w:hyperlink w:history="true" w:anchor="_TOC_250056">
            <w:r>
              <w:rPr/>
              <w:t>Shock</w:t>
            </w:r>
            <w:r>
              <w:rPr>
                <w:spacing w:val="-1"/>
              </w:rPr>
              <w:t> </w:t>
            </w:r>
            <w:r>
              <w:rPr/>
              <w:t>Waves</w:t>
              <w:tab/>
              <w:t>70</w:t>
            </w:r>
          </w:hyperlink>
        </w:p>
        <w:p>
          <w:pPr>
            <w:pStyle w:val="TOC4"/>
            <w:numPr>
              <w:ilvl w:val="2"/>
              <w:numId w:val="3"/>
            </w:numPr>
            <w:tabs>
              <w:tab w:pos="2060" w:val="left" w:leader="none"/>
              <w:tab w:pos="8839" w:val="lef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Applying</w:t>
          </w:r>
          <w:r>
            <w:rPr>
              <w:spacing w:val="-1"/>
            </w:rPr>
            <w:t> </w:t>
          </w:r>
          <w:r>
            <w:rPr/>
            <w:t>shock wave</w:t>
          </w:r>
          <w:r>
            <w:rPr>
              <w:spacing w:val="-1"/>
            </w:rPr>
            <w:t> </w:t>
          </w:r>
          <w:r>
            <w:rPr/>
            <w:t>theory</w:t>
            <w:tab/>
            <w:t>72</w:t>
          </w:r>
        </w:p>
        <w:p>
          <w:pPr>
            <w:pStyle w:val="TOC4"/>
            <w:numPr>
              <w:ilvl w:val="2"/>
              <w:numId w:val="3"/>
            </w:numPr>
            <w:tabs>
              <w:tab w:pos="2060" w:val="left" w:leader="none"/>
              <w:tab w:pos="8839" w:val="lef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Shock</w:t>
          </w:r>
          <w:r>
            <w:rPr>
              <w:spacing w:val="-1"/>
            </w:rPr>
            <w:t> </w:t>
          </w:r>
          <w:r>
            <w:rPr/>
            <w:t>Hugoniot curve</w:t>
            <w:tab/>
            <w:t>73</w:t>
          </w:r>
        </w:p>
        <w:p>
          <w:pPr>
            <w:pStyle w:val="TOC2"/>
            <w:numPr>
              <w:ilvl w:val="1"/>
              <w:numId w:val="3"/>
            </w:numPr>
            <w:tabs>
              <w:tab w:pos="1520" w:val="left" w:leader="none"/>
              <w:tab w:pos="8839" w:val="left" w:leader="dot"/>
            </w:tabs>
            <w:spacing w:line="240" w:lineRule="auto" w:before="275" w:after="0"/>
            <w:ind w:left="1520" w:right="0" w:hanging="360"/>
            <w:jc w:val="left"/>
          </w:pPr>
          <w:hyperlink w:history="true" w:anchor="_TOC_250055">
            <w:r>
              <w:rPr/>
              <w:t>Hydrodynamic</w:t>
            </w:r>
            <w:r>
              <w:rPr>
                <w:spacing w:val="-2"/>
              </w:rPr>
              <w:t> </w:t>
            </w:r>
            <w:r>
              <w:rPr/>
              <w:t>Theory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-2"/>
              </w:rPr>
              <w:t> </w:t>
            </w:r>
            <w:r>
              <w:rPr/>
              <w:t>Penetration</w:t>
              <w:tab/>
              <w:t>75</w:t>
            </w:r>
          </w:hyperlink>
        </w:p>
        <w:p>
          <w:pPr>
            <w:pStyle w:val="TOC2"/>
            <w:numPr>
              <w:ilvl w:val="1"/>
              <w:numId w:val="3"/>
            </w:numPr>
            <w:tabs>
              <w:tab w:pos="1520" w:val="left" w:leader="none"/>
              <w:tab w:pos="8839" w:val="left" w:leader="dot"/>
            </w:tabs>
            <w:spacing w:line="240" w:lineRule="auto" w:before="276" w:after="0"/>
            <w:ind w:left="1520" w:right="0" w:hanging="360"/>
            <w:jc w:val="left"/>
          </w:pPr>
          <w:hyperlink w:history="true" w:anchor="_TOC_250054">
            <w:r>
              <w:rPr/>
              <w:t>Phases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-2"/>
              </w:rPr>
              <w:t> </w:t>
            </w:r>
            <w:r>
              <w:rPr/>
              <w:t>penetration</w:t>
              <w:tab/>
              <w:t>76</w:t>
            </w:r>
          </w:hyperlink>
        </w:p>
        <w:p>
          <w:pPr>
            <w:pStyle w:val="TOC2"/>
            <w:numPr>
              <w:ilvl w:val="1"/>
              <w:numId w:val="3"/>
            </w:numPr>
            <w:tabs>
              <w:tab w:pos="1520" w:val="left" w:leader="none"/>
              <w:tab w:pos="8839" w:val="left" w:leader="dot"/>
            </w:tabs>
            <w:spacing w:line="240" w:lineRule="auto" w:before="276" w:after="0"/>
            <w:ind w:left="1520" w:right="0" w:hanging="360"/>
            <w:jc w:val="left"/>
          </w:pPr>
          <w:hyperlink w:history="true" w:anchor="_TOC_250053">
            <w:r>
              <w:rPr/>
              <w:t>Ballistics</w:t>
              <w:tab/>
              <w:t>79</w:t>
            </w:r>
          </w:hyperlink>
        </w:p>
        <w:p>
          <w:pPr>
            <w:pStyle w:val="TOC4"/>
            <w:numPr>
              <w:ilvl w:val="2"/>
              <w:numId w:val="3"/>
            </w:numPr>
            <w:tabs>
              <w:tab w:pos="2060" w:val="left" w:leader="none"/>
              <w:tab w:pos="8839" w:val="lef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Breakdown</w:t>
          </w:r>
          <w:r>
            <w:rPr>
              <w:spacing w:val="-1"/>
            </w:rPr>
            <w:t> </w:t>
          </w:r>
          <w:r>
            <w:rPr/>
            <w:t>of</w:t>
          </w:r>
          <w:r>
            <w:rPr>
              <w:spacing w:val="-2"/>
            </w:rPr>
            <w:t> </w:t>
          </w:r>
          <w:r>
            <w:rPr/>
            <w:t>the</w:t>
          </w:r>
          <w:r>
            <w:rPr>
              <w:spacing w:val="-1"/>
            </w:rPr>
            <w:t> </w:t>
          </w:r>
          <w:r>
            <w:rPr/>
            <w:t>science of</w:t>
          </w:r>
          <w:r>
            <w:rPr>
              <w:spacing w:val="-2"/>
            </w:rPr>
            <w:t> </w:t>
          </w:r>
          <w:r>
            <w:rPr/>
            <w:t>ballistics</w:t>
            <w:tab/>
            <w:t>79</w:t>
          </w:r>
        </w:p>
        <w:p>
          <w:pPr>
            <w:pStyle w:val="TOC4"/>
            <w:numPr>
              <w:ilvl w:val="2"/>
              <w:numId w:val="3"/>
            </w:numPr>
            <w:tabs>
              <w:tab w:pos="2060" w:val="left" w:leader="none"/>
              <w:tab w:pos="8839" w:val="lef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Basic</w:t>
          </w:r>
          <w:r>
            <w:rPr>
              <w:spacing w:val="-2"/>
            </w:rPr>
            <w:t> </w:t>
          </w:r>
          <w:r>
            <w:rPr/>
            <w:t>ballistic</w:t>
          </w:r>
          <w:r>
            <w:rPr>
              <w:spacing w:val="-2"/>
            </w:rPr>
            <w:t> </w:t>
          </w:r>
          <w:r>
            <w:rPr/>
            <w:t>terms</w:t>
          </w:r>
          <w:r>
            <w:rPr>
              <w:spacing w:val="-1"/>
            </w:rPr>
            <w:t> </w:t>
          </w:r>
          <w:r>
            <w:rPr/>
            <w:t>defined</w:t>
            <w:tab/>
            <w:t>80</w:t>
          </w:r>
        </w:p>
        <w:p>
          <w:pPr>
            <w:pStyle w:val="TOC4"/>
            <w:numPr>
              <w:ilvl w:val="2"/>
              <w:numId w:val="3"/>
            </w:numPr>
            <w:tabs>
              <w:tab w:pos="2060" w:val="left" w:leader="none"/>
              <w:tab w:pos="8839" w:val="lef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Regimes</w:t>
          </w:r>
          <w:r>
            <w:rPr>
              <w:spacing w:val="-1"/>
            </w:rPr>
            <w:t> </w:t>
          </w:r>
          <w:r>
            <w:rPr/>
            <w:t>of</w:t>
          </w:r>
          <w:r>
            <w:rPr>
              <w:spacing w:val="-2"/>
            </w:rPr>
            <w:t> </w:t>
          </w:r>
          <w:r>
            <w:rPr/>
            <w:t>velocity</w:t>
            <w:tab/>
            <w:t>81</w:t>
          </w:r>
        </w:p>
        <w:p>
          <w:pPr>
            <w:pStyle w:val="TOC4"/>
            <w:numPr>
              <w:ilvl w:val="2"/>
              <w:numId w:val="3"/>
            </w:numPr>
            <w:tabs>
              <w:tab w:pos="2060" w:val="left" w:leader="none"/>
              <w:tab w:pos="8839" w:val="lef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Hypervelocity</w:t>
          </w:r>
          <w:r>
            <w:rPr>
              <w:spacing w:val="-2"/>
            </w:rPr>
            <w:t> </w:t>
          </w:r>
          <w:r>
            <w:rPr/>
            <w:t>impact</w:t>
            <w:tab/>
            <w:t>83</w:t>
          </w:r>
        </w:p>
        <w:p>
          <w:pPr>
            <w:pStyle w:val="TOC4"/>
            <w:numPr>
              <w:ilvl w:val="2"/>
              <w:numId w:val="3"/>
            </w:numPr>
            <w:tabs>
              <w:tab w:pos="2060" w:val="left" w:leader="none"/>
              <w:tab w:pos="8839" w:val="lef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Dynamic</w:t>
          </w:r>
          <w:r>
            <w:rPr>
              <w:spacing w:val="-2"/>
            </w:rPr>
            <w:t> </w:t>
          </w:r>
          <w:r>
            <w:rPr/>
            <w:t>Properties</w:t>
            <w:tab/>
            <w:t>83</w:t>
          </w:r>
        </w:p>
        <w:p>
          <w:pPr>
            <w:pStyle w:val="TOC2"/>
            <w:numPr>
              <w:ilvl w:val="1"/>
              <w:numId w:val="3"/>
            </w:numPr>
            <w:tabs>
              <w:tab w:pos="1520" w:val="left" w:leader="none"/>
              <w:tab w:pos="8839" w:val="left" w:leader="dot"/>
            </w:tabs>
            <w:spacing w:line="240" w:lineRule="auto" w:before="276" w:after="0"/>
            <w:ind w:left="1520" w:right="0" w:hanging="360"/>
            <w:jc w:val="left"/>
          </w:pPr>
          <w:hyperlink w:history="true" w:anchor="_TOC_250052">
            <w:r>
              <w:rPr/>
              <w:t>Process</w:t>
            </w:r>
            <w:r>
              <w:rPr>
                <w:spacing w:val="-2"/>
              </w:rPr>
              <w:t> </w:t>
            </w:r>
            <w:r>
              <w:rPr/>
              <w:t>of</w:t>
            </w:r>
            <w:r>
              <w:rPr>
                <w:spacing w:val="-2"/>
              </w:rPr>
              <w:t> </w:t>
            </w:r>
            <w:r>
              <w:rPr/>
              <w:t>penetration</w:t>
              <w:tab/>
              <w:t>84</w:t>
            </w:r>
          </w:hyperlink>
        </w:p>
        <w:p>
          <w:pPr>
            <w:pStyle w:val="TOC2"/>
            <w:numPr>
              <w:ilvl w:val="1"/>
              <w:numId w:val="3"/>
            </w:numPr>
            <w:tabs>
              <w:tab w:pos="1640" w:val="left" w:leader="none"/>
              <w:tab w:pos="8839" w:val="left" w:leader="dot"/>
            </w:tabs>
            <w:spacing w:line="240" w:lineRule="auto" w:before="276" w:after="0"/>
            <w:ind w:left="1640" w:right="0" w:hanging="480"/>
            <w:jc w:val="left"/>
          </w:pPr>
          <w:hyperlink w:history="true" w:anchor="_TOC_250051">
            <w:r>
              <w:rPr/>
              <w:t>Response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-1"/>
              </w:rPr>
              <w:t> </w:t>
            </w:r>
            <w:r>
              <w:rPr/>
              <w:t>materials</w:t>
              <w:tab/>
              <w:t>85</w:t>
            </w:r>
          </w:hyperlink>
        </w:p>
        <w:p>
          <w:pPr>
            <w:pStyle w:val="TOC2"/>
            <w:numPr>
              <w:ilvl w:val="1"/>
              <w:numId w:val="3"/>
            </w:numPr>
            <w:tabs>
              <w:tab w:pos="1640" w:val="left" w:leader="none"/>
              <w:tab w:pos="8839" w:val="left" w:leader="dot"/>
            </w:tabs>
            <w:spacing w:line="240" w:lineRule="auto" w:before="276" w:after="0"/>
            <w:ind w:left="1640" w:right="0" w:hanging="480"/>
            <w:jc w:val="left"/>
          </w:pPr>
          <w:hyperlink w:history="true" w:anchor="_TOC_250050">
            <w:r>
              <w:rPr/>
              <w:t>Target</w:t>
            </w:r>
            <w:r>
              <w:rPr>
                <w:spacing w:val="-3"/>
              </w:rPr>
              <w:t> </w:t>
            </w:r>
            <w:r>
              <w:rPr/>
              <w:t>classification</w:t>
              <w:tab/>
              <w:t>86</w:t>
            </w:r>
          </w:hyperlink>
        </w:p>
        <w:p>
          <w:pPr>
            <w:pStyle w:val="TOC4"/>
            <w:numPr>
              <w:ilvl w:val="2"/>
              <w:numId w:val="3"/>
            </w:numPr>
            <w:tabs>
              <w:tab w:pos="2180" w:val="left" w:leader="none"/>
              <w:tab w:pos="8839" w:val="left" w:leader="dot"/>
            </w:tabs>
            <w:spacing w:line="240" w:lineRule="auto" w:before="0" w:after="0"/>
            <w:ind w:left="2180" w:right="0" w:hanging="660"/>
            <w:jc w:val="left"/>
          </w:pPr>
          <w:r>
            <w:rPr/>
            <w:t>Target</w:t>
          </w:r>
          <w:r>
            <w:rPr>
              <w:spacing w:val="-2"/>
            </w:rPr>
            <w:t> </w:t>
          </w:r>
          <w:r>
            <w:rPr/>
            <w:t>modeling</w:t>
          </w:r>
          <w:r>
            <w:rPr>
              <w:spacing w:val="-1"/>
            </w:rPr>
            <w:t> </w:t>
          </w:r>
          <w:r>
            <w:rPr/>
            <w:t>assumptions</w:t>
            <w:tab/>
            <w:t>87</w:t>
          </w:r>
        </w:p>
        <w:p>
          <w:pPr>
            <w:pStyle w:val="TOC2"/>
            <w:numPr>
              <w:ilvl w:val="1"/>
              <w:numId w:val="3"/>
            </w:numPr>
            <w:tabs>
              <w:tab w:pos="1640" w:val="left" w:leader="none"/>
              <w:tab w:pos="8839" w:val="left" w:leader="dot"/>
            </w:tabs>
            <w:spacing w:line="240" w:lineRule="auto" w:before="276" w:after="240"/>
            <w:ind w:left="1640" w:right="0" w:hanging="480"/>
            <w:jc w:val="left"/>
          </w:pPr>
          <w:hyperlink w:history="true" w:anchor="_TOC_250049">
            <w:r>
              <w:rPr/>
              <w:t>Failure</w:t>
            </w:r>
            <w:r>
              <w:rPr>
                <w:spacing w:val="-3"/>
              </w:rPr>
              <w:t> </w:t>
            </w:r>
            <w:r>
              <w:rPr/>
              <w:t>Mechanisms</w:t>
              <w:tab/>
              <w:t>88</w:t>
            </w:r>
          </w:hyperlink>
        </w:p>
        <w:p>
          <w:pPr>
            <w:pStyle w:val="TOC2"/>
            <w:numPr>
              <w:ilvl w:val="1"/>
              <w:numId w:val="3"/>
            </w:numPr>
            <w:tabs>
              <w:tab w:pos="1640" w:val="left" w:leader="none"/>
              <w:tab w:pos="8839" w:val="left" w:leader="dot"/>
            </w:tabs>
            <w:spacing w:line="240" w:lineRule="auto" w:before="78" w:after="0"/>
            <w:ind w:left="1640" w:right="0" w:hanging="480"/>
            <w:jc w:val="left"/>
          </w:pPr>
          <w:hyperlink w:history="true" w:anchor="_TOC_250048">
            <w:r>
              <w:rPr/>
              <w:t>Projectile</w:t>
            </w:r>
            <w:r>
              <w:rPr>
                <w:spacing w:val="-2"/>
              </w:rPr>
              <w:t> </w:t>
            </w:r>
            <w:r>
              <w:rPr/>
              <w:t>characteristics</w:t>
            </w:r>
            <w:r>
              <w:rPr>
                <w:spacing w:val="-3"/>
              </w:rPr>
              <w:t> </w:t>
            </w:r>
            <w:r>
              <w:rPr/>
              <w:t>and</w:t>
            </w:r>
            <w:r>
              <w:rPr>
                <w:spacing w:val="-2"/>
              </w:rPr>
              <w:t> </w:t>
            </w:r>
            <w:r>
              <w:rPr/>
              <w:t>influence</w:t>
              <w:tab/>
              <w:t>92</w:t>
            </w:r>
          </w:hyperlink>
        </w:p>
        <w:p>
          <w:pPr>
            <w:pStyle w:val="TOC4"/>
            <w:numPr>
              <w:ilvl w:val="2"/>
              <w:numId w:val="3"/>
            </w:numPr>
            <w:tabs>
              <w:tab w:pos="2180" w:val="left" w:leader="none"/>
              <w:tab w:pos="8839" w:val="left" w:leader="dot"/>
            </w:tabs>
            <w:spacing w:line="240" w:lineRule="auto" w:before="0" w:after="0"/>
            <w:ind w:left="2180" w:right="0" w:hanging="660"/>
            <w:jc w:val="left"/>
          </w:pPr>
          <w:r>
            <w:rPr/>
            <w:t>Nose</w:t>
          </w:r>
          <w:r>
            <w:rPr>
              <w:spacing w:val="-1"/>
            </w:rPr>
            <w:t> </w:t>
          </w:r>
          <w:r>
            <w:rPr/>
            <w:t>shape</w:t>
            <w:tab/>
            <w:t>93</w:t>
          </w:r>
        </w:p>
        <w:p>
          <w:pPr>
            <w:pStyle w:val="TOC4"/>
            <w:numPr>
              <w:ilvl w:val="2"/>
              <w:numId w:val="3"/>
            </w:numPr>
            <w:tabs>
              <w:tab w:pos="2180" w:val="left" w:leader="none"/>
              <w:tab w:pos="8839" w:val="left" w:leader="dot"/>
            </w:tabs>
            <w:spacing w:line="240" w:lineRule="auto" w:before="0" w:after="0"/>
            <w:ind w:left="2180" w:right="0" w:hanging="660"/>
            <w:jc w:val="left"/>
          </w:pPr>
          <w:r>
            <w:rPr/>
            <w:t>Obliquity</w:t>
          </w:r>
          <w:r>
            <w:rPr>
              <w:spacing w:val="-1"/>
            </w:rPr>
            <w:t> </w:t>
          </w:r>
          <w:r>
            <w:rPr/>
            <w:t>of</w:t>
          </w:r>
          <w:r>
            <w:rPr>
              <w:spacing w:val="-2"/>
            </w:rPr>
            <w:t> </w:t>
          </w:r>
          <w:r>
            <w:rPr/>
            <w:t>projectile</w:t>
            <w:tab/>
            <w:t>94</w:t>
          </w:r>
        </w:p>
        <w:p>
          <w:pPr>
            <w:pStyle w:val="TOC4"/>
            <w:numPr>
              <w:ilvl w:val="2"/>
              <w:numId w:val="3"/>
            </w:numPr>
            <w:tabs>
              <w:tab w:pos="2180" w:val="left" w:leader="none"/>
              <w:tab w:pos="8839" w:val="left" w:leader="dot"/>
            </w:tabs>
            <w:spacing w:line="240" w:lineRule="auto" w:before="0" w:after="0"/>
            <w:ind w:left="2180" w:right="0" w:hanging="660"/>
            <w:jc w:val="left"/>
          </w:pPr>
          <w:r>
            <w:rPr/>
            <w:t>Rigid</w:t>
          </w:r>
          <w:r>
            <w:rPr>
              <w:spacing w:val="-3"/>
            </w:rPr>
            <w:t> </w:t>
          </w:r>
          <w:r>
            <w:rPr/>
            <w:t>sphere</w:t>
          </w:r>
          <w:r>
            <w:rPr>
              <w:spacing w:val="-1"/>
            </w:rPr>
            <w:t> </w:t>
          </w:r>
          <w:r>
            <w:rPr/>
            <w:t>impact</w:t>
            <w:tab/>
            <w:t>95</w:t>
          </w:r>
        </w:p>
        <w:p>
          <w:pPr>
            <w:pStyle w:val="TOC4"/>
            <w:numPr>
              <w:ilvl w:val="2"/>
              <w:numId w:val="3"/>
            </w:numPr>
            <w:tabs>
              <w:tab w:pos="2180" w:val="left" w:leader="none"/>
              <w:tab w:pos="8839" w:val="left" w:leader="dot"/>
            </w:tabs>
            <w:spacing w:line="240" w:lineRule="auto" w:before="0" w:after="0"/>
            <w:ind w:left="2180" w:right="0" w:hanging="660"/>
            <w:jc w:val="left"/>
          </w:pPr>
          <w:r>
            <w:rPr/>
            <w:t>Cavity</w:t>
          </w:r>
          <w:r>
            <w:rPr>
              <w:spacing w:val="-1"/>
            </w:rPr>
            <w:t> </w:t>
          </w:r>
          <w:r>
            <w:rPr/>
            <w:t>Expansion</w:t>
            <w:tab/>
            <w:t>95</w:t>
          </w:r>
        </w:p>
        <w:p>
          <w:pPr>
            <w:pStyle w:val="TOC2"/>
            <w:numPr>
              <w:ilvl w:val="1"/>
              <w:numId w:val="3"/>
            </w:numPr>
            <w:tabs>
              <w:tab w:pos="1640" w:val="left" w:leader="none"/>
              <w:tab w:pos="8839" w:val="left" w:leader="dot"/>
            </w:tabs>
            <w:spacing w:line="240" w:lineRule="auto" w:before="276" w:after="0"/>
            <w:ind w:left="1640" w:right="0" w:hanging="480"/>
            <w:jc w:val="left"/>
          </w:pPr>
          <w:hyperlink w:history="true" w:anchor="_TOC_250047">
            <w:r>
              <w:rPr/>
              <w:t>Approaches</w:t>
            </w:r>
            <w:r>
              <w:rPr>
                <w:spacing w:val="-2"/>
              </w:rPr>
              <w:t> </w:t>
            </w:r>
            <w:r>
              <w:rPr/>
              <w:t>to</w:t>
            </w:r>
            <w:r>
              <w:rPr>
                <w:spacing w:val="-1"/>
              </w:rPr>
              <w:t> </w:t>
            </w:r>
            <w:r>
              <w:rPr/>
              <w:t>understanding</w:t>
            </w:r>
            <w:r>
              <w:rPr>
                <w:spacing w:val="-2"/>
              </w:rPr>
              <w:t> </w:t>
            </w:r>
            <w:r>
              <w:rPr/>
              <w:t>ballistic</w:t>
            </w:r>
            <w:r>
              <w:rPr>
                <w:spacing w:val="-1"/>
              </w:rPr>
              <w:t> </w:t>
            </w:r>
            <w:r>
              <w:rPr/>
              <w:t>impacts</w:t>
              <w:tab/>
              <w:t>97</w:t>
            </w:r>
          </w:hyperlink>
        </w:p>
        <w:p>
          <w:pPr>
            <w:pStyle w:val="TOC4"/>
            <w:numPr>
              <w:ilvl w:val="2"/>
              <w:numId w:val="3"/>
            </w:numPr>
            <w:tabs>
              <w:tab w:pos="2180" w:val="left" w:leader="none"/>
              <w:tab w:pos="8839" w:val="left" w:leader="dot"/>
            </w:tabs>
            <w:spacing w:line="240" w:lineRule="auto" w:before="0" w:after="0"/>
            <w:ind w:left="2180" w:right="0" w:hanging="660"/>
            <w:jc w:val="left"/>
          </w:pPr>
          <w:r>
            <w:rPr/>
            <w:t>Empirical</w:t>
          </w:r>
          <w:r>
            <w:rPr>
              <w:spacing w:val="-2"/>
            </w:rPr>
            <w:t> </w:t>
          </w:r>
          <w:r>
            <w:rPr/>
            <w:t>approaches</w:t>
          </w:r>
          <w:r>
            <w:rPr>
              <w:spacing w:val="-2"/>
            </w:rPr>
            <w:t> </w:t>
          </w:r>
          <w:r>
            <w:rPr/>
            <w:t>to</w:t>
          </w:r>
          <w:r>
            <w:rPr>
              <w:spacing w:val="-2"/>
            </w:rPr>
            <w:t> </w:t>
          </w:r>
          <w:r>
            <w:rPr/>
            <w:t>studying</w:t>
          </w:r>
          <w:r>
            <w:rPr>
              <w:spacing w:val="-2"/>
            </w:rPr>
            <w:t> </w:t>
          </w:r>
          <w:r>
            <w:rPr/>
            <w:t>impact</w:t>
          </w:r>
          <w:r>
            <w:rPr>
              <w:spacing w:val="-1"/>
            </w:rPr>
            <w:t> </w:t>
          </w:r>
          <w:r>
            <w:rPr/>
            <w:t>dynamics</w:t>
            <w:tab/>
            <w:t>97</w:t>
          </w:r>
        </w:p>
        <w:p>
          <w:pPr>
            <w:pStyle w:val="TOC4"/>
            <w:numPr>
              <w:ilvl w:val="2"/>
              <w:numId w:val="3"/>
            </w:numPr>
            <w:tabs>
              <w:tab w:pos="2180" w:val="left" w:leader="none"/>
              <w:tab w:pos="8839" w:val="left" w:leader="dot"/>
            </w:tabs>
            <w:spacing w:line="240" w:lineRule="auto" w:before="0" w:after="0"/>
            <w:ind w:left="2180" w:right="0" w:hanging="660"/>
            <w:jc w:val="left"/>
          </w:pPr>
          <w:r>
            <w:rPr/>
            <w:t>Analytical</w:t>
          </w:r>
          <w:r>
            <w:rPr>
              <w:spacing w:val="-2"/>
            </w:rPr>
            <w:t> </w:t>
          </w:r>
          <w:r>
            <w:rPr/>
            <w:t>approaches</w:t>
          </w:r>
          <w:r>
            <w:rPr>
              <w:spacing w:val="-2"/>
            </w:rPr>
            <w:t> </w:t>
          </w:r>
          <w:r>
            <w:rPr/>
            <w:t>to</w:t>
          </w:r>
          <w:r>
            <w:rPr>
              <w:spacing w:val="-1"/>
            </w:rPr>
            <w:t> </w:t>
          </w:r>
          <w:r>
            <w:rPr/>
            <w:t>studying</w:t>
          </w:r>
          <w:r>
            <w:rPr>
              <w:spacing w:val="-2"/>
            </w:rPr>
            <w:t> </w:t>
          </w:r>
          <w:r>
            <w:rPr/>
            <w:t>impact</w:t>
          </w:r>
          <w:r>
            <w:rPr>
              <w:spacing w:val="-1"/>
            </w:rPr>
            <w:t> </w:t>
          </w:r>
          <w:r>
            <w:rPr/>
            <w:t>dynamics</w:t>
            <w:tab/>
            <w:t>99</w:t>
          </w:r>
        </w:p>
        <w:p>
          <w:pPr>
            <w:pStyle w:val="TOC4"/>
            <w:numPr>
              <w:ilvl w:val="2"/>
              <w:numId w:val="3"/>
            </w:numPr>
            <w:tabs>
              <w:tab w:pos="2180" w:val="left" w:leader="none"/>
              <w:tab w:pos="8719" w:val="left" w:leader="dot"/>
            </w:tabs>
            <w:spacing w:line="240" w:lineRule="auto" w:before="0" w:after="0"/>
            <w:ind w:left="2180" w:right="0" w:hanging="660"/>
            <w:jc w:val="left"/>
          </w:pPr>
          <w:r>
            <w:rPr/>
            <w:t>Numerical</w:t>
          </w:r>
          <w:r>
            <w:rPr>
              <w:spacing w:val="-2"/>
            </w:rPr>
            <w:t> </w:t>
          </w:r>
          <w:r>
            <w:rPr/>
            <w:t>approaches</w:t>
          </w:r>
          <w:r>
            <w:rPr>
              <w:spacing w:val="-2"/>
            </w:rPr>
            <w:t> </w:t>
          </w:r>
          <w:r>
            <w:rPr/>
            <w:t>to</w:t>
          </w:r>
          <w:r>
            <w:rPr>
              <w:spacing w:val="-2"/>
            </w:rPr>
            <w:t> </w:t>
          </w:r>
          <w:r>
            <w:rPr/>
            <w:t>studying</w:t>
          </w:r>
          <w:r>
            <w:rPr>
              <w:spacing w:val="-2"/>
            </w:rPr>
            <w:t> </w:t>
          </w:r>
          <w:r>
            <w:rPr/>
            <w:t>impact</w:t>
          </w:r>
          <w:r>
            <w:rPr>
              <w:spacing w:val="-2"/>
            </w:rPr>
            <w:t> </w:t>
          </w:r>
          <w:r>
            <w:rPr/>
            <w:t>dynamics</w:t>
            <w:tab/>
            <w:t>101</w:t>
          </w:r>
        </w:p>
        <w:p>
          <w:pPr>
            <w:pStyle w:val="TOC2"/>
            <w:numPr>
              <w:ilvl w:val="1"/>
              <w:numId w:val="3"/>
            </w:numPr>
            <w:tabs>
              <w:tab w:pos="1640" w:val="left" w:leader="none"/>
              <w:tab w:pos="8719" w:val="left" w:leader="dot"/>
            </w:tabs>
            <w:spacing w:line="240" w:lineRule="auto" w:before="276" w:after="0"/>
            <w:ind w:left="1640" w:right="0" w:hanging="480"/>
            <w:jc w:val="left"/>
          </w:pPr>
          <w:hyperlink w:history="true" w:anchor="_TOC_250046">
            <w:r>
              <w:rPr/>
              <w:t>Summary</w:t>
              <w:tab/>
              <w:t>101</w:t>
            </w:r>
          </w:hyperlink>
        </w:p>
        <w:p>
          <w:pPr>
            <w:pStyle w:val="TOC1"/>
            <w:tabs>
              <w:tab w:pos="8719" w:val="left" w:leader="dot"/>
            </w:tabs>
            <w:ind w:right="119"/>
          </w:pPr>
          <w:r>
            <w:rPr/>
            <w:t>CHAPTER 4: WOOD PROPERTIES AND THEIR LIKELY ROLES IN BALLISTIC</w:t>
          </w:r>
          <w:r>
            <w:rPr>
              <w:spacing w:val="1"/>
            </w:rPr>
            <w:t> </w:t>
          </w:r>
          <w:r>
            <w:rPr/>
            <w:t>PENETRATION</w:t>
          </w:r>
          <w:r>
            <w:rPr>
              <w:spacing w:val="-5"/>
            </w:rPr>
            <w:t> </w:t>
          </w:r>
          <w:r>
            <w:rPr/>
            <w:t>AND</w:t>
          </w:r>
          <w:r>
            <w:rPr>
              <w:spacing w:val="-4"/>
            </w:rPr>
            <w:t> </w:t>
          </w:r>
          <w:r>
            <w:rPr/>
            <w:t>BLAST</w:t>
          </w:r>
          <w:r>
            <w:rPr>
              <w:spacing w:val="-4"/>
            </w:rPr>
            <w:t> </w:t>
          </w:r>
          <w:r>
            <w:rPr/>
            <w:t>PERFORMANCE</w:t>
            <w:tab/>
          </w:r>
          <w:r>
            <w:rPr>
              <w:spacing w:val="-2"/>
            </w:rPr>
            <w:t>103</w:t>
          </w:r>
        </w:p>
        <w:p>
          <w:pPr>
            <w:pStyle w:val="TOC2"/>
            <w:numPr>
              <w:ilvl w:val="1"/>
              <w:numId w:val="4"/>
            </w:numPr>
            <w:tabs>
              <w:tab w:pos="1520" w:val="left" w:leader="none"/>
              <w:tab w:pos="8719" w:val="left" w:leader="dot"/>
            </w:tabs>
            <w:spacing w:line="240" w:lineRule="auto" w:before="276" w:after="0"/>
            <w:ind w:left="1520" w:right="0" w:hanging="360"/>
            <w:jc w:val="left"/>
          </w:pPr>
          <w:hyperlink w:history="true" w:anchor="_TOC_250045">
            <w:r>
              <w:rPr/>
              <w:t>Background</w:t>
            </w:r>
            <w:r>
              <w:rPr>
                <w:spacing w:val="-1"/>
              </w:rPr>
              <w:t> </w:t>
            </w:r>
            <w:r>
              <w:rPr/>
              <w:t>on</w:t>
            </w:r>
            <w:r>
              <w:rPr>
                <w:spacing w:val="-1"/>
              </w:rPr>
              <w:t> </w:t>
            </w:r>
            <w:r>
              <w:rPr/>
              <w:t>wood properties</w:t>
              <w:tab/>
              <w:t>103</w:t>
            </w:r>
          </w:hyperlink>
        </w:p>
        <w:p>
          <w:pPr>
            <w:pStyle w:val="TOC2"/>
            <w:numPr>
              <w:ilvl w:val="1"/>
              <w:numId w:val="4"/>
            </w:numPr>
            <w:tabs>
              <w:tab w:pos="1520" w:val="left" w:leader="none"/>
              <w:tab w:pos="8719" w:val="left" w:leader="dot"/>
            </w:tabs>
            <w:spacing w:line="240" w:lineRule="auto" w:before="276" w:after="0"/>
            <w:ind w:left="1520" w:right="0" w:hanging="360"/>
            <w:jc w:val="left"/>
          </w:pPr>
          <w:hyperlink w:history="true" w:anchor="_TOC_250044">
            <w:r>
              <w:rPr/>
              <w:t>Historic</w:t>
            </w:r>
            <w:r>
              <w:rPr>
                <w:spacing w:val="-2"/>
              </w:rPr>
              <w:t> </w:t>
            </w:r>
            <w:r>
              <w:rPr/>
              <w:t>use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-2"/>
              </w:rPr>
              <w:t> </w:t>
            </w:r>
            <w:r>
              <w:rPr/>
              <w:t>wood against</w:t>
            </w:r>
            <w:r>
              <w:rPr>
                <w:spacing w:val="-1"/>
              </w:rPr>
              <w:t> </w:t>
            </w:r>
            <w:r>
              <w:rPr/>
              <w:t>impact</w:t>
            </w:r>
            <w:r>
              <w:rPr>
                <w:spacing w:val="-1"/>
              </w:rPr>
              <w:t> </w:t>
            </w:r>
            <w:r>
              <w:rPr/>
              <w:t>threats</w:t>
              <w:tab/>
              <w:t>107</w:t>
            </w:r>
          </w:hyperlink>
        </w:p>
        <w:p>
          <w:pPr>
            <w:pStyle w:val="TOC2"/>
            <w:numPr>
              <w:ilvl w:val="1"/>
              <w:numId w:val="4"/>
            </w:numPr>
            <w:tabs>
              <w:tab w:pos="1520" w:val="left" w:leader="none"/>
              <w:tab w:pos="8719" w:val="left" w:leader="dot"/>
            </w:tabs>
            <w:spacing w:line="240" w:lineRule="auto" w:before="276" w:after="0"/>
            <w:ind w:left="1520" w:right="0" w:hanging="360"/>
            <w:jc w:val="left"/>
          </w:pPr>
          <w:hyperlink w:history="true" w:anchor="_TOC_250043">
            <w:r>
              <w:rPr/>
              <w:t>Southern</w:t>
            </w:r>
            <w:r>
              <w:rPr>
                <w:spacing w:val="-4"/>
              </w:rPr>
              <w:t> </w:t>
            </w:r>
            <w:r>
              <w:rPr/>
              <w:t>Yellow</w:t>
            </w:r>
            <w:r>
              <w:rPr>
                <w:spacing w:val="-3"/>
              </w:rPr>
              <w:t> </w:t>
            </w:r>
            <w:r>
              <w:rPr/>
              <w:t>Pine</w:t>
            </w:r>
            <w:r>
              <w:rPr>
                <w:spacing w:val="-1"/>
              </w:rPr>
              <w:t> </w:t>
            </w:r>
            <w:r>
              <w:rPr/>
              <w:t>CLT:</w:t>
            </w:r>
            <w:r>
              <w:rPr>
                <w:spacing w:val="-2"/>
              </w:rPr>
              <w:t> </w:t>
            </w:r>
            <w:r>
              <w:rPr/>
              <w:t>Small-scale</w:t>
            </w:r>
            <w:r>
              <w:rPr>
                <w:spacing w:val="-1"/>
              </w:rPr>
              <w:t> </w:t>
            </w:r>
            <w:r>
              <w:rPr/>
              <w:t>production</w:t>
              <w:tab/>
              <w:t>109</w:t>
            </w:r>
          </w:hyperlink>
        </w:p>
        <w:p>
          <w:pPr>
            <w:pStyle w:val="TOC4"/>
            <w:numPr>
              <w:ilvl w:val="2"/>
              <w:numId w:val="4"/>
            </w:numPr>
            <w:tabs>
              <w:tab w:pos="2060" w:val="left" w:leader="none"/>
              <w:tab w:pos="8719" w:val="lef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Current</w:t>
          </w:r>
          <w:r>
            <w:rPr>
              <w:spacing w:val="-2"/>
            </w:rPr>
            <w:t> </w:t>
          </w:r>
          <w:r>
            <w:rPr/>
            <w:t>CLT</w:t>
          </w:r>
          <w:r>
            <w:rPr>
              <w:spacing w:val="-2"/>
            </w:rPr>
            <w:t> </w:t>
          </w:r>
          <w:r>
            <w:rPr/>
            <w:t>manufacturing</w:t>
            <w:tab/>
            <w:t>110</w:t>
          </w:r>
        </w:p>
        <w:p>
          <w:pPr>
            <w:pStyle w:val="TOC4"/>
            <w:numPr>
              <w:ilvl w:val="2"/>
              <w:numId w:val="4"/>
            </w:numPr>
            <w:tabs>
              <w:tab w:pos="2060" w:val="left" w:leader="none"/>
              <w:tab w:pos="8719" w:val="lef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Small-scale</w:t>
          </w:r>
          <w:r>
            <w:rPr>
              <w:spacing w:val="-2"/>
            </w:rPr>
            <w:t> </w:t>
          </w:r>
          <w:r>
            <w:rPr/>
            <w:t>CLT</w:t>
          </w:r>
          <w:r>
            <w:rPr>
              <w:spacing w:val="-3"/>
            </w:rPr>
            <w:t> </w:t>
          </w:r>
          <w:r>
            <w:rPr/>
            <w:t>production</w:t>
            <w:tab/>
            <w:t>111</w:t>
          </w:r>
        </w:p>
        <w:p>
          <w:pPr>
            <w:pStyle w:val="TOC4"/>
            <w:numPr>
              <w:ilvl w:val="2"/>
              <w:numId w:val="4"/>
            </w:numPr>
            <w:tabs>
              <w:tab w:pos="2060" w:val="left" w:leader="none"/>
              <w:tab w:pos="8719" w:val="lef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Shear</w:t>
          </w:r>
          <w:r>
            <w:rPr>
              <w:spacing w:val="-2"/>
            </w:rPr>
            <w:t> </w:t>
          </w:r>
          <w:r>
            <w:rPr/>
            <w:t>block</w:t>
          </w:r>
          <w:r>
            <w:rPr>
              <w:spacing w:val="-1"/>
            </w:rPr>
            <w:t> </w:t>
          </w:r>
          <w:r>
            <w:rPr/>
            <w:t>testing</w:t>
          </w:r>
          <w:r>
            <w:rPr>
              <w:spacing w:val="-1"/>
            </w:rPr>
            <w:t> </w:t>
          </w:r>
          <w:r>
            <w:rPr/>
            <w:t>for</w:t>
          </w:r>
          <w:r>
            <w:rPr>
              <w:spacing w:val="-1"/>
            </w:rPr>
            <w:t> </w:t>
          </w:r>
          <w:r>
            <w:rPr/>
            <w:t>bond</w:t>
          </w:r>
          <w:r>
            <w:rPr>
              <w:spacing w:val="-2"/>
            </w:rPr>
            <w:t> </w:t>
          </w:r>
          <w:r>
            <w:rPr/>
            <w:t>line</w:t>
          </w:r>
          <w:r>
            <w:rPr>
              <w:spacing w:val="-1"/>
            </w:rPr>
            <w:t> </w:t>
          </w:r>
          <w:r>
            <w:rPr/>
            <w:t>adhesion</w:t>
            <w:tab/>
            <w:t>115</w:t>
          </w:r>
        </w:p>
        <w:p>
          <w:pPr>
            <w:pStyle w:val="TOC4"/>
            <w:numPr>
              <w:ilvl w:val="2"/>
              <w:numId w:val="4"/>
            </w:numPr>
            <w:tabs>
              <w:tab w:pos="2060" w:val="left" w:leader="none"/>
              <w:tab w:pos="8719" w:val="lef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Shear</w:t>
          </w:r>
          <w:r>
            <w:rPr>
              <w:spacing w:val="-2"/>
            </w:rPr>
            <w:t> </w:t>
          </w:r>
          <w:r>
            <w:rPr/>
            <w:t>block</w:t>
          </w:r>
          <w:r>
            <w:rPr>
              <w:spacing w:val="-1"/>
            </w:rPr>
            <w:t> </w:t>
          </w:r>
          <w:r>
            <w:rPr/>
            <w:t>testing</w:t>
          </w:r>
          <w:r>
            <w:rPr>
              <w:spacing w:val="-1"/>
            </w:rPr>
            <w:t> </w:t>
          </w:r>
          <w:r>
            <w:rPr/>
            <w:t>with</w:t>
          </w:r>
          <w:r>
            <w:rPr>
              <w:spacing w:val="-1"/>
            </w:rPr>
            <w:t> </w:t>
          </w:r>
          <w:r>
            <w:rPr/>
            <w:t>non-wood</w:t>
          </w:r>
          <w:r>
            <w:rPr>
              <w:spacing w:val="-1"/>
            </w:rPr>
            <w:t> </w:t>
          </w:r>
          <w:r>
            <w:rPr/>
            <w:t>layers</w:t>
            <w:tab/>
            <w:t>120</w:t>
          </w:r>
        </w:p>
        <w:p>
          <w:pPr>
            <w:pStyle w:val="TOC2"/>
            <w:numPr>
              <w:ilvl w:val="1"/>
              <w:numId w:val="4"/>
            </w:numPr>
            <w:tabs>
              <w:tab w:pos="1522" w:val="left" w:leader="none"/>
              <w:tab w:pos="8719" w:val="left" w:leader="dot"/>
            </w:tabs>
            <w:spacing w:line="240" w:lineRule="auto" w:before="275" w:after="0"/>
            <w:ind w:left="1521" w:right="0" w:hanging="362"/>
            <w:jc w:val="left"/>
          </w:pPr>
          <w:hyperlink w:history="true" w:anchor="_TOC_250042">
            <w:r>
              <w:rPr/>
              <w:t>Wood</w:t>
            </w:r>
            <w:r>
              <w:rPr>
                <w:spacing w:val="-1"/>
              </w:rPr>
              <w:t> </w:t>
            </w:r>
            <w:r>
              <w:rPr/>
              <w:t>Hardness</w:t>
              <w:tab/>
              <w:t>124</w:t>
            </w:r>
          </w:hyperlink>
        </w:p>
        <w:p>
          <w:pPr>
            <w:pStyle w:val="TOC4"/>
            <w:numPr>
              <w:ilvl w:val="2"/>
              <w:numId w:val="4"/>
            </w:numPr>
            <w:tabs>
              <w:tab w:pos="2060" w:val="left" w:leader="none"/>
              <w:tab w:pos="8719" w:val="left" w:leader="dot"/>
            </w:tabs>
            <w:spacing w:line="240" w:lineRule="auto" w:before="0" w:after="0"/>
            <w:ind w:left="2060" w:right="0" w:hanging="540"/>
            <w:jc w:val="left"/>
          </w:pPr>
          <w:hyperlink w:history="true" w:anchor="_TOC_250041">
            <w:r>
              <w:rPr/>
              <w:t>Hardness,</w:t>
            </w:r>
            <w:r>
              <w:rPr>
                <w:spacing w:val="-2"/>
              </w:rPr>
              <w:t> </w:t>
            </w:r>
            <w:r>
              <w:rPr/>
              <w:t>the</w:t>
            </w:r>
            <w:r>
              <w:rPr>
                <w:spacing w:val="-1"/>
              </w:rPr>
              <w:t> </w:t>
            </w:r>
            <w:r>
              <w:rPr/>
              <w:t>material</w:t>
            </w:r>
            <w:r>
              <w:rPr>
                <w:spacing w:val="-1"/>
              </w:rPr>
              <w:t> </w:t>
            </w:r>
            <w:r>
              <w:rPr/>
              <w:t>property</w:t>
              <w:tab/>
              <w:t>124</w:t>
            </w:r>
          </w:hyperlink>
        </w:p>
        <w:p>
          <w:pPr>
            <w:pStyle w:val="TOC4"/>
            <w:numPr>
              <w:ilvl w:val="2"/>
              <w:numId w:val="4"/>
            </w:numPr>
            <w:tabs>
              <w:tab w:pos="2060" w:val="left" w:leader="none"/>
              <w:tab w:pos="8719" w:val="lef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Experimental</w:t>
          </w:r>
          <w:r>
            <w:rPr>
              <w:spacing w:val="-2"/>
            </w:rPr>
            <w:t> </w:t>
          </w:r>
          <w:r>
            <w:rPr/>
            <w:t>hardness</w:t>
          </w:r>
          <w:r>
            <w:rPr>
              <w:spacing w:val="-3"/>
            </w:rPr>
            <w:t> </w:t>
          </w:r>
          <w:r>
            <w:rPr/>
            <w:t>testing</w:t>
            <w:tab/>
            <w:t>128</w:t>
          </w:r>
        </w:p>
        <w:p>
          <w:pPr>
            <w:pStyle w:val="TOC2"/>
            <w:numPr>
              <w:ilvl w:val="1"/>
              <w:numId w:val="4"/>
            </w:numPr>
            <w:tabs>
              <w:tab w:pos="1520" w:val="left" w:leader="none"/>
              <w:tab w:pos="8719" w:val="left" w:leader="dot"/>
            </w:tabs>
            <w:spacing w:line="240" w:lineRule="auto" w:before="276" w:after="0"/>
            <w:ind w:left="1520" w:right="0" w:hanging="360"/>
            <w:jc w:val="left"/>
          </w:pPr>
          <w:hyperlink w:history="true" w:anchor="_TOC_250040">
            <w:r>
              <w:rPr/>
              <w:t>Shear</w:t>
            </w:r>
            <w:r>
              <w:rPr>
                <w:spacing w:val="-1"/>
              </w:rPr>
              <w:t> </w:t>
            </w:r>
            <w:r>
              <w:rPr/>
              <w:t>behavior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-1"/>
              </w:rPr>
              <w:t> </w:t>
            </w:r>
            <w:r>
              <w:rPr/>
              <w:t>wood</w:t>
              <w:tab/>
              <w:t>134</w:t>
            </w:r>
          </w:hyperlink>
        </w:p>
        <w:p>
          <w:pPr>
            <w:pStyle w:val="TOC2"/>
            <w:numPr>
              <w:ilvl w:val="1"/>
              <w:numId w:val="4"/>
            </w:numPr>
            <w:tabs>
              <w:tab w:pos="1520" w:val="left" w:leader="none"/>
              <w:tab w:pos="8719" w:val="left" w:leader="dot"/>
            </w:tabs>
            <w:spacing w:line="240" w:lineRule="auto" w:before="276" w:after="0"/>
            <w:ind w:left="1520" w:right="0" w:hanging="360"/>
            <w:jc w:val="left"/>
          </w:pPr>
          <w:hyperlink w:history="true" w:anchor="_TOC_250039">
            <w:r>
              <w:rPr/>
              <w:t>Rolling</w:t>
            </w:r>
            <w:r>
              <w:rPr>
                <w:spacing w:val="-3"/>
              </w:rPr>
              <w:t> </w:t>
            </w:r>
            <w:r>
              <w:rPr/>
              <w:t>Shear</w:t>
              <w:tab/>
              <w:t>137</w:t>
            </w:r>
          </w:hyperlink>
        </w:p>
        <w:p>
          <w:pPr>
            <w:pStyle w:val="TOC2"/>
            <w:numPr>
              <w:ilvl w:val="1"/>
              <w:numId w:val="4"/>
            </w:numPr>
            <w:tabs>
              <w:tab w:pos="1520" w:val="left" w:leader="none"/>
              <w:tab w:pos="8719" w:val="left" w:leader="dot"/>
            </w:tabs>
            <w:spacing w:line="240" w:lineRule="auto" w:before="276" w:after="0"/>
            <w:ind w:left="1520" w:right="0" w:hanging="360"/>
            <w:jc w:val="left"/>
          </w:pPr>
          <w:hyperlink w:history="true" w:anchor="_TOC_250038">
            <w:r>
              <w:rPr/>
              <w:t>Shear</w:t>
            </w:r>
            <w:r>
              <w:rPr>
                <w:spacing w:val="-2"/>
              </w:rPr>
              <w:t> </w:t>
            </w:r>
            <w:r>
              <w:rPr/>
              <w:t>analogy</w:t>
            </w:r>
            <w:r>
              <w:rPr>
                <w:spacing w:val="-1"/>
              </w:rPr>
              <w:t> </w:t>
            </w:r>
            <w:r>
              <w:rPr/>
              <w:t>method</w:t>
              <w:tab/>
              <w:t>139</w:t>
            </w:r>
          </w:hyperlink>
        </w:p>
        <w:p>
          <w:pPr>
            <w:pStyle w:val="TOC2"/>
            <w:numPr>
              <w:ilvl w:val="1"/>
              <w:numId w:val="4"/>
            </w:numPr>
            <w:tabs>
              <w:tab w:pos="1520" w:val="left" w:leader="none"/>
              <w:tab w:pos="8719" w:val="left" w:leader="dot"/>
            </w:tabs>
            <w:spacing w:line="240" w:lineRule="auto" w:before="276" w:after="0"/>
            <w:ind w:left="1520" w:right="0" w:hanging="360"/>
            <w:jc w:val="left"/>
          </w:pPr>
          <w:hyperlink w:history="true" w:anchor="_TOC_250037">
            <w:r>
              <w:rPr/>
              <w:t>High</w:t>
            </w:r>
            <w:r>
              <w:rPr>
                <w:spacing w:val="-2"/>
              </w:rPr>
              <w:t> </w:t>
            </w:r>
            <w:r>
              <w:rPr/>
              <w:t>strain</w:t>
            </w:r>
            <w:r>
              <w:rPr>
                <w:spacing w:val="-1"/>
              </w:rPr>
              <w:t> </w:t>
            </w:r>
            <w:r>
              <w:rPr/>
              <w:t>rate</w:t>
            </w:r>
            <w:r>
              <w:rPr>
                <w:spacing w:val="-1"/>
              </w:rPr>
              <w:t> </w:t>
            </w:r>
            <w:r>
              <w:rPr/>
              <w:t>strengths</w:t>
            </w:r>
            <w:r>
              <w:rPr>
                <w:spacing w:val="-1"/>
              </w:rPr>
              <w:t> </w:t>
            </w:r>
            <w:r>
              <w:rPr/>
              <w:t>in</w:t>
            </w:r>
            <w:r>
              <w:rPr>
                <w:spacing w:val="-1"/>
              </w:rPr>
              <w:t> </w:t>
            </w:r>
            <w:r>
              <w:rPr/>
              <w:t>wood</w:t>
              <w:tab/>
              <w:t>145</w:t>
            </w:r>
          </w:hyperlink>
        </w:p>
        <w:p>
          <w:pPr>
            <w:pStyle w:val="TOC2"/>
            <w:numPr>
              <w:ilvl w:val="1"/>
              <w:numId w:val="4"/>
            </w:numPr>
            <w:tabs>
              <w:tab w:pos="1520" w:val="left" w:leader="none"/>
              <w:tab w:pos="8719" w:val="left" w:leader="dot"/>
            </w:tabs>
            <w:spacing w:line="240" w:lineRule="auto" w:before="276" w:after="0"/>
            <w:ind w:left="1520" w:right="0" w:hanging="360"/>
            <w:jc w:val="left"/>
          </w:pPr>
          <w:hyperlink w:history="true" w:anchor="_TOC_250036">
            <w:r>
              <w:rPr/>
              <w:t>Summary</w:t>
              <w:tab/>
              <w:t>148</w:t>
            </w:r>
          </w:hyperlink>
        </w:p>
        <w:p>
          <w:pPr>
            <w:pStyle w:val="TOC1"/>
            <w:tabs>
              <w:tab w:pos="8719" w:val="left" w:leader="dot"/>
            </w:tabs>
          </w:pPr>
          <w:r>
            <w:rPr/>
            <w:t>CHAPTER</w:t>
          </w:r>
          <w:r>
            <w:rPr>
              <w:spacing w:val="-3"/>
            </w:rPr>
            <w:t> </w:t>
          </w:r>
          <w:r>
            <w:rPr/>
            <w:t>5:</w:t>
          </w:r>
          <w:r>
            <w:rPr>
              <w:spacing w:val="-3"/>
            </w:rPr>
            <w:t> </w:t>
          </w:r>
          <w:r>
            <w:rPr/>
            <w:t>BALLISTIC</w:t>
          </w:r>
          <w:r>
            <w:rPr>
              <w:spacing w:val="-3"/>
            </w:rPr>
            <w:t> </w:t>
          </w:r>
          <w:r>
            <w:rPr/>
            <w:t>PERFORMANCE</w:t>
          </w:r>
          <w:r>
            <w:rPr>
              <w:spacing w:val="-3"/>
            </w:rPr>
            <w:t> </w:t>
          </w:r>
          <w:r>
            <w:rPr/>
            <w:t>OF</w:t>
          </w:r>
          <w:r>
            <w:rPr>
              <w:spacing w:val="-4"/>
            </w:rPr>
            <w:t> </w:t>
          </w:r>
          <w:r>
            <w:rPr/>
            <w:t>CLT</w:t>
            <w:tab/>
            <w:t>149</w:t>
          </w:r>
        </w:p>
        <w:p>
          <w:pPr>
            <w:pStyle w:val="TOC2"/>
            <w:numPr>
              <w:ilvl w:val="1"/>
              <w:numId w:val="5"/>
            </w:numPr>
            <w:tabs>
              <w:tab w:pos="1520" w:val="left" w:leader="none"/>
              <w:tab w:pos="8719" w:val="left" w:leader="dot"/>
            </w:tabs>
            <w:spacing w:line="240" w:lineRule="auto" w:before="276" w:after="0"/>
            <w:ind w:left="1520" w:right="0" w:hanging="360"/>
            <w:jc w:val="left"/>
          </w:pPr>
          <w:hyperlink w:history="true" w:anchor="_TOC_250035">
            <w:r>
              <w:rPr/>
              <w:t>Background</w:t>
            </w:r>
            <w:r>
              <w:rPr>
                <w:spacing w:val="-2"/>
              </w:rPr>
              <w:t> </w:t>
            </w:r>
            <w:r>
              <w:rPr/>
              <w:t>on</w:t>
            </w:r>
            <w:r>
              <w:rPr>
                <w:spacing w:val="-1"/>
              </w:rPr>
              <w:t> </w:t>
            </w:r>
            <w:r>
              <w:rPr/>
              <w:t>ballistic</w:t>
            </w:r>
            <w:r>
              <w:rPr>
                <w:spacing w:val="-1"/>
              </w:rPr>
              <w:t> </w:t>
            </w:r>
            <w:r>
              <w:rPr/>
              <w:t>performance</w:t>
              <w:tab/>
              <w:t>149</w:t>
            </w:r>
          </w:hyperlink>
        </w:p>
        <w:p>
          <w:pPr>
            <w:pStyle w:val="TOC2"/>
            <w:numPr>
              <w:ilvl w:val="1"/>
              <w:numId w:val="5"/>
            </w:numPr>
            <w:tabs>
              <w:tab w:pos="1520" w:val="left" w:leader="none"/>
              <w:tab w:pos="8719" w:val="left" w:leader="dot"/>
            </w:tabs>
            <w:spacing w:line="240" w:lineRule="auto" w:before="276" w:after="240"/>
            <w:ind w:left="1520" w:right="0" w:hanging="360"/>
            <w:jc w:val="left"/>
          </w:pPr>
          <w:hyperlink w:history="true" w:anchor="_TOC_250034">
            <w:r>
              <w:rPr/>
              <w:t>Ballistic</w:t>
            </w:r>
            <w:r>
              <w:rPr>
                <w:spacing w:val="-3"/>
              </w:rPr>
              <w:t> </w:t>
            </w:r>
            <w:r>
              <w:rPr/>
              <w:t>Resistance</w:t>
            </w:r>
            <w:r>
              <w:rPr>
                <w:spacing w:val="-2"/>
              </w:rPr>
              <w:t> </w:t>
            </w:r>
            <w:r>
              <w:rPr/>
              <w:t>Standards</w:t>
              <w:tab/>
              <w:t>151</w:t>
            </w:r>
          </w:hyperlink>
        </w:p>
        <w:p>
          <w:pPr>
            <w:pStyle w:val="TOC2"/>
            <w:numPr>
              <w:ilvl w:val="1"/>
              <w:numId w:val="5"/>
            </w:numPr>
            <w:tabs>
              <w:tab w:pos="1520" w:val="left" w:leader="none"/>
              <w:tab w:pos="8719" w:val="left" w:leader="dot"/>
            </w:tabs>
            <w:spacing w:line="240" w:lineRule="auto" w:before="78" w:after="0"/>
            <w:ind w:left="1520" w:right="0" w:hanging="360"/>
            <w:jc w:val="left"/>
          </w:pPr>
          <w:hyperlink w:history="true" w:anchor="_TOC_250033">
            <w:r>
              <w:rPr/>
              <w:t>Design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-2"/>
              </w:rPr>
              <w:t> </w:t>
            </w:r>
            <w:r>
              <w:rPr/>
              <w:t>Experiment</w:t>
              <w:tab/>
              <w:t>155</w:t>
            </w:r>
          </w:hyperlink>
        </w:p>
        <w:p>
          <w:pPr>
            <w:pStyle w:val="TOC4"/>
            <w:numPr>
              <w:ilvl w:val="2"/>
              <w:numId w:val="5"/>
            </w:numPr>
            <w:tabs>
              <w:tab w:pos="2060" w:val="left" w:leader="none"/>
              <w:tab w:pos="8719" w:val="lef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Set-up</w:t>
          </w:r>
          <w:r>
            <w:rPr>
              <w:spacing w:val="-2"/>
            </w:rPr>
            <w:t> </w:t>
          </w:r>
          <w:r>
            <w:rPr/>
            <w:t>and</w:t>
          </w:r>
          <w:r>
            <w:rPr>
              <w:spacing w:val="-1"/>
            </w:rPr>
            <w:t> </w:t>
          </w:r>
          <w:r>
            <w:rPr/>
            <w:t>testing methodology</w:t>
            <w:tab/>
            <w:t>156</w:t>
          </w:r>
        </w:p>
        <w:p>
          <w:pPr>
            <w:pStyle w:val="TOC3"/>
            <w:numPr>
              <w:ilvl w:val="1"/>
              <w:numId w:val="5"/>
            </w:numPr>
            <w:tabs>
              <w:tab w:pos="1550" w:val="left" w:leader="none"/>
              <w:tab w:pos="8719" w:val="left" w:leader="dot"/>
            </w:tabs>
            <w:spacing w:line="240" w:lineRule="auto" w:before="0" w:after="0"/>
            <w:ind w:left="1550" w:right="0" w:hanging="360"/>
            <w:jc w:val="left"/>
          </w:pPr>
          <w:hyperlink w:history="true" w:anchor="_TOC_250032">
            <w:r>
              <w:rPr/>
              <w:t>Ballistic</w:t>
            </w:r>
            <w:r>
              <w:rPr>
                <w:spacing w:val="-2"/>
              </w:rPr>
              <w:t> </w:t>
            </w:r>
            <w:r>
              <w:rPr/>
              <w:t>testing</w:t>
            </w:r>
            <w:r>
              <w:rPr>
                <w:spacing w:val="-1"/>
              </w:rPr>
              <w:t> </w:t>
            </w:r>
            <w:r>
              <w:rPr/>
              <w:t>series</w:t>
              <w:tab/>
              <w:t>161</w:t>
            </w:r>
          </w:hyperlink>
        </w:p>
        <w:p>
          <w:pPr>
            <w:pStyle w:val="TOC2"/>
            <w:numPr>
              <w:ilvl w:val="1"/>
              <w:numId w:val="5"/>
            </w:numPr>
            <w:tabs>
              <w:tab w:pos="1520" w:val="left" w:leader="none"/>
              <w:tab w:pos="8719" w:val="left" w:leader="dot"/>
            </w:tabs>
            <w:spacing w:line="240" w:lineRule="auto" w:before="276" w:after="0"/>
            <w:ind w:left="1520" w:right="0" w:hanging="360"/>
            <w:jc w:val="left"/>
          </w:pPr>
          <w:hyperlink w:history="true" w:anchor="_TOC_250031">
            <w:r>
              <w:rPr/>
              <w:t>Depth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-2"/>
              </w:rPr>
              <w:t> </w:t>
            </w:r>
            <w:r>
              <w:rPr/>
              <w:t>penetration</w:t>
            </w:r>
            <w:r>
              <w:rPr>
                <w:spacing w:val="-2"/>
              </w:rPr>
              <w:t> </w:t>
            </w:r>
            <w:r>
              <w:rPr/>
              <w:t>data</w:t>
            </w:r>
            <w:r>
              <w:rPr>
                <w:spacing w:val="-1"/>
              </w:rPr>
              <w:t> </w:t>
            </w:r>
            <w:r>
              <w:rPr/>
              <w:t>analysis</w:t>
              <w:tab/>
              <w:t>163</w:t>
            </w:r>
          </w:hyperlink>
        </w:p>
        <w:p>
          <w:pPr>
            <w:pStyle w:val="TOC4"/>
            <w:numPr>
              <w:ilvl w:val="2"/>
              <w:numId w:val="5"/>
            </w:numPr>
            <w:tabs>
              <w:tab w:pos="2060" w:val="left" w:leader="none"/>
              <w:tab w:pos="8719" w:val="lef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Linear</w:t>
          </w:r>
          <w:r>
            <w:rPr>
              <w:spacing w:val="-2"/>
            </w:rPr>
            <w:t> </w:t>
          </w:r>
          <w:r>
            <w:rPr/>
            <w:t>and</w:t>
          </w:r>
          <w:r>
            <w:rPr>
              <w:spacing w:val="-1"/>
            </w:rPr>
            <w:t> </w:t>
          </w:r>
          <w:r>
            <w:rPr/>
            <w:t>quadratic</w:t>
          </w:r>
          <w:r>
            <w:rPr>
              <w:spacing w:val="-1"/>
            </w:rPr>
            <w:t> </w:t>
          </w:r>
          <w:r>
            <w:rPr/>
            <w:t>regression</w:t>
            <w:tab/>
            <w:t>163</w:t>
          </w:r>
        </w:p>
        <w:p>
          <w:pPr>
            <w:pStyle w:val="TOC4"/>
            <w:numPr>
              <w:ilvl w:val="2"/>
              <w:numId w:val="5"/>
            </w:numPr>
            <w:tabs>
              <w:tab w:pos="2060" w:val="left" w:leader="none"/>
              <w:tab w:pos="8719" w:val="lef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UFC</w:t>
          </w:r>
          <w:r>
            <w:rPr>
              <w:spacing w:val="-2"/>
            </w:rPr>
            <w:t> </w:t>
          </w:r>
          <w:r>
            <w:rPr/>
            <w:t>equation</w:t>
          </w:r>
          <w:r>
            <w:rPr>
              <w:spacing w:val="-1"/>
            </w:rPr>
            <w:t> </w:t>
          </w:r>
          <w:r>
            <w:rPr/>
            <w:t>for</w:t>
          </w:r>
          <w:r>
            <w:rPr>
              <w:spacing w:val="-1"/>
            </w:rPr>
            <w:t> </w:t>
          </w:r>
          <w:r>
            <w:rPr/>
            <w:t>required</w:t>
          </w:r>
          <w:r>
            <w:rPr>
              <w:spacing w:val="-3"/>
            </w:rPr>
            <w:t> </w:t>
          </w:r>
          <w:r>
            <w:rPr/>
            <w:t>wood</w:t>
          </w:r>
          <w:r>
            <w:rPr>
              <w:spacing w:val="-1"/>
            </w:rPr>
            <w:t> </w:t>
          </w:r>
          <w:r>
            <w:rPr/>
            <w:t>thickness</w:t>
            <w:tab/>
            <w:t>165</w:t>
          </w:r>
        </w:p>
        <w:p>
          <w:pPr>
            <w:pStyle w:val="TOC4"/>
            <w:numPr>
              <w:ilvl w:val="2"/>
              <w:numId w:val="5"/>
            </w:numPr>
            <w:tabs>
              <w:tab w:pos="2060" w:val="left" w:leader="none"/>
              <w:tab w:pos="8719" w:val="lef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Recalibration</w:t>
          </w:r>
          <w:r>
            <w:rPr>
              <w:spacing w:val="-2"/>
            </w:rPr>
            <w:t> </w:t>
          </w:r>
          <w:r>
            <w:rPr/>
            <w:t>of</w:t>
          </w:r>
          <w:r>
            <w:rPr>
              <w:spacing w:val="-2"/>
            </w:rPr>
            <w:t> </w:t>
          </w:r>
          <w:r>
            <w:rPr/>
            <w:t>the</w:t>
          </w:r>
          <w:r>
            <w:rPr>
              <w:spacing w:val="-1"/>
            </w:rPr>
            <w:t> </w:t>
          </w:r>
          <w:r>
            <w:rPr/>
            <w:t>UFC</w:t>
          </w:r>
          <w:r>
            <w:rPr>
              <w:spacing w:val="-3"/>
            </w:rPr>
            <w:t> </w:t>
          </w:r>
          <w:r>
            <w:rPr/>
            <w:t>equation:</w:t>
          </w:r>
          <w:r>
            <w:rPr>
              <w:spacing w:val="-1"/>
            </w:rPr>
            <w:t> </w:t>
          </w:r>
          <w:r>
            <w:rPr/>
            <w:t>a</w:t>
          </w:r>
          <w:r>
            <w:rPr>
              <w:spacing w:val="-1"/>
            </w:rPr>
            <w:t> </w:t>
          </w:r>
          <w:r>
            <w:rPr/>
            <w:t>curve</w:t>
          </w:r>
          <w:r>
            <w:rPr>
              <w:spacing w:val="-1"/>
            </w:rPr>
            <w:t> </w:t>
          </w:r>
          <w:r>
            <w:rPr/>
            <w:t>fitting</w:t>
          </w:r>
          <w:r>
            <w:rPr>
              <w:spacing w:val="-4"/>
            </w:rPr>
            <w:t> </w:t>
          </w:r>
          <w:r>
            <w:rPr/>
            <w:t>model</w:t>
            <w:tab/>
            <w:t>169</w:t>
          </w:r>
        </w:p>
        <w:p>
          <w:pPr>
            <w:pStyle w:val="TOC4"/>
            <w:numPr>
              <w:ilvl w:val="2"/>
              <w:numId w:val="5"/>
            </w:numPr>
            <w:tabs>
              <w:tab w:pos="2060" w:val="left" w:leader="none"/>
              <w:tab w:pos="8719" w:val="lef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Classical</w:t>
          </w:r>
          <w:r>
            <w:rPr>
              <w:spacing w:val="-2"/>
            </w:rPr>
            <w:t> </w:t>
          </w:r>
          <w:r>
            <w:rPr/>
            <w:t>penetration</w:t>
          </w:r>
          <w:r>
            <w:rPr>
              <w:spacing w:val="-1"/>
            </w:rPr>
            <w:t> </w:t>
          </w:r>
          <w:r>
            <w:rPr/>
            <w:t>models:</w:t>
          </w:r>
          <w:r>
            <w:rPr>
              <w:spacing w:val="-3"/>
            </w:rPr>
            <w:t> </w:t>
          </w:r>
          <w:r>
            <w:rPr/>
            <w:t>physics-based</w:t>
          </w:r>
          <w:r>
            <w:rPr>
              <w:spacing w:val="-2"/>
            </w:rPr>
            <w:t> </w:t>
          </w:r>
          <w:r>
            <w:rPr/>
            <w:t>curve</w:t>
          </w:r>
          <w:r>
            <w:rPr>
              <w:spacing w:val="-2"/>
            </w:rPr>
            <w:t> </w:t>
          </w:r>
          <w:r>
            <w:rPr/>
            <w:t>fitting</w:t>
          </w:r>
          <w:r>
            <w:rPr>
              <w:spacing w:val="-1"/>
            </w:rPr>
            <w:t> </w:t>
          </w:r>
          <w:r>
            <w:rPr/>
            <w:t>models</w:t>
            <w:tab/>
            <w:t>176</w:t>
          </w:r>
        </w:p>
        <w:p>
          <w:pPr>
            <w:pStyle w:val="TOC4"/>
            <w:numPr>
              <w:ilvl w:val="2"/>
              <w:numId w:val="5"/>
            </w:numPr>
            <w:tabs>
              <w:tab w:pos="2060" w:val="left" w:leader="none"/>
              <w:tab w:pos="8719" w:val="lef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Force</w:t>
          </w:r>
          <w:r>
            <w:rPr>
              <w:spacing w:val="-1"/>
            </w:rPr>
            <w:t> </w:t>
          </w:r>
          <w:r>
            <w:rPr/>
            <w:t>Law</w:t>
          </w:r>
          <w:r>
            <w:rPr>
              <w:spacing w:val="-2"/>
            </w:rPr>
            <w:t> </w:t>
          </w:r>
          <w:r>
            <w:rPr/>
            <w:t>Model</w:t>
            <w:tab/>
            <w:t>185</w:t>
          </w:r>
        </w:p>
        <w:p>
          <w:pPr>
            <w:pStyle w:val="TOC4"/>
            <w:numPr>
              <w:ilvl w:val="2"/>
              <w:numId w:val="5"/>
            </w:numPr>
            <w:tabs>
              <w:tab w:pos="2060" w:val="left" w:leader="none"/>
              <w:tab w:pos="8719" w:val="lef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General</w:t>
          </w:r>
          <w:r>
            <w:rPr>
              <w:spacing w:val="-2"/>
            </w:rPr>
            <w:t> </w:t>
          </w:r>
          <w:r>
            <w:rPr/>
            <w:t>THOR</w:t>
          </w:r>
          <w:r>
            <w:rPr>
              <w:spacing w:val="-1"/>
            </w:rPr>
            <w:t> </w:t>
          </w:r>
          <w:r>
            <w:rPr/>
            <w:t>model</w:t>
            <w:tab/>
            <w:t>189</w:t>
          </w:r>
        </w:p>
        <w:p>
          <w:pPr>
            <w:pStyle w:val="TOC4"/>
            <w:numPr>
              <w:ilvl w:val="2"/>
              <w:numId w:val="5"/>
            </w:numPr>
            <w:tabs>
              <w:tab w:pos="2060" w:val="left" w:leader="none"/>
              <w:tab w:pos="8719" w:val="lef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CLT</w:t>
          </w:r>
          <w:r>
            <w:rPr>
              <w:spacing w:val="-3"/>
            </w:rPr>
            <w:t> </w:t>
          </w:r>
          <w:r>
            <w:rPr/>
            <w:t>THOR-based</w:t>
          </w:r>
          <w:r>
            <w:rPr>
              <w:spacing w:val="-1"/>
            </w:rPr>
            <w:t> </w:t>
          </w:r>
          <w:r>
            <w:rPr/>
            <w:t>Model</w:t>
            <w:tab/>
            <w:t>192</w:t>
          </w:r>
        </w:p>
        <w:p>
          <w:pPr>
            <w:pStyle w:val="TOC4"/>
            <w:numPr>
              <w:ilvl w:val="2"/>
              <w:numId w:val="5"/>
            </w:numPr>
            <w:tabs>
              <w:tab w:pos="2060" w:val="left" w:leader="none"/>
              <w:tab w:pos="8719" w:val="lef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Empirical</w:t>
          </w:r>
          <w:r>
            <w:rPr>
              <w:spacing w:val="-2"/>
            </w:rPr>
            <w:t> </w:t>
          </w:r>
          <w:r>
            <w:rPr/>
            <w:t>model</w:t>
          </w:r>
          <w:r>
            <w:rPr>
              <w:spacing w:val="-2"/>
            </w:rPr>
            <w:t> </w:t>
          </w:r>
          <w:r>
            <w:rPr/>
            <w:t>comparison</w:t>
          </w:r>
          <w:r>
            <w:rPr>
              <w:spacing w:val="-1"/>
            </w:rPr>
            <w:t> </w:t>
          </w:r>
          <w:r>
            <w:rPr/>
            <w:t>and</w:t>
          </w:r>
          <w:r>
            <w:rPr>
              <w:spacing w:val="-2"/>
            </w:rPr>
            <w:t> </w:t>
          </w:r>
          <w:r>
            <w:rPr/>
            <w:t>recommendations</w:t>
            <w:tab/>
            <w:t>196</w:t>
          </w:r>
        </w:p>
        <w:p>
          <w:pPr>
            <w:pStyle w:val="TOC2"/>
            <w:numPr>
              <w:ilvl w:val="1"/>
              <w:numId w:val="5"/>
            </w:numPr>
            <w:tabs>
              <w:tab w:pos="1520" w:val="left" w:leader="none"/>
              <w:tab w:pos="8719" w:val="left" w:leader="dot"/>
            </w:tabs>
            <w:spacing w:line="240" w:lineRule="auto" w:before="276" w:after="0"/>
            <w:ind w:left="1520" w:right="0" w:hanging="360"/>
            <w:jc w:val="left"/>
          </w:pPr>
          <w:hyperlink w:history="true" w:anchor="_TOC_250030">
            <w:r>
              <w:rPr/>
              <w:t>Residual</w:t>
            </w:r>
            <w:r>
              <w:rPr>
                <w:spacing w:val="-2"/>
              </w:rPr>
              <w:t> </w:t>
            </w:r>
            <w:r>
              <w:rPr/>
              <w:t>velocity</w:t>
            </w:r>
            <w:r>
              <w:rPr>
                <w:spacing w:val="-1"/>
              </w:rPr>
              <w:t> </w:t>
            </w:r>
            <w:r>
              <w:rPr/>
              <w:t>data</w:t>
            </w:r>
            <w:r>
              <w:rPr>
                <w:spacing w:val="-1"/>
              </w:rPr>
              <w:t> </w:t>
            </w:r>
            <w:r>
              <w:rPr/>
              <w:t>analysis</w:t>
              <w:tab/>
              <w:t>199</w:t>
            </w:r>
          </w:hyperlink>
        </w:p>
        <w:p>
          <w:pPr>
            <w:pStyle w:val="TOC4"/>
            <w:numPr>
              <w:ilvl w:val="2"/>
              <w:numId w:val="5"/>
            </w:numPr>
            <w:tabs>
              <w:tab w:pos="2060" w:val="left" w:leader="none"/>
              <w:tab w:pos="8719" w:val="lef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Striking</w:t>
          </w:r>
          <w:r>
            <w:rPr>
              <w:spacing w:val="-2"/>
            </w:rPr>
            <w:t> </w:t>
          </w:r>
          <w:r>
            <w:rPr/>
            <w:t>velocity</w:t>
          </w:r>
          <w:r>
            <w:rPr>
              <w:spacing w:val="-2"/>
            </w:rPr>
            <w:t> </w:t>
          </w:r>
          <w:r>
            <w:rPr/>
            <w:t>range</w:t>
            <w:tab/>
            <w:t>199</w:t>
          </w:r>
        </w:p>
        <w:p>
          <w:pPr>
            <w:pStyle w:val="TOC4"/>
            <w:numPr>
              <w:ilvl w:val="2"/>
              <w:numId w:val="5"/>
            </w:numPr>
            <w:tabs>
              <w:tab w:pos="2060" w:val="left" w:leader="none"/>
              <w:tab w:pos="8719" w:val="lef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Residual</w:t>
          </w:r>
          <w:r>
            <w:rPr>
              <w:spacing w:val="-1"/>
            </w:rPr>
            <w:t> </w:t>
          </w:r>
          <w:r>
            <w:rPr/>
            <w:t>data</w:t>
          </w:r>
          <w:r>
            <w:rPr>
              <w:spacing w:val="-1"/>
            </w:rPr>
            <w:t> </w:t>
          </w:r>
          <w:r>
            <w:rPr/>
            <w:t>and</w:t>
          </w:r>
          <w:r>
            <w:rPr>
              <w:spacing w:val="-1"/>
            </w:rPr>
            <w:t> </w:t>
          </w:r>
          <w:r>
            <w:rPr/>
            <w:t>expected</w:t>
          </w:r>
          <w:r>
            <w:rPr>
              <w:spacing w:val="-2"/>
            </w:rPr>
            <w:t> </w:t>
          </w:r>
          <w:r>
            <w:rPr/>
            <w:t>velocity</w:t>
          </w:r>
          <w:r>
            <w:rPr>
              <w:spacing w:val="-1"/>
            </w:rPr>
            <w:t> </w:t>
          </w:r>
          <w:r>
            <w:rPr/>
            <w:t>curves</w:t>
          </w:r>
          <w:r>
            <w:rPr>
              <w:spacing w:val="-1"/>
            </w:rPr>
            <w:t> </w:t>
          </w:r>
          <w:r>
            <w:rPr/>
            <w:t>from</w:t>
          </w:r>
          <w:r>
            <w:rPr>
              <w:spacing w:val="-2"/>
            </w:rPr>
            <w:t> </w:t>
          </w:r>
          <w:r>
            <w:rPr/>
            <w:t>force law</w:t>
          </w:r>
          <w:r>
            <w:rPr>
              <w:spacing w:val="-2"/>
            </w:rPr>
            <w:t> </w:t>
          </w:r>
          <w:r>
            <w:rPr/>
            <w:t>model</w:t>
            <w:tab/>
            <w:t>201</w:t>
          </w:r>
        </w:p>
        <w:p>
          <w:pPr>
            <w:pStyle w:val="TOC2"/>
            <w:numPr>
              <w:ilvl w:val="1"/>
              <w:numId w:val="5"/>
            </w:numPr>
            <w:tabs>
              <w:tab w:pos="1522" w:val="left" w:leader="none"/>
              <w:tab w:pos="8719" w:val="left" w:leader="dot"/>
            </w:tabs>
            <w:spacing w:line="240" w:lineRule="auto" w:before="276" w:after="0"/>
            <w:ind w:left="1521" w:right="0" w:hanging="362"/>
            <w:jc w:val="left"/>
          </w:pPr>
          <w:hyperlink w:history="true" w:anchor="_TOC_250029">
            <w:r>
              <w:rPr/>
              <w:t>Weathered</w:t>
            </w:r>
            <w:r>
              <w:rPr>
                <w:spacing w:val="-3"/>
              </w:rPr>
              <w:t> </w:t>
            </w:r>
            <w:r>
              <w:rPr/>
              <w:t>Specimens</w:t>
              <w:tab/>
              <w:t>204</w:t>
            </w:r>
          </w:hyperlink>
        </w:p>
        <w:p>
          <w:pPr>
            <w:pStyle w:val="TOC2"/>
            <w:numPr>
              <w:ilvl w:val="1"/>
              <w:numId w:val="5"/>
            </w:numPr>
            <w:tabs>
              <w:tab w:pos="1520" w:val="left" w:leader="none"/>
              <w:tab w:pos="8719" w:val="left" w:leader="dot"/>
            </w:tabs>
            <w:spacing w:line="240" w:lineRule="auto" w:before="276" w:after="0"/>
            <w:ind w:left="1520" w:right="0" w:hanging="360"/>
            <w:jc w:val="left"/>
          </w:pPr>
          <w:hyperlink w:history="true" w:anchor="_TOC_250028">
            <w:r>
              <w:rPr/>
              <w:t>Inclusion</w:t>
            </w:r>
            <w:r>
              <w:rPr>
                <w:spacing w:val="-2"/>
              </w:rPr>
              <w:t> </w:t>
            </w:r>
            <w:r>
              <w:rPr/>
              <w:t>of</w:t>
            </w:r>
            <w:r>
              <w:rPr>
                <w:spacing w:val="-3"/>
              </w:rPr>
              <w:t> </w:t>
            </w:r>
            <w:r>
              <w:rPr/>
              <w:t>fragment</w:t>
            </w:r>
            <w:r>
              <w:rPr>
                <w:spacing w:val="-2"/>
              </w:rPr>
              <w:t> </w:t>
            </w:r>
            <w:r>
              <w:rPr/>
              <w:t>simulating</w:t>
            </w:r>
            <w:r>
              <w:rPr>
                <w:spacing w:val="-2"/>
              </w:rPr>
              <w:t> </w:t>
            </w:r>
            <w:r>
              <w:rPr/>
              <w:t>projectile</w:t>
            </w:r>
            <w:r>
              <w:rPr>
                <w:spacing w:val="-2"/>
              </w:rPr>
              <w:t> </w:t>
            </w:r>
            <w:r>
              <w:rPr/>
              <w:t>(FSP)</w:t>
            </w:r>
            <w:r>
              <w:rPr>
                <w:spacing w:val="-1"/>
              </w:rPr>
              <w:t> </w:t>
            </w:r>
            <w:r>
              <w:rPr/>
              <w:t>data</w:t>
              <w:tab/>
              <w:t>207</w:t>
            </w:r>
          </w:hyperlink>
        </w:p>
        <w:p>
          <w:pPr>
            <w:pStyle w:val="TOC2"/>
            <w:numPr>
              <w:ilvl w:val="1"/>
              <w:numId w:val="5"/>
            </w:numPr>
            <w:tabs>
              <w:tab w:pos="1520" w:val="left" w:leader="none"/>
              <w:tab w:pos="8719" w:val="left" w:leader="dot"/>
            </w:tabs>
            <w:spacing w:line="240" w:lineRule="auto" w:before="276" w:after="0"/>
            <w:ind w:left="1520" w:right="0" w:hanging="360"/>
            <w:jc w:val="left"/>
          </w:pPr>
          <w:hyperlink w:history="true" w:anchor="_TOC_250027">
            <w:r>
              <w:rPr/>
              <w:t>Summary</w:t>
              <w:tab/>
              <w:t>211</w:t>
            </w:r>
          </w:hyperlink>
        </w:p>
        <w:p>
          <w:pPr>
            <w:pStyle w:val="TOC1"/>
            <w:tabs>
              <w:tab w:pos="8719" w:val="left" w:leader="dot"/>
            </w:tabs>
            <w:ind w:right="119"/>
          </w:pPr>
          <w:r>
            <w:rPr/>
            <w:t>CHAPTER 6: RESISTANCE MECHANISMS FOR BALLISTIC PENETRATION OF</w:t>
          </w:r>
          <w:r>
            <w:rPr>
              <w:spacing w:val="1"/>
            </w:rPr>
            <w:t> </w:t>
          </w:r>
          <w:r>
            <w:rPr/>
            <w:t>CLT</w:t>
            <w:tab/>
          </w:r>
          <w:r>
            <w:rPr>
              <w:spacing w:val="-2"/>
            </w:rPr>
            <w:t>213</w:t>
          </w:r>
        </w:p>
        <w:p>
          <w:pPr>
            <w:pStyle w:val="TOC2"/>
            <w:numPr>
              <w:ilvl w:val="1"/>
              <w:numId w:val="6"/>
            </w:numPr>
            <w:tabs>
              <w:tab w:pos="1520" w:val="left" w:leader="none"/>
              <w:tab w:pos="8719" w:val="left" w:leader="dot"/>
            </w:tabs>
            <w:spacing w:line="240" w:lineRule="auto" w:before="275" w:after="0"/>
            <w:ind w:left="1520" w:right="0" w:hanging="360"/>
            <w:jc w:val="left"/>
          </w:pPr>
          <w:hyperlink w:history="true" w:anchor="_TOC_250026">
            <w:r>
              <w:rPr/>
              <w:t>Introduction</w:t>
              <w:tab/>
              <w:t>213</w:t>
            </w:r>
          </w:hyperlink>
        </w:p>
        <w:p>
          <w:pPr>
            <w:pStyle w:val="TOC2"/>
            <w:numPr>
              <w:ilvl w:val="1"/>
              <w:numId w:val="6"/>
            </w:numPr>
            <w:tabs>
              <w:tab w:pos="1520" w:val="left" w:leader="none"/>
              <w:tab w:pos="8719" w:val="left" w:leader="dot"/>
            </w:tabs>
            <w:spacing w:line="240" w:lineRule="auto" w:before="276" w:after="0"/>
            <w:ind w:left="1520" w:right="0" w:hanging="360"/>
            <w:jc w:val="left"/>
          </w:pPr>
          <w:hyperlink w:history="true" w:anchor="_TOC_250025">
            <w:r>
              <w:rPr/>
              <w:t>Toughness</w:t>
              <w:tab/>
              <w:t>214</w:t>
            </w:r>
          </w:hyperlink>
        </w:p>
        <w:p>
          <w:pPr>
            <w:pStyle w:val="TOC2"/>
            <w:numPr>
              <w:ilvl w:val="1"/>
              <w:numId w:val="6"/>
            </w:numPr>
            <w:tabs>
              <w:tab w:pos="1520" w:val="left" w:leader="none"/>
              <w:tab w:pos="8719" w:val="left" w:leader="dot"/>
            </w:tabs>
            <w:spacing w:line="240" w:lineRule="auto" w:before="276" w:after="0"/>
            <w:ind w:left="1520" w:right="0" w:hanging="361"/>
            <w:jc w:val="left"/>
          </w:pPr>
          <w:r>
            <w:rPr/>
            <w:t>Observable</w:t>
          </w:r>
          <w:r>
            <w:rPr>
              <w:spacing w:val="-2"/>
            </w:rPr>
            <w:t> </w:t>
          </w:r>
          <w:r>
            <w:rPr/>
            <w:t>characteristics</w:t>
          </w:r>
          <w:r>
            <w:rPr>
              <w:spacing w:val="-2"/>
            </w:rPr>
            <w:t> </w:t>
          </w:r>
          <w:r>
            <w:rPr/>
            <w:t>in</w:t>
          </w:r>
          <w:r>
            <w:rPr>
              <w:spacing w:val="-1"/>
            </w:rPr>
            <w:t> </w:t>
          </w:r>
          <w:r>
            <w:rPr/>
            <w:t>wood</w:t>
          </w:r>
          <w:r>
            <w:rPr>
              <w:spacing w:val="-2"/>
            </w:rPr>
            <w:t> </w:t>
          </w:r>
          <w:r>
            <w:rPr/>
            <w:t>and</w:t>
          </w:r>
          <w:r>
            <w:rPr>
              <w:spacing w:val="-1"/>
            </w:rPr>
            <w:t> </w:t>
          </w:r>
          <w:r>
            <w:rPr/>
            <w:t>CLT</w:t>
            <w:tab/>
            <w:t>216</w:t>
          </w:r>
        </w:p>
        <w:p>
          <w:pPr>
            <w:pStyle w:val="TOC2"/>
            <w:numPr>
              <w:ilvl w:val="1"/>
              <w:numId w:val="6"/>
            </w:numPr>
            <w:tabs>
              <w:tab w:pos="1520" w:val="left" w:leader="none"/>
              <w:tab w:pos="8719" w:val="left" w:leader="dot"/>
            </w:tabs>
            <w:spacing w:line="240" w:lineRule="auto" w:before="276" w:after="0"/>
            <w:ind w:left="1520" w:right="0" w:hanging="360"/>
            <w:jc w:val="left"/>
          </w:pPr>
          <w:r>
            <w:rPr/>
            <w:t>Previous</w:t>
          </w:r>
          <w:r>
            <w:rPr>
              <w:spacing w:val="-2"/>
            </w:rPr>
            <w:t> </w:t>
          </w:r>
          <w:r>
            <w:rPr/>
            <w:t>work</w:t>
          </w:r>
          <w:r>
            <w:rPr>
              <w:spacing w:val="-1"/>
            </w:rPr>
            <w:t> </w:t>
          </w:r>
          <w:r>
            <w:rPr/>
            <w:t>with dynamic</w:t>
          </w:r>
          <w:r>
            <w:rPr>
              <w:spacing w:val="-1"/>
            </w:rPr>
            <w:t> </w:t>
          </w:r>
          <w:r>
            <w:rPr/>
            <w:t>loading</w:t>
          </w:r>
          <w:r>
            <w:rPr>
              <w:spacing w:val="-1"/>
            </w:rPr>
            <w:t> </w:t>
          </w:r>
          <w:r>
            <w:rPr/>
            <w:t>of</w:t>
          </w:r>
          <w:r>
            <w:rPr>
              <w:spacing w:val="-1"/>
            </w:rPr>
            <w:t> </w:t>
          </w:r>
          <w:r>
            <w:rPr/>
            <w:t>wood and</w:t>
          </w:r>
          <w:r>
            <w:rPr>
              <w:spacing w:val="-1"/>
            </w:rPr>
            <w:t> </w:t>
          </w:r>
          <w:r>
            <w:rPr/>
            <w:t>wood products</w:t>
            <w:tab/>
            <w:t>217</w:t>
          </w:r>
        </w:p>
        <w:p>
          <w:pPr>
            <w:pStyle w:val="TOC2"/>
            <w:numPr>
              <w:ilvl w:val="1"/>
              <w:numId w:val="6"/>
            </w:numPr>
            <w:tabs>
              <w:tab w:pos="1522" w:val="left" w:leader="none"/>
              <w:tab w:pos="8719" w:val="left" w:leader="dot"/>
            </w:tabs>
            <w:spacing w:line="240" w:lineRule="auto" w:before="276" w:after="0"/>
            <w:ind w:left="1521" w:right="0" w:hanging="362"/>
            <w:jc w:val="left"/>
          </w:pPr>
          <w:hyperlink w:history="true" w:anchor="_TOC_250024">
            <w:r>
              <w:rPr/>
              <w:t>Wood</w:t>
            </w:r>
            <w:r>
              <w:rPr>
                <w:spacing w:val="-2"/>
              </w:rPr>
              <w:t> </w:t>
            </w:r>
            <w:r>
              <w:rPr/>
              <w:t>failure</w:t>
            </w:r>
            <w:r>
              <w:rPr>
                <w:spacing w:val="-1"/>
              </w:rPr>
              <w:t> </w:t>
            </w:r>
            <w:r>
              <w:rPr/>
              <w:t>modes</w:t>
              <w:tab/>
              <w:t>220</w:t>
            </w:r>
          </w:hyperlink>
        </w:p>
        <w:p>
          <w:pPr>
            <w:pStyle w:val="TOC4"/>
            <w:numPr>
              <w:ilvl w:val="2"/>
              <w:numId w:val="6"/>
            </w:numPr>
            <w:tabs>
              <w:tab w:pos="2062" w:val="left" w:leader="none"/>
              <w:tab w:pos="8719" w:val="left" w:leader="dot"/>
            </w:tabs>
            <w:spacing w:line="240" w:lineRule="auto" w:before="0" w:after="0"/>
            <w:ind w:left="2061" w:right="0" w:hanging="542"/>
            <w:jc w:val="left"/>
          </w:pPr>
          <w:r>
            <w:rPr/>
            <w:t>Wood</w:t>
          </w:r>
          <w:r>
            <w:rPr>
              <w:spacing w:val="-1"/>
            </w:rPr>
            <w:t> </w:t>
          </w:r>
          <w:r>
            <w:rPr/>
            <w:t>failure</w:t>
          </w:r>
          <w:r>
            <w:rPr>
              <w:spacing w:val="-1"/>
            </w:rPr>
            <w:t> </w:t>
          </w:r>
          <w:r>
            <w:rPr/>
            <w:t>under</w:t>
          </w:r>
          <w:r>
            <w:rPr>
              <w:spacing w:val="-1"/>
            </w:rPr>
            <w:t> </w:t>
          </w:r>
          <w:r>
            <w:rPr/>
            <w:t>various</w:t>
          </w:r>
          <w:r>
            <w:rPr>
              <w:spacing w:val="-2"/>
            </w:rPr>
            <w:t> </w:t>
          </w:r>
          <w:r>
            <w:rPr/>
            <w:t>loading</w:t>
          </w:r>
          <w:r>
            <w:rPr>
              <w:spacing w:val="-1"/>
            </w:rPr>
            <w:t> </w:t>
          </w:r>
          <w:r>
            <w:rPr/>
            <w:t>conditions</w:t>
            <w:tab/>
            <w:t>220</w:t>
          </w:r>
        </w:p>
        <w:p>
          <w:pPr>
            <w:pStyle w:val="TOC4"/>
            <w:numPr>
              <w:ilvl w:val="2"/>
              <w:numId w:val="6"/>
            </w:numPr>
            <w:tabs>
              <w:tab w:pos="2062" w:val="left" w:leader="none"/>
              <w:tab w:pos="8719" w:val="left" w:leader="dot"/>
            </w:tabs>
            <w:spacing w:line="240" w:lineRule="auto" w:before="0" w:after="0"/>
            <w:ind w:left="2061" w:right="0" w:hanging="542"/>
            <w:jc w:val="left"/>
          </w:pPr>
          <w:r>
            <w:rPr/>
            <w:t>Wood</w:t>
          </w:r>
          <w:r>
            <w:rPr>
              <w:spacing w:val="-2"/>
            </w:rPr>
            <w:t> </w:t>
          </w:r>
          <w:r>
            <w:rPr/>
            <w:t>failure</w:t>
          </w:r>
          <w:r>
            <w:rPr>
              <w:spacing w:val="-2"/>
            </w:rPr>
            <w:t> </w:t>
          </w:r>
          <w:r>
            <w:rPr/>
            <w:t>modes</w:t>
          </w:r>
          <w:r>
            <w:rPr>
              <w:spacing w:val="-1"/>
            </w:rPr>
            <w:t> </w:t>
          </w:r>
          <w:r>
            <w:rPr/>
            <w:t>in</w:t>
          </w:r>
          <w:r>
            <w:rPr>
              <w:spacing w:val="-1"/>
            </w:rPr>
            <w:t> </w:t>
          </w:r>
          <w:r>
            <w:rPr/>
            <w:t>CLT</w:t>
          </w:r>
          <w:r>
            <w:rPr>
              <w:spacing w:val="-1"/>
            </w:rPr>
            <w:t> </w:t>
          </w:r>
          <w:r>
            <w:rPr/>
            <w:t>with</w:t>
          </w:r>
          <w:r>
            <w:rPr>
              <w:spacing w:val="-1"/>
            </w:rPr>
            <w:t> </w:t>
          </w:r>
          <w:r>
            <w:rPr/>
            <w:t>ballistic</w:t>
          </w:r>
          <w:r>
            <w:rPr>
              <w:spacing w:val="-1"/>
            </w:rPr>
            <w:t> </w:t>
          </w:r>
          <w:r>
            <w:rPr/>
            <w:t>impact</w:t>
            <w:tab/>
            <w:t>223</w:t>
          </w:r>
        </w:p>
        <w:p>
          <w:pPr>
            <w:pStyle w:val="TOC4"/>
            <w:numPr>
              <w:ilvl w:val="2"/>
              <w:numId w:val="6"/>
            </w:numPr>
            <w:tabs>
              <w:tab w:pos="2060" w:val="left" w:leader="none"/>
              <w:tab w:pos="8719" w:val="lef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Influence</w:t>
          </w:r>
          <w:r>
            <w:rPr>
              <w:spacing w:val="-1"/>
            </w:rPr>
            <w:t> </w:t>
          </w:r>
          <w:r>
            <w:rPr/>
            <w:t>of</w:t>
          </w:r>
          <w:r>
            <w:rPr>
              <w:spacing w:val="-2"/>
            </w:rPr>
            <w:t> </w:t>
          </w:r>
          <w:r>
            <w:rPr/>
            <w:t>knots</w:t>
            <w:tab/>
            <w:t>234</w:t>
          </w:r>
        </w:p>
        <w:p>
          <w:pPr>
            <w:pStyle w:val="TOC2"/>
            <w:numPr>
              <w:ilvl w:val="1"/>
              <w:numId w:val="6"/>
            </w:numPr>
            <w:tabs>
              <w:tab w:pos="1520" w:val="left" w:leader="none"/>
              <w:tab w:pos="8719" w:val="left" w:leader="dot"/>
            </w:tabs>
            <w:spacing w:line="240" w:lineRule="auto" w:before="276" w:after="0"/>
            <w:ind w:left="1520" w:right="0" w:hanging="360"/>
            <w:jc w:val="left"/>
          </w:pPr>
          <w:hyperlink w:history="true" w:anchor="_TOC_250023">
            <w:r>
              <w:rPr/>
              <w:t>Outliers</w:t>
              <w:tab/>
              <w:t>235</w:t>
            </w:r>
          </w:hyperlink>
        </w:p>
        <w:p>
          <w:pPr>
            <w:pStyle w:val="TOC2"/>
            <w:numPr>
              <w:ilvl w:val="1"/>
              <w:numId w:val="6"/>
            </w:numPr>
            <w:tabs>
              <w:tab w:pos="1520" w:val="left" w:leader="none"/>
              <w:tab w:pos="8719" w:val="left" w:leader="dot"/>
            </w:tabs>
            <w:spacing w:line="240" w:lineRule="auto" w:before="276" w:after="0"/>
            <w:ind w:left="1520" w:right="0" w:hanging="360"/>
            <w:jc w:val="left"/>
          </w:pPr>
          <w:hyperlink w:history="true" w:anchor="_TOC_250022">
            <w:r>
              <w:rPr/>
              <w:t>Summary</w:t>
              <w:tab/>
              <w:t>238</w:t>
            </w:r>
          </w:hyperlink>
        </w:p>
        <w:p>
          <w:pPr>
            <w:pStyle w:val="TOC1"/>
            <w:tabs>
              <w:tab w:pos="8719" w:val="left" w:leader="dot"/>
            </w:tabs>
            <w:spacing w:after="240"/>
          </w:pPr>
          <w:hyperlink w:history="true" w:anchor="_TOC_250021">
            <w:r>
              <w:rPr/>
              <w:t>CHAPTER</w:t>
            </w:r>
            <w:r>
              <w:rPr>
                <w:spacing w:val="-3"/>
              </w:rPr>
              <w:t> </w:t>
            </w:r>
            <w:r>
              <w:rPr/>
              <w:t>7:</w:t>
            </w:r>
            <w:r>
              <w:rPr>
                <w:spacing w:val="-3"/>
              </w:rPr>
              <w:t> </w:t>
            </w:r>
            <w:r>
              <w:rPr/>
              <w:t>ENHANCED</w:t>
            </w:r>
            <w:r>
              <w:rPr>
                <w:spacing w:val="-3"/>
              </w:rPr>
              <w:t> </w:t>
            </w:r>
            <w:r>
              <w:rPr/>
              <w:t>CLT</w:t>
            </w:r>
            <w:r>
              <w:rPr>
                <w:spacing w:val="-4"/>
              </w:rPr>
              <w:t> </w:t>
            </w:r>
            <w:r>
              <w:rPr/>
              <w:t>(ECLT)</w:t>
              <w:tab/>
              <w:t>239</w:t>
            </w:r>
          </w:hyperlink>
        </w:p>
        <w:p>
          <w:pPr>
            <w:pStyle w:val="TOC2"/>
            <w:numPr>
              <w:ilvl w:val="1"/>
              <w:numId w:val="7"/>
            </w:numPr>
            <w:tabs>
              <w:tab w:pos="1520" w:val="left" w:leader="none"/>
              <w:tab w:pos="9079" w:val="right" w:leader="dot"/>
            </w:tabs>
            <w:spacing w:line="240" w:lineRule="auto" w:before="78" w:after="0"/>
            <w:ind w:left="1520" w:right="0" w:hanging="360"/>
            <w:jc w:val="left"/>
          </w:pPr>
          <w:hyperlink w:history="true" w:anchor="_TOC_250020">
            <w:r>
              <w:rPr/>
              <w:t>Introduction</w:t>
              <w:tab/>
              <w:t>239</w:t>
            </w:r>
          </w:hyperlink>
        </w:p>
        <w:p>
          <w:pPr>
            <w:pStyle w:val="TOC2"/>
            <w:numPr>
              <w:ilvl w:val="1"/>
              <w:numId w:val="7"/>
            </w:numPr>
            <w:tabs>
              <w:tab w:pos="1520" w:val="left" w:leader="none"/>
              <w:tab w:pos="9079" w:val="right" w:leader="dot"/>
            </w:tabs>
            <w:spacing w:line="240" w:lineRule="auto" w:before="276" w:after="0"/>
            <w:ind w:left="1520" w:right="0" w:hanging="360"/>
            <w:jc w:val="left"/>
          </w:pPr>
          <w:hyperlink w:history="true" w:anchor="_TOC_250019">
            <w:r>
              <w:rPr/>
              <w:t>Methodology</w:t>
              <w:tab/>
              <w:t>240</w:t>
            </w:r>
          </w:hyperlink>
        </w:p>
        <w:p>
          <w:pPr>
            <w:pStyle w:val="TOC4"/>
            <w:numPr>
              <w:ilvl w:val="2"/>
              <w:numId w:val="7"/>
            </w:numPr>
            <w:tabs>
              <w:tab w:pos="2060" w:val="left" w:leader="none"/>
              <w:tab w:pos="9079" w:val="righ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Enhancing</w:t>
          </w:r>
          <w:r>
            <w:rPr>
              <w:spacing w:val="-1"/>
            </w:rPr>
            <w:t> </w:t>
          </w:r>
          <w:r>
            <w:rPr/>
            <w:t>layer materials</w:t>
            <w:tab/>
            <w:t>240</w:t>
          </w:r>
        </w:p>
        <w:p>
          <w:pPr>
            <w:pStyle w:val="TOC4"/>
            <w:numPr>
              <w:ilvl w:val="2"/>
              <w:numId w:val="7"/>
            </w:numPr>
            <w:tabs>
              <w:tab w:pos="2060" w:val="left" w:leader="none"/>
              <w:tab w:pos="9079" w:val="righ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Production</w:t>
          </w:r>
          <w:r>
            <w:rPr>
              <w:spacing w:val="-1"/>
            </w:rPr>
            <w:t> </w:t>
          </w:r>
          <w:r>
            <w:rPr/>
            <w:t>of</w:t>
          </w:r>
          <w:r>
            <w:rPr>
              <w:spacing w:val="-2"/>
            </w:rPr>
            <w:t> </w:t>
          </w:r>
          <w:r>
            <w:rPr/>
            <w:t>ECLT</w:t>
            <w:tab/>
            <w:t>241</w:t>
          </w:r>
        </w:p>
        <w:p>
          <w:pPr>
            <w:pStyle w:val="TOC2"/>
            <w:numPr>
              <w:ilvl w:val="1"/>
              <w:numId w:val="7"/>
            </w:numPr>
            <w:tabs>
              <w:tab w:pos="1520" w:val="left" w:leader="none"/>
              <w:tab w:pos="9079" w:val="right" w:leader="dot"/>
            </w:tabs>
            <w:spacing w:line="240" w:lineRule="auto" w:before="276" w:after="0"/>
            <w:ind w:left="1520" w:right="0" w:hanging="360"/>
            <w:jc w:val="left"/>
          </w:pPr>
          <w:hyperlink w:history="true" w:anchor="_TOC_250018">
            <w:r>
              <w:rPr/>
              <w:t>Results</w:t>
            </w:r>
            <w:r>
              <w:rPr>
                <w:spacing w:val="-2"/>
              </w:rPr>
              <w:t> </w:t>
            </w:r>
            <w:r>
              <w:rPr/>
              <w:t>and Discussion</w:t>
              <w:tab/>
              <w:t>258</w:t>
            </w:r>
          </w:hyperlink>
        </w:p>
        <w:p>
          <w:pPr>
            <w:pStyle w:val="TOC4"/>
            <w:numPr>
              <w:ilvl w:val="2"/>
              <w:numId w:val="7"/>
            </w:numPr>
            <w:tabs>
              <w:tab w:pos="2060" w:val="left" w:leader="none"/>
              <w:tab w:pos="9079" w:val="righ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Perforated</w:t>
          </w:r>
          <w:r>
            <w:rPr>
              <w:spacing w:val="-1"/>
            </w:rPr>
            <w:t> </w:t>
          </w:r>
          <w:r>
            <w:rPr/>
            <w:t>metal plates</w:t>
            <w:tab/>
            <w:t>259</w:t>
          </w:r>
        </w:p>
        <w:p>
          <w:pPr>
            <w:pStyle w:val="TOC4"/>
            <w:numPr>
              <w:ilvl w:val="2"/>
              <w:numId w:val="7"/>
            </w:numPr>
            <w:tabs>
              <w:tab w:pos="2060" w:val="left" w:leader="none"/>
              <w:tab w:pos="9079" w:val="righ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Aramid</w:t>
          </w:r>
          <w:r>
            <w:rPr>
              <w:spacing w:val="-1"/>
            </w:rPr>
            <w:t> </w:t>
          </w:r>
          <w:r>
            <w:rPr/>
            <w:t>epoxy</w:t>
          </w:r>
          <w:r>
            <w:rPr>
              <w:spacing w:val="1"/>
            </w:rPr>
            <w:t> </w:t>
          </w:r>
          <w:r>
            <w:rPr/>
            <w:t>panels</w:t>
            <w:tab/>
            <w:t>266</w:t>
          </w:r>
        </w:p>
        <w:p>
          <w:pPr>
            <w:pStyle w:val="TOC4"/>
            <w:numPr>
              <w:ilvl w:val="2"/>
              <w:numId w:val="7"/>
            </w:numPr>
            <w:tabs>
              <w:tab w:pos="2060" w:val="left" w:leader="none"/>
              <w:tab w:pos="9079" w:val="righ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Steel</w:t>
          </w:r>
          <w:r>
            <w:rPr>
              <w:spacing w:val="-1"/>
            </w:rPr>
            <w:t> </w:t>
          </w:r>
          <w:r>
            <w:rPr/>
            <w:t>plates</w:t>
          </w:r>
          <w:r>
            <w:rPr>
              <w:spacing w:val="-1"/>
            </w:rPr>
            <w:t> </w:t>
          </w:r>
          <w:r>
            <w:rPr/>
            <w:t>(solid)</w:t>
            <w:tab/>
            <w:t>270</w:t>
          </w:r>
        </w:p>
        <w:p>
          <w:pPr>
            <w:pStyle w:val="TOC4"/>
            <w:numPr>
              <w:ilvl w:val="2"/>
              <w:numId w:val="7"/>
            </w:numPr>
            <w:tabs>
              <w:tab w:pos="2060" w:val="left" w:leader="none"/>
              <w:tab w:pos="9079" w:val="righ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Ultra-high</w:t>
          </w:r>
          <w:r>
            <w:rPr>
              <w:spacing w:val="-1"/>
            </w:rPr>
            <w:t> </w:t>
          </w:r>
          <w:r>
            <w:rPr/>
            <w:t>molecular</w:t>
          </w:r>
          <w:r>
            <w:rPr>
              <w:spacing w:val="-1"/>
            </w:rPr>
            <w:t> </w:t>
          </w:r>
          <w:r>
            <w:rPr/>
            <w:t>weight</w:t>
          </w:r>
          <w:r>
            <w:rPr>
              <w:spacing w:val="-1"/>
            </w:rPr>
            <w:t> </w:t>
          </w:r>
          <w:r>
            <w:rPr/>
            <w:t>polyethylene</w:t>
          </w:r>
          <w:r>
            <w:rPr>
              <w:spacing w:val="-1"/>
            </w:rPr>
            <w:t> </w:t>
          </w:r>
          <w:r>
            <w:rPr/>
            <w:t>(UHMWPE) panel</w:t>
            <w:tab/>
            <w:t>277</w:t>
          </w:r>
        </w:p>
        <w:p>
          <w:pPr>
            <w:pStyle w:val="TOC4"/>
            <w:numPr>
              <w:ilvl w:val="2"/>
              <w:numId w:val="7"/>
            </w:numPr>
            <w:tabs>
              <w:tab w:pos="2060" w:val="left" w:leader="none"/>
              <w:tab w:pos="9079" w:val="righ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Fiberglass</w:t>
          </w:r>
          <w:r>
            <w:rPr>
              <w:spacing w:val="-1"/>
            </w:rPr>
            <w:t> </w:t>
          </w:r>
          <w:r>
            <w:rPr/>
            <w:t>fabric</w:t>
            <w:tab/>
            <w:t>282</w:t>
          </w:r>
        </w:p>
        <w:p>
          <w:pPr>
            <w:pStyle w:val="TOC2"/>
            <w:numPr>
              <w:ilvl w:val="1"/>
              <w:numId w:val="7"/>
            </w:numPr>
            <w:tabs>
              <w:tab w:pos="1522" w:val="left" w:leader="none"/>
              <w:tab w:pos="9079" w:val="right" w:leader="dot"/>
            </w:tabs>
            <w:spacing w:line="240" w:lineRule="auto" w:before="276" w:after="0"/>
            <w:ind w:left="1521" w:right="0" w:hanging="363"/>
            <w:jc w:val="left"/>
          </w:pPr>
          <w:hyperlink w:history="true" w:anchor="_TOC_250017">
            <w:r>
              <w:rPr/>
              <w:t>Weight</w:t>
            </w:r>
            <w:r>
              <w:rPr>
                <w:spacing w:val="-1"/>
              </w:rPr>
              <w:t> </w:t>
            </w:r>
            <w:r>
              <w:rPr/>
              <w:t>analysis</w:t>
              <w:tab/>
              <w:t>288</w:t>
            </w:r>
          </w:hyperlink>
        </w:p>
        <w:p>
          <w:pPr>
            <w:pStyle w:val="TOC4"/>
            <w:numPr>
              <w:ilvl w:val="2"/>
              <w:numId w:val="7"/>
            </w:numPr>
            <w:tabs>
              <w:tab w:pos="2060" w:val="left" w:leader="none"/>
              <w:tab w:pos="9079" w:val="righ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Areal</w:t>
          </w:r>
          <w:r>
            <w:rPr>
              <w:spacing w:val="-1"/>
            </w:rPr>
            <w:t> </w:t>
          </w:r>
          <w:r>
            <w:rPr/>
            <w:t>density</w:t>
            <w:tab/>
            <w:t>288</w:t>
          </w:r>
        </w:p>
        <w:p>
          <w:pPr>
            <w:pStyle w:val="TOC2"/>
            <w:numPr>
              <w:ilvl w:val="1"/>
              <w:numId w:val="7"/>
            </w:numPr>
            <w:tabs>
              <w:tab w:pos="1520" w:val="left" w:leader="none"/>
              <w:tab w:pos="9079" w:val="right" w:leader="dot"/>
            </w:tabs>
            <w:spacing w:line="240" w:lineRule="auto" w:before="276" w:after="0"/>
            <w:ind w:left="1520" w:right="0" w:hanging="361"/>
            <w:jc w:val="left"/>
          </w:pPr>
          <w:hyperlink w:history="true" w:anchor="_TOC_250016">
            <w:r>
              <w:rPr/>
              <w:t>Cost</w:t>
            </w:r>
            <w:r>
              <w:rPr>
                <w:spacing w:val="-1"/>
              </w:rPr>
              <w:t> </w:t>
            </w:r>
            <w:r>
              <w:rPr/>
              <w:t>benefit analysis</w:t>
              <w:tab/>
              <w:t>290</w:t>
            </w:r>
          </w:hyperlink>
        </w:p>
        <w:p>
          <w:pPr>
            <w:pStyle w:val="TOC2"/>
            <w:numPr>
              <w:ilvl w:val="1"/>
              <w:numId w:val="7"/>
            </w:numPr>
            <w:tabs>
              <w:tab w:pos="1520" w:val="left" w:leader="none"/>
              <w:tab w:pos="9079" w:val="right" w:leader="dot"/>
            </w:tabs>
            <w:spacing w:line="240" w:lineRule="auto" w:before="276" w:after="0"/>
            <w:ind w:left="1520" w:right="0" w:hanging="360"/>
            <w:jc w:val="left"/>
          </w:pPr>
          <w:hyperlink w:history="true" w:anchor="_TOC_250015">
            <w:r>
              <w:rPr/>
              <w:t>Summary</w:t>
              <w:tab/>
              <w:t>298</w:t>
            </w:r>
          </w:hyperlink>
        </w:p>
        <w:p>
          <w:pPr>
            <w:pStyle w:val="TOC1"/>
            <w:tabs>
              <w:tab w:pos="9079" w:val="right" w:leader="dot"/>
            </w:tabs>
          </w:pPr>
          <w:r>
            <w:rPr/>
            <w:t>CHAPTER</w:t>
          </w:r>
          <w:r>
            <w:rPr>
              <w:spacing w:val="-1"/>
            </w:rPr>
            <w:t> </w:t>
          </w:r>
          <w:r>
            <w:rPr/>
            <w:t>8:</w:t>
          </w:r>
          <w:r>
            <w:rPr>
              <w:spacing w:val="-1"/>
            </w:rPr>
            <w:t> </w:t>
          </w:r>
          <w:r>
            <w:rPr/>
            <w:t>CLT</w:t>
          </w:r>
          <w:r>
            <w:rPr>
              <w:spacing w:val="-1"/>
            </w:rPr>
            <w:t> </w:t>
          </w:r>
          <w:r>
            <w:rPr/>
            <w:t>BLAST</w:t>
          </w:r>
          <w:r>
            <w:rPr>
              <w:spacing w:val="-2"/>
            </w:rPr>
            <w:t> </w:t>
          </w:r>
          <w:r>
            <w:rPr/>
            <w:t>PERFORMANCE AND</w:t>
          </w:r>
          <w:r>
            <w:rPr>
              <w:spacing w:val="-1"/>
            </w:rPr>
            <w:t> </w:t>
          </w:r>
          <w:r>
            <w:rPr/>
            <w:t>ANALYSIS</w:t>
            <w:tab/>
            <w:t>300</w:t>
          </w:r>
        </w:p>
        <w:p>
          <w:pPr>
            <w:pStyle w:val="TOC2"/>
            <w:numPr>
              <w:ilvl w:val="1"/>
              <w:numId w:val="8"/>
            </w:numPr>
            <w:tabs>
              <w:tab w:pos="1520" w:val="left" w:leader="none"/>
              <w:tab w:pos="9079" w:val="right" w:leader="dot"/>
            </w:tabs>
            <w:spacing w:line="240" w:lineRule="auto" w:before="276" w:after="0"/>
            <w:ind w:left="1520" w:right="0" w:hanging="360"/>
            <w:jc w:val="left"/>
          </w:pPr>
          <w:hyperlink w:history="true" w:anchor="_TOC_250014">
            <w:r>
              <w:rPr/>
              <w:t>Fundamentals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-1"/>
              </w:rPr>
              <w:t> </w:t>
            </w:r>
            <w:r>
              <w:rPr/>
              <w:t>blast loading</w:t>
              <w:tab/>
              <w:t>300</w:t>
            </w:r>
          </w:hyperlink>
        </w:p>
        <w:p>
          <w:pPr>
            <w:pStyle w:val="TOC5"/>
            <w:tabs>
              <w:tab w:pos="9079" w:val="right" w:leader="dot"/>
            </w:tabs>
            <w:ind w:left="1580" w:firstLine="0"/>
          </w:pPr>
          <w:r>
            <w:rPr/>
            <w:t>8.1.2</w:t>
          </w:r>
          <w:r>
            <w:rPr>
              <w:spacing w:val="-1"/>
            </w:rPr>
            <w:t> </w:t>
          </w:r>
          <w:r>
            <w:rPr/>
            <w:t>Blast loads</w:t>
            <w:tab/>
            <w:t>300</w:t>
          </w:r>
        </w:p>
        <w:p>
          <w:pPr>
            <w:pStyle w:val="TOC5"/>
            <w:numPr>
              <w:ilvl w:val="2"/>
              <w:numId w:val="9"/>
            </w:numPr>
            <w:tabs>
              <w:tab w:pos="2150" w:val="left" w:leader="none"/>
              <w:tab w:pos="9079" w:val="right" w:leader="dot"/>
            </w:tabs>
            <w:spacing w:line="275" w:lineRule="exact" w:before="0" w:after="0"/>
            <w:ind w:left="2150" w:right="0" w:hanging="540"/>
            <w:jc w:val="left"/>
          </w:pPr>
          <w:r>
            <w:rPr/>
            <w:t>Single</w:t>
          </w:r>
          <w:r>
            <w:rPr>
              <w:spacing w:val="-1"/>
            </w:rPr>
            <w:t> </w:t>
          </w:r>
          <w:r>
            <w:rPr/>
            <w:t>Degree of</w:t>
          </w:r>
          <w:r>
            <w:rPr>
              <w:spacing w:val="-1"/>
            </w:rPr>
            <w:t> </w:t>
          </w:r>
          <w:r>
            <w:rPr/>
            <w:t>Freedom</w:t>
          </w:r>
          <w:r>
            <w:rPr>
              <w:spacing w:val="-2"/>
            </w:rPr>
            <w:t> </w:t>
          </w:r>
          <w:r>
            <w:rPr/>
            <w:t>(SDOF)</w:t>
          </w:r>
          <w:r>
            <w:rPr>
              <w:spacing w:val="1"/>
            </w:rPr>
            <w:t> </w:t>
          </w:r>
          <w:r>
            <w:rPr/>
            <w:t>model</w:t>
            <w:tab/>
            <w:t>305</w:t>
          </w:r>
        </w:p>
        <w:p>
          <w:pPr>
            <w:pStyle w:val="TOC5"/>
            <w:numPr>
              <w:ilvl w:val="2"/>
              <w:numId w:val="9"/>
            </w:numPr>
            <w:tabs>
              <w:tab w:pos="2150" w:val="left" w:leader="none"/>
              <w:tab w:pos="9079" w:val="right" w:leader="dot"/>
            </w:tabs>
            <w:spacing w:line="275" w:lineRule="exact" w:before="0" w:after="0"/>
            <w:ind w:left="2150" w:right="0" w:hanging="540"/>
            <w:jc w:val="left"/>
          </w:pPr>
          <w:r>
            <w:rPr/>
            <w:t>Resistance</w:t>
          </w:r>
          <w:r>
            <w:rPr>
              <w:spacing w:val="-1"/>
            </w:rPr>
            <w:t> </w:t>
          </w:r>
          <w:r>
            <w:rPr/>
            <w:t>function</w:t>
            <w:tab/>
            <w:t>308</w:t>
          </w:r>
        </w:p>
        <w:p>
          <w:pPr>
            <w:pStyle w:val="TOC5"/>
            <w:numPr>
              <w:ilvl w:val="2"/>
              <w:numId w:val="9"/>
            </w:numPr>
            <w:tabs>
              <w:tab w:pos="2150" w:val="left" w:leader="none"/>
              <w:tab w:pos="9079" w:val="right" w:leader="dot"/>
            </w:tabs>
            <w:spacing w:line="240" w:lineRule="auto" w:before="0" w:after="0"/>
            <w:ind w:left="2150" w:right="0" w:hanging="540"/>
            <w:jc w:val="left"/>
          </w:pPr>
          <w:r>
            <w:rPr/>
            <w:t>Blast</w:t>
          </w:r>
          <w:r>
            <w:rPr>
              <w:spacing w:val="-1"/>
            </w:rPr>
            <w:t> </w:t>
          </w:r>
          <w:r>
            <w:rPr/>
            <w:t>design and Levels of</w:t>
          </w:r>
          <w:r>
            <w:rPr>
              <w:spacing w:val="-1"/>
            </w:rPr>
            <w:t> </w:t>
          </w:r>
          <w:r>
            <w:rPr/>
            <w:t>protection</w:t>
            <w:tab/>
            <w:t>313</w:t>
          </w:r>
        </w:p>
        <w:p>
          <w:pPr>
            <w:pStyle w:val="TOC2"/>
            <w:numPr>
              <w:ilvl w:val="1"/>
              <w:numId w:val="8"/>
            </w:numPr>
            <w:tabs>
              <w:tab w:pos="1520" w:val="left" w:leader="none"/>
              <w:tab w:pos="9079" w:val="right" w:leader="dot"/>
            </w:tabs>
            <w:spacing w:line="240" w:lineRule="auto" w:before="276" w:after="0"/>
            <w:ind w:left="1520" w:right="0" w:hanging="360"/>
            <w:jc w:val="left"/>
          </w:pPr>
          <w:hyperlink w:history="true" w:anchor="_TOC_250013">
            <w:r>
              <w:rPr/>
              <w:t>Previous</w:t>
            </w:r>
            <w:r>
              <w:rPr>
                <w:spacing w:val="-2"/>
              </w:rPr>
              <w:t> </w:t>
            </w:r>
            <w:r>
              <w:rPr/>
              <w:t>work with CLT</w:t>
            </w:r>
            <w:r>
              <w:rPr>
                <w:spacing w:val="-1"/>
              </w:rPr>
              <w:t> </w:t>
            </w:r>
            <w:r>
              <w:rPr/>
              <w:t>and blast</w:t>
              <w:tab/>
              <w:t>314</w:t>
            </w:r>
          </w:hyperlink>
        </w:p>
        <w:p>
          <w:pPr>
            <w:pStyle w:val="TOC5"/>
            <w:numPr>
              <w:ilvl w:val="2"/>
              <w:numId w:val="8"/>
            </w:numPr>
            <w:tabs>
              <w:tab w:pos="2150" w:val="left" w:leader="none"/>
              <w:tab w:pos="9079" w:val="right" w:leader="dot"/>
            </w:tabs>
            <w:spacing w:line="240" w:lineRule="auto" w:before="0" w:after="0"/>
            <w:ind w:left="2150" w:right="0" w:hanging="540"/>
            <w:jc w:val="left"/>
          </w:pPr>
          <w:r>
            <w:rPr/>
            <w:t>Load</w:t>
          </w:r>
          <w:r>
            <w:rPr>
              <w:spacing w:val="-1"/>
            </w:rPr>
            <w:t> </w:t>
          </w:r>
          <w:r>
            <w:rPr/>
            <w:t>duration factor</w:t>
            <w:tab/>
            <w:t>315</w:t>
          </w:r>
        </w:p>
        <w:p>
          <w:pPr>
            <w:pStyle w:val="TOC5"/>
            <w:numPr>
              <w:ilvl w:val="2"/>
              <w:numId w:val="8"/>
            </w:numPr>
            <w:tabs>
              <w:tab w:pos="2150" w:val="left" w:leader="none"/>
              <w:tab w:pos="9079" w:val="right" w:leader="dot"/>
            </w:tabs>
            <w:spacing w:line="240" w:lineRule="auto" w:before="0" w:after="0"/>
            <w:ind w:left="2150" w:right="0" w:hanging="540"/>
            <w:jc w:val="left"/>
          </w:pPr>
          <w:r>
            <w:rPr/>
            <w:t>Shock</w:t>
          </w:r>
          <w:r>
            <w:rPr>
              <w:spacing w:val="-1"/>
            </w:rPr>
            <w:t> </w:t>
          </w:r>
          <w:r>
            <w:rPr/>
            <w:t>tube testing</w:t>
            <w:tab/>
            <w:t>315</w:t>
          </w:r>
        </w:p>
        <w:p>
          <w:pPr>
            <w:pStyle w:val="TOC5"/>
            <w:numPr>
              <w:ilvl w:val="2"/>
              <w:numId w:val="8"/>
            </w:numPr>
            <w:tabs>
              <w:tab w:pos="2150" w:val="left" w:leader="none"/>
              <w:tab w:pos="9079" w:val="right" w:leader="dot"/>
            </w:tabs>
            <w:spacing w:line="240" w:lineRule="auto" w:before="0" w:after="0"/>
            <w:ind w:left="2150" w:right="0" w:hanging="540"/>
            <w:jc w:val="left"/>
          </w:pPr>
          <w:r>
            <w:rPr/>
            <w:t>Live-Blast</w:t>
          </w:r>
          <w:r>
            <w:rPr>
              <w:spacing w:val="-1"/>
            </w:rPr>
            <w:t> </w:t>
          </w:r>
          <w:r>
            <w:rPr/>
            <w:t>Testing</w:t>
            <w:tab/>
            <w:t>317</w:t>
          </w:r>
        </w:p>
        <w:p>
          <w:pPr>
            <w:pStyle w:val="TOC2"/>
            <w:numPr>
              <w:ilvl w:val="1"/>
              <w:numId w:val="8"/>
            </w:numPr>
            <w:tabs>
              <w:tab w:pos="1520" w:val="left" w:leader="none"/>
              <w:tab w:pos="9079" w:val="right" w:leader="dot"/>
            </w:tabs>
            <w:spacing w:line="240" w:lineRule="auto" w:before="276" w:after="0"/>
            <w:ind w:left="1520" w:right="0" w:hanging="360"/>
            <w:jc w:val="left"/>
          </w:pPr>
          <w:hyperlink w:history="true" w:anchor="_TOC_250012">
            <w:r>
              <w:rPr/>
              <w:t>SDOF</w:t>
            </w:r>
            <w:r>
              <w:rPr>
                <w:spacing w:val="-1"/>
              </w:rPr>
              <w:t> </w:t>
            </w:r>
            <w:r>
              <w:rPr/>
              <w:t>model</w:t>
            </w:r>
            <w:r>
              <w:rPr>
                <w:spacing w:val="-1"/>
              </w:rPr>
              <w:t> </w:t>
            </w:r>
            <w:r>
              <w:rPr/>
              <w:t>development and</w:t>
            </w:r>
            <w:r>
              <w:rPr>
                <w:spacing w:val="-1"/>
              </w:rPr>
              <w:t> </w:t>
            </w:r>
            <w:r>
              <w:rPr/>
              <w:t>validation:</w:t>
            </w:r>
            <w:r>
              <w:rPr>
                <w:spacing w:val="-1"/>
              </w:rPr>
              <w:t> </w:t>
            </w:r>
            <w:r>
              <w:rPr/>
              <w:t>a</w:t>
            </w:r>
            <w:r>
              <w:rPr>
                <w:spacing w:val="-1"/>
              </w:rPr>
              <w:t> </w:t>
            </w:r>
            <w:r>
              <w:rPr/>
              <w:t>CLT</w:t>
            </w:r>
            <w:r>
              <w:rPr>
                <w:spacing w:val="-2"/>
              </w:rPr>
              <w:t> </w:t>
            </w:r>
            <w:r>
              <w:rPr/>
              <w:t>blast</w:t>
            </w:r>
            <w:r>
              <w:rPr>
                <w:spacing w:val="-1"/>
              </w:rPr>
              <w:t> </w:t>
            </w:r>
            <w:r>
              <w:rPr/>
              <w:t>analysis</w:t>
            </w:r>
            <w:r>
              <w:rPr>
                <w:spacing w:val="-1"/>
              </w:rPr>
              <w:t> </w:t>
            </w:r>
            <w:r>
              <w:rPr/>
              <w:t>tool</w:t>
              <w:tab/>
              <w:t>320</w:t>
            </w:r>
          </w:hyperlink>
        </w:p>
        <w:p>
          <w:pPr>
            <w:pStyle w:val="TOC4"/>
            <w:numPr>
              <w:ilvl w:val="2"/>
              <w:numId w:val="8"/>
            </w:numPr>
            <w:tabs>
              <w:tab w:pos="2060" w:val="left" w:leader="none"/>
              <w:tab w:pos="9079" w:val="righ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Model</w:t>
          </w:r>
          <w:r>
            <w:rPr>
              <w:spacing w:val="-1"/>
            </w:rPr>
            <w:t> </w:t>
          </w:r>
          <w:r>
            <w:rPr/>
            <w:t>development with</w:t>
          </w:r>
          <w:r>
            <w:rPr>
              <w:spacing w:val="-1"/>
            </w:rPr>
            <w:t> </w:t>
          </w:r>
          <w:r>
            <w:rPr/>
            <w:t>incorporation</w:t>
          </w:r>
          <w:r>
            <w:rPr>
              <w:spacing w:val="-2"/>
            </w:rPr>
            <w:t> </w:t>
          </w:r>
          <w:r>
            <w:rPr/>
            <w:t>of</w:t>
          </w:r>
          <w:r>
            <w:rPr>
              <w:spacing w:val="-2"/>
            </w:rPr>
            <w:t> </w:t>
          </w:r>
          <w:r>
            <w:rPr/>
            <w:t>CLT</w:t>
          </w:r>
          <w:r>
            <w:rPr>
              <w:spacing w:val="-1"/>
            </w:rPr>
            <w:t> </w:t>
          </w:r>
          <w:r>
            <w:rPr/>
            <w:t>parameters</w:t>
            <w:tab/>
            <w:t>320</w:t>
          </w:r>
        </w:p>
        <w:p>
          <w:pPr>
            <w:pStyle w:val="TOC4"/>
            <w:numPr>
              <w:ilvl w:val="2"/>
              <w:numId w:val="8"/>
            </w:numPr>
            <w:tabs>
              <w:tab w:pos="2060" w:val="left" w:leader="none"/>
              <w:tab w:pos="9079" w:val="righ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Validation</w:t>
          </w:r>
          <w:r>
            <w:rPr>
              <w:spacing w:val="-1"/>
            </w:rPr>
            <w:t> </w:t>
          </w:r>
          <w:r>
            <w:rPr/>
            <w:t>of</w:t>
          </w:r>
          <w:r>
            <w:rPr>
              <w:spacing w:val="-1"/>
            </w:rPr>
            <w:t> </w:t>
          </w:r>
          <w:r>
            <w:rPr/>
            <w:t>the CLT</w:t>
          </w:r>
          <w:r>
            <w:rPr>
              <w:spacing w:val="-1"/>
            </w:rPr>
            <w:t> </w:t>
          </w:r>
          <w:r>
            <w:rPr/>
            <w:t>blast analysis</w:t>
          </w:r>
          <w:r>
            <w:rPr>
              <w:spacing w:val="-2"/>
            </w:rPr>
            <w:t> </w:t>
          </w:r>
          <w:r>
            <w:rPr/>
            <w:t>tool</w:t>
            <w:tab/>
            <w:t>336</w:t>
          </w:r>
        </w:p>
        <w:p>
          <w:pPr>
            <w:pStyle w:val="TOC4"/>
            <w:numPr>
              <w:ilvl w:val="2"/>
              <w:numId w:val="8"/>
            </w:numPr>
            <w:tabs>
              <w:tab w:pos="2060" w:val="left" w:leader="none"/>
              <w:tab w:pos="9079" w:val="righ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Model</w:t>
          </w:r>
          <w:r>
            <w:rPr>
              <w:spacing w:val="-1"/>
            </w:rPr>
            <w:t> </w:t>
          </w:r>
          <w:r>
            <w:rPr/>
            <w:t>with proposed</w:t>
          </w:r>
          <w:r>
            <w:rPr>
              <w:spacing w:val="-1"/>
            </w:rPr>
            <w:t> </w:t>
          </w:r>
          <w:r>
            <w:rPr/>
            <w:t>Dynamic Increase Factor</w:t>
          </w:r>
          <w:r>
            <w:rPr>
              <w:spacing w:val="-2"/>
            </w:rPr>
            <w:t> </w:t>
          </w:r>
          <w:r>
            <w:rPr/>
            <w:t>(DIF)</w:t>
            <w:tab/>
            <w:t>341</w:t>
          </w:r>
        </w:p>
        <w:p>
          <w:pPr>
            <w:pStyle w:val="TOC2"/>
            <w:numPr>
              <w:ilvl w:val="1"/>
              <w:numId w:val="8"/>
            </w:numPr>
            <w:tabs>
              <w:tab w:pos="1520" w:val="left" w:leader="none"/>
              <w:tab w:pos="9079" w:val="right" w:leader="dot"/>
            </w:tabs>
            <w:spacing w:line="240" w:lineRule="auto" w:before="276" w:after="0"/>
            <w:ind w:left="1520" w:right="0" w:hanging="360"/>
            <w:jc w:val="left"/>
          </w:pPr>
          <w:hyperlink w:history="true" w:anchor="_TOC_250011">
            <w:r>
              <w:rPr/>
              <w:t>Model</w:t>
            </w:r>
            <w:r>
              <w:rPr>
                <w:spacing w:val="-1"/>
              </w:rPr>
              <w:t> </w:t>
            </w:r>
            <w:r>
              <w:rPr/>
              <w:t>predictions</w:t>
              <w:tab/>
              <w:t>343</w:t>
            </w:r>
          </w:hyperlink>
        </w:p>
        <w:p>
          <w:pPr>
            <w:pStyle w:val="TOC4"/>
            <w:numPr>
              <w:ilvl w:val="2"/>
              <w:numId w:val="8"/>
            </w:numPr>
            <w:tabs>
              <w:tab w:pos="2060" w:val="left" w:leader="none"/>
              <w:tab w:pos="9079" w:val="righ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Effect</w:t>
          </w:r>
          <w:r>
            <w:rPr>
              <w:spacing w:val="-1"/>
            </w:rPr>
            <w:t> </w:t>
          </w:r>
          <w:r>
            <w:rPr/>
            <w:t>of</w:t>
          </w:r>
          <w:r>
            <w:rPr>
              <w:spacing w:val="-1"/>
            </w:rPr>
            <w:t> </w:t>
          </w:r>
          <w:r>
            <w:rPr/>
            <w:t>end conditions</w:t>
            <w:tab/>
            <w:t>343</w:t>
          </w:r>
        </w:p>
        <w:p>
          <w:pPr>
            <w:pStyle w:val="TOC4"/>
            <w:numPr>
              <w:ilvl w:val="2"/>
              <w:numId w:val="8"/>
            </w:numPr>
            <w:tabs>
              <w:tab w:pos="2060" w:val="left" w:leader="none"/>
              <w:tab w:pos="9079" w:val="righ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Effect</w:t>
          </w:r>
          <w:r>
            <w:rPr>
              <w:spacing w:val="-1"/>
            </w:rPr>
            <w:t> </w:t>
          </w:r>
          <w:r>
            <w:rPr/>
            <w:t>of</w:t>
          </w:r>
          <w:r>
            <w:rPr>
              <w:spacing w:val="-1"/>
            </w:rPr>
            <w:t> </w:t>
          </w:r>
          <w:r>
            <w:rPr/>
            <w:t>rolling shear</w:t>
            <w:tab/>
            <w:t>345</w:t>
          </w:r>
        </w:p>
        <w:p>
          <w:pPr>
            <w:pStyle w:val="TOC4"/>
            <w:numPr>
              <w:ilvl w:val="2"/>
              <w:numId w:val="8"/>
            </w:numPr>
            <w:tabs>
              <w:tab w:pos="2060" w:val="left" w:leader="none"/>
              <w:tab w:pos="9079" w:val="righ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Predictions</w:t>
          </w:r>
          <w:r>
            <w:rPr>
              <w:spacing w:val="-1"/>
            </w:rPr>
            <w:t> </w:t>
          </w:r>
          <w:r>
            <w:rPr/>
            <w:t>for</w:t>
          </w:r>
          <w:r>
            <w:rPr>
              <w:spacing w:val="-1"/>
            </w:rPr>
            <w:t> </w:t>
          </w:r>
          <w:r>
            <w:rPr/>
            <w:t>CLT</w:t>
          </w:r>
          <w:r>
            <w:rPr>
              <w:spacing w:val="-1"/>
            </w:rPr>
            <w:t> </w:t>
          </w:r>
          <w:r>
            <w:rPr/>
            <w:t>Grade</w:t>
          </w:r>
          <w:r>
            <w:rPr>
              <w:spacing w:val="-1"/>
            </w:rPr>
            <w:t> </w:t>
          </w:r>
          <w:r>
            <w:rPr/>
            <w:t>V3, Southern Yellow</w:t>
          </w:r>
          <w:r>
            <w:rPr>
              <w:spacing w:val="-2"/>
            </w:rPr>
            <w:t> </w:t>
          </w:r>
          <w:r>
            <w:rPr/>
            <w:t>Pine</w:t>
            <w:tab/>
            <w:t>347</w:t>
          </w:r>
        </w:p>
        <w:p>
          <w:pPr>
            <w:pStyle w:val="TOC4"/>
            <w:numPr>
              <w:ilvl w:val="2"/>
              <w:numId w:val="8"/>
            </w:numPr>
            <w:tabs>
              <w:tab w:pos="2060" w:val="left" w:leader="none"/>
              <w:tab w:pos="9079" w:val="righ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The</w:t>
          </w:r>
          <w:r>
            <w:rPr>
              <w:spacing w:val="-1"/>
            </w:rPr>
            <w:t> </w:t>
          </w:r>
          <w:r>
            <w:rPr/>
            <w:t>CLT</w:t>
          </w:r>
          <w:r>
            <w:rPr>
              <w:spacing w:val="-1"/>
            </w:rPr>
            <w:t> </w:t>
          </w:r>
          <w:r>
            <w:rPr/>
            <w:t>blast</w:t>
          </w:r>
          <w:r>
            <w:rPr>
              <w:spacing w:val="-1"/>
            </w:rPr>
            <w:t> </w:t>
          </w:r>
          <w:r>
            <w:rPr/>
            <w:t>analysis</w:t>
          </w:r>
          <w:r>
            <w:rPr>
              <w:spacing w:val="-1"/>
            </w:rPr>
            <w:t> </w:t>
          </w:r>
          <w:r>
            <w:rPr/>
            <w:t>tool</w:t>
          </w:r>
          <w:r>
            <w:rPr>
              <w:spacing w:val="-1"/>
            </w:rPr>
            <w:t> </w:t>
          </w:r>
          <w:r>
            <w:rPr/>
            <w:t>– future development</w:t>
            <w:tab/>
            <w:t>347</w:t>
          </w:r>
        </w:p>
        <w:p>
          <w:pPr>
            <w:pStyle w:val="TOC2"/>
            <w:numPr>
              <w:ilvl w:val="1"/>
              <w:numId w:val="8"/>
            </w:numPr>
            <w:tabs>
              <w:tab w:pos="1520" w:val="left" w:leader="none"/>
              <w:tab w:pos="9079" w:val="right" w:leader="dot"/>
            </w:tabs>
            <w:spacing w:line="240" w:lineRule="auto" w:before="276" w:after="240"/>
            <w:ind w:left="1520" w:right="0" w:hanging="360"/>
            <w:jc w:val="left"/>
          </w:pPr>
          <w:hyperlink w:history="true" w:anchor="_TOC_250010">
            <w:r>
              <w:rPr/>
              <w:t>Summary</w:t>
              <w:tab/>
              <w:t>350</w:t>
            </w:r>
          </w:hyperlink>
        </w:p>
        <w:p>
          <w:pPr>
            <w:pStyle w:val="TOC1"/>
            <w:tabs>
              <w:tab w:pos="8719" w:val="left" w:leader="dot"/>
            </w:tabs>
            <w:spacing w:before="78"/>
            <w:ind w:right="119"/>
          </w:pPr>
          <w:r>
            <w:rPr/>
            <w:t>CHAPTER 9: ASSESSING CLT FOR USE IN TEMPORARY MILITARY</w:t>
          </w:r>
          <w:r>
            <w:rPr>
              <w:spacing w:val="1"/>
            </w:rPr>
            <w:t> </w:t>
          </w:r>
          <w:r>
            <w:rPr/>
            <w:t>STRUCTURES</w:t>
            <w:tab/>
          </w:r>
          <w:r>
            <w:rPr>
              <w:spacing w:val="-2"/>
            </w:rPr>
            <w:t>351</w:t>
          </w:r>
        </w:p>
        <w:p>
          <w:pPr>
            <w:pStyle w:val="TOC2"/>
            <w:numPr>
              <w:ilvl w:val="1"/>
              <w:numId w:val="10"/>
            </w:numPr>
            <w:tabs>
              <w:tab w:pos="1520" w:val="left" w:leader="none"/>
              <w:tab w:pos="8719" w:val="left" w:leader="dot"/>
            </w:tabs>
            <w:spacing w:line="240" w:lineRule="auto" w:before="276" w:after="0"/>
            <w:ind w:left="1520" w:right="0" w:hanging="360"/>
            <w:jc w:val="left"/>
          </w:pPr>
          <w:hyperlink w:history="true" w:anchor="_TOC_250009">
            <w:r>
              <w:rPr/>
              <w:t>Introduction</w:t>
              <w:tab/>
              <w:t>351</w:t>
            </w:r>
          </w:hyperlink>
        </w:p>
        <w:p>
          <w:pPr>
            <w:pStyle w:val="TOC2"/>
            <w:numPr>
              <w:ilvl w:val="1"/>
              <w:numId w:val="10"/>
            </w:numPr>
            <w:tabs>
              <w:tab w:pos="1520" w:val="left" w:leader="none"/>
              <w:tab w:pos="8719" w:val="left" w:leader="dot"/>
            </w:tabs>
            <w:spacing w:line="240" w:lineRule="auto" w:before="276" w:after="0"/>
            <w:ind w:left="1520" w:right="0" w:hanging="360"/>
            <w:jc w:val="left"/>
          </w:pPr>
          <w:hyperlink w:history="true" w:anchor="_TOC_250008">
            <w:r>
              <w:rPr/>
              <w:t>Background</w:t>
            </w:r>
            <w:r>
              <w:rPr>
                <w:spacing w:val="-1"/>
              </w:rPr>
              <w:t> </w:t>
            </w:r>
            <w:r>
              <w:rPr/>
              <w:t>on</w:t>
            </w:r>
            <w:r>
              <w:rPr>
                <w:spacing w:val="-1"/>
              </w:rPr>
              <w:t> </w:t>
            </w:r>
            <w:r>
              <w:rPr/>
              <w:t>decision-making</w:t>
            </w:r>
            <w:r>
              <w:rPr>
                <w:spacing w:val="-1"/>
              </w:rPr>
              <w:t> </w:t>
            </w:r>
            <w:r>
              <w:rPr/>
              <w:t>tools</w:t>
              <w:tab/>
              <w:t>352</w:t>
            </w:r>
          </w:hyperlink>
        </w:p>
        <w:p>
          <w:pPr>
            <w:pStyle w:val="TOC2"/>
            <w:numPr>
              <w:ilvl w:val="1"/>
              <w:numId w:val="10"/>
            </w:numPr>
            <w:tabs>
              <w:tab w:pos="1520" w:val="left" w:leader="none"/>
              <w:tab w:pos="8719" w:val="left" w:leader="dot"/>
            </w:tabs>
            <w:spacing w:line="240" w:lineRule="auto" w:before="276" w:after="0"/>
            <w:ind w:left="1520" w:right="0" w:hanging="360"/>
            <w:jc w:val="left"/>
          </w:pPr>
          <w:hyperlink w:history="true" w:anchor="_TOC_250007">
            <w:r>
              <w:rPr/>
              <w:t>Evaluation</w:t>
            </w:r>
            <w:r>
              <w:rPr>
                <w:spacing w:val="-2"/>
              </w:rPr>
              <w:t> </w:t>
            </w:r>
            <w:r>
              <w:rPr/>
              <w:t>criteria</w:t>
            </w:r>
            <w:r>
              <w:rPr>
                <w:spacing w:val="-2"/>
              </w:rPr>
              <w:t> </w:t>
            </w:r>
            <w:r>
              <w:rPr/>
              <w:t>for</w:t>
            </w:r>
            <w:r>
              <w:rPr>
                <w:spacing w:val="-2"/>
              </w:rPr>
              <w:t> </w:t>
            </w:r>
            <w:r>
              <w:rPr/>
              <w:t>temporary</w:t>
            </w:r>
            <w:r>
              <w:rPr>
                <w:spacing w:val="-1"/>
              </w:rPr>
              <w:t> </w:t>
            </w:r>
            <w:r>
              <w:rPr/>
              <w:t>military</w:t>
            </w:r>
            <w:r>
              <w:rPr>
                <w:spacing w:val="-2"/>
              </w:rPr>
              <w:t> </w:t>
            </w:r>
            <w:r>
              <w:rPr/>
              <w:t>structures</w:t>
              <w:tab/>
              <w:t>356</w:t>
            </w:r>
          </w:hyperlink>
        </w:p>
        <w:p>
          <w:pPr>
            <w:pStyle w:val="TOC4"/>
            <w:numPr>
              <w:ilvl w:val="2"/>
              <w:numId w:val="10"/>
            </w:numPr>
            <w:tabs>
              <w:tab w:pos="2060" w:val="left" w:leader="none"/>
              <w:tab w:pos="8719" w:val="lef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Material</w:t>
          </w:r>
          <w:r>
            <w:rPr>
              <w:spacing w:val="-1"/>
            </w:rPr>
            <w:t> </w:t>
          </w:r>
          <w:r>
            <w:rPr/>
            <w:t>Cost</w:t>
            <w:tab/>
            <w:t>356</w:t>
          </w:r>
        </w:p>
        <w:p>
          <w:pPr>
            <w:pStyle w:val="TOC4"/>
            <w:numPr>
              <w:ilvl w:val="2"/>
              <w:numId w:val="10"/>
            </w:numPr>
            <w:tabs>
              <w:tab w:pos="2060" w:val="left" w:leader="none"/>
              <w:tab w:pos="8719" w:val="lef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Logistics</w:t>
            <w:tab/>
            <w:t>358</w:t>
          </w:r>
        </w:p>
        <w:p>
          <w:pPr>
            <w:pStyle w:val="TOC4"/>
            <w:numPr>
              <w:ilvl w:val="2"/>
              <w:numId w:val="10"/>
            </w:numPr>
            <w:tabs>
              <w:tab w:pos="2060" w:val="left" w:leader="none"/>
              <w:tab w:pos="8719" w:val="lef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Energy</w:t>
          </w:r>
          <w:r>
            <w:rPr>
              <w:spacing w:val="-2"/>
            </w:rPr>
            <w:t> </w:t>
          </w:r>
          <w:r>
            <w:rPr/>
            <w:t>efficiency</w:t>
            <w:tab/>
            <w:t>359</w:t>
          </w:r>
        </w:p>
        <w:p>
          <w:pPr>
            <w:pStyle w:val="TOC4"/>
            <w:numPr>
              <w:ilvl w:val="2"/>
              <w:numId w:val="10"/>
            </w:numPr>
            <w:tabs>
              <w:tab w:pos="2060" w:val="left" w:leader="none"/>
              <w:tab w:pos="8719" w:val="lef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Blast</w:t>
          </w:r>
          <w:r>
            <w:rPr>
              <w:spacing w:val="-2"/>
            </w:rPr>
            <w:t> </w:t>
          </w:r>
          <w:r>
            <w:rPr/>
            <w:t>protection</w:t>
            <w:tab/>
            <w:t>360</w:t>
          </w:r>
        </w:p>
        <w:p>
          <w:pPr>
            <w:pStyle w:val="TOC4"/>
            <w:numPr>
              <w:ilvl w:val="2"/>
              <w:numId w:val="10"/>
            </w:numPr>
            <w:tabs>
              <w:tab w:pos="2060" w:val="left" w:leader="none"/>
              <w:tab w:pos="8719" w:val="lef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Ballistic</w:t>
          </w:r>
          <w:r>
            <w:rPr>
              <w:spacing w:val="-2"/>
            </w:rPr>
            <w:t> </w:t>
          </w:r>
          <w:r>
            <w:rPr/>
            <w:t>protection</w:t>
            <w:tab/>
            <w:t>363</w:t>
          </w:r>
        </w:p>
        <w:p>
          <w:pPr>
            <w:pStyle w:val="TOC4"/>
            <w:numPr>
              <w:ilvl w:val="2"/>
              <w:numId w:val="10"/>
            </w:numPr>
            <w:tabs>
              <w:tab w:pos="2060" w:val="left" w:leader="none"/>
              <w:tab w:pos="8719" w:val="lef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Rapid</w:t>
          </w:r>
          <w:r>
            <w:rPr>
              <w:spacing w:val="-2"/>
            </w:rPr>
            <w:t> </w:t>
          </w:r>
          <w:r>
            <w:rPr/>
            <w:t>constructability</w:t>
            <w:tab/>
            <w:t>365</w:t>
          </w:r>
        </w:p>
        <w:p>
          <w:pPr>
            <w:pStyle w:val="TOC4"/>
            <w:numPr>
              <w:ilvl w:val="2"/>
              <w:numId w:val="10"/>
            </w:numPr>
            <w:tabs>
              <w:tab w:pos="2060" w:val="left" w:leader="none"/>
              <w:tab w:pos="8719" w:val="lef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Adaptability</w:t>
            <w:tab/>
            <w:t>367</w:t>
          </w:r>
        </w:p>
        <w:p>
          <w:pPr>
            <w:pStyle w:val="TOC4"/>
            <w:numPr>
              <w:ilvl w:val="2"/>
              <w:numId w:val="10"/>
            </w:numPr>
            <w:tabs>
              <w:tab w:pos="2060" w:val="left" w:leader="none"/>
              <w:tab w:pos="8719" w:val="lef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Prioritizing</w:t>
          </w:r>
          <w:r>
            <w:rPr>
              <w:spacing w:val="-4"/>
            </w:rPr>
            <w:t> </w:t>
          </w:r>
          <w:r>
            <w:rPr/>
            <w:t>criteria</w:t>
            <w:tab/>
            <w:t>367</w:t>
          </w:r>
        </w:p>
        <w:p>
          <w:pPr>
            <w:pStyle w:val="TOC2"/>
            <w:numPr>
              <w:ilvl w:val="1"/>
              <w:numId w:val="10"/>
            </w:numPr>
            <w:tabs>
              <w:tab w:pos="1520" w:val="left" w:leader="none"/>
              <w:tab w:pos="8719" w:val="left" w:leader="dot"/>
            </w:tabs>
            <w:spacing w:line="240" w:lineRule="auto" w:before="276" w:after="0"/>
            <w:ind w:left="1520" w:right="0" w:hanging="360"/>
            <w:jc w:val="left"/>
          </w:pPr>
          <w:hyperlink w:history="true" w:anchor="_TOC_250006">
            <w:r>
              <w:rPr/>
              <w:t>Case</w:t>
            </w:r>
            <w:r>
              <w:rPr>
                <w:spacing w:val="-2"/>
              </w:rPr>
              <w:t> </w:t>
            </w:r>
            <w:r>
              <w:rPr/>
              <w:t>study:</w:t>
            </w:r>
            <w:r>
              <w:rPr>
                <w:spacing w:val="-2"/>
              </w:rPr>
              <w:t> </w:t>
            </w:r>
            <w:r>
              <w:rPr/>
              <w:t>material</w:t>
            </w:r>
            <w:r>
              <w:rPr>
                <w:spacing w:val="-2"/>
              </w:rPr>
              <w:t> </w:t>
            </w:r>
            <w:r>
              <w:rPr/>
              <w:t>selection</w:t>
            </w:r>
            <w:r>
              <w:rPr>
                <w:spacing w:val="-2"/>
              </w:rPr>
              <w:t> </w:t>
            </w:r>
            <w:r>
              <w:rPr/>
              <w:t>for</w:t>
            </w:r>
            <w:r>
              <w:rPr>
                <w:spacing w:val="-3"/>
              </w:rPr>
              <w:t> </w:t>
            </w:r>
            <w:r>
              <w:rPr/>
              <w:t>temporary</w:t>
            </w:r>
            <w:r>
              <w:rPr>
                <w:spacing w:val="-1"/>
              </w:rPr>
              <w:t> </w:t>
            </w:r>
            <w:r>
              <w:rPr/>
              <w:t>military</w:t>
            </w:r>
            <w:r>
              <w:rPr>
                <w:spacing w:val="-2"/>
              </w:rPr>
              <w:t> </w:t>
            </w:r>
            <w:r>
              <w:rPr/>
              <w:t>structures</w:t>
              <w:tab/>
              <w:t>368</w:t>
            </w:r>
          </w:hyperlink>
        </w:p>
        <w:p>
          <w:pPr>
            <w:pStyle w:val="TOC4"/>
            <w:numPr>
              <w:ilvl w:val="2"/>
              <w:numId w:val="10"/>
            </w:numPr>
            <w:tabs>
              <w:tab w:pos="2060" w:val="left" w:leader="none"/>
              <w:tab w:pos="8719" w:val="left" w:leader="dot"/>
            </w:tabs>
            <w:spacing w:line="240" w:lineRule="auto" w:before="0" w:after="0"/>
            <w:ind w:left="2060" w:right="0" w:hanging="540"/>
            <w:jc w:val="left"/>
          </w:pPr>
          <w:r>
            <w:rPr/>
            <w:t>Applying</w:t>
          </w:r>
          <w:r>
            <w:rPr>
              <w:spacing w:val="-1"/>
            </w:rPr>
            <w:t> </w:t>
          </w:r>
          <w:r>
            <w:rPr/>
            <w:t>AHP</w:t>
          </w:r>
          <w:r>
            <w:rPr>
              <w:spacing w:val="-1"/>
            </w:rPr>
            <w:t> </w:t>
          </w:r>
          <w:r>
            <w:rPr/>
            <w:t>to</w:t>
          </w:r>
          <w:r>
            <w:rPr>
              <w:spacing w:val="-1"/>
            </w:rPr>
            <w:t> </w:t>
          </w:r>
          <w:r>
            <w:rPr/>
            <w:t>the problem</w:t>
            <w:tab/>
            <w:t>369</w:t>
          </w:r>
        </w:p>
        <w:p>
          <w:pPr>
            <w:pStyle w:val="TOC4"/>
            <w:numPr>
              <w:ilvl w:val="2"/>
              <w:numId w:val="10"/>
            </w:numPr>
            <w:tabs>
              <w:tab w:pos="2060" w:val="left" w:leader="none"/>
              <w:tab w:pos="8719" w:val="left" w:leader="dot"/>
            </w:tabs>
            <w:spacing w:line="240" w:lineRule="auto" w:before="0" w:after="0"/>
            <w:ind w:left="1519" w:right="119" w:firstLine="0"/>
            <w:jc w:val="left"/>
          </w:pPr>
          <w:r>
            <w:rPr/>
            <w:t>Development of the Simplified Multi-Attribute Radar Tool (SMART)</w:t>
          </w:r>
          <w:r>
            <w:rPr>
              <w:spacing w:val="1"/>
            </w:rPr>
            <w:t> </w:t>
          </w:r>
          <w:r>
            <w:rPr/>
            <w:t>assessment</w:t>
            <w:tab/>
          </w:r>
          <w:r>
            <w:rPr>
              <w:spacing w:val="-2"/>
            </w:rPr>
            <w:t>372</w:t>
          </w:r>
        </w:p>
        <w:p>
          <w:pPr>
            <w:pStyle w:val="TOC2"/>
            <w:numPr>
              <w:ilvl w:val="1"/>
              <w:numId w:val="10"/>
            </w:numPr>
            <w:tabs>
              <w:tab w:pos="1520" w:val="left" w:leader="none"/>
              <w:tab w:pos="8719" w:val="left" w:leader="dot"/>
            </w:tabs>
            <w:spacing w:line="240" w:lineRule="auto" w:before="0" w:after="0"/>
            <w:ind w:left="1520" w:right="0" w:hanging="361"/>
            <w:jc w:val="left"/>
          </w:pPr>
          <w:hyperlink w:history="true" w:anchor="_TOC_250005">
            <w:r>
              <w:rPr/>
              <w:t>Summary</w:t>
              <w:tab/>
              <w:t>376</w:t>
            </w:r>
          </w:hyperlink>
        </w:p>
        <w:p>
          <w:pPr>
            <w:pStyle w:val="TOC1"/>
            <w:tabs>
              <w:tab w:pos="8719" w:val="left" w:leader="dot"/>
            </w:tabs>
            <w:spacing w:before="552"/>
            <w:ind w:left="439"/>
          </w:pPr>
          <w:hyperlink w:history="true" w:anchor="_TOC_250004">
            <w:r>
              <w:rPr/>
              <w:t>CHAPTER</w:t>
            </w:r>
            <w:r>
              <w:rPr>
                <w:spacing w:val="-4"/>
              </w:rPr>
              <w:t> </w:t>
            </w:r>
            <w:r>
              <w:rPr/>
              <w:t>10:</w:t>
            </w:r>
            <w:r>
              <w:rPr>
                <w:spacing w:val="-3"/>
              </w:rPr>
              <w:t> </w:t>
            </w:r>
            <w:r>
              <w:rPr/>
              <w:t>CONCLUSION</w:t>
              <w:tab/>
              <w:t>378</w:t>
            </w:r>
          </w:hyperlink>
        </w:p>
        <w:p>
          <w:pPr>
            <w:pStyle w:val="TOC2"/>
            <w:numPr>
              <w:ilvl w:val="1"/>
              <w:numId w:val="11"/>
            </w:numPr>
            <w:tabs>
              <w:tab w:pos="1640" w:val="left" w:leader="none"/>
              <w:tab w:pos="8719" w:val="left" w:leader="dot"/>
            </w:tabs>
            <w:spacing w:line="240" w:lineRule="auto" w:before="275" w:after="0"/>
            <w:ind w:left="1640" w:right="0" w:hanging="481"/>
            <w:jc w:val="left"/>
          </w:pPr>
          <w:hyperlink w:history="true" w:anchor="_TOC_250003">
            <w:r>
              <w:rPr/>
              <w:t>Summary</w:t>
              <w:tab/>
              <w:t>378</w:t>
            </w:r>
          </w:hyperlink>
        </w:p>
        <w:p>
          <w:pPr>
            <w:pStyle w:val="TOC2"/>
            <w:numPr>
              <w:ilvl w:val="1"/>
              <w:numId w:val="11"/>
            </w:numPr>
            <w:tabs>
              <w:tab w:pos="1640" w:val="left" w:leader="none"/>
              <w:tab w:pos="8719" w:val="left" w:leader="dot"/>
            </w:tabs>
            <w:spacing w:line="240" w:lineRule="auto" w:before="276" w:after="0"/>
            <w:ind w:left="1640" w:right="0" w:hanging="481"/>
            <w:jc w:val="left"/>
          </w:pPr>
          <w:hyperlink w:history="true" w:anchor="_TOC_250002">
            <w:r>
              <w:rPr/>
              <w:t>Contributions</w:t>
            </w:r>
            <w:r>
              <w:rPr>
                <w:spacing w:val="-2"/>
              </w:rPr>
              <w:t> </w:t>
            </w:r>
            <w:r>
              <w:rPr/>
              <w:t>and</w:t>
            </w:r>
            <w:r>
              <w:rPr>
                <w:spacing w:val="-2"/>
              </w:rPr>
              <w:t> </w:t>
            </w:r>
            <w:r>
              <w:rPr/>
              <w:t>Significance</w:t>
              <w:tab/>
              <w:t>381</w:t>
            </w:r>
          </w:hyperlink>
        </w:p>
        <w:p>
          <w:pPr>
            <w:pStyle w:val="TOC2"/>
            <w:numPr>
              <w:ilvl w:val="1"/>
              <w:numId w:val="11"/>
            </w:numPr>
            <w:tabs>
              <w:tab w:pos="1640" w:val="left" w:leader="none"/>
              <w:tab w:pos="8719" w:val="left" w:leader="dot"/>
            </w:tabs>
            <w:spacing w:line="240" w:lineRule="auto" w:before="276" w:after="0"/>
            <w:ind w:left="1640" w:right="0" w:hanging="480"/>
            <w:jc w:val="left"/>
          </w:pPr>
          <w:hyperlink w:history="true" w:anchor="_TOC_250001">
            <w:r>
              <w:rPr/>
              <w:t>Recommendations</w:t>
            </w:r>
            <w:r>
              <w:rPr>
                <w:spacing w:val="-2"/>
              </w:rPr>
              <w:t> </w:t>
            </w:r>
            <w:r>
              <w:rPr/>
              <w:t>for</w:t>
            </w:r>
            <w:r>
              <w:rPr>
                <w:spacing w:val="-1"/>
              </w:rPr>
              <w:t> </w:t>
            </w:r>
            <w:r>
              <w:rPr/>
              <w:t>Future</w:t>
            </w:r>
            <w:r>
              <w:rPr>
                <w:spacing w:val="-2"/>
              </w:rPr>
              <w:t> </w:t>
            </w:r>
            <w:r>
              <w:rPr/>
              <w:t>Work</w:t>
              <w:tab/>
              <w:t>382</w:t>
            </w:r>
          </w:hyperlink>
        </w:p>
        <w:p>
          <w:pPr>
            <w:pStyle w:val="TOC1"/>
            <w:tabs>
              <w:tab w:pos="8719" w:val="left" w:leader="dot"/>
            </w:tabs>
          </w:pPr>
          <w:r>
            <w:rPr/>
            <w:t>APPENDIX</w:t>
          </w:r>
          <w:r>
            <w:rPr>
              <w:spacing w:val="-2"/>
            </w:rPr>
            <w:t> </w:t>
          </w:r>
          <w:r>
            <w:rPr/>
            <w:t>A:</w:t>
          </w:r>
          <w:r>
            <w:rPr>
              <w:spacing w:val="-2"/>
            </w:rPr>
            <w:t> </w:t>
          </w:r>
          <w:r>
            <w:rPr/>
            <w:t>Ballistic</w:t>
          </w:r>
          <w:r>
            <w:rPr>
              <w:spacing w:val="-2"/>
            </w:rPr>
            <w:t> </w:t>
          </w:r>
          <w:r>
            <w:rPr/>
            <w:t>test</w:t>
          </w:r>
          <w:r>
            <w:rPr>
              <w:spacing w:val="-2"/>
            </w:rPr>
            <w:t> </w:t>
          </w:r>
          <w:r>
            <w:rPr/>
            <w:t>data</w:t>
            <w:tab/>
            <w:t>385</w:t>
          </w:r>
        </w:p>
        <w:p>
          <w:pPr>
            <w:pStyle w:val="TOC1"/>
            <w:tabs>
              <w:tab w:pos="8719" w:val="left" w:leader="dot"/>
            </w:tabs>
          </w:pPr>
          <w:r>
            <w:rPr/>
            <w:t>APPENDIX</w:t>
          </w:r>
          <w:r>
            <w:rPr>
              <w:spacing w:val="-2"/>
            </w:rPr>
            <w:t> </w:t>
          </w:r>
          <w:r>
            <w:rPr/>
            <w:t>B:</w:t>
          </w:r>
          <w:r>
            <w:rPr>
              <w:spacing w:val="-2"/>
            </w:rPr>
            <w:t> </w:t>
          </w:r>
          <w:r>
            <w:rPr/>
            <w:t>Enhancing</w:t>
          </w:r>
          <w:r>
            <w:rPr>
              <w:spacing w:val="-1"/>
            </w:rPr>
            <w:t> </w:t>
          </w:r>
          <w:r>
            <w:rPr/>
            <w:t>layer</w:t>
          </w:r>
          <w:r>
            <w:rPr>
              <w:spacing w:val="-2"/>
            </w:rPr>
            <w:t> </w:t>
          </w:r>
          <w:r>
            <w:rPr/>
            <w:t>data</w:t>
          </w:r>
          <w:r>
            <w:rPr>
              <w:spacing w:val="-1"/>
            </w:rPr>
            <w:t> </w:t>
          </w:r>
          <w:r>
            <w:rPr/>
            <w:t>sheets</w:t>
            <w:tab/>
            <w:t>398</w:t>
          </w:r>
        </w:p>
        <w:p>
          <w:pPr>
            <w:pStyle w:val="TOC1"/>
            <w:tabs>
              <w:tab w:pos="8719" w:val="left" w:leader="dot"/>
            </w:tabs>
            <w:ind w:left="439"/>
          </w:pPr>
          <w:hyperlink w:history="true" w:anchor="_TOC_250000">
            <w:r>
              <w:rPr/>
              <w:t>REFERENCES</w:t>
              <w:tab/>
              <w:t>400</w:t>
            </w:r>
          </w:hyperlink>
        </w:p>
      </w:sdtContent>
    </w:sdt>
    <w:p>
      <w:pPr>
        <w:spacing w:after="0"/>
        <w:sectPr>
          <w:type w:val="continuous"/>
          <w:pgSz w:w="12240" w:h="15840"/>
          <w:pgMar w:top="1359" w:bottom="1641" w:left="1720" w:right="1320"/>
        </w:sectPr>
      </w:pPr>
    </w:p>
    <w:p>
      <w:pPr>
        <w:pStyle w:val="Heading4"/>
        <w:ind w:right="44"/>
      </w:pPr>
      <w:bookmarkStart w:name="_TOC_250076" w:id="5"/>
      <w:r>
        <w:rPr/>
        <w:t>LIST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bookmarkEnd w:id="5"/>
      <w:r>
        <w:rPr/>
        <w:t>TABLES</w:t>
      </w:r>
    </w:p>
    <w:p>
      <w:pPr>
        <w:pStyle w:val="BodyText"/>
        <w:rPr>
          <w:b/>
          <w:sz w:val="30"/>
        </w:rPr>
      </w:pPr>
    </w:p>
    <w:p>
      <w:pPr>
        <w:pStyle w:val="BodyText"/>
        <w:spacing w:before="9"/>
        <w:rPr>
          <w:b/>
          <w:sz w:val="41"/>
        </w:rPr>
      </w:pPr>
    </w:p>
    <w:p>
      <w:pPr>
        <w:pStyle w:val="BodyText"/>
        <w:tabs>
          <w:tab w:pos="1879" w:val="left" w:leader="none"/>
          <w:tab w:pos="8839" w:val="left" w:leader="dot"/>
        </w:tabs>
        <w:ind w:left="440"/>
      </w:pPr>
      <w:r>
        <w:rPr/>
        <w:t>Table</w:t>
      </w:r>
      <w:r>
        <w:rPr>
          <w:spacing w:val="-1"/>
        </w:rPr>
        <w:t> </w:t>
      </w:r>
      <w:r>
        <w:rPr/>
        <w:t>2.1</w:t>
        <w:tab/>
        <w:t>Wood</w:t>
      </w:r>
      <w:r>
        <w:rPr>
          <w:spacing w:val="-1"/>
        </w:rPr>
        <w:t> </w:t>
      </w:r>
      <w:r>
        <w:rPr/>
        <w:t>lamination</w:t>
      </w:r>
      <w:r>
        <w:rPr>
          <w:spacing w:val="-1"/>
        </w:rPr>
        <w:t> </w:t>
      </w:r>
      <w:r>
        <w:rPr/>
        <w:t>composition</w:t>
      </w:r>
      <w:r>
        <w:rPr>
          <w:spacing w:val="-1"/>
        </w:rPr>
        <w:t> </w:t>
      </w:r>
      <w:r>
        <w:rPr/>
        <w:t>by</w:t>
      </w:r>
      <w:r>
        <w:rPr>
          <w:spacing w:val="-1"/>
        </w:rPr>
        <w:t> </w:t>
      </w:r>
      <w:r>
        <w:rPr/>
        <w:t>CLT</w:t>
      </w:r>
      <w:r>
        <w:rPr>
          <w:spacing w:val="-2"/>
        </w:rPr>
        <w:t> </w:t>
      </w:r>
      <w:r>
        <w:rPr/>
        <w:t>grade</w:t>
      </w:r>
      <w:r>
        <w:rPr>
          <w:spacing w:val="-1"/>
        </w:rPr>
        <w:t> </w:t>
      </w:r>
      <w:r>
        <w:rPr/>
        <w:t>[12]</w:t>
        <w:tab/>
        <w:t>21</w:t>
      </w:r>
    </w:p>
    <w:p>
      <w:pPr>
        <w:pStyle w:val="BodyText"/>
      </w:pPr>
    </w:p>
    <w:p>
      <w:pPr>
        <w:pStyle w:val="BodyText"/>
        <w:tabs>
          <w:tab w:pos="1879" w:val="left" w:leader="none"/>
          <w:tab w:pos="8839" w:val="left" w:leader="dot"/>
        </w:tabs>
        <w:ind w:left="439"/>
      </w:pPr>
      <w:r>
        <w:rPr/>
        <w:t>Table</w:t>
      </w:r>
      <w:r>
        <w:rPr>
          <w:spacing w:val="-1"/>
        </w:rPr>
        <w:t> </w:t>
      </w:r>
      <w:r>
        <w:rPr/>
        <w:t>2.2</w:t>
        <w:tab/>
        <w:t>Symbols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strength</w:t>
      </w:r>
      <w:r>
        <w:rPr>
          <w:spacing w:val="-1"/>
        </w:rPr>
        <w:t> </w:t>
      </w:r>
      <w:r>
        <w:rPr/>
        <w:t>parameters</w:t>
        <w:tab/>
        <w:t>22</w:t>
      </w:r>
    </w:p>
    <w:p>
      <w:pPr>
        <w:pStyle w:val="BodyText"/>
      </w:pPr>
    </w:p>
    <w:p>
      <w:pPr>
        <w:pStyle w:val="BodyText"/>
        <w:tabs>
          <w:tab w:pos="1879" w:val="left" w:leader="none"/>
        </w:tabs>
        <w:ind w:left="439"/>
      </w:pPr>
      <w:r>
        <w:rPr/>
        <w:t>Table</w:t>
      </w:r>
      <w:r>
        <w:rPr>
          <w:spacing w:val="-1"/>
        </w:rPr>
        <w:t> </w:t>
      </w:r>
      <w:r>
        <w:rPr/>
        <w:t>2.3</w:t>
        <w:tab/>
        <w:t>Required</w:t>
      </w:r>
      <w:r>
        <w:rPr>
          <w:spacing w:val="-1"/>
        </w:rPr>
        <w:t> </w:t>
      </w:r>
      <w:r>
        <w:rPr/>
        <w:t>Characteristic</w:t>
      </w:r>
      <w:r>
        <w:rPr>
          <w:spacing w:val="-3"/>
        </w:rPr>
        <w:t> </w:t>
      </w:r>
      <w:r>
        <w:rPr/>
        <w:t>Test</w:t>
      </w:r>
      <w:r>
        <w:rPr>
          <w:spacing w:val="-2"/>
        </w:rPr>
        <w:t> </w:t>
      </w:r>
      <w:r>
        <w:rPr/>
        <w:t>Values</w:t>
      </w:r>
      <w:r>
        <w:rPr>
          <w:spacing w:val="-2"/>
        </w:rPr>
        <w:t> </w:t>
      </w:r>
      <w:r>
        <w:rPr/>
        <w:t>for</w:t>
      </w:r>
      <w:r>
        <w:rPr>
          <w:spacing w:val="-2"/>
        </w:rPr>
        <w:t> </w:t>
      </w:r>
      <w:r>
        <w:rPr/>
        <w:t>PRG</w:t>
      </w:r>
      <w:r>
        <w:rPr>
          <w:spacing w:val="-3"/>
        </w:rPr>
        <w:t> </w:t>
      </w:r>
      <w:r>
        <w:rPr/>
        <w:t>320 CLT,</w:t>
      </w:r>
      <w:r>
        <w:rPr>
          <w:spacing w:val="-2"/>
        </w:rPr>
        <w:t> </w:t>
      </w:r>
      <w:r>
        <w:rPr/>
        <w:t>adapted</w:t>
      </w:r>
    </w:p>
    <w:p>
      <w:pPr>
        <w:pStyle w:val="BodyText"/>
        <w:tabs>
          <w:tab w:pos="8839" w:val="left" w:leader="dot"/>
        </w:tabs>
        <w:ind w:left="1879"/>
      </w:pPr>
      <w:r>
        <w:rPr/>
        <w:t>from</w:t>
      </w:r>
      <w:r>
        <w:rPr>
          <w:spacing w:val="-2"/>
        </w:rPr>
        <w:t> </w:t>
      </w:r>
      <w:r>
        <w:rPr/>
        <w:t>[12]</w:t>
        <w:tab/>
        <w:t>22</w:t>
      </w:r>
    </w:p>
    <w:p>
      <w:pPr>
        <w:pStyle w:val="BodyText"/>
      </w:pPr>
    </w:p>
    <w:p>
      <w:pPr>
        <w:pStyle w:val="BodyText"/>
        <w:tabs>
          <w:tab w:pos="1879" w:val="left" w:leader="none"/>
          <w:tab w:pos="8839" w:val="left" w:leader="dot"/>
        </w:tabs>
        <w:ind w:left="439"/>
      </w:pPr>
      <w:r>
        <w:rPr/>
        <w:t>Table</w:t>
      </w:r>
      <w:r>
        <w:rPr>
          <w:spacing w:val="-1"/>
        </w:rPr>
        <w:t> </w:t>
      </w:r>
      <w:r>
        <w:rPr/>
        <w:t>2.4</w:t>
        <w:tab/>
        <w:t>Allowable</w:t>
      </w:r>
      <w:r>
        <w:rPr>
          <w:spacing w:val="-2"/>
        </w:rPr>
        <w:t> </w:t>
      </w:r>
      <w:r>
        <w:rPr/>
        <w:t>Design</w:t>
      </w:r>
      <w:r>
        <w:rPr>
          <w:spacing w:val="-2"/>
        </w:rPr>
        <w:t> </w:t>
      </w:r>
      <w:r>
        <w:rPr/>
        <w:t>Properties</w:t>
      </w:r>
      <w:r>
        <w:rPr>
          <w:spacing w:val="-1"/>
        </w:rPr>
        <w:t> </w:t>
      </w:r>
      <w:r>
        <w:rPr/>
        <w:t>for</w:t>
      </w:r>
      <w:r>
        <w:rPr>
          <w:spacing w:val="-2"/>
        </w:rPr>
        <w:t> </w:t>
      </w:r>
      <w:r>
        <w:rPr/>
        <w:t>PRG</w:t>
      </w:r>
      <w:r>
        <w:rPr>
          <w:spacing w:val="-2"/>
        </w:rPr>
        <w:t> </w:t>
      </w:r>
      <w:r>
        <w:rPr/>
        <w:t>320</w:t>
      </w:r>
      <w:r>
        <w:rPr>
          <w:spacing w:val="-1"/>
        </w:rPr>
        <w:t> </w:t>
      </w:r>
      <w:r>
        <w:rPr/>
        <w:t>CLT,</w:t>
      </w:r>
      <w:r>
        <w:rPr>
          <w:spacing w:val="-1"/>
        </w:rPr>
        <w:t> </w:t>
      </w:r>
      <w:r>
        <w:rPr/>
        <w:t>adapted</w:t>
      </w:r>
      <w:r>
        <w:rPr>
          <w:spacing w:val="-1"/>
        </w:rPr>
        <w:t> </w:t>
      </w:r>
      <w:r>
        <w:rPr/>
        <w:t>from</w:t>
      </w:r>
      <w:r>
        <w:rPr>
          <w:spacing w:val="-3"/>
        </w:rPr>
        <w:t> </w:t>
      </w:r>
      <w:r>
        <w:rPr/>
        <w:t>[12]</w:t>
        <w:tab/>
        <w:t>23</w:t>
      </w:r>
    </w:p>
    <w:p>
      <w:pPr>
        <w:pStyle w:val="BodyText"/>
      </w:pPr>
    </w:p>
    <w:p>
      <w:pPr>
        <w:pStyle w:val="BodyText"/>
        <w:tabs>
          <w:tab w:pos="1879" w:val="left" w:leader="none"/>
          <w:tab w:pos="8839" w:val="left" w:leader="dot"/>
        </w:tabs>
        <w:ind w:left="1879" w:right="119" w:hanging="1440"/>
      </w:pPr>
      <w:r>
        <w:rPr/>
        <w:t>Table</w:t>
      </w:r>
      <w:r>
        <w:rPr>
          <w:spacing w:val="-1"/>
        </w:rPr>
        <w:t> </w:t>
      </w:r>
      <w:r>
        <w:rPr/>
        <w:t>2.5</w:t>
        <w:tab/>
        <w:t>Effective char depths according to the National Design Specification for</w:t>
      </w:r>
      <w:r>
        <w:rPr>
          <w:spacing w:val="1"/>
        </w:rPr>
        <w:t> </w:t>
      </w:r>
      <w:r>
        <w:rPr/>
        <w:t>Wood</w:t>
      </w:r>
      <w:r>
        <w:rPr>
          <w:spacing w:val="-1"/>
        </w:rPr>
        <w:t> </w:t>
      </w:r>
      <w:r>
        <w:rPr/>
        <w:t>Construction</w:t>
      </w:r>
      <w:r>
        <w:rPr>
          <w:spacing w:val="-1"/>
        </w:rPr>
        <w:t> </w:t>
      </w:r>
      <w:r>
        <w:rPr/>
        <w:t>[19]</w:t>
        <w:tab/>
      </w:r>
      <w:r>
        <w:rPr>
          <w:spacing w:val="-3"/>
        </w:rPr>
        <w:t>35</w:t>
      </w:r>
    </w:p>
    <w:p>
      <w:pPr>
        <w:pStyle w:val="BodyText"/>
        <w:rPr>
          <w:sz w:val="26"/>
        </w:rPr>
      </w:pPr>
    </w:p>
    <w:p>
      <w:pPr>
        <w:pStyle w:val="BodyText"/>
        <w:tabs>
          <w:tab w:pos="1879" w:val="left" w:leader="none"/>
        </w:tabs>
        <w:spacing w:before="178"/>
        <w:ind w:left="439"/>
      </w:pPr>
      <w:r>
        <w:rPr/>
        <w:t>Table</w:t>
      </w:r>
      <w:r>
        <w:rPr>
          <w:spacing w:val="-1"/>
        </w:rPr>
        <w:t> </w:t>
      </w:r>
      <w:r>
        <w:rPr/>
        <w:t>2.6</w:t>
        <w:tab/>
        <w:t>Sound</w:t>
      </w:r>
      <w:r>
        <w:rPr>
          <w:spacing w:val="-1"/>
        </w:rPr>
        <w:t> </w:t>
      </w:r>
      <w:r>
        <w:rPr/>
        <w:t>ratings of</w:t>
      </w:r>
      <w:r>
        <w:rPr>
          <w:spacing w:val="-2"/>
        </w:rPr>
        <w:t> </w:t>
      </w:r>
      <w:r>
        <w:rPr/>
        <w:t>common</w:t>
      </w:r>
      <w:r>
        <w:rPr>
          <w:spacing w:val="-1"/>
        </w:rPr>
        <w:t> </w:t>
      </w:r>
      <w:r>
        <w:rPr/>
        <w:t>wall</w:t>
      </w:r>
      <w:r>
        <w:rPr>
          <w:spacing w:val="-1"/>
        </w:rPr>
        <w:t> </w:t>
      </w:r>
      <w:r>
        <w:rPr/>
        <w:t>and</w:t>
      </w:r>
      <w:r>
        <w:rPr>
          <w:spacing w:val="-3"/>
        </w:rPr>
        <w:t> </w:t>
      </w:r>
      <w:r>
        <w:rPr/>
        <w:t>floor assemblies</w:t>
      </w:r>
      <w:r>
        <w:rPr>
          <w:spacing w:val="-2"/>
        </w:rPr>
        <w:t> </w:t>
      </w:r>
      <w:r>
        <w:rPr/>
        <w:t>compared</w:t>
      </w:r>
      <w:r>
        <w:rPr>
          <w:spacing w:val="-1"/>
        </w:rPr>
        <w:t> </w:t>
      </w:r>
      <w:r>
        <w:rPr/>
        <w:t>to</w:t>
      </w:r>
    </w:p>
    <w:p>
      <w:pPr>
        <w:pStyle w:val="BodyText"/>
        <w:tabs>
          <w:tab w:pos="8839" w:val="left" w:leader="dot"/>
        </w:tabs>
        <w:ind w:left="1879"/>
      </w:pPr>
      <w:r>
        <w:rPr/>
        <w:t>CLT</w:t>
      </w:r>
      <w:r>
        <w:rPr>
          <w:spacing w:val="-2"/>
        </w:rPr>
        <w:t> </w:t>
      </w:r>
      <w:r>
        <w:rPr/>
        <w:t>[9]</w:t>
        <w:tab/>
        <w:t>41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tabs>
          <w:tab w:pos="1879" w:val="left" w:leader="none"/>
          <w:tab w:pos="8839" w:val="left" w:leader="dot"/>
        </w:tabs>
        <w:ind w:left="439"/>
      </w:pPr>
      <w:r>
        <w:rPr/>
        <w:t>Table</w:t>
      </w:r>
      <w:r>
        <w:rPr>
          <w:spacing w:val="-1"/>
        </w:rPr>
        <w:t> </w:t>
      </w:r>
      <w:r>
        <w:rPr/>
        <w:t>2.7</w:t>
        <w:tab/>
        <w:t>Unified</w:t>
      </w:r>
      <w:r>
        <w:rPr>
          <w:spacing w:val="-1"/>
        </w:rPr>
        <w:t> </w:t>
      </w:r>
      <w:r>
        <w:rPr/>
        <w:t>Facilities</w:t>
      </w:r>
      <w:r>
        <w:rPr>
          <w:spacing w:val="-2"/>
        </w:rPr>
        <w:t> </w:t>
      </w:r>
      <w:r>
        <w:rPr/>
        <w:t>Criteria</w:t>
      </w:r>
      <w:r>
        <w:rPr>
          <w:spacing w:val="-1"/>
        </w:rPr>
        <w:t> </w:t>
      </w:r>
      <w:r>
        <w:rPr/>
        <w:t>titles</w:t>
      </w:r>
      <w:r>
        <w:rPr>
          <w:spacing w:val="-3"/>
        </w:rPr>
        <w:t> </w:t>
      </w:r>
      <w:r>
        <w:rPr/>
        <w:t>that</w:t>
      </w:r>
      <w:r>
        <w:rPr>
          <w:spacing w:val="-2"/>
        </w:rPr>
        <w:t> </w:t>
      </w:r>
      <w:r>
        <w:rPr/>
        <w:t>relate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force</w:t>
      </w:r>
      <w:r>
        <w:rPr>
          <w:spacing w:val="-2"/>
        </w:rPr>
        <w:t> </w:t>
      </w:r>
      <w:r>
        <w:rPr/>
        <w:t>protection</w:t>
        <w:tab/>
        <w:t>56</w:t>
      </w:r>
    </w:p>
    <w:p>
      <w:pPr>
        <w:pStyle w:val="BodyText"/>
      </w:pPr>
    </w:p>
    <w:p>
      <w:pPr>
        <w:pStyle w:val="BodyText"/>
        <w:tabs>
          <w:tab w:pos="1879" w:val="left" w:leader="none"/>
          <w:tab w:pos="8839" w:val="left" w:leader="dot"/>
        </w:tabs>
        <w:ind w:left="1879" w:right="119" w:hanging="1440"/>
      </w:pPr>
      <w:r>
        <w:rPr/>
        <w:t>Table</w:t>
      </w:r>
      <w:r>
        <w:rPr>
          <w:spacing w:val="-1"/>
        </w:rPr>
        <w:t> </w:t>
      </w:r>
      <w:r>
        <w:rPr/>
        <w:t>2.8</w:t>
        <w:tab/>
        <w:t>Examples</w:t>
      </w:r>
      <w:r>
        <w:rPr>
          <w:spacing w:val="1"/>
        </w:rPr>
        <w:t> </w:t>
      </w:r>
      <w:r>
        <w:rPr/>
        <w:t>of</w:t>
      </w:r>
      <w:r>
        <w:rPr>
          <w:spacing w:val="2"/>
        </w:rPr>
        <w:t> </w:t>
      </w:r>
      <w:r>
        <w:rPr/>
        <w:t>Threat</w:t>
      </w:r>
      <w:r>
        <w:rPr>
          <w:spacing w:val="1"/>
        </w:rPr>
        <w:t> </w:t>
      </w:r>
      <w:r>
        <w:rPr/>
        <w:t>Parameters</w:t>
      </w:r>
      <w:r>
        <w:rPr>
          <w:spacing w:val="1"/>
        </w:rPr>
        <w:t> </w:t>
      </w:r>
      <w:r>
        <w:rPr/>
        <w:t>as</w:t>
      </w:r>
      <w:r>
        <w:rPr>
          <w:spacing w:val="2"/>
        </w:rPr>
        <w:t> </w:t>
      </w:r>
      <w:r>
        <w:rPr/>
        <w:t>outlined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 security</w:t>
      </w:r>
      <w:r>
        <w:rPr>
          <w:spacing w:val="2"/>
        </w:rPr>
        <w:t> </w:t>
      </w:r>
      <w:r>
        <w:rPr/>
        <w:t>planning</w:t>
      </w:r>
      <w:r>
        <w:rPr>
          <w:spacing w:val="1"/>
        </w:rPr>
        <w:t> </w:t>
      </w:r>
      <w:r>
        <w:rPr/>
        <w:t>UFC[8]</w:t>
        <w:tab/>
      </w:r>
      <w:r>
        <w:rPr>
          <w:spacing w:val="-3"/>
        </w:rPr>
        <w:t>57</w:t>
      </w:r>
    </w:p>
    <w:p>
      <w:pPr>
        <w:pStyle w:val="BodyText"/>
      </w:pPr>
    </w:p>
    <w:p>
      <w:pPr>
        <w:pStyle w:val="BodyText"/>
        <w:tabs>
          <w:tab w:pos="1879" w:val="left" w:leader="none"/>
          <w:tab w:pos="8839" w:val="left" w:leader="dot"/>
        </w:tabs>
        <w:ind w:left="439"/>
      </w:pPr>
      <w:r>
        <w:rPr/>
        <w:t>Table</w:t>
      </w:r>
      <w:r>
        <w:rPr>
          <w:spacing w:val="-1"/>
        </w:rPr>
        <w:t> </w:t>
      </w:r>
      <w:r>
        <w:rPr/>
        <w:t>2.9</w:t>
        <w:tab/>
        <w:t>Threat</w:t>
      </w:r>
      <w:r>
        <w:rPr>
          <w:spacing w:val="-1"/>
        </w:rPr>
        <w:t> </w:t>
      </w:r>
      <w:r>
        <w:rPr/>
        <w:t>parameters</w:t>
      </w:r>
      <w:r>
        <w:rPr>
          <w:spacing w:val="-2"/>
        </w:rPr>
        <w:t> </w:t>
      </w:r>
      <w:r>
        <w:rPr/>
        <w:t>for</w:t>
      </w:r>
      <w:r>
        <w:rPr>
          <w:spacing w:val="-1"/>
        </w:rPr>
        <w:t> </w:t>
      </w:r>
      <w:r>
        <w:rPr/>
        <w:t>Direct</w:t>
      </w:r>
      <w:r>
        <w:rPr>
          <w:spacing w:val="-1"/>
        </w:rPr>
        <w:t> </w:t>
      </w:r>
      <w:r>
        <w:rPr/>
        <w:t>Fire</w:t>
      </w:r>
      <w:r>
        <w:rPr>
          <w:spacing w:val="-2"/>
        </w:rPr>
        <w:t> </w:t>
      </w:r>
      <w:r>
        <w:rPr/>
        <w:t>weapons.</w:t>
        <w:tab/>
        <w:t>59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tabs>
          <w:tab w:pos="1879" w:val="left" w:leader="none"/>
          <w:tab w:pos="8839" w:val="left" w:leader="dot"/>
        </w:tabs>
        <w:spacing w:before="1"/>
        <w:ind w:left="439"/>
      </w:pPr>
      <w:r>
        <w:rPr/>
        <w:t>Table</w:t>
      </w:r>
      <w:r>
        <w:rPr>
          <w:spacing w:val="-1"/>
        </w:rPr>
        <w:t> </w:t>
      </w:r>
      <w:r>
        <w:rPr/>
        <w:t>3.1</w:t>
        <w:tab/>
        <w:t>Classic</w:t>
      </w:r>
      <w:r>
        <w:rPr>
          <w:spacing w:val="-1"/>
        </w:rPr>
        <w:t> </w:t>
      </w:r>
      <w:r>
        <w:rPr/>
        <w:t>penetration</w:t>
      </w:r>
      <w:r>
        <w:rPr>
          <w:spacing w:val="-2"/>
        </w:rPr>
        <w:t> </w:t>
      </w:r>
      <w:r>
        <w:rPr/>
        <w:t>equations</w:t>
        <w:tab/>
        <w:t>68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tabs>
          <w:tab w:pos="1879" w:val="left" w:leader="none"/>
          <w:tab w:pos="8839" w:val="left" w:leader="dot"/>
        </w:tabs>
        <w:ind w:left="439"/>
      </w:pPr>
      <w:r>
        <w:rPr/>
        <w:t>Table</w:t>
      </w:r>
      <w:r>
        <w:rPr>
          <w:spacing w:val="-1"/>
        </w:rPr>
        <w:t> </w:t>
      </w:r>
      <w:r>
        <w:rPr/>
        <w:t>3.2</w:t>
        <w:tab/>
        <w:t>Classification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target</w:t>
      </w:r>
      <w:r>
        <w:rPr>
          <w:spacing w:val="-1"/>
        </w:rPr>
        <w:t> </w:t>
      </w:r>
      <w:r>
        <w:rPr/>
        <w:t>by</w:t>
      </w:r>
      <w:r>
        <w:rPr>
          <w:spacing w:val="-2"/>
        </w:rPr>
        <w:t> </w:t>
      </w:r>
      <w:r>
        <w:rPr/>
        <w:t>thickness,</w:t>
      </w:r>
      <w:r>
        <w:rPr>
          <w:spacing w:val="-3"/>
        </w:rPr>
        <w:t> </w:t>
      </w:r>
      <w:r>
        <w:rPr/>
        <w:t>adapted</w:t>
      </w:r>
      <w:r>
        <w:rPr>
          <w:spacing w:val="-1"/>
        </w:rPr>
        <w:t> </w:t>
      </w:r>
      <w:r>
        <w:rPr/>
        <w:t>from</w:t>
      </w:r>
      <w:r>
        <w:rPr>
          <w:spacing w:val="-2"/>
        </w:rPr>
        <w:t> </w:t>
      </w:r>
      <w:r>
        <w:rPr/>
        <w:t>[90]</w:t>
        <w:tab/>
        <w:t>87</w:t>
      </w:r>
    </w:p>
    <w:p>
      <w:pPr>
        <w:pStyle w:val="BodyText"/>
      </w:pPr>
    </w:p>
    <w:p>
      <w:pPr>
        <w:pStyle w:val="BodyText"/>
        <w:tabs>
          <w:tab w:pos="1879" w:val="left" w:leader="none"/>
          <w:tab w:pos="8719" w:val="left" w:leader="dot"/>
        </w:tabs>
        <w:ind w:left="1879" w:right="119" w:hanging="1440"/>
      </w:pPr>
      <w:r>
        <w:rPr/>
        <w:t>Table</w:t>
      </w:r>
      <w:r>
        <w:rPr>
          <w:spacing w:val="-1"/>
        </w:rPr>
        <w:t> </w:t>
      </w:r>
      <w:r>
        <w:rPr/>
        <w:t>4.1</w:t>
        <w:tab/>
        <w:t>Average coefficients of variation for some mechanical properties of clear</w:t>
      </w:r>
      <w:r>
        <w:rPr>
          <w:spacing w:val="1"/>
        </w:rPr>
        <w:t> </w:t>
      </w:r>
      <w:r>
        <w:rPr/>
        <w:t>wood,</w:t>
      </w:r>
      <w:r>
        <w:rPr>
          <w:spacing w:val="-1"/>
        </w:rPr>
        <w:t> </w:t>
      </w:r>
      <w:r>
        <w:rPr/>
        <w:t>adapted from</w:t>
      </w:r>
      <w:r>
        <w:rPr>
          <w:spacing w:val="-2"/>
        </w:rPr>
        <w:t> </w:t>
      </w:r>
      <w:r>
        <w:rPr/>
        <w:t>[96]</w:t>
        <w:tab/>
      </w:r>
      <w:r>
        <w:rPr>
          <w:spacing w:val="-2"/>
        </w:rPr>
        <w:t>105</w:t>
      </w:r>
    </w:p>
    <w:p>
      <w:pPr>
        <w:pStyle w:val="BodyText"/>
      </w:pPr>
    </w:p>
    <w:p>
      <w:pPr>
        <w:pStyle w:val="BodyText"/>
        <w:tabs>
          <w:tab w:pos="1879" w:val="left" w:leader="none"/>
          <w:tab w:pos="8719" w:val="left" w:leader="dot"/>
        </w:tabs>
        <w:ind w:left="1879" w:right="119" w:hanging="1440"/>
      </w:pPr>
      <w:r>
        <w:rPr/>
        <w:t>Table</w:t>
      </w:r>
      <w:r>
        <w:rPr>
          <w:spacing w:val="-1"/>
        </w:rPr>
        <w:t> </w:t>
      </w:r>
      <w:r>
        <w:rPr/>
        <w:t>4.2</w:t>
        <w:tab/>
        <w:t>Comparison of average shear stress achieved through shear block testing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coefficients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variations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two</w:t>
      </w:r>
      <w:r>
        <w:rPr>
          <w:spacing w:val="-3"/>
        </w:rPr>
        <w:t> </w:t>
      </w:r>
      <w:r>
        <w:rPr/>
        <w:t>types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CLT</w:t>
        <w:tab/>
      </w:r>
      <w:r>
        <w:rPr>
          <w:spacing w:val="-2"/>
        </w:rPr>
        <w:t>120</w:t>
      </w:r>
    </w:p>
    <w:p>
      <w:pPr>
        <w:pStyle w:val="BodyText"/>
      </w:pPr>
    </w:p>
    <w:p>
      <w:pPr>
        <w:pStyle w:val="BodyText"/>
        <w:tabs>
          <w:tab w:pos="1879" w:val="left" w:leader="none"/>
          <w:tab w:pos="8719" w:val="left" w:leader="dot"/>
        </w:tabs>
        <w:ind w:left="1879" w:right="119" w:hanging="1440"/>
      </w:pPr>
      <w:r>
        <w:rPr/>
        <w:t>Table</w:t>
      </w:r>
      <w:r>
        <w:rPr>
          <w:spacing w:val="-1"/>
        </w:rPr>
        <w:t> </w:t>
      </w:r>
      <w:r>
        <w:rPr/>
        <w:t>4.3</w:t>
        <w:tab/>
        <w:t>Average shear stresses achieved through shear block testing for epoxy and</w:t>
      </w:r>
      <w:r>
        <w:rPr>
          <w:spacing w:val="-57"/>
        </w:rPr>
        <w:t> </w:t>
      </w:r>
      <w:r>
        <w:rPr/>
        <w:t>non-wood</w:t>
      </w:r>
      <w:r>
        <w:rPr>
          <w:spacing w:val="-1"/>
        </w:rPr>
        <w:t> </w:t>
      </w:r>
      <w:r>
        <w:rPr/>
        <w:t>layers</w:t>
        <w:tab/>
      </w:r>
      <w:r>
        <w:rPr>
          <w:spacing w:val="-2"/>
        </w:rPr>
        <w:t>123</w:t>
      </w:r>
    </w:p>
    <w:p>
      <w:pPr>
        <w:pStyle w:val="BodyText"/>
      </w:pPr>
    </w:p>
    <w:p>
      <w:pPr>
        <w:pStyle w:val="BodyText"/>
        <w:tabs>
          <w:tab w:pos="1879" w:val="left" w:leader="none"/>
          <w:tab w:pos="8719" w:val="left" w:leader="dot"/>
        </w:tabs>
        <w:ind w:left="1880" w:right="119" w:hanging="1440"/>
      </w:pPr>
      <w:r>
        <w:rPr/>
        <w:t>Table</w:t>
      </w:r>
      <w:r>
        <w:rPr>
          <w:spacing w:val="-1"/>
        </w:rPr>
        <w:t> </w:t>
      </w:r>
      <w:r>
        <w:rPr/>
        <w:t>4.4</w:t>
        <w:tab/>
        <w:t>Coefficients for relationship between Janka hardness and specific gravity</w:t>
      </w:r>
      <w:r>
        <w:rPr>
          <w:spacing w:val="1"/>
        </w:rPr>
        <w:t> </w:t>
      </w:r>
      <w:r>
        <w:rPr/>
        <w:t>for</w:t>
      </w:r>
      <w:r>
        <w:rPr>
          <w:spacing w:val="-1"/>
        </w:rPr>
        <w:t> </w:t>
      </w:r>
      <w:r>
        <w:rPr/>
        <w:t>domestic</w:t>
      </w:r>
      <w:r>
        <w:rPr>
          <w:spacing w:val="-2"/>
        </w:rPr>
        <w:t> </w:t>
      </w:r>
      <w:r>
        <w:rPr/>
        <w:t>species,</w:t>
      </w:r>
      <w:r>
        <w:rPr>
          <w:spacing w:val="-2"/>
        </w:rPr>
        <w:t> </w:t>
      </w:r>
      <w:r>
        <w:rPr/>
        <w:t>adapted</w:t>
      </w:r>
      <w:r>
        <w:rPr>
          <w:spacing w:val="-1"/>
        </w:rPr>
        <w:t> </w:t>
      </w:r>
      <w:r>
        <w:rPr/>
        <w:t>from</w:t>
      </w:r>
      <w:r>
        <w:rPr>
          <w:spacing w:val="-1"/>
        </w:rPr>
        <w:t> </w:t>
      </w:r>
      <w:r>
        <w:rPr/>
        <w:t>[56]</w:t>
        <w:tab/>
      </w:r>
      <w:r>
        <w:rPr>
          <w:spacing w:val="-2"/>
        </w:rPr>
        <w:t>127</w:t>
      </w:r>
    </w:p>
    <w:p>
      <w:pPr>
        <w:pStyle w:val="BodyText"/>
      </w:pPr>
    </w:p>
    <w:p>
      <w:pPr>
        <w:pStyle w:val="BodyText"/>
        <w:tabs>
          <w:tab w:pos="1879" w:val="left" w:leader="none"/>
          <w:tab w:pos="8719" w:val="left" w:leader="dot"/>
        </w:tabs>
        <w:ind w:left="440"/>
      </w:pPr>
      <w:r>
        <w:rPr/>
        <w:t>Table</w:t>
      </w:r>
      <w:r>
        <w:rPr>
          <w:spacing w:val="-1"/>
        </w:rPr>
        <w:t> </w:t>
      </w:r>
      <w:r>
        <w:rPr/>
        <w:t>4.5</w:t>
        <w:tab/>
        <w:t>Results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Janka</w:t>
      </w:r>
      <w:r>
        <w:rPr>
          <w:spacing w:val="-1"/>
        </w:rPr>
        <w:t> </w:t>
      </w:r>
      <w:r>
        <w:rPr/>
        <w:t>hardness</w:t>
      </w:r>
      <w:r>
        <w:rPr>
          <w:spacing w:val="-1"/>
        </w:rPr>
        <w:t> </w:t>
      </w:r>
      <w:r>
        <w:rPr/>
        <w:t>testing</w:t>
        <w:tab/>
        <w:t>132</w:t>
      </w:r>
    </w:p>
    <w:p>
      <w:pPr>
        <w:pStyle w:val="BodyText"/>
      </w:pPr>
    </w:p>
    <w:p>
      <w:pPr>
        <w:pStyle w:val="BodyText"/>
        <w:tabs>
          <w:tab w:pos="1879" w:val="left" w:leader="none"/>
          <w:tab w:pos="8719" w:val="left" w:leader="dot"/>
        </w:tabs>
        <w:ind w:left="440"/>
      </w:pPr>
      <w:r>
        <w:rPr/>
        <w:t>Table</w:t>
      </w:r>
      <w:r>
        <w:rPr>
          <w:spacing w:val="-1"/>
        </w:rPr>
        <w:t> </w:t>
      </w:r>
      <w:r>
        <w:rPr/>
        <w:t>4.6</w:t>
        <w:tab/>
        <w:t>Shear</w:t>
      </w:r>
      <w:r>
        <w:rPr>
          <w:spacing w:val="-1"/>
        </w:rPr>
        <w:t> </w:t>
      </w:r>
      <w:r>
        <w:rPr/>
        <w:t>stress</w:t>
      </w:r>
      <w:r>
        <w:rPr>
          <w:spacing w:val="-1"/>
        </w:rPr>
        <w:t> </w:t>
      </w:r>
      <w:r>
        <w:rPr/>
        <w:t>test</w:t>
      </w:r>
      <w:r>
        <w:rPr>
          <w:spacing w:val="-2"/>
        </w:rPr>
        <w:t> </w:t>
      </w:r>
      <w:r>
        <w:rPr/>
        <w:t>results</w:t>
        <w:tab/>
        <w:t>136</w:t>
      </w:r>
    </w:p>
    <w:p>
      <w:pPr>
        <w:spacing w:after="0"/>
        <w:sectPr>
          <w:pgSz w:w="12240" w:h="15840"/>
          <w:pgMar w:header="0" w:footer="984" w:top="1380" w:bottom="1260" w:left="1720" w:right="1320"/>
        </w:sectPr>
      </w:pPr>
    </w:p>
    <w:p>
      <w:pPr>
        <w:pStyle w:val="BodyText"/>
        <w:tabs>
          <w:tab w:pos="1879" w:val="left" w:leader="none"/>
          <w:tab w:pos="8719" w:val="left" w:leader="dot"/>
        </w:tabs>
        <w:spacing w:before="77"/>
        <w:ind w:left="440"/>
      </w:pPr>
      <w:r>
        <w:rPr>
          <w:position w:val="1"/>
        </w:rPr>
        <w:t>Table</w:t>
      </w:r>
      <w:r>
        <w:rPr>
          <w:spacing w:val="-1"/>
          <w:position w:val="1"/>
        </w:rPr>
        <w:t> </w:t>
      </w:r>
      <w:r>
        <w:rPr>
          <w:position w:val="1"/>
        </w:rPr>
        <w:t>4.7</w:t>
        <w:tab/>
        <w:t>K</w:t>
      </w:r>
      <w:r>
        <w:rPr>
          <w:sz w:val="16"/>
        </w:rPr>
        <w:t>S</w:t>
      </w:r>
      <w:r>
        <w:rPr>
          <w:spacing w:val="19"/>
          <w:sz w:val="16"/>
        </w:rPr>
        <w:t> </w:t>
      </w:r>
      <w:r>
        <w:rPr>
          <w:position w:val="1"/>
        </w:rPr>
        <w:t>values for</w:t>
      </w:r>
      <w:r>
        <w:rPr>
          <w:spacing w:val="-1"/>
          <w:position w:val="1"/>
        </w:rPr>
        <w:t> </w:t>
      </w:r>
      <w:r>
        <w:rPr>
          <w:position w:val="1"/>
        </w:rPr>
        <w:t>various</w:t>
      </w:r>
      <w:r>
        <w:rPr>
          <w:spacing w:val="-1"/>
          <w:position w:val="1"/>
        </w:rPr>
        <w:t> </w:t>
      </w:r>
      <w:r>
        <w:rPr>
          <w:position w:val="1"/>
        </w:rPr>
        <w:t>loading conditions,</w:t>
      </w:r>
      <w:r>
        <w:rPr>
          <w:spacing w:val="-1"/>
          <w:position w:val="1"/>
        </w:rPr>
        <w:t> </w:t>
      </w:r>
      <w:r>
        <w:rPr>
          <w:position w:val="1"/>
        </w:rPr>
        <w:t>adapted</w:t>
      </w:r>
      <w:r>
        <w:rPr>
          <w:spacing w:val="-3"/>
          <w:position w:val="1"/>
        </w:rPr>
        <w:t> </w:t>
      </w:r>
      <w:r>
        <w:rPr>
          <w:position w:val="1"/>
        </w:rPr>
        <w:t>from</w:t>
      </w:r>
      <w:r>
        <w:rPr>
          <w:spacing w:val="-3"/>
          <w:position w:val="1"/>
        </w:rPr>
        <w:t> </w:t>
      </w:r>
      <w:r>
        <w:rPr>
          <w:position w:val="1"/>
        </w:rPr>
        <w:t>[68]</w:t>
        <w:tab/>
        <w:t>145</w:t>
      </w:r>
    </w:p>
    <w:p>
      <w:pPr>
        <w:pStyle w:val="BodyText"/>
        <w:tabs>
          <w:tab w:pos="1879" w:val="left" w:leader="none"/>
          <w:tab w:pos="8719" w:val="left" w:leader="dot"/>
        </w:tabs>
        <w:spacing w:before="277"/>
        <w:ind w:left="440"/>
      </w:pPr>
      <w:r>
        <w:rPr/>
        <w:t>Table</w:t>
      </w:r>
      <w:r>
        <w:rPr>
          <w:spacing w:val="-1"/>
        </w:rPr>
        <w:t> </w:t>
      </w:r>
      <w:r>
        <w:rPr/>
        <w:t>5.1</w:t>
        <w:tab/>
        <w:t>Wood</w:t>
      </w:r>
      <w:r>
        <w:rPr>
          <w:spacing w:val="-1"/>
        </w:rPr>
        <w:t> </w:t>
      </w:r>
      <w:r>
        <w:rPr/>
        <w:t>properties table</w:t>
      </w:r>
      <w:r>
        <w:rPr>
          <w:spacing w:val="-1"/>
        </w:rPr>
        <w:t> </w:t>
      </w:r>
      <w:r>
        <w:rPr/>
        <w:t>from</w:t>
      </w:r>
      <w:r>
        <w:rPr>
          <w:spacing w:val="-3"/>
        </w:rPr>
        <w:t> </w:t>
      </w:r>
      <w:r>
        <w:rPr/>
        <w:t>UFC</w:t>
      </w:r>
      <w:r>
        <w:rPr>
          <w:spacing w:val="-1"/>
        </w:rPr>
        <w:t> </w:t>
      </w:r>
      <w:r>
        <w:rPr/>
        <w:t>for use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wood equation.</w:t>
        <w:tab/>
        <w:t>150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80" w:right="119" w:hanging="1440"/>
      </w:pPr>
      <w:r>
        <w:rPr/>
        <w:t>Table</w:t>
      </w:r>
      <w:r>
        <w:rPr>
          <w:spacing w:val="-1"/>
        </w:rPr>
        <w:t> </w:t>
      </w:r>
      <w:r>
        <w:rPr/>
        <w:t>5.2</w:t>
        <w:tab/>
        <w:t>From</w:t>
      </w:r>
      <w:r>
        <w:rPr>
          <w:spacing w:val="1"/>
        </w:rPr>
        <w:t> </w:t>
      </w:r>
      <w:r>
        <w:rPr/>
        <w:t>UL</w:t>
      </w:r>
      <w:r>
        <w:rPr>
          <w:spacing w:val="1"/>
        </w:rPr>
        <w:t> </w:t>
      </w:r>
      <w:r>
        <w:rPr/>
        <w:t>752,</w:t>
      </w:r>
      <w:r>
        <w:rPr>
          <w:spacing w:val="1"/>
        </w:rPr>
        <w:t> </w:t>
      </w:r>
      <w:r>
        <w:rPr/>
        <w:t>Table</w:t>
      </w:r>
      <w:r>
        <w:rPr>
          <w:spacing w:val="60"/>
        </w:rPr>
        <w:t> </w:t>
      </w:r>
      <w:r>
        <w:rPr/>
        <w:t>3.1,</w:t>
      </w:r>
      <w:r>
        <w:rPr>
          <w:spacing w:val="60"/>
        </w:rPr>
        <w:t> </w:t>
      </w:r>
      <w:r>
        <w:rPr/>
        <w:t>the</w:t>
      </w:r>
      <w:r>
        <w:rPr>
          <w:spacing w:val="60"/>
        </w:rPr>
        <w:t> </w:t>
      </w:r>
      <w:r>
        <w:rPr/>
        <w:t>rating</w:t>
      </w:r>
      <w:r>
        <w:rPr>
          <w:spacing w:val="60"/>
        </w:rPr>
        <w:t> </w:t>
      </w:r>
      <w:r>
        <w:rPr/>
        <w:t>levels</w:t>
      </w:r>
      <w:r>
        <w:rPr>
          <w:spacing w:val="60"/>
        </w:rPr>
        <w:t> </w:t>
      </w:r>
      <w:r>
        <w:rPr/>
        <w:t>by</w:t>
      </w:r>
      <w:r>
        <w:rPr>
          <w:spacing w:val="60"/>
        </w:rPr>
        <w:t> </w:t>
      </w:r>
      <w:r>
        <w:rPr/>
        <w:t>ammunition</w:t>
      </w:r>
      <w:r>
        <w:rPr>
          <w:spacing w:val="1"/>
        </w:rPr>
        <w:t> </w:t>
      </w:r>
      <w:r>
        <w:rPr/>
        <w:t>specifications.</w:t>
        <w:tab/>
      </w:r>
      <w:r>
        <w:rPr>
          <w:spacing w:val="-2"/>
        </w:rPr>
        <w:t>153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40"/>
      </w:pPr>
      <w:r>
        <w:rPr/>
        <w:t>Table</w:t>
      </w:r>
      <w:r>
        <w:rPr>
          <w:spacing w:val="-1"/>
        </w:rPr>
        <w:t> </w:t>
      </w:r>
      <w:r>
        <w:rPr/>
        <w:t>5.3</w:t>
        <w:tab/>
        <w:t>The</w:t>
      </w:r>
      <w:r>
        <w:rPr>
          <w:spacing w:val="-1"/>
        </w:rPr>
        <w:t> </w:t>
      </w:r>
      <w:r>
        <w:rPr/>
        <w:t>level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performance</w:t>
      </w:r>
      <w:r>
        <w:rPr>
          <w:spacing w:val="-1"/>
        </w:rPr>
        <w:t> </w:t>
      </w:r>
      <w:r>
        <w:rPr/>
        <w:t>standards</w:t>
      </w:r>
      <w:r>
        <w:rPr>
          <w:spacing w:val="-1"/>
        </w:rPr>
        <w:t> </w:t>
      </w:r>
      <w:r>
        <w:rPr/>
        <w:t>based</w:t>
      </w:r>
      <w:r>
        <w:rPr>
          <w:spacing w:val="-1"/>
        </w:rPr>
        <w:t> </w:t>
      </w:r>
      <w:r>
        <w:rPr/>
        <w:t>on</w:t>
      </w:r>
      <w:r>
        <w:rPr>
          <w:spacing w:val="-1"/>
        </w:rPr>
        <w:t> </w:t>
      </w:r>
      <w:r>
        <w:rPr/>
        <w:t>NIJ</w:t>
      </w:r>
      <w:r>
        <w:rPr>
          <w:spacing w:val="-2"/>
        </w:rPr>
        <w:t> </w:t>
      </w:r>
      <w:r>
        <w:rPr/>
        <w:t>0108.01.</w:t>
        <w:tab/>
        <w:t>154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940" w:right="119" w:hanging="1500"/>
      </w:pPr>
      <w:r>
        <w:rPr/>
        <w:t>Table</w:t>
      </w:r>
      <w:r>
        <w:rPr>
          <w:spacing w:val="-1"/>
        </w:rPr>
        <w:t> </w:t>
      </w:r>
      <w:r>
        <w:rPr/>
        <w:t>5.4</w:t>
        <w:tab/>
        <w:t>Breakdown of number of ballistic tests by munition, species and data</w:t>
      </w:r>
      <w:r>
        <w:rPr>
          <w:spacing w:val="1"/>
        </w:rPr>
        <w:t> </w:t>
      </w:r>
      <w:r>
        <w:rPr/>
        <w:t>gathered.</w:t>
        <w:tab/>
      </w:r>
      <w:r>
        <w:rPr>
          <w:spacing w:val="-2"/>
        </w:rPr>
        <w:t>163</w:t>
      </w:r>
    </w:p>
    <w:p>
      <w:pPr>
        <w:pStyle w:val="BodyText"/>
        <w:tabs>
          <w:tab w:pos="1879" w:val="left" w:leader="none"/>
        </w:tabs>
        <w:spacing w:before="276"/>
        <w:ind w:left="440"/>
      </w:pPr>
      <w:r>
        <w:rPr/>
        <w:t>Table</w:t>
      </w:r>
      <w:r>
        <w:rPr>
          <w:spacing w:val="-1"/>
        </w:rPr>
        <w:t> </w:t>
      </w:r>
      <w:r>
        <w:rPr/>
        <w:t>5.5</w:t>
        <w:tab/>
        <w:t>Values</w:t>
      </w:r>
      <w:r>
        <w:rPr>
          <w:spacing w:val="-1"/>
        </w:rPr>
        <w:t> </w:t>
      </w:r>
      <w:r>
        <w:rPr/>
        <w:t>used</w:t>
      </w:r>
      <w:r>
        <w:rPr>
          <w:spacing w:val="-3"/>
        </w:rPr>
        <w:t> </w:t>
      </w:r>
      <w:r>
        <w:rPr/>
        <w:t>in UFC</w:t>
      </w:r>
      <w:r>
        <w:rPr>
          <w:spacing w:val="-2"/>
        </w:rPr>
        <w:t> </w:t>
      </w:r>
      <w:r>
        <w:rPr/>
        <w:t>equation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calculation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required</w:t>
      </w:r>
      <w:r>
        <w:rPr>
          <w:spacing w:val="-1"/>
        </w:rPr>
        <w:t> </w:t>
      </w:r>
      <w:r>
        <w:rPr/>
        <w:t>wood</w:t>
      </w:r>
    </w:p>
    <w:p>
      <w:pPr>
        <w:pStyle w:val="BodyText"/>
        <w:tabs>
          <w:tab w:pos="8719" w:val="left" w:leader="dot"/>
        </w:tabs>
        <w:ind w:left="1880"/>
      </w:pPr>
      <w:r>
        <w:rPr/>
        <w:t>thickness</w:t>
        <w:tab/>
        <w:t>166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40"/>
      </w:pPr>
      <w:r>
        <w:rPr/>
        <w:t>Table</w:t>
      </w:r>
      <w:r>
        <w:rPr>
          <w:spacing w:val="-1"/>
        </w:rPr>
        <w:t> </w:t>
      </w:r>
      <w:r>
        <w:rPr/>
        <w:t>5.6</w:t>
        <w:tab/>
        <w:t>Summary</w:t>
      </w:r>
      <w:r>
        <w:rPr>
          <w:spacing w:val="-1"/>
        </w:rPr>
        <w:t> </w:t>
      </w:r>
      <w:r>
        <w:rPr/>
        <w:t>of models</w:t>
        <w:tab/>
        <w:t>168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80" w:right="119" w:hanging="1440"/>
      </w:pPr>
      <w:r>
        <w:rPr/>
        <w:t>Table</w:t>
      </w:r>
      <w:r>
        <w:rPr>
          <w:spacing w:val="-1"/>
        </w:rPr>
        <w:t> </w:t>
      </w:r>
      <w:r>
        <w:rPr/>
        <w:t>5.7</w:t>
        <w:tab/>
        <w:t>Calibrated model parameters and MSE for different revisions of the UFC</w:t>
      </w:r>
      <w:r>
        <w:rPr>
          <w:spacing w:val="1"/>
        </w:rPr>
        <w:t> </w:t>
      </w:r>
      <w:r>
        <w:rPr/>
        <w:t>model</w:t>
        <w:tab/>
      </w:r>
      <w:r>
        <w:rPr>
          <w:spacing w:val="-2"/>
        </w:rPr>
        <w:t>174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40"/>
      </w:pPr>
      <w:r>
        <w:rPr/>
        <w:t>Table</w:t>
      </w:r>
      <w:r>
        <w:rPr>
          <w:spacing w:val="-1"/>
        </w:rPr>
        <w:t> </w:t>
      </w:r>
      <w:r>
        <w:rPr/>
        <w:t>5.8</w:t>
        <w:tab/>
        <w:t>Variations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Poncelet</w:t>
      </w:r>
      <w:r>
        <w:rPr>
          <w:spacing w:val="-1"/>
        </w:rPr>
        <w:t> </w:t>
      </w:r>
      <w:r>
        <w:rPr/>
        <w:t>equations</w:t>
      </w:r>
      <w:r>
        <w:rPr>
          <w:spacing w:val="-3"/>
        </w:rPr>
        <w:t> </w:t>
      </w:r>
      <w:r>
        <w:rPr/>
        <w:t>calibrated</w:t>
      </w:r>
      <w:r>
        <w:rPr>
          <w:spacing w:val="-3"/>
        </w:rPr>
        <w:t> </w:t>
      </w:r>
      <w:r>
        <w:rPr/>
        <w:t>to</w:t>
      </w:r>
      <w:r>
        <w:rPr>
          <w:spacing w:val="-1"/>
        </w:rPr>
        <w:t> </w:t>
      </w:r>
      <w:r>
        <w:rPr/>
        <w:t>CLT</w:t>
      </w:r>
      <w:r>
        <w:rPr>
          <w:spacing w:val="-2"/>
        </w:rPr>
        <w:t> </w:t>
      </w:r>
      <w:r>
        <w:rPr/>
        <w:t>data.</w:t>
        <w:tab/>
        <w:t>179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40"/>
      </w:pPr>
      <w:r>
        <w:rPr/>
        <w:t>Table</w:t>
      </w:r>
      <w:r>
        <w:rPr>
          <w:spacing w:val="-1"/>
        </w:rPr>
        <w:t> </w:t>
      </w:r>
      <w:r>
        <w:rPr/>
        <w:t>5.9</w:t>
        <w:tab/>
        <w:t>A</w:t>
      </w:r>
      <w:r>
        <w:rPr>
          <w:spacing w:val="-2"/>
        </w:rPr>
        <w:t> </w:t>
      </w:r>
      <w:r>
        <w:rPr/>
        <w:t>comparison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three</w:t>
      </w:r>
      <w:r>
        <w:rPr>
          <w:spacing w:val="-1"/>
        </w:rPr>
        <w:t> </w:t>
      </w:r>
      <w:r>
        <w:rPr/>
        <w:t>classic</w:t>
      </w:r>
      <w:r>
        <w:rPr>
          <w:spacing w:val="-1"/>
        </w:rPr>
        <w:t> </w:t>
      </w:r>
      <w:r>
        <w:rPr/>
        <w:t>penetration</w:t>
      </w:r>
      <w:r>
        <w:rPr>
          <w:spacing w:val="-1"/>
        </w:rPr>
        <w:t> </w:t>
      </w:r>
      <w:r>
        <w:rPr/>
        <w:t>models.</w:t>
        <w:tab/>
        <w:t>184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80" w:right="117" w:hanging="1440"/>
      </w:pPr>
      <w:r>
        <w:rPr/>
        <w:t>Table</w:t>
      </w:r>
      <w:r>
        <w:rPr>
          <w:spacing w:val="-1"/>
        </w:rPr>
        <w:t> </w:t>
      </w:r>
      <w:r>
        <w:rPr/>
        <w:t>5.10</w:t>
        <w:tab/>
        <w:t>Calibrated</w:t>
      </w:r>
      <w:r>
        <w:rPr>
          <w:spacing w:val="-13"/>
        </w:rPr>
        <w:t> </w:t>
      </w:r>
      <w:r>
        <w:rPr/>
        <w:t>model</w:t>
      </w:r>
      <w:r>
        <w:rPr>
          <w:spacing w:val="-12"/>
        </w:rPr>
        <w:t> </w:t>
      </w:r>
      <w:r>
        <w:rPr/>
        <w:t>parameters</w:t>
      </w:r>
      <w:r>
        <w:rPr>
          <w:spacing w:val="-13"/>
        </w:rPr>
        <w:t> </w:t>
      </w:r>
      <w:r>
        <w:rPr/>
        <w:t>and</w:t>
      </w:r>
      <w:r>
        <w:rPr>
          <w:spacing w:val="-11"/>
        </w:rPr>
        <w:t> </w:t>
      </w:r>
      <w:r>
        <w:rPr/>
        <w:t>MSE</w:t>
      </w:r>
      <w:r>
        <w:rPr>
          <w:spacing w:val="-14"/>
        </w:rPr>
        <w:t> </w:t>
      </w:r>
      <w:r>
        <w:rPr/>
        <w:t>for</w:t>
      </w:r>
      <w:r>
        <w:rPr>
          <w:spacing w:val="-12"/>
        </w:rPr>
        <w:t> </w:t>
      </w:r>
      <w:r>
        <w:rPr/>
        <w:t>different</w:t>
      </w:r>
      <w:r>
        <w:rPr>
          <w:spacing w:val="-12"/>
        </w:rPr>
        <w:t> </w:t>
      </w:r>
      <w:r>
        <w:rPr/>
        <w:t>calibrations</w:t>
      </w:r>
      <w:r>
        <w:rPr>
          <w:spacing w:val="-13"/>
        </w:rPr>
        <w:t> </w:t>
      </w:r>
      <w:r>
        <w:rPr/>
        <w:t>of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force</w:t>
      </w:r>
      <w:r>
        <w:rPr>
          <w:spacing w:val="-57"/>
        </w:rPr>
        <w:t> </w:t>
      </w:r>
      <w:r>
        <w:rPr/>
        <w:t>law</w:t>
      </w:r>
      <w:r>
        <w:rPr>
          <w:spacing w:val="-2"/>
        </w:rPr>
        <w:t> </w:t>
      </w:r>
      <w:r>
        <w:rPr/>
        <w:t>model</w:t>
        <w:tab/>
      </w:r>
      <w:r>
        <w:rPr>
          <w:spacing w:val="-2"/>
        </w:rPr>
        <w:t>188</w:t>
      </w:r>
    </w:p>
    <w:p>
      <w:pPr>
        <w:pStyle w:val="BodyText"/>
        <w:tabs>
          <w:tab w:pos="1879" w:val="left" w:leader="none"/>
          <w:tab w:pos="8719" w:val="left" w:leader="dot"/>
        </w:tabs>
        <w:spacing w:before="475"/>
        <w:ind w:left="440"/>
      </w:pPr>
      <w:r>
        <w:rPr/>
        <w:t>Table</w:t>
      </w:r>
      <w:r>
        <w:rPr>
          <w:spacing w:val="-1"/>
        </w:rPr>
        <w:t> </w:t>
      </w:r>
      <w:r>
        <w:rPr/>
        <w:t>5.11</w:t>
        <w:tab/>
        <w:t>Comparison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all</w:t>
      </w:r>
      <w:r>
        <w:rPr>
          <w:spacing w:val="-1"/>
        </w:rPr>
        <w:t> </w:t>
      </w:r>
      <w:r>
        <w:rPr/>
        <w:t>models</w:t>
      </w:r>
      <w:r>
        <w:rPr>
          <w:spacing w:val="-1"/>
        </w:rPr>
        <w:t> </w:t>
      </w:r>
      <w:r>
        <w:rPr/>
        <w:t>calibrated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CLT</w:t>
      </w:r>
      <w:r>
        <w:rPr>
          <w:spacing w:val="-2"/>
        </w:rPr>
        <w:t> </w:t>
      </w:r>
      <w:r>
        <w:rPr/>
        <w:t>data</w:t>
        <w:tab/>
        <w:t>198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40"/>
      </w:pPr>
      <w:r>
        <w:rPr/>
        <w:t>Table</w:t>
      </w:r>
      <w:r>
        <w:rPr>
          <w:spacing w:val="-1"/>
        </w:rPr>
        <w:t> </w:t>
      </w:r>
      <w:r>
        <w:rPr/>
        <w:t>5.12</w:t>
        <w:tab/>
        <w:t>Weathered</w:t>
      </w:r>
      <w:r>
        <w:rPr>
          <w:spacing w:val="-3"/>
        </w:rPr>
        <w:t> </w:t>
      </w:r>
      <w:r>
        <w:rPr/>
        <w:t>CLT</w:t>
      </w:r>
      <w:r>
        <w:rPr>
          <w:spacing w:val="-3"/>
        </w:rPr>
        <w:t> </w:t>
      </w:r>
      <w:r>
        <w:rPr/>
        <w:t>specimens</w:t>
      </w:r>
      <w:r>
        <w:rPr>
          <w:spacing w:val="-1"/>
        </w:rPr>
        <w:t> </w:t>
      </w:r>
      <w:r>
        <w:rPr/>
        <w:t>exterior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interior</w:t>
      </w:r>
      <w:r>
        <w:rPr>
          <w:spacing w:val="-2"/>
        </w:rPr>
        <w:t> </w:t>
      </w:r>
      <w:r>
        <w:rPr/>
        <w:t>moisture</w:t>
      </w:r>
      <w:r>
        <w:rPr>
          <w:spacing w:val="-2"/>
        </w:rPr>
        <w:t> </w:t>
      </w:r>
      <w:r>
        <w:rPr/>
        <w:t>contents</w:t>
        <w:tab/>
        <w:t>205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79" w:right="119" w:hanging="1440"/>
      </w:pPr>
      <w:r>
        <w:rPr/>
        <w:t>Table</w:t>
      </w:r>
      <w:r>
        <w:rPr>
          <w:spacing w:val="-1"/>
        </w:rPr>
        <w:t> </w:t>
      </w:r>
      <w:r>
        <w:rPr/>
        <w:t>5.13</w:t>
        <w:tab/>
        <w:t>MSE of THOR CLT and Revised UFC models for different projectile data</w:t>
      </w:r>
      <w:r>
        <w:rPr>
          <w:spacing w:val="-57"/>
        </w:rPr>
        <w:t> </w:t>
      </w:r>
      <w:r>
        <w:rPr/>
        <w:t>sets.</w:t>
        <w:tab/>
      </w:r>
      <w:r>
        <w:rPr>
          <w:spacing w:val="-2"/>
        </w:rPr>
        <w:t>207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79" w:right="119" w:hanging="1440"/>
      </w:pPr>
      <w:r>
        <w:rPr/>
        <w:t>Table</w:t>
      </w:r>
      <w:r>
        <w:rPr>
          <w:spacing w:val="-1"/>
        </w:rPr>
        <w:t> </w:t>
      </w:r>
      <w:r>
        <w:rPr/>
        <w:t>5.14</w:t>
        <w:tab/>
        <w:t>Actual</w:t>
      </w:r>
      <w:r>
        <w:rPr>
          <w:spacing w:val="2"/>
        </w:rPr>
        <w:t> </w:t>
      </w:r>
      <w:r>
        <w:rPr/>
        <w:t>FSP</w:t>
      </w:r>
      <w:r>
        <w:rPr>
          <w:spacing w:val="1"/>
        </w:rPr>
        <w:t> </w:t>
      </w:r>
      <w:r>
        <w:rPr/>
        <w:t>depth</w:t>
      </w:r>
      <w:r>
        <w:rPr>
          <w:spacing w:val="2"/>
        </w:rPr>
        <w:t> </w:t>
      </w:r>
      <w:r>
        <w:rPr/>
        <w:t>of</w:t>
      </w:r>
      <w:r>
        <w:rPr>
          <w:spacing w:val="1"/>
        </w:rPr>
        <w:t> </w:t>
      </w:r>
      <w:r>
        <w:rPr/>
        <w:t>penetration</w:t>
      </w:r>
      <w:r>
        <w:rPr>
          <w:spacing w:val="2"/>
        </w:rPr>
        <w:t> </w:t>
      </w:r>
      <w:r>
        <w:rPr/>
        <w:t>compared</w:t>
      </w:r>
      <w:r>
        <w:rPr>
          <w:spacing w:val="2"/>
        </w:rPr>
        <w:t> </w:t>
      </w:r>
      <w:r>
        <w:rPr/>
        <w:t>to</w:t>
      </w:r>
      <w:r>
        <w:rPr>
          <w:spacing w:val="2"/>
        </w:rPr>
        <w:t> </w:t>
      </w:r>
      <w:r>
        <w:rPr/>
        <w:t>UFC</w:t>
      </w:r>
      <w:r>
        <w:rPr>
          <w:spacing w:val="2"/>
        </w:rPr>
        <w:t> </w:t>
      </w:r>
      <w:r>
        <w:rPr/>
        <w:t>and</w:t>
      </w:r>
      <w:r>
        <w:rPr>
          <w:spacing w:val="2"/>
        </w:rPr>
        <w:t> </w:t>
      </w:r>
      <w:r>
        <w:rPr/>
        <w:t>THOR</w:t>
      </w:r>
      <w:r>
        <w:rPr>
          <w:spacing w:val="1"/>
        </w:rPr>
        <w:t> </w:t>
      </w:r>
      <w:r>
        <w:rPr/>
        <w:t>wood</w:t>
      </w:r>
      <w:r>
        <w:rPr>
          <w:spacing w:val="1"/>
        </w:rPr>
        <w:t> </w:t>
      </w:r>
      <w:r>
        <w:rPr/>
        <w:t>model</w:t>
      </w:r>
      <w:r>
        <w:rPr>
          <w:spacing w:val="-1"/>
        </w:rPr>
        <w:t> </w:t>
      </w:r>
      <w:r>
        <w:rPr/>
        <w:t>predicted</w:t>
      </w:r>
      <w:r>
        <w:rPr>
          <w:spacing w:val="-1"/>
        </w:rPr>
        <w:t> </w:t>
      </w:r>
      <w:r>
        <w:rPr/>
        <w:t>depths</w:t>
        <w:tab/>
      </w:r>
      <w:r>
        <w:rPr>
          <w:spacing w:val="-2"/>
        </w:rPr>
        <w:t>211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79" w:right="119" w:hanging="1440"/>
      </w:pPr>
      <w:r>
        <w:rPr/>
        <w:t>Table</w:t>
      </w:r>
      <w:r>
        <w:rPr>
          <w:spacing w:val="-1"/>
        </w:rPr>
        <w:t> </w:t>
      </w:r>
      <w:r>
        <w:rPr/>
        <w:t>6.1</w:t>
        <w:tab/>
        <w:t>Softwood species radial and tangential toughness values from the Wood</w:t>
      </w:r>
      <w:r>
        <w:rPr>
          <w:spacing w:val="1"/>
        </w:rPr>
        <w:t> </w:t>
      </w:r>
      <w:r>
        <w:rPr/>
        <w:t>Handbook,</w:t>
      </w:r>
      <w:r>
        <w:rPr>
          <w:spacing w:val="-1"/>
        </w:rPr>
        <w:t> </w:t>
      </w:r>
      <w:r>
        <w:rPr/>
        <w:t>adapted</w:t>
      </w:r>
      <w:r>
        <w:rPr>
          <w:spacing w:val="-1"/>
        </w:rPr>
        <w:t> </w:t>
      </w:r>
      <w:r>
        <w:rPr/>
        <w:t>from</w:t>
      </w:r>
      <w:r>
        <w:rPr>
          <w:spacing w:val="-1"/>
        </w:rPr>
        <w:t> </w:t>
      </w:r>
      <w:r>
        <w:rPr/>
        <w:t>[96]</w:t>
        <w:tab/>
      </w:r>
      <w:r>
        <w:rPr>
          <w:spacing w:val="-2"/>
        </w:rPr>
        <w:t>215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40"/>
      </w:pPr>
      <w:r>
        <w:rPr/>
        <w:t>Table</w:t>
      </w:r>
      <w:r>
        <w:rPr>
          <w:spacing w:val="-1"/>
        </w:rPr>
        <w:t> </w:t>
      </w:r>
      <w:r>
        <w:rPr/>
        <w:t>6.2</w:t>
        <w:tab/>
        <w:t>Outliers</w:t>
      </w:r>
      <w:r>
        <w:rPr>
          <w:spacing w:val="-1"/>
        </w:rPr>
        <w:t> </w:t>
      </w:r>
      <w:r>
        <w:rPr/>
        <w:t>from</w:t>
      </w:r>
      <w:r>
        <w:rPr>
          <w:spacing w:val="-2"/>
        </w:rPr>
        <w:t> </w:t>
      </w:r>
      <w:r>
        <w:rPr/>
        <w:t>ballistic</w:t>
      </w:r>
      <w:r>
        <w:rPr>
          <w:spacing w:val="-2"/>
        </w:rPr>
        <w:t> </w:t>
      </w:r>
      <w:r>
        <w:rPr/>
        <w:t>testing</w:t>
        <w:tab/>
        <w:t>237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40"/>
      </w:pPr>
      <w:r>
        <w:rPr/>
        <w:t>Table</w:t>
      </w:r>
      <w:r>
        <w:rPr>
          <w:spacing w:val="-1"/>
        </w:rPr>
        <w:t> </w:t>
      </w:r>
      <w:r>
        <w:rPr/>
        <w:t>7.1</w:t>
        <w:tab/>
        <w:t>Variations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ECLT</w:t>
      </w:r>
      <w:r>
        <w:rPr>
          <w:spacing w:val="-3"/>
        </w:rPr>
        <w:t> </w:t>
      </w:r>
      <w:r>
        <w:rPr/>
        <w:t>investigated</w:t>
        <w:tab/>
        <w:t>240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80" w:right="119" w:hanging="1440"/>
      </w:pPr>
      <w:r>
        <w:rPr/>
        <w:t>Table</w:t>
      </w:r>
      <w:r>
        <w:rPr>
          <w:spacing w:val="-1"/>
        </w:rPr>
        <w:t> </w:t>
      </w:r>
      <w:r>
        <w:rPr/>
        <w:t>7.2</w:t>
        <w:tab/>
        <w:t>Details</w:t>
      </w:r>
      <w:r>
        <w:rPr>
          <w:spacing w:val="11"/>
        </w:rPr>
        <w:t> </w:t>
      </w:r>
      <w:r>
        <w:rPr/>
        <w:t>of</w:t>
      </w:r>
      <w:r>
        <w:rPr>
          <w:spacing w:val="10"/>
        </w:rPr>
        <w:t> </w:t>
      </w:r>
      <w:r>
        <w:rPr/>
        <w:t>the</w:t>
      </w:r>
      <w:r>
        <w:rPr>
          <w:spacing w:val="11"/>
        </w:rPr>
        <w:t> </w:t>
      </w:r>
      <w:r>
        <w:rPr/>
        <w:t>test</w:t>
      </w:r>
      <w:r>
        <w:rPr>
          <w:spacing w:val="11"/>
        </w:rPr>
        <w:t> </w:t>
      </w:r>
      <w:r>
        <w:rPr/>
        <w:t>shots</w:t>
      </w:r>
      <w:r>
        <w:rPr>
          <w:spacing w:val="10"/>
        </w:rPr>
        <w:t> </w:t>
      </w:r>
      <w:r>
        <w:rPr/>
        <w:t>on</w:t>
      </w:r>
      <w:r>
        <w:rPr>
          <w:spacing w:val="11"/>
        </w:rPr>
        <w:t> </w:t>
      </w:r>
      <w:r>
        <w:rPr/>
        <w:t>the</w:t>
      </w:r>
      <w:r>
        <w:rPr>
          <w:spacing w:val="11"/>
        </w:rPr>
        <w:t> </w:t>
      </w:r>
      <w:r>
        <w:rPr/>
        <w:t>P900</w:t>
      </w:r>
      <w:r>
        <w:rPr>
          <w:spacing w:val="11"/>
        </w:rPr>
        <w:t> </w:t>
      </w:r>
      <w:r>
        <w:rPr/>
        <w:t>perforated</w:t>
      </w:r>
      <w:r>
        <w:rPr>
          <w:spacing w:val="9"/>
        </w:rPr>
        <w:t> </w:t>
      </w:r>
      <w:r>
        <w:rPr/>
        <w:t>steel</w:t>
      </w:r>
      <w:r>
        <w:rPr>
          <w:spacing w:val="11"/>
        </w:rPr>
        <w:t> </w:t>
      </w:r>
      <w:r>
        <w:rPr/>
        <w:t>plate</w:t>
      </w:r>
      <w:r>
        <w:rPr>
          <w:spacing w:val="11"/>
        </w:rPr>
        <w:t> </w:t>
      </w:r>
      <w:r>
        <w:rPr/>
        <w:t>ECLT</w:t>
      </w:r>
      <w:r>
        <w:rPr>
          <w:spacing w:val="1"/>
        </w:rPr>
        <w:t> </w:t>
      </w:r>
      <w:r>
        <w:rPr/>
        <w:t>specimen</w:t>
        <w:tab/>
      </w:r>
      <w:r>
        <w:rPr>
          <w:spacing w:val="-2"/>
        </w:rPr>
        <w:t>260</w:t>
      </w:r>
    </w:p>
    <w:p>
      <w:pPr>
        <w:spacing w:after="0"/>
        <w:sectPr>
          <w:pgSz w:w="12240" w:h="15840"/>
          <w:pgMar w:header="0" w:footer="984" w:top="1360" w:bottom="1260" w:left="1720" w:right="1320"/>
        </w:sectPr>
      </w:pPr>
    </w:p>
    <w:p>
      <w:pPr>
        <w:pStyle w:val="BodyText"/>
        <w:tabs>
          <w:tab w:pos="1879" w:val="left" w:leader="none"/>
        </w:tabs>
        <w:spacing w:before="78"/>
        <w:ind w:left="440"/>
      </w:pPr>
      <w:r>
        <w:rPr/>
        <w:t>Table</w:t>
      </w:r>
      <w:r>
        <w:rPr>
          <w:spacing w:val="-1"/>
        </w:rPr>
        <w:t> </w:t>
      </w:r>
      <w:r>
        <w:rPr/>
        <w:t>7.3</w:t>
        <w:tab/>
      </w:r>
      <w:r>
        <w:rPr>
          <w:spacing w:val="-1"/>
        </w:rPr>
        <w:t>Details</w:t>
      </w:r>
      <w:r>
        <w:rPr/>
        <w:t> </w:t>
      </w:r>
      <w:r>
        <w:rPr>
          <w:spacing w:val="-1"/>
        </w:rPr>
        <w:t>of</w:t>
      </w:r>
      <w:r>
        <w:rPr/>
        <w:t> </w:t>
      </w:r>
      <w:r>
        <w:rPr>
          <w:spacing w:val="-1"/>
        </w:rPr>
        <w:t>the</w:t>
      </w:r>
      <w:r>
        <w:rPr/>
        <w:t> </w:t>
      </w:r>
      <w:r>
        <w:rPr>
          <w:spacing w:val="-1"/>
        </w:rPr>
        <w:t>test</w:t>
      </w:r>
      <w:r>
        <w:rPr/>
        <w:t> shots</w:t>
      </w:r>
      <w:r>
        <w:rPr>
          <w:spacing w:val="-1"/>
        </w:rPr>
        <w:t> </w:t>
      </w:r>
      <w:r>
        <w:rPr/>
        <w:t>on the expanded metal</w:t>
      </w:r>
      <w:r>
        <w:rPr>
          <w:spacing w:val="1"/>
        </w:rPr>
        <w:t> </w:t>
      </w:r>
      <w:r>
        <w:rPr/>
        <w:t>plate ECLT</w:t>
      </w:r>
      <w:r>
        <w:rPr>
          <w:spacing w:val="-1"/>
        </w:rPr>
        <w:t> </w:t>
      </w:r>
      <w:r>
        <w:rPr/>
        <w:t>specimen</w:t>
      </w:r>
      <w:r>
        <w:rPr>
          <w:spacing w:val="-19"/>
        </w:rPr>
        <w:t> </w:t>
      </w:r>
      <w:r>
        <w:rPr/>
        <w:t>...264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80" w:right="119" w:hanging="1440"/>
      </w:pPr>
      <w:r>
        <w:rPr/>
        <w:t>Table</w:t>
      </w:r>
      <w:r>
        <w:rPr>
          <w:spacing w:val="-1"/>
        </w:rPr>
        <w:t> </w:t>
      </w:r>
      <w:r>
        <w:rPr/>
        <w:t>7.4</w:t>
        <w:tab/>
        <w:t>Aramid epoxy panel ECLT tests for two specimens with no complete</w:t>
      </w:r>
      <w:r>
        <w:rPr>
          <w:spacing w:val="1"/>
        </w:rPr>
        <w:t> </w:t>
      </w:r>
      <w:r>
        <w:rPr/>
        <w:t>penetrations</w:t>
        <w:tab/>
      </w:r>
      <w:r>
        <w:rPr>
          <w:spacing w:val="-2"/>
        </w:rPr>
        <w:t>267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80" w:right="119" w:hanging="1440"/>
      </w:pPr>
      <w:r>
        <w:rPr/>
        <w:t>Table</w:t>
      </w:r>
      <w:r>
        <w:rPr>
          <w:spacing w:val="-1"/>
        </w:rPr>
        <w:t> </w:t>
      </w:r>
      <w:r>
        <w:rPr/>
        <w:t>7.5</w:t>
        <w:tab/>
        <w:t>Aramid epoxy panel ECLT tests of increased striking velocities for</w:t>
      </w:r>
      <w:r>
        <w:rPr>
          <w:spacing w:val="1"/>
        </w:rPr>
        <w:t> </w:t>
      </w:r>
      <w:r>
        <w:rPr/>
        <w:t>complete</w:t>
      </w:r>
      <w:r>
        <w:rPr>
          <w:spacing w:val="-1"/>
        </w:rPr>
        <w:t> </w:t>
      </w:r>
      <w:r>
        <w:rPr/>
        <w:t>penetration.</w:t>
        <w:tab/>
      </w:r>
      <w:r>
        <w:rPr>
          <w:spacing w:val="-2"/>
        </w:rPr>
        <w:t>268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40"/>
      </w:pPr>
      <w:r>
        <w:rPr/>
        <w:t>Table</w:t>
      </w:r>
      <w:r>
        <w:rPr>
          <w:spacing w:val="-1"/>
        </w:rPr>
        <w:t> </w:t>
      </w:r>
      <w:r>
        <w:rPr/>
        <w:t>7.6</w:t>
        <w:tab/>
        <w:t>Mild</w:t>
      </w:r>
      <w:r>
        <w:rPr>
          <w:spacing w:val="-1"/>
        </w:rPr>
        <w:t> </w:t>
      </w:r>
      <w:r>
        <w:rPr/>
        <w:t>steel</w:t>
      </w:r>
      <w:r>
        <w:rPr>
          <w:spacing w:val="-1"/>
        </w:rPr>
        <w:t> </w:t>
      </w:r>
      <w:r>
        <w:rPr/>
        <w:t>plate</w:t>
      </w:r>
      <w:r>
        <w:rPr>
          <w:spacing w:val="-2"/>
        </w:rPr>
        <w:t> </w:t>
      </w:r>
      <w:r>
        <w:rPr/>
        <w:t>ECLT</w:t>
      </w:r>
      <w:r>
        <w:rPr>
          <w:spacing w:val="-2"/>
        </w:rPr>
        <w:t> </w:t>
      </w:r>
      <w:r>
        <w:rPr/>
        <w:t>test</w:t>
      </w:r>
      <w:r>
        <w:rPr>
          <w:spacing w:val="-1"/>
        </w:rPr>
        <w:t> </w:t>
      </w:r>
      <w:r>
        <w:rPr/>
        <w:t>details.</w:t>
        <w:tab/>
        <w:t>271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40"/>
      </w:pPr>
      <w:r>
        <w:rPr/>
        <w:t>Table</w:t>
      </w:r>
      <w:r>
        <w:rPr>
          <w:spacing w:val="-1"/>
        </w:rPr>
        <w:t> </w:t>
      </w:r>
      <w:r>
        <w:rPr/>
        <w:t>7.7</w:t>
        <w:tab/>
        <w:t>Results</w:t>
      </w:r>
      <w:r>
        <w:rPr>
          <w:spacing w:val="-1"/>
        </w:rPr>
        <w:t> </w:t>
      </w:r>
      <w:r>
        <w:rPr/>
        <w:t>from</w:t>
      </w:r>
      <w:r>
        <w:rPr>
          <w:spacing w:val="-2"/>
        </w:rPr>
        <w:t> </w:t>
      </w:r>
      <w:r>
        <w:rPr/>
        <w:t>hard-hard</w:t>
      </w:r>
      <w:r>
        <w:rPr>
          <w:spacing w:val="-4"/>
        </w:rPr>
        <w:t> </w:t>
      </w:r>
      <w:r>
        <w:rPr/>
        <w:t>steel</w:t>
      </w:r>
      <w:r>
        <w:rPr>
          <w:spacing w:val="-1"/>
        </w:rPr>
        <w:t> </w:t>
      </w:r>
      <w:r>
        <w:rPr/>
        <w:t>ECLT</w:t>
      </w:r>
      <w:r>
        <w:rPr>
          <w:spacing w:val="-2"/>
        </w:rPr>
        <w:t> </w:t>
      </w:r>
      <w:r>
        <w:rPr/>
        <w:t>testing.</w:t>
        <w:tab/>
        <w:t>275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40"/>
      </w:pPr>
      <w:r>
        <w:rPr/>
        <w:t>Table</w:t>
      </w:r>
      <w:r>
        <w:rPr>
          <w:spacing w:val="-1"/>
        </w:rPr>
        <w:t> </w:t>
      </w:r>
      <w:r>
        <w:rPr/>
        <w:t>7.8</w:t>
        <w:tab/>
        <w:t>UHMWPE</w:t>
      </w:r>
      <w:r>
        <w:rPr>
          <w:spacing w:val="-1"/>
        </w:rPr>
        <w:t> </w:t>
      </w:r>
      <w:r>
        <w:rPr/>
        <w:t>ECLT</w:t>
      </w:r>
      <w:r>
        <w:rPr>
          <w:spacing w:val="-3"/>
        </w:rPr>
        <w:t> </w:t>
      </w:r>
      <w:r>
        <w:rPr/>
        <w:t>test</w:t>
      </w:r>
      <w:r>
        <w:rPr>
          <w:spacing w:val="-1"/>
        </w:rPr>
        <w:t> </w:t>
      </w:r>
      <w:r>
        <w:rPr/>
        <w:t>results</w:t>
        <w:tab/>
        <w:t>279</w:t>
      </w:r>
    </w:p>
    <w:p>
      <w:pPr>
        <w:pStyle w:val="BodyText"/>
        <w:tabs>
          <w:tab w:pos="1879" w:val="left" w:leader="none"/>
          <w:tab w:pos="8719" w:val="left" w:leader="dot"/>
        </w:tabs>
        <w:spacing w:before="199"/>
        <w:ind w:left="440"/>
      </w:pPr>
      <w:r>
        <w:rPr/>
        <w:t>Table</w:t>
      </w:r>
      <w:r>
        <w:rPr>
          <w:spacing w:val="-1"/>
        </w:rPr>
        <w:t> </w:t>
      </w:r>
      <w:r>
        <w:rPr/>
        <w:t>7.9</w:t>
        <w:tab/>
        <w:t>Results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consolidated</w:t>
      </w:r>
      <w:r>
        <w:rPr>
          <w:spacing w:val="-3"/>
        </w:rPr>
        <w:t> </w:t>
      </w:r>
      <w:r>
        <w:rPr/>
        <w:t>4-ply</w:t>
      </w:r>
      <w:r>
        <w:rPr>
          <w:spacing w:val="-1"/>
        </w:rPr>
        <w:t> </w:t>
      </w:r>
      <w:r>
        <w:rPr/>
        <w:t>fiberglass</w:t>
      </w:r>
      <w:r>
        <w:rPr>
          <w:spacing w:val="-1"/>
        </w:rPr>
        <w:t> </w:t>
      </w:r>
      <w:r>
        <w:rPr/>
        <w:t>fabric</w:t>
      </w:r>
      <w:r>
        <w:rPr>
          <w:spacing w:val="-2"/>
        </w:rPr>
        <w:t> </w:t>
      </w:r>
      <w:r>
        <w:rPr/>
        <w:t>ECLT</w:t>
      </w:r>
      <w:r>
        <w:rPr>
          <w:spacing w:val="-2"/>
        </w:rPr>
        <w:t> </w:t>
      </w:r>
      <w:r>
        <w:rPr/>
        <w:t>testing</w:t>
        <w:tab/>
        <w:t>283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40"/>
      </w:pPr>
      <w:r>
        <w:rPr/>
        <w:t>Table</w:t>
      </w:r>
      <w:r>
        <w:rPr>
          <w:spacing w:val="-1"/>
        </w:rPr>
        <w:t> </w:t>
      </w:r>
      <w:r>
        <w:rPr/>
        <w:t>7.10</w:t>
        <w:tab/>
        <w:t>Results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consolidated</w:t>
      </w:r>
      <w:r>
        <w:rPr>
          <w:spacing w:val="-3"/>
        </w:rPr>
        <w:t> </w:t>
      </w:r>
      <w:r>
        <w:rPr/>
        <w:t>4-ply</w:t>
      </w:r>
      <w:r>
        <w:rPr>
          <w:spacing w:val="-1"/>
        </w:rPr>
        <w:t> </w:t>
      </w:r>
      <w:r>
        <w:rPr/>
        <w:t>fiberglass</w:t>
      </w:r>
      <w:r>
        <w:rPr>
          <w:spacing w:val="-1"/>
        </w:rPr>
        <w:t> </w:t>
      </w:r>
      <w:r>
        <w:rPr/>
        <w:t>fabric</w:t>
      </w:r>
      <w:r>
        <w:rPr>
          <w:spacing w:val="-2"/>
        </w:rPr>
        <w:t> </w:t>
      </w:r>
      <w:r>
        <w:rPr/>
        <w:t>ECLT</w:t>
      </w:r>
      <w:r>
        <w:rPr>
          <w:spacing w:val="-2"/>
        </w:rPr>
        <w:t> </w:t>
      </w:r>
      <w:r>
        <w:rPr/>
        <w:t>testing</w:t>
        <w:tab/>
        <w:t>286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80" w:right="119" w:hanging="1440"/>
      </w:pPr>
      <w:r>
        <w:rPr/>
        <w:t>Table</w:t>
      </w:r>
      <w:r>
        <w:rPr>
          <w:spacing w:val="-1"/>
        </w:rPr>
        <w:t> </w:t>
      </w:r>
      <w:r>
        <w:rPr/>
        <w:t>7.11</w:t>
        <w:tab/>
        <w:t>Areal density values for the various enhancing layers trialed in ECLT</w:t>
      </w:r>
      <w:r>
        <w:rPr>
          <w:spacing w:val="1"/>
        </w:rPr>
        <w:t> </w:t>
      </w:r>
      <w:r>
        <w:rPr/>
        <w:t>specimens.</w:t>
        <w:tab/>
      </w:r>
      <w:r>
        <w:rPr>
          <w:spacing w:val="-2"/>
        </w:rPr>
        <w:t>290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40"/>
      </w:pPr>
      <w:r>
        <w:rPr/>
        <w:t>Table</w:t>
      </w:r>
      <w:r>
        <w:rPr>
          <w:spacing w:val="-1"/>
        </w:rPr>
        <w:t> </w:t>
      </w:r>
      <w:r>
        <w:rPr/>
        <w:t>7.12</w:t>
        <w:tab/>
        <w:t>Cost</w:t>
      </w:r>
      <w:r>
        <w:rPr>
          <w:spacing w:val="-1"/>
        </w:rPr>
        <w:t> </w:t>
      </w:r>
      <w:r>
        <w:rPr/>
        <w:t>comparison</w:t>
      </w:r>
      <w:r>
        <w:rPr>
          <w:spacing w:val="-1"/>
        </w:rPr>
        <w:t> </w:t>
      </w:r>
      <w:r>
        <w:rPr/>
        <w:t>for</w:t>
      </w:r>
      <w:r>
        <w:rPr>
          <w:spacing w:val="-2"/>
        </w:rPr>
        <w:t> </w:t>
      </w:r>
      <w:r>
        <w:rPr/>
        <w:t>enhancing</w:t>
      </w:r>
      <w:r>
        <w:rPr>
          <w:spacing w:val="-1"/>
        </w:rPr>
        <w:t> </w:t>
      </w:r>
      <w:r>
        <w:rPr/>
        <w:t>layers</w:t>
        <w:tab/>
        <w:t>291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40"/>
      </w:pPr>
      <w:r>
        <w:rPr/>
        <w:t>Table</w:t>
      </w:r>
      <w:r>
        <w:rPr>
          <w:spacing w:val="-1"/>
        </w:rPr>
        <w:t> </w:t>
      </w:r>
      <w:r>
        <w:rPr/>
        <w:t>7.13</w:t>
        <w:tab/>
        <w:t>A</w:t>
      </w:r>
      <w:r>
        <w:rPr>
          <w:spacing w:val="-2"/>
        </w:rPr>
        <w:t> </w:t>
      </w:r>
      <w:r>
        <w:rPr/>
        <w:t>comparison of</w:t>
      </w:r>
      <w:r>
        <w:rPr>
          <w:spacing w:val="-2"/>
        </w:rPr>
        <w:t> </w:t>
      </w:r>
      <w:r>
        <w:rPr/>
        <w:t>ballistic</w:t>
      </w:r>
      <w:r>
        <w:rPr>
          <w:spacing w:val="-1"/>
        </w:rPr>
        <w:t> </w:t>
      </w:r>
      <w:r>
        <w:rPr/>
        <w:t>resistance</w:t>
      </w:r>
      <w:r>
        <w:rPr>
          <w:spacing w:val="-2"/>
        </w:rPr>
        <w:t> </w:t>
      </w:r>
      <w:r>
        <w:rPr/>
        <w:t>based on</w:t>
      </w:r>
      <w:r>
        <w:rPr>
          <w:spacing w:val="-1"/>
        </w:rPr>
        <w:t> </w:t>
      </w:r>
      <w:r>
        <w:rPr/>
        <w:t>testing</w:t>
        <w:tab/>
        <w:t>292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40"/>
      </w:pPr>
      <w:r>
        <w:rPr/>
        <w:t>Table</w:t>
      </w:r>
      <w:r>
        <w:rPr>
          <w:spacing w:val="-1"/>
        </w:rPr>
        <w:t> </w:t>
      </w:r>
      <w:r>
        <w:rPr/>
        <w:t>7.14</w:t>
        <w:tab/>
        <w:t>Benefit</w:t>
      </w:r>
      <w:r>
        <w:rPr>
          <w:spacing w:val="-1"/>
        </w:rPr>
        <w:t> </w:t>
      </w:r>
      <w:r>
        <w:rPr/>
        <w:t>cost</w:t>
      </w:r>
      <w:r>
        <w:rPr>
          <w:spacing w:val="-3"/>
        </w:rPr>
        <w:t> </w:t>
      </w:r>
      <w:r>
        <w:rPr/>
        <w:t>ratio</w:t>
      </w:r>
      <w:r>
        <w:rPr>
          <w:spacing w:val="-1"/>
        </w:rPr>
        <w:t> </w:t>
      </w:r>
      <w:r>
        <w:rPr/>
        <w:t>assessment</w:t>
      </w:r>
      <w:r>
        <w:rPr>
          <w:spacing w:val="-1"/>
        </w:rPr>
        <w:t> </w:t>
      </w:r>
      <w:r>
        <w:rPr/>
        <w:t>for</w:t>
      </w:r>
      <w:r>
        <w:rPr>
          <w:spacing w:val="-2"/>
        </w:rPr>
        <w:t> </w:t>
      </w:r>
      <w:r>
        <w:rPr/>
        <w:t>various</w:t>
      </w:r>
      <w:r>
        <w:rPr>
          <w:spacing w:val="-1"/>
        </w:rPr>
        <w:t> </w:t>
      </w:r>
      <w:r>
        <w:rPr/>
        <w:t>enhancing</w:t>
      </w:r>
      <w:r>
        <w:rPr>
          <w:spacing w:val="-1"/>
        </w:rPr>
        <w:t> </w:t>
      </w:r>
      <w:r>
        <w:rPr/>
        <w:t>materials</w:t>
        <w:tab/>
        <w:t>293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80" w:right="119" w:hanging="1440"/>
      </w:pPr>
      <w:r>
        <w:rPr/>
        <w:t>Table</w:t>
      </w:r>
      <w:r>
        <w:rPr>
          <w:spacing w:val="-1"/>
        </w:rPr>
        <w:t> </w:t>
      </w:r>
      <w:r>
        <w:rPr/>
        <w:t>7.15</w:t>
        <w:tab/>
        <w:t>Examples of a weighted benefit-cost analysis for the various ECLT</w:t>
      </w:r>
      <w:r>
        <w:rPr>
          <w:spacing w:val="1"/>
        </w:rPr>
        <w:t> </w:t>
      </w:r>
      <w:r>
        <w:rPr/>
        <w:t>versions</w:t>
        <w:tab/>
      </w:r>
      <w:r>
        <w:rPr>
          <w:spacing w:val="-2"/>
        </w:rPr>
        <w:t>295</w:t>
      </w:r>
    </w:p>
    <w:p>
      <w:pPr>
        <w:pStyle w:val="BodyText"/>
        <w:tabs>
          <w:tab w:pos="1879" w:val="left" w:leader="none"/>
          <w:tab w:pos="8719" w:val="left" w:leader="dot"/>
        </w:tabs>
        <w:spacing w:line="259" w:lineRule="auto" w:before="276"/>
        <w:ind w:left="1880" w:right="119" w:hanging="1440"/>
      </w:pPr>
      <w:r>
        <w:rPr/>
        <w:t>Table</w:t>
      </w:r>
      <w:r>
        <w:rPr>
          <w:spacing w:val="-1"/>
        </w:rPr>
        <w:t> </w:t>
      </w:r>
      <w:r>
        <w:rPr/>
        <w:t>7.16</w:t>
        <w:tab/>
        <w:t>Rankings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multiple</w:t>
      </w:r>
      <w:r>
        <w:rPr>
          <w:spacing w:val="1"/>
        </w:rPr>
        <w:t> </w:t>
      </w:r>
      <w:r>
        <w:rPr/>
        <w:t>cost</w:t>
      </w:r>
      <w:r>
        <w:rPr>
          <w:spacing w:val="60"/>
        </w:rPr>
        <w:t> </w:t>
      </w:r>
      <w:r>
        <w:rPr/>
        <w:t>criteria</w:t>
      </w:r>
      <w:r>
        <w:rPr>
          <w:spacing w:val="60"/>
        </w:rPr>
        <w:t> </w:t>
      </w:r>
      <w:r>
        <w:rPr/>
        <w:t>included</w:t>
      </w:r>
      <w:r>
        <w:rPr>
          <w:spacing w:val="60"/>
        </w:rPr>
        <w:t> </w:t>
      </w:r>
      <w:r>
        <w:rPr/>
        <w:t>in</w:t>
      </w:r>
      <w:r>
        <w:rPr>
          <w:spacing w:val="60"/>
        </w:rPr>
        <w:t> </w:t>
      </w:r>
      <w:r>
        <w:rPr/>
        <w:t>the</w:t>
      </w:r>
      <w:r>
        <w:rPr>
          <w:spacing w:val="60"/>
        </w:rPr>
        <w:t> </w:t>
      </w:r>
      <w:r>
        <w:rPr/>
        <w:t>cost-benefit</w:t>
      </w:r>
      <w:r>
        <w:rPr>
          <w:spacing w:val="1"/>
        </w:rPr>
        <w:t> </w:t>
      </w:r>
      <w:r>
        <w:rPr/>
        <w:t>assessment</w:t>
        <w:tab/>
      </w:r>
      <w:r>
        <w:rPr>
          <w:spacing w:val="-2"/>
        </w:rPr>
        <w:t>296</w:t>
      </w:r>
    </w:p>
    <w:p>
      <w:pPr>
        <w:pStyle w:val="BodyText"/>
        <w:tabs>
          <w:tab w:pos="1879" w:val="left" w:leader="none"/>
          <w:tab w:pos="8719" w:val="left" w:leader="dot"/>
        </w:tabs>
        <w:spacing w:line="259" w:lineRule="auto" w:before="298"/>
        <w:ind w:left="1880" w:right="119" w:hanging="1440"/>
      </w:pPr>
      <w:r>
        <w:rPr/>
        <w:t>Table</w:t>
      </w:r>
      <w:r>
        <w:rPr>
          <w:spacing w:val="-1"/>
        </w:rPr>
        <w:t> </w:t>
      </w:r>
      <w:r>
        <w:rPr/>
        <w:t>7.17</w:t>
        <w:tab/>
        <w:t>Benefit cost ratios and rankings for various ECLT material options based</w:t>
      </w:r>
      <w:r>
        <w:rPr>
          <w:spacing w:val="1"/>
        </w:rPr>
        <w:t> </w:t>
      </w:r>
      <w:r>
        <w:rPr/>
        <w:t>on multiple</w:t>
      </w:r>
      <w:r>
        <w:rPr>
          <w:spacing w:val="-2"/>
        </w:rPr>
        <w:t> </w:t>
      </w:r>
      <w:r>
        <w:rPr/>
        <w:t>cost</w:t>
      </w:r>
      <w:r>
        <w:rPr>
          <w:spacing w:val="-1"/>
        </w:rPr>
        <w:t> </w:t>
      </w:r>
      <w:r>
        <w:rPr/>
        <w:t>criteria</w:t>
        <w:tab/>
      </w:r>
      <w:r>
        <w:rPr>
          <w:spacing w:val="-2"/>
        </w:rPr>
        <w:t>296</w:t>
      </w:r>
    </w:p>
    <w:p>
      <w:pPr>
        <w:pStyle w:val="BodyText"/>
        <w:tabs>
          <w:tab w:pos="1879" w:val="left" w:leader="none"/>
          <w:tab w:pos="8719" w:val="left" w:leader="dot"/>
        </w:tabs>
        <w:spacing w:before="297"/>
        <w:ind w:left="440"/>
      </w:pPr>
      <w:r>
        <w:rPr/>
        <w:t>Table</w:t>
      </w:r>
      <w:r>
        <w:rPr>
          <w:spacing w:val="-1"/>
        </w:rPr>
        <w:t> </w:t>
      </w:r>
      <w:r>
        <w:rPr/>
        <w:t>7.18</w:t>
        <w:tab/>
        <w:t>Total</w:t>
      </w:r>
      <w:r>
        <w:rPr>
          <w:spacing w:val="-2"/>
        </w:rPr>
        <w:t> </w:t>
      </w:r>
      <w:r>
        <w:rPr/>
        <w:t>Cost-Benefit</w:t>
      </w:r>
      <w:r>
        <w:rPr>
          <w:spacing w:val="-2"/>
        </w:rPr>
        <w:t> </w:t>
      </w:r>
      <w:r>
        <w:rPr/>
        <w:t>rankings</w:t>
        <w:tab/>
        <w:t>297</w:t>
      </w:r>
    </w:p>
    <w:p>
      <w:pPr>
        <w:pStyle w:val="BodyText"/>
        <w:tabs>
          <w:tab w:pos="1879" w:val="left" w:leader="none"/>
          <w:tab w:pos="8719" w:val="left" w:leader="dot"/>
        </w:tabs>
        <w:spacing w:before="320"/>
        <w:ind w:left="440"/>
      </w:pPr>
      <w:r>
        <w:rPr/>
        <w:t>Table</w:t>
      </w:r>
      <w:r>
        <w:rPr>
          <w:spacing w:val="-1"/>
        </w:rPr>
        <w:t> </w:t>
      </w:r>
      <w:r>
        <w:rPr/>
        <w:t>8.1</w:t>
        <w:tab/>
        <w:t>Building</w:t>
      </w:r>
      <w:r>
        <w:rPr>
          <w:spacing w:val="-1"/>
        </w:rPr>
        <w:t> </w:t>
      </w:r>
      <w:r>
        <w:rPr/>
        <w:t>Levels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Protection,</w:t>
      </w:r>
      <w:r>
        <w:rPr>
          <w:spacing w:val="-1"/>
        </w:rPr>
        <w:t> </w:t>
      </w:r>
      <w:r>
        <w:rPr/>
        <w:t>adapted</w:t>
      </w:r>
      <w:r>
        <w:rPr>
          <w:spacing w:val="-1"/>
        </w:rPr>
        <w:t> </w:t>
      </w:r>
      <w:r>
        <w:rPr/>
        <w:t>from</w:t>
      </w:r>
      <w:r>
        <w:rPr>
          <w:spacing w:val="-3"/>
        </w:rPr>
        <w:t> </w:t>
      </w:r>
      <w:r>
        <w:rPr/>
        <w:t>[44]</w:t>
        <w:tab/>
        <w:t>314</w:t>
      </w:r>
    </w:p>
    <w:p>
      <w:pPr>
        <w:pStyle w:val="BodyText"/>
        <w:tabs>
          <w:tab w:pos="1879" w:val="left" w:leader="none"/>
          <w:tab w:pos="8719" w:val="left" w:leader="dot"/>
        </w:tabs>
        <w:spacing w:line="259" w:lineRule="auto" w:before="319"/>
        <w:ind w:left="1880" w:right="119" w:hanging="1440"/>
      </w:pPr>
      <w:r>
        <w:rPr/>
        <w:t>Table</w:t>
      </w:r>
      <w:r>
        <w:rPr>
          <w:spacing w:val="-1"/>
        </w:rPr>
        <w:t> </w:t>
      </w:r>
      <w:r>
        <w:rPr/>
        <w:t>8.2</w:t>
        <w:tab/>
        <w:t>Expected Component Damage for Each Level of Protection, adapted from</w:t>
      </w:r>
      <w:r>
        <w:rPr>
          <w:spacing w:val="1"/>
        </w:rPr>
        <w:t> </w:t>
      </w:r>
      <w:r>
        <w:rPr/>
        <w:t>[44]</w:t>
        <w:tab/>
      </w:r>
      <w:r>
        <w:rPr>
          <w:spacing w:val="-2"/>
        </w:rPr>
        <w:t>314</w:t>
      </w:r>
    </w:p>
    <w:p>
      <w:pPr>
        <w:pStyle w:val="BodyText"/>
        <w:tabs>
          <w:tab w:pos="1879" w:val="left" w:leader="none"/>
          <w:tab w:pos="8719" w:val="left" w:leader="dot"/>
        </w:tabs>
        <w:spacing w:before="298"/>
        <w:ind w:left="440"/>
      </w:pPr>
      <w:r>
        <w:rPr/>
        <w:t>Table</w:t>
      </w:r>
      <w:r>
        <w:rPr>
          <w:spacing w:val="-1"/>
        </w:rPr>
        <w:t> </w:t>
      </w:r>
      <w:r>
        <w:rPr/>
        <w:t>8.3</w:t>
        <w:tab/>
        <w:t>Blast</w:t>
      </w:r>
      <w:r>
        <w:rPr>
          <w:spacing w:val="-1"/>
        </w:rPr>
        <w:t> </w:t>
      </w:r>
      <w:r>
        <w:rPr/>
        <w:t>parameters</w:t>
      </w:r>
      <w:r>
        <w:rPr>
          <w:spacing w:val="-1"/>
        </w:rPr>
        <w:t> </w:t>
      </w:r>
      <w:r>
        <w:rPr/>
        <w:t>for</w:t>
      </w:r>
      <w:r>
        <w:rPr>
          <w:spacing w:val="-3"/>
        </w:rPr>
        <w:t> </w:t>
      </w:r>
      <w:r>
        <w:rPr/>
        <w:t>load</w:t>
      </w:r>
      <w:r>
        <w:rPr>
          <w:spacing w:val="-1"/>
        </w:rPr>
        <w:t> </w:t>
      </w:r>
      <w:r>
        <w:rPr/>
        <w:t>calculations,</w:t>
      </w:r>
      <w:r>
        <w:rPr>
          <w:spacing w:val="-1"/>
        </w:rPr>
        <w:t> </w:t>
      </w:r>
      <w:r>
        <w:rPr/>
        <w:t>UFC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field</w:t>
      </w:r>
      <w:r>
        <w:rPr>
          <w:spacing w:val="-1"/>
        </w:rPr>
        <w:t> </w:t>
      </w:r>
      <w:r>
        <w:rPr/>
        <w:t>data</w:t>
        <w:tab/>
        <w:t>337</w:t>
      </w:r>
    </w:p>
    <w:p>
      <w:pPr>
        <w:spacing w:after="0"/>
        <w:sectPr>
          <w:pgSz w:w="12240" w:h="15840"/>
          <w:pgMar w:header="0" w:footer="984" w:top="1360" w:bottom="1260" w:left="1720" w:right="1320"/>
        </w:sectPr>
      </w:pPr>
    </w:p>
    <w:p>
      <w:pPr>
        <w:pStyle w:val="BodyText"/>
        <w:tabs>
          <w:tab w:pos="1879" w:val="left" w:leader="none"/>
          <w:tab w:pos="8719" w:val="left" w:leader="dot"/>
        </w:tabs>
        <w:spacing w:line="259" w:lineRule="auto" w:before="78"/>
        <w:ind w:left="1880" w:right="119" w:hanging="1440"/>
      </w:pPr>
      <w:r>
        <w:rPr/>
        <w:t>Table</w:t>
      </w:r>
      <w:r>
        <w:rPr>
          <w:spacing w:val="-1"/>
        </w:rPr>
        <w:t> </w:t>
      </w:r>
      <w:r>
        <w:rPr/>
        <w:t>8.4</w:t>
        <w:tab/>
        <w:t>Tool predicted versus actual displacements using fixed-pinned end</w:t>
      </w:r>
      <w:r>
        <w:rPr>
          <w:spacing w:val="1"/>
        </w:rPr>
        <w:t> </w:t>
      </w:r>
      <w:r>
        <w:rPr/>
        <w:t>conditions</w:t>
        <w:tab/>
      </w:r>
      <w:r>
        <w:rPr>
          <w:spacing w:val="-2"/>
        </w:rPr>
        <w:t>338</w:t>
      </w:r>
    </w:p>
    <w:p>
      <w:pPr>
        <w:pStyle w:val="BodyText"/>
        <w:tabs>
          <w:tab w:pos="1879" w:val="left" w:leader="none"/>
          <w:tab w:pos="8719" w:val="left" w:leader="dot"/>
        </w:tabs>
        <w:spacing w:before="298"/>
        <w:ind w:left="440"/>
      </w:pPr>
      <w:r>
        <w:rPr/>
        <w:t>Table</w:t>
      </w:r>
      <w:r>
        <w:rPr>
          <w:spacing w:val="-1"/>
        </w:rPr>
        <w:t> </w:t>
      </w:r>
      <w:r>
        <w:rPr/>
        <w:t>8.5</w:t>
        <w:tab/>
        <w:t>Predicted</w:t>
      </w:r>
      <w:r>
        <w:rPr>
          <w:spacing w:val="-1"/>
        </w:rPr>
        <w:t> </w:t>
      </w:r>
      <w:r>
        <w:rPr/>
        <w:t>Level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Protection</w:t>
        <w:tab/>
        <w:t>340</w:t>
      </w:r>
    </w:p>
    <w:p>
      <w:pPr>
        <w:pStyle w:val="BodyText"/>
        <w:tabs>
          <w:tab w:pos="1879" w:val="left" w:leader="none"/>
          <w:tab w:pos="8719" w:val="left" w:leader="dot"/>
        </w:tabs>
        <w:spacing w:before="297"/>
        <w:ind w:left="1880" w:right="119" w:hanging="1440"/>
      </w:pPr>
      <w:r>
        <w:rPr/>
        <w:t>Table</w:t>
      </w:r>
      <w:r>
        <w:rPr>
          <w:spacing w:val="-1"/>
        </w:rPr>
        <w:t> </w:t>
      </w:r>
      <w:r>
        <w:rPr/>
        <w:t>8.6</w:t>
        <w:tab/>
        <w:t>Tool</w:t>
      </w:r>
      <w:r>
        <w:rPr>
          <w:spacing w:val="53"/>
        </w:rPr>
        <w:t> </w:t>
      </w:r>
      <w:r>
        <w:rPr/>
        <w:t>predicted</w:t>
      </w:r>
      <w:r>
        <w:rPr>
          <w:spacing w:val="53"/>
        </w:rPr>
        <w:t> </w:t>
      </w:r>
      <w:r>
        <w:rPr/>
        <w:t>versus</w:t>
      </w:r>
      <w:r>
        <w:rPr>
          <w:spacing w:val="52"/>
        </w:rPr>
        <w:t> </w:t>
      </w:r>
      <w:r>
        <w:rPr/>
        <w:t>actual</w:t>
      </w:r>
      <w:r>
        <w:rPr>
          <w:spacing w:val="53"/>
        </w:rPr>
        <w:t> </w:t>
      </w:r>
      <w:r>
        <w:rPr/>
        <w:t>displacements</w:t>
      </w:r>
      <w:r>
        <w:rPr>
          <w:spacing w:val="53"/>
        </w:rPr>
        <w:t> </w:t>
      </w:r>
      <w:r>
        <w:rPr/>
        <w:t>using</w:t>
      </w:r>
      <w:r>
        <w:rPr>
          <w:spacing w:val="53"/>
        </w:rPr>
        <w:t> </w:t>
      </w:r>
      <w:r>
        <w:rPr/>
        <w:t>fixed-pinned</w:t>
      </w:r>
      <w:r>
        <w:rPr>
          <w:spacing w:val="50"/>
        </w:rPr>
        <w:t> </w:t>
      </w:r>
      <w:r>
        <w:rPr/>
        <w:t>end</w:t>
      </w:r>
      <w:r>
        <w:rPr>
          <w:spacing w:val="-57"/>
        </w:rPr>
        <w:t> </w:t>
      </w:r>
      <w:r>
        <w:rPr/>
        <w:t>conditions</w:t>
      </w:r>
      <w:r>
        <w:rPr>
          <w:spacing w:val="-1"/>
        </w:rPr>
        <w:t> </w:t>
      </w:r>
      <w:r>
        <w:rPr/>
        <w:t>using</w:t>
      </w:r>
      <w:r>
        <w:rPr>
          <w:spacing w:val="-1"/>
        </w:rPr>
        <w:t> </w:t>
      </w:r>
      <w:r>
        <w:rPr/>
        <w:t>DIF</w:t>
        <w:tab/>
      </w:r>
      <w:r>
        <w:rPr>
          <w:spacing w:val="-2"/>
        </w:rPr>
        <w:t>342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40"/>
      </w:pPr>
      <w:r>
        <w:rPr/>
        <w:t>Table</w:t>
      </w:r>
      <w:r>
        <w:rPr>
          <w:spacing w:val="-1"/>
        </w:rPr>
        <w:t> </w:t>
      </w:r>
      <w:r>
        <w:rPr/>
        <w:t>8.7</w:t>
        <w:tab/>
        <w:t>Predicted</w:t>
      </w:r>
      <w:r>
        <w:rPr>
          <w:spacing w:val="-1"/>
        </w:rPr>
        <w:t> </w:t>
      </w:r>
      <w:r>
        <w:rPr/>
        <w:t>Level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Protection</w:t>
      </w:r>
      <w:r>
        <w:rPr>
          <w:spacing w:val="-1"/>
        </w:rPr>
        <w:t> </w:t>
      </w:r>
      <w:r>
        <w:rPr/>
        <w:t>using</w:t>
      </w:r>
      <w:r>
        <w:rPr>
          <w:spacing w:val="-3"/>
        </w:rPr>
        <w:t> </w:t>
      </w:r>
      <w:r>
        <w:rPr/>
        <w:t>DIF</w:t>
        <w:tab/>
        <w:t>343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80" w:right="119" w:hanging="1440"/>
      </w:pPr>
      <w:r>
        <w:rPr/>
        <w:t>Table</w:t>
      </w:r>
      <w:r>
        <w:rPr>
          <w:spacing w:val="-1"/>
        </w:rPr>
        <w:t> </w:t>
      </w:r>
      <w:r>
        <w:rPr/>
        <w:t>8.8</w:t>
        <w:tab/>
        <w:t>Tool</w:t>
      </w:r>
      <w:r>
        <w:rPr>
          <w:spacing w:val="44"/>
        </w:rPr>
        <w:t> </w:t>
      </w:r>
      <w:r>
        <w:rPr/>
        <w:t>predicted</w:t>
      </w:r>
      <w:r>
        <w:rPr>
          <w:spacing w:val="43"/>
        </w:rPr>
        <w:t> </w:t>
      </w:r>
      <w:r>
        <w:rPr/>
        <w:t>versus</w:t>
      </w:r>
      <w:r>
        <w:rPr>
          <w:spacing w:val="43"/>
        </w:rPr>
        <w:t> </w:t>
      </w:r>
      <w:r>
        <w:rPr/>
        <w:t>actual</w:t>
      </w:r>
      <w:r>
        <w:rPr>
          <w:spacing w:val="42"/>
        </w:rPr>
        <w:t> </w:t>
      </w:r>
      <w:r>
        <w:rPr/>
        <w:t>displacements</w:t>
      </w:r>
      <w:r>
        <w:rPr>
          <w:spacing w:val="43"/>
        </w:rPr>
        <w:t> </w:t>
      </w:r>
      <w:r>
        <w:rPr/>
        <w:t>using</w:t>
      </w:r>
      <w:r>
        <w:rPr>
          <w:spacing w:val="43"/>
        </w:rPr>
        <w:t> </w:t>
      </w:r>
      <w:r>
        <w:rPr/>
        <w:t>simply</w:t>
      </w:r>
      <w:r>
        <w:rPr>
          <w:spacing w:val="42"/>
        </w:rPr>
        <w:t> </w:t>
      </w:r>
      <w:r>
        <w:rPr/>
        <w:t>supported</w:t>
      </w:r>
      <w:r>
        <w:rPr>
          <w:spacing w:val="42"/>
        </w:rPr>
        <w:t> </w:t>
      </w:r>
      <w:r>
        <w:rPr/>
        <w:t>end</w:t>
      </w:r>
      <w:r>
        <w:rPr>
          <w:spacing w:val="-57"/>
        </w:rPr>
        <w:t> </w:t>
      </w:r>
      <w:r>
        <w:rPr/>
        <w:t>conditions</w:t>
        <w:tab/>
      </w:r>
      <w:r>
        <w:rPr>
          <w:spacing w:val="-2"/>
        </w:rPr>
        <w:t>344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80" w:right="119" w:hanging="1440"/>
      </w:pPr>
      <w:r>
        <w:rPr/>
        <w:t>Table</w:t>
      </w:r>
      <w:r>
        <w:rPr>
          <w:spacing w:val="-1"/>
        </w:rPr>
        <w:t> </w:t>
      </w:r>
      <w:r>
        <w:rPr/>
        <w:t>8.9</w:t>
        <w:tab/>
        <w:t>Tool</w:t>
      </w:r>
      <w:r>
        <w:rPr>
          <w:spacing w:val="16"/>
        </w:rPr>
        <w:t> </w:t>
      </w:r>
      <w:r>
        <w:rPr/>
        <w:t>predicted</w:t>
      </w:r>
      <w:r>
        <w:rPr>
          <w:spacing w:val="14"/>
        </w:rPr>
        <w:t> </w:t>
      </w:r>
      <w:r>
        <w:rPr/>
        <w:t>versus</w:t>
      </w:r>
      <w:r>
        <w:rPr>
          <w:spacing w:val="13"/>
        </w:rPr>
        <w:t> </w:t>
      </w:r>
      <w:r>
        <w:rPr/>
        <w:t>actual</w:t>
      </w:r>
      <w:r>
        <w:rPr>
          <w:spacing w:val="15"/>
        </w:rPr>
        <w:t> </w:t>
      </w:r>
      <w:r>
        <w:rPr/>
        <w:t>displacements</w:t>
      </w:r>
      <w:r>
        <w:rPr>
          <w:spacing w:val="13"/>
        </w:rPr>
        <w:t> </w:t>
      </w:r>
      <w:r>
        <w:rPr/>
        <w:t>using</w:t>
      </w:r>
      <w:r>
        <w:rPr>
          <w:spacing w:val="14"/>
        </w:rPr>
        <w:t> </w:t>
      </w:r>
      <w:r>
        <w:rPr/>
        <w:t>fixed-fixed</w:t>
      </w:r>
      <w:r>
        <w:rPr>
          <w:spacing w:val="14"/>
        </w:rPr>
        <w:t> </w:t>
      </w:r>
      <w:r>
        <w:rPr/>
        <w:t>end</w:t>
      </w:r>
      <w:r>
        <w:rPr>
          <w:spacing w:val="-57"/>
        </w:rPr>
        <w:t> </w:t>
      </w:r>
      <w:r>
        <w:rPr/>
        <w:t>conditions</w:t>
        <w:tab/>
      </w:r>
      <w:r>
        <w:rPr>
          <w:spacing w:val="-2"/>
        </w:rPr>
        <w:t>345</w:t>
      </w:r>
    </w:p>
    <w:p>
      <w:pPr>
        <w:pStyle w:val="BodyText"/>
        <w:tabs>
          <w:tab w:pos="1879" w:val="left" w:leader="none"/>
          <w:tab w:pos="8719" w:val="left" w:leader="dot"/>
        </w:tabs>
        <w:spacing w:before="200"/>
        <w:ind w:left="1880" w:right="119" w:hanging="1440"/>
      </w:pPr>
      <w:r>
        <w:rPr/>
        <w:t>Table</w:t>
      </w:r>
      <w:r>
        <w:rPr>
          <w:spacing w:val="-1"/>
        </w:rPr>
        <w:t> </w:t>
      </w:r>
      <w:r>
        <w:rPr/>
        <w:t>8.10</w:t>
        <w:tab/>
        <w:t>Governing failure response for resistance function for fixed-pinned and</w:t>
      </w:r>
      <w:r>
        <w:rPr>
          <w:spacing w:val="1"/>
        </w:rPr>
        <w:t> </w:t>
      </w:r>
      <w:r>
        <w:rPr/>
        <w:t>fixed-fixed</w:t>
      </w:r>
      <w:r>
        <w:rPr>
          <w:spacing w:val="-4"/>
        </w:rPr>
        <w:t> </w:t>
      </w:r>
      <w:r>
        <w:rPr/>
        <w:t>end</w:t>
      </w:r>
      <w:r>
        <w:rPr>
          <w:spacing w:val="-1"/>
        </w:rPr>
        <w:t> </w:t>
      </w:r>
      <w:r>
        <w:rPr/>
        <w:t>conditions</w:t>
        <w:tab/>
      </w:r>
      <w:r>
        <w:rPr>
          <w:spacing w:val="-2"/>
        </w:rPr>
        <w:t>346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80" w:right="119" w:hanging="1440"/>
      </w:pPr>
      <w:r>
        <w:rPr/>
        <w:t>Table</w:t>
      </w:r>
      <w:r>
        <w:rPr>
          <w:spacing w:val="-1"/>
        </w:rPr>
        <w:t> </w:t>
      </w:r>
      <w:r>
        <w:rPr/>
        <w:t>8.11</w:t>
        <w:tab/>
        <w:t>Displacement values for E1 CLT based on shear failure response, fixed-</w:t>
      </w:r>
      <w:r>
        <w:rPr>
          <w:spacing w:val="1"/>
        </w:rPr>
        <w:t> </w:t>
      </w:r>
      <w:r>
        <w:rPr/>
        <w:t>pinned</w:t>
      </w:r>
      <w:r>
        <w:rPr>
          <w:spacing w:val="-1"/>
        </w:rPr>
        <w:t> </w:t>
      </w:r>
      <w:r>
        <w:rPr/>
        <w:t>end conditions</w:t>
        <w:tab/>
      </w:r>
      <w:r>
        <w:rPr>
          <w:spacing w:val="-2"/>
        </w:rPr>
        <w:t>346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80" w:right="119" w:hanging="1440"/>
      </w:pPr>
      <w:r>
        <w:rPr/>
        <w:t>Table</w:t>
      </w:r>
      <w:r>
        <w:rPr>
          <w:spacing w:val="-1"/>
        </w:rPr>
        <w:t> </w:t>
      </w:r>
      <w:r>
        <w:rPr/>
        <w:t>8.12</w:t>
        <w:tab/>
        <w:t>CLT blast load analysis tool predictions for V3 grades CLT (Southern</w:t>
      </w:r>
      <w:r>
        <w:rPr>
          <w:spacing w:val="1"/>
        </w:rPr>
        <w:t> </w:t>
      </w:r>
      <w:r>
        <w:rPr/>
        <w:t>Yellow</w:t>
      </w:r>
      <w:r>
        <w:rPr>
          <w:spacing w:val="-2"/>
        </w:rPr>
        <w:t> </w:t>
      </w:r>
      <w:r>
        <w:rPr/>
        <w:t>Pine)</w:t>
        <w:tab/>
      </w:r>
      <w:r>
        <w:rPr>
          <w:spacing w:val="-2"/>
        </w:rPr>
        <w:t>349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40"/>
      </w:pPr>
      <w:r>
        <w:rPr/>
        <w:t>Table</w:t>
      </w:r>
      <w:r>
        <w:rPr>
          <w:spacing w:val="-1"/>
        </w:rPr>
        <w:t> </w:t>
      </w:r>
      <w:r>
        <w:rPr/>
        <w:t>9.1</w:t>
        <w:tab/>
        <w:t>Example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</w:t>
      </w:r>
      <w:r>
        <w:rPr/>
        <w:t>simplified</w:t>
      </w:r>
      <w:r>
        <w:rPr>
          <w:spacing w:val="-1"/>
        </w:rPr>
        <w:t> </w:t>
      </w:r>
      <w:r>
        <w:rPr/>
        <w:t>scale</w:t>
      </w:r>
      <w:r>
        <w:rPr>
          <w:spacing w:val="-2"/>
        </w:rPr>
        <w:t> </w:t>
      </w:r>
      <w:r>
        <w:rPr/>
        <w:t>for</w:t>
      </w:r>
      <w:r>
        <w:rPr>
          <w:spacing w:val="-2"/>
        </w:rPr>
        <w:t> </w:t>
      </w:r>
      <w:r>
        <w:rPr/>
        <w:t>logistical</w:t>
      </w:r>
      <w:r>
        <w:rPr>
          <w:spacing w:val="-3"/>
        </w:rPr>
        <w:t> </w:t>
      </w:r>
      <w:r>
        <w:rPr/>
        <w:t>considerations</w:t>
        <w:tab/>
        <w:t>358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80" w:right="119" w:hanging="1440"/>
      </w:pPr>
      <w:r>
        <w:rPr/>
        <w:t>Table</w:t>
      </w:r>
      <w:r>
        <w:rPr>
          <w:spacing w:val="-1"/>
        </w:rPr>
        <w:t> </w:t>
      </w:r>
      <w:r>
        <w:rPr/>
        <w:t>9.2</w:t>
        <w:tab/>
        <w:t>Levels of Protection for Expeditionary Structures, from UFC 4-010-01,</w:t>
      </w:r>
      <w:r>
        <w:rPr>
          <w:spacing w:val="1"/>
        </w:rPr>
        <w:t> </w:t>
      </w:r>
      <w:r>
        <w:rPr/>
        <w:t>DoD</w:t>
      </w:r>
      <w:r>
        <w:rPr>
          <w:spacing w:val="-2"/>
        </w:rPr>
        <w:t> </w:t>
      </w:r>
      <w:r>
        <w:rPr/>
        <w:t>Minimum</w:t>
      </w:r>
      <w:r>
        <w:rPr>
          <w:spacing w:val="-3"/>
        </w:rPr>
        <w:t> </w:t>
      </w:r>
      <w:r>
        <w:rPr/>
        <w:t>Antiterrorism</w:t>
      </w:r>
      <w:r>
        <w:rPr>
          <w:spacing w:val="-3"/>
        </w:rPr>
        <w:t> </w:t>
      </w:r>
      <w:r>
        <w:rPr/>
        <w:t>Standards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Buildings</w:t>
      </w:r>
      <w:r>
        <w:rPr>
          <w:spacing w:val="-1"/>
        </w:rPr>
        <w:t> </w:t>
      </w:r>
      <w:r>
        <w:rPr/>
        <w:t>[15]</w:t>
        <w:tab/>
      </w:r>
      <w:r>
        <w:rPr>
          <w:spacing w:val="-2"/>
        </w:rPr>
        <w:t>363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80" w:right="119" w:hanging="1440"/>
      </w:pPr>
      <w:r>
        <w:rPr/>
        <w:t>Table</w:t>
      </w:r>
      <w:r>
        <w:rPr>
          <w:spacing w:val="-1"/>
        </w:rPr>
        <w:t> </w:t>
      </w:r>
      <w:r>
        <w:rPr/>
        <w:t>9.3</w:t>
        <w:tab/>
        <w:t>Design strategy to achieve Levels of Protection against direct fire ballistic</w:t>
      </w:r>
      <w:r>
        <w:rPr>
          <w:spacing w:val="1"/>
        </w:rPr>
        <w:t> </w:t>
      </w:r>
      <w:r>
        <w:rPr/>
        <w:t>threat,</w:t>
      </w:r>
      <w:r>
        <w:rPr>
          <w:spacing w:val="-1"/>
        </w:rPr>
        <w:t> </w:t>
      </w:r>
      <w:r>
        <w:rPr/>
        <w:t>based</w:t>
      </w:r>
      <w:r>
        <w:rPr>
          <w:spacing w:val="-2"/>
        </w:rPr>
        <w:t> </w:t>
      </w:r>
      <w:r>
        <w:rPr/>
        <w:t>on</w:t>
      </w:r>
      <w:r>
        <w:rPr>
          <w:spacing w:val="-1"/>
        </w:rPr>
        <w:t> </w:t>
      </w:r>
      <w:r>
        <w:rPr/>
        <w:t>[7]</w:t>
        <w:tab/>
      </w:r>
      <w:r>
        <w:rPr>
          <w:spacing w:val="-2"/>
        </w:rPr>
        <w:t>365</w:t>
      </w:r>
    </w:p>
    <w:p>
      <w:pPr>
        <w:pStyle w:val="BodyText"/>
        <w:tabs>
          <w:tab w:pos="1879" w:val="left" w:leader="none"/>
        </w:tabs>
        <w:spacing w:before="276"/>
        <w:ind w:left="440"/>
      </w:pPr>
      <w:r>
        <w:rPr/>
        <w:t>Table</w:t>
      </w:r>
      <w:r>
        <w:rPr>
          <w:spacing w:val="-1"/>
        </w:rPr>
        <w:t> </w:t>
      </w:r>
      <w:r>
        <w:rPr/>
        <w:t>9.4</w:t>
        <w:tab/>
        <w:t>Example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</w:t>
      </w:r>
      <w:r>
        <w:rPr/>
        <w:t>qualitative</w:t>
      </w:r>
      <w:r>
        <w:rPr>
          <w:spacing w:val="-3"/>
        </w:rPr>
        <w:t> </w:t>
      </w:r>
      <w:r>
        <w:rPr/>
        <w:t>rating</w:t>
      </w:r>
      <w:r>
        <w:rPr>
          <w:spacing w:val="-1"/>
        </w:rPr>
        <w:t> </w:t>
      </w:r>
      <w:r>
        <w:rPr/>
        <w:t>scale</w:t>
      </w:r>
      <w:r>
        <w:rPr>
          <w:spacing w:val="-3"/>
        </w:rPr>
        <w:t> </w:t>
      </w:r>
      <w:r>
        <w:rPr/>
        <w:t>for</w:t>
      </w:r>
      <w:r>
        <w:rPr>
          <w:spacing w:val="-1"/>
        </w:rPr>
        <w:t> </w:t>
      </w:r>
      <w:r>
        <w:rPr/>
        <w:t>rapid</w:t>
      </w:r>
      <w:r>
        <w:rPr>
          <w:spacing w:val="-2"/>
        </w:rPr>
        <w:t> </w:t>
      </w:r>
      <w:r>
        <w:rPr/>
        <w:t>constructability</w:t>
      </w:r>
    </w:p>
    <w:p>
      <w:pPr>
        <w:pStyle w:val="BodyText"/>
        <w:tabs>
          <w:tab w:pos="8719" w:val="left" w:leader="dot"/>
        </w:tabs>
        <w:ind w:left="1880"/>
      </w:pPr>
      <w:r>
        <w:rPr/>
        <w:t>evaluation.</w:t>
        <w:tab/>
        <w:t>367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40"/>
      </w:pPr>
      <w:r>
        <w:rPr/>
        <w:t>Table</w:t>
      </w:r>
      <w:r>
        <w:rPr>
          <w:spacing w:val="-1"/>
        </w:rPr>
        <w:t> </w:t>
      </w:r>
      <w:r>
        <w:rPr/>
        <w:t>9.5</w:t>
        <w:tab/>
        <w:t>The</w:t>
      </w:r>
      <w:r>
        <w:rPr>
          <w:spacing w:val="-1"/>
        </w:rPr>
        <w:t> </w:t>
      </w:r>
      <w:r>
        <w:rPr/>
        <w:t>fundamental</w:t>
      </w:r>
      <w:r>
        <w:rPr>
          <w:spacing w:val="-2"/>
        </w:rPr>
        <w:t> </w:t>
      </w:r>
      <w:r>
        <w:rPr/>
        <w:t>scale</w:t>
      </w:r>
      <w:r>
        <w:rPr>
          <w:spacing w:val="-1"/>
        </w:rPr>
        <w:t> </w:t>
      </w:r>
      <w:r>
        <w:rPr/>
        <w:t>used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AHP,</w:t>
      </w:r>
      <w:r>
        <w:rPr>
          <w:spacing w:val="-1"/>
        </w:rPr>
        <w:t> </w:t>
      </w:r>
      <w:r>
        <w:rPr/>
        <w:t>adapted</w:t>
      </w:r>
      <w:r>
        <w:rPr>
          <w:spacing w:val="-1"/>
        </w:rPr>
        <w:t> </w:t>
      </w:r>
      <w:r>
        <w:rPr/>
        <w:t>from</w:t>
      </w:r>
      <w:r>
        <w:rPr>
          <w:spacing w:val="-2"/>
        </w:rPr>
        <w:t> </w:t>
      </w:r>
      <w:r>
        <w:rPr/>
        <w:t>[98]</w:t>
        <w:tab/>
        <w:t>371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80" w:right="119" w:hanging="1440"/>
      </w:pPr>
      <w:r>
        <w:rPr/>
        <w:t>Table</w:t>
      </w:r>
      <w:r>
        <w:rPr>
          <w:spacing w:val="-1"/>
        </w:rPr>
        <w:t> </w:t>
      </w:r>
      <w:r>
        <w:rPr/>
        <w:t>9.6</w:t>
        <w:tab/>
        <w:t>Example of matrix of pairwise comparisons of evaluation criteria with</w:t>
      </w:r>
      <w:r>
        <w:rPr>
          <w:spacing w:val="1"/>
        </w:rPr>
        <w:t> </w:t>
      </w:r>
      <w:r>
        <w:rPr/>
        <w:t>respect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goal</w:t>
        <w:tab/>
      </w:r>
      <w:r>
        <w:rPr>
          <w:spacing w:val="-2"/>
        </w:rPr>
        <w:t>372</w:t>
      </w:r>
    </w:p>
    <w:p>
      <w:pPr>
        <w:spacing w:after="0"/>
        <w:sectPr>
          <w:pgSz w:w="12240" w:h="15840"/>
          <w:pgMar w:header="0" w:footer="984" w:top="1360" w:bottom="1260" w:left="1720" w:right="1320"/>
        </w:sectPr>
      </w:pPr>
    </w:p>
    <w:p>
      <w:pPr>
        <w:pStyle w:val="Heading4"/>
        <w:ind w:right="41"/>
      </w:pPr>
      <w:bookmarkStart w:name="_TOC_250075" w:id="6"/>
      <w:r>
        <w:rPr/>
        <w:t>LIST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bookmarkEnd w:id="6"/>
      <w:r>
        <w:rPr/>
        <w:t>FIGURES</w:t>
      </w:r>
    </w:p>
    <w:p>
      <w:pPr>
        <w:pStyle w:val="BodyText"/>
        <w:rPr>
          <w:b/>
          <w:sz w:val="30"/>
        </w:rPr>
      </w:pPr>
    </w:p>
    <w:p>
      <w:pPr>
        <w:pStyle w:val="BodyText"/>
        <w:spacing w:before="9"/>
        <w:rPr>
          <w:b/>
          <w:sz w:val="41"/>
        </w:rPr>
      </w:pPr>
    </w:p>
    <w:p>
      <w:pPr>
        <w:pStyle w:val="BodyText"/>
        <w:tabs>
          <w:tab w:pos="1879" w:val="left" w:leader="none"/>
          <w:tab w:pos="8959" w:val="left" w:leader="dot"/>
        </w:tabs>
        <w:ind w:left="1880" w:right="119" w:hanging="1440"/>
      </w:pPr>
      <w:r>
        <w:rPr/>
        <w:t>Figure</w:t>
      </w:r>
      <w:r>
        <w:rPr>
          <w:spacing w:val="-1"/>
        </w:rPr>
        <w:t> </w:t>
      </w:r>
      <w:r>
        <w:rPr/>
        <w:t>1.1</w:t>
        <w:tab/>
        <w:t>Example</w:t>
      </w:r>
      <w:r>
        <w:rPr>
          <w:spacing w:val="1"/>
        </w:rPr>
        <w:t> </w:t>
      </w:r>
      <w:r>
        <w:rPr/>
        <w:t>of a</w:t>
      </w:r>
      <w:r>
        <w:rPr>
          <w:spacing w:val="1"/>
        </w:rPr>
        <w:t> </w:t>
      </w:r>
      <w:r>
        <w:rPr/>
        <w:t>radar chart tool for</w:t>
      </w:r>
      <w:r>
        <w:rPr>
          <w:spacing w:val="1"/>
        </w:rPr>
        <w:t> </w:t>
      </w:r>
      <w:r>
        <w:rPr/>
        <w:t>comparing different</w:t>
      </w:r>
      <w:r>
        <w:rPr>
          <w:spacing w:val="1"/>
        </w:rPr>
        <w:t> </w:t>
      </w:r>
      <w:r>
        <w:rPr/>
        <w:t>building</w:t>
      </w:r>
      <w:r>
        <w:rPr>
          <w:spacing w:val="1"/>
        </w:rPr>
        <w:t> </w:t>
      </w:r>
      <w:r>
        <w:rPr/>
        <w:t>materials</w:t>
      </w:r>
      <w:r>
        <w:rPr>
          <w:spacing w:val="1"/>
        </w:rPr>
        <w:t> </w:t>
      </w:r>
      <w:r>
        <w:rPr/>
        <w:t>for</w:t>
      </w:r>
      <w:r>
        <w:rPr>
          <w:spacing w:val="-2"/>
        </w:rPr>
        <w:t> </w:t>
      </w:r>
      <w:r>
        <w:rPr/>
        <w:t>temporary</w:t>
      </w:r>
      <w:r>
        <w:rPr>
          <w:spacing w:val="-1"/>
        </w:rPr>
        <w:t> </w:t>
      </w:r>
      <w:r>
        <w:rPr/>
        <w:t>military</w:t>
      </w:r>
      <w:r>
        <w:rPr>
          <w:spacing w:val="-2"/>
        </w:rPr>
        <w:t> </w:t>
      </w:r>
      <w:r>
        <w:rPr/>
        <w:t>construction</w:t>
      </w:r>
      <w:r>
        <w:rPr>
          <w:spacing w:val="-2"/>
        </w:rPr>
        <w:t> </w:t>
      </w:r>
      <w:r>
        <w:rPr/>
        <w:t>across</w:t>
      </w:r>
      <w:r>
        <w:rPr>
          <w:spacing w:val="-2"/>
        </w:rPr>
        <w:t> </w:t>
      </w:r>
      <w:r>
        <w:rPr/>
        <w:t>several</w:t>
      </w:r>
      <w:r>
        <w:rPr>
          <w:spacing w:val="-1"/>
        </w:rPr>
        <w:t> </w:t>
      </w:r>
      <w:r>
        <w:rPr/>
        <w:t>criteria</w:t>
        <w:tab/>
      </w:r>
      <w:r>
        <w:rPr>
          <w:spacing w:val="-5"/>
        </w:rPr>
        <w:t>6</w:t>
      </w:r>
    </w:p>
    <w:p>
      <w:pPr>
        <w:pStyle w:val="BodyText"/>
      </w:pPr>
    </w:p>
    <w:p>
      <w:pPr>
        <w:pStyle w:val="BodyText"/>
        <w:tabs>
          <w:tab w:pos="1879" w:val="left" w:leader="none"/>
          <w:tab w:pos="8839" w:val="left" w:leader="dot"/>
        </w:tabs>
        <w:ind w:left="1880" w:right="119" w:hanging="1440"/>
      </w:pPr>
      <w:r>
        <w:rPr/>
        <w:t>Figure</w:t>
      </w:r>
      <w:r>
        <w:rPr>
          <w:spacing w:val="-1"/>
        </w:rPr>
        <w:t> </w:t>
      </w:r>
      <w:r>
        <w:rPr/>
        <w:t>2.1</w:t>
        <w:tab/>
        <w:t>The</w:t>
      </w:r>
      <w:r>
        <w:rPr>
          <w:spacing w:val="3"/>
        </w:rPr>
        <w:t> </w:t>
      </w:r>
      <w:r>
        <w:rPr/>
        <w:t>three</w:t>
      </w:r>
      <w:r>
        <w:rPr>
          <w:spacing w:val="2"/>
        </w:rPr>
        <w:t> </w:t>
      </w:r>
      <w:r>
        <w:rPr/>
        <w:t>perpendicular</w:t>
      </w:r>
      <w:r>
        <w:rPr>
          <w:spacing w:val="2"/>
        </w:rPr>
        <w:t> </w:t>
      </w:r>
      <w:r>
        <w:rPr/>
        <w:t>axes</w:t>
      </w:r>
      <w:r>
        <w:rPr>
          <w:spacing w:val="3"/>
        </w:rPr>
        <w:t> </w:t>
      </w:r>
      <w:r>
        <w:rPr/>
        <w:t>of</w:t>
      </w:r>
      <w:r>
        <w:rPr>
          <w:spacing w:val="1"/>
        </w:rPr>
        <w:t> </w:t>
      </w:r>
      <w:r>
        <w:rPr/>
        <w:t>wood</w:t>
      </w:r>
      <w:r>
        <w:rPr>
          <w:spacing w:val="3"/>
        </w:rPr>
        <w:t> </w:t>
      </w:r>
      <w:r>
        <w:rPr/>
        <w:t>shown</w:t>
      </w:r>
      <w:r>
        <w:rPr>
          <w:spacing w:val="2"/>
        </w:rPr>
        <w:t> </w:t>
      </w:r>
      <w:r>
        <w:rPr/>
        <w:t>with</w:t>
      </w:r>
      <w:r>
        <w:rPr>
          <w:spacing w:val="3"/>
        </w:rPr>
        <w:t> </w:t>
      </w:r>
      <w:r>
        <w:rPr/>
        <w:t>respect</w:t>
      </w:r>
      <w:r>
        <w:rPr>
          <w:spacing w:val="3"/>
        </w:rPr>
        <w:t> </w:t>
      </w:r>
      <w:r>
        <w:rPr/>
        <w:t>to grain,</w:t>
      </w:r>
      <w:r>
        <w:rPr>
          <w:spacing w:val="3"/>
        </w:rPr>
        <w:t> </w:t>
      </w:r>
      <w:r>
        <w:rPr/>
        <w:t>or</w:t>
      </w:r>
      <w:r>
        <w:rPr>
          <w:spacing w:val="1"/>
        </w:rPr>
        <w:t> </w:t>
      </w:r>
      <w:r>
        <w:rPr/>
        <w:t>fiber,</w:t>
      </w:r>
      <w:r>
        <w:rPr>
          <w:spacing w:val="-1"/>
        </w:rPr>
        <w:t> </w:t>
      </w:r>
      <w:r>
        <w:rPr/>
        <w:t>direction</w:t>
      </w:r>
      <w:r>
        <w:rPr>
          <w:spacing w:val="-1"/>
        </w:rPr>
        <w:t> </w:t>
      </w:r>
      <w:r>
        <w:rPr/>
        <w:t>(adapted</w:t>
      </w:r>
      <w:r>
        <w:rPr>
          <w:spacing w:val="-3"/>
        </w:rPr>
        <w:t> </w:t>
      </w:r>
      <w:r>
        <w:rPr/>
        <w:t>from</w:t>
      </w:r>
      <w:r>
        <w:rPr>
          <w:spacing w:val="-2"/>
        </w:rPr>
        <w:t> </w:t>
      </w:r>
      <w:r>
        <w:rPr/>
        <w:t>[77]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[96]).</w:t>
        <w:tab/>
      </w:r>
      <w:r>
        <w:rPr>
          <w:spacing w:val="-3"/>
        </w:rPr>
        <w:t>15</w:t>
      </w:r>
    </w:p>
    <w:p>
      <w:pPr>
        <w:pStyle w:val="BodyText"/>
      </w:pPr>
    </w:p>
    <w:p>
      <w:pPr>
        <w:pStyle w:val="BodyText"/>
        <w:tabs>
          <w:tab w:pos="1879" w:val="left" w:leader="none"/>
          <w:tab w:pos="8839" w:val="left" w:leader="dot"/>
        </w:tabs>
        <w:ind w:left="439"/>
      </w:pPr>
      <w:r>
        <w:rPr/>
        <w:t>Figure</w:t>
      </w:r>
      <w:r>
        <w:rPr>
          <w:spacing w:val="-1"/>
        </w:rPr>
        <w:t> </w:t>
      </w:r>
      <w:r>
        <w:rPr/>
        <w:t>2.2</w:t>
        <w:tab/>
        <w:t>Ten</w:t>
      </w:r>
      <w:r>
        <w:rPr>
          <w:spacing w:val="-1"/>
        </w:rPr>
        <w:t> </w:t>
      </w:r>
      <w:r>
        <w:rPr/>
        <w:t>3-ply</w:t>
      </w:r>
      <w:r>
        <w:rPr>
          <w:spacing w:val="-1"/>
        </w:rPr>
        <w:t> </w:t>
      </w:r>
      <w:r>
        <w:rPr/>
        <w:t>CLT</w:t>
      </w:r>
      <w:r>
        <w:rPr>
          <w:spacing w:val="-2"/>
        </w:rPr>
        <w:t> </w:t>
      </w:r>
      <w:r>
        <w:rPr/>
        <w:t>panels</w:t>
      </w:r>
      <w:r>
        <w:rPr>
          <w:spacing w:val="-1"/>
        </w:rPr>
        <w:t> </w:t>
      </w:r>
      <w:r>
        <w:rPr/>
        <w:t>stacked</w:t>
        <w:tab/>
        <w:t>17</w:t>
      </w:r>
    </w:p>
    <w:p>
      <w:pPr>
        <w:pStyle w:val="BodyText"/>
      </w:pPr>
    </w:p>
    <w:p>
      <w:pPr>
        <w:pStyle w:val="BodyText"/>
        <w:tabs>
          <w:tab w:pos="1879" w:val="left" w:leader="none"/>
          <w:tab w:pos="8839" w:val="left" w:leader="dot"/>
        </w:tabs>
        <w:ind w:left="439"/>
      </w:pPr>
      <w:r>
        <w:rPr/>
        <w:t>Figure</w:t>
      </w:r>
      <w:r>
        <w:rPr>
          <w:spacing w:val="-1"/>
        </w:rPr>
        <w:t> </w:t>
      </w:r>
      <w:r>
        <w:rPr/>
        <w:t>2.3</w:t>
        <w:tab/>
        <w:t>CLT</w:t>
      </w:r>
      <w:r>
        <w:rPr>
          <w:spacing w:val="-2"/>
        </w:rPr>
        <w:t> </w:t>
      </w:r>
      <w:r>
        <w:rPr/>
        <w:t>nomenclature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panel</w:t>
      </w:r>
      <w:r>
        <w:rPr>
          <w:spacing w:val="-1"/>
        </w:rPr>
        <w:t> </w:t>
      </w:r>
      <w:r>
        <w:rPr/>
        <w:t>configuration</w:t>
      </w:r>
      <w:r>
        <w:rPr>
          <w:spacing w:val="-3"/>
        </w:rPr>
        <w:t> </w:t>
      </w:r>
      <w:r>
        <w:rPr/>
        <w:t>(adapted</w:t>
      </w:r>
      <w:r>
        <w:rPr>
          <w:spacing w:val="-1"/>
        </w:rPr>
        <w:t> </w:t>
      </w:r>
      <w:r>
        <w:rPr/>
        <w:t>from</w:t>
      </w:r>
      <w:r>
        <w:rPr>
          <w:spacing w:val="-3"/>
        </w:rPr>
        <w:t> </w:t>
      </w:r>
      <w:r>
        <w:rPr/>
        <w:t>[68]).</w:t>
        <w:tab/>
        <w:t>18</w:t>
      </w:r>
    </w:p>
    <w:p>
      <w:pPr>
        <w:pStyle w:val="BodyText"/>
      </w:pPr>
    </w:p>
    <w:p>
      <w:pPr>
        <w:pStyle w:val="BodyText"/>
        <w:tabs>
          <w:tab w:pos="1879" w:val="left" w:leader="none"/>
          <w:tab w:pos="8839" w:val="left" w:leader="dot"/>
        </w:tabs>
        <w:ind w:left="1879" w:right="119" w:hanging="1440"/>
      </w:pPr>
      <w:r>
        <w:rPr/>
        <w:t>Figure</w:t>
      </w:r>
      <w:r>
        <w:rPr>
          <w:spacing w:val="-1"/>
        </w:rPr>
        <w:t> </w:t>
      </w:r>
      <w:r>
        <w:rPr/>
        <w:t>2.4</w:t>
        <w:tab/>
        <w:t>CLT panel example showing direction of wood grain in face and</w:t>
      </w:r>
      <w:r>
        <w:rPr>
          <w:spacing w:val="1"/>
        </w:rPr>
        <w:t> </w:t>
      </w:r>
      <w:r>
        <w:rPr/>
        <w:t>alternating</w:t>
      </w:r>
      <w:r>
        <w:rPr>
          <w:spacing w:val="-1"/>
        </w:rPr>
        <w:t> </w:t>
      </w:r>
      <w:r>
        <w:rPr/>
        <w:t>layers</w:t>
      </w:r>
      <w:r>
        <w:rPr>
          <w:spacing w:val="-1"/>
        </w:rPr>
        <w:t> </w:t>
      </w:r>
      <w:r>
        <w:rPr/>
        <w:t>(adapted</w:t>
      </w:r>
      <w:r>
        <w:rPr>
          <w:spacing w:val="-1"/>
        </w:rPr>
        <w:t> </w:t>
      </w:r>
      <w:r>
        <w:rPr/>
        <w:t>from</w:t>
      </w:r>
      <w:r>
        <w:rPr>
          <w:spacing w:val="-3"/>
        </w:rPr>
        <w:t> </w:t>
      </w:r>
      <w:r>
        <w:rPr/>
        <w:t>[68]).</w:t>
        <w:tab/>
      </w:r>
      <w:r>
        <w:rPr>
          <w:spacing w:val="-3"/>
        </w:rPr>
        <w:t>19</w:t>
      </w:r>
    </w:p>
    <w:p>
      <w:pPr>
        <w:pStyle w:val="BodyText"/>
      </w:pPr>
    </w:p>
    <w:p>
      <w:pPr>
        <w:pStyle w:val="BodyText"/>
        <w:tabs>
          <w:tab w:pos="1879" w:val="left" w:leader="none"/>
          <w:tab w:pos="8839" w:val="left" w:leader="dot"/>
        </w:tabs>
        <w:ind w:left="439"/>
      </w:pPr>
      <w:r>
        <w:rPr/>
        <w:t>Figure</w:t>
      </w:r>
      <w:r>
        <w:rPr>
          <w:spacing w:val="-1"/>
        </w:rPr>
        <w:t> </w:t>
      </w:r>
      <w:r>
        <w:rPr/>
        <w:t>2.5</w:t>
        <w:tab/>
        <w:t>Close up</w:t>
      </w:r>
      <w:r>
        <w:rPr>
          <w:spacing w:val="-1"/>
        </w:rPr>
        <w:t> </w:t>
      </w:r>
      <w:r>
        <w:rPr/>
        <w:t>view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finger joint</w:t>
      </w:r>
      <w:r>
        <w:rPr>
          <w:spacing w:val="-1"/>
        </w:rPr>
        <w:t> </w:t>
      </w:r>
      <w:r>
        <w:rPr/>
        <w:t>in a</w:t>
      </w:r>
      <w:r>
        <w:rPr>
          <w:spacing w:val="-1"/>
        </w:rPr>
        <w:t> </w:t>
      </w:r>
      <w:r>
        <w:rPr/>
        <w:t>CLT</w:t>
      </w:r>
      <w:r>
        <w:rPr>
          <w:spacing w:val="-2"/>
        </w:rPr>
        <w:t> </w:t>
      </w:r>
      <w:r>
        <w:rPr/>
        <w:t>panel</w:t>
        <w:tab/>
        <w:t>25</w:t>
      </w:r>
    </w:p>
    <w:p>
      <w:pPr>
        <w:pStyle w:val="BodyText"/>
      </w:pPr>
    </w:p>
    <w:p>
      <w:pPr>
        <w:pStyle w:val="BodyText"/>
        <w:tabs>
          <w:tab w:pos="1879" w:val="left" w:leader="none"/>
          <w:tab w:pos="8839" w:val="left" w:leader="dot"/>
        </w:tabs>
        <w:ind w:left="1879" w:right="119" w:hanging="1440"/>
      </w:pPr>
      <w:r>
        <w:rPr/>
        <w:t>Figure</w:t>
      </w:r>
      <w:r>
        <w:rPr>
          <w:spacing w:val="-1"/>
        </w:rPr>
        <w:t> </w:t>
      </w:r>
      <w:r>
        <w:rPr/>
        <w:t>2.6</w:t>
        <w:tab/>
        <w:t>Thin-walled metal hangers called K-spans erected by military engineers as</w:t>
      </w:r>
      <w:r>
        <w:rPr>
          <w:spacing w:val="-57"/>
        </w:rPr>
        <w:t> </w:t>
      </w:r>
      <w:r>
        <w:rPr/>
        <w:t>temporary</w:t>
      </w:r>
      <w:r>
        <w:rPr>
          <w:spacing w:val="-2"/>
        </w:rPr>
        <w:t> </w:t>
      </w:r>
      <w:r>
        <w:rPr/>
        <w:t>structures</w:t>
      </w:r>
      <w:r>
        <w:rPr>
          <w:spacing w:val="-1"/>
        </w:rPr>
        <w:t> </w:t>
      </w:r>
      <w:r>
        <w:rPr/>
        <w:t>(photo</w:t>
      </w:r>
      <w:r>
        <w:rPr>
          <w:spacing w:val="-1"/>
        </w:rPr>
        <w:t> </w:t>
      </w:r>
      <w:r>
        <w:rPr/>
        <w:t>by</w:t>
      </w:r>
      <w:r>
        <w:rPr>
          <w:spacing w:val="-2"/>
        </w:rPr>
        <w:t> </w:t>
      </w:r>
      <w:r>
        <w:rPr/>
        <w:t>LTC</w:t>
      </w:r>
      <w:r>
        <w:rPr>
          <w:spacing w:val="-2"/>
        </w:rPr>
        <w:t> </w:t>
      </w:r>
      <w:r>
        <w:rPr/>
        <w:t>Ken</w:t>
      </w:r>
      <w:r>
        <w:rPr>
          <w:spacing w:val="-1"/>
        </w:rPr>
        <w:t> </w:t>
      </w:r>
      <w:r>
        <w:rPr/>
        <w:t>Frey,</w:t>
      </w:r>
      <w:r>
        <w:rPr>
          <w:spacing w:val="-1"/>
        </w:rPr>
        <w:t> </w:t>
      </w:r>
      <w:r>
        <w:rPr/>
        <w:t>used</w:t>
      </w:r>
      <w:r>
        <w:rPr>
          <w:spacing w:val="-2"/>
        </w:rPr>
        <w:t> </w:t>
      </w:r>
      <w:r>
        <w:rPr/>
        <w:t>with</w:t>
      </w:r>
      <w:r>
        <w:rPr>
          <w:spacing w:val="-1"/>
        </w:rPr>
        <w:t> </w:t>
      </w:r>
      <w:r>
        <w:rPr/>
        <w:t>permission)</w:t>
        <w:tab/>
      </w:r>
      <w:r>
        <w:rPr>
          <w:spacing w:val="-3"/>
        </w:rPr>
        <w:t>43</w:t>
      </w:r>
    </w:p>
    <w:p>
      <w:pPr>
        <w:pStyle w:val="BodyText"/>
      </w:pPr>
    </w:p>
    <w:p>
      <w:pPr>
        <w:pStyle w:val="BodyText"/>
        <w:tabs>
          <w:tab w:pos="1879" w:val="left" w:leader="none"/>
          <w:tab w:pos="8839" w:val="left" w:leader="dot"/>
        </w:tabs>
        <w:ind w:left="1879" w:right="119" w:hanging="1440"/>
      </w:pPr>
      <w:r>
        <w:rPr/>
        <w:t>Figure</w:t>
      </w:r>
      <w:r>
        <w:rPr>
          <w:spacing w:val="-1"/>
        </w:rPr>
        <w:t> </w:t>
      </w:r>
      <w:r>
        <w:rPr/>
        <w:t>2.7</w:t>
        <w:tab/>
        <w:t>U.S. Army Soldiers construct B-huts in Afghanistan (photo by LTC Ken</w:t>
      </w:r>
      <w:r>
        <w:rPr>
          <w:spacing w:val="1"/>
        </w:rPr>
        <w:t> </w:t>
      </w:r>
      <w:r>
        <w:rPr/>
        <w:t>Frey,</w:t>
      </w:r>
      <w:r>
        <w:rPr>
          <w:spacing w:val="-1"/>
        </w:rPr>
        <w:t> </w:t>
      </w:r>
      <w:r>
        <w:rPr/>
        <w:t>used</w:t>
      </w:r>
      <w:r>
        <w:rPr>
          <w:spacing w:val="-3"/>
        </w:rPr>
        <w:t> </w:t>
      </w:r>
      <w:r>
        <w:rPr/>
        <w:t>with</w:t>
      </w:r>
      <w:r>
        <w:rPr>
          <w:spacing w:val="-1"/>
        </w:rPr>
        <w:t> </w:t>
      </w:r>
      <w:r>
        <w:rPr/>
        <w:t>permission)</w:t>
        <w:tab/>
      </w:r>
      <w:r>
        <w:rPr>
          <w:spacing w:val="-3"/>
        </w:rPr>
        <w:t>44</w:t>
      </w:r>
    </w:p>
    <w:p>
      <w:pPr>
        <w:pStyle w:val="BodyText"/>
      </w:pPr>
    </w:p>
    <w:p>
      <w:pPr>
        <w:pStyle w:val="BodyText"/>
        <w:tabs>
          <w:tab w:pos="1879" w:val="left" w:leader="none"/>
          <w:tab w:pos="8839" w:val="left" w:leader="dot"/>
        </w:tabs>
        <w:ind w:left="439"/>
      </w:pPr>
      <w:r>
        <w:rPr/>
        <w:t>Figure</w:t>
      </w:r>
      <w:r>
        <w:rPr>
          <w:spacing w:val="-1"/>
        </w:rPr>
        <w:t> </w:t>
      </w:r>
      <w:r>
        <w:rPr/>
        <w:t>2.8</w:t>
        <w:tab/>
        <w:t>Front</w:t>
      </w:r>
      <w:r>
        <w:rPr>
          <w:spacing w:val="-1"/>
        </w:rPr>
        <w:t> </w:t>
      </w:r>
      <w:r>
        <w:rPr/>
        <w:t>elevation,</w:t>
      </w:r>
      <w:r>
        <w:rPr>
          <w:spacing w:val="-1"/>
        </w:rPr>
        <w:t> </w:t>
      </w:r>
      <w:r>
        <w:rPr/>
        <w:t>plan</w:t>
      </w:r>
      <w:r>
        <w:rPr>
          <w:spacing w:val="-1"/>
        </w:rPr>
        <w:t> </w:t>
      </w:r>
      <w:r>
        <w:rPr/>
        <w:t>and</w:t>
      </w:r>
      <w:r>
        <w:rPr>
          <w:spacing w:val="-3"/>
        </w:rPr>
        <w:t> </w:t>
      </w:r>
      <w:r>
        <w:rPr/>
        <w:t>isometric</w:t>
      </w:r>
      <w:r>
        <w:rPr>
          <w:spacing w:val="-1"/>
        </w:rPr>
        <w:t> </w:t>
      </w:r>
      <w:r>
        <w:rPr/>
        <w:t>views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</w:t>
      </w:r>
      <w:r>
        <w:rPr/>
        <w:t>generic</w:t>
      </w:r>
      <w:r>
        <w:rPr>
          <w:spacing w:val="-1"/>
        </w:rPr>
        <w:t> </w:t>
      </w:r>
      <w:r>
        <w:rPr/>
        <w:t>B-hut</w:t>
      </w:r>
      <w:r>
        <w:rPr>
          <w:spacing w:val="-1"/>
        </w:rPr>
        <w:t> </w:t>
      </w:r>
      <w:r>
        <w:rPr/>
        <w:t>design.</w:t>
        <w:tab/>
        <w:t>46</w:t>
      </w:r>
    </w:p>
    <w:p>
      <w:pPr>
        <w:pStyle w:val="BodyText"/>
      </w:pPr>
    </w:p>
    <w:p>
      <w:pPr>
        <w:pStyle w:val="BodyText"/>
        <w:tabs>
          <w:tab w:pos="1879" w:val="left" w:leader="none"/>
          <w:tab w:pos="8839" w:val="left" w:leader="dot"/>
        </w:tabs>
        <w:ind w:left="1879" w:right="119" w:hanging="1440"/>
      </w:pPr>
      <w:r>
        <w:rPr/>
        <w:t>Figure</w:t>
      </w:r>
      <w:r>
        <w:rPr>
          <w:spacing w:val="-1"/>
        </w:rPr>
        <w:t> </w:t>
      </w:r>
      <w:r>
        <w:rPr/>
        <w:t>2.9</w:t>
        <w:tab/>
        <w:t>A large B-hut variation nears completion in Afghanistan (photo by LTC</w:t>
      </w:r>
      <w:r>
        <w:rPr>
          <w:spacing w:val="1"/>
        </w:rPr>
        <w:t> </w:t>
      </w:r>
      <w:r>
        <w:rPr/>
        <w:t>Ken</w:t>
      </w:r>
      <w:r>
        <w:rPr>
          <w:spacing w:val="-1"/>
        </w:rPr>
        <w:t> </w:t>
      </w:r>
      <w:r>
        <w:rPr/>
        <w:t>Frey,</w:t>
      </w:r>
      <w:r>
        <w:rPr>
          <w:spacing w:val="-1"/>
        </w:rPr>
        <w:t> </w:t>
      </w:r>
      <w:r>
        <w:rPr/>
        <w:t>used</w:t>
      </w:r>
      <w:r>
        <w:rPr>
          <w:spacing w:val="-1"/>
        </w:rPr>
        <w:t> </w:t>
      </w:r>
      <w:r>
        <w:rPr/>
        <w:t>with</w:t>
      </w:r>
      <w:r>
        <w:rPr>
          <w:spacing w:val="-1"/>
        </w:rPr>
        <w:t> </w:t>
      </w:r>
      <w:r>
        <w:rPr/>
        <w:t>permission)</w:t>
        <w:tab/>
      </w:r>
      <w:r>
        <w:rPr>
          <w:spacing w:val="-3"/>
        </w:rPr>
        <w:t>46</w:t>
      </w:r>
    </w:p>
    <w:p>
      <w:pPr>
        <w:pStyle w:val="BodyText"/>
      </w:pPr>
    </w:p>
    <w:p>
      <w:pPr>
        <w:pStyle w:val="BodyText"/>
        <w:tabs>
          <w:tab w:pos="1879" w:val="left" w:leader="none"/>
          <w:tab w:pos="8839" w:val="left" w:leader="dot"/>
        </w:tabs>
        <w:ind w:left="1879" w:right="119" w:hanging="1440"/>
      </w:pPr>
      <w:r>
        <w:rPr/>
        <w:t>Figure</w:t>
      </w:r>
      <w:r>
        <w:rPr>
          <w:spacing w:val="-1"/>
        </w:rPr>
        <w:t> </w:t>
      </w:r>
      <w:r>
        <w:rPr/>
        <w:t>2.10</w:t>
        <w:tab/>
        <w:t>Army engineers construction a cluster of B-huts to house soldiers on a</w:t>
      </w:r>
      <w:r>
        <w:rPr>
          <w:spacing w:val="1"/>
        </w:rPr>
        <w:t> </w:t>
      </w:r>
      <w:r>
        <w:rPr/>
        <w:t>Forward Operating Base in Afghanistan in 2007 (photo by CPT Ashley</w:t>
      </w:r>
      <w:r>
        <w:rPr>
          <w:spacing w:val="1"/>
        </w:rPr>
        <w:t> </w:t>
      </w:r>
      <w:r>
        <w:rPr/>
        <w:t>Dellavalle,</w:t>
      </w:r>
      <w:r>
        <w:rPr>
          <w:spacing w:val="-2"/>
        </w:rPr>
        <w:t> </w:t>
      </w:r>
      <w:r>
        <w:rPr/>
        <w:t>used</w:t>
      </w:r>
      <w:r>
        <w:rPr>
          <w:spacing w:val="-2"/>
        </w:rPr>
        <w:t> </w:t>
      </w:r>
      <w:r>
        <w:rPr/>
        <w:t>with</w:t>
      </w:r>
      <w:r>
        <w:rPr>
          <w:spacing w:val="-1"/>
        </w:rPr>
        <w:t> </w:t>
      </w:r>
      <w:r>
        <w:rPr/>
        <w:t>permission).</w:t>
        <w:tab/>
      </w:r>
      <w:r>
        <w:rPr>
          <w:spacing w:val="-3"/>
        </w:rPr>
        <w:t>48</w:t>
      </w:r>
    </w:p>
    <w:p>
      <w:pPr>
        <w:pStyle w:val="BodyText"/>
      </w:pPr>
    </w:p>
    <w:p>
      <w:pPr>
        <w:pStyle w:val="BodyText"/>
        <w:tabs>
          <w:tab w:pos="1879" w:val="left" w:leader="none"/>
          <w:tab w:pos="8839" w:val="left" w:leader="dot"/>
        </w:tabs>
        <w:spacing w:before="1"/>
        <w:ind w:left="1879" w:right="119" w:hanging="1440"/>
      </w:pPr>
      <w:r>
        <w:rPr/>
        <w:t>Figure</w:t>
      </w:r>
      <w:r>
        <w:rPr>
          <w:spacing w:val="-1"/>
        </w:rPr>
        <w:t> </w:t>
      </w:r>
      <w:r>
        <w:rPr/>
        <w:t>2.11</w:t>
        <w:tab/>
        <w:t>A damaged pole barn roof and damaged living quarters in Orgun-E,</w:t>
      </w:r>
      <w:r>
        <w:rPr>
          <w:spacing w:val="1"/>
        </w:rPr>
        <w:t> </w:t>
      </w:r>
      <w:r>
        <w:rPr/>
        <w:t>Afghanistan</w:t>
      </w:r>
      <w:r>
        <w:rPr>
          <w:spacing w:val="-1"/>
        </w:rPr>
        <w:t> </w:t>
      </w:r>
      <w:r>
        <w:rPr/>
        <w:t>(author</w:t>
      </w:r>
      <w:r>
        <w:rPr>
          <w:spacing w:val="-1"/>
        </w:rPr>
        <w:t> </w:t>
      </w:r>
      <w:r>
        <w:rPr/>
        <w:t>photos)</w:t>
        <w:tab/>
      </w:r>
      <w:r>
        <w:rPr>
          <w:spacing w:val="-3"/>
        </w:rPr>
        <w:t>52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tabs>
          <w:tab w:pos="1879" w:val="left" w:leader="none"/>
          <w:tab w:pos="8839" w:val="left" w:leader="dot"/>
        </w:tabs>
        <w:ind w:left="1879" w:right="118" w:hanging="1440"/>
      </w:pPr>
      <w:r>
        <w:rPr/>
        <w:t>Figure</w:t>
      </w:r>
      <w:r>
        <w:rPr>
          <w:spacing w:val="-1"/>
        </w:rPr>
        <w:t> </w:t>
      </w:r>
      <w:r>
        <w:rPr/>
        <w:t>2.12</w:t>
        <w:tab/>
        <w:t>Concrete bunker structure sits outside K-span in Orgun-E, Afghanistan</w:t>
      </w:r>
      <w:r>
        <w:rPr>
          <w:spacing w:val="1"/>
        </w:rPr>
        <w:t> </w:t>
      </w:r>
      <w:r>
        <w:rPr/>
        <w:t>(author</w:t>
      </w:r>
      <w:r>
        <w:rPr>
          <w:spacing w:val="-1"/>
        </w:rPr>
        <w:t> </w:t>
      </w:r>
      <w:r>
        <w:rPr/>
        <w:t>photo)</w:t>
        <w:tab/>
      </w:r>
      <w:r>
        <w:rPr>
          <w:spacing w:val="-2"/>
        </w:rPr>
        <w:t>53</w:t>
      </w:r>
    </w:p>
    <w:p>
      <w:pPr>
        <w:pStyle w:val="BodyText"/>
      </w:pPr>
    </w:p>
    <w:p>
      <w:pPr>
        <w:pStyle w:val="BodyText"/>
        <w:tabs>
          <w:tab w:pos="1879" w:val="left" w:leader="none"/>
          <w:tab w:pos="8839" w:val="left" w:leader="dot"/>
        </w:tabs>
        <w:ind w:left="1879" w:right="119" w:hanging="1440"/>
      </w:pPr>
      <w:r>
        <w:rPr/>
        <w:t>Figure</w:t>
      </w:r>
      <w:r>
        <w:rPr>
          <w:spacing w:val="-1"/>
        </w:rPr>
        <w:t> </w:t>
      </w:r>
      <w:r>
        <w:rPr/>
        <w:t>3.1</w:t>
        <w:tab/>
        <w:t>Graphical depiction of a shock front at steady-state in terms of pressure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time</w:t>
        <w:tab/>
      </w:r>
      <w:r>
        <w:rPr>
          <w:spacing w:val="-3"/>
        </w:rPr>
        <w:t>71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tabs>
          <w:tab w:pos="1879" w:val="left" w:leader="none"/>
          <w:tab w:pos="8839" w:val="left" w:leader="dot"/>
        </w:tabs>
        <w:spacing w:before="1"/>
        <w:ind w:left="439"/>
      </w:pPr>
      <w:r>
        <w:rPr/>
        <w:t>Figure</w:t>
      </w:r>
      <w:r>
        <w:rPr>
          <w:spacing w:val="-1"/>
        </w:rPr>
        <w:t> </w:t>
      </w:r>
      <w:r>
        <w:rPr/>
        <w:t>3.2</w:t>
        <w:tab/>
        <w:t>Relationship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P-V</w:t>
      </w:r>
      <w:r>
        <w:rPr>
          <w:spacing w:val="-2"/>
        </w:rPr>
        <w:t> </w:t>
      </w:r>
      <w:r>
        <w:rPr/>
        <w:t>Hugoniot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Rayleigh</w:t>
      </w:r>
      <w:r>
        <w:rPr>
          <w:spacing w:val="-1"/>
        </w:rPr>
        <w:t> </w:t>
      </w:r>
      <w:r>
        <w:rPr/>
        <w:t>line</w:t>
        <w:tab/>
        <w:t>74</w:t>
      </w:r>
    </w:p>
    <w:p>
      <w:pPr>
        <w:spacing w:after="0"/>
        <w:sectPr>
          <w:pgSz w:w="12240" w:h="15840"/>
          <w:pgMar w:header="0" w:footer="984" w:top="1380" w:bottom="1260" w:left="1720" w:right="1320"/>
        </w:sectPr>
      </w:pPr>
    </w:p>
    <w:p>
      <w:pPr>
        <w:pStyle w:val="BodyText"/>
        <w:tabs>
          <w:tab w:pos="1439" w:val="left" w:leader="none"/>
        </w:tabs>
        <w:spacing w:before="78"/>
        <w:ind w:right="186"/>
        <w:jc w:val="right"/>
      </w:pPr>
      <w:r>
        <w:rPr/>
        <w:t>Figure</w:t>
      </w:r>
      <w:r>
        <w:rPr>
          <w:spacing w:val="-1"/>
        </w:rPr>
        <w:t> </w:t>
      </w:r>
      <w:r>
        <w:rPr/>
        <w:t>3.3</w:t>
        <w:tab/>
        <w:t>Phases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penetration</w:t>
      </w:r>
      <w:r>
        <w:rPr>
          <w:spacing w:val="-1"/>
        </w:rPr>
        <w:t> </w:t>
      </w:r>
      <w:r>
        <w:rPr/>
        <w:t>with respect</w:t>
      </w:r>
      <w:r>
        <w:rPr>
          <w:spacing w:val="-1"/>
        </w:rPr>
        <w:t> </w:t>
      </w:r>
      <w:r>
        <w:rPr/>
        <w:t>to</w:t>
      </w:r>
      <w:r>
        <w:rPr>
          <w:spacing w:val="-3"/>
        </w:rPr>
        <w:t> </w:t>
      </w:r>
      <w:r>
        <w:rPr/>
        <w:t>time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pressure,</w:t>
      </w:r>
      <w:r>
        <w:rPr>
          <w:spacing w:val="-1"/>
        </w:rPr>
        <w:t> </w:t>
      </w:r>
      <w:r>
        <w:rPr/>
        <w:t>adapted</w:t>
      </w:r>
      <w:r>
        <w:rPr>
          <w:spacing w:val="-1"/>
        </w:rPr>
        <w:t> </w:t>
      </w:r>
      <w:r>
        <w:rPr/>
        <w:t>from</w:t>
      </w:r>
      <w:r>
        <w:rPr>
          <w:spacing w:val="-3"/>
        </w:rPr>
        <w:t> </w:t>
      </w:r>
      <w:r>
        <w:rPr/>
        <w:t>[38]</w:t>
      </w:r>
    </w:p>
    <w:p>
      <w:pPr>
        <w:pStyle w:val="BodyText"/>
        <w:ind w:right="119"/>
        <w:jc w:val="right"/>
      </w:pPr>
      <w:r>
        <w:rPr/>
        <w:t>....................................................................................................................77</w:t>
      </w:r>
    </w:p>
    <w:p>
      <w:pPr>
        <w:pStyle w:val="BodyText"/>
        <w:tabs>
          <w:tab w:pos="1879" w:val="left" w:leader="none"/>
          <w:tab w:pos="8839" w:val="left" w:leader="dot"/>
        </w:tabs>
        <w:spacing w:before="276"/>
        <w:ind w:left="440"/>
      </w:pPr>
      <w:r>
        <w:rPr/>
        <w:t>Figure</w:t>
      </w:r>
      <w:r>
        <w:rPr>
          <w:spacing w:val="-1"/>
        </w:rPr>
        <w:t> </w:t>
      </w:r>
      <w:r>
        <w:rPr/>
        <w:t>3.4</w:t>
        <w:tab/>
        <w:t>Illustration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three</w:t>
      </w:r>
      <w:r>
        <w:rPr>
          <w:spacing w:val="-1"/>
        </w:rPr>
        <w:t> </w:t>
      </w:r>
      <w:r>
        <w:rPr/>
        <w:t>main</w:t>
      </w:r>
      <w:r>
        <w:rPr>
          <w:spacing w:val="-1"/>
        </w:rPr>
        <w:t> </w:t>
      </w:r>
      <w:r>
        <w:rPr/>
        <w:t>penetration</w:t>
      </w:r>
      <w:r>
        <w:rPr>
          <w:spacing w:val="-2"/>
        </w:rPr>
        <w:t> </w:t>
      </w:r>
      <w:r>
        <w:rPr/>
        <w:t>criteria,</w:t>
      </w:r>
      <w:r>
        <w:rPr>
          <w:spacing w:val="-1"/>
        </w:rPr>
        <w:t> </w:t>
      </w:r>
      <w:r>
        <w:rPr/>
        <w:t>adapted</w:t>
      </w:r>
      <w:r>
        <w:rPr>
          <w:spacing w:val="-1"/>
        </w:rPr>
        <w:t> </w:t>
      </w:r>
      <w:r>
        <w:rPr/>
        <w:t>from</w:t>
      </w:r>
      <w:r>
        <w:rPr>
          <w:spacing w:val="-3"/>
        </w:rPr>
        <w:t> </w:t>
      </w:r>
      <w:r>
        <w:rPr/>
        <w:t>[27]</w:t>
        <w:tab/>
        <w:t>81</w:t>
      </w:r>
    </w:p>
    <w:p>
      <w:pPr>
        <w:pStyle w:val="BodyText"/>
        <w:tabs>
          <w:tab w:pos="1879" w:val="left" w:leader="none"/>
          <w:tab w:pos="8839" w:val="left" w:leader="dot"/>
        </w:tabs>
        <w:spacing w:before="276"/>
        <w:ind w:left="1880" w:right="119" w:hanging="1440"/>
      </w:pPr>
      <w:r>
        <w:rPr/>
        <w:t>Figure</w:t>
      </w:r>
      <w:r>
        <w:rPr>
          <w:spacing w:val="-1"/>
        </w:rPr>
        <w:t> </w:t>
      </w:r>
      <w:r>
        <w:rPr/>
        <w:t>3.5</w:t>
        <w:tab/>
        <w:t>Projectile penetration into target creating compression waves (black) and</w:t>
      </w:r>
      <w:r>
        <w:rPr>
          <w:spacing w:val="1"/>
        </w:rPr>
        <w:t> </w:t>
      </w:r>
      <w:r>
        <w:rPr/>
        <w:t>relief</w:t>
      </w:r>
      <w:r>
        <w:rPr>
          <w:spacing w:val="-2"/>
        </w:rPr>
        <w:t> </w:t>
      </w:r>
      <w:r>
        <w:rPr/>
        <w:t>waves</w:t>
      </w:r>
      <w:r>
        <w:rPr>
          <w:spacing w:val="-1"/>
        </w:rPr>
        <w:t> </w:t>
      </w:r>
      <w:r>
        <w:rPr/>
        <w:t>(orange)</w:t>
        <w:tab/>
      </w:r>
      <w:r>
        <w:rPr>
          <w:spacing w:val="-3"/>
        </w:rPr>
        <w:t>84</w:t>
      </w:r>
    </w:p>
    <w:p>
      <w:pPr>
        <w:pStyle w:val="BodyText"/>
        <w:tabs>
          <w:tab w:pos="1879" w:val="left" w:leader="none"/>
          <w:tab w:pos="8839" w:val="left" w:leader="dot"/>
        </w:tabs>
        <w:spacing w:before="276"/>
        <w:ind w:left="440"/>
      </w:pPr>
      <w:r>
        <w:rPr/>
        <w:t>Figure</w:t>
      </w:r>
      <w:r>
        <w:rPr>
          <w:spacing w:val="-1"/>
        </w:rPr>
        <w:t> </w:t>
      </w:r>
      <w:r>
        <w:rPr/>
        <w:t>3.6</w:t>
        <w:tab/>
        <w:t>Examples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failure</w:t>
      </w:r>
      <w:r>
        <w:rPr>
          <w:spacing w:val="-1"/>
        </w:rPr>
        <w:t> </w:t>
      </w:r>
      <w:r>
        <w:rPr/>
        <w:t>modes</w:t>
      </w:r>
      <w:r>
        <w:rPr>
          <w:spacing w:val="-2"/>
        </w:rPr>
        <w:t> </w:t>
      </w:r>
      <w:r>
        <w:rPr/>
        <w:t>induced</w:t>
      </w:r>
      <w:r>
        <w:rPr>
          <w:spacing w:val="-1"/>
        </w:rPr>
        <w:t> </w:t>
      </w:r>
      <w:r>
        <w:rPr/>
        <w:t>by</w:t>
      </w:r>
      <w:r>
        <w:rPr>
          <w:spacing w:val="-1"/>
        </w:rPr>
        <w:t> </w:t>
      </w:r>
      <w:r>
        <w:rPr/>
        <w:t>projectiles</w:t>
        <w:tab/>
        <w:t>89</w:t>
      </w:r>
    </w:p>
    <w:p>
      <w:pPr>
        <w:pStyle w:val="BodyText"/>
        <w:tabs>
          <w:tab w:pos="1879" w:val="left" w:leader="none"/>
          <w:tab w:pos="8839" w:val="left" w:leader="dot"/>
        </w:tabs>
        <w:spacing w:before="276"/>
        <w:ind w:left="440"/>
      </w:pPr>
      <w:r>
        <w:rPr/>
        <w:t>Figure</w:t>
      </w:r>
      <w:r>
        <w:rPr>
          <w:spacing w:val="-1"/>
        </w:rPr>
        <w:t> </w:t>
      </w:r>
      <w:r>
        <w:rPr/>
        <w:t>3.7</w:t>
        <w:tab/>
        <w:t>Projectile</w:t>
      </w:r>
      <w:r>
        <w:rPr>
          <w:spacing w:val="-2"/>
        </w:rPr>
        <w:t> </w:t>
      </w:r>
      <w:r>
        <w:rPr/>
        <w:t>nose</w:t>
      </w:r>
      <w:r>
        <w:rPr>
          <w:spacing w:val="-1"/>
        </w:rPr>
        <w:t> </w:t>
      </w:r>
      <w:r>
        <w:rPr/>
        <w:t>shape</w:t>
      </w:r>
      <w:r>
        <w:rPr>
          <w:spacing w:val="-2"/>
        </w:rPr>
        <w:t> </w:t>
      </w:r>
      <w:r>
        <w:rPr/>
        <w:t>examples.</w:t>
        <w:tab/>
        <w:t>94</w:t>
      </w:r>
    </w:p>
    <w:p>
      <w:pPr>
        <w:pStyle w:val="BodyText"/>
        <w:tabs>
          <w:tab w:pos="1879" w:val="left" w:leader="none"/>
          <w:tab w:pos="8839" w:val="left" w:leader="dot"/>
        </w:tabs>
        <w:spacing w:before="276"/>
        <w:ind w:left="440"/>
      </w:pPr>
      <w:r>
        <w:rPr/>
        <w:t>Figure</w:t>
      </w:r>
      <w:r>
        <w:rPr>
          <w:spacing w:val="-1"/>
        </w:rPr>
        <w:t> </w:t>
      </w:r>
      <w:r>
        <w:rPr/>
        <w:t>3.8</w:t>
        <w:tab/>
        <w:t>Angle of</w:t>
      </w:r>
      <w:r>
        <w:rPr>
          <w:spacing w:val="-1"/>
        </w:rPr>
        <w:t> </w:t>
      </w:r>
      <w:r>
        <w:rPr/>
        <w:t>obliquity</w:t>
        <w:tab/>
        <w:t>95</w:t>
      </w:r>
    </w:p>
    <w:p>
      <w:pPr>
        <w:pStyle w:val="BodyText"/>
        <w:tabs>
          <w:tab w:pos="1879" w:val="left" w:leader="none"/>
          <w:tab w:pos="8839" w:val="left" w:leader="dot"/>
        </w:tabs>
        <w:spacing w:before="276"/>
        <w:ind w:left="440"/>
      </w:pPr>
      <w:r>
        <w:rPr/>
        <w:t>Figure</w:t>
      </w:r>
      <w:r>
        <w:rPr>
          <w:spacing w:val="-1"/>
        </w:rPr>
        <w:t> </w:t>
      </w:r>
      <w:r>
        <w:rPr/>
        <w:t>3.9</w:t>
        <w:tab/>
        <w:t>Cavitation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demonstrated</w:t>
      </w:r>
      <w:r>
        <w:rPr>
          <w:spacing w:val="-1"/>
        </w:rPr>
        <w:t> </w:t>
      </w:r>
      <w:r>
        <w:rPr/>
        <w:t>by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projectile</w:t>
      </w:r>
      <w:r>
        <w:rPr>
          <w:spacing w:val="-1"/>
        </w:rPr>
        <w:t> </w:t>
      </w:r>
      <w:r>
        <w:rPr/>
        <w:t>on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left</w:t>
        <w:tab/>
        <w:t>96</w:t>
      </w:r>
    </w:p>
    <w:p>
      <w:pPr>
        <w:pStyle w:val="BodyText"/>
        <w:tabs>
          <w:tab w:pos="1879" w:val="left" w:leader="none"/>
        </w:tabs>
        <w:spacing w:before="276"/>
        <w:ind w:left="440"/>
      </w:pPr>
      <w:r>
        <w:rPr/>
        <w:t>Figure</w:t>
      </w:r>
      <w:r>
        <w:rPr>
          <w:spacing w:val="-1"/>
        </w:rPr>
        <w:t> </w:t>
      </w:r>
      <w:r>
        <w:rPr/>
        <w:t>4.1</w:t>
        <w:tab/>
        <w:t>USS</w:t>
      </w:r>
      <w:r>
        <w:rPr>
          <w:spacing w:val="-2"/>
        </w:rPr>
        <w:t> </w:t>
      </w:r>
      <w:r>
        <w:rPr/>
        <w:t>Constitution docked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Boston</w:t>
      </w:r>
      <w:r>
        <w:rPr>
          <w:spacing w:val="-3"/>
        </w:rPr>
        <w:t> </w:t>
      </w:r>
      <w:r>
        <w:rPr/>
        <w:t>Harbor,</w:t>
      </w:r>
      <w:r>
        <w:rPr>
          <w:spacing w:val="-1"/>
        </w:rPr>
        <w:t> </w:t>
      </w:r>
      <w:r>
        <w:rPr/>
        <w:t>May</w:t>
      </w:r>
      <w:r>
        <w:rPr>
          <w:spacing w:val="-1"/>
        </w:rPr>
        <w:t> </w:t>
      </w:r>
      <w:r>
        <w:rPr/>
        <w:t>2014 (author</w:t>
      </w:r>
      <w:r>
        <w:rPr>
          <w:spacing w:val="-1"/>
        </w:rPr>
        <w:t> </w:t>
      </w:r>
      <w:r>
        <w:rPr/>
        <w:t>photo)</w:t>
      </w:r>
      <w:r>
        <w:rPr>
          <w:spacing w:val="70"/>
        </w:rPr>
        <w:t> </w:t>
      </w:r>
      <w:r>
        <w:rPr/>
        <w:t>107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40"/>
      </w:pPr>
      <w:r>
        <w:rPr/>
        <w:t>Figure</w:t>
      </w:r>
      <w:r>
        <w:rPr>
          <w:spacing w:val="-1"/>
        </w:rPr>
        <w:t> </w:t>
      </w:r>
      <w:r>
        <w:rPr/>
        <w:t>4.2</w:t>
        <w:tab/>
        <w:t>Cut</w:t>
      </w:r>
      <w:r>
        <w:rPr>
          <w:spacing w:val="-1"/>
        </w:rPr>
        <w:t> </w:t>
      </w:r>
      <w:r>
        <w:rPr/>
        <w:t>lumber</w:t>
      </w:r>
      <w:r>
        <w:rPr>
          <w:spacing w:val="-1"/>
        </w:rPr>
        <w:t> </w:t>
      </w:r>
      <w:r>
        <w:rPr/>
        <w:t>pieces</w:t>
      </w:r>
      <w:r>
        <w:rPr>
          <w:spacing w:val="-2"/>
        </w:rPr>
        <w:t> </w:t>
      </w:r>
      <w:r>
        <w:rPr/>
        <w:t>laid</w:t>
      </w:r>
      <w:r>
        <w:rPr>
          <w:spacing w:val="-1"/>
        </w:rPr>
        <w:t> </w:t>
      </w:r>
      <w:r>
        <w:rPr/>
        <w:t>out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CLT</w:t>
      </w:r>
      <w:r>
        <w:rPr>
          <w:spacing w:val="-2"/>
        </w:rPr>
        <w:t> </w:t>
      </w:r>
      <w:r>
        <w:rPr/>
        <w:t>specimen</w:t>
      </w:r>
      <w:r>
        <w:rPr>
          <w:spacing w:val="-1"/>
        </w:rPr>
        <w:t> </w:t>
      </w:r>
      <w:r>
        <w:rPr/>
        <w:t>production.</w:t>
        <w:tab/>
        <w:t>114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79" w:right="119" w:hanging="1440"/>
      </w:pPr>
      <w:r>
        <w:rPr/>
        <w:t>Figure</w:t>
      </w:r>
      <w:r>
        <w:rPr>
          <w:spacing w:val="-1"/>
        </w:rPr>
        <w:t> </w:t>
      </w:r>
      <w:r>
        <w:rPr/>
        <w:t>4.3</w:t>
        <w:tab/>
        <w:t>Two specimens, one 3-ply and one 5-ply, of Southern Yellow Pine CLT in</w:t>
      </w:r>
      <w:r>
        <w:rPr>
          <w:spacing w:val="-57"/>
        </w:rPr>
        <w:t> </w:t>
      </w:r>
      <w:r>
        <w:rPr/>
        <w:t>the hydraulic press set-up at the Georgia Institute of Technology's Digital</w:t>
      </w:r>
      <w:r>
        <w:rPr>
          <w:spacing w:val="1"/>
        </w:rPr>
        <w:t> </w:t>
      </w:r>
      <w:r>
        <w:rPr/>
        <w:t>Fabrication</w:t>
      </w:r>
      <w:r>
        <w:rPr>
          <w:spacing w:val="-3"/>
        </w:rPr>
        <w:t> </w:t>
      </w:r>
      <w:r>
        <w:rPr/>
        <w:t>Lab</w:t>
        <w:tab/>
      </w:r>
      <w:r>
        <w:rPr>
          <w:spacing w:val="-2"/>
        </w:rPr>
        <w:t>115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39"/>
      </w:pPr>
      <w:r>
        <w:rPr/>
        <w:t>Figure</w:t>
      </w:r>
      <w:r>
        <w:rPr>
          <w:spacing w:val="-1"/>
        </w:rPr>
        <w:t> </w:t>
      </w:r>
      <w:r>
        <w:rPr/>
        <w:t>4.4</w:t>
        <w:tab/>
        <w:t>Shearing</w:t>
      </w:r>
      <w:r>
        <w:rPr>
          <w:spacing w:val="-3"/>
        </w:rPr>
        <w:t> </w:t>
      </w:r>
      <w:r>
        <w:rPr/>
        <w:t>tool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bond</w:t>
      </w:r>
      <w:r>
        <w:rPr>
          <w:spacing w:val="-1"/>
        </w:rPr>
        <w:t> </w:t>
      </w:r>
      <w:r>
        <w:rPr/>
        <w:t>line</w:t>
      </w:r>
      <w:r>
        <w:rPr>
          <w:spacing w:val="-1"/>
        </w:rPr>
        <w:t> </w:t>
      </w:r>
      <w:r>
        <w:rPr/>
        <w:t>testing</w:t>
      </w:r>
      <w:r>
        <w:rPr>
          <w:spacing w:val="-1"/>
        </w:rPr>
        <w:t> </w:t>
      </w:r>
      <w:r>
        <w:rPr/>
        <w:t>per</w:t>
      </w:r>
      <w:r>
        <w:rPr>
          <w:spacing w:val="-1"/>
        </w:rPr>
        <w:t> </w:t>
      </w:r>
      <w:r>
        <w:rPr/>
        <w:t>ASTM</w:t>
      </w:r>
      <w:r>
        <w:rPr>
          <w:spacing w:val="-1"/>
        </w:rPr>
        <w:t> </w:t>
      </w:r>
      <w:r>
        <w:rPr/>
        <w:t>D905.</w:t>
        <w:tab/>
        <w:t>116</w:t>
      </w:r>
    </w:p>
    <w:p>
      <w:pPr>
        <w:pStyle w:val="BodyText"/>
        <w:tabs>
          <w:tab w:pos="1879" w:val="left" w:leader="none"/>
          <w:tab w:pos="8719" w:val="left" w:leader="dot"/>
        </w:tabs>
        <w:spacing w:before="275"/>
        <w:ind w:left="1879" w:right="119" w:hanging="1440"/>
      </w:pPr>
      <w:r>
        <w:rPr/>
        <w:t>Figure</w:t>
      </w:r>
      <w:r>
        <w:rPr>
          <w:spacing w:val="-1"/>
        </w:rPr>
        <w:t> </w:t>
      </w:r>
      <w:r>
        <w:rPr/>
        <w:t>4.5</w:t>
        <w:tab/>
        <w:t>The</w:t>
      </w:r>
      <w:r>
        <w:rPr>
          <w:spacing w:val="4"/>
        </w:rPr>
        <w:t> </w:t>
      </w:r>
      <w:r>
        <w:rPr/>
        <w:t>two</w:t>
      </w:r>
      <w:r>
        <w:rPr>
          <w:spacing w:val="4"/>
        </w:rPr>
        <w:t> </w:t>
      </w:r>
      <w:r>
        <w:rPr/>
        <w:t>types</w:t>
      </w:r>
      <w:r>
        <w:rPr>
          <w:spacing w:val="3"/>
        </w:rPr>
        <w:t> </w:t>
      </w:r>
      <w:r>
        <w:rPr/>
        <w:t>of</w:t>
      </w:r>
      <w:r>
        <w:rPr>
          <w:spacing w:val="3"/>
        </w:rPr>
        <w:t> </w:t>
      </w:r>
      <w:r>
        <w:rPr/>
        <w:t>shear</w:t>
      </w:r>
      <w:r>
        <w:rPr>
          <w:spacing w:val="4"/>
        </w:rPr>
        <w:t> </w:t>
      </w:r>
      <w:r>
        <w:rPr/>
        <w:t>block</w:t>
      </w:r>
      <w:r>
        <w:rPr>
          <w:spacing w:val="3"/>
        </w:rPr>
        <w:t> </w:t>
      </w:r>
      <w:r>
        <w:rPr/>
        <w:t>specimens</w:t>
      </w:r>
      <w:r>
        <w:rPr>
          <w:spacing w:val="4"/>
        </w:rPr>
        <w:t> </w:t>
      </w:r>
      <w:r>
        <w:rPr/>
        <w:t>with</w:t>
      </w:r>
      <w:r>
        <w:rPr>
          <w:spacing w:val="4"/>
        </w:rPr>
        <w:t> </w:t>
      </w:r>
      <w:r>
        <w:rPr/>
        <w:t>respect</w:t>
      </w:r>
      <w:r>
        <w:rPr>
          <w:spacing w:val="3"/>
        </w:rPr>
        <w:t> </w:t>
      </w:r>
      <w:r>
        <w:rPr/>
        <w:t>to</w:t>
      </w:r>
      <w:r>
        <w:rPr>
          <w:spacing w:val="4"/>
        </w:rPr>
        <w:t> </w:t>
      </w:r>
      <w:r>
        <w:rPr/>
        <w:t>grain</w:t>
      </w:r>
      <w:r>
        <w:rPr>
          <w:spacing w:val="2"/>
        </w:rPr>
        <w:t> </w:t>
      </w:r>
      <w:r>
        <w:rPr/>
        <w:t>orientation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2"/>
        </w:rPr>
        <w:t> </w:t>
      </w:r>
      <w:r>
        <w:rPr/>
        <w:t>shorter</w:t>
      </w:r>
      <w:r>
        <w:rPr>
          <w:spacing w:val="2"/>
        </w:rPr>
        <w:t> </w:t>
      </w:r>
      <w:r>
        <w:rPr/>
        <w:t>side</w:t>
      </w:r>
      <w:r>
        <w:rPr>
          <w:spacing w:val="1"/>
        </w:rPr>
        <w:t> </w:t>
      </w:r>
      <w:r>
        <w:rPr/>
        <w:t>relative</w:t>
      </w:r>
      <w:r>
        <w:rPr>
          <w:spacing w:val="2"/>
        </w:rPr>
        <w:t> </w:t>
      </w:r>
      <w:r>
        <w:rPr/>
        <w:t>to</w:t>
      </w:r>
      <w:r>
        <w:rPr>
          <w:spacing w:val="2"/>
        </w:rPr>
        <w:t> </w:t>
      </w:r>
      <w:r>
        <w:rPr/>
        <w:t>the</w:t>
      </w:r>
      <w:r>
        <w:rPr>
          <w:spacing w:val="1"/>
        </w:rPr>
        <w:t> </w:t>
      </w:r>
      <w:r>
        <w:rPr/>
        <w:t>applied</w:t>
      </w:r>
      <w:r>
        <w:rPr>
          <w:spacing w:val="2"/>
        </w:rPr>
        <w:t> </w:t>
      </w:r>
      <w:r>
        <w:rPr/>
        <w:t>load represented</w:t>
      </w:r>
      <w:r>
        <w:rPr>
          <w:spacing w:val="2"/>
        </w:rPr>
        <w:t> </w:t>
      </w:r>
      <w:r>
        <w:rPr/>
        <w:t>by the</w:t>
      </w:r>
      <w:r>
        <w:rPr>
          <w:spacing w:val="3"/>
        </w:rPr>
        <w:t> </w:t>
      </w:r>
      <w:r>
        <w:rPr/>
        <w:t>red</w:t>
      </w:r>
      <w:r>
        <w:rPr>
          <w:spacing w:val="1"/>
        </w:rPr>
        <w:t> </w:t>
      </w:r>
      <w:r>
        <w:rPr/>
        <w:t>arrows</w:t>
        <w:tab/>
      </w:r>
      <w:r>
        <w:rPr>
          <w:spacing w:val="-2"/>
        </w:rPr>
        <w:t>117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79" w:right="119" w:hanging="1440"/>
      </w:pPr>
      <w:r>
        <w:rPr/>
        <w:t>Figure</w:t>
      </w:r>
      <w:r>
        <w:rPr>
          <w:spacing w:val="-1"/>
        </w:rPr>
        <w:t> </w:t>
      </w:r>
      <w:r>
        <w:rPr/>
        <w:t>4.6</w:t>
        <w:tab/>
        <w:t>Shearing tool loaded with a bonded block of wood.</w:t>
      </w:r>
      <w:r>
        <w:rPr>
          <w:spacing w:val="1"/>
        </w:rPr>
        <w:t> </w:t>
      </w:r>
      <w:r>
        <w:rPr/>
        <w:t>The short section is</w:t>
      </w:r>
      <w:r>
        <w:rPr>
          <w:spacing w:val="1"/>
        </w:rPr>
        <w:t> </w:t>
      </w:r>
      <w:r>
        <w:rPr/>
        <w:t>oriented with the grain direction perpendicular to the compressive force in</w:t>
      </w:r>
      <w:r>
        <w:rPr>
          <w:spacing w:val="1"/>
        </w:rPr>
        <w:t> </w:t>
      </w:r>
      <w:r>
        <w:rPr/>
        <w:t>this</w:t>
      </w:r>
      <w:r>
        <w:rPr>
          <w:spacing w:val="-1"/>
        </w:rPr>
        <w:t> </w:t>
      </w:r>
      <w:r>
        <w:rPr/>
        <w:t>specimen</w:t>
        <w:tab/>
      </w:r>
      <w:r>
        <w:rPr>
          <w:spacing w:val="-2"/>
        </w:rPr>
        <w:t>118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79" w:right="119" w:hanging="1440"/>
      </w:pPr>
      <w:r>
        <w:rPr/>
        <w:t>Figure</w:t>
      </w:r>
      <w:r>
        <w:rPr>
          <w:spacing w:val="-1"/>
        </w:rPr>
        <w:t> </w:t>
      </w:r>
      <w:r>
        <w:rPr/>
        <w:t>4.7</w:t>
        <w:tab/>
        <w:t>A representative shear block test specimen post-test (a.) wood failure</w:t>
      </w:r>
      <w:r>
        <w:rPr>
          <w:spacing w:val="1"/>
        </w:rPr>
        <w:t> </w:t>
      </w:r>
      <w:r>
        <w:rPr/>
        <w:t>shown across the growth ring beyond the adhesive bond line from one side</w:t>
      </w:r>
      <w:r>
        <w:rPr>
          <w:spacing w:val="-57"/>
        </w:rPr>
        <w:t> </w:t>
      </w:r>
      <w:r>
        <w:rPr/>
        <w:t>perspective, (b.) wood failure occurring along the growth ring from the</w:t>
      </w:r>
      <w:r>
        <w:rPr>
          <w:spacing w:val="1"/>
        </w:rPr>
        <w:t> </w:t>
      </w:r>
      <w:r>
        <w:rPr/>
        <w:t>opposite side, (c.) a combination of wood and adhesive failure shown from</w:t>
      </w:r>
      <w:r>
        <w:rPr>
          <w:spacing w:val="-57"/>
        </w:rPr>
        <w:t> </w:t>
      </w:r>
      <w:r>
        <w:rPr/>
        <w:t>interface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two</w:t>
      </w:r>
      <w:r>
        <w:rPr>
          <w:spacing w:val="-1"/>
        </w:rPr>
        <w:t> </w:t>
      </w:r>
      <w:r>
        <w:rPr/>
        <w:t>pieces,</w:t>
      </w:r>
      <w:r>
        <w:rPr>
          <w:spacing w:val="-1"/>
        </w:rPr>
        <w:t> </w:t>
      </w:r>
      <w:r>
        <w:rPr/>
        <w:t>assessed</w:t>
      </w:r>
      <w:r>
        <w:rPr>
          <w:spacing w:val="-1"/>
        </w:rPr>
        <w:t> </w:t>
      </w:r>
      <w:r>
        <w:rPr/>
        <w:t>as</w:t>
      </w:r>
      <w:r>
        <w:rPr>
          <w:spacing w:val="-1"/>
        </w:rPr>
        <w:t> </w:t>
      </w:r>
      <w:r>
        <w:rPr/>
        <w:t>75</w:t>
      </w:r>
      <w:r>
        <w:rPr>
          <w:spacing w:val="-1"/>
        </w:rPr>
        <w:t> </w:t>
      </w:r>
      <w:r>
        <w:rPr/>
        <w:t>percent</w:t>
      </w:r>
      <w:r>
        <w:rPr>
          <w:spacing w:val="-1"/>
        </w:rPr>
        <w:t> </w:t>
      </w:r>
      <w:r>
        <w:rPr/>
        <w:t>wood</w:t>
      </w:r>
      <w:r>
        <w:rPr>
          <w:spacing w:val="-1"/>
        </w:rPr>
        <w:t> </w:t>
      </w:r>
      <w:r>
        <w:rPr/>
        <w:t>failure</w:t>
        <w:tab/>
      </w:r>
      <w:r>
        <w:rPr>
          <w:spacing w:val="-2"/>
        </w:rPr>
        <w:t>119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79" w:right="119" w:hanging="1440"/>
      </w:pPr>
      <w:r>
        <w:rPr/>
        <w:t>Figure</w:t>
      </w:r>
      <w:r>
        <w:rPr>
          <w:spacing w:val="-1"/>
        </w:rPr>
        <w:t> </w:t>
      </w:r>
      <w:r>
        <w:rPr/>
        <w:t>4.8</w:t>
        <w:tab/>
        <w:t>Fabrics materials trialed in shear block tests to verify adhesive bond</w:t>
      </w:r>
      <w:r>
        <w:rPr>
          <w:spacing w:val="1"/>
        </w:rPr>
        <w:t> </w:t>
      </w:r>
      <w:r>
        <w:rPr/>
        <w:t>strength</w:t>
      </w:r>
      <w:r>
        <w:rPr>
          <w:spacing w:val="-2"/>
        </w:rPr>
        <w:t> </w:t>
      </w:r>
      <w:r>
        <w:rPr/>
        <w:t>between</w:t>
      </w:r>
      <w:r>
        <w:rPr>
          <w:spacing w:val="-1"/>
        </w:rPr>
        <w:t> </w:t>
      </w:r>
      <w:r>
        <w:rPr/>
        <w:t>components</w:t>
        <w:tab/>
      </w:r>
      <w:r>
        <w:rPr>
          <w:spacing w:val="-2"/>
        </w:rPr>
        <w:t>122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79" w:right="119" w:hanging="1440"/>
      </w:pPr>
      <w:r>
        <w:rPr/>
        <w:t>Figure</w:t>
      </w:r>
      <w:r>
        <w:rPr>
          <w:spacing w:val="-1"/>
        </w:rPr>
        <w:t> </w:t>
      </w:r>
      <w:r>
        <w:rPr/>
        <w:t>4.9</w:t>
        <w:tab/>
        <w:t>Shear block testing of enhanced specimens, (upper left) Unidirectional</w:t>
      </w:r>
      <w:r>
        <w:rPr>
          <w:spacing w:val="1"/>
        </w:rPr>
        <w:t> </w:t>
      </w:r>
      <w:r>
        <w:rPr/>
        <w:t>fabric, (upper right) Plain Weave fabric, (lower left) Woven Roving,</w:t>
      </w:r>
      <w:r>
        <w:rPr>
          <w:spacing w:val="1"/>
        </w:rPr>
        <w:t> </w:t>
      </w:r>
      <w:r>
        <w:rPr/>
        <w:t>(lower</w:t>
      </w:r>
      <w:r>
        <w:rPr>
          <w:spacing w:val="-1"/>
        </w:rPr>
        <w:t> </w:t>
      </w:r>
      <w:r>
        <w:rPr/>
        <w:t>right)</w:t>
      </w:r>
      <w:r>
        <w:rPr>
          <w:spacing w:val="-2"/>
        </w:rPr>
        <w:t> </w:t>
      </w:r>
      <w:r>
        <w:rPr/>
        <w:t>steel.</w:t>
        <w:tab/>
      </w:r>
      <w:r>
        <w:rPr>
          <w:spacing w:val="-2"/>
        </w:rPr>
        <w:t>123</w:t>
      </w:r>
    </w:p>
    <w:p>
      <w:pPr>
        <w:spacing w:after="0"/>
        <w:sectPr>
          <w:pgSz w:w="12240" w:h="15840"/>
          <w:pgMar w:header="0" w:footer="984" w:top="1360" w:bottom="1260" w:left="1720" w:right="1320"/>
        </w:sectPr>
      </w:pPr>
    </w:p>
    <w:p>
      <w:pPr>
        <w:tabs>
          <w:tab w:pos="1879" w:val="left" w:leader="none"/>
          <w:tab w:pos="8719" w:val="left" w:leader="dot"/>
        </w:tabs>
        <w:spacing w:before="214"/>
        <w:ind w:left="1880" w:right="119" w:hanging="1440"/>
        <w:jc w:val="left"/>
        <w:rPr>
          <w:sz w:val="24"/>
        </w:rPr>
      </w:pPr>
      <w:r>
        <w:rPr>
          <w:sz w:val="24"/>
        </w:rPr>
        <w:t>Figure</w:t>
      </w:r>
      <w:r>
        <w:rPr>
          <w:spacing w:val="-1"/>
          <w:sz w:val="24"/>
        </w:rPr>
        <w:t> </w:t>
      </w:r>
      <w:r>
        <w:rPr>
          <w:sz w:val="24"/>
        </w:rPr>
        <w:t>4.10</w:t>
        <w:tab/>
      </w:r>
      <w:r>
        <w:rPr>
          <w:i/>
          <w:sz w:val="24"/>
        </w:rPr>
        <w:t>a. (left) SPF-S hardness test specimen; b. (right) SYP hardness test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specimen</w:t>
        <w:tab/>
      </w:r>
      <w:r>
        <w:rPr>
          <w:spacing w:val="-2"/>
          <w:sz w:val="24"/>
        </w:rPr>
        <w:t>129</w:t>
      </w:r>
    </w:p>
    <w:p>
      <w:pPr>
        <w:pStyle w:val="BodyText"/>
        <w:tabs>
          <w:tab w:pos="1879" w:val="left" w:leader="none"/>
          <w:tab w:pos="8719" w:val="left" w:leader="dot"/>
        </w:tabs>
        <w:spacing w:before="201"/>
        <w:ind w:left="440"/>
      </w:pPr>
      <w:r>
        <w:rPr/>
        <w:t>Figure</w:t>
      </w:r>
      <w:r>
        <w:rPr>
          <w:spacing w:val="-1"/>
        </w:rPr>
        <w:t> </w:t>
      </w:r>
      <w:r>
        <w:rPr/>
        <w:t>4.11</w:t>
        <w:tab/>
        <w:t>Janka</w:t>
      </w:r>
      <w:r>
        <w:rPr>
          <w:spacing w:val="-1"/>
        </w:rPr>
        <w:t> </w:t>
      </w:r>
      <w:r>
        <w:rPr/>
        <w:t>hardness testing</w:t>
      </w:r>
      <w:r>
        <w:rPr>
          <w:spacing w:val="-1"/>
        </w:rPr>
        <w:t> </w:t>
      </w:r>
      <w:r>
        <w:rPr/>
        <w:t>set-up</w:t>
      </w:r>
      <w:r>
        <w:rPr>
          <w:spacing w:val="-1"/>
        </w:rPr>
        <w:t> </w:t>
      </w:r>
      <w:r>
        <w:rPr/>
        <w:t>with</w:t>
      </w:r>
      <w:r>
        <w:rPr>
          <w:spacing w:val="-1"/>
        </w:rPr>
        <w:t> </w:t>
      </w:r>
      <w:r>
        <w:rPr/>
        <w:t>in</w:t>
      </w:r>
      <w:r>
        <w:rPr>
          <w:spacing w:val="-3"/>
        </w:rPr>
        <w:t> </w:t>
      </w:r>
      <w:r>
        <w:rPr/>
        <w:t>progress</w:t>
      </w:r>
      <w:r>
        <w:rPr>
          <w:spacing w:val="-1"/>
        </w:rPr>
        <w:t> </w:t>
      </w:r>
      <w:r>
        <w:rPr/>
        <w:t>test</w:t>
        <w:tab/>
        <w:t>130</w:t>
      </w:r>
    </w:p>
    <w:p>
      <w:pPr>
        <w:pStyle w:val="BodyText"/>
        <w:tabs>
          <w:tab w:pos="1879" w:val="left" w:leader="none"/>
          <w:tab w:pos="8719" w:val="left" w:leader="dot"/>
        </w:tabs>
        <w:spacing w:before="456"/>
        <w:ind w:left="440"/>
      </w:pPr>
      <w:r>
        <w:rPr/>
        <w:t>Figure</w:t>
      </w:r>
      <w:r>
        <w:rPr>
          <w:spacing w:val="-1"/>
        </w:rPr>
        <w:t> </w:t>
      </w:r>
      <w:r>
        <w:rPr/>
        <w:t>4.12</w:t>
        <w:tab/>
        <w:t>SPF-S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SYP</w:t>
      </w:r>
      <w:r>
        <w:rPr>
          <w:spacing w:val="-2"/>
        </w:rPr>
        <w:t> </w:t>
      </w:r>
      <w:r>
        <w:rPr/>
        <w:t>hardness</w:t>
      </w:r>
      <w:r>
        <w:rPr>
          <w:spacing w:val="-2"/>
        </w:rPr>
        <w:t> </w:t>
      </w:r>
      <w:r>
        <w:rPr/>
        <w:t>value</w:t>
      </w:r>
      <w:r>
        <w:rPr>
          <w:spacing w:val="-2"/>
        </w:rPr>
        <w:t> </w:t>
      </w:r>
      <w:r>
        <w:rPr/>
        <w:t>distributions</w:t>
        <w:tab/>
        <w:t>131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80" w:right="119" w:hanging="1440"/>
      </w:pPr>
      <w:r>
        <w:rPr/>
        <w:t>Figure</w:t>
      </w:r>
      <w:r>
        <w:rPr>
          <w:spacing w:val="-1"/>
        </w:rPr>
        <w:t> </w:t>
      </w:r>
      <w:r>
        <w:rPr/>
        <w:t>4.13</w:t>
        <w:tab/>
        <w:t>Normal probability distribution functions for single and multiple ply</w:t>
      </w:r>
      <w:r>
        <w:rPr>
          <w:spacing w:val="1"/>
        </w:rPr>
        <w:t> </w:t>
      </w:r>
      <w:r>
        <w:rPr/>
        <w:t>hardness</w:t>
      </w:r>
      <w:r>
        <w:rPr>
          <w:spacing w:val="-2"/>
        </w:rPr>
        <w:t> </w:t>
      </w:r>
      <w:r>
        <w:rPr/>
        <w:t>testing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SYP</w:t>
        <w:tab/>
      </w:r>
      <w:r>
        <w:rPr>
          <w:spacing w:val="-2"/>
        </w:rPr>
        <w:t>133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40"/>
      </w:pPr>
      <w:r>
        <w:rPr/>
        <w:t>Figure</w:t>
      </w:r>
      <w:r>
        <w:rPr>
          <w:spacing w:val="-1"/>
        </w:rPr>
        <w:t> </w:t>
      </w:r>
      <w:r>
        <w:rPr/>
        <w:t>4.14</w:t>
        <w:tab/>
        <w:t>Janka</w:t>
      </w:r>
      <w:r>
        <w:rPr>
          <w:spacing w:val="-1"/>
        </w:rPr>
        <w:t> </w:t>
      </w:r>
      <w:r>
        <w:rPr/>
        <w:t>hardness</w:t>
      </w:r>
      <w:r>
        <w:rPr>
          <w:spacing w:val="-2"/>
        </w:rPr>
        <w:t> </w:t>
      </w:r>
      <w:r>
        <w:rPr/>
        <w:t>values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multiple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single</w:t>
      </w:r>
      <w:r>
        <w:rPr>
          <w:spacing w:val="-1"/>
        </w:rPr>
        <w:t> </w:t>
      </w:r>
      <w:r>
        <w:rPr/>
        <w:t>ply</w:t>
      </w:r>
      <w:r>
        <w:rPr>
          <w:spacing w:val="-4"/>
        </w:rPr>
        <w:t> </w:t>
      </w:r>
      <w:r>
        <w:rPr/>
        <w:t>SYP</w:t>
      </w:r>
      <w:r>
        <w:rPr>
          <w:spacing w:val="-2"/>
        </w:rPr>
        <w:t> </w:t>
      </w:r>
      <w:r>
        <w:rPr/>
        <w:t>specimens.</w:t>
        <w:tab/>
        <w:t>134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80" w:right="119" w:hanging="1440"/>
      </w:pPr>
      <w:r>
        <w:rPr/>
        <w:t>Figure</w:t>
      </w:r>
      <w:r>
        <w:rPr>
          <w:spacing w:val="-1"/>
        </w:rPr>
        <w:t> </w:t>
      </w:r>
      <w:r>
        <w:rPr/>
        <w:t>4.15</w:t>
        <w:tab/>
        <w:t>Examples</w:t>
      </w:r>
      <w:r>
        <w:rPr>
          <w:spacing w:val="16"/>
        </w:rPr>
        <w:t> </w:t>
      </w:r>
      <w:r>
        <w:rPr/>
        <w:t>of</w:t>
      </w:r>
      <w:r>
        <w:rPr>
          <w:spacing w:val="17"/>
        </w:rPr>
        <w:t> </w:t>
      </w:r>
      <w:r>
        <w:rPr/>
        <w:t>shear</w:t>
      </w:r>
      <w:r>
        <w:rPr>
          <w:spacing w:val="15"/>
        </w:rPr>
        <w:t> </w:t>
      </w:r>
      <w:r>
        <w:rPr/>
        <w:t>test</w:t>
      </w:r>
      <w:r>
        <w:rPr>
          <w:spacing w:val="15"/>
        </w:rPr>
        <w:t> </w:t>
      </w:r>
      <w:r>
        <w:rPr/>
        <w:t>specimens</w:t>
      </w:r>
      <w:r>
        <w:rPr>
          <w:spacing w:val="16"/>
        </w:rPr>
        <w:t> </w:t>
      </w:r>
      <w:r>
        <w:rPr/>
        <w:t>post-test,</w:t>
      </w:r>
      <w:r>
        <w:rPr>
          <w:spacing w:val="14"/>
        </w:rPr>
        <w:t> </w:t>
      </w:r>
      <w:r>
        <w:rPr/>
        <w:t>(a,</w:t>
      </w:r>
      <w:r>
        <w:rPr>
          <w:spacing w:val="15"/>
        </w:rPr>
        <w:t> </w:t>
      </w:r>
      <w:r>
        <w:rPr/>
        <w:t>b)</w:t>
      </w:r>
      <w:r>
        <w:rPr>
          <w:spacing w:val="16"/>
        </w:rPr>
        <w:t> </w:t>
      </w:r>
      <w:r>
        <w:rPr/>
        <w:t>SPF-S</w:t>
      </w:r>
      <w:r>
        <w:rPr>
          <w:spacing w:val="15"/>
        </w:rPr>
        <w:t> </w:t>
      </w:r>
      <w:r>
        <w:rPr/>
        <w:t>specimens,</w:t>
      </w:r>
      <w:r>
        <w:rPr>
          <w:spacing w:val="16"/>
        </w:rPr>
        <w:t> </w:t>
      </w:r>
      <w:r>
        <w:rPr/>
        <w:t>(c,d)</w:t>
      </w:r>
      <w:r>
        <w:rPr>
          <w:spacing w:val="-57"/>
        </w:rPr>
        <w:t> </w:t>
      </w:r>
      <w:r>
        <w:rPr/>
        <w:t>SYP</w:t>
      </w:r>
      <w:r>
        <w:rPr>
          <w:spacing w:val="-2"/>
        </w:rPr>
        <w:t> </w:t>
      </w:r>
      <w:r>
        <w:rPr/>
        <w:t>specimens.</w:t>
        <w:tab/>
      </w:r>
      <w:r>
        <w:rPr>
          <w:spacing w:val="-2"/>
        </w:rPr>
        <w:t>137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80" w:right="119" w:hanging="1440"/>
      </w:pPr>
      <w:r>
        <w:rPr/>
        <w:t>Figure</w:t>
      </w:r>
      <w:r>
        <w:rPr>
          <w:spacing w:val="-1"/>
        </w:rPr>
        <w:t> </w:t>
      </w:r>
      <w:r>
        <w:rPr/>
        <w:t>4.16</w:t>
        <w:tab/>
        <w:t>Stress due to rolling shear, adapted from [47]. The longitudinal axis of the</w:t>
      </w:r>
      <w:r>
        <w:rPr>
          <w:spacing w:val="1"/>
        </w:rPr>
        <w:t> </w:t>
      </w:r>
      <w:r>
        <w:rPr/>
        <w:t>wood</w:t>
      </w:r>
      <w:r>
        <w:rPr>
          <w:spacing w:val="-1"/>
        </w:rPr>
        <w:t> </w:t>
      </w:r>
      <w:r>
        <w:rPr/>
        <w:t>fiber is out of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plane</w:t>
        <w:tab/>
      </w:r>
      <w:r>
        <w:rPr>
          <w:spacing w:val="-2"/>
        </w:rPr>
        <w:t>138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40"/>
      </w:pPr>
      <w:r>
        <w:rPr/>
        <w:t>Figure</w:t>
      </w:r>
      <w:r>
        <w:rPr>
          <w:spacing w:val="-1"/>
        </w:rPr>
        <w:t> </w:t>
      </w:r>
      <w:r>
        <w:rPr/>
        <w:t>4.17</w:t>
        <w:tab/>
        <w:t>Shear</w:t>
      </w:r>
      <w:r>
        <w:rPr>
          <w:spacing w:val="-1"/>
        </w:rPr>
        <w:t> </w:t>
      </w:r>
      <w:r>
        <w:rPr/>
        <w:t>deformation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</w:t>
      </w:r>
      <w:r>
        <w:rPr/>
        <w:t>CLT</w:t>
      </w:r>
      <w:r>
        <w:rPr>
          <w:spacing w:val="-2"/>
        </w:rPr>
        <w:t> </w:t>
      </w:r>
      <w:r>
        <w:rPr/>
        <w:t>cross-section</w:t>
      </w:r>
      <w:r>
        <w:rPr>
          <w:spacing w:val="-2"/>
        </w:rPr>
        <w:t> </w:t>
      </w:r>
      <w:r>
        <w:rPr/>
        <w:t>view,</w:t>
      </w:r>
      <w:r>
        <w:rPr>
          <w:spacing w:val="-4"/>
        </w:rPr>
        <w:t> </w:t>
      </w:r>
      <w:r>
        <w:rPr/>
        <w:t>adapted</w:t>
      </w:r>
      <w:r>
        <w:rPr>
          <w:spacing w:val="-1"/>
        </w:rPr>
        <w:t> </w:t>
      </w:r>
      <w:r>
        <w:rPr/>
        <w:t>from</w:t>
      </w:r>
      <w:r>
        <w:rPr>
          <w:spacing w:val="-2"/>
        </w:rPr>
        <w:t> </w:t>
      </w:r>
      <w:r>
        <w:rPr/>
        <w:t>[83]</w:t>
        <w:tab/>
        <w:t>140</w:t>
      </w:r>
    </w:p>
    <w:p>
      <w:pPr>
        <w:pStyle w:val="BodyText"/>
        <w:tabs>
          <w:tab w:pos="1879" w:val="left" w:leader="none"/>
          <w:tab w:pos="8719" w:val="left" w:leader="dot"/>
        </w:tabs>
        <w:spacing w:before="277"/>
        <w:ind w:left="440"/>
      </w:pPr>
      <w:r>
        <w:rPr/>
        <w:t>Figure</w:t>
      </w:r>
      <w:r>
        <w:rPr>
          <w:spacing w:val="-1"/>
        </w:rPr>
        <w:t> </w:t>
      </w:r>
      <w:r>
        <w:rPr/>
        <w:t>4.18</w:t>
        <w:tab/>
        <w:t>Virtual</w:t>
      </w:r>
      <w:r>
        <w:rPr>
          <w:spacing w:val="-1"/>
        </w:rPr>
        <w:t> </w:t>
      </w:r>
      <w:r>
        <w:rPr/>
        <w:t>beams for</w:t>
      </w:r>
      <w:r>
        <w:rPr>
          <w:spacing w:val="-1"/>
        </w:rPr>
        <w:t> </w:t>
      </w:r>
      <w:r>
        <w:rPr/>
        <w:t>use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shear</w:t>
      </w:r>
      <w:r>
        <w:rPr>
          <w:spacing w:val="-1"/>
        </w:rPr>
        <w:t> </w:t>
      </w:r>
      <w:r>
        <w:rPr/>
        <w:t>analogy</w:t>
      </w:r>
      <w:r>
        <w:rPr>
          <w:spacing w:val="-1"/>
        </w:rPr>
        <w:t> </w:t>
      </w:r>
      <w:r>
        <w:rPr/>
        <w:t>method.</w:t>
        <w:tab/>
        <w:t>141</w:t>
      </w:r>
    </w:p>
    <w:p>
      <w:pPr>
        <w:pStyle w:val="BodyText"/>
        <w:tabs>
          <w:tab w:pos="1879" w:val="left" w:leader="none"/>
          <w:tab w:pos="8719" w:val="left" w:leader="dot"/>
        </w:tabs>
        <w:spacing w:before="552"/>
        <w:ind w:left="1880" w:right="119" w:hanging="1440"/>
      </w:pPr>
      <w:r>
        <w:rPr/>
        <w:t>Figure</w:t>
      </w:r>
      <w:r>
        <w:rPr>
          <w:spacing w:val="-1"/>
        </w:rPr>
        <w:t> </w:t>
      </w:r>
      <w:r>
        <w:rPr/>
        <w:t>4.19</w:t>
        <w:tab/>
        <w:t>Typical compressive response of wood in the longitudinal direction,</w:t>
      </w:r>
      <w:r>
        <w:rPr>
          <w:spacing w:val="1"/>
        </w:rPr>
        <w:t> </w:t>
      </w:r>
      <w:r>
        <w:rPr/>
        <w:t>adapted</w:t>
      </w:r>
      <w:r>
        <w:rPr>
          <w:spacing w:val="-1"/>
        </w:rPr>
        <w:t> </w:t>
      </w:r>
      <w:r>
        <w:rPr/>
        <w:t>from</w:t>
      </w:r>
      <w:r>
        <w:rPr>
          <w:spacing w:val="-2"/>
        </w:rPr>
        <w:t> </w:t>
      </w:r>
      <w:r>
        <w:rPr/>
        <w:t>[123]</w:t>
        <w:tab/>
      </w:r>
      <w:r>
        <w:rPr>
          <w:spacing w:val="-2"/>
        </w:rPr>
        <w:t>147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80" w:right="117" w:hanging="1440"/>
      </w:pPr>
      <w:r>
        <w:rPr/>
        <w:t>Figure</w:t>
      </w:r>
      <w:r>
        <w:rPr>
          <w:spacing w:val="-1"/>
        </w:rPr>
        <w:t> </w:t>
      </w:r>
      <w:r>
        <w:rPr/>
        <w:t>5.1</w:t>
        <w:tab/>
        <w:t>ERDC's</w:t>
      </w:r>
      <w:r>
        <w:rPr>
          <w:spacing w:val="-4"/>
        </w:rPr>
        <w:t> </w:t>
      </w:r>
      <w:r>
        <w:rPr/>
        <w:t>fragment</w:t>
      </w:r>
      <w:r>
        <w:rPr>
          <w:spacing w:val="-6"/>
        </w:rPr>
        <w:t> </w:t>
      </w:r>
      <w:r>
        <w:rPr/>
        <w:t>simulating</w:t>
      </w:r>
      <w:r>
        <w:rPr>
          <w:spacing w:val="-5"/>
        </w:rPr>
        <w:t> </w:t>
      </w:r>
      <w:r>
        <w:rPr/>
        <w:t>facility</w:t>
      </w:r>
      <w:r>
        <w:rPr>
          <w:spacing w:val="-6"/>
        </w:rPr>
        <w:t> </w:t>
      </w:r>
      <w:r>
        <w:rPr/>
        <w:t>firing</w:t>
      </w:r>
      <w:r>
        <w:rPr>
          <w:spacing w:val="-6"/>
        </w:rPr>
        <w:t> </w:t>
      </w:r>
      <w:r>
        <w:rPr/>
        <w:t>apparatus</w:t>
      </w:r>
      <w:r>
        <w:rPr>
          <w:spacing w:val="-5"/>
        </w:rPr>
        <w:t> </w:t>
      </w:r>
      <w:r>
        <w:rPr/>
        <w:t>shown</w:t>
      </w:r>
      <w:r>
        <w:rPr>
          <w:spacing w:val="-6"/>
        </w:rPr>
        <w:t> </w:t>
      </w:r>
      <w:r>
        <w:rPr/>
        <w:t>with</w:t>
      </w:r>
      <w:r>
        <w:rPr>
          <w:spacing w:val="-5"/>
        </w:rPr>
        <w:t> </w:t>
      </w:r>
      <w:r>
        <w:rPr/>
        <w:t>one</w:t>
      </w:r>
      <w:r>
        <w:rPr>
          <w:spacing w:val="-5"/>
        </w:rPr>
        <w:t> </w:t>
      </w:r>
      <w:r>
        <w:rPr/>
        <w:t>0.50-</w:t>
      </w:r>
      <w:r>
        <w:rPr>
          <w:spacing w:val="-57"/>
        </w:rPr>
        <w:t> </w:t>
      </w:r>
      <w:r>
        <w:rPr/>
        <w:t>caliber</w:t>
      </w:r>
      <w:r>
        <w:rPr>
          <w:spacing w:val="-2"/>
        </w:rPr>
        <w:t> </w:t>
      </w:r>
      <w:r>
        <w:rPr/>
        <w:t>barrel</w:t>
      </w:r>
      <w:r>
        <w:rPr>
          <w:spacing w:val="-1"/>
        </w:rPr>
        <w:t> </w:t>
      </w:r>
      <w:r>
        <w:rPr/>
        <w:t>mounted</w:t>
        <w:tab/>
      </w:r>
      <w:r>
        <w:rPr>
          <w:spacing w:val="-2"/>
        </w:rPr>
        <w:t>156</w:t>
      </w:r>
    </w:p>
    <w:p>
      <w:pPr>
        <w:pStyle w:val="BodyText"/>
        <w:tabs>
          <w:tab w:pos="1879" w:val="left" w:leader="none"/>
          <w:tab w:pos="8719" w:val="left" w:leader="dot"/>
        </w:tabs>
        <w:spacing w:before="475"/>
        <w:ind w:left="1880" w:right="119" w:hanging="1440"/>
      </w:pPr>
      <w:r>
        <w:rPr/>
        <w:t>Figure</w:t>
      </w:r>
      <w:r>
        <w:rPr>
          <w:spacing w:val="-1"/>
        </w:rPr>
        <w:t> </w:t>
      </w:r>
      <w:r>
        <w:rPr/>
        <w:t>5.2</w:t>
        <w:tab/>
        <w:t>Infrared photoelectric strike velocity screens connected to two</w:t>
      </w:r>
      <w:r>
        <w:rPr>
          <w:spacing w:val="1"/>
        </w:rPr>
        <w:t> </w:t>
      </w:r>
      <w:r>
        <w:rPr/>
        <w:t>chronographs</w:t>
      </w:r>
      <w:r>
        <w:rPr>
          <w:spacing w:val="-2"/>
        </w:rPr>
        <w:t> </w:t>
      </w:r>
      <w:r>
        <w:rPr/>
        <w:t>determine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impact</w:t>
      </w:r>
      <w:r>
        <w:rPr>
          <w:spacing w:val="-2"/>
        </w:rPr>
        <w:t> </w:t>
      </w:r>
      <w:r>
        <w:rPr/>
        <w:t>velocity</w:t>
      </w:r>
      <w:r>
        <w:rPr>
          <w:spacing w:val="-1"/>
        </w:rPr>
        <w:t> </w:t>
      </w:r>
      <w:r>
        <w:rPr/>
        <w:t>at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target</w:t>
      </w:r>
      <w:r>
        <w:rPr>
          <w:spacing w:val="-2"/>
        </w:rPr>
        <w:t> </w:t>
      </w:r>
      <w:r>
        <w:rPr/>
        <w:t>face</w:t>
        <w:tab/>
      </w:r>
      <w:r>
        <w:rPr>
          <w:spacing w:val="-2"/>
        </w:rPr>
        <w:t>157</w:t>
      </w:r>
    </w:p>
    <w:p>
      <w:pPr>
        <w:pStyle w:val="BodyText"/>
        <w:tabs>
          <w:tab w:pos="1879" w:val="left" w:leader="none"/>
          <w:tab w:pos="8719" w:val="left" w:leader="dot"/>
        </w:tabs>
        <w:spacing w:before="516"/>
        <w:ind w:left="1880" w:right="119" w:hanging="1440"/>
      </w:pPr>
      <w:r>
        <w:rPr/>
        <w:t>Figure</w:t>
      </w:r>
      <w:r>
        <w:rPr>
          <w:spacing w:val="-1"/>
        </w:rPr>
        <w:t> </w:t>
      </w:r>
      <w:r>
        <w:rPr/>
        <w:t>5.3</w:t>
        <w:tab/>
        <w:t>A</w:t>
      </w:r>
      <w:r>
        <w:rPr>
          <w:spacing w:val="9"/>
        </w:rPr>
        <w:t> </w:t>
      </w:r>
      <w:r>
        <w:rPr/>
        <w:t>CLT</w:t>
      </w:r>
      <w:r>
        <w:rPr>
          <w:spacing w:val="8"/>
        </w:rPr>
        <w:t> </w:t>
      </w:r>
      <w:r>
        <w:rPr/>
        <w:t>specimen</w:t>
      </w:r>
      <w:r>
        <w:rPr>
          <w:spacing w:val="11"/>
        </w:rPr>
        <w:t> </w:t>
      </w:r>
      <w:r>
        <w:rPr/>
        <w:t>mounted</w:t>
      </w:r>
      <w:r>
        <w:rPr>
          <w:spacing w:val="9"/>
        </w:rPr>
        <w:t> </w:t>
      </w:r>
      <w:r>
        <w:rPr/>
        <w:t>on</w:t>
      </w:r>
      <w:r>
        <w:rPr>
          <w:spacing w:val="7"/>
        </w:rPr>
        <w:t> </w:t>
      </w:r>
      <w:r>
        <w:rPr/>
        <w:t>the</w:t>
      </w:r>
      <w:r>
        <w:rPr>
          <w:spacing w:val="8"/>
        </w:rPr>
        <w:t> </w:t>
      </w:r>
      <w:r>
        <w:rPr/>
        <w:t>steel</w:t>
      </w:r>
      <w:r>
        <w:rPr>
          <w:spacing w:val="9"/>
        </w:rPr>
        <w:t> </w:t>
      </w:r>
      <w:r>
        <w:rPr/>
        <w:t>frame-lift</w:t>
      </w:r>
      <w:r>
        <w:rPr>
          <w:spacing w:val="10"/>
        </w:rPr>
        <w:t> </w:t>
      </w:r>
      <w:r>
        <w:rPr/>
        <w:t>base</w:t>
      </w:r>
      <w:r>
        <w:rPr>
          <w:spacing w:val="8"/>
        </w:rPr>
        <w:t> </w:t>
      </w:r>
      <w:r>
        <w:rPr/>
        <w:t>in</w:t>
      </w:r>
      <w:r>
        <w:rPr>
          <w:spacing w:val="8"/>
        </w:rPr>
        <w:t> </w:t>
      </w:r>
      <w:r>
        <w:rPr/>
        <w:t>preparation</w:t>
      </w:r>
      <w:r>
        <w:rPr>
          <w:spacing w:val="9"/>
        </w:rPr>
        <w:t> </w:t>
      </w:r>
      <w:r>
        <w:rPr/>
        <w:t>for</w:t>
      </w:r>
      <w:r>
        <w:rPr>
          <w:spacing w:val="6"/>
        </w:rPr>
        <w:t> </w:t>
      </w:r>
      <w:r>
        <w:rPr/>
        <w:t>a</w:t>
      </w:r>
      <w:r>
        <w:rPr>
          <w:spacing w:val="-57"/>
        </w:rPr>
        <w:t> </w:t>
      </w:r>
      <w:r>
        <w:rPr/>
        <w:t>test</w:t>
      </w:r>
      <w:r>
        <w:rPr>
          <w:spacing w:val="-1"/>
        </w:rPr>
        <w:t> </w:t>
      </w:r>
      <w:r>
        <w:rPr/>
        <w:t>shot</w:t>
        <w:tab/>
      </w:r>
      <w:r>
        <w:rPr>
          <w:spacing w:val="-2"/>
        </w:rPr>
        <w:t>158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79" w:right="119" w:hanging="1440"/>
      </w:pPr>
      <w:r>
        <w:rPr/>
        <w:t>Figure</w:t>
      </w:r>
      <w:r>
        <w:rPr>
          <w:spacing w:val="-1"/>
        </w:rPr>
        <w:t> </w:t>
      </w:r>
      <w:r>
        <w:rPr/>
        <w:t>5.4</w:t>
        <w:tab/>
        <w:t>Back of mount set-up is equipped with a ruler to help with acquiring</w:t>
      </w:r>
      <w:r>
        <w:rPr>
          <w:spacing w:val="1"/>
        </w:rPr>
        <w:t> </w:t>
      </w:r>
      <w:r>
        <w:rPr/>
        <w:t>residual</w:t>
      </w:r>
      <w:r>
        <w:rPr>
          <w:spacing w:val="-1"/>
        </w:rPr>
        <w:t> </w:t>
      </w:r>
      <w:r>
        <w:rPr/>
        <w:t>velocity</w:t>
      </w:r>
      <w:r>
        <w:rPr>
          <w:spacing w:val="-1"/>
        </w:rPr>
        <w:t> </w:t>
      </w:r>
      <w:r>
        <w:rPr/>
        <w:t>from</w:t>
      </w:r>
      <w:r>
        <w:rPr>
          <w:spacing w:val="-3"/>
        </w:rPr>
        <w:t> </w:t>
      </w:r>
      <w:r>
        <w:rPr/>
        <w:t>high-speed</w:t>
      </w:r>
      <w:r>
        <w:rPr>
          <w:spacing w:val="-1"/>
        </w:rPr>
        <w:t> </w:t>
      </w:r>
      <w:r>
        <w:rPr/>
        <w:t>video.</w:t>
        <w:tab/>
      </w:r>
      <w:r>
        <w:rPr>
          <w:spacing w:val="-2"/>
        </w:rPr>
        <w:t>159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40"/>
      </w:pPr>
      <w:r>
        <w:rPr/>
        <w:t>Figure</w:t>
      </w:r>
      <w:r>
        <w:rPr>
          <w:spacing w:val="-1"/>
        </w:rPr>
        <w:t> </w:t>
      </w:r>
      <w:r>
        <w:rPr/>
        <w:t>5.5</w:t>
        <w:tab/>
        <w:t>Schematic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ballistic</w:t>
      </w:r>
      <w:r>
        <w:rPr>
          <w:spacing w:val="-1"/>
        </w:rPr>
        <w:t> </w:t>
      </w:r>
      <w:r>
        <w:rPr/>
        <w:t>test</w:t>
      </w:r>
      <w:r>
        <w:rPr>
          <w:spacing w:val="-1"/>
        </w:rPr>
        <w:t> </w:t>
      </w:r>
      <w:r>
        <w:rPr/>
        <w:t>set-up.</w:t>
        <w:tab/>
        <w:t>161</w:t>
      </w:r>
    </w:p>
    <w:p>
      <w:pPr>
        <w:pStyle w:val="BodyText"/>
        <w:tabs>
          <w:tab w:pos="1879" w:val="left" w:leader="none"/>
          <w:tab w:pos="8719" w:val="left" w:leader="dot"/>
        </w:tabs>
        <w:spacing w:before="476"/>
        <w:ind w:left="1879" w:right="119" w:hanging="1440"/>
      </w:pPr>
      <w:r>
        <w:rPr/>
        <w:t>Figure</w:t>
      </w:r>
      <w:r>
        <w:rPr>
          <w:spacing w:val="-1"/>
        </w:rPr>
        <w:t> </w:t>
      </w:r>
      <w:r>
        <w:rPr/>
        <w:t>5.6</w:t>
        <w:tab/>
        <w:t>Spruce Pine Fir-South data shown with linear and quadratic regression</w:t>
      </w:r>
      <w:r>
        <w:rPr>
          <w:spacing w:val="1"/>
        </w:rPr>
        <w:t> </w:t>
      </w:r>
      <w:r>
        <w:rPr/>
        <w:t>lines.</w:t>
        <w:tab/>
      </w:r>
      <w:r>
        <w:rPr>
          <w:spacing w:val="-2"/>
        </w:rPr>
        <w:t>164</w:t>
      </w:r>
    </w:p>
    <w:p>
      <w:pPr>
        <w:spacing w:after="0"/>
        <w:sectPr>
          <w:pgSz w:w="12240" w:h="15840"/>
          <w:pgMar w:header="0" w:footer="984" w:top="1500" w:bottom="1260" w:left="1720" w:right="1320"/>
        </w:sectPr>
      </w:pPr>
    </w:p>
    <w:p>
      <w:pPr>
        <w:pStyle w:val="BodyText"/>
        <w:tabs>
          <w:tab w:pos="1879" w:val="left" w:leader="none"/>
          <w:tab w:pos="8719" w:val="left" w:leader="dot"/>
        </w:tabs>
        <w:spacing w:before="78"/>
        <w:ind w:left="1880" w:right="119" w:hanging="1440"/>
      </w:pPr>
      <w:r>
        <w:rPr/>
        <w:t>Figure</w:t>
      </w:r>
      <w:r>
        <w:rPr>
          <w:spacing w:val="-1"/>
        </w:rPr>
        <w:t> </w:t>
      </w:r>
      <w:r>
        <w:rPr/>
        <w:t>5.7</w:t>
        <w:tab/>
        <w:t>Southern Yellow Pine data shown with linear and quadratic regression</w:t>
      </w:r>
      <w:r>
        <w:rPr>
          <w:spacing w:val="1"/>
        </w:rPr>
        <w:t> </w:t>
      </w:r>
      <w:r>
        <w:rPr/>
        <w:t>lines.</w:t>
        <w:tab/>
      </w:r>
      <w:r>
        <w:rPr>
          <w:spacing w:val="-2"/>
        </w:rPr>
        <w:t>165</w:t>
      </w:r>
    </w:p>
    <w:p>
      <w:pPr>
        <w:pStyle w:val="BodyText"/>
        <w:tabs>
          <w:tab w:pos="1879" w:val="left" w:leader="none"/>
        </w:tabs>
        <w:spacing w:before="276"/>
        <w:ind w:left="440"/>
      </w:pPr>
      <w:r>
        <w:rPr/>
        <w:t>Figure</w:t>
      </w:r>
      <w:r>
        <w:rPr>
          <w:spacing w:val="-1"/>
        </w:rPr>
        <w:t> </w:t>
      </w:r>
      <w:r>
        <w:rPr/>
        <w:t>5.8</w:t>
        <w:tab/>
        <w:t>UFC</w:t>
      </w:r>
      <w:r>
        <w:rPr>
          <w:spacing w:val="-2"/>
        </w:rPr>
        <w:t> </w:t>
      </w:r>
      <w:r>
        <w:rPr/>
        <w:t>equation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required</w:t>
      </w:r>
      <w:r>
        <w:rPr>
          <w:spacing w:val="-1"/>
        </w:rPr>
        <w:t> </w:t>
      </w:r>
      <w:r>
        <w:rPr/>
        <w:t>wood thickness</w:t>
      </w:r>
      <w:r>
        <w:rPr>
          <w:spacing w:val="-1"/>
        </w:rPr>
        <w:t> </w:t>
      </w:r>
      <w:r>
        <w:rPr/>
        <w:t>compared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CLT</w:t>
      </w:r>
      <w:r>
        <w:rPr>
          <w:spacing w:val="-2"/>
        </w:rPr>
        <w:t> </w:t>
      </w:r>
      <w:r>
        <w:rPr/>
        <w:t>test</w:t>
      </w:r>
      <w:r>
        <w:rPr>
          <w:spacing w:val="-1"/>
        </w:rPr>
        <w:t> </w:t>
      </w:r>
      <w:r>
        <w:rPr/>
        <w:t>data</w:t>
      </w:r>
      <w:r>
        <w:rPr>
          <w:spacing w:val="58"/>
        </w:rPr>
        <w:t> </w:t>
      </w:r>
      <w:r>
        <w:rPr/>
        <w:t>166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79" w:right="119" w:hanging="1440"/>
      </w:pPr>
      <w:r>
        <w:rPr/>
        <w:t>Figure</w:t>
      </w:r>
      <w:r>
        <w:rPr>
          <w:spacing w:val="-1"/>
        </w:rPr>
        <w:t> </w:t>
      </w:r>
      <w:r>
        <w:rPr/>
        <w:t>5.9</w:t>
        <w:tab/>
        <w:t>Mathcad software aids in use of Levenberg-Marquardt algorithm to solve</w:t>
      </w:r>
      <w:r>
        <w:rPr>
          <w:spacing w:val="1"/>
        </w:rPr>
        <w:t> </w:t>
      </w:r>
      <w:r>
        <w:rPr/>
        <w:t>for</w:t>
      </w:r>
      <w:r>
        <w:rPr>
          <w:spacing w:val="-1"/>
        </w:rPr>
        <w:t> </w:t>
      </w:r>
      <w:r>
        <w:rPr/>
        <w:t>parameters.</w:t>
        <w:tab/>
      </w:r>
      <w:r>
        <w:rPr>
          <w:spacing w:val="-2"/>
        </w:rPr>
        <w:t>171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39"/>
      </w:pPr>
      <w:r>
        <w:rPr/>
        <w:t>Figure</w:t>
      </w:r>
      <w:r>
        <w:rPr>
          <w:spacing w:val="-1"/>
        </w:rPr>
        <w:t> </w:t>
      </w:r>
      <w:r>
        <w:rPr/>
        <w:t>5.10</w:t>
        <w:tab/>
        <w:t>Revised</w:t>
      </w:r>
      <w:r>
        <w:rPr>
          <w:spacing w:val="-1"/>
        </w:rPr>
        <w:t> </w:t>
      </w:r>
      <w:r>
        <w:rPr/>
        <w:t>UFC</w:t>
      </w:r>
      <w:r>
        <w:rPr>
          <w:spacing w:val="-2"/>
        </w:rPr>
        <w:t> </w:t>
      </w:r>
      <w:r>
        <w:rPr/>
        <w:t>Equation</w:t>
      </w:r>
      <w:r>
        <w:rPr>
          <w:spacing w:val="-1"/>
        </w:rPr>
        <w:t> </w:t>
      </w:r>
      <w:r>
        <w:rPr/>
        <w:t>recalibrated</w:t>
      </w:r>
      <w:r>
        <w:rPr>
          <w:spacing w:val="-2"/>
        </w:rPr>
        <w:t> </w:t>
      </w:r>
      <w:r>
        <w:rPr/>
        <w:t>for</w:t>
      </w:r>
      <w:r>
        <w:rPr>
          <w:spacing w:val="-1"/>
        </w:rPr>
        <w:t> </w:t>
      </w:r>
      <w:r>
        <w:rPr/>
        <w:t>CLT</w:t>
      </w:r>
      <w:r>
        <w:rPr>
          <w:spacing w:val="-2"/>
        </w:rPr>
        <w:t> </w:t>
      </w:r>
      <w:r>
        <w:rPr/>
        <w:t>data</w:t>
        <w:tab/>
        <w:t>173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39"/>
      </w:pPr>
      <w:r>
        <w:rPr/>
        <w:t>Figure</w:t>
      </w:r>
      <w:r>
        <w:rPr>
          <w:spacing w:val="-1"/>
        </w:rPr>
        <w:t> </w:t>
      </w:r>
      <w:r>
        <w:rPr/>
        <w:t>5.11</w:t>
        <w:tab/>
        <w:t>SPF-S</w:t>
      </w:r>
      <w:r>
        <w:rPr>
          <w:spacing w:val="-2"/>
        </w:rPr>
        <w:t> </w:t>
      </w:r>
      <w:r>
        <w:rPr/>
        <w:t>only</w:t>
      </w:r>
      <w:r>
        <w:rPr>
          <w:spacing w:val="-1"/>
        </w:rPr>
        <w:t> </w:t>
      </w:r>
      <w:r>
        <w:rPr/>
        <w:t>revised</w:t>
      </w:r>
      <w:r>
        <w:rPr>
          <w:spacing w:val="-1"/>
        </w:rPr>
        <w:t> </w:t>
      </w:r>
      <w:r>
        <w:rPr/>
        <w:t>UFC</w:t>
      </w:r>
      <w:r>
        <w:rPr>
          <w:spacing w:val="-2"/>
        </w:rPr>
        <w:t> </w:t>
      </w:r>
      <w:r>
        <w:rPr/>
        <w:t>equation</w:t>
      </w:r>
      <w:r>
        <w:rPr>
          <w:spacing w:val="-1"/>
        </w:rPr>
        <w:t> </w:t>
      </w:r>
      <w:r>
        <w:rPr/>
        <w:t>model</w:t>
      </w:r>
      <w:r>
        <w:rPr>
          <w:spacing w:val="-1"/>
        </w:rPr>
        <w:t> </w:t>
      </w:r>
      <w:r>
        <w:rPr/>
        <w:t>shown</w:t>
      </w:r>
      <w:r>
        <w:rPr>
          <w:spacing w:val="-1"/>
        </w:rPr>
        <w:t> </w:t>
      </w:r>
      <w:r>
        <w:rPr/>
        <w:t>with</w:t>
      </w:r>
      <w:r>
        <w:rPr>
          <w:spacing w:val="-1"/>
        </w:rPr>
        <w:t> </w:t>
      </w:r>
      <w:r>
        <w:rPr/>
        <w:t>SPF-S</w:t>
      </w:r>
      <w:r>
        <w:rPr>
          <w:spacing w:val="-2"/>
        </w:rPr>
        <w:t> </w:t>
      </w:r>
      <w:r>
        <w:rPr/>
        <w:t>data.</w:t>
        <w:tab/>
        <w:t>174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39"/>
      </w:pPr>
      <w:r>
        <w:rPr/>
        <w:t>Figure</w:t>
      </w:r>
      <w:r>
        <w:rPr>
          <w:spacing w:val="-1"/>
        </w:rPr>
        <w:t> </w:t>
      </w:r>
      <w:r>
        <w:rPr/>
        <w:t>5.12</w:t>
        <w:tab/>
        <w:t>SYP</w:t>
      </w:r>
      <w:r>
        <w:rPr>
          <w:spacing w:val="-2"/>
        </w:rPr>
        <w:t> </w:t>
      </w:r>
      <w:r>
        <w:rPr/>
        <w:t>only</w:t>
      </w:r>
      <w:r>
        <w:rPr>
          <w:spacing w:val="-1"/>
        </w:rPr>
        <w:t> </w:t>
      </w:r>
      <w:r>
        <w:rPr/>
        <w:t>revised</w:t>
      </w:r>
      <w:r>
        <w:rPr>
          <w:spacing w:val="-1"/>
        </w:rPr>
        <w:t> </w:t>
      </w:r>
      <w:r>
        <w:rPr/>
        <w:t>UFC</w:t>
      </w:r>
      <w:r>
        <w:rPr>
          <w:spacing w:val="-2"/>
        </w:rPr>
        <w:t> </w:t>
      </w:r>
      <w:r>
        <w:rPr/>
        <w:t>equation</w:t>
      </w:r>
      <w:r>
        <w:rPr>
          <w:spacing w:val="-1"/>
        </w:rPr>
        <w:t> </w:t>
      </w:r>
      <w:r>
        <w:rPr/>
        <w:t>model</w:t>
      </w:r>
      <w:r>
        <w:rPr>
          <w:spacing w:val="-1"/>
        </w:rPr>
        <w:t> </w:t>
      </w:r>
      <w:r>
        <w:rPr/>
        <w:t>shown</w:t>
      </w:r>
      <w:r>
        <w:rPr>
          <w:spacing w:val="-1"/>
        </w:rPr>
        <w:t> </w:t>
      </w:r>
      <w:r>
        <w:rPr/>
        <w:t>with</w:t>
      </w:r>
      <w:r>
        <w:rPr>
          <w:spacing w:val="-1"/>
        </w:rPr>
        <w:t> </w:t>
      </w:r>
      <w:r>
        <w:rPr/>
        <w:t>SYP</w:t>
      </w:r>
      <w:r>
        <w:rPr>
          <w:spacing w:val="-2"/>
        </w:rPr>
        <w:t> </w:t>
      </w:r>
      <w:r>
        <w:rPr/>
        <w:t>data</w:t>
        <w:tab/>
        <w:t>175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39"/>
      </w:pPr>
      <w:r>
        <w:rPr/>
        <w:t>Figure</w:t>
      </w:r>
      <w:r>
        <w:rPr>
          <w:spacing w:val="-1"/>
        </w:rPr>
        <w:t> </w:t>
      </w:r>
      <w:r>
        <w:rPr/>
        <w:t>5.13</w:t>
        <w:tab/>
        <w:t>Euler-Robbins</w:t>
      </w:r>
      <w:r>
        <w:rPr>
          <w:spacing w:val="-1"/>
        </w:rPr>
        <w:t> </w:t>
      </w:r>
      <w:r>
        <w:rPr/>
        <w:t>model</w:t>
      </w:r>
      <w:r>
        <w:rPr>
          <w:spacing w:val="-1"/>
        </w:rPr>
        <w:t> </w:t>
      </w:r>
      <w:r>
        <w:rPr/>
        <w:t>calibrated</w:t>
      </w:r>
      <w:r>
        <w:rPr>
          <w:spacing w:val="-2"/>
        </w:rPr>
        <w:t> </w:t>
      </w:r>
      <w:r>
        <w:rPr/>
        <w:t>with</w:t>
      </w:r>
      <w:r>
        <w:rPr>
          <w:spacing w:val="-3"/>
        </w:rPr>
        <w:t> </w:t>
      </w:r>
      <w:r>
        <w:rPr/>
        <w:t>CLT</w:t>
      </w:r>
      <w:r>
        <w:rPr>
          <w:spacing w:val="-2"/>
        </w:rPr>
        <w:t> </w:t>
      </w:r>
      <w:r>
        <w:rPr/>
        <w:t>data</w:t>
        <w:tab/>
        <w:t>178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39"/>
      </w:pPr>
      <w:r>
        <w:rPr/>
        <w:t>Figure</w:t>
      </w:r>
      <w:r>
        <w:rPr>
          <w:spacing w:val="-1"/>
        </w:rPr>
        <w:t> </w:t>
      </w:r>
      <w:r>
        <w:rPr/>
        <w:t>5.14</w:t>
        <w:tab/>
        <w:t>Poncelet</w:t>
      </w:r>
      <w:r>
        <w:rPr>
          <w:spacing w:val="-2"/>
        </w:rPr>
        <w:t> </w:t>
      </w:r>
      <w:r>
        <w:rPr/>
        <w:t>equation</w:t>
      </w:r>
      <w:r>
        <w:rPr>
          <w:spacing w:val="-1"/>
        </w:rPr>
        <w:t> </w:t>
      </w:r>
      <w:r>
        <w:rPr/>
        <w:t>calibrated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CLT</w:t>
      </w:r>
      <w:r>
        <w:rPr>
          <w:spacing w:val="-3"/>
        </w:rPr>
        <w:t> </w:t>
      </w:r>
      <w:r>
        <w:rPr/>
        <w:t>data.</w:t>
        <w:tab/>
        <w:t>180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39"/>
      </w:pPr>
      <w:r>
        <w:rPr/>
        <w:t>Figure</w:t>
      </w:r>
      <w:r>
        <w:rPr>
          <w:spacing w:val="-1"/>
        </w:rPr>
        <w:t> </w:t>
      </w:r>
      <w:r>
        <w:rPr/>
        <w:t>5.15</w:t>
        <w:tab/>
        <w:t>Variant</w:t>
      </w:r>
      <w:r>
        <w:rPr>
          <w:spacing w:val="-1"/>
        </w:rPr>
        <w:t> </w:t>
      </w:r>
      <w:r>
        <w:rPr/>
        <w:t>1 of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Poncelet</w:t>
      </w:r>
      <w:r>
        <w:rPr>
          <w:spacing w:val="-1"/>
        </w:rPr>
        <w:t> </w:t>
      </w:r>
      <w:r>
        <w:rPr/>
        <w:t>equation</w:t>
      </w:r>
      <w:r>
        <w:rPr>
          <w:spacing w:val="-3"/>
        </w:rPr>
        <w:t> </w:t>
      </w:r>
      <w:r>
        <w:rPr/>
        <w:t>calibrated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CLT</w:t>
      </w:r>
      <w:r>
        <w:rPr>
          <w:spacing w:val="-1"/>
        </w:rPr>
        <w:t> </w:t>
      </w:r>
      <w:r>
        <w:rPr/>
        <w:t>data</w:t>
        <w:tab/>
        <w:t>180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39"/>
      </w:pPr>
      <w:r>
        <w:rPr/>
        <w:t>Figure</w:t>
      </w:r>
      <w:r>
        <w:rPr>
          <w:spacing w:val="-1"/>
        </w:rPr>
        <w:t> </w:t>
      </w:r>
      <w:r>
        <w:rPr/>
        <w:t>5.16</w:t>
        <w:tab/>
        <w:t>Variant</w:t>
      </w:r>
      <w:r>
        <w:rPr>
          <w:spacing w:val="-1"/>
        </w:rPr>
        <w:t> </w:t>
      </w:r>
      <w:r>
        <w:rPr/>
        <w:t>2 of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Poncelet</w:t>
      </w:r>
      <w:r>
        <w:rPr>
          <w:spacing w:val="-1"/>
        </w:rPr>
        <w:t> </w:t>
      </w:r>
      <w:r>
        <w:rPr/>
        <w:t>equation</w:t>
      </w:r>
      <w:r>
        <w:rPr>
          <w:spacing w:val="-3"/>
        </w:rPr>
        <w:t> </w:t>
      </w:r>
      <w:r>
        <w:rPr/>
        <w:t>calibrated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CLT</w:t>
      </w:r>
      <w:r>
        <w:rPr>
          <w:spacing w:val="-1"/>
        </w:rPr>
        <w:t> </w:t>
      </w:r>
      <w:r>
        <w:rPr/>
        <w:t>data</w:t>
        <w:tab/>
        <w:t>181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79" w:right="117" w:hanging="1440"/>
      </w:pPr>
      <w:r>
        <w:rPr/>
        <w:t>Figure</w:t>
      </w:r>
      <w:r>
        <w:rPr>
          <w:spacing w:val="-1"/>
        </w:rPr>
        <w:t> </w:t>
      </w:r>
      <w:r>
        <w:rPr/>
        <w:t>5.17</w:t>
        <w:tab/>
        <w:t>A</w:t>
      </w:r>
      <w:r>
        <w:rPr>
          <w:spacing w:val="17"/>
        </w:rPr>
        <w:t> </w:t>
      </w:r>
      <w:r>
        <w:rPr/>
        <w:t>comparison</w:t>
      </w:r>
      <w:r>
        <w:rPr>
          <w:spacing w:val="18"/>
        </w:rPr>
        <w:t> </w:t>
      </w:r>
      <w:r>
        <w:rPr/>
        <w:t>of</w:t>
      </w:r>
      <w:r>
        <w:rPr>
          <w:spacing w:val="16"/>
        </w:rPr>
        <w:t> </w:t>
      </w:r>
      <w:r>
        <w:rPr/>
        <w:t>the</w:t>
      </w:r>
      <w:r>
        <w:rPr>
          <w:spacing w:val="18"/>
        </w:rPr>
        <w:t> </w:t>
      </w:r>
      <w:r>
        <w:rPr/>
        <w:t>variations</w:t>
      </w:r>
      <w:r>
        <w:rPr>
          <w:spacing w:val="18"/>
        </w:rPr>
        <w:t> </w:t>
      </w:r>
      <w:r>
        <w:rPr/>
        <w:t>of</w:t>
      </w:r>
      <w:r>
        <w:rPr>
          <w:spacing w:val="16"/>
        </w:rPr>
        <w:t> </w:t>
      </w:r>
      <w:r>
        <w:rPr/>
        <w:t>Poncelet</w:t>
      </w:r>
      <w:r>
        <w:rPr>
          <w:spacing w:val="18"/>
        </w:rPr>
        <w:t> </w:t>
      </w:r>
      <w:r>
        <w:rPr/>
        <w:t>equation</w:t>
      </w:r>
      <w:r>
        <w:rPr>
          <w:spacing w:val="18"/>
        </w:rPr>
        <w:t> </w:t>
      </w:r>
      <w:r>
        <w:rPr/>
        <w:t>models</w:t>
      </w:r>
      <w:r>
        <w:rPr>
          <w:spacing w:val="17"/>
        </w:rPr>
        <w:t> </w:t>
      </w:r>
      <w:r>
        <w:rPr/>
        <w:t>calibrated</w:t>
      </w:r>
      <w:r>
        <w:rPr>
          <w:spacing w:val="17"/>
        </w:rPr>
        <w:t> </w:t>
      </w:r>
      <w:r>
        <w:rPr/>
        <w:t>to</w:t>
      </w:r>
      <w:r>
        <w:rPr>
          <w:spacing w:val="-57"/>
        </w:rPr>
        <w:t> </w:t>
      </w:r>
      <w:r>
        <w:rPr/>
        <w:t>the</w:t>
      </w:r>
      <w:r>
        <w:rPr>
          <w:spacing w:val="-1"/>
        </w:rPr>
        <w:t> </w:t>
      </w:r>
      <w:r>
        <w:rPr/>
        <w:t>CLT</w:t>
      </w:r>
      <w:r>
        <w:rPr>
          <w:spacing w:val="-2"/>
        </w:rPr>
        <w:t> </w:t>
      </w:r>
      <w:r>
        <w:rPr/>
        <w:t>data.</w:t>
        <w:tab/>
      </w:r>
      <w:r>
        <w:rPr>
          <w:spacing w:val="-2"/>
        </w:rPr>
        <w:t>181</w:t>
      </w:r>
    </w:p>
    <w:p>
      <w:pPr>
        <w:pStyle w:val="BodyText"/>
        <w:tabs>
          <w:tab w:pos="1879" w:val="left" w:leader="none"/>
          <w:tab w:pos="8719" w:val="left" w:leader="dot"/>
        </w:tabs>
        <w:spacing w:before="275"/>
        <w:ind w:left="439"/>
      </w:pPr>
      <w:r>
        <w:rPr/>
        <w:t>Figure</w:t>
      </w:r>
      <w:r>
        <w:rPr>
          <w:spacing w:val="-1"/>
        </w:rPr>
        <w:t> </w:t>
      </w:r>
      <w:r>
        <w:rPr/>
        <w:t>5.18</w:t>
        <w:tab/>
        <w:t>Resal</w:t>
      </w:r>
      <w:r>
        <w:rPr>
          <w:spacing w:val="-1"/>
        </w:rPr>
        <w:t> </w:t>
      </w:r>
      <w:r>
        <w:rPr/>
        <w:t>equation</w:t>
      </w:r>
      <w:r>
        <w:rPr>
          <w:spacing w:val="-1"/>
        </w:rPr>
        <w:t> </w:t>
      </w:r>
      <w:r>
        <w:rPr/>
        <w:t>calibrated</w:t>
      </w:r>
      <w:r>
        <w:rPr>
          <w:spacing w:val="-1"/>
        </w:rPr>
        <w:t> </w:t>
      </w:r>
      <w:r>
        <w:rPr/>
        <w:t>to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CLT</w:t>
      </w:r>
      <w:r>
        <w:rPr>
          <w:spacing w:val="-2"/>
        </w:rPr>
        <w:t> </w:t>
      </w:r>
      <w:r>
        <w:rPr/>
        <w:t>data.</w:t>
        <w:tab/>
        <w:t>183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79" w:right="119" w:hanging="1440"/>
      </w:pPr>
      <w:r>
        <w:rPr/>
        <w:t>Figure</w:t>
      </w:r>
      <w:r>
        <w:rPr>
          <w:spacing w:val="-1"/>
        </w:rPr>
        <w:t> </w:t>
      </w:r>
      <w:r>
        <w:rPr/>
        <w:t>5.19</w:t>
        <w:tab/>
        <w:t>A comparison of the three classic penetration models calibrated to CLT</w:t>
      </w:r>
      <w:r>
        <w:rPr>
          <w:spacing w:val="1"/>
        </w:rPr>
        <w:t> </w:t>
      </w:r>
      <w:r>
        <w:rPr/>
        <w:t>data.</w:t>
        <w:tab/>
      </w:r>
      <w:r>
        <w:rPr>
          <w:spacing w:val="-2"/>
        </w:rPr>
        <w:t>185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39"/>
      </w:pPr>
      <w:r>
        <w:rPr/>
        <w:t>Figure</w:t>
      </w:r>
      <w:r>
        <w:rPr>
          <w:spacing w:val="-1"/>
        </w:rPr>
        <w:t> </w:t>
      </w:r>
      <w:r>
        <w:rPr/>
        <w:t>5.20</w:t>
        <w:tab/>
        <w:t>The</w:t>
      </w:r>
      <w:r>
        <w:rPr>
          <w:spacing w:val="-1"/>
        </w:rPr>
        <w:t> </w:t>
      </w:r>
      <w:r>
        <w:rPr/>
        <w:t>force</w:t>
      </w:r>
      <w:r>
        <w:rPr>
          <w:spacing w:val="-1"/>
        </w:rPr>
        <w:t> </w:t>
      </w:r>
      <w:r>
        <w:rPr/>
        <w:t>law</w:t>
      </w:r>
      <w:r>
        <w:rPr>
          <w:spacing w:val="-1"/>
        </w:rPr>
        <w:t> </w:t>
      </w:r>
      <w:r>
        <w:rPr/>
        <w:t>model</w:t>
      </w:r>
      <w:r>
        <w:rPr>
          <w:spacing w:val="-1"/>
        </w:rPr>
        <w:t> </w:t>
      </w:r>
      <w:r>
        <w:rPr/>
        <w:t>shown</w:t>
      </w:r>
      <w:r>
        <w:rPr>
          <w:spacing w:val="-1"/>
        </w:rPr>
        <w:t> </w:t>
      </w:r>
      <w:r>
        <w:rPr/>
        <w:t>calibrated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CLT</w:t>
      </w:r>
      <w:r>
        <w:rPr>
          <w:spacing w:val="-2"/>
        </w:rPr>
        <w:t> </w:t>
      </w:r>
      <w:r>
        <w:rPr/>
        <w:t>data</w:t>
        <w:tab/>
        <w:t>186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39"/>
      </w:pPr>
      <w:r>
        <w:rPr/>
        <w:t>Figure</w:t>
      </w:r>
      <w:r>
        <w:rPr>
          <w:spacing w:val="-1"/>
        </w:rPr>
        <w:t> </w:t>
      </w:r>
      <w:r>
        <w:rPr/>
        <w:t>5.21</w:t>
        <w:tab/>
        <w:t>The</w:t>
      </w:r>
      <w:r>
        <w:rPr>
          <w:spacing w:val="-1"/>
        </w:rPr>
        <w:t> </w:t>
      </w:r>
      <w:r>
        <w:rPr/>
        <w:t>force</w:t>
      </w:r>
      <w:r>
        <w:rPr>
          <w:spacing w:val="-1"/>
        </w:rPr>
        <w:t> </w:t>
      </w:r>
      <w:r>
        <w:rPr/>
        <w:t>law</w:t>
      </w:r>
      <w:r>
        <w:rPr>
          <w:spacing w:val="-1"/>
        </w:rPr>
        <w:t> </w:t>
      </w:r>
      <w:r>
        <w:rPr/>
        <w:t>model</w:t>
      </w:r>
      <w:r>
        <w:rPr>
          <w:spacing w:val="-1"/>
        </w:rPr>
        <w:t> </w:t>
      </w:r>
      <w:r>
        <w:rPr/>
        <w:t>calibrated</w:t>
      </w:r>
      <w:r>
        <w:rPr>
          <w:spacing w:val="-1"/>
        </w:rPr>
        <w:t> </w:t>
      </w:r>
      <w:r>
        <w:rPr/>
        <w:t>to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SPF-S</w:t>
      </w:r>
      <w:r>
        <w:rPr>
          <w:spacing w:val="-2"/>
        </w:rPr>
        <w:t> </w:t>
      </w:r>
      <w:r>
        <w:rPr/>
        <w:t>data</w:t>
      </w:r>
      <w:r>
        <w:rPr>
          <w:spacing w:val="-1"/>
        </w:rPr>
        <w:t> </w:t>
      </w:r>
      <w:r>
        <w:rPr/>
        <w:t>only.</w:t>
        <w:tab/>
        <w:t>187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39"/>
      </w:pPr>
      <w:r>
        <w:rPr/>
        <w:t>Figure</w:t>
      </w:r>
      <w:r>
        <w:rPr>
          <w:spacing w:val="-1"/>
        </w:rPr>
        <w:t> </w:t>
      </w:r>
      <w:r>
        <w:rPr/>
        <w:t>5.22</w:t>
        <w:tab/>
        <w:t>The</w:t>
      </w:r>
      <w:r>
        <w:rPr>
          <w:spacing w:val="-1"/>
        </w:rPr>
        <w:t> </w:t>
      </w:r>
      <w:r>
        <w:rPr/>
        <w:t>force</w:t>
      </w:r>
      <w:r>
        <w:rPr>
          <w:spacing w:val="-1"/>
        </w:rPr>
        <w:t> </w:t>
      </w:r>
      <w:r>
        <w:rPr/>
        <w:t>law</w:t>
      </w:r>
      <w:r>
        <w:rPr>
          <w:spacing w:val="-1"/>
        </w:rPr>
        <w:t> </w:t>
      </w:r>
      <w:r>
        <w:rPr/>
        <w:t>model</w:t>
      </w:r>
      <w:r>
        <w:rPr>
          <w:spacing w:val="-1"/>
        </w:rPr>
        <w:t> </w:t>
      </w:r>
      <w:r>
        <w:rPr/>
        <w:t>calibrated</w:t>
      </w:r>
      <w:r>
        <w:rPr>
          <w:spacing w:val="-1"/>
        </w:rPr>
        <w:t> </w:t>
      </w:r>
      <w:r>
        <w:rPr/>
        <w:t>to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SYP</w:t>
      </w:r>
      <w:r>
        <w:rPr>
          <w:spacing w:val="-2"/>
        </w:rPr>
        <w:t> </w:t>
      </w:r>
      <w:r>
        <w:rPr/>
        <w:t>data</w:t>
      </w:r>
      <w:r>
        <w:rPr>
          <w:spacing w:val="-1"/>
        </w:rPr>
        <w:t> </w:t>
      </w:r>
      <w:r>
        <w:rPr/>
        <w:t>only.</w:t>
        <w:tab/>
        <w:t>188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39"/>
      </w:pPr>
      <w:r>
        <w:rPr/>
        <w:t>Figure</w:t>
      </w:r>
      <w:r>
        <w:rPr>
          <w:spacing w:val="-1"/>
        </w:rPr>
        <w:t> </w:t>
      </w:r>
      <w:r>
        <w:rPr/>
        <w:t>5.23</w:t>
        <w:tab/>
        <w:t>The</w:t>
      </w:r>
      <w:r>
        <w:rPr>
          <w:spacing w:val="-1"/>
        </w:rPr>
        <w:t> </w:t>
      </w:r>
      <w:r>
        <w:rPr/>
        <w:t>force</w:t>
      </w:r>
      <w:r>
        <w:rPr>
          <w:spacing w:val="-1"/>
        </w:rPr>
        <w:t> </w:t>
      </w:r>
      <w:r>
        <w:rPr/>
        <w:t>law</w:t>
      </w:r>
      <w:r>
        <w:rPr>
          <w:spacing w:val="-1"/>
        </w:rPr>
        <w:t> </w:t>
      </w:r>
      <w:r>
        <w:rPr/>
        <w:t>model</w:t>
      </w:r>
      <w:r>
        <w:rPr>
          <w:spacing w:val="-2"/>
        </w:rPr>
        <w:t> </w:t>
      </w:r>
      <w:r>
        <w:rPr/>
        <w:t>calibrated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different</w:t>
      </w:r>
      <w:r>
        <w:rPr>
          <w:spacing w:val="-1"/>
        </w:rPr>
        <w:t> </w:t>
      </w:r>
      <w:r>
        <w:rPr/>
        <w:t>data</w:t>
      </w:r>
      <w:r>
        <w:rPr>
          <w:spacing w:val="-2"/>
        </w:rPr>
        <w:t> </w:t>
      </w:r>
      <w:r>
        <w:rPr/>
        <w:t>sets.</w:t>
        <w:tab/>
        <w:t>189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39"/>
      </w:pPr>
      <w:r>
        <w:rPr/>
        <w:t>Figure</w:t>
      </w:r>
      <w:r>
        <w:rPr>
          <w:spacing w:val="-1"/>
        </w:rPr>
        <w:t> </w:t>
      </w:r>
      <w:r>
        <w:rPr/>
        <w:t>5.24</w:t>
        <w:tab/>
        <w:t>The</w:t>
      </w:r>
      <w:r>
        <w:rPr>
          <w:spacing w:val="-1"/>
        </w:rPr>
        <w:t> </w:t>
      </w:r>
      <w:r>
        <w:rPr/>
        <w:t>general</w:t>
      </w:r>
      <w:r>
        <w:rPr>
          <w:spacing w:val="-2"/>
        </w:rPr>
        <w:t> </w:t>
      </w:r>
      <w:r>
        <w:rPr/>
        <w:t>THOR</w:t>
      </w:r>
      <w:r>
        <w:rPr>
          <w:spacing w:val="-2"/>
        </w:rPr>
        <w:t> </w:t>
      </w:r>
      <w:r>
        <w:rPr/>
        <w:t>equation</w:t>
      </w:r>
      <w:r>
        <w:rPr>
          <w:spacing w:val="-1"/>
        </w:rPr>
        <w:t> </w:t>
      </w:r>
      <w:r>
        <w:rPr/>
        <w:t>calibrated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CLT</w:t>
      </w:r>
      <w:r>
        <w:rPr>
          <w:spacing w:val="-2"/>
        </w:rPr>
        <w:t> </w:t>
      </w:r>
      <w:r>
        <w:rPr/>
        <w:t>data</w:t>
        <w:tab/>
        <w:t>191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39"/>
      </w:pPr>
      <w:r>
        <w:rPr/>
        <w:t>Figure</w:t>
      </w:r>
      <w:r>
        <w:rPr>
          <w:spacing w:val="-1"/>
        </w:rPr>
        <w:t> </w:t>
      </w:r>
      <w:r>
        <w:rPr/>
        <w:t>5.25</w:t>
        <w:tab/>
        <w:t>The</w:t>
      </w:r>
      <w:r>
        <w:rPr>
          <w:spacing w:val="-1"/>
        </w:rPr>
        <w:t> </w:t>
      </w:r>
      <w:r>
        <w:rPr/>
        <w:t>general</w:t>
      </w:r>
      <w:r>
        <w:rPr>
          <w:spacing w:val="-2"/>
        </w:rPr>
        <w:t> </w:t>
      </w:r>
      <w:r>
        <w:rPr/>
        <w:t>THOR</w:t>
      </w:r>
      <w:r>
        <w:rPr>
          <w:spacing w:val="-1"/>
        </w:rPr>
        <w:t> </w:t>
      </w:r>
      <w:r>
        <w:rPr/>
        <w:t>model</w:t>
      </w:r>
      <w:r>
        <w:rPr>
          <w:spacing w:val="-1"/>
        </w:rPr>
        <w:t> </w:t>
      </w:r>
      <w:r>
        <w:rPr/>
        <w:t>compared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previous</w:t>
      </w:r>
      <w:r>
        <w:rPr>
          <w:spacing w:val="-2"/>
        </w:rPr>
        <w:t> </w:t>
      </w:r>
      <w:r>
        <w:rPr/>
        <w:t>models</w:t>
        <w:tab/>
        <w:t>192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39"/>
      </w:pPr>
      <w:r>
        <w:rPr/>
        <w:t>Figure</w:t>
      </w:r>
      <w:r>
        <w:rPr>
          <w:spacing w:val="-1"/>
        </w:rPr>
        <w:t> </w:t>
      </w:r>
      <w:r>
        <w:rPr/>
        <w:t>5.26</w:t>
        <w:tab/>
        <w:t>A</w:t>
      </w:r>
      <w:r>
        <w:rPr>
          <w:spacing w:val="-2"/>
        </w:rPr>
        <w:t> </w:t>
      </w:r>
      <w:r>
        <w:rPr/>
        <w:t>new</w:t>
      </w:r>
      <w:r>
        <w:rPr>
          <w:spacing w:val="-2"/>
        </w:rPr>
        <w:t> </w:t>
      </w:r>
      <w:r>
        <w:rPr/>
        <w:t>THOR-based</w:t>
      </w:r>
      <w:r>
        <w:rPr>
          <w:spacing w:val="-1"/>
        </w:rPr>
        <w:t> </w:t>
      </w:r>
      <w:r>
        <w:rPr/>
        <w:t>model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CLT</w:t>
      </w:r>
      <w:r>
        <w:rPr>
          <w:spacing w:val="-2"/>
        </w:rPr>
        <w:t> </w:t>
      </w:r>
      <w:r>
        <w:rPr/>
        <w:t>calibrated</w:t>
      </w:r>
      <w:r>
        <w:rPr>
          <w:spacing w:val="-1"/>
        </w:rPr>
        <w:t> </w:t>
      </w:r>
      <w:r>
        <w:rPr/>
        <w:t>to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CLT</w:t>
      </w:r>
      <w:r>
        <w:rPr>
          <w:spacing w:val="-2"/>
        </w:rPr>
        <w:t> </w:t>
      </w:r>
      <w:r>
        <w:rPr/>
        <w:t>data.</w:t>
        <w:tab/>
        <w:t>194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39"/>
      </w:pPr>
      <w:r>
        <w:rPr/>
        <w:t>Figure</w:t>
      </w:r>
      <w:r>
        <w:rPr>
          <w:spacing w:val="-1"/>
        </w:rPr>
        <w:t> </w:t>
      </w:r>
      <w:r>
        <w:rPr/>
        <w:t>5.27</w:t>
        <w:tab/>
        <w:t>The</w:t>
      </w:r>
      <w:r>
        <w:rPr>
          <w:spacing w:val="-1"/>
        </w:rPr>
        <w:t> </w:t>
      </w:r>
      <w:r>
        <w:rPr/>
        <w:t>THOR-based</w:t>
      </w:r>
      <w:r>
        <w:rPr>
          <w:spacing w:val="-1"/>
        </w:rPr>
        <w:t> </w:t>
      </w:r>
      <w:r>
        <w:rPr/>
        <w:t>CLT</w:t>
      </w:r>
      <w:r>
        <w:rPr>
          <w:spacing w:val="-2"/>
        </w:rPr>
        <w:t> </w:t>
      </w:r>
      <w:r>
        <w:rPr/>
        <w:t>model</w:t>
      </w:r>
      <w:r>
        <w:rPr>
          <w:spacing w:val="-1"/>
        </w:rPr>
        <w:t> </w:t>
      </w:r>
      <w:r>
        <w:rPr/>
        <w:t>recalibrated</w:t>
      </w:r>
      <w:r>
        <w:rPr>
          <w:spacing w:val="-3"/>
        </w:rPr>
        <w:t> </w:t>
      </w:r>
      <w:r>
        <w:rPr/>
        <w:t>to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SPF-S</w:t>
      </w:r>
      <w:r>
        <w:rPr>
          <w:spacing w:val="-2"/>
        </w:rPr>
        <w:t> </w:t>
      </w:r>
      <w:r>
        <w:rPr/>
        <w:t>data</w:t>
      </w:r>
      <w:r>
        <w:rPr>
          <w:spacing w:val="-1"/>
        </w:rPr>
        <w:t> </w:t>
      </w:r>
      <w:r>
        <w:rPr/>
        <w:t>only.</w:t>
        <w:tab/>
        <w:t>195</w:t>
      </w:r>
    </w:p>
    <w:p>
      <w:pPr>
        <w:spacing w:after="0"/>
        <w:sectPr>
          <w:pgSz w:w="12240" w:h="15840"/>
          <w:pgMar w:header="0" w:footer="984" w:top="1360" w:bottom="1260" w:left="1720" w:right="1320"/>
        </w:sectPr>
      </w:pPr>
    </w:p>
    <w:p>
      <w:pPr>
        <w:pStyle w:val="BodyText"/>
        <w:tabs>
          <w:tab w:pos="1879" w:val="left" w:leader="none"/>
          <w:tab w:pos="9079" w:val="right" w:leader="dot"/>
        </w:tabs>
        <w:spacing w:before="78"/>
        <w:ind w:left="440"/>
      </w:pPr>
      <w:r>
        <w:rPr/>
        <w:t>Figure</w:t>
      </w:r>
      <w:r>
        <w:rPr>
          <w:spacing w:val="-1"/>
        </w:rPr>
        <w:t> </w:t>
      </w:r>
      <w:r>
        <w:rPr/>
        <w:t>5.28</w:t>
        <w:tab/>
        <w:t>The THOR-based</w:t>
      </w:r>
      <w:r>
        <w:rPr>
          <w:spacing w:val="-1"/>
        </w:rPr>
        <w:t> </w:t>
      </w:r>
      <w:r>
        <w:rPr/>
        <w:t>CLT</w:t>
      </w:r>
      <w:r>
        <w:rPr>
          <w:spacing w:val="-1"/>
        </w:rPr>
        <w:t> </w:t>
      </w:r>
      <w:r>
        <w:rPr/>
        <w:t>model</w:t>
      </w:r>
      <w:r>
        <w:rPr>
          <w:spacing w:val="-1"/>
        </w:rPr>
        <w:t> </w:t>
      </w:r>
      <w:r>
        <w:rPr/>
        <w:t>recalibrated</w:t>
      </w:r>
      <w:r>
        <w:rPr>
          <w:spacing w:val="-3"/>
        </w:rPr>
        <w:t> </w:t>
      </w:r>
      <w:r>
        <w:rPr/>
        <w:t>to the</w:t>
      </w:r>
      <w:r>
        <w:rPr>
          <w:spacing w:val="-2"/>
        </w:rPr>
        <w:t> </w:t>
      </w:r>
      <w:r>
        <w:rPr/>
        <w:t>SYP</w:t>
      </w:r>
      <w:r>
        <w:rPr>
          <w:spacing w:val="-1"/>
        </w:rPr>
        <w:t> </w:t>
      </w:r>
      <w:r>
        <w:rPr/>
        <w:t>data</w:t>
      </w:r>
      <w:r>
        <w:rPr>
          <w:spacing w:val="-1"/>
        </w:rPr>
        <w:t> </w:t>
      </w:r>
      <w:r>
        <w:rPr/>
        <w:t>only.</w:t>
        <w:tab/>
        <w:t>195</w:t>
      </w:r>
    </w:p>
    <w:p>
      <w:pPr>
        <w:pStyle w:val="BodyText"/>
        <w:tabs>
          <w:tab w:pos="1879" w:val="left" w:leader="none"/>
          <w:tab w:pos="9079" w:val="right" w:leader="dot"/>
        </w:tabs>
        <w:spacing w:before="276"/>
        <w:ind w:left="440"/>
      </w:pPr>
      <w:r>
        <w:rPr/>
        <w:t>Figure</w:t>
      </w:r>
      <w:r>
        <w:rPr>
          <w:spacing w:val="-1"/>
        </w:rPr>
        <w:t> </w:t>
      </w:r>
      <w:r>
        <w:rPr/>
        <w:t>5.29</w:t>
        <w:tab/>
        <w:t>Residual</w:t>
      </w:r>
      <w:r>
        <w:rPr>
          <w:spacing w:val="-1"/>
        </w:rPr>
        <w:t> </w:t>
      </w:r>
      <w:r>
        <w:rPr/>
        <w:t>velocity</w:t>
      </w:r>
      <w:r>
        <w:rPr>
          <w:spacing w:val="-1"/>
        </w:rPr>
        <w:t> </w:t>
      </w:r>
      <w:r>
        <w:rPr/>
        <w:t>based</w:t>
      </w:r>
      <w:r>
        <w:rPr>
          <w:spacing w:val="-2"/>
        </w:rPr>
        <w:t> </w:t>
      </w:r>
      <w:r>
        <w:rPr/>
        <w:t>on</w:t>
      </w:r>
      <w:r>
        <w:rPr>
          <w:spacing w:val="-1"/>
        </w:rPr>
        <w:t> </w:t>
      </w:r>
      <w:r>
        <w:rPr/>
        <w:t>striking</w:t>
      </w:r>
      <w:r>
        <w:rPr>
          <w:spacing w:val="-1"/>
        </w:rPr>
        <w:t> </w:t>
      </w:r>
      <w:r>
        <w:rPr/>
        <w:t>velocity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CLT</w:t>
      </w:r>
      <w:r>
        <w:rPr>
          <w:spacing w:val="-2"/>
        </w:rPr>
        <w:t> </w:t>
      </w:r>
      <w:r>
        <w:rPr/>
        <w:t>specimen</w:t>
      </w:r>
      <w:r>
        <w:rPr>
          <w:spacing w:val="-1"/>
        </w:rPr>
        <w:t> </w:t>
      </w:r>
      <w:r>
        <w:rPr/>
        <w:t>tests</w:t>
        <w:tab/>
        <w:t>200</w:t>
      </w:r>
    </w:p>
    <w:p>
      <w:pPr>
        <w:pStyle w:val="BodyText"/>
        <w:tabs>
          <w:tab w:pos="1879" w:val="left" w:leader="none"/>
          <w:tab w:pos="9079" w:val="right" w:leader="dot"/>
        </w:tabs>
        <w:spacing w:before="276"/>
        <w:ind w:left="440"/>
      </w:pPr>
      <w:r>
        <w:rPr/>
        <w:t>Figure</w:t>
      </w:r>
      <w:r>
        <w:rPr>
          <w:spacing w:val="-1"/>
        </w:rPr>
        <w:t> </w:t>
      </w:r>
      <w:r>
        <w:rPr/>
        <w:t>5.30</w:t>
        <w:tab/>
        <w:t>Projectile velocity</w:t>
      </w:r>
      <w:r>
        <w:rPr>
          <w:spacing w:val="-1"/>
        </w:rPr>
        <w:t> </w:t>
      </w:r>
      <w:r>
        <w:rPr/>
        <w:t>in terms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depth</w:t>
      </w:r>
      <w:r>
        <w:rPr>
          <w:spacing w:val="-1"/>
        </w:rPr>
        <w:t> </w:t>
      </w:r>
      <w:r>
        <w:rPr/>
        <w:t>traveled into</w:t>
      </w:r>
      <w:r>
        <w:rPr>
          <w:spacing w:val="-3"/>
        </w:rPr>
        <w:t> </w:t>
      </w:r>
      <w:r>
        <w:rPr/>
        <w:t>CLT</w:t>
      </w:r>
      <w:r>
        <w:rPr>
          <w:spacing w:val="-1"/>
        </w:rPr>
        <w:t> </w:t>
      </w:r>
      <w:r>
        <w:rPr/>
        <w:t>target.</w:t>
        <w:tab/>
        <w:t>201</w:t>
      </w:r>
    </w:p>
    <w:p>
      <w:pPr>
        <w:pStyle w:val="BodyText"/>
      </w:pPr>
    </w:p>
    <w:p>
      <w:pPr>
        <w:pStyle w:val="BodyText"/>
        <w:tabs>
          <w:tab w:pos="1879" w:val="left" w:leader="none"/>
        </w:tabs>
        <w:ind w:left="439"/>
      </w:pPr>
      <w:r>
        <w:rPr/>
        <w:t>Figure</w:t>
      </w:r>
      <w:r>
        <w:rPr>
          <w:spacing w:val="-1"/>
        </w:rPr>
        <w:t> </w:t>
      </w:r>
      <w:r>
        <w:rPr/>
        <w:t>5.31</w:t>
        <w:tab/>
        <w:t>Expected</w:t>
      </w:r>
      <w:r>
        <w:rPr>
          <w:spacing w:val="-1"/>
        </w:rPr>
        <w:t> </w:t>
      </w:r>
      <w:r>
        <w:rPr/>
        <w:t>velocity</w:t>
      </w:r>
      <w:r>
        <w:rPr>
          <w:spacing w:val="-1"/>
        </w:rPr>
        <w:t> </w:t>
      </w:r>
      <w:r>
        <w:rPr/>
        <w:t>by</w:t>
      </w:r>
      <w:r>
        <w:rPr>
          <w:spacing w:val="-2"/>
        </w:rPr>
        <w:t> </w:t>
      </w:r>
      <w:r>
        <w:rPr/>
        <w:t>depth</w:t>
      </w:r>
      <w:r>
        <w:rPr>
          <w:spacing w:val="-1"/>
        </w:rPr>
        <w:t> </w:t>
      </w:r>
      <w:r>
        <w:rPr/>
        <w:t>curves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SPF-S</w:t>
      </w:r>
      <w:r>
        <w:rPr>
          <w:spacing w:val="-3"/>
        </w:rPr>
        <w:t> </w:t>
      </w:r>
      <w:r>
        <w:rPr/>
        <w:t>with</w:t>
      </w:r>
      <w:r>
        <w:rPr>
          <w:spacing w:val="-1"/>
        </w:rPr>
        <w:t> </w:t>
      </w:r>
      <w:r>
        <w:rPr/>
        <w:t>residual</w:t>
      </w:r>
      <w:r>
        <w:rPr>
          <w:spacing w:val="-1"/>
        </w:rPr>
        <w:t> </w:t>
      </w:r>
      <w:r>
        <w:rPr/>
        <w:t>data</w:t>
      </w:r>
      <w:r>
        <w:rPr>
          <w:spacing w:val="-1"/>
        </w:rPr>
        <w:t> </w:t>
      </w:r>
      <w:r>
        <w:rPr/>
        <w:t>plotted.</w:t>
      </w:r>
    </w:p>
    <w:p>
      <w:pPr>
        <w:pStyle w:val="BodyText"/>
        <w:ind w:left="1879"/>
      </w:pPr>
      <w:r>
        <w:rPr/>
        <w:t>..................................................................................................................202</w:t>
      </w:r>
    </w:p>
    <w:p>
      <w:pPr>
        <w:pStyle w:val="BodyText"/>
      </w:pPr>
    </w:p>
    <w:p>
      <w:pPr>
        <w:pStyle w:val="BodyText"/>
        <w:tabs>
          <w:tab w:pos="1879" w:val="left" w:leader="none"/>
        </w:tabs>
        <w:ind w:left="439"/>
      </w:pPr>
      <w:r>
        <w:rPr/>
        <w:t>Figure</w:t>
      </w:r>
      <w:r>
        <w:rPr>
          <w:spacing w:val="-1"/>
        </w:rPr>
        <w:t> </w:t>
      </w:r>
      <w:r>
        <w:rPr/>
        <w:t>5.32</w:t>
        <w:tab/>
        <w:t>Expected</w:t>
      </w:r>
      <w:r>
        <w:rPr>
          <w:spacing w:val="-1"/>
        </w:rPr>
        <w:t> </w:t>
      </w:r>
      <w:r>
        <w:rPr/>
        <w:t>velocity</w:t>
      </w:r>
      <w:r>
        <w:rPr>
          <w:spacing w:val="-1"/>
        </w:rPr>
        <w:t> </w:t>
      </w:r>
      <w:r>
        <w:rPr/>
        <w:t>by</w:t>
      </w:r>
      <w:r>
        <w:rPr>
          <w:spacing w:val="-1"/>
        </w:rPr>
        <w:t> </w:t>
      </w:r>
      <w:r>
        <w:rPr/>
        <w:t>depth</w:t>
      </w:r>
      <w:r>
        <w:rPr>
          <w:spacing w:val="-2"/>
        </w:rPr>
        <w:t> </w:t>
      </w:r>
      <w:r>
        <w:rPr/>
        <w:t>curves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SYP</w:t>
      </w:r>
      <w:r>
        <w:rPr>
          <w:spacing w:val="-2"/>
        </w:rPr>
        <w:t> </w:t>
      </w:r>
      <w:r>
        <w:rPr/>
        <w:t>with</w:t>
      </w:r>
      <w:r>
        <w:rPr>
          <w:spacing w:val="-1"/>
        </w:rPr>
        <w:t> </w:t>
      </w:r>
      <w:r>
        <w:rPr/>
        <w:t>residual</w:t>
      </w:r>
      <w:r>
        <w:rPr>
          <w:spacing w:val="-1"/>
        </w:rPr>
        <w:t> </w:t>
      </w:r>
      <w:r>
        <w:rPr/>
        <w:t>data</w:t>
      </w:r>
    </w:p>
    <w:p>
      <w:pPr>
        <w:pStyle w:val="BodyText"/>
        <w:tabs>
          <w:tab w:pos="8719" w:val="left" w:leader="dot"/>
        </w:tabs>
        <w:ind w:left="1879"/>
      </w:pPr>
      <w:r>
        <w:rPr/>
        <w:t>plotted.</w:t>
        <w:tab/>
        <w:t>203</w:t>
      </w:r>
    </w:p>
    <w:p>
      <w:pPr>
        <w:pStyle w:val="BodyText"/>
        <w:tabs>
          <w:tab w:pos="1879" w:val="left" w:leader="none"/>
          <w:tab w:pos="8719" w:val="left" w:leader="dot"/>
        </w:tabs>
        <w:spacing w:before="475"/>
        <w:ind w:left="1879" w:right="119" w:hanging="1440"/>
      </w:pPr>
      <w:r>
        <w:rPr/>
        <w:t>Figure</w:t>
      </w:r>
      <w:r>
        <w:rPr>
          <w:spacing w:val="-1"/>
        </w:rPr>
        <w:t> </w:t>
      </w:r>
      <w:r>
        <w:rPr/>
        <w:t>5.33</w:t>
        <w:tab/>
        <w:t>Residual velocity based on striking velocity for dry and weathered SPF-S</w:t>
      </w:r>
      <w:r>
        <w:rPr>
          <w:spacing w:val="1"/>
        </w:rPr>
        <w:t> </w:t>
      </w:r>
      <w:r>
        <w:rPr/>
        <w:t>specimens.</w:t>
        <w:tab/>
      </w:r>
      <w:r>
        <w:rPr>
          <w:spacing w:val="-2"/>
        </w:rPr>
        <w:t>206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79" w:right="119" w:hanging="1440"/>
      </w:pPr>
      <w:r>
        <w:rPr/>
        <w:t>Figure</w:t>
      </w:r>
      <w:r>
        <w:rPr>
          <w:spacing w:val="-1"/>
        </w:rPr>
        <w:t> </w:t>
      </w:r>
      <w:r>
        <w:rPr/>
        <w:t>5.34</w:t>
        <w:tab/>
        <w:t>Residual</w:t>
      </w:r>
      <w:r>
        <w:rPr>
          <w:spacing w:val="31"/>
        </w:rPr>
        <w:t> </w:t>
      </w:r>
      <w:r>
        <w:rPr/>
        <w:t>velocity</w:t>
      </w:r>
      <w:r>
        <w:rPr>
          <w:spacing w:val="30"/>
        </w:rPr>
        <w:t> </w:t>
      </w:r>
      <w:r>
        <w:rPr/>
        <w:t>based</w:t>
      </w:r>
      <w:r>
        <w:rPr>
          <w:spacing w:val="30"/>
        </w:rPr>
        <w:t> </w:t>
      </w:r>
      <w:r>
        <w:rPr/>
        <w:t>on</w:t>
      </w:r>
      <w:r>
        <w:rPr>
          <w:spacing w:val="31"/>
        </w:rPr>
        <w:t> </w:t>
      </w:r>
      <w:r>
        <w:rPr/>
        <w:t>striking</w:t>
      </w:r>
      <w:r>
        <w:rPr>
          <w:spacing w:val="29"/>
        </w:rPr>
        <w:t> </w:t>
      </w:r>
      <w:r>
        <w:rPr/>
        <w:t>velocity</w:t>
      </w:r>
      <w:r>
        <w:rPr>
          <w:spacing w:val="31"/>
        </w:rPr>
        <w:t> </w:t>
      </w:r>
      <w:r>
        <w:rPr/>
        <w:t>for</w:t>
      </w:r>
      <w:r>
        <w:rPr>
          <w:spacing w:val="29"/>
        </w:rPr>
        <w:t> </w:t>
      </w:r>
      <w:r>
        <w:rPr/>
        <w:t>dry</w:t>
      </w:r>
      <w:r>
        <w:rPr>
          <w:spacing w:val="31"/>
        </w:rPr>
        <w:t> </w:t>
      </w:r>
      <w:r>
        <w:rPr/>
        <w:t>and</w:t>
      </w:r>
      <w:r>
        <w:rPr>
          <w:spacing w:val="31"/>
        </w:rPr>
        <w:t> </w:t>
      </w:r>
      <w:r>
        <w:rPr/>
        <w:t>weathered</w:t>
      </w:r>
      <w:r>
        <w:rPr>
          <w:spacing w:val="30"/>
        </w:rPr>
        <w:t> </w:t>
      </w:r>
      <w:r>
        <w:rPr/>
        <w:t>SYP</w:t>
      </w:r>
      <w:r>
        <w:rPr>
          <w:spacing w:val="-57"/>
        </w:rPr>
        <w:t> </w:t>
      </w:r>
      <w:r>
        <w:rPr/>
        <w:t>specimens.</w:t>
        <w:tab/>
      </w:r>
      <w:r>
        <w:rPr>
          <w:spacing w:val="-2"/>
        </w:rPr>
        <w:t>206</w:t>
      </w:r>
    </w:p>
    <w:p>
      <w:pPr>
        <w:pStyle w:val="BodyText"/>
        <w:tabs>
          <w:tab w:pos="1879" w:val="left" w:leader="none"/>
          <w:tab w:pos="8719" w:val="left" w:leader="dot"/>
        </w:tabs>
        <w:spacing w:before="477"/>
        <w:ind w:left="439"/>
      </w:pPr>
      <w:r>
        <w:rPr/>
        <w:t>Figure</w:t>
      </w:r>
      <w:r>
        <w:rPr>
          <w:spacing w:val="-1"/>
        </w:rPr>
        <w:t> </w:t>
      </w:r>
      <w:r>
        <w:rPr/>
        <w:t>5.35</w:t>
        <w:tab/>
        <w:t>FSP</w:t>
      </w:r>
      <w:r>
        <w:rPr>
          <w:spacing w:val="-2"/>
        </w:rPr>
        <w:t> </w:t>
      </w:r>
      <w:r>
        <w:rPr/>
        <w:t>data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recalibrated</w:t>
      </w:r>
      <w:r>
        <w:rPr>
          <w:spacing w:val="-1"/>
        </w:rPr>
        <w:t> </w:t>
      </w:r>
      <w:r>
        <w:rPr/>
        <w:t>UFC</w:t>
      </w:r>
      <w:r>
        <w:rPr>
          <w:spacing w:val="-2"/>
        </w:rPr>
        <w:t> </w:t>
      </w:r>
      <w:r>
        <w:rPr/>
        <w:t>wood model</w:t>
        <w:tab/>
        <w:t>208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40"/>
      </w:pPr>
      <w:r>
        <w:rPr/>
        <w:t>Figure</w:t>
      </w:r>
      <w:r>
        <w:rPr>
          <w:spacing w:val="-1"/>
        </w:rPr>
        <w:t> </w:t>
      </w:r>
      <w:r>
        <w:rPr/>
        <w:t>5.36</w:t>
        <w:tab/>
        <w:t>FSP</w:t>
      </w:r>
      <w:r>
        <w:rPr>
          <w:spacing w:val="-2"/>
        </w:rPr>
        <w:t> </w:t>
      </w:r>
      <w:r>
        <w:rPr/>
        <w:t>and sphere</w:t>
      </w:r>
      <w:r>
        <w:rPr>
          <w:spacing w:val="-1"/>
        </w:rPr>
        <w:t> </w:t>
      </w:r>
      <w:r>
        <w:rPr/>
        <w:t>data</w:t>
      </w:r>
      <w:r>
        <w:rPr>
          <w:spacing w:val="-1"/>
        </w:rPr>
        <w:t> </w:t>
      </w:r>
      <w:r>
        <w:rPr/>
        <w:t>and</w:t>
      </w:r>
      <w:r>
        <w:rPr>
          <w:spacing w:val="-3"/>
        </w:rPr>
        <w:t> </w:t>
      </w:r>
      <w:r>
        <w:rPr/>
        <w:t>curve for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recalibrated</w:t>
      </w:r>
      <w:r>
        <w:rPr>
          <w:spacing w:val="-3"/>
        </w:rPr>
        <w:t> </w:t>
      </w:r>
      <w:r>
        <w:rPr/>
        <w:t>UFC</w:t>
      </w:r>
      <w:r>
        <w:rPr>
          <w:spacing w:val="-1"/>
        </w:rPr>
        <w:t> </w:t>
      </w:r>
      <w:r>
        <w:rPr/>
        <w:t>wood model</w:t>
        <w:tab/>
        <w:t>209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40"/>
      </w:pPr>
      <w:r>
        <w:rPr/>
        <w:t>Figure</w:t>
      </w:r>
      <w:r>
        <w:rPr>
          <w:spacing w:val="-1"/>
        </w:rPr>
        <w:t> </w:t>
      </w:r>
      <w:r>
        <w:rPr/>
        <w:t>5.37</w:t>
        <w:tab/>
        <w:t>FSP</w:t>
      </w:r>
      <w:r>
        <w:rPr>
          <w:spacing w:val="-2"/>
        </w:rPr>
        <w:t> </w:t>
      </w:r>
      <w:r>
        <w:rPr/>
        <w:t>data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recalibrated</w:t>
      </w:r>
      <w:r>
        <w:rPr>
          <w:spacing w:val="-1"/>
        </w:rPr>
        <w:t> </w:t>
      </w:r>
      <w:r>
        <w:rPr/>
        <w:t>THOR</w:t>
      </w:r>
      <w:r>
        <w:rPr>
          <w:spacing w:val="-2"/>
        </w:rPr>
        <w:t> </w:t>
      </w:r>
      <w:r>
        <w:rPr/>
        <w:t>wood model</w:t>
        <w:tab/>
        <w:t>210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40"/>
      </w:pPr>
      <w:r>
        <w:rPr/>
        <w:t>Figure</w:t>
      </w:r>
      <w:r>
        <w:rPr>
          <w:spacing w:val="-1"/>
        </w:rPr>
        <w:t> </w:t>
      </w:r>
      <w:r>
        <w:rPr/>
        <w:t>5.38</w:t>
        <w:tab/>
        <w:t>THOR</w:t>
      </w:r>
      <w:r>
        <w:rPr>
          <w:spacing w:val="-1"/>
        </w:rPr>
        <w:t> </w:t>
      </w:r>
      <w:r>
        <w:rPr/>
        <w:t>wood model</w:t>
      </w:r>
      <w:r>
        <w:rPr>
          <w:spacing w:val="-1"/>
        </w:rPr>
        <w:t> </w:t>
      </w:r>
      <w:r>
        <w:rPr/>
        <w:t>with</w:t>
      </w:r>
      <w:r>
        <w:rPr>
          <w:spacing w:val="-1"/>
        </w:rPr>
        <w:t> </w:t>
      </w:r>
      <w:r>
        <w:rPr/>
        <w:t>both</w:t>
      </w:r>
      <w:r>
        <w:rPr>
          <w:spacing w:val="-2"/>
        </w:rPr>
        <w:t> </w:t>
      </w:r>
      <w:r>
        <w:rPr/>
        <w:t>sphere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FSP</w:t>
      </w:r>
      <w:r>
        <w:rPr>
          <w:spacing w:val="-2"/>
        </w:rPr>
        <w:t> </w:t>
      </w:r>
      <w:r>
        <w:rPr/>
        <w:t>data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curves</w:t>
        <w:tab/>
        <w:t>210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80" w:right="119" w:hanging="1440"/>
      </w:pPr>
      <w:r>
        <w:rPr/>
        <w:t>Figure</w:t>
      </w:r>
      <w:r>
        <w:rPr>
          <w:spacing w:val="-1"/>
        </w:rPr>
        <w:t> </w:t>
      </w:r>
      <w:r>
        <w:rPr/>
        <w:t>6.1</w:t>
        <w:tab/>
        <w:t>A graphical depiction of the potential transverse grain orientations in a</w:t>
      </w:r>
      <w:r>
        <w:rPr>
          <w:spacing w:val="1"/>
        </w:rPr>
        <w:t> </w:t>
      </w:r>
      <w:r>
        <w:rPr/>
        <w:t>CLT</w:t>
      </w:r>
      <w:r>
        <w:rPr>
          <w:spacing w:val="-2"/>
        </w:rPr>
        <w:t> </w:t>
      </w:r>
      <w:r>
        <w:rPr/>
        <w:t>panel</w:t>
        <w:tab/>
      </w:r>
      <w:r>
        <w:rPr>
          <w:spacing w:val="-2"/>
        </w:rPr>
        <w:t>218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80" w:right="119" w:hanging="1440"/>
      </w:pPr>
      <w:r>
        <w:rPr/>
        <w:t>Figure</w:t>
      </w:r>
      <w:r>
        <w:rPr>
          <w:spacing w:val="-1"/>
        </w:rPr>
        <w:t> </w:t>
      </w:r>
      <w:r>
        <w:rPr/>
        <w:t>6.2</w:t>
        <w:tab/>
        <w:t>A</w:t>
      </w:r>
      <w:r>
        <w:rPr>
          <w:spacing w:val="3"/>
        </w:rPr>
        <w:t> </w:t>
      </w:r>
      <w:r>
        <w:rPr/>
        <w:t>cross-sectional</w:t>
      </w:r>
      <w:r>
        <w:rPr>
          <w:spacing w:val="3"/>
        </w:rPr>
        <w:t> </w:t>
      </w:r>
      <w:r>
        <w:rPr/>
        <w:t>cut</w:t>
      </w:r>
      <w:r>
        <w:rPr>
          <w:spacing w:val="3"/>
        </w:rPr>
        <w:t> </w:t>
      </w:r>
      <w:r>
        <w:rPr/>
        <w:t>along</w:t>
      </w:r>
      <w:r>
        <w:rPr>
          <w:spacing w:val="4"/>
        </w:rPr>
        <w:t> </w:t>
      </w:r>
      <w:r>
        <w:rPr/>
        <w:t>the</w:t>
      </w:r>
      <w:r>
        <w:rPr>
          <w:spacing w:val="3"/>
        </w:rPr>
        <w:t> </w:t>
      </w:r>
      <w:r>
        <w:rPr/>
        <w:t>projectile</w:t>
      </w:r>
      <w:r>
        <w:rPr>
          <w:spacing w:val="4"/>
        </w:rPr>
        <w:t> </w:t>
      </w:r>
      <w:r>
        <w:rPr/>
        <w:t>path</w:t>
      </w:r>
      <w:r>
        <w:rPr>
          <w:spacing w:val="1"/>
        </w:rPr>
        <w:t> </w:t>
      </w:r>
      <w:r>
        <w:rPr/>
        <w:t>exposes</w:t>
      </w:r>
      <w:r>
        <w:rPr>
          <w:spacing w:val="3"/>
        </w:rPr>
        <w:t> </w:t>
      </w:r>
      <w:r>
        <w:rPr/>
        <w:t>the</w:t>
      </w:r>
      <w:r>
        <w:rPr>
          <w:spacing w:val="4"/>
        </w:rPr>
        <w:t> </w:t>
      </w:r>
      <w:r>
        <w:rPr/>
        <w:t>wood</w:t>
      </w:r>
      <w:r>
        <w:rPr>
          <w:spacing w:val="3"/>
        </w:rPr>
        <w:t> </w:t>
      </w:r>
      <w:r>
        <w:rPr/>
        <w:t>damage</w:t>
      </w:r>
      <w:r>
        <w:rPr>
          <w:spacing w:val="1"/>
        </w:rPr>
        <w:t> </w:t>
      </w:r>
      <w:r>
        <w:rPr/>
        <w:t>as well as the orientation of the wood in each ply with respect to</w:t>
      </w:r>
      <w:r>
        <w:rPr>
          <w:spacing w:val="1"/>
        </w:rPr>
        <w:t> </w:t>
      </w:r>
      <w:r>
        <w:rPr/>
        <w:t>longitudinal</w:t>
      </w:r>
      <w:r>
        <w:rPr>
          <w:spacing w:val="-3"/>
        </w:rPr>
        <w:t> </w:t>
      </w:r>
      <w:r>
        <w:rPr/>
        <w:t>(L),</w:t>
      </w:r>
      <w:r>
        <w:rPr>
          <w:spacing w:val="-1"/>
        </w:rPr>
        <w:t> </w:t>
      </w:r>
      <w:r>
        <w:rPr/>
        <w:t>radial</w:t>
      </w:r>
      <w:r>
        <w:rPr>
          <w:spacing w:val="-2"/>
        </w:rPr>
        <w:t> </w:t>
      </w:r>
      <w:r>
        <w:rPr/>
        <w:t>(R),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tangential</w:t>
      </w:r>
      <w:r>
        <w:rPr>
          <w:spacing w:val="-1"/>
        </w:rPr>
        <w:t> </w:t>
      </w:r>
      <w:r>
        <w:rPr/>
        <w:t>(T)</w:t>
      </w:r>
      <w:r>
        <w:rPr>
          <w:spacing w:val="-2"/>
        </w:rPr>
        <w:t> </w:t>
      </w:r>
      <w:r>
        <w:rPr/>
        <w:t>axes</w:t>
      </w:r>
      <w:r>
        <w:rPr>
          <w:spacing w:val="-1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wood</w:t>
        <w:tab/>
      </w:r>
      <w:r>
        <w:rPr>
          <w:spacing w:val="-2"/>
        </w:rPr>
        <w:t>220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79" w:right="119" w:hanging="1440"/>
      </w:pPr>
      <w:r>
        <w:rPr/>
        <w:t>Figure</w:t>
      </w:r>
      <w:r>
        <w:rPr>
          <w:spacing w:val="-1"/>
        </w:rPr>
        <w:t> </w:t>
      </w:r>
      <w:r>
        <w:rPr/>
        <w:t>6.3</w:t>
        <w:tab/>
        <w:t>Failure types in wood loaded in compression perpendicular to grain: (a)</w:t>
      </w:r>
      <w:r>
        <w:rPr>
          <w:spacing w:val="1"/>
        </w:rPr>
        <w:t> </w:t>
      </w:r>
      <w:r>
        <w:rPr/>
        <w:t>crushing</w:t>
      </w:r>
      <w:r>
        <w:rPr>
          <w:spacing w:val="6"/>
        </w:rPr>
        <w:t> </w:t>
      </w:r>
      <w:r>
        <w:rPr/>
        <w:t>an</w:t>
      </w:r>
      <w:r>
        <w:rPr>
          <w:spacing w:val="4"/>
        </w:rPr>
        <w:t> </w:t>
      </w:r>
      <w:r>
        <w:rPr/>
        <w:t>earlywood</w:t>
      </w:r>
      <w:r>
        <w:rPr>
          <w:spacing w:val="6"/>
        </w:rPr>
        <w:t> </w:t>
      </w:r>
      <w:r>
        <w:rPr/>
        <w:t>zone,</w:t>
      </w:r>
      <w:r>
        <w:rPr>
          <w:spacing w:val="6"/>
        </w:rPr>
        <w:t> </w:t>
      </w:r>
      <w:r>
        <w:rPr/>
        <w:t>(b)</w:t>
      </w:r>
      <w:r>
        <w:rPr>
          <w:spacing w:val="6"/>
        </w:rPr>
        <w:t> </w:t>
      </w:r>
      <w:r>
        <w:rPr/>
        <w:t>shearing</w:t>
      </w:r>
      <w:r>
        <w:rPr>
          <w:spacing w:val="6"/>
        </w:rPr>
        <w:t> </w:t>
      </w:r>
      <w:r>
        <w:rPr/>
        <w:t>along</w:t>
      </w:r>
      <w:r>
        <w:rPr>
          <w:spacing w:val="5"/>
        </w:rPr>
        <w:t> </w:t>
      </w:r>
      <w:r>
        <w:rPr/>
        <w:t>a</w:t>
      </w:r>
      <w:r>
        <w:rPr>
          <w:spacing w:val="6"/>
        </w:rPr>
        <w:t> </w:t>
      </w:r>
      <w:r>
        <w:rPr/>
        <w:t>growth</w:t>
      </w:r>
      <w:r>
        <w:rPr>
          <w:spacing w:val="6"/>
        </w:rPr>
        <w:t> </w:t>
      </w:r>
      <w:r>
        <w:rPr/>
        <w:t>ring,</w:t>
      </w:r>
      <w:r>
        <w:rPr>
          <w:spacing w:val="6"/>
        </w:rPr>
        <w:t> </w:t>
      </w:r>
      <w:r>
        <w:rPr/>
        <w:t>(c)</w:t>
      </w:r>
      <w:r>
        <w:rPr>
          <w:spacing w:val="1"/>
        </w:rPr>
        <w:t> </w:t>
      </w:r>
      <w:r>
        <w:rPr/>
        <w:t>buckling</w:t>
      </w:r>
      <w:r>
        <w:rPr>
          <w:spacing w:val="-1"/>
        </w:rPr>
        <w:t> </w:t>
      </w:r>
      <w:r>
        <w:rPr/>
        <w:t>of</w:t>
      </w:r>
      <w:r>
        <w:rPr>
          <w:spacing w:val="-3"/>
        </w:rPr>
        <w:t> </w:t>
      </w:r>
      <w:r>
        <w:rPr/>
        <w:t>growth rings,</w:t>
      </w:r>
      <w:r>
        <w:rPr>
          <w:spacing w:val="-1"/>
        </w:rPr>
        <w:t> </w:t>
      </w:r>
      <w:r>
        <w:rPr/>
        <w:t>adapted</w:t>
      </w:r>
      <w:r>
        <w:rPr>
          <w:spacing w:val="-1"/>
        </w:rPr>
        <w:t> </w:t>
      </w:r>
      <w:r>
        <w:rPr/>
        <w:t>from</w:t>
      </w:r>
      <w:r>
        <w:rPr>
          <w:spacing w:val="-1"/>
        </w:rPr>
        <w:t> </w:t>
      </w:r>
      <w:r>
        <w:rPr/>
        <w:t>[31]</w:t>
        <w:tab/>
      </w:r>
      <w:r>
        <w:rPr>
          <w:spacing w:val="-2"/>
        </w:rPr>
        <w:t>221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79" w:right="119" w:hanging="1440"/>
      </w:pPr>
      <w:r>
        <w:rPr/>
        <w:t>Figure</w:t>
      </w:r>
      <w:r>
        <w:rPr>
          <w:spacing w:val="-1"/>
        </w:rPr>
        <w:t> </w:t>
      </w:r>
      <w:r>
        <w:rPr/>
        <w:t>6.4</w:t>
        <w:tab/>
        <w:t>Failure types in wood under tensile load perpendicular to grain: (a) tension</w:t>
      </w:r>
      <w:r>
        <w:rPr>
          <w:spacing w:val="-57"/>
        </w:rPr>
        <w:t> </w:t>
      </w:r>
      <w:r>
        <w:rPr/>
        <w:t>failure in earlywood, (b) shearing along growth ring, (c) tension failure of</w:t>
      </w:r>
      <w:r>
        <w:rPr>
          <w:spacing w:val="1"/>
        </w:rPr>
        <w:t> </w:t>
      </w:r>
      <w:r>
        <w:rPr/>
        <w:t>wood</w:t>
      </w:r>
      <w:r>
        <w:rPr>
          <w:spacing w:val="-1"/>
        </w:rPr>
        <w:t> </w:t>
      </w:r>
      <w:r>
        <w:rPr/>
        <w:t>rays,</w:t>
      </w:r>
      <w:r>
        <w:rPr>
          <w:spacing w:val="-1"/>
        </w:rPr>
        <w:t> </w:t>
      </w:r>
      <w:r>
        <w:rPr/>
        <w:t>adapted from</w:t>
      </w:r>
      <w:r>
        <w:rPr>
          <w:spacing w:val="-2"/>
        </w:rPr>
        <w:t> </w:t>
      </w:r>
      <w:r>
        <w:rPr/>
        <w:t>[31]</w:t>
        <w:tab/>
      </w:r>
      <w:r>
        <w:rPr>
          <w:spacing w:val="-2"/>
        </w:rPr>
        <w:t>222</w:t>
      </w:r>
    </w:p>
    <w:p>
      <w:pPr>
        <w:pStyle w:val="BodyText"/>
        <w:tabs>
          <w:tab w:pos="1879" w:val="left" w:leader="none"/>
        </w:tabs>
        <w:spacing w:before="276"/>
        <w:ind w:left="1880" w:right="140" w:hanging="1440"/>
      </w:pPr>
      <w:r>
        <w:rPr/>
        <w:t>Figure</w:t>
      </w:r>
      <w:r>
        <w:rPr>
          <w:spacing w:val="-1"/>
        </w:rPr>
        <w:t> </w:t>
      </w:r>
      <w:r>
        <w:rPr/>
        <w:t>6.5</w:t>
        <w:tab/>
        <w:t>Failure types in wood in bending with span parallel to the grain: (a) simple</w:t>
      </w:r>
      <w:r>
        <w:rPr>
          <w:spacing w:val="-58"/>
        </w:rPr>
        <w:t> </w:t>
      </w:r>
      <w:r>
        <w:rPr/>
        <w:t>tension,</w:t>
      </w:r>
      <w:r>
        <w:rPr>
          <w:spacing w:val="-3"/>
        </w:rPr>
        <w:t> </w:t>
      </w:r>
      <w:r>
        <w:rPr/>
        <w:t>(b)</w:t>
      </w:r>
      <w:r>
        <w:rPr>
          <w:spacing w:val="-2"/>
        </w:rPr>
        <w:t> </w:t>
      </w:r>
      <w:r>
        <w:rPr/>
        <w:t>cross-grain</w:t>
      </w:r>
      <w:r>
        <w:rPr>
          <w:spacing w:val="-3"/>
        </w:rPr>
        <w:t> </w:t>
      </w:r>
      <w:r>
        <w:rPr/>
        <w:t>tension,</w:t>
      </w:r>
      <w:r>
        <w:rPr>
          <w:spacing w:val="-1"/>
        </w:rPr>
        <w:t> </w:t>
      </w:r>
      <w:r>
        <w:rPr/>
        <w:t>(c)</w:t>
      </w:r>
      <w:r>
        <w:rPr>
          <w:spacing w:val="-1"/>
        </w:rPr>
        <w:t> </w:t>
      </w:r>
      <w:r>
        <w:rPr/>
        <w:t>splintering</w:t>
      </w:r>
      <w:r>
        <w:rPr>
          <w:spacing w:val="-3"/>
        </w:rPr>
        <w:t> </w:t>
      </w:r>
      <w:r>
        <w:rPr/>
        <w:t>tension,</w:t>
      </w:r>
      <w:r>
        <w:rPr>
          <w:spacing w:val="-1"/>
        </w:rPr>
        <w:t> </w:t>
      </w:r>
      <w:r>
        <w:rPr/>
        <w:t>(d)</w:t>
      </w:r>
      <w:r>
        <w:rPr>
          <w:spacing w:val="-1"/>
        </w:rPr>
        <w:t> </w:t>
      </w:r>
      <w:r>
        <w:rPr/>
        <w:t>brash</w:t>
      </w:r>
      <w:r>
        <w:rPr>
          <w:spacing w:val="-1"/>
        </w:rPr>
        <w:t> </w:t>
      </w:r>
      <w:r>
        <w:rPr/>
        <w:t>tension,</w:t>
      </w:r>
    </w:p>
    <w:p>
      <w:pPr>
        <w:pStyle w:val="ListParagraph"/>
        <w:numPr>
          <w:ilvl w:val="2"/>
          <w:numId w:val="11"/>
        </w:numPr>
        <w:tabs>
          <w:tab w:pos="2208" w:val="left" w:leader="none"/>
          <w:tab w:pos="8719" w:val="left" w:leader="dot"/>
        </w:tabs>
        <w:spacing w:line="275" w:lineRule="exact" w:before="0" w:after="0"/>
        <w:ind w:left="2207" w:right="0" w:hanging="329"/>
        <w:jc w:val="left"/>
        <w:rPr>
          <w:sz w:val="24"/>
        </w:rPr>
      </w:pPr>
      <w:r>
        <w:rPr>
          <w:sz w:val="24"/>
        </w:rPr>
        <w:t>compression,</w:t>
      </w:r>
      <w:r>
        <w:rPr>
          <w:spacing w:val="-2"/>
          <w:sz w:val="24"/>
        </w:rPr>
        <w:t> </w:t>
      </w:r>
      <w:r>
        <w:rPr>
          <w:sz w:val="24"/>
        </w:rPr>
        <w:t>(f)</w:t>
      </w:r>
      <w:r>
        <w:rPr>
          <w:spacing w:val="-1"/>
          <w:sz w:val="24"/>
        </w:rPr>
        <w:t> </w:t>
      </w:r>
      <w:r>
        <w:rPr>
          <w:sz w:val="24"/>
        </w:rPr>
        <w:t>horizontal</w:t>
      </w:r>
      <w:r>
        <w:rPr>
          <w:spacing w:val="-2"/>
          <w:sz w:val="24"/>
        </w:rPr>
        <w:t> </w:t>
      </w:r>
      <w:r>
        <w:rPr>
          <w:sz w:val="24"/>
        </w:rPr>
        <w:t>shear,</w:t>
      </w:r>
      <w:r>
        <w:rPr>
          <w:spacing w:val="-3"/>
          <w:sz w:val="24"/>
        </w:rPr>
        <w:t> </w:t>
      </w:r>
      <w:r>
        <w:rPr>
          <w:sz w:val="24"/>
        </w:rPr>
        <w:t>adapted</w:t>
      </w:r>
      <w:r>
        <w:rPr>
          <w:spacing w:val="-1"/>
          <w:sz w:val="24"/>
        </w:rPr>
        <w:t> </w:t>
      </w:r>
      <w:r>
        <w:rPr>
          <w:sz w:val="24"/>
        </w:rPr>
        <w:t>from</w:t>
      </w:r>
      <w:r>
        <w:rPr>
          <w:spacing w:val="-2"/>
          <w:sz w:val="24"/>
        </w:rPr>
        <w:t> </w:t>
      </w:r>
      <w:r>
        <w:rPr>
          <w:sz w:val="24"/>
        </w:rPr>
        <w:t>[31]</w:t>
        <w:tab/>
        <w:t>223</w:t>
      </w:r>
    </w:p>
    <w:p>
      <w:pPr>
        <w:spacing w:after="0" w:line="275" w:lineRule="exact"/>
        <w:jc w:val="left"/>
        <w:rPr>
          <w:sz w:val="24"/>
        </w:rPr>
        <w:sectPr>
          <w:pgSz w:w="12240" w:h="15840"/>
          <w:pgMar w:header="0" w:footer="984" w:top="1360" w:bottom="1260" w:left="1720" w:right="1320"/>
        </w:sectPr>
      </w:pPr>
    </w:p>
    <w:p>
      <w:pPr>
        <w:pStyle w:val="BodyText"/>
        <w:tabs>
          <w:tab w:pos="1879" w:val="left" w:leader="none"/>
          <w:tab w:pos="8719" w:val="left" w:leader="dot"/>
        </w:tabs>
        <w:spacing w:before="78"/>
        <w:ind w:left="1880" w:right="118" w:hanging="1440"/>
      </w:pPr>
      <w:r>
        <w:rPr/>
        <w:t>Figure</w:t>
      </w:r>
      <w:r>
        <w:rPr>
          <w:spacing w:val="-1"/>
        </w:rPr>
        <w:t> </w:t>
      </w:r>
      <w:r>
        <w:rPr/>
        <w:t>6.6</w:t>
        <w:tab/>
        <w:t>Examples</w:t>
      </w:r>
      <w:r>
        <w:rPr>
          <w:spacing w:val="5"/>
        </w:rPr>
        <w:t> </w:t>
      </w:r>
      <w:r>
        <w:rPr/>
        <w:t>of</w:t>
      </w:r>
      <w:r>
        <w:rPr>
          <w:spacing w:val="5"/>
        </w:rPr>
        <w:t> </w:t>
      </w:r>
      <w:r>
        <w:rPr/>
        <w:t>the</w:t>
      </w:r>
      <w:r>
        <w:rPr>
          <w:spacing w:val="5"/>
        </w:rPr>
        <w:t> </w:t>
      </w:r>
      <w:r>
        <w:rPr/>
        <w:t>altered</w:t>
      </w:r>
      <w:r>
        <w:rPr>
          <w:spacing w:val="2"/>
        </w:rPr>
        <w:t> </w:t>
      </w:r>
      <w:r>
        <w:rPr/>
        <w:t>curvature</w:t>
      </w:r>
      <w:r>
        <w:rPr>
          <w:spacing w:val="5"/>
        </w:rPr>
        <w:t> </w:t>
      </w:r>
      <w:r>
        <w:rPr/>
        <w:t>in</w:t>
      </w:r>
      <w:r>
        <w:rPr>
          <w:spacing w:val="3"/>
        </w:rPr>
        <w:t> </w:t>
      </w:r>
      <w:r>
        <w:rPr/>
        <w:t>the</w:t>
      </w:r>
      <w:r>
        <w:rPr>
          <w:spacing w:val="5"/>
        </w:rPr>
        <w:t> </w:t>
      </w:r>
      <w:r>
        <w:rPr/>
        <w:t>latewood</w:t>
      </w:r>
      <w:r>
        <w:rPr>
          <w:spacing w:val="5"/>
        </w:rPr>
        <w:t> </w:t>
      </w:r>
      <w:r>
        <w:rPr/>
        <w:t>(darker</w:t>
      </w:r>
      <w:r>
        <w:rPr>
          <w:spacing w:val="5"/>
        </w:rPr>
        <w:t> </w:t>
      </w:r>
      <w:r>
        <w:rPr/>
        <w:t>colored</w:t>
      </w:r>
      <w:r>
        <w:rPr>
          <w:spacing w:val="1"/>
        </w:rPr>
        <w:t> </w:t>
      </w:r>
      <w:r>
        <w:rPr/>
        <w:t>sections) caused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the moving projectile,</w:t>
      </w:r>
      <w:r>
        <w:rPr>
          <w:spacing w:val="1"/>
        </w:rPr>
        <w:t> </w:t>
      </w:r>
      <w:r>
        <w:rPr/>
        <w:t>(top) SPF-S specimens,</w:t>
      </w:r>
      <w:r>
        <w:rPr>
          <w:spacing w:val="1"/>
        </w:rPr>
        <w:t> </w:t>
      </w:r>
      <w:r>
        <w:rPr/>
        <w:t>(bottom)</w:t>
      </w:r>
      <w:r>
        <w:rPr>
          <w:spacing w:val="-2"/>
        </w:rPr>
        <w:t> </w:t>
      </w:r>
      <w:r>
        <w:rPr/>
        <w:t>SYP</w:t>
      </w:r>
      <w:r>
        <w:rPr>
          <w:spacing w:val="-2"/>
        </w:rPr>
        <w:t> </w:t>
      </w:r>
      <w:r>
        <w:rPr/>
        <w:t>specimens</w:t>
        <w:tab/>
      </w:r>
      <w:r>
        <w:rPr>
          <w:spacing w:val="-2"/>
        </w:rPr>
        <w:t>225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80" w:right="119" w:hanging="1440"/>
      </w:pPr>
      <w:r>
        <w:rPr/>
        <w:t>Figure</w:t>
      </w:r>
      <w:r>
        <w:rPr>
          <w:spacing w:val="-1"/>
        </w:rPr>
        <w:t> </w:t>
      </w:r>
      <w:r>
        <w:rPr/>
        <w:t>6.7</w:t>
        <w:tab/>
        <w:t>A cross-sectional cut of the projectile path exposes angular petals and the</w:t>
      </w:r>
      <w:r>
        <w:rPr>
          <w:spacing w:val="1"/>
        </w:rPr>
        <w:t> </w:t>
      </w:r>
      <w:r>
        <w:rPr/>
        <w:t>newly</w:t>
      </w:r>
      <w:r>
        <w:rPr>
          <w:spacing w:val="-1"/>
        </w:rPr>
        <w:t> </w:t>
      </w:r>
      <w:r>
        <w:rPr/>
        <w:t>formed</w:t>
      </w:r>
      <w:r>
        <w:rPr>
          <w:spacing w:val="-1"/>
        </w:rPr>
        <w:t> </w:t>
      </w:r>
      <w:r>
        <w:rPr/>
        <w:t>space</w:t>
      </w:r>
      <w:r>
        <w:rPr>
          <w:spacing w:val="-1"/>
        </w:rPr>
        <w:t> </w:t>
      </w:r>
      <w:r>
        <w:rPr/>
        <w:t>between</w:t>
      </w:r>
      <w:r>
        <w:rPr>
          <w:spacing w:val="-1"/>
        </w:rPr>
        <w:t> </w:t>
      </w:r>
      <w:r>
        <w:rPr/>
        <w:t>growth</w:t>
      </w:r>
      <w:r>
        <w:rPr>
          <w:spacing w:val="-1"/>
        </w:rPr>
        <w:t> </w:t>
      </w:r>
      <w:r>
        <w:rPr/>
        <w:t>rings</w:t>
        <w:tab/>
      </w:r>
      <w:r>
        <w:rPr>
          <w:spacing w:val="-2"/>
        </w:rPr>
        <w:t>226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80" w:right="119" w:hanging="1440"/>
      </w:pPr>
      <w:r>
        <w:rPr/>
        <w:t>Figure</w:t>
      </w:r>
      <w:r>
        <w:rPr>
          <w:spacing w:val="-1"/>
        </w:rPr>
        <w:t> </w:t>
      </w:r>
      <w:r>
        <w:rPr/>
        <w:t>6.8</w:t>
        <w:tab/>
        <w:t>Sections of fracture in the wood along the growth ring curvature are</w:t>
      </w:r>
      <w:r>
        <w:rPr>
          <w:spacing w:val="1"/>
        </w:rPr>
        <w:t> </w:t>
      </w:r>
      <w:r>
        <w:rPr/>
        <w:t>highlighted in the projectile path cross-sections, (a) SPF-S specimen, (b)</w:t>
      </w:r>
      <w:r>
        <w:rPr>
          <w:spacing w:val="1"/>
        </w:rPr>
        <w:t> </w:t>
      </w:r>
      <w:r>
        <w:rPr/>
        <w:t>SYP</w:t>
      </w:r>
      <w:r>
        <w:rPr>
          <w:spacing w:val="-2"/>
        </w:rPr>
        <w:t> </w:t>
      </w:r>
      <w:r>
        <w:rPr/>
        <w:t>specimen</w:t>
        <w:tab/>
      </w:r>
      <w:r>
        <w:rPr>
          <w:spacing w:val="-2"/>
        </w:rPr>
        <w:t>227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40"/>
      </w:pPr>
      <w:r>
        <w:rPr/>
        <w:t>Figure</w:t>
      </w:r>
      <w:r>
        <w:rPr>
          <w:spacing w:val="-1"/>
        </w:rPr>
        <w:t> </w:t>
      </w:r>
      <w:r>
        <w:rPr/>
        <w:t>6.9</w:t>
        <w:tab/>
        <w:t>Radial</w:t>
      </w:r>
      <w:r>
        <w:rPr>
          <w:spacing w:val="-1"/>
        </w:rPr>
        <w:t> </w:t>
      </w:r>
      <w:r>
        <w:rPr/>
        <w:t>cracking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timbers</w:t>
      </w:r>
      <w:r>
        <w:rPr>
          <w:spacing w:val="-2"/>
        </w:rPr>
        <w:t> </w:t>
      </w:r>
      <w:r>
        <w:rPr/>
        <w:t>observed</w:t>
      </w:r>
      <w:r>
        <w:rPr>
          <w:spacing w:val="-1"/>
        </w:rPr>
        <w:t> </w:t>
      </w:r>
      <w:r>
        <w:rPr/>
        <w:t>near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projectile</w:t>
      </w:r>
      <w:r>
        <w:rPr>
          <w:spacing w:val="-1"/>
        </w:rPr>
        <w:t> </w:t>
      </w:r>
      <w:r>
        <w:rPr/>
        <w:t>cavity</w:t>
        <w:tab/>
        <w:t>228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80" w:right="119" w:hanging="1440"/>
      </w:pPr>
      <w:r>
        <w:rPr/>
        <w:t>Figure</w:t>
      </w:r>
      <w:r>
        <w:rPr>
          <w:spacing w:val="-1"/>
        </w:rPr>
        <w:t> </w:t>
      </w:r>
      <w:r>
        <w:rPr/>
        <w:t>6.10</w:t>
        <w:tab/>
        <w:t>The exit holes of the projectile in this 3-ply specimen appears to be larger</w:t>
      </w:r>
      <w:r>
        <w:rPr>
          <w:spacing w:val="1"/>
        </w:rPr>
        <w:t> </w:t>
      </w:r>
      <w:r>
        <w:rPr/>
        <w:t>than the projectile path, potentially due to scabbing, where sections</w:t>
      </w:r>
      <w:r>
        <w:rPr>
          <w:spacing w:val="1"/>
        </w:rPr>
        <w:t> </w:t>
      </w:r>
      <w:r>
        <w:rPr/>
        <w:t>fracture</w:t>
      </w:r>
      <w:r>
        <w:rPr>
          <w:spacing w:val="-1"/>
        </w:rPr>
        <w:t> </w:t>
      </w:r>
      <w:r>
        <w:rPr/>
        <w:t>off</w:t>
      </w:r>
      <w:r>
        <w:rPr>
          <w:spacing w:val="-2"/>
        </w:rPr>
        <w:t> </w:t>
      </w:r>
      <w:r>
        <w:rPr/>
        <w:t>as debris.</w:t>
        <w:tab/>
      </w:r>
      <w:r>
        <w:rPr>
          <w:spacing w:val="-2"/>
        </w:rPr>
        <w:t>228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80" w:right="119" w:hanging="1440"/>
      </w:pPr>
      <w:r>
        <w:rPr/>
        <w:t>Figure</w:t>
      </w:r>
      <w:r>
        <w:rPr>
          <w:spacing w:val="-1"/>
        </w:rPr>
        <w:t> </w:t>
      </w:r>
      <w:r>
        <w:rPr/>
        <w:t>6.11</w:t>
        <w:tab/>
        <w:t>The embedded projectile causes the wood to bulge on the back face of this</w:t>
      </w:r>
      <w:r>
        <w:rPr>
          <w:spacing w:val="-57"/>
        </w:rPr>
        <w:t> </w:t>
      </w:r>
      <w:r>
        <w:rPr/>
        <w:t>section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the target</w:t>
        <w:tab/>
      </w:r>
      <w:r>
        <w:rPr>
          <w:spacing w:val="-2"/>
        </w:rPr>
        <w:t>229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40"/>
      </w:pPr>
      <w:r>
        <w:rPr/>
        <w:t>Figure</w:t>
      </w:r>
      <w:r>
        <w:rPr>
          <w:spacing w:val="-1"/>
        </w:rPr>
        <w:t> </w:t>
      </w:r>
      <w:r>
        <w:rPr/>
        <w:t>6.12</w:t>
        <w:tab/>
        <w:t>The</w:t>
      </w:r>
      <w:r>
        <w:rPr>
          <w:spacing w:val="-1"/>
        </w:rPr>
        <w:t> </w:t>
      </w:r>
      <w:r>
        <w:rPr/>
        <w:t>splintered</w:t>
      </w:r>
      <w:r>
        <w:rPr>
          <w:spacing w:val="-2"/>
        </w:rPr>
        <w:t> </w:t>
      </w:r>
      <w:r>
        <w:rPr/>
        <w:t>path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fragment</w:t>
      </w:r>
      <w:r>
        <w:rPr>
          <w:spacing w:val="-1"/>
        </w:rPr>
        <w:t> </w:t>
      </w:r>
      <w:r>
        <w:rPr/>
        <w:t>simulating</w:t>
      </w:r>
      <w:r>
        <w:rPr>
          <w:spacing w:val="-2"/>
        </w:rPr>
        <w:t> </w:t>
      </w:r>
      <w:r>
        <w:rPr/>
        <w:t>projectile</w:t>
        <w:tab/>
        <w:t>230</w:t>
      </w:r>
    </w:p>
    <w:p>
      <w:pPr>
        <w:pStyle w:val="BodyText"/>
      </w:pPr>
    </w:p>
    <w:p>
      <w:pPr>
        <w:pStyle w:val="BodyText"/>
        <w:tabs>
          <w:tab w:pos="1879" w:val="left" w:leader="none"/>
        </w:tabs>
        <w:ind w:left="440"/>
      </w:pPr>
      <w:r>
        <w:rPr/>
        <w:t>Figure</w:t>
      </w:r>
      <w:r>
        <w:rPr>
          <w:spacing w:val="-1"/>
        </w:rPr>
        <w:t> </w:t>
      </w:r>
      <w:r>
        <w:rPr/>
        <w:t>6.13</w:t>
        <w:tab/>
        <w:t>A</w:t>
      </w:r>
      <w:r>
        <w:rPr>
          <w:spacing w:val="-2"/>
        </w:rPr>
        <w:t> </w:t>
      </w:r>
      <w:r>
        <w:rPr/>
        <w:t>close-up</w:t>
      </w:r>
      <w:r>
        <w:rPr>
          <w:spacing w:val="-1"/>
        </w:rPr>
        <w:t> </w:t>
      </w:r>
      <w:r>
        <w:rPr/>
        <w:t>perspective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embedded</w:t>
      </w:r>
      <w:r>
        <w:rPr>
          <w:spacing w:val="-1"/>
        </w:rPr>
        <w:t> </w:t>
      </w:r>
      <w:r>
        <w:rPr/>
        <w:t>projectile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ensuing</w:t>
      </w:r>
      <w:r>
        <w:rPr>
          <w:spacing w:val="-1"/>
        </w:rPr>
        <w:t> </w:t>
      </w:r>
      <w:r>
        <w:rPr/>
        <w:t>damage.</w:t>
      </w:r>
    </w:p>
    <w:p>
      <w:pPr>
        <w:pStyle w:val="BodyText"/>
        <w:ind w:left="1880"/>
      </w:pPr>
      <w:r>
        <w:rPr/>
        <w:t>..................................................................................................................231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tabs>
          <w:tab w:pos="1439" w:val="left" w:leader="none"/>
        </w:tabs>
        <w:ind w:right="147"/>
        <w:jc w:val="right"/>
      </w:pPr>
      <w:r>
        <w:rPr/>
        <w:t>Figure</w:t>
      </w:r>
      <w:r>
        <w:rPr>
          <w:spacing w:val="-1"/>
        </w:rPr>
        <w:t> </w:t>
      </w:r>
      <w:r>
        <w:rPr/>
        <w:t>6.14</w:t>
        <w:tab/>
        <w:t>Debris</w:t>
      </w:r>
      <w:r>
        <w:rPr>
          <w:spacing w:val="-1"/>
        </w:rPr>
        <w:t> </w:t>
      </w:r>
      <w:r>
        <w:rPr/>
        <w:t>fills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cavity</w:t>
      </w:r>
      <w:r>
        <w:rPr>
          <w:spacing w:val="-1"/>
        </w:rPr>
        <w:t> </w:t>
      </w:r>
      <w:r>
        <w:rPr/>
        <w:t>behind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embedded</w:t>
      </w:r>
      <w:r>
        <w:rPr>
          <w:spacing w:val="-1"/>
        </w:rPr>
        <w:t> </w:t>
      </w:r>
      <w:r>
        <w:rPr/>
        <w:t>projectile</w:t>
      </w:r>
      <w:r>
        <w:rPr>
          <w:spacing w:val="-1"/>
        </w:rPr>
        <w:t> </w:t>
      </w:r>
      <w:r>
        <w:rPr/>
        <w:t>in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test</w:t>
      </w:r>
      <w:r>
        <w:rPr>
          <w:spacing w:val="-1"/>
        </w:rPr>
        <w:t> </w:t>
      </w:r>
      <w:r>
        <w:rPr/>
        <w:t>specimen.</w:t>
      </w:r>
    </w:p>
    <w:p>
      <w:pPr>
        <w:pStyle w:val="BodyText"/>
        <w:ind w:right="119"/>
        <w:jc w:val="right"/>
      </w:pPr>
      <w:r>
        <w:rPr/>
        <w:t>..................................................................................................................232</w:t>
      </w:r>
    </w:p>
    <w:p>
      <w:pPr>
        <w:pStyle w:val="BodyText"/>
        <w:tabs>
          <w:tab w:pos="1879" w:val="left" w:leader="none"/>
          <w:tab w:pos="9079" w:val="right" w:leader="dot"/>
        </w:tabs>
        <w:spacing w:line="259" w:lineRule="auto" w:before="276"/>
        <w:ind w:left="1880" w:right="119" w:hanging="1440"/>
      </w:pPr>
      <w:r>
        <w:rPr/>
        <w:t>Figure</w:t>
      </w:r>
      <w:r>
        <w:rPr>
          <w:spacing w:val="-1"/>
        </w:rPr>
        <w:t> </w:t>
      </w:r>
      <w:r>
        <w:rPr/>
        <w:t>6.15</w:t>
        <w:tab/>
        <w:t>A</w:t>
      </w:r>
      <w:r>
        <w:rPr>
          <w:spacing w:val="5"/>
        </w:rPr>
        <w:t> </w:t>
      </w:r>
      <w:r>
        <w:rPr/>
        <w:t>progression</w:t>
      </w:r>
      <w:r>
        <w:rPr>
          <w:spacing w:val="7"/>
        </w:rPr>
        <w:t> </w:t>
      </w:r>
      <w:r>
        <w:rPr/>
        <w:t>of</w:t>
      </w:r>
      <w:r>
        <w:rPr>
          <w:spacing w:val="5"/>
        </w:rPr>
        <w:t> </w:t>
      </w:r>
      <w:r>
        <w:rPr/>
        <w:t>still</w:t>
      </w:r>
      <w:r>
        <w:rPr>
          <w:spacing w:val="6"/>
        </w:rPr>
        <w:t> </w:t>
      </w:r>
      <w:r>
        <w:rPr/>
        <w:t>photos</w:t>
      </w:r>
      <w:r>
        <w:rPr>
          <w:spacing w:val="6"/>
        </w:rPr>
        <w:t> </w:t>
      </w:r>
      <w:r>
        <w:rPr/>
        <w:t>from</w:t>
      </w:r>
      <w:r>
        <w:rPr>
          <w:spacing w:val="4"/>
        </w:rPr>
        <w:t> </w:t>
      </w:r>
      <w:r>
        <w:rPr/>
        <w:t>a</w:t>
      </w:r>
      <w:r>
        <w:rPr>
          <w:spacing w:val="8"/>
        </w:rPr>
        <w:t> </w:t>
      </w:r>
      <w:r>
        <w:rPr/>
        <w:t>high-speed</w:t>
      </w:r>
      <w:r>
        <w:rPr>
          <w:spacing w:val="4"/>
        </w:rPr>
        <w:t> </w:t>
      </w:r>
      <w:r>
        <w:rPr/>
        <w:t>video</w:t>
      </w:r>
      <w:r>
        <w:rPr>
          <w:spacing w:val="6"/>
        </w:rPr>
        <w:t> </w:t>
      </w:r>
      <w:r>
        <w:rPr/>
        <w:t>capturing</w:t>
      </w:r>
      <w:r>
        <w:rPr>
          <w:spacing w:val="6"/>
        </w:rPr>
        <w:t> </w:t>
      </w:r>
      <w:r>
        <w:rPr/>
        <w:t>a</w:t>
      </w:r>
      <w:r>
        <w:rPr>
          <w:spacing w:val="1"/>
        </w:rPr>
        <w:t> </w:t>
      </w:r>
      <w:r>
        <w:rPr/>
        <w:t>complete</w:t>
      </w:r>
      <w:r>
        <w:rPr>
          <w:spacing w:val="-1"/>
        </w:rPr>
        <w:t> </w:t>
      </w:r>
      <w:r>
        <w:rPr/>
        <w:t>penetration.</w:t>
        <w:tab/>
        <w:t>233</w:t>
      </w:r>
    </w:p>
    <w:p>
      <w:pPr>
        <w:pStyle w:val="BodyText"/>
        <w:tabs>
          <w:tab w:pos="1879" w:val="left" w:leader="none"/>
          <w:tab w:pos="9079" w:val="right" w:leader="dot"/>
        </w:tabs>
        <w:spacing w:line="259" w:lineRule="auto" w:before="298"/>
        <w:ind w:left="1880" w:right="119" w:hanging="1440"/>
      </w:pPr>
      <w:r>
        <w:rPr/>
        <w:t>Figure</w:t>
      </w:r>
      <w:r>
        <w:rPr>
          <w:spacing w:val="-1"/>
        </w:rPr>
        <w:t> </w:t>
      </w:r>
      <w:r>
        <w:rPr/>
        <w:t>6.16</w:t>
        <w:tab/>
        <w:t>Two projectile paths with visible knots, (a) path tracks between two knots,</w:t>
      </w:r>
      <w:r>
        <w:rPr>
          <w:spacing w:val="-57"/>
        </w:rPr>
        <w:t> </w:t>
      </w:r>
      <w:r>
        <w:rPr/>
        <w:t>(b)</w:t>
      </w:r>
      <w:r>
        <w:rPr>
          <w:spacing w:val="-1"/>
        </w:rPr>
        <w:t> </w:t>
      </w:r>
      <w:r>
        <w:rPr/>
        <w:t>path</w:t>
      </w:r>
      <w:r>
        <w:rPr>
          <w:spacing w:val="-2"/>
        </w:rPr>
        <w:t> </w:t>
      </w:r>
      <w:r>
        <w:rPr/>
        <w:t>exposes a knot</w:t>
        <w:tab/>
        <w:t>235</w:t>
      </w:r>
    </w:p>
    <w:p>
      <w:pPr>
        <w:pStyle w:val="BodyText"/>
        <w:tabs>
          <w:tab w:pos="1879" w:val="left" w:leader="none"/>
          <w:tab w:pos="9079" w:val="right" w:leader="dot"/>
        </w:tabs>
        <w:spacing w:line="259" w:lineRule="auto" w:before="298"/>
        <w:ind w:left="1879" w:right="119" w:hanging="1440"/>
      </w:pPr>
      <w:r>
        <w:rPr/>
        <w:t>Figure</w:t>
      </w:r>
      <w:r>
        <w:rPr>
          <w:spacing w:val="-1"/>
        </w:rPr>
        <w:t> </w:t>
      </w:r>
      <w:r>
        <w:rPr/>
        <w:t>6.17</w:t>
        <w:tab/>
        <w:t>Shot 2 of specimen E-5P-12 was examined for potential indicators</w:t>
      </w:r>
      <w:r>
        <w:rPr>
          <w:spacing w:val="1"/>
        </w:rPr>
        <w:t> </w:t>
      </w:r>
      <w:r>
        <w:rPr/>
        <w:t>contributing</w:t>
      </w:r>
      <w:r>
        <w:rPr>
          <w:spacing w:val="-3"/>
        </w:rPr>
        <w:t> </w:t>
      </w:r>
      <w:r>
        <w:rPr/>
        <w:t>to a higher residual</w:t>
      </w:r>
      <w:r>
        <w:rPr>
          <w:spacing w:val="-1"/>
        </w:rPr>
        <w:t> </w:t>
      </w:r>
      <w:r>
        <w:rPr/>
        <w:t>velocity</w:t>
      </w:r>
      <w:r>
        <w:rPr>
          <w:spacing w:val="-2"/>
        </w:rPr>
        <w:t> </w:t>
      </w:r>
      <w:r>
        <w:rPr/>
        <w:t>than expected.</w:t>
        <w:tab/>
        <w:t>236</w:t>
      </w:r>
    </w:p>
    <w:p>
      <w:pPr>
        <w:pStyle w:val="BodyText"/>
        <w:tabs>
          <w:tab w:pos="1879" w:val="left" w:leader="none"/>
          <w:tab w:pos="9079" w:val="right" w:leader="dot"/>
        </w:tabs>
        <w:spacing w:before="275"/>
        <w:ind w:left="1879" w:right="119" w:hanging="1440"/>
      </w:pPr>
      <w:r>
        <w:rPr/>
        <w:t>Figure</w:t>
      </w:r>
      <w:r>
        <w:rPr>
          <w:spacing w:val="-1"/>
        </w:rPr>
        <w:t> </w:t>
      </w:r>
      <w:r>
        <w:rPr/>
        <w:t>7.1</w:t>
        <w:tab/>
        <w:t>Example of the washer hex drive screw used for mechanical connection</w:t>
      </w:r>
      <w:r>
        <w:rPr>
          <w:spacing w:val="1"/>
        </w:rPr>
        <w:t> </w:t>
      </w:r>
      <w:r>
        <w:rPr/>
        <w:t>with</w:t>
      </w:r>
      <w:r>
        <w:rPr>
          <w:spacing w:val="-1"/>
        </w:rPr>
        <w:t> </w:t>
      </w:r>
      <w:r>
        <w:rPr/>
        <w:t>ECLT</w:t>
      </w:r>
      <w:r>
        <w:rPr>
          <w:spacing w:val="-1"/>
        </w:rPr>
        <w:t> </w:t>
      </w:r>
      <w:r>
        <w:rPr/>
        <w:t>types 1, 2, and 6</w:t>
        <w:tab/>
        <w:t>242</w:t>
      </w:r>
    </w:p>
    <w:p>
      <w:pPr>
        <w:pStyle w:val="BodyText"/>
        <w:tabs>
          <w:tab w:pos="1879" w:val="left" w:leader="none"/>
          <w:tab w:pos="9079" w:val="right" w:leader="dot"/>
        </w:tabs>
        <w:spacing w:before="276"/>
        <w:ind w:left="1879" w:right="119" w:hanging="1440"/>
      </w:pPr>
      <w:r>
        <w:rPr/>
        <w:t>Figure</w:t>
      </w:r>
      <w:r>
        <w:rPr>
          <w:spacing w:val="-1"/>
        </w:rPr>
        <w:t> </w:t>
      </w:r>
      <w:r>
        <w:rPr/>
        <w:t>7.2</w:t>
        <w:tab/>
        <w:t>Schematic from performance specification document, MIL-PRG-32269,</w:t>
      </w:r>
      <w:r>
        <w:rPr>
          <w:spacing w:val="1"/>
        </w:rPr>
        <w:t> </w:t>
      </w:r>
      <w:r>
        <w:rPr/>
        <w:t>for</w:t>
      </w:r>
      <w:r>
        <w:rPr>
          <w:spacing w:val="-1"/>
        </w:rPr>
        <w:t> </w:t>
      </w:r>
      <w:r>
        <w:rPr/>
        <w:t>perforated homogeneous steel armor</w:t>
        <w:tab/>
        <w:t>245</w:t>
      </w:r>
    </w:p>
    <w:p>
      <w:pPr>
        <w:pStyle w:val="BodyText"/>
        <w:tabs>
          <w:tab w:pos="1879" w:val="left" w:leader="none"/>
          <w:tab w:pos="9079" w:val="right" w:leader="dot"/>
        </w:tabs>
        <w:spacing w:before="276"/>
        <w:ind w:left="1879" w:right="119" w:hanging="1440"/>
      </w:pPr>
      <w:r>
        <w:rPr/>
        <w:t>Figure</w:t>
      </w:r>
      <w:r>
        <w:rPr>
          <w:spacing w:val="-1"/>
        </w:rPr>
        <w:t> </w:t>
      </w:r>
      <w:r>
        <w:rPr/>
        <w:t>7.3</w:t>
        <w:tab/>
        <w:t>A close-up view of the P900 steel plate removed from the ECLT block</w:t>
      </w:r>
      <w:r>
        <w:rPr>
          <w:spacing w:val="1"/>
        </w:rPr>
        <w:t> </w:t>
      </w:r>
      <w:r>
        <w:rPr/>
        <w:t>post-</w:t>
      </w:r>
      <w:r>
        <w:rPr>
          <w:spacing w:val="-1"/>
        </w:rPr>
        <w:t> </w:t>
      </w:r>
      <w:r>
        <w:rPr/>
        <w:t>test</w:t>
        <w:tab/>
        <w:t>245</w:t>
      </w:r>
    </w:p>
    <w:p>
      <w:pPr>
        <w:spacing w:after="0"/>
        <w:sectPr>
          <w:pgSz w:w="12240" w:h="15840"/>
          <w:pgMar w:header="0" w:footer="984" w:top="1360" w:bottom="1260" w:left="1720" w:right="1320"/>
        </w:sectPr>
      </w:pPr>
    </w:p>
    <w:p>
      <w:pPr>
        <w:pStyle w:val="BodyText"/>
        <w:tabs>
          <w:tab w:pos="1879" w:val="left" w:leader="none"/>
        </w:tabs>
        <w:spacing w:before="78"/>
        <w:ind w:left="439"/>
      </w:pPr>
      <w:r>
        <w:rPr/>
        <w:t>Figure</w:t>
      </w:r>
      <w:r>
        <w:rPr>
          <w:spacing w:val="-1"/>
        </w:rPr>
        <w:t> </w:t>
      </w:r>
      <w:r>
        <w:rPr/>
        <w:t>7.4</w:t>
        <w:tab/>
        <w:t>A bond, the intersection</w:t>
      </w:r>
      <w:r>
        <w:rPr>
          <w:spacing w:val="-1"/>
        </w:rPr>
        <w:t> </w:t>
      </w:r>
      <w:r>
        <w:rPr/>
        <w:t>of metal strands,</w:t>
      </w:r>
      <w:r>
        <w:rPr>
          <w:spacing w:val="1"/>
        </w:rPr>
        <w:t> </w:t>
      </w:r>
      <w:r>
        <w:rPr/>
        <w:t>on an expanded</w:t>
      </w:r>
      <w:r>
        <w:rPr>
          <w:spacing w:val="1"/>
        </w:rPr>
        <w:t> </w:t>
      </w:r>
      <w:r>
        <w:rPr/>
        <w:t>metal plate...247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80" w:right="117" w:hanging="1440"/>
      </w:pPr>
      <w:r>
        <w:rPr/>
        <w:t>Figure</w:t>
      </w:r>
      <w:r>
        <w:rPr>
          <w:spacing w:val="-1"/>
        </w:rPr>
        <w:t> </w:t>
      </w:r>
      <w:r>
        <w:rPr/>
        <w:t>7.5</w:t>
        <w:tab/>
        <w:t>Key</w:t>
      </w:r>
      <w:r>
        <w:rPr>
          <w:spacing w:val="6"/>
        </w:rPr>
        <w:t> </w:t>
      </w:r>
      <w:r>
        <w:rPr/>
        <w:t>dimensional</w:t>
      </w:r>
      <w:r>
        <w:rPr>
          <w:spacing w:val="7"/>
        </w:rPr>
        <w:t> </w:t>
      </w:r>
      <w:r>
        <w:rPr/>
        <w:t>characteristics</w:t>
      </w:r>
      <w:r>
        <w:rPr>
          <w:spacing w:val="6"/>
        </w:rPr>
        <w:t> </w:t>
      </w:r>
      <w:r>
        <w:rPr/>
        <w:t>of</w:t>
      </w:r>
      <w:r>
        <w:rPr>
          <w:spacing w:val="5"/>
        </w:rPr>
        <w:t> </w:t>
      </w:r>
      <w:r>
        <w:rPr/>
        <w:t>expanded</w:t>
      </w:r>
      <w:r>
        <w:rPr>
          <w:spacing w:val="7"/>
        </w:rPr>
        <w:t> </w:t>
      </w:r>
      <w:r>
        <w:rPr/>
        <w:t>metal</w:t>
      </w:r>
      <w:r>
        <w:rPr>
          <w:spacing w:val="6"/>
        </w:rPr>
        <w:t> </w:t>
      </w:r>
      <w:r>
        <w:rPr/>
        <w:t>plate</w:t>
      </w:r>
      <w:r>
        <w:rPr>
          <w:spacing w:val="6"/>
        </w:rPr>
        <w:t> </w:t>
      </w:r>
      <w:r>
        <w:rPr/>
        <w:t>from</w:t>
      </w:r>
      <w:r>
        <w:rPr>
          <w:spacing w:val="5"/>
        </w:rPr>
        <w:t> </w:t>
      </w:r>
      <w:r>
        <w:rPr/>
        <w:t>the</w:t>
      </w:r>
      <w:r>
        <w:rPr>
          <w:spacing w:val="8"/>
        </w:rPr>
        <w:t> </w:t>
      </w:r>
      <w:r>
        <w:rPr/>
        <w:t>military</w:t>
      </w:r>
      <w:r>
        <w:rPr>
          <w:spacing w:val="-57"/>
        </w:rPr>
        <w:t> </w:t>
      </w:r>
      <w:r>
        <w:rPr/>
        <w:t>specification</w:t>
      </w:r>
      <w:r>
        <w:rPr>
          <w:spacing w:val="-4"/>
        </w:rPr>
        <w:t> </w:t>
      </w:r>
      <w:r>
        <w:rPr/>
        <w:t>standard,</w:t>
      </w:r>
      <w:r>
        <w:rPr>
          <w:spacing w:val="-3"/>
        </w:rPr>
        <w:t> </w:t>
      </w:r>
      <w:r>
        <w:rPr/>
        <w:t>MIL-M-17194D</w:t>
        <w:tab/>
      </w:r>
      <w:r>
        <w:rPr>
          <w:spacing w:val="-2"/>
        </w:rPr>
        <w:t>248</w:t>
      </w:r>
    </w:p>
    <w:p>
      <w:pPr>
        <w:pStyle w:val="BodyText"/>
        <w:tabs>
          <w:tab w:pos="1879" w:val="left" w:leader="none"/>
        </w:tabs>
        <w:spacing w:before="276"/>
        <w:ind w:left="440"/>
      </w:pPr>
      <w:r>
        <w:rPr/>
        <w:t>Figure</w:t>
      </w:r>
      <w:r>
        <w:rPr>
          <w:spacing w:val="-1"/>
        </w:rPr>
        <w:t> </w:t>
      </w:r>
      <w:r>
        <w:rPr/>
        <w:t>7.6</w:t>
        <w:tab/>
        <w:t>The</w:t>
      </w:r>
      <w:r>
        <w:rPr>
          <w:spacing w:val="-1"/>
        </w:rPr>
        <w:t> </w:t>
      </w:r>
      <w:r>
        <w:rPr/>
        <w:t>expanded</w:t>
      </w:r>
      <w:r>
        <w:rPr>
          <w:spacing w:val="-2"/>
        </w:rPr>
        <w:t> </w:t>
      </w:r>
      <w:r>
        <w:rPr/>
        <w:t>metal</w:t>
      </w:r>
      <w:r>
        <w:rPr>
          <w:spacing w:val="-1"/>
        </w:rPr>
        <w:t> </w:t>
      </w:r>
      <w:r>
        <w:rPr/>
        <w:t>plate</w:t>
      </w:r>
      <w:r>
        <w:rPr>
          <w:spacing w:val="-1"/>
        </w:rPr>
        <w:t> </w:t>
      </w:r>
      <w:r>
        <w:rPr/>
        <w:t>shown</w:t>
      </w:r>
      <w:r>
        <w:rPr>
          <w:spacing w:val="-2"/>
        </w:rPr>
        <w:t> </w:t>
      </w:r>
      <w:r>
        <w:rPr/>
        <w:t>assembled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ECLT</w:t>
      </w:r>
      <w:r>
        <w:rPr>
          <w:spacing w:val="-2"/>
        </w:rPr>
        <w:t> </w:t>
      </w:r>
      <w:r>
        <w:rPr/>
        <w:t>test</w:t>
      </w:r>
      <w:r>
        <w:rPr>
          <w:spacing w:val="-2"/>
        </w:rPr>
        <w:t> </w:t>
      </w:r>
      <w:r>
        <w:rPr/>
        <w:t>specimen.</w:t>
      </w:r>
    </w:p>
    <w:p>
      <w:pPr>
        <w:pStyle w:val="BodyText"/>
        <w:ind w:left="1880"/>
      </w:pPr>
      <w:r>
        <w:rPr/>
        <w:t>..................................................................................................................249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40"/>
      </w:pPr>
      <w:r>
        <w:rPr/>
        <w:t>Figure</w:t>
      </w:r>
      <w:r>
        <w:rPr>
          <w:spacing w:val="-1"/>
        </w:rPr>
        <w:t> </w:t>
      </w:r>
      <w:r>
        <w:rPr/>
        <w:t>7.7</w:t>
        <w:tab/>
        <w:t>Expanded</w:t>
      </w:r>
      <w:r>
        <w:rPr>
          <w:spacing w:val="-1"/>
        </w:rPr>
        <w:t> </w:t>
      </w:r>
      <w:r>
        <w:rPr/>
        <w:t>metal</w:t>
      </w:r>
      <w:r>
        <w:rPr>
          <w:spacing w:val="-1"/>
        </w:rPr>
        <w:t> </w:t>
      </w:r>
      <w:r>
        <w:rPr/>
        <w:t>petal</w:t>
      </w:r>
      <w:r>
        <w:rPr>
          <w:spacing w:val="-2"/>
        </w:rPr>
        <w:t> </w:t>
      </w:r>
      <w:r>
        <w:rPr/>
        <w:t>removed</w:t>
      </w:r>
      <w:r>
        <w:rPr>
          <w:spacing w:val="-1"/>
        </w:rPr>
        <w:t> </w:t>
      </w:r>
      <w:r>
        <w:rPr/>
        <w:t>from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ECLT</w:t>
      </w:r>
      <w:r>
        <w:rPr>
          <w:spacing w:val="-3"/>
        </w:rPr>
        <w:t> </w:t>
      </w:r>
      <w:r>
        <w:rPr/>
        <w:t>specimen</w:t>
      </w:r>
      <w:r>
        <w:rPr>
          <w:spacing w:val="-1"/>
        </w:rPr>
        <w:t> </w:t>
      </w:r>
      <w:r>
        <w:rPr/>
        <w:t>post-test</w:t>
        <w:tab/>
        <w:t>249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40"/>
      </w:pPr>
      <w:r>
        <w:rPr/>
        <w:t>Figure</w:t>
      </w:r>
      <w:r>
        <w:rPr>
          <w:spacing w:val="-1"/>
        </w:rPr>
        <w:t> </w:t>
      </w:r>
      <w:r>
        <w:rPr/>
        <w:t>7.8</w:t>
        <w:tab/>
        <w:t>Aramid</w:t>
      </w:r>
      <w:r>
        <w:rPr>
          <w:spacing w:val="-1"/>
        </w:rPr>
        <w:t> </w:t>
      </w:r>
      <w:r>
        <w:rPr/>
        <w:t>epoxy</w:t>
      </w:r>
      <w:r>
        <w:rPr>
          <w:spacing w:val="-1"/>
        </w:rPr>
        <w:t> </w:t>
      </w:r>
      <w:r>
        <w:rPr/>
        <w:t>panels</w:t>
      </w:r>
      <w:r>
        <w:rPr>
          <w:spacing w:val="-1"/>
        </w:rPr>
        <w:t> </w:t>
      </w:r>
      <w:r>
        <w:rPr/>
        <w:t>prior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production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ECLT</w:t>
      </w:r>
      <w:r>
        <w:rPr>
          <w:spacing w:val="-2"/>
        </w:rPr>
        <w:t> </w:t>
      </w:r>
      <w:r>
        <w:rPr/>
        <w:t>panel</w:t>
        <w:tab/>
        <w:t>251</w:t>
      </w:r>
    </w:p>
    <w:p>
      <w:pPr>
        <w:pStyle w:val="BodyText"/>
        <w:tabs>
          <w:tab w:pos="1879" w:val="left" w:leader="none"/>
        </w:tabs>
        <w:spacing w:before="276"/>
        <w:ind w:left="1880" w:right="301" w:hanging="1440"/>
      </w:pPr>
      <w:r>
        <w:rPr/>
        <w:t>Figure</w:t>
      </w:r>
      <w:r>
        <w:rPr>
          <w:spacing w:val="-1"/>
        </w:rPr>
        <w:t> </w:t>
      </w:r>
      <w:r>
        <w:rPr/>
        <w:t>7.9</w:t>
        <w:tab/>
        <w:t>Example of the failure mode plugging in a steel plate (a) the projectile</w:t>
      </w:r>
      <w:r>
        <w:rPr>
          <w:spacing w:val="1"/>
        </w:rPr>
        <w:t> </w:t>
      </w:r>
      <w:r>
        <w:rPr/>
        <w:t>embedded</w:t>
      </w:r>
      <w:r>
        <w:rPr>
          <w:spacing w:val="-1"/>
        </w:rPr>
        <w:t> </w:t>
      </w:r>
      <w:r>
        <w:rPr/>
        <w:t>in the</w:t>
      </w:r>
      <w:r>
        <w:rPr>
          <w:spacing w:val="-1"/>
        </w:rPr>
        <w:t> </w:t>
      </w:r>
      <w:r>
        <w:rPr/>
        <w:t>ejected</w:t>
      </w:r>
      <w:r>
        <w:rPr>
          <w:spacing w:val="-2"/>
        </w:rPr>
        <w:t> </w:t>
      </w:r>
      <w:r>
        <w:rPr/>
        <w:t>plug,</w:t>
      </w:r>
      <w:r>
        <w:rPr>
          <w:spacing w:val="-1"/>
        </w:rPr>
        <w:t> </w:t>
      </w:r>
      <w:r>
        <w:rPr/>
        <w:t>(b)</w:t>
      </w:r>
      <w:r>
        <w:rPr>
          <w:spacing w:val="-1"/>
        </w:rPr>
        <w:t> </w:t>
      </w:r>
      <w:r>
        <w:rPr/>
        <w:t>top</w:t>
      </w:r>
      <w:r>
        <w:rPr>
          <w:spacing w:val="-1"/>
        </w:rPr>
        <w:t> </w:t>
      </w:r>
      <w:r>
        <w:rPr/>
        <w:t>view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plug,</w:t>
      </w:r>
      <w:r>
        <w:rPr>
          <w:spacing w:val="-1"/>
        </w:rPr>
        <w:t> </w:t>
      </w:r>
      <w:r>
        <w:rPr/>
        <w:t>(c) side</w:t>
      </w:r>
      <w:r>
        <w:rPr>
          <w:spacing w:val="-2"/>
        </w:rPr>
        <w:t> </w:t>
      </w:r>
      <w:r>
        <w:rPr/>
        <w:t>view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plug.</w:t>
      </w:r>
    </w:p>
    <w:p>
      <w:pPr>
        <w:pStyle w:val="BodyText"/>
        <w:ind w:left="1880"/>
      </w:pPr>
      <w:r>
        <w:rPr/>
        <w:t>..................................................................................................................253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40"/>
      </w:pPr>
      <w:r>
        <w:rPr/>
        <w:t>Figure</w:t>
      </w:r>
      <w:r>
        <w:rPr>
          <w:spacing w:val="-1"/>
        </w:rPr>
        <w:t> </w:t>
      </w:r>
      <w:r>
        <w:rPr/>
        <w:t>7.10</w:t>
        <w:tab/>
        <w:t>Side</w:t>
      </w:r>
      <w:r>
        <w:rPr>
          <w:spacing w:val="-1"/>
        </w:rPr>
        <w:t> </w:t>
      </w:r>
      <w:r>
        <w:rPr/>
        <w:t>view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UHMWPE</w:t>
      </w:r>
      <w:r>
        <w:rPr>
          <w:spacing w:val="-1"/>
        </w:rPr>
        <w:t> </w:t>
      </w:r>
      <w:r>
        <w:rPr/>
        <w:t>layer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ECLT</w:t>
      </w:r>
      <w:r>
        <w:rPr>
          <w:spacing w:val="-2"/>
        </w:rPr>
        <w:t> </w:t>
      </w:r>
      <w:r>
        <w:rPr/>
        <w:t>specimen</w:t>
        <w:tab/>
        <w:t>255</w:t>
      </w:r>
    </w:p>
    <w:p>
      <w:pPr>
        <w:pStyle w:val="BodyText"/>
        <w:tabs>
          <w:tab w:pos="1879" w:val="left" w:leader="none"/>
        </w:tabs>
        <w:spacing w:before="276"/>
        <w:ind w:left="439"/>
      </w:pPr>
      <w:r>
        <w:rPr/>
        <w:t>Figure</w:t>
      </w:r>
      <w:r>
        <w:rPr>
          <w:spacing w:val="-1"/>
        </w:rPr>
        <w:t> </w:t>
      </w:r>
      <w:r>
        <w:rPr/>
        <w:t>7.11</w:t>
        <w:tab/>
        <w:t>Close-up</w:t>
      </w:r>
      <w:r>
        <w:rPr>
          <w:spacing w:val="-1"/>
        </w:rPr>
        <w:t> </w:t>
      </w:r>
      <w:r>
        <w:rPr/>
        <w:t>side</w:t>
      </w:r>
      <w:r>
        <w:rPr>
          <w:spacing w:val="-1"/>
        </w:rPr>
        <w:t> </w:t>
      </w:r>
      <w:r>
        <w:rPr/>
        <w:t>view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4-ply</w:t>
      </w:r>
      <w:r>
        <w:rPr>
          <w:spacing w:val="-1"/>
        </w:rPr>
        <w:t> </w:t>
      </w:r>
      <w:r>
        <w:rPr/>
        <w:t>layer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fiberglass</w:t>
      </w:r>
      <w:r>
        <w:rPr>
          <w:spacing w:val="-1"/>
        </w:rPr>
        <w:t> </w:t>
      </w:r>
      <w:r>
        <w:rPr/>
        <w:t>fabric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ECLT</w:t>
      </w:r>
      <w:r>
        <w:rPr>
          <w:spacing w:val="-2"/>
        </w:rPr>
        <w:t> </w:t>
      </w:r>
      <w:r>
        <w:rPr/>
        <w:t>specimen.</w:t>
      </w:r>
    </w:p>
    <w:p>
      <w:pPr>
        <w:pStyle w:val="BodyText"/>
        <w:ind w:left="1879"/>
      </w:pPr>
      <w:r>
        <w:rPr/>
        <w:t>..................................................................................................................257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80" w:right="119" w:hanging="1440"/>
      </w:pPr>
      <w:r>
        <w:rPr/>
        <w:t>Figure</w:t>
      </w:r>
      <w:r>
        <w:rPr>
          <w:spacing w:val="-1"/>
        </w:rPr>
        <w:t> </w:t>
      </w:r>
      <w:r>
        <w:rPr/>
        <w:t>7.12</w:t>
        <w:tab/>
        <w:t>Single-ply layers of fiberglass fabric between each wood layer in ECLT</w:t>
      </w:r>
      <w:r>
        <w:rPr>
          <w:spacing w:val="1"/>
        </w:rPr>
        <w:t> </w:t>
      </w:r>
      <w:r>
        <w:rPr/>
        <w:t>specimen</w:t>
        <w:tab/>
      </w:r>
      <w:r>
        <w:rPr>
          <w:spacing w:val="-2"/>
        </w:rPr>
        <w:t>258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80" w:right="119" w:hanging="1440"/>
      </w:pPr>
      <w:r>
        <w:rPr/>
        <w:t>Figure</w:t>
      </w:r>
      <w:r>
        <w:rPr>
          <w:spacing w:val="-1"/>
        </w:rPr>
        <w:t> </w:t>
      </w:r>
      <w:r>
        <w:rPr/>
        <w:t>7.13</w:t>
        <w:tab/>
        <w:t>Disassembled ECLT: (left) P900 perforated steel plate; (right) 3-ply CLT</w:t>
      </w:r>
      <w:r>
        <w:rPr>
          <w:spacing w:val="1"/>
        </w:rPr>
        <w:t> </w:t>
      </w:r>
      <w:r>
        <w:rPr/>
        <w:t>positioned</w:t>
      </w:r>
      <w:r>
        <w:rPr>
          <w:spacing w:val="-1"/>
        </w:rPr>
        <w:t> </w:t>
      </w:r>
      <w:r>
        <w:rPr/>
        <w:t>behind</w:t>
      </w:r>
      <w:r>
        <w:rPr>
          <w:spacing w:val="-1"/>
        </w:rPr>
        <w:t> </w:t>
      </w:r>
      <w:r>
        <w:rPr/>
        <w:t>P900</w:t>
      </w:r>
      <w:r>
        <w:rPr>
          <w:spacing w:val="-1"/>
        </w:rPr>
        <w:t> </w:t>
      </w:r>
      <w:r>
        <w:rPr/>
        <w:t>plate</w:t>
        <w:tab/>
      </w:r>
      <w:r>
        <w:rPr>
          <w:spacing w:val="-2"/>
        </w:rPr>
        <w:t>260</w:t>
      </w:r>
    </w:p>
    <w:p>
      <w:pPr>
        <w:pStyle w:val="BodyText"/>
        <w:tabs>
          <w:tab w:pos="1879" w:val="left" w:leader="none"/>
          <w:tab w:pos="8719" w:val="left" w:leader="dot"/>
        </w:tabs>
        <w:spacing w:before="275"/>
        <w:ind w:left="1880" w:right="119" w:hanging="1440"/>
      </w:pPr>
      <w:r>
        <w:rPr/>
        <w:t>Figure</w:t>
      </w:r>
      <w:r>
        <w:rPr>
          <w:spacing w:val="-1"/>
        </w:rPr>
        <w:t> </w:t>
      </w:r>
      <w:r>
        <w:rPr/>
        <w:t>7.14</w:t>
        <w:tab/>
        <w:t>Close-up of shots 1-7 on perforated steel plate; for each labeled shot (top)</w:t>
      </w:r>
      <w:r>
        <w:rPr>
          <w:spacing w:val="1"/>
        </w:rPr>
        <w:t> </w:t>
      </w:r>
      <w:r>
        <w:rPr/>
        <w:t>front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steel</w:t>
      </w:r>
      <w:r>
        <w:rPr>
          <w:spacing w:val="-2"/>
        </w:rPr>
        <w:t> </w:t>
      </w:r>
      <w:r>
        <w:rPr/>
        <w:t>plate,</w:t>
      </w:r>
      <w:r>
        <w:rPr>
          <w:spacing w:val="-2"/>
        </w:rPr>
        <w:t> </w:t>
      </w:r>
      <w:r>
        <w:rPr/>
        <w:t>(bottom) face of</w:t>
      </w:r>
      <w:r>
        <w:rPr>
          <w:spacing w:val="-2"/>
        </w:rPr>
        <w:t> </w:t>
      </w:r>
      <w:r>
        <w:rPr/>
        <w:t>3-ply</w:t>
      </w:r>
      <w:r>
        <w:rPr>
          <w:spacing w:val="-1"/>
        </w:rPr>
        <w:t> </w:t>
      </w:r>
      <w:r>
        <w:rPr/>
        <w:t>behind</w:t>
      </w:r>
      <w:r>
        <w:rPr>
          <w:spacing w:val="-3"/>
        </w:rPr>
        <w:t> </w:t>
      </w:r>
      <w:r>
        <w:rPr/>
        <w:t>steel</w:t>
      </w:r>
      <w:r>
        <w:rPr>
          <w:spacing w:val="-1"/>
        </w:rPr>
        <w:t> </w:t>
      </w:r>
      <w:r>
        <w:rPr/>
        <w:t>plate</w:t>
        <w:tab/>
      </w:r>
      <w:r>
        <w:rPr>
          <w:spacing w:val="-2"/>
        </w:rPr>
        <w:t>262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80" w:right="119" w:hanging="1440"/>
      </w:pPr>
      <w:r>
        <w:rPr/>
        <w:t>Figure</w:t>
      </w:r>
      <w:r>
        <w:rPr>
          <w:spacing w:val="-1"/>
        </w:rPr>
        <w:t> </w:t>
      </w:r>
      <w:r>
        <w:rPr/>
        <w:t>7.15</w:t>
        <w:tab/>
        <w:t>Disassembled ECLT: (left) expanded metal plate; (right) 3-plt CLT</w:t>
      </w:r>
      <w:r>
        <w:rPr>
          <w:spacing w:val="1"/>
        </w:rPr>
        <w:t> </w:t>
      </w:r>
      <w:r>
        <w:rPr/>
        <w:t>positioned behind the expanded metal plate shows damage from metal</w:t>
      </w:r>
      <w:r>
        <w:rPr>
          <w:spacing w:val="1"/>
        </w:rPr>
        <w:t> </w:t>
      </w:r>
      <w:r>
        <w:rPr/>
        <w:t>fracturing.</w:t>
        <w:tab/>
      </w:r>
      <w:r>
        <w:rPr>
          <w:spacing w:val="-2"/>
        </w:rPr>
        <w:t>263</w:t>
      </w:r>
    </w:p>
    <w:p>
      <w:pPr>
        <w:pStyle w:val="BodyText"/>
        <w:tabs>
          <w:tab w:pos="1879" w:val="left" w:leader="none"/>
        </w:tabs>
        <w:spacing w:before="276"/>
        <w:ind w:left="1880" w:right="160" w:hanging="1440"/>
        <w:jc w:val="right"/>
      </w:pPr>
      <w:r>
        <w:rPr/>
        <w:t>Figure</w:t>
      </w:r>
      <w:r>
        <w:rPr>
          <w:spacing w:val="-1"/>
        </w:rPr>
        <w:t> </w:t>
      </w:r>
      <w:r>
        <w:rPr/>
        <w:t>7.16</w:t>
        <w:tab/>
        <w:t>Close-up of shots 1-8 on expanded metal plate; for each shot (top) front of</w:t>
      </w:r>
      <w:r>
        <w:rPr>
          <w:spacing w:val="-57"/>
        </w:rPr>
        <w:t> </w:t>
      </w:r>
      <w:r>
        <w:rPr/>
        <w:t>expanded</w:t>
      </w:r>
      <w:r>
        <w:rPr>
          <w:spacing w:val="-2"/>
        </w:rPr>
        <w:t> </w:t>
      </w:r>
      <w:r>
        <w:rPr/>
        <w:t>metal</w:t>
      </w:r>
      <w:r>
        <w:rPr>
          <w:spacing w:val="-1"/>
        </w:rPr>
        <w:t> </w:t>
      </w:r>
      <w:r>
        <w:rPr/>
        <w:t>plate,</w:t>
      </w:r>
      <w:r>
        <w:rPr>
          <w:spacing w:val="-2"/>
        </w:rPr>
        <w:t> </w:t>
      </w:r>
      <w:r>
        <w:rPr/>
        <w:t>(bottom)</w:t>
      </w:r>
      <w:r>
        <w:rPr>
          <w:spacing w:val="-1"/>
        </w:rPr>
        <w:t> </w:t>
      </w:r>
      <w:r>
        <w:rPr/>
        <w:t>face</w:t>
      </w:r>
      <w:r>
        <w:rPr>
          <w:spacing w:val="-1"/>
        </w:rPr>
        <w:t> </w:t>
      </w:r>
      <w:r>
        <w:rPr/>
        <w:t>of</w:t>
      </w:r>
      <w:r>
        <w:rPr>
          <w:spacing w:val="-3"/>
        </w:rPr>
        <w:t> </w:t>
      </w:r>
      <w:r>
        <w:rPr/>
        <w:t>3-ply</w:t>
      </w:r>
      <w:r>
        <w:rPr>
          <w:spacing w:val="-1"/>
        </w:rPr>
        <w:t> </w:t>
      </w:r>
      <w:r>
        <w:rPr/>
        <w:t>behind</w:t>
      </w:r>
      <w:r>
        <w:rPr>
          <w:spacing w:val="-2"/>
        </w:rPr>
        <w:t> </w:t>
      </w:r>
      <w:r>
        <w:rPr/>
        <w:t>expanded metal</w:t>
      </w:r>
      <w:r>
        <w:rPr>
          <w:spacing w:val="-1"/>
        </w:rPr>
        <w:t> </w:t>
      </w:r>
      <w:r>
        <w:rPr/>
        <w:t>plate.</w:t>
      </w:r>
    </w:p>
    <w:p>
      <w:pPr>
        <w:pStyle w:val="BodyText"/>
        <w:ind w:right="119"/>
        <w:jc w:val="right"/>
      </w:pPr>
      <w:r>
        <w:rPr/>
        <w:t>..................................................................................................................265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80" w:right="119" w:hanging="1440"/>
      </w:pPr>
      <w:r>
        <w:rPr/>
        <w:t>Figure</w:t>
      </w:r>
      <w:r>
        <w:rPr>
          <w:spacing w:val="-1"/>
        </w:rPr>
        <w:t> </w:t>
      </w:r>
      <w:r>
        <w:rPr/>
        <w:t>7.17</w:t>
        <w:tab/>
        <w:t>Minor damage to sphere projectiles observed from expanded metal plate</w:t>
      </w:r>
      <w:r>
        <w:rPr>
          <w:spacing w:val="1"/>
        </w:rPr>
        <w:t> </w:t>
      </w:r>
      <w:r>
        <w:rPr/>
        <w:t>impact</w:t>
        <w:tab/>
      </w:r>
      <w:r>
        <w:rPr>
          <w:spacing w:val="-2"/>
        </w:rPr>
        <w:t>266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40"/>
      </w:pPr>
      <w:r>
        <w:rPr/>
        <w:t>Figure</w:t>
      </w:r>
      <w:r>
        <w:rPr>
          <w:spacing w:val="-1"/>
        </w:rPr>
        <w:t> </w:t>
      </w:r>
      <w:r>
        <w:rPr/>
        <w:t>7.18</w:t>
        <w:tab/>
        <w:t>Aramid</w:t>
      </w:r>
      <w:r>
        <w:rPr>
          <w:spacing w:val="-1"/>
        </w:rPr>
        <w:t> </w:t>
      </w:r>
      <w:r>
        <w:rPr/>
        <w:t>epoxy</w:t>
      </w:r>
      <w:r>
        <w:rPr>
          <w:spacing w:val="-1"/>
        </w:rPr>
        <w:t> </w:t>
      </w:r>
      <w:r>
        <w:rPr/>
        <w:t>panel</w:t>
      </w:r>
      <w:r>
        <w:rPr>
          <w:spacing w:val="-1"/>
        </w:rPr>
        <w:t> </w:t>
      </w:r>
      <w:r>
        <w:rPr/>
        <w:t>ECLT</w:t>
      </w:r>
      <w:r>
        <w:rPr>
          <w:spacing w:val="-2"/>
        </w:rPr>
        <w:t> </w:t>
      </w:r>
      <w:r>
        <w:rPr/>
        <w:t>with</w:t>
      </w:r>
      <w:r>
        <w:rPr>
          <w:spacing w:val="-1"/>
        </w:rPr>
        <w:t> </w:t>
      </w:r>
      <w:r>
        <w:rPr/>
        <w:t>projectile</w:t>
      </w:r>
      <w:r>
        <w:rPr>
          <w:spacing w:val="-1"/>
        </w:rPr>
        <w:t> </w:t>
      </w:r>
      <w:r>
        <w:rPr/>
        <w:t>path</w:t>
      </w:r>
      <w:r>
        <w:rPr>
          <w:spacing w:val="-1"/>
        </w:rPr>
        <w:t> </w:t>
      </w:r>
      <w:r>
        <w:rPr/>
        <w:t>cut-away</w:t>
        <w:tab/>
        <w:t>268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79" w:right="119" w:hanging="1440"/>
      </w:pPr>
      <w:r>
        <w:rPr/>
        <w:t>Figure</w:t>
      </w:r>
      <w:r>
        <w:rPr>
          <w:spacing w:val="-1"/>
        </w:rPr>
        <w:t> </w:t>
      </w:r>
      <w:r>
        <w:rPr/>
        <w:t>7.19</w:t>
        <w:tab/>
        <w:t>Dissection of aramid panel ECLT: (left) close-up of projectile path; (right)</w:t>
      </w:r>
      <w:r>
        <w:rPr>
          <w:spacing w:val="-57"/>
        </w:rPr>
        <w:t> </w:t>
      </w:r>
      <w:r>
        <w:rPr/>
        <w:t>fracture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aramid</w:t>
      </w:r>
      <w:r>
        <w:rPr>
          <w:spacing w:val="-1"/>
        </w:rPr>
        <w:t> </w:t>
      </w:r>
      <w:r>
        <w:rPr/>
        <w:t>fibers</w:t>
        <w:tab/>
      </w:r>
      <w:r>
        <w:rPr>
          <w:spacing w:val="-2"/>
        </w:rPr>
        <w:t>269</w:t>
      </w:r>
    </w:p>
    <w:p>
      <w:pPr>
        <w:spacing w:after="0"/>
        <w:sectPr>
          <w:pgSz w:w="12240" w:h="15840"/>
          <w:pgMar w:header="0" w:footer="984" w:top="1360" w:bottom="1260" w:left="1720" w:right="1320"/>
        </w:sectPr>
      </w:pPr>
    </w:p>
    <w:p>
      <w:pPr>
        <w:pStyle w:val="BodyText"/>
        <w:tabs>
          <w:tab w:pos="1879" w:val="left" w:leader="none"/>
          <w:tab w:pos="8719" w:val="left" w:leader="dot"/>
        </w:tabs>
        <w:spacing w:before="78"/>
        <w:ind w:left="1880" w:right="119" w:hanging="1440"/>
      </w:pPr>
      <w:r>
        <w:rPr/>
        <w:t>Figure</w:t>
      </w:r>
      <w:r>
        <w:rPr>
          <w:spacing w:val="-1"/>
        </w:rPr>
        <w:t> </w:t>
      </w:r>
      <w:r>
        <w:rPr/>
        <w:t>7.20</w:t>
        <w:tab/>
        <w:t>Mild steel ECLT post-test: (left) front face, 2-ply CLT; (center) mild steel</w:t>
      </w:r>
      <w:r>
        <w:rPr>
          <w:spacing w:val="1"/>
        </w:rPr>
        <w:t> </w:t>
      </w:r>
      <w:r>
        <w:rPr/>
        <w:t>plate</w:t>
      </w:r>
      <w:r>
        <w:rPr>
          <w:spacing w:val="-2"/>
        </w:rPr>
        <w:t> </w:t>
      </w:r>
      <w:r>
        <w:rPr/>
        <w:t>face;</w:t>
      </w:r>
      <w:r>
        <w:rPr>
          <w:spacing w:val="-1"/>
        </w:rPr>
        <w:t> </w:t>
      </w:r>
      <w:r>
        <w:rPr/>
        <w:t>(right)</w:t>
      </w:r>
      <w:r>
        <w:rPr>
          <w:spacing w:val="-1"/>
        </w:rPr>
        <w:t> </w:t>
      </w:r>
      <w:r>
        <w:rPr/>
        <w:t>back</w:t>
      </w:r>
      <w:r>
        <w:rPr>
          <w:spacing w:val="-1"/>
        </w:rPr>
        <w:t> </w:t>
      </w:r>
      <w:r>
        <w:rPr/>
        <w:t>of</w:t>
      </w:r>
      <w:r>
        <w:rPr>
          <w:spacing w:val="-3"/>
        </w:rPr>
        <w:t> </w:t>
      </w:r>
      <w:r>
        <w:rPr/>
        <w:t>2-ply</w:t>
      </w:r>
      <w:r>
        <w:rPr>
          <w:spacing w:val="-1"/>
        </w:rPr>
        <w:t> </w:t>
      </w:r>
      <w:r>
        <w:rPr/>
        <w:t>CLT.</w:t>
        <w:tab/>
      </w:r>
      <w:r>
        <w:rPr>
          <w:spacing w:val="-2"/>
        </w:rPr>
        <w:t>271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80" w:right="119" w:hanging="1440"/>
      </w:pPr>
      <w:r>
        <w:rPr/>
        <w:t>Figure</w:t>
      </w:r>
      <w:r>
        <w:rPr>
          <w:spacing w:val="-1"/>
        </w:rPr>
        <w:t> </w:t>
      </w:r>
      <w:r>
        <w:rPr/>
        <w:t>7.21</w:t>
        <w:tab/>
        <w:t>Evidence of wood fracturing at wood-mild steel interface: (left), top</w:t>
      </w:r>
      <w:r>
        <w:rPr>
          <w:spacing w:val="1"/>
        </w:rPr>
        <w:t> </w:t>
      </w:r>
      <w:r>
        <w:rPr/>
        <w:t>perspective,</w:t>
      </w:r>
      <w:r>
        <w:rPr>
          <w:spacing w:val="-3"/>
        </w:rPr>
        <w:t> </w:t>
      </w:r>
      <w:r>
        <w:rPr/>
        <w:t>(right)</w:t>
      </w:r>
      <w:r>
        <w:rPr>
          <w:spacing w:val="-1"/>
        </w:rPr>
        <w:t> </w:t>
      </w:r>
      <w:r>
        <w:rPr/>
        <w:t>side</w:t>
      </w:r>
      <w:r>
        <w:rPr>
          <w:spacing w:val="-2"/>
        </w:rPr>
        <w:t> </w:t>
      </w:r>
      <w:r>
        <w:rPr/>
        <w:t>perspective</w:t>
        <w:tab/>
      </w:r>
      <w:r>
        <w:rPr>
          <w:spacing w:val="-2"/>
        </w:rPr>
        <w:t>272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80" w:right="119" w:hanging="1440"/>
      </w:pPr>
      <w:r>
        <w:rPr/>
        <w:t>Figure</w:t>
      </w:r>
      <w:r>
        <w:rPr>
          <w:spacing w:val="-1"/>
        </w:rPr>
        <w:t> </w:t>
      </w:r>
      <w:r>
        <w:rPr/>
        <w:t>7.22</w:t>
        <w:tab/>
        <w:t>Bulge formed in mild steel and indentation in 3-ply CLT affixed behind</w:t>
      </w:r>
      <w:r>
        <w:rPr>
          <w:spacing w:val="1"/>
        </w:rPr>
        <w:t> </w:t>
      </w:r>
      <w:r>
        <w:rPr/>
        <w:t>steel</w:t>
        <w:tab/>
      </w:r>
      <w:r>
        <w:rPr>
          <w:spacing w:val="-2"/>
        </w:rPr>
        <w:t>273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79" w:right="119" w:hanging="1440"/>
      </w:pPr>
      <w:r>
        <w:rPr/>
        <w:t>Figure</w:t>
      </w:r>
      <w:r>
        <w:rPr>
          <w:spacing w:val="-1"/>
        </w:rPr>
        <w:t> </w:t>
      </w:r>
      <w:r>
        <w:rPr/>
        <w:t>7.23</w:t>
        <w:tab/>
        <w:t>High-hard</w:t>
      </w:r>
      <w:r>
        <w:rPr>
          <w:spacing w:val="1"/>
        </w:rPr>
        <w:t> </w:t>
      </w:r>
      <w:r>
        <w:rPr/>
        <w:t>steel</w:t>
      </w:r>
      <w:r>
        <w:rPr>
          <w:spacing w:val="1"/>
        </w:rPr>
        <w:t> </w:t>
      </w:r>
      <w:r>
        <w:rPr/>
        <w:t>ECLT specimen</w:t>
      </w:r>
      <w:r>
        <w:rPr>
          <w:spacing w:val="1"/>
        </w:rPr>
        <w:t> </w:t>
      </w:r>
      <w:r>
        <w:rPr/>
        <w:t>post-test: (left)</w:t>
      </w:r>
      <w:r>
        <w:rPr>
          <w:spacing w:val="1"/>
        </w:rPr>
        <w:t> </w:t>
      </w:r>
      <w:r>
        <w:rPr/>
        <w:t>back</w:t>
      </w:r>
      <w:r>
        <w:rPr>
          <w:spacing w:val="1"/>
        </w:rPr>
        <w:t> </w:t>
      </w:r>
      <w:r>
        <w:rPr/>
        <w:t>of 2-plt CLT,</w:t>
      </w:r>
      <w:r>
        <w:rPr>
          <w:spacing w:val="1"/>
        </w:rPr>
        <w:t> </w:t>
      </w:r>
      <w:r>
        <w:rPr/>
        <w:t>(center) front of 1/4-inch high-hard steel plate, (right) front of 3-ply CLT</w:t>
      </w:r>
      <w:r>
        <w:rPr>
          <w:spacing w:val="1"/>
        </w:rPr>
        <w:t> </w:t>
      </w:r>
      <w:r>
        <w:rPr/>
        <w:t>positioned</w:t>
      </w:r>
      <w:r>
        <w:rPr>
          <w:spacing w:val="-2"/>
        </w:rPr>
        <w:t> </w:t>
      </w:r>
      <w:r>
        <w:rPr/>
        <w:t>behind</w:t>
      </w:r>
      <w:r>
        <w:rPr>
          <w:spacing w:val="-2"/>
        </w:rPr>
        <w:t> </w:t>
      </w:r>
      <w:r>
        <w:rPr/>
        <w:t>steel</w:t>
      </w:r>
      <w:r>
        <w:rPr>
          <w:spacing w:val="-1"/>
        </w:rPr>
        <w:t> </w:t>
      </w:r>
      <w:r>
        <w:rPr/>
        <w:t>plate.</w:t>
        <w:tab/>
      </w:r>
      <w:r>
        <w:rPr>
          <w:spacing w:val="-2"/>
        </w:rPr>
        <w:t>274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80" w:right="119" w:hanging="1440"/>
      </w:pPr>
      <w:r>
        <w:rPr/>
        <w:t>Figure</w:t>
      </w:r>
      <w:r>
        <w:rPr>
          <w:spacing w:val="-1"/>
        </w:rPr>
        <w:t> </w:t>
      </w:r>
      <w:r>
        <w:rPr/>
        <w:t>7.24</w:t>
        <w:tab/>
        <w:t>Post-test on high-hard steel ECLT (left) Plugging failure of steel plate</w:t>
      </w:r>
      <w:r>
        <w:rPr>
          <w:spacing w:val="1"/>
        </w:rPr>
        <w:t> </w:t>
      </w:r>
      <w:r>
        <w:rPr/>
        <w:t>embeds projectile sized plug into 3-ply face; (right) Damage to sphere</w:t>
      </w:r>
      <w:r>
        <w:rPr>
          <w:spacing w:val="1"/>
        </w:rPr>
        <w:t> </w:t>
      </w:r>
      <w:r>
        <w:rPr/>
        <w:t>projectiles</w:t>
        <w:tab/>
      </w:r>
      <w:r>
        <w:rPr>
          <w:spacing w:val="-2"/>
        </w:rPr>
        <w:t>275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80" w:right="119" w:hanging="1440"/>
      </w:pPr>
      <w:r>
        <w:rPr/>
        <w:t>Figure</w:t>
      </w:r>
      <w:r>
        <w:rPr>
          <w:spacing w:val="-1"/>
        </w:rPr>
        <w:t> </w:t>
      </w:r>
      <w:r>
        <w:rPr/>
        <w:t>7.25</w:t>
        <w:tab/>
        <w:t>Wood fracture observed after test shots at wood-steel interface: (left) top</w:t>
      </w:r>
      <w:r>
        <w:rPr>
          <w:spacing w:val="1"/>
        </w:rPr>
        <w:t> </w:t>
      </w:r>
      <w:r>
        <w:rPr/>
        <w:t>perspective,</w:t>
      </w:r>
      <w:r>
        <w:rPr>
          <w:spacing w:val="-3"/>
        </w:rPr>
        <w:t> </w:t>
      </w:r>
      <w:r>
        <w:rPr/>
        <w:t>(right)</w:t>
      </w:r>
      <w:r>
        <w:rPr>
          <w:spacing w:val="-1"/>
        </w:rPr>
        <w:t> </w:t>
      </w:r>
      <w:r>
        <w:rPr/>
        <w:t>side</w:t>
      </w:r>
      <w:r>
        <w:rPr>
          <w:spacing w:val="-2"/>
        </w:rPr>
        <w:t> </w:t>
      </w:r>
      <w:r>
        <w:rPr/>
        <w:t>perspective</w:t>
        <w:tab/>
      </w:r>
      <w:r>
        <w:rPr>
          <w:spacing w:val="-2"/>
        </w:rPr>
        <w:t>276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80" w:right="119" w:hanging="1440"/>
      </w:pPr>
      <w:r>
        <w:rPr/>
        <w:t>Figure</w:t>
      </w:r>
      <w:r>
        <w:rPr>
          <w:spacing w:val="-1"/>
        </w:rPr>
        <w:t> </w:t>
      </w:r>
      <w:r>
        <w:rPr/>
        <w:t>7.26</w:t>
        <w:tab/>
        <w:t>UHMWPE ECLT dissected: (left) back of front 2-ply CLT; (right) front of</w:t>
      </w:r>
      <w:r>
        <w:rPr>
          <w:spacing w:val="-57"/>
        </w:rPr>
        <w:t> </w:t>
      </w:r>
      <w:r>
        <w:rPr/>
        <w:t>UHMWPE</w:t>
      </w:r>
      <w:r>
        <w:rPr>
          <w:spacing w:val="-1"/>
        </w:rPr>
        <w:t> </w:t>
      </w:r>
      <w:r>
        <w:rPr/>
        <w:t>panel</w:t>
        <w:tab/>
      </w:r>
      <w:r>
        <w:rPr>
          <w:spacing w:val="-2"/>
        </w:rPr>
        <w:t>278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80" w:right="119" w:hanging="1440"/>
      </w:pPr>
      <w:r>
        <w:rPr/>
        <w:t>Figure</w:t>
      </w:r>
      <w:r>
        <w:rPr>
          <w:spacing w:val="-1"/>
        </w:rPr>
        <w:t> </w:t>
      </w:r>
      <w:r>
        <w:rPr/>
        <w:t>7.27</w:t>
        <w:tab/>
        <w:t>UHMWPE ECLT dissected part two: (left) back of UHMWPE section;</w:t>
      </w:r>
      <w:r>
        <w:rPr>
          <w:spacing w:val="1"/>
        </w:rPr>
        <w:t> </w:t>
      </w:r>
      <w:r>
        <w:rPr/>
        <w:t>(right)</w:t>
      </w:r>
      <w:r>
        <w:rPr>
          <w:spacing w:val="-2"/>
        </w:rPr>
        <w:t> </w:t>
      </w:r>
      <w:r>
        <w:rPr/>
        <w:t>front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3-ply</w:t>
      </w:r>
      <w:r>
        <w:rPr>
          <w:spacing w:val="-1"/>
        </w:rPr>
        <w:t> </w:t>
      </w:r>
      <w:r>
        <w:rPr/>
        <w:t>CLT</w:t>
      </w:r>
      <w:r>
        <w:rPr>
          <w:spacing w:val="-3"/>
        </w:rPr>
        <w:t> </w:t>
      </w:r>
      <w:r>
        <w:rPr/>
        <w:t>behind</w:t>
      </w:r>
      <w:r>
        <w:rPr>
          <w:spacing w:val="-1"/>
        </w:rPr>
        <w:t> </w:t>
      </w:r>
      <w:r>
        <w:rPr/>
        <w:t>UHMWPE</w:t>
        <w:tab/>
      </w:r>
      <w:r>
        <w:rPr>
          <w:spacing w:val="-2"/>
        </w:rPr>
        <w:t>278</w:t>
      </w:r>
    </w:p>
    <w:p>
      <w:pPr>
        <w:pStyle w:val="BodyText"/>
        <w:tabs>
          <w:tab w:pos="1879" w:val="left" w:leader="none"/>
          <w:tab w:pos="8719" w:val="left" w:leader="dot"/>
        </w:tabs>
        <w:spacing w:before="275"/>
        <w:ind w:left="440"/>
      </w:pPr>
      <w:r>
        <w:rPr/>
        <w:t>Figure</w:t>
      </w:r>
      <w:r>
        <w:rPr>
          <w:spacing w:val="-1"/>
        </w:rPr>
        <w:t> </w:t>
      </w:r>
      <w:r>
        <w:rPr/>
        <w:t>7.28</w:t>
        <w:tab/>
        <w:t>Damage</w:t>
      </w:r>
      <w:r>
        <w:rPr>
          <w:spacing w:val="-1"/>
        </w:rPr>
        <w:t> </w:t>
      </w:r>
      <w:r>
        <w:rPr/>
        <w:t>to</w:t>
      </w:r>
      <w:r>
        <w:rPr>
          <w:spacing w:val="-2"/>
        </w:rPr>
        <w:t> </w:t>
      </w:r>
      <w:r>
        <w:rPr/>
        <w:t>UHMWPE</w:t>
      </w:r>
      <w:r>
        <w:rPr>
          <w:spacing w:val="-2"/>
        </w:rPr>
        <w:t> </w:t>
      </w:r>
      <w:r>
        <w:rPr/>
        <w:t>panel</w:t>
      </w:r>
      <w:r>
        <w:rPr>
          <w:spacing w:val="-1"/>
        </w:rPr>
        <w:t> </w:t>
      </w:r>
      <w:r>
        <w:rPr/>
        <w:t>within</w:t>
      </w:r>
      <w:r>
        <w:rPr>
          <w:spacing w:val="-4"/>
        </w:rPr>
        <w:t> </w:t>
      </w:r>
      <w:r>
        <w:rPr/>
        <w:t>ECLT</w:t>
      </w:r>
      <w:r>
        <w:rPr>
          <w:spacing w:val="-2"/>
        </w:rPr>
        <w:t> </w:t>
      </w:r>
      <w:r>
        <w:rPr/>
        <w:t>specimen</w:t>
        <w:tab/>
        <w:t>279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80" w:right="119" w:hanging="1440"/>
      </w:pPr>
      <w:r>
        <w:rPr/>
        <w:t>Figure</w:t>
      </w:r>
      <w:r>
        <w:rPr>
          <w:spacing w:val="-1"/>
        </w:rPr>
        <w:t> </w:t>
      </w:r>
      <w:r>
        <w:rPr/>
        <w:t>7.29</w:t>
        <w:tab/>
        <w:t>Close-up of shots 1-8 on UHMWPE ECLT specimen; for each shot (top)</w:t>
      </w:r>
      <w:r>
        <w:rPr>
          <w:spacing w:val="1"/>
        </w:rPr>
        <w:t> </w:t>
      </w:r>
      <w:r>
        <w:rPr/>
        <w:t>back of 2-ply CLT positioned in front of UHMWPE panel, (bottom) front</w:t>
      </w:r>
      <w:r>
        <w:rPr>
          <w:spacing w:val="1"/>
        </w:rPr>
        <w:t> </w:t>
      </w:r>
      <w:r>
        <w:rPr/>
        <w:t>face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UHMWPE</w:t>
      </w:r>
      <w:r>
        <w:rPr>
          <w:spacing w:val="-2"/>
        </w:rPr>
        <w:t> </w:t>
      </w:r>
      <w:r>
        <w:rPr/>
        <w:t>panel</w:t>
        <w:tab/>
      </w:r>
      <w:r>
        <w:rPr>
          <w:spacing w:val="-2"/>
        </w:rPr>
        <w:t>281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80" w:right="119" w:hanging="1440"/>
      </w:pPr>
      <w:r>
        <w:rPr/>
        <w:t>Figure</w:t>
      </w:r>
      <w:r>
        <w:rPr>
          <w:spacing w:val="-1"/>
        </w:rPr>
        <w:t> </w:t>
      </w:r>
      <w:r>
        <w:rPr/>
        <w:t>7.30</w:t>
        <w:tab/>
        <w:t>Consolidated fiberglass fabric ECLT (left) impact face, (right) back face</w:t>
      </w:r>
      <w:r>
        <w:rPr>
          <w:spacing w:val="1"/>
        </w:rPr>
        <w:t> </w:t>
      </w:r>
      <w:r>
        <w:rPr/>
        <w:t>shows</w:t>
      </w:r>
      <w:r>
        <w:rPr>
          <w:spacing w:val="-1"/>
        </w:rPr>
        <w:t> </w:t>
      </w:r>
      <w:r>
        <w:rPr/>
        <w:t>damage</w:t>
        <w:tab/>
      </w:r>
      <w:r>
        <w:rPr>
          <w:spacing w:val="-2"/>
        </w:rPr>
        <w:t>283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80" w:right="119" w:hanging="1440"/>
      </w:pPr>
      <w:r>
        <w:rPr/>
        <w:t>Figure</w:t>
      </w:r>
      <w:r>
        <w:rPr>
          <w:spacing w:val="-1"/>
        </w:rPr>
        <w:t> </w:t>
      </w:r>
      <w:r>
        <w:rPr/>
        <w:t>7.31</w:t>
        <w:tab/>
        <w:t>Close-up view of the projectile path through the four plies of fiberglass</w:t>
      </w:r>
      <w:r>
        <w:rPr>
          <w:spacing w:val="1"/>
        </w:rPr>
        <w:t> </w:t>
      </w:r>
      <w:r>
        <w:rPr/>
        <w:t>fabric.</w:t>
        <w:tab/>
      </w:r>
      <w:r>
        <w:rPr>
          <w:spacing w:val="-2"/>
        </w:rPr>
        <w:t>284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80" w:right="119" w:hanging="1440"/>
      </w:pPr>
      <w:r>
        <w:rPr/>
        <w:t>Figure</w:t>
      </w:r>
      <w:r>
        <w:rPr>
          <w:spacing w:val="-1"/>
        </w:rPr>
        <w:t> </w:t>
      </w:r>
      <w:r>
        <w:rPr/>
        <w:t>7.32</w:t>
        <w:tab/>
        <w:t>Separated fiberglass fabric plies (left) impact face, (right) back face</w:t>
      </w:r>
      <w:r>
        <w:rPr>
          <w:spacing w:val="1"/>
        </w:rPr>
        <w:t> </w:t>
      </w:r>
      <w:r>
        <w:rPr/>
        <w:t>damage</w:t>
        <w:tab/>
      </w:r>
      <w:r>
        <w:rPr>
          <w:spacing w:val="-2"/>
        </w:rPr>
        <w:t>285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80" w:right="119" w:hanging="1440"/>
      </w:pPr>
      <w:r>
        <w:rPr/>
        <w:t>Figure</w:t>
      </w:r>
      <w:r>
        <w:rPr>
          <w:spacing w:val="-1"/>
        </w:rPr>
        <w:t> </w:t>
      </w:r>
      <w:r>
        <w:rPr/>
        <w:t>7.33</w:t>
        <w:tab/>
        <w:t>Cross-section of projectile path through ECLT specimen with separated</w:t>
      </w:r>
      <w:r>
        <w:rPr>
          <w:spacing w:val="1"/>
        </w:rPr>
        <w:t> </w:t>
      </w:r>
      <w:r>
        <w:rPr/>
        <w:t>fiberglass</w:t>
      </w:r>
      <w:r>
        <w:rPr>
          <w:spacing w:val="-2"/>
        </w:rPr>
        <w:t> </w:t>
      </w:r>
      <w:r>
        <w:rPr/>
        <w:t>fabric</w:t>
      </w:r>
      <w:r>
        <w:rPr>
          <w:spacing w:val="-2"/>
        </w:rPr>
        <w:t> </w:t>
      </w:r>
      <w:r>
        <w:rPr/>
        <w:t>layer</w:t>
      </w:r>
      <w:r>
        <w:rPr>
          <w:spacing w:val="-1"/>
        </w:rPr>
        <w:t> </w:t>
      </w:r>
      <w:r>
        <w:rPr/>
        <w:t>between</w:t>
      </w:r>
      <w:r>
        <w:rPr>
          <w:spacing w:val="-1"/>
        </w:rPr>
        <w:t> </w:t>
      </w:r>
      <w:r>
        <w:rPr/>
        <w:t>wood</w:t>
      </w:r>
      <w:r>
        <w:rPr>
          <w:spacing w:val="-1"/>
        </w:rPr>
        <w:t> </w:t>
      </w:r>
      <w:r>
        <w:rPr/>
        <w:t>layers.</w:t>
        <w:tab/>
      </w:r>
      <w:r>
        <w:rPr>
          <w:spacing w:val="-2"/>
        </w:rPr>
        <w:t>287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80" w:right="119" w:hanging="1440"/>
      </w:pPr>
      <w:r>
        <w:rPr/>
        <w:t>Figure</w:t>
      </w:r>
      <w:r>
        <w:rPr>
          <w:spacing w:val="-1"/>
        </w:rPr>
        <w:t> </w:t>
      </w:r>
      <w:r>
        <w:rPr/>
        <w:t>7.34</w:t>
        <w:tab/>
        <w:t>Close-up perspective of projectile stopped within ECLT made with</w:t>
      </w:r>
      <w:r>
        <w:rPr>
          <w:spacing w:val="1"/>
        </w:rPr>
        <w:t> </w:t>
      </w:r>
      <w:r>
        <w:rPr/>
        <w:t>separated</w:t>
      </w:r>
      <w:r>
        <w:rPr>
          <w:spacing w:val="-2"/>
        </w:rPr>
        <w:t> </w:t>
      </w:r>
      <w:r>
        <w:rPr/>
        <w:t>layers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fiberglass</w:t>
      </w:r>
      <w:r>
        <w:rPr>
          <w:spacing w:val="-1"/>
        </w:rPr>
        <w:t> </w:t>
      </w:r>
      <w:r>
        <w:rPr/>
        <w:t>fabric</w:t>
        <w:tab/>
      </w:r>
      <w:r>
        <w:rPr>
          <w:spacing w:val="-2"/>
        </w:rPr>
        <w:t>287</w:t>
      </w:r>
    </w:p>
    <w:p>
      <w:pPr>
        <w:spacing w:after="0"/>
        <w:sectPr>
          <w:pgSz w:w="12240" w:h="15840"/>
          <w:pgMar w:header="0" w:footer="984" w:top="1360" w:bottom="1260" w:left="1720" w:right="1320"/>
        </w:sectPr>
      </w:pPr>
    </w:p>
    <w:p>
      <w:pPr>
        <w:pStyle w:val="BodyText"/>
        <w:tabs>
          <w:tab w:pos="1879" w:val="left" w:leader="none"/>
          <w:tab w:pos="8719" w:val="left" w:leader="dot"/>
        </w:tabs>
        <w:spacing w:before="214"/>
        <w:ind w:left="440"/>
      </w:pPr>
      <w:r>
        <w:rPr/>
        <w:t>Figure</w:t>
      </w:r>
      <w:r>
        <w:rPr>
          <w:spacing w:val="-1"/>
        </w:rPr>
        <w:t> </w:t>
      </w:r>
      <w:r>
        <w:rPr/>
        <w:t>8.1</w:t>
        <w:tab/>
        <w:t>Pressure-time</w:t>
      </w:r>
      <w:r>
        <w:rPr>
          <w:spacing w:val="-1"/>
        </w:rPr>
        <w:t> </w:t>
      </w:r>
      <w:r>
        <w:rPr/>
        <w:t>history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a blast</w:t>
      </w:r>
      <w:r>
        <w:rPr>
          <w:spacing w:val="-1"/>
        </w:rPr>
        <w:t> </w:t>
      </w:r>
      <w:r>
        <w:rPr/>
        <w:t>wave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free</w:t>
      </w:r>
      <w:r>
        <w:rPr>
          <w:spacing w:val="-2"/>
        </w:rPr>
        <w:t> </w:t>
      </w:r>
      <w:r>
        <w:rPr/>
        <w:t>air.</w:t>
        <w:tab/>
        <w:t>302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40"/>
      </w:pPr>
      <w:r>
        <w:rPr/>
        <w:t>Figure</w:t>
      </w:r>
      <w:r>
        <w:rPr>
          <w:spacing w:val="-1"/>
        </w:rPr>
        <w:t> </w:t>
      </w:r>
      <w:r>
        <w:rPr/>
        <w:t>8.2</w:t>
        <w:tab/>
        <w:t>Single-degree-of-freedom</w:t>
      </w:r>
      <w:r>
        <w:rPr>
          <w:spacing w:val="-3"/>
        </w:rPr>
        <w:t> </w:t>
      </w:r>
      <w:r>
        <w:rPr/>
        <w:t>system</w:t>
        <w:tab/>
        <w:t>306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40"/>
      </w:pPr>
      <w:r>
        <w:rPr/>
        <w:t>Figure</w:t>
      </w:r>
      <w:r>
        <w:rPr>
          <w:spacing w:val="-1"/>
        </w:rPr>
        <w:t> </w:t>
      </w:r>
      <w:r>
        <w:rPr/>
        <w:t>8.3</w:t>
        <w:tab/>
        <w:t>CLT</w:t>
      </w:r>
      <w:r>
        <w:rPr>
          <w:spacing w:val="-2"/>
        </w:rPr>
        <w:t> </w:t>
      </w:r>
      <w:r>
        <w:rPr/>
        <w:t>panel with</w:t>
      </w:r>
      <w:r>
        <w:rPr>
          <w:spacing w:val="-1"/>
        </w:rPr>
        <w:t> </w:t>
      </w:r>
      <w:r>
        <w:rPr/>
        <w:t>blast</w:t>
      </w:r>
      <w:r>
        <w:rPr>
          <w:spacing w:val="-1"/>
        </w:rPr>
        <w:t> </w:t>
      </w:r>
      <w:r>
        <w:rPr/>
        <w:t>load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development of</w:t>
      </w:r>
      <w:r>
        <w:rPr>
          <w:spacing w:val="-2"/>
        </w:rPr>
        <w:t> </w:t>
      </w:r>
      <w:r>
        <w:rPr/>
        <w:t>plastic</w:t>
      </w:r>
      <w:r>
        <w:rPr>
          <w:spacing w:val="-1"/>
        </w:rPr>
        <w:t> </w:t>
      </w:r>
      <w:r>
        <w:rPr/>
        <w:t>hinge</w:t>
        <w:tab/>
        <w:t>309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80" w:right="119" w:hanging="1440"/>
      </w:pPr>
      <w:r>
        <w:rPr/>
        <w:t>Figure</w:t>
      </w:r>
      <w:r>
        <w:rPr>
          <w:spacing w:val="-1"/>
        </w:rPr>
        <w:t> </w:t>
      </w:r>
      <w:r>
        <w:rPr/>
        <w:t>8.4</w:t>
        <w:tab/>
        <w:t>Proposed resistance function with simply supported boundary conditions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uniform</w:t>
      </w:r>
      <w:r>
        <w:rPr>
          <w:spacing w:val="-1"/>
        </w:rPr>
        <w:t> </w:t>
      </w:r>
      <w:r>
        <w:rPr/>
        <w:t>load.</w:t>
        <w:tab/>
      </w:r>
      <w:r>
        <w:rPr>
          <w:spacing w:val="-2"/>
        </w:rPr>
        <w:t>311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40"/>
      </w:pPr>
      <w:r>
        <w:rPr/>
        <w:t>Figure</w:t>
      </w:r>
      <w:r>
        <w:rPr>
          <w:spacing w:val="-1"/>
        </w:rPr>
        <w:t> </w:t>
      </w:r>
      <w:r>
        <w:rPr/>
        <w:t>8.5</w:t>
        <w:tab/>
        <w:t>Schematic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live-test</w:t>
      </w:r>
      <w:r>
        <w:rPr>
          <w:spacing w:val="-1"/>
        </w:rPr>
        <w:t> </w:t>
      </w:r>
      <w:r>
        <w:rPr/>
        <w:t>set-up.</w:t>
        <w:tab/>
        <w:t>319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39"/>
      </w:pPr>
      <w:r>
        <w:rPr/>
        <w:t>Figure</w:t>
      </w:r>
      <w:r>
        <w:rPr>
          <w:spacing w:val="-1"/>
        </w:rPr>
        <w:t> </w:t>
      </w:r>
      <w:r>
        <w:rPr/>
        <w:t>8.6</w:t>
        <w:tab/>
        <w:t>Wall</w:t>
      </w:r>
      <w:r>
        <w:rPr>
          <w:spacing w:val="-1"/>
        </w:rPr>
        <w:t> </w:t>
      </w:r>
      <w:r>
        <w:rPr/>
        <w:t>panel</w:t>
      </w:r>
      <w:r>
        <w:rPr>
          <w:spacing w:val="-1"/>
        </w:rPr>
        <w:t> </w:t>
      </w:r>
      <w:r>
        <w:rPr/>
        <w:t>splice</w:t>
      </w:r>
      <w:r>
        <w:rPr>
          <w:spacing w:val="-1"/>
        </w:rPr>
        <w:t> </w:t>
      </w:r>
      <w:r>
        <w:rPr/>
        <w:t>detail.</w:t>
        <w:tab/>
        <w:t>319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79" w:right="119" w:hanging="1440"/>
      </w:pPr>
      <w:r>
        <w:rPr/>
        <w:t>Figure</w:t>
      </w:r>
      <w:r>
        <w:rPr>
          <w:spacing w:val="-1"/>
        </w:rPr>
        <w:t> </w:t>
      </w:r>
      <w:r>
        <w:rPr/>
        <w:t>8.7</w:t>
        <w:tab/>
        <w:t>Panel properties and dimensional inputs for the CLT blast load analysis</w:t>
      </w:r>
      <w:r>
        <w:rPr>
          <w:spacing w:val="1"/>
        </w:rPr>
        <w:t> </w:t>
      </w:r>
      <w:r>
        <w:rPr/>
        <w:t>tool</w:t>
        <w:tab/>
      </w:r>
      <w:r>
        <w:rPr>
          <w:spacing w:val="-2"/>
        </w:rPr>
        <w:t>322</w:t>
      </w:r>
    </w:p>
    <w:p>
      <w:pPr>
        <w:pStyle w:val="BodyText"/>
        <w:tabs>
          <w:tab w:pos="1879" w:val="left" w:leader="none"/>
        </w:tabs>
        <w:spacing w:before="276"/>
        <w:ind w:left="439"/>
      </w:pPr>
      <w:r>
        <w:rPr/>
        <w:t>Figure</w:t>
      </w:r>
      <w:r>
        <w:rPr>
          <w:spacing w:val="-1"/>
        </w:rPr>
        <w:t> </w:t>
      </w:r>
      <w:r>
        <w:rPr/>
        <w:t>8.8</w:t>
        <w:tab/>
        <w:t>Threat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structure</w:t>
      </w:r>
      <w:r>
        <w:rPr>
          <w:spacing w:val="-1"/>
        </w:rPr>
        <w:t> </w:t>
      </w:r>
      <w:r>
        <w:rPr/>
        <w:t>geometry</w:t>
      </w:r>
      <w:r>
        <w:rPr>
          <w:spacing w:val="-1"/>
        </w:rPr>
        <w:t> </w:t>
      </w:r>
      <w:r>
        <w:rPr/>
        <w:t>inputs</w:t>
      </w:r>
      <w:r>
        <w:rPr>
          <w:spacing w:val="-2"/>
        </w:rPr>
        <w:t> </w:t>
      </w:r>
      <w:r>
        <w:rPr/>
        <w:t>for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CLT</w:t>
      </w:r>
      <w:r>
        <w:rPr>
          <w:spacing w:val="-1"/>
        </w:rPr>
        <w:t> </w:t>
      </w:r>
      <w:r>
        <w:rPr/>
        <w:t>blast</w:t>
      </w:r>
      <w:r>
        <w:rPr>
          <w:spacing w:val="-2"/>
        </w:rPr>
        <w:t> </w:t>
      </w:r>
      <w:r>
        <w:rPr/>
        <w:t>load</w:t>
      </w:r>
      <w:r>
        <w:rPr>
          <w:spacing w:val="-1"/>
        </w:rPr>
        <w:t> </w:t>
      </w:r>
      <w:r>
        <w:rPr/>
        <w:t>analysis</w:t>
      </w:r>
      <w:r>
        <w:rPr>
          <w:spacing w:val="-2"/>
        </w:rPr>
        <w:t> </w:t>
      </w:r>
      <w:r>
        <w:rPr/>
        <w:t>tool</w:t>
      </w:r>
    </w:p>
    <w:p>
      <w:pPr>
        <w:pStyle w:val="BodyText"/>
        <w:ind w:left="1879"/>
      </w:pPr>
      <w:r>
        <w:rPr/>
        <w:t>..................................................................................................................323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79" w:right="119" w:hanging="1440"/>
      </w:pPr>
      <w:r>
        <w:rPr/>
        <w:t>Figure</w:t>
      </w:r>
      <w:r>
        <w:rPr>
          <w:spacing w:val="-1"/>
        </w:rPr>
        <w:t> </w:t>
      </w:r>
      <w:r>
        <w:rPr/>
        <w:t>8.9</w:t>
        <w:tab/>
        <w:t>Static load and other analysis parameters for the CLT blast load analysis</w:t>
      </w:r>
      <w:r>
        <w:rPr>
          <w:spacing w:val="1"/>
        </w:rPr>
        <w:t> </w:t>
      </w:r>
      <w:r>
        <w:rPr/>
        <w:t>tool</w:t>
        <w:tab/>
      </w:r>
      <w:r>
        <w:rPr>
          <w:spacing w:val="-2"/>
        </w:rPr>
        <w:t>325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39"/>
      </w:pPr>
      <w:r>
        <w:rPr/>
        <w:t>Figure</w:t>
      </w:r>
      <w:r>
        <w:rPr>
          <w:spacing w:val="-1"/>
        </w:rPr>
        <w:t> </w:t>
      </w:r>
      <w:r>
        <w:rPr/>
        <w:t>8.10</w:t>
        <w:tab/>
        <w:t>CLT</w:t>
      </w:r>
      <w:r>
        <w:rPr>
          <w:spacing w:val="-2"/>
        </w:rPr>
        <w:t> </w:t>
      </w:r>
      <w:r>
        <w:rPr/>
        <w:t>design</w:t>
      </w:r>
      <w:r>
        <w:rPr>
          <w:spacing w:val="-1"/>
        </w:rPr>
        <w:t> </w:t>
      </w:r>
      <w:r>
        <w:rPr/>
        <w:t>parameters</w:t>
        <w:tab/>
        <w:t>325</w:t>
      </w:r>
    </w:p>
    <w:p>
      <w:pPr>
        <w:pStyle w:val="BodyText"/>
        <w:tabs>
          <w:tab w:pos="1879" w:val="left" w:leader="none"/>
          <w:tab w:pos="8719" w:val="left" w:leader="dot"/>
        </w:tabs>
        <w:spacing w:before="275"/>
        <w:ind w:left="1879" w:right="119" w:hanging="1440"/>
      </w:pPr>
      <w:r>
        <w:rPr/>
        <w:t>Figure</w:t>
      </w:r>
      <w:r>
        <w:rPr>
          <w:spacing w:val="-1"/>
        </w:rPr>
        <w:t> </w:t>
      </w:r>
      <w:r>
        <w:rPr/>
        <w:t>8.11</w:t>
        <w:tab/>
        <w:t>Equivalent explosive weight and angle of incidence parameters are</w:t>
      </w:r>
      <w:r>
        <w:rPr>
          <w:spacing w:val="1"/>
        </w:rPr>
        <w:t> </w:t>
      </w:r>
      <w:r>
        <w:rPr/>
        <w:t>determined</w:t>
      </w:r>
      <w:r>
        <w:rPr>
          <w:spacing w:val="-1"/>
        </w:rPr>
        <w:t> </w:t>
      </w:r>
      <w:r>
        <w:rPr/>
        <w:t>based on</w:t>
      </w:r>
      <w:r>
        <w:rPr>
          <w:spacing w:val="-1"/>
        </w:rPr>
        <w:t> </w:t>
      </w:r>
      <w:r>
        <w:rPr/>
        <w:t>user inputs</w:t>
        <w:tab/>
      </w:r>
      <w:r>
        <w:rPr>
          <w:spacing w:val="-2"/>
        </w:rPr>
        <w:t>326</w:t>
      </w:r>
    </w:p>
    <w:p>
      <w:pPr>
        <w:pStyle w:val="BodyText"/>
        <w:tabs>
          <w:tab w:pos="1879" w:val="left" w:leader="none"/>
        </w:tabs>
        <w:spacing w:before="276"/>
        <w:ind w:left="439"/>
      </w:pPr>
      <w:r>
        <w:rPr/>
        <w:t>Figure</w:t>
      </w:r>
      <w:r>
        <w:rPr>
          <w:spacing w:val="-1"/>
        </w:rPr>
        <w:t> </w:t>
      </w:r>
      <w:r>
        <w:rPr/>
        <w:t>8.12</w:t>
        <w:tab/>
        <w:t>Empirically</w:t>
      </w:r>
      <w:r>
        <w:rPr>
          <w:spacing w:val="-3"/>
        </w:rPr>
        <w:t> </w:t>
      </w:r>
      <w:r>
        <w:rPr/>
        <w:t>derived</w:t>
      </w:r>
      <w:r>
        <w:rPr>
          <w:spacing w:val="-3"/>
        </w:rPr>
        <w:t> </w:t>
      </w:r>
      <w:r>
        <w:rPr/>
        <w:t>curves</w:t>
      </w:r>
      <w:r>
        <w:rPr>
          <w:spacing w:val="-2"/>
        </w:rPr>
        <w:t> </w:t>
      </w:r>
      <w:r>
        <w:rPr/>
        <w:t>used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estimate</w:t>
      </w:r>
      <w:r>
        <w:rPr>
          <w:spacing w:val="-2"/>
        </w:rPr>
        <w:t> </w:t>
      </w:r>
      <w:r>
        <w:rPr/>
        <w:t>blast</w:t>
      </w:r>
      <w:r>
        <w:rPr>
          <w:spacing w:val="-2"/>
        </w:rPr>
        <w:t> </w:t>
      </w:r>
      <w:r>
        <w:rPr/>
        <w:t>parameters</w:t>
      </w:r>
      <w:r>
        <w:rPr>
          <w:spacing w:val="-1"/>
        </w:rPr>
        <w:t> </w:t>
      </w:r>
      <w:r>
        <w:rPr/>
        <w:t>in</w:t>
      </w:r>
    </w:p>
    <w:p>
      <w:pPr>
        <w:pStyle w:val="BodyText"/>
        <w:tabs>
          <w:tab w:pos="8719" w:val="left" w:leader="dot"/>
        </w:tabs>
        <w:ind w:left="1879"/>
      </w:pPr>
      <w:r>
        <w:rPr/>
        <w:t>UFC</w:t>
      </w:r>
      <w:r>
        <w:rPr>
          <w:spacing w:val="-2"/>
        </w:rPr>
        <w:t> </w:t>
      </w:r>
      <w:r>
        <w:rPr/>
        <w:t>Figure</w:t>
      </w:r>
      <w:r>
        <w:rPr>
          <w:spacing w:val="-1"/>
        </w:rPr>
        <w:t> </w:t>
      </w:r>
      <w:r>
        <w:rPr/>
        <w:t>2-15</w:t>
      </w:r>
      <w:r>
        <w:rPr>
          <w:spacing w:val="-1"/>
        </w:rPr>
        <w:t> </w:t>
      </w:r>
      <w:r>
        <w:rPr/>
        <w:t>[17]</w:t>
        <w:tab/>
        <w:t>327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39"/>
      </w:pPr>
      <w:r>
        <w:rPr/>
        <w:t>Figure</w:t>
      </w:r>
      <w:r>
        <w:rPr>
          <w:spacing w:val="-1"/>
        </w:rPr>
        <w:t> </w:t>
      </w:r>
      <w:r>
        <w:rPr/>
        <w:t>8.13</w:t>
        <w:tab/>
        <w:t>Blast</w:t>
      </w:r>
      <w:r>
        <w:rPr>
          <w:spacing w:val="-1"/>
        </w:rPr>
        <w:t> </w:t>
      </w:r>
      <w:r>
        <w:rPr/>
        <w:t>parameters</w:t>
      </w:r>
      <w:r>
        <w:rPr>
          <w:spacing w:val="-1"/>
        </w:rPr>
        <w:t> </w:t>
      </w:r>
      <w:r>
        <w:rPr/>
        <w:t>based</w:t>
      </w:r>
      <w:r>
        <w:rPr>
          <w:spacing w:val="-3"/>
        </w:rPr>
        <w:t> </w:t>
      </w:r>
      <w:r>
        <w:rPr/>
        <w:t>on</w:t>
      </w:r>
      <w:r>
        <w:rPr>
          <w:spacing w:val="-2"/>
        </w:rPr>
        <w:t> </w:t>
      </w:r>
      <w:r>
        <w:rPr/>
        <w:t>UFC</w:t>
      </w:r>
      <w:r>
        <w:rPr>
          <w:spacing w:val="-1"/>
        </w:rPr>
        <w:t> </w:t>
      </w:r>
      <w:r>
        <w:rPr/>
        <w:t>figures.</w:t>
        <w:tab/>
        <w:t>328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39"/>
      </w:pPr>
      <w:r>
        <w:rPr/>
        <w:t>Figure</w:t>
      </w:r>
      <w:r>
        <w:rPr>
          <w:spacing w:val="-1"/>
        </w:rPr>
        <w:t> </w:t>
      </w:r>
      <w:r>
        <w:rPr/>
        <w:t>8.14</w:t>
        <w:tab/>
        <w:t>Design</w:t>
      </w:r>
      <w:r>
        <w:rPr>
          <w:spacing w:val="-1"/>
        </w:rPr>
        <w:t> </w:t>
      </w:r>
      <w:r>
        <w:rPr/>
        <w:t>loads</w:t>
      </w:r>
      <w:r>
        <w:rPr>
          <w:spacing w:val="-1"/>
        </w:rPr>
        <w:t> </w:t>
      </w:r>
      <w:r>
        <w:rPr/>
        <w:t>as</w:t>
      </w:r>
      <w:r>
        <w:rPr>
          <w:spacing w:val="-2"/>
        </w:rPr>
        <w:t> </w:t>
      </w:r>
      <w:r>
        <w:rPr/>
        <w:t>determined</w:t>
      </w:r>
      <w:r>
        <w:rPr>
          <w:spacing w:val="-1"/>
        </w:rPr>
        <w:t> </w:t>
      </w:r>
      <w:r>
        <w:rPr/>
        <w:t>by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CLT</w:t>
      </w:r>
      <w:r>
        <w:rPr>
          <w:spacing w:val="-2"/>
        </w:rPr>
        <w:t> </w:t>
      </w:r>
      <w:r>
        <w:rPr/>
        <w:t>blast</w:t>
      </w:r>
      <w:r>
        <w:rPr>
          <w:spacing w:val="-2"/>
        </w:rPr>
        <w:t> </w:t>
      </w:r>
      <w:r>
        <w:rPr/>
        <w:t>load</w:t>
      </w:r>
      <w:r>
        <w:rPr>
          <w:spacing w:val="-1"/>
        </w:rPr>
        <w:t> </w:t>
      </w:r>
      <w:r>
        <w:rPr/>
        <w:t>analysis</w:t>
      </w:r>
      <w:r>
        <w:rPr>
          <w:spacing w:val="-1"/>
        </w:rPr>
        <w:t> </w:t>
      </w:r>
      <w:r>
        <w:rPr/>
        <w:t>tool</w:t>
        <w:tab/>
        <w:t>329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39"/>
      </w:pPr>
      <w:r>
        <w:rPr/>
        <w:t>Figure</w:t>
      </w:r>
      <w:r>
        <w:rPr>
          <w:spacing w:val="-1"/>
        </w:rPr>
        <w:t> </w:t>
      </w:r>
      <w:r>
        <w:rPr/>
        <w:t>8.15</w:t>
        <w:tab/>
        <w:t>Calculation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member</w:t>
      </w:r>
      <w:r>
        <w:rPr>
          <w:spacing w:val="-1"/>
        </w:rPr>
        <w:t> </w:t>
      </w:r>
      <w:r>
        <w:rPr/>
        <w:t>mass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CLT</w:t>
      </w:r>
      <w:r>
        <w:rPr>
          <w:spacing w:val="-2"/>
        </w:rPr>
        <w:t> </w:t>
      </w:r>
      <w:r>
        <w:rPr/>
        <w:t>blast</w:t>
      </w:r>
      <w:r>
        <w:rPr>
          <w:spacing w:val="-1"/>
        </w:rPr>
        <w:t> </w:t>
      </w:r>
      <w:r>
        <w:rPr/>
        <w:t>load</w:t>
      </w:r>
      <w:r>
        <w:rPr>
          <w:spacing w:val="-1"/>
        </w:rPr>
        <w:t> </w:t>
      </w:r>
      <w:r>
        <w:rPr/>
        <w:t>analysis</w:t>
      </w:r>
      <w:r>
        <w:rPr>
          <w:spacing w:val="-1"/>
        </w:rPr>
        <w:t> </w:t>
      </w:r>
      <w:r>
        <w:rPr/>
        <w:t>tool</w:t>
        <w:tab/>
        <w:t>330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39"/>
      </w:pPr>
      <w:r>
        <w:rPr/>
        <w:t>Figure</w:t>
      </w:r>
      <w:r>
        <w:rPr>
          <w:spacing w:val="-1"/>
        </w:rPr>
        <w:t> </w:t>
      </w:r>
      <w:r>
        <w:rPr/>
        <w:t>8.16</w:t>
        <w:tab/>
        <w:t>Resistance</w:t>
      </w:r>
      <w:r>
        <w:rPr>
          <w:spacing w:val="-1"/>
        </w:rPr>
        <w:t> </w:t>
      </w:r>
      <w:r>
        <w:rPr/>
        <w:t>function</w:t>
      </w:r>
      <w:r>
        <w:rPr>
          <w:spacing w:val="-1"/>
        </w:rPr>
        <w:t> </w:t>
      </w:r>
      <w:r>
        <w:rPr/>
        <w:t>development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CLT</w:t>
      </w:r>
      <w:r>
        <w:rPr>
          <w:spacing w:val="-2"/>
        </w:rPr>
        <w:t> </w:t>
      </w:r>
      <w:r>
        <w:rPr/>
        <w:t>blast</w:t>
      </w:r>
      <w:r>
        <w:rPr>
          <w:spacing w:val="-2"/>
        </w:rPr>
        <w:t> </w:t>
      </w:r>
      <w:r>
        <w:rPr/>
        <w:t>analysis</w:t>
      </w:r>
      <w:r>
        <w:rPr>
          <w:spacing w:val="-2"/>
        </w:rPr>
        <w:t> </w:t>
      </w:r>
      <w:r>
        <w:rPr/>
        <w:t>tool</w:t>
        <w:tab/>
        <w:t>331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39"/>
      </w:pPr>
      <w:r>
        <w:rPr/>
        <w:t>Figure</w:t>
      </w:r>
      <w:r>
        <w:rPr>
          <w:spacing w:val="-1"/>
        </w:rPr>
        <w:t> </w:t>
      </w:r>
      <w:r>
        <w:rPr/>
        <w:t>8.17</w:t>
        <w:tab/>
        <w:t>Pressure-time</w:t>
      </w:r>
      <w:r>
        <w:rPr>
          <w:spacing w:val="-2"/>
        </w:rPr>
        <w:t> </w:t>
      </w:r>
      <w:r>
        <w:rPr/>
        <w:t>history</w:t>
      </w:r>
      <w:r>
        <w:rPr>
          <w:spacing w:val="-1"/>
        </w:rPr>
        <w:t> </w:t>
      </w:r>
      <w:r>
        <w:rPr/>
        <w:t>bilinear</w:t>
      </w:r>
      <w:r>
        <w:rPr>
          <w:spacing w:val="-2"/>
        </w:rPr>
        <w:t> </w:t>
      </w:r>
      <w:r>
        <w:rPr/>
        <w:t>function</w:t>
      </w:r>
      <w:r>
        <w:rPr>
          <w:spacing w:val="-2"/>
        </w:rPr>
        <w:t> </w:t>
      </w:r>
      <w:r>
        <w:rPr/>
        <w:t>for</w:t>
      </w:r>
      <w:r>
        <w:rPr>
          <w:spacing w:val="-1"/>
        </w:rPr>
        <w:t> </w:t>
      </w:r>
      <w:r>
        <w:rPr/>
        <w:t>front</w:t>
      </w:r>
      <w:r>
        <w:rPr>
          <w:spacing w:val="-2"/>
        </w:rPr>
        <w:t> </w:t>
      </w:r>
      <w:r>
        <w:rPr/>
        <w:t>walls</w:t>
        <w:tab/>
        <w:t>332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39"/>
      </w:pPr>
      <w:r>
        <w:rPr/>
        <w:t>Figure</w:t>
      </w:r>
      <w:r>
        <w:rPr>
          <w:spacing w:val="-1"/>
        </w:rPr>
        <w:t> </w:t>
      </w:r>
      <w:r>
        <w:rPr/>
        <w:t>8.18</w:t>
        <w:tab/>
        <w:t>Resulting</w:t>
      </w:r>
      <w:r>
        <w:rPr>
          <w:spacing w:val="-1"/>
        </w:rPr>
        <w:t> </w:t>
      </w:r>
      <w:r>
        <w:rPr/>
        <w:t>plots</w:t>
      </w:r>
      <w:r>
        <w:rPr>
          <w:spacing w:val="-1"/>
        </w:rPr>
        <w:t> </w:t>
      </w:r>
      <w:r>
        <w:rPr/>
        <w:t>from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CLT</w:t>
      </w:r>
      <w:r>
        <w:rPr>
          <w:spacing w:val="-2"/>
        </w:rPr>
        <w:t> </w:t>
      </w:r>
      <w:r>
        <w:rPr/>
        <w:t>blast</w:t>
      </w:r>
      <w:r>
        <w:rPr>
          <w:spacing w:val="-1"/>
        </w:rPr>
        <w:t> </w:t>
      </w:r>
      <w:r>
        <w:rPr/>
        <w:t>analysis</w:t>
      </w:r>
      <w:r>
        <w:rPr>
          <w:spacing w:val="-2"/>
        </w:rPr>
        <w:t> </w:t>
      </w:r>
      <w:r>
        <w:rPr/>
        <w:t>tool.</w:t>
        <w:tab/>
        <w:t>334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39"/>
      </w:pPr>
      <w:r>
        <w:rPr/>
        <w:t>Figure</w:t>
      </w:r>
      <w:r>
        <w:rPr>
          <w:spacing w:val="-1"/>
        </w:rPr>
        <w:t> </w:t>
      </w:r>
      <w:r>
        <w:rPr/>
        <w:t>8.19</w:t>
        <w:tab/>
        <w:t>Values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key</w:t>
      </w:r>
      <w:r>
        <w:rPr>
          <w:spacing w:val="-1"/>
        </w:rPr>
        <w:t> </w:t>
      </w:r>
      <w:r>
        <w:rPr/>
        <w:t>results from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CLT</w:t>
      </w:r>
      <w:r>
        <w:rPr>
          <w:spacing w:val="-1"/>
        </w:rPr>
        <w:t> </w:t>
      </w:r>
      <w:r>
        <w:rPr/>
        <w:t>blast</w:t>
      </w:r>
      <w:r>
        <w:rPr>
          <w:spacing w:val="-2"/>
        </w:rPr>
        <w:t> </w:t>
      </w:r>
      <w:r>
        <w:rPr/>
        <w:t>analysis</w:t>
      </w:r>
      <w:r>
        <w:rPr>
          <w:spacing w:val="-1"/>
        </w:rPr>
        <w:t> </w:t>
      </w:r>
      <w:r>
        <w:rPr/>
        <w:t>tool</w:t>
        <w:tab/>
        <w:t>334</w:t>
      </w:r>
    </w:p>
    <w:p>
      <w:pPr>
        <w:spacing w:after="0"/>
        <w:sectPr>
          <w:pgSz w:w="12240" w:h="15840"/>
          <w:pgMar w:header="0" w:footer="984" w:top="1500" w:bottom="1260" w:left="1720" w:right="1320"/>
        </w:sectPr>
      </w:pPr>
    </w:p>
    <w:p>
      <w:pPr>
        <w:pStyle w:val="BodyText"/>
        <w:tabs>
          <w:tab w:pos="1879" w:val="left" w:leader="none"/>
          <w:tab w:pos="8719" w:val="left" w:leader="dot"/>
        </w:tabs>
        <w:spacing w:before="78"/>
        <w:ind w:left="1880" w:right="119" w:hanging="1440"/>
      </w:pPr>
      <w:r>
        <w:rPr/>
        <w:t>Figure</w:t>
      </w:r>
      <w:r>
        <w:rPr>
          <w:spacing w:val="-1"/>
        </w:rPr>
        <w:t> </w:t>
      </w:r>
      <w:r>
        <w:rPr/>
        <w:t>8.20</w:t>
        <w:tab/>
        <w:t>Expected</w:t>
      </w:r>
      <w:r>
        <w:rPr>
          <w:spacing w:val="12"/>
        </w:rPr>
        <w:t> </w:t>
      </w:r>
      <w:r>
        <w:rPr/>
        <w:t>Level</w:t>
      </w:r>
      <w:r>
        <w:rPr>
          <w:spacing w:val="11"/>
        </w:rPr>
        <w:t> </w:t>
      </w:r>
      <w:r>
        <w:rPr/>
        <w:t>of</w:t>
      </w:r>
      <w:r>
        <w:rPr>
          <w:spacing w:val="10"/>
        </w:rPr>
        <w:t> </w:t>
      </w:r>
      <w:r>
        <w:rPr/>
        <w:t>Protection</w:t>
      </w:r>
      <w:r>
        <w:rPr>
          <w:spacing w:val="12"/>
        </w:rPr>
        <w:t> </w:t>
      </w:r>
      <w:r>
        <w:rPr/>
        <w:t>as</w:t>
      </w:r>
      <w:r>
        <w:rPr>
          <w:spacing w:val="11"/>
        </w:rPr>
        <w:t> </w:t>
      </w:r>
      <w:r>
        <w:rPr/>
        <w:t>determined</w:t>
      </w:r>
      <w:r>
        <w:rPr>
          <w:spacing w:val="11"/>
        </w:rPr>
        <w:t> </w:t>
      </w:r>
      <w:r>
        <w:rPr/>
        <w:t>by</w:t>
      </w:r>
      <w:r>
        <w:rPr>
          <w:spacing w:val="12"/>
        </w:rPr>
        <w:t> </w:t>
      </w:r>
      <w:r>
        <w:rPr/>
        <w:t>the</w:t>
      </w:r>
      <w:r>
        <w:rPr>
          <w:spacing w:val="11"/>
        </w:rPr>
        <w:t> </w:t>
      </w:r>
      <w:r>
        <w:rPr/>
        <w:t>CLT</w:t>
      </w:r>
      <w:r>
        <w:rPr>
          <w:spacing w:val="10"/>
        </w:rPr>
        <w:t> </w:t>
      </w:r>
      <w:r>
        <w:rPr/>
        <w:t>blast</w:t>
      </w:r>
      <w:r>
        <w:rPr>
          <w:spacing w:val="1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tool</w:t>
        <w:tab/>
      </w:r>
      <w:r>
        <w:rPr>
          <w:spacing w:val="-2"/>
        </w:rPr>
        <w:t>336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40"/>
      </w:pPr>
      <w:r>
        <w:rPr/>
        <w:t>Figure</w:t>
      </w:r>
      <w:r>
        <w:rPr>
          <w:spacing w:val="-1"/>
        </w:rPr>
        <w:t> </w:t>
      </w:r>
      <w:r>
        <w:rPr/>
        <w:t>9.1</w:t>
        <w:tab/>
        <w:t>Example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simplified</w:t>
      </w:r>
      <w:r>
        <w:rPr>
          <w:spacing w:val="-1"/>
        </w:rPr>
        <w:t> </w:t>
      </w:r>
      <w:r>
        <w:rPr/>
        <w:t>P-I</w:t>
      </w:r>
      <w:r>
        <w:rPr>
          <w:spacing w:val="-1"/>
        </w:rPr>
        <w:t> </w:t>
      </w:r>
      <w:r>
        <w:rPr/>
        <w:t>model</w:t>
        <w:tab/>
        <w:t>353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440"/>
      </w:pPr>
      <w:r>
        <w:rPr/>
        <w:t>Figure</w:t>
      </w:r>
      <w:r>
        <w:rPr>
          <w:spacing w:val="-1"/>
        </w:rPr>
        <w:t> </w:t>
      </w:r>
      <w:r>
        <w:rPr/>
        <w:t>9.2</w:t>
        <w:tab/>
        <w:t>A</w:t>
      </w:r>
      <w:r>
        <w:rPr>
          <w:spacing w:val="-2"/>
        </w:rPr>
        <w:t> </w:t>
      </w:r>
      <w:r>
        <w:rPr/>
        <w:t>generic</w:t>
      </w:r>
      <w:r>
        <w:rPr>
          <w:spacing w:val="-2"/>
        </w:rPr>
        <w:t> </w:t>
      </w:r>
      <w:r>
        <w:rPr/>
        <w:t>hierarchy</w:t>
      </w:r>
      <w:r>
        <w:rPr>
          <w:spacing w:val="-1"/>
        </w:rPr>
        <w:t> </w:t>
      </w:r>
      <w:r>
        <w:rPr/>
        <w:t>set-up</w:t>
      </w:r>
      <w:r>
        <w:rPr>
          <w:spacing w:val="-2"/>
        </w:rPr>
        <w:t> </w:t>
      </w:r>
      <w:r>
        <w:rPr/>
        <w:t>for</w:t>
      </w:r>
      <w:r>
        <w:rPr>
          <w:spacing w:val="-1"/>
        </w:rPr>
        <w:t> </w:t>
      </w:r>
      <w:r>
        <w:rPr/>
        <w:t>AHP</w:t>
      </w:r>
      <w:r>
        <w:rPr>
          <w:spacing w:val="-2"/>
        </w:rPr>
        <w:t> </w:t>
      </w:r>
      <w:r>
        <w:rPr/>
        <w:t>application</w:t>
      </w:r>
      <w:r>
        <w:rPr>
          <w:spacing w:val="-3"/>
        </w:rPr>
        <w:t> </w:t>
      </w:r>
      <w:r>
        <w:rPr/>
        <w:t>in</w:t>
      </w:r>
      <w:r>
        <w:rPr>
          <w:spacing w:val="-2"/>
        </w:rPr>
        <w:t> </w:t>
      </w:r>
      <w:r>
        <w:rPr/>
        <w:t>decision-making.</w:t>
        <w:tab/>
        <w:t>354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80" w:right="119" w:hanging="1440"/>
      </w:pPr>
      <w:r>
        <w:rPr/>
        <w:t>Figure</w:t>
      </w:r>
      <w:r>
        <w:rPr>
          <w:spacing w:val="-1"/>
        </w:rPr>
        <w:t> </w:t>
      </w:r>
      <w:r>
        <w:rPr/>
        <w:t>9.3</w:t>
        <w:tab/>
        <w:t>Example of hierarchy design for material selection for temporary</w:t>
      </w:r>
      <w:r>
        <w:rPr>
          <w:spacing w:val="1"/>
        </w:rPr>
        <w:t> </w:t>
      </w:r>
      <w:r>
        <w:rPr/>
        <w:t>structures.</w:t>
        <w:tab/>
      </w:r>
      <w:r>
        <w:rPr>
          <w:spacing w:val="-2"/>
        </w:rPr>
        <w:t>370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80" w:right="119" w:hanging="1440"/>
      </w:pPr>
      <w:r>
        <w:rPr/>
        <w:t>Figure</w:t>
      </w:r>
      <w:r>
        <w:rPr>
          <w:spacing w:val="-1"/>
        </w:rPr>
        <w:t> </w:t>
      </w:r>
      <w:r>
        <w:rPr/>
        <w:t>9.4</w:t>
        <w:tab/>
        <w:t>An</w:t>
      </w:r>
      <w:r>
        <w:rPr>
          <w:spacing w:val="1"/>
        </w:rPr>
        <w:t> </w:t>
      </w:r>
      <w:r>
        <w:rPr/>
        <w:t>example</w:t>
      </w:r>
      <w:r>
        <w:rPr>
          <w:spacing w:val="1"/>
        </w:rPr>
        <w:t> </w:t>
      </w:r>
      <w:r>
        <w:rPr/>
        <w:t>radar</w:t>
      </w:r>
      <w:r>
        <w:rPr>
          <w:spacing w:val="1"/>
        </w:rPr>
        <w:t> </w:t>
      </w:r>
      <w:r>
        <w:rPr/>
        <w:t>plot</w:t>
      </w:r>
      <w:r>
        <w:rPr>
          <w:spacing w:val="2"/>
        </w:rPr>
        <w:t> </w:t>
      </w:r>
      <w:r>
        <w:rPr/>
        <w:t>for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single</w:t>
      </w:r>
      <w:r>
        <w:rPr>
          <w:spacing w:val="1"/>
        </w:rPr>
        <w:t> </w:t>
      </w:r>
      <w:r>
        <w:rPr/>
        <w:t>alternative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shown with</w:t>
      </w:r>
      <w:r>
        <w:rPr>
          <w:spacing w:val="1"/>
        </w:rPr>
        <w:t> </w:t>
      </w:r>
      <w:r>
        <w:rPr/>
        <w:t>five</w:t>
      </w:r>
      <w:r>
        <w:rPr>
          <w:spacing w:val="1"/>
        </w:rPr>
        <w:t> </w:t>
      </w:r>
      <w:r>
        <w:rPr/>
        <w:t>evaluation</w:t>
      </w:r>
      <w:r>
        <w:rPr>
          <w:spacing w:val="-2"/>
        </w:rPr>
        <w:t> </w:t>
      </w:r>
      <w:r>
        <w:rPr/>
        <w:t>criteria</w:t>
      </w:r>
      <w:r>
        <w:rPr>
          <w:spacing w:val="-2"/>
        </w:rPr>
        <w:t> </w:t>
      </w:r>
      <w:r>
        <w:rPr/>
        <w:t>metrics</w:t>
        <w:tab/>
      </w:r>
      <w:r>
        <w:rPr>
          <w:spacing w:val="-2"/>
        </w:rPr>
        <w:t>375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80" w:right="119" w:hanging="1440"/>
      </w:pPr>
      <w:r>
        <w:rPr/>
        <w:t>Figure</w:t>
      </w:r>
      <w:r>
        <w:rPr>
          <w:spacing w:val="-1"/>
        </w:rPr>
        <w:t> </w:t>
      </w:r>
      <w:r>
        <w:rPr/>
        <w:t>9.5</w:t>
        <w:tab/>
        <w:t>An example radar plot with multiple alternatives shown for five evaluation</w:t>
      </w:r>
      <w:r>
        <w:rPr>
          <w:spacing w:val="-57"/>
        </w:rPr>
        <w:t> </w:t>
      </w:r>
      <w:r>
        <w:rPr/>
        <w:t>criteria</w:t>
        <w:tab/>
      </w:r>
      <w:r>
        <w:rPr>
          <w:spacing w:val="-2"/>
        </w:rPr>
        <w:t>375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80" w:right="119" w:hanging="1440"/>
      </w:pPr>
      <w:r>
        <w:rPr/>
        <w:t>Figure</w:t>
      </w:r>
      <w:r>
        <w:rPr>
          <w:spacing w:val="-1"/>
        </w:rPr>
        <w:t> </w:t>
      </w:r>
      <w:r>
        <w:rPr/>
        <w:t>9.6</w:t>
        <w:tab/>
        <w:t>An example of shading individual alternatives on the SMART plot for</w:t>
      </w:r>
      <w:r>
        <w:rPr>
          <w:spacing w:val="1"/>
        </w:rPr>
        <w:t> </w:t>
      </w:r>
      <w:r>
        <w:rPr/>
        <w:t>easier</w:t>
      </w:r>
      <w:r>
        <w:rPr>
          <w:spacing w:val="-2"/>
        </w:rPr>
        <w:t> </w:t>
      </w:r>
      <w:r>
        <w:rPr/>
        <w:t>assessment</w:t>
      </w:r>
      <w:r>
        <w:rPr>
          <w:spacing w:val="-1"/>
        </w:rPr>
        <w:t> </w:t>
      </w:r>
      <w:r>
        <w:rPr/>
        <w:t>between</w:t>
      </w:r>
      <w:r>
        <w:rPr>
          <w:spacing w:val="-1"/>
        </w:rPr>
        <w:t> </w:t>
      </w:r>
      <w:r>
        <w:rPr/>
        <w:t>choices</w:t>
        <w:tab/>
      </w:r>
      <w:r>
        <w:rPr>
          <w:spacing w:val="-2"/>
        </w:rPr>
        <w:t>376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80" w:right="119" w:hanging="1440"/>
      </w:pPr>
      <w:r>
        <w:rPr/>
        <w:t>Figure</w:t>
      </w:r>
      <w:r>
        <w:rPr>
          <w:spacing w:val="-1"/>
        </w:rPr>
        <w:t> </w:t>
      </w:r>
      <w:r>
        <w:rPr/>
        <w:t>9.7</w:t>
        <w:tab/>
        <w:t>An example of a restriction applied to the SMART plot; this case</w:t>
      </w:r>
      <w:r>
        <w:rPr>
          <w:spacing w:val="1"/>
        </w:rPr>
        <w:t> </w:t>
      </w:r>
      <w:r>
        <w:rPr/>
        <w:t>demonstrates that the Protection (Blast) and Protection (Ballistic) criteria</w:t>
      </w:r>
      <w:r>
        <w:rPr>
          <w:spacing w:val="1"/>
        </w:rPr>
        <w:t> </w:t>
      </w:r>
      <w:r>
        <w:rPr/>
        <w:t>must have a rating of 2 or higher for the material system to be in</w:t>
      </w:r>
      <w:r>
        <w:rPr>
          <w:spacing w:val="1"/>
        </w:rPr>
        <w:t> </w:t>
      </w:r>
      <w:r>
        <w:rPr/>
        <w:t>considerations.</w:t>
        <w:tab/>
      </w:r>
      <w:r>
        <w:rPr>
          <w:spacing w:val="-2"/>
        </w:rPr>
        <w:t>376</w:t>
      </w:r>
    </w:p>
    <w:p>
      <w:pPr>
        <w:pStyle w:val="BodyText"/>
        <w:tabs>
          <w:tab w:pos="1879" w:val="left" w:leader="none"/>
          <w:tab w:pos="8719" w:val="left" w:leader="dot"/>
        </w:tabs>
        <w:spacing w:before="276"/>
        <w:ind w:left="1880" w:right="119" w:hanging="1440"/>
      </w:pPr>
      <w:r>
        <w:rPr/>
        <w:t>Figure</w:t>
      </w:r>
      <w:r>
        <w:rPr>
          <w:spacing w:val="-1"/>
        </w:rPr>
        <w:t> </w:t>
      </w:r>
      <w:r>
        <w:rPr/>
        <w:t>10.1</w:t>
        <w:tab/>
        <w:t>An example of the SMART assessment for material selection for</w:t>
      </w:r>
      <w:r>
        <w:rPr>
          <w:spacing w:val="1"/>
        </w:rPr>
        <w:t> </w:t>
      </w:r>
      <w:r>
        <w:rPr/>
        <w:t>temporary</w:t>
      </w:r>
      <w:r>
        <w:rPr>
          <w:spacing w:val="-2"/>
        </w:rPr>
        <w:t> </w:t>
      </w:r>
      <w:r>
        <w:rPr/>
        <w:t>military</w:t>
      </w:r>
      <w:r>
        <w:rPr>
          <w:spacing w:val="-2"/>
        </w:rPr>
        <w:t> </w:t>
      </w:r>
      <w:r>
        <w:rPr/>
        <w:t>structures</w:t>
        <w:tab/>
      </w:r>
      <w:r>
        <w:rPr>
          <w:spacing w:val="-2"/>
        </w:rPr>
        <w:t>380</w:t>
      </w:r>
    </w:p>
    <w:p>
      <w:pPr>
        <w:spacing w:after="0"/>
        <w:sectPr>
          <w:pgSz w:w="12240" w:h="15840"/>
          <w:pgMar w:header="0" w:footer="984" w:top="1360" w:bottom="1260" w:left="1720" w:right="1320"/>
        </w:sectPr>
      </w:pPr>
    </w:p>
    <w:p>
      <w:pPr>
        <w:pStyle w:val="Heading4"/>
        <w:spacing w:before="61"/>
        <w:ind w:right="42"/>
      </w:pPr>
      <w:bookmarkStart w:name="_TOC_250074" w:id="7"/>
      <w:r>
        <w:rPr/>
        <w:t>LIST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bookmarkEnd w:id="7"/>
      <w:r>
        <w:rPr/>
        <w:t>ABBREVIATIONS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20"/>
        </w:rPr>
      </w:pPr>
    </w:p>
    <w:tbl>
      <w:tblPr>
        <w:tblW w:w="0" w:type="auto"/>
        <w:jc w:val="left"/>
        <w:tblInd w:w="35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32"/>
        <w:gridCol w:w="7170"/>
      </w:tblGrid>
      <w:tr>
        <w:trPr>
          <w:trHeight w:val="350" w:hRule="atLeast"/>
        </w:trPr>
        <w:tc>
          <w:tcPr>
            <w:tcW w:w="1532" w:type="dxa"/>
          </w:tcPr>
          <w:p>
            <w:pPr>
              <w:pStyle w:val="TableParagraph"/>
              <w:spacing w:line="266" w:lineRule="exact"/>
              <w:ind w:left="200"/>
              <w:rPr>
                <w:sz w:val="24"/>
              </w:rPr>
            </w:pPr>
            <w:r>
              <w:rPr>
                <w:sz w:val="24"/>
              </w:rPr>
              <w:t>AEC</w:t>
            </w:r>
          </w:p>
        </w:tc>
        <w:tc>
          <w:tcPr>
            <w:tcW w:w="7170" w:type="dxa"/>
          </w:tcPr>
          <w:p>
            <w:pPr>
              <w:pStyle w:val="TableParagraph"/>
              <w:spacing w:line="266" w:lineRule="exact"/>
              <w:ind w:left="373"/>
              <w:rPr>
                <w:sz w:val="24"/>
              </w:rPr>
            </w:pPr>
            <w:r>
              <w:rPr>
                <w:sz w:val="24"/>
              </w:rPr>
              <w:t>Architecture,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engineering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construction</w:t>
            </w:r>
          </w:p>
        </w:tc>
      </w:tr>
      <w:tr>
        <w:trPr>
          <w:trHeight w:val="435" w:hRule="atLeast"/>
        </w:trPr>
        <w:tc>
          <w:tcPr>
            <w:tcW w:w="1532" w:type="dxa"/>
          </w:tcPr>
          <w:p>
            <w:pPr>
              <w:pStyle w:val="TableParagraph"/>
              <w:spacing w:before="74"/>
              <w:ind w:left="200"/>
              <w:rPr>
                <w:sz w:val="24"/>
              </w:rPr>
            </w:pPr>
            <w:r>
              <w:rPr>
                <w:sz w:val="24"/>
              </w:rPr>
              <w:t>AHP</w:t>
            </w:r>
          </w:p>
        </w:tc>
        <w:tc>
          <w:tcPr>
            <w:tcW w:w="7170" w:type="dxa"/>
          </w:tcPr>
          <w:p>
            <w:pPr>
              <w:pStyle w:val="TableParagraph"/>
              <w:spacing w:before="74"/>
              <w:ind w:left="373"/>
              <w:rPr>
                <w:sz w:val="24"/>
              </w:rPr>
            </w:pPr>
            <w:r>
              <w:rPr>
                <w:sz w:val="24"/>
              </w:rPr>
              <w:t>Analytical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hierarchy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process</w:t>
            </w:r>
          </w:p>
        </w:tc>
      </w:tr>
      <w:tr>
        <w:trPr>
          <w:trHeight w:val="436" w:hRule="atLeast"/>
        </w:trPr>
        <w:tc>
          <w:tcPr>
            <w:tcW w:w="1532" w:type="dxa"/>
          </w:tcPr>
          <w:p>
            <w:pPr>
              <w:pStyle w:val="TableParagraph"/>
              <w:spacing w:before="74"/>
              <w:ind w:left="200"/>
              <w:rPr>
                <w:sz w:val="24"/>
              </w:rPr>
            </w:pPr>
            <w:r>
              <w:rPr>
                <w:sz w:val="24"/>
              </w:rPr>
              <w:t>AITC</w:t>
            </w:r>
          </w:p>
        </w:tc>
        <w:tc>
          <w:tcPr>
            <w:tcW w:w="7170" w:type="dxa"/>
          </w:tcPr>
          <w:p>
            <w:pPr>
              <w:pStyle w:val="TableParagraph"/>
              <w:spacing w:before="74"/>
              <w:ind w:left="373"/>
              <w:rPr>
                <w:sz w:val="24"/>
              </w:rPr>
            </w:pPr>
            <w:r>
              <w:rPr>
                <w:sz w:val="24"/>
              </w:rPr>
              <w:t>American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Institute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Timber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Construction</w:t>
            </w:r>
          </w:p>
        </w:tc>
      </w:tr>
      <w:tr>
        <w:trPr>
          <w:trHeight w:val="436" w:hRule="atLeast"/>
        </w:trPr>
        <w:tc>
          <w:tcPr>
            <w:tcW w:w="1532" w:type="dxa"/>
          </w:tcPr>
          <w:p>
            <w:pPr>
              <w:pStyle w:val="TableParagraph"/>
              <w:spacing w:before="75"/>
              <w:ind w:left="200"/>
              <w:rPr>
                <w:sz w:val="24"/>
              </w:rPr>
            </w:pPr>
            <w:r>
              <w:rPr>
                <w:sz w:val="24"/>
              </w:rPr>
              <w:t>ANSI</w:t>
            </w:r>
          </w:p>
        </w:tc>
        <w:tc>
          <w:tcPr>
            <w:tcW w:w="7170" w:type="dxa"/>
          </w:tcPr>
          <w:p>
            <w:pPr>
              <w:pStyle w:val="TableParagraph"/>
              <w:spacing w:before="75"/>
              <w:ind w:left="373"/>
              <w:rPr>
                <w:sz w:val="24"/>
              </w:rPr>
            </w:pPr>
            <w:r>
              <w:rPr>
                <w:sz w:val="24"/>
              </w:rPr>
              <w:t>American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National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Standards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Institute</w:t>
            </w:r>
          </w:p>
        </w:tc>
      </w:tr>
      <w:tr>
        <w:trPr>
          <w:trHeight w:val="435" w:hRule="atLeast"/>
        </w:trPr>
        <w:tc>
          <w:tcPr>
            <w:tcW w:w="1532" w:type="dxa"/>
          </w:tcPr>
          <w:p>
            <w:pPr>
              <w:pStyle w:val="TableParagraph"/>
              <w:spacing w:before="74"/>
              <w:ind w:left="200"/>
              <w:rPr>
                <w:sz w:val="24"/>
              </w:rPr>
            </w:pPr>
            <w:r>
              <w:rPr>
                <w:sz w:val="24"/>
              </w:rPr>
              <w:t>AP</w:t>
            </w:r>
          </w:p>
        </w:tc>
        <w:tc>
          <w:tcPr>
            <w:tcW w:w="7170" w:type="dxa"/>
          </w:tcPr>
          <w:p>
            <w:pPr>
              <w:pStyle w:val="TableParagraph"/>
              <w:spacing w:before="74"/>
              <w:ind w:left="373"/>
              <w:rPr>
                <w:sz w:val="24"/>
              </w:rPr>
            </w:pPr>
            <w:r>
              <w:rPr>
                <w:sz w:val="24"/>
              </w:rPr>
              <w:t>Armor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piercing</w:t>
            </w:r>
          </w:p>
        </w:tc>
      </w:tr>
      <w:tr>
        <w:trPr>
          <w:trHeight w:val="435" w:hRule="atLeast"/>
        </w:trPr>
        <w:tc>
          <w:tcPr>
            <w:tcW w:w="1532" w:type="dxa"/>
          </w:tcPr>
          <w:p>
            <w:pPr>
              <w:pStyle w:val="TableParagraph"/>
              <w:spacing w:before="74"/>
              <w:ind w:left="200"/>
              <w:rPr>
                <w:sz w:val="24"/>
              </w:rPr>
            </w:pPr>
            <w:r>
              <w:rPr>
                <w:sz w:val="24"/>
              </w:rPr>
              <w:t>APA</w:t>
            </w:r>
          </w:p>
        </w:tc>
        <w:tc>
          <w:tcPr>
            <w:tcW w:w="7170" w:type="dxa"/>
          </w:tcPr>
          <w:p>
            <w:pPr>
              <w:pStyle w:val="TableParagraph"/>
              <w:spacing w:before="74"/>
              <w:ind w:left="373"/>
              <w:rPr>
                <w:sz w:val="24"/>
              </w:rPr>
            </w:pPr>
            <w:r>
              <w:rPr>
                <w:sz w:val="24"/>
              </w:rPr>
              <w:t>Engineered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Wood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Association</w:t>
            </w:r>
          </w:p>
        </w:tc>
      </w:tr>
      <w:tr>
        <w:trPr>
          <w:trHeight w:val="436" w:hRule="atLeast"/>
        </w:trPr>
        <w:tc>
          <w:tcPr>
            <w:tcW w:w="1532" w:type="dxa"/>
          </w:tcPr>
          <w:p>
            <w:pPr>
              <w:pStyle w:val="TableParagraph"/>
              <w:spacing w:before="74"/>
              <w:ind w:left="200"/>
              <w:rPr>
                <w:sz w:val="24"/>
              </w:rPr>
            </w:pPr>
            <w:r>
              <w:rPr>
                <w:sz w:val="24"/>
              </w:rPr>
              <w:t>ARL</w:t>
            </w:r>
          </w:p>
        </w:tc>
        <w:tc>
          <w:tcPr>
            <w:tcW w:w="7170" w:type="dxa"/>
          </w:tcPr>
          <w:p>
            <w:pPr>
              <w:pStyle w:val="TableParagraph"/>
              <w:spacing w:before="74"/>
              <w:ind w:left="373"/>
              <w:rPr>
                <w:sz w:val="24"/>
              </w:rPr>
            </w:pPr>
            <w:r>
              <w:rPr>
                <w:sz w:val="24"/>
              </w:rPr>
              <w:t>Army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Research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Laboratory</w:t>
            </w:r>
          </w:p>
        </w:tc>
      </w:tr>
      <w:tr>
        <w:trPr>
          <w:trHeight w:val="436" w:hRule="atLeast"/>
        </w:trPr>
        <w:tc>
          <w:tcPr>
            <w:tcW w:w="1532" w:type="dxa"/>
          </w:tcPr>
          <w:p>
            <w:pPr>
              <w:pStyle w:val="TableParagraph"/>
              <w:spacing w:before="75"/>
              <w:ind w:left="200"/>
              <w:rPr>
                <w:sz w:val="24"/>
              </w:rPr>
            </w:pPr>
            <w:r>
              <w:rPr>
                <w:sz w:val="24"/>
              </w:rPr>
              <w:t>ASD</w:t>
            </w:r>
          </w:p>
        </w:tc>
        <w:tc>
          <w:tcPr>
            <w:tcW w:w="7170" w:type="dxa"/>
          </w:tcPr>
          <w:p>
            <w:pPr>
              <w:pStyle w:val="TableParagraph"/>
              <w:spacing w:before="75"/>
              <w:ind w:left="373"/>
              <w:rPr>
                <w:sz w:val="24"/>
              </w:rPr>
            </w:pPr>
            <w:r>
              <w:rPr>
                <w:sz w:val="24"/>
              </w:rPr>
              <w:t>Allowable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stress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design</w:t>
            </w:r>
          </w:p>
        </w:tc>
      </w:tr>
      <w:tr>
        <w:trPr>
          <w:trHeight w:val="711" w:hRule="atLeast"/>
        </w:trPr>
        <w:tc>
          <w:tcPr>
            <w:tcW w:w="1532" w:type="dxa"/>
          </w:tcPr>
          <w:p>
            <w:pPr>
              <w:pStyle w:val="TableParagraph"/>
              <w:spacing w:before="5"/>
              <w:rPr>
                <w:b/>
                <w:sz w:val="30"/>
              </w:rPr>
            </w:pPr>
          </w:p>
          <w:p>
            <w:pPr>
              <w:pStyle w:val="TableParagraph"/>
              <w:ind w:left="200"/>
              <w:rPr>
                <w:sz w:val="24"/>
              </w:rPr>
            </w:pPr>
            <w:r>
              <w:rPr>
                <w:sz w:val="24"/>
              </w:rPr>
              <w:t>ASHRAE</w:t>
            </w:r>
          </w:p>
        </w:tc>
        <w:tc>
          <w:tcPr>
            <w:tcW w:w="7170" w:type="dxa"/>
          </w:tcPr>
          <w:p>
            <w:pPr>
              <w:pStyle w:val="TableParagraph"/>
              <w:spacing w:before="74"/>
              <w:ind w:left="373" w:right="438"/>
              <w:rPr>
                <w:sz w:val="24"/>
              </w:rPr>
            </w:pPr>
            <w:r>
              <w:rPr>
                <w:sz w:val="24"/>
              </w:rPr>
              <w:t>American Society of Heating, Refrigerating and Air-Conditioning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Engineers</w:t>
            </w:r>
          </w:p>
        </w:tc>
      </w:tr>
      <w:tr>
        <w:trPr>
          <w:trHeight w:val="436" w:hRule="atLeast"/>
        </w:trPr>
        <w:tc>
          <w:tcPr>
            <w:tcW w:w="1532" w:type="dxa"/>
          </w:tcPr>
          <w:p>
            <w:pPr>
              <w:pStyle w:val="TableParagraph"/>
              <w:spacing w:before="74"/>
              <w:ind w:left="200"/>
              <w:rPr>
                <w:sz w:val="24"/>
              </w:rPr>
            </w:pPr>
            <w:r>
              <w:rPr>
                <w:sz w:val="24"/>
              </w:rPr>
              <w:t>ASTM</w:t>
            </w:r>
          </w:p>
        </w:tc>
        <w:tc>
          <w:tcPr>
            <w:tcW w:w="7170" w:type="dxa"/>
          </w:tcPr>
          <w:p>
            <w:pPr>
              <w:pStyle w:val="TableParagraph"/>
              <w:spacing w:before="74"/>
              <w:ind w:left="373"/>
              <w:rPr>
                <w:sz w:val="24"/>
              </w:rPr>
            </w:pPr>
            <w:r>
              <w:rPr>
                <w:sz w:val="24"/>
              </w:rPr>
              <w:t>American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Society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Testing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Materials</w:t>
            </w:r>
          </w:p>
        </w:tc>
      </w:tr>
      <w:tr>
        <w:trPr>
          <w:trHeight w:val="436" w:hRule="atLeast"/>
        </w:trPr>
        <w:tc>
          <w:tcPr>
            <w:tcW w:w="1532" w:type="dxa"/>
          </w:tcPr>
          <w:p>
            <w:pPr>
              <w:pStyle w:val="TableParagraph"/>
              <w:spacing w:before="75"/>
              <w:ind w:left="200"/>
              <w:rPr>
                <w:sz w:val="24"/>
              </w:rPr>
            </w:pPr>
            <w:r>
              <w:rPr>
                <w:sz w:val="24"/>
              </w:rPr>
              <w:t>AT</w:t>
            </w:r>
          </w:p>
        </w:tc>
        <w:tc>
          <w:tcPr>
            <w:tcW w:w="7170" w:type="dxa"/>
          </w:tcPr>
          <w:p>
            <w:pPr>
              <w:pStyle w:val="TableParagraph"/>
              <w:spacing w:before="75"/>
              <w:ind w:left="373"/>
              <w:rPr>
                <w:sz w:val="24"/>
              </w:rPr>
            </w:pPr>
            <w:r>
              <w:rPr>
                <w:sz w:val="24"/>
              </w:rPr>
              <w:t>Antiterrorism</w:t>
            </w:r>
          </w:p>
        </w:tc>
      </w:tr>
      <w:tr>
        <w:trPr>
          <w:trHeight w:val="435" w:hRule="atLeast"/>
        </w:trPr>
        <w:tc>
          <w:tcPr>
            <w:tcW w:w="1532" w:type="dxa"/>
          </w:tcPr>
          <w:p>
            <w:pPr>
              <w:pStyle w:val="TableParagraph"/>
              <w:spacing w:before="74"/>
              <w:ind w:left="200"/>
              <w:rPr>
                <w:sz w:val="24"/>
              </w:rPr>
            </w:pPr>
            <w:r>
              <w:rPr>
                <w:sz w:val="24"/>
              </w:rPr>
              <w:t>BCR</w:t>
            </w:r>
          </w:p>
        </w:tc>
        <w:tc>
          <w:tcPr>
            <w:tcW w:w="7170" w:type="dxa"/>
          </w:tcPr>
          <w:p>
            <w:pPr>
              <w:pStyle w:val="TableParagraph"/>
              <w:spacing w:before="74"/>
              <w:ind w:left="373"/>
              <w:rPr>
                <w:sz w:val="24"/>
              </w:rPr>
            </w:pPr>
            <w:r>
              <w:rPr>
                <w:sz w:val="24"/>
              </w:rPr>
              <w:t>Benefit-cost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ratio</w:t>
            </w:r>
          </w:p>
        </w:tc>
      </w:tr>
      <w:tr>
        <w:trPr>
          <w:trHeight w:val="712" w:hRule="atLeast"/>
        </w:trPr>
        <w:tc>
          <w:tcPr>
            <w:tcW w:w="1532" w:type="dxa"/>
          </w:tcPr>
          <w:p>
            <w:pPr>
              <w:pStyle w:val="TableParagraph"/>
              <w:spacing w:before="5"/>
              <w:rPr>
                <w:b/>
                <w:sz w:val="30"/>
              </w:rPr>
            </w:pPr>
          </w:p>
          <w:p>
            <w:pPr>
              <w:pStyle w:val="TableParagraph"/>
              <w:ind w:left="200"/>
              <w:rPr>
                <w:sz w:val="24"/>
              </w:rPr>
            </w:pPr>
            <w:r>
              <w:rPr>
                <w:sz w:val="24"/>
              </w:rPr>
              <w:t>CERL</w:t>
            </w:r>
          </w:p>
        </w:tc>
        <w:tc>
          <w:tcPr>
            <w:tcW w:w="7170" w:type="dxa"/>
          </w:tcPr>
          <w:p>
            <w:pPr>
              <w:pStyle w:val="TableParagraph"/>
              <w:spacing w:before="74"/>
              <w:ind w:left="373" w:right="197"/>
              <w:rPr>
                <w:sz w:val="24"/>
              </w:rPr>
            </w:pPr>
            <w:r>
              <w:rPr>
                <w:sz w:val="24"/>
              </w:rPr>
              <w:t>Construction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Engineering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Research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Laboratory,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U.S.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Army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Corps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Engineers</w:t>
            </w:r>
          </w:p>
        </w:tc>
      </w:tr>
      <w:tr>
        <w:trPr>
          <w:trHeight w:val="351" w:hRule="atLeast"/>
        </w:trPr>
        <w:tc>
          <w:tcPr>
            <w:tcW w:w="1532" w:type="dxa"/>
          </w:tcPr>
          <w:p>
            <w:pPr>
              <w:pStyle w:val="TableParagraph"/>
              <w:spacing w:line="256" w:lineRule="exact" w:before="75"/>
              <w:ind w:left="200"/>
              <w:rPr>
                <w:sz w:val="24"/>
              </w:rPr>
            </w:pPr>
            <w:r>
              <w:rPr>
                <w:sz w:val="24"/>
              </w:rPr>
              <w:t>CLT</w:t>
            </w:r>
          </w:p>
        </w:tc>
        <w:tc>
          <w:tcPr>
            <w:tcW w:w="7170" w:type="dxa"/>
          </w:tcPr>
          <w:p>
            <w:pPr>
              <w:pStyle w:val="TableParagraph"/>
              <w:spacing w:line="256" w:lineRule="exact" w:before="75"/>
              <w:ind w:left="373"/>
              <w:rPr>
                <w:sz w:val="24"/>
              </w:rPr>
            </w:pPr>
            <w:r>
              <w:rPr>
                <w:sz w:val="24"/>
              </w:rPr>
              <w:t>Cross-laminated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timber</w:t>
            </w:r>
          </w:p>
        </w:tc>
      </w:tr>
    </w:tbl>
    <w:p>
      <w:pPr>
        <w:pStyle w:val="BodyText"/>
        <w:spacing w:before="8" w:after="1"/>
        <w:rPr>
          <w:b/>
          <w:sz w:val="14"/>
        </w:rPr>
      </w:pPr>
    </w:p>
    <w:tbl>
      <w:tblPr>
        <w:tblW w:w="0" w:type="auto"/>
        <w:jc w:val="left"/>
        <w:tblInd w:w="50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22"/>
        <w:gridCol w:w="6908"/>
      </w:tblGrid>
      <w:tr>
        <w:trPr>
          <w:trHeight w:val="350" w:hRule="atLeast"/>
        </w:trPr>
        <w:tc>
          <w:tcPr>
            <w:tcW w:w="1222" w:type="dxa"/>
          </w:tcPr>
          <w:p>
            <w:pPr>
              <w:pStyle w:val="TableParagraph"/>
              <w:spacing w:line="266" w:lineRule="exact"/>
              <w:ind w:left="50"/>
              <w:rPr>
                <w:sz w:val="24"/>
              </w:rPr>
            </w:pPr>
            <w:r>
              <w:rPr>
                <w:sz w:val="24"/>
              </w:rPr>
              <w:t>CMU</w:t>
            </w:r>
          </w:p>
        </w:tc>
        <w:tc>
          <w:tcPr>
            <w:tcW w:w="6908" w:type="dxa"/>
          </w:tcPr>
          <w:p>
            <w:pPr>
              <w:pStyle w:val="TableParagraph"/>
              <w:spacing w:line="266" w:lineRule="exact"/>
              <w:ind w:left="533"/>
              <w:rPr>
                <w:sz w:val="24"/>
              </w:rPr>
            </w:pPr>
            <w:r>
              <w:rPr>
                <w:sz w:val="24"/>
              </w:rPr>
              <w:t>Concrete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masonry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unit</w:t>
            </w:r>
          </w:p>
        </w:tc>
      </w:tr>
      <w:tr>
        <w:trPr>
          <w:trHeight w:val="436" w:hRule="atLeast"/>
        </w:trPr>
        <w:tc>
          <w:tcPr>
            <w:tcW w:w="1222" w:type="dxa"/>
          </w:tcPr>
          <w:p>
            <w:pPr>
              <w:pStyle w:val="TableParagraph"/>
              <w:spacing w:before="74"/>
              <w:ind w:left="50"/>
              <w:rPr>
                <w:sz w:val="24"/>
              </w:rPr>
            </w:pPr>
            <w:r>
              <w:rPr>
                <w:sz w:val="24"/>
              </w:rPr>
              <w:t>CNC</w:t>
            </w:r>
          </w:p>
        </w:tc>
        <w:tc>
          <w:tcPr>
            <w:tcW w:w="6908" w:type="dxa"/>
          </w:tcPr>
          <w:p>
            <w:pPr>
              <w:pStyle w:val="TableParagraph"/>
              <w:spacing w:before="74"/>
              <w:ind w:left="533"/>
              <w:rPr>
                <w:sz w:val="24"/>
              </w:rPr>
            </w:pPr>
            <w:r>
              <w:rPr>
                <w:sz w:val="24"/>
              </w:rPr>
              <w:t>Computer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Numerical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Controlled</w:t>
            </w:r>
          </w:p>
        </w:tc>
      </w:tr>
      <w:tr>
        <w:trPr>
          <w:trHeight w:val="436" w:hRule="atLeast"/>
        </w:trPr>
        <w:tc>
          <w:tcPr>
            <w:tcW w:w="1222" w:type="dxa"/>
          </w:tcPr>
          <w:p>
            <w:pPr>
              <w:pStyle w:val="TableParagraph"/>
              <w:spacing w:before="75"/>
              <w:ind w:left="50"/>
              <w:rPr>
                <w:sz w:val="24"/>
              </w:rPr>
            </w:pPr>
            <w:r>
              <w:rPr>
                <w:sz w:val="24"/>
              </w:rPr>
              <w:t>DFL</w:t>
            </w:r>
          </w:p>
        </w:tc>
        <w:tc>
          <w:tcPr>
            <w:tcW w:w="6908" w:type="dxa"/>
          </w:tcPr>
          <w:p>
            <w:pPr>
              <w:pStyle w:val="TableParagraph"/>
              <w:spacing w:before="75"/>
              <w:ind w:left="533"/>
              <w:rPr>
                <w:sz w:val="24"/>
              </w:rPr>
            </w:pPr>
            <w:r>
              <w:rPr>
                <w:sz w:val="24"/>
              </w:rPr>
              <w:t>Digital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Fabrication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Laboratory</w:t>
            </w:r>
          </w:p>
        </w:tc>
      </w:tr>
      <w:tr>
        <w:trPr>
          <w:trHeight w:val="435" w:hRule="atLeast"/>
        </w:trPr>
        <w:tc>
          <w:tcPr>
            <w:tcW w:w="1222" w:type="dxa"/>
          </w:tcPr>
          <w:p>
            <w:pPr>
              <w:pStyle w:val="TableParagraph"/>
              <w:spacing w:before="74"/>
              <w:ind w:left="50"/>
              <w:rPr>
                <w:sz w:val="24"/>
              </w:rPr>
            </w:pPr>
            <w:r>
              <w:rPr>
                <w:sz w:val="24"/>
              </w:rPr>
              <w:t>DLA</w:t>
            </w:r>
          </w:p>
        </w:tc>
        <w:tc>
          <w:tcPr>
            <w:tcW w:w="6908" w:type="dxa"/>
          </w:tcPr>
          <w:p>
            <w:pPr>
              <w:pStyle w:val="TableParagraph"/>
              <w:spacing w:before="74"/>
              <w:ind w:left="533"/>
              <w:rPr>
                <w:sz w:val="24"/>
              </w:rPr>
            </w:pPr>
            <w:r>
              <w:rPr>
                <w:sz w:val="24"/>
              </w:rPr>
              <w:t>Defense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Logistics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Agency</w:t>
            </w:r>
          </w:p>
        </w:tc>
      </w:tr>
      <w:tr>
        <w:trPr>
          <w:trHeight w:val="435" w:hRule="atLeast"/>
        </w:trPr>
        <w:tc>
          <w:tcPr>
            <w:tcW w:w="1222" w:type="dxa"/>
          </w:tcPr>
          <w:p>
            <w:pPr>
              <w:pStyle w:val="TableParagraph"/>
              <w:spacing w:before="74"/>
              <w:ind w:left="50"/>
              <w:rPr>
                <w:sz w:val="24"/>
              </w:rPr>
            </w:pPr>
            <w:r>
              <w:rPr>
                <w:sz w:val="24"/>
              </w:rPr>
              <w:t>DoD</w:t>
            </w:r>
          </w:p>
        </w:tc>
        <w:tc>
          <w:tcPr>
            <w:tcW w:w="6908" w:type="dxa"/>
          </w:tcPr>
          <w:p>
            <w:pPr>
              <w:pStyle w:val="TableParagraph"/>
              <w:spacing w:before="74"/>
              <w:ind w:left="533"/>
              <w:rPr>
                <w:sz w:val="24"/>
              </w:rPr>
            </w:pPr>
            <w:r>
              <w:rPr>
                <w:sz w:val="24"/>
              </w:rPr>
              <w:t>Department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Defense</w:t>
            </w:r>
          </w:p>
        </w:tc>
      </w:tr>
      <w:tr>
        <w:trPr>
          <w:trHeight w:val="436" w:hRule="atLeast"/>
        </w:trPr>
        <w:tc>
          <w:tcPr>
            <w:tcW w:w="1222" w:type="dxa"/>
          </w:tcPr>
          <w:p>
            <w:pPr>
              <w:pStyle w:val="TableParagraph"/>
              <w:spacing w:before="74"/>
              <w:ind w:left="50"/>
              <w:rPr>
                <w:sz w:val="24"/>
              </w:rPr>
            </w:pPr>
            <w:r>
              <w:rPr>
                <w:sz w:val="24"/>
              </w:rPr>
              <w:t>ECLT</w:t>
            </w:r>
          </w:p>
        </w:tc>
        <w:tc>
          <w:tcPr>
            <w:tcW w:w="6908" w:type="dxa"/>
          </w:tcPr>
          <w:p>
            <w:pPr>
              <w:pStyle w:val="TableParagraph"/>
              <w:spacing w:before="74"/>
              <w:ind w:left="533"/>
              <w:rPr>
                <w:sz w:val="24"/>
              </w:rPr>
            </w:pPr>
            <w:r>
              <w:rPr>
                <w:sz w:val="24"/>
              </w:rPr>
              <w:t>Enhanced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cross-laminated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timber</w:t>
            </w:r>
          </w:p>
        </w:tc>
      </w:tr>
      <w:tr>
        <w:trPr>
          <w:trHeight w:val="436" w:hRule="atLeast"/>
        </w:trPr>
        <w:tc>
          <w:tcPr>
            <w:tcW w:w="1222" w:type="dxa"/>
          </w:tcPr>
          <w:p>
            <w:pPr>
              <w:pStyle w:val="TableParagraph"/>
              <w:spacing w:before="75"/>
              <w:ind w:left="50"/>
              <w:rPr>
                <w:sz w:val="24"/>
              </w:rPr>
            </w:pPr>
            <w:r>
              <w:rPr>
                <w:sz w:val="24"/>
              </w:rPr>
              <w:t>ECU</w:t>
            </w:r>
          </w:p>
        </w:tc>
        <w:tc>
          <w:tcPr>
            <w:tcW w:w="6908" w:type="dxa"/>
          </w:tcPr>
          <w:p>
            <w:pPr>
              <w:pStyle w:val="TableParagraph"/>
              <w:spacing w:before="75"/>
              <w:ind w:left="533"/>
              <w:rPr>
                <w:sz w:val="24"/>
              </w:rPr>
            </w:pPr>
            <w:r>
              <w:rPr>
                <w:sz w:val="24"/>
              </w:rPr>
              <w:t>Environmental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control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unit</w:t>
            </w:r>
          </w:p>
        </w:tc>
      </w:tr>
      <w:tr>
        <w:trPr>
          <w:trHeight w:val="435" w:hRule="atLeast"/>
        </w:trPr>
        <w:tc>
          <w:tcPr>
            <w:tcW w:w="1222" w:type="dxa"/>
          </w:tcPr>
          <w:p>
            <w:pPr>
              <w:pStyle w:val="TableParagraph"/>
              <w:spacing w:before="74"/>
              <w:ind w:left="50"/>
              <w:rPr>
                <w:sz w:val="24"/>
              </w:rPr>
            </w:pPr>
            <w:r>
              <w:rPr>
                <w:sz w:val="24"/>
              </w:rPr>
              <w:t>EMC</w:t>
            </w:r>
          </w:p>
        </w:tc>
        <w:tc>
          <w:tcPr>
            <w:tcW w:w="6908" w:type="dxa"/>
          </w:tcPr>
          <w:p>
            <w:pPr>
              <w:pStyle w:val="TableParagraph"/>
              <w:spacing w:before="74"/>
              <w:ind w:left="533"/>
              <w:rPr>
                <w:sz w:val="24"/>
              </w:rPr>
            </w:pPr>
            <w:r>
              <w:rPr>
                <w:sz w:val="24"/>
              </w:rPr>
              <w:t>Equilibrium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moisture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content</w:t>
            </w:r>
          </w:p>
        </w:tc>
      </w:tr>
      <w:tr>
        <w:trPr>
          <w:trHeight w:val="712" w:hRule="atLeast"/>
        </w:trPr>
        <w:tc>
          <w:tcPr>
            <w:tcW w:w="1222" w:type="dxa"/>
          </w:tcPr>
          <w:p>
            <w:pPr>
              <w:pStyle w:val="TableParagraph"/>
              <w:spacing w:before="5"/>
              <w:rPr>
                <w:b/>
                <w:sz w:val="30"/>
              </w:rPr>
            </w:pPr>
          </w:p>
          <w:p>
            <w:pPr>
              <w:pStyle w:val="TableParagraph"/>
              <w:ind w:left="50"/>
              <w:rPr>
                <w:sz w:val="24"/>
              </w:rPr>
            </w:pPr>
            <w:r>
              <w:rPr>
                <w:sz w:val="24"/>
              </w:rPr>
              <w:t>ERDC</w:t>
            </w:r>
          </w:p>
        </w:tc>
        <w:tc>
          <w:tcPr>
            <w:tcW w:w="6908" w:type="dxa"/>
          </w:tcPr>
          <w:p>
            <w:pPr>
              <w:pStyle w:val="TableParagraph"/>
              <w:spacing w:before="74"/>
              <w:ind w:left="533" w:right="30"/>
              <w:rPr>
                <w:sz w:val="24"/>
              </w:rPr>
            </w:pPr>
            <w:r>
              <w:rPr>
                <w:sz w:val="24"/>
              </w:rPr>
              <w:t>Engineer Research and Development Center, U.S. Army Corps of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Engineers</w:t>
            </w:r>
          </w:p>
        </w:tc>
      </w:tr>
      <w:tr>
        <w:trPr>
          <w:trHeight w:val="351" w:hRule="atLeast"/>
        </w:trPr>
        <w:tc>
          <w:tcPr>
            <w:tcW w:w="1222" w:type="dxa"/>
          </w:tcPr>
          <w:p>
            <w:pPr>
              <w:pStyle w:val="TableParagraph"/>
              <w:spacing w:line="256" w:lineRule="exact" w:before="75"/>
              <w:ind w:left="50"/>
              <w:rPr>
                <w:sz w:val="24"/>
              </w:rPr>
            </w:pPr>
            <w:r>
              <w:rPr>
                <w:sz w:val="24"/>
              </w:rPr>
              <w:t>FML</w:t>
            </w:r>
          </w:p>
        </w:tc>
        <w:tc>
          <w:tcPr>
            <w:tcW w:w="6908" w:type="dxa"/>
          </w:tcPr>
          <w:p>
            <w:pPr>
              <w:pStyle w:val="TableParagraph"/>
              <w:spacing w:line="256" w:lineRule="exact" w:before="75"/>
              <w:ind w:left="533"/>
              <w:rPr>
                <w:sz w:val="24"/>
              </w:rPr>
            </w:pPr>
            <w:r>
              <w:rPr>
                <w:sz w:val="24"/>
              </w:rPr>
              <w:t>Full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metal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jacket</w:t>
            </w:r>
          </w:p>
        </w:tc>
      </w:tr>
    </w:tbl>
    <w:p>
      <w:pPr>
        <w:spacing w:after="0" w:line="256" w:lineRule="exact"/>
        <w:rPr>
          <w:sz w:val="24"/>
        </w:rPr>
        <w:sectPr>
          <w:pgSz w:w="12240" w:h="15840"/>
          <w:pgMar w:header="0" w:footer="984" w:top="1380" w:bottom="1260" w:left="1720" w:right="1320"/>
        </w:sectPr>
      </w:pPr>
    </w:p>
    <w:tbl>
      <w:tblPr>
        <w:tblW w:w="0" w:type="auto"/>
        <w:jc w:val="left"/>
        <w:tblInd w:w="35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39"/>
        <w:gridCol w:w="5846"/>
      </w:tblGrid>
      <w:tr>
        <w:trPr>
          <w:trHeight w:val="350" w:hRule="atLeast"/>
        </w:trPr>
        <w:tc>
          <w:tcPr>
            <w:tcW w:w="1439" w:type="dxa"/>
          </w:tcPr>
          <w:p>
            <w:pPr>
              <w:pStyle w:val="TableParagraph"/>
              <w:spacing w:line="266" w:lineRule="exact"/>
              <w:ind w:left="200"/>
              <w:rPr>
                <w:sz w:val="24"/>
              </w:rPr>
            </w:pPr>
            <w:r>
              <w:rPr>
                <w:sz w:val="24"/>
              </w:rPr>
              <w:t>FPCON</w:t>
            </w:r>
          </w:p>
        </w:tc>
        <w:tc>
          <w:tcPr>
            <w:tcW w:w="5846" w:type="dxa"/>
          </w:tcPr>
          <w:p>
            <w:pPr>
              <w:pStyle w:val="TableParagraph"/>
              <w:spacing w:line="266" w:lineRule="exact"/>
              <w:ind w:left="466"/>
              <w:rPr>
                <w:sz w:val="24"/>
              </w:rPr>
            </w:pPr>
            <w:r>
              <w:rPr>
                <w:sz w:val="24"/>
              </w:rPr>
              <w:t>Force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Protection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Condition</w:t>
            </w:r>
          </w:p>
        </w:tc>
      </w:tr>
      <w:tr>
        <w:trPr>
          <w:trHeight w:val="436" w:hRule="atLeast"/>
        </w:trPr>
        <w:tc>
          <w:tcPr>
            <w:tcW w:w="1439" w:type="dxa"/>
          </w:tcPr>
          <w:p>
            <w:pPr>
              <w:pStyle w:val="TableParagraph"/>
              <w:spacing w:before="74"/>
              <w:ind w:left="200"/>
              <w:rPr>
                <w:sz w:val="24"/>
              </w:rPr>
            </w:pPr>
            <w:r>
              <w:rPr>
                <w:sz w:val="24"/>
              </w:rPr>
              <w:t>FRP</w:t>
            </w:r>
          </w:p>
        </w:tc>
        <w:tc>
          <w:tcPr>
            <w:tcW w:w="5846" w:type="dxa"/>
          </w:tcPr>
          <w:p>
            <w:pPr>
              <w:pStyle w:val="TableParagraph"/>
              <w:spacing w:before="74"/>
              <w:ind w:left="466"/>
              <w:rPr>
                <w:sz w:val="24"/>
              </w:rPr>
            </w:pPr>
            <w:r>
              <w:rPr>
                <w:sz w:val="24"/>
              </w:rPr>
              <w:t>Fiberglass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reinforced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plastic</w:t>
            </w:r>
          </w:p>
        </w:tc>
      </w:tr>
      <w:tr>
        <w:trPr>
          <w:trHeight w:val="436" w:hRule="atLeast"/>
        </w:trPr>
        <w:tc>
          <w:tcPr>
            <w:tcW w:w="1439" w:type="dxa"/>
          </w:tcPr>
          <w:p>
            <w:pPr>
              <w:pStyle w:val="TableParagraph"/>
              <w:spacing w:before="75"/>
              <w:ind w:left="200"/>
              <w:rPr>
                <w:sz w:val="24"/>
              </w:rPr>
            </w:pPr>
            <w:r>
              <w:rPr>
                <w:sz w:val="24"/>
              </w:rPr>
              <w:t>FSP</w:t>
            </w:r>
          </w:p>
        </w:tc>
        <w:tc>
          <w:tcPr>
            <w:tcW w:w="5846" w:type="dxa"/>
          </w:tcPr>
          <w:p>
            <w:pPr>
              <w:pStyle w:val="TableParagraph"/>
              <w:spacing w:before="75"/>
              <w:ind w:left="466"/>
              <w:rPr>
                <w:sz w:val="24"/>
              </w:rPr>
            </w:pPr>
            <w:r>
              <w:rPr>
                <w:sz w:val="24"/>
              </w:rPr>
              <w:t>Fragment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simulating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projectile</w:t>
            </w:r>
          </w:p>
        </w:tc>
      </w:tr>
      <w:tr>
        <w:trPr>
          <w:trHeight w:val="435" w:hRule="atLeast"/>
        </w:trPr>
        <w:tc>
          <w:tcPr>
            <w:tcW w:w="1439" w:type="dxa"/>
          </w:tcPr>
          <w:p>
            <w:pPr>
              <w:pStyle w:val="TableParagraph"/>
              <w:spacing w:before="74"/>
              <w:ind w:left="200"/>
              <w:rPr>
                <w:sz w:val="24"/>
              </w:rPr>
            </w:pPr>
            <w:r>
              <w:rPr>
                <w:sz w:val="24"/>
              </w:rPr>
              <w:t>FST</w:t>
            </w:r>
          </w:p>
        </w:tc>
        <w:tc>
          <w:tcPr>
            <w:tcW w:w="5846" w:type="dxa"/>
          </w:tcPr>
          <w:p>
            <w:pPr>
              <w:pStyle w:val="TableParagraph"/>
              <w:spacing w:before="74"/>
              <w:ind w:left="466"/>
              <w:rPr>
                <w:sz w:val="24"/>
              </w:rPr>
            </w:pPr>
            <w:r>
              <w:rPr>
                <w:sz w:val="24"/>
              </w:rPr>
              <w:t>Fuzzy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Set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Theory</w:t>
            </w:r>
          </w:p>
        </w:tc>
      </w:tr>
      <w:tr>
        <w:trPr>
          <w:trHeight w:val="436" w:hRule="atLeast"/>
        </w:trPr>
        <w:tc>
          <w:tcPr>
            <w:tcW w:w="1439" w:type="dxa"/>
          </w:tcPr>
          <w:p>
            <w:pPr>
              <w:pStyle w:val="TableParagraph"/>
              <w:spacing w:before="74"/>
              <w:ind w:left="200"/>
              <w:rPr>
                <w:sz w:val="24"/>
              </w:rPr>
            </w:pPr>
            <w:r>
              <w:rPr>
                <w:sz w:val="24"/>
              </w:rPr>
              <w:t>HEL</w:t>
            </w:r>
          </w:p>
        </w:tc>
        <w:tc>
          <w:tcPr>
            <w:tcW w:w="5846" w:type="dxa"/>
          </w:tcPr>
          <w:p>
            <w:pPr>
              <w:pStyle w:val="TableParagraph"/>
              <w:spacing w:before="74"/>
              <w:ind w:left="466"/>
              <w:rPr>
                <w:sz w:val="24"/>
              </w:rPr>
            </w:pPr>
            <w:r>
              <w:rPr>
                <w:sz w:val="24"/>
              </w:rPr>
              <w:t>Hugoniot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elastic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limit</w:t>
            </w:r>
          </w:p>
        </w:tc>
      </w:tr>
      <w:tr>
        <w:trPr>
          <w:trHeight w:val="436" w:hRule="atLeast"/>
        </w:trPr>
        <w:tc>
          <w:tcPr>
            <w:tcW w:w="1439" w:type="dxa"/>
          </w:tcPr>
          <w:p>
            <w:pPr>
              <w:pStyle w:val="TableParagraph"/>
              <w:spacing w:before="75"/>
              <w:ind w:left="200"/>
              <w:rPr>
                <w:sz w:val="24"/>
              </w:rPr>
            </w:pPr>
            <w:r>
              <w:rPr>
                <w:sz w:val="24"/>
              </w:rPr>
              <w:t>HVAC</w:t>
            </w:r>
          </w:p>
        </w:tc>
        <w:tc>
          <w:tcPr>
            <w:tcW w:w="5846" w:type="dxa"/>
          </w:tcPr>
          <w:p>
            <w:pPr>
              <w:pStyle w:val="TableParagraph"/>
              <w:spacing w:before="75"/>
              <w:ind w:left="466"/>
              <w:rPr>
                <w:sz w:val="24"/>
              </w:rPr>
            </w:pPr>
            <w:r>
              <w:rPr>
                <w:sz w:val="24"/>
              </w:rPr>
              <w:t>Heating,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ventilation,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air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conditioning</w:t>
            </w:r>
          </w:p>
        </w:tc>
      </w:tr>
      <w:tr>
        <w:trPr>
          <w:trHeight w:val="435" w:hRule="atLeast"/>
        </w:trPr>
        <w:tc>
          <w:tcPr>
            <w:tcW w:w="1439" w:type="dxa"/>
          </w:tcPr>
          <w:p>
            <w:pPr>
              <w:pStyle w:val="TableParagraph"/>
              <w:spacing w:before="74"/>
              <w:ind w:left="200"/>
              <w:rPr>
                <w:sz w:val="24"/>
              </w:rPr>
            </w:pPr>
            <w:r>
              <w:rPr>
                <w:sz w:val="24"/>
              </w:rPr>
              <w:t>IBC</w:t>
            </w:r>
          </w:p>
        </w:tc>
        <w:tc>
          <w:tcPr>
            <w:tcW w:w="5846" w:type="dxa"/>
          </w:tcPr>
          <w:p>
            <w:pPr>
              <w:pStyle w:val="TableParagraph"/>
              <w:spacing w:before="74"/>
              <w:ind w:left="466"/>
              <w:rPr>
                <w:sz w:val="24"/>
              </w:rPr>
            </w:pPr>
            <w:r>
              <w:rPr>
                <w:sz w:val="24"/>
              </w:rPr>
              <w:t>International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Building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Code</w:t>
            </w:r>
          </w:p>
        </w:tc>
      </w:tr>
      <w:tr>
        <w:trPr>
          <w:trHeight w:val="436" w:hRule="atLeast"/>
        </w:trPr>
        <w:tc>
          <w:tcPr>
            <w:tcW w:w="1439" w:type="dxa"/>
          </w:tcPr>
          <w:p>
            <w:pPr>
              <w:pStyle w:val="TableParagraph"/>
              <w:spacing w:before="74"/>
              <w:ind w:left="200"/>
              <w:rPr>
                <w:sz w:val="24"/>
              </w:rPr>
            </w:pPr>
            <w:r>
              <w:rPr>
                <w:sz w:val="24"/>
              </w:rPr>
              <w:t>IIC</w:t>
            </w:r>
          </w:p>
        </w:tc>
        <w:tc>
          <w:tcPr>
            <w:tcW w:w="5846" w:type="dxa"/>
          </w:tcPr>
          <w:p>
            <w:pPr>
              <w:pStyle w:val="TableParagraph"/>
              <w:spacing w:before="74"/>
              <w:ind w:left="466"/>
              <w:rPr>
                <w:sz w:val="24"/>
              </w:rPr>
            </w:pPr>
            <w:r>
              <w:rPr>
                <w:sz w:val="24"/>
              </w:rPr>
              <w:t>Impact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Insulation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Class</w:t>
            </w:r>
          </w:p>
        </w:tc>
      </w:tr>
      <w:tr>
        <w:trPr>
          <w:trHeight w:val="436" w:hRule="atLeast"/>
        </w:trPr>
        <w:tc>
          <w:tcPr>
            <w:tcW w:w="1439" w:type="dxa"/>
          </w:tcPr>
          <w:p>
            <w:pPr>
              <w:pStyle w:val="TableParagraph"/>
              <w:spacing w:before="75"/>
              <w:ind w:left="200"/>
              <w:rPr>
                <w:sz w:val="24"/>
              </w:rPr>
            </w:pPr>
            <w:r>
              <w:rPr>
                <w:sz w:val="24"/>
              </w:rPr>
              <w:t>JSP</w:t>
            </w:r>
          </w:p>
        </w:tc>
        <w:tc>
          <w:tcPr>
            <w:tcW w:w="5846" w:type="dxa"/>
          </w:tcPr>
          <w:p>
            <w:pPr>
              <w:pStyle w:val="TableParagraph"/>
              <w:spacing w:before="75"/>
              <w:ind w:left="466"/>
              <w:rPr>
                <w:sz w:val="24"/>
              </w:rPr>
            </w:pPr>
            <w:r>
              <w:rPr>
                <w:sz w:val="24"/>
              </w:rPr>
              <w:t>Jacketed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soft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point</w:t>
            </w:r>
          </w:p>
        </w:tc>
      </w:tr>
      <w:tr>
        <w:trPr>
          <w:trHeight w:val="435" w:hRule="atLeast"/>
        </w:trPr>
        <w:tc>
          <w:tcPr>
            <w:tcW w:w="1439" w:type="dxa"/>
          </w:tcPr>
          <w:p>
            <w:pPr>
              <w:pStyle w:val="TableParagraph"/>
              <w:spacing w:before="74"/>
              <w:ind w:left="200"/>
              <w:rPr>
                <w:sz w:val="24"/>
              </w:rPr>
            </w:pPr>
            <w:r>
              <w:rPr>
                <w:sz w:val="24"/>
              </w:rPr>
              <w:t>LOP</w:t>
            </w:r>
          </w:p>
        </w:tc>
        <w:tc>
          <w:tcPr>
            <w:tcW w:w="5846" w:type="dxa"/>
          </w:tcPr>
          <w:p>
            <w:pPr>
              <w:pStyle w:val="TableParagraph"/>
              <w:spacing w:before="74"/>
              <w:ind w:left="466"/>
              <w:rPr>
                <w:sz w:val="24"/>
              </w:rPr>
            </w:pPr>
            <w:r>
              <w:rPr>
                <w:sz w:val="24"/>
              </w:rPr>
              <w:t>Level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Protection</w:t>
            </w:r>
          </w:p>
        </w:tc>
      </w:tr>
      <w:tr>
        <w:trPr>
          <w:trHeight w:val="435" w:hRule="atLeast"/>
        </w:trPr>
        <w:tc>
          <w:tcPr>
            <w:tcW w:w="1439" w:type="dxa"/>
          </w:tcPr>
          <w:p>
            <w:pPr>
              <w:pStyle w:val="TableParagraph"/>
              <w:spacing w:before="74"/>
              <w:ind w:left="200"/>
              <w:rPr>
                <w:sz w:val="24"/>
              </w:rPr>
            </w:pPr>
            <w:r>
              <w:rPr>
                <w:sz w:val="24"/>
              </w:rPr>
              <w:t>LRFD</w:t>
            </w:r>
          </w:p>
        </w:tc>
        <w:tc>
          <w:tcPr>
            <w:tcW w:w="5846" w:type="dxa"/>
          </w:tcPr>
          <w:p>
            <w:pPr>
              <w:pStyle w:val="TableParagraph"/>
              <w:spacing w:before="74"/>
              <w:ind w:left="466"/>
              <w:rPr>
                <w:sz w:val="24"/>
              </w:rPr>
            </w:pPr>
            <w:r>
              <w:rPr>
                <w:sz w:val="24"/>
              </w:rPr>
              <w:t>Load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factor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resistance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design</w:t>
            </w:r>
          </w:p>
        </w:tc>
      </w:tr>
      <w:tr>
        <w:trPr>
          <w:trHeight w:val="436" w:hRule="atLeast"/>
        </w:trPr>
        <w:tc>
          <w:tcPr>
            <w:tcW w:w="1439" w:type="dxa"/>
          </w:tcPr>
          <w:p>
            <w:pPr>
              <w:pStyle w:val="TableParagraph"/>
              <w:spacing w:before="74"/>
              <w:ind w:left="200"/>
              <w:rPr>
                <w:sz w:val="24"/>
              </w:rPr>
            </w:pPr>
            <w:r>
              <w:rPr>
                <w:sz w:val="24"/>
              </w:rPr>
              <w:t>LRHV</w:t>
            </w:r>
          </w:p>
        </w:tc>
        <w:tc>
          <w:tcPr>
            <w:tcW w:w="5846" w:type="dxa"/>
          </w:tcPr>
          <w:p>
            <w:pPr>
              <w:pStyle w:val="TableParagraph"/>
              <w:spacing w:before="74"/>
              <w:ind w:left="466"/>
              <w:rPr>
                <w:sz w:val="24"/>
              </w:rPr>
            </w:pPr>
            <w:r>
              <w:rPr>
                <w:sz w:val="24"/>
              </w:rPr>
              <w:t>Long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rifle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high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velocity</w:t>
            </w:r>
          </w:p>
        </w:tc>
      </w:tr>
      <w:tr>
        <w:trPr>
          <w:trHeight w:val="436" w:hRule="atLeast"/>
        </w:trPr>
        <w:tc>
          <w:tcPr>
            <w:tcW w:w="1439" w:type="dxa"/>
          </w:tcPr>
          <w:p>
            <w:pPr>
              <w:pStyle w:val="TableParagraph"/>
              <w:spacing w:before="75"/>
              <w:ind w:left="200"/>
              <w:rPr>
                <w:sz w:val="24"/>
              </w:rPr>
            </w:pPr>
            <w:r>
              <w:rPr>
                <w:sz w:val="24"/>
              </w:rPr>
              <w:t>LSL</w:t>
            </w:r>
          </w:p>
        </w:tc>
        <w:tc>
          <w:tcPr>
            <w:tcW w:w="5846" w:type="dxa"/>
          </w:tcPr>
          <w:p>
            <w:pPr>
              <w:pStyle w:val="TableParagraph"/>
              <w:spacing w:before="75"/>
              <w:ind w:left="466"/>
              <w:rPr>
                <w:sz w:val="24"/>
              </w:rPr>
            </w:pPr>
            <w:r>
              <w:rPr>
                <w:sz w:val="24"/>
              </w:rPr>
              <w:t>Laminated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strand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lumber</w:t>
            </w:r>
          </w:p>
        </w:tc>
      </w:tr>
      <w:tr>
        <w:trPr>
          <w:trHeight w:val="435" w:hRule="atLeast"/>
        </w:trPr>
        <w:tc>
          <w:tcPr>
            <w:tcW w:w="1439" w:type="dxa"/>
          </w:tcPr>
          <w:p>
            <w:pPr>
              <w:pStyle w:val="TableParagraph"/>
              <w:spacing w:before="74"/>
              <w:ind w:left="200"/>
              <w:rPr>
                <w:sz w:val="24"/>
              </w:rPr>
            </w:pPr>
            <w:r>
              <w:rPr>
                <w:sz w:val="24"/>
              </w:rPr>
              <w:t>LVL</w:t>
            </w:r>
          </w:p>
        </w:tc>
        <w:tc>
          <w:tcPr>
            <w:tcW w:w="5846" w:type="dxa"/>
          </w:tcPr>
          <w:p>
            <w:pPr>
              <w:pStyle w:val="TableParagraph"/>
              <w:spacing w:before="74"/>
              <w:ind w:left="466"/>
              <w:rPr>
                <w:sz w:val="24"/>
              </w:rPr>
            </w:pPr>
            <w:r>
              <w:rPr>
                <w:sz w:val="24"/>
              </w:rPr>
              <w:t>Laminated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veneer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lumber</w:t>
            </w:r>
          </w:p>
        </w:tc>
      </w:tr>
      <w:tr>
        <w:trPr>
          <w:trHeight w:val="436" w:hRule="atLeast"/>
        </w:trPr>
        <w:tc>
          <w:tcPr>
            <w:tcW w:w="1439" w:type="dxa"/>
          </w:tcPr>
          <w:p>
            <w:pPr>
              <w:pStyle w:val="TableParagraph"/>
              <w:spacing w:before="74"/>
              <w:ind w:left="200"/>
              <w:rPr>
                <w:sz w:val="24"/>
              </w:rPr>
            </w:pPr>
            <w:r>
              <w:rPr>
                <w:sz w:val="24"/>
              </w:rPr>
              <w:t>MSE</w:t>
            </w:r>
          </w:p>
        </w:tc>
        <w:tc>
          <w:tcPr>
            <w:tcW w:w="5846" w:type="dxa"/>
          </w:tcPr>
          <w:p>
            <w:pPr>
              <w:pStyle w:val="TableParagraph"/>
              <w:spacing w:before="74"/>
              <w:ind w:left="466"/>
              <w:rPr>
                <w:sz w:val="24"/>
              </w:rPr>
            </w:pPr>
            <w:r>
              <w:rPr>
                <w:sz w:val="24"/>
              </w:rPr>
              <w:t>Mean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squared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error</w:t>
            </w:r>
          </w:p>
        </w:tc>
      </w:tr>
      <w:tr>
        <w:trPr>
          <w:trHeight w:val="436" w:hRule="atLeast"/>
        </w:trPr>
        <w:tc>
          <w:tcPr>
            <w:tcW w:w="1439" w:type="dxa"/>
          </w:tcPr>
          <w:p>
            <w:pPr>
              <w:pStyle w:val="TableParagraph"/>
              <w:spacing w:before="75"/>
              <w:ind w:left="200"/>
              <w:rPr>
                <w:sz w:val="24"/>
              </w:rPr>
            </w:pPr>
            <w:r>
              <w:rPr>
                <w:sz w:val="24"/>
              </w:rPr>
              <w:t>MSR</w:t>
            </w:r>
          </w:p>
        </w:tc>
        <w:tc>
          <w:tcPr>
            <w:tcW w:w="5846" w:type="dxa"/>
          </w:tcPr>
          <w:p>
            <w:pPr>
              <w:pStyle w:val="TableParagraph"/>
              <w:spacing w:before="75"/>
              <w:ind w:left="466"/>
              <w:rPr>
                <w:sz w:val="24"/>
              </w:rPr>
            </w:pPr>
            <w:r>
              <w:rPr>
                <w:sz w:val="24"/>
              </w:rPr>
              <w:t>Machine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stress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rated</w:t>
            </w:r>
          </w:p>
        </w:tc>
      </w:tr>
      <w:tr>
        <w:trPr>
          <w:trHeight w:val="435" w:hRule="atLeast"/>
        </w:trPr>
        <w:tc>
          <w:tcPr>
            <w:tcW w:w="1439" w:type="dxa"/>
          </w:tcPr>
          <w:p>
            <w:pPr>
              <w:pStyle w:val="TableParagraph"/>
              <w:spacing w:before="74"/>
              <w:ind w:left="200"/>
              <w:rPr>
                <w:sz w:val="24"/>
              </w:rPr>
            </w:pPr>
            <w:r>
              <w:rPr>
                <w:sz w:val="24"/>
              </w:rPr>
              <w:t>NASA</w:t>
            </w:r>
          </w:p>
        </w:tc>
        <w:tc>
          <w:tcPr>
            <w:tcW w:w="5846" w:type="dxa"/>
          </w:tcPr>
          <w:p>
            <w:pPr>
              <w:pStyle w:val="TableParagraph"/>
              <w:spacing w:before="74"/>
              <w:ind w:left="466"/>
              <w:rPr>
                <w:sz w:val="24"/>
              </w:rPr>
            </w:pPr>
            <w:r>
              <w:rPr>
                <w:sz w:val="24"/>
              </w:rPr>
              <w:t>National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Aeronautics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Space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Administration</w:t>
            </w:r>
          </w:p>
        </w:tc>
      </w:tr>
      <w:tr>
        <w:trPr>
          <w:trHeight w:val="436" w:hRule="atLeast"/>
        </w:trPr>
        <w:tc>
          <w:tcPr>
            <w:tcW w:w="1439" w:type="dxa"/>
          </w:tcPr>
          <w:p>
            <w:pPr>
              <w:pStyle w:val="TableParagraph"/>
              <w:spacing w:before="74"/>
              <w:ind w:left="200"/>
              <w:rPr>
                <w:sz w:val="24"/>
              </w:rPr>
            </w:pPr>
            <w:r>
              <w:rPr>
                <w:sz w:val="24"/>
              </w:rPr>
              <w:t>NDS</w:t>
            </w:r>
          </w:p>
        </w:tc>
        <w:tc>
          <w:tcPr>
            <w:tcW w:w="5846" w:type="dxa"/>
          </w:tcPr>
          <w:p>
            <w:pPr>
              <w:pStyle w:val="TableParagraph"/>
              <w:spacing w:before="74"/>
              <w:ind w:left="466"/>
              <w:rPr>
                <w:sz w:val="24"/>
              </w:rPr>
            </w:pPr>
            <w:r>
              <w:rPr>
                <w:sz w:val="24"/>
              </w:rPr>
              <w:t>National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Design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Specification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Wood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Construction</w:t>
            </w:r>
          </w:p>
        </w:tc>
      </w:tr>
      <w:tr>
        <w:trPr>
          <w:trHeight w:val="436" w:hRule="atLeast"/>
        </w:trPr>
        <w:tc>
          <w:tcPr>
            <w:tcW w:w="1439" w:type="dxa"/>
          </w:tcPr>
          <w:p>
            <w:pPr>
              <w:pStyle w:val="TableParagraph"/>
              <w:spacing w:before="75"/>
              <w:ind w:left="200"/>
              <w:rPr>
                <w:sz w:val="24"/>
              </w:rPr>
            </w:pPr>
            <w:r>
              <w:rPr>
                <w:sz w:val="24"/>
              </w:rPr>
              <w:t>NGO</w:t>
            </w:r>
          </w:p>
        </w:tc>
        <w:tc>
          <w:tcPr>
            <w:tcW w:w="5846" w:type="dxa"/>
          </w:tcPr>
          <w:p>
            <w:pPr>
              <w:pStyle w:val="TableParagraph"/>
              <w:spacing w:before="75"/>
              <w:ind w:left="466"/>
              <w:rPr>
                <w:sz w:val="24"/>
              </w:rPr>
            </w:pPr>
            <w:r>
              <w:rPr>
                <w:sz w:val="24"/>
              </w:rPr>
              <w:t>Non-governmental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organization</w:t>
            </w:r>
          </w:p>
        </w:tc>
      </w:tr>
      <w:tr>
        <w:trPr>
          <w:trHeight w:val="435" w:hRule="atLeast"/>
        </w:trPr>
        <w:tc>
          <w:tcPr>
            <w:tcW w:w="1439" w:type="dxa"/>
          </w:tcPr>
          <w:p>
            <w:pPr>
              <w:pStyle w:val="TableParagraph"/>
              <w:spacing w:before="74"/>
              <w:ind w:left="200"/>
              <w:rPr>
                <w:sz w:val="24"/>
              </w:rPr>
            </w:pPr>
            <w:r>
              <w:rPr>
                <w:sz w:val="24"/>
              </w:rPr>
              <w:t>NIJ</w:t>
            </w:r>
          </w:p>
        </w:tc>
        <w:tc>
          <w:tcPr>
            <w:tcW w:w="5846" w:type="dxa"/>
          </w:tcPr>
          <w:p>
            <w:pPr>
              <w:pStyle w:val="TableParagraph"/>
              <w:spacing w:before="74"/>
              <w:ind w:left="466"/>
              <w:rPr>
                <w:sz w:val="24"/>
              </w:rPr>
            </w:pPr>
            <w:r>
              <w:rPr>
                <w:sz w:val="24"/>
              </w:rPr>
              <w:t>National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Institute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Justice</w:t>
            </w:r>
          </w:p>
        </w:tc>
      </w:tr>
      <w:tr>
        <w:trPr>
          <w:trHeight w:val="436" w:hRule="atLeast"/>
        </w:trPr>
        <w:tc>
          <w:tcPr>
            <w:tcW w:w="1439" w:type="dxa"/>
          </w:tcPr>
          <w:p>
            <w:pPr>
              <w:pStyle w:val="TableParagraph"/>
              <w:spacing w:before="74"/>
              <w:ind w:left="200"/>
              <w:rPr>
                <w:sz w:val="24"/>
              </w:rPr>
            </w:pPr>
            <w:r>
              <w:rPr>
                <w:sz w:val="24"/>
              </w:rPr>
              <w:t>NLT</w:t>
            </w:r>
          </w:p>
        </w:tc>
        <w:tc>
          <w:tcPr>
            <w:tcW w:w="5846" w:type="dxa"/>
          </w:tcPr>
          <w:p>
            <w:pPr>
              <w:pStyle w:val="TableParagraph"/>
              <w:spacing w:before="74"/>
              <w:ind w:left="466"/>
              <w:rPr>
                <w:sz w:val="24"/>
              </w:rPr>
            </w:pPr>
            <w:r>
              <w:rPr>
                <w:sz w:val="24"/>
              </w:rPr>
              <w:t>Nail-laminated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timber</w:t>
            </w:r>
          </w:p>
        </w:tc>
      </w:tr>
      <w:tr>
        <w:trPr>
          <w:trHeight w:val="436" w:hRule="atLeast"/>
        </w:trPr>
        <w:tc>
          <w:tcPr>
            <w:tcW w:w="1439" w:type="dxa"/>
          </w:tcPr>
          <w:p>
            <w:pPr>
              <w:pStyle w:val="TableParagraph"/>
              <w:spacing w:before="75"/>
              <w:ind w:left="200"/>
              <w:rPr>
                <w:sz w:val="24"/>
              </w:rPr>
            </w:pPr>
            <w:r>
              <w:rPr>
                <w:sz w:val="24"/>
              </w:rPr>
              <w:t>OSB</w:t>
            </w:r>
          </w:p>
        </w:tc>
        <w:tc>
          <w:tcPr>
            <w:tcW w:w="5846" w:type="dxa"/>
          </w:tcPr>
          <w:p>
            <w:pPr>
              <w:pStyle w:val="TableParagraph"/>
              <w:spacing w:before="75"/>
              <w:ind w:left="466"/>
              <w:rPr>
                <w:sz w:val="24"/>
              </w:rPr>
            </w:pPr>
            <w:r>
              <w:rPr>
                <w:sz w:val="24"/>
              </w:rPr>
              <w:t>Oriented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strand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board</w:t>
            </w:r>
          </w:p>
        </w:tc>
      </w:tr>
      <w:tr>
        <w:trPr>
          <w:trHeight w:val="435" w:hRule="atLeast"/>
        </w:trPr>
        <w:tc>
          <w:tcPr>
            <w:tcW w:w="1439" w:type="dxa"/>
          </w:tcPr>
          <w:p>
            <w:pPr>
              <w:pStyle w:val="TableParagraph"/>
              <w:spacing w:before="74"/>
              <w:ind w:left="200"/>
              <w:rPr>
                <w:sz w:val="24"/>
              </w:rPr>
            </w:pPr>
            <w:r>
              <w:rPr>
                <w:sz w:val="24"/>
              </w:rPr>
              <w:t>P-I</w:t>
            </w:r>
          </w:p>
        </w:tc>
        <w:tc>
          <w:tcPr>
            <w:tcW w:w="5846" w:type="dxa"/>
          </w:tcPr>
          <w:p>
            <w:pPr>
              <w:pStyle w:val="TableParagraph"/>
              <w:spacing w:before="74"/>
              <w:ind w:left="466"/>
              <w:rPr>
                <w:sz w:val="24"/>
              </w:rPr>
            </w:pPr>
            <w:r>
              <w:rPr>
                <w:sz w:val="24"/>
              </w:rPr>
              <w:t>Probability-impact</w:t>
            </w:r>
          </w:p>
        </w:tc>
      </w:tr>
      <w:tr>
        <w:trPr>
          <w:trHeight w:val="436" w:hRule="atLeast"/>
        </w:trPr>
        <w:tc>
          <w:tcPr>
            <w:tcW w:w="1439" w:type="dxa"/>
          </w:tcPr>
          <w:p>
            <w:pPr>
              <w:pStyle w:val="TableParagraph"/>
              <w:spacing w:before="74"/>
              <w:ind w:left="200"/>
              <w:rPr>
                <w:sz w:val="24"/>
              </w:rPr>
            </w:pPr>
            <w:r>
              <w:rPr>
                <w:sz w:val="24"/>
              </w:rPr>
              <w:t>PSL</w:t>
            </w:r>
          </w:p>
        </w:tc>
        <w:tc>
          <w:tcPr>
            <w:tcW w:w="5846" w:type="dxa"/>
          </w:tcPr>
          <w:p>
            <w:pPr>
              <w:pStyle w:val="TableParagraph"/>
              <w:spacing w:before="74"/>
              <w:ind w:left="466"/>
              <w:rPr>
                <w:sz w:val="24"/>
              </w:rPr>
            </w:pPr>
            <w:r>
              <w:rPr>
                <w:sz w:val="24"/>
              </w:rPr>
              <w:t>Parallel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strand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lumber</w:t>
            </w:r>
          </w:p>
        </w:tc>
      </w:tr>
      <w:tr>
        <w:trPr>
          <w:trHeight w:val="436" w:hRule="atLeast"/>
        </w:trPr>
        <w:tc>
          <w:tcPr>
            <w:tcW w:w="1439" w:type="dxa"/>
          </w:tcPr>
          <w:p>
            <w:pPr>
              <w:pStyle w:val="TableParagraph"/>
              <w:spacing w:before="75"/>
              <w:ind w:left="200"/>
              <w:rPr>
                <w:sz w:val="24"/>
              </w:rPr>
            </w:pPr>
            <w:r>
              <w:rPr>
                <w:sz w:val="24"/>
              </w:rPr>
              <w:t>PVB</w:t>
            </w:r>
          </w:p>
        </w:tc>
        <w:tc>
          <w:tcPr>
            <w:tcW w:w="5846" w:type="dxa"/>
          </w:tcPr>
          <w:p>
            <w:pPr>
              <w:pStyle w:val="TableParagraph"/>
              <w:spacing w:before="75"/>
              <w:ind w:left="466"/>
              <w:rPr>
                <w:sz w:val="24"/>
              </w:rPr>
            </w:pPr>
            <w:r>
              <w:rPr>
                <w:sz w:val="24"/>
              </w:rPr>
              <w:t>Polyvinyl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butyral</w:t>
            </w:r>
          </w:p>
        </w:tc>
      </w:tr>
      <w:tr>
        <w:trPr>
          <w:trHeight w:val="435" w:hRule="atLeast"/>
        </w:trPr>
        <w:tc>
          <w:tcPr>
            <w:tcW w:w="1439" w:type="dxa"/>
          </w:tcPr>
          <w:p>
            <w:pPr>
              <w:pStyle w:val="TableParagraph"/>
              <w:spacing w:before="74"/>
              <w:ind w:left="200"/>
              <w:rPr>
                <w:sz w:val="24"/>
              </w:rPr>
            </w:pPr>
            <w:r>
              <w:rPr>
                <w:sz w:val="24"/>
              </w:rPr>
              <w:t>RHA</w:t>
            </w:r>
          </w:p>
        </w:tc>
        <w:tc>
          <w:tcPr>
            <w:tcW w:w="5846" w:type="dxa"/>
          </w:tcPr>
          <w:p>
            <w:pPr>
              <w:pStyle w:val="TableParagraph"/>
              <w:spacing w:before="74"/>
              <w:ind w:left="466"/>
              <w:rPr>
                <w:sz w:val="24"/>
              </w:rPr>
            </w:pPr>
            <w:r>
              <w:rPr>
                <w:sz w:val="24"/>
              </w:rPr>
              <w:t>Rolled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homogenous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armor</w:t>
            </w:r>
          </w:p>
        </w:tc>
      </w:tr>
      <w:tr>
        <w:trPr>
          <w:trHeight w:val="435" w:hRule="atLeast"/>
        </w:trPr>
        <w:tc>
          <w:tcPr>
            <w:tcW w:w="1439" w:type="dxa"/>
          </w:tcPr>
          <w:p>
            <w:pPr>
              <w:pStyle w:val="TableParagraph"/>
              <w:spacing w:before="74"/>
              <w:ind w:left="200"/>
              <w:rPr>
                <w:sz w:val="24"/>
              </w:rPr>
            </w:pPr>
            <w:r>
              <w:rPr>
                <w:sz w:val="24"/>
              </w:rPr>
              <w:t>RN</w:t>
            </w:r>
          </w:p>
        </w:tc>
        <w:tc>
          <w:tcPr>
            <w:tcW w:w="5846" w:type="dxa"/>
          </w:tcPr>
          <w:p>
            <w:pPr>
              <w:pStyle w:val="TableParagraph"/>
              <w:spacing w:before="74"/>
              <w:ind w:left="466"/>
              <w:rPr>
                <w:sz w:val="24"/>
              </w:rPr>
            </w:pPr>
            <w:r>
              <w:rPr>
                <w:sz w:val="24"/>
              </w:rPr>
              <w:t>Round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nose</w:t>
            </w:r>
          </w:p>
        </w:tc>
      </w:tr>
      <w:tr>
        <w:trPr>
          <w:trHeight w:val="436" w:hRule="atLeast"/>
        </w:trPr>
        <w:tc>
          <w:tcPr>
            <w:tcW w:w="1439" w:type="dxa"/>
          </w:tcPr>
          <w:p>
            <w:pPr>
              <w:pStyle w:val="TableParagraph"/>
              <w:spacing w:before="74"/>
              <w:ind w:left="200"/>
              <w:rPr>
                <w:sz w:val="24"/>
              </w:rPr>
            </w:pPr>
            <w:r>
              <w:rPr>
                <w:sz w:val="24"/>
              </w:rPr>
              <w:t>SCL</w:t>
            </w:r>
          </w:p>
        </w:tc>
        <w:tc>
          <w:tcPr>
            <w:tcW w:w="5846" w:type="dxa"/>
          </w:tcPr>
          <w:p>
            <w:pPr>
              <w:pStyle w:val="TableParagraph"/>
              <w:spacing w:before="74"/>
              <w:ind w:left="466"/>
              <w:rPr>
                <w:sz w:val="24"/>
              </w:rPr>
            </w:pPr>
            <w:r>
              <w:rPr>
                <w:sz w:val="24"/>
              </w:rPr>
              <w:t>Structural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composite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lumber</w:t>
            </w:r>
          </w:p>
        </w:tc>
      </w:tr>
      <w:tr>
        <w:trPr>
          <w:trHeight w:val="351" w:hRule="atLeast"/>
        </w:trPr>
        <w:tc>
          <w:tcPr>
            <w:tcW w:w="1439" w:type="dxa"/>
          </w:tcPr>
          <w:p>
            <w:pPr>
              <w:pStyle w:val="TableParagraph"/>
              <w:spacing w:line="256" w:lineRule="exact" w:before="75"/>
              <w:ind w:left="200"/>
              <w:rPr>
                <w:sz w:val="24"/>
              </w:rPr>
            </w:pPr>
            <w:r>
              <w:rPr>
                <w:sz w:val="24"/>
              </w:rPr>
              <w:t>SDOF</w:t>
            </w:r>
          </w:p>
        </w:tc>
        <w:tc>
          <w:tcPr>
            <w:tcW w:w="5846" w:type="dxa"/>
          </w:tcPr>
          <w:p>
            <w:pPr>
              <w:pStyle w:val="TableParagraph"/>
              <w:spacing w:line="256" w:lineRule="exact" w:before="75"/>
              <w:ind w:left="466"/>
              <w:rPr>
                <w:sz w:val="24"/>
              </w:rPr>
            </w:pPr>
            <w:r>
              <w:rPr>
                <w:sz w:val="24"/>
              </w:rPr>
              <w:t>Single-degree-of-freedom</w:t>
            </w:r>
          </w:p>
        </w:tc>
      </w:tr>
    </w:tbl>
    <w:p>
      <w:pPr>
        <w:spacing w:after="0" w:line="256" w:lineRule="exact"/>
        <w:rPr>
          <w:sz w:val="24"/>
        </w:rPr>
        <w:sectPr>
          <w:pgSz w:w="12240" w:h="15840"/>
          <w:pgMar w:header="0" w:footer="984" w:top="1440" w:bottom="1180" w:left="1720" w:right="1320"/>
        </w:sectPr>
      </w:pPr>
    </w:p>
    <w:tbl>
      <w:tblPr>
        <w:tblW w:w="0" w:type="auto"/>
        <w:jc w:val="left"/>
        <w:tblInd w:w="50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69"/>
        <w:gridCol w:w="4310"/>
      </w:tblGrid>
      <w:tr>
        <w:trPr>
          <w:trHeight w:val="350" w:hRule="atLeast"/>
        </w:trPr>
        <w:tc>
          <w:tcPr>
            <w:tcW w:w="1569" w:type="dxa"/>
          </w:tcPr>
          <w:p>
            <w:pPr>
              <w:pStyle w:val="TableParagraph"/>
              <w:spacing w:line="266" w:lineRule="exact"/>
              <w:ind w:left="50"/>
              <w:rPr>
                <w:sz w:val="24"/>
              </w:rPr>
            </w:pPr>
            <w:r>
              <w:rPr>
                <w:sz w:val="24"/>
              </w:rPr>
              <w:t>SHPB</w:t>
            </w:r>
          </w:p>
        </w:tc>
        <w:tc>
          <w:tcPr>
            <w:tcW w:w="4310" w:type="dxa"/>
          </w:tcPr>
          <w:p>
            <w:pPr>
              <w:pStyle w:val="TableParagraph"/>
              <w:spacing w:line="266" w:lineRule="exact"/>
              <w:ind w:left="186"/>
              <w:rPr>
                <w:sz w:val="24"/>
              </w:rPr>
            </w:pPr>
            <w:r>
              <w:rPr>
                <w:sz w:val="24"/>
              </w:rPr>
              <w:t>Split-Hopkinson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pressure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bar</w:t>
            </w:r>
          </w:p>
        </w:tc>
      </w:tr>
      <w:tr>
        <w:trPr>
          <w:trHeight w:val="436" w:hRule="atLeast"/>
        </w:trPr>
        <w:tc>
          <w:tcPr>
            <w:tcW w:w="1569" w:type="dxa"/>
          </w:tcPr>
          <w:p>
            <w:pPr>
              <w:pStyle w:val="TableParagraph"/>
              <w:spacing w:before="74"/>
              <w:ind w:left="50"/>
              <w:rPr>
                <w:sz w:val="24"/>
              </w:rPr>
            </w:pPr>
            <w:r>
              <w:rPr>
                <w:sz w:val="24"/>
              </w:rPr>
              <w:t>SIP</w:t>
            </w:r>
          </w:p>
        </w:tc>
        <w:tc>
          <w:tcPr>
            <w:tcW w:w="4310" w:type="dxa"/>
          </w:tcPr>
          <w:p>
            <w:pPr>
              <w:pStyle w:val="TableParagraph"/>
              <w:spacing w:before="74"/>
              <w:ind w:left="186"/>
              <w:rPr>
                <w:sz w:val="24"/>
              </w:rPr>
            </w:pPr>
            <w:r>
              <w:rPr>
                <w:sz w:val="24"/>
              </w:rPr>
              <w:t>Structural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Insulated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Panels</w:t>
            </w:r>
          </w:p>
        </w:tc>
      </w:tr>
      <w:tr>
        <w:trPr>
          <w:trHeight w:val="436" w:hRule="atLeast"/>
        </w:trPr>
        <w:tc>
          <w:tcPr>
            <w:tcW w:w="1569" w:type="dxa"/>
          </w:tcPr>
          <w:p>
            <w:pPr>
              <w:pStyle w:val="TableParagraph"/>
              <w:spacing w:before="75"/>
              <w:ind w:left="50"/>
              <w:rPr>
                <w:sz w:val="24"/>
              </w:rPr>
            </w:pPr>
            <w:r>
              <w:rPr>
                <w:sz w:val="24"/>
              </w:rPr>
              <w:t>SMART</w:t>
            </w:r>
          </w:p>
        </w:tc>
        <w:tc>
          <w:tcPr>
            <w:tcW w:w="4310" w:type="dxa"/>
          </w:tcPr>
          <w:p>
            <w:pPr>
              <w:pStyle w:val="TableParagraph"/>
              <w:spacing w:before="75"/>
              <w:ind w:left="186"/>
              <w:rPr>
                <w:sz w:val="24"/>
              </w:rPr>
            </w:pPr>
            <w:r>
              <w:rPr>
                <w:sz w:val="24"/>
              </w:rPr>
              <w:t>Simplified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Multi-Attribute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Radar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Tool</w:t>
            </w:r>
          </w:p>
        </w:tc>
      </w:tr>
      <w:tr>
        <w:trPr>
          <w:trHeight w:val="435" w:hRule="atLeast"/>
        </w:trPr>
        <w:tc>
          <w:tcPr>
            <w:tcW w:w="1569" w:type="dxa"/>
          </w:tcPr>
          <w:p>
            <w:pPr>
              <w:pStyle w:val="TableParagraph"/>
              <w:spacing w:before="74"/>
              <w:ind w:left="50"/>
              <w:rPr>
                <w:sz w:val="24"/>
              </w:rPr>
            </w:pPr>
            <w:r>
              <w:rPr>
                <w:sz w:val="24"/>
              </w:rPr>
              <w:t>SPF</w:t>
            </w:r>
          </w:p>
        </w:tc>
        <w:tc>
          <w:tcPr>
            <w:tcW w:w="4310" w:type="dxa"/>
          </w:tcPr>
          <w:p>
            <w:pPr>
              <w:pStyle w:val="TableParagraph"/>
              <w:spacing w:before="74"/>
              <w:ind w:left="186"/>
              <w:rPr>
                <w:sz w:val="24"/>
              </w:rPr>
            </w:pPr>
            <w:r>
              <w:rPr>
                <w:sz w:val="24"/>
              </w:rPr>
              <w:t>Spruce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Pine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Fir</w:t>
            </w:r>
          </w:p>
        </w:tc>
      </w:tr>
      <w:tr>
        <w:trPr>
          <w:trHeight w:val="436" w:hRule="atLeast"/>
        </w:trPr>
        <w:tc>
          <w:tcPr>
            <w:tcW w:w="1569" w:type="dxa"/>
          </w:tcPr>
          <w:p>
            <w:pPr>
              <w:pStyle w:val="TableParagraph"/>
              <w:spacing w:before="74"/>
              <w:ind w:left="50"/>
              <w:rPr>
                <w:sz w:val="24"/>
              </w:rPr>
            </w:pPr>
            <w:r>
              <w:rPr>
                <w:sz w:val="24"/>
              </w:rPr>
              <w:t>SPF-S</w:t>
            </w:r>
          </w:p>
        </w:tc>
        <w:tc>
          <w:tcPr>
            <w:tcW w:w="4310" w:type="dxa"/>
          </w:tcPr>
          <w:p>
            <w:pPr>
              <w:pStyle w:val="TableParagraph"/>
              <w:spacing w:before="74"/>
              <w:ind w:left="186"/>
              <w:rPr>
                <w:sz w:val="24"/>
              </w:rPr>
            </w:pPr>
            <w:r>
              <w:rPr>
                <w:sz w:val="24"/>
              </w:rPr>
              <w:t>Spruce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Pine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Fir-South</w:t>
            </w:r>
          </w:p>
        </w:tc>
      </w:tr>
      <w:tr>
        <w:trPr>
          <w:trHeight w:val="436" w:hRule="atLeast"/>
        </w:trPr>
        <w:tc>
          <w:tcPr>
            <w:tcW w:w="1569" w:type="dxa"/>
          </w:tcPr>
          <w:p>
            <w:pPr>
              <w:pStyle w:val="TableParagraph"/>
              <w:spacing w:before="75"/>
              <w:ind w:left="50"/>
              <w:rPr>
                <w:sz w:val="24"/>
              </w:rPr>
            </w:pPr>
            <w:r>
              <w:rPr>
                <w:sz w:val="24"/>
              </w:rPr>
              <w:t>STC</w:t>
            </w:r>
          </w:p>
        </w:tc>
        <w:tc>
          <w:tcPr>
            <w:tcW w:w="4310" w:type="dxa"/>
          </w:tcPr>
          <w:p>
            <w:pPr>
              <w:pStyle w:val="TableParagraph"/>
              <w:spacing w:before="75"/>
              <w:ind w:left="186"/>
              <w:rPr>
                <w:sz w:val="24"/>
              </w:rPr>
            </w:pPr>
            <w:r>
              <w:rPr>
                <w:sz w:val="24"/>
              </w:rPr>
              <w:t>Sound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Transmission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Class</w:t>
            </w:r>
          </w:p>
        </w:tc>
      </w:tr>
      <w:tr>
        <w:trPr>
          <w:trHeight w:val="435" w:hRule="atLeast"/>
        </w:trPr>
        <w:tc>
          <w:tcPr>
            <w:tcW w:w="1569" w:type="dxa"/>
          </w:tcPr>
          <w:p>
            <w:pPr>
              <w:pStyle w:val="TableParagraph"/>
              <w:spacing w:before="74"/>
              <w:ind w:left="50"/>
              <w:rPr>
                <w:sz w:val="24"/>
              </w:rPr>
            </w:pPr>
            <w:r>
              <w:rPr>
                <w:sz w:val="24"/>
              </w:rPr>
              <w:t>SWC</w:t>
            </w:r>
          </w:p>
        </w:tc>
        <w:tc>
          <w:tcPr>
            <w:tcW w:w="4310" w:type="dxa"/>
          </w:tcPr>
          <w:p>
            <w:pPr>
              <w:pStyle w:val="TableParagraph"/>
              <w:spacing w:before="74"/>
              <w:ind w:left="186"/>
              <w:rPr>
                <w:sz w:val="24"/>
              </w:rPr>
            </w:pPr>
            <w:r>
              <w:rPr>
                <w:sz w:val="24"/>
              </w:rPr>
              <w:t>Semi-wadcutter</w:t>
            </w:r>
          </w:p>
        </w:tc>
      </w:tr>
      <w:tr>
        <w:trPr>
          <w:trHeight w:val="436" w:hRule="atLeast"/>
        </w:trPr>
        <w:tc>
          <w:tcPr>
            <w:tcW w:w="1569" w:type="dxa"/>
          </w:tcPr>
          <w:p>
            <w:pPr>
              <w:pStyle w:val="TableParagraph"/>
              <w:spacing w:before="74"/>
              <w:ind w:left="50"/>
              <w:rPr>
                <w:sz w:val="24"/>
              </w:rPr>
            </w:pPr>
            <w:r>
              <w:rPr>
                <w:sz w:val="24"/>
              </w:rPr>
              <w:t>SYP</w:t>
            </w:r>
          </w:p>
        </w:tc>
        <w:tc>
          <w:tcPr>
            <w:tcW w:w="4310" w:type="dxa"/>
          </w:tcPr>
          <w:p>
            <w:pPr>
              <w:pStyle w:val="TableParagraph"/>
              <w:spacing w:before="74"/>
              <w:ind w:left="186"/>
              <w:rPr>
                <w:sz w:val="24"/>
              </w:rPr>
            </w:pPr>
            <w:r>
              <w:rPr>
                <w:sz w:val="24"/>
              </w:rPr>
              <w:t>Southern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Yellow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Pine</w:t>
            </w:r>
          </w:p>
        </w:tc>
      </w:tr>
      <w:tr>
        <w:trPr>
          <w:trHeight w:val="436" w:hRule="atLeast"/>
        </w:trPr>
        <w:tc>
          <w:tcPr>
            <w:tcW w:w="1569" w:type="dxa"/>
          </w:tcPr>
          <w:p>
            <w:pPr>
              <w:pStyle w:val="TableParagraph"/>
              <w:spacing w:before="75"/>
              <w:ind w:left="50"/>
              <w:rPr>
                <w:sz w:val="24"/>
              </w:rPr>
            </w:pPr>
            <w:r>
              <w:rPr>
                <w:sz w:val="24"/>
              </w:rPr>
              <w:t>TRANSCOM</w:t>
            </w:r>
          </w:p>
        </w:tc>
        <w:tc>
          <w:tcPr>
            <w:tcW w:w="4310" w:type="dxa"/>
          </w:tcPr>
          <w:p>
            <w:pPr>
              <w:pStyle w:val="TableParagraph"/>
              <w:spacing w:before="75"/>
              <w:ind w:left="186"/>
              <w:rPr>
                <w:sz w:val="24"/>
              </w:rPr>
            </w:pPr>
            <w:r>
              <w:rPr>
                <w:sz w:val="24"/>
              </w:rPr>
              <w:t>U.S.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Transportation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Command</w:t>
            </w:r>
          </w:p>
        </w:tc>
      </w:tr>
      <w:tr>
        <w:trPr>
          <w:trHeight w:val="435" w:hRule="atLeast"/>
        </w:trPr>
        <w:tc>
          <w:tcPr>
            <w:tcW w:w="1569" w:type="dxa"/>
          </w:tcPr>
          <w:p>
            <w:pPr>
              <w:pStyle w:val="TableParagraph"/>
              <w:spacing w:before="74"/>
              <w:ind w:left="50"/>
              <w:rPr>
                <w:sz w:val="24"/>
              </w:rPr>
            </w:pPr>
            <w:r>
              <w:rPr>
                <w:sz w:val="24"/>
              </w:rPr>
              <w:t>UFC</w:t>
            </w:r>
          </w:p>
        </w:tc>
        <w:tc>
          <w:tcPr>
            <w:tcW w:w="4310" w:type="dxa"/>
          </w:tcPr>
          <w:p>
            <w:pPr>
              <w:pStyle w:val="TableParagraph"/>
              <w:spacing w:before="74"/>
              <w:ind w:left="186"/>
              <w:rPr>
                <w:sz w:val="24"/>
              </w:rPr>
            </w:pPr>
            <w:r>
              <w:rPr>
                <w:sz w:val="24"/>
              </w:rPr>
              <w:t>Unified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Facilities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Criteria</w:t>
            </w:r>
          </w:p>
        </w:tc>
      </w:tr>
      <w:tr>
        <w:trPr>
          <w:trHeight w:val="435" w:hRule="atLeast"/>
        </w:trPr>
        <w:tc>
          <w:tcPr>
            <w:tcW w:w="1569" w:type="dxa"/>
          </w:tcPr>
          <w:p>
            <w:pPr>
              <w:pStyle w:val="TableParagraph"/>
              <w:spacing w:before="74"/>
              <w:ind w:left="50"/>
              <w:rPr>
                <w:sz w:val="24"/>
              </w:rPr>
            </w:pPr>
            <w:r>
              <w:rPr>
                <w:sz w:val="24"/>
              </w:rPr>
              <w:t>UHMWPE</w:t>
            </w:r>
          </w:p>
        </w:tc>
        <w:tc>
          <w:tcPr>
            <w:tcW w:w="4310" w:type="dxa"/>
          </w:tcPr>
          <w:p>
            <w:pPr>
              <w:pStyle w:val="TableParagraph"/>
              <w:spacing w:before="74"/>
              <w:ind w:left="186"/>
              <w:rPr>
                <w:sz w:val="24"/>
              </w:rPr>
            </w:pPr>
            <w:r>
              <w:rPr>
                <w:sz w:val="24"/>
              </w:rPr>
              <w:t>Ultra-high-molecular-weight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polyethylene</w:t>
            </w:r>
          </w:p>
        </w:tc>
      </w:tr>
      <w:tr>
        <w:trPr>
          <w:trHeight w:val="436" w:hRule="atLeast"/>
        </w:trPr>
        <w:tc>
          <w:tcPr>
            <w:tcW w:w="1569" w:type="dxa"/>
          </w:tcPr>
          <w:p>
            <w:pPr>
              <w:pStyle w:val="TableParagraph"/>
              <w:spacing w:before="74"/>
              <w:ind w:left="50"/>
              <w:rPr>
                <w:sz w:val="24"/>
              </w:rPr>
            </w:pPr>
            <w:r>
              <w:rPr>
                <w:sz w:val="24"/>
              </w:rPr>
              <w:t>UL</w:t>
            </w:r>
          </w:p>
        </w:tc>
        <w:tc>
          <w:tcPr>
            <w:tcW w:w="4310" w:type="dxa"/>
          </w:tcPr>
          <w:p>
            <w:pPr>
              <w:pStyle w:val="TableParagraph"/>
              <w:spacing w:before="74"/>
              <w:ind w:left="186"/>
              <w:rPr>
                <w:sz w:val="24"/>
              </w:rPr>
            </w:pPr>
            <w:r>
              <w:rPr>
                <w:sz w:val="24"/>
              </w:rPr>
              <w:t>Underwriters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Laboratory</w:t>
            </w:r>
          </w:p>
        </w:tc>
      </w:tr>
      <w:tr>
        <w:trPr>
          <w:trHeight w:val="436" w:hRule="atLeast"/>
        </w:trPr>
        <w:tc>
          <w:tcPr>
            <w:tcW w:w="1569" w:type="dxa"/>
          </w:tcPr>
          <w:p>
            <w:pPr>
              <w:pStyle w:val="TableParagraph"/>
              <w:spacing w:before="75"/>
              <w:ind w:left="50"/>
              <w:rPr>
                <w:sz w:val="24"/>
              </w:rPr>
            </w:pPr>
            <w:r>
              <w:rPr>
                <w:sz w:val="24"/>
              </w:rPr>
              <w:t>USDA</w:t>
            </w:r>
          </w:p>
        </w:tc>
        <w:tc>
          <w:tcPr>
            <w:tcW w:w="4310" w:type="dxa"/>
          </w:tcPr>
          <w:p>
            <w:pPr>
              <w:pStyle w:val="TableParagraph"/>
              <w:spacing w:before="75"/>
              <w:ind w:left="186"/>
              <w:rPr>
                <w:sz w:val="24"/>
              </w:rPr>
            </w:pPr>
            <w:r>
              <w:rPr>
                <w:sz w:val="24"/>
              </w:rPr>
              <w:t>U.S.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Department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Agriculture</w:t>
            </w:r>
          </w:p>
        </w:tc>
      </w:tr>
      <w:tr>
        <w:trPr>
          <w:trHeight w:val="350" w:hRule="atLeast"/>
        </w:trPr>
        <w:tc>
          <w:tcPr>
            <w:tcW w:w="1569" w:type="dxa"/>
          </w:tcPr>
          <w:p>
            <w:pPr>
              <w:pStyle w:val="TableParagraph"/>
              <w:spacing w:line="256" w:lineRule="exact" w:before="74"/>
              <w:ind w:left="50"/>
              <w:rPr>
                <w:sz w:val="24"/>
              </w:rPr>
            </w:pPr>
            <w:r>
              <w:rPr>
                <w:sz w:val="24"/>
              </w:rPr>
              <w:t>USMA</w:t>
            </w:r>
          </w:p>
        </w:tc>
        <w:tc>
          <w:tcPr>
            <w:tcW w:w="4310" w:type="dxa"/>
          </w:tcPr>
          <w:p>
            <w:pPr>
              <w:pStyle w:val="TableParagraph"/>
              <w:spacing w:line="256" w:lineRule="exact" w:before="74"/>
              <w:ind w:left="186"/>
              <w:rPr>
                <w:sz w:val="24"/>
              </w:rPr>
            </w:pPr>
            <w:r>
              <w:rPr>
                <w:sz w:val="24"/>
              </w:rPr>
              <w:t>United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Stated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Military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Academy</w:t>
            </w:r>
          </w:p>
        </w:tc>
      </w:tr>
    </w:tbl>
    <w:p>
      <w:pPr>
        <w:spacing w:after="0" w:line="256" w:lineRule="exact"/>
        <w:rPr>
          <w:sz w:val="24"/>
        </w:rPr>
        <w:sectPr>
          <w:pgSz w:w="12240" w:h="15840"/>
          <w:pgMar w:header="0" w:footer="984" w:top="1440" w:bottom="1180" w:left="1720" w:right="1320"/>
        </w:sectPr>
      </w:pPr>
    </w:p>
    <w:p>
      <w:pPr>
        <w:pStyle w:val="Heading4"/>
        <w:spacing w:before="61"/>
        <w:ind w:right="41"/>
      </w:pPr>
      <w:bookmarkStart w:name="_TOC_250073" w:id="8"/>
      <w:r>
        <w:rPr/>
        <w:t>LIST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bookmarkEnd w:id="8"/>
      <w:r>
        <w:rPr/>
        <w:t>SYMBOLS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20"/>
        </w:rPr>
      </w:pPr>
    </w:p>
    <w:tbl>
      <w:tblPr>
        <w:tblW w:w="0" w:type="auto"/>
        <w:jc w:val="left"/>
        <w:tblInd w:w="35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38"/>
        <w:gridCol w:w="5711"/>
      </w:tblGrid>
      <w:tr>
        <w:trPr>
          <w:trHeight w:val="351" w:hRule="atLeast"/>
        </w:trPr>
        <w:tc>
          <w:tcPr>
            <w:tcW w:w="1438" w:type="dxa"/>
          </w:tcPr>
          <w:p>
            <w:pPr>
              <w:pStyle w:val="TableParagraph"/>
              <w:spacing w:line="267" w:lineRule="exact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A</w:t>
            </w:r>
          </w:p>
        </w:tc>
        <w:tc>
          <w:tcPr>
            <w:tcW w:w="5711" w:type="dxa"/>
          </w:tcPr>
          <w:p>
            <w:pPr>
              <w:pStyle w:val="TableParagraph"/>
              <w:spacing w:line="266" w:lineRule="exact"/>
              <w:ind w:left="557"/>
              <w:rPr>
                <w:sz w:val="24"/>
              </w:rPr>
            </w:pPr>
            <w:r>
              <w:rPr>
                <w:sz w:val="24"/>
              </w:rPr>
              <w:t>area</w:t>
            </w:r>
          </w:p>
        </w:tc>
      </w:tr>
      <w:tr>
        <w:trPr>
          <w:trHeight w:val="435" w:hRule="atLeast"/>
        </w:trPr>
        <w:tc>
          <w:tcPr>
            <w:tcW w:w="1438" w:type="dxa"/>
          </w:tcPr>
          <w:p>
            <w:pPr>
              <w:pStyle w:val="TableParagraph"/>
              <w:spacing w:before="75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a</w:t>
            </w:r>
          </w:p>
        </w:tc>
        <w:tc>
          <w:tcPr>
            <w:tcW w:w="5711" w:type="dxa"/>
          </w:tcPr>
          <w:p>
            <w:pPr>
              <w:pStyle w:val="TableParagraph"/>
              <w:spacing w:before="74"/>
              <w:ind w:left="557"/>
              <w:rPr>
                <w:sz w:val="24"/>
              </w:rPr>
            </w:pPr>
            <w:r>
              <w:rPr>
                <w:sz w:val="24"/>
              </w:rPr>
              <w:t>acceleration</w:t>
            </w:r>
          </w:p>
        </w:tc>
      </w:tr>
      <w:tr>
        <w:trPr>
          <w:trHeight w:val="436" w:hRule="atLeast"/>
        </w:trPr>
        <w:tc>
          <w:tcPr>
            <w:tcW w:w="1438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a</w:t>
            </w:r>
            <w:r>
              <w:rPr>
                <w:i/>
                <w:sz w:val="16"/>
              </w:rPr>
              <w:t>char</w:t>
            </w:r>
          </w:p>
        </w:tc>
        <w:tc>
          <w:tcPr>
            <w:tcW w:w="5711" w:type="dxa"/>
          </w:tcPr>
          <w:p>
            <w:pPr>
              <w:pStyle w:val="TableParagraph"/>
              <w:spacing w:before="74"/>
              <w:ind w:left="557"/>
              <w:rPr>
                <w:sz w:val="24"/>
              </w:rPr>
            </w:pPr>
            <w:r>
              <w:rPr>
                <w:sz w:val="24"/>
              </w:rPr>
              <w:t>effective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char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depth</w:t>
            </w:r>
          </w:p>
        </w:tc>
      </w:tr>
      <w:tr>
        <w:trPr>
          <w:trHeight w:val="444" w:hRule="atLeast"/>
        </w:trPr>
        <w:tc>
          <w:tcPr>
            <w:tcW w:w="1438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A</w:t>
            </w:r>
            <w:r>
              <w:rPr>
                <w:i/>
                <w:sz w:val="16"/>
              </w:rPr>
              <w:t>cs</w:t>
            </w:r>
            <w:r>
              <w:rPr>
                <w:i/>
                <w:position w:val="1"/>
                <w:sz w:val="24"/>
              </w:rPr>
              <w:t>,</w:t>
            </w:r>
            <w:r>
              <w:rPr>
                <w:i/>
                <w:spacing w:val="-2"/>
                <w:position w:val="1"/>
                <w:sz w:val="24"/>
              </w:rPr>
              <w:t> </w:t>
            </w:r>
            <w:r>
              <w:rPr>
                <w:i/>
                <w:position w:val="1"/>
                <w:sz w:val="24"/>
              </w:rPr>
              <w:t>A</w:t>
            </w:r>
            <w:r>
              <w:rPr>
                <w:i/>
                <w:sz w:val="16"/>
              </w:rPr>
              <w:t>i</w:t>
            </w:r>
          </w:p>
        </w:tc>
        <w:tc>
          <w:tcPr>
            <w:tcW w:w="5711" w:type="dxa"/>
          </w:tcPr>
          <w:p>
            <w:pPr>
              <w:pStyle w:val="TableParagraph"/>
              <w:spacing w:before="74"/>
              <w:ind w:left="557"/>
              <w:rPr>
                <w:sz w:val="24"/>
              </w:rPr>
            </w:pPr>
            <w:r>
              <w:rPr>
                <w:sz w:val="24"/>
              </w:rPr>
              <w:t>cross-section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area</w:t>
            </w:r>
          </w:p>
        </w:tc>
      </w:tr>
      <w:tr>
        <w:trPr>
          <w:trHeight w:val="443" w:hRule="atLeast"/>
        </w:trPr>
        <w:tc>
          <w:tcPr>
            <w:tcW w:w="1438" w:type="dxa"/>
          </w:tcPr>
          <w:p>
            <w:pPr>
              <w:pStyle w:val="TableParagraph"/>
              <w:spacing w:before="67"/>
              <w:ind w:left="200"/>
              <w:rPr>
                <w:rFonts w:ascii="Calibri"/>
                <w:i/>
                <w:sz w:val="24"/>
              </w:rPr>
            </w:pPr>
            <w:r>
              <w:rPr>
                <w:rFonts w:ascii="Calibri"/>
                <w:i/>
                <w:sz w:val="24"/>
              </w:rPr>
              <w:t>b</w:t>
            </w:r>
          </w:p>
        </w:tc>
        <w:tc>
          <w:tcPr>
            <w:tcW w:w="5711" w:type="dxa"/>
          </w:tcPr>
          <w:p>
            <w:pPr>
              <w:pStyle w:val="TableParagraph"/>
              <w:spacing w:before="82"/>
              <w:ind w:left="557"/>
              <w:rPr>
                <w:sz w:val="24"/>
              </w:rPr>
            </w:pPr>
            <w:r>
              <w:rPr>
                <w:sz w:val="24"/>
              </w:rPr>
              <w:t>waveform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parameter</w:t>
            </w:r>
          </w:p>
        </w:tc>
      </w:tr>
      <w:tr>
        <w:trPr>
          <w:trHeight w:val="445" w:hRule="atLeast"/>
        </w:trPr>
        <w:tc>
          <w:tcPr>
            <w:tcW w:w="1438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b</w:t>
            </w:r>
            <w:r>
              <w:rPr>
                <w:i/>
                <w:sz w:val="16"/>
              </w:rPr>
              <w:t>i</w:t>
            </w:r>
          </w:p>
        </w:tc>
        <w:tc>
          <w:tcPr>
            <w:tcW w:w="5711" w:type="dxa"/>
          </w:tcPr>
          <w:p>
            <w:pPr>
              <w:pStyle w:val="TableParagraph"/>
              <w:spacing w:before="74"/>
              <w:ind w:left="557"/>
              <w:rPr>
                <w:sz w:val="24"/>
              </w:rPr>
            </w:pPr>
            <w:r>
              <w:rPr>
                <w:sz w:val="24"/>
              </w:rPr>
              <w:t>width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individual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layer</w:t>
            </w:r>
          </w:p>
        </w:tc>
      </w:tr>
      <w:tr>
        <w:trPr>
          <w:trHeight w:val="443" w:hRule="atLeast"/>
        </w:trPr>
        <w:tc>
          <w:tcPr>
            <w:tcW w:w="1438" w:type="dxa"/>
          </w:tcPr>
          <w:p>
            <w:pPr>
              <w:pStyle w:val="TableParagraph"/>
              <w:spacing w:before="68"/>
              <w:ind w:left="200"/>
              <w:rPr>
                <w:rFonts w:ascii="Calibri"/>
                <w:i/>
                <w:sz w:val="24"/>
              </w:rPr>
            </w:pPr>
            <w:r>
              <w:rPr>
                <w:rFonts w:ascii="Calibri"/>
                <w:i/>
                <w:sz w:val="24"/>
              </w:rPr>
              <w:t>c</w:t>
            </w:r>
          </w:p>
        </w:tc>
        <w:tc>
          <w:tcPr>
            <w:tcW w:w="5711" w:type="dxa"/>
          </w:tcPr>
          <w:p>
            <w:pPr>
              <w:pStyle w:val="TableParagraph"/>
              <w:spacing w:before="83"/>
              <w:ind w:left="557"/>
              <w:rPr>
                <w:sz w:val="24"/>
              </w:rPr>
            </w:pPr>
            <w:r>
              <w:rPr>
                <w:sz w:val="24"/>
              </w:rPr>
              <w:t>damping</w:t>
            </w:r>
          </w:p>
        </w:tc>
      </w:tr>
      <w:tr>
        <w:trPr>
          <w:trHeight w:val="436" w:hRule="atLeast"/>
        </w:trPr>
        <w:tc>
          <w:tcPr>
            <w:tcW w:w="1438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C</w:t>
            </w:r>
            <w:r>
              <w:rPr>
                <w:i/>
                <w:sz w:val="16"/>
              </w:rPr>
              <w:t>D</w:t>
            </w:r>
          </w:p>
        </w:tc>
        <w:tc>
          <w:tcPr>
            <w:tcW w:w="5711" w:type="dxa"/>
          </w:tcPr>
          <w:p>
            <w:pPr>
              <w:pStyle w:val="TableParagraph"/>
              <w:spacing w:before="74"/>
              <w:ind w:left="557"/>
              <w:rPr>
                <w:sz w:val="24"/>
              </w:rPr>
            </w:pPr>
            <w:r>
              <w:rPr>
                <w:sz w:val="24"/>
              </w:rPr>
              <w:t>load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duration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factor</w:t>
            </w:r>
          </w:p>
        </w:tc>
      </w:tr>
      <w:tr>
        <w:trPr>
          <w:trHeight w:val="436" w:hRule="atLeast"/>
        </w:trPr>
        <w:tc>
          <w:tcPr>
            <w:tcW w:w="1438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C</w:t>
            </w:r>
            <w:r>
              <w:rPr>
                <w:i/>
                <w:sz w:val="16"/>
              </w:rPr>
              <w:t>d</w:t>
            </w:r>
          </w:p>
        </w:tc>
        <w:tc>
          <w:tcPr>
            <w:tcW w:w="5711" w:type="dxa"/>
          </w:tcPr>
          <w:p>
            <w:pPr>
              <w:pStyle w:val="TableParagraph"/>
              <w:spacing w:before="74"/>
              <w:ind w:left="557"/>
              <w:rPr>
                <w:sz w:val="24"/>
              </w:rPr>
            </w:pPr>
            <w:r>
              <w:rPr>
                <w:sz w:val="24"/>
              </w:rPr>
              <w:t>drag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coefficient</w:t>
            </w:r>
          </w:p>
        </w:tc>
      </w:tr>
      <w:tr>
        <w:trPr>
          <w:trHeight w:val="436" w:hRule="atLeast"/>
        </w:trPr>
        <w:tc>
          <w:tcPr>
            <w:tcW w:w="1438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C</w:t>
            </w:r>
            <w:r>
              <w:rPr>
                <w:i/>
                <w:sz w:val="16"/>
              </w:rPr>
              <w:t>e</w:t>
            </w:r>
          </w:p>
        </w:tc>
        <w:tc>
          <w:tcPr>
            <w:tcW w:w="5711" w:type="dxa"/>
          </w:tcPr>
          <w:p>
            <w:pPr>
              <w:pStyle w:val="TableParagraph"/>
              <w:spacing w:before="74"/>
              <w:ind w:left="557"/>
              <w:rPr>
                <w:sz w:val="24"/>
              </w:rPr>
            </w:pPr>
            <w:r>
              <w:rPr>
                <w:sz w:val="24"/>
              </w:rPr>
              <w:t>equivalent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pressure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reduction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factor</w:t>
            </w:r>
          </w:p>
        </w:tc>
      </w:tr>
      <w:tr>
        <w:trPr>
          <w:trHeight w:val="435" w:hRule="atLeast"/>
        </w:trPr>
        <w:tc>
          <w:tcPr>
            <w:tcW w:w="1438" w:type="dxa"/>
          </w:tcPr>
          <w:p>
            <w:pPr>
              <w:pStyle w:val="TableParagraph"/>
              <w:spacing w:before="75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chrono</w:t>
            </w:r>
          </w:p>
        </w:tc>
        <w:tc>
          <w:tcPr>
            <w:tcW w:w="5711" w:type="dxa"/>
          </w:tcPr>
          <w:p>
            <w:pPr>
              <w:pStyle w:val="TableParagraph"/>
              <w:spacing w:before="74"/>
              <w:ind w:left="557"/>
              <w:rPr>
                <w:sz w:val="24"/>
              </w:rPr>
            </w:pPr>
            <w:r>
              <w:rPr>
                <w:sz w:val="24"/>
              </w:rPr>
              <w:t>chronograph</w:t>
            </w:r>
          </w:p>
        </w:tc>
      </w:tr>
      <w:tr>
        <w:trPr>
          <w:trHeight w:val="436" w:hRule="atLeast"/>
        </w:trPr>
        <w:tc>
          <w:tcPr>
            <w:tcW w:w="1438" w:type="dxa"/>
          </w:tcPr>
          <w:p>
            <w:pPr>
              <w:pStyle w:val="TableParagraph"/>
              <w:spacing w:before="75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CoV</w:t>
            </w:r>
          </w:p>
        </w:tc>
        <w:tc>
          <w:tcPr>
            <w:tcW w:w="5711" w:type="dxa"/>
          </w:tcPr>
          <w:p>
            <w:pPr>
              <w:pStyle w:val="TableParagraph"/>
              <w:spacing w:before="74"/>
              <w:ind w:left="557"/>
              <w:rPr>
                <w:sz w:val="24"/>
              </w:rPr>
            </w:pPr>
            <w:r>
              <w:rPr>
                <w:sz w:val="24"/>
              </w:rPr>
              <w:t>coefficient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variation</w:t>
            </w:r>
          </w:p>
        </w:tc>
      </w:tr>
      <w:tr>
        <w:trPr>
          <w:trHeight w:val="436" w:hRule="atLeast"/>
        </w:trPr>
        <w:tc>
          <w:tcPr>
            <w:tcW w:w="1438" w:type="dxa"/>
          </w:tcPr>
          <w:p>
            <w:pPr>
              <w:pStyle w:val="TableParagraph"/>
              <w:spacing w:before="76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CP</w:t>
            </w:r>
          </w:p>
        </w:tc>
        <w:tc>
          <w:tcPr>
            <w:tcW w:w="5711" w:type="dxa"/>
          </w:tcPr>
          <w:p>
            <w:pPr>
              <w:pStyle w:val="TableParagraph"/>
              <w:spacing w:before="74"/>
              <w:ind w:left="557"/>
              <w:rPr>
                <w:sz w:val="24"/>
              </w:rPr>
            </w:pPr>
            <w:r>
              <w:rPr>
                <w:sz w:val="24"/>
              </w:rPr>
              <w:t>complete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penetration</w:t>
            </w:r>
          </w:p>
        </w:tc>
      </w:tr>
      <w:tr>
        <w:trPr>
          <w:trHeight w:val="435" w:hRule="atLeast"/>
        </w:trPr>
        <w:tc>
          <w:tcPr>
            <w:tcW w:w="1438" w:type="dxa"/>
          </w:tcPr>
          <w:p>
            <w:pPr>
              <w:pStyle w:val="TableParagraph"/>
              <w:spacing w:before="75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D,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d</w:t>
            </w:r>
          </w:p>
        </w:tc>
        <w:tc>
          <w:tcPr>
            <w:tcW w:w="5711" w:type="dxa"/>
          </w:tcPr>
          <w:p>
            <w:pPr>
              <w:pStyle w:val="TableParagraph"/>
              <w:spacing w:before="74"/>
              <w:ind w:left="557"/>
              <w:rPr>
                <w:sz w:val="24"/>
              </w:rPr>
            </w:pPr>
            <w:r>
              <w:rPr>
                <w:sz w:val="24"/>
              </w:rPr>
              <w:t>diameter</w:t>
            </w:r>
          </w:p>
        </w:tc>
      </w:tr>
      <w:tr>
        <w:trPr>
          <w:trHeight w:val="436" w:hRule="atLeast"/>
        </w:trPr>
        <w:tc>
          <w:tcPr>
            <w:tcW w:w="1438" w:type="dxa"/>
          </w:tcPr>
          <w:p>
            <w:pPr>
              <w:pStyle w:val="TableParagraph"/>
              <w:spacing w:before="75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E</w:t>
            </w:r>
          </w:p>
        </w:tc>
        <w:tc>
          <w:tcPr>
            <w:tcW w:w="5711" w:type="dxa"/>
          </w:tcPr>
          <w:p>
            <w:pPr>
              <w:pStyle w:val="TableParagraph"/>
              <w:spacing w:before="74"/>
              <w:ind w:left="557"/>
              <w:rPr>
                <w:sz w:val="24"/>
              </w:rPr>
            </w:pPr>
            <w:r>
              <w:rPr>
                <w:sz w:val="24"/>
              </w:rPr>
              <w:t>modulus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elasticity</w:t>
            </w:r>
          </w:p>
        </w:tc>
      </w:tr>
      <w:tr>
        <w:trPr>
          <w:trHeight w:val="436" w:hRule="atLeast"/>
        </w:trPr>
        <w:tc>
          <w:tcPr>
            <w:tcW w:w="1438" w:type="dxa"/>
          </w:tcPr>
          <w:p>
            <w:pPr>
              <w:pStyle w:val="TableParagraph"/>
              <w:spacing w:before="76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e</w:t>
            </w:r>
          </w:p>
        </w:tc>
        <w:tc>
          <w:tcPr>
            <w:tcW w:w="5711" w:type="dxa"/>
          </w:tcPr>
          <w:p>
            <w:pPr>
              <w:pStyle w:val="TableParagraph"/>
              <w:spacing w:before="74"/>
              <w:ind w:left="557"/>
              <w:rPr>
                <w:sz w:val="24"/>
              </w:rPr>
            </w:pPr>
            <w:r>
              <w:rPr>
                <w:sz w:val="24"/>
              </w:rPr>
              <w:t>target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thickness</w:t>
            </w:r>
          </w:p>
        </w:tc>
      </w:tr>
      <w:tr>
        <w:trPr>
          <w:trHeight w:val="435" w:hRule="atLeast"/>
        </w:trPr>
        <w:tc>
          <w:tcPr>
            <w:tcW w:w="1438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E</w:t>
            </w:r>
            <w:r>
              <w:rPr>
                <w:i/>
                <w:sz w:val="16"/>
              </w:rPr>
              <w:t>0</w:t>
            </w:r>
          </w:p>
        </w:tc>
        <w:tc>
          <w:tcPr>
            <w:tcW w:w="5711" w:type="dxa"/>
          </w:tcPr>
          <w:p>
            <w:pPr>
              <w:pStyle w:val="TableParagraph"/>
              <w:spacing w:before="74"/>
              <w:ind w:left="557"/>
              <w:rPr>
                <w:sz w:val="24"/>
              </w:rPr>
            </w:pPr>
            <w:r>
              <w:rPr>
                <w:sz w:val="24"/>
              </w:rPr>
              <w:t>modulus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elasticity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longitudinal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layers</w:t>
            </w:r>
          </w:p>
        </w:tc>
      </w:tr>
      <w:tr>
        <w:trPr>
          <w:trHeight w:val="436" w:hRule="atLeast"/>
        </w:trPr>
        <w:tc>
          <w:tcPr>
            <w:tcW w:w="1438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E</w:t>
            </w:r>
            <w:r>
              <w:rPr>
                <w:i/>
                <w:sz w:val="16"/>
              </w:rPr>
              <w:t>90</w:t>
            </w:r>
          </w:p>
        </w:tc>
        <w:tc>
          <w:tcPr>
            <w:tcW w:w="5711" w:type="dxa"/>
          </w:tcPr>
          <w:p>
            <w:pPr>
              <w:pStyle w:val="TableParagraph"/>
              <w:spacing w:before="74"/>
              <w:ind w:left="557"/>
              <w:rPr>
                <w:sz w:val="24"/>
              </w:rPr>
            </w:pPr>
            <w:r>
              <w:rPr>
                <w:sz w:val="24"/>
              </w:rPr>
              <w:t>modulus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elasticity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transverse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layers</w:t>
            </w:r>
          </w:p>
        </w:tc>
      </w:tr>
      <w:tr>
        <w:trPr>
          <w:trHeight w:val="436" w:hRule="atLeast"/>
        </w:trPr>
        <w:tc>
          <w:tcPr>
            <w:tcW w:w="1438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E</w:t>
            </w:r>
            <w:r>
              <w:rPr>
                <w:i/>
                <w:sz w:val="16"/>
              </w:rPr>
              <w:t>f</w:t>
            </w:r>
          </w:p>
        </w:tc>
        <w:tc>
          <w:tcPr>
            <w:tcW w:w="5711" w:type="dxa"/>
          </w:tcPr>
          <w:p>
            <w:pPr>
              <w:pStyle w:val="TableParagraph"/>
              <w:spacing w:before="74"/>
              <w:ind w:left="557"/>
              <w:rPr>
                <w:sz w:val="24"/>
              </w:rPr>
            </w:pPr>
            <w:r>
              <w:rPr>
                <w:sz w:val="24"/>
              </w:rPr>
              <w:t>final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energy</w:t>
            </w:r>
          </w:p>
        </w:tc>
      </w:tr>
      <w:tr>
        <w:trPr>
          <w:trHeight w:val="435" w:hRule="atLeast"/>
        </w:trPr>
        <w:tc>
          <w:tcPr>
            <w:tcW w:w="1438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E</w:t>
            </w:r>
            <w:r>
              <w:rPr>
                <w:i/>
                <w:sz w:val="16"/>
              </w:rPr>
              <w:t>i</w:t>
            </w:r>
          </w:p>
        </w:tc>
        <w:tc>
          <w:tcPr>
            <w:tcW w:w="5711" w:type="dxa"/>
          </w:tcPr>
          <w:p>
            <w:pPr>
              <w:pStyle w:val="TableParagraph"/>
              <w:spacing w:before="74"/>
              <w:ind w:left="557"/>
              <w:rPr>
                <w:sz w:val="24"/>
              </w:rPr>
            </w:pPr>
            <w:r>
              <w:rPr>
                <w:sz w:val="24"/>
              </w:rPr>
              <w:t>initial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energy</w:t>
            </w:r>
          </w:p>
        </w:tc>
      </w:tr>
      <w:tr>
        <w:trPr>
          <w:trHeight w:val="435" w:hRule="atLeast"/>
        </w:trPr>
        <w:tc>
          <w:tcPr>
            <w:tcW w:w="1438" w:type="dxa"/>
          </w:tcPr>
          <w:p>
            <w:pPr>
              <w:pStyle w:val="TableParagraph"/>
              <w:spacing w:before="75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EI</w:t>
            </w:r>
          </w:p>
        </w:tc>
        <w:tc>
          <w:tcPr>
            <w:tcW w:w="5711" w:type="dxa"/>
          </w:tcPr>
          <w:p>
            <w:pPr>
              <w:pStyle w:val="TableParagraph"/>
              <w:spacing w:before="74"/>
              <w:ind w:left="557"/>
              <w:rPr>
                <w:sz w:val="24"/>
              </w:rPr>
            </w:pPr>
            <w:r>
              <w:rPr>
                <w:sz w:val="24"/>
              </w:rPr>
              <w:t>bending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stiffness</w:t>
            </w:r>
          </w:p>
        </w:tc>
      </w:tr>
      <w:tr>
        <w:trPr>
          <w:trHeight w:val="436" w:hRule="atLeast"/>
        </w:trPr>
        <w:tc>
          <w:tcPr>
            <w:tcW w:w="1438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EI</w:t>
            </w:r>
            <w:r>
              <w:rPr>
                <w:i/>
                <w:sz w:val="16"/>
              </w:rPr>
              <w:t>app</w:t>
            </w:r>
          </w:p>
        </w:tc>
        <w:tc>
          <w:tcPr>
            <w:tcW w:w="5711" w:type="dxa"/>
          </w:tcPr>
          <w:p>
            <w:pPr>
              <w:pStyle w:val="TableParagraph"/>
              <w:spacing w:before="74"/>
              <w:ind w:left="557"/>
              <w:rPr>
                <w:sz w:val="24"/>
              </w:rPr>
            </w:pPr>
            <w:r>
              <w:rPr>
                <w:sz w:val="24"/>
              </w:rPr>
              <w:t>apparent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stiffness</w:t>
            </w:r>
          </w:p>
        </w:tc>
      </w:tr>
      <w:tr>
        <w:trPr>
          <w:trHeight w:val="436" w:hRule="atLeast"/>
        </w:trPr>
        <w:tc>
          <w:tcPr>
            <w:tcW w:w="1438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EI</w:t>
            </w:r>
            <w:r>
              <w:rPr>
                <w:i/>
                <w:sz w:val="16"/>
              </w:rPr>
              <w:t>eff</w:t>
            </w:r>
          </w:p>
        </w:tc>
        <w:tc>
          <w:tcPr>
            <w:tcW w:w="5711" w:type="dxa"/>
          </w:tcPr>
          <w:p>
            <w:pPr>
              <w:pStyle w:val="TableParagraph"/>
              <w:spacing w:before="74"/>
              <w:ind w:left="557"/>
              <w:rPr>
                <w:sz w:val="24"/>
              </w:rPr>
            </w:pPr>
            <w:r>
              <w:rPr>
                <w:sz w:val="24"/>
              </w:rPr>
              <w:t>effective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bending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stiffness</w:t>
            </w:r>
          </w:p>
        </w:tc>
      </w:tr>
      <w:tr>
        <w:trPr>
          <w:trHeight w:val="435" w:hRule="atLeast"/>
        </w:trPr>
        <w:tc>
          <w:tcPr>
            <w:tcW w:w="1438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E</w:t>
            </w:r>
            <w:r>
              <w:rPr>
                <w:i/>
                <w:sz w:val="16"/>
              </w:rPr>
              <w:t>min</w:t>
            </w:r>
          </w:p>
        </w:tc>
        <w:tc>
          <w:tcPr>
            <w:tcW w:w="5711" w:type="dxa"/>
          </w:tcPr>
          <w:p>
            <w:pPr>
              <w:pStyle w:val="TableParagraph"/>
              <w:spacing w:before="74"/>
              <w:ind w:left="557"/>
              <w:rPr>
                <w:sz w:val="24"/>
              </w:rPr>
            </w:pPr>
            <w:r>
              <w:rPr>
                <w:sz w:val="24"/>
              </w:rPr>
              <w:t>modulus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elasticity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beam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column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stability</w:t>
            </w:r>
          </w:p>
        </w:tc>
      </w:tr>
      <w:tr>
        <w:trPr>
          <w:trHeight w:val="436" w:hRule="atLeast"/>
        </w:trPr>
        <w:tc>
          <w:tcPr>
            <w:tcW w:w="1438" w:type="dxa"/>
          </w:tcPr>
          <w:p>
            <w:pPr>
              <w:pStyle w:val="TableParagraph"/>
              <w:spacing w:before="75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F</w:t>
            </w:r>
          </w:p>
        </w:tc>
        <w:tc>
          <w:tcPr>
            <w:tcW w:w="5711" w:type="dxa"/>
          </w:tcPr>
          <w:p>
            <w:pPr>
              <w:pStyle w:val="TableParagraph"/>
              <w:spacing w:before="74"/>
              <w:ind w:left="557"/>
              <w:rPr>
                <w:sz w:val="24"/>
              </w:rPr>
            </w:pPr>
            <w:r>
              <w:rPr>
                <w:sz w:val="24"/>
              </w:rPr>
              <w:t>force</w:t>
            </w:r>
          </w:p>
        </w:tc>
      </w:tr>
      <w:tr>
        <w:trPr>
          <w:trHeight w:val="351" w:hRule="atLeast"/>
        </w:trPr>
        <w:tc>
          <w:tcPr>
            <w:tcW w:w="1438" w:type="dxa"/>
          </w:tcPr>
          <w:p>
            <w:pPr>
              <w:pStyle w:val="TableParagraph"/>
              <w:spacing w:line="256" w:lineRule="exact"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f</w:t>
            </w:r>
            <w:r>
              <w:rPr>
                <w:i/>
                <w:sz w:val="16"/>
              </w:rPr>
              <w:t>b</w:t>
            </w:r>
          </w:p>
        </w:tc>
        <w:tc>
          <w:tcPr>
            <w:tcW w:w="5711" w:type="dxa"/>
          </w:tcPr>
          <w:p>
            <w:pPr>
              <w:pStyle w:val="TableParagraph"/>
              <w:spacing w:line="257" w:lineRule="exact" w:before="74"/>
              <w:ind w:left="557"/>
              <w:rPr>
                <w:sz w:val="24"/>
              </w:rPr>
            </w:pPr>
            <w:r>
              <w:rPr>
                <w:sz w:val="24"/>
              </w:rPr>
              <w:t>characteristic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bending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strength</w:t>
            </w:r>
          </w:p>
        </w:tc>
      </w:tr>
    </w:tbl>
    <w:p>
      <w:pPr>
        <w:spacing w:after="0" w:line="257" w:lineRule="exact"/>
        <w:rPr>
          <w:sz w:val="24"/>
        </w:rPr>
        <w:sectPr>
          <w:pgSz w:w="12240" w:h="15840"/>
          <w:pgMar w:header="0" w:footer="984" w:top="1380" w:bottom="1260" w:left="1720" w:right="1320"/>
        </w:sectPr>
      </w:pPr>
    </w:p>
    <w:tbl>
      <w:tblPr>
        <w:tblW w:w="0" w:type="auto"/>
        <w:jc w:val="left"/>
        <w:tblInd w:w="35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99"/>
        <w:gridCol w:w="6074"/>
      </w:tblGrid>
      <w:tr>
        <w:trPr>
          <w:trHeight w:val="351" w:hRule="atLeast"/>
        </w:trPr>
        <w:tc>
          <w:tcPr>
            <w:tcW w:w="1399" w:type="dxa"/>
          </w:tcPr>
          <w:p>
            <w:pPr>
              <w:pStyle w:val="TableParagraph"/>
              <w:spacing w:line="267" w:lineRule="exact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F</w:t>
            </w:r>
            <w:r>
              <w:rPr>
                <w:i/>
                <w:sz w:val="16"/>
              </w:rPr>
              <w:t>b</w:t>
            </w:r>
          </w:p>
        </w:tc>
        <w:tc>
          <w:tcPr>
            <w:tcW w:w="6074" w:type="dxa"/>
          </w:tcPr>
          <w:p>
            <w:pPr>
              <w:pStyle w:val="TableParagraph"/>
              <w:spacing w:line="266" w:lineRule="exact"/>
              <w:ind w:left="596"/>
              <w:rPr>
                <w:sz w:val="24"/>
              </w:rPr>
            </w:pPr>
            <w:r>
              <w:rPr>
                <w:sz w:val="24"/>
              </w:rPr>
              <w:t>allowable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bending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stress</w:t>
            </w:r>
          </w:p>
        </w:tc>
      </w:tr>
      <w:tr>
        <w:trPr>
          <w:trHeight w:val="436" w:hRule="atLeast"/>
        </w:trPr>
        <w:tc>
          <w:tcPr>
            <w:tcW w:w="1399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f</w:t>
            </w:r>
            <w:r>
              <w:rPr>
                <w:i/>
                <w:sz w:val="16"/>
              </w:rPr>
              <w:t>c</w:t>
            </w:r>
          </w:p>
        </w:tc>
        <w:tc>
          <w:tcPr>
            <w:tcW w:w="6074" w:type="dxa"/>
          </w:tcPr>
          <w:p>
            <w:pPr>
              <w:pStyle w:val="TableParagraph"/>
              <w:spacing w:before="74"/>
              <w:ind w:left="596"/>
              <w:rPr>
                <w:sz w:val="24"/>
              </w:rPr>
            </w:pPr>
            <w:r>
              <w:rPr>
                <w:sz w:val="24"/>
              </w:rPr>
              <w:t>characteristic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compressive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strength</w:t>
            </w:r>
          </w:p>
        </w:tc>
      </w:tr>
      <w:tr>
        <w:trPr>
          <w:trHeight w:val="436" w:hRule="atLeast"/>
        </w:trPr>
        <w:tc>
          <w:tcPr>
            <w:tcW w:w="1399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F</w:t>
            </w:r>
            <w:r>
              <w:rPr>
                <w:i/>
                <w:sz w:val="16"/>
              </w:rPr>
              <w:t>c</w:t>
            </w:r>
          </w:p>
        </w:tc>
        <w:tc>
          <w:tcPr>
            <w:tcW w:w="6074" w:type="dxa"/>
          </w:tcPr>
          <w:p>
            <w:pPr>
              <w:pStyle w:val="TableParagraph"/>
              <w:spacing w:before="74"/>
              <w:ind w:left="596"/>
              <w:rPr>
                <w:sz w:val="24"/>
              </w:rPr>
            </w:pPr>
            <w:r>
              <w:rPr>
                <w:sz w:val="24"/>
              </w:rPr>
              <w:t>allowable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compressive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stress</w:t>
            </w:r>
          </w:p>
        </w:tc>
      </w:tr>
      <w:tr>
        <w:trPr>
          <w:trHeight w:val="435" w:hRule="atLeast"/>
        </w:trPr>
        <w:tc>
          <w:tcPr>
            <w:tcW w:w="1399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F</w:t>
            </w:r>
            <w:r>
              <w:rPr>
                <w:i/>
                <w:sz w:val="16"/>
              </w:rPr>
              <w:t>c┴</w:t>
            </w:r>
          </w:p>
        </w:tc>
        <w:tc>
          <w:tcPr>
            <w:tcW w:w="6074" w:type="dxa"/>
          </w:tcPr>
          <w:p>
            <w:pPr>
              <w:pStyle w:val="TableParagraph"/>
              <w:spacing w:before="73"/>
              <w:ind w:left="596"/>
              <w:rPr>
                <w:sz w:val="16"/>
              </w:rPr>
            </w:pPr>
            <w:r>
              <w:rPr>
                <w:position w:val="1"/>
                <w:sz w:val="24"/>
              </w:rPr>
              <w:t>compression</w:t>
            </w:r>
            <w:r>
              <w:rPr>
                <w:spacing w:val="-2"/>
                <w:position w:val="1"/>
                <w:sz w:val="24"/>
              </w:rPr>
              <w:t> </w:t>
            </w:r>
            <w:r>
              <w:rPr>
                <w:position w:val="1"/>
                <w:sz w:val="24"/>
              </w:rPr>
              <w:t>perpendicular</w:t>
            </w:r>
            <w:r>
              <w:rPr>
                <w:spacing w:val="-1"/>
                <w:position w:val="1"/>
                <w:sz w:val="24"/>
              </w:rPr>
              <w:t> </w:t>
            </w:r>
            <w:r>
              <w:rPr>
                <w:position w:val="1"/>
                <w:sz w:val="24"/>
              </w:rPr>
              <w:t>to</w:t>
            </w:r>
            <w:r>
              <w:rPr>
                <w:spacing w:val="-2"/>
                <w:position w:val="1"/>
                <w:sz w:val="24"/>
              </w:rPr>
              <w:t> </w:t>
            </w:r>
            <w:r>
              <w:rPr>
                <w:position w:val="1"/>
                <w:sz w:val="24"/>
              </w:rPr>
              <w:t>grain,</w:t>
            </w:r>
            <w:r>
              <w:rPr>
                <w:spacing w:val="-3"/>
                <w:position w:val="1"/>
                <w:sz w:val="24"/>
              </w:rPr>
              <w:t> </w:t>
            </w:r>
            <w:r>
              <w:rPr>
                <w:position w:val="1"/>
                <w:sz w:val="24"/>
              </w:rPr>
              <w:t>F</w:t>
            </w:r>
            <w:r>
              <w:rPr>
                <w:sz w:val="16"/>
              </w:rPr>
              <w:t>c,90</w:t>
            </w:r>
          </w:p>
        </w:tc>
      </w:tr>
      <w:tr>
        <w:trPr>
          <w:trHeight w:val="436" w:hRule="atLeast"/>
        </w:trPr>
        <w:tc>
          <w:tcPr>
            <w:tcW w:w="1399" w:type="dxa"/>
          </w:tcPr>
          <w:p>
            <w:pPr>
              <w:pStyle w:val="TableParagraph"/>
              <w:spacing w:before="75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fps</w:t>
            </w:r>
          </w:p>
        </w:tc>
        <w:tc>
          <w:tcPr>
            <w:tcW w:w="6074" w:type="dxa"/>
          </w:tcPr>
          <w:p>
            <w:pPr>
              <w:pStyle w:val="TableParagraph"/>
              <w:spacing w:before="74"/>
              <w:ind w:left="596"/>
              <w:rPr>
                <w:sz w:val="24"/>
              </w:rPr>
            </w:pPr>
            <w:r>
              <w:rPr>
                <w:sz w:val="24"/>
              </w:rPr>
              <w:t>feet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per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second</w:t>
            </w:r>
          </w:p>
        </w:tc>
      </w:tr>
      <w:tr>
        <w:trPr>
          <w:trHeight w:val="436" w:hRule="atLeast"/>
        </w:trPr>
        <w:tc>
          <w:tcPr>
            <w:tcW w:w="1399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F</w:t>
            </w:r>
            <w:r>
              <w:rPr>
                <w:i/>
                <w:sz w:val="16"/>
              </w:rPr>
              <w:t>s</w:t>
            </w:r>
          </w:p>
        </w:tc>
        <w:tc>
          <w:tcPr>
            <w:tcW w:w="6074" w:type="dxa"/>
          </w:tcPr>
          <w:p>
            <w:pPr>
              <w:pStyle w:val="TableParagraph"/>
              <w:spacing w:before="74"/>
              <w:ind w:left="596"/>
              <w:rPr>
                <w:sz w:val="24"/>
              </w:rPr>
            </w:pPr>
            <w:r>
              <w:rPr>
                <w:sz w:val="24"/>
              </w:rPr>
              <w:t>allowable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interlaminar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(rolling)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shear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stress</w:t>
            </w:r>
          </w:p>
        </w:tc>
      </w:tr>
      <w:tr>
        <w:trPr>
          <w:trHeight w:val="435" w:hRule="atLeast"/>
        </w:trPr>
        <w:tc>
          <w:tcPr>
            <w:tcW w:w="1399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f</w:t>
            </w:r>
            <w:r>
              <w:rPr>
                <w:i/>
                <w:sz w:val="16"/>
              </w:rPr>
              <w:t>s</w:t>
            </w:r>
          </w:p>
        </w:tc>
        <w:tc>
          <w:tcPr>
            <w:tcW w:w="6074" w:type="dxa"/>
          </w:tcPr>
          <w:p>
            <w:pPr>
              <w:pStyle w:val="TableParagraph"/>
              <w:spacing w:before="74"/>
              <w:ind w:left="596"/>
              <w:rPr>
                <w:sz w:val="24"/>
              </w:rPr>
            </w:pPr>
            <w:r>
              <w:rPr>
                <w:sz w:val="24"/>
              </w:rPr>
              <w:t>characteristic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interlaminar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(rolling)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shear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strength</w:t>
            </w:r>
          </w:p>
        </w:tc>
      </w:tr>
      <w:tr>
        <w:trPr>
          <w:trHeight w:val="436" w:hRule="atLeast"/>
        </w:trPr>
        <w:tc>
          <w:tcPr>
            <w:tcW w:w="1399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f</w:t>
            </w:r>
            <w:r>
              <w:rPr>
                <w:i/>
                <w:sz w:val="16"/>
              </w:rPr>
              <w:t>t</w:t>
            </w:r>
          </w:p>
        </w:tc>
        <w:tc>
          <w:tcPr>
            <w:tcW w:w="6074" w:type="dxa"/>
          </w:tcPr>
          <w:p>
            <w:pPr>
              <w:pStyle w:val="TableParagraph"/>
              <w:spacing w:before="74"/>
              <w:ind w:left="596"/>
              <w:rPr>
                <w:sz w:val="24"/>
              </w:rPr>
            </w:pPr>
            <w:r>
              <w:rPr>
                <w:sz w:val="24"/>
              </w:rPr>
              <w:t>characteristic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tensile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strength</w:t>
            </w:r>
          </w:p>
        </w:tc>
      </w:tr>
      <w:tr>
        <w:trPr>
          <w:trHeight w:val="436" w:hRule="atLeast"/>
        </w:trPr>
        <w:tc>
          <w:tcPr>
            <w:tcW w:w="1399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F</w:t>
            </w:r>
            <w:r>
              <w:rPr>
                <w:i/>
                <w:sz w:val="16"/>
              </w:rPr>
              <w:t>t</w:t>
            </w:r>
          </w:p>
        </w:tc>
        <w:tc>
          <w:tcPr>
            <w:tcW w:w="6074" w:type="dxa"/>
          </w:tcPr>
          <w:p>
            <w:pPr>
              <w:pStyle w:val="TableParagraph"/>
              <w:spacing w:before="74"/>
              <w:ind w:left="596"/>
              <w:rPr>
                <w:sz w:val="24"/>
              </w:rPr>
            </w:pPr>
            <w:r>
              <w:rPr>
                <w:sz w:val="24"/>
              </w:rPr>
              <w:t>allowable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tensile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stress</w:t>
            </w:r>
          </w:p>
        </w:tc>
      </w:tr>
      <w:tr>
        <w:trPr>
          <w:trHeight w:val="435" w:hRule="atLeast"/>
        </w:trPr>
        <w:tc>
          <w:tcPr>
            <w:tcW w:w="1399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f</w:t>
            </w:r>
            <w:r>
              <w:rPr>
                <w:i/>
                <w:sz w:val="16"/>
              </w:rPr>
              <w:t>v</w:t>
            </w:r>
          </w:p>
        </w:tc>
        <w:tc>
          <w:tcPr>
            <w:tcW w:w="6074" w:type="dxa"/>
          </w:tcPr>
          <w:p>
            <w:pPr>
              <w:pStyle w:val="TableParagraph"/>
              <w:spacing w:before="74"/>
              <w:ind w:left="596"/>
              <w:rPr>
                <w:sz w:val="24"/>
              </w:rPr>
            </w:pPr>
            <w:r>
              <w:rPr>
                <w:sz w:val="24"/>
              </w:rPr>
              <w:t>characteristic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shear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strength</w:t>
            </w:r>
          </w:p>
        </w:tc>
      </w:tr>
      <w:tr>
        <w:trPr>
          <w:trHeight w:val="435" w:hRule="atLeast"/>
        </w:trPr>
        <w:tc>
          <w:tcPr>
            <w:tcW w:w="1399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F</w:t>
            </w:r>
            <w:r>
              <w:rPr>
                <w:i/>
                <w:sz w:val="16"/>
              </w:rPr>
              <w:t>v</w:t>
            </w:r>
          </w:p>
        </w:tc>
        <w:tc>
          <w:tcPr>
            <w:tcW w:w="6074" w:type="dxa"/>
          </w:tcPr>
          <w:p>
            <w:pPr>
              <w:pStyle w:val="TableParagraph"/>
              <w:spacing w:before="74"/>
              <w:ind w:left="596"/>
              <w:rPr>
                <w:sz w:val="24"/>
              </w:rPr>
            </w:pPr>
            <w:r>
              <w:rPr>
                <w:sz w:val="24"/>
              </w:rPr>
              <w:t>allowable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shear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stress</w:t>
            </w:r>
          </w:p>
        </w:tc>
      </w:tr>
      <w:tr>
        <w:trPr>
          <w:trHeight w:val="436" w:hRule="atLeast"/>
        </w:trPr>
        <w:tc>
          <w:tcPr>
            <w:tcW w:w="1399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G</w:t>
            </w:r>
            <w:r>
              <w:rPr>
                <w:i/>
                <w:sz w:val="16"/>
              </w:rPr>
              <w:t>0</w:t>
            </w:r>
          </w:p>
        </w:tc>
        <w:tc>
          <w:tcPr>
            <w:tcW w:w="6074" w:type="dxa"/>
          </w:tcPr>
          <w:p>
            <w:pPr>
              <w:pStyle w:val="TableParagraph"/>
              <w:spacing w:before="74"/>
              <w:ind w:left="596"/>
              <w:rPr>
                <w:sz w:val="24"/>
              </w:rPr>
            </w:pPr>
            <w:r>
              <w:rPr>
                <w:sz w:val="24"/>
              </w:rPr>
              <w:t>shear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modulus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parallel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wood grain</w:t>
            </w:r>
          </w:p>
        </w:tc>
      </w:tr>
      <w:tr>
        <w:trPr>
          <w:trHeight w:val="436" w:hRule="atLeast"/>
        </w:trPr>
        <w:tc>
          <w:tcPr>
            <w:tcW w:w="1399" w:type="dxa"/>
          </w:tcPr>
          <w:p>
            <w:pPr>
              <w:pStyle w:val="TableParagraph"/>
              <w:spacing w:before="76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Gaeff</w:t>
            </w:r>
          </w:p>
        </w:tc>
        <w:tc>
          <w:tcPr>
            <w:tcW w:w="6074" w:type="dxa"/>
          </w:tcPr>
          <w:p>
            <w:pPr>
              <w:pStyle w:val="TableParagraph"/>
              <w:spacing w:before="74"/>
              <w:ind w:left="596"/>
              <w:rPr>
                <w:sz w:val="24"/>
              </w:rPr>
            </w:pPr>
            <w:r>
              <w:rPr>
                <w:sz w:val="24"/>
              </w:rPr>
              <w:t>effective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shear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stiffness</w:t>
            </w:r>
          </w:p>
        </w:tc>
      </w:tr>
      <w:tr>
        <w:trPr>
          <w:trHeight w:val="435" w:hRule="atLeast"/>
        </w:trPr>
        <w:tc>
          <w:tcPr>
            <w:tcW w:w="1399" w:type="dxa"/>
          </w:tcPr>
          <w:p>
            <w:pPr>
              <w:pStyle w:val="TableParagraph"/>
              <w:spacing w:before="75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GPa</w:t>
            </w:r>
          </w:p>
        </w:tc>
        <w:tc>
          <w:tcPr>
            <w:tcW w:w="6074" w:type="dxa"/>
          </w:tcPr>
          <w:p>
            <w:pPr>
              <w:pStyle w:val="TableParagraph"/>
              <w:spacing w:before="74"/>
              <w:ind w:left="596"/>
              <w:rPr>
                <w:sz w:val="24"/>
              </w:rPr>
            </w:pPr>
            <w:r>
              <w:rPr>
                <w:sz w:val="24"/>
              </w:rPr>
              <w:t>gigapascals</w:t>
            </w:r>
          </w:p>
        </w:tc>
      </w:tr>
      <w:tr>
        <w:trPr>
          <w:trHeight w:val="436" w:hRule="atLeast"/>
        </w:trPr>
        <w:tc>
          <w:tcPr>
            <w:tcW w:w="1399" w:type="dxa"/>
          </w:tcPr>
          <w:p>
            <w:pPr>
              <w:pStyle w:val="TableParagraph"/>
              <w:spacing w:before="75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Gr</w:t>
            </w:r>
          </w:p>
        </w:tc>
        <w:tc>
          <w:tcPr>
            <w:tcW w:w="6074" w:type="dxa"/>
          </w:tcPr>
          <w:p>
            <w:pPr>
              <w:pStyle w:val="TableParagraph"/>
              <w:spacing w:before="74"/>
              <w:ind w:left="596"/>
              <w:rPr>
                <w:sz w:val="24"/>
              </w:rPr>
            </w:pPr>
            <w:r>
              <w:rPr>
                <w:sz w:val="24"/>
              </w:rPr>
              <w:t>specific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gravity</w:t>
            </w:r>
          </w:p>
        </w:tc>
      </w:tr>
      <w:tr>
        <w:trPr>
          <w:trHeight w:val="436" w:hRule="atLeast"/>
        </w:trPr>
        <w:tc>
          <w:tcPr>
            <w:tcW w:w="1399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G</w:t>
            </w:r>
            <w:r>
              <w:rPr>
                <w:i/>
                <w:sz w:val="16"/>
              </w:rPr>
              <w:t>R</w:t>
            </w:r>
          </w:p>
        </w:tc>
        <w:tc>
          <w:tcPr>
            <w:tcW w:w="6074" w:type="dxa"/>
          </w:tcPr>
          <w:p>
            <w:pPr>
              <w:pStyle w:val="TableParagraph"/>
              <w:spacing w:before="74"/>
              <w:ind w:left="596"/>
              <w:rPr>
                <w:sz w:val="24"/>
              </w:rPr>
            </w:pPr>
            <w:r>
              <w:rPr>
                <w:sz w:val="24"/>
              </w:rPr>
              <w:t>rolling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shear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modulus,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perpendicular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wood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grain</w:t>
            </w:r>
          </w:p>
        </w:tc>
      </w:tr>
      <w:tr>
        <w:trPr>
          <w:trHeight w:val="435" w:hRule="atLeast"/>
        </w:trPr>
        <w:tc>
          <w:tcPr>
            <w:tcW w:w="1399" w:type="dxa"/>
          </w:tcPr>
          <w:p>
            <w:pPr>
              <w:pStyle w:val="TableParagraph"/>
              <w:spacing w:before="75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h</w:t>
            </w:r>
          </w:p>
        </w:tc>
        <w:tc>
          <w:tcPr>
            <w:tcW w:w="6074" w:type="dxa"/>
          </w:tcPr>
          <w:p>
            <w:pPr>
              <w:pStyle w:val="TableParagraph"/>
              <w:spacing w:before="74"/>
              <w:ind w:left="596"/>
              <w:rPr>
                <w:sz w:val="24"/>
              </w:rPr>
            </w:pPr>
            <w:r>
              <w:rPr>
                <w:sz w:val="24"/>
              </w:rPr>
              <w:t>relative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humidity</w:t>
            </w:r>
          </w:p>
        </w:tc>
      </w:tr>
      <w:tr>
        <w:trPr>
          <w:trHeight w:val="436" w:hRule="atLeast"/>
        </w:trPr>
        <w:tc>
          <w:tcPr>
            <w:tcW w:w="1399" w:type="dxa"/>
          </w:tcPr>
          <w:p>
            <w:pPr>
              <w:pStyle w:val="TableParagraph"/>
              <w:spacing w:before="75"/>
              <w:ind w:left="200"/>
              <w:rPr>
                <w:i/>
                <w:sz w:val="24"/>
              </w:rPr>
            </w:pPr>
            <w:r>
              <w:rPr>
                <w:i/>
                <w:w w:val="99"/>
                <w:sz w:val="24"/>
              </w:rPr>
              <w:t>H</w:t>
            </w:r>
          </w:p>
        </w:tc>
        <w:tc>
          <w:tcPr>
            <w:tcW w:w="6074" w:type="dxa"/>
          </w:tcPr>
          <w:p>
            <w:pPr>
              <w:pStyle w:val="TableParagraph"/>
              <w:spacing w:before="74"/>
              <w:ind w:left="596"/>
              <w:rPr>
                <w:sz w:val="24"/>
              </w:rPr>
            </w:pPr>
            <w:r>
              <w:rPr>
                <w:sz w:val="24"/>
              </w:rPr>
              <w:t>hardness</w:t>
            </w:r>
          </w:p>
        </w:tc>
      </w:tr>
      <w:tr>
        <w:trPr>
          <w:trHeight w:val="436" w:hRule="atLeast"/>
        </w:trPr>
        <w:tc>
          <w:tcPr>
            <w:tcW w:w="1399" w:type="dxa"/>
          </w:tcPr>
          <w:p>
            <w:pPr>
              <w:pStyle w:val="TableParagraph"/>
              <w:spacing w:before="76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h</w:t>
            </w:r>
          </w:p>
        </w:tc>
        <w:tc>
          <w:tcPr>
            <w:tcW w:w="6074" w:type="dxa"/>
          </w:tcPr>
          <w:p>
            <w:pPr>
              <w:pStyle w:val="TableParagraph"/>
              <w:spacing w:before="74"/>
              <w:ind w:left="596"/>
              <w:rPr>
                <w:sz w:val="24"/>
              </w:rPr>
            </w:pPr>
            <w:r>
              <w:rPr>
                <w:sz w:val="24"/>
              </w:rPr>
              <w:t>target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thickness</w:t>
            </w:r>
          </w:p>
        </w:tc>
      </w:tr>
      <w:tr>
        <w:trPr>
          <w:trHeight w:val="435" w:hRule="atLeast"/>
        </w:trPr>
        <w:tc>
          <w:tcPr>
            <w:tcW w:w="1399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h</w:t>
            </w:r>
            <w:r>
              <w:rPr>
                <w:i/>
                <w:sz w:val="16"/>
              </w:rPr>
              <w:t>lam,</w:t>
            </w:r>
            <w:r>
              <w:rPr>
                <w:i/>
                <w:spacing w:val="-2"/>
                <w:sz w:val="16"/>
              </w:rPr>
              <w:t> </w:t>
            </w:r>
            <w:r>
              <w:rPr>
                <w:i/>
                <w:position w:val="1"/>
                <w:sz w:val="24"/>
              </w:rPr>
              <w:t>h</w:t>
            </w:r>
            <w:r>
              <w:rPr>
                <w:i/>
                <w:sz w:val="16"/>
              </w:rPr>
              <w:t>i</w:t>
            </w:r>
          </w:p>
        </w:tc>
        <w:tc>
          <w:tcPr>
            <w:tcW w:w="6074" w:type="dxa"/>
          </w:tcPr>
          <w:p>
            <w:pPr>
              <w:pStyle w:val="TableParagraph"/>
              <w:spacing w:before="74"/>
              <w:ind w:left="596"/>
              <w:rPr>
                <w:sz w:val="24"/>
              </w:rPr>
            </w:pPr>
            <w:r>
              <w:rPr>
                <w:sz w:val="24"/>
              </w:rPr>
              <w:t>lamination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thickness</w:t>
            </w:r>
          </w:p>
        </w:tc>
      </w:tr>
      <w:tr>
        <w:trPr>
          <w:trHeight w:val="436" w:hRule="atLeast"/>
        </w:trPr>
        <w:tc>
          <w:tcPr>
            <w:tcW w:w="1399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h</w:t>
            </w:r>
            <w:r>
              <w:rPr>
                <w:i/>
                <w:sz w:val="16"/>
              </w:rPr>
              <w:t>panel</w:t>
            </w:r>
          </w:p>
        </w:tc>
        <w:tc>
          <w:tcPr>
            <w:tcW w:w="6074" w:type="dxa"/>
          </w:tcPr>
          <w:p>
            <w:pPr>
              <w:pStyle w:val="TableParagraph"/>
              <w:spacing w:before="74"/>
              <w:ind w:left="596"/>
              <w:rPr>
                <w:sz w:val="24"/>
              </w:rPr>
            </w:pPr>
            <w:r>
              <w:rPr>
                <w:sz w:val="24"/>
              </w:rPr>
              <w:t>entire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thickness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panel</w:t>
            </w:r>
          </w:p>
        </w:tc>
      </w:tr>
      <w:tr>
        <w:trPr>
          <w:trHeight w:val="444" w:hRule="atLeast"/>
        </w:trPr>
        <w:tc>
          <w:tcPr>
            <w:tcW w:w="1399" w:type="dxa"/>
          </w:tcPr>
          <w:p>
            <w:pPr>
              <w:pStyle w:val="TableParagraph"/>
              <w:spacing w:before="76"/>
              <w:ind w:left="200"/>
              <w:rPr>
                <w:i/>
                <w:sz w:val="24"/>
              </w:rPr>
            </w:pPr>
            <w:r>
              <w:rPr>
                <w:i/>
                <w:w w:val="99"/>
                <w:sz w:val="24"/>
              </w:rPr>
              <w:t>I</w:t>
            </w:r>
          </w:p>
        </w:tc>
        <w:tc>
          <w:tcPr>
            <w:tcW w:w="6074" w:type="dxa"/>
          </w:tcPr>
          <w:p>
            <w:pPr>
              <w:pStyle w:val="TableParagraph"/>
              <w:spacing w:before="74"/>
              <w:ind w:left="596"/>
              <w:rPr>
                <w:sz w:val="24"/>
              </w:rPr>
            </w:pPr>
            <w:r>
              <w:rPr>
                <w:sz w:val="24"/>
              </w:rPr>
              <w:t>impulse</w:t>
            </w:r>
          </w:p>
        </w:tc>
      </w:tr>
      <w:tr>
        <w:trPr>
          <w:trHeight w:val="443" w:hRule="atLeast"/>
        </w:trPr>
        <w:tc>
          <w:tcPr>
            <w:tcW w:w="1399" w:type="dxa"/>
          </w:tcPr>
          <w:p>
            <w:pPr>
              <w:pStyle w:val="TableParagraph"/>
              <w:spacing w:before="67"/>
              <w:ind w:left="200"/>
              <w:rPr>
                <w:rFonts w:ascii="Calibri"/>
                <w:i/>
                <w:sz w:val="24"/>
              </w:rPr>
            </w:pPr>
            <w:r>
              <w:rPr>
                <w:rFonts w:ascii="Calibri"/>
                <w:i/>
                <w:sz w:val="24"/>
              </w:rPr>
              <w:t>i</w:t>
            </w:r>
          </w:p>
        </w:tc>
        <w:tc>
          <w:tcPr>
            <w:tcW w:w="6074" w:type="dxa"/>
          </w:tcPr>
          <w:p>
            <w:pPr>
              <w:pStyle w:val="TableParagraph"/>
              <w:spacing w:before="82"/>
              <w:ind w:left="596"/>
              <w:rPr>
                <w:sz w:val="24"/>
              </w:rPr>
            </w:pPr>
            <w:r>
              <w:rPr>
                <w:sz w:val="24"/>
              </w:rPr>
              <w:t>specific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impulse</w:t>
            </w:r>
          </w:p>
        </w:tc>
      </w:tr>
      <w:tr>
        <w:trPr>
          <w:trHeight w:val="436" w:hRule="atLeast"/>
        </w:trPr>
        <w:tc>
          <w:tcPr>
            <w:tcW w:w="1399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I</w:t>
            </w:r>
            <w:r>
              <w:rPr>
                <w:i/>
                <w:sz w:val="16"/>
              </w:rPr>
              <w:t>e</w:t>
            </w:r>
          </w:p>
        </w:tc>
        <w:tc>
          <w:tcPr>
            <w:tcW w:w="6074" w:type="dxa"/>
          </w:tcPr>
          <w:p>
            <w:pPr>
              <w:pStyle w:val="TableParagraph"/>
              <w:spacing w:before="74"/>
              <w:ind w:left="596"/>
              <w:rPr>
                <w:sz w:val="24"/>
              </w:rPr>
            </w:pPr>
            <w:r>
              <w:rPr>
                <w:sz w:val="24"/>
              </w:rPr>
              <w:t>equivalent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impulse</w:t>
            </w:r>
          </w:p>
        </w:tc>
      </w:tr>
      <w:tr>
        <w:trPr>
          <w:trHeight w:val="436" w:hRule="atLeast"/>
        </w:trPr>
        <w:tc>
          <w:tcPr>
            <w:tcW w:w="1399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I</w:t>
            </w:r>
            <w:r>
              <w:rPr>
                <w:i/>
                <w:sz w:val="16"/>
              </w:rPr>
              <w:t>i</w:t>
            </w:r>
          </w:p>
        </w:tc>
        <w:tc>
          <w:tcPr>
            <w:tcW w:w="6074" w:type="dxa"/>
          </w:tcPr>
          <w:p>
            <w:pPr>
              <w:pStyle w:val="TableParagraph"/>
              <w:spacing w:before="74"/>
              <w:ind w:left="596"/>
              <w:rPr>
                <w:sz w:val="24"/>
              </w:rPr>
            </w:pPr>
            <w:r>
              <w:rPr>
                <w:sz w:val="24"/>
              </w:rPr>
              <w:t>second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moment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area,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area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moment 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inertia</w:t>
            </w:r>
          </w:p>
        </w:tc>
      </w:tr>
      <w:tr>
        <w:trPr>
          <w:trHeight w:val="435" w:hRule="atLeast"/>
        </w:trPr>
        <w:tc>
          <w:tcPr>
            <w:tcW w:w="1399" w:type="dxa"/>
          </w:tcPr>
          <w:p>
            <w:pPr>
              <w:pStyle w:val="TableParagraph"/>
              <w:spacing w:before="75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in.</w:t>
            </w:r>
          </w:p>
        </w:tc>
        <w:tc>
          <w:tcPr>
            <w:tcW w:w="6074" w:type="dxa"/>
          </w:tcPr>
          <w:p>
            <w:pPr>
              <w:pStyle w:val="TableParagraph"/>
              <w:spacing w:before="74"/>
              <w:ind w:left="596"/>
              <w:rPr>
                <w:sz w:val="24"/>
              </w:rPr>
            </w:pPr>
            <w:r>
              <w:rPr>
                <w:sz w:val="24"/>
              </w:rPr>
              <w:t>inch(es)</w:t>
            </w:r>
          </w:p>
        </w:tc>
      </w:tr>
      <w:tr>
        <w:trPr>
          <w:trHeight w:val="436" w:hRule="atLeast"/>
        </w:trPr>
        <w:tc>
          <w:tcPr>
            <w:tcW w:w="1399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i</w:t>
            </w:r>
            <w:r>
              <w:rPr>
                <w:i/>
                <w:sz w:val="16"/>
              </w:rPr>
              <w:t>r</w:t>
            </w:r>
          </w:p>
        </w:tc>
        <w:tc>
          <w:tcPr>
            <w:tcW w:w="6074" w:type="dxa"/>
          </w:tcPr>
          <w:p>
            <w:pPr>
              <w:pStyle w:val="TableParagraph"/>
              <w:spacing w:before="74"/>
              <w:ind w:left="596"/>
              <w:rPr>
                <w:sz w:val="24"/>
              </w:rPr>
            </w:pPr>
            <w:r>
              <w:rPr>
                <w:sz w:val="24"/>
              </w:rPr>
              <w:t>reflected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impulse</w:t>
            </w:r>
          </w:p>
        </w:tc>
      </w:tr>
      <w:tr>
        <w:trPr>
          <w:trHeight w:val="444" w:hRule="atLeast"/>
        </w:trPr>
        <w:tc>
          <w:tcPr>
            <w:tcW w:w="1399" w:type="dxa"/>
          </w:tcPr>
          <w:p>
            <w:pPr>
              <w:pStyle w:val="TableParagraph"/>
              <w:spacing w:before="76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J</w:t>
            </w:r>
          </w:p>
        </w:tc>
        <w:tc>
          <w:tcPr>
            <w:tcW w:w="6074" w:type="dxa"/>
          </w:tcPr>
          <w:p>
            <w:pPr>
              <w:pStyle w:val="TableParagraph"/>
              <w:spacing w:before="74"/>
              <w:ind w:left="596"/>
              <w:rPr>
                <w:sz w:val="24"/>
              </w:rPr>
            </w:pPr>
            <w:r>
              <w:rPr>
                <w:sz w:val="24"/>
              </w:rPr>
              <w:t>joules</w:t>
            </w:r>
          </w:p>
        </w:tc>
      </w:tr>
      <w:tr>
        <w:trPr>
          <w:trHeight w:val="358" w:hRule="atLeast"/>
        </w:trPr>
        <w:tc>
          <w:tcPr>
            <w:tcW w:w="1399" w:type="dxa"/>
          </w:tcPr>
          <w:p>
            <w:pPr>
              <w:pStyle w:val="TableParagraph"/>
              <w:spacing w:line="271" w:lineRule="exact" w:before="67"/>
              <w:ind w:left="200"/>
              <w:rPr>
                <w:rFonts w:ascii="Calibri"/>
                <w:i/>
                <w:sz w:val="24"/>
              </w:rPr>
            </w:pPr>
            <w:r>
              <w:rPr>
                <w:rFonts w:ascii="Calibri"/>
                <w:i/>
                <w:sz w:val="24"/>
              </w:rPr>
              <w:t>k</w:t>
            </w:r>
          </w:p>
        </w:tc>
        <w:tc>
          <w:tcPr>
            <w:tcW w:w="6074" w:type="dxa"/>
          </w:tcPr>
          <w:p>
            <w:pPr>
              <w:pStyle w:val="TableParagraph"/>
              <w:spacing w:line="256" w:lineRule="exact" w:before="82"/>
              <w:ind w:left="596"/>
              <w:rPr>
                <w:sz w:val="24"/>
              </w:rPr>
            </w:pPr>
            <w:r>
              <w:rPr>
                <w:sz w:val="24"/>
              </w:rPr>
              <w:t>stiffness</w:t>
            </w:r>
          </w:p>
        </w:tc>
      </w:tr>
    </w:tbl>
    <w:p>
      <w:pPr>
        <w:spacing w:after="0" w:line="256" w:lineRule="exact"/>
        <w:rPr>
          <w:sz w:val="24"/>
        </w:rPr>
        <w:sectPr>
          <w:pgSz w:w="12240" w:h="15840"/>
          <w:pgMar w:header="0" w:footer="984" w:top="1440" w:bottom="1180" w:left="1720" w:right="1320"/>
        </w:sectPr>
      </w:pPr>
    </w:p>
    <w:tbl>
      <w:tblPr>
        <w:tblW w:w="0" w:type="auto"/>
        <w:jc w:val="left"/>
        <w:tblInd w:w="35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63"/>
        <w:gridCol w:w="7389"/>
      </w:tblGrid>
      <w:tr>
        <w:trPr>
          <w:trHeight w:val="351" w:hRule="atLeast"/>
        </w:trPr>
        <w:tc>
          <w:tcPr>
            <w:tcW w:w="1363" w:type="dxa"/>
          </w:tcPr>
          <w:p>
            <w:pPr>
              <w:pStyle w:val="TableParagraph"/>
              <w:spacing w:line="267" w:lineRule="exact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KE</w:t>
            </w:r>
          </w:p>
        </w:tc>
        <w:tc>
          <w:tcPr>
            <w:tcW w:w="7389" w:type="dxa"/>
          </w:tcPr>
          <w:p>
            <w:pPr>
              <w:pStyle w:val="TableParagraph"/>
              <w:spacing w:line="266" w:lineRule="exact"/>
              <w:ind w:left="632"/>
              <w:rPr>
                <w:sz w:val="24"/>
              </w:rPr>
            </w:pPr>
            <w:r>
              <w:rPr>
                <w:sz w:val="24"/>
              </w:rPr>
              <w:t>kinetic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energy</w:t>
            </w:r>
          </w:p>
        </w:tc>
      </w:tr>
      <w:tr>
        <w:trPr>
          <w:trHeight w:val="436" w:hRule="atLeast"/>
        </w:trPr>
        <w:tc>
          <w:tcPr>
            <w:tcW w:w="1363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K</w:t>
            </w:r>
            <w:r>
              <w:rPr>
                <w:i/>
                <w:sz w:val="16"/>
              </w:rPr>
              <w:t>L</w:t>
            </w:r>
          </w:p>
        </w:tc>
        <w:tc>
          <w:tcPr>
            <w:tcW w:w="7389" w:type="dxa"/>
          </w:tcPr>
          <w:p>
            <w:pPr>
              <w:pStyle w:val="TableParagraph"/>
              <w:spacing w:before="74"/>
              <w:ind w:left="632"/>
              <w:rPr>
                <w:sz w:val="24"/>
              </w:rPr>
            </w:pPr>
            <w:r>
              <w:rPr>
                <w:sz w:val="24"/>
              </w:rPr>
              <w:t>equivalent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load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factor</w:t>
            </w:r>
          </w:p>
        </w:tc>
      </w:tr>
      <w:tr>
        <w:trPr>
          <w:trHeight w:val="436" w:hRule="atLeast"/>
        </w:trPr>
        <w:tc>
          <w:tcPr>
            <w:tcW w:w="1363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K</w:t>
            </w:r>
            <w:r>
              <w:rPr>
                <w:i/>
                <w:sz w:val="16"/>
              </w:rPr>
              <w:t>LM</w:t>
            </w:r>
          </w:p>
        </w:tc>
        <w:tc>
          <w:tcPr>
            <w:tcW w:w="7389" w:type="dxa"/>
          </w:tcPr>
          <w:p>
            <w:pPr>
              <w:pStyle w:val="TableParagraph"/>
              <w:spacing w:before="74"/>
              <w:ind w:left="632"/>
              <w:rPr>
                <w:sz w:val="24"/>
              </w:rPr>
            </w:pPr>
            <w:r>
              <w:rPr>
                <w:sz w:val="24"/>
              </w:rPr>
              <w:t>load-mass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factor</w:t>
            </w:r>
          </w:p>
        </w:tc>
      </w:tr>
      <w:tr>
        <w:trPr>
          <w:trHeight w:val="435" w:hRule="atLeast"/>
        </w:trPr>
        <w:tc>
          <w:tcPr>
            <w:tcW w:w="1363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K</w:t>
            </w:r>
            <w:r>
              <w:rPr>
                <w:i/>
                <w:sz w:val="16"/>
              </w:rPr>
              <w:t>M</w:t>
            </w:r>
          </w:p>
        </w:tc>
        <w:tc>
          <w:tcPr>
            <w:tcW w:w="7389" w:type="dxa"/>
          </w:tcPr>
          <w:p>
            <w:pPr>
              <w:pStyle w:val="TableParagraph"/>
              <w:spacing w:before="74"/>
              <w:ind w:left="632"/>
              <w:rPr>
                <w:sz w:val="24"/>
              </w:rPr>
            </w:pPr>
            <w:r>
              <w:rPr>
                <w:sz w:val="24"/>
              </w:rPr>
              <w:t>equivalent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mass factor</w:t>
            </w:r>
          </w:p>
        </w:tc>
      </w:tr>
      <w:tr>
        <w:trPr>
          <w:trHeight w:val="712" w:hRule="atLeast"/>
        </w:trPr>
        <w:tc>
          <w:tcPr>
            <w:tcW w:w="1363" w:type="dxa"/>
          </w:tcPr>
          <w:p>
            <w:pPr>
              <w:pStyle w:val="TableParagraph"/>
              <w:spacing w:before="5"/>
              <w:rPr>
                <w:b/>
                <w:sz w:val="30"/>
              </w:rPr>
            </w:pPr>
          </w:p>
          <w:p>
            <w:pPr>
              <w:pStyle w:val="TableParagraph"/>
              <w:spacing w:before="1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K</w:t>
            </w:r>
            <w:r>
              <w:rPr>
                <w:i/>
                <w:sz w:val="16"/>
              </w:rPr>
              <w:t>S</w:t>
            </w:r>
          </w:p>
        </w:tc>
        <w:tc>
          <w:tcPr>
            <w:tcW w:w="7389" w:type="dxa"/>
          </w:tcPr>
          <w:p>
            <w:pPr>
              <w:pStyle w:val="TableParagraph"/>
              <w:spacing w:before="74"/>
              <w:ind w:left="632" w:right="195"/>
              <w:rPr>
                <w:sz w:val="24"/>
              </w:rPr>
            </w:pPr>
            <w:r>
              <w:rPr>
                <w:sz w:val="24"/>
              </w:rPr>
              <w:t>constant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related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influence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shear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deformation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based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load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end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conditions</w:t>
            </w:r>
          </w:p>
        </w:tc>
      </w:tr>
      <w:tr>
        <w:trPr>
          <w:trHeight w:val="436" w:hRule="atLeast"/>
        </w:trPr>
        <w:tc>
          <w:tcPr>
            <w:tcW w:w="1363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K</w:t>
            </w:r>
            <w:r>
              <w:rPr>
                <w:i/>
                <w:sz w:val="16"/>
              </w:rPr>
              <w:t>S</w:t>
            </w:r>
          </w:p>
        </w:tc>
        <w:tc>
          <w:tcPr>
            <w:tcW w:w="7389" w:type="dxa"/>
          </w:tcPr>
          <w:p>
            <w:pPr>
              <w:pStyle w:val="TableParagraph"/>
              <w:spacing w:before="74"/>
              <w:ind w:left="632"/>
              <w:rPr>
                <w:sz w:val="24"/>
              </w:rPr>
            </w:pPr>
            <w:r>
              <w:rPr>
                <w:sz w:val="24"/>
              </w:rPr>
              <w:t>equivalent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stiffness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factor</w:t>
            </w:r>
          </w:p>
        </w:tc>
      </w:tr>
      <w:tr>
        <w:trPr>
          <w:trHeight w:val="435" w:hRule="atLeast"/>
        </w:trPr>
        <w:tc>
          <w:tcPr>
            <w:tcW w:w="1363" w:type="dxa"/>
          </w:tcPr>
          <w:p>
            <w:pPr>
              <w:pStyle w:val="TableParagraph"/>
              <w:spacing w:before="75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ksi</w:t>
            </w:r>
          </w:p>
        </w:tc>
        <w:tc>
          <w:tcPr>
            <w:tcW w:w="7389" w:type="dxa"/>
          </w:tcPr>
          <w:p>
            <w:pPr>
              <w:pStyle w:val="TableParagraph"/>
              <w:spacing w:before="74"/>
              <w:ind w:left="632"/>
              <w:rPr>
                <w:sz w:val="24"/>
              </w:rPr>
            </w:pPr>
            <w:r>
              <w:rPr>
                <w:sz w:val="24"/>
              </w:rPr>
              <w:t>kips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per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square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inch</w:t>
            </w:r>
          </w:p>
        </w:tc>
      </w:tr>
      <w:tr>
        <w:trPr>
          <w:trHeight w:val="435" w:hRule="atLeast"/>
        </w:trPr>
        <w:tc>
          <w:tcPr>
            <w:tcW w:w="1363" w:type="dxa"/>
          </w:tcPr>
          <w:p>
            <w:pPr>
              <w:pStyle w:val="TableParagraph"/>
              <w:spacing w:before="75"/>
              <w:ind w:left="200"/>
              <w:rPr>
                <w:i/>
                <w:sz w:val="24"/>
              </w:rPr>
            </w:pPr>
            <w:r>
              <w:rPr>
                <w:i/>
                <w:w w:val="99"/>
                <w:sz w:val="24"/>
              </w:rPr>
              <w:t>L</w:t>
            </w:r>
          </w:p>
        </w:tc>
        <w:tc>
          <w:tcPr>
            <w:tcW w:w="7389" w:type="dxa"/>
          </w:tcPr>
          <w:p>
            <w:pPr>
              <w:pStyle w:val="TableParagraph"/>
              <w:spacing w:before="74"/>
              <w:ind w:left="632"/>
              <w:rPr>
                <w:sz w:val="24"/>
              </w:rPr>
            </w:pPr>
            <w:r>
              <w:rPr>
                <w:sz w:val="24"/>
              </w:rPr>
              <w:t>Longitudinal</w:t>
            </w:r>
          </w:p>
        </w:tc>
      </w:tr>
      <w:tr>
        <w:trPr>
          <w:trHeight w:val="436" w:hRule="atLeast"/>
        </w:trPr>
        <w:tc>
          <w:tcPr>
            <w:tcW w:w="1363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L</w:t>
            </w:r>
            <w:r>
              <w:rPr>
                <w:i/>
                <w:sz w:val="16"/>
              </w:rPr>
              <w:t>1,</w:t>
            </w:r>
            <w:r>
              <w:rPr>
                <w:i/>
                <w:spacing w:val="17"/>
                <w:sz w:val="16"/>
              </w:rPr>
              <w:t> </w:t>
            </w:r>
            <w:r>
              <w:rPr>
                <w:i/>
                <w:position w:val="1"/>
                <w:sz w:val="24"/>
              </w:rPr>
              <w:t>L</w:t>
            </w:r>
            <w:r>
              <w:rPr>
                <w:i/>
                <w:sz w:val="16"/>
              </w:rPr>
              <w:t>2</w:t>
            </w:r>
          </w:p>
        </w:tc>
        <w:tc>
          <w:tcPr>
            <w:tcW w:w="7389" w:type="dxa"/>
          </w:tcPr>
          <w:p>
            <w:pPr>
              <w:pStyle w:val="TableParagraph"/>
              <w:spacing w:before="74"/>
              <w:ind w:left="632"/>
              <w:rPr>
                <w:sz w:val="24"/>
              </w:rPr>
            </w:pPr>
            <w:r>
              <w:rPr>
                <w:sz w:val="24"/>
              </w:rPr>
              <w:t>distances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used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striking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velocity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estimate</w:t>
            </w:r>
          </w:p>
        </w:tc>
      </w:tr>
      <w:tr>
        <w:trPr>
          <w:trHeight w:val="436" w:hRule="atLeast"/>
        </w:trPr>
        <w:tc>
          <w:tcPr>
            <w:tcW w:w="1363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L</w:t>
            </w:r>
            <w:r>
              <w:rPr>
                <w:i/>
                <w:sz w:val="16"/>
              </w:rPr>
              <w:t>eff</w:t>
            </w:r>
          </w:p>
        </w:tc>
        <w:tc>
          <w:tcPr>
            <w:tcW w:w="7389" w:type="dxa"/>
          </w:tcPr>
          <w:p>
            <w:pPr>
              <w:pStyle w:val="TableParagraph"/>
              <w:spacing w:before="74"/>
              <w:ind w:left="632"/>
              <w:rPr>
                <w:sz w:val="24"/>
              </w:rPr>
            </w:pPr>
            <w:r>
              <w:rPr>
                <w:sz w:val="24"/>
              </w:rPr>
              <w:t>effective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length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penetrator</w:t>
            </w:r>
          </w:p>
        </w:tc>
      </w:tr>
      <w:tr>
        <w:trPr>
          <w:trHeight w:val="435" w:hRule="atLeast"/>
        </w:trPr>
        <w:tc>
          <w:tcPr>
            <w:tcW w:w="1363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L</w:t>
            </w:r>
            <w:r>
              <w:rPr>
                <w:i/>
                <w:sz w:val="16"/>
              </w:rPr>
              <w:t>p</w:t>
            </w:r>
          </w:p>
        </w:tc>
        <w:tc>
          <w:tcPr>
            <w:tcW w:w="7389" w:type="dxa"/>
          </w:tcPr>
          <w:p>
            <w:pPr>
              <w:pStyle w:val="TableParagraph"/>
              <w:spacing w:before="74"/>
              <w:ind w:left="632"/>
              <w:rPr>
                <w:sz w:val="24"/>
              </w:rPr>
            </w:pPr>
            <w:r>
              <w:rPr>
                <w:sz w:val="24"/>
              </w:rPr>
              <w:t>panel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height</w:t>
            </w:r>
          </w:p>
        </w:tc>
      </w:tr>
      <w:tr>
        <w:trPr>
          <w:trHeight w:val="436" w:hRule="atLeast"/>
        </w:trPr>
        <w:tc>
          <w:tcPr>
            <w:tcW w:w="1363" w:type="dxa"/>
          </w:tcPr>
          <w:p>
            <w:pPr>
              <w:pStyle w:val="TableParagraph"/>
              <w:spacing w:before="75"/>
              <w:ind w:left="200"/>
              <w:rPr>
                <w:i/>
                <w:sz w:val="24"/>
              </w:rPr>
            </w:pPr>
            <w:r>
              <w:rPr>
                <w:i/>
                <w:w w:val="99"/>
                <w:sz w:val="24"/>
              </w:rPr>
              <w:t>M</w:t>
            </w:r>
          </w:p>
        </w:tc>
        <w:tc>
          <w:tcPr>
            <w:tcW w:w="7389" w:type="dxa"/>
          </w:tcPr>
          <w:p>
            <w:pPr>
              <w:pStyle w:val="TableParagraph"/>
              <w:spacing w:before="74"/>
              <w:ind w:left="632"/>
              <w:rPr>
                <w:sz w:val="24"/>
              </w:rPr>
            </w:pPr>
            <w:r>
              <w:rPr>
                <w:sz w:val="24"/>
              </w:rPr>
              <w:t>moisture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content</w:t>
            </w:r>
          </w:p>
        </w:tc>
      </w:tr>
      <w:tr>
        <w:trPr>
          <w:trHeight w:val="436" w:hRule="atLeast"/>
        </w:trPr>
        <w:tc>
          <w:tcPr>
            <w:tcW w:w="1363" w:type="dxa"/>
          </w:tcPr>
          <w:p>
            <w:pPr>
              <w:pStyle w:val="TableParagraph"/>
              <w:spacing w:before="76"/>
              <w:ind w:left="200"/>
              <w:rPr>
                <w:i/>
                <w:sz w:val="24"/>
              </w:rPr>
            </w:pPr>
            <w:r>
              <w:rPr>
                <w:i/>
                <w:w w:val="99"/>
                <w:sz w:val="24"/>
              </w:rPr>
              <w:t>m</w:t>
            </w:r>
          </w:p>
        </w:tc>
        <w:tc>
          <w:tcPr>
            <w:tcW w:w="7389" w:type="dxa"/>
          </w:tcPr>
          <w:p>
            <w:pPr>
              <w:pStyle w:val="TableParagraph"/>
              <w:spacing w:before="74"/>
              <w:ind w:left="632"/>
              <w:rPr>
                <w:sz w:val="24"/>
              </w:rPr>
            </w:pPr>
            <w:r>
              <w:rPr>
                <w:sz w:val="24"/>
              </w:rPr>
              <w:t>mass</w:t>
            </w:r>
          </w:p>
        </w:tc>
      </w:tr>
      <w:tr>
        <w:trPr>
          <w:trHeight w:val="435" w:hRule="atLeast"/>
        </w:trPr>
        <w:tc>
          <w:tcPr>
            <w:tcW w:w="1363" w:type="dxa"/>
          </w:tcPr>
          <w:p>
            <w:pPr>
              <w:pStyle w:val="TableParagraph"/>
              <w:spacing w:before="75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m/s</w:t>
            </w:r>
          </w:p>
        </w:tc>
        <w:tc>
          <w:tcPr>
            <w:tcW w:w="7389" w:type="dxa"/>
          </w:tcPr>
          <w:p>
            <w:pPr>
              <w:pStyle w:val="TableParagraph"/>
              <w:spacing w:before="74"/>
              <w:ind w:left="632"/>
              <w:rPr>
                <w:sz w:val="24"/>
              </w:rPr>
            </w:pPr>
            <w:r>
              <w:rPr>
                <w:sz w:val="24"/>
              </w:rPr>
              <w:t>meters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per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second</w:t>
            </w:r>
          </w:p>
        </w:tc>
      </w:tr>
      <w:tr>
        <w:trPr>
          <w:trHeight w:val="436" w:hRule="atLeast"/>
        </w:trPr>
        <w:tc>
          <w:tcPr>
            <w:tcW w:w="1363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M</w:t>
            </w:r>
            <w:r>
              <w:rPr>
                <w:i/>
                <w:sz w:val="16"/>
              </w:rPr>
              <w:t>dyn</w:t>
            </w:r>
          </w:p>
        </w:tc>
        <w:tc>
          <w:tcPr>
            <w:tcW w:w="7389" w:type="dxa"/>
          </w:tcPr>
          <w:p>
            <w:pPr>
              <w:pStyle w:val="TableParagraph"/>
              <w:spacing w:before="74"/>
              <w:ind w:left="632"/>
              <w:rPr>
                <w:sz w:val="24"/>
              </w:rPr>
            </w:pPr>
            <w:r>
              <w:rPr>
                <w:sz w:val="24"/>
              </w:rPr>
              <w:t>dynamic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moment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capacity</w:t>
            </w:r>
          </w:p>
        </w:tc>
      </w:tr>
      <w:tr>
        <w:trPr>
          <w:trHeight w:val="436" w:hRule="atLeast"/>
        </w:trPr>
        <w:tc>
          <w:tcPr>
            <w:tcW w:w="1363" w:type="dxa"/>
          </w:tcPr>
          <w:p>
            <w:pPr>
              <w:pStyle w:val="TableParagraph"/>
              <w:spacing w:before="76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MPa</w:t>
            </w:r>
          </w:p>
        </w:tc>
        <w:tc>
          <w:tcPr>
            <w:tcW w:w="7389" w:type="dxa"/>
          </w:tcPr>
          <w:p>
            <w:pPr>
              <w:pStyle w:val="TableParagraph"/>
              <w:spacing w:before="74"/>
              <w:ind w:left="632"/>
              <w:rPr>
                <w:sz w:val="24"/>
              </w:rPr>
            </w:pPr>
            <w:r>
              <w:rPr>
                <w:sz w:val="24"/>
              </w:rPr>
              <w:t>megapascal</w:t>
            </w:r>
          </w:p>
        </w:tc>
      </w:tr>
      <w:tr>
        <w:trPr>
          <w:trHeight w:val="435" w:hRule="atLeast"/>
        </w:trPr>
        <w:tc>
          <w:tcPr>
            <w:tcW w:w="1363" w:type="dxa"/>
          </w:tcPr>
          <w:p>
            <w:pPr>
              <w:pStyle w:val="TableParagraph"/>
              <w:spacing w:before="75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ms</w:t>
            </w:r>
          </w:p>
        </w:tc>
        <w:tc>
          <w:tcPr>
            <w:tcW w:w="7389" w:type="dxa"/>
          </w:tcPr>
          <w:p>
            <w:pPr>
              <w:pStyle w:val="TableParagraph"/>
              <w:spacing w:before="74"/>
              <w:ind w:left="632"/>
              <w:rPr>
                <w:sz w:val="24"/>
              </w:rPr>
            </w:pPr>
            <w:r>
              <w:rPr>
                <w:sz w:val="24"/>
              </w:rPr>
              <w:t>millisecond</w:t>
            </w:r>
          </w:p>
        </w:tc>
      </w:tr>
      <w:tr>
        <w:trPr>
          <w:trHeight w:val="436" w:hRule="atLeast"/>
        </w:trPr>
        <w:tc>
          <w:tcPr>
            <w:tcW w:w="1363" w:type="dxa"/>
          </w:tcPr>
          <w:p>
            <w:pPr>
              <w:pStyle w:val="TableParagraph"/>
              <w:spacing w:before="75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N</w:t>
            </w:r>
          </w:p>
        </w:tc>
        <w:tc>
          <w:tcPr>
            <w:tcW w:w="7389" w:type="dxa"/>
          </w:tcPr>
          <w:p>
            <w:pPr>
              <w:pStyle w:val="TableParagraph"/>
              <w:spacing w:before="74"/>
              <w:ind w:left="632"/>
              <w:rPr>
                <w:sz w:val="24"/>
              </w:rPr>
            </w:pPr>
            <w:r>
              <w:rPr>
                <w:sz w:val="24"/>
              </w:rPr>
              <w:t>number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samples</w:t>
            </w:r>
          </w:p>
        </w:tc>
      </w:tr>
      <w:tr>
        <w:trPr>
          <w:trHeight w:val="436" w:hRule="atLeast"/>
        </w:trPr>
        <w:tc>
          <w:tcPr>
            <w:tcW w:w="1363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n</w:t>
            </w:r>
            <w:r>
              <w:rPr>
                <w:i/>
                <w:sz w:val="16"/>
              </w:rPr>
              <w:t>lam</w:t>
            </w:r>
          </w:p>
        </w:tc>
        <w:tc>
          <w:tcPr>
            <w:tcW w:w="7389" w:type="dxa"/>
          </w:tcPr>
          <w:p>
            <w:pPr>
              <w:pStyle w:val="TableParagraph"/>
              <w:spacing w:before="74"/>
              <w:ind w:left="632"/>
              <w:rPr>
                <w:sz w:val="24"/>
              </w:rPr>
            </w:pPr>
            <w:r>
              <w:rPr>
                <w:sz w:val="24"/>
              </w:rPr>
              <w:t>number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charred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laminations</w:t>
            </w:r>
          </w:p>
        </w:tc>
      </w:tr>
      <w:tr>
        <w:trPr>
          <w:trHeight w:val="435" w:hRule="atLeast"/>
        </w:trPr>
        <w:tc>
          <w:tcPr>
            <w:tcW w:w="1363" w:type="dxa"/>
          </w:tcPr>
          <w:p>
            <w:pPr>
              <w:pStyle w:val="TableParagraph"/>
              <w:spacing w:before="75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P</w:t>
            </w:r>
          </w:p>
        </w:tc>
        <w:tc>
          <w:tcPr>
            <w:tcW w:w="7389" w:type="dxa"/>
          </w:tcPr>
          <w:p>
            <w:pPr>
              <w:pStyle w:val="TableParagraph"/>
              <w:spacing w:before="74"/>
              <w:ind w:left="632"/>
              <w:rPr>
                <w:sz w:val="24"/>
              </w:rPr>
            </w:pPr>
            <w:r>
              <w:rPr>
                <w:sz w:val="24"/>
              </w:rPr>
              <w:t>pressure;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depth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penetration</w:t>
            </w:r>
          </w:p>
        </w:tc>
      </w:tr>
      <w:tr>
        <w:trPr>
          <w:trHeight w:val="436" w:hRule="atLeast"/>
        </w:trPr>
        <w:tc>
          <w:tcPr>
            <w:tcW w:w="1363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p</w:t>
            </w:r>
            <w:r>
              <w:rPr>
                <w:i/>
                <w:sz w:val="16"/>
              </w:rPr>
              <w:t>0</w:t>
            </w:r>
          </w:p>
        </w:tc>
        <w:tc>
          <w:tcPr>
            <w:tcW w:w="7389" w:type="dxa"/>
          </w:tcPr>
          <w:p>
            <w:pPr>
              <w:pStyle w:val="TableParagraph"/>
              <w:spacing w:before="74"/>
              <w:ind w:left="632"/>
              <w:rPr>
                <w:sz w:val="24"/>
              </w:rPr>
            </w:pPr>
            <w:r>
              <w:rPr>
                <w:sz w:val="24"/>
              </w:rPr>
              <w:t>ambient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pressure</w:t>
            </w:r>
          </w:p>
        </w:tc>
      </w:tr>
      <w:tr>
        <w:trPr>
          <w:trHeight w:val="436" w:hRule="atLeast"/>
        </w:trPr>
        <w:tc>
          <w:tcPr>
            <w:tcW w:w="1363" w:type="dxa"/>
          </w:tcPr>
          <w:p>
            <w:pPr>
              <w:pStyle w:val="TableParagraph"/>
              <w:spacing w:before="76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pcf</w:t>
            </w:r>
          </w:p>
        </w:tc>
        <w:tc>
          <w:tcPr>
            <w:tcW w:w="7389" w:type="dxa"/>
          </w:tcPr>
          <w:p>
            <w:pPr>
              <w:pStyle w:val="TableParagraph"/>
              <w:spacing w:before="74"/>
              <w:ind w:left="632"/>
              <w:rPr>
                <w:sz w:val="24"/>
              </w:rPr>
            </w:pPr>
            <w:r>
              <w:rPr>
                <w:sz w:val="24"/>
              </w:rPr>
              <w:t>pound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per cubic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foot</w:t>
            </w:r>
          </w:p>
        </w:tc>
      </w:tr>
      <w:tr>
        <w:trPr>
          <w:trHeight w:val="435" w:hRule="atLeast"/>
        </w:trPr>
        <w:tc>
          <w:tcPr>
            <w:tcW w:w="1363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p</w:t>
            </w:r>
            <w:r>
              <w:rPr>
                <w:i/>
                <w:sz w:val="16"/>
              </w:rPr>
              <w:t>i</w:t>
            </w:r>
          </w:p>
        </w:tc>
        <w:tc>
          <w:tcPr>
            <w:tcW w:w="7389" w:type="dxa"/>
          </w:tcPr>
          <w:p>
            <w:pPr>
              <w:pStyle w:val="TableParagraph"/>
              <w:spacing w:before="74"/>
              <w:ind w:left="632"/>
              <w:rPr>
                <w:sz w:val="24"/>
              </w:rPr>
            </w:pPr>
            <w:r>
              <w:rPr>
                <w:sz w:val="24"/>
              </w:rPr>
              <w:t>incident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pressure</w:t>
            </w:r>
          </w:p>
        </w:tc>
      </w:tr>
      <w:tr>
        <w:trPr>
          <w:trHeight w:val="432" w:hRule="atLeast"/>
        </w:trPr>
        <w:tc>
          <w:tcPr>
            <w:tcW w:w="1363" w:type="dxa"/>
          </w:tcPr>
          <w:p>
            <w:pPr>
              <w:pStyle w:val="TableParagraph"/>
              <w:spacing w:before="75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PP</w:t>
            </w:r>
          </w:p>
        </w:tc>
        <w:tc>
          <w:tcPr>
            <w:tcW w:w="7389" w:type="dxa"/>
          </w:tcPr>
          <w:p>
            <w:pPr>
              <w:pStyle w:val="TableParagraph"/>
              <w:spacing w:before="74"/>
              <w:ind w:left="632"/>
              <w:rPr>
                <w:sz w:val="24"/>
              </w:rPr>
            </w:pPr>
            <w:r>
              <w:rPr>
                <w:sz w:val="24"/>
              </w:rPr>
              <w:t>partial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penetration</w:t>
            </w:r>
          </w:p>
        </w:tc>
      </w:tr>
      <w:tr>
        <w:trPr>
          <w:trHeight w:val="436" w:hRule="atLeast"/>
        </w:trPr>
        <w:tc>
          <w:tcPr>
            <w:tcW w:w="1363" w:type="dxa"/>
          </w:tcPr>
          <w:p>
            <w:pPr>
              <w:pStyle w:val="TableParagraph"/>
              <w:spacing w:line="95" w:lineRule="exact" w:before="74"/>
              <w:ind w:right="63"/>
              <w:jc w:val="center"/>
              <w:rPr>
                <w:i/>
                <w:sz w:val="16"/>
              </w:rPr>
            </w:pPr>
            <w:r>
              <w:rPr>
                <w:i/>
                <w:w w:val="99"/>
                <w:sz w:val="16"/>
              </w:rPr>
              <w:t>-</w:t>
            </w:r>
          </w:p>
          <w:p>
            <w:pPr>
              <w:pStyle w:val="TableParagraph"/>
              <w:spacing w:line="187" w:lineRule="exact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p</w:t>
            </w:r>
            <w:r>
              <w:rPr>
                <w:i/>
                <w:sz w:val="16"/>
              </w:rPr>
              <w:t>peak</w:t>
            </w:r>
          </w:p>
        </w:tc>
        <w:tc>
          <w:tcPr>
            <w:tcW w:w="7389" w:type="dxa"/>
          </w:tcPr>
          <w:p>
            <w:pPr>
              <w:pStyle w:val="TableParagraph"/>
              <w:spacing w:before="78"/>
              <w:ind w:left="632"/>
              <w:rPr>
                <w:sz w:val="24"/>
              </w:rPr>
            </w:pPr>
            <w:r>
              <w:rPr>
                <w:sz w:val="24"/>
              </w:rPr>
              <w:t>peak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negative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pressure</w:t>
            </w:r>
          </w:p>
        </w:tc>
      </w:tr>
      <w:tr>
        <w:trPr>
          <w:trHeight w:val="439" w:hRule="atLeast"/>
        </w:trPr>
        <w:tc>
          <w:tcPr>
            <w:tcW w:w="1363" w:type="dxa"/>
          </w:tcPr>
          <w:p>
            <w:pPr>
              <w:pStyle w:val="TableParagraph"/>
              <w:spacing w:line="95" w:lineRule="exact" w:before="73"/>
              <w:ind w:right="8"/>
              <w:jc w:val="center"/>
              <w:rPr>
                <w:i/>
                <w:sz w:val="16"/>
              </w:rPr>
            </w:pPr>
            <w:r>
              <w:rPr>
                <w:i/>
                <w:w w:val="99"/>
                <w:sz w:val="16"/>
              </w:rPr>
              <w:t>+</w:t>
            </w:r>
          </w:p>
          <w:p>
            <w:pPr>
              <w:pStyle w:val="TableParagraph"/>
              <w:spacing w:line="187" w:lineRule="exact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p</w:t>
            </w:r>
            <w:r>
              <w:rPr>
                <w:i/>
                <w:sz w:val="16"/>
              </w:rPr>
              <w:t>peak</w:t>
            </w:r>
          </w:p>
        </w:tc>
        <w:tc>
          <w:tcPr>
            <w:tcW w:w="7389" w:type="dxa"/>
          </w:tcPr>
          <w:p>
            <w:pPr>
              <w:pStyle w:val="TableParagraph"/>
              <w:spacing w:before="78"/>
              <w:ind w:left="632"/>
              <w:rPr>
                <w:sz w:val="24"/>
              </w:rPr>
            </w:pPr>
            <w:r>
              <w:rPr>
                <w:sz w:val="24"/>
              </w:rPr>
              <w:t>peak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positive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pressure</w:t>
            </w:r>
          </w:p>
        </w:tc>
      </w:tr>
      <w:tr>
        <w:trPr>
          <w:trHeight w:val="435" w:hRule="atLeast"/>
        </w:trPr>
        <w:tc>
          <w:tcPr>
            <w:tcW w:w="1363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p</w:t>
            </w:r>
            <w:r>
              <w:rPr>
                <w:i/>
                <w:sz w:val="16"/>
              </w:rPr>
              <w:t>r</w:t>
            </w:r>
          </w:p>
        </w:tc>
        <w:tc>
          <w:tcPr>
            <w:tcW w:w="7389" w:type="dxa"/>
          </w:tcPr>
          <w:p>
            <w:pPr>
              <w:pStyle w:val="TableParagraph"/>
              <w:spacing w:before="74"/>
              <w:ind w:left="632"/>
              <w:rPr>
                <w:sz w:val="24"/>
              </w:rPr>
            </w:pPr>
            <w:r>
              <w:rPr>
                <w:sz w:val="24"/>
              </w:rPr>
              <w:t>peak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reflected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pressure</w:t>
            </w:r>
          </w:p>
        </w:tc>
      </w:tr>
      <w:tr>
        <w:trPr>
          <w:trHeight w:val="436" w:hRule="atLeast"/>
        </w:trPr>
        <w:tc>
          <w:tcPr>
            <w:tcW w:w="1363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p</w:t>
            </w:r>
            <w:r>
              <w:rPr>
                <w:i/>
                <w:sz w:val="16"/>
              </w:rPr>
              <w:t>s</w:t>
            </w:r>
          </w:p>
        </w:tc>
        <w:tc>
          <w:tcPr>
            <w:tcW w:w="7389" w:type="dxa"/>
          </w:tcPr>
          <w:p>
            <w:pPr>
              <w:pStyle w:val="TableParagraph"/>
              <w:spacing w:before="74"/>
              <w:ind w:left="632"/>
              <w:rPr>
                <w:sz w:val="24"/>
              </w:rPr>
            </w:pPr>
            <w:r>
              <w:rPr>
                <w:sz w:val="24"/>
              </w:rPr>
              <w:t>stagnation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pressure</w:t>
            </w:r>
          </w:p>
        </w:tc>
      </w:tr>
      <w:tr>
        <w:trPr>
          <w:trHeight w:val="351" w:hRule="atLeast"/>
        </w:trPr>
        <w:tc>
          <w:tcPr>
            <w:tcW w:w="1363" w:type="dxa"/>
          </w:tcPr>
          <w:p>
            <w:pPr>
              <w:pStyle w:val="TableParagraph"/>
              <w:spacing w:line="256" w:lineRule="exact" w:before="76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psi</w:t>
            </w:r>
          </w:p>
        </w:tc>
        <w:tc>
          <w:tcPr>
            <w:tcW w:w="7389" w:type="dxa"/>
          </w:tcPr>
          <w:p>
            <w:pPr>
              <w:pStyle w:val="TableParagraph"/>
              <w:spacing w:line="257" w:lineRule="exact" w:before="74"/>
              <w:ind w:left="632"/>
              <w:rPr>
                <w:sz w:val="24"/>
              </w:rPr>
            </w:pPr>
            <w:r>
              <w:rPr>
                <w:sz w:val="24"/>
              </w:rPr>
              <w:t>pound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per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square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inch</w:t>
            </w:r>
          </w:p>
        </w:tc>
      </w:tr>
    </w:tbl>
    <w:p>
      <w:pPr>
        <w:spacing w:after="0" w:line="257" w:lineRule="exact"/>
        <w:rPr>
          <w:sz w:val="24"/>
        </w:rPr>
        <w:sectPr>
          <w:pgSz w:w="12240" w:h="15840"/>
          <w:pgMar w:header="0" w:footer="984" w:top="1440" w:bottom="1180" w:left="1720" w:right="1320"/>
        </w:sectPr>
      </w:pPr>
    </w:p>
    <w:tbl>
      <w:tblPr>
        <w:tblW w:w="0" w:type="auto"/>
        <w:jc w:val="left"/>
        <w:tblInd w:w="35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6870"/>
      </w:tblGrid>
      <w:tr>
        <w:trPr>
          <w:trHeight w:val="351" w:hRule="atLeast"/>
        </w:trPr>
        <w:tc>
          <w:tcPr>
            <w:tcW w:w="1702" w:type="dxa"/>
          </w:tcPr>
          <w:p>
            <w:pPr>
              <w:pStyle w:val="TableParagraph"/>
              <w:spacing w:line="267" w:lineRule="exact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p</w:t>
            </w:r>
            <w:r>
              <w:rPr>
                <w:i/>
                <w:sz w:val="16"/>
              </w:rPr>
              <w:t>so</w:t>
            </w:r>
          </w:p>
        </w:tc>
        <w:tc>
          <w:tcPr>
            <w:tcW w:w="6870" w:type="dxa"/>
          </w:tcPr>
          <w:p>
            <w:pPr>
              <w:pStyle w:val="TableParagraph"/>
              <w:spacing w:line="266" w:lineRule="exact"/>
              <w:ind w:left="293"/>
              <w:rPr>
                <w:sz w:val="24"/>
              </w:rPr>
            </w:pPr>
            <w:r>
              <w:rPr>
                <w:sz w:val="24"/>
              </w:rPr>
              <w:t>peak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static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overpressure</w:t>
            </w:r>
          </w:p>
        </w:tc>
      </w:tr>
      <w:tr>
        <w:trPr>
          <w:trHeight w:val="436" w:hRule="atLeast"/>
        </w:trPr>
        <w:tc>
          <w:tcPr>
            <w:tcW w:w="1702" w:type="dxa"/>
          </w:tcPr>
          <w:p>
            <w:pPr>
              <w:pStyle w:val="TableParagraph"/>
              <w:spacing w:before="75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q</w:t>
            </w:r>
          </w:p>
        </w:tc>
        <w:tc>
          <w:tcPr>
            <w:tcW w:w="6870" w:type="dxa"/>
          </w:tcPr>
          <w:p>
            <w:pPr>
              <w:pStyle w:val="TableParagraph"/>
              <w:spacing w:before="74"/>
              <w:ind w:left="293"/>
              <w:rPr>
                <w:sz w:val="24"/>
              </w:rPr>
            </w:pPr>
            <w:r>
              <w:rPr>
                <w:sz w:val="24"/>
              </w:rPr>
              <w:t>dynamic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pressure</w:t>
            </w:r>
          </w:p>
        </w:tc>
      </w:tr>
      <w:tr>
        <w:trPr>
          <w:trHeight w:val="444" w:hRule="atLeast"/>
        </w:trPr>
        <w:tc>
          <w:tcPr>
            <w:tcW w:w="1702" w:type="dxa"/>
          </w:tcPr>
          <w:p>
            <w:pPr>
              <w:pStyle w:val="TableParagraph"/>
              <w:spacing w:before="76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R</w:t>
            </w:r>
          </w:p>
        </w:tc>
        <w:tc>
          <w:tcPr>
            <w:tcW w:w="6870" w:type="dxa"/>
          </w:tcPr>
          <w:p>
            <w:pPr>
              <w:pStyle w:val="TableParagraph"/>
              <w:spacing w:before="74"/>
              <w:ind w:left="293"/>
              <w:rPr>
                <w:sz w:val="24"/>
              </w:rPr>
            </w:pPr>
            <w:r>
              <w:rPr>
                <w:sz w:val="24"/>
              </w:rPr>
              <w:t>Radial</w:t>
            </w:r>
          </w:p>
        </w:tc>
      </w:tr>
      <w:tr>
        <w:trPr>
          <w:trHeight w:val="443" w:hRule="atLeast"/>
        </w:trPr>
        <w:tc>
          <w:tcPr>
            <w:tcW w:w="1702" w:type="dxa"/>
          </w:tcPr>
          <w:p>
            <w:pPr>
              <w:pStyle w:val="TableParagraph"/>
              <w:spacing w:before="67"/>
              <w:ind w:left="200"/>
              <w:rPr>
                <w:rFonts w:ascii="Calibri"/>
                <w:i/>
                <w:sz w:val="24"/>
              </w:rPr>
            </w:pPr>
            <w:r>
              <w:rPr>
                <w:rFonts w:ascii="Calibri"/>
                <w:i/>
                <w:sz w:val="24"/>
              </w:rPr>
              <w:t>R</w:t>
            </w:r>
            <w:r>
              <w:rPr>
                <w:rFonts w:ascii="Calibri"/>
                <w:i/>
                <w:sz w:val="24"/>
                <w:vertAlign w:val="subscript"/>
              </w:rPr>
              <w:t>d</w:t>
            </w:r>
          </w:p>
        </w:tc>
        <w:tc>
          <w:tcPr>
            <w:tcW w:w="6870" w:type="dxa"/>
          </w:tcPr>
          <w:p>
            <w:pPr>
              <w:pStyle w:val="TableParagraph"/>
              <w:spacing w:before="82"/>
              <w:ind w:left="293"/>
              <w:rPr>
                <w:sz w:val="24"/>
              </w:rPr>
            </w:pPr>
            <w:r>
              <w:rPr>
                <w:sz w:val="24"/>
              </w:rPr>
              <w:t>standoff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distance</w:t>
            </w:r>
          </w:p>
        </w:tc>
      </w:tr>
      <w:tr>
        <w:trPr>
          <w:trHeight w:val="436" w:hRule="atLeast"/>
        </w:trPr>
        <w:tc>
          <w:tcPr>
            <w:tcW w:w="1702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R</w:t>
            </w:r>
            <w:r>
              <w:rPr>
                <w:i/>
                <w:sz w:val="16"/>
              </w:rPr>
              <w:t>t</w:t>
            </w:r>
          </w:p>
        </w:tc>
        <w:tc>
          <w:tcPr>
            <w:tcW w:w="6870" w:type="dxa"/>
          </w:tcPr>
          <w:p>
            <w:pPr>
              <w:pStyle w:val="TableParagraph"/>
              <w:spacing w:before="74"/>
              <w:ind w:left="293"/>
              <w:rPr>
                <w:sz w:val="24"/>
              </w:rPr>
            </w:pPr>
            <w:r>
              <w:rPr>
                <w:sz w:val="24"/>
              </w:rPr>
              <w:t>resisting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stress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target</w:t>
            </w:r>
          </w:p>
        </w:tc>
      </w:tr>
      <w:tr>
        <w:trPr>
          <w:trHeight w:val="436" w:hRule="atLeast"/>
        </w:trPr>
        <w:tc>
          <w:tcPr>
            <w:tcW w:w="1702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R</w:t>
            </w:r>
            <w:r>
              <w:rPr>
                <w:i/>
                <w:sz w:val="16"/>
              </w:rPr>
              <w:t>u</w:t>
            </w:r>
          </w:p>
        </w:tc>
        <w:tc>
          <w:tcPr>
            <w:tcW w:w="6870" w:type="dxa"/>
          </w:tcPr>
          <w:p>
            <w:pPr>
              <w:pStyle w:val="TableParagraph"/>
              <w:spacing w:before="74"/>
              <w:ind w:left="293"/>
              <w:rPr>
                <w:sz w:val="24"/>
              </w:rPr>
            </w:pPr>
            <w:r>
              <w:rPr>
                <w:sz w:val="24"/>
              </w:rPr>
              <w:t>elastic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resistance</w:t>
            </w:r>
          </w:p>
        </w:tc>
      </w:tr>
      <w:tr>
        <w:trPr>
          <w:trHeight w:val="435" w:hRule="atLeast"/>
        </w:trPr>
        <w:tc>
          <w:tcPr>
            <w:tcW w:w="1702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S</w:t>
            </w:r>
            <w:r>
              <w:rPr>
                <w:i/>
                <w:sz w:val="16"/>
              </w:rPr>
              <w:t>eff</w:t>
            </w:r>
          </w:p>
        </w:tc>
        <w:tc>
          <w:tcPr>
            <w:tcW w:w="6870" w:type="dxa"/>
          </w:tcPr>
          <w:p>
            <w:pPr>
              <w:pStyle w:val="TableParagraph"/>
              <w:spacing w:before="74"/>
              <w:ind w:left="293"/>
              <w:rPr>
                <w:sz w:val="24"/>
              </w:rPr>
            </w:pPr>
            <w:r>
              <w:rPr>
                <w:sz w:val="24"/>
              </w:rPr>
              <w:t>effective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section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modulus</w:t>
            </w:r>
          </w:p>
        </w:tc>
      </w:tr>
      <w:tr>
        <w:trPr>
          <w:trHeight w:val="712" w:hRule="atLeast"/>
        </w:trPr>
        <w:tc>
          <w:tcPr>
            <w:tcW w:w="1702" w:type="dxa"/>
          </w:tcPr>
          <w:p>
            <w:pPr>
              <w:pStyle w:val="TableParagraph"/>
              <w:spacing w:before="75"/>
              <w:ind w:left="200" w:right="395"/>
              <w:rPr>
                <w:i/>
                <w:sz w:val="24"/>
              </w:rPr>
            </w:pPr>
            <w:r>
              <w:rPr>
                <w:i/>
                <w:sz w:val="24"/>
              </w:rPr>
              <w:t>Subscript 0</w:t>
            </w:r>
            <w:r>
              <w:rPr>
                <w:i/>
                <w:spacing w:val="-57"/>
                <w:sz w:val="24"/>
              </w:rPr>
              <w:t> </w:t>
            </w:r>
            <w:r>
              <w:rPr>
                <w:i/>
                <w:position w:val="1"/>
                <w:sz w:val="24"/>
              </w:rPr>
              <w:t>(ex.</w:t>
            </w:r>
            <w:r>
              <w:rPr>
                <w:i/>
                <w:spacing w:val="-1"/>
                <w:position w:val="1"/>
                <w:sz w:val="24"/>
              </w:rPr>
              <w:t> </w:t>
            </w:r>
            <w:r>
              <w:rPr>
                <w:i/>
                <w:position w:val="1"/>
                <w:sz w:val="24"/>
              </w:rPr>
              <w:t>F</w:t>
            </w:r>
            <w:r>
              <w:rPr>
                <w:i/>
                <w:sz w:val="16"/>
              </w:rPr>
              <w:t>b,0</w:t>
            </w:r>
            <w:r>
              <w:rPr>
                <w:i/>
                <w:position w:val="1"/>
                <w:sz w:val="24"/>
              </w:rPr>
              <w:t>)</w:t>
            </w:r>
          </w:p>
        </w:tc>
        <w:tc>
          <w:tcPr>
            <w:tcW w:w="6870" w:type="dxa"/>
          </w:tcPr>
          <w:p>
            <w:pPr>
              <w:pStyle w:val="TableParagraph"/>
              <w:spacing w:before="74"/>
              <w:ind w:left="293" w:right="796"/>
              <w:rPr>
                <w:sz w:val="24"/>
              </w:rPr>
            </w:pPr>
            <w:r>
              <w:rPr>
                <w:sz w:val="24"/>
              </w:rPr>
              <w:t>value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parallel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major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strength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direction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CLT, for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strength/stress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values</w:t>
            </w:r>
          </w:p>
        </w:tc>
      </w:tr>
      <w:tr>
        <w:trPr>
          <w:trHeight w:val="712" w:hRule="atLeast"/>
        </w:trPr>
        <w:tc>
          <w:tcPr>
            <w:tcW w:w="1702" w:type="dxa"/>
          </w:tcPr>
          <w:p>
            <w:pPr>
              <w:pStyle w:val="TableParagraph"/>
              <w:spacing w:before="76"/>
              <w:ind w:left="260" w:right="275" w:hanging="60"/>
              <w:rPr>
                <w:i/>
                <w:sz w:val="24"/>
              </w:rPr>
            </w:pPr>
            <w:r>
              <w:rPr>
                <w:i/>
                <w:sz w:val="24"/>
              </w:rPr>
              <w:t>Subscript 90</w:t>
            </w:r>
            <w:r>
              <w:rPr>
                <w:i/>
                <w:spacing w:val="-57"/>
                <w:sz w:val="24"/>
              </w:rPr>
              <w:t> </w:t>
            </w:r>
            <w:r>
              <w:rPr>
                <w:i/>
                <w:position w:val="1"/>
                <w:sz w:val="24"/>
              </w:rPr>
              <w:t>(ex.</w:t>
            </w:r>
            <w:r>
              <w:rPr>
                <w:i/>
                <w:spacing w:val="-1"/>
                <w:position w:val="1"/>
                <w:sz w:val="24"/>
              </w:rPr>
              <w:t> </w:t>
            </w:r>
            <w:r>
              <w:rPr>
                <w:i/>
                <w:position w:val="1"/>
                <w:sz w:val="24"/>
              </w:rPr>
              <w:t>F</w:t>
            </w:r>
            <w:r>
              <w:rPr>
                <w:i/>
                <w:sz w:val="16"/>
              </w:rPr>
              <w:t>b,90</w:t>
            </w:r>
            <w:r>
              <w:rPr>
                <w:i/>
                <w:position w:val="1"/>
                <w:sz w:val="24"/>
              </w:rPr>
              <w:t>)</w:t>
            </w:r>
          </w:p>
        </w:tc>
        <w:tc>
          <w:tcPr>
            <w:tcW w:w="6870" w:type="dxa"/>
          </w:tcPr>
          <w:p>
            <w:pPr>
              <w:pStyle w:val="TableParagraph"/>
              <w:spacing w:before="74"/>
              <w:ind w:left="293" w:right="179"/>
              <w:rPr>
                <w:sz w:val="24"/>
              </w:rPr>
            </w:pPr>
            <w:r>
              <w:rPr>
                <w:sz w:val="24"/>
              </w:rPr>
              <w:t>value for perpendicular to the major strength direction of CLT, for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strength/stress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values</w:t>
            </w:r>
          </w:p>
        </w:tc>
      </w:tr>
      <w:tr>
        <w:trPr>
          <w:trHeight w:val="435" w:hRule="atLeast"/>
        </w:trPr>
        <w:tc>
          <w:tcPr>
            <w:tcW w:w="1702" w:type="dxa"/>
          </w:tcPr>
          <w:p>
            <w:pPr>
              <w:pStyle w:val="TableParagraph"/>
              <w:spacing w:before="75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t</w:t>
            </w:r>
          </w:p>
        </w:tc>
        <w:tc>
          <w:tcPr>
            <w:tcW w:w="6870" w:type="dxa"/>
          </w:tcPr>
          <w:p>
            <w:pPr>
              <w:pStyle w:val="TableParagraph"/>
              <w:spacing w:before="74"/>
              <w:ind w:left="293"/>
              <w:rPr>
                <w:sz w:val="24"/>
              </w:rPr>
            </w:pPr>
            <w:r>
              <w:rPr>
                <w:sz w:val="24"/>
              </w:rPr>
              <w:t>time</w:t>
            </w:r>
          </w:p>
        </w:tc>
      </w:tr>
      <w:tr>
        <w:trPr>
          <w:trHeight w:val="436" w:hRule="atLeast"/>
        </w:trPr>
        <w:tc>
          <w:tcPr>
            <w:tcW w:w="1702" w:type="dxa"/>
          </w:tcPr>
          <w:p>
            <w:pPr>
              <w:pStyle w:val="TableParagraph"/>
              <w:spacing w:before="75"/>
              <w:ind w:left="200"/>
              <w:rPr>
                <w:i/>
                <w:sz w:val="24"/>
              </w:rPr>
            </w:pPr>
            <w:r>
              <w:rPr>
                <w:i/>
                <w:w w:val="99"/>
                <w:sz w:val="24"/>
              </w:rPr>
              <w:t>T</w:t>
            </w:r>
          </w:p>
        </w:tc>
        <w:tc>
          <w:tcPr>
            <w:tcW w:w="6870" w:type="dxa"/>
          </w:tcPr>
          <w:p>
            <w:pPr>
              <w:pStyle w:val="TableParagraph"/>
              <w:spacing w:before="74"/>
              <w:ind w:left="293"/>
              <w:rPr>
                <w:sz w:val="24"/>
              </w:rPr>
            </w:pPr>
            <w:r>
              <w:rPr>
                <w:sz w:val="24"/>
              </w:rPr>
              <w:t>Tangential</w:t>
            </w:r>
          </w:p>
        </w:tc>
      </w:tr>
      <w:tr>
        <w:trPr>
          <w:trHeight w:val="436" w:hRule="atLeast"/>
        </w:trPr>
        <w:tc>
          <w:tcPr>
            <w:tcW w:w="1702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t</w:t>
            </w:r>
            <w:r>
              <w:rPr>
                <w:i/>
                <w:sz w:val="16"/>
              </w:rPr>
              <w:t>arrival</w:t>
            </w:r>
          </w:p>
        </w:tc>
        <w:tc>
          <w:tcPr>
            <w:tcW w:w="6870" w:type="dxa"/>
          </w:tcPr>
          <w:p>
            <w:pPr>
              <w:pStyle w:val="TableParagraph"/>
              <w:spacing w:before="74"/>
              <w:ind w:left="293"/>
              <w:rPr>
                <w:sz w:val="24"/>
              </w:rPr>
            </w:pPr>
            <w:r>
              <w:rPr>
                <w:sz w:val="24"/>
              </w:rPr>
              <w:t>time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arrival</w:t>
            </w:r>
          </w:p>
        </w:tc>
      </w:tr>
      <w:tr>
        <w:trPr>
          <w:trHeight w:val="435" w:hRule="atLeast"/>
        </w:trPr>
        <w:tc>
          <w:tcPr>
            <w:tcW w:w="1702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t</w:t>
            </w:r>
            <w:r>
              <w:rPr>
                <w:i/>
                <w:sz w:val="16"/>
              </w:rPr>
              <w:t>c</w:t>
            </w:r>
          </w:p>
        </w:tc>
        <w:tc>
          <w:tcPr>
            <w:tcW w:w="6870" w:type="dxa"/>
          </w:tcPr>
          <w:p>
            <w:pPr>
              <w:pStyle w:val="TableParagraph"/>
              <w:spacing w:before="74"/>
              <w:ind w:left="293"/>
              <w:rPr>
                <w:sz w:val="24"/>
              </w:rPr>
            </w:pPr>
            <w:r>
              <w:rPr>
                <w:sz w:val="24"/>
              </w:rPr>
              <w:t>clearing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time</w:t>
            </w:r>
          </w:p>
        </w:tc>
      </w:tr>
      <w:tr>
        <w:trPr>
          <w:trHeight w:val="436" w:hRule="atLeast"/>
        </w:trPr>
        <w:tc>
          <w:tcPr>
            <w:tcW w:w="1702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T</w:t>
            </w:r>
            <w:r>
              <w:rPr>
                <w:i/>
                <w:sz w:val="16"/>
              </w:rPr>
              <w:t>e</w:t>
            </w:r>
          </w:p>
        </w:tc>
        <w:tc>
          <w:tcPr>
            <w:tcW w:w="6870" w:type="dxa"/>
          </w:tcPr>
          <w:p>
            <w:pPr>
              <w:pStyle w:val="TableParagraph"/>
              <w:spacing w:before="74"/>
              <w:ind w:left="293"/>
              <w:rPr>
                <w:sz w:val="24"/>
              </w:rPr>
            </w:pPr>
            <w:r>
              <w:rPr>
                <w:sz w:val="24"/>
              </w:rPr>
              <w:t>equivalent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duration</w:t>
            </w:r>
          </w:p>
        </w:tc>
      </w:tr>
      <w:tr>
        <w:trPr>
          <w:trHeight w:val="436" w:hRule="atLeast"/>
        </w:trPr>
        <w:tc>
          <w:tcPr>
            <w:tcW w:w="1702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t</w:t>
            </w:r>
            <w:r>
              <w:rPr>
                <w:i/>
                <w:sz w:val="16"/>
              </w:rPr>
              <w:t>gi</w:t>
            </w:r>
          </w:p>
        </w:tc>
        <w:tc>
          <w:tcPr>
            <w:tcW w:w="6870" w:type="dxa"/>
          </w:tcPr>
          <w:p>
            <w:pPr>
              <w:pStyle w:val="TableParagraph"/>
              <w:spacing w:before="74"/>
              <w:ind w:left="293"/>
              <w:rPr>
                <w:sz w:val="24"/>
              </w:rPr>
            </w:pPr>
            <w:r>
              <w:rPr>
                <w:sz w:val="24"/>
              </w:rPr>
              <w:t>time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char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front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reach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glue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interface</w:t>
            </w:r>
          </w:p>
        </w:tc>
      </w:tr>
      <w:tr>
        <w:trPr>
          <w:trHeight w:val="435" w:hRule="atLeast"/>
        </w:trPr>
        <w:tc>
          <w:tcPr>
            <w:tcW w:w="1702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T</w:t>
            </w:r>
            <w:r>
              <w:rPr>
                <w:i/>
                <w:sz w:val="16"/>
              </w:rPr>
              <w:t>n</w:t>
            </w:r>
          </w:p>
        </w:tc>
        <w:tc>
          <w:tcPr>
            <w:tcW w:w="6870" w:type="dxa"/>
          </w:tcPr>
          <w:p>
            <w:pPr>
              <w:pStyle w:val="TableParagraph"/>
              <w:spacing w:before="74"/>
              <w:ind w:left="293"/>
              <w:rPr>
                <w:sz w:val="24"/>
              </w:rPr>
            </w:pPr>
            <w:r>
              <w:rPr>
                <w:sz w:val="24"/>
              </w:rPr>
              <w:t>duration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negative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phase</w:t>
            </w:r>
          </w:p>
        </w:tc>
      </w:tr>
      <w:tr>
        <w:trPr>
          <w:trHeight w:val="435" w:hRule="atLeast"/>
        </w:trPr>
        <w:tc>
          <w:tcPr>
            <w:tcW w:w="1702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T</w:t>
            </w:r>
            <w:r>
              <w:rPr>
                <w:i/>
                <w:sz w:val="16"/>
              </w:rPr>
              <w:t>p</w:t>
            </w:r>
          </w:p>
        </w:tc>
        <w:tc>
          <w:tcPr>
            <w:tcW w:w="6870" w:type="dxa"/>
          </w:tcPr>
          <w:p>
            <w:pPr>
              <w:pStyle w:val="TableParagraph"/>
              <w:spacing w:before="74"/>
              <w:ind w:left="293"/>
              <w:rPr>
                <w:sz w:val="24"/>
              </w:rPr>
            </w:pPr>
            <w:r>
              <w:rPr>
                <w:sz w:val="24"/>
              </w:rPr>
              <w:t>duration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positive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phase</w:t>
            </w:r>
          </w:p>
        </w:tc>
      </w:tr>
      <w:tr>
        <w:trPr>
          <w:trHeight w:val="436" w:hRule="atLeast"/>
        </w:trPr>
        <w:tc>
          <w:tcPr>
            <w:tcW w:w="1702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t</w:t>
            </w:r>
            <w:r>
              <w:rPr>
                <w:i/>
                <w:sz w:val="16"/>
              </w:rPr>
              <w:t>so,f</w:t>
            </w:r>
          </w:p>
        </w:tc>
        <w:tc>
          <w:tcPr>
            <w:tcW w:w="6870" w:type="dxa"/>
          </w:tcPr>
          <w:p>
            <w:pPr>
              <w:pStyle w:val="TableParagraph"/>
              <w:spacing w:before="74"/>
              <w:ind w:left="293"/>
              <w:rPr>
                <w:sz w:val="24"/>
              </w:rPr>
            </w:pPr>
            <w:r>
              <w:rPr>
                <w:sz w:val="24"/>
              </w:rPr>
              <w:t>fictitious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duration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positive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phase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static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overpressure</w:t>
            </w:r>
          </w:p>
        </w:tc>
      </w:tr>
      <w:tr>
        <w:trPr>
          <w:trHeight w:val="712" w:hRule="atLeast"/>
        </w:trPr>
        <w:tc>
          <w:tcPr>
            <w:tcW w:w="1702" w:type="dxa"/>
          </w:tcPr>
          <w:p>
            <w:pPr>
              <w:pStyle w:val="TableParagraph"/>
              <w:spacing w:before="6"/>
              <w:rPr>
                <w:b/>
                <w:sz w:val="30"/>
              </w:rPr>
            </w:pPr>
          </w:p>
          <w:p>
            <w:pPr>
              <w:pStyle w:val="TableParagraph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T</w:t>
            </w:r>
            <w:r>
              <w:rPr>
                <w:i/>
                <w:sz w:val="16"/>
              </w:rPr>
              <w:t>w</w:t>
            </w:r>
          </w:p>
        </w:tc>
        <w:tc>
          <w:tcPr>
            <w:tcW w:w="6870" w:type="dxa"/>
          </w:tcPr>
          <w:p>
            <w:pPr>
              <w:pStyle w:val="TableParagraph"/>
              <w:spacing w:before="74"/>
              <w:ind w:left="293" w:right="485"/>
              <w:rPr>
                <w:sz w:val="24"/>
              </w:rPr>
            </w:pPr>
            <w:r>
              <w:rPr>
                <w:sz w:val="24"/>
              </w:rPr>
              <w:t>thickness of wood/CLT necessary to prevent perforation; depth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penetrated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by projectile</w:t>
            </w:r>
          </w:p>
        </w:tc>
      </w:tr>
      <w:tr>
        <w:trPr>
          <w:trHeight w:val="435" w:hRule="atLeast"/>
        </w:trPr>
        <w:tc>
          <w:tcPr>
            <w:tcW w:w="1702" w:type="dxa"/>
          </w:tcPr>
          <w:p>
            <w:pPr>
              <w:pStyle w:val="TableParagraph"/>
              <w:spacing w:before="75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u</w:t>
            </w:r>
          </w:p>
        </w:tc>
        <w:tc>
          <w:tcPr>
            <w:tcW w:w="6870" w:type="dxa"/>
          </w:tcPr>
          <w:p>
            <w:pPr>
              <w:pStyle w:val="TableParagraph"/>
              <w:spacing w:before="74"/>
              <w:ind w:left="293"/>
              <w:rPr>
                <w:sz w:val="24"/>
              </w:rPr>
            </w:pPr>
            <w:r>
              <w:rPr>
                <w:sz w:val="24"/>
              </w:rPr>
              <w:t>particle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velocity</w:t>
            </w:r>
          </w:p>
        </w:tc>
      </w:tr>
      <w:tr>
        <w:trPr>
          <w:trHeight w:val="436" w:hRule="atLeast"/>
        </w:trPr>
        <w:tc>
          <w:tcPr>
            <w:tcW w:w="1702" w:type="dxa"/>
          </w:tcPr>
          <w:p>
            <w:pPr>
              <w:pStyle w:val="TableParagraph"/>
              <w:spacing w:before="75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v</w:t>
            </w:r>
          </w:p>
        </w:tc>
        <w:tc>
          <w:tcPr>
            <w:tcW w:w="6870" w:type="dxa"/>
          </w:tcPr>
          <w:p>
            <w:pPr>
              <w:pStyle w:val="TableParagraph"/>
              <w:spacing w:before="74"/>
              <w:ind w:left="293"/>
              <w:rPr>
                <w:sz w:val="24"/>
              </w:rPr>
            </w:pPr>
            <w:r>
              <w:rPr>
                <w:sz w:val="24"/>
              </w:rPr>
              <w:t>velocity</w:t>
            </w:r>
          </w:p>
        </w:tc>
      </w:tr>
      <w:tr>
        <w:trPr>
          <w:trHeight w:val="436" w:hRule="atLeast"/>
        </w:trPr>
        <w:tc>
          <w:tcPr>
            <w:tcW w:w="1702" w:type="dxa"/>
          </w:tcPr>
          <w:p>
            <w:pPr>
              <w:pStyle w:val="TableParagraph"/>
              <w:spacing w:before="76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V,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Vol</w:t>
            </w:r>
          </w:p>
        </w:tc>
        <w:tc>
          <w:tcPr>
            <w:tcW w:w="6870" w:type="dxa"/>
          </w:tcPr>
          <w:p>
            <w:pPr>
              <w:pStyle w:val="TableParagraph"/>
              <w:spacing w:before="74"/>
              <w:ind w:left="293"/>
              <w:rPr>
                <w:sz w:val="24"/>
              </w:rPr>
            </w:pPr>
            <w:r>
              <w:rPr>
                <w:sz w:val="24"/>
              </w:rPr>
              <w:t>volume</w:t>
            </w:r>
          </w:p>
        </w:tc>
      </w:tr>
      <w:tr>
        <w:trPr>
          <w:trHeight w:val="435" w:hRule="atLeast"/>
        </w:trPr>
        <w:tc>
          <w:tcPr>
            <w:tcW w:w="1702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V</w:t>
            </w:r>
            <w:r>
              <w:rPr>
                <w:i/>
                <w:sz w:val="16"/>
              </w:rPr>
              <w:t>BL,</w:t>
            </w:r>
            <w:r>
              <w:rPr>
                <w:i/>
                <w:spacing w:val="-2"/>
                <w:sz w:val="16"/>
              </w:rPr>
              <w:t> </w:t>
            </w:r>
            <w:r>
              <w:rPr>
                <w:i/>
                <w:position w:val="1"/>
                <w:sz w:val="24"/>
              </w:rPr>
              <w:t>V</w:t>
            </w:r>
            <w:r>
              <w:rPr>
                <w:i/>
                <w:sz w:val="16"/>
              </w:rPr>
              <w:t>50</w:t>
            </w:r>
          </w:p>
        </w:tc>
        <w:tc>
          <w:tcPr>
            <w:tcW w:w="6870" w:type="dxa"/>
          </w:tcPr>
          <w:p>
            <w:pPr>
              <w:pStyle w:val="TableParagraph"/>
              <w:spacing w:before="74"/>
              <w:ind w:left="293"/>
              <w:rPr>
                <w:sz w:val="24"/>
              </w:rPr>
            </w:pPr>
            <w:r>
              <w:rPr>
                <w:sz w:val="24"/>
              </w:rPr>
              <w:t>ballistic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limit</w:t>
            </w:r>
          </w:p>
        </w:tc>
      </w:tr>
      <w:tr>
        <w:trPr>
          <w:trHeight w:val="436" w:hRule="atLeast"/>
        </w:trPr>
        <w:tc>
          <w:tcPr>
            <w:tcW w:w="1702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v</w:t>
            </w:r>
            <w:r>
              <w:rPr>
                <w:i/>
                <w:sz w:val="16"/>
              </w:rPr>
              <w:t>f</w:t>
            </w:r>
          </w:p>
        </w:tc>
        <w:tc>
          <w:tcPr>
            <w:tcW w:w="6870" w:type="dxa"/>
          </w:tcPr>
          <w:p>
            <w:pPr>
              <w:pStyle w:val="TableParagraph"/>
              <w:spacing w:before="74"/>
              <w:ind w:left="293"/>
              <w:rPr>
                <w:sz w:val="24"/>
              </w:rPr>
            </w:pPr>
            <w:r>
              <w:rPr>
                <w:sz w:val="24"/>
              </w:rPr>
              <w:t>final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velocity</w:t>
            </w:r>
          </w:p>
        </w:tc>
      </w:tr>
      <w:tr>
        <w:trPr>
          <w:trHeight w:val="436" w:hRule="atLeast"/>
        </w:trPr>
        <w:tc>
          <w:tcPr>
            <w:tcW w:w="1702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v</w:t>
            </w:r>
            <w:r>
              <w:rPr>
                <w:i/>
                <w:sz w:val="16"/>
              </w:rPr>
              <w:t>i</w:t>
            </w:r>
          </w:p>
        </w:tc>
        <w:tc>
          <w:tcPr>
            <w:tcW w:w="6870" w:type="dxa"/>
          </w:tcPr>
          <w:p>
            <w:pPr>
              <w:pStyle w:val="TableParagraph"/>
              <w:spacing w:before="74"/>
              <w:ind w:left="293"/>
              <w:rPr>
                <w:sz w:val="24"/>
              </w:rPr>
            </w:pPr>
            <w:r>
              <w:rPr>
                <w:sz w:val="24"/>
              </w:rPr>
              <w:t>initial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velocity</w:t>
            </w:r>
          </w:p>
        </w:tc>
      </w:tr>
      <w:tr>
        <w:trPr>
          <w:trHeight w:val="435" w:hRule="atLeast"/>
        </w:trPr>
        <w:tc>
          <w:tcPr>
            <w:tcW w:w="1702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V</w:t>
            </w:r>
            <w:r>
              <w:rPr>
                <w:i/>
                <w:sz w:val="16"/>
              </w:rPr>
              <w:t>n</w:t>
            </w:r>
          </w:p>
        </w:tc>
        <w:tc>
          <w:tcPr>
            <w:tcW w:w="6870" w:type="dxa"/>
          </w:tcPr>
          <w:p>
            <w:pPr>
              <w:pStyle w:val="TableParagraph"/>
              <w:spacing w:before="74"/>
              <w:ind w:left="293"/>
              <w:rPr>
                <w:sz w:val="24"/>
              </w:rPr>
            </w:pPr>
            <w:r>
              <w:rPr>
                <w:sz w:val="24"/>
              </w:rPr>
              <w:t>actual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shear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capacity</w:t>
            </w:r>
          </w:p>
        </w:tc>
      </w:tr>
      <w:tr>
        <w:trPr>
          <w:trHeight w:val="351" w:hRule="atLeast"/>
        </w:trPr>
        <w:tc>
          <w:tcPr>
            <w:tcW w:w="1702" w:type="dxa"/>
          </w:tcPr>
          <w:p>
            <w:pPr>
              <w:pStyle w:val="TableParagraph"/>
              <w:spacing w:line="256" w:lineRule="exact"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v</w:t>
            </w:r>
            <w:r>
              <w:rPr>
                <w:i/>
                <w:sz w:val="16"/>
              </w:rPr>
              <w:t>R</w:t>
            </w:r>
          </w:p>
        </w:tc>
        <w:tc>
          <w:tcPr>
            <w:tcW w:w="6870" w:type="dxa"/>
          </w:tcPr>
          <w:p>
            <w:pPr>
              <w:pStyle w:val="TableParagraph"/>
              <w:spacing w:line="257" w:lineRule="exact" w:before="74"/>
              <w:ind w:left="293"/>
              <w:rPr>
                <w:sz w:val="24"/>
              </w:rPr>
            </w:pPr>
            <w:r>
              <w:rPr>
                <w:sz w:val="24"/>
              </w:rPr>
              <w:t>residual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velocity</w:t>
            </w:r>
          </w:p>
        </w:tc>
      </w:tr>
    </w:tbl>
    <w:p>
      <w:pPr>
        <w:spacing w:after="0" w:line="257" w:lineRule="exact"/>
        <w:rPr>
          <w:sz w:val="24"/>
        </w:rPr>
        <w:sectPr>
          <w:pgSz w:w="12240" w:h="15840"/>
          <w:pgMar w:header="0" w:footer="984" w:top="1440" w:bottom="1180" w:left="1720" w:right="1320"/>
        </w:sectPr>
      </w:pPr>
    </w:p>
    <w:tbl>
      <w:tblPr>
        <w:tblW w:w="0" w:type="auto"/>
        <w:jc w:val="left"/>
        <w:tblInd w:w="35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97"/>
        <w:gridCol w:w="6521"/>
      </w:tblGrid>
      <w:tr>
        <w:trPr>
          <w:trHeight w:val="351" w:hRule="atLeast"/>
        </w:trPr>
        <w:tc>
          <w:tcPr>
            <w:tcW w:w="1397" w:type="dxa"/>
          </w:tcPr>
          <w:p>
            <w:pPr>
              <w:pStyle w:val="TableParagraph"/>
              <w:spacing w:line="267" w:lineRule="exact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v</w:t>
            </w:r>
            <w:r>
              <w:rPr>
                <w:i/>
                <w:sz w:val="16"/>
              </w:rPr>
              <w:t>s</w:t>
            </w:r>
          </w:p>
        </w:tc>
        <w:tc>
          <w:tcPr>
            <w:tcW w:w="6521" w:type="dxa"/>
          </w:tcPr>
          <w:p>
            <w:pPr>
              <w:pStyle w:val="TableParagraph"/>
              <w:spacing w:line="266" w:lineRule="exact"/>
              <w:ind w:left="598"/>
              <w:rPr>
                <w:sz w:val="24"/>
              </w:rPr>
            </w:pPr>
            <w:r>
              <w:rPr>
                <w:sz w:val="24"/>
              </w:rPr>
              <w:t>striking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velocity</w:t>
            </w:r>
          </w:p>
        </w:tc>
      </w:tr>
      <w:tr>
        <w:trPr>
          <w:trHeight w:val="436" w:hRule="atLeast"/>
        </w:trPr>
        <w:tc>
          <w:tcPr>
            <w:tcW w:w="1397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V</w:t>
            </w:r>
            <w:r>
              <w:rPr>
                <w:i/>
                <w:sz w:val="16"/>
              </w:rPr>
              <w:t>u</w:t>
            </w:r>
          </w:p>
        </w:tc>
        <w:tc>
          <w:tcPr>
            <w:tcW w:w="6521" w:type="dxa"/>
          </w:tcPr>
          <w:p>
            <w:pPr>
              <w:pStyle w:val="TableParagraph"/>
              <w:spacing w:before="74"/>
              <w:ind w:left="598"/>
              <w:rPr>
                <w:sz w:val="24"/>
              </w:rPr>
            </w:pPr>
            <w:r>
              <w:rPr>
                <w:sz w:val="24"/>
              </w:rPr>
              <w:t>assumed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shear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capacity</w:t>
            </w:r>
          </w:p>
        </w:tc>
      </w:tr>
      <w:tr>
        <w:trPr>
          <w:trHeight w:val="436" w:hRule="atLeast"/>
        </w:trPr>
        <w:tc>
          <w:tcPr>
            <w:tcW w:w="1397" w:type="dxa"/>
          </w:tcPr>
          <w:p>
            <w:pPr>
              <w:pStyle w:val="TableParagraph"/>
              <w:spacing w:before="76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w</w:t>
            </w:r>
          </w:p>
        </w:tc>
        <w:tc>
          <w:tcPr>
            <w:tcW w:w="6521" w:type="dxa"/>
          </w:tcPr>
          <w:p>
            <w:pPr>
              <w:pStyle w:val="TableParagraph"/>
              <w:spacing w:before="74"/>
              <w:ind w:left="598"/>
              <w:rPr>
                <w:sz w:val="24"/>
              </w:rPr>
            </w:pPr>
            <w:r>
              <w:rPr>
                <w:sz w:val="24"/>
              </w:rPr>
              <w:t>weight</w:t>
            </w:r>
          </w:p>
        </w:tc>
      </w:tr>
      <w:tr>
        <w:trPr>
          <w:trHeight w:val="443" w:hRule="atLeast"/>
        </w:trPr>
        <w:tc>
          <w:tcPr>
            <w:tcW w:w="1397" w:type="dxa"/>
          </w:tcPr>
          <w:p>
            <w:pPr>
              <w:pStyle w:val="TableParagraph"/>
              <w:spacing w:before="75"/>
              <w:ind w:left="200"/>
              <w:rPr>
                <w:i/>
                <w:sz w:val="24"/>
              </w:rPr>
            </w:pPr>
            <w:r>
              <w:rPr>
                <w:i/>
                <w:w w:val="99"/>
                <w:sz w:val="24"/>
              </w:rPr>
              <w:t>W</w:t>
            </w:r>
          </w:p>
        </w:tc>
        <w:tc>
          <w:tcPr>
            <w:tcW w:w="6521" w:type="dxa"/>
          </w:tcPr>
          <w:p>
            <w:pPr>
              <w:pStyle w:val="TableParagraph"/>
              <w:spacing w:before="74"/>
              <w:ind w:left="598"/>
              <w:rPr>
                <w:sz w:val="24"/>
              </w:rPr>
            </w:pPr>
            <w:r>
              <w:rPr>
                <w:sz w:val="24"/>
              </w:rPr>
              <w:t>work</w:t>
            </w:r>
          </w:p>
        </w:tc>
      </w:tr>
      <w:tr>
        <w:trPr>
          <w:trHeight w:val="444" w:hRule="atLeast"/>
        </w:trPr>
        <w:tc>
          <w:tcPr>
            <w:tcW w:w="1397" w:type="dxa"/>
          </w:tcPr>
          <w:p>
            <w:pPr>
              <w:pStyle w:val="TableParagraph"/>
              <w:spacing w:before="67"/>
              <w:ind w:left="200"/>
              <w:rPr>
                <w:rFonts w:ascii="Calibri"/>
                <w:i/>
                <w:sz w:val="24"/>
              </w:rPr>
            </w:pPr>
            <w:r>
              <w:rPr>
                <w:rFonts w:ascii="Calibri"/>
                <w:i/>
                <w:sz w:val="24"/>
              </w:rPr>
              <w:t>x</w:t>
            </w:r>
          </w:p>
        </w:tc>
        <w:tc>
          <w:tcPr>
            <w:tcW w:w="6521" w:type="dxa"/>
          </w:tcPr>
          <w:p>
            <w:pPr>
              <w:pStyle w:val="TableParagraph"/>
              <w:spacing w:before="82"/>
              <w:ind w:left="598"/>
              <w:rPr>
                <w:sz w:val="24"/>
              </w:rPr>
            </w:pPr>
            <w:r>
              <w:rPr>
                <w:sz w:val="24"/>
              </w:rPr>
              <w:t>displacement</w:t>
            </w:r>
          </w:p>
        </w:tc>
      </w:tr>
      <w:tr>
        <w:trPr>
          <w:trHeight w:val="445" w:hRule="atLeast"/>
        </w:trPr>
        <w:tc>
          <w:tcPr>
            <w:tcW w:w="1397" w:type="dxa"/>
          </w:tcPr>
          <w:p>
            <w:pPr>
              <w:pStyle w:val="TableParagraph"/>
              <w:spacing w:before="76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x</w:t>
            </w:r>
            <w:r>
              <w:rPr>
                <w:i/>
                <w:sz w:val="16"/>
              </w:rPr>
              <w:t>e</w:t>
            </w:r>
          </w:p>
        </w:tc>
        <w:tc>
          <w:tcPr>
            <w:tcW w:w="6521" w:type="dxa"/>
          </w:tcPr>
          <w:p>
            <w:pPr>
              <w:pStyle w:val="TableParagraph"/>
              <w:spacing w:before="75"/>
              <w:ind w:left="598"/>
              <w:rPr>
                <w:sz w:val="24"/>
              </w:rPr>
            </w:pPr>
            <w:r>
              <w:rPr>
                <w:sz w:val="24"/>
              </w:rPr>
              <w:t>displacement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panel</w:t>
            </w:r>
          </w:p>
        </w:tc>
      </w:tr>
      <w:tr>
        <w:trPr>
          <w:trHeight w:val="444" w:hRule="atLeast"/>
        </w:trPr>
        <w:tc>
          <w:tcPr>
            <w:tcW w:w="1397" w:type="dxa"/>
          </w:tcPr>
          <w:p>
            <w:pPr>
              <w:pStyle w:val="TableParagraph"/>
              <w:spacing w:before="67"/>
              <w:ind w:left="200"/>
              <w:rPr>
                <w:rFonts w:ascii="Calibri"/>
                <w:i/>
                <w:sz w:val="24"/>
              </w:rPr>
            </w:pPr>
            <w:r>
              <w:rPr>
                <w:rFonts w:ascii="Calibri"/>
                <w:i/>
                <w:sz w:val="24"/>
              </w:rPr>
              <w:t>Z</w:t>
            </w:r>
          </w:p>
        </w:tc>
        <w:tc>
          <w:tcPr>
            <w:tcW w:w="6521" w:type="dxa"/>
          </w:tcPr>
          <w:p>
            <w:pPr>
              <w:pStyle w:val="TableParagraph"/>
              <w:spacing w:before="82"/>
              <w:ind w:left="598"/>
              <w:rPr>
                <w:sz w:val="24"/>
              </w:rPr>
            </w:pPr>
            <w:r>
              <w:rPr>
                <w:sz w:val="24"/>
              </w:rPr>
              <w:t>scaled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distance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parameter</w:t>
            </w:r>
          </w:p>
        </w:tc>
      </w:tr>
      <w:tr>
        <w:trPr>
          <w:trHeight w:val="436" w:hRule="atLeast"/>
        </w:trPr>
        <w:tc>
          <w:tcPr>
            <w:tcW w:w="1397" w:type="dxa"/>
          </w:tcPr>
          <w:p>
            <w:pPr>
              <w:pStyle w:val="TableParagraph"/>
              <w:spacing w:before="76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z</w:t>
            </w:r>
            <w:r>
              <w:rPr>
                <w:i/>
                <w:sz w:val="16"/>
              </w:rPr>
              <w:t>i</w:t>
            </w:r>
          </w:p>
        </w:tc>
        <w:tc>
          <w:tcPr>
            <w:tcW w:w="6521" w:type="dxa"/>
          </w:tcPr>
          <w:p>
            <w:pPr>
              <w:pStyle w:val="TableParagraph"/>
              <w:spacing w:before="75"/>
              <w:ind w:left="598"/>
              <w:rPr>
                <w:sz w:val="24"/>
              </w:rPr>
            </w:pPr>
            <w:r>
              <w:rPr>
                <w:sz w:val="24"/>
              </w:rPr>
              <w:t>distance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between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center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point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each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layer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neutral axis</w:t>
            </w:r>
          </w:p>
        </w:tc>
      </w:tr>
      <w:tr>
        <w:trPr>
          <w:trHeight w:val="435" w:hRule="atLeast"/>
        </w:trPr>
        <w:tc>
          <w:tcPr>
            <w:tcW w:w="1397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β</w:t>
            </w:r>
            <w:r>
              <w:rPr>
                <w:i/>
                <w:sz w:val="16"/>
              </w:rPr>
              <w:t>n</w:t>
            </w:r>
          </w:p>
        </w:tc>
        <w:tc>
          <w:tcPr>
            <w:tcW w:w="6521" w:type="dxa"/>
          </w:tcPr>
          <w:p>
            <w:pPr>
              <w:pStyle w:val="TableParagraph"/>
              <w:spacing w:before="74"/>
              <w:ind w:left="598"/>
              <w:rPr>
                <w:sz w:val="24"/>
              </w:rPr>
            </w:pPr>
            <w:r>
              <w:rPr>
                <w:sz w:val="24"/>
              </w:rPr>
              <w:t>nominal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char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rate</w:t>
            </w:r>
          </w:p>
        </w:tc>
      </w:tr>
      <w:tr>
        <w:trPr>
          <w:trHeight w:val="444" w:hRule="atLeast"/>
        </w:trPr>
        <w:tc>
          <w:tcPr>
            <w:tcW w:w="1397" w:type="dxa"/>
          </w:tcPr>
          <w:p>
            <w:pPr>
              <w:pStyle w:val="TableParagraph"/>
              <w:spacing w:before="75"/>
              <w:ind w:left="200"/>
              <w:rPr>
                <w:i/>
                <w:iCs/>
                <w:sz w:val="16"/>
                <w:szCs w:val="16"/>
              </w:rPr>
            </w:pPr>
            <w:r>
              <w:rPr>
                <w:i/>
                <w:iCs/>
                <w:position w:val="1"/>
                <w:sz w:val="24"/>
                <w:szCs w:val="24"/>
              </w:rPr>
              <w:t>ϵ</w:t>
            </w:r>
            <w:r>
              <w:rPr>
                <w:i/>
                <w:iCs/>
                <w:sz w:val="16"/>
                <w:szCs w:val="16"/>
              </w:rPr>
              <w:t>d</w:t>
            </w:r>
          </w:p>
        </w:tc>
        <w:tc>
          <w:tcPr>
            <w:tcW w:w="6521" w:type="dxa"/>
          </w:tcPr>
          <w:p>
            <w:pPr>
              <w:pStyle w:val="TableParagraph"/>
              <w:spacing w:before="74"/>
              <w:ind w:left="598"/>
              <w:rPr>
                <w:sz w:val="24"/>
              </w:rPr>
            </w:pPr>
            <w:r>
              <w:rPr>
                <w:sz w:val="24"/>
              </w:rPr>
              <w:t>densification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locking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strain</w:t>
            </w:r>
          </w:p>
        </w:tc>
      </w:tr>
      <w:tr>
        <w:trPr>
          <w:trHeight w:val="443" w:hRule="atLeast"/>
        </w:trPr>
        <w:tc>
          <w:tcPr>
            <w:tcW w:w="1397" w:type="dxa"/>
          </w:tcPr>
          <w:p>
            <w:pPr>
              <w:pStyle w:val="TableParagraph"/>
              <w:spacing w:before="66"/>
              <w:ind w:left="200"/>
              <w:rPr>
                <w:rFonts w:ascii="Calibri" w:hAnsi="Calibri"/>
                <w:i/>
                <w:sz w:val="24"/>
              </w:rPr>
            </w:pPr>
            <w:r>
              <w:rPr>
                <w:rFonts w:ascii="Calibri" w:hAnsi="Calibri"/>
                <w:i/>
                <w:sz w:val="24"/>
              </w:rPr>
              <w:t>θ</w:t>
            </w:r>
          </w:p>
        </w:tc>
        <w:tc>
          <w:tcPr>
            <w:tcW w:w="6521" w:type="dxa"/>
          </w:tcPr>
          <w:p>
            <w:pPr>
              <w:pStyle w:val="TableParagraph"/>
              <w:spacing w:before="83"/>
              <w:ind w:left="598"/>
              <w:rPr>
                <w:sz w:val="24"/>
              </w:rPr>
            </w:pPr>
            <w:r>
              <w:rPr>
                <w:sz w:val="24"/>
              </w:rPr>
              <w:t>angle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obliquity</w:t>
            </w:r>
          </w:p>
        </w:tc>
      </w:tr>
      <w:tr>
        <w:trPr>
          <w:trHeight w:val="436" w:hRule="atLeast"/>
        </w:trPr>
        <w:tc>
          <w:tcPr>
            <w:tcW w:w="1397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θ</w:t>
            </w:r>
            <w:r>
              <w:rPr>
                <w:i/>
                <w:sz w:val="16"/>
              </w:rPr>
              <w:t>r</w:t>
            </w:r>
          </w:p>
        </w:tc>
        <w:tc>
          <w:tcPr>
            <w:tcW w:w="6521" w:type="dxa"/>
          </w:tcPr>
          <w:p>
            <w:pPr>
              <w:pStyle w:val="TableParagraph"/>
              <w:spacing w:before="74"/>
              <w:ind w:left="598"/>
              <w:rPr>
                <w:sz w:val="24"/>
              </w:rPr>
            </w:pPr>
            <w:r>
              <w:rPr>
                <w:sz w:val="24"/>
              </w:rPr>
              <w:t>support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rotation</w:t>
            </w:r>
          </w:p>
        </w:tc>
      </w:tr>
      <w:tr>
        <w:trPr>
          <w:trHeight w:val="436" w:hRule="atLeast"/>
        </w:trPr>
        <w:tc>
          <w:tcPr>
            <w:tcW w:w="1397" w:type="dxa"/>
          </w:tcPr>
          <w:p>
            <w:pPr>
              <w:pStyle w:val="TableParagraph"/>
              <w:spacing w:before="75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μ</w:t>
            </w:r>
          </w:p>
        </w:tc>
        <w:tc>
          <w:tcPr>
            <w:tcW w:w="6521" w:type="dxa"/>
          </w:tcPr>
          <w:p>
            <w:pPr>
              <w:pStyle w:val="TableParagraph"/>
              <w:spacing w:before="74"/>
              <w:ind w:left="598"/>
              <w:rPr>
                <w:sz w:val="24"/>
              </w:rPr>
            </w:pPr>
            <w:r>
              <w:rPr>
                <w:sz w:val="24"/>
              </w:rPr>
              <w:t>ductility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ratio</w:t>
            </w:r>
          </w:p>
        </w:tc>
      </w:tr>
      <w:tr>
        <w:trPr>
          <w:trHeight w:val="436" w:hRule="atLeast"/>
        </w:trPr>
        <w:tc>
          <w:tcPr>
            <w:tcW w:w="1397" w:type="dxa"/>
          </w:tcPr>
          <w:p>
            <w:pPr>
              <w:pStyle w:val="TableParagraph"/>
              <w:spacing w:before="76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μs</w:t>
            </w:r>
          </w:p>
        </w:tc>
        <w:tc>
          <w:tcPr>
            <w:tcW w:w="6521" w:type="dxa"/>
          </w:tcPr>
          <w:p>
            <w:pPr>
              <w:pStyle w:val="TableParagraph"/>
              <w:spacing w:before="74"/>
              <w:ind w:left="598"/>
              <w:rPr>
                <w:sz w:val="24"/>
              </w:rPr>
            </w:pPr>
            <w:r>
              <w:rPr>
                <w:sz w:val="24"/>
              </w:rPr>
              <w:t>microsecond</w:t>
            </w:r>
          </w:p>
        </w:tc>
      </w:tr>
      <w:tr>
        <w:trPr>
          <w:trHeight w:val="435" w:hRule="atLeast"/>
        </w:trPr>
        <w:tc>
          <w:tcPr>
            <w:tcW w:w="1397" w:type="dxa"/>
          </w:tcPr>
          <w:p>
            <w:pPr>
              <w:pStyle w:val="TableParagraph"/>
              <w:spacing w:before="75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ρ</w:t>
            </w:r>
          </w:p>
        </w:tc>
        <w:tc>
          <w:tcPr>
            <w:tcW w:w="6521" w:type="dxa"/>
          </w:tcPr>
          <w:p>
            <w:pPr>
              <w:pStyle w:val="TableParagraph"/>
              <w:spacing w:before="74"/>
              <w:ind w:left="598"/>
              <w:rPr>
                <w:sz w:val="24"/>
              </w:rPr>
            </w:pPr>
            <w:r>
              <w:rPr>
                <w:sz w:val="24"/>
              </w:rPr>
              <w:t>density</w:t>
            </w:r>
          </w:p>
        </w:tc>
      </w:tr>
      <w:tr>
        <w:trPr>
          <w:trHeight w:val="436" w:hRule="atLeast"/>
        </w:trPr>
        <w:tc>
          <w:tcPr>
            <w:tcW w:w="1397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σ</w:t>
            </w:r>
            <w:r>
              <w:rPr>
                <w:i/>
                <w:sz w:val="16"/>
              </w:rPr>
              <w:t>cr</w:t>
            </w:r>
          </w:p>
        </w:tc>
        <w:tc>
          <w:tcPr>
            <w:tcW w:w="6521" w:type="dxa"/>
          </w:tcPr>
          <w:p>
            <w:pPr>
              <w:pStyle w:val="TableParagraph"/>
              <w:spacing w:before="74"/>
              <w:ind w:left="598"/>
              <w:rPr>
                <w:sz w:val="24"/>
              </w:rPr>
            </w:pPr>
            <w:r>
              <w:rPr>
                <w:sz w:val="24"/>
              </w:rPr>
              <w:t>crushing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stress</w:t>
            </w:r>
          </w:p>
        </w:tc>
      </w:tr>
      <w:tr>
        <w:trPr>
          <w:trHeight w:val="436" w:hRule="atLeast"/>
        </w:trPr>
        <w:tc>
          <w:tcPr>
            <w:tcW w:w="1397" w:type="dxa"/>
          </w:tcPr>
          <w:p>
            <w:pPr>
              <w:pStyle w:val="TableParagraph"/>
              <w:spacing w:before="75"/>
              <w:ind w:left="200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σ</w:t>
            </w:r>
            <w:r>
              <w:rPr>
                <w:i/>
                <w:sz w:val="16"/>
              </w:rPr>
              <w:t>plateau</w:t>
            </w:r>
          </w:p>
        </w:tc>
        <w:tc>
          <w:tcPr>
            <w:tcW w:w="6521" w:type="dxa"/>
          </w:tcPr>
          <w:p>
            <w:pPr>
              <w:pStyle w:val="TableParagraph"/>
              <w:spacing w:before="74"/>
              <w:ind w:left="598"/>
              <w:rPr>
                <w:sz w:val="24"/>
              </w:rPr>
            </w:pPr>
            <w:r>
              <w:rPr>
                <w:sz w:val="24"/>
              </w:rPr>
              <w:t>plateau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stress</w:t>
            </w:r>
          </w:p>
        </w:tc>
      </w:tr>
      <w:tr>
        <w:trPr>
          <w:trHeight w:val="351" w:hRule="atLeast"/>
        </w:trPr>
        <w:tc>
          <w:tcPr>
            <w:tcW w:w="1397" w:type="dxa"/>
          </w:tcPr>
          <w:p>
            <w:pPr>
              <w:pStyle w:val="TableParagraph"/>
              <w:spacing w:line="256" w:lineRule="exact" w:before="75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τ</w:t>
            </w:r>
          </w:p>
        </w:tc>
        <w:tc>
          <w:tcPr>
            <w:tcW w:w="6521" w:type="dxa"/>
          </w:tcPr>
          <w:p>
            <w:pPr>
              <w:pStyle w:val="TableParagraph"/>
              <w:spacing w:line="257" w:lineRule="exact" w:before="74"/>
              <w:ind w:left="598"/>
              <w:rPr>
                <w:sz w:val="24"/>
              </w:rPr>
            </w:pPr>
            <w:r>
              <w:rPr>
                <w:sz w:val="24"/>
              </w:rPr>
              <w:t>shear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force</w:t>
            </w:r>
          </w:p>
        </w:tc>
      </w:tr>
    </w:tbl>
    <w:p>
      <w:pPr>
        <w:spacing w:after="0" w:line="257" w:lineRule="exact"/>
        <w:rPr>
          <w:sz w:val="24"/>
        </w:rPr>
        <w:sectPr>
          <w:pgSz w:w="12240" w:h="15840"/>
          <w:pgMar w:header="0" w:footer="984" w:top="1440" w:bottom="1180" w:left="1720" w:right="1320"/>
        </w:sectPr>
      </w:pPr>
    </w:p>
    <w:p>
      <w:pPr>
        <w:pStyle w:val="Heading4"/>
        <w:ind w:right="41"/>
      </w:pPr>
      <w:bookmarkStart w:name="_TOC_250072" w:id="9"/>
      <w:bookmarkStart w:name="SUMMARY" w:id="10"/>
      <w:r>
        <w:rPr>
          <w:b w:val="0"/>
        </w:rPr>
      </w:r>
      <w:bookmarkEnd w:id="9"/>
      <w:r>
        <w:rPr/>
        <w:t>SUMMARY</w:t>
      </w:r>
    </w:p>
    <w:p>
      <w:pPr>
        <w:pStyle w:val="BodyText"/>
        <w:rPr>
          <w:b/>
          <w:sz w:val="30"/>
        </w:rPr>
      </w:pPr>
    </w:p>
    <w:p>
      <w:pPr>
        <w:pStyle w:val="BodyText"/>
        <w:spacing w:before="11"/>
        <w:rPr>
          <w:b/>
          <w:sz w:val="43"/>
        </w:rPr>
      </w:pPr>
    </w:p>
    <w:p>
      <w:pPr>
        <w:pStyle w:val="BodyText"/>
        <w:spacing w:line="480" w:lineRule="auto"/>
        <w:ind w:left="440" w:right="117" w:firstLine="720"/>
        <w:jc w:val="both"/>
      </w:pPr>
      <w:r>
        <w:rPr/>
        <w:t>The</w:t>
      </w:r>
      <w:r>
        <w:rPr>
          <w:spacing w:val="1"/>
        </w:rPr>
        <w:t> </w:t>
      </w:r>
      <w:r>
        <w:rPr/>
        <w:t>design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construction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temporary</w:t>
      </w:r>
      <w:r>
        <w:rPr>
          <w:spacing w:val="1"/>
        </w:rPr>
        <w:t> </w:t>
      </w:r>
      <w:r>
        <w:rPr/>
        <w:t>military</w:t>
      </w:r>
      <w:r>
        <w:rPr>
          <w:spacing w:val="1"/>
        </w:rPr>
        <w:t> </w:t>
      </w:r>
      <w:r>
        <w:rPr/>
        <w:t>structures,</w:t>
      </w:r>
      <w:r>
        <w:rPr>
          <w:spacing w:val="1"/>
        </w:rPr>
        <w:t> </w:t>
      </w:r>
      <w:r>
        <w:rPr/>
        <w:t>built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house</w:t>
      </w:r>
      <w:r>
        <w:rPr>
          <w:spacing w:val="1"/>
        </w:rPr>
        <w:t> </w:t>
      </w:r>
      <w:r>
        <w:rPr/>
        <w:t>personnel in theater, have changed little since World War II.</w:t>
      </w:r>
      <w:r>
        <w:rPr>
          <w:spacing w:val="1"/>
        </w:rPr>
        <w:t> </w:t>
      </w:r>
      <w:r>
        <w:rPr/>
        <w:t>While lightweight, rapidly</w:t>
      </w:r>
      <w:r>
        <w:rPr>
          <w:spacing w:val="1"/>
        </w:rPr>
        <w:t> </w:t>
      </w:r>
      <w:r>
        <w:rPr/>
        <w:t>deployable,</w:t>
      </w:r>
      <w:r>
        <w:rPr>
          <w:spacing w:val="-10"/>
        </w:rPr>
        <w:t> </w:t>
      </w:r>
      <w:r>
        <w:rPr/>
        <w:t>and</w:t>
      </w:r>
      <w:r>
        <w:rPr>
          <w:spacing w:val="-7"/>
        </w:rPr>
        <w:t> </w:t>
      </w:r>
      <w:r>
        <w:rPr/>
        <w:t>quick</w:t>
      </w:r>
      <w:r>
        <w:rPr>
          <w:spacing w:val="-10"/>
        </w:rPr>
        <w:t> </w:t>
      </w:r>
      <w:r>
        <w:rPr/>
        <w:t>to</w:t>
      </w:r>
      <w:r>
        <w:rPr>
          <w:spacing w:val="-9"/>
        </w:rPr>
        <w:t> </w:t>
      </w:r>
      <w:r>
        <w:rPr/>
        <w:t>erect,</w:t>
      </w:r>
      <w:r>
        <w:rPr>
          <w:spacing w:val="-8"/>
        </w:rPr>
        <w:t> </w:t>
      </w:r>
      <w:r>
        <w:rPr/>
        <w:t>these</w:t>
      </w:r>
      <w:r>
        <w:rPr>
          <w:spacing w:val="-8"/>
        </w:rPr>
        <w:t> </w:t>
      </w:r>
      <w:r>
        <w:rPr/>
        <w:t>gage</w:t>
      </w:r>
      <w:r>
        <w:rPr>
          <w:spacing w:val="-7"/>
        </w:rPr>
        <w:t> </w:t>
      </w:r>
      <w:r>
        <w:rPr/>
        <w:t>metal</w:t>
      </w:r>
      <w:r>
        <w:rPr>
          <w:spacing w:val="-8"/>
        </w:rPr>
        <w:t> </w:t>
      </w:r>
      <w:r>
        <w:rPr/>
        <w:t>or</w:t>
      </w:r>
      <w:r>
        <w:rPr>
          <w:spacing w:val="-7"/>
        </w:rPr>
        <w:t> </w:t>
      </w:r>
      <w:r>
        <w:rPr/>
        <w:t>wood</w:t>
      </w:r>
      <w:r>
        <w:rPr>
          <w:spacing w:val="-8"/>
        </w:rPr>
        <w:t> </w:t>
      </w:r>
      <w:r>
        <w:rPr/>
        <w:t>frame</w:t>
      </w:r>
      <w:r>
        <w:rPr>
          <w:spacing w:val="-7"/>
        </w:rPr>
        <w:t> </w:t>
      </w:r>
      <w:r>
        <w:rPr/>
        <w:t>structures</w:t>
      </w:r>
      <w:r>
        <w:rPr>
          <w:spacing w:val="-9"/>
        </w:rPr>
        <w:t> </w:t>
      </w:r>
      <w:r>
        <w:rPr/>
        <w:t>provide</w:t>
      </w:r>
      <w:r>
        <w:rPr>
          <w:spacing w:val="-7"/>
        </w:rPr>
        <w:t> </w:t>
      </w:r>
      <w:r>
        <w:rPr/>
        <w:t>minimal</w:t>
      </w:r>
      <w:r>
        <w:rPr>
          <w:spacing w:val="-58"/>
        </w:rPr>
        <w:t> </w:t>
      </w:r>
      <w:r>
        <w:rPr/>
        <w:t>ballistic and blast protection for occupants.</w:t>
      </w:r>
      <w:r>
        <w:rPr>
          <w:spacing w:val="1"/>
        </w:rPr>
        <w:t> </w:t>
      </w:r>
      <w:r>
        <w:rPr/>
        <w:t>Cross-laminated timber (CLT) is a new</w:t>
      </w:r>
      <w:r>
        <w:rPr>
          <w:spacing w:val="1"/>
        </w:rPr>
        <w:t> </w:t>
      </w:r>
      <w:r>
        <w:rPr/>
        <w:t>building material gaining attention in the U.S. construction industry for its many unique</w:t>
      </w:r>
      <w:r>
        <w:rPr>
          <w:spacing w:val="1"/>
        </w:rPr>
        <w:t> </w:t>
      </w:r>
      <w:r>
        <w:rPr/>
        <w:t>characteristics.</w:t>
      </w:r>
      <w:r>
        <w:rPr>
          <w:spacing w:val="1"/>
        </w:rPr>
        <w:t> </w:t>
      </w:r>
      <w:r>
        <w:rPr/>
        <w:t>This prefabricated, engineered wood product, composed of three or more</w:t>
      </w:r>
      <w:r>
        <w:rPr>
          <w:spacing w:val="1"/>
        </w:rPr>
        <w:t> </w:t>
      </w:r>
      <w:r>
        <w:rPr/>
        <w:t>plies of 2x lumber with alternating ply directions, is strong, stiff, and has the potential to</w:t>
      </w:r>
      <w:r>
        <w:rPr>
          <w:spacing w:val="1"/>
        </w:rPr>
        <w:t> </w:t>
      </w:r>
      <w:r>
        <w:rPr/>
        <w:t>meet the requirements for temporary military structures. CLT structures can be assembled</w:t>
      </w:r>
      <w:r>
        <w:rPr>
          <w:spacing w:val="-57"/>
        </w:rPr>
        <w:t> </w:t>
      </w:r>
      <w:r>
        <w:rPr/>
        <w:t>rapidly</w:t>
      </w:r>
      <w:r>
        <w:rPr>
          <w:spacing w:val="-9"/>
        </w:rPr>
        <w:t> </w:t>
      </w:r>
      <w:r>
        <w:rPr/>
        <w:t>as</w:t>
      </w:r>
      <w:r>
        <w:rPr>
          <w:spacing w:val="-8"/>
        </w:rPr>
        <w:t> </w:t>
      </w:r>
      <w:r>
        <w:rPr/>
        <w:t>they</w:t>
      </w:r>
      <w:r>
        <w:rPr>
          <w:spacing w:val="-9"/>
        </w:rPr>
        <w:t> </w:t>
      </w:r>
      <w:r>
        <w:rPr/>
        <w:t>arrive</w:t>
      </w:r>
      <w:r>
        <w:rPr>
          <w:spacing w:val="-8"/>
        </w:rPr>
        <w:t> </w:t>
      </w:r>
      <w:r>
        <w:rPr/>
        <w:t>to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site</w:t>
      </w:r>
      <w:r>
        <w:rPr>
          <w:spacing w:val="-8"/>
        </w:rPr>
        <w:t> </w:t>
      </w:r>
      <w:r>
        <w:rPr/>
        <w:t>in</w:t>
      </w:r>
      <w:r>
        <w:rPr>
          <w:spacing w:val="-10"/>
        </w:rPr>
        <w:t> </w:t>
      </w:r>
      <w:r>
        <w:rPr/>
        <w:t>large</w:t>
      </w:r>
      <w:r>
        <w:rPr>
          <w:spacing w:val="-8"/>
        </w:rPr>
        <w:t> </w:t>
      </w:r>
      <w:r>
        <w:rPr/>
        <w:t>sections,</w:t>
      </w:r>
      <w:r>
        <w:rPr>
          <w:spacing w:val="-9"/>
        </w:rPr>
        <w:t> </w:t>
      </w:r>
      <w:r>
        <w:rPr/>
        <w:t>are</w:t>
      </w:r>
      <w:r>
        <w:rPr>
          <w:spacing w:val="-8"/>
        </w:rPr>
        <w:t> </w:t>
      </w:r>
      <w:r>
        <w:rPr/>
        <w:t>machined</w:t>
      </w:r>
      <w:r>
        <w:rPr>
          <w:spacing w:val="-9"/>
        </w:rPr>
        <w:t> </w:t>
      </w:r>
      <w:r>
        <w:rPr/>
        <w:t>in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factory</w:t>
      </w:r>
      <w:r>
        <w:rPr>
          <w:spacing w:val="-9"/>
        </w:rPr>
        <w:t> </w:t>
      </w:r>
      <w:r>
        <w:rPr/>
        <w:t>to</w:t>
      </w:r>
      <w:r>
        <w:rPr>
          <w:spacing w:val="-9"/>
        </w:rPr>
        <w:t> </w:t>
      </w:r>
      <w:r>
        <w:rPr/>
        <w:t>fit</w:t>
      </w:r>
      <w:r>
        <w:rPr>
          <w:spacing w:val="-8"/>
        </w:rPr>
        <w:t> </w:t>
      </w:r>
      <w:r>
        <w:rPr/>
        <w:t>together</w:t>
      </w:r>
      <w:r>
        <w:rPr>
          <w:spacing w:val="-58"/>
        </w:rPr>
        <w:t> </w:t>
      </w:r>
      <w:r>
        <w:rPr/>
        <w:t>and</w:t>
      </w:r>
      <w:r>
        <w:rPr>
          <w:spacing w:val="-1"/>
        </w:rPr>
        <w:t> </w:t>
      </w:r>
      <w:r>
        <w:rPr/>
        <w:t>interlock,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are</w:t>
      </w:r>
      <w:r>
        <w:rPr>
          <w:spacing w:val="-2"/>
        </w:rPr>
        <w:t> </w:t>
      </w:r>
      <w:r>
        <w:rPr/>
        <w:t>typically</w:t>
      </w:r>
      <w:r>
        <w:rPr>
          <w:spacing w:val="-1"/>
        </w:rPr>
        <w:t> </w:t>
      </w:r>
      <w:r>
        <w:rPr/>
        <w:t>fastened</w:t>
      </w:r>
      <w:r>
        <w:rPr>
          <w:spacing w:val="-1"/>
        </w:rPr>
        <w:t> </w:t>
      </w:r>
      <w:r>
        <w:rPr/>
        <w:t>with</w:t>
      </w:r>
      <w:r>
        <w:rPr>
          <w:spacing w:val="-1"/>
        </w:rPr>
        <w:t> </w:t>
      </w:r>
      <w:r>
        <w:rPr/>
        <w:t>self-tapping</w:t>
      </w:r>
      <w:r>
        <w:rPr>
          <w:spacing w:val="-1"/>
        </w:rPr>
        <w:t> </w:t>
      </w:r>
      <w:r>
        <w:rPr/>
        <w:t>screws</w:t>
      </w:r>
      <w:r>
        <w:rPr>
          <w:spacing w:val="-1"/>
        </w:rPr>
        <w:t> </w:t>
      </w:r>
      <w:r>
        <w:rPr/>
        <w:t>using</w:t>
      </w:r>
      <w:r>
        <w:rPr>
          <w:spacing w:val="-1"/>
        </w:rPr>
        <w:t> </w:t>
      </w:r>
      <w:r>
        <w:rPr/>
        <w:t>cordless</w:t>
      </w:r>
      <w:r>
        <w:rPr>
          <w:spacing w:val="-2"/>
        </w:rPr>
        <w:t> </w:t>
      </w:r>
      <w:r>
        <w:rPr/>
        <w:t>tools.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 w:before="1"/>
        <w:ind w:left="439" w:right="117" w:firstLine="720"/>
        <w:jc w:val="both"/>
      </w:pPr>
      <w:r>
        <w:rPr/>
        <w:t>Ballistic and blast resistance are key criteria for temporary military structures.</w:t>
      </w:r>
      <w:r>
        <w:rPr>
          <w:spacing w:val="1"/>
        </w:rPr>
        <w:t> </w:t>
      </w:r>
      <w:r>
        <w:rPr>
          <w:spacing w:val="-1"/>
        </w:rPr>
        <w:t>Together,</w:t>
      </w:r>
      <w:r>
        <w:rPr>
          <w:spacing w:val="-14"/>
        </w:rPr>
        <w:t> </w:t>
      </w:r>
      <w:r>
        <w:rPr>
          <w:spacing w:val="-1"/>
        </w:rPr>
        <w:t>these</w:t>
      </w:r>
      <w:r>
        <w:rPr>
          <w:spacing w:val="-13"/>
        </w:rPr>
        <w:t> </w:t>
      </w:r>
      <w:r>
        <w:rPr>
          <w:spacing w:val="-1"/>
        </w:rPr>
        <w:t>requirements</w:t>
      </w:r>
      <w:r>
        <w:rPr>
          <w:spacing w:val="-11"/>
        </w:rPr>
        <w:t> </w:t>
      </w:r>
      <w:r>
        <w:rPr/>
        <w:t>for</w:t>
      </w:r>
      <w:r>
        <w:rPr>
          <w:spacing w:val="-12"/>
        </w:rPr>
        <w:t> </w:t>
      </w:r>
      <w:r>
        <w:rPr/>
        <w:t>military</w:t>
      </w:r>
      <w:r>
        <w:rPr>
          <w:spacing w:val="-12"/>
        </w:rPr>
        <w:t> </w:t>
      </w:r>
      <w:r>
        <w:rPr/>
        <w:t>structures</w:t>
      </w:r>
      <w:r>
        <w:rPr>
          <w:spacing w:val="-11"/>
        </w:rPr>
        <w:t> </w:t>
      </w:r>
      <w:r>
        <w:rPr/>
        <w:t>are</w:t>
      </w:r>
      <w:r>
        <w:rPr>
          <w:spacing w:val="-12"/>
        </w:rPr>
        <w:t> </w:t>
      </w:r>
      <w:r>
        <w:rPr/>
        <w:t>known</w:t>
      </w:r>
      <w:r>
        <w:rPr>
          <w:spacing w:val="-13"/>
        </w:rPr>
        <w:t> </w:t>
      </w:r>
      <w:r>
        <w:rPr/>
        <w:t>as</w:t>
      </w:r>
      <w:r>
        <w:rPr>
          <w:spacing w:val="-12"/>
        </w:rPr>
        <w:t> </w:t>
      </w:r>
      <w:r>
        <w:rPr/>
        <w:t>force</w:t>
      </w:r>
      <w:r>
        <w:rPr>
          <w:spacing w:val="-12"/>
        </w:rPr>
        <w:t> </w:t>
      </w:r>
      <w:r>
        <w:rPr/>
        <w:t>protection.</w:t>
      </w:r>
      <w:r>
        <w:rPr>
          <w:spacing w:val="35"/>
        </w:rPr>
        <w:t> </w:t>
      </w:r>
      <w:r>
        <w:rPr/>
        <w:t>In</w:t>
      </w:r>
      <w:r>
        <w:rPr>
          <w:spacing w:val="-12"/>
        </w:rPr>
        <w:t> </w:t>
      </w:r>
      <w:r>
        <w:rPr/>
        <w:t>order</w:t>
      </w:r>
      <w:r>
        <w:rPr>
          <w:spacing w:val="-58"/>
        </w:rPr>
        <w:t> </w:t>
      </w:r>
      <w:r>
        <w:rPr/>
        <w:t>to expand its use into temporary military structures, a better understanding of the force</w:t>
      </w:r>
      <w:r>
        <w:rPr>
          <w:spacing w:val="1"/>
        </w:rPr>
        <w:t> </w:t>
      </w:r>
      <w:r>
        <w:rPr/>
        <w:t>protection performance of CLT is needed.</w:t>
      </w:r>
      <w:r>
        <w:rPr>
          <w:spacing w:val="1"/>
        </w:rPr>
        <w:t> </w:t>
      </w:r>
      <w:r>
        <w:rPr/>
        <w:t>In the past, typical wood products such as</w:t>
      </w:r>
      <w:r>
        <w:rPr>
          <w:spacing w:val="1"/>
        </w:rPr>
        <w:t> </w:t>
      </w:r>
      <w:r>
        <w:rPr/>
        <w:t>dimension lumber have not been desirable as a protective material due to overall poor</w:t>
      </w:r>
      <w:r>
        <w:rPr>
          <w:spacing w:val="1"/>
        </w:rPr>
        <w:t> </w:t>
      </w:r>
      <w:r>
        <w:rPr/>
        <w:t>performance.</w:t>
      </w:r>
      <w:r>
        <w:rPr>
          <w:spacing w:val="1"/>
        </w:rPr>
        <w:t> </w:t>
      </w:r>
      <w:r>
        <w:rPr/>
        <w:t>However, the composite nature of CLT coupled with the energy absorbing</w:t>
      </w:r>
      <w:r>
        <w:rPr>
          <w:spacing w:val="1"/>
        </w:rPr>
        <w:t> </w:t>
      </w:r>
      <w:r>
        <w:rPr/>
        <w:t>capacity of the thicker wood panels have warranted further investigation into the viability</w:t>
      </w:r>
      <w:r>
        <w:rPr>
          <w:spacing w:val="-57"/>
        </w:rPr>
        <w:t> </w:t>
      </w:r>
      <w:r>
        <w:rPr/>
        <w:t>of</w:t>
      </w:r>
      <w:r>
        <w:rPr>
          <w:spacing w:val="-2"/>
        </w:rPr>
        <w:t> </w:t>
      </w:r>
      <w:r>
        <w:rPr/>
        <w:t>CLT for temporary</w:t>
      </w:r>
      <w:r>
        <w:rPr>
          <w:spacing w:val="1"/>
        </w:rPr>
        <w:t> </w:t>
      </w:r>
      <w:r>
        <w:rPr/>
        <w:t>military</w:t>
      </w:r>
      <w:r>
        <w:rPr>
          <w:spacing w:val="-2"/>
        </w:rPr>
        <w:t> </w:t>
      </w:r>
      <w:r>
        <w:rPr/>
        <w:t>structures.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/>
        <w:ind w:left="439" w:right="119" w:firstLine="720"/>
        <w:jc w:val="both"/>
      </w:pPr>
      <w:r>
        <w:rPr/>
        <w:t>The</w:t>
      </w:r>
      <w:r>
        <w:rPr>
          <w:spacing w:val="-14"/>
        </w:rPr>
        <w:t> </w:t>
      </w:r>
      <w:r>
        <w:rPr/>
        <w:t>mechanical</w:t>
      </w:r>
      <w:r>
        <w:rPr>
          <w:spacing w:val="-13"/>
        </w:rPr>
        <w:t> </w:t>
      </w:r>
      <w:r>
        <w:rPr/>
        <w:t>properties</w:t>
      </w:r>
      <w:r>
        <w:rPr>
          <w:spacing w:val="-13"/>
        </w:rPr>
        <w:t> </w:t>
      </w:r>
      <w:r>
        <w:rPr/>
        <w:t>of</w:t>
      </w:r>
      <w:r>
        <w:rPr>
          <w:spacing w:val="-15"/>
        </w:rPr>
        <w:t> </w:t>
      </w:r>
      <w:r>
        <w:rPr/>
        <w:t>wood</w:t>
      </w:r>
      <w:r>
        <w:rPr>
          <w:spacing w:val="-13"/>
        </w:rPr>
        <w:t> </w:t>
      </w:r>
      <w:r>
        <w:rPr/>
        <w:t>influence</w:t>
      </w:r>
      <w:r>
        <w:rPr>
          <w:spacing w:val="-13"/>
        </w:rPr>
        <w:t> </w:t>
      </w:r>
      <w:r>
        <w:rPr/>
        <w:t>the</w:t>
      </w:r>
      <w:r>
        <w:rPr>
          <w:spacing w:val="-15"/>
        </w:rPr>
        <w:t> </w:t>
      </w:r>
      <w:r>
        <w:rPr/>
        <w:t>overall</w:t>
      </w:r>
      <w:r>
        <w:rPr>
          <w:spacing w:val="-13"/>
        </w:rPr>
        <w:t> </w:t>
      </w:r>
      <w:r>
        <w:rPr/>
        <w:t>response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CLT</w:t>
      </w:r>
      <w:r>
        <w:rPr>
          <w:spacing w:val="-14"/>
        </w:rPr>
        <w:t> </w:t>
      </w:r>
      <w:r>
        <w:rPr/>
        <w:t>to</w:t>
      </w:r>
      <w:r>
        <w:rPr>
          <w:spacing w:val="-13"/>
        </w:rPr>
        <w:t> </w:t>
      </w:r>
      <w:r>
        <w:rPr/>
        <w:t>impact</w:t>
      </w:r>
      <w:r>
        <w:rPr>
          <w:spacing w:val="-58"/>
        </w:rPr>
        <w:t> </w:t>
      </w:r>
      <w:r>
        <w:rPr/>
        <w:t>loads</w:t>
      </w:r>
      <w:r>
        <w:rPr>
          <w:spacing w:val="58"/>
        </w:rPr>
        <w:t> </w:t>
      </w:r>
      <w:r>
        <w:rPr/>
        <w:t>like</w:t>
      </w:r>
      <w:r>
        <w:rPr>
          <w:spacing w:val="58"/>
        </w:rPr>
        <w:t> </w:t>
      </w:r>
      <w:r>
        <w:rPr/>
        <w:t>those</w:t>
      </w:r>
      <w:r>
        <w:rPr>
          <w:spacing w:val="59"/>
        </w:rPr>
        <w:t> </w:t>
      </w:r>
      <w:r>
        <w:rPr/>
        <w:t>experienced</w:t>
      </w:r>
      <w:r>
        <w:rPr>
          <w:spacing w:val="58"/>
        </w:rPr>
        <w:t> </w:t>
      </w:r>
      <w:r>
        <w:rPr/>
        <w:t>in</w:t>
      </w:r>
      <w:r>
        <w:rPr>
          <w:spacing w:val="58"/>
        </w:rPr>
        <w:t> </w:t>
      </w:r>
      <w:r>
        <w:rPr/>
        <w:t>a</w:t>
      </w:r>
      <w:r>
        <w:rPr>
          <w:spacing w:val="58"/>
        </w:rPr>
        <w:t> </w:t>
      </w:r>
      <w:r>
        <w:rPr/>
        <w:t>blast</w:t>
      </w:r>
      <w:r>
        <w:rPr>
          <w:spacing w:val="58"/>
        </w:rPr>
        <w:t> </w:t>
      </w:r>
      <w:r>
        <w:rPr/>
        <w:t>or</w:t>
      </w:r>
      <w:r>
        <w:rPr>
          <w:spacing w:val="59"/>
        </w:rPr>
        <w:t> </w:t>
      </w:r>
      <w:r>
        <w:rPr/>
        <w:t>ballistic</w:t>
      </w:r>
      <w:r>
        <w:rPr>
          <w:spacing w:val="58"/>
        </w:rPr>
        <w:t> </w:t>
      </w:r>
      <w:r>
        <w:rPr/>
        <w:t>event.</w:t>
      </w:r>
      <w:r>
        <w:rPr>
          <w:spacing w:val="57"/>
        </w:rPr>
        <w:t> </w:t>
      </w:r>
      <w:r>
        <w:rPr/>
        <w:t>Mechanical</w:t>
      </w:r>
      <w:r>
        <w:rPr>
          <w:spacing w:val="58"/>
        </w:rPr>
        <w:t> </w:t>
      </w:r>
      <w:r>
        <w:rPr/>
        <w:t>and</w:t>
      </w:r>
      <w:r>
        <w:rPr>
          <w:spacing w:val="59"/>
        </w:rPr>
        <w:t> </w:t>
      </w:r>
      <w:r>
        <w:rPr/>
        <w:t>physical</w:t>
      </w:r>
    </w:p>
    <w:p>
      <w:pPr>
        <w:spacing w:after="0" w:line="480" w:lineRule="auto"/>
        <w:jc w:val="both"/>
        <w:sectPr>
          <w:pgSz w:w="12240" w:h="15840"/>
          <w:pgMar w:header="0" w:footer="984" w:top="1380" w:bottom="1180" w:left="1720" w:right="1320"/>
        </w:sectPr>
      </w:pPr>
    </w:p>
    <w:p>
      <w:pPr>
        <w:pStyle w:val="BodyText"/>
        <w:spacing w:line="480" w:lineRule="auto" w:before="78"/>
        <w:ind w:left="439" w:right="116"/>
        <w:jc w:val="both"/>
      </w:pPr>
      <w:r>
        <w:rPr/>
        <w:t>properties</w:t>
      </w:r>
      <w:r>
        <w:rPr>
          <w:spacing w:val="-5"/>
        </w:rPr>
        <w:t> </w:t>
      </w:r>
      <w:r>
        <w:rPr/>
        <w:t>such</w:t>
      </w:r>
      <w:r>
        <w:rPr>
          <w:spacing w:val="-5"/>
        </w:rPr>
        <w:t> </w:t>
      </w:r>
      <w:r>
        <w:rPr/>
        <w:t>as</w:t>
      </w:r>
      <w:r>
        <w:rPr>
          <w:spacing w:val="-5"/>
        </w:rPr>
        <w:t> </w:t>
      </w:r>
      <w:r>
        <w:rPr/>
        <w:t>hardness,</w:t>
      </w:r>
      <w:r>
        <w:rPr>
          <w:spacing w:val="-5"/>
        </w:rPr>
        <w:t> </w:t>
      </w:r>
      <w:r>
        <w:rPr/>
        <w:t>density,</w:t>
      </w:r>
      <w:r>
        <w:rPr>
          <w:spacing w:val="-6"/>
        </w:rPr>
        <w:t> </w:t>
      </w:r>
      <w:r>
        <w:rPr/>
        <w:t>and</w:t>
      </w:r>
      <w:r>
        <w:rPr>
          <w:spacing w:val="-5"/>
        </w:rPr>
        <w:t> </w:t>
      </w:r>
      <w:r>
        <w:rPr/>
        <w:t>shear</w:t>
      </w:r>
      <w:r>
        <w:rPr>
          <w:spacing w:val="-5"/>
        </w:rPr>
        <w:t> </w:t>
      </w:r>
      <w:r>
        <w:rPr/>
        <w:t>strength</w:t>
      </w:r>
      <w:r>
        <w:rPr>
          <w:spacing w:val="-5"/>
        </w:rPr>
        <w:t> </w:t>
      </w:r>
      <w:r>
        <w:rPr/>
        <w:t>all</w:t>
      </w:r>
      <w:r>
        <w:rPr>
          <w:spacing w:val="-5"/>
        </w:rPr>
        <w:t> </w:t>
      </w:r>
      <w:r>
        <w:rPr/>
        <w:t>aid</w:t>
      </w:r>
      <w:r>
        <w:rPr>
          <w:spacing w:val="-6"/>
        </w:rPr>
        <w:t> </w:t>
      </w:r>
      <w:r>
        <w:rPr/>
        <w:t>in</w:t>
      </w:r>
      <w:r>
        <w:rPr>
          <w:spacing w:val="-5"/>
        </w:rPr>
        <w:t> </w:t>
      </w:r>
      <w:r>
        <w:rPr/>
        <w:t>determining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expected</w:t>
      </w:r>
      <w:r>
        <w:rPr>
          <w:spacing w:val="-58"/>
        </w:rPr>
        <w:t> </w:t>
      </w:r>
      <w:r>
        <w:rPr/>
        <w:t>response of the CLT panel and were evaluated for two types of CLT.</w:t>
      </w:r>
      <w:r>
        <w:rPr>
          <w:spacing w:val="1"/>
        </w:rPr>
        <w:t> </w:t>
      </w:r>
      <w:r>
        <w:rPr/>
        <w:t>Specimens in this</w:t>
      </w:r>
      <w:r>
        <w:rPr>
          <w:spacing w:val="1"/>
        </w:rPr>
        <w:t> </w:t>
      </w:r>
      <w:r>
        <w:rPr/>
        <w:t>research</w:t>
      </w:r>
      <w:r>
        <w:rPr>
          <w:spacing w:val="1"/>
        </w:rPr>
        <w:t> </w:t>
      </w:r>
      <w:r>
        <w:rPr/>
        <w:t>included</w:t>
      </w:r>
      <w:r>
        <w:rPr>
          <w:spacing w:val="1"/>
        </w:rPr>
        <w:t> </w:t>
      </w:r>
      <w:r>
        <w:rPr/>
        <w:t>commercially</w:t>
      </w:r>
      <w:r>
        <w:rPr>
          <w:spacing w:val="1"/>
        </w:rPr>
        <w:t> </w:t>
      </w:r>
      <w:r>
        <w:rPr/>
        <w:t>produced</w:t>
      </w:r>
      <w:r>
        <w:rPr>
          <w:spacing w:val="1"/>
        </w:rPr>
        <w:t> </w:t>
      </w:r>
      <w:r>
        <w:rPr/>
        <w:t>Spruce-Pine-Fir</w:t>
      </w:r>
      <w:r>
        <w:rPr>
          <w:spacing w:val="1"/>
        </w:rPr>
        <w:t> </w:t>
      </w:r>
      <w:r>
        <w:rPr/>
        <w:t>(South)</w:t>
      </w:r>
      <w:r>
        <w:rPr>
          <w:spacing w:val="1"/>
        </w:rPr>
        <w:t> </w:t>
      </w:r>
      <w:r>
        <w:rPr/>
        <w:t>CLT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well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Southern Pine CLT specimens fabricated as part of this research program.</w:t>
      </w:r>
      <w:r>
        <w:rPr>
          <w:spacing w:val="1"/>
        </w:rPr>
        <w:t> </w:t>
      </w:r>
      <w:r>
        <w:rPr/>
        <w:t>Use of CLT in</w:t>
      </w:r>
      <w:r>
        <w:rPr>
          <w:spacing w:val="-57"/>
        </w:rPr>
        <w:t> </w:t>
      </w:r>
      <w:r>
        <w:rPr/>
        <w:t>temporary military structures would require a broad market availability of CLT – so the</w:t>
      </w:r>
      <w:r>
        <w:rPr>
          <w:spacing w:val="1"/>
        </w:rPr>
        <w:t> </w:t>
      </w:r>
      <w:r>
        <w:rPr/>
        <w:t>work focused on the two</w:t>
      </w:r>
      <w:r>
        <w:rPr>
          <w:spacing w:val="1"/>
        </w:rPr>
        <w:t> </w:t>
      </w:r>
      <w:r>
        <w:rPr/>
        <w:t>most common species available from Western U.S. forest</w:t>
      </w:r>
      <w:r>
        <w:rPr>
          <w:spacing w:val="1"/>
        </w:rPr>
        <w:t> </w:t>
      </w:r>
      <w:r>
        <w:rPr/>
        <w:t>(Spruce-Pine-Fir</w:t>
      </w:r>
      <w:r>
        <w:rPr>
          <w:spacing w:val="-1"/>
        </w:rPr>
        <w:t> </w:t>
      </w:r>
      <w:r>
        <w:rPr/>
        <w:t>South)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Eastern</w:t>
      </w:r>
      <w:r>
        <w:rPr>
          <w:spacing w:val="-2"/>
        </w:rPr>
        <w:t> </w:t>
      </w:r>
      <w:r>
        <w:rPr/>
        <w:t>U.S. forests</w:t>
      </w:r>
      <w:r>
        <w:rPr>
          <w:spacing w:val="-1"/>
        </w:rPr>
        <w:t> </w:t>
      </w:r>
      <w:r>
        <w:rPr/>
        <w:t>(Southern Pine).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/>
        <w:ind w:left="439" w:right="116" w:firstLine="720"/>
        <w:jc w:val="both"/>
      </w:pPr>
      <w:r>
        <w:rPr/>
        <w:t>Ballistic</w:t>
      </w:r>
      <w:r>
        <w:rPr>
          <w:spacing w:val="1"/>
        </w:rPr>
        <w:t> </w:t>
      </w:r>
      <w:r>
        <w:rPr/>
        <w:t>testing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both</w:t>
      </w:r>
      <w:r>
        <w:rPr>
          <w:spacing w:val="1"/>
        </w:rPr>
        <w:t> </w:t>
      </w:r>
      <w:r>
        <w:rPr/>
        <w:t>types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CLT</w:t>
      </w:r>
      <w:r>
        <w:rPr>
          <w:spacing w:val="1"/>
        </w:rPr>
        <w:t> </w:t>
      </w:r>
      <w:r>
        <w:rPr/>
        <w:t>indicate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material’s</w:t>
      </w:r>
      <w:r>
        <w:rPr>
          <w:spacing w:val="1"/>
        </w:rPr>
        <w:t> </w:t>
      </w:r>
      <w:r>
        <w:rPr/>
        <w:t>inherent</w:t>
      </w:r>
      <w:r>
        <w:rPr>
          <w:spacing w:val="1"/>
        </w:rPr>
        <w:t> </w:t>
      </w:r>
      <w:r>
        <w:rPr/>
        <w:t>penetration resistance is significantly greater than that of dimension lumber and plywood</w:t>
      </w:r>
      <w:r>
        <w:rPr>
          <w:spacing w:val="1"/>
        </w:rPr>
        <w:t> </w:t>
      </w:r>
      <w:r>
        <w:rPr/>
        <w:t>used in current common temporary military structures.</w:t>
      </w:r>
      <w:r>
        <w:rPr>
          <w:spacing w:val="1"/>
        </w:rPr>
        <w:t> </w:t>
      </w:r>
      <w:r>
        <w:rPr/>
        <w:t>By conducting the first ballistic</w:t>
      </w:r>
      <w:r>
        <w:rPr>
          <w:spacing w:val="1"/>
        </w:rPr>
        <w:t> </w:t>
      </w:r>
      <w:r>
        <w:rPr>
          <w:spacing w:val="-1"/>
        </w:rPr>
        <w:t>tests</w:t>
      </w:r>
      <w:r>
        <w:rPr>
          <w:spacing w:val="-14"/>
        </w:rPr>
        <w:t> </w:t>
      </w:r>
      <w:r>
        <w:rPr/>
        <w:t>on</w:t>
      </w:r>
      <w:r>
        <w:rPr>
          <w:spacing w:val="-15"/>
        </w:rPr>
        <w:t> </w:t>
      </w:r>
      <w:r>
        <w:rPr/>
        <w:t>CLT,</w:t>
      </w:r>
      <w:r>
        <w:rPr>
          <w:spacing w:val="-15"/>
        </w:rPr>
        <w:t> </w:t>
      </w:r>
      <w:r>
        <w:rPr/>
        <w:t>the</w:t>
      </w:r>
      <w:r>
        <w:rPr>
          <w:spacing w:val="-14"/>
        </w:rPr>
        <w:t> </w:t>
      </w:r>
      <w:r>
        <w:rPr/>
        <w:t>relationship</w:t>
      </w:r>
      <w:r>
        <w:rPr>
          <w:spacing w:val="-15"/>
        </w:rPr>
        <w:t> </w:t>
      </w:r>
      <w:r>
        <w:rPr/>
        <w:t>between</w:t>
      </w:r>
      <w:r>
        <w:rPr>
          <w:spacing w:val="-15"/>
        </w:rPr>
        <w:t> </w:t>
      </w:r>
      <w:r>
        <w:rPr/>
        <w:t>striking</w:t>
      </w:r>
      <w:r>
        <w:rPr>
          <w:spacing w:val="-15"/>
        </w:rPr>
        <w:t> </w:t>
      </w:r>
      <w:r>
        <w:rPr/>
        <w:t>velocity</w:t>
      </w:r>
      <w:r>
        <w:rPr>
          <w:spacing w:val="-15"/>
        </w:rPr>
        <w:t> </w:t>
      </w:r>
      <w:r>
        <w:rPr/>
        <w:t>and</w:t>
      </w:r>
      <w:r>
        <w:rPr>
          <w:spacing w:val="-15"/>
        </w:rPr>
        <w:t> </w:t>
      </w:r>
      <w:r>
        <w:rPr/>
        <w:t>depth</w:t>
      </w:r>
      <w:r>
        <w:rPr>
          <w:spacing w:val="-15"/>
        </w:rPr>
        <w:t> </w:t>
      </w:r>
      <w:r>
        <w:rPr/>
        <w:t>of</w:t>
      </w:r>
      <w:r>
        <w:rPr>
          <w:spacing w:val="-15"/>
        </w:rPr>
        <w:t> </w:t>
      </w:r>
      <w:r>
        <w:rPr/>
        <w:t>penetration</w:t>
      </w:r>
      <w:r>
        <w:rPr>
          <w:spacing w:val="-15"/>
        </w:rPr>
        <w:t> </w:t>
      </w:r>
      <w:r>
        <w:rPr/>
        <w:t>or</w:t>
      </w:r>
      <w:r>
        <w:rPr>
          <w:spacing w:val="-15"/>
        </w:rPr>
        <w:t> </w:t>
      </w:r>
      <w:r>
        <w:rPr/>
        <w:t>residual</w:t>
      </w:r>
      <w:r>
        <w:rPr>
          <w:spacing w:val="-58"/>
        </w:rPr>
        <w:t> </w:t>
      </w:r>
      <w:r>
        <w:rPr/>
        <w:t>velocity has been established.</w:t>
      </w:r>
      <w:r>
        <w:rPr>
          <w:spacing w:val="1"/>
        </w:rPr>
        <w:t> </w:t>
      </w:r>
      <w:r>
        <w:rPr/>
        <w:t>The study of penetration mechanics is complex with many</w:t>
      </w:r>
      <w:r>
        <w:rPr>
          <w:spacing w:val="1"/>
        </w:rPr>
        <w:t> </w:t>
      </w:r>
      <w:r>
        <w:rPr/>
        <w:t>influencing variables describing both the projectile and the target.</w:t>
      </w:r>
      <w:r>
        <w:rPr>
          <w:spacing w:val="1"/>
        </w:rPr>
        <w:t> </w:t>
      </w:r>
      <w:r>
        <w:rPr/>
        <w:t>A quantitative analysis</w:t>
      </w:r>
      <w:r>
        <w:rPr>
          <w:spacing w:val="-57"/>
        </w:rPr>
        <w:t> </w:t>
      </w:r>
      <w:r>
        <w:rPr/>
        <w:t>of the data collected allowed for the calibration of classical penetration models and the</w:t>
      </w:r>
      <w:r>
        <w:rPr>
          <w:spacing w:val="1"/>
        </w:rPr>
        <w:t> </w:t>
      </w:r>
      <w:r>
        <w:rPr/>
        <w:t>parameter estimation to help predict the thickness of CLT required to prevent penetration.</w:t>
      </w:r>
      <w:r>
        <w:rPr>
          <w:spacing w:val="-57"/>
        </w:rPr>
        <w:t> </w:t>
      </w:r>
      <w:r>
        <w:rPr/>
        <w:t>The</w:t>
      </w:r>
      <w:r>
        <w:rPr>
          <w:spacing w:val="-9"/>
        </w:rPr>
        <w:t> </w:t>
      </w:r>
      <w:r>
        <w:rPr/>
        <w:t>research</w:t>
      </w:r>
      <w:r>
        <w:rPr>
          <w:spacing w:val="-10"/>
        </w:rPr>
        <w:t> </w:t>
      </w:r>
      <w:r>
        <w:rPr/>
        <w:t>examined</w:t>
      </w:r>
      <w:r>
        <w:rPr>
          <w:spacing w:val="-9"/>
        </w:rPr>
        <w:t> </w:t>
      </w:r>
      <w:r>
        <w:rPr/>
        <w:t>existing</w:t>
      </w:r>
      <w:r>
        <w:rPr>
          <w:spacing w:val="-10"/>
        </w:rPr>
        <w:t> </w:t>
      </w:r>
      <w:r>
        <w:rPr/>
        <w:t>equations</w:t>
      </w:r>
      <w:r>
        <w:rPr>
          <w:spacing w:val="-8"/>
        </w:rPr>
        <w:t> </w:t>
      </w:r>
      <w:r>
        <w:rPr/>
        <w:t>found</w:t>
      </w:r>
      <w:r>
        <w:rPr>
          <w:spacing w:val="-9"/>
        </w:rPr>
        <w:t> </w:t>
      </w:r>
      <w:r>
        <w:rPr/>
        <w:t>in</w:t>
      </w:r>
      <w:r>
        <w:rPr>
          <w:spacing w:val="-10"/>
        </w:rPr>
        <w:t> </w:t>
      </w:r>
      <w:r>
        <w:rPr>
          <w:i/>
        </w:rPr>
        <w:t>UFC</w:t>
      </w:r>
      <w:r>
        <w:rPr>
          <w:i/>
          <w:spacing w:val="-9"/>
        </w:rPr>
        <w:t> </w:t>
      </w:r>
      <w:r>
        <w:rPr>
          <w:i/>
        </w:rPr>
        <w:t>4-023-07,</w:t>
      </w:r>
      <w:r>
        <w:rPr>
          <w:i/>
          <w:spacing w:val="-9"/>
        </w:rPr>
        <w:t> </w:t>
      </w:r>
      <w:r>
        <w:rPr>
          <w:i/>
        </w:rPr>
        <w:t>Design</w:t>
      </w:r>
      <w:r>
        <w:rPr>
          <w:i/>
          <w:spacing w:val="-9"/>
        </w:rPr>
        <w:t> </w:t>
      </w:r>
      <w:r>
        <w:rPr>
          <w:i/>
        </w:rPr>
        <w:t>to</w:t>
      </w:r>
      <w:r>
        <w:rPr>
          <w:i/>
          <w:spacing w:val="-9"/>
        </w:rPr>
        <w:t> </w:t>
      </w:r>
      <w:r>
        <w:rPr>
          <w:i/>
        </w:rPr>
        <w:t>Resist</w:t>
      </w:r>
      <w:r>
        <w:rPr>
          <w:i/>
          <w:spacing w:val="-8"/>
        </w:rPr>
        <w:t> </w:t>
      </w:r>
      <w:r>
        <w:rPr>
          <w:i/>
        </w:rPr>
        <w:t>Direct</w:t>
      </w:r>
      <w:r>
        <w:rPr>
          <w:i/>
          <w:spacing w:val="-58"/>
        </w:rPr>
        <w:t> </w:t>
      </w:r>
      <w:r>
        <w:rPr>
          <w:i/>
        </w:rPr>
        <w:t>Fire</w:t>
      </w:r>
      <w:r>
        <w:rPr>
          <w:i/>
          <w:spacing w:val="1"/>
        </w:rPr>
        <w:t> </w:t>
      </w:r>
      <w:r>
        <w:rPr>
          <w:i/>
        </w:rPr>
        <w:t>Weapons</w:t>
      </w:r>
      <w:r>
        <w:rPr>
          <w:i/>
          <w:spacing w:val="1"/>
        </w:rPr>
        <w:t> </w:t>
      </w:r>
      <w:r>
        <w:rPr>
          <w:i/>
        </w:rPr>
        <w:t>Effects</w:t>
      </w:r>
      <w:r>
        <w:rPr>
          <w:i/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found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equations</w:t>
      </w:r>
      <w:r>
        <w:rPr>
          <w:spacing w:val="1"/>
        </w:rPr>
        <w:t> </w:t>
      </w:r>
      <w:r>
        <w:rPr/>
        <w:t>dramatically</w:t>
      </w:r>
      <w:r>
        <w:rPr>
          <w:spacing w:val="1"/>
        </w:rPr>
        <w:t> </w:t>
      </w:r>
      <w:r>
        <w:rPr/>
        <w:t>over-predict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thickness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CLT</w:t>
      </w:r>
      <w:r>
        <w:rPr>
          <w:spacing w:val="1"/>
        </w:rPr>
        <w:t> </w:t>
      </w:r>
      <w:r>
        <w:rPr/>
        <w:t>needed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ballistic</w:t>
      </w:r>
      <w:r>
        <w:rPr>
          <w:spacing w:val="1"/>
        </w:rPr>
        <w:t> </w:t>
      </w:r>
      <w:r>
        <w:rPr/>
        <w:t>protection.</w:t>
      </w:r>
      <w:r>
        <w:rPr>
          <w:spacing w:val="1"/>
        </w:rPr>
        <w:t> </w:t>
      </w:r>
      <w:r>
        <w:rPr/>
        <w:t>Updated</w:t>
      </w:r>
      <w:r>
        <w:rPr>
          <w:spacing w:val="1"/>
        </w:rPr>
        <w:t> </w:t>
      </w:r>
      <w:r>
        <w:rPr/>
        <w:t>parameters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therefore</w:t>
      </w:r>
      <w:r>
        <w:rPr>
          <w:spacing w:val="1"/>
        </w:rPr>
        <w:t> </w:t>
      </w:r>
      <w:r>
        <w:rPr/>
        <w:t>proposed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accurately</w:t>
      </w:r>
      <w:r>
        <w:rPr>
          <w:spacing w:val="1"/>
        </w:rPr>
        <w:t> </w:t>
      </w:r>
      <w:r>
        <w:rPr/>
        <w:t>capture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CLT.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ensure</w:t>
      </w:r>
      <w:r>
        <w:rPr>
          <w:spacing w:val="1"/>
        </w:rPr>
        <w:t> </w:t>
      </w:r>
      <w:r>
        <w:rPr/>
        <w:t>CLT</w:t>
      </w:r>
      <w:r>
        <w:rPr>
          <w:spacing w:val="1"/>
        </w:rPr>
        <w:t> </w:t>
      </w:r>
      <w:r>
        <w:rPr/>
        <w:t>performance in a wide range of site environments, specimens subjected to high moisture</w:t>
      </w:r>
      <w:r>
        <w:rPr>
          <w:spacing w:val="1"/>
        </w:rPr>
        <w:t> </w:t>
      </w:r>
      <w:r>
        <w:rPr/>
        <w:t>environments were tested and exhibited no degradation in ballistic resistance relative to</w:t>
      </w:r>
      <w:r>
        <w:rPr>
          <w:spacing w:val="1"/>
        </w:rPr>
        <w:t> </w:t>
      </w:r>
      <w:r>
        <w:rPr/>
        <w:t>samples at typical kiln-dried moisture contents (8 percent to 12 percent).</w:t>
      </w:r>
      <w:r>
        <w:rPr>
          <w:spacing w:val="1"/>
        </w:rPr>
        <w:t> </w:t>
      </w:r>
      <w:r>
        <w:rPr/>
        <w:t>This initial</w:t>
      </w:r>
      <w:r>
        <w:rPr>
          <w:spacing w:val="1"/>
        </w:rPr>
        <w:t> </w:t>
      </w:r>
      <w:r>
        <w:rPr/>
        <w:t>investigation</w:t>
      </w:r>
      <w:r>
        <w:rPr>
          <w:spacing w:val="-1"/>
        </w:rPr>
        <w:t> </w:t>
      </w:r>
      <w:r>
        <w:rPr/>
        <w:t>into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ballistic response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CLT</w:t>
      </w:r>
      <w:r>
        <w:rPr>
          <w:spacing w:val="1"/>
        </w:rPr>
        <w:t> </w:t>
      </w:r>
      <w:r>
        <w:rPr/>
        <w:t>will help shape</w:t>
      </w:r>
      <w:r>
        <w:rPr>
          <w:spacing w:val="-1"/>
        </w:rPr>
        <w:t> </w:t>
      </w:r>
      <w:r>
        <w:rPr/>
        <w:t>future</w:t>
      </w:r>
      <w:r>
        <w:rPr>
          <w:spacing w:val="-1"/>
        </w:rPr>
        <w:t> </w:t>
      </w:r>
      <w:r>
        <w:rPr/>
        <w:t>testing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this</w:t>
      </w:r>
      <w:r>
        <w:rPr>
          <w:spacing w:val="-1"/>
        </w:rPr>
        <w:t> </w:t>
      </w:r>
      <w:r>
        <w:rPr/>
        <w:t>realm</w:t>
      </w:r>
    </w:p>
    <w:p>
      <w:pPr>
        <w:spacing w:after="0" w:line="480" w:lineRule="auto"/>
        <w:jc w:val="both"/>
        <w:sectPr>
          <w:pgSz w:w="12240" w:h="15840"/>
          <w:pgMar w:header="0" w:footer="984" w:top="1360" w:bottom="1260" w:left="1720" w:right="1320"/>
        </w:sectPr>
      </w:pPr>
    </w:p>
    <w:p>
      <w:pPr>
        <w:pStyle w:val="BodyText"/>
        <w:spacing w:line="480" w:lineRule="auto" w:before="78"/>
        <w:ind w:left="440" w:right="119"/>
        <w:jc w:val="both"/>
      </w:pPr>
      <w:r>
        <w:rPr/>
        <w:t>with the aim of meeting performance ratings for the material such as those found in UL</w:t>
      </w:r>
      <w:r>
        <w:rPr>
          <w:spacing w:val="1"/>
        </w:rPr>
        <w:t> </w:t>
      </w:r>
      <w:r>
        <w:rPr/>
        <w:t>752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/>
        <w:ind w:left="439" w:right="116" w:firstLine="720"/>
        <w:jc w:val="both"/>
      </w:pPr>
      <w:r>
        <w:rPr/>
        <w:t>The pre-fabricated, laminated nature of CLT allows for modification of the layup</w:t>
      </w:r>
      <w:r>
        <w:rPr>
          <w:spacing w:val="1"/>
        </w:rPr>
        <w:t> </w:t>
      </w:r>
      <w:r>
        <w:rPr/>
        <w:t>through the addition of one or more enhancing layers for improved ballistic resistance,</w:t>
      </w:r>
      <w:r>
        <w:rPr>
          <w:spacing w:val="1"/>
        </w:rPr>
        <w:t> </w:t>
      </w:r>
      <w:r>
        <w:rPr/>
        <w:t>creating enhanced CLT (or ECLT as it is referred to in this thesis).</w:t>
      </w:r>
      <w:r>
        <w:rPr>
          <w:spacing w:val="1"/>
        </w:rPr>
        <w:t> </w:t>
      </w:r>
      <w:r>
        <w:rPr/>
        <w:t>Fourteen panels</w:t>
      </w:r>
      <w:r>
        <w:rPr>
          <w:spacing w:val="1"/>
        </w:rPr>
        <w:t> </w:t>
      </w:r>
      <w:r>
        <w:rPr/>
        <w:t>representing</w:t>
      </w:r>
      <w:r>
        <w:rPr>
          <w:spacing w:val="-8"/>
        </w:rPr>
        <w:t> </w:t>
      </w:r>
      <w:r>
        <w:rPr/>
        <w:t>eight</w:t>
      </w:r>
      <w:r>
        <w:rPr>
          <w:spacing w:val="-6"/>
        </w:rPr>
        <w:t> </w:t>
      </w:r>
      <w:r>
        <w:rPr/>
        <w:t>different</w:t>
      </w:r>
      <w:r>
        <w:rPr>
          <w:spacing w:val="-6"/>
        </w:rPr>
        <w:t> </w:t>
      </w:r>
      <w:r>
        <w:rPr/>
        <w:t>ECLT</w:t>
      </w:r>
      <w:r>
        <w:rPr>
          <w:spacing w:val="-6"/>
        </w:rPr>
        <w:t> </w:t>
      </w:r>
      <w:r>
        <w:rPr/>
        <w:t>configurations</w:t>
      </w:r>
      <w:r>
        <w:rPr>
          <w:spacing w:val="-6"/>
        </w:rPr>
        <w:t> </w:t>
      </w:r>
      <w:r>
        <w:rPr/>
        <w:t>were</w:t>
      </w:r>
      <w:r>
        <w:rPr>
          <w:spacing w:val="-6"/>
        </w:rPr>
        <w:t> </w:t>
      </w:r>
      <w:r>
        <w:rPr/>
        <w:t>produced</w:t>
      </w:r>
      <w:r>
        <w:rPr>
          <w:spacing w:val="-6"/>
        </w:rPr>
        <w:t> </w:t>
      </w:r>
      <w:r>
        <w:rPr/>
        <w:t>in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Digital</w:t>
      </w:r>
      <w:r>
        <w:rPr>
          <w:spacing w:val="-6"/>
        </w:rPr>
        <w:t> </w:t>
      </w:r>
      <w:r>
        <w:rPr/>
        <w:t>Fabrication</w:t>
      </w:r>
      <w:r>
        <w:rPr>
          <w:spacing w:val="-58"/>
        </w:rPr>
        <w:t> </w:t>
      </w:r>
      <w:r>
        <w:rPr/>
        <w:t>Laboratory (DFL) at Georgia Institute of Technology using various hardening materials</w:t>
      </w:r>
      <w:r>
        <w:rPr>
          <w:spacing w:val="1"/>
        </w:rPr>
        <w:t> </w:t>
      </w:r>
      <w:r>
        <w:rPr/>
        <w:t>including</w:t>
      </w:r>
      <w:r>
        <w:rPr>
          <w:spacing w:val="-14"/>
        </w:rPr>
        <w:t> </w:t>
      </w:r>
      <w:r>
        <w:rPr/>
        <w:t>thin</w:t>
      </w:r>
      <w:r>
        <w:rPr>
          <w:spacing w:val="-13"/>
        </w:rPr>
        <w:t> </w:t>
      </w:r>
      <w:r>
        <w:rPr/>
        <w:t>metal</w:t>
      </w:r>
      <w:r>
        <w:rPr>
          <w:spacing w:val="-14"/>
        </w:rPr>
        <w:t> </w:t>
      </w:r>
      <w:r>
        <w:rPr/>
        <w:t>plates</w:t>
      </w:r>
      <w:r>
        <w:rPr>
          <w:spacing w:val="-13"/>
        </w:rPr>
        <w:t> </w:t>
      </w:r>
      <w:r>
        <w:rPr/>
        <w:t>and</w:t>
      </w:r>
      <w:r>
        <w:rPr>
          <w:spacing w:val="-14"/>
        </w:rPr>
        <w:t> </w:t>
      </w:r>
      <w:r>
        <w:rPr/>
        <w:t>gratings,</w:t>
      </w:r>
      <w:r>
        <w:rPr>
          <w:spacing w:val="-14"/>
        </w:rPr>
        <w:t> </w:t>
      </w:r>
      <w:r>
        <w:rPr/>
        <w:t>polymer-based</w:t>
      </w:r>
      <w:r>
        <w:rPr>
          <w:spacing w:val="-14"/>
        </w:rPr>
        <w:t> </w:t>
      </w:r>
      <w:r>
        <w:rPr/>
        <w:t>armors,</w:t>
      </w:r>
      <w:r>
        <w:rPr>
          <w:spacing w:val="-13"/>
        </w:rPr>
        <w:t> </w:t>
      </w:r>
      <w:r>
        <w:rPr/>
        <w:t>and</w:t>
      </w:r>
      <w:r>
        <w:rPr>
          <w:spacing w:val="-14"/>
        </w:rPr>
        <w:t> </w:t>
      </w:r>
      <w:r>
        <w:rPr/>
        <w:t>fiber-reinforced</w:t>
      </w:r>
      <w:r>
        <w:rPr>
          <w:spacing w:val="-14"/>
        </w:rPr>
        <w:t> </w:t>
      </w:r>
      <w:r>
        <w:rPr/>
        <w:t>epoxy</w:t>
      </w:r>
      <w:r>
        <w:rPr>
          <w:spacing w:val="-57"/>
        </w:rPr>
        <w:t> </w:t>
      </w:r>
      <w:r>
        <w:rPr/>
        <w:t>matrix panels. The enhancing layers were evaluated based on ease of production, ballistic</w:t>
      </w:r>
      <w:r>
        <w:rPr>
          <w:spacing w:val="-57"/>
        </w:rPr>
        <w:t> </w:t>
      </w:r>
      <w:r>
        <w:rPr/>
        <w:t>resistance given a small initial test series, and a cost-benefit evaluation.</w:t>
      </w:r>
      <w:r>
        <w:rPr>
          <w:spacing w:val="1"/>
        </w:rPr>
        <w:t> </w:t>
      </w:r>
      <w:r>
        <w:rPr/>
        <w:t>Solid metal plate</w:t>
      </w:r>
      <w:r>
        <w:rPr>
          <w:spacing w:val="-57"/>
        </w:rPr>
        <w:t> </w:t>
      </w:r>
      <w:r>
        <w:rPr/>
        <w:t>presented challenges in fabrication but performed well.</w:t>
      </w:r>
      <w:r>
        <w:rPr>
          <w:spacing w:val="1"/>
        </w:rPr>
        <w:t> </w:t>
      </w:r>
      <w:r>
        <w:rPr/>
        <w:t>Perforated metal offered a lighter</w:t>
      </w:r>
      <w:r>
        <w:rPr>
          <w:spacing w:val="-57"/>
        </w:rPr>
        <w:t> </w:t>
      </w:r>
      <w:r>
        <w:rPr/>
        <w:t>option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good</w:t>
      </w:r>
      <w:r>
        <w:rPr>
          <w:spacing w:val="1"/>
        </w:rPr>
        <w:t> </w:t>
      </w:r>
      <w:r>
        <w:rPr/>
        <w:t>resistance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well.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fiber-based</w:t>
      </w:r>
      <w:r>
        <w:rPr>
          <w:spacing w:val="1"/>
        </w:rPr>
        <w:t> </w:t>
      </w:r>
      <w:r>
        <w:rPr/>
        <w:t>panels,</w:t>
      </w:r>
      <w:r>
        <w:rPr>
          <w:spacing w:val="1"/>
        </w:rPr>
        <w:t> </w:t>
      </w:r>
      <w:r>
        <w:rPr/>
        <w:t>composed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high-</w:t>
      </w:r>
      <w:r>
        <w:rPr>
          <w:spacing w:val="1"/>
        </w:rPr>
        <w:t> </w:t>
      </w:r>
      <w:r>
        <w:rPr/>
        <w:t>performance armoring materials, performed well, but are costly to procure and difficult to</w:t>
      </w:r>
      <w:r>
        <w:rPr>
          <w:spacing w:val="-57"/>
        </w:rPr>
        <w:t> </w:t>
      </w:r>
      <w:r>
        <w:rPr/>
        <w:t>incorporate into the CLT stack. The E-glass-epoxy configurations were the least effective</w:t>
      </w:r>
      <w:r>
        <w:rPr>
          <w:spacing w:val="-57"/>
        </w:rPr>
        <w:t> </w:t>
      </w:r>
      <w:r>
        <w:rPr/>
        <w:t>but</w:t>
      </w:r>
      <w:r>
        <w:rPr>
          <w:spacing w:val="-1"/>
        </w:rPr>
        <w:t> </w:t>
      </w:r>
      <w:r>
        <w:rPr/>
        <w:t>showed improved</w:t>
      </w:r>
      <w:r>
        <w:rPr>
          <w:spacing w:val="-1"/>
        </w:rPr>
        <w:t> </w:t>
      </w:r>
      <w:r>
        <w:rPr/>
        <w:t>resistance to baseline</w:t>
      </w:r>
      <w:r>
        <w:rPr>
          <w:spacing w:val="-1"/>
        </w:rPr>
        <w:t> </w:t>
      </w:r>
      <w:r>
        <w:rPr/>
        <w:t>CLT</w:t>
      </w:r>
      <w:r>
        <w:rPr>
          <w:spacing w:val="-1"/>
        </w:rPr>
        <w:t> </w:t>
      </w:r>
      <w:r>
        <w:rPr/>
        <w:t>at</w:t>
      </w:r>
      <w:r>
        <w:rPr>
          <w:spacing w:val="-1"/>
        </w:rPr>
        <w:t> </w:t>
      </w:r>
      <w:r>
        <w:rPr/>
        <w:t>a relatively low</w:t>
      </w:r>
      <w:r>
        <w:rPr>
          <w:spacing w:val="-2"/>
        </w:rPr>
        <w:t> </w:t>
      </w:r>
      <w:r>
        <w:rPr/>
        <w:t>cost.</w:t>
      </w:r>
    </w:p>
    <w:p>
      <w:pPr>
        <w:pStyle w:val="BodyText"/>
        <w:spacing w:line="480" w:lineRule="auto" w:before="232"/>
        <w:ind w:left="439" w:right="116" w:firstLine="720"/>
        <w:jc w:val="both"/>
      </w:pPr>
      <w:r>
        <w:rPr>
          <w:spacing w:val="-1"/>
        </w:rPr>
        <w:t>A</w:t>
      </w:r>
      <w:r>
        <w:rPr>
          <w:spacing w:val="-15"/>
        </w:rPr>
        <w:t> </w:t>
      </w:r>
      <w:r>
        <w:rPr>
          <w:spacing w:val="-1"/>
        </w:rPr>
        <w:t>qualitative</w:t>
      </w:r>
      <w:r>
        <w:rPr>
          <w:spacing w:val="-15"/>
        </w:rPr>
        <w:t> </w:t>
      </w:r>
      <w:r>
        <w:rPr>
          <w:spacing w:val="-1"/>
        </w:rPr>
        <w:t>analysis</w:t>
      </w:r>
      <w:r>
        <w:rPr>
          <w:spacing w:val="-16"/>
        </w:rPr>
        <w:t> </w:t>
      </w:r>
      <w:r>
        <w:rPr/>
        <w:t>examined</w:t>
      </w:r>
      <w:r>
        <w:rPr>
          <w:spacing w:val="-15"/>
        </w:rPr>
        <w:t> </w:t>
      </w:r>
      <w:r>
        <w:rPr/>
        <w:t>the</w:t>
      </w:r>
      <w:r>
        <w:rPr>
          <w:spacing w:val="-14"/>
        </w:rPr>
        <w:t> </w:t>
      </w:r>
      <w:r>
        <w:rPr/>
        <w:t>damage</w:t>
      </w:r>
      <w:r>
        <w:rPr>
          <w:spacing w:val="-15"/>
        </w:rPr>
        <w:t> </w:t>
      </w:r>
      <w:r>
        <w:rPr/>
        <w:t>to</w:t>
      </w:r>
      <w:r>
        <w:rPr>
          <w:spacing w:val="-15"/>
        </w:rPr>
        <w:t> </w:t>
      </w:r>
      <w:r>
        <w:rPr/>
        <w:t>the</w:t>
      </w:r>
      <w:r>
        <w:rPr>
          <w:spacing w:val="-16"/>
        </w:rPr>
        <w:t> </w:t>
      </w:r>
      <w:r>
        <w:rPr/>
        <w:t>CLT</w:t>
      </w:r>
      <w:r>
        <w:rPr>
          <w:spacing w:val="-15"/>
        </w:rPr>
        <w:t> </w:t>
      </w:r>
      <w:r>
        <w:rPr/>
        <w:t>panels</w:t>
      </w:r>
      <w:r>
        <w:rPr>
          <w:spacing w:val="-15"/>
        </w:rPr>
        <w:t> </w:t>
      </w:r>
      <w:r>
        <w:rPr/>
        <w:t>relative</w:t>
      </w:r>
      <w:r>
        <w:rPr>
          <w:spacing w:val="-16"/>
        </w:rPr>
        <w:t> </w:t>
      </w:r>
      <w:r>
        <w:rPr/>
        <w:t>to</w:t>
      </w:r>
      <w:r>
        <w:rPr>
          <w:spacing w:val="-16"/>
        </w:rPr>
        <w:t> </w:t>
      </w:r>
      <w:r>
        <w:rPr/>
        <w:t>the</w:t>
      </w:r>
      <w:r>
        <w:rPr>
          <w:spacing w:val="-15"/>
        </w:rPr>
        <w:t> </w:t>
      </w:r>
      <w:r>
        <w:rPr/>
        <w:t>unique</w:t>
      </w:r>
      <w:r>
        <w:rPr>
          <w:spacing w:val="-57"/>
        </w:rPr>
        <w:t> </w:t>
      </w:r>
      <w:r>
        <w:rPr/>
        <w:t>anisotropic and inhomogeneous properties of wood. This analysis focused on local failure</w:t>
      </w:r>
      <w:r>
        <w:rPr>
          <w:spacing w:val="-57"/>
        </w:rPr>
        <w:t> </w:t>
      </w:r>
      <w:r>
        <w:rPr/>
        <w:t>modes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local</w:t>
      </w:r>
      <w:r>
        <w:rPr>
          <w:spacing w:val="1"/>
        </w:rPr>
        <w:t> </w:t>
      </w:r>
      <w:r>
        <w:rPr/>
        <w:t>response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wood</w:t>
      </w:r>
      <w:r>
        <w:rPr>
          <w:spacing w:val="1"/>
        </w:rPr>
        <w:t> </w:t>
      </w:r>
      <w:r>
        <w:rPr/>
        <w:t>under</w:t>
      </w:r>
      <w:r>
        <w:rPr>
          <w:spacing w:val="1"/>
        </w:rPr>
        <w:t> </w:t>
      </w:r>
      <w:r>
        <w:rPr/>
        <w:t>ballistic</w:t>
      </w:r>
      <w:r>
        <w:rPr>
          <w:spacing w:val="1"/>
        </w:rPr>
        <w:t> </w:t>
      </w:r>
      <w:r>
        <w:rPr/>
        <w:t>impact.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resistance</w:t>
      </w:r>
      <w:r>
        <w:rPr>
          <w:spacing w:val="1"/>
        </w:rPr>
        <w:t> </w:t>
      </w:r>
      <w:r>
        <w:rPr/>
        <w:t>mechanisms of wood were directly observed by dissection of the projectile paths through</w:t>
      </w:r>
      <w:r>
        <w:rPr>
          <w:spacing w:val="1"/>
        </w:rPr>
        <w:t> </w:t>
      </w:r>
      <w:r>
        <w:rPr/>
        <w:t>the CLT panels.</w:t>
      </w:r>
      <w:r>
        <w:rPr>
          <w:spacing w:val="1"/>
        </w:rPr>
        <w:t> </w:t>
      </w:r>
      <w:r>
        <w:rPr/>
        <w:t>The bi-directional layups of the multiple plies of CLT allowed a cross-</w:t>
      </w:r>
      <w:r>
        <w:rPr>
          <w:spacing w:val="1"/>
        </w:rPr>
        <w:t> </w:t>
      </w:r>
      <w:r>
        <w:rPr/>
        <w:t>sectional cut to show the different failure modes based on grain orientation of the wood.</w:t>
      </w:r>
      <w:r>
        <w:rPr>
          <w:spacing w:val="1"/>
        </w:rPr>
        <w:t> </w:t>
      </w:r>
      <w:r>
        <w:rPr/>
        <w:t>Multiple failure modes of the material in a localized damage zone were observed with the</w:t>
      </w:r>
      <w:r>
        <w:rPr>
          <w:spacing w:val="-57"/>
        </w:rPr>
        <w:t> </w:t>
      </w:r>
      <w:r>
        <w:rPr/>
        <w:t>ballistic</w:t>
      </w:r>
      <w:r>
        <w:rPr>
          <w:spacing w:val="28"/>
        </w:rPr>
        <w:t> </w:t>
      </w:r>
      <w:r>
        <w:rPr/>
        <w:t>penetration.</w:t>
      </w:r>
      <w:r>
        <w:rPr>
          <w:spacing w:val="59"/>
        </w:rPr>
        <w:t> </w:t>
      </w:r>
      <w:r>
        <w:rPr/>
        <w:t>Unexpected</w:t>
      </w:r>
      <w:r>
        <w:rPr>
          <w:spacing w:val="29"/>
        </w:rPr>
        <w:t> </w:t>
      </w:r>
      <w:r>
        <w:rPr/>
        <w:t>data,</w:t>
      </w:r>
      <w:r>
        <w:rPr>
          <w:spacing w:val="29"/>
        </w:rPr>
        <w:t> </w:t>
      </w:r>
      <w:r>
        <w:rPr/>
        <w:t>such</w:t>
      </w:r>
      <w:r>
        <w:rPr>
          <w:spacing w:val="26"/>
        </w:rPr>
        <w:t> </w:t>
      </w:r>
      <w:r>
        <w:rPr/>
        <w:t>as</w:t>
      </w:r>
      <w:r>
        <w:rPr>
          <w:spacing w:val="28"/>
        </w:rPr>
        <w:t> </w:t>
      </w:r>
      <w:r>
        <w:rPr/>
        <w:t>shallower</w:t>
      </w:r>
      <w:r>
        <w:rPr>
          <w:spacing w:val="28"/>
        </w:rPr>
        <w:t> </w:t>
      </w:r>
      <w:r>
        <w:rPr/>
        <w:t>penetration</w:t>
      </w:r>
      <w:r>
        <w:rPr>
          <w:spacing w:val="27"/>
        </w:rPr>
        <w:t> </w:t>
      </w:r>
      <w:r>
        <w:rPr/>
        <w:t>or</w:t>
      </w:r>
      <w:r>
        <w:rPr>
          <w:spacing w:val="28"/>
        </w:rPr>
        <w:t> </w:t>
      </w:r>
      <w:r>
        <w:rPr/>
        <w:t>faster</w:t>
      </w:r>
      <w:r>
        <w:rPr>
          <w:spacing w:val="28"/>
        </w:rPr>
        <w:t> </w:t>
      </w:r>
      <w:r>
        <w:rPr/>
        <w:t>residual</w:t>
      </w:r>
    </w:p>
    <w:p>
      <w:pPr>
        <w:spacing w:after="0" w:line="480" w:lineRule="auto"/>
        <w:jc w:val="both"/>
        <w:sectPr>
          <w:pgSz w:w="12240" w:h="15840"/>
          <w:pgMar w:header="0" w:footer="984" w:top="1360" w:bottom="1260" w:left="1720" w:right="1320"/>
        </w:sectPr>
      </w:pPr>
    </w:p>
    <w:p>
      <w:pPr>
        <w:pStyle w:val="BodyText"/>
        <w:spacing w:line="480" w:lineRule="auto" w:before="78"/>
        <w:ind w:left="440" w:right="118"/>
        <w:jc w:val="both"/>
      </w:pPr>
      <w:r>
        <w:rPr/>
        <w:t>velocity, was critically examined for a variation in the wood structure to help better</w:t>
      </w:r>
      <w:r>
        <w:rPr>
          <w:spacing w:val="1"/>
        </w:rPr>
        <w:t> </w:t>
      </w:r>
      <w:r>
        <w:rPr/>
        <w:t>understand</w:t>
      </w:r>
      <w:r>
        <w:rPr>
          <w:spacing w:val="-3"/>
        </w:rPr>
        <w:t> </w:t>
      </w:r>
      <w:r>
        <w:rPr/>
        <w:t>the variability observed in ballistic</w:t>
      </w:r>
      <w:r>
        <w:rPr>
          <w:spacing w:val="-1"/>
        </w:rPr>
        <w:t> </w:t>
      </w:r>
      <w:r>
        <w:rPr/>
        <w:t>testing of</w:t>
      </w:r>
      <w:r>
        <w:rPr>
          <w:spacing w:val="-1"/>
        </w:rPr>
        <w:t> </w:t>
      </w:r>
      <w:r>
        <w:rPr/>
        <w:t>CLT.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/>
        <w:ind w:left="439" w:right="116" w:firstLine="720"/>
        <w:jc w:val="both"/>
      </w:pPr>
      <w:r>
        <w:rPr/>
        <w:t>In</w:t>
      </w:r>
      <w:r>
        <w:rPr>
          <w:spacing w:val="-3"/>
        </w:rPr>
        <w:t> </w:t>
      </w:r>
      <w:r>
        <w:rPr/>
        <w:t>addition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ballistic</w:t>
      </w:r>
      <w:r>
        <w:rPr>
          <w:spacing w:val="-2"/>
        </w:rPr>
        <w:t> </w:t>
      </w:r>
      <w:r>
        <w:rPr/>
        <w:t>response,</w:t>
      </w:r>
      <w:r>
        <w:rPr>
          <w:spacing w:val="-3"/>
        </w:rPr>
        <w:t> </w:t>
      </w:r>
      <w:r>
        <w:rPr/>
        <w:t>blast</w:t>
      </w:r>
      <w:r>
        <w:rPr>
          <w:spacing w:val="-3"/>
        </w:rPr>
        <w:t> </w:t>
      </w:r>
      <w:r>
        <w:rPr/>
        <w:t>resistance</w:t>
      </w:r>
      <w:r>
        <w:rPr>
          <w:spacing w:val="-2"/>
        </w:rPr>
        <w:t> </w:t>
      </w:r>
      <w:r>
        <w:rPr/>
        <w:t>is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/>
        <w:t>critical</w:t>
      </w:r>
      <w:r>
        <w:rPr>
          <w:spacing w:val="-2"/>
        </w:rPr>
        <w:t> </w:t>
      </w:r>
      <w:r>
        <w:rPr/>
        <w:t>attribute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interest</w:t>
      </w:r>
      <w:r>
        <w:rPr>
          <w:spacing w:val="-2"/>
        </w:rPr>
        <w:t> </w:t>
      </w:r>
      <w:r>
        <w:rPr/>
        <w:t>for</w:t>
      </w:r>
      <w:r>
        <w:rPr>
          <w:spacing w:val="-58"/>
        </w:rPr>
        <w:t> </w:t>
      </w:r>
      <w:r>
        <w:rPr/>
        <w:t>materials to build temporary military structures.</w:t>
      </w:r>
      <w:r>
        <w:rPr>
          <w:spacing w:val="1"/>
        </w:rPr>
        <w:t> </w:t>
      </w:r>
      <w:r>
        <w:rPr/>
        <w:t>Based on data from live blast testing and</w:t>
      </w:r>
      <w:r>
        <w:rPr>
          <w:spacing w:val="-57"/>
        </w:rPr>
        <w:t> </w:t>
      </w:r>
      <w:r>
        <w:rPr/>
        <w:t>use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shear</w:t>
      </w:r>
      <w:r>
        <w:rPr>
          <w:spacing w:val="-2"/>
        </w:rPr>
        <w:t> </w:t>
      </w:r>
      <w:r>
        <w:rPr/>
        <w:t>analogy</w:t>
      </w:r>
      <w:r>
        <w:rPr>
          <w:spacing w:val="-3"/>
        </w:rPr>
        <w:t> </w:t>
      </w:r>
      <w:r>
        <w:rPr/>
        <w:t>method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/>
        <w:t>account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strength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stiffness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CLT</w:t>
      </w:r>
      <w:r>
        <w:rPr>
          <w:spacing w:val="-3"/>
        </w:rPr>
        <w:t> </w:t>
      </w:r>
      <w:r>
        <w:rPr/>
        <w:t>panel</w:t>
      </w:r>
      <w:r>
        <w:rPr>
          <w:spacing w:val="-57"/>
        </w:rPr>
        <w:t> </w:t>
      </w:r>
      <w:r>
        <w:rPr/>
        <w:t>given the cross-laminations, a single-degree-of-freedom model was used to evaluate the</w:t>
      </w:r>
      <w:r>
        <w:rPr>
          <w:spacing w:val="1"/>
        </w:rPr>
        <w:t> </w:t>
      </w:r>
      <w:r>
        <w:rPr/>
        <w:t>response of a CLT panel under blast loads in the elastic regime. A CLT blast analysis tool</w:t>
      </w:r>
      <w:r>
        <w:rPr>
          <w:spacing w:val="-57"/>
        </w:rPr>
        <w:t> </w:t>
      </w:r>
      <w:r>
        <w:rPr/>
        <w:t>was developed to help predict the blast response of different grades of CLT in different</w:t>
      </w:r>
      <w:r>
        <w:rPr>
          <w:spacing w:val="1"/>
        </w:rPr>
        <w:t> </w:t>
      </w:r>
      <w:r>
        <w:rPr/>
        <w:t>dimensional and geometric configurations.</w:t>
      </w:r>
      <w:r>
        <w:rPr>
          <w:spacing w:val="1"/>
        </w:rPr>
        <w:t> </w:t>
      </w:r>
      <w:r>
        <w:rPr/>
        <w:t>The initial version of the tool is limited to</w:t>
      </w:r>
      <w:r>
        <w:rPr>
          <w:spacing w:val="1"/>
        </w:rPr>
        <w:t> </w:t>
      </w:r>
      <w:r>
        <w:rPr/>
        <w:t>response</w:t>
      </w:r>
      <w:r>
        <w:rPr>
          <w:spacing w:val="-6"/>
        </w:rPr>
        <w:t> </w:t>
      </w:r>
      <w:r>
        <w:rPr/>
        <w:t>in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elastic</w:t>
      </w:r>
      <w:r>
        <w:rPr>
          <w:spacing w:val="-6"/>
        </w:rPr>
        <w:t> </w:t>
      </w:r>
      <w:r>
        <w:rPr/>
        <w:t>regime,</w:t>
      </w:r>
      <w:r>
        <w:rPr>
          <w:spacing w:val="-5"/>
        </w:rPr>
        <w:t> </w:t>
      </w:r>
      <w:r>
        <w:rPr/>
        <w:t>due</w:t>
      </w:r>
      <w:r>
        <w:rPr>
          <w:spacing w:val="-6"/>
        </w:rPr>
        <w:t> </w:t>
      </w:r>
      <w:r>
        <w:rPr/>
        <w:t>to</w:t>
      </w:r>
      <w:r>
        <w:rPr>
          <w:spacing w:val="-5"/>
        </w:rPr>
        <w:t> </w:t>
      </w:r>
      <w:r>
        <w:rPr/>
        <w:t>a</w:t>
      </w:r>
      <w:r>
        <w:rPr>
          <w:spacing w:val="-6"/>
        </w:rPr>
        <w:t> </w:t>
      </w:r>
      <w:r>
        <w:rPr/>
        <w:t>lack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/>
        <w:t>available</w:t>
      </w:r>
      <w:r>
        <w:rPr>
          <w:spacing w:val="-6"/>
        </w:rPr>
        <w:t> </w:t>
      </w:r>
      <w:r>
        <w:rPr/>
        <w:t>data</w:t>
      </w:r>
      <w:r>
        <w:rPr>
          <w:spacing w:val="-6"/>
        </w:rPr>
        <w:t> </w:t>
      </w:r>
      <w:r>
        <w:rPr/>
        <w:t>on</w:t>
      </w:r>
      <w:r>
        <w:rPr>
          <w:spacing w:val="-5"/>
        </w:rPr>
        <w:t> </w:t>
      </w:r>
      <w:r>
        <w:rPr/>
        <w:t>CLT</w:t>
      </w:r>
      <w:r>
        <w:rPr>
          <w:spacing w:val="-7"/>
        </w:rPr>
        <w:t> </w:t>
      </w:r>
      <w:r>
        <w:rPr/>
        <w:t>panel</w:t>
      </w:r>
      <w:r>
        <w:rPr>
          <w:spacing w:val="-6"/>
        </w:rPr>
        <w:t> </w:t>
      </w:r>
      <w:r>
        <w:rPr/>
        <w:t>response</w:t>
      </w:r>
      <w:r>
        <w:rPr>
          <w:spacing w:val="-6"/>
        </w:rPr>
        <w:t> </w:t>
      </w:r>
      <w:r>
        <w:rPr/>
        <w:t>in</w:t>
      </w:r>
      <w:r>
        <w:rPr>
          <w:spacing w:val="-5"/>
        </w:rPr>
        <w:t> </w:t>
      </w:r>
      <w:r>
        <w:rPr/>
        <w:t>the</w:t>
      </w:r>
      <w:r>
        <w:rPr>
          <w:spacing w:val="-58"/>
        </w:rPr>
        <w:t> </w:t>
      </w:r>
      <w:r>
        <w:rPr/>
        <w:t>inelastic</w:t>
      </w:r>
      <w:r>
        <w:rPr>
          <w:spacing w:val="-1"/>
        </w:rPr>
        <w:t> </w:t>
      </w:r>
      <w:r>
        <w:rPr/>
        <w:t>regime.</w:t>
      </w:r>
    </w:p>
    <w:p>
      <w:pPr>
        <w:pStyle w:val="BodyText"/>
        <w:spacing w:line="480" w:lineRule="auto" w:before="232"/>
        <w:ind w:left="439" w:right="116" w:firstLine="720"/>
        <w:jc w:val="both"/>
      </w:pPr>
      <w:r>
        <w:rPr/>
        <w:t>Multiple</w:t>
      </w:r>
      <w:r>
        <w:rPr>
          <w:spacing w:val="1"/>
        </w:rPr>
        <w:t> </w:t>
      </w:r>
      <w:r>
        <w:rPr/>
        <w:t>requirements,</w:t>
      </w:r>
      <w:r>
        <w:rPr>
          <w:spacing w:val="1"/>
        </w:rPr>
        <w:t> </w:t>
      </w:r>
      <w:r>
        <w:rPr/>
        <w:t>constraints,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limitations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consider</w:t>
      </w:r>
      <w:r>
        <w:rPr>
          <w:spacing w:val="1"/>
        </w:rPr>
        <w:t> </w:t>
      </w:r>
      <w:r>
        <w:rPr/>
        <w:t>while</w:t>
      </w:r>
      <w:r>
        <w:rPr>
          <w:spacing w:val="1"/>
        </w:rPr>
        <w:t> </w:t>
      </w:r>
      <w:r>
        <w:rPr/>
        <w:t>meeting</w:t>
      </w:r>
      <w:r>
        <w:rPr>
          <w:spacing w:val="-57"/>
        </w:rPr>
        <w:t> </w:t>
      </w:r>
      <w:r>
        <w:rPr/>
        <w:t>mission requirements create a complex decision for military leaders with regard to what</w:t>
      </w:r>
      <w:r>
        <w:rPr>
          <w:spacing w:val="1"/>
        </w:rPr>
        <w:t> </w:t>
      </w:r>
      <w:r>
        <w:rPr/>
        <w:t>material to use in the construction of temporary military structures.</w:t>
      </w:r>
      <w:r>
        <w:rPr>
          <w:spacing w:val="1"/>
        </w:rPr>
        <w:t> </w:t>
      </w:r>
      <w:r>
        <w:rPr/>
        <w:t>The construction</w:t>
      </w:r>
      <w:r>
        <w:rPr>
          <w:spacing w:val="1"/>
        </w:rPr>
        <w:t> </w:t>
      </w:r>
      <w:r>
        <w:rPr/>
        <w:t>industry</w:t>
      </w:r>
      <w:r>
        <w:rPr>
          <w:spacing w:val="1"/>
        </w:rPr>
        <w:t> </w:t>
      </w:r>
      <w:r>
        <w:rPr/>
        <w:t>uses</w:t>
      </w:r>
      <w:r>
        <w:rPr>
          <w:spacing w:val="1"/>
        </w:rPr>
        <w:t> </w:t>
      </w:r>
      <w:r>
        <w:rPr/>
        <w:t>multi-attribute</w:t>
      </w:r>
      <w:r>
        <w:rPr>
          <w:spacing w:val="1"/>
        </w:rPr>
        <w:t> </w:t>
      </w:r>
      <w:r>
        <w:rPr/>
        <w:t>tools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help</w:t>
      </w:r>
      <w:r>
        <w:rPr>
          <w:spacing w:val="1"/>
        </w:rPr>
        <w:t> </w:t>
      </w:r>
      <w:r>
        <w:rPr/>
        <w:t>assess</w:t>
      </w:r>
      <w:r>
        <w:rPr>
          <w:spacing w:val="1"/>
        </w:rPr>
        <w:t> </w:t>
      </w:r>
      <w:r>
        <w:rPr/>
        <w:t>risk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determine</w:t>
      </w:r>
      <w:r>
        <w:rPr>
          <w:spacing w:val="1"/>
        </w:rPr>
        <w:t> </w:t>
      </w:r>
      <w:r>
        <w:rPr/>
        <w:t>design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construction alternatives.</w:t>
      </w:r>
      <w:r>
        <w:rPr>
          <w:spacing w:val="1"/>
        </w:rPr>
        <w:t> </w:t>
      </w:r>
      <w:r>
        <w:rPr/>
        <w:t>One potential tool to evaluate construction material system and</w:t>
      </w:r>
      <w:r>
        <w:rPr>
          <w:spacing w:val="-57"/>
        </w:rPr>
        <w:t> </w:t>
      </w:r>
      <w:r>
        <w:rPr/>
        <w:t>assist</w:t>
      </w:r>
      <w:r>
        <w:rPr>
          <w:spacing w:val="1"/>
        </w:rPr>
        <w:t> </w:t>
      </w:r>
      <w:r>
        <w:rPr/>
        <w:t>in making decisions regarding temporary military structure</w:t>
      </w:r>
      <w:r>
        <w:rPr>
          <w:spacing w:val="1"/>
        </w:rPr>
        <w:t> </w:t>
      </w:r>
      <w:r>
        <w:rPr/>
        <w:t>construction is the</w:t>
      </w:r>
      <w:r>
        <w:rPr>
          <w:spacing w:val="1"/>
        </w:rPr>
        <w:t> </w:t>
      </w:r>
      <w:r>
        <w:rPr/>
        <w:t>analytical</w:t>
      </w:r>
      <w:r>
        <w:rPr>
          <w:spacing w:val="-9"/>
        </w:rPr>
        <w:t> </w:t>
      </w:r>
      <w:r>
        <w:rPr/>
        <w:t>hierarchy</w:t>
      </w:r>
      <w:r>
        <w:rPr>
          <w:spacing w:val="-10"/>
        </w:rPr>
        <w:t> </w:t>
      </w:r>
      <w:r>
        <w:rPr/>
        <w:t>process</w:t>
      </w:r>
      <w:r>
        <w:rPr>
          <w:spacing w:val="-9"/>
        </w:rPr>
        <w:t> </w:t>
      </w:r>
      <w:r>
        <w:rPr/>
        <w:t>(AHP).</w:t>
      </w:r>
      <w:r>
        <w:rPr>
          <w:spacing w:val="41"/>
        </w:rPr>
        <w:t> </w:t>
      </w:r>
      <w:r>
        <w:rPr/>
        <w:t>In</w:t>
      </w:r>
      <w:r>
        <w:rPr>
          <w:spacing w:val="-10"/>
        </w:rPr>
        <w:t> </w:t>
      </w:r>
      <w:r>
        <w:rPr/>
        <w:t>this</w:t>
      </w:r>
      <w:r>
        <w:rPr>
          <w:spacing w:val="-9"/>
        </w:rPr>
        <w:t> </w:t>
      </w:r>
      <w:r>
        <w:rPr/>
        <w:t>process,</w:t>
      </w:r>
      <w:r>
        <w:rPr>
          <w:spacing w:val="-10"/>
        </w:rPr>
        <w:t> </w:t>
      </w:r>
      <w:r>
        <w:rPr/>
        <w:t>materials</w:t>
      </w:r>
      <w:r>
        <w:rPr>
          <w:spacing w:val="-10"/>
        </w:rPr>
        <w:t> </w:t>
      </w:r>
      <w:r>
        <w:rPr/>
        <w:t>are</w:t>
      </w:r>
      <w:r>
        <w:rPr>
          <w:spacing w:val="-10"/>
        </w:rPr>
        <w:t> </w:t>
      </w:r>
      <w:r>
        <w:rPr/>
        <w:t>evaluated</w:t>
      </w:r>
      <w:r>
        <w:rPr>
          <w:spacing w:val="-10"/>
        </w:rPr>
        <w:t> </w:t>
      </w:r>
      <w:r>
        <w:rPr/>
        <w:t>using</w:t>
      </w:r>
      <w:r>
        <w:rPr>
          <w:spacing w:val="-10"/>
        </w:rPr>
        <w:t> </w:t>
      </w:r>
      <w:r>
        <w:rPr/>
        <w:t>pairwise</w:t>
      </w:r>
      <w:r>
        <w:rPr>
          <w:spacing w:val="-57"/>
        </w:rPr>
        <w:t> </w:t>
      </w:r>
      <w:r>
        <w:rPr/>
        <w:t>comparisons</w:t>
      </w:r>
      <w:r>
        <w:rPr>
          <w:spacing w:val="-8"/>
        </w:rPr>
        <w:t> </w:t>
      </w:r>
      <w:r>
        <w:rPr/>
        <w:t>and</w:t>
      </w:r>
      <w:r>
        <w:rPr>
          <w:spacing w:val="-7"/>
        </w:rPr>
        <w:t> </w:t>
      </w:r>
      <w:r>
        <w:rPr/>
        <w:t>relative</w:t>
      </w:r>
      <w:r>
        <w:rPr>
          <w:spacing w:val="-9"/>
        </w:rPr>
        <w:t> </w:t>
      </w:r>
      <w:r>
        <w:rPr/>
        <w:t>weights</w:t>
      </w:r>
      <w:r>
        <w:rPr>
          <w:spacing w:val="-7"/>
        </w:rPr>
        <w:t> </w:t>
      </w:r>
      <w:r>
        <w:rPr/>
        <w:t>for</w:t>
      </w:r>
      <w:r>
        <w:rPr>
          <w:spacing w:val="-9"/>
        </w:rPr>
        <w:t> </w:t>
      </w:r>
      <w:r>
        <w:rPr/>
        <w:t>multiple</w:t>
      </w:r>
      <w:r>
        <w:rPr>
          <w:spacing w:val="-8"/>
        </w:rPr>
        <w:t> </w:t>
      </w:r>
      <w:r>
        <w:rPr/>
        <w:t>criteria</w:t>
      </w:r>
      <w:r>
        <w:rPr>
          <w:spacing w:val="-7"/>
        </w:rPr>
        <w:t> </w:t>
      </w:r>
      <w:r>
        <w:rPr/>
        <w:t>of</w:t>
      </w:r>
      <w:r>
        <w:rPr>
          <w:spacing w:val="-9"/>
        </w:rPr>
        <w:t> </w:t>
      </w:r>
      <w:r>
        <w:rPr/>
        <w:t>interest,</w:t>
      </w:r>
      <w:r>
        <w:rPr>
          <w:spacing w:val="-7"/>
        </w:rPr>
        <w:t> </w:t>
      </w:r>
      <w:r>
        <w:rPr/>
        <w:t>with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goal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selecting</w:t>
      </w:r>
      <w:r>
        <w:rPr>
          <w:spacing w:val="-58"/>
        </w:rPr>
        <w:t> </w:t>
      </w:r>
      <w:r>
        <w:rPr/>
        <w:t>the best material system for the temporary military structures within a given operational</w:t>
      </w:r>
      <w:r>
        <w:rPr>
          <w:spacing w:val="1"/>
        </w:rPr>
        <w:t> </w:t>
      </w:r>
      <w:r>
        <w:rPr/>
        <w:t>environment.</w:t>
      </w:r>
      <w:r>
        <w:rPr>
          <w:spacing w:val="1"/>
        </w:rPr>
        <w:t> </w:t>
      </w:r>
      <w:r>
        <w:rPr/>
        <w:t>A simplified tool based on a radar chart was developed to present a visual</w:t>
      </w:r>
      <w:r>
        <w:rPr>
          <w:spacing w:val="1"/>
        </w:rPr>
        <w:t> </w:t>
      </w:r>
      <w:r>
        <w:rPr/>
        <w:t>representation of the decision for military leaders.</w:t>
      </w:r>
      <w:r>
        <w:rPr>
          <w:spacing w:val="1"/>
        </w:rPr>
        <w:t> </w:t>
      </w:r>
      <w:r>
        <w:rPr/>
        <w:t>Ultimately, the decision is highly</w:t>
      </w:r>
      <w:r>
        <w:rPr>
          <w:spacing w:val="1"/>
        </w:rPr>
        <w:t> </w:t>
      </w:r>
      <w:r>
        <w:rPr/>
        <w:t>dependent</w:t>
      </w:r>
      <w:r>
        <w:rPr>
          <w:spacing w:val="38"/>
        </w:rPr>
        <w:t> </w:t>
      </w:r>
      <w:r>
        <w:rPr/>
        <w:t>on</w:t>
      </w:r>
      <w:r>
        <w:rPr>
          <w:spacing w:val="39"/>
        </w:rPr>
        <w:t> </w:t>
      </w:r>
      <w:r>
        <w:rPr/>
        <w:t>a</w:t>
      </w:r>
      <w:r>
        <w:rPr>
          <w:spacing w:val="39"/>
        </w:rPr>
        <w:t> </w:t>
      </w:r>
      <w:r>
        <w:rPr/>
        <w:t>thorough</w:t>
      </w:r>
      <w:r>
        <w:rPr>
          <w:spacing w:val="39"/>
        </w:rPr>
        <w:t> </w:t>
      </w:r>
      <w:r>
        <w:rPr/>
        <w:t>definition</w:t>
      </w:r>
      <w:r>
        <w:rPr>
          <w:spacing w:val="38"/>
        </w:rPr>
        <w:t> </w:t>
      </w:r>
      <w:r>
        <w:rPr/>
        <w:t>of</w:t>
      </w:r>
      <w:r>
        <w:rPr>
          <w:spacing w:val="39"/>
        </w:rPr>
        <w:t> </w:t>
      </w:r>
      <w:r>
        <w:rPr/>
        <w:t>the</w:t>
      </w:r>
      <w:r>
        <w:rPr>
          <w:spacing w:val="38"/>
        </w:rPr>
        <w:t> </w:t>
      </w:r>
      <w:r>
        <w:rPr/>
        <w:t>evaluation</w:t>
      </w:r>
      <w:r>
        <w:rPr>
          <w:spacing w:val="38"/>
        </w:rPr>
        <w:t> </w:t>
      </w:r>
      <w:r>
        <w:rPr/>
        <w:t>criteria.</w:t>
      </w:r>
      <w:r>
        <w:rPr>
          <w:spacing w:val="19"/>
        </w:rPr>
        <w:t> </w:t>
      </w:r>
      <w:r>
        <w:rPr/>
        <w:t>The</w:t>
      </w:r>
      <w:r>
        <w:rPr>
          <w:spacing w:val="38"/>
        </w:rPr>
        <w:t> </w:t>
      </w:r>
      <w:r>
        <w:rPr/>
        <w:t>research</w:t>
      </w:r>
      <w:r>
        <w:rPr>
          <w:spacing w:val="38"/>
        </w:rPr>
        <w:t> </w:t>
      </w:r>
      <w:r>
        <w:rPr/>
        <w:t>defines</w:t>
      </w:r>
      <w:r>
        <w:rPr>
          <w:spacing w:val="40"/>
        </w:rPr>
        <w:t> </w:t>
      </w:r>
      <w:r>
        <w:rPr/>
        <w:t>a</w:t>
      </w:r>
    </w:p>
    <w:p>
      <w:pPr>
        <w:spacing w:after="0" w:line="480" w:lineRule="auto"/>
        <w:jc w:val="both"/>
        <w:sectPr>
          <w:pgSz w:w="12240" w:h="15840"/>
          <w:pgMar w:header="0" w:footer="984" w:top="1360" w:bottom="1260" w:left="1720" w:right="1320"/>
        </w:sectPr>
      </w:pPr>
    </w:p>
    <w:p>
      <w:pPr>
        <w:pStyle w:val="BodyText"/>
        <w:spacing w:line="480" w:lineRule="auto" w:before="78"/>
        <w:ind w:left="440" w:right="118"/>
        <w:jc w:val="both"/>
      </w:pPr>
      <w:r>
        <w:rPr/>
        <w:t>tailored set of decision criteria for temporary military structures along with proposed</w:t>
      </w:r>
      <w:r>
        <w:rPr>
          <w:spacing w:val="1"/>
        </w:rPr>
        <w:t> </w:t>
      </w:r>
      <w:r>
        <w:rPr/>
        <w:t>methodologies</w:t>
      </w:r>
      <w:r>
        <w:rPr>
          <w:spacing w:val="-1"/>
        </w:rPr>
        <w:t> </w:t>
      </w:r>
      <w:r>
        <w:rPr/>
        <w:t>for rating</w:t>
      </w:r>
      <w:r>
        <w:rPr>
          <w:spacing w:val="-1"/>
        </w:rPr>
        <w:t> </w:t>
      </w:r>
      <w:r>
        <w:rPr/>
        <w:t>their performance.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/>
        <w:ind w:left="440" w:right="117" w:firstLine="720"/>
        <w:jc w:val="both"/>
      </w:pPr>
      <w:r>
        <w:rPr/>
        <w:t>CLT</w:t>
      </w:r>
      <w:r>
        <w:rPr>
          <w:spacing w:val="1"/>
        </w:rPr>
        <w:t> </w:t>
      </w:r>
      <w:r>
        <w:rPr/>
        <w:t>presents</w:t>
      </w:r>
      <w:r>
        <w:rPr>
          <w:spacing w:val="1"/>
        </w:rPr>
        <w:t> </w:t>
      </w:r>
      <w:r>
        <w:rPr/>
        <w:t>significant</w:t>
      </w:r>
      <w:r>
        <w:rPr>
          <w:spacing w:val="1"/>
        </w:rPr>
        <w:t> </w:t>
      </w:r>
      <w:r>
        <w:rPr/>
        <w:t>potential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improved</w:t>
      </w:r>
      <w:r>
        <w:rPr>
          <w:spacing w:val="1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over</w:t>
      </w:r>
      <w:r>
        <w:rPr>
          <w:spacing w:val="1"/>
        </w:rPr>
        <w:t> </w:t>
      </w:r>
      <w:r>
        <w:rPr/>
        <w:t>traditional</w:t>
      </w:r>
      <w:r>
        <w:rPr>
          <w:spacing w:val="-57"/>
        </w:rPr>
        <w:t> </w:t>
      </w:r>
      <w:r>
        <w:rPr/>
        <w:t>lightweight construction materials for use in temporary military structures. Improvements</w:t>
      </w:r>
      <w:r>
        <w:rPr>
          <w:spacing w:val="-57"/>
        </w:rPr>
        <w:t> </w:t>
      </w:r>
      <w:r>
        <w:rPr/>
        <w:t>in ballistic resistance and blast response are critical force protection considerations for</w:t>
      </w:r>
      <w:r>
        <w:rPr>
          <w:spacing w:val="1"/>
        </w:rPr>
        <w:t> </w:t>
      </w:r>
      <w:r>
        <w:rPr/>
        <w:t>temporary military structures.</w:t>
      </w:r>
      <w:r>
        <w:rPr>
          <w:spacing w:val="1"/>
        </w:rPr>
        <w:t> </w:t>
      </w:r>
      <w:r>
        <w:rPr/>
        <w:t>While additional research is needed to definitively rate the</w:t>
      </w:r>
      <w:r>
        <w:rPr>
          <w:spacing w:val="-57"/>
        </w:rPr>
        <w:t> </w:t>
      </w:r>
      <w:r>
        <w:rPr/>
        <w:t>performance of CLT for ballistic resistance, this research presents the first such tests ever</w:t>
      </w:r>
      <w:r>
        <w:rPr>
          <w:spacing w:val="-57"/>
        </w:rPr>
        <w:t> </w:t>
      </w:r>
      <w:r>
        <w:rPr/>
        <w:t>conducted and provides a foundation for future work.</w:t>
      </w:r>
      <w:r>
        <w:rPr>
          <w:spacing w:val="1"/>
        </w:rPr>
        <w:t> </w:t>
      </w:r>
      <w:r>
        <w:rPr/>
        <w:t>The concept of enhanced CLT</w:t>
      </w:r>
      <w:r>
        <w:rPr>
          <w:spacing w:val="1"/>
        </w:rPr>
        <w:t> </w:t>
      </w:r>
      <w:r>
        <w:rPr>
          <w:spacing w:val="-1"/>
        </w:rPr>
        <w:t>defined</w:t>
      </w:r>
      <w:r>
        <w:rPr>
          <w:spacing w:val="-14"/>
        </w:rPr>
        <w:t> </w:t>
      </w:r>
      <w:r>
        <w:rPr>
          <w:spacing w:val="-1"/>
        </w:rPr>
        <w:t>by</w:t>
      </w:r>
      <w:r>
        <w:rPr>
          <w:spacing w:val="-14"/>
        </w:rPr>
        <w:t> </w:t>
      </w:r>
      <w:r>
        <w:rPr>
          <w:spacing w:val="-1"/>
        </w:rPr>
        <w:t>this</w:t>
      </w:r>
      <w:r>
        <w:rPr>
          <w:spacing w:val="-12"/>
        </w:rPr>
        <w:t> </w:t>
      </w:r>
      <w:r>
        <w:rPr>
          <w:spacing w:val="-1"/>
        </w:rPr>
        <w:t>research</w:t>
      </w:r>
      <w:r>
        <w:rPr>
          <w:spacing w:val="-15"/>
        </w:rPr>
        <w:t> </w:t>
      </w:r>
      <w:r>
        <w:rPr/>
        <w:t>holds</w:t>
      </w:r>
      <w:r>
        <w:rPr>
          <w:spacing w:val="-12"/>
        </w:rPr>
        <w:t> </w:t>
      </w:r>
      <w:r>
        <w:rPr/>
        <w:t>much</w:t>
      </w:r>
      <w:r>
        <w:rPr>
          <w:spacing w:val="-12"/>
        </w:rPr>
        <w:t> </w:t>
      </w:r>
      <w:r>
        <w:rPr/>
        <w:t>promise</w:t>
      </w:r>
      <w:r>
        <w:rPr>
          <w:spacing w:val="-12"/>
        </w:rPr>
        <w:t> </w:t>
      </w:r>
      <w:r>
        <w:rPr/>
        <w:t>and</w:t>
      </w:r>
      <w:r>
        <w:rPr>
          <w:spacing w:val="-14"/>
        </w:rPr>
        <w:t> </w:t>
      </w:r>
      <w:r>
        <w:rPr/>
        <w:t>has</w:t>
      </w:r>
      <w:r>
        <w:rPr>
          <w:spacing w:val="-12"/>
        </w:rPr>
        <w:t> </w:t>
      </w:r>
      <w:r>
        <w:rPr/>
        <w:t>demonstrated</w:t>
      </w:r>
      <w:r>
        <w:rPr>
          <w:spacing w:val="-15"/>
        </w:rPr>
        <w:t> </w:t>
      </w:r>
      <w:r>
        <w:rPr/>
        <w:t>that</w:t>
      </w:r>
      <w:r>
        <w:rPr>
          <w:spacing w:val="-13"/>
        </w:rPr>
        <w:t> </w:t>
      </w:r>
      <w:r>
        <w:rPr/>
        <w:t>specialized</w:t>
      </w:r>
      <w:r>
        <w:rPr>
          <w:spacing w:val="-13"/>
        </w:rPr>
        <w:t> </w:t>
      </w:r>
      <w:r>
        <w:rPr/>
        <w:t>variants</w:t>
      </w:r>
      <w:r>
        <w:rPr>
          <w:spacing w:val="-58"/>
        </w:rPr>
        <w:t> </w:t>
      </w:r>
      <w:r>
        <w:rPr/>
        <w:t>of CLT can be designed to meet military specifications for ballistic resistance.</w:t>
      </w:r>
      <w:r>
        <w:rPr>
          <w:spacing w:val="1"/>
        </w:rPr>
        <w:t> </w:t>
      </w:r>
      <w:r>
        <w:rPr/>
        <w:t>The blast</w:t>
      </w:r>
      <w:r>
        <w:rPr>
          <w:spacing w:val="1"/>
        </w:rPr>
        <w:t> </w:t>
      </w:r>
      <w:r>
        <w:rPr/>
        <w:t>analysis tool shows good agreement with the response of CLT in the elastic regime and</w:t>
      </w:r>
      <w:r>
        <w:rPr>
          <w:spacing w:val="1"/>
        </w:rPr>
        <w:t> </w:t>
      </w:r>
      <w:r>
        <w:rPr>
          <w:spacing w:val="-1"/>
        </w:rPr>
        <w:t>can</w:t>
      </w:r>
      <w:r>
        <w:rPr>
          <w:spacing w:val="-14"/>
        </w:rPr>
        <w:t> </w:t>
      </w:r>
      <w:r>
        <w:rPr>
          <w:spacing w:val="-1"/>
        </w:rPr>
        <w:t>be</w:t>
      </w:r>
      <w:r>
        <w:rPr>
          <w:spacing w:val="-13"/>
        </w:rPr>
        <w:t> </w:t>
      </w:r>
      <w:r>
        <w:rPr>
          <w:spacing w:val="-1"/>
        </w:rPr>
        <w:t>modified</w:t>
      </w:r>
      <w:r>
        <w:rPr>
          <w:spacing w:val="-14"/>
        </w:rPr>
        <w:t> </w:t>
      </w:r>
      <w:r>
        <w:rPr>
          <w:spacing w:val="-1"/>
        </w:rPr>
        <w:t>to</w:t>
      </w:r>
      <w:r>
        <w:rPr>
          <w:spacing w:val="-15"/>
        </w:rPr>
        <w:t> </w:t>
      </w:r>
      <w:r>
        <w:rPr>
          <w:spacing w:val="-1"/>
        </w:rPr>
        <w:t>include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inelastic</w:t>
      </w:r>
      <w:r>
        <w:rPr>
          <w:spacing w:val="-13"/>
        </w:rPr>
        <w:t> </w:t>
      </w:r>
      <w:r>
        <w:rPr/>
        <w:t>regime</w:t>
      </w:r>
      <w:r>
        <w:rPr>
          <w:spacing w:val="-13"/>
        </w:rPr>
        <w:t> </w:t>
      </w:r>
      <w:r>
        <w:rPr/>
        <w:t>with</w:t>
      </w:r>
      <w:r>
        <w:rPr>
          <w:spacing w:val="-13"/>
        </w:rPr>
        <w:t> </w:t>
      </w:r>
      <w:r>
        <w:rPr/>
        <w:t>further</w:t>
      </w:r>
      <w:r>
        <w:rPr>
          <w:spacing w:val="-13"/>
        </w:rPr>
        <w:t> </w:t>
      </w:r>
      <w:r>
        <w:rPr/>
        <w:t>blast</w:t>
      </w:r>
      <w:r>
        <w:rPr>
          <w:spacing w:val="-13"/>
        </w:rPr>
        <w:t> </w:t>
      </w:r>
      <w:r>
        <w:rPr/>
        <w:t>simulation</w:t>
      </w:r>
      <w:r>
        <w:rPr>
          <w:spacing w:val="-15"/>
        </w:rPr>
        <w:t> </w:t>
      </w:r>
      <w:r>
        <w:rPr/>
        <w:t>testing.</w:t>
      </w:r>
      <w:r>
        <w:rPr>
          <w:spacing w:val="33"/>
        </w:rPr>
        <w:t> </w:t>
      </w:r>
      <w:r>
        <w:rPr/>
        <w:t>Lastly,</w:t>
      </w:r>
      <w:r>
        <w:rPr>
          <w:spacing w:val="-57"/>
        </w:rPr>
        <w:t> </w:t>
      </w:r>
      <w:r>
        <w:rPr/>
        <w:t>tailored evaluation criteria for comparative assessment of a construction material system,</w:t>
      </w:r>
      <w:r>
        <w:rPr>
          <w:spacing w:val="1"/>
        </w:rPr>
        <w:t> </w:t>
      </w:r>
      <w:r>
        <w:rPr/>
        <w:t>like CLT, for use in temporary military structures was developed and implemented in the</w:t>
      </w:r>
      <w:r>
        <w:rPr>
          <w:spacing w:val="1"/>
        </w:rPr>
        <w:t> </w:t>
      </w:r>
      <w:r>
        <w:rPr/>
        <w:t>context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decision making required</w:t>
      </w:r>
      <w:r>
        <w:rPr>
          <w:spacing w:val="-2"/>
        </w:rPr>
        <w:t> </w:t>
      </w:r>
      <w:r>
        <w:rPr/>
        <w:t>of military</w:t>
      </w:r>
      <w:r>
        <w:rPr>
          <w:spacing w:val="-3"/>
        </w:rPr>
        <w:t> </w:t>
      </w:r>
      <w:r>
        <w:rPr/>
        <w:t>leaders.</w:t>
      </w:r>
    </w:p>
    <w:p>
      <w:pPr>
        <w:spacing w:after="0" w:line="480" w:lineRule="auto"/>
        <w:jc w:val="both"/>
        <w:sectPr>
          <w:pgSz w:w="12240" w:h="15840"/>
          <w:pgMar w:header="0" w:footer="984" w:top="1360" w:bottom="1260" w:left="1720" w:right="1320"/>
        </w:sectPr>
      </w:pPr>
    </w:p>
    <w:p>
      <w:pPr>
        <w:pStyle w:val="Heading4"/>
        <w:spacing w:line="259" w:lineRule="auto"/>
        <w:ind w:left="3640" w:right="3319" w:hanging="80"/>
      </w:pPr>
      <w:bookmarkStart w:name="_TOC_250071" w:id="11"/>
      <w:bookmarkStart w:name="Chapter 1" w:id="12"/>
      <w:r>
        <w:rPr>
          <w:b w:val="0"/>
        </w:rPr>
      </w:r>
      <w:r>
        <w:rPr/>
        <w:t>CHAPTER 1</w:t>
      </w:r>
      <w:r>
        <w:rPr>
          <w:spacing w:val="1"/>
        </w:rPr>
        <w:t> </w:t>
      </w:r>
      <w:bookmarkEnd w:id="11"/>
      <w:r>
        <w:rPr>
          <w:spacing w:val="-1"/>
        </w:rPr>
        <w:t>INTRODUCTION</w:t>
      </w: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spacing w:before="11"/>
        <w:rPr>
          <w:b/>
          <w:sz w:val="25"/>
        </w:rPr>
      </w:pPr>
    </w:p>
    <w:p>
      <w:pPr>
        <w:pStyle w:val="Heading9"/>
        <w:numPr>
          <w:ilvl w:val="1"/>
          <w:numId w:val="12"/>
        </w:numPr>
        <w:tabs>
          <w:tab w:pos="800" w:val="left" w:leader="none"/>
        </w:tabs>
        <w:spacing w:line="240" w:lineRule="auto" w:before="0" w:after="0"/>
        <w:ind w:left="800" w:right="0" w:hanging="360"/>
        <w:jc w:val="both"/>
      </w:pPr>
      <w:bookmarkStart w:name="_TOC_250070" w:id="13"/>
      <w:bookmarkStart w:name="1.1 Problem Statement" w:id="14"/>
      <w:r>
        <w:rPr>
          <w:b w:val="0"/>
        </w:rPr>
      </w:r>
      <w:bookmarkEnd w:id="14"/>
      <w:bookmarkStart w:name="1.1 Problem Statement" w:id="15"/>
      <w:r>
        <w:rPr/>
        <w:t>P</w:t>
      </w:r>
      <w:r>
        <w:rPr/>
        <w:t>roblem</w:t>
      </w:r>
      <w:r>
        <w:rPr>
          <w:spacing w:val="-8"/>
        </w:rPr>
        <w:t> </w:t>
      </w:r>
      <w:bookmarkEnd w:id="13"/>
      <w:r>
        <w:rPr/>
        <w:t>Statement</w:t>
      </w:r>
    </w:p>
    <w:p>
      <w:pPr>
        <w:pStyle w:val="BodyText"/>
        <w:spacing w:line="480" w:lineRule="auto" w:before="138"/>
        <w:ind w:left="440" w:right="116" w:firstLine="720"/>
        <w:jc w:val="both"/>
      </w:pPr>
      <w:r>
        <w:rPr/>
        <w:t>As the siren of the mass notification system blares signaling that the base is under</w:t>
      </w:r>
      <w:r>
        <w:rPr>
          <w:spacing w:val="1"/>
        </w:rPr>
        <w:t> </w:t>
      </w:r>
      <w:r>
        <w:rPr/>
        <w:t>attack, sleep-deprived soldiers grab their helmets and body armor and retreat </w:t>
      </w:r>
      <w:r>
        <w:rPr>
          <w:i/>
        </w:rPr>
        <w:t>outside </w:t>
      </w:r>
      <w:r>
        <w:rPr/>
        <w:t>of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vulnerable</w:t>
      </w:r>
      <w:r>
        <w:rPr>
          <w:spacing w:val="1"/>
        </w:rPr>
        <w:t> </w:t>
      </w:r>
      <w:r>
        <w:rPr/>
        <w:t>living</w:t>
      </w:r>
      <w:r>
        <w:rPr>
          <w:spacing w:val="1"/>
        </w:rPr>
        <w:t> </w:t>
      </w:r>
      <w:r>
        <w:rPr/>
        <w:t>quarters,</w:t>
      </w:r>
      <w:r>
        <w:rPr>
          <w:spacing w:val="1"/>
        </w:rPr>
        <w:t> </w:t>
      </w:r>
      <w:r>
        <w:rPr/>
        <w:t>ducking</w:t>
      </w:r>
      <w:r>
        <w:rPr>
          <w:spacing w:val="1"/>
        </w:rPr>
        <w:t> </w:t>
      </w:r>
      <w:r>
        <w:rPr/>
        <w:t>into</w:t>
      </w:r>
      <w:r>
        <w:rPr>
          <w:spacing w:val="1"/>
        </w:rPr>
        <w:t> </w:t>
      </w:r>
      <w:r>
        <w:rPr/>
        <w:t>cramped,</w:t>
      </w:r>
      <w:r>
        <w:rPr>
          <w:spacing w:val="1"/>
        </w:rPr>
        <w:t> </w:t>
      </w:r>
      <w:r>
        <w:rPr/>
        <w:t>fortified</w:t>
      </w:r>
      <w:r>
        <w:rPr>
          <w:spacing w:val="1"/>
        </w:rPr>
        <w:t> </w:t>
      </w:r>
      <w:r>
        <w:rPr/>
        <w:t>bunkers</w:t>
      </w:r>
      <w:r>
        <w:rPr>
          <w:spacing w:val="1"/>
        </w:rPr>
        <w:t> </w:t>
      </w:r>
      <w:r>
        <w:rPr/>
        <w:t>placed</w:t>
      </w:r>
      <w:r>
        <w:rPr>
          <w:spacing w:val="1"/>
        </w:rPr>
        <w:t> </w:t>
      </w:r>
      <w:r>
        <w:rPr/>
        <w:t>intentionally near the temporary housing structures.</w:t>
      </w:r>
      <w:r>
        <w:rPr>
          <w:spacing w:val="1"/>
        </w:rPr>
        <w:t> </w:t>
      </w:r>
      <w:r>
        <w:rPr/>
        <w:t>A scene like this has played out</w:t>
      </w:r>
      <w:r>
        <w:rPr>
          <w:spacing w:val="1"/>
        </w:rPr>
        <w:t> </w:t>
      </w:r>
      <w:r>
        <w:rPr/>
        <w:t>multiples times a day on the military bases in Iraq and Afghanistan over the last 15 years.</w:t>
      </w:r>
      <w:r>
        <w:rPr>
          <w:spacing w:val="-57"/>
        </w:rPr>
        <w:t> </w:t>
      </w:r>
      <w:r>
        <w:rPr/>
        <w:t>The United States Army and other Department of Defense (DoD) agencies operating in</w:t>
      </w:r>
      <w:r>
        <w:rPr>
          <w:spacing w:val="1"/>
        </w:rPr>
        <w:t> </w:t>
      </w:r>
      <w:r>
        <w:rPr/>
        <w:t>expeditionary,</w:t>
      </w:r>
      <w:r>
        <w:rPr>
          <w:spacing w:val="1"/>
        </w:rPr>
        <w:t> </w:t>
      </w:r>
      <w:r>
        <w:rPr/>
        <w:t>forward</w:t>
      </w:r>
      <w:r>
        <w:rPr>
          <w:spacing w:val="1"/>
        </w:rPr>
        <w:t> </w:t>
      </w:r>
      <w:r>
        <w:rPr/>
        <w:t>environments</w:t>
      </w:r>
      <w:r>
        <w:rPr>
          <w:spacing w:val="1"/>
        </w:rPr>
        <w:t> </w:t>
      </w:r>
      <w:r>
        <w:rPr/>
        <w:t>face</w:t>
      </w:r>
      <w:r>
        <w:rPr>
          <w:spacing w:val="1"/>
        </w:rPr>
        <w:t> </w:t>
      </w:r>
      <w:r>
        <w:rPr/>
        <w:t>unique</w:t>
      </w:r>
      <w:r>
        <w:rPr>
          <w:spacing w:val="1"/>
        </w:rPr>
        <w:t> </w:t>
      </w:r>
      <w:r>
        <w:rPr/>
        <w:t>challenges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balancing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many</w:t>
      </w:r>
      <w:r>
        <w:rPr>
          <w:spacing w:val="1"/>
        </w:rPr>
        <w:t> </w:t>
      </w:r>
      <w:r>
        <w:rPr/>
        <w:t>competing</w:t>
      </w:r>
      <w:r>
        <w:rPr>
          <w:spacing w:val="1"/>
        </w:rPr>
        <w:t> </w:t>
      </w:r>
      <w:r>
        <w:rPr/>
        <w:t>requirements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construction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temporary</w:t>
      </w:r>
      <w:r>
        <w:rPr>
          <w:spacing w:val="1"/>
        </w:rPr>
        <w:t> </w:t>
      </w:r>
      <w:r>
        <w:rPr/>
        <w:t>structures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deployed</w:t>
      </w:r>
      <w:r>
        <w:rPr>
          <w:spacing w:val="1"/>
        </w:rPr>
        <w:t> </w:t>
      </w:r>
      <w:r>
        <w:rPr/>
        <w:t>personnel.</w:t>
      </w:r>
      <w:r>
        <w:rPr>
          <w:spacing w:val="37"/>
        </w:rPr>
        <w:t> </w:t>
      </w:r>
      <w:r>
        <w:rPr/>
        <w:t>While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structures</w:t>
      </w:r>
      <w:r>
        <w:rPr>
          <w:spacing w:val="-11"/>
        </w:rPr>
        <w:t> </w:t>
      </w:r>
      <w:r>
        <w:rPr/>
        <w:t>are</w:t>
      </w:r>
      <w:r>
        <w:rPr>
          <w:spacing w:val="-11"/>
        </w:rPr>
        <w:t> </w:t>
      </w:r>
      <w:r>
        <w:rPr/>
        <w:t>temporary,</w:t>
      </w:r>
      <w:r>
        <w:rPr>
          <w:spacing w:val="-10"/>
        </w:rPr>
        <w:t> </w:t>
      </w:r>
      <w:r>
        <w:rPr/>
        <w:t>their</w:t>
      </w:r>
      <w:r>
        <w:rPr>
          <w:spacing w:val="-9"/>
        </w:rPr>
        <w:t> </w:t>
      </w:r>
      <w:r>
        <w:rPr/>
        <w:t>needed</w:t>
      </w:r>
      <w:r>
        <w:rPr>
          <w:spacing w:val="-10"/>
        </w:rPr>
        <w:t> </w:t>
      </w:r>
      <w:r>
        <w:rPr/>
        <w:t>lifespan</w:t>
      </w:r>
      <w:r>
        <w:rPr>
          <w:spacing w:val="-10"/>
        </w:rPr>
        <w:t> </w:t>
      </w:r>
      <w:r>
        <w:rPr/>
        <w:t>can</w:t>
      </w:r>
      <w:r>
        <w:rPr>
          <w:spacing w:val="-10"/>
        </w:rPr>
        <w:t> </w:t>
      </w:r>
      <w:r>
        <w:rPr/>
        <w:t>be</w:t>
      </w:r>
      <w:r>
        <w:rPr>
          <w:spacing w:val="-10"/>
        </w:rPr>
        <w:t> </w:t>
      </w:r>
      <w:r>
        <w:rPr/>
        <w:t>highly</w:t>
      </w:r>
      <w:r>
        <w:rPr>
          <w:spacing w:val="-10"/>
        </w:rPr>
        <w:t> </w:t>
      </w:r>
      <w:r>
        <w:rPr/>
        <w:t>variable</w:t>
      </w:r>
      <w:r>
        <w:rPr>
          <w:spacing w:val="-58"/>
        </w:rPr>
        <w:t> </w:t>
      </w:r>
      <w:r>
        <w:rPr/>
        <w:t>as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purpose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each</w:t>
      </w:r>
      <w:r>
        <w:rPr>
          <w:spacing w:val="1"/>
        </w:rPr>
        <w:t> </w:t>
      </w:r>
      <w:r>
        <w:rPr/>
        <w:t>structure</w:t>
      </w:r>
      <w:r>
        <w:rPr>
          <w:spacing w:val="1"/>
        </w:rPr>
        <w:t> </w:t>
      </w:r>
      <w:r>
        <w:rPr/>
        <w:t>over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lifespan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today’s</w:t>
      </w:r>
      <w:r>
        <w:rPr>
          <w:spacing w:val="1"/>
        </w:rPr>
        <w:t> </w:t>
      </w:r>
      <w:r>
        <w:rPr/>
        <w:t>operational</w:t>
      </w:r>
      <w:r>
        <w:rPr>
          <w:spacing w:val="1"/>
        </w:rPr>
        <w:t> </w:t>
      </w:r>
      <w:r>
        <w:rPr/>
        <w:t>unit</w:t>
      </w:r>
      <w:r>
        <w:rPr>
          <w:spacing w:val="1"/>
        </w:rPr>
        <w:t> </w:t>
      </w:r>
      <w:r>
        <w:rPr/>
        <w:t>headquarters could be tomorrow’s combat support hospital.</w:t>
      </w:r>
      <w:r>
        <w:rPr>
          <w:spacing w:val="1"/>
        </w:rPr>
        <w:t> </w:t>
      </w:r>
      <w:r>
        <w:rPr/>
        <w:t>In addition to the evolving</w:t>
      </w:r>
      <w:r>
        <w:rPr>
          <w:spacing w:val="1"/>
        </w:rPr>
        <w:t> </w:t>
      </w:r>
      <w:r>
        <w:rPr/>
        <w:t>purpose of a temporary structure, the location of forces can also rapidly change within a</w:t>
      </w:r>
      <w:r>
        <w:rPr>
          <w:spacing w:val="1"/>
        </w:rPr>
        <w:t> </w:t>
      </w:r>
      <w:r>
        <w:rPr/>
        <w:t>forward geographic area. This change, combined with today’s construction materials,</w:t>
      </w:r>
      <w:r>
        <w:rPr>
          <w:spacing w:val="1"/>
        </w:rPr>
        <w:t> </w:t>
      </w:r>
      <w:r>
        <w:rPr/>
        <w:t>results in more structures built in the new location, increasing construction effort and</w:t>
      </w:r>
      <w:r>
        <w:rPr>
          <w:spacing w:val="1"/>
        </w:rPr>
        <w:t> </w:t>
      </w:r>
      <w:r>
        <w:rPr/>
        <w:t>material</w:t>
      </w:r>
      <w:r>
        <w:rPr>
          <w:spacing w:val="-1"/>
        </w:rPr>
        <w:t> </w:t>
      </w:r>
      <w:r>
        <w:rPr/>
        <w:t>requirements.</w:t>
      </w:r>
    </w:p>
    <w:p>
      <w:pPr>
        <w:pStyle w:val="BodyText"/>
        <w:spacing w:line="480" w:lineRule="auto" w:before="160"/>
        <w:ind w:left="440" w:right="117" w:firstLine="720"/>
        <w:jc w:val="both"/>
      </w:pPr>
      <w:r>
        <w:rPr/>
        <w:t>A top priority of DoD decision makers is the safety of personnel in temporary</w:t>
      </w:r>
      <w:r>
        <w:rPr>
          <w:spacing w:val="1"/>
        </w:rPr>
        <w:t> </w:t>
      </w:r>
      <w:r>
        <w:rPr/>
        <w:t>structures.</w:t>
      </w:r>
      <w:r>
        <w:rPr>
          <w:spacing w:val="1"/>
        </w:rPr>
        <w:t> </w:t>
      </w:r>
      <w:r>
        <w:rPr/>
        <w:t>Therefore,</w:t>
      </w:r>
      <w:r>
        <w:rPr>
          <w:spacing w:val="1"/>
        </w:rPr>
        <w:t> </w:t>
      </w:r>
      <w:r>
        <w:rPr/>
        <w:t>force</w:t>
      </w:r>
      <w:r>
        <w:rPr>
          <w:spacing w:val="1"/>
        </w:rPr>
        <w:t> </w:t>
      </w:r>
      <w:r>
        <w:rPr/>
        <w:t>protection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anti-terrorism</w:t>
      </w:r>
      <w:r>
        <w:rPr>
          <w:spacing w:val="1"/>
        </w:rPr>
        <w:t> </w:t>
      </w:r>
      <w:r>
        <w:rPr/>
        <w:t>measures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always</w:t>
      </w:r>
      <w:r>
        <w:rPr>
          <w:spacing w:val="-57"/>
        </w:rPr>
        <w:t> </w:t>
      </w:r>
      <w:r>
        <w:rPr/>
        <w:t>incorporated</w:t>
      </w:r>
      <w:r>
        <w:rPr>
          <w:spacing w:val="1"/>
        </w:rPr>
        <w:t> </w:t>
      </w:r>
      <w:r>
        <w:rPr/>
        <w:t>into</w:t>
      </w:r>
      <w:r>
        <w:rPr>
          <w:spacing w:val="1"/>
        </w:rPr>
        <w:t> </w:t>
      </w:r>
      <w:r>
        <w:rPr/>
        <w:t>designs.</w:t>
      </w:r>
      <w:r>
        <w:rPr>
          <w:spacing w:val="1"/>
        </w:rPr>
        <w:t> </w:t>
      </w:r>
      <w:r>
        <w:rPr/>
        <w:t>However,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forward</w:t>
      </w:r>
      <w:r>
        <w:rPr>
          <w:spacing w:val="1"/>
        </w:rPr>
        <w:t> </w:t>
      </w:r>
      <w:r>
        <w:rPr/>
        <w:t>operating</w:t>
      </w:r>
      <w:r>
        <w:rPr>
          <w:spacing w:val="1"/>
        </w:rPr>
        <w:t> </w:t>
      </w:r>
      <w:r>
        <w:rPr/>
        <w:t>environments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considerations</w:t>
      </w:r>
      <w:r>
        <w:rPr>
          <w:spacing w:val="41"/>
        </w:rPr>
        <w:t> </w:t>
      </w:r>
      <w:r>
        <w:rPr/>
        <w:t>typically</w:t>
      </w:r>
      <w:r>
        <w:rPr>
          <w:spacing w:val="41"/>
        </w:rPr>
        <w:t> </w:t>
      </w:r>
      <w:r>
        <w:rPr/>
        <w:t>translate</w:t>
      </w:r>
      <w:r>
        <w:rPr>
          <w:spacing w:val="41"/>
        </w:rPr>
        <w:t> </w:t>
      </w:r>
      <w:r>
        <w:rPr/>
        <w:t>to</w:t>
      </w:r>
      <w:r>
        <w:rPr>
          <w:spacing w:val="40"/>
        </w:rPr>
        <w:t> </w:t>
      </w:r>
      <w:r>
        <w:rPr/>
        <w:t>large</w:t>
      </w:r>
      <w:r>
        <w:rPr>
          <w:spacing w:val="42"/>
        </w:rPr>
        <w:t> </w:t>
      </w:r>
      <w:r>
        <w:rPr/>
        <w:t>standoff</w:t>
      </w:r>
      <w:r>
        <w:rPr>
          <w:spacing w:val="41"/>
        </w:rPr>
        <w:t> </w:t>
      </w:r>
      <w:r>
        <w:rPr/>
        <w:t>requirements</w:t>
      </w:r>
      <w:r>
        <w:rPr>
          <w:spacing w:val="42"/>
        </w:rPr>
        <w:t> </w:t>
      </w:r>
      <w:r>
        <w:rPr/>
        <w:t>enlarging</w:t>
      </w:r>
      <w:r>
        <w:rPr>
          <w:spacing w:val="41"/>
        </w:rPr>
        <w:t> </w:t>
      </w:r>
      <w:r>
        <w:rPr/>
        <w:t>the</w:t>
      </w:r>
      <w:r>
        <w:rPr>
          <w:spacing w:val="41"/>
        </w:rPr>
        <w:t> </w:t>
      </w:r>
      <w:r>
        <w:rPr/>
        <w:t>forward</w:t>
      </w:r>
    </w:p>
    <w:p>
      <w:pPr>
        <w:spacing w:after="0" w:line="480" w:lineRule="auto"/>
        <w:jc w:val="both"/>
        <w:sectPr>
          <w:footerReference w:type="default" r:id="rId6"/>
          <w:pgSz w:w="12240" w:h="15840"/>
          <w:pgMar w:footer="1064" w:header="0" w:top="1460" w:bottom="1260" w:left="1720" w:right="1320"/>
          <w:pgNumType w:start="1"/>
        </w:sectPr>
      </w:pPr>
    </w:p>
    <w:p>
      <w:pPr>
        <w:pStyle w:val="BodyText"/>
        <w:spacing w:line="480" w:lineRule="auto" w:before="78"/>
        <w:ind w:left="440" w:right="116"/>
        <w:jc w:val="both"/>
      </w:pPr>
      <w:r>
        <w:rPr/>
        <w:t>operating military base footprint. This increases local security requirements and therefore</w:t>
      </w:r>
      <w:r>
        <w:rPr>
          <w:spacing w:val="-57"/>
        </w:rPr>
        <w:t> </w:t>
      </w:r>
      <w:r>
        <w:rPr/>
        <w:t>forward deployed troop level requirements. A larger base footprint requires more security</w:t>
      </w:r>
      <w:r>
        <w:rPr>
          <w:spacing w:val="-57"/>
        </w:rPr>
        <w:t> </w:t>
      </w:r>
      <w:r>
        <w:rPr/>
        <w:t>forces and provides a larger target for enemies to strike.</w:t>
      </w:r>
      <w:r>
        <w:rPr>
          <w:spacing w:val="1"/>
        </w:rPr>
        <w:t> </w:t>
      </w:r>
      <w:r>
        <w:rPr/>
        <w:t>Even with standoff distances</w:t>
      </w:r>
      <w:r>
        <w:rPr>
          <w:spacing w:val="1"/>
        </w:rPr>
        <w:t> </w:t>
      </w:r>
      <w:r>
        <w:rPr/>
        <w:t>between protected areas and potential threats, leaders take measures to protect personnel</w:t>
      </w:r>
      <w:r>
        <w:rPr>
          <w:spacing w:val="1"/>
        </w:rPr>
        <w:t> </w:t>
      </w:r>
      <w:r>
        <w:rPr/>
        <w:t>and equipment against long-range weapons effects by both hardening the structures or by</w:t>
      </w:r>
      <w:r>
        <w:rPr>
          <w:spacing w:val="1"/>
        </w:rPr>
        <w:t> </w:t>
      </w:r>
      <w:r>
        <w:rPr/>
        <w:t>building</w:t>
      </w:r>
      <w:r>
        <w:rPr>
          <w:spacing w:val="-2"/>
        </w:rPr>
        <w:t> </w:t>
      </w:r>
      <w:r>
        <w:rPr/>
        <w:t>small</w:t>
      </w:r>
      <w:r>
        <w:rPr>
          <w:spacing w:val="-1"/>
        </w:rPr>
        <w:t> </w:t>
      </w:r>
      <w:r>
        <w:rPr/>
        <w:t>concrete</w:t>
      </w:r>
      <w:r>
        <w:rPr>
          <w:spacing w:val="-2"/>
        </w:rPr>
        <w:t> </w:t>
      </w:r>
      <w:r>
        <w:rPr/>
        <w:t>bunker-type</w:t>
      </w:r>
      <w:r>
        <w:rPr>
          <w:spacing w:val="-2"/>
        </w:rPr>
        <w:t> </w:t>
      </w:r>
      <w:r>
        <w:rPr/>
        <w:t>shelters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which</w:t>
      </w:r>
      <w:r>
        <w:rPr>
          <w:spacing w:val="-1"/>
        </w:rPr>
        <w:t> </w:t>
      </w:r>
      <w:r>
        <w:rPr/>
        <w:t>troops</w:t>
      </w:r>
      <w:r>
        <w:rPr>
          <w:spacing w:val="-2"/>
        </w:rPr>
        <w:t> </w:t>
      </w:r>
      <w:r>
        <w:rPr/>
        <w:t>evacuate</w:t>
      </w:r>
      <w:r>
        <w:rPr>
          <w:spacing w:val="-1"/>
        </w:rPr>
        <w:t> </w:t>
      </w:r>
      <w:r>
        <w:rPr/>
        <w:t>to</w:t>
      </w:r>
      <w:r>
        <w:rPr>
          <w:spacing w:val="-3"/>
        </w:rPr>
        <w:t> </w:t>
      </w:r>
      <w:r>
        <w:rPr/>
        <w:t>during</w:t>
      </w:r>
      <w:r>
        <w:rPr>
          <w:spacing w:val="-1"/>
        </w:rPr>
        <w:t> </w:t>
      </w:r>
      <w:r>
        <w:rPr/>
        <w:t>an</w:t>
      </w:r>
      <w:r>
        <w:rPr>
          <w:spacing w:val="-1"/>
        </w:rPr>
        <w:t> </w:t>
      </w:r>
      <w:r>
        <w:rPr/>
        <w:t>attack.</w:t>
      </w:r>
    </w:p>
    <w:p>
      <w:pPr>
        <w:pStyle w:val="BodyText"/>
        <w:spacing w:line="480" w:lineRule="auto" w:before="160"/>
        <w:ind w:left="439" w:right="117" w:firstLine="720"/>
        <w:jc w:val="both"/>
      </w:pPr>
      <w:r>
        <w:rPr/>
        <w:t>Hardening structures for these types of attacks typically involves installing layers</w:t>
      </w:r>
      <w:r>
        <w:rPr>
          <w:spacing w:val="1"/>
        </w:rPr>
        <w:t> </w:t>
      </w:r>
      <w:r>
        <w:rPr/>
        <w:t>of</w:t>
      </w:r>
      <w:r>
        <w:rPr>
          <w:spacing w:val="-14"/>
        </w:rPr>
        <w:t> </w:t>
      </w:r>
      <w:r>
        <w:rPr/>
        <w:t>soil-filled</w:t>
      </w:r>
      <w:r>
        <w:rPr>
          <w:spacing w:val="-15"/>
        </w:rPr>
        <w:t> </w:t>
      </w:r>
      <w:r>
        <w:rPr/>
        <w:t>sandbags</w:t>
      </w:r>
      <w:r>
        <w:rPr>
          <w:spacing w:val="-13"/>
        </w:rPr>
        <w:t> </w:t>
      </w:r>
      <w:r>
        <w:rPr/>
        <w:t>on</w:t>
      </w:r>
      <w:r>
        <w:rPr>
          <w:spacing w:val="-15"/>
        </w:rPr>
        <w:t> </w:t>
      </w:r>
      <w:r>
        <w:rPr/>
        <w:t>roofs</w:t>
      </w:r>
      <w:r>
        <w:rPr>
          <w:spacing w:val="-13"/>
        </w:rPr>
        <w:t> </w:t>
      </w:r>
      <w:r>
        <w:rPr/>
        <w:t>or</w:t>
      </w:r>
      <w:r>
        <w:rPr>
          <w:spacing w:val="-13"/>
        </w:rPr>
        <w:t> </w:t>
      </w:r>
      <w:r>
        <w:rPr/>
        <w:t>along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first</w:t>
      </w:r>
      <w:r>
        <w:rPr>
          <w:spacing w:val="-13"/>
        </w:rPr>
        <w:t> </w:t>
      </w:r>
      <w:r>
        <w:rPr/>
        <w:t>few</w:t>
      </w:r>
      <w:r>
        <w:rPr>
          <w:spacing w:val="-14"/>
        </w:rPr>
        <w:t> </w:t>
      </w:r>
      <w:r>
        <w:rPr/>
        <w:t>feet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a</w:t>
      </w:r>
      <w:r>
        <w:rPr>
          <w:spacing w:val="-13"/>
        </w:rPr>
        <w:t> </w:t>
      </w:r>
      <w:r>
        <w:rPr/>
        <w:t>wall</w:t>
      </w:r>
      <w:r>
        <w:rPr>
          <w:spacing w:val="-12"/>
        </w:rPr>
        <w:t> </w:t>
      </w:r>
      <w:r>
        <w:rPr/>
        <w:t>to</w:t>
      </w:r>
      <w:r>
        <w:rPr>
          <w:spacing w:val="-13"/>
        </w:rPr>
        <w:t> </w:t>
      </w:r>
      <w:r>
        <w:rPr/>
        <w:t>protect</w:t>
      </w:r>
      <w:r>
        <w:rPr>
          <w:spacing w:val="-13"/>
        </w:rPr>
        <w:t> </w:t>
      </w:r>
      <w:r>
        <w:rPr/>
        <w:t>against</w:t>
      </w:r>
      <w:r>
        <w:rPr>
          <w:spacing w:val="-14"/>
        </w:rPr>
        <w:t> </w:t>
      </w:r>
      <w:r>
        <w:rPr/>
        <w:t>rockets</w:t>
      </w:r>
      <w:r>
        <w:rPr>
          <w:spacing w:val="-58"/>
        </w:rPr>
        <w:t> </w:t>
      </w:r>
      <w:r>
        <w:rPr/>
        <w:t>and shrapnel.</w:t>
      </w:r>
      <w:r>
        <w:rPr>
          <w:spacing w:val="1"/>
        </w:rPr>
        <w:t> </w:t>
      </w:r>
      <w:r>
        <w:rPr/>
        <w:t>In order to remain functional, these methods of hardening require constant</w:t>
      </w:r>
      <w:r>
        <w:rPr>
          <w:spacing w:val="1"/>
        </w:rPr>
        <w:t> </w:t>
      </w:r>
      <w:r>
        <w:rPr/>
        <w:t>maintenance and a sizeable labor force.</w:t>
      </w:r>
      <w:r>
        <w:rPr>
          <w:spacing w:val="1"/>
        </w:rPr>
        <w:t> </w:t>
      </w:r>
      <w:r>
        <w:rPr/>
        <w:t>Additionally, the original structure must handle</w:t>
      </w:r>
      <w:r>
        <w:rPr>
          <w:spacing w:val="1"/>
        </w:rPr>
        <w:t> </w:t>
      </w:r>
      <w:r>
        <w:rPr/>
        <w:t>the</w:t>
      </w:r>
      <w:r>
        <w:rPr>
          <w:spacing w:val="-8"/>
        </w:rPr>
        <w:t> </w:t>
      </w:r>
      <w:r>
        <w:rPr/>
        <w:t>additional</w:t>
      </w:r>
      <w:r>
        <w:rPr>
          <w:spacing w:val="-7"/>
        </w:rPr>
        <w:t> </w:t>
      </w:r>
      <w:r>
        <w:rPr/>
        <w:t>weight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hardening</w:t>
      </w:r>
      <w:r>
        <w:rPr>
          <w:spacing w:val="-7"/>
        </w:rPr>
        <w:t> </w:t>
      </w:r>
      <w:r>
        <w:rPr/>
        <w:t>efforts.</w:t>
      </w:r>
      <w:r>
        <w:rPr>
          <w:spacing w:val="46"/>
        </w:rPr>
        <w:t> </w:t>
      </w:r>
      <w:r>
        <w:rPr/>
        <w:t>In</w:t>
      </w:r>
      <w:r>
        <w:rPr>
          <w:spacing w:val="-6"/>
        </w:rPr>
        <w:t> </w:t>
      </w:r>
      <w:r>
        <w:rPr/>
        <w:t>practice,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structure</w:t>
      </w:r>
      <w:r>
        <w:rPr>
          <w:spacing w:val="-7"/>
        </w:rPr>
        <w:t> </w:t>
      </w:r>
      <w:r>
        <w:rPr/>
        <w:t>must</w:t>
      </w:r>
      <w:r>
        <w:rPr>
          <w:spacing w:val="-7"/>
        </w:rPr>
        <w:t> </w:t>
      </w:r>
      <w:r>
        <w:rPr/>
        <w:t>be</w:t>
      </w:r>
      <w:r>
        <w:rPr>
          <w:spacing w:val="-7"/>
        </w:rPr>
        <w:t> </w:t>
      </w:r>
      <w:r>
        <w:rPr/>
        <w:t>adapted</w:t>
      </w:r>
      <w:r>
        <w:rPr>
          <w:spacing w:val="-7"/>
        </w:rPr>
        <w:t> </w:t>
      </w:r>
      <w:r>
        <w:rPr/>
        <w:t>in</w:t>
      </w:r>
      <w:r>
        <w:rPr>
          <w:spacing w:val="-58"/>
        </w:rPr>
        <w:t> </w:t>
      </w:r>
      <w:r>
        <w:rPr/>
        <w:t>the field to accommodate these larger loads.</w:t>
      </w:r>
      <w:r>
        <w:rPr>
          <w:spacing w:val="1"/>
        </w:rPr>
        <w:t> </w:t>
      </w:r>
      <w:r>
        <w:rPr/>
        <w:t>These modifications are often undertaken by</w:t>
      </w:r>
      <w:r>
        <w:rPr>
          <w:spacing w:val="-57"/>
        </w:rPr>
        <w:t> </w:t>
      </w:r>
      <w:r>
        <w:rPr/>
        <w:t>troops</w:t>
      </w:r>
      <w:r>
        <w:rPr>
          <w:spacing w:val="-1"/>
        </w:rPr>
        <w:t> </w:t>
      </w:r>
      <w:r>
        <w:rPr/>
        <w:t>without engineering expertise,</w:t>
      </w:r>
      <w:r>
        <w:rPr>
          <w:spacing w:val="-2"/>
        </w:rPr>
        <w:t> </w:t>
      </w:r>
      <w:r>
        <w:rPr/>
        <w:t>posing</w:t>
      </w:r>
      <w:r>
        <w:rPr>
          <w:spacing w:val="-1"/>
        </w:rPr>
        <w:t> </w:t>
      </w:r>
      <w:r>
        <w:rPr/>
        <w:t>additional safety</w:t>
      </w:r>
      <w:r>
        <w:rPr>
          <w:spacing w:val="-2"/>
        </w:rPr>
        <w:t> </w:t>
      </w:r>
      <w:r>
        <w:rPr/>
        <w:t>concerns.</w:t>
      </w:r>
    </w:p>
    <w:p>
      <w:pPr>
        <w:pStyle w:val="BodyText"/>
        <w:spacing w:line="480" w:lineRule="auto" w:before="159"/>
        <w:ind w:left="439" w:right="116" w:firstLine="720"/>
        <w:jc w:val="both"/>
      </w:pPr>
      <w:r>
        <w:rPr/>
        <w:t>The most common type of temporary structure used today is the B-hut structure.</w:t>
      </w:r>
      <w:r>
        <w:rPr>
          <w:spacing w:val="1"/>
        </w:rPr>
        <w:t> </w:t>
      </w:r>
      <w:r>
        <w:rPr/>
        <w:t>Built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/>
        <w:t>light</w:t>
      </w:r>
      <w:r>
        <w:rPr>
          <w:spacing w:val="-2"/>
        </w:rPr>
        <w:t> </w:t>
      </w:r>
      <w:r>
        <w:rPr/>
        <w:t>timber</w:t>
      </w:r>
      <w:r>
        <w:rPr>
          <w:spacing w:val="-1"/>
        </w:rPr>
        <w:t> </w:t>
      </w:r>
      <w:r>
        <w:rPr/>
        <w:t>frame,</w:t>
      </w:r>
      <w:r>
        <w:rPr>
          <w:spacing w:val="-1"/>
        </w:rPr>
        <w:t> </w:t>
      </w:r>
      <w:r>
        <w:rPr/>
        <w:t>it</w:t>
      </w:r>
      <w:r>
        <w:rPr>
          <w:spacing w:val="-2"/>
        </w:rPr>
        <w:t> </w:t>
      </w:r>
      <w:r>
        <w:rPr/>
        <w:t>typically</w:t>
      </w:r>
      <w:r>
        <w:rPr>
          <w:spacing w:val="-3"/>
        </w:rPr>
        <w:t> </w:t>
      </w:r>
      <w:r>
        <w:rPr/>
        <w:t>takes</w:t>
      </w:r>
      <w:r>
        <w:rPr>
          <w:spacing w:val="-1"/>
        </w:rPr>
        <w:t> </w:t>
      </w:r>
      <w:r>
        <w:rPr/>
        <w:t>24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30</w:t>
      </w:r>
      <w:r>
        <w:rPr>
          <w:spacing w:val="-3"/>
        </w:rPr>
        <w:t> </w:t>
      </w:r>
      <w:r>
        <w:rPr/>
        <w:t>total</w:t>
      </w:r>
      <w:r>
        <w:rPr>
          <w:spacing w:val="-1"/>
        </w:rPr>
        <w:t> </w:t>
      </w:r>
      <w:r>
        <w:rPr/>
        <w:t>hours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/>
        <w:t>construct</w:t>
      </w:r>
      <w:r>
        <w:rPr>
          <w:spacing w:val="-2"/>
        </w:rPr>
        <w:t> </w:t>
      </w:r>
      <w:r>
        <w:rPr/>
        <w:t>using</w:t>
      </w:r>
      <w:r>
        <w:rPr>
          <w:spacing w:val="-2"/>
        </w:rPr>
        <w:t> </w:t>
      </w:r>
      <w:r>
        <w:rPr/>
        <w:t>eight</w:t>
      </w:r>
      <w:r>
        <w:rPr>
          <w:spacing w:val="-58"/>
        </w:rPr>
        <w:t> </w:t>
      </w:r>
      <w:r>
        <w:rPr/>
        <w:t>trained Soldiers equipped with tools and a power source [72].</w:t>
      </w:r>
      <w:r>
        <w:rPr>
          <w:spacing w:val="1"/>
        </w:rPr>
        <w:t> </w:t>
      </w:r>
      <w:r>
        <w:rPr/>
        <w:t>The structure, while</w:t>
      </w:r>
      <w:r>
        <w:rPr>
          <w:spacing w:val="1"/>
        </w:rPr>
        <w:t> </w:t>
      </w:r>
      <w:r>
        <w:rPr/>
        <w:t>generally</w:t>
      </w:r>
      <w:r>
        <w:rPr>
          <w:spacing w:val="-11"/>
        </w:rPr>
        <w:t> </w:t>
      </w:r>
      <w:r>
        <w:rPr/>
        <w:t>adaptable</w:t>
      </w:r>
      <w:r>
        <w:rPr>
          <w:spacing w:val="-11"/>
        </w:rPr>
        <w:t> </w:t>
      </w:r>
      <w:r>
        <w:rPr/>
        <w:t>in</w:t>
      </w:r>
      <w:r>
        <w:rPr>
          <w:spacing w:val="-10"/>
        </w:rPr>
        <w:t> </w:t>
      </w:r>
      <w:r>
        <w:rPr/>
        <w:t>functional</w:t>
      </w:r>
      <w:r>
        <w:rPr>
          <w:spacing w:val="-11"/>
        </w:rPr>
        <w:t> </w:t>
      </w:r>
      <w:r>
        <w:rPr/>
        <w:t>use,</w:t>
      </w:r>
      <w:r>
        <w:rPr>
          <w:spacing w:val="-11"/>
        </w:rPr>
        <w:t> </w:t>
      </w:r>
      <w:r>
        <w:rPr/>
        <w:t>does</w:t>
      </w:r>
      <w:r>
        <w:rPr>
          <w:spacing w:val="-11"/>
        </w:rPr>
        <w:t> </w:t>
      </w:r>
      <w:r>
        <w:rPr/>
        <w:t>not</w:t>
      </w:r>
      <w:r>
        <w:rPr>
          <w:spacing w:val="-10"/>
        </w:rPr>
        <w:t> </w:t>
      </w:r>
      <w:r>
        <w:rPr/>
        <w:t>provide</w:t>
      </w:r>
      <w:r>
        <w:rPr>
          <w:spacing w:val="-11"/>
        </w:rPr>
        <w:t> </w:t>
      </w:r>
      <w:r>
        <w:rPr/>
        <w:t>high</w:t>
      </w:r>
      <w:r>
        <w:rPr>
          <w:spacing w:val="-10"/>
        </w:rPr>
        <w:t> </w:t>
      </w:r>
      <w:r>
        <w:rPr/>
        <w:t>levels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protection</w:t>
      </w:r>
      <w:r>
        <w:rPr>
          <w:spacing w:val="-11"/>
        </w:rPr>
        <w:t> </w:t>
      </w:r>
      <w:r>
        <w:rPr/>
        <w:t>and</w:t>
      </w:r>
      <w:r>
        <w:rPr>
          <w:spacing w:val="-10"/>
        </w:rPr>
        <w:t> </w:t>
      </w:r>
      <w:r>
        <w:rPr/>
        <w:t>cannot</w:t>
      </w:r>
      <w:r>
        <w:rPr>
          <w:spacing w:val="-58"/>
        </w:rPr>
        <w:t> </w:t>
      </w:r>
      <w:r>
        <w:rPr/>
        <w:t>be easily disassembled and re-built at an alternative location.</w:t>
      </w:r>
      <w:r>
        <w:rPr>
          <w:spacing w:val="1"/>
        </w:rPr>
        <w:t> </w:t>
      </w:r>
      <w:r>
        <w:rPr/>
        <w:t>Further, B-huts are usually</w:t>
      </w:r>
      <w:r>
        <w:rPr>
          <w:spacing w:val="1"/>
        </w:rPr>
        <w:t> </w:t>
      </w:r>
      <w:r>
        <w:rPr>
          <w:spacing w:val="-1"/>
        </w:rPr>
        <w:t>uninsulated</w:t>
      </w:r>
      <w:r>
        <w:rPr>
          <w:spacing w:val="-14"/>
        </w:rPr>
        <w:t> </w:t>
      </w:r>
      <w:r>
        <w:rPr>
          <w:spacing w:val="-1"/>
        </w:rPr>
        <w:t>and</w:t>
      </w:r>
      <w:r>
        <w:rPr>
          <w:spacing w:val="-12"/>
        </w:rPr>
        <w:t> </w:t>
      </w:r>
      <w:r>
        <w:rPr>
          <w:spacing w:val="-1"/>
        </w:rPr>
        <w:t>require</w:t>
      </w:r>
      <w:r>
        <w:rPr>
          <w:spacing w:val="-13"/>
        </w:rPr>
        <w:t> </w:t>
      </w:r>
      <w:r>
        <w:rPr/>
        <w:t>large</w:t>
      </w:r>
      <w:r>
        <w:rPr>
          <w:spacing w:val="-13"/>
        </w:rPr>
        <w:t> </w:t>
      </w:r>
      <w:r>
        <w:rPr/>
        <w:t>amounts</w:t>
      </w:r>
      <w:r>
        <w:rPr>
          <w:spacing w:val="-11"/>
        </w:rPr>
        <w:t> </w:t>
      </w:r>
      <w:r>
        <w:rPr/>
        <w:t>of</w:t>
      </w:r>
      <w:r>
        <w:rPr>
          <w:spacing w:val="-13"/>
        </w:rPr>
        <w:t> </w:t>
      </w:r>
      <w:r>
        <w:rPr/>
        <w:t>power,</w:t>
      </w:r>
      <w:r>
        <w:rPr>
          <w:spacing w:val="-14"/>
        </w:rPr>
        <w:t> </w:t>
      </w:r>
      <w:r>
        <w:rPr/>
        <w:t>in</w:t>
      </w:r>
      <w:r>
        <w:rPr>
          <w:spacing w:val="-12"/>
        </w:rPr>
        <w:t> </w:t>
      </w:r>
      <w:r>
        <w:rPr/>
        <w:t>extreme</w:t>
      </w:r>
      <w:r>
        <w:rPr>
          <w:spacing w:val="-11"/>
        </w:rPr>
        <w:t> </w:t>
      </w:r>
      <w:r>
        <w:rPr/>
        <w:t>environments</w:t>
      </w:r>
      <w:r>
        <w:rPr>
          <w:spacing w:val="-12"/>
        </w:rPr>
        <w:t> </w:t>
      </w:r>
      <w:r>
        <w:rPr/>
        <w:t>to</w:t>
      </w:r>
      <w:r>
        <w:rPr>
          <w:spacing w:val="-12"/>
        </w:rPr>
        <w:t> </w:t>
      </w:r>
      <w:r>
        <w:rPr/>
        <w:t>maintain</w:t>
      </w:r>
      <w:r>
        <w:rPr>
          <w:spacing w:val="-12"/>
        </w:rPr>
        <w:t> </w:t>
      </w:r>
      <w:r>
        <w:rPr/>
        <w:t>basic</w:t>
      </w:r>
      <w:r>
        <w:rPr>
          <w:spacing w:val="-57"/>
        </w:rPr>
        <w:t> </w:t>
      </w:r>
      <w:r>
        <w:rPr/>
        <w:t>quality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life</w:t>
      </w:r>
      <w:r>
        <w:rPr>
          <w:spacing w:val="-8"/>
        </w:rPr>
        <w:t> </w:t>
      </w:r>
      <w:r>
        <w:rPr/>
        <w:t>levels.</w:t>
      </w:r>
      <w:r>
        <w:rPr>
          <w:spacing w:val="43"/>
        </w:rPr>
        <w:t> </w:t>
      </w:r>
      <w:r>
        <w:rPr/>
        <w:t>Power</w:t>
      </w:r>
      <w:r>
        <w:rPr>
          <w:spacing w:val="-8"/>
        </w:rPr>
        <w:t> </w:t>
      </w:r>
      <w:r>
        <w:rPr/>
        <w:t>requirements</w:t>
      </w:r>
      <w:r>
        <w:rPr>
          <w:spacing w:val="-8"/>
        </w:rPr>
        <w:t> </w:t>
      </w:r>
      <w:r>
        <w:rPr/>
        <w:t>increase</w:t>
      </w:r>
      <w:r>
        <w:rPr>
          <w:spacing w:val="-7"/>
        </w:rPr>
        <w:t> </w:t>
      </w:r>
      <w:r>
        <w:rPr/>
        <w:t>the</w:t>
      </w:r>
      <w:r>
        <w:rPr>
          <w:spacing w:val="-9"/>
        </w:rPr>
        <w:t> </w:t>
      </w:r>
      <w:r>
        <w:rPr/>
        <w:t>demand</w:t>
      </w:r>
      <w:r>
        <w:rPr>
          <w:spacing w:val="-8"/>
        </w:rPr>
        <w:t> </w:t>
      </w:r>
      <w:r>
        <w:rPr/>
        <w:t>for</w:t>
      </w:r>
      <w:r>
        <w:rPr>
          <w:spacing w:val="-7"/>
        </w:rPr>
        <w:t> </w:t>
      </w:r>
      <w:r>
        <w:rPr/>
        <w:t>fuel,</w:t>
      </w:r>
      <w:r>
        <w:rPr>
          <w:spacing w:val="-8"/>
        </w:rPr>
        <w:t> </w:t>
      </w:r>
      <w:r>
        <w:rPr/>
        <w:t>straining</w:t>
      </w:r>
      <w:r>
        <w:rPr>
          <w:spacing w:val="-10"/>
        </w:rPr>
        <w:t> </w:t>
      </w:r>
      <w:r>
        <w:rPr/>
        <w:t>logistical</w:t>
      </w:r>
      <w:r>
        <w:rPr>
          <w:spacing w:val="-57"/>
        </w:rPr>
        <w:t> </w:t>
      </w:r>
      <w:r>
        <w:rPr/>
        <w:t>systems</w:t>
      </w:r>
      <w:r>
        <w:rPr>
          <w:spacing w:val="-1"/>
        </w:rPr>
        <w:t> </w:t>
      </w:r>
      <w:r>
        <w:rPr/>
        <w:t>and further</w:t>
      </w:r>
      <w:r>
        <w:rPr>
          <w:spacing w:val="-1"/>
        </w:rPr>
        <w:t> </w:t>
      </w:r>
      <w:r>
        <w:rPr/>
        <w:t>putting Soldiers</w:t>
      </w:r>
      <w:r>
        <w:rPr>
          <w:spacing w:val="-1"/>
        </w:rPr>
        <w:t> </w:t>
      </w:r>
      <w:r>
        <w:rPr/>
        <w:t>at</w:t>
      </w:r>
      <w:r>
        <w:rPr>
          <w:spacing w:val="-1"/>
        </w:rPr>
        <w:t> </w:t>
      </w:r>
      <w:r>
        <w:rPr/>
        <w:t>risk due</w:t>
      </w:r>
      <w:r>
        <w:rPr>
          <w:spacing w:val="-1"/>
        </w:rPr>
        <w:t> </w:t>
      </w:r>
      <w:r>
        <w:rPr/>
        <w:t>to transport requirements.</w:t>
      </w:r>
    </w:p>
    <w:p>
      <w:pPr>
        <w:pStyle w:val="BodyText"/>
        <w:spacing w:line="480" w:lineRule="auto" w:before="152"/>
        <w:ind w:left="439" w:right="116" w:firstLine="720"/>
        <w:jc w:val="both"/>
      </w:pPr>
      <w:r>
        <w:rPr/>
        <w:t>To improve structures, the construction industry and researchers are developing</w:t>
      </w:r>
      <w:r>
        <w:rPr>
          <w:spacing w:val="1"/>
        </w:rPr>
        <w:t> </w:t>
      </w:r>
      <w:r>
        <w:rPr/>
        <w:t>new</w:t>
      </w:r>
      <w:r>
        <w:rPr>
          <w:spacing w:val="46"/>
        </w:rPr>
        <w:t> </w:t>
      </w:r>
      <w:r>
        <w:rPr/>
        <w:t>construction</w:t>
      </w:r>
      <w:r>
        <w:rPr>
          <w:spacing w:val="47"/>
        </w:rPr>
        <w:t> </w:t>
      </w:r>
      <w:r>
        <w:rPr/>
        <w:t>materials</w:t>
      </w:r>
      <w:r>
        <w:rPr>
          <w:spacing w:val="48"/>
        </w:rPr>
        <w:t> </w:t>
      </w:r>
      <w:r>
        <w:rPr/>
        <w:t>in</w:t>
      </w:r>
      <w:r>
        <w:rPr>
          <w:spacing w:val="46"/>
        </w:rPr>
        <w:t> </w:t>
      </w:r>
      <w:r>
        <w:rPr/>
        <w:t>today’s</w:t>
      </w:r>
      <w:r>
        <w:rPr>
          <w:spacing w:val="48"/>
        </w:rPr>
        <w:t> </w:t>
      </w:r>
      <w:r>
        <w:rPr/>
        <w:t>technology-enhanced</w:t>
      </w:r>
      <w:r>
        <w:rPr>
          <w:spacing w:val="46"/>
        </w:rPr>
        <w:t> </w:t>
      </w:r>
      <w:r>
        <w:rPr/>
        <w:t>world.</w:t>
      </w:r>
      <w:r>
        <w:rPr>
          <w:spacing w:val="36"/>
        </w:rPr>
        <w:t> </w:t>
      </w:r>
      <w:r>
        <w:rPr/>
        <w:t>Engineered</w:t>
      </w:r>
      <w:r>
        <w:rPr>
          <w:spacing w:val="48"/>
        </w:rPr>
        <w:t> </w:t>
      </w:r>
      <w:r>
        <w:rPr/>
        <w:t>wood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320"/>
        </w:sectPr>
      </w:pPr>
    </w:p>
    <w:p>
      <w:pPr>
        <w:pStyle w:val="BodyText"/>
        <w:spacing w:line="480" w:lineRule="auto" w:before="78"/>
        <w:ind w:left="440" w:right="117"/>
        <w:jc w:val="both"/>
      </w:pPr>
      <w:r>
        <w:rPr/>
        <w:t>products and other new materials have unique properties that distinguish them from</w:t>
      </w:r>
      <w:r>
        <w:rPr>
          <w:spacing w:val="1"/>
        </w:rPr>
        <w:t> </w:t>
      </w:r>
      <w:r>
        <w:rPr/>
        <w:t>traditional construction materials like concrete, steel and sawn timber.</w:t>
      </w:r>
      <w:r>
        <w:rPr>
          <w:spacing w:val="1"/>
        </w:rPr>
        <w:t> </w:t>
      </w:r>
      <w:r>
        <w:rPr/>
        <w:t>Because of their</w:t>
      </w:r>
      <w:r>
        <w:rPr>
          <w:spacing w:val="1"/>
        </w:rPr>
        <w:t> </w:t>
      </w:r>
      <w:r>
        <w:rPr/>
        <w:t>unique</w:t>
      </w:r>
      <w:r>
        <w:rPr>
          <w:spacing w:val="-11"/>
        </w:rPr>
        <w:t> </w:t>
      </w:r>
      <w:r>
        <w:rPr/>
        <w:t>features,</w:t>
      </w:r>
      <w:r>
        <w:rPr>
          <w:spacing w:val="-10"/>
        </w:rPr>
        <w:t> </w:t>
      </w:r>
      <w:r>
        <w:rPr/>
        <w:t>these</w:t>
      </w:r>
      <w:r>
        <w:rPr>
          <w:spacing w:val="-10"/>
        </w:rPr>
        <w:t> </w:t>
      </w:r>
      <w:r>
        <w:rPr/>
        <w:t>new</w:t>
      </w:r>
      <w:r>
        <w:rPr>
          <w:spacing w:val="-10"/>
        </w:rPr>
        <w:t> </w:t>
      </w:r>
      <w:r>
        <w:rPr/>
        <w:t>materials</w:t>
      </w:r>
      <w:r>
        <w:rPr>
          <w:spacing w:val="-11"/>
        </w:rPr>
        <w:t> </w:t>
      </w:r>
      <w:r>
        <w:rPr/>
        <w:t>should</w:t>
      </w:r>
      <w:r>
        <w:rPr>
          <w:spacing w:val="-10"/>
        </w:rPr>
        <w:t> </w:t>
      </w:r>
      <w:r>
        <w:rPr/>
        <w:t>be</w:t>
      </w:r>
      <w:r>
        <w:rPr>
          <w:spacing w:val="-11"/>
        </w:rPr>
        <w:t> </w:t>
      </w:r>
      <w:r>
        <w:rPr/>
        <w:t>investigated</w:t>
      </w:r>
      <w:r>
        <w:rPr>
          <w:spacing w:val="-10"/>
        </w:rPr>
        <w:t> </w:t>
      </w:r>
      <w:r>
        <w:rPr/>
        <w:t>and</w:t>
      </w:r>
      <w:r>
        <w:rPr>
          <w:spacing w:val="-10"/>
        </w:rPr>
        <w:t> </w:t>
      </w:r>
      <w:r>
        <w:rPr/>
        <w:t>considered</w:t>
      </w:r>
      <w:r>
        <w:rPr>
          <w:spacing w:val="-10"/>
        </w:rPr>
        <w:t> </w:t>
      </w:r>
      <w:r>
        <w:rPr/>
        <w:t>for</w:t>
      </w:r>
      <w:r>
        <w:rPr>
          <w:spacing w:val="-10"/>
        </w:rPr>
        <w:t> </w:t>
      </w:r>
      <w:r>
        <w:rPr/>
        <w:t>all</w:t>
      </w:r>
      <w:r>
        <w:rPr>
          <w:spacing w:val="-9"/>
        </w:rPr>
        <w:t> </w:t>
      </w:r>
      <w:r>
        <w:rPr/>
        <w:t>potential</w:t>
      </w:r>
      <w:r>
        <w:rPr>
          <w:spacing w:val="-58"/>
        </w:rPr>
        <w:t> </w:t>
      </w:r>
      <w:r>
        <w:rPr/>
        <w:t>uses,</w:t>
      </w:r>
      <w:r>
        <w:rPr>
          <w:spacing w:val="-1"/>
        </w:rPr>
        <w:t> </w:t>
      </w:r>
      <w:r>
        <w:rPr/>
        <w:t>including for use in</w:t>
      </w:r>
      <w:r>
        <w:rPr>
          <w:spacing w:val="-1"/>
        </w:rPr>
        <w:t> </w:t>
      </w:r>
      <w:r>
        <w:rPr/>
        <w:t>temporary military</w:t>
      </w:r>
      <w:r>
        <w:rPr>
          <w:spacing w:val="-1"/>
        </w:rPr>
        <w:t> </w:t>
      </w:r>
      <w:r>
        <w:rPr/>
        <w:t>structures.</w:t>
      </w:r>
    </w:p>
    <w:p>
      <w:pPr>
        <w:pStyle w:val="BodyText"/>
        <w:spacing w:line="480" w:lineRule="auto" w:before="159"/>
        <w:ind w:left="439" w:right="117" w:firstLine="720"/>
        <w:jc w:val="both"/>
      </w:pPr>
      <w:r>
        <w:rPr/>
        <w:t>Temporary military structures require different attributes and metrics compared to</w:t>
      </w:r>
      <w:r>
        <w:rPr>
          <w:spacing w:val="-57"/>
        </w:rPr>
        <w:t> </w:t>
      </w:r>
      <w:r>
        <w:rPr/>
        <w:t>typical construction. Characteristics such as adaptability, reuse and repurposing, strength-</w:t>
      </w:r>
      <w:r>
        <w:rPr>
          <w:spacing w:val="-57"/>
        </w:rPr>
        <w:t> </w:t>
      </w:r>
      <w:r>
        <w:rPr>
          <w:spacing w:val="-1"/>
        </w:rPr>
        <w:t>to-weight</w:t>
      </w:r>
      <w:r>
        <w:rPr>
          <w:spacing w:val="-13"/>
        </w:rPr>
        <w:t> </w:t>
      </w:r>
      <w:r>
        <w:rPr/>
        <w:t>ratio,</w:t>
      </w:r>
      <w:r>
        <w:rPr>
          <w:spacing w:val="-13"/>
        </w:rPr>
        <w:t> </w:t>
      </w:r>
      <w:r>
        <w:rPr/>
        <w:t>environmental</w:t>
      </w:r>
      <w:r>
        <w:rPr>
          <w:spacing w:val="-14"/>
        </w:rPr>
        <w:t> </w:t>
      </w:r>
      <w:r>
        <w:rPr/>
        <w:t>impact,</w:t>
      </w:r>
      <w:r>
        <w:rPr>
          <w:spacing w:val="-13"/>
        </w:rPr>
        <w:t> </w:t>
      </w:r>
      <w:r>
        <w:rPr/>
        <w:t>cost,</w:t>
      </w:r>
      <w:r>
        <w:rPr>
          <w:spacing w:val="-15"/>
        </w:rPr>
        <w:t> </w:t>
      </w:r>
      <w:r>
        <w:rPr/>
        <w:t>local</w:t>
      </w:r>
      <w:r>
        <w:rPr>
          <w:spacing w:val="-13"/>
        </w:rPr>
        <w:t> </w:t>
      </w:r>
      <w:r>
        <w:rPr/>
        <w:t>availability</w:t>
      </w:r>
      <w:r>
        <w:rPr>
          <w:spacing w:val="-13"/>
        </w:rPr>
        <w:t> </w:t>
      </w:r>
      <w:r>
        <w:rPr/>
        <w:t>of</w:t>
      </w:r>
      <w:r>
        <w:rPr>
          <w:spacing w:val="-15"/>
        </w:rPr>
        <w:t> </w:t>
      </w:r>
      <w:r>
        <w:rPr/>
        <w:t>materials,</w:t>
      </w:r>
      <w:r>
        <w:rPr>
          <w:spacing w:val="-15"/>
        </w:rPr>
        <w:t> </w:t>
      </w:r>
      <w:r>
        <w:rPr/>
        <w:t>economic</w:t>
      </w:r>
      <w:r>
        <w:rPr>
          <w:spacing w:val="-13"/>
        </w:rPr>
        <w:t> </w:t>
      </w:r>
      <w:r>
        <w:rPr/>
        <w:t>value,</w:t>
      </w:r>
      <w:r>
        <w:rPr>
          <w:spacing w:val="-58"/>
        </w:rPr>
        <w:t> </w:t>
      </w:r>
      <w:r>
        <w:rPr/>
        <w:t>inherent</w:t>
      </w:r>
      <w:r>
        <w:rPr>
          <w:spacing w:val="1"/>
        </w:rPr>
        <w:t> </w:t>
      </w:r>
      <w:r>
        <w:rPr/>
        <w:t>force</w:t>
      </w:r>
      <w:r>
        <w:rPr>
          <w:spacing w:val="1"/>
        </w:rPr>
        <w:t> </w:t>
      </w:r>
      <w:r>
        <w:rPr/>
        <w:t>protection,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aesthetics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all</w:t>
      </w:r>
      <w:r>
        <w:rPr>
          <w:spacing w:val="1"/>
        </w:rPr>
        <w:t> </w:t>
      </w:r>
      <w:r>
        <w:rPr/>
        <w:t>considerations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selecting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construction</w:t>
      </w:r>
      <w:r>
        <w:rPr>
          <w:spacing w:val="-12"/>
        </w:rPr>
        <w:t> </w:t>
      </w:r>
      <w:r>
        <w:rPr/>
        <w:t>material.</w:t>
      </w:r>
      <w:r>
        <w:rPr>
          <w:spacing w:val="38"/>
        </w:rPr>
        <w:t> </w:t>
      </w:r>
      <w:r>
        <w:rPr/>
        <w:t>A</w:t>
      </w:r>
      <w:r>
        <w:rPr>
          <w:spacing w:val="-13"/>
        </w:rPr>
        <w:t> </w:t>
      </w:r>
      <w:r>
        <w:rPr/>
        <w:t>multi-criteria</w:t>
      </w:r>
      <w:r>
        <w:rPr>
          <w:spacing w:val="-11"/>
        </w:rPr>
        <w:t> </w:t>
      </w:r>
      <w:r>
        <w:rPr/>
        <w:t>tool,</w:t>
      </w:r>
      <w:r>
        <w:rPr>
          <w:spacing w:val="-12"/>
        </w:rPr>
        <w:t> </w:t>
      </w:r>
      <w:r>
        <w:rPr/>
        <w:t>which</w:t>
      </w:r>
      <w:r>
        <w:rPr>
          <w:spacing w:val="-11"/>
        </w:rPr>
        <w:t> </w:t>
      </w:r>
      <w:r>
        <w:rPr/>
        <w:t>rates</w:t>
      </w:r>
      <w:r>
        <w:rPr>
          <w:spacing w:val="-11"/>
        </w:rPr>
        <w:t> </w:t>
      </w:r>
      <w:r>
        <w:rPr/>
        <w:t>construction</w:t>
      </w:r>
      <w:r>
        <w:rPr>
          <w:spacing w:val="-11"/>
        </w:rPr>
        <w:t> </w:t>
      </w:r>
      <w:r>
        <w:rPr/>
        <w:t>materials</w:t>
      </w:r>
      <w:r>
        <w:rPr>
          <w:spacing w:val="-10"/>
        </w:rPr>
        <w:t> </w:t>
      </w:r>
      <w:r>
        <w:rPr/>
        <w:t>by</w:t>
      </w:r>
      <w:r>
        <w:rPr>
          <w:spacing w:val="-11"/>
        </w:rPr>
        <w:t> </w:t>
      </w:r>
      <w:r>
        <w:rPr/>
        <w:t>different</w:t>
      </w:r>
      <w:r>
        <w:rPr>
          <w:spacing w:val="-58"/>
        </w:rPr>
        <w:t> </w:t>
      </w:r>
      <w:r>
        <w:rPr/>
        <w:t>metrics for a given environment or need, would be a useful tool for decision-makers,</w:t>
      </w:r>
      <w:r>
        <w:rPr>
          <w:spacing w:val="1"/>
        </w:rPr>
        <w:t> </w:t>
      </w:r>
      <w:r>
        <w:rPr/>
        <w:t>planners, and designers in the realm of construction.</w:t>
      </w:r>
      <w:r>
        <w:rPr>
          <w:spacing w:val="1"/>
        </w:rPr>
        <w:t> </w:t>
      </w:r>
      <w:r>
        <w:rPr/>
        <w:t>This research evaluates the use of a</w:t>
      </w:r>
      <w:r>
        <w:rPr>
          <w:spacing w:val="1"/>
        </w:rPr>
        <w:t> </w:t>
      </w:r>
      <w:r>
        <w:rPr/>
        <w:t>new material, cross-laminated timber (CLT), using a multi-criteria tool for decision-</w:t>
      </w:r>
      <w:r>
        <w:rPr>
          <w:spacing w:val="1"/>
        </w:rPr>
        <w:t> </w:t>
      </w:r>
      <w:r>
        <w:rPr/>
        <w:t>making.</w:t>
      </w:r>
      <w:r>
        <w:rPr>
          <w:spacing w:val="1"/>
        </w:rPr>
        <w:t> </w:t>
      </w:r>
      <w:r>
        <w:rPr/>
        <w:t>The tool can be adapted to general construction applications or set-up to meet</w:t>
      </w:r>
      <w:r>
        <w:rPr>
          <w:spacing w:val="1"/>
        </w:rPr>
        <w:t> </w:t>
      </w:r>
      <w:r>
        <w:rPr>
          <w:spacing w:val="-1"/>
        </w:rPr>
        <w:t>specific</w:t>
      </w:r>
      <w:r>
        <w:rPr>
          <w:spacing w:val="-13"/>
        </w:rPr>
        <w:t> </w:t>
      </w:r>
      <w:r>
        <w:rPr>
          <w:spacing w:val="-1"/>
        </w:rPr>
        <w:t>project</w:t>
      </w:r>
      <w:r>
        <w:rPr>
          <w:spacing w:val="-12"/>
        </w:rPr>
        <w:t> </w:t>
      </w:r>
      <w:r>
        <w:rPr>
          <w:spacing w:val="-1"/>
        </w:rPr>
        <w:t>requirements.</w:t>
      </w:r>
      <w:r>
        <w:rPr>
          <w:spacing w:val="36"/>
        </w:rPr>
        <w:t> </w:t>
      </w:r>
      <w:r>
        <w:rPr/>
        <w:t>While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tool</w:t>
      </w:r>
      <w:r>
        <w:rPr>
          <w:spacing w:val="-13"/>
        </w:rPr>
        <w:t> </w:t>
      </w:r>
      <w:r>
        <w:rPr/>
        <w:t>is</w:t>
      </w:r>
      <w:r>
        <w:rPr>
          <w:spacing w:val="-12"/>
        </w:rPr>
        <w:t> </w:t>
      </w:r>
      <w:r>
        <w:rPr/>
        <w:t>presented</w:t>
      </w:r>
      <w:r>
        <w:rPr>
          <w:spacing w:val="-13"/>
        </w:rPr>
        <w:t> </w:t>
      </w:r>
      <w:r>
        <w:rPr/>
        <w:t>in</w:t>
      </w:r>
      <w:r>
        <w:rPr>
          <w:spacing w:val="-14"/>
        </w:rPr>
        <w:t> </w:t>
      </w:r>
      <w:r>
        <w:rPr/>
        <w:t>a</w:t>
      </w:r>
      <w:r>
        <w:rPr>
          <w:spacing w:val="-14"/>
        </w:rPr>
        <w:t> </w:t>
      </w:r>
      <w:r>
        <w:rPr/>
        <w:t>general</w:t>
      </w:r>
      <w:r>
        <w:rPr>
          <w:spacing w:val="-12"/>
        </w:rPr>
        <w:t> </w:t>
      </w:r>
      <w:r>
        <w:rPr/>
        <w:t>sense,</w:t>
      </w:r>
      <w:r>
        <w:rPr>
          <w:spacing w:val="-14"/>
        </w:rPr>
        <w:t> </w:t>
      </w:r>
      <w:r>
        <w:rPr/>
        <w:t>the</w:t>
      </w:r>
      <w:r>
        <w:rPr>
          <w:spacing w:val="-11"/>
        </w:rPr>
        <w:t> </w:t>
      </w:r>
      <w:r>
        <w:rPr/>
        <w:t>main</w:t>
      </w:r>
      <w:r>
        <w:rPr>
          <w:spacing w:val="-13"/>
        </w:rPr>
        <w:t> </w:t>
      </w:r>
      <w:r>
        <w:rPr/>
        <w:t>focus</w:t>
      </w:r>
      <w:r>
        <w:rPr>
          <w:spacing w:val="-58"/>
        </w:rPr>
        <w:t> </w:t>
      </w:r>
      <w:r>
        <w:rPr/>
        <w:t>of this research is the use of CLT for force protection.</w:t>
      </w:r>
      <w:r>
        <w:rPr>
          <w:spacing w:val="1"/>
        </w:rPr>
        <w:t> </w:t>
      </w:r>
      <w:r>
        <w:rPr/>
        <w:t>The research examines CLT’s</w:t>
      </w:r>
      <w:r>
        <w:rPr>
          <w:spacing w:val="1"/>
        </w:rPr>
        <w:t> </w:t>
      </w:r>
      <w:r>
        <w:rPr/>
        <w:t>ballistic</w:t>
      </w:r>
      <w:r>
        <w:rPr>
          <w:spacing w:val="1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investigates</w:t>
      </w:r>
      <w:r>
        <w:rPr>
          <w:spacing w:val="1"/>
        </w:rPr>
        <w:t> </w:t>
      </w:r>
      <w:r>
        <w:rPr/>
        <w:t>methods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modify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material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enhanced</w:t>
      </w:r>
      <w:r>
        <w:rPr>
          <w:spacing w:val="-57"/>
        </w:rPr>
        <w:t> </w:t>
      </w:r>
      <w:r>
        <w:rPr/>
        <w:t>ballistic</w:t>
      </w:r>
      <w:r>
        <w:rPr>
          <w:spacing w:val="-1"/>
        </w:rPr>
        <w:t> </w:t>
      </w:r>
      <w:r>
        <w:rPr/>
        <w:t>performance, as well</w:t>
      </w:r>
      <w:r>
        <w:rPr>
          <w:spacing w:val="-1"/>
        </w:rPr>
        <w:t> </w:t>
      </w:r>
      <w:r>
        <w:rPr/>
        <w:t>as</w:t>
      </w:r>
      <w:r>
        <w:rPr>
          <w:spacing w:val="-1"/>
        </w:rPr>
        <w:t> </w:t>
      </w:r>
      <w:r>
        <w:rPr/>
        <w:t>its performance</w:t>
      </w:r>
      <w:r>
        <w:rPr>
          <w:spacing w:val="-1"/>
        </w:rPr>
        <w:t> </w:t>
      </w:r>
      <w:r>
        <w:rPr/>
        <w:t>under blast loads.</w:t>
      </w:r>
    </w:p>
    <w:p>
      <w:pPr>
        <w:pStyle w:val="Heading9"/>
        <w:numPr>
          <w:ilvl w:val="1"/>
          <w:numId w:val="12"/>
        </w:numPr>
        <w:tabs>
          <w:tab w:pos="800" w:val="left" w:leader="none"/>
        </w:tabs>
        <w:spacing w:line="240" w:lineRule="auto" w:before="163" w:after="0"/>
        <w:ind w:left="800" w:right="0" w:hanging="361"/>
        <w:jc w:val="both"/>
      </w:pPr>
      <w:bookmarkStart w:name="_TOC_250069" w:id="16"/>
      <w:bookmarkStart w:name="1.2 Objectives and Scope: Research Quest" w:id="17"/>
      <w:r>
        <w:rPr>
          <w:b w:val="0"/>
        </w:rPr>
      </w:r>
      <w:bookmarkEnd w:id="17"/>
      <w:bookmarkStart w:name="1.2 Objectives and Scope: Research Quest" w:id="18"/>
      <w:r>
        <w:rPr/>
        <w:t>O</w:t>
      </w:r>
      <w:r>
        <w:rPr/>
        <w:t>bjectives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Scope:</w:t>
      </w:r>
      <w:r>
        <w:rPr>
          <w:spacing w:val="-3"/>
        </w:rPr>
        <w:t> </w:t>
      </w:r>
      <w:r>
        <w:rPr/>
        <w:t>Research</w:t>
      </w:r>
      <w:r>
        <w:rPr>
          <w:spacing w:val="-4"/>
        </w:rPr>
        <w:t> </w:t>
      </w:r>
      <w:bookmarkEnd w:id="16"/>
      <w:r>
        <w:rPr/>
        <w:t>Questions</w:t>
      </w:r>
    </w:p>
    <w:p>
      <w:pPr>
        <w:pStyle w:val="BodyText"/>
        <w:spacing w:before="6"/>
        <w:rPr>
          <w:b/>
          <w:sz w:val="22"/>
        </w:rPr>
      </w:pPr>
    </w:p>
    <w:p>
      <w:pPr>
        <w:pStyle w:val="BodyText"/>
        <w:spacing w:line="480" w:lineRule="auto"/>
        <w:ind w:left="439" w:right="117" w:firstLine="720"/>
        <w:jc w:val="both"/>
      </w:pPr>
      <w:r>
        <w:rPr/>
        <w:t>This research seeks to add to the existing CLT body of knowledge by examining a</w:t>
      </w:r>
      <w:r>
        <w:rPr>
          <w:spacing w:val="-57"/>
        </w:rPr>
        <w:t> </w:t>
      </w:r>
      <w:r>
        <w:rPr/>
        <w:t>newly proposed use for CLT in temporary military structures and offering a tool for</w:t>
      </w:r>
      <w:r>
        <w:rPr>
          <w:spacing w:val="1"/>
        </w:rPr>
        <w:t> </w:t>
      </w:r>
      <w:r>
        <w:rPr/>
        <w:t>holistically</w:t>
      </w:r>
      <w:r>
        <w:rPr>
          <w:spacing w:val="1"/>
        </w:rPr>
        <w:t> </w:t>
      </w:r>
      <w:r>
        <w:rPr/>
        <w:t>assessing</w:t>
      </w:r>
      <w:r>
        <w:rPr>
          <w:spacing w:val="1"/>
        </w:rPr>
        <w:t> </w:t>
      </w:r>
      <w:r>
        <w:rPr/>
        <w:t>material</w:t>
      </w:r>
      <w:r>
        <w:rPr>
          <w:spacing w:val="1"/>
        </w:rPr>
        <w:t> </w:t>
      </w:r>
      <w:r>
        <w:rPr/>
        <w:t>selection</w:t>
      </w:r>
      <w:r>
        <w:rPr>
          <w:spacing w:val="1"/>
        </w:rPr>
        <w:t> </w:t>
      </w:r>
      <w:r>
        <w:rPr/>
        <w:t>based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specific</w:t>
      </w:r>
      <w:r>
        <w:rPr>
          <w:spacing w:val="1"/>
        </w:rPr>
        <w:t> </w:t>
      </w:r>
      <w:r>
        <w:rPr/>
        <w:t>construction</w:t>
      </w:r>
      <w:r>
        <w:rPr>
          <w:spacing w:val="1"/>
        </w:rPr>
        <w:t> </w:t>
      </w:r>
      <w:r>
        <w:rPr/>
        <w:t>requirements.</w:t>
      </w:r>
      <w:r>
        <w:rPr>
          <w:spacing w:val="-57"/>
        </w:rPr>
        <w:t> </w:t>
      </w:r>
      <w:r>
        <w:rPr/>
        <w:t>Temporary</w:t>
      </w:r>
      <w:r>
        <w:rPr>
          <w:spacing w:val="1"/>
        </w:rPr>
        <w:t> </w:t>
      </w:r>
      <w:r>
        <w:rPr/>
        <w:t>military</w:t>
      </w:r>
      <w:r>
        <w:rPr>
          <w:spacing w:val="1"/>
        </w:rPr>
        <w:t> </w:t>
      </w:r>
      <w:r>
        <w:rPr/>
        <w:t>structures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unique</w:t>
      </w:r>
      <w:r>
        <w:rPr>
          <w:spacing w:val="1"/>
        </w:rPr>
        <w:t> </w:t>
      </w:r>
      <w:r>
        <w:rPr/>
        <w:t>requirements</w:t>
      </w:r>
      <w:r>
        <w:rPr>
          <w:spacing w:val="1"/>
        </w:rPr>
        <w:t> </w:t>
      </w:r>
      <w:r>
        <w:rPr/>
        <w:t>compared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conventional</w:t>
      </w:r>
      <w:r>
        <w:rPr>
          <w:spacing w:val="1"/>
        </w:rPr>
        <w:t> </w:t>
      </w:r>
      <w:r>
        <w:rPr/>
        <w:t>construction</w:t>
      </w:r>
      <w:r>
        <w:rPr>
          <w:spacing w:val="14"/>
        </w:rPr>
        <w:t> </w:t>
      </w:r>
      <w:r>
        <w:rPr/>
        <w:t>that</w:t>
      </w:r>
      <w:r>
        <w:rPr>
          <w:spacing w:val="16"/>
        </w:rPr>
        <w:t> </w:t>
      </w:r>
      <w:r>
        <w:rPr/>
        <w:t>can</w:t>
      </w:r>
      <w:r>
        <w:rPr>
          <w:spacing w:val="15"/>
        </w:rPr>
        <w:t> </w:t>
      </w:r>
      <w:r>
        <w:rPr/>
        <w:t>vary</w:t>
      </w:r>
      <w:r>
        <w:rPr>
          <w:spacing w:val="15"/>
        </w:rPr>
        <w:t> </w:t>
      </w:r>
      <w:r>
        <w:rPr/>
        <w:t>substantially</w:t>
      </w:r>
      <w:r>
        <w:rPr>
          <w:spacing w:val="15"/>
        </w:rPr>
        <w:t> </w:t>
      </w:r>
      <w:r>
        <w:rPr/>
        <w:t>based</w:t>
      </w:r>
      <w:r>
        <w:rPr>
          <w:spacing w:val="14"/>
        </w:rPr>
        <w:t> </w:t>
      </w:r>
      <w:r>
        <w:rPr/>
        <w:t>on</w:t>
      </w:r>
      <w:r>
        <w:rPr>
          <w:spacing w:val="17"/>
        </w:rPr>
        <w:t> </w:t>
      </w:r>
      <w:r>
        <w:rPr/>
        <w:t>mission</w:t>
      </w:r>
      <w:r>
        <w:rPr>
          <w:spacing w:val="15"/>
        </w:rPr>
        <w:t> </w:t>
      </w:r>
      <w:r>
        <w:rPr/>
        <w:t>location,</w:t>
      </w:r>
      <w:r>
        <w:rPr>
          <w:spacing w:val="15"/>
        </w:rPr>
        <w:t> </w:t>
      </w:r>
      <w:r>
        <w:rPr/>
        <w:t>threat,</w:t>
      </w:r>
      <w:r>
        <w:rPr>
          <w:spacing w:val="15"/>
        </w:rPr>
        <w:t> </w:t>
      </w:r>
      <w:r>
        <w:rPr/>
        <w:t>and</w:t>
      </w:r>
      <w:r>
        <w:rPr>
          <w:spacing w:val="15"/>
        </w:rPr>
        <w:t> </w:t>
      </w:r>
      <w:r>
        <w:rPr/>
        <w:t>the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320"/>
        </w:sectPr>
      </w:pPr>
    </w:p>
    <w:p>
      <w:pPr>
        <w:pStyle w:val="BodyText"/>
        <w:spacing w:line="480" w:lineRule="auto" w:before="78"/>
        <w:ind w:left="440" w:right="116"/>
        <w:jc w:val="both"/>
      </w:pPr>
      <w:r>
        <w:rPr/>
        <w:t>operational environment.</w:t>
      </w:r>
      <w:r>
        <w:rPr>
          <w:spacing w:val="1"/>
        </w:rPr>
        <w:t> </w:t>
      </w:r>
      <w:r>
        <w:rPr/>
        <w:t>The urgency of the requirement can vary with the military</w:t>
      </w:r>
      <w:r>
        <w:rPr>
          <w:spacing w:val="1"/>
        </w:rPr>
        <w:t> </w:t>
      </w:r>
      <w:r>
        <w:rPr/>
        <w:t>mission of that temporary structure.</w:t>
      </w:r>
      <w:r>
        <w:rPr>
          <w:spacing w:val="1"/>
        </w:rPr>
        <w:t> </w:t>
      </w:r>
      <w:r>
        <w:rPr/>
        <w:t>These unique requirements include: 1) the level of</w:t>
      </w:r>
      <w:r>
        <w:rPr>
          <w:spacing w:val="1"/>
        </w:rPr>
        <w:t> </w:t>
      </w:r>
      <w:r>
        <w:rPr/>
        <w:t>protection the structure provides without additional hardening; 2) the energy efficiency in</w:t>
      </w:r>
      <w:r>
        <w:rPr>
          <w:spacing w:val="-57"/>
        </w:rPr>
        <w:t> </w:t>
      </w:r>
      <w:r>
        <w:rPr/>
        <w:t>which the structure can operate; 3) the ease of construction, including construction time,</w:t>
      </w:r>
      <w:r>
        <w:rPr>
          <w:spacing w:val="1"/>
        </w:rPr>
        <w:t> </w:t>
      </w:r>
      <w:r>
        <w:rPr/>
        <w:t>resource</w:t>
      </w:r>
      <w:r>
        <w:rPr>
          <w:spacing w:val="-7"/>
        </w:rPr>
        <w:t> </w:t>
      </w:r>
      <w:r>
        <w:rPr/>
        <w:t>staging,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logistical</w:t>
      </w:r>
      <w:r>
        <w:rPr>
          <w:spacing w:val="-7"/>
        </w:rPr>
        <w:t> </w:t>
      </w:r>
      <w:r>
        <w:rPr/>
        <w:t>support</w:t>
      </w:r>
      <w:r>
        <w:rPr>
          <w:spacing w:val="-7"/>
        </w:rPr>
        <w:t> </w:t>
      </w:r>
      <w:r>
        <w:rPr/>
        <w:t>requirements;</w:t>
      </w:r>
      <w:r>
        <w:rPr>
          <w:spacing w:val="-6"/>
        </w:rPr>
        <w:t> </w:t>
      </w:r>
      <w:r>
        <w:rPr/>
        <w:t>4)</w:t>
      </w:r>
      <w:r>
        <w:rPr>
          <w:spacing w:val="-6"/>
        </w:rPr>
        <w:t> </w:t>
      </w:r>
      <w:r>
        <w:rPr/>
        <w:t>the</w:t>
      </w:r>
      <w:r>
        <w:rPr>
          <w:spacing w:val="-8"/>
        </w:rPr>
        <w:t> </w:t>
      </w:r>
      <w:r>
        <w:rPr/>
        <w:t>adaptability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structure</w:t>
      </w:r>
      <w:r>
        <w:rPr>
          <w:spacing w:val="-7"/>
        </w:rPr>
        <w:t> </w:t>
      </w:r>
      <w:r>
        <w:rPr/>
        <w:t>to</w:t>
      </w:r>
      <w:r>
        <w:rPr>
          <w:spacing w:val="-57"/>
        </w:rPr>
        <w:t> </w:t>
      </w:r>
      <w:r>
        <w:rPr/>
        <w:t>different</w:t>
      </w:r>
      <w:r>
        <w:rPr>
          <w:spacing w:val="-1"/>
        </w:rPr>
        <w:t> </w:t>
      </w:r>
      <w:r>
        <w:rPr/>
        <w:t>uses; and 5)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cost to build.</w:t>
      </w:r>
    </w:p>
    <w:p>
      <w:pPr>
        <w:pStyle w:val="BodyText"/>
        <w:spacing w:line="480" w:lineRule="auto" w:before="160"/>
        <w:ind w:left="440" w:right="117" w:firstLine="840"/>
        <w:jc w:val="both"/>
      </w:pPr>
      <w:r>
        <w:rPr/>
        <w:t>In deciding on a temporary military construction material, different requirements</w:t>
      </w:r>
      <w:r>
        <w:rPr>
          <w:spacing w:val="-57"/>
        </w:rPr>
        <w:t> </w:t>
      </w:r>
      <w:r>
        <w:rPr/>
        <w:t>may be weighed more heavily than others.</w:t>
      </w:r>
      <w:r>
        <w:rPr>
          <w:spacing w:val="1"/>
        </w:rPr>
        <w:t> </w:t>
      </w:r>
      <w:r>
        <w:rPr/>
        <w:t>Nonstandard requirements may be added or</w:t>
      </w:r>
      <w:r>
        <w:rPr>
          <w:spacing w:val="1"/>
        </w:rPr>
        <w:t> </w:t>
      </w:r>
      <w:r>
        <w:rPr/>
        <w:t>removed depending on the environment and intended use of the structure.</w:t>
      </w:r>
      <w:r>
        <w:rPr>
          <w:spacing w:val="1"/>
        </w:rPr>
        <w:t> </w:t>
      </w:r>
      <w:r>
        <w:rPr/>
        <w:t>Much like the</w:t>
      </w:r>
      <w:r>
        <w:rPr>
          <w:spacing w:val="1"/>
        </w:rPr>
        <w:t> </w:t>
      </w:r>
      <w:r>
        <w:rPr/>
        <w:t>triple constraint of project management where cost, scope, and schedule must be balanced</w:t>
      </w:r>
      <w:r>
        <w:rPr>
          <w:spacing w:val="-57"/>
        </w:rPr>
        <w:t> </w:t>
      </w:r>
      <w:r>
        <w:rPr/>
        <w:t>while maintaining quality, achieving a finished building of any type that meets or exceeds</w:t>
      </w:r>
      <w:r>
        <w:rPr>
          <w:spacing w:val="-57"/>
        </w:rPr>
        <w:t> </w:t>
      </w:r>
      <w:r>
        <w:rPr/>
        <w:t>every requirement is a significant challenge.</w:t>
      </w:r>
      <w:r>
        <w:rPr>
          <w:spacing w:val="1"/>
        </w:rPr>
        <w:t> </w:t>
      </w:r>
      <w:r>
        <w:rPr/>
        <w:t>Existing research on CLT shows it to have</w:t>
      </w:r>
      <w:r>
        <w:rPr>
          <w:spacing w:val="1"/>
        </w:rPr>
        <w:t> </w:t>
      </w:r>
      <w:r>
        <w:rPr/>
        <w:t>potential</w:t>
      </w:r>
      <w:r>
        <w:rPr>
          <w:spacing w:val="-1"/>
        </w:rPr>
        <w:t> </w:t>
      </w:r>
      <w:r>
        <w:rPr/>
        <w:t>as</w:t>
      </w:r>
      <w:r>
        <w:rPr>
          <w:spacing w:val="-2"/>
        </w:rPr>
        <w:t> </w:t>
      </w:r>
      <w:r>
        <w:rPr/>
        <w:t>an improved material solution</w:t>
      </w:r>
      <w:r>
        <w:rPr>
          <w:spacing w:val="-1"/>
        </w:rPr>
        <w:t> </w:t>
      </w:r>
      <w:r>
        <w:rPr/>
        <w:t>for temporary</w:t>
      </w:r>
      <w:r>
        <w:rPr>
          <w:spacing w:val="-1"/>
        </w:rPr>
        <w:t> </w:t>
      </w:r>
      <w:r>
        <w:rPr/>
        <w:t>military</w:t>
      </w:r>
      <w:r>
        <w:rPr>
          <w:spacing w:val="-1"/>
        </w:rPr>
        <w:t> </w:t>
      </w:r>
      <w:r>
        <w:rPr/>
        <w:t>structures.</w:t>
      </w:r>
    </w:p>
    <w:p>
      <w:pPr>
        <w:pStyle w:val="ListParagraph"/>
        <w:numPr>
          <w:ilvl w:val="2"/>
          <w:numId w:val="12"/>
        </w:numPr>
        <w:tabs>
          <w:tab w:pos="980" w:val="left" w:leader="none"/>
        </w:tabs>
        <w:spacing w:line="240" w:lineRule="auto" w:before="161" w:after="0"/>
        <w:ind w:left="980" w:right="0" w:hanging="540"/>
        <w:jc w:val="both"/>
        <w:rPr>
          <w:i/>
          <w:sz w:val="24"/>
        </w:rPr>
      </w:pPr>
      <w:bookmarkStart w:name="1.2.1 Research goals and objectives" w:id="19"/>
      <w:bookmarkEnd w:id="19"/>
      <w:r>
        <w:rPr/>
      </w:r>
      <w:bookmarkStart w:name="1.2.1 Research goals and objectives" w:id="20"/>
      <w:bookmarkEnd w:id="20"/>
      <w:r>
        <w:rPr>
          <w:i/>
          <w:sz w:val="24"/>
        </w:rPr>
        <w:t>R</w:t>
      </w:r>
      <w:r>
        <w:rPr>
          <w:i/>
          <w:sz w:val="24"/>
        </w:rPr>
        <w:t>esearch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goals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objectives</w:t>
      </w:r>
    </w:p>
    <w:p>
      <w:pPr>
        <w:pStyle w:val="BodyText"/>
        <w:spacing w:before="7"/>
        <w:rPr>
          <w:i/>
          <w:sz w:val="22"/>
        </w:rPr>
      </w:pPr>
    </w:p>
    <w:p>
      <w:pPr>
        <w:pStyle w:val="BodyText"/>
        <w:spacing w:line="480" w:lineRule="auto"/>
        <w:ind w:left="440" w:right="116" w:firstLine="720"/>
        <w:jc w:val="both"/>
      </w:pPr>
      <w:r>
        <w:rPr/>
        <w:t>In the construction industry at large, the choice of material used for any project is</w:t>
      </w:r>
      <w:r>
        <w:rPr>
          <w:spacing w:val="1"/>
        </w:rPr>
        <w:t> </w:t>
      </w:r>
      <w:r>
        <w:rPr/>
        <w:t>typically based on multiple requirements that best fit a variety of criteria.</w:t>
      </w:r>
      <w:r>
        <w:rPr>
          <w:spacing w:val="1"/>
        </w:rPr>
        <w:t> </w:t>
      </w:r>
      <w:r>
        <w:rPr/>
        <w:t>These include</w:t>
      </w:r>
      <w:r>
        <w:rPr>
          <w:spacing w:val="1"/>
        </w:rPr>
        <w:t> </w:t>
      </w:r>
      <w:r>
        <w:rPr/>
        <w:t>the structure’s function, appropriateness for location, and other user-determined attributes</w:t>
      </w:r>
      <w:r>
        <w:rPr>
          <w:spacing w:val="-57"/>
        </w:rPr>
        <w:t> </w:t>
      </w:r>
      <w:r>
        <w:rPr/>
        <w:t>or</w:t>
      </w:r>
      <w:r>
        <w:rPr>
          <w:spacing w:val="1"/>
        </w:rPr>
        <w:t> </w:t>
      </w:r>
      <w:r>
        <w:rPr/>
        <w:t>requirements.</w:t>
      </w:r>
      <w:r>
        <w:rPr>
          <w:spacing w:val="1"/>
        </w:rPr>
        <w:t> </w:t>
      </w:r>
      <w:r>
        <w:rPr/>
        <w:t>Material</w:t>
      </w:r>
      <w:r>
        <w:rPr>
          <w:spacing w:val="1"/>
        </w:rPr>
        <w:t> </w:t>
      </w:r>
      <w:r>
        <w:rPr/>
        <w:t>considerations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planning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military</w:t>
      </w:r>
      <w:r>
        <w:rPr>
          <w:spacing w:val="1"/>
        </w:rPr>
        <w:t> </w:t>
      </w:r>
      <w:r>
        <w:rPr/>
        <w:t>base</w:t>
      </w:r>
      <w:r>
        <w:rPr>
          <w:spacing w:val="1"/>
        </w:rPr>
        <w:t> </w:t>
      </w:r>
      <w:r>
        <w:rPr/>
        <w:t>camp</w:t>
      </w:r>
      <w:r>
        <w:rPr>
          <w:spacing w:val="1"/>
        </w:rPr>
        <w:t> </w:t>
      </w:r>
      <w:r>
        <w:rPr/>
        <w:t>construction are much different from typical construction considerations.</w:t>
      </w:r>
      <w:r>
        <w:rPr>
          <w:spacing w:val="1"/>
        </w:rPr>
        <w:t> </w:t>
      </w:r>
      <w:r>
        <w:rPr/>
        <w:t>Attributes of</w:t>
      </w:r>
      <w:r>
        <w:rPr>
          <w:spacing w:val="1"/>
        </w:rPr>
        <w:t> </w:t>
      </w:r>
      <w:r>
        <w:rPr/>
        <w:t>interest in that scenario can include, but are not limited to, the following variables:</w:t>
      </w:r>
      <w:r>
        <w:rPr>
          <w:spacing w:val="1"/>
        </w:rPr>
        <w:t> </w:t>
      </w:r>
      <w:r>
        <w:rPr/>
        <w:t>transportation, availability, ease of construction with minimal engineer effort, experience</w:t>
      </w:r>
      <w:r>
        <w:rPr>
          <w:spacing w:val="1"/>
        </w:rPr>
        <w:t> </w:t>
      </w:r>
      <w:r>
        <w:rPr/>
        <w:t>and tool requirements, energy efficiency from the thermal envelope of the structure,</w:t>
      </w:r>
      <w:r>
        <w:rPr>
          <w:spacing w:val="1"/>
        </w:rPr>
        <w:t> </w:t>
      </w:r>
      <w:r>
        <w:rPr/>
        <w:t>structural</w:t>
      </w:r>
      <w:r>
        <w:rPr>
          <w:spacing w:val="57"/>
        </w:rPr>
        <w:t> </w:t>
      </w:r>
      <w:r>
        <w:rPr/>
        <w:t>strength,</w:t>
      </w:r>
      <w:r>
        <w:rPr>
          <w:spacing w:val="56"/>
        </w:rPr>
        <w:t> </w:t>
      </w:r>
      <w:r>
        <w:rPr/>
        <w:t>blast</w:t>
      </w:r>
      <w:r>
        <w:rPr>
          <w:spacing w:val="58"/>
        </w:rPr>
        <w:t> </w:t>
      </w:r>
      <w:r>
        <w:rPr/>
        <w:t>and</w:t>
      </w:r>
      <w:r>
        <w:rPr>
          <w:spacing w:val="56"/>
        </w:rPr>
        <w:t> </w:t>
      </w:r>
      <w:r>
        <w:rPr/>
        <w:t>ballistic</w:t>
      </w:r>
      <w:r>
        <w:rPr>
          <w:spacing w:val="56"/>
        </w:rPr>
        <w:t> </w:t>
      </w:r>
      <w:r>
        <w:rPr/>
        <w:t>resistance,</w:t>
      </w:r>
      <w:r>
        <w:rPr>
          <w:spacing w:val="58"/>
        </w:rPr>
        <w:t> </w:t>
      </w:r>
      <w:r>
        <w:rPr/>
        <w:t>seismic</w:t>
      </w:r>
      <w:r>
        <w:rPr>
          <w:spacing w:val="58"/>
        </w:rPr>
        <w:t> </w:t>
      </w:r>
      <w:r>
        <w:rPr/>
        <w:t>performance,</w:t>
      </w:r>
      <w:r>
        <w:rPr>
          <w:spacing w:val="58"/>
        </w:rPr>
        <w:t> </w:t>
      </w:r>
      <w:r>
        <w:rPr/>
        <w:t>environmental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320"/>
        </w:sectPr>
      </w:pPr>
    </w:p>
    <w:p>
      <w:pPr>
        <w:pStyle w:val="BodyText"/>
        <w:spacing w:line="480" w:lineRule="auto" w:before="78"/>
        <w:ind w:left="440" w:right="118"/>
        <w:jc w:val="both"/>
      </w:pPr>
      <w:r>
        <w:rPr/>
        <w:t>concerns with both occupants and in end-of-life disposal, flexibility in terms of size of</w:t>
      </w:r>
      <w:r>
        <w:rPr>
          <w:spacing w:val="1"/>
        </w:rPr>
        <w:t> </w:t>
      </w:r>
      <w:r>
        <w:rPr/>
        <w:t>structure</w:t>
      </w:r>
      <w:r>
        <w:rPr>
          <w:spacing w:val="-2"/>
        </w:rPr>
        <w:t> </w:t>
      </w:r>
      <w:r>
        <w:rPr/>
        <w:t>as</w:t>
      </w:r>
      <w:r>
        <w:rPr>
          <w:spacing w:val="-1"/>
        </w:rPr>
        <w:t> </w:t>
      </w:r>
      <w:r>
        <w:rPr/>
        <w:t>well as</w:t>
      </w:r>
      <w:r>
        <w:rPr>
          <w:spacing w:val="-1"/>
        </w:rPr>
        <w:t> </w:t>
      </w:r>
      <w:r>
        <w:rPr/>
        <w:t>the ability to</w:t>
      </w:r>
      <w:r>
        <w:rPr>
          <w:spacing w:val="-1"/>
        </w:rPr>
        <w:t> </w:t>
      </w:r>
      <w:r>
        <w:rPr/>
        <w:t>adapt and expand in phases.</w:t>
      </w:r>
    </w:p>
    <w:p>
      <w:pPr>
        <w:pStyle w:val="BodyText"/>
        <w:spacing w:line="480" w:lineRule="auto" w:before="159"/>
        <w:ind w:left="440" w:right="117" w:firstLine="720"/>
        <w:jc w:val="both"/>
      </w:pPr>
      <w:r>
        <w:rPr/>
        <w:t>This</w:t>
      </w:r>
      <w:r>
        <w:rPr>
          <w:spacing w:val="-11"/>
        </w:rPr>
        <w:t> </w:t>
      </w:r>
      <w:r>
        <w:rPr/>
        <w:t>research</w:t>
      </w:r>
      <w:r>
        <w:rPr>
          <w:spacing w:val="-11"/>
        </w:rPr>
        <w:t> </w:t>
      </w:r>
      <w:r>
        <w:rPr/>
        <w:t>concentrates</w:t>
      </w:r>
      <w:r>
        <w:rPr>
          <w:spacing w:val="-12"/>
        </w:rPr>
        <w:t> </w:t>
      </w:r>
      <w:r>
        <w:rPr/>
        <w:t>on</w:t>
      </w:r>
      <w:r>
        <w:rPr>
          <w:spacing w:val="-11"/>
        </w:rPr>
        <w:t> </w:t>
      </w:r>
      <w:r>
        <w:rPr/>
        <w:t>exploring</w:t>
      </w:r>
      <w:r>
        <w:rPr>
          <w:spacing w:val="-11"/>
        </w:rPr>
        <w:t> </w:t>
      </w:r>
      <w:r>
        <w:rPr/>
        <w:t>CLT</w:t>
      </w:r>
      <w:r>
        <w:rPr>
          <w:spacing w:val="-10"/>
        </w:rPr>
        <w:t> </w:t>
      </w:r>
      <w:r>
        <w:rPr/>
        <w:t>material</w:t>
      </w:r>
      <w:r>
        <w:rPr>
          <w:spacing w:val="-10"/>
        </w:rPr>
        <w:t> </w:t>
      </w:r>
      <w:r>
        <w:rPr/>
        <w:t>for</w:t>
      </w:r>
      <w:r>
        <w:rPr>
          <w:spacing w:val="-10"/>
        </w:rPr>
        <w:t> </w:t>
      </w:r>
      <w:r>
        <w:rPr/>
        <w:t>use</w:t>
      </w:r>
      <w:r>
        <w:rPr>
          <w:spacing w:val="-12"/>
        </w:rPr>
        <w:t> </w:t>
      </w:r>
      <w:r>
        <w:rPr/>
        <w:t>in</w:t>
      </w:r>
      <w:r>
        <w:rPr>
          <w:spacing w:val="-11"/>
        </w:rPr>
        <w:t> </w:t>
      </w:r>
      <w:r>
        <w:rPr/>
        <w:t>temporary</w:t>
      </w:r>
      <w:r>
        <w:rPr>
          <w:spacing w:val="-12"/>
        </w:rPr>
        <w:t> </w:t>
      </w:r>
      <w:r>
        <w:rPr/>
        <w:t>military</w:t>
      </w:r>
      <w:r>
        <w:rPr>
          <w:spacing w:val="-57"/>
        </w:rPr>
        <w:t> </w:t>
      </w:r>
      <w:r>
        <w:rPr/>
        <w:t>structures,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/>
        <w:t>very</w:t>
      </w:r>
      <w:r>
        <w:rPr>
          <w:spacing w:val="-1"/>
        </w:rPr>
        <w:t> </w:t>
      </w:r>
      <w:r>
        <w:rPr/>
        <w:t>specific</w:t>
      </w:r>
      <w:r>
        <w:rPr>
          <w:spacing w:val="-2"/>
        </w:rPr>
        <w:t> </w:t>
      </w:r>
      <w:r>
        <w:rPr/>
        <w:t>construction</w:t>
      </w:r>
      <w:r>
        <w:rPr>
          <w:spacing w:val="-1"/>
        </w:rPr>
        <w:t> </w:t>
      </w:r>
      <w:r>
        <w:rPr/>
        <w:t>type.</w:t>
      </w:r>
      <w:r>
        <w:rPr>
          <w:spacing w:val="57"/>
        </w:rPr>
        <w:t> </w:t>
      </w:r>
      <w:r>
        <w:rPr/>
        <w:t>The</w:t>
      </w:r>
      <w:r>
        <w:rPr>
          <w:spacing w:val="-1"/>
        </w:rPr>
        <w:t> </w:t>
      </w:r>
      <w:r>
        <w:rPr/>
        <w:t>goal</w:t>
      </w:r>
      <w:r>
        <w:rPr>
          <w:spacing w:val="-1"/>
        </w:rPr>
        <w:t> </w:t>
      </w:r>
      <w:r>
        <w:rPr/>
        <w:t>of</w:t>
      </w:r>
      <w:r>
        <w:rPr>
          <w:spacing w:val="-3"/>
        </w:rPr>
        <w:t> </w:t>
      </w:r>
      <w:r>
        <w:rPr/>
        <w:t>this</w:t>
      </w:r>
      <w:r>
        <w:rPr>
          <w:spacing w:val="-1"/>
        </w:rPr>
        <w:t> </w:t>
      </w:r>
      <w:r>
        <w:rPr/>
        <w:t>research</w:t>
      </w:r>
      <w:r>
        <w:rPr>
          <w:spacing w:val="-3"/>
        </w:rPr>
        <w:t> </w:t>
      </w:r>
      <w:r>
        <w:rPr/>
        <w:t>is</w:t>
      </w:r>
      <w:r>
        <w:rPr>
          <w:spacing w:val="-3"/>
        </w:rPr>
        <w:t> </w:t>
      </w:r>
      <w:r>
        <w:rPr/>
        <w:t>to</w:t>
      </w:r>
      <w:r>
        <w:rPr>
          <w:spacing w:val="-1"/>
        </w:rPr>
        <w:t> </w:t>
      </w:r>
      <w:r>
        <w:rPr/>
        <w:t>investigate</w:t>
      </w:r>
      <w:r>
        <w:rPr>
          <w:spacing w:val="-1"/>
        </w:rPr>
        <w:t> </w:t>
      </w:r>
      <w:r>
        <w:rPr/>
        <w:t>the</w:t>
      </w:r>
      <w:r>
        <w:rPr>
          <w:spacing w:val="-58"/>
        </w:rPr>
        <w:t> </w:t>
      </w:r>
      <w:r>
        <w:rPr/>
        <w:t>performance of CLT, evaluate its use in a specific military application, and understand its</w:t>
      </w:r>
      <w:r>
        <w:rPr>
          <w:spacing w:val="-57"/>
        </w:rPr>
        <w:t> </w:t>
      </w:r>
      <w:r>
        <w:rPr/>
        <w:t>inherent force protection capabilities and limitations. This dissertation explores the use of</w:t>
      </w:r>
      <w:r>
        <w:rPr>
          <w:spacing w:val="-57"/>
        </w:rPr>
        <w:t> </w:t>
      </w:r>
      <w:r>
        <w:rPr/>
        <w:t>CLT</w:t>
      </w:r>
      <w:r>
        <w:rPr>
          <w:spacing w:val="-11"/>
        </w:rPr>
        <w:t> </w:t>
      </w:r>
      <w:r>
        <w:rPr/>
        <w:t>for</w:t>
      </w:r>
      <w:r>
        <w:rPr>
          <w:spacing w:val="-9"/>
        </w:rPr>
        <w:t> </w:t>
      </w:r>
      <w:r>
        <w:rPr/>
        <w:t>temporary</w:t>
      </w:r>
      <w:r>
        <w:rPr>
          <w:spacing w:val="-11"/>
        </w:rPr>
        <w:t> </w:t>
      </w:r>
      <w:r>
        <w:rPr/>
        <w:t>military</w:t>
      </w:r>
      <w:r>
        <w:rPr>
          <w:spacing w:val="-10"/>
        </w:rPr>
        <w:t> </w:t>
      </w:r>
      <w:r>
        <w:rPr/>
        <w:t>structures</w:t>
      </w:r>
      <w:r>
        <w:rPr>
          <w:spacing w:val="-9"/>
        </w:rPr>
        <w:t> </w:t>
      </w:r>
      <w:r>
        <w:rPr/>
        <w:t>by</w:t>
      </w:r>
      <w:r>
        <w:rPr>
          <w:spacing w:val="-11"/>
        </w:rPr>
        <w:t> </w:t>
      </w:r>
      <w:r>
        <w:rPr/>
        <w:t>investigating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material’s</w:t>
      </w:r>
      <w:r>
        <w:rPr>
          <w:spacing w:val="-9"/>
        </w:rPr>
        <w:t> </w:t>
      </w:r>
      <w:r>
        <w:rPr/>
        <w:t>ballistic</w:t>
      </w:r>
      <w:r>
        <w:rPr>
          <w:spacing w:val="-11"/>
        </w:rPr>
        <w:t> </w:t>
      </w:r>
      <w:r>
        <w:rPr/>
        <w:t>performance</w:t>
      </w:r>
      <w:r>
        <w:rPr>
          <w:spacing w:val="-58"/>
        </w:rPr>
        <w:t> </w:t>
      </w:r>
      <w:r>
        <w:rPr/>
        <w:t>and predictive models, the opportunity for enhancing modifications for improved ballistic</w:t>
      </w:r>
      <w:r>
        <w:rPr>
          <w:spacing w:val="-57"/>
        </w:rPr>
        <w:t> </w:t>
      </w:r>
      <w:r>
        <w:rPr/>
        <w:t>performance,</w:t>
      </w:r>
      <w:r>
        <w:rPr>
          <w:spacing w:val="-1"/>
        </w:rPr>
        <w:t> </w:t>
      </w:r>
      <w:r>
        <w:rPr/>
        <w:t>and blast performance.</w:t>
      </w:r>
    </w:p>
    <w:p>
      <w:pPr>
        <w:pStyle w:val="BodyText"/>
        <w:spacing w:line="480" w:lineRule="auto" w:before="160"/>
        <w:ind w:left="439" w:right="117" w:firstLine="720"/>
        <w:jc w:val="both"/>
      </w:pPr>
      <w:r>
        <w:rPr/>
        <w:t>Existing</w:t>
      </w:r>
      <w:r>
        <w:rPr>
          <w:spacing w:val="-7"/>
        </w:rPr>
        <w:t> </w:t>
      </w:r>
      <w:r>
        <w:rPr/>
        <w:t>multi-criteria</w:t>
      </w:r>
      <w:r>
        <w:rPr>
          <w:spacing w:val="-6"/>
        </w:rPr>
        <w:t> </w:t>
      </w:r>
      <w:r>
        <w:rPr/>
        <w:t>tools</w:t>
      </w:r>
      <w:r>
        <w:rPr>
          <w:spacing w:val="-5"/>
        </w:rPr>
        <w:t> </w:t>
      </w:r>
      <w:r>
        <w:rPr/>
        <w:t>in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construction</w:t>
      </w:r>
      <w:r>
        <w:rPr>
          <w:spacing w:val="-7"/>
        </w:rPr>
        <w:t> </w:t>
      </w:r>
      <w:r>
        <w:rPr/>
        <w:t>trade</w:t>
      </w:r>
      <w:r>
        <w:rPr>
          <w:spacing w:val="-6"/>
        </w:rPr>
        <w:t> </w:t>
      </w:r>
      <w:r>
        <w:rPr/>
        <w:t>generally</w:t>
      </w:r>
      <w:r>
        <w:rPr>
          <w:spacing w:val="-5"/>
        </w:rPr>
        <w:t> </w:t>
      </w:r>
      <w:r>
        <w:rPr/>
        <w:t>appear</w:t>
      </w:r>
      <w:r>
        <w:rPr>
          <w:spacing w:val="-7"/>
        </w:rPr>
        <w:t> </w:t>
      </w:r>
      <w:r>
        <w:rPr/>
        <w:t>to</w:t>
      </w:r>
      <w:r>
        <w:rPr>
          <w:spacing w:val="-7"/>
        </w:rPr>
        <w:t> </w:t>
      </w:r>
      <w:r>
        <w:rPr/>
        <w:t>be</w:t>
      </w:r>
      <w:r>
        <w:rPr>
          <w:spacing w:val="-6"/>
        </w:rPr>
        <w:t> </w:t>
      </w:r>
      <w:r>
        <w:rPr/>
        <w:t>limited</w:t>
      </w:r>
      <w:r>
        <w:rPr>
          <w:spacing w:val="-57"/>
        </w:rPr>
        <w:t> </w:t>
      </w:r>
      <w:r>
        <w:rPr/>
        <w:t>to</w:t>
      </w:r>
      <w:r>
        <w:rPr>
          <w:spacing w:val="-11"/>
        </w:rPr>
        <w:t> </w:t>
      </w:r>
      <w:r>
        <w:rPr/>
        <w:t>risk</w:t>
      </w:r>
      <w:r>
        <w:rPr>
          <w:spacing w:val="-10"/>
        </w:rPr>
        <w:t> </w:t>
      </w:r>
      <w:r>
        <w:rPr/>
        <w:t>and</w:t>
      </w:r>
      <w:r>
        <w:rPr>
          <w:spacing w:val="-11"/>
        </w:rPr>
        <w:t> </w:t>
      </w:r>
      <w:r>
        <w:rPr/>
        <w:t>life</w:t>
      </w:r>
      <w:r>
        <w:rPr>
          <w:spacing w:val="-11"/>
        </w:rPr>
        <w:t> </w:t>
      </w:r>
      <w:r>
        <w:rPr/>
        <w:t>cycle</w:t>
      </w:r>
      <w:r>
        <w:rPr>
          <w:spacing w:val="-10"/>
        </w:rPr>
        <w:t> </w:t>
      </w:r>
      <w:r>
        <w:rPr/>
        <w:t>assessment.</w:t>
      </w:r>
      <w:r>
        <w:rPr>
          <w:spacing w:val="41"/>
        </w:rPr>
        <w:t> </w:t>
      </w:r>
      <w:r>
        <w:rPr/>
        <w:t>This</w:t>
      </w:r>
      <w:r>
        <w:rPr>
          <w:spacing w:val="-11"/>
        </w:rPr>
        <w:t> </w:t>
      </w:r>
      <w:r>
        <w:rPr/>
        <w:t>research</w:t>
      </w:r>
      <w:r>
        <w:rPr>
          <w:spacing w:val="-11"/>
        </w:rPr>
        <w:t> </w:t>
      </w:r>
      <w:r>
        <w:rPr/>
        <w:t>aims</w:t>
      </w:r>
      <w:r>
        <w:rPr>
          <w:spacing w:val="-10"/>
        </w:rPr>
        <w:t> </w:t>
      </w:r>
      <w:r>
        <w:rPr/>
        <w:t>to</w:t>
      </w:r>
      <w:r>
        <w:rPr>
          <w:spacing w:val="-11"/>
        </w:rPr>
        <w:t> </w:t>
      </w:r>
      <w:r>
        <w:rPr/>
        <w:t>introduce</w:t>
      </w:r>
      <w:r>
        <w:rPr>
          <w:spacing w:val="-10"/>
        </w:rPr>
        <w:t> </w:t>
      </w:r>
      <w:r>
        <w:rPr/>
        <w:t>a</w:t>
      </w:r>
      <w:r>
        <w:rPr>
          <w:spacing w:val="-10"/>
        </w:rPr>
        <w:t> </w:t>
      </w:r>
      <w:r>
        <w:rPr/>
        <w:t>broader</w:t>
      </w:r>
      <w:r>
        <w:rPr>
          <w:spacing w:val="-10"/>
        </w:rPr>
        <w:t> </w:t>
      </w:r>
      <w:r>
        <w:rPr/>
        <w:t>tool</w:t>
      </w:r>
      <w:r>
        <w:rPr>
          <w:spacing w:val="-11"/>
        </w:rPr>
        <w:t> </w:t>
      </w:r>
      <w:r>
        <w:rPr/>
        <w:t>that</w:t>
      </w:r>
      <w:r>
        <w:rPr>
          <w:spacing w:val="-9"/>
        </w:rPr>
        <w:t> </w:t>
      </w:r>
      <w:r>
        <w:rPr/>
        <w:t>allows</w:t>
      </w:r>
      <w:r>
        <w:rPr>
          <w:spacing w:val="-58"/>
        </w:rPr>
        <w:t> </w:t>
      </w:r>
      <w:r>
        <w:rPr/>
        <w:t>stakeholders to determine relevant attributes for a proposed structure and then assess</w:t>
      </w:r>
      <w:r>
        <w:rPr>
          <w:spacing w:val="1"/>
        </w:rPr>
        <w:t> </w:t>
      </w:r>
      <w:r>
        <w:rPr/>
        <w:t>various construction materials in terms of those attributes on a polar or radar chart that</w:t>
      </w:r>
      <w:r>
        <w:rPr>
          <w:spacing w:val="1"/>
        </w:rPr>
        <w:t> </w:t>
      </w:r>
      <w:r>
        <w:rPr/>
        <w:t>allows</w:t>
      </w:r>
      <w:r>
        <w:rPr>
          <w:spacing w:val="-7"/>
        </w:rPr>
        <w:t> </w:t>
      </w:r>
      <w:r>
        <w:rPr/>
        <w:t>for</w:t>
      </w:r>
      <w:r>
        <w:rPr>
          <w:spacing w:val="-6"/>
        </w:rPr>
        <w:t> </w:t>
      </w:r>
      <w:r>
        <w:rPr/>
        <w:t>quick</w:t>
      </w:r>
      <w:r>
        <w:rPr>
          <w:spacing w:val="-7"/>
        </w:rPr>
        <w:t> </w:t>
      </w:r>
      <w:r>
        <w:rPr/>
        <w:t>visual</w:t>
      </w:r>
      <w:r>
        <w:rPr>
          <w:spacing w:val="-7"/>
        </w:rPr>
        <w:t> </w:t>
      </w:r>
      <w:r>
        <w:rPr/>
        <w:t>comparison.</w:t>
      </w:r>
      <w:r>
        <w:rPr>
          <w:spacing w:val="46"/>
        </w:rPr>
        <w:t> </w:t>
      </w:r>
      <w:r>
        <w:rPr/>
        <w:t>The</w:t>
      </w:r>
      <w:r>
        <w:rPr>
          <w:spacing w:val="-7"/>
        </w:rPr>
        <w:t> </w:t>
      </w:r>
      <w:r>
        <w:rPr/>
        <w:t>radar</w:t>
      </w:r>
      <w:r>
        <w:rPr>
          <w:spacing w:val="-6"/>
        </w:rPr>
        <w:t> </w:t>
      </w:r>
      <w:r>
        <w:rPr/>
        <w:t>chart</w:t>
      </w:r>
      <w:r>
        <w:rPr>
          <w:spacing w:val="-7"/>
        </w:rPr>
        <w:t> </w:t>
      </w:r>
      <w:r>
        <w:rPr/>
        <w:t>allows</w:t>
      </w:r>
      <w:r>
        <w:rPr>
          <w:spacing w:val="-6"/>
        </w:rPr>
        <w:t> </w:t>
      </w:r>
      <w:r>
        <w:rPr/>
        <w:t>for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evaluation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aggregate</w:t>
      </w:r>
      <w:r>
        <w:rPr>
          <w:spacing w:val="-58"/>
        </w:rPr>
        <w:t> </w:t>
      </w:r>
      <w:r>
        <w:rPr/>
        <w:t>data on the building material, including both quantitative and qualitative data sets.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tool</w:t>
      </w:r>
      <w:r>
        <w:rPr>
          <w:spacing w:val="-3"/>
        </w:rPr>
        <w:t> </w:t>
      </w:r>
      <w:r>
        <w:rPr/>
        <w:t>allows</w:t>
      </w:r>
      <w:r>
        <w:rPr>
          <w:spacing w:val="-3"/>
        </w:rPr>
        <w:t> </w:t>
      </w:r>
      <w:r>
        <w:rPr/>
        <w:t>for</w:t>
      </w:r>
      <w:r>
        <w:rPr>
          <w:spacing w:val="-2"/>
        </w:rPr>
        <w:t> </w:t>
      </w:r>
      <w:r>
        <w:rPr/>
        <w:t>rapid</w:t>
      </w:r>
      <w:r>
        <w:rPr>
          <w:spacing w:val="-4"/>
        </w:rPr>
        <w:t> </w:t>
      </w:r>
      <w:r>
        <w:rPr/>
        <w:t>decision</w:t>
      </w:r>
      <w:r>
        <w:rPr>
          <w:spacing w:val="-3"/>
        </w:rPr>
        <w:t> </w:t>
      </w:r>
      <w:r>
        <w:rPr/>
        <w:t>making</w:t>
      </w:r>
      <w:r>
        <w:rPr>
          <w:spacing w:val="-4"/>
        </w:rPr>
        <w:t> </w:t>
      </w:r>
      <w:r>
        <w:rPr/>
        <w:t>by</w:t>
      </w:r>
      <w:r>
        <w:rPr>
          <w:spacing w:val="-3"/>
        </w:rPr>
        <w:t> </w:t>
      </w:r>
      <w:r>
        <w:rPr/>
        <w:t>stakeholders</w:t>
      </w:r>
      <w:r>
        <w:rPr>
          <w:spacing w:val="-3"/>
        </w:rPr>
        <w:t> </w:t>
      </w:r>
      <w:r>
        <w:rPr/>
        <w:t>with</w:t>
      </w:r>
      <w:r>
        <w:rPr>
          <w:spacing w:val="-4"/>
        </w:rPr>
        <w:t> </w:t>
      </w:r>
      <w:r>
        <w:rPr/>
        <w:t>less</w:t>
      </w:r>
      <w:r>
        <w:rPr>
          <w:spacing w:val="-3"/>
        </w:rPr>
        <w:t> </w:t>
      </w:r>
      <w:r>
        <w:rPr/>
        <w:t>technical</w:t>
      </w:r>
      <w:r>
        <w:rPr>
          <w:spacing w:val="-2"/>
        </w:rPr>
        <w:t> </w:t>
      </w:r>
      <w:r>
        <w:rPr/>
        <w:t>expertise</w:t>
      </w:r>
      <w:r>
        <w:rPr>
          <w:spacing w:val="-3"/>
        </w:rPr>
        <w:t> </w:t>
      </w:r>
      <w:r>
        <w:rPr/>
        <w:t>in</w:t>
      </w:r>
      <w:r>
        <w:rPr>
          <w:spacing w:val="-4"/>
        </w:rPr>
        <w:t> </w:t>
      </w:r>
      <w:r>
        <w:rPr/>
        <w:t>each</w:t>
      </w:r>
      <w:r>
        <w:rPr>
          <w:spacing w:val="-58"/>
        </w:rPr>
        <w:t> </w:t>
      </w:r>
      <w:r>
        <w:rPr/>
        <w:t>of the attributes assessed. </w:t>
      </w:r>
      <w:hyperlink w:history="true" w:anchor="_bookmark0">
        <w:r>
          <w:rPr/>
          <w:t>Figure 1-1</w:t>
        </w:r>
      </w:hyperlink>
      <w:r>
        <w:rPr/>
        <w:t> shows a hypothetical example of a multi-criteria</w:t>
      </w:r>
      <w:r>
        <w:rPr>
          <w:spacing w:val="1"/>
        </w:rPr>
        <w:t> </w:t>
      </w:r>
      <w:r>
        <w:rPr/>
        <w:t>assessment tool.</w:t>
      </w:r>
      <w:r>
        <w:rPr>
          <w:spacing w:val="1"/>
        </w:rPr>
        <w:t> </w:t>
      </w:r>
      <w:r>
        <w:rPr/>
        <w:t>Each construction material has certain attributes and limitations that can</w:t>
      </w:r>
      <w:r>
        <w:rPr>
          <w:spacing w:val="-57"/>
        </w:rPr>
        <w:t> </w:t>
      </w:r>
      <w:r>
        <w:rPr/>
        <w:t>be</w:t>
      </w:r>
      <w:r>
        <w:rPr>
          <w:spacing w:val="-1"/>
        </w:rPr>
        <w:t> </w:t>
      </w:r>
      <w:r>
        <w:rPr/>
        <w:t>weighted</w:t>
      </w:r>
      <w:r>
        <w:rPr>
          <w:spacing w:val="-3"/>
        </w:rPr>
        <w:t> </w:t>
      </w:r>
      <w:r>
        <w:rPr/>
        <w:t>and</w:t>
      </w:r>
      <w:r>
        <w:rPr>
          <w:spacing w:val="-1"/>
        </w:rPr>
        <w:t> </w:t>
      </w:r>
      <w:r>
        <w:rPr/>
        <w:t>prioritized based</w:t>
      </w:r>
      <w:r>
        <w:rPr>
          <w:spacing w:val="-1"/>
        </w:rPr>
        <w:t> </w:t>
      </w:r>
      <w:r>
        <w:rPr/>
        <w:t>on</w:t>
      </w:r>
      <w:r>
        <w:rPr>
          <w:spacing w:val="-3"/>
        </w:rPr>
        <w:t> </w:t>
      </w:r>
      <w:r>
        <w:rPr/>
        <w:t>specific</w:t>
      </w:r>
      <w:r>
        <w:rPr>
          <w:spacing w:val="-1"/>
        </w:rPr>
        <w:t> </w:t>
      </w:r>
      <w:r>
        <w:rPr/>
        <w:t>project constraints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requirements.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320"/>
        </w:sectPr>
      </w:pPr>
    </w:p>
    <w:p>
      <w:pPr>
        <w:spacing w:before="86"/>
        <w:ind w:left="4588" w:right="0" w:firstLine="0"/>
        <w:jc w:val="left"/>
        <w:rPr>
          <w:sz w:val="18"/>
        </w:rPr>
      </w:pPr>
      <w:r>
        <w:rPr>
          <w:w w:val="105"/>
          <w:sz w:val="18"/>
        </w:rPr>
        <w:t>Cost</w:t>
      </w:r>
    </w:p>
    <w:p>
      <w:pPr>
        <w:spacing w:before="12"/>
        <w:ind w:left="4539" w:right="0" w:firstLine="0"/>
        <w:jc w:val="left"/>
        <w:rPr>
          <w:sz w:val="14"/>
        </w:rPr>
      </w:pPr>
      <w:r>
        <w:rPr/>
        <w:pict>
          <v:group style="position:absolute;margin-left:224.145508pt;margin-top:2.466939pt;width:199.6pt;height:189.8pt;mso-position-horizontal-relative:page;mso-position-vertical-relative:paragraph;z-index:-34978304" coordorigin="4483,49" coordsize="3992,3796">
            <v:shape style="position:absolute;left:4527;top:93;width:3904;height:3707" coordorigin="4528,94" coordsize="3904,3707" path="m6479,1733l6870,2016m6870,2016l6721,2474m6721,2474l6238,2474m6238,2474l6089,2016m6089,2016l6479,1733m6479,1323l7260,1889m7260,1889l6962,2806m6962,2806l5997,2806m5997,2806l5699,1889m5699,1889l6479,1323m6479,913l7651,1762m7651,1762l7203,3137m7203,3137l5756,3137m5756,3137l5308,1762m5308,1762l6479,913m6479,503l8041,1636m8041,1636l7445,3469m7445,3469l5514,3469m5514,3469l4918,1636m4918,1636l6479,503m6479,94l8432,1510m8432,1510l7686,3800m7686,3800l5273,3800m5273,3800l4528,1510m4528,1510l6479,94e" filled="false" stroked="true" strokeweight=".678962pt" strokecolor="#000000">
              <v:path arrowok="t"/>
              <v:stroke dashstyle="solid"/>
            </v:shape>
            <v:shape style="position:absolute;left:4527;top:1509;width:3159;height:2291" coordorigin="4528,1510" coordsize="3159,2291" path="m4528,1510l6479,1733,7651,1762,7686,3800,5273,3800,4528,1510e" filled="false" stroked="true" strokeweight="1.317604pt" strokecolor="#5b9bd5">
              <v:path arrowok="t"/>
              <v:stroke dashstyle="solid"/>
            </v:shape>
            <v:shape style="position:absolute;left:6452;top:1705;width:54;height:54" type="#_x0000_t75" stroked="false">
              <v:imagedata r:id="rId7" o:title=""/>
            </v:shape>
            <v:shape style="position:absolute;left:6452;top:1705;width:54;height:54" coordorigin="6452,1706" coordsize="54,54" path="m6506,1732l6506,1747,6494,1759,6479,1759,6464,1759,6452,1747,6452,1732,6452,1718,6464,1706,6479,1706,6494,1706,6506,1718,6506,1732xe" filled="false" stroked="true" strokeweight="1.717534pt" strokecolor="#5997d0">
              <v:path arrowok="t"/>
              <v:stroke dashstyle="solid"/>
            </v:shape>
            <v:shape style="position:absolute;left:7624;top:1735;width:54;height:54" type="#_x0000_t75" stroked="false">
              <v:imagedata r:id="rId8" o:title=""/>
            </v:shape>
            <v:shape style="position:absolute;left:7624;top:1735;width:54;height:54" coordorigin="7625,1736" coordsize="54,54" path="m7678,1762l7678,1777,7666,1789,7651,1789,7637,1789,7625,1777,7625,1762,7625,1748,7637,1736,7651,1736,7666,1736,7678,1748,7678,1762xe" filled="false" stroked="true" strokeweight="1.717534pt" strokecolor="#5997d0">
              <v:path arrowok="t"/>
              <v:stroke dashstyle="solid"/>
            </v:shape>
            <v:shape style="position:absolute;left:7659;top:3774;width:54;height:54" type="#_x0000_t75" stroked="false">
              <v:imagedata r:id="rId8" o:title=""/>
            </v:shape>
            <v:shape style="position:absolute;left:7659;top:3774;width:54;height:54" coordorigin="7660,3774" coordsize="54,54" path="m7713,3801l7713,3815,7701,3827,7686,3827,7672,3827,7660,3815,7660,3801,7660,3786,7672,3774,7686,3774,7701,3774,7713,3786,7713,3801xe" filled="false" stroked="true" strokeweight="1.717534pt" strokecolor="#5997d0">
              <v:path arrowok="t"/>
              <v:stroke dashstyle="solid"/>
            </v:shape>
            <v:shape style="position:absolute;left:5246;top:3774;width:54;height:54" type="#_x0000_t75" stroked="false">
              <v:imagedata r:id="rId8" o:title=""/>
            </v:shape>
            <v:shape style="position:absolute;left:5246;top:3774;width:54;height:54" coordorigin="5246,3774" coordsize="54,54" path="m5300,3801l5300,3815,5288,3827,5273,3827,5258,3827,5246,3815,5246,3801,5246,3786,5258,3774,5273,3774,5288,3774,5300,3786,5300,3801xe" filled="false" stroked="true" strokeweight="1.717534pt" strokecolor="#5997d0">
              <v:path arrowok="t"/>
              <v:stroke dashstyle="solid"/>
            </v:shape>
            <v:shape style="position:absolute;left:4500;top:1483;width:54;height:54" type="#_x0000_t75" stroked="false">
              <v:imagedata r:id="rId9" o:title=""/>
            </v:shape>
            <v:shape style="position:absolute;left:4500;top:1483;width:54;height:54" coordorigin="4500,1483" coordsize="54,54" path="m4553,1510l4553,1524,4541,1536,4527,1536,4512,1536,4500,1524,4500,1510,4500,1495,4512,1483,4527,1483,4541,1483,4553,1495,4553,1510xe" filled="false" stroked="true" strokeweight="1.717534pt" strokecolor="#5997d0">
              <v:path arrowok="t"/>
              <v:stroke dashstyle="solid"/>
            </v:shape>
            <v:shape style="position:absolute;left:5698;top:503;width:2343;height:2303" coordorigin="5698,504" coordsize="2343,2303" path="m5698,1889l6480,504,8041,1636,6962,2806,5997,2806,5698,1889e" filled="false" stroked="true" strokeweight="1.71739pt" strokecolor="#ed7d31">
              <v:path arrowok="t"/>
              <v:stroke dashstyle="solid"/>
            </v:shape>
            <v:shape style="position:absolute;left:6452;top:477;width:54;height:54" type="#_x0000_t75" stroked="false">
              <v:imagedata r:id="rId10" o:title=""/>
            </v:shape>
            <v:shape style="position:absolute;left:6452;top:477;width:54;height:54" coordorigin="6452,477" coordsize="54,54" path="m6506,504l6506,518,6494,530,6479,530,6464,530,6452,518,6452,504,6452,489,6464,477,6479,477,6494,477,6506,489,6506,504xe" filled="false" stroked="true" strokeweight="1.717534pt" strokecolor="#e87a30">
              <v:path arrowok="t"/>
              <v:stroke dashstyle="solid"/>
            </v:shape>
            <v:shape style="position:absolute;left:8014;top:1609;width:54;height:54" type="#_x0000_t75" stroked="false">
              <v:imagedata r:id="rId11" o:title=""/>
            </v:shape>
            <v:shape style="position:absolute;left:8014;top:1609;width:54;height:54" coordorigin="8015,1609" coordsize="54,54" path="m8068,1636l8068,1651,8056,1663,8041,1663,8027,1663,8015,1651,8015,1636,8015,1621,8027,1609,8041,1609,8056,1609,8068,1621,8068,1636xe" filled="false" stroked="true" strokeweight="1.717534pt" strokecolor="#e87a30">
              <v:path arrowok="t"/>
              <v:stroke dashstyle="solid"/>
            </v:shape>
            <v:shape style="position:absolute;left:6935;top:2778;width:54;height:54" type="#_x0000_t75" stroked="false">
              <v:imagedata r:id="rId12" o:title=""/>
            </v:shape>
            <v:shape style="position:absolute;left:6935;top:2778;width:54;height:54" coordorigin="6935,2778" coordsize="54,54" path="m6989,2805l6989,2819,6977,2831,6962,2831,6947,2831,6935,2819,6935,2805,6935,2790,6947,2778,6962,2778,6977,2778,6989,2790,6989,2805xe" filled="false" stroked="true" strokeweight="1.717534pt" strokecolor="#e87a30">
              <v:path arrowok="t"/>
              <v:stroke dashstyle="solid"/>
            </v:shape>
            <v:shape style="position:absolute;left:5970;top:2778;width:54;height:54" type="#_x0000_t75" stroked="false">
              <v:imagedata r:id="rId10" o:title=""/>
            </v:shape>
            <v:shape style="position:absolute;left:5970;top:2778;width:54;height:54" coordorigin="5971,2778" coordsize="54,54" path="m6024,2805l6024,2819,6012,2831,5997,2831,5983,2831,5971,2819,5971,2805,5971,2790,5983,2778,5997,2778,6012,2778,6024,2790,6024,2805xe" filled="false" stroked="true" strokeweight="1.717534pt" strokecolor="#e87a30">
              <v:path arrowok="t"/>
              <v:stroke dashstyle="solid"/>
            </v:shape>
            <v:shape style="position:absolute;left:5672;top:1862;width:54;height:54" type="#_x0000_t75" stroked="false">
              <v:imagedata r:id="rId10" o:title=""/>
            </v:shape>
            <v:shape style="position:absolute;left:5672;top:1862;width:54;height:54" coordorigin="5673,1862" coordsize="54,54" path="m5726,1889l5726,1903,5714,1915,5699,1915,5685,1915,5673,1903,5673,1889,5673,1874,5685,1862,5699,1862,5714,1862,5726,1874,5726,1889xe" filled="false" stroked="true" strokeweight="1.717534pt" strokecolor="#e87a30">
              <v:path arrowok="t"/>
              <v:stroke dashstyle="solid"/>
            </v:shape>
            <v:shape style="position:absolute;left:5308;top:912;width:2343;height:2556" coordorigin="5308,913" coordsize="2343,2556" path="m5308,1763l6480,913,7651,1763,7445,3468,5756,3137,5308,1763e" filled="false" stroked="true" strokeweight="1.717552pt" strokecolor="#4472c4">
              <v:path arrowok="t"/>
              <v:stroke dashstyle="solid"/>
            </v:shape>
            <v:shape style="position:absolute;left:6452;top:886;width:54;height:54" type="#_x0000_t75" stroked="false">
              <v:imagedata r:id="rId13" o:title=""/>
            </v:shape>
            <v:shape style="position:absolute;left:6452;top:886;width:54;height:54" coordorigin="6452,886" coordsize="54,54" path="m6506,913l6506,927,6494,939,6479,939,6464,939,6452,927,6452,913,6452,898,6464,886,6479,886,6494,886,6506,898,6506,913xe" filled="false" stroked="true" strokeweight="1.717534pt" strokecolor="#4472c4">
              <v:path arrowok="t"/>
              <v:stroke dashstyle="solid"/>
            </v:shape>
            <v:shape style="position:absolute;left:7624;top:1735;width:54;height:54" type="#_x0000_t75" stroked="false">
              <v:imagedata r:id="rId14" o:title=""/>
            </v:shape>
            <v:shape style="position:absolute;left:7624;top:1735;width:54;height:54" coordorigin="7625,1736" coordsize="54,54" path="m7678,1762l7678,1777,7666,1789,7651,1789,7637,1789,7625,1777,7625,1762,7625,1748,7637,1736,7651,1736,7666,1736,7678,1748,7678,1762xe" filled="false" stroked="true" strokeweight="1.717534pt" strokecolor="#4472c4">
              <v:path arrowok="t"/>
              <v:stroke dashstyle="solid"/>
            </v:shape>
            <v:shape style="position:absolute;left:7418;top:3441;width:54;height:54" type="#_x0000_t75" stroked="false">
              <v:imagedata r:id="rId15" o:title=""/>
            </v:shape>
            <v:shape style="position:absolute;left:7418;top:3441;width:54;height:54" coordorigin="7418,3442" coordsize="54,54" path="m7472,3468l7472,3483,7460,3495,7445,3495,7430,3495,7418,3483,7418,3468,7418,3453,7430,3442,7445,3442,7460,3442,7472,3453,7472,3468xe" filled="false" stroked="true" strokeweight="1.717534pt" strokecolor="#4472c4">
              <v:path arrowok="t"/>
              <v:stroke dashstyle="solid"/>
            </v:shape>
            <v:shape style="position:absolute;left:5729;top:3110;width:54;height:54" type="#_x0000_t75" stroked="false">
              <v:imagedata r:id="rId16" o:title=""/>
            </v:shape>
            <v:shape style="position:absolute;left:5729;top:3110;width:54;height:54" coordorigin="5729,3111" coordsize="54,54" path="m5783,3137l5783,3152,5771,3164,5756,3164,5741,3164,5729,3152,5729,3137,5729,3123,5741,3111,5756,3111,5771,3111,5783,3123,5783,3137xe" filled="false" stroked="true" strokeweight="1.717534pt" strokecolor="#4472c4">
              <v:path arrowok="t"/>
              <v:stroke dashstyle="solid"/>
            </v:shape>
            <v:shape style="position:absolute;left:5281;top:1735;width:54;height:54" type="#_x0000_t75" stroked="false">
              <v:imagedata r:id="rId14" o:title=""/>
            </v:shape>
            <v:shape style="position:absolute;left:5281;top:1735;width:54;height:54" coordorigin="5281,1736" coordsize="54,54" path="m5335,1762l5335,1777,5323,1789,5308,1789,5293,1789,5281,1777,5281,1762,5281,1748,5293,1736,5308,1736,5323,1736,5335,1748,5335,1762xe" filled="false" stroked="true" strokeweight="1.717534pt" strokecolor="#4472c4">
              <v:path arrowok="t"/>
              <v:stroke dashstyle="solid"/>
            </v:shape>
            <v:shape style="position:absolute;left:6088;top:93;width:2343;height:2381" coordorigin="6089,94" coordsize="2343,2381" path="m6089,2016l6479,94,8432,1509,6721,2474,6238,2474,6089,2016e" filled="false" stroked="true" strokeweight="1.317992pt" strokecolor="#ffc000">
              <v:path arrowok="t"/>
              <v:stroke dashstyle="solid"/>
            </v:shape>
            <v:shape style="position:absolute;left:6452;top:66;width:54;height:54" type="#_x0000_t75" stroked="false">
              <v:imagedata r:id="rId17" o:title=""/>
            </v:shape>
            <v:shape style="position:absolute;left:6452;top:66;width:54;height:54" coordorigin="6452,67" coordsize="54,54" path="m6506,93l6506,108,6494,120,6479,120,6464,120,6452,108,6452,93,6452,78,6464,67,6479,67,6494,67,6506,78,6506,93xe" filled="false" stroked="true" strokeweight="1.717534pt" strokecolor="#f9bc00">
              <v:path arrowok="t"/>
              <v:stroke dashstyle="solid"/>
            </v:shape>
            <v:shape style="position:absolute;left:8404;top:1483;width:54;height:54" type="#_x0000_t75" stroked="false">
              <v:imagedata r:id="rId18" o:title=""/>
            </v:shape>
            <v:shape style="position:absolute;left:8404;top:1483;width:54;height:54" coordorigin="8404,1483" coordsize="54,54" path="m8458,1510l8458,1524,8446,1536,8431,1536,8416,1536,8404,1524,8404,1510,8404,1495,8416,1483,8431,1483,8446,1483,8458,1495,8458,1510xe" filled="false" stroked="true" strokeweight="1.717534pt" strokecolor="#f9bc00">
              <v:path arrowok="t"/>
              <v:stroke dashstyle="solid"/>
            </v:shape>
            <v:shape style="position:absolute;left:6693;top:2447;width:54;height:54" type="#_x0000_t75" stroked="false">
              <v:imagedata r:id="rId19" o:title=""/>
            </v:shape>
            <v:shape style="position:absolute;left:6693;top:2447;width:54;height:54" coordorigin="6694,2447" coordsize="54,54" path="m6747,2474l6747,2489,6735,2501,6720,2501,6706,2501,6694,2489,6694,2474,6694,2459,6706,2447,6720,2447,6735,2447,6747,2459,6747,2474xe" filled="false" stroked="true" strokeweight="1.717534pt" strokecolor="#f9bc00">
              <v:path arrowok="t"/>
              <v:stroke dashstyle="solid"/>
            </v:shape>
            <v:shape style="position:absolute;left:6212;top:2447;width:54;height:54" type="#_x0000_t75" stroked="false">
              <v:imagedata r:id="rId17" o:title=""/>
            </v:shape>
            <v:shape style="position:absolute;left:6212;top:2447;width:54;height:54" coordorigin="6212,2447" coordsize="54,54" path="m6266,2474l6266,2489,6254,2501,6239,2501,6224,2501,6212,2489,6212,2474,6212,2459,6224,2447,6239,2447,6254,2447,6266,2459,6266,2474xe" filled="false" stroked="true" strokeweight="1.717534pt" strokecolor="#f9bc00">
              <v:path arrowok="t"/>
              <v:stroke dashstyle="solid"/>
            </v:shape>
            <v:shape style="position:absolute;left:6062;top:1990;width:54;height:54" type="#_x0000_t75" stroked="false">
              <v:imagedata r:id="rId20" o:title=""/>
            </v:shape>
            <v:shape style="position:absolute;left:6062;top:1990;width:54;height:54" coordorigin="6062,1990" coordsize="54,54" path="m6116,2017l6116,2031,6104,2043,6089,2043,6074,2043,6062,2031,6062,2017,6062,2002,6074,1990,6089,1990,6104,1990,6116,2002,6116,2017xe" filled="false" stroked="true" strokeweight="1.717534pt" strokecolor="#f9bc00">
              <v:path arrowok="t"/>
              <v:stroke dashstyle="solid"/>
            </v:shape>
            <v:shape style="position:absolute;left:5698;top:503;width:1953;height:2303" coordorigin="5699,503" coordsize="1953,2303" path="m5699,1889l6479,503,7651,1762,6962,2806,6238,2474,5699,1889e" filled="false" stroked="true" strokeweight="1.318177pt" strokecolor="#4472c4">
              <v:path arrowok="t"/>
              <v:stroke dashstyle="solid"/>
            </v:shape>
            <v:shape style="position:absolute;left:6452;top:477;width:54;height:54" type="#_x0000_t75" stroked="false">
              <v:imagedata r:id="rId21" o:title=""/>
            </v:shape>
            <v:shape style="position:absolute;left:6452;top:477;width:54;height:54" coordorigin="6452,477" coordsize="54,54" path="m6506,504l6506,518,6494,530,6479,530,6464,530,6452,518,6452,504,6452,489,6464,477,6479,477,6494,477,6506,489,6506,504xe" filled="false" stroked="true" strokeweight="1.717534pt" strokecolor="#426fc0">
              <v:path arrowok="t"/>
              <v:stroke dashstyle="solid"/>
            </v:shape>
            <v:shape style="position:absolute;left:7624;top:1735;width:54;height:54" type="#_x0000_t75" stroked="false">
              <v:imagedata r:id="rId22" o:title=""/>
            </v:shape>
            <v:shape style="position:absolute;left:7624;top:1735;width:54;height:54" coordorigin="7625,1736" coordsize="54,54" path="m7678,1762l7678,1777,7666,1789,7651,1789,7637,1789,7625,1777,7625,1762,7625,1748,7637,1736,7651,1736,7666,1736,7678,1748,7678,1762xe" filled="false" stroked="true" strokeweight="1.717534pt" strokecolor="#426fc0">
              <v:path arrowok="t"/>
              <v:stroke dashstyle="solid"/>
            </v:shape>
            <v:shape style="position:absolute;left:6935;top:2778;width:54;height:54" type="#_x0000_t75" stroked="false">
              <v:imagedata r:id="rId21" o:title=""/>
            </v:shape>
            <v:shape style="position:absolute;left:6935;top:2778;width:54;height:54" coordorigin="6935,2778" coordsize="54,54" path="m6989,2805l6989,2819,6977,2831,6962,2831,6947,2831,6935,2819,6935,2805,6935,2790,6947,2778,6962,2778,6977,2778,6989,2790,6989,2805xe" filled="false" stroked="true" strokeweight="1.717534pt" strokecolor="#426fc0">
              <v:path arrowok="t"/>
              <v:stroke dashstyle="solid"/>
            </v:shape>
            <v:shape style="position:absolute;left:6212;top:2447;width:54;height:54" type="#_x0000_t75" stroked="false">
              <v:imagedata r:id="rId23" o:title=""/>
            </v:shape>
            <v:shape style="position:absolute;left:6212;top:2447;width:54;height:54" coordorigin="6212,2447" coordsize="54,54" path="m6266,2474l6266,2489,6254,2501,6239,2501,6224,2501,6212,2489,6212,2474,6212,2459,6224,2447,6239,2447,6254,2447,6266,2459,6266,2474xe" filled="false" stroked="true" strokeweight="1.717534pt" strokecolor="#426fc0">
              <v:path arrowok="t"/>
              <v:stroke dashstyle="solid"/>
            </v:shape>
            <v:shape style="position:absolute;left:5672;top:1862;width:54;height:54" type="#_x0000_t75" stroked="false">
              <v:imagedata r:id="rId21" o:title=""/>
            </v:shape>
            <v:shape style="position:absolute;left:5672;top:1862;width:54;height:54" coordorigin="5673,1862" coordsize="54,54" path="m5726,1889l5726,1903,5714,1915,5699,1915,5685,1915,5673,1903,5673,1889,5673,1874,5685,1862,5699,1862,5714,1862,5726,1874,5726,1889xe" filled="false" stroked="true" strokeweight="1.717534pt" strokecolor="#426fc0">
              <v:path arrowok="t"/>
              <v:stroke dashstyle="solid"/>
            </v:shape>
            <v:shape style="position:absolute;left:5273;top:1323;width:2413;height:2478" coordorigin="5273,1323" coordsize="2413,2478" path="m5308,1763l6480,1323,7261,1889,7686,3800,5273,3800,5308,1763e" filled="false" stroked="true" strokeweight="1.717456pt" strokecolor="#70ad47">
              <v:path arrowok="t"/>
              <v:stroke dashstyle="solid"/>
            </v:shape>
            <v:shape style="position:absolute;left:6452;top:1296;width:54;height:54" type="#_x0000_t75" stroked="false">
              <v:imagedata r:id="rId24" o:title=""/>
            </v:shape>
            <v:shape style="position:absolute;left:6452;top:1296;width:54;height:54" coordorigin="6452,1297" coordsize="54,54" path="m6506,1323l6506,1338,6494,1350,6479,1350,6464,1350,6452,1338,6452,1323,6452,1309,6464,1297,6479,1297,6494,1297,6506,1309,6506,1323xe" filled="false" stroked="true" strokeweight="1.717534pt" strokecolor="#6da945">
              <v:path arrowok="t"/>
              <v:stroke dashstyle="solid"/>
            </v:shape>
            <v:shape style="position:absolute;left:7233;top:1862;width:54;height:54" type="#_x0000_t75" stroked="false">
              <v:imagedata r:id="rId25" o:title=""/>
            </v:shape>
            <v:shape style="position:absolute;left:7233;top:1862;width:54;height:54" coordorigin="7233,1862" coordsize="54,54" path="m7287,1889l7287,1903,7275,1915,7260,1915,7245,1915,7233,1903,7233,1889,7233,1874,7245,1862,7260,1862,7275,1862,7287,1874,7287,1889xe" filled="false" stroked="true" strokeweight="1.717534pt" strokecolor="#6da945">
              <v:path arrowok="t"/>
              <v:stroke dashstyle="solid"/>
            </v:shape>
            <v:shape style="position:absolute;left:7659;top:3774;width:54;height:54" type="#_x0000_t75" stroked="false">
              <v:imagedata r:id="rId26" o:title=""/>
            </v:shape>
            <v:shape style="position:absolute;left:7659;top:3774;width:54;height:54" coordorigin="7660,3774" coordsize="54,54" path="m7713,3801l7713,3815,7701,3827,7686,3827,7672,3827,7660,3815,7660,3801,7660,3786,7672,3774,7686,3774,7701,3774,7713,3786,7713,3801xe" filled="false" stroked="true" strokeweight="1.717534pt" strokecolor="#6da945">
              <v:path arrowok="t"/>
              <v:stroke dashstyle="solid"/>
            </v:shape>
            <v:shape style="position:absolute;left:5246;top:3774;width:54;height:54" type="#_x0000_t75" stroked="false">
              <v:imagedata r:id="rId26" o:title=""/>
            </v:shape>
            <v:shape style="position:absolute;left:5246;top:3774;width:54;height:54" coordorigin="5246,3774" coordsize="54,54" path="m5300,3801l5300,3815,5288,3827,5273,3827,5258,3827,5246,3815,5246,3801,5246,3786,5258,3774,5273,3774,5288,3774,5300,3786,5300,3801xe" filled="false" stroked="true" strokeweight="1.717534pt" strokecolor="#6da945">
              <v:path arrowok="t"/>
              <v:stroke dashstyle="solid"/>
            </v:shape>
            <v:shape style="position:absolute;left:5281;top:1735;width:54;height:54" type="#_x0000_t75" stroked="false">
              <v:imagedata r:id="rId26" o:title=""/>
            </v:shape>
            <v:shape style="position:absolute;left:5281;top:1735;width:54;height:54" coordorigin="5281,1736" coordsize="54,54" path="m5335,1762l5335,1777,5323,1789,5308,1789,5293,1789,5281,1777,5281,1762,5281,1748,5293,1736,5308,1736,5323,1736,5335,1748,5335,1762xe" filled="false" stroked="true" strokeweight="1.717534pt" strokecolor="#6da945">
              <v:path arrowok="t"/>
              <v:stroke dashstyle="solid"/>
            </v:shape>
            <w10:wrap type="none"/>
          </v:group>
        </w:pict>
      </w:r>
      <w:r>
        <w:rPr>
          <w:w w:val="104"/>
          <w:sz w:val="14"/>
        </w:rPr>
        <w:t>5</w:t>
      </w:r>
    </w:p>
    <w:p>
      <w:pPr>
        <w:pStyle w:val="BodyText"/>
        <w:spacing w:before="11"/>
        <w:rPr>
          <w:sz w:val="12"/>
        </w:rPr>
      </w:pPr>
    </w:p>
    <w:p>
      <w:pPr>
        <w:spacing w:before="99"/>
        <w:ind w:left="0" w:right="45" w:firstLine="0"/>
        <w:jc w:val="center"/>
        <w:rPr>
          <w:sz w:val="14"/>
        </w:rPr>
      </w:pPr>
      <w:r>
        <w:rPr>
          <w:w w:val="104"/>
          <w:sz w:val="14"/>
        </w:rPr>
        <w:t>4</w:t>
      </w:r>
    </w:p>
    <w:p>
      <w:pPr>
        <w:pStyle w:val="BodyText"/>
        <w:rPr>
          <w:sz w:val="13"/>
        </w:rPr>
      </w:pPr>
    </w:p>
    <w:p>
      <w:pPr>
        <w:spacing w:before="100"/>
        <w:ind w:left="0" w:right="45" w:firstLine="0"/>
        <w:jc w:val="center"/>
        <w:rPr>
          <w:sz w:val="14"/>
        </w:rPr>
      </w:pPr>
      <w:r>
        <w:rPr>
          <w:w w:val="104"/>
          <w:sz w:val="14"/>
        </w:rPr>
        <w:t>3</w:t>
      </w:r>
    </w:p>
    <w:p>
      <w:pPr>
        <w:pStyle w:val="BodyText"/>
        <w:spacing w:before="11"/>
        <w:rPr>
          <w:sz w:val="12"/>
        </w:rPr>
      </w:pPr>
    </w:p>
    <w:p>
      <w:pPr>
        <w:spacing w:after="0"/>
        <w:rPr>
          <w:sz w:val="12"/>
        </w:rPr>
        <w:sectPr>
          <w:pgSz w:w="12240" w:h="15840"/>
          <w:pgMar w:header="0" w:footer="1064" w:top="1400" w:bottom="1260" w:left="1720" w:right="1320"/>
        </w:sectPr>
      </w:pPr>
    </w:p>
    <w:p>
      <w:pPr>
        <w:spacing w:line="147" w:lineRule="exact" w:before="100"/>
        <w:ind w:left="4539" w:right="0" w:firstLine="0"/>
        <w:jc w:val="left"/>
        <w:rPr>
          <w:sz w:val="14"/>
        </w:rPr>
      </w:pPr>
      <w:r>
        <w:rPr>
          <w:w w:val="104"/>
          <w:sz w:val="14"/>
        </w:rPr>
        <w:t>2</w:t>
      </w:r>
    </w:p>
    <w:p>
      <w:pPr>
        <w:spacing w:line="193" w:lineRule="exact" w:before="0"/>
        <w:ind w:left="1169" w:right="0" w:firstLine="0"/>
        <w:jc w:val="left"/>
        <w:rPr>
          <w:sz w:val="18"/>
        </w:rPr>
      </w:pPr>
      <w:r>
        <w:rPr>
          <w:spacing w:val="-1"/>
          <w:w w:val="105"/>
          <w:sz w:val="18"/>
        </w:rPr>
        <w:t>Protection</w:t>
      </w:r>
      <w:r>
        <w:rPr>
          <w:spacing w:val="-9"/>
          <w:w w:val="105"/>
          <w:sz w:val="18"/>
        </w:rPr>
        <w:t> </w:t>
      </w:r>
      <w:r>
        <w:rPr>
          <w:w w:val="105"/>
          <w:sz w:val="18"/>
        </w:rPr>
        <w:t>(Ballistic)</w:t>
      </w:r>
    </w:p>
    <w:p>
      <w:pPr>
        <w:spacing w:before="70"/>
        <w:ind w:left="4539" w:right="0" w:firstLine="0"/>
        <w:jc w:val="left"/>
        <w:rPr>
          <w:sz w:val="14"/>
        </w:rPr>
      </w:pPr>
      <w:r>
        <w:rPr>
          <w:w w:val="104"/>
          <w:sz w:val="14"/>
        </w:rPr>
        <w:t>1</w:t>
      </w:r>
    </w:p>
    <w:p>
      <w:pPr>
        <w:pStyle w:val="BodyText"/>
        <w:spacing w:before="2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spacing w:before="0"/>
        <w:ind w:left="1169" w:right="0" w:firstLine="0"/>
        <w:jc w:val="left"/>
        <w:rPr>
          <w:sz w:val="18"/>
        </w:rPr>
      </w:pPr>
      <w:r>
        <w:rPr>
          <w:w w:val="105"/>
          <w:sz w:val="18"/>
        </w:rPr>
        <w:t>Logistics</w:t>
      </w:r>
    </w:p>
    <w:p>
      <w:pPr>
        <w:spacing w:after="0"/>
        <w:jc w:val="left"/>
        <w:rPr>
          <w:sz w:val="18"/>
        </w:rPr>
        <w:sectPr>
          <w:type w:val="continuous"/>
          <w:pgSz w:w="12240" w:h="15840"/>
          <w:pgMar w:top="1380" w:bottom="280" w:left="1720" w:right="1320"/>
          <w:cols w:num="2" w:equalWidth="0">
            <w:col w:w="4653" w:space="967"/>
            <w:col w:w="3580"/>
          </w:cols>
        </w:sectPr>
      </w:pPr>
    </w:p>
    <w:p>
      <w:pPr>
        <w:pStyle w:val="BodyText"/>
        <w:spacing w:before="11"/>
        <w:rPr>
          <w:sz w:val="12"/>
        </w:rPr>
      </w:pPr>
    </w:p>
    <w:p>
      <w:pPr>
        <w:spacing w:before="100"/>
        <w:ind w:left="0" w:right="45" w:firstLine="0"/>
        <w:jc w:val="center"/>
        <w:rPr>
          <w:sz w:val="14"/>
        </w:rPr>
      </w:pPr>
      <w:r>
        <w:rPr>
          <w:w w:val="104"/>
          <w:sz w:val="14"/>
        </w:rPr>
        <w:t>0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</w:pPr>
    </w:p>
    <w:p>
      <w:pPr>
        <w:tabs>
          <w:tab w:pos="4190" w:val="left" w:leader="none"/>
        </w:tabs>
        <w:spacing w:before="98"/>
        <w:ind w:left="359" w:right="0" w:firstLine="0"/>
        <w:jc w:val="center"/>
        <w:rPr>
          <w:sz w:val="18"/>
        </w:rPr>
      </w:pPr>
      <w:r>
        <w:rPr>
          <w:w w:val="105"/>
          <w:sz w:val="18"/>
        </w:rPr>
        <w:t>Protection</w:t>
      </w:r>
      <w:r>
        <w:rPr>
          <w:spacing w:val="-9"/>
          <w:w w:val="105"/>
          <w:sz w:val="18"/>
        </w:rPr>
        <w:t> </w:t>
      </w:r>
      <w:r>
        <w:rPr>
          <w:w w:val="105"/>
          <w:sz w:val="18"/>
        </w:rPr>
        <w:t>(Blast)</w:t>
        <w:tab/>
        <w:t>Energy</w:t>
      </w:r>
      <w:r>
        <w:rPr>
          <w:spacing w:val="-11"/>
          <w:w w:val="105"/>
          <w:sz w:val="18"/>
        </w:rPr>
        <w:t> </w:t>
      </w:r>
      <w:r>
        <w:rPr>
          <w:w w:val="105"/>
          <w:sz w:val="18"/>
        </w:rPr>
        <w:t>Efficiency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tabs>
          <w:tab w:pos="3326" w:val="left" w:leader="none"/>
          <w:tab w:pos="4527" w:val="left" w:leader="none"/>
          <w:tab w:pos="5351" w:val="left" w:leader="none"/>
          <w:tab w:pos="6104" w:val="left" w:leader="none"/>
          <w:tab w:pos="7256" w:val="left" w:leader="none"/>
        </w:tabs>
        <w:spacing w:before="93"/>
        <w:ind w:left="2290" w:right="0" w:firstLine="0"/>
        <w:jc w:val="left"/>
        <w:rPr>
          <w:sz w:val="16"/>
        </w:rPr>
      </w:pPr>
      <w:r>
        <w:rPr/>
        <w:pict>
          <v:group style="position:absolute;margin-left:186.361389pt;margin-top:7.38027pt;width:12.8pt;height:4.4pt;mso-position-horizontal-relative:page;mso-position-vertical-relative:paragraph;z-index:15729152" coordorigin="3727,148" coordsize="256,88">
            <v:line style="position:absolute" from="3727,193" to="3983,193" stroked="true" strokeweight="1.316707pt" strokecolor="#5b9bd5">
              <v:stroke dashstyle="solid"/>
            </v:line>
            <v:shape style="position:absolute;left:3827;top:164;width:53;height:54" type="#_x0000_t75" stroked="false">
              <v:imagedata r:id="rId27" o:title=""/>
            </v:shape>
            <v:shape style="position:absolute;left:3827;top:164;width:53;height:54" coordorigin="3828,165" coordsize="53,54" path="m3880,192l3880,206,3869,218,3854,218,3839,218,3828,206,3828,192,3828,177,3839,165,3854,165,3869,165,3880,177,3880,192xe" filled="false" stroked="true" strokeweight="1.717559pt" strokecolor="#5997d0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238.189484pt;margin-top:7.380282pt;width:12.8pt;height:4.4pt;mso-position-horizontal-relative:page;mso-position-vertical-relative:paragraph;z-index:-34977280" coordorigin="4764,148" coordsize="256,88">
            <v:line style="position:absolute" from="4764,193" to="5020,193" stroked="true" strokeweight="1.715762pt" strokecolor="#ed7d31">
              <v:stroke dashstyle="solid"/>
            </v:line>
            <v:shape style="position:absolute;left:4864;top:164;width:54;height:54" type="#_x0000_t75" stroked="false">
              <v:imagedata r:id="rId28" o:title=""/>
            </v:shape>
            <v:shape style="position:absolute;left:4864;top:164;width:54;height:54" coordorigin="4865,165" coordsize="54,54" path="m4918,192l4918,206,4906,218,4891,218,4877,218,4865,206,4865,192,4865,177,4877,165,4891,165,4906,165,4918,177,4918,192xe" filled="false" stroked="true" strokeweight="1.717534pt" strokecolor="#e87a30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298.272522pt;margin-top:7.38027pt;width:12.8pt;height:4.4pt;mso-position-horizontal-relative:page;mso-position-vertical-relative:paragraph;z-index:-34976768" coordorigin="5965,148" coordsize="256,88">
            <v:line style="position:absolute" from="5965,193" to="6221,193" stroked="true" strokeweight="1.715762pt" strokecolor="#4472c4">
              <v:stroke dashstyle="solid"/>
            </v:line>
            <v:shape style="position:absolute;left:6066;top:164;width:53;height:54" type="#_x0000_t75" stroked="false">
              <v:imagedata r:id="rId29" o:title=""/>
            </v:shape>
            <v:shape style="position:absolute;left:6066;top:164;width:53;height:54" coordorigin="6066,165" coordsize="53,54" path="m6119,192l6119,206,6107,218,6093,218,6078,218,6066,206,6066,192,6066,177,6078,165,6093,165,6107,165,6119,177,6119,192xe" filled="false" stroked="true" strokeweight="1.717559pt" strokecolor="#4472c4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339.427185pt;margin-top:7.38027pt;width:12.8pt;height:4.4pt;mso-position-horizontal-relative:page;mso-position-vertical-relative:paragraph;z-index:-34976256" coordorigin="6789,148" coordsize="256,88">
            <v:line style="position:absolute" from="6789,193" to="7044,193" stroked="true" strokeweight="1.316707pt" strokecolor="#ffc000">
              <v:stroke dashstyle="solid"/>
            </v:line>
            <v:shape style="position:absolute;left:6888;top:164;width:53;height:54" type="#_x0000_t75" stroked="false">
              <v:imagedata r:id="rId30" o:title=""/>
            </v:shape>
            <v:shape style="position:absolute;left:6888;top:164;width:53;height:54" coordorigin="6889,165" coordsize="53,54" path="m6942,192l6942,206,6930,218,6915,218,6901,218,6889,206,6889,192,6889,177,6901,165,6915,165,6930,165,6942,177,6942,192xe" filled="false" stroked="true" strokeweight="1.717559pt" strokecolor="#f9bc00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377.083984pt;margin-top:7.380282pt;width:12.8pt;height:4.4pt;mso-position-horizontal-relative:page;mso-position-vertical-relative:paragraph;z-index:-34975744" coordorigin="7542,148" coordsize="256,88">
            <v:line style="position:absolute" from="7542,193" to="7798,193" stroked="true" strokeweight="1.316707pt" strokecolor="#4472c4">
              <v:stroke dashstyle="solid"/>
            </v:line>
            <v:shape style="position:absolute;left:7641;top:164;width:54;height:54" type="#_x0000_t75" stroked="false">
              <v:imagedata r:id="rId31" o:title=""/>
            </v:shape>
            <v:shape style="position:absolute;left:7641;top:164;width:54;height:54" coordorigin="7641,165" coordsize="54,54" path="m7695,192l7695,206,7683,218,7668,218,7653,218,7641,206,7641,192,7641,177,7653,165,7668,165,7683,165,7695,177,7695,192xe" filled="false" stroked="true" strokeweight="1.717534pt" strokecolor="#426fc0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434.708527pt;margin-top:7.380282pt;width:12.8pt;height:4.4pt;mso-position-horizontal-relative:page;mso-position-vertical-relative:paragraph;z-index:-34975232" coordorigin="8694,148" coordsize="256,88">
            <v:line style="position:absolute" from="8694,193" to="8950,193" stroked="true" strokeweight="1.715762pt" strokecolor="#70ad47">
              <v:stroke dashstyle="solid"/>
            </v:line>
            <v:shape style="position:absolute;left:8794;top:164;width:54;height:54" type="#_x0000_t75" stroked="false">
              <v:imagedata r:id="rId32" o:title=""/>
            </v:shape>
            <v:shape style="position:absolute;left:8794;top:164;width:54;height:54" coordorigin="8794,165" coordsize="54,54" path="m8848,192l8848,206,8836,218,8821,218,8806,218,8794,206,8794,192,8794,177,8806,165,8821,165,8836,165,8848,177,8848,192xe" filled="false" stroked="true" strokeweight="1.717534pt" strokecolor="#6da945">
              <v:path arrowok="t"/>
              <v:stroke dashstyle="solid"/>
            </v:shape>
            <w10:wrap type="none"/>
          </v:group>
        </w:pict>
      </w:r>
      <w:r>
        <w:rPr>
          <w:sz w:val="16"/>
        </w:rPr>
        <w:t>Concrete</w:t>
        <w:tab/>
        <w:t>Light</w:t>
      </w:r>
      <w:r>
        <w:rPr>
          <w:spacing w:val="-2"/>
          <w:sz w:val="16"/>
        </w:rPr>
        <w:t> </w:t>
      </w:r>
      <w:r>
        <w:rPr>
          <w:sz w:val="16"/>
        </w:rPr>
        <w:t>wood</w:t>
        <w:tab/>
        <w:t>CMU</w:t>
        <w:tab/>
        <w:t>Tent</w:t>
        <w:tab/>
        <w:t>Aluminum</w:t>
        <w:tab/>
        <w:t>CLT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1"/>
        </w:rPr>
      </w:pPr>
    </w:p>
    <w:p>
      <w:pPr>
        <w:spacing w:before="90"/>
        <w:ind w:left="440" w:right="0" w:firstLine="0"/>
        <w:jc w:val="left"/>
        <w:rPr>
          <w:i/>
          <w:sz w:val="24"/>
        </w:rPr>
      </w:pPr>
      <w:bookmarkStart w:name="_bookmark0" w:id="21"/>
      <w:bookmarkEnd w:id="21"/>
      <w:r>
        <w:rPr/>
      </w:r>
      <w:r>
        <w:rPr>
          <w:i/>
          <w:sz w:val="24"/>
        </w:rPr>
        <w:t>Figure</w:t>
      </w:r>
      <w:r>
        <w:rPr>
          <w:i/>
          <w:spacing w:val="9"/>
          <w:sz w:val="24"/>
        </w:rPr>
        <w:t> </w:t>
      </w:r>
      <w:r>
        <w:rPr>
          <w:i/>
          <w:sz w:val="24"/>
        </w:rPr>
        <w:t>1-1.</w:t>
      </w:r>
      <w:r>
        <w:rPr>
          <w:i/>
          <w:spacing w:val="7"/>
          <w:sz w:val="24"/>
        </w:rPr>
        <w:t> </w:t>
      </w:r>
      <w:r>
        <w:rPr>
          <w:i/>
          <w:sz w:val="24"/>
        </w:rPr>
        <w:t>Example</w:t>
      </w:r>
      <w:r>
        <w:rPr>
          <w:i/>
          <w:spacing w:val="10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6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9"/>
          <w:sz w:val="24"/>
        </w:rPr>
        <w:t> </w:t>
      </w:r>
      <w:r>
        <w:rPr>
          <w:i/>
          <w:sz w:val="24"/>
        </w:rPr>
        <w:t>radar</w:t>
      </w:r>
      <w:r>
        <w:rPr>
          <w:i/>
          <w:spacing w:val="9"/>
          <w:sz w:val="24"/>
        </w:rPr>
        <w:t> </w:t>
      </w:r>
      <w:r>
        <w:rPr>
          <w:i/>
          <w:sz w:val="24"/>
        </w:rPr>
        <w:t>chart</w:t>
      </w:r>
      <w:r>
        <w:rPr>
          <w:i/>
          <w:spacing w:val="10"/>
          <w:sz w:val="24"/>
        </w:rPr>
        <w:t> </w:t>
      </w:r>
      <w:r>
        <w:rPr>
          <w:i/>
          <w:sz w:val="24"/>
        </w:rPr>
        <w:t>tool</w:t>
      </w:r>
      <w:r>
        <w:rPr>
          <w:i/>
          <w:spacing w:val="8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8"/>
          <w:sz w:val="24"/>
        </w:rPr>
        <w:t> </w:t>
      </w:r>
      <w:r>
        <w:rPr>
          <w:i/>
          <w:sz w:val="24"/>
        </w:rPr>
        <w:t>comparing</w:t>
      </w:r>
      <w:r>
        <w:rPr>
          <w:i/>
          <w:spacing w:val="8"/>
          <w:sz w:val="24"/>
        </w:rPr>
        <w:t> </w:t>
      </w:r>
      <w:r>
        <w:rPr>
          <w:i/>
          <w:sz w:val="24"/>
        </w:rPr>
        <w:t>different</w:t>
      </w:r>
      <w:r>
        <w:rPr>
          <w:i/>
          <w:spacing w:val="10"/>
          <w:sz w:val="24"/>
        </w:rPr>
        <w:t> </w:t>
      </w:r>
      <w:r>
        <w:rPr>
          <w:i/>
          <w:sz w:val="24"/>
        </w:rPr>
        <w:t>building</w:t>
      </w:r>
      <w:r>
        <w:rPr>
          <w:i/>
          <w:spacing w:val="8"/>
          <w:sz w:val="24"/>
        </w:rPr>
        <w:t> </w:t>
      </w:r>
      <w:r>
        <w:rPr>
          <w:i/>
          <w:sz w:val="24"/>
        </w:rPr>
        <w:t>materials</w:t>
      </w:r>
      <w:r>
        <w:rPr>
          <w:i/>
          <w:spacing w:val="10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temporary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military construction across several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criteria.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8"/>
        <w:rPr>
          <w:i/>
          <w:sz w:val="35"/>
        </w:rPr>
      </w:pPr>
    </w:p>
    <w:p>
      <w:pPr>
        <w:pStyle w:val="BodyText"/>
        <w:spacing w:line="480" w:lineRule="auto" w:before="1"/>
        <w:ind w:left="439" w:right="116" w:firstLine="720"/>
        <w:jc w:val="both"/>
      </w:pPr>
      <w:r>
        <w:rPr/>
        <w:t>Currently, the temporary structures used by the United States armed forces in</w:t>
      </w:r>
      <w:r>
        <w:rPr>
          <w:spacing w:val="1"/>
        </w:rPr>
        <w:t> </w:t>
      </w:r>
      <w:r>
        <w:rPr/>
        <w:t>deployed</w:t>
      </w:r>
      <w:r>
        <w:rPr>
          <w:spacing w:val="-10"/>
        </w:rPr>
        <w:t> </w:t>
      </w:r>
      <w:r>
        <w:rPr/>
        <w:t>locations</w:t>
      </w:r>
      <w:r>
        <w:rPr>
          <w:spacing w:val="-9"/>
        </w:rPr>
        <w:t> </w:t>
      </w:r>
      <w:r>
        <w:rPr/>
        <w:t>offer</w:t>
      </w:r>
      <w:r>
        <w:rPr>
          <w:spacing w:val="-8"/>
        </w:rPr>
        <w:t> </w:t>
      </w:r>
      <w:r>
        <w:rPr/>
        <w:t>little</w:t>
      </w:r>
      <w:r>
        <w:rPr>
          <w:spacing w:val="-9"/>
        </w:rPr>
        <w:t> </w:t>
      </w:r>
      <w:r>
        <w:rPr/>
        <w:t>to</w:t>
      </w:r>
      <w:r>
        <w:rPr>
          <w:spacing w:val="-10"/>
        </w:rPr>
        <w:t> </w:t>
      </w:r>
      <w:r>
        <w:rPr/>
        <w:t>no</w:t>
      </w:r>
      <w:r>
        <w:rPr>
          <w:spacing w:val="-9"/>
        </w:rPr>
        <w:t> </w:t>
      </w:r>
      <w:r>
        <w:rPr/>
        <w:t>inherent</w:t>
      </w:r>
      <w:r>
        <w:rPr>
          <w:spacing w:val="-9"/>
        </w:rPr>
        <w:t> </w:t>
      </w:r>
      <w:r>
        <w:rPr/>
        <w:t>blast</w:t>
      </w:r>
      <w:r>
        <w:rPr>
          <w:spacing w:val="-9"/>
        </w:rPr>
        <w:t> </w:t>
      </w:r>
      <w:r>
        <w:rPr/>
        <w:t>or</w:t>
      </w:r>
      <w:r>
        <w:rPr>
          <w:spacing w:val="-9"/>
        </w:rPr>
        <w:t> </w:t>
      </w:r>
      <w:r>
        <w:rPr/>
        <w:t>ballistic</w:t>
      </w:r>
      <w:r>
        <w:rPr>
          <w:spacing w:val="-9"/>
        </w:rPr>
        <w:t> </w:t>
      </w:r>
      <w:r>
        <w:rPr/>
        <w:t>protection</w:t>
      </w:r>
      <w:r>
        <w:rPr>
          <w:spacing w:val="-9"/>
        </w:rPr>
        <w:t> </w:t>
      </w:r>
      <w:r>
        <w:rPr/>
        <w:t>without</w:t>
      </w:r>
      <w:r>
        <w:rPr>
          <w:spacing w:val="-9"/>
        </w:rPr>
        <w:t> </w:t>
      </w:r>
      <w:r>
        <w:rPr/>
        <w:t>hardening.</w:t>
      </w:r>
      <w:r>
        <w:rPr>
          <w:spacing w:val="-57"/>
        </w:rPr>
        <w:t> </w:t>
      </w:r>
      <w:r>
        <w:rPr>
          <w:spacing w:val="-1"/>
        </w:rPr>
        <w:t>Additionally,</w:t>
      </w:r>
      <w:r>
        <w:rPr>
          <w:spacing w:val="-13"/>
        </w:rPr>
        <w:t> </w:t>
      </w:r>
      <w:r>
        <w:rPr/>
        <w:t>most</w:t>
      </w:r>
      <w:r>
        <w:rPr>
          <w:spacing w:val="-12"/>
        </w:rPr>
        <w:t> </w:t>
      </w:r>
      <w:r>
        <w:rPr/>
        <w:t>of</w:t>
      </w:r>
      <w:r>
        <w:rPr>
          <w:spacing w:val="-14"/>
        </w:rPr>
        <w:t> </w:t>
      </w:r>
      <w:r>
        <w:rPr/>
        <w:t>these</w:t>
      </w:r>
      <w:r>
        <w:rPr>
          <w:spacing w:val="-12"/>
        </w:rPr>
        <w:t> </w:t>
      </w:r>
      <w:r>
        <w:rPr/>
        <w:t>temporary</w:t>
      </w:r>
      <w:r>
        <w:rPr>
          <w:spacing w:val="-12"/>
        </w:rPr>
        <w:t> </w:t>
      </w:r>
      <w:r>
        <w:rPr/>
        <w:t>structures</w:t>
      </w:r>
      <w:r>
        <w:rPr>
          <w:spacing w:val="-13"/>
        </w:rPr>
        <w:t> </w:t>
      </w:r>
      <w:r>
        <w:rPr/>
        <w:t>take</w:t>
      </w:r>
      <w:r>
        <w:rPr>
          <w:spacing w:val="-12"/>
        </w:rPr>
        <w:t> </w:t>
      </w:r>
      <w:r>
        <w:rPr/>
        <w:t>weeks</w:t>
      </w:r>
      <w:r>
        <w:rPr>
          <w:spacing w:val="-13"/>
        </w:rPr>
        <w:t> </w:t>
      </w:r>
      <w:r>
        <w:rPr/>
        <w:t>to</w:t>
      </w:r>
      <w:r>
        <w:rPr>
          <w:spacing w:val="-14"/>
        </w:rPr>
        <w:t> </w:t>
      </w:r>
      <w:r>
        <w:rPr/>
        <w:t>construct</w:t>
      </w:r>
      <w:r>
        <w:rPr>
          <w:spacing w:val="-12"/>
        </w:rPr>
        <w:t> </w:t>
      </w:r>
      <w:r>
        <w:rPr/>
        <w:t>and</w:t>
      </w:r>
      <w:r>
        <w:rPr>
          <w:spacing w:val="-13"/>
        </w:rPr>
        <w:t> </w:t>
      </w:r>
      <w:r>
        <w:rPr/>
        <w:t>are</w:t>
      </w:r>
      <w:r>
        <w:rPr>
          <w:spacing w:val="-12"/>
        </w:rPr>
        <w:t> </w:t>
      </w:r>
      <w:r>
        <w:rPr/>
        <w:t>not</w:t>
      </w:r>
      <w:r>
        <w:rPr>
          <w:spacing w:val="-14"/>
        </w:rPr>
        <w:t> </w:t>
      </w:r>
      <w:r>
        <w:rPr/>
        <w:t>energy</w:t>
      </w:r>
      <w:r>
        <w:rPr>
          <w:spacing w:val="-57"/>
        </w:rPr>
        <w:t> </w:t>
      </w:r>
      <w:r>
        <w:rPr/>
        <w:t>efficient, causing forward bases to consume large amounts of fuel.</w:t>
      </w:r>
      <w:r>
        <w:rPr>
          <w:spacing w:val="1"/>
        </w:rPr>
        <w:t> </w:t>
      </w:r>
      <w:r>
        <w:rPr/>
        <w:t>The fuel is used to</w:t>
      </w:r>
      <w:r>
        <w:rPr>
          <w:spacing w:val="1"/>
        </w:rPr>
        <w:t> </w:t>
      </w:r>
      <w:r>
        <w:rPr/>
        <w:t>power generators and environmental control units (ECUs) to keep the structures within a</w:t>
      </w:r>
      <w:r>
        <w:rPr>
          <w:spacing w:val="1"/>
        </w:rPr>
        <w:t> </w:t>
      </w:r>
      <w:r>
        <w:rPr/>
        <w:t>minimal standard of temperature comfort and provide a basic quality of life to enable</w:t>
      </w:r>
      <w:r>
        <w:rPr>
          <w:spacing w:val="1"/>
        </w:rPr>
        <w:t> </w:t>
      </w:r>
      <w:r>
        <w:rPr/>
        <w:t>service members to accomplish their missions.</w:t>
      </w:r>
      <w:r>
        <w:rPr>
          <w:spacing w:val="1"/>
        </w:rPr>
        <w:t> </w:t>
      </w:r>
      <w:r>
        <w:rPr/>
        <w:t>New construction materials like cross-</w:t>
      </w:r>
      <w:r>
        <w:rPr>
          <w:spacing w:val="1"/>
        </w:rPr>
        <w:t> </w:t>
      </w:r>
      <w:r>
        <w:rPr/>
        <w:t>laminated timber (CLT) offer an opportunity to rapidly build temporary structures for</w:t>
      </w:r>
      <w:r>
        <w:rPr>
          <w:spacing w:val="1"/>
        </w:rPr>
        <w:t> </w:t>
      </w:r>
      <w:r>
        <w:rPr/>
        <w:t>military forces while improving force protection, providing greater energy efficiency, and</w:t>
      </w:r>
      <w:r>
        <w:rPr>
          <w:spacing w:val="-57"/>
        </w:rPr>
        <w:t> </w:t>
      </w:r>
      <w:r>
        <w:rPr/>
        <w:t>being</w:t>
      </w:r>
      <w:r>
        <w:rPr>
          <w:spacing w:val="-1"/>
        </w:rPr>
        <w:t> </w:t>
      </w:r>
      <w:r>
        <w:rPr/>
        <w:t>more adaptable to</w:t>
      </w:r>
      <w:r>
        <w:rPr>
          <w:spacing w:val="-2"/>
        </w:rPr>
        <w:t> </w:t>
      </w:r>
      <w:r>
        <w:rPr/>
        <w:t>a changing</w:t>
      </w:r>
      <w:r>
        <w:rPr>
          <w:spacing w:val="-1"/>
        </w:rPr>
        <w:t> </w:t>
      </w:r>
      <w:r>
        <w:rPr/>
        <w:t>operational</w:t>
      </w:r>
      <w:r>
        <w:rPr>
          <w:spacing w:val="-1"/>
        </w:rPr>
        <w:t> </w:t>
      </w:r>
      <w:r>
        <w:rPr/>
        <w:t>environment.</w:t>
      </w:r>
    </w:p>
    <w:p>
      <w:pPr>
        <w:spacing w:after="0" w:line="480" w:lineRule="auto"/>
        <w:jc w:val="both"/>
        <w:sectPr>
          <w:type w:val="continuous"/>
          <w:pgSz w:w="12240" w:h="15840"/>
          <w:pgMar w:top="1380" w:bottom="280" w:left="1720" w:right="1320"/>
        </w:sectPr>
      </w:pPr>
    </w:p>
    <w:p>
      <w:pPr>
        <w:pStyle w:val="BodyText"/>
        <w:spacing w:line="480" w:lineRule="auto" w:before="78"/>
        <w:ind w:left="439" w:right="116" w:firstLine="720"/>
        <w:jc w:val="both"/>
      </w:pPr>
      <w:r>
        <w:rPr/>
        <w:t>Presently, the military relies on guidance from Unified Facilities Criteria (UFC) to</w:t>
      </w:r>
      <w:r>
        <w:rPr>
          <w:spacing w:val="-57"/>
        </w:rPr>
        <w:t> </w:t>
      </w:r>
      <w:r>
        <w:rPr/>
        <w:t>employ standardized designs to meet threat parameters of a given location.</w:t>
      </w:r>
      <w:r>
        <w:rPr>
          <w:spacing w:val="1"/>
        </w:rPr>
        <w:t> </w:t>
      </w:r>
      <w:r>
        <w:rPr/>
        <w:t>The goal of</w:t>
      </w:r>
      <w:r>
        <w:rPr>
          <w:spacing w:val="1"/>
        </w:rPr>
        <w:t> </w:t>
      </w:r>
      <w:r>
        <w:rPr/>
        <w:t>this</w:t>
      </w:r>
      <w:r>
        <w:rPr>
          <w:spacing w:val="-8"/>
        </w:rPr>
        <w:t> </w:t>
      </w:r>
      <w:r>
        <w:rPr/>
        <w:t>research</w:t>
      </w:r>
      <w:r>
        <w:rPr>
          <w:spacing w:val="-7"/>
        </w:rPr>
        <w:t> </w:t>
      </w:r>
      <w:r>
        <w:rPr/>
        <w:t>is</w:t>
      </w:r>
      <w:r>
        <w:rPr>
          <w:spacing w:val="-7"/>
        </w:rPr>
        <w:t> </w:t>
      </w:r>
      <w:r>
        <w:rPr/>
        <w:t>to</w:t>
      </w:r>
      <w:r>
        <w:rPr>
          <w:spacing w:val="-6"/>
        </w:rPr>
        <w:t> </w:t>
      </w:r>
      <w:r>
        <w:rPr/>
        <w:t>inform</w:t>
      </w:r>
      <w:r>
        <w:rPr>
          <w:spacing w:val="-8"/>
        </w:rPr>
        <w:t> </w:t>
      </w:r>
      <w:r>
        <w:rPr/>
        <w:t>those</w:t>
      </w:r>
      <w:r>
        <w:rPr>
          <w:spacing w:val="-6"/>
        </w:rPr>
        <w:t> </w:t>
      </w:r>
      <w:r>
        <w:rPr/>
        <w:t>agencies</w:t>
      </w:r>
      <w:r>
        <w:rPr>
          <w:spacing w:val="-6"/>
        </w:rPr>
        <w:t> </w:t>
      </w:r>
      <w:r>
        <w:rPr/>
        <w:t>that</w:t>
      </w:r>
      <w:r>
        <w:rPr>
          <w:spacing w:val="-6"/>
        </w:rPr>
        <w:t> </w:t>
      </w:r>
      <w:r>
        <w:rPr/>
        <w:t>produce</w:t>
      </w:r>
      <w:r>
        <w:rPr>
          <w:spacing w:val="-7"/>
        </w:rPr>
        <w:t> </w:t>
      </w:r>
      <w:r>
        <w:rPr/>
        <w:t>guides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standards</w:t>
      </w:r>
      <w:r>
        <w:rPr>
          <w:spacing w:val="-7"/>
        </w:rPr>
        <w:t> </w:t>
      </w:r>
      <w:r>
        <w:rPr/>
        <w:t>for</w:t>
      </w:r>
      <w:r>
        <w:rPr>
          <w:spacing w:val="-6"/>
        </w:rPr>
        <w:t> </w:t>
      </w:r>
      <w:r>
        <w:rPr/>
        <w:t>CLT,</w:t>
      </w:r>
      <w:r>
        <w:rPr>
          <w:spacing w:val="-6"/>
        </w:rPr>
        <w:t> </w:t>
      </w:r>
      <w:r>
        <w:rPr/>
        <w:t>on</w:t>
      </w:r>
      <w:r>
        <w:rPr>
          <w:spacing w:val="-6"/>
        </w:rPr>
        <w:t> </w:t>
      </w:r>
      <w:r>
        <w:rPr/>
        <w:t>the</w:t>
      </w:r>
      <w:r>
        <w:rPr>
          <w:spacing w:val="-58"/>
        </w:rPr>
        <w:t> </w:t>
      </w:r>
      <w:r>
        <w:rPr/>
        <w:t>use of the material in military construction by assessing the level of ballistic protection</w:t>
      </w:r>
      <w:r>
        <w:rPr>
          <w:spacing w:val="1"/>
        </w:rPr>
        <w:t> </w:t>
      </w:r>
      <w:r>
        <w:rPr/>
        <w:t>provided by CLT systems.</w:t>
      </w:r>
      <w:r>
        <w:rPr>
          <w:spacing w:val="1"/>
        </w:rPr>
        <w:t> </w:t>
      </w:r>
      <w:r>
        <w:rPr/>
        <w:t>This is achieved by examining methods to model ballistic</w:t>
      </w:r>
      <w:r>
        <w:rPr>
          <w:spacing w:val="1"/>
        </w:rPr>
        <w:t> </w:t>
      </w:r>
      <w:r>
        <w:rPr/>
        <w:t>performance based on experimental data from CLT and enhanced CLT (ECLT).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addition to informing potential users considering CLT for future construction planning,</w:t>
      </w:r>
      <w:r>
        <w:rPr>
          <w:spacing w:val="1"/>
        </w:rPr>
        <w:t> </w:t>
      </w:r>
      <w:r>
        <w:rPr/>
        <w:t>this research develops hybrid CLT (ECLT) panels consisting of a layer of non-wood</w:t>
      </w:r>
      <w:r>
        <w:rPr>
          <w:spacing w:val="1"/>
        </w:rPr>
        <w:t> </w:t>
      </w:r>
      <w:r>
        <w:rPr/>
        <w:t>material</w:t>
      </w:r>
      <w:r>
        <w:rPr>
          <w:spacing w:val="-1"/>
        </w:rPr>
        <w:t> </w:t>
      </w:r>
      <w:r>
        <w:rPr/>
        <w:t>incorporated</w:t>
      </w:r>
      <w:r>
        <w:rPr>
          <w:spacing w:val="-1"/>
        </w:rPr>
        <w:t> </w:t>
      </w:r>
      <w:r>
        <w:rPr/>
        <w:t>in</w:t>
      </w:r>
      <w:r>
        <w:rPr>
          <w:spacing w:val="-3"/>
        </w:rPr>
        <w:t> </w:t>
      </w:r>
      <w:r>
        <w:rPr/>
        <w:t>the lay-up</w:t>
      </w:r>
      <w:r>
        <w:rPr>
          <w:spacing w:val="-1"/>
        </w:rPr>
        <w:t> </w:t>
      </w:r>
      <w:r>
        <w:rPr/>
        <w:t>to</w:t>
      </w:r>
      <w:r>
        <w:rPr>
          <w:spacing w:val="-3"/>
        </w:rPr>
        <w:t> </w:t>
      </w:r>
      <w:r>
        <w:rPr/>
        <w:t>significantly increase</w:t>
      </w:r>
      <w:r>
        <w:rPr>
          <w:spacing w:val="-1"/>
        </w:rPr>
        <w:t> </w:t>
      </w:r>
      <w:r>
        <w:rPr/>
        <w:t>ballistic</w:t>
      </w:r>
      <w:r>
        <w:rPr>
          <w:spacing w:val="-1"/>
        </w:rPr>
        <w:t> </w:t>
      </w:r>
      <w:r>
        <w:rPr/>
        <w:t>resistance.</w:t>
      </w:r>
    </w:p>
    <w:p>
      <w:pPr>
        <w:pStyle w:val="BodyText"/>
        <w:spacing w:line="480" w:lineRule="auto" w:before="160"/>
        <w:ind w:left="439" w:right="118" w:firstLine="720"/>
        <w:jc w:val="both"/>
      </w:pPr>
      <w:r>
        <w:rPr/>
        <w:t>Blast resistance is another important parameter of force protection performance in</w:t>
      </w:r>
      <w:r>
        <w:rPr>
          <w:spacing w:val="-57"/>
        </w:rPr>
        <w:t> </w:t>
      </w:r>
      <w:r>
        <w:rPr/>
        <w:t>temporary military structures.</w:t>
      </w:r>
      <w:r>
        <w:rPr>
          <w:spacing w:val="1"/>
        </w:rPr>
        <w:t> </w:t>
      </w:r>
      <w:r>
        <w:rPr/>
        <w:t>While increased standoff distance is a common tactic to</w:t>
      </w:r>
      <w:r>
        <w:rPr>
          <w:spacing w:val="1"/>
        </w:rPr>
        <w:t> </w:t>
      </w:r>
      <w:r>
        <w:rPr/>
        <w:t>limit the vulnerability of structures, achieving the necessary standoff distances can be</w:t>
      </w:r>
      <w:r>
        <w:rPr>
          <w:spacing w:val="1"/>
        </w:rPr>
        <w:t> </w:t>
      </w:r>
      <w:r>
        <w:rPr/>
        <w:t>extremely difficult especially in urban environments.</w:t>
      </w:r>
      <w:r>
        <w:rPr>
          <w:spacing w:val="1"/>
        </w:rPr>
        <w:t> </w:t>
      </w:r>
      <w:r>
        <w:rPr/>
        <w:t>A material’s blast resistance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performance under impulsive blast load conditions, is indicative of the level of protection</w:t>
      </w:r>
      <w:r>
        <w:rPr>
          <w:spacing w:val="-57"/>
        </w:rPr>
        <w:t> </w:t>
      </w:r>
      <w:r>
        <w:rPr/>
        <w:t>that the structure can provide to occupants or equipment within it.</w:t>
      </w:r>
      <w:r>
        <w:rPr>
          <w:spacing w:val="1"/>
        </w:rPr>
        <w:t> </w:t>
      </w:r>
      <w:r>
        <w:rPr/>
        <w:t>A single-degree-of-</w:t>
      </w:r>
      <w:r>
        <w:rPr>
          <w:spacing w:val="1"/>
        </w:rPr>
        <w:t> </w:t>
      </w:r>
      <w:r>
        <w:rPr/>
        <w:t>freedom (SDOF) model provides insight into the response of a CLT panel under a blast</w:t>
      </w:r>
      <w:r>
        <w:rPr>
          <w:spacing w:val="1"/>
        </w:rPr>
        <w:t> </w:t>
      </w:r>
      <w:r>
        <w:rPr/>
        <w:t>load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the elastic regime.</w:t>
      </w:r>
    </w:p>
    <w:p>
      <w:pPr>
        <w:pStyle w:val="BodyText"/>
        <w:spacing w:line="480" w:lineRule="auto" w:before="160"/>
        <w:ind w:left="439" w:right="116" w:firstLine="720"/>
        <w:jc w:val="both"/>
      </w:pPr>
      <w:r>
        <w:rPr/>
        <w:t>The analysis of risk for blast and ballistic impact are similar in that the threats are</w:t>
      </w:r>
      <w:r>
        <w:rPr>
          <w:spacing w:val="1"/>
        </w:rPr>
        <w:t> </w:t>
      </w:r>
      <w:r>
        <w:rPr/>
        <w:t>identified and rated in terms of probability and consequences.</w:t>
      </w:r>
      <w:r>
        <w:rPr>
          <w:spacing w:val="1"/>
        </w:rPr>
        <w:t> </w:t>
      </w:r>
      <w:r>
        <w:rPr/>
        <w:t>The function, value, and</w:t>
      </w:r>
      <w:r>
        <w:rPr>
          <w:spacing w:val="1"/>
        </w:rPr>
        <w:t> </w:t>
      </w:r>
      <w:r>
        <w:rPr/>
        <w:t>vulnerability</w:t>
      </w:r>
      <w:r>
        <w:rPr>
          <w:spacing w:val="-10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structure</w:t>
      </w:r>
      <w:r>
        <w:rPr>
          <w:spacing w:val="-7"/>
        </w:rPr>
        <w:t> </w:t>
      </w:r>
      <w:r>
        <w:rPr/>
        <w:t>or</w:t>
      </w:r>
      <w:r>
        <w:rPr>
          <w:spacing w:val="-9"/>
        </w:rPr>
        <w:t> </w:t>
      </w:r>
      <w:r>
        <w:rPr/>
        <w:t>elements</w:t>
      </w:r>
      <w:r>
        <w:rPr>
          <w:spacing w:val="-7"/>
        </w:rPr>
        <w:t> </w:t>
      </w:r>
      <w:r>
        <w:rPr/>
        <w:t>within</w:t>
      </w:r>
      <w:r>
        <w:rPr>
          <w:spacing w:val="-7"/>
        </w:rPr>
        <w:t> </w:t>
      </w:r>
      <w:r>
        <w:rPr/>
        <w:t>a</w:t>
      </w:r>
      <w:r>
        <w:rPr>
          <w:spacing w:val="-11"/>
        </w:rPr>
        <w:t> </w:t>
      </w:r>
      <w:r>
        <w:rPr/>
        <w:t>structure</w:t>
      </w:r>
      <w:r>
        <w:rPr>
          <w:spacing w:val="-8"/>
        </w:rPr>
        <w:t> </w:t>
      </w:r>
      <w:r>
        <w:rPr/>
        <w:t>are</w:t>
      </w:r>
      <w:r>
        <w:rPr>
          <w:spacing w:val="-9"/>
        </w:rPr>
        <w:t> </w:t>
      </w:r>
      <w:r>
        <w:rPr/>
        <w:t>evaluated</w:t>
      </w:r>
      <w:r>
        <w:rPr>
          <w:spacing w:val="-9"/>
        </w:rPr>
        <w:t> </w:t>
      </w:r>
      <w:r>
        <w:rPr/>
        <w:t>so</w:t>
      </w:r>
      <w:r>
        <w:rPr>
          <w:spacing w:val="-7"/>
        </w:rPr>
        <w:t> </w:t>
      </w:r>
      <w:r>
        <w:rPr/>
        <w:t>that</w:t>
      </w:r>
      <w:r>
        <w:rPr>
          <w:spacing w:val="-9"/>
        </w:rPr>
        <w:t> </w:t>
      </w:r>
      <w:r>
        <w:rPr/>
        <w:t>mitigation</w:t>
      </w:r>
      <w:r>
        <w:rPr>
          <w:spacing w:val="-58"/>
        </w:rPr>
        <w:t> </w:t>
      </w:r>
      <w:r>
        <w:rPr/>
        <w:t>measures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identified.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temporary</w:t>
      </w:r>
      <w:r>
        <w:rPr>
          <w:spacing w:val="1"/>
        </w:rPr>
        <w:t> </w:t>
      </w:r>
      <w:r>
        <w:rPr/>
        <w:t>military</w:t>
      </w:r>
      <w:r>
        <w:rPr>
          <w:spacing w:val="1"/>
        </w:rPr>
        <w:t> </w:t>
      </w:r>
      <w:r>
        <w:rPr/>
        <w:t>structures,</w:t>
      </w:r>
      <w:r>
        <w:rPr>
          <w:spacing w:val="1"/>
        </w:rPr>
        <w:t> </w:t>
      </w:r>
      <w:r>
        <w:rPr/>
        <w:t>critical</w:t>
      </w:r>
      <w:r>
        <w:rPr>
          <w:spacing w:val="1"/>
        </w:rPr>
        <w:t> </w:t>
      </w:r>
      <w:r>
        <w:rPr/>
        <w:t>assets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strategically positioned to provide the best possible protection but there are limitations to</w:t>
      </w:r>
      <w:r>
        <w:rPr>
          <w:spacing w:val="1"/>
        </w:rPr>
        <w:t> </w:t>
      </w:r>
      <w:r>
        <w:rPr/>
        <w:t>measures</w:t>
      </w:r>
      <w:r>
        <w:rPr>
          <w:spacing w:val="17"/>
        </w:rPr>
        <w:t> </w:t>
      </w:r>
      <w:r>
        <w:rPr/>
        <w:t>of</w:t>
      </w:r>
      <w:r>
        <w:rPr>
          <w:spacing w:val="16"/>
        </w:rPr>
        <w:t> </w:t>
      </w:r>
      <w:r>
        <w:rPr/>
        <w:t>mitigation.</w:t>
      </w:r>
      <w:r>
        <w:rPr>
          <w:spacing w:val="34"/>
        </w:rPr>
        <w:t> </w:t>
      </w:r>
      <w:r>
        <w:rPr/>
        <w:t>CLT</w:t>
      </w:r>
      <w:r>
        <w:rPr>
          <w:spacing w:val="17"/>
        </w:rPr>
        <w:t> </w:t>
      </w:r>
      <w:r>
        <w:rPr/>
        <w:t>has</w:t>
      </w:r>
      <w:r>
        <w:rPr>
          <w:spacing w:val="16"/>
        </w:rPr>
        <w:t> </w:t>
      </w:r>
      <w:r>
        <w:rPr/>
        <w:t>the</w:t>
      </w:r>
      <w:r>
        <w:rPr>
          <w:spacing w:val="18"/>
        </w:rPr>
        <w:t> </w:t>
      </w:r>
      <w:r>
        <w:rPr/>
        <w:t>potential</w:t>
      </w:r>
      <w:r>
        <w:rPr>
          <w:spacing w:val="16"/>
        </w:rPr>
        <w:t> </w:t>
      </w:r>
      <w:r>
        <w:rPr/>
        <w:t>to</w:t>
      </w:r>
      <w:r>
        <w:rPr>
          <w:spacing w:val="18"/>
        </w:rPr>
        <w:t> </w:t>
      </w:r>
      <w:r>
        <w:rPr/>
        <w:t>be</w:t>
      </w:r>
      <w:r>
        <w:rPr>
          <w:spacing w:val="17"/>
        </w:rPr>
        <w:t> </w:t>
      </w:r>
      <w:r>
        <w:rPr/>
        <w:t>an</w:t>
      </w:r>
      <w:r>
        <w:rPr>
          <w:spacing w:val="17"/>
        </w:rPr>
        <w:t> </w:t>
      </w:r>
      <w:r>
        <w:rPr/>
        <w:t>additional</w:t>
      </w:r>
      <w:r>
        <w:rPr>
          <w:spacing w:val="17"/>
        </w:rPr>
        <w:t> </w:t>
      </w:r>
      <w:r>
        <w:rPr/>
        <w:t>construction</w:t>
      </w:r>
      <w:r>
        <w:rPr>
          <w:spacing w:val="17"/>
        </w:rPr>
        <w:t> </w:t>
      </w:r>
      <w:r>
        <w:rPr/>
        <w:t>material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320"/>
        </w:sectPr>
      </w:pPr>
    </w:p>
    <w:p>
      <w:pPr>
        <w:pStyle w:val="BodyText"/>
        <w:spacing w:line="480" w:lineRule="auto" w:before="78"/>
        <w:ind w:left="439" w:right="116"/>
        <w:jc w:val="both"/>
      </w:pPr>
      <w:r>
        <w:rPr/>
        <w:t>option that provides increased levels of protection above current methods while also</w:t>
      </w:r>
      <w:r>
        <w:rPr>
          <w:spacing w:val="1"/>
        </w:rPr>
        <w:t> </w:t>
      </w:r>
      <w:r>
        <w:rPr/>
        <w:t>meeting other beneficial criteria such as rapid assembly and energy efficiency.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research</w:t>
      </w:r>
      <w:r>
        <w:rPr>
          <w:spacing w:val="-1"/>
        </w:rPr>
        <w:t> </w:t>
      </w:r>
      <w:r>
        <w:rPr/>
        <w:t>aims to</w:t>
      </w:r>
      <w:r>
        <w:rPr>
          <w:spacing w:val="-1"/>
        </w:rPr>
        <w:t> </w:t>
      </w:r>
      <w:r>
        <w:rPr/>
        <w:t>characterize</w:t>
      </w:r>
      <w:r>
        <w:rPr>
          <w:spacing w:val="-1"/>
        </w:rPr>
        <w:t> </w:t>
      </w:r>
      <w:r>
        <w:rPr/>
        <w:t>the ballistic</w:t>
      </w:r>
      <w:r>
        <w:rPr>
          <w:spacing w:val="-2"/>
        </w:rPr>
        <w:t> </w:t>
      </w:r>
      <w:r>
        <w:rPr/>
        <w:t>and blast resistance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CLT.</w:t>
      </w:r>
    </w:p>
    <w:p>
      <w:pPr>
        <w:pStyle w:val="ListParagraph"/>
        <w:numPr>
          <w:ilvl w:val="2"/>
          <w:numId w:val="12"/>
        </w:numPr>
        <w:tabs>
          <w:tab w:pos="980" w:val="left" w:leader="none"/>
        </w:tabs>
        <w:spacing w:line="240" w:lineRule="auto" w:before="161" w:after="0"/>
        <w:ind w:left="980" w:right="0" w:hanging="541"/>
        <w:jc w:val="both"/>
        <w:rPr>
          <w:i/>
          <w:sz w:val="24"/>
        </w:rPr>
      </w:pPr>
      <w:bookmarkStart w:name="1.2.2 Research Questions" w:id="22"/>
      <w:bookmarkEnd w:id="22"/>
      <w:r>
        <w:rPr/>
      </w:r>
      <w:bookmarkStart w:name="1.2.2 Research Questions" w:id="23"/>
      <w:bookmarkEnd w:id="23"/>
      <w:r>
        <w:rPr>
          <w:i/>
          <w:sz w:val="24"/>
        </w:rPr>
        <w:t>R</w:t>
      </w:r>
      <w:r>
        <w:rPr>
          <w:i/>
          <w:sz w:val="24"/>
        </w:rPr>
        <w:t>esearch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Questions</w:t>
      </w:r>
    </w:p>
    <w:p>
      <w:pPr>
        <w:pStyle w:val="BodyText"/>
        <w:spacing w:before="7"/>
        <w:rPr>
          <w:i/>
          <w:sz w:val="22"/>
        </w:rPr>
      </w:pPr>
    </w:p>
    <w:p>
      <w:pPr>
        <w:pStyle w:val="BodyText"/>
        <w:spacing w:line="480" w:lineRule="auto"/>
        <w:ind w:left="439" w:right="116" w:firstLine="360"/>
        <w:jc w:val="both"/>
      </w:pPr>
      <w:r>
        <w:rPr/>
        <w:t>Based on the problem statement and motivation presented earlier in this chapter, the</w:t>
      </w:r>
      <w:r>
        <w:rPr>
          <w:spacing w:val="1"/>
        </w:rPr>
        <w:t> </w:t>
      </w:r>
      <w:r>
        <w:rPr/>
        <w:t>research questions (R), hypotheses (H), and specific aims (SA) of the proposed research</w:t>
      </w:r>
      <w:r>
        <w:rPr>
          <w:spacing w:val="1"/>
        </w:rPr>
        <w:t> </w:t>
      </w:r>
      <w:r>
        <w:rPr/>
        <w:t>are:</w:t>
      </w:r>
    </w:p>
    <w:p>
      <w:pPr>
        <w:pStyle w:val="Heading9"/>
        <w:numPr>
          <w:ilvl w:val="3"/>
          <w:numId w:val="12"/>
        </w:numPr>
        <w:tabs>
          <w:tab w:pos="1160" w:val="left" w:leader="none"/>
        </w:tabs>
        <w:spacing w:line="465" w:lineRule="auto" w:before="163" w:after="0"/>
        <w:ind w:left="1159" w:right="117" w:hanging="360"/>
        <w:jc w:val="both"/>
      </w:pPr>
      <w:r>
        <w:rPr/>
        <w:t>R1. How can a new construction material be assessed for temporary military</w:t>
      </w:r>
      <w:r>
        <w:rPr>
          <w:spacing w:val="1"/>
        </w:rPr>
        <w:t> </w:t>
      </w:r>
      <w:r>
        <w:rPr/>
        <w:t>structures</w:t>
      </w:r>
      <w:r>
        <w:rPr>
          <w:spacing w:val="-2"/>
        </w:rPr>
        <w:t> </w:t>
      </w:r>
      <w:r>
        <w:rPr/>
        <w:t>across</w:t>
      </w:r>
      <w:r>
        <w:rPr>
          <w:spacing w:val="-1"/>
        </w:rPr>
        <w:t> </w:t>
      </w:r>
      <w:r>
        <w:rPr/>
        <w:t>multiple</w:t>
      </w:r>
      <w:r>
        <w:rPr>
          <w:spacing w:val="-2"/>
        </w:rPr>
        <w:t> </w:t>
      </w:r>
      <w:r>
        <w:rPr/>
        <w:t>criteria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/>
        <w:t>meet</w:t>
      </w:r>
      <w:r>
        <w:rPr>
          <w:spacing w:val="-1"/>
        </w:rPr>
        <w:t> </w:t>
      </w:r>
      <w:r>
        <w:rPr/>
        <w:t>military</w:t>
      </w:r>
      <w:r>
        <w:rPr>
          <w:spacing w:val="-1"/>
        </w:rPr>
        <w:t> </w:t>
      </w:r>
      <w:r>
        <w:rPr/>
        <w:t>mission</w:t>
      </w:r>
      <w:r>
        <w:rPr>
          <w:spacing w:val="-3"/>
        </w:rPr>
        <w:t> </w:t>
      </w:r>
      <w:r>
        <w:rPr/>
        <w:t>requirements?</w:t>
      </w:r>
    </w:p>
    <w:p>
      <w:pPr>
        <w:pStyle w:val="ListParagraph"/>
        <w:numPr>
          <w:ilvl w:val="0"/>
          <w:numId w:val="13"/>
        </w:numPr>
        <w:tabs>
          <w:tab w:pos="1160" w:val="left" w:leader="none"/>
        </w:tabs>
        <w:spacing w:line="446" w:lineRule="auto" w:before="13" w:after="0"/>
        <w:ind w:left="1160" w:right="118" w:hanging="360"/>
        <w:jc w:val="both"/>
        <w:rPr>
          <w:sz w:val="24"/>
        </w:rPr>
      </w:pPr>
      <w:r>
        <w:rPr>
          <w:sz w:val="24"/>
        </w:rPr>
        <w:t>H1. Competing requirements for construction material selection can be adequately</w:t>
      </w:r>
      <w:r>
        <w:rPr>
          <w:spacing w:val="-57"/>
          <w:sz w:val="24"/>
        </w:rPr>
        <w:t> </w:t>
      </w:r>
      <w:r>
        <w:rPr>
          <w:sz w:val="24"/>
        </w:rPr>
        <w:t>included</w:t>
      </w:r>
      <w:r>
        <w:rPr>
          <w:spacing w:val="-1"/>
          <w:sz w:val="24"/>
        </w:rPr>
        <w:t> </w:t>
      </w:r>
      <w:r>
        <w:rPr>
          <w:sz w:val="24"/>
        </w:rPr>
        <w:t>for</w:t>
      </w:r>
      <w:r>
        <w:rPr>
          <w:spacing w:val="-1"/>
          <w:sz w:val="24"/>
        </w:rPr>
        <w:t> </w:t>
      </w:r>
      <w:r>
        <w:rPr>
          <w:sz w:val="24"/>
        </w:rPr>
        <w:t>decision-makers using</w:t>
      </w:r>
      <w:r>
        <w:rPr>
          <w:spacing w:val="-2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multi-criterion</w:t>
      </w:r>
      <w:r>
        <w:rPr>
          <w:spacing w:val="-1"/>
          <w:sz w:val="24"/>
        </w:rPr>
        <w:t> </w:t>
      </w:r>
      <w:r>
        <w:rPr>
          <w:sz w:val="24"/>
        </w:rPr>
        <w:t>tool.</w:t>
      </w:r>
    </w:p>
    <w:p>
      <w:pPr>
        <w:pStyle w:val="ListParagraph"/>
        <w:numPr>
          <w:ilvl w:val="0"/>
          <w:numId w:val="13"/>
        </w:numPr>
        <w:tabs>
          <w:tab w:pos="1160" w:val="left" w:leader="none"/>
        </w:tabs>
        <w:spacing w:line="463" w:lineRule="auto" w:before="57" w:after="0"/>
        <w:ind w:left="1159" w:right="117" w:hanging="360"/>
        <w:jc w:val="both"/>
        <w:rPr>
          <w:sz w:val="24"/>
        </w:rPr>
      </w:pPr>
      <w:r>
        <w:rPr>
          <w:sz w:val="24"/>
        </w:rPr>
        <w:t>SA1.</w:t>
      </w:r>
      <w:r>
        <w:rPr>
          <w:spacing w:val="1"/>
          <w:sz w:val="24"/>
        </w:rPr>
        <w:t> </w:t>
      </w:r>
      <w:r>
        <w:rPr>
          <w:sz w:val="24"/>
        </w:rPr>
        <w:t>Develop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thorough</w:t>
      </w:r>
      <w:r>
        <w:rPr>
          <w:spacing w:val="1"/>
          <w:sz w:val="24"/>
        </w:rPr>
        <w:t> </w:t>
      </w:r>
      <w:r>
        <w:rPr>
          <w:sz w:val="24"/>
        </w:rPr>
        <w:t>analysis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requirements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1"/>
          <w:sz w:val="24"/>
        </w:rPr>
        <w:t> </w:t>
      </w:r>
      <w:r>
        <w:rPr>
          <w:sz w:val="24"/>
        </w:rPr>
        <w:t>temporary</w:t>
      </w:r>
      <w:r>
        <w:rPr>
          <w:spacing w:val="1"/>
          <w:sz w:val="24"/>
        </w:rPr>
        <w:t> </w:t>
      </w:r>
      <w:r>
        <w:rPr>
          <w:sz w:val="24"/>
        </w:rPr>
        <w:t>military</w:t>
      </w:r>
      <w:r>
        <w:rPr>
          <w:spacing w:val="1"/>
          <w:sz w:val="24"/>
        </w:rPr>
        <w:t> </w:t>
      </w:r>
      <w:r>
        <w:rPr>
          <w:sz w:val="24"/>
        </w:rPr>
        <w:t>structures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employ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multi-criterion</w:t>
      </w:r>
      <w:r>
        <w:rPr>
          <w:spacing w:val="1"/>
          <w:sz w:val="24"/>
        </w:rPr>
        <w:t> </w:t>
      </w:r>
      <w:r>
        <w:rPr>
          <w:sz w:val="24"/>
        </w:rPr>
        <w:t>tool</w:t>
      </w:r>
      <w:r>
        <w:rPr>
          <w:spacing w:val="1"/>
          <w:sz w:val="24"/>
        </w:rPr>
        <w:t> </w:t>
      </w:r>
      <w:r>
        <w:rPr>
          <w:sz w:val="24"/>
        </w:rPr>
        <w:t>using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radar</w:t>
      </w:r>
      <w:r>
        <w:rPr>
          <w:spacing w:val="1"/>
          <w:sz w:val="24"/>
        </w:rPr>
        <w:t> </w:t>
      </w:r>
      <w:r>
        <w:rPr>
          <w:sz w:val="24"/>
        </w:rPr>
        <w:t>chart</w:t>
      </w:r>
      <w:r>
        <w:rPr>
          <w:spacing w:val="1"/>
          <w:sz w:val="24"/>
        </w:rPr>
        <w:t> </w:t>
      </w:r>
      <w:r>
        <w:rPr>
          <w:sz w:val="24"/>
        </w:rPr>
        <w:t>format</w:t>
      </w:r>
      <w:r>
        <w:rPr>
          <w:spacing w:val="1"/>
          <w:sz w:val="24"/>
        </w:rPr>
        <w:t> </w:t>
      </w:r>
      <w:r>
        <w:rPr>
          <w:sz w:val="24"/>
        </w:rPr>
        <w:t>that</w:t>
      </w:r>
      <w:r>
        <w:rPr>
          <w:spacing w:val="1"/>
          <w:sz w:val="24"/>
        </w:rPr>
        <w:t> </w:t>
      </w:r>
      <w:r>
        <w:rPr>
          <w:sz w:val="24"/>
        </w:rPr>
        <w:t>graphically</w:t>
      </w:r>
      <w:r>
        <w:rPr>
          <w:spacing w:val="8"/>
          <w:sz w:val="24"/>
        </w:rPr>
        <w:t> </w:t>
      </w:r>
      <w:r>
        <w:rPr>
          <w:sz w:val="24"/>
        </w:rPr>
        <w:t>illustrates</w:t>
      </w:r>
      <w:r>
        <w:rPr>
          <w:spacing w:val="10"/>
          <w:sz w:val="24"/>
        </w:rPr>
        <w:t> </w:t>
      </w:r>
      <w:r>
        <w:rPr>
          <w:sz w:val="24"/>
        </w:rPr>
        <w:t>and</w:t>
      </w:r>
      <w:r>
        <w:rPr>
          <w:spacing w:val="11"/>
          <w:sz w:val="24"/>
        </w:rPr>
        <w:t> </w:t>
      </w:r>
      <w:r>
        <w:rPr>
          <w:sz w:val="24"/>
        </w:rPr>
        <w:t>allows</w:t>
      </w:r>
      <w:r>
        <w:rPr>
          <w:spacing w:val="10"/>
          <w:sz w:val="24"/>
        </w:rPr>
        <w:t> </w:t>
      </w:r>
      <w:r>
        <w:rPr>
          <w:sz w:val="24"/>
        </w:rPr>
        <w:t>comparison</w:t>
      </w:r>
      <w:r>
        <w:rPr>
          <w:spacing w:val="10"/>
          <w:sz w:val="24"/>
        </w:rPr>
        <w:t> </w:t>
      </w:r>
      <w:r>
        <w:rPr>
          <w:sz w:val="24"/>
        </w:rPr>
        <w:t>of</w:t>
      </w:r>
      <w:r>
        <w:rPr>
          <w:spacing w:val="10"/>
          <w:sz w:val="24"/>
        </w:rPr>
        <w:t> </w:t>
      </w:r>
      <w:r>
        <w:rPr>
          <w:sz w:val="24"/>
        </w:rPr>
        <w:t>construction</w:t>
      </w:r>
      <w:r>
        <w:rPr>
          <w:spacing w:val="11"/>
          <w:sz w:val="24"/>
        </w:rPr>
        <w:t> </w:t>
      </w:r>
      <w:r>
        <w:rPr>
          <w:sz w:val="24"/>
        </w:rPr>
        <w:t>materials</w:t>
      </w:r>
      <w:r>
        <w:rPr>
          <w:spacing w:val="10"/>
          <w:sz w:val="24"/>
        </w:rPr>
        <w:t> </w:t>
      </w:r>
      <w:r>
        <w:rPr>
          <w:sz w:val="24"/>
        </w:rPr>
        <w:t>for</w:t>
      </w:r>
      <w:r>
        <w:rPr>
          <w:spacing w:val="10"/>
          <w:sz w:val="24"/>
        </w:rPr>
        <w:t> </w:t>
      </w:r>
      <w:r>
        <w:rPr>
          <w:sz w:val="24"/>
        </w:rPr>
        <w:t>a</w:t>
      </w:r>
      <w:r>
        <w:rPr>
          <w:spacing w:val="11"/>
          <w:sz w:val="24"/>
        </w:rPr>
        <w:t> </w:t>
      </w:r>
      <w:r>
        <w:rPr>
          <w:sz w:val="24"/>
        </w:rPr>
        <w:t>non-</w:t>
      </w:r>
    </w:p>
    <w:p>
      <w:pPr>
        <w:pStyle w:val="BodyText"/>
        <w:spacing w:line="480" w:lineRule="auto" w:before="38"/>
        <w:ind w:left="1160" w:right="117"/>
        <w:jc w:val="both"/>
      </w:pPr>
      <w:r>
        <w:rPr/>
        <w:t>technical audience.</w:t>
      </w:r>
      <w:r>
        <w:rPr>
          <w:spacing w:val="1"/>
        </w:rPr>
        <w:t> </w:t>
      </w:r>
      <w:r>
        <w:rPr/>
        <w:t>Present an example of how to assess a single requirement,</w:t>
      </w:r>
      <w:r>
        <w:rPr>
          <w:spacing w:val="1"/>
        </w:rPr>
        <w:t> </w:t>
      </w:r>
      <w:r>
        <w:rPr/>
        <w:t>ballistic</w:t>
      </w:r>
      <w:r>
        <w:rPr>
          <w:spacing w:val="-1"/>
        </w:rPr>
        <w:t> </w:t>
      </w:r>
      <w:r>
        <w:rPr/>
        <w:t>performance.</w:t>
      </w:r>
    </w:p>
    <w:p>
      <w:pPr>
        <w:pStyle w:val="BodyText"/>
        <w:ind w:left="1160"/>
        <w:jc w:val="both"/>
      </w:pPr>
      <w:r>
        <w:rPr/>
        <w:t>Chapter</w:t>
      </w:r>
      <w:r>
        <w:rPr>
          <w:spacing w:val="-1"/>
        </w:rPr>
        <w:t> </w:t>
      </w:r>
      <w:r>
        <w:rPr/>
        <w:t>9</w:t>
      </w:r>
      <w:r>
        <w:rPr>
          <w:spacing w:val="-1"/>
        </w:rPr>
        <w:t> </w:t>
      </w:r>
      <w:r>
        <w:rPr/>
        <w:t>addresses</w:t>
      </w:r>
      <w:r>
        <w:rPr>
          <w:spacing w:val="-1"/>
        </w:rPr>
        <w:t> </w:t>
      </w:r>
      <w:r>
        <w:rPr/>
        <w:t>this</w:t>
      </w:r>
      <w:r>
        <w:rPr>
          <w:spacing w:val="-2"/>
        </w:rPr>
        <w:t> </w:t>
      </w:r>
      <w:r>
        <w:rPr/>
        <w:t>question.</w:t>
      </w:r>
    </w:p>
    <w:p>
      <w:pPr>
        <w:pStyle w:val="BodyText"/>
        <w:spacing w:before="2"/>
      </w:pPr>
    </w:p>
    <w:p>
      <w:pPr>
        <w:pStyle w:val="Heading9"/>
        <w:numPr>
          <w:ilvl w:val="3"/>
          <w:numId w:val="12"/>
        </w:numPr>
        <w:tabs>
          <w:tab w:pos="1160" w:val="left" w:leader="none"/>
        </w:tabs>
        <w:spacing w:line="465" w:lineRule="auto" w:before="0" w:after="0"/>
        <w:ind w:left="1159" w:right="117" w:hanging="360"/>
        <w:jc w:val="both"/>
      </w:pPr>
      <w:r>
        <w:rPr/>
        <w:t>R2.</w:t>
      </w:r>
      <w:r>
        <w:rPr>
          <w:spacing w:val="-12"/>
        </w:rPr>
        <w:t> </w:t>
      </w:r>
      <w:r>
        <w:rPr/>
        <w:t>How</w:t>
      </w:r>
      <w:r>
        <w:rPr>
          <w:spacing w:val="-14"/>
        </w:rPr>
        <w:t> </w:t>
      </w:r>
      <w:r>
        <w:rPr/>
        <w:t>can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ballistic</w:t>
      </w:r>
      <w:r>
        <w:rPr>
          <w:spacing w:val="-12"/>
        </w:rPr>
        <w:t> </w:t>
      </w:r>
      <w:r>
        <w:rPr/>
        <w:t>resistance</w:t>
      </w:r>
      <w:r>
        <w:rPr>
          <w:spacing w:val="-12"/>
        </w:rPr>
        <w:t> </w:t>
      </w:r>
      <w:r>
        <w:rPr/>
        <w:t>performance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CLT</w:t>
      </w:r>
      <w:r>
        <w:rPr>
          <w:spacing w:val="-11"/>
        </w:rPr>
        <w:t> </w:t>
      </w:r>
      <w:r>
        <w:rPr/>
        <w:t>be</w:t>
      </w:r>
      <w:r>
        <w:rPr>
          <w:spacing w:val="-12"/>
        </w:rPr>
        <w:t> </w:t>
      </w:r>
      <w:r>
        <w:rPr/>
        <w:t>characterized</w:t>
      </w:r>
      <w:r>
        <w:rPr>
          <w:spacing w:val="-12"/>
        </w:rPr>
        <w:t> </w:t>
      </w:r>
      <w:r>
        <w:rPr/>
        <w:t>and</w:t>
      </w:r>
      <w:r>
        <w:rPr>
          <w:spacing w:val="-58"/>
        </w:rPr>
        <w:t> </w:t>
      </w:r>
      <w:r>
        <w:rPr/>
        <w:t>predicted?</w:t>
      </w:r>
    </w:p>
    <w:p>
      <w:pPr>
        <w:pStyle w:val="ListParagraph"/>
        <w:numPr>
          <w:ilvl w:val="0"/>
          <w:numId w:val="13"/>
        </w:numPr>
        <w:tabs>
          <w:tab w:pos="1160" w:val="left" w:leader="none"/>
        </w:tabs>
        <w:spacing w:line="463" w:lineRule="auto" w:before="13" w:after="0"/>
        <w:ind w:left="1159" w:right="117" w:hanging="360"/>
        <w:jc w:val="both"/>
        <w:rPr>
          <w:sz w:val="24"/>
        </w:rPr>
      </w:pPr>
      <w:r>
        <w:rPr>
          <w:sz w:val="24"/>
        </w:rPr>
        <w:t>H2.</w:t>
      </w:r>
      <w:r>
        <w:rPr>
          <w:spacing w:val="1"/>
          <w:sz w:val="24"/>
        </w:rPr>
        <w:t> </w:t>
      </w:r>
      <w:r>
        <w:rPr>
          <w:sz w:val="24"/>
        </w:rPr>
        <w:t>The ballistic performance of CLT can be characterized using experimental</w:t>
      </w:r>
      <w:r>
        <w:rPr>
          <w:spacing w:val="1"/>
          <w:sz w:val="24"/>
        </w:rPr>
        <w:t> </w:t>
      </w:r>
      <w:r>
        <w:rPr>
          <w:sz w:val="24"/>
        </w:rPr>
        <w:t>ballistic testing and residual velocity and depth of penetration data collection.</w:t>
      </w:r>
      <w:r>
        <w:rPr>
          <w:spacing w:val="1"/>
          <w:sz w:val="24"/>
        </w:rPr>
        <w:t> </w:t>
      </w:r>
      <w:r>
        <w:rPr>
          <w:sz w:val="24"/>
        </w:rPr>
        <w:t>Empirical</w:t>
      </w:r>
      <w:r>
        <w:rPr>
          <w:spacing w:val="22"/>
          <w:sz w:val="24"/>
        </w:rPr>
        <w:t> </w:t>
      </w:r>
      <w:r>
        <w:rPr>
          <w:sz w:val="24"/>
        </w:rPr>
        <w:t>models,</w:t>
      </w:r>
      <w:r>
        <w:rPr>
          <w:spacing w:val="23"/>
          <w:sz w:val="24"/>
        </w:rPr>
        <w:t> </w:t>
      </w:r>
      <w:r>
        <w:rPr>
          <w:sz w:val="24"/>
        </w:rPr>
        <w:t>either</w:t>
      </w:r>
      <w:r>
        <w:rPr>
          <w:spacing w:val="22"/>
          <w:sz w:val="24"/>
        </w:rPr>
        <w:t> </w:t>
      </w:r>
      <w:r>
        <w:rPr>
          <w:sz w:val="24"/>
        </w:rPr>
        <w:t>physics-based</w:t>
      </w:r>
      <w:r>
        <w:rPr>
          <w:spacing w:val="23"/>
          <w:sz w:val="24"/>
        </w:rPr>
        <w:t> </w:t>
      </w:r>
      <w:r>
        <w:rPr>
          <w:sz w:val="24"/>
        </w:rPr>
        <w:t>or</w:t>
      </w:r>
      <w:r>
        <w:rPr>
          <w:spacing w:val="23"/>
          <w:sz w:val="24"/>
        </w:rPr>
        <w:t> </w:t>
      </w:r>
      <w:r>
        <w:rPr>
          <w:sz w:val="24"/>
        </w:rPr>
        <w:t>curve-fitting,</w:t>
      </w:r>
      <w:r>
        <w:rPr>
          <w:spacing w:val="22"/>
          <w:sz w:val="24"/>
        </w:rPr>
        <w:t> </w:t>
      </w:r>
      <w:r>
        <w:rPr>
          <w:sz w:val="24"/>
        </w:rPr>
        <w:t>can</w:t>
      </w:r>
      <w:r>
        <w:rPr>
          <w:spacing w:val="21"/>
          <w:sz w:val="24"/>
        </w:rPr>
        <w:t> </w:t>
      </w:r>
      <w:r>
        <w:rPr>
          <w:sz w:val="24"/>
        </w:rPr>
        <w:t>be</w:t>
      </w:r>
      <w:r>
        <w:rPr>
          <w:spacing w:val="23"/>
          <w:sz w:val="24"/>
        </w:rPr>
        <w:t> </w:t>
      </w:r>
      <w:r>
        <w:rPr>
          <w:sz w:val="24"/>
        </w:rPr>
        <w:t>calibrated</w:t>
      </w:r>
      <w:r>
        <w:rPr>
          <w:spacing w:val="23"/>
          <w:sz w:val="24"/>
        </w:rPr>
        <w:t> </w:t>
      </w:r>
      <w:r>
        <w:rPr>
          <w:sz w:val="24"/>
        </w:rPr>
        <w:t>to</w:t>
      </w:r>
      <w:r>
        <w:rPr>
          <w:spacing w:val="23"/>
          <w:sz w:val="24"/>
        </w:rPr>
        <w:t> </w:t>
      </w:r>
      <w:r>
        <w:rPr>
          <w:sz w:val="24"/>
        </w:rPr>
        <w:t>test</w:t>
      </w:r>
    </w:p>
    <w:p>
      <w:pPr>
        <w:spacing w:after="0" w:line="463" w:lineRule="auto"/>
        <w:jc w:val="both"/>
        <w:rPr>
          <w:sz w:val="24"/>
        </w:rPr>
        <w:sectPr>
          <w:pgSz w:w="12240" w:h="15840"/>
          <w:pgMar w:header="0" w:footer="1064" w:top="1360" w:bottom="1260" w:left="1720" w:right="1320"/>
        </w:sectPr>
      </w:pPr>
    </w:p>
    <w:p>
      <w:pPr>
        <w:pStyle w:val="BodyText"/>
        <w:spacing w:line="480" w:lineRule="auto" w:before="78"/>
        <w:ind w:left="1160" w:right="117"/>
        <w:jc w:val="both"/>
      </w:pPr>
      <w:r>
        <w:rPr/>
        <w:t>data.</w:t>
      </w:r>
      <w:r>
        <w:rPr>
          <w:spacing w:val="1"/>
        </w:rPr>
        <w:t> </w:t>
      </w:r>
      <w:r>
        <w:rPr/>
        <w:t>CLT shows the potential to achieve an improved ballistic resistance over the</w:t>
      </w:r>
      <w:r>
        <w:rPr>
          <w:spacing w:val="-57"/>
        </w:rPr>
        <w:t> </w:t>
      </w:r>
      <w:r>
        <w:rPr/>
        <w:t>current</w:t>
      </w:r>
      <w:r>
        <w:rPr>
          <w:spacing w:val="-1"/>
        </w:rPr>
        <w:t> </w:t>
      </w:r>
      <w:r>
        <w:rPr/>
        <w:t>materials of</w:t>
      </w:r>
      <w:r>
        <w:rPr>
          <w:spacing w:val="-1"/>
        </w:rPr>
        <w:t> </w:t>
      </w:r>
      <w:r>
        <w:rPr/>
        <w:t>plywood and</w:t>
      </w:r>
      <w:r>
        <w:rPr>
          <w:spacing w:val="-1"/>
        </w:rPr>
        <w:t> </w:t>
      </w:r>
      <w:r>
        <w:rPr/>
        <w:t>2x4 dimensional lumber.</w:t>
      </w:r>
    </w:p>
    <w:p>
      <w:pPr>
        <w:pStyle w:val="ListParagraph"/>
        <w:numPr>
          <w:ilvl w:val="0"/>
          <w:numId w:val="13"/>
        </w:numPr>
        <w:tabs>
          <w:tab w:pos="1160" w:val="left" w:leader="none"/>
        </w:tabs>
        <w:spacing w:line="468" w:lineRule="auto" w:before="0" w:after="0"/>
        <w:ind w:left="1160" w:right="117" w:hanging="360"/>
        <w:jc w:val="both"/>
        <w:rPr>
          <w:sz w:val="24"/>
        </w:rPr>
      </w:pPr>
      <w:r>
        <w:rPr>
          <w:sz w:val="24"/>
        </w:rPr>
        <w:t>SA2.</w:t>
      </w:r>
      <w:r>
        <w:rPr>
          <w:spacing w:val="1"/>
          <w:sz w:val="24"/>
        </w:rPr>
        <w:t> </w:t>
      </w:r>
      <w:r>
        <w:rPr>
          <w:sz w:val="24"/>
        </w:rPr>
        <w:t>Conduct a rigorous experimental evaluation of the ballistic performance of</w:t>
      </w:r>
      <w:r>
        <w:rPr>
          <w:spacing w:val="1"/>
          <w:sz w:val="24"/>
        </w:rPr>
        <w:t> </w:t>
      </w:r>
      <w:r>
        <w:rPr>
          <w:sz w:val="24"/>
        </w:rPr>
        <w:t>CLT</w:t>
      </w:r>
      <w:r>
        <w:rPr>
          <w:spacing w:val="-4"/>
          <w:sz w:val="24"/>
        </w:rPr>
        <w:t> </w:t>
      </w:r>
      <w:r>
        <w:rPr>
          <w:sz w:val="24"/>
        </w:rPr>
        <w:t>yielding</w:t>
      </w:r>
      <w:r>
        <w:rPr>
          <w:spacing w:val="-3"/>
          <w:sz w:val="24"/>
        </w:rPr>
        <w:t> </w:t>
      </w:r>
      <w:r>
        <w:rPr>
          <w:sz w:val="24"/>
        </w:rPr>
        <w:t>data</w:t>
      </w:r>
      <w:r>
        <w:rPr>
          <w:spacing w:val="-2"/>
          <w:sz w:val="24"/>
        </w:rPr>
        <w:t> </w:t>
      </w:r>
      <w:r>
        <w:rPr>
          <w:sz w:val="24"/>
        </w:rPr>
        <w:t>on</w:t>
      </w:r>
      <w:r>
        <w:rPr>
          <w:spacing w:val="-4"/>
          <w:sz w:val="24"/>
        </w:rPr>
        <w:t> </w:t>
      </w:r>
      <w:r>
        <w:rPr>
          <w:sz w:val="24"/>
        </w:rPr>
        <w:t>residual</w:t>
      </w:r>
      <w:r>
        <w:rPr>
          <w:spacing w:val="-2"/>
          <w:sz w:val="24"/>
        </w:rPr>
        <w:t> </w:t>
      </w:r>
      <w:r>
        <w:rPr>
          <w:sz w:val="24"/>
        </w:rPr>
        <w:t>velocities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3"/>
          <w:sz w:val="24"/>
        </w:rPr>
        <w:t> </w:t>
      </w:r>
      <w:r>
        <w:rPr>
          <w:sz w:val="24"/>
        </w:rPr>
        <w:t>depth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penetration</w:t>
      </w:r>
      <w:r>
        <w:rPr>
          <w:spacing w:val="-3"/>
          <w:sz w:val="24"/>
        </w:rPr>
        <w:t> </w:t>
      </w:r>
      <w:r>
        <w:rPr>
          <w:sz w:val="24"/>
        </w:rPr>
        <w:t>across</w:t>
      </w:r>
      <w:r>
        <w:rPr>
          <w:spacing w:val="-2"/>
          <w:sz w:val="24"/>
        </w:rPr>
        <w:t> </w:t>
      </w:r>
      <w:r>
        <w:rPr>
          <w:sz w:val="24"/>
        </w:rPr>
        <w:t>a</w:t>
      </w:r>
      <w:r>
        <w:rPr>
          <w:spacing w:val="-4"/>
          <w:sz w:val="24"/>
        </w:rPr>
        <w:t> </w:t>
      </w:r>
      <w:r>
        <w:rPr>
          <w:sz w:val="24"/>
        </w:rPr>
        <w:t>range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58"/>
          <w:sz w:val="24"/>
        </w:rPr>
        <w:t> </w:t>
      </w:r>
      <w:r>
        <w:rPr>
          <w:sz w:val="24"/>
        </w:rPr>
        <w:t>striking velocities.</w:t>
      </w:r>
      <w:r>
        <w:rPr>
          <w:spacing w:val="1"/>
          <w:sz w:val="24"/>
        </w:rPr>
        <w:t> </w:t>
      </w:r>
      <w:r>
        <w:rPr>
          <w:sz w:val="24"/>
        </w:rPr>
        <w:t>Examine current wood penetration models in military design</w:t>
      </w:r>
      <w:r>
        <w:rPr>
          <w:spacing w:val="1"/>
          <w:sz w:val="24"/>
        </w:rPr>
        <w:t> </w:t>
      </w:r>
      <w:r>
        <w:rPr>
          <w:sz w:val="24"/>
        </w:rPr>
        <w:t>guide</w:t>
      </w:r>
      <w:r>
        <w:rPr>
          <w:spacing w:val="-1"/>
          <w:sz w:val="24"/>
        </w:rPr>
        <w:t> </w:t>
      </w:r>
      <w:r>
        <w:rPr>
          <w:sz w:val="24"/>
        </w:rPr>
        <w:t>for appropriateness for</w:t>
      </w:r>
      <w:r>
        <w:rPr>
          <w:spacing w:val="1"/>
          <w:sz w:val="24"/>
        </w:rPr>
        <w:t> </w:t>
      </w:r>
      <w:r>
        <w:rPr>
          <w:sz w:val="24"/>
        </w:rPr>
        <w:t>mass</w:t>
      </w:r>
      <w:r>
        <w:rPr>
          <w:spacing w:val="-1"/>
          <w:sz w:val="24"/>
        </w:rPr>
        <w:t> </w:t>
      </w:r>
      <w:r>
        <w:rPr>
          <w:sz w:val="24"/>
        </w:rPr>
        <w:t>timber products.</w:t>
      </w:r>
    </w:p>
    <w:p>
      <w:pPr>
        <w:pStyle w:val="BodyText"/>
        <w:spacing w:line="480" w:lineRule="auto" w:before="35"/>
        <w:ind w:left="1159" w:right="117"/>
        <w:jc w:val="both"/>
      </w:pPr>
      <w:r>
        <w:rPr/>
        <w:t>This question is primarily addressed in Chapter 5 with related work in Chapter 4</w:t>
      </w:r>
      <w:r>
        <w:rPr>
          <w:spacing w:val="1"/>
        </w:rPr>
        <w:t> </w:t>
      </w:r>
      <w:r>
        <w:rPr/>
        <w:t>and Chapter 6. Chapter 4 investigates the relevant wood properties to ballistic and</w:t>
      </w:r>
      <w:r>
        <w:rPr>
          <w:spacing w:val="-57"/>
        </w:rPr>
        <w:t> </w:t>
      </w:r>
      <w:r>
        <w:rPr/>
        <w:t>blast performance.</w:t>
      </w:r>
      <w:r>
        <w:rPr>
          <w:spacing w:val="1"/>
        </w:rPr>
        <w:t> </w:t>
      </w:r>
      <w:r>
        <w:rPr/>
        <w:t>Chapter 6 examines a qualitative analysis of the ballistic test</w:t>
      </w:r>
      <w:r>
        <w:rPr>
          <w:spacing w:val="1"/>
        </w:rPr>
        <w:t> </w:t>
      </w:r>
      <w:r>
        <w:rPr/>
        <w:t>results.</w:t>
      </w:r>
    </w:p>
    <w:p>
      <w:pPr>
        <w:pStyle w:val="Heading9"/>
        <w:numPr>
          <w:ilvl w:val="0"/>
          <w:numId w:val="13"/>
        </w:numPr>
        <w:tabs>
          <w:tab w:pos="1160" w:val="left" w:leader="none"/>
        </w:tabs>
        <w:spacing w:line="446" w:lineRule="auto" w:before="3" w:after="0"/>
        <w:ind w:left="1160" w:right="116" w:hanging="360"/>
        <w:jc w:val="both"/>
      </w:pPr>
      <w:r>
        <w:rPr/>
        <w:t>R3. Can CLT be altered to enhance its ballistic resistance?</w:t>
      </w:r>
      <w:r>
        <w:rPr>
          <w:spacing w:val="1"/>
        </w:rPr>
        <w:t> </w:t>
      </w:r>
      <w:r>
        <w:rPr/>
        <w:t>What modified</w:t>
      </w:r>
      <w:r>
        <w:rPr>
          <w:spacing w:val="1"/>
        </w:rPr>
        <w:t> </w:t>
      </w:r>
      <w:r>
        <w:rPr/>
        <w:t>layups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enhanced</w:t>
      </w:r>
      <w:r>
        <w:rPr>
          <w:spacing w:val="-2"/>
        </w:rPr>
        <w:t> </w:t>
      </w:r>
      <w:r>
        <w:rPr/>
        <w:t>CLT</w:t>
      </w:r>
      <w:r>
        <w:rPr>
          <w:spacing w:val="-3"/>
        </w:rPr>
        <w:t> </w:t>
      </w:r>
      <w:r>
        <w:rPr/>
        <w:t>(ECLT)</w:t>
      </w:r>
      <w:r>
        <w:rPr>
          <w:spacing w:val="-1"/>
        </w:rPr>
        <w:t> </w:t>
      </w:r>
      <w:r>
        <w:rPr/>
        <w:t>present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greatest</w:t>
      </w:r>
      <w:r>
        <w:rPr>
          <w:spacing w:val="-2"/>
        </w:rPr>
        <w:t> </w:t>
      </w:r>
      <w:r>
        <w:rPr/>
        <w:t>cost-benefit</w:t>
      </w:r>
      <w:r>
        <w:rPr>
          <w:spacing w:val="-1"/>
        </w:rPr>
        <w:t> </w:t>
      </w:r>
      <w:r>
        <w:rPr/>
        <w:t>ratio?</w:t>
      </w:r>
    </w:p>
    <w:p>
      <w:pPr>
        <w:pStyle w:val="ListParagraph"/>
        <w:numPr>
          <w:ilvl w:val="0"/>
          <w:numId w:val="13"/>
        </w:numPr>
        <w:tabs>
          <w:tab w:pos="1160" w:val="left" w:leader="none"/>
        </w:tabs>
        <w:spacing w:line="463" w:lineRule="auto" w:before="54" w:after="0"/>
        <w:ind w:left="1160" w:right="118" w:hanging="360"/>
        <w:jc w:val="both"/>
        <w:rPr>
          <w:sz w:val="24"/>
        </w:rPr>
      </w:pPr>
      <w:r>
        <w:rPr>
          <w:sz w:val="24"/>
        </w:rPr>
        <w:t>H3. CLT, as a composite material, can be adapted to an enhanced CLT (ECLT)</w:t>
      </w:r>
      <w:r>
        <w:rPr>
          <w:spacing w:val="1"/>
          <w:sz w:val="24"/>
        </w:rPr>
        <w:t> </w:t>
      </w:r>
      <w:r>
        <w:rPr>
          <w:sz w:val="24"/>
        </w:rPr>
        <w:t>product with improved ballistic resistance for use in high-threat environments for</w:t>
      </w:r>
      <w:r>
        <w:rPr>
          <w:spacing w:val="1"/>
          <w:sz w:val="24"/>
        </w:rPr>
        <w:t> </w:t>
      </w:r>
      <w:r>
        <w:rPr>
          <w:sz w:val="24"/>
        </w:rPr>
        <w:t>temporary</w:t>
      </w:r>
      <w:r>
        <w:rPr>
          <w:spacing w:val="-1"/>
          <w:sz w:val="24"/>
        </w:rPr>
        <w:t> </w:t>
      </w:r>
      <w:r>
        <w:rPr>
          <w:sz w:val="24"/>
        </w:rPr>
        <w:t>military structures.</w:t>
      </w:r>
    </w:p>
    <w:p>
      <w:pPr>
        <w:pStyle w:val="ListParagraph"/>
        <w:numPr>
          <w:ilvl w:val="0"/>
          <w:numId w:val="13"/>
        </w:numPr>
        <w:tabs>
          <w:tab w:pos="1160" w:val="left" w:leader="none"/>
        </w:tabs>
        <w:spacing w:line="468" w:lineRule="auto" w:before="37" w:after="0"/>
        <w:ind w:left="1160" w:right="117" w:hanging="360"/>
        <w:jc w:val="both"/>
        <w:rPr>
          <w:sz w:val="24"/>
        </w:rPr>
      </w:pPr>
      <w:r>
        <w:rPr>
          <w:sz w:val="24"/>
        </w:rPr>
        <w:t>SA3. Explore if a hybrid CLT product, consisting of multiple materials including</w:t>
      </w:r>
      <w:r>
        <w:rPr>
          <w:spacing w:val="1"/>
          <w:sz w:val="24"/>
        </w:rPr>
        <w:t> </w:t>
      </w:r>
      <w:r>
        <w:rPr>
          <w:sz w:val="24"/>
        </w:rPr>
        <w:t>the standard wood lamina as well as a non-wood layer such as a aramid fabric or a</w:t>
      </w:r>
      <w:r>
        <w:rPr>
          <w:spacing w:val="-57"/>
          <w:sz w:val="24"/>
        </w:rPr>
        <w:t> </w:t>
      </w:r>
      <w:r>
        <w:rPr>
          <w:sz w:val="24"/>
        </w:rPr>
        <w:t>thin layer of steel, can be produced.</w:t>
      </w:r>
      <w:r>
        <w:rPr>
          <w:spacing w:val="1"/>
          <w:sz w:val="24"/>
        </w:rPr>
        <w:t> </w:t>
      </w:r>
      <w:r>
        <w:rPr>
          <w:sz w:val="24"/>
        </w:rPr>
        <w:t>Determine what level of ballistic protection</w:t>
      </w:r>
      <w:r>
        <w:rPr>
          <w:spacing w:val="1"/>
          <w:sz w:val="24"/>
        </w:rPr>
        <w:t> </w:t>
      </w:r>
      <w:r>
        <w:rPr>
          <w:sz w:val="24"/>
        </w:rPr>
        <w:t>can</w:t>
      </w:r>
      <w:r>
        <w:rPr>
          <w:spacing w:val="23"/>
          <w:sz w:val="24"/>
        </w:rPr>
        <w:t> </w:t>
      </w:r>
      <w:r>
        <w:rPr>
          <w:sz w:val="24"/>
        </w:rPr>
        <w:t>be</w:t>
      </w:r>
      <w:r>
        <w:rPr>
          <w:spacing w:val="24"/>
          <w:sz w:val="24"/>
        </w:rPr>
        <w:t> </w:t>
      </w:r>
      <w:r>
        <w:rPr>
          <w:sz w:val="24"/>
        </w:rPr>
        <w:t>achieved</w:t>
      </w:r>
      <w:r>
        <w:rPr>
          <w:spacing w:val="23"/>
          <w:sz w:val="24"/>
        </w:rPr>
        <w:t> </w:t>
      </w:r>
      <w:r>
        <w:rPr>
          <w:sz w:val="24"/>
        </w:rPr>
        <w:t>with</w:t>
      </w:r>
      <w:r>
        <w:rPr>
          <w:spacing w:val="24"/>
          <w:sz w:val="24"/>
        </w:rPr>
        <w:t> </w:t>
      </w:r>
      <w:r>
        <w:rPr>
          <w:sz w:val="24"/>
        </w:rPr>
        <w:t>a</w:t>
      </w:r>
      <w:r>
        <w:rPr>
          <w:spacing w:val="24"/>
          <w:sz w:val="24"/>
        </w:rPr>
        <w:t> </w:t>
      </w:r>
      <w:r>
        <w:rPr>
          <w:sz w:val="24"/>
        </w:rPr>
        <w:t>modified</w:t>
      </w:r>
      <w:r>
        <w:rPr>
          <w:spacing w:val="23"/>
          <w:sz w:val="24"/>
        </w:rPr>
        <w:t> </w:t>
      </w:r>
      <w:r>
        <w:rPr>
          <w:sz w:val="24"/>
        </w:rPr>
        <w:t>ECLT</w:t>
      </w:r>
      <w:r>
        <w:rPr>
          <w:spacing w:val="23"/>
          <w:sz w:val="24"/>
        </w:rPr>
        <w:t> </w:t>
      </w:r>
      <w:r>
        <w:rPr>
          <w:sz w:val="24"/>
        </w:rPr>
        <w:t>compared</w:t>
      </w:r>
      <w:r>
        <w:rPr>
          <w:spacing w:val="23"/>
          <w:sz w:val="24"/>
        </w:rPr>
        <w:t> </w:t>
      </w:r>
      <w:r>
        <w:rPr>
          <w:sz w:val="24"/>
        </w:rPr>
        <w:t>to</w:t>
      </w:r>
      <w:r>
        <w:rPr>
          <w:spacing w:val="24"/>
          <w:sz w:val="24"/>
        </w:rPr>
        <w:t> </w:t>
      </w:r>
      <w:r>
        <w:rPr>
          <w:sz w:val="24"/>
        </w:rPr>
        <w:t>standard</w:t>
      </w:r>
      <w:r>
        <w:rPr>
          <w:spacing w:val="24"/>
          <w:sz w:val="24"/>
        </w:rPr>
        <w:t> </w:t>
      </w:r>
      <w:r>
        <w:rPr>
          <w:sz w:val="24"/>
        </w:rPr>
        <w:t>CLT,</w:t>
      </w:r>
      <w:r>
        <w:rPr>
          <w:spacing w:val="23"/>
          <w:sz w:val="24"/>
        </w:rPr>
        <w:t> </w:t>
      </w:r>
      <w:r>
        <w:rPr>
          <w:sz w:val="24"/>
        </w:rPr>
        <w:t>without</w:t>
      </w:r>
      <w:r>
        <w:rPr>
          <w:spacing w:val="23"/>
          <w:sz w:val="24"/>
        </w:rPr>
        <w:t> </w:t>
      </w:r>
      <w:r>
        <w:rPr>
          <w:sz w:val="24"/>
        </w:rPr>
        <w:t>the</w:t>
      </w:r>
    </w:p>
    <w:p>
      <w:pPr>
        <w:pStyle w:val="BodyText"/>
        <w:spacing w:line="480" w:lineRule="auto" w:before="35"/>
        <w:ind w:left="1160" w:right="118"/>
        <w:jc w:val="both"/>
      </w:pPr>
      <w:r>
        <w:rPr/>
        <w:t>enhancing non-wood layer.</w:t>
      </w:r>
      <w:r>
        <w:rPr>
          <w:spacing w:val="1"/>
        </w:rPr>
        <w:t> </w:t>
      </w:r>
      <w:r>
        <w:rPr/>
        <w:t>Conduct a cost-benefit analysis and weight analysis</w:t>
      </w:r>
      <w:r>
        <w:rPr>
          <w:spacing w:val="1"/>
        </w:rPr>
        <w:t> </w:t>
      </w:r>
      <w:r>
        <w:rPr/>
        <w:t>comparing</w:t>
      </w:r>
      <w:r>
        <w:rPr>
          <w:spacing w:val="-1"/>
        </w:rPr>
        <w:t> </w:t>
      </w:r>
      <w:r>
        <w:rPr/>
        <w:t>the experimental</w:t>
      </w:r>
      <w:r>
        <w:rPr>
          <w:spacing w:val="-1"/>
        </w:rPr>
        <w:t> </w:t>
      </w:r>
      <w:r>
        <w:rPr/>
        <w:t>layups.</w:t>
      </w:r>
    </w:p>
    <w:p>
      <w:pPr>
        <w:pStyle w:val="BodyText"/>
        <w:ind w:left="1160"/>
        <w:jc w:val="both"/>
      </w:pPr>
      <w:r>
        <w:rPr/>
        <w:t>This</w:t>
      </w:r>
      <w:r>
        <w:rPr>
          <w:spacing w:val="-2"/>
        </w:rPr>
        <w:t> </w:t>
      </w:r>
      <w:r>
        <w:rPr/>
        <w:t>question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covered</w:t>
      </w:r>
      <w:r>
        <w:rPr>
          <w:spacing w:val="-3"/>
        </w:rPr>
        <w:t> </w:t>
      </w:r>
      <w:r>
        <w:rPr/>
        <w:t>in</w:t>
      </w:r>
      <w:r>
        <w:rPr>
          <w:spacing w:val="-1"/>
        </w:rPr>
        <w:t> </w:t>
      </w:r>
      <w:r>
        <w:rPr/>
        <w:t>Chapter</w:t>
      </w:r>
      <w:r>
        <w:rPr>
          <w:spacing w:val="-1"/>
        </w:rPr>
        <w:t> </w:t>
      </w:r>
      <w:r>
        <w:rPr/>
        <w:t>7.</w:t>
      </w:r>
    </w:p>
    <w:p>
      <w:pPr>
        <w:spacing w:after="0"/>
        <w:jc w:val="both"/>
        <w:sectPr>
          <w:pgSz w:w="12240" w:h="15840"/>
          <w:pgMar w:header="0" w:footer="1064" w:top="1360" w:bottom="1260" w:left="1720" w:right="1320"/>
        </w:sectPr>
      </w:pPr>
    </w:p>
    <w:p>
      <w:pPr>
        <w:pStyle w:val="Heading9"/>
        <w:numPr>
          <w:ilvl w:val="3"/>
          <w:numId w:val="12"/>
        </w:numPr>
        <w:tabs>
          <w:tab w:pos="1160" w:val="left" w:leader="none"/>
        </w:tabs>
        <w:spacing w:line="240" w:lineRule="auto" w:before="80" w:after="0"/>
        <w:ind w:left="1160" w:right="0" w:hanging="360"/>
        <w:jc w:val="both"/>
      </w:pPr>
      <w:r>
        <w:rPr/>
        <w:t>R4.</w:t>
      </w:r>
      <w:r>
        <w:rPr>
          <w:spacing w:val="-2"/>
        </w:rPr>
        <w:t> </w:t>
      </w:r>
      <w:r>
        <w:rPr/>
        <w:t>How</w:t>
      </w:r>
      <w:r>
        <w:rPr>
          <w:spacing w:val="-4"/>
        </w:rPr>
        <w:t> </w:t>
      </w:r>
      <w:r>
        <w:rPr/>
        <w:t>is the</w:t>
      </w:r>
      <w:r>
        <w:rPr>
          <w:spacing w:val="-2"/>
        </w:rPr>
        <w:t> </w:t>
      </w:r>
      <w:r>
        <w:rPr/>
        <w:t>blast</w:t>
      </w:r>
      <w:r>
        <w:rPr>
          <w:spacing w:val="-2"/>
        </w:rPr>
        <w:t> </w:t>
      </w:r>
      <w:r>
        <w:rPr/>
        <w:t>resistance</w:t>
      </w:r>
      <w:r>
        <w:rPr>
          <w:spacing w:val="-1"/>
        </w:rPr>
        <w:t> </w:t>
      </w:r>
      <w:r>
        <w:rPr/>
        <w:t>of</w:t>
      </w:r>
      <w:r>
        <w:rPr>
          <w:spacing w:val="-3"/>
        </w:rPr>
        <w:t> </w:t>
      </w:r>
      <w:r>
        <w:rPr/>
        <w:t>CLT</w:t>
      </w:r>
      <w:r>
        <w:rPr>
          <w:spacing w:val="-3"/>
        </w:rPr>
        <w:t> </w:t>
      </w:r>
      <w:r>
        <w:rPr/>
        <w:t>characterized</w:t>
      </w:r>
      <w:r>
        <w:rPr>
          <w:spacing w:val="-1"/>
        </w:rPr>
        <w:t> </w:t>
      </w:r>
      <w:r>
        <w:rPr/>
        <w:t>and</w:t>
      </w:r>
      <w:r>
        <w:rPr>
          <w:spacing w:val="-3"/>
        </w:rPr>
        <w:t> </w:t>
      </w:r>
      <w:r>
        <w:rPr/>
        <w:t>predicted?</w:t>
      </w:r>
    </w:p>
    <w:p>
      <w:pPr>
        <w:pStyle w:val="ListParagraph"/>
        <w:numPr>
          <w:ilvl w:val="0"/>
          <w:numId w:val="13"/>
        </w:numPr>
        <w:tabs>
          <w:tab w:pos="1160" w:val="left" w:leader="none"/>
        </w:tabs>
        <w:spacing w:line="552" w:lineRule="exact" w:before="55" w:after="0"/>
        <w:ind w:left="1159" w:right="117" w:hanging="360"/>
        <w:jc w:val="both"/>
        <w:rPr>
          <w:sz w:val="24"/>
        </w:rPr>
      </w:pPr>
      <w:r>
        <w:rPr>
          <w:sz w:val="24"/>
        </w:rPr>
        <w:t>H4. CLT can be characterized through experimental investigations using live blast</w:t>
      </w:r>
      <w:r>
        <w:rPr>
          <w:spacing w:val="-57"/>
          <w:sz w:val="24"/>
        </w:rPr>
        <w:t> </w:t>
      </w:r>
      <w:r>
        <w:rPr>
          <w:sz w:val="24"/>
        </w:rPr>
        <w:t>tests and measurements related to panel response under blast pressures.</w:t>
      </w:r>
      <w:r>
        <w:rPr>
          <w:spacing w:val="1"/>
          <w:sz w:val="24"/>
        </w:rPr>
        <w:t> </w:t>
      </w:r>
      <w:r>
        <w:rPr>
          <w:sz w:val="24"/>
        </w:rPr>
        <w:t>From this</w:t>
      </w:r>
      <w:r>
        <w:rPr>
          <w:spacing w:val="-57"/>
          <w:sz w:val="24"/>
        </w:rPr>
        <w:t> </w:t>
      </w:r>
      <w:r>
        <w:rPr>
          <w:sz w:val="24"/>
        </w:rPr>
        <w:t>data CLT can be modeled generically for blast performance.</w:t>
      </w:r>
      <w:r>
        <w:rPr>
          <w:spacing w:val="1"/>
          <w:sz w:val="24"/>
        </w:rPr>
        <w:t> </w:t>
      </w:r>
      <w:r>
        <w:rPr>
          <w:sz w:val="24"/>
        </w:rPr>
        <w:t>CLT shows the</w:t>
      </w:r>
      <w:r>
        <w:rPr>
          <w:spacing w:val="1"/>
          <w:sz w:val="24"/>
        </w:rPr>
        <w:t> </w:t>
      </w:r>
      <w:r>
        <w:rPr>
          <w:sz w:val="24"/>
        </w:rPr>
        <w:t>potential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4"/>
          <w:sz w:val="24"/>
        </w:rPr>
        <w:t> </w:t>
      </w:r>
      <w:r>
        <w:rPr>
          <w:sz w:val="24"/>
        </w:rPr>
        <w:t>achieve</w:t>
      </w:r>
      <w:r>
        <w:rPr>
          <w:spacing w:val="-2"/>
          <w:sz w:val="24"/>
        </w:rPr>
        <w:t> </w:t>
      </w:r>
      <w:r>
        <w:rPr>
          <w:sz w:val="24"/>
        </w:rPr>
        <w:t>an</w:t>
      </w:r>
      <w:r>
        <w:rPr>
          <w:spacing w:val="-4"/>
          <w:sz w:val="24"/>
        </w:rPr>
        <w:t> </w:t>
      </w:r>
      <w:r>
        <w:rPr>
          <w:sz w:val="24"/>
        </w:rPr>
        <w:t>improved</w:t>
      </w:r>
      <w:r>
        <w:rPr>
          <w:spacing w:val="-3"/>
          <w:sz w:val="24"/>
        </w:rPr>
        <w:t> </w:t>
      </w:r>
      <w:r>
        <w:rPr>
          <w:sz w:val="24"/>
        </w:rPr>
        <w:t>blast</w:t>
      </w:r>
      <w:r>
        <w:rPr>
          <w:spacing w:val="-2"/>
          <w:sz w:val="24"/>
        </w:rPr>
        <w:t> </w:t>
      </w:r>
      <w:r>
        <w:rPr>
          <w:sz w:val="24"/>
        </w:rPr>
        <w:t>resistance</w:t>
      </w:r>
      <w:r>
        <w:rPr>
          <w:spacing w:val="-4"/>
          <w:sz w:val="24"/>
        </w:rPr>
        <w:t> </w:t>
      </w:r>
      <w:r>
        <w:rPr>
          <w:sz w:val="24"/>
        </w:rPr>
        <w:t>over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current</w:t>
      </w:r>
      <w:r>
        <w:rPr>
          <w:spacing w:val="-2"/>
          <w:sz w:val="24"/>
        </w:rPr>
        <w:t> </w:t>
      </w:r>
      <w:r>
        <w:rPr>
          <w:sz w:val="24"/>
        </w:rPr>
        <w:t>materials</w:t>
      </w:r>
      <w:r>
        <w:rPr>
          <w:spacing w:val="-2"/>
          <w:sz w:val="24"/>
        </w:rPr>
        <w:t> </w:t>
      </w:r>
      <w:r>
        <w:rPr>
          <w:sz w:val="24"/>
        </w:rPr>
        <w:t>used</w:t>
      </w:r>
      <w:r>
        <w:rPr>
          <w:spacing w:val="-3"/>
          <w:sz w:val="24"/>
        </w:rPr>
        <w:t> </w:t>
      </w:r>
      <w:r>
        <w:rPr>
          <w:sz w:val="24"/>
        </w:rPr>
        <w:t>in</w:t>
      </w:r>
      <w:r>
        <w:rPr>
          <w:spacing w:val="-58"/>
          <w:sz w:val="24"/>
        </w:rPr>
        <w:t> </w:t>
      </w:r>
      <w:r>
        <w:rPr>
          <w:sz w:val="24"/>
        </w:rPr>
        <w:t>temporary</w:t>
      </w:r>
      <w:r>
        <w:rPr>
          <w:spacing w:val="-1"/>
          <w:sz w:val="24"/>
        </w:rPr>
        <w:t> </w:t>
      </w:r>
      <w:r>
        <w:rPr>
          <w:sz w:val="24"/>
        </w:rPr>
        <w:t>military structures.</w:t>
      </w:r>
    </w:p>
    <w:p>
      <w:pPr>
        <w:pStyle w:val="ListParagraph"/>
        <w:numPr>
          <w:ilvl w:val="0"/>
          <w:numId w:val="13"/>
        </w:numPr>
        <w:tabs>
          <w:tab w:pos="1160" w:val="left" w:leader="none"/>
        </w:tabs>
        <w:spacing w:line="552" w:lineRule="exact" w:before="0" w:after="0"/>
        <w:ind w:left="1159" w:right="116" w:hanging="360"/>
        <w:jc w:val="both"/>
        <w:rPr>
          <w:sz w:val="24"/>
        </w:rPr>
      </w:pPr>
      <w:r>
        <w:rPr>
          <w:sz w:val="24"/>
        </w:rPr>
        <w:t>SA4.</w:t>
      </w:r>
      <w:r>
        <w:rPr>
          <w:spacing w:val="1"/>
          <w:sz w:val="24"/>
        </w:rPr>
        <w:t> </w:t>
      </w:r>
      <w:r>
        <w:rPr>
          <w:sz w:val="24"/>
        </w:rPr>
        <w:t>Using existing live blast test data from full-scale testing conducted by</w:t>
      </w:r>
      <w:r>
        <w:rPr>
          <w:spacing w:val="1"/>
          <w:sz w:val="24"/>
        </w:rPr>
        <w:t> </w:t>
      </w:r>
      <w:r>
        <w:rPr>
          <w:sz w:val="24"/>
        </w:rPr>
        <w:t>WoodWorks, explore the blast resistance of generic CLT (unspecified grade) by</w:t>
      </w:r>
      <w:r>
        <w:rPr>
          <w:spacing w:val="1"/>
          <w:sz w:val="24"/>
        </w:rPr>
        <w:t> </w:t>
      </w:r>
      <w:r>
        <w:rPr>
          <w:spacing w:val="-1"/>
          <w:sz w:val="24"/>
        </w:rPr>
        <w:t>examining</w:t>
      </w:r>
      <w:r>
        <w:rPr>
          <w:spacing w:val="-15"/>
          <w:sz w:val="24"/>
        </w:rPr>
        <w:t> </w:t>
      </w:r>
      <w:r>
        <w:rPr>
          <w:spacing w:val="-1"/>
          <w:sz w:val="24"/>
        </w:rPr>
        <w:t>the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pressure-time</w:t>
      </w:r>
      <w:r>
        <w:rPr>
          <w:spacing w:val="-14"/>
          <w:sz w:val="24"/>
        </w:rPr>
        <w:t> </w:t>
      </w:r>
      <w:r>
        <w:rPr>
          <w:sz w:val="24"/>
        </w:rPr>
        <w:t>history</w:t>
      </w:r>
      <w:r>
        <w:rPr>
          <w:spacing w:val="-14"/>
          <w:sz w:val="24"/>
        </w:rPr>
        <w:t> </w:t>
      </w:r>
      <w:r>
        <w:rPr>
          <w:sz w:val="24"/>
        </w:rPr>
        <w:t>and</w:t>
      </w:r>
      <w:r>
        <w:rPr>
          <w:spacing w:val="-14"/>
          <w:sz w:val="24"/>
        </w:rPr>
        <w:t> </w:t>
      </w:r>
      <w:r>
        <w:rPr>
          <w:sz w:val="24"/>
        </w:rPr>
        <w:t>using</w:t>
      </w:r>
      <w:r>
        <w:rPr>
          <w:spacing w:val="-14"/>
          <w:sz w:val="24"/>
        </w:rPr>
        <w:t> </w:t>
      </w:r>
      <w:r>
        <w:rPr>
          <w:sz w:val="24"/>
        </w:rPr>
        <w:t>the</w:t>
      </w:r>
      <w:r>
        <w:rPr>
          <w:spacing w:val="-16"/>
          <w:sz w:val="24"/>
        </w:rPr>
        <w:t> </w:t>
      </w:r>
      <w:r>
        <w:rPr>
          <w:sz w:val="24"/>
        </w:rPr>
        <w:t>impulses</w:t>
      </w:r>
      <w:r>
        <w:rPr>
          <w:spacing w:val="-14"/>
          <w:sz w:val="24"/>
        </w:rPr>
        <w:t> </w:t>
      </w:r>
      <w:r>
        <w:rPr>
          <w:sz w:val="24"/>
        </w:rPr>
        <w:t>to</w:t>
      </w:r>
      <w:r>
        <w:rPr>
          <w:spacing w:val="-14"/>
          <w:sz w:val="24"/>
        </w:rPr>
        <w:t> </w:t>
      </w:r>
      <w:r>
        <w:rPr>
          <w:sz w:val="24"/>
        </w:rPr>
        <w:t>create</w:t>
      </w:r>
      <w:r>
        <w:rPr>
          <w:spacing w:val="-14"/>
          <w:sz w:val="24"/>
        </w:rPr>
        <w:t> </w:t>
      </w:r>
      <w:r>
        <w:rPr>
          <w:sz w:val="24"/>
        </w:rPr>
        <w:t>a</w:t>
      </w:r>
      <w:r>
        <w:rPr>
          <w:spacing w:val="-14"/>
          <w:sz w:val="24"/>
        </w:rPr>
        <w:t> </w:t>
      </w:r>
      <w:r>
        <w:rPr>
          <w:sz w:val="24"/>
        </w:rPr>
        <w:t>single</w:t>
      </w:r>
      <w:r>
        <w:rPr>
          <w:spacing w:val="-14"/>
          <w:sz w:val="24"/>
        </w:rPr>
        <w:t> </w:t>
      </w:r>
      <w:r>
        <w:rPr>
          <w:sz w:val="24"/>
        </w:rPr>
        <w:t>degree</w:t>
      </w:r>
      <w:r>
        <w:rPr>
          <w:spacing w:val="-58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freedom</w:t>
      </w:r>
      <w:r>
        <w:rPr>
          <w:spacing w:val="1"/>
          <w:sz w:val="24"/>
        </w:rPr>
        <w:t> </w:t>
      </w:r>
      <w:r>
        <w:rPr>
          <w:sz w:val="24"/>
        </w:rPr>
        <w:t>(SDOF)</w:t>
      </w:r>
      <w:r>
        <w:rPr>
          <w:spacing w:val="1"/>
          <w:sz w:val="24"/>
        </w:rPr>
        <w:t> </w:t>
      </w:r>
      <w:r>
        <w:rPr>
          <w:sz w:val="24"/>
        </w:rPr>
        <w:t>model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blast</w:t>
      </w:r>
      <w:r>
        <w:rPr>
          <w:spacing w:val="1"/>
          <w:sz w:val="24"/>
        </w:rPr>
        <w:t> </w:t>
      </w:r>
      <w:r>
        <w:rPr>
          <w:sz w:val="24"/>
        </w:rPr>
        <w:t>resistance</w:t>
      </w:r>
      <w:r>
        <w:rPr>
          <w:spacing w:val="1"/>
          <w:sz w:val="24"/>
        </w:rPr>
        <w:t> </w:t>
      </w:r>
      <w:r>
        <w:rPr>
          <w:sz w:val="24"/>
        </w:rPr>
        <w:t>function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material.</w:t>
      </w:r>
      <w:r>
        <w:rPr>
          <w:spacing w:val="1"/>
          <w:sz w:val="24"/>
        </w:rPr>
        <w:t> </w:t>
      </w:r>
      <w:r>
        <w:rPr>
          <w:sz w:val="24"/>
        </w:rPr>
        <w:t>Determine</w:t>
      </w:r>
      <w:r>
        <w:rPr>
          <w:spacing w:val="-1"/>
          <w:sz w:val="24"/>
        </w:rPr>
        <w:t> </w:t>
      </w:r>
      <w:r>
        <w:rPr>
          <w:sz w:val="24"/>
        </w:rPr>
        <w:t>a characterization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blast</w:t>
      </w:r>
      <w:r>
        <w:rPr>
          <w:spacing w:val="-2"/>
          <w:sz w:val="24"/>
        </w:rPr>
        <w:t> </w:t>
      </w:r>
      <w:r>
        <w:rPr>
          <w:sz w:val="24"/>
        </w:rPr>
        <w:t>performance of</w:t>
      </w:r>
      <w:r>
        <w:rPr>
          <w:spacing w:val="-1"/>
          <w:sz w:val="24"/>
        </w:rPr>
        <w:t> </w:t>
      </w:r>
      <w:r>
        <w:rPr>
          <w:sz w:val="24"/>
        </w:rPr>
        <w:t>generic</w:t>
      </w:r>
      <w:r>
        <w:rPr>
          <w:spacing w:val="-2"/>
          <w:sz w:val="24"/>
        </w:rPr>
        <w:t> </w:t>
      </w:r>
      <w:r>
        <w:rPr>
          <w:sz w:val="24"/>
        </w:rPr>
        <w:t>CLT.</w:t>
      </w:r>
    </w:p>
    <w:p>
      <w:pPr>
        <w:pStyle w:val="BodyText"/>
        <w:spacing w:before="217"/>
        <w:ind w:left="1159"/>
      </w:pPr>
      <w:r>
        <w:rPr/>
        <w:t>This</w:t>
      </w:r>
      <w:r>
        <w:rPr>
          <w:spacing w:val="-1"/>
        </w:rPr>
        <w:t> </w:t>
      </w:r>
      <w:r>
        <w:rPr/>
        <w:t>question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addressed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Chapter</w:t>
      </w:r>
      <w:r>
        <w:rPr>
          <w:spacing w:val="-2"/>
        </w:rPr>
        <w:t> </w:t>
      </w:r>
      <w:r>
        <w:rPr/>
        <w:t>8.</w:t>
      </w:r>
    </w:p>
    <w:p>
      <w:pPr>
        <w:pStyle w:val="BodyText"/>
        <w:spacing w:before="1"/>
        <w:rPr>
          <w:sz w:val="38"/>
        </w:rPr>
      </w:pPr>
    </w:p>
    <w:p>
      <w:pPr>
        <w:pStyle w:val="Heading9"/>
        <w:numPr>
          <w:ilvl w:val="1"/>
          <w:numId w:val="12"/>
        </w:numPr>
        <w:tabs>
          <w:tab w:pos="800" w:val="left" w:leader="none"/>
        </w:tabs>
        <w:spacing w:line="240" w:lineRule="auto" w:before="0" w:after="0"/>
        <w:ind w:left="800" w:right="0" w:hanging="361"/>
        <w:jc w:val="both"/>
      </w:pPr>
      <w:bookmarkStart w:name="_TOC_250068" w:id="24"/>
      <w:bookmarkStart w:name="1.3 Outline of this dissertation" w:id="25"/>
      <w:r>
        <w:rPr>
          <w:b w:val="0"/>
        </w:rPr>
      </w:r>
      <w:bookmarkEnd w:id="25"/>
      <w:bookmarkStart w:name="1.3 Outline of this dissertation" w:id="26"/>
      <w:r>
        <w:rPr/>
        <w:t>O</w:t>
      </w:r>
      <w:r>
        <w:rPr/>
        <w:t>utline</w:t>
      </w:r>
      <w:r>
        <w:rPr>
          <w:spacing w:val="-4"/>
        </w:rPr>
        <w:t> </w:t>
      </w:r>
      <w:r>
        <w:rPr/>
        <w:t>of</w:t>
      </w:r>
      <w:r>
        <w:rPr>
          <w:spacing w:val="-2"/>
        </w:rPr>
        <w:t> </w:t>
      </w:r>
      <w:r>
        <w:rPr/>
        <w:t>this</w:t>
      </w:r>
      <w:r>
        <w:rPr>
          <w:spacing w:val="-3"/>
        </w:rPr>
        <w:t> </w:t>
      </w:r>
      <w:bookmarkEnd w:id="24"/>
      <w:r>
        <w:rPr/>
        <w:t>dissertation</w:t>
      </w:r>
    </w:p>
    <w:p>
      <w:pPr>
        <w:pStyle w:val="BodyText"/>
        <w:spacing w:before="7"/>
        <w:rPr>
          <w:b/>
          <w:sz w:val="22"/>
        </w:rPr>
      </w:pPr>
    </w:p>
    <w:p>
      <w:pPr>
        <w:pStyle w:val="BodyText"/>
        <w:spacing w:line="480" w:lineRule="auto"/>
        <w:ind w:left="439" w:right="117" w:firstLine="780"/>
        <w:jc w:val="both"/>
      </w:pPr>
      <w:r>
        <w:rPr/>
        <w:t>Chapter</w:t>
      </w:r>
      <w:r>
        <w:rPr>
          <w:spacing w:val="-4"/>
        </w:rPr>
        <w:t> </w:t>
      </w:r>
      <w:r>
        <w:rPr/>
        <w:t>2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this</w:t>
      </w:r>
      <w:r>
        <w:rPr>
          <w:spacing w:val="-5"/>
        </w:rPr>
        <w:t> </w:t>
      </w:r>
      <w:r>
        <w:rPr/>
        <w:t>thesis</w:t>
      </w:r>
      <w:r>
        <w:rPr>
          <w:spacing w:val="-3"/>
        </w:rPr>
        <w:t> </w:t>
      </w:r>
      <w:r>
        <w:rPr/>
        <w:t>introduces</w:t>
      </w:r>
      <w:r>
        <w:rPr>
          <w:spacing w:val="-6"/>
        </w:rPr>
        <w:t> </w:t>
      </w:r>
      <w:r>
        <w:rPr/>
        <w:t>cross-laminated</w:t>
      </w:r>
      <w:r>
        <w:rPr>
          <w:spacing w:val="-4"/>
        </w:rPr>
        <w:t> </w:t>
      </w:r>
      <w:r>
        <w:rPr/>
        <w:t>timber</w:t>
      </w:r>
      <w:r>
        <w:rPr>
          <w:spacing w:val="-4"/>
        </w:rPr>
        <w:t> </w:t>
      </w:r>
      <w:r>
        <w:rPr/>
        <w:t>(CLT)</w:t>
      </w:r>
      <w:r>
        <w:rPr>
          <w:spacing w:val="-3"/>
        </w:rPr>
        <w:t> </w:t>
      </w:r>
      <w:r>
        <w:rPr/>
        <w:t>as</w:t>
      </w:r>
      <w:r>
        <w:rPr>
          <w:spacing w:val="-5"/>
        </w:rPr>
        <w:t> </w:t>
      </w:r>
      <w:r>
        <w:rPr/>
        <w:t>a</w:t>
      </w:r>
      <w:r>
        <w:rPr>
          <w:spacing w:val="-4"/>
        </w:rPr>
        <w:t> </w:t>
      </w:r>
      <w:r>
        <w:rPr/>
        <w:t>construction</w:t>
      </w:r>
      <w:r>
        <w:rPr>
          <w:spacing w:val="-58"/>
        </w:rPr>
        <w:t> </w:t>
      </w:r>
      <w:r>
        <w:rPr/>
        <w:t>material, provides background on current military temporary structures, and provides</w:t>
      </w:r>
      <w:r>
        <w:rPr>
          <w:spacing w:val="1"/>
        </w:rPr>
        <w:t> </w:t>
      </w:r>
      <w:r>
        <w:rPr/>
        <w:t>background on typical force protection designs used by DoD.</w:t>
      </w:r>
      <w:r>
        <w:rPr>
          <w:spacing w:val="1"/>
        </w:rPr>
        <w:t> </w:t>
      </w:r>
      <w:r>
        <w:rPr/>
        <w:t>Chapter 3 discusses the</w:t>
      </w:r>
      <w:r>
        <w:rPr>
          <w:spacing w:val="1"/>
        </w:rPr>
        <w:t> </w:t>
      </w:r>
      <w:r>
        <w:rPr/>
        <w:t>fundamentals</w:t>
      </w:r>
      <w:r>
        <w:rPr>
          <w:spacing w:val="1"/>
        </w:rPr>
        <w:t> </w:t>
      </w:r>
      <w:r>
        <w:rPr/>
        <w:t>of penetration</w:t>
      </w:r>
      <w:r>
        <w:rPr>
          <w:spacing w:val="1"/>
        </w:rPr>
        <w:t> </w:t>
      </w:r>
      <w:r>
        <w:rPr/>
        <w:t>mechanics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background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ballistic testing and</w:t>
      </w:r>
      <w:r>
        <w:rPr>
          <w:spacing w:val="1"/>
        </w:rPr>
        <w:t> </w:t>
      </w:r>
      <w:r>
        <w:rPr/>
        <w:t>analysis.</w:t>
      </w:r>
      <w:r>
        <w:rPr>
          <w:spacing w:val="41"/>
        </w:rPr>
        <w:t> </w:t>
      </w:r>
      <w:r>
        <w:rPr/>
        <w:t>Chapter</w:t>
      </w:r>
      <w:r>
        <w:rPr>
          <w:spacing w:val="-9"/>
        </w:rPr>
        <w:t> </w:t>
      </w:r>
      <w:r>
        <w:rPr/>
        <w:t>4</w:t>
      </w:r>
      <w:r>
        <w:rPr>
          <w:spacing w:val="-10"/>
        </w:rPr>
        <w:t> </w:t>
      </w:r>
      <w:r>
        <w:rPr/>
        <w:t>presents</w:t>
      </w:r>
      <w:r>
        <w:rPr>
          <w:spacing w:val="-9"/>
        </w:rPr>
        <w:t> </w:t>
      </w:r>
      <w:r>
        <w:rPr/>
        <w:t>an</w:t>
      </w:r>
      <w:r>
        <w:rPr>
          <w:spacing w:val="-10"/>
        </w:rPr>
        <w:t> </w:t>
      </w:r>
      <w:r>
        <w:rPr/>
        <w:t>in-depth</w:t>
      </w:r>
      <w:r>
        <w:rPr>
          <w:spacing w:val="-10"/>
        </w:rPr>
        <w:t> </w:t>
      </w:r>
      <w:r>
        <w:rPr/>
        <w:t>investigation</w:t>
      </w:r>
      <w:r>
        <w:rPr>
          <w:spacing w:val="-10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wood</w:t>
      </w:r>
      <w:r>
        <w:rPr>
          <w:spacing w:val="-10"/>
        </w:rPr>
        <w:t> </w:t>
      </w:r>
      <w:r>
        <w:rPr/>
        <w:t>properties</w:t>
      </w:r>
      <w:r>
        <w:rPr>
          <w:spacing w:val="-10"/>
        </w:rPr>
        <w:t> </w:t>
      </w:r>
      <w:r>
        <w:rPr/>
        <w:t>and</w:t>
      </w:r>
      <w:r>
        <w:rPr>
          <w:spacing w:val="-10"/>
        </w:rPr>
        <w:t> </w:t>
      </w:r>
      <w:r>
        <w:rPr/>
        <w:t>their</w:t>
      </w:r>
      <w:r>
        <w:rPr>
          <w:spacing w:val="-8"/>
        </w:rPr>
        <w:t> </w:t>
      </w:r>
      <w:r>
        <w:rPr/>
        <w:t>role</w:t>
      </w:r>
      <w:r>
        <w:rPr>
          <w:spacing w:val="-58"/>
        </w:rPr>
        <w:t> </w:t>
      </w:r>
      <w:r>
        <w:rPr/>
        <w:t>in ballistic penetration and blast response.</w:t>
      </w:r>
      <w:r>
        <w:rPr>
          <w:spacing w:val="1"/>
        </w:rPr>
        <w:t> </w:t>
      </w:r>
      <w:r>
        <w:rPr/>
        <w:t>Chapter 5 presents the ballistic performance of</w:t>
      </w:r>
      <w:r>
        <w:rPr>
          <w:spacing w:val="-57"/>
        </w:rPr>
        <w:t> </w:t>
      </w:r>
      <w:r>
        <w:rPr/>
        <w:t>cross-laminated</w:t>
      </w:r>
      <w:r>
        <w:rPr>
          <w:spacing w:val="-14"/>
        </w:rPr>
        <w:t> </w:t>
      </w:r>
      <w:r>
        <w:rPr/>
        <w:t>timber</w:t>
      </w:r>
      <w:r>
        <w:rPr>
          <w:spacing w:val="-14"/>
        </w:rPr>
        <w:t> </w:t>
      </w:r>
      <w:r>
        <w:rPr/>
        <w:t>based</w:t>
      </w:r>
      <w:r>
        <w:rPr>
          <w:spacing w:val="-13"/>
        </w:rPr>
        <w:t> </w:t>
      </w:r>
      <w:r>
        <w:rPr/>
        <w:t>on</w:t>
      </w:r>
      <w:r>
        <w:rPr>
          <w:spacing w:val="-14"/>
        </w:rPr>
        <w:t> </w:t>
      </w:r>
      <w:r>
        <w:rPr/>
        <w:t>experimental</w:t>
      </w:r>
      <w:r>
        <w:rPr>
          <w:spacing w:val="-13"/>
        </w:rPr>
        <w:t> </w:t>
      </w:r>
      <w:r>
        <w:rPr/>
        <w:t>testing</w:t>
      </w:r>
      <w:r>
        <w:rPr>
          <w:spacing w:val="-14"/>
        </w:rPr>
        <w:t> </w:t>
      </w:r>
      <w:r>
        <w:rPr/>
        <w:t>and</w:t>
      </w:r>
      <w:r>
        <w:rPr>
          <w:spacing w:val="-13"/>
        </w:rPr>
        <w:t> </w:t>
      </w:r>
      <w:r>
        <w:rPr/>
        <w:t>empirical</w:t>
      </w:r>
      <w:r>
        <w:rPr>
          <w:spacing w:val="-14"/>
        </w:rPr>
        <w:t> </w:t>
      </w:r>
      <w:r>
        <w:rPr/>
        <w:t>data</w:t>
      </w:r>
      <w:r>
        <w:rPr>
          <w:spacing w:val="-13"/>
        </w:rPr>
        <w:t> </w:t>
      </w:r>
      <w:r>
        <w:rPr/>
        <w:t>analyses.</w:t>
      </w:r>
      <w:r>
        <w:rPr>
          <w:spacing w:val="33"/>
        </w:rPr>
        <w:t> </w:t>
      </w:r>
      <w:r>
        <w:rPr/>
        <w:t>Chapter</w:t>
      </w:r>
      <w:r>
        <w:rPr>
          <w:spacing w:val="-58"/>
        </w:rPr>
        <w:t> </w:t>
      </w:r>
      <w:r>
        <w:rPr/>
        <w:t>6 qualitatively examines the resistance mechanisms for ballistic performance based on</w:t>
      </w:r>
      <w:r>
        <w:rPr>
          <w:spacing w:val="1"/>
        </w:rPr>
        <w:t> </w:t>
      </w:r>
      <w:r>
        <w:rPr/>
        <w:t>experimental testing and closely examines the test specimens in the context of the wood</w:t>
      </w:r>
      <w:r>
        <w:rPr>
          <w:spacing w:val="1"/>
        </w:rPr>
        <w:t> </w:t>
      </w:r>
      <w:r>
        <w:rPr/>
        <w:t>properties</w:t>
      </w:r>
      <w:r>
        <w:rPr>
          <w:spacing w:val="35"/>
        </w:rPr>
        <w:t> </w:t>
      </w:r>
      <w:r>
        <w:rPr/>
        <w:t>discussed</w:t>
      </w:r>
      <w:r>
        <w:rPr>
          <w:spacing w:val="33"/>
        </w:rPr>
        <w:t> </w:t>
      </w:r>
      <w:r>
        <w:rPr/>
        <w:t>in</w:t>
      </w:r>
      <w:r>
        <w:rPr>
          <w:spacing w:val="33"/>
        </w:rPr>
        <w:t> </w:t>
      </w:r>
      <w:r>
        <w:rPr/>
        <w:t>Chapter</w:t>
      </w:r>
      <w:r>
        <w:rPr>
          <w:spacing w:val="35"/>
        </w:rPr>
        <w:t> </w:t>
      </w:r>
      <w:r>
        <w:rPr/>
        <w:t>4.</w:t>
      </w:r>
      <w:r>
        <w:rPr>
          <w:spacing w:val="9"/>
        </w:rPr>
        <w:t> </w:t>
      </w:r>
      <w:r>
        <w:rPr/>
        <w:t>Chapter</w:t>
      </w:r>
      <w:r>
        <w:rPr>
          <w:spacing w:val="35"/>
        </w:rPr>
        <w:t> </w:t>
      </w:r>
      <w:r>
        <w:rPr/>
        <w:t>7</w:t>
      </w:r>
      <w:r>
        <w:rPr>
          <w:spacing w:val="35"/>
        </w:rPr>
        <w:t> </w:t>
      </w:r>
      <w:r>
        <w:rPr/>
        <w:t>discusses</w:t>
      </w:r>
      <w:r>
        <w:rPr>
          <w:spacing w:val="36"/>
        </w:rPr>
        <w:t> </w:t>
      </w:r>
      <w:r>
        <w:rPr/>
        <w:t>the</w:t>
      </w:r>
      <w:r>
        <w:rPr>
          <w:spacing w:val="34"/>
        </w:rPr>
        <w:t> </w:t>
      </w:r>
      <w:r>
        <w:rPr/>
        <w:t>potential</w:t>
      </w:r>
      <w:r>
        <w:rPr>
          <w:spacing w:val="35"/>
        </w:rPr>
        <w:t> </w:t>
      </w:r>
      <w:r>
        <w:rPr/>
        <w:t>of</w:t>
      </w:r>
      <w:r>
        <w:rPr>
          <w:spacing w:val="34"/>
        </w:rPr>
        <w:t> </w:t>
      </w:r>
      <w:r>
        <w:rPr/>
        <w:t>enhancing</w:t>
      </w:r>
      <w:r>
        <w:rPr>
          <w:spacing w:val="33"/>
        </w:rPr>
        <w:t> </w:t>
      </w:r>
      <w:r>
        <w:rPr/>
        <w:t>the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320"/>
        </w:sectPr>
      </w:pPr>
    </w:p>
    <w:p>
      <w:pPr>
        <w:pStyle w:val="BodyText"/>
        <w:spacing w:line="480" w:lineRule="auto" w:before="78"/>
        <w:ind w:left="440" w:right="116"/>
        <w:jc w:val="both"/>
      </w:pPr>
      <w:bookmarkStart w:name="Chapter 2" w:id="27"/>
      <w:bookmarkEnd w:id="27"/>
      <w:r>
        <w:rPr/>
      </w:r>
      <w:r>
        <w:rPr/>
        <w:t>ballistic performance of the cross-laminated timber by adding non-wood materials to the</w:t>
      </w:r>
      <w:r>
        <w:rPr>
          <w:spacing w:val="1"/>
        </w:rPr>
        <w:t> </w:t>
      </w:r>
      <w:r>
        <w:rPr/>
        <w:t>wood composite. This includes a cost-benefit and weighted criterion analysis between the</w:t>
      </w:r>
      <w:r>
        <w:rPr>
          <w:spacing w:val="-57"/>
        </w:rPr>
        <w:t> </w:t>
      </w:r>
      <w:r>
        <w:rPr/>
        <w:t>different</w:t>
      </w:r>
      <w:r>
        <w:rPr>
          <w:spacing w:val="1"/>
        </w:rPr>
        <w:t> </w:t>
      </w:r>
      <w:r>
        <w:rPr/>
        <w:t>proposed</w:t>
      </w:r>
      <w:r>
        <w:rPr>
          <w:spacing w:val="1"/>
        </w:rPr>
        <w:t> </w:t>
      </w:r>
      <w:r>
        <w:rPr/>
        <w:t>enhancing</w:t>
      </w:r>
      <w:r>
        <w:rPr>
          <w:spacing w:val="1"/>
        </w:rPr>
        <w:t> </w:t>
      </w:r>
      <w:r>
        <w:rPr/>
        <w:t>materials</w:t>
      </w:r>
      <w:r>
        <w:rPr>
          <w:spacing w:val="1"/>
        </w:rPr>
        <w:t> </w:t>
      </w:r>
      <w:r>
        <w:rPr/>
        <w:t>investigated.</w:t>
      </w:r>
      <w:r>
        <w:rPr>
          <w:spacing w:val="1"/>
        </w:rPr>
        <w:t> </w:t>
      </w:r>
      <w:r>
        <w:rPr/>
        <w:t>Chapter</w:t>
      </w:r>
      <w:r>
        <w:rPr>
          <w:spacing w:val="1"/>
        </w:rPr>
        <w:t> </w:t>
      </w:r>
      <w:r>
        <w:rPr/>
        <w:t>8</w:t>
      </w:r>
      <w:r>
        <w:rPr>
          <w:spacing w:val="1"/>
        </w:rPr>
        <w:t> </w:t>
      </w:r>
      <w:r>
        <w:rPr/>
        <w:t>discusses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blast</w:t>
      </w:r>
      <w:r>
        <w:rPr>
          <w:spacing w:val="1"/>
        </w:rPr>
        <w:t> </w:t>
      </w:r>
      <w:r>
        <w:rPr/>
        <w:t>performance of the material and presents a generic SDOF model for initial feasibility</w:t>
      </w:r>
      <w:r>
        <w:rPr>
          <w:spacing w:val="1"/>
        </w:rPr>
        <w:t> </w:t>
      </w:r>
      <w:r>
        <w:rPr/>
        <w:t>assessment purposes.</w:t>
      </w:r>
      <w:r>
        <w:rPr>
          <w:spacing w:val="1"/>
        </w:rPr>
        <w:t> </w:t>
      </w:r>
      <w:r>
        <w:rPr/>
        <w:t>This model is intended to guide future work in blast performance</w:t>
      </w:r>
      <w:r>
        <w:rPr>
          <w:spacing w:val="1"/>
        </w:rPr>
        <w:t> </w:t>
      </w:r>
      <w:r>
        <w:rPr/>
        <w:t>evaluation of CLT.</w:t>
      </w:r>
      <w:r>
        <w:rPr>
          <w:spacing w:val="1"/>
        </w:rPr>
        <w:t> </w:t>
      </w:r>
      <w:r>
        <w:rPr/>
        <w:t>Chapter 9 presents a multi-criteria assessment tool with the previous</w:t>
      </w:r>
      <w:r>
        <w:rPr>
          <w:spacing w:val="1"/>
        </w:rPr>
        <w:t> </w:t>
      </w:r>
      <w:r>
        <w:rPr>
          <w:spacing w:val="-1"/>
        </w:rPr>
        <w:t>chapters</w:t>
      </w:r>
      <w:r>
        <w:rPr>
          <w:spacing w:val="-14"/>
        </w:rPr>
        <w:t> </w:t>
      </w:r>
      <w:r>
        <w:rPr/>
        <w:t>providing</w:t>
      </w:r>
      <w:r>
        <w:rPr>
          <w:spacing w:val="-14"/>
        </w:rPr>
        <w:t> </w:t>
      </w:r>
      <w:r>
        <w:rPr/>
        <w:t>relevant</w:t>
      </w:r>
      <w:r>
        <w:rPr>
          <w:spacing w:val="-14"/>
        </w:rPr>
        <w:t> </w:t>
      </w:r>
      <w:r>
        <w:rPr/>
        <w:t>information</w:t>
      </w:r>
      <w:r>
        <w:rPr>
          <w:spacing w:val="-15"/>
        </w:rPr>
        <w:t> </w:t>
      </w:r>
      <w:r>
        <w:rPr/>
        <w:t>for</w:t>
      </w:r>
      <w:r>
        <w:rPr>
          <w:spacing w:val="-14"/>
        </w:rPr>
        <w:t> </w:t>
      </w:r>
      <w:r>
        <w:rPr/>
        <w:t>rating</w:t>
      </w:r>
      <w:r>
        <w:rPr>
          <w:spacing w:val="-14"/>
        </w:rPr>
        <w:t> </w:t>
      </w:r>
      <w:r>
        <w:rPr/>
        <w:t>for</w:t>
      </w:r>
      <w:r>
        <w:rPr>
          <w:spacing w:val="-14"/>
        </w:rPr>
        <w:t> </w:t>
      </w:r>
      <w:r>
        <w:rPr/>
        <w:t>a</w:t>
      </w:r>
      <w:r>
        <w:rPr>
          <w:spacing w:val="-14"/>
        </w:rPr>
        <w:t> </w:t>
      </w:r>
      <w:r>
        <w:rPr/>
        <w:t>portion</w:t>
      </w:r>
      <w:r>
        <w:rPr>
          <w:spacing w:val="-15"/>
        </w:rPr>
        <w:t> </w:t>
      </w:r>
      <w:r>
        <w:rPr/>
        <w:t>of</w:t>
      </w:r>
      <w:r>
        <w:rPr>
          <w:spacing w:val="-15"/>
        </w:rPr>
        <w:t> </w:t>
      </w:r>
      <w:r>
        <w:rPr/>
        <w:t>the</w:t>
      </w:r>
      <w:r>
        <w:rPr>
          <w:spacing w:val="-14"/>
        </w:rPr>
        <w:t> </w:t>
      </w:r>
      <w:r>
        <w:rPr/>
        <w:t>tool.</w:t>
      </w:r>
      <w:r>
        <w:rPr>
          <w:spacing w:val="31"/>
        </w:rPr>
        <w:t> </w:t>
      </w:r>
      <w:r>
        <w:rPr/>
        <w:t>Finally,</w:t>
      </w:r>
      <w:r>
        <w:rPr>
          <w:spacing w:val="-15"/>
        </w:rPr>
        <w:t> </w:t>
      </w:r>
      <w:r>
        <w:rPr/>
        <w:t>Chapter</w:t>
      </w:r>
      <w:r>
        <w:rPr>
          <w:spacing w:val="-58"/>
        </w:rPr>
        <w:t> </w:t>
      </w:r>
      <w:r>
        <w:rPr/>
        <w:t>10</w:t>
      </w:r>
      <w:r>
        <w:rPr>
          <w:spacing w:val="-1"/>
        </w:rPr>
        <w:t> </w:t>
      </w:r>
      <w:r>
        <w:rPr/>
        <w:t>presents</w:t>
      </w:r>
      <w:r>
        <w:rPr>
          <w:spacing w:val="-1"/>
        </w:rPr>
        <w:t> </w:t>
      </w:r>
      <w:r>
        <w:rPr/>
        <w:t>conclusions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this</w:t>
      </w:r>
      <w:r>
        <w:rPr>
          <w:spacing w:val="-1"/>
        </w:rPr>
        <w:t> </w:t>
      </w:r>
      <w:r>
        <w:rPr/>
        <w:t>research and</w:t>
      </w:r>
      <w:r>
        <w:rPr>
          <w:spacing w:val="-1"/>
        </w:rPr>
        <w:t> </w:t>
      </w:r>
      <w:r>
        <w:rPr/>
        <w:t>recommendations for future</w:t>
      </w:r>
      <w:r>
        <w:rPr>
          <w:spacing w:val="-1"/>
        </w:rPr>
        <w:t> </w:t>
      </w:r>
      <w:r>
        <w:rPr/>
        <w:t>work.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320"/>
        </w:sectPr>
      </w:pPr>
    </w:p>
    <w:p>
      <w:pPr>
        <w:pStyle w:val="Heading4"/>
        <w:spacing w:line="259" w:lineRule="auto" w:before="61"/>
        <w:ind w:left="3732" w:right="3413" w:hanging="79"/>
      </w:pPr>
      <w:bookmarkStart w:name="_TOC_250067" w:id="28"/>
      <w:bookmarkStart w:name="Chapter 2" w:id="29"/>
      <w:r>
        <w:rPr>
          <w:b w:val="0"/>
        </w:rPr>
      </w:r>
      <w:r>
        <w:rPr/>
        <w:t>CHAPTER 2</w:t>
      </w:r>
      <w:r>
        <w:rPr>
          <w:spacing w:val="1"/>
        </w:rPr>
        <w:t> </w:t>
      </w:r>
      <w:bookmarkEnd w:id="28"/>
      <w:r>
        <w:rPr>
          <w:spacing w:val="-1"/>
        </w:rPr>
        <w:t>BACKGROUND</w:t>
      </w: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spacing w:before="8"/>
        <w:rPr>
          <w:b/>
          <w:sz w:val="39"/>
        </w:rPr>
      </w:pPr>
    </w:p>
    <w:p>
      <w:pPr>
        <w:pStyle w:val="Heading9"/>
        <w:numPr>
          <w:ilvl w:val="1"/>
          <w:numId w:val="14"/>
        </w:numPr>
        <w:tabs>
          <w:tab w:pos="800" w:val="left" w:leader="none"/>
        </w:tabs>
        <w:spacing w:line="240" w:lineRule="auto" w:before="0" w:after="0"/>
        <w:ind w:left="800" w:right="0" w:hanging="360"/>
        <w:jc w:val="both"/>
      </w:pPr>
      <w:bookmarkStart w:name="_TOC_250066" w:id="30"/>
      <w:bookmarkStart w:name="2.1 Cross-Laminated Timber (CLT)" w:id="31"/>
      <w:r>
        <w:rPr>
          <w:b w:val="0"/>
        </w:rPr>
      </w:r>
      <w:bookmarkEnd w:id="31"/>
      <w:bookmarkStart w:name="2.1 Cross-Laminated Timber (CLT)" w:id="32"/>
      <w:r>
        <w:rPr/>
        <w:t>C</w:t>
      </w:r>
      <w:r>
        <w:rPr/>
        <w:t>ross-Laminated</w:t>
      </w:r>
      <w:r>
        <w:rPr>
          <w:spacing w:val="-7"/>
        </w:rPr>
        <w:t> </w:t>
      </w:r>
      <w:r>
        <w:rPr/>
        <w:t>Timber</w:t>
      </w:r>
      <w:r>
        <w:rPr>
          <w:spacing w:val="-6"/>
        </w:rPr>
        <w:t> </w:t>
      </w:r>
      <w:bookmarkEnd w:id="30"/>
      <w:r>
        <w:rPr/>
        <w:t>(CLT)</w:t>
      </w:r>
    </w:p>
    <w:p>
      <w:pPr>
        <w:pStyle w:val="ListParagraph"/>
        <w:numPr>
          <w:ilvl w:val="2"/>
          <w:numId w:val="14"/>
        </w:numPr>
        <w:tabs>
          <w:tab w:pos="980" w:val="left" w:leader="none"/>
        </w:tabs>
        <w:spacing w:line="240" w:lineRule="auto" w:before="182" w:after="0"/>
        <w:ind w:left="980" w:right="0" w:hanging="540"/>
        <w:jc w:val="both"/>
        <w:rPr>
          <w:i/>
          <w:sz w:val="24"/>
        </w:rPr>
      </w:pPr>
      <w:bookmarkStart w:name="2.1.1 The introduction of CLT: a brief h" w:id="33"/>
      <w:bookmarkEnd w:id="33"/>
      <w:r>
        <w:rPr/>
      </w:r>
      <w:bookmarkStart w:name="2.1.1 The introduction of CLT: a brief h" w:id="34"/>
      <w:bookmarkEnd w:id="34"/>
      <w:r>
        <w:rPr>
          <w:i/>
          <w:sz w:val="24"/>
        </w:rPr>
        <w:t>T</w:t>
      </w:r>
      <w:r>
        <w:rPr>
          <w:i/>
          <w:sz w:val="24"/>
        </w:rPr>
        <w:t>he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introduction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CLT: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brief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history</w:t>
      </w:r>
    </w:p>
    <w:p>
      <w:pPr>
        <w:pStyle w:val="BodyText"/>
        <w:spacing w:before="6"/>
        <w:rPr>
          <w:i/>
          <w:sz w:val="22"/>
        </w:rPr>
      </w:pPr>
    </w:p>
    <w:p>
      <w:pPr>
        <w:pStyle w:val="BodyText"/>
        <w:spacing w:line="480" w:lineRule="auto"/>
        <w:ind w:left="439" w:right="117" w:firstLine="720"/>
        <w:jc w:val="both"/>
      </w:pPr>
      <w:r>
        <w:rPr/>
        <w:t>Cross-laminated timber (CLT) is an engineered wood product that in recent years</w:t>
      </w:r>
      <w:r>
        <w:rPr>
          <w:spacing w:val="1"/>
        </w:rPr>
        <w:t> </w:t>
      </w:r>
      <w:r>
        <w:rPr/>
        <w:t>has</w:t>
      </w:r>
      <w:r>
        <w:rPr>
          <w:spacing w:val="-6"/>
        </w:rPr>
        <w:t> </w:t>
      </w:r>
      <w:r>
        <w:rPr/>
        <w:t>been</w:t>
      </w:r>
      <w:r>
        <w:rPr>
          <w:spacing w:val="-6"/>
        </w:rPr>
        <w:t> </w:t>
      </w:r>
      <w:r>
        <w:rPr/>
        <w:t>developed</w:t>
      </w:r>
      <w:r>
        <w:rPr>
          <w:spacing w:val="-5"/>
        </w:rPr>
        <w:t> </w:t>
      </w:r>
      <w:r>
        <w:rPr/>
        <w:t>and</w:t>
      </w:r>
      <w:r>
        <w:rPr>
          <w:spacing w:val="-7"/>
        </w:rPr>
        <w:t> </w:t>
      </w:r>
      <w:r>
        <w:rPr/>
        <w:t>studied</w:t>
      </w:r>
      <w:r>
        <w:rPr>
          <w:spacing w:val="-6"/>
        </w:rPr>
        <w:t> </w:t>
      </w:r>
      <w:r>
        <w:rPr/>
        <w:t>as</w:t>
      </w:r>
      <w:r>
        <w:rPr>
          <w:spacing w:val="-5"/>
        </w:rPr>
        <w:t> </w:t>
      </w:r>
      <w:r>
        <w:rPr/>
        <w:t>a</w:t>
      </w:r>
      <w:r>
        <w:rPr>
          <w:spacing w:val="-7"/>
        </w:rPr>
        <w:t> </w:t>
      </w:r>
      <w:r>
        <w:rPr/>
        <w:t>new</w:t>
      </w:r>
      <w:r>
        <w:rPr>
          <w:spacing w:val="-6"/>
        </w:rPr>
        <w:t> </w:t>
      </w:r>
      <w:r>
        <w:rPr/>
        <w:t>structural</w:t>
      </w:r>
      <w:r>
        <w:rPr>
          <w:spacing w:val="-6"/>
        </w:rPr>
        <w:t> </w:t>
      </w:r>
      <w:r>
        <w:rPr/>
        <w:t>building</w:t>
      </w:r>
      <w:r>
        <w:rPr>
          <w:spacing w:val="-6"/>
        </w:rPr>
        <w:t> </w:t>
      </w:r>
      <w:r>
        <w:rPr/>
        <w:t>material</w:t>
      </w:r>
      <w:r>
        <w:rPr>
          <w:spacing w:val="-5"/>
        </w:rPr>
        <w:t> </w:t>
      </w:r>
      <w:r>
        <w:rPr/>
        <w:t>for</w:t>
      </w:r>
      <w:r>
        <w:rPr>
          <w:spacing w:val="-6"/>
        </w:rPr>
        <w:t> </w:t>
      </w:r>
      <w:r>
        <w:rPr/>
        <w:t>use</w:t>
      </w:r>
      <w:r>
        <w:rPr>
          <w:spacing w:val="-6"/>
        </w:rPr>
        <w:t> </w:t>
      </w:r>
      <w:r>
        <w:rPr/>
        <w:t>in</w:t>
      </w:r>
      <w:r>
        <w:rPr>
          <w:spacing w:val="-5"/>
        </w:rPr>
        <w:t> </w:t>
      </w:r>
      <w:r>
        <w:rPr/>
        <w:t>place</w:t>
      </w:r>
      <w:r>
        <w:rPr>
          <w:spacing w:val="-7"/>
        </w:rPr>
        <w:t> </w:t>
      </w:r>
      <w:r>
        <w:rPr/>
        <w:t>of,</w:t>
      </w:r>
      <w:r>
        <w:rPr>
          <w:spacing w:val="-5"/>
        </w:rPr>
        <w:t> </w:t>
      </w:r>
      <w:r>
        <w:rPr/>
        <w:t>or</w:t>
      </w:r>
      <w:r>
        <w:rPr>
          <w:spacing w:val="-58"/>
        </w:rPr>
        <w:t> </w:t>
      </w:r>
      <w:r>
        <w:rPr/>
        <w:t>in conjunction with, concrete, masonry and steel.</w:t>
      </w:r>
      <w:r>
        <w:rPr>
          <w:spacing w:val="1"/>
        </w:rPr>
        <w:t> </w:t>
      </w:r>
      <w:r>
        <w:rPr/>
        <w:t>While builders and designers have used</w:t>
      </w:r>
      <w:r>
        <w:rPr>
          <w:spacing w:val="-57"/>
        </w:rPr>
        <w:t> </w:t>
      </w:r>
      <w:r>
        <w:rPr/>
        <w:t>engineered</w:t>
      </w:r>
      <w:r>
        <w:rPr>
          <w:spacing w:val="-8"/>
        </w:rPr>
        <w:t> </w:t>
      </w:r>
      <w:r>
        <w:rPr/>
        <w:t>wood</w:t>
      </w:r>
      <w:r>
        <w:rPr>
          <w:spacing w:val="-6"/>
        </w:rPr>
        <w:t> </w:t>
      </w:r>
      <w:r>
        <w:rPr/>
        <w:t>products</w:t>
      </w:r>
      <w:r>
        <w:rPr>
          <w:spacing w:val="-7"/>
        </w:rPr>
        <w:t> </w:t>
      </w:r>
      <w:r>
        <w:rPr/>
        <w:t>such</w:t>
      </w:r>
      <w:r>
        <w:rPr>
          <w:spacing w:val="-6"/>
        </w:rPr>
        <w:t> </w:t>
      </w:r>
      <w:r>
        <w:rPr/>
        <w:t>as</w:t>
      </w:r>
      <w:r>
        <w:rPr>
          <w:spacing w:val="-7"/>
        </w:rPr>
        <w:t> </w:t>
      </w:r>
      <w:r>
        <w:rPr/>
        <w:t>plywood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glue-laminated</w:t>
      </w:r>
      <w:r>
        <w:rPr>
          <w:spacing w:val="-6"/>
        </w:rPr>
        <w:t> </w:t>
      </w:r>
      <w:r>
        <w:rPr/>
        <w:t>(glulam)</w:t>
      </w:r>
      <w:r>
        <w:rPr>
          <w:spacing w:val="-7"/>
        </w:rPr>
        <w:t> </w:t>
      </w:r>
      <w:r>
        <w:rPr/>
        <w:t>products</w:t>
      </w:r>
      <w:r>
        <w:rPr>
          <w:spacing w:val="-7"/>
        </w:rPr>
        <w:t> </w:t>
      </w:r>
      <w:r>
        <w:rPr/>
        <w:t>for</w:t>
      </w:r>
      <w:r>
        <w:rPr>
          <w:spacing w:val="-7"/>
        </w:rPr>
        <w:t> </w:t>
      </w:r>
      <w:r>
        <w:rPr/>
        <w:t>over</w:t>
      </w:r>
      <w:r>
        <w:rPr>
          <w:spacing w:val="-58"/>
        </w:rPr>
        <w:t> </w:t>
      </w:r>
      <w:r>
        <w:rPr/>
        <w:t>a</w:t>
      </w:r>
      <w:r>
        <w:rPr>
          <w:spacing w:val="-8"/>
        </w:rPr>
        <w:t> </w:t>
      </w:r>
      <w:r>
        <w:rPr/>
        <w:t>century,</w:t>
      </w:r>
      <w:r>
        <w:rPr>
          <w:spacing w:val="-7"/>
        </w:rPr>
        <w:t> </w:t>
      </w:r>
      <w:r>
        <w:rPr/>
        <w:t>CLT</w:t>
      </w:r>
      <w:r>
        <w:rPr>
          <w:spacing w:val="-8"/>
        </w:rPr>
        <w:t> </w:t>
      </w:r>
      <w:r>
        <w:rPr/>
        <w:t>is</w:t>
      </w:r>
      <w:r>
        <w:rPr>
          <w:spacing w:val="-7"/>
        </w:rPr>
        <w:t> </w:t>
      </w:r>
      <w:r>
        <w:rPr/>
        <w:t>a</w:t>
      </w:r>
      <w:r>
        <w:rPr>
          <w:spacing w:val="-8"/>
        </w:rPr>
        <w:t> </w:t>
      </w:r>
      <w:r>
        <w:rPr/>
        <w:t>relative</w:t>
      </w:r>
      <w:r>
        <w:rPr>
          <w:spacing w:val="-8"/>
        </w:rPr>
        <w:t> </w:t>
      </w:r>
      <w:r>
        <w:rPr/>
        <w:t>newcomer</w:t>
      </w:r>
      <w:r>
        <w:rPr>
          <w:spacing w:val="-7"/>
        </w:rPr>
        <w:t> </w:t>
      </w:r>
      <w:r>
        <w:rPr/>
        <w:t>to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market.</w:t>
      </w:r>
      <w:r>
        <w:rPr>
          <w:spacing w:val="44"/>
        </w:rPr>
        <w:t> </w:t>
      </w:r>
      <w:r>
        <w:rPr/>
        <w:t>First</w:t>
      </w:r>
      <w:r>
        <w:rPr>
          <w:spacing w:val="-8"/>
        </w:rPr>
        <w:t> </w:t>
      </w:r>
      <w:r>
        <w:rPr/>
        <w:t>introduced</w:t>
      </w:r>
      <w:r>
        <w:rPr>
          <w:spacing w:val="-8"/>
        </w:rPr>
        <w:t> </w:t>
      </w:r>
      <w:r>
        <w:rPr/>
        <w:t>widely</w:t>
      </w:r>
      <w:r>
        <w:rPr>
          <w:spacing w:val="-7"/>
        </w:rPr>
        <w:t> </w:t>
      </w:r>
      <w:r>
        <w:rPr/>
        <w:t>in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1990’s</w:t>
      </w:r>
      <w:r>
        <w:rPr>
          <w:spacing w:val="-58"/>
        </w:rPr>
        <w:t> </w:t>
      </w:r>
      <w:r>
        <w:rPr/>
        <w:t>in Austria and Germany, the product has gained visibility and interest as more structures</w:t>
      </w:r>
      <w:r>
        <w:rPr>
          <w:spacing w:val="1"/>
        </w:rPr>
        <w:t> </w:t>
      </w:r>
      <w:r>
        <w:rPr/>
        <w:t>make use of it and international building codes and standards allow its use in construction</w:t>
      </w:r>
      <w:r>
        <w:rPr>
          <w:spacing w:val="-57"/>
        </w:rPr>
        <w:t> </w:t>
      </w:r>
      <w:r>
        <w:rPr/>
        <w:t>[68].</w:t>
      </w:r>
    </w:p>
    <w:p>
      <w:pPr>
        <w:pStyle w:val="BodyText"/>
        <w:spacing w:line="480" w:lineRule="auto" w:before="160"/>
        <w:ind w:left="439" w:right="117" w:firstLine="720"/>
        <w:jc w:val="both"/>
      </w:pPr>
      <w:r>
        <w:rPr/>
        <w:t>According to European CLT manufacturer Kreuz Lagen Holz (KLH) Massivholz,</w:t>
      </w:r>
      <w:r>
        <w:rPr>
          <w:spacing w:val="1"/>
        </w:rPr>
        <w:t> </w:t>
      </w:r>
      <w:r>
        <w:rPr/>
        <w:t>the first patent for CLT was issued in 1985 in France [119].</w:t>
      </w:r>
      <w:r>
        <w:rPr>
          <w:spacing w:val="1"/>
        </w:rPr>
        <w:t> </w:t>
      </w:r>
      <w:r>
        <w:rPr/>
        <w:t>Projects in Austria and</w:t>
      </w:r>
      <w:r>
        <w:rPr>
          <w:spacing w:val="1"/>
        </w:rPr>
        <w:t> </w:t>
      </w:r>
      <w:r>
        <w:rPr/>
        <w:t>Germany incorporating the material combined with a joint research effort involving the</w:t>
      </w:r>
      <w:r>
        <w:rPr>
          <w:spacing w:val="1"/>
        </w:rPr>
        <w:t> </w:t>
      </w:r>
      <w:r>
        <w:rPr/>
        <w:t>timber</w:t>
      </w:r>
      <w:r>
        <w:rPr>
          <w:spacing w:val="1"/>
        </w:rPr>
        <w:t> </w:t>
      </w:r>
      <w:r>
        <w:rPr/>
        <w:t>industry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academia</w:t>
      </w:r>
      <w:r>
        <w:rPr>
          <w:spacing w:val="1"/>
        </w:rPr>
        <w:t> </w:t>
      </w:r>
      <w:r>
        <w:rPr/>
        <w:t>resulted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development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today’s</w:t>
      </w:r>
      <w:r>
        <w:rPr>
          <w:spacing w:val="1"/>
        </w:rPr>
        <w:t> </w:t>
      </w:r>
      <w:r>
        <w:rPr/>
        <w:t>CLT</w:t>
      </w:r>
      <w:r>
        <w:rPr>
          <w:spacing w:val="1"/>
        </w:rPr>
        <w:t> </w:t>
      </w:r>
      <w:r>
        <w:rPr/>
        <w:t>product.</w:t>
      </w:r>
      <w:r>
        <w:rPr>
          <w:spacing w:val="-57"/>
        </w:rPr>
        <w:t> </w:t>
      </w:r>
      <w:r>
        <w:rPr/>
        <w:t>Another milestone for the product was the development of press technology in the mid</w:t>
      </w:r>
      <w:r>
        <w:rPr>
          <w:spacing w:val="1"/>
        </w:rPr>
        <w:t> </w:t>
      </w:r>
      <w:r>
        <w:rPr/>
        <w:t>1990s to increase the bonding of the layers, a critical factor in the material’s strength.</w:t>
      </w:r>
      <w:r>
        <w:rPr>
          <w:spacing w:val="1"/>
        </w:rPr>
        <w:t> </w:t>
      </w:r>
      <w:r>
        <w:rPr/>
        <w:t>Following</w:t>
      </w:r>
      <w:r>
        <w:rPr>
          <w:spacing w:val="-6"/>
        </w:rPr>
        <w:t> </w:t>
      </w:r>
      <w:r>
        <w:rPr/>
        <w:t>that</w:t>
      </w:r>
      <w:r>
        <w:rPr>
          <w:spacing w:val="-6"/>
        </w:rPr>
        <w:t> </w:t>
      </w:r>
      <w:r>
        <w:rPr/>
        <w:t>technological</w:t>
      </w:r>
      <w:r>
        <w:rPr>
          <w:spacing w:val="-7"/>
        </w:rPr>
        <w:t> </w:t>
      </w:r>
      <w:r>
        <w:rPr/>
        <w:t>milestone,</w:t>
      </w:r>
      <w:r>
        <w:rPr>
          <w:spacing w:val="-6"/>
        </w:rPr>
        <w:t> </w:t>
      </w:r>
      <w:r>
        <w:rPr/>
        <w:t>Europeans</w:t>
      </w:r>
      <w:r>
        <w:rPr>
          <w:spacing w:val="-6"/>
        </w:rPr>
        <w:t> </w:t>
      </w:r>
      <w:r>
        <w:rPr/>
        <w:t>built</w:t>
      </w:r>
      <w:r>
        <w:rPr>
          <w:spacing w:val="-6"/>
        </w:rPr>
        <w:t> </w:t>
      </w:r>
      <w:r>
        <w:rPr/>
        <w:t>hundreds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structures</w:t>
      </w:r>
      <w:r>
        <w:rPr>
          <w:spacing w:val="-7"/>
        </w:rPr>
        <w:t> </w:t>
      </w:r>
      <w:r>
        <w:rPr/>
        <w:t>from</w:t>
      </w:r>
      <w:r>
        <w:rPr>
          <w:spacing w:val="-7"/>
        </w:rPr>
        <w:t> </w:t>
      </w:r>
      <w:r>
        <w:rPr/>
        <w:t>CLT,</w:t>
      </w:r>
      <w:r>
        <w:rPr>
          <w:spacing w:val="-57"/>
        </w:rPr>
        <w:t> </w:t>
      </w:r>
      <w:r>
        <w:rPr/>
        <w:t>including</w:t>
      </w:r>
      <w:r>
        <w:rPr>
          <w:spacing w:val="-1"/>
        </w:rPr>
        <w:t> </w:t>
      </w:r>
      <w:r>
        <w:rPr/>
        <w:t>residential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non-residential</w:t>
      </w:r>
      <w:r>
        <w:rPr>
          <w:spacing w:val="-1"/>
        </w:rPr>
        <w:t> </w:t>
      </w:r>
      <w:r>
        <w:rPr/>
        <w:t>mid-rise</w:t>
      </w:r>
      <w:r>
        <w:rPr>
          <w:spacing w:val="-2"/>
        </w:rPr>
        <w:t> </w:t>
      </w:r>
      <w:r>
        <w:rPr/>
        <w:t>(three to</w:t>
      </w:r>
      <w:r>
        <w:rPr>
          <w:spacing w:val="-3"/>
        </w:rPr>
        <w:t> </w:t>
      </w:r>
      <w:r>
        <w:rPr/>
        <w:t>ten</w:t>
      </w:r>
      <w:r>
        <w:rPr>
          <w:spacing w:val="-3"/>
        </w:rPr>
        <w:t> </w:t>
      </w:r>
      <w:r>
        <w:rPr/>
        <w:t>story) buildings.</w:t>
      </w:r>
    </w:p>
    <w:p>
      <w:pPr>
        <w:pStyle w:val="BodyText"/>
        <w:spacing w:line="480" w:lineRule="auto" w:before="160"/>
        <w:ind w:left="439" w:right="117" w:firstLine="720"/>
        <w:jc w:val="both"/>
      </w:pPr>
      <w:r>
        <w:rPr/>
        <w:t>In the last decade, global interest in CLT expanded into North America, especially</w:t>
      </w:r>
      <w:r>
        <w:rPr>
          <w:spacing w:val="-57"/>
        </w:rPr>
        <w:t> </w:t>
      </w:r>
      <w:r>
        <w:rPr/>
        <w:t>in</w:t>
      </w:r>
      <w:r>
        <w:rPr>
          <w:spacing w:val="22"/>
        </w:rPr>
        <w:t> </w:t>
      </w:r>
      <w:r>
        <w:rPr/>
        <w:t>the</w:t>
      </w:r>
      <w:r>
        <w:rPr>
          <w:spacing w:val="23"/>
        </w:rPr>
        <w:t> </w:t>
      </w:r>
      <w:r>
        <w:rPr/>
        <w:t>densely</w:t>
      </w:r>
      <w:r>
        <w:rPr>
          <w:spacing w:val="23"/>
        </w:rPr>
        <w:t> </w:t>
      </w:r>
      <w:r>
        <w:rPr/>
        <w:t>forested</w:t>
      </w:r>
      <w:r>
        <w:rPr>
          <w:spacing w:val="21"/>
        </w:rPr>
        <w:t> </w:t>
      </w:r>
      <w:r>
        <w:rPr/>
        <w:t>areas</w:t>
      </w:r>
      <w:r>
        <w:rPr>
          <w:spacing w:val="22"/>
        </w:rPr>
        <w:t> </w:t>
      </w:r>
      <w:r>
        <w:rPr/>
        <w:t>of</w:t>
      </w:r>
      <w:r>
        <w:rPr>
          <w:spacing w:val="22"/>
        </w:rPr>
        <w:t> </w:t>
      </w:r>
      <w:r>
        <w:rPr/>
        <w:t>Canada</w:t>
      </w:r>
      <w:r>
        <w:rPr>
          <w:spacing w:val="23"/>
        </w:rPr>
        <w:t> </w:t>
      </w:r>
      <w:r>
        <w:rPr/>
        <w:t>and</w:t>
      </w:r>
      <w:r>
        <w:rPr>
          <w:spacing w:val="23"/>
        </w:rPr>
        <w:t> </w:t>
      </w:r>
      <w:r>
        <w:rPr/>
        <w:t>the</w:t>
      </w:r>
      <w:r>
        <w:rPr>
          <w:spacing w:val="23"/>
        </w:rPr>
        <w:t> </w:t>
      </w:r>
      <w:r>
        <w:rPr/>
        <w:t>Pacific</w:t>
      </w:r>
      <w:r>
        <w:rPr>
          <w:spacing w:val="22"/>
        </w:rPr>
        <w:t> </w:t>
      </w:r>
      <w:r>
        <w:rPr/>
        <w:t>Northwest</w:t>
      </w:r>
      <w:r>
        <w:rPr>
          <w:spacing w:val="22"/>
        </w:rPr>
        <w:t> </w:t>
      </w:r>
      <w:r>
        <w:rPr/>
        <w:t>region</w:t>
      </w:r>
      <w:r>
        <w:rPr>
          <w:spacing w:val="23"/>
        </w:rPr>
        <w:t> </w:t>
      </w:r>
      <w:r>
        <w:rPr/>
        <w:t>of</w:t>
      </w:r>
      <w:r>
        <w:rPr>
          <w:spacing w:val="22"/>
        </w:rPr>
        <w:t> </w:t>
      </w:r>
      <w:r>
        <w:rPr/>
        <w:t>the</w:t>
      </w:r>
      <w:r>
        <w:rPr>
          <w:spacing w:val="23"/>
        </w:rPr>
        <w:t> </w:t>
      </w:r>
      <w:r>
        <w:rPr/>
        <w:t>United</w:t>
      </w:r>
    </w:p>
    <w:p>
      <w:pPr>
        <w:spacing w:after="0" w:line="480" w:lineRule="auto"/>
        <w:jc w:val="both"/>
        <w:sectPr>
          <w:pgSz w:w="12240" w:h="15840"/>
          <w:pgMar w:header="0" w:footer="1064" w:top="1380" w:bottom="1260" w:left="1720" w:right="1320"/>
        </w:sectPr>
      </w:pPr>
    </w:p>
    <w:p>
      <w:pPr>
        <w:pStyle w:val="BodyText"/>
        <w:spacing w:line="480" w:lineRule="auto" w:before="78"/>
        <w:ind w:left="439" w:right="117"/>
        <w:jc w:val="both"/>
      </w:pPr>
      <w:r>
        <w:rPr>
          <w:spacing w:val="-1"/>
        </w:rPr>
        <w:t>States.</w:t>
      </w:r>
      <w:r>
        <w:rPr>
          <w:spacing w:val="33"/>
        </w:rPr>
        <w:t> </w:t>
      </w:r>
      <w:r>
        <w:rPr>
          <w:spacing w:val="-1"/>
        </w:rPr>
        <w:t>The</w:t>
      </w:r>
      <w:r>
        <w:rPr>
          <w:spacing w:val="-15"/>
        </w:rPr>
        <w:t> </w:t>
      </w:r>
      <w:r>
        <w:rPr>
          <w:spacing w:val="-1"/>
        </w:rPr>
        <w:t>interest</w:t>
      </w:r>
      <w:r>
        <w:rPr>
          <w:spacing w:val="-12"/>
        </w:rPr>
        <w:t> </w:t>
      </w:r>
      <w:r>
        <w:rPr>
          <w:spacing w:val="-1"/>
        </w:rPr>
        <w:t>was</w:t>
      </w:r>
      <w:r>
        <w:rPr>
          <w:spacing w:val="-16"/>
        </w:rPr>
        <w:t> </w:t>
      </w:r>
      <w:r>
        <w:rPr>
          <w:spacing w:val="-1"/>
        </w:rPr>
        <w:t>motivated</w:t>
      </w:r>
      <w:r>
        <w:rPr>
          <w:spacing w:val="-14"/>
        </w:rPr>
        <w:t> </w:t>
      </w:r>
      <w:r>
        <w:rPr/>
        <w:t>by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inherent</w:t>
      </w:r>
      <w:r>
        <w:rPr>
          <w:spacing w:val="-13"/>
        </w:rPr>
        <w:t> </w:t>
      </w:r>
      <w:r>
        <w:rPr/>
        <w:t>strengths</w:t>
      </w:r>
      <w:r>
        <w:rPr>
          <w:spacing w:val="-12"/>
        </w:rPr>
        <w:t> </w:t>
      </w:r>
      <w:r>
        <w:rPr/>
        <w:t>of</w:t>
      </w:r>
      <w:r>
        <w:rPr>
          <w:spacing w:val="-14"/>
        </w:rPr>
        <w:t> </w:t>
      </w:r>
      <w:r>
        <w:rPr/>
        <w:t>wood,</w:t>
      </w:r>
      <w:r>
        <w:rPr>
          <w:spacing w:val="-13"/>
        </w:rPr>
        <w:t> </w:t>
      </w:r>
      <w:r>
        <w:rPr/>
        <w:t>a</w:t>
      </w:r>
      <w:r>
        <w:rPr>
          <w:spacing w:val="-13"/>
        </w:rPr>
        <w:t> </w:t>
      </w:r>
      <w:r>
        <w:rPr/>
        <w:t>renewable</w:t>
      </w:r>
      <w:r>
        <w:rPr>
          <w:spacing w:val="-12"/>
        </w:rPr>
        <w:t> </w:t>
      </w:r>
      <w:r>
        <w:rPr/>
        <w:t>resource.</w:t>
      </w:r>
      <w:r>
        <w:rPr>
          <w:spacing w:val="-58"/>
        </w:rPr>
        <w:t> </w:t>
      </w:r>
      <w:r>
        <w:rPr/>
        <w:t>By strategically manufacturing a building product to optimize those strengths in a layered</w:t>
      </w:r>
      <w:r>
        <w:rPr>
          <w:spacing w:val="-57"/>
        </w:rPr>
        <w:t> </w:t>
      </w:r>
      <w:r>
        <w:rPr/>
        <w:t>composite, the industry is investing that CLT has the potential to be a revolutionary</w:t>
      </w:r>
      <w:r>
        <w:rPr>
          <w:spacing w:val="1"/>
        </w:rPr>
        <w:t> </w:t>
      </w:r>
      <w:r>
        <w:rPr/>
        <w:t>construction</w:t>
      </w:r>
      <w:r>
        <w:rPr>
          <w:spacing w:val="-1"/>
        </w:rPr>
        <w:t> </w:t>
      </w:r>
      <w:r>
        <w:rPr/>
        <w:t>material.</w:t>
      </w:r>
    </w:p>
    <w:p>
      <w:pPr>
        <w:pStyle w:val="BodyText"/>
        <w:spacing w:line="480" w:lineRule="auto" w:before="159"/>
        <w:ind w:left="439" w:right="117" w:firstLine="720"/>
        <w:jc w:val="both"/>
      </w:pPr>
      <w:r>
        <w:rPr/>
        <w:t>Industry</w:t>
      </w:r>
      <w:r>
        <w:rPr>
          <w:spacing w:val="-5"/>
        </w:rPr>
        <w:t> </w:t>
      </w:r>
      <w:r>
        <w:rPr/>
        <w:t>interest</w:t>
      </w:r>
      <w:r>
        <w:rPr>
          <w:spacing w:val="-5"/>
        </w:rPr>
        <w:t> </w:t>
      </w:r>
      <w:r>
        <w:rPr/>
        <w:t>in</w:t>
      </w:r>
      <w:r>
        <w:rPr>
          <w:spacing w:val="-4"/>
        </w:rPr>
        <w:t> </w:t>
      </w:r>
      <w:r>
        <w:rPr/>
        <w:t>CLT</w:t>
      </w:r>
      <w:r>
        <w:rPr>
          <w:spacing w:val="-4"/>
        </w:rPr>
        <w:t> </w:t>
      </w:r>
      <w:r>
        <w:rPr/>
        <w:t>has</w:t>
      </w:r>
      <w:r>
        <w:rPr>
          <w:spacing w:val="-4"/>
        </w:rPr>
        <w:t> </w:t>
      </w:r>
      <w:r>
        <w:rPr/>
        <w:t>led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incorporation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technology</w:t>
      </w:r>
      <w:r>
        <w:rPr>
          <w:spacing w:val="-3"/>
        </w:rPr>
        <w:t> </w:t>
      </w:r>
      <w:r>
        <w:rPr/>
        <w:t>into</w:t>
      </w:r>
      <w:r>
        <w:rPr>
          <w:spacing w:val="-5"/>
        </w:rPr>
        <w:t> </w:t>
      </w:r>
      <w:r>
        <w:rPr/>
        <w:t>various</w:t>
      </w:r>
      <w:r>
        <w:rPr>
          <w:spacing w:val="-58"/>
        </w:rPr>
        <w:t> </w:t>
      </w:r>
      <w:r>
        <w:rPr/>
        <w:t>guidelines and regulations.</w:t>
      </w:r>
      <w:r>
        <w:rPr>
          <w:spacing w:val="1"/>
        </w:rPr>
        <w:t> </w:t>
      </w:r>
      <w:r>
        <w:rPr/>
        <w:t>In 2011, FPInnovations, a non-profit organization focused on</w:t>
      </w:r>
      <w:r>
        <w:rPr>
          <w:spacing w:val="-57"/>
        </w:rPr>
        <w:t> </w:t>
      </w:r>
      <w:r>
        <w:rPr/>
        <w:t>research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technology</w:t>
      </w:r>
      <w:r>
        <w:rPr>
          <w:spacing w:val="-7"/>
        </w:rPr>
        <w:t> </w:t>
      </w:r>
      <w:r>
        <w:rPr/>
        <w:t>for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Canadian</w:t>
      </w:r>
      <w:r>
        <w:rPr>
          <w:spacing w:val="-5"/>
        </w:rPr>
        <w:t> </w:t>
      </w:r>
      <w:r>
        <w:rPr/>
        <w:t>forestry</w:t>
      </w:r>
      <w:r>
        <w:rPr>
          <w:spacing w:val="-6"/>
        </w:rPr>
        <w:t> </w:t>
      </w:r>
      <w:r>
        <w:rPr/>
        <w:t>industry</w:t>
      </w:r>
      <w:r>
        <w:rPr>
          <w:spacing w:val="-6"/>
        </w:rPr>
        <w:t> </w:t>
      </w:r>
      <w:r>
        <w:rPr/>
        <w:t>published</w:t>
      </w:r>
      <w:r>
        <w:rPr>
          <w:spacing w:val="-6"/>
        </w:rPr>
        <w:t> </w:t>
      </w:r>
      <w:r>
        <w:rPr/>
        <w:t>the</w:t>
      </w:r>
      <w:r>
        <w:rPr>
          <w:spacing w:val="-8"/>
        </w:rPr>
        <w:t> </w:t>
      </w:r>
      <w:r>
        <w:rPr/>
        <w:t>Canadian</w:t>
      </w:r>
      <w:r>
        <w:rPr>
          <w:spacing w:val="-5"/>
        </w:rPr>
        <w:t> </w:t>
      </w:r>
      <w:r>
        <w:rPr/>
        <w:t>edition</w:t>
      </w:r>
      <w:r>
        <w:rPr>
          <w:spacing w:val="-58"/>
        </w:rPr>
        <w:t> </w:t>
      </w:r>
      <w:r>
        <w:rPr/>
        <w:t>of the </w:t>
      </w:r>
      <w:r>
        <w:rPr>
          <w:i/>
        </w:rPr>
        <w:t>CLT Handbook </w:t>
      </w:r>
      <w:r>
        <w:rPr/>
        <w:t>to aid in design and construction with CLT before the material was</w:t>
      </w:r>
      <w:r>
        <w:rPr>
          <w:spacing w:val="-57"/>
        </w:rPr>
        <w:t> </w:t>
      </w:r>
      <w:r>
        <w:rPr/>
        <w:t>incorporated</w:t>
      </w:r>
      <w:r>
        <w:rPr>
          <w:spacing w:val="-14"/>
        </w:rPr>
        <w:t> </w:t>
      </w:r>
      <w:r>
        <w:rPr/>
        <w:t>into</w:t>
      </w:r>
      <w:r>
        <w:rPr>
          <w:spacing w:val="-13"/>
        </w:rPr>
        <w:t> </w:t>
      </w:r>
      <w:r>
        <w:rPr/>
        <w:t>building</w:t>
      </w:r>
      <w:r>
        <w:rPr>
          <w:spacing w:val="-12"/>
        </w:rPr>
        <w:t> </w:t>
      </w:r>
      <w:r>
        <w:rPr/>
        <w:t>codes</w:t>
      </w:r>
      <w:r>
        <w:rPr>
          <w:spacing w:val="-13"/>
        </w:rPr>
        <w:t> </w:t>
      </w:r>
      <w:r>
        <w:rPr/>
        <w:t>[68].</w:t>
      </w:r>
      <w:r>
        <w:rPr>
          <w:spacing w:val="35"/>
        </w:rPr>
        <w:t> </w:t>
      </w:r>
      <w:r>
        <w:rPr/>
        <w:t>The</w:t>
      </w:r>
      <w:r>
        <w:rPr>
          <w:spacing w:val="-13"/>
        </w:rPr>
        <w:t> </w:t>
      </w:r>
      <w:r>
        <w:rPr/>
        <w:t>U.S.</w:t>
      </w:r>
      <w:r>
        <w:rPr>
          <w:spacing w:val="-12"/>
        </w:rPr>
        <w:t> </w:t>
      </w:r>
      <w:r>
        <w:rPr/>
        <w:t>Forest</w:t>
      </w:r>
      <w:r>
        <w:rPr>
          <w:spacing w:val="-13"/>
        </w:rPr>
        <w:t> </w:t>
      </w:r>
      <w:r>
        <w:rPr/>
        <w:t>Products</w:t>
      </w:r>
      <w:r>
        <w:rPr>
          <w:spacing w:val="-13"/>
        </w:rPr>
        <w:t> </w:t>
      </w:r>
      <w:r>
        <w:rPr/>
        <w:t>Laboratory,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Binational</w:t>
      </w:r>
      <w:r>
        <w:rPr>
          <w:spacing w:val="-58"/>
        </w:rPr>
        <w:t> </w:t>
      </w:r>
      <w:r>
        <w:rPr/>
        <w:t>Softwood Lumber Council, and several forest industry groups like the American Wood</w:t>
      </w:r>
      <w:r>
        <w:rPr>
          <w:spacing w:val="1"/>
        </w:rPr>
        <w:t> </w:t>
      </w:r>
      <w:r>
        <w:rPr/>
        <w:t>Council and the Wood Products Council combined efforts to publish the U.S. version in</w:t>
      </w:r>
      <w:r>
        <w:rPr>
          <w:spacing w:val="1"/>
        </w:rPr>
        <w:t> </w:t>
      </w:r>
      <w:r>
        <w:rPr/>
        <w:t>2013.</w:t>
      </w:r>
      <w:r>
        <w:rPr>
          <w:spacing w:val="1"/>
        </w:rPr>
        <w:t> </w:t>
      </w:r>
      <w:r>
        <w:rPr/>
        <w:t>The premise of these handbooks is to provide a comprehensive resource on the</w:t>
      </w:r>
      <w:r>
        <w:rPr>
          <w:spacing w:val="1"/>
        </w:rPr>
        <w:t> </w:t>
      </w:r>
      <w:r>
        <w:rPr/>
        <w:t>manufacture, design, and performance of CLT for use in construction as a starting point</w:t>
      </w:r>
      <w:r>
        <w:rPr>
          <w:spacing w:val="1"/>
        </w:rPr>
        <w:t> </w:t>
      </w:r>
      <w:r>
        <w:rPr/>
        <w:t>until</w:t>
      </w:r>
      <w:r>
        <w:rPr>
          <w:spacing w:val="-14"/>
        </w:rPr>
        <w:t> </w:t>
      </w:r>
      <w:r>
        <w:rPr/>
        <w:t>the</w:t>
      </w:r>
      <w:r>
        <w:rPr>
          <w:spacing w:val="-12"/>
        </w:rPr>
        <w:t> </w:t>
      </w:r>
      <w:r>
        <w:rPr/>
        <w:t>new</w:t>
      </w:r>
      <w:r>
        <w:rPr>
          <w:spacing w:val="-12"/>
        </w:rPr>
        <w:t> </w:t>
      </w:r>
      <w:r>
        <w:rPr/>
        <w:t>material</w:t>
      </w:r>
      <w:r>
        <w:rPr>
          <w:spacing w:val="-12"/>
        </w:rPr>
        <w:t> </w:t>
      </w:r>
      <w:r>
        <w:rPr/>
        <w:t>can</w:t>
      </w:r>
      <w:r>
        <w:rPr>
          <w:spacing w:val="-13"/>
        </w:rPr>
        <w:t> </w:t>
      </w:r>
      <w:r>
        <w:rPr/>
        <w:t>become</w:t>
      </w:r>
      <w:r>
        <w:rPr>
          <w:spacing w:val="-12"/>
        </w:rPr>
        <w:t> </w:t>
      </w:r>
      <w:r>
        <w:rPr/>
        <w:t>fully</w:t>
      </w:r>
      <w:r>
        <w:rPr>
          <w:spacing w:val="-13"/>
        </w:rPr>
        <w:t> </w:t>
      </w:r>
      <w:r>
        <w:rPr/>
        <w:t>incorporated</w:t>
      </w:r>
      <w:r>
        <w:rPr>
          <w:spacing w:val="-13"/>
        </w:rPr>
        <w:t> </w:t>
      </w:r>
      <w:r>
        <w:rPr/>
        <w:t>into</w:t>
      </w:r>
      <w:r>
        <w:rPr>
          <w:spacing w:val="-14"/>
        </w:rPr>
        <w:t> </w:t>
      </w:r>
      <w:r>
        <w:rPr/>
        <w:t>standards</w:t>
      </w:r>
      <w:r>
        <w:rPr>
          <w:spacing w:val="-12"/>
        </w:rPr>
        <w:t> </w:t>
      </w:r>
      <w:r>
        <w:rPr/>
        <w:t>and</w:t>
      </w:r>
      <w:r>
        <w:rPr>
          <w:spacing w:val="-13"/>
        </w:rPr>
        <w:t> </w:t>
      </w:r>
      <w:r>
        <w:rPr/>
        <w:t>building</w:t>
      </w:r>
      <w:r>
        <w:rPr>
          <w:spacing w:val="-13"/>
        </w:rPr>
        <w:t> </w:t>
      </w:r>
      <w:r>
        <w:rPr/>
        <w:t>code</w:t>
      </w:r>
      <w:r>
        <w:rPr>
          <w:spacing w:val="-13"/>
        </w:rPr>
        <w:t> </w:t>
      </w:r>
      <w:r>
        <w:rPr/>
        <w:t>[68].</w:t>
      </w:r>
    </w:p>
    <w:p>
      <w:pPr>
        <w:pStyle w:val="BodyText"/>
        <w:spacing w:line="480" w:lineRule="auto" w:before="160"/>
        <w:ind w:left="439" w:right="117" w:firstLine="720"/>
        <w:jc w:val="both"/>
      </w:pPr>
      <w:r>
        <w:rPr/>
        <w:t>In</w:t>
      </w:r>
      <w:r>
        <w:rPr>
          <w:spacing w:val="1"/>
        </w:rPr>
        <w:t> </w:t>
      </w:r>
      <w:r>
        <w:rPr/>
        <w:t>December</w:t>
      </w:r>
      <w:r>
        <w:rPr>
          <w:spacing w:val="1"/>
        </w:rPr>
        <w:t> </w:t>
      </w:r>
      <w:r>
        <w:rPr/>
        <w:t>2011,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American</w:t>
      </w:r>
      <w:r>
        <w:rPr>
          <w:spacing w:val="1"/>
        </w:rPr>
        <w:t> </w:t>
      </w:r>
      <w:r>
        <w:rPr/>
        <w:t>National</w:t>
      </w:r>
      <w:r>
        <w:rPr>
          <w:spacing w:val="1"/>
        </w:rPr>
        <w:t> </w:t>
      </w:r>
      <w:r>
        <w:rPr/>
        <w:t>Standards</w:t>
      </w:r>
      <w:r>
        <w:rPr>
          <w:spacing w:val="1"/>
        </w:rPr>
        <w:t> </w:t>
      </w:r>
      <w:r>
        <w:rPr/>
        <w:t>Institute</w:t>
      </w:r>
      <w:r>
        <w:rPr>
          <w:spacing w:val="1"/>
        </w:rPr>
        <w:t> </w:t>
      </w:r>
      <w:r>
        <w:rPr/>
        <w:t>(ANSI)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Engineered Wood Association (APA) published </w:t>
      </w:r>
      <w:r>
        <w:rPr>
          <w:i/>
        </w:rPr>
        <w:t>Standard for Performance-Rated Cross</w:t>
      </w:r>
      <w:r>
        <w:rPr>
          <w:i/>
          <w:spacing w:val="1"/>
        </w:rPr>
        <w:t> </w:t>
      </w:r>
      <w:r>
        <w:rPr>
          <w:i/>
        </w:rPr>
        <w:t>Laminated</w:t>
      </w:r>
      <w:r>
        <w:rPr>
          <w:i/>
          <w:spacing w:val="-5"/>
        </w:rPr>
        <w:t> </w:t>
      </w:r>
      <w:r>
        <w:rPr>
          <w:i/>
        </w:rPr>
        <w:t>Timber</w:t>
      </w:r>
      <w:r>
        <w:rPr>
          <w:i/>
          <w:spacing w:val="-3"/>
        </w:rPr>
        <w:t> </w:t>
      </w:r>
      <w:r>
        <w:rPr/>
        <w:t>(PRG</w:t>
      </w:r>
      <w:r>
        <w:rPr>
          <w:spacing w:val="-5"/>
        </w:rPr>
        <w:t> </w:t>
      </w:r>
      <w:r>
        <w:rPr/>
        <w:t>320).</w:t>
      </w:r>
      <w:r>
        <w:rPr>
          <w:spacing w:val="-4"/>
        </w:rPr>
        <w:t> </w:t>
      </w:r>
      <w:r>
        <w:rPr/>
        <w:t>Most</w:t>
      </w:r>
      <w:r>
        <w:rPr>
          <w:spacing w:val="-4"/>
        </w:rPr>
        <w:t> </w:t>
      </w:r>
      <w:r>
        <w:rPr/>
        <w:t>recently,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2015</w:t>
      </w:r>
      <w:r>
        <w:rPr>
          <w:spacing w:val="-4"/>
        </w:rPr>
        <w:t> </w:t>
      </w:r>
      <w:r>
        <w:rPr/>
        <w:t>International</w:t>
      </w:r>
      <w:r>
        <w:rPr>
          <w:spacing w:val="-3"/>
        </w:rPr>
        <w:t> </w:t>
      </w:r>
      <w:r>
        <w:rPr/>
        <w:t>Building</w:t>
      </w:r>
      <w:r>
        <w:rPr>
          <w:spacing w:val="-5"/>
        </w:rPr>
        <w:t> </w:t>
      </w:r>
      <w:r>
        <w:rPr/>
        <w:t>Code</w:t>
      </w:r>
      <w:r>
        <w:rPr>
          <w:spacing w:val="-3"/>
        </w:rPr>
        <w:t> </w:t>
      </w:r>
      <w:r>
        <w:rPr/>
        <w:t>(IBC)</w:t>
      </w:r>
      <w:r>
        <w:rPr>
          <w:spacing w:val="-57"/>
        </w:rPr>
        <w:t> </w:t>
      </w:r>
      <w:r>
        <w:rPr/>
        <w:t>incorporated CLT in exterior walls and CLT floors.</w:t>
      </w:r>
      <w:r>
        <w:rPr>
          <w:spacing w:val="1"/>
        </w:rPr>
        <w:t> </w:t>
      </w:r>
      <w:r>
        <w:rPr/>
        <w:t>Additionally, the 2015 Edition of the</w:t>
      </w:r>
      <w:r>
        <w:rPr>
          <w:spacing w:val="-57"/>
        </w:rPr>
        <w:t> </w:t>
      </w:r>
      <w:r>
        <w:rPr>
          <w:i/>
        </w:rPr>
        <w:t>National Design Specification for Wood Construction (NDS) </w:t>
      </w:r>
      <w:r>
        <w:rPr/>
        <w:t>includes design provisions</w:t>
      </w:r>
      <w:r>
        <w:rPr>
          <w:spacing w:val="1"/>
        </w:rPr>
        <w:t> </w:t>
      </w:r>
      <w:r>
        <w:rPr/>
        <w:t>for</w:t>
      </w:r>
      <w:r>
        <w:rPr>
          <w:spacing w:val="-9"/>
        </w:rPr>
        <w:t> </w:t>
      </w:r>
      <w:r>
        <w:rPr/>
        <w:t>CLT,</w:t>
      </w:r>
      <w:r>
        <w:rPr>
          <w:spacing w:val="-7"/>
        </w:rPr>
        <w:t> </w:t>
      </w:r>
      <w:r>
        <w:rPr/>
        <w:t>with</w:t>
      </w:r>
      <w:r>
        <w:rPr>
          <w:spacing w:val="-10"/>
        </w:rPr>
        <w:t> </w:t>
      </w:r>
      <w:r>
        <w:rPr/>
        <w:t>a</w:t>
      </w:r>
      <w:r>
        <w:rPr>
          <w:spacing w:val="-8"/>
        </w:rPr>
        <w:t> </w:t>
      </w:r>
      <w:r>
        <w:rPr/>
        <w:t>chapter</w:t>
      </w:r>
      <w:r>
        <w:rPr>
          <w:spacing w:val="-8"/>
        </w:rPr>
        <w:t> </w:t>
      </w:r>
      <w:r>
        <w:rPr/>
        <w:t>specifically</w:t>
      </w:r>
      <w:r>
        <w:rPr>
          <w:spacing w:val="-10"/>
        </w:rPr>
        <w:t> </w:t>
      </w:r>
      <w:r>
        <w:rPr/>
        <w:t>addressing</w:t>
      </w:r>
      <w:r>
        <w:rPr>
          <w:spacing w:val="-9"/>
        </w:rPr>
        <w:t> </w:t>
      </w:r>
      <w:r>
        <w:rPr/>
        <w:t>CLT</w:t>
      </w:r>
      <w:r>
        <w:rPr>
          <w:spacing w:val="-9"/>
        </w:rPr>
        <w:t> </w:t>
      </w:r>
      <w:r>
        <w:rPr/>
        <w:t>and</w:t>
      </w:r>
      <w:r>
        <w:rPr>
          <w:spacing w:val="-10"/>
        </w:rPr>
        <w:t> </w:t>
      </w:r>
      <w:r>
        <w:rPr/>
        <w:t>new</w:t>
      </w:r>
      <w:r>
        <w:rPr>
          <w:spacing w:val="-8"/>
        </w:rPr>
        <w:t> </w:t>
      </w:r>
      <w:r>
        <w:rPr/>
        <w:t>sections</w:t>
      </w:r>
      <w:r>
        <w:rPr>
          <w:spacing w:val="-8"/>
        </w:rPr>
        <w:t> </w:t>
      </w:r>
      <w:r>
        <w:rPr/>
        <w:t>on</w:t>
      </w:r>
      <w:r>
        <w:rPr>
          <w:spacing w:val="-10"/>
        </w:rPr>
        <w:t> </w:t>
      </w:r>
      <w:r>
        <w:rPr/>
        <w:t>connections</w:t>
      </w:r>
      <w:r>
        <w:rPr>
          <w:spacing w:val="-8"/>
        </w:rPr>
        <w:t> </w:t>
      </w:r>
      <w:r>
        <w:rPr/>
        <w:t>with</w:t>
      </w:r>
      <w:r>
        <w:rPr>
          <w:spacing w:val="-58"/>
        </w:rPr>
        <w:t> </w:t>
      </w:r>
      <w:r>
        <w:rPr/>
        <w:t>CLT [102].</w:t>
      </w:r>
      <w:r>
        <w:rPr>
          <w:spacing w:val="1"/>
        </w:rPr>
        <w:t> </w:t>
      </w:r>
      <w:r>
        <w:rPr/>
        <w:t>In the United States, the Department of Agriculture (USDA) has worked</w:t>
      </w:r>
      <w:r>
        <w:rPr>
          <w:spacing w:val="1"/>
        </w:rPr>
        <w:t> </w:t>
      </w:r>
      <w:r>
        <w:rPr/>
        <w:t>towards</w:t>
      </w:r>
      <w:r>
        <w:rPr>
          <w:spacing w:val="35"/>
        </w:rPr>
        <w:t> </w:t>
      </w:r>
      <w:r>
        <w:rPr/>
        <w:t>promoting</w:t>
      </w:r>
      <w:r>
        <w:rPr>
          <w:spacing w:val="35"/>
        </w:rPr>
        <w:t> </w:t>
      </w:r>
      <w:r>
        <w:rPr/>
        <w:t>the</w:t>
      </w:r>
      <w:r>
        <w:rPr>
          <w:spacing w:val="34"/>
        </w:rPr>
        <w:t> </w:t>
      </w:r>
      <w:r>
        <w:rPr/>
        <w:t>study</w:t>
      </w:r>
      <w:r>
        <w:rPr>
          <w:spacing w:val="35"/>
        </w:rPr>
        <w:t> </w:t>
      </w:r>
      <w:r>
        <w:rPr/>
        <w:t>and</w:t>
      </w:r>
      <w:r>
        <w:rPr>
          <w:spacing w:val="35"/>
        </w:rPr>
        <w:t> </w:t>
      </w:r>
      <w:r>
        <w:rPr/>
        <w:t>use</w:t>
      </w:r>
      <w:r>
        <w:rPr>
          <w:spacing w:val="35"/>
        </w:rPr>
        <w:t> </w:t>
      </w:r>
      <w:r>
        <w:rPr/>
        <w:t>of</w:t>
      </w:r>
      <w:r>
        <w:rPr>
          <w:spacing w:val="34"/>
        </w:rPr>
        <w:t> </w:t>
      </w:r>
      <w:r>
        <w:rPr/>
        <w:t>CLT</w:t>
      </w:r>
      <w:r>
        <w:rPr>
          <w:spacing w:val="36"/>
        </w:rPr>
        <w:t> </w:t>
      </w:r>
      <w:r>
        <w:rPr/>
        <w:t>for</w:t>
      </w:r>
      <w:r>
        <w:rPr>
          <w:spacing w:val="35"/>
        </w:rPr>
        <w:t> </w:t>
      </w:r>
      <w:r>
        <w:rPr/>
        <w:t>construction</w:t>
      </w:r>
      <w:r>
        <w:rPr>
          <w:spacing w:val="35"/>
        </w:rPr>
        <w:t> </w:t>
      </w:r>
      <w:r>
        <w:rPr/>
        <w:t>through</w:t>
      </w:r>
      <w:r>
        <w:rPr>
          <w:spacing w:val="33"/>
        </w:rPr>
        <w:t> </w:t>
      </w:r>
      <w:r>
        <w:rPr/>
        <w:t>various</w:t>
      </w:r>
      <w:r>
        <w:rPr>
          <w:spacing w:val="35"/>
        </w:rPr>
        <w:t> </w:t>
      </w:r>
      <w:r>
        <w:rPr/>
        <w:t>means,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320"/>
        </w:sectPr>
      </w:pPr>
    </w:p>
    <w:p>
      <w:pPr>
        <w:pStyle w:val="BodyText"/>
        <w:spacing w:line="480" w:lineRule="auto" w:before="78"/>
        <w:ind w:left="440" w:right="117"/>
        <w:jc w:val="both"/>
      </w:pPr>
      <w:r>
        <w:rPr/>
        <w:t>including</w:t>
      </w:r>
      <w:r>
        <w:rPr>
          <w:spacing w:val="-14"/>
        </w:rPr>
        <w:t> </w:t>
      </w:r>
      <w:r>
        <w:rPr/>
        <w:t>the</w:t>
      </w:r>
      <w:r>
        <w:rPr>
          <w:spacing w:val="-13"/>
        </w:rPr>
        <w:t> </w:t>
      </w:r>
      <w:r>
        <w:rPr/>
        <w:t>Tall</w:t>
      </w:r>
      <w:r>
        <w:rPr>
          <w:spacing w:val="-13"/>
        </w:rPr>
        <w:t> </w:t>
      </w:r>
      <w:r>
        <w:rPr/>
        <w:t>Wood</w:t>
      </w:r>
      <w:r>
        <w:rPr>
          <w:spacing w:val="-12"/>
        </w:rPr>
        <w:t> </w:t>
      </w:r>
      <w:r>
        <w:rPr/>
        <w:t>Building</w:t>
      </w:r>
      <w:r>
        <w:rPr>
          <w:spacing w:val="-14"/>
        </w:rPr>
        <w:t> </w:t>
      </w:r>
      <w:r>
        <w:rPr/>
        <w:t>Prize</w:t>
      </w:r>
      <w:r>
        <w:rPr>
          <w:spacing w:val="-13"/>
        </w:rPr>
        <w:t> </w:t>
      </w:r>
      <w:r>
        <w:rPr/>
        <w:t>Competition</w:t>
      </w:r>
      <w:r>
        <w:rPr>
          <w:spacing w:val="-13"/>
        </w:rPr>
        <w:t> </w:t>
      </w:r>
      <w:r>
        <w:rPr/>
        <w:t>held</w:t>
      </w:r>
      <w:r>
        <w:rPr>
          <w:spacing w:val="-13"/>
        </w:rPr>
        <w:t> </w:t>
      </w:r>
      <w:r>
        <w:rPr/>
        <w:t>in</w:t>
      </w:r>
      <w:r>
        <w:rPr>
          <w:spacing w:val="-13"/>
        </w:rPr>
        <w:t> </w:t>
      </w:r>
      <w:r>
        <w:rPr/>
        <w:t>2014-2015</w:t>
      </w:r>
      <w:r>
        <w:rPr>
          <w:spacing w:val="-14"/>
        </w:rPr>
        <w:t> </w:t>
      </w:r>
      <w:r>
        <w:rPr/>
        <w:t>and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U.S.</w:t>
      </w:r>
      <w:r>
        <w:rPr>
          <w:spacing w:val="-13"/>
        </w:rPr>
        <w:t> </w:t>
      </w:r>
      <w:r>
        <w:rPr/>
        <w:t>Forest</w:t>
      </w:r>
      <w:r>
        <w:rPr>
          <w:spacing w:val="-58"/>
        </w:rPr>
        <w:t> </w:t>
      </w:r>
      <w:r>
        <w:rPr/>
        <w:t>Service</w:t>
      </w:r>
      <w:r>
        <w:rPr>
          <w:spacing w:val="-1"/>
        </w:rPr>
        <w:t> </w:t>
      </w:r>
      <w:r>
        <w:rPr/>
        <w:t>Wood Innovation grants starting in 2015.</w:t>
      </w:r>
    </w:p>
    <w:p>
      <w:pPr>
        <w:pStyle w:val="BodyText"/>
        <w:spacing w:line="480" w:lineRule="auto" w:before="159"/>
        <w:ind w:left="440" w:right="117" w:firstLine="720"/>
        <w:jc w:val="both"/>
      </w:pPr>
      <w:r>
        <w:rPr/>
        <w:t>Outside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U.S.,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quest</w:t>
      </w:r>
      <w:r>
        <w:rPr>
          <w:spacing w:val="-8"/>
        </w:rPr>
        <w:t> </w:t>
      </w:r>
      <w:r>
        <w:rPr/>
        <w:t>for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tallest</w:t>
      </w:r>
      <w:r>
        <w:rPr>
          <w:spacing w:val="-8"/>
        </w:rPr>
        <w:t> </w:t>
      </w:r>
      <w:r>
        <w:rPr/>
        <w:t>CLT</w:t>
      </w:r>
      <w:r>
        <w:rPr>
          <w:spacing w:val="-10"/>
        </w:rPr>
        <w:t> </w:t>
      </w:r>
      <w:r>
        <w:rPr/>
        <w:t>building</w:t>
      </w:r>
      <w:r>
        <w:rPr>
          <w:spacing w:val="-10"/>
        </w:rPr>
        <w:t> </w:t>
      </w:r>
      <w:r>
        <w:rPr/>
        <w:t>continues.</w:t>
      </w:r>
      <w:r>
        <w:rPr>
          <w:spacing w:val="-10"/>
        </w:rPr>
        <w:t> </w:t>
      </w:r>
      <w:r>
        <w:rPr/>
        <w:t>Structures</w:t>
      </w:r>
      <w:r>
        <w:rPr>
          <w:spacing w:val="-10"/>
        </w:rPr>
        <w:t> </w:t>
      </w:r>
      <w:r>
        <w:rPr/>
        <w:t>like</w:t>
      </w:r>
      <w:r>
        <w:rPr>
          <w:spacing w:val="-58"/>
        </w:rPr>
        <w:t> </w:t>
      </w:r>
      <w:r>
        <w:rPr/>
        <w:t>the nine-story, multi-family residential building of Stadthaus in London, United Kingdom</w:t>
      </w:r>
      <w:r>
        <w:rPr>
          <w:spacing w:val="-57"/>
        </w:rPr>
        <w:t> </w:t>
      </w:r>
      <w:r>
        <w:rPr/>
        <w:t>in 2009 staked one of the first claims. It was followed by the ten-story apartment building</w:t>
      </w:r>
      <w:r>
        <w:rPr>
          <w:spacing w:val="-57"/>
        </w:rPr>
        <w:t> </w:t>
      </w:r>
      <w:r>
        <w:rPr/>
        <w:t>called</w:t>
      </w:r>
      <w:r>
        <w:rPr>
          <w:spacing w:val="1"/>
        </w:rPr>
        <w:t> </w:t>
      </w:r>
      <w:r>
        <w:rPr/>
        <w:t>Forte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Melbourne,</w:t>
      </w:r>
      <w:r>
        <w:rPr>
          <w:spacing w:val="1"/>
        </w:rPr>
        <w:t> </w:t>
      </w:r>
      <w:r>
        <w:rPr/>
        <w:t>Australia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2012.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recently,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18-story,</w:t>
      </w:r>
      <w:r>
        <w:rPr>
          <w:spacing w:val="1"/>
        </w:rPr>
        <w:t> </w:t>
      </w:r>
      <w:r>
        <w:rPr/>
        <w:t>student</w:t>
      </w:r>
      <w:r>
        <w:rPr>
          <w:spacing w:val="-57"/>
        </w:rPr>
        <w:t> </w:t>
      </w:r>
      <w:r>
        <w:rPr/>
        <w:t>dormitory</w:t>
      </w:r>
      <w:r>
        <w:rPr>
          <w:spacing w:val="-12"/>
        </w:rPr>
        <w:t> </w:t>
      </w:r>
      <w:r>
        <w:rPr/>
        <w:t>building</w:t>
      </w:r>
      <w:r>
        <w:rPr>
          <w:spacing w:val="-12"/>
        </w:rPr>
        <w:t> </w:t>
      </w:r>
      <w:r>
        <w:rPr/>
        <w:t>named</w:t>
      </w:r>
      <w:r>
        <w:rPr>
          <w:spacing w:val="-12"/>
        </w:rPr>
        <w:t> </w:t>
      </w:r>
      <w:r>
        <w:rPr/>
        <w:t>Brock</w:t>
      </w:r>
      <w:r>
        <w:rPr>
          <w:spacing w:val="-12"/>
        </w:rPr>
        <w:t> </w:t>
      </w:r>
      <w:r>
        <w:rPr/>
        <w:t>Commons</w:t>
      </w:r>
      <w:r>
        <w:rPr>
          <w:spacing w:val="-12"/>
        </w:rPr>
        <w:t> </w:t>
      </w:r>
      <w:r>
        <w:rPr/>
        <w:t>at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University</w:t>
      </w:r>
      <w:r>
        <w:rPr>
          <w:spacing w:val="-13"/>
        </w:rPr>
        <w:t> </w:t>
      </w:r>
      <w:r>
        <w:rPr/>
        <w:t>of</w:t>
      </w:r>
      <w:r>
        <w:rPr>
          <w:spacing w:val="-13"/>
        </w:rPr>
        <w:t> </w:t>
      </w:r>
      <w:r>
        <w:rPr/>
        <w:t>British</w:t>
      </w:r>
      <w:r>
        <w:rPr>
          <w:spacing w:val="-12"/>
        </w:rPr>
        <w:t> </w:t>
      </w:r>
      <w:r>
        <w:rPr/>
        <w:t>Columbia,</w:t>
      </w:r>
      <w:r>
        <w:rPr>
          <w:spacing w:val="-12"/>
        </w:rPr>
        <w:t> </w:t>
      </w:r>
      <w:r>
        <w:rPr/>
        <w:t>Canada,</w:t>
      </w:r>
      <w:r>
        <w:rPr>
          <w:spacing w:val="-58"/>
        </w:rPr>
        <w:t> </w:t>
      </w:r>
      <w:r>
        <w:rPr/>
        <w:t>was completed in the spring of 2017.</w:t>
      </w:r>
      <w:r>
        <w:rPr>
          <w:spacing w:val="1"/>
        </w:rPr>
        <w:t> </w:t>
      </w:r>
      <w:r>
        <w:rPr/>
        <w:t>While structures like these have shown the viability</w:t>
      </w:r>
      <w:r>
        <w:rPr>
          <w:spacing w:val="-57"/>
        </w:rPr>
        <w:t> </w:t>
      </w:r>
      <w:r>
        <w:rPr/>
        <w:t>of the material for use in high-rise structures, many builders construct low and mid-rise</w:t>
      </w:r>
      <w:r>
        <w:rPr>
          <w:spacing w:val="1"/>
        </w:rPr>
        <w:t> </w:t>
      </w:r>
      <w:r>
        <w:rPr/>
        <w:t>structures with CLT.</w:t>
      </w:r>
      <w:r>
        <w:rPr>
          <w:spacing w:val="1"/>
        </w:rPr>
        <w:t> </w:t>
      </w:r>
      <w:r>
        <w:rPr/>
        <w:t>Mid-rise buildings, with uses from residential to commercial are</w:t>
      </w:r>
      <w:r>
        <w:rPr>
          <w:spacing w:val="1"/>
        </w:rPr>
        <w:t> </w:t>
      </w:r>
      <w:r>
        <w:rPr/>
        <w:t>more common. As more designers, builders and developers learn about the construction</w:t>
      </w:r>
      <w:r>
        <w:rPr>
          <w:spacing w:val="1"/>
        </w:rPr>
        <w:t> </w:t>
      </w:r>
      <w:r>
        <w:rPr/>
        <w:t>material, they become more inclined to test the limits of CLT including use in unique</w:t>
      </w:r>
      <w:r>
        <w:rPr>
          <w:spacing w:val="1"/>
        </w:rPr>
        <w:t> </w:t>
      </w:r>
      <w:r>
        <w:rPr/>
        <w:t>construction</w:t>
      </w:r>
      <w:r>
        <w:rPr>
          <w:spacing w:val="-3"/>
        </w:rPr>
        <w:t> </w:t>
      </w:r>
      <w:r>
        <w:rPr/>
        <w:t>projects such as parking</w:t>
      </w:r>
      <w:r>
        <w:rPr>
          <w:spacing w:val="-2"/>
        </w:rPr>
        <w:t> </w:t>
      </w:r>
      <w:r>
        <w:rPr/>
        <w:t>decks, hotels and</w:t>
      </w:r>
      <w:r>
        <w:rPr>
          <w:spacing w:val="-1"/>
        </w:rPr>
        <w:t> </w:t>
      </w:r>
      <w:r>
        <w:rPr/>
        <w:t>more.</w:t>
      </w:r>
    </w:p>
    <w:p>
      <w:pPr>
        <w:pStyle w:val="ListParagraph"/>
        <w:numPr>
          <w:ilvl w:val="2"/>
          <w:numId w:val="14"/>
        </w:numPr>
        <w:tabs>
          <w:tab w:pos="980" w:val="left" w:leader="none"/>
        </w:tabs>
        <w:spacing w:line="240" w:lineRule="auto" w:before="162" w:after="0"/>
        <w:ind w:left="980" w:right="0" w:hanging="540"/>
        <w:jc w:val="both"/>
        <w:rPr>
          <w:i/>
          <w:sz w:val="24"/>
        </w:rPr>
      </w:pPr>
      <w:bookmarkStart w:name="2.1.2 CLT: What is it?" w:id="35"/>
      <w:bookmarkEnd w:id="35"/>
      <w:r>
        <w:rPr/>
      </w:r>
      <w:bookmarkStart w:name="2.1.2 CLT: What is it?" w:id="36"/>
      <w:bookmarkEnd w:id="36"/>
      <w:r>
        <w:rPr>
          <w:i/>
          <w:sz w:val="24"/>
        </w:rPr>
        <w:t>C</w:t>
      </w:r>
      <w:r>
        <w:rPr>
          <w:i/>
          <w:sz w:val="24"/>
        </w:rPr>
        <w:t>LT: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What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it?</w:t>
      </w:r>
    </w:p>
    <w:p>
      <w:pPr>
        <w:pStyle w:val="BodyText"/>
        <w:spacing w:before="7"/>
        <w:rPr>
          <w:i/>
          <w:sz w:val="22"/>
        </w:rPr>
      </w:pPr>
    </w:p>
    <w:p>
      <w:pPr>
        <w:pStyle w:val="BodyText"/>
        <w:spacing w:line="480" w:lineRule="auto"/>
        <w:ind w:left="440" w:right="116" w:firstLine="720"/>
        <w:jc w:val="both"/>
      </w:pPr>
      <w:r>
        <w:rPr/>
        <w:t>Natural wood is an orthotropic material with a strong and a weak axis. Strength of</w:t>
      </w:r>
      <w:r>
        <w:rPr>
          <w:spacing w:val="-57"/>
        </w:rPr>
        <w:t> </w:t>
      </w:r>
      <w:r>
        <w:rPr/>
        <w:t>wood is highly dependent on the grain direction as well as defects such as knots.</w:t>
      </w:r>
      <w:r>
        <w:rPr>
          <w:spacing w:val="1"/>
        </w:rPr>
        <w:t> </w:t>
      </w:r>
      <w:r>
        <w:rPr/>
        <w:t>Being</w:t>
      </w:r>
      <w:r>
        <w:rPr>
          <w:spacing w:val="1"/>
        </w:rPr>
        <w:t> </w:t>
      </w:r>
      <w:r>
        <w:rPr/>
        <w:t>orthotropic,</w:t>
      </w:r>
      <w:r>
        <w:rPr>
          <w:spacing w:val="-11"/>
        </w:rPr>
        <w:t> </w:t>
      </w:r>
      <w:r>
        <w:rPr/>
        <w:t>wood</w:t>
      </w:r>
      <w:r>
        <w:rPr>
          <w:spacing w:val="-8"/>
        </w:rPr>
        <w:t> </w:t>
      </w:r>
      <w:r>
        <w:rPr/>
        <w:t>has</w:t>
      </w:r>
      <w:r>
        <w:rPr>
          <w:spacing w:val="-8"/>
        </w:rPr>
        <w:t> </w:t>
      </w:r>
      <w:r>
        <w:rPr/>
        <w:t>independent</w:t>
      </w:r>
      <w:r>
        <w:rPr>
          <w:spacing w:val="-7"/>
        </w:rPr>
        <w:t> </w:t>
      </w:r>
      <w:r>
        <w:rPr/>
        <w:t>properties</w:t>
      </w:r>
      <w:r>
        <w:rPr>
          <w:spacing w:val="-9"/>
        </w:rPr>
        <w:t> </w:t>
      </w:r>
      <w:r>
        <w:rPr/>
        <w:t>along</w:t>
      </w:r>
      <w:r>
        <w:rPr>
          <w:spacing w:val="-8"/>
        </w:rPr>
        <w:t> </w:t>
      </w:r>
      <w:r>
        <w:rPr/>
        <w:t>three</w:t>
      </w:r>
      <w:r>
        <w:rPr>
          <w:spacing w:val="-8"/>
        </w:rPr>
        <w:t> </w:t>
      </w:r>
      <w:r>
        <w:rPr/>
        <w:t>perpendicular</w:t>
      </w:r>
      <w:r>
        <w:rPr>
          <w:spacing w:val="-8"/>
        </w:rPr>
        <w:t> </w:t>
      </w:r>
      <w:r>
        <w:rPr/>
        <w:t>axes:</w:t>
      </w:r>
      <w:r>
        <w:rPr>
          <w:spacing w:val="-9"/>
        </w:rPr>
        <w:t> </w:t>
      </w:r>
      <w:r>
        <w:rPr/>
        <w:t>longitudinal,</w:t>
      </w:r>
      <w:r>
        <w:rPr>
          <w:spacing w:val="-58"/>
        </w:rPr>
        <w:t> </w:t>
      </w:r>
      <w:r>
        <w:rPr/>
        <w:t>radial, and tangential.</w:t>
      </w:r>
      <w:r>
        <w:rPr>
          <w:spacing w:val="1"/>
        </w:rPr>
        <w:t> </w:t>
      </w:r>
      <w:r>
        <w:rPr/>
        <w:t>These axes and their orientation with respect to grain direction are</w:t>
      </w:r>
      <w:r>
        <w:rPr>
          <w:spacing w:val="1"/>
        </w:rPr>
        <w:t> </w:t>
      </w:r>
      <w:r>
        <w:rPr/>
        <w:t>shown in </w:t>
      </w:r>
      <w:hyperlink w:history="true" w:anchor="_bookmark1">
        <w:r>
          <w:rPr/>
          <w:t>Figure 2-1 </w:t>
        </w:r>
      </w:hyperlink>
      <w:r>
        <w:rPr/>
        <w:t>[77, 96].</w:t>
      </w:r>
      <w:r>
        <w:rPr>
          <w:spacing w:val="1"/>
        </w:rPr>
        <w:t> </w:t>
      </w:r>
      <w:r>
        <w:rPr/>
        <w:t>Wood properties with respect to each of the axes include</w:t>
      </w:r>
      <w:r>
        <w:rPr>
          <w:spacing w:val="1"/>
        </w:rPr>
        <w:t> </w:t>
      </w:r>
      <w:r>
        <w:rPr/>
        <w:t>different</w:t>
      </w:r>
      <w:r>
        <w:rPr>
          <w:spacing w:val="-12"/>
        </w:rPr>
        <w:t> </w:t>
      </w:r>
      <w:r>
        <w:rPr/>
        <w:t>tensile,</w:t>
      </w:r>
      <w:r>
        <w:rPr>
          <w:spacing w:val="-13"/>
        </w:rPr>
        <w:t> </w:t>
      </w:r>
      <w:r>
        <w:rPr/>
        <w:t>compressive</w:t>
      </w:r>
      <w:r>
        <w:rPr>
          <w:spacing w:val="-13"/>
        </w:rPr>
        <w:t> </w:t>
      </w:r>
      <w:r>
        <w:rPr/>
        <w:t>and</w:t>
      </w:r>
      <w:r>
        <w:rPr>
          <w:spacing w:val="-12"/>
        </w:rPr>
        <w:t> </w:t>
      </w:r>
      <w:r>
        <w:rPr/>
        <w:t>shear</w:t>
      </w:r>
      <w:r>
        <w:rPr>
          <w:spacing w:val="-11"/>
        </w:rPr>
        <w:t> </w:t>
      </w:r>
      <w:r>
        <w:rPr/>
        <w:t>properties.</w:t>
      </w:r>
      <w:r>
        <w:rPr>
          <w:spacing w:val="36"/>
        </w:rPr>
        <w:t> </w:t>
      </w:r>
      <w:r>
        <w:rPr/>
        <w:t>These</w:t>
      </w:r>
      <w:r>
        <w:rPr>
          <w:spacing w:val="-13"/>
        </w:rPr>
        <w:t> </w:t>
      </w:r>
      <w:r>
        <w:rPr/>
        <w:t>properties</w:t>
      </w:r>
      <w:r>
        <w:rPr>
          <w:spacing w:val="-12"/>
        </w:rPr>
        <w:t> </w:t>
      </w:r>
      <w:r>
        <w:rPr/>
        <w:t>depend</w:t>
      </w:r>
      <w:r>
        <w:rPr>
          <w:spacing w:val="-12"/>
        </w:rPr>
        <w:t> </w:t>
      </w:r>
      <w:r>
        <w:rPr/>
        <w:t>on</w:t>
      </w:r>
      <w:r>
        <w:rPr>
          <w:spacing w:val="-12"/>
        </w:rPr>
        <w:t> </w:t>
      </w:r>
      <w:r>
        <w:rPr/>
        <w:t>orientation</w:t>
      </w:r>
    </w:p>
    <w:p>
      <w:pPr>
        <w:pStyle w:val="BodyText"/>
        <w:spacing w:line="480" w:lineRule="auto"/>
        <w:ind w:left="440" w:right="117"/>
        <w:jc w:val="both"/>
      </w:pPr>
      <w:r>
        <w:rPr/>
        <w:t>– parallel or perpendicular to grain.</w:t>
      </w:r>
      <w:r>
        <w:rPr>
          <w:spacing w:val="1"/>
        </w:rPr>
        <w:t> </w:t>
      </w:r>
      <w:r>
        <w:rPr/>
        <w:t>Radial and tangential are both perpendicular to the</w:t>
      </w:r>
      <w:r>
        <w:rPr>
          <w:spacing w:val="1"/>
        </w:rPr>
        <w:t> </w:t>
      </w:r>
      <w:r>
        <w:rPr/>
        <w:t>grain, with tangential being tangent to the growth rings formed in the wood; longitudinal</w:t>
      </w:r>
      <w:r>
        <w:rPr>
          <w:spacing w:val="1"/>
        </w:rPr>
        <w:t> </w:t>
      </w:r>
      <w:r>
        <w:rPr/>
        <w:t>is</w:t>
      </w:r>
      <w:r>
        <w:rPr>
          <w:spacing w:val="-1"/>
        </w:rPr>
        <w:t> </w:t>
      </w:r>
      <w:r>
        <w:rPr/>
        <w:t>parallel to</w:t>
      </w:r>
      <w:r>
        <w:rPr>
          <w:spacing w:val="-2"/>
        </w:rPr>
        <w:t> </w:t>
      </w:r>
      <w:r>
        <w:rPr/>
        <w:t>the grain.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3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 w:after="1"/>
        <w:rPr>
          <w:sz w:val="15"/>
        </w:rPr>
      </w:pPr>
    </w:p>
    <w:p>
      <w:pPr>
        <w:pStyle w:val="BodyText"/>
        <w:ind w:left="571"/>
        <w:rPr>
          <w:sz w:val="20"/>
        </w:rPr>
      </w:pPr>
      <w:r>
        <w:rPr>
          <w:sz w:val="20"/>
        </w:rPr>
        <w:pict>
          <v:group style="width:420pt;height:243.1pt;mso-position-horizontal-relative:char;mso-position-vertical-relative:line" coordorigin="0,0" coordsize="8400,4862">
            <v:rect style="position:absolute;left:194;top:2010;width:4238;height:810" filled="false" stroked="true" strokeweight="1.205491pt" strokecolor="#7f6000">
              <v:stroke dashstyle="solid"/>
            </v:rect>
            <v:line style="position:absolute" from="194,2010" to="3969,12" stroked="true" strokeweight="1.204996pt" strokecolor="#7f6000">
              <v:stroke dashstyle="solid"/>
            </v:line>
            <v:line style="position:absolute" from="4432,2010" to="7647,319" stroked="true" strokeweight="1.204993pt" strokecolor="#7f6000">
              <v:stroke dashstyle="solid"/>
            </v:line>
            <v:line style="position:absolute" from="4449,2820" to="7663,1129" stroked="true" strokeweight="1.204993pt" strokecolor="#7f6000">
              <v:stroke dashstyle="solid"/>
            </v:line>
            <v:shape style="position:absolute;left:202;top:171;width:7524;height:2670" type="#_x0000_t75" stroked="false">
              <v:imagedata r:id="rId33" o:title=""/>
            </v:shape>
            <v:line style="position:absolute" from="2080,2168" to="6294,2185" stroked="true" strokeweight="1.36427pt" strokecolor="#000000">
              <v:stroke dashstyle="solid"/>
            </v:line>
            <v:shape style="position:absolute;left:6270;top:2112;width:145;height:145" coordorigin="6270,2113" coordsize="145,145" path="m6270,2257l6271,2113,6415,2186,6270,2257xe" filled="true" fillcolor="#000000" stroked="false">
              <v:path arrowok="t"/>
              <v:fill type="solid"/>
            </v:shape>
            <v:line style="position:absolute" from="2089,2176" to="531,3087" stroked="true" strokeweight="1.363485pt" strokecolor="#000000">
              <v:stroke dashstyle="solid"/>
            </v:line>
            <v:shape style="position:absolute;left:426;top:3012;width:162;height:136" coordorigin="427,3012" coordsize="162,136" path="m427,3147l588,3137,515,3012,427,3147xe" filled="true" fillcolor="#000000" stroked="false">
              <v:path arrowok="t"/>
              <v:fill type="solid"/>
            </v:shape>
            <v:shape style="position:absolute;left:5583;top:3299;width:2800;height:910" coordorigin="5584,3300" coordsize="2800,910" path="m5584,3754l5600,3684,5649,3617,5726,3554,5830,3497,5891,3470,5958,3445,6031,3421,6108,3399,6190,3380,6277,3362,6368,3346,6463,3332,6561,3321,6663,3312,6767,3305,6874,3301,6984,3300,7093,3301,7200,3305,7305,3312,7406,3321,7504,3332,7599,3346,7690,3362,7777,3380,7859,3399,7936,3421,8009,3445,8076,3470,8137,3497,8192,3525,8283,3585,8346,3650,8379,3719,8383,3754,8379,3790,8346,3859,8283,3924,8192,3984,8137,4012,8076,4039,8009,4064,7936,4088,7859,4109,7777,4129,7690,4147,7599,4163,7504,4177,7406,4188,7305,4197,7200,4204,7093,4208,6984,4209,6874,4208,6767,4204,6663,4197,6561,4188,6463,4177,6368,4163,6277,4147,6190,4129,6108,4109,6031,4088,5958,4064,5891,4039,5830,4012,5775,3984,5684,3924,5621,3859,5588,3790,5584,3754xe" filled="false" stroked="true" strokeweight=".507511pt" strokecolor="#7f6000">
              <v:path arrowok="t"/>
              <v:stroke dashstyle="solid"/>
            </v:shape>
            <v:shape style="position:absolute;left:5738;top:3392;width:2490;height:700" coordorigin="5738,3392" coordsize="2490,700" path="m5738,3742l5758,3679,5816,3620,5908,3565,5966,3540,6031,3517,6103,3495,6181,3474,6265,3456,6355,3440,6449,3426,6549,3414,6652,3405,6759,3398,6870,3394,6983,3392,7096,3394,7207,3398,7314,3405,7417,3414,7516,3426,7611,3440,7701,3456,7785,3474,7863,3495,7935,3517,8000,3540,8058,3565,8150,3620,8207,3679,8228,3742,8222,3774,8183,3835,8108,3892,8000,3943,7935,3967,7863,3989,7785,4009,7701,4027,7611,4044,7516,4058,7417,4070,7314,4079,7207,4086,7096,4090,6983,4091,6870,4090,6759,4086,6652,4079,6549,4070,6449,4058,6355,4044,6265,4027,6181,4009,6103,3989,6031,3967,5966,3943,5908,3918,5816,3864,5758,3805,5738,3742xe" filled="false" stroked="true" strokeweight=".507539pt" strokecolor="#7f6000">
              <v:path arrowok="t"/>
              <v:stroke dashstyle="solid"/>
            </v:shape>
            <v:shape style="position:absolute;left:5900;top:3473;width:2167;height:540" coordorigin="5900,3473" coordsize="2167,540" path="m5900,3743l5949,3663,6031,3615,6148,3572,6218,3552,6295,3535,6378,3519,6467,3506,6562,3495,6661,3486,6765,3479,6873,3475,6984,3473,7094,3475,7202,3479,7306,3486,7405,3495,7500,3506,7589,3519,7673,3535,7749,3552,7819,3572,7882,3592,7982,3638,8045,3689,8067,3743,8061,3771,8018,3823,7936,3872,7819,3915,7749,3934,7673,3951,7589,3967,7500,3980,7405,3992,7306,4001,7202,4007,7094,4011,6984,4013,6873,4011,6765,4007,6661,4001,6562,3992,6467,3980,6378,3967,6295,3951,6218,3934,6148,3915,6085,3894,5985,3848,5922,3797,5900,3743xe" filled="false" stroked="true" strokeweight=".507551pt" strokecolor="#7f6000">
              <v:path arrowok="t"/>
              <v:stroke dashstyle="solid"/>
            </v:shape>
            <v:shape style="position:absolute;left:6130;top:3519;width:1706;height:431" coordorigin="6131,3519" coordsize="1706,431" path="m6131,3734l6161,3677,6247,3626,6308,3603,6381,3582,6462,3564,6553,3548,6652,3536,6757,3527,6868,3521,6984,3519,7099,3521,7210,3527,7315,3536,7414,3548,7505,3564,7587,3582,7659,3603,7720,3626,7806,3677,7836,3734,7829,3763,7769,3818,7659,3866,7587,3886,7505,3904,7414,3920,7315,3932,7210,3942,7099,3947,6984,3949,6868,3947,6757,3942,6652,3932,6553,3920,6462,3904,6381,3886,6308,3866,6247,3843,6161,3791,6131,3734xe" filled="false" stroked="true" strokeweight=".507548pt" strokecolor="#7f6000">
              <v:path arrowok="t"/>
              <v:stroke dashstyle="solid"/>
            </v:shape>
            <v:shape style="position:absolute;left:6372;top:3600;width:1141;height:259" coordorigin="6373,3600" coordsize="1141,259" path="m6373,3730l6417,3679,6540,3638,6624,3622,6721,3610,6828,3603,6943,3600,7058,3603,7165,3610,7262,3622,7346,3638,7416,3657,7502,3704,7513,3730,7502,3756,7416,3802,7346,3821,7262,3837,7165,3849,7058,3857,6943,3859,6828,3857,6721,3849,6624,3837,6540,3821,6470,3802,6384,3756,6373,3730xe" filled="false" stroked="true" strokeweight=".507556pt" strokecolor="#7f6000">
              <v:path arrowok="t"/>
              <v:stroke dashstyle="solid"/>
            </v:shape>
            <v:shape style="position:absolute;left:6661;top:3668;width:589;height:132" coordorigin="6661,3669" coordsize="589,132" path="m6661,3735l6684,3709,6748,3688,6841,3674,6956,3669,7070,3674,7164,3688,7227,3709,7250,3735,7227,3760,7164,3781,7070,3796,6956,3801,6841,3796,6748,3781,6684,3760,6661,3735xe" filled="false" stroked="true" strokeweight=".507556pt" strokecolor="#7f6000">
              <v:path arrowok="t"/>
              <v:stroke dashstyle="solid"/>
            </v:shape>
            <v:line style="position:absolute" from="6983,3300" to="6983,4209" stroked="true" strokeweight=".253235pt" strokecolor="#7f6000">
              <v:stroke dashstyle="solid"/>
            </v:line>
            <v:line style="position:absolute" from="6983,3742" to="7350,3300" stroked="true" strokeweight=".253471pt" strokecolor="#7f6000">
              <v:stroke dashstyle="solid"/>
            </v:line>
            <v:line style="position:absolute" from="6983,3742" to="7973,3433" stroked="true" strokeweight=".253761pt" strokecolor="#7f6000">
              <v:stroke dashstyle="solid"/>
            </v:line>
            <v:line style="position:absolute" from="6983,3741" to="8383,3754" stroked="true" strokeweight=".253805pt" strokecolor="#7f6000">
              <v:stroke dashstyle="solid"/>
            </v:line>
            <v:line style="position:absolute" from="6983,3741" to="7973,4076" stroked="true" strokeweight=".253753pt" strokecolor="#7f6000">
              <v:stroke dashstyle="solid"/>
            </v:line>
            <v:line style="position:absolute" from="6984,3730" to="5994,4076" stroked="true" strokeweight=".253750pt" strokecolor="#7f6000">
              <v:stroke dashstyle="solid"/>
            </v:line>
            <v:line style="position:absolute" from="6975,3741" to="5584,3754" stroked="true" strokeweight=".253805pt" strokecolor="#7f6000">
              <v:stroke dashstyle="solid"/>
            </v:line>
            <v:line style="position:absolute" from="6976,3741" to="5994,3433" stroked="true" strokeweight=".253750pt" strokecolor="#7f6000">
              <v:stroke dashstyle="solid"/>
            </v:line>
            <v:line style="position:absolute" from="5584,3754" to="5584,4406" stroked="true" strokeweight=".253238pt" strokecolor="#7f6000">
              <v:stroke dashstyle="solid"/>
            </v:line>
            <v:line style="position:absolute" from="8384,3754" to="8381,4428" stroked="true" strokeweight=".253228pt" strokecolor="#7f6000">
              <v:stroke dashstyle="solid"/>
            </v:line>
            <v:shape style="position:absolute;left:5583;top:4407;width:2797;height:372" coordorigin="5584,4407" coordsize="2797,372" path="m8380,4429l8350,4486,8289,4540,8199,4591,8084,4636,8018,4657,7946,4677,7869,4695,7787,4711,7701,4726,7611,4740,7518,4751,7420,4761,7320,4768,7217,4774,7111,4778,7004,4779,6894,4778,6780,4775,6668,4770,6561,4762,6456,4752,6356,4740,6261,4726,6170,4710,6084,4692,6004,4672,5930,4651,5862,4629,5800,4605,5746,4580,5659,4526,5604,4468,5589,4438,5584,4407e" filled="false" stroked="true" strokeweight=".253799pt" strokecolor="#7f6000">
              <v:path arrowok="t"/>
              <v:stroke dashstyle="solid"/>
            </v:shape>
            <v:line style="position:absolute" from="5835,4171" to="5835,4380" stroked="true" strokeweight=".253213pt" strokecolor="#7f6000">
              <v:stroke dashstyle="solid"/>
            </v:line>
            <v:line style="position:absolute" from="7771,4489" to="7763,4653" stroked="true" strokeweight=".253246pt" strokecolor="#7f6000">
              <v:stroke dashstyle="solid"/>
            </v:line>
            <v:line style="position:absolute" from="8229,4209" to="8216,4576" stroked="true" strokeweight=".253246pt" strokecolor="#7f6000">
              <v:stroke dashstyle="solid"/>
            </v:line>
            <v:line style="position:absolute" from="8067,4171" to="8059,4335" stroked="true" strokeweight=".253246pt" strokecolor="#7f6000">
              <v:stroke dashstyle="solid"/>
            </v:line>
            <v:line style="position:absolute" from="8019,4234" to="8009,4477" stroked="true" strokeweight=".253256pt" strokecolor="#7f6000">
              <v:stroke dashstyle="solid"/>
            </v:line>
            <v:line style="position:absolute" from="5961,4302" to="5956,4509" stroked="true" strokeweight=".253213pt" strokecolor="#7f6000">
              <v:stroke dashstyle="solid"/>
            </v:line>
            <v:line style="position:absolute" from="6221,4241" to="6221,4426" stroked="true" strokeweight=".253245pt" strokecolor="#7f6000">
              <v:stroke dashstyle="solid"/>
            </v:line>
            <v:line style="position:absolute" from="6335,4381" to="6335,4576" stroked="true" strokeweight=".253213pt" strokecolor="#7f6000">
              <v:stroke dashstyle="solid"/>
            </v:line>
            <v:line style="position:absolute" from="6088,4429" to="6083,4652" stroked="true" strokeweight=".253255pt" strokecolor="#7f6000">
              <v:stroke dashstyle="solid"/>
            </v:line>
            <v:line style="position:absolute" from="5699,4038" to="5704,4268" stroked="true" strokeweight=".253255pt" strokecolor="#7f6000">
              <v:stroke dashstyle="solid"/>
            </v:line>
            <v:line style="position:absolute" from="6603,4305" to="6598,4511" stroked="true" strokeweight=".253213pt" strokecolor="#7f6000">
              <v:stroke dashstyle="solid"/>
            </v:line>
            <v:line style="position:absolute" from="6861,4244" to="6869,4541" stroked="true" strokeweight=".253206pt" strokecolor="#7f6000">
              <v:stroke dashstyle="solid"/>
            </v:line>
            <v:line style="position:absolute" from="6975,4383" to="6975,4578" stroked="true" strokeweight=".253213pt" strokecolor="#7f6000">
              <v:stroke dashstyle="solid"/>
            </v:line>
            <v:line style="position:absolute" from="6729,4432" to="6723,4655" stroked="true" strokeweight=".253255pt" strokecolor="#7f6000">
              <v:stroke dashstyle="solid"/>
            </v:line>
            <v:line style="position:absolute" from="7249,4313" to="7245,4588" stroked="true" strokeweight=".253206pt" strokecolor="#7f6000">
              <v:stroke dashstyle="solid"/>
            </v:line>
            <v:line style="position:absolute" from="7510,4320" to="7510,4505" stroked="true" strokeweight=".253245pt" strokecolor="#7f6000">
              <v:stroke dashstyle="solid"/>
            </v:line>
            <v:line style="position:absolute" from="7635,4335" to="7622,4656" stroked="true" strokeweight=".253239pt" strokecolor="#7f6000">
              <v:stroke dashstyle="solid"/>
            </v:line>
            <v:line style="position:absolute" from="7377,4509" to="7372,4732" stroked="true" strokeweight=".253255pt" strokecolor="#7f6000">
              <v:stroke dashstyle="solid"/>
            </v:line>
            <v:line style="position:absolute" from="6955,3707" to="6972,2909" stroked="true" strokeweight="1.361142pt" strokecolor="#000000">
              <v:stroke dashstyle="solid"/>
            </v:line>
            <v:shape style="position:absolute;left:6899;top:2788;width:145;height:147" coordorigin="6899,2788" coordsize="145,147" path="m6975,2788l6899,2931,7044,2934,6975,2788xe" filled="true" fillcolor="#000000" stroked="false">
              <v:path arrowok="t"/>
              <v:fill type="solid"/>
            </v:shape>
            <v:line style="position:absolute" from="6540,3821" to="5138,4338" stroked="true" strokeweight="1.363869pt" strokecolor="#000000">
              <v:stroke dashstyle="solid"/>
            </v:line>
            <v:shape style="position:absolute;left:5025;top:4261;width:161;height:136" coordorigin="5025,4262" coordsize="161,136" path="m5186,4397l5136,4262,5025,4380,5186,4397xe" filled="true" fillcolor="#000000" stroked="false">
              <v:path arrowok="t"/>
              <v:fill type="solid"/>
            </v:shape>
            <v:line style="position:absolute" from="5653,3934" to="7674,4805" stroked="true" strokeweight="1.363793pt" strokecolor="#000000">
              <v:stroke dashstyle="solid"/>
            </v:line>
            <v:shape style="position:absolute;left:7623;top:4728;width:162;height:133" coordorigin="7624,4729" coordsize="162,133" path="m7624,4862l7681,4729,7785,4852,7624,4862xe" filled="true" fillcolor="#000000" stroked="false">
              <v:path arrowok="t"/>
              <v:fill type="solid"/>
            </v:shape>
            <v:shape style="position:absolute;left:1810;top:100;width:622;height:235" type="#_x0000_t202" filled="false" stroked="false">
              <v:textbox inset="0,0,0,0">
                <w:txbxContent>
                  <w:p>
                    <w:pPr>
                      <w:spacing w:line="234" w:lineRule="exact" w:before="0"/>
                      <w:ind w:left="0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Radial</w:t>
                    </w:r>
                  </w:p>
                </w:txbxContent>
              </v:textbox>
              <w10:wrap type="none"/>
            </v:shape>
            <v:shape style="position:absolute;left:5669;top:2317;width:979;height:235" type="#_x0000_t202" filled="false" stroked="false">
              <v:textbox inset="0,0,0,0">
                <w:txbxContent>
                  <w:p>
                    <w:pPr>
                      <w:spacing w:line="234" w:lineRule="exact" w:before="0"/>
                      <w:ind w:left="0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Tangential</w:t>
                    </w:r>
                  </w:p>
                </w:txbxContent>
              </v:textbox>
              <w10:wrap type="none"/>
            </v:shape>
            <v:shape style="position:absolute;left:7204;top:2829;width:1196;height:235" type="#_x0000_t202" filled="false" stroked="false">
              <v:textbox inset="0,0,0,0">
                <w:txbxContent>
                  <w:p>
                    <w:pPr>
                      <w:spacing w:line="234" w:lineRule="exact" w:before="0"/>
                      <w:ind w:left="0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Longitudinal</w:t>
                    </w:r>
                  </w:p>
                </w:txbxContent>
              </v:textbox>
              <w10:wrap type="none"/>
            </v:shape>
            <v:shape style="position:absolute;left:0;top:3294;width:1196;height:235" type="#_x0000_t202" filled="false" stroked="false">
              <v:textbox inset="0,0,0,0">
                <w:txbxContent>
                  <w:p>
                    <w:pPr>
                      <w:spacing w:line="234" w:lineRule="exact" w:before="0"/>
                      <w:ind w:left="0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Longitudinal</w:t>
                    </w:r>
                  </w:p>
                </w:txbxContent>
              </v:textbox>
              <w10:wrap type="none"/>
            </v:shape>
            <v:shape style="position:absolute;left:4404;top:4262;width:622;height:235" type="#_x0000_t202" filled="false" stroked="false">
              <v:textbox inset="0,0,0,0">
                <w:txbxContent>
                  <w:p>
                    <w:pPr>
                      <w:spacing w:line="234" w:lineRule="exact" w:before="0"/>
                      <w:ind w:left="0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Radial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line="203" w:lineRule="exact" w:before="0"/>
        <w:ind w:left="0" w:right="412" w:firstLine="0"/>
        <w:jc w:val="right"/>
        <w:rPr>
          <w:b/>
          <w:sz w:val="21"/>
        </w:rPr>
      </w:pPr>
      <w:r>
        <w:rPr>
          <w:b/>
          <w:sz w:val="21"/>
        </w:rPr>
        <w:t>Tangential</w:t>
      </w:r>
    </w:p>
    <w:p>
      <w:pPr>
        <w:pStyle w:val="BodyText"/>
        <w:rPr>
          <w:b/>
          <w:sz w:val="18"/>
        </w:rPr>
      </w:pPr>
    </w:p>
    <w:p>
      <w:pPr>
        <w:spacing w:before="90"/>
        <w:ind w:left="440" w:right="0" w:firstLine="0"/>
        <w:jc w:val="left"/>
        <w:rPr>
          <w:i/>
          <w:sz w:val="24"/>
        </w:rPr>
      </w:pPr>
      <w:bookmarkStart w:name="_bookmark1" w:id="37"/>
      <w:bookmarkEnd w:id="37"/>
      <w:r>
        <w:rPr/>
      </w:r>
      <w:r>
        <w:rPr>
          <w:i/>
          <w:sz w:val="24"/>
        </w:rPr>
        <w:t>Figure</w:t>
      </w:r>
      <w:r>
        <w:rPr>
          <w:i/>
          <w:spacing w:val="13"/>
          <w:sz w:val="24"/>
        </w:rPr>
        <w:t> </w:t>
      </w:r>
      <w:r>
        <w:rPr>
          <w:i/>
          <w:sz w:val="24"/>
        </w:rPr>
        <w:t>2-1.</w:t>
      </w:r>
      <w:r>
        <w:rPr>
          <w:i/>
          <w:spacing w:val="13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13"/>
          <w:sz w:val="24"/>
        </w:rPr>
        <w:t> </w:t>
      </w:r>
      <w:r>
        <w:rPr>
          <w:i/>
          <w:sz w:val="24"/>
        </w:rPr>
        <w:t>three</w:t>
      </w:r>
      <w:r>
        <w:rPr>
          <w:i/>
          <w:spacing w:val="14"/>
          <w:sz w:val="24"/>
        </w:rPr>
        <w:t> </w:t>
      </w:r>
      <w:r>
        <w:rPr>
          <w:i/>
          <w:sz w:val="24"/>
        </w:rPr>
        <w:t>perpendicular</w:t>
      </w:r>
      <w:r>
        <w:rPr>
          <w:i/>
          <w:spacing w:val="13"/>
          <w:sz w:val="24"/>
        </w:rPr>
        <w:t> </w:t>
      </w:r>
      <w:r>
        <w:rPr>
          <w:i/>
          <w:sz w:val="24"/>
        </w:rPr>
        <w:t>axes</w:t>
      </w:r>
      <w:r>
        <w:rPr>
          <w:i/>
          <w:spacing w:val="13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3"/>
          <w:sz w:val="24"/>
        </w:rPr>
        <w:t> </w:t>
      </w:r>
      <w:r>
        <w:rPr>
          <w:i/>
          <w:sz w:val="24"/>
        </w:rPr>
        <w:t>wood</w:t>
      </w:r>
      <w:r>
        <w:rPr>
          <w:i/>
          <w:spacing w:val="14"/>
          <w:sz w:val="24"/>
        </w:rPr>
        <w:t> </w:t>
      </w:r>
      <w:r>
        <w:rPr>
          <w:i/>
          <w:sz w:val="24"/>
        </w:rPr>
        <w:t>shown</w:t>
      </w:r>
      <w:r>
        <w:rPr>
          <w:i/>
          <w:spacing w:val="13"/>
          <w:sz w:val="24"/>
        </w:rPr>
        <w:t> </w:t>
      </w:r>
      <w:r>
        <w:rPr>
          <w:i/>
          <w:sz w:val="24"/>
        </w:rPr>
        <w:t>with</w:t>
      </w:r>
      <w:r>
        <w:rPr>
          <w:i/>
          <w:spacing w:val="13"/>
          <w:sz w:val="24"/>
        </w:rPr>
        <w:t> </w:t>
      </w:r>
      <w:r>
        <w:rPr>
          <w:i/>
          <w:sz w:val="24"/>
        </w:rPr>
        <w:t>respect</w:t>
      </w:r>
      <w:r>
        <w:rPr>
          <w:i/>
          <w:spacing w:val="13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14"/>
          <w:sz w:val="24"/>
        </w:rPr>
        <w:t> </w:t>
      </w:r>
      <w:r>
        <w:rPr>
          <w:i/>
          <w:sz w:val="24"/>
        </w:rPr>
        <w:t>grain,</w:t>
      </w:r>
      <w:r>
        <w:rPr>
          <w:i/>
          <w:spacing w:val="13"/>
          <w:sz w:val="24"/>
        </w:rPr>
        <w:t> </w:t>
      </w:r>
      <w:r>
        <w:rPr>
          <w:i/>
          <w:sz w:val="24"/>
        </w:rPr>
        <w:t>or</w:t>
      </w:r>
      <w:r>
        <w:rPr>
          <w:i/>
          <w:spacing w:val="13"/>
          <w:sz w:val="24"/>
        </w:rPr>
        <w:t> </w:t>
      </w:r>
      <w:r>
        <w:rPr>
          <w:i/>
          <w:sz w:val="24"/>
        </w:rPr>
        <w:t>fiber,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direction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(adapted from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[77]</w:t>
      </w:r>
      <w:r>
        <w:rPr>
          <w:i/>
          <w:spacing w:val="5"/>
          <w:sz w:val="24"/>
        </w:rPr>
        <w:t> </w:t>
      </w:r>
      <w:r>
        <w:rPr>
          <w:i/>
          <w:sz w:val="24"/>
        </w:rPr>
        <w:t>and [96]).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2"/>
        <w:rPr>
          <w:i/>
          <w:sz w:val="37"/>
        </w:rPr>
      </w:pPr>
    </w:p>
    <w:p>
      <w:pPr>
        <w:pStyle w:val="BodyText"/>
        <w:spacing w:line="480" w:lineRule="auto"/>
        <w:ind w:left="439" w:right="117" w:firstLine="720"/>
        <w:jc w:val="both"/>
      </w:pPr>
      <w:r>
        <w:rPr/>
        <w:t>Mechanical properties and design values for natural wood can vary significantly</w:t>
      </w:r>
      <w:r>
        <w:rPr>
          <w:spacing w:val="1"/>
        </w:rPr>
        <w:t> </w:t>
      </w:r>
      <w:r>
        <w:rPr/>
        <w:t>between species.</w:t>
      </w:r>
      <w:r>
        <w:rPr>
          <w:spacing w:val="1"/>
        </w:rPr>
        <w:t> </w:t>
      </w:r>
      <w:r>
        <w:rPr/>
        <w:t>Even within samples of the same species, mechanical properties depend</w:t>
      </w:r>
      <w:r>
        <w:rPr>
          <w:spacing w:val="-57"/>
        </w:rPr>
        <w:t> </w:t>
      </w:r>
      <w:r>
        <w:rPr/>
        <w:t>on the age of the wood, as well as the quantity size of defects. This variation is the reason</w:t>
      </w:r>
      <w:r>
        <w:rPr>
          <w:spacing w:val="-57"/>
        </w:rPr>
        <w:t> </w:t>
      </w:r>
      <w:r>
        <w:rPr/>
        <w:t>for sawn lumber grading through either visual inspection, by machine stress rating, or</w:t>
      </w:r>
      <w:r>
        <w:rPr>
          <w:spacing w:val="1"/>
        </w:rPr>
        <w:t> </w:t>
      </w:r>
      <w:r>
        <w:rPr/>
        <w:t>evaluating</w:t>
      </w:r>
      <w:r>
        <w:rPr>
          <w:spacing w:val="1"/>
        </w:rPr>
        <w:t> </w:t>
      </w:r>
      <w:r>
        <w:rPr/>
        <w:t>density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x-ray.</w:t>
      </w:r>
      <w:r>
        <w:rPr>
          <w:spacing w:val="1"/>
        </w:rPr>
        <w:t> </w:t>
      </w:r>
      <w:r>
        <w:rPr/>
        <w:t>Grades</w:t>
      </w:r>
      <w:r>
        <w:rPr>
          <w:spacing w:val="1"/>
        </w:rPr>
        <w:t> </w:t>
      </w:r>
      <w:r>
        <w:rPr/>
        <w:t>classify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lumber</w:t>
      </w:r>
      <w:r>
        <w:rPr>
          <w:spacing w:val="1"/>
        </w:rPr>
        <w:t> </w:t>
      </w:r>
      <w:r>
        <w:rPr/>
        <w:t>into</w:t>
      </w:r>
      <w:r>
        <w:rPr>
          <w:spacing w:val="1"/>
        </w:rPr>
        <w:t> </w:t>
      </w:r>
      <w:r>
        <w:rPr/>
        <w:t>groups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known</w:t>
      </w:r>
      <w:r>
        <w:rPr>
          <w:spacing w:val="1"/>
        </w:rPr>
        <w:t> </w:t>
      </w:r>
      <w:r>
        <w:rPr/>
        <w:t>mechanical properties for use in structural design [34].</w:t>
      </w:r>
      <w:r>
        <w:rPr>
          <w:spacing w:val="1"/>
        </w:rPr>
        <w:t> </w:t>
      </w:r>
      <w:r>
        <w:rPr/>
        <w:t>Pieces with more defects receive</w:t>
      </w:r>
      <w:r>
        <w:rPr>
          <w:spacing w:val="1"/>
        </w:rPr>
        <w:t> </w:t>
      </w:r>
      <w:r>
        <w:rPr/>
        <w:t>lower grades as they lack the strength of clear wood, which is homogeneous, straight-</w:t>
      </w:r>
      <w:r>
        <w:rPr>
          <w:spacing w:val="1"/>
        </w:rPr>
        <w:t> </w:t>
      </w:r>
      <w:r>
        <w:rPr/>
        <w:t>grained wood without defects.</w:t>
      </w:r>
      <w:r>
        <w:rPr>
          <w:spacing w:val="1"/>
        </w:rPr>
        <w:t> </w:t>
      </w:r>
      <w:r>
        <w:rPr/>
        <w:t>References typically provide mechanical properties of</w:t>
      </w:r>
      <w:r>
        <w:rPr>
          <w:spacing w:val="1"/>
        </w:rPr>
        <w:t> </w:t>
      </w:r>
      <w:r>
        <w:rPr/>
        <w:t>wood</w:t>
      </w:r>
      <w:r>
        <w:rPr>
          <w:spacing w:val="-12"/>
        </w:rPr>
        <w:t> </w:t>
      </w:r>
      <w:r>
        <w:rPr/>
        <w:t>as</w:t>
      </w:r>
      <w:r>
        <w:rPr>
          <w:spacing w:val="-12"/>
        </w:rPr>
        <w:t> </w:t>
      </w:r>
      <w:r>
        <w:rPr/>
        <w:t>averages</w:t>
      </w:r>
      <w:r>
        <w:rPr>
          <w:spacing w:val="-11"/>
        </w:rPr>
        <w:t> </w:t>
      </w:r>
      <w:r>
        <w:rPr/>
        <w:t>for</w:t>
      </w:r>
      <w:r>
        <w:rPr>
          <w:spacing w:val="-12"/>
        </w:rPr>
        <w:t> </w:t>
      </w:r>
      <w:r>
        <w:rPr/>
        <w:t>a</w:t>
      </w:r>
      <w:r>
        <w:rPr>
          <w:spacing w:val="-11"/>
        </w:rPr>
        <w:t> </w:t>
      </w:r>
      <w:r>
        <w:rPr/>
        <w:t>given</w:t>
      </w:r>
      <w:r>
        <w:rPr>
          <w:spacing w:val="-12"/>
        </w:rPr>
        <w:t> </w:t>
      </w:r>
      <w:r>
        <w:rPr/>
        <w:t>species</w:t>
      </w:r>
      <w:r>
        <w:rPr>
          <w:spacing w:val="-11"/>
        </w:rPr>
        <w:t> </w:t>
      </w:r>
      <w:r>
        <w:rPr/>
        <w:t>based</w:t>
      </w:r>
      <w:r>
        <w:rPr>
          <w:spacing w:val="-12"/>
        </w:rPr>
        <w:t> </w:t>
      </w:r>
      <w:r>
        <w:rPr/>
        <w:t>on</w:t>
      </w:r>
      <w:r>
        <w:rPr>
          <w:spacing w:val="-11"/>
        </w:rPr>
        <w:t> </w:t>
      </w:r>
      <w:r>
        <w:rPr/>
        <w:t>much</w:t>
      </w:r>
      <w:r>
        <w:rPr>
          <w:spacing w:val="-11"/>
        </w:rPr>
        <w:t> </w:t>
      </w:r>
      <w:r>
        <w:rPr/>
        <w:t>sampling</w:t>
      </w:r>
      <w:r>
        <w:rPr>
          <w:spacing w:val="-11"/>
        </w:rPr>
        <w:t> </w:t>
      </w:r>
      <w:r>
        <w:rPr/>
        <w:t>and</w:t>
      </w:r>
      <w:r>
        <w:rPr>
          <w:spacing w:val="-11"/>
        </w:rPr>
        <w:t> </w:t>
      </w:r>
      <w:r>
        <w:rPr/>
        <w:t>testing</w:t>
      </w:r>
      <w:r>
        <w:rPr>
          <w:spacing w:val="-12"/>
        </w:rPr>
        <w:t> </w:t>
      </w:r>
      <w:r>
        <w:rPr/>
        <w:t>[96].</w:t>
      </w:r>
      <w:r>
        <w:rPr>
          <w:spacing w:val="38"/>
        </w:rPr>
        <w:t> </w:t>
      </w:r>
      <w:r>
        <w:rPr/>
        <w:t>With</w:t>
      </w:r>
      <w:r>
        <w:rPr>
          <w:spacing w:val="-12"/>
        </w:rPr>
        <w:t> </w:t>
      </w:r>
      <w:r>
        <w:rPr/>
        <w:t>wood</w:t>
      </w:r>
    </w:p>
    <w:p>
      <w:pPr>
        <w:spacing w:after="0" w:line="480" w:lineRule="auto"/>
        <w:jc w:val="both"/>
        <w:sectPr>
          <w:pgSz w:w="12240" w:h="15840"/>
          <w:pgMar w:header="0" w:footer="1064" w:top="1500" w:bottom="1260" w:left="1720" w:right="1320"/>
        </w:sectPr>
      </w:pPr>
    </w:p>
    <w:p>
      <w:pPr>
        <w:pStyle w:val="BodyText"/>
        <w:spacing w:line="480" w:lineRule="auto" w:before="78"/>
        <w:ind w:left="440" w:right="116"/>
        <w:jc w:val="both"/>
      </w:pPr>
      <w:r>
        <w:rPr/>
        <w:t>products, variability can be challenging in determining mechanical properties.</w:t>
      </w:r>
      <w:r>
        <w:rPr>
          <w:spacing w:val="1"/>
        </w:rPr>
        <w:t> </w:t>
      </w:r>
      <w:r>
        <w:rPr/>
        <w:t>Within a</w:t>
      </w:r>
      <w:r>
        <w:rPr>
          <w:spacing w:val="1"/>
        </w:rPr>
        <w:t> </w:t>
      </w:r>
      <w:r>
        <w:rPr/>
        <w:t>single species or even within one harvested tree, pieces may have differing properties.</w:t>
      </w:r>
      <w:r>
        <w:rPr>
          <w:spacing w:val="1"/>
        </w:rPr>
        <w:t> </w:t>
      </w:r>
      <w:r>
        <w:rPr/>
        <w:t>Engineered</w:t>
      </w:r>
      <w:r>
        <w:rPr>
          <w:spacing w:val="-7"/>
        </w:rPr>
        <w:t> </w:t>
      </w:r>
      <w:r>
        <w:rPr/>
        <w:t>wood</w:t>
      </w:r>
      <w:r>
        <w:rPr>
          <w:spacing w:val="-5"/>
        </w:rPr>
        <w:t> </w:t>
      </w:r>
      <w:r>
        <w:rPr/>
        <w:t>products</w:t>
      </w:r>
      <w:r>
        <w:rPr>
          <w:spacing w:val="-5"/>
        </w:rPr>
        <w:t> </w:t>
      </w:r>
      <w:r>
        <w:rPr/>
        <w:t>are</w:t>
      </w:r>
      <w:r>
        <w:rPr>
          <w:spacing w:val="-5"/>
        </w:rPr>
        <w:t> </w:t>
      </w:r>
      <w:r>
        <w:rPr/>
        <w:t>one</w:t>
      </w:r>
      <w:r>
        <w:rPr>
          <w:spacing w:val="-6"/>
        </w:rPr>
        <w:t> </w:t>
      </w:r>
      <w:r>
        <w:rPr/>
        <w:t>method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overcoming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non-homogeneous</w:t>
      </w:r>
      <w:r>
        <w:rPr>
          <w:spacing w:val="-5"/>
        </w:rPr>
        <w:t> </w:t>
      </w:r>
      <w:r>
        <w:rPr/>
        <w:t>nature</w:t>
      </w:r>
      <w:r>
        <w:rPr>
          <w:spacing w:val="-5"/>
        </w:rPr>
        <w:t> </w:t>
      </w:r>
      <w:r>
        <w:rPr/>
        <w:t>of</w:t>
      </w:r>
      <w:r>
        <w:rPr>
          <w:spacing w:val="-58"/>
        </w:rPr>
        <w:t> </w:t>
      </w:r>
      <w:r>
        <w:rPr/>
        <w:t>wood</w:t>
      </w:r>
      <w:r>
        <w:rPr>
          <w:spacing w:val="-1"/>
        </w:rPr>
        <w:t> </w:t>
      </w:r>
      <w:r>
        <w:rPr/>
        <w:t>with its high variability [81].</w:t>
      </w:r>
    </w:p>
    <w:p>
      <w:pPr>
        <w:pStyle w:val="BodyText"/>
        <w:spacing w:line="480" w:lineRule="auto" w:before="159"/>
        <w:ind w:left="439" w:right="118" w:firstLine="720"/>
        <w:jc w:val="both"/>
      </w:pPr>
      <w:r>
        <w:rPr/>
        <w:t>Engineered</w:t>
      </w:r>
      <w:r>
        <w:rPr>
          <w:spacing w:val="1"/>
        </w:rPr>
        <w:t> </w:t>
      </w:r>
      <w:r>
        <w:rPr/>
        <w:t>wood</w:t>
      </w:r>
      <w:r>
        <w:rPr>
          <w:spacing w:val="1"/>
        </w:rPr>
        <w:t> </w:t>
      </w:r>
      <w:r>
        <w:rPr/>
        <w:t>products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composite,</w:t>
      </w:r>
      <w:r>
        <w:rPr>
          <w:spacing w:val="1"/>
        </w:rPr>
        <w:t> </w:t>
      </w:r>
      <w:r>
        <w:rPr/>
        <w:t>wood-derived</w:t>
      </w:r>
      <w:r>
        <w:rPr>
          <w:spacing w:val="1"/>
        </w:rPr>
        <w:t> </w:t>
      </w:r>
      <w:r>
        <w:rPr/>
        <w:t>materials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greater</w:t>
      </w:r>
      <w:r>
        <w:rPr>
          <w:spacing w:val="1"/>
        </w:rPr>
        <w:t> </w:t>
      </w:r>
      <w:r>
        <w:rPr>
          <w:spacing w:val="-1"/>
        </w:rPr>
        <w:t>strength</w:t>
      </w:r>
      <w:r>
        <w:rPr>
          <w:spacing w:val="-15"/>
        </w:rPr>
        <w:t> </w:t>
      </w:r>
      <w:r>
        <w:rPr>
          <w:spacing w:val="-1"/>
        </w:rPr>
        <w:t>and</w:t>
      </w:r>
      <w:r>
        <w:rPr>
          <w:spacing w:val="-15"/>
        </w:rPr>
        <w:t> </w:t>
      </w:r>
      <w:r>
        <w:rPr>
          <w:spacing w:val="-1"/>
        </w:rPr>
        <w:t>thus</w:t>
      </w:r>
      <w:r>
        <w:rPr>
          <w:spacing w:val="-15"/>
        </w:rPr>
        <w:t> </w:t>
      </w:r>
      <w:r>
        <w:rPr/>
        <w:t>increased</w:t>
      </w:r>
      <w:r>
        <w:rPr>
          <w:spacing w:val="-15"/>
        </w:rPr>
        <w:t> </w:t>
      </w:r>
      <w:r>
        <w:rPr/>
        <w:t>performance</w:t>
      </w:r>
      <w:r>
        <w:rPr>
          <w:spacing w:val="-15"/>
        </w:rPr>
        <w:t> </w:t>
      </w:r>
      <w:r>
        <w:rPr/>
        <w:t>over</w:t>
      </w:r>
      <w:r>
        <w:rPr>
          <w:spacing w:val="-13"/>
        </w:rPr>
        <w:t> </w:t>
      </w:r>
      <w:r>
        <w:rPr/>
        <w:t>natural</w:t>
      </w:r>
      <w:r>
        <w:rPr>
          <w:spacing w:val="-14"/>
        </w:rPr>
        <w:t> </w:t>
      </w:r>
      <w:r>
        <w:rPr/>
        <w:t>wood</w:t>
      </w:r>
      <w:r>
        <w:rPr>
          <w:spacing w:val="-15"/>
        </w:rPr>
        <w:t> </w:t>
      </w:r>
      <w:r>
        <w:rPr/>
        <w:t>or</w:t>
      </w:r>
      <w:r>
        <w:rPr>
          <w:spacing w:val="-16"/>
        </w:rPr>
        <w:t> </w:t>
      </w:r>
      <w:r>
        <w:rPr/>
        <w:t>sawn</w:t>
      </w:r>
      <w:r>
        <w:rPr>
          <w:spacing w:val="-15"/>
        </w:rPr>
        <w:t> </w:t>
      </w:r>
      <w:r>
        <w:rPr/>
        <w:t>timber.</w:t>
      </w:r>
      <w:r>
        <w:rPr>
          <w:spacing w:val="32"/>
        </w:rPr>
        <w:t> </w:t>
      </w:r>
      <w:r>
        <w:rPr/>
        <w:t>These</w:t>
      </w:r>
      <w:r>
        <w:rPr>
          <w:spacing w:val="-15"/>
        </w:rPr>
        <w:t> </w:t>
      </w:r>
      <w:r>
        <w:rPr/>
        <w:t>products</w:t>
      </w:r>
      <w:r>
        <w:rPr>
          <w:spacing w:val="-58"/>
        </w:rPr>
        <w:t> </w:t>
      </w:r>
      <w:r>
        <w:rPr/>
        <w:t>can also make use of lower quality wood, which lacks the strength and size to be used</w:t>
      </w:r>
      <w:r>
        <w:rPr>
          <w:spacing w:val="1"/>
        </w:rPr>
        <w:t> </w:t>
      </w:r>
      <w:r>
        <w:rPr/>
        <w:t>independently.</w:t>
      </w:r>
      <w:r>
        <w:rPr>
          <w:spacing w:val="1"/>
        </w:rPr>
        <w:t> </w:t>
      </w:r>
      <w:r>
        <w:rPr/>
        <w:t>Through processing and performance-oriented production, wood-based</w:t>
      </w:r>
      <w:r>
        <w:rPr>
          <w:spacing w:val="1"/>
        </w:rPr>
        <w:t> </w:t>
      </w:r>
      <w:r>
        <w:rPr/>
        <w:t>end-products of increased capability and value can be created.</w:t>
      </w:r>
      <w:r>
        <w:rPr>
          <w:spacing w:val="1"/>
        </w:rPr>
        <w:t> </w:t>
      </w:r>
      <w:r>
        <w:rPr/>
        <w:t>CLT is one of many</w:t>
      </w:r>
      <w:r>
        <w:rPr>
          <w:spacing w:val="1"/>
        </w:rPr>
        <w:t> </w:t>
      </w:r>
      <w:r>
        <w:rPr/>
        <w:t>commercially available engineered wood products and is commonly referred to as </w:t>
      </w:r>
      <w:r>
        <w:rPr>
          <w:i/>
        </w:rPr>
        <w:t>mass</w:t>
      </w:r>
      <w:r>
        <w:rPr>
          <w:i/>
          <w:spacing w:val="1"/>
        </w:rPr>
        <w:t> </w:t>
      </w:r>
      <w:r>
        <w:rPr>
          <w:i/>
        </w:rPr>
        <w:t>timber </w:t>
      </w:r>
      <w:r>
        <w:rPr/>
        <w:t>or </w:t>
      </w:r>
      <w:r>
        <w:rPr>
          <w:i/>
        </w:rPr>
        <w:t>massive timber</w:t>
      </w:r>
      <w:r>
        <w:rPr/>
        <w:t>.</w:t>
      </w:r>
      <w:r>
        <w:rPr>
          <w:spacing w:val="1"/>
        </w:rPr>
        <w:t> </w:t>
      </w:r>
      <w:r>
        <w:rPr/>
        <w:t>Other engineered wood product categories include solid timber</w:t>
      </w:r>
      <w:r>
        <w:rPr>
          <w:spacing w:val="-57"/>
        </w:rPr>
        <w:t> </w:t>
      </w:r>
      <w:r>
        <w:rPr/>
        <w:t>construction and structural composite lumber (SCL).</w:t>
      </w:r>
      <w:r>
        <w:rPr>
          <w:spacing w:val="1"/>
        </w:rPr>
        <w:t> </w:t>
      </w:r>
      <w:r>
        <w:rPr/>
        <w:t>Oriented strand board (OSB) and</w:t>
      </w:r>
      <w:r>
        <w:rPr>
          <w:spacing w:val="1"/>
        </w:rPr>
        <w:t> </w:t>
      </w:r>
      <w:r>
        <w:rPr/>
        <w:t>glued-laminated</w:t>
      </w:r>
      <w:r>
        <w:rPr>
          <w:spacing w:val="-12"/>
        </w:rPr>
        <w:t> </w:t>
      </w:r>
      <w:r>
        <w:rPr/>
        <w:t>timber</w:t>
      </w:r>
      <w:r>
        <w:rPr>
          <w:spacing w:val="-11"/>
        </w:rPr>
        <w:t> </w:t>
      </w:r>
      <w:r>
        <w:rPr/>
        <w:t>(glulam)</w:t>
      </w:r>
      <w:r>
        <w:rPr>
          <w:spacing w:val="-11"/>
        </w:rPr>
        <w:t> </w:t>
      </w:r>
      <w:r>
        <w:rPr/>
        <w:t>are</w:t>
      </w:r>
      <w:r>
        <w:rPr>
          <w:spacing w:val="-12"/>
        </w:rPr>
        <w:t> </w:t>
      </w:r>
      <w:r>
        <w:rPr/>
        <w:t>common</w:t>
      </w:r>
      <w:r>
        <w:rPr>
          <w:spacing w:val="-11"/>
        </w:rPr>
        <w:t> </w:t>
      </w:r>
      <w:r>
        <w:rPr/>
        <w:t>solid</w:t>
      </w:r>
      <w:r>
        <w:rPr>
          <w:spacing w:val="-11"/>
        </w:rPr>
        <w:t> </w:t>
      </w:r>
      <w:r>
        <w:rPr/>
        <w:t>timber</w:t>
      </w:r>
      <w:r>
        <w:rPr>
          <w:spacing w:val="-11"/>
        </w:rPr>
        <w:t> </w:t>
      </w:r>
      <w:r>
        <w:rPr/>
        <w:t>products</w:t>
      </w:r>
      <w:r>
        <w:rPr>
          <w:spacing w:val="-12"/>
        </w:rPr>
        <w:t> </w:t>
      </w:r>
      <w:r>
        <w:rPr/>
        <w:t>while</w:t>
      </w:r>
      <w:r>
        <w:rPr>
          <w:spacing w:val="-12"/>
        </w:rPr>
        <w:t> </w:t>
      </w:r>
      <w:r>
        <w:rPr/>
        <w:t>laminated</w:t>
      </w:r>
      <w:r>
        <w:rPr>
          <w:spacing w:val="-11"/>
        </w:rPr>
        <w:t> </w:t>
      </w:r>
      <w:r>
        <w:rPr/>
        <w:t>strand</w:t>
      </w:r>
      <w:r>
        <w:rPr>
          <w:spacing w:val="-58"/>
        </w:rPr>
        <w:t> </w:t>
      </w:r>
      <w:r>
        <w:rPr/>
        <w:t>lumber (LSL) and laminated veneer lumber (LVL) are common SCL products.</w:t>
      </w:r>
      <w:r>
        <w:rPr>
          <w:spacing w:val="1"/>
        </w:rPr>
        <w:t> </w:t>
      </w:r>
      <w:r>
        <w:rPr/>
        <w:t>The 2005</w:t>
      </w:r>
      <w:r>
        <w:rPr>
          <w:spacing w:val="-57"/>
        </w:rPr>
        <w:t> </w:t>
      </w:r>
      <w:r>
        <w:rPr/>
        <w:t>edition of the </w:t>
      </w:r>
      <w:r>
        <w:rPr>
          <w:i/>
        </w:rPr>
        <w:t>National Design Specification for Wood Construction </w:t>
      </w:r>
      <w:r>
        <w:rPr/>
        <w:t>package included a</w:t>
      </w:r>
      <w:r>
        <w:rPr>
          <w:spacing w:val="1"/>
        </w:rPr>
        <w:t> </w:t>
      </w:r>
      <w:r>
        <w:rPr/>
        <w:t>manual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Engineered</w:t>
      </w:r>
      <w:r>
        <w:rPr>
          <w:spacing w:val="1"/>
        </w:rPr>
        <w:t> </w:t>
      </w:r>
      <w:r>
        <w:rPr/>
        <w:t>Wood</w:t>
      </w:r>
      <w:r>
        <w:rPr>
          <w:spacing w:val="1"/>
        </w:rPr>
        <w:t> </w:t>
      </w:r>
      <w:r>
        <w:rPr/>
        <w:t>Construction,</w:t>
      </w:r>
      <w:r>
        <w:rPr>
          <w:spacing w:val="1"/>
        </w:rPr>
        <w:t> </w:t>
      </w:r>
      <w:r>
        <w:rPr/>
        <w:t>showing</w:t>
      </w:r>
      <w:r>
        <w:rPr>
          <w:spacing w:val="1"/>
        </w:rPr>
        <w:t> </w:t>
      </w:r>
      <w:r>
        <w:rPr/>
        <w:t>industry</w:t>
      </w:r>
      <w:r>
        <w:rPr>
          <w:spacing w:val="1"/>
        </w:rPr>
        <w:t> </w:t>
      </w:r>
      <w:r>
        <w:rPr/>
        <w:t>acknowledgment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acceptance of these products [34].</w:t>
      </w:r>
      <w:r>
        <w:rPr>
          <w:spacing w:val="1"/>
        </w:rPr>
        <w:t> </w:t>
      </w:r>
      <w:r>
        <w:rPr/>
        <w:t>While, OSB and other products listed previously have</w:t>
      </w:r>
      <w:r>
        <w:rPr>
          <w:spacing w:val="1"/>
        </w:rPr>
        <w:t> </w:t>
      </w:r>
      <w:r>
        <w:rPr/>
        <w:t>been</w:t>
      </w:r>
      <w:r>
        <w:rPr>
          <w:spacing w:val="-3"/>
        </w:rPr>
        <w:t> </w:t>
      </w:r>
      <w:r>
        <w:rPr/>
        <w:t>widely</w:t>
      </w:r>
      <w:r>
        <w:rPr>
          <w:spacing w:val="-2"/>
        </w:rPr>
        <w:t> </w:t>
      </w:r>
      <w:r>
        <w:rPr/>
        <w:t>used</w:t>
      </w:r>
      <w:r>
        <w:rPr>
          <w:spacing w:val="-3"/>
        </w:rPr>
        <w:t> </w:t>
      </w:r>
      <w:r>
        <w:rPr/>
        <w:t>for</w:t>
      </w:r>
      <w:r>
        <w:rPr>
          <w:spacing w:val="-1"/>
        </w:rPr>
        <w:t> </w:t>
      </w:r>
      <w:r>
        <w:rPr/>
        <w:t>decades,</w:t>
      </w:r>
      <w:r>
        <w:rPr>
          <w:spacing w:val="-3"/>
        </w:rPr>
        <w:t> </w:t>
      </w:r>
      <w:r>
        <w:rPr/>
        <w:t>CLT</w:t>
      </w:r>
      <w:r>
        <w:rPr>
          <w:spacing w:val="-2"/>
        </w:rPr>
        <w:t> </w:t>
      </w:r>
      <w:r>
        <w:rPr/>
        <w:t>is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relatively</w:t>
      </w:r>
      <w:r>
        <w:rPr>
          <w:spacing w:val="-3"/>
        </w:rPr>
        <w:t> </w:t>
      </w:r>
      <w:r>
        <w:rPr/>
        <w:t>new</w:t>
      </w:r>
      <w:r>
        <w:rPr>
          <w:spacing w:val="-3"/>
        </w:rPr>
        <w:t> </w:t>
      </w:r>
      <w:r>
        <w:rPr/>
        <w:t>product</w:t>
      </w:r>
      <w:r>
        <w:rPr>
          <w:spacing w:val="-2"/>
        </w:rPr>
        <w:t> </w:t>
      </w:r>
      <w:r>
        <w:rPr/>
        <w:t>in</w:t>
      </w:r>
      <w:r>
        <w:rPr>
          <w:spacing w:val="-2"/>
        </w:rPr>
        <w:t> </w:t>
      </w:r>
      <w:r>
        <w:rPr/>
        <w:t>this</w:t>
      </w:r>
      <w:r>
        <w:rPr>
          <w:spacing w:val="-2"/>
        </w:rPr>
        <w:t> </w:t>
      </w:r>
      <w:r>
        <w:rPr/>
        <w:t>family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composite</w:t>
      </w:r>
      <w:r>
        <w:rPr>
          <w:spacing w:val="-57"/>
        </w:rPr>
        <w:t> </w:t>
      </w:r>
      <w:r>
        <w:rPr/>
        <w:t>materials.</w:t>
      </w:r>
    </w:p>
    <w:p>
      <w:pPr>
        <w:pStyle w:val="BodyText"/>
        <w:spacing w:line="480" w:lineRule="auto" w:before="161"/>
        <w:ind w:left="440" w:right="116" w:firstLine="720"/>
        <w:jc w:val="both"/>
      </w:pPr>
      <w:r>
        <w:rPr/>
        <w:t>A CLT panel is formed from stacked, solid sawn lumber boards.</w:t>
      </w:r>
      <w:r>
        <w:rPr>
          <w:spacing w:val="1"/>
        </w:rPr>
        <w:t> </w:t>
      </w:r>
      <w:r>
        <w:rPr/>
        <w:t>Panels typically</w:t>
      </w:r>
      <w:r>
        <w:rPr>
          <w:spacing w:val="1"/>
        </w:rPr>
        <w:t> </w:t>
      </w:r>
      <w:r>
        <w:rPr/>
        <w:t>consist of an odd number of layers, varying from three to nine.</w:t>
      </w:r>
      <w:r>
        <w:rPr>
          <w:spacing w:val="1"/>
        </w:rPr>
        <w:t> </w:t>
      </w:r>
      <w:r>
        <w:rPr/>
        <w:t>Figure 2-2 shows a stack</w:t>
      </w:r>
      <w:r>
        <w:rPr>
          <w:spacing w:val="1"/>
        </w:rPr>
        <w:t> </w:t>
      </w:r>
      <w:r>
        <w:rPr/>
        <w:t>of ten 3-ply CLT panels.</w:t>
      </w:r>
      <w:r>
        <w:rPr>
          <w:spacing w:val="1"/>
        </w:rPr>
        <w:t> </w:t>
      </w:r>
      <w:r>
        <w:rPr/>
        <w:t>However, variations can exist as the product is customizable</w:t>
      </w:r>
      <w:r>
        <w:rPr>
          <w:spacing w:val="1"/>
        </w:rPr>
        <w:t> </w:t>
      </w:r>
      <w:r>
        <w:rPr/>
        <w:t>within</w:t>
      </w:r>
      <w:r>
        <w:rPr>
          <w:spacing w:val="17"/>
        </w:rPr>
        <w:t> </w:t>
      </w:r>
      <w:r>
        <w:rPr/>
        <w:t>the</w:t>
      </w:r>
      <w:r>
        <w:rPr>
          <w:spacing w:val="18"/>
        </w:rPr>
        <w:t> </w:t>
      </w:r>
      <w:r>
        <w:rPr/>
        <w:t>constraints</w:t>
      </w:r>
      <w:r>
        <w:rPr>
          <w:spacing w:val="18"/>
        </w:rPr>
        <w:t> </w:t>
      </w:r>
      <w:r>
        <w:rPr/>
        <w:t>of</w:t>
      </w:r>
      <w:r>
        <w:rPr>
          <w:spacing w:val="15"/>
        </w:rPr>
        <w:t> </w:t>
      </w:r>
      <w:r>
        <w:rPr/>
        <w:t>production</w:t>
      </w:r>
      <w:r>
        <w:rPr>
          <w:spacing w:val="17"/>
        </w:rPr>
        <w:t> </w:t>
      </w:r>
      <w:r>
        <w:rPr/>
        <w:t>capabilities.</w:t>
      </w:r>
      <w:r>
        <w:rPr>
          <w:spacing w:val="36"/>
        </w:rPr>
        <w:t> </w:t>
      </w:r>
      <w:r>
        <w:rPr/>
        <w:t>Similar</w:t>
      </w:r>
      <w:r>
        <w:rPr>
          <w:spacing w:val="18"/>
        </w:rPr>
        <w:t> </w:t>
      </w:r>
      <w:r>
        <w:rPr/>
        <w:t>to</w:t>
      </w:r>
      <w:r>
        <w:rPr>
          <w:spacing w:val="16"/>
        </w:rPr>
        <w:t> </w:t>
      </w:r>
      <w:r>
        <w:rPr/>
        <w:t>a</w:t>
      </w:r>
      <w:r>
        <w:rPr>
          <w:spacing w:val="18"/>
        </w:rPr>
        <w:t> </w:t>
      </w:r>
      <w:r>
        <w:rPr/>
        <w:t>sandwich</w:t>
      </w:r>
      <w:r>
        <w:rPr>
          <w:spacing w:val="16"/>
        </w:rPr>
        <w:t> </w:t>
      </w:r>
      <w:r>
        <w:rPr/>
        <w:t>panel,</w:t>
      </w:r>
      <w:r>
        <w:rPr>
          <w:spacing w:val="18"/>
        </w:rPr>
        <w:t> </w:t>
      </w:r>
      <w:r>
        <w:rPr/>
        <w:t>the</w:t>
      </w:r>
      <w:r>
        <w:rPr>
          <w:spacing w:val="17"/>
        </w:rPr>
        <w:t> </w:t>
      </w:r>
      <w:r>
        <w:rPr/>
        <w:t>outer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320"/>
        </w:sectPr>
      </w:pPr>
    </w:p>
    <w:p>
      <w:pPr>
        <w:pStyle w:val="BodyText"/>
        <w:spacing w:line="480" w:lineRule="auto" w:before="78"/>
        <w:ind w:left="440" w:right="118"/>
        <w:jc w:val="both"/>
      </w:pPr>
      <w:r>
        <w:rPr/>
        <w:t>layers and alternating layers of the inner core are oriented such that the primary strength</w:t>
      </w:r>
      <w:r>
        <w:rPr>
          <w:spacing w:val="1"/>
        </w:rPr>
        <w:t> </w:t>
      </w:r>
      <w:r>
        <w:rPr/>
        <w:t>axis of the wood corresponds to the direction of the design load.</w:t>
      </w:r>
      <w:r>
        <w:rPr>
          <w:spacing w:val="1"/>
        </w:rPr>
        <w:t> </w:t>
      </w:r>
      <w:r>
        <w:rPr/>
        <w:t>Thus, the grain of the</w:t>
      </w:r>
      <w:r>
        <w:rPr>
          <w:spacing w:val="1"/>
        </w:rPr>
        <w:t> </w:t>
      </w:r>
      <w:r>
        <w:rPr/>
        <w:t>wood typically runs parallel to the loading direction in those layers.</w:t>
      </w:r>
      <w:r>
        <w:rPr>
          <w:spacing w:val="1"/>
        </w:rPr>
        <w:t> </w:t>
      </w:r>
      <w:r>
        <w:rPr/>
        <w:t>Manufacturers often</w:t>
      </w:r>
      <w:r>
        <w:rPr>
          <w:spacing w:val="1"/>
        </w:rPr>
        <w:t> </w:t>
      </w:r>
      <w:r>
        <w:rPr/>
        <w:t>call these the longitudinal layers for floor and roof panels and vertical layers for wall</w:t>
      </w:r>
      <w:r>
        <w:rPr>
          <w:spacing w:val="1"/>
        </w:rPr>
        <w:t> </w:t>
      </w:r>
      <w:r>
        <w:rPr/>
        <w:t>panels.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8">
            <wp:simplePos x="0" y="0"/>
            <wp:positionH relativeFrom="page">
              <wp:posOffset>2996036</wp:posOffset>
            </wp:positionH>
            <wp:positionV relativeFrom="paragraph">
              <wp:posOffset>228164</wp:posOffset>
            </wp:positionV>
            <wp:extent cx="2718192" cy="3624262"/>
            <wp:effectExtent l="0" t="0" r="0" b="0"/>
            <wp:wrapTopAndBottom/>
            <wp:docPr id="1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28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8192" cy="3624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30"/>
        </w:rPr>
      </w:pPr>
    </w:p>
    <w:p>
      <w:pPr>
        <w:spacing w:before="1"/>
        <w:ind w:left="359" w:right="40" w:firstLine="0"/>
        <w:jc w:val="center"/>
        <w:rPr>
          <w:i/>
          <w:sz w:val="24"/>
        </w:rPr>
      </w:pPr>
      <w:r>
        <w:rPr>
          <w:i/>
          <w:sz w:val="24"/>
        </w:rPr>
        <w:t>Figure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2-2.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Ten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3-ply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CLT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panels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stacked.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2"/>
        <w:rPr>
          <w:i/>
          <w:sz w:val="37"/>
        </w:rPr>
      </w:pPr>
    </w:p>
    <w:p>
      <w:pPr>
        <w:pStyle w:val="BodyText"/>
        <w:spacing w:line="480" w:lineRule="auto"/>
        <w:ind w:left="440" w:firstLine="720"/>
      </w:pPr>
      <w:r>
        <w:rPr/>
        <w:t>For</w:t>
      </w:r>
      <w:r>
        <w:rPr>
          <w:spacing w:val="-8"/>
        </w:rPr>
        <w:t> </w:t>
      </w:r>
      <w:r>
        <w:rPr/>
        <w:t>walls,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planks</w:t>
      </w:r>
      <w:r>
        <w:rPr>
          <w:spacing w:val="-7"/>
        </w:rPr>
        <w:t> </w:t>
      </w:r>
      <w:r>
        <w:rPr/>
        <w:t>typically</w:t>
      </w:r>
      <w:r>
        <w:rPr>
          <w:spacing w:val="-7"/>
        </w:rPr>
        <w:t> </w:t>
      </w:r>
      <w:r>
        <w:rPr/>
        <w:t>run</w:t>
      </w:r>
      <w:r>
        <w:rPr>
          <w:spacing w:val="-7"/>
        </w:rPr>
        <w:t> </w:t>
      </w:r>
      <w:r>
        <w:rPr/>
        <w:t>vertically,</w:t>
      </w:r>
      <w:r>
        <w:rPr>
          <w:spacing w:val="-7"/>
        </w:rPr>
        <w:t> </w:t>
      </w:r>
      <w:r>
        <w:rPr/>
        <w:t>or</w:t>
      </w:r>
      <w:r>
        <w:rPr>
          <w:spacing w:val="-7"/>
        </w:rPr>
        <w:t> </w:t>
      </w:r>
      <w:r>
        <w:rPr/>
        <w:t>parallel</w:t>
      </w:r>
      <w:r>
        <w:rPr>
          <w:spacing w:val="-8"/>
        </w:rPr>
        <w:t> </w:t>
      </w:r>
      <w:r>
        <w:rPr/>
        <w:t>to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gravity</w:t>
      </w:r>
      <w:r>
        <w:rPr>
          <w:spacing w:val="-7"/>
        </w:rPr>
        <w:t> </w:t>
      </w:r>
      <w:r>
        <w:rPr/>
        <w:t>loads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for</w:t>
      </w:r>
      <w:r>
        <w:rPr>
          <w:spacing w:val="-57"/>
        </w:rPr>
        <w:t> </w:t>
      </w:r>
      <w:r>
        <w:rPr/>
        <w:t>floors</w:t>
      </w:r>
      <w:r>
        <w:rPr>
          <w:spacing w:val="22"/>
        </w:rPr>
        <w:t> </w:t>
      </w:r>
      <w:r>
        <w:rPr/>
        <w:t>and</w:t>
      </w:r>
      <w:r>
        <w:rPr>
          <w:spacing w:val="23"/>
        </w:rPr>
        <w:t> </w:t>
      </w:r>
      <w:r>
        <w:rPr/>
        <w:t>roofs,</w:t>
      </w:r>
      <w:r>
        <w:rPr>
          <w:spacing w:val="23"/>
        </w:rPr>
        <w:t> </w:t>
      </w:r>
      <w:r>
        <w:rPr/>
        <w:t>the</w:t>
      </w:r>
      <w:r>
        <w:rPr>
          <w:spacing w:val="23"/>
        </w:rPr>
        <w:t> </w:t>
      </w:r>
      <w:r>
        <w:rPr/>
        <w:t>planks</w:t>
      </w:r>
      <w:r>
        <w:rPr>
          <w:spacing w:val="22"/>
        </w:rPr>
        <w:t> </w:t>
      </w:r>
      <w:r>
        <w:rPr/>
        <w:t>align</w:t>
      </w:r>
      <w:r>
        <w:rPr>
          <w:spacing w:val="23"/>
        </w:rPr>
        <w:t> </w:t>
      </w:r>
      <w:r>
        <w:rPr/>
        <w:t>parallel</w:t>
      </w:r>
      <w:r>
        <w:rPr>
          <w:spacing w:val="22"/>
        </w:rPr>
        <w:t> </w:t>
      </w:r>
      <w:r>
        <w:rPr/>
        <w:t>to</w:t>
      </w:r>
      <w:r>
        <w:rPr>
          <w:spacing w:val="23"/>
        </w:rPr>
        <w:t> </w:t>
      </w:r>
      <w:r>
        <w:rPr/>
        <w:t>the</w:t>
      </w:r>
      <w:r>
        <w:rPr>
          <w:spacing w:val="22"/>
        </w:rPr>
        <w:t> </w:t>
      </w:r>
      <w:r>
        <w:rPr/>
        <w:t>major</w:t>
      </w:r>
      <w:r>
        <w:rPr>
          <w:spacing w:val="22"/>
        </w:rPr>
        <w:t> </w:t>
      </w:r>
      <w:r>
        <w:rPr/>
        <w:t>span</w:t>
      </w:r>
      <w:r>
        <w:rPr>
          <w:spacing w:val="23"/>
        </w:rPr>
        <w:t> </w:t>
      </w:r>
      <w:r>
        <w:rPr/>
        <w:t>direction</w:t>
      </w:r>
      <w:r>
        <w:rPr>
          <w:spacing w:val="23"/>
        </w:rPr>
        <w:t> </w:t>
      </w:r>
      <w:r>
        <w:rPr/>
        <w:t>[68].</w:t>
      </w:r>
      <w:r>
        <w:rPr>
          <w:spacing w:val="47"/>
        </w:rPr>
        <w:t> </w:t>
      </w:r>
      <w:r>
        <w:rPr/>
        <w:t>Alternating</w:t>
      </w:r>
    </w:p>
    <w:p>
      <w:pPr>
        <w:spacing w:after="0" w:line="480" w:lineRule="auto"/>
        <w:sectPr>
          <w:pgSz w:w="12240" w:h="15840"/>
          <w:pgMar w:header="0" w:footer="1064" w:top="1360" w:bottom="1260" w:left="1720" w:right="1320"/>
        </w:sectPr>
      </w:pPr>
    </w:p>
    <w:p>
      <w:pPr>
        <w:pStyle w:val="BodyText"/>
        <w:spacing w:line="480" w:lineRule="auto" w:before="78"/>
        <w:ind w:left="439" w:right="116"/>
        <w:jc w:val="both"/>
      </w:pPr>
      <w:r>
        <w:rPr/>
        <w:t>layers</w:t>
      </w:r>
      <w:r>
        <w:rPr>
          <w:spacing w:val="-12"/>
        </w:rPr>
        <w:t> </w:t>
      </w:r>
      <w:r>
        <w:rPr/>
        <w:t>are</w:t>
      </w:r>
      <w:r>
        <w:rPr>
          <w:spacing w:val="-11"/>
        </w:rPr>
        <w:t> </w:t>
      </w:r>
      <w:r>
        <w:rPr/>
        <w:t>typically</w:t>
      </w:r>
      <w:r>
        <w:rPr>
          <w:spacing w:val="-12"/>
        </w:rPr>
        <w:t> </w:t>
      </w:r>
      <w:r>
        <w:rPr/>
        <w:t>rotated</w:t>
      </w:r>
      <w:r>
        <w:rPr>
          <w:spacing w:val="-11"/>
        </w:rPr>
        <w:t> </w:t>
      </w:r>
      <w:r>
        <w:rPr/>
        <w:t>90-degrees,</w:t>
      </w:r>
      <w:r>
        <w:rPr>
          <w:spacing w:val="-11"/>
        </w:rPr>
        <w:t> </w:t>
      </w:r>
      <w:r>
        <w:rPr/>
        <w:t>forming</w:t>
      </w:r>
      <w:r>
        <w:rPr>
          <w:spacing w:val="-10"/>
        </w:rPr>
        <w:t> </w:t>
      </w:r>
      <w:r>
        <w:rPr/>
        <w:t>a</w:t>
      </w:r>
      <w:r>
        <w:rPr>
          <w:spacing w:val="-11"/>
        </w:rPr>
        <w:t> </w:t>
      </w:r>
      <w:r>
        <w:rPr/>
        <w:t>crosswise</w:t>
      </w:r>
      <w:r>
        <w:rPr>
          <w:spacing w:val="-12"/>
        </w:rPr>
        <w:t> </w:t>
      </w:r>
      <w:r>
        <w:rPr/>
        <w:t>laminate.</w:t>
      </w:r>
      <w:r>
        <w:rPr>
          <w:spacing w:val="39"/>
        </w:rPr>
        <w:t> </w:t>
      </w:r>
      <w:r>
        <w:rPr/>
        <w:t>Manufacturers</w:t>
      </w:r>
      <w:r>
        <w:rPr>
          <w:spacing w:val="-12"/>
        </w:rPr>
        <w:t> </w:t>
      </w:r>
      <w:r>
        <w:rPr/>
        <w:t>often</w:t>
      </w:r>
      <w:r>
        <w:rPr>
          <w:spacing w:val="-57"/>
        </w:rPr>
        <w:t> </w:t>
      </w:r>
      <w:r>
        <w:rPr/>
        <w:t>call</w:t>
      </w:r>
      <w:r>
        <w:rPr>
          <w:spacing w:val="-10"/>
        </w:rPr>
        <w:t> </w:t>
      </w:r>
      <w:r>
        <w:rPr/>
        <w:t>these</w:t>
      </w:r>
      <w:r>
        <w:rPr>
          <w:spacing w:val="-10"/>
        </w:rPr>
        <w:t> </w:t>
      </w:r>
      <w:r>
        <w:rPr/>
        <w:t>the</w:t>
      </w:r>
      <w:r>
        <w:rPr>
          <w:spacing w:val="-9"/>
        </w:rPr>
        <w:t> </w:t>
      </w:r>
      <w:r>
        <w:rPr/>
        <w:t>transverse</w:t>
      </w:r>
      <w:r>
        <w:rPr>
          <w:spacing w:val="-11"/>
        </w:rPr>
        <w:t> </w:t>
      </w:r>
      <w:r>
        <w:rPr/>
        <w:t>layers</w:t>
      </w:r>
      <w:r>
        <w:rPr>
          <w:spacing w:val="-10"/>
        </w:rPr>
        <w:t> </w:t>
      </w:r>
      <w:r>
        <w:rPr/>
        <w:t>in</w:t>
      </w:r>
      <w:r>
        <w:rPr>
          <w:spacing w:val="-11"/>
        </w:rPr>
        <w:t> </w:t>
      </w:r>
      <w:r>
        <w:rPr/>
        <w:t>floor</w:t>
      </w:r>
      <w:r>
        <w:rPr>
          <w:spacing w:val="-8"/>
        </w:rPr>
        <w:t> </w:t>
      </w:r>
      <w:r>
        <w:rPr/>
        <w:t>and</w:t>
      </w:r>
      <w:r>
        <w:rPr>
          <w:spacing w:val="-10"/>
        </w:rPr>
        <w:t> </w:t>
      </w:r>
      <w:r>
        <w:rPr/>
        <w:t>roof</w:t>
      </w:r>
      <w:r>
        <w:rPr>
          <w:spacing w:val="-10"/>
        </w:rPr>
        <w:t> </w:t>
      </w:r>
      <w:r>
        <w:rPr/>
        <w:t>panels</w:t>
      </w:r>
      <w:r>
        <w:rPr>
          <w:spacing w:val="-10"/>
        </w:rPr>
        <w:t> </w:t>
      </w:r>
      <w:r>
        <w:rPr/>
        <w:t>and</w:t>
      </w:r>
      <w:r>
        <w:rPr>
          <w:spacing w:val="-9"/>
        </w:rPr>
        <w:t> </w:t>
      </w:r>
      <w:r>
        <w:rPr/>
        <w:t>horizontal</w:t>
      </w:r>
      <w:r>
        <w:rPr>
          <w:spacing w:val="-10"/>
        </w:rPr>
        <w:t> </w:t>
      </w:r>
      <w:r>
        <w:rPr/>
        <w:t>layers</w:t>
      </w:r>
      <w:r>
        <w:rPr>
          <w:spacing w:val="-10"/>
        </w:rPr>
        <w:t> </w:t>
      </w:r>
      <w:r>
        <w:rPr/>
        <w:t>in</w:t>
      </w:r>
      <w:r>
        <w:rPr>
          <w:spacing w:val="-10"/>
        </w:rPr>
        <w:t> </w:t>
      </w:r>
      <w:r>
        <w:rPr/>
        <w:t>wall</w:t>
      </w:r>
      <w:r>
        <w:rPr>
          <w:spacing w:val="-8"/>
        </w:rPr>
        <w:t> </w:t>
      </w:r>
      <w:r>
        <w:rPr/>
        <w:t>panels.</w:t>
      </w:r>
      <w:r>
        <w:rPr>
          <w:spacing w:val="-57"/>
        </w:rPr>
        <w:t> </w:t>
      </w:r>
      <w:r>
        <w:rPr/>
        <w:t>In</w:t>
      </w:r>
      <w:r>
        <w:rPr>
          <w:spacing w:val="-6"/>
        </w:rPr>
        <w:t> </w:t>
      </w:r>
      <w:r>
        <w:rPr/>
        <w:t>transverse</w:t>
      </w:r>
      <w:r>
        <w:rPr>
          <w:spacing w:val="-5"/>
        </w:rPr>
        <w:t> </w:t>
      </w:r>
      <w:r>
        <w:rPr/>
        <w:t>or</w:t>
      </w:r>
      <w:r>
        <w:rPr>
          <w:spacing w:val="-5"/>
        </w:rPr>
        <w:t> </w:t>
      </w:r>
      <w:r>
        <w:rPr/>
        <w:t>horizontal</w:t>
      </w:r>
      <w:r>
        <w:rPr>
          <w:spacing w:val="-7"/>
        </w:rPr>
        <w:t> </w:t>
      </w:r>
      <w:r>
        <w:rPr/>
        <w:t>layers,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grain</w:t>
      </w:r>
      <w:r>
        <w:rPr>
          <w:spacing w:val="-7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wood</w:t>
      </w:r>
      <w:r>
        <w:rPr>
          <w:spacing w:val="-6"/>
        </w:rPr>
        <w:t> </w:t>
      </w:r>
      <w:r>
        <w:rPr/>
        <w:t>runs</w:t>
      </w:r>
      <w:r>
        <w:rPr>
          <w:spacing w:val="-4"/>
        </w:rPr>
        <w:t> </w:t>
      </w:r>
      <w:r>
        <w:rPr/>
        <w:t>perpendicular</w:t>
      </w:r>
      <w:r>
        <w:rPr>
          <w:spacing w:val="-6"/>
        </w:rPr>
        <w:t> </w:t>
      </w:r>
      <w:r>
        <w:rPr/>
        <w:t>to</w:t>
      </w:r>
      <w:r>
        <w:rPr>
          <w:spacing w:val="-7"/>
        </w:rPr>
        <w:t> </w:t>
      </w:r>
      <w:r>
        <w:rPr/>
        <w:t>the</w:t>
      </w:r>
      <w:r>
        <w:rPr>
          <w:spacing w:val="-5"/>
        </w:rPr>
        <w:t> </w:t>
      </w:r>
      <w:r>
        <w:rPr/>
        <w:t>direction</w:t>
      </w:r>
      <w:r>
        <w:rPr>
          <w:spacing w:val="-58"/>
        </w:rPr>
        <w:t> </w:t>
      </w:r>
      <w:r>
        <w:rPr/>
        <w:t>of the loading. Figure 2-3 and Figure 2-4 from the CLT Handbook illustrate the layering</w:t>
      </w:r>
      <w:r>
        <w:rPr>
          <w:spacing w:val="1"/>
        </w:rPr>
        <w:t> </w:t>
      </w:r>
      <w:r>
        <w:rPr/>
        <w:t>and alternating wood grain [68].</w:t>
      </w:r>
      <w:r>
        <w:rPr>
          <w:spacing w:val="1"/>
        </w:rPr>
        <w:t> </w:t>
      </w:r>
      <w:r>
        <w:rPr/>
        <w:t>This alternating and crosswise orientation gives CLT a</w:t>
      </w:r>
      <w:r>
        <w:rPr>
          <w:spacing w:val="1"/>
        </w:rPr>
        <w:t> </w:t>
      </w:r>
      <w:r>
        <w:rPr/>
        <w:t>high</w:t>
      </w:r>
      <w:r>
        <w:rPr>
          <w:spacing w:val="-8"/>
        </w:rPr>
        <w:t> </w:t>
      </w:r>
      <w:r>
        <w:rPr/>
        <w:t>strength</w:t>
      </w:r>
      <w:r>
        <w:rPr>
          <w:spacing w:val="-8"/>
        </w:rPr>
        <w:t> </w:t>
      </w:r>
      <w:r>
        <w:rPr/>
        <w:t>and</w:t>
      </w:r>
      <w:r>
        <w:rPr>
          <w:spacing w:val="-7"/>
        </w:rPr>
        <w:t> </w:t>
      </w:r>
      <w:r>
        <w:rPr/>
        <w:t>stiffness,</w:t>
      </w:r>
      <w:r>
        <w:rPr>
          <w:spacing w:val="-8"/>
        </w:rPr>
        <w:t> </w:t>
      </w:r>
      <w:r>
        <w:rPr/>
        <w:t>which</w:t>
      </w:r>
      <w:r>
        <w:rPr>
          <w:spacing w:val="-9"/>
        </w:rPr>
        <w:t> </w:t>
      </w:r>
      <w:r>
        <w:rPr/>
        <w:t>are</w:t>
      </w:r>
      <w:r>
        <w:rPr>
          <w:spacing w:val="-8"/>
        </w:rPr>
        <w:t> </w:t>
      </w:r>
      <w:r>
        <w:rPr/>
        <w:t>useful</w:t>
      </w:r>
      <w:r>
        <w:rPr>
          <w:spacing w:val="-8"/>
        </w:rPr>
        <w:t> </w:t>
      </w:r>
      <w:r>
        <w:rPr/>
        <w:t>qualities</w:t>
      </w:r>
      <w:r>
        <w:rPr>
          <w:spacing w:val="-8"/>
        </w:rPr>
        <w:t> </w:t>
      </w:r>
      <w:r>
        <w:rPr/>
        <w:t>in</w:t>
      </w:r>
      <w:r>
        <w:rPr>
          <w:spacing w:val="-8"/>
        </w:rPr>
        <w:t> </w:t>
      </w:r>
      <w:r>
        <w:rPr/>
        <w:t>construction.</w:t>
      </w:r>
      <w:r>
        <w:rPr>
          <w:spacing w:val="45"/>
        </w:rPr>
        <w:t> </w:t>
      </w:r>
      <w:r>
        <w:rPr/>
        <w:t>These</w:t>
      </w:r>
      <w:r>
        <w:rPr>
          <w:spacing w:val="-8"/>
        </w:rPr>
        <w:t> </w:t>
      </w:r>
      <w:r>
        <w:rPr/>
        <w:t>properties</w:t>
      </w:r>
      <w:r>
        <w:rPr>
          <w:spacing w:val="-8"/>
        </w:rPr>
        <w:t> </w:t>
      </w:r>
      <w:r>
        <w:rPr/>
        <w:t>are</w:t>
      </w:r>
      <w:r>
        <w:rPr>
          <w:spacing w:val="-58"/>
        </w:rPr>
        <w:t> </w:t>
      </w:r>
      <w:r>
        <w:rPr/>
        <w:t>achieved by orienting the wood panel sub-components, or lamina, in such a manner as to</w:t>
      </w:r>
      <w:r>
        <w:rPr>
          <w:spacing w:val="1"/>
        </w:rPr>
        <w:t> </w:t>
      </w:r>
      <w:r>
        <w:rPr/>
        <w:t>maximize</w:t>
      </w:r>
      <w:r>
        <w:rPr>
          <w:spacing w:val="-1"/>
        </w:rPr>
        <w:t> </w:t>
      </w:r>
      <w:r>
        <w:rPr/>
        <w:t>the wood’s</w:t>
      </w:r>
      <w:r>
        <w:rPr>
          <w:spacing w:val="-1"/>
        </w:rPr>
        <w:t> </w:t>
      </w:r>
      <w:r>
        <w:rPr/>
        <w:t>inherent strength and</w:t>
      </w:r>
      <w:r>
        <w:rPr>
          <w:spacing w:val="-1"/>
        </w:rPr>
        <w:t> </w:t>
      </w:r>
      <w:r>
        <w:rPr/>
        <w:t>minimize its</w:t>
      </w:r>
      <w:r>
        <w:rPr>
          <w:spacing w:val="-1"/>
        </w:rPr>
        <w:t> </w:t>
      </w:r>
      <w:r>
        <w:rPr/>
        <w:t>weaknesses.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8"/>
        </w:rPr>
      </w:pPr>
    </w:p>
    <w:p>
      <w:pPr>
        <w:spacing w:after="0"/>
        <w:rPr>
          <w:sz w:val="28"/>
        </w:rPr>
        <w:sectPr>
          <w:pgSz w:w="12240" w:h="15840"/>
          <w:pgMar w:header="0" w:footer="1064" w:top="1360" w:bottom="1260" w:left="1720" w:right="1320"/>
        </w:sectPr>
      </w:pPr>
    </w:p>
    <w:p>
      <w:pPr>
        <w:pStyle w:val="BodyText"/>
        <w:spacing w:before="222"/>
        <w:ind w:left="1678"/>
      </w:pPr>
      <w:r>
        <w:rPr>
          <w:spacing w:val="-2"/>
          <w:w w:val="105"/>
        </w:rPr>
        <w:t>Transverse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Planks</w:t>
      </w:r>
    </w:p>
    <w:p>
      <w:pPr>
        <w:pStyle w:val="BodyText"/>
        <w:spacing w:before="96"/>
        <w:ind w:left="1678"/>
      </w:pPr>
      <w:r>
        <w:rPr/>
        <w:br w:type="column"/>
      </w:r>
      <w:r>
        <w:rPr/>
        <w:t>Longitudinal</w:t>
      </w:r>
      <w:r>
        <w:rPr>
          <w:spacing w:val="52"/>
        </w:rPr>
        <w:t> </w:t>
      </w:r>
      <w:r>
        <w:rPr/>
        <w:t>Planks</w:t>
      </w:r>
    </w:p>
    <w:p>
      <w:pPr>
        <w:spacing w:after="0"/>
        <w:sectPr>
          <w:type w:val="continuous"/>
          <w:pgSz w:w="12240" w:h="15840"/>
          <w:pgMar w:top="1380" w:bottom="280" w:left="1720" w:right="1320"/>
          <w:cols w:num="2" w:equalWidth="0">
            <w:col w:w="3516" w:space="641"/>
            <w:col w:w="504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7"/>
        </w:rPr>
      </w:pPr>
    </w:p>
    <w:p>
      <w:pPr>
        <w:spacing w:before="90"/>
        <w:ind w:left="359" w:right="41" w:firstLine="0"/>
        <w:jc w:val="center"/>
        <w:rPr>
          <w:i/>
          <w:sz w:val="24"/>
        </w:rPr>
      </w:pPr>
      <w:r>
        <w:rPr/>
        <w:pict>
          <v:group style="position:absolute;margin-left:242.124069pt;margin-top:-149.542755pt;width:161.7pt;height:112.3pt;mso-position-horizontal-relative:page;mso-position-vertical-relative:paragraph;z-index:-34973696" coordorigin="4842,-2991" coordsize="3234,2246">
            <v:line style="position:absolute" from="6740,-1305" to="6740,-1227" stroked="true" strokeweight=".686647pt" strokecolor="#000000">
              <v:stroke dashstyle="solid"/>
            </v:line>
            <v:line style="position:absolute" from="5095,-2154" to="6420,-2984" stroked="true" strokeweight=".685911pt" strokecolor="#000000">
              <v:stroke dashstyle="solid"/>
            </v:line>
            <v:line style="position:absolute" from="6420,-2984" to="8057,-2125" stroked="true" strokeweight=".685841pt" strokecolor="#000000">
              <v:stroke dashstyle="solid"/>
            </v:line>
            <v:line style="position:absolute" from="5095,-2154" to="6750,-1291" stroked="true" strokeweight=".685838pt" strokecolor="#000000">
              <v:stroke dashstyle="solid"/>
            </v:line>
            <v:line style="position:absolute" from="6736,-1304" to="8059,-2132" stroked="true" strokeweight=".685911pt" strokecolor="#000000">
              <v:stroke dashstyle="solid"/>
            </v:line>
            <v:line style="position:absolute" from="5459,-2367" to="7045,-1526" stroked="true" strokeweight=".685836pt" strokecolor="#000000">
              <v:stroke dashstyle="solid"/>
            </v:line>
            <v:line style="position:absolute" from="5775,-2552" to="7396,-1716" stroked="true" strokeweight=".685829pt" strokecolor="#000000">
              <v:stroke dashstyle="solid"/>
            </v:line>
            <v:line style="position:absolute" from="6125,-2765" to="7712,-1929" stroked="true" strokeweight=".685833pt" strokecolor="#000000">
              <v:stroke dashstyle="solid"/>
            </v:line>
            <v:line style="position:absolute" from="5109,-2055" to="6730,-1219" stroked="true" strokeweight=".685829pt" strokecolor="#000000">
              <v:stroke dashstyle="solid"/>
            </v:line>
            <v:line style="position:absolute" from="6730,-1219" to="8069,-2040" stroked="true" strokeweight=".68590pt" strokecolor="#000000">
              <v:stroke dashstyle="solid"/>
            </v:line>
            <v:line style="position:absolute" from="4864,-1914" to="6214,-1219" stroked="true" strokeweight=".685836pt" strokecolor="#000000">
              <v:stroke dashstyle="solid"/>
            </v:line>
            <v:line style="position:absolute" from="4854,-1829" to="6198,-1119" stroked="true" strokeweight=".685847pt" strokecolor="#000000">
              <v:stroke dashstyle="solid"/>
            </v:line>
            <v:line style="position:absolute" from="4854,-1745" to="6187,-1049" stroked="true" strokeweight=".685842pt" strokecolor="#000000">
              <v:stroke dashstyle="solid"/>
            </v:line>
            <v:line style="position:absolute" from="4852,-1645" to="6194,-959" stroked="true" strokeweight=".685833pt" strokecolor="#000000">
              <v:stroke dashstyle="solid"/>
            </v:line>
            <v:line style="position:absolute" from="4849,-1573" to="6194,-864" stroked="true" strokeweight=".685847pt" strokecolor="#000000">
              <v:stroke dashstyle="solid"/>
            </v:line>
            <v:line style="position:absolute" from="4849,-1482" to="6194,-772" stroked="true" strokeweight=".685847pt" strokecolor="#000000">
              <v:stroke dashstyle="solid"/>
            </v:line>
            <v:line style="position:absolute" from="4859,-1921" to="5109,-2062" stroked="true" strokeweight=".685829pt" strokecolor="#000000">
              <v:stroke dashstyle="solid"/>
            </v:line>
            <v:line style="position:absolute" from="4863,-1745" to="4936,-1790" stroked="true" strokeweight=".685727pt" strokecolor="#000000">
              <v:stroke dashstyle="solid"/>
            </v:line>
            <v:line style="position:absolute" from="5202,-1567" to="5263,-1609" stroked="true" strokeweight=".685789pt" strokecolor="#000000">
              <v:stroke dashstyle="solid"/>
            </v:line>
            <v:line style="position:absolute" from="5542,-1391" to="5586,-1434" stroked="true" strokeweight=".686423pt" strokecolor="#000000">
              <v:stroke dashstyle="solid"/>
            </v:line>
            <v:line style="position:absolute" from="5855,-1213" to="5922,-1268" stroked="true" strokeweight=".685889pt" strokecolor="#000000">
              <v:stroke dashstyle="solid"/>
            </v:line>
            <v:line style="position:absolute" from="5198,-1381" to="5260,-1437" stroked="true" strokeweight=".685942pt" strokecolor="#000000">
              <v:stroke dashstyle="solid"/>
            </v:line>
            <v:line style="position:absolute" from="5531,-1214" to="5593,-1269" stroked="true" strokeweight=".685942pt" strokecolor="#000000">
              <v:stroke dashstyle="solid"/>
            </v:line>
            <v:line style="position:absolute" from="5862,-1046" to="5924,-1102" stroked="true" strokeweight=".685942pt" strokecolor="#000000">
              <v:stroke dashstyle="solid"/>
            </v:line>
            <v:line style="position:absolute" from="6733,-1137" to="8069,-1954" stroked="true" strokeweight=".685898pt" strokecolor="#000000">
              <v:stroke dashstyle="solid"/>
            </v:line>
            <v:line style="position:absolute" from="6730,-1047" to="8061,-1865" stroked="true" strokeweight=".685901pt" strokecolor="#000000">
              <v:stroke dashstyle="solid"/>
            </v:line>
            <v:line style="position:absolute" from="6728,-957" to="8061,-1787" stroked="true" strokeweight=".685908pt" strokecolor="#000000">
              <v:stroke dashstyle="solid"/>
            </v:line>
            <v:line style="position:absolute" from="6736,-872" to="8061,-1706" stroked="true" strokeweight=".685914pt" strokecolor="#000000">
              <v:stroke dashstyle="solid"/>
            </v:line>
            <v:line style="position:absolute" from="6214,-1222" to="6420,-1353" stroked="true" strokeweight=".685984pt" strokecolor="#000000">
              <v:stroke dashstyle="solid"/>
            </v:line>
            <v:line style="position:absolute" from="6194,-1133" to="6489,-1319" stroked="true" strokeweight=".685907pt" strokecolor="#000000">
              <v:stroke dashstyle="solid"/>
            </v:line>
            <v:line style="position:absolute" from="6182,-1041" to="6442,-1198" stroked="true" strokeweight=".685856pt" strokecolor="#000000">
              <v:stroke dashstyle="solid"/>
            </v:line>
            <v:line style="position:absolute" from="6195,-957" to="6510,-1158" stroked="true" strokeweight=".685938pt" strokecolor="#000000">
              <v:stroke dashstyle="solid"/>
            </v:line>
            <v:line style="position:absolute" from="6194,-864" to="6420,-1013" stroked="true" strokeweight=".685912pt" strokecolor="#000000">
              <v:stroke dashstyle="solid"/>
            </v:line>
            <v:line style="position:absolute" from="6208,-753" to="6207,-755" stroked="true" strokeweight=".686721pt" strokecolor="#000000">
              <v:stroke dashstyle="solid"/>
            </v:line>
            <v:line style="position:absolute" from="6194,-772" to="6489,-973" stroked="true" strokeweight=".685969pt" strokecolor="#000000">
              <v:stroke dashstyle="solid"/>
            </v:line>
            <v:line style="position:absolute" from="6736,-1133" to="6427,-1277" stroked="true" strokeweight=".685773pt" strokecolor="#000000">
              <v:stroke dashstyle="solid"/>
            </v:line>
            <v:line style="position:absolute" from="6730,-1049" to="6363,-1240" stroked="true" strokeweight=".68586pt" strokecolor="#000000">
              <v:stroke dashstyle="solid"/>
            </v:line>
            <v:line style="position:absolute" from="6722,-962" to="6443,-1112" stroked="true" strokeweight=".685803pt" strokecolor="#000000">
              <v:stroke dashstyle="solid"/>
            </v:line>
            <v:line style="position:absolute" from="6730,-870" to="6375,-1066" stroked="true" strokeweight=".685884pt" strokecolor="#000000">
              <v:stroke dashstyle="solid"/>
            </v:line>
            <v:line style="position:absolute" from="6200,-1229" to="6200,-1116" stroked="true" strokeweight="1.068404pt" strokecolor="#000000">
              <v:stroke dashstyle="solid"/>
            </v:line>
            <v:line style="position:absolute" from="6194,-1041" to="6194,-959" stroked="true" strokeweight=".686647pt" strokecolor="#000000">
              <v:stroke dashstyle="solid"/>
            </v:line>
            <v:line style="position:absolute" from="6197,-864" to="6197,-772" stroked="true" strokeweight=".686647pt" strokecolor="#000000">
              <v:stroke dashstyle="solid"/>
            </v:line>
            <v:line style="position:absolute" from="6730,-1126" to="6730,-1048" stroked="true" strokeweight=".686647pt" strokecolor="#000000">
              <v:stroke dashstyle="solid"/>
            </v:line>
            <v:line style="position:absolute" from="6726,-979" to="6726,-866" stroked="true" strokeweight="1.064565pt" strokecolor="#000000">
              <v:stroke dashstyle="solid"/>
            </v:line>
            <v:line style="position:absolute" from="5439,-1899" to="5202,-1746" stroked="true" strokeweight=".685901pt" strokecolor="#000000">
              <v:stroke dashstyle="solid"/>
            </v:line>
            <v:line style="position:absolute" from="5544,-1580" to="5767,-1723" stroked="true" strokeweight=".685901pt" strokecolor="#000000">
              <v:stroke dashstyle="solid"/>
            </v:line>
            <v:line style="position:absolute" from="5881,-1399" to="6104,-1546" stroked="true" strokeweight=".685915pt" strokecolor="#000000">
              <v:stroke dashstyle="solid"/>
            </v:line>
            <v:line style="position:absolute" from="4859,-1931" to="4859,-1818" stroked="true" strokeweight="1.068404pt" strokecolor="#000000">
              <v:stroke dashstyle="solid"/>
            </v:line>
            <v:line style="position:absolute" from="4856,-1751" to="4856,-1630" stroked="true" strokeweight=".996922pt" strokecolor="#000000">
              <v:stroke dashstyle="solid"/>
            </v:line>
            <v:line style="position:absolute" from="4856,-1567" to="4856,-1475" stroked="true" strokeweight=".686647pt" strokecolor="#000000">
              <v:stroke dashstyle="solid"/>
            </v:line>
            <v:line style="position:absolute" from="5196,-1758" to="5196,-1645" stroked="true" strokeweight="1.068404pt" strokecolor="#000000">
              <v:stroke dashstyle="solid"/>
            </v:line>
            <v:line style="position:absolute" from="5190,-1571" to="5190,-1489" stroked="true" strokeweight=".686647pt" strokecolor="#000000">
              <v:stroke dashstyle="solid"/>
            </v:line>
            <v:line style="position:absolute" from="5193,-1394" to="5193,-1301" stroked="true" strokeweight=".686647pt" strokecolor="#000000">
              <v:stroke dashstyle="solid"/>
            </v:line>
            <v:line style="position:absolute" from="5525,-1580" to="5525,-1467" stroked="true" strokeweight="1.068404pt" strokecolor="#000000">
              <v:stroke dashstyle="solid"/>
            </v:line>
            <v:line style="position:absolute" from="5518,-1393" to="5518,-1311" stroked="true" strokeweight=".686647pt" strokecolor="#000000">
              <v:stroke dashstyle="solid"/>
            </v:line>
            <v:line style="position:absolute" from="5521,-1216" to="5521,-1123" stroked="true" strokeweight=".686647pt" strokecolor="#000000">
              <v:stroke dashstyle="solid"/>
            </v:line>
            <v:line style="position:absolute" from="5862,-1411" to="5862,-1298" stroked="true" strokeweight="1.068404pt" strokecolor="#000000">
              <v:stroke dashstyle="solid"/>
            </v:line>
            <v:line style="position:absolute" from="5856,-1223" to="5856,-1142" stroked="true" strokeweight=".686647pt" strokecolor="#000000">
              <v:stroke dashstyle="solid"/>
            </v:line>
            <v:line style="position:absolute" from="5859,-1046" to="5859,-954" stroked="true" strokeweight=".686647pt" strokecolor="#000000">
              <v:stroke dashstyle="solid"/>
            </v:line>
            <v:line style="position:absolute" from="7068,-1526" to="7068,-1413" stroked="true" strokeweight="1.068404pt" strokecolor="#000000">
              <v:stroke dashstyle="solid"/>
            </v:line>
            <v:line style="position:absolute" from="7062,-1338" to="7062,-1256" stroked="true" strokeweight=".686647pt" strokecolor="#000000">
              <v:stroke dashstyle="solid"/>
            </v:line>
            <v:line style="position:absolute" from="7065,-1161" to="7065,-1069" stroked="true" strokeweight=".686647pt" strokecolor="#000000">
              <v:stroke dashstyle="solid"/>
            </v:line>
            <v:line style="position:absolute" from="7401,-1734" to="7401,-1621" stroked="true" strokeweight="1.068404pt" strokecolor="#000000">
              <v:stroke dashstyle="solid"/>
            </v:line>
            <v:line style="position:absolute" from="7395,-1546" to="7395,-1464" stroked="true" strokeweight=".686647pt" strokecolor="#000000">
              <v:stroke dashstyle="solid"/>
            </v:line>
            <v:line style="position:absolute" from="7398,-1369" to="7398,-1277" stroked="true" strokeweight=".686647pt" strokecolor="#000000">
              <v:stroke dashstyle="solid"/>
            </v:line>
            <v:line style="position:absolute" from="7735,-1937" to="7735,-1824" stroked="true" strokeweight="1.068404pt" strokecolor="#000000">
              <v:stroke dashstyle="solid"/>
            </v:line>
            <v:line style="position:absolute" from="7729,-1749" to="7729,-1667" stroked="true" strokeweight=".686647pt" strokecolor="#000000">
              <v:stroke dashstyle="solid"/>
            </v:line>
            <v:line style="position:absolute" from="7730,-1579" to="7730,-1482" stroked="true" strokeweight=".837707pt" strokecolor="#000000">
              <v:stroke dashstyle="solid"/>
            </v:line>
            <v:line style="position:absolute" from="8061,-2146" to="8061,-2025" stroked="true" strokeweight=".876013pt" strokecolor="#000000">
              <v:stroke dashstyle="solid"/>
            </v:line>
            <v:line style="position:absolute" from="8065,-1961" to="8065,-1862" stroked="true" strokeweight="1.089162pt" strokecolor="#000000">
              <v:stroke dashstyle="solid"/>
            </v:line>
            <v:line style="position:absolute" from="8060,-1791" to="8060,-1699" stroked="true" strokeweight=".756554pt" strokecolor="#000000">
              <v:stroke dashstyle="solid"/>
            </v:line>
            <v:line style="position:absolute" from="5099,-2169" to="5099,-2056" stroked="true" strokeweight="1.068404pt" strokecolor="#000000">
              <v:stroke dashstyle="solid"/>
            </v:line>
            <v:line style="position:absolute" from="4853,-1574" to="4927,-1620" stroked="true" strokeweight=".685727pt" strokecolor="#000000">
              <v:stroke dashstyle="solid"/>
            </v:line>
            <v:line style="position:absolute" from="8057,-1954" to="7997,-1991" stroked="true" strokeweight=".68573pt" strokecolor="#000000">
              <v:stroke dashstyle="solid"/>
            </v:line>
            <v:line style="position:absolute" from="8057,-1788" to="7997,-1826" stroked="true" strokeweight=".68573pt" strokecolor="#000000">
              <v:stroke dashstyle="solid"/>
            </v:line>
            <v:shape style="position:absolute;left:5989;top:-1231;width:146;height:77" coordorigin="5990,-1231" coordsize="146,77" path="m5990,-1231l6046,-1227,6093,-1216,6124,-1199,6135,-1179,6135,-1170,6129,-1162,6116,-1154e" filled="false" stroked="true" strokeweight=".342897pt" strokecolor="#000000">
              <v:path arrowok="t"/>
              <v:stroke dashstyle="solid"/>
            </v:shape>
            <v:shape style="position:absolute;left:5942;top:-1259;width:239;height:124" coordorigin="5943,-1259" coordsize="239,124" path="m5943,-1248l6000,-1259,6060,-1258,6115,-1246,6158,-1224,6177,-1202,6181,-1179,6172,-1156,6149,-1135e" filled="false" stroked="true" strokeweight=".342907pt" strokecolor="#000000">
              <v:path arrowok="t"/>
              <v:stroke dashstyle="solid"/>
            </v:shape>
            <v:shape style="position:absolute;left:5924;top:-1304;width:98;height:29" coordorigin="5924,-1304" coordsize="98,29" path="m5924,-1275l5952,-1290,5979,-1300,6003,-1304,6022,-1302e" filled="false" stroked="true" strokeweight=".343011pt" strokecolor="#000000">
              <v:path arrowok="t"/>
              <v:stroke dashstyle="solid"/>
            </v:shape>
            <v:shape style="position:absolute;left:5871;top:-1343;width:98;height:29" coordorigin="5871,-1343" coordsize="98,29" path="m5871,-1314l5899,-1329,5926,-1339,5950,-1343,5969,-1341e" filled="false" stroked="true" strokeweight=".343011pt" strokecolor="#000000">
              <v:path arrowok="t"/>
              <v:stroke dashstyle="solid"/>
            </v:shape>
            <v:shape style="position:absolute;left:5981;top:-1070;width:146;height:77" coordorigin="5982,-1069" coordsize="146,77" path="m5982,-1069l6038,-1065,6085,-1054,6116,-1038,6127,-1018,6127,-1009,6121,-1001,6108,-993e" filled="false" stroked="true" strokeweight=".342897pt" strokecolor="#000000">
              <v:path arrowok="t"/>
              <v:stroke dashstyle="solid"/>
            </v:shape>
            <v:shape style="position:absolute;left:5934;top:-1098;width:239;height:124" coordorigin="5934,-1098" coordsize="239,124" path="m5934,-1087l5992,-1098,6052,-1097,6107,-1085,6150,-1063,6169,-1041,6173,-1018,6164,-995,6141,-974e" filled="false" stroked="true" strokeweight=".342907pt" strokecolor="#000000">
              <v:path arrowok="t"/>
              <v:stroke dashstyle="solid"/>
            </v:shape>
            <v:shape style="position:absolute;left:5916;top:-1143;width:98;height:29" coordorigin="5916,-1143" coordsize="98,29" path="m5916,-1114l5944,-1129,5971,-1138,5995,-1143,6014,-1141e" filled="false" stroked="true" strokeweight=".343011pt" strokecolor="#000000">
              <v:path arrowok="t"/>
              <v:stroke dashstyle="solid"/>
            </v:shape>
            <v:shape style="position:absolute;left:5863;top:-1173;width:98;height:29" coordorigin="5863,-1173" coordsize="98,29" path="m5863,-1144l5891,-1159,5918,-1169,5942,-1173,5961,-1171e" filled="false" stroked="true" strokeweight=".343011pt" strokecolor="#000000">
              <v:path arrowok="t"/>
              <v:stroke dashstyle="solid"/>
            </v:shape>
            <v:shape style="position:absolute;left:5970;top:-892;width:146;height:77" coordorigin="5970,-891" coordsize="146,77" path="m5970,-891l6027,-887,6073,-876,6104,-860,6116,-840,6116,-831,6109,-822,6097,-815e" filled="false" stroked="true" strokeweight=".342897pt" strokecolor="#000000">
              <v:path arrowok="t"/>
              <v:stroke dashstyle="solid"/>
            </v:shape>
            <v:shape style="position:absolute;left:5922;top:-920;width:239;height:124" coordorigin="5923,-919" coordsize="239,124" path="m5923,-908l5981,-919,6041,-918,6095,-906,6138,-884,6157,-862,6162,-839,6153,-816,6129,-796e" filled="false" stroked="true" strokeweight=".342907pt" strokecolor="#000000">
              <v:path arrowok="t"/>
              <v:stroke dashstyle="solid"/>
            </v:shape>
            <v:shape style="position:absolute;left:5904;top:-965;width:98;height:29" coordorigin="5905,-964" coordsize="98,29" path="m5905,-935l5933,-950,5959,-960,5983,-964,6003,-962e" filled="false" stroked="true" strokeweight=".343011pt" strokecolor="#000000">
              <v:path arrowok="t"/>
              <v:stroke dashstyle="solid"/>
            </v:shape>
            <v:shape style="position:absolute;left:5851;top:-1000;width:98;height:29" coordorigin="5852,-1000" coordsize="98,29" path="m5852,-971l5880,-986,5906,-996,5930,-1000,5950,-998e" filled="false" stroked="true" strokeweight=".343011pt" strokecolor="#000000">
              <v:path arrowok="t"/>
              <v:stroke dashstyle="solid"/>
            </v:shape>
            <v:shape style="position:absolute;left:5237;top:-1356;width:150;height:68" coordorigin="5238,-1355" coordsize="150,68" path="m5387,-1288l5284,-1296,5238,-1338,5244,-1347,5256,-1355e" filled="false" stroked="true" strokeweight=".342911pt" strokecolor="#000000">
              <v:path arrowok="t"/>
              <v:stroke dashstyle="solid"/>
            </v:shape>
            <v:shape style="position:absolute;left:5192;top:-1372;width:244;height:117" coordorigin="5193,-1372" coordsize="244,117" path="m5436,-1274l5379,-1259,5319,-1256,5264,-1264,5219,-1283,5199,-1304,5193,-1326,5200,-1350,5222,-1372e" filled="false" stroked="true" strokeweight=".342884pt" strokecolor="#000000">
              <v:path arrowok="t"/>
              <v:stroke dashstyle="solid"/>
            </v:shape>
            <v:shape style="position:absolute;left:5359;top:-1248;width:96;height:35" coordorigin="5360,-1248" coordsize="96,35" path="m5456,-1248l5429,-1231,5403,-1220,5379,-1214,5360,-1214e" filled="false" stroked="true" strokeweight=".343047pt" strokecolor="#000000">
              <v:path arrowok="t"/>
              <v:stroke dashstyle="solid"/>
            </v:shape>
            <v:shape style="position:absolute;left:5415;top:-1213;width:96;height:35" coordorigin="5415,-1213" coordsize="96,35" path="m5511,-1213l5484,-1196,5458,-1184,5435,-1178,5415,-1179e" filled="false" stroked="true" strokeweight=".343047pt" strokecolor="#000000">
              <v:path arrowok="t"/>
              <v:stroke dashstyle="solid"/>
            </v:shape>
            <v:shape style="position:absolute;left:5240;top:-1516;width:150;height:68" coordorigin="5240,-1516" coordsize="150,68" path="m5390,-1448l5286,-1456,5240,-1498,5246,-1507,5258,-1516e" filled="false" stroked="true" strokeweight=".342911pt" strokecolor="#000000">
              <v:path arrowok="t"/>
              <v:stroke dashstyle="solid"/>
            </v:shape>
            <v:shape style="position:absolute;left:5194;top:-1533;width:244;height:117" coordorigin="5195,-1532" coordsize="244,117" path="m5438,-1434l5381,-1419,5321,-1416,5266,-1424,5222,-1444,5201,-1464,5195,-1487,5202,-1510,5224,-1532e" filled="false" stroked="true" strokeweight=".342884pt" strokecolor="#000000">
              <v:path arrowok="t"/>
              <v:stroke dashstyle="solid"/>
            </v:shape>
            <v:shape style="position:absolute;left:5374;top:-1416;width:96;height:35" coordorigin="5374,-1415" coordsize="96,35" path="m5470,-1415l5444,-1399,5417,-1387,5394,-1381,5374,-1382e" filled="false" stroked="true" strokeweight=".343047pt" strokecolor="#000000">
              <v:path arrowok="t"/>
              <v:stroke dashstyle="solid"/>
            </v:shape>
            <v:shape style="position:absolute;left:5417;top:-1391;width:96;height:35" coordorigin="5418,-1391" coordsize="96,35" path="m5513,-1391l5487,-1374,5461,-1362,5437,-1357,5418,-1357e" filled="false" stroked="true" strokeweight=".343047pt" strokecolor="#000000">
              <v:path arrowok="t"/>
              <v:stroke dashstyle="solid"/>
            </v:shape>
            <v:shape style="position:absolute;left:5255;top:-1702;width:150;height:68" coordorigin="5256,-1701" coordsize="150,68" path="m5405,-1633l5301,-1641,5256,-1683,5261,-1693,5273,-1701e" filled="false" stroked="true" strokeweight=".342911pt" strokecolor="#000000">
              <v:path arrowok="t"/>
              <v:stroke dashstyle="solid"/>
            </v:shape>
            <v:shape style="position:absolute;left:5210;top:-1718;width:244;height:117" coordorigin="5210,-1718" coordsize="244,117" path="m5453,-1619l5396,-1605,5337,-1601,5281,-1610,5237,-1629,5217,-1649,5210,-1672,5218,-1695,5240,-1718e" filled="false" stroked="true" strokeweight=".342884pt" strokecolor="#000000">
              <v:path arrowok="t"/>
              <v:stroke dashstyle="solid"/>
            </v:shape>
            <v:shape style="position:absolute;left:5377;top:-1594;width:96;height:35" coordorigin="5377,-1594" coordsize="96,35" path="m5473,-1594l5447,-1577,5421,-1565,5397,-1560,5377,-1560e" filled="false" stroked="true" strokeweight=".343047pt" strokecolor="#000000">
              <v:path arrowok="t"/>
              <v:stroke dashstyle="solid"/>
            </v:shape>
            <v:shape style="position:absolute;left:5433;top:-1559;width:96;height:35" coordorigin="5433,-1558" coordsize="96,35" path="m5529,-1558l5502,-1542,5476,-1530,5453,-1524,5433,-1525e" filled="false" stroked="true" strokeweight=".343047pt" strokecolor="#000000">
              <v:path arrowok="t"/>
              <v:stroke dashstyle="solid"/>
            </v:shape>
            <v:shape style="position:absolute;left:5601;top:-1541;width:205;height:141" coordorigin="5601,-1541" coordsize="205,141" path="m5601,-1541l5664,-1469,5721,-1417,5772,-1400,5793,-1400,5806,-1402,5804,-1407,5793,-1416,5780,-1424,5777,-1423e" filled="false" stroked="true" strokeweight=".343004pt" strokecolor="#000000">
              <v:path arrowok="t"/>
              <v:stroke dashstyle="solid"/>
            </v:shape>
            <v:shape style="position:absolute;left:5554;top:-1564;width:292;height:204" coordorigin="5554,-1564" coordsize="292,204" path="m5563,-1564l5557,-1551,5554,-1537,5557,-1522,5623,-1454,5695,-1406,5771,-1375,5831,-1360,5843,-1360,5846,-1365,5842,-1374,5835,-1384e" filled="false" stroked="true" strokeweight=".342976pt" strokecolor="#000000">
              <v:path arrowok="t"/>
              <v:stroke dashstyle="solid"/>
            </v:shape>
            <v:shape style="position:absolute;left:5585;top:-1356;width:211;height:133" coordorigin="5586,-1356" coordsize="211,133" path="m5586,-1356l5652,-1287,5711,-1238,5763,-1223,5784,-1225,5797,-1227,5795,-1232,5783,-1241,5770,-1248,5767,-1246e" filled="false" stroked="true" strokeweight=".34295pt" strokecolor="#000000">
              <v:path arrowok="t"/>
              <v:stroke dashstyle="solid"/>
            </v:shape>
            <v:shape style="position:absolute;left:5538;top:-1377;width:300;height:191" coordorigin="5539,-1377" coordsize="300,191" path="m5546,-1377l5541,-1364,5539,-1350,5542,-1334,5612,-1270,5686,-1226,5763,-1199,5824,-1186,5836,-1187,5838,-1192,5834,-1200,5827,-1210e" filled="false" stroked="true" strokeweight=".342956pt" strokecolor="#000000">
              <v:path arrowok="t"/>
              <v:stroke dashstyle="solid"/>
            </v:shape>
            <v:shape style="position:absolute;left:5586;top:-1182;width:215;height:128" coordorigin="5586,-1182" coordsize="215,128" path="m5586,-1182l5654,-1114,5714,-1067,5767,-1054,5788,-1056,5800,-1058,5799,-1063,5786,-1072,5773,-1078,5770,-1077e" filled="false" stroked="true" strokeweight=".342978pt" strokecolor="#000000">
              <v:path arrowok="t"/>
              <v:stroke dashstyle="solid"/>
            </v:shape>
            <v:shape style="position:absolute;left:5539;top:-1202;width:304;height:184" coordorigin="5539,-1201" coordsize="304,184" path="m5546,-1201l5541,-1188,5539,-1174,5543,-1159,5615,-1097,5689,-1054,5767,-1029,5829,-1018,5841,-1019,5843,-1025,5838,-1033,5831,-1042e" filled="false" stroked="true" strokeweight=".342946pt" strokecolor="#000000">
              <v:path arrowok="t"/>
              <v:stroke dashstyle="solid"/>
            </v:shape>
            <v:shape style="position:absolute;left:4935;top:-1880;width:205;height:141" coordorigin="4936,-1879" coordsize="205,141" path="m4936,-1879l4999,-1807,5055,-1755,5107,-1738,5128,-1739,5140,-1740,5139,-1745,5127,-1755,5115,-1762,5112,-1761e" filled="false" stroked="true" strokeweight=".343004pt" strokecolor="#000000">
              <v:path arrowok="t"/>
              <v:stroke dashstyle="solid"/>
            </v:shape>
            <v:shape style="position:absolute;left:4888;top:-1902;width:292;height:204" coordorigin="4889,-1902" coordsize="292,204" path="m4897,-1902l4891,-1889,4889,-1875,4891,-1860,4958,-1792,5029,-1745,5105,-1714,5166,-1698,5178,-1698,5180,-1704,5176,-1712,5169,-1722e" filled="false" stroked="true" strokeweight=".342976pt" strokecolor="#000000">
              <v:path arrowok="t"/>
              <v:stroke dashstyle="solid"/>
            </v:shape>
            <v:shape style="position:absolute;left:4920;top:-1705;width:211;height:133" coordorigin="4920,-1705" coordsize="211,133" path="m4920,-1705l4986,-1635,5045,-1586,5098,-1572,5119,-1573,5131,-1575,5129,-1580,5117,-1589,5104,-1596,5101,-1595e" filled="false" stroked="true" strokeweight=".34295pt" strokecolor="#000000">
              <v:path arrowok="t"/>
              <v:stroke dashstyle="solid"/>
            </v:shape>
            <v:shape style="position:absolute;left:4873;top:-1726;width:300;height:191" coordorigin="4873,-1725" coordsize="300,191" path="m4880,-1725l4875,-1712,4873,-1698,4877,-1683,4946,-1619,5020,-1575,5097,-1548,5159,-1535,5170,-1536,5173,-1541,5168,-1549,5161,-1559e" filled="false" stroked="true" strokeweight=".342956pt" strokecolor="#000000">
              <v:path arrowok="t"/>
              <v:stroke dashstyle="solid"/>
            </v:shape>
            <v:shape style="position:absolute;left:4920;top:-1531;width:215;height:128" coordorigin="4920,-1530" coordsize="215,128" path="m4920,-1530l4989,-1463,5049,-1415,5102,-1403,5122,-1404,5135,-1407,5133,-1412,5120,-1420,5108,-1427,5105,-1426e" filled="false" stroked="true" strokeweight=".342978pt" strokecolor="#000000">
              <v:path arrowok="t"/>
              <v:stroke dashstyle="solid"/>
            </v:shape>
            <v:shape style="position:absolute;left:4873;top:-1551;width:304;height:184" coordorigin="4874,-1550" coordsize="304,184" path="m4880,-1550l4875,-1537,4874,-1523,4878,-1508,4949,-1445,5024,-1403,5102,-1378,5163,-1367,5175,-1368,5177,-1373,5173,-1382,5165,-1391e" filled="false" stroked="true" strokeweight=".342946pt" strokecolor="#000000">
              <v:path arrowok="t"/>
              <v:stroke dashstyle="solid"/>
            </v:shape>
            <v:shape style="position:absolute;left:6844;top:-1397;width:167;height:100" coordorigin="6845,-1397" coordsize="167,100" path="m6845,-1297l6896,-1351,6964,-1396,6985,-1397,7002,-1394,7011,-1393e" filled="false" stroked="true" strokeweight=".514442pt" strokecolor="#000000">
              <v:path arrowok="t"/>
              <v:stroke dashstyle="solid"/>
            </v:shape>
            <v:shape style="position:absolute;left:6784;top:-1447;width:263;height:182" coordorigin="6784,-1447" coordsize="263,182" path="m6784,-1265l6832,-1341,6882,-1388,6948,-1432,6998,-1447,7016,-1443,7032,-1434,7047,-1423e" filled="false" stroked="true" strokeweight=".514468pt" strokecolor="#000000">
              <v:path arrowok="t"/>
              <v:stroke dashstyle="solid"/>
            </v:shape>
            <v:shape style="position:absolute;left:6827;top:-1210;width:167;height:100" coordorigin="6828,-1210" coordsize="167,100" path="m6828,-1110l6879,-1165,6947,-1210,6968,-1210,6985,-1207,6994,-1206e" filled="false" stroked="true" strokeweight=".514442pt" strokecolor="#000000">
              <v:path arrowok="t"/>
              <v:stroke dashstyle="solid"/>
            </v:shape>
            <v:shape style="position:absolute;left:6767;top:-1261;width:263;height:182" coordorigin="6767,-1260" coordsize="263,182" path="m6767,-1079l6815,-1155,6864,-1201,6931,-1245,6981,-1260,6999,-1256,7015,-1247,7030,-1236e" filled="false" stroked="true" strokeweight=".514468pt" strokecolor="#000000">
              <v:path arrowok="t"/>
              <v:stroke dashstyle="solid"/>
            </v:shape>
            <v:shape style="position:absolute;left:6847;top:-1046;width:167;height:100" coordorigin="6847,-1046" coordsize="167,100" path="m6847,-946l6898,-1000,6966,-1045,6988,-1046,7005,-1043,7014,-1042e" filled="false" stroked="true" strokeweight=".514442pt" strokecolor="#000000">
              <v:path arrowok="t"/>
              <v:stroke dashstyle="solid"/>
            </v:shape>
            <v:shape style="position:absolute;left:6786;top:-1096;width:263;height:182" coordorigin="6787,-1096" coordsize="263,182" path="m6787,-914l6834,-990,6884,-1037,6950,-1081,7000,-1096,7018,-1092,7034,-1083,7049,-1072e" filled="false" stroked="true" strokeweight=".514468pt" strokecolor="#000000">
              <v:path arrowok="t"/>
              <v:stroke dashstyle="solid"/>
            </v:shape>
            <v:shape style="position:absolute;left:7460;top:-1516;width:167;height:100" coordorigin="7461,-1516" coordsize="167,100" path="m7627,-1516l7576,-1461,7508,-1416,7487,-1416,7470,-1419,7461,-1420e" filled="false" stroked="true" strokeweight=".514442pt" strokecolor="#000000">
              <v:path arrowok="t"/>
              <v:stroke dashstyle="solid"/>
            </v:shape>
            <v:shape style="position:absolute;left:7425;top:-1548;width:263;height:182" coordorigin="7425,-1547" coordsize="263,182" path="m7688,-1547l7640,-1471,7590,-1425,7524,-1381,7474,-1366,7456,-1370,7440,-1379,7425,-1390e" filled="false" stroked="true" strokeweight=".514468pt" strokecolor="#000000">
              <v:path arrowok="t"/>
              <v:stroke dashstyle="solid"/>
            </v:shape>
            <v:shape style="position:absolute;left:7477;top:-1689;width:167;height:100" coordorigin="7477,-1689" coordsize="167,100" path="m7644,-1689l7592,-1634,7524,-1590,7503,-1589,7486,-1592,7477,-1593e" filled="false" stroked="true" strokeweight=".514442pt" strokecolor="#000000">
              <v:path arrowok="t"/>
              <v:stroke dashstyle="solid"/>
            </v:shape>
            <v:shape style="position:absolute;left:7441;top:-1721;width:263;height:182" coordorigin="7442,-1721" coordsize="263,182" path="m7704,-1721l7656,-1645,7607,-1598,7541,-1554,7491,-1539,7472,-1543,7456,-1552,7442,-1563e" filled="false" stroked="true" strokeweight=".514468pt" strokecolor="#000000">
              <v:path arrowok="t"/>
              <v:stroke dashstyle="solid"/>
            </v:shape>
            <v:shape style="position:absolute;left:7481;top:-1864;width:167;height:100" coordorigin="7481,-1864" coordsize="167,100" path="m7648,-1864l7597,-1809,7529,-1764,7507,-1764,7490,-1767,7481,-1768e" filled="false" stroked="true" strokeweight=".514442pt" strokecolor="#000000">
              <v:path arrowok="t"/>
              <v:stroke dashstyle="solid"/>
            </v:shape>
            <v:shape style="position:absolute;left:7445;top:-1896;width:263;height:182" coordorigin="7446,-1895" coordsize="263,182" path="m7708,-1895l7661,-1820,7611,-1773,7545,-1729,7495,-1714,7477,-1718,7461,-1727,7446,-1738e" filled="false" stroked="true" strokeweight=".514468pt" strokecolor="#000000">
              <v:path arrowok="t"/>
              <v:stroke dashstyle="solid"/>
            </v:shape>
            <v:shape style="position:absolute;left:7800;top:-2014;width:200;height:119" coordorigin="7800,-2013" coordsize="200,119" path="m7800,-1895l7852,-1956,7906,-1996,7958,-2013,8000,-2004e" filled="false" stroked="true" strokeweight=".514738pt" strokecolor="#000000">
              <v:path arrowok="t"/>
              <v:stroke dashstyle="solid"/>
            </v:shape>
            <v:shape style="position:absolute;left:7755;top:-2041;width:256;height:170" coordorigin="7756,-2040" coordsize="256,170" path="m7756,-1871l7822,-1953,7889,-2011,7949,-2040,7994,-2035,8002,-2030,8007,-2022,8011,-2012e" filled="false" stroked="true" strokeweight=".514714pt" strokecolor="#000000">
              <v:path arrowok="t"/>
              <v:stroke dashstyle="solid"/>
            </v:shape>
            <v:shape style="position:absolute;left:8005;top:-2107;width:45;height:77" coordorigin="8006,-2107" coordsize="45,77" path="m8006,-2107l8024,-2093,8038,-2075,8047,-2054,8050,-2030e" filled="false" stroked="true" strokeweight=".514905pt" strokecolor="#000000">
              <v:path arrowok="t"/>
              <v:stroke dashstyle="solid"/>
            </v:shape>
            <v:shape style="position:absolute;left:7147;top:-1340;width:192;height:130" coordorigin="7147,-1340" coordsize="192,130" path="m7339,-1340l7292,-1276,7240,-1231,7190,-1210,7147,-1217e" filled="false" stroked="true" strokeweight=".514766pt" strokecolor="#000000">
              <v:path arrowok="t"/>
              <v:stroke dashstyle="solid"/>
            </v:shape>
            <v:shape style="position:absolute;left:7137;top:-1367;width:245;height:183" coordorigin="7137,-1367" coordsize="245,183" path="m7382,-1367l7321,-1280,7259,-1217,7201,-1184,7156,-1186,7148,-1191,7142,-1198,7137,-1208e" filled="false" stroked="true" strokeweight=".514727pt" strokecolor="#000000">
              <v:path arrowok="t"/>
              <v:stroke dashstyle="solid"/>
            </v:shape>
            <v:shape style="position:absolute;left:7099;top:-1188;width:38;height:67" coordorigin="7099,-1187" coordsize="38,67" path="m7137,-1120l7122,-1133,7111,-1149,7103,-1167,7099,-1187e" filled="false" stroked="true" strokeweight=".514934pt" strokecolor="#000000">
              <v:path arrowok="t"/>
              <v:stroke dashstyle="solid"/>
            </v:shape>
            <v:shape style="position:absolute;left:7141;top:-1509;width:192;height:130" coordorigin="7141,-1509" coordsize="192,130" path="m7333,-1509l7286,-1445,7234,-1400,7184,-1380,7141,-1386e" filled="false" stroked="true" strokeweight=".514766pt" strokecolor="#000000">
              <v:path arrowok="t"/>
              <v:stroke dashstyle="solid"/>
            </v:shape>
            <v:shape style="position:absolute;left:7131;top:-1536;width:245;height:183" coordorigin="7131,-1536" coordsize="245,183" path="m7376,-1536l7315,-1449,7253,-1387,7195,-1353,7150,-1355,7142,-1360,7136,-1367,7131,-1377e" filled="false" stroked="true" strokeweight=".514727pt" strokecolor="#000000">
              <v:path arrowok="t"/>
              <v:stroke dashstyle="solid"/>
            </v:shape>
            <v:shape style="position:absolute;left:7093;top:-1357;width:38;height:67" coordorigin="7093,-1356" coordsize="38,67" path="m7131,-1289l7116,-1302,7105,-1318,7097,-1336,7093,-1356e" filled="false" stroked="true" strokeweight=".514934pt" strokecolor="#000000">
              <v:path arrowok="t"/>
              <v:stroke dashstyle="solid"/>
            </v:shape>
            <v:shape style="position:absolute;left:7163;top:-1695;width:192;height:130" coordorigin="7163,-1695" coordsize="192,130" path="m7355,-1695l7308,-1631,7256,-1586,7206,-1565,7163,-1572e" filled="false" stroked="true" strokeweight=".514766pt" strokecolor="#000000">
              <v:path arrowok="t"/>
              <v:stroke dashstyle="solid"/>
            </v:shape>
            <v:shape style="position:absolute;left:7153;top:-1722;width:245;height:183" coordorigin="7153,-1722" coordsize="245,183" path="m7398,-1722l7338,-1635,7275,-1572,7217,-1539,7172,-1541,7164,-1546,7158,-1553,7153,-1563e" filled="false" stroked="true" strokeweight=".514727pt" strokecolor="#000000">
              <v:path arrowok="t"/>
              <v:stroke dashstyle="solid"/>
            </v:shape>
            <v:shape style="position:absolute;left:7115;top:-1543;width:38;height:67" coordorigin="7115,-1542" coordsize="38,67" path="m7153,-1475l7138,-1488,7127,-1504,7119,-1522,7115,-1542e" filled="false" stroked="true" strokeweight=".514934pt" strokecolor="#000000">
              <v:path arrowok="t"/>
              <v:stroke dashstyle="solid"/>
            </v:shape>
            <v:shape style="position:absolute;left:7795;top:-1826;width:200;height:119" coordorigin="7796,-1825" coordsize="200,119" path="m7796,-1707l7847,-1767,7902,-1808,7953,-1825,7996,-1815e" filled="false" stroked="true" strokeweight=".514738pt" strokecolor="#000000">
              <v:path arrowok="t"/>
              <v:stroke dashstyle="solid"/>
            </v:shape>
            <v:shape style="position:absolute;left:7750;top:-1853;width:256;height:170" coordorigin="7751,-1852" coordsize="256,170" path="m7751,-1683l7817,-1765,7884,-1823,7944,-1852,7989,-1847,7997,-1842,8002,-1834,8006,-1824e" filled="false" stroked="true" strokeweight=".514714pt" strokecolor="#000000">
              <v:path arrowok="t"/>
              <v:stroke dashstyle="solid"/>
            </v:shape>
            <v:shape style="position:absolute;left:8001;top:-1919;width:42;height:55" coordorigin="8001,-1918" coordsize="42,55" path="m8001,-1918l8015,-1909,8027,-1896,8037,-1881,8043,-1863e" filled="false" stroked="true" strokeweight=".514764pt" strokecolor="#000000">
              <v:path arrowok="t"/>
              <v:stroke dashstyle="solid"/>
            </v:shape>
            <v:shape style="position:absolute;left:7799;top:-1673;width:200;height:119" coordorigin="7800,-1672" coordsize="200,119" path="m7800,-1554l7851,-1614,7906,-1655,7957,-1672,8000,-1662e" filled="false" stroked="true" strokeweight=".514738pt" strokecolor="#000000">
              <v:path arrowok="t"/>
              <v:stroke dashstyle="solid"/>
            </v:shape>
            <v:shape style="position:absolute;left:7755;top:-1700;width:256;height:170" coordorigin="7755,-1699" coordsize="256,170" path="m7755,-1530l7821,-1612,7888,-1670,7948,-1699,7993,-1694,8001,-1689,8007,-1681,8010,-1671e" filled="false" stroked="true" strokeweight=".514714pt" strokecolor="#000000">
              <v:path arrowok="t"/>
              <v:stroke dashstyle="solid"/>
            </v:shape>
            <v:shape style="position:absolute;left:8016;top:-1759;width:34;height:70" coordorigin="8016,-1758" coordsize="34,70" path="m8016,-1758l8030,-1745,8041,-1728,8047,-1709,8050,-1689e" filled="false" stroked="true" strokeweight=".514968pt" strokecolor="#000000">
              <v:path arrowok="t"/>
              <v:stroke dashstyle="solid"/>
            </v:shape>
            <w10:wrap type="none"/>
          </v:group>
        </w:pict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2-3.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CLT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nomenclature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panel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configuration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(adapted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from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[68]).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206"/>
        <w:ind w:left="439" w:right="117" w:firstLine="720"/>
        <w:jc w:val="both"/>
      </w:pPr>
      <w:r>
        <w:rPr/>
        <w:t>The</w:t>
      </w:r>
      <w:r>
        <w:rPr>
          <w:spacing w:val="-5"/>
        </w:rPr>
        <w:t> </w:t>
      </w:r>
      <w:r>
        <w:rPr/>
        <w:t>thickness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each</w:t>
      </w:r>
      <w:r>
        <w:rPr>
          <w:spacing w:val="-5"/>
        </w:rPr>
        <w:t> </w:t>
      </w:r>
      <w:r>
        <w:rPr/>
        <w:t>layer</w:t>
      </w:r>
      <w:r>
        <w:rPr>
          <w:spacing w:val="-5"/>
        </w:rPr>
        <w:t> </w:t>
      </w:r>
      <w:r>
        <w:rPr/>
        <w:t>in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CLT</w:t>
      </w:r>
      <w:r>
        <w:rPr>
          <w:spacing w:val="-4"/>
        </w:rPr>
        <w:t> </w:t>
      </w:r>
      <w:r>
        <w:rPr/>
        <w:t>panel</w:t>
      </w:r>
      <w:r>
        <w:rPr>
          <w:spacing w:val="-4"/>
        </w:rPr>
        <w:t> </w:t>
      </w:r>
      <w:r>
        <w:rPr/>
        <w:t>varies</w:t>
      </w:r>
      <w:r>
        <w:rPr>
          <w:spacing w:val="-6"/>
        </w:rPr>
        <w:t> </w:t>
      </w:r>
      <w:r>
        <w:rPr/>
        <w:t>from</w:t>
      </w:r>
      <w:r>
        <w:rPr>
          <w:spacing w:val="-6"/>
        </w:rPr>
        <w:t> </w:t>
      </w:r>
      <w:r>
        <w:rPr/>
        <w:t>5/8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2-inches</w:t>
      </w:r>
      <w:r>
        <w:rPr>
          <w:spacing w:val="-4"/>
        </w:rPr>
        <w:t> </w:t>
      </w:r>
      <w:r>
        <w:rPr/>
        <w:t>(16mm</w:t>
      </w:r>
      <w:r>
        <w:rPr>
          <w:spacing w:val="-6"/>
        </w:rPr>
        <w:t> </w:t>
      </w:r>
      <w:r>
        <w:rPr/>
        <w:t>to</w:t>
      </w:r>
      <w:r>
        <w:rPr>
          <w:spacing w:val="-58"/>
        </w:rPr>
        <w:t> </w:t>
      </w:r>
      <w:r>
        <w:rPr/>
        <w:t>51mm).</w:t>
      </w:r>
      <w:r>
        <w:rPr>
          <w:spacing w:val="1"/>
        </w:rPr>
        <w:t> </w:t>
      </w:r>
      <w:r>
        <w:rPr/>
        <w:t>The width of the individual pieces varies from approximately 2.4 to 9.5-inches</w:t>
      </w:r>
      <w:r>
        <w:rPr>
          <w:spacing w:val="1"/>
        </w:rPr>
        <w:t> </w:t>
      </w:r>
      <w:r>
        <w:rPr/>
        <w:t>(60mm to 240mm) [68].</w:t>
      </w:r>
      <w:r>
        <w:rPr>
          <w:spacing w:val="1"/>
        </w:rPr>
        <w:t> </w:t>
      </w:r>
      <w:r>
        <w:rPr/>
        <w:t>The full panel size varies depending on both manufacturer</w:t>
      </w:r>
      <w:r>
        <w:rPr>
          <w:spacing w:val="1"/>
        </w:rPr>
        <w:t> </w:t>
      </w:r>
      <w:r>
        <w:rPr/>
        <w:t>equipment and specific customer need.</w:t>
      </w:r>
      <w:r>
        <w:rPr>
          <w:spacing w:val="1"/>
        </w:rPr>
        <w:t> </w:t>
      </w:r>
      <w:r>
        <w:rPr/>
        <w:t>Typical widths for the panels are 2-ft (0.6m), 4-ft</w:t>
      </w:r>
      <w:r>
        <w:rPr>
          <w:spacing w:val="-57"/>
        </w:rPr>
        <w:t> </w:t>
      </w:r>
      <w:r>
        <w:rPr/>
        <w:t>(1.2m),</w:t>
      </w:r>
      <w:r>
        <w:rPr>
          <w:spacing w:val="46"/>
        </w:rPr>
        <w:t> </w:t>
      </w:r>
      <w:r>
        <w:rPr/>
        <w:t>8-ft</w:t>
      </w:r>
      <w:r>
        <w:rPr>
          <w:spacing w:val="47"/>
        </w:rPr>
        <w:t> </w:t>
      </w:r>
      <w:r>
        <w:rPr/>
        <w:t>(2.4m)</w:t>
      </w:r>
      <w:r>
        <w:rPr>
          <w:spacing w:val="46"/>
        </w:rPr>
        <w:t> </w:t>
      </w:r>
      <w:r>
        <w:rPr/>
        <w:t>and</w:t>
      </w:r>
      <w:r>
        <w:rPr>
          <w:spacing w:val="47"/>
        </w:rPr>
        <w:t> </w:t>
      </w:r>
      <w:r>
        <w:rPr/>
        <w:t>10-ft</w:t>
      </w:r>
      <w:r>
        <w:rPr>
          <w:spacing w:val="47"/>
        </w:rPr>
        <w:t> </w:t>
      </w:r>
      <w:r>
        <w:rPr/>
        <w:t>(3m).</w:t>
      </w:r>
      <w:r>
        <w:rPr>
          <w:spacing w:val="35"/>
        </w:rPr>
        <w:t> </w:t>
      </w:r>
      <w:r>
        <w:rPr/>
        <w:t>Lengths</w:t>
      </w:r>
      <w:r>
        <w:rPr>
          <w:spacing w:val="46"/>
        </w:rPr>
        <w:t> </w:t>
      </w:r>
      <w:r>
        <w:rPr/>
        <w:t>can</w:t>
      </w:r>
      <w:r>
        <w:rPr>
          <w:spacing w:val="47"/>
        </w:rPr>
        <w:t> </w:t>
      </w:r>
      <w:r>
        <w:rPr/>
        <w:t>reach</w:t>
      </w:r>
      <w:r>
        <w:rPr>
          <w:spacing w:val="45"/>
        </w:rPr>
        <w:t> </w:t>
      </w:r>
      <w:r>
        <w:rPr/>
        <w:t>60-ft</w:t>
      </w:r>
      <w:r>
        <w:rPr>
          <w:spacing w:val="46"/>
        </w:rPr>
        <w:t> </w:t>
      </w:r>
      <w:r>
        <w:rPr/>
        <w:t>(18m)</w:t>
      </w:r>
      <w:r>
        <w:rPr>
          <w:spacing w:val="47"/>
        </w:rPr>
        <w:t> </w:t>
      </w:r>
      <w:r>
        <w:rPr/>
        <w:t>which</w:t>
      </w:r>
      <w:r>
        <w:rPr>
          <w:spacing w:val="46"/>
        </w:rPr>
        <w:t> </w:t>
      </w:r>
      <w:r>
        <w:rPr/>
        <w:t>facilitates</w:t>
      </w:r>
    </w:p>
    <w:p>
      <w:pPr>
        <w:spacing w:after="0" w:line="480" w:lineRule="auto"/>
        <w:jc w:val="both"/>
        <w:sectPr>
          <w:type w:val="continuous"/>
          <w:pgSz w:w="12240" w:h="15840"/>
          <w:pgMar w:top="1380" w:bottom="280" w:left="1720" w:right="1320"/>
        </w:sectPr>
      </w:pPr>
    </w:p>
    <w:p>
      <w:pPr>
        <w:pStyle w:val="BodyText"/>
        <w:spacing w:line="480" w:lineRule="auto" w:before="78"/>
        <w:ind w:left="440" w:right="116"/>
        <w:jc w:val="both"/>
      </w:pPr>
      <w:r>
        <w:rPr/>
        <w:t>prefabrication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ease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rapid</w:t>
      </w:r>
      <w:r>
        <w:rPr>
          <w:spacing w:val="1"/>
        </w:rPr>
        <w:t> </w:t>
      </w:r>
      <w:r>
        <w:rPr/>
        <w:t>construction</w:t>
      </w:r>
      <w:r>
        <w:rPr>
          <w:spacing w:val="1"/>
        </w:rPr>
        <w:t> </w:t>
      </w:r>
      <w:r>
        <w:rPr/>
        <w:t>on-site,</w:t>
      </w:r>
      <w:r>
        <w:rPr>
          <w:spacing w:val="1"/>
        </w:rPr>
        <w:t> </w:t>
      </w:r>
      <w:r>
        <w:rPr/>
        <w:t>although</w:t>
      </w:r>
      <w:r>
        <w:rPr>
          <w:spacing w:val="1"/>
        </w:rPr>
        <w:t> </w:t>
      </w:r>
      <w:r>
        <w:rPr/>
        <w:t>lifting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hauling</w:t>
      </w:r>
      <w:r>
        <w:rPr>
          <w:spacing w:val="1"/>
        </w:rPr>
        <w:t> </w:t>
      </w:r>
      <w:r>
        <w:rPr/>
        <w:t>limitations may prevent use of larger dimensions.</w:t>
      </w:r>
      <w:r>
        <w:rPr>
          <w:spacing w:val="1"/>
        </w:rPr>
        <w:t> </w:t>
      </w:r>
      <w:r>
        <w:rPr/>
        <w:t>Additionally, transportation means and</w:t>
      </w:r>
      <w:r>
        <w:rPr>
          <w:spacing w:val="-57"/>
        </w:rPr>
        <w:t> </w:t>
      </w:r>
      <w:r>
        <w:rPr/>
        <w:t>haul routes, along with local regulations, can influence the allowable sizes of panels.</w:t>
      </w:r>
      <w:r>
        <w:rPr>
          <w:spacing w:val="1"/>
        </w:rPr>
        <w:t> </w:t>
      </w:r>
      <w:r>
        <w:rPr/>
        <w:t>Lastly, the thickness of the entire panel with all its layers can reach up to 20-in (508mm)</w:t>
      </w:r>
      <w:r>
        <w:rPr>
          <w:spacing w:val="1"/>
        </w:rPr>
        <w:t> </w:t>
      </w:r>
      <w:r>
        <w:rPr/>
        <w:t>by the current standard rating guidance from the Engineered Wood Association (APA).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customizable</w:t>
      </w:r>
      <w:r>
        <w:rPr>
          <w:spacing w:val="1"/>
        </w:rPr>
        <w:t> </w:t>
      </w:r>
      <w:r>
        <w:rPr/>
        <w:t>nature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material</w:t>
      </w:r>
      <w:r>
        <w:rPr>
          <w:spacing w:val="1"/>
        </w:rPr>
        <w:t> </w:t>
      </w:r>
      <w:r>
        <w:rPr/>
        <w:t>allows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minimizing</w:t>
      </w:r>
      <w:r>
        <w:rPr>
          <w:spacing w:val="1"/>
        </w:rPr>
        <w:t> </w:t>
      </w:r>
      <w:r>
        <w:rPr/>
        <w:t>waste</w:t>
      </w:r>
      <w:r>
        <w:rPr>
          <w:spacing w:val="1"/>
        </w:rPr>
        <w:t> </w:t>
      </w:r>
      <w:r>
        <w:rPr/>
        <w:t>both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construction</w:t>
      </w:r>
      <w:r>
        <w:rPr>
          <w:spacing w:val="-3"/>
        </w:rPr>
        <w:t> </w:t>
      </w:r>
      <w:r>
        <w:rPr/>
        <w:t>site</w:t>
      </w:r>
      <w:r>
        <w:rPr>
          <w:spacing w:val="-1"/>
        </w:rPr>
        <w:t> </w:t>
      </w:r>
      <w:r>
        <w:rPr/>
        <w:t>and in</w:t>
      </w:r>
      <w:r>
        <w:rPr>
          <w:spacing w:val="-2"/>
        </w:rPr>
        <w:t> </w:t>
      </w:r>
      <w:r>
        <w:rPr/>
        <w:t>manufacturing.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8"/>
        </w:rPr>
      </w:pPr>
    </w:p>
    <w:p>
      <w:pPr>
        <w:spacing w:before="95"/>
        <w:ind w:left="0" w:right="2589" w:firstLine="0"/>
        <w:jc w:val="right"/>
        <w:rPr>
          <w:sz w:val="15"/>
        </w:rPr>
      </w:pPr>
      <w:r>
        <w:rPr/>
        <w:pict>
          <v:group style="position:absolute;margin-left:242.443634pt;margin-top:-18.865271pt;width:167.55pt;height:100.5pt;mso-position-horizontal-relative:page;mso-position-vertical-relative:paragraph;z-index:15734784" coordorigin="4849,-377" coordsize="3351,2010">
            <v:line style="position:absolute" from="4901,908" to="7113,-367" stroked="true" strokeweight=".539447pt" strokecolor="#000000">
              <v:stroke dashstyle="solid"/>
            </v:line>
            <v:line style="position:absolute" from="7113,-367" to="8005,57" stroked="true" strokeweight=".539375pt" strokecolor="#000000">
              <v:stroke dashstyle="solid"/>
            </v:line>
            <v:line style="position:absolute" from="8005,57" to="5796,1327" stroked="true" strokeweight=".539446pt" strokecolor="#000000">
              <v:stroke dashstyle="solid"/>
            </v:line>
            <v:line style="position:absolute" from="4901,908" to="5796,1327" stroked="true" strokeweight=".53937pt" strokecolor="#000000">
              <v:stroke dashstyle="solid"/>
            </v:line>
            <v:line style="position:absolute" from="4893,956" to="5788,1371" stroked="true" strokeweight=".539367pt" strokecolor="#000000">
              <v:stroke dashstyle="solid"/>
            </v:line>
            <v:line style="position:absolute" from="4901,1000" to="5798,1422" stroked="true" strokeweight=".539372pt" strokecolor="#000000">
              <v:stroke dashstyle="solid"/>
            </v:line>
            <v:line style="position:absolute" from="4891,1034" to="5799,1465" stroked="true" strokeweight=".539384pt" strokecolor="#000000">
              <v:stroke dashstyle="solid"/>
            </v:line>
            <v:line style="position:absolute" from="4891,1078" to="5793,1512" stroked="true" strokeweight=".539378pt" strokecolor="#000000">
              <v:stroke dashstyle="solid"/>
            </v:line>
            <v:line style="position:absolute" from="4885,1126" to="5793,1555" stroked="true" strokeweight=".539382pt" strokecolor="#000000">
              <v:stroke dashstyle="solid"/>
            </v:line>
            <v:line style="position:absolute" from="4891,1126" to="4901,908" stroked="true" strokeweight=".540224pt" strokecolor="#000000">
              <v:stroke dashstyle="solid"/>
            </v:line>
            <v:line style="position:absolute" from="5796,1559" to="5797,1329" stroked="true" strokeweight=".540173pt" strokecolor="#000000">
              <v:stroke dashstyle="solid"/>
            </v:line>
            <v:line style="position:absolute" from="5075,991" to="7286,-285" stroked="true" strokeweight=".539447pt" strokecolor="#000000">
              <v:stroke dashstyle="solid"/>
            </v:line>
            <v:line style="position:absolute" from="5327,1109" to="7538,-166" stroked="true" strokeweight=".539447pt" strokecolor="#000000">
              <v:stroke dashstyle="solid"/>
            </v:line>
            <v:line style="position:absolute" from="5574,1218" to="7771,-52" stroked="true" strokeweight=".539448pt" strokecolor="#000000">
              <v:stroke dashstyle="solid"/>
            </v:line>
            <v:line style="position:absolute" from="8005,109" to="5796,1379" stroked="true" strokeweight=".539446pt" strokecolor="#000000">
              <v:stroke dashstyle="solid"/>
            </v:line>
            <v:line style="position:absolute" from="8005,149" to="5796,1419" stroked="true" strokeweight=".539446pt" strokecolor="#000000">
              <v:stroke dashstyle="solid"/>
            </v:line>
            <v:line style="position:absolute" from="8001,196" to="5792,1465" stroked="true" strokeweight=".539446pt" strokecolor="#000000">
              <v:stroke dashstyle="solid"/>
            </v:line>
            <v:line style="position:absolute" from="8006,247" to="5797,1517" stroked="true" strokeweight=".539446pt" strokecolor="#000000">
              <v:stroke dashstyle="solid"/>
            </v:line>
            <v:line style="position:absolute" from="8011,284" to="5802,1554" stroked="true" strokeweight=".539446pt" strokecolor="#000000">
              <v:stroke dashstyle="solid"/>
            </v:line>
            <v:line style="position:absolute" from="8005,63" to="8013,293" stroked="true" strokeweight=".270086pt" strokecolor="#000000">
              <v:stroke dashstyle="solid"/>
            </v:line>
            <v:line style="position:absolute" from="5792,689" to="6983,0" stroked="true" strokeweight=".269723pt" strokecolor="#000000">
              <v:stroke dashstyle="solid"/>
            </v:line>
            <v:shape style="position:absolute;left:6907;top:0;width:76;height:66" coordorigin="6907,0" coordsize="76,66" path="m6945,65l6983,0,6907,0e" filled="false" stroked="true" strokeweight=".269814pt" strokecolor="#000000">
              <v:path arrowok="t"/>
              <v:stroke dashstyle="solid"/>
            </v:shape>
            <v:shape style="position:absolute;left:5792;top:624;width:76;height:66" coordorigin="5792,624" coordsize="76,66" path="m5829,624l5792,689,5867,690e" filled="false" stroked="true" strokeweight=".269763pt" strokecolor="#000000">
              <v:path arrowok="t"/>
              <v:stroke dashstyle="solid"/>
            </v:shape>
            <v:shape style="position:absolute;left:5453;top:-214;width:1526;height:925" coordorigin="5454,-214" coordsize="1526,925" path="m5545,683l5497,710,5496,708,5502,705,5504,703,5504,698,5503,695,5469,639,5467,636,5463,635,5460,635,5455,639,5454,637,5495,612,5504,609,5512,608,5485,624,5482,626,5478,630,5515,693,5520,691,5525,689,5553,673,5545,683xm5553,673l5536,682,5541,675,5546,657,5544,647,5532,627,5524,621,5506,615,5497,617,5512,608,5519,607,5526,608,5540,616,5545,622,5556,640,5558,650,5553,672,5553,673xm5554,588l5551,589,5550,590,5546,589,5545,588,5543,585,5543,583,5544,580,5545,578,5548,576,5550,576,5553,577,5554,578,5556,581,5556,583,5555,586,5554,588xm5554,619l5552,617,5564,602,5566,601,5571,608,5557,616,5555,617,5554,619xm5601,647l5581,659,5583,657,5584,655,5584,654,5584,652,5564,618,5562,616,5561,615,5559,615,5558,615,5571,608,5592,644,5593,646,5595,647,5596,648,5599,648,5601,647xm5604,648l5580,662,5579,660,5603,646,5604,648xm5583,602l5581,600,5593,585,5595,584,5599,591,5585,600,5584,601,5583,602xm5604,594l5602,595,5601,585,5603,579,5610,575,5612,575,5616,576,5617,577,5619,580,5606,587,5605,588,5604,592,5604,594xm5631,630l5610,642,5611,640,5613,638,5613,636,5612,634,5593,602,5592,601,5591,599,5590,598,5588,598,5587,598,5599,591,5602,595,5604,594,5604,595,5604,600,5620,627,5622,628,5624,630,5625,630,5629,630,5631,630xm5618,586l5615,587,5613,587,5609,587,5607,587,5619,580,5619,580,5619,581,5619,584,5618,586xm5634,630l5608,645,5607,643,5633,628,5634,630xm5677,607l5665,614,5659,615,5645,610,5639,605,5629,589,5628,581,5631,566,5635,561,5647,553,5653,552,5656,553,5638,564,5636,567,5634,574,5634,578,5636,583,5671,563,5673,566,5638,586,5642,593,5648,598,5660,602,5665,602,5682,592,5680,602,5677,607xm5671,563l5659,569,5657,566,5656,564,5652,562,5650,561,5645,561,5643,561,5656,553,5664,556,5669,559,5671,563xm5682,592l5674,597,5676,595,5679,588,5679,584,5678,578,5680,579,5682,584,5683,590,5682,592xm5725,579l5714,585,5708,586,5694,581,5688,576,5679,560,5677,552,5681,537,5685,531,5697,524,5701,523,5706,524,5688,534,5686,537,5685,546,5686,552,5693,564,5698,568,5709,574,5714,574,5732,564,5728,575,5725,579xm5715,536l5711,538,5709,538,5706,537,5705,536,5702,532,5700,531,5696,530,5694,531,5706,524,5711,525,5714,527,5717,531,5717,532,5716,535,5715,536xm5732,564l5723,569,5725,566,5727,562,5728,559,5728,555,5727,549,5729,549,5732,556,5732,563,5732,564xm5747,502l5718,519,5717,517,5718,515,5720,513,5722,506,5722,503,5722,498,5722,494,5721,490,5723,489,5733,505,5744,498,5747,502xm5766,554l5761,557,5760,557,5755,557,5753,556,5750,554,5748,552,5726,514,5735,509,5756,545,5758,547,5761,548,5762,548,5770,543,5770,546,5767,552,5766,554xm5770,543l5765,546,5766,545,5767,542,5768,541,5767,539,5769,537,5770,542,5770,543xm5754,471l5751,472,5749,473,5746,472,5745,471,5743,468,5742,466,5743,463,5744,461,5747,459,5749,459,5753,460,5754,461,5756,464,5756,466,5755,469,5754,471xm5754,502l5752,500,5763,485,5766,484,5770,491,5756,499,5755,500,5754,502xm5800,530l5781,542,5782,540,5783,538,5783,537,5783,535,5764,501,5761,499,5761,498,5759,498,5758,498,5770,491,5791,527,5793,529,5795,531,5796,531,5798,531,5800,530xm5804,531l5779,545,5778,543,5802,529,5804,531xm5839,512l5827,519,5820,519,5805,513,5800,509,5793,498,5792,493,5791,481,5792,476,5797,467,5800,464,5812,457,5820,456,5821,456,5803,467,5801,469,5799,473,5798,476,5799,483,5801,487,5808,499,5813,504,5825,512,5830,512,5846,503,5843,508,5839,512xm5846,503l5838,507,5841,504,5842,496,5840,490,5831,474,5825,468,5813,463,5809,463,5821,456,5834,462,5840,466,5846,477,5848,482,5849,494,5848,499,5846,503xm5839,452l5837,451,5848,436,5850,434,5855,442,5841,450,5840,451,5839,452xm5860,443l5857,445,5858,434,5862,428,5870,423,5873,422,5878,423,5881,424,5882,425,5863,436,5860,441,5860,443xm5914,463l5895,474,5897,473,5898,470,5898,469,5898,468,5879,437,5877,434,5873,432,5870,432,5882,425,5886,428,5888,431,5906,461,5907,461,5907,462,5909,464,5910,464,5913,464,5914,463xm5885,481l5866,491,5868,490,5868,486,5868,485,5848,451,5846,449,5845,449,5844,448,5843,449,5855,442,5857,445,5860,443,5858,448,5877,479,5877,480,5879,481,5881,481,5883,481,5885,481xm5889,481l5864,495,5863,493,5888,479,5889,481xm5918,464l5893,478,5892,476,5917,462,5918,464xm5980,430l5968,437,5960,437,5945,431,5940,426,5934,416,5932,410,5931,399,5932,393,5937,385,5940,381,5952,375,5960,374,5961,374,5943,385,5942,386,5939,391,5939,394,5940,401,5941,405,5948,417,5953,422,5965,429,5971,430,5986,421,5983,426,5980,430xm5986,421l5979,425,5981,422,5982,413,5980,408,5971,392,5965,386,5953,381,5949,381,5961,374,5975,380,5980,384,5986,395,5988,400,5989,412,5988,417,5986,421xm5996,351l5987,356,5983,348,5981,343,5980,334,5981,330,5985,322,5988,319,5996,314,6000,313,6005,314,5989,324,5987,325,5986,328,5986,330,5987,334,5988,335,5989,338,5996,351xm6011,324l6009,325,6008,325,6005,325,6003,324,5998,322,5996,321,5993,321,5992,322,6005,314,6008,314,6010,315,6012,318,6012,320,6011,323,6011,324xm6012,347l5980,365,5978,362,6009,343,6012,347xm6029,396l6010,407,6011,406,6013,403,6013,402,6012,399,6012,397,5990,360,5999,354,6021,392,6023,395,6027,396,6029,396xm6037,394l6007,411,6006,409,6036,392,6037,394xm6084,277l6081,279,6079,279,6076,279,6075,277,6074,276,6073,274,6072,273,6073,269,6074,268,6077,266,6079,266,6082,267,6084,268,6085,271,6086,272,6085,276,6084,277xm6062,312l6053,318,6048,309,6046,305,6046,296,6046,292,6050,283,6053,280,6061,276,6066,275,6071,275,6054,285,6053,287,6051,290,6051,292,6053,296,6053,297,6055,300,6062,312xm6076,286l6074,287,6073,287,6070,287,6069,286,6063,284,6061,283,6058,283,6057,283,6071,275,6073,276,6075,278,6076,278,6076,279,6077,280,6077,281,6077,284,6076,286xm6076,279l6076,278,6075,278,6073,276,6075,277,6076,279xm6084,308l6082,307,6093,292,6096,290,6100,298,6086,306,6085,307,6084,308xm6077,309l6045,327,6043,323,6075,305,6077,309xm6095,357l6075,369,6077,368,6078,365,6078,363,6078,360,6077,359,6055,321,6064,316,6087,354,6088,356,6093,358,6095,357xm6130,337l6110,348,6112,347,6113,345,6113,344,6113,344,6113,341,6093,308,6091,305,6090,305,6089,305,6088,305,6100,298,6122,335,6123,336,6125,337,6126,338,6128,338,6130,337xm6103,355l6073,373,6072,371,6102,353,6103,355xm6133,337l6109,352,6108,350,6132,335,6133,337xm6096,266l6094,264,6106,250,6108,248,6112,255,6098,263,6097,264,6096,266xm6170,318l6161,324,6157,325,6150,326,6146,326,6142,326,6106,265,6104,263,6103,262,6101,262,6100,262,6112,255,6129,284,6133,282,6132,284,6131,288,6149,318,6152,318,6155,319,6160,318,6162,317,6175,310,6174,313,6170,318xm6133,282l6129,284,6130,275,6133,268,6144,262,6150,262,6158,264,6137,276,6136,278,6133,282,6133,282xm6175,310l6167,314,6169,311,6171,300,6169,294,6161,281,6157,276,6147,273,6143,273,6158,264,6163,266,6168,271,6178,287,6179,296,6175,310xm6225,286l6213,293,6207,293,6193,289,6187,284,6177,268,6175,260,6179,245,6183,239,6195,232,6201,231,6204,232,6185,243,6183,246,6181,253,6182,257,6184,262,6219,241,6220,245,6186,265,6190,272,6195,277,6208,281,6213,281,6230,271,6228,281,6225,286xm6219,241l6207,248,6205,245,6203,243,6200,241,6198,240,6193,239,6190,240,6204,232,6212,235,6217,238,6219,241xm6230,271l6221,276,6224,273,6226,267,6227,263,6226,257,6228,257,6230,263,6231,269,6230,271xm6218,230l6216,228,6228,213,6230,212,6234,219,6220,227,6219,228,6218,230xm6239,221l6237,223,6236,213,6238,207,6245,203,6247,203,6251,204,6252,205,6254,207,6241,215,6240,216,6239,220,6239,221xm6266,257l6245,270,6246,268,6248,265,6248,264,6247,262,6228,229,6227,228,6226,227,6225,226,6223,226,6222,226,6234,219,6237,223,6239,221,6239,223,6239,228,6255,255,6257,256,6259,258,6260,258,6264,258,6266,257xm6253,213l6250,215,6248,215,6244,214,6242,214,6254,207,6254,208,6254,209,6254,212,6253,213xm6269,258l6243,273,6242,271,6268,256,6269,258xm6341,218l6329,225,6321,226,6306,219,6301,215,6295,204,6293,199,6292,187,6293,182,6298,173,6302,170,6313,163,6321,162,6322,163,6304,173,6303,175,6300,179,6300,182,6301,189,6302,193,6309,205,6314,211,6326,218,6332,218,6347,209,6344,214,6341,218xm6347,209l6340,213,6342,210,6343,202,6341,196,6332,180,6326,174,6314,169,6310,170,6322,163,6336,168,6341,172,6347,183,6349,188,6350,200,6349,205,6347,209xm6358,139l6349,144,6344,136,6342,131,6341,122,6342,118,6346,110,6349,107,6357,102,6361,101,6366,102,6350,112,6348,113,6347,116,6347,118,6348,122,6349,124,6350,126,6358,139xm6372,112l6370,113,6369,114,6366,113,6364,113,6359,110,6357,110,6354,110,6353,110,6366,102,6369,102,6371,104,6373,107,6373,108,6372,111,6372,112xm6373,135l6341,154,6339,150,6370,131,6373,135xm6390,184l6371,195,6372,194,6374,191,6374,190,6373,187,6373,186,6351,148,6360,143,6382,180,6384,183,6388,184,6390,184xm6398,182l6369,200,6367,198,6397,180,6398,182xm6432,100l6403,117,6402,115,6404,113,6405,111,6407,105,6408,101,6408,96,6407,93,6407,88,6408,87,6418,104,6430,97,6432,100xm6451,152l6447,155,6445,155,6441,155,6439,155,6435,152,6434,150,6411,113,6420,107,6442,143,6443,145,6446,146,6448,146,6455,141,6455,144,6453,150,6451,152xm6455,141l6450,144,6451,143,6453,140,6453,139,6453,137,6455,136,6456,140,6455,141xm6421,75l6419,74,6431,59,6433,57,6437,65,6424,73,6423,74,6421,75xm6483,130l6463,142,6465,140,6466,138,6466,137,6466,134,6431,75,6429,72,6428,72,6426,71,6425,72,6437,65,6455,94,6458,92,6458,93,6457,97,6475,129,6476,129,6477,130,6479,131,6481,131,6483,130xm6458,92l6455,94,6456,87,6458,82,6461,77,6463,75,6468,72,6471,71,6477,72,6480,74,6480,74,6463,84,6462,85,6459,90,6458,92xm6512,113l6494,124,6495,122,6496,120,6496,118,6496,117,6479,88,6477,85,6474,82,6472,82,6468,81,6467,82,6480,74,6485,78,6488,83,6505,111,6505,112,6507,113,6508,113,6511,113,6512,113xm6487,130l6462,145,6461,143,6486,128,6487,130xm6516,113l6491,128,6490,126,6515,111,6516,113xm6549,96l6537,103,6531,103,6517,99,6511,94,6501,78,6500,70,6503,55,6507,49,6519,42,6525,41,6528,42,6510,53,6508,56,6506,63,6506,67,6508,72,6543,51,6545,55,6510,75,6514,82,6520,87,6532,91,6537,91,6554,81,6552,91,6549,96xm6543,51l6531,58,6529,55,6528,53,6524,50,6522,50,6517,49,6515,50,6528,42,6536,44,6541,48,6543,51xm6554,81l6546,86,6548,83,6551,77,6551,73,6550,67,6552,67,6554,73,6555,79,6554,81xm6597,3l6569,20,6568,18,6569,16,6570,14,6572,8,6573,4,6573,-1,6573,-4,6572,-9,6574,-10,6583,7,6595,0,6597,3xm6616,55l6612,58,6610,58,6606,58,6604,58,6600,55,6599,53,6577,16,6586,10,6607,46,6608,48,6612,49,6613,49,6621,44,6621,47,6618,53,6616,55xm6621,44l6616,47,6617,46,6618,43,6618,42,6618,40,6620,39,6621,43,6621,44xm6659,31l6647,39,6639,39,6624,33,6619,28,6613,17,6611,12,6610,0,6611,-5,6616,-13,6620,-17,6631,-24,6639,-24,6640,-24,6622,-13,6621,-12,6618,-7,6618,-4,6619,3,6620,7,6627,19,6632,24,6644,31,6650,32,6665,23,6662,28,6659,31xm6665,23l6658,27,6660,24,6661,15,6659,9,6650,-6,6644,-12,6633,-17,6628,-17,6640,-24,6654,-19,6659,-14,6666,-3,6667,2,6668,14,6667,19,6665,23xm6679,-36l6676,-34,6676,-40,6677,-44,6680,-51,6682,-53,6690,-58,6695,-58,6704,-56,6684,-44,6682,-42,6680,-39,6679,-36xm6657,-28l6655,-29,6667,-44,6669,-45,6673,-38,6659,-30,6658,-29,6657,-28xm6721,23l6698,36,6699,35,6701,32,6701,31,6701,29,6667,-28,6666,-30,6665,-31,6664,-31,6662,-31,6661,-31,6673,-38,6676,-34,6679,-36,6678,-31,6693,-5,6696,-2,6698,-1,6703,-1,6698,3,6709,21,6710,23,6712,25,6713,25,6716,25,6718,24,6721,23,6721,23xm6722,-10l6714,-5,6716,-8,6717,-18,6716,-24,6707,-38,6702,-43,6692,-47,6689,-47,6704,-56,6708,-54,6714,-49,6723,-33,6725,-24,6722,-10xm6718,-3l6709,2,6707,3,6703,4,6700,3,6698,3,6703,-1,6704,0,6707,-1,6722,-10,6722,-9,6718,-3xm6722,25l6696,40,6694,38,6698,36,6721,23,6722,25xm6729,-105l6727,-107,6738,-121,6741,-123,6745,-116,6731,-108,6730,-107,6729,-105xm6791,-51l6771,-39,6773,-40,6774,-42,6774,-43,6774,-46,6739,-106,6737,-108,6736,-109,6734,-109,6733,-109,6745,-116,6782,-54,6783,-52,6785,-50,6786,-50,6789,-50,6791,-51xm6795,-50l6770,-36,6769,-38,6793,-52,6795,-50xm6789,-92l6787,-91,6785,-90,6782,-91,6781,-92,6778,-97,6778,-101,6782,-110,6785,-114,6796,-120,6800,-121,6806,-121,6789,-112,6788,-110,6786,-106,6787,-104,6790,-98,6791,-96,6790,-93,6789,-92xm6816,-61l6810,-58,6807,-57,6799,-59,6797,-62,6793,-68,6792,-71,6792,-76,6793,-80,6798,-89,6803,-95,6810,-103,6805,-110,6803,-113,6797,-115,6794,-115,6806,-121,6806,-121,6809,-121,6813,-118,6814,-116,6820,-105,6811,-100,6807,-95,6805,-91,6802,-86,6801,-83,6800,-78,6801,-76,6803,-71,6805,-69,6811,-68,6813,-68,6823,-74,6822,-71,6820,-66,6818,-63,6816,-61xm6823,-74l6818,-71,6820,-75,6823,-81,6811,-100,6820,-105,6832,-85,6834,-83,6834,-83,6825,-77,6823,-74xm6842,-86l6838,-83,6838,-84,6839,-85,6840,-87,6841,-91,6842,-88,6842,-86xm6839,-75l6834,-72,6832,-71,6828,-73,6827,-75,6825,-77,6834,-83,6835,-83,6836,-83,6837,-83,6842,-86,6841,-80,6839,-75xm6881,-81l6873,-76,6874,-77,6875,-81,6875,-84,6873,-99,6832,-127,6830,-128,6826,-129,6825,-130,6823,-130,6821,-130,6819,-129,6818,-131,6841,-145,6843,-143,6840,-141,6839,-140,6838,-138,6838,-137,6840,-134,6841,-132,6871,-113,6876,-115,6881,-82,6881,-81xm6876,-115l6871,-113,6866,-149,6866,-149,6864,-153,6863,-153,6862,-153,6860,-153,6859,-152,6858,-152,6857,-154,6873,-163,6874,-161,6873,-160,6872,-159,6871,-158,6871,-156,6870,-155,6870,-154,6871,-151,6871,-149,6876,-115xm6875,-65l6870,-62,6867,-61,6863,-62,6862,-63,6860,-66,6860,-68,6860,-71,6862,-72,6865,-74,6866,-74,6871,-75,6872,-75,6881,-81,6880,-76,6877,-68,6875,-65xm6935,-131l6924,-124,6917,-123,6903,-127,6897,-132,6888,-149,6886,-157,6889,-171,6893,-177,6905,-184,6911,-185,6914,-184,6896,-174,6894,-171,6892,-163,6892,-159,6895,-155,6929,-175,6931,-172,6896,-152,6901,-144,6906,-139,6918,-135,6924,-136,6941,-146,6939,-135,6935,-131xm6929,-175l6918,-168,6916,-171,6914,-173,6910,-176,6908,-177,6903,-177,6901,-176,6914,-184,6923,-182,6927,-178,6929,-175xm6941,-146l6932,-140,6934,-143,6937,-149,6937,-154,6936,-159,6939,-159,6941,-154,6941,-148,6941,-146xm6928,-187l6927,-188,6938,-203,6940,-205,6945,-197,6931,-189,6929,-188,6928,-187xm6950,-195l6947,-193,6947,-203,6949,-210,6955,-213,6957,-214,6961,-213,6963,-212,6965,-209,6951,-201,6951,-200,6950,-197,6950,-195xm6976,-159l6955,-147,6957,-148,6958,-151,6958,-152,6958,-155,6939,-187,6938,-188,6936,-190,6935,-190,6934,-191,6933,-190,6945,-197,6947,-193,6950,-195,6949,-193,6950,-189,6966,-162,6967,-160,6970,-159,6971,-158,6974,-158,6976,-159xm6963,-203l6961,-202,6959,-201,6954,-202,6953,-202,6965,-209,6965,-209,6965,-207,6964,-204,6963,-203xm6979,-158l6954,-143,6953,-145,6978,-160,6979,-158xe" filled="true" fillcolor="#000000" stroked="false">
              <v:path arrowok="t"/>
              <v:fill type="solid"/>
            </v:shape>
            <v:line style="position:absolute" from="5072,986" to="5072,1041" stroked="true" strokeweight=".449793pt" strokecolor="#000000">
              <v:stroke dashstyle="solid"/>
            </v:line>
            <v:line style="position:absolute" from="5318,1106" to="5318,1155" stroked="true" strokeweight=".407839pt" strokecolor="#000000">
              <v:stroke dashstyle="solid"/>
            </v:line>
            <v:line style="position:absolute" from="5561,1215" to="5561,1261" stroked="true" strokeweight=".322529pt" strokecolor="#000000">
              <v:stroke dashstyle="solid"/>
            </v:line>
            <v:shape style="position:absolute;left:5089;top:1163;width:205;height:154" coordorigin="5090,1164" coordsize="205,154" path="m5090,1164l5090,1213m5295,1268l5295,1317e" filled="false" stroked="true" strokeweight=".425837pt" strokecolor="#000000">
              <v:path arrowok="t"/>
              <v:stroke dashstyle="solid"/>
            </v:shape>
            <v:line style="position:absolute" from="5514,1374" to="5514,1415" stroked="true" strokeweight=".270193pt" strokecolor="#000000">
              <v:stroke dashstyle="solid"/>
            </v:line>
            <v:line style="position:absolute" from="5625,1339" to="5625,1380" stroked="true" strokeweight=".270193pt" strokecolor="#000000">
              <v:stroke dashstyle="solid"/>
            </v:line>
            <v:line style="position:absolute" from="5393,1228" to="5393,1269" stroked="true" strokeweight=".270193pt" strokecolor="#000000">
              <v:stroke dashstyle="solid"/>
            </v:line>
            <v:line style="position:absolute" from="5219,1151" to="5219,1192" stroked="true" strokeweight=".270193pt" strokecolor="#000000">
              <v:stroke dashstyle="solid"/>
            </v:line>
            <v:line style="position:absolute" from="5020,1055" to="5020,1096" stroked="true" strokeweight=".270193pt" strokecolor="#000000">
              <v:stroke dashstyle="solid"/>
            </v:line>
            <v:line style="position:absolute" from="5967,1276" to="5967,1315" stroked="true" strokeweight=".270193pt" strokecolor="#000000">
              <v:stroke dashstyle="solid"/>
            </v:line>
            <v:line style="position:absolute" from="5919,1392" to="5919,1444" stroked="true" strokeweight=".457621pt" strokecolor="#000000">
              <v:stroke dashstyle="solid"/>
            </v:line>
            <v:shape style="position:absolute;left:6114;top:244;width:1798;height:1087" coordorigin="6114,244" coordsize="1798,1087" path="m6114,1281l6114,1331m6287,1178l6287,1228m6525,1046l6525,1096m6687,957l6687,1007m6812,884l6812,934m6209,1140l6209,1190m6447,998l6447,1047m6685,863l6685,913m6856,764l6856,814m7011,763l7011,813m7185,667l7185,717m7419,533l7419,583m7592,435l7592,485m7712,364l7712,414m7912,248l7912,298m7120,612l7120,662m7343,489l7343,539m7585,342l7585,392m7765,244l7765,294e" filled="false" stroked="true" strokeweight=".285425pt" strokecolor="#000000">
              <v:path arrowok="t"/>
              <v:stroke dashstyle="solid"/>
            </v:shape>
            <v:line style="position:absolute" from="4857,852" to="4992,766" stroked="true" strokeweight=".809133pt" strokecolor="#000000">
              <v:stroke dashstyle="solid"/>
            </v:line>
            <v:line style="position:absolute" from="6166,1480" to="6301,1394" stroked="true" strokeweight=".809133pt" strokecolor="#000000">
              <v:stroke dashstyle="solid"/>
            </v:line>
            <v:line style="position:absolute" from="4983,766" to="6297,1400" stroked="true" strokeweight=".809083pt" strokecolor="#000000">
              <v:stroke dashstyle="solid"/>
            </v:line>
            <v:line style="position:absolute" from="5018,1282" to="5158,1340" stroked="true" strokeweight=".808903pt" strokecolor="#000000">
              <v:stroke dashstyle="solid"/>
            </v:line>
            <v:line style="position:absolute" from="7571,-209" to="7714,-151" stroked="true" strokeweight=".808896pt" strokecolor="#000000">
              <v:stroke dashstyle="solid"/>
            </v:line>
            <v:line style="position:absolute" from="5153,1339" to="7712,-148" stroked="true" strokeweight=".809173pt" strokecolor="#000000">
              <v:stroke dashstyle="solid"/>
            </v:line>
            <v:line style="position:absolute" from="8110,59" to="8112,291" stroked="true" strokeweight=".540173pt" strokecolor="#000000">
              <v:stroke dashstyle="solid"/>
            </v:line>
            <v:line style="position:absolute" from="8194,59" to="8048,58" stroked="true" strokeweight=".539115pt" strokecolor="#000000">
              <v:stroke dashstyle="solid"/>
            </v:line>
            <v:line style="position:absolute" from="8199,291" to="8048,291" stroked="true" strokeweight=".539115pt" strokecolor="#000000">
              <v:stroke dashstyle="solid"/>
            </v:line>
            <v:shape style="position:absolute;left:7733;top:-378;width:130;height:167" type="#_x0000_t202" filled="false" stroked="false">
              <v:textbox inset="0,0,0,0">
                <w:txbxContent>
                  <w:p>
                    <w:pPr>
                      <w:spacing w:line="167" w:lineRule="exact" w:before="0"/>
                      <w:ind w:left="0" w:right="0" w:firstLine="0"/>
                      <w:jc w:val="left"/>
                      <w:rPr>
                        <w:sz w:val="15"/>
                      </w:rPr>
                    </w:pPr>
                    <w:r>
                      <w:rPr>
                        <w:w w:val="100"/>
                        <w:sz w:val="15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4886;top:1301;width:130;height:167" type="#_x0000_t202" filled="false" stroked="false">
              <v:textbox inset="0,0,0,0">
                <w:txbxContent>
                  <w:p>
                    <w:pPr>
                      <w:spacing w:line="167" w:lineRule="exact" w:before="0"/>
                      <w:ind w:left="0" w:right="0" w:firstLine="0"/>
                      <w:jc w:val="left"/>
                      <w:rPr>
                        <w:sz w:val="15"/>
                      </w:rPr>
                    </w:pPr>
                    <w:r>
                      <w:rPr>
                        <w:w w:val="100"/>
                        <w:sz w:val="15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6062;top:1464;width:121;height:167" type="#_x0000_t202" filled="false" stroked="false">
              <v:textbox inset="0,0,0,0">
                <w:txbxContent>
                  <w:p>
                    <w:pPr>
                      <w:spacing w:line="167" w:lineRule="exact" w:before="0"/>
                      <w:ind w:left="0" w:right="0" w:firstLine="0"/>
                      <w:jc w:val="left"/>
                      <w:rPr>
                        <w:sz w:val="15"/>
                      </w:rPr>
                    </w:pPr>
                    <w:r>
                      <w:rPr>
                        <w:w w:val="100"/>
                        <w:sz w:val="15"/>
                      </w:rPr>
                      <w:t>B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100"/>
          <w:sz w:val="15"/>
        </w:rPr>
        <w:t>D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8"/>
        </w:rPr>
      </w:pPr>
    </w:p>
    <w:p>
      <w:pPr>
        <w:spacing w:before="94"/>
        <w:ind w:left="2985" w:right="0" w:firstLine="0"/>
        <w:jc w:val="left"/>
        <w:rPr>
          <w:sz w:val="15"/>
        </w:rPr>
      </w:pPr>
      <w:r>
        <w:rPr>
          <w:w w:val="100"/>
          <w:sz w:val="15"/>
        </w:rPr>
        <w:t>B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9"/>
        </w:rPr>
      </w:pPr>
    </w:p>
    <w:p>
      <w:pPr>
        <w:spacing w:after="0"/>
        <w:rPr>
          <w:sz w:val="29"/>
        </w:rPr>
        <w:sectPr>
          <w:pgSz w:w="12240" w:h="15840"/>
          <w:pgMar w:header="0" w:footer="1064" w:top="1360" w:bottom="1260" w:left="1720" w:right="1320"/>
        </w:sectPr>
      </w:pPr>
    </w:p>
    <w:p>
      <w:pPr>
        <w:pStyle w:val="BodyText"/>
        <w:spacing w:before="9"/>
        <w:rPr>
          <w:sz w:val="17"/>
        </w:rPr>
      </w:pPr>
    </w:p>
    <w:p>
      <w:pPr>
        <w:spacing w:before="0"/>
        <w:ind w:left="3204" w:right="0" w:firstLine="0"/>
        <w:jc w:val="both"/>
        <w:rPr>
          <w:sz w:val="19"/>
        </w:rPr>
      </w:pPr>
      <w:r>
        <w:rPr>
          <w:sz w:val="19"/>
        </w:rPr>
        <w:t>Section</w:t>
      </w:r>
      <w:r>
        <w:rPr>
          <w:spacing w:val="-9"/>
          <w:sz w:val="19"/>
        </w:rPr>
        <w:t> </w:t>
      </w:r>
      <w:r>
        <w:rPr>
          <w:sz w:val="19"/>
        </w:rPr>
        <w:t>A-A</w:t>
      </w:r>
    </w:p>
    <w:p>
      <w:pPr>
        <w:spacing w:line="184" w:lineRule="auto" w:before="112"/>
        <w:ind w:left="3363" w:right="718" w:hanging="5"/>
        <w:jc w:val="both"/>
        <w:rPr>
          <w:rFonts w:ascii="Calibri"/>
          <w:sz w:val="6"/>
        </w:rPr>
      </w:pPr>
      <w:r>
        <w:rPr/>
        <w:pict>
          <v:shape style="position:absolute;margin-left:231.240295pt;margin-top:11.383443pt;width:7.05pt;height:10.75pt;mso-position-horizontal-relative:page;mso-position-vertical-relative:paragraph;z-index:15735296" type="#_x0000_t202" filled="false" stroked="false">
            <v:textbox inset="0,0,0,0">
              <w:txbxContent>
                <w:p>
                  <w:pPr>
                    <w:spacing w:line="214" w:lineRule="exact" w:before="0"/>
                    <w:ind w:left="0" w:right="0" w:firstLine="0"/>
                    <w:jc w:val="left"/>
                    <w:rPr>
                      <w:sz w:val="19"/>
                    </w:rPr>
                  </w:pPr>
                  <w:r>
                    <w:rPr>
                      <w:w w:val="102"/>
                      <w:sz w:val="19"/>
                    </w:rPr>
                    <w:t>D</w:t>
                  </w:r>
                </w:p>
              </w:txbxContent>
            </v:textbox>
            <w10:wrap type="none"/>
          </v:shape>
        </w:pict>
      </w:r>
      <w:r>
        <w:rPr>
          <w:rFonts w:ascii="Calibri"/>
          <w:w w:val="110"/>
          <w:sz w:val="9"/>
        </w:rPr>
        <w:t>d</w:t>
      </w:r>
      <w:r>
        <w:rPr>
          <w:rFonts w:ascii="Calibri"/>
          <w:w w:val="110"/>
          <w:position w:val="-1"/>
          <w:sz w:val="6"/>
        </w:rPr>
        <w:t>1</w:t>
      </w:r>
      <w:r>
        <w:rPr>
          <w:rFonts w:ascii="Calibri"/>
          <w:spacing w:val="-13"/>
          <w:w w:val="110"/>
          <w:position w:val="-1"/>
          <w:sz w:val="6"/>
        </w:rPr>
        <w:t> </w:t>
      </w:r>
      <w:r>
        <w:rPr>
          <w:rFonts w:ascii="Calibri"/>
          <w:w w:val="110"/>
          <w:sz w:val="9"/>
        </w:rPr>
        <w:t>d</w:t>
      </w:r>
      <w:r>
        <w:rPr>
          <w:rFonts w:ascii="Calibri"/>
          <w:w w:val="110"/>
          <w:position w:val="-1"/>
          <w:sz w:val="6"/>
        </w:rPr>
        <w:t>2</w:t>
      </w:r>
      <w:r>
        <w:rPr>
          <w:rFonts w:ascii="Calibri"/>
          <w:spacing w:val="-13"/>
          <w:w w:val="110"/>
          <w:position w:val="-1"/>
          <w:sz w:val="6"/>
        </w:rPr>
        <w:t> </w:t>
      </w:r>
      <w:r>
        <w:rPr>
          <w:rFonts w:ascii="Calibri"/>
          <w:w w:val="110"/>
          <w:sz w:val="9"/>
        </w:rPr>
        <w:t>d</w:t>
      </w:r>
      <w:r>
        <w:rPr>
          <w:rFonts w:ascii="Calibri"/>
          <w:w w:val="110"/>
          <w:position w:val="-1"/>
          <w:sz w:val="6"/>
        </w:rPr>
        <w:t>3</w:t>
      </w:r>
      <w:r>
        <w:rPr>
          <w:rFonts w:ascii="Calibri"/>
          <w:spacing w:val="-13"/>
          <w:w w:val="110"/>
          <w:position w:val="-1"/>
          <w:sz w:val="6"/>
        </w:rPr>
        <w:t> </w:t>
      </w:r>
      <w:r>
        <w:rPr>
          <w:rFonts w:ascii="Calibri"/>
          <w:w w:val="110"/>
          <w:sz w:val="9"/>
        </w:rPr>
        <w:t>d</w:t>
      </w:r>
      <w:r>
        <w:rPr>
          <w:rFonts w:ascii="Calibri"/>
          <w:w w:val="110"/>
          <w:position w:val="-1"/>
          <w:sz w:val="6"/>
        </w:rPr>
        <w:t>4</w:t>
      </w:r>
    </w:p>
    <w:p>
      <w:pPr>
        <w:spacing w:line="101" w:lineRule="exact" w:before="0"/>
        <w:ind w:left="3201" w:right="0" w:firstLine="0"/>
        <w:jc w:val="both"/>
        <w:rPr>
          <w:rFonts w:ascii="Calibri"/>
          <w:sz w:val="6"/>
        </w:rPr>
      </w:pPr>
      <w:r>
        <w:rPr>
          <w:rFonts w:ascii="Calibri"/>
          <w:w w:val="108"/>
          <w:sz w:val="9"/>
          <w:u w:val="single"/>
        </w:rPr>
        <w:t> </w:t>
      </w:r>
      <w:r>
        <w:rPr>
          <w:rFonts w:ascii="Calibri"/>
          <w:sz w:val="9"/>
          <w:u w:val="single"/>
        </w:rPr>
        <w:t>      </w:t>
      </w:r>
      <w:r>
        <w:rPr>
          <w:rFonts w:ascii="Calibri"/>
          <w:spacing w:val="-1"/>
          <w:sz w:val="9"/>
          <w:u w:val="single"/>
        </w:rPr>
        <w:t> </w:t>
      </w:r>
      <w:r>
        <w:rPr>
          <w:rFonts w:ascii="Calibri"/>
          <w:w w:val="110"/>
          <w:sz w:val="9"/>
          <w:u w:val="single"/>
        </w:rPr>
        <w:t>d</w:t>
      </w:r>
      <w:r>
        <w:rPr>
          <w:rFonts w:ascii="Calibri"/>
          <w:w w:val="110"/>
          <w:position w:val="-1"/>
          <w:sz w:val="6"/>
          <w:u w:val="single"/>
        </w:rPr>
        <w:t>5</w:t>
      </w:r>
      <w:r>
        <w:rPr>
          <w:rFonts w:ascii="Calibri"/>
          <w:spacing w:val="2"/>
          <w:position w:val="-1"/>
          <w:sz w:val="6"/>
          <w:u w:val="single"/>
        </w:rPr>
        <w:t> </w:t>
      </w:r>
    </w:p>
    <w:p>
      <w:pPr>
        <w:pStyle w:val="BodyText"/>
        <w:rPr>
          <w:rFonts w:ascii="Calibri"/>
          <w:sz w:val="10"/>
        </w:rPr>
      </w:pPr>
    </w:p>
    <w:p>
      <w:pPr>
        <w:pStyle w:val="BodyText"/>
        <w:spacing w:before="1"/>
        <w:rPr>
          <w:rFonts w:ascii="Calibri"/>
          <w:sz w:val="13"/>
        </w:rPr>
      </w:pPr>
    </w:p>
    <w:p>
      <w:pPr>
        <w:spacing w:before="0"/>
        <w:ind w:left="3204" w:right="0" w:firstLine="0"/>
        <w:jc w:val="both"/>
        <w:rPr>
          <w:sz w:val="19"/>
        </w:rPr>
      </w:pPr>
      <w:r>
        <w:rPr/>
        <w:pict>
          <v:group style="position:absolute;margin-left:246.392181pt;margin-top:9.418531pt;width:138.950pt;height:35.050pt;mso-position-horizontal-relative:page;mso-position-vertical-relative:paragraph;z-index:15734272" coordorigin="4928,188" coordsize="2779,701">
            <v:line style="position:absolute" from="5043,372" to="5041,867" stroked="true" strokeweight=".540244pt" strokecolor="#000000">
              <v:stroke dashstyle="solid"/>
            </v:line>
            <v:line style="position:absolute" from="5312,370" to="4950,370" stroked="true" strokeweight=".540204pt" strokecolor="#000000">
              <v:stroke dashstyle="solid"/>
            </v:line>
            <v:line style="position:absolute" from="5322,475" to="5197,475" stroked="true" strokeweight=".269621pt" strokecolor="#000000">
              <v:stroke dashstyle="solid"/>
            </v:line>
            <v:line style="position:absolute" from="5323,568" to="5198,568" stroked="true" strokeweight=".269621pt" strokecolor="#000000">
              <v:stroke dashstyle="solid"/>
            </v:line>
            <v:line style="position:absolute" from="5323,673" to="5198,673" stroked="true" strokeweight=".269621pt" strokecolor="#000000">
              <v:stroke dashstyle="solid"/>
            </v:line>
            <v:line style="position:absolute" from="5329,769" to="5203,769" stroked="true" strokeweight=".269621pt" strokecolor="#000000">
              <v:stroke dashstyle="solid"/>
            </v:line>
            <v:line style="position:absolute" from="6733,256" to="7191,253" stroked="true" strokeweight=".539227pt" strokecolor="#000000">
              <v:stroke dashstyle="solid"/>
            </v:line>
            <v:line style="position:absolute" from="6736,197" to="6736,316" stroked="true" strokeweight=".540258pt" strokecolor="#000000">
              <v:stroke dashstyle="solid"/>
            </v:line>
            <v:line style="position:absolute" from="7193,188" to="7193,327" stroked="true" strokeweight=".699697pt" strokecolor="#000000">
              <v:stroke dashstyle="solid"/>
            </v:line>
            <v:rect style="position:absolute;left:5398;top:370;width:2303;height:101" filled="true" fillcolor="#bf9000" stroked="false">
              <v:fill type="solid"/>
            </v:rect>
            <v:rect style="position:absolute;left:5398;top:370;width:2303;height:101" filled="false" stroked="true" strokeweight=".539201pt" strokecolor="#000000">
              <v:stroke dashstyle="solid"/>
            </v:rect>
            <v:rect style="position:absolute;left:5398;top:471;width:2303;height:101" filled="true" fillcolor="#fff2cc" stroked="false">
              <v:fill type="solid"/>
            </v:rect>
            <v:rect style="position:absolute;left:5398;top:471;width:2303;height:101" filled="false" stroked="true" strokeweight=".539201pt" strokecolor="#000000">
              <v:stroke dashstyle="solid"/>
            </v:rect>
            <v:rect style="position:absolute;left:5398;top:572;width:2303;height:101" filled="true" fillcolor="#bf9000" stroked="false">
              <v:fill type="solid"/>
            </v:rect>
            <v:rect style="position:absolute;left:5398;top:572;width:2303;height:101" filled="false" stroked="true" strokeweight=".539201pt" strokecolor="#000000">
              <v:stroke dashstyle="solid"/>
            </v:rect>
            <v:rect style="position:absolute;left:5398;top:673;width:2303;height:101" filled="true" fillcolor="#fff2cc" stroked="false">
              <v:fill type="solid"/>
            </v:rect>
            <v:rect style="position:absolute;left:5398;top:673;width:2303;height:101" filled="false" stroked="true" strokeweight=".539201pt" strokecolor="#000000">
              <v:stroke dashstyle="solid"/>
            </v:rect>
            <v:rect style="position:absolute;left:5398;top:774;width:2303;height:101" filled="true" fillcolor="#bf9000" stroked="false">
              <v:fill type="solid"/>
            </v:rect>
            <v:rect style="position:absolute;left:5398;top:774;width:2303;height:101" filled="false" stroked="true" strokeweight=".539201pt" strokecolor="#000000">
              <v:stroke dashstyle="solid"/>
            </v:rect>
            <v:line style="position:absolute" from="5732,569" to="5732,682" stroked="true" strokeweight=".593222pt" strokecolor="#000000">
              <v:stroke dashstyle="solid"/>
            </v:line>
            <v:line style="position:absolute" from="6085,576" to="6089,677" stroked="true" strokeweight=".270033pt" strokecolor="#000000">
              <v:stroke dashstyle="solid"/>
            </v:line>
            <v:line style="position:absolute" from="6546,575" to="6549,676" stroked="true" strokeweight=".270033pt" strokecolor="#000000">
              <v:stroke dashstyle="solid"/>
            </v:line>
            <v:line style="position:absolute" from="7003,576" to="7006,677" stroked="true" strokeweight=".270033pt" strokecolor="#000000">
              <v:stroke dashstyle="solid"/>
            </v:line>
            <v:line style="position:absolute" from="7357,574" to="7360,675" stroked="true" strokeweight=".270033pt" strokecolor="#000000">
              <v:stroke dashstyle="solid"/>
            </v:line>
            <v:line style="position:absolute" from="5837,364" to="5837,477" stroked="true" strokeweight=".593222pt" strokecolor="#000000">
              <v:stroke dashstyle="solid"/>
            </v:line>
            <v:line style="position:absolute" from="6721,372" to="6725,473" stroked="true" strokeweight=".270033pt" strokecolor="#000000">
              <v:stroke dashstyle="solid"/>
            </v:line>
            <v:line style="position:absolute" from="7190,367" to="7194,468" stroked="true" strokeweight=".270033pt" strokecolor="#000000">
              <v:stroke dashstyle="solid"/>
            </v:line>
            <v:line style="position:absolute" from="6208,366" to="6211,467" stroked="true" strokeweight=".270033pt" strokecolor="#000000">
              <v:stroke dashstyle="solid"/>
            </v:line>
            <v:line style="position:absolute" from="7289,766" to="7289,879" stroked="true" strokeweight=".593222pt" strokecolor="#000000">
              <v:stroke dashstyle="solid"/>
            </v:line>
            <v:line style="position:absolute" from="6404,871" to="6400,770" stroked="true" strokeweight=".270033pt" strokecolor="#000000">
              <v:stroke dashstyle="solid"/>
            </v:line>
            <v:line style="position:absolute" from="5664,874" to="5660,773" stroked="true" strokeweight=".270033pt" strokecolor="#000000">
              <v:stroke dashstyle="solid"/>
            </v:line>
            <v:line style="position:absolute" from="6918,875" to="6914,774" stroked="true" strokeweight=".270033pt" strokecolor="#000000">
              <v:stroke dashstyle="solid"/>
            </v:line>
            <v:shape style="position:absolute;left:5520;top:631;width:200;height:41" coordorigin="5521,631" coordsize="200,41" path="m5521,672l5595,645,5666,632,5683,631,5697,632,5709,634,5720,637e" filled="false" stroked="true" strokeweight=".26958pt" strokecolor="#000000">
              <v:path arrowok="t"/>
              <v:stroke dashstyle="solid"/>
            </v:shape>
            <v:shape style="position:absolute;left:5479;top:593;width:246;height:75" coordorigin="5479,594" coordsize="246,75" path="m5479,668l5544,627,5601,608,5679,594,5696,595,5711,599,5724,604e" filled="false" stroked="true" strokeweight=".269664pt" strokecolor="#000000">
              <v:path arrowok="t"/>
              <v:stroke dashstyle="solid"/>
            </v:shape>
            <v:shape style="position:absolute;left:6876;top:363;width:278;height:69" coordorigin="6877,363" coordsize="278,69" path="m7155,371l7099,394,7045,414,6998,427,6958,432,6927,422,6905,402,6889,379,6877,363e" filled="false" stroked="true" strokeweight=".269616pt" strokecolor="#000000">
              <v:path arrowok="t"/>
              <v:stroke dashstyle="solid"/>
            </v:shape>
            <v:shape style="position:absolute;left:6761;top:370;width:119;height:96" coordorigin="6761,370" coordsize="119,96" path="m6880,466l6804,443,6762,388,6761,370,6782,376e" filled="false" stroked="true" strokeweight=".269818pt" strokecolor="#000000">
              <v:path arrowok="t"/>
              <v:stroke dashstyle="solid"/>
            </v:shape>
            <v:shape style="position:absolute;left:7046;top:396;width:130;height:63" coordorigin="7046,396" coordsize="130,63" path="m7175,396l7109,446,7079,453,7046,459e" filled="false" stroked="true" strokeweight=".269658pt" strokecolor="#000000">
              <v:path arrowok="t"/>
              <v:stroke dashstyle="solid"/>
            </v:shape>
            <v:shape style="position:absolute;left:6203;top:365;width:291;height:55" coordorigin="6203,365" coordsize="291,55" path="m6494,365l6418,395,6350,409,6282,419,6258,420,6237,418,6220,416,6203,412e" filled="false" stroked="true" strokeweight=".269604pt" strokecolor="#000000">
              <v:path arrowok="t"/>
              <v:stroke dashstyle="solid"/>
            </v:shape>
            <v:shape style="position:absolute;left:6208;top:365;width:359;height:84" coordorigin="6209,366" coordsize="359,84" path="m6567,366l6502,401,6435,422,6344,442,6276,449,6251,447,6229,443,6209,438e" filled="false" stroked="true" strokeweight=".269628pt" strokecolor="#000000">
              <v:path arrowok="t"/>
              <v:stroke dashstyle="solid"/>
            </v:shape>
            <v:shape style="position:absolute;left:6442;top:366;width:222;height:80" coordorigin="6443,366" coordsize="222,80" path="m6665,366l6606,408,6517,435,6480,441,6443,446e" filled="false" stroked="true" strokeweight=".26965pt" strokecolor="#000000">
              <v:path arrowok="t"/>
              <v:stroke dashstyle="solid"/>
            </v:shape>
            <v:shape style="position:absolute;left:5483;top:433;width:320;height:19" coordorigin="5483,434" coordsize="320,19" path="m5483,448l5543,437,5604,434,5644,434,5685,434,5719,436,5745,438,5767,442,5786,447,5803,452e" filled="false" stroked="true" strokeweight=".269587pt" strokecolor="#000000">
              <v:path arrowok="t"/>
              <v:stroke dashstyle="solid"/>
            </v:shape>
            <v:shape style="position:absolute;left:5444;top:390;width:372;height:23" coordorigin="5444,391" coordsize="372,23" path="m5444,402l5513,393,5584,391,5630,391,5717,395,5795,407,5815,413e" filled="false" stroked="true" strokeweight=".269601pt" strokecolor="#000000">
              <v:path arrowok="t"/>
              <v:stroke dashstyle="solid"/>
            </v:shape>
            <v:shape style="position:absolute;left:5800;top:598;width:249;height:64" coordorigin="5800,598" coordsize="249,64" path="m5800,662l5865,637,5954,613,6019,600,6035,599,6049,598e" filled="false" stroked="true" strokeweight=".269647pt" strokecolor="#000000">
              <v:path arrowok="t"/>
              <v:stroke dashstyle="solid"/>
            </v:shape>
            <v:shape style="position:absolute;left:5760;top:574;width:291;height:71" coordorigin="5760,574" coordsize="291,71" path="m5760,645l5836,618,5903,601,5971,585,6034,576,6051,574e" filled="false" stroked="true" strokeweight=".269654pt" strokecolor="#000000">
              <v:path arrowok="t"/>
              <v:stroke dashstyle="solid"/>
            </v:shape>
            <v:shape style="position:absolute;left:6117;top:576;width:377;height:98" coordorigin="6118,577" coordsize="377,98" path="m6118,670l6136,632,6179,602,6241,583,6315,577,6385,586,6442,607,6480,637,6494,674e" filled="false" stroked="true" strokeweight=".269634pt" strokecolor="#000000">
              <v:path arrowok="t"/>
              <v:stroke dashstyle="solid"/>
            </v:shape>
            <v:shape style="position:absolute;left:6234;top:608;width:121;height:68" coordorigin="6234,609" coordsize="121,68" path="m6234,675l6239,649,6253,628,6272,613,6296,609,6319,614,6337,629,6350,651,6355,677e" filled="false" stroked="true" strokeweight=".269743pt" strokecolor="#000000">
              <v:path arrowok="t"/>
              <v:stroke dashstyle="solid"/>
            </v:shape>
            <v:shape style="position:absolute;left:6600;top:611;width:412;height:53" coordorigin="6600,611" coordsize="412,53" path="m6600,658l6683,640,6762,625,6833,615,6892,611,6936,619,6970,634,6994,652,7011,664e" filled="false" stroked="true" strokeweight=".269587pt" strokecolor="#000000">
              <v:path arrowok="t"/>
              <v:stroke dashstyle="solid"/>
            </v:shape>
            <v:shape style="position:absolute;left:7006;top:588;width:331;height:39" coordorigin="7007,588" coordsize="331,39" path="m7007,588l7085,591,7158,594,7219,597,7303,609,7337,627,7279,624e" filled="false" stroked="true" strokeweight=".269585pt" strokecolor="#000000">
              <v:path arrowok="t"/>
              <v:stroke dashstyle="solid"/>
            </v:shape>
            <v:shape style="position:absolute;left:6569;top:590;width:192;height:49" coordorigin="6569,591" coordsize="192,49" path="m6570,639l6629,606,6713,595,6761,591e" filled="false" stroked="true" strokeweight=".26959pt" strokecolor="#000000">
              <v:path arrowok="t"/>
              <v:stroke dashstyle="solid"/>
            </v:shape>
            <v:shape style="position:absolute;left:7003;top:630;width:331;height:39" coordorigin="7004,631" coordsize="331,39" path="m7004,631l7082,633,7154,636,7215,640,7299,651,7334,669,7276,666e" filled="false" stroked="true" strokeweight=".269585pt" strokecolor="#000000">
              <v:path arrowok="t"/>
              <v:stroke dashstyle="solid"/>
            </v:shape>
            <v:shape style="position:absolute;left:7445;top:593;width:161;height:40" coordorigin="7445,593" coordsize="161,40" path="m7606,595l7598,611,7579,623,7553,631,7522,633,7492,629,7467,621,7451,608,7445,593e" filled="false" stroked="true" strokeweight=".269588pt" strokecolor="#000000">
              <v:path arrowok="t"/>
              <v:stroke dashstyle="solid"/>
            </v:shape>
            <v:shape style="position:absolute;left:7390;top:589;width:275;height:72" coordorigin="7390,590" coordsize="275,72" path="m7660,596l7616,650,7513,662,7462,656,7421,643,7396,625,7391,616,7390,607,7394,598,7402,590e" filled="false" stroked="true" strokeweight=".269620pt" strokecolor="#000000">
              <v:path arrowok="t"/>
              <v:stroke dashstyle="solid"/>
            </v:shape>
            <v:shape style="position:absolute;left:5784;top:780;width:420;height:109" type="#_x0000_t75" stroked="false">
              <v:imagedata r:id="rId35" o:title=""/>
            </v:shape>
            <v:shape style="position:absolute;left:6935;top:785;width:200;height:41" coordorigin="6936,786" coordsize="200,41" path="m7135,786l7061,813,6990,826,6973,827,6959,826,6947,824,6936,821e" filled="false" stroked="true" strokeweight=".26958pt" strokecolor="#000000">
              <v:path arrowok="t"/>
              <v:stroke dashstyle="solid"/>
            </v:shape>
            <v:shape style="position:absolute;left:6931;top:790;width:246;height:75" coordorigin="6932,790" coordsize="246,75" path="m7177,790l7112,831,7055,850,6977,864,6960,863,6945,859,6932,854e" filled="false" stroked="true" strokeweight=".269664pt" strokecolor="#000000">
              <v:path arrowok="t"/>
              <v:stroke dashstyle="solid"/>
            </v:shape>
            <v:shape style="position:absolute;left:5494;top:817;width:148;height:52" coordorigin="5495,818" coordsize="148,52" path="m5495,870l5550,835,5615,818,5625,819,5634,822,5642,825e" filled="false" stroked="true" strokeweight=".269616pt" strokecolor="#000000">
              <v:path arrowok="t"/>
              <v:stroke dashstyle="solid"/>
            </v:shape>
            <v:shape style="position:absolute;left:5457;top:789;width:182;height:80" coordorigin="5458,789" coordsize="182,80" path="m5458,869l5506,826,5571,796,5606,789,5618,791,5629,795,5640,800e" filled="false" stroked="true" strokeweight=".269647pt" strokecolor="#000000">
              <v:path arrowok="t"/>
              <v:stroke dashstyle="solid"/>
            </v:shape>
            <v:shape style="position:absolute;left:5408;top:792;width:113;height:77" coordorigin="5409,792" coordsize="113,77" path="m5409,869l5451,818,5502,797,5521,792e" filled="false" stroked="true" strokeweight=".269782pt" strokecolor="#000000">
              <v:path arrowok="t"/>
              <v:stroke dashstyle="solid"/>
            </v:shape>
            <v:shape style="position:absolute;left:6517;top:793;width:289;height:42" coordorigin="6518,793" coordsize="289,42" path="m6806,797l6790,812,6755,825,6707,833,6650,834,6598,830,6556,821,6528,809,6518,793e" filled="false" stroked="true" strokeweight=".269597pt" strokecolor="#000000">
              <v:path arrowok="t"/>
              <v:stroke dashstyle="solid"/>
            </v:shape>
            <v:shape style="position:absolute;left:6418;top:778;width:495;height:86" coordorigin="6419,779" coordsize="495,86" path="m6886,786l6913,807,6903,827,6858,845,6781,858,6686,864,6592,862,6508,852,6446,836,6423,821,6419,806,6435,792,6469,779e" filled="false" stroked="true" strokeweight=".269604pt" strokecolor="#000000">
              <v:path arrowok="t"/>
              <v:stroke dashstyle="solid"/>
            </v:shape>
            <v:shape style="position:absolute;left:7285;top:784;width:240;height:56" coordorigin="7285,785" coordsize="240,56" path="m7525,785l7462,815,7376,835,7330,840,7313,838,7299,836,7285,832e" filled="false" stroked="true" strokeweight=".269618pt" strokecolor="#000000">
              <v:path arrowok="t"/>
              <v:stroke dashstyle="solid"/>
            </v:shape>
            <v:shape style="position:absolute;left:7289;top:785;width:296;height:85" coordorigin="7290,785" coordsize="296,85" path="m7585,785l7532,820,7476,842,7401,863,7345,870,7324,868,7306,864,7290,858e" filled="false" stroked="true" strokeweight=".269647pt" strokecolor="#000000">
              <v:path arrowok="t"/>
              <v:stroke dashstyle="solid"/>
            </v:shape>
            <v:shape style="position:absolute;left:7482;top:785;width:183;height:82" coordorigin="7483,786" coordsize="183,82" path="m7666,786l7617,828,7543,856,7514,862,7483,867e" filled="false" stroked="true" strokeweight=".269649pt" strokecolor="#000000">
              <v:path arrowok="t"/>
              <v:stroke dashstyle="solid"/>
            </v:shape>
            <v:shape style="position:absolute;left:4927;top:188;width:2779;height:701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10"/>
                      </w:rPr>
                    </w:pPr>
                  </w:p>
                  <w:p>
                    <w:pPr>
                      <w:spacing w:line="184" w:lineRule="auto" w:before="76"/>
                      <w:ind w:left="174" w:right="2515" w:hanging="5"/>
                      <w:jc w:val="both"/>
                      <w:rPr>
                        <w:rFonts w:ascii="Calibri"/>
                        <w:sz w:val="6"/>
                      </w:rPr>
                    </w:pPr>
                    <w:r>
                      <w:rPr>
                        <w:rFonts w:ascii="Calibri"/>
                        <w:w w:val="110"/>
                        <w:sz w:val="9"/>
                      </w:rPr>
                      <w:t>d</w:t>
                    </w:r>
                    <w:r>
                      <w:rPr>
                        <w:rFonts w:ascii="Calibri"/>
                        <w:w w:val="110"/>
                        <w:position w:val="-1"/>
                        <w:sz w:val="6"/>
                      </w:rPr>
                      <w:t>1</w:t>
                    </w:r>
                    <w:r>
                      <w:rPr>
                        <w:rFonts w:ascii="Calibri"/>
                        <w:spacing w:val="-13"/>
                        <w:w w:val="110"/>
                        <w:position w:val="-1"/>
                        <w:sz w:val="6"/>
                      </w:rPr>
                      <w:t> </w:t>
                    </w:r>
                    <w:r>
                      <w:rPr>
                        <w:rFonts w:ascii="Calibri"/>
                        <w:w w:val="110"/>
                        <w:sz w:val="9"/>
                      </w:rPr>
                      <w:t>d</w:t>
                    </w:r>
                    <w:r>
                      <w:rPr>
                        <w:rFonts w:ascii="Calibri"/>
                        <w:w w:val="110"/>
                        <w:position w:val="-1"/>
                        <w:sz w:val="6"/>
                      </w:rPr>
                      <w:t>2</w:t>
                    </w:r>
                    <w:r>
                      <w:rPr>
                        <w:rFonts w:ascii="Calibri"/>
                        <w:spacing w:val="-13"/>
                        <w:w w:val="110"/>
                        <w:position w:val="-1"/>
                        <w:sz w:val="6"/>
                      </w:rPr>
                      <w:t> </w:t>
                    </w:r>
                    <w:r>
                      <w:rPr>
                        <w:rFonts w:ascii="Calibri"/>
                        <w:w w:val="110"/>
                        <w:sz w:val="9"/>
                      </w:rPr>
                      <w:t>d</w:t>
                    </w:r>
                    <w:r>
                      <w:rPr>
                        <w:rFonts w:ascii="Calibri"/>
                        <w:w w:val="110"/>
                        <w:position w:val="-1"/>
                        <w:sz w:val="6"/>
                      </w:rPr>
                      <w:t>3</w:t>
                    </w:r>
                    <w:r>
                      <w:rPr>
                        <w:rFonts w:ascii="Calibri"/>
                        <w:spacing w:val="-13"/>
                        <w:w w:val="110"/>
                        <w:position w:val="-1"/>
                        <w:sz w:val="6"/>
                      </w:rPr>
                      <w:t> </w:t>
                    </w:r>
                    <w:r>
                      <w:rPr>
                        <w:rFonts w:ascii="Calibri"/>
                        <w:w w:val="110"/>
                        <w:sz w:val="9"/>
                      </w:rPr>
                      <w:t>d</w:t>
                    </w:r>
                    <w:r>
                      <w:rPr>
                        <w:rFonts w:ascii="Calibri"/>
                        <w:w w:val="110"/>
                        <w:position w:val="-1"/>
                        <w:sz w:val="6"/>
                      </w:rPr>
                      <w:t>4</w:t>
                    </w:r>
                  </w:p>
                  <w:p>
                    <w:pPr>
                      <w:spacing w:line="101" w:lineRule="exact" w:before="0"/>
                      <w:ind w:left="0" w:right="0" w:firstLine="0"/>
                      <w:jc w:val="both"/>
                      <w:rPr>
                        <w:rFonts w:ascii="Calibri"/>
                        <w:sz w:val="6"/>
                      </w:rPr>
                    </w:pPr>
                    <w:r>
                      <w:rPr>
                        <w:rFonts w:ascii="Calibri"/>
                        <w:w w:val="108"/>
                        <w:sz w:val="9"/>
                        <w:u w:val="single"/>
                      </w:rPr>
                      <w:t> </w:t>
                    </w:r>
                    <w:r>
                      <w:rPr>
                        <w:rFonts w:ascii="Calibri"/>
                        <w:sz w:val="9"/>
                        <w:u w:val="single"/>
                      </w:rPr>
                      <w:t>       </w:t>
                    </w:r>
                    <w:r>
                      <w:rPr>
                        <w:rFonts w:ascii="Calibri"/>
                        <w:spacing w:val="-9"/>
                        <w:sz w:val="9"/>
                        <w:u w:val="single"/>
                      </w:rPr>
                      <w:t> </w:t>
                    </w:r>
                    <w:r>
                      <w:rPr>
                        <w:rFonts w:ascii="Calibri"/>
                        <w:w w:val="110"/>
                        <w:sz w:val="9"/>
                        <w:u w:val="single"/>
                      </w:rPr>
                      <w:t>d</w:t>
                    </w:r>
                    <w:r>
                      <w:rPr>
                        <w:rFonts w:ascii="Calibri"/>
                        <w:w w:val="110"/>
                        <w:position w:val="-1"/>
                        <w:sz w:val="6"/>
                        <w:u w:val="single"/>
                      </w:rPr>
                      <w:t>5</w:t>
                    </w:r>
                    <w:r>
                      <w:rPr>
                        <w:rFonts w:ascii="Calibri"/>
                        <w:position w:val="-1"/>
                        <w:sz w:val="6"/>
                        <w:u w:val="single"/>
                      </w:rPr>
                      <w:t>         </w:t>
                    </w:r>
                    <w:r>
                      <w:rPr>
                        <w:rFonts w:ascii="Calibri"/>
                        <w:spacing w:val="3"/>
                        <w:position w:val="-1"/>
                        <w:sz w:val="6"/>
                        <w:u w:val="single"/>
                      </w:rPr>
                      <w:t> 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19"/>
        </w:rPr>
        <w:t>Section</w:t>
      </w:r>
      <w:r>
        <w:rPr>
          <w:spacing w:val="13"/>
          <w:sz w:val="19"/>
        </w:rPr>
        <w:t> </w:t>
      </w:r>
      <w:r>
        <w:rPr>
          <w:sz w:val="19"/>
        </w:rPr>
        <w:t>B-B</w:t>
      </w:r>
    </w:p>
    <w:p>
      <w:pPr>
        <w:pStyle w:val="BodyText"/>
        <w:spacing w:before="7"/>
      </w:pPr>
    </w:p>
    <w:p>
      <w:pPr>
        <w:spacing w:before="0"/>
        <w:ind w:left="0" w:right="1127" w:firstLine="0"/>
        <w:jc w:val="right"/>
        <w:rPr>
          <w:sz w:val="19"/>
        </w:rPr>
      </w:pPr>
      <w:r>
        <w:rPr>
          <w:w w:val="102"/>
          <w:sz w:val="19"/>
        </w:rPr>
        <w:t>D</w:t>
      </w:r>
    </w:p>
    <w:p>
      <w:pPr>
        <w:spacing w:before="95"/>
        <w:ind w:left="581" w:right="0" w:firstLine="0"/>
        <w:jc w:val="left"/>
        <w:rPr>
          <w:sz w:val="17"/>
        </w:rPr>
      </w:pPr>
      <w:r>
        <w:rPr/>
        <w:br w:type="column"/>
      </w:r>
      <w:r>
        <w:rPr>
          <w:sz w:val="17"/>
        </w:rPr>
        <w:t>Variable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spacing w:before="129"/>
        <w:ind w:left="705" w:right="0" w:firstLine="0"/>
        <w:jc w:val="left"/>
        <w:rPr>
          <w:sz w:val="17"/>
        </w:rPr>
      </w:pPr>
      <w:r>
        <w:rPr/>
        <w:pict>
          <v:group style="position:absolute;margin-left:247.173965pt;margin-top:-38.967896pt;width:138.2pt;height:34.550pt;mso-position-horizontal-relative:page;mso-position-vertical-relative:paragraph;z-index:-34973184" coordorigin="4943,-779" coordsize="2764,691">
            <v:line style="position:absolute" from="6609,-712" to="7068,-715" stroked="true" strokeweight=".539227pt" strokecolor="#000000">
              <v:stroke dashstyle="solid"/>
            </v:line>
            <v:line style="position:absolute" from="6612,-771" to="6612,-652" stroked="true" strokeweight=".540258pt" strokecolor="#000000">
              <v:stroke dashstyle="solid"/>
            </v:line>
            <v:line style="position:absolute" from="7069,-779" to="7069,-641" stroked="true" strokeweight=".699697pt" strokecolor="#000000">
              <v:stroke dashstyle="solid"/>
            </v:line>
            <v:rect style="position:absolute;left:5398;top:-599;width:2303;height:101" filled="true" fillcolor="#fff2cc" stroked="false">
              <v:fill type="solid"/>
            </v:rect>
            <v:rect style="position:absolute;left:5398;top:-599;width:2303;height:101" filled="false" stroked="true" strokeweight=".539201pt" strokecolor="#000000">
              <v:stroke dashstyle="solid"/>
            </v:rect>
            <v:rect style="position:absolute;left:5398;top:-498;width:2303;height:101" filled="true" fillcolor="#bf9000" stroked="false">
              <v:fill type="solid"/>
            </v:rect>
            <v:rect style="position:absolute;left:5398;top:-498;width:2303;height:101" filled="false" stroked="true" strokeweight=".539201pt" strokecolor="#000000">
              <v:stroke dashstyle="solid"/>
            </v:rect>
            <v:rect style="position:absolute;left:5398;top:-397;width:2303;height:101" filled="true" fillcolor="#fff2cc" stroked="false">
              <v:fill type="solid"/>
            </v:rect>
            <v:rect style="position:absolute;left:5398;top:-397;width:2303;height:101" filled="false" stroked="true" strokeweight=".539201pt" strokecolor="#000000">
              <v:stroke dashstyle="solid"/>
            </v:rect>
            <v:rect style="position:absolute;left:5398;top:-296;width:2303;height:101" filled="true" fillcolor="#bf9000" stroked="false">
              <v:fill type="solid"/>
            </v:rect>
            <v:rect style="position:absolute;left:5398;top:-296;width:2303;height:101" filled="false" stroked="true" strokeweight=".539201pt" strokecolor="#000000">
              <v:stroke dashstyle="solid"/>
            </v:rect>
            <v:rect style="position:absolute;left:5398;top:-195;width:2303;height:101" filled="true" fillcolor="#fff2cc" stroked="false">
              <v:fill type="solid"/>
            </v:rect>
            <v:rect style="position:absolute;left:5398;top:-195;width:2303;height:101" filled="false" stroked="true" strokeweight=".539201pt" strokecolor="#000000">
              <v:stroke dashstyle="solid"/>
            </v:rect>
            <v:line style="position:absolute" from="5741,-302" to="5741,-189" stroked="true" strokeweight=".593222pt" strokecolor="#000000">
              <v:stroke dashstyle="solid"/>
            </v:line>
            <v:line style="position:absolute" from="6316,-294" to="6320,-193" stroked="true" strokeweight=".270033pt" strokecolor="#000000">
              <v:stroke dashstyle="solid"/>
            </v:line>
            <v:line style="position:absolute" from="7012,-297" to="7015,-196" stroked="true" strokeweight=".270033pt" strokecolor="#000000">
              <v:stroke dashstyle="solid"/>
            </v:line>
            <v:line style="position:absolute" from="5775,-504" to="5775,-391" stroked="true" strokeweight=".593222pt" strokecolor="#000000">
              <v:stroke dashstyle="solid"/>
            </v:line>
            <v:line style="position:absolute" from="6129,-494" to="6133,-393" stroked="true" strokeweight=".270033pt" strokecolor="#000000">
              <v:stroke dashstyle="solid"/>
            </v:line>
            <v:line style="position:absolute" from="6612,-490" to="6616,-389" stroked="true" strokeweight=".270033pt" strokecolor="#000000">
              <v:stroke dashstyle="solid"/>
            </v:line>
            <v:line style="position:absolute" from="7069,-494" to="7073,-393" stroked="true" strokeweight=".270033pt" strokecolor="#000000">
              <v:stroke dashstyle="solid"/>
            </v:line>
            <v:line style="position:absolute" from="7423,-496" to="7427,-395" stroked="true" strokeweight=".270033pt" strokecolor="#000000">
              <v:stroke dashstyle="solid"/>
            </v:line>
            <v:shape style="position:absolute;left:5432;top:-292;width:251;height:82" coordorigin="5433,-291" coordsize="251,82" path="m5683,-288l5672,-257,5643,-231,5603,-215,5553,-210,5506,-217,5468,-235,5442,-260,5433,-291e" filled="false" stroked="true" strokeweight=".269669pt" strokecolor="#000000">
              <v:path arrowok="t"/>
              <v:stroke dashstyle="solid"/>
            </v:shape>
            <v:shape style="position:absolute;left:5525;top:-293;width:81;height:57" coordorigin="5526,-293" coordsize="81,57" path="m5606,-292l5602,-270,5594,-252,5581,-240,5565,-236,5550,-241,5537,-253,5529,-271,5526,-293e" filled="false" stroked="true" strokeweight=".269716pt" strokecolor="#000000">
              <v:path arrowok="t"/>
              <v:stroke dashstyle="solid"/>
            </v:shape>
            <v:shape style="position:absolute;left:6509;top:-285;width:412;height:53" coordorigin="6509,-284" coordsize="412,53" path="m6921,-278l6838,-261,6759,-246,6688,-235,6629,-232,6584,-239,6551,-255,6527,-272,6509,-284e" filled="false" stroked="true" strokeweight=".269587pt" strokecolor="#000000">
              <v:path arrowok="t"/>
              <v:stroke dashstyle="solid"/>
            </v:shape>
            <v:shape style="position:absolute;left:6338;top:-283;width:176;height:74" coordorigin="6339,-282" coordsize="176,74" path="m6514,-209l6434,-220,6357,-249,6339,-282,6369,-278e" filled="false" stroked="true" strokeweight=".269666pt" strokecolor="#000000">
              <v:path arrowok="t"/>
              <v:stroke dashstyle="solid"/>
            </v:shape>
            <v:shape style="position:absolute;left:6759;top:-260;width:192;height:49" coordorigin="6760,-259" coordsize="192,49" path="m6951,-259l6892,-226,6808,-216,6760,-211e" filled="false" stroked="true" strokeweight=".26959pt" strokecolor="#000000">
              <v:path arrowok="t"/>
              <v:stroke dashstyle="solid"/>
            </v:shape>
            <v:shape style="position:absolute;left:7010;top:-274;width:424;height:44" coordorigin="7011,-273" coordsize="424,44" path="m7434,-273l7357,-255,7277,-244,7171,-233,7090,-229,7060,-230,7034,-233,7011,-235e" filled="false" stroked="true" strokeweight=".269603pt" strokecolor="#000000">
              <v:path arrowok="t"/>
              <v:stroke dashstyle="solid"/>
            </v:shape>
            <v:shape style="position:absolute;left:7018;top:-277;width:522;height:68" coordorigin="7019,-276" coordsize="522,68" path="m7541,-276l7482,-257,7403,-239,7282,-222,7216,-215,7116,-209,7080,-210,7048,-214,7019,-218e" filled="false" stroked="true" strokeweight=".269616pt" strokecolor="#000000">
              <v:path arrowok="t"/>
              <v:stroke dashstyle="solid"/>
            </v:shape>
            <v:shape style="position:absolute;left:7359;top:-273;width:324;height:65" coordorigin="7359,-272" coordsize="324,65" path="m7682,-272l7596,-238,7516,-222,7414,-212,7359,-208e" filled="false" stroked="true" strokeweight=".269629pt" strokecolor="#000000">
              <v:path arrowok="t"/>
              <v:stroke dashstyle="solid"/>
            </v:shape>
            <v:shape style="position:absolute;left:5894;top:-286;width:240;height:48" coordorigin="5895,-286" coordsize="240,48" path="m6134,-286l6123,-268,6095,-253,6056,-243,6009,-238,5965,-240,5928,-248,5904,-261,5895,-277e" filled="false" stroked="true" strokeweight=".269649pt" strokecolor="#000000">
              <v:path arrowok="t"/>
              <v:stroke dashstyle="solid"/>
            </v:shape>
            <v:shape style="position:absolute;left:5812;top:-295;width:413;height:89" coordorigin="5813,-295" coordsize="413,89" path="m6209,-295l6225,-273,6209,-250,6166,-230,6098,-214,6018,-206,5940,-207,5874,-216,5828,-233,5815,-245,5813,-258,5821,-271,5840,-284e" filled="false" stroked="true" strokeweight=".269619pt" strokecolor="#000000">
              <v:path arrowok="t"/>
              <v:stroke dashstyle="solid"/>
            </v:shape>
            <v:shape style="position:absolute;left:5435;top:-443;width:323;height:39" coordorigin="5436,-443" coordsize="323,39" path="m5436,-404l5494,-420,5555,-430,5636,-439,5698,-443,5720,-442,5740,-440,5758,-437e" filled="false" stroked="true" strokeweight=".269617pt" strokecolor="#000000">
              <v:path arrowok="t"/>
              <v:stroke dashstyle="solid"/>
            </v:shape>
            <v:line style="position:absolute" from="5029,-599" to="5035,-101" stroked="true" strokeweight=".540244pt" strokecolor="#000000">
              <v:stroke dashstyle="solid"/>
            </v:line>
            <v:line style="position:absolute" from="5306,-599" to="4943,-599" stroked="true" strokeweight=".540204pt" strokecolor="#000000">
              <v:stroke dashstyle="solid"/>
            </v:line>
            <v:line style="position:absolute" from="5316,-494" to="5190,-494" stroked="true" strokeweight=".269621pt" strokecolor="#000000">
              <v:stroke dashstyle="solid"/>
            </v:line>
            <v:line style="position:absolute" from="5317,-401" to="5192,-401" stroked="true" strokeweight=".269621pt" strokecolor="#000000">
              <v:stroke dashstyle="solid"/>
            </v:line>
            <v:line style="position:absolute" from="5317,-296" to="5192,-296" stroked="true" strokeweight=".269621pt" strokecolor="#000000">
              <v:stroke dashstyle="solid"/>
            </v:line>
            <v:line style="position:absolute" from="5322,-200" to="5197,-200" stroked="true" strokeweight=".269621pt" strokecolor="#000000">
              <v:stroke dashstyle="solid"/>
            </v:line>
            <v:shape style="position:absolute;left:5389;top:-479;width:375;height:39" coordorigin="5390,-478" coordsize="375,39" path="m5390,-439l5458,-456,5528,-466,5623,-475,5694,-478,5721,-477,5743,-475,5764,-473e" filled="false" stroked="true" strokeweight=".269608pt" strokecolor="#000000">
              <v:path arrowok="t"/>
              <v:stroke dashstyle="solid"/>
            </v:shape>
            <v:shape style="position:absolute;left:5822;top:-494;width:251;height:82" coordorigin="5823,-493" coordsize="251,82" path="m5823,-415l5834,-446,5863,-472,5903,-488,5952,-493,6000,-486,6038,-468,6064,-443,6073,-412e" filled="false" stroked="true" strokeweight=".269669pt" strokecolor="#000000">
              <v:path arrowok="t"/>
              <v:stroke dashstyle="solid"/>
            </v:shape>
            <v:shape style="position:absolute;left:5900;top:-467;width:81;height:57" coordorigin="5900,-467" coordsize="81,57" path="m5900,-411l5904,-433,5912,-451,5925,-463,5941,-467,5956,-462,5969,-450,5977,-432,5980,-410e" filled="false" stroked="true" strokeweight=".269716pt" strokecolor="#000000">
              <v:path arrowok="t"/>
              <v:stroke dashstyle="solid"/>
            </v:shape>
            <v:shape style="position:absolute;left:6180;top:-464;width:278;height:69" coordorigin="6180,-464" coordsize="278,69" path="m6180,-403l6236,-426,6290,-446,6338,-459,6377,-464,6408,-454,6430,-434,6446,-411,6458,-395e" filled="false" stroked="true" strokeweight=".269616pt" strokecolor="#000000">
              <v:path arrowok="t"/>
              <v:stroke dashstyle="solid"/>
            </v:shape>
            <v:shape style="position:absolute;left:6455;top:-499;width:119;height:96" coordorigin="6455,-498" coordsize="119,96" path="m6455,-498l6531,-475,6574,-420,6574,-402,6553,-408e" filled="false" stroked="true" strokeweight=".269818pt" strokecolor="#000000">
              <v:path arrowok="t"/>
              <v:stroke dashstyle="solid"/>
            </v:shape>
            <v:shape style="position:absolute;left:6159;top:-491;width:130;height:63" coordorigin="6160,-491" coordsize="130,63" path="m6160,-428l6226,-478,6256,-485,6289,-491e" filled="false" stroked="true" strokeweight=".269658pt" strokecolor="#000000">
              <v:path arrowok="t"/>
              <v:stroke dashstyle="solid"/>
            </v:shape>
            <v:shape style="position:absolute;left:6774;top:-452;width:291;height:55" coordorigin="6774,-452" coordsize="291,55" path="m6774,-397l6851,-427,6919,-441,6987,-451,7011,-452,7031,-450,7049,-448,7065,-444e" filled="false" stroked="true" strokeweight=".269604pt" strokecolor="#000000">
              <v:path arrowok="t"/>
              <v:stroke dashstyle="solid"/>
            </v:shape>
            <v:shape style="position:absolute;left:6701;top:-482;width:359;height:84" coordorigin="6701,-481" coordsize="359,84" path="m6701,-398l6766,-433,6834,-454,6924,-474,6993,-481,7018,-479,7040,-475,7060,-470e" filled="false" stroked="true" strokeweight=".269628pt" strokecolor="#000000">
              <v:path arrowok="t"/>
              <v:stroke dashstyle="solid"/>
            </v:shape>
            <v:shape style="position:absolute;left:6603;top:-479;width:222;height:80" coordorigin="6604,-478" coordsize="222,80" path="m6604,-398l6663,-440,6752,-467,6788,-473,6826,-478e" filled="false" stroked="true" strokeweight=".26965pt" strokecolor="#000000">
              <v:path arrowok="t"/>
              <v:stroke dashstyle="solid"/>
            </v:shape>
            <v:shape style="position:absolute;left:7175;top:-445;width:161;height:40" coordorigin="7175,-444" coordsize="161,40" path="m7175,-406l7183,-422,7201,-434,7228,-442,7259,-444,7289,-440,7313,-432,7330,-419,7336,-404e" filled="false" stroked="true" strokeweight=".269588pt" strokecolor="#000000">
              <v:path arrowok="t"/>
              <v:stroke dashstyle="solid"/>
            </v:shape>
            <v:shape style="position:absolute;left:7116;top:-473;width:275;height:72" coordorigin="7116,-473" coordsize="275,72" path="m7121,-407l7165,-461,7268,-473,7319,-467,7359,-454,7385,-436,7390,-427,7391,-418,7387,-409,7379,-401e" filled="false" stroked="true" strokeweight=".269620pt" strokecolor="#000000">
              <v:path arrowok="t"/>
              <v:stroke dashstyle="solid"/>
            </v:shape>
            <v:shape style="position:absolute;left:7455;top:-493;width:211;height:34" coordorigin="7455,-492" coordsize="211,34" path="m7666,-492l7608,-470,7532,-459,7510,-459,7492,-460,7478,-463,7466,-467,7455,-472e" filled="false" stroked="true" strokeweight=".269622pt" strokecolor="#000000">
              <v:path arrowok="t"/>
              <v:stroke dashstyle="solid"/>
            </v:shape>
            <v:shape style="position:absolute;left:7444;top:-439;width:244;height:31" coordorigin="7444,-438" coordsize="244,31" path="m7688,-438l7622,-417,7534,-408,7508,-408,7488,-410,7471,-413,7457,-418,7444,-423e" filled="false" stroked="true" strokeweight=".269627pt" strokecolor="#000000">
              <v:path arrowok="t"/>
              <v:stroke dashstyle="solid"/>
            </v:shape>
            <w10:wrap type="none"/>
          </v:group>
        </w:pict>
      </w:r>
      <w:r>
        <w:rPr>
          <w:sz w:val="17"/>
        </w:rPr>
        <w:t>Variable</w:t>
      </w:r>
    </w:p>
    <w:p>
      <w:pPr>
        <w:spacing w:after="0"/>
        <w:jc w:val="left"/>
        <w:rPr>
          <w:sz w:val="17"/>
        </w:rPr>
        <w:sectPr>
          <w:type w:val="continuous"/>
          <w:pgSz w:w="12240" w:h="15840"/>
          <w:pgMar w:top="1380" w:bottom="280" w:left="1720" w:right="1320"/>
          <w:cols w:num="2" w:equalWidth="0">
            <w:col w:w="4172" w:space="40"/>
            <w:col w:w="4988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9"/>
        </w:rPr>
      </w:pPr>
    </w:p>
    <w:p>
      <w:pPr>
        <w:spacing w:before="90"/>
        <w:ind w:left="440" w:right="0" w:firstLine="0"/>
        <w:jc w:val="left"/>
        <w:rPr>
          <w:i/>
          <w:sz w:val="24"/>
        </w:rPr>
      </w:pPr>
      <w:r>
        <w:rPr>
          <w:i/>
          <w:sz w:val="24"/>
        </w:rPr>
        <w:t>Figure</w:t>
      </w:r>
      <w:r>
        <w:rPr>
          <w:i/>
          <w:spacing w:val="11"/>
          <w:sz w:val="24"/>
        </w:rPr>
        <w:t> </w:t>
      </w:r>
      <w:r>
        <w:rPr>
          <w:i/>
          <w:sz w:val="24"/>
        </w:rPr>
        <w:t>2-4.</w:t>
      </w:r>
      <w:r>
        <w:rPr>
          <w:i/>
          <w:spacing w:val="9"/>
          <w:sz w:val="24"/>
        </w:rPr>
        <w:t> </w:t>
      </w:r>
      <w:r>
        <w:rPr>
          <w:i/>
          <w:sz w:val="24"/>
        </w:rPr>
        <w:t>CLT</w:t>
      </w:r>
      <w:r>
        <w:rPr>
          <w:i/>
          <w:spacing w:val="10"/>
          <w:sz w:val="24"/>
        </w:rPr>
        <w:t> </w:t>
      </w:r>
      <w:r>
        <w:rPr>
          <w:i/>
          <w:sz w:val="24"/>
        </w:rPr>
        <w:t>panel</w:t>
      </w:r>
      <w:r>
        <w:rPr>
          <w:i/>
          <w:spacing w:val="11"/>
          <w:sz w:val="24"/>
        </w:rPr>
        <w:t> </w:t>
      </w:r>
      <w:r>
        <w:rPr>
          <w:i/>
          <w:sz w:val="24"/>
        </w:rPr>
        <w:t>example</w:t>
      </w:r>
      <w:r>
        <w:rPr>
          <w:i/>
          <w:spacing w:val="12"/>
          <w:sz w:val="24"/>
        </w:rPr>
        <w:t> </w:t>
      </w:r>
      <w:r>
        <w:rPr>
          <w:i/>
          <w:sz w:val="24"/>
        </w:rPr>
        <w:t>showing</w:t>
      </w:r>
      <w:r>
        <w:rPr>
          <w:i/>
          <w:spacing w:val="11"/>
          <w:sz w:val="24"/>
        </w:rPr>
        <w:t> </w:t>
      </w:r>
      <w:r>
        <w:rPr>
          <w:i/>
          <w:sz w:val="24"/>
        </w:rPr>
        <w:t>direction</w:t>
      </w:r>
      <w:r>
        <w:rPr>
          <w:i/>
          <w:spacing w:val="1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1"/>
          <w:sz w:val="24"/>
        </w:rPr>
        <w:t> </w:t>
      </w:r>
      <w:r>
        <w:rPr>
          <w:i/>
          <w:sz w:val="24"/>
        </w:rPr>
        <w:t>wood</w:t>
      </w:r>
      <w:r>
        <w:rPr>
          <w:i/>
          <w:spacing w:val="13"/>
          <w:sz w:val="24"/>
        </w:rPr>
        <w:t> </w:t>
      </w:r>
      <w:r>
        <w:rPr>
          <w:i/>
          <w:sz w:val="24"/>
        </w:rPr>
        <w:t>grain</w:t>
      </w:r>
      <w:r>
        <w:rPr>
          <w:i/>
          <w:spacing w:val="1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11"/>
          <w:sz w:val="24"/>
        </w:rPr>
        <w:t> </w:t>
      </w:r>
      <w:r>
        <w:rPr>
          <w:i/>
          <w:sz w:val="24"/>
        </w:rPr>
        <w:t>face</w:t>
      </w:r>
      <w:r>
        <w:rPr>
          <w:i/>
          <w:spacing w:val="1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1"/>
          <w:sz w:val="24"/>
        </w:rPr>
        <w:t> </w:t>
      </w:r>
      <w:r>
        <w:rPr>
          <w:i/>
          <w:sz w:val="24"/>
        </w:rPr>
        <w:t>alternating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layers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(adapted from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[68]).</w:t>
      </w:r>
    </w:p>
    <w:p>
      <w:pPr>
        <w:pStyle w:val="BodyText"/>
        <w:rPr>
          <w:i/>
          <w:sz w:val="26"/>
        </w:rPr>
      </w:pPr>
    </w:p>
    <w:p>
      <w:pPr>
        <w:pStyle w:val="BodyText"/>
        <w:spacing w:before="1"/>
        <w:rPr>
          <w:i/>
          <w:sz w:val="31"/>
        </w:rPr>
      </w:pPr>
    </w:p>
    <w:p>
      <w:pPr>
        <w:pStyle w:val="BodyText"/>
        <w:spacing w:line="480" w:lineRule="auto"/>
        <w:ind w:left="440" w:firstLine="720"/>
      </w:pPr>
      <w:r>
        <w:rPr/>
        <w:t>Manufacturers</w:t>
      </w:r>
      <w:r>
        <w:rPr>
          <w:spacing w:val="43"/>
        </w:rPr>
        <w:t> </w:t>
      </w:r>
      <w:r>
        <w:rPr/>
        <w:t>make</w:t>
      </w:r>
      <w:r>
        <w:rPr>
          <w:spacing w:val="45"/>
        </w:rPr>
        <w:t> </w:t>
      </w:r>
      <w:r>
        <w:rPr/>
        <w:t>CLT</w:t>
      </w:r>
      <w:r>
        <w:rPr>
          <w:spacing w:val="43"/>
        </w:rPr>
        <w:t> </w:t>
      </w:r>
      <w:r>
        <w:rPr/>
        <w:t>from</w:t>
      </w:r>
      <w:r>
        <w:rPr>
          <w:spacing w:val="42"/>
        </w:rPr>
        <w:t> </w:t>
      </w:r>
      <w:r>
        <w:rPr/>
        <w:t>specific</w:t>
      </w:r>
      <w:r>
        <w:rPr>
          <w:spacing w:val="43"/>
        </w:rPr>
        <w:t> </w:t>
      </w:r>
      <w:r>
        <w:rPr/>
        <w:t>grades</w:t>
      </w:r>
      <w:r>
        <w:rPr>
          <w:spacing w:val="43"/>
        </w:rPr>
        <w:t> </w:t>
      </w:r>
      <w:r>
        <w:rPr/>
        <w:t>of</w:t>
      </w:r>
      <w:r>
        <w:rPr>
          <w:spacing w:val="42"/>
        </w:rPr>
        <w:t> </w:t>
      </w:r>
      <w:r>
        <w:rPr/>
        <w:t>sawn</w:t>
      </w:r>
      <w:r>
        <w:rPr>
          <w:spacing w:val="44"/>
        </w:rPr>
        <w:t> </w:t>
      </w:r>
      <w:r>
        <w:rPr/>
        <w:t>lumber,</w:t>
      </w:r>
      <w:r>
        <w:rPr>
          <w:spacing w:val="43"/>
        </w:rPr>
        <w:t> </w:t>
      </w:r>
      <w:r>
        <w:rPr/>
        <w:t>dependent</w:t>
      </w:r>
      <w:r>
        <w:rPr>
          <w:spacing w:val="43"/>
        </w:rPr>
        <w:t> </w:t>
      </w:r>
      <w:r>
        <w:rPr/>
        <w:t>on</w:t>
      </w:r>
      <w:r>
        <w:rPr>
          <w:spacing w:val="-57"/>
        </w:rPr>
        <w:t> </w:t>
      </w:r>
      <w:r>
        <w:rPr/>
        <w:t>design</w:t>
      </w:r>
      <w:r>
        <w:rPr>
          <w:spacing w:val="-5"/>
        </w:rPr>
        <w:t> </w:t>
      </w:r>
      <w:r>
        <w:rPr/>
        <w:t>specifications.</w:t>
      </w:r>
      <w:r>
        <w:rPr>
          <w:spacing w:val="51"/>
        </w:rPr>
        <w:t> </w:t>
      </w:r>
      <w:r>
        <w:rPr/>
        <w:t>As</w:t>
      </w:r>
      <w:r>
        <w:rPr>
          <w:spacing w:val="-5"/>
        </w:rPr>
        <w:t> </w:t>
      </w:r>
      <w:r>
        <w:rPr/>
        <w:t>a</w:t>
      </w:r>
      <w:r>
        <w:rPr>
          <w:spacing w:val="-4"/>
        </w:rPr>
        <w:t> </w:t>
      </w:r>
      <w:r>
        <w:rPr/>
        <w:t>composite</w:t>
      </w:r>
      <w:r>
        <w:rPr>
          <w:spacing w:val="-4"/>
        </w:rPr>
        <w:t> </w:t>
      </w:r>
      <w:r>
        <w:rPr/>
        <w:t>product,</w:t>
      </w:r>
      <w:r>
        <w:rPr>
          <w:spacing w:val="-4"/>
        </w:rPr>
        <w:t> </w:t>
      </w:r>
      <w:r>
        <w:rPr/>
        <w:t>a</w:t>
      </w:r>
      <w:r>
        <w:rPr>
          <w:spacing w:val="-6"/>
        </w:rPr>
        <w:t> </w:t>
      </w:r>
      <w:r>
        <w:rPr/>
        <w:t>panel</w:t>
      </w:r>
      <w:r>
        <w:rPr>
          <w:spacing w:val="-3"/>
        </w:rPr>
        <w:t> </w:t>
      </w:r>
      <w:r>
        <w:rPr/>
        <w:t>gets</w:t>
      </w:r>
      <w:r>
        <w:rPr>
          <w:spacing w:val="-5"/>
        </w:rPr>
        <w:t> </w:t>
      </w:r>
      <w:r>
        <w:rPr/>
        <w:t>its</w:t>
      </w:r>
      <w:r>
        <w:rPr>
          <w:spacing w:val="-3"/>
        </w:rPr>
        <w:t> </w:t>
      </w:r>
      <w:r>
        <w:rPr/>
        <w:t>own</w:t>
      </w:r>
      <w:r>
        <w:rPr>
          <w:spacing w:val="-5"/>
        </w:rPr>
        <w:t> </w:t>
      </w:r>
      <w:r>
        <w:rPr/>
        <w:t>classification</w:t>
      </w:r>
      <w:r>
        <w:rPr>
          <w:spacing w:val="-4"/>
        </w:rPr>
        <w:t> </w:t>
      </w:r>
      <w:r>
        <w:rPr/>
        <w:t>or</w:t>
      </w:r>
      <w:r>
        <w:rPr>
          <w:spacing w:val="-5"/>
        </w:rPr>
        <w:t> </w:t>
      </w:r>
      <w:r>
        <w:rPr/>
        <w:t>rating</w:t>
      </w:r>
    </w:p>
    <w:p>
      <w:pPr>
        <w:spacing w:after="0" w:line="480" w:lineRule="auto"/>
        <w:sectPr>
          <w:type w:val="continuous"/>
          <w:pgSz w:w="12240" w:h="15840"/>
          <w:pgMar w:top="1380" w:bottom="280" w:left="1720" w:right="1320"/>
        </w:sectPr>
      </w:pPr>
    </w:p>
    <w:p>
      <w:pPr>
        <w:pStyle w:val="BodyText"/>
        <w:spacing w:line="480" w:lineRule="auto" w:before="78"/>
        <w:ind w:left="439" w:right="116"/>
        <w:jc w:val="both"/>
      </w:pPr>
      <w:r>
        <w:rPr>
          <w:spacing w:val="-1"/>
        </w:rPr>
        <w:t>of</w:t>
      </w:r>
      <w:r>
        <w:rPr>
          <w:spacing w:val="-14"/>
        </w:rPr>
        <w:t> </w:t>
      </w:r>
      <w:r>
        <w:rPr>
          <w:spacing w:val="-1"/>
        </w:rPr>
        <w:t>CLT</w:t>
      </w:r>
      <w:r>
        <w:rPr>
          <w:spacing w:val="-12"/>
        </w:rPr>
        <w:t> </w:t>
      </w:r>
      <w:r>
        <w:rPr/>
        <w:t>grade.</w:t>
      </w:r>
      <w:r>
        <w:rPr>
          <w:spacing w:val="34"/>
        </w:rPr>
        <w:t> </w:t>
      </w:r>
      <w:r>
        <w:rPr/>
        <w:t>Different</w:t>
      </w:r>
      <w:r>
        <w:rPr>
          <w:spacing w:val="-13"/>
        </w:rPr>
        <w:t> </w:t>
      </w:r>
      <w:r>
        <w:rPr/>
        <w:t>tree</w:t>
      </w:r>
      <w:r>
        <w:rPr>
          <w:spacing w:val="-13"/>
        </w:rPr>
        <w:t> </w:t>
      </w:r>
      <w:r>
        <w:rPr/>
        <w:t>species</w:t>
      </w:r>
      <w:r>
        <w:rPr>
          <w:spacing w:val="-14"/>
        </w:rPr>
        <w:t> </w:t>
      </w:r>
      <w:r>
        <w:rPr/>
        <w:t>have</w:t>
      </w:r>
      <w:r>
        <w:rPr>
          <w:spacing w:val="-13"/>
        </w:rPr>
        <w:t> </w:t>
      </w:r>
      <w:r>
        <w:rPr/>
        <w:t>varied</w:t>
      </w:r>
      <w:r>
        <w:rPr>
          <w:spacing w:val="-15"/>
        </w:rPr>
        <w:t> </w:t>
      </w:r>
      <w:r>
        <w:rPr/>
        <w:t>mechanical</w:t>
      </w:r>
      <w:r>
        <w:rPr>
          <w:spacing w:val="-12"/>
        </w:rPr>
        <w:t> </w:t>
      </w:r>
      <w:r>
        <w:rPr/>
        <w:t>properties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characteristics,</w:t>
      </w:r>
      <w:r>
        <w:rPr>
          <w:spacing w:val="-58"/>
        </w:rPr>
        <w:t> </w:t>
      </w:r>
      <w:r>
        <w:rPr/>
        <w:t>and</w:t>
      </w:r>
      <w:r>
        <w:rPr>
          <w:spacing w:val="-5"/>
        </w:rPr>
        <w:t> </w:t>
      </w:r>
      <w:r>
        <w:rPr/>
        <w:t>so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species</w:t>
      </w:r>
      <w:r>
        <w:rPr>
          <w:spacing w:val="-5"/>
        </w:rPr>
        <w:t> </w:t>
      </w:r>
      <w:r>
        <w:rPr/>
        <w:t>used</w:t>
      </w:r>
      <w:r>
        <w:rPr>
          <w:spacing w:val="-5"/>
        </w:rPr>
        <w:t> </w:t>
      </w:r>
      <w:r>
        <w:rPr/>
        <w:t>in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panel</w:t>
      </w:r>
      <w:r>
        <w:rPr>
          <w:spacing w:val="-5"/>
        </w:rPr>
        <w:t> </w:t>
      </w:r>
      <w:r>
        <w:rPr/>
        <w:t>as</w:t>
      </w:r>
      <w:r>
        <w:rPr>
          <w:spacing w:val="-5"/>
        </w:rPr>
        <w:t> </w:t>
      </w:r>
      <w:r>
        <w:rPr/>
        <w:t>well</w:t>
      </w:r>
      <w:r>
        <w:rPr>
          <w:spacing w:val="-5"/>
        </w:rPr>
        <w:t> </w:t>
      </w:r>
      <w:r>
        <w:rPr/>
        <w:t>as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quality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4"/>
        </w:rPr>
        <w:t> </w:t>
      </w:r>
      <w:r>
        <w:rPr/>
        <w:t>lamina</w:t>
      </w:r>
      <w:r>
        <w:rPr>
          <w:spacing w:val="-5"/>
        </w:rPr>
        <w:t> </w:t>
      </w:r>
      <w:r>
        <w:rPr/>
        <w:t>dictate</w:t>
      </w:r>
      <w:r>
        <w:rPr>
          <w:spacing w:val="-6"/>
        </w:rPr>
        <w:t> </w:t>
      </w:r>
      <w:r>
        <w:rPr/>
        <w:t>the</w:t>
      </w:r>
      <w:r>
        <w:rPr>
          <w:spacing w:val="-4"/>
        </w:rPr>
        <w:t> </w:t>
      </w:r>
      <w:r>
        <w:rPr/>
        <w:t>grade</w:t>
      </w:r>
      <w:r>
        <w:rPr>
          <w:spacing w:val="-5"/>
        </w:rPr>
        <w:t> </w:t>
      </w:r>
      <w:r>
        <w:rPr/>
        <w:t>of</w:t>
      </w:r>
      <w:r>
        <w:rPr>
          <w:spacing w:val="-58"/>
        </w:rPr>
        <w:t> </w:t>
      </w:r>
      <w:r>
        <w:rPr/>
        <w:t>CLT.</w:t>
      </w:r>
      <w:r>
        <w:rPr>
          <w:spacing w:val="47"/>
        </w:rPr>
        <w:t> </w:t>
      </w:r>
      <w:r>
        <w:rPr/>
        <w:t>Quality</w:t>
      </w:r>
      <w:r>
        <w:rPr>
          <w:spacing w:val="-6"/>
        </w:rPr>
        <w:t> </w:t>
      </w:r>
      <w:r>
        <w:rPr/>
        <w:t>control</w:t>
      </w:r>
      <w:r>
        <w:rPr>
          <w:spacing w:val="-7"/>
        </w:rPr>
        <w:t> </w:t>
      </w:r>
      <w:r>
        <w:rPr/>
        <w:t>also</w:t>
      </w:r>
      <w:r>
        <w:rPr>
          <w:spacing w:val="-6"/>
        </w:rPr>
        <w:t> </w:t>
      </w:r>
      <w:r>
        <w:rPr/>
        <w:t>checks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grades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both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panel</w:t>
      </w:r>
      <w:r>
        <w:rPr>
          <w:spacing w:val="-6"/>
        </w:rPr>
        <w:t> </w:t>
      </w:r>
      <w:r>
        <w:rPr/>
        <w:t>and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lamina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/>
        <w:t>ensure</w:t>
      </w:r>
      <w:r>
        <w:rPr>
          <w:spacing w:val="-7"/>
        </w:rPr>
        <w:t> </w:t>
      </w:r>
      <w:r>
        <w:rPr/>
        <w:t>the</w:t>
      </w:r>
      <w:r>
        <w:rPr>
          <w:spacing w:val="-58"/>
        </w:rPr>
        <w:t> </w:t>
      </w:r>
      <w:r>
        <w:rPr/>
        <w:t>product meets or exceeds minimum mechanical properties for each grade.</w:t>
      </w:r>
      <w:r>
        <w:rPr>
          <w:spacing w:val="1"/>
        </w:rPr>
        <w:t> </w:t>
      </w:r>
      <w:r>
        <w:rPr/>
        <w:t>Often, the</w:t>
      </w:r>
      <w:r>
        <w:rPr>
          <w:spacing w:val="1"/>
        </w:rPr>
        <w:t> </w:t>
      </w:r>
      <w:r>
        <w:rPr/>
        <w:t>transverse</w:t>
      </w:r>
      <w:r>
        <w:rPr>
          <w:spacing w:val="-5"/>
        </w:rPr>
        <w:t> </w:t>
      </w:r>
      <w:r>
        <w:rPr/>
        <w:t>(perpendicular</w:t>
      </w:r>
      <w:r>
        <w:rPr>
          <w:spacing w:val="-5"/>
        </w:rPr>
        <w:t> </w:t>
      </w:r>
      <w:r>
        <w:rPr/>
        <w:t>to</w:t>
      </w:r>
      <w:r>
        <w:rPr>
          <w:spacing w:val="-5"/>
        </w:rPr>
        <w:t> </w:t>
      </w:r>
      <w:r>
        <w:rPr/>
        <w:t>direction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load)</w:t>
      </w:r>
      <w:r>
        <w:rPr>
          <w:spacing w:val="-5"/>
        </w:rPr>
        <w:t> </w:t>
      </w:r>
      <w:r>
        <w:rPr/>
        <w:t>lamina</w:t>
      </w:r>
      <w:r>
        <w:rPr>
          <w:spacing w:val="-5"/>
        </w:rPr>
        <w:t> </w:t>
      </w:r>
      <w:r>
        <w:rPr/>
        <w:t>can</w:t>
      </w:r>
      <w:r>
        <w:rPr>
          <w:spacing w:val="-5"/>
        </w:rPr>
        <w:t> </w:t>
      </w:r>
      <w:r>
        <w:rPr/>
        <w:t>be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/>
        <w:t>lesser</w:t>
      </w:r>
      <w:r>
        <w:rPr>
          <w:spacing w:val="-4"/>
        </w:rPr>
        <w:t> </w:t>
      </w:r>
      <w:r>
        <w:rPr/>
        <w:t>quality</w:t>
      </w:r>
      <w:r>
        <w:rPr>
          <w:spacing w:val="-5"/>
        </w:rPr>
        <w:t> </w:t>
      </w:r>
      <w:r>
        <w:rPr/>
        <w:t>because</w:t>
      </w:r>
      <w:r>
        <w:rPr>
          <w:spacing w:val="-6"/>
        </w:rPr>
        <w:t> </w:t>
      </w:r>
      <w:r>
        <w:rPr/>
        <w:t>they</w:t>
      </w:r>
      <w:r>
        <w:rPr>
          <w:spacing w:val="-58"/>
        </w:rPr>
        <w:t> </w:t>
      </w:r>
      <w:r>
        <w:rPr/>
        <w:t>are</w:t>
      </w:r>
      <w:r>
        <w:rPr>
          <w:spacing w:val="-1"/>
        </w:rPr>
        <w:t> </w:t>
      </w:r>
      <w:r>
        <w:rPr/>
        <w:t>sandwiched between</w:t>
      </w:r>
      <w:r>
        <w:rPr>
          <w:spacing w:val="-2"/>
        </w:rPr>
        <w:t> </w:t>
      </w:r>
      <w:r>
        <w:rPr/>
        <w:t>two higher</w:t>
      </w:r>
      <w:r>
        <w:rPr>
          <w:spacing w:val="-1"/>
        </w:rPr>
        <w:t> </w:t>
      </w:r>
      <w:r>
        <w:rPr/>
        <w:t>quality parallel</w:t>
      </w:r>
      <w:r>
        <w:rPr>
          <w:spacing w:val="-2"/>
        </w:rPr>
        <w:t> </w:t>
      </w:r>
      <w:r>
        <w:rPr/>
        <w:t>layers.</w:t>
      </w:r>
    </w:p>
    <w:p>
      <w:pPr>
        <w:pStyle w:val="BodyText"/>
        <w:spacing w:line="480" w:lineRule="auto" w:before="160"/>
        <w:ind w:left="439" w:right="117" w:firstLine="720"/>
        <w:jc w:val="both"/>
      </w:pPr>
      <w:r>
        <w:rPr/>
        <w:t>Table 2-1 lists the wood types and rating for the various CLT grades.</w:t>
      </w:r>
      <w:r>
        <w:rPr>
          <w:spacing w:val="1"/>
        </w:rPr>
        <w:t> </w:t>
      </w:r>
      <w:r>
        <w:rPr/>
        <w:t>The “E”</w:t>
      </w:r>
      <w:r>
        <w:rPr>
          <w:spacing w:val="1"/>
        </w:rPr>
        <w:t> </w:t>
      </w:r>
      <w:r>
        <w:rPr/>
        <w:t>designation refers to timber based on mechanically rated or machine stress rated (MSR).</w:t>
      </w:r>
      <w:r>
        <w:rPr>
          <w:spacing w:val="1"/>
        </w:rPr>
        <w:t> </w:t>
      </w:r>
      <w:r>
        <w:rPr/>
        <w:t>The “V” designation refers to visually graded timbers. Each grade of CLT is composed of</w:t>
      </w:r>
      <w:r>
        <w:rPr>
          <w:spacing w:val="-57"/>
        </w:rPr>
        <w:t> </w:t>
      </w:r>
      <w:r>
        <w:rPr/>
        <w:t>specific grades of specific species in the parallel and perpendicular layers.</w:t>
      </w:r>
      <w:r>
        <w:rPr>
          <w:spacing w:val="1"/>
        </w:rPr>
        <w:t> </w:t>
      </w:r>
      <w:r>
        <w:rPr/>
        <w:t>Some CLT</w:t>
      </w:r>
      <w:r>
        <w:rPr>
          <w:spacing w:val="1"/>
        </w:rPr>
        <w:t> </w:t>
      </w:r>
      <w:r>
        <w:rPr/>
        <w:t>grades</w:t>
      </w:r>
      <w:r>
        <w:rPr>
          <w:spacing w:val="-1"/>
        </w:rPr>
        <w:t> </w:t>
      </w:r>
      <w:r>
        <w:rPr/>
        <w:t>use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combination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E-rated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V-rated</w:t>
      </w:r>
      <w:r>
        <w:rPr>
          <w:spacing w:val="-2"/>
        </w:rPr>
        <w:t> </w:t>
      </w:r>
      <w:r>
        <w:rPr/>
        <w:t>timbers in</w:t>
      </w:r>
      <w:r>
        <w:rPr>
          <w:spacing w:val="-1"/>
        </w:rPr>
        <w:t> </w:t>
      </w:r>
      <w:r>
        <w:rPr/>
        <w:t>different layers.</w:t>
      </w:r>
    </w:p>
    <w:p>
      <w:pPr>
        <w:pStyle w:val="BodyText"/>
        <w:spacing w:line="480" w:lineRule="auto" w:before="159"/>
        <w:ind w:left="439" w:right="116" w:firstLine="720"/>
        <w:jc w:val="both"/>
      </w:pPr>
      <w:r>
        <w:rPr/>
        <w:t>Table 2-2 defines the symbols used for various strength parameters in PRG 320.</w:t>
      </w:r>
      <w:r>
        <w:rPr>
          <w:spacing w:val="1"/>
        </w:rPr>
        <w:t> </w:t>
      </w:r>
      <w:r>
        <w:rPr/>
        <w:t>The</w:t>
      </w:r>
      <w:r>
        <w:rPr>
          <w:spacing w:val="-3"/>
        </w:rPr>
        <w:t> </w:t>
      </w:r>
      <w:r>
        <w:rPr/>
        <w:t>upper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/>
        <w:t>lower</w:t>
      </w:r>
      <w:r>
        <w:rPr>
          <w:spacing w:val="-2"/>
        </w:rPr>
        <w:t> </w:t>
      </w:r>
      <w:r>
        <w:rPr/>
        <w:t>case</w:t>
      </w:r>
      <w:r>
        <w:rPr>
          <w:spacing w:val="-3"/>
        </w:rPr>
        <w:t> </w:t>
      </w:r>
      <w:r>
        <w:rPr/>
        <w:t>strength</w:t>
      </w:r>
      <w:r>
        <w:rPr>
          <w:spacing w:val="-3"/>
        </w:rPr>
        <w:t> </w:t>
      </w:r>
      <w:r>
        <w:rPr/>
        <w:t>parameter</w:t>
      </w:r>
      <w:r>
        <w:rPr>
          <w:spacing w:val="-2"/>
        </w:rPr>
        <w:t> </w:t>
      </w:r>
      <w:r>
        <w:rPr/>
        <w:t>symbols</w:t>
      </w:r>
      <w:r>
        <w:rPr>
          <w:spacing w:val="-2"/>
        </w:rPr>
        <w:t> </w:t>
      </w:r>
      <w:r>
        <w:rPr/>
        <w:t>correspond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characteristic</w:t>
      </w:r>
      <w:r>
        <w:rPr>
          <w:spacing w:val="-4"/>
        </w:rPr>
        <w:t> </w:t>
      </w:r>
      <w:r>
        <w:rPr/>
        <w:t>and</w:t>
      </w:r>
      <w:r>
        <w:rPr>
          <w:spacing w:val="-58"/>
        </w:rPr>
        <w:t> </w:t>
      </w:r>
      <w:r>
        <w:rPr/>
        <w:t>allowable value, respectively.</w:t>
      </w:r>
      <w:r>
        <w:rPr>
          <w:spacing w:val="1"/>
        </w:rPr>
        <w:t> </w:t>
      </w:r>
      <w:r>
        <w:rPr/>
        <w:t>The subscript value denotes the direction for which the</w:t>
      </w:r>
      <w:r>
        <w:rPr>
          <w:spacing w:val="1"/>
        </w:rPr>
        <w:t> </w:t>
      </w:r>
      <w:r>
        <w:rPr/>
        <w:t>parameter applies: 0 for the parallel to the major strength direction and 90 (degrees) for</w:t>
      </w:r>
      <w:r>
        <w:rPr>
          <w:spacing w:val="1"/>
        </w:rPr>
        <w:t> </w:t>
      </w:r>
      <w:r>
        <w:rPr/>
        <w:t>perpendicular.</w:t>
      </w:r>
      <w:r>
        <w:rPr>
          <w:spacing w:val="1"/>
        </w:rPr>
        <w:t> </w:t>
      </w:r>
      <w:r>
        <w:rPr/>
        <w:t>The varying strengths across the CLT grades can be seen in </w:t>
      </w:r>
      <w:hyperlink w:history="true" w:anchor="_bookmark2">
        <w:r>
          <w:rPr/>
          <w:t>Table 2-3 </w:t>
        </w:r>
      </w:hyperlink>
      <w:r>
        <w:rPr/>
        <w:t>and</w:t>
      </w:r>
      <w:r>
        <w:rPr>
          <w:spacing w:val="-57"/>
        </w:rPr>
        <w:t> </w:t>
      </w:r>
      <w:r>
        <w:rPr/>
        <w:t>Table 2-4, adapted from ANSI/APA PRG 320.</w:t>
      </w:r>
      <w:r>
        <w:rPr>
          <w:spacing w:val="1"/>
        </w:rPr>
        <w:t> </w:t>
      </w:r>
      <w:r>
        <w:rPr/>
        <w:t>It can be observed that the interlaminar</w:t>
      </w:r>
      <w:r>
        <w:rPr>
          <w:spacing w:val="1"/>
        </w:rPr>
        <w:t> </w:t>
      </w:r>
      <w:r>
        <w:rPr/>
        <w:t>shear strength does not vary between major and minor strength directions.</w:t>
      </w:r>
      <w:r>
        <w:rPr>
          <w:spacing w:val="1"/>
        </w:rPr>
        <w:t> </w:t>
      </w:r>
      <w:r>
        <w:rPr/>
        <w:t>Additionally,</w:t>
      </w:r>
      <w:r>
        <w:rPr>
          <w:spacing w:val="1"/>
        </w:rPr>
        <w:t> </w:t>
      </w:r>
      <w:r>
        <w:rPr/>
        <w:t>the number in the grade title does not necessarily correlate to increasing or decreasing</w:t>
      </w:r>
      <w:r>
        <w:rPr>
          <w:spacing w:val="1"/>
        </w:rPr>
        <w:t> </w:t>
      </w:r>
      <w:r>
        <w:rPr/>
        <w:t>strength as can be observed with E4 compared to the other three E-grades.</w:t>
      </w:r>
      <w:r>
        <w:rPr>
          <w:spacing w:val="1"/>
        </w:rPr>
        <w:t> </w:t>
      </w:r>
      <w:r>
        <w:rPr/>
        <w:t>Each grade is</w:t>
      </w:r>
      <w:r>
        <w:rPr>
          <w:spacing w:val="1"/>
        </w:rPr>
        <w:t> </w:t>
      </w:r>
      <w:r>
        <w:rPr/>
        <w:t>independent</w:t>
      </w:r>
      <w:r>
        <w:rPr>
          <w:spacing w:val="-12"/>
        </w:rPr>
        <w:t> </w:t>
      </w:r>
      <w:r>
        <w:rPr/>
        <w:t>of</w:t>
      </w:r>
      <w:r>
        <w:rPr>
          <w:spacing w:val="-11"/>
        </w:rPr>
        <w:t> </w:t>
      </w:r>
      <w:r>
        <w:rPr/>
        <w:t>the</w:t>
      </w:r>
      <w:r>
        <w:rPr>
          <w:spacing w:val="-10"/>
        </w:rPr>
        <w:t> </w:t>
      </w:r>
      <w:r>
        <w:rPr/>
        <w:t>others</w:t>
      </w:r>
      <w:r>
        <w:rPr>
          <w:spacing w:val="-12"/>
        </w:rPr>
        <w:t> </w:t>
      </w:r>
      <w:r>
        <w:rPr/>
        <w:t>in</w:t>
      </w:r>
      <w:r>
        <w:rPr>
          <w:spacing w:val="-10"/>
        </w:rPr>
        <w:t> </w:t>
      </w:r>
      <w:r>
        <w:rPr/>
        <w:t>terms</w:t>
      </w:r>
      <w:r>
        <w:rPr>
          <w:spacing w:val="-10"/>
        </w:rPr>
        <w:t> </w:t>
      </w:r>
      <w:r>
        <w:rPr/>
        <w:t>of</w:t>
      </w:r>
      <w:r>
        <w:rPr>
          <w:spacing w:val="-11"/>
        </w:rPr>
        <w:t> </w:t>
      </w:r>
      <w:r>
        <w:rPr/>
        <w:t>material</w:t>
      </w:r>
      <w:r>
        <w:rPr>
          <w:spacing w:val="-10"/>
        </w:rPr>
        <w:t> </w:t>
      </w:r>
      <w:r>
        <w:rPr/>
        <w:t>properties</w:t>
      </w:r>
      <w:r>
        <w:rPr>
          <w:spacing w:val="-10"/>
        </w:rPr>
        <w:t> </w:t>
      </w:r>
      <w:r>
        <w:rPr/>
        <w:t>shown</w:t>
      </w:r>
      <w:r>
        <w:rPr>
          <w:spacing w:val="-10"/>
        </w:rPr>
        <w:t> </w:t>
      </w:r>
      <w:r>
        <w:rPr/>
        <w:t>in</w:t>
      </w:r>
      <w:r>
        <w:rPr>
          <w:spacing w:val="-10"/>
        </w:rPr>
        <w:t> </w:t>
      </w:r>
      <w:hyperlink w:history="true" w:anchor="_bookmark2">
        <w:r>
          <w:rPr/>
          <w:t>Table</w:t>
        </w:r>
        <w:r>
          <w:rPr>
            <w:spacing w:val="-10"/>
          </w:rPr>
          <w:t> </w:t>
        </w:r>
        <w:r>
          <w:rPr/>
          <w:t>2-3</w:t>
        </w:r>
        <w:r>
          <w:rPr>
            <w:spacing w:val="-10"/>
          </w:rPr>
          <w:t> </w:t>
        </w:r>
      </w:hyperlink>
      <w:r>
        <w:rPr/>
        <w:t>and</w:t>
      </w:r>
      <w:r>
        <w:rPr>
          <w:spacing w:val="-11"/>
        </w:rPr>
        <w:t> </w:t>
      </w:r>
      <w:hyperlink w:history="true" w:anchor="_bookmark3">
        <w:r>
          <w:rPr/>
          <w:t>Table</w:t>
        </w:r>
        <w:r>
          <w:rPr>
            <w:spacing w:val="-11"/>
          </w:rPr>
          <w:t> </w:t>
        </w:r>
        <w:r>
          <w:rPr/>
          <w:t>2-4.</w:t>
        </w:r>
      </w:hyperlink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320"/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48.904297pt;margin-top:315.5pt;width:15.3pt;height:14pt;mso-position-horizontal-relative:page;mso-position-vertical-relative:page;z-index:15740928" type="#_x0000_t202" filled="false" stroked="false">
            <v:textbox inset="0,0,0,0" style="layout-flow:vertical">
              <w:txbxContent>
                <w:p>
                  <w:pPr>
                    <w:pStyle w:val="BodyText"/>
                    <w:spacing w:before="10"/>
                    <w:ind w:left="20"/>
                  </w:pPr>
                  <w:r>
                    <w:rPr/>
                    <w:t>21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spacing w:before="90"/>
        <w:ind w:left="3167" w:right="3261" w:firstLine="0"/>
        <w:jc w:val="center"/>
        <w:rPr>
          <w:i/>
          <w:sz w:val="24"/>
        </w:rPr>
      </w:pPr>
      <w:r>
        <w:rPr>
          <w:i/>
          <w:sz w:val="24"/>
        </w:rPr>
        <w:t>Table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2-1.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Wood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lamination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composition by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CLT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grade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[12].</w:t>
      </w:r>
    </w:p>
    <w:p>
      <w:pPr>
        <w:pStyle w:val="BodyText"/>
        <w:spacing w:before="1"/>
        <w:rPr>
          <w:i/>
          <w:sz w:val="14"/>
        </w:rPr>
      </w:pPr>
      <w:r>
        <w:rPr/>
        <w:pict>
          <v:shape style="position:absolute;margin-left:108.000008pt;margin-top:10.079159pt;width:612pt;height:.5pt;mso-position-horizontal-relative:page;mso-position-vertical-relative:paragraph;z-index:-15721472;mso-wrap-distance-left:0;mso-wrap-distance-right:0" coordorigin="2160,202" coordsize="12240,10" path="m14400,202l6331,202,6322,202,2160,202,2160,211,6322,211,6331,211,14400,211,14400,202xe" filled="true" fillcolor="#808080" stroked="false">
            <v:path arrowok="t"/>
            <v:fill type="solid"/>
            <w10:wrap type="topAndBottom"/>
          </v:shape>
        </w:pict>
      </w:r>
    </w:p>
    <w:p>
      <w:pPr>
        <w:spacing w:before="0"/>
        <w:ind w:left="108" w:right="0" w:firstLine="0"/>
        <w:jc w:val="left"/>
        <w:rPr>
          <w:b/>
          <w:sz w:val="22"/>
        </w:rPr>
      </w:pPr>
      <w:r>
        <w:rPr>
          <w:b/>
          <w:sz w:val="22"/>
        </w:rPr>
        <w:t>Grading</w:t>
      </w:r>
    </w:p>
    <w:p>
      <w:pPr>
        <w:tabs>
          <w:tab w:pos="4269" w:val="left" w:leader="none"/>
        </w:tabs>
        <w:spacing w:line="233" w:lineRule="exact" w:before="0"/>
        <w:ind w:left="108" w:right="0" w:firstLine="0"/>
        <w:jc w:val="both"/>
        <w:rPr>
          <w:sz w:val="22"/>
        </w:rPr>
      </w:pPr>
      <w:r>
        <w:rPr/>
        <w:pict>
          <v:shape style="position:absolute;margin-left:108.000008pt;margin-top:-1.438946pt;width:612pt;height:.5pt;mso-position-horizontal-relative:page;mso-position-vertical-relative:paragraph;z-index:15739392" coordorigin="2160,-29" coordsize="12240,10" path="m14400,-29l6331,-29,6322,-29,2160,-29,2160,-19,6322,-19,6331,-19,14400,-19,14400,-29xe" filled="true" fillcolor="#808080" stroked="false">
            <v:path arrowok="t"/>
            <v:fill type="solid"/>
            <w10:wrap type="none"/>
          </v:shape>
        </w:pict>
      </w:r>
      <w:r>
        <w:rPr>
          <w:b/>
          <w:sz w:val="22"/>
        </w:rPr>
        <w:t>E1</w:t>
        <w:tab/>
      </w:r>
      <w:r>
        <w:rPr>
          <w:sz w:val="22"/>
        </w:rPr>
        <w:t>1950f-1.7E</w:t>
      </w:r>
      <w:r>
        <w:rPr>
          <w:spacing w:val="37"/>
          <w:sz w:val="22"/>
        </w:rPr>
        <w:t> </w:t>
      </w:r>
      <w:r>
        <w:rPr>
          <w:sz w:val="22"/>
        </w:rPr>
        <w:t>Spruce-pine-fir</w:t>
      </w:r>
      <w:r>
        <w:rPr>
          <w:spacing w:val="36"/>
          <w:sz w:val="22"/>
        </w:rPr>
        <w:t> </w:t>
      </w:r>
      <w:r>
        <w:rPr>
          <w:sz w:val="22"/>
        </w:rPr>
        <w:t>MSR</w:t>
      </w:r>
      <w:r>
        <w:rPr>
          <w:spacing w:val="36"/>
          <w:sz w:val="22"/>
        </w:rPr>
        <w:t> </w:t>
      </w:r>
      <w:r>
        <w:rPr>
          <w:sz w:val="22"/>
        </w:rPr>
        <w:t>lumber</w:t>
      </w:r>
      <w:r>
        <w:rPr>
          <w:spacing w:val="36"/>
          <w:sz w:val="22"/>
        </w:rPr>
        <w:t> </w:t>
      </w:r>
      <w:r>
        <w:rPr>
          <w:sz w:val="22"/>
        </w:rPr>
        <w:t>in</w:t>
      </w:r>
      <w:r>
        <w:rPr>
          <w:spacing w:val="38"/>
          <w:sz w:val="22"/>
        </w:rPr>
        <w:t> </w:t>
      </w:r>
      <w:r>
        <w:rPr>
          <w:sz w:val="22"/>
        </w:rPr>
        <w:t>all</w:t>
      </w:r>
      <w:r>
        <w:rPr>
          <w:spacing w:val="37"/>
          <w:sz w:val="22"/>
        </w:rPr>
        <w:t> </w:t>
      </w:r>
      <w:r>
        <w:rPr>
          <w:sz w:val="22"/>
        </w:rPr>
        <w:t>parallel</w:t>
      </w:r>
      <w:r>
        <w:rPr>
          <w:spacing w:val="37"/>
          <w:sz w:val="22"/>
        </w:rPr>
        <w:t> </w:t>
      </w:r>
      <w:r>
        <w:rPr>
          <w:sz w:val="22"/>
        </w:rPr>
        <w:t>layers</w:t>
      </w:r>
      <w:r>
        <w:rPr>
          <w:spacing w:val="36"/>
          <w:sz w:val="22"/>
        </w:rPr>
        <w:t> </w:t>
      </w:r>
      <w:r>
        <w:rPr>
          <w:sz w:val="22"/>
        </w:rPr>
        <w:t>and</w:t>
      </w:r>
      <w:r>
        <w:rPr>
          <w:spacing w:val="37"/>
          <w:sz w:val="22"/>
        </w:rPr>
        <w:t> </w:t>
      </w:r>
      <w:r>
        <w:rPr>
          <w:sz w:val="22"/>
        </w:rPr>
        <w:t>No.3</w:t>
      </w:r>
      <w:r>
        <w:rPr>
          <w:spacing w:val="38"/>
          <w:sz w:val="22"/>
        </w:rPr>
        <w:t> </w:t>
      </w:r>
      <w:r>
        <w:rPr>
          <w:sz w:val="22"/>
        </w:rPr>
        <w:t>Spruce-pin-fir</w:t>
      </w:r>
    </w:p>
    <w:p>
      <w:pPr>
        <w:spacing w:line="252" w:lineRule="exact" w:before="0"/>
        <w:ind w:left="4269" w:right="0" w:firstLine="0"/>
        <w:jc w:val="both"/>
        <w:rPr>
          <w:sz w:val="22"/>
        </w:rPr>
      </w:pPr>
      <w:r>
        <w:rPr>
          <w:sz w:val="22"/>
        </w:rPr>
        <w:t>lumber</w:t>
      </w:r>
      <w:r>
        <w:rPr>
          <w:spacing w:val="-3"/>
          <w:sz w:val="22"/>
        </w:rPr>
        <w:t> </w:t>
      </w:r>
      <w:r>
        <w:rPr>
          <w:sz w:val="22"/>
        </w:rPr>
        <w:t>in</w:t>
      </w:r>
      <w:r>
        <w:rPr>
          <w:spacing w:val="-3"/>
          <w:sz w:val="22"/>
        </w:rPr>
        <w:t> </w:t>
      </w:r>
      <w:r>
        <w:rPr>
          <w:sz w:val="22"/>
        </w:rPr>
        <w:t>all</w:t>
      </w:r>
      <w:r>
        <w:rPr>
          <w:spacing w:val="-1"/>
          <w:sz w:val="22"/>
        </w:rPr>
        <w:t> </w:t>
      </w:r>
      <w:r>
        <w:rPr>
          <w:sz w:val="22"/>
        </w:rPr>
        <w:t>perpendicular</w:t>
      </w:r>
      <w:r>
        <w:rPr>
          <w:spacing w:val="-3"/>
          <w:sz w:val="22"/>
        </w:rPr>
        <w:t> </w:t>
      </w:r>
      <w:r>
        <w:rPr>
          <w:sz w:val="22"/>
        </w:rPr>
        <w:t>layers</w:t>
      </w:r>
    </w:p>
    <w:p>
      <w:pPr>
        <w:pStyle w:val="BodyText"/>
        <w:spacing w:line="20" w:lineRule="exact"/>
        <w:rPr>
          <w:sz w:val="2"/>
        </w:rPr>
      </w:pPr>
      <w:r>
        <w:rPr>
          <w:sz w:val="2"/>
        </w:rPr>
        <w:pict>
          <v:group style="width:612pt;height:.5pt;mso-position-horizontal-relative:char;mso-position-vertical-relative:line" coordorigin="0,0" coordsize="12240,10">
            <v:shape style="position:absolute;left:0;top:0;width:12240;height:10" coordorigin="0,0" coordsize="12240,10" path="m12240,0l4171,0,4162,0,0,0,0,10,4162,10,4171,10,12240,10,12240,0xe" filled="true" fillcolor="#808080" stroked="false">
              <v:path arrowok="t"/>
              <v:fill type="solid"/>
            </v:shape>
          </v:group>
        </w:pict>
      </w:r>
      <w:r>
        <w:rPr>
          <w:sz w:val="2"/>
        </w:rPr>
      </w:r>
    </w:p>
    <w:p>
      <w:pPr>
        <w:tabs>
          <w:tab w:pos="4269" w:val="left" w:leader="none"/>
        </w:tabs>
        <w:spacing w:before="0"/>
        <w:ind w:left="4269" w:right="207" w:hanging="4162"/>
        <w:jc w:val="both"/>
        <w:rPr>
          <w:sz w:val="22"/>
        </w:rPr>
      </w:pPr>
      <w:r>
        <w:rPr/>
        <w:pict>
          <v:shape style="position:absolute;margin-left:108.000008pt;margin-top:25.329514pt;width:612pt;height:.5pt;mso-position-horizontal-relative:page;mso-position-vertical-relative:paragraph;z-index:15739904" coordorigin="2160,507" coordsize="12240,10" path="m14400,507l6331,507,6322,507,2160,507,2160,516,6322,516,6331,516,14400,516,14400,507xe" filled="true" fillcolor="#808080" stroked="false">
            <v:path arrowok="t"/>
            <v:fill type="solid"/>
            <w10:wrap type="none"/>
          </v:shape>
        </w:pict>
      </w:r>
      <w:r>
        <w:rPr>
          <w:b/>
          <w:sz w:val="22"/>
        </w:rPr>
        <w:t>E2</w:t>
        <w:tab/>
      </w:r>
      <w:r>
        <w:rPr>
          <w:sz w:val="22"/>
        </w:rPr>
        <w:t>1650f-1.5E Douglas fir-Larch MSR lumber in all parallel layers and No. 3 Douglas fir-</w:t>
      </w:r>
      <w:r>
        <w:rPr>
          <w:spacing w:val="1"/>
          <w:sz w:val="22"/>
        </w:rPr>
        <w:t> </w:t>
      </w:r>
      <w:r>
        <w:rPr>
          <w:sz w:val="22"/>
        </w:rPr>
        <w:t>Larch</w:t>
      </w:r>
      <w:r>
        <w:rPr>
          <w:spacing w:val="-1"/>
          <w:sz w:val="22"/>
        </w:rPr>
        <w:t> </w:t>
      </w:r>
      <w:r>
        <w:rPr>
          <w:sz w:val="22"/>
        </w:rPr>
        <w:t>lumber</w:t>
      </w:r>
      <w:r>
        <w:rPr>
          <w:spacing w:val="1"/>
          <w:sz w:val="22"/>
        </w:rPr>
        <w:t> </w:t>
      </w:r>
      <w:r>
        <w:rPr>
          <w:sz w:val="22"/>
        </w:rPr>
        <w:t>in all perpendicular</w:t>
      </w:r>
      <w:r>
        <w:rPr>
          <w:spacing w:val="-1"/>
          <w:sz w:val="22"/>
        </w:rPr>
        <w:t> </w:t>
      </w:r>
      <w:r>
        <w:rPr>
          <w:sz w:val="22"/>
        </w:rPr>
        <w:t>layers</w:t>
      </w:r>
    </w:p>
    <w:p>
      <w:pPr>
        <w:tabs>
          <w:tab w:pos="4269" w:val="left" w:leader="none"/>
        </w:tabs>
        <w:spacing w:before="0"/>
        <w:ind w:left="4269" w:right="204" w:hanging="4162"/>
        <w:jc w:val="both"/>
        <w:rPr>
          <w:sz w:val="22"/>
        </w:rPr>
      </w:pPr>
      <w:r>
        <w:rPr>
          <w:b/>
          <w:sz w:val="22"/>
        </w:rPr>
        <w:t>E3</w:t>
        <w:tab/>
      </w:r>
      <w:r>
        <w:rPr>
          <w:sz w:val="22"/>
        </w:rPr>
        <w:t>1200f-1.2E Eastern Softwoods, Northern Species, or Western Woods MSR lumber in all</w:t>
      </w:r>
      <w:r>
        <w:rPr>
          <w:spacing w:val="1"/>
          <w:sz w:val="22"/>
        </w:rPr>
        <w:t> </w:t>
      </w:r>
      <w:r>
        <w:rPr>
          <w:sz w:val="22"/>
        </w:rPr>
        <w:t>parallel layers and No. 3 Eastern Softwood, Northern Species, or Western Woods lumber</w:t>
      </w:r>
      <w:r>
        <w:rPr>
          <w:spacing w:val="-52"/>
          <w:sz w:val="22"/>
        </w:rPr>
        <w:t> </w:t>
      </w:r>
      <w:r>
        <w:rPr>
          <w:sz w:val="22"/>
        </w:rPr>
        <w:t>in</w:t>
      </w:r>
      <w:r>
        <w:rPr>
          <w:spacing w:val="-1"/>
          <w:sz w:val="22"/>
        </w:rPr>
        <w:t> </w:t>
      </w:r>
      <w:r>
        <w:rPr>
          <w:sz w:val="22"/>
        </w:rPr>
        <w:t>all perpendicular layers</w:t>
      </w:r>
    </w:p>
    <w:p>
      <w:pPr>
        <w:pStyle w:val="BodyText"/>
        <w:spacing w:line="20" w:lineRule="exact"/>
        <w:rPr>
          <w:sz w:val="2"/>
        </w:rPr>
      </w:pPr>
      <w:r>
        <w:rPr>
          <w:sz w:val="2"/>
        </w:rPr>
        <w:pict>
          <v:group style="width:612pt;height:.5pt;mso-position-horizontal-relative:char;mso-position-vertical-relative:line" coordorigin="0,0" coordsize="12240,10">
            <v:shape style="position:absolute;left:0;top:0;width:12240;height:10" coordorigin="0,0" coordsize="12240,10" path="m12240,0l4171,0,4162,0,0,0,0,10,4162,10,4171,10,12240,10,12240,0xe" filled="true" fillcolor="#808080" stroked="false">
              <v:path arrowok="t"/>
              <v:fill type="solid"/>
            </v:shape>
          </v:group>
        </w:pict>
      </w:r>
      <w:r>
        <w:rPr>
          <w:sz w:val="2"/>
        </w:rPr>
      </w:r>
    </w:p>
    <w:p>
      <w:pPr>
        <w:tabs>
          <w:tab w:pos="4269" w:val="left" w:leader="none"/>
        </w:tabs>
        <w:spacing w:line="237" w:lineRule="auto" w:before="0"/>
        <w:ind w:left="4269" w:right="206" w:hanging="4162"/>
        <w:jc w:val="left"/>
        <w:rPr>
          <w:sz w:val="22"/>
        </w:rPr>
      </w:pPr>
      <w:r>
        <w:rPr>
          <w:b/>
          <w:sz w:val="22"/>
        </w:rPr>
        <w:t>E4</w:t>
        <w:tab/>
      </w:r>
      <w:r>
        <w:rPr>
          <w:sz w:val="22"/>
        </w:rPr>
        <w:t>1950f-1.7E</w:t>
      </w:r>
      <w:r>
        <w:rPr>
          <w:spacing w:val="8"/>
          <w:sz w:val="22"/>
        </w:rPr>
        <w:t> </w:t>
      </w:r>
      <w:r>
        <w:rPr>
          <w:sz w:val="22"/>
        </w:rPr>
        <w:t>Southern</w:t>
      </w:r>
      <w:r>
        <w:rPr>
          <w:spacing w:val="9"/>
          <w:sz w:val="22"/>
        </w:rPr>
        <w:t> </w:t>
      </w:r>
      <w:r>
        <w:rPr>
          <w:sz w:val="22"/>
        </w:rPr>
        <w:t>pine</w:t>
      </w:r>
      <w:r>
        <w:rPr>
          <w:spacing w:val="8"/>
          <w:sz w:val="22"/>
        </w:rPr>
        <w:t> </w:t>
      </w:r>
      <w:r>
        <w:rPr>
          <w:sz w:val="22"/>
        </w:rPr>
        <w:t>MSR</w:t>
      </w:r>
      <w:r>
        <w:rPr>
          <w:spacing w:val="10"/>
          <w:sz w:val="22"/>
        </w:rPr>
        <w:t> </w:t>
      </w:r>
      <w:r>
        <w:rPr>
          <w:sz w:val="22"/>
        </w:rPr>
        <w:t>lumber</w:t>
      </w:r>
      <w:r>
        <w:rPr>
          <w:spacing w:val="10"/>
          <w:sz w:val="22"/>
        </w:rPr>
        <w:t> </w:t>
      </w:r>
      <w:r>
        <w:rPr>
          <w:sz w:val="22"/>
        </w:rPr>
        <w:t>in</w:t>
      </w:r>
      <w:r>
        <w:rPr>
          <w:spacing w:val="10"/>
          <w:sz w:val="22"/>
        </w:rPr>
        <w:t> </w:t>
      </w:r>
      <w:r>
        <w:rPr>
          <w:sz w:val="22"/>
        </w:rPr>
        <w:t>all</w:t>
      </w:r>
      <w:r>
        <w:rPr>
          <w:spacing w:val="10"/>
          <w:sz w:val="22"/>
        </w:rPr>
        <w:t> </w:t>
      </w:r>
      <w:r>
        <w:rPr>
          <w:sz w:val="22"/>
        </w:rPr>
        <w:t>parallel</w:t>
      </w:r>
      <w:r>
        <w:rPr>
          <w:spacing w:val="9"/>
          <w:sz w:val="22"/>
        </w:rPr>
        <w:t> </w:t>
      </w:r>
      <w:r>
        <w:rPr>
          <w:sz w:val="22"/>
        </w:rPr>
        <w:t>layers</w:t>
      </w:r>
      <w:r>
        <w:rPr>
          <w:spacing w:val="9"/>
          <w:sz w:val="22"/>
        </w:rPr>
        <w:t> </w:t>
      </w:r>
      <w:r>
        <w:rPr>
          <w:sz w:val="22"/>
        </w:rPr>
        <w:t>and</w:t>
      </w:r>
      <w:r>
        <w:rPr>
          <w:spacing w:val="9"/>
          <w:sz w:val="22"/>
        </w:rPr>
        <w:t> </w:t>
      </w:r>
      <w:r>
        <w:rPr>
          <w:sz w:val="22"/>
        </w:rPr>
        <w:t>No.</w:t>
      </w:r>
      <w:r>
        <w:rPr>
          <w:spacing w:val="10"/>
          <w:sz w:val="22"/>
        </w:rPr>
        <w:t> </w:t>
      </w:r>
      <w:r>
        <w:rPr>
          <w:sz w:val="22"/>
        </w:rPr>
        <w:t>3</w:t>
      </w:r>
      <w:r>
        <w:rPr>
          <w:spacing w:val="8"/>
          <w:sz w:val="22"/>
        </w:rPr>
        <w:t> </w:t>
      </w:r>
      <w:r>
        <w:rPr>
          <w:sz w:val="22"/>
        </w:rPr>
        <w:t>Southern</w:t>
      </w:r>
      <w:r>
        <w:rPr>
          <w:spacing w:val="9"/>
          <w:sz w:val="22"/>
        </w:rPr>
        <w:t> </w:t>
      </w:r>
      <w:r>
        <w:rPr>
          <w:sz w:val="22"/>
        </w:rPr>
        <w:t>pine</w:t>
      </w:r>
      <w:r>
        <w:rPr>
          <w:spacing w:val="9"/>
          <w:sz w:val="22"/>
        </w:rPr>
        <w:t> </w:t>
      </w:r>
      <w:r>
        <w:rPr>
          <w:sz w:val="22"/>
        </w:rPr>
        <w:t>in</w:t>
      </w:r>
      <w:r>
        <w:rPr>
          <w:spacing w:val="-52"/>
          <w:sz w:val="22"/>
        </w:rPr>
        <w:t> </w:t>
      </w:r>
      <w:r>
        <w:rPr>
          <w:sz w:val="22"/>
        </w:rPr>
        <w:t>all</w:t>
      </w:r>
      <w:r>
        <w:rPr>
          <w:spacing w:val="-1"/>
          <w:sz w:val="22"/>
        </w:rPr>
        <w:t> </w:t>
      </w:r>
      <w:r>
        <w:rPr>
          <w:sz w:val="22"/>
        </w:rPr>
        <w:t>perpendicular layers</w:t>
      </w:r>
    </w:p>
    <w:p>
      <w:pPr>
        <w:pStyle w:val="BodyText"/>
        <w:spacing w:line="20" w:lineRule="exact"/>
        <w:rPr>
          <w:sz w:val="2"/>
        </w:rPr>
      </w:pPr>
      <w:r>
        <w:rPr>
          <w:sz w:val="2"/>
        </w:rPr>
        <w:pict>
          <v:group style="width:612pt;height:.5pt;mso-position-horizontal-relative:char;mso-position-vertical-relative:line" coordorigin="0,0" coordsize="12240,10">
            <v:shape style="position:absolute;left:0;top:0;width:12240;height:10" coordorigin="0,0" coordsize="12240,10" path="m12240,0l4171,0,4162,0,0,0,0,10,4162,10,4171,10,12240,10,12240,0xe" filled="true" fillcolor="#808080" stroked="false">
              <v:path arrowok="t"/>
              <v:fill type="solid"/>
            </v:shape>
          </v:group>
        </w:pict>
      </w:r>
      <w:r>
        <w:rPr>
          <w:sz w:val="2"/>
        </w:rPr>
      </w:r>
    </w:p>
    <w:p>
      <w:pPr>
        <w:tabs>
          <w:tab w:pos="4269" w:val="left" w:leader="none"/>
        </w:tabs>
        <w:spacing w:line="237" w:lineRule="auto" w:before="0"/>
        <w:ind w:left="4269" w:right="207" w:hanging="4162"/>
        <w:jc w:val="left"/>
        <w:rPr>
          <w:sz w:val="22"/>
        </w:rPr>
      </w:pPr>
      <w:r>
        <w:rPr>
          <w:b/>
          <w:sz w:val="22"/>
        </w:rPr>
        <w:t>V1</w:t>
        <w:tab/>
      </w:r>
      <w:r>
        <w:rPr>
          <w:sz w:val="22"/>
        </w:rPr>
        <w:t>No. 2 Douglas fir-Larch lumber in all parallel layers and No. 3 Douglas fir-Larch lumber</w:t>
      </w:r>
      <w:r>
        <w:rPr>
          <w:spacing w:val="-52"/>
          <w:sz w:val="22"/>
        </w:rPr>
        <w:t> </w:t>
      </w:r>
      <w:r>
        <w:rPr>
          <w:sz w:val="22"/>
        </w:rPr>
        <w:t>in</w:t>
      </w:r>
      <w:r>
        <w:rPr>
          <w:spacing w:val="-1"/>
          <w:sz w:val="22"/>
        </w:rPr>
        <w:t> </w:t>
      </w:r>
      <w:r>
        <w:rPr>
          <w:sz w:val="22"/>
        </w:rPr>
        <w:t>all perpendicular layers</w:t>
      </w:r>
    </w:p>
    <w:p>
      <w:pPr>
        <w:pStyle w:val="BodyText"/>
        <w:spacing w:line="20" w:lineRule="exact"/>
        <w:rPr>
          <w:sz w:val="2"/>
        </w:rPr>
      </w:pPr>
      <w:r>
        <w:rPr>
          <w:sz w:val="2"/>
        </w:rPr>
        <w:pict>
          <v:group style="width:612pt;height:.5pt;mso-position-horizontal-relative:char;mso-position-vertical-relative:line" coordorigin="0,0" coordsize="12240,10">
            <v:shape style="position:absolute;left:0;top:0;width:12240;height:10" coordorigin="0,0" coordsize="12240,10" path="m12240,0l4171,0,4162,0,0,0,0,10,4162,10,4171,10,12240,10,12240,0xe" filled="true" fillcolor="#808080" stroked="false">
              <v:path arrowok="t"/>
              <v:fill type="solid"/>
            </v:shape>
          </v:group>
        </w:pict>
      </w:r>
      <w:r>
        <w:rPr>
          <w:sz w:val="2"/>
        </w:rPr>
      </w:r>
    </w:p>
    <w:p>
      <w:pPr>
        <w:tabs>
          <w:tab w:pos="4269" w:val="left" w:leader="none"/>
        </w:tabs>
        <w:spacing w:line="237" w:lineRule="auto" w:before="0"/>
        <w:ind w:left="4269" w:right="205" w:hanging="4162"/>
        <w:jc w:val="left"/>
        <w:rPr>
          <w:sz w:val="22"/>
        </w:rPr>
      </w:pPr>
      <w:r>
        <w:rPr/>
        <w:pict>
          <v:shape style="position:absolute;margin-left:108.000008pt;margin-top:25.166838pt;width:612pt;height:.5pt;mso-position-horizontal-relative:page;mso-position-vertical-relative:paragraph;z-index:15740416" coordorigin="2160,503" coordsize="12240,10" path="m14400,503l6331,503,6322,503,2160,503,2160,513,6322,513,6331,513,14400,513,14400,503xe" filled="true" fillcolor="#808080" stroked="false">
            <v:path arrowok="t"/>
            <v:fill type="solid"/>
            <w10:wrap type="none"/>
          </v:shape>
        </w:pict>
      </w:r>
      <w:r>
        <w:rPr>
          <w:b/>
          <w:sz w:val="22"/>
        </w:rPr>
        <w:t>V2</w:t>
        <w:tab/>
      </w:r>
      <w:r>
        <w:rPr>
          <w:sz w:val="22"/>
        </w:rPr>
        <w:t>No.</w:t>
      </w:r>
      <w:r>
        <w:rPr>
          <w:spacing w:val="11"/>
          <w:sz w:val="22"/>
        </w:rPr>
        <w:t> </w:t>
      </w:r>
      <w:r>
        <w:rPr>
          <w:sz w:val="22"/>
        </w:rPr>
        <w:t>1/No.</w:t>
      </w:r>
      <w:r>
        <w:rPr>
          <w:spacing w:val="12"/>
          <w:sz w:val="22"/>
        </w:rPr>
        <w:t> </w:t>
      </w:r>
      <w:r>
        <w:rPr>
          <w:sz w:val="22"/>
        </w:rPr>
        <w:t>2</w:t>
      </w:r>
      <w:r>
        <w:rPr>
          <w:spacing w:val="11"/>
          <w:sz w:val="22"/>
        </w:rPr>
        <w:t> </w:t>
      </w:r>
      <w:r>
        <w:rPr>
          <w:sz w:val="22"/>
        </w:rPr>
        <w:t>Spruce-pine-fir</w:t>
      </w:r>
      <w:r>
        <w:rPr>
          <w:spacing w:val="12"/>
          <w:sz w:val="22"/>
        </w:rPr>
        <w:t> </w:t>
      </w:r>
      <w:r>
        <w:rPr>
          <w:sz w:val="22"/>
        </w:rPr>
        <w:t>lumber</w:t>
      </w:r>
      <w:r>
        <w:rPr>
          <w:spacing w:val="11"/>
          <w:sz w:val="22"/>
        </w:rPr>
        <w:t> </w:t>
      </w:r>
      <w:r>
        <w:rPr>
          <w:sz w:val="22"/>
        </w:rPr>
        <w:t>in</w:t>
      </w:r>
      <w:r>
        <w:rPr>
          <w:spacing w:val="14"/>
          <w:sz w:val="22"/>
        </w:rPr>
        <w:t> </w:t>
      </w:r>
      <w:r>
        <w:rPr>
          <w:sz w:val="22"/>
        </w:rPr>
        <w:t>all</w:t>
      </w:r>
      <w:r>
        <w:rPr>
          <w:spacing w:val="12"/>
          <w:sz w:val="22"/>
        </w:rPr>
        <w:t> </w:t>
      </w:r>
      <w:r>
        <w:rPr>
          <w:sz w:val="22"/>
        </w:rPr>
        <w:t>parallel</w:t>
      </w:r>
      <w:r>
        <w:rPr>
          <w:spacing w:val="11"/>
          <w:sz w:val="22"/>
        </w:rPr>
        <w:t> </w:t>
      </w:r>
      <w:r>
        <w:rPr>
          <w:sz w:val="22"/>
        </w:rPr>
        <w:t>layers</w:t>
      </w:r>
      <w:r>
        <w:rPr>
          <w:spacing w:val="12"/>
          <w:sz w:val="22"/>
        </w:rPr>
        <w:t> </w:t>
      </w:r>
      <w:r>
        <w:rPr>
          <w:sz w:val="22"/>
        </w:rPr>
        <w:t>and</w:t>
      </w:r>
      <w:r>
        <w:rPr>
          <w:spacing w:val="12"/>
          <w:sz w:val="22"/>
        </w:rPr>
        <w:t> </w:t>
      </w:r>
      <w:r>
        <w:rPr>
          <w:sz w:val="22"/>
        </w:rPr>
        <w:t>No.3</w:t>
      </w:r>
      <w:r>
        <w:rPr>
          <w:spacing w:val="13"/>
          <w:sz w:val="22"/>
        </w:rPr>
        <w:t> </w:t>
      </w:r>
      <w:r>
        <w:rPr>
          <w:sz w:val="22"/>
        </w:rPr>
        <w:t>Spruce-pine-fir</w:t>
      </w:r>
      <w:r>
        <w:rPr>
          <w:spacing w:val="11"/>
          <w:sz w:val="22"/>
        </w:rPr>
        <w:t> </w:t>
      </w:r>
      <w:r>
        <w:rPr>
          <w:sz w:val="22"/>
        </w:rPr>
        <w:t>in</w:t>
      </w:r>
      <w:r>
        <w:rPr>
          <w:spacing w:val="13"/>
          <w:sz w:val="22"/>
        </w:rPr>
        <w:t> </w:t>
      </w:r>
      <w:r>
        <w:rPr>
          <w:sz w:val="22"/>
        </w:rPr>
        <w:t>all</w:t>
      </w:r>
      <w:r>
        <w:rPr>
          <w:spacing w:val="-52"/>
          <w:sz w:val="22"/>
        </w:rPr>
        <w:t> </w:t>
      </w:r>
      <w:r>
        <w:rPr>
          <w:sz w:val="22"/>
        </w:rPr>
        <w:t>perpendicular</w:t>
      </w:r>
      <w:r>
        <w:rPr>
          <w:spacing w:val="-1"/>
          <w:sz w:val="22"/>
        </w:rPr>
        <w:t> </w:t>
      </w:r>
      <w:r>
        <w:rPr>
          <w:sz w:val="22"/>
        </w:rPr>
        <w:t>layers</w:t>
      </w:r>
    </w:p>
    <w:p>
      <w:pPr>
        <w:tabs>
          <w:tab w:pos="4269" w:val="left" w:leader="none"/>
        </w:tabs>
        <w:spacing w:line="237" w:lineRule="auto" w:before="0"/>
        <w:ind w:left="4269" w:right="206" w:hanging="4162"/>
        <w:jc w:val="left"/>
        <w:rPr>
          <w:sz w:val="22"/>
        </w:rPr>
      </w:pPr>
      <w:r>
        <w:rPr>
          <w:b/>
          <w:sz w:val="22"/>
        </w:rPr>
        <w:t>V3</w:t>
        <w:tab/>
      </w:r>
      <w:r>
        <w:rPr>
          <w:sz w:val="22"/>
        </w:rPr>
        <w:t>No.</w:t>
      </w:r>
      <w:r>
        <w:rPr>
          <w:spacing w:val="12"/>
          <w:sz w:val="22"/>
        </w:rPr>
        <w:t> </w:t>
      </w:r>
      <w:r>
        <w:rPr>
          <w:sz w:val="22"/>
        </w:rPr>
        <w:t>2</w:t>
      </w:r>
      <w:r>
        <w:rPr>
          <w:spacing w:val="13"/>
          <w:sz w:val="22"/>
        </w:rPr>
        <w:t> </w:t>
      </w:r>
      <w:r>
        <w:rPr>
          <w:sz w:val="22"/>
        </w:rPr>
        <w:t>Southern</w:t>
      </w:r>
      <w:r>
        <w:rPr>
          <w:spacing w:val="13"/>
          <w:sz w:val="22"/>
        </w:rPr>
        <w:t> </w:t>
      </w:r>
      <w:r>
        <w:rPr>
          <w:sz w:val="22"/>
        </w:rPr>
        <w:t>pine</w:t>
      </w:r>
      <w:r>
        <w:rPr>
          <w:spacing w:val="13"/>
          <w:sz w:val="22"/>
        </w:rPr>
        <w:t> </w:t>
      </w:r>
      <w:r>
        <w:rPr>
          <w:sz w:val="22"/>
        </w:rPr>
        <w:t>lumber</w:t>
      </w:r>
      <w:r>
        <w:rPr>
          <w:spacing w:val="12"/>
          <w:sz w:val="22"/>
        </w:rPr>
        <w:t> </w:t>
      </w:r>
      <w:r>
        <w:rPr>
          <w:sz w:val="22"/>
        </w:rPr>
        <w:t>in</w:t>
      </w:r>
      <w:r>
        <w:rPr>
          <w:spacing w:val="13"/>
          <w:sz w:val="22"/>
        </w:rPr>
        <w:t> </w:t>
      </w:r>
      <w:r>
        <w:rPr>
          <w:sz w:val="22"/>
        </w:rPr>
        <w:t>all</w:t>
      </w:r>
      <w:r>
        <w:rPr>
          <w:spacing w:val="12"/>
          <w:sz w:val="22"/>
        </w:rPr>
        <w:t> </w:t>
      </w:r>
      <w:r>
        <w:rPr>
          <w:sz w:val="22"/>
        </w:rPr>
        <w:t>parallel</w:t>
      </w:r>
      <w:r>
        <w:rPr>
          <w:spacing w:val="13"/>
          <w:sz w:val="22"/>
        </w:rPr>
        <w:t> </w:t>
      </w:r>
      <w:r>
        <w:rPr>
          <w:sz w:val="22"/>
        </w:rPr>
        <w:t>layers</w:t>
      </w:r>
      <w:r>
        <w:rPr>
          <w:spacing w:val="12"/>
          <w:sz w:val="22"/>
        </w:rPr>
        <w:t> </w:t>
      </w:r>
      <w:r>
        <w:rPr>
          <w:sz w:val="22"/>
        </w:rPr>
        <w:t>and</w:t>
      </w:r>
      <w:r>
        <w:rPr>
          <w:spacing w:val="13"/>
          <w:sz w:val="22"/>
        </w:rPr>
        <w:t> </w:t>
      </w:r>
      <w:r>
        <w:rPr>
          <w:sz w:val="22"/>
        </w:rPr>
        <w:t>No.</w:t>
      </w:r>
      <w:r>
        <w:rPr>
          <w:spacing w:val="13"/>
          <w:sz w:val="22"/>
        </w:rPr>
        <w:t> </w:t>
      </w:r>
      <w:r>
        <w:rPr>
          <w:sz w:val="22"/>
        </w:rPr>
        <w:t>3</w:t>
      </w:r>
      <w:r>
        <w:rPr>
          <w:spacing w:val="13"/>
          <w:sz w:val="22"/>
        </w:rPr>
        <w:t> </w:t>
      </w:r>
      <w:r>
        <w:rPr>
          <w:sz w:val="22"/>
        </w:rPr>
        <w:t>Southern</w:t>
      </w:r>
      <w:r>
        <w:rPr>
          <w:spacing w:val="13"/>
          <w:sz w:val="22"/>
        </w:rPr>
        <w:t> </w:t>
      </w:r>
      <w:r>
        <w:rPr>
          <w:sz w:val="22"/>
        </w:rPr>
        <w:t>pine</w:t>
      </w:r>
      <w:r>
        <w:rPr>
          <w:spacing w:val="12"/>
          <w:sz w:val="22"/>
        </w:rPr>
        <w:t> </w:t>
      </w:r>
      <w:r>
        <w:rPr>
          <w:sz w:val="22"/>
        </w:rPr>
        <w:t>lumber</w:t>
      </w:r>
      <w:r>
        <w:rPr>
          <w:spacing w:val="13"/>
          <w:sz w:val="22"/>
        </w:rPr>
        <w:t> </w:t>
      </w:r>
      <w:r>
        <w:rPr>
          <w:sz w:val="22"/>
        </w:rPr>
        <w:t>in</w:t>
      </w:r>
      <w:r>
        <w:rPr>
          <w:spacing w:val="13"/>
          <w:sz w:val="22"/>
        </w:rPr>
        <w:t> </w:t>
      </w:r>
      <w:r>
        <w:rPr>
          <w:sz w:val="22"/>
        </w:rPr>
        <w:t>all</w:t>
      </w:r>
      <w:r>
        <w:rPr>
          <w:spacing w:val="-52"/>
          <w:sz w:val="22"/>
        </w:rPr>
        <w:t> </w:t>
      </w:r>
      <w:r>
        <w:rPr>
          <w:sz w:val="22"/>
        </w:rPr>
        <w:t>perpendicular</w:t>
      </w:r>
      <w:r>
        <w:rPr>
          <w:spacing w:val="-1"/>
          <w:sz w:val="22"/>
        </w:rPr>
        <w:t> </w:t>
      </w:r>
      <w:r>
        <w:rPr>
          <w:sz w:val="22"/>
        </w:rPr>
        <w:t>layers</w:t>
      </w:r>
    </w:p>
    <w:p>
      <w:pPr>
        <w:pStyle w:val="BodyText"/>
        <w:spacing w:line="20" w:lineRule="exact"/>
        <w:rPr>
          <w:sz w:val="2"/>
        </w:rPr>
      </w:pPr>
      <w:r>
        <w:rPr>
          <w:sz w:val="2"/>
        </w:rPr>
        <w:pict>
          <v:group style="width:612pt;height:.5pt;mso-position-horizontal-relative:char;mso-position-vertical-relative:line" coordorigin="0,0" coordsize="12240,10">
            <v:shape style="position:absolute;left:0;top:0;width:12240;height:10" coordorigin="0,0" coordsize="12240,10" path="m12240,0l4171,0,4162,0,0,0,0,10,4162,10,4171,10,12240,10,12240,0xe" filled="true" fillcolor="#808080" stroked="false">
              <v:path arrowok="t"/>
              <v:fill type="solid"/>
            </v:shape>
          </v:group>
        </w:pict>
      </w:r>
      <w:r>
        <w:rPr>
          <w:sz w:val="2"/>
        </w:rPr>
      </w:r>
    </w:p>
    <w:p>
      <w:pPr>
        <w:tabs>
          <w:tab w:pos="4269" w:val="left" w:leader="none"/>
        </w:tabs>
        <w:spacing w:line="237" w:lineRule="auto" w:before="0"/>
        <w:ind w:left="4269" w:right="207" w:hanging="4162"/>
        <w:jc w:val="left"/>
        <w:rPr>
          <w:sz w:val="22"/>
        </w:rPr>
      </w:pPr>
      <w:r>
        <w:rPr>
          <w:b/>
          <w:sz w:val="22"/>
        </w:rPr>
        <w:t>V4</w:t>
        <w:tab/>
      </w:r>
      <w:r>
        <w:rPr>
          <w:sz w:val="22"/>
        </w:rPr>
        <w:t>SmartLam</w:t>
      </w:r>
      <w:r>
        <w:rPr>
          <w:spacing w:val="47"/>
          <w:sz w:val="22"/>
        </w:rPr>
        <w:t> </w:t>
      </w:r>
      <w:r>
        <w:rPr>
          <w:sz w:val="22"/>
        </w:rPr>
        <w:t>CLT</w:t>
      </w:r>
      <w:r>
        <w:rPr>
          <w:spacing w:val="47"/>
          <w:sz w:val="22"/>
        </w:rPr>
        <w:t> </w:t>
      </w:r>
      <w:r>
        <w:rPr>
          <w:sz w:val="22"/>
        </w:rPr>
        <w:t>manufactured</w:t>
      </w:r>
      <w:r>
        <w:rPr>
          <w:spacing w:val="49"/>
          <w:sz w:val="22"/>
        </w:rPr>
        <w:t> </w:t>
      </w:r>
      <w:r>
        <w:rPr>
          <w:sz w:val="22"/>
        </w:rPr>
        <w:t>with</w:t>
      </w:r>
      <w:r>
        <w:rPr>
          <w:spacing w:val="48"/>
          <w:sz w:val="22"/>
        </w:rPr>
        <w:t> </w:t>
      </w:r>
      <w:r>
        <w:rPr>
          <w:sz w:val="22"/>
        </w:rPr>
        <w:t>spruce-pine-fir</w:t>
      </w:r>
      <w:r>
        <w:rPr>
          <w:spacing w:val="47"/>
          <w:sz w:val="22"/>
        </w:rPr>
        <w:t> </w:t>
      </w:r>
      <w:r>
        <w:rPr>
          <w:sz w:val="22"/>
        </w:rPr>
        <w:t>south</w:t>
      </w:r>
      <w:r>
        <w:rPr>
          <w:spacing w:val="49"/>
          <w:sz w:val="22"/>
        </w:rPr>
        <w:t> </w:t>
      </w:r>
      <w:r>
        <w:rPr>
          <w:sz w:val="22"/>
        </w:rPr>
        <w:t>lumber</w:t>
      </w:r>
      <w:r>
        <w:rPr>
          <w:spacing w:val="47"/>
          <w:sz w:val="22"/>
        </w:rPr>
        <w:t> </w:t>
      </w:r>
      <w:r>
        <w:rPr>
          <w:sz w:val="22"/>
        </w:rPr>
        <w:t>in</w:t>
      </w:r>
      <w:r>
        <w:rPr>
          <w:spacing w:val="49"/>
          <w:sz w:val="22"/>
        </w:rPr>
        <w:t> </w:t>
      </w:r>
      <w:r>
        <w:rPr>
          <w:sz w:val="22"/>
        </w:rPr>
        <w:t>accordance</w:t>
      </w:r>
      <w:r>
        <w:rPr>
          <w:spacing w:val="47"/>
          <w:sz w:val="22"/>
        </w:rPr>
        <w:t> </w:t>
      </w:r>
      <w:r>
        <w:rPr>
          <w:sz w:val="22"/>
        </w:rPr>
        <w:t>with</w:t>
      </w:r>
      <w:r>
        <w:rPr>
          <w:spacing w:val="-52"/>
          <w:sz w:val="22"/>
        </w:rPr>
        <w:t> </w:t>
      </w:r>
      <w:r>
        <w:rPr>
          <w:sz w:val="22"/>
        </w:rPr>
        <w:t>custom</w:t>
      </w:r>
      <w:r>
        <w:rPr>
          <w:spacing w:val="-3"/>
          <w:sz w:val="22"/>
        </w:rPr>
        <w:t> </w:t>
      </w:r>
      <w:r>
        <w:rPr>
          <w:sz w:val="22"/>
        </w:rPr>
        <w:t>layup</w:t>
      </w:r>
      <w:r>
        <w:rPr>
          <w:spacing w:val="-1"/>
          <w:sz w:val="22"/>
        </w:rPr>
        <w:t> </w:t>
      </w:r>
      <w:r>
        <w:rPr>
          <w:sz w:val="22"/>
        </w:rPr>
        <w:t>combination approved by</w:t>
      </w:r>
      <w:r>
        <w:rPr>
          <w:spacing w:val="-2"/>
          <w:sz w:val="22"/>
        </w:rPr>
        <w:t> </w:t>
      </w:r>
      <w:r>
        <w:rPr>
          <w:sz w:val="22"/>
        </w:rPr>
        <w:t>APA</w:t>
      </w:r>
    </w:p>
    <w:p>
      <w:pPr>
        <w:pStyle w:val="BodyText"/>
        <w:spacing w:line="20" w:lineRule="exact"/>
        <w:ind w:left="-15"/>
        <w:rPr>
          <w:sz w:val="2"/>
        </w:rPr>
      </w:pPr>
      <w:r>
        <w:rPr>
          <w:sz w:val="2"/>
        </w:rPr>
        <w:pict>
          <v:group style="width:612.75pt;height:.5pt;mso-position-horizontal-relative:char;mso-position-vertical-relative:line" coordorigin="0,0" coordsize="12255,10">
            <v:shape style="position:absolute;left:0;top:0;width:12255;height:10" coordorigin="0,0" coordsize="12255,10" path="m12254,0l4176,0,4171,0,4162,0,0,0,0,10,4162,10,4171,10,4176,10,12254,10,12254,0xe" filled="true" fillcolor="#808080" stroked="false">
              <v:path arrowok="t"/>
              <v:fill type="solid"/>
            </v:shape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footerReference w:type="default" r:id="rId36"/>
          <w:pgSz w:w="15840" w:h="12240" w:orient="landscape"/>
          <w:pgMar w:footer="0" w:header="0" w:top="1140" w:bottom="280" w:left="2160" w:right="1340"/>
        </w:sectPr>
      </w:pPr>
    </w:p>
    <w:p>
      <w:pPr>
        <w:spacing w:before="79"/>
        <w:ind w:left="180" w:right="0" w:firstLine="0"/>
        <w:jc w:val="center"/>
        <w:rPr>
          <w:i/>
          <w:sz w:val="24"/>
        </w:rPr>
      </w:pPr>
      <w:r>
        <w:rPr>
          <w:i/>
          <w:sz w:val="24"/>
        </w:rPr>
        <w:t>Table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2-2.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Symbols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strength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parameters.</w:t>
      </w:r>
    </w:p>
    <w:p>
      <w:pPr>
        <w:pStyle w:val="BodyText"/>
        <w:spacing w:before="5" w:after="1"/>
        <w:rPr>
          <w:i/>
          <w:sz w:val="17"/>
        </w:rPr>
      </w:pPr>
    </w:p>
    <w:tbl>
      <w:tblPr>
        <w:tblW w:w="0" w:type="auto"/>
        <w:jc w:val="left"/>
        <w:tblInd w:w="3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2"/>
        <w:gridCol w:w="3410"/>
        <w:gridCol w:w="5231"/>
        <w:gridCol w:w="88"/>
      </w:tblGrid>
      <w:tr>
        <w:trPr>
          <w:trHeight w:val="551" w:hRule="atLeast"/>
        </w:trPr>
        <w:tc>
          <w:tcPr>
            <w:tcW w:w="10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410" w:type="dxa"/>
            <w:tcBorders>
              <w:top w:val="single" w:sz="4" w:space="0" w:color="808080"/>
              <w:bottom w:val="single" w:sz="4" w:space="0" w:color="808080"/>
            </w:tcBorders>
          </w:tcPr>
          <w:p>
            <w:pPr>
              <w:pStyle w:val="TableParagraph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Symbols</w:t>
            </w:r>
          </w:p>
        </w:tc>
        <w:tc>
          <w:tcPr>
            <w:tcW w:w="5231" w:type="dxa"/>
            <w:tcBorders>
              <w:top w:val="single" w:sz="4" w:space="0" w:color="808080"/>
              <w:bottom w:val="single" w:sz="4" w:space="0" w:color="808080"/>
            </w:tcBorders>
          </w:tcPr>
          <w:p>
            <w:pPr>
              <w:pStyle w:val="TableParagraph"/>
              <w:ind w:left="1012"/>
              <w:rPr>
                <w:b/>
                <w:sz w:val="24"/>
              </w:rPr>
            </w:pPr>
            <w:r>
              <w:rPr>
                <w:b/>
                <w:sz w:val="24"/>
              </w:rPr>
              <w:t>Meaning</w:t>
            </w:r>
          </w:p>
        </w:tc>
        <w:tc>
          <w:tcPr>
            <w:tcW w:w="88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551" w:hRule="atLeast"/>
        </w:trPr>
        <w:tc>
          <w:tcPr>
            <w:tcW w:w="10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410" w:type="dxa"/>
            <w:tcBorders>
              <w:top w:val="single" w:sz="4" w:space="0" w:color="808080"/>
              <w:bottom w:val="single" w:sz="4" w:space="0" w:color="808080"/>
            </w:tcBorders>
          </w:tcPr>
          <w:p>
            <w:pPr>
              <w:pStyle w:val="TableParagraph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f</w:t>
            </w:r>
            <w:r>
              <w:rPr>
                <w:b/>
                <w:sz w:val="24"/>
                <w:vertAlign w:val="subscript"/>
              </w:rPr>
              <w:t>b</w:t>
            </w:r>
            <w:r>
              <w:rPr>
                <w:b/>
                <w:spacing w:val="-1"/>
                <w:sz w:val="24"/>
                <w:vertAlign w:val="baseline"/>
              </w:rPr>
              <w:t> </w:t>
            </w:r>
            <w:r>
              <w:rPr>
                <w:b/>
                <w:sz w:val="24"/>
                <w:vertAlign w:val="baseline"/>
              </w:rPr>
              <w:t>and</w:t>
            </w:r>
            <w:r>
              <w:rPr>
                <w:b/>
                <w:spacing w:val="-2"/>
                <w:sz w:val="24"/>
                <w:vertAlign w:val="baseline"/>
              </w:rPr>
              <w:t> </w:t>
            </w:r>
            <w:r>
              <w:rPr>
                <w:b/>
                <w:sz w:val="24"/>
                <w:vertAlign w:val="baseline"/>
              </w:rPr>
              <w:t>F</w:t>
            </w:r>
            <w:r>
              <w:rPr>
                <w:b/>
                <w:sz w:val="24"/>
                <w:vertAlign w:val="subscript"/>
              </w:rPr>
              <w:t>b</w:t>
            </w:r>
          </w:p>
        </w:tc>
        <w:tc>
          <w:tcPr>
            <w:tcW w:w="5231" w:type="dxa"/>
            <w:tcBorders>
              <w:top w:val="single" w:sz="4" w:space="0" w:color="808080"/>
              <w:bottom w:val="single" w:sz="4" w:space="0" w:color="808080"/>
            </w:tcBorders>
          </w:tcPr>
          <w:p>
            <w:pPr>
              <w:pStyle w:val="TableParagraph"/>
              <w:tabs>
                <w:tab w:pos="2640" w:val="left" w:leader="none"/>
                <w:tab w:pos="3708" w:val="left" w:leader="none"/>
                <w:tab w:pos="4775" w:val="left" w:leader="none"/>
              </w:tabs>
              <w:spacing w:line="276" w:lineRule="exact"/>
              <w:ind w:left="1012" w:right="106"/>
              <w:rPr>
                <w:sz w:val="24"/>
              </w:rPr>
            </w:pPr>
            <w:r>
              <w:rPr>
                <w:sz w:val="24"/>
              </w:rPr>
              <w:t>Characteristic</w:t>
              <w:tab/>
              <w:t>bending</w:t>
              <w:tab/>
              <w:t>strength</w:t>
              <w:tab/>
            </w:r>
            <w:r>
              <w:rPr>
                <w:spacing w:val="-2"/>
                <w:sz w:val="24"/>
              </w:rPr>
              <w:t>and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allowable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bending stress</w:t>
            </w:r>
          </w:p>
        </w:tc>
        <w:tc>
          <w:tcPr>
            <w:tcW w:w="88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276" w:hRule="atLeast"/>
        </w:trPr>
        <w:tc>
          <w:tcPr>
            <w:tcW w:w="10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3410" w:type="dxa"/>
            <w:tcBorders>
              <w:top w:val="single" w:sz="4" w:space="0" w:color="808080"/>
              <w:bottom w:val="single" w:sz="4" w:space="0" w:color="808080"/>
            </w:tcBorders>
          </w:tcPr>
          <w:p>
            <w:pPr>
              <w:pStyle w:val="TableParagraph"/>
              <w:spacing w:line="255" w:lineRule="exact" w:before="1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E</w:t>
            </w:r>
          </w:p>
        </w:tc>
        <w:tc>
          <w:tcPr>
            <w:tcW w:w="5231" w:type="dxa"/>
            <w:tcBorders>
              <w:top w:val="single" w:sz="4" w:space="0" w:color="808080"/>
              <w:bottom w:val="single" w:sz="4" w:space="0" w:color="808080"/>
            </w:tcBorders>
          </w:tcPr>
          <w:p>
            <w:pPr>
              <w:pStyle w:val="TableParagraph"/>
              <w:spacing w:line="256" w:lineRule="exact"/>
              <w:ind w:left="1012"/>
              <w:rPr>
                <w:sz w:val="24"/>
              </w:rPr>
            </w:pPr>
            <w:r>
              <w:rPr>
                <w:sz w:val="24"/>
              </w:rPr>
              <w:t>Modulus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elasticity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bending</w:t>
            </w:r>
          </w:p>
        </w:tc>
        <w:tc>
          <w:tcPr>
            <w:tcW w:w="88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551" w:hRule="atLeast"/>
        </w:trPr>
        <w:tc>
          <w:tcPr>
            <w:tcW w:w="10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410" w:type="dxa"/>
            <w:tcBorders>
              <w:top w:val="single" w:sz="4" w:space="0" w:color="808080"/>
              <w:bottom w:val="single" w:sz="4" w:space="0" w:color="808080"/>
            </w:tcBorders>
          </w:tcPr>
          <w:p>
            <w:pPr>
              <w:pStyle w:val="TableParagraph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f</w:t>
            </w:r>
            <w:r>
              <w:rPr>
                <w:b/>
                <w:sz w:val="24"/>
                <w:vertAlign w:val="subscript"/>
              </w:rPr>
              <w:t>t</w:t>
            </w:r>
            <w:r>
              <w:rPr>
                <w:b/>
                <w:spacing w:val="-2"/>
                <w:sz w:val="24"/>
                <w:vertAlign w:val="baseline"/>
              </w:rPr>
              <w:t> </w:t>
            </w:r>
            <w:r>
              <w:rPr>
                <w:b/>
                <w:sz w:val="24"/>
                <w:vertAlign w:val="baseline"/>
              </w:rPr>
              <w:t>and</w:t>
            </w:r>
            <w:r>
              <w:rPr>
                <w:b/>
                <w:spacing w:val="-2"/>
                <w:sz w:val="24"/>
                <w:vertAlign w:val="baseline"/>
              </w:rPr>
              <w:t> </w:t>
            </w:r>
            <w:r>
              <w:rPr>
                <w:b/>
                <w:sz w:val="24"/>
                <w:vertAlign w:val="baseline"/>
              </w:rPr>
              <w:t>F</w:t>
            </w:r>
            <w:r>
              <w:rPr>
                <w:b/>
                <w:sz w:val="24"/>
                <w:vertAlign w:val="subscript"/>
              </w:rPr>
              <w:t>t</w:t>
            </w:r>
          </w:p>
        </w:tc>
        <w:tc>
          <w:tcPr>
            <w:tcW w:w="5231" w:type="dxa"/>
            <w:tcBorders>
              <w:top w:val="single" w:sz="4" w:space="0" w:color="808080"/>
              <w:bottom w:val="single" w:sz="4" w:space="0" w:color="808080"/>
            </w:tcBorders>
          </w:tcPr>
          <w:p>
            <w:pPr>
              <w:pStyle w:val="TableParagraph"/>
              <w:tabs>
                <w:tab w:pos="2688" w:val="left" w:leader="none"/>
                <w:tab w:pos="3657" w:val="left" w:leader="none"/>
                <w:tab w:pos="4774" w:val="left" w:leader="none"/>
              </w:tabs>
              <w:spacing w:line="276" w:lineRule="exact"/>
              <w:ind w:left="1012" w:right="107"/>
              <w:rPr>
                <w:sz w:val="24"/>
              </w:rPr>
            </w:pPr>
            <w:r>
              <w:rPr>
                <w:sz w:val="24"/>
              </w:rPr>
              <w:t>Characteristic</w:t>
              <w:tab/>
              <w:t>tensile</w:t>
              <w:tab/>
              <w:t>strength</w:t>
              <w:tab/>
            </w:r>
            <w:r>
              <w:rPr>
                <w:spacing w:val="-2"/>
                <w:sz w:val="24"/>
              </w:rPr>
              <w:t>and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allowable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tensile stress</w:t>
            </w:r>
          </w:p>
        </w:tc>
        <w:tc>
          <w:tcPr>
            <w:tcW w:w="88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551" w:hRule="atLeast"/>
        </w:trPr>
        <w:tc>
          <w:tcPr>
            <w:tcW w:w="10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410" w:type="dxa"/>
            <w:tcBorders>
              <w:top w:val="single" w:sz="4" w:space="0" w:color="808080"/>
              <w:bottom w:val="single" w:sz="4" w:space="0" w:color="808080"/>
            </w:tcBorders>
          </w:tcPr>
          <w:p>
            <w:pPr>
              <w:pStyle w:val="TableParagraph"/>
              <w:spacing w:line="276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f</w:t>
            </w:r>
            <w:r>
              <w:rPr>
                <w:b/>
                <w:sz w:val="24"/>
                <w:vertAlign w:val="subscript"/>
              </w:rPr>
              <w:t>c</w:t>
            </w:r>
            <w:r>
              <w:rPr>
                <w:b/>
                <w:spacing w:val="-2"/>
                <w:sz w:val="24"/>
                <w:vertAlign w:val="baseline"/>
              </w:rPr>
              <w:t> </w:t>
            </w:r>
            <w:r>
              <w:rPr>
                <w:b/>
                <w:sz w:val="24"/>
                <w:vertAlign w:val="baseline"/>
              </w:rPr>
              <w:t>and</w:t>
            </w:r>
            <w:r>
              <w:rPr>
                <w:b/>
                <w:spacing w:val="-2"/>
                <w:sz w:val="24"/>
                <w:vertAlign w:val="baseline"/>
              </w:rPr>
              <w:t> </w:t>
            </w:r>
            <w:r>
              <w:rPr>
                <w:b/>
                <w:sz w:val="24"/>
                <w:vertAlign w:val="baseline"/>
              </w:rPr>
              <w:t>F</w:t>
            </w:r>
            <w:r>
              <w:rPr>
                <w:b/>
                <w:sz w:val="24"/>
                <w:vertAlign w:val="subscript"/>
              </w:rPr>
              <w:t>c</w:t>
            </w:r>
          </w:p>
        </w:tc>
        <w:tc>
          <w:tcPr>
            <w:tcW w:w="5231" w:type="dxa"/>
            <w:tcBorders>
              <w:top w:val="single" w:sz="4" w:space="0" w:color="808080"/>
              <w:bottom w:val="single" w:sz="4" w:space="0" w:color="808080"/>
            </w:tcBorders>
          </w:tcPr>
          <w:p>
            <w:pPr>
              <w:pStyle w:val="TableParagraph"/>
              <w:spacing w:line="276" w:lineRule="exact"/>
              <w:ind w:left="1012"/>
              <w:rPr>
                <w:sz w:val="24"/>
              </w:rPr>
            </w:pPr>
            <w:r>
              <w:rPr>
                <w:sz w:val="24"/>
              </w:rPr>
              <w:t>Characteristic</w:t>
            </w:r>
            <w:r>
              <w:rPr>
                <w:spacing w:val="30"/>
                <w:sz w:val="24"/>
              </w:rPr>
              <w:t> </w:t>
            </w:r>
            <w:r>
              <w:rPr>
                <w:sz w:val="24"/>
              </w:rPr>
              <w:t>compressive</w:t>
            </w:r>
            <w:r>
              <w:rPr>
                <w:spacing w:val="30"/>
                <w:sz w:val="24"/>
              </w:rPr>
              <w:t> </w:t>
            </w:r>
            <w:r>
              <w:rPr>
                <w:sz w:val="24"/>
              </w:rPr>
              <w:t>strength</w:t>
            </w:r>
            <w:r>
              <w:rPr>
                <w:spacing w:val="29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allowable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compressive stress</w:t>
            </w:r>
          </w:p>
        </w:tc>
        <w:tc>
          <w:tcPr>
            <w:tcW w:w="88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550" w:hRule="atLeast"/>
        </w:trPr>
        <w:tc>
          <w:tcPr>
            <w:tcW w:w="10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410" w:type="dxa"/>
            <w:tcBorders>
              <w:top w:val="single" w:sz="4" w:space="0" w:color="808080"/>
              <w:bottom w:val="single" w:sz="4" w:space="0" w:color="808080"/>
            </w:tcBorders>
          </w:tcPr>
          <w:p>
            <w:pPr>
              <w:pStyle w:val="TableParagraph"/>
              <w:spacing w:line="275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f</w:t>
            </w:r>
            <w:r>
              <w:rPr>
                <w:b/>
                <w:sz w:val="24"/>
                <w:vertAlign w:val="subscript"/>
              </w:rPr>
              <w:t>v</w:t>
            </w:r>
            <w:r>
              <w:rPr>
                <w:b/>
                <w:spacing w:val="-1"/>
                <w:sz w:val="24"/>
                <w:vertAlign w:val="baseline"/>
              </w:rPr>
              <w:t> </w:t>
            </w:r>
            <w:r>
              <w:rPr>
                <w:b/>
                <w:sz w:val="24"/>
                <w:vertAlign w:val="baseline"/>
              </w:rPr>
              <w:t>and</w:t>
            </w:r>
            <w:r>
              <w:rPr>
                <w:b/>
                <w:spacing w:val="-2"/>
                <w:sz w:val="24"/>
                <w:vertAlign w:val="baseline"/>
              </w:rPr>
              <w:t> </w:t>
            </w:r>
            <w:r>
              <w:rPr>
                <w:b/>
                <w:sz w:val="24"/>
                <w:vertAlign w:val="baseline"/>
              </w:rPr>
              <w:t>F</w:t>
            </w:r>
            <w:r>
              <w:rPr>
                <w:b/>
                <w:sz w:val="24"/>
                <w:vertAlign w:val="subscript"/>
              </w:rPr>
              <w:t>v</w:t>
            </w:r>
          </w:p>
        </w:tc>
        <w:tc>
          <w:tcPr>
            <w:tcW w:w="5231" w:type="dxa"/>
            <w:tcBorders>
              <w:top w:val="single" w:sz="4" w:space="0" w:color="808080"/>
              <w:bottom w:val="single" w:sz="4" w:space="0" w:color="808080"/>
            </w:tcBorders>
          </w:tcPr>
          <w:p>
            <w:pPr>
              <w:pStyle w:val="TableParagraph"/>
              <w:spacing w:line="276" w:lineRule="exact"/>
              <w:ind w:left="1012" w:right="101"/>
              <w:rPr>
                <w:sz w:val="24"/>
              </w:rPr>
            </w:pPr>
            <w:r>
              <w:rPr>
                <w:sz w:val="24"/>
              </w:rPr>
              <w:t>Characteristic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shear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strength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allowable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shear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stress</w:t>
            </w:r>
          </w:p>
        </w:tc>
        <w:tc>
          <w:tcPr>
            <w:tcW w:w="88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827" w:hRule="atLeast"/>
        </w:trPr>
        <w:tc>
          <w:tcPr>
            <w:tcW w:w="10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410" w:type="dxa"/>
            <w:tcBorders>
              <w:top w:val="single" w:sz="4" w:space="0" w:color="808080"/>
              <w:bottom w:val="single" w:sz="4" w:space="0" w:color="808080"/>
            </w:tcBorders>
          </w:tcPr>
          <w:p>
            <w:pPr>
              <w:pStyle w:val="TableParagraph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f</w:t>
            </w:r>
            <w:r>
              <w:rPr>
                <w:b/>
                <w:sz w:val="24"/>
                <w:vertAlign w:val="subscript"/>
              </w:rPr>
              <w:t>s</w:t>
            </w:r>
            <w:r>
              <w:rPr>
                <w:b/>
                <w:spacing w:val="-1"/>
                <w:sz w:val="24"/>
                <w:vertAlign w:val="baseline"/>
              </w:rPr>
              <w:t> </w:t>
            </w:r>
            <w:r>
              <w:rPr>
                <w:b/>
                <w:sz w:val="24"/>
                <w:vertAlign w:val="baseline"/>
              </w:rPr>
              <w:t>and</w:t>
            </w:r>
            <w:r>
              <w:rPr>
                <w:b/>
                <w:spacing w:val="-2"/>
                <w:sz w:val="24"/>
                <w:vertAlign w:val="baseline"/>
              </w:rPr>
              <w:t> </w:t>
            </w:r>
            <w:r>
              <w:rPr>
                <w:b/>
                <w:sz w:val="24"/>
                <w:vertAlign w:val="baseline"/>
              </w:rPr>
              <w:t>F</w:t>
            </w:r>
            <w:r>
              <w:rPr>
                <w:b/>
                <w:sz w:val="24"/>
                <w:vertAlign w:val="subscript"/>
              </w:rPr>
              <w:t>s</w:t>
            </w:r>
          </w:p>
        </w:tc>
        <w:tc>
          <w:tcPr>
            <w:tcW w:w="5231" w:type="dxa"/>
            <w:tcBorders>
              <w:top w:val="single" w:sz="4" w:space="0" w:color="808080"/>
              <w:bottom w:val="single" w:sz="4" w:space="0" w:color="808080"/>
            </w:tcBorders>
          </w:tcPr>
          <w:p>
            <w:pPr>
              <w:pStyle w:val="TableParagraph"/>
              <w:spacing w:line="276" w:lineRule="exact"/>
              <w:ind w:left="1012" w:right="106"/>
              <w:jc w:val="both"/>
              <w:rPr>
                <w:sz w:val="24"/>
              </w:rPr>
            </w:pPr>
            <w:r>
              <w:rPr>
                <w:sz w:val="24"/>
              </w:rPr>
              <w:t>Characteristic interlaminar (rolling) shear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strength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allowable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interlaminar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(rolling)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shear stress</w:t>
            </w:r>
          </w:p>
        </w:tc>
        <w:tc>
          <w:tcPr>
            <w:tcW w:w="88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551" w:hRule="atLeast"/>
        </w:trPr>
        <w:tc>
          <w:tcPr>
            <w:tcW w:w="10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410" w:type="dxa"/>
            <w:tcBorders>
              <w:top w:val="single" w:sz="4" w:space="0" w:color="808080"/>
              <w:bottom w:val="single" w:sz="4" w:space="0" w:color="808080"/>
            </w:tcBorders>
          </w:tcPr>
          <w:p>
            <w:pPr>
              <w:pStyle w:val="TableParagraph"/>
              <w:spacing w:line="276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Subscript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0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(ex.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F</w:t>
            </w:r>
            <w:r>
              <w:rPr>
                <w:b/>
                <w:sz w:val="24"/>
                <w:vertAlign w:val="subscript"/>
              </w:rPr>
              <w:t>b,0</w:t>
            </w:r>
            <w:r>
              <w:rPr>
                <w:b/>
                <w:sz w:val="24"/>
                <w:vertAlign w:val="baseline"/>
              </w:rPr>
              <w:t>)</w:t>
            </w:r>
          </w:p>
        </w:tc>
        <w:tc>
          <w:tcPr>
            <w:tcW w:w="5231" w:type="dxa"/>
            <w:tcBorders>
              <w:top w:val="single" w:sz="4" w:space="0" w:color="808080"/>
              <w:bottom w:val="single" w:sz="4" w:space="0" w:color="808080"/>
            </w:tcBorders>
          </w:tcPr>
          <w:p>
            <w:pPr>
              <w:pStyle w:val="TableParagraph"/>
              <w:spacing w:line="276" w:lineRule="exact"/>
              <w:ind w:left="1012"/>
              <w:rPr>
                <w:sz w:val="24"/>
              </w:rPr>
            </w:pPr>
            <w:r>
              <w:rPr>
                <w:sz w:val="24"/>
              </w:rPr>
              <w:t>Value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parallel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major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strength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direction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CLT</w:t>
            </w:r>
          </w:p>
        </w:tc>
        <w:tc>
          <w:tcPr>
            <w:tcW w:w="88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551" w:hRule="atLeast"/>
        </w:trPr>
        <w:tc>
          <w:tcPr>
            <w:tcW w:w="10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410" w:type="dxa"/>
            <w:tcBorders>
              <w:top w:val="single" w:sz="4" w:space="0" w:color="808080"/>
              <w:bottom w:val="single" w:sz="4" w:space="0" w:color="808080"/>
            </w:tcBorders>
          </w:tcPr>
          <w:p>
            <w:pPr>
              <w:pStyle w:val="TableParagraph"/>
              <w:spacing w:line="275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Subscript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90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(ex.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F</w:t>
            </w:r>
            <w:r>
              <w:rPr>
                <w:b/>
                <w:sz w:val="24"/>
                <w:vertAlign w:val="subscript"/>
              </w:rPr>
              <w:t>b,90</w:t>
            </w:r>
            <w:r>
              <w:rPr>
                <w:b/>
                <w:sz w:val="24"/>
                <w:vertAlign w:val="baseline"/>
              </w:rPr>
              <w:t>)</w:t>
            </w:r>
          </w:p>
        </w:tc>
        <w:tc>
          <w:tcPr>
            <w:tcW w:w="5231" w:type="dxa"/>
            <w:tcBorders>
              <w:top w:val="single" w:sz="4" w:space="0" w:color="808080"/>
              <w:bottom w:val="single" w:sz="4" w:space="0" w:color="808080"/>
            </w:tcBorders>
          </w:tcPr>
          <w:p>
            <w:pPr>
              <w:pStyle w:val="TableParagraph"/>
              <w:spacing w:line="276" w:lineRule="exact"/>
              <w:ind w:left="1012"/>
              <w:rPr>
                <w:sz w:val="24"/>
              </w:rPr>
            </w:pPr>
            <w:r>
              <w:rPr>
                <w:sz w:val="24"/>
              </w:rPr>
              <w:t>Value</w:t>
            </w:r>
            <w:r>
              <w:rPr>
                <w:spacing w:val="59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58"/>
                <w:sz w:val="24"/>
              </w:rPr>
              <w:t> </w:t>
            </w:r>
            <w:r>
              <w:rPr>
                <w:sz w:val="24"/>
              </w:rPr>
              <w:t>perpendicular</w:t>
            </w:r>
            <w:r>
              <w:rPr>
                <w:spacing w:val="59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57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56"/>
                <w:sz w:val="24"/>
              </w:rPr>
              <w:t> </w:t>
            </w:r>
            <w:r>
              <w:rPr>
                <w:sz w:val="24"/>
              </w:rPr>
              <w:t>major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strength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direction 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CLT</w:t>
            </w:r>
          </w:p>
        </w:tc>
        <w:tc>
          <w:tcPr>
            <w:tcW w:w="88" w:type="dxa"/>
          </w:tcPr>
          <w:p>
            <w:pPr>
              <w:pStyle w:val="TableParagraph"/>
              <w:rPr>
                <w:sz w:val="22"/>
              </w:rPr>
            </w:pPr>
          </w:p>
        </w:tc>
      </w:tr>
    </w:tbl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spacing w:before="229"/>
        <w:ind w:left="181" w:right="0" w:firstLine="0"/>
        <w:jc w:val="center"/>
        <w:rPr>
          <w:i/>
          <w:sz w:val="24"/>
        </w:rPr>
      </w:pPr>
      <w:bookmarkStart w:name="_bookmark2" w:id="38"/>
      <w:bookmarkEnd w:id="38"/>
      <w:r>
        <w:rPr/>
      </w:r>
      <w:r>
        <w:rPr>
          <w:i/>
          <w:sz w:val="24"/>
        </w:rPr>
        <w:t>Table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2-3.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Required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Characteristic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Test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Values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PRG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320 CLT,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adapted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from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[12].</w:t>
      </w:r>
    </w:p>
    <w:p>
      <w:pPr>
        <w:pStyle w:val="BodyText"/>
        <w:spacing w:before="4" w:after="1"/>
        <w:rPr>
          <w:i/>
          <w:sz w:val="19"/>
        </w:rPr>
      </w:pPr>
    </w:p>
    <w:tbl>
      <w:tblPr>
        <w:tblW w:w="0" w:type="auto"/>
        <w:jc w:val="left"/>
        <w:tblInd w:w="3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53"/>
        <w:gridCol w:w="681"/>
        <w:gridCol w:w="594"/>
        <w:gridCol w:w="747"/>
        <w:gridCol w:w="720"/>
        <w:gridCol w:w="608"/>
        <w:gridCol w:w="727"/>
        <w:gridCol w:w="828"/>
        <w:gridCol w:w="558"/>
        <w:gridCol w:w="594"/>
        <w:gridCol w:w="666"/>
        <w:gridCol w:w="608"/>
        <w:gridCol w:w="644"/>
      </w:tblGrid>
      <w:tr>
        <w:trPr>
          <w:trHeight w:val="275" w:hRule="atLeast"/>
        </w:trPr>
        <w:tc>
          <w:tcPr>
            <w:tcW w:w="4203" w:type="dxa"/>
            <w:gridSpan w:val="6"/>
          </w:tcPr>
          <w:p>
            <w:pPr>
              <w:pStyle w:val="TableParagraph"/>
              <w:tabs>
                <w:tab w:pos="1730" w:val="left" w:leader="none"/>
                <w:tab w:pos="4797" w:val="left" w:leader="none"/>
              </w:tabs>
              <w:spacing w:line="222" w:lineRule="exact"/>
              <w:ind w:left="853" w:right="-605"/>
              <w:rPr>
                <w:b/>
                <w:sz w:val="20"/>
              </w:rPr>
            </w:pPr>
            <w:r>
              <w:rPr>
                <w:b/>
                <w:w w:val="100"/>
                <w:sz w:val="20"/>
                <w:u w:val="single"/>
              </w:rPr>
              <w:t> </w:t>
            </w:r>
            <w:r>
              <w:rPr>
                <w:b/>
                <w:sz w:val="20"/>
                <w:u w:val="single"/>
              </w:rPr>
              <w:tab/>
            </w:r>
            <w:r>
              <w:rPr>
                <w:b/>
                <w:sz w:val="20"/>
                <w:u w:val="single"/>
              </w:rPr>
              <w:t>Major</w:t>
            </w:r>
            <w:r>
              <w:rPr>
                <w:b/>
                <w:spacing w:val="-3"/>
                <w:sz w:val="20"/>
                <w:u w:val="single"/>
              </w:rPr>
              <w:t> </w:t>
            </w:r>
            <w:r>
              <w:rPr>
                <w:b/>
                <w:sz w:val="20"/>
                <w:u w:val="single"/>
              </w:rPr>
              <w:t>Strength</w:t>
            </w:r>
            <w:r>
              <w:rPr>
                <w:b/>
                <w:spacing w:val="-3"/>
                <w:sz w:val="20"/>
                <w:u w:val="single"/>
              </w:rPr>
              <w:t> </w:t>
            </w:r>
            <w:r>
              <w:rPr>
                <w:b/>
                <w:sz w:val="20"/>
                <w:u w:val="single"/>
              </w:rPr>
              <w:t>Direction</w:t>
              <w:tab/>
            </w:r>
          </w:p>
        </w:tc>
        <w:tc>
          <w:tcPr>
            <w:tcW w:w="72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3898" w:type="dxa"/>
            <w:gridSpan w:val="6"/>
          </w:tcPr>
          <w:p>
            <w:pPr>
              <w:pStyle w:val="TableParagraph"/>
              <w:tabs>
                <w:tab w:pos="922" w:val="left" w:leader="none"/>
                <w:tab w:pos="3899" w:val="left" w:leader="none"/>
              </w:tabs>
              <w:spacing w:line="222" w:lineRule="exact"/>
              <w:ind w:left="134" w:right="-15"/>
              <w:rPr>
                <w:b/>
                <w:sz w:val="20"/>
              </w:rPr>
            </w:pPr>
            <w:r>
              <w:rPr>
                <w:b/>
                <w:w w:val="100"/>
                <w:sz w:val="20"/>
                <w:u w:val="single"/>
              </w:rPr>
              <w:t> </w:t>
            </w:r>
            <w:r>
              <w:rPr>
                <w:b/>
                <w:sz w:val="20"/>
                <w:u w:val="single"/>
              </w:rPr>
              <w:tab/>
            </w:r>
            <w:r>
              <w:rPr>
                <w:b/>
                <w:sz w:val="20"/>
                <w:u w:val="single"/>
              </w:rPr>
              <w:t>Minor</w:t>
            </w:r>
            <w:r>
              <w:rPr>
                <w:b/>
                <w:spacing w:val="-4"/>
                <w:sz w:val="20"/>
                <w:u w:val="single"/>
              </w:rPr>
              <w:t> </w:t>
            </w:r>
            <w:r>
              <w:rPr>
                <w:b/>
                <w:sz w:val="20"/>
                <w:u w:val="single"/>
              </w:rPr>
              <w:t>Strength</w:t>
            </w:r>
            <w:r>
              <w:rPr>
                <w:b/>
                <w:spacing w:val="-3"/>
                <w:sz w:val="20"/>
                <w:u w:val="single"/>
              </w:rPr>
              <w:t> </w:t>
            </w:r>
            <w:r>
              <w:rPr>
                <w:b/>
                <w:sz w:val="20"/>
                <w:u w:val="single"/>
              </w:rPr>
              <w:t>Direction</w:t>
              <w:tab/>
            </w:r>
          </w:p>
        </w:tc>
      </w:tr>
      <w:tr>
        <w:trPr>
          <w:trHeight w:val="779" w:hRule="atLeast"/>
        </w:trPr>
        <w:tc>
          <w:tcPr>
            <w:tcW w:w="853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8"/>
              <w:rPr>
                <w:i/>
                <w:sz w:val="27"/>
              </w:rPr>
            </w:pPr>
          </w:p>
          <w:p>
            <w:pPr>
              <w:pStyle w:val="TableParagraph"/>
              <w:ind w:left="122"/>
              <w:rPr>
                <w:b/>
                <w:sz w:val="20"/>
              </w:rPr>
            </w:pPr>
            <w:r>
              <w:rPr>
                <w:b/>
                <w:sz w:val="20"/>
              </w:rPr>
              <w:t>CLT</w:t>
            </w:r>
          </w:p>
          <w:p>
            <w:pPr>
              <w:pStyle w:val="TableParagraph"/>
              <w:spacing w:line="210" w:lineRule="exact" w:before="1"/>
              <w:ind w:left="122"/>
              <w:rPr>
                <w:b/>
                <w:sz w:val="20"/>
              </w:rPr>
            </w:pPr>
            <w:r>
              <w:rPr>
                <w:b/>
                <w:sz w:val="20"/>
              </w:rPr>
              <w:t>Grades</w:t>
            </w:r>
          </w:p>
        </w:tc>
        <w:tc>
          <w:tcPr>
            <w:tcW w:w="681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9"/>
              <w:rPr>
                <w:i/>
                <w:sz w:val="23"/>
              </w:rPr>
            </w:pPr>
          </w:p>
          <w:p>
            <w:pPr>
              <w:pStyle w:val="TableParagraph"/>
              <w:spacing w:line="277" w:lineRule="exact"/>
              <w:ind w:left="108"/>
              <w:rPr>
                <w:b/>
                <w:sz w:val="16"/>
              </w:rPr>
            </w:pPr>
            <w:r>
              <w:rPr>
                <w:b/>
                <w:position w:val="2"/>
                <w:sz w:val="24"/>
              </w:rPr>
              <w:t>f</w:t>
            </w:r>
            <w:r>
              <w:rPr>
                <w:b/>
                <w:sz w:val="16"/>
              </w:rPr>
              <w:t>b,0</w:t>
            </w:r>
          </w:p>
          <w:p>
            <w:pPr>
              <w:pStyle w:val="TableParagraph"/>
              <w:spacing w:line="208" w:lineRule="exact"/>
              <w:ind w:left="108"/>
              <w:rPr>
                <w:b/>
                <w:sz w:val="20"/>
              </w:rPr>
            </w:pPr>
            <w:r>
              <w:rPr>
                <w:b/>
                <w:sz w:val="20"/>
              </w:rPr>
              <w:t>(psi)</w:t>
            </w:r>
          </w:p>
        </w:tc>
        <w:tc>
          <w:tcPr>
            <w:tcW w:w="59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43"/>
              <w:ind w:left="113"/>
              <w:rPr>
                <w:b/>
                <w:sz w:val="24"/>
              </w:rPr>
            </w:pPr>
            <w:r>
              <w:rPr>
                <w:b/>
                <w:sz w:val="24"/>
              </w:rPr>
              <w:t>E</w:t>
            </w:r>
            <w:r>
              <w:rPr>
                <w:b/>
                <w:sz w:val="24"/>
                <w:vertAlign w:val="subscript"/>
              </w:rPr>
              <w:t>0</w:t>
            </w:r>
          </w:p>
          <w:p>
            <w:pPr>
              <w:pStyle w:val="TableParagraph"/>
              <w:ind w:left="113"/>
              <w:rPr>
                <w:b/>
                <w:sz w:val="20"/>
              </w:rPr>
            </w:pPr>
            <w:r>
              <w:rPr>
                <w:b/>
                <w:sz w:val="20"/>
              </w:rPr>
              <w:t>(10</w:t>
            </w:r>
            <w:r>
              <w:rPr>
                <w:b/>
                <w:sz w:val="20"/>
                <w:vertAlign w:val="superscript"/>
              </w:rPr>
              <w:t>6</w:t>
            </w:r>
          </w:p>
          <w:p>
            <w:pPr>
              <w:pStyle w:val="TableParagraph"/>
              <w:spacing w:line="210" w:lineRule="exact"/>
              <w:ind w:left="113"/>
              <w:rPr>
                <w:b/>
                <w:sz w:val="20"/>
              </w:rPr>
            </w:pPr>
            <w:r>
              <w:rPr>
                <w:b/>
                <w:sz w:val="20"/>
              </w:rPr>
              <w:t>psi)</w:t>
            </w:r>
          </w:p>
        </w:tc>
        <w:tc>
          <w:tcPr>
            <w:tcW w:w="74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9"/>
              <w:rPr>
                <w:i/>
                <w:sz w:val="23"/>
              </w:rPr>
            </w:pPr>
          </w:p>
          <w:p>
            <w:pPr>
              <w:pStyle w:val="TableParagraph"/>
              <w:spacing w:line="277" w:lineRule="exact"/>
              <w:ind w:left="149"/>
              <w:rPr>
                <w:b/>
                <w:sz w:val="16"/>
              </w:rPr>
            </w:pPr>
            <w:r>
              <w:rPr>
                <w:b/>
                <w:position w:val="2"/>
                <w:sz w:val="24"/>
              </w:rPr>
              <w:t>f</w:t>
            </w:r>
            <w:r>
              <w:rPr>
                <w:b/>
                <w:sz w:val="16"/>
              </w:rPr>
              <w:t>t,0</w:t>
            </w:r>
          </w:p>
          <w:p>
            <w:pPr>
              <w:pStyle w:val="TableParagraph"/>
              <w:spacing w:line="208" w:lineRule="exact"/>
              <w:ind w:left="149"/>
              <w:rPr>
                <w:b/>
                <w:sz w:val="20"/>
              </w:rPr>
            </w:pPr>
            <w:r>
              <w:rPr>
                <w:b/>
                <w:sz w:val="20"/>
              </w:rPr>
              <w:t>(psi)</w:t>
            </w:r>
          </w:p>
        </w:tc>
        <w:tc>
          <w:tcPr>
            <w:tcW w:w="72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9"/>
              <w:rPr>
                <w:i/>
                <w:sz w:val="23"/>
              </w:rPr>
            </w:pPr>
          </w:p>
          <w:p>
            <w:pPr>
              <w:pStyle w:val="TableParagraph"/>
              <w:spacing w:line="277" w:lineRule="exact"/>
              <w:ind w:left="122"/>
              <w:rPr>
                <w:b/>
                <w:sz w:val="16"/>
              </w:rPr>
            </w:pPr>
            <w:r>
              <w:rPr>
                <w:b/>
                <w:position w:val="2"/>
                <w:sz w:val="24"/>
              </w:rPr>
              <w:t>f</w:t>
            </w:r>
            <w:r>
              <w:rPr>
                <w:b/>
                <w:sz w:val="16"/>
              </w:rPr>
              <w:t>c,0</w:t>
            </w:r>
          </w:p>
          <w:p>
            <w:pPr>
              <w:pStyle w:val="TableParagraph"/>
              <w:spacing w:line="208" w:lineRule="exact"/>
              <w:ind w:left="122"/>
              <w:rPr>
                <w:b/>
                <w:sz w:val="20"/>
              </w:rPr>
            </w:pPr>
            <w:r>
              <w:rPr>
                <w:b/>
                <w:sz w:val="20"/>
              </w:rPr>
              <w:t>(psi)</w:t>
            </w:r>
          </w:p>
        </w:tc>
        <w:tc>
          <w:tcPr>
            <w:tcW w:w="60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9"/>
              <w:rPr>
                <w:i/>
                <w:sz w:val="23"/>
              </w:rPr>
            </w:pPr>
          </w:p>
          <w:p>
            <w:pPr>
              <w:pStyle w:val="TableParagraph"/>
              <w:spacing w:line="277" w:lineRule="exact"/>
              <w:ind w:left="122"/>
              <w:rPr>
                <w:b/>
                <w:sz w:val="16"/>
              </w:rPr>
            </w:pPr>
            <w:r>
              <w:rPr>
                <w:b/>
                <w:position w:val="2"/>
                <w:sz w:val="24"/>
              </w:rPr>
              <w:t>f</w:t>
            </w:r>
            <w:r>
              <w:rPr>
                <w:b/>
                <w:sz w:val="16"/>
              </w:rPr>
              <w:t>v,0</w:t>
            </w:r>
          </w:p>
          <w:p>
            <w:pPr>
              <w:pStyle w:val="TableParagraph"/>
              <w:spacing w:line="208" w:lineRule="exact"/>
              <w:ind w:left="122"/>
              <w:rPr>
                <w:b/>
                <w:sz w:val="20"/>
              </w:rPr>
            </w:pPr>
            <w:r>
              <w:rPr>
                <w:b/>
                <w:sz w:val="20"/>
              </w:rPr>
              <w:t>(psi)</w:t>
            </w:r>
          </w:p>
        </w:tc>
        <w:tc>
          <w:tcPr>
            <w:tcW w:w="72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9"/>
              <w:rPr>
                <w:i/>
                <w:sz w:val="23"/>
              </w:rPr>
            </w:pPr>
          </w:p>
          <w:p>
            <w:pPr>
              <w:pStyle w:val="TableParagraph"/>
              <w:spacing w:line="277" w:lineRule="exact"/>
              <w:ind w:left="108"/>
              <w:rPr>
                <w:b/>
                <w:sz w:val="16"/>
              </w:rPr>
            </w:pPr>
            <w:r>
              <w:rPr>
                <w:b/>
                <w:position w:val="2"/>
                <w:sz w:val="24"/>
              </w:rPr>
              <w:t>f</w:t>
            </w:r>
            <w:r>
              <w:rPr>
                <w:b/>
                <w:sz w:val="16"/>
              </w:rPr>
              <w:t>s,0</w:t>
            </w:r>
          </w:p>
          <w:p>
            <w:pPr>
              <w:pStyle w:val="TableParagraph"/>
              <w:spacing w:line="208" w:lineRule="exact"/>
              <w:ind w:left="108"/>
              <w:rPr>
                <w:b/>
                <w:sz w:val="20"/>
              </w:rPr>
            </w:pPr>
            <w:r>
              <w:rPr>
                <w:b/>
                <w:sz w:val="20"/>
              </w:rPr>
              <w:t>(psi)</w:t>
            </w:r>
          </w:p>
        </w:tc>
        <w:tc>
          <w:tcPr>
            <w:tcW w:w="82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9"/>
              <w:rPr>
                <w:i/>
                <w:sz w:val="23"/>
              </w:rPr>
            </w:pPr>
          </w:p>
          <w:p>
            <w:pPr>
              <w:pStyle w:val="TableParagraph"/>
              <w:spacing w:line="277" w:lineRule="exact"/>
              <w:ind w:left="242"/>
              <w:rPr>
                <w:b/>
                <w:sz w:val="16"/>
              </w:rPr>
            </w:pPr>
            <w:r>
              <w:rPr>
                <w:b/>
                <w:position w:val="2"/>
                <w:sz w:val="24"/>
              </w:rPr>
              <w:t>f</w:t>
            </w:r>
            <w:r>
              <w:rPr>
                <w:b/>
                <w:sz w:val="16"/>
              </w:rPr>
              <w:t>b,90</w:t>
            </w:r>
          </w:p>
          <w:p>
            <w:pPr>
              <w:pStyle w:val="TableParagraph"/>
              <w:spacing w:line="208" w:lineRule="exact"/>
              <w:ind w:left="242"/>
              <w:rPr>
                <w:b/>
                <w:sz w:val="20"/>
              </w:rPr>
            </w:pPr>
            <w:r>
              <w:rPr>
                <w:b/>
                <w:sz w:val="20"/>
              </w:rPr>
              <w:t>(psi)</w:t>
            </w:r>
          </w:p>
        </w:tc>
        <w:tc>
          <w:tcPr>
            <w:tcW w:w="55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77" w:lineRule="exact" w:before="43"/>
              <w:ind w:left="119"/>
              <w:rPr>
                <w:b/>
                <w:sz w:val="16"/>
              </w:rPr>
            </w:pPr>
            <w:r>
              <w:rPr>
                <w:b/>
                <w:position w:val="2"/>
                <w:sz w:val="24"/>
              </w:rPr>
              <w:t>E</w:t>
            </w:r>
            <w:r>
              <w:rPr>
                <w:b/>
                <w:sz w:val="16"/>
              </w:rPr>
              <w:t>90</w:t>
            </w:r>
          </w:p>
          <w:p>
            <w:pPr>
              <w:pStyle w:val="TableParagraph"/>
              <w:spacing w:line="229" w:lineRule="exact"/>
              <w:ind w:left="119"/>
              <w:rPr>
                <w:b/>
                <w:sz w:val="20"/>
              </w:rPr>
            </w:pPr>
            <w:r>
              <w:rPr>
                <w:b/>
                <w:sz w:val="20"/>
              </w:rPr>
              <w:t>(10</w:t>
            </w:r>
            <w:r>
              <w:rPr>
                <w:b/>
                <w:sz w:val="20"/>
                <w:vertAlign w:val="superscript"/>
              </w:rPr>
              <w:t>6</w:t>
            </w:r>
          </w:p>
          <w:p>
            <w:pPr>
              <w:pStyle w:val="TableParagraph"/>
              <w:spacing w:line="210" w:lineRule="exact" w:before="1"/>
              <w:ind w:left="119"/>
              <w:rPr>
                <w:b/>
                <w:sz w:val="20"/>
              </w:rPr>
            </w:pPr>
            <w:r>
              <w:rPr>
                <w:b/>
                <w:sz w:val="20"/>
              </w:rPr>
              <w:t>psi)</w:t>
            </w:r>
          </w:p>
        </w:tc>
        <w:tc>
          <w:tcPr>
            <w:tcW w:w="59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9"/>
              <w:rPr>
                <w:i/>
                <w:sz w:val="23"/>
              </w:rPr>
            </w:pPr>
          </w:p>
          <w:p>
            <w:pPr>
              <w:pStyle w:val="TableParagraph"/>
              <w:spacing w:line="277" w:lineRule="exact"/>
              <w:ind w:left="110"/>
              <w:rPr>
                <w:b/>
                <w:sz w:val="16"/>
              </w:rPr>
            </w:pPr>
            <w:r>
              <w:rPr>
                <w:b/>
                <w:position w:val="2"/>
                <w:sz w:val="24"/>
              </w:rPr>
              <w:t>f</w:t>
            </w:r>
            <w:r>
              <w:rPr>
                <w:b/>
                <w:sz w:val="16"/>
              </w:rPr>
              <w:t>t,90</w:t>
            </w:r>
          </w:p>
          <w:p>
            <w:pPr>
              <w:pStyle w:val="TableParagraph"/>
              <w:spacing w:line="208" w:lineRule="exact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(psi)</w:t>
            </w:r>
          </w:p>
        </w:tc>
        <w:tc>
          <w:tcPr>
            <w:tcW w:w="66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9"/>
              <w:rPr>
                <w:i/>
                <w:sz w:val="23"/>
              </w:rPr>
            </w:pPr>
          </w:p>
          <w:p>
            <w:pPr>
              <w:pStyle w:val="TableParagraph"/>
              <w:spacing w:line="277" w:lineRule="exact"/>
              <w:ind w:left="110"/>
              <w:rPr>
                <w:b/>
                <w:sz w:val="16"/>
              </w:rPr>
            </w:pPr>
            <w:r>
              <w:rPr>
                <w:b/>
                <w:position w:val="2"/>
                <w:sz w:val="24"/>
              </w:rPr>
              <w:t>f</w:t>
            </w:r>
            <w:r>
              <w:rPr>
                <w:b/>
                <w:sz w:val="16"/>
              </w:rPr>
              <w:t>c,90</w:t>
            </w:r>
          </w:p>
          <w:p>
            <w:pPr>
              <w:pStyle w:val="TableParagraph"/>
              <w:spacing w:line="208" w:lineRule="exact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(psi)</w:t>
            </w:r>
          </w:p>
        </w:tc>
        <w:tc>
          <w:tcPr>
            <w:tcW w:w="60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9"/>
              <w:rPr>
                <w:i/>
                <w:sz w:val="23"/>
              </w:rPr>
            </w:pPr>
          </w:p>
          <w:p>
            <w:pPr>
              <w:pStyle w:val="TableParagraph"/>
              <w:spacing w:line="277" w:lineRule="exact"/>
              <w:ind w:left="110"/>
              <w:rPr>
                <w:b/>
                <w:sz w:val="16"/>
              </w:rPr>
            </w:pPr>
            <w:r>
              <w:rPr>
                <w:b/>
                <w:position w:val="2"/>
                <w:sz w:val="24"/>
              </w:rPr>
              <w:t>f</w:t>
            </w:r>
            <w:r>
              <w:rPr>
                <w:b/>
                <w:sz w:val="16"/>
              </w:rPr>
              <w:t>v,90</w:t>
            </w:r>
          </w:p>
          <w:p>
            <w:pPr>
              <w:pStyle w:val="TableParagraph"/>
              <w:spacing w:line="208" w:lineRule="exact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(psi)</w:t>
            </w:r>
          </w:p>
        </w:tc>
        <w:tc>
          <w:tcPr>
            <w:tcW w:w="64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9"/>
              <w:rPr>
                <w:i/>
                <w:sz w:val="23"/>
              </w:rPr>
            </w:pPr>
          </w:p>
          <w:p>
            <w:pPr>
              <w:pStyle w:val="TableParagraph"/>
              <w:spacing w:line="277" w:lineRule="exact"/>
              <w:ind w:left="123"/>
              <w:rPr>
                <w:b/>
                <w:sz w:val="16"/>
              </w:rPr>
            </w:pPr>
            <w:r>
              <w:rPr>
                <w:b/>
                <w:position w:val="2"/>
                <w:sz w:val="24"/>
              </w:rPr>
              <w:t>f</w:t>
            </w:r>
            <w:r>
              <w:rPr>
                <w:b/>
                <w:sz w:val="16"/>
              </w:rPr>
              <w:t>s,0</w:t>
            </w:r>
          </w:p>
          <w:p>
            <w:pPr>
              <w:pStyle w:val="TableParagraph"/>
              <w:spacing w:line="208" w:lineRule="exact"/>
              <w:ind w:left="123"/>
              <w:rPr>
                <w:b/>
                <w:sz w:val="20"/>
              </w:rPr>
            </w:pPr>
            <w:r>
              <w:rPr>
                <w:b/>
                <w:sz w:val="20"/>
              </w:rPr>
              <w:t>(psi)</w:t>
            </w:r>
          </w:p>
        </w:tc>
      </w:tr>
      <w:tr>
        <w:trPr>
          <w:trHeight w:val="244" w:hRule="atLeast"/>
        </w:trPr>
        <w:tc>
          <w:tcPr>
            <w:tcW w:w="85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7" w:lineRule="exact" w:before="7"/>
              <w:ind w:right="30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E1</w:t>
            </w:r>
          </w:p>
        </w:tc>
        <w:tc>
          <w:tcPr>
            <w:tcW w:w="68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9" w:lineRule="exact" w:before="5"/>
              <w:ind w:left="98" w:right="93"/>
              <w:jc w:val="center"/>
              <w:rPr>
                <w:sz w:val="20"/>
              </w:rPr>
            </w:pPr>
            <w:r>
              <w:rPr>
                <w:sz w:val="20"/>
              </w:rPr>
              <w:t>4,095</w:t>
            </w:r>
          </w:p>
        </w:tc>
        <w:tc>
          <w:tcPr>
            <w:tcW w:w="59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9" w:lineRule="exact" w:before="5"/>
              <w:ind w:left="128" w:right="82"/>
              <w:jc w:val="center"/>
              <w:rPr>
                <w:sz w:val="20"/>
              </w:rPr>
            </w:pPr>
            <w:r>
              <w:rPr>
                <w:sz w:val="20"/>
              </w:rPr>
              <w:t>1.7</w:t>
            </w:r>
          </w:p>
        </w:tc>
        <w:tc>
          <w:tcPr>
            <w:tcW w:w="74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9" w:lineRule="exact" w:before="5"/>
              <w:ind w:left="175"/>
              <w:rPr>
                <w:sz w:val="20"/>
              </w:rPr>
            </w:pPr>
            <w:r>
              <w:rPr>
                <w:sz w:val="20"/>
              </w:rPr>
              <w:t>2,885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9" w:lineRule="exact" w:before="5"/>
              <w:ind w:left="118" w:right="90"/>
              <w:jc w:val="center"/>
              <w:rPr>
                <w:sz w:val="20"/>
              </w:rPr>
            </w:pPr>
            <w:r>
              <w:rPr>
                <w:sz w:val="20"/>
              </w:rPr>
              <w:t>3,420</w:t>
            </w:r>
          </w:p>
        </w:tc>
        <w:tc>
          <w:tcPr>
            <w:tcW w:w="60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9" w:lineRule="exact" w:before="5"/>
              <w:ind w:left="138" w:right="125"/>
              <w:jc w:val="center"/>
              <w:rPr>
                <w:sz w:val="20"/>
              </w:rPr>
            </w:pPr>
            <w:r>
              <w:rPr>
                <w:sz w:val="20"/>
              </w:rPr>
              <w:t>425</w:t>
            </w:r>
          </w:p>
        </w:tc>
        <w:tc>
          <w:tcPr>
            <w:tcW w:w="72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9" w:lineRule="exact" w:before="5"/>
              <w:ind w:left="147"/>
              <w:rPr>
                <w:sz w:val="20"/>
              </w:rPr>
            </w:pPr>
            <w:r>
              <w:rPr>
                <w:sz w:val="20"/>
              </w:rPr>
              <w:t>140</w:t>
            </w:r>
          </w:p>
        </w:tc>
        <w:tc>
          <w:tcPr>
            <w:tcW w:w="82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9" w:lineRule="exact" w:before="5"/>
              <w:ind w:left="240" w:right="96"/>
              <w:jc w:val="center"/>
              <w:rPr>
                <w:sz w:val="20"/>
              </w:rPr>
            </w:pPr>
            <w:r>
              <w:rPr>
                <w:sz w:val="20"/>
              </w:rPr>
              <w:t>1,050</w:t>
            </w:r>
          </w:p>
        </w:tc>
        <w:tc>
          <w:tcPr>
            <w:tcW w:w="55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9" w:lineRule="exact" w:before="5"/>
              <w:ind w:left="139" w:right="127"/>
              <w:jc w:val="center"/>
              <w:rPr>
                <w:sz w:val="20"/>
              </w:rPr>
            </w:pPr>
            <w:r>
              <w:rPr>
                <w:sz w:val="20"/>
              </w:rPr>
              <w:t>1.2</w:t>
            </w:r>
          </w:p>
        </w:tc>
        <w:tc>
          <w:tcPr>
            <w:tcW w:w="59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9" w:lineRule="exact" w:before="5"/>
              <w:ind w:left="127" w:right="125"/>
              <w:jc w:val="center"/>
              <w:rPr>
                <w:sz w:val="20"/>
              </w:rPr>
            </w:pPr>
            <w:r>
              <w:rPr>
                <w:sz w:val="20"/>
              </w:rPr>
              <w:t>525</w:t>
            </w:r>
          </w:p>
        </w:tc>
        <w:tc>
          <w:tcPr>
            <w:tcW w:w="66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9" w:lineRule="exact" w:before="5"/>
              <w:ind w:left="89" w:right="85"/>
              <w:jc w:val="center"/>
              <w:rPr>
                <w:sz w:val="20"/>
              </w:rPr>
            </w:pPr>
            <w:r>
              <w:rPr>
                <w:sz w:val="20"/>
              </w:rPr>
              <w:t>1,235</w:t>
            </w:r>
          </w:p>
        </w:tc>
        <w:tc>
          <w:tcPr>
            <w:tcW w:w="60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9" w:lineRule="exact" w:before="5"/>
              <w:ind w:left="140" w:right="123"/>
              <w:jc w:val="center"/>
              <w:rPr>
                <w:sz w:val="20"/>
              </w:rPr>
            </w:pPr>
            <w:r>
              <w:rPr>
                <w:sz w:val="20"/>
              </w:rPr>
              <w:t>425</w:t>
            </w:r>
          </w:p>
        </w:tc>
        <w:tc>
          <w:tcPr>
            <w:tcW w:w="64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9" w:lineRule="exact" w:before="5"/>
              <w:ind w:left="159" w:right="144"/>
              <w:jc w:val="center"/>
              <w:rPr>
                <w:sz w:val="20"/>
              </w:rPr>
            </w:pPr>
            <w:r>
              <w:rPr>
                <w:sz w:val="20"/>
              </w:rPr>
              <w:t>140</w:t>
            </w:r>
          </w:p>
        </w:tc>
      </w:tr>
      <w:tr>
        <w:trPr>
          <w:trHeight w:val="245" w:hRule="atLeast"/>
        </w:trPr>
        <w:tc>
          <w:tcPr>
            <w:tcW w:w="85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8" w:lineRule="exact" w:before="7"/>
              <w:ind w:right="30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E2</w:t>
            </w:r>
          </w:p>
        </w:tc>
        <w:tc>
          <w:tcPr>
            <w:tcW w:w="68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21" w:lineRule="exact" w:before="5"/>
              <w:ind w:left="98" w:right="93"/>
              <w:jc w:val="center"/>
              <w:rPr>
                <w:sz w:val="20"/>
              </w:rPr>
            </w:pPr>
            <w:r>
              <w:rPr>
                <w:sz w:val="20"/>
              </w:rPr>
              <w:t>3,465</w:t>
            </w:r>
          </w:p>
        </w:tc>
        <w:tc>
          <w:tcPr>
            <w:tcW w:w="59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21" w:lineRule="exact" w:before="5"/>
              <w:ind w:left="128" w:right="82"/>
              <w:jc w:val="center"/>
              <w:rPr>
                <w:sz w:val="20"/>
              </w:rPr>
            </w:pPr>
            <w:r>
              <w:rPr>
                <w:sz w:val="20"/>
              </w:rPr>
              <w:t>1.5</w:t>
            </w:r>
          </w:p>
        </w:tc>
        <w:tc>
          <w:tcPr>
            <w:tcW w:w="74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21" w:lineRule="exact" w:before="5"/>
              <w:ind w:left="175"/>
              <w:rPr>
                <w:sz w:val="20"/>
              </w:rPr>
            </w:pPr>
            <w:r>
              <w:rPr>
                <w:sz w:val="20"/>
              </w:rPr>
              <w:t>2,140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21" w:lineRule="exact" w:before="5"/>
              <w:ind w:left="118" w:right="90"/>
              <w:jc w:val="center"/>
              <w:rPr>
                <w:sz w:val="20"/>
              </w:rPr>
            </w:pPr>
            <w:r>
              <w:rPr>
                <w:sz w:val="20"/>
              </w:rPr>
              <w:t>3,230</w:t>
            </w:r>
          </w:p>
        </w:tc>
        <w:tc>
          <w:tcPr>
            <w:tcW w:w="60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21" w:lineRule="exact" w:before="5"/>
              <w:ind w:left="138" w:right="125"/>
              <w:jc w:val="center"/>
              <w:rPr>
                <w:sz w:val="20"/>
              </w:rPr>
            </w:pPr>
            <w:r>
              <w:rPr>
                <w:sz w:val="20"/>
              </w:rPr>
              <w:t>565</w:t>
            </w:r>
          </w:p>
        </w:tc>
        <w:tc>
          <w:tcPr>
            <w:tcW w:w="72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21" w:lineRule="exact" w:before="5"/>
              <w:ind w:left="147"/>
              <w:rPr>
                <w:sz w:val="20"/>
              </w:rPr>
            </w:pPr>
            <w:r>
              <w:rPr>
                <w:sz w:val="20"/>
              </w:rPr>
              <w:t>190</w:t>
            </w:r>
          </w:p>
        </w:tc>
        <w:tc>
          <w:tcPr>
            <w:tcW w:w="82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21" w:lineRule="exact" w:before="5"/>
              <w:ind w:left="240" w:right="96"/>
              <w:jc w:val="center"/>
              <w:rPr>
                <w:sz w:val="20"/>
              </w:rPr>
            </w:pPr>
            <w:r>
              <w:rPr>
                <w:sz w:val="20"/>
              </w:rPr>
              <w:t>1,100</w:t>
            </w:r>
          </w:p>
        </w:tc>
        <w:tc>
          <w:tcPr>
            <w:tcW w:w="55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21" w:lineRule="exact" w:before="5"/>
              <w:ind w:left="139" w:right="127"/>
              <w:jc w:val="center"/>
              <w:rPr>
                <w:sz w:val="20"/>
              </w:rPr>
            </w:pPr>
            <w:r>
              <w:rPr>
                <w:sz w:val="20"/>
              </w:rPr>
              <w:t>1.4</w:t>
            </w:r>
          </w:p>
        </w:tc>
        <w:tc>
          <w:tcPr>
            <w:tcW w:w="59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21" w:lineRule="exact" w:before="5"/>
              <w:ind w:left="127" w:right="125"/>
              <w:jc w:val="center"/>
              <w:rPr>
                <w:sz w:val="20"/>
              </w:rPr>
            </w:pPr>
            <w:r>
              <w:rPr>
                <w:sz w:val="20"/>
              </w:rPr>
              <w:t>680</w:t>
            </w:r>
          </w:p>
        </w:tc>
        <w:tc>
          <w:tcPr>
            <w:tcW w:w="66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21" w:lineRule="exact" w:before="5"/>
              <w:ind w:left="89" w:right="85"/>
              <w:jc w:val="center"/>
              <w:rPr>
                <w:sz w:val="20"/>
              </w:rPr>
            </w:pPr>
            <w:r>
              <w:rPr>
                <w:sz w:val="20"/>
              </w:rPr>
              <w:t>1,470</w:t>
            </w:r>
          </w:p>
        </w:tc>
        <w:tc>
          <w:tcPr>
            <w:tcW w:w="60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21" w:lineRule="exact" w:before="5"/>
              <w:ind w:left="140" w:right="123"/>
              <w:jc w:val="center"/>
              <w:rPr>
                <w:sz w:val="20"/>
              </w:rPr>
            </w:pPr>
            <w:r>
              <w:rPr>
                <w:sz w:val="20"/>
              </w:rPr>
              <w:t>565</w:t>
            </w:r>
          </w:p>
        </w:tc>
        <w:tc>
          <w:tcPr>
            <w:tcW w:w="64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21" w:lineRule="exact" w:before="5"/>
              <w:ind w:left="159" w:right="144"/>
              <w:jc w:val="center"/>
              <w:rPr>
                <w:sz w:val="20"/>
              </w:rPr>
            </w:pPr>
            <w:r>
              <w:rPr>
                <w:sz w:val="20"/>
              </w:rPr>
              <w:t>190</w:t>
            </w:r>
          </w:p>
        </w:tc>
      </w:tr>
      <w:tr>
        <w:trPr>
          <w:trHeight w:val="244" w:hRule="atLeast"/>
        </w:trPr>
        <w:tc>
          <w:tcPr>
            <w:tcW w:w="85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7" w:lineRule="exact" w:before="7"/>
              <w:ind w:right="30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E3</w:t>
            </w:r>
          </w:p>
        </w:tc>
        <w:tc>
          <w:tcPr>
            <w:tcW w:w="68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9" w:lineRule="exact" w:before="5"/>
              <w:ind w:left="98" w:right="93"/>
              <w:jc w:val="center"/>
              <w:rPr>
                <w:sz w:val="20"/>
              </w:rPr>
            </w:pPr>
            <w:r>
              <w:rPr>
                <w:sz w:val="20"/>
              </w:rPr>
              <w:t>2,520</w:t>
            </w:r>
          </w:p>
        </w:tc>
        <w:tc>
          <w:tcPr>
            <w:tcW w:w="59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9" w:lineRule="exact" w:before="5"/>
              <w:ind w:left="128" w:right="82"/>
              <w:jc w:val="center"/>
              <w:rPr>
                <w:sz w:val="20"/>
              </w:rPr>
            </w:pPr>
            <w:r>
              <w:rPr>
                <w:sz w:val="20"/>
              </w:rPr>
              <w:t>1.2</w:t>
            </w:r>
          </w:p>
        </w:tc>
        <w:tc>
          <w:tcPr>
            <w:tcW w:w="74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9" w:lineRule="exact" w:before="5"/>
              <w:ind w:left="175"/>
              <w:rPr>
                <w:sz w:val="20"/>
              </w:rPr>
            </w:pPr>
            <w:r>
              <w:rPr>
                <w:sz w:val="20"/>
              </w:rPr>
              <w:t>1,260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9" w:lineRule="exact" w:before="5"/>
              <w:ind w:left="118" w:right="90"/>
              <w:jc w:val="center"/>
              <w:rPr>
                <w:sz w:val="20"/>
              </w:rPr>
            </w:pPr>
            <w:r>
              <w:rPr>
                <w:sz w:val="20"/>
              </w:rPr>
              <w:t>2,660</w:t>
            </w:r>
          </w:p>
        </w:tc>
        <w:tc>
          <w:tcPr>
            <w:tcW w:w="60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9" w:lineRule="exact" w:before="5"/>
              <w:ind w:left="138" w:right="125"/>
              <w:jc w:val="center"/>
              <w:rPr>
                <w:sz w:val="20"/>
              </w:rPr>
            </w:pPr>
            <w:r>
              <w:rPr>
                <w:sz w:val="20"/>
              </w:rPr>
              <w:t>345</w:t>
            </w:r>
          </w:p>
        </w:tc>
        <w:tc>
          <w:tcPr>
            <w:tcW w:w="72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9" w:lineRule="exact" w:before="5"/>
              <w:ind w:left="147"/>
              <w:rPr>
                <w:sz w:val="20"/>
              </w:rPr>
            </w:pPr>
            <w:r>
              <w:rPr>
                <w:sz w:val="20"/>
              </w:rPr>
              <w:t>115</w:t>
            </w:r>
          </w:p>
        </w:tc>
        <w:tc>
          <w:tcPr>
            <w:tcW w:w="82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9" w:lineRule="exact" w:before="5"/>
              <w:ind w:left="241" w:right="96"/>
              <w:jc w:val="center"/>
              <w:rPr>
                <w:sz w:val="20"/>
              </w:rPr>
            </w:pPr>
            <w:r>
              <w:rPr>
                <w:sz w:val="20"/>
              </w:rPr>
              <w:t>735</w:t>
            </w:r>
          </w:p>
        </w:tc>
        <w:tc>
          <w:tcPr>
            <w:tcW w:w="55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9" w:lineRule="exact" w:before="5"/>
              <w:ind w:left="139" w:right="127"/>
              <w:jc w:val="center"/>
              <w:rPr>
                <w:sz w:val="20"/>
              </w:rPr>
            </w:pPr>
            <w:r>
              <w:rPr>
                <w:sz w:val="20"/>
              </w:rPr>
              <w:t>0.9</w:t>
            </w:r>
          </w:p>
        </w:tc>
        <w:tc>
          <w:tcPr>
            <w:tcW w:w="59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9" w:lineRule="exact" w:before="5"/>
              <w:ind w:left="127" w:right="125"/>
              <w:jc w:val="center"/>
              <w:rPr>
                <w:sz w:val="20"/>
              </w:rPr>
            </w:pPr>
            <w:r>
              <w:rPr>
                <w:sz w:val="20"/>
              </w:rPr>
              <w:t>315</w:t>
            </w:r>
          </w:p>
        </w:tc>
        <w:tc>
          <w:tcPr>
            <w:tcW w:w="66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9" w:lineRule="exact" w:before="5"/>
              <w:ind w:left="87" w:right="85"/>
              <w:jc w:val="center"/>
              <w:rPr>
                <w:sz w:val="20"/>
              </w:rPr>
            </w:pPr>
            <w:r>
              <w:rPr>
                <w:sz w:val="20"/>
              </w:rPr>
              <w:t>900</w:t>
            </w:r>
          </w:p>
        </w:tc>
        <w:tc>
          <w:tcPr>
            <w:tcW w:w="60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9" w:lineRule="exact" w:before="5"/>
              <w:ind w:left="140" w:right="123"/>
              <w:jc w:val="center"/>
              <w:rPr>
                <w:sz w:val="20"/>
              </w:rPr>
            </w:pPr>
            <w:r>
              <w:rPr>
                <w:sz w:val="20"/>
              </w:rPr>
              <w:t>345</w:t>
            </w:r>
          </w:p>
        </w:tc>
        <w:tc>
          <w:tcPr>
            <w:tcW w:w="64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9" w:lineRule="exact" w:before="5"/>
              <w:ind w:left="159" w:right="144"/>
              <w:jc w:val="center"/>
              <w:rPr>
                <w:sz w:val="20"/>
              </w:rPr>
            </w:pPr>
            <w:r>
              <w:rPr>
                <w:sz w:val="20"/>
              </w:rPr>
              <w:t>115</w:t>
            </w:r>
          </w:p>
        </w:tc>
      </w:tr>
      <w:tr>
        <w:trPr>
          <w:trHeight w:val="245" w:hRule="atLeast"/>
        </w:trPr>
        <w:tc>
          <w:tcPr>
            <w:tcW w:w="85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8" w:lineRule="exact" w:before="7"/>
              <w:ind w:right="30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E4</w:t>
            </w:r>
          </w:p>
        </w:tc>
        <w:tc>
          <w:tcPr>
            <w:tcW w:w="68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21" w:lineRule="exact" w:before="5"/>
              <w:ind w:left="98" w:right="93"/>
              <w:jc w:val="center"/>
              <w:rPr>
                <w:sz w:val="20"/>
              </w:rPr>
            </w:pPr>
            <w:r>
              <w:rPr>
                <w:sz w:val="20"/>
              </w:rPr>
              <w:t>4,095</w:t>
            </w:r>
          </w:p>
        </w:tc>
        <w:tc>
          <w:tcPr>
            <w:tcW w:w="59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21" w:lineRule="exact" w:before="5"/>
              <w:ind w:left="128" w:right="82"/>
              <w:jc w:val="center"/>
              <w:rPr>
                <w:sz w:val="20"/>
              </w:rPr>
            </w:pPr>
            <w:r>
              <w:rPr>
                <w:sz w:val="20"/>
              </w:rPr>
              <w:t>1.7</w:t>
            </w:r>
          </w:p>
        </w:tc>
        <w:tc>
          <w:tcPr>
            <w:tcW w:w="74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21" w:lineRule="exact" w:before="5"/>
              <w:ind w:left="175"/>
              <w:rPr>
                <w:sz w:val="20"/>
              </w:rPr>
            </w:pPr>
            <w:r>
              <w:rPr>
                <w:sz w:val="20"/>
              </w:rPr>
              <w:t>2,885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21" w:lineRule="exact" w:before="5"/>
              <w:ind w:left="118" w:right="90"/>
              <w:jc w:val="center"/>
              <w:rPr>
                <w:sz w:val="20"/>
              </w:rPr>
            </w:pPr>
            <w:r>
              <w:rPr>
                <w:sz w:val="20"/>
              </w:rPr>
              <w:t>3,420</w:t>
            </w:r>
          </w:p>
        </w:tc>
        <w:tc>
          <w:tcPr>
            <w:tcW w:w="60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21" w:lineRule="exact" w:before="5"/>
              <w:ind w:left="138" w:right="125"/>
              <w:jc w:val="center"/>
              <w:rPr>
                <w:sz w:val="20"/>
              </w:rPr>
            </w:pPr>
            <w:r>
              <w:rPr>
                <w:sz w:val="20"/>
              </w:rPr>
              <w:t>550</w:t>
            </w:r>
          </w:p>
        </w:tc>
        <w:tc>
          <w:tcPr>
            <w:tcW w:w="72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21" w:lineRule="exact" w:before="5"/>
              <w:ind w:left="147"/>
              <w:rPr>
                <w:sz w:val="20"/>
              </w:rPr>
            </w:pPr>
            <w:r>
              <w:rPr>
                <w:sz w:val="20"/>
              </w:rPr>
              <w:t>180</w:t>
            </w:r>
          </w:p>
        </w:tc>
        <w:tc>
          <w:tcPr>
            <w:tcW w:w="82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21" w:lineRule="exact" w:before="5"/>
              <w:ind w:left="240" w:right="96"/>
              <w:jc w:val="center"/>
              <w:rPr>
                <w:sz w:val="20"/>
              </w:rPr>
            </w:pPr>
            <w:r>
              <w:rPr>
                <w:sz w:val="20"/>
              </w:rPr>
              <w:t>1,205</w:t>
            </w:r>
          </w:p>
        </w:tc>
        <w:tc>
          <w:tcPr>
            <w:tcW w:w="55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21" w:lineRule="exact" w:before="5"/>
              <w:ind w:left="139" w:right="127"/>
              <w:jc w:val="center"/>
              <w:rPr>
                <w:sz w:val="20"/>
              </w:rPr>
            </w:pPr>
            <w:r>
              <w:rPr>
                <w:sz w:val="20"/>
              </w:rPr>
              <w:t>1.4</w:t>
            </w:r>
          </w:p>
        </w:tc>
        <w:tc>
          <w:tcPr>
            <w:tcW w:w="59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21" w:lineRule="exact" w:before="5"/>
              <w:ind w:left="127" w:right="125"/>
              <w:jc w:val="center"/>
              <w:rPr>
                <w:sz w:val="20"/>
              </w:rPr>
            </w:pPr>
            <w:r>
              <w:rPr>
                <w:sz w:val="20"/>
              </w:rPr>
              <w:t>680</w:t>
            </w:r>
          </w:p>
        </w:tc>
        <w:tc>
          <w:tcPr>
            <w:tcW w:w="66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21" w:lineRule="exact" w:before="5"/>
              <w:ind w:left="89" w:right="85"/>
              <w:jc w:val="center"/>
              <w:rPr>
                <w:sz w:val="20"/>
              </w:rPr>
            </w:pPr>
            <w:r>
              <w:rPr>
                <w:sz w:val="20"/>
              </w:rPr>
              <w:t>1,565</w:t>
            </w:r>
          </w:p>
        </w:tc>
        <w:tc>
          <w:tcPr>
            <w:tcW w:w="60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21" w:lineRule="exact" w:before="5"/>
              <w:ind w:left="140" w:right="123"/>
              <w:jc w:val="center"/>
              <w:rPr>
                <w:sz w:val="20"/>
              </w:rPr>
            </w:pPr>
            <w:r>
              <w:rPr>
                <w:sz w:val="20"/>
              </w:rPr>
              <w:t>550</w:t>
            </w:r>
          </w:p>
        </w:tc>
        <w:tc>
          <w:tcPr>
            <w:tcW w:w="64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21" w:lineRule="exact" w:before="5"/>
              <w:ind w:left="159" w:right="144"/>
              <w:jc w:val="center"/>
              <w:rPr>
                <w:sz w:val="20"/>
              </w:rPr>
            </w:pPr>
            <w:r>
              <w:rPr>
                <w:sz w:val="20"/>
              </w:rPr>
              <w:t>180</w:t>
            </w:r>
          </w:p>
        </w:tc>
      </w:tr>
      <w:tr>
        <w:trPr>
          <w:trHeight w:val="244" w:hRule="atLeast"/>
        </w:trPr>
        <w:tc>
          <w:tcPr>
            <w:tcW w:w="85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7" w:lineRule="exact" w:before="7"/>
              <w:ind w:right="294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V1</w:t>
            </w:r>
          </w:p>
        </w:tc>
        <w:tc>
          <w:tcPr>
            <w:tcW w:w="68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9" w:lineRule="exact" w:before="5"/>
              <w:ind w:left="98" w:right="93"/>
              <w:jc w:val="center"/>
              <w:rPr>
                <w:sz w:val="20"/>
              </w:rPr>
            </w:pPr>
            <w:r>
              <w:rPr>
                <w:sz w:val="20"/>
              </w:rPr>
              <w:t>1,890</w:t>
            </w:r>
          </w:p>
        </w:tc>
        <w:tc>
          <w:tcPr>
            <w:tcW w:w="59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9" w:lineRule="exact" w:before="5"/>
              <w:ind w:left="128" w:right="82"/>
              <w:jc w:val="center"/>
              <w:rPr>
                <w:sz w:val="20"/>
              </w:rPr>
            </w:pPr>
            <w:r>
              <w:rPr>
                <w:sz w:val="20"/>
              </w:rPr>
              <w:t>1.6</w:t>
            </w:r>
          </w:p>
        </w:tc>
        <w:tc>
          <w:tcPr>
            <w:tcW w:w="74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9" w:lineRule="exact" w:before="5"/>
              <w:ind w:left="175"/>
              <w:rPr>
                <w:sz w:val="20"/>
              </w:rPr>
            </w:pPr>
            <w:r>
              <w:rPr>
                <w:sz w:val="20"/>
              </w:rPr>
              <w:t>1,205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9" w:lineRule="exact" w:before="5"/>
              <w:ind w:left="118" w:right="90"/>
              <w:jc w:val="center"/>
              <w:rPr>
                <w:sz w:val="20"/>
              </w:rPr>
            </w:pPr>
            <w:r>
              <w:rPr>
                <w:sz w:val="20"/>
              </w:rPr>
              <w:t>2,565</w:t>
            </w:r>
          </w:p>
        </w:tc>
        <w:tc>
          <w:tcPr>
            <w:tcW w:w="60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9" w:lineRule="exact" w:before="5"/>
              <w:ind w:left="138" w:right="125"/>
              <w:jc w:val="center"/>
              <w:rPr>
                <w:sz w:val="20"/>
              </w:rPr>
            </w:pPr>
            <w:r>
              <w:rPr>
                <w:sz w:val="20"/>
              </w:rPr>
              <w:t>565</w:t>
            </w:r>
          </w:p>
        </w:tc>
        <w:tc>
          <w:tcPr>
            <w:tcW w:w="72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9" w:lineRule="exact" w:before="5"/>
              <w:ind w:left="147"/>
              <w:rPr>
                <w:sz w:val="20"/>
              </w:rPr>
            </w:pPr>
            <w:r>
              <w:rPr>
                <w:sz w:val="20"/>
              </w:rPr>
              <w:t>190</w:t>
            </w:r>
          </w:p>
        </w:tc>
        <w:tc>
          <w:tcPr>
            <w:tcW w:w="82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9" w:lineRule="exact" w:before="5"/>
              <w:ind w:left="240" w:right="96"/>
              <w:jc w:val="center"/>
              <w:rPr>
                <w:sz w:val="20"/>
              </w:rPr>
            </w:pPr>
            <w:r>
              <w:rPr>
                <w:sz w:val="20"/>
              </w:rPr>
              <w:t>1,100</w:t>
            </w:r>
          </w:p>
        </w:tc>
        <w:tc>
          <w:tcPr>
            <w:tcW w:w="55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9" w:lineRule="exact" w:before="5"/>
              <w:ind w:left="139" w:right="127"/>
              <w:jc w:val="center"/>
              <w:rPr>
                <w:sz w:val="20"/>
              </w:rPr>
            </w:pPr>
            <w:r>
              <w:rPr>
                <w:sz w:val="20"/>
              </w:rPr>
              <w:t>1.4</w:t>
            </w:r>
          </w:p>
        </w:tc>
        <w:tc>
          <w:tcPr>
            <w:tcW w:w="59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9" w:lineRule="exact" w:before="5"/>
              <w:ind w:left="127" w:right="125"/>
              <w:jc w:val="center"/>
              <w:rPr>
                <w:sz w:val="20"/>
              </w:rPr>
            </w:pPr>
            <w:r>
              <w:rPr>
                <w:sz w:val="20"/>
              </w:rPr>
              <w:t>680</w:t>
            </w:r>
          </w:p>
        </w:tc>
        <w:tc>
          <w:tcPr>
            <w:tcW w:w="66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9" w:lineRule="exact" w:before="5"/>
              <w:ind w:left="89" w:right="85"/>
              <w:jc w:val="center"/>
              <w:rPr>
                <w:sz w:val="20"/>
              </w:rPr>
            </w:pPr>
            <w:r>
              <w:rPr>
                <w:sz w:val="20"/>
              </w:rPr>
              <w:t>1,470</w:t>
            </w:r>
          </w:p>
        </w:tc>
        <w:tc>
          <w:tcPr>
            <w:tcW w:w="60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9" w:lineRule="exact" w:before="5"/>
              <w:ind w:left="140" w:right="123"/>
              <w:jc w:val="center"/>
              <w:rPr>
                <w:sz w:val="20"/>
              </w:rPr>
            </w:pPr>
            <w:r>
              <w:rPr>
                <w:sz w:val="20"/>
              </w:rPr>
              <w:t>565</w:t>
            </w:r>
          </w:p>
        </w:tc>
        <w:tc>
          <w:tcPr>
            <w:tcW w:w="64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9" w:lineRule="exact" w:before="5"/>
              <w:ind w:left="159" w:right="144"/>
              <w:jc w:val="center"/>
              <w:rPr>
                <w:sz w:val="20"/>
              </w:rPr>
            </w:pPr>
            <w:r>
              <w:rPr>
                <w:sz w:val="20"/>
              </w:rPr>
              <w:t>190</w:t>
            </w:r>
          </w:p>
        </w:tc>
      </w:tr>
      <w:tr>
        <w:trPr>
          <w:trHeight w:val="245" w:hRule="atLeast"/>
        </w:trPr>
        <w:tc>
          <w:tcPr>
            <w:tcW w:w="85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8" w:lineRule="exact" w:before="7"/>
              <w:ind w:right="294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V2</w:t>
            </w:r>
          </w:p>
        </w:tc>
        <w:tc>
          <w:tcPr>
            <w:tcW w:w="68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21" w:lineRule="exact" w:before="5"/>
              <w:ind w:left="98" w:right="93"/>
              <w:jc w:val="center"/>
              <w:rPr>
                <w:sz w:val="20"/>
              </w:rPr>
            </w:pPr>
            <w:r>
              <w:rPr>
                <w:sz w:val="20"/>
              </w:rPr>
              <w:t>1,835</w:t>
            </w:r>
          </w:p>
        </w:tc>
        <w:tc>
          <w:tcPr>
            <w:tcW w:w="59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21" w:lineRule="exact" w:before="5"/>
              <w:ind w:left="128" w:right="82"/>
              <w:jc w:val="center"/>
              <w:rPr>
                <w:sz w:val="20"/>
              </w:rPr>
            </w:pPr>
            <w:r>
              <w:rPr>
                <w:sz w:val="20"/>
              </w:rPr>
              <w:t>1.4</w:t>
            </w:r>
          </w:p>
        </w:tc>
        <w:tc>
          <w:tcPr>
            <w:tcW w:w="74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21" w:lineRule="exact" w:before="5"/>
              <w:ind w:left="251"/>
              <w:rPr>
                <w:sz w:val="20"/>
              </w:rPr>
            </w:pPr>
            <w:r>
              <w:rPr>
                <w:sz w:val="20"/>
              </w:rPr>
              <w:t>945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21" w:lineRule="exact" w:before="5"/>
              <w:ind w:left="118" w:right="90"/>
              <w:jc w:val="center"/>
              <w:rPr>
                <w:sz w:val="20"/>
              </w:rPr>
            </w:pPr>
            <w:r>
              <w:rPr>
                <w:sz w:val="20"/>
              </w:rPr>
              <w:t>2,185</w:t>
            </w:r>
          </w:p>
        </w:tc>
        <w:tc>
          <w:tcPr>
            <w:tcW w:w="60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21" w:lineRule="exact" w:before="5"/>
              <w:ind w:left="138" w:right="125"/>
              <w:jc w:val="center"/>
              <w:rPr>
                <w:sz w:val="20"/>
              </w:rPr>
            </w:pPr>
            <w:r>
              <w:rPr>
                <w:sz w:val="20"/>
              </w:rPr>
              <w:t>425</w:t>
            </w:r>
          </w:p>
        </w:tc>
        <w:tc>
          <w:tcPr>
            <w:tcW w:w="72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21" w:lineRule="exact" w:before="5"/>
              <w:ind w:left="147"/>
              <w:rPr>
                <w:sz w:val="20"/>
              </w:rPr>
            </w:pPr>
            <w:r>
              <w:rPr>
                <w:sz w:val="20"/>
              </w:rPr>
              <w:t>140</w:t>
            </w:r>
          </w:p>
        </w:tc>
        <w:tc>
          <w:tcPr>
            <w:tcW w:w="82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21" w:lineRule="exact" w:before="5"/>
              <w:ind w:left="240" w:right="96"/>
              <w:jc w:val="center"/>
              <w:rPr>
                <w:sz w:val="20"/>
              </w:rPr>
            </w:pPr>
            <w:r>
              <w:rPr>
                <w:sz w:val="20"/>
              </w:rPr>
              <w:t>1,050</w:t>
            </w:r>
          </w:p>
        </w:tc>
        <w:tc>
          <w:tcPr>
            <w:tcW w:w="55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21" w:lineRule="exact" w:before="5"/>
              <w:ind w:left="139" w:right="127"/>
              <w:jc w:val="center"/>
              <w:rPr>
                <w:sz w:val="20"/>
              </w:rPr>
            </w:pPr>
            <w:r>
              <w:rPr>
                <w:sz w:val="20"/>
              </w:rPr>
              <w:t>1.2</w:t>
            </w:r>
          </w:p>
        </w:tc>
        <w:tc>
          <w:tcPr>
            <w:tcW w:w="59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21" w:lineRule="exact" w:before="5"/>
              <w:ind w:left="127" w:right="125"/>
              <w:jc w:val="center"/>
              <w:rPr>
                <w:sz w:val="20"/>
              </w:rPr>
            </w:pPr>
            <w:r>
              <w:rPr>
                <w:sz w:val="20"/>
              </w:rPr>
              <w:t>525</w:t>
            </w:r>
          </w:p>
        </w:tc>
        <w:tc>
          <w:tcPr>
            <w:tcW w:w="66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21" w:lineRule="exact" w:before="5"/>
              <w:ind w:left="89" w:right="85"/>
              <w:jc w:val="center"/>
              <w:rPr>
                <w:sz w:val="20"/>
              </w:rPr>
            </w:pPr>
            <w:r>
              <w:rPr>
                <w:sz w:val="20"/>
              </w:rPr>
              <w:t>1,235</w:t>
            </w:r>
          </w:p>
        </w:tc>
        <w:tc>
          <w:tcPr>
            <w:tcW w:w="60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21" w:lineRule="exact" w:before="5"/>
              <w:ind w:left="140" w:right="123"/>
              <w:jc w:val="center"/>
              <w:rPr>
                <w:sz w:val="20"/>
              </w:rPr>
            </w:pPr>
            <w:r>
              <w:rPr>
                <w:sz w:val="20"/>
              </w:rPr>
              <w:t>425</w:t>
            </w:r>
          </w:p>
        </w:tc>
        <w:tc>
          <w:tcPr>
            <w:tcW w:w="64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21" w:lineRule="exact" w:before="5"/>
              <w:ind w:left="159" w:right="144"/>
              <w:jc w:val="center"/>
              <w:rPr>
                <w:sz w:val="20"/>
              </w:rPr>
            </w:pPr>
            <w:r>
              <w:rPr>
                <w:sz w:val="20"/>
              </w:rPr>
              <w:t>140</w:t>
            </w:r>
          </w:p>
        </w:tc>
      </w:tr>
      <w:tr>
        <w:trPr>
          <w:trHeight w:val="244" w:hRule="atLeast"/>
        </w:trPr>
        <w:tc>
          <w:tcPr>
            <w:tcW w:w="85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7" w:lineRule="exact" w:before="7"/>
              <w:ind w:right="294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V3</w:t>
            </w:r>
          </w:p>
        </w:tc>
        <w:tc>
          <w:tcPr>
            <w:tcW w:w="68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9" w:lineRule="exact" w:before="5"/>
              <w:ind w:left="98" w:right="93"/>
              <w:jc w:val="center"/>
              <w:rPr>
                <w:sz w:val="20"/>
              </w:rPr>
            </w:pPr>
            <w:r>
              <w:rPr>
                <w:sz w:val="20"/>
              </w:rPr>
              <w:t>2,045</w:t>
            </w:r>
          </w:p>
        </w:tc>
        <w:tc>
          <w:tcPr>
            <w:tcW w:w="59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9" w:lineRule="exact" w:before="5"/>
              <w:ind w:left="128" w:right="82"/>
              <w:jc w:val="center"/>
              <w:rPr>
                <w:sz w:val="20"/>
              </w:rPr>
            </w:pPr>
            <w:r>
              <w:rPr>
                <w:sz w:val="20"/>
              </w:rPr>
              <w:t>1.6</w:t>
            </w:r>
          </w:p>
        </w:tc>
        <w:tc>
          <w:tcPr>
            <w:tcW w:w="74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9" w:lineRule="exact" w:before="5"/>
              <w:ind w:left="175"/>
              <w:rPr>
                <w:sz w:val="20"/>
              </w:rPr>
            </w:pPr>
            <w:r>
              <w:rPr>
                <w:sz w:val="20"/>
              </w:rPr>
              <w:t>1,155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9" w:lineRule="exact" w:before="5"/>
              <w:ind w:left="118" w:right="90"/>
              <w:jc w:val="center"/>
              <w:rPr>
                <w:sz w:val="20"/>
              </w:rPr>
            </w:pPr>
            <w:r>
              <w:rPr>
                <w:sz w:val="20"/>
              </w:rPr>
              <w:t>2,755</w:t>
            </w:r>
          </w:p>
        </w:tc>
        <w:tc>
          <w:tcPr>
            <w:tcW w:w="60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9" w:lineRule="exact" w:before="5"/>
              <w:ind w:left="138" w:right="125"/>
              <w:jc w:val="center"/>
              <w:rPr>
                <w:sz w:val="20"/>
              </w:rPr>
            </w:pPr>
            <w:r>
              <w:rPr>
                <w:sz w:val="20"/>
              </w:rPr>
              <w:t>550</w:t>
            </w:r>
          </w:p>
        </w:tc>
        <w:tc>
          <w:tcPr>
            <w:tcW w:w="72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9" w:lineRule="exact" w:before="5"/>
              <w:ind w:left="147"/>
              <w:rPr>
                <w:sz w:val="20"/>
              </w:rPr>
            </w:pPr>
            <w:r>
              <w:rPr>
                <w:sz w:val="20"/>
              </w:rPr>
              <w:t>180</w:t>
            </w:r>
          </w:p>
        </w:tc>
        <w:tc>
          <w:tcPr>
            <w:tcW w:w="82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9" w:lineRule="exact" w:before="5"/>
              <w:ind w:left="240" w:right="96"/>
              <w:jc w:val="center"/>
              <w:rPr>
                <w:sz w:val="20"/>
              </w:rPr>
            </w:pPr>
            <w:r>
              <w:rPr>
                <w:sz w:val="20"/>
              </w:rPr>
              <w:t>1,205</w:t>
            </w:r>
          </w:p>
        </w:tc>
        <w:tc>
          <w:tcPr>
            <w:tcW w:w="55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9" w:lineRule="exact" w:before="5"/>
              <w:ind w:left="139" w:right="127"/>
              <w:jc w:val="center"/>
              <w:rPr>
                <w:sz w:val="20"/>
              </w:rPr>
            </w:pPr>
            <w:r>
              <w:rPr>
                <w:sz w:val="20"/>
              </w:rPr>
              <w:t>1.4</w:t>
            </w:r>
          </w:p>
        </w:tc>
        <w:tc>
          <w:tcPr>
            <w:tcW w:w="59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9" w:lineRule="exact" w:before="5"/>
              <w:ind w:left="127" w:right="125"/>
              <w:jc w:val="center"/>
              <w:rPr>
                <w:sz w:val="20"/>
              </w:rPr>
            </w:pPr>
            <w:r>
              <w:rPr>
                <w:sz w:val="20"/>
              </w:rPr>
              <w:t>680</w:t>
            </w:r>
          </w:p>
        </w:tc>
        <w:tc>
          <w:tcPr>
            <w:tcW w:w="66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9" w:lineRule="exact" w:before="5"/>
              <w:ind w:left="89" w:right="85"/>
              <w:jc w:val="center"/>
              <w:rPr>
                <w:sz w:val="20"/>
              </w:rPr>
            </w:pPr>
            <w:r>
              <w:rPr>
                <w:sz w:val="20"/>
              </w:rPr>
              <w:t>1,565</w:t>
            </w:r>
          </w:p>
        </w:tc>
        <w:tc>
          <w:tcPr>
            <w:tcW w:w="60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9" w:lineRule="exact" w:before="5"/>
              <w:ind w:left="140" w:right="123"/>
              <w:jc w:val="center"/>
              <w:rPr>
                <w:sz w:val="20"/>
              </w:rPr>
            </w:pPr>
            <w:r>
              <w:rPr>
                <w:sz w:val="20"/>
              </w:rPr>
              <w:t>550</w:t>
            </w:r>
          </w:p>
        </w:tc>
        <w:tc>
          <w:tcPr>
            <w:tcW w:w="64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9" w:lineRule="exact" w:before="5"/>
              <w:ind w:left="159" w:right="144"/>
              <w:jc w:val="center"/>
              <w:rPr>
                <w:sz w:val="20"/>
              </w:rPr>
            </w:pPr>
            <w:r>
              <w:rPr>
                <w:sz w:val="20"/>
              </w:rPr>
              <w:t>180</w:t>
            </w:r>
          </w:p>
        </w:tc>
      </w:tr>
      <w:tr>
        <w:trPr>
          <w:trHeight w:val="460" w:hRule="atLeast"/>
        </w:trPr>
        <w:tc>
          <w:tcPr>
            <w:tcW w:w="85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278"/>
              <w:rPr>
                <w:b/>
                <w:sz w:val="20"/>
              </w:rPr>
            </w:pPr>
            <w:r>
              <w:rPr>
                <w:b/>
                <w:sz w:val="20"/>
              </w:rPr>
              <w:t>SL-</w:t>
            </w:r>
          </w:p>
          <w:p>
            <w:pPr>
              <w:pStyle w:val="TableParagraph"/>
              <w:spacing w:line="210" w:lineRule="exact"/>
              <w:ind w:left="261"/>
              <w:rPr>
                <w:b/>
                <w:sz w:val="20"/>
              </w:rPr>
            </w:pPr>
            <w:r>
              <w:rPr>
                <w:b/>
                <w:sz w:val="20"/>
              </w:rPr>
              <w:t>V4*</w:t>
            </w:r>
          </w:p>
        </w:tc>
        <w:tc>
          <w:tcPr>
            <w:tcW w:w="68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13"/>
              <w:ind w:left="98" w:right="93"/>
              <w:jc w:val="center"/>
              <w:rPr>
                <w:sz w:val="20"/>
              </w:rPr>
            </w:pPr>
            <w:r>
              <w:rPr>
                <w:sz w:val="20"/>
              </w:rPr>
              <w:t>1,628</w:t>
            </w:r>
          </w:p>
        </w:tc>
        <w:tc>
          <w:tcPr>
            <w:tcW w:w="59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13"/>
              <w:ind w:left="128" w:right="82"/>
              <w:jc w:val="center"/>
              <w:rPr>
                <w:sz w:val="20"/>
              </w:rPr>
            </w:pPr>
            <w:r>
              <w:rPr>
                <w:sz w:val="20"/>
              </w:rPr>
              <w:t>1.1</w:t>
            </w:r>
          </w:p>
        </w:tc>
        <w:tc>
          <w:tcPr>
            <w:tcW w:w="74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13"/>
              <w:ind w:left="251"/>
              <w:rPr>
                <w:sz w:val="20"/>
              </w:rPr>
            </w:pPr>
            <w:r>
              <w:rPr>
                <w:sz w:val="20"/>
              </w:rPr>
              <w:t>735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13"/>
              <w:ind w:left="118" w:right="89"/>
              <w:jc w:val="center"/>
              <w:rPr>
                <w:sz w:val="20"/>
              </w:rPr>
            </w:pPr>
            <w:r>
              <w:rPr>
                <w:sz w:val="20"/>
              </w:rPr>
              <w:t>1,900</w:t>
            </w:r>
          </w:p>
        </w:tc>
        <w:tc>
          <w:tcPr>
            <w:tcW w:w="60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13"/>
              <w:ind w:left="139" w:right="125"/>
              <w:jc w:val="center"/>
              <w:rPr>
                <w:sz w:val="20"/>
              </w:rPr>
            </w:pPr>
            <w:r>
              <w:rPr>
                <w:sz w:val="20"/>
              </w:rPr>
              <w:t>425</w:t>
            </w:r>
          </w:p>
        </w:tc>
        <w:tc>
          <w:tcPr>
            <w:tcW w:w="72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13"/>
              <w:ind w:left="147"/>
              <w:rPr>
                <w:sz w:val="20"/>
              </w:rPr>
            </w:pPr>
            <w:r>
              <w:rPr>
                <w:sz w:val="20"/>
              </w:rPr>
              <w:t>142</w:t>
            </w:r>
          </w:p>
        </w:tc>
        <w:tc>
          <w:tcPr>
            <w:tcW w:w="82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13"/>
              <w:ind w:left="241" w:right="96"/>
              <w:jc w:val="center"/>
              <w:rPr>
                <w:sz w:val="20"/>
              </w:rPr>
            </w:pPr>
            <w:r>
              <w:rPr>
                <w:sz w:val="20"/>
              </w:rPr>
              <w:t>1,628</w:t>
            </w:r>
          </w:p>
        </w:tc>
        <w:tc>
          <w:tcPr>
            <w:tcW w:w="55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13"/>
              <w:ind w:left="140" w:right="127"/>
              <w:jc w:val="center"/>
              <w:rPr>
                <w:sz w:val="20"/>
              </w:rPr>
            </w:pPr>
            <w:r>
              <w:rPr>
                <w:sz w:val="20"/>
              </w:rPr>
              <w:t>1.1</w:t>
            </w:r>
          </w:p>
        </w:tc>
        <w:tc>
          <w:tcPr>
            <w:tcW w:w="59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13"/>
              <w:ind w:left="128" w:right="125"/>
              <w:jc w:val="center"/>
              <w:rPr>
                <w:sz w:val="20"/>
              </w:rPr>
            </w:pPr>
            <w:r>
              <w:rPr>
                <w:sz w:val="20"/>
              </w:rPr>
              <w:t>735</w:t>
            </w:r>
          </w:p>
        </w:tc>
        <w:tc>
          <w:tcPr>
            <w:tcW w:w="66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13"/>
              <w:ind w:left="90" w:right="85"/>
              <w:jc w:val="center"/>
              <w:rPr>
                <w:sz w:val="20"/>
              </w:rPr>
            </w:pPr>
            <w:r>
              <w:rPr>
                <w:sz w:val="20"/>
              </w:rPr>
              <w:t>1,900</w:t>
            </w:r>
          </w:p>
        </w:tc>
        <w:tc>
          <w:tcPr>
            <w:tcW w:w="60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13"/>
              <w:ind w:left="140" w:right="122"/>
              <w:jc w:val="center"/>
              <w:rPr>
                <w:sz w:val="20"/>
              </w:rPr>
            </w:pPr>
            <w:r>
              <w:rPr>
                <w:sz w:val="20"/>
              </w:rPr>
              <w:t>425</w:t>
            </w:r>
          </w:p>
        </w:tc>
        <w:tc>
          <w:tcPr>
            <w:tcW w:w="64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13"/>
              <w:ind w:left="159" w:right="143"/>
              <w:jc w:val="center"/>
              <w:rPr>
                <w:sz w:val="20"/>
              </w:rPr>
            </w:pPr>
            <w:r>
              <w:rPr>
                <w:sz w:val="20"/>
              </w:rPr>
              <w:t>142</w:t>
            </w:r>
          </w:p>
        </w:tc>
      </w:tr>
    </w:tbl>
    <w:p>
      <w:pPr>
        <w:pStyle w:val="BodyText"/>
        <w:ind w:left="440" w:right="229"/>
      </w:pPr>
      <w:r>
        <w:rPr/>
        <w:t>*U.S.</w:t>
      </w:r>
      <w:r>
        <w:rPr>
          <w:spacing w:val="7"/>
        </w:rPr>
        <w:t> </w:t>
      </w:r>
      <w:r>
        <w:rPr/>
        <w:t>manufacturer,</w:t>
      </w:r>
      <w:r>
        <w:rPr>
          <w:spacing w:val="6"/>
        </w:rPr>
        <w:t> </w:t>
      </w:r>
      <w:r>
        <w:rPr/>
        <w:t>SmartLam’s</w:t>
      </w:r>
      <w:r>
        <w:rPr>
          <w:spacing w:val="6"/>
        </w:rPr>
        <w:t> </w:t>
      </w:r>
      <w:r>
        <w:rPr/>
        <w:t>customized</w:t>
      </w:r>
      <w:r>
        <w:rPr>
          <w:spacing w:val="7"/>
        </w:rPr>
        <w:t> </w:t>
      </w:r>
      <w:r>
        <w:rPr/>
        <w:t>CLT</w:t>
      </w:r>
      <w:r>
        <w:rPr>
          <w:spacing w:val="6"/>
        </w:rPr>
        <w:t> </w:t>
      </w:r>
      <w:r>
        <w:rPr/>
        <w:t>grade</w:t>
      </w:r>
      <w:r>
        <w:rPr>
          <w:spacing w:val="6"/>
        </w:rPr>
        <w:t> </w:t>
      </w:r>
      <w:r>
        <w:rPr/>
        <w:t>which</w:t>
      </w:r>
      <w:r>
        <w:rPr>
          <w:spacing w:val="7"/>
        </w:rPr>
        <w:t> </w:t>
      </w:r>
      <w:r>
        <w:rPr/>
        <w:t>was</w:t>
      </w:r>
      <w:r>
        <w:rPr>
          <w:spacing w:val="6"/>
        </w:rPr>
        <w:t> </w:t>
      </w:r>
      <w:r>
        <w:rPr/>
        <w:t>used</w:t>
      </w:r>
      <w:r>
        <w:rPr>
          <w:spacing w:val="6"/>
        </w:rPr>
        <w:t> </w:t>
      </w:r>
      <w:r>
        <w:rPr/>
        <w:t>for</w:t>
      </w:r>
      <w:r>
        <w:rPr>
          <w:spacing w:val="7"/>
        </w:rPr>
        <w:t> </w:t>
      </w:r>
      <w:r>
        <w:rPr/>
        <w:t>preliminary</w:t>
      </w:r>
      <w:r>
        <w:rPr>
          <w:spacing w:val="-57"/>
        </w:rPr>
        <w:t> </w:t>
      </w:r>
      <w:r>
        <w:rPr/>
        <w:t>research</w:t>
      </w:r>
    </w:p>
    <w:p>
      <w:pPr>
        <w:spacing w:after="0"/>
        <w:sectPr>
          <w:footerReference w:type="default" r:id="rId37"/>
          <w:pgSz w:w="12240" w:h="15840"/>
          <w:pgMar w:footer="1064" w:header="0" w:top="1360" w:bottom="1260" w:left="1720" w:right="1180"/>
          <w:pgNumType w:start="22"/>
        </w:sectPr>
      </w:pPr>
    </w:p>
    <w:p>
      <w:pPr>
        <w:pStyle w:val="BodyText"/>
        <w:spacing w:line="480" w:lineRule="auto" w:before="78"/>
        <w:ind w:left="440" w:right="257" w:firstLine="720"/>
        <w:jc w:val="both"/>
      </w:pPr>
      <w:r>
        <w:rPr/>
        <w:t>Table</w:t>
      </w:r>
      <w:r>
        <w:rPr>
          <w:spacing w:val="1"/>
        </w:rPr>
        <w:t> </w:t>
      </w:r>
      <w:r>
        <w:rPr/>
        <w:t>2-4, adapted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ANSI/APA</w:t>
      </w:r>
      <w:r>
        <w:rPr>
          <w:spacing w:val="1"/>
        </w:rPr>
        <w:t> </w:t>
      </w:r>
      <w:r>
        <w:rPr/>
        <w:t>PRG</w:t>
      </w:r>
      <w:r>
        <w:rPr>
          <w:spacing w:val="1"/>
        </w:rPr>
        <w:t> </w:t>
      </w:r>
      <w:r>
        <w:rPr/>
        <w:t>320,</w:t>
      </w:r>
      <w:r>
        <w:rPr>
          <w:spacing w:val="1"/>
        </w:rPr>
        <w:t> </w:t>
      </w:r>
      <w:r>
        <w:rPr/>
        <w:t>details the</w:t>
      </w:r>
      <w:r>
        <w:rPr>
          <w:spacing w:val="1"/>
        </w:rPr>
        <w:t> </w:t>
      </w:r>
      <w:r>
        <w:rPr/>
        <w:t>Allowable</w:t>
      </w:r>
      <w:r>
        <w:rPr>
          <w:spacing w:val="1"/>
        </w:rPr>
        <w:t> </w:t>
      </w:r>
      <w:r>
        <w:rPr/>
        <w:t>Design</w:t>
      </w:r>
      <w:r>
        <w:rPr>
          <w:spacing w:val="1"/>
        </w:rPr>
        <w:t> </w:t>
      </w:r>
      <w:r>
        <w:rPr/>
        <w:t>Properties for PRG 320 CLT.</w:t>
      </w:r>
      <w:r>
        <w:rPr>
          <w:spacing w:val="1"/>
        </w:rPr>
        <w:t> </w:t>
      </w:r>
      <w:r>
        <w:rPr/>
        <w:t>APA bases the required characteristic test values on these</w:t>
      </w:r>
      <w:r>
        <w:rPr>
          <w:spacing w:val="1"/>
        </w:rPr>
        <w:t> </w:t>
      </w:r>
      <w:r>
        <w:rPr/>
        <w:t>properties</w:t>
      </w:r>
      <w:r>
        <w:rPr>
          <w:spacing w:val="-1"/>
        </w:rPr>
        <w:t> </w:t>
      </w:r>
      <w:r>
        <w:rPr/>
        <w:t>with</w:t>
      </w:r>
      <w:r>
        <w:rPr>
          <w:spacing w:val="-1"/>
        </w:rPr>
        <w:t> </w:t>
      </w:r>
      <w:r>
        <w:rPr/>
        <w:t>factors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safety to</w:t>
      </w:r>
      <w:r>
        <w:rPr>
          <w:spacing w:val="-1"/>
        </w:rPr>
        <w:t> </w:t>
      </w:r>
      <w:r>
        <w:rPr/>
        <w:t>account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variation</w:t>
      </w:r>
      <w:r>
        <w:rPr>
          <w:spacing w:val="-2"/>
        </w:rPr>
        <w:t> </w:t>
      </w:r>
      <w:r>
        <w:rPr/>
        <w:t>in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natural</w:t>
      </w:r>
      <w:r>
        <w:rPr>
          <w:spacing w:val="-2"/>
        </w:rPr>
        <w:t> </w:t>
      </w:r>
      <w:r>
        <w:rPr/>
        <w:t>wood product.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spacing w:before="231"/>
        <w:ind w:left="980" w:right="0" w:firstLine="0"/>
        <w:jc w:val="left"/>
        <w:rPr>
          <w:i/>
          <w:sz w:val="24"/>
        </w:rPr>
      </w:pPr>
      <w:bookmarkStart w:name="_bookmark3" w:id="39"/>
      <w:bookmarkEnd w:id="39"/>
      <w:r>
        <w:rPr/>
      </w:r>
      <w:r>
        <w:rPr>
          <w:i/>
          <w:sz w:val="24"/>
        </w:rPr>
        <w:t>Table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2-4.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Allowable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Design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Properties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PRG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320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CLT,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adapted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from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[12].</w:t>
      </w:r>
    </w:p>
    <w:p>
      <w:pPr>
        <w:pStyle w:val="BodyText"/>
        <w:spacing w:before="6"/>
        <w:rPr>
          <w:i/>
          <w:sz w:val="19"/>
        </w:rPr>
      </w:pPr>
    </w:p>
    <w:tbl>
      <w:tblPr>
        <w:tblW w:w="0" w:type="auto"/>
        <w:jc w:val="left"/>
        <w:tblInd w:w="2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53"/>
        <w:gridCol w:w="679"/>
        <w:gridCol w:w="647"/>
        <w:gridCol w:w="780"/>
        <w:gridCol w:w="694"/>
        <w:gridCol w:w="640"/>
        <w:gridCol w:w="778"/>
        <w:gridCol w:w="794"/>
        <w:gridCol w:w="554"/>
        <w:gridCol w:w="619"/>
        <w:gridCol w:w="670"/>
        <w:gridCol w:w="643"/>
        <w:gridCol w:w="626"/>
      </w:tblGrid>
      <w:tr>
        <w:trPr>
          <w:trHeight w:val="275" w:hRule="atLeast"/>
        </w:trPr>
        <w:tc>
          <w:tcPr>
            <w:tcW w:w="4293" w:type="dxa"/>
            <w:gridSpan w:val="6"/>
          </w:tcPr>
          <w:p>
            <w:pPr>
              <w:pStyle w:val="TableParagraph"/>
              <w:tabs>
                <w:tab w:pos="1796" w:val="left" w:leader="none"/>
                <w:tab w:pos="4928" w:val="left" w:leader="none"/>
              </w:tabs>
              <w:spacing w:line="222" w:lineRule="exact"/>
              <w:ind w:left="853" w:right="-648"/>
              <w:rPr>
                <w:b/>
                <w:sz w:val="20"/>
              </w:rPr>
            </w:pPr>
            <w:r>
              <w:rPr>
                <w:b/>
                <w:w w:val="100"/>
                <w:sz w:val="20"/>
                <w:u w:val="single"/>
              </w:rPr>
              <w:t> </w:t>
            </w:r>
            <w:r>
              <w:rPr>
                <w:b/>
                <w:sz w:val="20"/>
                <w:u w:val="single"/>
              </w:rPr>
              <w:tab/>
            </w:r>
            <w:r>
              <w:rPr>
                <w:b/>
                <w:sz w:val="20"/>
                <w:u w:val="single"/>
              </w:rPr>
              <w:t>Major</w:t>
            </w:r>
            <w:r>
              <w:rPr>
                <w:b/>
                <w:spacing w:val="-3"/>
                <w:sz w:val="20"/>
                <w:u w:val="single"/>
              </w:rPr>
              <w:t> </w:t>
            </w:r>
            <w:r>
              <w:rPr>
                <w:b/>
                <w:sz w:val="20"/>
                <w:u w:val="single"/>
              </w:rPr>
              <w:t>Strength</w:t>
            </w:r>
            <w:r>
              <w:rPr>
                <w:b/>
                <w:spacing w:val="-3"/>
                <w:sz w:val="20"/>
                <w:u w:val="single"/>
              </w:rPr>
              <w:t> </w:t>
            </w:r>
            <w:r>
              <w:rPr>
                <w:b/>
                <w:sz w:val="20"/>
                <w:u w:val="single"/>
              </w:rPr>
              <w:t>Direction</w:t>
              <w:tab/>
            </w:r>
          </w:p>
        </w:tc>
        <w:tc>
          <w:tcPr>
            <w:tcW w:w="77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3906" w:type="dxa"/>
            <w:gridSpan w:val="6"/>
          </w:tcPr>
          <w:p>
            <w:pPr>
              <w:pStyle w:val="TableParagraph"/>
              <w:tabs>
                <w:tab w:pos="920" w:val="left" w:leader="none"/>
                <w:tab w:pos="3897" w:val="left" w:leader="none"/>
              </w:tabs>
              <w:spacing w:line="222" w:lineRule="exact"/>
              <w:ind w:left="133"/>
              <w:rPr>
                <w:b/>
                <w:sz w:val="20"/>
              </w:rPr>
            </w:pPr>
            <w:r>
              <w:rPr>
                <w:b/>
                <w:w w:val="100"/>
                <w:sz w:val="20"/>
                <w:u w:val="single"/>
              </w:rPr>
              <w:t> </w:t>
            </w:r>
            <w:r>
              <w:rPr>
                <w:b/>
                <w:sz w:val="20"/>
                <w:u w:val="single"/>
              </w:rPr>
              <w:tab/>
            </w:r>
            <w:r>
              <w:rPr>
                <w:b/>
                <w:sz w:val="20"/>
                <w:u w:val="single"/>
              </w:rPr>
              <w:t>Minor</w:t>
            </w:r>
            <w:r>
              <w:rPr>
                <w:b/>
                <w:spacing w:val="-4"/>
                <w:sz w:val="20"/>
                <w:u w:val="single"/>
              </w:rPr>
              <w:t> </w:t>
            </w:r>
            <w:r>
              <w:rPr>
                <w:b/>
                <w:sz w:val="20"/>
                <w:u w:val="single"/>
              </w:rPr>
              <w:t>Strength</w:t>
            </w:r>
            <w:r>
              <w:rPr>
                <w:b/>
                <w:spacing w:val="-3"/>
                <w:sz w:val="20"/>
                <w:u w:val="single"/>
              </w:rPr>
              <w:t> </w:t>
            </w:r>
            <w:r>
              <w:rPr>
                <w:b/>
                <w:sz w:val="20"/>
                <w:u w:val="single"/>
              </w:rPr>
              <w:t>Direction</w:t>
              <w:tab/>
            </w:r>
          </w:p>
        </w:tc>
      </w:tr>
      <w:tr>
        <w:trPr>
          <w:trHeight w:val="778" w:hRule="atLeast"/>
        </w:trPr>
        <w:tc>
          <w:tcPr>
            <w:tcW w:w="853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7"/>
              <w:rPr>
                <w:i/>
                <w:sz w:val="27"/>
              </w:rPr>
            </w:pPr>
          </w:p>
          <w:p>
            <w:pPr>
              <w:pStyle w:val="TableParagraph"/>
              <w:ind w:left="122"/>
              <w:rPr>
                <w:b/>
                <w:sz w:val="20"/>
              </w:rPr>
            </w:pPr>
            <w:r>
              <w:rPr>
                <w:b/>
                <w:sz w:val="20"/>
              </w:rPr>
              <w:t>CLT</w:t>
            </w:r>
          </w:p>
          <w:p>
            <w:pPr>
              <w:pStyle w:val="TableParagraph"/>
              <w:spacing w:line="210" w:lineRule="exact" w:before="1"/>
              <w:ind w:left="122"/>
              <w:rPr>
                <w:b/>
                <w:sz w:val="20"/>
              </w:rPr>
            </w:pPr>
            <w:r>
              <w:rPr>
                <w:b/>
                <w:sz w:val="20"/>
              </w:rPr>
              <w:t>Grades</w:t>
            </w:r>
          </w:p>
        </w:tc>
        <w:tc>
          <w:tcPr>
            <w:tcW w:w="67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8"/>
              <w:rPr>
                <w:i/>
                <w:sz w:val="23"/>
              </w:rPr>
            </w:pPr>
          </w:p>
          <w:p>
            <w:pPr>
              <w:pStyle w:val="TableParagraph"/>
              <w:spacing w:line="277" w:lineRule="exact"/>
              <w:ind w:left="108"/>
              <w:rPr>
                <w:b/>
                <w:sz w:val="16"/>
              </w:rPr>
            </w:pPr>
            <w:r>
              <w:rPr>
                <w:b/>
                <w:position w:val="2"/>
                <w:sz w:val="24"/>
              </w:rPr>
              <w:t>F</w:t>
            </w:r>
            <w:r>
              <w:rPr>
                <w:b/>
                <w:sz w:val="16"/>
              </w:rPr>
              <w:t>b,0</w:t>
            </w:r>
          </w:p>
          <w:p>
            <w:pPr>
              <w:pStyle w:val="TableParagraph"/>
              <w:spacing w:line="208" w:lineRule="exact"/>
              <w:ind w:left="108"/>
              <w:rPr>
                <w:b/>
                <w:sz w:val="20"/>
              </w:rPr>
            </w:pPr>
            <w:r>
              <w:rPr>
                <w:b/>
                <w:sz w:val="20"/>
              </w:rPr>
              <w:t>(psi)</w:t>
            </w:r>
          </w:p>
        </w:tc>
        <w:tc>
          <w:tcPr>
            <w:tcW w:w="64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75" w:lineRule="exact" w:before="43"/>
              <w:ind w:left="120"/>
              <w:rPr>
                <w:b/>
                <w:sz w:val="24"/>
              </w:rPr>
            </w:pPr>
            <w:r>
              <w:rPr>
                <w:b/>
                <w:sz w:val="24"/>
              </w:rPr>
              <w:t>E</w:t>
            </w:r>
            <w:r>
              <w:rPr>
                <w:b/>
                <w:sz w:val="24"/>
                <w:vertAlign w:val="subscript"/>
              </w:rPr>
              <w:t>0</w:t>
            </w:r>
          </w:p>
          <w:p>
            <w:pPr>
              <w:pStyle w:val="TableParagraph"/>
              <w:spacing w:line="229" w:lineRule="exact"/>
              <w:ind w:left="120"/>
              <w:rPr>
                <w:b/>
                <w:sz w:val="20"/>
              </w:rPr>
            </w:pPr>
            <w:r>
              <w:rPr>
                <w:b/>
                <w:sz w:val="20"/>
              </w:rPr>
              <w:t>(10</w:t>
            </w:r>
            <w:r>
              <w:rPr>
                <w:b/>
                <w:sz w:val="20"/>
                <w:vertAlign w:val="superscript"/>
              </w:rPr>
              <w:t>6</w:t>
            </w:r>
          </w:p>
          <w:p>
            <w:pPr>
              <w:pStyle w:val="TableParagraph"/>
              <w:spacing w:line="210" w:lineRule="exact"/>
              <w:ind w:left="120"/>
              <w:rPr>
                <w:b/>
                <w:sz w:val="20"/>
              </w:rPr>
            </w:pPr>
            <w:r>
              <w:rPr>
                <w:b/>
                <w:sz w:val="20"/>
              </w:rPr>
              <w:t>psi)</w:t>
            </w:r>
          </w:p>
        </w:tc>
        <w:tc>
          <w:tcPr>
            <w:tcW w:w="78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8"/>
              <w:rPr>
                <w:i/>
                <w:sz w:val="23"/>
              </w:rPr>
            </w:pPr>
          </w:p>
          <w:p>
            <w:pPr>
              <w:pStyle w:val="TableParagraph"/>
              <w:spacing w:line="277" w:lineRule="exact"/>
              <w:ind w:left="193"/>
              <w:rPr>
                <w:b/>
                <w:sz w:val="16"/>
              </w:rPr>
            </w:pPr>
            <w:r>
              <w:rPr>
                <w:b/>
                <w:position w:val="2"/>
                <w:sz w:val="24"/>
              </w:rPr>
              <w:t>F</w:t>
            </w:r>
            <w:r>
              <w:rPr>
                <w:b/>
                <w:sz w:val="16"/>
              </w:rPr>
              <w:t>t,0</w:t>
            </w:r>
          </w:p>
          <w:p>
            <w:pPr>
              <w:pStyle w:val="TableParagraph"/>
              <w:spacing w:line="208" w:lineRule="exact"/>
              <w:ind w:left="193"/>
              <w:rPr>
                <w:b/>
                <w:sz w:val="20"/>
              </w:rPr>
            </w:pPr>
            <w:r>
              <w:rPr>
                <w:b/>
                <w:sz w:val="20"/>
              </w:rPr>
              <w:t>(psi)</w:t>
            </w:r>
          </w:p>
        </w:tc>
        <w:tc>
          <w:tcPr>
            <w:tcW w:w="69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8"/>
              <w:rPr>
                <w:i/>
                <w:sz w:val="23"/>
              </w:rPr>
            </w:pPr>
          </w:p>
          <w:p>
            <w:pPr>
              <w:pStyle w:val="TableParagraph"/>
              <w:spacing w:line="277" w:lineRule="exact"/>
              <w:ind w:left="133"/>
              <w:rPr>
                <w:b/>
                <w:sz w:val="16"/>
              </w:rPr>
            </w:pPr>
            <w:r>
              <w:rPr>
                <w:b/>
                <w:position w:val="2"/>
                <w:sz w:val="24"/>
              </w:rPr>
              <w:t>F</w:t>
            </w:r>
            <w:r>
              <w:rPr>
                <w:b/>
                <w:sz w:val="16"/>
              </w:rPr>
              <w:t>c,0</w:t>
            </w:r>
          </w:p>
          <w:p>
            <w:pPr>
              <w:pStyle w:val="TableParagraph"/>
              <w:spacing w:line="208" w:lineRule="exact"/>
              <w:ind w:left="133"/>
              <w:rPr>
                <w:b/>
                <w:sz w:val="20"/>
              </w:rPr>
            </w:pPr>
            <w:r>
              <w:rPr>
                <w:b/>
                <w:sz w:val="20"/>
              </w:rPr>
              <w:t>(psi)</w:t>
            </w:r>
          </w:p>
        </w:tc>
        <w:tc>
          <w:tcPr>
            <w:tcW w:w="64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8"/>
              <w:rPr>
                <w:i/>
                <w:sz w:val="23"/>
              </w:rPr>
            </w:pPr>
          </w:p>
          <w:p>
            <w:pPr>
              <w:pStyle w:val="TableParagraph"/>
              <w:spacing w:line="277" w:lineRule="exact"/>
              <w:ind w:left="105"/>
              <w:rPr>
                <w:b/>
                <w:sz w:val="16"/>
              </w:rPr>
            </w:pPr>
            <w:r>
              <w:rPr>
                <w:b/>
                <w:position w:val="2"/>
                <w:sz w:val="24"/>
              </w:rPr>
              <w:t>F</w:t>
            </w:r>
            <w:r>
              <w:rPr>
                <w:b/>
                <w:sz w:val="16"/>
              </w:rPr>
              <w:t>v,0</w:t>
            </w:r>
          </w:p>
          <w:p>
            <w:pPr>
              <w:pStyle w:val="TableParagraph"/>
              <w:spacing w:line="208" w:lineRule="exact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(psi)</w:t>
            </w:r>
          </w:p>
        </w:tc>
        <w:tc>
          <w:tcPr>
            <w:tcW w:w="77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8"/>
              <w:rPr>
                <w:i/>
                <w:sz w:val="23"/>
              </w:rPr>
            </w:pPr>
          </w:p>
          <w:p>
            <w:pPr>
              <w:pStyle w:val="TableParagraph"/>
              <w:spacing w:line="277" w:lineRule="exact"/>
              <w:ind w:left="149"/>
              <w:rPr>
                <w:b/>
                <w:sz w:val="16"/>
              </w:rPr>
            </w:pPr>
            <w:r>
              <w:rPr>
                <w:b/>
                <w:position w:val="2"/>
                <w:sz w:val="24"/>
              </w:rPr>
              <w:t>F</w:t>
            </w:r>
            <w:r>
              <w:rPr>
                <w:b/>
                <w:sz w:val="16"/>
              </w:rPr>
              <w:t>s,0</w:t>
            </w:r>
          </w:p>
          <w:p>
            <w:pPr>
              <w:pStyle w:val="TableParagraph"/>
              <w:spacing w:line="208" w:lineRule="exact"/>
              <w:ind w:left="149"/>
              <w:rPr>
                <w:b/>
                <w:sz w:val="20"/>
              </w:rPr>
            </w:pPr>
            <w:r>
              <w:rPr>
                <w:b/>
                <w:sz w:val="20"/>
              </w:rPr>
              <w:t>(psi)</w:t>
            </w:r>
          </w:p>
        </w:tc>
        <w:tc>
          <w:tcPr>
            <w:tcW w:w="79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8"/>
              <w:rPr>
                <w:i/>
                <w:sz w:val="23"/>
              </w:rPr>
            </w:pPr>
          </w:p>
          <w:p>
            <w:pPr>
              <w:pStyle w:val="TableParagraph"/>
              <w:spacing w:line="277" w:lineRule="exact"/>
              <w:ind w:left="241"/>
              <w:rPr>
                <w:b/>
                <w:sz w:val="16"/>
              </w:rPr>
            </w:pPr>
            <w:r>
              <w:rPr>
                <w:b/>
                <w:position w:val="2"/>
                <w:sz w:val="24"/>
              </w:rPr>
              <w:t>F</w:t>
            </w:r>
            <w:r>
              <w:rPr>
                <w:b/>
                <w:sz w:val="16"/>
              </w:rPr>
              <w:t>b,90</w:t>
            </w:r>
          </w:p>
          <w:p>
            <w:pPr>
              <w:pStyle w:val="TableParagraph"/>
              <w:spacing w:line="208" w:lineRule="exact"/>
              <w:ind w:left="241"/>
              <w:rPr>
                <w:b/>
                <w:sz w:val="20"/>
              </w:rPr>
            </w:pPr>
            <w:r>
              <w:rPr>
                <w:b/>
                <w:sz w:val="20"/>
              </w:rPr>
              <w:t>(psi)</w:t>
            </w:r>
          </w:p>
        </w:tc>
        <w:tc>
          <w:tcPr>
            <w:tcW w:w="55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77" w:lineRule="exact" w:before="43"/>
              <w:ind w:left="107"/>
              <w:rPr>
                <w:b/>
                <w:sz w:val="16"/>
              </w:rPr>
            </w:pPr>
            <w:r>
              <w:rPr>
                <w:b/>
                <w:position w:val="2"/>
                <w:sz w:val="24"/>
              </w:rPr>
              <w:t>E</w:t>
            </w:r>
            <w:r>
              <w:rPr>
                <w:b/>
                <w:sz w:val="16"/>
              </w:rPr>
              <w:t>90</w:t>
            </w:r>
          </w:p>
          <w:p>
            <w:pPr>
              <w:pStyle w:val="TableParagraph"/>
              <w:spacing w:line="228" w:lineRule="exact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(10</w:t>
            </w:r>
            <w:r>
              <w:rPr>
                <w:b/>
                <w:sz w:val="20"/>
                <w:vertAlign w:val="superscript"/>
              </w:rPr>
              <w:t>6</w:t>
            </w:r>
          </w:p>
          <w:p>
            <w:pPr>
              <w:pStyle w:val="TableParagraph"/>
              <w:spacing w:line="210" w:lineRule="exact" w:before="1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psi)</w:t>
            </w:r>
          </w:p>
        </w:tc>
        <w:tc>
          <w:tcPr>
            <w:tcW w:w="61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8"/>
              <w:rPr>
                <w:i/>
                <w:sz w:val="23"/>
              </w:rPr>
            </w:pPr>
          </w:p>
          <w:p>
            <w:pPr>
              <w:pStyle w:val="TableParagraph"/>
              <w:spacing w:line="277" w:lineRule="exact"/>
              <w:ind w:left="101"/>
              <w:rPr>
                <w:b/>
                <w:sz w:val="16"/>
              </w:rPr>
            </w:pPr>
            <w:r>
              <w:rPr>
                <w:b/>
                <w:position w:val="2"/>
                <w:sz w:val="24"/>
              </w:rPr>
              <w:t>F</w:t>
            </w:r>
            <w:r>
              <w:rPr>
                <w:b/>
                <w:sz w:val="16"/>
              </w:rPr>
              <w:t>t,90</w:t>
            </w:r>
          </w:p>
          <w:p>
            <w:pPr>
              <w:pStyle w:val="TableParagraph"/>
              <w:spacing w:line="208" w:lineRule="exact"/>
              <w:ind w:left="101"/>
              <w:rPr>
                <w:b/>
                <w:sz w:val="20"/>
              </w:rPr>
            </w:pPr>
            <w:r>
              <w:rPr>
                <w:b/>
                <w:sz w:val="20"/>
              </w:rPr>
              <w:t>(psi)</w:t>
            </w:r>
          </w:p>
        </w:tc>
        <w:tc>
          <w:tcPr>
            <w:tcW w:w="67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8"/>
              <w:rPr>
                <w:i/>
                <w:sz w:val="23"/>
              </w:rPr>
            </w:pPr>
          </w:p>
          <w:p>
            <w:pPr>
              <w:pStyle w:val="TableParagraph"/>
              <w:spacing w:line="277" w:lineRule="exact"/>
              <w:ind w:left="104"/>
              <w:rPr>
                <w:b/>
                <w:sz w:val="16"/>
              </w:rPr>
            </w:pPr>
            <w:r>
              <w:rPr>
                <w:b/>
                <w:position w:val="2"/>
                <w:sz w:val="24"/>
              </w:rPr>
              <w:t>F</w:t>
            </w:r>
            <w:r>
              <w:rPr>
                <w:b/>
                <w:sz w:val="16"/>
              </w:rPr>
              <w:t>c,90</w:t>
            </w:r>
          </w:p>
          <w:p>
            <w:pPr>
              <w:pStyle w:val="TableParagraph"/>
              <w:spacing w:line="208" w:lineRule="exact"/>
              <w:ind w:left="104"/>
              <w:rPr>
                <w:b/>
                <w:sz w:val="20"/>
              </w:rPr>
            </w:pPr>
            <w:r>
              <w:rPr>
                <w:b/>
                <w:sz w:val="20"/>
              </w:rPr>
              <w:t>(psi)</w:t>
            </w:r>
          </w:p>
        </w:tc>
        <w:tc>
          <w:tcPr>
            <w:tcW w:w="643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8"/>
              <w:rPr>
                <w:i/>
                <w:sz w:val="23"/>
              </w:rPr>
            </w:pPr>
          </w:p>
          <w:p>
            <w:pPr>
              <w:pStyle w:val="TableParagraph"/>
              <w:spacing w:line="277" w:lineRule="exact"/>
              <w:ind w:left="100"/>
              <w:rPr>
                <w:b/>
                <w:sz w:val="16"/>
              </w:rPr>
            </w:pPr>
            <w:r>
              <w:rPr>
                <w:b/>
                <w:position w:val="2"/>
                <w:sz w:val="24"/>
              </w:rPr>
              <w:t>F</w:t>
            </w:r>
            <w:r>
              <w:rPr>
                <w:b/>
                <w:sz w:val="16"/>
              </w:rPr>
              <w:t>v,90</w:t>
            </w:r>
          </w:p>
          <w:p>
            <w:pPr>
              <w:pStyle w:val="TableParagraph"/>
              <w:spacing w:line="208" w:lineRule="exact"/>
              <w:ind w:left="100"/>
              <w:rPr>
                <w:b/>
                <w:sz w:val="20"/>
              </w:rPr>
            </w:pPr>
            <w:r>
              <w:rPr>
                <w:b/>
                <w:sz w:val="20"/>
              </w:rPr>
              <w:t>(psi)</w:t>
            </w:r>
          </w:p>
        </w:tc>
        <w:tc>
          <w:tcPr>
            <w:tcW w:w="62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8"/>
              <w:rPr>
                <w:i/>
                <w:sz w:val="23"/>
              </w:rPr>
            </w:pPr>
          </w:p>
          <w:p>
            <w:pPr>
              <w:pStyle w:val="TableParagraph"/>
              <w:spacing w:line="277" w:lineRule="exact"/>
              <w:ind w:left="100"/>
              <w:rPr>
                <w:b/>
                <w:sz w:val="16"/>
              </w:rPr>
            </w:pPr>
            <w:r>
              <w:rPr>
                <w:b/>
                <w:position w:val="2"/>
                <w:sz w:val="24"/>
              </w:rPr>
              <w:t>F</w:t>
            </w:r>
            <w:r>
              <w:rPr>
                <w:b/>
                <w:sz w:val="16"/>
              </w:rPr>
              <w:t>s,90</w:t>
            </w:r>
          </w:p>
          <w:p>
            <w:pPr>
              <w:pStyle w:val="TableParagraph"/>
              <w:spacing w:line="208" w:lineRule="exact"/>
              <w:ind w:left="100"/>
              <w:rPr>
                <w:b/>
                <w:sz w:val="20"/>
              </w:rPr>
            </w:pPr>
            <w:r>
              <w:rPr>
                <w:b/>
                <w:sz w:val="20"/>
              </w:rPr>
              <w:t>(psi)</w:t>
            </w:r>
          </w:p>
        </w:tc>
      </w:tr>
      <w:tr>
        <w:trPr>
          <w:trHeight w:val="244" w:hRule="atLeast"/>
        </w:trPr>
        <w:tc>
          <w:tcPr>
            <w:tcW w:w="85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0" w:lineRule="exact" w:before="14"/>
              <w:ind w:left="122"/>
              <w:rPr>
                <w:b/>
                <w:sz w:val="20"/>
              </w:rPr>
            </w:pPr>
            <w:r>
              <w:rPr>
                <w:b/>
                <w:sz w:val="20"/>
              </w:rPr>
              <w:t>E1</w:t>
            </w:r>
          </w:p>
        </w:tc>
        <w:tc>
          <w:tcPr>
            <w:tcW w:w="67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2"/>
              <w:ind w:left="108"/>
              <w:rPr>
                <w:sz w:val="20"/>
              </w:rPr>
            </w:pPr>
            <w:r>
              <w:rPr>
                <w:sz w:val="20"/>
              </w:rPr>
              <w:t>1,950</w:t>
            </w:r>
          </w:p>
        </w:tc>
        <w:tc>
          <w:tcPr>
            <w:tcW w:w="64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2"/>
              <w:ind w:left="120"/>
              <w:rPr>
                <w:sz w:val="20"/>
              </w:rPr>
            </w:pPr>
            <w:r>
              <w:rPr>
                <w:sz w:val="20"/>
              </w:rPr>
              <w:t>1.7</w:t>
            </w:r>
          </w:p>
        </w:tc>
        <w:tc>
          <w:tcPr>
            <w:tcW w:w="78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2"/>
              <w:ind w:left="193"/>
              <w:rPr>
                <w:sz w:val="20"/>
              </w:rPr>
            </w:pPr>
            <w:r>
              <w:rPr>
                <w:sz w:val="20"/>
              </w:rPr>
              <w:t>1,375</w:t>
            </w:r>
          </w:p>
        </w:tc>
        <w:tc>
          <w:tcPr>
            <w:tcW w:w="69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2"/>
              <w:ind w:right="108"/>
              <w:jc w:val="right"/>
              <w:rPr>
                <w:sz w:val="20"/>
              </w:rPr>
            </w:pPr>
            <w:r>
              <w:rPr>
                <w:sz w:val="20"/>
              </w:rPr>
              <w:t>1,800</w:t>
            </w:r>
          </w:p>
        </w:tc>
        <w:tc>
          <w:tcPr>
            <w:tcW w:w="64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2"/>
              <w:ind w:left="86" w:right="213"/>
              <w:jc w:val="center"/>
              <w:rPr>
                <w:sz w:val="20"/>
              </w:rPr>
            </w:pPr>
            <w:r>
              <w:rPr>
                <w:sz w:val="20"/>
              </w:rPr>
              <w:t>135</w:t>
            </w:r>
          </w:p>
        </w:tc>
        <w:tc>
          <w:tcPr>
            <w:tcW w:w="77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2"/>
              <w:ind w:left="149"/>
              <w:rPr>
                <w:sz w:val="20"/>
              </w:rPr>
            </w:pPr>
            <w:r>
              <w:rPr>
                <w:sz w:val="20"/>
              </w:rPr>
              <w:t>45</w:t>
            </w:r>
          </w:p>
        </w:tc>
        <w:tc>
          <w:tcPr>
            <w:tcW w:w="79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2"/>
              <w:ind w:left="222" w:right="231"/>
              <w:jc w:val="center"/>
              <w:rPr>
                <w:sz w:val="20"/>
              </w:rPr>
            </w:pPr>
            <w:r>
              <w:rPr>
                <w:sz w:val="20"/>
              </w:rPr>
              <w:t>500</w:t>
            </w:r>
          </w:p>
        </w:tc>
        <w:tc>
          <w:tcPr>
            <w:tcW w:w="55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2"/>
              <w:ind w:left="88" w:right="175"/>
              <w:jc w:val="center"/>
              <w:rPr>
                <w:sz w:val="20"/>
              </w:rPr>
            </w:pPr>
            <w:r>
              <w:rPr>
                <w:sz w:val="20"/>
              </w:rPr>
              <w:t>1.2</w:t>
            </w:r>
          </w:p>
        </w:tc>
        <w:tc>
          <w:tcPr>
            <w:tcW w:w="61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2"/>
              <w:ind w:left="101"/>
              <w:rPr>
                <w:sz w:val="20"/>
              </w:rPr>
            </w:pPr>
            <w:r>
              <w:rPr>
                <w:sz w:val="20"/>
              </w:rPr>
              <w:t>250</w:t>
            </w:r>
          </w:p>
        </w:tc>
        <w:tc>
          <w:tcPr>
            <w:tcW w:w="67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2"/>
              <w:ind w:left="85" w:right="244"/>
              <w:jc w:val="center"/>
              <w:rPr>
                <w:sz w:val="20"/>
              </w:rPr>
            </w:pPr>
            <w:r>
              <w:rPr>
                <w:sz w:val="20"/>
              </w:rPr>
              <w:t>650</w:t>
            </w:r>
          </w:p>
        </w:tc>
        <w:tc>
          <w:tcPr>
            <w:tcW w:w="64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2"/>
              <w:ind w:left="100"/>
              <w:rPr>
                <w:sz w:val="20"/>
              </w:rPr>
            </w:pPr>
            <w:r>
              <w:rPr>
                <w:sz w:val="20"/>
              </w:rPr>
              <w:t>135</w:t>
            </w:r>
          </w:p>
        </w:tc>
        <w:tc>
          <w:tcPr>
            <w:tcW w:w="62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2"/>
              <w:ind w:left="100"/>
              <w:rPr>
                <w:sz w:val="20"/>
              </w:rPr>
            </w:pPr>
            <w:r>
              <w:rPr>
                <w:sz w:val="20"/>
              </w:rPr>
              <w:t>45</w:t>
            </w:r>
          </w:p>
        </w:tc>
      </w:tr>
      <w:tr>
        <w:trPr>
          <w:trHeight w:val="245" w:hRule="atLeast"/>
        </w:trPr>
        <w:tc>
          <w:tcPr>
            <w:tcW w:w="85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0" w:lineRule="exact" w:before="16"/>
              <w:ind w:left="122"/>
              <w:rPr>
                <w:b/>
                <w:sz w:val="20"/>
              </w:rPr>
            </w:pPr>
            <w:r>
              <w:rPr>
                <w:b/>
                <w:sz w:val="20"/>
              </w:rPr>
              <w:t>E2</w:t>
            </w:r>
          </w:p>
        </w:tc>
        <w:tc>
          <w:tcPr>
            <w:tcW w:w="67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3"/>
              <w:ind w:left="108"/>
              <w:rPr>
                <w:sz w:val="20"/>
              </w:rPr>
            </w:pPr>
            <w:r>
              <w:rPr>
                <w:sz w:val="20"/>
              </w:rPr>
              <w:t>1,650</w:t>
            </w:r>
          </w:p>
        </w:tc>
        <w:tc>
          <w:tcPr>
            <w:tcW w:w="64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3"/>
              <w:ind w:left="120"/>
              <w:rPr>
                <w:sz w:val="20"/>
              </w:rPr>
            </w:pPr>
            <w:r>
              <w:rPr>
                <w:sz w:val="20"/>
              </w:rPr>
              <w:t>1.5</w:t>
            </w:r>
          </w:p>
        </w:tc>
        <w:tc>
          <w:tcPr>
            <w:tcW w:w="78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3"/>
              <w:ind w:left="193"/>
              <w:rPr>
                <w:sz w:val="20"/>
              </w:rPr>
            </w:pPr>
            <w:r>
              <w:rPr>
                <w:sz w:val="20"/>
              </w:rPr>
              <w:t>1,020</w:t>
            </w:r>
          </w:p>
        </w:tc>
        <w:tc>
          <w:tcPr>
            <w:tcW w:w="69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3"/>
              <w:ind w:right="108"/>
              <w:jc w:val="right"/>
              <w:rPr>
                <w:sz w:val="20"/>
              </w:rPr>
            </w:pPr>
            <w:r>
              <w:rPr>
                <w:sz w:val="20"/>
              </w:rPr>
              <w:t>1,700</w:t>
            </w:r>
          </w:p>
        </w:tc>
        <w:tc>
          <w:tcPr>
            <w:tcW w:w="64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3"/>
              <w:ind w:left="86" w:right="213"/>
              <w:jc w:val="center"/>
              <w:rPr>
                <w:sz w:val="20"/>
              </w:rPr>
            </w:pPr>
            <w:r>
              <w:rPr>
                <w:sz w:val="20"/>
              </w:rPr>
              <w:t>180</w:t>
            </w:r>
          </w:p>
        </w:tc>
        <w:tc>
          <w:tcPr>
            <w:tcW w:w="77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3"/>
              <w:ind w:left="149"/>
              <w:rPr>
                <w:sz w:val="20"/>
              </w:rPr>
            </w:pPr>
            <w:r>
              <w:rPr>
                <w:sz w:val="20"/>
              </w:rPr>
              <w:t>60</w:t>
            </w:r>
          </w:p>
        </w:tc>
        <w:tc>
          <w:tcPr>
            <w:tcW w:w="79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3"/>
              <w:ind w:left="222" w:right="231"/>
              <w:jc w:val="center"/>
              <w:rPr>
                <w:sz w:val="20"/>
              </w:rPr>
            </w:pPr>
            <w:r>
              <w:rPr>
                <w:sz w:val="20"/>
              </w:rPr>
              <w:t>525</w:t>
            </w:r>
          </w:p>
        </w:tc>
        <w:tc>
          <w:tcPr>
            <w:tcW w:w="55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3"/>
              <w:ind w:left="88" w:right="175"/>
              <w:jc w:val="center"/>
              <w:rPr>
                <w:sz w:val="20"/>
              </w:rPr>
            </w:pPr>
            <w:r>
              <w:rPr>
                <w:sz w:val="20"/>
              </w:rPr>
              <w:t>1.4</w:t>
            </w:r>
          </w:p>
        </w:tc>
        <w:tc>
          <w:tcPr>
            <w:tcW w:w="61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3"/>
              <w:ind w:left="101"/>
              <w:rPr>
                <w:sz w:val="20"/>
              </w:rPr>
            </w:pPr>
            <w:r>
              <w:rPr>
                <w:sz w:val="20"/>
              </w:rPr>
              <w:t>325</w:t>
            </w:r>
          </w:p>
        </w:tc>
        <w:tc>
          <w:tcPr>
            <w:tcW w:w="67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3"/>
              <w:ind w:left="85" w:right="244"/>
              <w:jc w:val="center"/>
              <w:rPr>
                <w:sz w:val="20"/>
              </w:rPr>
            </w:pPr>
            <w:r>
              <w:rPr>
                <w:sz w:val="20"/>
              </w:rPr>
              <w:t>775</w:t>
            </w:r>
          </w:p>
        </w:tc>
        <w:tc>
          <w:tcPr>
            <w:tcW w:w="64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3"/>
              <w:ind w:left="100"/>
              <w:rPr>
                <w:sz w:val="20"/>
              </w:rPr>
            </w:pPr>
            <w:r>
              <w:rPr>
                <w:sz w:val="20"/>
              </w:rPr>
              <w:t>180</w:t>
            </w:r>
          </w:p>
        </w:tc>
        <w:tc>
          <w:tcPr>
            <w:tcW w:w="62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3"/>
              <w:ind w:left="100"/>
              <w:rPr>
                <w:sz w:val="20"/>
              </w:rPr>
            </w:pPr>
            <w:r>
              <w:rPr>
                <w:sz w:val="20"/>
              </w:rPr>
              <w:t>60</w:t>
            </w:r>
          </w:p>
        </w:tc>
      </w:tr>
      <w:tr>
        <w:trPr>
          <w:trHeight w:val="244" w:hRule="atLeast"/>
        </w:trPr>
        <w:tc>
          <w:tcPr>
            <w:tcW w:w="85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0" w:lineRule="exact" w:before="14"/>
              <w:ind w:left="122"/>
              <w:rPr>
                <w:b/>
                <w:sz w:val="20"/>
              </w:rPr>
            </w:pPr>
            <w:r>
              <w:rPr>
                <w:b/>
                <w:sz w:val="20"/>
              </w:rPr>
              <w:t>E3</w:t>
            </w:r>
          </w:p>
        </w:tc>
        <w:tc>
          <w:tcPr>
            <w:tcW w:w="67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2"/>
              <w:ind w:left="108"/>
              <w:rPr>
                <w:sz w:val="20"/>
              </w:rPr>
            </w:pPr>
            <w:r>
              <w:rPr>
                <w:sz w:val="20"/>
              </w:rPr>
              <w:t>1,200</w:t>
            </w:r>
          </w:p>
        </w:tc>
        <w:tc>
          <w:tcPr>
            <w:tcW w:w="64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2"/>
              <w:ind w:left="120"/>
              <w:rPr>
                <w:sz w:val="20"/>
              </w:rPr>
            </w:pPr>
            <w:r>
              <w:rPr>
                <w:sz w:val="20"/>
              </w:rPr>
              <w:t>1.2</w:t>
            </w:r>
          </w:p>
        </w:tc>
        <w:tc>
          <w:tcPr>
            <w:tcW w:w="78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2"/>
              <w:ind w:left="193"/>
              <w:rPr>
                <w:sz w:val="20"/>
              </w:rPr>
            </w:pPr>
            <w:r>
              <w:rPr>
                <w:sz w:val="20"/>
              </w:rPr>
              <w:t>600</w:t>
            </w:r>
          </w:p>
        </w:tc>
        <w:tc>
          <w:tcPr>
            <w:tcW w:w="69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2"/>
              <w:ind w:right="108"/>
              <w:jc w:val="right"/>
              <w:rPr>
                <w:sz w:val="20"/>
              </w:rPr>
            </w:pPr>
            <w:r>
              <w:rPr>
                <w:sz w:val="20"/>
              </w:rPr>
              <w:t>1,400</w:t>
            </w:r>
          </w:p>
        </w:tc>
        <w:tc>
          <w:tcPr>
            <w:tcW w:w="64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2"/>
              <w:ind w:left="86" w:right="213"/>
              <w:jc w:val="center"/>
              <w:rPr>
                <w:sz w:val="20"/>
              </w:rPr>
            </w:pPr>
            <w:r>
              <w:rPr>
                <w:sz w:val="20"/>
              </w:rPr>
              <w:t>110</w:t>
            </w:r>
          </w:p>
        </w:tc>
        <w:tc>
          <w:tcPr>
            <w:tcW w:w="77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2"/>
              <w:ind w:left="149"/>
              <w:rPr>
                <w:sz w:val="20"/>
              </w:rPr>
            </w:pPr>
            <w:r>
              <w:rPr>
                <w:sz w:val="20"/>
              </w:rPr>
              <w:t>35</w:t>
            </w:r>
          </w:p>
        </w:tc>
        <w:tc>
          <w:tcPr>
            <w:tcW w:w="79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2"/>
              <w:ind w:left="222" w:right="231"/>
              <w:jc w:val="center"/>
              <w:rPr>
                <w:sz w:val="20"/>
              </w:rPr>
            </w:pPr>
            <w:r>
              <w:rPr>
                <w:sz w:val="20"/>
              </w:rPr>
              <w:t>350</w:t>
            </w:r>
          </w:p>
        </w:tc>
        <w:tc>
          <w:tcPr>
            <w:tcW w:w="55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2"/>
              <w:ind w:left="88" w:right="175"/>
              <w:jc w:val="center"/>
              <w:rPr>
                <w:sz w:val="20"/>
              </w:rPr>
            </w:pPr>
            <w:r>
              <w:rPr>
                <w:sz w:val="20"/>
              </w:rPr>
              <w:t>0.9</w:t>
            </w:r>
          </w:p>
        </w:tc>
        <w:tc>
          <w:tcPr>
            <w:tcW w:w="61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2"/>
              <w:ind w:left="101"/>
              <w:rPr>
                <w:sz w:val="20"/>
              </w:rPr>
            </w:pPr>
            <w:r>
              <w:rPr>
                <w:sz w:val="20"/>
              </w:rPr>
              <w:t>150</w:t>
            </w:r>
          </w:p>
        </w:tc>
        <w:tc>
          <w:tcPr>
            <w:tcW w:w="67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2"/>
              <w:ind w:left="85" w:right="244"/>
              <w:jc w:val="center"/>
              <w:rPr>
                <w:sz w:val="20"/>
              </w:rPr>
            </w:pPr>
            <w:r>
              <w:rPr>
                <w:sz w:val="20"/>
              </w:rPr>
              <w:t>475</w:t>
            </w:r>
          </w:p>
        </w:tc>
        <w:tc>
          <w:tcPr>
            <w:tcW w:w="64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2"/>
              <w:ind w:left="100"/>
              <w:rPr>
                <w:sz w:val="20"/>
              </w:rPr>
            </w:pPr>
            <w:r>
              <w:rPr>
                <w:sz w:val="20"/>
              </w:rPr>
              <w:t>110</w:t>
            </w:r>
          </w:p>
        </w:tc>
        <w:tc>
          <w:tcPr>
            <w:tcW w:w="62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2"/>
              <w:ind w:left="100"/>
              <w:rPr>
                <w:sz w:val="20"/>
              </w:rPr>
            </w:pPr>
            <w:r>
              <w:rPr>
                <w:sz w:val="20"/>
              </w:rPr>
              <w:t>35</w:t>
            </w:r>
          </w:p>
        </w:tc>
      </w:tr>
      <w:tr>
        <w:trPr>
          <w:trHeight w:val="245" w:hRule="atLeast"/>
        </w:trPr>
        <w:tc>
          <w:tcPr>
            <w:tcW w:w="85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0" w:lineRule="exact" w:before="16"/>
              <w:ind w:left="122"/>
              <w:rPr>
                <w:b/>
                <w:sz w:val="20"/>
              </w:rPr>
            </w:pPr>
            <w:r>
              <w:rPr>
                <w:b/>
                <w:sz w:val="20"/>
              </w:rPr>
              <w:t>E4</w:t>
            </w:r>
          </w:p>
        </w:tc>
        <w:tc>
          <w:tcPr>
            <w:tcW w:w="67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3"/>
              <w:ind w:left="108"/>
              <w:rPr>
                <w:sz w:val="20"/>
              </w:rPr>
            </w:pPr>
            <w:r>
              <w:rPr>
                <w:sz w:val="20"/>
              </w:rPr>
              <w:t>1,950</w:t>
            </w:r>
          </w:p>
        </w:tc>
        <w:tc>
          <w:tcPr>
            <w:tcW w:w="64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3"/>
              <w:ind w:left="120"/>
              <w:rPr>
                <w:sz w:val="20"/>
              </w:rPr>
            </w:pPr>
            <w:r>
              <w:rPr>
                <w:sz w:val="20"/>
              </w:rPr>
              <w:t>1.7</w:t>
            </w:r>
          </w:p>
        </w:tc>
        <w:tc>
          <w:tcPr>
            <w:tcW w:w="78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3"/>
              <w:ind w:left="193"/>
              <w:rPr>
                <w:sz w:val="20"/>
              </w:rPr>
            </w:pPr>
            <w:r>
              <w:rPr>
                <w:sz w:val="20"/>
              </w:rPr>
              <w:t>1,375</w:t>
            </w:r>
          </w:p>
        </w:tc>
        <w:tc>
          <w:tcPr>
            <w:tcW w:w="69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3"/>
              <w:ind w:right="108"/>
              <w:jc w:val="right"/>
              <w:rPr>
                <w:sz w:val="20"/>
              </w:rPr>
            </w:pPr>
            <w:r>
              <w:rPr>
                <w:sz w:val="20"/>
              </w:rPr>
              <w:t>1,800</w:t>
            </w:r>
          </w:p>
        </w:tc>
        <w:tc>
          <w:tcPr>
            <w:tcW w:w="64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3"/>
              <w:ind w:left="86" w:right="213"/>
              <w:jc w:val="center"/>
              <w:rPr>
                <w:sz w:val="20"/>
              </w:rPr>
            </w:pPr>
            <w:r>
              <w:rPr>
                <w:sz w:val="20"/>
              </w:rPr>
              <w:t>175</w:t>
            </w:r>
          </w:p>
        </w:tc>
        <w:tc>
          <w:tcPr>
            <w:tcW w:w="77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3"/>
              <w:ind w:left="149"/>
              <w:rPr>
                <w:sz w:val="20"/>
              </w:rPr>
            </w:pPr>
            <w:r>
              <w:rPr>
                <w:sz w:val="20"/>
              </w:rPr>
              <w:t>55</w:t>
            </w:r>
          </w:p>
        </w:tc>
        <w:tc>
          <w:tcPr>
            <w:tcW w:w="79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3"/>
              <w:ind w:left="222" w:right="231"/>
              <w:jc w:val="center"/>
              <w:rPr>
                <w:sz w:val="20"/>
              </w:rPr>
            </w:pPr>
            <w:r>
              <w:rPr>
                <w:sz w:val="20"/>
              </w:rPr>
              <w:t>575</w:t>
            </w:r>
          </w:p>
        </w:tc>
        <w:tc>
          <w:tcPr>
            <w:tcW w:w="55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3"/>
              <w:ind w:left="88" w:right="175"/>
              <w:jc w:val="center"/>
              <w:rPr>
                <w:sz w:val="20"/>
              </w:rPr>
            </w:pPr>
            <w:r>
              <w:rPr>
                <w:sz w:val="20"/>
              </w:rPr>
              <w:t>1.4</w:t>
            </w:r>
          </w:p>
        </w:tc>
        <w:tc>
          <w:tcPr>
            <w:tcW w:w="61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3"/>
              <w:ind w:left="101"/>
              <w:rPr>
                <w:sz w:val="20"/>
              </w:rPr>
            </w:pPr>
            <w:r>
              <w:rPr>
                <w:sz w:val="20"/>
              </w:rPr>
              <w:t>325</w:t>
            </w:r>
          </w:p>
        </w:tc>
        <w:tc>
          <w:tcPr>
            <w:tcW w:w="67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3"/>
              <w:ind w:left="85" w:right="244"/>
              <w:jc w:val="center"/>
              <w:rPr>
                <w:sz w:val="20"/>
              </w:rPr>
            </w:pPr>
            <w:r>
              <w:rPr>
                <w:sz w:val="20"/>
              </w:rPr>
              <w:t>825</w:t>
            </w:r>
          </w:p>
        </w:tc>
        <w:tc>
          <w:tcPr>
            <w:tcW w:w="64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3"/>
              <w:ind w:left="100"/>
              <w:rPr>
                <w:sz w:val="20"/>
              </w:rPr>
            </w:pPr>
            <w:r>
              <w:rPr>
                <w:sz w:val="20"/>
              </w:rPr>
              <w:t>175</w:t>
            </w:r>
          </w:p>
        </w:tc>
        <w:tc>
          <w:tcPr>
            <w:tcW w:w="62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3"/>
              <w:ind w:left="100"/>
              <w:rPr>
                <w:sz w:val="20"/>
              </w:rPr>
            </w:pPr>
            <w:r>
              <w:rPr>
                <w:sz w:val="20"/>
              </w:rPr>
              <w:t>55</w:t>
            </w:r>
          </w:p>
        </w:tc>
      </w:tr>
      <w:tr>
        <w:trPr>
          <w:trHeight w:val="244" w:hRule="atLeast"/>
        </w:trPr>
        <w:tc>
          <w:tcPr>
            <w:tcW w:w="85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0" w:lineRule="exact" w:before="14"/>
              <w:ind w:left="122"/>
              <w:rPr>
                <w:b/>
                <w:sz w:val="20"/>
              </w:rPr>
            </w:pPr>
            <w:r>
              <w:rPr>
                <w:b/>
                <w:sz w:val="20"/>
              </w:rPr>
              <w:t>V1</w:t>
            </w:r>
          </w:p>
        </w:tc>
        <w:tc>
          <w:tcPr>
            <w:tcW w:w="67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2"/>
              <w:ind w:left="108"/>
              <w:rPr>
                <w:sz w:val="20"/>
              </w:rPr>
            </w:pPr>
            <w:r>
              <w:rPr>
                <w:sz w:val="20"/>
              </w:rPr>
              <w:t>900</w:t>
            </w:r>
          </w:p>
        </w:tc>
        <w:tc>
          <w:tcPr>
            <w:tcW w:w="64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2"/>
              <w:ind w:left="120"/>
              <w:rPr>
                <w:sz w:val="20"/>
              </w:rPr>
            </w:pPr>
            <w:r>
              <w:rPr>
                <w:sz w:val="20"/>
              </w:rPr>
              <w:t>1.6</w:t>
            </w:r>
          </w:p>
        </w:tc>
        <w:tc>
          <w:tcPr>
            <w:tcW w:w="78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2"/>
              <w:ind w:left="193"/>
              <w:rPr>
                <w:sz w:val="20"/>
              </w:rPr>
            </w:pPr>
            <w:r>
              <w:rPr>
                <w:sz w:val="20"/>
              </w:rPr>
              <w:t>575</w:t>
            </w:r>
          </w:p>
        </w:tc>
        <w:tc>
          <w:tcPr>
            <w:tcW w:w="69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2"/>
              <w:ind w:right="108"/>
              <w:jc w:val="right"/>
              <w:rPr>
                <w:sz w:val="20"/>
              </w:rPr>
            </w:pPr>
            <w:r>
              <w:rPr>
                <w:sz w:val="20"/>
              </w:rPr>
              <w:t>1,350</w:t>
            </w:r>
          </w:p>
        </w:tc>
        <w:tc>
          <w:tcPr>
            <w:tcW w:w="64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2"/>
              <w:ind w:left="86" w:right="213"/>
              <w:jc w:val="center"/>
              <w:rPr>
                <w:sz w:val="20"/>
              </w:rPr>
            </w:pPr>
            <w:r>
              <w:rPr>
                <w:sz w:val="20"/>
              </w:rPr>
              <w:t>180</w:t>
            </w:r>
          </w:p>
        </w:tc>
        <w:tc>
          <w:tcPr>
            <w:tcW w:w="77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2"/>
              <w:ind w:left="149"/>
              <w:rPr>
                <w:sz w:val="20"/>
              </w:rPr>
            </w:pPr>
            <w:r>
              <w:rPr>
                <w:sz w:val="20"/>
              </w:rPr>
              <w:t>60</w:t>
            </w:r>
          </w:p>
        </w:tc>
        <w:tc>
          <w:tcPr>
            <w:tcW w:w="79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2"/>
              <w:ind w:left="222" w:right="231"/>
              <w:jc w:val="center"/>
              <w:rPr>
                <w:sz w:val="20"/>
              </w:rPr>
            </w:pPr>
            <w:r>
              <w:rPr>
                <w:sz w:val="20"/>
              </w:rPr>
              <w:t>525</w:t>
            </w:r>
          </w:p>
        </w:tc>
        <w:tc>
          <w:tcPr>
            <w:tcW w:w="55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2"/>
              <w:ind w:left="88" w:right="175"/>
              <w:jc w:val="center"/>
              <w:rPr>
                <w:sz w:val="20"/>
              </w:rPr>
            </w:pPr>
            <w:r>
              <w:rPr>
                <w:sz w:val="20"/>
              </w:rPr>
              <w:t>1.4</w:t>
            </w:r>
          </w:p>
        </w:tc>
        <w:tc>
          <w:tcPr>
            <w:tcW w:w="61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2"/>
              <w:ind w:left="101"/>
              <w:rPr>
                <w:sz w:val="20"/>
              </w:rPr>
            </w:pPr>
            <w:r>
              <w:rPr>
                <w:sz w:val="20"/>
              </w:rPr>
              <w:t>325</w:t>
            </w:r>
          </w:p>
        </w:tc>
        <w:tc>
          <w:tcPr>
            <w:tcW w:w="67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2"/>
              <w:ind w:left="85" w:right="244"/>
              <w:jc w:val="center"/>
              <w:rPr>
                <w:sz w:val="20"/>
              </w:rPr>
            </w:pPr>
            <w:r>
              <w:rPr>
                <w:sz w:val="20"/>
              </w:rPr>
              <w:t>775</w:t>
            </w:r>
          </w:p>
        </w:tc>
        <w:tc>
          <w:tcPr>
            <w:tcW w:w="64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2"/>
              <w:ind w:left="100"/>
              <w:rPr>
                <w:sz w:val="20"/>
              </w:rPr>
            </w:pPr>
            <w:r>
              <w:rPr>
                <w:sz w:val="20"/>
              </w:rPr>
              <w:t>180</w:t>
            </w:r>
          </w:p>
        </w:tc>
        <w:tc>
          <w:tcPr>
            <w:tcW w:w="62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2"/>
              <w:ind w:left="100"/>
              <w:rPr>
                <w:sz w:val="20"/>
              </w:rPr>
            </w:pPr>
            <w:r>
              <w:rPr>
                <w:sz w:val="20"/>
              </w:rPr>
              <w:t>60</w:t>
            </w:r>
          </w:p>
        </w:tc>
      </w:tr>
      <w:tr>
        <w:trPr>
          <w:trHeight w:val="245" w:hRule="atLeast"/>
        </w:trPr>
        <w:tc>
          <w:tcPr>
            <w:tcW w:w="85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0" w:lineRule="exact" w:before="16"/>
              <w:ind w:left="122"/>
              <w:rPr>
                <w:b/>
                <w:sz w:val="20"/>
              </w:rPr>
            </w:pPr>
            <w:r>
              <w:rPr>
                <w:b/>
                <w:sz w:val="20"/>
              </w:rPr>
              <w:t>V2</w:t>
            </w:r>
          </w:p>
        </w:tc>
        <w:tc>
          <w:tcPr>
            <w:tcW w:w="67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3"/>
              <w:ind w:left="108"/>
              <w:rPr>
                <w:sz w:val="20"/>
              </w:rPr>
            </w:pPr>
            <w:r>
              <w:rPr>
                <w:sz w:val="20"/>
              </w:rPr>
              <w:t>975</w:t>
            </w:r>
          </w:p>
        </w:tc>
        <w:tc>
          <w:tcPr>
            <w:tcW w:w="64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3"/>
              <w:ind w:left="120"/>
              <w:rPr>
                <w:sz w:val="20"/>
              </w:rPr>
            </w:pPr>
            <w:r>
              <w:rPr>
                <w:sz w:val="20"/>
              </w:rPr>
              <w:t>1.4</w:t>
            </w:r>
          </w:p>
        </w:tc>
        <w:tc>
          <w:tcPr>
            <w:tcW w:w="78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3"/>
              <w:ind w:left="193"/>
              <w:rPr>
                <w:sz w:val="20"/>
              </w:rPr>
            </w:pPr>
            <w:r>
              <w:rPr>
                <w:sz w:val="20"/>
              </w:rPr>
              <w:t>450</w:t>
            </w:r>
          </w:p>
        </w:tc>
        <w:tc>
          <w:tcPr>
            <w:tcW w:w="69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3"/>
              <w:ind w:right="108"/>
              <w:jc w:val="right"/>
              <w:rPr>
                <w:sz w:val="20"/>
              </w:rPr>
            </w:pPr>
            <w:r>
              <w:rPr>
                <w:sz w:val="20"/>
              </w:rPr>
              <w:t>1,150</w:t>
            </w:r>
          </w:p>
        </w:tc>
        <w:tc>
          <w:tcPr>
            <w:tcW w:w="64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3"/>
              <w:ind w:left="86" w:right="213"/>
              <w:jc w:val="center"/>
              <w:rPr>
                <w:sz w:val="20"/>
              </w:rPr>
            </w:pPr>
            <w:r>
              <w:rPr>
                <w:sz w:val="20"/>
              </w:rPr>
              <w:t>135</w:t>
            </w:r>
          </w:p>
        </w:tc>
        <w:tc>
          <w:tcPr>
            <w:tcW w:w="77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3"/>
              <w:ind w:left="149"/>
              <w:rPr>
                <w:sz w:val="20"/>
              </w:rPr>
            </w:pPr>
            <w:r>
              <w:rPr>
                <w:sz w:val="20"/>
              </w:rPr>
              <w:t>45</w:t>
            </w:r>
          </w:p>
        </w:tc>
        <w:tc>
          <w:tcPr>
            <w:tcW w:w="79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3"/>
              <w:ind w:left="222" w:right="231"/>
              <w:jc w:val="center"/>
              <w:rPr>
                <w:sz w:val="20"/>
              </w:rPr>
            </w:pPr>
            <w:r>
              <w:rPr>
                <w:sz w:val="20"/>
              </w:rPr>
              <w:t>500</w:t>
            </w:r>
          </w:p>
        </w:tc>
        <w:tc>
          <w:tcPr>
            <w:tcW w:w="55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3"/>
              <w:ind w:left="88" w:right="175"/>
              <w:jc w:val="center"/>
              <w:rPr>
                <w:sz w:val="20"/>
              </w:rPr>
            </w:pPr>
            <w:r>
              <w:rPr>
                <w:sz w:val="20"/>
              </w:rPr>
              <w:t>1.2</w:t>
            </w:r>
          </w:p>
        </w:tc>
        <w:tc>
          <w:tcPr>
            <w:tcW w:w="61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3"/>
              <w:ind w:left="101"/>
              <w:rPr>
                <w:sz w:val="20"/>
              </w:rPr>
            </w:pPr>
            <w:r>
              <w:rPr>
                <w:sz w:val="20"/>
              </w:rPr>
              <w:t>250</w:t>
            </w:r>
          </w:p>
        </w:tc>
        <w:tc>
          <w:tcPr>
            <w:tcW w:w="67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3"/>
              <w:ind w:left="85" w:right="244"/>
              <w:jc w:val="center"/>
              <w:rPr>
                <w:sz w:val="20"/>
              </w:rPr>
            </w:pPr>
            <w:r>
              <w:rPr>
                <w:sz w:val="20"/>
              </w:rPr>
              <w:t>650</w:t>
            </w:r>
          </w:p>
        </w:tc>
        <w:tc>
          <w:tcPr>
            <w:tcW w:w="64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3"/>
              <w:ind w:left="100"/>
              <w:rPr>
                <w:sz w:val="20"/>
              </w:rPr>
            </w:pPr>
            <w:r>
              <w:rPr>
                <w:sz w:val="20"/>
              </w:rPr>
              <w:t>135</w:t>
            </w:r>
          </w:p>
        </w:tc>
        <w:tc>
          <w:tcPr>
            <w:tcW w:w="62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3"/>
              <w:ind w:left="100"/>
              <w:rPr>
                <w:sz w:val="20"/>
              </w:rPr>
            </w:pPr>
            <w:r>
              <w:rPr>
                <w:sz w:val="20"/>
              </w:rPr>
              <w:t>45</w:t>
            </w:r>
          </w:p>
        </w:tc>
      </w:tr>
      <w:tr>
        <w:trPr>
          <w:trHeight w:val="244" w:hRule="atLeast"/>
        </w:trPr>
        <w:tc>
          <w:tcPr>
            <w:tcW w:w="85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0" w:lineRule="exact" w:before="14"/>
              <w:ind w:left="122"/>
              <w:rPr>
                <w:b/>
                <w:sz w:val="20"/>
              </w:rPr>
            </w:pPr>
            <w:r>
              <w:rPr>
                <w:b/>
                <w:sz w:val="20"/>
              </w:rPr>
              <w:t>V3</w:t>
            </w:r>
          </w:p>
        </w:tc>
        <w:tc>
          <w:tcPr>
            <w:tcW w:w="67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2"/>
              <w:ind w:left="108"/>
              <w:rPr>
                <w:sz w:val="20"/>
              </w:rPr>
            </w:pPr>
            <w:r>
              <w:rPr>
                <w:sz w:val="20"/>
              </w:rPr>
              <w:t>975</w:t>
            </w:r>
          </w:p>
        </w:tc>
        <w:tc>
          <w:tcPr>
            <w:tcW w:w="64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2"/>
              <w:ind w:left="120"/>
              <w:rPr>
                <w:sz w:val="20"/>
              </w:rPr>
            </w:pPr>
            <w:r>
              <w:rPr>
                <w:sz w:val="20"/>
              </w:rPr>
              <w:t>1.6</w:t>
            </w:r>
          </w:p>
        </w:tc>
        <w:tc>
          <w:tcPr>
            <w:tcW w:w="78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2"/>
              <w:ind w:left="193"/>
              <w:rPr>
                <w:sz w:val="20"/>
              </w:rPr>
            </w:pPr>
            <w:r>
              <w:rPr>
                <w:sz w:val="20"/>
              </w:rPr>
              <w:t>550</w:t>
            </w:r>
          </w:p>
        </w:tc>
        <w:tc>
          <w:tcPr>
            <w:tcW w:w="69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2"/>
              <w:ind w:right="108"/>
              <w:jc w:val="right"/>
              <w:rPr>
                <w:sz w:val="20"/>
              </w:rPr>
            </w:pPr>
            <w:r>
              <w:rPr>
                <w:sz w:val="20"/>
              </w:rPr>
              <w:t>1,450</w:t>
            </w:r>
          </w:p>
        </w:tc>
        <w:tc>
          <w:tcPr>
            <w:tcW w:w="64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2"/>
              <w:ind w:left="86" w:right="213"/>
              <w:jc w:val="center"/>
              <w:rPr>
                <w:sz w:val="20"/>
              </w:rPr>
            </w:pPr>
            <w:r>
              <w:rPr>
                <w:sz w:val="20"/>
              </w:rPr>
              <w:t>175</w:t>
            </w:r>
          </w:p>
        </w:tc>
        <w:tc>
          <w:tcPr>
            <w:tcW w:w="77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2"/>
              <w:ind w:left="149"/>
              <w:rPr>
                <w:sz w:val="20"/>
              </w:rPr>
            </w:pPr>
            <w:r>
              <w:rPr>
                <w:sz w:val="20"/>
              </w:rPr>
              <w:t>55</w:t>
            </w:r>
          </w:p>
        </w:tc>
        <w:tc>
          <w:tcPr>
            <w:tcW w:w="79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2"/>
              <w:ind w:left="222" w:right="231"/>
              <w:jc w:val="center"/>
              <w:rPr>
                <w:sz w:val="20"/>
              </w:rPr>
            </w:pPr>
            <w:r>
              <w:rPr>
                <w:sz w:val="20"/>
              </w:rPr>
              <w:t>575</w:t>
            </w:r>
          </w:p>
        </w:tc>
        <w:tc>
          <w:tcPr>
            <w:tcW w:w="55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2"/>
              <w:ind w:left="88" w:right="175"/>
              <w:jc w:val="center"/>
              <w:rPr>
                <w:sz w:val="20"/>
              </w:rPr>
            </w:pPr>
            <w:r>
              <w:rPr>
                <w:sz w:val="20"/>
              </w:rPr>
              <w:t>1.4</w:t>
            </w:r>
          </w:p>
        </w:tc>
        <w:tc>
          <w:tcPr>
            <w:tcW w:w="61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2"/>
              <w:ind w:left="101"/>
              <w:rPr>
                <w:sz w:val="20"/>
              </w:rPr>
            </w:pPr>
            <w:r>
              <w:rPr>
                <w:sz w:val="20"/>
              </w:rPr>
              <w:t>325</w:t>
            </w:r>
          </w:p>
        </w:tc>
        <w:tc>
          <w:tcPr>
            <w:tcW w:w="67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2"/>
              <w:ind w:left="85" w:right="244"/>
              <w:jc w:val="center"/>
              <w:rPr>
                <w:sz w:val="20"/>
              </w:rPr>
            </w:pPr>
            <w:r>
              <w:rPr>
                <w:sz w:val="20"/>
              </w:rPr>
              <w:t>825</w:t>
            </w:r>
          </w:p>
        </w:tc>
        <w:tc>
          <w:tcPr>
            <w:tcW w:w="64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2"/>
              <w:ind w:left="100"/>
              <w:rPr>
                <w:sz w:val="20"/>
              </w:rPr>
            </w:pPr>
            <w:r>
              <w:rPr>
                <w:sz w:val="20"/>
              </w:rPr>
              <w:t>175</w:t>
            </w:r>
          </w:p>
        </w:tc>
        <w:tc>
          <w:tcPr>
            <w:tcW w:w="62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2"/>
              <w:ind w:left="100"/>
              <w:rPr>
                <w:sz w:val="20"/>
              </w:rPr>
            </w:pPr>
            <w:r>
              <w:rPr>
                <w:sz w:val="20"/>
              </w:rPr>
              <w:t>55</w:t>
            </w:r>
          </w:p>
        </w:tc>
      </w:tr>
      <w:tr>
        <w:trPr>
          <w:trHeight w:val="245" w:hRule="atLeast"/>
        </w:trPr>
        <w:tc>
          <w:tcPr>
            <w:tcW w:w="85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0" w:lineRule="exact" w:before="16"/>
              <w:ind w:left="122"/>
              <w:rPr>
                <w:b/>
                <w:sz w:val="20"/>
              </w:rPr>
            </w:pPr>
            <w:r>
              <w:rPr>
                <w:b/>
                <w:sz w:val="20"/>
              </w:rPr>
              <w:t>SL-V4</w:t>
            </w:r>
          </w:p>
        </w:tc>
        <w:tc>
          <w:tcPr>
            <w:tcW w:w="67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3"/>
              <w:ind w:left="108"/>
              <w:rPr>
                <w:sz w:val="20"/>
              </w:rPr>
            </w:pPr>
            <w:r>
              <w:rPr>
                <w:sz w:val="20"/>
              </w:rPr>
              <w:t>775</w:t>
            </w:r>
          </w:p>
        </w:tc>
        <w:tc>
          <w:tcPr>
            <w:tcW w:w="64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3"/>
              <w:ind w:left="120"/>
              <w:rPr>
                <w:sz w:val="20"/>
              </w:rPr>
            </w:pPr>
            <w:r>
              <w:rPr>
                <w:sz w:val="20"/>
              </w:rPr>
              <w:t>1.1</w:t>
            </w:r>
          </w:p>
        </w:tc>
        <w:tc>
          <w:tcPr>
            <w:tcW w:w="78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3"/>
              <w:ind w:left="193"/>
              <w:rPr>
                <w:sz w:val="20"/>
              </w:rPr>
            </w:pPr>
            <w:r>
              <w:rPr>
                <w:sz w:val="20"/>
              </w:rPr>
              <w:t>350</w:t>
            </w:r>
          </w:p>
        </w:tc>
        <w:tc>
          <w:tcPr>
            <w:tcW w:w="69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3"/>
              <w:ind w:right="108"/>
              <w:jc w:val="right"/>
              <w:rPr>
                <w:sz w:val="20"/>
              </w:rPr>
            </w:pPr>
            <w:r>
              <w:rPr>
                <w:sz w:val="20"/>
              </w:rPr>
              <w:t>1,000</w:t>
            </w:r>
          </w:p>
        </w:tc>
        <w:tc>
          <w:tcPr>
            <w:tcW w:w="64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3"/>
              <w:ind w:left="86" w:right="213"/>
              <w:jc w:val="center"/>
              <w:rPr>
                <w:sz w:val="20"/>
              </w:rPr>
            </w:pPr>
            <w:r>
              <w:rPr>
                <w:sz w:val="20"/>
              </w:rPr>
              <w:t>135</w:t>
            </w:r>
          </w:p>
        </w:tc>
        <w:tc>
          <w:tcPr>
            <w:tcW w:w="77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3"/>
              <w:ind w:left="149"/>
              <w:rPr>
                <w:sz w:val="20"/>
              </w:rPr>
            </w:pPr>
            <w:r>
              <w:rPr>
                <w:sz w:val="20"/>
              </w:rPr>
              <w:t>45</w:t>
            </w:r>
          </w:p>
        </w:tc>
        <w:tc>
          <w:tcPr>
            <w:tcW w:w="79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3"/>
              <w:ind w:left="222" w:right="231"/>
              <w:jc w:val="center"/>
              <w:rPr>
                <w:sz w:val="20"/>
              </w:rPr>
            </w:pPr>
            <w:r>
              <w:rPr>
                <w:sz w:val="20"/>
              </w:rPr>
              <w:t>775</w:t>
            </w:r>
          </w:p>
        </w:tc>
        <w:tc>
          <w:tcPr>
            <w:tcW w:w="55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3"/>
              <w:ind w:left="88" w:right="175"/>
              <w:jc w:val="center"/>
              <w:rPr>
                <w:sz w:val="20"/>
              </w:rPr>
            </w:pPr>
            <w:r>
              <w:rPr>
                <w:sz w:val="20"/>
              </w:rPr>
              <w:t>1.1</w:t>
            </w:r>
          </w:p>
        </w:tc>
        <w:tc>
          <w:tcPr>
            <w:tcW w:w="61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3"/>
              <w:ind w:left="101"/>
              <w:rPr>
                <w:sz w:val="20"/>
              </w:rPr>
            </w:pPr>
            <w:r>
              <w:rPr>
                <w:sz w:val="20"/>
              </w:rPr>
              <w:t>350</w:t>
            </w:r>
          </w:p>
        </w:tc>
        <w:tc>
          <w:tcPr>
            <w:tcW w:w="67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3"/>
              <w:ind w:left="85" w:right="93"/>
              <w:jc w:val="center"/>
              <w:rPr>
                <w:sz w:val="20"/>
              </w:rPr>
            </w:pPr>
            <w:r>
              <w:rPr>
                <w:sz w:val="20"/>
              </w:rPr>
              <w:t>1,000</w:t>
            </w:r>
          </w:p>
        </w:tc>
        <w:tc>
          <w:tcPr>
            <w:tcW w:w="64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3"/>
              <w:ind w:left="100"/>
              <w:rPr>
                <w:sz w:val="20"/>
              </w:rPr>
            </w:pPr>
            <w:r>
              <w:rPr>
                <w:sz w:val="20"/>
              </w:rPr>
              <w:t>135</w:t>
            </w:r>
          </w:p>
        </w:tc>
        <w:tc>
          <w:tcPr>
            <w:tcW w:w="62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2" w:lineRule="exact" w:before="13"/>
              <w:ind w:left="100"/>
              <w:rPr>
                <w:sz w:val="20"/>
              </w:rPr>
            </w:pPr>
            <w:r>
              <w:rPr>
                <w:sz w:val="20"/>
              </w:rPr>
              <w:t>45</w:t>
            </w:r>
          </w:p>
        </w:tc>
      </w:tr>
    </w:tbl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205"/>
        <w:ind w:left="440" w:right="257" w:firstLine="720"/>
        <w:jc w:val="both"/>
      </w:pPr>
      <w:r>
        <w:rPr/>
        <w:t>Currently, two manufacturers produce CLT in the U.S., both located in the Pacific</w:t>
      </w:r>
      <w:r>
        <w:rPr>
          <w:spacing w:val="-57"/>
        </w:rPr>
        <w:t> </w:t>
      </w:r>
      <w:r>
        <w:rPr/>
        <w:t>Northwest</w:t>
      </w:r>
      <w:r>
        <w:rPr>
          <w:spacing w:val="-3"/>
        </w:rPr>
        <w:t> </w:t>
      </w:r>
      <w:r>
        <w:rPr/>
        <w:t>with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promise</w:t>
      </w:r>
      <w:r>
        <w:rPr>
          <w:spacing w:val="-1"/>
        </w:rPr>
        <w:t> </w:t>
      </w:r>
      <w:r>
        <w:rPr/>
        <w:t>of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</w:t>
      </w:r>
      <w:r>
        <w:rPr/>
        <w:t>third</w:t>
      </w:r>
      <w:r>
        <w:rPr>
          <w:spacing w:val="-1"/>
        </w:rPr>
        <w:t> </w:t>
      </w:r>
      <w:r>
        <w:rPr/>
        <w:t>manufacturer</w:t>
      </w:r>
      <w:r>
        <w:rPr>
          <w:spacing w:val="-2"/>
        </w:rPr>
        <w:t> </w:t>
      </w:r>
      <w:r>
        <w:rPr/>
        <w:t>opening</w:t>
      </w:r>
      <w:r>
        <w:rPr>
          <w:spacing w:val="-3"/>
        </w:rPr>
        <w:t> </w:t>
      </w:r>
      <w:r>
        <w:rPr/>
        <w:t>in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southeast</w:t>
      </w:r>
      <w:r>
        <w:rPr>
          <w:spacing w:val="-2"/>
        </w:rPr>
        <w:t> </w:t>
      </w:r>
      <w:r>
        <w:rPr/>
        <w:t>in</w:t>
      </w:r>
      <w:r>
        <w:rPr>
          <w:spacing w:val="-2"/>
        </w:rPr>
        <w:t> </w:t>
      </w:r>
      <w:r>
        <w:rPr/>
        <w:t>2018</w:t>
      </w:r>
      <w:r>
        <w:rPr>
          <w:spacing w:val="-2"/>
        </w:rPr>
        <w:t> </w:t>
      </w:r>
      <w:r>
        <w:rPr/>
        <w:t>[39].</w:t>
      </w:r>
      <w:r>
        <w:rPr>
          <w:spacing w:val="-58"/>
        </w:rPr>
        <w:t> </w:t>
      </w:r>
      <w:r>
        <w:rPr/>
        <w:t>One manufacturer, DR Johnson, exclusively produces E1 graded CLT, while the second,</w:t>
      </w:r>
      <w:r>
        <w:rPr>
          <w:spacing w:val="1"/>
        </w:rPr>
        <w:t> </w:t>
      </w:r>
      <w:r>
        <w:rPr/>
        <w:t>SmartLam LLC, produces a variety of grades including, V4, a grade recently approved by</w:t>
      </w:r>
      <w:r>
        <w:rPr>
          <w:spacing w:val="-57"/>
        </w:rPr>
        <w:t> </w:t>
      </w:r>
      <w:r>
        <w:rPr/>
        <w:t>the</w:t>
      </w:r>
      <w:r>
        <w:rPr>
          <w:spacing w:val="-12"/>
        </w:rPr>
        <w:t> </w:t>
      </w:r>
      <w:r>
        <w:rPr/>
        <w:t>APA.</w:t>
      </w:r>
      <w:r>
        <w:rPr>
          <w:spacing w:val="40"/>
        </w:rPr>
        <w:t> </w:t>
      </w:r>
      <w:r>
        <w:rPr/>
        <w:t>Neither</w:t>
      </w:r>
      <w:r>
        <w:rPr>
          <w:spacing w:val="-11"/>
        </w:rPr>
        <w:t> </w:t>
      </w:r>
      <w:r>
        <w:rPr/>
        <w:t>existing</w:t>
      </w:r>
      <w:r>
        <w:rPr>
          <w:spacing w:val="-10"/>
        </w:rPr>
        <w:t> </w:t>
      </w:r>
      <w:r>
        <w:rPr/>
        <w:t>manufacturer</w:t>
      </w:r>
      <w:r>
        <w:rPr>
          <w:spacing w:val="-11"/>
        </w:rPr>
        <w:t> </w:t>
      </w:r>
      <w:r>
        <w:rPr/>
        <w:t>produces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grade</w:t>
      </w:r>
      <w:r>
        <w:rPr>
          <w:spacing w:val="-11"/>
        </w:rPr>
        <w:t> </w:t>
      </w:r>
      <w:r>
        <w:rPr/>
        <w:t>made</w:t>
      </w:r>
      <w:r>
        <w:rPr>
          <w:spacing w:val="-10"/>
        </w:rPr>
        <w:t> </w:t>
      </w:r>
      <w:r>
        <w:rPr/>
        <w:t>from</w:t>
      </w:r>
      <w:r>
        <w:rPr>
          <w:spacing w:val="-12"/>
        </w:rPr>
        <w:t> </w:t>
      </w:r>
      <w:r>
        <w:rPr/>
        <w:t>Southern</w:t>
      </w:r>
      <w:r>
        <w:rPr>
          <w:spacing w:val="-11"/>
        </w:rPr>
        <w:t> </w:t>
      </w:r>
      <w:r>
        <w:rPr/>
        <w:t>Pine,</w:t>
      </w:r>
      <w:r>
        <w:rPr>
          <w:spacing w:val="-11"/>
        </w:rPr>
        <w:t> </w:t>
      </w:r>
      <w:r>
        <w:rPr/>
        <w:t>V3.</w:t>
      </w:r>
      <w:r>
        <w:rPr>
          <w:spacing w:val="-58"/>
        </w:rPr>
        <w:t> </w:t>
      </w:r>
      <w:r>
        <w:rPr/>
        <w:t>This</w:t>
      </w:r>
      <w:r>
        <w:rPr>
          <w:spacing w:val="18"/>
        </w:rPr>
        <w:t> </w:t>
      </w:r>
      <w:r>
        <w:rPr/>
        <w:t>product</w:t>
      </w:r>
      <w:r>
        <w:rPr>
          <w:spacing w:val="19"/>
        </w:rPr>
        <w:t> </w:t>
      </w:r>
      <w:r>
        <w:rPr/>
        <w:t>is</w:t>
      </w:r>
      <w:r>
        <w:rPr>
          <w:spacing w:val="19"/>
        </w:rPr>
        <w:t> </w:t>
      </w:r>
      <w:r>
        <w:rPr/>
        <w:t>of</w:t>
      </w:r>
      <w:r>
        <w:rPr>
          <w:spacing w:val="18"/>
        </w:rPr>
        <w:t> </w:t>
      </w:r>
      <w:r>
        <w:rPr/>
        <w:t>significant</w:t>
      </w:r>
      <w:r>
        <w:rPr>
          <w:spacing w:val="18"/>
        </w:rPr>
        <w:t> </w:t>
      </w:r>
      <w:r>
        <w:rPr/>
        <w:t>interest</w:t>
      </w:r>
      <w:r>
        <w:rPr>
          <w:spacing w:val="19"/>
        </w:rPr>
        <w:t> </w:t>
      </w:r>
      <w:r>
        <w:rPr/>
        <w:t>to</w:t>
      </w:r>
      <w:r>
        <w:rPr>
          <w:spacing w:val="19"/>
        </w:rPr>
        <w:t> </w:t>
      </w:r>
      <w:r>
        <w:rPr/>
        <w:t>forestry</w:t>
      </w:r>
      <w:r>
        <w:rPr>
          <w:spacing w:val="18"/>
        </w:rPr>
        <w:t> </w:t>
      </w:r>
      <w:r>
        <w:rPr/>
        <w:t>officials</w:t>
      </w:r>
      <w:r>
        <w:rPr>
          <w:spacing w:val="18"/>
        </w:rPr>
        <w:t> </w:t>
      </w:r>
      <w:r>
        <w:rPr/>
        <w:t>in</w:t>
      </w:r>
      <w:r>
        <w:rPr>
          <w:spacing w:val="18"/>
        </w:rPr>
        <w:t> </w:t>
      </w:r>
      <w:r>
        <w:rPr/>
        <w:t>the</w:t>
      </w:r>
      <w:r>
        <w:rPr>
          <w:spacing w:val="19"/>
        </w:rPr>
        <w:t> </w:t>
      </w:r>
      <w:r>
        <w:rPr/>
        <w:t>southeast</w:t>
      </w:r>
      <w:r>
        <w:rPr>
          <w:spacing w:val="19"/>
        </w:rPr>
        <w:t> </w:t>
      </w:r>
      <w:r>
        <w:rPr/>
        <w:t>portion</w:t>
      </w:r>
      <w:r>
        <w:rPr>
          <w:spacing w:val="19"/>
        </w:rPr>
        <w:t> </w:t>
      </w:r>
      <w:r>
        <w:rPr/>
        <w:t>of</w:t>
      </w:r>
      <w:r>
        <w:rPr>
          <w:spacing w:val="17"/>
        </w:rPr>
        <w:t> </w:t>
      </w:r>
      <w:r>
        <w:rPr/>
        <w:t>the</w:t>
      </w:r>
    </w:p>
    <w:p>
      <w:pPr>
        <w:pStyle w:val="BodyText"/>
        <w:ind w:left="440"/>
        <w:jc w:val="both"/>
      </w:pPr>
      <w:r>
        <w:rPr/>
        <w:t>U.S.</w:t>
      </w:r>
      <w:r>
        <w:rPr>
          <w:spacing w:val="-1"/>
        </w:rPr>
        <w:t> </w:t>
      </w:r>
      <w:r>
        <w:rPr/>
        <w:t>due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large</w:t>
      </w:r>
      <w:r>
        <w:rPr>
          <w:spacing w:val="-1"/>
        </w:rPr>
        <w:t> </w:t>
      </w:r>
      <w:r>
        <w:rPr/>
        <w:t>volumes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the species</w:t>
      </w:r>
      <w:r>
        <w:rPr>
          <w:spacing w:val="-2"/>
        </w:rPr>
        <w:t> </w:t>
      </w:r>
      <w:r>
        <w:rPr/>
        <w:t>that</w:t>
      </w:r>
      <w:r>
        <w:rPr>
          <w:spacing w:val="-2"/>
        </w:rPr>
        <w:t> </w:t>
      </w:r>
      <w:r>
        <w:rPr/>
        <w:t>could</w:t>
      </w:r>
      <w:r>
        <w:rPr>
          <w:spacing w:val="-1"/>
        </w:rPr>
        <w:t> </w:t>
      </w:r>
      <w:r>
        <w:rPr/>
        <w:t>be</w:t>
      </w:r>
      <w:r>
        <w:rPr>
          <w:spacing w:val="-1"/>
        </w:rPr>
        <w:t> </w:t>
      </w:r>
      <w:r>
        <w:rPr/>
        <w:t>available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CLT</w:t>
      </w:r>
      <w:r>
        <w:rPr>
          <w:spacing w:val="-2"/>
        </w:rPr>
        <w:t> </w:t>
      </w:r>
      <w:r>
        <w:rPr/>
        <w:t>production.</w:t>
      </w:r>
    </w:p>
    <w:p>
      <w:pPr>
        <w:pStyle w:val="BodyText"/>
        <w:spacing w:before="10"/>
        <w:rPr>
          <w:sz w:val="37"/>
        </w:rPr>
      </w:pPr>
    </w:p>
    <w:p>
      <w:pPr>
        <w:pStyle w:val="BodyText"/>
        <w:spacing w:line="480" w:lineRule="auto"/>
        <w:ind w:left="440" w:right="257" w:firstLine="720"/>
        <w:jc w:val="both"/>
      </w:pPr>
      <w:r>
        <w:rPr/>
        <w:t>Similar to sawn lumber, designers and builders may elect to use different CLT</w:t>
      </w:r>
      <w:r>
        <w:rPr>
          <w:spacing w:val="1"/>
        </w:rPr>
        <w:t> </w:t>
      </w:r>
      <w:r>
        <w:rPr/>
        <w:t>grades based on availability of wood species for the product in addition to design and</w:t>
      </w:r>
      <w:r>
        <w:rPr>
          <w:spacing w:val="1"/>
        </w:rPr>
        <w:t> </w:t>
      </w:r>
      <w:r>
        <w:rPr/>
        <w:t>strength</w:t>
      </w:r>
      <w:r>
        <w:rPr>
          <w:spacing w:val="54"/>
        </w:rPr>
        <w:t> </w:t>
      </w:r>
      <w:r>
        <w:rPr/>
        <w:t>requirements.</w:t>
      </w:r>
      <w:r>
        <w:rPr>
          <w:spacing w:val="50"/>
        </w:rPr>
        <w:t> </w:t>
      </w:r>
      <w:r>
        <w:rPr/>
        <w:t>For</w:t>
      </w:r>
      <w:r>
        <w:rPr>
          <w:spacing w:val="55"/>
        </w:rPr>
        <w:t> </w:t>
      </w:r>
      <w:r>
        <w:rPr/>
        <w:t>example,</w:t>
      </w:r>
      <w:r>
        <w:rPr>
          <w:spacing w:val="55"/>
        </w:rPr>
        <w:t> </w:t>
      </w:r>
      <w:r>
        <w:rPr/>
        <w:t>if</w:t>
      </w:r>
      <w:r>
        <w:rPr>
          <w:spacing w:val="54"/>
        </w:rPr>
        <w:t> </w:t>
      </w:r>
      <w:r>
        <w:rPr/>
        <w:t>grades</w:t>
      </w:r>
      <w:r>
        <w:rPr>
          <w:spacing w:val="55"/>
        </w:rPr>
        <w:t> </w:t>
      </w:r>
      <w:r>
        <w:rPr/>
        <w:t>of</w:t>
      </w:r>
      <w:r>
        <w:rPr>
          <w:spacing w:val="54"/>
        </w:rPr>
        <w:t> </w:t>
      </w:r>
      <w:r>
        <w:rPr/>
        <w:t>different</w:t>
      </w:r>
      <w:r>
        <w:rPr>
          <w:spacing w:val="55"/>
        </w:rPr>
        <w:t> </w:t>
      </w:r>
      <w:r>
        <w:rPr/>
        <w:t>species</w:t>
      </w:r>
      <w:r>
        <w:rPr>
          <w:spacing w:val="54"/>
        </w:rPr>
        <w:t> </w:t>
      </w:r>
      <w:r>
        <w:rPr/>
        <w:t>have</w:t>
      </w:r>
      <w:r>
        <w:rPr>
          <w:spacing w:val="55"/>
        </w:rPr>
        <w:t> </w:t>
      </w:r>
      <w:r>
        <w:rPr/>
        <w:t>comparable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40" w:right="257"/>
        <w:jc w:val="both"/>
      </w:pPr>
      <w:r>
        <w:rPr/>
        <w:t>strength</w:t>
      </w:r>
      <w:r>
        <w:rPr>
          <w:spacing w:val="-10"/>
        </w:rPr>
        <w:t> </w:t>
      </w:r>
      <w:r>
        <w:rPr/>
        <w:t>values</w:t>
      </w:r>
      <w:r>
        <w:rPr>
          <w:spacing w:val="-10"/>
        </w:rPr>
        <w:t> </w:t>
      </w:r>
      <w:r>
        <w:rPr/>
        <w:t>such</w:t>
      </w:r>
      <w:r>
        <w:rPr>
          <w:spacing w:val="-11"/>
        </w:rPr>
        <w:t> </w:t>
      </w:r>
      <w:r>
        <w:rPr/>
        <w:t>as</w:t>
      </w:r>
      <w:r>
        <w:rPr>
          <w:spacing w:val="-12"/>
        </w:rPr>
        <w:t> </w:t>
      </w:r>
      <w:r>
        <w:rPr/>
        <w:t>E1</w:t>
      </w:r>
      <w:r>
        <w:rPr>
          <w:spacing w:val="-10"/>
        </w:rPr>
        <w:t> </w:t>
      </w:r>
      <w:r>
        <w:rPr/>
        <w:t>and</w:t>
      </w:r>
      <w:r>
        <w:rPr>
          <w:spacing w:val="-10"/>
        </w:rPr>
        <w:t> </w:t>
      </w:r>
      <w:r>
        <w:rPr/>
        <w:t>E4,</w:t>
      </w:r>
      <w:r>
        <w:rPr>
          <w:spacing w:val="-11"/>
        </w:rPr>
        <w:t> </w:t>
      </w:r>
      <w:r>
        <w:rPr/>
        <w:t>and</w:t>
      </w:r>
      <w:r>
        <w:rPr>
          <w:spacing w:val="-10"/>
        </w:rPr>
        <w:t> </w:t>
      </w:r>
      <w:r>
        <w:rPr/>
        <w:t>are</w:t>
      </w:r>
      <w:r>
        <w:rPr>
          <w:spacing w:val="-11"/>
        </w:rPr>
        <w:t> </w:t>
      </w:r>
      <w:r>
        <w:rPr/>
        <w:t>both</w:t>
      </w:r>
      <w:r>
        <w:rPr>
          <w:spacing w:val="-11"/>
        </w:rPr>
        <w:t> </w:t>
      </w:r>
      <w:r>
        <w:rPr/>
        <w:t>readily</w:t>
      </w:r>
      <w:r>
        <w:rPr>
          <w:spacing w:val="-11"/>
        </w:rPr>
        <w:t> </w:t>
      </w:r>
      <w:r>
        <w:rPr/>
        <w:t>available,</w:t>
      </w:r>
      <w:r>
        <w:rPr>
          <w:spacing w:val="-11"/>
        </w:rPr>
        <w:t> </w:t>
      </w:r>
      <w:r>
        <w:rPr/>
        <w:t>it</w:t>
      </w:r>
      <w:r>
        <w:rPr>
          <w:spacing w:val="-11"/>
        </w:rPr>
        <w:t> </w:t>
      </w:r>
      <w:r>
        <w:rPr/>
        <w:t>is</w:t>
      </w:r>
      <w:r>
        <w:rPr>
          <w:spacing w:val="-11"/>
        </w:rPr>
        <w:t> </w:t>
      </w:r>
      <w:r>
        <w:rPr/>
        <w:t>likely</w:t>
      </w:r>
      <w:r>
        <w:rPr>
          <w:spacing w:val="-10"/>
        </w:rPr>
        <w:t> </w:t>
      </w:r>
      <w:r>
        <w:rPr/>
        <w:t>that</w:t>
      </w:r>
      <w:r>
        <w:rPr>
          <w:spacing w:val="-9"/>
        </w:rPr>
        <w:t> </w:t>
      </w:r>
      <w:r>
        <w:rPr/>
        <w:t>whichever</w:t>
      </w:r>
      <w:r>
        <w:rPr>
          <w:spacing w:val="-58"/>
        </w:rPr>
        <w:t> </w:t>
      </w:r>
      <w:r>
        <w:rPr/>
        <w:t>grade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made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local</w:t>
      </w:r>
      <w:r>
        <w:rPr>
          <w:spacing w:val="1"/>
        </w:rPr>
        <w:t> </w:t>
      </w:r>
      <w:r>
        <w:rPr/>
        <w:t>wood</w:t>
      </w:r>
      <w:r>
        <w:rPr>
          <w:spacing w:val="1"/>
        </w:rPr>
        <w:t> </w:t>
      </w:r>
      <w:r>
        <w:rPr/>
        <w:t>species</w:t>
      </w:r>
      <w:r>
        <w:rPr>
          <w:spacing w:val="1"/>
        </w:rPr>
        <w:t> </w:t>
      </w:r>
      <w:r>
        <w:rPr/>
        <w:t>would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due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environmental</w:t>
      </w:r>
      <w:r>
        <w:rPr>
          <w:spacing w:val="1"/>
        </w:rPr>
        <w:t> </w:t>
      </w:r>
      <w:r>
        <w:rPr/>
        <w:t>transportation</w:t>
      </w:r>
      <w:r>
        <w:rPr>
          <w:spacing w:val="1"/>
        </w:rPr>
        <w:t> </w:t>
      </w:r>
      <w:r>
        <w:rPr/>
        <w:t>costs</w:t>
      </w:r>
      <w:r>
        <w:rPr>
          <w:spacing w:val="1"/>
        </w:rPr>
        <w:t> </w:t>
      </w:r>
      <w:r>
        <w:rPr/>
        <w:t>associated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shipping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heavy</w:t>
      </w:r>
      <w:r>
        <w:rPr>
          <w:spacing w:val="1"/>
        </w:rPr>
        <w:t> </w:t>
      </w:r>
      <w:r>
        <w:rPr/>
        <w:t>panels</w:t>
      </w:r>
      <w:r>
        <w:rPr>
          <w:spacing w:val="1"/>
        </w:rPr>
        <w:t> </w:t>
      </w:r>
      <w:r>
        <w:rPr/>
        <w:t>long</w:t>
      </w:r>
      <w:r>
        <w:rPr>
          <w:spacing w:val="1"/>
        </w:rPr>
        <w:t> </w:t>
      </w:r>
      <w:r>
        <w:rPr/>
        <w:t>distances.</w:t>
      </w:r>
    </w:p>
    <w:p>
      <w:pPr>
        <w:spacing w:before="161"/>
        <w:ind w:left="440" w:right="0" w:firstLine="0"/>
        <w:jc w:val="both"/>
        <w:rPr>
          <w:i/>
          <w:sz w:val="24"/>
        </w:rPr>
      </w:pPr>
      <w:bookmarkStart w:name="2.1.3. The Manufacturing Process of CLT" w:id="40"/>
      <w:bookmarkEnd w:id="40"/>
      <w:r>
        <w:rPr/>
      </w:r>
      <w:r>
        <w:rPr>
          <w:i/>
          <w:sz w:val="24"/>
        </w:rPr>
        <w:t>2.1.3.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Manufacturing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Process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CLT</w:t>
      </w:r>
    </w:p>
    <w:p>
      <w:pPr>
        <w:pStyle w:val="BodyText"/>
        <w:spacing w:before="7"/>
        <w:rPr>
          <w:i/>
          <w:sz w:val="22"/>
        </w:rPr>
      </w:pPr>
    </w:p>
    <w:p>
      <w:pPr>
        <w:pStyle w:val="BodyText"/>
        <w:spacing w:line="480" w:lineRule="auto"/>
        <w:ind w:left="439" w:right="256" w:firstLine="720"/>
        <w:jc w:val="both"/>
      </w:pPr>
      <w:r>
        <w:rPr/>
        <w:t>In manufacturing, the individual boards used as laminations are finger-jointed</w:t>
      </w:r>
      <w:r>
        <w:rPr>
          <w:spacing w:val="1"/>
        </w:rPr>
        <w:t> </w:t>
      </w:r>
      <w:r>
        <w:rPr/>
        <w:t>together</w:t>
      </w:r>
      <w:r>
        <w:rPr>
          <w:spacing w:val="-8"/>
        </w:rPr>
        <w:t> </w:t>
      </w:r>
      <w:r>
        <w:rPr/>
        <w:t>lengthwise</w:t>
      </w:r>
      <w:r>
        <w:rPr>
          <w:spacing w:val="-7"/>
        </w:rPr>
        <w:t> </w:t>
      </w:r>
      <w:r>
        <w:rPr/>
        <w:t>at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ends</w:t>
      </w:r>
      <w:r>
        <w:rPr>
          <w:spacing w:val="-8"/>
        </w:rPr>
        <w:t> </w:t>
      </w:r>
      <w:r>
        <w:rPr/>
        <w:t>with</w:t>
      </w:r>
      <w:r>
        <w:rPr>
          <w:spacing w:val="-9"/>
        </w:rPr>
        <w:t> </w:t>
      </w:r>
      <w:r>
        <w:rPr/>
        <w:t>structural</w:t>
      </w:r>
      <w:r>
        <w:rPr>
          <w:spacing w:val="-8"/>
        </w:rPr>
        <w:t> </w:t>
      </w:r>
      <w:r>
        <w:rPr/>
        <w:t>adhesive</w:t>
      </w:r>
      <w:r>
        <w:rPr>
          <w:spacing w:val="-8"/>
        </w:rPr>
        <w:t> </w:t>
      </w:r>
      <w:r>
        <w:rPr/>
        <w:t>to</w:t>
      </w:r>
      <w:r>
        <w:rPr>
          <w:spacing w:val="-7"/>
        </w:rPr>
        <w:t> </w:t>
      </w:r>
      <w:r>
        <w:rPr/>
        <w:t>obtain</w:t>
      </w:r>
      <w:r>
        <w:rPr>
          <w:spacing w:val="-8"/>
        </w:rPr>
        <w:t> </w:t>
      </w:r>
      <w:r>
        <w:rPr/>
        <w:t>greater</w:t>
      </w:r>
      <w:r>
        <w:rPr>
          <w:spacing w:val="-7"/>
        </w:rPr>
        <w:t> </w:t>
      </w:r>
      <w:r>
        <w:rPr/>
        <w:t>lengths,</w:t>
      </w:r>
      <w:r>
        <w:rPr>
          <w:spacing w:val="-8"/>
        </w:rPr>
        <w:t> </w:t>
      </w:r>
      <w:r>
        <w:rPr/>
        <w:t>as</w:t>
      </w:r>
      <w:r>
        <w:rPr>
          <w:spacing w:val="-7"/>
        </w:rPr>
        <w:t> </w:t>
      </w:r>
      <w:r>
        <w:rPr/>
        <w:t>shown</w:t>
      </w:r>
      <w:r>
        <w:rPr>
          <w:spacing w:val="-58"/>
        </w:rPr>
        <w:t> </w:t>
      </w:r>
      <w:r>
        <w:rPr/>
        <w:t>in </w:t>
      </w:r>
      <w:hyperlink w:history="true" w:anchor="_bookmark4">
        <w:r>
          <w:rPr/>
          <w:t>Figure 2-5</w:t>
        </w:r>
      </w:hyperlink>
      <w:r>
        <w:rPr/>
        <w:t>.</w:t>
      </w:r>
      <w:r>
        <w:rPr>
          <w:spacing w:val="1"/>
        </w:rPr>
        <w:t> </w:t>
      </w:r>
      <w:r>
        <w:rPr/>
        <w:t>The widths and lengths of the boards in the layers can vary.</w:t>
      </w:r>
      <w:r>
        <w:rPr>
          <w:spacing w:val="1"/>
        </w:rPr>
        <w:t> </w:t>
      </w:r>
      <w:r>
        <w:rPr/>
        <w:t>The lumber</w:t>
      </w:r>
      <w:r>
        <w:rPr>
          <w:spacing w:val="1"/>
        </w:rPr>
        <w:t> </w:t>
      </w:r>
      <w:r>
        <w:rPr/>
        <w:t>used to produce CLT is individually graded and kiln dried.</w:t>
      </w:r>
      <w:r>
        <w:rPr>
          <w:spacing w:val="1"/>
        </w:rPr>
        <w:t> </w:t>
      </w:r>
      <w:r>
        <w:rPr/>
        <w:t>Typically, manufacturers use</w:t>
      </w:r>
      <w:r>
        <w:rPr>
          <w:spacing w:val="1"/>
        </w:rPr>
        <w:t> </w:t>
      </w:r>
      <w:r>
        <w:rPr/>
        <w:t>higher quality wood for the face layers and corresponding alternating layers, which align</w:t>
      </w:r>
      <w:r>
        <w:rPr>
          <w:spacing w:val="1"/>
        </w:rPr>
        <w:t> </w:t>
      </w:r>
      <w:r>
        <w:rPr/>
        <w:t>the grain parallel to the primary load direction.</w:t>
      </w:r>
      <w:r>
        <w:rPr>
          <w:spacing w:val="1"/>
        </w:rPr>
        <w:t> </w:t>
      </w:r>
      <w:r>
        <w:rPr/>
        <w:t>In essence, CLT is a much larger scale</w:t>
      </w:r>
      <w:r>
        <w:rPr>
          <w:spacing w:val="1"/>
        </w:rPr>
        <w:t> </w:t>
      </w:r>
      <w:r>
        <w:rPr>
          <w:spacing w:val="-1"/>
        </w:rPr>
        <w:t>version</w:t>
      </w:r>
      <w:r>
        <w:rPr>
          <w:spacing w:val="-15"/>
        </w:rPr>
        <w:t> </w:t>
      </w:r>
      <w:r>
        <w:rPr>
          <w:spacing w:val="-1"/>
        </w:rPr>
        <w:t>of</w:t>
      </w:r>
      <w:r>
        <w:rPr>
          <w:spacing w:val="-16"/>
        </w:rPr>
        <w:t> </w:t>
      </w:r>
      <w:r>
        <w:rPr>
          <w:spacing w:val="-1"/>
        </w:rPr>
        <w:t>plywood.</w:t>
      </w:r>
      <w:r>
        <w:rPr>
          <w:spacing w:val="31"/>
        </w:rPr>
        <w:t> </w:t>
      </w:r>
      <w:r>
        <w:rPr/>
        <w:t>Lesser</w:t>
      </w:r>
      <w:r>
        <w:rPr>
          <w:spacing w:val="-13"/>
        </w:rPr>
        <w:t> </w:t>
      </w:r>
      <w:r>
        <w:rPr/>
        <w:t>quality,</w:t>
      </w:r>
      <w:r>
        <w:rPr>
          <w:spacing w:val="-15"/>
        </w:rPr>
        <w:t> </w:t>
      </w:r>
      <w:r>
        <w:rPr/>
        <w:t>or</w:t>
      </w:r>
      <w:r>
        <w:rPr>
          <w:spacing w:val="-14"/>
        </w:rPr>
        <w:t> </w:t>
      </w:r>
      <w:r>
        <w:rPr/>
        <w:t>weaker,</w:t>
      </w:r>
      <w:r>
        <w:rPr>
          <w:spacing w:val="-15"/>
        </w:rPr>
        <w:t> </w:t>
      </w:r>
      <w:r>
        <w:rPr/>
        <w:t>wood</w:t>
      </w:r>
      <w:r>
        <w:rPr>
          <w:spacing w:val="-14"/>
        </w:rPr>
        <w:t> </w:t>
      </w:r>
      <w:r>
        <w:rPr/>
        <w:t>can</w:t>
      </w:r>
      <w:r>
        <w:rPr>
          <w:spacing w:val="-15"/>
        </w:rPr>
        <w:t> </w:t>
      </w:r>
      <w:r>
        <w:rPr/>
        <w:t>be</w:t>
      </w:r>
      <w:r>
        <w:rPr>
          <w:spacing w:val="-15"/>
        </w:rPr>
        <w:t> </w:t>
      </w:r>
      <w:r>
        <w:rPr/>
        <w:t>used</w:t>
      </w:r>
      <w:r>
        <w:rPr>
          <w:spacing w:val="-15"/>
        </w:rPr>
        <w:t> </w:t>
      </w:r>
      <w:r>
        <w:rPr/>
        <w:t>in</w:t>
      </w:r>
      <w:r>
        <w:rPr>
          <w:spacing w:val="-14"/>
        </w:rPr>
        <w:t> </w:t>
      </w:r>
      <w:r>
        <w:rPr/>
        <w:t>the</w:t>
      </w:r>
      <w:r>
        <w:rPr>
          <w:spacing w:val="-15"/>
        </w:rPr>
        <w:t> </w:t>
      </w:r>
      <w:r>
        <w:rPr/>
        <w:t>transverse</w:t>
      </w:r>
      <w:r>
        <w:rPr>
          <w:spacing w:val="-15"/>
        </w:rPr>
        <w:t> </w:t>
      </w:r>
      <w:r>
        <w:rPr/>
        <w:t>direction</w:t>
      </w:r>
      <w:r>
        <w:rPr>
          <w:spacing w:val="-58"/>
        </w:rPr>
        <w:t> </w:t>
      </w:r>
      <w:r>
        <w:rPr/>
        <w:t>because of the overall performance of the layered product still achieves the desired</w:t>
      </w:r>
      <w:r>
        <w:rPr>
          <w:spacing w:val="1"/>
        </w:rPr>
        <w:t> </w:t>
      </w:r>
      <w:r>
        <w:rPr/>
        <w:t>specifications</w:t>
      </w:r>
      <w:r>
        <w:rPr>
          <w:spacing w:val="-1"/>
        </w:rPr>
        <w:t> </w:t>
      </w:r>
      <w:r>
        <w:rPr/>
        <w:t>[33].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 w:before="1"/>
        <w:ind w:left="439" w:right="257" w:firstLine="720"/>
        <w:jc w:val="both"/>
      </w:pPr>
      <w:r>
        <w:rPr/>
        <w:t>Laminas are laid out alongside similarly graded boards with contact on the narrow</w:t>
      </w:r>
      <w:r>
        <w:rPr>
          <w:spacing w:val="-57"/>
        </w:rPr>
        <w:t> </w:t>
      </w:r>
      <w:r>
        <w:rPr/>
        <w:t>edges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pressed</w:t>
      </w:r>
      <w:r>
        <w:rPr>
          <w:spacing w:val="1"/>
        </w:rPr>
        <w:t> </w:t>
      </w:r>
      <w:r>
        <w:rPr/>
        <w:t>together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form</w:t>
      </w:r>
      <w:r>
        <w:rPr>
          <w:spacing w:val="1"/>
        </w:rPr>
        <w:t> </w:t>
      </w:r>
      <w:r>
        <w:rPr/>
        <w:t>layers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laid</w:t>
      </w:r>
      <w:r>
        <w:rPr>
          <w:spacing w:val="1"/>
        </w:rPr>
        <w:t> </w:t>
      </w:r>
      <w:r>
        <w:rPr/>
        <w:t>planks.</w:t>
      </w:r>
      <w:r>
        <w:rPr>
          <w:spacing w:val="1"/>
        </w:rPr>
        <w:t> </w:t>
      </w:r>
      <w:r>
        <w:rPr/>
        <w:t>Unlike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European</w:t>
      </w:r>
      <w:r>
        <w:rPr>
          <w:spacing w:val="1"/>
        </w:rPr>
        <w:t> </w:t>
      </w:r>
      <w:r>
        <w:rPr/>
        <w:t>manufacturers, most North American manufacturers do not add adhesive on the narrow</w:t>
      </w:r>
      <w:r>
        <w:rPr>
          <w:spacing w:val="1"/>
        </w:rPr>
        <w:t> </w:t>
      </w:r>
      <w:r>
        <w:rPr/>
        <w:t>faces.</w:t>
      </w:r>
      <w:r>
        <w:rPr>
          <w:spacing w:val="44"/>
        </w:rPr>
        <w:t> </w:t>
      </w:r>
      <w:r>
        <w:rPr/>
        <w:t>A</w:t>
      </w:r>
      <w:r>
        <w:rPr>
          <w:spacing w:val="-9"/>
        </w:rPr>
        <w:t> </w:t>
      </w:r>
      <w:r>
        <w:rPr/>
        <w:t>layer</w:t>
      </w:r>
      <w:r>
        <w:rPr>
          <w:spacing w:val="-7"/>
        </w:rPr>
        <w:t> </w:t>
      </w:r>
      <w:r>
        <w:rPr/>
        <w:t>of</w:t>
      </w:r>
      <w:r>
        <w:rPr>
          <w:spacing w:val="-9"/>
        </w:rPr>
        <w:t> </w:t>
      </w:r>
      <w:r>
        <w:rPr/>
        <w:t>adhesive</w:t>
      </w:r>
      <w:r>
        <w:rPr>
          <w:spacing w:val="-7"/>
        </w:rPr>
        <w:t> </w:t>
      </w:r>
      <w:r>
        <w:rPr/>
        <w:t>then</w:t>
      </w:r>
      <w:r>
        <w:rPr>
          <w:spacing w:val="-9"/>
        </w:rPr>
        <w:t> </w:t>
      </w:r>
      <w:r>
        <w:rPr/>
        <w:t>coats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top</w:t>
      </w:r>
      <w:r>
        <w:rPr>
          <w:spacing w:val="-8"/>
        </w:rPr>
        <w:t> </w:t>
      </w:r>
      <w:r>
        <w:rPr/>
        <w:t>surface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laid</w:t>
      </w:r>
      <w:r>
        <w:rPr>
          <w:spacing w:val="-9"/>
        </w:rPr>
        <w:t> </w:t>
      </w:r>
      <w:r>
        <w:rPr/>
        <w:t>planks</w:t>
      </w:r>
      <w:r>
        <w:rPr>
          <w:spacing w:val="-8"/>
        </w:rPr>
        <w:t> </w:t>
      </w:r>
      <w:r>
        <w:rPr/>
        <w:t>before</w:t>
      </w:r>
      <w:r>
        <w:rPr>
          <w:spacing w:val="-7"/>
        </w:rPr>
        <w:t> </w:t>
      </w:r>
      <w:r>
        <w:rPr/>
        <w:t>another</w:t>
      </w:r>
      <w:r>
        <w:rPr>
          <w:spacing w:val="-8"/>
        </w:rPr>
        <w:t> </w:t>
      </w:r>
      <w:r>
        <w:rPr/>
        <w:t>layer</w:t>
      </w:r>
      <w:r>
        <w:rPr>
          <w:spacing w:val="-57"/>
        </w:rPr>
        <w:t> </w:t>
      </w:r>
      <w:r>
        <w:rPr/>
        <w:t>of planks is stacked on top with the grain direction orthogonally oriented.</w:t>
      </w:r>
      <w:r>
        <w:rPr>
          <w:spacing w:val="1"/>
        </w:rPr>
        <w:t> </w:t>
      </w:r>
      <w:r>
        <w:rPr/>
        <w:t>The number of</w:t>
      </w:r>
      <w:r>
        <w:rPr>
          <w:spacing w:val="-57"/>
        </w:rPr>
        <w:t> </w:t>
      </w:r>
      <w:r>
        <w:rPr/>
        <w:t>layers stacked is dependent on the designed layup.</w:t>
      </w:r>
      <w:r>
        <w:rPr>
          <w:spacing w:val="1"/>
        </w:rPr>
        <w:t> </w:t>
      </w:r>
      <w:r>
        <w:rPr/>
        <w:t>Generally, as each layer is stacked on</w:t>
      </w:r>
      <w:r>
        <w:rPr>
          <w:spacing w:val="-57"/>
        </w:rPr>
        <w:t> </w:t>
      </w:r>
      <w:r>
        <w:rPr/>
        <w:t>top of the base layer(s), the panel is then pressed, often under heat and with high pressure</w:t>
      </w:r>
      <w:r>
        <w:rPr>
          <w:spacing w:val="1"/>
        </w:rPr>
        <w:t> </w:t>
      </w:r>
      <w:r>
        <w:rPr/>
        <w:t>to</w:t>
      </w:r>
      <w:r>
        <w:rPr>
          <w:spacing w:val="2"/>
        </w:rPr>
        <w:t> </w:t>
      </w:r>
      <w:r>
        <w:rPr/>
        <w:t>form one</w:t>
      </w:r>
      <w:r>
        <w:rPr>
          <w:spacing w:val="4"/>
        </w:rPr>
        <w:t> </w:t>
      </w:r>
      <w:r>
        <w:rPr/>
        <w:t>solid,</w:t>
      </w:r>
      <w:r>
        <w:rPr>
          <w:spacing w:val="1"/>
        </w:rPr>
        <w:t> </w:t>
      </w:r>
      <w:r>
        <w:rPr/>
        <w:t>layered</w:t>
      </w:r>
      <w:r>
        <w:rPr>
          <w:spacing w:val="2"/>
        </w:rPr>
        <w:t> </w:t>
      </w:r>
      <w:r>
        <w:rPr/>
        <w:t>panel</w:t>
      </w:r>
      <w:r>
        <w:rPr>
          <w:spacing w:val="3"/>
        </w:rPr>
        <w:t> </w:t>
      </w:r>
      <w:r>
        <w:rPr/>
        <w:t>of</w:t>
      </w:r>
      <w:r>
        <w:rPr>
          <w:spacing w:val="1"/>
        </w:rPr>
        <w:t> </w:t>
      </w:r>
      <w:r>
        <w:rPr/>
        <w:t>desired</w:t>
      </w:r>
      <w:r>
        <w:rPr>
          <w:spacing w:val="1"/>
        </w:rPr>
        <w:t> </w:t>
      </w:r>
      <w:r>
        <w:rPr/>
        <w:t>specifications.</w:t>
      </w:r>
      <w:r>
        <w:rPr>
          <w:spacing w:val="6"/>
        </w:rPr>
        <w:t> </w:t>
      </w:r>
      <w:r>
        <w:rPr/>
        <w:t>Alternatively,</w:t>
      </w:r>
      <w:r>
        <w:rPr>
          <w:spacing w:val="1"/>
        </w:rPr>
        <w:t> </w:t>
      </w:r>
      <w:r>
        <w:rPr/>
        <w:t>all</w:t>
      </w:r>
      <w:r>
        <w:rPr>
          <w:spacing w:val="1"/>
        </w:rPr>
        <w:t> </w:t>
      </w:r>
      <w:r>
        <w:rPr/>
        <w:t>the</w:t>
      </w:r>
      <w:r>
        <w:rPr>
          <w:spacing w:val="2"/>
        </w:rPr>
        <w:t> </w:t>
      </w:r>
      <w:r>
        <w:rPr/>
        <w:t>plies</w:t>
      </w:r>
      <w:r>
        <w:rPr>
          <w:spacing w:val="1"/>
        </w:rPr>
        <w:t> </w:t>
      </w:r>
      <w:r>
        <w:rPr/>
        <w:t>may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tabs>
          <w:tab w:pos="6524" w:val="left" w:leader="none"/>
        </w:tabs>
        <w:spacing w:line="480" w:lineRule="auto" w:before="78"/>
        <w:ind w:left="440" w:right="257"/>
      </w:pPr>
      <w:r>
        <w:rPr/>
        <w:t>be</w:t>
      </w:r>
      <w:r>
        <w:rPr>
          <w:spacing w:val="44"/>
        </w:rPr>
        <w:t> </w:t>
      </w:r>
      <w:r>
        <w:rPr/>
        <w:t>stacked</w:t>
      </w:r>
      <w:r>
        <w:rPr>
          <w:spacing w:val="43"/>
        </w:rPr>
        <w:t> </w:t>
      </w:r>
      <w:r>
        <w:rPr/>
        <w:t>with</w:t>
      </w:r>
      <w:r>
        <w:rPr>
          <w:spacing w:val="44"/>
        </w:rPr>
        <w:t> </w:t>
      </w:r>
      <w:r>
        <w:rPr/>
        <w:t>adhesive</w:t>
      </w:r>
      <w:r>
        <w:rPr>
          <w:spacing w:val="44"/>
        </w:rPr>
        <w:t> </w:t>
      </w:r>
      <w:r>
        <w:rPr/>
        <w:t>between</w:t>
      </w:r>
      <w:r>
        <w:rPr>
          <w:spacing w:val="43"/>
        </w:rPr>
        <w:t> </w:t>
      </w:r>
      <w:r>
        <w:rPr/>
        <w:t>them</w:t>
      </w:r>
      <w:r>
        <w:rPr>
          <w:spacing w:val="42"/>
        </w:rPr>
        <w:t> </w:t>
      </w:r>
      <w:r>
        <w:rPr/>
        <w:t>and</w:t>
      </w:r>
      <w:r>
        <w:rPr>
          <w:spacing w:val="44"/>
        </w:rPr>
        <w:t> </w:t>
      </w:r>
      <w:r>
        <w:rPr/>
        <w:t>then</w:t>
      </w:r>
      <w:r>
        <w:rPr>
          <w:spacing w:val="44"/>
        </w:rPr>
        <w:t> </w:t>
      </w:r>
      <w:r>
        <w:rPr/>
        <w:t>pressed.</w:t>
        <w:tab/>
        <w:t>The</w:t>
      </w:r>
      <w:r>
        <w:rPr>
          <w:spacing w:val="44"/>
        </w:rPr>
        <w:t> </w:t>
      </w:r>
      <w:r>
        <w:rPr/>
        <w:t>details</w:t>
      </w:r>
      <w:r>
        <w:rPr>
          <w:spacing w:val="43"/>
        </w:rPr>
        <w:t> </w:t>
      </w:r>
      <w:r>
        <w:rPr/>
        <w:t>of</w:t>
      </w:r>
      <w:r>
        <w:rPr>
          <w:spacing w:val="43"/>
        </w:rPr>
        <w:t> </w:t>
      </w:r>
      <w:r>
        <w:rPr/>
        <w:t>production</w:t>
      </w:r>
      <w:r>
        <w:rPr>
          <w:spacing w:val="-57"/>
        </w:rPr>
        <w:t> </w:t>
      </w:r>
      <w:r>
        <w:rPr/>
        <w:t>methods may</w:t>
      </w:r>
      <w:r>
        <w:rPr>
          <w:spacing w:val="-1"/>
        </w:rPr>
        <w:t> </w:t>
      </w:r>
      <w:r>
        <w:rPr/>
        <w:t>differ</w:t>
      </w:r>
      <w:r>
        <w:rPr>
          <w:spacing w:val="-1"/>
        </w:rPr>
        <w:t> </w:t>
      </w:r>
      <w:r>
        <w:rPr/>
        <w:t>slightly</w:t>
      </w:r>
      <w:r>
        <w:rPr>
          <w:spacing w:val="-1"/>
        </w:rPr>
        <w:t> </w:t>
      </w:r>
      <w:r>
        <w:rPr/>
        <w:t>depending</w:t>
      </w:r>
      <w:r>
        <w:rPr>
          <w:spacing w:val="-1"/>
        </w:rPr>
        <w:t> </w:t>
      </w:r>
      <w:r>
        <w:rPr/>
        <w:t>on manufacturer’s</w:t>
      </w:r>
      <w:r>
        <w:rPr>
          <w:spacing w:val="-1"/>
        </w:rPr>
        <w:t> </w:t>
      </w:r>
      <w:r>
        <w:rPr/>
        <w:t>methods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equipment.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25">
            <wp:simplePos x="0" y="0"/>
            <wp:positionH relativeFrom="page">
              <wp:posOffset>2247900</wp:posOffset>
            </wp:positionH>
            <wp:positionV relativeFrom="paragraph">
              <wp:posOffset>118219</wp:posOffset>
            </wp:positionV>
            <wp:extent cx="4228737" cy="4287393"/>
            <wp:effectExtent l="0" t="0" r="0" b="0"/>
            <wp:wrapTopAndBottom/>
            <wp:docPr id="3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30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8737" cy="42873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29"/>
        </w:rPr>
      </w:pPr>
    </w:p>
    <w:p>
      <w:pPr>
        <w:spacing w:before="0"/>
        <w:ind w:left="179" w:right="0" w:firstLine="0"/>
        <w:jc w:val="center"/>
        <w:rPr>
          <w:i/>
          <w:sz w:val="24"/>
        </w:rPr>
      </w:pPr>
      <w:bookmarkStart w:name="_bookmark4" w:id="41"/>
      <w:bookmarkEnd w:id="41"/>
      <w:r>
        <w:rPr/>
      </w:r>
      <w:r>
        <w:rPr>
          <w:i/>
          <w:sz w:val="24"/>
        </w:rPr>
        <w:t>Figure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2-5.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Close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up view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 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finger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joint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 CLT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panel.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208"/>
        <w:ind w:left="439" w:right="256" w:firstLine="720"/>
        <w:jc w:val="both"/>
      </w:pPr>
      <w:r>
        <w:rPr/>
        <w:t>Other wood products like glulam, have provided the industry with experience in</w:t>
      </w:r>
      <w:r>
        <w:rPr>
          <w:spacing w:val="1"/>
        </w:rPr>
        <w:t> </w:t>
      </w:r>
      <w:r>
        <w:rPr/>
        <w:t>adhesive application.</w:t>
      </w:r>
      <w:r>
        <w:rPr>
          <w:spacing w:val="1"/>
        </w:rPr>
        <w:t> </w:t>
      </w:r>
      <w:r>
        <w:rPr/>
        <w:t>CLT manufacturers use that knowledge to determine the type and</w:t>
      </w:r>
      <w:r>
        <w:rPr>
          <w:spacing w:val="1"/>
        </w:rPr>
        <w:t> </w:t>
      </w:r>
      <w:r>
        <w:rPr/>
        <w:t>quantity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adhesive</w:t>
      </w:r>
      <w:r>
        <w:rPr>
          <w:spacing w:val="-11"/>
        </w:rPr>
        <w:t> </w:t>
      </w:r>
      <w:r>
        <w:rPr/>
        <w:t>product</w:t>
      </w:r>
      <w:r>
        <w:rPr>
          <w:spacing w:val="-9"/>
        </w:rPr>
        <w:t> </w:t>
      </w:r>
      <w:r>
        <w:rPr/>
        <w:t>to</w:t>
      </w:r>
      <w:r>
        <w:rPr>
          <w:spacing w:val="-12"/>
        </w:rPr>
        <w:t> </w:t>
      </w:r>
      <w:r>
        <w:rPr/>
        <w:t>use,</w:t>
      </w:r>
      <w:r>
        <w:rPr>
          <w:spacing w:val="-11"/>
        </w:rPr>
        <w:t> </w:t>
      </w:r>
      <w:r>
        <w:rPr/>
        <w:t>as</w:t>
      </w:r>
      <w:r>
        <w:rPr>
          <w:spacing w:val="-11"/>
        </w:rPr>
        <w:t> </w:t>
      </w:r>
      <w:r>
        <w:rPr/>
        <w:t>well</w:t>
      </w:r>
      <w:r>
        <w:rPr>
          <w:spacing w:val="-10"/>
        </w:rPr>
        <w:t> </w:t>
      </w:r>
      <w:r>
        <w:rPr/>
        <w:t>as</w:t>
      </w:r>
      <w:r>
        <w:rPr>
          <w:spacing w:val="-10"/>
        </w:rPr>
        <w:t> </w:t>
      </w:r>
      <w:r>
        <w:rPr/>
        <w:t>required</w:t>
      </w:r>
      <w:r>
        <w:rPr>
          <w:spacing w:val="-11"/>
        </w:rPr>
        <w:t> </w:t>
      </w:r>
      <w:r>
        <w:rPr/>
        <w:t>pressures</w:t>
      </w:r>
      <w:r>
        <w:rPr>
          <w:spacing w:val="-10"/>
        </w:rPr>
        <w:t> </w:t>
      </w:r>
      <w:r>
        <w:rPr/>
        <w:t>for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best</w:t>
      </w:r>
      <w:r>
        <w:rPr>
          <w:spacing w:val="-12"/>
        </w:rPr>
        <w:t> </w:t>
      </w:r>
      <w:r>
        <w:rPr/>
        <w:t>bond</w:t>
      </w:r>
      <w:r>
        <w:rPr>
          <w:spacing w:val="-10"/>
        </w:rPr>
        <w:t> </w:t>
      </w:r>
      <w:r>
        <w:rPr/>
        <w:t>between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40" w:right="258"/>
        <w:jc w:val="both"/>
      </w:pPr>
      <w:r>
        <w:rPr/>
        <w:t>layers.</w:t>
      </w:r>
      <w:r>
        <w:rPr>
          <w:spacing w:val="1"/>
        </w:rPr>
        <w:t> </w:t>
      </w:r>
      <w:r>
        <w:rPr/>
        <w:t>Dowel-type fasteners such as nails, screws, or wooden dowels can also be used to</w:t>
      </w:r>
      <w:r>
        <w:rPr>
          <w:spacing w:val="-57"/>
        </w:rPr>
        <w:t> </w:t>
      </w:r>
      <w:r>
        <w:rPr/>
        <w:t>bond the layers together, although the resulting product may be classified as a different</w:t>
      </w:r>
      <w:r>
        <w:rPr>
          <w:spacing w:val="1"/>
        </w:rPr>
        <w:t> </w:t>
      </w:r>
      <w:r>
        <w:rPr/>
        <w:t>product known as nail-laminated timber (NLT).</w:t>
      </w:r>
      <w:r>
        <w:rPr>
          <w:spacing w:val="1"/>
        </w:rPr>
        <w:t> </w:t>
      </w:r>
      <w:r>
        <w:rPr/>
        <w:t>According to Austrian researcher Dr.</w:t>
      </w:r>
      <w:r>
        <w:rPr>
          <w:spacing w:val="1"/>
        </w:rPr>
        <w:t> </w:t>
      </w:r>
      <w:r>
        <w:rPr/>
        <w:t>Reinhard</w:t>
      </w:r>
      <w:r>
        <w:rPr>
          <w:spacing w:val="-11"/>
        </w:rPr>
        <w:t> </w:t>
      </w:r>
      <w:r>
        <w:rPr/>
        <w:t>Brandner,</w:t>
      </w:r>
      <w:r>
        <w:rPr>
          <w:spacing w:val="-10"/>
        </w:rPr>
        <w:t> </w:t>
      </w:r>
      <w:r>
        <w:rPr/>
        <w:t>the</w:t>
      </w:r>
      <w:r>
        <w:rPr>
          <w:spacing w:val="-11"/>
        </w:rPr>
        <w:t> </w:t>
      </w:r>
      <w:r>
        <w:rPr/>
        <w:t>CLT’s</w:t>
      </w:r>
      <w:r>
        <w:rPr>
          <w:spacing w:val="-10"/>
        </w:rPr>
        <w:t> </w:t>
      </w:r>
      <w:r>
        <w:rPr/>
        <w:t>dimensions</w:t>
      </w:r>
      <w:r>
        <w:rPr>
          <w:spacing w:val="-10"/>
        </w:rPr>
        <w:t> </w:t>
      </w:r>
      <w:r>
        <w:rPr/>
        <w:t>and</w:t>
      </w:r>
      <w:r>
        <w:rPr>
          <w:spacing w:val="-10"/>
        </w:rPr>
        <w:t> </w:t>
      </w:r>
      <w:r>
        <w:rPr/>
        <w:t>layup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the</w:t>
      </w:r>
      <w:r>
        <w:rPr>
          <w:spacing w:val="-10"/>
        </w:rPr>
        <w:t> </w:t>
      </w:r>
      <w:r>
        <w:rPr/>
        <w:t>cross-section</w:t>
      </w:r>
      <w:r>
        <w:rPr>
          <w:spacing w:val="-11"/>
        </w:rPr>
        <w:t> </w:t>
      </w:r>
      <w:r>
        <w:rPr/>
        <w:t>heavily</w:t>
      </w:r>
      <w:r>
        <w:rPr>
          <w:spacing w:val="-11"/>
        </w:rPr>
        <w:t> </w:t>
      </w:r>
      <w:r>
        <w:rPr/>
        <w:t>influence</w:t>
      </w:r>
      <w:r>
        <w:rPr>
          <w:spacing w:val="-58"/>
        </w:rPr>
        <w:t> </w:t>
      </w:r>
      <w:r>
        <w:rPr/>
        <w:t>the</w:t>
      </w:r>
      <w:r>
        <w:rPr>
          <w:spacing w:val="-2"/>
        </w:rPr>
        <w:t> </w:t>
      </w:r>
      <w:r>
        <w:rPr/>
        <w:t>performance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panel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are</w:t>
      </w:r>
      <w:r>
        <w:rPr>
          <w:spacing w:val="-2"/>
        </w:rPr>
        <w:t> </w:t>
      </w:r>
      <w:r>
        <w:rPr/>
        <w:t>therefore</w:t>
      </w:r>
      <w:r>
        <w:rPr>
          <w:spacing w:val="-1"/>
        </w:rPr>
        <w:t> </w:t>
      </w:r>
      <w:r>
        <w:rPr/>
        <w:t>critical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designing</w:t>
      </w:r>
      <w:r>
        <w:rPr>
          <w:spacing w:val="-1"/>
        </w:rPr>
        <w:t> </w:t>
      </w:r>
      <w:r>
        <w:rPr/>
        <w:t>with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material [33].</w:t>
      </w:r>
    </w:p>
    <w:p>
      <w:pPr>
        <w:pStyle w:val="BodyText"/>
        <w:spacing w:line="480" w:lineRule="auto" w:before="159"/>
        <w:ind w:left="439" w:right="256" w:firstLine="720"/>
        <w:jc w:val="both"/>
      </w:pPr>
      <w:r>
        <w:rPr/>
        <w:t>Building designers and engineers can specify CLT panels in various customizable</w:t>
      </w:r>
      <w:r>
        <w:rPr>
          <w:spacing w:val="1"/>
        </w:rPr>
        <w:t> </w:t>
      </w:r>
      <w:r>
        <w:rPr/>
        <w:t>sizes that a manufacturer then produces to order, limited typically only by production</w:t>
      </w:r>
      <w:r>
        <w:rPr>
          <w:spacing w:val="1"/>
        </w:rPr>
        <w:t> </w:t>
      </w:r>
      <w:r>
        <w:rPr/>
        <w:t>equipment size or the ability to transport.</w:t>
      </w:r>
      <w:r>
        <w:rPr>
          <w:spacing w:val="1"/>
        </w:rPr>
        <w:t> </w:t>
      </w:r>
      <w:r>
        <w:rPr/>
        <w:t>Manufacturers generally ship large panels of</w:t>
      </w:r>
      <w:r>
        <w:rPr>
          <w:spacing w:val="1"/>
        </w:rPr>
        <w:t> </w:t>
      </w:r>
      <w:r>
        <w:rPr/>
        <w:t>prefabricated</w:t>
      </w:r>
      <w:r>
        <w:rPr>
          <w:spacing w:val="-13"/>
        </w:rPr>
        <w:t> </w:t>
      </w:r>
      <w:r>
        <w:rPr/>
        <w:t>wall,</w:t>
      </w:r>
      <w:r>
        <w:rPr>
          <w:spacing w:val="-13"/>
        </w:rPr>
        <w:t> </w:t>
      </w:r>
      <w:r>
        <w:rPr/>
        <w:t>floor,</w:t>
      </w:r>
      <w:r>
        <w:rPr>
          <w:spacing w:val="-15"/>
        </w:rPr>
        <w:t> </w:t>
      </w:r>
      <w:r>
        <w:rPr/>
        <w:t>or</w:t>
      </w:r>
      <w:r>
        <w:rPr>
          <w:spacing w:val="-13"/>
        </w:rPr>
        <w:t> </w:t>
      </w:r>
      <w:r>
        <w:rPr/>
        <w:t>roof</w:t>
      </w:r>
      <w:r>
        <w:rPr>
          <w:spacing w:val="-14"/>
        </w:rPr>
        <w:t> </w:t>
      </w:r>
      <w:r>
        <w:rPr/>
        <w:t>panels</w:t>
      </w:r>
      <w:r>
        <w:rPr>
          <w:spacing w:val="-13"/>
        </w:rPr>
        <w:t> </w:t>
      </w:r>
      <w:r>
        <w:rPr/>
        <w:t>from</w:t>
      </w:r>
      <w:r>
        <w:rPr>
          <w:spacing w:val="-15"/>
        </w:rPr>
        <w:t> </w:t>
      </w:r>
      <w:r>
        <w:rPr/>
        <w:t>the</w:t>
      </w:r>
      <w:r>
        <w:rPr>
          <w:spacing w:val="-13"/>
        </w:rPr>
        <w:t> </w:t>
      </w:r>
      <w:r>
        <w:rPr/>
        <w:t>production</w:t>
      </w:r>
      <w:r>
        <w:rPr>
          <w:spacing w:val="-13"/>
        </w:rPr>
        <w:t> </w:t>
      </w:r>
      <w:r>
        <w:rPr/>
        <w:t>facility</w:t>
      </w:r>
      <w:r>
        <w:rPr>
          <w:spacing w:val="-13"/>
        </w:rPr>
        <w:t> </w:t>
      </w:r>
      <w:r>
        <w:rPr/>
        <w:t>to</w:t>
      </w:r>
      <w:r>
        <w:rPr>
          <w:spacing w:val="-15"/>
        </w:rPr>
        <w:t> </w:t>
      </w:r>
      <w:r>
        <w:rPr/>
        <w:t>the</w:t>
      </w:r>
      <w:r>
        <w:rPr>
          <w:spacing w:val="-14"/>
        </w:rPr>
        <w:t> </w:t>
      </w:r>
      <w:r>
        <w:rPr/>
        <w:t>construction</w:t>
      </w:r>
      <w:r>
        <w:rPr>
          <w:spacing w:val="-13"/>
        </w:rPr>
        <w:t> </w:t>
      </w:r>
      <w:r>
        <w:rPr/>
        <w:t>site.</w:t>
      </w:r>
      <w:r>
        <w:rPr>
          <w:spacing w:val="-58"/>
        </w:rPr>
        <w:t> </w:t>
      </w:r>
      <w:r>
        <w:rPr/>
        <w:t>The</w:t>
      </w:r>
      <w:r>
        <w:rPr>
          <w:spacing w:val="1"/>
        </w:rPr>
        <w:t> </w:t>
      </w:r>
      <w:r>
        <w:rPr/>
        <w:t>prefabricated</w:t>
      </w:r>
      <w:r>
        <w:rPr>
          <w:spacing w:val="1"/>
        </w:rPr>
        <w:t> </w:t>
      </w:r>
      <w:r>
        <w:rPr/>
        <w:t>nature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CLT</w:t>
      </w:r>
      <w:r>
        <w:rPr>
          <w:spacing w:val="1"/>
        </w:rPr>
        <w:t> </w:t>
      </w:r>
      <w:r>
        <w:rPr/>
        <w:t>lends</w:t>
      </w:r>
      <w:r>
        <w:rPr>
          <w:spacing w:val="1"/>
        </w:rPr>
        <w:t> </w:t>
      </w:r>
      <w:r>
        <w:rPr/>
        <w:t>itself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rapid</w:t>
      </w:r>
      <w:r>
        <w:rPr>
          <w:spacing w:val="1"/>
        </w:rPr>
        <w:t> </w:t>
      </w:r>
      <w:r>
        <w:rPr/>
        <w:t>construction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significantly</w:t>
      </w:r>
      <w:r>
        <w:rPr>
          <w:spacing w:val="-57"/>
        </w:rPr>
        <w:t> </w:t>
      </w:r>
      <w:r>
        <w:rPr/>
        <w:t>decreases</w:t>
      </w:r>
      <w:r>
        <w:rPr>
          <w:spacing w:val="-1"/>
        </w:rPr>
        <w:t> </w:t>
      </w:r>
      <w:r>
        <w:rPr/>
        <w:t>material waste,</w:t>
      </w:r>
      <w:r>
        <w:rPr>
          <w:spacing w:val="-1"/>
        </w:rPr>
        <w:t> </w:t>
      </w:r>
      <w:r>
        <w:rPr/>
        <w:t>both in manufacturing</w:t>
      </w:r>
      <w:r>
        <w:rPr>
          <w:spacing w:val="-3"/>
        </w:rPr>
        <w:t> </w:t>
      </w:r>
      <w:r>
        <w:rPr/>
        <w:t>and on the</w:t>
      </w:r>
      <w:r>
        <w:rPr>
          <w:spacing w:val="-1"/>
        </w:rPr>
        <w:t> </w:t>
      </w:r>
      <w:r>
        <w:rPr/>
        <w:t>construction</w:t>
      </w:r>
      <w:r>
        <w:rPr>
          <w:spacing w:val="-2"/>
        </w:rPr>
        <w:t> </w:t>
      </w:r>
      <w:r>
        <w:rPr/>
        <w:t>site.</w:t>
      </w:r>
    </w:p>
    <w:p>
      <w:pPr>
        <w:pStyle w:val="ListParagraph"/>
        <w:numPr>
          <w:ilvl w:val="2"/>
          <w:numId w:val="15"/>
        </w:numPr>
        <w:tabs>
          <w:tab w:pos="980" w:val="left" w:leader="none"/>
        </w:tabs>
        <w:spacing w:line="240" w:lineRule="auto" w:before="162" w:after="0"/>
        <w:ind w:left="980" w:right="0" w:hanging="541"/>
        <w:jc w:val="both"/>
        <w:rPr>
          <w:i/>
          <w:sz w:val="24"/>
        </w:rPr>
      </w:pPr>
      <w:bookmarkStart w:name="2.1.4 Wood and Moisture Content – how it" w:id="42"/>
      <w:bookmarkEnd w:id="42"/>
      <w:r>
        <w:rPr/>
      </w:r>
      <w:bookmarkStart w:name="2.1.4 Wood and Moisture Content – how it" w:id="43"/>
      <w:bookmarkEnd w:id="43"/>
      <w:r>
        <w:rPr>
          <w:i/>
          <w:sz w:val="24"/>
        </w:rPr>
        <w:t>Wood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Moisture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Content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–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how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it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relates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CLT</w:t>
      </w:r>
    </w:p>
    <w:p>
      <w:pPr>
        <w:pStyle w:val="BodyText"/>
        <w:spacing w:before="7"/>
        <w:rPr>
          <w:i/>
          <w:sz w:val="22"/>
        </w:rPr>
      </w:pPr>
    </w:p>
    <w:p>
      <w:pPr>
        <w:pStyle w:val="BodyText"/>
        <w:spacing w:line="480" w:lineRule="auto"/>
        <w:ind w:left="439" w:right="256" w:firstLine="720"/>
        <w:jc w:val="both"/>
      </w:pPr>
      <w:r>
        <w:rPr/>
        <w:t>Wood is a hygroscopic material, meaning it absorbs water from the atmosphere.</w:t>
      </w:r>
      <w:r>
        <w:rPr>
          <w:spacing w:val="1"/>
        </w:rPr>
        <w:t> </w:t>
      </w:r>
      <w:r>
        <w:rPr>
          <w:spacing w:val="-1"/>
        </w:rPr>
        <w:t>Moisture</w:t>
      </w:r>
      <w:r>
        <w:rPr>
          <w:spacing w:val="-14"/>
        </w:rPr>
        <w:t> </w:t>
      </w:r>
      <w:r>
        <w:rPr/>
        <w:t>content</w:t>
      </w:r>
      <w:r>
        <w:rPr>
          <w:spacing w:val="-14"/>
        </w:rPr>
        <w:t> </w:t>
      </w:r>
      <w:r>
        <w:rPr/>
        <w:t>is</w:t>
      </w:r>
      <w:r>
        <w:rPr>
          <w:spacing w:val="-13"/>
        </w:rPr>
        <w:t> </w:t>
      </w:r>
      <w:r>
        <w:rPr/>
        <w:t>an</w:t>
      </w:r>
      <w:r>
        <w:rPr>
          <w:spacing w:val="-15"/>
        </w:rPr>
        <w:t> </w:t>
      </w:r>
      <w:r>
        <w:rPr/>
        <w:t>important</w:t>
      </w:r>
      <w:r>
        <w:rPr>
          <w:spacing w:val="-14"/>
        </w:rPr>
        <w:t> </w:t>
      </w:r>
      <w:r>
        <w:rPr/>
        <w:t>quality</w:t>
      </w:r>
      <w:r>
        <w:rPr>
          <w:spacing w:val="-14"/>
        </w:rPr>
        <w:t> </w:t>
      </w:r>
      <w:r>
        <w:rPr/>
        <w:t>of</w:t>
      </w:r>
      <w:r>
        <w:rPr>
          <w:spacing w:val="-15"/>
        </w:rPr>
        <w:t> </w:t>
      </w:r>
      <w:r>
        <w:rPr/>
        <w:t>the</w:t>
      </w:r>
      <w:r>
        <w:rPr>
          <w:spacing w:val="-13"/>
        </w:rPr>
        <w:t> </w:t>
      </w:r>
      <w:r>
        <w:rPr/>
        <w:t>timber</w:t>
      </w:r>
      <w:r>
        <w:rPr>
          <w:spacing w:val="-14"/>
        </w:rPr>
        <w:t> </w:t>
      </w:r>
      <w:r>
        <w:rPr/>
        <w:t>laminas</w:t>
      </w:r>
      <w:r>
        <w:rPr>
          <w:spacing w:val="-14"/>
        </w:rPr>
        <w:t> </w:t>
      </w:r>
      <w:r>
        <w:rPr/>
        <w:t>because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moisture</w:t>
      </w:r>
      <w:r>
        <w:rPr>
          <w:spacing w:val="-13"/>
        </w:rPr>
        <w:t> </w:t>
      </w:r>
      <w:r>
        <w:rPr/>
        <w:t>content</w:t>
      </w:r>
      <w:r>
        <w:rPr>
          <w:spacing w:val="-58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wood</w:t>
      </w:r>
      <w:r>
        <w:rPr>
          <w:spacing w:val="1"/>
        </w:rPr>
        <w:t> </w:t>
      </w:r>
      <w:r>
        <w:rPr/>
        <w:t>affects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mechanical</w:t>
      </w:r>
      <w:r>
        <w:rPr>
          <w:spacing w:val="1"/>
        </w:rPr>
        <w:t> </w:t>
      </w:r>
      <w:r>
        <w:rPr/>
        <w:t>strength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wood.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wood’s</w:t>
      </w:r>
      <w:r>
        <w:rPr>
          <w:spacing w:val="1"/>
        </w:rPr>
        <w:t> </w:t>
      </w:r>
      <w:r>
        <w:rPr/>
        <w:t>equilibrium moisture content (EMC) is a value that the wood naturally approaches as it</w:t>
      </w:r>
      <w:r>
        <w:rPr>
          <w:spacing w:val="1"/>
        </w:rPr>
        <w:t> </w:t>
      </w:r>
      <w:r>
        <w:rPr/>
        <w:t>dries from green wood, or recently cut wood.</w:t>
      </w:r>
      <w:r>
        <w:rPr>
          <w:spacing w:val="1"/>
        </w:rPr>
        <w:t> </w:t>
      </w:r>
      <w:r>
        <w:rPr/>
        <w:t>Green wood typically contains more</w:t>
      </w:r>
      <w:r>
        <w:rPr>
          <w:spacing w:val="1"/>
        </w:rPr>
        <w:t> </w:t>
      </w:r>
      <w:r>
        <w:rPr/>
        <w:t>moisture</w:t>
      </w:r>
      <w:r>
        <w:rPr>
          <w:spacing w:val="-12"/>
        </w:rPr>
        <w:t> </w:t>
      </w:r>
      <w:r>
        <w:rPr/>
        <w:t>than</w:t>
      </w:r>
      <w:r>
        <w:rPr>
          <w:spacing w:val="-10"/>
        </w:rPr>
        <w:t> </w:t>
      </w:r>
      <w:r>
        <w:rPr/>
        <w:t>seasoned</w:t>
      </w:r>
      <w:r>
        <w:rPr>
          <w:spacing w:val="-12"/>
        </w:rPr>
        <w:t> </w:t>
      </w:r>
      <w:r>
        <w:rPr/>
        <w:t>wood.</w:t>
      </w:r>
      <w:r>
        <w:rPr>
          <w:spacing w:val="41"/>
        </w:rPr>
        <w:t> </w:t>
      </w:r>
      <w:r>
        <w:rPr/>
        <w:t>Seasoned</w:t>
      </w:r>
      <w:r>
        <w:rPr>
          <w:spacing w:val="-10"/>
        </w:rPr>
        <w:t> </w:t>
      </w:r>
      <w:r>
        <w:rPr/>
        <w:t>wood</w:t>
      </w:r>
      <w:r>
        <w:rPr>
          <w:spacing w:val="-10"/>
        </w:rPr>
        <w:t> </w:t>
      </w:r>
      <w:r>
        <w:rPr/>
        <w:t>has</w:t>
      </w:r>
      <w:r>
        <w:rPr>
          <w:spacing w:val="-10"/>
        </w:rPr>
        <w:t> </w:t>
      </w:r>
      <w:r>
        <w:rPr/>
        <w:t>dried</w:t>
      </w:r>
      <w:r>
        <w:rPr>
          <w:spacing w:val="-10"/>
        </w:rPr>
        <w:t> </w:t>
      </w:r>
      <w:r>
        <w:rPr/>
        <w:t>over</w:t>
      </w:r>
      <w:r>
        <w:rPr>
          <w:spacing w:val="-11"/>
        </w:rPr>
        <w:t> </w:t>
      </w:r>
      <w:r>
        <w:rPr/>
        <w:t>time</w:t>
      </w:r>
      <w:r>
        <w:rPr>
          <w:spacing w:val="-10"/>
        </w:rPr>
        <w:t> </w:t>
      </w:r>
      <w:r>
        <w:rPr/>
        <w:t>or</w:t>
      </w:r>
      <w:r>
        <w:rPr>
          <w:spacing w:val="-9"/>
        </w:rPr>
        <w:t> </w:t>
      </w:r>
      <w:r>
        <w:rPr/>
        <w:t>through</w:t>
      </w:r>
      <w:r>
        <w:rPr>
          <w:spacing w:val="-10"/>
        </w:rPr>
        <w:t> </w:t>
      </w:r>
      <w:r>
        <w:rPr/>
        <w:t>a</w:t>
      </w:r>
      <w:r>
        <w:rPr>
          <w:spacing w:val="-10"/>
        </w:rPr>
        <w:t> </w:t>
      </w:r>
      <w:r>
        <w:rPr/>
        <w:t>kiln</w:t>
      </w:r>
      <w:r>
        <w:rPr>
          <w:spacing w:val="-10"/>
        </w:rPr>
        <w:t> </w:t>
      </w:r>
      <w:r>
        <w:rPr/>
        <w:t>drying</w:t>
      </w:r>
      <w:r>
        <w:rPr>
          <w:spacing w:val="-58"/>
        </w:rPr>
        <w:t> </w:t>
      </w:r>
      <w:r>
        <w:rPr/>
        <w:t>process.</w:t>
      </w:r>
      <w:r>
        <w:rPr>
          <w:spacing w:val="1"/>
        </w:rPr>
        <w:t> </w:t>
      </w:r>
      <w:r>
        <w:rPr/>
        <w:t>According to the Wood Handbook, EMC is the moisture content where wood is</w:t>
      </w:r>
      <w:r>
        <w:rPr>
          <w:spacing w:val="1"/>
        </w:rPr>
        <w:t> </w:t>
      </w:r>
      <w:r>
        <w:rPr/>
        <w:t>neither gaining nor losing moisture [96].</w:t>
      </w:r>
      <w:r>
        <w:rPr>
          <w:spacing w:val="1"/>
        </w:rPr>
        <w:t> </w:t>
      </w:r>
      <w:r>
        <w:rPr/>
        <w:t>EMC is a function of environmental conditions</w:t>
      </w:r>
      <w:r>
        <w:rPr>
          <w:spacing w:val="1"/>
        </w:rPr>
        <w:t> </w:t>
      </w:r>
      <w:r>
        <w:rPr/>
        <w:t>such as relative humidity, temperature, and tree species features.</w:t>
      </w:r>
      <w:r>
        <w:rPr>
          <w:spacing w:val="1"/>
        </w:rPr>
        <w:t> </w:t>
      </w:r>
      <w:r>
        <w:rPr/>
        <w:t>EMC can be calculated</w:t>
      </w:r>
      <w:r>
        <w:rPr>
          <w:spacing w:val="-57"/>
        </w:rPr>
        <w:t> </w:t>
      </w:r>
      <w:r>
        <w:rPr/>
        <w:t>using</w:t>
      </w:r>
      <w:r>
        <w:rPr>
          <w:spacing w:val="-1"/>
        </w:rPr>
        <w:t> </w:t>
      </w:r>
      <w:r>
        <w:rPr/>
        <w:t>Equation 2.1 [96]: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tbl>
      <w:tblPr>
        <w:tblW w:w="0" w:type="auto"/>
        <w:jc w:val="left"/>
        <w:tblInd w:w="147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05"/>
        <w:gridCol w:w="1314"/>
        <w:gridCol w:w="2377"/>
        <w:gridCol w:w="1401"/>
      </w:tblGrid>
      <w:tr>
        <w:trPr>
          <w:trHeight w:val="739" w:hRule="atLeast"/>
        </w:trPr>
        <w:tc>
          <w:tcPr>
            <w:tcW w:w="6296" w:type="dxa"/>
            <w:gridSpan w:val="3"/>
          </w:tcPr>
          <w:p>
            <w:pPr>
              <w:pStyle w:val="TableParagraph"/>
              <w:tabs>
                <w:tab w:pos="2358" w:val="left" w:leader="none"/>
                <w:tab w:pos="3303" w:val="left" w:leader="none"/>
              </w:tabs>
              <w:spacing w:line="237" w:lineRule="exact"/>
              <w:ind w:left="1486"/>
              <w:rPr>
                <w:rFonts w:ascii="Cambria Math" w:hAnsi="Cambria Math" w:eastAsia="Cambria Math"/>
                <w:sz w:val="24"/>
              </w:rPr>
            </w:pPr>
            <w:r>
              <w:rPr>
                <w:rFonts w:ascii="Cambria Math" w:hAnsi="Cambria Math" w:eastAsia="Cambria Math"/>
                <w:sz w:val="24"/>
              </w:rPr>
              <w:t>1800</w:t>
              <w:tab/>
              <w:t>𝐾ℎ</w:t>
              <w:tab/>
              <w:t>𝐾</w:t>
            </w:r>
            <w:r>
              <w:rPr>
                <w:rFonts w:ascii="Cambria Math" w:hAnsi="Cambria Math" w:eastAsia="Cambria Math"/>
                <w:position w:val="-4"/>
                <w:sz w:val="17"/>
              </w:rPr>
              <w:t>1</w:t>
            </w:r>
            <w:r>
              <w:rPr>
                <w:rFonts w:ascii="Cambria Math" w:hAnsi="Cambria Math" w:eastAsia="Cambria Math"/>
                <w:sz w:val="24"/>
              </w:rPr>
              <w:t>𝐾ℎ</w:t>
            </w:r>
            <w:r>
              <w:rPr>
                <w:rFonts w:ascii="Cambria Math" w:hAnsi="Cambria Math" w:eastAsia="Cambria Math"/>
                <w:spacing w:val="9"/>
                <w:sz w:val="24"/>
              </w:rPr>
              <w:t> </w:t>
            </w:r>
            <w:r>
              <w:rPr>
                <w:rFonts w:ascii="Cambria Math" w:hAnsi="Cambria Math" w:eastAsia="Cambria Math"/>
                <w:sz w:val="24"/>
              </w:rPr>
              <w:t>+</w:t>
            </w:r>
            <w:r>
              <w:rPr>
                <w:rFonts w:ascii="Cambria Math" w:hAnsi="Cambria Math" w:eastAsia="Cambria Math"/>
                <w:spacing w:val="3"/>
                <w:sz w:val="24"/>
              </w:rPr>
              <w:t> </w:t>
            </w:r>
            <w:r>
              <w:rPr>
                <w:rFonts w:ascii="Cambria Math" w:hAnsi="Cambria Math" w:eastAsia="Cambria Math"/>
                <w:sz w:val="24"/>
              </w:rPr>
              <w:t>2𝐾</w:t>
            </w:r>
            <w:r>
              <w:rPr>
                <w:rFonts w:ascii="Cambria Math" w:hAnsi="Cambria Math" w:eastAsia="Cambria Math"/>
                <w:position w:val="-4"/>
                <w:sz w:val="17"/>
              </w:rPr>
              <w:t>1</w:t>
            </w:r>
            <w:r>
              <w:rPr>
                <w:rFonts w:ascii="Cambria Math" w:hAnsi="Cambria Math" w:eastAsia="Cambria Math"/>
                <w:sz w:val="24"/>
              </w:rPr>
              <w:t>𝐾</w:t>
            </w:r>
            <w:r>
              <w:rPr>
                <w:rFonts w:ascii="Cambria Math" w:hAnsi="Cambria Math" w:eastAsia="Cambria Math"/>
                <w:position w:val="-4"/>
                <w:sz w:val="17"/>
              </w:rPr>
              <w:t>2</w:t>
            </w:r>
            <w:r>
              <w:rPr>
                <w:rFonts w:ascii="Cambria Math" w:hAnsi="Cambria Math" w:eastAsia="Cambria Math"/>
                <w:sz w:val="24"/>
              </w:rPr>
              <w:t>𝐾</w:t>
            </w:r>
            <w:r>
              <w:rPr>
                <w:rFonts w:ascii="Cambria Math" w:hAnsi="Cambria Math" w:eastAsia="Cambria Math"/>
                <w:sz w:val="24"/>
                <w:vertAlign w:val="superscript"/>
              </w:rPr>
              <w:t>2</w:t>
            </w:r>
            <w:r>
              <w:rPr>
                <w:rFonts w:ascii="Cambria Math" w:hAnsi="Cambria Math" w:eastAsia="Cambria Math"/>
                <w:sz w:val="24"/>
                <w:vertAlign w:val="baseline"/>
              </w:rPr>
              <w:t>ℎ</w:t>
            </w:r>
            <w:r>
              <w:rPr>
                <w:rFonts w:ascii="Cambria Math" w:hAnsi="Cambria Math" w:eastAsia="Cambria Math"/>
                <w:sz w:val="24"/>
                <w:vertAlign w:val="superscript"/>
              </w:rPr>
              <w:t>2</w:t>
            </w:r>
          </w:p>
          <w:p>
            <w:pPr>
              <w:pStyle w:val="TableParagraph"/>
              <w:tabs>
                <w:tab w:pos="2057" w:val="left" w:leader="none"/>
                <w:tab w:pos="2927" w:val="left" w:leader="none"/>
                <w:tab w:pos="5463" w:val="left" w:leader="none"/>
              </w:tabs>
              <w:spacing w:line="159" w:lineRule="exact"/>
              <w:ind w:left="200"/>
              <w:rPr>
                <w:rFonts w:ascii="Cambria Math" w:hAnsi="Cambria Math" w:cs="Cambria Math" w:eastAsia="Cambria Math"/>
                <w:sz w:val="24"/>
                <w:szCs w:val="24"/>
              </w:rPr>
            </w:pPr>
            <w:r>
              <w:rPr>
                <w:rFonts w:ascii="Cambria Math" w:hAnsi="Cambria Math" w:cs="Cambria Math" w:eastAsia="Cambria Math"/>
                <w:sz w:val="24"/>
                <w:szCs w:val="24"/>
              </w:rPr>
              <w:t>𝐸𝑀𝐶</w:t>
            </w:r>
            <w:r>
              <w:rPr>
                <w:rFonts w:ascii="Cambria Math" w:hAnsi="Cambria Math" w:cs="Cambria Math" w:eastAsia="Cambria Math"/>
                <w:spacing w:val="10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position w:val="1"/>
                <w:sz w:val="24"/>
                <w:szCs w:val="24"/>
              </w:rPr>
              <w:t>(</w:t>
            </w:r>
            <w:r>
              <w:rPr>
                <w:rFonts w:ascii="Cambria Math" w:hAnsi="Cambria Math" w:cs="Cambria Math" w:eastAsia="Cambria Math"/>
                <w:sz w:val="24"/>
                <w:szCs w:val="24"/>
              </w:rPr>
              <w:t>%</w:t>
            </w:r>
            <w:r>
              <w:rPr>
                <w:rFonts w:ascii="Cambria Math" w:hAnsi="Cambria Math" w:cs="Cambria Math" w:eastAsia="Cambria Math"/>
                <w:position w:val="1"/>
                <w:sz w:val="24"/>
                <w:szCs w:val="24"/>
              </w:rPr>
              <w:t>)</w:t>
            </w:r>
            <w:r>
              <w:rPr>
                <w:rFonts w:ascii="Cambria Math" w:hAnsi="Cambria Math" w:cs="Cambria Math" w:eastAsia="Cambria Math"/>
                <w:spacing w:val="13"/>
                <w:position w:val="1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sz w:val="24"/>
                <w:szCs w:val="24"/>
              </w:rPr>
              <w:t>=</w:t>
              <w:tab/>
            </w:r>
            <w:r>
              <w:rPr>
                <w:rFonts w:ascii="Cambria Math" w:hAnsi="Cambria Math" w:cs="Cambria Math" w:eastAsia="Cambria Math"/>
                <w:w w:val="75"/>
                <w:sz w:val="24"/>
                <w:szCs w:val="24"/>
              </w:rPr>
              <w:t>�</w:t>
              <w:tab/>
            </w:r>
            <w:r>
              <w:rPr>
                <w:rFonts w:ascii="Cambria Math" w:hAnsi="Cambria Math" w:cs="Cambria Math" w:eastAsia="Cambria Math"/>
                <w:sz w:val="24"/>
                <w:szCs w:val="24"/>
              </w:rPr>
              <w:t>+</w:t>
              <w:tab/>
            </w:r>
            <w:r>
              <w:rPr>
                <w:rFonts w:ascii="Cambria Math" w:hAnsi="Cambria Math" w:cs="Cambria Math" w:eastAsia="Cambria Math"/>
                <w:w w:val="75"/>
                <w:sz w:val="24"/>
                <w:szCs w:val="24"/>
              </w:rPr>
              <w:t>�</w:t>
            </w:r>
          </w:p>
          <w:p>
            <w:pPr>
              <w:pStyle w:val="TableParagraph"/>
              <w:tabs>
                <w:tab w:pos="2149" w:val="left" w:leader="none"/>
                <w:tab w:pos="3160" w:val="left" w:leader="none"/>
              </w:tabs>
              <w:spacing w:line="255" w:lineRule="exact"/>
              <w:ind w:left="1632"/>
              <w:rPr>
                <w:rFonts w:ascii="Cambria Math" w:hAnsi="Cambria Math" w:eastAsia="Cambria Math"/>
                <w:sz w:val="24"/>
              </w:rPr>
            </w:pPr>
            <w:r>
              <w:rPr>
                <w:rFonts w:ascii="Cambria Math" w:hAnsi="Cambria Math" w:eastAsia="Cambria Math"/>
                <w:w w:val="70"/>
                <w:sz w:val="24"/>
              </w:rPr>
              <w:t>𝑊𝑊</w:t>
              <w:tab/>
            </w:r>
            <w:r>
              <w:rPr>
                <w:rFonts w:ascii="Cambria Math" w:hAnsi="Cambria Math" w:eastAsia="Cambria Math"/>
                <w:sz w:val="24"/>
              </w:rPr>
              <w:t>1 − 𝐾ℎ</w:t>
              <w:tab/>
              <w:t>1</w:t>
            </w:r>
            <w:r>
              <w:rPr>
                <w:rFonts w:ascii="Cambria Math" w:hAnsi="Cambria Math" w:eastAsia="Cambria Math"/>
                <w:spacing w:val="3"/>
                <w:sz w:val="24"/>
              </w:rPr>
              <w:t> </w:t>
            </w:r>
            <w:r>
              <w:rPr>
                <w:rFonts w:ascii="Cambria Math" w:hAnsi="Cambria Math" w:eastAsia="Cambria Math"/>
                <w:sz w:val="24"/>
              </w:rPr>
              <w:t>+</w:t>
            </w:r>
            <w:r>
              <w:rPr>
                <w:rFonts w:ascii="Cambria Math" w:hAnsi="Cambria Math" w:eastAsia="Cambria Math"/>
                <w:spacing w:val="3"/>
                <w:sz w:val="24"/>
              </w:rPr>
              <w:t> </w:t>
            </w:r>
            <w:r>
              <w:rPr>
                <w:rFonts w:ascii="Cambria Math" w:hAnsi="Cambria Math" w:eastAsia="Cambria Math"/>
                <w:sz w:val="24"/>
              </w:rPr>
              <w:t>𝐾</w:t>
            </w:r>
            <w:r>
              <w:rPr>
                <w:rFonts w:ascii="Cambria Math" w:hAnsi="Cambria Math" w:eastAsia="Cambria Math"/>
                <w:position w:val="-4"/>
                <w:sz w:val="17"/>
              </w:rPr>
              <w:t>1</w:t>
            </w:r>
            <w:r>
              <w:rPr>
                <w:rFonts w:ascii="Cambria Math" w:hAnsi="Cambria Math" w:eastAsia="Cambria Math"/>
                <w:sz w:val="24"/>
              </w:rPr>
              <w:t>𝐾ℎ</w:t>
            </w:r>
            <w:r>
              <w:rPr>
                <w:rFonts w:ascii="Cambria Math" w:hAnsi="Cambria Math" w:eastAsia="Cambria Math"/>
                <w:spacing w:val="6"/>
                <w:sz w:val="24"/>
              </w:rPr>
              <w:t> </w:t>
            </w:r>
            <w:r>
              <w:rPr>
                <w:rFonts w:ascii="Cambria Math" w:hAnsi="Cambria Math" w:eastAsia="Cambria Math"/>
                <w:sz w:val="24"/>
              </w:rPr>
              <w:t>+</w:t>
            </w:r>
            <w:r>
              <w:rPr>
                <w:rFonts w:ascii="Cambria Math" w:hAnsi="Cambria Math" w:eastAsia="Cambria Math"/>
                <w:spacing w:val="3"/>
                <w:sz w:val="24"/>
              </w:rPr>
              <w:t> </w:t>
            </w:r>
            <w:r>
              <w:rPr>
                <w:rFonts w:ascii="Cambria Math" w:hAnsi="Cambria Math" w:eastAsia="Cambria Math"/>
                <w:sz w:val="24"/>
              </w:rPr>
              <w:t>𝐾</w:t>
            </w:r>
            <w:r>
              <w:rPr>
                <w:rFonts w:ascii="Cambria Math" w:hAnsi="Cambria Math" w:eastAsia="Cambria Math"/>
                <w:position w:val="-4"/>
                <w:sz w:val="17"/>
              </w:rPr>
              <w:t>1</w:t>
            </w:r>
            <w:r>
              <w:rPr>
                <w:rFonts w:ascii="Cambria Math" w:hAnsi="Cambria Math" w:eastAsia="Cambria Math"/>
                <w:sz w:val="24"/>
              </w:rPr>
              <w:t>𝐾</w:t>
            </w:r>
            <w:r>
              <w:rPr>
                <w:rFonts w:ascii="Cambria Math" w:hAnsi="Cambria Math" w:eastAsia="Cambria Math"/>
                <w:position w:val="-4"/>
                <w:sz w:val="17"/>
              </w:rPr>
              <w:t>2</w:t>
            </w:r>
            <w:r>
              <w:rPr>
                <w:rFonts w:ascii="Cambria Math" w:hAnsi="Cambria Math" w:eastAsia="Cambria Math"/>
                <w:sz w:val="24"/>
              </w:rPr>
              <w:t>𝐾</w:t>
            </w:r>
            <w:r>
              <w:rPr>
                <w:rFonts w:ascii="Cambria Math" w:hAnsi="Cambria Math" w:eastAsia="Cambria Math"/>
                <w:sz w:val="24"/>
                <w:vertAlign w:val="superscript"/>
              </w:rPr>
              <w:t>2</w:t>
            </w:r>
            <w:r>
              <w:rPr>
                <w:rFonts w:ascii="Cambria Math" w:hAnsi="Cambria Math" w:eastAsia="Cambria Math"/>
                <w:sz w:val="24"/>
                <w:vertAlign w:val="baseline"/>
              </w:rPr>
              <w:t>ℎ</w:t>
            </w:r>
            <w:r>
              <w:rPr>
                <w:rFonts w:ascii="Cambria Math" w:hAnsi="Cambria Math" w:eastAsia="Cambria Math"/>
                <w:sz w:val="24"/>
                <w:vertAlign w:val="superscript"/>
              </w:rPr>
              <w:t>2</w:t>
            </w:r>
          </w:p>
        </w:tc>
        <w:tc>
          <w:tcPr>
            <w:tcW w:w="1401" w:type="dxa"/>
          </w:tcPr>
          <w:p>
            <w:pPr>
              <w:pStyle w:val="TableParagraph"/>
              <w:spacing w:line="266" w:lineRule="exact"/>
              <w:ind w:left="740"/>
              <w:rPr>
                <w:sz w:val="24"/>
              </w:rPr>
            </w:pPr>
            <w:r>
              <w:rPr>
                <w:sz w:val="24"/>
              </w:rPr>
              <w:t>(2.1)</w:t>
            </w:r>
          </w:p>
        </w:tc>
      </w:tr>
      <w:tr>
        <w:trPr>
          <w:trHeight w:val="451" w:hRule="atLeast"/>
        </w:trPr>
        <w:tc>
          <w:tcPr>
            <w:tcW w:w="2605" w:type="dxa"/>
          </w:tcPr>
          <w:p>
            <w:pPr>
              <w:pStyle w:val="TableParagraph"/>
              <w:spacing w:before="79"/>
              <w:ind w:left="1154"/>
              <w:rPr>
                <w:sz w:val="24"/>
              </w:rPr>
            </w:pPr>
            <w:r>
              <w:rPr>
                <w:sz w:val="24"/>
              </w:rPr>
              <w:t>where</w:t>
            </w:r>
          </w:p>
        </w:tc>
        <w:tc>
          <w:tcPr>
            <w:tcW w:w="1314" w:type="dxa"/>
          </w:tcPr>
          <w:p>
            <w:pPr>
              <w:pStyle w:val="TableParagraph"/>
              <w:spacing w:before="80"/>
              <w:ind w:left="863"/>
              <w:rPr>
                <w:i/>
                <w:sz w:val="24"/>
              </w:rPr>
            </w:pPr>
            <w:r>
              <w:rPr>
                <w:i/>
                <w:sz w:val="24"/>
              </w:rPr>
              <w:t>h =</w:t>
            </w:r>
          </w:p>
        </w:tc>
        <w:tc>
          <w:tcPr>
            <w:tcW w:w="3778" w:type="dxa"/>
            <w:gridSpan w:val="2"/>
          </w:tcPr>
          <w:p>
            <w:pPr>
              <w:pStyle w:val="TableParagraph"/>
              <w:spacing w:before="79"/>
              <w:ind w:left="107"/>
              <w:rPr>
                <w:sz w:val="24"/>
              </w:rPr>
            </w:pPr>
            <w:r>
              <w:rPr>
                <w:sz w:val="24"/>
              </w:rPr>
              <w:t>relative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humidity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decimal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form</w:t>
            </w:r>
          </w:p>
        </w:tc>
      </w:tr>
      <w:tr>
        <w:trPr>
          <w:trHeight w:val="360" w:hRule="atLeast"/>
        </w:trPr>
        <w:tc>
          <w:tcPr>
            <w:tcW w:w="3919" w:type="dxa"/>
            <w:gridSpan w:val="2"/>
          </w:tcPr>
          <w:p>
            <w:pPr>
              <w:pStyle w:val="TableParagraph"/>
              <w:spacing w:line="256" w:lineRule="exact" w:before="84"/>
              <w:ind w:left="2056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W,</w:t>
            </w:r>
            <w:r>
              <w:rPr>
                <w:i/>
                <w:spacing w:val="-1"/>
                <w:position w:val="1"/>
                <w:sz w:val="24"/>
              </w:rPr>
              <w:t> </w:t>
            </w:r>
            <w:r>
              <w:rPr>
                <w:i/>
                <w:position w:val="1"/>
                <w:sz w:val="24"/>
              </w:rPr>
              <w:t>K,</w:t>
            </w:r>
            <w:r>
              <w:rPr>
                <w:i/>
                <w:spacing w:val="-1"/>
                <w:position w:val="1"/>
                <w:sz w:val="24"/>
              </w:rPr>
              <w:t> </w:t>
            </w:r>
            <w:r>
              <w:rPr>
                <w:i/>
                <w:position w:val="1"/>
                <w:sz w:val="24"/>
              </w:rPr>
              <w:t>K</w:t>
            </w:r>
            <w:r>
              <w:rPr>
                <w:i/>
                <w:sz w:val="16"/>
              </w:rPr>
              <w:t>1</w:t>
            </w:r>
            <w:r>
              <w:rPr>
                <w:position w:val="1"/>
                <w:sz w:val="24"/>
              </w:rPr>
              <w:t>, and</w:t>
            </w:r>
            <w:r>
              <w:rPr>
                <w:spacing w:val="-1"/>
                <w:position w:val="1"/>
                <w:sz w:val="24"/>
              </w:rPr>
              <w:t> </w:t>
            </w:r>
            <w:r>
              <w:rPr>
                <w:i/>
                <w:position w:val="1"/>
                <w:sz w:val="24"/>
              </w:rPr>
              <w:t>K</w:t>
            </w:r>
            <w:r>
              <w:rPr>
                <w:i/>
                <w:sz w:val="16"/>
              </w:rPr>
              <w:t>2 =</w:t>
            </w:r>
          </w:p>
        </w:tc>
        <w:tc>
          <w:tcPr>
            <w:tcW w:w="3778" w:type="dxa"/>
            <w:gridSpan w:val="2"/>
          </w:tcPr>
          <w:p>
            <w:pPr>
              <w:pStyle w:val="TableParagraph"/>
              <w:spacing w:line="256" w:lineRule="exact" w:before="85"/>
              <w:ind w:left="107"/>
              <w:rPr>
                <w:sz w:val="24"/>
              </w:rPr>
            </w:pPr>
            <w:r>
              <w:rPr>
                <w:sz w:val="24"/>
              </w:rPr>
              <w:t>temperature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dependent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parameters</w:t>
            </w:r>
          </w:p>
        </w:tc>
      </w:tr>
    </w:tbl>
    <w:p>
      <w:pPr>
        <w:pStyle w:val="BodyText"/>
        <w:rPr>
          <w:sz w:val="20"/>
        </w:rPr>
      </w:pPr>
      <w:r>
        <w:rPr/>
        <w:pict>
          <v:rect style="position:absolute;margin-left:233.639999pt;margin-top:88.801003pt;width:26.58pt;height:.779pt;mso-position-horizontal-relative:page;mso-position-vertical-relative:page;z-index:-34964992" filled="true" fillcolor="#000000" stroked="false">
            <v:fill type="solid"/>
            <w10:wrap type="none"/>
          </v:rect>
        </w:pict>
      </w:r>
      <w:r>
        <w:rPr/>
        <w:pict>
          <v:rect style="position:absolute;margin-left:266.820007pt;margin-top:88.801003pt;width:36.18pt;height:.779pt;mso-position-horizontal-relative:page;mso-position-vertical-relative:page;z-index:-34964480" filled="true" fillcolor="#000000" stroked="false">
            <v:fill type="solid"/>
            <w10:wrap type="none"/>
          </v:rect>
        </w:pict>
      </w:r>
      <w:r>
        <w:rPr/>
        <w:pict>
          <v:rect style="position:absolute;margin-left:317.339996pt;margin-top:88.801003pt;width:115.14pt;height:.779pt;mso-position-horizontal-relative:page;mso-position-vertical-relative:page;z-index:-34963968" filled="true" fillcolor="#000000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480" w:lineRule="auto" w:before="212"/>
        <w:ind w:left="439" w:right="257" w:firstLine="780"/>
        <w:jc w:val="both"/>
      </w:pPr>
      <w:r>
        <w:rPr/>
        <w:t>Another important property of the wood is its fiber saturation point.</w:t>
      </w:r>
      <w:r>
        <w:rPr>
          <w:spacing w:val="1"/>
        </w:rPr>
        <w:t> </w:t>
      </w:r>
      <w:r>
        <w:rPr/>
        <w:t>The fiber</w:t>
      </w:r>
      <w:r>
        <w:rPr>
          <w:spacing w:val="1"/>
        </w:rPr>
        <w:t> </w:t>
      </w:r>
      <w:r>
        <w:rPr/>
        <w:t>saturation</w:t>
      </w:r>
      <w:r>
        <w:rPr>
          <w:spacing w:val="-4"/>
        </w:rPr>
        <w:t> </w:t>
      </w:r>
      <w:r>
        <w:rPr/>
        <w:t>point</w:t>
      </w:r>
      <w:r>
        <w:rPr>
          <w:spacing w:val="-1"/>
        </w:rPr>
        <w:t> </w:t>
      </w:r>
      <w:r>
        <w:rPr/>
        <w:t>occurs</w:t>
      </w:r>
      <w:r>
        <w:rPr>
          <w:spacing w:val="-3"/>
        </w:rPr>
        <w:t> </w:t>
      </w:r>
      <w:r>
        <w:rPr/>
        <w:t>when</w:t>
      </w:r>
      <w:r>
        <w:rPr>
          <w:spacing w:val="-1"/>
        </w:rPr>
        <w:t> </w:t>
      </w:r>
      <w:r>
        <w:rPr/>
        <w:t>wood</w:t>
      </w:r>
      <w:r>
        <w:rPr>
          <w:spacing w:val="-1"/>
        </w:rPr>
        <w:t> </w:t>
      </w:r>
      <w:r>
        <w:rPr/>
        <w:t>is</w:t>
      </w:r>
      <w:r>
        <w:rPr>
          <w:spacing w:val="-2"/>
        </w:rPr>
        <w:t> </w:t>
      </w:r>
      <w:r>
        <w:rPr/>
        <w:t>dried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state</w:t>
      </w:r>
      <w:r>
        <w:rPr>
          <w:spacing w:val="-1"/>
        </w:rPr>
        <w:t> </w:t>
      </w:r>
      <w:r>
        <w:rPr/>
        <w:t>where</w:t>
      </w:r>
      <w:r>
        <w:rPr>
          <w:spacing w:val="-2"/>
        </w:rPr>
        <w:t> </w:t>
      </w:r>
      <w:r>
        <w:rPr/>
        <w:t>only</w:t>
      </w:r>
      <w:r>
        <w:rPr>
          <w:spacing w:val="-1"/>
        </w:rPr>
        <w:t> </w:t>
      </w:r>
      <w:r>
        <w:rPr/>
        <w:t>bound</w:t>
      </w:r>
      <w:r>
        <w:rPr>
          <w:spacing w:val="-1"/>
        </w:rPr>
        <w:t> </w:t>
      </w:r>
      <w:r>
        <w:rPr/>
        <w:t>water</w:t>
      </w:r>
      <w:r>
        <w:rPr>
          <w:spacing w:val="-2"/>
        </w:rPr>
        <w:t> </w:t>
      </w:r>
      <w:r>
        <w:rPr/>
        <w:t>within</w:t>
      </w:r>
      <w:r>
        <w:rPr>
          <w:spacing w:val="-1"/>
        </w:rPr>
        <w:t> </w:t>
      </w:r>
      <w:r>
        <w:rPr/>
        <w:t>the</w:t>
      </w:r>
      <w:r>
        <w:rPr>
          <w:spacing w:val="-58"/>
        </w:rPr>
        <w:t> </w:t>
      </w:r>
      <w:r>
        <w:rPr/>
        <w:t>wood cells’ walls remain and all other water has been removed by drying.</w:t>
      </w:r>
      <w:r>
        <w:rPr>
          <w:spacing w:val="1"/>
        </w:rPr>
        <w:t> </w:t>
      </w:r>
      <w:r>
        <w:rPr/>
        <w:t>Typically</w:t>
      </w:r>
      <w:r>
        <w:rPr>
          <w:spacing w:val="1"/>
        </w:rPr>
        <w:t> </w:t>
      </w:r>
      <w:r>
        <w:rPr/>
        <w:t>between</w:t>
      </w:r>
      <w:r>
        <w:rPr>
          <w:spacing w:val="-11"/>
        </w:rPr>
        <w:t> </w:t>
      </w:r>
      <w:r>
        <w:rPr/>
        <w:t>20</w:t>
      </w:r>
      <w:r>
        <w:rPr>
          <w:spacing w:val="-11"/>
        </w:rPr>
        <w:t> </w:t>
      </w:r>
      <w:r>
        <w:rPr/>
        <w:t>and</w:t>
      </w:r>
      <w:r>
        <w:rPr>
          <w:spacing w:val="-10"/>
        </w:rPr>
        <w:t> </w:t>
      </w:r>
      <w:r>
        <w:rPr/>
        <w:t>35</w:t>
      </w:r>
      <w:r>
        <w:rPr>
          <w:spacing w:val="-11"/>
        </w:rPr>
        <w:t> </w:t>
      </w:r>
      <w:r>
        <w:rPr/>
        <w:t>percent</w:t>
      </w:r>
      <w:r>
        <w:rPr>
          <w:spacing w:val="-10"/>
        </w:rPr>
        <w:t> </w:t>
      </w:r>
      <w:r>
        <w:rPr/>
        <w:t>moisture</w:t>
      </w:r>
      <w:r>
        <w:rPr>
          <w:spacing w:val="-11"/>
        </w:rPr>
        <w:t> </w:t>
      </w:r>
      <w:r>
        <w:rPr/>
        <w:t>content,</w:t>
      </w:r>
      <w:r>
        <w:rPr>
          <w:spacing w:val="-10"/>
        </w:rPr>
        <w:t> </w:t>
      </w:r>
      <w:r>
        <w:rPr/>
        <w:t>this</w:t>
      </w:r>
      <w:r>
        <w:rPr>
          <w:spacing w:val="-12"/>
        </w:rPr>
        <w:t> </w:t>
      </w:r>
      <w:r>
        <w:rPr/>
        <w:t>value</w:t>
      </w:r>
      <w:r>
        <w:rPr>
          <w:spacing w:val="-10"/>
        </w:rPr>
        <w:t> </w:t>
      </w:r>
      <w:r>
        <w:rPr/>
        <w:t>varies</w:t>
      </w:r>
      <w:r>
        <w:rPr>
          <w:spacing w:val="-12"/>
        </w:rPr>
        <w:t> </w:t>
      </w:r>
      <w:r>
        <w:rPr/>
        <w:t>by</w:t>
      </w:r>
      <w:r>
        <w:rPr>
          <w:spacing w:val="-10"/>
        </w:rPr>
        <w:t> </w:t>
      </w:r>
      <w:r>
        <w:rPr/>
        <w:t>wood</w:t>
      </w:r>
      <w:r>
        <w:rPr>
          <w:spacing w:val="-11"/>
        </w:rPr>
        <w:t> </w:t>
      </w:r>
      <w:r>
        <w:rPr/>
        <w:t>species</w:t>
      </w:r>
      <w:r>
        <w:rPr>
          <w:spacing w:val="-10"/>
        </w:rPr>
        <w:t> </w:t>
      </w:r>
      <w:r>
        <w:rPr/>
        <w:t>[52].</w:t>
      </w:r>
      <w:r>
        <w:rPr>
          <w:spacing w:val="41"/>
        </w:rPr>
        <w:t> </w:t>
      </w:r>
      <w:r>
        <w:rPr/>
        <w:t>When</w:t>
      </w:r>
      <w:r>
        <w:rPr>
          <w:spacing w:val="-58"/>
        </w:rPr>
        <w:t> </w:t>
      </w:r>
      <w:r>
        <w:rPr/>
        <w:t>the</w:t>
      </w:r>
      <w:r>
        <w:rPr>
          <w:spacing w:val="1"/>
        </w:rPr>
        <w:t> </w:t>
      </w:r>
      <w:r>
        <w:rPr/>
        <w:t>moisture</w:t>
      </w:r>
      <w:r>
        <w:rPr>
          <w:spacing w:val="1"/>
        </w:rPr>
        <w:t> </w:t>
      </w:r>
      <w:r>
        <w:rPr/>
        <w:t>content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greater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fiber</w:t>
      </w:r>
      <w:r>
        <w:rPr>
          <w:spacing w:val="1"/>
        </w:rPr>
        <w:t> </w:t>
      </w:r>
      <w:r>
        <w:rPr/>
        <w:t>saturation</w:t>
      </w:r>
      <w:r>
        <w:rPr>
          <w:spacing w:val="1"/>
        </w:rPr>
        <w:t> </w:t>
      </w:r>
      <w:r>
        <w:rPr/>
        <w:t>point,</w:t>
      </w:r>
      <w:r>
        <w:rPr>
          <w:spacing w:val="1"/>
        </w:rPr>
        <w:t> </w:t>
      </w:r>
      <w:r>
        <w:rPr/>
        <w:t>wood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considered</w:t>
      </w:r>
      <w:r>
        <w:rPr>
          <w:spacing w:val="1"/>
        </w:rPr>
        <w:t> </w:t>
      </w:r>
      <w:r>
        <w:rPr/>
        <w:t>dimensionally stable and as the moisture content decreases or increases the dimensions</w:t>
      </w:r>
      <w:r>
        <w:rPr>
          <w:spacing w:val="1"/>
        </w:rPr>
        <w:t> </w:t>
      </w:r>
      <w:r>
        <w:rPr>
          <w:spacing w:val="-1"/>
        </w:rPr>
        <w:t>change</w:t>
      </w:r>
      <w:r>
        <w:rPr>
          <w:spacing w:val="-13"/>
        </w:rPr>
        <w:t> </w:t>
      </w:r>
      <w:r>
        <w:rPr/>
        <w:t>with</w:t>
      </w:r>
      <w:r>
        <w:rPr>
          <w:spacing w:val="-15"/>
        </w:rPr>
        <w:t> </w:t>
      </w:r>
      <w:r>
        <w:rPr/>
        <w:t>shrinkage</w:t>
      </w:r>
      <w:r>
        <w:rPr>
          <w:spacing w:val="-14"/>
        </w:rPr>
        <w:t> </w:t>
      </w:r>
      <w:r>
        <w:rPr/>
        <w:t>or</w:t>
      </w:r>
      <w:r>
        <w:rPr>
          <w:spacing w:val="-14"/>
        </w:rPr>
        <w:t> </w:t>
      </w:r>
      <w:r>
        <w:rPr/>
        <w:t>swelling</w:t>
      </w:r>
      <w:r>
        <w:rPr>
          <w:spacing w:val="-15"/>
        </w:rPr>
        <w:t> </w:t>
      </w:r>
      <w:r>
        <w:rPr/>
        <w:t>respectively</w:t>
      </w:r>
      <w:r>
        <w:rPr>
          <w:spacing w:val="-12"/>
        </w:rPr>
        <w:t> </w:t>
      </w:r>
      <w:r>
        <w:rPr/>
        <w:t>[96].</w:t>
      </w:r>
      <w:r>
        <w:rPr>
          <w:spacing w:val="35"/>
        </w:rPr>
        <w:t> </w:t>
      </w:r>
      <w:r>
        <w:rPr/>
        <w:t>When</w:t>
      </w:r>
      <w:r>
        <w:rPr>
          <w:spacing w:val="-13"/>
        </w:rPr>
        <w:t> </w:t>
      </w:r>
      <w:r>
        <w:rPr/>
        <w:t>dried</w:t>
      </w:r>
      <w:r>
        <w:rPr>
          <w:spacing w:val="-13"/>
        </w:rPr>
        <w:t> </w:t>
      </w:r>
      <w:r>
        <w:rPr/>
        <w:t>below</w:t>
      </w:r>
      <w:r>
        <w:rPr>
          <w:spacing w:val="-15"/>
        </w:rPr>
        <w:t> </w:t>
      </w:r>
      <w:r>
        <w:rPr/>
        <w:t>the</w:t>
      </w:r>
      <w:r>
        <w:rPr>
          <w:spacing w:val="-12"/>
        </w:rPr>
        <w:t> </w:t>
      </w:r>
      <w:r>
        <w:rPr/>
        <w:t>fiber</w:t>
      </w:r>
      <w:r>
        <w:rPr>
          <w:spacing w:val="-13"/>
        </w:rPr>
        <w:t> </w:t>
      </w:r>
      <w:r>
        <w:rPr/>
        <w:t>saturation</w:t>
      </w:r>
      <w:r>
        <w:rPr>
          <w:spacing w:val="-58"/>
        </w:rPr>
        <w:t> </w:t>
      </w:r>
      <w:r>
        <w:rPr/>
        <w:t>point, the decrease in moisture content is matched by an increase in the majority of the</w:t>
      </w:r>
      <w:r>
        <w:rPr>
          <w:spacing w:val="1"/>
        </w:rPr>
        <w:t> </w:t>
      </w:r>
      <w:r>
        <w:rPr/>
        <w:t>strength parameters for wood [52].</w:t>
      </w:r>
      <w:r>
        <w:rPr>
          <w:spacing w:val="1"/>
        </w:rPr>
        <w:t> </w:t>
      </w:r>
      <w:r>
        <w:rPr/>
        <w:t>For example, at a moisture content of 12 percent, a</w:t>
      </w:r>
      <w:r>
        <w:rPr>
          <w:spacing w:val="1"/>
        </w:rPr>
        <w:t> </w:t>
      </w:r>
      <w:r>
        <w:rPr/>
        <w:t>clear specimen of wood can have twice the strength in bending and compression of green</w:t>
      </w:r>
      <w:r>
        <w:rPr>
          <w:spacing w:val="1"/>
        </w:rPr>
        <w:t> </w:t>
      </w:r>
      <w:r>
        <w:rPr/>
        <w:t>wood.</w:t>
      </w:r>
      <w:r>
        <w:rPr>
          <w:spacing w:val="-4"/>
        </w:rPr>
        <w:t> </w:t>
      </w:r>
      <w:r>
        <w:rPr/>
        <w:t>When</w:t>
      </w:r>
      <w:r>
        <w:rPr>
          <w:spacing w:val="-3"/>
        </w:rPr>
        <w:t> </w:t>
      </w:r>
      <w:r>
        <w:rPr/>
        <w:t>kiln-dried</w:t>
      </w:r>
      <w:r>
        <w:rPr>
          <w:spacing w:val="-5"/>
        </w:rPr>
        <w:t> </w:t>
      </w:r>
      <w:r>
        <w:rPr/>
        <w:t>to</w:t>
      </w:r>
      <w:r>
        <w:rPr>
          <w:spacing w:val="-4"/>
        </w:rPr>
        <w:t> </w:t>
      </w:r>
      <w:r>
        <w:rPr/>
        <w:t>5</w:t>
      </w:r>
      <w:r>
        <w:rPr>
          <w:spacing w:val="-4"/>
        </w:rPr>
        <w:t> </w:t>
      </w:r>
      <w:r>
        <w:rPr/>
        <w:t>percent,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increase</w:t>
      </w:r>
      <w:r>
        <w:rPr>
          <w:spacing w:val="-4"/>
        </w:rPr>
        <w:t> </w:t>
      </w:r>
      <w:r>
        <w:rPr/>
        <w:t>in</w:t>
      </w:r>
      <w:r>
        <w:rPr>
          <w:spacing w:val="-4"/>
        </w:rPr>
        <w:t> </w:t>
      </w:r>
      <w:r>
        <w:rPr/>
        <w:t>strength</w:t>
      </w:r>
      <w:r>
        <w:rPr>
          <w:spacing w:val="-4"/>
        </w:rPr>
        <w:t> </w:t>
      </w:r>
      <w:r>
        <w:rPr/>
        <w:t>can</w:t>
      </w:r>
      <w:r>
        <w:rPr>
          <w:spacing w:val="-4"/>
        </w:rPr>
        <w:t> </w:t>
      </w:r>
      <w:r>
        <w:rPr/>
        <w:t>be</w:t>
      </w:r>
      <w:r>
        <w:rPr>
          <w:spacing w:val="-4"/>
        </w:rPr>
        <w:t> </w:t>
      </w:r>
      <w:r>
        <w:rPr/>
        <w:t>as</w:t>
      </w:r>
      <w:r>
        <w:rPr>
          <w:spacing w:val="-4"/>
        </w:rPr>
        <w:t> </w:t>
      </w:r>
      <w:r>
        <w:rPr/>
        <w:t>much</w:t>
      </w:r>
      <w:r>
        <w:rPr>
          <w:spacing w:val="-4"/>
        </w:rPr>
        <w:t> </w:t>
      </w:r>
      <w:r>
        <w:rPr/>
        <w:t>as</w:t>
      </w:r>
      <w:r>
        <w:rPr>
          <w:spacing w:val="-4"/>
        </w:rPr>
        <w:t> </w:t>
      </w:r>
      <w:r>
        <w:rPr/>
        <w:t>three</w:t>
      </w:r>
      <w:r>
        <w:rPr>
          <w:spacing w:val="-4"/>
        </w:rPr>
        <w:t> </w:t>
      </w:r>
      <w:r>
        <w:rPr/>
        <w:t>times</w:t>
      </w:r>
      <w:r>
        <w:rPr>
          <w:spacing w:val="-58"/>
        </w:rPr>
        <w:t> </w:t>
      </w:r>
      <w:r>
        <w:rPr/>
        <w:t>that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 unseasoned wood [52].</w:t>
      </w:r>
    </w:p>
    <w:p>
      <w:pPr>
        <w:pStyle w:val="BodyText"/>
        <w:spacing w:line="480" w:lineRule="auto" w:before="160"/>
        <w:ind w:left="439" w:right="257" w:firstLine="720"/>
        <w:jc w:val="both"/>
      </w:pPr>
      <w:r>
        <w:rPr/>
        <w:t>Unfortunately, at moisture contents less than the fiber saturation point, wood</w:t>
      </w:r>
      <w:r>
        <w:rPr>
          <w:spacing w:val="1"/>
        </w:rPr>
        <w:t> </w:t>
      </w:r>
      <w:r>
        <w:rPr/>
        <w:t>shrinks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cause</w:t>
      </w:r>
      <w:r>
        <w:rPr>
          <w:spacing w:val="1"/>
        </w:rPr>
        <w:t> </w:t>
      </w:r>
      <w:r>
        <w:rPr/>
        <w:t>warping,</w:t>
      </w:r>
      <w:r>
        <w:rPr>
          <w:spacing w:val="1"/>
        </w:rPr>
        <w:t> </w:t>
      </w:r>
      <w:r>
        <w:rPr/>
        <w:t>checking,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splitting,</w:t>
      </w:r>
      <w:r>
        <w:rPr>
          <w:spacing w:val="1"/>
        </w:rPr>
        <w:t> </w:t>
      </w:r>
      <w:r>
        <w:rPr/>
        <w:t>degrading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overall</w:t>
      </w:r>
      <w:r>
        <w:rPr>
          <w:spacing w:val="1"/>
        </w:rPr>
        <w:t> </w:t>
      </w:r>
      <w:r>
        <w:rPr/>
        <w:t>performance of the wood [96]. The shrinkage rates differ with respect to orientation. The</w:t>
      </w:r>
      <w:r>
        <w:rPr>
          <w:spacing w:val="1"/>
        </w:rPr>
        <w:t> </w:t>
      </w:r>
      <w:r>
        <w:rPr/>
        <w:t>most shrinkage occurs tangentially followed by radial direction shrinkage.</w:t>
      </w:r>
      <w:r>
        <w:rPr>
          <w:spacing w:val="1"/>
        </w:rPr>
        <w:t> </w:t>
      </w:r>
      <w:r>
        <w:rPr/>
        <w:t>Only minor, if</w:t>
      </w:r>
      <w:r>
        <w:rPr>
          <w:spacing w:val="-57"/>
        </w:rPr>
        <w:t> </w:t>
      </w:r>
      <w:r>
        <w:rPr/>
        <w:t>any, shrinkage occurs longitudinally for most species.</w:t>
      </w:r>
      <w:r>
        <w:rPr>
          <w:spacing w:val="1"/>
        </w:rPr>
        <w:t> </w:t>
      </w:r>
      <w:r>
        <w:rPr/>
        <w:t>Longitudinal shrinkage leads to</w:t>
      </w:r>
      <w:r>
        <w:rPr>
          <w:spacing w:val="1"/>
        </w:rPr>
        <w:t> </w:t>
      </w:r>
      <w:r>
        <w:rPr/>
        <w:t>shape distortion in sawn timber sections [96].</w:t>
      </w:r>
      <w:r>
        <w:rPr>
          <w:spacing w:val="1"/>
        </w:rPr>
        <w:t> </w:t>
      </w:r>
      <w:r>
        <w:rPr/>
        <w:t>To avoid shrinkage issues while also</w:t>
      </w:r>
      <w:r>
        <w:rPr>
          <w:spacing w:val="1"/>
        </w:rPr>
        <w:t> </w:t>
      </w:r>
      <w:r>
        <w:rPr/>
        <w:t>maximizing</w:t>
      </w:r>
      <w:r>
        <w:rPr>
          <w:spacing w:val="20"/>
        </w:rPr>
        <w:t> </w:t>
      </w:r>
      <w:r>
        <w:rPr/>
        <w:t>the</w:t>
      </w:r>
      <w:r>
        <w:rPr>
          <w:spacing w:val="19"/>
        </w:rPr>
        <w:t> </w:t>
      </w:r>
      <w:r>
        <w:rPr/>
        <w:t>strength</w:t>
      </w:r>
      <w:r>
        <w:rPr>
          <w:spacing w:val="18"/>
        </w:rPr>
        <w:t> </w:t>
      </w:r>
      <w:r>
        <w:rPr/>
        <w:t>of</w:t>
      </w:r>
      <w:r>
        <w:rPr>
          <w:spacing w:val="18"/>
        </w:rPr>
        <w:t> </w:t>
      </w:r>
      <w:r>
        <w:rPr/>
        <w:t>the</w:t>
      </w:r>
      <w:r>
        <w:rPr>
          <w:spacing w:val="20"/>
        </w:rPr>
        <w:t> </w:t>
      </w:r>
      <w:r>
        <w:rPr/>
        <w:t>wood,</w:t>
      </w:r>
      <w:r>
        <w:rPr>
          <w:spacing w:val="19"/>
        </w:rPr>
        <w:t> </w:t>
      </w:r>
      <w:r>
        <w:rPr/>
        <w:t>builders</w:t>
      </w:r>
      <w:r>
        <w:rPr>
          <w:spacing w:val="18"/>
        </w:rPr>
        <w:t> </w:t>
      </w:r>
      <w:r>
        <w:rPr/>
        <w:t>typically</w:t>
      </w:r>
      <w:r>
        <w:rPr>
          <w:spacing w:val="19"/>
        </w:rPr>
        <w:t> </w:t>
      </w:r>
      <w:r>
        <w:rPr/>
        <w:t>install</w:t>
      </w:r>
      <w:r>
        <w:rPr>
          <w:spacing w:val="20"/>
        </w:rPr>
        <w:t> </w:t>
      </w:r>
      <w:r>
        <w:rPr/>
        <w:t>wood</w:t>
      </w:r>
      <w:r>
        <w:rPr>
          <w:spacing w:val="19"/>
        </w:rPr>
        <w:t> </w:t>
      </w:r>
      <w:r>
        <w:rPr/>
        <w:t>products</w:t>
      </w:r>
      <w:r>
        <w:rPr>
          <w:spacing w:val="19"/>
        </w:rPr>
        <w:t> </w:t>
      </w:r>
      <w:r>
        <w:rPr/>
        <w:t>at</w:t>
      </w:r>
      <w:r>
        <w:rPr>
          <w:spacing w:val="18"/>
        </w:rPr>
        <w:t> </w:t>
      </w:r>
      <w:r>
        <w:rPr/>
        <w:t>the</w:t>
      </w:r>
      <w:r>
        <w:rPr>
          <w:spacing w:val="19"/>
        </w:rPr>
        <w:t> </w:t>
      </w:r>
      <w:r>
        <w:rPr/>
        <w:t>in-</w:t>
      </w:r>
    </w:p>
    <w:p>
      <w:pPr>
        <w:spacing w:after="0" w:line="480" w:lineRule="auto"/>
        <w:jc w:val="both"/>
        <w:sectPr>
          <w:pgSz w:w="12240" w:h="15840"/>
          <w:pgMar w:header="0" w:footer="1064" w:top="1440" w:bottom="1260" w:left="1720" w:right="1180"/>
        </w:sectPr>
      </w:pPr>
    </w:p>
    <w:p>
      <w:pPr>
        <w:pStyle w:val="BodyText"/>
        <w:spacing w:line="480" w:lineRule="auto" w:before="78"/>
        <w:ind w:left="440" w:right="258"/>
        <w:jc w:val="both"/>
      </w:pPr>
      <w:r>
        <w:rPr/>
        <w:t>service moisture content.</w:t>
      </w:r>
      <w:r>
        <w:rPr>
          <w:spacing w:val="1"/>
        </w:rPr>
        <w:t> </w:t>
      </w:r>
      <w:r>
        <w:rPr/>
        <w:t>This results in challenges for construction of exposed wood in</w:t>
      </w:r>
      <w:r>
        <w:rPr>
          <w:spacing w:val="1"/>
        </w:rPr>
        <w:t> </w:t>
      </w:r>
      <w:r>
        <w:rPr/>
        <w:t>locations that experience significant seasonal changes.</w:t>
      </w:r>
      <w:r>
        <w:rPr>
          <w:spacing w:val="1"/>
        </w:rPr>
        <w:t> </w:t>
      </w:r>
      <w:r>
        <w:rPr/>
        <w:t>With glued wood products and</w:t>
      </w:r>
      <w:r>
        <w:rPr>
          <w:spacing w:val="1"/>
        </w:rPr>
        <w:t> </w:t>
      </w:r>
      <w:r>
        <w:rPr/>
        <w:t>laminated members, the practice is to dry the members to a level below the expected in-</w:t>
      </w:r>
      <w:r>
        <w:rPr>
          <w:spacing w:val="1"/>
        </w:rPr>
        <w:t> </w:t>
      </w:r>
      <w:r>
        <w:rPr/>
        <w:t>service</w:t>
      </w:r>
      <w:r>
        <w:rPr>
          <w:spacing w:val="-2"/>
        </w:rPr>
        <w:t> </w:t>
      </w:r>
      <w:r>
        <w:rPr/>
        <w:t>moisture</w:t>
      </w:r>
      <w:r>
        <w:rPr>
          <w:spacing w:val="-1"/>
        </w:rPr>
        <w:t> </w:t>
      </w:r>
      <w:r>
        <w:rPr/>
        <w:t>content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avoid</w:t>
      </w:r>
      <w:r>
        <w:rPr>
          <w:spacing w:val="-3"/>
        </w:rPr>
        <w:t> </w:t>
      </w:r>
      <w:r>
        <w:rPr/>
        <w:t>issues</w:t>
      </w:r>
      <w:r>
        <w:rPr>
          <w:spacing w:val="-1"/>
        </w:rPr>
        <w:t> </w:t>
      </w:r>
      <w:r>
        <w:rPr/>
        <w:t>with</w:t>
      </w:r>
      <w:r>
        <w:rPr>
          <w:spacing w:val="-1"/>
        </w:rPr>
        <w:t> </w:t>
      </w:r>
      <w:r>
        <w:rPr/>
        <w:t>moisture</w:t>
      </w:r>
      <w:r>
        <w:rPr>
          <w:spacing w:val="-1"/>
        </w:rPr>
        <w:t> </w:t>
      </w:r>
      <w:r>
        <w:rPr/>
        <w:t>absorbed</w:t>
      </w:r>
      <w:r>
        <w:rPr>
          <w:spacing w:val="-1"/>
        </w:rPr>
        <w:t> </w:t>
      </w:r>
      <w:r>
        <w:rPr/>
        <w:t>from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adhesive</w:t>
      </w:r>
      <w:r>
        <w:rPr>
          <w:spacing w:val="-1"/>
        </w:rPr>
        <w:t> </w:t>
      </w:r>
      <w:r>
        <w:rPr/>
        <w:t>[96].</w:t>
      </w:r>
    </w:p>
    <w:p>
      <w:pPr>
        <w:pStyle w:val="BodyText"/>
        <w:spacing w:line="480" w:lineRule="auto" w:before="159"/>
        <w:ind w:left="440" w:right="256" w:firstLine="720"/>
        <w:jc w:val="both"/>
      </w:pPr>
      <w:r>
        <w:rPr/>
        <w:t>Performance-rated CLT component requirements, outlined in the 2012 standard,</w:t>
      </w:r>
      <w:r>
        <w:rPr>
          <w:spacing w:val="1"/>
        </w:rPr>
        <w:t> </w:t>
      </w:r>
      <w:r>
        <w:rPr/>
        <w:t>call for the low moisture content of the lumber at the time of manufacture – just 12 ± 3</w:t>
      </w:r>
      <w:r>
        <w:rPr>
          <w:spacing w:val="1"/>
        </w:rPr>
        <w:t> </w:t>
      </w:r>
      <w:r>
        <w:rPr/>
        <w:t>percent [12]. Typical dry solid-sawn lumber has a moisture content of 19 percent or less.</w:t>
      </w:r>
      <w:r>
        <w:rPr>
          <w:spacing w:val="1"/>
        </w:rPr>
        <w:t> </w:t>
      </w:r>
      <w:r>
        <w:rPr/>
        <w:t>Therefore, the lumber used in making CLT is drier and a reduction in moisture content to</w:t>
      </w:r>
      <w:r>
        <w:rPr>
          <w:spacing w:val="1"/>
        </w:rPr>
        <w:t> </w:t>
      </w:r>
      <w:r>
        <w:rPr/>
        <w:t>15 percent increases most properties of interest in structural design [34].</w:t>
      </w:r>
      <w:r>
        <w:rPr>
          <w:spacing w:val="1"/>
        </w:rPr>
        <w:t> </w:t>
      </w:r>
      <w:r>
        <w:rPr/>
        <w:t>With such a low</w:t>
      </w:r>
      <w:r>
        <w:rPr>
          <w:spacing w:val="-57"/>
        </w:rPr>
        <w:t> </w:t>
      </w:r>
      <w:r>
        <w:rPr/>
        <w:t>moisture content, variations in the size of the pieces due to shrinkage as well as surface</w:t>
      </w:r>
      <w:r>
        <w:rPr>
          <w:spacing w:val="1"/>
        </w:rPr>
        <w:t> </w:t>
      </w:r>
      <w:r>
        <w:rPr/>
        <w:t>cracking can be avoided [68].</w:t>
      </w:r>
      <w:r>
        <w:rPr>
          <w:spacing w:val="1"/>
        </w:rPr>
        <w:t> </w:t>
      </w:r>
      <w:r>
        <w:rPr/>
        <w:t>Strict quality control is necessary in the manufacturing of</w:t>
      </w:r>
      <w:r>
        <w:rPr>
          <w:spacing w:val="1"/>
        </w:rPr>
        <w:t> </w:t>
      </w:r>
      <w:r>
        <w:rPr/>
        <w:t>CLT to maintain low moisture contents and maximize the wood strength while also</w:t>
      </w:r>
      <w:r>
        <w:rPr>
          <w:spacing w:val="1"/>
        </w:rPr>
        <w:t> </w:t>
      </w:r>
      <w:r>
        <w:rPr/>
        <w:t>minimizing surface cracking.</w:t>
      </w:r>
      <w:r>
        <w:rPr>
          <w:spacing w:val="1"/>
        </w:rPr>
        <w:t> </w:t>
      </w:r>
      <w:r>
        <w:rPr/>
        <w:t>Important characteristics of the process include consistency</w:t>
      </w:r>
      <w:r>
        <w:rPr>
          <w:spacing w:val="-58"/>
        </w:rPr>
        <w:t> </w:t>
      </w:r>
      <w:r>
        <w:rPr/>
        <w:t>in lumber quality and control of factors that could negatively influence the adhesive bond</w:t>
      </w:r>
      <w:r>
        <w:rPr>
          <w:spacing w:val="-57"/>
        </w:rPr>
        <w:t> </w:t>
      </w:r>
      <w:r>
        <w:rPr/>
        <w:t>between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wood pieces</w:t>
      </w:r>
      <w:r>
        <w:rPr>
          <w:spacing w:val="-1"/>
        </w:rPr>
        <w:t> </w:t>
      </w:r>
      <w:r>
        <w:rPr/>
        <w:t>[68].</w:t>
      </w:r>
    </w:p>
    <w:p>
      <w:pPr>
        <w:pStyle w:val="BodyText"/>
        <w:spacing w:line="480" w:lineRule="auto" w:before="161"/>
        <w:ind w:left="439" w:right="257" w:firstLine="720"/>
        <w:jc w:val="both"/>
      </w:pPr>
      <w:r>
        <w:rPr/>
        <w:t>Adhesive is also an important component of CLT.</w:t>
      </w:r>
      <w:r>
        <w:rPr>
          <w:spacing w:val="1"/>
        </w:rPr>
        <w:t> </w:t>
      </w:r>
      <w:r>
        <w:rPr/>
        <w:t>Requirements on the types of</w:t>
      </w:r>
      <w:r>
        <w:rPr>
          <w:spacing w:val="1"/>
        </w:rPr>
        <w:t> </w:t>
      </w:r>
      <w:r>
        <w:rPr/>
        <w:t>adhesives used are the same as other engineered wood products like glulam.</w:t>
      </w:r>
      <w:r>
        <w:rPr>
          <w:spacing w:val="1"/>
        </w:rPr>
        <w:t> </w:t>
      </w:r>
      <w:r>
        <w:rPr/>
        <w:t>Common</w:t>
      </w:r>
      <w:r>
        <w:rPr>
          <w:spacing w:val="1"/>
        </w:rPr>
        <w:t> </w:t>
      </w:r>
      <w:r>
        <w:rPr/>
        <w:t>adhesive products used in CLT production are polyurethane, melamine, and phenolic-</w:t>
      </w:r>
      <w:r>
        <w:rPr>
          <w:spacing w:val="1"/>
        </w:rPr>
        <w:t> </w:t>
      </w:r>
      <w:r>
        <w:rPr/>
        <w:t>based adhesives.</w:t>
      </w:r>
      <w:r>
        <w:rPr>
          <w:spacing w:val="1"/>
        </w:rPr>
        <w:t> </w:t>
      </w:r>
      <w:r>
        <w:rPr/>
        <w:t>The adhesion process typically involves use of a press, either hydraulic</w:t>
      </w:r>
      <w:r>
        <w:rPr>
          <w:spacing w:val="1"/>
        </w:rPr>
        <w:t> </w:t>
      </w:r>
      <w:r>
        <w:rPr/>
        <w:t>or vacuum, and compressed air.</w:t>
      </w:r>
      <w:r>
        <w:rPr>
          <w:spacing w:val="60"/>
        </w:rPr>
        <w:t> </w:t>
      </w:r>
      <w:r>
        <w:rPr/>
        <w:t>Use of a plane and sander is common after assembly for</w:t>
      </w:r>
      <w:r>
        <w:rPr>
          <w:spacing w:val="1"/>
        </w:rPr>
        <w:t> </w:t>
      </w:r>
      <w:r>
        <w:rPr/>
        <w:t>a smooth, even finish of the panel.</w:t>
      </w:r>
      <w:r>
        <w:rPr>
          <w:spacing w:val="1"/>
        </w:rPr>
        <w:t> </w:t>
      </w:r>
      <w:r>
        <w:rPr/>
        <w:t>If the design specifications call for an opening in the</w:t>
      </w:r>
      <w:r>
        <w:rPr>
          <w:spacing w:val="1"/>
        </w:rPr>
        <w:t> </w:t>
      </w:r>
      <w:r>
        <w:rPr/>
        <w:t>panel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fenestrations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wall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utility</w:t>
      </w:r>
      <w:r>
        <w:rPr>
          <w:spacing w:val="1"/>
        </w:rPr>
        <w:t> </w:t>
      </w:r>
      <w:r>
        <w:rPr/>
        <w:t>infrastructure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ducting,</w:t>
      </w:r>
      <w:r>
        <w:rPr>
          <w:spacing w:val="1"/>
        </w:rPr>
        <w:t> </w:t>
      </w:r>
      <w:r>
        <w:rPr/>
        <w:t>manufacturers</w:t>
      </w:r>
      <w:r>
        <w:rPr>
          <w:spacing w:val="-1"/>
        </w:rPr>
        <w:t> </w:t>
      </w:r>
      <w:r>
        <w:rPr/>
        <w:t>use</w:t>
      </w:r>
      <w:r>
        <w:rPr>
          <w:spacing w:val="-1"/>
        </w:rPr>
        <w:t> </w:t>
      </w:r>
      <w:r>
        <w:rPr/>
        <w:t>Computer</w:t>
      </w:r>
      <w:r>
        <w:rPr>
          <w:spacing w:val="-1"/>
        </w:rPr>
        <w:t> </w:t>
      </w:r>
      <w:r>
        <w:rPr/>
        <w:t>Numerical Controlled</w:t>
      </w:r>
      <w:r>
        <w:rPr>
          <w:spacing w:val="-1"/>
        </w:rPr>
        <w:t> </w:t>
      </w:r>
      <w:r>
        <w:rPr/>
        <w:t>(CNC)</w:t>
      </w:r>
      <w:r>
        <w:rPr>
          <w:spacing w:val="-1"/>
        </w:rPr>
        <w:t> </w:t>
      </w:r>
      <w:r>
        <w:rPr/>
        <w:t>routers to</w:t>
      </w:r>
      <w:r>
        <w:rPr>
          <w:spacing w:val="-1"/>
        </w:rPr>
        <w:t> </w:t>
      </w:r>
      <w:r>
        <w:rPr/>
        <w:t>make</w:t>
      </w:r>
      <w:r>
        <w:rPr>
          <w:spacing w:val="-1"/>
        </w:rPr>
        <w:t> </w:t>
      </w:r>
      <w:r>
        <w:rPr/>
        <w:t>the exact</w:t>
      </w:r>
      <w:r>
        <w:rPr>
          <w:spacing w:val="-1"/>
        </w:rPr>
        <w:t> </w:t>
      </w:r>
      <w:r>
        <w:rPr/>
        <w:t>cuts.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40" w:right="256"/>
        <w:jc w:val="both"/>
      </w:pPr>
      <w:r>
        <w:rPr/>
        <w:t>Production</w:t>
      </w:r>
      <w:r>
        <w:rPr>
          <w:spacing w:val="-8"/>
        </w:rPr>
        <w:t> </w:t>
      </w:r>
      <w:r>
        <w:rPr/>
        <w:t>facilities</w:t>
      </w:r>
      <w:r>
        <w:rPr>
          <w:spacing w:val="-7"/>
        </w:rPr>
        <w:t> </w:t>
      </w:r>
      <w:r>
        <w:rPr/>
        <w:t>typically</w:t>
      </w:r>
      <w:r>
        <w:rPr>
          <w:spacing w:val="-7"/>
        </w:rPr>
        <w:t> </w:t>
      </w:r>
      <w:r>
        <w:rPr/>
        <w:t>include</w:t>
      </w:r>
      <w:r>
        <w:rPr>
          <w:spacing w:val="-8"/>
        </w:rPr>
        <w:t> </w:t>
      </w:r>
      <w:r>
        <w:rPr/>
        <w:t>standard</w:t>
      </w:r>
      <w:r>
        <w:rPr>
          <w:spacing w:val="-7"/>
        </w:rPr>
        <w:t> </w:t>
      </w:r>
      <w:r>
        <w:rPr/>
        <w:t>compliance</w:t>
      </w:r>
      <w:r>
        <w:rPr>
          <w:spacing w:val="-7"/>
        </w:rPr>
        <w:t> </w:t>
      </w:r>
      <w:r>
        <w:rPr/>
        <w:t>checks</w:t>
      </w:r>
      <w:r>
        <w:rPr>
          <w:spacing w:val="-7"/>
        </w:rPr>
        <w:t> </w:t>
      </w:r>
      <w:r>
        <w:rPr/>
        <w:t>as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/>
        <w:t>part</w:t>
      </w:r>
      <w:r>
        <w:rPr>
          <w:spacing w:val="-6"/>
        </w:rPr>
        <w:t> </w:t>
      </w:r>
      <w:r>
        <w:rPr/>
        <w:t>of</w:t>
      </w:r>
      <w:r>
        <w:rPr>
          <w:spacing w:val="-8"/>
        </w:rPr>
        <w:t> </w:t>
      </w:r>
      <w:r>
        <w:rPr/>
        <w:t>their</w:t>
      </w:r>
      <w:r>
        <w:rPr>
          <w:spacing w:val="-7"/>
        </w:rPr>
        <w:t> </w:t>
      </w:r>
      <w:r>
        <w:rPr/>
        <w:t>quality</w:t>
      </w:r>
      <w:r>
        <w:rPr>
          <w:spacing w:val="-58"/>
        </w:rPr>
        <w:t> </w:t>
      </w:r>
      <w:r>
        <w:rPr/>
        <w:t>control</w:t>
      </w:r>
      <w:r>
        <w:rPr>
          <w:spacing w:val="-1"/>
        </w:rPr>
        <w:t> </w:t>
      </w:r>
      <w:r>
        <w:rPr/>
        <w:t>processes [68].</w:t>
      </w:r>
    </w:p>
    <w:p>
      <w:pPr>
        <w:pStyle w:val="ListParagraph"/>
        <w:numPr>
          <w:ilvl w:val="2"/>
          <w:numId w:val="15"/>
        </w:numPr>
        <w:tabs>
          <w:tab w:pos="980" w:val="left" w:leader="none"/>
        </w:tabs>
        <w:spacing w:line="240" w:lineRule="auto" w:before="161" w:after="0"/>
        <w:ind w:left="980" w:right="0" w:hanging="540"/>
        <w:jc w:val="both"/>
        <w:rPr>
          <w:i/>
          <w:sz w:val="24"/>
        </w:rPr>
      </w:pPr>
      <w:bookmarkStart w:name="2.1.5 Mechanical performance of CLT" w:id="44"/>
      <w:bookmarkEnd w:id="44"/>
      <w:r>
        <w:rPr/>
      </w:r>
      <w:bookmarkStart w:name="2.1.5 Mechanical performance of CLT" w:id="45"/>
      <w:bookmarkEnd w:id="45"/>
      <w:r>
        <w:rPr>
          <w:i/>
          <w:sz w:val="24"/>
        </w:rPr>
        <w:t>Mech</w:t>
      </w:r>
      <w:r>
        <w:rPr>
          <w:i/>
          <w:sz w:val="24"/>
        </w:rPr>
        <w:t>anical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performance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CLT</w:t>
      </w:r>
    </w:p>
    <w:p>
      <w:pPr>
        <w:pStyle w:val="BodyText"/>
        <w:spacing w:before="7"/>
        <w:rPr>
          <w:i/>
          <w:sz w:val="22"/>
        </w:rPr>
      </w:pPr>
    </w:p>
    <w:p>
      <w:pPr>
        <w:pStyle w:val="BodyText"/>
        <w:spacing w:line="480" w:lineRule="auto"/>
        <w:ind w:left="439" w:right="257" w:firstLine="720"/>
        <w:jc w:val="both"/>
      </w:pPr>
      <w:r>
        <w:rPr/>
        <w:t>The performance of CLT is dependent on many factors.</w:t>
      </w:r>
      <w:r>
        <w:rPr>
          <w:spacing w:val="1"/>
        </w:rPr>
        <w:t> </w:t>
      </w:r>
      <w:r>
        <w:rPr/>
        <w:t>One large factor is the</w:t>
      </w:r>
      <w:r>
        <w:rPr>
          <w:spacing w:val="1"/>
        </w:rPr>
        <w:t> </w:t>
      </w:r>
      <w:r>
        <w:rPr/>
        <w:t>wood</w:t>
      </w:r>
      <w:r>
        <w:rPr>
          <w:spacing w:val="-1"/>
        </w:rPr>
        <w:t> </w:t>
      </w:r>
      <w:r>
        <w:rPr/>
        <w:t>species</w:t>
      </w:r>
      <w:r>
        <w:rPr>
          <w:spacing w:val="-1"/>
        </w:rPr>
        <w:t> </w:t>
      </w:r>
      <w:r>
        <w:rPr/>
        <w:t>used</w:t>
      </w:r>
      <w:r>
        <w:rPr>
          <w:spacing w:val="-1"/>
        </w:rPr>
        <w:t> </w:t>
      </w:r>
      <w:r>
        <w:rPr/>
        <w:t>for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lamina</w:t>
      </w:r>
      <w:r>
        <w:rPr>
          <w:spacing w:val="-1"/>
        </w:rPr>
        <w:t> </w:t>
      </w:r>
      <w:r>
        <w:rPr/>
        <w:t>and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density</w:t>
      </w:r>
      <w:r>
        <w:rPr>
          <w:spacing w:val="-4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wood.</w:t>
      </w:r>
      <w:r>
        <w:rPr>
          <w:spacing w:val="58"/>
        </w:rPr>
        <w:t> </w:t>
      </w:r>
      <w:r>
        <w:rPr/>
        <w:t>Even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bonding pressure</w:t>
      </w:r>
      <w:r>
        <w:rPr>
          <w:spacing w:val="-58"/>
        </w:rPr>
        <w:t> </w:t>
      </w:r>
      <w:r>
        <w:rPr/>
        <w:t>required</w:t>
      </w:r>
      <w:r>
        <w:rPr>
          <w:spacing w:val="-7"/>
        </w:rPr>
        <w:t> </w:t>
      </w:r>
      <w:r>
        <w:rPr/>
        <w:t>for</w:t>
      </w:r>
      <w:r>
        <w:rPr>
          <w:spacing w:val="-6"/>
        </w:rPr>
        <w:t> </w:t>
      </w:r>
      <w:r>
        <w:rPr/>
        <w:t>good</w:t>
      </w:r>
      <w:r>
        <w:rPr>
          <w:spacing w:val="-6"/>
        </w:rPr>
        <w:t> </w:t>
      </w:r>
      <w:r>
        <w:rPr/>
        <w:t>adhesion</w:t>
      </w:r>
      <w:r>
        <w:rPr>
          <w:spacing w:val="-7"/>
        </w:rPr>
        <w:t> </w:t>
      </w:r>
      <w:r>
        <w:rPr/>
        <w:t>can</w:t>
      </w:r>
      <w:r>
        <w:rPr>
          <w:spacing w:val="-6"/>
        </w:rPr>
        <w:t> </w:t>
      </w:r>
      <w:r>
        <w:rPr/>
        <w:t>be</w:t>
      </w:r>
      <w:r>
        <w:rPr>
          <w:spacing w:val="-6"/>
        </w:rPr>
        <w:t> </w:t>
      </w:r>
      <w:r>
        <w:rPr/>
        <w:t>dependent</w:t>
      </w:r>
      <w:r>
        <w:rPr>
          <w:spacing w:val="-7"/>
        </w:rPr>
        <w:t> </w:t>
      </w:r>
      <w:r>
        <w:rPr/>
        <w:t>on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species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base</w:t>
      </w:r>
      <w:r>
        <w:rPr>
          <w:spacing w:val="-6"/>
        </w:rPr>
        <w:t> </w:t>
      </w:r>
      <w:r>
        <w:rPr/>
        <w:t>wood</w:t>
      </w:r>
      <w:r>
        <w:rPr>
          <w:spacing w:val="-7"/>
        </w:rPr>
        <w:t> </w:t>
      </w:r>
      <w:r>
        <w:rPr/>
        <w:t>[33].</w:t>
      </w:r>
      <w:r>
        <w:rPr>
          <w:spacing w:val="48"/>
        </w:rPr>
        <w:t> </w:t>
      </w:r>
      <w:r>
        <w:rPr/>
        <w:t>In</w:t>
      </w:r>
      <w:r>
        <w:rPr>
          <w:spacing w:val="-7"/>
        </w:rPr>
        <w:t> </w:t>
      </w:r>
      <w:r>
        <w:rPr/>
        <w:t>general,</w:t>
      </w:r>
      <w:r>
        <w:rPr>
          <w:spacing w:val="-57"/>
        </w:rPr>
        <w:t> </w:t>
      </w:r>
      <w:r>
        <w:rPr/>
        <w:t>the</w:t>
      </w:r>
      <w:r>
        <w:rPr>
          <w:spacing w:val="1"/>
        </w:rPr>
        <w:t> </w:t>
      </w:r>
      <w:r>
        <w:rPr/>
        <w:t>mechanical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CLT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evaluated</w:t>
      </w:r>
      <w:r>
        <w:rPr>
          <w:spacing w:val="1"/>
        </w:rPr>
        <w:t> </w:t>
      </w:r>
      <w:r>
        <w:rPr/>
        <w:t>through</w:t>
      </w:r>
      <w:r>
        <w:rPr>
          <w:spacing w:val="1"/>
        </w:rPr>
        <w:t> </w:t>
      </w:r>
      <w:r>
        <w:rPr/>
        <w:t>two</w:t>
      </w:r>
      <w:r>
        <w:rPr>
          <w:spacing w:val="1"/>
        </w:rPr>
        <w:t> </w:t>
      </w:r>
      <w:r>
        <w:rPr/>
        <w:t>methods:</w:t>
      </w:r>
      <w:r>
        <w:rPr>
          <w:spacing w:val="1"/>
        </w:rPr>
        <w:t> </w:t>
      </w:r>
      <w:r>
        <w:rPr/>
        <w:t>1)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determination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based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models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single</w:t>
      </w:r>
      <w:r>
        <w:rPr>
          <w:spacing w:val="1"/>
        </w:rPr>
        <w:t> </w:t>
      </w:r>
      <w:r>
        <w:rPr/>
        <w:t>boards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layers;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2)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determination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based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testing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CLT</w:t>
      </w:r>
      <w:r>
        <w:rPr>
          <w:spacing w:val="1"/>
        </w:rPr>
        <w:t> </w:t>
      </w:r>
      <w:r>
        <w:rPr/>
        <w:t>elements</w:t>
      </w:r>
      <w:r>
        <w:rPr>
          <w:spacing w:val="1"/>
        </w:rPr>
        <w:t> </w:t>
      </w:r>
      <w:r>
        <w:rPr/>
        <w:t>[33].</w:t>
      </w:r>
      <w:r>
        <w:rPr>
          <w:spacing w:val="1"/>
        </w:rPr>
        <w:t> </w:t>
      </w:r>
      <w:r>
        <w:rPr/>
        <w:t>Critical</w:t>
      </w:r>
      <w:r>
        <w:rPr>
          <w:spacing w:val="1"/>
        </w:rPr>
        <w:t> </w:t>
      </w:r>
      <w:r>
        <w:rPr/>
        <w:t>performance metrics for floor and roof elements are in-plane and out-of-plane bending</w:t>
      </w:r>
      <w:r>
        <w:rPr>
          <w:spacing w:val="1"/>
        </w:rPr>
        <w:t> </w:t>
      </w:r>
      <w:r>
        <w:rPr/>
        <w:t>strength,</w:t>
      </w:r>
      <w:r>
        <w:rPr>
          <w:spacing w:val="1"/>
        </w:rPr>
        <w:t> </w:t>
      </w:r>
      <w:r>
        <w:rPr/>
        <w:t>shear</w:t>
      </w:r>
      <w:r>
        <w:rPr>
          <w:spacing w:val="1"/>
        </w:rPr>
        <w:t> </w:t>
      </w:r>
      <w:r>
        <w:rPr/>
        <w:t>strength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stiffness.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wall</w:t>
      </w:r>
      <w:r>
        <w:rPr>
          <w:spacing w:val="1"/>
        </w:rPr>
        <w:t> </w:t>
      </w:r>
      <w:r>
        <w:rPr/>
        <w:t>panels,</w:t>
      </w:r>
      <w:r>
        <w:rPr>
          <w:spacing w:val="1"/>
        </w:rPr>
        <w:t> </w:t>
      </w:r>
      <w:r>
        <w:rPr/>
        <w:t>essential</w:t>
      </w:r>
      <w:r>
        <w:rPr>
          <w:spacing w:val="1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characteristics include load-bearing capacity, as well as in-plane and out-of-plane shear</w:t>
      </w:r>
      <w:r>
        <w:rPr>
          <w:spacing w:val="1"/>
        </w:rPr>
        <w:t> </w:t>
      </w:r>
      <w:r>
        <w:rPr/>
        <w:t>and bending strength [68]. CLT is engineered to withstand bearing loads both in- and out-</w:t>
      </w:r>
      <w:r>
        <w:rPr>
          <w:spacing w:val="-57"/>
        </w:rPr>
        <w:t> </w:t>
      </w:r>
      <w:r>
        <w:rPr/>
        <w:t>of-plane through the various lay-up compositions [33].</w:t>
      </w:r>
      <w:r>
        <w:rPr>
          <w:spacing w:val="1"/>
        </w:rPr>
        <w:t> </w:t>
      </w:r>
      <w:r>
        <w:rPr/>
        <w:t>Unlike glulam, in CLT the cross-</w:t>
      </w:r>
      <w:r>
        <w:rPr>
          <w:spacing w:val="1"/>
        </w:rPr>
        <w:t> </w:t>
      </w:r>
      <w:r>
        <w:rPr/>
        <w:t>wise orientation of the wood layers offer high in-plane and out-of-plane strength and</w:t>
      </w:r>
      <w:r>
        <w:rPr>
          <w:spacing w:val="1"/>
        </w:rPr>
        <w:t> </w:t>
      </w:r>
      <w:r>
        <w:rPr/>
        <w:t>stiffness</w:t>
      </w:r>
      <w:r>
        <w:rPr>
          <w:spacing w:val="-1"/>
        </w:rPr>
        <w:t> </w:t>
      </w:r>
      <w:r>
        <w:rPr/>
        <w:t>with two-way</w:t>
      </w:r>
      <w:r>
        <w:rPr>
          <w:spacing w:val="-1"/>
        </w:rPr>
        <w:t> </w:t>
      </w:r>
      <w:r>
        <w:rPr/>
        <w:t>action much</w:t>
      </w:r>
      <w:r>
        <w:rPr>
          <w:spacing w:val="-1"/>
        </w:rPr>
        <w:t> </w:t>
      </w:r>
      <w:r>
        <w:rPr/>
        <w:t>like a reinforced</w:t>
      </w:r>
      <w:r>
        <w:rPr>
          <w:spacing w:val="-1"/>
        </w:rPr>
        <w:t> </w:t>
      </w:r>
      <w:r>
        <w:rPr/>
        <w:t>concrete</w:t>
      </w:r>
      <w:r>
        <w:rPr>
          <w:spacing w:val="-1"/>
        </w:rPr>
        <w:t> </w:t>
      </w:r>
      <w:r>
        <w:rPr/>
        <w:t>slab</w:t>
      </w:r>
      <w:r>
        <w:rPr>
          <w:spacing w:val="-1"/>
        </w:rPr>
        <w:t> </w:t>
      </w:r>
      <w:r>
        <w:rPr/>
        <w:t>[68].</w:t>
      </w:r>
    </w:p>
    <w:p>
      <w:pPr>
        <w:pStyle w:val="BodyText"/>
        <w:spacing w:line="480" w:lineRule="auto" w:before="160"/>
        <w:ind w:left="440" w:right="257" w:firstLine="720"/>
        <w:jc w:val="both"/>
      </w:pPr>
      <w:r>
        <w:rPr/>
        <w:t>As a natural material, wood is subject to variation in mechanical properties. Wood</w:t>
      </w:r>
      <w:r>
        <w:rPr>
          <w:spacing w:val="-57"/>
        </w:rPr>
        <w:t> </w:t>
      </w:r>
      <w:r>
        <w:rPr/>
        <w:t>variability can be a product of tree species, growing environment, and tree age.</w:t>
      </w:r>
      <w:r>
        <w:rPr>
          <w:spacing w:val="1"/>
        </w:rPr>
        <w:t> </w:t>
      </w:r>
      <w:r>
        <w:rPr/>
        <w:t>There is</w:t>
      </w:r>
      <w:r>
        <w:rPr>
          <w:spacing w:val="1"/>
        </w:rPr>
        <w:t> </w:t>
      </w:r>
      <w:r>
        <w:rPr/>
        <w:t>an</w:t>
      </w:r>
      <w:r>
        <w:rPr>
          <w:spacing w:val="-8"/>
        </w:rPr>
        <w:t> </w:t>
      </w:r>
      <w:r>
        <w:rPr/>
        <w:t>entire</w:t>
      </w:r>
      <w:r>
        <w:rPr>
          <w:spacing w:val="-8"/>
        </w:rPr>
        <w:t> </w:t>
      </w:r>
      <w:r>
        <w:rPr/>
        <w:t>branch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agriculture</w:t>
      </w:r>
      <w:r>
        <w:rPr>
          <w:spacing w:val="-7"/>
        </w:rPr>
        <w:t> </w:t>
      </w:r>
      <w:r>
        <w:rPr/>
        <w:t>called</w:t>
      </w:r>
      <w:r>
        <w:rPr>
          <w:spacing w:val="-9"/>
        </w:rPr>
        <w:t> </w:t>
      </w:r>
      <w:r>
        <w:rPr/>
        <w:t>silviculture</w:t>
      </w:r>
      <w:r>
        <w:rPr>
          <w:spacing w:val="-8"/>
        </w:rPr>
        <w:t> </w:t>
      </w:r>
      <w:r>
        <w:rPr/>
        <w:t>dedicated</w:t>
      </w:r>
      <w:r>
        <w:rPr>
          <w:spacing w:val="-9"/>
        </w:rPr>
        <w:t> </w:t>
      </w:r>
      <w:r>
        <w:rPr/>
        <w:t>to</w:t>
      </w:r>
      <w:r>
        <w:rPr>
          <w:spacing w:val="-10"/>
        </w:rPr>
        <w:t> </w:t>
      </w:r>
      <w:r>
        <w:rPr/>
        <w:t>the</w:t>
      </w:r>
      <w:r>
        <w:rPr>
          <w:spacing w:val="-7"/>
        </w:rPr>
        <w:t> </w:t>
      </w:r>
      <w:r>
        <w:rPr/>
        <w:t>science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producing</w:t>
      </w:r>
      <w:r>
        <w:rPr>
          <w:spacing w:val="-9"/>
        </w:rPr>
        <w:t> </w:t>
      </w:r>
      <w:r>
        <w:rPr/>
        <w:t>and</w:t>
      </w:r>
      <w:r>
        <w:rPr>
          <w:spacing w:val="-58"/>
        </w:rPr>
        <w:t> </w:t>
      </w:r>
      <w:r>
        <w:rPr/>
        <w:t>maintaining</w:t>
      </w:r>
      <w:r>
        <w:rPr>
          <w:spacing w:val="-9"/>
        </w:rPr>
        <w:t> </w:t>
      </w:r>
      <w:r>
        <w:rPr/>
        <w:t>a</w:t>
      </w:r>
      <w:r>
        <w:rPr>
          <w:spacing w:val="-8"/>
        </w:rPr>
        <w:t> </w:t>
      </w:r>
      <w:r>
        <w:rPr/>
        <w:t>forest</w:t>
      </w:r>
      <w:r>
        <w:rPr>
          <w:spacing w:val="-8"/>
        </w:rPr>
        <w:t> </w:t>
      </w:r>
      <w:r>
        <w:rPr/>
        <w:t>with</w:t>
      </w:r>
      <w:r>
        <w:rPr>
          <w:spacing w:val="-10"/>
        </w:rPr>
        <w:t> </w:t>
      </w:r>
      <w:r>
        <w:rPr/>
        <w:t>the</w:t>
      </w:r>
      <w:r>
        <w:rPr>
          <w:spacing w:val="-8"/>
        </w:rPr>
        <w:t> </w:t>
      </w:r>
      <w:r>
        <w:rPr/>
        <w:t>goal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achieving</w:t>
      </w:r>
      <w:r>
        <w:rPr>
          <w:spacing w:val="-9"/>
        </w:rPr>
        <w:t> </w:t>
      </w:r>
      <w:r>
        <w:rPr/>
        <w:t>consistency</w:t>
      </w:r>
      <w:r>
        <w:rPr>
          <w:spacing w:val="-9"/>
        </w:rPr>
        <w:t> </w:t>
      </w:r>
      <w:r>
        <w:rPr/>
        <w:t>in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wood</w:t>
      </w:r>
      <w:r>
        <w:rPr>
          <w:spacing w:val="-9"/>
        </w:rPr>
        <w:t> </w:t>
      </w:r>
      <w:r>
        <w:rPr/>
        <w:t>[77].</w:t>
      </w:r>
      <w:r>
        <w:rPr>
          <w:spacing w:val="-8"/>
        </w:rPr>
        <w:t> </w:t>
      </w:r>
      <w:r>
        <w:rPr/>
        <w:t>Variation</w:t>
      </w:r>
      <w:r>
        <w:rPr>
          <w:spacing w:val="-10"/>
        </w:rPr>
        <w:t> </w:t>
      </w:r>
      <w:r>
        <w:rPr/>
        <w:t>can</w:t>
      </w:r>
      <w:r>
        <w:rPr>
          <w:spacing w:val="-58"/>
        </w:rPr>
        <w:t> </w:t>
      </w:r>
      <w:r>
        <w:rPr/>
        <w:t>even</w:t>
      </w:r>
      <w:r>
        <w:rPr>
          <w:spacing w:val="-3"/>
        </w:rPr>
        <w:t> </w:t>
      </w:r>
      <w:r>
        <w:rPr/>
        <w:t>occur</w:t>
      </w:r>
      <w:r>
        <w:rPr>
          <w:spacing w:val="-3"/>
        </w:rPr>
        <w:t> </w:t>
      </w:r>
      <w:r>
        <w:rPr/>
        <w:t>within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</w:t>
      </w:r>
      <w:r>
        <w:rPr/>
        <w:t>single</w:t>
      </w:r>
      <w:r>
        <w:rPr>
          <w:spacing w:val="-2"/>
        </w:rPr>
        <w:t> </w:t>
      </w:r>
      <w:r>
        <w:rPr/>
        <w:t>piece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wood</w:t>
      </w:r>
      <w:r>
        <w:rPr>
          <w:spacing w:val="-3"/>
        </w:rPr>
        <w:t> </w:t>
      </w:r>
      <w:r>
        <w:rPr/>
        <w:t>due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growth</w:t>
      </w:r>
      <w:r>
        <w:rPr>
          <w:spacing w:val="-4"/>
        </w:rPr>
        <w:t> </w:t>
      </w:r>
      <w:r>
        <w:rPr/>
        <w:t>and</w:t>
      </w:r>
      <w:r>
        <w:rPr>
          <w:spacing w:val="-2"/>
        </w:rPr>
        <w:t> </w:t>
      </w:r>
      <w:r>
        <w:rPr/>
        <w:t>development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wood.</w:t>
      </w:r>
      <w:r>
        <w:rPr>
          <w:spacing w:val="-58"/>
        </w:rPr>
        <w:t> </w:t>
      </w:r>
      <w:r>
        <w:rPr/>
        <w:t>Earlywood (or springwood) sections exhibit a wider radial diameter and thin-walled cells</w:t>
      </w:r>
      <w:r>
        <w:rPr>
          <w:spacing w:val="1"/>
        </w:rPr>
        <w:t> </w:t>
      </w:r>
      <w:r>
        <w:rPr/>
        <w:t>while</w:t>
      </w:r>
      <w:r>
        <w:rPr>
          <w:spacing w:val="-1"/>
        </w:rPr>
        <w:t> </w:t>
      </w:r>
      <w:r>
        <w:rPr/>
        <w:t>latewood</w:t>
      </w:r>
      <w:r>
        <w:rPr>
          <w:spacing w:val="-1"/>
        </w:rPr>
        <w:t> </w:t>
      </w:r>
      <w:r>
        <w:rPr/>
        <w:t>(or summerwood)</w:t>
      </w:r>
      <w:r>
        <w:rPr>
          <w:spacing w:val="-1"/>
        </w:rPr>
        <w:t> </w:t>
      </w:r>
      <w:r>
        <w:rPr/>
        <w:t>sections exhibit</w:t>
      </w:r>
      <w:r>
        <w:rPr>
          <w:spacing w:val="-1"/>
        </w:rPr>
        <w:t> </w:t>
      </w:r>
      <w:r>
        <w:rPr/>
        <w:t>thicker</w:t>
      </w:r>
      <w:r>
        <w:rPr>
          <w:spacing w:val="1"/>
        </w:rPr>
        <w:t> </w:t>
      </w:r>
      <w:r>
        <w:rPr/>
        <w:t>walls,</w:t>
      </w:r>
      <w:r>
        <w:rPr>
          <w:spacing w:val="-1"/>
        </w:rPr>
        <w:t> </w:t>
      </w:r>
      <w:r>
        <w:rPr/>
        <w:t>observed as</w:t>
      </w:r>
      <w:r>
        <w:rPr>
          <w:spacing w:val="-1"/>
        </w:rPr>
        <w:t> </w:t>
      </w:r>
      <w:r>
        <w:rPr/>
        <w:t>being darker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40" w:right="257"/>
        <w:jc w:val="both"/>
      </w:pPr>
      <w:r>
        <w:rPr/>
        <w:t>in color in the annual growth rings observed in wood [77].</w:t>
      </w:r>
      <w:r>
        <w:rPr>
          <w:spacing w:val="1"/>
        </w:rPr>
        <w:t> </w:t>
      </w:r>
      <w:r>
        <w:rPr/>
        <w:t>Engineers and designers</w:t>
      </w:r>
      <w:r>
        <w:rPr>
          <w:spacing w:val="1"/>
        </w:rPr>
        <w:t> </w:t>
      </w:r>
      <w:r>
        <w:rPr/>
        <w:t>approach such variation by using conservative design values and factors of safety in</w:t>
      </w:r>
      <w:r>
        <w:rPr>
          <w:spacing w:val="1"/>
        </w:rPr>
        <w:t> </w:t>
      </w:r>
      <w:r>
        <w:rPr/>
        <w:t>engineering design.</w:t>
      </w:r>
      <w:r>
        <w:rPr>
          <w:spacing w:val="1"/>
        </w:rPr>
        <w:t> </w:t>
      </w:r>
      <w:r>
        <w:rPr/>
        <w:t>With CLT, a sandwich composite, the variation in the material is</w:t>
      </w:r>
      <w:r>
        <w:rPr>
          <w:spacing w:val="1"/>
        </w:rPr>
        <w:t> </w:t>
      </w:r>
      <w:r>
        <w:rPr/>
        <w:t>seemingly</w:t>
      </w:r>
      <w:r>
        <w:rPr>
          <w:spacing w:val="-1"/>
        </w:rPr>
        <w:t> </w:t>
      </w:r>
      <w:r>
        <w:rPr/>
        <w:t>lessened as</w:t>
      </w:r>
      <w:r>
        <w:rPr>
          <w:spacing w:val="-2"/>
        </w:rPr>
        <w:t> </w:t>
      </w:r>
      <w:r>
        <w:rPr/>
        <w:t>the composite nature</w:t>
      </w:r>
      <w:r>
        <w:rPr>
          <w:spacing w:val="-1"/>
        </w:rPr>
        <w:t> </w:t>
      </w:r>
      <w:r>
        <w:rPr/>
        <w:t>homogenizes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variability.</w:t>
      </w:r>
    </w:p>
    <w:p>
      <w:pPr>
        <w:pStyle w:val="BodyText"/>
        <w:spacing w:line="480" w:lineRule="auto" w:before="159"/>
        <w:ind w:left="440" w:right="258" w:firstLine="720"/>
        <w:jc w:val="both"/>
      </w:pPr>
      <w:r>
        <w:rPr/>
        <w:t>When constructing with wood, certain strength parameters are commonly used in</w:t>
      </w:r>
      <w:r>
        <w:rPr>
          <w:spacing w:val="1"/>
        </w:rPr>
        <w:t> </w:t>
      </w:r>
      <w:r>
        <w:rPr/>
        <w:t>design and analysis.</w:t>
      </w:r>
      <w:r>
        <w:rPr>
          <w:spacing w:val="1"/>
        </w:rPr>
        <w:t> </w:t>
      </w:r>
      <w:r>
        <w:rPr/>
        <w:t>They include modulus of rupture in bending, maximum stress in</w:t>
      </w:r>
      <w:r>
        <w:rPr>
          <w:spacing w:val="1"/>
        </w:rPr>
        <w:t> </w:t>
      </w:r>
      <w:r>
        <w:rPr/>
        <w:t>compression</w:t>
      </w:r>
      <w:r>
        <w:rPr>
          <w:spacing w:val="-12"/>
        </w:rPr>
        <w:t> </w:t>
      </w:r>
      <w:r>
        <w:rPr/>
        <w:t>parallel</w:t>
      </w:r>
      <w:r>
        <w:rPr>
          <w:spacing w:val="-12"/>
        </w:rPr>
        <w:t> </w:t>
      </w:r>
      <w:r>
        <w:rPr/>
        <w:t>to</w:t>
      </w:r>
      <w:r>
        <w:rPr>
          <w:spacing w:val="-12"/>
        </w:rPr>
        <w:t> </w:t>
      </w:r>
      <w:r>
        <w:rPr/>
        <w:t>grain,</w:t>
      </w:r>
      <w:r>
        <w:rPr>
          <w:spacing w:val="-12"/>
        </w:rPr>
        <w:t> </w:t>
      </w:r>
      <w:r>
        <w:rPr/>
        <w:t>compressive</w:t>
      </w:r>
      <w:r>
        <w:rPr>
          <w:spacing w:val="-12"/>
        </w:rPr>
        <w:t> </w:t>
      </w:r>
      <w:r>
        <w:rPr/>
        <w:t>stress</w:t>
      </w:r>
      <w:r>
        <w:rPr>
          <w:spacing w:val="-13"/>
        </w:rPr>
        <w:t> </w:t>
      </w:r>
      <w:r>
        <w:rPr/>
        <w:t>perpendicular</w:t>
      </w:r>
      <w:r>
        <w:rPr>
          <w:spacing w:val="-11"/>
        </w:rPr>
        <w:t> </w:t>
      </w:r>
      <w:r>
        <w:rPr/>
        <w:t>to</w:t>
      </w:r>
      <w:r>
        <w:rPr>
          <w:spacing w:val="-12"/>
        </w:rPr>
        <w:t> </w:t>
      </w:r>
      <w:r>
        <w:rPr/>
        <w:t>grain,</w:t>
      </w:r>
      <w:r>
        <w:rPr>
          <w:spacing w:val="-13"/>
        </w:rPr>
        <w:t> </w:t>
      </w:r>
      <w:r>
        <w:rPr/>
        <w:t>and</w:t>
      </w:r>
      <w:r>
        <w:rPr>
          <w:spacing w:val="-11"/>
        </w:rPr>
        <w:t> </w:t>
      </w:r>
      <w:r>
        <w:rPr/>
        <w:t>shear</w:t>
      </w:r>
      <w:r>
        <w:rPr>
          <w:spacing w:val="-12"/>
        </w:rPr>
        <w:t> </w:t>
      </w:r>
      <w:r>
        <w:rPr/>
        <w:t>strength</w:t>
      </w:r>
      <w:r>
        <w:rPr>
          <w:spacing w:val="-58"/>
        </w:rPr>
        <w:t> </w:t>
      </w:r>
      <w:r>
        <w:rPr/>
        <w:t>parallel to grain.</w:t>
      </w:r>
      <w:r>
        <w:rPr>
          <w:spacing w:val="1"/>
        </w:rPr>
        <w:t> </w:t>
      </w:r>
      <w:r>
        <w:rPr/>
        <w:t>The modulus of rupture, a measure of strength before rupture, describes</w:t>
      </w:r>
      <w:r>
        <w:rPr>
          <w:spacing w:val="-57"/>
        </w:rPr>
        <w:t> </w:t>
      </w:r>
      <w:r>
        <w:rPr/>
        <w:t>the</w:t>
      </w:r>
      <w:r>
        <w:rPr>
          <w:spacing w:val="1"/>
        </w:rPr>
        <w:t> </w:t>
      </w:r>
      <w:r>
        <w:rPr/>
        <w:t>load-carrying</w:t>
      </w:r>
      <w:r>
        <w:rPr>
          <w:spacing w:val="1"/>
        </w:rPr>
        <w:t> </w:t>
      </w:r>
      <w:r>
        <w:rPr/>
        <w:t>capacity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bending</w:t>
      </w:r>
      <w:r>
        <w:rPr>
          <w:spacing w:val="1"/>
        </w:rPr>
        <w:t> </w:t>
      </w:r>
      <w:r>
        <w:rPr/>
        <w:t>stresses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material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handle</w:t>
      </w:r>
      <w:r>
        <w:rPr>
          <w:spacing w:val="1"/>
        </w:rPr>
        <w:t> </w:t>
      </w:r>
      <w:r>
        <w:rPr/>
        <w:t>[96].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compressive strength parallel to grain is based on the maximum stresses the material can</w:t>
      </w:r>
      <w:r>
        <w:rPr>
          <w:spacing w:val="1"/>
        </w:rPr>
        <w:t> </w:t>
      </w:r>
      <w:r>
        <w:rPr/>
        <w:t>sustain within specific length ratios to the smallest other dimension, commonly length to</w:t>
      </w:r>
      <w:r>
        <w:rPr>
          <w:spacing w:val="1"/>
        </w:rPr>
        <w:t> </w:t>
      </w:r>
      <w:r>
        <w:rPr/>
        <w:t>depth.</w:t>
      </w:r>
    </w:p>
    <w:p>
      <w:pPr>
        <w:pStyle w:val="BodyText"/>
        <w:spacing w:line="480" w:lineRule="auto" w:before="160"/>
        <w:ind w:left="439" w:right="256" w:firstLine="720"/>
        <w:jc w:val="both"/>
      </w:pPr>
      <w:r>
        <w:rPr/>
        <w:t>Shear strength parallel to grain is an important property for wood and can be</w:t>
      </w:r>
      <w:r>
        <w:rPr>
          <w:spacing w:val="1"/>
        </w:rPr>
        <w:t> </w:t>
      </w:r>
      <w:r>
        <w:rPr/>
        <w:t>described as the ability to resist internal slipping along the grain lines.</w:t>
      </w:r>
      <w:r>
        <w:rPr>
          <w:spacing w:val="1"/>
        </w:rPr>
        <w:t> </w:t>
      </w:r>
      <w:r>
        <w:rPr/>
        <w:t>For wood, average</w:t>
      </w:r>
      <w:r>
        <w:rPr>
          <w:spacing w:val="-57"/>
        </w:rPr>
        <w:t> </w:t>
      </w:r>
      <w:r>
        <w:rPr/>
        <w:t>values of shear strength may be documented for radial and tangential planes.</w:t>
      </w:r>
      <w:r>
        <w:rPr>
          <w:spacing w:val="1"/>
        </w:rPr>
        <w:t> </w:t>
      </w:r>
      <w:r>
        <w:rPr/>
        <w:t>With CLT,</w:t>
      </w:r>
      <w:r>
        <w:rPr>
          <w:spacing w:val="1"/>
        </w:rPr>
        <w:t> </w:t>
      </w:r>
      <w:r>
        <w:rPr/>
        <w:t>the alternating layers can mitigate a weakness in the radial or tangential direction because</w:t>
      </w:r>
      <w:r>
        <w:rPr>
          <w:spacing w:val="-57"/>
        </w:rPr>
        <w:t> </w:t>
      </w:r>
      <w:r>
        <w:rPr/>
        <w:t>every other layer is the opposite. Rolling shear, or interlaminar stress, is also an important</w:t>
      </w:r>
      <w:r>
        <w:rPr>
          <w:spacing w:val="-57"/>
        </w:rPr>
        <w:t> </w:t>
      </w:r>
      <w:r>
        <w:rPr/>
        <w:t>and often limiting property that has been the subject of much recent research.</w:t>
      </w:r>
      <w:r>
        <w:rPr>
          <w:spacing w:val="1"/>
        </w:rPr>
        <w:t> </w:t>
      </w:r>
      <w:r>
        <w:rPr/>
        <w:t>The cross-</w:t>
      </w:r>
      <w:r>
        <w:rPr>
          <w:spacing w:val="1"/>
        </w:rPr>
        <w:t> </w:t>
      </w:r>
      <w:r>
        <w:rPr/>
        <w:t>wise</w:t>
      </w:r>
      <w:r>
        <w:rPr>
          <w:spacing w:val="-9"/>
        </w:rPr>
        <w:t> </w:t>
      </w:r>
      <w:r>
        <w:rPr/>
        <w:t>layering</w:t>
      </w:r>
      <w:r>
        <w:rPr>
          <w:spacing w:val="-8"/>
        </w:rPr>
        <w:t> </w:t>
      </w:r>
      <w:r>
        <w:rPr/>
        <w:t>means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orthogonal</w:t>
      </w:r>
      <w:r>
        <w:rPr>
          <w:spacing w:val="-8"/>
        </w:rPr>
        <w:t> </w:t>
      </w:r>
      <w:r>
        <w:rPr/>
        <w:t>layers</w:t>
      </w:r>
      <w:r>
        <w:rPr>
          <w:spacing w:val="-9"/>
        </w:rPr>
        <w:t> </w:t>
      </w:r>
      <w:r>
        <w:rPr/>
        <w:t>reinforce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longitudinal</w:t>
      </w:r>
      <w:r>
        <w:rPr>
          <w:spacing w:val="-8"/>
        </w:rPr>
        <w:t> </w:t>
      </w:r>
      <w:r>
        <w:rPr/>
        <w:t>layers,</w:t>
      </w:r>
      <w:r>
        <w:rPr>
          <w:spacing w:val="-10"/>
        </w:rPr>
        <w:t> </w:t>
      </w:r>
      <w:r>
        <w:rPr/>
        <w:t>which</w:t>
      </w:r>
      <w:r>
        <w:rPr>
          <w:spacing w:val="-9"/>
        </w:rPr>
        <w:t> </w:t>
      </w:r>
      <w:r>
        <w:rPr/>
        <w:t>produce</w:t>
      </w:r>
      <w:r>
        <w:rPr>
          <w:spacing w:val="-58"/>
        </w:rPr>
        <w:t> </w:t>
      </w:r>
      <w:r>
        <w:rPr/>
        <w:t>higher elastic modulus values than observed with glulam products [33].</w:t>
      </w:r>
      <w:r>
        <w:rPr>
          <w:spacing w:val="1"/>
        </w:rPr>
        <w:t> </w:t>
      </w:r>
      <w:r>
        <w:rPr/>
        <w:t>This cross-wise</w:t>
      </w:r>
      <w:r>
        <w:rPr>
          <w:spacing w:val="1"/>
        </w:rPr>
        <w:t> </w:t>
      </w:r>
      <w:r>
        <w:rPr/>
        <w:t>layup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indicates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shear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longitudinal</w:t>
      </w:r>
      <w:r>
        <w:rPr>
          <w:spacing w:val="1"/>
        </w:rPr>
        <w:t> </w:t>
      </w:r>
      <w:r>
        <w:rPr/>
        <w:t>(parallel)</w:t>
      </w:r>
      <w:r>
        <w:rPr>
          <w:spacing w:val="1"/>
        </w:rPr>
        <w:t> </w:t>
      </w:r>
      <w:r>
        <w:rPr/>
        <w:t>layers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rolling</w:t>
      </w:r>
      <w:r>
        <w:rPr>
          <w:spacing w:val="1"/>
        </w:rPr>
        <w:t> </w:t>
      </w:r>
      <w:r>
        <w:rPr/>
        <w:t>shear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transverse (perpendicular) layers</w:t>
      </w:r>
      <w:r>
        <w:rPr>
          <w:spacing w:val="1"/>
        </w:rPr>
        <w:t> </w:t>
      </w:r>
      <w:r>
        <w:rPr/>
        <w:t>require verification to ensure sufficient</w:t>
      </w:r>
      <w:r>
        <w:rPr>
          <w:spacing w:val="1"/>
        </w:rPr>
        <w:t> </w:t>
      </w:r>
      <w:r>
        <w:rPr/>
        <w:t>strength for</w:t>
      </w:r>
      <w:r>
        <w:rPr>
          <w:spacing w:val="1"/>
        </w:rPr>
        <w:t> </w:t>
      </w:r>
      <w:r>
        <w:rPr/>
        <w:t>specific</w:t>
      </w:r>
      <w:r>
        <w:rPr>
          <w:spacing w:val="-1"/>
        </w:rPr>
        <w:t> </w:t>
      </w:r>
      <w:r>
        <w:rPr/>
        <w:t>designs.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40" w:right="256" w:firstLine="720"/>
        <w:jc w:val="both"/>
      </w:pPr>
      <w:r>
        <w:rPr/>
        <w:t>Studies modeling the influence of factors such as edge-gluing, wood density and</w:t>
      </w:r>
      <w:r>
        <w:rPr>
          <w:spacing w:val="1"/>
        </w:rPr>
        <w:t> </w:t>
      </w:r>
      <w:r>
        <w:rPr/>
        <w:t>span-to-depth</w:t>
      </w:r>
      <w:r>
        <w:rPr>
          <w:spacing w:val="-6"/>
        </w:rPr>
        <w:t> </w:t>
      </w:r>
      <w:r>
        <w:rPr/>
        <w:t>ratio</w:t>
      </w:r>
      <w:r>
        <w:rPr>
          <w:spacing w:val="-5"/>
        </w:rPr>
        <w:t> </w:t>
      </w:r>
      <w:r>
        <w:rPr/>
        <w:t>on</w:t>
      </w:r>
      <w:r>
        <w:rPr>
          <w:spacing w:val="-6"/>
        </w:rPr>
        <w:t> </w:t>
      </w:r>
      <w:r>
        <w:rPr/>
        <w:t>rolling</w:t>
      </w:r>
      <w:r>
        <w:rPr>
          <w:spacing w:val="-7"/>
        </w:rPr>
        <w:t> </w:t>
      </w:r>
      <w:r>
        <w:rPr/>
        <w:t>shear</w:t>
      </w:r>
      <w:r>
        <w:rPr>
          <w:spacing w:val="-6"/>
        </w:rPr>
        <w:t> </w:t>
      </w:r>
      <w:r>
        <w:rPr/>
        <w:t>capacity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/>
        <w:t>CLT</w:t>
      </w:r>
      <w:r>
        <w:rPr>
          <w:spacing w:val="-5"/>
        </w:rPr>
        <w:t> </w:t>
      </w:r>
      <w:r>
        <w:rPr/>
        <w:t>show</w:t>
      </w:r>
      <w:r>
        <w:rPr>
          <w:spacing w:val="-6"/>
        </w:rPr>
        <w:t> </w:t>
      </w:r>
      <w:r>
        <w:rPr/>
        <w:t>increased</w:t>
      </w:r>
      <w:r>
        <w:rPr>
          <w:spacing w:val="-6"/>
        </w:rPr>
        <w:t> </w:t>
      </w:r>
      <w:r>
        <w:rPr/>
        <w:t>panel</w:t>
      </w:r>
      <w:r>
        <w:rPr>
          <w:spacing w:val="-6"/>
        </w:rPr>
        <w:t> </w:t>
      </w:r>
      <w:r>
        <w:rPr/>
        <w:t>capacity</w:t>
      </w:r>
      <w:r>
        <w:rPr>
          <w:spacing w:val="-6"/>
        </w:rPr>
        <w:t> </w:t>
      </w:r>
      <w:r>
        <w:rPr/>
        <w:t>gained</w:t>
      </w:r>
      <w:r>
        <w:rPr>
          <w:spacing w:val="-58"/>
        </w:rPr>
        <w:t> </w:t>
      </w:r>
      <w:r>
        <w:rPr/>
        <w:t>through edge-gluing, use of denser wood and lower span-to-depth ratios [99].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critical</w:t>
      </w:r>
      <w:r>
        <w:rPr>
          <w:spacing w:val="-5"/>
        </w:rPr>
        <w:t> </w:t>
      </w:r>
      <w:r>
        <w:rPr/>
        <w:t>factors</w:t>
      </w:r>
      <w:r>
        <w:rPr>
          <w:spacing w:val="-5"/>
        </w:rPr>
        <w:t> </w:t>
      </w:r>
      <w:r>
        <w:rPr/>
        <w:t>need</w:t>
      </w:r>
      <w:r>
        <w:rPr>
          <w:spacing w:val="-4"/>
        </w:rPr>
        <w:t> </w:t>
      </w:r>
      <w:r>
        <w:rPr/>
        <w:t>to</w:t>
      </w:r>
      <w:r>
        <w:rPr>
          <w:spacing w:val="-5"/>
        </w:rPr>
        <w:t> </w:t>
      </w:r>
      <w:r>
        <w:rPr/>
        <w:t>be</w:t>
      </w:r>
      <w:r>
        <w:rPr>
          <w:spacing w:val="-6"/>
        </w:rPr>
        <w:t> </w:t>
      </w:r>
      <w:r>
        <w:rPr/>
        <w:t>considered</w:t>
      </w:r>
      <w:r>
        <w:rPr>
          <w:spacing w:val="-4"/>
        </w:rPr>
        <w:t> </w:t>
      </w:r>
      <w:r>
        <w:rPr/>
        <w:t>in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design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a</w:t>
      </w:r>
      <w:r>
        <w:rPr>
          <w:spacing w:val="-4"/>
        </w:rPr>
        <w:t> </w:t>
      </w:r>
      <w:r>
        <w:rPr/>
        <w:t>CLT</w:t>
      </w:r>
      <w:r>
        <w:rPr>
          <w:spacing w:val="-5"/>
        </w:rPr>
        <w:t> </w:t>
      </w:r>
      <w:r>
        <w:rPr/>
        <w:t>panel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/>
        <w:t>structure</w:t>
      </w:r>
      <w:r>
        <w:rPr>
          <w:spacing w:val="-5"/>
        </w:rPr>
        <w:t> </w:t>
      </w:r>
      <w:r>
        <w:rPr/>
        <w:t>in</w:t>
      </w:r>
      <w:r>
        <w:rPr>
          <w:spacing w:val="-5"/>
        </w:rPr>
        <w:t> </w:t>
      </w:r>
      <w:r>
        <w:rPr/>
        <w:t>order</w:t>
      </w:r>
      <w:r>
        <w:rPr>
          <w:spacing w:val="-5"/>
        </w:rPr>
        <w:t> </w:t>
      </w:r>
      <w:r>
        <w:rPr/>
        <w:t>to</w:t>
      </w:r>
      <w:r>
        <w:rPr>
          <w:spacing w:val="-58"/>
        </w:rPr>
        <w:t> </w:t>
      </w:r>
      <w:r>
        <w:rPr/>
        <w:t>optimize rolling shear capacity.</w:t>
      </w:r>
      <w:r>
        <w:rPr>
          <w:spacing w:val="1"/>
        </w:rPr>
        <w:t> </w:t>
      </w:r>
      <w:r>
        <w:rPr/>
        <w:t>High shear stresses are typically observed in the central</w:t>
      </w:r>
      <w:r>
        <w:rPr>
          <w:spacing w:val="1"/>
        </w:rPr>
        <w:t> </w:t>
      </w:r>
      <w:r>
        <w:rPr/>
        <w:t>layers oriented on a weak axis.</w:t>
      </w:r>
      <w:r>
        <w:rPr>
          <w:spacing w:val="1"/>
        </w:rPr>
        <w:t> </w:t>
      </w:r>
      <w:r>
        <w:rPr/>
        <w:t>In order to counter rolling shear stresses in the layers, it is</w:t>
      </w:r>
      <w:r>
        <w:rPr>
          <w:spacing w:val="-57"/>
        </w:rPr>
        <w:t> </w:t>
      </w:r>
      <w:r>
        <w:rPr/>
        <w:t>recommended that the minimum width of a lamina be at least four times the lamina</w:t>
      </w:r>
      <w:r>
        <w:rPr>
          <w:spacing w:val="1"/>
        </w:rPr>
        <w:t> </w:t>
      </w:r>
      <w:r>
        <w:rPr/>
        <w:t>thickness</w:t>
      </w:r>
      <w:r>
        <w:rPr>
          <w:spacing w:val="-8"/>
        </w:rPr>
        <w:t> </w:t>
      </w:r>
      <w:r>
        <w:rPr/>
        <w:t>[33].</w:t>
      </w:r>
      <w:r>
        <w:rPr>
          <w:spacing w:val="37"/>
        </w:rPr>
        <w:t> </w:t>
      </w:r>
      <w:r>
        <w:rPr/>
        <w:t>PRG</w:t>
      </w:r>
      <w:r>
        <w:rPr>
          <w:spacing w:val="-9"/>
        </w:rPr>
        <w:t> </w:t>
      </w:r>
      <w:r>
        <w:rPr/>
        <w:t>320</w:t>
      </w:r>
      <w:r>
        <w:rPr>
          <w:spacing w:val="-8"/>
        </w:rPr>
        <w:t> </w:t>
      </w:r>
      <w:r>
        <w:rPr/>
        <w:t>requires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width</w:t>
      </w:r>
      <w:r>
        <w:rPr>
          <w:spacing w:val="-9"/>
        </w:rPr>
        <w:t> </w:t>
      </w:r>
      <w:r>
        <w:rPr/>
        <w:t>to</w:t>
      </w:r>
      <w:r>
        <w:rPr>
          <w:spacing w:val="-8"/>
        </w:rPr>
        <w:t> </w:t>
      </w:r>
      <w:r>
        <w:rPr/>
        <w:t>be</w:t>
      </w:r>
      <w:r>
        <w:rPr>
          <w:spacing w:val="-10"/>
        </w:rPr>
        <w:t> </w:t>
      </w:r>
      <w:r>
        <w:rPr/>
        <w:t>no</w:t>
      </w:r>
      <w:r>
        <w:rPr>
          <w:spacing w:val="-9"/>
        </w:rPr>
        <w:t> </w:t>
      </w:r>
      <w:r>
        <w:rPr/>
        <w:t>less</w:t>
      </w:r>
      <w:r>
        <w:rPr>
          <w:spacing w:val="-7"/>
        </w:rPr>
        <w:t> </w:t>
      </w:r>
      <w:r>
        <w:rPr/>
        <w:t>than</w:t>
      </w:r>
      <w:r>
        <w:rPr>
          <w:spacing w:val="-10"/>
        </w:rPr>
        <w:t> </w:t>
      </w:r>
      <w:r>
        <w:rPr/>
        <w:t>3.5</w:t>
      </w:r>
      <w:r>
        <w:rPr>
          <w:spacing w:val="-8"/>
        </w:rPr>
        <w:t> </w:t>
      </w:r>
      <w:r>
        <w:rPr/>
        <w:t>times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thickness</w:t>
      </w:r>
      <w:r>
        <w:rPr>
          <w:spacing w:val="-8"/>
        </w:rPr>
        <w:t> </w:t>
      </w:r>
      <w:r>
        <w:rPr/>
        <w:t>[12].</w:t>
      </w:r>
      <w:r>
        <w:rPr>
          <w:spacing w:val="-58"/>
        </w:rPr>
        <w:t> </w:t>
      </w:r>
      <w:r>
        <w:rPr/>
        <w:t>Wood</w:t>
      </w:r>
      <w:r>
        <w:rPr>
          <w:spacing w:val="-4"/>
        </w:rPr>
        <w:t> </w:t>
      </w:r>
      <w:r>
        <w:rPr/>
        <w:t>sourced</w:t>
      </w:r>
      <w:r>
        <w:rPr>
          <w:spacing w:val="-4"/>
        </w:rPr>
        <w:t> </w:t>
      </w:r>
      <w:r>
        <w:rPr/>
        <w:t>from</w:t>
      </w:r>
      <w:r>
        <w:rPr>
          <w:spacing w:val="-6"/>
        </w:rPr>
        <w:t> </w:t>
      </w:r>
      <w:r>
        <w:rPr/>
        <w:t>closer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pith,</w:t>
      </w:r>
      <w:r>
        <w:rPr>
          <w:spacing w:val="-4"/>
        </w:rPr>
        <w:t> </w:t>
      </w:r>
      <w:r>
        <w:rPr/>
        <w:t>or</w:t>
      </w:r>
      <w:r>
        <w:rPr>
          <w:spacing w:val="-3"/>
        </w:rPr>
        <w:t> </w:t>
      </w:r>
      <w:r>
        <w:rPr/>
        <w:t>center,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3"/>
        </w:rPr>
        <w:t> </w:t>
      </w:r>
      <w:r>
        <w:rPr/>
        <w:t>tree</w:t>
      </w:r>
      <w:r>
        <w:rPr>
          <w:spacing w:val="-5"/>
        </w:rPr>
        <w:t> </w:t>
      </w:r>
      <w:r>
        <w:rPr/>
        <w:t>in</w:t>
      </w:r>
      <w:r>
        <w:rPr>
          <w:spacing w:val="-4"/>
        </w:rPr>
        <w:t> </w:t>
      </w:r>
      <w:r>
        <w:rPr/>
        <w:t>current</w:t>
      </w:r>
      <w:r>
        <w:rPr>
          <w:spacing w:val="-3"/>
        </w:rPr>
        <w:t> </w:t>
      </w:r>
      <w:r>
        <w:rPr/>
        <w:t>CLT</w:t>
      </w:r>
      <w:r>
        <w:rPr>
          <w:spacing w:val="-4"/>
        </w:rPr>
        <w:t> </w:t>
      </w:r>
      <w:r>
        <w:rPr/>
        <w:t>products</w:t>
      </w:r>
      <w:r>
        <w:rPr>
          <w:spacing w:val="-4"/>
        </w:rPr>
        <w:t> </w:t>
      </w:r>
      <w:r>
        <w:rPr/>
        <w:t>seems</w:t>
      </w:r>
      <w:r>
        <w:rPr>
          <w:spacing w:val="-58"/>
        </w:rPr>
        <w:t> </w:t>
      </w:r>
      <w:r>
        <w:rPr/>
        <w:t>to</w:t>
      </w:r>
      <w:r>
        <w:rPr>
          <w:spacing w:val="-3"/>
        </w:rPr>
        <w:t> </w:t>
      </w:r>
      <w:r>
        <w:rPr/>
        <w:t>be</w:t>
      </w:r>
      <w:r>
        <w:rPr>
          <w:spacing w:val="-2"/>
        </w:rPr>
        <w:t> </w:t>
      </w:r>
      <w:r>
        <w:rPr/>
        <w:t>contributing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observation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higher</w:t>
      </w:r>
      <w:r>
        <w:rPr>
          <w:spacing w:val="-2"/>
        </w:rPr>
        <w:t> </w:t>
      </w:r>
      <w:r>
        <w:rPr/>
        <w:t>rolling</w:t>
      </w:r>
      <w:r>
        <w:rPr>
          <w:spacing w:val="-2"/>
        </w:rPr>
        <w:t> </w:t>
      </w:r>
      <w:r>
        <w:rPr/>
        <w:t>shear</w:t>
      </w:r>
      <w:r>
        <w:rPr>
          <w:spacing w:val="-2"/>
        </w:rPr>
        <w:t> </w:t>
      </w:r>
      <w:r>
        <w:rPr/>
        <w:t>moduli</w:t>
      </w:r>
      <w:r>
        <w:rPr>
          <w:spacing w:val="-2"/>
        </w:rPr>
        <w:t> </w:t>
      </w:r>
      <w:r>
        <w:rPr/>
        <w:t>[33].</w:t>
      </w:r>
      <w:r>
        <w:rPr>
          <w:spacing w:val="57"/>
        </w:rPr>
        <w:t> </w:t>
      </w:r>
      <w:r>
        <w:rPr/>
        <w:t>This</w:t>
      </w:r>
      <w:r>
        <w:rPr>
          <w:spacing w:val="-2"/>
        </w:rPr>
        <w:t> </w:t>
      </w:r>
      <w:r>
        <w:rPr/>
        <w:t>wood</w:t>
      </w:r>
      <w:r>
        <w:rPr>
          <w:spacing w:val="-2"/>
        </w:rPr>
        <w:t> </w:t>
      </w:r>
      <w:r>
        <w:rPr/>
        <w:t>tends</w:t>
      </w:r>
      <w:r>
        <w:rPr>
          <w:spacing w:val="-58"/>
        </w:rPr>
        <w:t> </w:t>
      </w:r>
      <w:r>
        <w:rPr/>
        <w:t>to</w:t>
      </w:r>
      <w:r>
        <w:rPr>
          <w:spacing w:val="-1"/>
        </w:rPr>
        <w:t> </w:t>
      </w:r>
      <w:r>
        <w:rPr/>
        <w:t>be softer</w:t>
      </w:r>
      <w:r>
        <w:rPr>
          <w:spacing w:val="-1"/>
        </w:rPr>
        <w:t> </w:t>
      </w:r>
      <w:r>
        <w:rPr/>
        <w:t>with a spongy consistency.</w:t>
      </w:r>
    </w:p>
    <w:p>
      <w:pPr>
        <w:spacing w:before="161"/>
        <w:ind w:left="440" w:right="0" w:firstLine="0"/>
        <w:jc w:val="both"/>
        <w:rPr>
          <w:i/>
          <w:sz w:val="24"/>
        </w:rPr>
      </w:pPr>
      <w:bookmarkStart w:name="2.1.6. Hardness of wood" w:id="46"/>
      <w:bookmarkEnd w:id="46"/>
      <w:r>
        <w:rPr/>
      </w:r>
      <w:r>
        <w:rPr>
          <w:i/>
          <w:sz w:val="24"/>
        </w:rPr>
        <w:t>2.1.6.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Hardness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wood</w:t>
      </w:r>
    </w:p>
    <w:p>
      <w:pPr>
        <w:spacing w:line="480" w:lineRule="auto" w:before="140"/>
        <w:ind w:left="440" w:right="257" w:firstLine="720"/>
        <w:jc w:val="both"/>
        <w:rPr>
          <w:sz w:val="24"/>
        </w:rPr>
      </w:pPr>
      <w:r>
        <w:rPr>
          <w:sz w:val="24"/>
        </w:rPr>
        <w:t>When</w:t>
      </w:r>
      <w:r>
        <w:rPr>
          <w:spacing w:val="-10"/>
          <w:sz w:val="24"/>
        </w:rPr>
        <w:t> </w:t>
      </w:r>
      <w:r>
        <w:rPr>
          <w:sz w:val="24"/>
        </w:rPr>
        <w:t>considering</w:t>
      </w:r>
      <w:r>
        <w:rPr>
          <w:spacing w:val="-9"/>
          <w:sz w:val="24"/>
        </w:rPr>
        <w:t> </w:t>
      </w:r>
      <w:r>
        <w:rPr>
          <w:sz w:val="24"/>
        </w:rPr>
        <w:t>impact</w:t>
      </w:r>
      <w:r>
        <w:rPr>
          <w:spacing w:val="-9"/>
          <w:sz w:val="24"/>
        </w:rPr>
        <w:t> </w:t>
      </w:r>
      <w:r>
        <w:rPr>
          <w:sz w:val="24"/>
        </w:rPr>
        <w:t>resistance,</w:t>
      </w:r>
      <w:r>
        <w:rPr>
          <w:spacing w:val="-9"/>
          <w:sz w:val="24"/>
        </w:rPr>
        <w:t> </w:t>
      </w:r>
      <w:r>
        <w:rPr>
          <w:sz w:val="24"/>
        </w:rPr>
        <w:t>an</w:t>
      </w:r>
      <w:r>
        <w:rPr>
          <w:spacing w:val="-9"/>
          <w:sz w:val="24"/>
        </w:rPr>
        <w:t> </w:t>
      </w:r>
      <w:r>
        <w:rPr>
          <w:sz w:val="24"/>
        </w:rPr>
        <w:t>important</w:t>
      </w:r>
      <w:r>
        <w:rPr>
          <w:spacing w:val="-9"/>
          <w:sz w:val="24"/>
        </w:rPr>
        <w:t> </w:t>
      </w:r>
      <w:r>
        <w:rPr>
          <w:sz w:val="24"/>
        </w:rPr>
        <w:t>characteristic</w:t>
      </w:r>
      <w:r>
        <w:rPr>
          <w:spacing w:val="-8"/>
          <w:sz w:val="24"/>
        </w:rPr>
        <w:t> </w:t>
      </w:r>
      <w:r>
        <w:rPr>
          <w:sz w:val="24"/>
        </w:rPr>
        <w:t>for</w:t>
      </w:r>
      <w:r>
        <w:rPr>
          <w:spacing w:val="-8"/>
          <w:sz w:val="24"/>
        </w:rPr>
        <w:t> </w:t>
      </w:r>
      <w:r>
        <w:rPr>
          <w:sz w:val="24"/>
        </w:rPr>
        <w:t>wood</w:t>
      </w:r>
      <w:r>
        <w:rPr>
          <w:spacing w:val="-10"/>
          <w:sz w:val="24"/>
        </w:rPr>
        <w:t> </w:t>
      </w:r>
      <w:r>
        <w:rPr>
          <w:sz w:val="24"/>
        </w:rPr>
        <w:t>design</w:t>
      </w:r>
      <w:r>
        <w:rPr>
          <w:spacing w:val="-9"/>
          <w:sz w:val="24"/>
        </w:rPr>
        <w:t> </w:t>
      </w:r>
      <w:r>
        <w:rPr>
          <w:sz w:val="24"/>
        </w:rPr>
        <w:t>is</w:t>
      </w:r>
      <w:r>
        <w:rPr>
          <w:spacing w:val="-58"/>
          <w:sz w:val="24"/>
        </w:rPr>
        <w:t> </w:t>
      </w:r>
      <w:r>
        <w:rPr>
          <w:sz w:val="24"/>
        </w:rPr>
        <w:t>hardness.</w:t>
      </w:r>
      <w:r>
        <w:rPr>
          <w:spacing w:val="1"/>
          <w:sz w:val="24"/>
        </w:rPr>
        <w:t> </w:t>
      </w:r>
      <w:r>
        <w:rPr>
          <w:sz w:val="24"/>
        </w:rPr>
        <w:t>Hardness is seen as a measure of durability and structural quality combined in</w:t>
      </w:r>
      <w:r>
        <w:rPr>
          <w:spacing w:val="1"/>
          <w:sz w:val="24"/>
        </w:rPr>
        <w:t> </w:t>
      </w:r>
      <w:r>
        <w:rPr>
          <w:sz w:val="24"/>
        </w:rPr>
        <w:t>one number.</w:t>
      </w:r>
      <w:r>
        <w:rPr>
          <w:spacing w:val="1"/>
          <w:sz w:val="24"/>
        </w:rPr>
        <w:t> </w:t>
      </w:r>
      <w:r>
        <w:rPr>
          <w:sz w:val="24"/>
        </w:rPr>
        <w:t>Commonly, hardness is defined as the resistance to indentation and values</w:t>
      </w:r>
      <w:r>
        <w:rPr>
          <w:spacing w:val="1"/>
          <w:sz w:val="24"/>
        </w:rPr>
        <w:t> </w:t>
      </w:r>
      <w:r>
        <w:rPr>
          <w:sz w:val="24"/>
        </w:rPr>
        <w:t>can be identified through a test called the modified Janka hardness as outlined in </w:t>
      </w:r>
      <w:r>
        <w:rPr>
          <w:i/>
          <w:sz w:val="24"/>
        </w:rPr>
        <w:t>ASTM</w:t>
      </w:r>
      <w:r>
        <w:rPr>
          <w:i/>
          <w:spacing w:val="1"/>
          <w:sz w:val="24"/>
        </w:rPr>
        <w:t> </w:t>
      </w:r>
      <w:r>
        <w:rPr>
          <w:i/>
          <w:spacing w:val="-1"/>
          <w:sz w:val="24"/>
        </w:rPr>
        <w:t>D1037,</w:t>
      </w:r>
      <w:r>
        <w:rPr>
          <w:i/>
          <w:spacing w:val="-14"/>
          <w:sz w:val="24"/>
        </w:rPr>
        <w:t> </w:t>
      </w:r>
      <w:r>
        <w:rPr>
          <w:i/>
          <w:spacing w:val="-1"/>
          <w:sz w:val="24"/>
        </w:rPr>
        <w:t>Standard</w:t>
      </w:r>
      <w:r>
        <w:rPr>
          <w:i/>
          <w:spacing w:val="-14"/>
          <w:sz w:val="24"/>
        </w:rPr>
        <w:t> </w:t>
      </w:r>
      <w:r>
        <w:rPr>
          <w:i/>
          <w:spacing w:val="-1"/>
          <w:sz w:val="24"/>
        </w:rPr>
        <w:t>Test</w:t>
      </w:r>
      <w:r>
        <w:rPr>
          <w:i/>
          <w:spacing w:val="-13"/>
          <w:sz w:val="24"/>
        </w:rPr>
        <w:t> </w:t>
      </w:r>
      <w:r>
        <w:rPr>
          <w:i/>
          <w:sz w:val="24"/>
        </w:rPr>
        <w:t>Methods</w:t>
      </w:r>
      <w:r>
        <w:rPr>
          <w:i/>
          <w:spacing w:val="-13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12"/>
          <w:sz w:val="24"/>
        </w:rPr>
        <w:t> </w:t>
      </w:r>
      <w:r>
        <w:rPr>
          <w:i/>
          <w:sz w:val="24"/>
        </w:rPr>
        <w:t>Evaluating</w:t>
      </w:r>
      <w:r>
        <w:rPr>
          <w:i/>
          <w:spacing w:val="-14"/>
          <w:sz w:val="24"/>
        </w:rPr>
        <w:t> </w:t>
      </w:r>
      <w:r>
        <w:rPr>
          <w:i/>
          <w:sz w:val="24"/>
        </w:rPr>
        <w:t>Properties</w:t>
      </w:r>
      <w:r>
        <w:rPr>
          <w:i/>
          <w:spacing w:val="-13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4"/>
          <w:sz w:val="24"/>
        </w:rPr>
        <w:t> </w:t>
      </w:r>
      <w:r>
        <w:rPr>
          <w:i/>
          <w:sz w:val="24"/>
        </w:rPr>
        <w:t>Wood-Base</w:t>
      </w:r>
      <w:r>
        <w:rPr>
          <w:i/>
          <w:spacing w:val="-14"/>
          <w:sz w:val="24"/>
        </w:rPr>
        <w:t> </w:t>
      </w:r>
      <w:r>
        <w:rPr>
          <w:i/>
          <w:sz w:val="24"/>
        </w:rPr>
        <w:t>Fiber</w:t>
      </w:r>
      <w:r>
        <w:rPr>
          <w:i/>
          <w:spacing w:val="-13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4"/>
          <w:sz w:val="24"/>
        </w:rPr>
        <w:t> </w:t>
      </w:r>
      <w:r>
        <w:rPr>
          <w:i/>
          <w:sz w:val="24"/>
        </w:rPr>
        <w:t>Particle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Panel Materials </w:t>
      </w:r>
      <w:r>
        <w:rPr>
          <w:sz w:val="24"/>
        </w:rPr>
        <w:t>and </w:t>
      </w:r>
      <w:r>
        <w:rPr>
          <w:i/>
          <w:sz w:val="24"/>
        </w:rPr>
        <w:t>ASTM D143 Standard Test Methods for Small Clear Specimens 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Timber</w:t>
      </w:r>
      <w:r>
        <w:rPr>
          <w:i/>
          <w:spacing w:val="1"/>
          <w:sz w:val="24"/>
        </w:rPr>
        <w:t> </w:t>
      </w:r>
      <w:r>
        <w:rPr>
          <w:sz w:val="24"/>
        </w:rPr>
        <w:t>[5,</w:t>
      </w:r>
      <w:r>
        <w:rPr>
          <w:spacing w:val="1"/>
          <w:sz w:val="24"/>
        </w:rPr>
        <w:t> </w:t>
      </w:r>
      <w:r>
        <w:rPr>
          <w:sz w:val="24"/>
        </w:rPr>
        <w:t>11].</w:t>
      </w:r>
      <w:r>
        <w:rPr>
          <w:spacing w:val="1"/>
          <w:sz w:val="24"/>
        </w:rPr>
        <w:t> </w:t>
      </w:r>
      <w:r>
        <w:rPr>
          <w:sz w:val="24"/>
        </w:rPr>
        <w:t>An</w:t>
      </w:r>
      <w:r>
        <w:rPr>
          <w:spacing w:val="1"/>
          <w:sz w:val="24"/>
        </w:rPr>
        <w:t> </w:t>
      </w:r>
      <w:r>
        <w:rPr>
          <w:sz w:val="24"/>
        </w:rPr>
        <w:t>Austrian</w:t>
      </w:r>
      <w:r>
        <w:rPr>
          <w:spacing w:val="1"/>
          <w:sz w:val="24"/>
        </w:rPr>
        <w:t> </w:t>
      </w:r>
      <w:r>
        <w:rPr>
          <w:sz w:val="24"/>
        </w:rPr>
        <w:t>researcher,</w:t>
      </w:r>
      <w:r>
        <w:rPr>
          <w:spacing w:val="1"/>
          <w:sz w:val="24"/>
        </w:rPr>
        <w:t> </w:t>
      </w:r>
      <w:r>
        <w:rPr>
          <w:sz w:val="24"/>
        </w:rPr>
        <w:t>Gabriel</w:t>
      </w:r>
      <w:r>
        <w:rPr>
          <w:spacing w:val="1"/>
          <w:sz w:val="24"/>
        </w:rPr>
        <w:t> </w:t>
      </w:r>
      <w:r>
        <w:rPr>
          <w:sz w:val="24"/>
        </w:rPr>
        <w:t>Janka,</w:t>
      </w:r>
      <w:r>
        <w:rPr>
          <w:spacing w:val="1"/>
          <w:sz w:val="24"/>
        </w:rPr>
        <w:t> </w:t>
      </w:r>
      <w:r>
        <w:rPr>
          <w:sz w:val="24"/>
        </w:rPr>
        <w:t>who</w:t>
      </w:r>
      <w:r>
        <w:rPr>
          <w:spacing w:val="1"/>
          <w:sz w:val="24"/>
        </w:rPr>
        <w:t> </w:t>
      </w:r>
      <w:r>
        <w:rPr>
          <w:sz w:val="24"/>
        </w:rPr>
        <w:t>worked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U.S.</w:t>
      </w:r>
      <w:r>
        <w:rPr>
          <w:spacing w:val="1"/>
          <w:sz w:val="24"/>
        </w:rPr>
        <w:t> </w:t>
      </w:r>
      <w:r>
        <w:rPr>
          <w:sz w:val="24"/>
        </w:rPr>
        <w:t>Department of Agriculture, Forest Products Laboratory, developed the test in 1906 as a</w:t>
      </w:r>
      <w:r>
        <w:rPr>
          <w:spacing w:val="1"/>
          <w:sz w:val="24"/>
        </w:rPr>
        <w:t> </w:t>
      </w:r>
      <w:r>
        <w:rPr>
          <w:sz w:val="24"/>
        </w:rPr>
        <w:t>modified Brinell hardness test for wood. It has been the specified standard ASTM test for</w:t>
      </w:r>
      <w:r>
        <w:rPr>
          <w:spacing w:val="-57"/>
          <w:sz w:val="24"/>
        </w:rPr>
        <w:t> </w:t>
      </w:r>
      <w:r>
        <w:rPr>
          <w:sz w:val="24"/>
        </w:rPr>
        <w:t>solid</w:t>
      </w:r>
      <w:r>
        <w:rPr>
          <w:spacing w:val="-1"/>
          <w:sz w:val="24"/>
        </w:rPr>
        <w:t> </w:t>
      </w:r>
      <w:r>
        <w:rPr>
          <w:sz w:val="24"/>
        </w:rPr>
        <w:t>wood since 1927 [56].</w:t>
      </w:r>
    </w:p>
    <w:p>
      <w:pPr>
        <w:spacing w:after="0" w:line="480" w:lineRule="auto"/>
        <w:jc w:val="both"/>
        <w:rPr>
          <w:sz w:val="24"/>
        </w:rPr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40" w:right="256" w:firstLine="720"/>
        <w:jc w:val="both"/>
      </w:pPr>
      <w:r>
        <w:rPr/>
        <w:t>The</w:t>
      </w:r>
      <w:r>
        <w:rPr>
          <w:spacing w:val="-8"/>
        </w:rPr>
        <w:t> </w:t>
      </w:r>
      <w:r>
        <w:rPr/>
        <w:t>test</w:t>
      </w:r>
      <w:r>
        <w:rPr>
          <w:spacing w:val="-7"/>
        </w:rPr>
        <w:t> </w:t>
      </w:r>
      <w:r>
        <w:rPr/>
        <w:t>measures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force</w:t>
      </w:r>
      <w:r>
        <w:rPr>
          <w:spacing w:val="-7"/>
        </w:rPr>
        <w:t> </w:t>
      </w:r>
      <w:r>
        <w:rPr/>
        <w:t>required</w:t>
      </w:r>
      <w:r>
        <w:rPr>
          <w:spacing w:val="-9"/>
        </w:rPr>
        <w:t> </w:t>
      </w:r>
      <w:r>
        <w:rPr/>
        <w:t>to</w:t>
      </w:r>
      <w:r>
        <w:rPr>
          <w:spacing w:val="-7"/>
        </w:rPr>
        <w:t> </w:t>
      </w:r>
      <w:r>
        <w:rPr/>
        <w:t>embed</w:t>
      </w:r>
      <w:r>
        <w:rPr>
          <w:spacing w:val="-7"/>
        </w:rPr>
        <w:t> </w:t>
      </w:r>
      <w:r>
        <w:rPr/>
        <w:t>a</w:t>
      </w:r>
      <w:r>
        <w:rPr>
          <w:spacing w:val="-8"/>
        </w:rPr>
        <w:t> </w:t>
      </w:r>
      <w:r>
        <w:rPr/>
        <w:t>small</w:t>
      </w:r>
      <w:r>
        <w:rPr>
          <w:spacing w:val="-7"/>
        </w:rPr>
        <w:t> </w:t>
      </w:r>
      <w:r>
        <w:rPr/>
        <w:t>(0.444-in)</w:t>
      </w:r>
      <w:r>
        <w:rPr>
          <w:spacing w:val="-7"/>
        </w:rPr>
        <w:t> </w:t>
      </w:r>
      <w:r>
        <w:rPr/>
        <w:t>ball</w:t>
      </w:r>
      <w:r>
        <w:rPr>
          <w:spacing w:val="-7"/>
        </w:rPr>
        <w:t> </w:t>
      </w:r>
      <w:r>
        <w:rPr/>
        <w:t>into</w:t>
      </w:r>
      <w:r>
        <w:rPr>
          <w:spacing w:val="-9"/>
        </w:rPr>
        <w:t> </w:t>
      </w:r>
      <w:r>
        <w:rPr/>
        <w:t>the</w:t>
      </w:r>
      <w:r>
        <w:rPr>
          <w:spacing w:val="-7"/>
        </w:rPr>
        <w:t> </w:t>
      </w:r>
      <w:r>
        <w:rPr/>
        <w:t>wood</w:t>
      </w:r>
      <w:r>
        <w:rPr>
          <w:spacing w:val="-58"/>
        </w:rPr>
        <w:t> </w:t>
      </w:r>
      <w:r>
        <w:rPr/>
        <w:t>to half of the ball’s diameter. An average value of the force from four indentations, two in</w:t>
      </w:r>
      <w:r>
        <w:rPr>
          <w:spacing w:val="-57"/>
        </w:rPr>
        <w:t> </w:t>
      </w:r>
      <w:r>
        <w:rPr/>
        <w:t>the tangential face and two on the radial face, determines the side hardness of the wood.</w:t>
      </w:r>
      <w:r>
        <w:rPr>
          <w:spacing w:val="1"/>
        </w:rPr>
        <w:t> </w:t>
      </w:r>
      <w:r>
        <w:rPr/>
        <w:t>End hardness is distinguished from side hardness for wood due to the grain direction.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its initial development there was a shafted test jig and collar; set-ups were later adapted to</w:t>
      </w:r>
      <w:r>
        <w:rPr>
          <w:spacing w:val="-57"/>
        </w:rPr>
        <w:t> </w:t>
      </w:r>
      <w:r>
        <w:rPr/>
        <w:t>incorporate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precise</w:t>
      </w:r>
      <w:r>
        <w:rPr>
          <w:spacing w:val="1"/>
        </w:rPr>
        <w:t> </w:t>
      </w:r>
      <w:r>
        <w:rPr/>
        <w:t>measurements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digital</w:t>
      </w:r>
      <w:r>
        <w:rPr>
          <w:spacing w:val="1"/>
        </w:rPr>
        <w:t> </w:t>
      </w:r>
      <w:r>
        <w:rPr/>
        <w:t>equipment.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recently,</w:t>
      </w:r>
      <w:r>
        <w:rPr>
          <w:spacing w:val="1"/>
        </w:rPr>
        <w:t> </w:t>
      </w:r>
      <w:r>
        <w:rPr/>
        <w:t>researchers</w:t>
      </w:r>
      <w:r>
        <w:rPr>
          <w:spacing w:val="-4"/>
        </w:rPr>
        <w:t> </w:t>
      </w:r>
      <w:r>
        <w:rPr/>
        <w:t>explored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test</w:t>
      </w:r>
      <w:r>
        <w:rPr>
          <w:spacing w:val="-3"/>
        </w:rPr>
        <w:t> </w:t>
      </w:r>
      <w:r>
        <w:rPr/>
        <w:t>for</w:t>
      </w:r>
      <w:r>
        <w:rPr>
          <w:spacing w:val="-3"/>
        </w:rPr>
        <w:t> </w:t>
      </w:r>
      <w:r>
        <w:rPr/>
        <w:t>a</w:t>
      </w:r>
      <w:r>
        <w:rPr>
          <w:spacing w:val="-4"/>
        </w:rPr>
        <w:t> </w:t>
      </w:r>
      <w:r>
        <w:rPr/>
        <w:t>reduced</w:t>
      </w:r>
      <w:r>
        <w:rPr>
          <w:spacing w:val="-4"/>
        </w:rPr>
        <w:t> </w:t>
      </w:r>
      <w:r>
        <w:rPr/>
        <w:t>cross-section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accommodate</w:t>
      </w:r>
      <w:r>
        <w:rPr>
          <w:spacing w:val="-4"/>
        </w:rPr>
        <w:t> </w:t>
      </w:r>
      <w:r>
        <w:rPr/>
        <w:t>thinner</w:t>
      </w:r>
      <w:r>
        <w:rPr>
          <w:spacing w:val="-3"/>
        </w:rPr>
        <w:t> </w:t>
      </w:r>
      <w:r>
        <w:rPr/>
        <w:t>pieces</w:t>
      </w:r>
      <w:r>
        <w:rPr>
          <w:spacing w:val="-4"/>
        </w:rPr>
        <w:t> </w:t>
      </w:r>
      <w:r>
        <w:rPr/>
        <w:t>of</w:t>
      </w:r>
      <w:r>
        <w:rPr>
          <w:spacing w:val="-58"/>
        </w:rPr>
        <w:t> </w:t>
      </w:r>
      <w:r>
        <w:rPr/>
        <w:t>wood as well as engineered wood products and concluded the hardness values were</w:t>
      </w:r>
      <w:r>
        <w:rPr>
          <w:spacing w:val="1"/>
        </w:rPr>
        <w:t> </w:t>
      </w:r>
      <w:r>
        <w:rPr/>
        <w:t>equivalent</w:t>
      </w:r>
      <w:r>
        <w:rPr>
          <w:spacing w:val="-1"/>
        </w:rPr>
        <w:t> </w:t>
      </w:r>
      <w:r>
        <w:rPr/>
        <w:t>for the nonstandard specimen size [56].</w:t>
      </w:r>
    </w:p>
    <w:p>
      <w:pPr>
        <w:pStyle w:val="BodyText"/>
        <w:spacing w:line="480" w:lineRule="auto" w:before="160"/>
        <w:ind w:left="439" w:right="257" w:firstLine="720"/>
        <w:jc w:val="both"/>
      </w:pPr>
      <w:r>
        <w:rPr/>
        <w:pict>
          <v:rect style="position:absolute;margin-left:270.959991pt;margin-top:173.884109pt;width:33.06pt;height:.779pt;mso-position-horizontal-relative:page;mso-position-vertical-relative:paragraph;z-index:-34963456" filled="true" fillcolor="#000000" stroked="false">
            <v:fill type="solid"/>
            <w10:wrap type="none"/>
          </v:rect>
        </w:pict>
      </w:r>
      <w:r>
        <w:rPr/>
        <w:t>The force values of hardness gained through the testing show relationships with</w:t>
      </w:r>
      <w:r>
        <w:rPr>
          <w:spacing w:val="1"/>
        </w:rPr>
        <w:t> </w:t>
      </w:r>
      <w:r>
        <w:rPr/>
        <w:t>strength</w:t>
      </w:r>
      <w:r>
        <w:rPr>
          <w:spacing w:val="-7"/>
        </w:rPr>
        <w:t> </w:t>
      </w:r>
      <w:r>
        <w:rPr/>
        <w:t>parameters</w:t>
      </w:r>
      <w:r>
        <w:rPr>
          <w:spacing w:val="-6"/>
        </w:rPr>
        <w:t> </w:t>
      </w:r>
      <w:r>
        <w:rPr/>
        <w:t>like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modulus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rupture,</w:t>
      </w:r>
      <w:r>
        <w:rPr>
          <w:spacing w:val="-8"/>
        </w:rPr>
        <w:t> </w:t>
      </w:r>
      <w:r>
        <w:rPr/>
        <w:t>ultimate</w:t>
      </w:r>
      <w:r>
        <w:rPr>
          <w:spacing w:val="-6"/>
        </w:rPr>
        <w:t> </w:t>
      </w:r>
      <w:r>
        <w:rPr/>
        <w:t>compressive</w:t>
      </w:r>
      <w:r>
        <w:rPr>
          <w:spacing w:val="-6"/>
        </w:rPr>
        <w:t> </w:t>
      </w:r>
      <w:r>
        <w:rPr/>
        <w:t>stress</w:t>
      </w:r>
      <w:r>
        <w:rPr>
          <w:spacing w:val="-7"/>
        </w:rPr>
        <w:t> </w:t>
      </w:r>
      <w:r>
        <w:rPr/>
        <w:t>parallel</w:t>
      </w:r>
      <w:r>
        <w:rPr>
          <w:spacing w:val="-7"/>
        </w:rPr>
        <w:t> </w:t>
      </w:r>
      <w:r>
        <w:rPr/>
        <w:t>to</w:t>
      </w:r>
      <w:r>
        <w:rPr>
          <w:spacing w:val="-6"/>
        </w:rPr>
        <w:t> </w:t>
      </w:r>
      <w:r>
        <w:rPr/>
        <w:t>the</w:t>
      </w:r>
      <w:r>
        <w:rPr>
          <w:spacing w:val="-58"/>
        </w:rPr>
        <w:t> </w:t>
      </w:r>
      <w:r>
        <w:rPr/>
        <w:t>grain, and a proportional relationship to density of the wood.</w:t>
      </w:r>
      <w:r>
        <w:rPr>
          <w:spacing w:val="1"/>
        </w:rPr>
        <w:t> </w:t>
      </w:r>
      <w:r>
        <w:rPr/>
        <w:t>Hardness also varies with</w:t>
      </w:r>
      <w:r>
        <w:rPr>
          <w:spacing w:val="1"/>
        </w:rPr>
        <w:t> </w:t>
      </w:r>
      <w:r>
        <w:rPr/>
        <w:t>moisture content.</w:t>
      </w:r>
      <w:r>
        <w:rPr>
          <w:spacing w:val="1"/>
        </w:rPr>
        <w:t> </w:t>
      </w:r>
      <w:r>
        <w:rPr/>
        <w:t>For woods in the range of 6 to 20 percent moisture content, Forest</w:t>
      </w:r>
      <w:r>
        <w:rPr>
          <w:spacing w:val="1"/>
        </w:rPr>
        <w:t> </w:t>
      </w:r>
      <w:r>
        <w:rPr/>
        <w:t>Products</w:t>
      </w:r>
      <w:r>
        <w:rPr>
          <w:spacing w:val="-1"/>
        </w:rPr>
        <w:t> </w:t>
      </w:r>
      <w:r>
        <w:rPr/>
        <w:t>Laboratory</w:t>
      </w:r>
      <w:r>
        <w:rPr>
          <w:spacing w:val="-2"/>
        </w:rPr>
        <w:t> </w:t>
      </w:r>
      <w:r>
        <w:rPr/>
        <w:t>estimates the</w:t>
      </w:r>
      <w:r>
        <w:rPr>
          <w:spacing w:val="-1"/>
        </w:rPr>
        <w:t> </w:t>
      </w:r>
      <w:r>
        <w:rPr/>
        <w:t>hardness as</w:t>
      </w:r>
      <w:r>
        <w:rPr>
          <w:spacing w:val="-1"/>
        </w:rPr>
        <w:t> </w:t>
      </w:r>
      <w:r>
        <w:rPr/>
        <w:t>shown in</w:t>
      </w:r>
      <w:r>
        <w:rPr>
          <w:spacing w:val="-1"/>
        </w:rPr>
        <w:t> </w:t>
      </w:r>
      <w:r>
        <w:rPr/>
        <w:t>Equation 2.2:</w:t>
      </w:r>
    </w:p>
    <w:p>
      <w:pPr>
        <w:pStyle w:val="BodyText"/>
        <w:spacing w:before="10"/>
        <w:rPr>
          <w:sz w:val="14"/>
        </w:rPr>
      </w:pPr>
    </w:p>
    <w:tbl>
      <w:tblPr>
        <w:tblW w:w="0" w:type="auto"/>
        <w:jc w:val="left"/>
        <w:tblInd w:w="25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07"/>
        <w:gridCol w:w="890"/>
        <w:gridCol w:w="3056"/>
      </w:tblGrid>
      <w:tr>
        <w:trPr>
          <w:trHeight w:val="803" w:hRule="atLeast"/>
        </w:trPr>
        <w:tc>
          <w:tcPr>
            <w:tcW w:w="3597" w:type="dxa"/>
            <w:gridSpan w:val="2"/>
          </w:tcPr>
          <w:p>
            <w:pPr>
              <w:pStyle w:val="TableParagraph"/>
              <w:tabs>
                <w:tab w:pos="1942" w:val="left" w:leader="none"/>
              </w:tabs>
              <w:spacing w:line="134" w:lineRule="auto" w:before="21"/>
              <w:ind w:left="1338"/>
              <w:rPr>
                <w:rFonts w:ascii="Cambria Math" w:hAnsi="Cambria Math" w:eastAsia="Cambria Math"/>
                <w:sz w:val="17"/>
              </w:rPr>
            </w:pPr>
            <w:r>
              <w:rPr>
                <w:rFonts w:ascii="Cambria Math" w:hAnsi="Cambria Math" w:eastAsia="Cambria Math"/>
                <w:position w:val="-13"/>
                <w:sz w:val="24"/>
              </w:rPr>
              <w:t>𝐻</w:t>
              <w:tab/>
            </w:r>
            <w:r>
              <w:rPr>
                <w:rFonts w:ascii="Cambria Math" w:hAnsi="Cambria Math" w:eastAsia="Cambria Math"/>
                <w:sz w:val="17"/>
              </w:rPr>
              <w:t>[(12−𝑀)/(𝑀</w:t>
            </w:r>
            <w:r>
              <w:rPr>
                <w:rFonts w:ascii="Cambria Math" w:hAnsi="Cambria Math" w:eastAsia="Cambria Math"/>
                <w:position w:val="-2"/>
                <w:sz w:val="14"/>
              </w:rPr>
              <w:t>𝑝</w:t>
            </w:r>
            <w:r>
              <w:rPr>
                <w:rFonts w:ascii="Cambria Math" w:hAnsi="Cambria Math" w:eastAsia="Cambria Math"/>
                <w:sz w:val="17"/>
              </w:rPr>
              <w:t>−12)]</w:t>
            </w:r>
          </w:p>
          <w:p>
            <w:pPr>
              <w:pStyle w:val="TableParagraph"/>
              <w:tabs>
                <w:tab w:pos="1096" w:val="left" w:leader="none"/>
                <w:tab w:pos="1493" w:val="left" w:leader="none"/>
              </w:tabs>
              <w:spacing w:line="200" w:lineRule="exact"/>
              <w:ind w:left="200"/>
              <w:rPr>
                <w:rFonts w:ascii="Cambria Math" w:hAnsi="Cambria Math" w:cs="Cambria Math" w:eastAsia="Cambria Math"/>
                <w:sz w:val="24"/>
                <w:szCs w:val="24"/>
              </w:rPr>
            </w:pPr>
            <w:r>
              <w:rPr>
                <w:rFonts w:ascii="Cambria Math" w:hAnsi="Cambria Math" w:cs="Cambria Math" w:eastAsia="Cambria Math"/>
                <w:sz w:val="24"/>
                <w:szCs w:val="24"/>
              </w:rPr>
              <w:t>𝐻</w:t>
            </w:r>
            <w:r>
              <w:rPr>
                <w:rFonts w:ascii="Cambria Math" w:hAnsi="Cambria Math" w:cs="Cambria Math" w:eastAsia="Cambria Math"/>
                <w:spacing w:val="20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sz w:val="24"/>
                <w:szCs w:val="24"/>
              </w:rPr>
              <w:t>=</w:t>
            </w:r>
            <w:r>
              <w:rPr>
                <w:rFonts w:ascii="Cambria Math" w:hAnsi="Cambria Math" w:cs="Cambria Math" w:eastAsia="Cambria Math"/>
                <w:spacing w:val="13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sz w:val="24"/>
                <w:szCs w:val="24"/>
              </w:rPr>
              <w:t>𝐻</w:t>
              <w:tab/>
            </w:r>
            <w:r>
              <w:rPr>
                <w:rFonts w:ascii="Cambria Math" w:hAnsi="Cambria Math" w:cs="Cambria Math" w:eastAsia="Cambria Math"/>
                <w:w w:val="70"/>
                <w:sz w:val="24"/>
                <w:szCs w:val="24"/>
              </w:rPr>
              <w:t>�</w:t>
              <w:tab/>
            </w:r>
            <w:r>
              <w:rPr>
                <w:rFonts w:ascii="Cambria Math" w:hAnsi="Cambria Math" w:cs="Cambria Math" w:eastAsia="Cambria Math"/>
                <w:w w:val="90"/>
                <w:position w:val="13"/>
                <w:sz w:val="17"/>
                <w:szCs w:val="17"/>
              </w:rPr>
              <w:t>12</w:t>
            </w:r>
            <w:r>
              <w:rPr>
                <w:rFonts w:ascii="Cambria Math" w:hAnsi="Cambria Math" w:cs="Cambria Math" w:eastAsia="Cambria Math"/>
                <w:spacing w:val="72"/>
                <w:position w:val="13"/>
                <w:sz w:val="17"/>
                <w:szCs w:val="17"/>
              </w:rPr>
              <w:t> </w:t>
            </w:r>
            <w:r>
              <w:rPr>
                <w:rFonts w:ascii="Cambria Math" w:hAnsi="Cambria Math" w:cs="Cambria Math" w:eastAsia="Cambria Math"/>
                <w:w w:val="70"/>
                <w:sz w:val="24"/>
                <w:szCs w:val="24"/>
              </w:rPr>
              <w:t>�</w:t>
            </w:r>
          </w:p>
          <w:p>
            <w:pPr>
              <w:pStyle w:val="TableParagraph"/>
              <w:spacing w:line="270" w:lineRule="exact"/>
              <w:ind w:left="849"/>
              <w:rPr>
                <w:rFonts w:ascii="Cambria Math" w:eastAsia="Cambria Math"/>
                <w:sz w:val="17"/>
              </w:rPr>
            </w:pPr>
            <w:r>
              <w:rPr>
                <w:rFonts w:ascii="Cambria Math" w:eastAsia="Cambria Math"/>
                <w:spacing w:val="-1"/>
                <w:w w:val="111"/>
                <w:sz w:val="24"/>
                <w:vertAlign w:val="superscript"/>
              </w:rPr>
              <w:t>1</w:t>
            </w:r>
            <w:r>
              <w:rPr>
                <w:rFonts w:ascii="Cambria Math" w:eastAsia="Cambria Math"/>
                <w:w w:val="111"/>
                <w:sz w:val="24"/>
                <w:vertAlign w:val="superscript"/>
              </w:rPr>
              <w:t>2</w:t>
            </w:r>
            <w:r>
              <w:rPr>
                <w:rFonts w:ascii="Cambria Math" w:eastAsia="Cambria Math"/>
                <w:sz w:val="24"/>
                <w:vertAlign w:val="baseline"/>
              </w:rPr>
              <w:t>  </w:t>
            </w:r>
            <w:r>
              <w:rPr>
                <w:rFonts w:ascii="Cambria Math" w:eastAsia="Cambria Math"/>
                <w:spacing w:val="-16"/>
                <w:sz w:val="24"/>
                <w:vertAlign w:val="baseline"/>
              </w:rPr>
              <w:t> </w:t>
            </w:r>
            <w:r>
              <w:rPr>
                <w:rFonts w:ascii="Cambria Math" w:eastAsia="Cambria Math"/>
                <w:spacing w:val="-24"/>
                <w:position w:val="5"/>
                <w:sz w:val="24"/>
                <w:vertAlign w:val="baseline"/>
              </w:rPr>
              <w:t>𝐻</w:t>
            </w:r>
            <w:r>
              <w:rPr>
                <w:rFonts w:ascii="Cambria Math" w:eastAsia="Cambria Math"/>
                <w:w w:val="54"/>
                <w:sz w:val="17"/>
                <w:vertAlign w:val="baseline"/>
              </w:rPr>
              <w:t>𝑔𝑔</w:t>
            </w:r>
            <w:r>
              <w:rPr>
                <w:rFonts w:ascii="Cambria Math" w:eastAsia="Cambria Math"/>
                <w:spacing w:val="-1"/>
                <w:w w:val="111"/>
                <w:sz w:val="17"/>
                <w:vertAlign w:val="baseline"/>
              </w:rPr>
              <w:t>𝑟</w:t>
            </w:r>
            <w:r>
              <w:rPr>
                <w:rFonts w:ascii="Cambria Math" w:eastAsia="Cambria Math"/>
                <w:spacing w:val="-1"/>
                <w:w w:val="111"/>
                <w:sz w:val="17"/>
                <w:vertAlign w:val="baseline"/>
              </w:rPr>
              <w:t>𝑒𝑒𝑛</w:t>
            </w:r>
          </w:p>
        </w:tc>
        <w:tc>
          <w:tcPr>
            <w:tcW w:w="3056" w:type="dxa"/>
          </w:tcPr>
          <w:p>
            <w:pPr>
              <w:pStyle w:val="TableParagraph"/>
              <w:spacing w:line="266" w:lineRule="exact"/>
              <w:ind w:right="199"/>
              <w:jc w:val="right"/>
              <w:rPr>
                <w:sz w:val="24"/>
              </w:rPr>
            </w:pPr>
            <w:r>
              <w:rPr>
                <w:sz w:val="24"/>
              </w:rPr>
              <w:t>(2.2)</w:t>
            </w:r>
          </w:p>
        </w:tc>
      </w:tr>
      <w:tr>
        <w:trPr>
          <w:trHeight w:val="673" w:hRule="atLeast"/>
        </w:trPr>
        <w:tc>
          <w:tcPr>
            <w:tcW w:w="2707" w:type="dxa"/>
          </w:tcPr>
          <w:p>
            <w:pPr>
              <w:pStyle w:val="TableParagraph"/>
              <w:spacing w:before="83"/>
              <w:ind w:right="298"/>
              <w:jc w:val="right"/>
              <w:rPr>
                <w:sz w:val="24"/>
              </w:rPr>
            </w:pPr>
            <w:r>
              <w:rPr>
                <w:sz w:val="24"/>
              </w:rPr>
              <w:t>where</w:t>
            </w:r>
          </w:p>
        </w:tc>
        <w:tc>
          <w:tcPr>
            <w:tcW w:w="890" w:type="dxa"/>
          </w:tcPr>
          <w:p>
            <w:pPr>
              <w:pStyle w:val="TableParagraph"/>
              <w:spacing w:before="84"/>
              <w:ind w:right="107"/>
              <w:jc w:val="right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H</w:t>
            </w:r>
            <w:r>
              <w:rPr>
                <w:i/>
                <w:sz w:val="16"/>
              </w:rPr>
              <w:t>12</w:t>
            </w:r>
            <w:r>
              <w:rPr>
                <w:i/>
                <w:spacing w:val="-1"/>
                <w:sz w:val="16"/>
              </w:rPr>
              <w:t> </w:t>
            </w:r>
            <w:r>
              <w:rPr>
                <w:i/>
                <w:sz w:val="16"/>
              </w:rPr>
              <w:t>=</w:t>
            </w:r>
          </w:p>
        </w:tc>
        <w:tc>
          <w:tcPr>
            <w:tcW w:w="3056" w:type="dxa"/>
          </w:tcPr>
          <w:p>
            <w:pPr>
              <w:pStyle w:val="TableParagraph"/>
              <w:spacing w:line="290" w:lineRule="atLeast" w:before="69"/>
              <w:ind w:left="107" w:right="456"/>
              <w:rPr>
                <w:sz w:val="24"/>
              </w:rPr>
            </w:pPr>
            <w:r>
              <w:rPr>
                <w:sz w:val="24"/>
              </w:rPr>
              <w:t>hardness at 12% moisture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content</w:t>
            </w:r>
          </w:p>
        </w:tc>
      </w:tr>
      <w:tr>
        <w:trPr>
          <w:trHeight w:val="298" w:hRule="atLeast"/>
        </w:trPr>
        <w:tc>
          <w:tcPr>
            <w:tcW w:w="270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spacing w:line="272" w:lineRule="exact" w:before="6"/>
              <w:ind w:right="107"/>
              <w:jc w:val="right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H</w:t>
            </w:r>
            <w:r>
              <w:rPr>
                <w:i/>
                <w:sz w:val="16"/>
              </w:rPr>
              <w:t>green</w:t>
            </w:r>
            <w:r>
              <w:rPr>
                <w:i/>
                <w:spacing w:val="-1"/>
                <w:sz w:val="16"/>
              </w:rPr>
              <w:t> </w:t>
            </w:r>
            <w:r>
              <w:rPr>
                <w:i/>
                <w:sz w:val="16"/>
              </w:rPr>
              <w:t>=</w:t>
            </w:r>
          </w:p>
        </w:tc>
        <w:tc>
          <w:tcPr>
            <w:tcW w:w="3056" w:type="dxa"/>
          </w:tcPr>
          <w:p>
            <w:pPr>
              <w:pStyle w:val="TableParagraph"/>
              <w:spacing w:line="272" w:lineRule="exact" w:before="5"/>
              <w:ind w:left="107"/>
              <w:rPr>
                <w:sz w:val="24"/>
              </w:rPr>
            </w:pPr>
            <w:r>
              <w:rPr>
                <w:sz w:val="24"/>
              </w:rPr>
              <w:t>hardness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green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lumber</w:t>
            </w:r>
          </w:p>
        </w:tc>
      </w:tr>
      <w:tr>
        <w:trPr>
          <w:trHeight w:val="297" w:hRule="atLeast"/>
        </w:trPr>
        <w:tc>
          <w:tcPr>
            <w:tcW w:w="270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spacing w:line="271" w:lineRule="exact" w:before="6"/>
              <w:ind w:right="107"/>
              <w:jc w:val="right"/>
              <w:rPr>
                <w:i/>
                <w:sz w:val="24"/>
              </w:rPr>
            </w:pPr>
            <w:r>
              <w:rPr>
                <w:i/>
                <w:sz w:val="24"/>
              </w:rPr>
              <w:t>M =</w:t>
            </w:r>
          </w:p>
        </w:tc>
        <w:tc>
          <w:tcPr>
            <w:tcW w:w="3056" w:type="dxa"/>
          </w:tcPr>
          <w:p>
            <w:pPr>
              <w:pStyle w:val="TableParagraph"/>
              <w:spacing w:line="272" w:lineRule="exact" w:before="5"/>
              <w:ind w:left="107"/>
              <w:rPr>
                <w:sz w:val="24"/>
              </w:rPr>
            </w:pPr>
            <w:r>
              <w:rPr>
                <w:sz w:val="24"/>
              </w:rPr>
              <w:t>moisture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content</w:t>
            </w:r>
          </w:p>
        </w:tc>
      </w:tr>
      <w:tr>
        <w:trPr>
          <w:trHeight w:val="579" w:hRule="atLeast"/>
        </w:trPr>
        <w:tc>
          <w:tcPr>
            <w:tcW w:w="270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spacing w:before="6"/>
              <w:ind w:right="107"/>
              <w:jc w:val="right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M</w:t>
            </w:r>
            <w:r>
              <w:rPr>
                <w:i/>
                <w:sz w:val="16"/>
              </w:rPr>
              <w:t>p</w:t>
            </w:r>
            <w:r>
              <w:rPr>
                <w:i/>
                <w:spacing w:val="-1"/>
                <w:sz w:val="16"/>
              </w:rPr>
              <w:t> </w:t>
            </w:r>
            <w:r>
              <w:rPr>
                <w:i/>
                <w:sz w:val="16"/>
              </w:rPr>
              <w:t>=</w:t>
            </w:r>
          </w:p>
        </w:tc>
        <w:tc>
          <w:tcPr>
            <w:tcW w:w="3056" w:type="dxa"/>
          </w:tcPr>
          <w:p>
            <w:pPr>
              <w:pStyle w:val="TableParagraph"/>
              <w:spacing w:before="5"/>
              <w:ind w:left="107"/>
              <w:rPr>
                <w:sz w:val="24"/>
              </w:rPr>
            </w:pPr>
            <w:r>
              <w:rPr>
                <w:sz w:val="24"/>
              </w:rPr>
              <w:t>intersection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moisture</w:t>
            </w:r>
          </w:p>
          <w:p>
            <w:pPr>
              <w:pStyle w:val="TableParagraph"/>
              <w:spacing w:line="256" w:lineRule="exact" w:before="23"/>
              <w:ind w:left="107"/>
              <w:rPr>
                <w:sz w:val="24"/>
              </w:rPr>
            </w:pPr>
            <w:r>
              <w:rPr>
                <w:sz w:val="24"/>
              </w:rPr>
              <w:t>content</w:t>
            </w:r>
          </w:p>
        </w:tc>
      </w:tr>
    </w:tbl>
    <w:p>
      <w:pPr>
        <w:pStyle w:val="BodyText"/>
        <w:spacing w:before="10"/>
        <w:rPr>
          <w:sz w:val="14"/>
        </w:rPr>
      </w:pPr>
    </w:p>
    <w:p>
      <w:pPr>
        <w:pStyle w:val="BodyText"/>
        <w:spacing w:line="480" w:lineRule="auto" w:before="90"/>
        <w:ind w:left="440" w:right="257"/>
        <w:jc w:val="both"/>
      </w:pPr>
      <w:r>
        <w:rPr/>
        <w:t>Hardness values vary between 21 and 28 percent with the note to use 25 percent for other</w:t>
      </w:r>
      <w:r>
        <w:rPr>
          <w:spacing w:val="-57"/>
        </w:rPr>
        <w:t> </w:t>
      </w:r>
      <w:r>
        <w:rPr/>
        <w:t>unlisted species [56].</w:t>
      </w:r>
      <w:r>
        <w:rPr>
          <w:spacing w:val="1"/>
        </w:rPr>
        <w:t> </w:t>
      </w:r>
      <w:r>
        <w:rPr/>
        <w:t>Intersection moisture content is defined as the point when the</w:t>
      </w:r>
      <w:r>
        <w:rPr>
          <w:spacing w:val="1"/>
        </w:rPr>
        <w:t> </w:t>
      </w:r>
      <w:r>
        <w:rPr/>
        <w:t>mechanical</w:t>
      </w:r>
      <w:r>
        <w:rPr>
          <w:spacing w:val="-1"/>
        </w:rPr>
        <w:t> </w:t>
      </w:r>
      <w:r>
        <w:rPr/>
        <w:t>properties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wood</w:t>
      </w:r>
      <w:r>
        <w:rPr>
          <w:spacing w:val="-1"/>
        </w:rPr>
        <w:t> </w:t>
      </w:r>
      <w:r>
        <w:rPr/>
        <w:t>begin to</w:t>
      </w:r>
      <w:r>
        <w:rPr>
          <w:spacing w:val="-1"/>
        </w:rPr>
        <w:t> </w:t>
      </w:r>
      <w:r>
        <w:rPr/>
        <w:t>change</w:t>
      </w:r>
      <w:r>
        <w:rPr>
          <w:spacing w:val="-1"/>
        </w:rPr>
        <w:t> </w:t>
      </w:r>
      <w:r>
        <w:rPr/>
        <w:t>due to</w:t>
      </w:r>
      <w:r>
        <w:rPr>
          <w:spacing w:val="-1"/>
        </w:rPr>
        <w:t> </w:t>
      </w:r>
      <w:r>
        <w:rPr/>
        <w:t>drying</w:t>
      </w:r>
      <w:r>
        <w:rPr>
          <w:spacing w:val="-1"/>
        </w:rPr>
        <w:t> </w:t>
      </w:r>
      <w:r>
        <w:rPr/>
        <w:t>from</w:t>
      </w:r>
      <w:r>
        <w:rPr>
          <w:spacing w:val="-2"/>
        </w:rPr>
        <w:t> </w:t>
      </w:r>
      <w:r>
        <w:rPr/>
        <w:t>green</w:t>
      </w:r>
      <w:r>
        <w:rPr>
          <w:spacing w:val="-1"/>
        </w:rPr>
        <w:t> </w:t>
      </w:r>
      <w:r>
        <w:rPr/>
        <w:t>wood</w:t>
      </w:r>
      <w:r>
        <w:rPr>
          <w:spacing w:val="-1"/>
        </w:rPr>
        <w:t> </w:t>
      </w:r>
      <w:r>
        <w:rPr/>
        <w:t>[96].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40" w:right="256" w:firstLine="720"/>
        <w:jc w:val="both"/>
      </w:pPr>
      <w:r>
        <w:rPr/>
        <w:t>Janka</w:t>
      </w:r>
      <w:r>
        <w:rPr>
          <w:spacing w:val="1"/>
        </w:rPr>
        <w:t> </w:t>
      </w:r>
      <w:r>
        <w:rPr/>
        <w:t>hardness</w:t>
      </w:r>
      <w:r>
        <w:rPr>
          <w:spacing w:val="1"/>
        </w:rPr>
        <w:t> </w:t>
      </w:r>
      <w:r>
        <w:rPr/>
        <w:t>ratings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commonly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wood</w:t>
      </w:r>
      <w:r>
        <w:rPr>
          <w:spacing w:val="1"/>
        </w:rPr>
        <w:t> </w:t>
      </w:r>
      <w:r>
        <w:rPr/>
        <w:t>flooring</w:t>
      </w:r>
      <w:r>
        <w:rPr>
          <w:spacing w:val="1"/>
        </w:rPr>
        <w:t> </w:t>
      </w:r>
      <w:r>
        <w:rPr/>
        <w:t>materials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indications of resistance to indentation and durability. This is not a structural design issue</w:t>
      </w:r>
      <w:r>
        <w:rPr>
          <w:spacing w:val="-57"/>
        </w:rPr>
        <w:t> </w:t>
      </w:r>
      <w:r>
        <w:rPr/>
        <w:t>but a characteristic of interest related to impact resistance.</w:t>
      </w:r>
      <w:r>
        <w:rPr>
          <w:spacing w:val="1"/>
        </w:rPr>
        <w:t> </w:t>
      </w:r>
      <w:r>
        <w:rPr/>
        <w:t>Tabulated values are typically</w:t>
      </w:r>
      <w:r>
        <w:rPr>
          <w:spacing w:val="1"/>
        </w:rPr>
        <w:t> </w:t>
      </w:r>
      <w:r>
        <w:rPr/>
        <w:t>reported as an average due to the variability in wood.</w:t>
      </w:r>
      <w:r>
        <w:rPr>
          <w:spacing w:val="1"/>
        </w:rPr>
        <w:t> </w:t>
      </w:r>
      <w:r>
        <w:rPr/>
        <w:t>Hardness values are typically</w:t>
      </w:r>
      <w:r>
        <w:rPr>
          <w:spacing w:val="1"/>
        </w:rPr>
        <w:t> </w:t>
      </w:r>
      <w:r>
        <w:rPr>
          <w:spacing w:val="-1"/>
        </w:rPr>
        <w:t>provided</w:t>
      </w:r>
      <w:r>
        <w:rPr>
          <w:spacing w:val="-14"/>
        </w:rPr>
        <w:t> </w:t>
      </w:r>
      <w:r>
        <w:rPr>
          <w:spacing w:val="-1"/>
        </w:rPr>
        <w:t>as</w:t>
      </w:r>
      <w:r>
        <w:rPr>
          <w:spacing w:val="-13"/>
        </w:rPr>
        <w:t> </w:t>
      </w:r>
      <w:r>
        <w:rPr>
          <w:spacing w:val="-1"/>
        </w:rPr>
        <w:t>an</w:t>
      </w:r>
      <w:r>
        <w:rPr>
          <w:spacing w:val="-12"/>
        </w:rPr>
        <w:t> </w:t>
      </w:r>
      <w:r>
        <w:rPr>
          <w:spacing w:val="-1"/>
        </w:rPr>
        <w:t>average</w:t>
      </w:r>
      <w:r>
        <w:rPr>
          <w:spacing w:val="-12"/>
        </w:rPr>
        <w:t> </w:t>
      </w:r>
      <w:r>
        <w:rPr/>
        <w:t>of</w:t>
      </w:r>
      <w:r>
        <w:rPr>
          <w:spacing w:val="-13"/>
        </w:rPr>
        <w:t> </w:t>
      </w:r>
      <w:r>
        <w:rPr/>
        <w:t>radial</w:t>
      </w:r>
      <w:r>
        <w:rPr>
          <w:spacing w:val="-12"/>
        </w:rPr>
        <w:t> </w:t>
      </w:r>
      <w:r>
        <w:rPr/>
        <w:t>and</w:t>
      </w:r>
      <w:r>
        <w:rPr>
          <w:spacing w:val="-14"/>
        </w:rPr>
        <w:t> </w:t>
      </w:r>
      <w:r>
        <w:rPr/>
        <w:t>tangential</w:t>
      </w:r>
      <w:r>
        <w:rPr>
          <w:spacing w:val="-12"/>
        </w:rPr>
        <w:t> </w:t>
      </w:r>
      <w:r>
        <w:rPr/>
        <w:t>penetrations</w:t>
      </w:r>
      <w:r>
        <w:rPr>
          <w:spacing w:val="-13"/>
        </w:rPr>
        <w:t> </w:t>
      </w:r>
      <w:r>
        <w:rPr/>
        <w:t>[96].</w:t>
      </w:r>
      <w:r>
        <w:rPr>
          <w:spacing w:val="37"/>
        </w:rPr>
        <w:t> </w:t>
      </w:r>
      <w:r>
        <w:rPr/>
        <w:t>Historically,</w:t>
      </w:r>
      <w:r>
        <w:rPr>
          <w:spacing w:val="-14"/>
        </w:rPr>
        <w:t> </w:t>
      </w:r>
      <w:r>
        <w:rPr/>
        <w:t>other</w:t>
      </w:r>
      <w:r>
        <w:rPr>
          <w:spacing w:val="-13"/>
        </w:rPr>
        <w:t> </w:t>
      </w:r>
      <w:r>
        <w:rPr/>
        <w:t>testing</w:t>
      </w:r>
      <w:r>
        <w:rPr>
          <w:spacing w:val="-57"/>
        </w:rPr>
        <w:t> </w:t>
      </w:r>
      <w:r>
        <w:rPr/>
        <w:t>procedures have been used for wood, such as Rockwell, S Scale for thin, relatively soft</w:t>
      </w:r>
      <w:r>
        <w:rPr>
          <w:spacing w:val="1"/>
        </w:rPr>
        <w:t> </w:t>
      </w:r>
      <w:r>
        <w:rPr/>
        <w:t>materials and Brinell scale [41, 80].</w:t>
      </w:r>
      <w:r>
        <w:rPr>
          <w:spacing w:val="1"/>
        </w:rPr>
        <w:t> </w:t>
      </w:r>
      <w:r>
        <w:rPr/>
        <w:t>There is not an ASTM standard for measuring the</w:t>
      </w:r>
      <w:r>
        <w:rPr>
          <w:spacing w:val="1"/>
        </w:rPr>
        <w:t> </w:t>
      </w:r>
      <w:r>
        <w:rPr/>
        <w:t>Brinell</w:t>
      </w:r>
      <w:r>
        <w:rPr>
          <w:spacing w:val="-1"/>
        </w:rPr>
        <w:t> </w:t>
      </w:r>
      <w:r>
        <w:rPr/>
        <w:t>hardness of</w:t>
      </w:r>
      <w:r>
        <w:rPr>
          <w:spacing w:val="-1"/>
        </w:rPr>
        <w:t> </w:t>
      </w:r>
      <w:r>
        <w:rPr/>
        <w:t>wood.</w:t>
      </w:r>
    </w:p>
    <w:p>
      <w:pPr>
        <w:pStyle w:val="ListParagraph"/>
        <w:numPr>
          <w:ilvl w:val="2"/>
          <w:numId w:val="16"/>
        </w:numPr>
        <w:tabs>
          <w:tab w:pos="980" w:val="left" w:leader="none"/>
        </w:tabs>
        <w:spacing w:line="240" w:lineRule="auto" w:before="161" w:after="0"/>
        <w:ind w:left="980" w:right="0" w:hanging="540"/>
        <w:jc w:val="both"/>
        <w:rPr>
          <w:i/>
          <w:sz w:val="24"/>
        </w:rPr>
      </w:pPr>
      <w:bookmarkStart w:name="2.1.7 Seismic performance" w:id="47"/>
      <w:bookmarkEnd w:id="47"/>
      <w:r>
        <w:rPr/>
      </w:r>
      <w:bookmarkStart w:name="2.1.7 Seismic performance" w:id="48"/>
      <w:bookmarkEnd w:id="48"/>
      <w:r>
        <w:rPr>
          <w:i/>
          <w:sz w:val="24"/>
        </w:rPr>
        <w:t>Sei</w:t>
      </w:r>
      <w:r>
        <w:rPr>
          <w:i/>
          <w:sz w:val="24"/>
        </w:rPr>
        <w:t>smic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performance</w:t>
      </w:r>
    </w:p>
    <w:p>
      <w:pPr>
        <w:pStyle w:val="BodyText"/>
        <w:spacing w:before="7"/>
        <w:rPr>
          <w:i/>
          <w:sz w:val="22"/>
        </w:rPr>
      </w:pPr>
    </w:p>
    <w:p>
      <w:pPr>
        <w:pStyle w:val="BodyText"/>
        <w:spacing w:line="480" w:lineRule="auto"/>
        <w:ind w:left="440" w:right="256" w:firstLine="720"/>
        <w:jc w:val="both"/>
      </w:pPr>
      <w:r>
        <w:rPr/>
        <w:t>Testing and analysis to date have shown that structures built of CLT perform well</w:t>
      </w:r>
      <w:r>
        <w:rPr>
          <w:spacing w:val="1"/>
        </w:rPr>
        <w:t> </w:t>
      </w:r>
      <w:r>
        <w:rPr/>
        <w:t>under seismic loading conditions.</w:t>
      </w:r>
      <w:r>
        <w:rPr>
          <w:spacing w:val="1"/>
        </w:rPr>
        <w:t> </w:t>
      </w:r>
      <w:r>
        <w:rPr/>
        <w:t>CLT wall systems have shown to effectively handle</w:t>
      </w:r>
      <w:r>
        <w:rPr>
          <w:spacing w:val="1"/>
        </w:rPr>
        <w:t> </w:t>
      </w:r>
      <w:r>
        <w:rPr/>
        <w:t>lateral</w:t>
      </w:r>
      <w:r>
        <w:rPr>
          <w:spacing w:val="-9"/>
        </w:rPr>
        <w:t> </w:t>
      </w:r>
      <w:r>
        <w:rPr/>
        <w:t>loading</w:t>
      </w:r>
      <w:r>
        <w:rPr>
          <w:spacing w:val="-9"/>
        </w:rPr>
        <w:t> </w:t>
      </w:r>
      <w:r>
        <w:rPr/>
        <w:t>conditions,</w:t>
      </w:r>
      <w:r>
        <w:rPr>
          <w:spacing w:val="-9"/>
        </w:rPr>
        <w:t> </w:t>
      </w:r>
      <w:r>
        <w:rPr/>
        <w:t>even</w:t>
      </w:r>
      <w:r>
        <w:rPr>
          <w:spacing w:val="-9"/>
        </w:rPr>
        <w:t> </w:t>
      </w:r>
      <w:r>
        <w:rPr/>
        <w:t>under</w:t>
      </w:r>
      <w:r>
        <w:rPr>
          <w:spacing w:val="-8"/>
        </w:rPr>
        <w:t> </w:t>
      </w:r>
      <w:r>
        <w:rPr/>
        <w:t>extreme</w:t>
      </w:r>
      <w:r>
        <w:rPr>
          <w:spacing w:val="-8"/>
        </w:rPr>
        <w:t> </w:t>
      </w:r>
      <w:r>
        <w:rPr/>
        <w:t>earthquake</w:t>
      </w:r>
      <w:r>
        <w:rPr>
          <w:spacing w:val="-10"/>
        </w:rPr>
        <w:t> </w:t>
      </w:r>
      <w:r>
        <w:rPr/>
        <w:t>loads</w:t>
      </w:r>
      <w:r>
        <w:rPr>
          <w:spacing w:val="-8"/>
        </w:rPr>
        <w:t> </w:t>
      </w:r>
      <w:r>
        <w:rPr/>
        <w:t>[36,</w:t>
      </w:r>
      <w:r>
        <w:rPr>
          <w:spacing w:val="-9"/>
        </w:rPr>
        <w:t> </w:t>
      </w:r>
      <w:r>
        <w:rPr/>
        <w:t>101].</w:t>
      </w:r>
      <w:r>
        <w:rPr>
          <w:spacing w:val="45"/>
        </w:rPr>
        <w:t> </w:t>
      </w:r>
      <w:r>
        <w:rPr/>
        <w:t>The</w:t>
      </w:r>
      <w:r>
        <w:rPr>
          <w:spacing w:val="-8"/>
        </w:rPr>
        <w:t> </w:t>
      </w:r>
      <w:r>
        <w:rPr/>
        <w:t>layering</w:t>
      </w:r>
      <w:r>
        <w:rPr>
          <w:spacing w:val="-9"/>
        </w:rPr>
        <w:t> </w:t>
      </w:r>
      <w:r>
        <w:rPr/>
        <w:t>of</w:t>
      </w:r>
      <w:r>
        <w:rPr>
          <w:spacing w:val="-58"/>
        </w:rPr>
        <w:t> </w:t>
      </w:r>
      <w:r>
        <w:rPr/>
        <w:t>timbers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CLT</w:t>
      </w:r>
      <w:r>
        <w:rPr>
          <w:spacing w:val="1"/>
        </w:rPr>
        <w:t> </w:t>
      </w:r>
      <w:r>
        <w:rPr/>
        <w:t>panel</w:t>
      </w:r>
      <w:r>
        <w:rPr>
          <w:spacing w:val="1"/>
        </w:rPr>
        <w:t> </w:t>
      </w:r>
      <w:r>
        <w:rPr/>
        <w:t>offers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ductile</w:t>
      </w:r>
      <w:r>
        <w:rPr>
          <w:spacing w:val="1"/>
        </w:rPr>
        <w:t> </w:t>
      </w:r>
      <w:r>
        <w:rPr/>
        <w:t>behavior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mass</w:t>
      </w:r>
      <w:r>
        <w:rPr>
          <w:spacing w:val="1"/>
        </w:rPr>
        <w:t> </w:t>
      </w:r>
      <w:r>
        <w:rPr/>
        <w:t>load</w:t>
      </w:r>
      <w:r>
        <w:rPr>
          <w:spacing w:val="1"/>
        </w:rPr>
        <w:t> </w:t>
      </w:r>
      <w:r>
        <w:rPr/>
        <w:t>bearing</w:t>
      </w:r>
      <w:r>
        <w:rPr>
          <w:spacing w:val="-57"/>
        </w:rPr>
        <w:t> </w:t>
      </w:r>
      <w:r>
        <w:rPr/>
        <w:t>construction materials such as reinforced concrete.</w:t>
      </w:r>
      <w:r>
        <w:rPr>
          <w:spacing w:val="1"/>
        </w:rPr>
        <w:t> </w:t>
      </w:r>
      <w:r>
        <w:rPr/>
        <w:t>When considering CLT for use in</w:t>
      </w:r>
      <w:r>
        <w:rPr>
          <w:spacing w:val="1"/>
        </w:rPr>
        <w:t> </w:t>
      </w:r>
      <w:r>
        <w:rPr/>
        <w:t>seismically active areas or where code requires, care must be taken in the design of the</w:t>
      </w:r>
      <w:r>
        <w:rPr>
          <w:spacing w:val="1"/>
        </w:rPr>
        <w:t> </w:t>
      </w:r>
      <w:r>
        <w:rPr/>
        <w:t>connections.</w:t>
      </w:r>
      <w:r>
        <w:rPr>
          <w:spacing w:val="1"/>
        </w:rPr>
        <w:t> </w:t>
      </w:r>
      <w:r>
        <w:rPr/>
        <w:t>CLT walls appear to provide structural redundancy and CLT structures are</w:t>
      </w:r>
      <w:r>
        <w:rPr>
          <w:spacing w:val="1"/>
        </w:rPr>
        <w:t> </w:t>
      </w:r>
      <w:r>
        <w:rPr/>
        <w:t>less</w:t>
      </w:r>
      <w:r>
        <w:rPr>
          <w:spacing w:val="-1"/>
        </w:rPr>
        <w:t> </w:t>
      </w:r>
      <w:r>
        <w:rPr/>
        <w:t>susceptible</w:t>
      </w:r>
      <w:r>
        <w:rPr>
          <w:spacing w:val="-1"/>
        </w:rPr>
        <w:t> </w:t>
      </w:r>
      <w:r>
        <w:rPr/>
        <w:t>to soft</w:t>
      </w:r>
      <w:r>
        <w:rPr>
          <w:spacing w:val="-1"/>
        </w:rPr>
        <w:t> </w:t>
      </w:r>
      <w:r>
        <w:rPr/>
        <w:t>story failures</w:t>
      </w:r>
      <w:r>
        <w:rPr>
          <w:spacing w:val="-1"/>
        </w:rPr>
        <w:t> </w:t>
      </w:r>
      <w:r>
        <w:rPr/>
        <w:t>than</w:t>
      </w:r>
      <w:r>
        <w:rPr>
          <w:spacing w:val="-1"/>
        </w:rPr>
        <w:t> </w:t>
      </w:r>
      <w:r>
        <w:rPr/>
        <w:t>other platform</w:t>
      </w:r>
      <w:r>
        <w:rPr>
          <w:spacing w:val="-2"/>
        </w:rPr>
        <w:t> </w:t>
      </w:r>
      <w:r>
        <w:rPr/>
        <w:t>framed systems</w:t>
      </w:r>
      <w:r>
        <w:rPr>
          <w:spacing w:val="-1"/>
        </w:rPr>
        <w:t> </w:t>
      </w:r>
      <w:r>
        <w:rPr/>
        <w:t>[68].</w:t>
      </w:r>
    </w:p>
    <w:p>
      <w:pPr>
        <w:pStyle w:val="ListParagraph"/>
        <w:numPr>
          <w:ilvl w:val="2"/>
          <w:numId w:val="16"/>
        </w:numPr>
        <w:tabs>
          <w:tab w:pos="980" w:val="left" w:leader="none"/>
        </w:tabs>
        <w:spacing w:line="240" w:lineRule="auto" w:before="161" w:after="0"/>
        <w:ind w:left="980" w:right="0" w:hanging="540"/>
        <w:jc w:val="both"/>
        <w:rPr>
          <w:i/>
          <w:sz w:val="24"/>
        </w:rPr>
      </w:pPr>
      <w:bookmarkStart w:name="2.1.8 Fire Performance" w:id="49"/>
      <w:bookmarkEnd w:id="49"/>
      <w:r>
        <w:rPr/>
      </w:r>
      <w:bookmarkStart w:name="2.1.8 Fire Performance" w:id="50"/>
      <w:bookmarkEnd w:id="50"/>
      <w:r>
        <w:rPr>
          <w:i/>
          <w:sz w:val="24"/>
        </w:rPr>
        <w:t>F</w:t>
      </w:r>
      <w:r>
        <w:rPr>
          <w:i/>
          <w:sz w:val="24"/>
        </w:rPr>
        <w:t>ire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Performance</w:t>
      </w:r>
    </w:p>
    <w:p>
      <w:pPr>
        <w:pStyle w:val="BodyText"/>
        <w:spacing w:before="4"/>
        <w:rPr>
          <w:i/>
          <w:sz w:val="34"/>
        </w:rPr>
      </w:pPr>
    </w:p>
    <w:p>
      <w:pPr>
        <w:pStyle w:val="BodyText"/>
        <w:spacing w:line="480" w:lineRule="auto"/>
        <w:ind w:left="440" w:right="256" w:firstLine="720"/>
        <w:jc w:val="both"/>
      </w:pPr>
      <w:r>
        <w:rPr/>
        <w:t>Fire protection is a common concern in wood construction, in part because of</w:t>
      </w:r>
      <w:r>
        <w:rPr>
          <w:spacing w:val="1"/>
        </w:rPr>
        <w:t> </w:t>
      </w:r>
      <w:r>
        <w:rPr/>
        <w:t>historic</w:t>
      </w:r>
      <w:r>
        <w:rPr>
          <w:spacing w:val="-7"/>
        </w:rPr>
        <w:t> </w:t>
      </w:r>
      <w:r>
        <w:rPr/>
        <w:t>urban</w:t>
      </w:r>
      <w:r>
        <w:rPr>
          <w:spacing w:val="-7"/>
        </w:rPr>
        <w:t> </w:t>
      </w:r>
      <w:r>
        <w:rPr/>
        <w:t>fires</w:t>
      </w:r>
      <w:r>
        <w:rPr>
          <w:spacing w:val="-6"/>
        </w:rPr>
        <w:t> </w:t>
      </w:r>
      <w:r>
        <w:rPr/>
        <w:t>in</w:t>
      </w:r>
      <w:r>
        <w:rPr>
          <w:spacing w:val="-7"/>
        </w:rPr>
        <w:t> </w:t>
      </w:r>
      <w:r>
        <w:rPr/>
        <w:t>cities</w:t>
      </w:r>
      <w:r>
        <w:rPr>
          <w:spacing w:val="-6"/>
        </w:rPr>
        <w:t> </w:t>
      </w:r>
      <w:r>
        <w:rPr/>
        <w:t>like</w:t>
      </w:r>
      <w:r>
        <w:rPr>
          <w:spacing w:val="-7"/>
        </w:rPr>
        <w:t> </w:t>
      </w:r>
      <w:r>
        <w:rPr/>
        <w:t>London</w:t>
      </w:r>
      <w:r>
        <w:rPr>
          <w:spacing w:val="-6"/>
        </w:rPr>
        <w:t> </w:t>
      </w:r>
      <w:r>
        <w:rPr/>
        <w:t>in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17</w:t>
      </w:r>
      <w:r>
        <w:rPr>
          <w:vertAlign w:val="superscript"/>
        </w:rPr>
        <w:t>th</w:t>
      </w:r>
      <w:r>
        <w:rPr>
          <w:spacing w:val="-6"/>
          <w:vertAlign w:val="baseline"/>
        </w:rPr>
        <w:t> </w:t>
      </w:r>
      <w:r>
        <w:rPr>
          <w:vertAlign w:val="baseline"/>
        </w:rPr>
        <w:t>century</w:t>
      </w:r>
      <w:r>
        <w:rPr>
          <w:spacing w:val="-7"/>
          <w:vertAlign w:val="baseline"/>
        </w:rPr>
        <w:t> </w:t>
      </w:r>
      <w:r>
        <w:rPr>
          <w:vertAlign w:val="baseline"/>
        </w:rPr>
        <w:t>and</w:t>
      </w:r>
      <w:r>
        <w:rPr>
          <w:spacing w:val="-6"/>
          <w:vertAlign w:val="baseline"/>
        </w:rPr>
        <w:t> </w:t>
      </w:r>
      <w:r>
        <w:rPr>
          <w:vertAlign w:val="baseline"/>
        </w:rPr>
        <w:t>Chicago</w:t>
      </w:r>
      <w:r>
        <w:rPr>
          <w:spacing w:val="-7"/>
          <w:vertAlign w:val="baseline"/>
        </w:rPr>
        <w:t> </w:t>
      </w:r>
      <w:r>
        <w:rPr>
          <w:vertAlign w:val="baseline"/>
        </w:rPr>
        <w:t>in</w:t>
      </w:r>
      <w:r>
        <w:rPr>
          <w:spacing w:val="-6"/>
          <w:vertAlign w:val="baseline"/>
        </w:rPr>
        <w:t> </w:t>
      </w:r>
      <w:r>
        <w:rPr>
          <w:vertAlign w:val="baseline"/>
        </w:rPr>
        <w:t>the</w:t>
      </w:r>
      <w:r>
        <w:rPr>
          <w:spacing w:val="-7"/>
          <w:vertAlign w:val="baseline"/>
        </w:rPr>
        <w:t> </w:t>
      </w:r>
      <w:r>
        <w:rPr>
          <w:vertAlign w:val="baseline"/>
        </w:rPr>
        <w:t>18</w:t>
      </w:r>
      <w:r>
        <w:rPr>
          <w:vertAlign w:val="superscript"/>
        </w:rPr>
        <w:t>th</w:t>
      </w:r>
      <w:r>
        <w:rPr>
          <w:spacing w:val="-7"/>
          <w:vertAlign w:val="baseline"/>
        </w:rPr>
        <w:t> </w:t>
      </w:r>
      <w:r>
        <w:rPr>
          <w:vertAlign w:val="baseline"/>
        </w:rPr>
        <w:t>century</w:t>
      </w:r>
      <w:r>
        <w:rPr>
          <w:spacing w:val="-57"/>
          <w:vertAlign w:val="baseline"/>
        </w:rPr>
        <w:t> </w:t>
      </w:r>
      <w:r>
        <w:rPr>
          <w:vertAlign w:val="baseline"/>
        </w:rPr>
        <w:t>when timber construction was commonplace.</w:t>
      </w:r>
      <w:r>
        <w:rPr>
          <w:spacing w:val="1"/>
          <w:vertAlign w:val="baseline"/>
        </w:rPr>
        <w:t> </w:t>
      </w:r>
      <w:r>
        <w:rPr>
          <w:vertAlign w:val="baseline"/>
        </w:rPr>
        <w:t>These fires spread quickly and caused vast</w:t>
      </w:r>
      <w:r>
        <w:rPr>
          <w:spacing w:val="1"/>
          <w:vertAlign w:val="baseline"/>
        </w:rPr>
        <w:t> </w:t>
      </w:r>
      <w:r>
        <w:rPr>
          <w:vertAlign w:val="baseline"/>
        </w:rPr>
        <w:t>destruction and economic loss.</w:t>
      </w:r>
      <w:r>
        <w:rPr>
          <w:spacing w:val="1"/>
          <w:vertAlign w:val="baseline"/>
        </w:rPr>
        <w:t> </w:t>
      </w:r>
      <w:r>
        <w:rPr>
          <w:vertAlign w:val="baseline"/>
        </w:rPr>
        <w:t>Wood is commonly accepted as a combustible material</w:t>
      </w:r>
      <w:r>
        <w:rPr>
          <w:spacing w:val="1"/>
          <w:vertAlign w:val="baseline"/>
        </w:rPr>
        <w:t> </w:t>
      </w:r>
      <w:r>
        <w:rPr>
          <w:vertAlign w:val="baseline"/>
        </w:rPr>
        <w:t>that</w:t>
      </w:r>
      <w:r>
        <w:rPr>
          <w:spacing w:val="-2"/>
          <w:vertAlign w:val="baseline"/>
        </w:rPr>
        <w:t> </w:t>
      </w:r>
      <w:r>
        <w:rPr>
          <w:vertAlign w:val="baseline"/>
        </w:rPr>
        <w:t>provides</w:t>
      </w:r>
      <w:r>
        <w:rPr>
          <w:spacing w:val="-1"/>
          <w:vertAlign w:val="baseline"/>
        </w:rPr>
        <w:t> </w:t>
      </w:r>
      <w:r>
        <w:rPr>
          <w:vertAlign w:val="baseline"/>
        </w:rPr>
        <w:t>fuel</w:t>
      </w:r>
      <w:r>
        <w:rPr>
          <w:spacing w:val="-1"/>
          <w:vertAlign w:val="baseline"/>
        </w:rPr>
        <w:t> </w:t>
      </w:r>
      <w:r>
        <w:rPr>
          <w:vertAlign w:val="baseline"/>
        </w:rPr>
        <w:t>for</w:t>
      </w:r>
      <w:r>
        <w:rPr>
          <w:spacing w:val="-1"/>
          <w:vertAlign w:val="baseline"/>
        </w:rPr>
        <w:t> </w:t>
      </w:r>
      <w:r>
        <w:rPr>
          <w:vertAlign w:val="baseline"/>
        </w:rPr>
        <w:t>a</w:t>
      </w:r>
      <w:r>
        <w:rPr>
          <w:spacing w:val="-1"/>
          <w:vertAlign w:val="baseline"/>
        </w:rPr>
        <w:t> </w:t>
      </w:r>
      <w:r>
        <w:rPr>
          <w:vertAlign w:val="baseline"/>
        </w:rPr>
        <w:t>fire.</w:t>
      </w:r>
      <w:r>
        <w:rPr>
          <w:spacing w:val="55"/>
          <w:vertAlign w:val="baseline"/>
        </w:rPr>
        <w:t> </w:t>
      </w:r>
      <w:r>
        <w:rPr>
          <w:vertAlign w:val="baseline"/>
        </w:rPr>
        <w:t>Today,</w:t>
      </w:r>
      <w:r>
        <w:rPr>
          <w:spacing w:val="-3"/>
          <w:vertAlign w:val="baseline"/>
        </w:rPr>
        <w:t> </w:t>
      </w:r>
      <w:r>
        <w:rPr>
          <w:vertAlign w:val="baseline"/>
        </w:rPr>
        <w:t>building</w:t>
      </w:r>
      <w:r>
        <w:rPr>
          <w:spacing w:val="-3"/>
          <w:vertAlign w:val="baseline"/>
        </w:rPr>
        <w:t> </w:t>
      </w:r>
      <w:r>
        <w:rPr>
          <w:vertAlign w:val="baseline"/>
        </w:rPr>
        <w:t>codes</w:t>
      </w:r>
      <w:r>
        <w:rPr>
          <w:spacing w:val="-1"/>
          <w:vertAlign w:val="baseline"/>
        </w:rPr>
        <w:t> </w:t>
      </w:r>
      <w:r>
        <w:rPr>
          <w:vertAlign w:val="baseline"/>
        </w:rPr>
        <w:t>incorporate</w:t>
      </w:r>
      <w:r>
        <w:rPr>
          <w:spacing w:val="-2"/>
          <w:vertAlign w:val="baseline"/>
        </w:rPr>
        <w:t> </w:t>
      </w:r>
      <w:r>
        <w:rPr>
          <w:vertAlign w:val="baseline"/>
        </w:rPr>
        <w:t>fire</w:t>
      </w:r>
      <w:r>
        <w:rPr>
          <w:spacing w:val="-2"/>
          <w:vertAlign w:val="baseline"/>
        </w:rPr>
        <w:t> </w:t>
      </w:r>
      <w:r>
        <w:rPr>
          <w:vertAlign w:val="baseline"/>
        </w:rPr>
        <w:t>safety</w:t>
      </w:r>
      <w:r>
        <w:rPr>
          <w:spacing w:val="-3"/>
          <w:vertAlign w:val="baseline"/>
        </w:rPr>
        <w:t> </w:t>
      </w:r>
      <w:r>
        <w:rPr>
          <w:vertAlign w:val="baseline"/>
        </w:rPr>
        <w:t>issues</w:t>
      </w:r>
      <w:r>
        <w:rPr>
          <w:spacing w:val="-2"/>
          <w:vertAlign w:val="baseline"/>
        </w:rPr>
        <w:t> </w:t>
      </w:r>
      <w:r>
        <w:rPr>
          <w:vertAlign w:val="baseline"/>
        </w:rPr>
        <w:t>to</w:t>
      </w:r>
      <w:r>
        <w:rPr>
          <w:spacing w:val="-3"/>
          <w:vertAlign w:val="baseline"/>
        </w:rPr>
        <w:t> </w:t>
      </w:r>
      <w:r>
        <w:rPr>
          <w:vertAlign w:val="baseline"/>
        </w:rPr>
        <w:t>ensure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39" w:right="256"/>
        <w:jc w:val="both"/>
      </w:pPr>
      <w:r>
        <w:rPr/>
        <w:t>structural integrity, provide adequate fire resistance, and limit the spread of fire.</w:t>
      </w:r>
      <w:r>
        <w:rPr>
          <w:spacing w:val="1"/>
        </w:rPr>
        <w:t> </w:t>
      </w:r>
      <w:r>
        <w:rPr/>
        <w:t>A fire-</w:t>
      </w:r>
      <w:r>
        <w:rPr>
          <w:spacing w:val="1"/>
        </w:rPr>
        <w:t> </w:t>
      </w:r>
      <w:r>
        <w:rPr/>
        <w:t>resistance</w:t>
      </w:r>
      <w:r>
        <w:rPr>
          <w:spacing w:val="1"/>
        </w:rPr>
        <w:t> </w:t>
      </w:r>
      <w:r>
        <w:rPr/>
        <w:t>rating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“the</w:t>
      </w:r>
      <w:r>
        <w:rPr>
          <w:spacing w:val="1"/>
        </w:rPr>
        <w:t> </w:t>
      </w:r>
      <w:r>
        <w:rPr/>
        <w:t>period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time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building</w:t>
      </w:r>
      <w:r>
        <w:rPr>
          <w:spacing w:val="1"/>
        </w:rPr>
        <w:t> </w:t>
      </w:r>
      <w:r>
        <w:rPr/>
        <w:t>element,</w:t>
      </w:r>
      <w:r>
        <w:rPr>
          <w:spacing w:val="1"/>
        </w:rPr>
        <w:t> </w:t>
      </w:r>
      <w:r>
        <w:rPr/>
        <w:t>component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assembly</w:t>
      </w:r>
      <w:r>
        <w:rPr>
          <w:spacing w:val="-57"/>
        </w:rPr>
        <w:t> </w:t>
      </w:r>
      <w:r>
        <w:rPr/>
        <w:t>maintains the ability to withstand fire exposure, continues to perform a given structural</w:t>
      </w:r>
      <w:r>
        <w:rPr>
          <w:spacing w:val="1"/>
        </w:rPr>
        <w:t> </w:t>
      </w:r>
      <w:r>
        <w:rPr/>
        <w:t>function, or both, as determined by the tests” according to 2015 International Building</w:t>
      </w:r>
      <w:r>
        <w:rPr>
          <w:spacing w:val="1"/>
        </w:rPr>
        <w:t> </w:t>
      </w:r>
      <w:r>
        <w:rPr/>
        <w:t>Code [16].</w:t>
      </w:r>
      <w:r>
        <w:rPr>
          <w:spacing w:val="1"/>
        </w:rPr>
        <w:t> </w:t>
      </w:r>
      <w:r>
        <w:rPr/>
        <w:t>CLT can be manufactured with fire resistances of 30, 60 and 90 minutes</w:t>
      </w:r>
      <w:r>
        <w:rPr>
          <w:spacing w:val="1"/>
        </w:rPr>
        <w:t> </w:t>
      </w:r>
      <w:r>
        <w:rPr/>
        <w:t>because of the thickness of the panels.</w:t>
      </w:r>
      <w:r>
        <w:rPr>
          <w:spacing w:val="1"/>
        </w:rPr>
        <w:t> </w:t>
      </w:r>
      <w:r>
        <w:rPr/>
        <w:t>CLT panels have predictable char rates that allow</w:t>
      </w:r>
      <w:r>
        <w:rPr>
          <w:spacing w:val="1"/>
        </w:rPr>
        <w:t> </w:t>
      </w:r>
      <w:r>
        <w:rPr/>
        <w:t>CLT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maintain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structural</w:t>
      </w:r>
      <w:r>
        <w:rPr>
          <w:spacing w:val="1"/>
        </w:rPr>
        <w:t> </w:t>
      </w:r>
      <w:r>
        <w:rPr/>
        <w:t>integrity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long</w:t>
      </w:r>
      <w:r>
        <w:rPr>
          <w:spacing w:val="1"/>
        </w:rPr>
        <w:t> </w:t>
      </w:r>
      <w:r>
        <w:rPr/>
        <w:t>periods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time,</w:t>
      </w:r>
      <w:r>
        <w:rPr>
          <w:spacing w:val="1"/>
        </w:rPr>
        <w:t> </w:t>
      </w:r>
      <w:r>
        <w:rPr/>
        <w:t>contrary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initial</w:t>
      </w:r>
      <w:r>
        <w:rPr>
          <w:spacing w:val="-57"/>
        </w:rPr>
        <w:t> </w:t>
      </w:r>
      <w:r>
        <w:rPr/>
        <w:t>perceptions</w:t>
      </w:r>
      <w:r>
        <w:rPr>
          <w:spacing w:val="-2"/>
        </w:rPr>
        <w:t> </w:t>
      </w:r>
      <w:r>
        <w:rPr/>
        <w:t>[68].</w:t>
      </w:r>
    </w:p>
    <w:p>
      <w:pPr>
        <w:pStyle w:val="BodyText"/>
        <w:spacing w:line="480" w:lineRule="auto" w:before="160"/>
        <w:ind w:left="439" w:right="256" w:firstLine="720"/>
        <w:jc w:val="both"/>
      </w:pPr>
      <w:r>
        <w:rPr/>
        <w:t>Research on the fire resistance of CLT panels was conducted for future building</w:t>
      </w:r>
      <w:r>
        <w:rPr>
          <w:spacing w:val="1"/>
        </w:rPr>
        <w:t> </w:t>
      </w:r>
      <w:r>
        <w:rPr/>
        <w:t>code</w:t>
      </w:r>
      <w:r>
        <w:rPr>
          <w:spacing w:val="-13"/>
        </w:rPr>
        <w:t> </w:t>
      </w:r>
      <w:r>
        <w:rPr/>
        <w:t>inclusion</w:t>
      </w:r>
      <w:r>
        <w:rPr>
          <w:spacing w:val="-12"/>
        </w:rPr>
        <w:t> </w:t>
      </w:r>
      <w:r>
        <w:rPr/>
        <w:t>using</w:t>
      </w:r>
      <w:r>
        <w:rPr>
          <w:spacing w:val="-12"/>
        </w:rPr>
        <w:t> </w:t>
      </w:r>
      <w:r>
        <w:rPr/>
        <w:t>full-scale</w:t>
      </w:r>
      <w:r>
        <w:rPr>
          <w:spacing w:val="-12"/>
        </w:rPr>
        <w:t> </w:t>
      </w:r>
      <w:r>
        <w:rPr/>
        <w:t>experiments.</w:t>
      </w:r>
      <w:r>
        <w:rPr>
          <w:spacing w:val="36"/>
        </w:rPr>
        <w:t> </w:t>
      </w:r>
      <w:r>
        <w:rPr/>
        <w:t>CLT</w:t>
      </w:r>
      <w:r>
        <w:rPr>
          <w:spacing w:val="-11"/>
        </w:rPr>
        <w:t> </w:t>
      </w:r>
      <w:r>
        <w:rPr/>
        <w:t>has</w:t>
      </w:r>
      <w:r>
        <w:rPr>
          <w:spacing w:val="-12"/>
        </w:rPr>
        <w:t> </w:t>
      </w:r>
      <w:r>
        <w:rPr/>
        <w:t>been</w:t>
      </w:r>
      <w:r>
        <w:rPr>
          <w:spacing w:val="-13"/>
        </w:rPr>
        <w:t> </w:t>
      </w:r>
      <w:r>
        <w:rPr/>
        <w:t>shown</w:t>
      </w:r>
      <w:r>
        <w:rPr>
          <w:spacing w:val="-12"/>
        </w:rPr>
        <w:t> </w:t>
      </w:r>
      <w:r>
        <w:rPr/>
        <w:t>to</w:t>
      </w:r>
      <w:r>
        <w:rPr>
          <w:spacing w:val="-12"/>
        </w:rPr>
        <w:t> </w:t>
      </w:r>
      <w:r>
        <w:rPr/>
        <w:t>be</w:t>
      </w:r>
      <w:r>
        <w:rPr>
          <w:spacing w:val="-12"/>
        </w:rPr>
        <w:t> </w:t>
      </w:r>
      <w:r>
        <w:rPr/>
        <w:t>capable</w:t>
      </w:r>
      <w:r>
        <w:rPr>
          <w:spacing w:val="-12"/>
        </w:rPr>
        <w:t> </w:t>
      </w:r>
      <w:r>
        <w:rPr/>
        <w:t>of</w:t>
      </w:r>
      <w:r>
        <w:rPr>
          <w:spacing w:val="-13"/>
        </w:rPr>
        <w:t> </w:t>
      </w:r>
      <w:r>
        <w:rPr/>
        <w:t>meeting</w:t>
      </w:r>
      <w:r>
        <w:rPr>
          <w:spacing w:val="-58"/>
        </w:rPr>
        <w:t> </w:t>
      </w:r>
      <w:r>
        <w:rPr/>
        <w:t>fire safety requirements related to flame spread and fire resistance outlined in </w:t>
      </w:r>
      <w:r>
        <w:rPr>
          <w:i/>
        </w:rPr>
        <w:t>ASTM E84-</w:t>
      </w:r>
      <w:r>
        <w:rPr>
          <w:i/>
          <w:spacing w:val="-57"/>
        </w:rPr>
        <w:t> </w:t>
      </w:r>
      <w:r>
        <w:rPr>
          <w:i/>
        </w:rPr>
        <w:t>15b,</w:t>
      </w:r>
      <w:r>
        <w:rPr>
          <w:i/>
          <w:spacing w:val="-14"/>
        </w:rPr>
        <w:t> </w:t>
      </w:r>
      <w:r>
        <w:rPr>
          <w:i/>
        </w:rPr>
        <w:t>Standard</w:t>
      </w:r>
      <w:r>
        <w:rPr>
          <w:i/>
          <w:spacing w:val="-13"/>
        </w:rPr>
        <w:t> </w:t>
      </w:r>
      <w:r>
        <w:rPr>
          <w:i/>
        </w:rPr>
        <w:t>Method</w:t>
      </w:r>
      <w:r>
        <w:rPr>
          <w:i/>
          <w:spacing w:val="-14"/>
        </w:rPr>
        <w:t> </w:t>
      </w:r>
      <w:r>
        <w:rPr>
          <w:i/>
        </w:rPr>
        <w:t>of</w:t>
      </w:r>
      <w:r>
        <w:rPr>
          <w:i/>
          <w:spacing w:val="-13"/>
        </w:rPr>
        <w:t> </w:t>
      </w:r>
      <w:r>
        <w:rPr>
          <w:i/>
        </w:rPr>
        <w:t>Test</w:t>
      </w:r>
      <w:r>
        <w:rPr>
          <w:i/>
          <w:spacing w:val="-13"/>
        </w:rPr>
        <w:t> </w:t>
      </w:r>
      <w:r>
        <w:rPr>
          <w:i/>
        </w:rPr>
        <w:t>for</w:t>
      </w:r>
      <w:r>
        <w:rPr>
          <w:i/>
          <w:spacing w:val="-14"/>
        </w:rPr>
        <w:t> </w:t>
      </w:r>
      <w:r>
        <w:rPr>
          <w:i/>
        </w:rPr>
        <w:t>Burning</w:t>
      </w:r>
      <w:r>
        <w:rPr>
          <w:i/>
          <w:spacing w:val="-13"/>
        </w:rPr>
        <w:t> </w:t>
      </w:r>
      <w:r>
        <w:rPr>
          <w:i/>
        </w:rPr>
        <w:t>Characteristics</w:t>
      </w:r>
      <w:r>
        <w:rPr>
          <w:i/>
          <w:spacing w:val="-14"/>
        </w:rPr>
        <w:t> </w:t>
      </w:r>
      <w:r>
        <w:rPr>
          <w:i/>
        </w:rPr>
        <w:t>of</w:t>
      </w:r>
      <w:r>
        <w:rPr>
          <w:i/>
          <w:spacing w:val="-14"/>
        </w:rPr>
        <w:t> </w:t>
      </w:r>
      <w:r>
        <w:rPr>
          <w:i/>
        </w:rPr>
        <w:t>Building</w:t>
      </w:r>
      <w:r>
        <w:rPr>
          <w:i/>
          <w:spacing w:val="-13"/>
        </w:rPr>
        <w:t> </w:t>
      </w:r>
      <w:r>
        <w:rPr>
          <w:i/>
        </w:rPr>
        <w:t>Materials</w:t>
      </w:r>
      <w:r>
        <w:rPr>
          <w:i/>
          <w:spacing w:val="-14"/>
        </w:rPr>
        <w:t> </w:t>
      </w:r>
      <w:r>
        <w:rPr/>
        <w:t>and</w:t>
      </w:r>
      <w:r>
        <w:rPr>
          <w:spacing w:val="-13"/>
        </w:rPr>
        <w:t> </w:t>
      </w:r>
      <w:r>
        <w:rPr>
          <w:i/>
        </w:rPr>
        <w:t>ASTM</w:t>
      </w:r>
      <w:r>
        <w:rPr>
          <w:i/>
          <w:spacing w:val="-58"/>
        </w:rPr>
        <w:t> </w:t>
      </w:r>
      <w:r>
        <w:rPr>
          <w:i/>
        </w:rPr>
        <w:t>E119-16, Standard Test Methods for Fire Tests of Building Construction and Materials</w:t>
      </w:r>
      <w:r>
        <w:rPr/>
        <w:t>,</w:t>
      </w:r>
      <w:r>
        <w:rPr>
          <w:spacing w:val="1"/>
        </w:rPr>
        <w:t> </w:t>
      </w:r>
      <w:r>
        <w:rPr/>
        <w:t>respectively</w:t>
      </w:r>
      <w:r>
        <w:rPr>
          <w:spacing w:val="1"/>
        </w:rPr>
        <w:t> </w:t>
      </w:r>
      <w:r>
        <w:rPr/>
        <w:t>[88].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standards</w:t>
      </w:r>
      <w:r>
        <w:rPr>
          <w:spacing w:val="1"/>
        </w:rPr>
        <w:t> </w:t>
      </w:r>
      <w:r>
        <w:rPr/>
        <w:t>incorporate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following</w:t>
      </w:r>
      <w:r>
        <w:rPr>
          <w:spacing w:val="1"/>
        </w:rPr>
        <w:t> </w:t>
      </w:r>
      <w:r>
        <w:rPr/>
        <w:t>criteria:</w:t>
      </w:r>
      <w:r>
        <w:rPr>
          <w:spacing w:val="1"/>
        </w:rPr>
        <w:t> </w:t>
      </w:r>
      <w:r>
        <w:rPr/>
        <w:t>1)</w:t>
      </w:r>
      <w:r>
        <w:rPr>
          <w:spacing w:val="1"/>
        </w:rPr>
        <w:t> </w:t>
      </w:r>
      <w:r>
        <w:rPr/>
        <w:t>maintaining</w:t>
      </w:r>
      <w:r>
        <w:rPr>
          <w:spacing w:val="1"/>
        </w:rPr>
        <w:t> </w:t>
      </w:r>
      <w:r>
        <w:rPr/>
        <w:t>adequate strength for test duration which is to allow for building evacuation and first</w:t>
      </w:r>
      <w:r>
        <w:rPr>
          <w:spacing w:val="1"/>
        </w:rPr>
        <w:t> </w:t>
      </w:r>
      <w:r>
        <w:rPr/>
        <w:t>responders; 2) prevent passage of flames or hot gases which could ignite additional</w:t>
      </w:r>
      <w:r>
        <w:rPr>
          <w:spacing w:val="1"/>
        </w:rPr>
        <w:t> </w:t>
      </w:r>
      <w:r>
        <w:rPr/>
        <w:t>elements; and 3) prevent a significant temperature rise (325˚F at any location and an</w:t>
      </w:r>
      <w:r>
        <w:rPr>
          <w:spacing w:val="1"/>
        </w:rPr>
        <w:t> </w:t>
      </w:r>
      <w:r>
        <w:rPr/>
        <w:t>average of 250˚F at a number of locations) above the initial temperature [68].</w:t>
      </w:r>
      <w:r>
        <w:rPr>
          <w:spacing w:val="1"/>
        </w:rPr>
        <w:t> </w:t>
      </w:r>
      <w:r>
        <w:rPr/>
        <w:t>The time at</w:t>
      </w:r>
      <w:r>
        <w:rPr>
          <w:spacing w:val="-58"/>
        </w:rPr>
        <w:t> </w:t>
      </w:r>
      <w:r>
        <w:rPr/>
        <w:t>which the assembly cannot meet all three criteria determine the fire resistance, typically</w:t>
      </w:r>
      <w:r>
        <w:rPr>
          <w:spacing w:val="1"/>
        </w:rPr>
        <w:t> </w:t>
      </w:r>
      <w:r>
        <w:rPr/>
        <w:t>classified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whole hours</w:t>
      </w:r>
      <w:r>
        <w:rPr>
          <w:spacing w:val="-1"/>
        </w:rPr>
        <w:t> </w:t>
      </w:r>
      <w:r>
        <w:rPr/>
        <w:t>or parts of</w:t>
      </w:r>
      <w:r>
        <w:rPr>
          <w:spacing w:val="-1"/>
        </w:rPr>
        <w:t> </w:t>
      </w:r>
      <w:r>
        <w:rPr/>
        <w:t>hours.</w:t>
      </w:r>
    </w:p>
    <w:p>
      <w:pPr>
        <w:spacing w:line="480" w:lineRule="auto" w:before="160"/>
        <w:ind w:left="439" w:right="258" w:firstLine="720"/>
        <w:jc w:val="both"/>
        <w:rPr>
          <w:sz w:val="24"/>
        </w:rPr>
      </w:pPr>
      <w:r>
        <w:rPr>
          <w:sz w:val="24"/>
        </w:rPr>
        <w:t>Under</w:t>
      </w:r>
      <w:r>
        <w:rPr>
          <w:spacing w:val="-12"/>
          <w:sz w:val="24"/>
        </w:rPr>
        <w:t> </w:t>
      </w:r>
      <w:r>
        <w:rPr>
          <w:sz w:val="24"/>
        </w:rPr>
        <w:t>fire</w:t>
      </w:r>
      <w:r>
        <w:rPr>
          <w:spacing w:val="-11"/>
          <w:sz w:val="24"/>
        </w:rPr>
        <w:t> </w:t>
      </w:r>
      <w:r>
        <w:rPr>
          <w:sz w:val="24"/>
        </w:rPr>
        <w:t>conditions,</w:t>
      </w:r>
      <w:r>
        <w:rPr>
          <w:spacing w:val="-12"/>
          <w:sz w:val="24"/>
        </w:rPr>
        <w:t> </w:t>
      </w:r>
      <w:r>
        <w:rPr>
          <w:sz w:val="24"/>
        </w:rPr>
        <w:t>the</w:t>
      </w:r>
      <w:r>
        <w:rPr>
          <w:spacing w:val="-11"/>
          <w:sz w:val="24"/>
        </w:rPr>
        <w:t> </w:t>
      </w:r>
      <w:r>
        <w:rPr>
          <w:sz w:val="24"/>
        </w:rPr>
        <w:t>behavior</w:t>
      </w:r>
      <w:r>
        <w:rPr>
          <w:spacing w:val="-11"/>
          <w:sz w:val="24"/>
        </w:rPr>
        <w:t> </w:t>
      </w:r>
      <w:r>
        <w:rPr>
          <w:sz w:val="24"/>
        </w:rPr>
        <w:t>of</w:t>
      </w:r>
      <w:r>
        <w:rPr>
          <w:spacing w:val="-12"/>
          <w:sz w:val="24"/>
        </w:rPr>
        <w:t> </w:t>
      </w:r>
      <w:r>
        <w:rPr>
          <w:sz w:val="24"/>
        </w:rPr>
        <w:t>wood</w:t>
      </w:r>
      <w:r>
        <w:rPr>
          <w:spacing w:val="-11"/>
          <w:sz w:val="24"/>
        </w:rPr>
        <w:t> </w:t>
      </w:r>
      <w:r>
        <w:rPr>
          <w:sz w:val="24"/>
        </w:rPr>
        <w:t>can</w:t>
      </w:r>
      <w:r>
        <w:rPr>
          <w:spacing w:val="-11"/>
          <w:sz w:val="24"/>
        </w:rPr>
        <w:t> </w:t>
      </w:r>
      <w:r>
        <w:rPr>
          <w:sz w:val="24"/>
        </w:rPr>
        <w:t>be</w:t>
      </w:r>
      <w:r>
        <w:rPr>
          <w:spacing w:val="-12"/>
          <w:sz w:val="24"/>
        </w:rPr>
        <w:t> </w:t>
      </w:r>
      <w:r>
        <w:rPr>
          <w:sz w:val="24"/>
        </w:rPr>
        <w:t>predicted.</w:t>
      </w:r>
      <w:r>
        <w:rPr>
          <w:spacing w:val="37"/>
          <w:sz w:val="24"/>
        </w:rPr>
        <w:t> </w:t>
      </w:r>
      <w:r>
        <w:rPr>
          <w:sz w:val="24"/>
        </w:rPr>
        <w:t>The</w:t>
      </w:r>
      <w:r>
        <w:rPr>
          <w:spacing w:val="-11"/>
          <w:sz w:val="24"/>
        </w:rPr>
        <w:t> </w:t>
      </w:r>
      <w:r>
        <w:rPr>
          <w:i/>
          <w:sz w:val="24"/>
        </w:rPr>
        <w:t>National</w:t>
      </w:r>
      <w:r>
        <w:rPr>
          <w:i/>
          <w:spacing w:val="-11"/>
          <w:sz w:val="24"/>
        </w:rPr>
        <w:t> </w:t>
      </w:r>
      <w:r>
        <w:rPr>
          <w:i/>
          <w:sz w:val="24"/>
        </w:rPr>
        <w:t>Design</w:t>
      </w:r>
      <w:r>
        <w:rPr>
          <w:i/>
          <w:spacing w:val="-58"/>
          <w:sz w:val="24"/>
        </w:rPr>
        <w:t> </w:t>
      </w:r>
      <w:r>
        <w:rPr>
          <w:i/>
          <w:position w:val="1"/>
          <w:sz w:val="24"/>
        </w:rPr>
        <w:t>Specification for Wood Construction </w:t>
      </w:r>
      <w:r>
        <w:rPr>
          <w:position w:val="1"/>
          <w:sz w:val="24"/>
        </w:rPr>
        <w:t>cites a nominal char rate (</w:t>
      </w:r>
      <w:r>
        <w:rPr>
          <w:i/>
          <w:position w:val="1"/>
          <w:sz w:val="24"/>
        </w:rPr>
        <w:t>β</w:t>
      </w:r>
      <w:r>
        <w:rPr>
          <w:i/>
          <w:sz w:val="16"/>
        </w:rPr>
        <w:t>n</w:t>
      </w:r>
      <w:r>
        <w:rPr>
          <w:position w:val="1"/>
          <w:sz w:val="24"/>
        </w:rPr>
        <w:t>) of 1.5 inches per hour</w:t>
      </w:r>
      <w:r>
        <w:rPr>
          <w:spacing w:val="1"/>
          <w:position w:val="1"/>
          <w:sz w:val="24"/>
        </w:rPr>
        <w:t> </w:t>
      </w:r>
      <w:r>
        <w:rPr>
          <w:sz w:val="24"/>
        </w:rPr>
        <w:t>for</w:t>
      </w:r>
      <w:r>
        <w:rPr>
          <w:spacing w:val="-5"/>
          <w:sz w:val="24"/>
        </w:rPr>
        <w:t> </w:t>
      </w:r>
      <w:r>
        <w:rPr>
          <w:sz w:val="24"/>
        </w:rPr>
        <w:t>CLT,</w:t>
      </w:r>
      <w:r>
        <w:rPr>
          <w:spacing w:val="-5"/>
          <w:sz w:val="24"/>
        </w:rPr>
        <w:t> </w:t>
      </w:r>
      <w:r>
        <w:rPr>
          <w:sz w:val="24"/>
        </w:rPr>
        <w:t>which</w:t>
      </w:r>
      <w:r>
        <w:rPr>
          <w:spacing w:val="-5"/>
          <w:sz w:val="24"/>
        </w:rPr>
        <w:t> </w:t>
      </w:r>
      <w:r>
        <w:rPr>
          <w:sz w:val="24"/>
        </w:rPr>
        <w:t>is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-5"/>
          <w:sz w:val="24"/>
        </w:rPr>
        <w:t> </w:t>
      </w:r>
      <w:r>
        <w:rPr>
          <w:sz w:val="24"/>
        </w:rPr>
        <w:t>same</w:t>
      </w:r>
      <w:r>
        <w:rPr>
          <w:spacing w:val="-5"/>
          <w:sz w:val="24"/>
        </w:rPr>
        <w:t> </w:t>
      </w:r>
      <w:r>
        <w:rPr>
          <w:sz w:val="24"/>
        </w:rPr>
        <w:t>as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-5"/>
          <w:sz w:val="24"/>
        </w:rPr>
        <w:t> </w:t>
      </w:r>
      <w:r>
        <w:rPr>
          <w:sz w:val="24"/>
        </w:rPr>
        <w:t>rate</w:t>
      </w:r>
      <w:r>
        <w:rPr>
          <w:spacing w:val="-5"/>
          <w:sz w:val="24"/>
        </w:rPr>
        <w:t> </w:t>
      </w:r>
      <w:r>
        <w:rPr>
          <w:sz w:val="24"/>
        </w:rPr>
        <w:t>assumed</w:t>
      </w:r>
      <w:r>
        <w:rPr>
          <w:spacing w:val="-5"/>
          <w:sz w:val="24"/>
        </w:rPr>
        <w:t> </w:t>
      </w:r>
      <w:r>
        <w:rPr>
          <w:sz w:val="24"/>
        </w:rPr>
        <w:t>for</w:t>
      </w:r>
      <w:r>
        <w:rPr>
          <w:spacing w:val="-5"/>
          <w:sz w:val="24"/>
        </w:rPr>
        <w:t> </w:t>
      </w:r>
      <w:r>
        <w:rPr>
          <w:sz w:val="24"/>
        </w:rPr>
        <w:t>solid</w:t>
      </w:r>
      <w:r>
        <w:rPr>
          <w:spacing w:val="-6"/>
          <w:sz w:val="24"/>
        </w:rPr>
        <w:t> </w:t>
      </w:r>
      <w:r>
        <w:rPr>
          <w:sz w:val="24"/>
        </w:rPr>
        <w:t>sawn</w:t>
      </w:r>
      <w:r>
        <w:rPr>
          <w:spacing w:val="-5"/>
          <w:sz w:val="24"/>
        </w:rPr>
        <w:t> </w:t>
      </w:r>
      <w:r>
        <w:rPr>
          <w:sz w:val="24"/>
        </w:rPr>
        <w:t>pieces</w:t>
      </w:r>
      <w:r>
        <w:rPr>
          <w:spacing w:val="-6"/>
          <w:sz w:val="24"/>
        </w:rPr>
        <w:t> </w:t>
      </w:r>
      <w:r>
        <w:rPr>
          <w:sz w:val="24"/>
        </w:rPr>
        <w:t>and</w:t>
      </w:r>
      <w:r>
        <w:rPr>
          <w:spacing w:val="-6"/>
          <w:sz w:val="24"/>
        </w:rPr>
        <w:t> </w:t>
      </w:r>
      <w:r>
        <w:rPr>
          <w:sz w:val="24"/>
        </w:rPr>
        <w:t>other</w:t>
      </w:r>
      <w:r>
        <w:rPr>
          <w:spacing w:val="-5"/>
          <w:sz w:val="24"/>
        </w:rPr>
        <w:t> </w:t>
      </w:r>
      <w:r>
        <w:rPr>
          <w:sz w:val="24"/>
        </w:rPr>
        <w:t>engineered</w:t>
      </w:r>
    </w:p>
    <w:p>
      <w:pPr>
        <w:spacing w:after="0" w:line="480" w:lineRule="auto"/>
        <w:jc w:val="both"/>
        <w:rPr>
          <w:sz w:val="24"/>
        </w:rPr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39" w:right="257"/>
        <w:jc w:val="both"/>
      </w:pPr>
      <w:r>
        <w:rPr/>
        <w:pict>
          <v:rect style="position:absolute;margin-left:336.179993pt;margin-top:680.219971pt;width:11.58pt;height:.78pt;mso-position-horizontal-relative:page;mso-position-vertical-relative:page;z-index:-34962944" filled="true" fillcolor="#000000" stroked="false">
            <v:fill type="solid"/>
            <w10:wrap type="none"/>
          </v:rect>
        </w:pict>
      </w:r>
      <w:r>
        <w:rPr/>
        <w:t>wood products [19].</w:t>
      </w:r>
      <w:r>
        <w:rPr>
          <w:spacing w:val="1"/>
        </w:rPr>
        <w:t> </w:t>
      </w:r>
      <w:hyperlink w:history="true" w:anchor="_bookmark5">
        <w:r>
          <w:rPr/>
          <w:t>Table 2-5 </w:t>
        </w:r>
      </w:hyperlink>
      <w:r>
        <w:rPr/>
        <w:t>shows the effective char depths for various lamination</w:t>
      </w:r>
      <w:r>
        <w:rPr>
          <w:spacing w:val="1"/>
        </w:rPr>
        <w:t> </w:t>
      </w:r>
      <w:r>
        <w:rPr/>
        <w:t>thicknesses at three required fire endurance durations.</w:t>
      </w:r>
      <w:r>
        <w:rPr>
          <w:spacing w:val="1"/>
        </w:rPr>
        <w:t> </w:t>
      </w:r>
      <w:r>
        <w:rPr/>
        <w:t>During a fire, a chard layer is</w:t>
      </w:r>
      <w:r>
        <w:rPr>
          <w:spacing w:val="1"/>
        </w:rPr>
        <w:t> </w:t>
      </w:r>
      <w:r>
        <w:rPr/>
        <w:t>formed on the exterior due to the fire exposure.</w:t>
      </w:r>
      <w:r>
        <w:rPr>
          <w:spacing w:val="1"/>
        </w:rPr>
        <w:t> </w:t>
      </w:r>
      <w:r>
        <w:rPr/>
        <w:t>The wood behind the charred layer is</w:t>
      </w:r>
      <w:r>
        <w:rPr>
          <w:spacing w:val="1"/>
        </w:rPr>
        <w:t> </w:t>
      </w:r>
      <w:r>
        <w:rPr/>
        <w:t>insulated and protected by the charring. When the adhesive between layers withstands the</w:t>
      </w:r>
      <w:r>
        <w:rPr>
          <w:spacing w:val="-57"/>
        </w:rPr>
        <w:t> </w:t>
      </w:r>
      <w:r>
        <w:rPr/>
        <w:t>heat, the fire is not able to rapidly burn through the massive wood panel. However, issues</w:t>
      </w:r>
      <w:r>
        <w:rPr>
          <w:spacing w:val="-57"/>
        </w:rPr>
        <w:t> </w:t>
      </w:r>
      <w:r>
        <w:rPr/>
        <w:t>with adhesives debonding due to the intense heat have been observed.</w:t>
      </w:r>
      <w:r>
        <w:rPr>
          <w:spacing w:val="1"/>
        </w:rPr>
        <w:t> </w:t>
      </w:r>
      <w:r>
        <w:rPr/>
        <w:t>Further details on</w:t>
      </w:r>
      <w:r>
        <w:rPr>
          <w:spacing w:val="1"/>
        </w:rPr>
        <w:t> </w:t>
      </w:r>
      <w:r>
        <w:rPr/>
        <w:t>this</w:t>
      </w:r>
      <w:r>
        <w:rPr>
          <w:spacing w:val="-1"/>
        </w:rPr>
        <w:t> </w:t>
      </w:r>
      <w:r>
        <w:rPr/>
        <w:t>topic can be found in Frangi et al.</w:t>
      </w:r>
      <w:r>
        <w:rPr>
          <w:spacing w:val="-1"/>
        </w:rPr>
        <w:t> </w:t>
      </w:r>
      <w:r>
        <w:rPr/>
        <w:t>[51].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spacing w:before="231"/>
        <w:ind w:left="440" w:right="281" w:firstLine="0"/>
        <w:jc w:val="both"/>
        <w:rPr>
          <w:i/>
          <w:sz w:val="24"/>
        </w:rPr>
      </w:pPr>
      <w:bookmarkStart w:name="_bookmark5" w:id="51"/>
      <w:bookmarkEnd w:id="51"/>
      <w:r>
        <w:rPr/>
      </w:r>
      <w:r>
        <w:rPr>
          <w:i/>
          <w:sz w:val="24"/>
        </w:rPr>
        <w:t>Table 2-5. Effective char depths according to the National Design Specification for Wood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Construction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[19].</w:t>
      </w:r>
    </w:p>
    <w:p>
      <w:pPr>
        <w:pStyle w:val="BodyText"/>
        <w:spacing w:before="5"/>
        <w:rPr>
          <w:i/>
          <w:sz w:val="17"/>
        </w:rPr>
      </w:pPr>
    </w:p>
    <w:tbl>
      <w:tblPr>
        <w:tblW w:w="0" w:type="auto"/>
        <w:jc w:val="left"/>
        <w:tblInd w:w="4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92"/>
        <w:gridCol w:w="602"/>
        <w:gridCol w:w="601"/>
        <w:gridCol w:w="602"/>
        <w:gridCol w:w="534"/>
        <w:gridCol w:w="740"/>
        <w:gridCol w:w="741"/>
        <w:gridCol w:w="740"/>
        <w:gridCol w:w="741"/>
        <w:gridCol w:w="533"/>
      </w:tblGrid>
      <w:tr>
        <w:trPr>
          <w:trHeight w:val="360" w:hRule="atLeast"/>
        </w:trPr>
        <w:tc>
          <w:tcPr>
            <w:tcW w:w="2792" w:type="dxa"/>
            <w:vMerge w:val="restart"/>
            <w:shd w:val="clear" w:color="auto" w:fill="C0C0C0"/>
          </w:tcPr>
          <w:p>
            <w:pPr>
              <w:pStyle w:val="TableParagraph"/>
              <w:spacing w:before="1"/>
              <w:rPr>
                <w:i/>
                <w:sz w:val="23"/>
              </w:rPr>
            </w:pPr>
          </w:p>
          <w:p>
            <w:pPr>
              <w:pStyle w:val="TableParagraph"/>
              <w:ind w:left="1203" w:right="261" w:hanging="914"/>
              <w:rPr>
                <w:sz w:val="22"/>
              </w:rPr>
            </w:pPr>
            <w:r>
              <w:rPr>
                <w:sz w:val="22"/>
              </w:rPr>
              <w:t>Required Fire Endurance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(hr.)</w:t>
            </w:r>
          </w:p>
        </w:tc>
        <w:tc>
          <w:tcPr>
            <w:tcW w:w="5834" w:type="dxa"/>
            <w:gridSpan w:val="9"/>
            <w:shd w:val="clear" w:color="auto" w:fill="C0C0C0"/>
          </w:tcPr>
          <w:p>
            <w:pPr>
              <w:pStyle w:val="TableParagraph"/>
              <w:spacing w:line="234" w:lineRule="exact" w:before="106"/>
              <w:ind w:left="108"/>
              <w:rPr>
                <w:sz w:val="22"/>
              </w:rPr>
            </w:pPr>
            <w:r>
              <w:rPr>
                <w:sz w:val="22"/>
              </w:rPr>
              <w:t>Effective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Char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Depths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(inches)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(for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CLT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with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β</w:t>
            </w:r>
            <w:r>
              <w:rPr>
                <w:sz w:val="22"/>
                <w:vertAlign w:val="subscript"/>
              </w:rPr>
              <w:t>n</w:t>
            </w:r>
            <w:r>
              <w:rPr>
                <w:spacing w:val="-2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=</w:t>
            </w:r>
            <w:r>
              <w:rPr>
                <w:spacing w:val="-3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1-1/2</w:t>
            </w:r>
            <w:r>
              <w:rPr>
                <w:spacing w:val="-2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in./hr.)</w:t>
            </w:r>
          </w:p>
        </w:tc>
      </w:tr>
      <w:tr>
        <w:trPr>
          <w:trHeight w:val="359" w:hRule="atLeast"/>
        </w:trPr>
        <w:tc>
          <w:tcPr>
            <w:tcW w:w="2792" w:type="dxa"/>
            <w:vMerge/>
            <w:tcBorders>
              <w:top w:val="nil"/>
            </w:tcBorders>
            <w:shd w:val="clear" w:color="auto" w:fill="C0C0C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834" w:type="dxa"/>
            <w:gridSpan w:val="9"/>
            <w:shd w:val="clear" w:color="auto" w:fill="C0C0C0"/>
          </w:tcPr>
          <w:p>
            <w:pPr>
              <w:pStyle w:val="TableParagraph"/>
              <w:spacing w:line="233" w:lineRule="exact" w:before="106"/>
              <w:ind w:left="1235"/>
              <w:rPr>
                <w:b/>
                <w:sz w:val="22"/>
              </w:rPr>
            </w:pPr>
            <w:r>
              <w:rPr>
                <w:b/>
                <w:sz w:val="22"/>
              </w:rPr>
              <w:t>lamination</w:t>
            </w:r>
            <w:r>
              <w:rPr>
                <w:b/>
                <w:spacing w:val="-4"/>
                <w:sz w:val="22"/>
              </w:rPr>
              <w:t> </w:t>
            </w:r>
            <w:r>
              <w:rPr>
                <w:b/>
                <w:sz w:val="22"/>
              </w:rPr>
              <w:t>thicknesses,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h</w:t>
            </w:r>
            <w:r>
              <w:rPr>
                <w:b/>
                <w:sz w:val="22"/>
                <w:vertAlign w:val="subscript"/>
              </w:rPr>
              <w:t>lam</w:t>
            </w:r>
            <w:r>
              <w:rPr>
                <w:b/>
                <w:spacing w:val="-6"/>
                <w:sz w:val="22"/>
                <w:vertAlign w:val="baseline"/>
              </w:rPr>
              <w:t> </w:t>
            </w:r>
            <w:r>
              <w:rPr>
                <w:b/>
                <w:sz w:val="22"/>
                <w:vertAlign w:val="baseline"/>
              </w:rPr>
              <w:t>(inches)</w:t>
            </w:r>
          </w:p>
        </w:tc>
      </w:tr>
      <w:tr>
        <w:trPr>
          <w:trHeight w:val="299" w:hRule="atLeast"/>
        </w:trPr>
        <w:tc>
          <w:tcPr>
            <w:tcW w:w="2792" w:type="dxa"/>
            <w:vMerge/>
            <w:tcBorders>
              <w:top w:val="nil"/>
            </w:tcBorders>
            <w:shd w:val="clear" w:color="auto" w:fill="C0C0C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02" w:type="dxa"/>
            <w:shd w:val="clear" w:color="auto" w:fill="C0C0C0"/>
          </w:tcPr>
          <w:p>
            <w:pPr>
              <w:pStyle w:val="TableParagraph"/>
              <w:spacing w:line="233" w:lineRule="exact" w:before="46"/>
              <w:ind w:left="143" w:right="7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5/8</w:t>
            </w:r>
          </w:p>
        </w:tc>
        <w:tc>
          <w:tcPr>
            <w:tcW w:w="601" w:type="dxa"/>
            <w:shd w:val="clear" w:color="auto" w:fill="C0C0C0"/>
          </w:tcPr>
          <w:p>
            <w:pPr>
              <w:pStyle w:val="TableParagraph"/>
              <w:spacing w:line="233" w:lineRule="exact" w:before="46"/>
              <w:ind w:right="119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3/4</w:t>
            </w:r>
          </w:p>
        </w:tc>
        <w:tc>
          <w:tcPr>
            <w:tcW w:w="602" w:type="dxa"/>
            <w:shd w:val="clear" w:color="auto" w:fill="C0C0C0"/>
          </w:tcPr>
          <w:p>
            <w:pPr>
              <w:pStyle w:val="TableParagraph"/>
              <w:spacing w:line="233" w:lineRule="exact" w:before="46"/>
              <w:ind w:left="189"/>
              <w:rPr>
                <w:b/>
                <w:sz w:val="22"/>
              </w:rPr>
            </w:pPr>
            <w:r>
              <w:rPr>
                <w:b/>
                <w:sz w:val="22"/>
              </w:rPr>
              <w:t>7/8</w:t>
            </w:r>
          </w:p>
        </w:tc>
        <w:tc>
          <w:tcPr>
            <w:tcW w:w="534" w:type="dxa"/>
            <w:shd w:val="clear" w:color="auto" w:fill="C0C0C0"/>
          </w:tcPr>
          <w:p>
            <w:pPr>
              <w:pStyle w:val="TableParagraph"/>
              <w:spacing w:before="23"/>
              <w:ind w:left="10"/>
              <w:jc w:val="center"/>
              <w:rPr>
                <w:b/>
                <w:sz w:val="22"/>
              </w:rPr>
            </w:pPr>
            <w:r>
              <w:rPr>
                <w:b/>
                <w:w w:val="99"/>
                <w:sz w:val="22"/>
              </w:rPr>
              <w:t>1</w:t>
            </w:r>
          </w:p>
        </w:tc>
        <w:tc>
          <w:tcPr>
            <w:tcW w:w="740" w:type="dxa"/>
            <w:shd w:val="clear" w:color="auto" w:fill="C0C0C0"/>
          </w:tcPr>
          <w:p>
            <w:pPr>
              <w:pStyle w:val="TableParagraph"/>
              <w:spacing w:line="233" w:lineRule="exact" w:before="46"/>
              <w:ind w:left="118" w:right="10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1-1/4</w:t>
            </w:r>
          </w:p>
        </w:tc>
        <w:tc>
          <w:tcPr>
            <w:tcW w:w="741" w:type="dxa"/>
            <w:shd w:val="clear" w:color="auto" w:fill="C0C0C0"/>
          </w:tcPr>
          <w:p>
            <w:pPr>
              <w:pStyle w:val="TableParagraph"/>
              <w:spacing w:line="233" w:lineRule="exact" w:before="46"/>
              <w:ind w:left="118" w:right="10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1-3/8</w:t>
            </w:r>
          </w:p>
        </w:tc>
        <w:tc>
          <w:tcPr>
            <w:tcW w:w="740" w:type="dxa"/>
            <w:shd w:val="clear" w:color="auto" w:fill="C0C0C0"/>
          </w:tcPr>
          <w:p>
            <w:pPr>
              <w:pStyle w:val="TableParagraph"/>
              <w:spacing w:line="233" w:lineRule="exact" w:before="46"/>
              <w:ind w:left="119" w:right="104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1-1/2</w:t>
            </w:r>
          </w:p>
        </w:tc>
        <w:tc>
          <w:tcPr>
            <w:tcW w:w="741" w:type="dxa"/>
            <w:shd w:val="clear" w:color="auto" w:fill="C0C0C0"/>
          </w:tcPr>
          <w:p>
            <w:pPr>
              <w:pStyle w:val="TableParagraph"/>
              <w:spacing w:line="233" w:lineRule="exact" w:before="46"/>
              <w:ind w:left="119" w:right="104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1-3/4</w:t>
            </w:r>
          </w:p>
        </w:tc>
        <w:tc>
          <w:tcPr>
            <w:tcW w:w="533" w:type="dxa"/>
            <w:shd w:val="clear" w:color="auto" w:fill="C0C0C0"/>
          </w:tcPr>
          <w:p>
            <w:pPr>
              <w:pStyle w:val="TableParagraph"/>
              <w:spacing w:line="233" w:lineRule="exact" w:before="46"/>
              <w:ind w:left="15"/>
              <w:jc w:val="center"/>
              <w:rPr>
                <w:b/>
                <w:sz w:val="22"/>
              </w:rPr>
            </w:pPr>
            <w:r>
              <w:rPr>
                <w:b/>
                <w:w w:val="99"/>
                <w:sz w:val="22"/>
              </w:rPr>
              <w:t>2</w:t>
            </w:r>
          </w:p>
        </w:tc>
      </w:tr>
      <w:tr>
        <w:trPr>
          <w:trHeight w:val="300" w:hRule="atLeast"/>
        </w:trPr>
        <w:tc>
          <w:tcPr>
            <w:tcW w:w="2792" w:type="dxa"/>
          </w:tcPr>
          <w:p>
            <w:pPr>
              <w:pStyle w:val="TableParagraph"/>
              <w:spacing w:line="234" w:lineRule="exact" w:before="46"/>
              <w:ind w:left="916" w:right="905"/>
              <w:jc w:val="center"/>
              <w:rPr>
                <w:sz w:val="22"/>
              </w:rPr>
            </w:pPr>
            <w:r>
              <w:rPr>
                <w:sz w:val="22"/>
              </w:rPr>
              <w:t>1-hour</w:t>
            </w:r>
          </w:p>
        </w:tc>
        <w:tc>
          <w:tcPr>
            <w:tcW w:w="602" w:type="dxa"/>
          </w:tcPr>
          <w:p>
            <w:pPr>
              <w:pStyle w:val="TableParagraph"/>
              <w:spacing w:line="234" w:lineRule="exact" w:before="46"/>
              <w:ind w:left="112" w:right="102"/>
              <w:jc w:val="center"/>
              <w:rPr>
                <w:sz w:val="22"/>
              </w:rPr>
            </w:pPr>
            <w:r>
              <w:rPr>
                <w:sz w:val="22"/>
              </w:rPr>
              <w:t>2.2</w:t>
            </w:r>
          </w:p>
        </w:tc>
        <w:tc>
          <w:tcPr>
            <w:tcW w:w="601" w:type="dxa"/>
          </w:tcPr>
          <w:p>
            <w:pPr>
              <w:pStyle w:val="TableParagraph"/>
              <w:spacing w:line="234" w:lineRule="exact" w:before="46"/>
              <w:ind w:right="150"/>
              <w:jc w:val="right"/>
              <w:rPr>
                <w:sz w:val="22"/>
              </w:rPr>
            </w:pPr>
            <w:r>
              <w:rPr>
                <w:sz w:val="22"/>
              </w:rPr>
              <w:t>2.2</w:t>
            </w:r>
          </w:p>
        </w:tc>
        <w:tc>
          <w:tcPr>
            <w:tcW w:w="602" w:type="dxa"/>
          </w:tcPr>
          <w:p>
            <w:pPr>
              <w:pStyle w:val="TableParagraph"/>
              <w:spacing w:line="234" w:lineRule="exact" w:before="46"/>
              <w:ind w:left="163"/>
              <w:rPr>
                <w:sz w:val="22"/>
              </w:rPr>
            </w:pPr>
            <w:r>
              <w:rPr>
                <w:sz w:val="22"/>
              </w:rPr>
              <w:t>2.1</w:t>
            </w:r>
          </w:p>
        </w:tc>
        <w:tc>
          <w:tcPr>
            <w:tcW w:w="534" w:type="dxa"/>
          </w:tcPr>
          <w:p>
            <w:pPr>
              <w:pStyle w:val="TableParagraph"/>
              <w:spacing w:line="234" w:lineRule="exact" w:before="46"/>
              <w:ind w:left="111" w:right="98"/>
              <w:jc w:val="center"/>
              <w:rPr>
                <w:sz w:val="22"/>
              </w:rPr>
            </w:pPr>
            <w:r>
              <w:rPr>
                <w:sz w:val="22"/>
              </w:rPr>
              <w:t>2.0</w:t>
            </w:r>
          </w:p>
        </w:tc>
        <w:tc>
          <w:tcPr>
            <w:tcW w:w="740" w:type="dxa"/>
          </w:tcPr>
          <w:p>
            <w:pPr>
              <w:pStyle w:val="TableParagraph"/>
              <w:spacing w:line="234" w:lineRule="exact" w:before="46"/>
              <w:ind w:left="118" w:right="105"/>
              <w:jc w:val="center"/>
              <w:rPr>
                <w:sz w:val="22"/>
              </w:rPr>
            </w:pPr>
            <w:r>
              <w:rPr>
                <w:sz w:val="22"/>
              </w:rPr>
              <w:t>2.0</w:t>
            </w:r>
          </w:p>
        </w:tc>
        <w:tc>
          <w:tcPr>
            <w:tcW w:w="741" w:type="dxa"/>
          </w:tcPr>
          <w:p>
            <w:pPr>
              <w:pStyle w:val="TableParagraph"/>
              <w:spacing w:line="234" w:lineRule="exact" w:before="46"/>
              <w:ind w:left="118" w:right="105"/>
              <w:jc w:val="center"/>
              <w:rPr>
                <w:sz w:val="22"/>
              </w:rPr>
            </w:pPr>
            <w:r>
              <w:rPr>
                <w:sz w:val="22"/>
              </w:rPr>
              <w:t>1.9</w:t>
            </w:r>
          </w:p>
        </w:tc>
        <w:tc>
          <w:tcPr>
            <w:tcW w:w="740" w:type="dxa"/>
          </w:tcPr>
          <w:p>
            <w:pPr>
              <w:pStyle w:val="TableParagraph"/>
              <w:spacing w:line="234" w:lineRule="exact" w:before="46"/>
              <w:ind w:left="119" w:right="104"/>
              <w:jc w:val="center"/>
              <w:rPr>
                <w:sz w:val="22"/>
              </w:rPr>
            </w:pPr>
            <w:r>
              <w:rPr>
                <w:sz w:val="22"/>
              </w:rPr>
              <w:t>1.8</w:t>
            </w:r>
          </w:p>
        </w:tc>
        <w:tc>
          <w:tcPr>
            <w:tcW w:w="741" w:type="dxa"/>
          </w:tcPr>
          <w:p>
            <w:pPr>
              <w:pStyle w:val="TableParagraph"/>
              <w:spacing w:line="234" w:lineRule="exact" w:before="46"/>
              <w:ind w:left="119" w:right="104"/>
              <w:jc w:val="center"/>
              <w:rPr>
                <w:sz w:val="22"/>
              </w:rPr>
            </w:pPr>
            <w:r>
              <w:rPr>
                <w:sz w:val="22"/>
              </w:rPr>
              <w:t>1.8</w:t>
            </w:r>
          </w:p>
        </w:tc>
        <w:tc>
          <w:tcPr>
            <w:tcW w:w="533" w:type="dxa"/>
          </w:tcPr>
          <w:p>
            <w:pPr>
              <w:pStyle w:val="TableParagraph"/>
              <w:spacing w:line="234" w:lineRule="exact" w:before="46"/>
              <w:ind w:left="113" w:right="95"/>
              <w:jc w:val="center"/>
              <w:rPr>
                <w:sz w:val="22"/>
              </w:rPr>
            </w:pPr>
            <w:r>
              <w:rPr>
                <w:sz w:val="22"/>
              </w:rPr>
              <w:t>1.8</w:t>
            </w:r>
          </w:p>
        </w:tc>
      </w:tr>
      <w:tr>
        <w:trPr>
          <w:trHeight w:val="299" w:hRule="atLeast"/>
        </w:trPr>
        <w:tc>
          <w:tcPr>
            <w:tcW w:w="2792" w:type="dxa"/>
          </w:tcPr>
          <w:p>
            <w:pPr>
              <w:pStyle w:val="TableParagraph"/>
              <w:spacing w:line="234" w:lineRule="exact" w:before="45"/>
              <w:ind w:left="916" w:right="905"/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1/2-hour</w:t>
            </w:r>
          </w:p>
        </w:tc>
        <w:tc>
          <w:tcPr>
            <w:tcW w:w="602" w:type="dxa"/>
          </w:tcPr>
          <w:p>
            <w:pPr>
              <w:pStyle w:val="TableParagraph"/>
              <w:spacing w:line="234" w:lineRule="exact" w:before="45"/>
              <w:ind w:left="112" w:right="102"/>
              <w:jc w:val="center"/>
              <w:rPr>
                <w:sz w:val="22"/>
              </w:rPr>
            </w:pPr>
            <w:r>
              <w:rPr>
                <w:sz w:val="22"/>
              </w:rPr>
              <w:t>3.4</w:t>
            </w:r>
          </w:p>
        </w:tc>
        <w:tc>
          <w:tcPr>
            <w:tcW w:w="601" w:type="dxa"/>
          </w:tcPr>
          <w:p>
            <w:pPr>
              <w:pStyle w:val="TableParagraph"/>
              <w:spacing w:line="234" w:lineRule="exact" w:before="45"/>
              <w:ind w:right="150"/>
              <w:jc w:val="right"/>
              <w:rPr>
                <w:sz w:val="22"/>
              </w:rPr>
            </w:pPr>
            <w:r>
              <w:rPr>
                <w:sz w:val="22"/>
              </w:rPr>
              <w:t>3.2</w:t>
            </w:r>
          </w:p>
        </w:tc>
        <w:tc>
          <w:tcPr>
            <w:tcW w:w="602" w:type="dxa"/>
          </w:tcPr>
          <w:p>
            <w:pPr>
              <w:pStyle w:val="TableParagraph"/>
              <w:spacing w:line="234" w:lineRule="exact" w:before="45"/>
              <w:ind w:left="163"/>
              <w:rPr>
                <w:sz w:val="22"/>
              </w:rPr>
            </w:pPr>
            <w:r>
              <w:rPr>
                <w:sz w:val="22"/>
              </w:rPr>
              <w:t>3.1</w:t>
            </w:r>
          </w:p>
        </w:tc>
        <w:tc>
          <w:tcPr>
            <w:tcW w:w="534" w:type="dxa"/>
          </w:tcPr>
          <w:p>
            <w:pPr>
              <w:pStyle w:val="TableParagraph"/>
              <w:spacing w:line="234" w:lineRule="exact" w:before="45"/>
              <w:ind w:left="111" w:right="98"/>
              <w:jc w:val="center"/>
              <w:rPr>
                <w:sz w:val="22"/>
              </w:rPr>
            </w:pPr>
            <w:r>
              <w:rPr>
                <w:sz w:val="22"/>
              </w:rPr>
              <w:t>3.0</w:t>
            </w:r>
          </w:p>
        </w:tc>
        <w:tc>
          <w:tcPr>
            <w:tcW w:w="740" w:type="dxa"/>
          </w:tcPr>
          <w:p>
            <w:pPr>
              <w:pStyle w:val="TableParagraph"/>
              <w:spacing w:line="234" w:lineRule="exact" w:before="45"/>
              <w:ind w:left="118" w:right="105"/>
              <w:jc w:val="center"/>
              <w:rPr>
                <w:sz w:val="22"/>
              </w:rPr>
            </w:pPr>
            <w:r>
              <w:rPr>
                <w:sz w:val="22"/>
              </w:rPr>
              <w:t>2.9</w:t>
            </w:r>
          </w:p>
        </w:tc>
        <w:tc>
          <w:tcPr>
            <w:tcW w:w="741" w:type="dxa"/>
          </w:tcPr>
          <w:p>
            <w:pPr>
              <w:pStyle w:val="TableParagraph"/>
              <w:spacing w:line="234" w:lineRule="exact" w:before="45"/>
              <w:ind w:left="118" w:right="105"/>
              <w:jc w:val="center"/>
              <w:rPr>
                <w:sz w:val="22"/>
              </w:rPr>
            </w:pPr>
            <w:r>
              <w:rPr>
                <w:sz w:val="22"/>
              </w:rPr>
              <w:t>2.8</w:t>
            </w:r>
          </w:p>
        </w:tc>
        <w:tc>
          <w:tcPr>
            <w:tcW w:w="740" w:type="dxa"/>
          </w:tcPr>
          <w:p>
            <w:pPr>
              <w:pStyle w:val="TableParagraph"/>
              <w:spacing w:line="234" w:lineRule="exact" w:before="45"/>
              <w:ind w:left="119" w:right="104"/>
              <w:jc w:val="center"/>
              <w:rPr>
                <w:sz w:val="22"/>
              </w:rPr>
            </w:pPr>
            <w:r>
              <w:rPr>
                <w:sz w:val="22"/>
              </w:rPr>
              <w:t>2.8</w:t>
            </w:r>
          </w:p>
        </w:tc>
        <w:tc>
          <w:tcPr>
            <w:tcW w:w="741" w:type="dxa"/>
          </w:tcPr>
          <w:p>
            <w:pPr>
              <w:pStyle w:val="TableParagraph"/>
              <w:spacing w:line="234" w:lineRule="exact" w:before="45"/>
              <w:ind w:left="119" w:right="104"/>
              <w:jc w:val="center"/>
              <w:rPr>
                <w:sz w:val="22"/>
              </w:rPr>
            </w:pPr>
            <w:r>
              <w:rPr>
                <w:sz w:val="22"/>
              </w:rPr>
              <w:t>2.8</w:t>
            </w:r>
          </w:p>
        </w:tc>
        <w:tc>
          <w:tcPr>
            <w:tcW w:w="533" w:type="dxa"/>
          </w:tcPr>
          <w:p>
            <w:pPr>
              <w:pStyle w:val="TableParagraph"/>
              <w:spacing w:line="234" w:lineRule="exact" w:before="45"/>
              <w:ind w:left="113" w:right="95"/>
              <w:jc w:val="center"/>
              <w:rPr>
                <w:sz w:val="22"/>
              </w:rPr>
            </w:pPr>
            <w:r>
              <w:rPr>
                <w:sz w:val="22"/>
              </w:rPr>
              <w:t>2.6</w:t>
            </w:r>
          </w:p>
        </w:tc>
      </w:tr>
      <w:tr>
        <w:trPr>
          <w:trHeight w:val="300" w:hRule="atLeast"/>
        </w:trPr>
        <w:tc>
          <w:tcPr>
            <w:tcW w:w="2792" w:type="dxa"/>
          </w:tcPr>
          <w:p>
            <w:pPr>
              <w:pStyle w:val="TableParagraph"/>
              <w:spacing w:line="236" w:lineRule="exact" w:before="45"/>
              <w:ind w:left="916" w:right="905"/>
              <w:jc w:val="center"/>
              <w:rPr>
                <w:sz w:val="22"/>
              </w:rPr>
            </w:pPr>
            <w:r>
              <w:rPr>
                <w:sz w:val="22"/>
              </w:rPr>
              <w:t>2-hour</w:t>
            </w:r>
          </w:p>
        </w:tc>
        <w:tc>
          <w:tcPr>
            <w:tcW w:w="602" w:type="dxa"/>
          </w:tcPr>
          <w:p>
            <w:pPr>
              <w:pStyle w:val="TableParagraph"/>
              <w:spacing w:line="236" w:lineRule="exact" w:before="45"/>
              <w:ind w:left="112" w:right="102"/>
              <w:jc w:val="center"/>
              <w:rPr>
                <w:sz w:val="22"/>
              </w:rPr>
            </w:pPr>
            <w:r>
              <w:rPr>
                <w:sz w:val="22"/>
              </w:rPr>
              <w:t>4.4</w:t>
            </w:r>
          </w:p>
        </w:tc>
        <w:tc>
          <w:tcPr>
            <w:tcW w:w="601" w:type="dxa"/>
          </w:tcPr>
          <w:p>
            <w:pPr>
              <w:pStyle w:val="TableParagraph"/>
              <w:spacing w:line="236" w:lineRule="exact" w:before="45"/>
              <w:ind w:right="150"/>
              <w:jc w:val="right"/>
              <w:rPr>
                <w:sz w:val="22"/>
              </w:rPr>
            </w:pPr>
            <w:r>
              <w:rPr>
                <w:sz w:val="22"/>
              </w:rPr>
              <w:t>4.3</w:t>
            </w:r>
          </w:p>
        </w:tc>
        <w:tc>
          <w:tcPr>
            <w:tcW w:w="602" w:type="dxa"/>
          </w:tcPr>
          <w:p>
            <w:pPr>
              <w:pStyle w:val="TableParagraph"/>
              <w:spacing w:line="236" w:lineRule="exact" w:before="45"/>
              <w:ind w:left="163"/>
              <w:rPr>
                <w:sz w:val="22"/>
              </w:rPr>
            </w:pPr>
            <w:r>
              <w:rPr>
                <w:sz w:val="22"/>
              </w:rPr>
              <w:t>4.1</w:t>
            </w:r>
          </w:p>
        </w:tc>
        <w:tc>
          <w:tcPr>
            <w:tcW w:w="534" w:type="dxa"/>
          </w:tcPr>
          <w:p>
            <w:pPr>
              <w:pStyle w:val="TableParagraph"/>
              <w:spacing w:line="236" w:lineRule="exact" w:before="45"/>
              <w:ind w:left="111" w:right="98"/>
              <w:jc w:val="center"/>
              <w:rPr>
                <w:sz w:val="22"/>
              </w:rPr>
            </w:pPr>
            <w:r>
              <w:rPr>
                <w:sz w:val="22"/>
              </w:rPr>
              <w:t>4.0</w:t>
            </w:r>
          </w:p>
        </w:tc>
        <w:tc>
          <w:tcPr>
            <w:tcW w:w="740" w:type="dxa"/>
          </w:tcPr>
          <w:p>
            <w:pPr>
              <w:pStyle w:val="TableParagraph"/>
              <w:spacing w:line="236" w:lineRule="exact" w:before="45"/>
              <w:ind w:left="118" w:right="105"/>
              <w:jc w:val="center"/>
              <w:rPr>
                <w:sz w:val="22"/>
              </w:rPr>
            </w:pPr>
            <w:r>
              <w:rPr>
                <w:sz w:val="22"/>
              </w:rPr>
              <w:t>3.9</w:t>
            </w:r>
          </w:p>
        </w:tc>
        <w:tc>
          <w:tcPr>
            <w:tcW w:w="741" w:type="dxa"/>
          </w:tcPr>
          <w:p>
            <w:pPr>
              <w:pStyle w:val="TableParagraph"/>
              <w:spacing w:line="236" w:lineRule="exact" w:before="45"/>
              <w:ind w:left="118" w:right="105"/>
              <w:jc w:val="center"/>
              <w:rPr>
                <w:sz w:val="22"/>
              </w:rPr>
            </w:pPr>
            <w:r>
              <w:rPr>
                <w:sz w:val="22"/>
              </w:rPr>
              <w:t>3.8</w:t>
            </w:r>
          </w:p>
        </w:tc>
        <w:tc>
          <w:tcPr>
            <w:tcW w:w="740" w:type="dxa"/>
          </w:tcPr>
          <w:p>
            <w:pPr>
              <w:pStyle w:val="TableParagraph"/>
              <w:spacing w:line="236" w:lineRule="exact" w:before="45"/>
              <w:ind w:left="119" w:right="104"/>
              <w:jc w:val="center"/>
              <w:rPr>
                <w:sz w:val="22"/>
              </w:rPr>
            </w:pPr>
            <w:r>
              <w:rPr>
                <w:sz w:val="22"/>
              </w:rPr>
              <w:t>3.6</w:t>
            </w:r>
          </w:p>
        </w:tc>
        <w:tc>
          <w:tcPr>
            <w:tcW w:w="741" w:type="dxa"/>
          </w:tcPr>
          <w:p>
            <w:pPr>
              <w:pStyle w:val="TableParagraph"/>
              <w:spacing w:line="236" w:lineRule="exact" w:before="45"/>
              <w:ind w:left="119" w:right="104"/>
              <w:jc w:val="center"/>
              <w:rPr>
                <w:sz w:val="22"/>
              </w:rPr>
            </w:pPr>
            <w:r>
              <w:rPr>
                <w:sz w:val="22"/>
              </w:rPr>
              <w:t>3.6</w:t>
            </w:r>
          </w:p>
        </w:tc>
        <w:tc>
          <w:tcPr>
            <w:tcW w:w="533" w:type="dxa"/>
          </w:tcPr>
          <w:p>
            <w:pPr>
              <w:pStyle w:val="TableParagraph"/>
              <w:spacing w:line="236" w:lineRule="exact" w:before="45"/>
              <w:ind w:left="113" w:right="95"/>
              <w:jc w:val="center"/>
              <w:rPr>
                <w:sz w:val="22"/>
              </w:rPr>
            </w:pPr>
            <w:r>
              <w:rPr>
                <w:sz w:val="22"/>
              </w:rPr>
              <w:t>3.6</w:t>
            </w:r>
          </w:p>
        </w:tc>
      </w:tr>
    </w:tbl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228"/>
        <w:ind w:left="440" w:right="229" w:firstLine="720"/>
      </w:pPr>
      <w:r>
        <w:rPr/>
        <w:t>The</w:t>
      </w:r>
      <w:r>
        <w:rPr>
          <w:spacing w:val="7"/>
        </w:rPr>
        <w:t> </w:t>
      </w:r>
      <w:r>
        <w:rPr/>
        <w:t>NDS</w:t>
      </w:r>
      <w:r>
        <w:rPr>
          <w:spacing w:val="8"/>
        </w:rPr>
        <w:t> </w:t>
      </w:r>
      <w:r>
        <w:rPr/>
        <w:t>also</w:t>
      </w:r>
      <w:r>
        <w:rPr>
          <w:spacing w:val="8"/>
        </w:rPr>
        <w:t> </w:t>
      </w:r>
      <w:r>
        <w:rPr/>
        <w:t>includes</w:t>
      </w:r>
      <w:r>
        <w:rPr>
          <w:spacing w:val="7"/>
        </w:rPr>
        <w:t> </w:t>
      </w:r>
      <w:r>
        <w:rPr/>
        <w:t>an</w:t>
      </w:r>
      <w:r>
        <w:rPr>
          <w:spacing w:val="8"/>
        </w:rPr>
        <w:t> </w:t>
      </w:r>
      <w:r>
        <w:rPr/>
        <w:t>effective</w:t>
      </w:r>
      <w:r>
        <w:rPr>
          <w:spacing w:val="7"/>
        </w:rPr>
        <w:t> </w:t>
      </w:r>
      <w:r>
        <w:rPr/>
        <w:t>char</w:t>
      </w:r>
      <w:r>
        <w:rPr>
          <w:spacing w:val="9"/>
        </w:rPr>
        <w:t> </w:t>
      </w:r>
      <w:r>
        <w:rPr/>
        <w:t>depth</w:t>
      </w:r>
      <w:r>
        <w:rPr>
          <w:spacing w:val="7"/>
        </w:rPr>
        <w:t> </w:t>
      </w:r>
      <w:r>
        <w:rPr/>
        <w:t>equation,</w:t>
      </w:r>
      <w:r>
        <w:rPr>
          <w:spacing w:val="8"/>
        </w:rPr>
        <w:t> </w:t>
      </w:r>
      <w:r>
        <w:rPr/>
        <w:t>applicable</w:t>
      </w:r>
      <w:r>
        <w:rPr>
          <w:spacing w:val="8"/>
        </w:rPr>
        <w:t> </w:t>
      </w:r>
      <w:r>
        <w:rPr/>
        <w:t>to</w:t>
      </w:r>
      <w:r>
        <w:rPr>
          <w:spacing w:val="8"/>
        </w:rPr>
        <w:t> </w:t>
      </w:r>
      <w:r>
        <w:rPr/>
        <w:t>CLT</w:t>
      </w:r>
      <w:r>
        <w:rPr>
          <w:spacing w:val="8"/>
        </w:rPr>
        <w:t> </w:t>
      </w:r>
      <w:r>
        <w:rPr/>
        <w:t>[102]</w:t>
      </w:r>
      <w:r>
        <w:rPr>
          <w:spacing w:val="-57"/>
        </w:rPr>
        <w:t> </w:t>
      </w:r>
      <w:r>
        <w:rPr/>
        <w:t>for</w:t>
      </w:r>
      <w:r>
        <w:rPr>
          <w:spacing w:val="-1"/>
        </w:rPr>
        <w:t> </w:t>
      </w:r>
      <w:r>
        <w:rPr/>
        <w:t>use with</w:t>
      </w:r>
      <w:r>
        <w:rPr>
          <w:spacing w:val="-2"/>
        </w:rPr>
        <w:t> </w:t>
      </w:r>
      <w:hyperlink w:history="true" w:anchor="_bookmark5">
        <w:r>
          <w:rPr/>
          <w:t>Table 2-5</w:t>
        </w:r>
      </w:hyperlink>
      <w:r>
        <w:rPr/>
        <w:t> and shown as</w:t>
      </w:r>
      <w:r>
        <w:rPr>
          <w:spacing w:val="-1"/>
        </w:rPr>
        <w:t> </w:t>
      </w:r>
      <w:r>
        <w:rPr/>
        <w:t>Equation 2.3:</w:t>
      </w:r>
    </w:p>
    <w:p>
      <w:pPr>
        <w:pStyle w:val="BodyText"/>
        <w:spacing w:before="10"/>
        <w:rPr>
          <w:sz w:val="14"/>
        </w:rPr>
      </w:pPr>
    </w:p>
    <w:tbl>
      <w:tblPr>
        <w:tblW w:w="0" w:type="auto"/>
        <w:jc w:val="left"/>
        <w:tblInd w:w="168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57"/>
        <w:gridCol w:w="2030"/>
        <w:gridCol w:w="2091"/>
        <w:gridCol w:w="1506"/>
      </w:tblGrid>
      <w:tr>
        <w:trPr>
          <w:trHeight w:val="689" w:hRule="atLeast"/>
        </w:trPr>
        <w:tc>
          <w:tcPr>
            <w:tcW w:w="5978" w:type="dxa"/>
            <w:gridSpan w:val="3"/>
          </w:tcPr>
          <w:p>
            <w:pPr>
              <w:pStyle w:val="TableParagraph"/>
              <w:spacing w:line="145" w:lineRule="exact"/>
              <w:ind w:right="943"/>
              <w:jc w:val="right"/>
              <w:rPr>
                <w:rFonts w:ascii="Cambria Math"/>
                <w:sz w:val="17"/>
              </w:rPr>
            </w:pPr>
            <w:r>
              <w:rPr>
                <w:rFonts w:ascii="Cambria Math"/>
                <w:w w:val="105"/>
                <w:sz w:val="17"/>
              </w:rPr>
              <w:t>0.813</w:t>
            </w:r>
          </w:p>
          <w:p>
            <w:pPr>
              <w:pStyle w:val="TableParagraph"/>
              <w:tabs>
                <w:tab w:pos="5041" w:val="left" w:leader="none"/>
              </w:tabs>
              <w:spacing w:line="289" w:lineRule="exact"/>
              <w:ind w:left="200"/>
              <w:rPr>
                <w:rFonts w:ascii="Cambria Math" w:hAnsi="Cambria Math" w:cs="Cambria Math" w:eastAsia="Cambria Math"/>
                <w:sz w:val="24"/>
                <w:szCs w:val="24"/>
              </w:rPr>
            </w:pPr>
            <w:r>
              <w:rPr>
                <w:rFonts w:ascii="Cambria Math" w:hAnsi="Cambria Math" w:cs="Cambria Math" w:eastAsia="Cambria Math"/>
                <w:spacing w:val="-1"/>
                <w:sz w:val="24"/>
                <w:szCs w:val="24"/>
              </w:rPr>
              <w:t>𝑎</w:t>
            </w:r>
            <w:r>
              <w:rPr>
                <w:rFonts w:ascii="Cambria Math" w:hAnsi="Cambria Math" w:cs="Cambria Math" w:eastAsia="Cambria Math"/>
                <w:w w:val="110"/>
                <w:position w:val="-4"/>
                <w:sz w:val="17"/>
                <w:szCs w:val="17"/>
              </w:rPr>
              <w:t>𝑐</w:t>
            </w:r>
            <w:r>
              <w:rPr>
                <w:rFonts w:ascii="Cambria Math" w:hAnsi="Cambria Math" w:cs="Cambria Math" w:eastAsia="Cambria Math"/>
                <w:spacing w:val="-1"/>
                <w:w w:val="112"/>
                <w:position w:val="-4"/>
                <w:sz w:val="17"/>
                <w:szCs w:val="17"/>
              </w:rPr>
              <w:t>ℎ</w:t>
            </w:r>
            <w:r>
              <w:rPr>
                <w:rFonts w:ascii="Cambria Math" w:hAnsi="Cambria Math" w:cs="Cambria Math" w:eastAsia="Cambria Math"/>
                <w:w w:val="112"/>
                <w:position w:val="-4"/>
                <w:sz w:val="17"/>
                <w:szCs w:val="17"/>
              </w:rPr>
              <w:t>𝑎</w:t>
            </w:r>
            <w:r>
              <w:rPr>
                <w:rFonts w:ascii="Cambria Math" w:hAnsi="Cambria Math" w:cs="Cambria Math" w:eastAsia="Cambria Math"/>
                <w:w w:val="111"/>
                <w:position w:val="-4"/>
                <w:sz w:val="17"/>
                <w:szCs w:val="17"/>
              </w:rPr>
              <w:t>𝑟</w:t>
            </w:r>
            <w:r>
              <w:rPr>
                <w:rFonts w:ascii="Cambria Math" w:hAnsi="Cambria Math" w:cs="Cambria Math" w:eastAsia="Cambria Math"/>
                <w:position w:val="-4"/>
                <w:sz w:val="17"/>
                <w:szCs w:val="17"/>
              </w:rPr>
              <w:t> </w:t>
            </w:r>
            <w:r>
              <w:rPr>
                <w:rFonts w:ascii="Cambria Math" w:hAnsi="Cambria Math" w:cs="Cambria Math" w:eastAsia="Cambria Math"/>
                <w:spacing w:val="6"/>
                <w:position w:val="-4"/>
                <w:sz w:val="17"/>
                <w:szCs w:val="17"/>
              </w:rPr>
              <w:t> </w:t>
            </w:r>
            <w:r>
              <w:rPr>
                <w:rFonts w:ascii="Cambria Math" w:hAnsi="Cambria Math" w:cs="Cambria Math" w:eastAsia="Cambria Math"/>
                <w:sz w:val="24"/>
                <w:szCs w:val="24"/>
              </w:rPr>
              <w:t>=</w:t>
            </w:r>
            <w:r>
              <w:rPr>
                <w:rFonts w:ascii="Cambria Math" w:hAnsi="Cambria Math" w:cs="Cambria Math" w:eastAsia="Cambria Math"/>
                <w:spacing w:val="13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sz w:val="24"/>
                <w:szCs w:val="24"/>
              </w:rPr>
              <w:t>1</w:t>
            </w:r>
            <w:r>
              <w:rPr>
                <w:rFonts w:ascii="Cambria Math" w:hAnsi="Cambria Math" w:cs="Cambria Math" w:eastAsia="Cambria Math"/>
                <w:spacing w:val="-1"/>
                <w:sz w:val="24"/>
                <w:szCs w:val="24"/>
              </w:rPr>
              <w:t>.</w:t>
            </w:r>
            <w:r>
              <w:rPr>
                <w:rFonts w:ascii="Cambria Math" w:hAnsi="Cambria Math" w:cs="Cambria Math" w:eastAsia="Cambria Math"/>
                <w:sz w:val="24"/>
                <w:szCs w:val="24"/>
              </w:rPr>
              <w:t>2</w:t>
            </w:r>
            <w:r>
              <w:rPr>
                <w:rFonts w:ascii="Cambria Math" w:hAnsi="Cambria Math" w:cs="Cambria Math" w:eastAsia="Cambria Math"/>
                <w:spacing w:val="-13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w w:val="37"/>
                <w:sz w:val="24"/>
                <w:szCs w:val="24"/>
              </w:rPr>
              <w:t>�</w:t>
            </w:r>
            <w:r>
              <w:rPr>
                <w:rFonts w:ascii="Cambria Math" w:hAnsi="Cambria Math" w:cs="Cambria Math" w:eastAsia="Cambria Math"/>
                <w:sz w:val="24"/>
                <w:szCs w:val="24"/>
              </w:rPr>
              <w:t>𝑛</w:t>
            </w:r>
            <w:r>
              <w:rPr>
                <w:rFonts w:ascii="Cambria Math" w:hAnsi="Cambria Math" w:cs="Cambria Math" w:eastAsia="Cambria Math"/>
                <w:spacing w:val="-1"/>
                <w:w w:val="111"/>
                <w:position w:val="-4"/>
                <w:sz w:val="17"/>
                <w:szCs w:val="17"/>
              </w:rPr>
              <w:t>𝑙</w:t>
            </w:r>
            <w:r>
              <w:rPr>
                <w:rFonts w:ascii="Cambria Math" w:hAnsi="Cambria Math" w:cs="Cambria Math" w:eastAsia="Cambria Math"/>
                <w:w w:val="112"/>
                <w:position w:val="-4"/>
                <w:sz w:val="17"/>
                <w:szCs w:val="17"/>
              </w:rPr>
              <w:t>𝑎</w:t>
            </w:r>
            <w:r>
              <w:rPr>
                <w:rFonts w:ascii="Cambria Math" w:hAnsi="Cambria Math" w:cs="Cambria Math" w:eastAsia="Cambria Math"/>
                <w:spacing w:val="11"/>
                <w:w w:val="111"/>
                <w:position w:val="-4"/>
                <w:sz w:val="17"/>
                <w:szCs w:val="17"/>
              </w:rPr>
              <w:t>𝑚</w:t>
            </w:r>
            <w:r>
              <w:rPr>
                <w:rFonts w:ascii="Cambria Math" w:hAnsi="Cambria Math" w:cs="Cambria Math" w:eastAsia="Cambria Math"/>
                <w:sz w:val="24"/>
                <w:szCs w:val="24"/>
              </w:rPr>
              <w:t>ℎ</w:t>
            </w:r>
            <w:r>
              <w:rPr>
                <w:rFonts w:ascii="Cambria Math" w:hAnsi="Cambria Math" w:cs="Cambria Math" w:eastAsia="Cambria Math"/>
                <w:spacing w:val="-1"/>
                <w:w w:val="111"/>
                <w:position w:val="-4"/>
                <w:sz w:val="17"/>
                <w:szCs w:val="17"/>
              </w:rPr>
              <w:t>𝑙</w:t>
            </w:r>
            <w:r>
              <w:rPr>
                <w:rFonts w:ascii="Cambria Math" w:hAnsi="Cambria Math" w:cs="Cambria Math" w:eastAsia="Cambria Math"/>
                <w:w w:val="112"/>
                <w:position w:val="-4"/>
                <w:sz w:val="17"/>
                <w:szCs w:val="17"/>
              </w:rPr>
              <w:t>𝑎</w:t>
            </w:r>
            <w:r>
              <w:rPr>
                <w:rFonts w:ascii="Cambria Math" w:hAnsi="Cambria Math" w:cs="Cambria Math" w:eastAsia="Cambria Math"/>
                <w:w w:val="111"/>
                <w:position w:val="-4"/>
                <w:sz w:val="17"/>
                <w:szCs w:val="17"/>
              </w:rPr>
              <w:t>𝑚</w:t>
            </w:r>
            <w:r>
              <w:rPr>
                <w:rFonts w:ascii="Cambria Math" w:hAnsi="Cambria Math" w:cs="Cambria Math" w:eastAsia="Cambria Math"/>
                <w:position w:val="-4"/>
                <w:sz w:val="17"/>
                <w:szCs w:val="17"/>
              </w:rPr>
              <w:t> </w:t>
            </w:r>
            <w:r>
              <w:rPr>
                <w:rFonts w:ascii="Cambria Math" w:hAnsi="Cambria Math" w:cs="Cambria Math" w:eastAsia="Cambria Math"/>
                <w:spacing w:val="-10"/>
                <w:position w:val="-4"/>
                <w:sz w:val="17"/>
                <w:szCs w:val="17"/>
              </w:rPr>
              <w:t> </w:t>
            </w:r>
            <w:r>
              <w:rPr>
                <w:rFonts w:ascii="Cambria Math" w:hAnsi="Cambria Math" w:cs="Cambria Math" w:eastAsia="Cambria Math"/>
                <w:sz w:val="24"/>
                <w:szCs w:val="24"/>
              </w:rPr>
              <w:t>+ </w:t>
            </w:r>
            <w:r>
              <w:rPr>
                <w:rFonts w:ascii="Cambria Math" w:hAnsi="Cambria Math" w:cs="Cambria Math" w:eastAsia="Cambria Math"/>
                <w:spacing w:val="-16"/>
                <w:sz w:val="24"/>
                <w:szCs w:val="24"/>
              </w:rPr>
              <w:t>𝛽</w:t>
            </w:r>
            <w:r>
              <w:rPr>
                <w:rFonts w:ascii="Cambria Math" w:hAnsi="Cambria Math" w:cs="Cambria Math" w:eastAsia="Cambria Math"/>
                <w:w w:val="113"/>
                <w:position w:val="-4"/>
                <w:sz w:val="17"/>
                <w:szCs w:val="17"/>
              </w:rPr>
              <w:t>𝑛</w:t>
            </w:r>
            <w:r>
              <w:rPr>
                <w:rFonts w:ascii="Cambria Math" w:hAnsi="Cambria Math" w:cs="Cambria Math" w:eastAsia="Cambria Math"/>
                <w:spacing w:val="15"/>
                <w:position w:val="-4"/>
                <w:sz w:val="17"/>
                <w:szCs w:val="17"/>
              </w:rPr>
              <w:t> </w:t>
            </w:r>
            <w:r>
              <w:rPr>
                <w:rFonts w:ascii="Cambria Math" w:hAnsi="Cambria Math" w:cs="Cambria Math" w:eastAsia="Cambria Math"/>
                <w:spacing w:val="-1"/>
                <w:w w:val="49"/>
                <w:sz w:val="24"/>
                <w:szCs w:val="24"/>
              </w:rPr>
              <w:t>�</w:t>
            </w:r>
            <w:r>
              <w:rPr>
                <w:rFonts w:ascii="Cambria Math" w:hAnsi="Cambria Math" w:cs="Cambria Math" w:eastAsia="Cambria Math"/>
                <w:sz w:val="24"/>
                <w:szCs w:val="24"/>
              </w:rPr>
              <w:t>𝑡</w:t>
            </w:r>
            <w:r>
              <w:rPr>
                <w:rFonts w:ascii="Cambria Math" w:hAnsi="Cambria Math" w:cs="Cambria Math" w:eastAsia="Cambria Math"/>
                <w:spacing w:val="7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sz w:val="24"/>
                <w:szCs w:val="24"/>
              </w:rPr>
              <w:t>−</w:t>
            </w:r>
            <w:r>
              <w:rPr>
                <w:rFonts w:ascii="Cambria Math" w:hAnsi="Cambria Math" w:cs="Cambria Math" w:eastAsia="Cambria Math"/>
                <w:spacing w:val="-1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w w:val="44"/>
                <w:sz w:val="24"/>
                <w:szCs w:val="24"/>
              </w:rPr>
              <w:t>�</w:t>
            </w:r>
            <w:r>
              <w:rPr>
                <w:rFonts w:ascii="Cambria Math" w:hAnsi="Cambria Math" w:cs="Cambria Math" w:eastAsia="Cambria Math"/>
                <w:sz w:val="24"/>
                <w:szCs w:val="24"/>
              </w:rPr>
              <w:t>𝑛</w:t>
            </w:r>
            <w:r>
              <w:rPr>
                <w:rFonts w:ascii="Cambria Math" w:hAnsi="Cambria Math" w:cs="Cambria Math" w:eastAsia="Cambria Math"/>
                <w:spacing w:val="-1"/>
                <w:w w:val="111"/>
                <w:position w:val="-4"/>
                <w:sz w:val="17"/>
                <w:szCs w:val="17"/>
              </w:rPr>
              <w:t>𝑙</w:t>
            </w:r>
            <w:r>
              <w:rPr>
                <w:rFonts w:ascii="Cambria Math" w:hAnsi="Cambria Math" w:cs="Cambria Math" w:eastAsia="Cambria Math"/>
                <w:w w:val="112"/>
                <w:position w:val="-4"/>
                <w:sz w:val="17"/>
                <w:szCs w:val="17"/>
              </w:rPr>
              <w:t>𝑎</w:t>
            </w:r>
            <w:r>
              <w:rPr>
                <w:rFonts w:ascii="Cambria Math" w:hAnsi="Cambria Math" w:cs="Cambria Math" w:eastAsia="Cambria Math"/>
                <w:spacing w:val="12"/>
                <w:w w:val="111"/>
                <w:position w:val="-4"/>
                <w:sz w:val="17"/>
                <w:szCs w:val="17"/>
              </w:rPr>
              <w:t>𝑚</w:t>
            </w:r>
            <w:r>
              <w:rPr>
                <w:rFonts w:ascii="Cambria Math" w:hAnsi="Cambria Math" w:cs="Cambria Math" w:eastAsia="Cambria Math"/>
                <w:spacing w:val="-14"/>
                <w:sz w:val="24"/>
                <w:szCs w:val="24"/>
              </w:rPr>
              <w:t>𝑡</w:t>
            </w:r>
            <w:r>
              <w:rPr>
                <w:rFonts w:ascii="Cambria Math" w:hAnsi="Cambria Math" w:cs="Cambria Math" w:eastAsia="Cambria Math"/>
                <w:w w:val="41"/>
                <w:position w:val="-4"/>
                <w:sz w:val="17"/>
                <w:szCs w:val="17"/>
              </w:rPr>
              <w:t>𝑔𝑔𝑔</w:t>
            </w:r>
            <w:r>
              <w:rPr>
                <w:rFonts w:ascii="Cambria Math" w:hAnsi="Cambria Math" w:cs="Cambria Math" w:eastAsia="Cambria Math"/>
                <w:spacing w:val="14"/>
                <w:w w:val="41"/>
                <w:position w:val="-4"/>
                <w:sz w:val="17"/>
                <w:szCs w:val="17"/>
              </w:rPr>
              <w:t>𝑔</w:t>
            </w:r>
            <w:r>
              <w:rPr>
                <w:rFonts w:ascii="Cambria Math" w:hAnsi="Cambria Math" w:cs="Cambria Math" w:eastAsia="Cambria Math"/>
                <w:w w:val="44"/>
                <w:sz w:val="24"/>
                <w:szCs w:val="24"/>
              </w:rPr>
              <w:t>�</w:t>
            </w:r>
            <w:r>
              <w:rPr>
                <w:rFonts w:ascii="Cambria Math" w:hAnsi="Cambria Math" w:cs="Cambria Math" w:eastAsia="Cambria Math"/>
                <w:w w:val="49"/>
                <w:sz w:val="24"/>
                <w:szCs w:val="24"/>
              </w:rPr>
              <w:t>�</w:t>
            </w:r>
            <w:r>
              <w:rPr>
                <w:rFonts w:ascii="Cambria Math" w:hAnsi="Cambria Math" w:cs="Cambria Math" w:eastAsia="Cambria Math"/>
                <w:sz w:val="24"/>
                <w:szCs w:val="24"/>
              </w:rPr>
              <w:tab/>
            </w:r>
            <w:r>
              <w:rPr>
                <w:rFonts w:ascii="Cambria Math" w:hAnsi="Cambria Math" w:cs="Cambria Math" w:eastAsia="Cambria Math"/>
                <w:w w:val="37"/>
                <w:sz w:val="24"/>
                <w:szCs w:val="24"/>
              </w:rPr>
              <w:t>�</w:t>
            </w:r>
          </w:p>
        </w:tc>
        <w:tc>
          <w:tcPr>
            <w:tcW w:w="1506" w:type="dxa"/>
          </w:tcPr>
          <w:p>
            <w:pPr>
              <w:pStyle w:val="TableParagraph"/>
              <w:spacing w:line="266" w:lineRule="exact"/>
              <w:ind w:left="847"/>
              <w:rPr>
                <w:sz w:val="24"/>
              </w:rPr>
            </w:pPr>
            <w:r>
              <w:rPr>
                <w:sz w:val="24"/>
              </w:rPr>
              <w:t>(2.3)</w:t>
            </w:r>
          </w:p>
        </w:tc>
      </w:tr>
      <w:tr>
        <w:trPr>
          <w:trHeight w:val="836" w:hRule="atLeast"/>
        </w:trPr>
        <w:tc>
          <w:tcPr>
            <w:tcW w:w="1857" w:type="dxa"/>
          </w:tcPr>
          <w:p>
            <w:pPr>
              <w:pStyle w:val="TableParagraph"/>
              <w:spacing w:before="5"/>
              <w:rPr>
                <w:sz w:val="21"/>
              </w:rPr>
            </w:pPr>
          </w:p>
          <w:p>
            <w:pPr>
              <w:pStyle w:val="TableParagraph"/>
              <w:ind w:left="1122"/>
              <w:rPr>
                <w:sz w:val="24"/>
              </w:rPr>
            </w:pPr>
            <w:r>
              <w:rPr>
                <w:sz w:val="24"/>
              </w:rPr>
              <w:t>where</w:t>
            </w:r>
          </w:p>
        </w:tc>
        <w:tc>
          <w:tcPr>
            <w:tcW w:w="2030" w:type="dxa"/>
          </w:tcPr>
          <w:p>
            <w:pPr>
              <w:pStyle w:val="TableParagraph"/>
              <w:spacing w:before="10"/>
              <w:rPr>
                <w:sz w:val="19"/>
              </w:rPr>
            </w:pPr>
          </w:p>
          <w:p>
            <w:pPr>
              <w:pStyle w:val="TableParagraph"/>
              <w:spacing w:line="138" w:lineRule="exact"/>
              <w:ind w:right="335"/>
              <w:jc w:val="right"/>
              <w:rPr>
                <w:rFonts w:ascii="Cambria Math"/>
                <w:sz w:val="17"/>
              </w:rPr>
            </w:pPr>
            <w:r>
              <w:rPr>
                <w:rFonts w:ascii="Cambria Math"/>
                <w:w w:val="105"/>
                <w:sz w:val="17"/>
              </w:rPr>
              <w:t>1.23</w:t>
            </w:r>
          </w:p>
          <w:p>
            <w:pPr>
              <w:pStyle w:val="TableParagraph"/>
              <w:tabs>
                <w:tab w:pos="847" w:val="left" w:leader="none"/>
              </w:tabs>
              <w:spacing w:line="28" w:lineRule="auto" w:before="42"/>
              <w:ind w:left="147"/>
              <w:rPr>
                <w:rFonts w:ascii="Cambria Math" w:hAnsi="Cambria Math" w:eastAsia="Cambria Math"/>
                <w:sz w:val="14"/>
              </w:rPr>
            </w:pPr>
            <w:r>
              <w:rPr>
                <w:rFonts w:ascii="Cambria Math" w:hAnsi="Cambria Math" w:eastAsia="Cambria Math"/>
                <w:w w:val="115"/>
                <w:position w:val="-10"/>
                <w:sz w:val="24"/>
              </w:rPr>
              <w:t>𝑡</w:t>
              <w:tab/>
            </w:r>
            <w:r>
              <w:rPr>
                <w:rFonts w:ascii="Cambria Math" w:hAnsi="Cambria Math" w:eastAsia="Cambria Math"/>
                <w:w w:val="115"/>
                <w:position w:val="3"/>
                <w:sz w:val="17"/>
                <w:u w:val="single"/>
              </w:rPr>
              <w:t>ℎ</w:t>
            </w:r>
            <w:r>
              <w:rPr>
                <w:rFonts w:ascii="Cambria Math" w:hAnsi="Cambria Math" w:eastAsia="Cambria Math"/>
                <w:w w:val="115"/>
                <w:sz w:val="14"/>
                <w:u w:val="single"/>
              </w:rPr>
              <w:t>𝑙𝑎𝑚</w:t>
            </w:r>
          </w:p>
          <w:p>
            <w:pPr>
              <w:pStyle w:val="TableParagraph"/>
              <w:tabs>
                <w:tab w:pos="1249" w:val="left" w:leader="none"/>
                <w:tab w:pos="1760" w:val="left" w:leader="none"/>
              </w:tabs>
              <w:spacing w:line="91" w:lineRule="exact"/>
              <w:ind w:left="229"/>
              <w:rPr>
                <w:i/>
                <w:iCs/>
                <w:sz w:val="24"/>
                <w:szCs w:val="24"/>
              </w:rPr>
            </w:pPr>
            <w:r>
              <w:rPr>
                <w:rFonts w:ascii="Cambria Math" w:hAnsi="Cambria Math" w:cs="Cambria Math" w:eastAsia="Cambria Math"/>
                <w:w w:val="70"/>
                <w:sz w:val="24"/>
                <w:szCs w:val="24"/>
                <w:vertAlign w:val="subscript"/>
              </w:rPr>
              <w:t>𝑔𝑔𝑔𝑔</w:t>
            </w:r>
            <w:r>
              <w:rPr>
                <w:rFonts w:ascii="Cambria Math" w:hAnsi="Cambria Math" w:cs="Cambria Math" w:eastAsia="Cambria Math"/>
                <w:spacing w:val="17"/>
                <w:w w:val="70"/>
                <w:sz w:val="24"/>
                <w:szCs w:val="24"/>
                <w:vertAlign w:val="baseline"/>
              </w:rPr>
              <w:t> </w:t>
            </w:r>
            <w:r>
              <w:rPr>
                <w:rFonts w:ascii="Cambria Math" w:hAnsi="Cambria Math" w:cs="Cambria Math" w:eastAsia="Cambria Math"/>
                <w:w w:val="75"/>
                <w:sz w:val="24"/>
                <w:szCs w:val="24"/>
                <w:vertAlign w:val="baseline"/>
              </w:rPr>
              <w:t>=</w:t>
            </w:r>
            <w:r>
              <w:rPr>
                <w:rFonts w:ascii="Cambria Math" w:hAnsi="Cambria Math" w:cs="Cambria Math" w:eastAsia="Cambria Math"/>
                <w:spacing w:val="3"/>
                <w:w w:val="75"/>
                <w:sz w:val="24"/>
                <w:szCs w:val="24"/>
                <w:vertAlign w:val="baseline"/>
              </w:rPr>
              <w:t> </w:t>
            </w:r>
            <w:r>
              <w:rPr>
                <w:rFonts w:ascii="Cambria Math" w:hAnsi="Cambria Math" w:cs="Cambria Math" w:eastAsia="Cambria Math"/>
                <w:w w:val="70"/>
                <w:sz w:val="24"/>
                <w:szCs w:val="24"/>
                <w:vertAlign w:val="baseline"/>
              </w:rPr>
              <w:t>�</w:t>
              <w:tab/>
              <w:t>�</w:t>
              <w:tab/>
            </w:r>
            <w:r>
              <w:rPr>
                <w:i/>
                <w:iCs/>
                <w:w w:val="90"/>
                <w:sz w:val="24"/>
                <w:szCs w:val="24"/>
                <w:vertAlign w:val="baseline"/>
              </w:rPr>
              <w:t>=</w:t>
            </w:r>
          </w:p>
          <w:p>
            <w:pPr>
              <w:pStyle w:val="TableParagraph"/>
              <w:spacing w:line="176" w:lineRule="exact"/>
              <w:ind w:left="59"/>
              <w:jc w:val="center"/>
              <w:rPr>
                <w:rFonts w:ascii="Cambria Math" w:eastAsia="Cambria Math"/>
                <w:sz w:val="14"/>
              </w:rPr>
            </w:pPr>
            <w:r>
              <w:rPr>
                <w:rFonts w:ascii="Cambria Math" w:eastAsia="Cambria Math"/>
                <w:w w:val="120"/>
                <w:sz w:val="17"/>
              </w:rPr>
              <w:t>𝛽</w:t>
            </w:r>
            <w:r>
              <w:rPr>
                <w:rFonts w:ascii="Cambria Math" w:eastAsia="Cambria Math"/>
                <w:w w:val="120"/>
                <w:position w:val="-2"/>
                <w:sz w:val="14"/>
              </w:rPr>
              <w:t>𝑛</w:t>
            </w:r>
          </w:p>
        </w:tc>
        <w:tc>
          <w:tcPr>
            <w:tcW w:w="3597" w:type="dxa"/>
            <w:gridSpan w:val="2"/>
          </w:tcPr>
          <w:p>
            <w:pPr>
              <w:pStyle w:val="TableParagraph"/>
              <w:spacing w:line="290" w:lineRule="atLeast" w:before="232"/>
              <w:ind w:left="108" w:right="712"/>
              <w:rPr>
                <w:sz w:val="24"/>
              </w:rPr>
            </w:pPr>
            <w:r>
              <w:rPr>
                <w:sz w:val="24"/>
              </w:rPr>
              <w:t>the time for the char front to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reach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glued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interface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(hours)</w:t>
            </w:r>
          </w:p>
        </w:tc>
      </w:tr>
      <w:tr>
        <w:trPr>
          <w:trHeight w:val="298" w:hRule="atLeast"/>
        </w:trPr>
        <w:tc>
          <w:tcPr>
            <w:tcW w:w="185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030" w:type="dxa"/>
          </w:tcPr>
          <w:p>
            <w:pPr>
              <w:pStyle w:val="TableParagraph"/>
              <w:spacing w:line="272" w:lineRule="exact" w:before="6"/>
              <w:ind w:right="105"/>
              <w:jc w:val="right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h</w:t>
            </w:r>
            <w:r>
              <w:rPr>
                <w:i/>
                <w:sz w:val="16"/>
              </w:rPr>
              <w:t>lam</w:t>
            </w:r>
            <w:r>
              <w:rPr>
                <w:i/>
                <w:spacing w:val="-2"/>
                <w:sz w:val="16"/>
              </w:rPr>
              <w:t> </w:t>
            </w:r>
            <w:r>
              <w:rPr>
                <w:i/>
                <w:sz w:val="16"/>
              </w:rPr>
              <w:t>=</w:t>
            </w:r>
          </w:p>
        </w:tc>
        <w:tc>
          <w:tcPr>
            <w:tcW w:w="3597" w:type="dxa"/>
            <w:gridSpan w:val="2"/>
          </w:tcPr>
          <w:p>
            <w:pPr>
              <w:pStyle w:val="TableParagraph"/>
              <w:spacing w:line="272" w:lineRule="exact" w:before="5"/>
              <w:ind w:left="108"/>
              <w:rPr>
                <w:sz w:val="24"/>
              </w:rPr>
            </w:pPr>
            <w:r>
              <w:rPr>
                <w:sz w:val="24"/>
              </w:rPr>
              <w:t>lamination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thickness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(inches)</w:t>
            </w:r>
          </w:p>
        </w:tc>
      </w:tr>
      <w:tr>
        <w:trPr>
          <w:trHeight w:val="593" w:hRule="atLeast"/>
        </w:trPr>
        <w:tc>
          <w:tcPr>
            <w:tcW w:w="185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030" w:type="dxa"/>
          </w:tcPr>
          <w:p>
            <w:pPr>
              <w:pStyle w:val="TableParagraph"/>
              <w:spacing w:before="6"/>
              <w:ind w:right="105"/>
              <w:jc w:val="right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β</w:t>
            </w:r>
            <w:r>
              <w:rPr>
                <w:i/>
                <w:sz w:val="16"/>
              </w:rPr>
              <w:t>n</w:t>
            </w:r>
            <w:r>
              <w:rPr>
                <w:i/>
                <w:spacing w:val="-1"/>
                <w:sz w:val="16"/>
              </w:rPr>
              <w:t> </w:t>
            </w:r>
            <w:r>
              <w:rPr>
                <w:i/>
                <w:sz w:val="16"/>
              </w:rPr>
              <w:t>=</w:t>
            </w:r>
          </w:p>
        </w:tc>
        <w:tc>
          <w:tcPr>
            <w:tcW w:w="3597" w:type="dxa"/>
            <w:gridSpan w:val="2"/>
          </w:tcPr>
          <w:p>
            <w:pPr>
              <w:pStyle w:val="TableParagraph"/>
              <w:spacing w:before="5"/>
              <w:ind w:left="108"/>
              <w:rPr>
                <w:sz w:val="24"/>
              </w:rPr>
            </w:pPr>
            <w:r>
              <w:rPr>
                <w:sz w:val="24"/>
              </w:rPr>
              <w:t>nominal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char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rate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(inches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per</w:t>
            </w:r>
          </w:p>
          <w:p>
            <w:pPr>
              <w:pStyle w:val="TableParagraph"/>
              <w:spacing w:line="270" w:lineRule="exact" w:before="21"/>
              <w:ind w:left="108"/>
              <w:rPr>
                <w:sz w:val="24"/>
              </w:rPr>
            </w:pPr>
            <w:r>
              <w:rPr>
                <w:sz w:val="24"/>
              </w:rPr>
              <w:t>hour),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based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on 1-hour exposure</w:t>
            </w:r>
          </w:p>
        </w:tc>
      </w:tr>
      <w:tr>
        <w:trPr>
          <w:trHeight w:val="597" w:hRule="atLeast"/>
        </w:trPr>
        <w:tc>
          <w:tcPr>
            <w:tcW w:w="185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030" w:type="dxa"/>
          </w:tcPr>
          <w:p>
            <w:pPr>
              <w:pStyle w:val="TableParagraph"/>
              <w:tabs>
                <w:tab w:pos="1115" w:val="left" w:leader="none"/>
              </w:tabs>
              <w:spacing w:line="258" w:lineRule="exact"/>
              <w:ind w:left="573"/>
              <w:jc w:val="center"/>
              <w:rPr>
                <w:i/>
                <w:sz w:val="24"/>
              </w:rPr>
            </w:pPr>
            <w:r>
              <w:rPr>
                <w:rFonts w:ascii="Cambria Math" w:eastAsia="Cambria Math"/>
                <w:sz w:val="24"/>
              </w:rPr>
              <w:t>𝑛</w:t>
              <w:tab/>
              <w:t>=</w:t>
            </w:r>
            <w:r>
              <w:rPr>
                <w:rFonts w:ascii="Cambria Math" w:eastAsia="Cambria Math"/>
                <w:spacing w:val="91"/>
                <w:sz w:val="24"/>
              </w:rPr>
              <w:t> </w:t>
            </w:r>
            <w:r>
              <w:rPr>
                <w:rFonts w:ascii="Cambria Math" w:eastAsia="Cambria Math"/>
                <w:position w:val="14"/>
                <w:sz w:val="17"/>
              </w:rPr>
              <w:t>𝑡</w:t>
            </w:r>
            <w:r>
              <w:rPr>
                <w:rFonts w:ascii="Cambria Math" w:eastAsia="Cambria Math"/>
                <w:spacing w:val="70"/>
                <w:position w:val="14"/>
                <w:sz w:val="17"/>
              </w:rPr>
              <w:t> </w:t>
            </w:r>
            <w:r>
              <w:rPr>
                <w:i/>
                <w:sz w:val="24"/>
              </w:rPr>
              <w:t>=</w:t>
            </w:r>
          </w:p>
          <w:p>
            <w:pPr>
              <w:pStyle w:val="TableParagraph"/>
              <w:tabs>
                <w:tab w:pos="1133" w:val="left" w:leader="none"/>
              </w:tabs>
              <w:spacing w:line="115" w:lineRule="auto"/>
              <w:ind w:left="483"/>
              <w:jc w:val="center"/>
              <w:rPr>
                <w:rFonts w:ascii="Cambria Math" w:eastAsia="Cambria Math"/>
                <w:sz w:val="14"/>
              </w:rPr>
            </w:pPr>
            <w:r>
              <w:rPr>
                <w:rFonts w:ascii="Cambria Math" w:eastAsia="Cambria Math"/>
                <w:sz w:val="17"/>
              </w:rPr>
              <w:t>𝑙𝑎𝑚</w:t>
              <w:tab/>
            </w:r>
            <w:r>
              <w:rPr>
                <w:rFonts w:ascii="Cambria Math" w:eastAsia="Cambria Math"/>
                <w:position w:val="-6"/>
                <w:sz w:val="17"/>
              </w:rPr>
              <w:t>𝑡</w:t>
            </w:r>
            <w:r>
              <w:rPr>
                <w:rFonts w:ascii="Cambria Math" w:eastAsia="Cambria Math"/>
                <w:position w:val="-10"/>
                <w:sz w:val="14"/>
              </w:rPr>
              <w:t>𝑔𝑔𝑔</w:t>
            </w:r>
          </w:p>
        </w:tc>
        <w:tc>
          <w:tcPr>
            <w:tcW w:w="3597" w:type="dxa"/>
            <w:gridSpan w:val="2"/>
          </w:tcPr>
          <w:p>
            <w:pPr>
              <w:pStyle w:val="TableParagraph"/>
              <w:spacing w:before="7"/>
              <w:ind w:left="108"/>
              <w:rPr>
                <w:sz w:val="24"/>
              </w:rPr>
            </w:pPr>
            <w:r>
              <w:rPr>
                <w:sz w:val="24"/>
              </w:rPr>
              <w:t>number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laminations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charred</w:t>
            </w:r>
          </w:p>
          <w:p>
            <w:pPr>
              <w:pStyle w:val="TableParagraph"/>
              <w:spacing w:line="272" w:lineRule="exact" w:before="23"/>
              <w:ind w:left="108"/>
              <w:rPr>
                <w:sz w:val="24"/>
              </w:rPr>
            </w:pPr>
            <w:r>
              <w:rPr>
                <w:sz w:val="24"/>
              </w:rPr>
              <w:t>(rounded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lowest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integer)</w:t>
            </w:r>
          </w:p>
        </w:tc>
      </w:tr>
      <w:tr>
        <w:trPr>
          <w:trHeight w:val="282" w:hRule="atLeast"/>
        </w:trPr>
        <w:tc>
          <w:tcPr>
            <w:tcW w:w="185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030" w:type="dxa"/>
          </w:tcPr>
          <w:p>
            <w:pPr>
              <w:pStyle w:val="TableParagraph"/>
              <w:spacing w:line="256" w:lineRule="exact" w:before="7"/>
              <w:ind w:right="105"/>
              <w:jc w:val="right"/>
              <w:rPr>
                <w:i/>
                <w:sz w:val="24"/>
              </w:rPr>
            </w:pPr>
            <w:r>
              <w:rPr>
                <w:i/>
                <w:sz w:val="24"/>
              </w:rPr>
              <w:t>t =</w:t>
            </w:r>
          </w:p>
        </w:tc>
        <w:tc>
          <w:tcPr>
            <w:tcW w:w="3597" w:type="dxa"/>
            <w:gridSpan w:val="2"/>
          </w:tcPr>
          <w:p>
            <w:pPr>
              <w:pStyle w:val="TableParagraph"/>
              <w:spacing w:line="257" w:lineRule="exact" w:before="5"/>
              <w:ind w:left="108"/>
              <w:rPr>
                <w:sz w:val="24"/>
              </w:rPr>
            </w:pPr>
            <w:r>
              <w:rPr>
                <w:sz w:val="24"/>
              </w:rPr>
              <w:t>exposure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time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(hours)</w:t>
            </w:r>
          </w:p>
        </w:tc>
      </w:tr>
    </w:tbl>
    <w:p>
      <w:pPr>
        <w:spacing w:after="0" w:line="257" w:lineRule="exact"/>
        <w:rPr>
          <w:sz w:val="24"/>
        </w:rPr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40" w:right="257" w:firstLine="720"/>
        <w:jc w:val="both"/>
      </w:pPr>
      <w:r>
        <w:rPr/>
        <w:t>Some</w:t>
      </w:r>
      <w:r>
        <w:rPr>
          <w:spacing w:val="1"/>
        </w:rPr>
        <w:t> </w:t>
      </w:r>
      <w:r>
        <w:rPr/>
        <w:t>CLT</w:t>
      </w:r>
      <w:r>
        <w:rPr>
          <w:spacing w:val="1"/>
        </w:rPr>
        <w:t> </w:t>
      </w:r>
      <w:r>
        <w:rPr/>
        <w:t>manufacturers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working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products</w:t>
      </w:r>
      <w:r>
        <w:rPr>
          <w:spacing w:val="1"/>
        </w:rPr>
        <w:t> </w:t>
      </w:r>
      <w:r>
        <w:rPr/>
        <w:t>fire-rated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Underwriters</w:t>
      </w:r>
      <w:r>
        <w:rPr>
          <w:spacing w:val="1"/>
        </w:rPr>
        <w:t> </w:t>
      </w:r>
      <w:r>
        <w:rPr/>
        <w:t>Laboratory</w:t>
      </w:r>
      <w:r>
        <w:rPr>
          <w:spacing w:val="1"/>
        </w:rPr>
        <w:t> </w:t>
      </w:r>
      <w:r>
        <w:rPr/>
        <w:t>(UL)</w:t>
      </w:r>
      <w:r>
        <w:rPr>
          <w:spacing w:val="1"/>
        </w:rPr>
        <w:t> </w:t>
      </w:r>
      <w:r>
        <w:rPr/>
        <w:t>Standards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fire</w:t>
      </w:r>
      <w:r>
        <w:rPr>
          <w:spacing w:val="1"/>
        </w:rPr>
        <w:t> </w:t>
      </w:r>
      <w:r>
        <w:rPr/>
        <w:t>rated</w:t>
      </w:r>
      <w:r>
        <w:rPr>
          <w:spacing w:val="1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building</w:t>
      </w:r>
      <w:r>
        <w:rPr>
          <w:spacing w:val="1"/>
        </w:rPr>
        <w:t> </w:t>
      </w:r>
      <w:r>
        <w:rPr/>
        <w:t>construction.</w:t>
      </w:r>
      <w:r>
        <w:rPr>
          <w:spacing w:val="1"/>
        </w:rPr>
        <w:t> </w:t>
      </w:r>
      <w:r>
        <w:rPr/>
        <w:t>In fire performance research, the behavior of CLT is highly influenced by</w:t>
      </w:r>
      <w:r>
        <w:rPr>
          <w:spacing w:val="1"/>
        </w:rPr>
        <w:t> </w:t>
      </w:r>
      <w:r>
        <w:rPr/>
        <w:t>the</w:t>
      </w:r>
      <w:r>
        <w:rPr>
          <w:spacing w:val="-6"/>
        </w:rPr>
        <w:t> </w:t>
      </w:r>
      <w:r>
        <w:rPr/>
        <w:t>specific</w:t>
      </w:r>
      <w:r>
        <w:rPr>
          <w:spacing w:val="-7"/>
        </w:rPr>
        <w:t> </w:t>
      </w:r>
      <w:r>
        <w:rPr/>
        <w:t>adhesive</w:t>
      </w:r>
      <w:r>
        <w:rPr>
          <w:spacing w:val="-5"/>
        </w:rPr>
        <w:t> </w:t>
      </w:r>
      <w:r>
        <w:rPr/>
        <w:t>used</w:t>
      </w:r>
      <w:r>
        <w:rPr>
          <w:spacing w:val="-6"/>
        </w:rPr>
        <w:t> </w:t>
      </w:r>
      <w:r>
        <w:rPr/>
        <w:t>to</w:t>
      </w:r>
      <w:r>
        <w:rPr>
          <w:spacing w:val="-5"/>
        </w:rPr>
        <w:t> </w:t>
      </w:r>
      <w:r>
        <w:rPr/>
        <w:t>manufacture</w:t>
      </w:r>
      <w:r>
        <w:rPr>
          <w:spacing w:val="-7"/>
        </w:rPr>
        <w:t> </w:t>
      </w:r>
      <w:r>
        <w:rPr/>
        <w:t>the</w:t>
      </w:r>
      <w:r>
        <w:rPr>
          <w:spacing w:val="-5"/>
        </w:rPr>
        <w:t> </w:t>
      </w:r>
      <w:r>
        <w:rPr/>
        <w:t>CLT,</w:t>
      </w:r>
      <w:r>
        <w:rPr>
          <w:spacing w:val="-6"/>
        </w:rPr>
        <w:t> </w:t>
      </w:r>
      <w:r>
        <w:rPr/>
        <w:t>which</w:t>
      </w:r>
      <w:r>
        <w:rPr>
          <w:spacing w:val="-5"/>
        </w:rPr>
        <w:t> </w:t>
      </w:r>
      <w:r>
        <w:rPr/>
        <w:t>explains</w:t>
      </w:r>
      <w:r>
        <w:rPr>
          <w:spacing w:val="-7"/>
        </w:rPr>
        <w:t> </w:t>
      </w:r>
      <w:r>
        <w:rPr/>
        <w:t>the</w:t>
      </w:r>
      <w:r>
        <w:rPr>
          <w:spacing w:val="-5"/>
        </w:rPr>
        <w:t> </w:t>
      </w:r>
      <w:r>
        <w:rPr/>
        <w:t>additional</w:t>
      </w:r>
      <w:r>
        <w:rPr>
          <w:spacing w:val="-6"/>
        </w:rPr>
        <w:t> </w:t>
      </w:r>
      <w:r>
        <w:rPr/>
        <w:t>standard</w:t>
      </w:r>
      <w:r>
        <w:rPr>
          <w:spacing w:val="-58"/>
        </w:rPr>
        <w:t> </w:t>
      </w:r>
      <w:r>
        <w:rPr/>
        <w:t>for the adhesives used in CLT to meet the structural plywood heat-rating standards. Some</w:t>
      </w:r>
      <w:r>
        <w:rPr>
          <w:spacing w:val="-57"/>
        </w:rPr>
        <w:t> </w:t>
      </w:r>
      <w:r>
        <w:rPr/>
        <w:t>undesirable adhesives fail under extreme heat conditions causing the burning layer to</w:t>
      </w:r>
      <w:r>
        <w:rPr>
          <w:spacing w:val="1"/>
        </w:rPr>
        <w:t> </w:t>
      </w:r>
      <w:r>
        <w:rPr/>
        <w:t>detach</w:t>
      </w:r>
      <w:r>
        <w:rPr>
          <w:spacing w:val="-5"/>
        </w:rPr>
        <w:t> </w:t>
      </w:r>
      <w:r>
        <w:rPr/>
        <w:t>thereby</w:t>
      </w:r>
      <w:r>
        <w:rPr>
          <w:spacing w:val="-4"/>
        </w:rPr>
        <w:t> </w:t>
      </w:r>
      <w:r>
        <w:rPr/>
        <w:t>eliminating</w:t>
      </w:r>
      <w:r>
        <w:rPr>
          <w:spacing w:val="-5"/>
        </w:rPr>
        <w:t> </w:t>
      </w:r>
      <w:r>
        <w:rPr/>
        <w:t>that</w:t>
      </w:r>
      <w:r>
        <w:rPr>
          <w:spacing w:val="-3"/>
        </w:rPr>
        <w:t> </w:t>
      </w:r>
      <w:r>
        <w:rPr/>
        <w:t>protective</w:t>
      </w:r>
      <w:r>
        <w:rPr>
          <w:spacing w:val="-5"/>
        </w:rPr>
        <w:t> </w:t>
      </w:r>
      <w:r>
        <w:rPr/>
        <w:t>charcoaled</w:t>
      </w:r>
      <w:r>
        <w:rPr>
          <w:spacing w:val="-4"/>
        </w:rPr>
        <w:t> </w:t>
      </w:r>
      <w:r>
        <w:rPr/>
        <w:t>layer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charred</w:t>
      </w:r>
      <w:r>
        <w:rPr>
          <w:spacing w:val="-5"/>
        </w:rPr>
        <w:t> </w:t>
      </w:r>
      <w:r>
        <w:rPr/>
        <w:t>wood,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/>
        <w:t>exposing</w:t>
      </w:r>
      <w:r>
        <w:rPr>
          <w:spacing w:val="-57"/>
        </w:rPr>
        <w:t> </w:t>
      </w:r>
      <w:r>
        <w:rPr/>
        <w:t>the next layer of the composite product to the fire [51].</w:t>
      </w:r>
      <w:r>
        <w:rPr>
          <w:spacing w:val="1"/>
        </w:rPr>
        <w:t> </w:t>
      </w:r>
      <w:r>
        <w:rPr/>
        <w:t>When adhesives that can tolerate</w:t>
      </w:r>
      <w:r>
        <w:rPr>
          <w:spacing w:val="1"/>
        </w:rPr>
        <w:t> </w:t>
      </w:r>
      <w:r>
        <w:rPr/>
        <w:t>high</w:t>
      </w:r>
      <w:r>
        <w:rPr>
          <w:spacing w:val="-1"/>
        </w:rPr>
        <w:t> </w:t>
      </w:r>
      <w:r>
        <w:rPr/>
        <w:t>heats</w:t>
      </w:r>
      <w:r>
        <w:rPr>
          <w:spacing w:val="-1"/>
        </w:rPr>
        <w:t> </w:t>
      </w:r>
      <w:r>
        <w:rPr/>
        <w:t>are</w:t>
      </w:r>
      <w:r>
        <w:rPr>
          <w:spacing w:val="-1"/>
        </w:rPr>
        <w:t> </w:t>
      </w:r>
      <w:r>
        <w:rPr/>
        <w:t>used,</w:t>
      </w:r>
      <w:r>
        <w:rPr>
          <w:spacing w:val="-1"/>
        </w:rPr>
        <w:t> </w:t>
      </w:r>
      <w:r>
        <w:rPr/>
        <w:t>the performance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CLT</w:t>
      </w:r>
      <w:r>
        <w:rPr>
          <w:spacing w:val="-2"/>
        </w:rPr>
        <w:t> </w:t>
      </w:r>
      <w:r>
        <w:rPr/>
        <w:t>is similar</w:t>
      </w:r>
      <w:r>
        <w:rPr>
          <w:spacing w:val="-1"/>
        </w:rPr>
        <w:t> </w:t>
      </w:r>
      <w:r>
        <w:rPr/>
        <w:t>to</w:t>
      </w:r>
      <w:r>
        <w:rPr>
          <w:spacing w:val="-3"/>
        </w:rPr>
        <w:t> </w:t>
      </w:r>
      <w:r>
        <w:rPr/>
        <w:t>that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a solid</w:t>
      </w:r>
      <w:r>
        <w:rPr>
          <w:spacing w:val="-1"/>
        </w:rPr>
        <w:t> </w:t>
      </w:r>
      <w:r>
        <w:rPr/>
        <w:t>timber</w:t>
      </w:r>
      <w:r>
        <w:rPr>
          <w:spacing w:val="-1"/>
        </w:rPr>
        <w:t> </w:t>
      </w:r>
      <w:r>
        <w:rPr/>
        <w:t>panel.</w:t>
      </w:r>
    </w:p>
    <w:p>
      <w:pPr>
        <w:pStyle w:val="BodyText"/>
        <w:spacing w:line="480" w:lineRule="auto" w:before="160"/>
        <w:ind w:left="439" w:right="257" w:firstLine="720"/>
        <w:jc w:val="both"/>
      </w:pPr>
      <w:r>
        <w:rPr/>
        <w:t>Additionally, CLT, as a panelized construction system, reduces the ability of the</w:t>
      </w:r>
      <w:r>
        <w:rPr>
          <w:spacing w:val="1"/>
        </w:rPr>
        <w:t> </w:t>
      </w:r>
      <w:r>
        <w:rPr/>
        <w:t>fire to spread either through concealed spaces such as ventilation ducts or utility corridors</w:t>
      </w:r>
      <w:r>
        <w:rPr>
          <w:spacing w:val="-57"/>
        </w:rPr>
        <w:t> </w:t>
      </w:r>
      <w:r>
        <w:rPr/>
        <w:t>or between panels due to the inherent tightness of the system.</w:t>
      </w:r>
      <w:r>
        <w:rPr>
          <w:spacing w:val="1"/>
        </w:rPr>
        <w:t> </w:t>
      </w:r>
      <w:r>
        <w:rPr/>
        <w:t>Recent long duration fire</w:t>
      </w:r>
      <w:r>
        <w:rPr>
          <w:spacing w:val="1"/>
        </w:rPr>
        <w:t> </w:t>
      </w:r>
      <w:r>
        <w:rPr/>
        <w:t>testing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exposed</w:t>
      </w:r>
      <w:r>
        <w:rPr>
          <w:spacing w:val="1"/>
        </w:rPr>
        <w:t> </w:t>
      </w:r>
      <w:r>
        <w:rPr/>
        <w:t>CLT</w:t>
      </w:r>
      <w:r>
        <w:rPr>
          <w:spacing w:val="1"/>
        </w:rPr>
        <w:t> </w:t>
      </w:r>
      <w:r>
        <w:rPr/>
        <w:t>showed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ability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CLT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self-extinguish</w:t>
      </w:r>
      <w:r>
        <w:rPr>
          <w:spacing w:val="1"/>
        </w:rPr>
        <w:t> </w:t>
      </w:r>
      <w:r>
        <w:rPr/>
        <w:t>after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furnishings</w:t>
      </w:r>
      <w:r>
        <w:rPr>
          <w:spacing w:val="-11"/>
        </w:rPr>
        <w:t> </w:t>
      </w:r>
      <w:r>
        <w:rPr/>
        <w:t>and</w:t>
      </w:r>
      <w:r>
        <w:rPr>
          <w:spacing w:val="-9"/>
        </w:rPr>
        <w:t> </w:t>
      </w:r>
      <w:r>
        <w:rPr/>
        <w:t>room</w:t>
      </w:r>
      <w:r>
        <w:rPr>
          <w:spacing w:val="-12"/>
        </w:rPr>
        <w:t> </w:t>
      </w:r>
      <w:r>
        <w:rPr/>
        <w:t>contents</w:t>
      </w:r>
      <w:r>
        <w:rPr>
          <w:spacing w:val="-10"/>
        </w:rPr>
        <w:t> </w:t>
      </w:r>
      <w:r>
        <w:rPr/>
        <w:t>were</w:t>
      </w:r>
      <w:r>
        <w:rPr>
          <w:spacing w:val="-10"/>
        </w:rPr>
        <w:t> </w:t>
      </w:r>
      <w:r>
        <w:rPr/>
        <w:t>consumed</w:t>
      </w:r>
      <w:r>
        <w:rPr>
          <w:spacing w:val="-10"/>
        </w:rPr>
        <w:t> </w:t>
      </w:r>
      <w:r>
        <w:rPr/>
        <w:t>[71].</w:t>
      </w:r>
      <w:r>
        <w:rPr>
          <w:spacing w:val="44"/>
        </w:rPr>
        <w:t> </w:t>
      </w:r>
      <w:r>
        <w:rPr/>
        <w:t>With</w:t>
      </w:r>
      <w:r>
        <w:rPr>
          <w:spacing w:val="-10"/>
        </w:rPr>
        <w:t> </w:t>
      </w:r>
      <w:r>
        <w:rPr/>
        <w:t>proper</w:t>
      </w:r>
      <w:r>
        <w:rPr>
          <w:spacing w:val="-8"/>
        </w:rPr>
        <w:t> </w:t>
      </w:r>
      <w:r>
        <w:rPr/>
        <w:t>engineering</w:t>
      </w:r>
      <w:r>
        <w:rPr>
          <w:spacing w:val="-10"/>
        </w:rPr>
        <w:t> </w:t>
      </w:r>
      <w:r>
        <w:rPr/>
        <w:t>design,</w:t>
      </w:r>
      <w:r>
        <w:rPr>
          <w:spacing w:val="-10"/>
        </w:rPr>
        <w:t> </w:t>
      </w:r>
      <w:r>
        <w:rPr/>
        <w:t>CLT</w:t>
      </w:r>
      <w:r>
        <w:rPr>
          <w:spacing w:val="-58"/>
        </w:rPr>
        <w:t> </w:t>
      </w:r>
      <w:r>
        <w:rPr/>
        <w:t>buildings can limit fire spread and damage even though wood is inherently flammable.</w:t>
      </w:r>
      <w:r>
        <w:rPr>
          <w:spacing w:val="1"/>
        </w:rPr>
        <w:t> </w:t>
      </w:r>
      <w:r>
        <w:rPr/>
        <w:t>The 2015 International Building Code permits CLT in exterior wall assemblies with a 2-</w:t>
      </w:r>
      <w:r>
        <w:rPr>
          <w:spacing w:val="1"/>
        </w:rPr>
        <w:t> </w:t>
      </w:r>
      <w:r>
        <w:rPr/>
        <w:t>hour fire rating or less under the conditions that the CLT is protected by fire-retardant-</w:t>
      </w:r>
      <w:r>
        <w:rPr>
          <w:spacing w:val="1"/>
        </w:rPr>
        <w:t> </w:t>
      </w:r>
      <w:r>
        <w:rPr/>
        <w:t>treated wood sheathing not less than 15/32-inch thick, gypsum board not less than ½-inch</w:t>
      </w:r>
      <w:r>
        <w:rPr>
          <w:spacing w:val="-57"/>
        </w:rPr>
        <w:t> </w:t>
      </w:r>
      <w:r>
        <w:rPr/>
        <w:t>thick, or a non-combustible material [16]. Loadbearing interior walls of CLT require one-</w:t>
      </w:r>
      <w:r>
        <w:rPr>
          <w:spacing w:val="-57"/>
        </w:rPr>
        <w:t> </w:t>
      </w:r>
      <w:r>
        <w:rPr/>
        <w:t>hour</w:t>
      </w:r>
      <w:r>
        <w:rPr>
          <w:spacing w:val="-1"/>
        </w:rPr>
        <w:t> </w:t>
      </w:r>
      <w:r>
        <w:rPr/>
        <w:t>fire-resistance rating and</w:t>
      </w:r>
      <w:r>
        <w:rPr>
          <w:spacing w:val="-1"/>
        </w:rPr>
        <w:t> </w:t>
      </w:r>
      <w:r>
        <w:rPr/>
        <w:t>a minimum</w:t>
      </w:r>
      <w:r>
        <w:rPr>
          <w:spacing w:val="-2"/>
        </w:rPr>
        <w:t> </w:t>
      </w:r>
      <w:r>
        <w:rPr/>
        <w:t>thickness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4-inches [68].</w:t>
      </w:r>
    </w:p>
    <w:p>
      <w:pPr>
        <w:pStyle w:val="ListParagraph"/>
        <w:numPr>
          <w:ilvl w:val="2"/>
          <w:numId w:val="16"/>
        </w:numPr>
        <w:tabs>
          <w:tab w:pos="980" w:val="left" w:leader="none"/>
        </w:tabs>
        <w:spacing w:line="240" w:lineRule="auto" w:before="161" w:after="0"/>
        <w:ind w:left="980" w:right="0" w:hanging="541"/>
        <w:jc w:val="both"/>
        <w:rPr>
          <w:i/>
          <w:sz w:val="24"/>
        </w:rPr>
      </w:pPr>
      <w:bookmarkStart w:name="2.1.9 Connections with CLT" w:id="52"/>
      <w:bookmarkEnd w:id="52"/>
      <w:r>
        <w:rPr/>
      </w:r>
      <w:bookmarkStart w:name="2.1.9 Connections with CLT" w:id="53"/>
      <w:bookmarkEnd w:id="53"/>
      <w:r>
        <w:rPr>
          <w:i/>
          <w:sz w:val="24"/>
        </w:rPr>
        <w:t>C</w:t>
      </w:r>
      <w:r>
        <w:rPr>
          <w:i/>
          <w:sz w:val="24"/>
        </w:rPr>
        <w:t>onnections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with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CLT</w:t>
      </w:r>
    </w:p>
    <w:p>
      <w:pPr>
        <w:pStyle w:val="BodyText"/>
        <w:spacing w:line="480" w:lineRule="auto" w:before="140"/>
        <w:ind w:left="439" w:right="257" w:firstLine="720"/>
        <w:jc w:val="both"/>
      </w:pPr>
      <w:r>
        <w:rPr/>
        <w:t>As with any structural system, the design of connection to transfer load from one</w:t>
      </w:r>
      <w:r>
        <w:rPr>
          <w:spacing w:val="1"/>
        </w:rPr>
        <w:t> </w:t>
      </w:r>
      <w:r>
        <w:rPr/>
        <w:t>structural</w:t>
      </w:r>
      <w:r>
        <w:rPr>
          <w:spacing w:val="18"/>
        </w:rPr>
        <w:t> </w:t>
      </w:r>
      <w:r>
        <w:rPr/>
        <w:t>element</w:t>
      </w:r>
      <w:r>
        <w:rPr>
          <w:spacing w:val="19"/>
        </w:rPr>
        <w:t> </w:t>
      </w:r>
      <w:r>
        <w:rPr/>
        <w:t>to</w:t>
      </w:r>
      <w:r>
        <w:rPr>
          <w:spacing w:val="18"/>
        </w:rPr>
        <w:t> </w:t>
      </w:r>
      <w:r>
        <w:rPr/>
        <w:t>another</w:t>
      </w:r>
      <w:r>
        <w:rPr>
          <w:spacing w:val="18"/>
        </w:rPr>
        <w:t> </w:t>
      </w:r>
      <w:r>
        <w:rPr/>
        <w:t>is</w:t>
      </w:r>
      <w:r>
        <w:rPr>
          <w:spacing w:val="19"/>
        </w:rPr>
        <w:t> </w:t>
      </w:r>
      <w:r>
        <w:rPr/>
        <w:t>critical,</w:t>
      </w:r>
      <w:r>
        <w:rPr>
          <w:spacing w:val="18"/>
        </w:rPr>
        <w:t> </w:t>
      </w:r>
      <w:r>
        <w:rPr/>
        <w:t>and</w:t>
      </w:r>
      <w:r>
        <w:rPr>
          <w:spacing w:val="19"/>
        </w:rPr>
        <w:t> </w:t>
      </w:r>
      <w:r>
        <w:rPr/>
        <w:t>CLT</w:t>
      </w:r>
      <w:r>
        <w:rPr>
          <w:spacing w:val="19"/>
        </w:rPr>
        <w:t> </w:t>
      </w:r>
      <w:r>
        <w:rPr/>
        <w:t>is</w:t>
      </w:r>
      <w:r>
        <w:rPr>
          <w:spacing w:val="18"/>
        </w:rPr>
        <w:t> </w:t>
      </w:r>
      <w:r>
        <w:rPr/>
        <w:t>no</w:t>
      </w:r>
      <w:r>
        <w:rPr>
          <w:spacing w:val="19"/>
        </w:rPr>
        <w:t> </w:t>
      </w:r>
      <w:r>
        <w:rPr/>
        <w:t>exception.</w:t>
      </w:r>
      <w:r>
        <w:rPr>
          <w:spacing w:val="39"/>
        </w:rPr>
        <w:t> </w:t>
      </w:r>
      <w:r>
        <w:rPr/>
        <w:t>Widespread</w:t>
      </w:r>
      <w:r>
        <w:rPr>
          <w:spacing w:val="18"/>
        </w:rPr>
        <w:t> </w:t>
      </w:r>
      <w:r>
        <w:rPr/>
        <w:t>research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39" w:right="256"/>
        <w:jc w:val="both"/>
      </w:pPr>
      <w:r>
        <w:rPr/>
        <w:t>and</w:t>
      </w:r>
      <w:r>
        <w:rPr>
          <w:spacing w:val="-15"/>
        </w:rPr>
        <w:t> </w:t>
      </w:r>
      <w:r>
        <w:rPr/>
        <w:t>study</w:t>
      </w:r>
      <w:r>
        <w:rPr>
          <w:spacing w:val="-15"/>
        </w:rPr>
        <w:t> </w:t>
      </w:r>
      <w:r>
        <w:rPr/>
        <w:t>continues</w:t>
      </w:r>
      <w:r>
        <w:rPr>
          <w:spacing w:val="-13"/>
        </w:rPr>
        <w:t> </w:t>
      </w:r>
      <w:r>
        <w:rPr/>
        <w:t>on</w:t>
      </w:r>
      <w:r>
        <w:rPr>
          <w:spacing w:val="-15"/>
        </w:rPr>
        <w:t> </w:t>
      </w:r>
      <w:r>
        <w:rPr/>
        <w:t>all</w:t>
      </w:r>
      <w:r>
        <w:rPr>
          <w:spacing w:val="-13"/>
        </w:rPr>
        <w:t> </w:t>
      </w:r>
      <w:r>
        <w:rPr/>
        <w:t>types</w:t>
      </w:r>
      <w:r>
        <w:rPr>
          <w:spacing w:val="-14"/>
        </w:rPr>
        <w:t> </w:t>
      </w:r>
      <w:r>
        <w:rPr/>
        <w:t>of</w:t>
      </w:r>
      <w:r>
        <w:rPr>
          <w:spacing w:val="-14"/>
        </w:rPr>
        <w:t> </w:t>
      </w:r>
      <w:r>
        <w:rPr/>
        <w:t>connections</w:t>
      </w:r>
      <w:r>
        <w:rPr>
          <w:spacing w:val="-14"/>
        </w:rPr>
        <w:t> </w:t>
      </w:r>
      <w:r>
        <w:rPr/>
        <w:t>for</w:t>
      </w:r>
      <w:r>
        <w:rPr>
          <w:spacing w:val="-14"/>
        </w:rPr>
        <w:t> </w:t>
      </w:r>
      <w:r>
        <w:rPr/>
        <w:t>CLT</w:t>
      </w:r>
      <w:r>
        <w:rPr>
          <w:spacing w:val="-14"/>
        </w:rPr>
        <w:t> </w:t>
      </w:r>
      <w:r>
        <w:rPr/>
        <w:t>structures</w:t>
      </w:r>
      <w:r>
        <w:rPr>
          <w:spacing w:val="-14"/>
        </w:rPr>
        <w:t> </w:t>
      </w:r>
      <w:r>
        <w:rPr/>
        <w:t>including</w:t>
      </w:r>
      <w:r>
        <w:rPr>
          <w:spacing w:val="-14"/>
        </w:rPr>
        <w:t> </w:t>
      </w:r>
      <w:r>
        <w:rPr/>
        <w:t>panel</w:t>
      </w:r>
      <w:r>
        <w:rPr>
          <w:spacing w:val="-14"/>
        </w:rPr>
        <w:t> </w:t>
      </w:r>
      <w:r>
        <w:rPr/>
        <w:t>to</w:t>
      </w:r>
      <w:r>
        <w:rPr>
          <w:spacing w:val="-14"/>
        </w:rPr>
        <w:t> </w:t>
      </w:r>
      <w:r>
        <w:rPr/>
        <w:t>panel,</w:t>
      </w:r>
      <w:r>
        <w:rPr>
          <w:spacing w:val="-58"/>
        </w:rPr>
        <w:t> </w:t>
      </w:r>
      <w:r>
        <w:rPr/>
        <w:t>wall panel to foundation, and wall to floor or roof. The cross-layered composition of CLT</w:t>
      </w:r>
      <w:r>
        <w:rPr>
          <w:spacing w:val="-57"/>
        </w:rPr>
        <w:t> </w:t>
      </w:r>
      <w:r>
        <w:rPr/>
        <w:t>offers an advantage in that it reinforces itself and resists splitting at the connection for</w:t>
      </w:r>
      <w:r>
        <w:rPr>
          <w:spacing w:val="1"/>
        </w:rPr>
        <w:t> </w:t>
      </w:r>
      <w:r>
        <w:rPr/>
        <w:t>species where that failure is problematic in sawn timber elements [68].</w:t>
      </w:r>
      <w:r>
        <w:rPr>
          <w:spacing w:val="1"/>
        </w:rPr>
        <w:t> </w:t>
      </w:r>
      <w:r>
        <w:rPr/>
        <w:t>Metal brackets,</w:t>
      </w:r>
      <w:r>
        <w:rPr>
          <w:spacing w:val="1"/>
        </w:rPr>
        <w:t> </w:t>
      </w:r>
      <w:r>
        <w:rPr/>
        <w:t>hold-downs and plates are used with massive timber to transfer loads between connected</w:t>
      </w:r>
      <w:r>
        <w:rPr>
          <w:spacing w:val="1"/>
        </w:rPr>
        <w:t> </w:t>
      </w:r>
      <w:r>
        <w:rPr/>
        <w:t>panels.</w:t>
      </w:r>
      <w:r>
        <w:rPr>
          <w:spacing w:val="1"/>
        </w:rPr>
        <w:t> </w:t>
      </w:r>
      <w:r>
        <w:rPr/>
        <w:t>Connection design is an area of ongoing innovation in terms of structural design</w:t>
      </w:r>
      <w:r>
        <w:rPr>
          <w:spacing w:val="1"/>
        </w:rPr>
        <w:t> </w:t>
      </w:r>
      <w:r>
        <w:rPr/>
        <w:t>and construction assembly practices. Given the high stiffness and strength of CLT panels,</w:t>
      </w:r>
      <w:r>
        <w:rPr>
          <w:spacing w:val="-57"/>
        </w:rPr>
        <w:t> </w:t>
      </w:r>
      <w:r>
        <w:rPr/>
        <w:t>connections</w:t>
      </w:r>
      <w:r>
        <w:rPr>
          <w:spacing w:val="-2"/>
        </w:rPr>
        <w:t> </w:t>
      </w:r>
      <w:r>
        <w:rPr/>
        <w:t>between</w:t>
      </w:r>
      <w:r>
        <w:rPr>
          <w:spacing w:val="-1"/>
        </w:rPr>
        <w:t> </w:t>
      </w:r>
      <w:r>
        <w:rPr/>
        <w:t>them</w:t>
      </w:r>
      <w:r>
        <w:rPr>
          <w:spacing w:val="-1"/>
        </w:rPr>
        <w:t> </w:t>
      </w:r>
      <w:r>
        <w:rPr/>
        <w:t>can</w:t>
      </w:r>
      <w:r>
        <w:rPr>
          <w:spacing w:val="-1"/>
        </w:rPr>
        <w:t> </w:t>
      </w:r>
      <w:r>
        <w:rPr/>
        <w:t>be the</w:t>
      </w:r>
      <w:r>
        <w:rPr>
          <w:spacing w:val="-2"/>
        </w:rPr>
        <w:t> </w:t>
      </w:r>
      <w:r>
        <w:rPr/>
        <w:t>limiting factor</w:t>
      </w:r>
      <w:r>
        <w:rPr>
          <w:spacing w:val="-1"/>
        </w:rPr>
        <w:t> </w:t>
      </w:r>
      <w:r>
        <w:rPr/>
        <w:t>in</w:t>
      </w:r>
      <w:r>
        <w:rPr>
          <w:spacing w:val="-3"/>
        </w:rPr>
        <w:t> </w:t>
      </w:r>
      <w:r>
        <w:rPr/>
        <w:t>terms of</w:t>
      </w:r>
      <w:r>
        <w:rPr>
          <w:spacing w:val="-2"/>
        </w:rPr>
        <w:t> </w:t>
      </w:r>
      <w:r>
        <w:rPr/>
        <w:t>loading capacity</w:t>
      </w:r>
      <w:r>
        <w:rPr>
          <w:spacing w:val="-1"/>
        </w:rPr>
        <w:t> </w:t>
      </w:r>
      <w:r>
        <w:rPr/>
        <w:t>[33].</w:t>
      </w:r>
    </w:p>
    <w:p>
      <w:pPr>
        <w:pStyle w:val="Heading9"/>
        <w:numPr>
          <w:ilvl w:val="1"/>
          <w:numId w:val="14"/>
        </w:numPr>
        <w:tabs>
          <w:tab w:pos="800" w:val="left" w:leader="none"/>
        </w:tabs>
        <w:spacing w:line="240" w:lineRule="auto" w:before="162" w:after="0"/>
        <w:ind w:left="800" w:right="0" w:hanging="361"/>
        <w:jc w:val="both"/>
      </w:pPr>
      <w:bookmarkStart w:name="_TOC_250065" w:id="54"/>
      <w:bookmarkStart w:name="2.2 Advantages of CLT as a building mate" w:id="55"/>
      <w:r>
        <w:rPr>
          <w:b w:val="0"/>
        </w:rPr>
      </w:r>
      <w:bookmarkEnd w:id="55"/>
      <w:bookmarkStart w:name="2.2 Advantages of CLT as a building mate" w:id="56"/>
      <w:r>
        <w:rPr/>
        <w:t>A</w:t>
      </w:r>
      <w:r>
        <w:rPr/>
        <w:t>dvantages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CLT</w:t>
      </w:r>
      <w:r>
        <w:rPr>
          <w:spacing w:val="-3"/>
        </w:rPr>
        <w:t> </w:t>
      </w:r>
      <w:r>
        <w:rPr/>
        <w:t>as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building</w:t>
      </w:r>
      <w:r>
        <w:rPr>
          <w:spacing w:val="-2"/>
        </w:rPr>
        <w:t> </w:t>
      </w:r>
      <w:bookmarkEnd w:id="54"/>
      <w:r>
        <w:rPr/>
        <w:t>material</w:t>
      </w:r>
    </w:p>
    <w:p>
      <w:pPr>
        <w:pStyle w:val="BodyText"/>
        <w:spacing w:before="6"/>
        <w:rPr>
          <w:b/>
          <w:sz w:val="22"/>
        </w:rPr>
      </w:pPr>
    </w:p>
    <w:p>
      <w:pPr>
        <w:pStyle w:val="BodyText"/>
        <w:spacing w:line="480" w:lineRule="auto"/>
        <w:ind w:left="439" w:right="256" w:firstLine="720"/>
        <w:jc w:val="both"/>
      </w:pPr>
      <w:r>
        <w:rPr/>
        <w:t>Decades</w:t>
      </w:r>
      <w:r>
        <w:rPr>
          <w:spacing w:val="1"/>
        </w:rPr>
        <w:t> </w:t>
      </w:r>
      <w:r>
        <w:rPr/>
        <w:t>of successful use</w:t>
      </w:r>
      <w:r>
        <w:rPr>
          <w:spacing w:val="1"/>
        </w:rPr>
        <w:t> </w:t>
      </w:r>
      <w:r>
        <w:rPr/>
        <w:t>of CLT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Europe have</w:t>
      </w:r>
      <w:r>
        <w:rPr>
          <w:spacing w:val="1"/>
        </w:rPr>
        <w:t> </w:t>
      </w:r>
      <w:r>
        <w:rPr/>
        <w:t>shown</w:t>
      </w:r>
      <w:r>
        <w:rPr>
          <w:spacing w:val="1"/>
        </w:rPr>
        <w:t> </w:t>
      </w:r>
      <w:r>
        <w:rPr/>
        <w:t>several</w:t>
      </w:r>
      <w:r>
        <w:rPr>
          <w:spacing w:val="1"/>
        </w:rPr>
        <w:t> </w:t>
      </w:r>
      <w:r>
        <w:rPr/>
        <w:t>significant</w:t>
      </w:r>
      <w:r>
        <w:rPr>
          <w:spacing w:val="1"/>
        </w:rPr>
        <w:t> </w:t>
      </w:r>
      <w:r>
        <w:rPr/>
        <w:t>advantages of the material.</w:t>
      </w:r>
      <w:r>
        <w:rPr>
          <w:spacing w:val="1"/>
        </w:rPr>
        <w:t> </w:t>
      </w:r>
      <w:r>
        <w:rPr/>
        <w:t>A product of a joint effort from academia and industry, CLT</w:t>
      </w:r>
      <w:r>
        <w:rPr>
          <w:spacing w:val="1"/>
        </w:rPr>
        <w:t> </w:t>
      </w:r>
      <w:r>
        <w:rPr/>
        <w:t>has benefitted from the increased emphasis on sustainable construction practices [68].</w:t>
      </w:r>
      <w:r>
        <w:rPr>
          <w:spacing w:val="1"/>
        </w:rPr>
        <w:t> </w:t>
      </w:r>
      <w:r>
        <w:rPr/>
        <w:t>As</w:t>
      </w:r>
      <w:r>
        <w:rPr>
          <w:spacing w:val="-57"/>
        </w:rPr>
        <w:t> </w:t>
      </w:r>
      <w:r>
        <w:rPr/>
        <w:t>a wood product, CLT is made from a renewable resource and studies examining the</w:t>
      </w:r>
      <w:r>
        <w:rPr>
          <w:spacing w:val="1"/>
        </w:rPr>
        <w:t> </w:t>
      </w:r>
      <w:r>
        <w:rPr>
          <w:spacing w:val="-1"/>
        </w:rPr>
        <w:t>sustainability</w:t>
      </w:r>
      <w:r>
        <w:rPr>
          <w:spacing w:val="-13"/>
        </w:rPr>
        <w:t> </w:t>
      </w:r>
      <w:r>
        <w:rPr/>
        <w:t>of</w:t>
      </w:r>
      <w:r>
        <w:rPr>
          <w:spacing w:val="-12"/>
        </w:rPr>
        <w:t> </w:t>
      </w:r>
      <w:r>
        <w:rPr/>
        <w:t>managing</w:t>
      </w:r>
      <w:r>
        <w:rPr>
          <w:spacing w:val="-12"/>
        </w:rPr>
        <w:t> </w:t>
      </w:r>
      <w:r>
        <w:rPr/>
        <w:t>forests</w:t>
      </w:r>
      <w:r>
        <w:rPr>
          <w:spacing w:val="-12"/>
        </w:rPr>
        <w:t> </w:t>
      </w:r>
      <w:r>
        <w:rPr/>
        <w:t>in</w:t>
      </w:r>
      <w:r>
        <w:rPr>
          <w:spacing w:val="-14"/>
        </w:rPr>
        <w:t> </w:t>
      </w:r>
      <w:r>
        <w:rPr/>
        <w:t>order</w:t>
      </w:r>
      <w:r>
        <w:rPr>
          <w:spacing w:val="-14"/>
        </w:rPr>
        <w:t> </w:t>
      </w:r>
      <w:r>
        <w:rPr/>
        <w:t>to</w:t>
      </w:r>
      <w:r>
        <w:rPr>
          <w:spacing w:val="-12"/>
        </w:rPr>
        <w:t> </w:t>
      </w:r>
      <w:r>
        <w:rPr/>
        <w:t>manufacture</w:t>
      </w:r>
      <w:r>
        <w:rPr>
          <w:spacing w:val="-12"/>
        </w:rPr>
        <w:t> </w:t>
      </w:r>
      <w:r>
        <w:rPr/>
        <w:t>CLT</w:t>
      </w:r>
      <w:r>
        <w:rPr>
          <w:spacing w:val="-13"/>
        </w:rPr>
        <w:t> </w:t>
      </w:r>
      <w:r>
        <w:rPr/>
        <w:t>have</w:t>
      </w:r>
      <w:r>
        <w:rPr>
          <w:spacing w:val="-12"/>
        </w:rPr>
        <w:t> </w:t>
      </w:r>
      <w:r>
        <w:rPr/>
        <w:t>shown</w:t>
      </w:r>
      <w:r>
        <w:rPr>
          <w:spacing w:val="-13"/>
        </w:rPr>
        <w:t> </w:t>
      </w:r>
      <w:r>
        <w:rPr/>
        <w:t>positive</w:t>
      </w:r>
      <w:r>
        <w:rPr>
          <w:spacing w:val="-12"/>
        </w:rPr>
        <w:t> </w:t>
      </w:r>
      <w:r>
        <w:rPr/>
        <w:t>results</w:t>
      </w:r>
      <w:r>
        <w:rPr>
          <w:spacing w:val="-57"/>
        </w:rPr>
        <w:t> </w:t>
      </w:r>
      <w:r>
        <w:rPr/>
        <w:t>[48].</w:t>
      </w:r>
      <w:r>
        <w:rPr>
          <w:spacing w:val="1"/>
        </w:rPr>
        <w:t> </w:t>
      </w:r>
      <w:r>
        <w:rPr/>
        <w:t>The high degree of prefabrication and relative ease of assembly make on-site</w:t>
      </w:r>
      <w:r>
        <w:rPr>
          <w:spacing w:val="1"/>
        </w:rPr>
        <w:t> </w:t>
      </w:r>
      <w:r>
        <w:rPr>
          <w:spacing w:val="-1"/>
        </w:rPr>
        <w:t>construction</w:t>
      </w:r>
      <w:r>
        <w:rPr>
          <w:spacing w:val="-14"/>
        </w:rPr>
        <w:t> </w:t>
      </w:r>
      <w:r>
        <w:rPr>
          <w:spacing w:val="-1"/>
        </w:rPr>
        <w:t>times</w:t>
      </w:r>
      <w:r>
        <w:rPr>
          <w:spacing w:val="-11"/>
        </w:rPr>
        <w:t> </w:t>
      </w:r>
      <w:r>
        <w:rPr>
          <w:spacing w:val="-1"/>
        </w:rPr>
        <w:t>significantly</w:t>
      </w:r>
      <w:r>
        <w:rPr>
          <w:spacing w:val="-11"/>
        </w:rPr>
        <w:t> </w:t>
      </w:r>
      <w:r>
        <w:rPr/>
        <w:t>shorter</w:t>
      </w:r>
      <w:r>
        <w:rPr>
          <w:spacing w:val="-10"/>
        </w:rPr>
        <w:t> </w:t>
      </w:r>
      <w:r>
        <w:rPr/>
        <w:t>with</w:t>
      </w:r>
      <w:r>
        <w:rPr>
          <w:spacing w:val="-14"/>
        </w:rPr>
        <w:t> </w:t>
      </w:r>
      <w:r>
        <w:rPr/>
        <w:t>less</w:t>
      </w:r>
      <w:r>
        <w:rPr>
          <w:spacing w:val="-12"/>
        </w:rPr>
        <w:t> </w:t>
      </w:r>
      <w:r>
        <w:rPr/>
        <w:t>waste.</w:t>
      </w:r>
      <w:r>
        <w:rPr>
          <w:spacing w:val="38"/>
        </w:rPr>
        <w:t> </w:t>
      </w:r>
      <w:r>
        <w:rPr/>
        <w:t>Additionally,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panels</w:t>
      </w:r>
      <w:r>
        <w:rPr>
          <w:spacing w:val="-11"/>
        </w:rPr>
        <w:t> </w:t>
      </w:r>
      <w:r>
        <w:rPr/>
        <w:t>are</w:t>
      </w:r>
      <w:r>
        <w:rPr>
          <w:spacing w:val="-11"/>
        </w:rPr>
        <w:t> </w:t>
      </w:r>
      <w:r>
        <w:rPr/>
        <w:t>lighter</w:t>
      </w:r>
      <w:r>
        <w:rPr>
          <w:spacing w:val="-57"/>
        </w:rPr>
        <w:t> </w:t>
      </w:r>
      <w:r>
        <w:rPr/>
        <w:t>than steel, masonry, and concrete construction and therefore allow a smaller and less</w:t>
      </w:r>
      <w:r>
        <w:rPr>
          <w:spacing w:val="1"/>
        </w:rPr>
        <w:t> </w:t>
      </w:r>
      <w:r>
        <w:rPr/>
        <w:t>expensive foundation to support the structure [68]. Smaller foundations use less concrete,</w:t>
      </w:r>
      <w:r>
        <w:rPr>
          <w:spacing w:val="-57"/>
        </w:rPr>
        <w:t> </w:t>
      </w:r>
      <w:r>
        <w:rPr/>
        <w:t>a</w:t>
      </w:r>
      <w:r>
        <w:rPr>
          <w:spacing w:val="-1"/>
        </w:rPr>
        <w:t> </w:t>
      </w:r>
      <w:r>
        <w:rPr/>
        <w:t>major carbon dioxide producer.</w:t>
      </w:r>
    </w:p>
    <w:p>
      <w:pPr>
        <w:pStyle w:val="BodyText"/>
        <w:spacing w:before="11"/>
        <w:rPr>
          <w:sz w:val="20"/>
        </w:rPr>
      </w:pPr>
    </w:p>
    <w:p>
      <w:pPr>
        <w:pStyle w:val="BodyText"/>
        <w:spacing w:line="480" w:lineRule="auto"/>
        <w:ind w:left="440" w:right="256" w:firstLine="720"/>
        <w:jc w:val="both"/>
      </w:pPr>
      <w:r>
        <w:rPr/>
        <w:t>In addition to the environmental benefits gained from using a renewable resource,</w:t>
      </w:r>
      <w:r>
        <w:rPr>
          <w:spacing w:val="1"/>
        </w:rPr>
        <w:t> </w:t>
      </w:r>
      <w:r>
        <w:rPr/>
        <w:t>CLT exhibits the potential for significant energy savings during the use phase of the</w:t>
      </w:r>
      <w:r>
        <w:rPr>
          <w:spacing w:val="1"/>
        </w:rPr>
        <w:t> </w:t>
      </w:r>
      <w:r>
        <w:rPr/>
        <w:t>building. The tight tolerances achieved through the precise cuts and customization lead to</w:t>
      </w:r>
      <w:r>
        <w:rPr>
          <w:spacing w:val="-57"/>
        </w:rPr>
        <w:t> </w:t>
      </w:r>
      <w:r>
        <w:rPr/>
        <w:t>low</w:t>
      </w:r>
      <w:r>
        <w:rPr>
          <w:spacing w:val="28"/>
        </w:rPr>
        <w:t> </w:t>
      </w:r>
      <w:r>
        <w:rPr/>
        <w:t>infiltration</w:t>
      </w:r>
      <w:r>
        <w:rPr>
          <w:spacing w:val="30"/>
        </w:rPr>
        <w:t> </w:t>
      </w:r>
      <w:r>
        <w:rPr/>
        <w:t>rates,</w:t>
      </w:r>
      <w:r>
        <w:rPr>
          <w:spacing w:val="28"/>
        </w:rPr>
        <w:t> </w:t>
      </w:r>
      <w:r>
        <w:rPr/>
        <w:t>and</w:t>
      </w:r>
      <w:r>
        <w:rPr>
          <w:spacing w:val="30"/>
        </w:rPr>
        <w:t> </w:t>
      </w:r>
      <w:r>
        <w:rPr/>
        <w:t>the</w:t>
      </w:r>
      <w:r>
        <w:rPr>
          <w:spacing w:val="29"/>
        </w:rPr>
        <w:t> </w:t>
      </w:r>
      <w:r>
        <w:rPr/>
        <w:t>interior</w:t>
      </w:r>
      <w:r>
        <w:rPr>
          <w:spacing w:val="29"/>
        </w:rPr>
        <w:t> </w:t>
      </w:r>
      <w:r>
        <w:rPr/>
        <w:t>tends</w:t>
      </w:r>
      <w:r>
        <w:rPr>
          <w:spacing w:val="29"/>
        </w:rPr>
        <w:t> </w:t>
      </w:r>
      <w:r>
        <w:rPr/>
        <w:t>to</w:t>
      </w:r>
      <w:r>
        <w:rPr>
          <w:spacing w:val="29"/>
        </w:rPr>
        <w:t> </w:t>
      </w:r>
      <w:r>
        <w:rPr/>
        <w:t>maintain</w:t>
      </w:r>
      <w:r>
        <w:rPr>
          <w:spacing w:val="29"/>
        </w:rPr>
        <w:t> </w:t>
      </w:r>
      <w:r>
        <w:rPr/>
        <w:t>thermal</w:t>
      </w:r>
      <w:r>
        <w:rPr>
          <w:spacing w:val="30"/>
        </w:rPr>
        <w:t> </w:t>
      </w:r>
      <w:r>
        <w:rPr/>
        <w:t>and</w:t>
      </w:r>
      <w:r>
        <w:rPr>
          <w:spacing w:val="29"/>
        </w:rPr>
        <w:t> </w:t>
      </w:r>
      <w:r>
        <w:rPr/>
        <w:t>humidity</w:t>
      </w:r>
      <w:r>
        <w:rPr>
          <w:spacing w:val="30"/>
        </w:rPr>
        <w:t> </w:t>
      </w:r>
      <w:r>
        <w:rPr/>
        <w:t>levels</w:t>
      </w:r>
      <w:r>
        <w:rPr>
          <w:spacing w:val="30"/>
        </w:rPr>
        <w:t> </w:t>
      </w:r>
      <w:r>
        <w:rPr/>
        <w:t>at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40" w:right="257"/>
        <w:jc w:val="both"/>
      </w:pPr>
      <w:r>
        <w:rPr/>
        <w:t>comfortable levels.</w:t>
      </w:r>
      <w:r>
        <w:rPr>
          <w:spacing w:val="1"/>
        </w:rPr>
        <w:t> </w:t>
      </w:r>
      <w:r>
        <w:rPr/>
        <w:t>Therefore, CLT structures require less heating, ventilation, and air</w:t>
      </w:r>
      <w:r>
        <w:rPr>
          <w:spacing w:val="1"/>
        </w:rPr>
        <w:t> </w:t>
      </w:r>
      <w:r>
        <w:rPr/>
        <w:t>conditioning</w:t>
      </w:r>
      <w:r>
        <w:rPr>
          <w:spacing w:val="-4"/>
        </w:rPr>
        <w:t> </w:t>
      </w:r>
      <w:r>
        <w:rPr/>
        <w:t>(HVAC)</w:t>
      </w:r>
      <w:r>
        <w:rPr>
          <w:spacing w:val="-1"/>
        </w:rPr>
        <w:t> </w:t>
      </w:r>
      <w:r>
        <w:rPr/>
        <w:t>system</w:t>
      </w:r>
      <w:r>
        <w:rPr>
          <w:spacing w:val="-4"/>
        </w:rPr>
        <w:t> </w:t>
      </w:r>
      <w:r>
        <w:rPr/>
        <w:t>demands.</w:t>
      </w:r>
      <w:r>
        <w:rPr>
          <w:spacing w:val="57"/>
        </w:rPr>
        <w:t> </w:t>
      </w:r>
      <w:r>
        <w:rPr/>
        <w:t>With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inherent</w:t>
      </w:r>
      <w:r>
        <w:rPr>
          <w:spacing w:val="-2"/>
        </w:rPr>
        <w:t> </w:t>
      </w:r>
      <w:r>
        <w:rPr/>
        <w:t>insulating</w:t>
      </w:r>
      <w:r>
        <w:rPr>
          <w:spacing w:val="-1"/>
        </w:rPr>
        <w:t> </w:t>
      </w:r>
      <w:r>
        <w:rPr/>
        <w:t>properties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timber,</w:t>
      </w:r>
      <w:r>
        <w:rPr>
          <w:spacing w:val="-58"/>
        </w:rPr>
        <w:t> </w:t>
      </w:r>
      <w:r>
        <w:rPr/>
        <w:t>CLT combined with supplemental insulation can achieve a performance rating equivalent</w:t>
      </w:r>
      <w:r>
        <w:rPr>
          <w:spacing w:val="-57"/>
        </w:rPr>
        <w:t> </w:t>
      </w:r>
      <w:r>
        <w:rPr/>
        <w:t>to that of concrete but with a much reduced weight [63]. The panel itself acts as a thermal</w:t>
      </w:r>
      <w:r>
        <w:rPr>
          <w:spacing w:val="-57"/>
        </w:rPr>
        <w:t> </w:t>
      </w:r>
      <w:r>
        <w:rPr/>
        <w:t>mass</w:t>
      </w:r>
      <w:r>
        <w:rPr>
          <w:spacing w:val="-11"/>
        </w:rPr>
        <w:t> </w:t>
      </w:r>
      <w:r>
        <w:rPr/>
        <w:t>with</w:t>
      </w:r>
      <w:r>
        <w:rPr>
          <w:spacing w:val="-10"/>
        </w:rPr>
        <w:t> </w:t>
      </w:r>
      <w:r>
        <w:rPr/>
        <w:t>its</w:t>
      </w:r>
      <w:r>
        <w:rPr>
          <w:spacing w:val="-10"/>
        </w:rPr>
        <w:t> </w:t>
      </w:r>
      <w:r>
        <w:rPr/>
        <w:t>solid</w:t>
      </w:r>
      <w:r>
        <w:rPr>
          <w:spacing w:val="-10"/>
        </w:rPr>
        <w:t> </w:t>
      </w:r>
      <w:r>
        <w:rPr/>
        <w:t>and</w:t>
      </w:r>
      <w:r>
        <w:rPr>
          <w:spacing w:val="-11"/>
        </w:rPr>
        <w:t> </w:t>
      </w:r>
      <w:r>
        <w:rPr/>
        <w:t>thick</w:t>
      </w:r>
      <w:r>
        <w:rPr>
          <w:spacing w:val="-10"/>
        </w:rPr>
        <w:t> </w:t>
      </w:r>
      <w:r>
        <w:rPr/>
        <w:t>nature</w:t>
      </w:r>
      <w:r>
        <w:rPr>
          <w:spacing w:val="-10"/>
        </w:rPr>
        <w:t> </w:t>
      </w:r>
      <w:r>
        <w:rPr/>
        <w:t>in</w:t>
      </w:r>
      <w:r>
        <w:rPr>
          <w:spacing w:val="-10"/>
        </w:rPr>
        <w:t> </w:t>
      </w:r>
      <w:r>
        <w:rPr/>
        <w:t>contrast</w:t>
      </w:r>
      <w:r>
        <w:rPr>
          <w:spacing w:val="-10"/>
        </w:rPr>
        <w:t> </w:t>
      </w:r>
      <w:r>
        <w:rPr/>
        <w:t>to</w:t>
      </w:r>
      <w:r>
        <w:rPr>
          <w:spacing w:val="-11"/>
        </w:rPr>
        <w:t> </w:t>
      </w:r>
      <w:r>
        <w:rPr/>
        <w:t>lightweight</w:t>
      </w:r>
      <w:r>
        <w:rPr>
          <w:spacing w:val="-11"/>
        </w:rPr>
        <w:t> </w:t>
      </w:r>
      <w:r>
        <w:rPr/>
        <w:t>wood</w:t>
      </w:r>
      <w:r>
        <w:rPr>
          <w:spacing w:val="-10"/>
        </w:rPr>
        <w:t> </w:t>
      </w:r>
      <w:r>
        <w:rPr/>
        <w:t>framing</w:t>
      </w:r>
      <w:r>
        <w:rPr>
          <w:spacing w:val="-10"/>
        </w:rPr>
        <w:t> </w:t>
      </w:r>
      <w:r>
        <w:rPr/>
        <w:t>or</w:t>
      </w:r>
      <w:r>
        <w:rPr>
          <w:spacing w:val="-9"/>
        </w:rPr>
        <w:t> </w:t>
      </w:r>
      <w:r>
        <w:rPr/>
        <w:t>steel</w:t>
      </w:r>
      <w:r>
        <w:rPr>
          <w:spacing w:val="-9"/>
        </w:rPr>
        <w:t> </w:t>
      </w:r>
      <w:r>
        <w:rPr/>
        <w:t>framed</w:t>
      </w:r>
      <w:r>
        <w:rPr>
          <w:spacing w:val="-58"/>
        </w:rPr>
        <w:t> </w:t>
      </w:r>
      <w:r>
        <w:rPr/>
        <w:t>structures, which require much more insulating material.</w:t>
      </w:r>
      <w:r>
        <w:rPr>
          <w:spacing w:val="60"/>
        </w:rPr>
        <w:t> </w:t>
      </w:r>
      <w:r>
        <w:rPr/>
        <w:t>The thermal mass of CLT aids</w:t>
      </w:r>
      <w:r>
        <w:rPr>
          <w:spacing w:val="1"/>
        </w:rPr>
        <w:t> </w:t>
      </w:r>
      <w:r>
        <w:rPr/>
        <w:t>in reducing the heating and cooling requirements of the building as well as shifts the peak</w:t>
      </w:r>
      <w:r>
        <w:rPr>
          <w:spacing w:val="-57"/>
        </w:rPr>
        <w:t> </w:t>
      </w:r>
      <w:r>
        <w:rPr/>
        <w:t>demand time [81].</w:t>
      </w:r>
      <w:r>
        <w:rPr>
          <w:spacing w:val="1"/>
        </w:rPr>
        <w:t> </w:t>
      </w:r>
      <w:r>
        <w:rPr/>
        <w:t>This has the added benefit of reducing energy consumption during the</w:t>
      </w:r>
      <w:r>
        <w:rPr>
          <w:spacing w:val="-57"/>
        </w:rPr>
        <w:t> </w:t>
      </w:r>
      <w:r>
        <w:rPr/>
        <w:t>most</w:t>
      </w:r>
      <w:r>
        <w:rPr>
          <w:spacing w:val="-1"/>
        </w:rPr>
        <w:t> </w:t>
      </w:r>
      <w:r>
        <w:rPr/>
        <w:t>costly</w:t>
      </w:r>
      <w:r>
        <w:rPr>
          <w:spacing w:val="-2"/>
        </w:rPr>
        <w:t> </w:t>
      </w:r>
      <w:r>
        <w:rPr/>
        <w:t>times of</w:t>
      </w:r>
      <w:r>
        <w:rPr>
          <w:spacing w:val="-1"/>
        </w:rPr>
        <w:t> </w:t>
      </w:r>
      <w:r>
        <w:rPr/>
        <w:t>the</w:t>
      </w:r>
      <w:r>
        <w:rPr>
          <w:spacing w:val="1"/>
        </w:rPr>
        <w:t> </w:t>
      </w:r>
      <w:r>
        <w:rPr/>
        <w:t>day.</w:t>
      </w:r>
    </w:p>
    <w:p>
      <w:pPr>
        <w:pStyle w:val="BodyText"/>
        <w:spacing w:line="480" w:lineRule="auto" w:before="160"/>
        <w:ind w:left="440" w:right="257" w:firstLine="720"/>
        <w:jc w:val="both"/>
      </w:pPr>
      <w:r>
        <w:rPr/>
        <w:t>As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building</w:t>
      </w:r>
      <w:r>
        <w:rPr>
          <w:spacing w:val="1"/>
        </w:rPr>
        <w:t> </w:t>
      </w:r>
      <w:r>
        <w:rPr/>
        <w:t>material,</w:t>
      </w:r>
      <w:r>
        <w:rPr>
          <w:spacing w:val="1"/>
        </w:rPr>
        <w:t> </w:t>
      </w:r>
      <w:r>
        <w:rPr/>
        <w:t>CLT</w:t>
      </w:r>
      <w:r>
        <w:rPr>
          <w:spacing w:val="1"/>
        </w:rPr>
        <w:t> </w:t>
      </w:r>
      <w:r>
        <w:rPr/>
        <w:t>offers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ability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cover</w:t>
      </w:r>
      <w:r>
        <w:rPr>
          <w:spacing w:val="1"/>
        </w:rPr>
        <w:t> </w:t>
      </w:r>
      <w:r>
        <w:rPr/>
        <w:t>long-spans</w:t>
      </w:r>
      <w:r>
        <w:rPr>
          <w:spacing w:val="1"/>
        </w:rPr>
        <w:t> </w:t>
      </w:r>
      <w:r>
        <w:rPr/>
        <w:t>without</w:t>
      </w:r>
      <w:r>
        <w:rPr>
          <w:spacing w:val="1"/>
        </w:rPr>
        <w:t> </w:t>
      </w:r>
      <w:r>
        <w:rPr/>
        <w:t>intermediate supports or bracing and can feature unique architectural elements because it</w:t>
      </w:r>
      <w:r>
        <w:rPr>
          <w:spacing w:val="1"/>
        </w:rPr>
        <w:t> </w:t>
      </w:r>
      <w:r>
        <w:rPr/>
        <w:t>can be precision crafted using CNC machines for exact cuts [33, 45].</w:t>
      </w:r>
      <w:r>
        <w:rPr>
          <w:spacing w:val="1"/>
        </w:rPr>
        <w:t> </w:t>
      </w:r>
      <w:r>
        <w:rPr/>
        <w:t>The capability to</w:t>
      </w:r>
      <w:r>
        <w:rPr>
          <w:spacing w:val="1"/>
        </w:rPr>
        <w:t> </w:t>
      </w:r>
      <w:r>
        <w:rPr>
          <w:spacing w:val="-1"/>
        </w:rPr>
        <w:t>customize</w:t>
      </w:r>
      <w:r>
        <w:rPr>
          <w:spacing w:val="-12"/>
        </w:rPr>
        <w:t> </w:t>
      </w:r>
      <w:r>
        <w:rPr>
          <w:spacing w:val="-1"/>
        </w:rPr>
        <w:t>the</w:t>
      </w:r>
      <w:r>
        <w:rPr>
          <w:spacing w:val="-12"/>
        </w:rPr>
        <w:t> </w:t>
      </w:r>
      <w:r>
        <w:rPr>
          <w:spacing w:val="-1"/>
        </w:rPr>
        <w:t>material</w:t>
      </w:r>
      <w:r>
        <w:rPr>
          <w:spacing w:val="-13"/>
        </w:rPr>
        <w:t> </w:t>
      </w:r>
      <w:r>
        <w:rPr/>
        <w:t>is</w:t>
      </w:r>
      <w:r>
        <w:rPr>
          <w:spacing w:val="-13"/>
        </w:rPr>
        <w:t> </w:t>
      </w:r>
      <w:r>
        <w:rPr/>
        <w:t>also</w:t>
      </w:r>
      <w:r>
        <w:rPr>
          <w:spacing w:val="-12"/>
        </w:rPr>
        <w:t> </w:t>
      </w:r>
      <w:r>
        <w:rPr/>
        <w:t>a</w:t>
      </w:r>
      <w:r>
        <w:rPr>
          <w:spacing w:val="-13"/>
        </w:rPr>
        <w:t> </w:t>
      </w:r>
      <w:r>
        <w:rPr/>
        <w:t>beneficial</w:t>
      </w:r>
      <w:r>
        <w:rPr>
          <w:spacing w:val="-13"/>
        </w:rPr>
        <w:t> </w:t>
      </w:r>
      <w:r>
        <w:rPr/>
        <w:t>feature</w:t>
      </w:r>
      <w:r>
        <w:rPr>
          <w:spacing w:val="-12"/>
        </w:rPr>
        <w:t> </w:t>
      </w:r>
      <w:r>
        <w:rPr/>
        <w:t>as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panels</w:t>
      </w:r>
      <w:r>
        <w:rPr>
          <w:spacing w:val="-15"/>
        </w:rPr>
        <w:t> </w:t>
      </w:r>
      <w:r>
        <w:rPr/>
        <w:t>can</w:t>
      </w:r>
      <w:r>
        <w:rPr>
          <w:spacing w:val="-12"/>
        </w:rPr>
        <w:t> </w:t>
      </w:r>
      <w:r>
        <w:rPr/>
        <w:t>be</w:t>
      </w:r>
      <w:r>
        <w:rPr>
          <w:spacing w:val="-12"/>
        </w:rPr>
        <w:t> </w:t>
      </w:r>
      <w:r>
        <w:rPr/>
        <w:t>designed</w:t>
      </w:r>
      <w:r>
        <w:rPr>
          <w:spacing w:val="-12"/>
        </w:rPr>
        <w:t> </w:t>
      </w:r>
      <w:r>
        <w:rPr/>
        <w:t>to</w:t>
      </w:r>
      <w:r>
        <w:rPr>
          <w:spacing w:val="-13"/>
        </w:rPr>
        <w:t> </w:t>
      </w:r>
      <w:r>
        <w:rPr/>
        <w:t>a</w:t>
      </w:r>
      <w:r>
        <w:rPr>
          <w:spacing w:val="-13"/>
        </w:rPr>
        <w:t> </w:t>
      </w:r>
      <w:r>
        <w:rPr/>
        <w:t>specific</w:t>
      </w:r>
      <w:r>
        <w:rPr>
          <w:spacing w:val="-57"/>
        </w:rPr>
        <w:t> </w:t>
      </w:r>
      <w:r>
        <w:rPr/>
        <w:t>layup to meet structural requirements.</w:t>
      </w:r>
      <w:r>
        <w:rPr>
          <w:spacing w:val="1"/>
        </w:rPr>
        <w:t> </w:t>
      </w:r>
      <w:r>
        <w:rPr/>
        <w:t>For example, panels could be constructed with</w:t>
      </w:r>
      <w:r>
        <w:rPr>
          <w:spacing w:val="1"/>
        </w:rPr>
        <w:t> </w:t>
      </w:r>
      <w:r>
        <w:rPr/>
        <w:t>double</w:t>
      </w:r>
      <w:r>
        <w:rPr>
          <w:spacing w:val="-1"/>
        </w:rPr>
        <w:t> </w:t>
      </w:r>
      <w:r>
        <w:rPr/>
        <w:t>layers of</w:t>
      </w:r>
      <w:r>
        <w:rPr>
          <w:spacing w:val="-2"/>
        </w:rPr>
        <w:t> </w:t>
      </w:r>
      <w:r>
        <w:rPr/>
        <w:t>boards oriented in</w:t>
      </w:r>
      <w:r>
        <w:rPr>
          <w:spacing w:val="-3"/>
        </w:rPr>
        <w:t> </w:t>
      </w:r>
      <w:r>
        <w:rPr/>
        <w:t>the same direction</w:t>
      </w:r>
      <w:r>
        <w:rPr>
          <w:spacing w:val="-1"/>
        </w:rPr>
        <w:t> </w:t>
      </w:r>
      <w:r>
        <w:rPr/>
        <w:t>or other variations.</w:t>
      </w:r>
    </w:p>
    <w:p>
      <w:pPr>
        <w:pStyle w:val="BodyText"/>
        <w:spacing w:line="480" w:lineRule="auto" w:before="160"/>
        <w:ind w:left="440" w:right="257" w:firstLine="720"/>
        <w:jc w:val="both"/>
      </w:pPr>
      <w:r>
        <w:rPr/>
        <w:t>In</w:t>
      </w:r>
      <w:r>
        <w:rPr>
          <w:spacing w:val="1"/>
        </w:rPr>
        <w:t> </w:t>
      </w:r>
      <w:r>
        <w:rPr/>
        <w:t>terms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on-site</w:t>
      </w:r>
      <w:r>
        <w:rPr>
          <w:spacing w:val="1"/>
        </w:rPr>
        <w:t> </w:t>
      </w:r>
      <w:r>
        <w:rPr/>
        <w:t>construction,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prefabricated</w:t>
      </w:r>
      <w:r>
        <w:rPr>
          <w:spacing w:val="1"/>
        </w:rPr>
        <w:t> </w:t>
      </w:r>
      <w:r>
        <w:rPr/>
        <w:t>nature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large</w:t>
      </w:r>
      <w:r>
        <w:rPr>
          <w:spacing w:val="1"/>
        </w:rPr>
        <w:t> </w:t>
      </w:r>
      <w:r>
        <w:rPr/>
        <w:t>panels</w:t>
      </w:r>
      <w:r>
        <w:rPr>
          <w:spacing w:val="-57"/>
        </w:rPr>
        <w:t> </w:t>
      </w:r>
      <w:r>
        <w:rPr/>
        <w:t>translates to a reduction in the size of construction crews with faster completion times.</w:t>
      </w:r>
      <w:r>
        <w:rPr>
          <w:spacing w:val="1"/>
        </w:rPr>
        <w:t> </w:t>
      </w:r>
      <w:r>
        <w:rPr/>
        <w:t>This results in a lower likelihood of accidents and significantly less disruption to the area</w:t>
      </w:r>
      <w:r>
        <w:rPr>
          <w:spacing w:val="1"/>
        </w:rPr>
        <w:t> </w:t>
      </w:r>
      <w:r>
        <w:rPr/>
        <w:t>surrounding the construction site [45, 81].</w:t>
      </w:r>
      <w:r>
        <w:rPr>
          <w:spacing w:val="1"/>
        </w:rPr>
        <w:t> </w:t>
      </w:r>
      <w:r>
        <w:rPr/>
        <w:t>These features add up to cost savings in</w:t>
      </w:r>
      <w:r>
        <w:rPr>
          <w:spacing w:val="1"/>
        </w:rPr>
        <w:t> </w:t>
      </w:r>
      <w:r>
        <w:rPr/>
        <w:t>construction and assist in making engineered timber a financially competitive building</w:t>
      </w:r>
      <w:r>
        <w:rPr>
          <w:spacing w:val="1"/>
        </w:rPr>
        <w:t> </w:t>
      </w:r>
      <w:r>
        <w:rPr/>
        <w:t>material [46].</w:t>
      </w:r>
      <w:r>
        <w:rPr>
          <w:spacing w:val="1"/>
        </w:rPr>
        <w:t> </w:t>
      </w:r>
      <w:r>
        <w:rPr/>
        <w:t>Additionally, cost savings can be gained in the design and construction of</w:t>
      </w:r>
      <w:r>
        <w:rPr>
          <w:spacing w:val="1"/>
        </w:rPr>
        <w:t> </w:t>
      </w:r>
      <w:r>
        <w:rPr/>
        <w:t>the</w:t>
      </w:r>
      <w:r>
        <w:rPr>
          <w:spacing w:val="-12"/>
        </w:rPr>
        <w:t> </w:t>
      </w:r>
      <w:r>
        <w:rPr/>
        <w:t>foundation.</w:t>
      </w:r>
      <w:r>
        <w:rPr>
          <w:spacing w:val="38"/>
        </w:rPr>
        <w:t> </w:t>
      </w:r>
      <w:r>
        <w:rPr/>
        <w:t>As</w:t>
      </w:r>
      <w:r>
        <w:rPr>
          <w:spacing w:val="-11"/>
        </w:rPr>
        <w:t> </w:t>
      </w:r>
      <w:r>
        <w:rPr/>
        <w:t>a</w:t>
      </w:r>
      <w:r>
        <w:rPr>
          <w:spacing w:val="-11"/>
        </w:rPr>
        <w:t> </w:t>
      </w:r>
      <w:r>
        <w:rPr/>
        <w:t>lighter</w:t>
      </w:r>
      <w:r>
        <w:rPr>
          <w:spacing w:val="-12"/>
        </w:rPr>
        <w:t> </w:t>
      </w:r>
      <w:r>
        <w:rPr/>
        <w:t>building</w:t>
      </w:r>
      <w:r>
        <w:rPr>
          <w:spacing w:val="-11"/>
        </w:rPr>
        <w:t> </w:t>
      </w:r>
      <w:r>
        <w:rPr/>
        <w:t>material</w:t>
      </w:r>
      <w:r>
        <w:rPr>
          <w:spacing w:val="-11"/>
        </w:rPr>
        <w:t> </w:t>
      </w:r>
      <w:r>
        <w:rPr/>
        <w:t>than</w:t>
      </w:r>
      <w:r>
        <w:rPr>
          <w:spacing w:val="-11"/>
        </w:rPr>
        <w:t> </w:t>
      </w:r>
      <w:r>
        <w:rPr/>
        <w:t>steel,</w:t>
      </w:r>
      <w:r>
        <w:rPr>
          <w:spacing w:val="-12"/>
        </w:rPr>
        <w:t> </w:t>
      </w:r>
      <w:r>
        <w:rPr/>
        <w:t>reinforced</w:t>
      </w:r>
      <w:r>
        <w:rPr>
          <w:spacing w:val="-12"/>
        </w:rPr>
        <w:t> </w:t>
      </w:r>
      <w:r>
        <w:rPr/>
        <w:t>concrete,</w:t>
      </w:r>
      <w:r>
        <w:rPr>
          <w:spacing w:val="-11"/>
        </w:rPr>
        <w:t> </w:t>
      </w:r>
      <w:r>
        <w:rPr/>
        <w:t>and</w:t>
      </w:r>
      <w:r>
        <w:rPr>
          <w:spacing w:val="-11"/>
        </w:rPr>
        <w:t> </w:t>
      </w:r>
      <w:r>
        <w:rPr/>
        <w:t>masonry,</w:t>
      </w:r>
      <w:r>
        <w:rPr>
          <w:spacing w:val="-58"/>
        </w:rPr>
        <w:t> </w:t>
      </w:r>
      <w:r>
        <w:rPr/>
        <w:t>CLT</w:t>
      </w:r>
      <w:r>
        <w:rPr>
          <w:spacing w:val="-13"/>
        </w:rPr>
        <w:t> </w:t>
      </w:r>
      <w:r>
        <w:rPr/>
        <w:t>structures</w:t>
      </w:r>
      <w:r>
        <w:rPr>
          <w:spacing w:val="-12"/>
        </w:rPr>
        <w:t> </w:t>
      </w:r>
      <w:r>
        <w:rPr/>
        <w:t>can</w:t>
      </w:r>
      <w:r>
        <w:rPr>
          <w:spacing w:val="-13"/>
        </w:rPr>
        <w:t> </w:t>
      </w:r>
      <w:r>
        <w:rPr/>
        <w:t>require</w:t>
      </w:r>
      <w:r>
        <w:rPr>
          <w:spacing w:val="-12"/>
        </w:rPr>
        <w:t> </w:t>
      </w:r>
      <w:r>
        <w:rPr/>
        <w:t>a</w:t>
      </w:r>
      <w:r>
        <w:rPr>
          <w:spacing w:val="-14"/>
        </w:rPr>
        <w:t> </w:t>
      </w:r>
      <w:r>
        <w:rPr/>
        <w:t>less</w:t>
      </w:r>
      <w:r>
        <w:rPr>
          <w:spacing w:val="-12"/>
        </w:rPr>
        <w:t> </w:t>
      </w:r>
      <w:r>
        <w:rPr/>
        <w:t>robust</w:t>
      </w:r>
      <w:r>
        <w:rPr>
          <w:spacing w:val="-12"/>
        </w:rPr>
        <w:t> </w:t>
      </w:r>
      <w:r>
        <w:rPr/>
        <w:t>foundation</w:t>
      </w:r>
      <w:r>
        <w:rPr>
          <w:spacing w:val="-13"/>
        </w:rPr>
        <w:t> </w:t>
      </w:r>
      <w:r>
        <w:rPr/>
        <w:t>and</w:t>
      </w:r>
      <w:r>
        <w:rPr>
          <w:spacing w:val="-12"/>
        </w:rPr>
        <w:t> </w:t>
      </w:r>
      <w:r>
        <w:rPr/>
        <w:t>reduce</w:t>
      </w:r>
      <w:r>
        <w:rPr>
          <w:spacing w:val="-13"/>
        </w:rPr>
        <w:t> </w:t>
      </w:r>
      <w:r>
        <w:rPr/>
        <w:t>costs</w:t>
      </w:r>
      <w:r>
        <w:rPr>
          <w:spacing w:val="-12"/>
        </w:rPr>
        <w:t> </w:t>
      </w:r>
      <w:r>
        <w:rPr/>
        <w:t>related</w:t>
      </w:r>
      <w:r>
        <w:rPr>
          <w:spacing w:val="-12"/>
        </w:rPr>
        <w:t> </w:t>
      </w:r>
      <w:r>
        <w:rPr/>
        <w:t>to</w:t>
      </w:r>
      <w:r>
        <w:rPr>
          <w:spacing w:val="-14"/>
        </w:rPr>
        <w:t> </w:t>
      </w:r>
      <w:r>
        <w:rPr/>
        <w:t>load</w:t>
      </w:r>
      <w:r>
        <w:rPr>
          <w:spacing w:val="-13"/>
        </w:rPr>
        <w:t> </w:t>
      </w:r>
      <w:r>
        <w:rPr/>
        <w:t>transfer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40" w:right="259"/>
        <w:jc w:val="both"/>
      </w:pPr>
      <w:r>
        <w:rPr/>
        <w:t>designs for buildings constructed over pre-existing rail, roads, and utility corridors or on</w:t>
      </w:r>
      <w:r>
        <w:rPr>
          <w:spacing w:val="1"/>
        </w:rPr>
        <w:t> </w:t>
      </w:r>
      <w:r>
        <w:rPr/>
        <w:t>less</w:t>
      </w:r>
      <w:r>
        <w:rPr>
          <w:spacing w:val="-1"/>
        </w:rPr>
        <w:t> </w:t>
      </w:r>
      <w:r>
        <w:rPr/>
        <w:t>than ideal soil conditions [63].</w:t>
      </w:r>
    </w:p>
    <w:p>
      <w:pPr>
        <w:pStyle w:val="Heading9"/>
        <w:numPr>
          <w:ilvl w:val="1"/>
          <w:numId w:val="14"/>
        </w:numPr>
        <w:tabs>
          <w:tab w:pos="800" w:val="left" w:leader="none"/>
        </w:tabs>
        <w:spacing w:line="240" w:lineRule="auto" w:before="162" w:after="0"/>
        <w:ind w:left="800" w:right="0" w:hanging="360"/>
        <w:jc w:val="both"/>
      </w:pPr>
      <w:bookmarkStart w:name="_TOC_250064" w:id="57"/>
      <w:bookmarkStart w:name="2.3 Challenges of CLT as a building mate" w:id="58"/>
      <w:r>
        <w:rPr>
          <w:b w:val="0"/>
        </w:rPr>
      </w:r>
      <w:bookmarkEnd w:id="58"/>
      <w:bookmarkStart w:name="2.3 Challenges of CLT as a building mate" w:id="59"/>
      <w:r>
        <w:rPr/>
        <w:t>C</w:t>
      </w:r>
      <w:r>
        <w:rPr/>
        <w:t>hallenges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CLT</w:t>
      </w:r>
      <w:r>
        <w:rPr>
          <w:spacing w:val="-3"/>
        </w:rPr>
        <w:t> </w:t>
      </w:r>
      <w:r>
        <w:rPr/>
        <w:t>as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building</w:t>
      </w:r>
      <w:r>
        <w:rPr>
          <w:spacing w:val="-2"/>
        </w:rPr>
        <w:t> </w:t>
      </w:r>
      <w:bookmarkEnd w:id="57"/>
      <w:r>
        <w:rPr/>
        <w:t>material</w:t>
      </w:r>
    </w:p>
    <w:p>
      <w:pPr>
        <w:pStyle w:val="BodyText"/>
        <w:spacing w:before="6"/>
        <w:rPr>
          <w:b/>
          <w:sz w:val="22"/>
        </w:rPr>
      </w:pPr>
    </w:p>
    <w:p>
      <w:pPr>
        <w:pStyle w:val="BodyText"/>
        <w:spacing w:line="480" w:lineRule="auto"/>
        <w:ind w:left="440" w:right="256" w:firstLine="720"/>
        <w:jc w:val="both"/>
      </w:pPr>
      <w:r>
        <w:rPr/>
        <w:t>Challenges of CLT are: 1) durability; 2) logistics; 3) creep; 4) sound transmission;</w:t>
      </w:r>
      <w:r>
        <w:rPr>
          <w:spacing w:val="-57"/>
        </w:rPr>
        <w:t> </w:t>
      </w:r>
      <w:r>
        <w:rPr/>
        <w:t>and 5) pests.</w:t>
      </w:r>
      <w:r>
        <w:rPr>
          <w:spacing w:val="1"/>
        </w:rPr>
        <w:t> </w:t>
      </w:r>
      <w:r>
        <w:rPr/>
        <w:t>A major concern with the durability of any wood product is moisture</w:t>
      </w:r>
      <w:r>
        <w:rPr>
          <w:spacing w:val="1"/>
        </w:rPr>
        <w:t> </w:t>
      </w:r>
      <w:r>
        <w:rPr/>
        <w:t>exposure.</w:t>
      </w:r>
      <w:r>
        <w:rPr>
          <w:spacing w:val="1"/>
        </w:rPr>
        <w:t> </w:t>
      </w:r>
      <w:r>
        <w:rPr/>
        <w:t>Mitigation measures to avoid exposure for CLT, include the proper design of</w:t>
      </w:r>
      <w:r>
        <w:rPr>
          <w:spacing w:val="1"/>
        </w:rPr>
        <w:t> </w:t>
      </w:r>
      <w:r>
        <w:rPr/>
        <w:t>coverings and interior plumbing lines to ensure sufficient moisture protection and the use</w:t>
      </w:r>
      <w:r>
        <w:rPr>
          <w:spacing w:val="1"/>
        </w:rPr>
        <w:t> </w:t>
      </w:r>
      <w:r>
        <w:rPr/>
        <w:t>of</w:t>
      </w:r>
      <w:r>
        <w:rPr>
          <w:spacing w:val="-12"/>
        </w:rPr>
        <w:t> </w:t>
      </w:r>
      <w:r>
        <w:rPr/>
        <w:t>vapor</w:t>
      </w:r>
      <w:r>
        <w:rPr>
          <w:spacing w:val="-11"/>
        </w:rPr>
        <w:t> </w:t>
      </w:r>
      <w:r>
        <w:rPr/>
        <w:t>barriers.</w:t>
      </w:r>
      <w:r>
        <w:rPr>
          <w:spacing w:val="38"/>
        </w:rPr>
        <w:t> </w:t>
      </w:r>
      <w:r>
        <w:rPr/>
        <w:t>For</w:t>
      </w:r>
      <w:r>
        <w:rPr>
          <w:spacing w:val="-11"/>
        </w:rPr>
        <w:t> </w:t>
      </w:r>
      <w:r>
        <w:rPr/>
        <w:t>areas</w:t>
      </w:r>
      <w:r>
        <w:rPr>
          <w:spacing w:val="-11"/>
        </w:rPr>
        <w:t> </w:t>
      </w:r>
      <w:r>
        <w:rPr/>
        <w:t>where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CLT</w:t>
      </w:r>
      <w:r>
        <w:rPr>
          <w:spacing w:val="-11"/>
        </w:rPr>
        <w:t> </w:t>
      </w:r>
      <w:r>
        <w:rPr/>
        <w:t>would</w:t>
      </w:r>
      <w:r>
        <w:rPr>
          <w:spacing w:val="-11"/>
        </w:rPr>
        <w:t> </w:t>
      </w:r>
      <w:r>
        <w:rPr/>
        <w:t>potentially</w:t>
      </w:r>
      <w:r>
        <w:rPr>
          <w:spacing w:val="-12"/>
        </w:rPr>
        <w:t> </w:t>
      </w:r>
      <w:r>
        <w:rPr/>
        <w:t>be</w:t>
      </w:r>
      <w:r>
        <w:rPr>
          <w:spacing w:val="-10"/>
        </w:rPr>
        <w:t> </w:t>
      </w:r>
      <w:r>
        <w:rPr/>
        <w:t>in</w:t>
      </w:r>
      <w:r>
        <w:rPr>
          <w:spacing w:val="-11"/>
        </w:rPr>
        <w:t> </w:t>
      </w:r>
      <w:r>
        <w:rPr/>
        <w:t>contact</w:t>
      </w:r>
      <w:r>
        <w:rPr>
          <w:spacing w:val="-11"/>
        </w:rPr>
        <w:t> </w:t>
      </w:r>
      <w:r>
        <w:rPr/>
        <w:t>with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ground</w:t>
      </w:r>
      <w:r>
        <w:rPr>
          <w:spacing w:val="-58"/>
        </w:rPr>
        <w:t> </w:t>
      </w:r>
      <w:r>
        <w:rPr/>
        <w:t>and its associated moisture, designers should consider either a concrete layer or treatment</w:t>
      </w:r>
      <w:r>
        <w:rPr>
          <w:spacing w:val="-57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panel</w:t>
      </w:r>
      <w:r>
        <w:rPr>
          <w:spacing w:val="-8"/>
        </w:rPr>
        <w:t> </w:t>
      </w:r>
      <w:r>
        <w:rPr/>
        <w:t>to</w:t>
      </w:r>
      <w:r>
        <w:rPr>
          <w:spacing w:val="-9"/>
        </w:rPr>
        <w:t> </w:t>
      </w:r>
      <w:r>
        <w:rPr/>
        <w:t>mitigate</w:t>
      </w:r>
      <w:r>
        <w:rPr>
          <w:spacing w:val="-10"/>
        </w:rPr>
        <w:t> </w:t>
      </w:r>
      <w:r>
        <w:rPr/>
        <w:t>water</w:t>
      </w:r>
      <w:r>
        <w:rPr>
          <w:spacing w:val="-8"/>
        </w:rPr>
        <w:t> </w:t>
      </w:r>
      <w:r>
        <w:rPr/>
        <w:t>and</w:t>
      </w:r>
      <w:r>
        <w:rPr>
          <w:spacing w:val="-8"/>
        </w:rPr>
        <w:t> </w:t>
      </w:r>
      <w:r>
        <w:rPr/>
        <w:t>insects</w:t>
      </w:r>
      <w:r>
        <w:rPr>
          <w:spacing w:val="-8"/>
        </w:rPr>
        <w:t> </w:t>
      </w:r>
      <w:r>
        <w:rPr/>
        <w:t>from</w:t>
      </w:r>
      <w:r>
        <w:rPr>
          <w:spacing w:val="-11"/>
        </w:rPr>
        <w:t> </w:t>
      </w:r>
      <w:r>
        <w:rPr/>
        <w:t>the</w:t>
      </w:r>
      <w:r>
        <w:rPr>
          <w:spacing w:val="-8"/>
        </w:rPr>
        <w:t> </w:t>
      </w:r>
      <w:r>
        <w:rPr/>
        <w:t>ground</w:t>
      </w:r>
      <w:r>
        <w:rPr>
          <w:spacing w:val="-9"/>
        </w:rPr>
        <w:t> </w:t>
      </w:r>
      <w:r>
        <w:rPr/>
        <w:t>[63].</w:t>
      </w:r>
      <w:r>
        <w:rPr>
          <w:spacing w:val="44"/>
        </w:rPr>
        <w:t> </w:t>
      </w:r>
      <w:r>
        <w:rPr/>
        <w:t>While</w:t>
      </w:r>
      <w:r>
        <w:rPr>
          <w:spacing w:val="-7"/>
        </w:rPr>
        <w:t> </w:t>
      </w:r>
      <w:r>
        <w:rPr/>
        <w:t>structurally</w:t>
      </w:r>
      <w:r>
        <w:rPr>
          <w:spacing w:val="-9"/>
        </w:rPr>
        <w:t> </w:t>
      </w:r>
      <w:r>
        <w:rPr/>
        <w:t>suitable</w:t>
      </w:r>
      <w:r>
        <w:rPr>
          <w:spacing w:val="-58"/>
        </w:rPr>
        <w:t> </w:t>
      </w:r>
      <w:r>
        <w:rPr/>
        <w:t>for exterior walls, CLT panels should be covered or coated with a waterproof membrane</w:t>
      </w:r>
      <w:r>
        <w:rPr>
          <w:spacing w:val="1"/>
        </w:rPr>
        <w:t> </w:t>
      </w:r>
      <w:r>
        <w:rPr/>
        <w:t>to</w:t>
      </w:r>
      <w:r>
        <w:rPr>
          <w:spacing w:val="-13"/>
        </w:rPr>
        <w:t> </w:t>
      </w:r>
      <w:r>
        <w:rPr/>
        <w:t>ensure</w:t>
      </w:r>
      <w:r>
        <w:rPr>
          <w:spacing w:val="-14"/>
        </w:rPr>
        <w:t> </w:t>
      </w:r>
      <w:r>
        <w:rPr/>
        <w:t>long-term</w:t>
      </w:r>
      <w:r>
        <w:rPr>
          <w:spacing w:val="-15"/>
        </w:rPr>
        <w:t> </w:t>
      </w:r>
      <w:r>
        <w:rPr/>
        <w:t>durability</w:t>
      </w:r>
      <w:r>
        <w:rPr>
          <w:spacing w:val="-12"/>
        </w:rPr>
        <w:t> </w:t>
      </w:r>
      <w:r>
        <w:rPr/>
        <w:t>of</w:t>
      </w:r>
      <w:r>
        <w:rPr>
          <w:spacing w:val="-14"/>
        </w:rPr>
        <w:t> </w:t>
      </w:r>
      <w:r>
        <w:rPr/>
        <w:t>the</w:t>
      </w:r>
      <w:r>
        <w:rPr>
          <w:spacing w:val="-13"/>
        </w:rPr>
        <w:t> </w:t>
      </w:r>
      <w:r>
        <w:rPr/>
        <w:t>wood.</w:t>
      </w:r>
      <w:r>
        <w:rPr>
          <w:spacing w:val="35"/>
        </w:rPr>
        <w:t> </w:t>
      </w:r>
      <w:r>
        <w:rPr/>
        <w:t>A</w:t>
      </w:r>
      <w:r>
        <w:rPr>
          <w:spacing w:val="-14"/>
        </w:rPr>
        <w:t> </w:t>
      </w:r>
      <w:r>
        <w:rPr/>
        <w:t>common</w:t>
      </w:r>
      <w:r>
        <w:rPr>
          <w:spacing w:val="-13"/>
        </w:rPr>
        <w:t> </w:t>
      </w:r>
      <w:r>
        <w:rPr/>
        <w:t>construction</w:t>
      </w:r>
      <w:r>
        <w:rPr>
          <w:spacing w:val="-12"/>
        </w:rPr>
        <w:t> </w:t>
      </w:r>
      <w:r>
        <w:rPr/>
        <w:t>practice</w:t>
      </w:r>
      <w:r>
        <w:rPr>
          <w:spacing w:val="-13"/>
        </w:rPr>
        <w:t> </w:t>
      </w:r>
      <w:r>
        <w:rPr/>
        <w:t>is</w:t>
      </w:r>
      <w:r>
        <w:rPr>
          <w:spacing w:val="-14"/>
        </w:rPr>
        <w:t> </w:t>
      </w:r>
      <w:r>
        <w:rPr/>
        <w:t>to</w:t>
      </w:r>
      <w:r>
        <w:rPr>
          <w:spacing w:val="-12"/>
        </w:rPr>
        <w:t> </w:t>
      </w:r>
      <w:r>
        <w:rPr/>
        <w:t>construct</w:t>
      </w:r>
      <w:r>
        <w:rPr>
          <w:spacing w:val="-58"/>
        </w:rPr>
        <w:t> </w:t>
      </w:r>
      <w:r>
        <w:rPr/>
        <w:t>the</w:t>
      </w:r>
      <w:r>
        <w:rPr>
          <w:spacing w:val="-1"/>
        </w:rPr>
        <w:t> </w:t>
      </w:r>
      <w:r>
        <w:rPr/>
        <w:t>CLT</w:t>
      </w:r>
      <w:r>
        <w:rPr>
          <w:spacing w:val="-1"/>
        </w:rPr>
        <w:t> </w:t>
      </w:r>
      <w:r>
        <w:rPr/>
        <w:t>structure</w:t>
      </w:r>
      <w:r>
        <w:rPr>
          <w:spacing w:val="-1"/>
        </w:rPr>
        <w:t> </w:t>
      </w:r>
      <w:r>
        <w:rPr/>
        <w:t>on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</w:t>
      </w:r>
      <w:r>
        <w:rPr/>
        <w:t>concrete pedestal</w:t>
      </w:r>
      <w:r>
        <w:rPr>
          <w:spacing w:val="-1"/>
        </w:rPr>
        <w:t> </w:t>
      </w:r>
      <w:r>
        <w:rPr/>
        <w:t>foundation although</w:t>
      </w:r>
      <w:r>
        <w:rPr>
          <w:spacing w:val="-3"/>
        </w:rPr>
        <w:t> </w:t>
      </w:r>
      <w:r>
        <w:rPr/>
        <w:t>this is</w:t>
      </w:r>
      <w:r>
        <w:rPr>
          <w:spacing w:val="-1"/>
        </w:rPr>
        <w:t> </w:t>
      </w:r>
      <w:r>
        <w:rPr/>
        <w:t>not</w:t>
      </w:r>
      <w:r>
        <w:rPr>
          <w:spacing w:val="-1"/>
        </w:rPr>
        <w:t> </w:t>
      </w:r>
      <w:r>
        <w:rPr/>
        <w:t>required.</w:t>
      </w:r>
    </w:p>
    <w:p>
      <w:pPr>
        <w:pStyle w:val="BodyText"/>
        <w:spacing w:line="480" w:lineRule="auto" w:before="160"/>
        <w:ind w:left="440" w:right="257" w:firstLine="720"/>
        <w:jc w:val="both"/>
      </w:pPr>
      <w:r>
        <w:rPr>
          <w:spacing w:val="-1"/>
        </w:rPr>
        <w:t>While</w:t>
      </w:r>
      <w:r>
        <w:rPr>
          <w:spacing w:val="-14"/>
        </w:rPr>
        <w:t> </w:t>
      </w:r>
      <w:r>
        <w:rPr>
          <w:spacing w:val="-1"/>
        </w:rPr>
        <w:t>not</w:t>
      </w:r>
      <w:r>
        <w:rPr>
          <w:spacing w:val="-14"/>
        </w:rPr>
        <w:t> </w:t>
      </w:r>
      <w:r>
        <w:rPr/>
        <w:t>unique</w:t>
      </w:r>
      <w:r>
        <w:rPr>
          <w:spacing w:val="-14"/>
        </w:rPr>
        <w:t> </w:t>
      </w:r>
      <w:r>
        <w:rPr/>
        <w:t>to</w:t>
      </w:r>
      <w:r>
        <w:rPr>
          <w:spacing w:val="-15"/>
        </w:rPr>
        <w:t> </w:t>
      </w:r>
      <w:r>
        <w:rPr/>
        <w:t>the</w:t>
      </w:r>
      <w:r>
        <w:rPr>
          <w:spacing w:val="-13"/>
        </w:rPr>
        <w:t> </w:t>
      </w:r>
      <w:r>
        <w:rPr/>
        <w:t>material,</w:t>
      </w:r>
      <w:r>
        <w:rPr>
          <w:spacing w:val="-15"/>
        </w:rPr>
        <w:t> </w:t>
      </w:r>
      <w:r>
        <w:rPr/>
        <w:t>other</w:t>
      </w:r>
      <w:r>
        <w:rPr>
          <w:spacing w:val="-15"/>
        </w:rPr>
        <w:t> </w:t>
      </w:r>
      <w:r>
        <w:rPr/>
        <w:t>disadvantages</w:t>
      </w:r>
      <w:r>
        <w:rPr>
          <w:spacing w:val="-14"/>
        </w:rPr>
        <w:t> </w:t>
      </w:r>
      <w:r>
        <w:rPr/>
        <w:t>of</w:t>
      </w:r>
      <w:r>
        <w:rPr>
          <w:spacing w:val="-15"/>
        </w:rPr>
        <w:t> </w:t>
      </w:r>
      <w:r>
        <w:rPr/>
        <w:t>CLT</w:t>
      </w:r>
      <w:r>
        <w:rPr>
          <w:spacing w:val="-14"/>
        </w:rPr>
        <w:t> </w:t>
      </w:r>
      <w:r>
        <w:rPr/>
        <w:t>include</w:t>
      </w:r>
      <w:r>
        <w:rPr>
          <w:spacing w:val="-14"/>
        </w:rPr>
        <w:t> </w:t>
      </w:r>
      <w:r>
        <w:rPr/>
        <w:t>transportation</w:t>
      </w:r>
      <w:r>
        <w:rPr>
          <w:spacing w:val="-58"/>
        </w:rPr>
        <w:t> </w:t>
      </w:r>
      <w:r>
        <w:rPr/>
        <w:t>requirements of the large prefabricated pieces, the absence of wood in some areas, the</w:t>
      </w:r>
      <w:r>
        <w:rPr>
          <w:spacing w:val="1"/>
        </w:rPr>
        <w:t> </w:t>
      </w:r>
      <w:r>
        <w:rPr/>
        <w:t>current limited knowledge with respect to the design and construction of the product,</w:t>
      </w:r>
      <w:r>
        <w:rPr>
          <w:spacing w:val="1"/>
        </w:rPr>
        <w:t> </w:t>
      </w:r>
      <w:r>
        <w:rPr/>
        <w:t>perceived concerns with creep due to long-duration loading, fire resistance, and sound</w:t>
      </w:r>
      <w:r>
        <w:rPr>
          <w:spacing w:val="1"/>
        </w:rPr>
        <w:t> </w:t>
      </w:r>
      <w:r>
        <w:rPr/>
        <w:t>insulation. The transportation issue can be mitigated through the design of smaller pieces.</w:t>
      </w:r>
      <w:r>
        <w:rPr>
          <w:spacing w:val="-57"/>
        </w:rPr>
        <w:t> </w:t>
      </w:r>
      <w:r>
        <w:rPr/>
        <w:t>In the decision-making process, the transportation costs of using larger panels should be</w:t>
      </w:r>
      <w:r>
        <w:rPr>
          <w:spacing w:val="1"/>
        </w:rPr>
        <w:t> </w:t>
      </w:r>
      <w:r>
        <w:rPr/>
        <w:t>balanced with the benefit of rapid construction and fewer connections.</w:t>
      </w:r>
      <w:r>
        <w:rPr>
          <w:spacing w:val="1"/>
        </w:rPr>
        <w:t> </w:t>
      </w:r>
      <w:r>
        <w:rPr/>
        <w:t>The absence of</w:t>
      </w:r>
      <w:r>
        <w:rPr>
          <w:spacing w:val="1"/>
        </w:rPr>
        <w:t> </w:t>
      </w:r>
      <w:r>
        <w:rPr/>
        <w:t>local wood product can hinder the use of any wood product including CLT and there may</w:t>
      </w:r>
      <w:r>
        <w:rPr>
          <w:spacing w:val="-57"/>
        </w:rPr>
        <w:t> </w:t>
      </w:r>
      <w:r>
        <w:rPr/>
        <w:t>be areas where wood of any variety is not an ideal construction material due to limited</w:t>
      </w:r>
      <w:r>
        <w:rPr>
          <w:spacing w:val="1"/>
        </w:rPr>
        <w:t> </w:t>
      </w:r>
      <w:r>
        <w:rPr/>
        <w:t>availability</w:t>
      </w:r>
      <w:r>
        <w:rPr>
          <w:spacing w:val="-3"/>
        </w:rPr>
        <w:t> </w:t>
      </w:r>
      <w:r>
        <w:rPr/>
        <w:t>or poor quality.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40" w:right="256" w:firstLine="720"/>
        <w:jc w:val="both"/>
      </w:pPr>
      <w:r>
        <w:rPr/>
        <w:t>Load</w:t>
      </w:r>
      <w:r>
        <w:rPr>
          <w:spacing w:val="-11"/>
        </w:rPr>
        <w:t> </w:t>
      </w:r>
      <w:r>
        <w:rPr/>
        <w:t>duration</w:t>
      </w:r>
      <w:r>
        <w:rPr>
          <w:spacing w:val="-10"/>
        </w:rPr>
        <w:t> </w:t>
      </w:r>
      <w:r>
        <w:rPr/>
        <w:t>and</w:t>
      </w:r>
      <w:r>
        <w:rPr>
          <w:spacing w:val="-10"/>
        </w:rPr>
        <w:t> </w:t>
      </w:r>
      <w:r>
        <w:rPr/>
        <w:t>creep</w:t>
      </w:r>
      <w:r>
        <w:rPr>
          <w:spacing w:val="-11"/>
        </w:rPr>
        <w:t> </w:t>
      </w:r>
      <w:r>
        <w:rPr/>
        <w:t>behavior</w:t>
      </w:r>
      <w:r>
        <w:rPr>
          <w:spacing w:val="-11"/>
        </w:rPr>
        <w:t> </w:t>
      </w:r>
      <w:r>
        <w:rPr/>
        <w:t>are</w:t>
      </w:r>
      <w:r>
        <w:rPr>
          <w:spacing w:val="-11"/>
        </w:rPr>
        <w:t> </w:t>
      </w:r>
      <w:r>
        <w:rPr/>
        <w:t>critical</w:t>
      </w:r>
      <w:r>
        <w:rPr>
          <w:spacing w:val="-11"/>
        </w:rPr>
        <w:t> </w:t>
      </w:r>
      <w:r>
        <w:rPr/>
        <w:t>considerations</w:t>
      </w:r>
      <w:r>
        <w:rPr>
          <w:spacing w:val="-12"/>
        </w:rPr>
        <w:t> </w:t>
      </w:r>
      <w:r>
        <w:rPr/>
        <w:t>in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structural</w:t>
      </w:r>
      <w:r>
        <w:rPr>
          <w:spacing w:val="-9"/>
        </w:rPr>
        <w:t> </w:t>
      </w:r>
      <w:r>
        <w:rPr/>
        <w:t>design</w:t>
      </w:r>
      <w:r>
        <w:rPr>
          <w:spacing w:val="-58"/>
        </w:rPr>
        <w:t> </w:t>
      </w:r>
      <w:r>
        <w:rPr/>
        <w:t>when using CLT as a building material.</w:t>
      </w:r>
      <w:r>
        <w:rPr>
          <w:spacing w:val="1"/>
        </w:rPr>
        <w:t> </w:t>
      </w:r>
      <w:r>
        <w:rPr/>
        <w:t>The cross-wise nature of the layers makes CLT</w:t>
      </w:r>
      <w:r>
        <w:rPr>
          <w:spacing w:val="1"/>
        </w:rPr>
        <w:t> </w:t>
      </w:r>
      <w:r>
        <w:rPr/>
        <w:t>more likely to experience issues in terms of creep than in other engineered wood products</w:t>
      </w:r>
      <w:r>
        <w:rPr>
          <w:spacing w:val="-57"/>
        </w:rPr>
        <w:t> </w:t>
      </w:r>
      <w:r>
        <w:rPr/>
        <w:t>[68].</w:t>
      </w:r>
      <w:r>
        <w:rPr>
          <w:spacing w:val="1"/>
        </w:rPr>
        <w:t> </w:t>
      </w:r>
      <w:r>
        <w:rPr/>
        <w:t>The 2015 </w:t>
      </w:r>
      <w:r>
        <w:rPr>
          <w:i/>
        </w:rPr>
        <w:t>National Design Specification for Wood Construction </w:t>
      </w:r>
      <w:r>
        <w:rPr/>
        <w:t>(NDS) included</w:t>
      </w:r>
      <w:r>
        <w:rPr>
          <w:spacing w:val="1"/>
        </w:rPr>
        <w:t> </w:t>
      </w:r>
      <w:r>
        <w:rPr/>
        <w:t>design provisions specifically for CLT.</w:t>
      </w:r>
      <w:r>
        <w:rPr>
          <w:spacing w:val="1"/>
        </w:rPr>
        <w:t> </w:t>
      </w:r>
      <w:r>
        <w:rPr/>
        <w:t>In the standard, a time dependent deformation</w:t>
      </w:r>
      <w:r>
        <w:rPr>
          <w:spacing w:val="1"/>
        </w:rPr>
        <w:t> </w:t>
      </w:r>
      <w:r>
        <w:rPr/>
        <w:t>(creep) factor of 2.0 is specified for design of CLT in dry-service conditions [19].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sections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standard include CLT</w:t>
      </w:r>
      <w:r>
        <w:rPr>
          <w:spacing w:val="-2"/>
        </w:rPr>
        <w:t> </w:t>
      </w:r>
      <w:r>
        <w:rPr/>
        <w:t>connections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fire design provisions.</w:t>
      </w:r>
    </w:p>
    <w:p>
      <w:pPr>
        <w:pStyle w:val="BodyText"/>
        <w:spacing w:line="480" w:lineRule="auto" w:before="160"/>
        <w:ind w:left="440" w:right="229" w:firstLine="720"/>
      </w:pPr>
      <w:r>
        <w:rPr/>
        <w:t>Sound transmission or the acoustics of buildings is a large area of research on its</w:t>
      </w:r>
      <w:r>
        <w:rPr>
          <w:spacing w:val="1"/>
        </w:rPr>
        <w:t> </w:t>
      </w:r>
      <w:r>
        <w:rPr/>
        <w:t>own.</w:t>
      </w:r>
      <w:r>
        <w:rPr>
          <w:spacing w:val="1"/>
        </w:rPr>
        <w:t> </w:t>
      </w:r>
      <w:r>
        <w:rPr/>
        <w:t>The main concern with the introduction of a new construction material with respect</w:t>
      </w:r>
      <w:r>
        <w:rPr>
          <w:spacing w:val="-57"/>
        </w:rPr>
        <w:t> </w:t>
      </w:r>
      <w:r>
        <w:rPr/>
        <w:t>to sound transmission ties to the IBC’s minimum requirements for sound insulation</w:t>
      </w:r>
      <w:r>
        <w:rPr>
          <w:spacing w:val="1"/>
        </w:rPr>
        <w:t> </w:t>
      </w:r>
      <w:r>
        <w:rPr/>
        <w:t>between adjacent areas.</w:t>
      </w:r>
      <w:r>
        <w:rPr>
          <w:spacing w:val="1"/>
        </w:rPr>
        <w:t> </w:t>
      </w:r>
      <w:r>
        <w:rPr/>
        <w:t>These areas include adjacent living and work areas, or living and</w:t>
      </w:r>
      <w:r>
        <w:rPr>
          <w:spacing w:val="-57"/>
        </w:rPr>
        <w:t> </w:t>
      </w:r>
      <w:r>
        <w:rPr/>
        <w:t>work areas adjacent to public spaces like halls and stairwells.</w:t>
      </w:r>
      <w:r>
        <w:rPr>
          <w:spacing w:val="1"/>
        </w:rPr>
        <w:t> </w:t>
      </w:r>
      <w:r>
        <w:rPr/>
        <w:t>Despite some challenges in</w:t>
      </w:r>
      <w:r>
        <w:rPr>
          <w:spacing w:val="-57"/>
        </w:rPr>
        <w:t> </w:t>
      </w:r>
      <w:r>
        <w:rPr/>
        <w:t>terms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achieving</w:t>
      </w:r>
      <w:r>
        <w:rPr>
          <w:spacing w:val="-2"/>
        </w:rPr>
        <w:t> </w:t>
      </w:r>
      <w:r>
        <w:rPr/>
        <w:t>required</w:t>
      </w:r>
      <w:r>
        <w:rPr>
          <w:spacing w:val="-1"/>
        </w:rPr>
        <w:t> </w:t>
      </w:r>
      <w:r>
        <w:rPr/>
        <w:t>sound</w:t>
      </w:r>
      <w:r>
        <w:rPr>
          <w:spacing w:val="-1"/>
        </w:rPr>
        <w:t> </w:t>
      </w:r>
      <w:r>
        <w:rPr/>
        <w:t>ratings on</w:t>
      </w:r>
      <w:r>
        <w:rPr>
          <w:spacing w:val="-1"/>
        </w:rPr>
        <w:t> </w:t>
      </w:r>
      <w:r>
        <w:rPr/>
        <w:t>its</w:t>
      </w:r>
      <w:r>
        <w:rPr>
          <w:spacing w:val="-2"/>
        </w:rPr>
        <w:t> </w:t>
      </w:r>
      <w:r>
        <w:rPr/>
        <w:t>own, CLT</w:t>
      </w:r>
      <w:r>
        <w:rPr>
          <w:spacing w:val="-2"/>
        </w:rPr>
        <w:t> </w:t>
      </w:r>
      <w:r>
        <w:rPr/>
        <w:t>does</w:t>
      </w:r>
      <w:r>
        <w:rPr>
          <w:spacing w:val="-1"/>
        </w:rPr>
        <w:t> </w:t>
      </w:r>
      <w:r>
        <w:rPr/>
        <w:t>offer some</w:t>
      </w:r>
      <w:r>
        <w:rPr>
          <w:spacing w:val="-1"/>
        </w:rPr>
        <w:t> </w:t>
      </w:r>
      <w:r>
        <w:rPr/>
        <w:t>advantages.</w:t>
      </w:r>
    </w:p>
    <w:p>
      <w:pPr>
        <w:pStyle w:val="BodyText"/>
        <w:spacing w:line="480" w:lineRule="auto"/>
        <w:ind w:left="440" w:right="279"/>
      </w:pPr>
      <w:r>
        <w:rPr/>
        <w:t>Due to its customizable nature, CLT structures typically have the tight tolerances that are</w:t>
      </w:r>
      <w:r>
        <w:rPr>
          <w:spacing w:val="1"/>
        </w:rPr>
        <w:t> </w:t>
      </w:r>
      <w:r>
        <w:rPr/>
        <w:t>important to limiting sound transmission.</w:t>
      </w:r>
      <w:r>
        <w:rPr>
          <w:spacing w:val="1"/>
        </w:rPr>
        <w:t> </w:t>
      </w:r>
      <w:r>
        <w:rPr/>
        <w:t>Cracks at wall and floor junctions, utility</w:t>
      </w:r>
      <w:r>
        <w:rPr>
          <w:spacing w:val="1"/>
        </w:rPr>
        <w:t> </w:t>
      </w:r>
      <w:r>
        <w:rPr/>
        <w:t>connections, and insets are where flanking noise — sound that transmits indirectly</w:t>
      </w:r>
      <w:r>
        <w:rPr>
          <w:spacing w:val="1"/>
        </w:rPr>
        <w:t> </w:t>
      </w:r>
      <w:r>
        <w:rPr/>
        <w:t>through spaces — leaks through even when the main separating system has good acoustic</w:t>
      </w:r>
      <w:r>
        <w:rPr>
          <w:spacing w:val="-57"/>
        </w:rPr>
        <w:t> </w:t>
      </w:r>
      <w:r>
        <w:rPr/>
        <w:t>insulation</w:t>
      </w:r>
      <w:r>
        <w:rPr>
          <w:spacing w:val="2"/>
        </w:rPr>
        <w:t> </w:t>
      </w:r>
      <w:r>
        <w:rPr/>
        <w:t>[68].</w:t>
      </w:r>
      <w:r>
        <w:rPr>
          <w:spacing w:val="61"/>
        </w:rPr>
        <w:t> </w:t>
      </w:r>
      <w:r>
        <w:rPr/>
        <w:t>Building</w:t>
      </w:r>
      <w:r>
        <w:rPr>
          <w:spacing w:val="3"/>
        </w:rPr>
        <w:t> </w:t>
      </w:r>
      <w:r>
        <w:rPr/>
        <w:t>assemblies</w:t>
      </w:r>
      <w:r>
        <w:rPr>
          <w:spacing w:val="1"/>
        </w:rPr>
        <w:t> </w:t>
      </w:r>
      <w:r>
        <w:rPr/>
        <w:t>can</w:t>
      </w:r>
      <w:r>
        <w:rPr>
          <w:spacing w:val="2"/>
        </w:rPr>
        <w:t> </w:t>
      </w:r>
      <w:r>
        <w:rPr/>
        <w:t>be</w:t>
      </w:r>
      <w:r>
        <w:rPr>
          <w:spacing w:val="3"/>
        </w:rPr>
        <w:t> </w:t>
      </w:r>
      <w:r>
        <w:rPr/>
        <w:t>rated with</w:t>
      </w:r>
      <w:r>
        <w:rPr>
          <w:spacing w:val="2"/>
        </w:rPr>
        <w:t> </w:t>
      </w:r>
      <w:r>
        <w:rPr/>
        <w:t>a</w:t>
      </w:r>
      <w:r>
        <w:rPr>
          <w:spacing w:val="3"/>
        </w:rPr>
        <w:t> </w:t>
      </w:r>
      <w:r>
        <w:rPr/>
        <w:t>single</w:t>
      </w:r>
      <w:r>
        <w:rPr>
          <w:spacing w:val="1"/>
        </w:rPr>
        <w:t> </w:t>
      </w:r>
      <w:r>
        <w:rPr/>
        <w:t>number</w:t>
      </w:r>
      <w:r>
        <w:rPr>
          <w:spacing w:val="2"/>
        </w:rPr>
        <w:t> </w:t>
      </w:r>
      <w:r>
        <w:rPr/>
        <w:t>for</w:t>
      </w:r>
      <w:r>
        <w:rPr>
          <w:spacing w:val="2"/>
        </w:rPr>
        <w:t> </w:t>
      </w:r>
      <w:r>
        <w:rPr/>
        <w:t>airborne</w:t>
      </w:r>
      <w:r>
        <w:rPr>
          <w:spacing w:val="1"/>
        </w:rPr>
        <w:t> </w:t>
      </w:r>
      <w:r>
        <w:rPr/>
        <w:t>sound insulation, the Sound Transmission Class (STC).</w:t>
      </w:r>
      <w:r>
        <w:rPr>
          <w:spacing w:val="60"/>
        </w:rPr>
        <w:t> </w:t>
      </w:r>
      <w:r>
        <w:rPr/>
        <w:t>A higher STC indicates less</w:t>
      </w:r>
      <w:r>
        <w:rPr>
          <w:spacing w:val="1"/>
        </w:rPr>
        <w:t> </w:t>
      </w:r>
      <w:r>
        <w:rPr/>
        <w:t>noise</w:t>
      </w:r>
      <w:r>
        <w:rPr>
          <w:spacing w:val="3"/>
        </w:rPr>
        <w:t> </w:t>
      </w:r>
      <w:r>
        <w:rPr/>
        <w:t>passage</w:t>
      </w:r>
      <w:r>
        <w:rPr>
          <w:spacing w:val="3"/>
        </w:rPr>
        <w:t> </w:t>
      </w:r>
      <w:r>
        <w:rPr/>
        <w:t>and</w:t>
      </w:r>
      <w:r>
        <w:rPr>
          <w:spacing w:val="4"/>
        </w:rPr>
        <w:t> </w:t>
      </w:r>
      <w:r>
        <w:rPr/>
        <w:t>greater</w:t>
      </w:r>
      <w:r>
        <w:rPr>
          <w:spacing w:val="3"/>
        </w:rPr>
        <w:t> </w:t>
      </w:r>
      <w:r>
        <w:rPr/>
        <w:t>acoustic</w:t>
      </w:r>
      <w:r>
        <w:rPr>
          <w:spacing w:val="2"/>
        </w:rPr>
        <w:t> </w:t>
      </w:r>
      <w:r>
        <w:rPr/>
        <w:t>insulation.</w:t>
      </w:r>
      <w:r>
        <w:rPr>
          <w:spacing w:val="63"/>
        </w:rPr>
        <w:t> </w:t>
      </w:r>
      <w:r>
        <w:rPr/>
        <w:t>Similarly,</w:t>
      </w:r>
      <w:r>
        <w:rPr>
          <w:spacing w:val="2"/>
        </w:rPr>
        <w:t> </w:t>
      </w:r>
      <w:r>
        <w:rPr/>
        <w:t>the</w:t>
      </w:r>
      <w:r>
        <w:rPr>
          <w:spacing w:val="3"/>
        </w:rPr>
        <w:t> </w:t>
      </w:r>
      <w:r>
        <w:rPr/>
        <w:t>Impact</w:t>
      </w:r>
      <w:r>
        <w:rPr>
          <w:spacing w:val="3"/>
        </w:rPr>
        <w:t> </w:t>
      </w:r>
      <w:r>
        <w:rPr/>
        <w:t>Insulation</w:t>
      </w:r>
      <w:r>
        <w:rPr>
          <w:spacing w:val="3"/>
        </w:rPr>
        <w:t> </w:t>
      </w:r>
      <w:r>
        <w:rPr/>
        <w:t>Class</w:t>
      </w:r>
      <w:r>
        <w:rPr>
          <w:spacing w:val="1"/>
        </w:rPr>
        <w:t> </w:t>
      </w:r>
      <w:r>
        <w:rPr/>
        <w:t>(IIC) is a single number rating for wall and floor assemblies with respect to impact sound</w:t>
      </w:r>
      <w:r>
        <w:rPr>
          <w:spacing w:val="-57"/>
        </w:rPr>
        <w:t> </w:t>
      </w:r>
      <w:r>
        <w:rPr/>
        <w:t>insulation. The IIC indicates how well a floor assembly reduces the footstep sounds from</w:t>
      </w:r>
      <w:r>
        <w:rPr>
          <w:spacing w:val="1"/>
        </w:rPr>
        <w:t> </w:t>
      </w:r>
      <w:r>
        <w:rPr/>
        <w:t>the</w:t>
      </w:r>
      <w:r>
        <w:rPr>
          <w:spacing w:val="-2"/>
        </w:rPr>
        <w:t> </w:t>
      </w:r>
      <w:r>
        <w:rPr/>
        <w:t>floor</w:t>
      </w:r>
      <w:r>
        <w:rPr>
          <w:spacing w:val="-1"/>
        </w:rPr>
        <w:t> </w:t>
      </w:r>
      <w:r>
        <w:rPr/>
        <w:t>above.</w:t>
      </w:r>
      <w:r>
        <w:rPr>
          <w:spacing w:val="58"/>
        </w:rPr>
        <w:t> </w:t>
      </w:r>
      <w:r>
        <w:rPr/>
        <w:t>CLT</w:t>
      </w:r>
      <w:r>
        <w:rPr>
          <w:spacing w:val="-2"/>
        </w:rPr>
        <w:t> </w:t>
      </w:r>
      <w:r>
        <w:rPr/>
        <w:t>characteristics</w:t>
      </w:r>
      <w:r>
        <w:rPr>
          <w:spacing w:val="-2"/>
        </w:rPr>
        <w:t> </w:t>
      </w:r>
      <w:r>
        <w:rPr/>
        <w:t>like</w:t>
      </w:r>
      <w:r>
        <w:rPr>
          <w:spacing w:val="-1"/>
        </w:rPr>
        <w:t> </w:t>
      </w:r>
      <w:r>
        <w:rPr/>
        <w:t>weight</w:t>
      </w:r>
      <w:r>
        <w:rPr>
          <w:spacing w:val="-2"/>
        </w:rPr>
        <w:t> </w:t>
      </w:r>
      <w:r>
        <w:rPr/>
        <w:t>per</w:t>
      </w:r>
      <w:r>
        <w:rPr>
          <w:spacing w:val="-1"/>
        </w:rPr>
        <w:t> </w:t>
      </w:r>
      <w:r>
        <w:rPr/>
        <w:t>unit</w:t>
      </w:r>
      <w:r>
        <w:rPr>
          <w:spacing w:val="-1"/>
        </w:rPr>
        <w:t> </w:t>
      </w:r>
      <w:r>
        <w:rPr/>
        <w:t>area,</w:t>
      </w:r>
      <w:r>
        <w:rPr>
          <w:spacing w:val="-1"/>
        </w:rPr>
        <w:t> </w:t>
      </w:r>
      <w:r>
        <w:rPr/>
        <w:t>stiffness,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porosity</w:t>
      </w:r>
      <w:r>
        <w:rPr>
          <w:spacing w:val="-3"/>
        </w:rPr>
        <w:t> </w:t>
      </w:r>
      <w:r>
        <w:rPr/>
        <w:t>all</w:t>
      </w:r>
    </w:p>
    <w:p>
      <w:pPr>
        <w:spacing w:after="0" w:line="480" w:lineRule="auto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40" w:right="402"/>
      </w:pPr>
      <w:r>
        <w:rPr/>
        <w:t>contribute to its performance as a sound insulator.</w:t>
      </w:r>
      <w:r>
        <w:rPr>
          <w:spacing w:val="1"/>
        </w:rPr>
        <w:t> </w:t>
      </w:r>
      <w:hyperlink w:history="true" w:anchor="_bookmark6">
        <w:r>
          <w:rPr/>
          <w:t>Table 2-6</w:t>
        </w:r>
      </w:hyperlink>
      <w:r>
        <w:rPr/>
        <w:t> shows sound ratings for</w:t>
      </w:r>
      <w:r>
        <w:rPr>
          <w:spacing w:val="1"/>
        </w:rPr>
        <w:t> </w:t>
      </w:r>
      <w:r>
        <w:rPr/>
        <w:t>several common interior wall and floor assemblies compared to CLT panels of 3- and 5-</w:t>
      </w:r>
      <w:r>
        <w:rPr>
          <w:spacing w:val="-58"/>
        </w:rPr>
        <w:t> </w:t>
      </w:r>
      <w:r>
        <w:rPr/>
        <w:t>ply</w:t>
      </w:r>
      <w:r>
        <w:rPr>
          <w:spacing w:val="-1"/>
        </w:rPr>
        <w:t> </w:t>
      </w:r>
      <w:r>
        <w:rPr/>
        <w:t>thicknesses.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spacing w:before="231"/>
        <w:ind w:left="656" w:right="0" w:firstLine="0"/>
        <w:jc w:val="left"/>
        <w:rPr>
          <w:i/>
          <w:sz w:val="24"/>
        </w:rPr>
      </w:pPr>
      <w:bookmarkStart w:name="_bookmark6" w:id="60"/>
      <w:bookmarkEnd w:id="60"/>
      <w:r>
        <w:rPr/>
      </w:r>
      <w:r>
        <w:rPr>
          <w:i/>
          <w:sz w:val="24"/>
        </w:rPr>
        <w:t>Table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2-6.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Sound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ratings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common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wall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floor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assemblies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compared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CLT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[9].</w:t>
      </w:r>
    </w:p>
    <w:p>
      <w:pPr>
        <w:pStyle w:val="BodyText"/>
        <w:spacing w:before="4" w:after="1"/>
        <w:rPr>
          <w:i/>
          <w:sz w:val="17"/>
        </w:rPr>
      </w:pPr>
    </w:p>
    <w:tbl>
      <w:tblPr>
        <w:tblW w:w="0" w:type="auto"/>
        <w:jc w:val="left"/>
        <w:tblInd w:w="9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741"/>
        <w:gridCol w:w="1000"/>
        <w:gridCol w:w="960"/>
      </w:tblGrid>
      <w:tr>
        <w:trPr>
          <w:trHeight w:val="300" w:hRule="atLeast"/>
        </w:trPr>
        <w:tc>
          <w:tcPr>
            <w:tcW w:w="5741" w:type="dxa"/>
            <w:shd w:val="clear" w:color="auto" w:fill="C0C0C0"/>
          </w:tcPr>
          <w:p>
            <w:pPr>
              <w:pStyle w:val="TableParagraph"/>
              <w:spacing w:line="234" w:lineRule="exact" w:before="46"/>
              <w:ind w:left="1834"/>
              <w:rPr>
                <w:sz w:val="22"/>
              </w:rPr>
            </w:pPr>
            <w:r>
              <w:rPr>
                <w:sz w:val="22"/>
              </w:rPr>
              <w:t>Assembly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Composition</w:t>
            </w:r>
          </w:p>
        </w:tc>
        <w:tc>
          <w:tcPr>
            <w:tcW w:w="1000" w:type="dxa"/>
            <w:shd w:val="clear" w:color="auto" w:fill="C0C0C0"/>
          </w:tcPr>
          <w:p>
            <w:pPr>
              <w:pStyle w:val="TableParagraph"/>
              <w:spacing w:line="234" w:lineRule="exact" w:before="46"/>
              <w:ind w:left="226" w:right="209"/>
              <w:jc w:val="center"/>
              <w:rPr>
                <w:sz w:val="22"/>
              </w:rPr>
            </w:pPr>
            <w:r>
              <w:rPr>
                <w:sz w:val="22"/>
              </w:rPr>
              <w:t>STC</w:t>
            </w:r>
          </w:p>
        </w:tc>
        <w:tc>
          <w:tcPr>
            <w:tcW w:w="960" w:type="dxa"/>
            <w:shd w:val="clear" w:color="auto" w:fill="C0C0C0"/>
          </w:tcPr>
          <w:p>
            <w:pPr>
              <w:pStyle w:val="TableParagraph"/>
              <w:spacing w:line="234" w:lineRule="exact" w:before="46"/>
              <w:ind w:left="115" w:right="98"/>
              <w:jc w:val="center"/>
              <w:rPr>
                <w:sz w:val="22"/>
              </w:rPr>
            </w:pPr>
            <w:r>
              <w:rPr>
                <w:sz w:val="22"/>
              </w:rPr>
              <w:t>IIC</w:t>
            </w:r>
          </w:p>
        </w:tc>
      </w:tr>
      <w:tr>
        <w:trPr>
          <w:trHeight w:val="300" w:hRule="atLeast"/>
        </w:trPr>
        <w:tc>
          <w:tcPr>
            <w:tcW w:w="7701" w:type="dxa"/>
            <w:gridSpan w:val="3"/>
          </w:tcPr>
          <w:p>
            <w:pPr>
              <w:pStyle w:val="TableParagraph"/>
              <w:spacing w:line="233" w:lineRule="exact" w:before="47"/>
              <w:ind w:left="2715" w:right="2697"/>
              <w:jc w:val="center"/>
              <w:rPr>
                <w:i/>
                <w:sz w:val="22"/>
              </w:rPr>
            </w:pPr>
            <w:r>
              <w:rPr>
                <w:i/>
                <w:sz w:val="22"/>
              </w:rPr>
              <w:t>Interior</w:t>
            </w:r>
            <w:r>
              <w:rPr>
                <w:i/>
                <w:spacing w:val="-5"/>
                <w:sz w:val="22"/>
              </w:rPr>
              <w:t> </w:t>
            </w:r>
            <w:r>
              <w:rPr>
                <w:i/>
                <w:sz w:val="22"/>
              </w:rPr>
              <w:t>wall</w:t>
            </w:r>
            <w:r>
              <w:rPr>
                <w:i/>
                <w:spacing w:val="-3"/>
                <w:sz w:val="22"/>
              </w:rPr>
              <w:t> </w:t>
            </w:r>
            <w:r>
              <w:rPr>
                <w:i/>
                <w:sz w:val="22"/>
              </w:rPr>
              <w:t>examples</w:t>
            </w:r>
          </w:p>
        </w:tc>
      </w:tr>
      <w:tr>
        <w:trPr>
          <w:trHeight w:val="289" w:hRule="atLeast"/>
        </w:trPr>
        <w:tc>
          <w:tcPr>
            <w:tcW w:w="5741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3" w:lineRule="exact" w:before="36"/>
              <w:ind w:left="108"/>
              <w:rPr>
                <w:b/>
                <w:sz w:val="22"/>
              </w:rPr>
            </w:pPr>
            <w:r>
              <w:rPr>
                <w:b/>
                <w:sz w:val="22"/>
              </w:rPr>
              <w:t>3-ply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CLT</w:t>
            </w:r>
          </w:p>
        </w:tc>
        <w:tc>
          <w:tcPr>
            <w:tcW w:w="100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3" w:lineRule="exact" w:before="36"/>
              <w:ind w:left="227" w:right="209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32-34</w:t>
            </w:r>
          </w:p>
        </w:tc>
        <w:tc>
          <w:tcPr>
            <w:tcW w:w="960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33" w:lineRule="exact" w:before="36"/>
              <w:ind w:left="316" w:right="29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n/a</w:t>
            </w:r>
          </w:p>
        </w:tc>
      </w:tr>
      <w:tr>
        <w:trPr>
          <w:trHeight w:val="289" w:hRule="atLeast"/>
        </w:trPr>
        <w:tc>
          <w:tcPr>
            <w:tcW w:w="574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108"/>
              <w:rPr>
                <w:sz w:val="22"/>
              </w:rPr>
            </w:pPr>
            <w:r>
              <w:rPr>
                <w:sz w:val="22"/>
              </w:rPr>
              <w:t>1/2"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gypsum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&amp;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3/16"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plywood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227" w:right="208"/>
              <w:jc w:val="center"/>
              <w:rPr>
                <w:sz w:val="22"/>
              </w:rPr>
            </w:pPr>
            <w:r>
              <w:rPr>
                <w:sz w:val="22"/>
              </w:rPr>
              <w:t>28</w:t>
            </w: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316" w:right="293"/>
              <w:jc w:val="center"/>
              <w:rPr>
                <w:sz w:val="22"/>
              </w:rPr>
            </w:pPr>
            <w:r>
              <w:rPr>
                <w:sz w:val="22"/>
              </w:rPr>
              <w:t>n/a</w:t>
            </w:r>
          </w:p>
        </w:tc>
      </w:tr>
      <w:tr>
        <w:trPr>
          <w:trHeight w:val="505" w:hRule="atLeast"/>
        </w:trPr>
        <w:tc>
          <w:tcPr>
            <w:tcW w:w="574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4" w:lineRule="exact"/>
              <w:ind w:left="108" w:right="129"/>
              <w:rPr>
                <w:sz w:val="22"/>
              </w:rPr>
            </w:pPr>
            <w:r>
              <w:rPr>
                <w:sz w:val="22"/>
              </w:rPr>
              <w:t>2x4" studs, 16" on center (o.c.) &amp; 5/8" gypsum board screwed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studs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spacing w:line="234" w:lineRule="exact"/>
              <w:ind w:left="227" w:right="209"/>
              <w:jc w:val="center"/>
              <w:rPr>
                <w:sz w:val="22"/>
              </w:rPr>
            </w:pPr>
            <w:r>
              <w:rPr>
                <w:sz w:val="22"/>
              </w:rPr>
              <w:t>28-35</w:t>
            </w: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spacing w:line="234" w:lineRule="exact"/>
              <w:ind w:left="316" w:right="293"/>
              <w:jc w:val="center"/>
              <w:rPr>
                <w:sz w:val="22"/>
              </w:rPr>
            </w:pPr>
            <w:r>
              <w:rPr>
                <w:sz w:val="22"/>
              </w:rPr>
              <w:t>n/a</w:t>
            </w:r>
          </w:p>
        </w:tc>
      </w:tr>
      <w:tr>
        <w:trPr>
          <w:trHeight w:val="288" w:hRule="atLeast"/>
        </w:trPr>
        <w:tc>
          <w:tcPr>
            <w:tcW w:w="574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3"/>
              <w:ind w:left="108"/>
              <w:rPr>
                <w:sz w:val="22"/>
              </w:rPr>
            </w:pPr>
            <w:r>
              <w:rPr>
                <w:sz w:val="22"/>
              </w:rPr>
              <w:t>1/2"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gypsum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board,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no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studs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&amp;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2-1/2"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air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space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3"/>
              <w:ind w:left="227" w:right="208"/>
              <w:jc w:val="center"/>
              <w:rPr>
                <w:sz w:val="22"/>
              </w:rPr>
            </w:pPr>
            <w:r>
              <w:rPr>
                <w:sz w:val="22"/>
              </w:rPr>
              <w:t>30</w:t>
            </w: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34" w:lineRule="exact" w:before="33"/>
              <w:ind w:left="316" w:right="293"/>
              <w:jc w:val="center"/>
              <w:rPr>
                <w:sz w:val="22"/>
              </w:rPr>
            </w:pPr>
            <w:r>
              <w:rPr>
                <w:sz w:val="22"/>
              </w:rPr>
              <w:t>n/a</w:t>
            </w:r>
          </w:p>
        </w:tc>
      </w:tr>
      <w:tr>
        <w:trPr>
          <w:trHeight w:val="580" w:hRule="atLeast"/>
        </w:trPr>
        <w:tc>
          <w:tcPr>
            <w:tcW w:w="574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0" w:lineRule="atLeast" w:before="54"/>
              <w:ind w:left="108" w:right="98"/>
              <w:rPr>
                <w:sz w:val="22"/>
              </w:rPr>
            </w:pPr>
            <w:r>
              <w:rPr>
                <w:sz w:val="22"/>
              </w:rPr>
              <w:t>1-5/8" metal studs, 24" o.c. &amp; 1/2" vinyl-faced gypsum boards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screwed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to studs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rPr>
                <w:i/>
                <w:sz w:val="28"/>
              </w:rPr>
            </w:pPr>
          </w:p>
          <w:p>
            <w:pPr>
              <w:pStyle w:val="TableParagraph"/>
              <w:spacing w:line="234" w:lineRule="exact"/>
              <w:ind w:left="227" w:right="208"/>
              <w:jc w:val="center"/>
              <w:rPr>
                <w:sz w:val="22"/>
              </w:rPr>
            </w:pPr>
            <w:r>
              <w:rPr>
                <w:sz w:val="22"/>
              </w:rPr>
              <w:t>27</w:t>
            </w: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4"/>
              <w:rPr>
                <w:i/>
                <w:sz w:val="28"/>
              </w:rPr>
            </w:pPr>
          </w:p>
          <w:p>
            <w:pPr>
              <w:pStyle w:val="TableParagraph"/>
              <w:spacing w:line="234" w:lineRule="exact"/>
              <w:ind w:left="316" w:right="293"/>
              <w:jc w:val="center"/>
              <w:rPr>
                <w:sz w:val="22"/>
              </w:rPr>
            </w:pPr>
            <w:r>
              <w:rPr>
                <w:sz w:val="22"/>
              </w:rPr>
              <w:t>n/a</w:t>
            </w:r>
          </w:p>
        </w:tc>
      </w:tr>
      <w:tr>
        <w:trPr>
          <w:trHeight w:val="589" w:hRule="atLeast"/>
        </w:trPr>
        <w:tc>
          <w:tcPr>
            <w:tcW w:w="5741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0" w:lineRule="atLeast" w:before="64"/>
              <w:ind w:left="108"/>
              <w:rPr>
                <w:sz w:val="22"/>
              </w:rPr>
            </w:pPr>
            <w:r>
              <w:rPr>
                <w:sz w:val="22"/>
              </w:rPr>
              <w:t>2-1/1"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metal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studs,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24"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o.c.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&amp;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5/8"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gypsum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board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screwed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studs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rPr>
                <w:i/>
                <w:sz w:val="29"/>
              </w:rPr>
            </w:pPr>
          </w:p>
          <w:p>
            <w:pPr>
              <w:pStyle w:val="TableParagraph"/>
              <w:spacing w:line="234" w:lineRule="exact"/>
              <w:ind w:left="227" w:right="208"/>
              <w:jc w:val="center"/>
              <w:rPr>
                <w:sz w:val="22"/>
              </w:rPr>
            </w:pPr>
            <w:r>
              <w:rPr>
                <w:sz w:val="22"/>
              </w:rPr>
              <w:t>37</w:t>
            </w: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before="2"/>
              <w:rPr>
                <w:i/>
                <w:sz w:val="29"/>
              </w:rPr>
            </w:pPr>
          </w:p>
          <w:p>
            <w:pPr>
              <w:pStyle w:val="TableParagraph"/>
              <w:spacing w:line="234" w:lineRule="exact"/>
              <w:ind w:left="316" w:right="293"/>
              <w:jc w:val="center"/>
              <w:rPr>
                <w:sz w:val="22"/>
              </w:rPr>
            </w:pPr>
            <w:r>
              <w:rPr>
                <w:sz w:val="22"/>
              </w:rPr>
              <w:t>n/a</w:t>
            </w:r>
          </w:p>
        </w:tc>
      </w:tr>
      <w:tr>
        <w:trPr>
          <w:trHeight w:val="299" w:hRule="atLeast"/>
        </w:trPr>
        <w:tc>
          <w:tcPr>
            <w:tcW w:w="7701" w:type="dxa"/>
            <w:gridSpan w:val="3"/>
          </w:tcPr>
          <w:p>
            <w:pPr>
              <w:pStyle w:val="TableParagraph"/>
              <w:spacing w:line="233" w:lineRule="exact" w:before="46"/>
              <w:ind w:left="2716" w:right="2697"/>
              <w:jc w:val="center"/>
              <w:rPr>
                <w:i/>
                <w:sz w:val="22"/>
              </w:rPr>
            </w:pPr>
            <w:r>
              <w:rPr>
                <w:i/>
                <w:sz w:val="22"/>
              </w:rPr>
              <w:t>Floor</w:t>
            </w:r>
            <w:r>
              <w:rPr>
                <w:i/>
                <w:spacing w:val="-5"/>
                <w:sz w:val="22"/>
              </w:rPr>
              <w:t> </w:t>
            </w:r>
            <w:r>
              <w:rPr>
                <w:i/>
                <w:sz w:val="22"/>
              </w:rPr>
              <w:t>assembly</w:t>
            </w:r>
            <w:r>
              <w:rPr>
                <w:i/>
                <w:spacing w:val="-5"/>
                <w:sz w:val="22"/>
              </w:rPr>
              <w:t> </w:t>
            </w:r>
            <w:r>
              <w:rPr>
                <w:i/>
                <w:sz w:val="22"/>
              </w:rPr>
              <w:t>examples</w:t>
            </w:r>
          </w:p>
        </w:tc>
      </w:tr>
      <w:tr>
        <w:trPr>
          <w:trHeight w:val="290" w:hRule="atLeast"/>
        </w:trPr>
        <w:tc>
          <w:tcPr>
            <w:tcW w:w="5741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3" w:lineRule="exact" w:before="37"/>
              <w:ind w:left="108"/>
              <w:rPr>
                <w:b/>
                <w:sz w:val="22"/>
              </w:rPr>
            </w:pPr>
            <w:r>
              <w:rPr>
                <w:b/>
                <w:sz w:val="22"/>
              </w:rPr>
              <w:t>5-ply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CLT</w:t>
            </w:r>
          </w:p>
        </w:tc>
        <w:tc>
          <w:tcPr>
            <w:tcW w:w="100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3" w:lineRule="exact" w:before="37"/>
              <w:ind w:left="227" w:right="20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39</w:t>
            </w:r>
          </w:p>
        </w:tc>
        <w:tc>
          <w:tcPr>
            <w:tcW w:w="960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33" w:lineRule="exact" w:before="37"/>
              <w:ind w:left="316" w:right="293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24</w:t>
            </w:r>
          </w:p>
        </w:tc>
      </w:tr>
      <w:tr>
        <w:trPr>
          <w:trHeight w:val="290" w:hRule="atLeast"/>
        </w:trPr>
        <w:tc>
          <w:tcPr>
            <w:tcW w:w="574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108"/>
              <w:rPr>
                <w:sz w:val="22"/>
              </w:rPr>
            </w:pPr>
            <w:r>
              <w:rPr>
                <w:sz w:val="22"/>
              </w:rPr>
              <w:t>4"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thick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concrete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slab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227" w:right="208"/>
              <w:jc w:val="center"/>
              <w:rPr>
                <w:sz w:val="22"/>
              </w:rPr>
            </w:pPr>
            <w:r>
              <w:rPr>
                <w:sz w:val="22"/>
              </w:rPr>
              <w:t>44</w:t>
            </w: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316" w:right="293"/>
              <w:jc w:val="center"/>
              <w:rPr>
                <w:sz w:val="22"/>
              </w:rPr>
            </w:pPr>
            <w:r>
              <w:rPr>
                <w:sz w:val="22"/>
              </w:rPr>
              <w:t>25</w:t>
            </w:r>
          </w:p>
        </w:tc>
      </w:tr>
      <w:tr>
        <w:trPr>
          <w:trHeight w:val="290" w:hRule="atLeast"/>
        </w:trPr>
        <w:tc>
          <w:tcPr>
            <w:tcW w:w="574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108"/>
              <w:rPr>
                <w:sz w:val="22"/>
              </w:rPr>
            </w:pPr>
            <w:r>
              <w:rPr>
                <w:sz w:val="22"/>
              </w:rPr>
              <w:t>6"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thick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concrete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slab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227" w:right="208"/>
              <w:jc w:val="center"/>
              <w:rPr>
                <w:sz w:val="22"/>
              </w:rPr>
            </w:pPr>
            <w:r>
              <w:rPr>
                <w:sz w:val="22"/>
              </w:rPr>
              <w:t>55</w:t>
            </w: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316" w:right="293"/>
              <w:jc w:val="center"/>
              <w:rPr>
                <w:sz w:val="22"/>
              </w:rPr>
            </w:pPr>
            <w:r>
              <w:rPr>
                <w:sz w:val="22"/>
              </w:rPr>
              <w:t>34</w:t>
            </w:r>
          </w:p>
        </w:tc>
      </w:tr>
      <w:tr>
        <w:trPr>
          <w:trHeight w:val="588" w:hRule="atLeast"/>
        </w:trPr>
        <w:tc>
          <w:tcPr>
            <w:tcW w:w="5741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0" w:lineRule="atLeast" w:before="62"/>
              <w:ind w:left="108" w:right="884"/>
              <w:rPr>
                <w:sz w:val="22"/>
              </w:rPr>
            </w:pPr>
            <w:r>
              <w:rPr>
                <w:sz w:val="22"/>
              </w:rPr>
              <w:t>3" thick reinforced concrete slab, 35 psf, ceiling bare,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flooring: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carpet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over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soft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padding,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least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1/4"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thick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rPr>
                <w:i/>
                <w:sz w:val="29"/>
              </w:rPr>
            </w:pPr>
          </w:p>
          <w:p>
            <w:pPr>
              <w:pStyle w:val="TableParagraph"/>
              <w:spacing w:line="233" w:lineRule="exact"/>
              <w:ind w:left="227" w:right="208"/>
              <w:jc w:val="center"/>
              <w:rPr>
                <w:sz w:val="22"/>
              </w:rPr>
            </w:pPr>
            <w:r>
              <w:rPr>
                <w:sz w:val="22"/>
              </w:rPr>
              <w:t>44</w:t>
            </w: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before="2"/>
              <w:rPr>
                <w:i/>
                <w:sz w:val="29"/>
              </w:rPr>
            </w:pPr>
          </w:p>
          <w:p>
            <w:pPr>
              <w:pStyle w:val="TableParagraph"/>
              <w:spacing w:line="233" w:lineRule="exact"/>
              <w:ind w:left="316" w:right="293"/>
              <w:jc w:val="center"/>
              <w:rPr>
                <w:sz w:val="22"/>
              </w:rPr>
            </w:pPr>
            <w:r>
              <w:rPr>
                <w:sz w:val="22"/>
              </w:rPr>
              <w:t>70</w:t>
            </w:r>
          </w:p>
        </w:tc>
      </w:tr>
    </w:tbl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229"/>
        <w:ind w:left="440" w:right="257" w:firstLine="720"/>
        <w:jc w:val="both"/>
      </w:pPr>
      <w:r>
        <w:rPr/>
        <w:t>The</w:t>
      </w:r>
      <w:r>
        <w:rPr>
          <w:spacing w:val="-9"/>
        </w:rPr>
        <w:t> </w:t>
      </w:r>
      <w:r>
        <w:rPr/>
        <w:t>IBC</w:t>
      </w:r>
      <w:r>
        <w:rPr>
          <w:spacing w:val="-9"/>
        </w:rPr>
        <w:t> </w:t>
      </w:r>
      <w:r>
        <w:rPr/>
        <w:t>minimum</w:t>
      </w:r>
      <w:r>
        <w:rPr>
          <w:spacing w:val="-11"/>
        </w:rPr>
        <w:t> </w:t>
      </w:r>
      <w:r>
        <w:rPr/>
        <w:t>requirement</w:t>
      </w:r>
      <w:r>
        <w:rPr>
          <w:spacing w:val="-8"/>
        </w:rPr>
        <w:t> </w:t>
      </w:r>
      <w:r>
        <w:rPr/>
        <w:t>for</w:t>
      </w:r>
      <w:r>
        <w:rPr>
          <w:spacing w:val="-8"/>
        </w:rPr>
        <w:t> </w:t>
      </w:r>
      <w:r>
        <w:rPr/>
        <w:t>walls</w:t>
      </w:r>
      <w:r>
        <w:rPr>
          <w:spacing w:val="-10"/>
        </w:rPr>
        <w:t> </w:t>
      </w:r>
      <w:r>
        <w:rPr/>
        <w:t>and</w:t>
      </w:r>
      <w:r>
        <w:rPr>
          <w:spacing w:val="-9"/>
        </w:rPr>
        <w:t> </w:t>
      </w:r>
      <w:r>
        <w:rPr/>
        <w:t>floors</w:t>
      </w:r>
      <w:r>
        <w:rPr>
          <w:spacing w:val="-8"/>
        </w:rPr>
        <w:t> </w:t>
      </w:r>
      <w:r>
        <w:rPr/>
        <w:t>is</w:t>
      </w:r>
      <w:r>
        <w:rPr>
          <w:spacing w:val="-10"/>
        </w:rPr>
        <w:t> </w:t>
      </w:r>
      <w:r>
        <w:rPr/>
        <w:t>STC</w:t>
      </w:r>
      <w:r>
        <w:rPr>
          <w:spacing w:val="-9"/>
        </w:rPr>
        <w:t> </w:t>
      </w:r>
      <w:r>
        <w:rPr/>
        <w:t>50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/>
        <w:t>for</w:t>
      </w:r>
      <w:r>
        <w:rPr>
          <w:spacing w:val="-8"/>
        </w:rPr>
        <w:t> </w:t>
      </w:r>
      <w:r>
        <w:rPr/>
        <w:t>floors</w:t>
      </w:r>
      <w:r>
        <w:rPr>
          <w:spacing w:val="-8"/>
        </w:rPr>
        <w:t> </w:t>
      </w:r>
      <w:r>
        <w:rPr/>
        <w:t>an</w:t>
      </w:r>
      <w:r>
        <w:rPr>
          <w:spacing w:val="-9"/>
        </w:rPr>
        <w:t> </w:t>
      </w:r>
      <w:r>
        <w:rPr/>
        <w:t>IIC</w:t>
      </w:r>
      <w:r>
        <w:rPr>
          <w:spacing w:val="-58"/>
        </w:rPr>
        <w:t> </w:t>
      </w:r>
      <w:r>
        <w:rPr/>
        <w:t>50 is required.</w:t>
      </w:r>
      <w:r>
        <w:rPr>
          <w:spacing w:val="1"/>
        </w:rPr>
        <w:t> </w:t>
      </w:r>
      <w:r>
        <w:rPr/>
        <w:t>To meet IBC minimum requirements, most wall and floor assemblies, to</w:t>
      </w:r>
      <w:r>
        <w:rPr>
          <w:spacing w:val="1"/>
        </w:rPr>
        <w:t> </w:t>
      </w:r>
      <w:r>
        <w:rPr/>
        <w:t>include</w:t>
      </w:r>
      <w:r>
        <w:rPr>
          <w:spacing w:val="1"/>
        </w:rPr>
        <w:t> </w:t>
      </w:r>
      <w:r>
        <w:rPr/>
        <w:t>CLT,</w:t>
      </w:r>
      <w:r>
        <w:rPr>
          <w:spacing w:val="1"/>
        </w:rPr>
        <w:t> </w:t>
      </w:r>
      <w:r>
        <w:rPr/>
        <w:t>require</w:t>
      </w:r>
      <w:r>
        <w:rPr>
          <w:spacing w:val="1"/>
        </w:rPr>
        <w:t> </w:t>
      </w:r>
      <w:r>
        <w:rPr/>
        <w:t>additional</w:t>
      </w:r>
      <w:r>
        <w:rPr>
          <w:spacing w:val="1"/>
        </w:rPr>
        <w:t> </w:t>
      </w:r>
      <w:r>
        <w:rPr/>
        <w:t>measures</w:t>
      </w:r>
      <w:r>
        <w:rPr>
          <w:spacing w:val="1"/>
        </w:rPr>
        <w:t> </w:t>
      </w:r>
      <w:r>
        <w:rPr/>
        <w:t>beyond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inherent</w:t>
      </w:r>
      <w:r>
        <w:rPr>
          <w:spacing w:val="1"/>
        </w:rPr>
        <w:t> </w:t>
      </w:r>
      <w:r>
        <w:rPr/>
        <w:t>sound</w:t>
      </w:r>
      <w:r>
        <w:rPr>
          <w:spacing w:val="1"/>
        </w:rPr>
        <w:t> </w:t>
      </w:r>
      <w:r>
        <w:rPr/>
        <w:t>transmission</w:t>
      </w:r>
      <w:r>
        <w:rPr>
          <w:spacing w:val="1"/>
        </w:rPr>
        <w:t> </w:t>
      </w:r>
      <w:r>
        <w:rPr/>
        <w:t>insulation.</w:t>
      </w:r>
      <w:r>
        <w:rPr>
          <w:spacing w:val="1"/>
        </w:rPr>
        <w:t> </w:t>
      </w:r>
      <w:r>
        <w:rPr/>
        <w:t>Several solutions have been proposed and tested for CLT walls including the</w:t>
      </w:r>
      <w:r>
        <w:rPr>
          <w:spacing w:val="1"/>
        </w:rPr>
        <w:t> </w:t>
      </w:r>
      <w:r>
        <w:rPr/>
        <w:t>addition of gypsum board, use of two panels of 3-ply, use of mineral wood insulation</w:t>
      </w:r>
      <w:r>
        <w:rPr>
          <w:spacing w:val="1"/>
        </w:rPr>
        <w:t> </w:t>
      </w:r>
      <w:r>
        <w:rPr/>
        <w:t>material,</w:t>
      </w:r>
      <w:r>
        <w:rPr>
          <w:spacing w:val="36"/>
        </w:rPr>
        <w:t> </w:t>
      </w:r>
      <w:r>
        <w:rPr/>
        <w:t>and</w:t>
      </w:r>
      <w:r>
        <w:rPr>
          <w:spacing w:val="36"/>
        </w:rPr>
        <w:t> </w:t>
      </w:r>
      <w:r>
        <w:rPr/>
        <w:t>wood</w:t>
      </w:r>
      <w:r>
        <w:rPr>
          <w:spacing w:val="36"/>
        </w:rPr>
        <w:t> </w:t>
      </w:r>
      <w:r>
        <w:rPr/>
        <w:t>studs</w:t>
      </w:r>
      <w:r>
        <w:rPr>
          <w:spacing w:val="36"/>
        </w:rPr>
        <w:t> </w:t>
      </w:r>
      <w:r>
        <w:rPr/>
        <w:t>attached</w:t>
      </w:r>
      <w:r>
        <w:rPr>
          <w:spacing w:val="36"/>
        </w:rPr>
        <w:t> </w:t>
      </w:r>
      <w:r>
        <w:rPr/>
        <w:t>to</w:t>
      </w:r>
      <w:r>
        <w:rPr>
          <w:spacing w:val="36"/>
        </w:rPr>
        <w:t> </w:t>
      </w:r>
      <w:r>
        <w:rPr/>
        <w:t>gypsum</w:t>
      </w:r>
      <w:r>
        <w:rPr>
          <w:spacing w:val="37"/>
        </w:rPr>
        <w:t> </w:t>
      </w:r>
      <w:r>
        <w:rPr/>
        <w:t>board,</w:t>
      </w:r>
      <w:r>
        <w:rPr>
          <w:spacing w:val="36"/>
        </w:rPr>
        <w:t> </w:t>
      </w:r>
      <w:r>
        <w:rPr/>
        <w:t>as</w:t>
      </w:r>
      <w:r>
        <w:rPr>
          <w:spacing w:val="36"/>
        </w:rPr>
        <w:t> </w:t>
      </w:r>
      <w:r>
        <w:rPr/>
        <w:t>well</w:t>
      </w:r>
      <w:r>
        <w:rPr>
          <w:spacing w:val="36"/>
        </w:rPr>
        <w:t> </w:t>
      </w:r>
      <w:r>
        <w:rPr/>
        <w:t>as</w:t>
      </w:r>
      <w:r>
        <w:rPr>
          <w:spacing w:val="36"/>
        </w:rPr>
        <w:t> </w:t>
      </w:r>
      <w:r>
        <w:rPr/>
        <w:t>combinations</w:t>
      </w:r>
      <w:r>
        <w:rPr>
          <w:spacing w:val="36"/>
        </w:rPr>
        <w:t> </w:t>
      </w:r>
      <w:r>
        <w:rPr/>
        <w:t>of</w:t>
      </w:r>
      <w:r>
        <w:rPr>
          <w:spacing w:val="35"/>
        </w:rPr>
        <w:t> </w:t>
      </w:r>
      <w:r>
        <w:rPr/>
        <w:t>these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40" w:right="258"/>
        <w:jc w:val="both"/>
      </w:pPr>
      <w:r>
        <w:rPr/>
        <w:t>additions to achieve STCs in the range of 50-60 depending on the thickness of the CLT</w:t>
      </w:r>
      <w:r>
        <w:rPr>
          <w:spacing w:val="1"/>
        </w:rPr>
        <w:t> </w:t>
      </w:r>
      <w:r>
        <w:rPr/>
        <w:t>layers</w:t>
      </w:r>
      <w:r>
        <w:rPr>
          <w:spacing w:val="-1"/>
        </w:rPr>
        <w:t> </w:t>
      </w:r>
      <w:r>
        <w:rPr/>
        <w:t>[68].</w:t>
      </w:r>
    </w:p>
    <w:p>
      <w:pPr>
        <w:pStyle w:val="BodyText"/>
        <w:spacing w:line="480" w:lineRule="auto" w:before="159"/>
        <w:ind w:left="440" w:right="258" w:firstLine="720"/>
        <w:jc w:val="both"/>
      </w:pPr>
      <w:r>
        <w:rPr/>
        <w:t>CLT is more deficient with impact sounds. This shortfall can also be overcome by</w:t>
      </w:r>
      <w:r>
        <w:rPr>
          <w:spacing w:val="-57"/>
        </w:rPr>
        <w:t> </w:t>
      </w:r>
      <w:r>
        <w:rPr>
          <w:spacing w:val="-1"/>
        </w:rPr>
        <w:t>additional</w:t>
      </w:r>
      <w:r>
        <w:rPr>
          <w:spacing w:val="-14"/>
        </w:rPr>
        <w:t> </w:t>
      </w:r>
      <w:r>
        <w:rPr/>
        <w:t>supplemental</w:t>
      </w:r>
      <w:r>
        <w:rPr>
          <w:spacing w:val="-12"/>
        </w:rPr>
        <w:t> </w:t>
      </w:r>
      <w:r>
        <w:rPr/>
        <w:t>layers</w:t>
      </w:r>
      <w:r>
        <w:rPr>
          <w:spacing w:val="-13"/>
        </w:rPr>
        <w:t> </w:t>
      </w:r>
      <w:r>
        <w:rPr/>
        <w:t>on</w:t>
      </w:r>
      <w:r>
        <w:rPr>
          <w:spacing w:val="-14"/>
        </w:rPr>
        <w:t> </w:t>
      </w:r>
      <w:r>
        <w:rPr/>
        <w:t>top</w:t>
      </w:r>
      <w:r>
        <w:rPr>
          <w:spacing w:val="-14"/>
        </w:rPr>
        <w:t> </w:t>
      </w:r>
      <w:r>
        <w:rPr/>
        <w:t>of</w:t>
      </w:r>
      <w:r>
        <w:rPr>
          <w:spacing w:val="-14"/>
        </w:rPr>
        <w:t> </w:t>
      </w:r>
      <w:r>
        <w:rPr/>
        <w:t>the</w:t>
      </w:r>
      <w:r>
        <w:rPr>
          <w:spacing w:val="-12"/>
        </w:rPr>
        <w:t> </w:t>
      </w:r>
      <w:r>
        <w:rPr/>
        <w:t>CLT</w:t>
      </w:r>
      <w:r>
        <w:rPr>
          <w:spacing w:val="-14"/>
        </w:rPr>
        <w:t> </w:t>
      </w:r>
      <w:r>
        <w:rPr/>
        <w:t>to</w:t>
      </w:r>
      <w:r>
        <w:rPr>
          <w:spacing w:val="-12"/>
        </w:rPr>
        <w:t> </w:t>
      </w:r>
      <w:r>
        <w:rPr/>
        <w:t>cushion</w:t>
      </w:r>
      <w:r>
        <w:rPr>
          <w:spacing w:val="-14"/>
        </w:rPr>
        <w:t> </w:t>
      </w:r>
      <w:r>
        <w:rPr/>
        <w:t>the</w:t>
      </w:r>
      <w:r>
        <w:rPr>
          <w:spacing w:val="-13"/>
        </w:rPr>
        <w:t> </w:t>
      </w:r>
      <w:r>
        <w:rPr/>
        <w:t>footfalls</w:t>
      </w:r>
      <w:r>
        <w:rPr>
          <w:spacing w:val="-12"/>
        </w:rPr>
        <w:t> </w:t>
      </w:r>
      <w:r>
        <w:rPr/>
        <w:t>of</w:t>
      </w:r>
      <w:r>
        <w:rPr>
          <w:spacing w:val="-15"/>
        </w:rPr>
        <w:t> </w:t>
      </w:r>
      <w:r>
        <w:rPr/>
        <w:t>the</w:t>
      </w:r>
      <w:r>
        <w:rPr>
          <w:spacing w:val="-12"/>
        </w:rPr>
        <w:t> </w:t>
      </w:r>
      <w:r>
        <w:rPr/>
        <w:t>floor</w:t>
      </w:r>
      <w:r>
        <w:rPr>
          <w:spacing w:val="-13"/>
        </w:rPr>
        <w:t> </w:t>
      </w:r>
      <w:r>
        <w:rPr/>
        <w:t>above,</w:t>
      </w:r>
      <w:r>
        <w:rPr>
          <w:spacing w:val="-58"/>
        </w:rPr>
        <w:t> </w:t>
      </w:r>
      <w:r>
        <w:rPr/>
        <w:t>or adding sound absorption material, such as fiberglass insulation, sound isolation chips,</w:t>
      </w:r>
      <w:r>
        <w:rPr>
          <w:spacing w:val="1"/>
        </w:rPr>
        <w:t> </w:t>
      </w:r>
      <w:r>
        <w:rPr/>
        <w:t>or suspended gypsum board below the CLT floor panel.</w:t>
      </w:r>
      <w:r>
        <w:rPr>
          <w:spacing w:val="1"/>
        </w:rPr>
        <w:t> </w:t>
      </w:r>
      <w:r>
        <w:rPr/>
        <w:t>These CLT assemblies achieve</w:t>
      </w:r>
      <w:r>
        <w:rPr>
          <w:spacing w:val="1"/>
        </w:rPr>
        <w:t> </w:t>
      </w:r>
      <w:r>
        <w:rPr/>
        <w:t>IIC</w:t>
      </w:r>
      <w:r>
        <w:rPr>
          <w:spacing w:val="-2"/>
        </w:rPr>
        <w:t> </w:t>
      </w:r>
      <w:r>
        <w:rPr/>
        <w:t>rates in</w:t>
      </w:r>
      <w:r>
        <w:rPr>
          <w:spacing w:val="-2"/>
        </w:rPr>
        <w:t> </w:t>
      </w:r>
      <w:r>
        <w:rPr/>
        <w:t>a range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59-72 depending on</w:t>
      </w:r>
      <w:r>
        <w:rPr>
          <w:spacing w:val="-1"/>
        </w:rPr>
        <w:t> </w:t>
      </w:r>
      <w:r>
        <w:rPr/>
        <w:t>the exact composition [68].</w:t>
      </w:r>
    </w:p>
    <w:p>
      <w:pPr>
        <w:pStyle w:val="BodyText"/>
        <w:spacing w:line="480" w:lineRule="auto" w:before="160"/>
        <w:ind w:left="439" w:right="256" w:firstLine="720"/>
        <w:jc w:val="both"/>
      </w:pPr>
      <w:r>
        <w:rPr/>
        <w:t>Typical concerns with wood durability and performance as a construction material</w:t>
      </w:r>
      <w:r>
        <w:rPr>
          <w:spacing w:val="-57"/>
        </w:rPr>
        <w:t> </w:t>
      </w:r>
      <w:r>
        <w:rPr/>
        <w:t>in the long-term include decay, and pests like termites and marine borers [34].</w:t>
      </w:r>
      <w:r>
        <w:rPr>
          <w:spacing w:val="1"/>
        </w:rPr>
        <w:t> </w:t>
      </w:r>
      <w:r>
        <w:rPr/>
        <w:t>Decay</w:t>
      </w:r>
      <w:r>
        <w:rPr>
          <w:spacing w:val="1"/>
        </w:rPr>
        <w:t> </w:t>
      </w:r>
      <w:r>
        <w:rPr/>
        <w:t>requires</w:t>
      </w:r>
      <w:r>
        <w:rPr>
          <w:spacing w:val="-3"/>
        </w:rPr>
        <w:t> </w:t>
      </w:r>
      <w:r>
        <w:rPr/>
        <w:t>significant</w:t>
      </w:r>
      <w:r>
        <w:rPr>
          <w:spacing w:val="-3"/>
        </w:rPr>
        <w:t> </w:t>
      </w:r>
      <w:r>
        <w:rPr/>
        <w:t>moisture</w:t>
      </w:r>
      <w:r>
        <w:rPr>
          <w:spacing w:val="-4"/>
        </w:rPr>
        <w:t> </w:t>
      </w:r>
      <w:r>
        <w:rPr/>
        <w:t>exposure</w:t>
      </w:r>
      <w:r>
        <w:rPr>
          <w:spacing w:val="-3"/>
        </w:rPr>
        <w:t> </w:t>
      </w:r>
      <w:r>
        <w:rPr/>
        <w:t>where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moisture</w:t>
      </w:r>
      <w:r>
        <w:rPr>
          <w:spacing w:val="-2"/>
        </w:rPr>
        <w:t> </w:t>
      </w:r>
      <w:r>
        <w:rPr/>
        <w:t>content</w:t>
      </w:r>
      <w:r>
        <w:rPr>
          <w:spacing w:val="-4"/>
        </w:rPr>
        <w:t> </w:t>
      </w:r>
      <w:r>
        <w:rPr/>
        <w:t>is</w:t>
      </w:r>
      <w:r>
        <w:rPr>
          <w:spacing w:val="-4"/>
        </w:rPr>
        <w:t> </w:t>
      </w:r>
      <w:r>
        <w:rPr/>
        <w:t>typically</w:t>
      </w:r>
      <w:r>
        <w:rPr>
          <w:spacing w:val="-5"/>
        </w:rPr>
        <w:t> </w:t>
      </w:r>
      <w:r>
        <w:rPr/>
        <w:t>greater</w:t>
      </w:r>
      <w:r>
        <w:rPr>
          <w:spacing w:val="-3"/>
        </w:rPr>
        <w:t> </w:t>
      </w:r>
      <w:r>
        <w:rPr/>
        <w:t>than</w:t>
      </w:r>
      <w:r>
        <w:rPr>
          <w:spacing w:val="-58"/>
        </w:rPr>
        <w:t> </w:t>
      </w:r>
      <w:r>
        <w:rPr>
          <w:spacing w:val="-1"/>
        </w:rPr>
        <w:t>20</w:t>
      </w:r>
      <w:r>
        <w:rPr>
          <w:spacing w:val="-15"/>
        </w:rPr>
        <w:t> </w:t>
      </w:r>
      <w:r>
        <w:rPr>
          <w:spacing w:val="-1"/>
        </w:rPr>
        <w:t>percent.</w:t>
      </w:r>
      <w:r>
        <w:rPr>
          <w:spacing w:val="28"/>
        </w:rPr>
        <w:t> </w:t>
      </w:r>
      <w:r>
        <w:rPr>
          <w:spacing w:val="-1"/>
        </w:rPr>
        <w:t>Used</w:t>
      </w:r>
      <w:r>
        <w:rPr>
          <w:spacing w:val="-14"/>
        </w:rPr>
        <w:t> </w:t>
      </w:r>
      <w:r>
        <w:rPr>
          <w:spacing w:val="-1"/>
        </w:rPr>
        <w:t>properly,</w:t>
      </w:r>
      <w:r>
        <w:rPr>
          <w:spacing w:val="-15"/>
        </w:rPr>
        <w:t> </w:t>
      </w:r>
      <w:r>
        <w:rPr/>
        <w:t>wood</w:t>
      </w:r>
      <w:r>
        <w:rPr>
          <w:spacing w:val="-15"/>
        </w:rPr>
        <w:t> </w:t>
      </w:r>
      <w:r>
        <w:rPr/>
        <w:t>can</w:t>
      </w:r>
      <w:r>
        <w:rPr>
          <w:spacing w:val="-16"/>
        </w:rPr>
        <w:t> </w:t>
      </w:r>
      <w:r>
        <w:rPr/>
        <w:t>outlast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design</w:t>
      </w:r>
      <w:r>
        <w:rPr>
          <w:spacing w:val="-16"/>
        </w:rPr>
        <w:t> </w:t>
      </w:r>
      <w:r>
        <w:rPr/>
        <w:t>life</w:t>
      </w:r>
      <w:r>
        <w:rPr>
          <w:spacing w:val="-14"/>
        </w:rPr>
        <w:t> </w:t>
      </w:r>
      <w:r>
        <w:rPr/>
        <w:t>of</w:t>
      </w:r>
      <w:r>
        <w:rPr>
          <w:spacing w:val="-17"/>
        </w:rPr>
        <w:t> </w:t>
      </w:r>
      <w:r>
        <w:rPr/>
        <w:t>a</w:t>
      </w:r>
      <w:r>
        <w:rPr>
          <w:spacing w:val="-15"/>
        </w:rPr>
        <w:t> </w:t>
      </w:r>
      <w:r>
        <w:rPr/>
        <w:t>structure</w:t>
      </w:r>
      <w:r>
        <w:rPr>
          <w:spacing w:val="-15"/>
        </w:rPr>
        <w:t> </w:t>
      </w:r>
      <w:r>
        <w:rPr/>
        <w:t>and</w:t>
      </w:r>
      <w:r>
        <w:rPr>
          <w:spacing w:val="-14"/>
        </w:rPr>
        <w:t> </w:t>
      </w:r>
      <w:r>
        <w:rPr/>
        <w:t>current</w:t>
      </w:r>
      <w:r>
        <w:rPr>
          <w:spacing w:val="-14"/>
        </w:rPr>
        <w:t> </w:t>
      </w:r>
      <w:r>
        <w:rPr/>
        <w:t>design</w:t>
      </w:r>
      <w:r>
        <w:rPr>
          <w:spacing w:val="-58"/>
        </w:rPr>
        <w:t> </w:t>
      </w:r>
      <w:r>
        <w:rPr/>
        <w:t>practices include protection from weathering effects and moisture leaching from ground</w:t>
      </w:r>
      <w:r>
        <w:rPr>
          <w:spacing w:val="1"/>
        </w:rPr>
        <w:t> </w:t>
      </w:r>
      <w:r>
        <w:rPr>
          <w:spacing w:val="-1"/>
        </w:rPr>
        <w:t>contact</w:t>
      </w:r>
      <w:r>
        <w:rPr>
          <w:spacing w:val="-14"/>
        </w:rPr>
        <w:t> </w:t>
      </w:r>
      <w:r>
        <w:rPr>
          <w:spacing w:val="-1"/>
        </w:rPr>
        <w:t>[34].</w:t>
      </w:r>
      <w:r>
        <w:rPr>
          <w:spacing w:val="33"/>
        </w:rPr>
        <w:t> </w:t>
      </w:r>
      <w:r>
        <w:rPr>
          <w:spacing w:val="-1"/>
        </w:rPr>
        <w:t>Treatment</w:t>
      </w:r>
      <w:r>
        <w:rPr>
          <w:spacing w:val="-13"/>
        </w:rPr>
        <w:t> </w:t>
      </w:r>
      <w:r>
        <w:rPr/>
        <w:t>and</w:t>
      </w:r>
      <w:r>
        <w:rPr>
          <w:spacing w:val="-15"/>
        </w:rPr>
        <w:t> </w:t>
      </w:r>
      <w:r>
        <w:rPr/>
        <w:t>protection</w:t>
      </w:r>
      <w:r>
        <w:rPr>
          <w:spacing w:val="-14"/>
        </w:rPr>
        <w:t> </w:t>
      </w:r>
      <w:r>
        <w:rPr/>
        <w:t>from</w:t>
      </w:r>
      <w:r>
        <w:rPr>
          <w:spacing w:val="-17"/>
        </w:rPr>
        <w:t> </w:t>
      </w:r>
      <w:r>
        <w:rPr/>
        <w:t>pests</w:t>
      </w:r>
      <w:r>
        <w:rPr>
          <w:spacing w:val="-14"/>
        </w:rPr>
        <w:t> </w:t>
      </w:r>
      <w:r>
        <w:rPr/>
        <w:t>would</w:t>
      </w:r>
      <w:r>
        <w:rPr>
          <w:spacing w:val="-15"/>
        </w:rPr>
        <w:t> </w:t>
      </w:r>
      <w:r>
        <w:rPr/>
        <w:t>be</w:t>
      </w:r>
      <w:r>
        <w:rPr>
          <w:spacing w:val="-14"/>
        </w:rPr>
        <w:t> </w:t>
      </w:r>
      <w:r>
        <w:rPr/>
        <w:t>similar</w:t>
      </w:r>
      <w:r>
        <w:rPr>
          <w:spacing w:val="-14"/>
        </w:rPr>
        <w:t> </w:t>
      </w:r>
      <w:r>
        <w:rPr/>
        <w:t>to</w:t>
      </w:r>
      <w:r>
        <w:rPr>
          <w:spacing w:val="-14"/>
        </w:rPr>
        <w:t> </w:t>
      </w:r>
      <w:r>
        <w:rPr/>
        <w:t>other</w:t>
      </w:r>
      <w:r>
        <w:rPr>
          <w:spacing w:val="-14"/>
        </w:rPr>
        <w:t> </w:t>
      </w:r>
      <w:r>
        <w:rPr/>
        <w:t>wood</w:t>
      </w:r>
      <w:r>
        <w:rPr>
          <w:spacing w:val="-14"/>
        </w:rPr>
        <w:t> </w:t>
      </w:r>
      <w:r>
        <w:rPr/>
        <w:t>products.</w:t>
      </w:r>
      <w:r>
        <w:rPr>
          <w:spacing w:val="-58"/>
        </w:rPr>
        <w:t> </w:t>
      </w:r>
      <w:r>
        <w:rPr/>
        <w:t>The advantage of CLT is that there is significantly more mass than in lightweight wood</w:t>
      </w:r>
      <w:r>
        <w:rPr>
          <w:spacing w:val="1"/>
        </w:rPr>
        <w:t> </w:t>
      </w:r>
      <w:r>
        <w:rPr/>
        <w:t>structures, and so the damage would have to be unobserved for a long duration to lead to</w:t>
      </w:r>
      <w:r>
        <w:rPr>
          <w:spacing w:val="1"/>
        </w:rPr>
        <w:t> </w:t>
      </w:r>
      <w:r>
        <w:rPr/>
        <w:t>structural</w:t>
      </w:r>
      <w:r>
        <w:rPr>
          <w:spacing w:val="-1"/>
        </w:rPr>
        <w:t> </w:t>
      </w:r>
      <w:r>
        <w:rPr/>
        <w:t>damage.</w:t>
      </w:r>
    </w:p>
    <w:p>
      <w:pPr>
        <w:pStyle w:val="Heading9"/>
        <w:numPr>
          <w:ilvl w:val="1"/>
          <w:numId w:val="14"/>
        </w:numPr>
        <w:tabs>
          <w:tab w:pos="800" w:val="left" w:leader="none"/>
        </w:tabs>
        <w:spacing w:line="240" w:lineRule="auto" w:before="163" w:after="0"/>
        <w:ind w:left="800" w:right="0" w:hanging="360"/>
        <w:jc w:val="both"/>
      </w:pPr>
      <w:bookmarkStart w:name="_TOC_250063" w:id="61"/>
      <w:bookmarkStart w:name="2.4 Military temporary structures" w:id="62"/>
      <w:r>
        <w:rPr>
          <w:b w:val="0"/>
        </w:rPr>
      </w:r>
      <w:bookmarkEnd w:id="62"/>
      <w:bookmarkStart w:name="2.4 Military temporary structures" w:id="63"/>
      <w:r>
        <w:rPr/>
        <w:t>Mi</w:t>
      </w:r>
      <w:r>
        <w:rPr/>
        <w:t>litary</w:t>
      </w:r>
      <w:r>
        <w:rPr>
          <w:spacing w:val="-5"/>
        </w:rPr>
        <w:t> </w:t>
      </w:r>
      <w:r>
        <w:rPr/>
        <w:t>temporary</w:t>
      </w:r>
      <w:r>
        <w:rPr>
          <w:spacing w:val="-5"/>
        </w:rPr>
        <w:t> </w:t>
      </w:r>
      <w:bookmarkEnd w:id="61"/>
      <w:r>
        <w:rPr/>
        <w:t>structures</w:t>
      </w:r>
    </w:p>
    <w:p>
      <w:pPr>
        <w:pStyle w:val="BodyText"/>
        <w:spacing w:before="10"/>
        <w:rPr>
          <w:b/>
          <w:sz w:val="21"/>
        </w:rPr>
      </w:pPr>
    </w:p>
    <w:p>
      <w:pPr>
        <w:pStyle w:val="BodyText"/>
        <w:spacing w:line="480" w:lineRule="auto" w:before="1"/>
        <w:ind w:left="439" w:right="257" w:firstLine="720"/>
        <w:jc w:val="both"/>
      </w:pPr>
      <w:r>
        <w:rPr/>
        <w:t>The military uses a variety of temporary structures ranging from canvas tents to</w:t>
      </w:r>
      <w:r>
        <w:rPr>
          <w:spacing w:val="1"/>
        </w:rPr>
        <w:t> </w:t>
      </w:r>
      <w:r>
        <w:rPr/>
        <w:t>modular soft-walled structures to vehicle-based extensions, much like the pop-out on</w:t>
      </w:r>
      <w:r>
        <w:rPr>
          <w:spacing w:val="1"/>
        </w:rPr>
        <w:t> </w:t>
      </w:r>
      <w:r>
        <w:rPr/>
        <w:t>modern day campers.</w:t>
      </w:r>
      <w:r>
        <w:rPr>
          <w:spacing w:val="1"/>
        </w:rPr>
        <w:t> </w:t>
      </w:r>
      <w:r>
        <w:rPr/>
        <w:t>By military doctrine, there are different levels of construction</w:t>
      </w:r>
      <w:r>
        <w:rPr>
          <w:spacing w:val="1"/>
        </w:rPr>
        <w:t> </w:t>
      </w:r>
      <w:r>
        <w:rPr/>
        <w:t>defined</w:t>
      </w:r>
      <w:r>
        <w:rPr>
          <w:spacing w:val="-7"/>
        </w:rPr>
        <w:t> </w:t>
      </w:r>
      <w:r>
        <w:rPr/>
        <w:t>by</w:t>
      </w:r>
      <w:r>
        <w:rPr>
          <w:spacing w:val="-6"/>
        </w:rPr>
        <w:t> </w:t>
      </w:r>
      <w:r>
        <w:rPr/>
        <w:t>their</w:t>
      </w:r>
      <w:r>
        <w:rPr>
          <w:spacing w:val="-7"/>
        </w:rPr>
        <w:t> </w:t>
      </w:r>
      <w:r>
        <w:rPr/>
        <w:t>life</w:t>
      </w:r>
      <w:r>
        <w:rPr>
          <w:spacing w:val="-6"/>
        </w:rPr>
        <w:t> </w:t>
      </w:r>
      <w:r>
        <w:rPr/>
        <w:t>expectancy.</w:t>
      </w:r>
      <w:r>
        <w:rPr>
          <w:spacing w:val="47"/>
        </w:rPr>
        <w:t> </w:t>
      </w:r>
      <w:r>
        <w:rPr/>
        <w:t>Temporary</w:t>
      </w:r>
      <w:r>
        <w:rPr>
          <w:spacing w:val="-6"/>
        </w:rPr>
        <w:t> </w:t>
      </w:r>
      <w:r>
        <w:rPr/>
        <w:t>construction</w:t>
      </w:r>
      <w:r>
        <w:rPr>
          <w:spacing w:val="-7"/>
        </w:rPr>
        <w:t> </w:t>
      </w:r>
      <w:r>
        <w:rPr/>
        <w:t>is</w:t>
      </w:r>
      <w:r>
        <w:rPr>
          <w:spacing w:val="-7"/>
        </w:rPr>
        <w:t> </w:t>
      </w:r>
      <w:r>
        <w:rPr/>
        <w:t>expected</w:t>
      </w:r>
      <w:r>
        <w:rPr>
          <w:spacing w:val="-7"/>
        </w:rPr>
        <w:t> </w:t>
      </w:r>
      <w:r>
        <w:rPr/>
        <w:t>to</w:t>
      </w:r>
      <w:r>
        <w:rPr>
          <w:spacing w:val="-6"/>
        </w:rPr>
        <w:t> </w:t>
      </w:r>
      <w:r>
        <w:rPr/>
        <w:t>last</w:t>
      </w:r>
      <w:r>
        <w:rPr>
          <w:spacing w:val="-6"/>
        </w:rPr>
        <w:t> </w:t>
      </w:r>
      <w:r>
        <w:rPr/>
        <w:t>five</w:t>
      </w:r>
      <w:r>
        <w:rPr>
          <w:spacing w:val="-6"/>
        </w:rPr>
        <w:t> </w:t>
      </w:r>
      <w:r>
        <w:rPr/>
        <w:t>years</w:t>
      </w:r>
      <w:r>
        <w:rPr>
          <w:spacing w:val="-7"/>
        </w:rPr>
        <w:t> </w:t>
      </w:r>
      <w:r>
        <w:rPr/>
        <w:t>and</w:t>
      </w:r>
      <w:r>
        <w:rPr>
          <w:spacing w:val="-58"/>
        </w:rPr>
        <w:t> </w:t>
      </w:r>
      <w:r>
        <w:rPr/>
        <w:t>semi-permanent facilities have a life expectancy of less than 10 years, which can be</w:t>
      </w:r>
      <w:r>
        <w:rPr>
          <w:spacing w:val="1"/>
        </w:rPr>
        <w:t> </w:t>
      </w:r>
      <w:r>
        <w:rPr/>
        <w:t>extended</w:t>
      </w:r>
      <w:r>
        <w:rPr>
          <w:spacing w:val="5"/>
        </w:rPr>
        <w:t> </w:t>
      </w:r>
      <w:r>
        <w:rPr/>
        <w:t>to</w:t>
      </w:r>
      <w:r>
        <w:rPr>
          <w:spacing w:val="6"/>
        </w:rPr>
        <w:t> </w:t>
      </w:r>
      <w:r>
        <w:rPr/>
        <w:t>25</w:t>
      </w:r>
      <w:r>
        <w:rPr>
          <w:spacing w:val="7"/>
        </w:rPr>
        <w:t> </w:t>
      </w:r>
      <w:r>
        <w:rPr/>
        <w:t>years</w:t>
      </w:r>
      <w:r>
        <w:rPr>
          <w:spacing w:val="7"/>
        </w:rPr>
        <w:t> </w:t>
      </w:r>
      <w:r>
        <w:rPr/>
        <w:t>with</w:t>
      </w:r>
      <w:r>
        <w:rPr>
          <w:spacing w:val="8"/>
        </w:rPr>
        <w:t> </w:t>
      </w:r>
      <w:r>
        <w:rPr/>
        <w:t>maintenance</w:t>
      </w:r>
      <w:r>
        <w:rPr>
          <w:spacing w:val="7"/>
        </w:rPr>
        <w:t> </w:t>
      </w:r>
      <w:r>
        <w:rPr/>
        <w:t>and</w:t>
      </w:r>
      <w:r>
        <w:rPr>
          <w:spacing w:val="7"/>
        </w:rPr>
        <w:t> </w:t>
      </w:r>
      <w:r>
        <w:rPr/>
        <w:t>upkeep</w:t>
      </w:r>
      <w:r>
        <w:rPr>
          <w:spacing w:val="6"/>
        </w:rPr>
        <w:t> </w:t>
      </w:r>
      <w:r>
        <w:rPr/>
        <w:t>[14].</w:t>
      </w:r>
      <w:r>
        <w:rPr>
          <w:spacing w:val="15"/>
        </w:rPr>
        <w:t> </w:t>
      </w:r>
      <w:r>
        <w:rPr/>
        <w:t>The</w:t>
      </w:r>
      <w:r>
        <w:rPr>
          <w:spacing w:val="7"/>
        </w:rPr>
        <w:t> </w:t>
      </w:r>
      <w:r>
        <w:rPr/>
        <w:t>structures</w:t>
      </w:r>
      <w:r>
        <w:rPr>
          <w:spacing w:val="6"/>
        </w:rPr>
        <w:t> </w:t>
      </w:r>
      <w:r>
        <w:rPr/>
        <w:t>discussed</w:t>
      </w:r>
      <w:r>
        <w:rPr>
          <w:spacing w:val="7"/>
        </w:rPr>
        <w:t> </w:t>
      </w:r>
      <w:r>
        <w:rPr/>
        <w:t>below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40" w:right="258"/>
        <w:jc w:val="both"/>
      </w:pPr>
      <w:r>
        <w:rPr/>
        <w:t>and for the remainder of this research would, by military doctrine, be defined as semi-</w:t>
      </w:r>
      <w:r>
        <w:rPr>
          <w:spacing w:val="1"/>
        </w:rPr>
        <w:t> </w:t>
      </w:r>
      <w:r>
        <w:rPr/>
        <w:t>permanent construction but for the purpose of simplicity and clarity to readers outside of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military,</w:t>
      </w:r>
      <w:r>
        <w:rPr>
          <w:spacing w:val="-3"/>
        </w:rPr>
        <w:t> </w:t>
      </w:r>
      <w:r>
        <w:rPr/>
        <w:t>will be</w:t>
      </w:r>
      <w:r>
        <w:rPr>
          <w:spacing w:val="-2"/>
        </w:rPr>
        <w:t> </w:t>
      </w:r>
      <w:r>
        <w:rPr/>
        <w:t>referred to</w:t>
      </w:r>
      <w:r>
        <w:rPr>
          <w:spacing w:val="-1"/>
        </w:rPr>
        <w:t> </w:t>
      </w:r>
      <w:r>
        <w:rPr/>
        <w:t>more</w:t>
      </w:r>
      <w:r>
        <w:rPr>
          <w:spacing w:val="-1"/>
        </w:rPr>
        <w:t> </w:t>
      </w:r>
      <w:r>
        <w:rPr/>
        <w:t>generally</w:t>
      </w:r>
      <w:r>
        <w:rPr>
          <w:spacing w:val="-1"/>
        </w:rPr>
        <w:t> </w:t>
      </w:r>
      <w:r>
        <w:rPr/>
        <w:t>as</w:t>
      </w:r>
      <w:r>
        <w:rPr>
          <w:spacing w:val="-1"/>
        </w:rPr>
        <w:t> </w:t>
      </w:r>
      <w:r>
        <w:rPr/>
        <w:t>temporary</w:t>
      </w:r>
      <w:r>
        <w:rPr>
          <w:spacing w:val="-1"/>
        </w:rPr>
        <w:t> </w:t>
      </w:r>
      <w:r>
        <w:rPr/>
        <w:t>military structures.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/>
        <w:ind w:left="439" w:right="257" w:firstLine="720"/>
        <w:jc w:val="both"/>
      </w:pPr>
      <w:r>
        <w:rPr/>
        <w:t>Generally, temporary military structures must be set-up or built quickly. Tents can</w:t>
      </w:r>
      <w:r>
        <w:rPr>
          <w:spacing w:val="-57"/>
        </w:rPr>
        <w:t> </w:t>
      </w:r>
      <w:r>
        <w:rPr>
          <w:spacing w:val="-1"/>
        </w:rPr>
        <w:t>be</w:t>
      </w:r>
      <w:r>
        <w:rPr>
          <w:spacing w:val="-15"/>
        </w:rPr>
        <w:t> </w:t>
      </w:r>
      <w:r>
        <w:rPr>
          <w:spacing w:val="-1"/>
        </w:rPr>
        <w:t>erected</w:t>
      </w:r>
      <w:r>
        <w:rPr>
          <w:spacing w:val="-15"/>
        </w:rPr>
        <w:t> </w:t>
      </w:r>
      <w:r>
        <w:rPr>
          <w:spacing w:val="-1"/>
        </w:rPr>
        <w:t>in</w:t>
      </w:r>
      <w:r>
        <w:rPr>
          <w:spacing w:val="-16"/>
        </w:rPr>
        <w:t> </w:t>
      </w:r>
      <w:r>
        <w:rPr>
          <w:spacing w:val="-1"/>
        </w:rPr>
        <w:t>a</w:t>
      </w:r>
      <w:r>
        <w:rPr>
          <w:spacing w:val="-15"/>
        </w:rPr>
        <w:t> </w:t>
      </w:r>
      <w:r>
        <w:rPr/>
        <w:t>less</w:t>
      </w:r>
      <w:r>
        <w:rPr>
          <w:spacing w:val="-15"/>
        </w:rPr>
        <w:t> </w:t>
      </w:r>
      <w:r>
        <w:rPr/>
        <w:t>than</w:t>
      </w:r>
      <w:r>
        <w:rPr>
          <w:spacing w:val="-15"/>
        </w:rPr>
        <w:t> </w:t>
      </w:r>
      <w:r>
        <w:rPr/>
        <w:t>an</w:t>
      </w:r>
      <w:r>
        <w:rPr>
          <w:spacing w:val="-15"/>
        </w:rPr>
        <w:t> </w:t>
      </w:r>
      <w:r>
        <w:rPr/>
        <w:t>hour,</w:t>
      </w:r>
      <w:r>
        <w:rPr>
          <w:spacing w:val="-15"/>
        </w:rPr>
        <w:t> </w:t>
      </w:r>
      <w:r>
        <w:rPr/>
        <w:t>but</w:t>
      </w:r>
      <w:r>
        <w:rPr>
          <w:spacing w:val="-14"/>
        </w:rPr>
        <w:t> </w:t>
      </w:r>
      <w:r>
        <w:rPr/>
        <w:t>offer</w:t>
      </w:r>
      <w:r>
        <w:rPr>
          <w:spacing w:val="-14"/>
        </w:rPr>
        <w:t> </w:t>
      </w:r>
      <w:r>
        <w:rPr/>
        <w:t>little</w:t>
      </w:r>
      <w:r>
        <w:rPr>
          <w:spacing w:val="-15"/>
        </w:rPr>
        <w:t> </w:t>
      </w:r>
      <w:r>
        <w:rPr/>
        <w:t>protection</w:t>
      </w:r>
      <w:r>
        <w:rPr>
          <w:spacing w:val="-15"/>
        </w:rPr>
        <w:t> </w:t>
      </w:r>
      <w:r>
        <w:rPr/>
        <w:t>from</w:t>
      </w:r>
      <w:r>
        <w:rPr>
          <w:spacing w:val="-14"/>
        </w:rPr>
        <w:t> </w:t>
      </w:r>
      <w:r>
        <w:rPr/>
        <w:t>the</w:t>
      </w:r>
      <w:r>
        <w:rPr>
          <w:spacing w:val="-15"/>
        </w:rPr>
        <w:t> </w:t>
      </w:r>
      <w:r>
        <w:rPr/>
        <w:t>enemy</w:t>
      </w:r>
      <w:r>
        <w:rPr>
          <w:spacing w:val="-15"/>
        </w:rPr>
        <w:t> </w:t>
      </w:r>
      <w:r>
        <w:rPr/>
        <w:t>and</w:t>
      </w:r>
      <w:r>
        <w:rPr>
          <w:spacing w:val="-15"/>
        </w:rPr>
        <w:t> </w:t>
      </w:r>
      <w:r>
        <w:rPr/>
        <w:t>only</w:t>
      </w:r>
      <w:r>
        <w:rPr>
          <w:spacing w:val="-15"/>
        </w:rPr>
        <w:t> </w:t>
      </w:r>
      <w:r>
        <w:rPr/>
        <w:t>nominal</w:t>
      </w:r>
      <w:r>
        <w:rPr>
          <w:spacing w:val="-57"/>
        </w:rPr>
        <w:t> </w:t>
      </w:r>
      <w:r>
        <w:rPr/>
        <w:t>protection</w:t>
      </w:r>
      <w:r>
        <w:rPr>
          <w:spacing w:val="-10"/>
        </w:rPr>
        <w:t> </w:t>
      </w:r>
      <w:r>
        <w:rPr/>
        <w:t>from</w:t>
      </w:r>
      <w:r>
        <w:rPr>
          <w:spacing w:val="-11"/>
        </w:rPr>
        <w:t> </w:t>
      </w:r>
      <w:r>
        <w:rPr/>
        <w:t>the</w:t>
      </w:r>
      <w:r>
        <w:rPr>
          <w:spacing w:val="-8"/>
        </w:rPr>
        <w:t> </w:t>
      </w:r>
      <w:r>
        <w:rPr/>
        <w:t>weather.</w:t>
      </w:r>
      <w:r>
        <w:rPr>
          <w:spacing w:val="43"/>
        </w:rPr>
        <w:t> </w:t>
      </w:r>
      <w:r>
        <w:rPr/>
        <w:t>For</w:t>
      </w:r>
      <w:r>
        <w:rPr>
          <w:spacing w:val="-9"/>
        </w:rPr>
        <w:t> </w:t>
      </w:r>
      <w:r>
        <w:rPr/>
        <w:t>locations</w:t>
      </w:r>
      <w:r>
        <w:rPr>
          <w:spacing w:val="-10"/>
        </w:rPr>
        <w:t> </w:t>
      </w:r>
      <w:r>
        <w:rPr/>
        <w:t>that</w:t>
      </w:r>
      <w:r>
        <w:rPr>
          <w:spacing w:val="-8"/>
        </w:rPr>
        <w:t> </w:t>
      </w:r>
      <w:r>
        <w:rPr/>
        <w:t>Soldiers</w:t>
      </w:r>
      <w:r>
        <w:rPr>
          <w:spacing w:val="-8"/>
        </w:rPr>
        <w:t> </w:t>
      </w:r>
      <w:r>
        <w:rPr/>
        <w:t>operate</w:t>
      </w:r>
      <w:r>
        <w:rPr>
          <w:spacing w:val="-9"/>
        </w:rPr>
        <w:t> </w:t>
      </w:r>
      <w:r>
        <w:rPr/>
        <w:t>out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for</w:t>
      </w:r>
      <w:r>
        <w:rPr>
          <w:spacing w:val="-8"/>
        </w:rPr>
        <w:t> </w:t>
      </w:r>
      <w:r>
        <w:rPr/>
        <w:t>months</w:t>
      </w:r>
      <w:r>
        <w:rPr>
          <w:spacing w:val="-8"/>
        </w:rPr>
        <w:t> </w:t>
      </w:r>
      <w:r>
        <w:rPr/>
        <w:t>to</w:t>
      </w:r>
      <w:r>
        <w:rPr>
          <w:spacing w:val="-9"/>
        </w:rPr>
        <w:t> </w:t>
      </w:r>
      <w:r>
        <w:rPr/>
        <w:t>years,</w:t>
      </w:r>
      <w:r>
        <w:rPr>
          <w:spacing w:val="-58"/>
        </w:rPr>
        <w:t> </w:t>
      </w:r>
      <w:r>
        <w:rPr/>
        <w:t>often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deliberate</w:t>
      </w:r>
      <w:r>
        <w:rPr>
          <w:spacing w:val="1"/>
        </w:rPr>
        <w:t> </w:t>
      </w:r>
      <w:r>
        <w:rPr/>
        <w:t>engineer</w:t>
      </w:r>
      <w:r>
        <w:rPr>
          <w:spacing w:val="1"/>
        </w:rPr>
        <w:t> </w:t>
      </w:r>
      <w:r>
        <w:rPr/>
        <w:t>effort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brought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build</w:t>
      </w:r>
      <w:r>
        <w:rPr>
          <w:spacing w:val="1"/>
        </w:rPr>
        <w:t> </w:t>
      </w:r>
      <w:r>
        <w:rPr/>
        <w:t>temporary</w:t>
      </w:r>
      <w:r>
        <w:rPr>
          <w:spacing w:val="1"/>
        </w:rPr>
        <w:t> </w:t>
      </w:r>
      <w:r>
        <w:rPr/>
        <w:t>structures</w:t>
      </w:r>
      <w:r>
        <w:rPr>
          <w:spacing w:val="1"/>
        </w:rPr>
        <w:t> </w:t>
      </w:r>
      <w:r>
        <w:rPr/>
        <w:t>out of</w:t>
      </w:r>
      <w:r>
        <w:rPr>
          <w:spacing w:val="-57"/>
        </w:rPr>
        <w:t> </w:t>
      </w:r>
      <w:r>
        <w:rPr/>
        <w:t>lightweight wood timbers or seamed thin-walled metal hanger-like structures such as the</w:t>
      </w:r>
      <w:r>
        <w:rPr>
          <w:spacing w:val="1"/>
        </w:rPr>
        <w:t> </w:t>
      </w:r>
      <w:r>
        <w:rPr/>
        <w:t>proprietary K-spans shown in </w:t>
      </w:r>
      <w:hyperlink w:history="true" w:anchor="_bookmark7">
        <w:r>
          <w:rPr/>
          <w:t>Figure 2-6</w:t>
        </w:r>
      </w:hyperlink>
      <w:r>
        <w:rPr/>
        <w:t>.</w:t>
      </w:r>
      <w:r>
        <w:rPr>
          <w:spacing w:val="1"/>
        </w:rPr>
        <w:t> </w:t>
      </w:r>
      <w:r>
        <w:rPr/>
        <w:t>More commonly, B-huts are constructed to</w:t>
      </w:r>
      <w:r>
        <w:rPr>
          <w:spacing w:val="1"/>
        </w:rPr>
        <w:t> </w:t>
      </w:r>
      <w:r>
        <w:rPr/>
        <w:t>provide</w:t>
      </w:r>
      <w:r>
        <w:rPr>
          <w:spacing w:val="-2"/>
        </w:rPr>
        <w:t> </w:t>
      </w:r>
      <w:r>
        <w:rPr/>
        <w:t>temporary Soldier housing.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31">
            <wp:simplePos x="0" y="0"/>
            <wp:positionH relativeFrom="page">
              <wp:posOffset>2342833</wp:posOffset>
            </wp:positionH>
            <wp:positionV relativeFrom="paragraph">
              <wp:posOffset>196955</wp:posOffset>
            </wp:positionV>
            <wp:extent cx="4019564" cy="2866644"/>
            <wp:effectExtent l="0" t="0" r="0" b="0"/>
            <wp:wrapTopAndBottom/>
            <wp:docPr id="5" name="image31.jpeg" descr="DSCF297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1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9564" cy="28666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15"/>
        <w:ind w:left="439" w:right="258" w:firstLine="0"/>
        <w:jc w:val="both"/>
        <w:rPr>
          <w:i/>
          <w:sz w:val="24"/>
        </w:rPr>
      </w:pPr>
      <w:bookmarkStart w:name="_bookmark7" w:id="64"/>
      <w:bookmarkEnd w:id="64"/>
      <w:r>
        <w:rPr/>
      </w:r>
      <w:r>
        <w:rPr>
          <w:i/>
          <w:sz w:val="24"/>
        </w:rPr>
        <w:t>Figure 2-6. Thin-walled metal hangers called K-spans erected by military engineers as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temporary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structures (photo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by LTC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Ken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Frey, used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with permission).</w:t>
      </w:r>
    </w:p>
    <w:p>
      <w:pPr>
        <w:spacing w:after="0"/>
        <w:jc w:val="both"/>
        <w:rPr>
          <w:sz w:val="24"/>
        </w:rPr>
        <w:sectPr>
          <w:pgSz w:w="12240" w:h="15840"/>
          <w:pgMar w:header="0" w:footer="1064" w:top="1360" w:bottom="1260" w:left="1720" w:right="1180"/>
        </w:sectPr>
      </w:pPr>
    </w:p>
    <w:p>
      <w:pPr>
        <w:pStyle w:val="ListParagraph"/>
        <w:numPr>
          <w:ilvl w:val="2"/>
          <w:numId w:val="14"/>
        </w:numPr>
        <w:tabs>
          <w:tab w:pos="980" w:val="left" w:leader="none"/>
        </w:tabs>
        <w:spacing w:line="240" w:lineRule="auto" w:before="79" w:after="0"/>
        <w:ind w:left="980" w:right="0" w:hanging="540"/>
        <w:jc w:val="both"/>
        <w:rPr>
          <w:i/>
          <w:sz w:val="24"/>
        </w:rPr>
      </w:pPr>
      <w:bookmarkStart w:name="2.4.1 The Barracks Hut or B-hut" w:id="65"/>
      <w:bookmarkEnd w:id="65"/>
      <w:r>
        <w:rPr/>
      </w:r>
      <w:bookmarkStart w:name="2.4.1 The Barracks Hut or B-hut" w:id="66"/>
      <w:bookmarkEnd w:id="66"/>
      <w:r>
        <w:rPr>
          <w:i/>
          <w:sz w:val="24"/>
        </w:rPr>
        <w:t>T</w:t>
      </w:r>
      <w:r>
        <w:rPr>
          <w:i/>
          <w:sz w:val="24"/>
        </w:rPr>
        <w:t>he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Barracks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Hut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or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B-hut</w:t>
      </w:r>
    </w:p>
    <w:p>
      <w:pPr>
        <w:pStyle w:val="BodyText"/>
        <w:spacing w:before="7"/>
        <w:rPr>
          <w:i/>
          <w:sz w:val="22"/>
        </w:rPr>
      </w:pPr>
    </w:p>
    <w:p>
      <w:pPr>
        <w:pStyle w:val="BodyText"/>
        <w:spacing w:line="480" w:lineRule="auto"/>
        <w:ind w:left="439" w:right="256" w:firstLine="720"/>
        <w:jc w:val="both"/>
      </w:pPr>
      <w:r>
        <w:rPr/>
        <w:t>For decades the United States military has used a simple standard design for</w:t>
      </w:r>
      <w:r>
        <w:rPr>
          <w:spacing w:val="1"/>
        </w:rPr>
        <w:t> </w:t>
      </w:r>
      <w:r>
        <w:rPr/>
        <w:t>temporary shelter at the more enduring base camps set up in contingency or overseas</w:t>
      </w:r>
      <w:r>
        <w:rPr>
          <w:spacing w:val="1"/>
        </w:rPr>
        <w:t> </w:t>
      </w:r>
      <w:r>
        <w:rPr/>
        <w:t>operations from Bosnia to Afghanistan.</w:t>
      </w:r>
      <w:r>
        <w:rPr>
          <w:spacing w:val="1"/>
        </w:rPr>
        <w:t> </w:t>
      </w:r>
      <w:r>
        <w:rPr/>
        <w:t>The structure has been called a South-East Asia</w:t>
      </w:r>
      <w:r>
        <w:rPr>
          <w:spacing w:val="1"/>
        </w:rPr>
        <w:t> </w:t>
      </w:r>
      <w:r>
        <w:rPr/>
        <w:t>(SEA) hut, a South-West Asia (SWA) hut, and most generically a Barracks hut (B-hut).</w:t>
      </w:r>
      <w:r>
        <w:rPr>
          <w:spacing w:val="1"/>
        </w:rPr>
        <w:t> </w:t>
      </w:r>
      <w:r>
        <w:rPr/>
        <w:t>Typically,</w:t>
      </w:r>
      <w:r>
        <w:rPr>
          <w:spacing w:val="-7"/>
        </w:rPr>
        <w:t> </w:t>
      </w:r>
      <w:r>
        <w:rPr/>
        <w:t>Army,</w:t>
      </w:r>
      <w:r>
        <w:rPr>
          <w:spacing w:val="-7"/>
        </w:rPr>
        <w:t> </w:t>
      </w:r>
      <w:r>
        <w:rPr/>
        <w:t>Air</w:t>
      </w:r>
      <w:r>
        <w:rPr>
          <w:spacing w:val="-7"/>
        </w:rPr>
        <w:t> </w:t>
      </w:r>
      <w:r>
        <w:rPr/>
        <w:t>Force</w:t>
      </w:r>
      <w:r>
        <w:rPr>
          <w:spacing w:val="-6"/>
        </w:rPr>
        <w:t> </w:t>
      </w:r>
      <w:r>
        <w:rPr/>
        <w:t>and</w:t>
      </w:r>
      <w:r>
        <w:rPr>
          <w:spacing w:val="-8"/>
        </w:rPr>
        <w:t> </w:t>
      </w:r>
      <w:r>
        <w:rPr/>
        <w:t>Navy</w:t>
      </w:r>
      <w:r>
        <w:rPr>
          <w:spacing w:val="-7"/>
        </w:rPr>
        <w:t> </w:t>
      </w:r>
      <w:r>
        <w:rPr/>
        <w:t>Engineer</w:t>
      </w:r>
      <w:r>
        <w:rPr>
          <w:spacing w:val="-7"/>
        </w:rPr>
        <w:t> </w:t>
      </w:r>
      <w:r>
        <w:rPr/>
        <w:t>forces</w:t>
      </w:r>
      <w:r>
        <w:rPr>
          <w:spacing w:val="-6"/>
        </w:rPr>
        <w:t> </w:t>
      </w:r>
      <w:r>
        <w:rPr/>
        <w:t>build</w:t>
      </w:r>
      <w:r>
        <w:rPr>
          <w:spacing w:val="-8"/>
        </w:rPr>
        <w:t> </w:t>
      </w:r>
      <w:r>
        <w:rPr/>
        <w:t>these</w:t>
      </w:r>
      <w:r>
        <w:rPr>
          <w:spacing w:val="-7"/>
        </w:rPr>
        <w:t> </w:t>
      </w:r>
      <w:r>
        <w:rPr/>
        <w:t>structures</w:t>
      </w:r>
      <w:r>
        <w:rPr>
          <w:spacing w:val="-6"/>
        </w:rPr>
        <w:t> </w:t>
      </w:r>
      <w:r>
        <w:rPr/>
        <w:t>from</w:t>
      </w:r>
      <w:r>
        <w:rPr>
          <w:spacing w:val="-9"/>
        </w:rPr>
        <w:t> </w:t>
      </w:r>
      <w:r>
        <w:rPr/>
        <w:t>standard</w:t>
      </w:r>
      <w:r>
        <w:rPr>
          <w:spacing w:val="-58"/>
        </w:rPr>
        <w:t> </w:t>
      </w:r>
      <w:r>
        <w:rPr/>
        <w:t>dimension lumber forming a wood frame with plywood sheathing.</w:t>
      </w:r>
      <w:r>
        <w:rPr>
          <w:spacing w:val="1"/>
        </w:rPr>
        <w:t> </w:t>
      </w:r>
      <w:r>
        <w:rPr/>
        <w:t>Often they are built in</w:t>
      </w:r>
      <w:r>
        <w:rPr>
          <w:spacing w:val="-57"/>
        </w:rPr>
        <w:t> </w:t>
      </w:r>
      <w:r>
        <w:rPr/>
        <w:t>clusters to facilitate power by generator as well as consolidation of living areas by unit.</w:t>
      </w:r>
      <w:r>
        <w:rPr>
          <w:spacing w:val="1"/>
        </w:rPr>
        <w:t> </w:t>
      </w:r>
      <w:r>
        <w:rPr/>
        <w:t>They</w:t>
      </w:r>
      <w:r>
        <w:rPr>
          <w:spacing w:val="-13"/>
        </w:rPr>
        <w:t> </w:t>
      </w:r>
      <w:r>
        <w:rPr/>
        <w:t>have</w:t>
      </w:r>
      <w:r>
        <w:rPr>
          <w:spacing w:val="-13"/>
        </w:rPr>
        <w:t> </w:t>
      </w:r>
      <w:r>
        <w:rPr/>
        <w:t>been</w:t>
      </w:r>
      <w:r>
        <w:rPr>
          <w:spacing w:val="-12"/>
        </w:rPr>
        <w:t> </w:t>
      </w:r>
      <w:r>
        <w:rPr/>
        <w:t>built</w:t>
      </w:r>
      <w:r>
        <w:rPr>
          <w:spacing w:val="-13"/>
        </w:rPr>
        <w:t> </w:t>
      </w:r>
      <w:r>
        <w:rPr/>
        <w:t>as</w:t>
      </w:r>
      <w:r>
        <w:rPr>
          <w:spacing w:val="-14"/>
        </w:rPr>
        <w:t> </w:t>
      </w:r>
      <w:r>
        <w:rPr/>
        <w:t>part</w:t>
      </w:r>
      <w:r>
        <w:rPr>
          <w:spacing w:val="-12"/>
        </w:rPr>
        <w:t> </w:t>
      </w:r>
      <w:r>
        <w:rPr/>
        <w:t>of</w:t>
      </w:r>
      <w:r>
        <w:rPr>
          <w:spacing w:val="-14"/>
        </w:rPr>
        <w:t> </w:t>
      </w:r>
      <w:r>
        <w:rPr/>
        <w:t>a</w:t>
      </w:r>
      <w:r>
        <w:rPr>
          <w:spacing w:val="-13"/>
        </w:rPr>
        <w:t> </w:t>
      </w:r>
      <w:r>
        <w:rPr/>
        <w:t>larger</w:t>
      </w:r>
      <w:r>
        <w:rPr>
          <w:spacing w:val="-12"/>
        </w:rPr>
        <w:t> </w:t>
      </w:r>
      <w:r>
        <w:rPr/>
        <w:t>base</w:t>
      </w:r>
      <w:r>
        <w:rPr>
          <w:spacing w:val="-13"/>
        </w:rPr>
        <w:t> </w:t>
      </w:r>
      <w:r>
        <w:rPr/>
        <w:t>camp</w:t>
      </w:r>
      <w:r>
        <w:rPr>
          <w:spacing w:val="-13"/>
        </w:rPr>
        <w:t> </w:t>
      </w:r>
      <w:r>
        <w:rPr/>
        <w:t>in</w:t>
      </w:r>
      <w:r>
        <w:rPr>
          <w:spacing w:val="-12"/>
        </w:rPr>
        <w:t> </w:t>
      </w:r>
      <w:r>
        <w:rPr/>
        <w:t>support</w:t>
      </w:r>
      <w:r>
        <w:rPr>
          <w:spacing w:val="-14"/>
        </w:rPr>
        <w:t> </w:t>
      </w:r>
      <w:r>
        <w:rPr/>
        <w:t>of</w:t>
      </w:r>
      <w:r>
        <w:rPr>
          <w:spacing w:val="-13"/>
        </w:rPr>
        <w:t> </w:t>
      </w:r>
      <w:r>
        <w:rPr/>
        <w:t>combat</w:t>
      </w:r>
      <w:r>
        <w:rPr>
          <w:spacing w:val="-13"/>
        </w:rPr>
        <w:t> </w:t>
      </w:r>
      <w:r>
        <w:rPr/>
        <w:t>operations</w:t>
      </w:r>
      <w:r>
        <w:rPr>
          <w:spacing w:val="-13"/>
        </w:rPr>
        <w:t> </w:t>
      </w:r>
      <w:r>
        <w:rPr/>
        <w:t>in</w:t>
      </w:r>
      <w:r>
        <w:rPr>
          <w:spacing w:val="-14"/>
        </w:rPr>
        <w:t> </w:t>
      </w:r>
      <w:r>
        <w:rPr/>
        <w:t>places</w:t>
      </w:r>
      <w:r>
        <w:rPr>
          <w:spacing w:val="-58"/>
        </w:rPr>
        <w:t> </w:t>
      </w:r>
      <w:r>
        <w:rPr/>
        <w:t>like Iraq and Afghanistan but also have been used in Africa in response to the Ebola</w:t>
      </w:r>
      <w:r>
        <w:rPr>
          <w:spacing w:val="1"/>
        </w:rPr>
        <w:t> </w:t>
      </w:r>
      <w:r>
        <w:rPr/>
        <w:t>outbreak and other locations for humanitarian missions.</w:t>
      </w:r>
      <w:r>
        <w:rPr>
          <w:spacing w:val="1"/>
        </w:rPr>
        <w:t> </w:t>
      </w:r>
      <w:r>
        <w:rPr/>
        <w:t>Figure 2-7 shows a B-hut under</w:t>
      </w:r>
      <w:r>
        <w:rPr>
          <w:spacing w:val="1"/>
        </w:rPr>
        <w:t> </w:t>
      </w:r>
      <w:r>
        <w:rPr/>
        <w:t>construction.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32">
            <wp:simplePos x="0" y="0"/>
            <wp:positionH relativeFrom="page">
              <wp:posOffset>1605598</wp:posOffset>
            </wp:positionH>
            <wp:positionV relativeFrom="paragraph">
              <wp:posOffset>118896</wp:posOffset>
            </wp:positionV>
            <wp:extent cx="5044415" cy="2075307"/>
            <wp:effectExtent l="0" t="0" r="0" b="0"/>
            <wp:wrapTopAndBottom/>
            <wp:docPr id="7" name="image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3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4415" cy="20753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sz w:val="33"/>
        </w:rPr>
      </w:pPr>
    </w:p>
    <w:p>
      <w:pPr>
        <w:spacing w:before="0"/>
        <w:ind w:left="440" w:right="0" w:firstLine="0"/>
        <w:jc w:val="left"/>
        <w:rPr>
          <w:i/>
          <w:sz w:val="24"/>
        </w:rPr>
      </w:pPr>
      <w:r>
        <w:rPr>
          <w:i/>
          <w:sz w:val="24"/>
        </w:rPr>
        <w:t>Figure</w:t>
      </w:r>
      <w:r>
        <w:rPr>
          <w:i/>
          <w:spacing w:val="3"/>
          <w:sz w:val="24"/>
        </w:rPr>
        <w:t> </w:t>
      </w:r>
      <w:r>
        <w:rPr>
          <w:i/>
          <w:sz w:val="24"/>
        </w:rPr>
        <w:t>2-7.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U.S.</w:t>
      </w:r>
      <w:r>
        <w:rPr>
          <w:i/>
          <w:spacing w:val="3"/>
          <w:sz w:val="24"/>
        </w:rPr>
        <w:t> </w:t>
      </w:r>
      <w:r>
        <w:rPr>
          <w:i/>
          <w:sz w:val="24"/>
        </w:rPr>
        <w:t>Army</w:t>
      </w:r>
      <w:r>
        <w:rPr>
          <w:i/>
          <w:spacing w:val="4"/>
          <w:sz w:val="24"/>
        </w:rPr>
        <w:t> </w:t>
      </w:r>
      <w:r>
        <w:rPr>
          <w:i/>
          <w:sz w:val="24"/>
        </w:rPr>
        <w:t>Soldiers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construct</w:t>
      </w:r>
      <w:r>
        <w:rPr>
          <w:i/>
          <w:spacing w:val="4"/>
          <w:sz w:val="24"/>
        </w:rPr>
        <w:t> </w:t>
      </w:r>
      <w:r>
        <w:rPr>
          <w:i/>
          <w:sz w:val="24"/>
        </w:rPr>
        <w:t>B-huts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3"/>
          <w:sz w:val="24"/>
        </w:rPr>
        <w:t> </w:t>
      </w:r>
      <w:r>
        <w:rPr>
          <w:i/>
          <w:sz w:val="24"/>
        </w:rPr>
        <w:t>Afghanistan</w:t>
      </w:r>
      <w:r>
        <w:rPr>
          <w:i/>
          <w:spacing w:val="3"/>
          <w:sz w:val="24"/>
        </w:rPr>
        <w:t> </w:t>
      </w:r>
      <w:r>
        <w:rPr>
          <w:i/>
          <w:sz w:val="24"/>
        </w:rPr>
        <w:t>(photo</w:t>
      </w:r>
      <w:r>
        <w:rPr>
          <w:i/>
          <w:spacing w:val="3"/>
          <w:sz w:val="24"/>
        </w:rPr>
        <w:t> </w:t>
      </w:r>
      <w:r>
        <w:rPr>
          <w:i/>
          <w:sz w:val="24"/>
        </w:rPr>
        <w:t>by</w:t>
      </w:r>
      <w:r>
        <w:rPr>
          <w:i/>
          <w:spacing w:val="4"/>
          <w:sz w:val="24"/>
        </w:rPr>
        <w:t> </w:t>
      </w:r>
      <w:r>
        <w:rPr>
          <w:i/>
          <w:sz w:val="24"/>
        </w:rPr>
        <w:t>LTC</w:t>
      </w:r>
      <w:r>
        <w:rPr>
          <w:i/>
          <w:spacing w:val="3"/>
          <w:sz w:val="24"/>
        </w:rPr>
        <w:t> </w:t>
      </w:r>
      <w:r>
        <w:rPr>
          <w:i/>
          <w:sz w:val="24"/>
        </w:rPr>
        <w:t>Ken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Frey,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used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with permission).</w:t>
      </w:r>
    </w:p>
    <w:p>
      <w:pPr>
        <w:spacing w:after="0"/>
        <w:jc w:val="left"/>
        <w:rPr>
          <w:sz w:val="24"/>
        </w:rPr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39" w:right="256" w:firstLine="720"/>
        <w:jc w:val="both"/>
      </w:pPr>
      <w:r>
        <w:rPr/>
        <w:t>Historically, the Army traces the use of the B-hut or similar design back to World</w:t>
      </w:r>
      <w:r>
        <w:rPr>
          <w:spacing w:val="1"/>
        </w:rPr>
        <w:t> </w:t>
      </w:r>
      <w:r>
        <w:rPr/>
        <w:t>War II with use in locations like Vietnam and the Philippines as well.</w:t>
      </w:r>
      <w:r>
        <w:rPr>
          <w:spacing w:val="1"/>
        </w:rPr>
        <w:t> </w:t>
      </w:r>
      <w:r>
        <w:rPr/>
        <w:t>While best known</w:t>
      </w:r>
      <w:r>
        <w:rPr>
          <w:spacing w:val="1"/>
        </w:rPr>
        <w:t> </w:t>
      </w:r>
      <w:r>
        <w:rPr/>
        <w:t>for use as living quarters, the rectangular standard design of the B-hut has also served as</w:t>
      </w:r>
      <w:r>
        <w:rPr>
          <w:spacing w:val="1"/>
        </w:rPr>
        <w:t> </w:t>
      </w:r>
      <w:r>
        <w:rPr/>
        <w:t>administrative</w:t>
      </w:r>
      <w:r>
        <w:rPr>
          <w:spacing w:val="-1"/>
        </w:rPr>
        <w:t> </w:t>
      </w:r>
      <w:r>
        <w:rPr/>
        <w:t>space for</w:t>
      </w:r>
      <w:r>
        <w:rPr>
          <w:spacing w:val="-2"/>
        </w:rPr>
        <w:t> </w:t>
      </w:r>
      <w:r>
        <w:rPr/>
        <w:t>offices, planning</w:t>
      </w:r>
      <w:r>
        <w:rPr>
          <w:spacing w:val="-1"/>
        </w:rPr>
        <w:t> </w:t>
      </w:r>
      <w:r>
        <w:rPr/>
        <w:t>rooms,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conference rooms.</w:t>
      </w:r>
    </w:p>
    <w:p>
      <w:pPr>
        <w:pStyle w:val="BodyText"/>
        <w:spacing w:line="480" w:lineRule="auto" w:before="159"/>
        <w:ind w:left="439" w:right="257" w:firstLine="720"/>
        <w:jc w:val="both"/>
      </w:pPr>
      <w:r>
        <w:rPr/>
        <w:t>The simplicity of the design makes the structure multi-functional in use but, also</w:t>
      </w:r>
      <w:r>
        <w:rPr>
          <w:spacing w:val="1"/>
        </w:rPr>
        <w:t> </w:t>
      </w:r>
      <w:r>
        <w:rPr/>
        <w:t>rudimentary in functional building operation.</w:t>
      </w:r>
      <w:r>
        <w:rPr>
          <w:spacing w:val="1"/>
        </w:rPr>
        <w:t> </w:t>
      </w:r>
      <w:r>
        <w:rPr/>
        <w:t>There is typically no plumbing as other</w:t>
      </w:r>
      <w:r>
        <w:rPr>
          <w:spacing w:val="1"/>
        </w:rPr>
        <w:t> </w:t>
      </w:r>
      <w:r>
        <w:rPr/>
        <w:t>solutions are developed for bathroom and shower use, but the design does allow for basic</w:t>
      </w:r>
      <w:r>
        <w:rPr>
          <w:spacing w:val="1"/>
        </w:rPr>
        <w:t> </w:t>
      </w:r>
      <w:r>
        <w:rPr/>
        <w:t>electric wiring for both lighting and outlets for occupant use.</w:t>
      </w:r>
      <w:r>
        <w:rPr>
          <w:spacing w:val="1"/>
        </w:rPr>
        <w:t> </w:t>
      </w:r>
      <w:r>
        <w:rPr/>
        <w:t>The structure relies on</w:t>
      </w:r>
      <w:r>
        <w:rPr>
          <w:spacing w:val="1"/>
        </w:rPr>
        <w:t> </w:t>
      </w:r>
      <w:r>
        <w:rPr/>
        <w:t>heating and cooling from an exterior HVAC unit called an Environmental Control Unit</w:t>
      </w:r>
      <w:r>
        <w:rPr>
          <w:spacing w:val="1"/>
        </w:rPr>
        <w:t> </w:t>
      </w:r>
      <w:r>
        <w:rPr>
          <w:spacing w:val="-1"/>
        </w:rPr>
        <w:t>(ECU)</w:t>
      </w:r>
      <w:r>
        <w:rPr>
          <w:spacing w:val="-13"/>
        </w:rPr>
        <w:t> </w:t>
      </w:r>
      <w:r>
        <w:rPr>
          <w:spacing w:val="-1"/>
        </w:rPr>
        <w:t>powered</w:t>
      </w:r>
      <w:r>
        <w:rPr>
          <w:spacing w:val="-14"/>
        </w:rPr>
        <w:t> </w:t>
      </w:r>
      <w:r>
        <w:rPr>
          <w:spacing w:val="-1"/>
        </w:rPr>
        <w:t>by</w:t>
      </w:r>
      <w:r>
        <w:rPr>
          <w:spacing w:val="-14"/>
        </w:rPr>
        <w:t> </w:t>
      </w:r>
      <w:r>
        <w:rPr>
          <w:spacing w:val="-1"/>
        </w:rPr>
        <w:t>generators</w:t>
      </w:r>
      <w:r>
        <w:rPr>
          <w:spacing w:val="-14"/>
        </w:rPr>
        <w:t> </w:t>
      </w:r>
      <w:r>
        <w:rPr/>
        <w:t>that</w:t>
      </w:r>
      <w:r>
        <w:rPr>
          <w:spacing w:val="-14"/>
        </w:rPr>
        <w:t> </w:t>
      </w:r>
      <w:r>
        <w:rPr/>
        <w:t>run</w:t>
      </w:r>
      <w:r>
        <w:rPr>
          <w:spacing w:val="-14"/>
        </w:rPr>
        <w:t> </w:t>
      </w:r>
      <w:r>
        <w:rPr/>
        <w:t>on</w:t>
      </w:r>
      <w:r>
        <w:rPr>
          <w:spacing w:val="-13"/>
        </w:rPr>
        <w:t> </w:t>
      </w:r>
      <w:r>
        <w:rPr/>
        <w:t>diesel</w:t>
      </w:r>
      <w:r>
        <w:rPr>
          <w:spacing w:val="-13"/>
        </w:rPr>
        <w:t> </w:t>
      </w:r>
      <w:r>
        <w:rPr/>
        <w:t>fuel.</w:t>
      </w:r>
      <w:r>
        <w:rPr>
          <w:spacing w:val="34"/>
        </w:rPr>
        <w:t> </w:t>
      </w:r>
      <w:r>
        <w:rPr/>
        <w:t>While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B-huts</w:t>
      </w:r>
      <w:r>
        <w:rPr>
          <w:spacing w:val="-13"/>
        </w:rPr>
        <w:t> </w:t>
      </w:r>
      <w:r>
        <w:rPr/>
        <w:t>are</w:t>
      </w:r>
      <w:r>
        <w:rPr>
          <w:spacing w:val="-12"/>
        </w:rPr>
        <w:t> </w:t>
      </w:r>
      <w:r>
        <w:rPr/>
        <w:t>an</w:t>
      </w:r>
      <w:r>
        <w:rPr>
          <w:spacing w:val="-14"/>
        </w:rPr>
        <w:t> </w:t>
      </w:r>
      <w:r>
        <w:rPr/>
        <w:t>improvement</w:t>
      </w:r>
      <w:r>
        <w:rPr>
          <w:spacing w:val="-57"/>
        </w:rPr>
        <w:t> </w:t>
      </w:r>
      <w:r>
        <w:rPr/>
        <w:t>in energy efficiency over a canvas tent, the lack of insulation provided by the standard</w:t>
      </w:r>
      <w:r>
        <w:rPr>
          <w:spacing w:val="1"/>
        </w:rPr>
        <w:t> </w:t>
      </w:r>
      <w:r>
        <w:rPr/>
        <w:t>lumber makes these</w:t>
      </w:r>
      <w:r>
        <w:rPr>
          <w:spacing w:val="-1"/>
        </w:rPr>
        <w:t> </w:t>
      </w:r>
      <w:r>
        <w:rPr/>
        <w:t>structures</w:t>
      </w:r>
      <w:r>
        <w:rPr>
          <w:spacing w:val="-1"/>
        </w:rPr>
        <w:t> </w:t>
      </w:r>
      <w:r>
        <w:rPr/>
        <w:t>inefficient</w:t>
      </w:r>
      <w:r>
        <w:rPr>
          <w:spacing w:val="-1"/>
        </w:rPr>
        <w:t> </w:t>
      </w:r>
      <w:r>
        <w:rPr/>
        <w:t>for climate control.</w:t>
      </w:r>
    </w:p>
    <w:p>
      <w:pPr>
        <w:pStyle w:val="BodyText"/>
        <w:spacing w:line="480" w:lineRule="auto" w:before="160"/>
        <w:ind w:left="439" w:right="257" w:firstLine="720"/>
        <w:jc w:val="both"/>
      </w:pPr>
      <w:r>
        <w:rPr/>
        <w:t>A standard B-hut is a single-story rectangular shaped structure of approximately</w:t>
      </w:r>
      <w:r>
        <w:rPr>
          <w:spacing w:val="1"/>
        </w:rPr>
        <w:t> </w:t>
      </w:r>
      <w:r>
        <w:rPr/>
        <w:t>32-feet long by 16-feet wide (512 square feet) although variations exist. </w:t>
      </w:r>
      <w:hyperlink w:history="true" w:anchor="_bookmark8">
        <w:r>
          <w:rPr/>
          <w:t>Figure 2-8 </w:t>
        </w:r>
      </w:hyperlink>
      <w:r>
        <w:rPr/>
        <w:t>shows</w:t>
      </w:r>
      <w:r>
        <w:rPr>
          <w:spacing w:val="-57"/>
        </w:rPr>
        <w:t> </w:t>
      </w:r>
      <w:r>
        <w:rPr/>
        <w:t>elevation, plan and isometric views of the generic B-hut structure [1].</w:t>
      </w:r>
      <w:r>
        <w:rPr>
          <w:spacing w:val="1"/>
        </w:rPr>
        <w:t> </w:t>
      </w:r>
      <w:r>
        <w:rPr/>
        <w:t>Two common</w:t>
      </w:r>
      <w:r>
        <w:rPr>
          <w:spacing w:val="1"/>
        </w:rPr>
        <w:t> </w:t>
      </w:r>
      <w:r>
        <w:rPr/>
        <w:t>variations include an “extended B-hut” 18-feet by 52-feet design (936 square feet) and a</w:t>
      </w:r>
      <w:r>
        <w:rPr>
          <w:spacing w:val="1"/>
        </w:rPr>
        <w:t> </w:t>
      </w:r>
      <w:r>
        <w:rPr/>
        <w:t>“super</w:t>
      </w:r>
      <w:r>
        <w:rPr>
          <w:spacing w:val="-2"/>
        </w:rPr>
        <w:t> </w:t>
      </w:r>
      <w:r>
        <w:rPr/>
        <w:t>B-hut”</w:t>
      </w:r>
      <w:r>
        <w:rPr>
          <w:spacing w:val="-2"/>
        </w:rPr>
        <w:t> </w:t>
      </w:r>
      <w:r>
        <w:rPr/>
        <w:t>with</w:t>
      </w:r>
      <w:r>
        <w:rPr>
          <w:spacing w:val="-3"/>
        </w:rPr>
        <w:t> </w:t>
      </w:r>
      <w:r>
        <w:rPr/>
        <w:t>32-feet</w:t>
      </w:r>
      <w:r>
        <w:rPr>
          <w:spacing w:val="-1"/>
        </w:rPr>
        <w:t> </w:t>
      </w:r>
      <w:r>
        <w:rPr/>
        <w:t>by</w:t>
      </w:r>
      <w:r>
        <w:rPr>
          <w:spacing w:val="-3"/>
        </w:rPr>
        <w:t> </w:t>
      </w:r>
      <w:r>
        <w:rPr/>
        <w:t>88-feet</w:t>
      </w:r>
      <w:r>
        <w:rPr>
          <w:spacing w:val="-3"/>
        </w:rPr>
        <w:t> </w:t>
      </w:r>
      <w:r>
        <w:rPr/>
        <w:t>dimension</w:t>
      </w:r>
      <w:r>
        <w:rPr>
          <w:spacing w:val="-2"/>
        </w:rPr>
        <w:t> </w:t>
      </w:r>
      <w:r>
        <w:rPr/>
        <w:t>(2,816</w:t>
      </w:r>
      <w:r>
        <w:rPr>
          <w:spacing w:val="-3"/>
        </w:rPr>
        <w:t> </w:t>
      </w:r>
      <w:r>
        <w:rPr/>
        <w:t>square</w:t>
      </w:r>
      <w:r>
        <w:rPr>
          <w:spacing w:val="-4"/>
        </w:rPr>
        <w:t> </w:t>
      </w:r>
      <w:r>
        <w:rPr/>
        <w:t>feet)</w:t>
      </w:r>
      <w:r>
        <w:rPr>
          <w:spacing w:val="-2"/>
        </w:rPr>
        <w:t> </w:t>
      </w:r>
      <w:r>
        <w:rPr/>
        <w:t>as</w:t>
      </w:r>
      <w:r>
        <w:rPr>
          <w:spacing w:val="-1"/>
        </w:rPr>
        <w:t> </w:t>
      </w:r>
      <w:r>
        <w:rPr/>
        <w:t>seen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Figure</w:t>
      </w:r>
      <w:r>
        <w:rPr>
          <w:spacing w:val="-1"/>
        </w:rPr>
        <w:t> </w:t>
      </w:r>
      <w:r>
        <w:rPr/>
        <w:t>2-9.</w:t>
      </w:r>
      <w:r>
        <w:rPr>
          <w:spacing w:val="-58"/>
        </w:rPr>
        <w:t> </w:t>
      </w:r>
      <w:r>
        <w:rPr/>
        <w:t>The largest size is usually built for use as a command headquarters, a dining facility,</w:t>
      </w:r>
      <w:r>
        <w:rPr>
          <w:spacing w:val="1"/>
        </w:rPr>
        <w:t> </w:t>
      </w:r>
      <w:r>
        <w:rPr/>
        <w:t>combat hospital, or other administrative purposes.</w:t>
      </w:r>
      <w:r>
        <w:rPr>
          <w:spacing w:val="1"/>
        </w:rPr>
        <w:t> </w:t>
      </w:r>
      <w:r>
        <w:rPr/>
        <w:t>The structure is typically built on a</w:t>
      </w:r>
      <w:r>
        <w:rPr>
          <w:spacing w:val="1"/>
        </w:rPr>
        <w:t> </w:t>
      </w:r>
      <w:r>
        <w:rPr/>
        <w:t>foundation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pier-type</w:t>
      </w:r>
      <w:r>
        <w:rPr>
          <w:spacing w:val="-8"/>
        </w:rPr>
        <w:t> </w:t>
      </w:r>
      <w:r>
        <w:rPr/>
        <w:t>footers</w:t>
      </w:r>
      <w:r>
        <w:rPr>
          <w:spacing w:val="-8"/>
        </w:rPr>
        <w:t> </w:t>
      </w:r>
      <w:r>
        <w:rPr/>
        <w:t>to</w:t>
      </w:r>
      <w:r>
        <w:rPr>
          <w:spacing w:val="-7"/>
        </w:rPr>
        <w:t> </w:t>
      </w:r>
      <w:r>
        <w:rPr/>
        <w:t>accommodate</w:t>
      </w:r>
      <w:r>
        <w:rPr>
          <w:spacing w:val="-8"/>
        </w:rPr>
        <w:t> </w:t>
      </w:r>
      <w:r>
        <w:rPr/>
        <w:t>sites</w:t>
      </w:r>
      <w:r>
        <w:rPr>
          <w:spacing w:val="-7"/>
        </w:rPr>
        <w:t> </w:t>
      </w:r>
      <w:r>
        <w:rPr/>
        <w:t>that</w:t>
      </w:r>
      <w:r>
        <w:rPr>
          <w:spacing w:val="-8"/>
        </w:rPr>
        <w:t> </w:t>
      </w:r>
      <w:r>
        <w:rPr/>
        <w:t>are</w:t>
      </w:r>
      <w:r>
        <w:rPr>
          <w:spacing w:val="-7"/>
        </w:rPr>
        <w:t> </w:t>
      </w:r>
      <w:r>
        <w:rPr/>
        <w:t>not</w:t>
      </w:r>
      <w:r>
        <w:rPr>
          <w:spacing w:val="-7"/>
        </w:rPr>
        <w:t> </w:t>
      </w:r>
      <w:r>
        <w:rPr/>
        <w:t>perfectly</w:t>
      </w:r>
      <w:r>
        <w:rPr>
          <w:spacing w:val="-8"/>
        </w:rPr>
        <w:t> </w:t>
      </w:r>
      <w:r>
        <w:rPr/>
        <w:t>level.</w:t>
      </w:r>
      <w:r>
        <w:rPr>
          <w:spacing w:val="45"/>
        </w:rPr>
        <w:t> </w:t>
      </w:r>
      <w:r>
        <w:rPr/>
        <w:t>Since</w:t>
      </w:r>
      <w:r>
        <w:rPr>
          <w:spacing w:val="-7"/>
        </w:rPr>
        <w:t> </w:t>
      </w:r>
      <w:r>
        <w:rPr/>
        <w:t>the</w:t>
      </w:r>
      <w:r>
        <w:rPr>
          <w:spacing w:val="-58"/>
        </w:rPr>
        <w:t> </w:t>
      </w:r>
      <w:r>
        <w:rPr/>
        <w:t>B-huts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frequently</w:t>
      </w:r>
      <w:r>
        <w:rPr>
          <w:spacing w:val="1"/>
        </w:rPr>
        <w:t> </w:t>
      </w:r>
      <w:r>
        <w:rPr/>
        <w:t>built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clusters,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first</w:t>
      </w:r>
      <w:r>
        <w:rPr>
          <w:spacing w:val="1"/>
        </w:rPr>
        <w:t> </w:t>
      </w:r>
      <w:r>
        <w:rPr/>
        <w:t>step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construction</w:t>
      </w:r>
      <w:r>
        <w:rPr>
          <w:spacing w:val="1"/>
        </w:rPr>
        <w:t> </w:t>
      </w:r>
      <w:r>
        <w:rPr/>
        <w:t>often</w:t>
      </w:r>
      <w:r>
        <w:rPr>
          <w:spacing w:val="1"/>
        </w:rPr>
        <w:t> </w:t>
      </w:r>
      <w:r>
        <w:rPr/>
        <w:t>includes</w:t>
      </w:r>
      <w:r>
        <w:rPr>
          <w:spacing w:val="1"/>
        </w:rPr>
        <w:t> </w:t>
      </w:r>
      <w:r>
        <w:rPr/>
        <w:t>earthwork</w:t>
      </w:r>
      <w:r>
        <w:rPr>
          <w:spacing w:val="-3"/>
        </w:rPr>
        <w:t> </w:t>
      </w:r>
      <w:r>
        <w:rPr/>
        <w:t>at</w:t>
      </w:r>
      <w:r>
        <w:rPr>
          <w:spacing w:val="-1"/>
        </w:rPr>
        <w:t> </w:t>
      </w:r>
      <w:r>
        <w:rPr/>
        <w:t>the desired</w:t>
      </w:r>
      <w:r>
        <w:rPr>
          <w:spacing w:val="-2"/>
        </w:rPr>
        <w:t> </w:t>
      </w:r>
      <w:r>
        <w:rPr/>
        <w:t>site</w:t>
      </w:r>
      <w:r>
        <w:rPr>
          <w:spacing w:val="-1"/>
        </w:rPr>
        <w:t> </w:t>
      </w:r>
      <w:r>
        <w:rPr/>
        <w:t>to clear</w:t>
      </w:r>
      <w:r>
        <w:rPr>
          <w:spacing w:val="-1"/>
        </w:rPr>
        <w:t> </w:t>
      </w:r>
      <w:r>
        <w:rPr/>
        <w:t>and level the</w:t>
      </w:r>
      <w:r>
        <w:rPr>
          <w:spacing w:val="-1"/>
        </w:rPr>
        <w:t> </w:t>
      </w:r>
      <w:r>
        <w:rPr/>
        <w:t>site.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ind w:left="440"/>
        <w:rPr>
          <w:sz w:val="20"/>
        </w:rPr>
      </w:pPr>
      <w:r>
        <w:rPr>
          <w:sz w:val="20"/>
        </w:rPr>
        <w:drawing>
          <wp:inline distT="0" distB="0" distL="0" distR="0">
            <wp:extent cx="5527753" cy="1697354"/>
            <wp:effectExtent l="0" t="0" r="0" b="0"/>
            <wp:docPr id="9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3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7753" cy="1697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spacing w:before="231"/>
        <w:ind w:left="910" w:right="0" w:firstLine="0"/>
        <w:jc w:val="left"/>
        <w:rPr>
          <w:i/>
          <w:sz w:val="24"/>
        </w:rPr>
      </w:pPr>
      <w:bookmarkStart w:name="_bookmark8" w:id="67"/>
      <w:bookmarkEnd w:id="67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2-8.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Front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elevation,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plan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isometric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views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generic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B-hut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design.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7"/>
        </w:rPr>
      </w:pPr>
      <w:r>
        <w:rPr/>
        <w:drawing>
          <wp:anchor distT="0" distB="0" distL="0" distR="0" allowOverlap="1" layoutInCell="1" locked="0" behindDoc="0" simplePos="0" relativeHeight="33">
            <wp:simplePos x="0" y="0"/>
            <wp:positionH relativeFrom="page">
              <wp:posOffset>2349500</wp:posOffset>
            </wp:positionH>
            <wp:positionV relativeFrom="paragraph">
              <wp:posOffset>228689</wp:posOffset>
            </wp:positionV>
            <wp:extent cx="4114897" cy="3086100"/>
            <wp:effectExtent l="0" t="0" r="0" b="0"/>
            <wp:wrapTopAndBottom/>
            <wp:docPr id="11" name="image34.jpeg" descr="DSC0072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34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4897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29"/>
        <w:ind w:left="440" w:right="0" w:firstLine="0"/>
        <w:jc w:val="left"/>
        <w:rPr>
          <w:i/>
          <w:sz w:val="24"/>
        </w:rPr>
      </w:pPr>
      <w:r>
        <w:rPr>
          <w:i/>
          <w:sz w:val="24"/>
        </w:rPr>
        <w:t>Figure</w:t>
      </w:r>
      <w:r>
        <w:rPr>
          <w:i/>
          <w:spacing w:val="10"/>
          <w:sz w:val="24"/>
        </w:rPr>
        <w:t> </w:t>
      </w:r>
      <w:r>
        <w:rPr>
          <w:i/>
          <w:sz w:val="24"/>
        </w:rPr>
        <w:t>2-9.</w:t>
      </w:r>
      <w:r>
        <w:rPr>
          <w:i/>
          <w:spacing w:val="9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9"/>
          <w:sz w:val="24"/>
        </w:rPr>
        <w:t> </w:t>
      </w:r>
      <w:r>
        <w:rPr>
          <w:i/>
          <w:sz w:val="24"/>
        </w:rPr>
        <w:t>large</w:t>
      </w:r>
      <w:r>
        <w:rPr>
          <w:i/>
          <w:spacing w:val="10"/>
          <w:sz w:val="24"/>
        </w:rPr>
        <w:t> </w:t>
      </w:r>
      <w:r>
        <w:rPr>
          <w:i/>
          <w:sz w:val="24"/>
        </w:rPr>
        <w:t>B-hut</w:t>
      </w:r>
      <w:r>
        <w:rPr>
          <w:i/>
          <w:spacing w:val="10"/>
          <w:sz w:val="24"/>
        </w:rPr>
        <w:t> </w:t>
      </w:r>
      <w:r>
        <w:rPr>
          <w:i/>
          <w:sz w:val="24"/>
        </w:rPr>
        <w:t>variation</w:t>
      </w:r>
      <w:r>
        <w:rPr>
          <w:i/>
          <w:spacing w:val="9"/>
          <w:sz w:val="24"/>
        </w:rPr>
        <w:t> </w:t>
      </w:r>
      <w:r>
        <w:rPr>
          <w:i/>
          <w:sz w:val="24"/>
        </w:rPr>
        <w:t>nears</w:t>
      </w:r>
      <w:r>
        <w:rPr>
          <w:i/>
          <w:spacing w:val="11"/>
          <w:sz w:val="24"/>
        </w:rPr>
        <w:t> </w:t>
      </w:r>
      <w:r>
        <w:rPr>
          <w:i/>
          <w:sz w:val="24"/>
        </w:rPr>
        <w:t>completion</w:t>
      </w:r>
      <w:r>
        <w:rPr>
          <w:i/>
          <w:spacing w:val="9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9"/>
          <w:sz w:val="24"/>
        </w:rPr>
        <w:t> </w:t>
      </w:r>
      <w:r>
        <w:rPr>
          <w:i/>
          <w:sz w:val="24"/>
        </w:rPr>
        <w:t>Afghanistan</w:t>
      </w:r>
      <w:r>
        <w:rPr>
          <w:i/>
          <w:spacing w:val="9"/>
          <w:sz w:val="24"/>
        </w:rPr>
        <w:t> </w:t>
      </w:r>
      <w:r>
        <w:rPr>
          <w:i/>
          <w:sz w:val="24"/>
        </w:rPr>
        <w:t>(photo</w:t>
      </w:r>
      <w:r>
        <w:rPr>
          <w:i/>
          <w:spacing w:val="9"/>
          <w:sz w:val="24"/>
        </w:rPr>
        <w:t> </w:t>
      </w:r>
      <w:r>
        <w:rPr>
          <w:i/>
          <w:sz w:val="24"/>
        </w:rPr>
        <w:t>by</w:t>
      </w:r>
      <w:r>
        <w:rPr>
          <w:i/>
          <w:spacing w:val="10"/>
          <w:sz w:val="24"/>
        </w:rPr>
        <w:t> </w:t>
      </w:r>
      <w:r>
        <w:rPr>
          <w:i/>
          <w:sz w:val="24"/>
        </w:rPr>
        <w:t>LTC</w:t>
      </w:r>
      <w:r>
        <w:rPr>
          <w:i/>
          <w:spacing w:val="10"/>
          <w:sz w:val="24"/>
        </w:rPr>
        <w:t> </w:t>
      </w:r>
      <w:r>
        <w:rPr>
          <w:i/>
          <w:sz w:val="24"/>
        </w:rPr>
        <w:t>Ken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Frey,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used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with permission).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206"/>
        <w:ind w:left="440" w:firstLine="720"/>
      </w:pPr>
      <w:r>
        <w:rPr/>
        <w:t>In</w:t>
      </w:r>
      <w:r>
        <w:rPr>
          <w:spacing w:val="3"/>
        </w:rPr>
        <w:t> </w:t>
      </w:r>
      <w:r>
        <w:rPr/>
        <w:t>each</w:t>
      </w:r>
      <w:r>
        <w:rPr>
          <w:spacing w:val="4"/>
        </w:rPr>
        <w:t> </w:t>
      </w:r>
      <w:r>
        <w:rPr/>
        <w:t>individual</w:t>
      </w:r>
      <w:r>
        <w:rPr>
          <w:spacing w:val="5"/>
        </w:rPr>
        <w:t> </w:t>
      </w:r>
      <w:r>
        <w:rPr/>
        <w:t>B-hut,</w:t>
      </w:r>
      <w:r>
        <w:rPr>
          <w:spacing w:val="3"/>
        </w:rPr>
        <w:t> </w:t>
      </w:r>
      <w:r>
        <w:rPr/>
        <w:t>there</w:t>
      </w:r>
      <w:r>
        <w:rPr>
          <w:spacing w:val="5"/>
        </w:rPr>
        <w:t> </w:t>
      </w:r>
      <w:r>
        <w:rPr/>
        <w:t>is</w:t>
      </w:r>
      <w:r>
        <w:rPr>
          <w:spacing w:val="5"/>
        </w:rPr>
        <w:t> </w:t>
      </w:r>
      <w:r>
        <w:rPr/>
        <w:t>a</w:t>
      </w:r>
      <w:r>
        <w:rPr>
          <w:spacing w:val="4"/>
        </w:rPr>
        <w:t> </w:t>
      </w:r>
      <w:r>
        <w:rPr/>
        <w:t>set</w:t>
      </w:r>
      <w:r>
        <w:rPr>
          <w:spacing w:val="5"/>
        </w:rPr>
        <w:t> </w:t>
      </w:r>
      <w:r>
        <w:rPr/>
        <w:t>of</w:t>
      </w:r>
      <w:r>
        <w:rPr>
          <w:spacing w:val="4"/>
        </w:rPr>
        <w:t> </w:t>
      </w:r>
      <w:r>
        <w:rPr/>
        <w:t>steps</w:t>
      </w:r>
      <w:r>
        <w:rPr>
          <w:spacing w:val="4"/>
        </w:rPr>
        <w:t> </w:t>
      </w:r>
      <w:r>
        <w:rPr/>
        <w:t>and</w:t>
      </w:r>
      <w:r>
        <w:rPr>
          <w:spacing w:val="4"/>
        </w:rPr>
        <w:t> </w:t>
      </w:r>
      <w:r>
        <w:rPr/>
        <w:t>a</w:t>
      </w:r>
      <w:r>
        <w:rPr>
          <w:spacing w:val="5"/>
        </w:rPr>
        <w:t> </w:t>
      </w:r>
      <w:r>
        <w:rPr/>
        <w:t>door</w:t>
      </w:r>
      <w:r>
        <w:rPr>
          <w:spacing w:val="5"/>
        </w:rPr>
        <w:t> </w:t>
      </w:r>
      <w:r>
        <w:rPr/>
        <w:t>at</w:t>
      </w:r>
      <w:r>
        <w:rPr>
          <w:spacing w:val="4"/>
        </w:rPr>
        <w:t> </w:t>
      </w:r>
      <w:r>
        <w:rPr/>
        <w:t>each</w:t>
      </w:r>
      <w:r>
        <w:rPr>
          <w:spacing w:val="4"/>
        </w:rPr>
        <w:t> </w:t>
      </w:r>
      <w:r>
        <w:rPr/>
        <w:t>end,</w:t>
      </w:r>
      <w:r>
        <w:rPr>
          <w:spacing w:val="4"/>
        </w:rPr>
        <w:t> </w:t>
      </w:r>
      <w:r>
        <w:rPr/>
        <w:t>which</w:t>
      </w:r>
      <w:r>
        <w:rPr>
          <w:spacing w:val="3"/>
        </w:rPr>
        <w:t> </w:t>
      </w:r>
      <w:r>
        <w:rPr/>
        <w:t>lead</w:t>
      </w:r>
      <w:r>
        <w:rPr>
          <w:spacing w:val="-57"/>
        </w:rPr>
        <w:t> </w:t>
      </w:r>
      <w:r>
        <w:rPr/>
        <w:t>into</w:t>
      </w:r>
      <w:r>
        <w:rPr>
          <w:spacing w:val="26"/>
        </w:rPr>
        <w:t> </w:t>
      </w:r>
      <w:r>
        <w:rPr/>
        <w:t>a</w:t>
      </w:r>
      <w:r>
        <w:rPr>
          <w:spacing w:val="25"/>
        </w:rPr>
        <w:t> </w:t>
      </w:r>
      <w:r>
        <w:rPr/>
        <w:t>center</w:t>
      </w:r>
      <w:r>
        <w:rPr>
          <w:spacing w:val="27"/>
        </w:rPr>
        <w:t> </w:t>
      </w:r>
      <w:r>
        <w:rPr/>
        <w:t>corridor</w:t>
      </w:r>
      <w:r>
        <w:rPr>
          <w:spacing w:val="27"/>
        </w:rPr>
        <w:t> </w:t>
      </w:r>
      <w:r>
        <w:rPr/>
        <w:t>running</w:t>
      </w:r>
      <w:r>
        <w:rPr>
          <w:spacing w:val="26"/>
        </w:rPr>
        <w:t> </w:t>
      </w:r>
      <w:r>
        <w:rPr/>
        <w:t>the</w:t>
      </w:r>
      <w:r>
        <w:rPr>
          <w:spacing w:val="25"/>
        </w:rPr>
        <w:t> </w:t>
      </w:r>
      <w:r>
        <w:rPr/>
        <w:t>length</w:t>
      </w:r>
      <w:r>
        <w:rPr>
          <w:spacing w:val="26"/>
        </w:rPr>
        <w:t> </w:t>
      </w:r>
      <w:r>
        <w:rPr/>
        <w:t>of</w:t>
      </w:r>
      <w:r>
        <w:rPr>
          <w:spacing w:val="25"/>
        </w:rPr>
        <w:t> </w:t>
      </w:r>
      <w:r>
        <w:rPr/>
        <w:t>the</w:t>
      </w:r>
      <w:r>
        <w:rPr>
          <w:spacing w:val="24"/>
        </w:rPr>
        <w:t> </w:t>
      </w:r>
      <w:r>
        <w:rPr/>
        <w:t>building.</w:t>
      </w:r>
      <w:r>
        <w:rPr>
          <w:spacing w:val="53"/>
        </w:rPr>
        <w:t> </w:t>
      </w:r>
      <w:r>
        <w:rPr/>
        <w:t>In</w:t>
      </w:r>
      <w:r>
        <w:rPr>
          <w:spacing w:val="26"/>
        </w:rPr>
        <w:t> </w:t>
      </w:r>
      <w:r>
        <w:rPr/>
        <w:t>the</w:t>
      </w:r>
      <w:r>
        <w:rPr>
          <w:spacing w:val="27"/>
        </w:rPr>
        <w:t> </w:t>
      </w:r>
      <w:r>
        <w:rPr/>
        <w:t>B-huts</w:t>
      </w:r>
      <w:r>
        <w:rPr>
          <w:spacing w:val="25"/>
        </w:rPr>
        <w:t> </w:t>
      </w:r>
      <w:r>
        <w:rPr/>
        <w:t>built</w:t>
      </w:r>
      <w:r>
        <w:rPr>
          <w:spacing w:val="27"/>
        </w:rPr>
        <w:t> </w:t>
      </w:r>
      <w:r>
        <w:rPr/>
        <w:t>for</w:t>
      </w:r>
      <w:r>
        <w:rPr>
          <w:spacing w:val="25"/>
        </w:rPr>
        <w:t> </w:t>
      </w:r>
      <w:r>
        <w:rPr/>
        <w:t>living</w:t>
      </w:r>
    </w:p>
    <w:p>
      <w:pPr>
        <w:spacing w:after="0" w:line="480" w:lineRule="auto"/>
        <w:sectPr>
          <w:pgSz w:w="12240" w:h="15840"/>
          <w:pgMar w:header="0" w:footer="1064" w:top="1440" w:bottom="1260" w:left="1720" w:right="1180"/>
        </w:sectPr>
      </w:pPr>
    </w:p>
    <w:p>
      <w:pPr>
        <w:pStyle w:val="BodyText"/>
        <w:spacing w:line="480" w:lineRule="auto" w:before="78"/>
        <w:ind w:left="439" w:right="257"/>
        <w:jc w:val="both"/>
      </w:pPr>
      <w:r>
        <w:rPr/>
        <w:t>quarters, on either side of this corridor are sets of small individual living quarters with</w:t>
      </w:r>
      <w:r>
        <w:rPr>
          <w:spacing w:val="1"/>
        </w:rPr>
        <w:t> </w:t>
      </w:r>
      <w:r>
        <w:rPr/>
        <w:t>plywood walls separating the individual rooms.</w:t>
      </w:r>
      <w:r>
        <w:rPr>
          <w:spacing w:val="1"/>
        </w:rPr>
        <w:t> </w:t>
      </w:r>
      <w:r>
        <w:rPr/>
        <w:t>These interior walls do not extend up to</w:t>
      </w:r>
      <w:r>
        <w:rPr>
          <w:spacing w:val="1"/>
        </w:rPr>
        <w:t> </w:t>
      </w:r>
      <w:r>
        <w:rPr/>
        <w:t>the ceiling to allow for the central running of both lighting and ventilation from the ECU.</w:t>
      </w:r>
      <w:r>
        <w:rPr>
          <w:spacing w:val="-57"/>
        </w:rPr>
        <w:t> </w:t>
      </w:r>
      <w:r>
        <w:rPr/>
        <w:t>Additionally,</w:t>
      </w:r>
      <w:r>
        <w:rPr>
          <w:spacing w:val="-6"/>
        </w:rPr>
        <w:t> </w:t>
      </w:r>
      <w:r>
        <w:rPr/>
        <w:t>it</w:t>
      </w:r>
      <w:r>
        <w:rPr>
          <w:spacing w:val="-6"/>
        </w:rPr>
        <w:t> </w:t>
      </w:r>
      <w:r>
        <w:rPr/>
        <w:t>is</w:t>
      </w:r>
      <w:r>
        <w:rPr>
          <w:spacing w:val="-6"/>
        </w:rPr>
        <w:t> </w:t>
      </w:r>
      <w:r>
        <w:rPr/>
        <w:t>a</w:t>
      </w:r>
      <w:r>
        <w:rPr>
          <w:spacing w:val="-6"/>
        </w:rPr>
        <w:t> </w:t>
      </w:r>
      <w:r>
        <w:rPr/>
        <w:t>simpler</w:t>
      </w:r>
      <w:r>
        <w:rPr>
          <w:spacing w:val="-6"/>
        </w:rPr>
        <w:t> </w:t>
      </w:r>
      <w:r>
        <w:rPr/>
        <w:t>construction</w:t>
      </w:r>
      <w:r>
        <w:rPr>
          <w:spacing w:val="-5"/>
        </w:rPr>
        <w:t> </w:t>
      </w:r>
      <w:r>
        <w:rPr/>
        <w:t>method</w:t>
      </w:r>
      <w:r>
        <w:rPr>
          <w:spacing w:val="-6"/>
        </w:rPr>
        <w:t> </w:t>
      </w:r>
      <w:r>
        <w:rPr/>
        <w:t>as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roofs</w:t>
      </w:r>
      <w:r>
        <w:rPr>
          <w:spacing w:val="-6"/>
        </w:rPr>
        <w:t> </w:t>
      </w:r>
      <w:r>
        <w:rPr/>
        <w:t>typically</w:t>
      </w:r>
      <w:r>
        <w:rPr>
          <w:spacing w:val="-6"/>
        </w:rPr>
        <w:t> </w:t>
      </w:r>
      <w:r>
        <w:rPr/>
        <w:t>have</w:t>
      </w:r>
      <w:r>
        <w:rPr>
          <w:spacing w:val="-6"/>
        </w:rPr>
        <w:t> </w:t>
      </w:r>
      <w:r>
        <w:rPr/>
        <w:t>a</w:t>
      </w:r>
      <w:r>
        <w:rPr>
          <w:spacing w:val="-6"/>
        </w:rPr>
        <w:t> </w:t>
      </w:r>
      <w:r>
        <w:rPr/>
        <w:t>pitch</w:t>
      </w:r>
      <w:r>
        <w:rPr>
          <w:spacing w:val="-6"/>
        </w:rPr>
        <w:t> </w:t>
      </w:r>
      <w:r>
        <w:rPr/>
        <w:t>and</w:t>
      </w:r>
      <w:r>
        <w:rPr>
          <w:spacing w:val="-7"/>
        </w:rPr>
        <w:t> </w:t>
      </w:r>
      <w:r>
        <w:rPr/>
        <w:t>the</w:t>
      </w:r>
      <w:r>
        <w:rPr>
          <w:spacing w:val="-58"/>
        </w:rPr>
        <w:t> </w:t>
      </w:r>
      <w:r>
        <w:rPr/>
        <w:t>interior</w:t>
      </w:r>
      <w:r>
        <w:rPr>
          <w:spacing w:val="-2"/>
        </w:rPr>
        <w:t> </w:t>
      </w:r>
      <w:r>
        <w:rPr/>
        <w:t>roof</w:t>
      </w:r>
      <w:r>
        <w:rPr>
          <w:spacing w:val="-1"/>
        </w:rPr>
        <w:t> </w:t>
      </w:r>
      <w:r>
        <w:rPr/>
        <w:t>is left unfinished with the roof</w:t>
      </w:r>
      <w:r>
        <w:rPr>
          <w:spacing w:val="-2"/>
        </w:rPr>
        <w:t> </w:t>
      </w:r>
      <w:r>
        <w:rPr/>
        <w:t>trusses exposed.</w:t>
      </w:r>
    </w:p>
    <w:p>
      <w:pPr>
        <w:pStyle w:val="BodyText"/>
        <w:spacing w:line="480" w:lineRule="auto" w:before="159"/>
        <w:ind w:left="440" w:right="256" w:firstLine="720"/>
        <w:jc w:val="both"/>
      </w:pPr>
      <w:r>
        <w:rPr/>
        <w:t>Depending on intended use, the interior configuration of walls can vary.</w:t>
      </w:r>
      <w:r>
        <w:rPr>
          <w:spacing w:val="1"/>
        </w:rPr>
        <w:t> </w:t>
      </w:r>
      <w:r>
        <w:rPr/>
        <w:t>Some B-</w:t>
      </w:r>
      <w:r>
        <w:rPr>
          <w:spacing w:val="-57"/>
        </w:rPr>
        <w:t> </w:t>
      </w:r>
      <w:r>
        <w:rPr/>
        <w:t>huts are built without any interior partitions, even for living quarters.</w:t>
      </w:r>
      <w:r>
        <w:rPr>
          <w:spacing w:val="1"/>
        </w:rPr>
        <w:t> </w:t>
      </w:r>
      <w:r>
        <w:rPr/>
        <w:t>The roofs of the B-</w:t>
      </w:r>
      <w:r>
        <w:rPr>
          <w:spacing w:val="1"/>
        </w:rPr>
        <w:t> </w:t>
      </w:r>
      <w:r>
        <w:rPr/>
        <w:t>huts</w:t>
      </w:r>
      <w:r>
        <w:rPr>
          <w:spacing w:val="-5"/>
        </w:rPr>
        <w:t> </w:t>
      </w:r>
      <w:r>
        <w:rPr/>
        <w:t>have</w:t>
      </w:r>
      <w:r>
        <w:rPr>
          <w:spacing w:val="-5"/>
        </w:rPr>
        <w:t> </w:t>
      </w:r>
      <w:r>
        <w:rPr/>
        <w:t>a</w:t>
      </w:r>
      <w:r>
        <w:rPr>
          <w:spacing w:val="-6"/>
        </w:rPr>
        <w:t> </w:t>
      </w:r>
      <w:r>
        <w:rPr/>
        <w:t>slight</w:t>
      </w:r>
      <w:r>
        <w:rPr>
          <w:spacing w:val="-6"/>
        </w:rPr>
        <w:t> </w:t>
      </w:r>
      <w:r>
        <w:rPr/>
        <w:t>pitch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/>
        <w:t>allow</w:t>
      </w:r>
      <w:r>
        <w:rPr>
          <w:spacing w:val="-6"/>
        </w:rPr>
        <w:t> </w:t>
      </w:r>
      <w:r>
        <w:rPr/>
        <w:t>for</w:t>
      </w:r>
      <w:r>
        <w:rPr>
          <w:spacing w:val="-5"/>
        </w:rPr>
        <w:t> </w:t>
      </w:r>
      <w:r>
        <w:rPr/>
        <w:t>rain</w:t>
      </w:r>
      <w:r>
        <w:rPr>
          <w:spacing w:val="-5"/>
        </w:rPr>
        <w:t> </w:t>
      </w:r>
      <w:r>
        <w:rPr/>
        <w:t>and</w:t>
      </w:r>
      <w:r>
        <w:rPr>
          <w:spacing w:val="-6"/>
        </w:rPr>
        <w:t> </w:t>
      </w:r>
      <w:r>
        <w:rPr/>
        <w:t>snow</w:t>
      </w:r>
      <w:r>
        <w:rPr>
          <w:spacing w:val="-7"/>
        </w:rPr>
        <w:t> </w:t>
      </w:r>
      <w:r>
        <w:rPr/>
        <w:t>runoff</w:t>
      </w:r>
      <w:r>
        <w:rPr>
          <w:spacing w:val="-6"/>
        </w:rPr>
        <w:t> </w:t>
      </w:r>
      <w:r>
        <w:rPr/>
        <w:t>with</w:t>
      </w:r>
      <w:r>
        <w:rPr>
          <w:spacing w:val="-5"/>
        </w:rPr>
        <w:t> </w:t>
      </w:r>
      <w:r>
        <w:rPr/>
        <w:t>less</w:t>
      </w:r>
      <w:r>
        <w:rPr>
          <w:spacing w:val="-6"/>
        </w:rPr>
        <w:t> </w:t>
      </w:r>
      <w:r>
        <w:rPr/>
        <w:t>leakage</w:t>
      </w:r>
      <w:r>
        <w:rPr>
          <w:spacing w:val="-5"/>
        </w:rPr>
        <w:t> </w:t>
      </w:r>
      <w:r>
        <w:rPr/>
        <w:t>into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interior</w:t>
      </w:r>
      <w:r>
        <w:rPr>
          <w:spacing w:val="-58"/>
        </w:rPr>
        <w:t> </w:t>
      </w:r>
      <w:r>
        <w:rPr/>
        <w:t>of the structure.</w:t>
      </w:r>
      <w:r>
        <w:rPr>
          <w:spacing w:val="1"/>
        </w:rPr>
        <w:t> </w:t>
      </w:r>
      <w:r>
        <w:rPr/>
        <w:t>Frequently, the structure is windowless to offer increased protection and</w:t>
      </w:r>
      <w:r>
        <w:rPr>
          <w:spacing w:val="1"/>
        </w:rPr>
        <w:t> </w:t>
      </w:r>
      <w:r>
        <w:rPr/>
        <w:t>privacy</w:t>
      </w:r>
      <w:r>
        <w:rPr>
          <w:spacing w:val="-10"/>
        </w:rPr>
        <w:t> </w:t>
      </w:r>
      <w:r>
        <w:rPr/>
        <w:t>to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occupants,</w:t>
      </w:r>
      <w:r>
        <w:rPr>
          <w:spacing w:val="-10"/>
        </w:rPr>
        <w:t> </w:t>
      </w:r>
      <w:r>
        <w:rPr/>
        <w:t>although</w:t>
      </w:r>
      <w:r>
        <w:rPr>
          <w:spacing w:val="-8"/>
        </w:rPr>
        <w:t> </w:t>
      </w:r>
      <w:r>
        <w:rPr/>
        <w:t>there</w:t>
      </w:r>
      <w:r>
        <w:rPr>
          <w:spacing w:val="-8"/>
        </w:rPr>
        <w:t> </w:t>
      </w:r>
      <w:r>
        <w:rPr/>
        <w:t>is</w:t>
      </w:r>
      <w:r>
        <w:rPr>
          <w:spacing w:val="-10"/>
        </w:rPr>
        <w:t> </w:t>
      </w:r>
      <w:r>
        <w:rPr/>
        <w:t>the</w:t>
      </w:r>
      <w:r>
        <w:rPr>
          <w:spacing w:val="-8"/>
        </w:rPr>
        <w:t> </w:t>
      </w:r>
      <w:r>
        <w:rPr/>
        <w:t>potential</w:t>
      </w:r>
      <w:r>
        <w:rPr>
          <w:spacing w:val="-8"/>
        </w:rPr>
        <w:t> </w:t>
      </w:r>
      <w:r>
        <w:rPr/>
        <w:t>to</w:t>
      </w:r>
      <w:r>
        <w:rPr>
          <w:spacing w:val="-8"/>
        </w:rPr>
        <w:t> </w:t>
      </w:r>
      <w:r>
        <w:rPr/>
        <w:t>have</w:t>
      </w:r>
      <w:r>
        <w:rPr>
          <w:spacing w:val="-8"/>
        </w:rPr>
        <w:t> </w:t>
      </w:r>
      <w:r>
        <w:rPr/>
        <w:t>windows</w:t>
      </w:r>
      <w:r>
        <w:rPr>
          <w:spacing w:val="-8"/>
        </w:rPr>
        <w:t> </w:t>
      </w:r>
      <w:r>
        <w:rPr/>
        <w:t>if</w:t>
      </w:r>
      <w:r>
        <w:rPr>
          <w:spacing w:val="-8"/>
        </w:rPr>
        <w:t> </w:t>
      </w:r>
      <w:r>
        <w:rPr/>
        <w:t>desired.</w:t>
      </w:r>
      <w:r>
        <w:rPr>
          <w:spacing w:val="44"/>
        </w:rPr>
        <w:t> </w:t>
      </w:r>
      <w:r>
        <w:rPr/>
        <w:t>Often,</w:t>
      </w:r>
      <w:r>
        <w:rPr>
          <w:spacing w:val="-58"/>
        </w:rPr>
        <w:t> </w:t>
      </w:r>
      <w:r>
        <w:rPr/>
        <w:t>seams between the floor structure and walls as well as the walls and roof are lined with</w:t>
      </w:r>
      <w:r>
        <w:rPr>
          <w:spacing w:val="1"/>
        </w:rPr>
        <w:t> </w:t>
      </w:r>
      <w:r>
        <w:rPr/>
        <w:t>caulk</w:t>
      </w:r>
      <w:r>
        <w:rPr>
          <w:spacing w:val="-1"/>
        </w:rPr>
        <w:t> </w:t>
      </w:r>
      <w:r>
        <w:rPr/>
        <w:t>to help with</w:t>
      </w:r>
      <w:r>
        <w:rPr>
          <w:spacing w:val="-1"/>
        </w:rPr>
        <w:t> </w:t>
      </w:r>
      <w:r>
        <w:rPr/>
        <w:t>thermal conditioning and</w:t>
      </w:r>
      <w:r>
        <w:rPr>
          <w:spacing w:val="-1"/>
        </w:rPr>
        <w:t> </w:t>
      </w:r>
      <w:r>
        <w:rPr/>
        <w:t>prevent insect</w:t>
      </w:r>
      <w:r>
        <w:rPr>
          <w:spacing w:val="-1"/>
        </w:rPr>
        <w:t> </w:t>
      </w:r>
      <w:r>
        <w:rPr/>
        <w:t>intrusion.</w:t>
      </w:r>
    </w:p>
    <w:p>
      <w:pPr>
        <w:pStyle w:val="BodyText"/>
        <w:spacing w:line="480" w:lineRule="auto" w:before="160"/>
        <w:ind w:left="440" w:right="257" w:firstLine="720"/>
        <w:jc w:val="both"/>
      </w:pPr>
      <w:r>
        <w:rPr/>
        <w:t>Since B-huts are built as temporary shelters rather than permanent structures, they</w:t>
      </w:r>
      <w:r>
        <w:rPr>
          <w:spacing w:val="-57"/>
        </w:rPr>
        <w:t> </w:t>
      </w:r>
      <w:r>
        <w:rPr/>
        <w:t>are finished relatively primitively.</w:t>
      </w:r>
      <w:r>
        <w:rPr>
          <w:spacing w:val="1"/>
        </w:rPr>
        <w:t> </w:t>
      </w:r>
      <w:r>
        <w:rPr/>
        <w:t>Typically, there is no façade layer to protect the wood</w:t>
      </w:r>
      <w:r>
        <w:rPr>
          <w:spacing w:val="-57"/>
        </w:rPr>
        <w:t> </w:t>
      </w:r>
      <w:r>
        <w:rPr/>
        <w:t>from</w:t>
      </w:r>
      <w:r>
        <w:rPr>
          <w:spacing w:val="-12"/>
        </w:rPr>
        <w:t> </w:t>
      </w:r>
      <w:r>
        <w:rPr/>
        <w:t>the</w:t>
      </w:r>
      <w:r>
        <w:rPr>
          <w:spacing w:val="-9"/>
        </w:rPr>
        <w:t> </w:t>
      </w:r>
      <w:r>
        <w:rPr/>
        <w:t>elements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/>
        <w:t>repeated</w:t>
      </w:r>
      <w:r>
        <w:rPr>
          <w:spacing w:val="-9"/>
        </w:rPr>
        <w:t> </w:t>
      </w:r>
      <w:r>
        <w:rPr/>
        <w:t>exposure</w:t>
      </w:r>
      <w:r>
        <w:rPr>
          <w:spacing w:val="-9"/>
        </w:rPr>
        <w:t> </w:t>
      </w:r>
      <w:r>
        <w:rPr/>
        <w:t>to</w:t>
      </w:r>
      <w:r>
        <w:rPr>
          <w:spacing w:val="-10"/>
        </w:rPr>
        <w:t> </w:t>
      </w:r>
      <w:r>
        <w:rPr/>
        <w:t>rain,</w:t>
      </w:r>
      <w:r>
        <w:rPr>
          <w:spacing w:val="-10"/>
        </w:rPr>
        <w:t> </w:t>
      </w:r>
      <w:r>
        <w:rPr/>
        <w:t>snow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/>
        <w:t>sun</w:t>
      </w:r>
      <w:r>
        <w:rPr>
          <w:spacing w:val="-9"/>
        </w:rPr>
        <w:t> </w:t>
      </w:r>
      <w:r>
        <w:rPr/>
        <w:t>other</w:t>
      </w:r>
      <w:r>
        <w:rPr>
          <w:spacing w:val="-8"/>
        </w:rPr>
        <w:t> </w:t>
      </w:r>
      <w:r>
        <w:rPr/>
        <w:t>than</w:t>
      </w:r>
      <w:r>
        <w:rPr>
          <w:spacing w:val="-9"/>
        </w:rPr>
        <w:t> </w:t>
      </w:r>
      <w:r>
        <w:rPr/>
        <w:t>sand</w:t>
      </w:r>
      <w:r>
        <w:rPr>
          <w:spacing w:val="-10"/>
        </w:rPr>
        <w:t> </w:t>
      </w:r>
      <w:r>
        <w:rPr/>
        <w:t>bags</w:t>
      </w:r>
      <w:r>
        <w:rPr>
          <w:spacing w:val="-9"/>
        </w:rPr>
        <w:t> </w:t>
      </w:r>
      <w:r>
        <w:rPr/>
        <w:t>placed</w:t>
      </w:r>
      <w:r>
        <w:rPr>
          <w:spacing w:val="-57"/>
        </w:rPr>
        <w:t> </w:t>
      </w:r>
      <w:r>
        <w:rPr/>
        <w:t>to harden the structure.</w:t>
      </w:r>
      <w:r>
        <w:rPr>
          <w:spacing w:val="1"/>
        </w:rPr>
        <w:t> </w:t>
      </w:r>
      <w:r>
        <w:rPr/>
        <w:t>An exception may be found with the roof where, depending on</w:t>
      </w:r>
      <w:r>
        <w:rPr>
          <w:spacing w:val="1"/>
        </w:rPr>
        <w:t> </w:t>
      </w:r>
      <w:r>
        <w:rPr/>
        <w:t>location</w:t>
      </w:r>
      <w:r>
        <w:rPr>
          <w:spacing w:val="-8"/>
        </w:rPr>
        <w:t> </w:t>
      </w:r>
      <w:r>
        <w:rPr/>
        <w:t>and</w:t>
      </w:r>
      <w:r>
        <w:rPr>
          <w:spacing w:val="-9"/>
        </w:rPr>
        <w:t> </w:t>
      </w:r>
      <w:r>
        <w:rPr/>
        <w:t>materials</w:t>
      </w:r>
      <w:r>
        <w:rPr>
          <w:spacing w:val="-7"/>
        </w:rPr>
        <w:t> </w:t>
      </w:r>
      <w:r>
        <w:rPr/>
        <w:t>available,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roof</w:t>
      </w:r>
      <w:r>
        <w:rPr>
          <w:spacing w:val="-7"/>
        </w:rPr>
        <w:t> </w:t>
      </w:r>
      <w:r>
        <w:rPr/>
        <w:t>may</w:t>
      </w:r>
      <w:r>
        <w:rPr>
          <w:spacing w:val="-7"/>
        </w:rPr>
        <w:t> </w:t>
      </w:r>
      <w:r>
        <w:rPr/>
        <w:t>be</w:t>
      </w:r>
      <w:r>
        <w:rPr>
          <w:spacing w:val="-7"/>
        </w:rPr>
        <w:t> </w:t>
      </w:r>
      <w:r>
        <w:rPr/>
        <w:t>corrugated</w:t>
      </w:r>
      <w:r>
        <w:rPr>
          <w:spacing w:val="-9"/>
        </w:rPr>
        <w:t> </w:t>
      </w:r>
      <w:r>
        <w:rPr/>
        <w:t>metal</w:t>
      </w:r>
      <w:r>
        <w:rPr>
          <w:spacing w:val="-7"/>
        </w:rPr>
        <w:t> </w:t>
      </w:r>
      <w:r>
        <w:rPr/>
        <w:t>or</w:t>
      </w:r>
      <w:r>
        <w:rPr>
          <w:spacing w:val="-7"/>
        </w:rPr>
        <w:t> </w:t>
      </w:r>
      <w:r>
        <w:rPr/>
        <w:t>wood</w:t>
      </w:r>
      <w:r>
        <w:rPr>
          <w:spacing w:val="-8"/>
        </w:rPr>
        <w:t> </w:t>
      </w:r>
      <w:r>
        <w:rPr/>
        <w:t>with</w:t>
      </w:r>
      <w:r>
        <w:rPr>
          <w:spacing w:val="-7"/>
        </w:rPr>
        <w:t> </w:t>
      </w:r>
      <w:r>
        <w:rPr/>
        <w:t>an</w:t>
      </w:r>
      <w:r>
        <w:rPr>
          <w:spacing w:val="-7"/>
        </w:rPr>
        <w:t> </w:t>
      </w:r>
      <w:r>
        <w:rPr/>
        <w:t>asphalt</w:t>
      </w:r>
      <w:r>
        <w:rPr>
          <w:spacing w:val="-58"/>
        </w:rPr>
        <w:t> </w:t>
      </w:r>
      <w:r>
        <w:rPr/>
        <w:t>paper</w:t>
      </w:r>
      <w:r>
        <w:rPr>
          <w:spacing w:val="-1"/>
        </w:rPr>
        <w:t> </w:t>
      </w:r>
      <w:r>
        <w:rPr/>
        <w:t>at the</w:t>
      </w:r>
      <w:r>
        <w:rPr>
          <w:spacing w:val="-1"/>
        </w:rPr>
        <w:t> </w:t>
      </w:r>
      <w:r>
        <w:rPr/>
        <w:t>exposed surface as seen in Figure</w:t>
      </w:r>
      <w:r>
        <w:rPr>
          <w:spacing w:val="-1"/>
        </w:rPr>
        <w:t> </w:t>
      </w:r>
      <w:r>
        <w:rPr/>
        <w:t>2-10.</w:t>
      </w:r>
    </w:p>
    <w:p>
      <w:pPr>
        <w:pStyle w:val="BodyText"/>
        <w:spacing w:line="480" w:lineRule="auto" w:before="152"/>
        <w:ind w:left="440" w:right="257" w:firstLine="720"/>
        <w:jc w:val="both"/>
      </w:pPr>
      <w:r>
        <w:rPr/>
        <w:t>Despite their intended temporary use, B-huts have been used for over a decade in</w:t>
      </w:r>
      <w:r>
        <w:rPr>
          <w:spacing w:val="1"/>
        </w:rPr>
        <w:t> </w:t>
      </w:r>
      <w:r>
        <w:rPr/>
        <w:t>places like Afghanistan, Iraq, Bosnia, Kosovo, as well as countries in Africa, Central and</w:t>
      </w:r>
      <w:r>
        <w:rPr>
          <w:spacing w:val="1"/>
        </w:rPr>
        <w:t> </w:t>
      </w:r>
      <w:r>
        <w:rPr/>
        <w:t>South America.</w:t>
      </w:r>
      <w:r>
        <w:rPr>
          <w:spacing w:val="1"/>
        </w:rPr>
        <w:t> </w:t>
      </w:r>
      <w:r>
        <w:rPr/>
        <w:t>At the end of their useful life, the structures are often demolished with</w:t>
      </w:r>
      <w:r>
        <w:rPr>
          <w:spacing w:val="1"/>
        </w:rPr>
        <w:t> </w:t>
      </w:r>
      <w:r>
        <w:rPr/>
        <w:t>heavy equipment, leaving behind wood scrap for disposal.</w:t>
      </w:r>
      <w:r>
        <w:rPr>
          <w:spacing w:val="1"/>
        </w:rPr>
        <w:t> </w:t>
      </w:r>
      <w:r>
        <w:rPr/>
        <w:t>Sometimes the buildings are</w:t>
      </w:r>
      <w:r>
        <w:rPr>
          <w:spacing w:val="1"/>
        </w:rPr>
        <w:t> </w:t>
      </w:r>
      <w:r>
        <w:rPr/>
        <w:t>turned</w:t>
      </w:r>
      <w:r>
        <w:rPr>
          <w:spacing w:val="14"/>
        </w:rPr>
        <w:t> </w:t>
      </w:r>
      <w:r>
        <w:rPr/>
        <w:t>over</w:t>
      </w:r>
      <w:r>
        <w:rPr>
          <w:spacing w:val="12"/>
        </w:rPr>
        <w:t> </w:t>
      </w:r>
      <w:r>
        <w:rPr/>
        <w:t>to</w:t>
      </w:r>
      <w:r>
        <w:rPr>
          <w:spacing w:val="15"/>
        </w:rPr>
        <w:t> </w:t>
      </w:r>
      <w:r>
        <w:rPr/>
        <w:t>the</w:t>
      </w:r>
      <w:r>
        <w:rPr>
          <w:spacing w:val="15"/>
        </w:rPr>
        <w:t> </w:t>
      </w:r>
      <w:r>
        <w:rPr/>
        <w:t>host</w:t>
      </w:r>
      <w:r>
        <w:rPr>
          <w:spacing w:val="15"/>
        </w:rPr>
        <w:t> </w:t>
      </w:r>
      <w:r>
        <w:rPr/>
        <w:t>country</w:t>
      </w:r>
      <w:r>
        <w:rPr>
          <w:spacing w:val="15"/>
        </w:rPr>
        <w:t> </w:t>
      </w:r>
      <w:r>
        <w:rPr/>
        <w:t>or</w:t>
      </w:r>
      <w:r>
        <w:rPr>
          <w:spacing w:val="15"/>
        </w:rPr>
        <w:t> </w:t>
      </w:r>
      <w:r>
        <w:rPr/>
        <w:t>non-governmental</w:t>
      </w:r>
      <w:r>
        <w:rPr>
          <w:spacing w:val="14"/>
        </w:rPr>
        <w:t> </w:t>
      </w:r>
      <w:r>
        <w:rPr/>
        <w:t>organization</w:t>
      </w:r>
      <w:r>
        <w:rPr>
          <w:spacing w:val="14"/>
        </w:rPr>
        <w:t> </w:t>
      </w:r>
      <w:r>
        <w:rPr/>
        <w:t>(NGO)</w:t>
      </w:r>
      <w:r>
        <w:rPr>
          <w:spacing w:val="15"/>
        </w:rPr>
        <w:t> </w:t>
      </w:r>
      <w:r>
        <w:rPr/>
        <w:t>for</w:t>
      </w:r>
      <w:r>
        <w:rPr>
          <w:spacing w:val="15"/>
        </w:rPr>
        <w:t> </w:t>
      </w:r>
      <w:r>
        <w:rPr/>
        <w:t>future</w:t>
      </w:r>
      <w:r>
        <w:rPr>
          <w:spacing w:val="13"/>
        </w:rPr>
        <w:t> </w:t>
      </w:r>
      <w:r>
        <w:rPr/>
        <w:t>use.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40" w:right="258"/>
        <w:jc w:val="both"/>
      </w:pPr>
      <w:r>
        <w:rPr/>
        <w:t>In areas where wood construction is not customary this can become problematic for the</w:t>
      </w:r>
      <w:r>
        <w:rPr>
          <w:spacing w:val="1"/>
        </w:rPr>
        <w:t> </w:t>
      </w:r>
      <w:r>
        <w:rPr/>
        <w:t>future</w:t>
      </w:r>
      <w:r>
        <w:rPr>
          <w:spacing w:val="-1"/>
        </w:rPr>
        <w:t> </w:t>
      </w:r>
      <w:r>
        <w:rPr/>
        <w:t>occupants to upkeep.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34">
            <wp:simplePos x="0" y="0"/>
            <wp:positionH relativeFrom="page">
              <wp:posOffset>1732914</wp:posOffset>
            </wp:positionH>
            <wp:positionV relativeFrom="paragraph">
              <wp:posOffset>235034</wp:posOffset>
            </wp:positionV>
            <wp:extent cx="4724693" cy="2776918"/>
            <wp:effectExtent l="0" t="0" r="0" b="0"/>
            <wp:wrapTopAndBottom/>
            <wp:docPr id="13" name="image35.jpeg" descr="http://archive.defense.gov/DODCMSShare/NewsStoryPhoto/2007-11/hrs_071010-A-9995D-00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35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4693" cy="27769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6"/>
        <w:ind w:left="440" w:right="258" w:firstLine="0"/>
        <w:jc w:val="both"/>
        <w:rPr>
          <w:i/>
          <w:sz w:val="24"/>
        </w:rPr>
      </w:pPr>
      <w:r>
        <w:rPr>
          <w:i/>
          <w:sz w:val="24"/>
        </w:rPr>
        <w:t>Figure 2-10. Army engineers construction a cluster of B-huts to house soldiers on 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Forward Operating Base in Afghanistan in 2007 (photo by CPT Ashley Dellavalle, used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with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permission).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34"/>
        </w:rPr>
      </w:pPr>
    </w:p>
    <w:p>
      <w:pPr>
        <w:pStyle w:val="ListParagraph"/>
        <w:numPr>
          <w:ilvl w:val="2"/>
          <w:numId w:val="14"/>
        </w:numPr>
        <w:tabs>
          <w:tab w:pos="980" w:val="left" w:leader="none"/>
        </w:tabs>
        <w:spacing w:line="240" w:lineRule="auto" w:before="0" w:after="0"/>
        <w:ind w:left="980" w:right="0" w:hanging="540"/>
        <w:jc w:val="both"/>
        <w:rPr>
          <w:i/>
          <w:sz w:val="24"/>
        </w:rPr>
      </w:pPr>
      <w:bookmarkStart w:name="2.4.2 Logistics and B-hut supply chain" w:id="68"/>
      <w:bookmarkEnd w:id="68"/>
      <w:r>
        <w:rPr/>
      </w:r>
      <w:bookmarkStart w:name="2.4.2 Logistics and B-hut supply chain" w:id="69"/>
      <w:bookmarkEnd w:id="69"/>
      <w:r>
        <w:rPr>
          <w:i/>
          <w:sz w:val="24"/>
        </w:rPr>
        <w:t>L</w:t>
      </w:r>
      <w:r>
        <w:rPr>
          <w:i/>
          <w:sz w:val="24"/>
        </w:rPr>
        <w:t>ogistics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B-hut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supply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chain</w:t>
      </w:r>
    </w:p>
    <w:p>
      <w:pPr>
        <w:pStyle w:val="BodyText"/>
        <w:spacing w:before="8"/>
        <w:rPr>
          <w:i/>
          <w:sz w:val="22"/>
        </w:rPr>
      </w:pPr>
    </w:p>
    <w:p>
      <w:pPr>
        <w:pStyle w:val="BodyText"/>
        <w:spacing w:line="480" w:lineRule="auto"/>
        <w:ind w:left="439" w:right="256" w:firstLine="720"/>
        <w:jc w:val="both"/>
      </w:pPr>
      <w:r>
        <w:rPr/>
        <w:t>The wood that the structures are built from usually ships from the United States,</w:t>
      </w:r>
      <w:r>
        <w:rPr>
          <w:spacing w:val="1"/>
        </w:rPr>
        <w:t> </w:t>
      </w:r>
      <w:r>
        <w:rPr/>
        <w:t>which is a large logistical burden.</w:t>
      </w:r>
      <w:r>
        <w:rPr>
          <w:spacing w:val="1"/>
        </w:rPr>
        <w:t> </w:t>
      </w:r>
      <w:r>
        <w:rPr/>
        <w:t>Engineer units may deploy with containers, typically</w:t>
      </w:r>
      <w:r>
        <w:rPr>
          <w:spacing w:val="1"/>
        </w:rPr>
        <w:t> </w:t>
      </w:r>
      <w:r>
        <w:rPr/>
        <w:t>ranging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size</w:t>
      </w:r>
      <w:r>
        <w:rPr>
          <w:spacing w:val="-5"/>
        </w:rPr>
        <w:t> </w:t>
      </w:r>
      <w:r>
        <w:rPr/>
        <w:t>from</w:t>
      </w:r>
      <w:r>
        <w:rPr>
          <w:spacing w:val="-7"/>
        </w:rPr>
        <w:t> </w:t>
      </w:r>
      <w:r>
        <w:rPr/>
        <w:t>20-ft</w:t>
      </w:r>
      <w:r>
        <w:rPr>
          <w:spacing w:val="-6"/>
        </w:rPr>
        <w:t> </w:t>
      </w:r>
      <w:r>
        <w:rPr/>
        <w:t>by</w:t>
      </w:r>
      <w:r>
        <w:rPr>
          <w:spacing w:val="-5"/>
        </w:rPr>
        <w:t> </w:t>
      </w:r>
      <w:r>
        <w:rPr/>
        <w:t>8-ft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/>
        <w:t>40-ft</w:t>
      </w:r>
      <w:r>
        <w:rPr>
          <w:spacing w:val="-5"/>
        </w:rPr>
        <w:t> </w:t>
      </w:r>
      <w:r>
        <w:rPr/>
        <w:t>by</w:t>
      </w:r>
      <w:r>
        <w:rPr>
          <w:spacing w:val="-6"/>
        </w:rPr>
        <w:t> </w:t>
      </w:r>
      <w:r>
        <w:rPr/>
        <w:t>8-ft.</w:t>
      </w:r>
      <w:r>
        <w:rPr>
          <w:spacing w:val="49"/>
        </w:rPr>
        <w:t> </w:t>
      </w:r>
      <w:r>
        <w:rPr/>
        <w:t>The</w:t>
      </w:r>
      <w:r>
        <w:rPr>
          <w:spacing w:val="-6"/>
        </w:rPr>
        <w:t> </w:t>
      </w:r>
      <w:r>
        <w:rPr/>
        <w:t>shipping</w:t>
      </w:r>
      <w:r>
        <w:rPr>
          <w:spacing w:val="-6"/>
        </w:rPr>
        <w:t> </w:t>
      </w:r>
      <w:r>
        <w:rPr/>
        <w:t>containers</w:t>
      </w:r>
      <w:r>
        <w:rPr>
          <w:spacing w:val="-6"/>
        </w:rPr>
        <w:t> </w:t>
      </w:r>
      <w:r>
        <w:rPr/>
        <w:t>are</w:t>
      </w:r>
      <w:r>
        <w:rPr>
          <w:spacing w:val="-6"/>
        </w:rPr>
        <w:t> </w:t>
      </w:r>
      <w:r>
        <w:rPr/>
        <w:t>packed</w:t>
      </w:r>
      <w:r>
        <w:rPr>
          <w:spacing w:val="-7"/>
        </w:rPr>
        <w:t> </w:t>
      </w:r>
      <w:r>
        <w:rPr/>
        <w:t>with</w:t>
      </w:r>
    </w:p>
    <w:p>
      <w:pPr>
        <w:pStyle w:val="BodyText"/>
        <w:spacing w:line="480" w:lineRule="auto"/>
        <w:ind w:left="439" w:right="257"/>
        <w:jc w:val="both"/>
      </w:pPr>
      <w:r>
        <w:rPr/>
        <w:t>U.S. grade lumber and plywood for the construction of B-huts.</w:t>
      </w:r>
      <w:r>
        <w:rPr>
          <w:spacing w:val="1"/>
        </w:rPr>
        <w:t> </w:t>
      </w:r>
      <w:r>
        <w:rPr/>
        <w:t>Additional construction</w:t>
      </w:r>
      <w:r>
        <w:rPr>
          <w:spacing w:val="1"/>
        </w:rPr>
        <w:t> </w:t>
      </w:r>
      <w:r>
        <w:rPr/>
        <w:t>materials</w:t>
      </w:r>
      <w:r>
        <w:rPr>
          <w:spacing w:val="1"/>
        </w:rPr>
        <w:t> </w:t>
      </w:r>
      <w:r>
        <w:rPr/>
        <w:t>may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re-supplied</w:t>
      </w:r>
      <w:r>
        <w:rPr>
          <w:spacing w:val="1"/>
        </w:rPr>
        <w:t> </w:t>
      </w:r>
      <w:r>
        <w:rPr/>
        <w:t>through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military</w:t>
      </w:r>
      <w:r>
        <w:rPr>
          <w:spacing w:val="1"/>
        </w:rPr>
        <w:t> </w:t>
      </w:r>
      <w:r>
        <w:rPr/>
        <w:t>logistics</w:t>
      </w:r>
      <w:r>
        <w:rPr>
          <w:spacing w:val="1"/>
        </w:rPr>
        <w:t> </w:t>
      </w:r>
      <w:r>
        <w:rPr/>
        <w:t>system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continued</w:t>
      </w:r>
      <w:r>
        <w:rPr>
          <w:spacing w:val="1"/>
        </w:rPr>
        <w:t> </w:t>
      </w:r>
      <w:r>
        <w:rPr/>
        <w:t>construction and repair as well as any in-theater stocks should expansion of current base</w:t>
      </w:r>
      <w:r>
        <w:rPr>
          <w:spacing w:val="1"/>
        </w:rPr>
        <w:t> </w:t>
      </w:r>
      <w:r>
        <w:rPr/>
        <w:t>camps</w:t>
      </w:r>
      <w:r>
        <w:rPr>
          <w:spacing w:val="-5"/>
        </w:rPr>
        <w:t> </w:t>
      </w:r>
      <w:r>
        <w:rPr/>
        <w:t>become</w:t>
      </w:r>
      <w:r>
        <w:rPr>
          <w:spacing w:val="-2"/>
        </w:rPr>
        <w:t> </w:t>
      </w:r>
      <w:r>
        <w:rPr/>
        <w:t>necessary.</w:t>
      </w:r>
      <w:r>
        <w:rPr>
          <w:spacing w:val="52"/>
        </w:rPr>
        <w:t> </w:t>
      </w:r>
      <w:r>
        <w:rPr/>
        <w:t>The</w:t>
      </w:r>
      <w:r>
        <w:rPr>
          <w:spacing w:val="-2"/>
        </w:rPr>
        <w:t> </w:t>
      </w:r>
      <w:r>
        <w:rPr/>
        <w:t>military</w:t>
      </w:r>
      <w:r>
        <w:rPr>
          <w:spacing w:val="-5"/>
        </w:rPr>
        <w:t> </w:t>
      </w:r>
      <w:r>
        <w:rPr/>
        <w:t>spends</w:t>
      </w:r>
      <w:r>
        <w:rPr>
          <w:spacing w:val="-4"/>
        </w:rPr>
        <w:t> </w:t>
      </w:r>
      <w:r>
        <w:rPr/>
        <w:t>significant</w:t>
      </w:r>
      <w:r>
        <w:rPr>
          <w:spacing w:val="-3"/>
        </w:rPr>
        <w:t> </w:t>
      </w:r>
      <w:r>
        <w:rPr/>
        <w:t>manpower,</w:t>
      </w:r>
      <w:r>
        <w:rPr>
          <w:spacing w:val="-5"/>
        </w:rPr>
        <w:t> </w:t>
      </w:r>
      <w:r>
        <w:rPr/>
        <w:t>effort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dollars</w:t>
      </w:r>
      <w:r>
        <w:rPr>
          <w:spacing w:val="-4"/>
        </w:rPr>
        <w:t> </w:t>
      </w:r>
      <w:r>
        <w:rPr/>
        <w:t>to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39" w:right="256"/>
        <w:jc w:val="both"/>
      </w:pPr>
      <w:r>
        <w:rPr/>
        <w:t>ensure</w:t>
      </w:r>
      <w:r>
        <w:rPr>
          <w:spacing w:val="-13"/>
        </w:rPr>
        <w:t> </w:t>
      </w:r>
      <w:r>
        <w:rPr/>
        <w:t>an</w:t>
      </w:r>
      <w:r>
        <w:rPr>
          <w:spacing w:val="-13"/>
        </w:rPr>
        <w:t> </w:t>
      </w:r>
      <w:r>
        <w:rPr/>
        <w:t>uninterrupted</w:t>
      </w:r>
      <w:r>
        <w:rPr>
          <w:spacing w:val="-12"/>
        </w:rPr>
        <w:t> </w:t>
      </w:r>
      <w:r>
        <w:rPr/>
        <w:t>supply</w:t>
      </w:r>
      <w:r>
        <w:rPr>
          <w:spacing w:val="-13"/>
        </w:rPr>
        <w:t> </w:t>
      </w:r>
      <w:r>
        <w:rPr/>
        <w:t>chain</w:t>
      </w:r>
      <w:r>
        <w:rPr>
          <w:spacing w:val="-13"/>
        </w:rPr>
        <w:t> </w:t>
      </w:r>
      <w:r>
        <w:rPr/>
        <w:t>for</w:t>
      </w:r>
      <w:r>
        <w:rPr>
          <w:spacing w:val="-12"/>
        </w:rPr>
        <w:t> </w:t>
      </w:r>
      <w:r>
        <w:rPr/>
        <w:t>all</w:t>
      </w:r>
      <w:r>
        <w:rPr>
          <w:spacing w:val="-13"/>
        </w:rPr>
        <w:t> </w:t>
      </w:r>
      <w:r>
        <w:rPr/>
        <w:t>required</w:t>
      </w:r>
      <w:r>
        <w:rPr>
          <w:spacing w:val="-13"/>
        </w:rPr>
        <w:t> </w:t>
      </w:r>
      <w:r>
        <w:rPr/>
        <w:t>resources,</w:t>
      </w:r>
      <w:r>
        <w:rPr>
          <w:spacing w:val="-12"/>
        </w:rPr>
        <w:t> </w:t>
      </w:r>
      <w:r>
        <w:rPr/>
        <w:t>including</w:t>
      </w:r>
      <w:r>
        <w:rPr>
          <w:spacing w:val="-15"/>
        </w:rPr>
        <w:t> </w:t>
      </w:r>
      <w:r>
        <w:rPr/>
        <w:t>materials</w:t>
      </w:r>
      <w:r>
        <w:rPr>
          <w:spacing w:val="-13"/>
        </w:rPr>
        <w:t> </w:t>
      </w:r>
      <w:r>
        <w:rPr/>
        <w:t>to</w:t>
      </w:r>
      <w:r>
        <w:rPr>
          <w:spacing w:val="-14"/>
        </w:rPr>
        <w:t> </w:t>
      </w:r>
      <w:r>
        <w:rPr/>
        <w:t>build</w:t>
      </w:r>
      <w:r>
        <w:rPr>
          <w:spacing w:val="-58"/>
        </w:rPr>
        <w:t> </w:t>
      </w:r>
      <w:r>
        <w:rPr/>
        <w:t>B-huts.</w:t>
      </w:r>
    </w:p>
    <w:p>
      <w:pPr>
        <w:pStyle w:val="BodyText"/>
        <w:spacing w:line="480" w:lineRule="auto" w:before="159"/>
        <w:ind w:left="439" w:right="256" w:firstLine="720"/>
        <w:jc w:val="both"/>
      </w:pPr>
      <w:r>
        <w:rPr/>
        <w:t>Within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military</w:t>
      </w:r>
      <w:r>
        <w:rPr>
          <w:spacing w:val="-12"/>
        </w:rPr>
        <w:t> </w:t>
      </w:r>
      <w:r>
        <w:rPr/>
        <w:t>logistics</w:t>
      </w:r>
      <w:r>
        <w:rPr>
          <w:spacing w:val="-13"/>
        </w:rPr>
        <w:t> </w:t>
      </w:r>
      <w:r>
        <w:rPr/>
        <w:t>support</w:t>
      </w:r>
      <w:r>
        <w:rPr>
          <w:spacing w:val="-13"/>
        </w:rPr>
        <w:t> </w:t>
      </w:r>
      <w:r>
        <w:rPr/>
        <w:t>system,</w:t>
      </w:r>
      <w:r>
        <w:rPr>
          <w:spacing w:val="-13"/>
        </w:rPr>
        <w:t> </w:t>
      </w:r>
      <w:r>
        <w:rPr/>
        <w:t>construction</w:t>
      </w:r>
      <w:r>
        <w:rPr>
          <w:spacing w:val="-12"/>
        </w:rPr>
        <w:t> </w:t>
      </w:r>
      <w:r>
        <w:rPr/>
        <w:t>and</w:t>
      </w:r>
      <w:r>
        <w:rPr>
          <w:spacing w:val="-13"/>
        </w:rPr>
        <w:t> </w:t>
      </w:r>
      <w:r>
        <w:rPr/>
        <w:t>barrier</w:t>
      </w:r>
      <w:r>
        <w:rPr>
          <w:spacing w:val="-12"/>
        </w:rPr>
        <w:t> </w:t>
      </w:r>
      <w:r>
        <w:rPr/>
        <w:t>material,</w:t>
      </w:r>
      <w:r>
        <w:rPr>
          <w:spacing w:val="-13"/>
        </w:rPr>
        <w:t> </w:t>
      </w:r>
      <w:r>
        <w:rPr/>
        <w:t>such</w:t>
      </w:r>
      <w:r>
        <w:rPr>
          <w:spacing w:val="-58"/>
        </w:rPr>
        <w:t> </w:t>
      </w:r>
      <w:r>
        <w:rPr/>
        <w:t>as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lumber</w:t>
      </w:r>
      <w:r>
        <w:rPr>
          <w:spacing w:val="-7"/>
        </w:rPr>
        <w:t> </w:t>
      </w:r>
      <w:r>
        <w:rPr/>
        <w:t>and</w:t>
      </w:r>
      <w:r>
        <w:rPr>
          <w:spacing w:val="-6"/>
        </w:rPr>
        <w:t> </w:t>
      </w:r>
      <w:r>
        <w:rPr/>
        <w:t>plywood</w:t>
      </w:r>
      <w:r>
        <w:rPr>
          <w:spacing w:val="-6"/>
        </w:rPr>
        <w:t> </w:t>
      </w:r>
      <w:r>
        <w:rPr/>
        <w:t>for</w:t>
      </w:r>
      <w:r>
        <w:rPr>
          <w:spacing w:val="-7"/>
        </w:rPr>
        <w:t> </w:t>
      </w:r>
      <w:r>
        <w:rPr/>
        <w:t>B-huts,</w:t>
      </w:r>
      <w:r>
        <w:rPr>
          <w:spacing w:val="-6"/>
        </w:rPr>
        <w:t> </w:t>
      </w:r>
      <w:r>
        <w:rPr/>
        <w:t>is</w:t>
      </w:r>
      <w:r>
        <w:rPr>
          <w:spacing w:val="-6"/>
        </w:rPr>
        <w:t> </w:t>
      </w:r>
      <w:r>
        <w:rPr/>
        <w:t>known</w:t>
      </w:r>
      <w:r>
        <w:rPr>
          <w:spacing w:val="-8"/>
        </w:rPr>
        <w:t> </w:t>
      </w:r>
      <w:r>
        <w:rPr/>
        <w:t>as</w:t>
      </w:r>
      <w:r>
        <w:rPr>
          <w:spacing w:val="-6"/>
        </w:rPr>
        <w:t> </w:t>
      </w:r>
      <w:r>
        <w:rPr/>
        <w:t>military</w:t>
      </w:r>
      <w:r>
        <w:rPr>
          <w:spacing w:val="-6"/>
        </w:rPr>
        <w:t> </w:t>
      </w:r>
      <w:r>
        <w:rPr/>
        <w:t>supply</w:t>
      </w:r>
      <w:r>
        <w:rPr>
          <w:spacing w:val="-7"/>
        </w:rPr>
        <w:t> </w:t>
      </w:r>
      <w:r>
        <w:rPr/>
        <w:t>classification</w:t>
      </w:r>
      <w:r>
        <w:rPr>
          <w:spacing w:val="-6"/>
        </w:rPr>
        <w:t> </w:t>
      </w:r>
      <w:r>
        <w:rPr/>
        <w:t>IV</w:t>
      </w:r>
      <w:r>
        <w:rPr>
          <w:spacing w:val="-8"/>
        </w:rPr>
        <w:t> </w:t>
      </w:r>
      <w:r>
        <w:rPr/>
        <w:t>(Class</w:t>
      </w:r>
      <w:r>
        <w:rPr>
          <w:spacing w:val="-58"/>
        </w:rPr>
        <w:t> </w:t>
      </w:r>
      <w:r>
        <w:rPr/>
        <w:t>IV).</w:t>
      </w:r>
      <w:r>
        <w:rPr>
          <w:spacing w:val="1"/>
        </w:rPr>
        <w:t> </w:t>
      </w:r>
      <w:r>
        <w:rPr/>
        <w:t>Class</w:t>
      </w:r>
      <w:r>
        <w:rPr>
          <w:spacing w:val="1"/>
        </w:rPr>
        <w:t> </w:t>
      </w:r>
      <w:r>
        <w:rPr/>
        <w:t>IV</w:t>
      </w:r>
      <w:r>
        <w:rPr>
          <w:spacing w:val="1"/>
        </w:rPr>
        <w:t> </w:t>
      </w:r>
      <w:r>
        <w:rPr/>
        <w:t>encompasses</w:t>
      </w:r>
      <w:r>
        <w:rPr>
          <w:spacing w:val="1"/>
        </w:rPr>
        <w:t> </w:t>
      </w:r>
      <w:r>
        <w:rPr/>
        <w:t>all</w:t>
      </w:r>
      <w:r>
        <w:rPr>
          <w:spacing w:val="1"/>
        </w:rPr>
        <w:t> </w:t>
      </w:r>
      <w:r>
        <w:rPr/>
        <w:t>construction</w:t>
      </w:r>
      <w:r>
        <w:rPr>
          <w:spacing w:val="1"/>
        </w:rPr>
        <w:t> </w:t>
      </w:r>
      <w:r>
        <w:rPr/>
        <w:t>materials</w:t>
      </w:r>
      <w:r>
        <w:rPr>
          <w:spacing w:val="1"/>
        </w:rPr>
        <w:t> </w:t>
      </w:r>
      <w:r>
        <w:rPr/>
        <w:t>including</w:t>
      </w:r>
      <w:r>
        <w:rPr>
          <w:spacing w:val="1"/>
        </w:rPr>
        <w:t> </w:t>
      </w:r>
      <w:r>
        <w:rPr/>
        <w:t>plywood,</w:t>
      </w:r>
      <w:r>
        <w:rPr>
          <w:spacing w:val="1"/>
        </w:rPr>
        <w:t> </w:t>
      </w:r>
      <w:r>
        <w:rPr/>
        <w:t>lumber,</w:t>
      </w:r>
      <w:r>
        <w:rPr>
          <w:spacing w:val="1"/>
        </w:rPr>
        <w:t> </w:t>
      </w:r>
      <w:r>
        <w:rPr/>
        <w:t>plumbing supplies, heating, ventilation, and air-conditioning equipment as well as barrier</w:t>
      </w:r>
      <w:r>
        <w:rPr>
          <w:spacing w:val="1"/>
        </w:rPr>
        <w:t> </w:t>
      </w:r>
      <w:r>
        <w:rPr/>
        <w:t>materials such as barbed wire, sandbags, and other force protection materials.</w:t>
      </w:r>
      <w:r>
        <w:rPr>
          <w:spacing w:val="1"/>
        </w:rPr>
        <w:t> </w:t>
      </w:r>
      <w:r>
        <w:rPr/>
        <w:t>As its own</w:t>
      </w:r>
      <w:r>
        <w:rPr>
          <w:spacing w:val="-57"/>
        </w:rPr>
        <w:t> </w:t>
      </w:r>
      <w:r>
        <w:rPr/>
        <w:t>class of supply, construction materials have their own distinct supply chain, which begins</w:t>
      </w:r>
      <w:r>
        <w:rPr>
          <w:spacing w:val="-57"/>
        </w:rPr>
        <w:t> </w:t>
      </w:r>
      <w:r>
        <w:rPr/>
        <w:t>with</w:t>
      </w:r>
      <w:r>
        <w:rPr>
          <w:spacing w:val="-1"/>
        </w:rPr>
        <w:t> </w:t>
      </w:r>
      <w:r>
        <w:rPr/>
        <w:t>contracted producers</w:t>
      </w:r>
      <w:r>
        <w:rPr>
          <w:spacing w:val="-1"/>
        </w:rPr>
        <w:t> </w:t>
      </w:r>
      <w:r>
        <w:rPr/>
        <w:t>or manufacturers of</w:t>
      </w:r>
      <w:r>
        <w:rPr>
          <w:spacing w:val="-2"/>
        </w:rPr>
        <w:t> </w:t>
      </w:r>
      <w:r>
        <w:rPr/>
        <w:t>the specific materials.</w:t>
      </w:r>
    </w:p>
    <w:p>
      <w:pPr>
        <w:pStyle w:val="BodyText"/>
        <w:spacing w:line="480" w:lineRule="auto" w:before="160"/>
        <w:ind w:left="439" w:right="258" w:firstLine="720"/>
        <w:jc w:val="both"/>
      </w:pPr>
      <w:r>
        <w:rPr/>
        <w:t>These suppliers provide the DoD with a finished product such as a box of nails or</w:t>
      </w:r>
      <w:r>
        <w:rPr>
          <w:spacing w:val="1"/>
        </w:rPr>
        <w:t> </w:t>
      </w:r>
      <w:r>
        <w:rPr/>
        <w:t>bundles of 3/4-inch plywood.</w:t>
      </w:r>
      <w:r>
        <w:rPr>
          <w:spacing w:val="1"/>
        </w:rPr>
        <w:t> </w:t>
      </w:r>
      <w:r>
        <w:rPr/>
        <w:t>Each item has its own supply chain, often with numerous</w:t>
      </w:r>
      <w:r>
        <w:rPr>
          <w:spacing w:val="1"/>
        </w:rPr>
        <w:t> </w:t>
      </w:r>
      <w:r>
        <w:rPr>
          <w:spacing w:val="-1"/>
        </w:rPr>
        <w:t>suppliers</w:t>
      </w:r>
      <w:r>
        <w:rPr>
          <w:spacing w:val="-14"/>
        </w:rPr>
        <w:t> </w:t>
      </w:r>
      <w:r>
        <w:rPr>
          <w:spacing w:val="-1"/>
        </w:rPr>
        <w:t>and</w:t>
      </w:r>
      <w:r>
        <w:rPr>
          <w:spacing w:val="-13"/>
        </w:rPr>
        <w:t> </w:t>
      </w:r>
      <w:r>
        <w:rPr/>
        <w:t>contracts</w:t>
      </w:r>
      <w:r>
        <w:rPr>
          <w:spacing w:val="-13"/>
        </w:rPr>
        <w:t> </w:t>
      </w:r>
      <w:r>
        <w:rPr/>
        <w:t>as</w:t>
      </w:r>
      <w:r>
        <w:rPr>
          <w:spacing w:val="-13"/>
        </w:rPr>
        <w:t> </w:t>
      </w:r>
      <w:r>
        <w:rPr/>
        <w:t>well</w:t>
      </w:r>
      <w:r>
        <w:rPr>
          <w:spacing w:val="-14"/>
        </w:rPr>
        <w:t> </w:t>
      </w:r>
      <w:r>
        <w:rPr/>
        <w:t>as</w:t>
      </w:r>
      <w:r>
        <w:rPr>
          <w:spacing w:val="-14"/>
        </w:rPr>
        <w:t> </w:t>
      </w:r>
      <w:r>
        <w:rPr/>
        <w:t>production</w:t>
      </w:r>
      <w:r>
        <w:rPr>
          <w:spacing w:val="-15"/>
        </w:rPr>
        <w:t> </w:t>
      </w:r>
      <w:r>
        <w:rPr/>
        <w:t>lead-times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delivery</w:t>
      </w:r>
      <w:r>
        <w:rPr>
          <w:spacing w:val="-13"/>
        </w:rPr>
        <w:t> </w:t>
      </w:r>
      <w:r>
        <w:rPr/>
        <w:t>availability</w:t>
      </w:r>
      <w:r>
        <w:rPr>
          <w:spacing w:val="-13"/>
        </w:rPr>
        <w:t> </w:t>
      </w:r>
      <w:r>
        <w:rPr/>
        <w:t>dates.</w:t>
      </w:r>
      <w:r>
        <w:rPr>
          <w:spacing w:val="-15"/>
        </w:rPr>
        <w:t> </w:t>
      </w:r>
      <w:r>
        <w:rPr/>
        <w:t>The</w:t>
      </w:r>
      <w:r>
        <w:rPr>
          <w:spacing w:val="-58"/>
        </w:rPr>
        <w:t> </w:t>
      </w:r>
      <w:r>
        <w:rPr/>
        <w:t>contract specifies the transition point from supplier to military distribution system, which</w:t>
      </w:r>
      <w:r>
        <w:rPr>
          <w:spacing w:val="1"/>
        </w:rPr>
        <w:t> </w:t>
      </w:r>
      <w:r>
        <w:rPr/>
        <w:t>is normally a warehouse or depot.</w:t>
      </w:r>
      <w:r>
        <w:rPr>
          <w:spacing w:val="1"/>
        </w:rPr>
        <w:t> </w:t>
      </w:r>
      <w:r>
        <w:rPr/>
        <w:t>There are many people involved in the supply chain,</w:t>
      </w:r>
      <w:r>
        <w:rPr>
          <w:spacing w:val="1"/>
        </w:rPr>
        <w:t> </w:t>
      </w:r>
      <w:r>
        <w:rPr/>
        <w:t>both</w:t>
      </w:r>
      <w:r>
        <w:rPr>
          <w:spacing w:val="-13"/>
        </w:rPr>
        <w:t> </w:t>
      </w:r>
      <w:r>
        <w:rPr/>
        <w:t>civilian</w:t>
      </w:r>
      <w:r>
        <w:rPr>
          <w:spacing w:val="-15"/>
        </w:rPr>
        <w:t> </w:t>
      </w:r>
      <w:r>
        <w:rPr/>
        <w:t>and</w:t>
      </w:r>
      <w:r>
        <w:rPr>
          <w:spacing w:val="-12"/>
        </w:rPr>
        <w:t> </w:t>
      </w:r>
      <w:r>
        <w:rPr/>
        <w:t>military</w:t>
      </w:r>
      <w:r>
        <w:rPr>
          <w:spacing w:val="-15"/>
        </w:rPr>
        <w:t> </w:t>
      </w:r>
      <w:r>
        <w:rPr/>
        <w:t>personnel,</w:t>
      </w:r>
      <w:r>
        <w:rPr>
          <w:spacing w:val="-15"/>
        </w:rPr>
        <w:t> </w:t>
      </w:r>
      <w:r>
        <w:rPr/>
        <w:t>many</w:t>
      </w:r>
      <w:r>
        <w:rPr>
          <w:spacing w:val="-12"/>
        </w:rPr>
        <w:t> </w:t>
      </w:r>
      <w:r>
        <w:rPr/>
        <w:t>of</w:t>
      </w:r>
      <w:r>
        <w:rPr>
          <w:spacing w:val="-13"/>
        </w:rPr>
        <w:t> </w:t>
      </w:r>
      <w:r>
        <w:rPr/>
        <w:t>whom</w:t>
      </w:r>
      <w:r>
        <w:rPr>
          <w:spacing w:val="-15"/>
        </w:rPr>
        <w:t> </w:t>
      </w:r>
      <w:r>
        <w:rPr/>
        <w:t>work</w:t>
      </w:r>
      <w:r>
        <w:rPr>
          <w:spacing w:val="-12"/>
        </w:rPr>
        <w:t> </w:t>
      </w:r>
      <w:r>
        <w:rPr/>
        <w:t>for</w:t>
      </w:r>
      <w:r>
        <w:rPr>
          <w:spacing w:val="-13"/>
        </w:rPr>
        <w:t> </w:t>
      </w:r>
      <w:r>
        <w:rPr/>
        <w:t>critical</w:t>
      </w:r>
      <w:r>
        <w:rPr>
          <w:spacing w:val="-12"/>
        </w:rPr>
        <w:t> </w:t>
      </w:r>
      <w:r>
        <w:rPr/>
        <w:t>agencies</w:t>
      </w:r>
      <w:r>
        <w:rPr>
          <w:spacing w:val="-13"/>
        </w:rPr>
        <w:t> </w:t>
      </w:r>
      <w:r>
        <w:rPr/>
        <w:t>in</w:t>
      </w:r>
      <w:r>
        <w:rPr>
          <w:spacing w:val="-15"/>
        </w:rPr>
        <w:t> </w:t>
      </w:r>
      <w:r>
        <w:rPr/>
        <w:t>the</w:t>
      </w:r>
      <w:r>
        <w:rPr>
          <w:spacing w:val="-13"/>
        </w:rPr>
        <w:t> </w:t>
      </w:r>
      <w:r>
        <w:rPr/>
        <w:t>supply</w:t>
      </w:r>
      <w:r>
        <w:rPr>
          <w:spacing w:val="-58"/>
        </w:rPr>
        <w:t> </w:t>
      </w:r>
      <w:r>
        <w:rPr/>
        <w:t>chain such as the Defense Logistics Agency (DLA), which provides nearly all of the</w:t>
      </w:r>
      <w:r>
        <w:rPr>
          <w:spacing w:val="1"/>
        </w:rPr>
        <w:t> </w:t>
      </w:r>
      <w:r>
        <w:rPr/>
        <w:t>construction</w:t>
      </w:r>
      <w:r>
        <w:rPr>
          <w:spacing w:val="1"/>
        </w:rPr>
        <w:t> </w:t>
      </w:r>
      <w:r>
        <w:rPr/>
        <w:t>material,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U.S.</w:t>
      </w:r>
      <w:r>
        <w:rPr>
          <w:spacing w:val="1"/>
        </w:rPr>
        <w:t> </w:t>
      </w:r>
      <w:r>
        <w:rPr/>
        <w:t>Transportation</w:t>
      </w:r>
      <w:r>
        <w:rPr>
          <w:spacing w:val="1"/>
        </w:rPr>
        <w:t> </w:t>
      </w:r>
      <w:r>
        <w:rPr/>
        <w:t>Command</w:t>
      </w:r>
      <w:r>
        <w:rPr>
          <w:spacing w:val="1"/>
        </w:rPr>
        <w:t> </w:t>
      </w:r>
      <w:r>
        <w:rPr/>
        <w:t>(TRANSCOM),</w:t>
      </w:r>
      <w:r>
        <w:rPr>
          <w:spacing w:val="1"/>
        </w:rPr>
        <w:t> </w:t>
      </w:r>
      <w:r>
        <w:rPr/>
        <w:t>which</w:t>
      </w:r>
      <w:r>
        <w:rPr>
          <w:spacing w:val="-57"/>
        </w:rPr>
        <w:t> </w:t>
      </w:r>
      <w:r>
        <w:rPr/>
        <w:t>coordinates</w:t>
      </w:r>
      <w:r>
        <w:rPr>
          <w:spacing w:val="-2"/>
        </w:rPr>
        <w:t> </w:t>
      </w:r>
      <w:r>
        <w:rPr/>
        <w:t>the movement of</w:t>
      </w:r>
      <w:r>
        <w:rPr>
          <w:spacing w:val="-1"/>
        </w:rPr>
        <w:t> </w:t>
      </w:r>
      <w:r>
        <w:rPr/>
        <w:t>the supplies.</w:t>
      </w:r>
    </w:p>
    <w:p>
      <w:pPr>
        <w:pStyle w:val="BodyText"/>
        <w:spacing w:line="480" w:lineRule="auto" w:before="152"/>
        <w:ind w:left="440" w:right="257" w:firstLine="720"/>
        <w:jc w:val="both"/>
      </w:pPr>
      <w:r>
        <w:rPr/>
        <w:t>From the warehouse or depot, the supplies move to forward storage points for</w:t>
      </w:r>
      <w:r>
        <w:rPr>
          <w:spacing w:val="1"/>
        </w:rPr>
        <w:t> </w:t>
      </w:r>
      <w:r>
        <w:rPr/>
        <w:t>distribution down through the military supply chain to the user in need, such as the Army</w:t>
      </w:r>
      <w:r>
        <w:rPr>
          <w:spacing w:val="1"/>
        </w:rPr>
        <w:t> </w:t>
      </w:r>
      <w:r>
        <w:rPr/>
        <w:t>engineer</w:t>
      </w:r>
      <w:r>
        <w:rPr>
          <w:spacing w:val="-8"/>
        </w:rPr>
        <w:t> </w:t>
      </w:r>
      <w:r>
        <w:rPr/>
        <w:t>soldiers</w:t>
      </w:r>
      <w:r>
        <w:rPr>
          <w:spacing w:val="-8"/>
        </w:rPr>
        <w:t> </w:t>
      </w:r>
      <w:r>
        <w:rPr/>
        <w:t>building</w:t>
      </w:r>
      <w:r>
        <w:rPr>
          <w:spacing w:val="-9"/>
        </w:rPr>
        <w:t> </w:t>
      </w:r>
      <w:r>
        <w:rPr/>
        <w:t>the</w:t>
      </w:r>
      <w:r>
        <w:rPr>
          <w:spacing w:val="-7"/>
        </w:rPr>
        <w:t> </w:t>
      </w:r>
      <w:r>
        <w:rPr/>
        <w:t>base</w:t>
      </w:r>
      <w:r>
        <w:rPr>
          <w:spacing w:val="-8"/>
        </w:rPr>
        <w:t> </w:t>
      </w:r>
      <w:r>
        <w:rPr/>
        <w:t>camp</w:t>
      </w:r>
      <w:r>
        <w:rPr>
          <w:spacing w:val="-9"/>
        </w:rPr>
        <w:t> </w:t>
      </w:r>
      <w:r>
        <w:rPr/>
        <w:t>or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unit</w:t>
      </w:r>
      <w:r>
        <w:rPr>
          <w:spacing w:val="-8"/>
        </w:rPr>
        <w:t> </w:t>
      </w:r>
      <w:r>
        <w:rPr/>
        <w:t>for</w:t>
      </w:r>
      <w:r>
        <w:rPr>
          <w:spacing w:val="-8"/>
        </w:rPr>
        <w:t> </w:t>
      </w:r>
      <w:r>
        <w:rPr/>
        <w:t>whom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camp</w:t>
      </w:r>
      <w:r>
        <w:rPr>
          <w:spacing w:val="-9"/>
        </w:rPr>
        <w:t> </w:t>
      </w:r>
      <w:r>
        <w:rPr/>
        <w:t>is</w:t>
      </w:r>
      <w:r>
        <w:rPr>
          <w:spacing w:val="-7"/>
        </w:rPr>
        <w:t> </w:t>
      </w:r>
      <w:r>
        <w:rPr/>
        <w:t>being</w:t>
      </w:r>
      <w:r>
        <w:rPr>
          <w:spacing w:val="-9"/>
        </w:rPr>
        <w:t> </w:t>
      </w:r>
      <w:r>
        <w:rPr/>
        <w:t>built.</w:t>
      </w:r>
      <w:r>
        <w:rPr>
          <w:spacing w:val="44"/>
        </w:rPr>
        <w:t> </w:t>
      </w:r>
      <w:r>
        <w:rPr/>
        <w:t>The</w:t>
      </w:r>
      <w:r>
        <w:rPr>
          <w:spacing w:val="-58"/>
        </w:rPr>
        <w:t> </w:t>
      </w:r>
      <w:r>
        <w:rPr/>
        <w:t>Army estimates requirements for construction materials based on tables and computer</w:t>
      </w:r>
      <w:r>
        <w:rPr>
          <w:spacing w:val="1"/>
        </w:rPr>
        <w:t> </w:t>
      </w:r>
      <w:r>
        <w:rPr/>
        <w:t>programs</w:t>
      </w:r>
      <w:r>
        <w:rPr>
          <w:spacing w:val="-5"/>
        </w:rPr>
        <w:t> </w:t>
      </w:r>
      <w:r>
        <w:rPr/>
        <w:t>built</w:t>
      </w:r>
      <w:r>
        <w:rPr>
          <w:spacing w:val="-4"/>
        </w:rPr>
        <w:t> </w:t>
      </w:r>
      <w:r>
        <w:rPr/>
        <w:t>from</w:t>
      </w:r>
      <w:r>
        <w:rPr>
          <w:spacing w:val="-7"/>
        </w:rPr>
        <w:t> </w:t>
      </w:r>
      <w:r>
        <w:rPr/>
        <w:t>historic</w:t>
      </w:r>
      <w:r>
        <w:rPr>
          <w:spacing w:val="-4"/>
        </w:rPr>
        <w:t> </w:t>
      </w:r>
      <w:r>
        <w:rPr/>
        <w:t>data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level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intensity</w:t>
      </w:r>
      <w:r>
        <w:rPr>
          <w:spacing w:val="-5"/>
        </w:rPr>
        <w:t> </w:t>
      </w:r>
      <w:r>
        <w:rPr/>
        <w:t>projected</w:t>
      </w:r>
      <w:r>
        <w:rPr>
          <w:spacing w:val="-4"/>
        </w:rPr>
        <w:t> </w:t>
      </w:r>
      <w:r>
        <w:rPr/>
        <w:t>for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given</w:t>
      </w:r>
      <w:r>
        <w:rPr>
          <w:spacing w:val="-4"/>
        </w:rPr>
        <w:t> </w:t>
      </w:r>
      <w:r>
        <w:rPr/>
        <w:t>operation,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40" w:right="258"/>
        <w:jc w:val="both"/>
      </w:pPr>
      <w:r>
        <w:rPr/>
        <w:t>the geography, climate, and number of troops supported [114].</w:t>
      </w:r>
      <w:r>
        <w:rPr>
          <w:spacing w:val="1"/>
        </w:rPr>
        <w:t> </w:t>
      </w:r>
      <w:r>
        <w:rPr/>
        <w:t>Operations like a surge of</w:t>
      </w:r>
      <w:r>
        <w:rPr>
          <w:spacing w:val="-57"/>
        </w:rPr>
        <w:t> </w:t>
      </w:r>
      <w:r>
        <w:rPr/>
        <w:t>troop</w:t>
      </w:r>
      <w:r>
        <w:rPr>
          <w:spacing w:val="-8"/>
        </w:rPr>
        <w:t> </w:t>
      </w:r>
      <w:r>
        <w:rPr/>
        <w:t>deployments</w:t>
      </w:r>
      <w:r>
        <w:rPr>
          <w:spacing w:val="-8"/>
        </w:rPr>
        <w:t> </w:t>
      </w:r>
      <w:r>
        <w:rPr/>
        <w:t>in</w:t>
      </w:r>
      <w:r>
        <w:rPr>
          <w:spacing w:val="-7"/>
        </w:rPr>
        <w:t> </w:t>
      </w:r>
      <w:r>
        <w:rPr/>
        <w:t>Iraq</w:t>
      </w:r>
      <w:r>
        <w:rPr>
          <w:spacing w:val="-8"/>
        </w:rPr>
        <w:t> </w:t>
      </w:r>
      <w:r>
        <w:rPr/>
        <w:t>or</w:t>
      </w:r>
      <w:r>
        <w:rPr>
          <w:spacing w:val="-7"/>
        </w:rPr>
        <w:t> </w:t>
      </w:r>
      <w:r>
        <w:rPr/>
        <w:t>Afghanistan</w:t>
      </w:r>
      <w:r>
        <w:rPr>
          <w:spacing w:val="-8"/>
        </w:rPr>
        <w:t> </w:t>
      </w:r>
      <w:r>
        <w:rPr/>
        <w:t>or</w:t>
      </w:r>
      <w:r>
        <w:rPr>
          <w:spacing w:val="-7"/>
        </w:rPr>
        <w:t> </w:t>
      </w:r>
      <w:r>
        <w:rPr/>
        <w:t>a</w:t>
      </w:r>
      <w:r>
        <w:rPr>
          <w:spacing w:val="-9"/>
        </w:rPr>
        <w:t> </w:t>
      </w:r>
      <w:r>
        <w:rPr/>
        <w:t>deployment</w:t>
      </w:r>
      <w:r>
        <w:rPr>
          <w:spacing w:val="-7"/>
        </w:rPr>
        <w:t> </w:t>
      </w:r>
      <w:r>
        <w:rPr/>
        <w:t>of</w:t>
      </w:r>
      <w:r>
        <w:rPr>
          <w:spacing w:val="-9"/>
        </w:rPr>
        <w:t> </w:t>
      </w:r>
      <w:r>
        <w:rPr/>
        <w:t>troops</w:t>
      </w:r>
      <w:r>
        <w:rPr>
          <w:spacing w:val="-7"/>
        </w:rPr>
        <w:t> </w:t>
      </w:r>
      <w:r>
        <w:rPr/>
        <w:t>to</w:t>
      </w:r>
      <w:r>
        <w:rPr>
          <w:spacing w:val="-10"/>
        </w:rPr>
        <w:t> </w:t>
      </w:r>
      <w:r>
        <w:rPr/>
        <w:t>assist</w:t>
      </w:r>
      <w:r>
        <w:rPr>
          <w:spacing w:val="-7"/>
        </w:rPr>
        <w:t> </w:t>
      </w:r>
      <w:r>
        <w:rPr/>
        <w:t>with</w:t>
      </w:r>
      <w:r>
        <w:rPr>
          <w:spacing w:val="-8"/>
        </w:rPr>
        <w:t> </w:t>
      </w:r>
      <w:r>
        <w:rPr/>
        <w:t>an</w:t>
      </w:r>
      <w:r>
        <w:rPr>
          <w:spacing w:val="-9"/>
        </w:rPr>
        <w:t> </w:t>
      </w:r>
      <w:r>
        <w:rPr/>
        <w:t>Ebola</w:t>
      </w:r>
      <w:r>
        <w:rPr>
          <w:spacing w:val="-58"/>
        </w:rPr>
        <w:t> </w:t>
      </w:r>
      <w:r>
        <w:rPr/>
        <w:t>outbreak in Africa each require tons of materials and thousands of stocked shipping</w:t>
      </w:r>
      <w:r>
        <w:rPr>
          <w:spacing w:val="1"/>
        </w:rPr>
        <w:t> </w:t>
      </w:r>
      <w:r>
        <w:rPr/>
        <w:t>containers.</w:t>
      </w:r>
    </w:p>
    <w:p>
      <w:pPr>
        <w:pStyle w:val="BodyText"/>
        <w:spacing w:line="480" w:lineRule="auto" w:before="159"/>
        <w:ind w:left="440" w:right="257" w:firstLine="720"/>
        <w:jc w:val="both"/>
      </w:pPr>
      <w:r>
        <w:rPr/>
        <w:t>Military logisticians coordinate to find available stock in depots and warehouses</w:t>
      </w:r>
      <w:r>
        <w:rPr>
          <w:spacing w:val="1"/>
        </w:rPr>
        <w:t> </w:t>
      </w:r>
      <w:r>
        <w:rPr/>
        <w:t>and may contract for additional amounts beyond what is available at those locations.</w:t>
      </w:r>
      <w:r>
        <w:rPr>
          <w:spacing w:val="1"/>
        </w:rPr>
        <w:t> </w:t>
      </w:r>
      <w:r>
        <w:rPr/>
        <w:t>Contracts with lumber providers in the United States exist but DLA can also purchase</w:t>
      </w:r>
      <w:r>
        <w:rPr>
          <w:spacing w:val="1"/>
        </w:rPr>
        <w:t> </w:t>
      </w:r>
      <w:r>
        <w:rPr/>
        <w:t>materials from Europe and other locations in an effort to decrease the distance of moving</w:t>
      </w:r>
      <w:r>
        <w:rPr>
          <w:spacing w:val="1"/>
        </w:rPr>
        <w:t> </w:t>
      </w:r>
      <w:r>
        <w:rPr/>
        <w:t>the</w:t>
      </w:r>
      <w:r>
        <w:rPr>
          <w:spacing w:val="-8"/>
        </w:rPr>
        <w:t> </w:t>
      </w:r>
      <w:r>
        <w:rPr/>
        <w:t>materials,</w:t>
      </w:r>
      <w:r>
        <w:rPr>
          <w:spacing w:val="-7"/>
        </w:rPr>
        <w:t> </w:t>
      </w:r>
      <w:r>
        <w:rPr/>
        <w:t>thus</w:t>
      </w:r>
      <w:r>
        <w:rPr>
          <w:spacing w:val="-9"/>
        </w:rPr>
        <w:t> </w:t>
      </w:r>
      <w:r>
        <w:rPr/>
        <w:t>allowing</w:t>
      </w:r>
      <w:r>
        <w:rPr>
          <w:spacing w:val="-7"/>
        </w:rPr>
        <w:t> </w:t>
      </w:r>
      <w:r>
        <w:rPr/>
        <w:t>shorter</w:t>
      </w:r>
      <w:r>
        <w:rPr>
          <w:spacing w:val="-9"/>
        </w:rPr>
        <w:t> </w:t>
      </w:r>
      <w:r>
        <w:rPr/>
        <w:t>lead-times</w:t>
      </w:r>
      <w:r>
        <w:rPr>
          <w:spacing w:val="-7"/>
        </w:rPr>
        <w:t> </w:t>
      </w:r>
      <w:r>
        <w:rPr/>
        <w:t>and</w:t>
      </w:r>
      <w:r>
        <w:rPr>
          <w:spacing w:val="-8"/>
        </w:rPr>
        <w:t> </w:t>
      </w:r>
      <w:r>
        <w:rPr/>
        <w:t>reduced</w:t>
      </w:r>
      <w:r>
        <w:rPr>
          <w:spacing w:val="-7"/>
        </w:rPr>
        <w:t> </w:t>
      </w:r>
      <w:r>
        <w:rPr/>
        <w:t>transportation</w:t>
      </w:r>
      <w:r>
        <w:rPr>
          <w:spacing w:val="-11"/>
        </w:rPr>
        <w:t> </w:t>
      </w:r>
      <w:r>
        <w:rPr/>
        <w:t>costs.</w:t>
      </w:r>
      <w:r>
        <w:rPr>
          <w:spacing w:val="43"/>
        </w:rPr>
        <w:t> </w:t>
      </w:r>
      <w:r>
        <w:rPr/>
        <w:t>Given</w:t>
      </w:r>
      <w:r>
        <w:rPr>
          <w:spacing w:val="-7"/>
        </w:rPr>
        <w:t> </w:t>
      </w:r>
      <w:r>
        <w:rPr/>
        <w:t>the</w:t>
      </w:r>
      <w:r>
        <w:rPr>
          <w:spacing w:val="-58"/>
        </w:rPr>
        <w:t> </w:t>
      </w:r>
      <w:r>
        <w:rPr/>
        <w:t>weight</w:t>
      </w:r>
      <w:r>
        <w:rPr>
          <w:spacing w:val="-14"/>
        </w:rPr>
        <w:t> </w:t>
      </w:r>
      <w:r>
        <w:rPr/>
        <w:t>of</w:t>
      </w:r>
      <w:r>
        <w:rPr>
          <w:spacing w:val="-13"/>
        </w:rPr>
        <w:t> </w:t>
      </w:r>
      <w:r>
        <w:rPr/>
        <w:t>most</w:t>
      </w:r>
      <w:r>
        <w:rPr>
          <w:spacing w:val="-13"/>
        </w:rPr>
        <w:t> </w:t>
      </w:r>
      <w:r>
        <w:rPr/>
        <w:t>lumber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other</w:t>
      </w:r>
      <w:r>
        <w:rPr>
          <w:spacing w:val="-13"/>
        </w:rPr>
        <w:t> </w:t>
      </w:r>
      <w:r>
        <w:rPr/>
        <w:t>construction</w:t>
      </w:r>
      <w:r>
        <w:rPr>
          <w:spacing w:val="-13"/>
        </w:rPr>
        <w:t> </w:t>
      </w:r>
      <w:r>
        <w:rPr/>
        <w:t>materials,</w:t>
      </w:r>
      <w:r>
        <w:rPr>
          <w:spacing w:val="-13"/>
        </w:rPr>
        <w:t> </w:t>
      </w:r>
      <w:r>
        <w:rPr/>
        <w:t>it</w:t>
      </w:r>
      <w:r>
        <w:rPr>
          <w:spacing w:val="-13"/>
        </w:rPr>
        <w:t> </w:t>
      </w:r>
      <w:r>
        <w:rPr/>
        <w:t>is</w:t>
      </w:r>
      <w:r>
        <w:rPr>
          <w:spacing w:val="-13"/>
        </w:rPr>
        <w:t> </w:t>
      </w:r>
      <w:r>
        <w:rPr/>
        <w:t>generally</w:t>
      </w:r>
      <w:r>
        <w:rPr>
          <w:spacing w:val="-13"/>
        </w:rPr>
        <w:t> </w:t>
      </w:r>
      <w:r>
        <w:rPr/>
        <w:t>transported</w:t>
      </w:r>
      <w:r>
        <w:rPr>
          <w:spacing w:val="-13"/>
        </w:rPr>
        <w:t> </w:t>
      </w:r>
      <w:r>
        <w:rPr/>
        <w:t>overseas</w:t>
      </w:r>
      <w:r>
        <w:rPr>
          <w:spacing w:val="-58"/>
        </w:rPr>
        <w:t> </w:t>
      </w:r>
      <w:r>
        <w:rPr/>
        <w:t>by ship through commercial sea vessels.</w:t>
      </w:r>
      <w:r>
        <w:rPr>
          <w:spacing w:val="1"/>
        </w:rPr>
        <w:t> </w:t>
      </w:r>
      <w:r>
        <w:rPr/>
        <w:t>However, shipments may also move by rail, if</w:t>
      </w:r>
      <w:r>
        <w:rPr>
          <w:spacing w:val="1"/>
        </w:rPr>
        <w:t> </w:t>
      </w:r>
      <w:r>
        <w:rPr/>
        <w:t>available.</w:t>
      </w:r>
      <w:r>
        <w:rPr>
          <w:spacing w:val="1"/>
        </w:rPr>
        <w:t> </w:t>
      </w:r>
      <w:r>
        <w:rPr/>
        <w:t>Air and other modes of transport may be used in an emergency or high-priority</w:t>
      </w:r>
      <w:r>
        <w:rPr>
          <w:spacing w:val="-57"/>
        </w:rPr>
        <w:t> </w:t>
      </w:r>
      <w:r>
        <w:rPr/>
        <w:t>situation.</w:t>
      </w:r>
    </w:p>
    <w:p>
      <w:pPr>
        <w:pStyle w:val="ListParagraph"/>
        <w:numPr>
          <w:ilvl w:val="2"/>
          <w:numId w:val="14"/>
        </w:numPr>
        <w:tabs>
          <w:tab w:pos="980" w:val="left" w:leader="none"/>
        </w:tabs>
        <w:spacing w:line="240" w:lineRule="auto" w:before="162" w:after="0"/>
        <w:ind w:left="980" w:right="0" w:hanging="540"/>
        <w:jc w:val="both"/>
        <w:rPr>
          <w:i/>
          <w:sz w:val="24"/>
        </w:rPr>
      </w:pPr>
      <w:bookmarkStart w:name="2.4.3 Sustainability and the next genera" w:id="70"/>
      <w:bookmarkEnd w:id="70"/>
      <w:r>
        <w:rPr/>
      </w:r>
      <w:bookmarkStart w:name="2.4.3 Sustainability and the next genera" w:id="71"/>
      <w:bookmarkEnd w:id="71"/>
      <w:r>
        <w:rPr>
          <w:i/>
          <w:sz w:val="24"/>
        </w:rPr>
        <w:t>Sus</w:t>
      </w:r>
      <w:r>
        <w:rPr>
          <w:i/>
          <w:sz w:val="24"/>
        </w:rPr>
        <w:t>tainability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next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generation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B-huts</w:t>
      </w:r>
    </w:p>
    <w:p>
      <w:pPr>
        <w:pStyle w:val="BodyText"/>
        <w:spacing w:before="7"/>
        <w:rPr>
          <w:i/>
          <w:sz w:val="22"/>
        </w:rPr>
      </w:pPr>
    </w:p>
    <w:p>
      <w:pPr>
        <w:pStyle w:val="BodyText"/>
        <w:spacing w:line="480" w:lineRule="auto"/>
        <w:ind w:left="440" w:right="256" w:firstLine="720"/>
        <w:jc w:val="both"/>
      </w:pPr>
      <w:r>
        <w:rPr/>
        <w:t>In the last five years, interest in building more sustainable B-huts has grown and</w:t>
      </w:r>
      <w:r>
        <w:rPr>
          <w:spacing w:val="1"/>
        </w:rPr>
        <w:t> </w:t>
      </w:r>
      <w:r>
        <w:rPr/>
        <w:t>the Engineer Research and Development Center (ERDC), and Construction Engineering</w:t>
      </w:r>
      <w:r>
        <w:rPr>
          <w:spacing w:val="1"/>
        </w:rPr>
        <w:t> </w:t>
      </w:r>
      <w:r>
        <w:rPr/>
        <w:t>Research</w:t>
      </w:r>
      <w:r>
        <w:rPr>
          <w:spacing w:val="-4"/>
        </w:rPr>
        <w:t> </w:t>
      </w:r>
      <w:r>
        <w:rPr/>
        <w:t>Laboratory</w:t>
      </w:r>
      <w:r>
        <w:rPr>
          <w:spacing w:val="-5"/>
        </w:rPr>
        <w:t> </w:t>
      </w:r>
      <w:r>
        <w:rPr/>
        <w:t>(CERL),</w:t>
      </w:r>
      <w:r>
        <w:rPr>
          <w:spacing w:val="-3"/>
        </w:rPr>
        <w:t> </w:t>
      </w:r>
      <w:r>
        <w:rPr/>
        <w:t>U.S.</w:t>
      </w:r>
      <w:r>
        <w:rPr>
          <w:spacing w:val="-2"/>
        </w:rPr>
        <w:t> </w:t>
      </w:r>
      <w:r>
        <w:rPr/>
        <w:t>Army</w:t>
      </w:r>
      <w:r>
        <w:rPr>
          <w:spacing w:val="-3"/>
        </w:rPr>
        <w:t> </w:t>
      </w:r>
      <w:r>
        <w:rPr/>
        <w:t>Corps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Engineers,</w:t>
      </w:r>
      <w:r>
        <w:rPr>
          <w:spacing w:val="-3"/>
        </w:rPr>
        <w:t> </w:t>
      </w:r>
      <w:r>
        <w:rPr/>
        <w:t>as</w:t>
      </w:r>
      <w:r>
        <w:rPr>
          <w:spacing w:val="-3"/>
        </w:rPr>
        <w:t> </w:t>
      </w:r>
      <w:r>
        <w:rPr/>
        <w:t>well</w:t>
      </w:r>
      <w:r>
        <w:rPr>
          <w:spacing w:val="-2"/>
        </w:rPr>
        <w:t> </w:t>
      </w:r>
      <w:r>
        <w:rPr/>
        <w:t>as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U.S.</w:t>
      </w:r>
      <w:r>
        <w:rPr>
          <w:spacing w:val="-3"/>
        </w:rPr>
        <w:t> </w:t>
      </w:r>
      <w:r>
        <w:rPr/>
        <w:t>Military</w:t>
      </w:r>
      <w:r>
        <w:rPr>
          <w:spacing w:val="-58"/>
        </w:rPr>
        <w:t> </w:t>
      </w:r>
      <w:r>
        <w:rPr/>
        <w:t>Academy</w:t>
      </w:r>
      <w:r>
        <w:rPr>
          <w:spacing w:val="-13"/>
        </w:rPr>
        <w:t> </w:t>
      </w:r>
      <w:r>
        <w:rPr/>
        <w:t>(USMA)</w:t>
      </w:r>
      <w:r>
        <w:rPr>
          <w:spacing w:val="-14"/>
        </w:rPr>
        <w:t> </w:t>
      </w:r>
      <w:r>
        <w:rPr/>
        <w:t>faculty</w:t>
      </w:r>
      <w:r>
        <w:rPr>
          <w:spacing w:val="-15"/>
        </w:rPr>
        <w:t> </w:t>
      </w:r>
      <w:r>
        <w:rPr/>
        <w:t>and</w:t>
      </w:r>
      <w:r>
        <w:rPr>
          <w:spacing w:val="-15"/>
        </w:rPr>
        <w:t> </w:t>
      </w:r>
      <w:r>
        <w:rPr/>
        <w:t>cadets</w:t>
      </w:r>
      <w:r>
        <w:rPr>
          <w:spacing w:val="-14"/>
        </w:rPr>
        <w:t> </w:t>
      </w:r>
      <w:r>
        <w:rPr/>
        <w:t>have</w:t>
      </w:r>
      <w:r>
        <w:rPr>
          <w:spacing w:val="-14"/>
        </w:rPr>
        <w:t> </w:t>
      </w:r>
      <w:r>
        <w:rPr/>
        <w:t>worked</w:t>
      </w:r>
      <w:r>
        <w:rPr>
          <w:spacing w:val="-15"/>
        </w:rPr>
        <w:t> </w:t>
      </w:r>
      <w:r>
        <w:rPr/>
        <w:t>towards</w:t>
      </w:r>
      <w:r>
        <w:rPr>
          <w:spacing w:val="-14"/>
        </w:rPr>
        <w:t> </w:t>
      </w:r>
      <w:r>
        <w:rPr/>
        <w:t>a</w:t>
      </w:r>
      <w:r>
        <w:rPr>
          <w:spacing w:val="-14"/>
        </w:rPr>
        <w:t> </w:t>
      </w:r>
      <w:r>
        <w:rPr/>
        <w:t>potential</w:t>
      </w:r>
      <w:r>
        <w:rPr>
          <w:spacing w:val="-14"/>
        </w:rPr>
        <w:t> </w:t>
      </w:r>
      <w:r>
        <w:rPr/>
        <w:t>solution</w:t>
      </w:r>
      <w:r>
        <w:rPr>
          <w:spacing w:val="-15"/>
        </w:rPr>
        <w:t> </w:t>
      </w:r>
      <w:r>
        <w:rPr/>
        <w:t>for</w:t>
      </w:r>
      <w:r>
        <w:rPr>
          <w:spacing w:val="-14"/>
        </w:rPr>
        <w:t> </w:t>
      </w:r>
      <w:r>
        <w:rPr/>
        <w:t>the</w:t>
      </w:r>
      <w:r>
        <w:rPr>
          <w:spacing w:val="-13"/>
        </w:rPr>
        <w:t> </w:t>
      </w:r>
      <w:r>
        <w:rPr/>
        <w:t>next</w:t>
      </w:r>
      <w:r>
        <w:rPr>
          <w:spacing w:val="-58"/>
        </w:rPr>
        <w:t> </w:t>
      </w:r>
      <w:r>
        <w:rPr/>
        <w:t>generation of B-huts.</w:t>
      </w:r>
      <w:r>
        <w:rPr>
          <w:spacing w:val="1"/>
        </w:rPr>
        <w:t> </w:t>
      </w:r>
      <w:r>
        <w:rPr/>
        <w:t>The research has focused on the use of an innovative building</w:t>
      </w:r>
      <w:r>
        <w:rPr>
          <w:spacing w:val="1"/>
        </w:rPr>
        <w:t> </w:t>
      </w:r>
      <w:r>
        <w:rPr/>
        <w:t>material</w:t>
      </w:r>
      <w:r>
        <w:rPr>
          <w:spacing w:val="-7"/>
        </w:rPr>
        <w:t> </w:t>
      </w:r>
      <w:r>
        <w:rPr/>
        <w:t>called</w:t>
      </w:r>
      <w:r>
        <w:rPr>
          <w:spacing w:val="-7"/>
        </w:rPr>
        <w:t> </w:t>
      </w:r>
      <w:r>
        <w:rPr/>
        <w:t>Structural</w:t>
      </w:r>
      <w:r>
        <w:rPr>
          <w:spacing w:val="-7"/>
        </w:rPr>
        <w:t> </w:t>
      </w:r>
      <w:r>
        <w:rPr/>
        <w:t>Insulated</w:t>
      </w:r>
      <w:r>
        <w:rPr>
          <w:spacing w:val="-7"/>
        </w:rPr>
        <w:t> </w:t>
      </w:r>
      <w:r>
        <w:rPr/>
        <w:t>Panels</w:t>
      </w:r>
      <w:r>
        <w:rPr>
          <w:spacing w:val="-7"/>
        </w:rPr>
        <w:t> </w:t>
      </w:r>
      <w:r>
        <w:rPr/>
        <w:t>(SIP),</w:t>
      </w:r>
      <w:r>
        <w:rPr>
          <w:spacing w:val="-8"/>
        </w:rPr>
        <w:t> </w:t>
      </w:r>
      <w:r>
        <w:rPr/>
        <w:t>which</w:t>
      </w:r>
      <w:r>
        <w:rPr>
          <w:spacing w:val="-6"/>
        </w:rPr>
        <w:t> </w:t>
      </w:r>
      <w:r>
        <w:rPr/>
        <w:t>would</w:t>
      </w:r>
      <w:r>
        <w:rPr>
          <w:spacing w:val="-7"/>
        </w:rPr>
        <w:t> </w:t>
      </w:r>
      <w:r>
        <w:rPr/>
        <w:t>allow</w:t>
      </w:r>
      <w:r>
        <w:rPr>
          <w:spacing w:val="-8"/>
        </w:rPr>
        <w:t> </w:t>
      </w:r>
      <w:r>
        <w:rPr/>
        <w:t>for</w:t>
      </w:r>
      <w:r>
        <w:rPr>
          <w:spacing w:val="-7"/>
        </w:rPr>
        <w:t> </w:t>
      </w:r>
      <w:r>
        <w:rPr/>
        <w:t>improved</w:t>
      </w:r>
      <w:r>
        <w:rPr>
          <w:spacing w:val="-7"/>
        </w:rPr>
        <w:t> </w:t>
      </w:r>
      <w:r>
        <w:rPr/>
        <w:t>thermal</w:t>
      </w:r>
      <w:r>
        <w:rPr>
          <w:spacing w:val="-57"/>
        </w:rPr>
        <w:t> </w:t>
      </w:r>
      <w:r>
        <w:rPr/>
        <w:t>efficiency and faster construction time due to the prefabrication options available.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panel is made from oriented strand board (OSB) faces with polystyrene or similar foam</w:t>
      </w:r>
      <w:r>
        <w:rPr>
          <w:spacing w:val="1"/>
        </w:rPr>
        <w:t> </w:t>
      </w:r>
      <w:r>
        <w:rPr/>
        <w:t>insulation</w:t>
      </w:r>
      <w:r>
        <w:rPr>
          <w:spacing w:val="-1"/>
        </w:rPr>
        <w:t> </w:t>
      </w:r>
      <w:r>
        <w:rPr/>
        <w:t>as</w:t>
      </w:r>
      <w:r>
        <w:rPr>
          <w:spacing w:val="-1"/>
        </w:rPr>
        <w:t> </w:t>
      </w:r>
      <w:r>
        <w:rPr/>
        <w:t>a 4- to 12-inch</w:t>
      </w:r>
      <w:r>
        <w:rPr>
          <w:spacing w:val="-1"/>
        </w:rPr>
        <w:t> </w:t>
      </w:r>
      <w:r>
        <w:rPr/>
        <w:t>interior</w:t>
      </w:r>
      <w:r>
        <w:rPr>
          <w:spacing w:val="-1"/>
        </w:rPr>
        <w:t> </w:t>
      </w:r>
      <w:r>
        <w:rPr/>
        <w:t>between the</w:t>
      </w:r>
      <w:r>
        <w:rPr>
          <w:spacing w:val="-1"/>
        </w:rPr>
        <w:t> </w:t>
      </w:r>
      <w:r>
        <w:rPr/>
        <w:t>OSB</w:t>
      </w:r>
      <w:r>
        <w:rPr>
          <w:spacing w:val="-1"/>
        </w:rPr>
        <w:t> </w:t>
      </w:r>
      <w:r>
        <w:rPr/>
        <w:t>pieces.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39" w:right="256" w:firstLine="720"/>
        <w:jc w:val="both"/>
      </w:pPr>
      <w:r>
        <w:rPr/>
        <w:t>Sustainability for the construction of B-huts in austere environments differs from</w:t>
      </w:r>
      <w:r>
        <w:rPr>
          <w:spacing w:val="1"/>
        </w:rPr>
        <w:t> </w:t>
      </w:r>
      <w:r>
        <w:rPr/>
        <w:t>green building methodologies in the United States.</w:t>
      </w:r>
      <w:r>
        <w:rPr>
          <w:spacing w:val="1"/>
        </w:rPr>
        <w:t> </w:t>
      </w:r>
      <w:r>
        <w:rPr/>
        <w:t>A major component of sustainability</w:t>
      </w:r>
      <w:r>
        <w:rPr>
          <w:spacing w:val="1"/>
        </w:rPr>
        <w:t> </w:t>
      </w:r>
      <w:r>
        <w:rPr/>
        <w:t>from</w:t>
      </w:r>
      <w:r>
        <w:rPr>
          <w:spacing w:val="-5"/>
        </w:rPr>
        <w:t> </w:t>
      </w:r>
      <w:r>
        <w:rPr/>
        <w:t>the</w:t>
      </w:r>
      <w:r>
        <w:rPr>
          <w:spacing w:val="-1"/>
        </w:rPr>
        <w:t> </w:t>
      </w:r>
      <w:r>
        <w:rPr/>
        <w:t>military</w:t>
      </w:r>
      <w:r>
        <w:rPr>
          <w:spacing w:val="-2"/>
        </w:rPr>
        <w:t> </w:t>
      </w:r>
      <w:r>
        <w:rPr/>
        <w:t>perspective</w:t>
      </w:r>
      <w:r>
        <w:rPr>
          <w:spacing w:val="-2"/>
        </w:rPr>
        <w:t> </w:t>
      </w:r>
      <w:r>
        <w:rPr/>
        <w:t>is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concept</w:t>
      </w:r>
      <w:r>
        <w:rPr>
          <w:spacing w:val="-1"/>
        </w:rPr>
        <w:t> </w:t>
      </w:r>
      <w:r>
        <w:rPr/>
        <w:t>of</w:t>
      </w:r>
      <w:r>
        <w:rPr>
          <w:spacing w:val="-3"/>
        </w:rPr>
        <w:t> </w:t>
      </w:r>
      <w:r>
        <w:rPr/>
        <w:t>using</w:t>
      </w:r>
      <w:r>
        <w:rPr>
          <w:spacing w:val="-2"/>
        </w:rPr>
        <w:t> </w:t>
      </w:r>
      <w:r>
        <w:rPr/>
        <w:t>fewer</w:t>
      </w:r>
      <w:r>
        <w:rPr>
          <w:spacing w:val="-2"/>
        </w:rPr>
        <w:t> </w:t>
      </w:r>
      <w:r>
        <w:rPr/>
        <w:t>resources.</w:t>
      </w:r>
      <w:r>
        <w:rPr>
          <w:spacing w:val="56"/>
        </w:rPr>
        <w:t> </w:t>
      </w:r>
      <w:r>
        <w:rPr/>
        <w:t>This</w:t>
      </w:r>
      <w:r>
        <w:rPr>
          <w:spacing w:val="-1"/>
        </w:rPr>
        <w:t> </w:t>
      </w:r>
      <w:r>
        <w:rPr/>
        <w:t>could</w:t>
      </w:r>
      <w:r>
        <w:rPr>
          <w:spacing w:val="-3"/>
        </w:rPr>
        <w:t> </w:t>
      </w:r>
      <w:r>
        <w:rPr/>
        <w:t>be</w:t>
      </w:r>
      <w:r>
        <w:rPr>
          <w:spacing w:val="-2"/>
        </w:rPr>
        <w:t> </w:t>
      </w:r>
      <w:r>
        <w:rPr/>
        <w:t>using</w:t>
      </w:r>
      <w:r>
        <w:rPr>
          <w:spacing w:val="-57"/>
        </w:rPr>
        <w:t> </w:t>
      </w:r>
      <w:r>
        <w:rPr/>
        <w:t>less</w:t>
      </w:r>
      <w:r>
        <w:rPr>
          <w:spacing w:val="1"/>
        </w:rPr>
        <w:t> </w:t>
      </w:r>
      <w:r>
        <w:rPr/>
        <w:t>labor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construction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B-huts</w:t>
      </w:r>
      <w:r>
        <w:rPr>
          <w:spacing w:val="1"/>
        </w:rPr>
        <w:t> </w:t>
      </w:r>
      <w:r>
        <w:rPr/>
        <w:t>but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increasing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energy</w:t>
      </w:r>
      <w:r>
        <w:rPr>
          <w:spacing w:val="1"/>
        </w:rPr>
        <w:t> </w:t>
      </w:r>
      <w:r>
        <w:rPr/>
        <w:t>efficiency</w:t>
      </w:r>
      <w:r>
        <w:rPr>
          <w:spacing w:val="1"/>
        </w:rPr>
        <w:t> </w:t>
      </w:r>
      <w:r>
        <w:rPr/>
        <w:t>throughout the life of that B-hut.</w:t>
      </w:r>
      <w:r>
        <w:rPr>
          <w:spacing w:val="60"/>
        </w:rPr>
        <w:t> </w:t>
      </w:r>
      <w:r>
        <w:rPr/>
        <w:t>Lower energy usage in B-huts translates to a reduction</w:t>
      </w:r>
      <w:r>
        <w:rPr>
          <w:spacing w:val="1"/>
        </w:rPr>
        <w:t> </w:t>
      </w:r>
      <w:r>
        <w:rPr/>
        <w:t>in the transportation of fuel and other required resources on high-risk supply routes.</w:t>
      </w:r>
      <w:r>
        <w:rPr>
          <w:spacing w:val="1"/>
        </w:rPr>
        <w:t> </w:t>
      </w:r>
      <w:r>
        <w:rPr/>
        <w:t>This</w:t>
      </w:r>
      <w:r>
        <w:rPr>
          <w:spacing w:val="-57"/>
        </w:rPr>
        <w:t> </w:t>
      </w:r>
      <w:r>
        <w:rPr/>
        <w:t>results in lower costs and reduced risk to military personnel and civilian contractors.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technology develops for alternative power sources, military planners will continue to look</w:t>
      </w:r>
      <w:r>
        <w:rPr>
          <w:spacing w:val="-57"/>
        </w:rPr>
        <w:t> </w:t>
      </w:r>
      <w:r>
        <w:rPr/>
        <w:t>to</w:t>
      </w:r>
      <w:r>
        <w:rPr>
          <w:spacing w:val="-5"/>
        </w:rPr>
        <w:t> </w:t>
      </w:r>
      <w:r>
        <w:rPr/>
        <w:t>build</w:t>
      </w:r>
      <w:r>
        <w:rPr>
          <w:spacing w:val="-6"/>
        </w:rPr>
        <w:t> </w:t>
      </w:r>
      <w:r>
        <w:rPr/>
        <w:t>base</w:t>
      </w:r>
      <w:r>
        <w:rPr>
          <w:spacing w:val="-6"/>
        </w:rPr>
        <w:t> </w:t>
      </w:r>
      <w:r>
        <w:rPr/>
        <w:t>camps</w:t>
      </w:r>
      <w:r>
        <w:rPr>
          <w:spacing w:val="-5"/>
        </w:rPr>
        <w:t> </w:t>
      </w:r>
      <w:r>
        <w:rPr/>
        <w:t>that</w:t>
      </w:r>
      <w:r>
        <w:rPr>
          <w:spacing w:val="-5"/>
        </w:rPr>
        <w:t> </w:t>
      </w:r>
      <w:r>
        <w:rPr/>
        <w:t>require</w:t>
      </w:r>
      <w:r>
        <w:rPr>
          <w:spacing w:val="-6"/>
        </w:rPr>
        <w:t> </w:t>
      </w:r>
      <w:r>
        <w:rPr/>
        <w:t>less</w:t>
      </w:r>
      <w:r>
        <w:rPr>
          <w:spacing w:val="-6"/>
        </w:rPr>
        <w:t> </w:t>
      </w:r>
      <w:r>
        <w:rPr/>
        <w:t>fuel,</w:t>
      </w:r>
      <w:r>
        <w:rPr>
          <w:spacing w:val="-4"/>
        </w:rPr>
        <w:t> </w:t>
      </w:r>
      <w:r>
        <w:rPr/>
        <w:t>a</w:t>
      </w:r>
      <w:r>
        <w:rPr>
          <w:spacing w:val="-5"/>
        </w:rPr>
        <w:t> </w:t>
      </w:r>
      <w:r>
        <w:rPr/>
        <w:t>major</w:t>
      </w:r>
      <w:r>
        <w:rPr>
          <w:spacing w:val="-6"/>
        </w:rPr>
        <w:t> </w:t>
      </w:r>
      <w:r>
        <w:rPr/>
        <w:t>consumable</w:t>
      </w:r>
      <w:r>
        <w:rPr>
          <w:spacing w:val="-5"/>
        </w:rPr>
        <w:t> </w:t>
      </w:r>
      <w:r>
        <w:rPr/>
        <w:t>at</w:t>
      </w:r>
      <w:r>
        <w:rPr>
          <w:spacing w:val="-5"/>
        </w:rPr>
        <w:t> </w:t>
      </w:r>
      <w:r>
        <w:rPr/>
        <w:t>base</w:t>
      </w:r>
      <w:r>
        <w:rPr>
          <w:spacing w:val="-6"/>
        </w:rPr>
        <w:t> </w:t>
      </w:r>
      <w:r>
        <w:rPr/>
        <w:t>camps</w:t>
      </w:r>
      <w:r>
        <w:rPr>
          <w:spacing w:val="-5"/>
        </w:rPr>
        <w:t> </w:t>
      </w:r>
      <w:r>
        <w:rPr/>
        <w:t>in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past</w:t>
      </w:r>
      <w:r>
        <w:rPr>
          <w:spacing w:val="-5"/>
        </w:rPr>
        <w:t> </w:t>
      </w:r>
      <w:r>
        <w:rPr/>
        <w:t>15</w:t>
      </w:r>
      <w:r>
        <w:rPr>
          <w:spacing w:val="-58"/>
        </w:rPr>
        <w:t> </w:t>
      </w:r>
      <w:r>
        <w:rPr/>
        <w:t>years in Iraq and Afghanistan.</w:t>
      </w:r>
      <w:r>
        <w:rPr>
          <w:spacing w:val="1"/>
        </w:rPr>
        <w:t> </w:t>
      </w:r>
      <w:r>
        <w:rPr/>
        <w:t>In addition to the alternate power sources, an energy</w:t>
      </w:r>
      <w:r>
        <w:rPr>
          <w:spacing w:val="1"/>
        </w:rPr>
        <w:t> </w:t>
      </w:r>
      <w:r>
        <w:rPr/>
        <w:t>efficient</w:t>
      </w:r>
      <w:r>
        <w:rPr>
          <w:spacing w:val="-1"/>
        </w:rPr>
        <w:t> </w:t>
      </w:r>
      <w:r>
        <w:rPr/>
        <w:t>building can greatly</w:t>
      </w:r>
      <w:r>
        <w:rPr>
          <w:spacing w:val="-2"/>
        </w:rPr>
        <w:t> </w:t>
      </w:r>
      <w:r>
        <w:rPr/>
        <w:t>reduce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fuel requirements.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/>
        <w:ind w:left="439" w:right="257" w:firstLine="720"/>
        <w:jc w:val="both"/>
      </w:pPr>
      <w:r>
        <w:rPr/>
        <w:t>Air-conditioning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troop</w:t>
      </w:r>
      <w:r>
        <w:rPr>
          <w:spacing w:val="-6"/>
        </w:rPr>
        <w:t> </w:t>
      </w:r>
      <w:r>
        <w:rPr/>
        <w:t>shelters</w:t>
      </w:r>
      <w:r>
        <w:rPr>
          <w:spacing w:val="-6"/>
        </w:rPr>
        <w:t> </w:t>
      </w:r>
      <w:r>
        <w:rPr/>
        <w:t>is</w:t>
      </w:r>
      <w:r>
        <w:rPr>
          <w:spacing w:val="-6"/>
        </w:rPr>
        <w:t> </w:t>
      </w:r>
      <w:r>
        <w:rPr/>
        <w:t>blamed</w:t>
      </w:r>
      <w:r>
        <w:rPr>
          <w:spacing w:val="-5"/>
        </w:rPr>
        <w:t> </w:t>
      </w:r>
      <w:r>
        <w:rPr/>
        <w:t>for</w:t>
      </w:r>
      <w:r>
        <w:rPr>
          <w:spacing w:val="-6"/>
        </w:rPr>
        <w:t> </w:t>
      </w:r>
      <w:r>
        <w:rPr/>
        <w:t>up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/>
        <w:t>80%</w:t>
      </w:r>
      <w:r>
        <w:rPr>
          <w:spacing w:val="-6"/>
        </w:rPr>
        <w:t> </w:t>
      </w:r>
      <w:r>
        <w:rPr/>
        <w:t>of</w:t>
      </w:r>
      <w:r>
        <w:rPr>
          <w:spacing w:val="-5"/>
        </w:rPr>
        <w:t> </w:t>
      </w:r>
      <w:r>
        <w:rPr/>
        <w:t>energy</w:t>
      </w:r>
      <w:r>
        <w:rPr>
          <w:spacing w:val="-6"/>
        </w:rPr>
        <w:t> </w:t>
      </w:r>
      <w:r>
        <w:rPr/>
        <w:t>consumption</w:t>
      </w:r>
      <w:r>
        <w:rPr>
          <w:spacing w:val="-58"/>
        </w:rPr>
        <w:t> </w:t>
      </w:r>
      <w:r>
        <w:rPr/>
        <w:t>by an ECU, the largest power draw on the base camp [53].</w:t>
      </w:r>
      <w:r>
        <w:rPr>
          <w:spacing w:val="1"/>
        </w:rPr>
        <w:t> </w:t>
      </w:r>
      <w:r>
        <w:rPr/>
        <w:t>Attempts to alleviate the lack</w:t>
      </w:r>
      <w:r>
        <w:rPr>
          <w:spacing w:val="1"/>
        </w:rPr>
        <w:t> </w:t>
      </w:r>
      <w:r>
        <w:rPr/>
        <w:t>of shelter efficiency have included spray-on foam, which raised issues with fire safety as</w:t>
      </w:r>
      <w:r>
        <w:rPr>
          <w:spacing w:val="1"/>
        </w:rPr>
        <w:t> </w:t>
      </w:r>
      <w:r>
        <w:rPr/>
        <w:t>well as ventilation concerns.</w:t>
      </w:r>
      <w:r>
        <w:rPr>
          <w:spacing w:val="1"/>
        </w:rPr>
        <w:t> </w:t>
      </w:r>
      <w:r>
        <w:rPr/>
        <w:t>Technologies like foam-insulated tents were attempted,</w:t>
      </w:r>
      <w:r>
        <w:rPr>
          <w:spacing w:val="1"/>
        </w:rPr>
        <w:t> </w:t>
      </w:r>
      <w:r>
        <w:rPr/>
        <w:t>however once coated in the polyurethane spray foam insulation, the tent could no longer</w:t>
      </w:r>
      <w:r>
        <w:rPr>
          <w:spacing w:val="1"/>
        </w:rPr>
        <w:t> </w:t>
      </w:r>
      <w:r>
        <w:rPr/>
        <w:t>be</w:t>
      </w:r>
      <w:r>
        <w:rPr>
          <w:spacing w:val="-3"/>
        </w:rPr>
        <w:t> </w:t>
      </w:r>
      <w:r>
        <w:rPr/>
        <w:t>taken</w:t>
      </w:r>
      <w:r>
        <w:rPr>
          <w:spacing w:val="-4"/>
        </w:rPr>
        <w:t> </w:t>
      </w:r>
      <w:r>
        <w:rPr/>
        <w:t>down,</w:t>
      </w:r>
      <w:r>
        <w:rPr>
          <w:spacing w:val="-1"/>
        </w:rPr>
        <w:t> </w:t>
      </w:r>
      <w:r>
        <w:rPr/>
        <w:t>moved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/>
        <w:t>reused.</w:t>
      </w:r>
      <w:r>
        <w:rPr>
          <w:spacing w:val="54"/>
        </w:rPr>
        <w:t> </w:t>
      </w:r>
      <w:r>
        <w:rPr/>
        <w:t>It</w:t>
      </w:r>
      <w:r>
        <w:rPr>
          <w:spacing w:val="-2"/>
        </w:rPr>
        <w:t> </w:t>
      </w:r>
      <w:r>
        <w:rPr/>
        <w:t>was</w:t>
      </w:r>
      <w:r>
        <w:rPr>
          <w:spacing w:val="-2"/>
        </w:rPr>
        <w:t> </w:t>
      </w:r>
      <w:r>
        <w:rPr/>
        <w:t>also</w:t>
      </w:r>
      <w:r>
        <w:rPr>
          <w:spacing w:val="-3"/>
        </w:rPr>
        <w:t> </w:t>
      </w:r>
      <w:r>
        <w:rPr/>
        <w:t>difficult</w:t>
      </w:r>
      <w:r>
        <w:rPr>
          <w:spacing w:val="-2"/>
        </w:rPr>
        <w:t> </w:t>
      </w:r>
      <w:r>
        <w:rPr/>
        <w:t>to</w:t>
      </w:r>
      <w:r>
        <w:rPr>
          <w:spacing w:val="-4"/>
        </w:rPr>
        <w:t> </w:t>
      </w:r>
      <w:r>
        <w:rPr/>
        <w:t>dispose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due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insulation.</w:t>
      </w:r>
    </w:p>
    <w:p>
      <w:pPr>
        <w:spacing w:before="161"/>
        <w:ind w:left="439" w:right="0" w:firstLine="0"/>
        <w:jc w:val="both"/>
        <w:rPr>
          <w:i/>
          <w:sz w:val="24"/>
        </w:rPr>
      </w:pPr>
      <w:bookmarkStart w:name="2.4.2. Survivability and force protectio" w:id="72"/>
      <w:bookmarkEnd w:id="72"/>
      <w:r>
        <w:rPr/>
      </w:r>
      <w:r>
        <w:rPr>
          <w:i/>
          <w:sz w:val="24"/>
        </w:rPr>
        <w:t>2.4.2.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Survivability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force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protection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B-huts</w:t>
      </w:r>
    </w:p>
    <w:p>
      <w:pPr>
        <w:pStyle w:val="BodyText"/>
        <w:spacing w:before="8"/>
        <w:rPr>
          <w:i/>
          <w:sz w:val="22"/>
        </w:rPr>
      </w:pPr>
    </w:p>
    <w:p>
      <w:pPr>
        <w:pStyle w:val="BodyText"/>
        <w:spacing w:line="480" w:lineRule="auto"/>
        <w:ind w:left="439" w:right="257" w:firstLine="720"/>
        <w:jc w:val="both"/>
      </w:pPr>
      <w:r>
        <w:rPr/>
        <w:t>From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force</w:t>
      </w:r>
      <w:r>
        <w:rPr>
          <w:spacing w:val="1"/>
        </w:rPr>
        <w:t> </w:t>
      </w:r>
      <w:r>
        <w:rPr/>
        <w:t>protection</w:t>
      </w:r>
      <w:r>
        <w:rPr>
          <w:spacing w:val="1"/>
        </w:rPr>
        <w:t> </w:t>
      </w:r>
      <w:r>
        <w:rPr/>
        <w:t>perspective,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traditional</w:t>
      </w:r>
      <w:r>
        <w:rPr>
          <w:spacing w:val="1"/>
        </w:rPr>
        <w:t> </w:t>
      </w:r>
      <w:r>
        <w:rPr/>
        <w:t>lightweight</w:t>
      </w:r>
      <w:r>
        <w:rPr>
          <w:spacing w:val="1"/>
        </w:rPr>
        <w:t> </w:t>
      </w:r>
      <w:r>
        <w:rPr/>
        <w:t>wood</w:t>
      </w:r>
      <w:r>
        <w:rPr>
          <w:spacing w:val="1"/>
        </w:rPr>
        <w:t> </w:t>
      </w:r>
      <w:r>
        <w:rPr/>
        <w:t>frame</w:t>
      </w:r>
      <w:r>
        <w:rPr>
          <w:spacing w:val="1"/>
        </w:rPr>
        <w:t> </w:t>
      </w:r>
      <w:r>
        <w:rPr/>
        <w:t>construction of B-huts offers little protection to those inside it.</w:t>
      </w:r>
      <w:r>
        <w:rPr>
          <w:spacing w:val="1"/>
        </w:rPr>
        <w:t> </w:t>
      </w:r>
      <w:r>
        <w:rPr/>
        <w:t>Structures can be easily</w:t>
      </w:r>
      <w:r>
        <w:rPr>
          <w:spacing w:val="1"/>
        </w:rPr>
        <w:t> </w:t>
      </w:r>
      <w:r>
        <w:rPr/>
        <w:t>damaged, as shown in Figure 2-11.</w:t>
      </w:r>
      <w:r>
        <w:rPr>
          <w:spacing w:val="1"/>
        </w:rPr>
        <w:t> </w:t>
      </w:r>
      <w:r>
        <w:rPr/>
        <w:t>As indirect (rocket, artillery) or direct fire impact the</w:t>
      </w:r>
      <w:r>
        <w:rPr>
          <w:spacing w:val="1"/>
        </w:rPr>
        <w:t> </w:t>
      </w:r>
      <w:r>
        <w:rPr/>
        <w:t>structure, the wood itself can do further damage as it splinters into more fragments within</w:t>
      </w:r>
      <w:r>
        <w:rPr>
          <w:spacing w:val="-57"/>
        </w:rPr>
        <w:t> </w:t>
      </w:r>
      <w:r>
        <w:rPr/>
        <w:t>the</w:t>
      </w:r>
      <w:r>
        <w:rPr>
          <w:spacing w:val="-12"/>
        </w:rPr>
        <w:t> </w:t>
      </w:r>
      <w:r>
        <w:rPr/>
        <w:t>B-hut.</w:t>
      </w:r>
      <w:r>
        <w:rPr>
          <w:spacing w:val="36"/>
        </w:rPr>
        <w:t> </w:t>
      </w:r>
      <w:r>
        <w:rPr/>
        <w:t>Since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B-huts</w:t>
      </w:r>
      <w:r>
        <w:rPr>
          <w:spacing w:val="-11"/>
        </w:rPr>
        <w:t> </w:t>
      </w:r>
      <w:r>
        <w:rPr/>
        <w:t>themselves</w:t>
      </w:r>
      <w:r>
        <w:rPr>
          <w:spacing w:val="-12"/>
        </w:rPr>
        <w:t> </w:t>
      </w:r>
      <w:r>
        <w:rPr/>
        <w:t>offer</w:t>
      </w:r>
      <w:r>
        <w:rPr>
          <w:spacing w:val="-11"/>
        </w:rPr>
        <w:t> </w:t>
      </w:r>
      <w:r>
        <w:rPr/>
        <w:t>little</w:t>
      </w:r>
      <w:r>
        <w:rPr>
          <w:spacing w:val="-13"/>
        </w:rPr>
        <w:t> </w:t>
      </w:r>
      <w:r>
        <w:rPr/>
        <w:t>protection,</w:t>
      </w:r>
      <w:r>
        <w:rPr>
          <w:spacing w:val="-14"/>
        </w:rPr>
        <w:t> </w:t>
      </w:r>
      <w:r>
        <w:rPr/>
        <w:t>military</w:t>
      </w:r>
      <w:r>
        <w:rPr>
          <w:spacing w:val="-11"/>
        </w:rPr>
        <w:t> </w:t>
      </w:r>
      <w:r>
        <w:rPr/>
        <w:t>leadership</w:t>
      </w:r>
      <w:r>
        <w:rPr>
          <w:spacing w:val="-13"/>
        </w:rPr>
        <w:t> </w:t>
      </w:r>
      <w:r>
        <w:rPr/>
        <w:t>addresses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39" w:right="256"/>
        <w:jc w:val="both"/>
      </w:pPr>
      <w:r>
        <w:rPr>
          <w:spacing w:val="-1"/>
        </w:rPr>
        <w:t>the</w:t>
      </w:r>
      <w:r>
        <w:rPr>
          <w:spacing w:val="-13"/>
        </w:rPr>
        <w:t> </w:t>
      </w:r>
      <w:r>
        <w:rPr>
          <w:spacing w:val="-1"/>
        </w:rPr>
        <w:t>protection</w:t>
      </w:r>
      <w:r>
        <w:rPr>
          <w:spacing w:val="-14"/>
        </w:rPr>
        <w:t> </w:t>
      </w:r>
      <w:r>
        <w:rPr>
          <w:spacing w:val="-1"/>
        </w:rPr>
        <w:t>of</w:t>
      </w:r>
      <w:r>
        <w:rPr>
          <w:spacing w:val="-14"/>
        </w:rPr>
        <w:t> </w:t>
      </w:r>
      <w:r>
        <w:rPr>
          <w:spacing w:val="-1"/>
        </w:rPr>
        <w:t>its</w:t>
      </w:r>
      <w:r>
        <w:rPr>
          <w:spacing w:val="-15"/>
        </w:rPr>
        <w:t> </w:t>
      </w:r>
      <w:r>
        <w:rPr/>
        <w:t>personnel</w:t>
      </w:r>
      <w:r>
        <w:rPr>
          <w:spacing w:val="-13"/>
        </w:rPr>
        <w:t> </w:t>
      </w:r>
      <w:r>
        <w:rPr/>
        <w:t>by</w:t>
      </w:r>
      <w:r>
        <w:rPr>
          <w:spacing w:val="-15"/>
        </w:rPr>
        <w:t> </w:t>
      </w:r>
      <w:r>
        <w:rPr/>
        <w:t>constructing</w:t>
      </w:r>
      <w:r>
        <w:rPr>
          <w:spacing w:val="-14"/>
        </w:rPr>
        <w:t> </w:t>
      </w:r>
      <w:r>
        <w:rPr/>
        <w:t>nearby</w:t>
      </w:r>
      <w:r>
        <w:rPr>
          <w:spacing w:val="-14"/>
        </w:rPr>
        <w:t> </w:t>
      </w:r>
      <w:r>
        <w:rPr/>
        <w:t>bunkers</w:t>
      </w:r>
      <w:r>
        <w:rPr>
          <w:spacing w:val="-16"/>
        </w:rPr>
        <w:t> </w:t>
      </w:r>
      <w:r>
        <w:rPr/>
        <w:t>made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concrete</w:t>
      </w:r>
      <w:r>
        <w:rPr>
          <w:spacing w:val="-13"/>
        </w:rPr>
        <w:t> </w:t>
      </w:r>
      <w:r>
        <w:rPr/>
        <w:t>c-channels,</w:t>
      </w:r>
      <w:r>
        <w:rPr>
          <w:spacing w:val="-57"/>
        </w:rPr>
        <w:t> </w:t>
      </w:r>
      <w:r>
        <w:rPr/>
        <w:t>sandbags, or earth-filled barriers as shown in Figure 2-12.</w:t>
      </w:r>
      <w:r>
        <w:rPr>
          <w:spacing w:val="1"/>
        </w:rPr>
        <w:t> </w:t>
      </w:r>
      <w:r>
        <w:rPr/>
        <w:t>The challenge for occupants is</w:t>
      </w:r>
      <w:r>
        <w:rPr>
          <w:spacing w:val="-57"/>
        </w:rPr>
        <w:t> </w:t>
      </w:r>
      <w:r>
        <w:rPr/>
        <w:t>that</w:t>
      </w:r>
      <w:r>
        <w:rPr>
          <w:spacing w:val="-5"/>
        </w:rPr>
        <w:t> </w:t>
      </w:r>
      <w:r>
        <w:rPr/>
        <w:t>there</w:t>
      </w:r>
      <w:r>
        <w:rPr>
          <w:spacing w:val="-6"/>
        </w:rPr>
        <w:t> </w:t>
      </w:r>
      <w:r>
        <w:rPr/>
        <w:t>is</w:t>
      </w:r>
      <w:r>
        <w:rPr>
          <w:spacing w:val="-6"/>
        </w:rPr>
        <w:t> </w:t>
      </w:r>
      <w:r>
        <w:rPr/>
        <w:t>little</w:t>
      </w:r>
      <w:r>
        <w:rPr>
          <w:spacing w:val="-5"/>
        </w:rPr>
        <w:t> </w:t>
      </w:r>
      <w:r>
        <w:rPr/>
        <w:t>to</w:t>
      </w:r>
      <w:r>
        <w:rPr>
          <w:spacing w:val="-5"/>
        </w:rPr>
        <w:t> </w:t>
      </w:r>
      <w:r>
        <w:rPr/>
        <w:t>no</w:t>
      </w:r>
      <w:r>
        <w:rPr>
          <w:spacing w:val="-5"/>
        </w:rPr>
        <w:t> </w:t>
      </w:r>
      <w:r>
        <w:rPr/>
        <w:t>early</w:t>
      </w:r>
      <w:r>
        <w:rPr>
          <w:spacing w:val="-5"/>
        </w:rPr>
        <w:t> </w:t>
      </w:r>
      <w:r>
        <w:rPr/>
        <w:t>warning</w:t>
      </w:r>
      <w:r>
        <w:rPr>
          <w:spacing w:val="-5"/>
        </w:rPr>
        <w:t> </w:t>
      </w:r>
      <w:r>
        <w:rPr/>
        <w:t>to</w:t>
      </w:r>
      <w:r>
        <w:rPr>
          <w:spacing w:val="-5"/>
        </w:rPr>
        <w:t> </w:t>
      </w:r>
      <w:r>
        <w:rPr/>
        <w:t>send</w:t>
      </w:r>
      <w:r>
        <w:rPr>
          <w:spacing w:val="-5"/>
        </w:rPr>
        <w:t> </w:t>
      </w:r>
      <w:r>
        <w:rPr/>
        <w:t>them</w:t>
      </w:r>
      <w:r>
        <w:rPr>
          <w:spacing w:val="-6"/>
        </w:rPr>
        <w:t> </w:t>
      </w:r>
      <w:r>
        <w:rPr/>
        <w:t>into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more</w:t>
      </w:r>
      <w:r>
        <w:rPr>
          <w:spacing w:val="-5"/>
        </w:rPr>
        <w:t> </w:t>
      </w:r>
      <w:r>
        <w:rPr/>
        <w:t>fortified</w:t>
      </w:r>
      <w:r>
        <w:rPr>
          <w:spacing w:val="-6"/>
        </w:rPr>
        <w:t> </w:t>
      </w:r>
      <w:r>
        <w:rPr/>
        <w:t>bunkers</w:t>
      </w:r>
      <w:r>
        <w:rPr>
          <w:spacing w:val="-4"/>
        </w:rPr>
        <w:t> </w:t>
      </w:r>
      <w:r>
        <w:rPr/>
        <w:t>until</w:t>
      </w:r>
      <w:r>
        <w:rPr>
          <w:spacing w:val="-5"/>
        </w:rPr>
        <w:t> </w:t>
      </w:r>
      <w:r>
        <w:rPr/>
        <w:t>the</w:t>
      </w:r>
      <w:r>
        <w:rPr>
          <w:spacing w:val="-58"/>
        </w:rPr>
        <w:t> </w:t>
      </w:r>
      <w:r>
        <w:rPr/>
        <w:t>shells are already falling.</w:t>
      </w:r>
      <w:r>
        <w:rPr>
          <w:spacing w:val="1"/>
        </w:rPr>
        <w:t> </w:t>
      </w:r>
      <w:r>
        <w:rPr/>
        <w:t>Soldiers have to get to those bunkers in order for them to be</w:t>
      </w:r>
      <w:r>
        <w:rPr>
          <w:spacing w:val="1"/>
        </w:rPr>
        <w:t> </w:t>
      </w:r>
      <w:r>
        <w:rPr/>
        <w:t>effective and that often means running from their bunks in their underwear, helmets and</w:t>
      </w:r>
      <w:r>
        <w:rPr>
          <w:spacing w:val="1"/>
        </w:rPr>
        <w:t> </w:t>
      </w:r>
      <w:r>
        <w:rPr/>
        <w:t>body</w:t>
      </w:r>
      <w:r>
        <w:rPr>
          <w:spacing w:val="-1"/>
        </w:rPr>
        <w:t> </w:t>
      </w:r>
      <w:r>
        <w:rPr/>
        <w:t>armor</w:t>
      </w:r>
      <w:r>
        <w:rPr>
          <w:spacing w:val="1"/>
        </w:rPr>
        <w:t> </w:t>
      </w:r>
      <w:r>
        <w:rPr/>
        <w:t>thrown on hastily in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middle of</w:t>
      </w:r>
      <w:r>
        <w:rPr>
          <w:spacing w:val="-1"/>
        </w:rPr>
        <w:t> </w:t>
      </w:r>
      <w:r>
        <w:rPr/>
        <w:t>the night.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35">
            <wp:simplePos x="0" y="0"/>
            <wp:positionH relativeFrom="page">
              <wp:posOffset>2209800</wp:posOffset>
            </wp:positionH>
            <wp:positionV relativeFrom="paragraph">
              <wp:posOffset>235153</wp:posOffset>
            </wp:positionV>
            <wp:extent cx="4231900" cy="1949577"/>
            <wp:effectExtent l="0" t="0" r="0" b="0"/>
            <wp:wrapTopAndBottom/>
            <wp:docPr id="15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36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1900" cy="19495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1"/>
        <w:ind w:left="439" w:right="256" w:firstLine="0"/>
        <w:jc w:val="both"/>
        <w:rPr>
          <w:i/>
          <w:sz w:val="24"/>
        </w:rPr>
      </w:pPr>
      <w:r>
        <w:rPr>
          <w:i/>
          <w:sz w:val="24"/>
        </w:rPr>
        <w:t>Figure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2-11.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damaged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pole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barn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roof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damaged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living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quarters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Orgun-E,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Afghanistan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(author photos).</w:t>
      </w:r>
    </w:p>
    <w:p>
      <w:pPr>
        <w:spacing w:after="0"/>
        <w:jc w:val="both"/>
        <w:rPr>
          <w:sz w:val="24"/>
        </w:rPr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ind w:left="2162"/>
        <w:rPr>
          <w:sz w:val="20"/>
        </w:rPr>
      </w:pPr>
      <w:r>
        <w:rPr>
          <w:sz w:val="20"/>
        </w:rPr>
        <w:drawing>
          <wp:inline distT="0" distB="0" distL="0" distR="0">
            <wp:extent cx="3766438" cy="2824829"/>
            <wp:effectExtent l="0" t="0" r="0" b="0"/>
            <wp:docPr id="17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37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6438" cy="2824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"/>
        <w:rPr>
          <w:i/>
          <w:sz w:val="29"/>
        </w:rPr>
      </w:pPr>
    </w:p>
    <w:p>
      <w:pPr>
        <w:spacing w:before="90"/>
        <w:ind w:left="440" w:right="0" w:firstLine="0"/>
        <w:jc w:val="left"/>
        <w:rPr>
          <w:i/>
          <w:sz w:val="24"/>
        </w:rPr>
      </w:pPr>
      <w:r>
        <w:rPr>
          <w:i/>
          <w:sz w:val="24"/>
        </w:rPr>
        <w:t>Figure</w:t>
      </w:r>
      <w:r>
        <w:rPr>
          <w:i/>
          <w:spacing w:val="48"/>
          <w:sz w:val="24"/>
        </w:rPr>
        <w:t> </w:t>
      </w:r>
      <w:r>
        <w:rPr>
          <w:i/>
          <w:sz w:val="24"/>
        </w:rPr>
        <w:t>2-12.</w:t>
      </w:r>
      <w:r>
        <w:rPr>
          <w:i/>
          <w:spacing w:val="48"/>
          <w:sz w:val="24"/>
        </w:rPr>
        <w:t> </w:t>
      </w:r>
      <w:r>
        <w:rPr>
          <w:i/>
          <w:sz w:val="24"/>
        </w:rPr>
        <w:t>Concrete</w:t>
      </w:r>
      <w:r>
        <w:rPr>
          <w:i/>
          <w:spacing w:val="49"/>
          <w:sz w:val="24"/>
        </w:rPr>
        <w:t> </w:t>
      </w:r>
      <w:r>
        <w:rPr>
          <w:i/>
          <w:sz w:val="24"/>
        </w:rPr>
        <w:t>bunker</w:t>
      </w:r>
      <w:r>
        <w:rPr>
          <w:i/>
          <w:spacing w:val="48"/>
          <w:sz w:val="24"/>
        </w:rPr>
        <w:t> </w:t>
      </w:r>
      <w:r>
        <w:rPr>
          <w:i/>
          <w:sz w:val="24"/>
        </w:rPr>
        <w:t>structure</w:t>
      </w:r>
      <w:r>
        <w:rPr>
          <w:i/>
          <w:spacing w:val="49"/>
          <w:sz w:val="24"/>
        </w:rPr>
        <w:t> </w:t>
      </w:r>
      <w:r>
        <w:rPr>
          <w:i/>
          <w:sz w:val="24"/>
        </w:rPr>
        <w:t>sits</w:t>
      </w:r>
      <w:r>
        <w:rPr>
          <w:i/>
          <w:spacing w:val="48"/>
          <w:sz w:val="24"/>
        </w:rPr>
        <w:t> </w:t>
      </w:r>
      <w:r>
        <w:rPr>
          <w:i/>
          <w:sz w:val="24"/>
        </w:rPr>
        <w:t>outside</w:t>
      </w:r>
      <w:r>
        <w:rPr>
          <w:i/>
          <w:spacing w:val="49"/>
          <w:sz w:val="24"/>
        </w:rPr>
        <w:t> </w:t>
      </w:r>
      <w:r>
        <w:rPr>
          <w:i/>
          <w:sz w:val="24"/>
        </w:rPr>
        <w:t>K-span</w:t>
      </w:r>
      <w:r>
        <w:rPr>
          <w:i/>
          <w:spacing w:val="48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49"/>
          <w:sz w:val="24"/>
        </w:rPr>
        <w:t> </w:t>
      </w:r>
      <w:r>
        <w:rPr>
          <w:i/>
          <w:sz w:val="24"/>
        </w:rPr>
        <w:t>Orgun-E,</w:t>
      </w:r>
      <w:r>
        <w:rPr>
          <w:i/>
          <w:spacing w:val="48"/>
          <w:sz w:val="24"/>
        </w:rPr>
        <w:t> </w:t>
      </w:r>
      <w:r>
        <w:rPr>
          <w:i/>
          <w:sz w:val="24"/>
        </w:rPr>
        <w:t>Afghanistan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(author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photo).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Heading9"/>
        <w:numPr>
          <w:ilvl w:val="1"/>
          <w:numId w:val="14"/>
        </w:numPr>
        <w:tabs>
          <w:tab w:pos="800" w:val="left" w:leader="none"/>
        </w:tabs>
        <w:spacing w:line="240" w:lineRule="auto" w:before="159" w:after="0"/>
        <w:ind w:left="800" w:right="0" w:hanging="360"/>
        <w:jc w:val="both"/>
      </w:pPr>
      <w:bookmarkStart w:name="_TOC_250062" w:id="73"/>
      <w:bookmarkStart w:name="2.5 Other uses of temporary structures" w:id="74"/>
      <w:r>
        <w:rPr>
          <w:b w:val="0"/>
        </w:rPr>
      </w:r>
      <w:bookmarkEnd w:id="74"/>
      <w:bookmarkStart w:name="2.5 Other uses of temporary structures" w:id="75"/>
      <w:r>
        <w:rPr/>
        <w:t>Ot</w:t>
      </w:r>
      <w:r>
        <w:rPr/>
        <w:t>her</w:t>
      </w:r>
      <w:r>
        <w:rPr>
          <w:spacing w:val="-3"/>
        </w:rPr>
        <w:t> </w:t>
      </w:r>
      <w:r>
        <w:rPr/>
        <w:t>uses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temporary</w:t>
      </w:r>
      <w:r>
        <w:rPr>
          <w:spacing w:val="-2"/>
        </w:rPr>
        <w:t> </w:t>
      </w:r>
      <w:bookmarkEnd w:id="73"/>
      <w:r>
        <w:rPr/>
        <w:t>structures</w:t>
      </w:r>
    </w:p>
    <w:p>
      <w:pPr>
        <w:pStyle w:val="BodyText"/>
        <w:spacing w:before="5"/>
        <w:rPr>
          <w:b/>
          <w:sz w:val="22"/>
        </w:rPr>
      </w:pPr>
    </w:p>
    <w:p>
      <w:pPr>
        <w:pStyle w:val="BodyText"/>
        <w:spacing w:line="480" w:lineRule="auto"/>
        <w:ind w:left="439" w:right="256" w:firstLine="720"/>
        <w:jc w:val="both"/>
      </w:pPr>
      <w:r>
        <w:rPr/>
        <w:t>The military is not the only organization that uses temporary structures.</w:t>
      </w:r>
      <w:r>
        <w:rPr>
          <w:spacing w:val="1"/>
        </w:rPr>
        <w:t> </w:t>
      </w:r>
      <w:r>
        <w:rPr/>
        <w:t>There are</w:t>
      </w:r>
      <w:r>
        <w:rPr>
          <w:spacing w:val="-57"/>
        </w:rPr>
        <w:t> </w:t>
      </w:r>
      <w:r>
        <w:rPr/>
        <w:t>many</w:t>
      </w:r>
      <w:r>
        <w:rPr>
          <w:spacing w:val="-6"/>
        </w:rPr>
        <w:t> </w:t>
      </w:r>
      <w:r>
        <w:rPr/>
        <w:t>other</w:t>
      </w:r>
      <w:r>
        <w:rPr>
          <w:spacing w:val="-7"/>
        </w:rPr>
        <w:t> </w:t>
      </w:r>
      <w:r>
        <w:rPr/>
        <w:t>uses</w:t>
      </w:r>
      <w:r>
        <w:rPr>
          <w:spacing w:val="-7"/>
        </w:rPr>
        <w:t> </w:t>
      </w:r>
      <w:r>
        <w:rPr/>
        <w:t>for</w:t>
      </w:r>
      <w:r>
        <w:rPr>
          <w:spacing w:val="-7"/>
        </w:rPr>
        <w:t> </w:t>
      </w:r>
      <w:r>
        <w:rPr/>
        <w:t>temporary</w:t>
      </w:r>
      <w:r>
        <w:rPr>
          <w:spacing w:val="-6"/>
        </w:rPr>
        <w:t> </w:t>
      </w:r>
      <w:r>
        <w:rPr/>
        <w:t>structures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future</w:t>
      </w:r>
      <w:r>
        <w:rPr>
          <w:spacing w:val="-7"/>
        </w:rPr>
        <w:t> </w:t>
      </w:r>
      <w:r>
        <w:rPr/>
        <w:t>research</w:t>
      </w:r>
      <w:r>
        <w:rPr>
          <w:spacing w:val="-8"/>
        </w:rPr>
        <w:t> </w:t>
      </w:r>
      <w:r>
        <w:rPr/>
        <w:t>could</w:t>
      </w:r>
      <w:r>
        <w:rPr>
          <w:spacing w:val="-7"/>
        </w:rPr>
        <w:t> </w:t>
      </w:r>
      <w:r>
        <w:rPr/>
        <w:t>explore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use</w:t>
      </w:r>
      <w:r>
        <w:rPr>
          <w:spacing w:val="-7"/>
        </w:rPr>
        <w:t> </w:t>
      </w:r>
      <w:r>
        <w:rPr/>
        <w:t>of</w:t>
      </w:r>
      <w:r>
        <w:rPr>
          <w:spacing w:val="-6"/>
        </w:rPr>
        <w:t> </w:t>
      </w:r>
      <w:r>
        <w:rPr/>
        <w:t>CLT</w:t>
      </w:r>
      <w:r>
        <w:rPr>
          <w:spacing w:val="-58"/>
        </w:rPr>
        <w:t> </w:t>
      </w:r>
      <w:r>
        <w:rPr/>
        <w:t>for other purposes.</w:t>
      </w:r>
      <w:r>
        <w:rPr>
          <w:spacing w:val="1"/>
        </w:rPr>
        <w:t> </w:t>
      </w:r>
      <w:r>
        <w:rPr/>
        <w:t>In the United States, agencies like FEMA, local response teams, and</w:t>
      </w:r>
      <w:r>
        <w:rPr>
          <w:spacing w:val="1"/>
        </w:rPr>
        <w:t> </w:t>
      </w:r>
      <w:r>
        <w:rPr/>
        <w:t>law enforcement often rely on temporary structures to live and work.</w:t>
      </w:r>
      <w:r>
        <w:rPr>
          <w:spacing w:val="1"/>
        </w:rPr>
        <w:t> </w:t>
      </w:r>
      <w:r>
        <w:rPr/>
        <w:t>Internationally, aid</w:t>
      </w:r>
      <w:r>
        <w:rPr>
          <w:spacing w:val="1"/>
        </w:rPr>
        <w:t> </w:t>
      </w:r>
      <w:r>
        <w:rPr/>
        <w:t>groups like USAID, Red Cross, and UNICEF all operate in transient locations dictated by</w:t>
      </w:r>
      <w:r>
        <w:rPr>
          <w:spacing w:val="-57"/>
        </w:rPr>
        <w:t> </w:t>
      </w:r>
      <w:r>
        <w:rPr/>
        <w:t>immediate need.</w:t>
      </w:r>
      <w:r>
        <w:rPr>
          <w:spacing w:val="1"/>
        </w:rPr>
        <w:t> </w:t>
      </w:r>
      <w:r>
        <w:rPr/>
        <w:t>A temporary structure package could provide a solution for improved</w:t>
      </w:r>
      <w:r>
        <w:rPr>
          <w:spacing w:val="1"/>
        </w:rPr>
        <w:t> </w:t>
      </w:r>
      <w:r>
        <w:rPr/>
        <w:t>working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living</w:t>
      </w:r>
      <w:r>
        <w:rPr>
          <w:spacing w:val="-12"/>
        </w:rPr>
        <w:t> </w:t>
      </w:r>
      <w:r>
        <w:rPr/>
        <w:t>conditions</w:t>
      </w:r>
      <w:r>
        <w:rPr>
          <w:spacing w:val="-13"/>
        </w:rPr>
        <w:t> </w:t>
      </w:r>
      <w:r>
        <w:rPr/>
        <w:t>for</w:t>
      </w:r>
      <w:r>
        <w:rPr>
          <w:spacing w:val="-13"/>
        </w:rPr>
        <w:t> </w:t>
      </w:r>
      <w:r>
        <w:rPr/>
        <w:t>volunteers,</w:t>
      </w:r>
      <w:r>
        <w:rPr>
          <w:spacing w:val="-12"/>
        </w:rPr>
        <w:t> </w:t>
      </w:r>
      <w:r>
        <w:rPr/>
        <w:t>evacuees,</w:t>
      </w:r>
      <w:r>
        <w:rPr>
          <w:spacing w:val="-13"/>
        </w:rPr>
        <w:t> </w:t>
      </w:r>
      <w:r>
        <w:rPr/>
        <w:t>refugees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others.</w:t>
      </w:r>
      <w:r>
        <w:rPr>
          <w:spacing w:val="35"/>
        </w:rPr>
        <w:t> </w:t>
      </w:r>
      <w:r>
        <w:rPr/>
        <w:t>Each</w:t>
      </w:r>
      <w:r>
        <w:rPr>
          <w:spacing w:val="-13"/>
        </w:rPr>
        <w:t> </w:t>
      </w:r>
      <w:r>
        <w:rPr/>
        <w:t>scenario</w:t>
      </w:r>
      <w:r>
        <w:rPr>
          <w:spacing w:val="-57"/>
        </w:rPr>
        <w:t> </w:t>
      </w:r>
      <w:r>
        <w:rPr/>
        <w:t>would have its own set of requirements related to the structure and the material used to</w:t>
      </w:r>
      <w:r>
        <w:rPr>
          <w:spacing w:val="1"/>
        </w:rPr>
        <w:t> </w:t>
      </w:r>
      <w:r>
        <w:rPr/>
        <w:t>build it.</w:t>
      </w:r>
      <w:r>
        <w:rPr>
          <w:spacing w:val="1"/>
        </w:rPr>
        <w:t> </w:t>
      </w:r>
      <w:r>
        <w:rPr/>
        <w:t>Examples of other temporary structures include post-disaster housing, which</w:t>
      </w:r>
      <w:r>
        <w:rPr>
          <w:spacing w:val="1"/>
        </w:rPr>
        <w:t> </w:t>
      </w:r>
      <w:r>
        <w:rPr>
          <w:spacing w:val="-1"/>
        </w:rPr>
        <w:t>would</w:t>
      </w:r>
      <w:r>
        <w:rPr>
          <w:spacing w:val="-13"/>
        </w:rPr>
        <w:t> </w:t>
      </w:r>
      <w:r>
        <w:rPr>
          <w:spacing w:val="-1"/>
        </w:rPr>
        <w:t>require</w:t>
      </w:r>
      <w:r>
        <w:rPr>
          <w:spacing w:val="-12"/>
        </w:rPr>
        <w:t> </w:t>
      </w:r>
      <w:r>
        <w:rPr/>
        <w:t>quick</w:t>
      </w:r>
      <w:r>
        <w:rPr>
          <w:spacing w:val="-15"/>
        </w:rPr>
        <w:t> </w:t>
      </w:r>
      <w:r>
        <w:rPr/>
        <w:t>construction,</w:t>
      </w:r>
      <w:r>
        <w:rPr>
          <w:spacing w:val="-12"/>
        </w:rPr>
        <w:t> </w:t>
      </w:r>
      <w:r>
        <w:rPr/>
        <w:t>potentially</w:t>
      </w:r>
      <w:r>
        <w:rPr>
          <w:spacing w:val="-15"/>
        </w:rPr>
        <w:t> </w:t>
      </w:r>
      <w:r>
        <w:rPr/>
        <w:t>enhanced</w:t>
      </w:r>
      <w:r>
        <w:rPr>
          <w:spacing w:val="-12"/>
        </w:rPr>
        <w:t> </w:t>
      </w:r>
      <w:r>
        <w:rPr/>
        <w:t>protection</w:t>
      </w:r>
      <w:r>
        <w:rPr>
          <w:spacing w:val="-13"/>
        </w:rPr>
        <w:t> </w:t>
      </w:r>
      <w:r>
        <w:rPr/>
        <w:t>from</w:t>
      </w:r>
      <w:r>
        <w:rPr>
          <w:spacing w:val="-14"/>
        </w:rPr>
        <w:t> </w:t>
      </w:r>
      <w:r>
        <w:rPr/>
        <w:t>the</w:t>
      </w:r>
      <w:r>
        <w:rPr>
          <w:spacing w:val="-13"/>
        </w:rPr>
        <w:t> </w:t>
      </w:r>
      <w:r>
        <w:rPr/>
        <w:t>conditions</w:t>
      </w:r>
      <w:r>
        <w:rPr>
          <w:spacing w:val="-12"/>
        </w:rPr>
        <w:t> </w:t>
      </w:r>
      <w:r>
        <w:rPr/>
        <w:t>such</w:t>
      </w:r>
      <w:r>
        <w:rPr>
          <w:spacing w:val="-58"/>
        </w:rPr>
        <w:t> </w:t>
      </w:r>
      <w:r>
        <w:rPr>
          <w:spacing w:val="-1"/>
        </w:rPr>
        <w:t>as</w:t>
      </w:r>
      <w:r>
        <w:rPr>
          <w:spacing w:val="-14"/>
        </w:rPr>
        <w:t> </w:t>
      </w:r>
      <w:r>
        <w:rPr>
          <w:spacing w:val="-1"/>
        </w:rPr>
        <w:t>earthquake</w:t>
      </w:r>
      <w:r>
        <w:rPr>
          <w:spacing w:val="-14"/>
        </w:rPr>
        <w:t> </w:t>
      </w:r>
      <w:r>
        <w:rPr/>
        <w:t>aftershocks</w:t>
      </w:r>
      <w:r>
        <w:rPr>
          <w:spacing w:val="-13"/>
        </w:rPr>
        <w:t> </w:t>
      </w:r>
      <w:r>
        <w:rPr/>
        <w:t>or</w:t>
      </w:r>
      <w:r>
        <w:rPr>
          <w:spacing w:val="-14"/>
        </w:rPr>
        <w:t> </w:t>
      </w:r>
      <w:r>
        <w:rPr/>
        <w:t>continued</w:t>
      </w:r>
      <w:r>
        <w:rPr>
          <w:spacing w:val="-15"/>
        </w:rPr>
        <w:t> </w:t>
      </w:r>
      <w:r>
        <w:rPr/>
        <w:t>extreme</w:t>
      </w:r>
      <w:r>
        <w:rPr>
          <w:spacing w:val="-13"/>
        </w:rPr>
        <w:t> </w:t>
      </w:r>
      <w:r>
        <w:rPr/>
        <w:t>weather</w:t>
      </w:r>
      <w:r>
        <w:rPr>
          <w:spacing w:val="-14"/>
        </w:rPr>
        <w:t> </w:t>
      </w:r>
      <w:r>
        <w:rPr/>
        <w:t>events,</w:t>
      </w:r>
      <w:r>
        <w:rPr>
          <w:spacing w:val="-15"/>
        </w:rPr>
        <w:t> </w:t>
      </w:r>
      <w:r>
        <w:rPr/>
        <w:t>and</w:t>
      </w:r>
      <w:r>
        <w:rPr>
          <w:spacing w:val="-14"/>
        </w:rPr>
        <w:t> </w:t>
      </w:r>
      <w:r>
        <w:rPr/>
        <w:t>reusability.</w:t>
      </w:r>
      <w:r>
        <w:rPr>
          <w:spacing w:val="31"/>
        </w:rPr>
        <w:t> </w:t>
      </w:r>
      <w:r>
        <w:rPr/>
        <w:t>Other</w:t>
      </w:r>
      <w:r>
        <w:rPr>
          <w:spacing w:val="-14"/>
        </w:rPr>
        <w:t> </w:t>
      </w:r>
      <w:r>
        <w:rPr/>
        <w:t>uses</w:t>
      </w:r>
    </w:p>
    <w:p>
      <w:pPr>
        <w:spacing w:after="0" w:line="480" w:lineRule="auto"/>
        <w:jc w:val="both"/>
        <w:sectPr>
          <w:pgSz w:w="12240" w:h="15840"/>
          <w:pgMar w:header="0" w:footer="1064" w:top="1440" w:bottom="1260" w:left="1720" w:right="1180"/>
        </w:sectPr>
      </w:pPr>
    </w:p>
    <w:p>
      <w:pPr>
        <w:pStyle w:val="BodyText"/>
        <w:spacing w:line="480" w:lineRule="auto" w:before="78"/>
        <w:ind w:left="440" w:right="257"/>
        <w:jc w:val="both"/>
      </w:pPr>
      <w:r>
        <w:rPr/>
        <w:t>could</w:t>
      </w:r>
      <w:r>
        <w:rPr>
          <w:spacing w:val="-6"/>
        </w:rPr>
        <w:t> </w:t>
      </w:r>
      <w:r>
        <w:rPr/>
        <w:t>include</w:t>
      </w:r>
      <w:r>
        <w:rPr>
          <w:spacing w:val="-6"/>
        </w:rPr>
        <w:t> </w:t>
      </w:r>
      <w:r>
        <w:rPr/>
        <w:t>seasonal</w:t>
      </w:r>
      <w:r>
        <w:rPr>
          <w:spacing w:val="-6"/>
        </w:rPr>
        <w:t> </w:t>
      </w:r>
      <w:r>
        <w:rPr/>
        <w:t>structure</w:t>
      </w:r>
      <w:r>
        <w:rPr>
          <w:spacing w:val="-6"/>
        </w:rPr>
        <w:t> </w:t>
      </w:r>
      <w:r>
        <w:rPr/>
        <w:t>need</w:t>
      </w:r>
      <w:r>
        <w:rPr>
          <w:spacing w:val="-7"/>
        </w:rPr>
        <w:t> </w:t>
      </w:r>
      <w:r>
        <w:rPr/>
        <w:t>or</w:t>
      </w:r>
      <w:r>
        <w:rPr>
          <w:spacing w:val="-6"/>
        </w:rPr>
        <w:t> </w:t>
      </w:r>
      <w:r>
        <w:rPr/>
        <w:t>simply</w:t>
      </w:r>
      <w:r>
        <w:rPr>
          <w:spacing w:val="-6"/>
        </w:rPr>
        <w:t> </w:t>
      </w:r>
      <w:r>
        <w:rPr/>
        <w:t>relocatable</w:t>
      </w:r>
      <w:r>
        <w:rPr>
          <w:spacing w:val="-6"/>
        </w:rPr>
        <w:t> </w:t>
      </w:r>
      <w:r>
        <w:rPr/>
        <w:t>structures</w:t>
      </w:r>
      <w:r>
        <w:rPr>
          <w:spacing w:val="-7"/>
        </w:rPr>
        <w:t> </w:t>
      </w:r>
      <w:r>
        <w:rPr/>
        <w:t>that</w:t>
      </w:r>
      <w:r>
        <w:rPr>
          <w:spacing w:val="-7"/>
        </w:rPr>
        <w:t> </w:t>
      </w:r>
      <w:r>
        <w:rPr/>
        <w:t>need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/>
        <w:t>move</w:t>
      </w:r>
      <w:r>
        <w:rPr>
          <w:spacing w:val="-6"/>
        </w:rPr>
        <w:t> </w:t>
      </w:r>
      <w:r>
        <w:rPr/>
        <w:t>as</w:t>
      </w:r>
      <w:r>
        <w:rPr>
          <w:spacing w:val="-58"/>
        </w:rPr>
        <w:t> </w:t>
      </w:r>
      <w:r>
        <w:rPr/>
        <w:t>those inhabiting them move, such as scientists on expedition or foresters harvesting a</w:t>
      </w:r>
      <w:r>
        <w:rPr>
          <w:spacing w:val="1"/>
        </w:rPr>
        <w:t> </w:t>
      </w:r>
      <w:r>
        <w:rPr/>
        <w:t>timber</w:t>
      </w:r>
      <w:r>
        <w:rPr>
          <w:spacing w:val="-1"/>
        </w:rPr>
        <w:t> </w:t>
      </w:r>
      <w:r>
        <w:rPr/>
        <w:t>crop.</w:t>
      </w:r>
    </w:p>
    <w:p>
      <w:pPr>
        <w:pStyle w:val="Heading9"/>
        <w:numPr>
          <w:ilvl w:val="1"/>
          <w:numId w:val="14"/>
        </w:numPr>
        <w:tabs>
          <w:tab w:pos="800" w:val="left" w:leader="none"/>
        </w:tabs>
        <w:spacing w:line="240" w:lineRule="auto" w:before="162" w:after="0"/>
        <w:ind w:left="800" w:right="0" w:hanging="360"/>
        <w:jc w:val="both"/>
      </w:pPr>
      <w:bookmarkStart w:name="_TOC_250061" w:id="76"/>
      <w:bookmarkStart w:name="2.6 Force protection of military facilit" w:id="77"/>
      <w:r>
        <w:rPr>
          <w:b w:val="0"/>
        </w:rPr>
      </w:r>
      <w:bookmarkEnd w:id="77"/>
      <w:bookmarkStart w:name="2.6 Force protection of military facilit" w:id="78"/>
      <w:r>
        <w:rPr/>
        <w:t>F</w:t>
      </w:r>
      <w:r>
        <w:rPr/>
        <w:t>orce</w:t>
      </w:r>
      <w:r>
        <w:rPr>
          <w:spacing w:val="-3"/>
        </w:rPr>
        <w:t> </w:t>
      </w:r>
      <w:r>
        <w:rPr/>
        <w:t>protection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military</w:t>
      </w:r>
      <w:r>
        <w:rPr>
          <w:spacing w:val="-4"/>
        </w:rPr>
        <w:t> </w:t>
      </w:r>
      <w:bookmarkEnd w:id="76"/>
      <w:r>
        <w:rPr/>
        <w:t>facilities</w:t>
      </w:r>
    </w:p>
    <w:p>
      <w:pPr>
        <w:pStyle w:val="BodyText"/>
        <w:spacing w:before="6"/>
        <w:rPr>
          <w:b/>
          <w:sz w:val="22"/>
        </w:rPr>
      </w:pPr>
    </w:p>
    <w:p>
      <w:pPr>
        <w:pStyle w:val="BodyText"/>
        <w:spacing w:line="480" w:lineRule="auto"/>
        <w:ind w:left="439" w:right="257" w:firstLine="720"/>
        <w:jc w:val="both"/>
      </w:pPr>
      <w:r>
        <w:rPr/>
        <w:t>A unique parameter in the construction of all military facilities, regardless of life</w:t>
      </w:r>
      <w:r>
        <w:rPr>
          <w:spacing w:val="1"/>
        </w:rPr>
        <w:t> </w:t>
      </w:r>
      <w:r>
        <w:rPr/>
        <w:t>expectancy, is the need to meet specifications related to the building’s force protection,</w:t>
      </w:r>
      <w:r>
        <w:rPr>
          <w:spacing w:val="1"/>
        </w:rPr>
        <w:t> </w:t>
      </w:r>
      <w:r>
        <w:rPr/>
        <w:t>which</w:t>
      </w:r>
      <w:r>
        <w:rPr>
          <w:spacing w:val="-5"/>
        </w:rPr>
        <w:t> </w:t>
      </w:r>
      <w:r>
        <w:rPr/>
        <w:t>is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structure’s</w:t>
      </w:r>
      <w:r>
        <w:rPr>
          <w:spacing w:val="-5"/>
        </w:rPr>
        <w:t> </w:t>
      </w:r>
      <w:r>
        <w:rPr/>
        <w:t>inherent</w:t>
      </w:r>
      <w:r>
        <w:rPr>
          <w:spacing w:val="-5"/>
        </w:rPr>
        <w:t> </w:t>
      </w:r>
      <w:r>
        <w:rPr/>
        <w:t>ability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provide</w:t>
      </w:r>
      <w:r>
        <w:rPr>
          <w:spacing w:val="-5"/>
        </w:rPr>
        <w:t> </w:t>
      </w:r>
      <w:r>
        <w:rPr/>
        <w:t>safety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/>
        <w:t>security</w:t>
      </w:r>
      <w:r>
        <w:rPr>
          <w:spacing w:val="-4"/>
        </w:rPr>
        <w:t> </w:t>
      </w:r>
      <w:r>
        <w:rPr/>
        <w:t>to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occupants</w:t>
      </w:r>
      <w:r>
        <w:rPr>
          <w:spacing w:val="-5"/>
        </w:rPr>
        <w:t> </w:t>
      </w:r>
      <w:r>
        <w:rPr/>
        <w:t>and</w:t>
      </w:r>
      <w:r>
        <w:rPr>
          <w:spacing w:val="-58"/>
        </w:rPr>
        <w:t> </w:t>
      </w:r>
      <w:r>
        <w:rPr/>
        <w:t>equipment inside.</w:t>
      </w:r>
      <w:r>
        <w:rPr>
          <w:spacing w:val="1"/>
        </w:rPr>
        <w:t> </w:t>
      </w:r>
      <w:r>
        <w:rPr/>
        <w:t>Force protection is an active, dynamic process in that it is constantly</w:t>
      </w:r>
      <w:r>
        <w:rPr>
          <w:spacing w:val="1"/>
        </w:rPr>
        <w:t> </w:t>
      </w:r>
      <w:r>
        <w:rPr/>
        <w:t>assessed</w:t>
      </w:r>
      <w:r>
        <w:rPr>
          <w:spacing w:val="-6"/>
        </w:rPr>
        <w:t> </w:t>
      </w:r>
      <w:r>
        <w:rPr/>
        <w:t>for</w:t>
      </w:r>
      <w:r>
        <w:rPr>
          <w:spacing w:val="-7"/>
        </w:rPr>
        <w:t> </w:t>
      </w:r>
      <w:r>
        <w:rPr/>
        <w:t>changes</w:t>
      </w:r>
      <w:r>
        <w:rPr>
          <w:spacing w:val="-6"/>
        </w:rPr>
        <w:t> </w:t>
      </w:r>
      <w:r>
        <w:rPr/>
        <w:t>based</w:t>
      </w:r>
      <w:r>
        <w:rPr>
          <w:spacing w:val="-5"/>
        </w:rPr>
        <w:t> </w:t>
      </w:r>
      <w:r>
        <w:rPr/>
        <w:t>on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potential</w:t>
      </w:r>
      <w:r>
        <w:rPr>
          <w:spacing w:val="-5"/>
        </w:rPr>
        <w:t> </w:t>
      </w:r>
      <w:r>
        <w:rPr/>
        <w:t>threat,</w:t>
      </w:r>
      <w:r>
        <w:rPr>
          <w:spacing w:val="-6"/>
        </w:rPr>
        <w:t> </w:t>
      </w:r>
      <w:r>
        <w:rPr/>
        <w:t>hazard,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risk.</w:t>
      </w:r>
      <w:r>
        <w:rPr>
          <w:spacing w:val="48"/>
        </w:rPr>
        <w:t> </w:t>
      </w:r>
      <w:r>
        <w:rPr/>
        <w:t>From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macro</w:t>
      </w:r>
      <w:r>
        <w:rPr>
          <w:spacing w:val="-6"/>
        </w:rPr>
        <w:t> </w:t>
      </w:r>
      <w:r>
        <w:rPr/>
        <w:t>view</w:t>
      </w:r>
      <w:r>
        <w:rPr>
          <w:spacing w:val="-6"/>
        </w:rPr>
        <w:t> </w:t>
      </w:r>
      <w:r>
        <w:rPr/>
        <w:t>of</w:t>
      </w:r>
      <w:r>
        <w:rPr>
          <w:spacing w:val="-57"/>
        </w:rPr>
        <w:t> </w:t>
      </w:r>
      <w:r>
        <w:rPr/>
        <w:t>the military base’s footprint down to individual structures on it, the Force Protection</w:t>
      </w:r>
      <w:r>
        <w:rPr>
          <w:spacing w:val="1"/>
        </w:rPr>
        <w:t> </w:t>
      </w:r>
      <w:r>
        <w:rPr/>
        <w:t>Condition</w:t>
      </w:r>
      <w:r>
        <w:rPr>
          <w:spacing w:val="-1"/>
        </w:rPr>
        <w:t> </w:t>
      </w:r>
      <w:r>
        <w:rPr/>
        <w:t>(FPCON) dictates the current</w:t>
      </w:r>
      <w:r>
        <w:rPr>
          <w:spacing w:val="-1"/>
        </w:rPr>
        <w:t> </w:t>
      </w:r>
      <w:r>
        <w:rPr/>
        <w:t>level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threat.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/>
        <w:ind w:left="439" w:right="257" w:firstLine="720"/>
        <w:jc w:val="both"/>
      </w:pPr>
      <w:r>
        <w:rPr/>
        <w:t>Different</w:t>
      </w:r>
      <w:r>
        <w:rPr>
          <w:spacing w:val="-8"/>
        </w:rPr>
        <w:t> </w:t>
      </w:r>
      <w:r>
        <w:rPr/>
        <w:t>levels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FPCON</w:t>
      </w:r>
      <w:r>
        <w:rPr>
          <w:spacing w:val="-8"/>
        </w:rPr>
        <w:t> </w:t>
      </w:r>
      <w:r>
        <w:rPr/>
        <w:t>describe</w:t>
      </w:r>
      <w:r>
        <w:rPr>
          <w:spacing w:val="-9"/>
        </w:rPr>
        <w:t> </w:t>
      </w:r>
      <w:r>
        <w:rPr/>
        <w:t>the</w:t>
      </w:r>
      <w:r>
        <w:rPr>
          <w:spacing w:val="-7"/>
        </w:rPr>
        <w:t> </w:t>
      </w:r>
      <w:r>
        <w:rPr/>
        <w:t>measures</w:t>
      </w:r>
      <w:r>
        <w:rPr>
          <w:spacing w:val="-8"/>
        </w:rPr>
        <w:t> </w:t>
      </w:r>
      <w:r>
        <w:rPr/>
        <w:t>needed</w:t>
      </w:r>
      <w:r>
        <w:rPr>
          <w:spacing w:val="-9"/>
        </w:rPr>
        <w:t> </w:t>
      </w:r>
      <w:r>
        <w:rPr/>
        <w:t>to</w:t>
      </w:r>
      <w:r>
        <w:rPr>
          <w:spacing w:val="-7"/>
        </w:rPr>
        <w:t> </w:t>
      </w:r>
      <w:r>
        <w:rPr/>
        <w:t>be</w:t>
      </w:r>
      <w:r>
        <w:rPr>
          <w:spacing w:val="-9"/>
        </w:rPr>
        <w:t> </w:t>
      </w:r>
      <w:r>
        <w:rPr/>
        <w:t>taken</w:t>
      </w:r>
      <w:r>
        <w:rPr>
          <w:spacing w:val="-9"/>
        </w:rPr>
        <w:t> </w:t>
      </w:r>
      <w:r>
        <w:rPr/>
        <w:t>in</w:t>
      </w:r>
      <w:r>
        <w:rPr>
          <w:spacing w:val="-9"/>
        </w:rPr>
        <w:t> </w:t>
      </w:r>
      <w:r>
        <w:rPr/>
        <w:t>response</w:t>
      </w:r>
      <w:r>
        <w:rPr>
          <w:spacing w:val="-7"/>
        </w:rPr>
        <w:t> </w:t>
      </w:r>
      <w:r>
        <w:rPr/>
        <w:t>to</w:t>
      </w:r>
      <w:r>
        <w:rPr>
          <w:spacing w:val="-58"/>
        </w:rPr>
        <w:t> </w:t>
      </w:r>
      <w:r>
        <w:rPr/>
        <w:t>terrorist</w:t>
      </w:r>
      <w:r>
        <w:rPr>
          <w:spacing w:val="1"/>
        </w:rPr>
        <w:t> </w:t>
      </w:r>
      <w:r>
        <w:rPr/>
        <w:t>threats</w:t>
      </w:r>
      <w:r>
        <w:rPr>
          <w:spacing w:val="1"/>
        </w:rPr>
        <w:t> </w:t>
      </w:r>
      <w:r>
        <w:rPr/>
        <w:t>against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facilities.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such,</w:t>
      </w:r>
      <w:r>
        <w:rPr>
          <w:spacing w:val="1"/>
        </w:rPr>
        <w:t> </w:t>
      </w:r>
      <w:r>
        <w:rPr/>
        <w:t>all</w:t>
      </w:r>
      <w:r>
        <w:rPr>
          <w:spacing w:val="1"/>
        </w:rPr>
        <w:t> </w:t>
      </w:r>
      <w:r>
        <w:rPr/>
        <w:t>structures</w:t>
      </w:r>
      <w:r>
        <w:rPr>
          <w:spacing w:val="1"/>
        </w:rPr>
        <w:t> </w:t>
      </w:r>
      <w:r>
        <w:rPr/>
        <w:t>must</w:t>
      </w:r>
      <w:r>
        <w:rPr>
          <w:spacing w:val="1"/>
        </w:rPr>
        <w:t> </w:t>
      </w:r>
      <w:r>
        <w:rPr/>
        <w:t>meet</w:t>
      </w:r>
      <w:r>
        <w:rPr>
          <w:spacing w:val="1"/>
        </w:rPr>
        <w:t> </w:t>
      </w:r>
      <w:r>
        <w:rPr/>
        <w:t>specific</w:t>
      </w:r>
      <w:r>
        <w:rPr>
          <w:spacing w:val="1"/>
        </w:rPr>
        <w:t> </w:t>
      </w:r>
      <w:r>
        <w:rPr/>
        <w:t>guidelines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varied</w:t>
      </w:r>
      <w:r>
        <w:rPr>
          <w:spacing w:val="1"/>
        </w:rPr>
        <w:t> </w:t>
      </w:r>
      <w:r>
        <w:rPr/>
        <w:t>threat</w:t>
      </w:r>
      <w:r>
        <w:rPr>
          <w:spacing w:val="1"/>
        </w:rPr>
        <w:t> </w:t>
      </w:r>
      <w:r>
        <w:rPr/>
        <w:t>levels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outlined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Unified</w:t>
      </w:r>
      <w:r>
        <w:rPr>
          <w:spacing w:val="1"/>
        </w:rPr>
        <w:t> </w:t>
      </w:r>
      <w:r>
        <w:rPr/>
        <w:t>Facilities</w:t>
      </w:r>
      <w:r>
        <w:rPr>
          <w:spacing w:val="1"/>
        </w:rPr>
        <w:t> </w:t>
      </w:r>
      <w:r>
        <w:rPr/>
        <w:t>Criteria</w:t>
      </w:r>
      <w:r>
        <w:rPr>
          <w:spacing w:val="1"/>
        </w:rPr>
        <w:t> </w:t>
      </w:r>
      <w:r>
        <w:rPr/>
        <w:t>(UFC)</w:t>
      </w:r>
      <w:r>
        <w:rPr>
          <w:spacing w:val="1"/>
        </w:rPr>
        <w:t> </w:t>
      </w:r>
      <w:r>
        <w:rPr/>
        <w:t>publications.</w:t>
      </w:r>
      <w:r>
        <w:rPr>
          <w:spacing w:val="1"/>
        </w:rPr>
        <w:t> </w:t>
      </w:r>
      <w:r>
        <w:rPr/>
        <w:t>DoD Instruction 2000.12 instructs each military service to ensure that</w:t>
      </w:r>
      <w:r>
        <w:rPr>
          <w:spacing w:val="1"/>
        </w:rPr>
        <w:t> </w:t>
      </w:r>
      <w:r>
        <w:rPr/>
        <w:t>antiterrorism</w:t>
      </w:r>
      <w:r>
        <w:rPr>
          <w:spacing w:val="-5"/>
        </w:rPr>
        <w:t> </w:t>
      </w:r>
      <w:r>
        <w:rPr/>
        <w:t>(AT)</w:t>
      </w:r>
      <w:r>
        <w:rPr>
          <w:spacing w:val="-4"/>
        </w:rPr>
        <w:t> </w:t>
      </w:r>
      <w:r>
        <w:rPr/>
        <w:t>protective</w:t>
      </w:r>
      <w:r>
        <w:rPr>
          <w:spacing w:val="-4"/>
        </w:rPr>
        <w:t> </w:t>
      </w:r>
      <w:r>
        <w:rPr/>
        <w:t>features</w:t>
      </w:r>
      <w:r>
        <w:rPr>
          <w:spacing w:val="-5"/>
        </w:rPr>
        <w:t> </w:t>
      </w:r>
      <w:r>
        <w:rPr/>
        <w:t>be</w:t>
      </w:r>
      <w:r>
        <w:rPr>
          <w:spacing w:val="-4"/>
        </w:rPr>
        <w:t> </w:t>
      </w:r>
      <w:r>
        <w:rPr/>
        <w:t>integrated</w:t>
      </w:r>
      <w:r>
        <w:rPr>
          <w:spacing w:val="-5"/>
        </w:rPr>
        <w:t> </w:t>
      </w:r>
      <w:r>
        <w:rPr/>
        <w:t>into</w:t>
      </w:r>
      <w:r>
        <w:rPr>
          <w:spacing w:val="-5"/>
        </w:rPr>
        <w:t> </w:t>
      </w:r>
      <w:r>
        <w:rPr/>
        <w:t>planning,</w:t>
      </w:r>
      <w:r>
        <w:rPr>
          <w:spacing w:val="-4"/>
        </w:rPr>
        <w:t> </w:t>
      </w:r>
      <w:r>
        <w:rPr/>
        <w:t>design</w:t>
      </w:r>
      <w:r>
        <w:rPr>
          <w:spacing w:val="-6"/>
        </w:rPr>
        <w:t> </w:t>
      </w:r>
      <w:r>
        <w:rPr/>
        <w:t>and</w:t>
      </w:r>
      <w:r>
        <w:rPr>
          <w:spacing w:val="-4"/>
        </w:rPr>
        <w:t> </w:t>
      </w:r>
      <w:r>
        <w:rPr/>
        <w:t>execution</w:t>
      </w:r>
      <w:r>
        <w:rPr>
          <w:spacing w:val="-5"/>
        </w:rPr>
        <w:t> </w:t>
      </w:r>
      <w:r>
        <w:rPr/>
        <w:t>of</w:t>
      </w:r>
      <w:r>
        <w:rPr>
          <w:spacing w:val="-57"/>
        </w:rPr>
        <w:t> </w:t>
      </w:r>
      <w:r>
        <w:rPr/>
        <w:t>facility construction to lessen AT weaknesses and threats to the force [15].</w:t>
      </w:r>
      <w:r>
        <w:rPr>
          <w:spacing w:val="1"/>
        </w:rPr>
        <w:t> </w:t>
      </w:r>
      <w:r>
        <w:rPr/>
        <w:t>Title 10, U.S.</w:t>
      </w:r>
      <w:r>
        <w:rPr>
          <w:spacing w:val="-57"/>
        </w:rPr>
        <w:t> </w:t>
      </w:r>
      <w:r>
        <w:rPr/>
        <w:t>Code, which governs the Armed Forces, necessitates the Secretary of Defense to develop</w:t>
      </w:r>
      <w:r>
        <w:rPr>
          <w:spacing w:val="1"/>
        </w:rPr>
        <w:t> </w:t>
      </w:r>
      <w:r>
        <w:rPr/>
        <w:t>common</w:t>
      </w:r>
      <w:r>
        <w:rPr>
          <w:spacing w:val="1"/>
        </w:rPr>
        <w:t> </w:t>
      </w:r>
      <w:r>
        <w:rPr/>
        <w:t>guidance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criteria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development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construction</w:t>
      </w:r>
      <w:r>
        <w:rPr>
          <w:spacing w:val="1"/>
        </w:rPr>
        <w:t> </w:t>
      </w:r>
      <w:r>
        <w:rPr/>
        <w:t>standards</w:t>
      </w:r>
      <w:r>
        <w:rPr>
          <w:spacing w:val="1"/>
        </w:rPr>
        <w:t> </w:t>
      </w:r>
      <w:r>
        <w:rPr/>
        <w:t>which</w:t>
      </w:r>
      <w:r>
        <w:rPr>
          <w:spacing w:val="-57"/>
        </w:rPr>
        <w:t> </w:t>
      </w:r>
      <w:r>
        <w:rPr/>
        <w:t>mitigate</w:t>
      </w:r>
      <w:r>
        <w:rPr>
          <w:spacing w:val="-1"/>
        </w:rPr>
        <w:t> </w:t>
      </w:r>
      <w:r>
        <w:rPr/>
        <w:t>vulnerabilities</w:t>
      </w:r>
      <w:r>
        <w:rPr>
          <w:spacing w:val="-1"/>
        </w:rPr>
        <w:t> </w:t>
      </w:r>
      <w:r>
        <w:rPr/>
        <w:t>to attack and</w:t>
      </w:r>
      <w:r>
        <w:rPr>
          <w:spacing w:val="-2"/>
        </w:rPr>
        <w:t> </w:t>
      </w:r>
      <w:r>
        <w:rPr/>
        <w:t>improve security.</w:t>
      </w:r>
    </w:p>
    <w:p>
      <w:pPr>
        <w:pStyle w:val="BodyText"/>
        <w:spacing w:before="11"/>
        <w:rPr>
          <w:sz w:val="20"/>
        </w:rPr>
      </w:pPr>
    </w:p>
    <w:p>
      <w:pPr>
        <w:pStyle w:val="BodyText"/>
        <w:spacing w:line="480" w:lineRule="auto"/>
        <w:ind w:left="439" w:right="258" w:firstLine="720"/>
        <w:jc w:val="both"/>
      </w:pPr>
      <w:r>
        <w:rPr/>
        <w:t>Historically,</w:t>
      </w:r>
      <w:r>
        <w:rPr>
          <w:spacing w:val="-12"/>
        </w:rPr>
        <w:t> </w:t>
      </w:r>
      <w:r>
        <w:rPr/>
        <w:t>attacks</w:t>
      </w:r>
      <w:r>
        <w:rPr>
          <w:spacing w:val="-10"/>
        </w:rPr>
        <w:t> </w:t>
      </w:r>
      <w:r>
        <w:rPr/>
        <w:t>on</w:t>
      </w:r>
      <w:r>
        <w:rPr>
          <w:spacing w:val="-11"/>
        </w:rPr>
        <w:t> </w:t>
      </w:r>
      <w:r>
        <w:rPr/>
        <w:t>military</w:t>
      </w:r>
      <w:r>
        <w:rPr>
          <w:spacing w:val="-10"/>
        </w:rPr>
        <w:t> </w:t>
      </w:r>
      <w:r>
        <w:rPr/>
        <w:t>facilities</w:t>
      </w:r>
      <w:r>
        <w:rPr>
          <w:spacing w:val="-11"/>
        </w:rPr>
        <w:t> </w:t>
      </w:r>
      <w:r>
        <w:rPr/>
        <w:t>have</w:t>
      </w:r>
      <w:r>
        <w:rPr>
          <w:spacing w:val="-11"/>
        </w:rPr>
        <w:t> </w:t>
      </w:r>
      <w:r>
        <w:rPr/>
        <w:t>taken</w:t>
      </w:r>
      <w:r>
        <w:rPr>
          <w:spacing w:val="-10"/>
        </w:rPr>
        <w:t> </w:t>
      </w:r>
      <w:r>
        <w:rPr/>
        <w:t>place</w:t>
      </w:r>
      <w:r>
        <w:rPr>
          <w:spacing w:val="-11"/>
        </w:rPr>
        <w:t> </w:t>
      </w:r>
      <w:r>
        <w:rPr/>
        <w:t>overseas</w:t>
      </w:r>
      <w:r>
        <w:rPr>
          <w:spacing w:val="-11"/>
        </w:rPr>
        <w:t> </w:t>
      </w:r>
      <w:r>
        <w:rPr/>
        <w:t>in</w:t>
      </w:r>
      <w:r>
        <w:rPr>
          <w:spacing w:val="-11"/>
        </w:rPr>
        <w:t> </w:t>
      </w:r>
      <w:r>
        <w:rPr/>
        <w:t>locations</w:t>
      </w:r>
      <w:r>
        <w:rPr>
          <w:spacing w:val="-10"/>
        </w:rPr>
        <w:t> </w:t>
      </w:r>
      <w:r>
        <w:rPr/>
        <w:t>not</w:t>
      </w:r>
      <w:r>
        <w:rPr>
          <w:spacing w:val="-58"/>
        </w:rPr>
        <w:t> </w:t>
      </w:r>
      <w:r>
        <w:rPr/>
        <w:t>even</w:t>
      </w:r>
      <w:r>
        <w:rPr>
          <w:spacing w:val="30"/>
        </w:rPr>
        <w:t> </w:t>
      </w:r>
      <w:r>
        <w:rPr/>
        <w:t>considered</w:t>
      </w:r>
      <w:r>
        <w:rPr>
          <w:spacing w:val="31"/>
        </w:rPr>
        <w:t> </w:t>
      </w:r>
      <w:r>
        <w:rPr/>
        <w:t>combat</w:t>
      </w:r>
      <w:r>
        <w:rPr>
          <w:spacing w:val="30"/>
        </w:rPr>
        <w:t> </w:t>
      </w:r>
      <w:r>
        <w:rPr/>
        <w:t>zones,</w:t>
      </w:r>
      <w:r>
        <w:rPr>
          <w:spacing w:val="30"/>
        </w:rPr>
        <w:t> </w:t>
      </w:r>
      <w:r>
        <w:rPr/>
        <w:t>such</w:t>
      </w:r>
      <w:r>
        <w:rPr>
          <w:spacing w:val="31"/>
        </w:rPr>
        <w:t> </w:t>
      </w:r>
      <w:r>
        <w:rPr/>
        <w:t>as</w:t>
      </w:r>
      <w:r>
        <w:rPr>
          <w:spacing w:val="30"/>
        </w:rPr>
        <w:t> </w:t>
      </w:r>
      <w:r>
        <w:rPr/>
        <w:t>the</w:t>
      </w:r>
      <w:r>
        <w:rPr>
          <w:spacing w:val="30"/>
        </w:rPr>
        <w:t> </w:t>
      </w:r>
      <w:r>
        <w:rPr/>
        <w:t>1996</w:t>
      </w:r>
      <w:r>
        <w:rPr>
          <w:spacing w:val="31"/>
        </w:rPr>
        <w:t> </w:t>
      </w:r>
      <w:r>
        <w:rPr/>
        <w:t>bombing</w:t>
      </w:r>
      <w:r>
        <w:rPr>
          <w:spacing w:val="32"/>
        </w:rPr>
        <w:t> </w:t>
      </w:r>
      <w:r>
        <w:rPr/>
        <w:t>of</w:t>
      </w:r>
      <w:r>
        <w:rPr>
          <w:spacing w:val="30"/>
        </w:rPr>
        <w:t> </w:t>
      </w:r>
      <w:r>
        <w:rPr/>
        <w:t>Khobar</w:t>
      </w:r>
      <w:r>
        <w:rPr>
          <w:spacing w:val="30"/>
        </w:rPr>
        <w:t> </w:t>
      </w:r>
      <w:r>
        <w:rPr/>
        <w:t>Towers</w:t>
      </w:r>
      <w:r>
        <w:rPr>
          <w:spacing w:val="31"/>
        </w:rPr>
        <w:t> </w:t>
      </w:r>
      <w:r>
        <w:rPr/>
        <w:t>in</w:t>
      </w:r>
      <w:r>
        <w:rPr>
          <w:spacing w:val="30"/>
        </w:rPr>
        <w:t> </w:t>
      </w:r>
      <w:r>
        <w:rPr/>
        <w:t>Saudi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40" w:right="257"/>
        <w:jc w:val="both"/>
      </w:pPr>
      <w:r>
        <w:rPr/>
        <w:t>Arabia, and the Marine barracks in Beirut, Lebanon in 1983.</w:t>
      </w:r>
      <w:r>
        <w:rPr>
          <w:spacing w:val="1"/>
        </w:rPr>
        <w:t> </w:t>
      </w:r>
      <w:r>
        <w:rPr/>
        <w:t>Within the United States,</w:t>
      </w:r>
      <w:r>
        <w:rPr>
          <w:spacing w:val="1"/>
        </w:rPr>
        <w:t> </w:t>
      </w:r>
      <w:r>
        <w:rPr/>
        <w:t>military recruiting centers are a frequent target as demonstrated by attacks in New York</w:t>
      </w:r>
      <w:r>
        <w:rPr>
          <w:spacing w:val="1"/>
        </w:rPr>
        <w:t> </w:t>
      </w:r>
      <w:r>
        <w:rPr/>
        <w:t>City</w:t>
      </w:r>
      <w:r>
        <w:rPr>
          <w:spacing w:val="-15"/>
        </w:rPr>
        <w:t> </w:t>
      </w:r>
      <w:r>
        <w:rPr/>
        <w:t>in</w:t>
      </w:r>
      <w:r>
        <w:rPr>
          <w:spacing w:val="-15"/>
        </w:rPr>
        <w:t> </w:t>
      </w:r>
      <w:r>
        <w:rPr/>
        <w:t>2008,</w:t>
      </w:r>
      <w:r>
        <w:rPr>
          <w:spacing w:val="-15"/>
        </w:rPr>
        <w:t> </w:t>
      </w:r>
      <w:r>
        <w:rPr/>
        <w:t>Little</w:t>
      </w:r>
      <w:r>
        <w:rPr>
          <w:spacing w:val="-14"/>
        </w:rPr>
        <w:t> </w:t>
      </w:r>
      <w:r>
        <w:rPr/>
        <w:t>Rock,</w:t>
      </w:r>
      <w:r>
        <w:rPr>
          <w:spacing w:val="-14"/>
        </w:rPr>
        <w:t> </w:t>
      </w:r>
      <w:r>
        <w:rPr/>
        <w:t>Arkansas</w:t>
      </w:r>
      <w:r>
        <w:rPr>
          <w:spacing w:val="-14"/>
        </w:rPr>
        <w:t> </w:t>
      </w:r>
      <w:r>
        <w:rPr/>
        <w:t>in</w:t>
      </w:r>
      <w:r>
        <w:rPr>
          <w:spacing w:val="-15"/>
        </w:rPr>
        <w:t> </w:t>
      </w:r>
      <w:r>
        <w:rPr/>
        <w:t>2009,</w:t>
      </w:r>
      <w:r>
        <w:rPr>
          <w:spacing w:val="-15"/>
        </w:rPr>
        <w:t> </w:t>
      </w:r>
      <w:r>
        <w:rPr/>
        <w:t>and</w:t>
      </w:r>
      <w:r>
        <w:rPr>
          <w:spacing w:val="-12"/>
        </w:rPr>
        <w:t> </w:t>
      </w:r>
      <w:r>
        <w:rPr/>
        <w:t>Chattanooga,</w:t>
      </w:r>
      <w:r>
        <w:rPr>
          <w:spacing w:val="-15"/>
        </w:rPr>
        <w:t> </w:t>
      </w:r>
      <w:r>
        <w:rPr/>
        <w:t>Tennessee</w:t>
      </w:r>
      <w:r>
        <w:rPr>
          <w:spacing w:val="-14"/>
        </w:rPr>
        <w:t> </w:t>
      </w:r>
      <w:r>
        <w:rPr/>
        <w:t>in</w:t>
      </w:r>
      <w:r>
        <w:rPr>
          <w:spacing w:val="-15"/>
        </w:rPr>
        <w:t> </w:t>
      </w:r>
      <w:r>
        <w:rPr/>
        <w:t>2015.</w:t>
      </w:r>
      <w:r>
        <w:rPr>
          <w:spacing w:val="32"/>
        </w:rPr>
        <w:t> </w:t>
      </w:r>
      <w:r>
        <w:rPr/>
        <w:t>Military</w:t>
      </w:r>
      <w:r>
        <w:rPr>
          <w:spacing w:val="-58"/>
        </w:rPr>
        <w:t> </w:t>
      </w:r>
      <w:r>
        <w:rPr/>
        <w:t>bases at large such as the Fort Hood shooting massacre in 2009 and the Washington Navy</w:t>
      </w:r>
      <w:r>
        <w:rPr>
          <w:spacing w:val="-57"/>
        </w:rPr>
        <w:t> </w:t>
      </w:r>
      <w:r>
        <w:rPr/>
        <w:t>Yard</w:t>
      </w:r>
      <w:r>
        <w:rPr>
          <w:spacing w:val="-7"/>
        </w:rPr>
        <w:t> </w:t>
      </w:r>
      <w:r>
        <w:rPr/>
        <w:t>shootings</w:t>
      </w:r>
      <w:r>
        <w:rPr>
          <w:spacing w:val="-7"/>
        </w:rPr>
        <w:t> </w:t>
      </w:r>
      <w:r>
        <w:rPr/>
        <w:t>in</w:t>
      </w:r>
      <w:r>
        <w:rPr>
          <w:spacing w:val="-7"/>
        </w:rPr>
        <w:t> </w:t>
      </w:r>
      <w:r>
        <w:rPr/>
        <w:t>2013</w:t>
      </w:r>
      <w:r>
        <w:rPr>
          <w:spacing w:val="-6"/>
        </w:rPr>
        <w:t> </w:t>
      </w:r>
      <w:r>
        <w:rPr/>
        <w:t>have</w:t>
      </w:r>
      <w:r>
        <w:rPr>
          <w:spacing w:val="-7"/>
        </w:rPr>
        <w:t> </w:t>
      </w:r>
      <w:r>
        <w:rPr/>
        <w:t>also</w:t>
      </w:r>
      <w:r>
        <w:rPr>
          <w:spacing w:val="-7"/>
        </w:rPr>
        <w:t> </w:t>
      </w:r>
      <w:r>
        <w:rPr/>
        <w:t>been</w:t>
      </w:r>
      <w:r>
        <w:rPr>
          <w:spacing w:val="-7"/>
        </w:rPr>
        <w:t> </w:t>
      </w:r>
      <w:r>
        <w:rPr/>
        <w:t>targeted.</w:t>
      </w:r>
      <w:r>
        <w:rPr>
          <w:spacing w:val="46"/>
        </w:rPr>
        <w:t> </w:t>
      </w:r>
      <w:r>
        <w:rPr/>
        <w:t>Nationwide,</w:t>
      </w:r>
      <w:r>
        <w:rPr>
          <w:spacing w:val="-7"/>
        </w:rPr>
        <w:t> </w:t>
      </w:r>
      <w:r>
        <w:rPr/>
        <w:t>military</w:t>
      </w:r>
      <w:r>
        <w:rPr>
          <w:spacing w:val="-7"/>
        </w:rPr>
        <w:t> </w:t>
      </w:r>
      <w:r>
        <w:rPr/>
        <w:t>facilities</w:t>
      </w:r>
      <w:r>
        <w:rPr>
          <w:spacing w:val="-7"/>
        </w:rPr>
        <w:t> </w:t>
      </w:r>
      <w:r>
        <w:rPr/>
        <w:t>are</w:t>
      </w:r>
      <w:r>
        <w:rPr>
          <w:spacing w:val="-7"/>
        </w:rPr>
        <w:t> </w:t>
      </w:r>
      <w:r>
        <w:rPr/>
        <w:t>seen</w:t>
      </w:r>
      <w:r>
        <w:rPr>
          <w:spacing w:val="-6"/>
        </w:rPr>
        <w:t> </w:t>
      </w:r>
      <w:r>
        <w:rPr/>
        <w:t>as</w:t>
      </w:r>
      <w:r>
        <w:rPr>
          <w:spacing w:val="-58"/>
        </w:rPr>
        <w:t> </w:t>
      </w:r>
      <w:r>
        <w:rPr/>
        <w:t>a</w:t>
      </w:r>
      <w:r>
        <w:rPr>
          <w:spacing w:val="-4"/>
        </w:rPr>
        <w:t> </w:t>
      </w:r>
      <w:r>
        <w:rPr/>
        <w:t>common</w:t>
      </w:r>
      <w:r>
        <w:rPr>
          <w:spacing w:val="-3"/>
        </w:rPr>
        <w:t> </w:t>
      </w:r>
      <w:r>
        <w:rPr/>
        <w:t>target</w:t>
      </w:r>
      <w:r>
        <w:rPr>
          <w:spacing w:val="-3"/>
        </w:rPr>
        <w:t> </w:t>
      </w:r>
      <w:r>
        <w:rPr/>
        <w:t>for</w:t>
      </w:r>
      <w:r>
        <w:rPr>
          <w:spacing w:val="-3"/>
        </w:rPr>
        <w:t> </w:t>
      </w:r>
      <w:r>
        <w:rPr/>
        <w:t>terrorist</w:t>
      </w:r>
      <w:r>
        <w:rPr>
          <w:spacing w:val="-2"/>
        </w:rPr>
        <w:t> </w:t>
      </w:r>
      <w:r>
        <w:rPr/>
        <w:t>attacks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thus,</w:t>
      </w:r>
      <w:r>
        <w:rPr>
          <w:spacing w:val="-4"/>
        </w:rPr>
        <w:t> </w:t>
      </w:r>
      <w:r>
        <w:rPr/>
        <w:t>design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construction</w:t>
      </w:r>
      <w:r>
        <w:rPr>
          <w:spacing w:val="-4"/>
        </w:rPr>
        <w:t> </w:t>
      </w:r>
      <w:r>
        <w:rPr/>
        <w:t>methods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prevent</w:t>
      </w:r>
      <w:r>
        <w:rPr>
          <w:spacing w:val="-58"/>
        </w:rPr>
        <w:t> </w:t>
      </w:r>
      <w:r>
        <w:rPr/>
        <w:t>attacks, mitigate damages, and enhance protection of personnel and equipment are a</w:t>
      </w:r>
      <w:r>
        <w:rPr>
          <w:spacing w:val="1"/>
        </w:rPr>
        <w:t> </w:t>
      </w:r>
      <w:r>
        <w:rPr/>
        <w:t>priority.</w:t>
      </w:r>
    </w:p>
    <w:p>
      <w:pPr>
        <w:spacing w:line="259" w:lineRule="auto" w:before="161"/>
        <w:ind w:left="440" w:right="258" w:firstLine="0"/>
        <w:jc w:val="both"/>
        <w:rPr>
          <w:i/>
          <w:sz w:val="24"/>
        </w:rPr>
      </w:pPr>
      <w:bookmarkStart w:name="2.6.1. How buildings are built for force" w:id="79"/>
      <w:bookmarkEnd w:id="79"/>
      <w:r>
        <w:rPr/>
      </w:r>
      <w:r>
        <w:rPr>
          <w:i/>
          <w:sz w:val="24"/>
        </w:rPr>
        <w:t>2.6.1. How buildings are built for force protection – Unified Facilities Criteria and threat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levels</w:t>
      </w:r>
    </w:p>
    <w:p>
      <w:pPr>
        <w:pStyle w:val="BodyText"/>
        <w:spacing w:before="8"/>
        <w:rPr>
          <w:i/>
          <w:sz w:val="20"/>
        </w:rPr>
      </w:pPr>
    </w:p>
    <w:p>
      <w:pPr>
        <w:pStyle w:val="BodyText"/>
        <w:spacing w:line="480" w:lineRule="auto"/>
        <w:ind w:left="439" w:right="257" w:firstLine="720"/>
        <w:jc w:val="both"/>
      </w:pPr>
      <w:r>
        <w:rPr/>
        <w:t>Unified</w:t>
      </w:r>
      <w:r>
        <w:rPr>
          <w:spacing w:val="1"/>
        </w:rPr>
        <w:t> </w:t>
      </w:r>
      <w:r>
        <w:rPr/>
        <w:t>Facilities</w:t>
      </w:r>
      <w:r>
        <w:rPr>
          <w:spacing w:val="1"/>
        </w:rPr>
        <w:t> </w:t>
      </w:r>
      <w:r>
        <w:rPr/>
        <w:t>Criteria</w:t>
      </w:r>
      <w:r>
        <w:rPr>
          <w:spacing w:val="1"/>
        </w:rPr>
        <w:t> </w:t>
      </w:r>
      <w:r>
        <w:rPr/>
        <w:t>(UFC)</w:t>
      </w:r>
      <w:r>
        <w:rPr>
          <w:spacing w:val="1"/>
        </w:rPr>
        <w:t> </w:t>
      </w:r>
      <w:r>
        <w:rPr/>
        <w:t>documents</w:t>
      </w:r>
      <w:r>
        <w:rPr>
          <w:spacing w:val="1"/>
        </w:rPr>
        <w:t> </w:t>
      </w:r>
      <w:r>
        <w:rPr/>
        <w:t>provide</w:t>
      </w:r>
      <w:r>
        <w:rPr>
          <w:spacing w:val="1"/>
        </w:rPr>
        <w:t> </w:t>
      </w:r>
      <w:r>
        <w:rPr/>
        <w:t>planning,</w:t>
      </w:r>
      <w:r>
        <w:rPr>
          <w:spacing w:val="1"/>
        </w:rPr>
        <w:t> </w:t>
      </w:r>
      <w:r>
        <w:rPr/>
        <w:t>design,</w:t>
      </w:r>
      <w:r>
        <w:rPr>
          <w:spacing w:val="1"/>
        </w:rPr>
        <w:t> </w:t>
      </w:r>
      <w:r>
        <w:rPr/>
        <w:t>construction,</w:t>
      </w:r>
      <w:r>
        <w:rPr>
          <w:spacing w:val="1"/>
        </w:rPr>
        <w:t> </w:t>
      </w:r>
      <w:r>
        <w:rPr/>
        <w:t>sustainment,</w:t>
      </w:r>
      <w:r>
        <w:rPr>
          <w:spacing w:val="1"/>
        </w:rPr>
        <w:t> </w:t>
      </w:r>
      <w:r>
        <w:rPr/>
        <w:t>restoration,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modernization</w:t>
      </w:r>
      <w:r>
        <w:rPr>
          <w:spacing w:val="1"/>
        </w:rPr>
        <w:t> </w:t>
      </w:r>
      <w:r>
        <w:rPr/>
        <w:t>standards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apply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-57"/>
        </w:rPr>
        <w:t> </w:t>
      </w:r>
      <w:r>
        <w:rPr/>
        <w:t>military</w:t>
      </w:r>
      <w:r>
        <w:rPr>
          <w:spacing w:val="-9"/>
        </w:rPr>
        <w:t> </w:t>
      </w:r>
      <w:r>
        <w:rPr/>
        <w:t>services,</w:t>
      </w:r>
      <w:r>
        <w:rPr>
          <w:spacing w:val="-8"/>
        </w:rPr>
        <w:t> </w:t>
      </w:r>
      <w:r>
        <w:rPr/>
        <w:t>Defense</w:t>
      </w:r>
      <w:r>
        <w:rPr>
          <w:spacing w:val="-8"/>
        </w:rPr>
        <w:t> </w:t>
      </w:r>
      <w:r>
        <w:rPr/>
        <w:t>agencies</w:t>
      </w:r>
      <w:r>
        <w:rPr>
          <w:spacing w:val="-7"/>
        </w:rPr>
        <w:t> </w:t>
      </w:r>
      <w:r>
        <w:rPr/>
        <w:t>and</w:t>
      </w:r>
      <w:r>
        <w:rPr>
          <w:spacing w:val="-8"/>
        </w:rPr>
        <w:t> </w:t>
      </w:r>
      <w:r>
        <w:rPr/>
        <w:t>DoD</w:t>
      </w:r>
      <w:r>
        <w:rPr>
          <w:spacing w:val="-8"/>
        </w:rPr>
        <w:t> </w:t>
      </w:r>
      <w:r>
        <w:rPr/>
        <w:t>field</w:t>
      </w:r>
      <w:r>
        <w:rPr>
          <w:spacing w:val="-7"/>
        </w:rPr>
        <w:t> </w:t>
      </w:r>
      <w:r>
        <w:rPr/>
        <w:t>activities.</w:t>
      </w:r>
      <w:r>
        <w:rPr>
          <w:spacing w:val="42"/>
        </w:rPr>
        <w:t> </w:t>
      </w:r>
      <w:r>
        <w:rPr/>
        <w:t>Some</w:t>
      </w:r>
      <w:r>
        <w:rPr>
          <w:spacing w:val="-8"/>
        </w:rPr>
        <w:t> </w:t>
      </w:r>
      <w:r>
        <w:rPr/>
        <w:t>UFC</w:t>
      </w:r>
      <w:r>
        <w:rPr>
          <w:spacing w:val="-7"/>
        </w:rPr>
        <w:t> </w:t>
      </w:r>
      <w:r>
        <w:rPr/>
        <w:t>publications,</w:t>
      </w:r>
      <w:r>
        <w:rPr>
          <w:spacing w:val="-8"/>
        </w:rPr>
        <w:t> </w:t>
      </w:r>
      <w:r>
        <w:rPr/>
        <w:t>like</w:t>
      </w:r>
      <w:r>
        <w:rPr>
          <w:spacing w:val="-58"/>
        </w:rPr>
        <w:t> </w:t>
      </w:r>
      <w:r>
        <w:rPr/>
        <w:t>those shown in </w:t>
      </w:r>
      <w:hyperlink w:history="true" w:anchor="_bookmark9">
        <w:r>
          <w:rPr/>
          <w:t>Table 2-7</w:t>
        </w:r>
      </w:hyperlink>
      <w:r>
        <w:rPr/>
        <w:t>, outline different antiterrorism, security, and force protection</w:t>
      </w:r>
      <w:r>
        <w:rPr>
          <w:spacing w:val="1"/>
        </w:rPr>
        <w:t> </w:t>
      </w:r>
      <w:r>
        <w:rPr/>
        <w:t>tactics and procedures.</w:t>
      </w:r>
      <w:r>
        <w:rPr>
          <w:spacing w:val="1"/>
        </w:rPr>
        <w:t> </w:t>
      </w:r>
      <w:r>
        <w:rPr/>
        <w:t>Planning for force protection measures is a deliberate process</w:t>
      </w:r>
      <w:r>
        <w:rPr>
          <w:spacing w:val="1"/>
        </w:rPr>
        <w:t> </w:t>
      </w:r>
      <w:r>
        <w:rPr/>
        <w:t>specified within the DoD Security Engineering Facilities Planning Manual.</w:t>
      </w:r>
      <w:r>
        <w:rPr>
          <w:spacing w:val="1"/>
        </w:rPr>
        <w:t> </w:t>
      </w:r>
      <w:r>
        <w:rPr/>
        <w:t>After the</w:t>
      </w:r>
      <w:r>
        <w:rPr>
          <w:spacing w:val="1"/>
        </w:rPr>
        <w:t> </w:t>
      </w:r>
      <w:r>
        <w:rPr/>
        <w:t>planning</w:t>
      </w:r>
      <w:r>
        <w:rPr>
          <w:spacing w:val="-12"/>
        </w:rPr>
        <w:t> </w:t>
      </w:r>
      <w:r>
        <w:rPr/>
        <w:t>team</w:t>
      </w:r>
      <w:r>
        <w:rPr>
          <w:spacing w:val="-12"/>
        </w:rPr>
        <w:t> </w:t>
      </w:r>
      <w:r>
        <w:rPr/>
        <w:t>is</w:t>
      </w:r>
      <w:r>
        <w:rPr>
          <w:spacing w:val="-11"/>
        </w:rPr>
        <w:t> </w:t>
      </w:r>
      <w:r>
        <w:rPr/>
        <w:t>formed,</w:t>
      </w:r>
      <w:r>
        <w:rPr>
          <w:spacing w:val="-10"/>
        </w:rPr>
        <w:t> </w:t>
      </w:r>
      <w:r>
        <w:rPr/>
        <w:t>critical</w:t>
      </w:r>
      <w:r>
        <w:rPr>
          <w:spacing w:val="-11"/>
        </w:rPr>
        <w:t> </w:t>
      </w:r>
      <w:r>
        <w:rPr/>
        <w:t>assets</w:t>
      </w:r>
      <w:r>
        <w:rPr>
          <w:spacing w:val="-11"/>
        </w:rPr>
        <w:t> </w:t>
      </w:r>
      <w:r>
        <w:rPr/>
        <w:t>are</w:t>
      </w:r>
      <w:r>
        <w:rPr>
          <w:spacing w:val="-11"/>
        </w:rPr>
        <w:t> </w:t>
      </w:r>
      <w:r>
        <w:rPr/>
        <w:t>identified</w:t>
      </w:r>
      <w:r>
        <w:rPr>
          <w:spacing w:val="-11"/>
        </w:rPr>
        <w:t> </w:t>
      </w:r>
      <w:r>
        <w:rPr/>
        <w:t>and</w:t>
      </w:r>
      <w:r>
        <w:rPr>
          <w:spacing w:val="-11"/>
        </w:rPr>
        <w:t> </w:t>
      </w:r>
      <w:r>
        <w:rPr/>
        <w:t>valued.</w:t>
      </w:r>
      <w:r>
        <w:rPr>
          <w:spacing w:val="38"/>
        </w:rPr>
        <w:t> </w:t>
      </w:r>
      <w:r>
        <w:rPr/>
        <w:t>The</w:t>
      </w:r>
      <w:r>
        <w:rPr>
          <w:spacing w:val="-11"/>
        </w:rPr>
        <w:t> </w:t>
      </w:r>
      <w:r>
        <w:rPr/>
        <w:t>threat</w:t>
      </w:r>
      <w:r>
        <w:rPr>
          <w:spacing w:val="-11"/>
        </w:rPr>
        <w:t> </w:t>
      </w:r>
      <w:r>
        <w:rPr/>
        <w:t>to</w:t>
      </w:r>
      <w:r>
        <w:rPr>
          <w:spacing w:val="-11"/>
        </w:rPr>
        <w:t> </w:t>
      </w:r>
      <w:r>
        <w:rPr/>
        <w:t>those</w:t>
      </w:r>
      <w:r>
        <w:rPr>
          <w:spacing w:val="-11"/>
        </w:rPr>
        <w:t> </w:t>
      </w:r>
      <w:r>
        <w:rPr/>
        <w:t>assets</w:t>
      </w:r>
      <w:r>
        <w:rPr>
          <w:spacing w:val="-58"/>
        </w:rPr>
        <w:t> </w:t>
      </w:r>
      <w:r>
        <w:rPr/>
        <w:t>is</w:t>
      </w:r>
      <w:r>
        <w:rPr>
          <w:spacing w:val="-6"/>
        </w:rPr>
        <w:t> </w:t>
      </w:r>
      <w:r>
        <w:rPr/>
        <w:t>then</w:t>
      </w:r>
      <w:r>
        <w:rPr>
          <w:spacing w:val="-6"/>
        </w:rPr>
        <w:t> </w:t>
      </w:r>
      <w:r>
        <w:rPr/>
        <w:t>determined</w:t>
      </w:r>
      <w:r>
        <w:rPr>
          <w:spacing w:val="-6"/>
        </w:rPr>
        <w:t> </w:t>
      </w:r>
      <w:r>
        <w:rPr/>
        <w:t>by</w:t>
      </w:r>
      <w:r>
        <w:rPr>
          <w:spacing w:val="-5"/>
        </w:rPr>
        <w:t> </w:t>
      </w:r>
      <w:r>
        <w:rPr/>
        <w:t>examining</w:t>
      </w:r>
      <w:r>
        <w:rPr>
          <w:spacing w:val="-6"/>
        </w:rPr>
        <w:t> </w:t>
      </w:r>
      <w:r>
        <w:rPr/>
        <w:t>aggressor</w:t>
      </w:r>
      <w:r>
        <w:rPr>
          <w:spacing w:val="-7"/>
        </w:rPr>
        <w:t> </w:t>
      </w:r>
      <w:r>
        <w:rPr/>
        <w:t>likelihood,</w:t>
      </w:r>
      <w:r>
        <w:rPr>
          <w:spacing w:val="-5"/>
        </w:rPr>
        <w:t> </w:t>
      </w:r>
      <w:r>
        <w:rPr/>
        <w:t>probable</w:t>
      </w:r>
      <w:r>
        <w:rPr>
          <w:spacing w:val="-6"/>
        </w:rPr>
        <w:t> </w:t>
      </w:r>
      <w:r>
        <w:rPr/>
        <w:t>tactics,</w:t>
      </w:r>
      <w:r>
        <w:rPr>
          <w:spacing w:val="-7"/>
        </w:rPr>
        <w:t> </w:t>
      </w:r>
      <w:r>
        <w:rPr/>
        <w:t>and</w:t>
      </w:r>
      <w:r>
        <w:rPr>
          <w:spacing w:val="-5"/>
        </w:rPr>
        <w:t> </w:t>
      </w:r>
      <w:r>
        <w:rPr/>
        <w:t>threat</w:t>
      </w:r>
      <w:r>
        <w:rPr>
          <w:spacing w:val="-7"/>
        </w:rPr>
        <w:t> </w:t>
      </w:r>
      <w:r>
        <w:rPr/>
        <w:t>severity</w:t>
      </w:r>
      <w:r>
        <w:rPr>
          <w:spacing w:val="-58"/>
        </w:rPr>
        <w:t> </w:t>
      </w:r>
      <w:r>
        <w:rPr/>
        <w:t>levels.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spacing w:before="79"/>
        <w:ind w:left="180" w:right="0" w:firstLine="0"/>
        <w:jc w:val="center"/>
        <w:rPr>
          <w:i/>
          <w:sz w:val="24"/>
        </w:rPr>
      </w:pPr>
      <w:bookmarkStart w:name="_bookmark9" w:id="80"/>
      <w:bookmarkEnd w:id="80"/>
      <w:r>
        <w:rPr/>
      </w:r>
      <w:r>
        <w:rPr>
          <w:i/>
          <w:sz w:val="24"/>
        </w:rPr>
        <w:t>Table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2-7.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Unified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Facilities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Criteria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titles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that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relate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force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protection.</w:t>
      </w:r>
    </w:p>
    <w:p>
      <w:pPr>
        <w:pStyle w:val="BodyText"/>
        <w:spacing w:before="5" w:after="1"/>
        <w:rPr>
          <w:i/>
          <w:sz w:val="17"/>
        </w:rPr>
      </w:pPr>
    </w:p>
    <w:tbl>
      <w:tblPr>
        <w:tblW w:w="0" w:type="auto"/>
        <w:jc w:val="left"/>
        <w:tblInd w:w="46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21"/>
        <w:gridCol w:w="3553"/>
        <w:gridCol w:w="2153"/>
        <w:gridCol w:w="1494"/>
      </w:tblGrid>
      <w:tr>
        <w:trPr>
          <w:trHeight w:val="299" w:hRule="atLeast"/>
        </w:trPr>
        <w:tc>
          <w:tcPr>
            <w:tcW w:w="1421" w:type="dxa"/>
            <w:tcBorders>
              <w:right w:val="nil"/>
            </w:tcBorders>
            <w:shd w:val="clear" w:color="auto" w:fill="DADADA"/>
          </w:tcPr>
          <w:p>
            <w:pPr>
              <w:pStyle w:val="TableParagraph"/>
              <w:spacing w:line="234" w:lineRule="exact" w:before="45"/>
              <w:ind w:left="107"/>
              <w:rPr>
                <w:sz w:val="22"/>
              </w:rPr>
            </w:pPr>
            <w:r>
              <w:rPr>
                <w:sz w:val="22"/>
              </w:rPr>
              <w:t>UFC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Number</w:t>
            </w:r>
          </w:p>
        </w:tc>
        <w:tc>
          <w:tcPr>
            <w:tcW w:w="3553" w:type="dxa"/>
            <w:tcBorders>
              <w:left w:val="nil"/>
              <w:right w:val="nil"/>
            </w:tcBorders>
            <w:shd w:val="clear" w:color="auto" w:fill="DADADA"/>
          </w:tcPr>
          <w:p>
            <w:pPr>
              <w:pStyle w:val="TableParagraph"/>
              <w:spacing w:line="234" w:lineRule="exact" w:before="45"/>
              <w:ind w:left="117"/>
              <w:rPr>
                <w:sz w:val="22"/>
              </w:rPr>
            </w:pPr>
            <w:r>
              <w:rPr>
                <w:sz w:val="22"/>
              </w:rPr>
              <w:t>Title</w:t>
            </w:r>
          </w:p>
        </w:tc>
        <w:tc>
          <w:tcPr>
            <w:tcW w:w="2153" w:type="dxa"/>
            <w:tcBorders>
              <w:left w:val="nil"/>
              <w:right w:val="nil"/>
            </w:tcBorders>
            <w:shd w:val="clear" w:color="auto" w:fill="DADADA"/>
          </w:tcPr>
          <w:p>
            <w:pPr>
              <w:pStyle w:val="TableParagraph"/>
              <w:spacing w:line="234" w:lineRule="exact" w:before="45"/>
              <w:ind w:left="116"/>
              <w:rPr>
                <w:sz w:val="22"/>
              </w:rPr>
            </w:pPr>
            <w:r>
              <w:rPr>
                <w:sz w:val="22"/>
              </w:rPr>
              <w:t>Distribution</w:t>
            </w:r>
          </w:p>
        </w:tc>
        <w:tc>
          <w:tcPr>
            <w:tcW w:w="1494" w:type="dxa"/>
            <w:tcBorders>
              <w:left w:val="nil"/>
            </w:tcBorders>
            <w:shd w:val="clear" w:color="auto" w:fill="DADADA"/>
          </w:tcPr>
          <w:p>
            <w:pPr>
              <w:pStyle w:val="TableParagraph"/>
              <w:spacing w:line="234" w:lineRule="exact" w:before="45"/>
              <w:ind w:left="117"/>
              <w:rPr>
                <w:sz w:val="22"/>
              </w:rPr>
            </w:pPr>
            <w:r>
              <w:rPr>
                <w:sz w:val="22"/>
              </w:rPr>
              <w:t>Release</w:t>
            </w:r>
          </w:p>
        </w:tc>
      </w:tr>
      <w:tr>
        <w:trPr>
          <w:trHeight w:val="507" w:hRule="atLeast"/>
        </w:trPr>
        <w:tc>
          <w:tcPr>
            <w:tcW w:w="1421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2" w:lineRule="exact"/>
              <w:ind w:left="107"/>
              <w:rPr>
                <w:sz w:val="22"/>
              </w:rPr>
            </w:pPr>
            <w:r>
              <w:rPr>
                <w:sz w:val="22"/>
              </w:rPr>
              <w:t>4-010-01</w:t>
            </w:r>
          </w:p>
        </w:tc>
        <w:tc>
          <w:tcPr>
            <w:tcW w:w="355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4" w:lineRule="exact"/>
              <w:ind w:left="112" w:right="795"/>
              <w:rPr>
                <w:sz w:val="22"/>
              </w:rPr>
            </w:pPr>
            <w:r>
              <w:rPr>
                <w:sz w:val="22"/>
              </w:rPr>
              <w:t>DoD Minimum Antiterrorism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Standards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for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Buildings</w:t>
            </w:r>
          </w:p>
        </w:tc>
        <w:tc>
          <w:tcPr>
            <w:tcW w:w="215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2" w:lineRule="exact"/>
              <w:ind w:left="111"/>
              <w:rPr>
                <w:sz w:val="22"/>
              </w:rPr>
            </w:pPr>
            <w:r>
              <w:rPr>
                <w:sz w:val="22"/>
              </w:rPr>
              <w:t>Public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release</w:t>
            </w:r>
          </w:p>
        </w:tc>
        <w:tc>
          <w:tcPr>
            <w:tcW w:w="149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2" w:lineRule="exact"/>
              <w:ind w:left="112"/>
              <w:rPr>
                <w:sz w:val="22"/>
              </w:rPr>
            </w:pPr>
            <w:r>
              <w:rPr>
                <w:sz w:val="22"/>
              </w:rPr>
              <w:t>Distribution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</w:t>
            </w:r>
          </w:p>
        </w:tc>
      </w:tr>
      <w:tr>
        <w:trPr>
          <w:trHeight w:val="504" w:hRule="atLeast"/>
        </w:trPr>
        <w:tc>
          <w:tcPr>
            <w:tcW w:w="142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0" w:lineRule="exact"/>
              <w:ind w:left="107"/>
              <w:rPr>
                <w:sz w:val="22"/>
              </w:rPr>
            </w:pPr>
            <w:r>
              <w:rPr>
                <w:sz w:val="22"/>
              </w:rPr>
              <w:t>4-010-02</w:t>
            </w:r>
          </w:p>
        </w:tc>
        <w:tc>
          <w:tcPr>
            <w:tcW w:w="3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4" w:lineRule="exact"/>
              <w:ind w:left="112" w:right="617"/>
              <w:rPr>
                <w:sz w:val="22"/>
              </w:rPr>
            </w:pPr>
            <w:r>
              <w:rPr>
                <w:sz w:val="22"/>
              </w:rPr>
              <w:t>DoD Minimum Antiterrorism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Standoff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Distance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for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Buildings</w:t>
            </w:r>
          </w:p>
        </w:tc>
        <w:tc>
          <w:tcPr>
            <w:tcW w:w="2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0" w:lineRule="exact"/>
              <w:ind w:left="111"/>
              <w:rPr>
                <w:sz w:val="22"/>
              </w:rPr>
            </w:pPr>
            <w:r>
              <w:rPr>
                <w:sz w:val="22"/>
              </w:rPr>
              <w:t>For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Official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Use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Only</w:t>
            </w:r>
          </w:p>
        </w:tc>
        <w:tc>
          <w:tcPr>
            <w:tcW w:w="1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0" w:lineRule="exact"/>
              <w:ind w:left="112"/>
              <w:rPr>
                <w:sz w:val="22"/>
              </w:rPr>
            </w:pPr>
            <w:r>
              <w:rPr>
                <w:sz w:val="22"/>
              </w:rPr>
              <w:t>Distribution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</w:t>
            </w:r>
          </w:p>
        </w:tc>
      </w:tr>
      <w:tr>
        <w:trPr>
          <w:trHeight w:val="755" w:hRule="atLeast"/>
        </w:trPr>
        <w:tc>
          <w:tcPr>
            <w:tcW w:w="142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8" w:lineRule="exact"/>
              <w:ind w:left="107"/>
              <w:rPr>
                <w:sz w:val="22"/>
              </w:rPr>
            </w:pPr>
            <w:r>
              <w:rPr>
                <w:sz w:val="22"/>
              </w:rPr>
              <w:t>4-010-03</w:t>
            </w:r>
          </w:p>
        </w:tc>
        <w:tc>
          <w:tcPr>
            <w:tcW w:w="3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8" w:lineRule="exact"/>
              <w:ind w:left="112"/>
              <w:rPr>
                <w:sz w:val="22"/>
              </w:rPr>
            </w:pPr>
            <w:r>
              <w:rPr>
                <w:sz w:val="22"/>
              </w:rPr>
              <w:t>Security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Engineering: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Physical</w:t>
            </w:r>
          </w:p>
          <w:p>
            <w:pPr>
              <w:pStyle w:val="TableParagraph"/>
              <w:spacing w:line="252" w:lineRule="exact"/>
              <w:ind w:left="112" w:right="496"/>
              <w:rPr>
                <w:sz w:val="22"/>
              </w:rPr>
            </w:pPr>
            <w:r>
              <w:rPr>
                <w:sz w:val="22"/>
              </w:rPr>
              <w:t>Security Measures for High-Risk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Personnel</w:t>
            </w:r>
          </w:p>
        </w:tc>
        <w:tc>
          <w:tcPr>
            <w:tcW w:w="2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8" w:lineRule="exact"/>
              <w:ind w:left="111"/>
              <w:rPr>
                <w:sz w:val="22"/>
              </w:rPr>
            </w:pPr>
            <w:r>
              <w:rPr>
                <w:sz w:val="22"/>
              </w:rPr>
              <w:t>Public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release</w:t>
            </w:r>
          </w:p>
        </w:tc>
        <w:tc>
          <w:tcPr>
            <w:tcW w:w="1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48" w:lineRule="exact"/>
              <w:ind w:left="112"/>
              <w:rPr>
                <w:sz w:val="22"/>
              </w:rPr>
            </w:pPr>
            <w:r>
              <w:rPr>
                <w:sz w:val="22"/>
              </w:rPr>
              <w:t>Distribution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</w:t>
            </w:r>
          </w:p>
        </w:tc>
      </w:tr>
      <w:tr>
        <w:trPr>
          <w:trHeight w:val="506" w:hRule="atLeast"/>
        </w:trPr>
        <w:tc>
          <w:tcPr>
            <w:tcW w:w="142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3" w:lineRule="exact"/>
              <w:ind w:left="107"/>
              <w:rPr>
                <w:sz w:val="22"/>
              </w:rPr>
            </w:pPr>
            <w:r>
              <w:rPr>
                <w:sz w:val="22"/>
              </w:rPr>
              <w:t>4-020-01</w:t>
            </w:r>
          </w:p>
        </w:tc>
        <w:tc>
          <w:tcPr>
            <w:tcW w:w="3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2" w:lineRule="exact"/>
              <w:ind w:left="112" w:right="218"/>
              <w:rPr>
                <w:sz w:val="22"/>
              </w:rPr>
            </w:pPr>
            <w:r>
              <w:rPr>
                <w:sz w:val="22"/>
              </w:rPr>
              <w:t>DoD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Security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Engineering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Facilities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Planning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Manual</w:t>
            </w:r>
          </w:p>
        </w:tc>
        <w:tc>
          <w:tcPr>
            <w:tcW w:w="2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3" w:lineRule="exact"/>
              <w:ind w:left="111"/>
              <w:rPr>
                <w:sz w:val="22"/>
              </w:rPr>
            </w:pPr>
            <w:r>
              <w:rPr>
                <w:sz w:val="22"/>
              </w:rPr>
              <w:t>Public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release</w:t>
            </w:r>
          </w:p>
        </w:tc>
        <w:tc>
          <w:tcPr>
            <w:tcW w:w="1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3" w:lineRule="exact"/>
              <w:ind w:left="112"/>
              <w:rPr>
                <w:sz w:val="22"/>
              </w:rPr>
            </w:pPr>
            <w:r>
              <w:rPr>
                <w:sz w:val="22"/>
              </w:rPr>
              <w:t>Distribution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</w:t>
            </w:r>
          </w:p>
        </w:tc>
      </w:tr>
      <w:tr>
        <w:trPr>
          <w:trHeight w:val="289" w:hRule="atLeast"/>
        </w:trPr>
        <w:tc>
          <w:tcPr>
            <w:tcW w:w="142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1" w:lineRule="exact"/>
              <w:ind w:left="107"/>
              <w:rPr>
                <w:sz w:val="22"/>
              </w:rPr>
            </w:pPr>
            <w:r>
              <w:rPr>
                <w:sz w:val="22"/>
              </w:rPr>
              <w:t>4-020-02FA</w:t>
            </w:r>
          </w:p>
        </w:tc>
        <w:tc>
          <w:tcPr>
            <w:tcW w:w="3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1" w:lineRule="exact"/>
              <w:ind w:left="112"/>
              <w:rPr>
                <w:sz w:val="22"/>
              </w:rPr>
            </w:pPr>
            <w:r>
              <w:rPr>
                <w:sz w:val="22"/>
              </w:rPr>
              <w:t>Security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Engineering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Concept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Design</w:t>
            </w:r>
          </w:p>
        </w:tc>
        <w:tc>
          <w:tcPr>
            <w:tcW w:w="2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1" w:lineRule="exact"/>
              <w:ind w:left="111"/>
              <w:rPr>
                <w:sz w:val="22"/>
              </w:rPr>
            </w:pPr>
            <w:r>
              <w:rPr>
                <w:sz w:val="22"/>
              </w:rPr>
              <w:t>For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Official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Use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Only</w:t>
            </w:r>
          </w:p>
        </w:tc>
        <w:tc>
          <w:tcPr>
            <w:tcW w:w="1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1" w:lineRule="exact"/>
              <w:ind w:left="112"/>
              <w:rPr>
                <w:sz w:val="22"/>
              </w:rPr>
            </w:pPr>
            <w:r>
              <w:rPr>
                <w:sz w:val="22"/>
              </w:rPr>
              <w:t>Distribution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</w:t>
            </w:r>
          </w:p>
        </w:tc>
      </w:tr>
      <w:tr>
        <w:trPr>
          <w:trHeight w:val="290" w:hRule="atLeast"/>
        </w:trPr>
        <w:tc>
          <w:tcPr>
            <w:tcW w:w="142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1" w:lineRule="exact"/>
              <w:ind w:left="107"/>
              <w:rPr>
                <w:sz w:val="22"/>
              </w:rPr>
            </w:pPr>
            <w:r>
              <w:rPr>
                <w:sz w:val="22"/>
              </w:rPr>
              <w:t>4-020-03FA</w:t>
            </w:r>
          </w:p>
        </w:tc>
        <w:tc>
          <w:tcPr>
            <w:tcW w:w="3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1" w:lineRule="exact"/>
              <w:ind w:left="112"/>
              <w:rPr>
                <w:sz w:val="22"/>
              </w:rPr>
            </w:pPr>
            <w:r>
              <w:rPr>
                <w:sz w:val="22"/>
              </w:rPr>
              <w:t>Security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Engineering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Final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Design</w:t>
            </w:r>
          </w:p>
        </w:tc>
        <w:tc>
          <w:tcPr>
            <w:tcW w:w="2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1" w:lineRule="exact"/>
              <w:ind w:left="111"/>
              <w:rPr>
                <w:sz w:val="22"/>
              </w:rPr>
            </w:pPr>
            <w:r>
              <w:rPr>
                <w:sz w:val="22"/>
              </w:rPr>
              <w:t>For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Official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Use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Only</w:t>
            </w:r>
          </w:p>
        </w:tc>
        <w:tc>
          <w:tcPr>
            <w:tcW w:w="1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1" w:lineRule="exact"/>
              <w:ind w:left="112"/>
              <w:rPr>
                <w:sz w:val="22"/>
              </w:rPr>
            </w:pPr>
            <w:r>
              <w:rPr>
                <w:sz w:val="22"/>
              </w:rPr>
              <w:t>Distribution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</w:t>
            </w:r>
          </w:p>
        </w:tc>
      </w:tr>
      <w:tr>
        <w:trPr>
          <w:trHeight w:val="505" w:hRule="atLeast"/>
        </w:trPr>
        <w:tc>
          <w:tcPr>
            <w:tcW w:w="142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1" w:lineRule="exact"/>
              <w:ind w:left="107"/>
              <w:rPr>
                <w:sz w:val="22"/>
              </w:rPr>
            </w:pPr>
            <w:r>
              <w:rPr>
                <w:sz w:val="22"/>
              </w:rPr>
              <w:t>4-023-07</w:t>
            </w:r>
          </w:p>
        </w:tc>
        <w:tc>
          <w:tcPr>
            <w:tcW w:w="3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4" w:lineRule="exact"/>
              <w:ind w:left="112" w:right="81"/>
              <w:rPr>
                <w:sz w:val="22"/>
              </w:rPr>
            </w:pPr>
            <w:r>
              <w:rPr>
                <w:sz w:val="22"/>
              </w:rPr>
              <w:t>Design to Resist Direct Fire Weapons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Effects</w:t>
            </w:r>
          </w:p>
        </w:tc>
        <w:tc>
          <w:tcPr>
            <w:tcW w:w="2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1" w:lineRule="exact"/>
              <w:ind w:left="111"/>
              <w:rPr>
                <w:sz w:val="22"/>
              </w:rPr>
            </w:pPr>
            <w:r>
              <w:rPr>
                <w:sz w:val="22"/>
              </w:rPr>
              <w:t>Public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release</w:t>
            </w:r>
          </w:p>
        </w:tc>
        <w:tc>
          <w:tcPr>
            <w:tcW w:w="1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1" w:lineRule="exact"/>
              <w:ind w:left="112"/>
              <w:rPr>
                <w:sz w:val="22"/>
              </w:rPr>
            </w:pPr>
            <w:r>
              <w:rPr>
                <w:sz w:val="22"/>
              </w:rPr>
              <w:t>Distribution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</w:t>
            </w:r>
          </w:p>
        </w:tc>
      </w:tr>
      <w:tr>
        <w:trPr>
          <w:trHeight w:val="578" w:hRule="atLeast"/>
        </w:trPr>
        <w:tc>
          <w:tcPr>
            <w:tcW w:w="142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9" w:lineRule="exact"/>
              <w:ind w:left="107"/>
              <w:rPr>
                <w:sz w:val="22"/>
              </w:rPr>
            </w:pPr>
            <w:r>
              <w:rPr>
                <w:sz w:val="22"/>
              </w:rPr>
              <w:t>4-022-01</w:t>
            </w:r>
          </w:p>
        </w:tc>
        <w:tc>
          <w:tcPr>
            <w:tcW w:w="3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12" w:right="215"/>
              <w:rPr>
                <w:sz w:val="22"/>
              </w:rPr>
            </w:pPr>
            <w:r>
              <w:rPr>
                <w:sz w:val="22"/>
              </w:rPr>
              <w:t>Security Engineering: Entry Control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Facilities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Access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Control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Points</w:t>
            </w:r>
          </w:p>
        </w:tc>
        <w:tc>
          <w:tcPr>
            <w:tcW w:w="2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9" w:lineRule="exact"/>
              <w:ind w:left="111"/>
              <w:rPr>
                <w:sz w:val="22"/>
              </w:rPr>
            </w:pPr>
            <w:r>
              <w:rPr>
                <w:sz w:val="22"/>
              </w:rPr>
              <w:t>Public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release</w:t>
            </w:r>
          </w:p>
        </w:tc>
        <w:tc>
          <w:tcPr>
            <w:tcW w:w="1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49" w:lineRule="exact"/>
              <w:ind w:left="112"/>
              <w:rPr>
                <w:sz w:val="22"/>
              </w:rPr>
            </w:pPr>
            <w:r>
              <w:rPr>
                <w:sz w:val="22"/>
              </w:rPr>
              <w:t>Distribution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</w:t>
            </w:r>
          </w:p>
        </w:tc>
      </w:tr>
      <w:tr>
        <w:trPr>
          <w:trHeight w:val="759" w:hRule="atLeast"/>
        </w:trPr>
        <w:tc>
          <w:tcPr>
            <w:tcW w:w="142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1" w:lineRule="exact"/>
              <w:ind w:left="107"/>
              <w:rPr>
                <w:sz w:val="22"/>
              </w:rPr>
            </w:pPr>
            <w:r>
              <w:rPr>
                <w:sz w:val="22"/>
              </w:rPr>
              <w:t>3-340-01</w:t>
            </w:r>
          </w:p>
        </w:tc>
        <w:tc>
          <w:tcPr>
            <w:tcW w:w="3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4" w:lineRule="exact"/>
              <w:ind w:left="112" w:right="178"/>
              <w:rPr>
                <w:sz w:val="22"/>
              </w:rPr>
            </w:pPr>
            <w:r>
              <w:rPr>
                <w:sz w:val="22"/>
              </w:rPr>
              <w:t>Design and Analysis of Hardened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Structures to Conventional Weapons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Effects</w:t>
            </w:r>
          </w:p>
        </w:tc>
        <w:tc>
          <w:tcPr>
            <w:tcW w:w="2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1" w:lineRule="exact"/>
              <w:ind w:left="111"/>
              <w:rPr>
                <w:sz w:val="22"/>
              </w:rPr>
            </w:pPr>
            <w:r>
              <w:rPr>
                <w:sz w:val="22"/>
              </w:rPr>
              <w:t>For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Official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Use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Only</w:t>
            </w:r>
          </w:p>
        </w:tc>
        <w:tc>
          <w:tcPr>
            <w:tcW w:w="1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1" w:lineRule="exact"/>
              <w:ind w:left="112"/>
              <w:rPr>
                <w:sz w:val="22"/>
              </w:rPr>
            </w:pPr>
            <w:r>
              <w:rPr>
                <w:sz w:val="22"/>
              </w:rPr>
              <w:t>Distribution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</w:t>
            </w:r>
          </w:p>
        </w:tc>
      </w:tr>
      <w:tr>
        <w:trPr>
          <w:trHeight w:val="503" w:hRule="atLeast"/>
        </w:trPr>
        <w:tc>
          <w:tcPr>
            <w:tcW w:w="1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9" w:lineRule="exact"/>
              <w:ind w:left="112"/>
              <w:rPr>
                <w:sz w:val="22"/>
              </w:rPr>
            </w:pPr>
            <w:r>
              <w:rPr>
                <w:sz w:val="22"/>
              </w:rPr>
              <w:t>3-340-02</w:t>
            </w:r>
          </w:p>
        </w:tc>
        <w:tc>
          <w:tcPr>
            <w:tcW w:w="3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9" w:lineRule="exact"/>
              <w:ind w:left="112"/>
              <w:rPr>
                <w:sz w:val="22"/>
              </w:rPr>
            </w:pPr>
            <w:r>
              <w:rPr>
                <w:sz w:val="22"/>
              </w:rPr>
              <w:t>Structures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Resist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Effect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</w:t>
            </w:r>
          </w:p>
          <w:p>
            <w:pPr>
              <w:pStyle w:val="TableParagraph"/>
              <w:spacing w:line="234" w:lineRule="exact"/>
              <w:ind w:left="112"/>
              <w:rPr>
                <w:sz w:val="22"/>
              </w:rPr>
            </w:pPr>
            <w:r>
              <w:rPr>
                <w:sz w:val="22"/>
              </w:rPr>
              <w:t>Accidental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Explosions</w:t>
            </w:r>
          </w:p>
        </w:tc>
        <w:tc>
          <w:tcPr>
            <w:tcW w:w="2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9" w:lineRule="exact"/>
              <w:ind w:left="111"/>
              <w:rPr>
                <w:sz w:val="22"/>
              </w:rPr>
            </w:pPr>
            <w:r>
              <w:rPr>
                <w:sz w:val="22"/>
              </w:rPr>
              <w:t>Public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release</w:t>
            </w:r>
          </w:p>
        </w:tc>
        <w:tc>
          <w:tcPr>
            <w:tcW w:w="1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9" w:lineRule="exact"/>
              <w:ind w:left="112"/>
              <w:rPr>
                <w:sz w:val="22"/>
              </w:rPr>
            </w:pPr>
            <w:r>
              <w:rPr>
                <w:sz w:val="22"/>
              </w:rPr>
              <w:t>Distribution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</w:t>
            </w:r>
          </w:p>
        </w:tc>
      </w:tr>
      <w:tr>
        <w:trPr>
          <w:trHeight w:val="665" w:hRule="atLeast"/>
        </w:trPr>
        <w:tc>
          <w:tcPr>
            <w:tcW w:w="8621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1" w:lineRule="exact"/>
              <w:ind w:left="112"/>
              <w:rPr>
                <w:sz w:val="22"/>
              </w:rPr>
            </w:pPr>
            <w:r>
              <w:rPr>
                <w:sz w:val="22"/>
              </w:rPr>
              <w:t>Distribution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A: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Approved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for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public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release,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unlimited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distribution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authorized.</w:t>
            </w:r>
          </w:p>
          <w:p>
            <w:pPr>
              <w:pStyle w:val="TableParagraph"/>
              <w:ind w:left="112"/>
              <w:rPr>
                <w:sz w:val="22"/>
              </w:rPr>
            </w:pPr>
            <w:r>
              <w:rPr>
                <w:sz w:val="22"/>
              </w:rPr>
              <w:t>Distribution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C: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Distribution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authorized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U.S.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Government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Agencies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their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contractors.</w:t>
            </w:r>
          </w:p>
        </w:tc>
      </w:tr>
    </w:tbl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205"/>
        <w:ind w:left="440" w:right="257" w:firstLine="720"/>
        <w:jc w:val="both"/>
      </w:pPr>
      <w:r>
        <w:rPr/>
        <w:t>The threat severity levels indicate the tools, weapons, and explosives associated</w:t>
      </w:r>
      <w:r>
        <w:rPr>
          <w:spacing w:val="1"/>
        </w:rPr>
        <w:t> </w:t>
      </w:r>
      <w:r>
        <w:rPr/>
        <w:t>with the likely tactics to be used based on a host of intelligence information. Designations</w:t>
      </w:r>
      <w:r>
        <w:rPr>
          <w:spacing w:val="-57"/>
        </w:rPr>
        <w:t> </w:t>
      </w:r>
      <w:r>
        <w:rPr/>
        <w:t>for threat severity level include very low, low, medium, high or very high.</w:t>
      </w:r>
      <w:r>
        <w:rPr>
          <w:spacing w:val="1"/>
        </w:rPr>
        <w:t> </w:t>
      </w:r>
      <w:r>
        <w:rPr/>
        <w:t>Protective</w:t>
      </w:r>
      <w:r>
        <w:rPr>
          <w:spacing w:val="1"/>
        </w:rPr>
        <w:t> </w:t>
      </w:r>
      <w:r>
        <w:rPr/>
        <w:t>systems are designed for the threat severity level, or the design basis threat.</w:t>
      </w:r>
      <w:r>
        <w:rPr>
          <w:spacing w:val="1"/>
        </w:rPr>
        <w:t> </w:t>
      </w:r>
      <w:r>
        <w:rPr/>
        <w:t>Threat</w:t>
      </w:r>
      <w:r>
        <w:rPr>
          <w:spacing w:val="1"/>
        </w:rPr>
        <w:t> </w:t>
      </w:r>
      <w:r>
        <w:rPr/>
        <w:t>parameters combine the aggressor’s likely tactic and threat level to identify possible</w:t>
      </w:r>
      <w:r>
        <w:rPr>
          <w:spacing w:val="1"/>
        </w:rPr>
        <w:t> </w:t>
      </w:r>
      <w:r>
        <w:rPr/>
        <w:t>weapons types, tools or delivery methods which the facility needs to designed to handle,</w:t>
      </w:r>
      <w:r>
        <w:rPr>
          <w:spacing w:val="1"/>
        </w:rPr>
        <w:t> </w:t>
      </w:r>
      <w:r>
        <w:rPr/>
        <w:t>as</w:t>
      </w:r>
      <w:r>
        <w:rPr>
          <w:spacing w:val="-1"/>
        </w:rPr>
        <w:t> </w:t>
      </w:r>
      <w:r>
        <w:rPr/>
        <w:t>shown in</w:t>
      </w:r>
      <w:r>
        <w:rPr>
          <w:spacing w:val="-2"/>
        </w:rPr>
        <w:t> </w:t>
      </w:r>
      <w:hyperlink w:history="true" w:anchor="_bookmark10">
        <w:r>
          <w:rPr/>
          <w:t>Table 2-8</w:t>
        </w:r>
      </w:hyperlink>
      <w:r>
        <w:rPr/>
        <w:t>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spacing w:before="79"/>
        <w:ind w:left="526" w:right="0" w:firstLine="0"/>
        <w:jc w:val="left"/>
        <w:rPr>
          <w:i/>
          <w:sz w:val="24"/>
        </w:rPr>
      </w:pPr>
      <w:bookmarkStart w:name="_bookmark10" w:id="81"/>
      <w:bookmarkEnd w:id="81"/>
      <w:r>
        <w:rPr/>
      </w:r>
      <w:r>
        <w:rPr>
          <w:i/>
          <w:sz w:val="24"/>
        </w:rPr>
        <w:t>Table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2-8.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Examples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Threat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Parameters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outlined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security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planning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UFC[8].</w:t>
      </w:r>
    </w:p>
    <w:p>
      <w:pPr>
        <w:pStyle w:val="BodyText"/>
        <w:spacing w:before="5" w:after="1"/>
        <w:rPr>
          <w:i/>
          <w:sz w:val="17"/>
        </w:rPr>
      </w:pPr>
    </w:p>
    <w:tbl>
      <w:tblPr>
        <w:tblW w:w="0" w:type="auto"/>
        <w:jc w:val="left"/>
        <w:tblInd w:w="5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62"/>
        <w:gridCol w:w="1164"/>
        <w:gridCol w:w="3666"/>
        <w:gridCol w:w="2520"/>
      </w:tblGrid>
      <w:tr>
        <w:trPr>
          <w:trHeight w:val="757" w:hRule="atLeast"/>
        </w:trPr>
        <w:tc>
          <w:tcPr>
            <w:tcW w:w="1162" w:type="dxa"/>
            <w:shd w:val="clear" w:color="auto" w:fill="DADADA"/>
          </w:tcPr>
          <w:p>
            <w:pPr>
              <w:pStyle w:val="TableParagraph"/>
              <w:spacing w:before="4"/>
              <w:rPr>
                <w:i/>
                <w:sz w:val="20"/>
              </w:rPr>
            </w:pPr>
          </w:p>
          <w:p>
            <w:pPr>
              <w:pStyle w:val="TableParagraph"/>
              <w:spacing w:line="252" w:lineRule="exact"/>
              <w:ind w:left="309" w:right="105" w:hanging="178"/>
              <w:rPr>
                <w:sz w:val="22"/>
              </w:rPr>
            </w:pPr>
            <w:r>
              <w:rPr>
                <w:spacing w:val="-1"/>
                <w:sz w:val="22"/>
              </w:rPr>
              <w:t>Aggressor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Tactic</w:t>
            </w:r>
          </w:p>
        </w:tc>
        <w:tc>
          <w:tcPr>
            <w:tcW w:w="1164" w:type="dxa"/>
            <w:shd w:val="clear" w:color="auto" w:fill="DADADA"/>
          </w:tcPr>
          <w:p>
            <w:pPr>
              <w:pStyle w:val="TableParagraph"/>
              <w:spacing w:line="251" w:lineRule="exact"/>
              <w:ind w:left="348" w:hanging="75"/>
              <w:rPr>
                <w:sz w:val="22"/>
              </w:rPr>
            </w:pPr>
            <w:r>
              <w:rPr>
                <w:sz w:val="22"/>
              </w:rPr>
              <w:t>Design</w:t>
            </w:r>
          </w:p>
          <w:p>
            <w:pPr>
              <w:pStyle w:val="TableParagraph"/>
              <w:spacing w:line="252" w:lineRule="exact"/>
              <w:ind w:left="299" w:right="266" w:firstLine="49"/>
              <w:rPr>
                <w:sz w:val="22"/>
              </w:rPr>
            </w:pPr>
            <w:r>
              <w:rPr>
                <w:sz w:val="22"/>
              </w:rPr>
              <w:t>Basis</w:t>
            </w:r>
            <w:r>
              <w:rPr>
                <w:spacing w:val="-52"/>
                <w:sz w:val="22"/>
              </w:rPr>
              <w:t> </w:t>
            </w:r>
            <w:r>
              <w:rPr>
                <w:spacing w:val="-1"/>
                <w:sz w:val="22"/>
              </w:rPr>
              <w:t>Threat</w:t>
            </w:r>
          </w:p>
        </w:tc>
        <w:tc>
          <w:tcPr>
            <w:tcW w:w="3666" w:type="dxa"/>
            <w:shd w:val="clear" w:color="auto" w:fill="DADAD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9"/>
              <w:rPr>
                <w:i/>
                <w:sz w:val="19"/>
              </w:rPr>
            </w:pPr>
          </w:p>
          <w:p>
            <w:pPr>
              <w:pStyle w:val="TableParagraph"/>
              <w:spacing w:line="234" w:lineRule="exact"/>
              <w:ind w:left="1407" w:right="1389"/>
              <w:jc w:val="center"/>
              <w:rPr>
                <w:sz w:val="22"/>
              </w:rPr>
            </w:pPr>
            <w:r>
              <w:rPr>
                <w:sz w:val="22"/>
              </w:rPr>
              <w:t>Weapons</w:t>
            </w:r>
          </w:p>
        </w:tc>
        <w:tc>
          <w:tcPr>
            <w:tcW w:w="2520" w:type="dxa"/>
            <w:shd w:val="clear" w:color="auto" w:fill="DADAD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9"/>
              <w:rPr>
                <w:i/>
                <w:sz w:val="19"/>
              </w:rPr>
            </w:pPr>
          </w:p>
          <w:p>
            <w:pPr>
              <w:pStyle w:val="TableParagraph"/>
              <w:spacing w:line="234" w:lineRule="exact"/>
              <w:ind w:left="112"/>
              <w:rPr>
                <w:sz w:val="22"/>
              </w:rPr>
            </w:pPr>
            <w:r>
              <w:rPr>
                <w:sz w:val="22"/>
              </w:rPr>
              <w:t>Tools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Delivery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Method</w:t>
            </w:r>
          </w:p>
        </w:tc>
      </w:tr>
      <w:tr>
        <w:trPr>
          <w:trHeight w:val="312" w:hRule="atLeast"/>
        </w:trPr>
        <w:tc>
          <w:tcPr>
            <w:tcW w:w="1162" w:type="dxa"/>
            <w:vMerge w:val="restart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36"/>
              <w:ind w:left="126" w:right="109"/>
              <w:jc w:val="center"/>
              <w:rPr>
                <w:sz w:val="22"/>
              </w:rPr>
            </w:pPr>
            <w:r>
              <w:rPr>
                <w:sz w:val="22"/>
              </w:rPr>
              <w:t>Moving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Stationary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Vehicle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Devices</w:t>
            </w:r>
          </w:p>
        </w:tc>
        <w:tc>
          <w:tcPr>
            <w:tcW w:w="1164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35"/>
              <w:ind w:left="107"/>
              <w:rPr>
                <w:sz w:val="22"/>
              </w:rPr>
            </w:pPr>
            <w:r>
              <w:rPr>
                <w:sz w:val="22"/>
              </w:rPr>
              <w:t>Very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High</w:t>
            </w:r>
          </w:p>
        </w:tc>
        <w:tc>
          <w:tcPr>
            <w:tcW w:w="3666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35"/>
              <w:ind w:left="107"/>
              <w:rPr>
                <w:sz w:val="22"/>
              </w:rPr>
            </w:pPr>
            <w:r>
              <w:rPr>
                <w:sz w:val="22"/>
              </w:rPr>
              <w:t>2000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kg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(4400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lb)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TNT,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Fuel</w:t>
            </w:r>
          </w:p>
        </w:tc>
        <w:tc>
          <w:tcPr>
            <w:tcW w:w="2520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35"/>
              <w:ind w:left="107"/>
              <w:rPr>
                <w:sz w:val="22"/>
              </w:rPr>
            </w:pPr>
            <w:r>
              <w:rPr>
                <w:sz w:val="22"/>
              </w:rPr>
              <w:t>7000kg/~15,000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lb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truck</w:t>
            </w:r>
          </w:p>
        </w:tc>
      </w:tr>
      <w:tr>
        <w:trPr>
          <w:trHeight w:val="290" w:hRule="atLeast"/>
        </w:trPr>
        <w:tc>
          <w:tcPr>
            <w:tcW w:w="1162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6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14"/>
              <w:ind w:left="107"/>
              <w:rPr>
                <w:sz w:val="22"/>
              </w:rPr>
            </w:pPr>
            <w:r>
              <w:rPr>
                <w:sz w:val="22"/>
              </w:rPr>
              <w:t>High</w:t>
            </w:r>
          </w:p>
        </w:tc>
        <w:tc>
          <w:tcPr>
            <w:tcW w:w="3666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14"/>
              <w:ind w:left="107"/>
              <w:rPr>
                <w:sz w:val="22"/>
              </w:rPr>
            </w:pPr>
            <w:r>
              <w:rPr>
                <w:sz w:val="22"/>
              </w:rPr>
              <w:t>500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kg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(100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lb)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TNT,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Fuel</w:t>
            </w:r>
          </w:p>
        </w:tc>
        <w:tc>
          <w:tcPr>
            <w:tcW w:w="252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14"/>
              <w:ind w:left="107"/>
              <w:rPr>
                <w:sz w:val="22"/>
              </w:rPr>
            </w:pPr>
            <w:r>
              <w:rPr>
                <w:sz w:val="22"/>
              </w:rPr>
              <w:t>2500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kg/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~5500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lb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truck</w:t>
            </w:r>
          </w:p>
        </w:tc>
      </w:tr>
      <w:tr>
        <w:trPr>
          <w:trHeight w:val="289" w:hRule="atLeast"/>
        </w:trPr>
        <w:tc>
          <w:tcPr>
            <w:tcW w:w="1162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6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13"/>
              <w:ind w:left="107"/>
              <w:rPr>
                <w:sz w:val="22"/>
              </w:rPr>
            </w:pPr>
            <w:r>
              <w:rPr>
                <w:sz w:val="22"/>
              </w:rPr>
              <w:t>Medium</w:t>
            </w:r>
          </w:p>
        </w:tc>
        <w:tc>
          <w:tcPr>
            <w:tcW w:w="3666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13"/>
              <w:ind w:left="107"/>
              <w:rPr>
                <w:sz w:val="22"/>
              </w:rPr>
            </w:pPr>
            <w:r>
              <w:rPr>
                <w:sz w:val="22"/>
              </w:rPr>
              <w:t>250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kg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(550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lb)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TNT,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Fuel</w:t>
            </w:r>
          </w:p>
        </w:tc>
        <w:tc>
          <w:tcPr>
            <w:tcW w:w="252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13"/>
              <w:ind w:left="107"/>
              <w:rPr>
                <w:sz w:val="22"/>
              </w:rPr>
            </w:pPr>
            <w:r>
              <w:rPr>
                <w:sz w:val="22"/>
              </w:rPr>
              <w:t>1800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kg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/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~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4000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lb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car</w:t>
            </w:r>
          </w:p>
        </w:tc>
      </w:tr>
      <w:tr>
        <w:trPr>
          <w:trHeight w:val="295" w:hRule="atLeast"/>
        </w:trPr>
        <w:tc>
          <w:tcPr>
            <w:tcW w:w="1162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6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13"/>
              <w:ind w:left="107"/>
              <w:rPr>
                <w:sz w:val="22"/>
              </w:rPr>
            </w:pPr>
            <w:r>
              <w:rPr>
                <w:sz w:val="22"/>
              </w:rPr>
              <w:t>Low</w:t>
            </w:r>
          </w:p>
        </w:tc>
        <w:tc>
          <w:tcPr>
            <w:tcW w:w="3666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13"/>
              <w:ind w:left="107"/>
              <w:rPr>
                <w:sz w:val="22"/>
              </w:rPr>
            </w:pPr>
            <w:r>
              <w:rPr>
                <w:sz w:val="22"/>
              </w:rPr>
              <w:t>100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kg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(220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lb)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TNT</w:t>
            </w:r>
          </w:p>
        </w:tc>
        <w:tc>
          <w:tcPr>
            <w:tcW w:w="252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13"/>
              <w:ind w:left="107"/>
              <w:rPr>
                <w:sz w:val="22"/>
              </w:rPr>
            </w:pPr>
            <w:r>
              <w:rPr>
                <w:sz w:val="22"/>
              </w:rPr>
              <w:t>1800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kg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/~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4000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lb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car</w:t>
            </w:r>
          </w:p>
        </w:tc>
      </w:tr>
      <w:tr>
        <w:trPr>
          <w:trHeight w:val="273" w:hRule="atLeast"/>
        </w:trPr>
        <w:tc>
          <w:tcPr>
            <w:tcW w:w="1162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6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34" w:lineRule="exact" w:before="19"/>
              <w:ind w:left="107"/>
              <w:rPr>
                <w:sz w:val="22"/>
              </w:rPr>
            </w:pPr>
            <w:r>
              <w:rPr>
                <w:sz w:val="22"/>
              </w:rPr>
              <w:t>Very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Low</w:t>
            </w:r>
          </w:p>
        </w:tc>
        <w:tc>
          <w:tcPr>
            <w:tcW w:w="3666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34" w:lineRule="exact" w:before="19"/>
              <w:ind w:left="107"/>
              <w:rPr>
                <w:sz w:val="22"/>
              </w:rPr>
            </w:pPr>
            <w:r>
              <w:rPr>
                <w:sz w:val="22"/>
              </w:rPr>
              <w:t>25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kg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(55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lb)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TNT</w:t>
            </w:r>
          </w:p>
        </w:tc>
        <w:tc>
          <w:tcPr>
            <w:tcW w:w="252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34" w:lineRule="exact" w:before="19"/>
              <w:ind w:left="107"/>
              <w:rPr>
                <w:sz w:val="22"/>
              </w:rPr>
            </w:pPr>
            <w:r>
              <w:rPr>
                <w:sz w:val="22"/>
              </w:rPr>
              <w:t>1800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kg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/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~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4000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lb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car</w:t>
            </w:r>
          </w:p>
        </w:tc>
      </w:tr>
      <w:tr>
        <w:trPr>
          <w:trHeight w:val="948" w:hRule="atLeast"/>
        </w:trPr>
        <w:tc>
          <w:tcPr>
            <w:tcW w:w="116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6"/>
              <w:rPr>
                <w:i/>
                <w:sz w:val="31"/>
              </w:rPr>
            </w:pPr>
          </w:p>
          <w:p>
            <w:pPr>
              <w:pStyle w:val="TableParagraph"/>
              <w:ind w:left="146" w:right="128" w:hanging="2"/>
              <w:jc w:val="center"/>
              <w:rPr>
                <w:sz w:val="22"/>
              </w:rPr>
            </w:pPr>
            <w:r>
              <w:rPr>
                <w:sz w:val="22"/>
              </w:rPr>
              <w:t>Hand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1"/>
                <w:sz w:val="22"/>
              </w:rPr>
              <w:t>Delivered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Devices</w:t>
            </w:r>
          </w:p>
        </w:tc>
        <w:tc>
          <w:tcPr>
            <w:tcW w:w="1164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line="252" w:lineRule="exact"/>
              <w:ind w:left="360"/>
              <w:rPr>
                <w:sz w:val="22"/>
              </w:rPr>
            </w:pPr>
            <w:r>
              <w:rPr>
                <w:sz w:val="22"/>
              </w:rPr>
              <w:t>High</w:t>
            </w:r>
          </w:p>
        </w:tc>
        <w:tc>
          <w:tcPr>
            <w:tcW w:w="3666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ind w:left="107" w:right="79"/>
              <w:rPr>
                <w:sz w:val="22"/>
              </w:rPr>
            </w:pPr>
            <w:r>
              <w:rPr>
                <w:sz w:val="22"/>
              </w:rPr>
              <w:t>IID, IED (up to 25 kg/55 lb TNT)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&amp;hand grenades (Mail bomb limited to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1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kg/2.2 lb TNT)</w:t>
            </w:r>
          </w:p>
        </w:tc>
        <w:tc>
          <w:tcPr>
            <w:tcW w:w="252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6"/>
              <w:rPr>
                <w:i/>
                <w:sz w:val="29"/>
              </w:rPr>
            </w:pPr>
          </w:p>
          <w:p>
            <w:pPr>
              <w:pStyle w:val="TableParagraph"/>
              <w:ind w:left="1000" w:right="982"/>
              <w:jc w:val="center"/>
              <w:rPr>
                <w:sz w:val="22"/>
              </w:rPr>
            </w:pPr>
            <w:r>
              <w:rPr>
                <w:sz w:val="22"/>
              </w:rPr>
              <w:t>None</w:t>
            </w:r>
          </w:p>
        </w:tc>
      </w:tr>
      <w:tr>
        <w:trPr>
          <w:trHeight w:val="724" w:hRule="atLeast"/>
        </w:trPr>
        <w:tc>
          <w:tcPr>
            <w:tcW w:w="1162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6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181"/>
              <w:ind w:left="207"/>
              <w:rPr>
                <w:sz w:val="22"/>
              </w:rPr>
            </w:pPr>
            <w:r>
              <w:rPr>
                <w:sz w:val="22"/>
              </w:rPr>
              <w:t>Medium</w:t>
            </w:r>
          </w:p>
        </w:tc>
        <w:tc>
          <w:tcPr>
            <w:tcW w:w="3666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181"/>
              <w:ind w:left="107" w:right="378"/>
              <w:rPr>
                <w:sz w:val="22"/>
              </w:rPr>
            </w:pPr>
            <w:r>
              <w:rPr>
                <w:sz w:val="22"/>
              </w:rPr>
              <w:t>IID, IED (up to 1 kg/2.2 lb TNT) &amp;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hand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grenades</w:t>
            </w:r>
          </w:p>
        </w:tc>
        <w:tc>
          <w:tcPr>
            <w:tcW w:w="252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28" w:hRule="atLeast"/>
        </w:trPr>
        <w:tc>
          <w:tcPr>
            <w:tcW w:w="1162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6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27"/>
              <w:ind w:left="379"/>
              <w:rPr>
                <w:sz w:val="22"/>
              </w:rPr>
            </w:pPr>
            <w:r>
              <w:rPr>
                <w:sz w:val="22"/>
              </w:rPr>
              <w:t>Low</w:t>
            </w:r>
          </w:p>
        </w:tc>
        <w:tc>
          <w:tcPr>
            <w:tcW w:w="3666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27"/>
              <w:ind w:left="107"/>
              <w:rPr>
                <w:sz w:val="22"/>
              </w:rPr>
            </w:pPr>
            <w:r>
              <w:rPr>
                <w:sz w:val="22"/>
              </w:rPr>
              <w:t>IID</w:t>
            </w:r>
          </w:p>
        </w:tc>
        <w:tc>
          <w:tcPr>
            <w:tcW w:w="252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41" w:hRule="atLeast"/>
        </w:trPr>
        <w:tc>
          <w:tcPr>
            <w:tcW w:w="116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6"/>
              <w:rPr>
                <w:i/>
                <w:sz w:val="21"/>
              </w:rPr>
            </w:pPr>
          </w:p>
          <w:p>
            <w:pPr>
              <w:pStyle w:val="TableParagraph"/>
              <w:ind w:left="170" w:right="151" w:hanging="1"/>
              <w:jc w:val="center"/>
              <w:rPr>
                <w:sz w:val="22"/>
              </w:rPr>
            </w:pPr>
            <w:r>
              <w:rPr>
                <w:sz w:val="22"/>
              </w:rPr>
              <w:t>Indirect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Fire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Weapons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Attack</w:t>
            </w:r>
          </w:p>
        </w:tc>
        <w:tc>
          <w:tcPr>
            <w:tcW w:w="1164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line="251" w:lineRule="exact"/>
              <w:ind w:left="113"/>
              <w:rPr>
                <w:sz w:val="22"/>
              </w:rPr>
            </w:pPr>
            <w:r>
              <w:rPr>
                <w:sz w:val="22"/>
              </w:rPr>
              <w:t>Very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High</w:t>
            </w:r>
          </w:p>
        </w:tc>
        <w:tc>
          <w:tcPr>
            <w:tcW w:w="3666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ind w:left="107" w:right="243"/>
              <w:rPr>
                <w:sz w:val="22"/>
              </w:rPr>
            </w:pPr>
            <w:r>
              <w:rPr>
                <w:sz w:val="22"/>
              </w:rPr>
              <w:t>Improvised mortar (up to 20 kg/44 lb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TNT)</w:t>
            </w:r>
          </w:p>
        </w:tc>
        <w:tc>
          <w:tcPr>
            <w:tcW w:w="252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6"/>
              <w:rPr>
                <w:i/>
                <w:sz w:val="30"/>
              </w:rPr>
            </w:pPr>
          </w:p>
          <w:p>
            <w:pPr>
              <w:pStyle w:val="TableParagraph"/>
              <w:ind w:left="1000" w:right="982"/>
              <w:jc w:val="center"/>
              <w:rPr>
                <w:sz w:val="22"/>
              </w:rPr>
            </w:pPr>
            <w:r>
              <w:rPr>
                <w:sz w:val="22"/>
              </w:rPr>
              <w:t>None</w:t>
            </w:r>
          </w:p>
        </w:tc>
      </w:tr>
      <w:tr>
        <w:trPr>
          <w:trHeight w:val="303" w:hRule="atLeast"/>
        </w:trPr>
        <w:tc>
          <w:tcPr>
            <w:tcW w:w="1162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6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27"/>
              <w:ind w:left="360"/>
              <w:rPr>
                <w:sz w:val="22"/>
              </w:rPr>
            </w:pPr>
            <w:r>
              <w:rPr>
                <w:sz w:val="22"/>
              </w:rPr>
              <w:t>High</w:t>
            </w:r>
          </w:p>
        </w:tc>
        <w:tc>
          <w:tcPr>
            <w:tcW w:w="3666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27"/>
              <w:ind w:left="107"/>
              <w:rPr>
                <w:sz w:val="22"/>
              </w:rPr>
            </w:pPr>
            <w:r>
              <w:rPr>
                <w:sz w:val="22"/>
              </w:rPr>
              <w:t>122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mm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rocket</w:t>
            </w:r>
          </w:p>
        </w:tc>
        <w:tc>
          <w:tcPr>
            <w:tcW w:w="252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90" w:hRule="atLeast"/>
        </w:trPr>
        <w:tc>
          <w:tcPr>
            <w:tcW w:w="1162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6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13"/>
              <w:ind w:left="207"/>
              <w:rPr>
                <w:sz w:val="22"/>
              </w:rPr>
            </w:pPr>
            <w:r>
              <w:rPr>
                <w:sz w:val="22"/>
              </w:rPr>
              <w:t>Medium</w:t>
            </w:r>
          </w:p>
        </w:tc>
        <w:tc>
          <w:tcPr>
            <w:tcW w:w="3666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13"/>
              <w:ind w:left="107"/>
              <w:rPr>
                <w:sz w:val="22"/>
              </w:rPr>
            </w:pPr>
            <w:r>
              <w:rPr>
                <w:sz w:val="22"/>
              </w:rPr>
              <w:t>82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mm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mortar</w:t>
            </w:r>
          </w:p>
        </w:tc>
        <w:tc>
          <w:tcPr>
            <w:tcW w:w="252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5" w:hRule="atLeast"/>
        </w:trPr>
        <w:tc>
          <w:tcPr>
            <w:tcW w:w="1162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6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4"/>
              <w:ind w:left="379"/>
              <w:rPr>
                <w:sz w:val="22"/>
              </w:rPr>
            </w:pPr>
            <w:r>
              <w:rPr>
                <w:sz w:val="22"/>
              </w:rPr>
              <w:t>Low</w:t>
            </w:r>
          </w:p>
        </w:tc>
        <w:tc>
          <w:tcPr>
            <w:tcW w:w="3666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4"/>
              <w:ind w:left="107"/>
              <w:rPr>
                <w:sz w:val="22"/>
              </w:rPr>
            </w:pPr>
            <w:r>
              <w:rPr>
                <w:sz w:val="22"/>
              </w:rPr>
              <w:t>Incendiary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devices</w:t>
            </w:r>
          </w:p>
        </w:tc>
        <w:tc>
          <w:tcPr>
            <w:tcW w:w="252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807" w:hRule="atLeast"/>
        </w:trPr>
        <w:tc>
          <w:tcPr>
            <w:tcW w:w="116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9"/>
              <w:rPr>
                <w:i/>
                <w:sz w:val="21"/>
              </w:rPr>
            </w:pPr>
          </w:p>
          <w:p>
            <w:pPr>
              <w:pStyle w:val="TableParagraph"/>
              <w:spacing w:before="1"/>
              <w:ind w:left="170" w:right="151" w:hanging="2"/>
              <w:jc w:val="center"/>
              <w:rPr>
                <w:sz w:val="22"/>
              </w:rPr>
            </w:pPr>
            <w:r>
              <w:rPr>
                <w:sz w:val="22"/>
              </w:rPr>
              <w:t>Direct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Fire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Weapons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Attack</w:t>
            </w:r>
          </w:p>
        </w:tc>
        <w:tc>
          <w:tcPr>
            <w:tcW w:w="1164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line="251" w:lineRule="exact"/>
              <w:ind w:left="113"/>
              <w:rPr>
                <w:sz w:val="22"/>
              </w:rPr>
            </w:pPr>
            <w:r>
              <w:rPr>
                <w:sz w:val="22"/>
              </w:rPr>
              <w:t>Very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High</w:t>
            </w:r>
          </w:p>
        </w:tc>
        <w:tc>
          <w:tcPr>
            <w:tcW w:w="3666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ind w:left="107" w:right="293"/>
              <w:rPr>
                <w:sz w:val="22"/>
              </w:rPr>
            </w:pPr>
            <w:r>
              <w:rPr>
                <w:sz w:val="22"/>
              </w:rPr>
              <w:t>Light antitank weapons, and UL 752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Level 10 (12.7mm (0.50 caliber), 1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shot)</w:t>
            </w:r>
          </w:p>
        </w:tc>
        <w:tc>
          <w:tcPr>
            <w:tcW w:w="252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9"/>
              <w:rPr>
                <w:i/>
                <w:sz w:val="30"/>
              </w:rPr>
            </w:pPr>
          </w:p>
          <w:p>
            <w:pPr>
              <w:pStyle w:val="TableParagraph"/>
              <w:ind w:left="1000" w:right="982"/>
              <w:jc w:val="center"/>
              <w:rPr>
                <w:sz w:val="22"/>
              </w:rPr>
            </w:pPr>
            <w:r>
              <w:rPr>
                <w:sz w:val="22"/>
              </w:rPr>
              <w:t>None</w:t>
            </w:r>
          </w:p>
        </w:tc>
      </w:tr>
      <w:tr>
        <w:trPr>
          <w:trHeight w:val="583" w:hRule="atLeast"/>
        </w:trPr>
        <w:tc>
          <w:tcPr>
            <w:tcW w:w="1162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6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40"/>
              <w:ind w:left="360"/>
              <w:rPr>
                <w:sz w:val="22"/>
              </w:rPr>
            </w:pPr>
            <w:r>
              <w:rPr>
                <w:sz w:val="22"/>
              </w:rPr>
              <w:t>High</w:t>
            </w:r>
          </w:p>
        </w:tc>
        <w:tc>
          <w:tcPr>
            <w:tcW w:w="3666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40"/>
              <w:ind w:left="107"/>
              <w:rPr>
                <w:sz w:val="22"/>
              </w:rPr>
            </w:pPr>
            <w:r>
              <w:rPr>
                <w:sz w:val="22"/>
              </w:rPr>
              <w:t>UL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752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Level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9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(7.62mm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NATO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AP,</w:t>
            </w:r>
          </w:p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1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shot)</w:t>
            </w:r>
          </w:p>
        </w:tc>
        <w:tc>
          <w:tcPr>
            <w:tcW w:w="252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03" w:hRule="atLeast"/>
        </w:trPr>
        <w:tc>
          <w:tcPr>
            <w:tcW w:w="1162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6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27"/>
              <w:ind w:left="207"/>
              <w:rPr>
                <w:sz w:val="22"/>
              </w:rPr>
            </w:pPr>
            <w:r>
              <w:rPr>
                <w:sz w:val="22"/>
              </w:rPr>
              <w:t>Medium</w:t>
            </w:r>
          </w:p>
        </w:tc>
        <w:tc>
          <w:tcPr>
            <w:tcW w:w="3666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27"/>
              <w:ind w:left="107"/>
              <w:rPr>
                <w:sz w:val="22"/>
              </w:rPr>
            </w:pPr>
            <w:r>
              <w:rPr>
                <w:sz w:val="22"/>
              </w:rPr>
              <w:t>UL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752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Level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5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(7.62mm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NATO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ball)</w:t>
            </w:r>
          </w:p>
        </w:tc>
        <w:tc>
          <w:tcPr>
            <w:tcW w:w="252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5" w:hRule="atLeast"/>
        </w:trPr>
        <w:tc>
          <w:tcPr>
            <w:tcW w:w="1162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6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3"/>
              <w:ind w:left="379"/>
              <w:rPr>
                <w:sz w:val="22"/>
              </w:rPr>
            </w:pPr>
            <w:r>
              <w:rPr>
                <w:sz w:val="22"/>
              </w:rPr>
              <w:t>Low</w:t>
            </w:r>
          </w:p>
        </w:tc>
        <w:tc>
          <w:tcPr>
            <w:tcW w:w="3666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3"/>
              <w:ind w:left="107"/>
              <w:rPr>
                <w:sz w:val="22"/>
              </w:rPr>
            </w:pPr>
            <w:r>
              <w:rPr>
                <w:sz w:val="22"/>
              </w:rPr>
              <w:t>UL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752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Level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3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(.44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magnum)</w:t>
            </w:r>
          </w:p>
        </w:tc>
        <w:tc>
          <w:tcPr>
            <w:tcW w:w="252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205"/>
        <w:ind w:left="440" w:right="257" w:firstLine="720"/>
        <w:jc w:val="both"/>
      </w:pPr>
      <w:r>
        <w:rPr/>
        <w:t>Based on the threat tactics shown in </w:t>
      </w:r>
      <w:hyperlink w:history="true" w:anchor="_bookmark10">
        <w:r>
          <w:rPr/>
          <w:t>Table 2-8,</w:t>
        </w:r>
      </w:hyperlink>
      <w:r>
        <w:rPr/>
        <w:t> an initial level of protection is</w:t>
      </w:r>
      <w:r>
        <w:rPr>
          <w:spacing w:val="1"/>
        </w:rPr>
        <w:t> </w:t>
      </w:r>
      <w:r>
        <w:rPr/>
        <w:t>determined.</w:t>
      </w:r>
      <w:r>
        <w:rPr>
          <w:spacing w:val="1"/>
        </w:rPr>
        <w:t> </w:t>
      </w:r>
      <w:r>
        <w:rPr/>
        <w:t>Level of protection refers to the amount of damage a facility could sustain</w:t>
      </w:r>
      <w:r>
        <w:rPr>
          <w:spacing w:val="1"/>
        </w:rPr>
        <w:t> </w:t>
      </w:r>
      <w:r>
        <w:rPr/>
        <w:t>given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specific</w:t>
      </w:r>
      <w:r>
        <w:rPr>
          <w:spacing w:val="1"/>
        </w:rPr>
        <w:t> </w:t>
      </w:r>
      <w:r>
        <w:rPr/>
        <w:t>threat.</w:t>
      </w:r>
      <w:r>
        <w:rPr>
          <w:spacing w:val="1"/>
        </w:rPr>
        <w:t> </w:t>
      </w:r>
      <w:r>
        <w:rPr/>
        <w:t>Different</w:t>
      </w:r>
      <w:r>
        <w:rPr>
          <w:spacing w:val="1"/>
        </w:rPr>
        <w:t> </w:t>
      </w:r>
      <w:r>
        <w:rPr/>
        <w:t>weapons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explosive</w:t>
      </w:r>
      <w:r>
        <w:rPr>
          <w:spacing w:val="1"/>
        </w:rPr>
        <w:t> </w:t>
      </w:r>
      <w:r>
        <w:rPr/>
        <w:t>threats</w:t>
      </w:r>
      <w:r>
        <w:rPr>
          <w:spacing w:val="1"/>
        </w:rPr>
        <w:t> </w:t>
      </w:r>
      <w:r>
        <w:rPr/>
        <w:t>require</w:t>
      </w:r>
      <w:r>
        <w:rPr>
          <w:spacing w:val="1"/>
        </w:rPr>
        <w:t> </w:t>
      </w:r>
      <w:r>
        <w:rPr/>
        <w:t>different</w:t>
      </w:r>
      <w:r>
        <w:rPr>
          <w:spacing w:val="1"/>
        </w:rPr>
        <w:t> </w:t>
      </w:r>
      <w:r>
        <w:rPr/>
        <w:t>mitigation</w:t>
      </w:r>
      <w:r>
        <w:rPr>
          <w:spacing w:val="1"/>
        </w:rPr>
        <w:t> </w:t>
      </w:r>
      <w:r>
        <w:rPr/>
        <w:t>methods.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general,</w:t>
      </w:r>
      <w:r>
        <w:rPr>
          <w:spacing w:val="1"/>
        </w:rPr>
        <w:t> </w:t>
      </w:r>
      <w:r>
        <w:rPr/>
        <w:t>standoff</w:t>
      </w:r>
      <w:r>
        <w:rPr>
          <w:spacing w:val="1"/>
        </w:rPr>
        <w:t> </w:t>
      </w:r>
      <w:r>
        <w:rPr/>
        <w:t>distance,</w:t>
      </w:r>
      <w:r>
        <w:rPr>
          <w:spacing w:val="1"/>
        </w:rPr>
        <w:t> </w:t>
      </w:r>
      <w:r>
        <w:rPr/>
        <w:t>building</w:t>
      </w:r>
      <w:r>
        <w:rPr>
          <w:spacing w:val="1"/>
        </w:rPr>
        <w:t> </w:t>
      </w:r>
      <w:r>
        <w:rPr/>
        <w:t>hardening,</w:t>
      </w:r>
      <w:r>
        <w:rPr>
          <w:spacing w:val="1"/>
        </w:rPr>
        <w:t> </w:t>
      </w:r>
      <w:r>
        <w:rPr/>
        <w:t>barriers,</w:t>
      </w:r>
      <w:r>
        <w:rPr>
          <w:spacing w:val="1"/>
        </w:rPr>
        <w:t> </w:t>
      </w:r>
      <w:r>
        <w:rPr/>
        <w:t>and</w:t>
      </w:r>
      <w:r>
        <w:rPr>
          <w:spacing w:val="-57"/>
        </w:rPr>
        <w:t> </w:t>
      </w:r>
      <w:r>
        <w:rPr/>
        <w:t>manned guard forces as well as procedures comprise the design strategy for most threats</w:t>
      </w:r>
      <w:r>
        <w:rPr>
          <w:spacing w:val="1"/>
        </w:rPr>
        <w:t> </w:t>
      </w:r>
      <w:r>
        <w:rPr/>
        <w:t>[8].</w:t>
      </w:r>
      <w:r>
        <w:rPr>
          <w:spacing w:val="24"/>
        </w:rPr>
        <w:t> </w:t>
      </w:r>
      <w:r>
        <w:rPr/>
        <w:t>Standoff</w:t>
      </w:r>
      <w:r>
        <w:rPr>
          <w:spacing w:val="46"/>
        </w:rPr>
        <w:t> </w:t>
      </w:r>
      <w:r>
        <w:rPr/>
        <w:t>distances</w:t>
      </w:r>
      <w:r>
        <w:rPr>
          <w:spacing w:val="48"/>
        </w:rPr>
        <w:t> </w:t>
      </w:r>
      <w:r>
        <w:rPr/>
        <w:t>allow</w:t>
      </w:r>
      <w:r>
        <w:rPr>
          <w:spacing w:val="46"/>
        </w:rPr>
        <w:t> </w:t>
      </w:r>
      <w:r>
        <w:rPr/>
        <w:t>the</w:t>
      </w:r>
      <w:r>
        <w:rPr>
          <w:spacing w:val="47"/>
        </w:rPr>
        <w:t> </w:t>
      </w:r>
      <w:r>
        <w:rPr/>
        <w:t>pressures</w:t>
      </w:r>
      <w:r>
        <w:rPr>
          <w:spacing w:val="47"/>
        </w:rPr>
        <w:t> </w:t>
      </w:r>
      <w:r>
        <w:rPr/>
        <w:t>created</w:t>
      </w:r>
      <w:r>
        <w:rPr>
          <w:spacing w:val="48"/>
        </w:rPr>
        <w:t> </w:t>
      </w:r>
      <w:r>
        <w:rPr/>
        <w:t>in</w:t>
      </w:r>
      <w:r>
        <w:rPr>
          <w:spacing w:val="47"/>
        </w:rPr>
        <w:t> </w:t>
      </w:r>
      <w:r>
        <w:rPr/>
        <w:t>an</w:t>
      </w:r>
      <w:r>
        <w:rPr>
          <w:spacing w:val="46"/>
        </w:rPr>
        <w:t> </w:t>
      </w:r>
      <w:r>
        <w:rPr/>
        <w:t>explosive</w:t>
      </w:r>
      <w:r>
        <w:rPr>
          <w:spacing w:val="46"/>
        </w:rPr>
        <w:t> </w:t>
      </w:r>
      <w:r>
        <w:rPr/>
        <w:t>blast</w:t>
      </w:r>
      <w:r>
        <w:rPr>
          <w:spacing w:val="47"/>
        </w:rPr>
        <w:t> </w:t>
      </w:r>
      <w:r>
        <w:rPr/>
        <w:t>to</w:t>
      </w:r>
      <w:r>
        <w:rPr>
          <w:spacing w:val="47"/>
        </w:rPr>
        <w:t> </w:t>
      </w:r>
      <w:r>
        <w:rPr/>
        <w:t>be</w:t>
      </w:r>
      <w:r>
        <w:rPr>
          <w:spacing w:val="47"/>
        </w:rPr>
        <w:t> </w:t>
      </w:r>
      <w:r>
        <w:rPr/>
        <w:t>less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40" w:right="257"/>
        <w:jc w:val="both"/>
      </w:pPr>
      <w:r>
        <w:rPr/>
        <w:t>impactful on the structure through the quick dissipation of those pressures.</w:t>
      </w:r>
      <w:r>
        <w:rPr>
          <w:spacing w:val="1"/>
        </w:rPr>
        <w:t> </w:t>
      </w:r>
      <w:r>
        <w:rPr/>
        <w:t>It should be</w:t>
      </w:r>
      <w:r>
        <w:rPr>
          <w:spacing w:val="1"/>
        </w:rPr>
        <w:t> </w:t>
      </w:r>
      <w:r>
        <w:rPr/>
        <w:t>noted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expeditionary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temporary</w:t>
      </w:r>
      <w:r>
        <w:rPr>
          <w:spacing w:val="1"/>
        </w:rPr>
        <w:t> </w:t>
      </w:r>
      <w:r>
        <w:rPr/>
        <w:t>construction</w:t>
      </w:r>
      <w:r>
        <w:rPr>
          <w:spacing w:val="1"/>
        </w:rPr>
        <w:t> </w:t>
      </w:r>
      <w:r>
        <w:rPr/>
        <w:t>should</w:t>
      </w:r>
      <w:r>
        <w:rPr>
          <w:spacing w:val="1"/>
        </w:rPr>
        <w:t> </w:t>
      </w:r>
      <w:r>
        <w:rPr/>
        <w:t>apply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same</w:t>
      </w:r>
      <w:r>
        <w:rPr>
          <w:spacing w:val="1"/>
        </w:rPr>
        <w:t> </w:t>
      </w:r>
      <w:r>
        <w:rPr/>
        <w:t>design</w:t>
      </w:r>
      <w:r>
        <w:rPr>
          <w:spacing w:val="1"/>
        </w:rPr>
        <w:t> </w:t>
      </w:r>
      <w:r>
        <w:rPr/>
        <w:t>strategies</w:t>
      </w:r>
      <w:r>
        <w:rPr>
          <w:spacing w:val="-1"/>
        </w:rPr>
        <w:t> </w:t>
      </w:r>
      <w:r>
        <w:rPr/>
        <w:t>as</w:t>
      </w:r>
      <w:r>
        <w:rPr>
          <w:spacing w:val="-1"/>
        </w:rPr>
        <w:t> </w:t>
      </w:r>
      <w:r>
        <w:rPr/>
        <w:t>permanent structures</w:t>
      </w:r>
      <w:r>
        <w:rPr>
          <w:spacing w:val="-1"/>
        </w:rPr>
        <w:t> </w:t>
      </w:r>
      <w:r>
        <w:rPr/>
        <w:t>unless otherwise differentiated.</w:t>
      </w:r>
    </w:p>
    <w:p>
      <w:pPr>
        <w:spacing w:before="161"/>
        <w:ind w:left="440" w:right="0" w:firstLine="0"/>
        <w:jc w:val="both"/>
        <w:rPr>
          <w:i/>
          <w:sz w:val="24"/>
        </w:rPr>
      </w:pPr>
      <w:bookmarkStart w:name="2.6.2 Ballistic and fragment penetration" w:id="82"/>
      <w:bookmarkEnd w:id="82"/>
      <w:r>
        <w:rPr/>
      </w:r>
      <w:r>
        <w:rPr>
          <w:i/>
          <w:sz w:val="24"/>
        </w:rPr>
        <w:t>2.6.2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Ballistic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fragment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penetration</w:t>
      </w:r>
    </w:p>
    <w:p>
      <w:pPr>
        <w:pStyle w:val="BodyText"/>
        <w:spacing w:before="7"/>
        <w:rPr>
          <w:i/>
          <w:sz w:val="22"/>
        </w:rPr>
      </w:pPr>
    </w:p>
    <w:p>
      <w:pPr>
        <w:pStyle w:val="BodyText"/>
        <w:spacing w:line="480" w:lineRule="auto"/>
        <w:ind w:left="439" w:right="257" w:firstLine="720"/>
        <w:jc w:val="both"/>
      </w:pPr>
      <w:r>
        <w:rPr/>
        <w:t>One guideline for military facility design in response to security threats is </w:t>
      </w:r>
      <w:r>
        <w:rPr>
          <w:i/>
        </w:rPr>
        <w:t>UFC 4-</w:t>
      </w:r>
      <w:r>
        <w:rPr>
          <w:i/>
          <w:spacing w:val="-57"/>
        </w:rPr>
        <w:t> </w:t>
      </w:r>
      <w:r>
        <w:rPr>
          <w:i/>
        </w:rPr>
        <w:t>023-07, Design to Resist Direct Fire Weapons Effects</w:t>
      </w:r>
      <w:r>
        <w:rPr/>
        <w:t>. The purpose of this document is to</w:t>
      </w:r>
      <w:r>
        <w:rPr>
          <w:spacing w:val="-57"/>
        </w:rPr>
        <w:t> </w:t>
      </w:r>
      <w:r>
        <w:rPr/>
        <w:t>provide engineering guidance for protection against direct fire weapons, including small</w:t>
      </w:r>
      <w:r>
        <w:rPr>
          <w:spacing w:val="1"/>
        </w:rPr>
        <w:t> </w:t>
      </w:r>
      <w:r>
        <w:rPr/>
        <w:t>arms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shoulder-fired</w:t>
      </w:r>
      <w:r>
        <w:rPr>
          <w:spacing w:val="1"/>
        </w:rPr>
        <w:t> </w:t>
      </w:r>
      <w:r>
        <w:rPr/>
        <w:t>antitank</w:t>
      </w:r>
      <w:r>
        <w:rPr>
          <w:spacing w:val="1"/>
        </w:rPr>
        <w:t> </w:t>
      </w:r>
      <w:r>
        <w:rPr/>
        <w:t>weapons</w:t>
      </w:r>
      <w:r>
        <w:rPr>
          <w:spacing w:val="1"/>
        </w:rPr>
        <w:t> </w:t>
      </w:r>
      <w:r>
        <w:rPr/>
        <w:t>systems</w:t>
      </w:r>
      <w:r>
        <w:rPr>
          <w:spacing w:val="1"/>
        </w:rPr>
        <w:t> </w:t>
      </w:r>
      <w:r>
        <w:rPr/>
        <w:t>[7].</w:t>
      </w:r>
      <w:r>
        <w:rPr>
          <w:spacing w:val="1"/>
        </w:rPr>
        <w:t> </w:t>
      </w:r>
      <w:r>
        <w:rPr/>
        <w:t>Small</w:t>
      </w:r>
      <w:r>
        <w:rPr>
          <w:spacing w:val="1"/>
        </w:rPr>
        <w:t> </w:t>
      </w:r>
      <w:r>
        <w:rPr/>
        <w:t>arms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defined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handguns,</w:t>
      </w:r>
      <w:r>
        <w:rPr>
          <w:spacing w:val="-5"/>
        </w:rPr>
        <w:t> </w:t>
      </w:r>
      <w:r>
        <w:rPr/>
        <w:t>rifles,</w:t>
      </w:r>
      <w:r>
        <w:rPr>
          <w:spacing w:val="-4"/>
        </w:rPr>
        <w:t> </w:t>
      </w:r>
      <w:r>
        <w:rPr/>
        <w:t>shotguns,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/>
        <w:t>automatic</w:t>
      </w:r>
      <w:r>
        <w:rPr>
          <w:spacing w:val="-5"/>
        </w:rPr>
        <w:t> </w:t>
      </w:r>
      <w:r>
        <w:rPr/>
        <w:t>weapons</w:t>
      </w:r>
      <w:r>
        <w:rPr>
          <w:spacing w:val="-4"/>
        </w:rPr>
        <w:t> </w:t>
      </w:r>
      <w:r>
        <w:rPr/>
        <w:t>systems</w:t>
      </w:r>
      <w:r>
        <w:rPr>
          <w:spacing w:val="-4"/>
        </w:rPr>
        <w:t> </w:t>
      </w:r>
      <w:r>
        <w:rPr/>
        <w:t>capable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firing</w:t>
      </w:r>
      <w:r>
        <w:rPr>
          <w:spacing w:val="-4"/>
        </w:rPr>
        <w:t> </w:t>
      </w:r>
      <w:r>
        <w:rPr/>
        <w:t>munitions</w:t>
      </w:r>
      <w:r>
        <w:rPr>
          <w:spacing w:val="-4"/>
        </w:rPr>
        <w:t> </w:t>
      </w:r>
      <w:r>
        <w:rPr/>
        <w:t>up</w:t>
      </w:r>
      <w:r>
        <w:rPr>
          <w:spacing w:val="-58"/>
        </w:rPr>
        <w:t> </w:t>
      </w:r>
      <w:r>
        <w:rPr/>
        <w:t>to</w:t>
      </w:r>
      <w:r>
        <w:rPr>
          <w:spacing w:val="1"/>
        </w:rPr>
        <w:t> </w:t>
      </w:r>
      <w:r>
        <w:rPr/>
        <w:t>0.50-caliber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size.</w:t>
      </w:r>
      <w:r>
        <w:rPr>
          <w:spacing w:val="1"/>
        </w:rPr>
        <w:t> </w:t>
      </w:r>
      <w:r>
        <w:rPr/>
        <w:t>Anti-tank</w:t>
      </w:r>
      <w:r>
        <w:rPr>
          <w:spacing w:val="1"/>
        </w:rPr>
        <w:t> </w:t>
      </w:r>
      <w:r>
        <w:rPr/>
        <w:t>weapons</w:t>
      </w:r>
      <w:r>
        <w:rPr>
          <w:spacing w:val="1"/>
        </w:rPr>
        <w:t> </w:t>
      </w:r>
      <w:r>
        <w:rPr/>
        <w:t>include</w:t>
      </w:r>
      <w:r>
        <w:rPr>
          <w:spacing w:val="1"/>
        </w:rPr>
        <w:t> </w:t>
      </w:r>
      <w:r>
        <w:rPr/>
        <w:t>rocket</w:t>
      </w:r>
      <w:r>
        <w:rPr>
          <w:spacing w:val="1"/>
        </w:rPr>
        <w:t> </w:t>
      </w:r>
      <w:r>
        <w:rPr/>
        <w:t>propelled</w:t>
      </w:r>
      <w:r>
        <w:rPr>
          <w:spacing w:val="1"/>
        </w:rPr>
        <w:t> </w:t>
      </w:r>
      <w:r>
        <w:rPr/>
        <w:t>grenade</w:t>
      </w:r>
      <w:r>
        <w:rPr>
          <w:spacing w:val="1"/>
        </w:rPr>
        <w:t> </w:t>
      </w:r>
      <w:r>
        <w:rPr/>
        <w:t>(RPG)</w:t>
      </w:r>
      <w:r>
        <w:rPr>
          <w:spacing w:val="-57"/>
        </w:rPr>
        <w:t> </w:t>
      </w:r>
      <w:r>
        <w:rPr/>
        <w:t>launchers.</w:t>
      </w:r>
      <w:r>
        <w:rPr>
          <w:spacing w:val="1"/>
        </w:rPr>
        <w:t> </w:t>
      </w:r>
      <w:r>
        <w:rPr/>
        <w:t>Many direct fire weapons require a direct view or line-of-sight to the intended</w:t>
      </w:r>
      <w:r>
        <w:rPr>
          <w:spacing w:val="-57"/>
        </w:rPr>
        <w:t> </w:t>
      </w:r>
      <w:r>
        <w:rPr/>
        <w:t>target but the relatively long-range capability of these weapons can make these threats</w:t>
      </w:r>
      <w:r>
        <w:rPr>
          <w:spacing w:val="1"/>
        </w:rPr>
        <w:t> </w:t>
      </w:r>
      <w:r>
        <w:rPr/>
        <w:t>difficult to defend against as the aggressor can be outside the limits of the base perimeter.</w:t>
      </w:r>
      <w:r>
        <w:rPr>
          <w:spacing w:val="-57"/>
        </w:rPr>
        <w:t> </w:t>
      </w:r>
      <w:r>
        <w:rPr/>
        <w:t>For</w:t>
      </w:r>
      <w:r>
        <w:rPr>
          <w:spacing w:val="-7"/>
        </w:rPr>
        <w:t> </w:t>
      </w:r>
      <w:r>
        <w:rPr/>
        <w:t>this</w:t>
      </w:r>
      <w:r>
        <w:rPr>
          <w:spacing w:val="-7"/>
        </w:rPr>
        <w:t> </w:t>
      </w:r>
      <w:r>
        <w:rPr/>
        <w:t>reason,</w:t>
      </w:r>
      <w:r>
        <w:rPr>
          <w:spacing w:val="-6"/>
        </w:rPr>
        <w:t> </w:t>
      </w:r>
      <w:r>
        <w:rPr/>
        <w:t>facilities</w:t>
      </w:r>
      <w:r>
        <w:rPr>
          <w:spacing w:val="-7"/>
        </w:rPr>
        <w:t> </w:t>
      </w:r>
      <w:r>
        <w:rPr/>
        <w:t>that</w:t>
      </w:r>
      <w:r>
        <w:rPr>
          <w:spacing w:val="-7"/>
        </w:rPr>
        <w:t> </w:t>
      </w:r>
      <w:r>
        <w:rPr/>
        <w:t>are</w:t>
      </w:r>
      <w:r>
        <w:rPr>
          <w:spacing w:val="-7"/>
        </w:rPr>
        <w:t> </w:t>
      </w:r>
      <w:r>
        <w:rPr/>
        <w:t>more</w:t>
      </w:r>
      <w:r>
        <w:rPr>
          <w:spacing w:val="-6"/>
        </w:rPr>
        <w:t> </w:t>
      </w:r>
      <w:r>
        <w:rPr/>
        <w:t>vulnerable</w:t>
      </w:r>
      <w:r>
        <w:rPr>
          <w:spacing w:val="-7"/>
        </w:rPr>
        <w:t> </w:t>
      </w:r>
      <w:r>
        <w:rPr/>
        <w:t>are</w:t>
      </w:r>
      <w:r>
        <w:rPr>
          <w:spacing w:val="-8"/>
        </w:rPr>
        <w:t> </w:t>
      </w:r>
      <w:r>
        <w:rPr/>
        <w:t>typically</w:t>
      </w:r>
      <w:r>
        <w:rPr>
          <w:spacing w:val="-6"/>
        </w:rPr>
        <w:t> </w:t>
      </w:r>
      <w:r>
        <w:rPr/>
        <w:t>situated</w:t>
      </w:r>
      <w:r>
        <w:rPr>
          <w:spacing w:val="-7"/>
        </w:rPr>
        <w:t> </w:t>
      </w:r>
      <w:r>
        <w:rPr/>
        <w:t>at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most</w:t>
      </w:r>
      <w:r>
        <w:rPr>
          <w:spacing w:val="-6"/>
        </w:rPr>
        <w:t> </w:t>
      </w:r>
      <w:r>
        <w:rPr/>
        <w:t>interior</w:t>
      </w:r>
      <w:r>
        <w:rPr>
          <w:spacing w:val="-58"/>
        </w:rPr>
        <w:t> </w:t>
      </w:r>
      <w:r>
        <w:rPr/>
        <w:t>and</w:t>
      </w:r>
      <w:r>
        <w:rPr>
          <w:spacing w:val="-1"/>
        </w:rPr>
        <w:t> </w:t>
      </w:r>
      <w:r>
        <w:rPr/>
        <w:t>insulated section of</w:t>
      </w:r>
      <w:r>
        <w:rPr>
          <w:spacing w:val="-1"/>
        </w:rPr>
        <w:t> </w:t>
      </w:r>
      <w:r>
        <w:rPr/>
        <w:t>a base.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 w:before="1"/>
        <w:ind w:left="439" w:right="257" w:firstLine="720"/>
        <w:jc w:val="both"/>
      </w:pPr>
      <w:r>
        <w:rPr/>
        <w:t>The threat parameters and four threat severity levels associated with direct fire</w:t>
      </w:r>
      <w:r>
        <w:rPr>
          <w:spacing w:val="1"/>
        </w:rPr>
        <w:t> </w:t>
      </w:r>
      <w:r>
        <w:rPr/>
        <w:t>weapons are shown on </w:t>
      </w:r>
      <w:hyperlink w:history="true" w:anchor="_bookmark11">
        <w:r>
          <w:rPr/>
          <w:t>Table 2-9</w:t>
        </w:r>
      </w:hyperlink>
      <w:r>
        <w:rPr/>
        <w:t>.</w:t>
      </w:r>
      <w:r>
        <w:rPr>
          <w:spacing w:val="1"/>
        </w:rPr>
        <w:t> </w:t>
      </w:r>
      <w:r>
        <w:rPr/>
        <w:t>Standards listed refer to the Underwriters Laboratories</w:t>
      </w:r>
      <w:r>
        <w:rPr>
          <w:spacing w:val="1"/>
        </w:rPr>
        <w:t> </w:t>
      </w:r>
      <w:r>
        <w:rPr/>
        <w:t>(UL) level accompanying with the specific weapon or munition type.</w:t>
      </w:r>
      <w:r>
        <w:rPr>
          <w:spacing w:val="1"/>
        </w:rPr>
        <w:t> </w:t>
      </w:r>
      <w:r>
        <w:rPr/>
        <w:t>UL 752 and the</w:t>
      </w:r>
      <w:r>
        <w:rPr>
          <w:spacing w:val="1"/>
        </w:rPr>
        <w:t> </w:t>
      </w:r>
      <w:r>
        <w:rPr/>
        <w:t>National Institute of Justice (NIJ) 0108.01 are the most common commercial standards in</w:t>
      </w:r>
      <w:r>
        <w:rPr>
          <w:spacing w:val="-57"/>
        </w:rPr>
        <w:t> </w:t>
      </w:r>
      <w:r>
        <w:rPr/>
        <w:t>the U.S. for ballistic standards.</w:t>
      </w:r>
      <w:r>
        <w:rPr>
          <w:spacing w:val="1"/>
        </w:rPr>
        <w:t> </w:t>
      </w:r>
      <w:r>
        <w:rPr/>
        <w:t>The resistance of the building components to ballistic</w:t>
      </w:r>
      <w:r>
        <w:rPr>
          <w:spacing w:val="1"/>
        </w:rPr>
        <w:t> </w:t>
      </w:r>
      <w:r>
        <w:rPr/>
        <w:t>threats must be tested and evaluated for each material or system. Test standards like those</w:t>
      </w:r>
      <w:r>
        <w:rPr>
          <w:spacing w:val="-57"/>
        </w:rPr>
        <w:t> </w:t>
      </w:r>
      <w:r>
        <w:rPr/>
        <w:t>listed</w:t>
      </w:r>
      <w:r>
        <w:rPr>
          <w:spacing w:val="24"/>
        </w:rPr>
        <w:t> </w:t>
      </w:r>
      <w:r>
        <w:rPr/>
        <w:t>define</w:t>
      </w:r>
      <w:r>
        <w:rPr>
          <w:spacing w:val="23"/>
        </w:rPr>
        <w:t> </w:t>
      </w:r>
      <w:r>
        <w:rPr/>
        <w:t>the</w:t>
      </w:r>
      <w:r>
        <w:rPr>
          <w:spacing w:val="24"/>
        </w:rPr>
        <w:t> </w:t>
      </w:r>
      <w:r>
        <w:rPr/>
        <w:t>caliber,</w:t>
      </w:r>
      <w:r>
        <w:rPr>
          <w:spacing w:val="23"/>
        </w:rPr>
        <w:t> </w:t>
      </w:r>
      <w:r>
        <w:rPr/>
        <w:t>weight,</w:t>
      </w:r>
      <w:r>
        <w:rPr>
          <w:spacing w:val="24"/>
        </w:rPr>
        <w:t> </w:t>
      </w:r>
      <w:r>
        <w:rPr/>
        <w:t>composition,</w:t>
      </w:r>
      <w:r>
        <w:rPr>
          <w:spacing w:val="23"/>
        </w:rPr>
        <w:t> </w:t>
      </w:r>
      <w:r>
        <w:rPr/>
        <w:t>muzzle</w:t>
      </w:r>
      <w:r>
        <w:rPr>
          <w:spacing w:val="24"/>
        </w:rPr>
        <w:t> </w:t>
      </w:r>
      <w:r>
        <w:rPr/>
        <w:t>velocity,</w:t>
      </w:r>
      <w:r>
        <w:rPr>
          <w:spacing w:val="24"/>
        </w:rPr>
        <w:t> </w:t>
      </w:r>
      <w:r>
        <w:rPr/>
        <w:t>and</w:t>
      </w:r>
      <w:r>
        <w:rPr>
          <w:spacing w:val="24"/>
        </w:rPr>
        <w:t> </w:t>
      </w:r>
      <w:r>
        <w:rPr/>
        <w:t>number</w:t>
      </w:r>
      <w:r>
        <w:rPr>
          <w:spacing w:val="24"/>
        </w:rPr>
        <w:t> </w:t>
      </w:r>
      <w:r>
        <w:rPr/>
        <w:t>of</w:t>
      </w:r>
      <w:r>
        <w:rPr>
          <w:spacing w:val="23"/>
        </w:rPr>
        <w:t> </w:t>
      </w:r>
      <w:r>
        <w:rPr/>
        <w:t>impacts.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40"/>
      </w:pPr>
      <w:r>
        <w:rPr/>
        <w:t>Outside</w:t>
      </w:r>
      <w:r>
        <w:rPr>
          <w:spacing w:val="9"/>
        </w:rPr>
        <w:t> </w:t>
      </w:r>
      <w:r>
        <w:rPr/>
        <w:t>of</w:t>
      </w:r>
      <w:r>
        <w:rPr>
          <w:spacing w:val="9"/>
        </w:rPr>
        <w:t> </w:t>
      </w:r>
      <w:r>
        <w:rPr/>
        <w:t>the</w:t>
      </w:r>
      <w:r>
        <w:rPr>
          <w:spacing w:val="10"/>
        </w:rPr>
        <w:t> </w:t>
      </w:r>
      <w:r>
        <w:rPr/>
        <w:t>military,</w:t>
      </w:r>
      <w:r>
        <w:rPr>
          <w:spacing w:val="7"/>
        </w:rPr>
        <w:t> </w:t>
      </w:r>
      <w:r>
        <w:rPr/>
        <w:t>these</w:t>
      </w:r>
      <w:r>
        <w:rPr>
          <w:spacing w:val="8"/>
        </w:rPr>
        <w:t> </w:t>
      </w:r>
      <w:r>
        <w:rPr/>
        <w:t>standards</w:t>
      </w:r>
      <w:r>
        <w:rPr>
          <w:spacing w:val="10"/>
        </w:rPr>
        <w:t> </w:t>
      </w:r>
      <w:r>
        <w:rPr/>
        <w:t>are</w:t>
      </w:r>
      <w:r>
        <w:rPr>
          <w:spacing w:val="10"/>
        </w:rPr>
        <w:t> </w:t>
      </w:r>
      <w:r>
        <w:rPr/>
        <w:t>used</w:t>
      </w:r>
      <w:r>
        <w:rPr>
          <w:spacing w:val="8"/>
        </w:rPr>
        <w:t> </w:t>
      </w:r>
      <w:r>
        <w:rPr/>
        <w:t>in</w:t>
      </w:r>
      <w:r>
        <w:rPr>
          <w:spacing w:val="8"/>
        </w:rPr>
        <w:t> </w:t>
      </w:r>
      <w:r>
        <w:rPr/>
        <w:t>the</w:t>
      </w:r>
      <w:r>
        <w:rPr>
          <w:spacing w:val="10"/>
        </w:rPr>
        <w:t> </w:t>
      </w:r>
      <w:r>
        <w:rPr/>
        <w:t>design</w:t>
      </w:r>
      <w:r>
        <w:rPr>
          <w:spacing w:val="9"/>
        </w:rPr>
        <w:t> </w:t>
      </w:r>
      <w:r>
        <w:rPr/>
        <w:t>of</w:t>
      </w:r>
      <w:r>
        <w:rPr>
          <w:spacing w:val="9"/>
        </w:rPr>
        <w:t> </w:t>
      </w:r>
      <w:r>
        <w:rPr/>
        <w:t>facilities</w:t>
      </w:r>
      <w:r>
        <w:rPr>
          <w:spacing w:val="10"/>
        </w:rPr>
        <w:t> </w:t>
      </w:r>
      <w:r>
        <w:rPr/>
        <w:t>such</w:t>
      </w:r>
      <w:r>
        <w:rPr>
          <w:spacing w:val="8"/>
        </w:rPr>
        <w:t> </w:t>
      </w:r>
      <w:r>
        <w:rPr/>
        <w:t>as</w:t>
      </w:r>
      <w:r>
        <w:rPr>
          <w:spacing w:val="9"/>
        </w:rPr>
        <w:t> </w:t>
      </w:r>
      <w:r>
        <w:rPr/>
        <w:t>banks,</w:t>
      </w:r>
      <w:r>
        <w:rPr>
          <w:spacing w:val="-57"/>
        </w:rPr>
        <w:t> </w:t>
      </w:r>
      <w:r>
        <w:rPr/>
        <w:t>and</w:t>
      </w:r>
      <w:r>
        <w:rPr>
          <w:spacing w:val="-1"/>
        </w:rPr>
        <w:t> </w:t>
      </w:r>
      <w:r>
        <w:rPr/>
        <w:t>government buildings.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spacing w:before="231"/>
        <w:ind w:left="178" w:right="0" w:firstLine="0"/>
        <w:jc w:val="center"/>
        <w:rPr>
          <w:i/>
          <w:sz w:val="24"/>
        </w:rPr>
      </w:pPr>
      <w:bookmarkStart w:name="_bookmark11" w:id="83"/>
      <w:bookmarkEnd w:id="83"/>
      <w:r>
        <w:rPr/>
      </w:r>
      <w:r>
        <w:rPr>
          <w:i/>
          <w:sz w:val="24"/>
        </w:rPr>
        <w:t>Table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2-9.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Threat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parameters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Direct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Fire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weapons.</w:t>
      </w:r>
    </w:p>
    <w:p>
      <w:pPr>
        <w:pStyle w:val="BodyText"/>
        <w:spacing w:before="6"/>
        <w:rPr>
          <w:i/>
          <w:sz w:val="17"/>
        </w:rPr>
      </w:pPr>
    </w:p>
    <w:tbl>
      <w:tblPr>
        <w:tblW w:w="0" w:type="auto"/>
        <w:jc w:val="left"/>
        <w:tblInd w:w="144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80"/>
        <w:gridCol w:w="2840"/>
        <w:gridCol w:w="2439"/>
      </w:tblGrid>
      <w:tr>
        <w:trPr>
          <w:trHeight w:val="580" w:hRule="atLeast"/>
        </w:trPr>
        <w:tc>
          <w:tcPr>
            <w:tcW w:w="1380" w:type="dxa"/>
            <w:shd w:val="clear" w:color="auto" w:fill="DADADA"/>
          </w:tcPr>
          <w:p>
            <w:pPr>
              <w:pStyle w:val="TableParagraph"/>
              <w:spacing w:line="250" w:lineRule="atLeast" w:before="54"/>
              <w:ind w:left="402" w:right="81" w:hanging="291"/>
              <w:rPr>
                <w:sz w:val="22"/>
              </w:rPr>
            </w:pPr>
            <w:r>
              <w:rPr>
                <w:sz w:val="22"/>
              </w:rPr>
              <w:t>Design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Basis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Threat</w:t>
            </w:r>
          </w:p>
        </w:tc>
        <w:tc>
          <w:tcPr>
            <w:tcW w:w="2840" w:type="dxa"/>
            <w:shd w:val="clear" w:color="auto" w:fill="DADADA"/>
          </w:tcPr>
          <w:p>
            <w:pPr>
              <w:pStyle w:val="TableParagraph"/>
              <w:spacing w:before="3"/>
              <w:rPr>
                <w:i/>
                <w:sz w:val="28"/>
              </w:rPr>
            </w:pPr>
          </w:p>
          <w:p>
            <w:pPr>
              <w:pStyle w:val="TableParagraph"/>
              <w:spacing w:line="234" w:lineRule="exact" w:before="1"/>
              <w:ind w:left="490"/>
              <w:rPr>
                <w:sz w:val="22"/>
              </w:rPr>
            </w:pPr>
            <w:r>
              <w:rPr>
                <w:sz w:val="22"/>
              </w:rPr>
              <w:t>Weapons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/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Standards</w:t>
            </w:r>
          </w:p>
        </w:tc>
        <w:tc>
          <w:tcPr>
            <w:tcW w:w="2439" w:type="dxa"/>
            <w:shd w:val="clear" w:color="auto" w:fill="DADADA"/>
          </w:tcPr>
          <w:p>
            <w:pPr>
              <w:pStyle w:val="TableParagraph"/>
              <w:spacing w:before="3"/>
              <w:rPr>
                <w:i/>
                <w:sz w:val="28"/>
              </w:rPr>
            </w:pPr>
          </w:p>
          <w:p>
            <w:pPr>
              <w:pStyle w:val="TableParagraph"/>
              <w:spacing w:line="234" w:lineRule="exact" w:before="1"/>
              <w:ind w:left="92" w:right="73"/>
              <w:jc w:val="center"/>
              <w:rPr>
                <w:sz w:val="22"/>
              </w:rPr>
            </w:pPr>
            <w:r>
              <w:rPr>
                <w:sz w:val="22"/>
              </w:rPr>
              <w:t>Effective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Range</w:t>
            </w:r>
          </w:p>
        </w:tc>
      </w:tr>
      <w:tr>
        <w:trPr>
          <w:trHeight w:val="311" w:hRule="atLeast"/>
        </w:trPr>
        <w:tc>
          <w:tcPr>
            <w:tcW w:w="1380" w:type="dxa"/>
            <w:vMerge w:val="restart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59"/>
              <w:ind w:left="221"/>
              <w:rPr>
                <w:sz w:val="22"/>
              </w:rPr>
            </w:pPr>
            <w:r>
              <w:rPr>
                <w:sz w:val="22"/>
              </w:rPr>
              <w:t>Very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High</w:t>
            </w:r>
          </w:p>
        </w:tc>
        <w:tc>
          <w:tcPr>
            <w:tcW w:w="2840" w:type="dxa"/>
            <w:tcBorders>
              <w:bottom w:val="nil"/>
            </w:tcBorders>
          </w:tcPr>
          <w:p>
            <w:pPr>
              <w:pStyle w:val="TableParagraph"/>
              <w:spacing w:before="35"/>
              <w:ind w:left="107"/>
              <w:rPr>
                <w:sz w:val="22"/>
              </w:rPr>
            </w:pPr>
            <w:r>
              <w:rPr>
                <w:sz w:val="22"/>
              </w:rPr>
              <w:t>Anti-tank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weapons</w:t>
            </w:r>
          </w:p>
        </w:tc>
        <w:tc>
          <w:tcPr>
            <w:tcW w:w="2439" w:type="dxa"/>
            <w:tcBorders>
              <w:bottom w:val="nil"/>
            </w:tcBorders>
          </w:tcPr>
          <w:p>
            <w:pPr>
              <w:pStyle w:val="TableParagraph"/>
              <w:spacing w:before="35"/>
              <w:ind w:left="92" w:right="125"/>
              <w:jc w:val="center"/>
              <w:rPr>
                <w:sz w:val="22"/>
              </w:rPr>
            </w:pPr>
            <w:r>
              <w:rPr>
                <w:sz w:val="22"/>
              </w:rPr>
              <w:t>AT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Weapon: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300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meters</w:t>
            </w:r>
          </w:p>
        </w:tc>
      </w:tr>
      <w:tr>
        <w:trPr>
          <w:trHeight w:val="397" w:hRule="atLeast"/>
        </w:trPr>
        <w:tc>
          <w:tcPr>
            <w:tcW w:w="138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4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3"/>
              <w:ind w:left="107"/>
              <w:rPr>
                <w:sz w:val="22"/>
              </w:rPr>
            </w:pPr>
            <w:r>
              <w:rPr>
                <w:sz w:val="22"/>
              </w:rPr>
              <w:t>ANSI/UL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752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Level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10</w:t>
            </w:r>
          </w:p>
        </w:tc>
        <w:tc>
          <w:tcPr>
            <w:tcW w:w="2439" w:type="dxa"/>
            <w:vMerge w:val="restart"/>
            <w:tcBorders>
              <w:top w:val="nil"/>
            </w:tcBorders>
          </w:tcPr>
          <w:p>
            <w:pPr>
              <w:pStyle w:val="TableParagraph"/>
              <w:spacing w:before="4"/>
              <w:rPr>
                <w:i/>
                <w:sz w:val="23"/>
              </w:rPr>
            </w:pPr>
          </w:p>
          <w:p>
            <w:pPr>
              <w:pStyle w:val="TableParagraph"/>
              <w:spacing w:line="252" w:lineRule="exact" w:before="1"/>
              <w:ind w:left="108" w:right="678"/>
              <w:rPr>
                <w:sz w:val="22"/>
              </w:rPr>
            </w:pPr>
            <w:r>
              <w:rPr>
                <w:sz w:val="22"/>
              </w:rPr>
              <w:t>0.50-caliber: 2000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meters</w:t>
            </w:r>
          </w:p>
        </w:tc>
      </w:tr>
      <w:tr>
        <w:trPr>
          <w:trHeight w:val="375" w:hRule="atLeast"/>
        </w:trPr>
        <w:tc>
          <w:tcPr>
            <w:tcW w:w="138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40" w:type="dxa"/>
            <w:tcBorders>
              <w:top w:val="nil"/>
            </w:tcBorders>
          </w:tcPr>
          <w:p>
            <w:pPr>
              <w:pStyle w:val="TableParagraph"/>
              <w:spacing w:line="234" w:lineRule="exact" w:before="121"/>
              <w:ind w:left="107"/>
              <w:rPr>
                <w:sz w:val="22"/>
              </w:rPr>
            </w:pPr>
            <w:r>
              <w:rPr>
                <w:sz w:val="22"/>
              </w:rPr>
              <w:t>(12.7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mm/0.50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caliber)</w:t>
            </w:r>
          </w:p>
        </w:tc>
        <w:tc>
          <w:tcPr>
            <w:tcW w:w="243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7" w:hRule="atLeast"/>
        </w:trPr>
        <w:tc>
          <w:tcPr>
            <w:tcW w:w="1380" w:type="dxa"/>
            <w:vMerge w:val="restart"/>
          </w:tcPr>
          <w:p>
            <w:pPr>
              <w:pStyle w:val="TableParagraph"/>
              <w:spacing w:before="178"/>
              <w:ind w:left="468"/>
              <w:rPr>
                <w:sz w:val="22"/>
              </w:rPr>
            </w:pPr>
            <w:r>
              <w:rPr>
                <w:sz w:val="22"/>
              </w:rPr>
              <w:t>High</w:t>
            </w:r>
          </w:p>
        </w:tc>
        <w:tc>
          <w:tcPr>
            <w:tcW w:w="2840" w:type="dxa"/>
            <w:tcBorders>
              <w:bottom w:val="nil"/>
            </w:tcBorders>
          </w:tcPr>
          <w:p>
            <w:pPr>
              <w:pStyle w:val="TableParagraph"/>
              <w:spacing w:before="36"/>
              <w:ind w:left="107"/>
              <w:rPr>
                <w:sz w:val="22"/>
              </w:rPr>
            </w:pPr>
            <w:r>
              <w:rPr>
                <w:sz w:val="22"/>
              </w:rPr>
              <w:t>ANSI/UL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752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Level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9</w:t>
            </w:r>
          </w:p>
        </w:tc>
        <w:tc>
          <w:tcPr>
            <w:tcW w:w="2439" w:type="dxa"/>
            <w:vMerge w:val="restart"/>
          </w:tcPr>
          <w:p>
            <w:pPr>
              <w:pStyle w:val="TableParagraph"/>
              <w:spacing w:before="36"/>
              <w:ind w:left="108"/>
              <w:rPr>
                <w:sz w:val="22"/>
              </w:rPr>
            </w:pPr>
            <w:r>
              <w:rPr>
                <w:sz w:val="22"/>
              </w:rPr>
              <w:t>800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meters</w:t>
            </w:r>
          </w:p>
        </w:tc>
      </w:tr>
      <w:tr>
        <w:trPr>
          <w:trHeight w:val="272" w:hRule="atLeast"/>
        </w:trPr>
        <w:tc>
          <w:tcPr>
            <w:tcW w:w="138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40" w:type="dxa"/>
            <w:tcBorders>
              <w:top w:val="nil"/>
            </w:tcBorders>
          </w:tcPr>
          <w:p>
            <w:pPr>
              <w:pStyle w:val="TableParagraph"/>
              <w:spacing w:line="234" w:lineRule="exact" w:before="18"/>
              <w:ind w:left="107"/>
              <w:rPr>
                <w:sz w:val="22"/>
              </w:rPr>
            </w:pPr>
            <w:r>
              <w:rPr>
                <w:sz w:val="22"/>
              </w:rPr>
              <w:t>(0.30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caliber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Armor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Piercing)</w:t>
            </w:r>
          </w:p>
        </w:tc>
        <w:tc>
          <w:tcPr>
            <w:tcW w:w="243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7" w:hRule="atLeast"/>
        </w:trPr>
        <w:tc>
          <w:tcPr>
            <w:tcW w:w="1380" w:type="dxa"/>
            <w:vMerge w:val="restart"/>
          </w:tcPr>
          <w:p>
            <w:pPr>
              <w:pStyle w:val="TableParagraph"/>
              <w:spacing w:before="178"/>
              <w:ind w:left="316"/>
              <w:rPr>
                <w:sz w:val="22"/>
              </w:rPr>
            </w:pPr>
            <w:r>
              <w:rPr>
                <w:sz w:val="22"/>
              </w:rPr>
              <w:t>Medium</w:t>
            </w:r>
          </w:p>
        </w:tc>
        <w:tc>
          <w:tcPr>
            <w:tcW w:w="2840" w:type="dxa"/>
            <w:tcBorders>
              <w:bottom w:val="nil"/>
            </w:tcBorders>
          </w:tcPr>
          <w:p>
            <w:pPr>
              <w:pStyle w:val="TableParagraph"/>
              <w:spacing w:before="36"/>
              <w:ind w:left="107"/>
              <w:rPr>
                <w:sz w:val="22"/>
              </w:rPr>
            </w:pPr>
            <w:r>
              <w:rPr>
                <w:sz w:val="22"/>
              </w:rPr>
              <w:t>ANSI/UL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752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Level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5</w:t>
            </w:r>
          </w:p>
        </w:tc>
        <w:tc>
          <w:tcPr>
            <w:tcW w:w="2439" w:type="dxa"/>
            <w:vMerge w:val="restart"/>
          </w:tcPr>
          <w:p>
            <w:pPr>
              <w:pStyle w:val="TableParagraph"/>
              <w:spacing w:before="36"/>
              <w:ind w:left="108"/>
              <w:rPr>
                <w:sz w:val="22"/>
              </w:rPr>
            </w:pPr>
            <w:r>
              <w:rPr>
                <w:sz w:val="22"/>
              </w:rPr>
              <w:t>1000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meters</w:t>
            </w:r>
          </w:p>
        </w:tc>
      </w:tr>
      <w:tr>
        <w:trPr>
          <w:trHeight w:val="272" w:hRule="atLeast"/>
        </w:trPr>
        <w:tc>
          <w:tcPr>
            <w:tcW w:w="138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40" w:type="dxa"/>
            <w:tcBorders>
              <w:top w:val="nil"/>
            </w:tcBorders>
          </w:tcPr>
          <w:p>
            <w:pPr>
              <w:pStyle w:val="TableParagraph"/>
              <w:spacing w:line="234" w:lineRule="exact" w:before="18"/>
              <w:ind w:left="107"/>
              <w:rPr>
                <w:sz w:val="22"/>
              </w:rPr>
            </w:pPr>
            <w:r>
              <w:rPr>
                <w:sz w:val="22"/>
              </w:rPr>
              <w:t>(7.62mm/0.308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caliber)</w:t>
            </w:r>
          </w:p>
        </w:tc>
        <w:tc>
          <w:tcPr>
            <w:tcW w:w="243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7" w:hRule="atLeast"/>
        </w:trPr>
        <w:tc>
          <w:tcPr>
            <w:tcW w:w="1380" w:type="dxa"/>
            <w:vMerge w:val="restart"/>
          </w:tcPr>
          <w:p>
            <w:pPr>
              <w:pStyle w:val="TableParagraph"/>
              <w:spacing w:before="178"/>
              <w:ind w:left="467" w:right="448"/>
              <w:jc w:val="center"/>
              <w:rPr>
                <w:sz w:val="22"/>
              </w:rPr>
            </w:pPr>
            <w:r>
              <w:rPr>
                <w:sz w:val="22"/>
              </w:rPr>
              <w:t>Low</w:t>
            </w:r>
          </w:p>
        </w:tc>
        <w:tc>
          <w:tcPr>
            <w:tcW w:w="2840" w:type="dxa"/>
            <w:tcBorders>
              <w:bottom w:val="nil"/>
            </w:tcBorders>
          </w:tcPr>
          <w:p>
            <w:pPr>
              <w:pStyle w:val="TableParagraph"/>
              <w:spacing w:before="36"/>
              <w:ind w:left="107"/>
              <w:rPr>
                <w:sz w:val="22"/>
              </w:rPr>
            </w:pPr>
            <w:r>
              <w:rPr>
                <w:sz w:val="22"/>
              </w:rPr>
              <w:t>ANSI/UL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752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Level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3</w:t>
            </w:r>
          </w:p>
        </w:tc>
        <w:tc>
          <w:tcPr>
            <w:tcW w:w="2439" w:type="dxa"/>
            <w:vMerge w:val="restart"/>
          </w:tcPr>
          <w:p>
            <w:pPr>
              <w:pStyle w:val="TableParagraph"/>
              <w:spacing w:before="36"/>
              <w:ind w:left="108"/>
              <w:rPr>
                <w:sz w:val="22"/>
              </w:rPr>
            </w:pPr>
            <w:r>
              <w:rPr>
                <w:sz w:val="22"/>
              </w:rPr>
              <w:t>100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meters</w:t>
            </w:r>
          </w:p>
        </w:tc>
      </w:tr>
      <w:tr>
        <w:trPr>
          <w:trHeight w:val="273" w:hRule="atLeast"/>
        </w:trPr>
        <w:tc>
          <w:tcPr>
            <w:tcW w:w="138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40" w:type="dxa"/>
            <w:tcBorders>
              <w:top w:val="nil"/>
            </w:tcBorders>
          </w:tcPr>
          <w:p>
            <w:pPr>
              <w:pStyle w:val="TableParagraph"/>
              <w:spacing w:line="235" w:lineRule="exact" w:before="18"/>
              <w:ind w:left="107"/>
              <w:rPr>
                <w:sz w:val="22"/>
              </w:rPr>
            </w:pPr>
            <w:r>
              <w:rPr>
                <w:sz w:val="22"/>
              </w:rPr>
              <w:t>(0.44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caliber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Magnum)</w:t>
            </w:r>
          </w:p>
        </w:tc>
        <w:tc>
          <w:tcPr>
            <w:tcW w:w="243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228"/>
        <w:ind w:left="440" w:right="256" w:firstLine="720"/>
        <w:jc w:val="both"/>
      </w:pPr>
      <w:r>
        <w:rPr/>
        <w:t>Fragments from indirect weapons, such a ground-fired rockets and mortars, can</w:t>
      </w:r>
      <w:r>
        <w:rPr>
          <w:spacing w:val="1"/>
        </w:rPr>
        <w:t> </w:t>
      </w:r>
      <w:r>
        <w:rPr/>
        <w:t>cause extensive damage even without a direct hit by an explosive device on a structure.</w:t>
      </w:r>
      <w:r>
        <w:rPr>
          <w:spacing w:val="1"/>
        </w:rPr>
        <w:t> </w:t>
      </w:r>
      <w:r>
        <w:rPr/>
        <w:t>Fragments can penetrate, perforate, and ricochet from a structure leading to damage to</w:t>
      </w:r>
      <w:r>
        <w:rPr>
          <w:spacing w:val="1"/>
        </w:rPr>
        <w:t> </w:t>
      </w:r>
      <w:r>
        <w:rPr/>
        <w:t>structural</w:t>
      </w:r>
      <w:r>
        <w:rPr>
          <w:spacing w:val="-3"/>
        </w:rPr>
        <w:t> </w:t>
      </w:r>
      <w:r>
        <w:rPr/>
        <w:t>elements</w:t>
      </w:r>
      <w:r>
        <w:rPr>
          <w:spacing w:val="-2"/>
        </w:rPr>
        <w:t> </w:t>
      </w:r>
      <w:r>
        <w:rPr/>
        <w:t>from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fragments</w:t>
      </w:r>
      <w:r>
        <w:rPr>
          <w:spacing w:val="-2"/>
        </w:rPr>
        <w:t> </w:t>
      </w:r>
      <w:r>
        <w:rPr/>
        <w:t>themselves</w:t>
      </w:r>
      <w:r>
        <w:rPr>
          <w:spacing w:val="-2"/>
        </w:rPr>
        <w:t> </w:t>
      </w:r>
      <w:r>
        <w:rPr/>
        <w:t>as</w:t>
      </w:r>
      <w:r>
        <w:rPr>
          <w:spacing w:val="-3"/>
        </w:rPr>
        <w:t> </w:t>
      </w:r>
      <w:r>
        <w:rPr/>
        <w:t>well</w:t>
      </w:r>
      <w:r>
        <w:rPr>
          <w:spacing w:val="-3"/>
        </w:rPr>
        <w:t> </w:t>
      </w:r>
      <w:r>
        <w:rPr/>
        <w:t>as</w:t>
      </w:r>
      <w:r>
        <w:rPr>
          <w:spacing w:val="-4"/>
        </w:rPr>
        <w:t> </w:t>
      </w:r>
      <w:r>
        <w:rPr/>
        <w:t>spall</w:t>
      </w:r>
      <w:r>
        <w:rPr>
          <w:spacing w:val="-3"/>
        </w:rPr>
        <w:t> </w:t>
      </w:r>
      <w:r>
        <w:rPr/>
        <w:t>damage</w:t>
      </w:r>
      <w:r>
        <w:rPr>
          <w:spacing w:val="-2"/>
        </w:rPr>
        <w:t> </w:t>
      </w:r>
      <w:r>
        <w:rPr/>
        <w:t>from</w:t>
      </w:r>
      <w:r>
        <w:rPr>
          <w:spacing w:val="-5"/>
        </w:rPr>
        <w:t> </w:t>
      </w:r>
      <w:r>
        <w:rPr/>
        <w:t>the</w:t>
      </w:r>
      <w:r>
        <w:rPr>
          <w:spacing w:val="-2"/>
        </w:rPr>
        <w:t> </w:t>
      </w:r>
      <w:r>
        <w:rPr/>
        <w:t>shock</w:t>
      </w:r>
      <w:r>
        <w:rPr>
          <w:spacing w:val="-58"/>
        </w:rPr>
        <w:t> </w:t>
      </w:r>
      <w:r>
        <w:rPr/>
        <w:t>wave of the explosion. Important characteristics in the evaluation of fragment penetration</w:t>
      </w:r>
      <w:r>
        <w:rPr>
          <w:spacing w:val="-57"/>
        </w:rPr>
        <w:t> </w:t>
      </w:r>
      <w:r>
        <w:rPr/>
        <w:t>are similar to those of ballistic penetration: mass, velocity, shape, and dimensions.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characteristics</w:t>
      </w:r>
      <w:r>
        <w:rPr>
          <w:spacing w:val="-1"/>
        </w:rPr>
        <w:t> </w:t>
      </w:r>
      <w:r>
        <w:rPr/>
        <w:t>are used to design in</w:t>
      </w:r>
      <w:r>
        <w:rPr>
          <w:spacing w:val="-2"/>
        </w:rPr>
        <w:t> </w:t>
      </w:r>
      <w:r>
        <w:rPr/>
        <w:t>defense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these threats.</w:t>
      </w:r>
    </w:p>
    <w:p>
      <w:pPr>
        <w:pStyle w:val="BodyText"/>
        <w:spacing w:line="480" w:lineRule="auto" w:before="160"/>
        <w:ind w:left="440" w:right="256" w:firstLine="720"/>
        <w:jc w:val="both"/>
      </w:pPr>
      <w:r>
        <w:rPr/>
        <w:t>Methods to defeat low-level threats can include techniques such as denial of an</w:t>
      </w:r>
      <w:r>
        <w:rPr>
          <w:spacing w:val="1"/>
        </w:rPr>
        <w:t> </w:t>
      </w:r>
      <w:r>
        <w:rPr/>
        <w:t>unobstructed line-of-sight for targeting through site layout, landscaping, fences and walls.</w:t>
      </w:r>
      <w:r>
        <w:rPr>
          <w:spacing w:val="-57"/>
        </w:rPr>
        <w:t> </w:t>
      </w:r>
      <w:r>
        <w:rPr/>
        <w:t>Pre-detonation screens may be used to intercept the threat before the intended target.</w:t>
      </w:r>
      <w:r>
        <w:rPr>
          <w:spacing w:val="1"/>
        </w:rPr>
        <w:t> </w:t>
      </w:r>
      <w:r>
        <w:rPr/>
        <w:t>The</w:t>
      </w:r>
      <w:r>
        <w:rPr>
          <w:spacing w:val="-57"/>
        </w:rPr>
        <w:t> </w:t>
      </w:r>
      <w:r>
        <w:rPr/>
        <w:t>function</w:t>
      </w:r>
      <w:r>
        <w:rPr>
          <w:spacing w:val="30"/>
        </w:rPr>
        <w:t> </w:t>
      </w:r>
      <w:r>
        <w:rPr/>
        <w:t>of</w:t>
      </w:r>
      <w:r>
        <w:rPr>
          <w:spacing w:val="28"/>
        </w:rPr>
        <w:t> </w:t>
      </w:r>
      <w:r>
        <w:rPr/>
        <w:t>this</w:t>
      </w:r>
      <w:r>
        <w:rPr>
          <w:spacing w:val="30"/>
        </w:rPr>
        <w:t> </w:t>
      </w:r>
      <w:r>
        <w:rPr/>
        <w:t>screen</w:t>
      </w:r>
      <w:r>
        <w:rPr>
          <w:spacing w:val="30"/>
        </w:rPr>
        <w:t> </w:t>
      </w:r>
      <w:r>
        <w:rPr/>
        <w:t>is</w:t>
      </w:r>
      <w:r>
        <w:rPr>
          <w:spacing w:val="30"/>
        </w:rPr>
        <w:t> </w:t>
      </w:r>
      <w:r>
        <w:rPr/>
        <w:t>to</w:t>
      </w:r>
      <w:r>
        <w:rPr>
          <w:spacing w:val="30"/>
        </w:rPr>
        <w:t> </w:t>
      </w:r>
      <w:r>
        <w:rPr/>
        <w:t>reduce</w:t>
      </w:r>
      <w:r>
        <w:rPr>
          <w:spacing w:val="28"/>
        </w:rPr>
        <w:t> </w:t>
      </w:r>
      <w:r>
        <w:rPr/>
        <w:t>the</w:t>
      </w:r>
      <w:r>
        <w:rPr>
          <w:spacing w:val="30"/>
        </w:rPr>
        <w:t> </w:t>
      </w:r>
      <w:r>
        <w:rPr/>
        <w:t>energy</w:t>
      </w:r>
      <w:r>
        <w:rPr>
          <w:spacing w:val="30"/>
        </w:rPr>
        <w:t> </w:t>
      </w:r>
      <w:r>
        <w:rPr/>
        <w:t>of</w:t>
      </w:r>
      <w:r>
        <w:rPr>
          <w:spacing w:val="29"/>
        </w:rPr>
        <w:t> </w:t>
      </w:r>
      <w:r>
        <w:rPr/>
        <w:t>the</w:t>
      </w:r>
      <w:r>
        <w:rPr>
          <w:spacing w:val="30"/>
        </w:rPr>
        <w:t> </w:t>
      </w:r>
      <w:r>
        <w:rPr/>
        <w:t>incoming</w:t>
      </w:r>
      <w:r>
        <w:rPr>
          <w:spacing w:val="31"/>
        </w:rPr>
        <w:t> </w:t>
      </w:r>
      <w:r>
        <w:rPr/>
        <w:t>projectile</w:t>
      </w:r>
      <w:r>
        <w:rPr>
          <w:spacing w:val="30"/>
        </w:rPr>
        <w:t> </w:t>
      </w:r>
      <w:r>
        <w:rPr/>
        <w:t>as</w:t>
      </w:r>
      <w:r>
        <w:rPr>
          <w:spacing w:val="29"/>
        </w:rPr>
        <w:t> </w:t>
      </w:r>
      <w:r>
        <w:rPr/>
        <w:t>an</w:t>
      </w:r>
      <w:r>
        <w:rPr>
          <w:spacing w:val="31"/>
        </w:rPr>
        <w:t> </w:t>
      </w:r>
      <w:r>
        <w:rPr/>
        <w:t>energy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40" w:right="257"/>
        <w:jc w:val="both"/>
      </w:pPr>
      <w:r>
        <w:rPr/>
        <w:t>absorption</w:t>
      </w:r>
      <w:r>
        <w:rPr>
          <w:spacing w:val="-10"/>
        </w:rPr>
        <w:t> </w:t>
      </w:r>
      <w:r>
        <w:rPr/>
        <w:t>layer.</w:t>
      </w:r>
      <w:r>
        <w:rPr>
          <w:spacing w:val="43"/>
        </w:rPr>
        <w:t> </w:t>
      </w:r>
      <w:r>
        <w:rPr/>
        <w:t>Use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these</w:t>
      </w:r>
      <w:r>
        <w:rPr>
          <w:spacing w:val="-8"/>
        </w:rPr>
        <w:t> </w:t>
      </w:r>
      <w:r>
        <w:rPr/>
        <w:t>screens</w:t>
      </w:r>
      <w:r>
        <w:rPr>
          <w:spacing w:val="-8"/>
        </w:rPr>
        <w:t> </w:t>
      </w:r>
      <w:r>
        <w:rPr/>
        <w:t>can</w:t>
      </w:r>
      <w:r>
        <w:rPr>
          <w:spacing w:val="-9"/>
        </w:rPr>
        <w:t> </w:t>
      </w:r>
      <w:r>
        <w:rPr/>
        <w:t>be</w:t>
      </w:r>
      <w:r>
        <w:rPr>
          <w:spacing w:val="-8"/>
        </w:rPr>
        <w:t> </w:t>
      </w:r>
      <w:r>
        <w:rPr/>
        <w:t>beneficial</w:t>
      </w:r>
      <w:r>
        <w:rPr>
          <w:spacing w:val="-9"/>
        </w:rPr>
        <w:t> </w:t>
      </w:r>
      <w:r>
        <w:rPr/>
        <w:t>to</w:t>
      </w:r>
      <w:r>
        <w:rPr>
          <w:spacing w:val="-9"/>
        </w:rPr>
        <w:t> </w:t>
      </w:r>
      <w:r>
        <w:rPr/>
        <w:t>protect</w:t>
      </w:r>
      <w:r>
        <w:rPr>
          <w:spacing w:val="-8"/>
        </w:rPr>
        <w:t> </w:t>
      </w:r>
      <w:r>
        <w:rPr/>
        <w:t>areas</w:t>
      </w:r>
      <w:r>
        <w:rPr>
          <w:spacing w:val="-8"/>
        </w:rPr>
        <w:t> </w:t>
      </w:r>
      <w:r>
        <w:rPr/>
        <w:t>needing</w:t>
      </w:r>
      <w:r>
        <w:rPr>
          <w:spacing w:val="-9"/>
        </w:rPr>
        <w:t> </w:t>
      </w:r>
      <w:r>
        <w:rPr/>
        <w:t>additional</w:t>
      </w:r>
      <w:r>
        <w:rPr>
          <w:spacing w:val="-58"/>
        </w:rPr>
        <w:t> </w:t>
      </w:r>
      <w:r>
        <w:rPr/>
        <w:t>security without having to harden the entire facility and can also be a cost effective</w:t>
      </w:r>
      <w:r>
        <w:rPr>
          <w:spacing w:val="1"/>
        </w:rPr>
        <w:t> </w:t>
      </w:r>
      <w:r>
        <w:rPr/>
        <w:t>technique</w:t>
      </w:r>
      <w:r>
        <w:rPr>
          <w:spacing w:val="-1"/>
        </w:rPr>
        <w:t> </w:t>
      </w:r>
      <w:r>
        <w:rPr/>
        <w:t>for construction.</w:t>
      </w:r>
    </w:p>
    <w:p>
      <w:pPr>
        <w:pStyle w:val="BodyText"/>
        <w:spacing w:line="480" w:lineRule="auto" w:before="159"/>
        <w:ind w:left="440" w:right="257" w:firstLine="720"/>
        <w:jc w:val="both"/>
      </w:pPr>
      <w:r>
        <w:rPr/>
        <w:t>Wood is a common material used or considered for use for these screens and the</w:t>
      </w:r>
      <w:r>
        <w:rPr>
          <w:spacing w:val="1"/>
        </w:rPr>
        <w:t> </w:t>
      </w:r>
      <w:r>
        <w:rPr/>
        <w:t>required thickness varies depending on the species of wood as well as the design basis</w:t>
      </w:r>
      <w:r>
        <w:rPr>
          <w:spacing w:val="1"/>
        </w:rPr>
        <w:t> </w:t>
      </w:r>
      <w:r>
        <w:rPr/>
        <w:t>threat level (</w:t>
      </w:r>
      <w:hyperlink w:history="true" w:anchor="_bookmark11">
        <w:r>
          <w:rPr/>
          <w:t>Table 2-9</w:t>
        </w:r>
      </w:hyperlink>
      <w:r>
        <w:rPr/>
        <w:t>).</w:t>
      </w:r>
      <w:r>
        <w:rPr>
          <w:spacing w:val="1"/>
        </w:rPr>
        <w:t> </w:t>
      </w:r>
      <w:r>
        <w:rPr/>
        <w:t>Currently, wood is not assessed for the design of a protective</w:t>
      </w:r>
      <w:r>
        <w:rPr>
          <w:spacing w:val="1"/>
        </w:rPr>
        <w:t> </w:t>
      </w:r>
      <w:r>
        <w:rPr/>
        <w:t>structure beyond use as a pre-detonation screen because of its low strength compared to</w:t>
      </w:r>
      <w:r>
        <w:rPr>
          <w:spacing w:val="1"/>
        </w:rPr>
        <w:t> </w:t>
      </w:r>
      <w:r>
        <w:rPr/>
        <w:t>steel and concrete.</w:t>
      </w:r>
      <w:r>
        <w:rPr>
          <w:spacing w:val="1"/>
        </w:rPr>
        <w:t> </w:t>
      </w:r>
      <w:r>
        <w:rPr/>
        <w:t>Technical manuals cite that wood is often used in expedient field</w:t>
      </w:r>
      <w:r>
        <w:rPr>
          <w:spacing w:val="1"/>
        </w:rPr>
        <w:t> </w:t>
      </w:r>
      <w:r>
        <w:rPr/>
        <w:t>construction and some protective shelters thanks to its high strength to weight ratio. Mass</w:t>
      </w:r>
      <w:r>
        <w:rPr>
          <w:spacing w:val="-57"/>
        </w:rPr>
        <w:t> </w:t>
      </w:r>
      <w:r>
        <w:rPr/>
        <w:t>timber products, such as CLT, which can achieve strengths comparable to steel and</w:t>
      </w:r>
      <w:r>
        <w:rPr>
          <w:spacing w:val="1"/>
        </w:rPr>
        <w:t> </w:t>
      </w:r>
      <w:r>
        <w:rPr/>
        <w:t>concrete</w:t>
      </w:r>
      <w:r>
        <w:rPr>
          <w:spacing w:val="-1"/>
        </w:rPr>
        <w:t> </w:t>
      </w:r>
      <w:r>
        <w:rPr/>
        <w:t>construction</w:t>
      </w:r>
      <w:r>
        <w:rPr>
          <w:spacing w:val="-1"/>
        </w:rPr>
        <w:t> </w:t>
      </w:r>
      <w:r>
        <w:rPr/>
        <w:t>methods,</w:t>
      </w:r>
      <w:r>
        <w:rPr>
          <w:spacing w:val="-1"/>
        </w:rPr>
        <w:t> </w:t>
      </w:r>
      <w:r>
        <w:rPr/>
        <w:t>change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viability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wood</w:t>
      </w:r>
      <w:r>
        <w:rPr>
          <w:spacing w:val="-1"/>
        </w:rPr>
        <w:t> </w:t>
      </w:r>
      <w:r>
        <w:rPr/>
        <w:t>use for</w:t>
      </w:r>
      <w:r>
        <w:rPr>
          <w:spacing w:val="-1"/>
        </w:rPr>
        <w:t> </w:t>
      </w:r>
      <w:r>
        <w:rPr/>
        <w:t>protective</w:t>
      </w:r>
      <w:r>
        <w:rPr>
          <w:spacing w:val="-1"/>
        </w:rPr>
        <w:t> </w:t>
      </w:r>
      <w:r>
        <w:rPr/>
        <w:t>design.</w:t>
      </w:r>
    </w:p>
    <w:p>
      <w:pPr>
        <w:pStyle w:val="BodyText"/>
        <w:spacing w:line="480" w:lineRule="auto" w:before="160"/>
        <w:ind w:left="440" w:right="256" w:firstLine="720"/>
        <w:jc w:val="both"/>
      </w:pPr>
      <w:r>
        <w:rPr/>
        <w:t>Thanks to its use as a protective screen, wood penetration has been examined and</w:t>
      </w:r>
      <w:r>
        <w:rPr>
          <w:spacing w:val="1"/>
        </w:rPr>
        <w:t> </w:t>
      </w:r>
      <w:r>
        <w:rPr/>
        <w:t>experimental</w:t>
      </w:r>
      <w:r>
        <w:rPr>
          <w:spacing w:val="1"/>
        </w:rPr>
        <w:t> </w:t>
      </w:r>
      <w:r>
        <w:rPr/>
        <w:t>testing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traditional</w:t>
      </w:r>
      <w:r>
        <w:rPr>
          <w:spacing w:val="1"/>
        </w:rPr>
        <w:t> </w:t>
      </w:r>
      <w:r>
        <w:rPr/>
        <w:t>sawn</w:t>
      </w:r>
      <w:r>
        <w:rPr>
          <w:spacing w:val="1"/>
        </w:rPr>
        <w:t> </w:t>
      </w:r>
      <w:r>
        <w:rPr/>
        <w:t>timber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plywood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yielded</w:t>
      </w:r>
      <w:r>
        <w:rPr>
          <w:spacing w:val="1"/>
        </w:rPr>
        <w:t> </w:t>
      </w:r>
      <w:r>
        <w:rPr/>
        <w:t>empirical</w:t>
      </w:r>
      <w:r>
        <w:rPr>
          <w:spacing w:val="-57"/>
        </w:rPr>
        <w:t> </w:t>
      </w:r>
      <w:r>
        <w:rPr/>
        <w:t>equations relating wood penetration to fragments and projectiles.</w:t>
      </w:r>
      <w:r>
        <w:rPr>
          <w:spacing w:val="1"/>
        </w:rPr>
        <w:t> </w:t>
      </w:r>
      <w:r>
        <w:rPr/>
        <w:t>The UFC for direct fire</w:t>
      </w:r>
      <w:r>
        <w:rPr>
          <w:spacing w:val="-57"/>
        </w:rPr>
        <w:t> </w:t>
      </w:r>
      <w:r>
        <w:rPr/>
        <w:t>threats provides an equation, shown in Equation 2.4, to determine the thickness of wood</w:t>
      </w:r>
      <w:r>
        <w:rPr>
          <w:spacing w:val="1"/>
        </w:rPr>
        <w:t> </w:t>
      </w:r>
      <w:r>
        <w:rPr/>
        <w:t>required to resist perforation [7].</w:t>
      </w:r>
      <w:r>
        <w:rPr>
          <w:spacing w:val="1"/>
        </w:rPr>
        <w:t> </w:t>
      </w:r>
      <w:r>
        <w:rPr>
          <w:i/>
        </w:rPr>
        <w:t>Penetration </w:t>
      </w:r>
      <w:r>
        <w:rPr/>
        <w:t>is defined at the entrance of the projectile</w:t>
      </w:r>
      <w:r>
        <w:rPr>
          <w:spacing w:val="1"/>
        </w:rPr>
        <w:t> </w:t>
      </w:r>
      <w:r>
        <w:rPr/>
        <w:t>into the target without complete passage while </w:t>
      </w:r>
      <w:r>
        <w:rPr>
          <w:i/>
        </w:rPr>
        <w:t>perforation </w:t>
      </w:r>
      <w:r>
        <w:rPr/>
        <w:t>is defined as complete passage</w:t>
      </w:r>
      <w:r>
        <w:rPr>
          <w:spacing w:val="-57"/>
        </w:rPr>
        <w:t> </w:t>
      </w:r>
      <w:r>
        <w:rPr/>
        <w:t>through</w:t>
      </w:r>
      <w:r>
        <w:rPr>
          <w:spacing w:val="-1"/>
        </w:rPr>
        <w:t> </w:t>
      </w:r>
      <w:r>
        <w:rPr/>
        <w:t>the target by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projectile [67].</w:t>
      </w:r>
    </w:p>
    <w:p>
      <w:pPr>
        <w:pStyle w:val="BodyText"/>
        <w:spacing w:line="480" w:lineRule="auto" w:before="160"/>
        <w:ind w:left="440" w:right="257" w:firstLine="720"/>
        <w:jc w:val="both"/>
      </w:pPr>
      <w:r>
        <w:rPr/>
        <w:t>Common wood density and hardness parameters are provided in the UFC for a</w:t>
      </w:r>
      <w:r>
        <w:rPr>
          <w:spacing w:val="1"/>
        </w:rPr>
        <w:t> </w:t>
      </w:r>
      <w:r>
        <w:rPr/>
        <w:t>variety of wood species at both dry and wet states.</w:t>
      </w:r>
      <w:r>
        <w:rPr>
          <w:spacing w:val="1"/>
        </w:rPr>
        <w:t> </w:t>
      </w:r>
      <w:r>
        <w:rPr/>
        <w:t>This research shows that Equation 2.2</w:t>
      </w:r>
      <w:r>
        <w:rPr>
          <w:spacing w:val="-57"/>
        </w:rPr>
        <w:t> </w:t>
      </w:r>
      <w:r>
        <w:rPr/>
        <w:t>does not apply to CLT or that the equation may need factoring or adjustment for the</w:t>
      </w:r>
      <w:r>
        <w:rPr>
          <w:spacing w:val="1"/>
        </w:rPr>
        <w:t> </w:t>
      </w:r>
      <w:r>
        <w:rPr/>
        <w:t>significantly</w:t>
      </w:r>
      <w:r>
        <w:rPr>
          <w:spacing w:val="-3"/>
        </w:rPr>
        <w:t> </w:t>
      </w:r>
      <w:r>
        <w:rPr/>
        <w:t>thicker wood</w:t>
      </w:r>
      <w:r>
        <w:rPr>
          <w:spacing w:val="-1"/>
        </w:rPr>
        <w:t> </w:t>
      </w:r>
      <w:r>
        <w:rPr/>
        <w:t>products available in</w:t>
      </w:r>
      <w:r>
        <w:rPr>
          <w:spacing w:val="-3"/>
        </w:rPr>
        <w:t> </w:t>
      </w:r>
      <w:r>
        <w:rPr/>
        <w:t>engineered wood</w:t>
      </w:r>
      <w:r>
        <w:rPr>
          <w:spacing w:val="-1"/>
        </w:rPr>
        <w:t> </w:t>
      </w:r>
      <w:r>
        <w:rPr/>
        <w:t>products.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before="4"/>
        <w:rPr>
          <w:sz w:val="13"/>
        </w:rPr>
      </w:pPr>
      <w:r>
        <w:rPr/>
        <w:pict>
          <v:rect style="position:absolute;margin-left:285.480011pt;margin-top:113.519997pt;width:21.42pt;height:.78pt;mso-position-horizontal-relative:page;mso-position-vertical-relative:page;z-index:-34959872" filled="true" fillcolor="#000000" stroked="false">
            <v:fill type="solid"/>
            <w10:wrap type="none"/>
          </v:rect>
        </w:pict>
      </w:r>
      <w:r>
        <w:rPr/>
        <w:pict>
          <v:rect style="position:absolute;margin-left:267.660004pt;margin-top:99pt;width:112.44pt;height:.78pt;mso-position-horizontal-relative:page;mso-position-vertical-relative:page;z-index:-34959360" filled="true" fillcolor="#000000" stroked="false">
            <v:fill type="solid"/>
            <w10:wrap type="none"/>
          </v:rect>
        </w:pict>
      </w:r>
    </w:p>
    <w:tbl>
      <w:tblPr>
        <w:tblW w:w="0" w:type="auto"/>
        <w:jc w:val="left"/>
        <w:tblInd w:w="219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05"/>
        <w:gridCol w:w="701"/>
        <w:gridCol w:w="2013"/>
        <w:gridCol w:w="1580"/>
      </w:tblGrid>
      <w:tr>
        <w:trPr>
          <w:trHeight w:val="959" w:hRule="atLeast"/>
        </w:trPr>
        <w:tc>
          <w:tcPr>
            <w:tcW w:w="4719" w:type="dxa"/>
            <w:gridSpan w:val="3"/>
          </w:tcPr>
          <w:p>
            <w:pPr>
              <w:pStyle w:val="TableParagraph"/>
              <w:spacing w:line="139" w:lineRule="auto" w:before="29"/>
              <w:ind w:left="1424" w:right="1005"/>
              <w:jc w:val="center"/>
              <w:rPr>
                <w:rFonts w:ascii="Cambria Math" w:eastAsia="Cambria Math"/>
                <w:sz w:val="17"/>
              </w:rPr>
            </w:pPr>
            <w:r>
              <w:rPr>
                <w:rFonts w:ascii="Cambria Math" w:eastAsia="Cambria Math"/>
                <w:w w:val="105"/>
                <w:position w:val="-8"/>
                <w:sz w:val="24"/>
              </w:rPr>
              <w:t>𝑣</w:t>
            </w:r>
            <w:r>
              <w:rPr>
                <w:rFonts w:ascii="Cambria Math" w:eastAsia="Cambria Math"/>
                <w:w w:val="105"/>
                <w:sz w:val="17"/>
              </w:rPr>
              <w:t>0.4113</w:t>
            </w:r>
            <w:r>
              <w:rPr>
                <w:rFonts w:ascii="Cambria Math" w:eastAsia="Cambria Math"/>
                <w:w w:val="105"/>
                <w:position w:val="-8"/>
                <w:sz w:val="24"/>
              </w:rPr>
              <w:t>𝑤</w:t>
            </w:r>
            <w:r>
              <w:rPr>
                <w:rFonts w:ascii="Cambria Math" w:eastAsia="Cambria Math"/>
                <w:w w:val="105"/>
                <w:sz w:val="17"/>
              </w:rPr>
              <w:t>1.4897</w:t>
            </w:r>
          </w:p>
          <w:p>
            <w:pPr>
              <w:pStyle w:val="TableParagraph"/>
              <w:tabs>
                <w:tab w:pos="1805" w:val="left" w:leader="none"/>
                <w:tab w:pos="3699" w:val="left" w:leader="none"/>
              </w:tabs>
              <w:spacing w:line="151" w:lineRule="auto"/>
              <w:ind w:left="200"/>
              <w:rPr>
                <w:rFonts w:ascii="Cambria Math" w:hAnsi="Cambria Math" w:cs="Cambria Math" w:eastAsia="Cambria Math"/>
                <w:sz w:val="24"/>
                <w:szCs w:val="24"/>
              </w:rPr>
            </w:pPr>
            <w:r>
              <w:rPr>
                <w:rFonts w:ascii="Cambria Math" w:hAnsi="Cambria Math" w:cs="Cambria Math" w:eastAsia="Cambria Math"/>
                <w:spacing w:val="-1"/>
                <w:w w:val="80"/>
                <w:sz w:val="24"/>
                <w:szCs w:val="24"/>
              </w:rPr>
              <w:t>𝑇</w:t>
            </w:r>
            <w:r>
              <w:rPr>
                <w:rFonts w:ascii="Cambria Math" w:hAnsi="Cambria Math" w:cs="Cambria Math" w:eastAsia="Cambria Math"/>
                <w:spacing w:val="-1"/>
                <w:w w:val="80"/>
                <w:sz w:val="24"/>
                <w:szCs w:val="24"/>
                <w:vertAlign w:val="subscript"/>
              </w:rPr>
              <w:t>𝑤𝑤</w:t>
            </w:r>
            <w:r>
              <w:rPr>
                <w:rFonts w:ascii="Cambria Math" w:hAnsi="Cambria Math" w:cs="Cambria Math" w:eastAsia="Cambria Math"/>
                <w:spacing w:val="37"/>
                <w:w w:val="80"/>
                <w:sz w:val="24"/>
                <w:szCs w:val="24"/>
                <w:vertAlign w:val="baseline"/>
              </w:rPr>
              <w:t> </w:t>
            </w:r>
            <w:r>
              <w:rPr>
                <w:rFonts w:ascii="Cambria Math" w:hAnsi="Cambria Math" w:cs="Cambria Math" w:eastAsia="Cambria Math"/>
                <w:w w:val="80"/>
                <w:sz w:val="24"/>
                <w:szCs w:val="24"/>
                <w:vertAlign w:val="baseline"/>
              </w:rPr>
              <w:t>=</w:t>
            </w:r>
            <w:r>
              <w:rPr>
                <w:rFonts w:ascii="Cambria Math" w:hAnsi="Cambria Math" w:cs="Cambria Math" w:eastAsia="Cambria Math"/>
                <w:spacing w:val="24"/>
                <w:w w:val="80"/>
                <w:sz w:val="24"/>
                <w:szCs w:val="24"/>
                <w:vertAlign w:val="baseline"/>
              </w:rPr>
              <w:t> </w:t>
            </w:r>
            <w:r>
              <w:rPr>
                <w:rFonts w:ascii="Cambria Math" w:hAnsi="Cambria Math" w:cs="Cambria Math" w:eastAsia="Cambria Math"/>
                <w:w w:val="80"/>
                <w:sz w:val="24"/>
                <w:szCs w:val="24"/>
                <w:vertAlign w:val="baseline"/>
              </w:rPr>
              <w:t>9837</w:t>
            </w:r>
            <w:r>
              <w:rPr>
                <w:rFonts w:ascii="Cambria Math" w:hAnsi="Cambria Math" w:cs="Cambria Math" w:eastAsia="Cambria Math"/>
                <w:spacing w:val="-3"/>
                <w:w w:val="80"/>
                <w:sz w:val="24"/>
                <w:szCs w:val="24"/>
                <w:vertAlign w:val="baseline"/>
              </w:rPr>
              <w:t> </w:t>
            </w:r>
            <w:r>
              <w:rPr>
                <w:rFonts w:ascii="Cambria Math" w:hAnsi="Cambria Math" w:cs="Cambria Math" w:eastAsia="Cambria Math"/>
                <w:w w:val="80"/>
                <w:sz w:val="24"/>
                <w:szCs w:val="24"/>
                <w:vertAlign w:val="baseline"/>
              </w:rPr>
              <w:t>�</w:t>
              <w:tab/>
            </w:r>
            <w:r>
              <w:rPr>
                <w:rFonts w:ascii="Cambria Math" w:hAnsi="Cambria Math" w:cs="Cambria Math" w:eastAsia="Cambria Math"/>
                <w:position w:val="-14"/>
                <w:sz w:val="24"/>
                <w:szCs w:val="24"/>
                <w:vertAlign w:val="baseline"/>
              </w:rPr>
              <w:t>𝜋𝐷</w:t>
            </w:r>
            <w:r>
              <w:rPr>
                <w:rFonts w:ascii="Cambria Math" w:hAnsi="Cambria Math" w:cs="Cambria Math" w:eastAsia="Cambria Math"/>
                <w:position w:val="-7"/>
                <w:sz w:val="17"/>
                <w:szCs w:val="17"/>
                <w:vertAlign w:val="baseline"/>
              </w:rPr>
              <w:t>2</w:t>
              <w:tab/>
            </w:r>
            <w:r>
              <w:rPr>
                <w:rFonts w:ascii="Cambria Math" w:hAnsi="Cambria Math" w:cs="Cambria Math" w:eastAsia="Cambria Math"/>
                <w:w w:val="80"/>
                <w:sz w:val="24"/>
                <w:szCs w:val="24"/>
                <w:vertAlign w:val="baseline"/>
              </w:rPr>
              <w:t>�</w:t>
            </w:r>
          </w:p>
          <w:p>
            <w:pPr>
              <w:pStyle w:val="TableParagraph"/>
              <w:spacing w:line="91" w:lineRule="auto"/>
              <w:ind w:left="1434" w:right="1005"/>
              <w:jc w:val="center"/>
              <w:rPr>
                <w:rFonts w:ascii="Cambria Math" w:hAnsi="Cambria Math" w:cs="Cambria Math" w:eastAsia="Cambria Math"/>
                <w:sz w:val="24"/>
                <w:szCs w:val="24"/>
              </w:rPr>
            </w:pPr>
            <w:r>
              <w:rPr>
                <w:rFonts w:ascii="Cambria Math" w:hAnsi="Cambria Math" w:cs="Cambria Math" w:eastAsia="Cambria Math"/>
                <w:w w:val="49"/>
                <w:position w:val="-6"/>
                <w:sz w:val="24"/>
                <w:szCs w:val="24"/>
              </w:rPr>
              <w:t>�</w:t>
            </w:r>
            <w:r>
              <w:rPr>
                <w:rFonts w:ascii="Cambria Math" w:hAnsi="Cambria Math" w:cs="Cambria Math" w:eastAsia="Cambria Math"/>
                <w:spacing w:val="2"/>
                <w:position w:val="-6"/>
                <w:sz w:val="24"/>
                <w:szCs w:val="24"/>
              </w:rPr>
              <w:t>𝜌</w:t>
            </w:r>
            <w:r>
              <w:rPr>
                <w:rFonts w:ascii="Cambria Math" w:hAnsi="Cambria Math" w:cs="Cambria Math" w:eastAsia="Cambria Math"/>
                <w:position w:val="-6"/>
                <w:sz w:val="24"/>
                <w:szCs w:val="24"/>
              </w:rPr>
              <w:t>(  </w:t>
            </w:r>
            <w:r>
              <w:rPr>
                <w:rFonts w:ascii="Cambria Math" w:hAnsi="Cambria Math" w:cs="Cambria Math" w:eastAsia="Cambria Math"/>
                <w:spacing w:val="-11"/>
                <w:position w:val="-6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position w:val="-18"/>
                <w:sz w:val="24"/>
                <w:szCs w:val="24"/>
              </w:rPr>
              <w:t>4  </w:t>
            </w:r>
            <w:r>
              <w:rPr>
                <w:rFonts w:ascii="Cambria Math" w:hAnsi="Cambria Math" w:cs="Cambria Math" w:eastAsia="Cambria Math"/>
                <w:spacing w:val="-11"/>
                <w:position w:val="-18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spacing w:val="-5"/>
                <w:position w:val="-6"/>
                <w:sz w:val="24"/>
                <w:szCs w:val="24"/>
              </w:rPr>
              <w:t>)</w:t>
            </w:r>
            <w:r>
              <w:rPr>
                <w:rFonts w:ascii="Cambria Math" w:hAnsi="Cambria Math" w:cs="Cambria Math" w:eastAsia="Cambria Math"/>
                <w:spacing w:val="-1"/>
                <w:w w:val="104"/>
                <w:sz w:val="17"/>
                <w:szCs w:val="17"/>
              </w:rPr>
              <w:t>1</w:t>
            </w:r>
            <w:r>
              <w:rPr>
                <w:rFonts w:ascii="Cambria Math" w:hAnsi="Cambria Math" w:cs="Cambria Math" w:eastAsia="Cambria Math"/>
                <w:spacing w:val="-1"/>
                <w:w w:val="100"/>
                <w:sz w:val="17"/>
                <w:szCs w:val="17"/>
              </w:rPr>
              <w:t>.</w:t>
            </w:r>
            <w:r>
              <w:rPr>
                <w:rFonts w:ascii="Cambria Math" w:hAnsi="Cambria Math" w:cs="Cambria Math" w:eastAsia="Cambria Math"/>
                <w:spacing w:val="-1"/>
                <w:w w:val="104"/>
                <w:sz w:val="17"/>
                <w:szCs w:val="17"/>
              </w:rPr>
              <w:t>35</w:t>
            </w:r>
            <w:r>
              <w:rPr>
                <w:rFonts w:ascii="Cambria Math" w:hAnsi="Cambria Math" w:cs="Cambria Math" w:eastAsia="Cambria Math"/>
                <w:spacing w:val="-1"/>
                <w:w w:val="99"/>
                <w:sz w:val="17"/>
                <w:szCs w:val="17"/>
              </w:rPr>
              <w:t>9</w:t>
            </w:r>
            <w:r>
              <w:rPr>
                <w:rFonts w:ascii="Cambria Math" w:hAnsi="Cambria Math" w:cs="Cambria Math" w:eastAsia="Cambria Math"/>
                <w:spacing w:val="10"/>
                <w:w w:val="104"/>
                <w:sz w:val="17"/>
                <w:szCs w:val="17"/>
              </w:rPr>
              <w:t>6</w:t>
            </w:r>
            <w:r>
              <w:rPr>
                <w:rFonts w:ascii="Cambria Math" w:hAnsi="Cambria Math" w:cs="Cambria Math" w:eastAsia="Cambria Math"/>
                <w:spacing w:val="7"/>
                <w:position w:val="-6"/>
                <w:sz w:val="24"/>
                <w:szCs w:val="24"/>
              </w:rPr>
              <w:t>𝐻</w:t>
            </w:r>
            <w:r>
              <w:rPr>
                <w:rFonts w:ascii="Cambria Math" w:hAnsi="Cambria Math" w:cs="Cambria Math" w:eastAsia="Cambria Math"/>
                <w:spacing w:val="-1"/>
                <w:w w:val="104"/>
                <w:sz w:val="17"/>
                <w:szCs w:val="17"/>
              </w:rPr>
              <w:t>0</w:t>
            </w:r>
            <w:r>
              <w:rPr>
                <w:rFonts w:ascii="Cambria Math" w:hAnsi="Cambria Math" w:cs="Cambria Math" w:eastAsia="Cambria Math"/>
                <w:spacing w:val="-1"/>
                <w:w w:val="100"/>
                <w:sz w:val="17"/>
                <w:szCs w:val="17"/>
              </w:rPr>
              <w:t>.</w:t>
            </w:r>
            <w:r>
              <w:rPr>
                <w:rFonts w:ascii="Cambria Math" w:hAnsi="Cambria Math" w:cs="Cambria Math" w:eastAsia="Cambria Math"/>
                <w:spacing w:val="-1"/>
                <w:w w:val="104"/>
                <w:sz w:val="17"/>
                <w:szCs w:val="17"/>
              </w:rPr>
              <w:t>541</w:t>
            </w:r>
            <w:r>
              <w:rPr>
                <w:rFonts w:ascii="Cambria Math" w:hAnsi="Cambria Math" w:cs="Cambria Math" w:eastAsia="Cambria Math"/>
                <w:spacing w:val="9"/>
                <w:w w:val="104"/>
                <w:sz w:val="17"/>
                <w:szCs w:val="17"/>
              </w:rPr>
              <w:t>4</w:t>
            </w:r>
            <w:r>
              <w:rPr>
                <w:rFonts w:ascii="Cambria Math" w:hAnsi="Cambria Math" w:cs="Cambria Math" w:eastAsia="Cambria Math"/>
                <w:w w:val="49"/>
                <w:position w:val="-6"/>
                <w:sz w:val="24"/>
                <w:szCs w:val="24"/>
              </w:rPr>
              <w:t>�</w:t>
            </w:r>
          </w:p>
        </w:tc>
        <w:tc>
          <w:tcPr>
            <w:tcW w:w="1580" w:type="dxa"/>
          </w:tcPr>
          <w:p>
            <w:pPr>
              <w:pStyle w:val="TableParagraph"/>
              <w:spacing w:before="184"/>
              <w:ind w:left="920"/>
              <w:rPr>
                <w:sz w:val="24"/>
              </w:rPr>
            </w:pPr>
            <w:r>
              <w:rPr>
                <w:sz w:val="24"/>
              </w:rPr>
              <w:t>(2.4)</w:t>
            </w:r>
          </w:p>
        </w:tc>
      </w:tr>
      <w:tr>
        <w:trPr>
          <w:trHeight w:val="671" w:hRule="atLeast"/>
        </w:trPr>
        <w:tc>
          <w:tcPr>
            <w:tcW w:w="2005" w:type="dxa"/>
          </w:tcPr>
          <w:p>
            <w:pPr>
              <w:pStyle w:val="TableParagraph"/>
              <w:spacing w:before="82"/>
              <w:ind w:left="1287"/>
              <w:rPr>
                <w:sz w:val="24"/>
              </w:rPr>
            </w:pPr>
            <w:r>
              <w:rPr>
                <w:sz w:val="24"/>
              </w:rPr>
              <w:t>where</w:t>
            </w:r>
          </w:p>
        </w:tc>
        <w:tc>
          <w:tcPr>
            <w:tcW w:w="701" w:type="dxa"/>
          </w:tcPr>
          <w:p>
            <w:pPr>
              <w:pStyle w:val="TableParagraph"/>
              <w:spacing w:before="83"/>
              <w:ind w:right="105"/>
              <w:jc w:val="right"/>
              <w:rPr>
                <w:i/>
                <w:sz w:val="24"/>
              </w:rPr>
            </w:pPr>
            <w:r>
              <w:rPr>
                <w:i/>
                <w:position w:val="1"/>
                <w:sz w:val="24"/>
              </w:rPr>
              <w:t>T</w:t>
            </w:r>
            <w:r>
              <w:rPr>
                <w:i/>
                <w:sz w:val="16"/>
              </w:rPr>
              <w:t>w</w:t>
            </w:r>
            <w:r>
              <w:rPr>
                <w:i/>
                <w:spacing w:val="19"/>
                <w:sz w:val="16"/>
              </w:rPr>
              <w:t> </w:t>
            </w:r>
            <w:r>
              <w:rPr>
                <w:i/>
                <w:position w:val="1"/>
                <w:sz w:val="24"/>
              </w:rPr>
              <w:t>=</w:t>
            </w:r>
          </w:p>
        </w:tc>
        <w:tc>
          <w:tcPr>
            <w:tcW w:w="3593" w:type="dxa"/>
            <w:gridSpan w:val="2"/>
          </w:tcPr>
          <w:p>
            <w:pPr>
              <w:pStyle w:val="TableParagraph"/>
              <w:spacing w:line="290" w:lineRule="atLeast" w:before="68"/>
              <w:ind w:left="108" w:right="479"/>
              <w:rPr>
                <w:sz w:val="24"/>
              </w:rPr>
            </w:pPr>
            <w:r>
              <w:rPr>
                <w:sz w:val="24"/>
              </w:rPr>
              <w:t>thickness of wood necessary to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prevent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perforation (in)</w:t>
            </w:r>
          </w:p>
        </w:tc>
      </w:tr>
      <w:tr>
        <w:trPr>
          <w:trHeight w:val="298" w:hRule="atLeast"/>
        </w:trPr>
        <w:tc>
          <w:tcPr>
            <w:tcW w:w="200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01" w:type="dxa"/>
          </w:tcPr>
          <w:p>
            <w:pPr>
              <w:pStyle w:val="TableParagraph"/>
              <w:spacing w:line="271" w:lineRule="exact" w:before="7"/>
              <w:ind w:right="105"/>
              <w:jc w:val="right"/>
              <w:rPr>
                <w:i/>
                <w:sz w:val="24"/>
              </w:rPr>
            </w:pPr>
            <w:r>
              <w:rPr>
                <w:i/>
                <w:sz w:val="24"/>
              </w:rPr>
              <w:t>v =</w:t>
            </w:r>
          </w:p>
        </w:tc>
        <w:tc>
          <w:tcPr>
            <w:tcW w:w="3593" w:type="dxa"/>
            <w:gridSpan w:val="2"/>
          </w:tcPr>
          <w:p>
            <w:pPr>
              <w:pStyle w:val="TableParagraph"/>
              <w:spacing w:line="272" w:lineRule="exact" w:before="5"/>
              <w:ind w:left="108"/>
              <w:rPr>
                <w:sz w:val="24"/>
              </w:rPr>
            </w:pPr>
            <w:r>
              <w:rPr>
                <w:sz w:val="24"/>
              </w:rPr>
              <w:t>projectile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impact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velocity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(ft/sec)</w:t>
            </w:r>
          </w:p>
        </w:tc>
      </w:tr>
      <w:tr>
        <w:trPr>
          <w:trHeight w:val="289" w:hRule="atLeast"/>
        </w:trPr>
        <w:tc>
          <w:tcPr>
            <w:tcW w:w="200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701" w:type="dxa"/>
          </w:tcPr>
          <w:p>
            <w:pPr>
              <w:pStyle w:val="TableParagraph"/>
              <w:spacing w:line="263" w:lineRule="exact" w:before="6"/>
              <w:ind w:right="105"/>
              <w:jc w:val="right"/>
              <w:rPr>
                <w:i/>
                <w:sz w:val="24"/>
              </w:rPr>
            </w:pPr>
            <w:r>
              <w:rPr>
                <w:i/>
                <w:sz w:val="24"/>
              </w:rPr>
              <w:t>w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=</w:t>
            </w:r>
          </w:p>
        </w:tc>
        <w:tc>
          <w:tcPr>
            <w:tcW w:w="3593" w:type="dxa"/>
            <w:gridSpan w:val="2"/>
          </w:tcPr>
          <w:p>
            <w:pPr>
              <w:pStyle w:val="TableParagraph"/>
              <w:spacing w:line="264" w:lineRule="exact" w:before="5"/>
              <w:ind w:left="108"/>
              <w:rPr>
                <w:sz w:val="24"/>
              </w:rPr>
            </w:pPr>
            <w:r>
              <w:rPr>
                <w:sz w:val="24"/>
              </w:rPr>
              <w:t>projectile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weight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(lb)</w:t>
            </w:r>
          </w:p>
        </w:tc>
      </w:tr>
      <w:tr>
        <w:trPr>
          <w:trHeight w:val="298" w:hRule="atLeast"/>
        </w:trPr>
        <w:tc>
          <w:tcPr>
            <w:tcW w:w="200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01" w:type="dxa"/>
          </w:tcPr>
          <w:p>
            <w:pPr>
              <w:pStyle w:val="TableParagraph"/>
              <w:spacing w:line="262" w:lineRule="exact" w:before="16"/>
              <w:ind w:right="105"/>
              <w:jc w:val="right"/>
              <w:rPr>
                <w:i/>
                <w:sz w:val="24"/>
              </w:rPr>
            </w:pPr>
            <w:r>
              <w:rPr>
                <w:i/>
                <w:sz w:val="24"/>
              </w:rPr>
              <w:t>D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=</w:t>
            </w:r>
          </w:p>
        </w:tc>
        <w:tc>
          <w:tcPr>
            <w:tcW w:w="3593" w:type="dxa"/>
            <w:gridSpan w:val="2"/>
          </w:tcPr>
          <w:p>
            <w:pPr>
              <w:pStyle w:val="TableParagraph"/>
              <w:spacing w:line="263" w:lineRule="exact" w:before="15"/>
              <w:ind w:left="108"/>
              <w:rPr>
                <w:sz w:val="24"/>
              </w:rPr>
            </w:pPr>
            <w:r>
              <w:rPr>
                <w:sz w:val="24"/>
              </w:rPr>
              <w:t>projectile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diameter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(in</w:t>
            </w:r>
            <w:r>
              <w:rPr>
                <w:sz w:val="24"/>
                <w:vertAlign w:val="superscript"/>
              </w:rPr>
              <w:t>2</w:t>
            </w:r>
            <w:r>
              <w:rPr>
                <w:sz w:val="24"/>
                <w:vertAlign w:val="baseline"/>
              </w:rPr>
              <w:t>)</w:t>
            </w:r>
          </w:p>
        </w:tc>
      </w:tr>
      <w:tr>
        <w:trPr>
          <w:trHeight w:val="306" w:hRule="atLeast"/>
        </w:trPr>
        <w:tc>
          <w:tcPr>
            <w:tcW w:w="200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01" w:type="dxa"/>
          </w:tcPr>
          <w:p>
            <w:pPr>
              <w:pStyle w:val="TableParagraph"/>
              <w:spacing w:line="271" w:lineRule="exact" w:before="15"/>
              <w:ind w:right="105"/>
              <w:jc w:val="right"/>
              <w:rPr>
                <w:i/>
                <w:sz w:val="24"/>
              </w:rPr>
            </w:pPr>
            <w:r>
              <w:rPr>
                <w:i/>
                <w:sz w:val="24"/>
              </w:rPr>
              <w:t>ρ =</w:t>
            </w:r>
          </w:p>
        </w:tc>
        <w:tc>
          <w:tcPr>
            <w:tcW w:w="3593" w:type="dxa"/>
            <w:gridSpan w:val="2"/>
          </w:tcPr>
          <w:p>
            <w:pPr>
              <w:pStyle w:val="TableParagraph"/>
              <w:spacing w:line="272" w:lineRule="exact" w:before="14"/>
              <w:ind w:left="108"/>
              <w:rPr>
                <w:sz w:val="24"/>
              </w:rPr>
            </w:pPr>
            <w:r>
              <w:rPr>
                <w:sz w:val="24"/>
              </w:rPr>
              <w:t>wood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density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(lb/ft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z w:val="24"/>
                <w:vertAlign w:val="baseline"/>
              </w:rPr>
              <w:t>)</w:t>
            </w:r>
          </w:p>
        </w:tc>
      </w:tr>
      <w:tr>
        <w:trPr>
          <w:trHeight w:val="282" w:hRule="atLeast"/>
        </w:trPr>
        <w:tc>
          <w:tcPr>
            <w:tcW w:w="200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701" w:type="dxa"/>
          </w:tcPr>
          <w:p>
            <w:pPr>
              <w:pStyle w:val="TableParagraph"/>
              <w:spacing w:line="256" w:lineRule="exact" w:before="6"/>
              <w:ind w:right="105"/>
              <w:jc w:val="right"/>
              <w:rPr>
                <w:i/>
                <w:sz w:val="24"/>
              </w:rPr>
            </w:pPr>
            <w:r>
              <w:rPr>
                <w:i/>
                <w:sz w:val="24"/>
              </w:rPr>
              <w:t>H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=</w:t>
            </w:r>
          </w:p>
        </w:tc>
        <w:tc>
          <w:tcPr>
            <w:tcW w:w="2013" w:type="dxa"/>
          </w:tcPr>
          <w:p>
            <w:pPr>
              <w:pStyle w:val="TableParagraph"/>
              <w:spacing w:line="257" w:lineRule="exact" w:before="5"/>
              <w:ind w:left="108"/>
              <w:rPr>
                <w:sz w:val="24"/>
              </w:rPr>
            </w:pPr>
            <w:r>
              <w:rPr>
                <w:sz w:val="24"/>
              </w:rPr>
              <w:t>wood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hardness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(lb)</w:t>
            </w:r>
          </w:p>
        </w:tc>
        <w:tc>
          <w:tcPr>
            <w:tcW w:w="1580" w:type="dxa"/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6"/>
        </w:rPr>
      </w:pPr>
    </w:p>
    <w:p>
      <w:pPr>
        <w:pStyle w:val="Heading9"/>
        <w:numPr>
          <w:ilvl w:val="1"/>
          <w:numId w:val="14"/>
        </w:numPr>
        <w:tabs>
          <w:tab w:pos="800" w:val="left" w:leader="none"/>
        </w:tabs>
        <w:spacing w:line="240" w:lineRule="auto" w:before="90" w:after="0"/>
        <w:ind w:left="800" w:right="0" w:hanging="360"/>
        <w:jc w:val="both"/>
      </w:pPr>
      <w:bookmarkStart w:name="2.7 Summary" w:id="84"/>
      <w:bookmarkEnd w:id="84"/>
      <w:r>
        <w:rPr>
          <w:b w:val="0"/>
        </w:rPr>
      </w:r>
      <w:bookmarkStart w:name="2.7 Summary" w:id="85"/>
      <w:bookmarkEnd w:id="85"/>
      <w:r>
        <w:rPr/>
        <w:t>S</w:t>
      </w:r>
      <w:r>
        <w:rPr/>
        <w:t>ummary</w:t>
      </w:r>
    </w:p>
    <w:p>
      <w:pPr>
        <w:pStyle w:val="BodyText"/>
        <w:spacing w:before="7"/>
        <w:rPr>
          <w:b/>
          <w:sz w:val="22"/>
        </w:rPr>
      </w:pPr>
    </w:p>
    <w:p>
      <w:pPr>
        <w:pStyle w:val="BodyText"/>
        <w:spacing w:line="480" w:lineRule="auto" w:before="1"/>
        <w:ind w:left="439" w:right="257" w:firstLine="720"/>
        <w:jc w:val="both"/>
      </w:pPr>
      <w:r>
        <w:rPr/>
        <w:t>While</w:t>
      </w:r>
      <w:r>
        <w:rPr>
          <w:spacing w:val="-12"/>
        </w:rPr>
        <w:t> </w:t>
      </w:r>
      <w:r>
        <w:rPr/>
        <w:t>CLT</w:t>
      </w:r>
      <w:r>
        <w:rPr>
          <w:spacing w:val="-13"/>
        </w:rPr>
        <w:t> </w:t>
      </w:r>
      <w:r>
        <w:rPr/>
        <w:t>has</w:t>
      </w:r>
      <w:r>
        <w:rPr>
          <w:spacing w:val="-12"/>
        </w:rPr>
        <w:t> </w:t>
      </w:r>
      <w:r>
        <w:rPr/>
        <w:t>been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topic</w:t>
      </w:r>
      <w:r>
        <w:rPr>
          <w:spacing w:val="-12"/>
        </w:rPr>
        <w:t> </w:t>
      </w:r>
      <w:r>
        <w:rPr/>
        <w:t>of</w:t>
      </w:r>
      <w:r>
        <w:rPr>
          <w:spacing w:val="-12"/>
        </w:rPr>
        <w:t> </w:t>
      </w:r>
      <w:r>
        <w:rPr/>
        <w:t>much</w:t>
      </w:r>
      <w:r>
        <w:rPr>
          <w:spacing w:val="-12"/>
        </w:rPr>
        <w:t> </w:t>
      </w:r>
      <w:r>
        <w:rPr/>
        <w:t>research</w:t>
      </w:r>
      <w:r>
        <w:rPr>
          <w:spacing w:val="-13"/>
        </w:rPr>
        <w:t> </w:t>
      </w:r>
      <w:r>
        <w:rPr/>
        <w:t>in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last</w:t>
      </w:r>
      <w:r>
        <w:rPr>
          <w:spacing w:val="-13"/>
        </w:rPr>
        <w:t> </w:t>
      </w:r>
      <w:r>
        <w:rPr/>
        <w:t>decade,</w:t>
      </w:r>
      <w:r>
        <w:rPr>
          <w:spacing w:val="-11"/>
        </w:rPr>
        <w:t> </w:t>
      </w:r>
      <w:r>
        <w:rPr/>
        <w:t>most</w:t>
      </w:r>
      <w:r>
        <w:rPr>
          <w:spacing w:val="-12"/>
        </w:rPr>
        <w:t> </w:t>
      </w:r>
      <w:r>
        <w:rPr/>
        <w:t>of</w:t>
      </w:r>
      <w:r>
        <w:rPr>
          <w:spacing w:val="-13"/>
        </w:rPr>
        <w:t> </w:t>
      </w:r>
      <w:r>
        <w:rPr/>
        <w:t>the</w:t>
      </w:r>
      <w:r>
        <w:rPr>
          <w:spacing w:val="-11"/>
        </w:rPr>
        <w:t> </w:t>
      </w:r>
      <w:r>
        <w:rPr/>
        <w:t>focus</w:t>
      </w:r>
      <w:r>
        <w:rPr>
          <w:spacing w:val="-58"/>
        </w:rPr>
        <w:t> </w:t>
      </w:r>
      <w:r>
        <w:rPr/>
        <w:t>has been on introducing the material in the United States for use across all construction</w:t>
      </w:r>
      <w:r>
        <w:rPr>
          <w:spacing w:val="1"/>
        </w:rPr>
        <w:t> </w:t>
      </w:r>
      <w:r>
        <w:rPr/>
        <w:t>sectors and building taller structures or wooden skyscrapers. The material is just starting</w:t>
      </w:r>
      <w:r>
        <w:rPr>
          <w:spacing w:val="1"/>
        </w:rPr>
        <w:t> </w:t>
      </w:r>
      <w:r>
        <w:rPr/>
        <w:t>to</w:t>
      </w:r>
      <w:r>
        <w:rPr>
          <w:spacing w:val="-13"/>
        </w:rPr>
        <w:t> </w:t>
      </w:r>
      <w:r>
        <w:rPr/>
        <w:t>gain</w:t>
      </w:r>
      <w:r>
        <w:rPr>
          <w:spacing w:val="-13"/>
        </w:rPr>
        <w:t> </w:t>
      </w:r>
      <w:r>
        <w:rPr/>
        <w:t>widespread</w:t>
      </w:r>
      <w:r>
        <w:rPr>
          <w:spacing w:val="-13"/>
        </w:rPr>
        <w:t> </w:t>
      </w:r>
      <w:r>
        <w:rPr/>
        <w:t>use</w:t>
      </w:r>
      <w:r>
        <w:rPr>
          <w:spacing w:val="-13"/>
        </w:rPr>
        <w:t> </w:t>
      </w:r>
      <w:r>
        <w:rPr/>
        <w:t>across</w:t>
      </w:r>
      <w:r>
        <w:rPr>
          <w:spacing w:val="-13"/>
        </w:rPr>
        <w:t> </w:t>
      </w:r>
      <w:r>
        <w:rPr/>
        <w:t>building</w:t>
      </w:r>
      <w:r>
        <w:rPr>
          <w:spacing w:val="-13"/>
        </w:rPr>
        <w:t> </w:t>
      </w:r>
      <w:r>
        <w:rPr/>
        <w:t>divisions</w:t>
      </w:r>
      <w:r>
        <w:rPr>
          <w:spacing w:val="-13"/>
        </w:rPr>
        <w:t> </w:t>
      </w:r>
      <w:r>
        <w:rPr/>
        <w:t>but</w:t>
      </w:r>
      <w:r>
        <w:rPr>
          <w:spacing w:val="-13"/>
        </w:rPr>
        <w:t> </w:t>
      </w:r>
      <w:r>
        <w:rPr/>
        <w:t>remains</w:t>
      </w:r>
      <w:r>
        <w:rPr>
          <w:spacing w:val="-13"/>
        </w:rPr>
        <w:t> </w:t>
      </w:r>
      <w:r>
        <w:rPr/>
        <w:t>most</w:t>
      </w:r>
      <w:r>
        <w:rPr>
          <w:spacing w:val="-13"/>
        </w:rPr>
        <w:t> </w:t>
      </w:r>
      <w:r>
        <w:rPr/>
        <w:t>heavily</w:t>
      </w:r>
      <w:r>
        <w:rPr>
          <w:spacing w:val="-15"/>
        </w:rPr>
        <w:t> </w:t>
      </w:r>
      <w:r>
        <w:rPr/>
        <w:t>used</w:t>
      </w:r>
      <w:r>
        <w:rPr>
          <w:spacing w:val="-13"/>
        </w:rPr>
        <w:t> </w:t>
      </w:r>
      <w:r>
        <w:rPr/>
        <w:t>in</w:t>
      </w:r>
      <w:r>
        <w:rPr>
          <w:spacing w:val="-12"/>
        </w:rPr>
        <w:t> </w:t>
      </w:r>
      <w:r>
        <w:rPr/>
        <w:t>locations</w:t>
      </w:r>
      <w:r>
        <w:rPr>
          <w:spacing w:val="-58"/>
        </w:rPr>
        <w:t> </w:t>
      </w:r>
      <w:r>
        <w:rPr/>
        <w:t>closely tied to the forest industry and primarily as a novelty structure – such as the first</w:t>
      </w:r>
      <w:r>
        <w:rPr>
          <w:spacing w:val="1"/>
        </w:rPr>
        <w:t> </w:t>
      </w:r>
      <w:r>
        <w:rPr/>
        <w:t>CLT parking garage in Oregon or the first hotel constructed out of CLT at Redstone</w:t>
      </w:r>
      <w:r>
        <w:rPr>
          <w:spacing w:val="1"/>
        </w:rPr>
        <w:t> </w:t>
      </w:r>
      <w:r>
        <w:rPr/>
        <w:t>Arsenal,</w:t>
      </w:r>
      <w:r>
        <w:rPr>
          <w:spacing w:val="-2"/>
        </w:rPr>
        <w:t> </w:t>
      </w:r>
      <w:r>
        <w:rPr/>
        <w:t>Alabama.</w:t>
      </w:r>
    </w:p>
    <w:p>
      <w:pPr>
        <w:pStyle w:val="BodyText"/>
        <w:spacing w:line="480" w:lineRule="auto" w:before="160"/>
        <w:ind w:left="440" w:right="257" w:firstLine="720"/>
        <w:jc w:val="both"/>
      </w:pPr>
      <w:r>
        <w:rPr/>
        <w:t>Architects, engineers and developers are interested in CLT as a building material</w:t>
      </w:r>
      <w:r>
        <w:rPr>
          <w:spacing w:val="1"/>
        </w:rPr>
        <w:t> </w:t>
      </w:r>
      <w:r>
        <w:rPr/>
        <w:t>because it provides a highly customizable, environmentally sustainable product with the</w:t>
      </w:r>
      <w:r>
        <w:rPr>
          <w:spacing w:val="1"/>
        </w:rPr>
        <w:t> </w:t>
      </w:r>
      <w:r>
        <w:rPr/>
        <w:t>strength of commonly used materials like concrete and steel.</w:t>
      </w:r>
      <w:r>
        <w:rPr>
          <w:spacing w:val="1"/>
        </w:rPr>
        <w:t> </w:t>
      </w:r>
      <w:r>
        <w:rPr/>
        <w:t>Builders who have worked</w:t>
      </w:r>
      <w:r>
        <w:rPr>
          <w:spacing w:val="1"/>
        </w:rPr>
        <w:t> </w:t>
      </w:r>
      <w:r>
        <w:rPr/>
        <w:t>with the material, such as LendLease, advocate for use of the material due to the rapid</w:t>
      </w:r>
      <w:r>
        <w:rPr>
          <w:spacing w:val="1"/>
        </w:rPr>
        <w:t> </w:t>
      </w:r>
      <w:r>
        <w:rPr/>
        <w:t>construction speed and the reduced number of laborers required while maintaining a</w:t>
      </w:r>
      <w:r>
        <w:rPr>
          <w:spacing w:val="1"/>
        </w:rPr>
        <w:t> </w:t>
      </w:r>
      <w:r>
        <w:rPr/>
        <w:t>cleaner, less wasteful, and safer construction site [109].</w:t>
      </w:r>
      <w:r>
        <w:rPr>
          <w:spacing w:val="1"/>
        </w:rPr>
        <w:t> </w:t>
      </w:r>
      <w:r>
        <w:rPr/>
        <w:t>Barriers to the expansion of CLT</w:t>
      </w:r>
      <w:r>
        <w:rPr>
          <w:spacing w:val="-57"/>
        </w:rPr>
        <w:t> </w:t>
      </w:r>
      <w:r>
        <w:rPr>
          <w:spacing w:val="-1"/>
        </w:rPr>
        <w:t>use</w:t>
      </w:r>
      <w:r>
        <w:rPr>
          <w:spacing w:val="-15"/>
        </w:rPr>
        <w:t> </w:t>
      </w:r>
      <w:r>
        <w:rPr>
          <w:spacing w:val="-1"/>
        </w:rPr>
        <w:t>include</w:t>
      </w:r>
      <w:r>
        <w:rPr>
          <w:spacing w:val="-15"/>
        </w:rPr>
        <w:t> </w:t>
      </w:r>
      <w:r>
        <w:rPr>
          <w:spacing w:val="-1"/>
        </w:rPr>
        <w:t>fears</w:t>
      </w:r>
      <w:r>
        <w:rPr>
          <w:spacing w:val="-15"/>
        </w:rPr>
        <w:t> </w:t>
      </w:r>
      <w:r>
        <w:rPr>
          <w:spacing w:val="-1"/>
        </w:rPr>
        <w:t>about</w:t>
      </w:r>
      <w:r>
        <w:rPr>
          <w:spacing w:val="-14"/>
        </w:rPr>
        <w:t> </w:t>
      </w:r>
      <w:r>
        <w:rPr>
          <w:spacing w:val="-1"/>
        </w:rPr>
        <w:t>fire</w:t>
      </w:r>
      <w:r>
        <w:rPr>
          <w:spacing w:val="-14"/>
        </w:rPr>
        <w:t> </w:t>
      </w:r>
      <w:r>
        <w:rPr/>
        <w:t>safety,</w:t>
      </w:r>
      <w:r>
        <w:rPr>
          <w:spacing w:val="-16"/>
        </w:rPr>
        <w:t> </w:t>
      </w:r>
      <w:r>
        <w:rPr/>
        <w:t>concerns</w:t>
      </w:r>
      <w:r>
        <w:rPr>
          <w:spacing w:val="-15"/>
        </w:rPr>
        <w:t> </w:t>
      </w:r>
      <w:r>
        <w:rPr/>
        <w:t>about</w:t>
      </w:r>
      <w:r>
        <w:rPr>
          <w:spacing w:val="-16"/>
        </w:rPr>
        <w:t> </w:t>
      </w:r>
      <w:r>
        <w:rPr/>
        <w:t>moisture</w:t>
      </w:r>
      <w:r>
        <w:rPr>
          <w:spacing w:val="-15"/>
        </w:rPr>
        <w:t> </w:t>
      </w:r>
      <w:r>
        <w:rPr/>
        <w:t>exposure</w:t>
      </w:r>
      <w:r>
        <w:rPr>
          <w:spacing w:val="-14"/>
        </w:rPr>
        <w:t> </w:t>
      </w:r>
      <w:r>
        <w:rPr/>
        <w:t>and</w:t>
      </w:r>
      <w:r>
        <w:rPr>
          <w:spacing w:val="-16"/>
        </w:rPr>
        <w:t> </w:t>
      </w:r>
      <w:r>
        <w:rPr/>
        <w:t>wood,</w:t>
      </w:r>
      <w:r>
        <w:rPr>
          <w:spacing w:val="-15"/>
        </w:rPr>
        <w:t> </w:t>
      </w:r>
      <w:r>
        <w:rPr/>
        <w:t>and</w:t>
      </w:r>
      <w:r>
        <w:rPr>
          <w:spacing w:val="-15"/>
        </w:rPr>
        <w:t> </w:t>
      </w:r>
      <w:r>
        <w:rPr/>
        <w:t>limited</w:t>
      </w:r>
      <w:r>
        <w:rPr>
          <w:spacing w:val="-58"/>
        </w:rPr>
        <w:t> </w:t>
      </w:r>
      <w:r>
        <w:rPr/>
        <w:t>experience</w:t>
      </w:r>
      <w:r>
        <w:rPr>
          <w:spacing w:val="-2"/>
        </w:rPr>
        <w:t> </w:t>
      </w:r>
      <w:r>
        <w:rPr/>
        <w:t>with the material.</w:t>
      </w:r>
    </w:p>
    <w:p>
      <w:pPr>
        <w:spacing w:after="0" w:line="480" w:lineRule="auto"/>
        <w:jc w:val="both"/>
        <w:sectPr>
          <w:pgSz w:w="12240" w:h="15840"/>
          <w:pgMar w:header="0" w:footer="1064" w:top="1500" w:bottom="1260" w:left="1720" w:right="1180"/>
        </w:sectPr>
      </w:pPr>
    </w:p>
    <w:p>
      <w:pPr>
        <w:pStyle w:val="BodyText"/>
        <w:spacing w:line="480" w:lineRule="auto" w:before="78"/>
        <w:ind w:left="440" w:right="376" w:firstLine="720"/>
      </w:pPr>
      <w:r>
        <w:rPr/>
        <w:t>Initial research on the blast performance of CLT has begun through a partnership</w:t>
      </w:r>
      <w:r>
        <w:rPr>
          <w:spacing w:val="-57"/>
        </w:rPr>
        <w:t> </w:t>
      </w:r>
      <w:r>
        <w:rPr/>
        <w:t>with WoodWorks, a Wood Products Council initiative providing technical expertise,</w:t>
      </w:r>
      <w:r>
        <w:rPr>
          <w:spacing w:val="1"/>
        </w:rPr>
        <w:t> </w:t>
      </w:r>
      <w:r>
        <w:rPr/>
        <w:t>North American manufacturers, who are motivated to expand the market, and the</w:t>
      </w:r>
      <w:r>
        <w:rPr>
          <w:spacing w:val="1"/>
        </w:rPr>
        <w:t> </w:t>
      </w:r>
      <w:r>
        <w:rPr/>
        <w:t>Protective Design Center, U.S. Army Corps of Engineers.</w:t>
      </w:r>
      <w:r>
        <w:rPr>
          <w:spacing w:val="1"/>
        </w:rPr>
        <w:t> </w:t>
      </w:r>
      <w:r>
        <w:rPr/>
        <w:t>Simultaneously, the Army</w:t>
      </w:r>
      <w:r>
        <w:rPr>
          <w:spacing w:val="1"/>
        </w:rPr>
        <w:t> </w:t>
      </w:r>
      <w:r>
        <w:rPr/>
        <w:t>strives to find better ways to build temporary military structures while protecting the</w:t>
      </w:r>
      <w:r>
        <w:rPr>
          <w:spacing w:val="1"/>
        </w:rPr>
        <w:t> </w:t>
      </w:r>
      <w:r>
        <w:rPr/>
        <w:t>soldiers</w:t>
      </w:r>
      <w:r>
        <w:rPr>
          <w:spacing w:val="-1"/>
        </w:rPr>
        <w:t> </w:t>
      </w:r>
      <w:r>
        <w:rPr/>
        <w:t>living and operating out of</w:t>
      </w:r>
      <w:r>
        <w:rPr>
          <w:spacing w:val="-1"/>
        </w:rPr>
        <w:t> </w:t>
      </w:r>
      <w:r>
        <w:rPr/>
        <w:t>them.</w:t>
      </w:r>
    </w:p>
    <w:p>
      <w:pPr>
        <w:spacing w:after="0" w:line="480" w:lineRule="auto"/>
        <w:sectPr>
          <w:pgSz w:w="12240" w:h="15840"/>
          <w:pgMar w:header="0" w:footer="1064" w:top="1360" w:bottom="1260" w:left="1720" w:right="1180"/>
        </w:sectPr>
      </w:pPr>
    </w:p>
    <w:p>
      <w:pPr>
        <w:pStyle w:val="Heading4"/>
        <w:ind w:left="98"/>
      </w:pPr>
      <w:bookmarkStart w:name="Chapter 3" w:id="86"/>
      <w:bookmarkEnd w:id="86"/>
      <w:r>
        <w:rPr>
          <w:b w:val="0"/>
        </w:rPr>
      </w:r>
      <w:r>
        <w:rPr/>
        <w:t>CHAPTER</w:t>
      </w:r>
      <w:r>
        <w:rPr>
          <w:spacing w:val="-7"/>
        </w:rPr>
        <w:t> </w:t>
      </w:r>
      <w:r>
        <w:rPr/>
        <w:t>3</w:t>
      </w:r>
    </w:p>
    <w:p>
      <w:pPr>
        <w:spacing w:before="27"/>
        <w:ind w:left="178" w:right="0" w:firstLine="0"/>
        <w:jc w:val="center"/>
        <w:rPr>
          <w:b/>
          <w:sz w:val="28"/>
        </w:rPr>
      </w:pPr>
      <w:r>
        <w:rPr>
          <w:b/>
          <w:sz w:val="28"/>
        </w:rPr>
        <w:t>FUNDAMENTALS</w:t>
      </w:r>
      <w:r>
        <w:rPr>
          <w:b/>
          <w:spacing w:val="-6"/>
          <w:sz w:val="28"/>
        </w:rPr>
        <w:t> </w:t>
      </w:r>
      <w:r>
        <w:rPr>
          <w:b/>
          <w:sz w:val="28"/>
        </w:rPr>
        <w:t>OF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PENETRATION</w:t>
      </w:r>
      <w:r>
        <w:rPr>
          <w:b/>
          <w:spacing w:val="-6"/>
          <w:sz w:val="28"/>
        </w:rPr>
        <w:t> </w:t>
      </w:r>
      <w:r>
        <w:rPr>
          <w:b/>
          <w:sz w:val="28"/>
        </w:rPr>
        <w:t>MECHANICS</w:t>
      </w: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spacing w:before="9"/>
        <w:rPr>
          <w:b/>
          <w:sz w:val="43"/>
        </w:rPr>
      </w:pPr>
    </w:p>
    <w:p>
      <w:pPr>
        <w:pStyle w:val="Heading9"/>
        <w:numPr>
          <w:ilvl w:val="1"/>
          <w:numId w:val="17"/>
        </w:numPr>
        <w:tabs>
          <w:tab w:pos="800" w:val="left" w:leader="none"/>
        </w:tabs>
        <w:spacing w:line="240" w:lineRule="auto" w:before="0" w:after="0"/>
        <w:ind w:left="800" w:right="0" w:hanging="360"/>
        <w:jc w:val="both"/>
      </w:pPr>
      <w:bookmarkStart w:name="_TOC_250060" w:id="87"/>
      <w:bookmarkStart w:name="3.1 The importance of studying penetrati" w:id="88"/>
      <w:r>
        <w:rPr>
          <w:b w:val="0"/>
        </w:rPr>
      </w:r>
      <w:bookmarkEnd w:id="88"/>
      <w:bookmarkStart w:name="3.1 The importance of studying penetrati" w:id="89"/>
      <w:r>
        <w:rPr/>
        <w:t>T</w:t>
      </w:r>
      <w:r>
        <w:rPr/>
        <w:t>he</w:t>
      </w:r>
      <w:r>
        <w:rPr>
          <w:spacing w:val="-3"/>
        </w:rPr>
        <w:t> </w:t>
      </w:r>
      <w:r>
        <w:rPr/>
        <w:t>importance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studying</w:t>
      </w:r>
      <w:r>
        <w:rPr>
          <w:spacing w:val="-2"/>
        </w:rPr>
        <w:t> </w:t>
      </w:r>
      <w:r>
        <w:rPr/>
        <w:t>penetration</w:t>
      </w:r>
      <w:r>
        <w:rPr>
          <w:spacing w:val="-4"/>
        </w:rPr>
        <w:t> </w:t>
      </w:r>
      <w:r>
        <w:rPr/>
        <w:t>mechanics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/>
        <w:t>terminal</w:t>
      </w:r>
      <w:r>
        <w:rPr>
          <w:spacing w:val="-3"/>
        </w:rPr>
        <w:t> </w:t>
      </w:r>
      <w:bookmarkEnd w:id="87"/>
      <w:r>
        <w:rPr/>
        <w:t>ballistics</w:t>
      </w:r>
    </w:p>
    <w:p>
      <w:pPr>
        <w:pStyle w:val="BodyText"/>
        <w:spacing w:before="7"/>
        <w:rPr>
          <w:b/>
          <w:sz w:val="22"/>
        </w:rPr>
      </w:pPr>
    </w:p>
    <w:p>
      <w:pPr>
        <w:pStyle w:val="BodyText"/>
        <w:spacing w:line="480" w:lineRule="auto"/>
        <w:ind w:left="440" w:right="256" w:firstLine="720"/>
        <w:jc w:val="both"/>
      </w:pPr>
      <w:r>
        <w:rPr/>
        <w:t>For over 200-years, scientists and engineers have exhibited interest and exerted</w:t>
      </w:r>
      <w:r>
        <w:rPr>
          <w:spacing w:val="1"/>
        </w:rPr>
        <w:t> </w:t>
      </w:r>
      <w:r>
        <w:rPr/>
        <w:t>effort</w:t>
      </w:r>
      <w:r>
        <w:rPr>
          <w:spacing w:val="-11"/>
        </w:rPr>
        <w:t> </w:t>
      </w:r>
      <w:r>
        <w:rPr/>
        <w:t>in</w:t>
      </w:r>
      <w:r>
        <w:rPr>
          <w:spacing w:val="-11"/>
        </w:rPr>
        <w:t> </w:t>
      </w:r>
      <w:r>
        <w:rPr/>
        <w:t>understanding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science</w:t>
      </w:r>
      <w:r>
        <w:rPr>
          <w:spacing w:val="-11"/>
        </w:rPr>
        <w:t> </w:t>
      </w:r>
      <w:r>
        <w:rPr/>
        <w:t>at</w:t>
      </w:r>
      <w:r>
        <w:rPr>
          <w:spacing w:val="-12"/>
        </w:rPr>
        <w:t> </w:t>
      </w:r>
      <w:r>
        <w:rPr/>
        <w:t>work</w:t>
      </w:r>
      <w:r>
        <w:rPr>
          <w:spacing w:val="-10"/>
        </w:rPr>
        <w:t> </w:t>
      </w:r>
      <w:r>
        <w:rPr/>
        <w:t>with</w:t>
      </w:r>
      <w:r>
        <w:rPr>
          <w:spacing w:val="-11"/>
        </w:rPr>
        <w:t> </w:t>
      </w:r>
      <w:r>
        <w:rPr/>
        <w:t>an</w:t>
      </w:r>
      <w:r>
        <w:rPr>
          <w:spacing w:val="-11"/>
        </w:rPr>
        <w:t> </w:t>
      </w:r>
      <w:r>
        <w:rPr/>
        <w:t>impulsive</w:t>
      </w:r>
      <w:r>
        <w:rPr>
          <w:spacing w:val="-10"/>
        </w:rPr>
        <w:t> </w:t>
      </w:r>
      <w:r>
        <w:rPr/>
        <w:t>loading</w:t>
      </w:r>
      <w:r>
        <w:rPr>
          <w:spacing w:val="-11"/>
        </w:rPr>
        <w:t> </w:t>
      </w:r>
      <w:r>
        <w:rPr/>
        <w:t>event</w:t>
      </w:r>
      <w:r>
        <w:rPr>
          <w:spacing w:val="-11"/>
        </w:rPr>
        <w:t> </w:t>
      </w:r>
      <w:r>
        <w:rPr/>
        <w:t>such</w:t>
      </w:r>
      <w:r>
        <w:rPr>
          <w:spacing w:val="-11"/>
        </w:rPr>
        <w:t> </w:t>
      </w:r>
      <w:r>
        <w:rPr/>
        <w:t>as</w:t>
      </w:r>
      <w:r>
        <w:rPr>
          <w:spacing w:val="-10"/>
        </w:rPr>
        <w:t> </w:t>
      </w:r>
      <w:r>
        <w:rPr/>
        <w:t>a</w:t>
      </w:r>
      <w:r>
        <w:rPr>
          <w:spacing w:val="-11"/>
        </w:rPr>
        <w:t> </w:t>
      </w:r>
      <w:r>
        <w:rPr/>
        <w:t>bullet</w:t>
      </w:r>
      <w:r>
        <w:rPr>
          <w:spacing w:val="-58"/>
        </w:rPr>
        <w:t> </w:t>
      </w:r>
      <w:r>
        <w:rPr/>
        <w:t>shot</w:t>
      </w:r>
      <w:r>
        <w:rPr>
          <w:spacing w:val="-8"/>
        </w:rPr>
        <w:t> </w:t>
      </w:r>
      <w:r>
        <w:rPr/>
        <w:t>from</w:t>
      </w:r>
      <w:r>
        <w:rPr>
          <w:spacing w:val="-9"/>
        </w:rPr>
        <w:t> </w:t>
      </w:r>
      <w:r>
        <w:rPr/>
        <w:t>a</w:t>
      </w:r>
      <w:r>
        <w:rPr>
          <w:spacing w:val="-7"/>
        </w:rPr>
        <w:t> </w:t>
      </w:r>
      <w:r>
        <w:rPr/>
        <w:t>gun</w:t>
      </w:r>
      <w:r>
        <w:rPr>
          <w:spacing w:val="-7"/>
        </w:rPr>
        <w:t> </w:t>
      </w:r>
      <w:r>
        <w:rPr/>
        <w:t>or</w:t>
      </w:r>
      <w:r>
        <w:rPr>
          <w:spacing w:val="-8"/>
        </w:rPr>
        <w:t> </w:t>
      </w:r>
      <w:r>
        <w:rPr/>
        <w:t>a</w:t>
      </w:r>
      <w:r>
        <w:rPr>
          <w:spacing w:val="-7"/>
        </w:rPr>
        <w:t> </w:t>
      </w:r>
      <w:r>
        <w:rPr/>
        <w:t>cannon</w:t>
      </w:r>
      <w:r>
        <w:rPr>
          <w:spacing w:val="-7"/>
        </w:rPr>
        <w:t> </w:t>
      </w:r>
      <w:r>
        <w:rPr/>
        <w:t>ball</w:t>
      </w:r>
      <w:r>
        <w:rPr>
          <w:spacing w:val="-7"/>
        </w:rPr>
        <w:t> </w:t>
      </w:r>
      <w:r>
        <w:rPr/>
        <w:t>impact</w:t>
      </w:r>
      <w:r>
        <w:rPr>
          <w:spacing w:val="-7"/>
        </w:rPr>
        <w:t> </w:t>
      </w:r>
      <w:r>
        <w:rPr/>
        <w:t>on</w:t>
      </w:r>
      <w:r>
        <w:rPr>
          <w:spacing w:val="-10"/>
        </w:rPr>
        <w:t> </w:t>
      </w:r>
      <w:r>
        <w:rPr/>
        <w:t>the</w:t>
      </w:r>
      <w:r>
        <w:rPr>
          <w:spacing w:val="-8"/>
        </w:rPr>
        <w:t> </w:t>
      </w:r>
      <w:r>
        <w:rPr/>
        <w:t>ground.</w:t>
      </w:r>
      <w:r>
        <w:rPr>
          <w:spacing w:val="46"/>
        </w:rPr>
        <w:t> </w:t>
      </w:r>
      <w:r>
        <w:rPr/>
        <w:t>Today,</w:t>
      </w:r>
      <w:r>
        <w:rPr>
          <w:spacing w:val="-7"/>
        </w:rPr>
        <w:t> </w:t>
      </w:r>
      <w:r>
        <w:rPr/>
        <w:t>understanding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behavior</w:t>
      </w:r>
      <w:r>
        <w:rPr>
          <w:spacing w:val="-58"/>
        </w:rPr>
        <w:t> </w:t>
      </w:r>
      <w:r>
        <w:rPr/>
        <w:t>of materials and structures under intense impulsive loading like ballistic penetration is</w:t>
      </w:r>
      <w:r>
        <w:rPr>
          <w:spacing w:val="1"/>
        </w:rPr>
        <w:t> </w:t>
      </w:r>
      <w:r>
        <w:rPr/>
        <w:t>significant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/>
        <w:t>wide</w:t>
      </w:r>
      <w:r>
        <w:rPr>
          <w:spacing w:val="-2"/>
        </w:rPr>
        <w:t> </w:t>
      </w:r>
      <w:r>
        <w:rPr/>
        <w:t>variety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areas</w:t>
      </w:r>
      <w:r>
        <w:rPr>
          <w:spacing w:val="-4"/>
        </w:rPr>
        <w:t> </w:t>
      </w:r>
      <w:r>
        <w:rPr/>
        <w:t>from</w:t>
      </w:r>
      <w:r>
        <w:rPr>
          <w:spacing w:val="-6"/>
        </w:rPr>
        <w:t> </w:t>
      </w:r>
      <w:r>
        <w:rPr/>
        <w:t>demolition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structures,</w:t>
      </w:r>
      <w:r>
        <w:rPr>
          <w:spacing w:val="-5"/>
        </w:rPr>
        <w:t> </w:t>
      </w:r>
      <w:r>
        <w:rPr/>
        <w:t>especially</w:t>
      </w:r>
      <w:r>
        <w:rPr>
          <w:spacing w:val="-3"/>
        </w:rPr>
        <w:t> </w:t>
      </w:r>
      <w:r>
        <w:rPr/>
        <w:t>pre-stressed</w:t>
      </w:r>
      <w:r>
        <w:rPr>
          <w:spacing w:val="-58"/>
        </w:rPr>
        <w:t> </w:t>
      </w:r>
      <w:r>
        <w:rPr/>
        <w:t>concrete</w:t>
      </w:r>
      <w:r>
        <w:rPr>
          <w:spacing w:val="-6"/>
        </w:rPr>
        <w:t> </w:t>
      </w:r>
      <w:r>
        <w:rPr/>
        <w:t>structures,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/>
        <w:t>safe</w:t>
      </w:r>
      <w:r>
        <w:rPr>
          <w:spacing w:val="-5"/>
        </w:rPr>
        <w:t> </w:t>
      </w:r>
      <w:r>
        <w:rPr/>
        <w:t>transportation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hazardous</w:t>
      </w:r>
      <w:r>
        <w:rPr>
          <w:spacing w:val="-5"/>
        </w:rPr>
        <w:t> </w:t>
      </w:r>
      <w:r>
        <w:rPr/>
        <w:t>materials,</w:t>
      </w:r>
      <w:r>
        <w:rPr>
          <w:spacing w:val="-6"/>
        </w:rPr>
        <w:t> </w:t>
      </w:r>
      <w:r>
        <w:rPr/>
        <w:t>to</w:t>
      </w:r>
      <w:r>
        <w:rPr>
          <w:spacing w:val="-5"/>
        </w:rPr>
        <w:t> </w:t>
      </w:r>
      <w:r>
        <w:rPr/>
        <w:t>nuclear</w:t>
      </w:r>
      <w:r>
        <w:rPr>
          <w:spacing w:val="-6"/>
        </w:rPr>
        <w:t> </w:t>
      </w:r>
      <w:r>
        <w:rPr/>
        <w:t>reactor</w:t>
      </w:r>
      <w:r>
        <w:rPr>
          <w:spacing w:val="-5"/>
        </w:rPr>
        <w:t> </w:t>
      </w:r>
      <w:r>
        <w:rPr/>
        <w:t>safety,</w:t>
      </w:r>
      <w:r>
        <w:rPr>
          <w:spacing w:val="-58"/>
        </w:rPr>
        <w:t> </w:t>
      </w:r>
      <w:r>
        <w:rPr/>
        <w:t>especially in natural disasters.</w:t>
      </w:r>
      <w:r>
        <w:rPr>
          <w:spacing w:val="1"/>
        </w:rPr>
        <w:t> </w:t>
      </w:r>
      <w:r>
        <w:rPr/>
        <w:t>Other areas that make penetration mechanics a topic of</w:t>
      </w:r>
      <w:r>
        <w:rPr>
          <w:spacing w:val="1"/>
        </w:rPr>
        <w:t> </w:t>
      </w:r>
      <w:r>
        <w:rPr/>
        <w:t>interest include vehicle crashworthiness, development of lightweight body armor used by</w:t>
      </w:r>
      <w:r>
        <w:rPr>
          <w:spacing w:val="1"/>
        </w:rPr>
        <w:t> </w:t>
      </w:r>
      <w:r>
        <w:rPr/>
        <w:t>law enforcement and military forces, the vulnerability of vehicles, aircraft and structures</w:t>
      </w:r>
      <w:r>
        <w:rPr>
          <w:spacing w:val="1"/>
        </w:rPr>
        <w:t> </w:t>
      </w:r>
      <w:r>
        <w:rPr/>
        <w:t>as well as spacecraft and satellite survivability to meteors [125, 126].</w:t>
      </w:r>
      <w:r>
        <w:rPr>
          <w:spacing w:val="1"/>
        </w:rPr>
        <w:t> </w:t>
      </w:r>
      <w:r>
        <w:rPr/>
        <w:t>While the study of</w:t>
      </w:r>
      <w:r>
        <w:rPr>
          <w:spacing w:val="1"/>
        </w:rPr>
        <w:t> </w:t>
      </w:r>
      <w:r>
        <w:rPr/>
        <w:t>penetration mechanics is often attributed to military scenarios, the field extends well</w:t>
      </w:r>
      <w:r>
        <w:rPr>
          <w:spacing w:val="1"/>
        </w:rPr>
        <w:t> </w:t>
      </w:r>
      <w:r>
        <w:rPr/>
        <w:t>beyond</w:t>
      </w:r>
      <w:r>
        <w:rPr>
          <w:spacing w:val="-4"/>
        </w:rPr>
        <w:t> </w:t>
      </w:r>
      <w:r>
        <w:rPr/>
        <w:t>those</w:t>
      </w:r>
      <w:r>
        <w:rPr>
          <w:spacing w:val="-4"/>
        </w:rPr>
        <w:t> </w:t>
      </w:r>
      <w:r>
        <w:rPr/>
        <w:t>applications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any</w:t>
      </w:r>
      <w:r>
        <w:rPr>
          <w:spacing w:val="-4"/>
        </w:rPr>
        <w:t> </w:t>
      </w:r>
      <w:r>
        <w:rPr/>
        <w:t>high</w:t>
      </w:r>
      <w:r>
        <w:rPr>
          <w:spacing w:val="-3"/>
        </w:rPr>
        <w:t> </w:t>
      </w:r>
      <w:r>
        <w:rPr/>
        <w:t>mass</w:t>
      </w:r>
      <w:r>
        <w:rPr>
          <w:spacing w:val="-4"/>
        </w:rPr>
        <w:t> </w:t>
      </w:r>
      <w:r>
        <w:rPr/>
        <w:t>or</w:t>
      </w:r>
      <w:r>
        <w:rPr>
          <w:spacing w:val="-2"/>
        </w:rPr>
        <w:t> </w:t>
      </w:r>
      <w:r>
        <w:rPr/>
        <w:t>high</w:t>
      </w:r>
      <w:r>
        <w:rPr>
          <w:spacing w:val="-4"/>
        </w:rPr>
        <w:t> </w:t>
      </w:r>
      <w:r>
        <w:rPr/>
        <w:t>velocity</w:t>
      </w:r>
      <w:r>
        <w:rPr>
          <w:spacing w:val="-4"/>
        </w:rPr>
        <w:t> </w:t>
      </w:r>
      <w:r>
        <w:rPr/>
        <w:t>debris</w:t>
      </w:r>
      <w:r>
        <w:rPr>
          <w:spacing w:val="-3"/>
        </w:rPr>
        <w:t> </w:t>
      </w:r>
      <w:r>
        <w:rPr/>
        <w:t>event</w:t>
      </w:r>
      <w:r>
        <w:rPr>
          <w:spacing w:val="-5"/>
        </w:rPr>
        <w:t> </w:t>
      </w:r>
      <w:r>
        <w:rPr/>
        <w:t>brought</w:t>
      </w:r>
      <w:r>
        <w:rPr>
          <w:spacing w:val="-3"/>
        </w:rPr>
        <w:t> </w:t>
      </w:r>
      <w:r>
        <w:rPr/>
        <w:t>on</w:t>
      </w:r>
      <w:r>
        <w:rPr>
          <w:spacing w:val="-4"/>
        </w:rPr>
        <w:t> </w:t>
      </w:r>
      <w:r>
        <w:rPr/>
        <w:t>by</w:t>
      </w:r>
      <w:r>
        <w:rPr>
          <w:spacing w:val="-3"/>
        </w:rPr>
        <w:t> </w:t>
      </w:r>
      <w:r>
        <w:rPr/>
        <w:t>an</w:t>
      </w:r>
      <w:r>
        <w:rPr>
          <w:spacing w:val="-58"/>
        </w:rPr>
        <w:t> </w:t>
      </w:r>
      <w:r>
        <w:rPr/>
        <w:t>accident,</w:t>
      </w:r>
      <w:r>
        <w:rPr>
          <w:spacing w:val="-1"/>
        </w:rPr>
        <w:t> </w:t>
      </w:r>
      <w:r>
        <w:rPr/>
        <w:t>or</w:t>
      </w:r>
      <w:r>
        <w:rPr>
          <w:spacing w:val="-1"/>
        </w:rPr>
        <w:t> </w:t>
      </w:r>
      <w:r>
        <w:rPr/>
        <w:t>other</w:t>
      </w:r>
      <w:r>
        <w:rPr>
          <w:spacing w:val="-1"/>
        </w:rPr>
        <w:t> </w:t>
      </w:r>
      <w:r>
        <w:rPr/>
        <w:t>high rate</w:t>
      </w:r>
      <w:r>
        <w:rPr>
          <w:spacing w:val="-1"/>
        </w:rPr>
        <w:t> </w:t>
      </w:r>
      <w:r>
        <w:rPr/>
        <w:t>energy release</w:t>
      </w:r>
      <w:r>
        <w:rPr>
          <w:spacing w:val="-1"/>
        </w:rPr>
        <w:t> </w:t>
      </w:r>
      <w:r>
        <w:rPr/>
        <w:t>like the</w:t>
      </w:r>
      <w:r>
        <w:rPr>
          <w:spacing w:val="-2"/>
        </w:rPr>
        <w:t> </w:t>
      </w:r>
      <w:r>
        <w:rPr/>
        <w:t>examples given</w:t>
      </w:r>
      <w:r>
        <w:rPr>
          <w:spacing w:val="-1"/>
        </w:rPr>
        <w:t> </w:t>
      </w:r>
      <w:r>
        <w:rPr/>
        <w:t>above [126].</w:t>
      </w:r>
    </w:p>
    <w:p>
      <w:pPr>
        <w:pStyle w:val="Heading9"/>
        <w:numPr>
          <w:ilvl w:val="1"/>
          <w:numId w:val="17"/>
        </w:numPr>
        <w:tabs>
          <w:tab w:pos="800" w:val="left" w:leader="none"/>
        </w:tabs>
        <w:spacing w:line="240" w:lineRule="auto" w:before="162" w:after="0"/>
        <w:ind w:left="800" w:right="0" w:hanging="360"/>
        <w:jc w:val="both"/>
      </w:pPr>
      <w:bookmarkStart w:name="_TOC_250059" w:id="90"/>
      <w:bookmarkStart w:name="3.2 Fundamental governing equations" w:id="91"/>
      <w:r>
        <w:rPr>
          <w:b w:val="0"/>
        </w:rPr>
      </w:r>
      <w:bookmarkEnd w:id="91"/>
      <w:bookmarkStart w:name="3.2 Fundamental governing equations" w:id="92"/>
      <w:r>
        <w:rPr/>
        <w:t>Fund</w:t>
      </w:r>
      <w:r>
        <w:rPr/>
        <w:t>amental</w:t>
      </w:r>
      <w:r>
        <w:rPr>
          <w:spacing w:val="-7"/>
        </w:rPr>
        <w:t> </w:t>
      </w:r>
      <w:r>
        <w:rPr/>
        <w:t>governing</w:t>
      </w:r>
      <w:r>
        <w:rPr>
          <w:spacing w:val="-7"/>
        </w:rPr>
        <w:t> </w:t>
      </w:r>
      <w:bookmarkEnd w:id="90"/>
      <w:r>
        <w:rPr/>
        <w:t>equations</w:t>
      </w:r>
    </w:p>
    <w:p>
      <w:pPr>
        <w:pStyle w:val="BodyText"/>
        <w:spacing w:before="6"/>
        <w:rPr>
          <w:b/>
          <w:sz w:val="22"/>
        </w:rPr>
      </w:pPr>
    </w:p>
    <w:p>
      <w:pPr>
        <w:pStyle w:val="BodyText"/>
        <w:spacing w:line="480" w:lineRule="auto" w:before="1"/>
        <w:ind w:left="440" w:right="257" w:firstLine="720"/>
        <w:jc w:val="both"/>
      </w:pPr>
      <w:r>
        <w:rPr/>
        <w:t>Study of the science behind penetration mechanics depends fundamentally on the</w:t>
      </w:r>
      <w:r>
        <w:rPr>
          <w:spacing w:val="1"/>
        </w:rPr>
        <w:t> </w:t>
      </w:r>
      <w:r>
        <w:rPr/>
        <w:t>classical</w:t>
      </w:r>
      <w:r>
        <w:rPr>
          <w:spacing w:val="-9"/>
        </w:rPr>
        <w:t> </w:t>
      </w:r>
      <w:r>
        <w:rPr/>
        <w:t>physics</w:t>
      </w:r>
      <w:r>
        <w:rPr>
          <w:spacing w:val="-8"/>
        </w:rPr>
        <w:t> </w:t>
      </w:r>
      <w:r>
        <w:rPr/>
        <w:t>laws</w:t>
      </w:r>
      <w:r>
        <w:rPr>
          <w:spacing w:val="-9"/>
        </w:rPr>
        <w:t> </w:t>
      </w:r>
      <w:r>
        <w:rPr/>
        <w:t>of</w:t>
      </w:r>
      <w:r>
        <w:rPr>
          <w:spacing w:val="-8"/>
        </w:rPr>
        <w:t> </w:t>
      </w:r>
      <w:r>
        <w:rPr/>
        <w:t>conservation.</w:t>
      </w:r>
      <w:r>
        <w:rPr>
          <w:spacing w:val="42"/>
        </w:rPr>
        <w:t> </w:t>
      </w:r>
      <w:r>
        <w:rPr/>
        <w:t>Specifically,</w:t>
      </w:r>
      <w:r>
        <w:rPr>
          <w:spacing w:val="-10"/>
        </w:rPr>
        <w:t> </w:t>
      </w:r>
      <w:r>
        <w:rPr/>
        <w:t>conservation</w:t>
      </w:r>
      <w:r>
        <w:rPr>
          <w:spacing w:val="-9"/>
        </w:rPr>
        <w:t> </w:t>
      </w:r>
      <w:r>
        <w:rPr/>
        <w:t>of</w:t>
      </w:r>
      <w:r>
        <w:rPr>
          <w:spacing w:val="-8"/>
        </w:rPr>
        <w:t> </w:t>
      </w:r>
      <w:r>
        <w:rPr/>
        <w:t>mass,</w:t>
      </w:r>
      <w:r>
        <w:rPr>
          <w:spacing w:val="-8"/>
        </w:rPr>
        <w:t> </w:t>
      </w:r>
      <w:r>
        <w:rPr/>
        <w:t>conservation</w:t>
      </w:r>
      <w:r>
        <w:rPr>
          <w:spacing w:val="-10"/>
        </w:rPr>
        <w:t> </w:t>
      </w:r>
      <w:r>
        <w:rPr/>
        <w:t>of</w:t>
      </w:r>
      <w:r>
        <w:rPr>
          <w:spacing w:val="-58"/>
        </w:rPr>
        <w:t> </w:t>
      </w:r>
      <w:r>
        <w:rPr/>
        <w:t>momentum and conservation energy.</w:t>
      </w:r>
      <w:r>
        <w:rPr>
          <w:spacing w:val="1"/>
        </w:rPr>
        <w:t> </w:t>
      </w:r>
      <w:r>
        <w:rPr/>
        <w:t>Conservation of energy is the most apparent with</w:t>
      </w:r>
      <w:r>
        <w:rPr>
          <w:spacing w:val="1"/>
        </w:rPr>
        <w:t> </w:t>
      </w:r>
      <w:r>
        <w:rPr/>
        <w:t>ballistics.</w:t>
      </w:r>
      <w:r>
        <w:rPr>
          <w:spacing w:val="1"/>
        </w:rPr>
        <w:t> </w:t>
      </w:r>
      <w:r>
        <w:rPr/>
        <w:t>With an impulsive loading event such as a bullet shot from a gun and hitting a</w:t>
      </w:r>
      <w:r>
        <w:rPr>
          <w:spacing w:val="1"/>
        </w:rPr>
        <w:t> </w:t>
      </w:r>
      <w:r>
        <w:rPr/>
        <w:t>target,</w:t>
      </w:r>
      <w:r>
        <w:rPr>
          <w:spacing w:val="-10"/>
        </w:rPr>
        <w:t> </w:t>
      </w:r>
      <w:r>
        <w:rPr/>
        <w:t>the</w:t>
      </w:r>
      <w:r>
        <w:rPr>
          <w:spacing w:val="-11"/>
        </w:rPr>
        <w:t> </w:t>
      </w:r>
      <w:r>
        <w:rPr/>
        <w:t>conservation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energy</w:t>
      </w:r>
      <w:r>
        <w:rPr>
          <w:spacing w:val="-10"/>
        </w:rPr>
        <w:t> </w:t>
      </w:r>
      <w:r>
        <w:rPr/>
        <w:t>aids</w:t>
      </w:r>
      <w:r>
        <w:rPr>
          <w:spacing w:val="-10"/>
        </w:rPr>
        <w:t> </w:t>
      </w:r>
      <w:r>
        <w:rPr/>
        <w:t>in</w:t>
      </w:r>
      <w:r>
        <w:rPr>
          <w:spacing w:val="-10"/>
        </w:rPr>
        <w:t> </w:t>
      </w:r>
      <w:r>
        <w:rPr/>
        <w:t>understanding</w:t>
      </w:r>
      <w:r>
        <w:rPr>
          <w:spacing w:val="-10"/>
        </w:rPr>
        <w:t> </w:t>
      </w:r>
      <w:r>
        <w:rPr/>
        <w:t>what</w:t>
      </w:r>
      <w:r>
        <w:rPr>
          <w:spacing w:val="-11"/>
        </w:rPr>
        <w:t> </w:t>
      </w:r>
      <w:r>
        <w:rPr/>
        <w:t>it</w:t>
      </w:r>
      <w:r>
        <w:rPr>
          <w:spacing w:val="-9"/>
        </w:rPr>
        <w:t> </w:t>
      </w:r>
      <w:r>
        <w:rPr/>
        <w:t>takes</w:t>
      </w:r>
      <w:r>
        <w:rPr>
          <w:spacing w:val="-9"/>
        </w:rPr>
        <w:t> </w:t>
      </w:r>
      <w:r>
        <w:rPr/>
        <w:t>to</w:t>
      </w:r>
      <w:r>
        <w:rPr>
          <w:spacing w:val="-11"/>
        </w:rPr>
        <w:t> </w:t>
      </w:r>
      <w:r>
        <w:rPr/>
        <w:t>stop</w:t>
      </w:r>
      <w:r>
        <w:rPr>
          <w:spacing w:val="-10"/>
        </w:rPr>
        <w:t> </w:t>
      </w:r>
      <w:r>
        <w:rPr/>
        <w:t>that</w:t>
      </w:r>
      <w:r>
        <w:rPr>
          <w:spacing w:val="-9"/>
        </w:rPr>
        <w:t> </w:t>
      </w:r>
      <w:r>
        <w:rPr/>
        <w:t>projectile,</w:t>
      </w:r>
    </w:p>
    <w:p>
      <w:pPr>
        <w:spacing w:after="0" w:line="480" w:lineRule="auto"/>
        <w:jc w:val="both"/>
        <w:sectPr>
          <w:pgSz w:w="12240" w:h="15840"/>
          <w:pgMar w:header="0" w:footer="1064" w:top="1380" w:bottom="1260" w:left="1720" w:right="1180"/>
        </w:sectPr>
      </w:pPr>
    </w:p>
    <w:p>
      <w:pPr>
        <w:pStyle w:val="BodyText"/>
        <w:spacing w:line="480" w:lineRule="auto" w:before="78"/>
        <w:ind w:left="439" w:right="257"/>
        <w:jc w:val="both"/>
      </w:pPr>
      <w:r>
        <w:rPr/>
        <w:pict>
          <v:rect style="position:absolute;margin-left:242.520004pt;margin-top:137.563156pt;width:6.66pt;height:.78pt;mso-position-horizontal-relative:page;mso-position-vertical-relative:paragraph;z-index:-34958848" filled="true" fillcolor="#000000" stroked="false">
            <v:fill type="solid"/>
            <w10:wrap type="none"/>
          </v:rect>
        </w:pict>
      </w:r>
      <w:r>
        <w:rPr/>
        <w:pict>
          <v:rect style="position:absolute;margin-left:355.380005pt;margin-top:137.563156pt;width:6.66pt;height:.78pt;mso-position-horizontal-relative:page;mso-position-vertical-relative:paragraph;z-index:-34958336" filled="true" fillcolor="#000000" stroked="false">
            <v:fill type="solid"/>
            <w10:wrap type="none"/>
          </v:rect>
        </w:pict>
      </w:r>
      <w:r>
        <w:rPr/>
        <w:t>or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work</w:t>
      </w:r>
      <w:r>
        <w:rPr>
          <w:spacing w:val="-13"/>
        </w:rPr>
        <w:t> </w:t>
      </w:r>
      <w:r>
        <w:rPr/>
        <w:t>required</w:t>
      </w:r>
      <w:r>
        <w:rPr>
          <w:spacing w:val="-15"/>
        </w:rPr>
        <w:t> </w:t>
      </w:r>
      <w:r>
        <w:rPr/>
        <w:t>to</w:t>
      </w:r>
      <w:r>
        <w:rPr>
          <w:spacing w:val="-13"/>
        </w:rPr>
        <w:t> </w:t>
      </w:r>
      <w:r>
        <w:rPr/>
        <w:t>transition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kinetic</w:t>
      </w:r>
      <w:r>
        <w:rPr>
          <w:spacing w:val="-13"/>
        </w:rPr>
        <w:t> </w:t>
      </w:r>
      <w:r>
        <w:rPr/>
        <w:t>energy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that</w:t>
      </w:r>
      <w:r>
        <w:rPr>
          <w:spacing w:val="-13"/>
        </w:rPr>
        <w:t> </w:t>
      </w:r>
      <w:r>
        <w:rPr/>
        <w:t>projectile</w:t>
      </w:r>
      <w:r>
        <w:rPr>
          <w:spacing w:val="-13"/>
        </w:rPr>
        <w:t> </w:t>
      </w:r>
      <w:r>
        <w:rPr/>
        <w:t>moving</w:t>
      </w:r>
      <w:r>
        <w:rPr>
          <w:spacing w:val="-13"/>
        </w:rPr>
        <w:t> </w:t>
      </w:r>
      <w:r>
        <w:rPr/>
        <w:t>to</w:t>
      </w:r>
      <w:r>
        <w:rPr>
          <w:spacing w:val="-12"/>
        </w:rPr>
        <w:t> </w:t>
      </w:r>
      <w:r>
        <w:rPr/>
        <w:t>a</w:t>
      </w:r>
      <w:r>
        <w:rPr>
          <w:spacing w:val="-13"/>
        </w:rPr>
        <w:t> </w:t>
      </w:r>
      <w:r>
        <w:rPr/>
        <w:t>stationary</w:t>
      </w:r>
      <w:r>
        <w:rPr>
          <w:spacing w:val="-58"/>
        </w:rPr>
        <w:t> </w:t>
      </w:r>
      <w:r>
        <w:rPr/>
        <w:t>state</w:t>
      </w:r>
      <w:r>
        <w:rPr>
          <w:spacing w:val="-6"/>
        </w:rPr>
        <w:t> </w:t>
      </w:r>
      <w:r>
        <w:rPr/>
        <w:t>within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target.</w:t>
      </w:r>
      <w:r>
        <w:rPr>
          <w:spacing w:val="48"/>
        </w:rPr>
        <w:t> </w:t>
      </w:r>
      <w:r>
        <w:rPr/>
        <w:t>Equation</w:t>
      </w:r>
      <w:r>
        <w:rPr>
          <w:spacing w:val="-6"/>
        </w:rPr>
        <w:t> </w:t>
      </w:r>
      <w:r>
        <w:rPr/>
        <w:t>3.1</w:t>
      </w:r>
      <w:r>
        <w:rPr>
          <w:spacing w:val="-6"/>
        </w:rPr>
        <w:t> </w:t>
      </w:r>
      <w:r>
        <w:rPr/>
        <w:t>shows</w:t>
      </w:r>
      <w:r>
        <w:rPr>
          <w:spacing w:val="-5"/>
        </w:rPr>
        <w:t> </w:t>
      </w:r>
      <w:r>
        <w:rPr/>
        <w:t>a</w:t>
      </w:r>
      <w:r>
        <w:rPr>
          <w:spacing w:val="-6"/>
        </w:rPr>
        <w:t> </w:t>
      </w:r>
      <w:r>
        <w:rPr/>
        <w:t>generic</w:t>
      </w:r>
      <w:r>
        <w:rPr>
          <w:spacing w:val="-6"/>
        </w:rPr>
        <w:t> </w:t>
      </w:r>
      <w:r>
        <w:rPr/>
        <w:t>version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conservation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energy</w:t>
      </w:r>
      <w:r>
        <w:rPr>
          <w:spacing w:val="-58"/>
        </w:rPr>
        <w:t> </w:t>
      </w:r>
      <w:r>
        <w:rPr/>
        <w:t>equation where the sum of the initial internal energy and kinetic energy must be equal to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sum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final internal</w:t>
      </w:r>
      <w:r>
        <w:rPr>
          <w:spacing w:val="-1"/>
        </w:rPr>
        <w:t> </w:t>
      </w:r>
      <w:r>
        <w:rPr/>
        <w:t>energy,</w:t>
      </w:r>
      <w:r>
        <w:rPr>
          <w:spacing w:val="-2"/>
        </w:rPr>
        <w:t> </w:t>
      </w:r>
      <w:r>
        <w:rPr/>
        <w:t>kinetic</w:t>
      </w:r>
      <w:r>
        <w:rPr>
          <w:spacing w:val="-1"/>
        </w:rPr>
        <w:t> </w:t>
      </w:r>
      <w:r>
        <w:rPr/>
        <w:t>energy,</w:t>
      </w:r>
      <w:r>
        <w:rPr>
          <w:spacing w:val="-1"/>
        </w:rPr>
        <w:t> </w:t>
      </w:r>
      <w:r>
        <w:rPr/>
        <w:t>and work</w:t>
      </w:r>
      <w:r>
        <w:rPr>
          <w:spacing w:val="-1"/>
        </w:rPr>
        <w:t> </w:t>
      </w:r>
      <w:r>
        <w:rPr/>
        <w:t>done within</w:t>
      </w:r>
      <w:r>
        <w:rPr>
          <w:spacing w:val="-1"/>
        </w:rPr>
        <w:t> </w:t>
      </w:r>
      <w:r>
        <w:rPr/>
        <w:t>the system.</w:t>
      </w:r>
    </w:p>
    <w:p>
      <w:pPr>
        <w:pStyle w:val="BodyText"/>
        <w:spacing w:before="8" w:after="1"/>
        <w:rPr>
          <w:sz w:val="14"/>
        </w:rPr>
      </w:pPr>
    </w:p>
    <w:tbl>
      <w:tblPr>
        <w:tblW w:w="0" w:type="auto"/>
        <w:jc w:val="left"/>
        <w:tblInd w:w="172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851"/>
        <w:gridCol w:w="1597"/>
      </w:tblGrid>
      <w:tr>
        <w:trPr>
          <w:trHeight w:val="585" w:hRule="atLeast"/>
        </w:trPr>
        <w:tc>
          <w:tcPr>
            <w:tcW w:w="5851" w:type="dxa"/>
          </w:tcPr>
          <w:p>
            <w:pPr>
              <w:pStyle w:val="TableParagraph"/>
              <w:spacing w:line="341" w:lineRule="exact"/>
              <w:ind w:right="734"/>
              <w:jc w:val="center"/>
              <w:rPr>
                <w:rFonts w:ascii="Cambria Math" w:hAnsi="Cambria Math" w:cs="Cambria Math" w:eastAsia="Cambria Math"/>
                <w:sz w:val="24"/>
                <w:szCs w:val="24"/>
              </w:rPr>
            </w:pPr>
            <w:r>
              <w:rPr>
                <w:rFonts w:ascii="Cambria Math" w:hAnsi="Cambria Math" w:cs="Cambria Math" w:eastAsia="Cambria Math"/>
                <w:w w:val="105"/>
                <w:sz w:val="24"/>
                <w:szCs w:val="24"/>
              </w:rPr>
              <w:t>�</w:t>
            </w:r>
            <w:r>
              <w:rPr>
                <w:rFonts w:ascii="Cambria Math" w:hAnsi="Cambria Math" w:cs="Cambria Math" w:eastAsia="Cambria Math"/>
                <w:spacing w:val="-15"/>
                <w:w w:val="105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w w:val="105"/>
                <w:sz w:val="24"/>
                <w:szCs w:val="24"/>
              </w:rPr>
              <w:t>𝐸</w:t>
            </w:r>
            <w:r>
              <w:rPr>
                <w:rFonts w:ascii="Cambria Math" w:hAnsi="Cambria Math" w:cs="Cambria Math" w:eastAsia="Cambria Math"/>
                <w:spacing w:val="13"/>
                <w:w w:val="105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w w:val="105"/>
                <w:sz w:val="24"/>
                <w:szCs w:val="24"/>
              </w:rPr>
              <w:t>+</w:t>
            </w:r>
            <w:r>
              <w:rPr>
                <w:rFonts w:ascii="Cambria Math" w:hAnsi="Cambria Math" w:cs="Cambria Math" w:eastAsia="Cambria Math"/>
                <w:spacing w:val="1"/>
                <w:w w:val="105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w w:val="105"/>
                <w:sz w:val="24"/>
                <w:szCs w:val="24"/>
              </w:rPr>
              <w:t>�</w:t>
            </w:r>
            <w:r>
              <w:rPr>
                <w:rFonts w:ascii="Cambria Math" w:hAnsi="Cambria Math" w:cs="Cambria Math" w:eastAsia="Cambria Math"/>
                <w:spacing w:val="-14"/>
                <w:w w:val="105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w w:val="105"/>
                <w:position w:val="18"/>
                <w:sz w:val="24"/>
                <w:szCs w:val="24"/>
              </w:rPr>
              <w:t>1</w:t>
            </w:r>
            <w:r>
              <w:rPr>
                <w:rFonts w:ascii="Cambria Math" w:hAnsi="Cambria Math" w:cs="Cambria Math" w:eastAsia="Cambria Math"/>
                <w:spacing w:val="-13"/>
                <w:w w:val="105"/>
                <w:position w:val="18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w w:val="105"/>
                <w:sz w:val="24"/>
                <w:szCs w:val="24"/>
              </w:rPr>
              <w:t>𝑚</w:t>
            </w:r>
            <w:r>
              <w:rPr>
                <w:rFonts w:ascii="Cambria Math" w:hAnsi="Cambria Math" w:cs="Cambria Math" w:eastAsia="Cambria Math"/>
                <w:spacing w:val="25"/>
                <w:w w:val="105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w w:val="105"/>
                <w:sz w:val="24"/>
                <w:szCs w:val="24"/>
              </w:rPr>
              <w:t>𝑣</w:t>
            </w:r>
            <w:r>
              <w:rPr>
                <w:rFonts w:ascii="Cambria Math" w:hAnsi="Cambria Math" w:cs="Cambria Math" w:eastAsia="Cambria Math"/>
                <w:w w:val="105"/>
                <w:sz w:val="24"/>
                <w:szCs w:val="24"/>
                <w:vertAlign w:val="superscript"/>
              </w:rPr>
              <w:t>2</w:t>
            </w:r>
            <w:r>
              <w:rPr>
                <w:rFonts w:ascii="Cambria Math" w:hAnsi="Cambria Math" w:cs="Cambria Math" w:eastAsia="Cambria Math"/>
                <w:spacing w:val="24"/>
                <w:w w:val="105"/>
                <w:sz w:val="24"/>
                <w:szCs w:val="24"/>
                <w:vertAlign w:val="baseline"/>
              </w:rPr>
              <w:t> </w:t>
            </w:r>
            <w:r>
              <w:rPr>
                <w:rFonts w:ascii="Cambria Math" w:hAnsi="Cambria Math" w:cs="Cambria Math" w:eastAsia="Cambria Math"/>
                <w:w w:val="105"/>
                <w:sz w:val="24"/>
                <w:szCs w:val="24"/>
                <w:vertAlign w:val="baseline"/>
              </w:rPr>
              <w:t>=</w:t>
            </w:r>
            <w:r>
              <w:rPr>
                <w:rFonts w:ascii="Cambria Math" w:hAnsi="Cambria Math" w:cs="Cambria Math" w:eastAsia="Cambria Math"/>
                <w:spacing w:val="14"/>
                <w:w w:val="105"/>
                <w:sz w:val="24"/>
                <w:szCs w:val="24"/>
                <w:vertAlign w:val="baseline"/>
              </w:rPr>
              <w:t> </w:t>
            </w:r>
            <w:r>
              <w:rPr>
                <w:rFonts w:ascii="Cambria Math" w:hAnsi="Cambria Math" w:cs="Cambria Math" w:eastAsia="Cambria Math"/>
                <w:w w:val="105"/>
                <w:sz w:val="24"/>
                <w:szCs w:val="24"/>
                <w:vertAlign w:val="baseline"/>
              </w:rPr>
              <w:t>�</w:t>
            </w:r>
            <w:r>
              <w:rPr>
                <w:rFonts w:ascii="Cambria Math" w:hAnsi="Cambria Math" w:cs="Cambria Math" w:eastAsia="Cambria Math"/>
                <w:spacing w:val="-14"/>
                <w:w w:val="105"/>
                <w:sz w:val="24"/>
                <w:szCs w:val="24"/>
                <w:vertAlign w:val="baseline"/>
              </w:rPr>
              <w:t> </w:t>
            </w:r>
            <w:r>
              <w:rPr>
                <w:rFonts w:ascii="Cambria Math" w:hAnsi="Cambria Math" w:cs="Cambria Math" w:eastAsia="Cambria Math"/>
                <w:w w:val="105"/>
                <w:sz w:val="24"/>
                <w:szCs w:val="24"/>
                <w:vertAlign w:val="baseline"/>
              </w:rPr>
              <w:t>𝐸 </w:t>
            </w:r>
            <w:r>
              <w:rPr>
                <w:rFonts w:ascii="Cambria Math" w:hAnsi="Cambria Math" w:cs="Cambria Math" w:eastAsia="Cambria Math"/>
                <w:spacing w:val="41"/>
                <w:w w:val="105"/>
                <w:sz w:val="24"/>
                <w:szCs w:val="24"/>
                <w:vertAlign w:val="baseline"/>
              </w:rPr>
              <w:t> </w:t>
            </w:r>
            <w:r>
              <w:rPr>
                <w:rFonts w:ascii="Cambria Math" w:hAnsi="Cambria Math" w:cs="Cambria Math" w:eastAsia="Cambria Math"/>
                <w:w w:val="105"/>
                <w:sz w:val="24"/>
                <w:szCs w:val="24"/>
                <w:vertAlign w:val="baseline"/>
              </w:rPr>
              <w:t>+ �</w:t>
            </w:r>
            <w:r>
              <w:rPr>
                <w:rFonts w:ascii="Cambria Math" w:hAnsi="Cambria Math" w:cs="Cambria Math" w:eastAsia="Cambria Math"/>
                <w:spacing w:val="-13"/>
                <w:w w:val="105"/>
                <w:sz w:val="24"/>
                <w:szCs w:val="24"/>
                <w:vertAlign w:val="baseline"/>
              </w:rPr>
              <w:t> </w:t>
            </w:r>
            <w:r>
              <w:rPr>
                <w:rFonts w:ascii="Cambria Math" w:hAnsi="Cambria Math" w:cs="Cambria Math" w:eastAsia="Cambria Math"/>
                <w:w w:val="105"/>
                <w:position w:val="18"/>
                <w:sz w:val="24"/>
                <w:szCs w:val="24"/>
                <w:vertAlign w:val="baseline"/>
              </w:rPr>
              <w:t>1</w:t>
            </w:r>
            <w:r>
              <w:rPr>
                <w:rFonts w:ascii="Cambria Math" w:hAnsi="Cambria Math" w:cs="Cambria Math" w:eastAsia="Cambria Math"/>
                <w:spacing w:val="-13"/>
                <w:w w:val="105"/>
                <w:position w:val="18"/>
                <w:sz w:val="24"/>
                <w:szCs w:val="24"/>
                <w:vertAlign w:val="baseline"/>
              </w:rPr>
              <w:t> </w:t>
            </w:r>
            <w:r>
              <w:rPr>
                <w:rFonts w:ascii="Cambria Math" w:hAnsi="Cambria Math" w:cs="Cambria Math" w:eastAsia="Cambria Math"/>
                <w:w w:val="105"/>
                <w:sz w:val="24"/>
                <w:szCs w:val="24"/>
                <w:vertAlign w:val="baseline"/>
              </w:rPr>
              <w:t>𝑚</w:t>
            </w:r>
            <w:r>
              <w:rPr>
                <w:rFonts w:ascii="Cambria Math" w:hAnsi="Cambria Math" w:cs="Cambria Math" w:eastAsia="Cambria Math"/>
                <w:spacing w:val="53"/>
                <w:w w:val="105"/>
                <w:sz w:val="24"/>
                <w:szCs w:val="24"/>
                <w:vertAlign w:val="baseline"/>
              </w:rPr>
              <w:t> </w:t>
            </w:r>
            <w:r>
              <w:rPr>
                <w:rFonts w:ascii="Cambria Math" w:hAnsi="Cambria Math" w:cs="Cambria Math" w:eastAsia="Cambria Math"/>
                <w:w w:val="105"/>
                <w:sz w:val="24"/>
                <w:szCs w:val="24"/>
                <w:vertAlign w:val="baseline"/>
              </w:rPr>
              <w:t>𝑣</w:t>
            </w:r>
            <w:r>
              <w:rPr>
                <w:rFonts w:ascii="Cambria Math" w:hAnsi="Cambria Math" w:cs="Cambria Math" w:eastAsia="Cambria Math"/>
                <w:w w:val="105"/>
                <w:sz w:val="24"/>
                <w:szCs w:val="24"/>
                <w:vertAlign w:val="superscript"/>
              </w:rPr>
              <w:t>2</w:t>
            </w:r>
            <w:r>
              <w:rPr>
                <w:rFonts w:ascii="Cambria Math" w:hAnsi="Cambria Math" w:cs="Cambria Math" w:eastAsia="Cambria Math"/>
                <w:spacing w:val="10"/>
                <w:w w:val="105"/>
                <w:sz w:val="24"/>
                <w:szCs w:val="24"/>
                <w:vertAlign w:val="baseline"/>
              </w:rPr>
              <w:t> </w:t>
            </w:r>
            <w:r>
              <w:rPr>
                <w:rFonts w:ascii="Cambria Math" w:hAnsi="Cambria Math" w:cs="Cambria Math" w:eastAsia="Cambria Math"/>
                <w:w w:val="105"/>
                <w:sz w:val="24"/>
                <w:szCs w:val="24"/>
                <w:vertAlign w:val="baseline"/>
              </w:rPr>
              <w:t>+</w:t>
            </w:r>
            <w:r>
              <w:rPr>
                <w:rFonts w:ascii="Cambria Math" w:hAnsi="Cambria Math" w:cs="Cambria Math" w:eastAsia="Cambria Math"/>
                <w:spacing w:val="1"/>
                <w:w w:val="105"/>
                <w:sz w:val="24"/>
                <w:szCs w:val="24"/>
                <w:vertAlign w:val="baseline"/>
              </w:rPr>
              <w:t> </w:t>
            </w:r>
            <w:r>
              <w:rPr>
                <w:rFonts w:ascii="Cambria Math" w:hAnsi="Cambria Math" w:cs="Cambria Math" w:eastAsia="Cambria Math"/>
                <w:w w:val="80"/>
                <w:sz w:val="24"/>
                <w:szCs w:val="24"/>
                <w:vertAlign w:val="baseline"/>
              </w:rPr>
              <w:t>𝑊𝑊</w:t>
            </w:r>
          </w:p>
          <w:p>
            <w:pPr>
              <w:pStyle w:val="TableParagraph"/>
              <w:tabs>
                <w:tab w:pos="719" w:val="left" w:leader="none"/>
                <w:tab w:pos="1094" w:val="left" w:leader="none"/>
                <w:tab w:pos="2215" w:val="left" w:leader="none"/>
                <w:tab w:pos="2977" w:val="left" w:leader="none"/>
                <w:tab w:pos="3337" w:val="left" w:leader="none"/>
              </w:tabs>
              <w:spacing w:line="91" w:lineRule="auto"/>
              <w:ind w:right="790"/>
              <w:jc w:val="center"/>
              <w:rPr>
                <w:rFonts w:ascii="Cambria Math" w:eastAsia="Cambria Math"/>
                <w:sz w:val="17"/>
              </w:rPr>
            </w:pPr>
            <w:r>
              <w:rPr>
                <w:rFonts w:ascii="Cambria Math" w:eastAsia="Cambria Math"/>
                <w:w w:val="60"/>
                <w:position w:val="1"/>
                <w:sz w:val="17"/>
              </w:rPr>
              <w:t>𝑔𝑔</w:t>
              <w:tab/>
            </w:r>
            <w:r>
              <w:rPr>
                <w:rFonts w:ascii="Cambria Math" w:eastAsia="Cambria Math"/>
                <w:w w:val="90"/>
                <w:position w:val="-9"/>
                <w:sz w:val="24"/>
              </w:rPr>
              <w:t>2</w:t>
              <w:tab/>
            </w:r>
            <w:r>
              <w:rPr>
                <w:rFonts w:ascii="Cambria Math" w:eastAsia="Cambria Math"/>
                <w:w w:val="55"/>
                <w:position w:val="1"/>
                <w:sz w:val="17"/>
              </w:rPr>
              <w:t>𝑔𝑔</w:t>
            </w:r>
            <w:r>
              <w:rPr>
                <w:rFonts w:ascii="Cambria Math" w:eastAsia="Cambria Math"/>
                <w:spacing w:val="56"/>
                <w:position w:val="1"/>
                <w:sz w:val="17"/>
              </w:rPr>
              <w:t> </w:t>
            </w:r>
            <w:r>
              <w:rPr>
                <w:rFonts w:ascii="Cambria Math" w:eastAsia="Cambria Math"/>
                <w:w w:val="55"/>
                <w:sz w:val="17"/>
              </w:rPr>
              <w:t>𝑔𝑔</w:t>
              <w:tab/>
            </w:r>
            <w:r>
              <w:rPr>
                <w:rFonts w:ascii="Cambria Math" w:eastAsia="Cambria Math"/>
                <w:w w:val="60"/>
                <w:position w:val="1"/>
                <w:sz w:val="17"/>
              </w:rPr>
              <w:t>𝑓𝑓</w:t>
              <w:tab/>
            </w:r>
            <w:r>
              <w:rPr>
                <w:rFonts w:ascii="Cambria Math" w:eastAsia="Cambria Math"/>
                <w:w w:val="90"/>
                <w:position w:val="-9"/>
                <w:sz w:val="24"/>
              </w:rPr>
              <w:t>2</w:t>
              <w:tab/>
            </w:r>
            <w:r>
              <w:rPr>
                <w:rFonts w:ascii="Cambria Math" w:eastAsia="Cambria Math"/>
                <w:w w:val="60"/>
                <w:position w:val="1"/>
                <w:sz w:val="17"/>
              </w:rPr>
              <w:t>𝑓𝑓</w:t>
            </w:r>
            <w:r>
              <w:rPr>
                <w:rFonts w:ascii="Cambria Math" w:eastAsia="Cambria Math"/>
                <w:spacing w:val="32"/>
                <w:position w:val="1"/>
                <w:sz w:val="17"/>
              </w:rPr>
              <w:t> </w:t>
            </w:r>
            <w:r>
              <w:rPr>
                <w:rFonts w:ascii="Cambria Math" w:eastAsia="Cambria Math"/>
                <w:w w:val="60"/>
                <w:sz w:val="17"/>
              </w:rPr>
              <w:t>𝑓𝑓</w:t>
            </w:r>
          </w:p>
        </w:tc>
        <w:tc>
          <w:tcPr>
            <w:tcW w:w="1597" w:type="dxa"/>
          </w:tcPr>
          <w:p>
            <w:pPr>
              <w:pStyle w:val="TableParagraph"/>
              <w:spacing w:line="266" w:lineRule="exact"/>
              <w:ind w:left="935"/>
              <w:rPr>
                <w:sz w:val="24"/>
              </w:rPr>
            </w:pPr>
            <w:r>
              <w:rPr>
                <w:sz w:val="24"/>
              </w:rPr>
              <w:t>(3.1)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0"/>
        </w:rPr>
      </w:pPr>
    </w:p>
    <w:p>
      <w:pPr>
        <w:pStyle w:val="BodyText"/>
        <w:spacing w:line="480" w:lineRule="auto"/>
        <w:ind w:left="440" w:right="258"/>
        <w:jc w:val="both"/>
      </w:pPr>
      <w:r>
        <w:rPr/>
        <w:t>Where </w:t>
      </w:r>
      <w:r>
        <w:rPr>
          <w:i/>
        </w:rPr>
        <w:t>E </w:t>
      </w:r>
      <w:r>
        <w:rPr/>
        <w:t>represents internal energy, </w:t>
      </w:r>
      <w:r>
        <w:rPr>
          <w:i/>
        </w:rPr>
        <w:t>m </w:t>
      </w:r>
      <w:r>
        <w:rPr/>
        <w:t>is the mass, </w:t>
      </w:r>
      <w:r>
        <w:rPr>
          <w:i/>
        </w:rPr>
        <w:t>v </w:t>
      </w:r>
      <w:r>
        <w:rPr/>
        <w:t>is velocity and </w:t>
      </w:r>
      <w:r>
        <w:rPr>
          <w:i/>
        </w:rPr>
        <w:t>W </w:t>
      </w:r>
      <w:r>
        <w:rPr/>
        <w:t>is work, and</w:t>
      </w:r>
      <w:r>
        <w:rPr>
          <w:spacing w:val="1"/>
        </w:rPr>
        <w:t> </w:t>
      </w:r>
      <w:r>
        <w:rPr/>
        <w:t>subscripts </w:t>
      </w:r>
      <w:r>
        <w:rPr>
          <w:i/>
        </w:rPr>
        <w:t>i </w:t>
      </w:r>
      <w:r>
        <w:rPr/>
        <w:t>and </w:t>
      </w:r>
      <w:r>
        <w:rPr>
          <w:i/>
        </w:rPr>
        <w:t>f </w:t>
      </w:r>
      <w:r>
        <w:rPr/>
        <w:t>represent initial and final states, respectively.</w:t>
      </w:r>
      <w:r>
        <w:rPr>
          <w:spacing w:val="1"/>
        </w:rPr>
        <w:t> </w:t>
      </w:r>
      <w:r>
        <w:rPr/>
        <w:t>In the case of a ballistic</w:t>
      </w:r>
      <w:r>
        <w:rPr>
          <w:spacing w:val="1"/>
        </w:rPr>
        <w:t> </w:t>
      </w:r>
      <w:r>
        <w:rPr/>
        <w:t>event,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work</w:t>
      </w:r>
      <w:r>
        <w:rPr>
          <w:spacing w:val="-5"/>
        </w:rPr>
        <w:t> </w:t>
      </w:r>
      <w:r>
        <w:rPr/>
        <w:t>done</w:t>
      </w:r>
      <w:r>
        <w:rPr>
          <w:spacing w:val="-5"/>
        </w:rPr>
        <w:t> </w:t>
      </w:r>
      <w:r>
        <w:rPr/>
        <w:t>by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bullet</w:t>
      </w:r>
      <w:r>
        <w:rPr>
          <w:spacing w:val="-6"/>
        </w:rPr>
        <w:t> </w:t>
      </w:r>
      <w:r>
        <w:rPr/>
        <w:t>is</w:t>
      </w:r>
      <w:r>
        <w:rPr>
          <w:spacing w:val="-6"/>
        </w:rPr>
        <w:t> </w:t>
      </w:r>
      <w:r>
        <w:rPr/>
        <w:t>typically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plastic</w:t>
      </w:r>
      <w:r>
        <w:rPr>
          <w:spacing w:val="-5"/>
        </w:rPr>
        <w:t> </w:t>
      </w:r>
      <w:r>
        <w:rPr/>
        <w:t>deformation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target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/>
        <w:t>any</w:t>
      </w:r>
      <w:r>
        <w:rPr>
          <w:spacing w:val="-58"/>
        </w:rPr>
        <w:t> </w:t>
      </w:r>
      <w:r>
        <w:rPr/>
        <w:t>kinetic energy remaining after that work is done either movement of the whole system,</w:t>
      </w:r>
      <w:r>
        <w:rPr>
          <w:spacing w:val="1"/>
        </w:rPr>
        <w:t> </w:t>
      </w:r>
      <w:r>
        <w:rPr/>
        <w:t>target and bullet, or a perforation with the bullet retaining kinetic energy as it moves at a</w:t>
      </w:r>
      <w:r>
        <w:rPr>
          <w:spacing w:val="1"/>
        </w:rPr>
        <w:t> </w:t>
      </w:r>
      <w:r>
        <w:rPr/>
        <w:t>residual</w:t>
      </w:r>
      <w:r>
        <w:rPr>
          <w:spacing w:val="-1"/>
        </w:rPr>
        <w:t> </w:t>
      </w:r>
      <w:r>
        <w:rPr/>
        <w:t>velocity after exiting</w:t>
      </w:r>
      <w:r>
        <w:rPr>
          <w:spacing w:val="-2"/>
        </w:rPr>
        <w:t> </w:t>
      </w:r>
      <w:r>
        <w:rPr/>
        <w:t>the target.</w:t>
      </w:r>
    </w:p>
    <w:p>
      <w:pPr>
        <w:pStyle w:val="BodyText"/>
        <w:spacing w:line="480" w:lineRule="auto" w:before="160"/>
        <w:ind w:left="440" w:right="257" w:firstLine="720"/>
        <w:jc w:val="both"/>
      </w:pPr>
      <w:r>
        <w:rPr/>
        <w:t>In penetration mechanics, it may be difficult to account for various mechanisms</w:t>
      </w:r>
      <w:r>
        <w:rPr>
          <w:spacing w:val="1"/>
        </w:rPr>
        <w:t> </w:t>
      </w:r>
      <w:r>
        <w:rPr/>
        <w:t>that dissipate the energy of the system.</w:t>
      </w:r>
      <w:r>
        <w:rPr>
          <w:spacing w:val="1"/>
        </w:rPr>
        <w:t> </w:t>
      </w:r>
      <w:r>
        <w:rPr/>
        <w:t>Some systems see energy transfer mechanisms</w:t>
      </w:r>
      <w:r>
        <w:rPr>
          <w:spacing w:val="1"/>
        </w:rPr>
        <w:t> </w:t>
      </w:r>
      <w:r>
        <w:rPr/>
        <w:t>change</w:t>
      </w:r>
      <w:r>
        <w:rPr>
          <w:spacing w:val="-12"/>
        </w:rPr>
        <w:t> </w:t>
      </w:r>
      <w:r>
        <w:rPr/>
        <w:t>with</w:t>
      </w:r>
      <w:r>
        <w:rPr>
          <w:spacing w:val="-13"/>
        </w:rPr>
        <w:t> </w:t>
      </w:r>
      <w:r>
        <w:rPr/>
        <w:t>striking</w:t>
      </w:r>
      <w:r>
        <w:rPr>
          <w:spacing w:val="-12"/>
        </w:rPr>
        <w:t> </w:t>
      </w:r>
      <w:r>
        <w:rPr/>
        <w:t>velocity</w:t>
      </w:r>
      <w:r>
        <w:rPr>
          <w:spacing w:val="-12"/>
        </w:rPr>
        <w:t> </w:t>
      </w:r>
      <w:r>
        <w:rPr/>
        <w:t>magnitude.</w:t>
      </w:r>
      <w:r>
        <w:rPr>
          <w:spacing w:val="36"/>
        </w:rPr>
        <w:t> </w:t>
      </w:r>
      <w:r>
        <w:rPr/>
        <w:t>For</w:t>
      </w:r>
      <w:r>
        <w:rPr>
          <w:spacing w:val="-12"/>
        </w:rPr>
        <w:t> </w:t>
      </w:r>
      <w:r>
        <w:rPr/>
        <w:t>example,</w:t>
      </w:r>
      <w:r>
        <w:rPr>
          <w:spacing w:val="-12"/>
        </w:rPr>
        <w:t> </w:t>
      </w:r>
      <w:r>
        <w:rPr/>
        <w:t>higher</w:t>
      </w:r>
      <w:r>
        <w:rPr>
          <w:spacing w:val="-13"/>
        </w:rPr>
        <w:t> </w:t>
      </w:r>
      <w:r>
        <w:rPr/>
        <w:t>velocities</w:t>
      </w:r>
      <w:r>
        <w:rPr>
          <w:spacing w:val="-12"/>
        </w:rPr>
        <w:t> </w:t>
      </w:r>
      <w:r>
        <w:rPr/>
        <w:t>see</w:t>
      </w:r>
      <w:r>
        <w:rPr>
          <w:spacing w:val="-12"/>
        </w:rPr>
        <w:t> </w:t>
      </w:r>
      <w:r>
        <w:rPr/>
        <w:t>energy</w:t>
      </w:r>
      <w:r>
        <w:rPr>
          <w:spacing w:val="-12"/>
        </w:rPr>
        <w:t> </w:t>
      </w:r>
      <w:r>
        <w:rPr/>
        <w:t>at</w:t>
      </w:r>
      <w:r>
        <w:rPr>
          <w:spacing w:val="-13"/>
        </w:rPr>
        <w:t> </w:t>
      </w:r>
      <w:r>
        <w:rPr/>
        <w:t>least</w:t>
      </w:r>
      <w:r>
        <w:rPr>
          <w:spacing w:val="-58"/>
        </w:rPr>
        <w:t> </w:t>
      </w:r>
      <w:r>
        <w:rPr/>
        <w:t>partially dissipated by plastic work or permanent deformation of the target.</w:t>
      </w:r>
      <w:r>
        <w:rPr>
          <w:spacing w:val="1"/>
        </w:rPr>
        <w:t> </w:t>
      </w:r>
      <w:r>
        <w:rPr/>
        <w:t>Energy may</w:t>
      </w:r>
      <w:r>
        <w:rPr>
          <w:spacing w:val="1"/>
        </w:rPr>
        <w:t> </w:t>
      </w:r>
      <w:r>
        <w:rPr/>
        <w:t>also be dissipated in the form of heat during penetration. This change in temperature can</w:t>
      </w:r>
      <w:r>
        <w:rPr>
          <w:spacing w:val="1"/>
        </w:rPr>
        <w:t> </w:t>
      </w:r>
      <w:r>
        <w:rPr/>
        <w:t>be difficult to quantify in terms of measurement methods and due to the temperature</w:t>
      </w:r>
      <w:r>
        <w:rPr>
          <w:spacing w:val="1"/>
        </w:rPr>
        <w:t> </w:t>
      </w:r>
      <w:r>
        <w:rPr/>
        <w:t>sensitivity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some</w:t>
      </w:r>
      <w:r>
        <w:rPr>
          <w:spacing w:val="1"/>
        </w:rPr>
        <w:t> </w:t>
      </w:r>
      <w:r>
        <w:rPr/>
        <w:t>materials.</w:t>
      </w:r>
    </w:p>
    <w:p>
      <w:pPr>
        <w:pStyle w:val="BodyText"/>
        <w:spacing w:line="480" w:lineRule="auto" w:before="160"/>
        <w:ind w:left="440" w:right="257" w:firstLine="720"/>
        <w:jc w:val="both"/>
      </w:pPr>
      <w:r>
        <w:rPr>
          <w:spacing w:val="-1"/>
        </w:rPr>
        <w:t>Conservation</w:t>
      </w:r>
      <w:r>
        <w:rPr>
          <w:spacing w:val="-15"/>
        </w:rPr>
        <w:t> </w:t>
      </w:r>
      <w:r>
        <w:rPr>
          <w:spacing w:val="-1"/>
        </w:rPr>
        <w:t>of</w:t>
      </w:r>
      <w:r>
        <w:rPr>
          <w:spacing w:val="-14"/>
        </w:rPr>
        <w:t> </w:t>
      </w:r>
      <w:r>
        <w:rPr/>
        <w:t>momentum</w:t>
      </w:r>
      <w:r>
        <w:rPr>
          <w:spacing w:val="-17"/>
        </w:rPr>
        <w:t> </w:t>
      </w:r>
      <w:r>
        <w:rPr/>
        <w:t>is</w:t>
      </w:r>
      <w:r>
        <w:rPr>
          <w:spacing w:val="-15"/>
        </w:rPr>
        <w:t> </w:t>
      </w:r>
      <w:r>
        <w:rPr/>
        <w:t>demonstrated</w:t>
      </w:r>
      <w:r>
        <w:rPr>
          <w:spacing w:val="-14"/>
        </w:rPr>
        <w:t> </w:t>
      </w:r>
      <w:r>
        <w:rPr/>
        <w:t>as</w:t>
      </w:r>
      <w:r>
        <w:rPr>
          <w:spacing w:val="-15"/>
        </w:rPr>
        <w:t> </w:t>
      </w:r>
      <w:r>
        <w:rPr/>
        <w:t>an</w:t>
      </w:r>
      <w:r>
        <w:rPr>
          <w:spacing w:val="-16"/>
        </w:rPr>
        <w:t> </w:t>
      </w:r>
      <w:r>
        <w:rPr/>
        <w:t>impulse,</w:t>
      </w:r>
      <w:r>
        <w:rPr>
          <w:spacing w:val="-14"/>
        </w:rPr>
        <w:t> </w:t>
      </w:r>
      <w:r>
        <w:rPr>
          <w:i/>
        </w:rPr>
        <w:t>I</w:t>
      </w:r>
      <w:r>
        <w:rPr/>
        <w:t>,</w:t>
      </w:r>
      <w:r>
        <w:rPr>
          <w:spacing w:val="-15"/>
        </w:rPr>
        <w:t> </w:t>
      </w:r>
      <w:r>
        <w:rPr/>
        <w:t>felt</w:t>
      </w:r>
      <w:r>
        <w:rPr>
          <w:spacing w:val="-14"/>
        </w:rPr>
        <w:t> </w:t>
      </w:r>
      <w:r>
        <w:rPr/>
        <w:t>on</w:t>
      </w:r>
      <w:r>
        <w:rPr>
          <w:spacing w:val="-16"/>
        </w:rPr>
        <w:t> </w:t>
      </w:r>
      <w:r>
        <w:rPr/>
        <w:t>a</w:t>
      </w:r>
      <w:r>
        <w:rPr>
          <w:spacing w:val="-15"/>
        </w:rPr>
        <w:t> </w:t>
      </w:r>
      <w:r>
        <w:rPr/>
        <w:t>body</w:t>
      </w:r>
      <w:r>
        <w:rPr>
          <w:spacing w:val="-16"/>
        </w:rPr>
        <w:t> </w:t>
      </w:r>
      <w:r>
        <w:rPr/>
        <w:t>changes</w:t>
      </w:r>
      <w:r>
        <w:rPr>
          <w:spacing w:val="-57"/>
        </w:rPr>
        <w:t> </w:t>
      </w:r>
      <w:r>
        <w:rPr>
          <w:position w:val="1"/>
        </w:rPr>
        <w:t>the momentum from an initial value, </w:t>
      </w:r>
      <w:r>
        <w:rPr>
          <w:i/>
          <w:position w:val="1"/>
        </w:rPr>
        <w:t>mv</w:t>
      </w:r>
      <w:r>
        <w:rPr>
          <w:i/>
          <w:sz w:val="16"/>
        </w:rPr>
        <w:t>i </w:t>
      </w:r>
      <w:r>
        <w:rPr>
          <w:position w:val="1"/>
        </w:rPr>
        <w:t>to a final value, </w:t>
      </w:r>
      <w:r>
        <w:rPr>
          <w:i/>
          <w:position w:val="1"/>
        </w:rPr>
        <w:t>mv</w:t>
      </w:r>
      <w:r>
        <w:rPr>
          <w:i/>
          <w:sz w:val="16"/>
        </w:rPr>
        <w:t>f,</w:t>
      </w:r>
      <w:r>
        <w:rPr>
          <w:position w:val="1"/>
        </w:rPr>
        <w:t>, where </w:t>
      </w:r>
      <w:r>
        <w:rPr>
          <w:i/>
          <w:position w:val="1"/>
        </w:rPr>
        <w:t>m </w:t>
      </w:r>
      <w:r>
        <w:rPr>
          <w:position w:val="1"/>
        </w:rPr>
        <w:t>is mass and </w:t>
      </w:r>
      <w:r>
        <w:rPr>
          <w:i/>
          <w:position w:val="1"/>
        </w:rPr>
        <w:t>v </w:t>
      </w:r>
      <w:r>
        <w:rPr>
          <w:position w:val="1"/>
        </w:rPr>
        <w:t>is</w:t>
      </w:r>
      <w:r>
        <w:rPr>
          <w:spacing w:val="1"/>
          <w:position w:val="1"/>
        </w:rPr>
        <w:t> </w:t>
      </w:r>
      <w:r>
        <w:rPr/>
        <w:t>velocity</w:t>
      </w:r>
      <w:r>
        <w:rPr>
          <w:spacing w:val="-1"/>
        </w:rPr>
        <w:t> </w:t>
      </w:r>
      <w:r>
        <w:rPr/>
        <w:t>as shown in Equation 3.2.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before="8"/>
        <w:rPr>
          <w:sz w:val="7"/>
        </w:rPr>
      </w:pPr>
    </w:p>
    <w:tbl>
      <w:tblPr>
        <w:tblW w:w="0" w:type="auto"/>
        <w:jc w:val="left"/>
        <w:tblInd w:w="24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28"/>
        <w:gridCol w:w="1882"/>
      </w:tblGrid>
      <w:tr>
        <w:trPr>
          <w:trHeight w:val="300" w:hRule="atLeast"/>
        </w:trPr>
        <w:tc>
          <w:tcPr>
            <w:tcW w:w="4828" w:type="dxa"/>
          </w:tcPr>
          <w:p>
            <w:pPr>
              <w:pStyle w:val="TableParagraph"/>
              <w:spacing w:line="281" w:lineRule="exact"/>
              <w:ind w:left="200"/>
              <w:rPr>
                <w:rFonts w:ascii="Cambria Math" w:hAnsi="Cambria Math" w:cs="Cambria Math" w:eastAsia="Cambria Math"/>
                <w:sz w:val="17"/>
                <w:szCs w:val="17"/>
              </w:rPr>
            </w:pPr>
            <w:r>
              <w:rPr>
                <w:rFonts w:ascii="Cambria Math" w:hAnsi="Cambria Math" w:cs="Cambria Math" w:eastAsia="Cambria Math"/>
                <w:sz w:val="24"/>
                <w:szCs w:val="24"/>
              </w:rPr>
              <w:t>𝐼</w:t>
            </w:r>
            <w:r>
              <w:rPr>
                <w:rFonts w:ascii="Cambria Math" w:hAnsi="Cambria Math" w:cs="Cambria Math" w:eastAsia="Cambria Math"/>
                <w:spacing w:val="21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sz w:val="24"/>
                <w:szCs w:val="24"/>
              </w:rPr>
              <w:t>=</w:t>
            </w:r>
            <w:r>
              <w:rPr>
                <w:rFonts w:ascii="Cambria Math" w:hAnsi="Cambria Math" w:cs="Cambria Math" w:eastAsia="Cambria Math"/>
                <w:spacing w:val="13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w w:val="80"/>
                <w:sz w:val="24"/>
                <w:szCs w:val="24"/>
              </w:rPr>
              <w:t>�</w:t>
            </w:r>
            <w:r>
              <w:rPr>
                <w:rFonts w:ascii="Cambria Math" w:hAnsi="Cambria Math" w:cs="Cambria Math" w:eastAsia="Cambria Math"/>
                <w:spacing w:val="-14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sz w:val="24"/>
                <w:szCs w:val="24"/>
              </w:rPr>
              <w:t>𝐹</w:t>
            </w:r>
            <w:r>
              <w:rPr>
                <w:rFonts w:ascii="Cambria Math" w:hAnsi="Cambria Math" w:cs="Cambria Math" w:eastAsia="Cambria Math"/>
                <w:spacing w:val="9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sz w:val="24"/>
                <w:szCs w:val="24"/>
              </w:rPr>
              <w:t>𝑑𝑡</w:t>
            </w:r>
            <w:r>
              <w:rPr>
                <w:rFonts w:ascii="Cambria Math" w:hAnsi="Cambria Math" w:cs="Cambria Math" w:eastAsia="Cambria Math"/>
                <w:spacing w:val="20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sz w:val="24"/>
                <w:szCs w:val="24"/>
              </w:rPr>
              <w:t>=</w:t>
            </w:r>
            <w:r>
              <w:rPr>
                <w:rFonts w:ascii="Cambria Math" w:hAnsi="Cambria Math" w:cs="Cambria Math" w:eastAsia="Cambria Math"/>
                <w:spacing w:val="13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w w:val="80"/>
                <w:sz w:val="24"/>
                <w:szCs w:val="24"/>
              </w:rPr>
              <w:t>�</w:t>
            </w:r>
            <w:r>
              <w:rPr>
                <w:rFonts w:ascii="Cambria Math" w:hAnsi="Cambria Math" w:cs="Cambria Math" w:eastAsia="Cambria Math"/>
                <w:spacing w:val="-14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sz w:val="24"/>
                <w:szCs w:val="24"/>
              </w:rPr>
              <w:t>𝑚</w:t>
            </w:r>
            <w:r>
              <w:rPr>
                <w:rFonts w:ascii="Cambria Math" w:hAnsi="Cambria Math" w:cs="Cambria Math" w:eastAsia="Cambria Math"/>
                <w:spacing w:val="3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sz w:val="24"/>
                <w:szCs w:val="24"/>
              </w:rPr>
              <w:t>𝑑𝑣</w:t>
            </w:r>
            <w:r>
              <w:rPr>
                <w:rFonts w:ascii="Cambria Math" w:hAnsi="Cambria Math" w:cs="Cambria Math" w:eastAsia="Cambria Math"/>
                <w:spacing w:val="20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sz w:val="24"/>
                <w:szCs w:val="24"/>
              </w:rPr>
              <w:t>=</w:t>
            </w:r>
            <w:r>
              <w:rPr>
                <w:rFonts w:ascii="Cambria Math" w:hAnsi="Cambria Math" w:cs="Cambria Math" w:eastAsia="Cambria Math"/>
                <w:spacing w:val="13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sz w:val="24"/>
                <w:szCs w:val="24"/>
              </w:rPr>
              <w:t>𝑚</w:t>
            </w:r>
            <w:r>
              <w:rPr>
                <w:rFonts w:ascii="Cambria Math" w:hAnsi="Cambria Math" w:cs="Cambria Math" w:eastAsia="Cambria Math"/>
                <w:spacing w:val="-17"/>
                <w:sz w:val="24"/>
                <w:szCs w:val="24"/>
              </w:rPr>
              <w:t>𝑣</w:t>
            </w:r>
            <w:r>
              <w:rPr>
                <w:rFonts w:ascii="Cambria Math" w:hAnsi="Cambria Math" w:cs="Cambria Math" w:eastAsia="Cambria Math"/>
                <w:w w:val="54"/>
                <w:position w:val="-4"/>
                <w:sz w:val="17"/>
                <w:szCs w:val="17"/>
              </w:rPr>
              <w:t>𝑓𝑓</w:t>
            </w:r>
            <w:r>
              <w:rPr>
                <w:rFonts w:ascii="Cambria Math" w:hAnsi="Cambria Math" w:cs="Cambria Math" w:eastAsia="Cambria Math"/>
                <w:position w:val="-4"/>
                <w:sz w:val="17"/>
                <w:szCs w:val="17"/>
              </w:rPr>
              <w:t> </w:t>
            </w:r>
            <w:r>
              <w:rPr>
                <w:rFonts w:ascii="Cambria Math" w:hAnsi="Cambria Math" w:cs="Cambria Math" w:eastAsia="Cambria Math"/>
                <w:spacing w:val="-7"/>
                <w:position w:val="-4"/>
                <w:sz w:val="17"/>
                <w:szCs w:val="17"/>
              </w:rPr>
              <w:t> </w:t>
            </w:r>
            <w:r>
              <w:rPr>
                <w:rFonts w:ascii="Cambria Math" w:hAnsi="Cambria Math" w:cs="Cambria Math" w:eastAsia="Cambria Math"/>
                <w:sz w:val="24"/>
                <w:szCs w:val="24"/>
              </w:rPr>
              <w:t>− 𝑚</w:t>
            </w:r>
            <w:r>
              <w:rPr>
                <w:rFonts w:ascii="Cambria Math" w:hAnsi="Cambria Math" w:cs="Cambria Math" w:eastAsia="Cambria Math"/>
                <w:spacing w:val="-3"/>
                <w:sz w:val="24"/>
                <w:szCs w:val="24"/>
              </w:rPr>
              <w:t>𝑣</w:t>
            </w:r>
            <w:r>
              <w:rPr>
                <w:rFonts w:ascii="Cambria Math" w:hAnsi="Cambria Math" w:cs="Cambria Math" w:eastAsia="Cambria Math"/>
                <w:w w:val="28"/>
                <w:position w:val="-4"/>
                <w:sz w:val="17"/>
                <w:szCs w:val="17"/>
              </w:rPr>
              <w:t>𝑔𝑔</w:t>
            </w:r>
          </w:p>
        </w:tc>
        <w:tc>
          <w:tcPr>
            <w:tcW w:w="1882" w:type="dxa"/>
          </w:tcPr>
          <w:p>
            <w:pPr>
              <w:pStyle w:val="TableParagraph"/>
              <w:spacing w:line="266" w:lineRule="exact"/>
              <w:ind w:left="1222"/>
              <w:rPr>
                <w:sz w:val="24"/>
              </w:rPr>
            </w:pPr>
            <w:r>
              <w:rPr>
                <w:sz w:val="24"/>
              </w:rPr>
              <w:t>(3.2)</w:t>
            </w:r>
          </w:p>
        </w:tc>
      </w:tr>
    </w:tbl>
    <w:p>
      <w:pPr>
        <w:pStyle w:val="BodyText"/>
        <w:spacing w:before="4"/>
        <w:rPr>
          <w:sz w:val="25"/>
        </w:rPr>
      </w:pPr>
    </w:p>
    <w:p>
      <w:pPr>
        <w:pStyle w:val="BodyText"/>
        <w:spacing w:line="480" w:lineRule="auto" w:before="90"/>
        <w:ind w:left="440"/>
      </w:pPr>
      <w:r>
        <w:rPr/>
        <w:t>Conservation</w:t>
      </w:r>
      <w:r>
        <w:rPr>
          <w:spacing w:val="-10"/>
        </w:rPr>
        <w:t> </w:t>
      </w:r>
      <w:r>
        <w:rPr/>
        <w:t>of</w:t>
      </w:r>
      <w:r>
        <w:rPr>
          <w:spacing w:val="-8"/>
        </w:rPr>
        <w:t> </w:t>
      </w:r>
      <w:r>
        <w:rPr/>
        <w:t>mass</w:t>
      </w:r>
      <w:r>
        <w:rPr>
          <w:spacing w:val="-8"/>
        </w:rPr>
        <w:t> </w:t>
      </w:r>
      <w:r>
        <w:rPr/>
        <w:t>states</w:t>
      </w:r>
      <w:r>
        <w:rPr>
          <w:spacing w:val="-9"/>
        </w:rPr>
        <w:t> </w:t>
      </w:r>
      <w:r>
        <w:rPr/>
        <w:t>that</w:t>
      </w:r>
      <w:r>
        <w:rPr>
          <w:spacing w:val="-9"/>
        </w:rPr>
        <w:t> </w:t>
      </w:r>
      <w:r>
        <w:rPr/>
        <w:t>in</w:t>
      </w:r>
      <w:r>
        <w:rPr>
          <w:spacing w:val="-9"/>
        </w:rPr>
        <w:t> </w:t>
      </w:r>
      <w:r>
        <w:rPr/>
        <w:t>a</w:t>
      </w:r>
      <w:r>
        <w:rPr>
          <w:spacing w:val="-11"/>
        </w:rPr>
        <w:t> </w:t>
      </w:r>
      <w:r>
        <w:rPr/>
        <w:t>closed</w:t>
      </w:r>
      <w:r>
        <w:rPr>
          <w:spacing w:val="-9"/>
        </w:rPr>
        <w:t> </w:t>
      </w:r>
      <w:r>
        <w:rPr/>
        <w:t>system</w:t>
      </w:r>
      <w:r>
        <w:rPr>
          <w:spacing w:val="-11"/>
        </w:rPr>
        <w:t> </w:t>
      </w:r>
      <w:r>
        <w:rPr/>
        <w:t>the</w:t>
      </w:r>
      <w:r>
        <w:rPr>
          <w:spacing w:val="-8"/>
        </w:rPr>
        <w:t> </w:t>
      </w:r>
      <w:r>
        <w:rPr/>
        <w:t>mass,</w:t>
      </w:r>
      <w:r>
        <w:rPr>
          <w:spacing w:val="-9"/>
        </w:rPr>
        <w:t> </w:t>
      </w:r>
      <w:r>
        <w:rPr>
          <w:i/>
        </w:rPr>
        <w:t>m</w:t>
      </w:r>
      <w:r>
        <w:rPr/>
        <w:t>,</w:t>
      </w:r>
      <w:r>
        <w:rPr>
          <w:spacing w:val="-7"/>
        </w:rPr>
        <w:t> </w:t>
      </w:r>
      <w:r>
        <w:rPr/>
        <w:t>must</w:t>
      </w:r>
      <w:r>
        <w:rPr>
          <w:spacing w:val="-9"/>
        </w:rPr>
        <w:t> </w:t>
      </w:r>
      <w:r>
        <w:rPr/>
        <w:t>remain</w:t>
      </w:r>
      <w:r>
        <w:rPr>
          <w:spacing w:val="-9"/>
        </w:rPr>
        <w:t> </w:t>
      </w:r>
      <w:r>
        <w:rPr/>
        <w:t>constant</w:t>
      </w:r>
      <w:r>
        <w:rPr>
          <w:spacing w:val="-11"/>
        </w:rPr>
        <w:t> </w:t>
      </w:r>
      <w:r>
        <w:rPr/>
        <w:t>over</w:t>
      </w:r>
      <w:r>
        <w:rPr>
          <w:spacing w:val="-57"/>
        </w:rPr>
        <w:t> </w:t>
      </w:r>
      <w:r>
        <w:rPr/>
        <w:t>time,</w:t>
      </w:r>
      <w:r>
        <w:rPr>
          <w:spacing w:val="-1"/>
        </w:rPr>
        <w:t> </w:t>
      </w:r>
      <w:r>
        <w:rPr>
          <w:i/>
        </w:rPr>
        <w:t>t,</w:t>
      </w:r>
      <w:r>
        <w:rPr>
          <w:i/>
          <w:spacing w:val="-1"/>
        </w:rPr>
        <w:t> </w:t>
      </w:r>
      <w:r>
        <w:rPr/>
        <w:t>hence</w:t>
      </w:r>
      <w:r>
        <w:rPr>
          <w:spacing w:val="-1"/>
        </w:rPr>
        <w:t> </w:t>
      </w:r>
      <w:r>
        <w:rPr/>
        <w:t>the quantity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mass is</w:t>
      </w:r>
      <w:r>
        <w:rPr>
          <w:spacing w:val="-1"/>
        </w:rPr>
        <w:t> </w:t>
      </w:r>
      <w:r>
        <w:rPr/>
        <w:t>conserved</w:t>
      </w:r>
      <w:r>
        <w:rPr>
          <w:spacing w:val="-1"/>
        </w:rPr>
        <w:t> </w:t>
      </w:r>
      <w:r>
        <w:rPr/>
        <w:t>over time,</w:t>
      </w:r>
      <w:r>
        <w:rPr>
          <w:spacing w:val="-1"/>
        </w:rPr>
        <w:t> </w:t>
      </w:r>
      <w:r>
        <w:rPr/>
        <w:t>as</w:t>
      </w:r>
      <w:r>
        <w:rPr>
          <w:spacing w:val="-1"/>
        </w:rPr>
        <w:t> </w:t>
      </w:r>
      <w:r>
        <w:rPr/>
        <w:t>shown in</w:t>
      </w:r>
      <w:r>
        <w:rPr>
          <w:spacing w:val="-1"/>
        </w:rPr>
        <w:t> </w:t>
      </w:r>
      <w:r>
        <w:rPr/>
        <w:t>Equation</w:t>
      </w:r>
      <w:r>
        <w:rPr>
          <w:spacing w:val="-1"/>
        </w:rPr>
        <w:t> </w:t>
      </w:r>
      <w:r>
        <w:rPr/>
        <w:t>3.3:</w:t>
      </w:r>
    </w:p>
    <w:p>
      <w:pPr>
        <w:pStyle w:val="BodyText"/>
        <w:spacing w:before="8"/>
        <w:rPr>
          <w:sz w:val="14"/>
        </w:rPr>
      </w:pPr>
    </w:p>
    <w:tbl>
      <w:tblPr>
        <w:tblW w:w="0" w:type="auto"/>
        <w:jc w:val="left"/>
        <w:tblInd w:w="3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281"/>
        <w:gridCol w:w="1521"/>
      </w:tblGrid>
      <w:tr>
        <w:trPr>
          <w:trHeight w:val="306" w:hRule="atLeast"/>
        </w:trPr>
        <w:tc>
          <w:tcPr>
            <w:tcW w:w="7281" w:type="dxa"/>
          </w:tcPr>
          <w:p>
            <w:pPr>
              <w:pStyle w:val="TableParagraph"/>
              <w:spacing w:line="287" w:lineRule="exact"/>
              <w:ind w:left="200"/>
              <w:rPr>
                <w:rFonts w:ascii="Cambria Math" w:eastAsia="Cambria Math"/>
                <w:sz w:val="24"/>
              </w:rPr>
            </w:pPr>
            <w:r>
              <w:rPr>
                <w:rFonts w:ascii="Cambria Math" w:eastAsia="Cambria Math"/>
                <w:sz w:val="24"/>
              </w:rPr>
              <w:t>𝑚</w:t>
            </w:r>
            <w:r>
              <w:rPr>
                <w:rFonts w:ascii="Cambria Math" w:eastAsia="Cambria Math"/>
                <w:position w:val="-4"/>
                <w:sz w:val="17"/>
              </w:rPr>
              <w:t>1</w:t>
            </w:r>
            <w:r>
              <w:rPr>
                <w:rFonts w:ascii="Cambria Math" w:eastAsia="Cambria Math"/>
                <w:spacing w:val="4"/>
                <w:position w:val="-4"/>
                <w:sz w:val="17"/>
              </w:rPr>
              <w:t> </w:t>
            </w:r>
            <w:r>
              <w:rPr>
                <w:rFonts w:ascii="Cambria Math" w:eastAsia="Cambria Math"/>
                <w:sz w:val="24"/>
              </w:rPr>
              <w:t>=</w:t>
            </w:r>
            <w:r>
              <w:rPr>
                <w:rFonts w:ascii="Cambria Math" w:eastAsia="Cambria Math"/>
                <w:spacing w:val="14"/>
                <w:sz w:val="24"/>
              </w:rPr>
              <w:t> </w:t>
            </w:r>
            <w:r>
              <w:rPr>
                <w:rFonts w:ascii="Cambria Math" w:eastAsia="Cambria Math"/>
                <w:sz w:val="24"/>
              </w:rPr>
              <w:t>𝑚</w:t>
            </w:r>
            <w:r>
              <w:rPr>
                <w:rFonts w:ascii="Cambria Math" w:eastAsia="Cambria Math"/>
                <w:position w:val="-4"/>
                <w:sz w:val="17"/>
              </w:rPr>
              <w:t>2</w:t>
            </w:r>
            <w:r>
              <w:rPr>
                <w:rFonts w:ascii="Cambria Math" w:eastAsia="Cambria Math"/>
                <w:spacing w:val="2"/>
                <w:position w:val="-4"/>
                <w:sz w:val="17"/>
              </w:rPr>
              <w:t> </w:t>
            </w:r>
            <w:r>
              <w:rPr>
                <w:rFonts w:ascii="Cambria Math" w:eastAsia="Cambria Math"/>
                <w:sz w:val="24"/>
              </w:rPr>
              <w:t>=</w:t>
            </w:r>
            <w:r>
              <w:rPr>
                <w:rFonts w:ascii="Cambria Math" w:eastAsia="Cambria Math"/>
                <w:spacing w:val="14"/>
                <w:sz w:val="24"/>
              </w:rPr>
              <w:t> </w:t>
            </w:r>
            <w:r>
              <w:rPr>
                <w:rFonts w:ascii="Cambria Math" w:eastAsia="Cambria Math"/>
                <w:position w:val="1"/>
                <w:sz w:val="24"/>
              </w:rPr>
              <w:t>(</w:t>
            </w:r>
            <w:r>
              <w:rPr>
                <w:rFonts w:ascii="Cambria Math" w:eastAsia="Cambria Math"/>
                <w:sz w:val="24"/>
              </w:rPr>
              <w:t>𝜌𝑉𝑜𝑙</w:t>
            </w:r>
            <w:r>
              <w:rPr>
                <w:rFonts w:ascii="Cambria Math" w:eastAsia="Cambria Math"/>
                <w:position w:val="1"/>
                <w:sz w:val="24"/>
              </w:rPr>
              <w:t>)</w:t>
            </w:r>
            <w:r>
              <w:rPr>
                <w:rFonts w:ascii="Cambria Math" w:eastAsia="Cambria Math"/>
                <w:position w:val="-4"/>
                <w:sz w:val="17"/>
              </w:rPr>
              <w:t>1</w:t>
            </w:r>
            <w:r>
              <w:rPr>
                <w:rFonts w:ascii="Cambria Math" w:eastAsia="Cambria Math"/>
                <w:spacing w:val="41"/>
                <w:position w:val="-4"/>
                <w:sz w:val="17"/>
              </w:rPr>
              <w:t> </w:t>
            </w:r>
            <w:r>
              <w:rPr>
                <w:rFonts w:ascii="Cambria Math" w:eastAsia="Cambria Math"/>
                <w:sz w:val="24"/>
              </w:rPr>
              <w:t>=</w:t>
            </w:r>
            <w:r>
              <w:rPr>
                <w:rFonts w:ascii="Cambria Math" w:eastAsia="Cambria Math"/>
                <w:spacing w:val="14"/>
                <w:sz w:val="24"/>
              </w:rPr>
              <w:t> </w:t>
            </w:r>
            <w:r>
              <w:rPr>
                <w:rFonts w:ascii="Cambria Math" w:eastAsia="Cambria Math"/>
                <w:position w:val="1"/>
                <w:sz w:val="24"/>
              </w:rPr>
              <w:t>(</w:t>
            </w:r>
            <w:r>
              <w:rPr>
                <w:rFonts w:ascii="Cambria Math" w:eastAsia="Cambria Math"/>
                <w:sz w:val="24"/>
              </w:rPr>
              <w:t>𝜌𝑉𝑜𝑙</w:t>
            </w:r>
            <w:r>
              <w:rPr>
                <w:rFonts w:ascii="Cambria Math" w:eastAsia="Cambria Math"/>
                <w:position w:val="1"/>
                <w:sz w:val="24"/>
              </w:rPr>
              <w:t>)</w:t>
            </w:r>
            <w:r>
              <w:rPr>
                <w:rFonts w:ascii="Cambria Math" w:eastAsia="Cambria Math"/>
                <w:position w:val="-4"/>
                <w:sz w:val="17"/>
              </w:rPr>
              <w:t>2</w:t>
            </w:r>
            <w:r>
              <w:rPr>
                <w:rFonts w:ascii="Cambria Math" w:eastAsia="Cambria Math"/>
                <w:spacing w:val="40"/>
                <w:position w:val="-4"/>
                <w:sz w:val="17"/>
              </w:rPr>
              <w:t> </w:t>
            </w:r>
            <w:r>
              <w:rPr>
                <w:rFonts w:ascii="Cambria Math" w:eastAsia="Cambria Math"/>
                <w:sz w:val="24"/>
              </w:rPr>
              <w:t>=</w:t>
            </w:r>
            <w:r>
              <w:rPr>
                <w:rFonts w:ascii="Cambria Math" w:eastAsia="Cambria Math"/>
                <w:spacing w:val="15"/>
                <w:sz w:val="24"/>
              </w:rPr>
              <w:t> </w:t>
            </w:r>
            <w:r>
              <w:rPr>
                <w:rFonts w:ascii="Cambria Math" w:eastAsia="Cambria Math"/>
                <w:sz w:val="24"/>
              </w:rPr>
              <w:t>(𝜌𝑡𝑣𝐴)</w:t>
            </w:r>
            <w:r>
              <w:rPr>
                <w:rFonts w:ascii="Cambria Math" w:eastAsia="Cambria Math"/>
                <w:position w:val="-4"/>
                <w:sz w:val="17"/>
              </w:rPr>
              <w:t>1</w:t>
            </w:r>
            <w:r>
              <w:rPr>
                <w:rFonts w:ascii="Cambria Math" w:eastAsia="Cambria Math"/>
                <w:spacing w:val="41"/>
                <w:position w:val="-4"/>
                <w:sz w:val="17"/>
              </w:rPr>
              <w:t> </w:t>
            </w:r>
            <w:r>
              <w:rPr>
                <w:rFonts w:ascii="Cambria Math" w:eastAsia="Cambria Math"/>
                <w:sz w:val="24"/>
              </w:rPr>
              <w:t>=</w:t>
            </w:r>
            <w:r>
              <w:rPr>
                <w:rFonts w:ascii="Cambria Math" w:eastAsia="Cambria Math"/>
                <w:spacing w:val="14"/>
                <w:sz w:val="24"/>
              </w:rPr>
              <w:t> </w:t>
            </w:r>
            <w:r>
              <w:rPr>
                <w:rFonts w:ascii="Cambria Math" w:eastAsia="Cambria Math"/>
                <w:sz w:val="24"/>
              </w:rPr>
              <w:t>(𝜌𝑡𝑣𝐴)</w:t>
            </w:r>
            <w:r>
              <w:rPr>
                <w:rFonts w:ascii="Cambria Math" w:eastAsia="Cambria Math"/>
                <w:position w:val="-4"/>
                <w:sz w:val="17"/>
              </w:rPr>
              <w:t>2</w:t>
            </w:r>
            <w:r>
              <w:rPr>
                <w:rFonts w:ascii="Cambria Math" w:eastAsia="Cambria Math"/>
                <w:spacing w:val="40"/>
                <w:position w:val="-4"/>
                <w:sz w:val="17"/>
              </w:rPr>
              <w:t> </w:t>
            </w:r>
            <w:r>
              <w:rPr>
                <w:rFonts w:ascii="Cambria Math" w:eastAsia="Cambria Math"/>
                <w:sz w:val="24"/>
              </w:rPr>
              <w:t>=</w:t>
            </w:r>
            <w:r>
              <w:rPr>
                <w:rFonts w:ascii="Cambria Math" w:eastAsia="Cambria Math"/>
                <w:spacing w:val="15"/>
                <w:sz w:val="24"/>
              </w:rPr>
              <w:t> </w:t>
            </w:r>
            <w:r>
              <w:rPr>
                <w:rFonts w:ascii="Cambria Math" w:eastAsia="Cambria Math"/>
                <w:sz w:val="24"/>
              </w:rPr>
              <w:t>𝑐𝑜𝑛𝑠𝑡𝑎𝑛𝑡</w:t>
            </w:r>
          </w:p>
        </w:tc>
        <w:tc>
          <w:tcPr>
            <w:tcW w:w="1521" w:type="dxa"/>
          </w:tcPr>
          <w:p>
            <w:pPr>
              <w:pStyle w:val="TableParagraph"/>
              <w:spacing w:line="266" w:lineRule="exact"/>
              <w:ind w:left="861"/>
              <w:rPr>
                <w:sz w:val="24"/>
              </w:rPr>
            </w:pPr>
            <w:r>
              <w:rPr>
                <w:sz w:val="24"/>
              </w:rPr>
              <w:t>(3.3)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2"/>
        </w:rPr>
      </w:pPr>
    </w:p>
    <w:p>
      <w:pPr>
        <w:pStyle w:val="BodyText"/>
        <w:spacing w:line="480" w:lineRule="auto"/>
        <w:ind w:left="439" w:right="257"/>
        <w:jc w:val="both"/>
      </w:pPr>
      <w:r>
        <w:rPr/>
        <w:t>where</w:t>
      </w:r>
      <w:r>
        <w:rPr>
          <w:spacing w:val="-3"/>
        </w:rPr>
        <w:t> </w:t>
      </w:r>
      <w:r>
        <w:rPr/>
        <w:t>ρ</w:t>
      </w:r>
      <w:r>
        <w:rPr>
          <w:spacing w:val="-2"/>
        </w:rPr>
        <w:t> </w:t>
      </w:r>
      <w:r>
        <w:rPr/>
        <w:t>represents</w:t>
      </w:r>
      <w:r>
        <w:rPr>
          <w:spacing w:val="-3"/>
        </w:rPr>
        <w:t> </w:t>
      </w:r>
      <w:r>
        <w:rPr/>
        <w:t>density,</w:t>
      </w:r>
      <w:r>
        <w:rPr>
          <w:spacing w:val="-3"/>
        </w:rPr>
        <w:t> </w:t>
      </w:r>
      <w:r>
        <w:rPr>
          <w:i/>
        </w:rPr>
        <w:t>Vol</w:t>
      </w:r>
      <w:r>
        <w:rPr>
          <w:i/>
          <w:spacing w:val="-2"/>
        </w:rPr>
        <w:t> </w:t>
      </w:r>
      <w:r>
        <w:rPr/>
        <w:t>is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volume,</w:t>
      </w:r>
      <w:r>
        <w:rPr>
          <w:spacing w:val="-3"/>
        </w:rPr>
        <w:t> </w:t>
      </w:r>
      <w:r>
        <w:rPr>
          <w:i/>
        </w:rPr>
        <w:t>v</w:t>
      </w:r>
      <w:r>
        <w:rPr>
          <w:i/>
          <w:spacing w:val="-2"/>
        </w:rPr>
        <w:t> </w:t>
      </w:r>
      <w:r>
        <w:rPr/>
        <w:t>is</w:t>
      </w:r>
      <w:r>
        <w:rPr>
          <w:spacing w:val="-2"/>
        </w:rPr>
        <w:t> </w:t>
      </w:r>
      <w:r>
        <w:rPr/>
        <w:t>velocity,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/>
        <w:t>is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/>
        <w:t>area;</w:t>
      </w:r>
      <w:r>
        <w:rPr>
          <w:spacing w:val="-2"/>
        </w:rPr>
        <w:t> </w:t>
      </w:r>
      <w:r>
        <w:rPr/>
        <w:t>all</w:t>
      </w:r>
      <w:r>
        <w:rPr>
          <w:spacing w:val="-2"/>
        </w:rPr>
        <w:t> </w:t>
      </w:r>
      <w:r>
        <w:rPr/>
        <w:t>variables</w:t>
      </w:r>
      <w:r>
        <w:rPr>
          <w:spacing w:val="-58"/>
        </w:rPr>
        <w:t> </w:t>
      </w:r>
      <w:r>
        <w:rPr/>
        <w:t>are</w:t>
      </w:r>
      <w:r>
        <w:rPr>
          <w:spacing w:val="-1"/>
        </w:rPr>
        <w:t> </w:t>
      </w:r>
      <w:r>
        <w:rPr/>
        <w:t>with</w:t>
      </w:r>
      <w:r>
        <w:rPr>
          <w:spacing w:val="-2"/>
        </w:rPr>
        <w:t> </w:t>
      </w:r>
      <w:r>
        <w:rPr/>
        <w:t>respect to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mass of</w:t>
      </w:r>
      <w:r>
        <w:rPr>
          <w:spacing w:val="-1"/>
        </w:rPr>
        <w:t> </w:t>
      </w:r>
      <w:r>
        <w:rPr/>
        <w:t>the closed system.</w:t>
      </w:r>
    </w:p>
    <w:p>
      <w:pPr>
        <w:pStyle w:val="BodyText"/>
        <w:spacing w:line="480" w:lineRule="auto" w:before="160"/>
        <w:ind w:left="439" w:right="256" w:firstLine="720"/>
        <w:jc w:val="both"/>
      </w:pPr>
      <w:r>
        <w:rPr/>
        <w:t>The</w:t>
      </w:r>
      <w:r>
        <w:rPr>
          <w:spacing w:val="1"/>
        </w:rPr>
        <w:t> </w:t>
      </w:r>
      <w:r>
        <w:rPr/>
        <w:t>conservation</w:t>
      </w:r>
      <w:r>
        <w:rPr>
          <w:spacing w:val="1"/>
        </w:rPr>
        <w:t> </w:t>
      </w:r>
      <w:r>
        <w:rPr/>
        <w:t>laws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continuum</w:t>
      </w:r>
      <w:r>
        <w:rPr>
          <w:spacing w:val="1"/>
        </w:rPr>
        <w:t> </w:t>
      </w:r>
      <w:r>
        <w:rPr/>
        <w:t>mechanics</w:t>
      </w:r>
      <w:r>
        <w:rPr>
          <w:spacing w:val="1"/>
        </w:rPr>
        <w:t> </w:t>
      </w:r>
      <w:r>
        <w:rPr/>
        <w:t>assist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increased</w:t>
      </w:r>
      <w:r>
        <w:rPr>
          <w:spacing w:val="-57"/>
        </w:rPr>
        <w:t> </w:t>
      </w:r>
      <w:r>
        <w:rPr/>
        <w:t>understanding of penetration mechanics. Continuum mechanics is the analysis of the</w:t>
      </w:r>
      <w:r>
        <w:rPr>
          <w:spacing w:val="1"/>
        </w:rPr>
        <w:t> </w:t>
      </w:r>
      <w:r>
        <w:rPr/>
        <w:t>kinematic and mechanical behavior of solids and fluids modeled as a continuous mass.</w:t>
      </w:r>
      <w:r>
        <w:rPr>
          <w:spacing w:val="1"/>
        </w:rPr>
        <w:t> </w:t>
      </w:r>
      <w:r>
        <w:rPr/>
        <w:t>Penetration mechanics, with a large number of influencing variables can require involved</w:t>
      </w:r>
      <w:r>
        <w:rPr>
          <w:spacing w:val="1"/>
        </w:rPr>
        <w:t> </w:t>
      </w:r>
      <w:r>
        <w:rPr/>
        <w:t>calculations such as wave equations, Bernoulli’s equation, and equations defining impact-</w:t>
      </w:r>
      <w:r>
        <w:rPr>
          <w:spacing w:val="-57"/>
        </w:rPr>
        <w:t> </w:t>
      </w:r>
      <w:r>
        <w:rPr/>
        <w:t>induced stress and strain.</w:t>
      </w:r>
      <w:r>
        <w:rPr>
          <w:spacing w:val="1"/>
        </w:rPr>
        <w:t> </w:t>
      </w:r>
      <w:r>
        <w:rPr/>
        <w:t>All these may be derived from the fundamental conservation</w:t>
      </w:r>
      <w:r>
        <w:rPr>
          <w:spacing w:val="1"/>
        </w:rPr>
        <w:t> </w:t>
      </w:r>
      <w:r>
        <w:rPr/>
        <w:t>laws as well as both solid and fluid mechanics, illustrating how these physics-based</w:t>
      </w:r>
      <w:r>
        <w:rPr>
          <w:spacing w:val="1"/>
        </w:rPr>
        <w:t> </w:t>
      </w:r>
      <w:r>
        <w:rPr/>
        <w:t>methods serve as the foundation for the field of penetration mechanics.</w:t>
      </w:r>
      <w:r>
        <w:rPr>
          <w:spacing w:val="1"/>
        </w:rPr>
        <w:t> </w:t>
      </w:r>
      <w:r>
        <w:rPr/>
        <w:t>Bernoulli’s</w:t>
      </w:r>
      <w:r>
        <w:rPr>
          <w:spacing w:val="1"/>
        </w:rPr>
        <w:t> </w:t>
      </w:r>
      <w:r>
        <w:rPr/>
        <w:t>equation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important</w:t>
      </w:r>
      <w:r>
        <w:rPr>
          <w:spacing w:val="1"/>
        </w:rPr>
        <w:t> </w:t>
      </w:r>
      <w:r>
        <w:rPr/>
        <w:t>because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high</w:t>
      </w:r>
      <w:r>
        <w:rPr>
          <w:spacing w:val="1"/>
        </w:rPr>
        <w:t> </w:t>
      </w:r>
      <w:r>
        <w:rPr/>
        <w:t>velocity</w:t>
      </w:r>
      <w:r>
        <w:rPr>
          <w:spacing w:val="1"/>
        </w:rPr>
        <w:t> </w:t>
      </w:r>
      <w:r>
        <w:rPr/>
        <w:t>impacts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correspondingly</w:t>
      </w:r>
      <w:r>
        <w:rPr>
          <w:spacing w:val="1"/>
        </w:rPr>
        <w:t> </w:t>
      </w:r>
      <w:r>
        <w:rPr/>
        <w:t>high</w:t>
      </w:r>
      <w:r>
        <w:rPr>
          <w:spacing w:val="1"/>
        </w:rPr>
        <w:t> </w:t>
      </w:r>
      <w:r>
        <w:rPr/>
        <w:t>pressures,</w:t>
      </w:r>
      <w:r>
        <w:rPr>
          <w:spacing w:val="-1"/>
        </w:rPr>
        <w:t> </w:t>
      </w:r>
      <w:r>
        <w:rPr/>
        <w:t>common</w:t>
      </w:r>
      <w:r>
        <w:rPr>
          <w:spacing w:val="-1"/>
        </w:rPr>
        <w:t> </w:t>
      </w:r>
      <w:r>
        <w:rPr/>
        <w:t>target materials</w:t>
      </w:r>
      <w:r>
        <w:rPr>
          <w:spacing w:val="-2"/>
        </w:rPr>
        <w:t> </w:t>
      </w:r>
      <w:r>
        <w:rPr/>
        <w:t>like metal</w:t>
      </w:r>
      <w:r>
        <w:rPr>
          <w:spacing w:val="-1"/>
        </w:rPr>
        <w:t> </w:t>
      </w:r>
      <w:r>
        <w:rPr/>
        <w:t>are shown</w:t>
      </w:r>
      <w:r>
        <w:rPr>
          <w:spacing w:val="-1"/>
        </w:rPr>
        <w:t> </w:t>
      </w:r>
      <w:r>
        <w:rPr/>
        <w:t>to behave</w:t>
      </w:r>
      <w:r>
        <w:rPr>
          <w:spacing w:val="-1"/>
        </w:rPr>
        <w:t> </w:t>
      </w:r>
      <w:r>
        <w:rPr/>
        <w:t>like fluids.</w:t>
      </w:r>
    </w:p>
    <w:p>
      <w:pPr>
        <w:pStyle w:val="Heading9"/>
        <w:numPr>
          <w:ilvl w:val="1"/>
          <w:numId w:val="17"/>
        </w:numPr>
        <w:tabs>
          <w:tab w:pos="800" w:val="left" w:leader="none"/>
        </w:tabs>
        <w:spacing w:line="240" w:lineRule="auto" w:before="163" w:after="0"/>
        <w:ind w:left="800" w:right="0" w:hanging="360"/>
        <w:jc w:val="both"/>
      </w:pPr>
      <w:bookmarkStart w:name="_TOC_250058" w:id="93"/>
      <w:bookmarkStart w:name="3.3 Early science of penetration mechani" w:id="94"/>
      <w:r>
        <w:rPr>
          <w:b w:val="0"/>
        </w:rPr>
      </w:r>
      <w:bookmarkEnd w:id="94"/>
      <w:bookmarkStart w:name="3.3 Early science of penetration mechani" w:id="95"/>
      <w:r>
        <w:rPr/>
        <w:t>E</w:t>
      </w:r>
      <w:r>
        <w:rPr/>
        <w:t>arly</w:t>
      </w:r>
      <w:r>
        <w:rPr>
          <w:spacing w:val="-3"/>
        </w:rPr>
        <w:t> </w:t>
      </w:r>
      <w:r>
        <w:rPr/>
        <w:t>science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penetration</w:t>
      </w:r>
      <w:r>
        <w:rPr>
          <w:spacing w:val="-4"/>
        </w:rPr>
        <w:t> </w:t>
      </w:r>
      <w:bookmarkEnd w:id="93"/>
      <w:r>
        <w:rPr/>
        <w:t>mechanics</w:t>
      </w:r>
    </w:p>
    <w:p>
      <w:pPr>
        <w:pStyle w:val="BodyText"/>
        <w:spacing w:before="8"/>
        <w:rPr>
          <w:b/>
          <w:sz w:val="22"/>
        </w:rPr>
      </w:pPr>
    </w:p>
    <w:p>
      <w:pPr>
        <w:pStyle w:val="ListParagraph"/>
        <w:numPr>
          <w:ilvl w:val="2"/>
          <w:numId w:val="17"/>
        </w:numPr>
        <w:tabs>
          <w:tab w:pos="980" w:val="left" w:leader="none"/>
        </w:tabs>
        <w:spacing w:line="240" w:lineRule="auto" w:before="0" w:after="0"/>
        <w:ind w:left="980" w:right="0" w:hanging="540"/>
        <w:jc w:val="both"/>
        <w:rPr>
          <w:i/>
          <w:sz w:val="24"/>
        </w:rPr>
      </w:pPr>
      <w:bookmarkStart w:name="3.3.1 Poncelet Equation" w:id="96"/>
      <w:bookmarkEnd w:id="96"/>
      <w:r>
        <w:rPr/>
      </w:r>
      <w:bookmarkStart w:name="3.3.1 Poncelet Equation" w:id="97"/>
      <w:bookmarkEnd w:id="97"/>
      <w:r>
        <w:rPr>
          <w:i/>
          <w:sz w:val="24"/>
        </w:rPr>
        <w:t>P</w:t>
      </w:r>
      <w:r>
        <w:rPr>
          <w:i/>
          <w:sz w:val="24"/>
        </w:rPr>
        <w:t>oncelet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Equation</w:t>
      </w:r>
    </w:p>
    <w:p>
      <w:pPr>
        <w:pStyle w:val="BodyText"/>
        <w:spacing w:before="7"/>
        <w:rPr>
          <w:i/>
          <w:sz w:val="22"/>
        </w:rPr>
      </w:pPr>
    </w:p>
    <w:p>
      <w:pPr>
        <w:pStyle w:val="BodyText"/>
        <w:spacing w:line="480" w:lineRule="auto" w:before="1"/>
        <w:ind w:left="440" w:right="257" w:firstLine="720"/>
        <w:jc w:val="both"/>
      </w:pPr>
      <w:r>
        <w:rPr>
          <w:spacing w:val="-1"/>
        </w:rPr>
        <w:t>Mathematician</w:t>
      </w:r>
      <w:r>
        <w:rPr>
          <w:spacing w:val="-12"/>
        </w:rPr>
        <w:t> </w:t>
      </w:r>
      <w:r>
        <w:rPr/>
        <w:t>Leonard</w:t>
      </w:r>
      <w:r>
        <w:rPr>
          <w:spacing w:val="-14"/>
        </w:rPr>
        <w:t> </w:t>
      </w:r>
      <w:r>
        <w:rPr/>
        <w:t>Euler</w:t>
      </w:r>
      <w:r>
        <w:rPr>
          <w:spacing w:val="-13"/>
        </w:rPr>
        <w:t> </w:t>
      </w:r>
      <w:r>
        <w:rPr/>
        <w:t>and</w:t>
      </w:r>
      <w:r>
        <w:rPr>
          <w:spacing w:val="-11"/>
        </w:rPr>
        <w:t> </w:t>
      </w:r>
      <w:r>
        <w:rPr/>
        <w:t>engineer</w:t>
      </w:r>
      <w:r>
        <w:rPr>
          <w:spacing w:val="-12"/>
        </w:rPr>
        <w:t> </w:t>
      </w:r>
      <w:r>
        <w:rPr/>
        <w:t>Benjamin</w:t>
      </w:r>
      <w:r>
        <w:rPr>
          <w:spacing w:val="-12"/>
        </w:rPr>
        <w:t> </w:t>
      </w:r>
      <w:r>
        <w:rPr/>
        <w:t>Robins</w:t>
      </w:r>
      <w:r>
        <w:rPr>
          <w:spacing w:val="-11"/>
        </w:rPr>
        <w:t> </w:t>
      </w:r>
      <w:r>
        <w:rPr/>
        <w:t>analyzed</w:t>
      </w:r>
      <w:r>
        <w:rPr>
          <w:spacing w:val="-12"/>
        </w:rPr>
        <w:t> </w:t>
      </w:r>
      <w:r>
        <w:rPr/>
        <w:t>information</w:t>
      </w:r>
      <w:r>
        <w:rPr>
          <w:spacing w:val="-58"/>
        </w:rPr>
        <w:t> </w:t>
      </w:r>
      <w:r>
        <w:rPr/>
        <w:t>about the penetration of steel cannonballs in soils based on impact velocity in the mid-</w:t>
      </w:r>
      <w:r>
        <w:rPr>
          <w:spacing w:val="1"/>
        </w:rPr>
        <w:t> </w:t>
      </w:r>
      <w:r>
        <w:rPr/>
        <w:t>1700’s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first</w:t>
      </w:r>
      <w:r>
        <w:rPr>
          <w:spacing w:val="1"/>
        </w:rPr>
        <w:t> </w:t>
      </w:r>
      <w:r>
        <w:rPr/>
        <w:t>documented</w:t>
      </w:r>
      <w:r>
        <w:rPr>
          <w:spacing w:val="1"/>
        </w:rPr>
        <w:t> </w:t>
      </w:r>
      <w:r>
        <w:rPr/>
        <w:t>researchers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examine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science</w:t>
      </w:r>
      <w:r>
        <w:rPr>
          <w:spacing w:val="1"/>
        </w:rPr>
        <w:t> </w:t>
      </w:r>
      <w:r>
        <w:rPr/>
        <w:t>behind</w:t>
      </w:r>
      <w:r>
        <w:rPr>
          <w:spacing w:val="1"/>
        </w:rPr>
        <w:t> </w:t>
      </w:r>
      <w:r>
        <w:rPr/>
        <w:t>terminal</w:t>
      </w:r>
      <w:r>
        <w:rPr>
          <w:spacing w:val="1"/>
        </w:rPr>
        <w:t> </w:t>
      </w:r>
      <w:r>
        <w:rPr/>
        <w:t>ballistics.</w:t>
      </w:r>
      <w:r>
        <w:rPr>
          <w:spacing w:val="23"/>
        </w:rPr>
        <w:t> </w:t>
      </w:r>
      <w:r>
        <w:rPr/>
        <w:t>Shortly</w:t>
      </w:r>
      <w:r>
        <w:rPr>
          <w:spacing w:val="10"/>
        </w:rPr>
        <w:t> </w:t>
      </w:r>
      <w:r>
        <w:rPr/>
        <w:t>after</w:t>
      </w:r>
      <w:r>
        <w:rPr>
          <w:spacing w:val="11"/>
        </w:rPr>
        <w:t> </w:t>
      </w:r>
      <w:r>
        <w:rPr/>
        <w:t>their</w:t>
      </w:r>
      <w:r>
        <w:rPr>
          <w:spacing w:val="11"/>
        </w:rPr>
        <w:t> </w:t>
      </w:r>
      <w:r>
        <w:rPr/>
        <w:t>experiments,</w:t>
      </w:r>
      <w:r>
        <w:rPr>
          <w:spacing w:val="10"/>
        </w:rPr>
        <w:t> </w:t>
      </w:r>
      <w:r>
        <w:rPr/>
        <w:t>the</w:t>
      </w:r>
      <w:r>
        <w:rPr>
          <w:spacing w:val="11"/>
        </w:rPr>
        <w:t> </w:t>
      </w:r>
      <w:r>
        <w:rPr/>
        <w:t>French</w:t>
      </w:r>
      <w:r>
        <w:rPr>
          <w:spacing w:val="11"/>
        </w:rPr>
        <w:t> </w:t>
      </w:r>
      <w:r>
        <w:rPr/>
        <w:t>mathematician</w:t>
      </w:r>
      <w:r>
        <w:rPr>
          <w:spacing w:val="11"/>
        </w:rPr>
        <w:t> </w:t>
      </w:r>
      <w:r>
        <w:rPr/>
        <w:t>and</w:t>
      </w:r>
      <w:r>
        <w:rPr>
          <w:spacing w:val="10"/>
        </w:rPr>
        <w:t> </w:t>
      </w:r>
      <w:r>
        <w:rPr/>
        <w:t>engineer,</w:t>
      </w:r>
      <w:r>
        <w:rPr>
          <w:spacing w:val="9"/>
        </w:rPr>
        <w:t> </w:t>
      </w:r>
      <w:r>
        <w:rPr/>
        <w:t>Jean-</w:t>
      </w:r>
    </w:p>
    <w:p>
      <w:pPr>
        <w:spacing w:after="0" w:line="480" w:lineRule="auto"/>
        <w:jc w:val="both"/>
        <w:sectPr>
          <w:pgSz w:w="12240" w:h="15840"/>
          <w:pgMar w:header="0" w:footer="1064" w:top="1500" w:bottom="1260" w:left="1720" w:right="1180"/>
        </w:sectPr>
      </w:pPr>
    </w:p>
    <w:p>
      <w:pPr>
        <w:pStyle w:val="BodyText"/>
        <w:spacing w:line="480" w:lineRule="auto" w:before="78"/>
        <w:ind w:left="440" w:right="258"/>
        <w:jc w:val="both"/>
      </w:pPr>
      <w:r>
        <w:rPr/>
        <w:pict>
          <v:rect style="position:absolute;margin-left:224.699997pt;margin-top:110.203148pt;width:12pt;height:.78pt;mso-position-horizontal-relative:page;mso-position-vertical-relative:paragraph;z-index:-34957824" filled="true" fillcolor="#000000" stroked="false">
            <v:fill type="solid"/>
            <w10:wrap type="none"/>
          </v:rect>
        </w:pict>
      </w:r>
      <w:r>
        <w:rPr/>
        <w:t>Victor Poncelet, who served as an engineer under Napoleon, began extensive work in the</w:t>
      </w:r>
      <w:r>
        <w:rPr>
          <w:spacing w:val="1"/>
        </w:rPr>
        <w:t> </w:t>
      </w:r>
      <w:r>
        <w:rPr/>
        <w:t>area and proposed an equation, shown in Equation 3.4.</w:t>
      </w:r>
      <w:r>
        <w:rPr>
          <w:spacing w:val="1"/>
        </w:rPr>
        <w:t> </w:t>
      </w:r>
      <w:r>
        <w:rPr/>
        <w:t>Today, the equation is known as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Poncelet</w:t>
      </w:r>
      <w:r>
        <w:rPr>
          <w:spacing w:val="-1"/>
        </w:rPr>
        <w:t> </w:t>
      </w:r>
      <w:r>
        <w:rPr/>
        <w:t>equation, founding the</w:t>
      </w:r>
      <w:r>
        <w:rPr>
          <w:spacing w:val="-1"/>
        </w:rPr>
        <w:t> </w:t>
      </w:r>
      <w:r>
        <w:rPr/>
        <w:t>field of</w:t>
      </w:r>
      <w:r>
        <w:rPr>
          <w:spacing w:val="-1"/>
        </w:rPr>
        <w:t> </w:t>
      </w:r>
      <w:r>
        <w:rPr/>
        <w:t>penetration mechanics.</w:t>
      </w:r>
    </w:p>
    <w:p>
      <w:pPr>
        <w:pStyle w:val="BodyText"/>
        <w:spacing w:before="5"/>
        <w:rPr>
          <w:sz w:val="15"/>
        </w:rPr>
      </w:pPr>
    </w:p>
    <w:tbl>
      <w:tblPr>
        <w:tblW w:w="0" w:type="auto"/>
        <w:jc w:val="left"/>
        <w:tblInd w:w="258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532"/>
        <w:gridCol w:w="2067"/>
      </w:tblGrid>
      <w:tr>
        <w:trPr>
          <w:trHeight w:val="582" w:hRule="atLeast"/>
        </w:trPr>
        <w:tc>
          <w:tcPr>
            <w:tcW w:w="4532" w:type="dxa"/>
          </w:tcPr>
          <w:p>
            <w:pPr>
              <w:pStyle w:val="TableParagraph"/>
              <w:spacing w:line="185" w:lineRule="exact"/>
              <w:ind w:left="246"/>
              <w:rPr>
                <w:rFonts w:ascii="Cambria Math" w:eastAsia="Cambria Math"/>
                <w:sz w:val="24"/>
              </w:rPr>
            </w:pPr>
            <w:r>
              <w:rPr>
                <w:rFonts w:ascii="Cambria Math" w:eastAsia="Cambria Math"/>
                <w:sz w:val="24"/>
              </w:rPr>
              <w:t>𝑑</w:t>
            </w:r>
          </w:p>
          <w:p>
            <w:pPr>
              <w:pStyle w:val="TableParagraph"/>
              <w:spacing w:line="193" w:lineRule="exact"/>
              <w:ind w:left="479"/>
              <w:rPr>
                <w:rFonts w:ascii="Cambria Math" w:hAnsi="Cambria Math" w:eastAsia="Cambria Math"/>
                <w:sz w:val="24"/>
              </w:rPr>
            </w:pPr>
            <w:r>
              <w:rPr>
                <w:rFonts w:ascii="Cambria Math" w:hAnsi="Cambria Math" w:eastAsia="Cambria Math"/>
                <w:position w:val="1"/>
                <w:sz w:val="24"/>
              </w:rPr>
              <w:t>(</w:t>
            </w:r>
            <w:r>
              <w:rPr>
                <w:rFonts w:ascii="Cambria Math" w:hAnsi="Cambria Math" w:eastAsia="Cambria Math"/>
                <w:sz w:val="24"/>
              </w:rPr>
              <w:t>𝑚𝑣</w:t>
            </w:r>
            <w:r>
              <w:rPr>
                <w:rFonts w:ascii="Cambria Math" w:hAnsi="Cambria Math" w:eastAsia="Cambria Math"/>
                <w:position w:val="1"/>
                <w:sz w:val="24"/>
              </w:rPr>
              <w:t>)</w:t>
            </w:r>
            <w:r>
              <w:rPr>
                <w:rFonts w:ascii="Cambria Math" w:hAnsi="Cambria Math" w:eastAsia="Cambria Math"/>
                <w:spacing w:val="28"/>
                <w:position w:val="1"/>
                <w:sz w:val="24"/>
              </w:rPr>
              <w:t> </w:t>
            </w:r>
            <w:r>
              <w:rPr>
                <w:rFonts w:ascii="Cambria Math" w:hAnsi="Cambria Math" w:eastAsia="Cambria Math"/>
                <w:sz w:val="24"/>
              </w:rPr>
              <w:t>=</w:t>
            </w:r>
            <w:r>
              <w:rPr>
                <w:rFonts w:ascii="Cambria Math" w:hAnsi="Cambria Math" w:eastAsia="Cambria Math"/>
                <w:spacing w:val="29"/>
                <w:sz w:val="24"/>
              </w:rPr>
              <w:t> </w:t>
            </w:r>
            <w:r>
              <w:rPr>
                <w:rFonts w:ascii="Cambria Math" w:hAnsi="Cambria Math" w:eastAsia="Cambria Math"/>
                <w:sz w:val="24"/>
              </w:rPr>
              <w:t>−𝐴</w:t>
            </w:r>
            <w:r>
              <w:rPr>
                <w:rFonts w:ascii="Cambria Math" w:hAnsi="Cambria Math" w:eastAsia="Cambria Math"/>
                <w:position w:val="-4"/>
                <w:sz w:val="17"/>
              </w:rPr>
              <w:t>𝑐𝑠</w:t>
            </w:r>
            <w:r>
              <w:rPr>
                <w:rFonts w:ascii="Cambria Math" w:hAnsi="Cambria Math" w:eastAsia="Cambria Math"/>
                <w:sz w:val="24"/>
              </w:rPr>
              <w:t>𝑐</w:t>
            </w:r>
            <w:r>
              <w:rPr>
                <w:rFonts w:ascii="Cambria Math" w:hAnsi="Cambria Math" w:eastAsia="Cambria Math"/>
                <w:position w:val="-4"/>
                <w:sz w:val="17"/>
              </w:rPr>
              <w:t>0</w:t>
            </w:r>
            <w:r>
              <w:rPr>
                <w:rFonts w:ascii="Cambria Math" w:hAnsi="Cambria Math" w:eastAsia="Cambria Math"/>
                <w:spacing w:val="3"/>
                <w:position w:val="-4"/>
                <w:sz w:val="17"/>
              </w:rPr>
              <w:t> </w:t>
            </w:r>
            <w:r>
              <w:rPr>
                <w:rFonts w:ascii="Cambria Math" w:hAnsi="Cambria Math" w:eastAsia="Cambria Math"/>
                <w:sz w:val="24"/>
              </w:rPr>
              <w:t>−</w:t>
            </w:r>
            <w:r>
              <w:rPr>
                <w:rFonts w:ascii="Cambria Math" w:hAnsi="Cambria Math" w:eastAsia="Cambria Math"/>
                <w:spacing w:val="13"/>
                <w:sz w:val="24"/>
              </w:rPr>
              <w:t> </w:t>
            </w:r>
            <w:r>
              <w:rPr>
                <w:rFonts w:ascii="Cambria Math" w:hAnsi="Cambria Math" w:eastAsia="Cambria Math"/>
                <w:sz w:val="24"/>
              </w:rPr>
              <w:t>𝐴</w:t>
            </w:r>
            <w:r>
              <w:rPr>
                <w:rFonts w:ascii="Cambria Math" w:hAnsi="Cambria Math" w:eastAsia="Cambria Math"/>
                <w:position w:val="-4"/>
                <w:sz w:val="17"/>
              </w:rPr>
              <w:t>𝑐𝑠</w:t>
            </w:r>
            <w:r>
              <w:rPr>
                <w:rFonts w:ascii="Cambria Math" w:hAnsi="Cambria Math" w:eastAsia="Cambria Math"/>
                <w:sz w:val="24"/>
              </w:rPr>
              <w:t>𝑐</w:t>
            </w:r>
            <w:r>
              <w:rPr>
                <w:rFonts w:ascii="Cambria Math" w:hAnsi="Cambria Math" w:eastAsia="Cambria Math"/>
                <w:position w:val="-4"/>
                <w:sz w:val="17"/>
              </w:rPr>
              <w:t>1</w:t>
            </w:r>
            <w:r>
              <w:rPr>
                <w:rFonts w:ascii="Cambria Math" w:hAnsi="Cambria Math" w:eastAsia="Cambria Math"/>
                <w:sz w:val="24"/>
              </w:rPr>
              <w:t>𝑣</w:t>
            </w:r>
            <w:r>
              <w:rPr>
                <w:rFonts w:ascii="Cambria Math" w:hAnsi="Cambria Math" w:eastAsia="Cambria Math"/>
                <w:sz w:val="24"/>
                <w:vertAlign w:val="superscript"/>
              </w:rPr>
              <w:t>2</w:t>
            </w:r>
          </w:p>
          <w:p>
            <w:pPr>
              <w:pStyle w:val="TableParagraph"/>
              <w:spacing w:line="184" w:lineRule="exact"/>
              <w:ind w:left="200"/>
              <w:rPr>
                <w:rFonts w:ascii="Cambria Math" w:eastAsia="Cambria Math"/>
                <w:sz w:val="24"/>
              </w:rPr>
            </w:pPr>
            <w:r>
              <w:rPr>
                <w:rFonts w:ascii="Cambria Math" w:eastAsia="Cambria Math"/>
                <w:sz w:val="24"/>
              </w:rPr>
              <w:t>𝑑𝑡</w:t>
            </w:r>
          </w:p>
        </w:tc>
        <w:tc>
          <w:tcPr>
            <w:tcW w:w="2067" w:type="dxa"/>
          </w:tcPr>
          <w:p>
            <w:pPr>
              <w:pStyle w:val="TableParagraph"/>
              <w:spacing w:before="120"/>
              <w:ind w:right="198"/>
              <w:jc w:val="right"/>
              <w:rPr>
                <w:sz w:val="24"/>
              </w:rPr>
            </w:pPr>
            <w:r>
              <w:rPr>
                <w:sz w:val="24"/>
              </w:rPr>
              <w:t>(3.4)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1"/>
        </w:rPr>
      </w:pPr>
    </w:p>
    <w:p>
      <w:pPr>
        <w:pStyle w:val="BodyText"/>
        <w:spacing w:line="480" w:lineRule="auto"/>
        <w:ind w:left="439" w:right="258" w:firstLine="720"/>
        <w:jc w:val="both"/>
      </w:pPr>
      <w:r>
        <w:rPr/>
        <w:t>Poncelet’s equation states that the instantaneous time rate of change, </w:t>
      </w:r>
      <w:r>
        <w:rPr>
          <w:i/>
        </w:rPr>
        <w:t>d/dt</w:t>
      </w:r>
      <w:r>
        <w:rPr/>
        <w:t>, of a</w:t>
      </w:r>
      <w:r>
        <w:rPr>
          <w:spacing w:val="1"/>
        </w:rPr>
        <w:t> </w:t>
      </w:r>
      <w:r>
        <w:rPr/>
        <w:t>bullet’s momentum, </w:t>
      </w:r>
      <w:r>
        <w:rPr>
          <w:i/>
        </w:rPr>
        <w:t>mv</w:t>
      </w:r>
      <w:r>
        <w:rPr/>
        <w:t>, is equal to the sum of two retarding forces: 1) a general form of</w:t>
      </w:r>
      <w:r>
        <w:rPr>
          <w:spacing w:val="1"/>
        </w:rPr>
        <w:t> </w:t>
      </w:r>
      <w:r>
        <w:rPr>
          <w:position w:val="1"/>
        </w:rPr>
        <w:t>drag</w:t>
      </w:r>
      <w:r>
        <w:rPr>
          <w:spacing w:val="-5"/>
          <w:position w:val="1"/>
        </w:rPr>
        <w:t> </w:t>
      </w:r>
      <w:r>
        <w:rPr>
          <w:position w:val="1"/>
        </w:rPr>
        <w:t>that</w:t>
      </w:r>
      <w:r>
        <w:rPr>
          <w:spacing w:val="-5"/>
          <w:position w:val="1"/>
        </w:rPr>
        <w:t> </w:t>
      </w:r>
      <w:r>
        <w:rPr>
          <w:position w:val="1"/>
        </w:rPr>
        <w:t>is</w:t>
      </w:r>
      <w:r>
        <w:rPr>
          <w:spacing w:val="-6"/>
          <w:position w:val="1"/>
        </w:rPr>
        <w:t> </w:t>
      </w:r>
      <w:r>
        <w:rPr>
          <w:position w:val="1"/>
        </w:rPr>
        <w:t>proportional</w:t>
      </w:r>
      <w:r>
        <w:rPr>
          <w:spacing w:val="-5"/>
          <w:position w:val="1"/>
        </w:rPr>
        <w:t> </w:t>
      </w:r>
      <w:r>
        <w:rPr>
          <w:position w:val="1"/>
        </w:rPr>
        <w:t>to</w:t>
      </w:r>
      <w:r>
        <w:rPr>
          <w:spacing w:val="-5"/>
          <w:position w:val="1"/>
        </w:rPr>
        <w:t> </w:t>
      </w:r>
      <w:r>
        <w:rPr>
          <w:position w:val="1"/>
        </w:rPr>
        <w:t>the</w:t>
      </w:r>
      <w:r>
        <w:rPr>
          <w:spacing w:val="-5"/>
          <w:position w:val="1"/>
        </w:rPr>
        <w:t> </w:t>
      </w:r>
      <w:r>
        <w:rPr>
          <w:position w:val="1"/>
        </w:rPr>
        <w:t>cross-sectional</w:t>
      </w:r>
      <w:r>
        <w:rPr>
          <w:spacing w:val="-5"/>
          <w:position w:val="1"/>
        </w:rPr>
        <w:t> </w:t>
      </w:r>
      <w:r>
        <w:rPr>
          <w:position w:val="1"/>
        </w:rPr>
        <w:t>area</w:t>
      </w:r>
      <w:r>
        <w:rPr>
          <w:spacing w:val="-4"/>
          <w:position w:val="1"/>
        </w:rPr>
        <w:t> </w:t>
      </w:r>
      <w:r>
        <w:rPr>
          <w:position w:val="1"/>
        </w:rPr>
        <w:t>of</w:t>
      </w:r>
      <w:r>
        <w:rPr>
          <w:spacing w:val="-6"/>
          <w:position w:val="1"/>
        </w:rPr>
        <w:t> </w:t>
      </w:r>
      <w:r>
        <w:rPr>
          <w:position w:val="1"/>
        </w:rPr>
        <w:t>the</w:t>
      </w:r>
      <w:r>
        <w:rPr>
          <w:spacing w:val="-5"/>
          <w:position w:val="1"/>
        </w:rPr>
        <w:t> </w:t>
      </w:r>
      <w:r>
        <w:rPr>
          <w:position w:val="1"/>
        </w:rPr>
        <w:t>penetrator,</w:t>
      </w:r>
      <w:r>
        <w:rPr>
          <w:spacing w:val="-5"/>
          <w:position w:val="1"/>
        </w:rPr>
        <w:t> </w:t>
      </w:r>
      <w:r>
        <w:rPr>
          <w:i/>
          <w:position w:val="1"/>
        </w:rPr>
        <w:t>A</w:t>
      </w:r>
      <w:r>
        <w:rPr>
          <w:i/>
          <w:sz w:val="16"/>
        </w:rPr>
        <w:t>cs</w:t>
      </w:r>
      <w:r>
        <w:rPr>
          <w:position w:val="1"/>
        </w:rPr>
        <w:t>;</w:t>
      </w:r>
      <w:r>
        <w:rPr>
          <w:spacing w:val="-4"/>
          <w:position w:val="1"/>
        </w:rPr>
        <w:t> </w:t>
      </w:r>
      <w:r>
        <w:rPr>
          <w:position w:val="1"/>
        </w:rPr>
        <w:t>and</w:t>
      </w:r>
      <w:r>
        <w:rPr>
          <w:spacing w:val="-5"/>
          <w:position w:val="1"/>
        </w:rPr>
        <w:t> </w:t>
      </w:r>
      <w:r>
        <w:rPr>
          <w:position w:val="1"/>
        </w:rPr>
        <w:t>2)</w:t>
      </w:r>
      <w:r>
        <w:rPr>
          <w:spacing w:val="-5"/>
          <w:position w:val="1"/>
        </w:rPr>
        <w:t> </w:t>
      </w:r>
      <w:r>
        <w:rPr>
          <w:position w:val="1"/>
        </w:rPr>
        <w:t>a</w:t>
      </w:r>
      <w:r>
        <w:rPr>
          <w:spacing w:val="-5"/>
          <w:position w:val="1"/>
        </w:rPr>
        <w:t> </w:t>
      </w:r>
      <w:r>
        <w:rPr>
          <w:position w:val="1"/>
        </w:rPr>
        <w:t>dynamic</w:t>
      </w:r>
      <w:r>
        <w:rPr>
          <w:spacing w:val="-57"/>
          <w:position w:val="1"/>
        </w:rPr>
        <w:t> </w:t>
      </w:r>
      <w:r>
        <w:rPr/>
        <w:t>drag</w:t>
      </w:r>
      <w:r>
        <w:rPr>
          <w:spacing w:val="-11"/>
        </w:rPr>
        <w:t> </w:t>
      </w:r>
      <w:r>
        <w:rPr/>
        <w:t>term</w:t>
      </w:r>
      <w:r>
        <w:rPr>
          <w:spacing w:val="-12"/>
        </w:rPr>
        <w:t> </w:t>
      </w:r>
      <w:r>
        <w:rPr/>
        <w:t>proportional</w:t>
      </w:r>
      <w:r>
        <w:rPr>
          <w:spacing w:val="-9"/>
        </w:rPr>
        <w:t> </w:t>
      </w:r>
      <w:r>
        <w:rPr/>
        <w:t>to</w:t>
      </w:r>
      <w:r>
        <w:rPr>
          <w:spacing w:val="-12"/>
        </w:rPr>
        <w:t> </w:t>
      </w:r>
      <w:r>
        <w:rPr/>
        <w:t>the</w:t>
      </w:r>
      <w:r>
        <w:rPr>
          <w:spacing w:val="-10"/>
        </w:rPr>
        <w:t> </w:t>
      </w:r>
      <w:r>
        <w:rPr/>
        <w:t>cross-sectional</w:t>
      </w:r>
      <w:r>
        <w:rPr>
          <w:spacing w:val="-9"/>
        </w:rPr>
        <w:t> </w:t>
      </w:r>
      <w:r>
        <w:rPr/>
        <w:t>area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0"/>
        </w:rPr>
        <w:t> </w:t>
      </w:r>
      <w:r>
        <w:rPr/>
        <w:t>penetrator</w:t>
      </w:r>
      <w:r>
        <w:rPr>
          <w:spacing w:val="-9"/>
        </w:rPr>
        <w:t> </w:t>
      </w:r>
      <w:r>
        <w:rPr/>
        <w:t>multiplied</w:t>
      </w:r>
      <w:r>
        <w:rPr>
          <w:spacing w:val="-10"/>
        </w:rPr>
        <w:t> </w:t>
      </w:r>
      <w:r>
        <w:rPr/>
        <w:t>by</w:t>
      </w:r>
      <w:r>
        <w:rPr>
          <w:spacing w:val="-11"/>
        </w:rPr>
        <w:t> </w:t>
      </w:r>
      <w:r>
        <w:rPr/>
        <w:t>the</w:t>
      </w:r>
      <w:r>
        <w:rPr>
          <w:spacing w:val="-10"/>
        </w:rPr>
        <w:t> </w:t>
      </w:r>
      <w:r>
        <w:rPr/>
        <w:t>square</w:t>
      </w:r>
      <w:r>
        <w:rPr>
          <w:spacing w:val="-58"/>
        </w:rPr>
        <w:t> </w:t>
      </w:r>
      <w:r>
        <w:rPr>
          <w:position w:val="1"/>
        </w:rPr>
        <w:t>of the penetrator velocity, </w:t>
      </w:r>
      <w:r>
        <w:rPr>
          <w:i/>
          <w:position w:val="1"/>
        </w:rPr>
        <w:t>v</w:t>
      </w:r>
      <w:r>
        <w:rPr>
          <w:position w:val="1"/>
        </w:rPr>
        <w:t>, a kinetic energy term.</w:t>
      </w:r>
      <w:r>
        <w:rPr>
          <w:spacing w:val="1"/>
          <w:position w:val="1"/>
        </w:rPr>
        <w:t> </w:t>
      </w:r>
      <w:r>
        <w:rPr>
          <w:position w:val="1"/>
        </w:rPr>
        <w:t>The constants, represented by </w:t>
      </w:r>
      <w:r>
        <w:rPr>
          <w:i/>
          <w:position w:val="1"/>
        </w:rPr>
        <w:t>c</w:t>
      </w:r>
      <w:r>
        <w:rPr>
          <w:i/>
          <w:sz w:val="16"/>
        </w:rPr>
        <w:t>0 </w:t>
      </w:r>
      <w:r>
        <w:rPr>
          <w:position w:val="1"/>
        </w:rPr>
        <w:t>and</w:t>
      </w:r>
      <w:r>
        <w:rPr>
          <w:spacing w:val="1"/>
          <w:position w:val="1"/>
        </w:rPr>
        <w:t> </w:t>
      </w:r>
      <w:r>
        <w:rPr>
          <w:i/>
          <w:position w:val="1"/>
        </w:rPr>
        <w:t>c</w:t>
      </w:r>
      <w:r>
        <w:rPr>
          <w:i/>
          <w:sz w:val="16"/>
        </w:rPr>
        <w:t>1</w:t>
      </w:r>
      <w:r>
        <w:rPr>
          <w:position w:val="1"/>
        </w:rPr>
        <w:t>, dependent on the target material being penetrated.</w:t>
      </w:r>
      <w:r>
        <w:rPr>
          <w:spacing w:val="1"/>
          <w:position w:val="1"/>
        </w:rPr>
        <w:t> </w:t>
      </w:r>
      <w:r>
        <w:rPr>
          <w:position w:val="1"/>
        </w:rPr>
        <w:t>The Poncelet equation describes</w:t>
      </w:r>
      <w:r>
        <w:rPr>
          <w:spacing w:val="1"/>
          <w:position w:val="1"/>
        </w:rPr>
        <w:t> </w:t>
      </w:r>
      <w:r>
        <w:rPr/>
        <w:t>rigid body penetration and assumed the cross-sectional area of the penetrator remained</w:t>
      </w:r>
      <w:r>
        <w:rPr>
          <w:spacing w:val="1"/>
        </w:rPr>
        <w:t> </w:t>
      </w:r>
      <w:r>
        <w:rPr/>
        <w:t>constant and no significant mass loss during the projectile’s movement through the target.</w:t>
      </w:r>
      <w:r>
        <w:rPr>
          <w:spacing w:val="-57"/>
        </w:rPr>
        <w:t> </w:t>
      </w:r>
      <w:r>
        <w:rPr/>
        <w:t>This</w:t>
      </w:r>
      <w:r>
        <w:rPr>
          <w:spacing w:val="1"/>
        </w:rPr>
        <w:t> </w:t>
      </w:r>
      <w:r>
        <w:rPr/>
        <w:t>assumption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always</w:t>
      </w:r>
      <w:r>
        <w:rPr>
          <w:spacing w:val="1"/>
        </w:rPr>
        <w:t> </w:t>
      </w:r>
      <w:r>
        <w:rPr/>
        <w:t>accurate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penetrators</w:t>
      </w:r>
      <w:r>
        <w:rPr>
          <w:spacing w:val="1"/>
        </w:rPr>
        <w:t> </w:t>
      </w:r>
      <w:r>
        <w:rPr/>
        <w:t>may</w:t>
      </w:r>
      <w:r>
        <w:rPr>
          <w:spacing w:val="1"/>
        </w:rPr>
        <w:t> </w:t>
      </w:r>
      <w:r>
        <w:rPr/>
        <w:t>experience</w:t>
      </w:r>
      <w:r>
        <w:rPr>
          <w:spacing w:val="1"/>
        </w:rPr>
        <w:t> </w:t>
      </w:r>
      <w:r>
        <w:rPr/>
        <w:t>expansion,</w:t>
      </w:r>
      <w:r>
        <w:rPr>
          <w:spacing w:val="1"/>
        </w:rPr>
        <w:t> </w:t>
      </w:r>
      <w:r>
        <w:rPr/>
        <w:t>mushrooming,</w:t>
      </w:r>
      <w:r>
        <w:rPr>
          <w:spacing w:val="-1"/>
        </w:rPr>
        <w:t> </w:t>
      </w:r>
      <w:r>
        <w:rPr/>
        <w:t>fragmentation and erosion during</w:t>
      </w:r>
      <w:r>
        <w:rPr>
          <w:spacing w:val="-2"/>
        </w:rPr>
        <w:t> </w:t>
      </w:r>
      <w:r>
        <w:rPr/>
        <w:t>an</w:t>
      </w:r>
      <w:r>
        <w:rPr>
          <w:spacing w:val="-1"/>
        </w:rPr>
        <w:t> </w:t>
      </w:r>
      <w:r>
        <w:rPr/>
        <w:t>impact event.</w:t>
      </w:r>
    </w:p>
    <w:p>
      <w:pPr>
        <w:pStyle w:val="BodyText"/>
        <w:spacing w:line="480" w:lineRule="auto" w:before="160"/>
        <w:ind w:left="439" w:right="256" w:firstLine="720"/>
        <w:jc w:val="both"/>
      </w:pPr>
      <w:r>
        <w:rPr/>
        <w:t>Poncelet effectively took the ballistic impact phenomena of a rigid penetrator,</w:t>
      </w:r>
      <w:r>
        <w:rPr>
          <w:spacing w:val="1"/>
        </w:rPr>
        <w:t> </w:t>
      </w:r>
      <w:r>
        <w:rPr/>
        <w:t>known to be governed by deceleration of the penetrator, and applied mathematics to</w:t>
      </w:r>
      <w:r>
        <w:rPr>
          <w:spacing w:val="1"/>
        </w:rPr>
        <w:t> </w:t>
      </w:r>
      <w:r>
        <w:rPr/>
        <w:t>transform the</w:t>
      </w:r>
      <w:r>
        <w:rPr>
          <w:spacing w:val="1"/>
        </w:rPr>
        <w:t> </w:t>
      </w:r>
      <w:r>
        <w:rPr/>
        <w:t>equation</w:t>
      </w:r>
      <w:r>
        <w:rPr>
          <w:spacing w:val="1"/>
        </w:rPr>
        <w:t> </w:t>
      </w:r>
      <w:r>
        <w:rPr/>
        <w:t>so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solution</w:t>
      </w:r>
      <w:r>
        <w:rPr>
          <w:spacing w:val="1"/>
        </w:rPr>
        <w:t> </w:t>
      </w:r>
      <w:r>
        <w:rPr/>
        <w:t>could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obtained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measureable</w:t>
      </w:r>
      <w:r>
        <w:rPr>
          <w:spacing w:val="1"/>
        </w:rPr>
        <w:t> </w:t>
      </w:r>
      <w:r>
        <w:rPr/>
        <w:t>data.</w:t>
      </w:r>
      <w:r>
        <w:rPr>
          <w:spacing w:val="-57"/>
        </w:rPr>
        <w:t> </w:t>
      </w:r>
      <w:r>
        <w:rPr/>
        <w:t>Accurate measurement of deceleration during penetration is difficult to capture with most</w:t>
      </w:r>
      <w:r>
        <w:rPr>
          <w:spacing w:val="-57"/>
        </w:rPr>
        <w:t> </w:t>
      </w:r>
      <w:r>
        <w:rPr/>
        <w:t>materials.</w:t>
      </w:r>
      <w:r>
        <w:rPr>
          <w:spacing w:val="1"/>
        </w:rPr>
        <w:t> </w:t>
      </w:r>
      <w:r>
        <w:rPr/>
        <w:t>Instead, penetrator depth measurements from experiments across a range of</w:t>
      </w:r>
      <w:r>
        <w:rPr>
          <w:spacing w:val="1"/>
        </w:rPr>
        <w:t> </w:t>
      </w:r>
      <w:r>
        <w:rPr/>
        <w:t>velocities can be captured and used to determine material dependent constants in the</w:t>
      </w:r>
      <w:r>
        <w:rPr>
          <w:spacing w:val="1"/>
        </w:rPr>
        <w:t> </w:t>
      </w:r>
      <w:r>
        <w:rPr/>
        <w:t>empirical</w:t>
      </w:r>
      <w:r>
        <w:rPr>
          <w:spacing w:val="-1"/>
        </w:rPr>
        <w:t> </w:t>
      </w:r>
      <w:r>
        <w:rPr/>
        <w:t>relationship.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spacing w:before="79"/>
        <w:ind w:left="440" w:right="0" w:firstLine="0"/>
        <w:jc w:val="both"/>
        <w:rPr>
          <w:i/>
          <w:sz w:val="24"/>
        </w:rPr>
      </w:pPr>
      <w:bookmarkStart w:name="3.3.2. Classic penetration equations" w:id="98"/>
      <w:bookmarkEnd w:id="98"/>
      <w:r>
        <w:rPr/>
      </w:r>
      <w:r>
        <w:rPr>
          <w:i/>
          <w:sz w:val="24"/>
        </w:rPr>
        <w:t>3.3.2.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Classic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penetration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equations</w:t>
      </w:r>
    </w:p>
    <w:p>
      <w:pPr>
        <w:pStyle w:val="BodyText"/>
        <w:spacing w:before="7"/>
        <w:rPr>
          <w:i/>
          <w:sz w:val="22"/>
        </w:rPr>
      </w:pPr>
    </w:p>
    <w:p>
      <w:pPr>
        <w:pStyle w:val="BodyText"/>
        <w:spacing w:line="480" w:lineRule="auto"/>
        <w:ind w:left="440" w:right="257" w:firstLine="720"/>
        <w:jc w:val="both"/>
      </w:pPr>
      <w:r>
        <w:rPr/>
        <w:pict>
          <v:rect style="position:absolute;margin-left:302.339996pt;margin-top:135.464142pt;width:23.82pt;height:.779pt;mso-position-horizontal-relative:page;mso-position-vertical-relative:paragraph;z-index:-34957312" filled="true" fillcolor="#000000" stroked="false">
            <v:fill type="solid"/>
            <w10:wrap type="none"/>
          </v:rect>
        </w:pict>
      </w:r>
      <w:r>
        <w:rPr/>
        <w:t>Often it was assumed, as Poncelet assumed, that the penetrator is rigid with an</w:t>
      </w:r>
      <w:r>
        <w:rPr>
          <w:spacing w:val="1"/>
        </w:rPr>
        <w:t> </w:t>
      </w:r>
      <w:r>
        <w:rPr/>
        <w:t>unchanging</w:t>
      </w:r>
      <w:r>
        <w:rPr>
          <w:spacing w:val="1"/>
        </w:rPr>
        <w:t> </w:t>
      </w:r>
      <w:r>
        <w:rPr/>
        <w:t>mass.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penetration</w:t>
      </w:r>
      <w:r>
        <w:rPr>
          <w:spacing w:val="1"/>
        </w:rPr>
        <w:t> </w:t>
      </w:r>
      <w:r>
        <w:rPr/>
        <w:t>depth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projectile</w:t>
      </w:r>
      <w:r>
        <w:rPr>
          <w:spacing w:val="1"/>
        </w:rPr>
        <w:t> </w:t>
      </w:r>
      <w:r>
        <w:rPr/>
        <w:t>thus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recognized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be</w:t>
      </w:r>
      <w:r>
        <w:rPr>
          <w:spacing w:val="-57"/>
        </w:rPr>
        <w:t> </w:t>
      </w:r>
      <w:r>
        <w:rPr/>
        <w:t>dependent</w:t>
      </w:r>
      <w:r>
        <w:rPr>
          <w:spacing w:val="-14"/>
        </w:rPr>
        <w:t> </w:t>
      </w:r>
      <w:r>
        <w:rPr/>
        <w:t>on</w:t>
      </w:r>
      <w:r>
        <w:rPr>
          <w:spacing w:val="-15"/>
        </w:rPr>
        <w:t> </w:t>
      </w:r>
      <w:r>
        <w:rPr/>
        <w:t>the</w:t>
      </w:r>
      <w:r>
        <w:rPr>
          <w:spacing w:val="-14"/>
        </w:rPr>
        <w:t> </w:t>
      </w:r>
      <w:r>
        <w:rPr/>
        <w:t>deceleration</w:t>
      </w:r>
      <w:r>
        <w:rPr>
          <w:spacing w:val="-15"/>
        </w:rPr>
        <w:t> </w:t>
      </w:r>
      <w:r>
        <w:rPr/>
        <w:t>of</w:t>
      </w:r>
      <w:r>
        <w:rPr>
          <w:spacing w:val="-15"/>
        </w:rPr>
        <w:t> </w:t>
      </w:r>
      <w:r>
        <w:rPr/>
        <w:t>the</w:t>
      </w:r>
      <w:r>
        <w:rPr>
          <w:spacing w:val="-14"/>
        </w:rPr>
        <w:t> </w:t>
      </w:r>
      <w:r>
        <w:rPr/>
        <w:t>projectile</w:t>
      </w:r>
      <w:r>
        <w:rPr>
          <w:spacing w:val="-14"/>
        </w:rPr>
        <w:t> </w:t>
      </w:r>
      <w:r>
        <w:rPr/>
        <w:t>in</w:t>
      </w:r>
      <w:r>
        <w:rPr>
          <w:spacing w:val="-15"/>
        </w:rPr>
        <w:t> </w:t>
      </w:r>
      <w:r>
        <w:rPr/>
        <w:t>the</w:t>
      </w:r>
      <w:r>
        <w:rPr>
          <w:spacing w:val="-14"/>
        </w:rPr>
        <w:t> </w:t>
      </w:r>
      <w:r>
        <w:rPr/>
        <w:t>target</w:t>
      </w:r>
      <w:r>
        <w:rPr>
          <w:spacing w:val="-13"/>
        </w:rPr>
        <w:t> </w:t>
      </w:r>
      <w:r>
        <w:rPr/>
        <w:t>and</w:t>
      </w:r>
      <w:r>
        <w:rPr>
          <w:spacing w:val="-15"/>
        </w:rPr>
        <w:t> </w:t>
      </w:r>
      <w:r>
        <w:rPr/>
        <w:t>the</w:t>
      </w:r>
      <w:r>
        <w:rPr>
          <w:spacing w:val="-14"/>
        </w:rPr>
        <w:t> </w:t>
      </w:r>
      <w:r>
        <w:rPr/>
        <w:t>velocity</w:t>
      </w:r>
      <w:r>
        <w:rPr>
          <w:spacing w:val="-15"/>
        </w:rPr>
        <w:t> </w:t>
      </w:r>
      <w:r>
        <w:rPr/>
        <w:t>of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projectile</w:t>
      </w:r>
      <w:r>
        <w:rPr>
          <w:spacing w:val="-58"/>
        </w:rPr>
        <w:t> </w:t>
      </w:r>
      <w:r>
        <w:rPr/>
        <w:t>as</w:t>
      </w:r>
      <w:r>
        <w:rPr>
          <w:spacing w:val="-1"/>
        </w:rPr>
        <w:t> </w:t>
      </w:r>
      <w:r>
        <w:rPr/>
        <w:t>shown in</w:t>
      </w:r>
      <w:r>
        <w:rPr>
          <w:spacing w:val="-2"/>
        </w:rPr>
        <w:t> </w:t>
      </w:r>
      <w:r>
        <w:rPr/>
        <w:t>Equation 3.5:</w:t>
      </w:r>
    </w:p>
    <w:p>
      <w:pPr>
        <w:pStyle w:val="BodyText"/>
        <w:rPr>
          <w:sz w:val="15"/>
        </w:rPr>
      </w:pPr>
    </w:p>
    <w:tbl>
      <w:tblPr>
        <w:tblW w:w="0" w:type="auto"/>
        <w:jc w:val="left"/>
        <w:tblInd w:w="333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20"/>
        <w:gridCol w:w="2426"/>
      </w:tblGrid>
      <w:tr>
        <w:trPr>
          <w:trHeight w:val="699" w:hRule="atLeast"/>
        </w:trPr>
        <w:tc>
          <w:tcPr>
            <w:tcW w:w="3420" w:type="dxa"/>
          </w:tcPr>
          <w:p>
            <w:pPr>
              <w:pStyle w:val="TableParagraph"/>
              <w:tabs>
                <w:tab w:pos="1168" w:val="left" w:leader="none"/>
              </w:tabs>
              <w:spacing w:line="139" w:lineRule="auto" w:before="29"/>
              <w:ind w:left="860"/>
              <w:rPr>
                <w:rFonts w:ascii="Cambria Math" w:eastAsia="Cambria Math"/>
                <w:sz w:val="24"/>
              </w:rPr>
            </w:pPr>
            <w:r>
              <w:rPr>
                <w:rFonts w:ascii="Cambria Math" w:eastAsia="Cambria Math"/>
                <w:sz w:val="17"/>
              </w:rPr>
              <w:t>0</w:t>
              <w:tab/>
            </w:r>
            <w:r>
              <w:rPr>
                <w:rFonts w:ascii="Cambria Math" w:eastAsia="Cambria Math"/>
                <w:position w:val="-8"/>
                <w:sz w:val="24"/>
              </w:rPr>
              <w:t>𝑣</w:t>
            </w:r>
          </w:p>
          <w:p>
            <w:pPr>
              <w:pStyle w:val="TableParagraph"/>
              <w:tabs>
                <w:tab w:pos="1515" w:val="left" w:leader="none"/>
              </w:tabs>
              <w:spacing w:line="182" w:lineRule="exact"/>
              <w:ind w:left="200"/>
              <w:rPr>
                <w:rFonts w:ascii="Cambria Math" w:hAnsi="Cambria Math" w:cs="Cambria Math" w:eastAsia="Cambria Math"/>
                <w:sz w:val="24"/>
                <w:szCs w:val="24"/>
              </w:rPr>
            </w:pPr>
            <w:r>
              <w:rPr>
                <w:rFonts w:ascii="Cambria Math" w:hAnsi="Cambria Math" w:cs="Cambria Math" w:eastAsia="Cambria Math"/>
                <w:sz w:val="24"/>
                <w:szCs w:val="24"/>
              </w:rPr>
              <w:t>𝑃</w:t>
            </w:r>
            <w:r>
              <w:rPr>
                <w:rFonts w:ascii="Cambria Math" w:hAnsi="Cambria Math" w:cs="Cambria Math" w:eastAsia="Cambria Math"/>
                <w:spacing w:val="7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sz w:val="24"/>
                <w:szCs w:val="24"/>
              </w:rPr>
              <w:t>=</w:t>
            </w:r>
            <w:r>
              <w:rPr>
                <w:rFonts w:ascii="Cambria Math" w:hAnsi="Cambria Math" w:cs="Cambria Math" w:eastAsia="Cambria Math"/>
                <w:spacing w:val="2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sz w:val="24"/>
                <w:szCs w:val="24"/>
              </w:rPr>
              <w:t>�</w:t>
              <w:tab/>
              <w:t>𝑑𝑣</w:t>
            </w:r>
          </w:p>
          <w:p>
            <w:pPr>
              <w:pStyle w:val="TableParagraph"/>
              <w:spacing w:line="175" w:lineRule="auto"/>
              <w:ind w:left="772"/>
              <w:rPr>
                <w:rFonts w:ascii="Cambria Math" w:eastAsia="Cambria Math"/>
                <w:sz w:val="24"/>
              </w:rPr>
            </w:pPr>
            <w:r>
              <w:rPr>
                <w:rFonts w:ascii="Cambria Math" w:eastAsia="Cambria Math"/>
                <w:w w:val="105"/>
                <w:position w:val="-6"/>
                <w:sz w:val="17"/>
              </w:rPr>
              <w:t>𝑣</w:t>
            </w:r>
            <w:r>
              <w:rPr>
                <w:rFonts w:ascii="Cambria Math" w:eastAsia="Cambria Math"/>
                <w:w w:val="105"/>
                <w:position w:val="-9"/>
                <w:sz w:val="14"/>
              </w:rPr>
              <w:t>0</w:t>
            </w:r>
            <w:r>
              <w:rPr>
                <w:rFonts w:ascii="Cambria Math" w:eastAsia="Cambria Math"/>
                <w:spacing w:val="11"/>
                <w:w w:val="105"/>
                <w:position w:val="-9"/>
                <w:sz w:val="14"/>
              </w:rPr>
              <w:t> </w:t>
            </w:r>
            <w:r>
              <w:rPr>
                <w:rFonts w:ascii="Cambria Math" w:eastAsia="Cambria Math"/>
                <w:w w:val="105"/>
                <w:sz w:val="24"/>
              </w:rPr>
              <w:t>𝑎(𝑣)</w:t>
            </w:r>
          </w:p>
        </w:tc>
        <w:tc>
          <w:tcPr>
            <w:tcW w:w="2426" w:type="dxa"/>
          </w:tcPr>
          <w:p>
            <w:pPr>
              <w:pStyle w:val="TableParagraph"/>
              <w:spacing w:before="192"/>
              <w:ind w:right="197"/>
              <w:jc w:val="right"/>
              <w:rPr>
                <w:sz w:val="24"/>
              </w:rPr>
            </w:pPr>
            <w:r>
              <w:rPr>
                <w:sz w:val="24"/>
              </w:rPr>
              <w:t>(3.5)</w:t>
            </w:r>
          </w:p>
        </w:tc>
      </w:tr>
    </w:tbl>
    <w:p>
      <w:pPr>
        <w:pStyle w:val="BodyText"/>
        <w:spacing w:before="9"/>
        <w:rPr>
          <w:sz w:val="13"/>
        </w:rPr>
      </w:pPr>
    </w:p>
    <w:p>
      <w:pPr>
        <w:pStyle w:val="BodyText"/>
        <w:spacing w:line="480" w:lineRule="auto" w:before="90"/>
        <w:ind w:left="440" w:right="256"/>
        <w:jc w:val="both"/>
      </w:pPr>
      <w:r>
        <w:rPr>
          <w:position w:val="1"/>
        </w:rPr>
        <w:t>where </w:t>
      </w:r>
      <w:r>
        <w:rPr>
          <w:i/>
          <w:position w:val="1"/>
        </w:rPr>
        <w:t>P </w:t>
      </w:r>
      <w:r>
        <w:rPr>
          <w:position w:val="1"/>
        </w:rPr>
        <w:t>represents the final penetration depth, </w:t>
      </w:r>
      <w:r>
        <w:rPr>
          <w:i/>
          <w:position w:val="1"/>
        </w:rPr>
        <w:t>v </w:t>
      </w:r>
      <w:r>
        <w:rPr>
          <w:position w:val="1"/>
        </w:rPr>
        <w:t>is the velocity and </w:t>
      </w:r>
      <w:r>
        <w:rPr>
          <w:i/>
          <w:position w:val="1"/>
        </w:rPr>
        <w:t>v</w:t>
      </w:r>
      <w:r>
        <w:rPr>
          <w:sz w:val="16"/>
        </w:rPr>
        <w:t>0</w:t>
      </w:r>
      <w:r>
        <w:rPr>
          <w:spacing w:val="1"/>
          <w:sz w:val="16"/>
        </w:rPr>
        <w:t> </w:t>
      </w:r>
      <w:r>
        <w:rPr>
          <w:position w:val="1"/>
        </w:rPr>
        <w:t>is the striking</w:t>
      </w:r>
      <w:r>
        <w:rPr>
          <w:spacing w:val="1"/>
          <w:position w:val="1"/>
        </w:rPr>
        <w:t> </w:t>
      </w:r>
      <w:r>
        <w:rPr/>
        <w:t>velocity, and </w:t>
      </w:r>
      <w:r>
        <w:rPr>
          <w:i/>
        </w:rPr>
        <w:t>a </w:t>
      </w:r>
      <w:r>
        <w:rPr/>
        <w:t>is the deceleration.</w:t>
      </w:r>
      <w:r>
        <w:rPr>
          <w:spacing w:val="1"/>
        </w:rPr>
        <w:t> </w:t>
      </w:r>
      <w:r>
        <w:rPr/>
        <w:t>The relationship between the deceleration and the</w:t>
      </w:r>
      <w:r>
        <w:rPr>
          <w:spacing w:val="1"/>
        </w:rPr>
        <w:t> </w:t>
      </w:r>
      <w:r>
        <w:rPr/>
        <w:t>velocity was unknown and various theories were proposed early in the investigation of</w:t>
      </w:r>
      <w:r>
        <w:rPr>
          <w:spacing w:val="1"/>
        </w:rPr>
        <w:t> </w:t>
      </w:r>
      <w:r>
        <w:rPr/>
        <w:t>penetration</w:t>
      </w:r>
      <w:r>
        <w:rPr>
          <w:spacing w:val="-11"/>
        </w:rPr>
        <w:t> </w:t>
      </w:r>
      <w:r>
        <w:rPr/>
        <w:t>mechanics.</w:t>
      </w:r>
      <w:r>
        <w:rPr>
          <w:spacing w:val="43"/>
        </w:rPr>
        <w:t> </w:t>
      </w:r>
      <w:r>
        <w:rPr/>
        <w:t>Equation</w:t>
      </w:r>
      <w:r>
        <w:rPr>
          <w:spacing w:val="-9"/>
        </w:rPr>
        <w:t> </w:t>
      </w:r>
      <w:r>
        <w:rPr/>
        <w:t>3.6</w:t>
      </w:r>
      <w:r>
        <w:rPr>
          <w:spacing w:val="-11"/>
        </w:rPr>
        <w:t> </w:t>
      </w:r>
      <w:r>
        <w:rPr/>
        <w:t>shows</w:t>
      </w:r>
      <w:r>
        <w:rPr>
          <w:spacing w:val="-8"/>
        </w:rPr>
        <w:t> </w:t>
      </w:r>
      <w:r>
        <w:rPr/>
        <w:t>a</w:t>
      </w:r>
      <w:r>
        <w:rPr>
          <w:spacing w:val="-8"/>
        </w:rPr>
        <w:t> </w:t>
      </w:r>
      <w:r>
        <w:rPr/>
        <w:t>general</w:t>
      </w:r>
      <w:r>
        <w:rPr>
          <w:spacing w:val="-8"/>
        </w:rPr>
        <w:t> </w:t>
      </w:r>
      <w:r>
        <w:rPr/>
        <w:t>expression</w:t>
      </w:r>
      <w:r>
        <w:rPr>
          <w:spacing w:val="-9"/>
        </w:rPr>
        <w:t> </w:t>
      </w:r>
      <w:r>
        <w:rPr/>
        <w:t>for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deceleration</w:t>
      </w:r>
      <w:r>
        <w:rPr>
          <w:spacing w:val="-9"/>
        </w:rPr>
        <w:t> </w:t>
      </w:r>
      <w:r>
        <w:rPr/>
        <w:t>term.</w:t>
      </w:r>
    </w:p>
    <w:p>
      <w:pPr>
        <w:pStyle w:val="BodyText"/>
        <w:spacing w:before="10"/>
        <w:rPr>
          <w:sz w:val="14"/>
        </w:rPr>
      </w:pPr>
    </w:p>
    <w:tbl>
      <w:tblPr>
        <w:tblW w:w="0" w:type="auto"/>
        <w:jc w:val="left"/>
        <w:tblInd w:w="289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016"/>
        <w:gridCol w:w="2265"/>
      </w:tblGrid>
      <w:tr>
        <w:trPr>
          <w:trHeight w:val="276" w:hRule="atLeast"/>
        </w:trPr>
        <w:tc>
          <w:tcPr>
            <w:tcW w:w="4016" w:type="dxa"/>
          </w:tcPr>
          <w:p>
            <w:pPr>
              <w:pStyle w:val="TableParagraph"/>
              <w:spacing w:line="257" w:lineRule="exact"/>
              <w:ind w:left="200"/>
              <w:rPr>
                <w:rFonts w:ascii="Cambria Math" w:eastAsia="Cambria Math"/>
                <w:sz w:val="24"/>
              </w:rPr>
            </w:pPr>
            <w:r>
              <w:rPr>
                <w:rFonts w:ascii="Cambria Math" w:eastAsia="Cambria Math"/>
                <w:sz w:val="24"/>
              </w:rPr>
              <w:t>𝑎</w:t>
            </w:r>
            <w:r>
              <w:rPr>
                <w:rFonts w:ascii="Cambria Math" w:eastAsia="Cambria Math"/>
                <w:position w:val="1"/>
                <w:sz w:val="24"/>
              </w:rPr>
              <w:t>(</w:t>
            </w:r>
            <w:r>
              <w:rPr>
                <w:rFonts w:ascii="Cambria Math" w:eastAsia="Cambria Math"/>
                <w:sz w:val="24"/>
              </w:rPr>
              <w:t>𝑣</w:t>
            </w:r>
            <w:r>
              <w:rPr>
                <w:rFonts w:ascii="Cambria Math" w:eastAsia="Cambria Math"/>
                <w:position w:val="1"/>
                <w:sz w:val="24"/>
              </w:rPr>
              <w:t>)</w:t>
            </w:r>
            <w:r>
              <w:rPr>
                <w:rFonts w:ascii="Cambria Math" w:eastAsia="Cambria Math"/>
                <w:spacing w:val="19"/>
                <w:position w:val="1"/>
                <w:sz w:val="24"/>
              </w:rPr>
              <w:t> </w:t>
            </w:r>
            <w:r>
              <w:rPr>
                <w:rFonts w:ascii="Cambria Math" w:eastAsia="Cambria Math"/>
                <w:sz w:val="24"/>
              </w:rPr>
              <w:t>=</w:t>
            </w:r>
            <w:r>
              <w:rPr>
                <w:rFonts w:ascii="Cambria Math" w:eastAsia="Cambria Math"/>
                <w:spacing w:val="19"/>
                <w:sz w:val="24"/>
              </w:rPr>
              <w:t> </w:t>
            </w:r>
            <w:r>
              <w:rPr>
                <w:rFonts w:ascii="Cambria Math" w:eastAsia="Cambria Math"/>
                <w:sz w:val="24"/>
              </w:rPr>
              <w:t>𝐶</w:t>
            </w:r>
            <w:r>
              <w:rPr>
                <w:rFonts w:ascii="Cambria Math" w:eastAsia="Cambria Math"/>
                <w:spacing w:val="17"/>
                <w:sz w:val="24"/>
              </w:rPr>
              <w:t> </w:t>
            </w:r>
            <w:r>
              <w:rPr>
                <w:rFonts w:ascii="Cambria Math" w:eastAsia="Cambria Math"/>
                <w:sz w:val="24"/>
              </w:rPr>
              <w:t>+</w:t>
            </w:r>
            <w:r>
              <w:rPr>
                <w:rFonts w:ascii="Cambria Math" w:eastAsia="Cambria Math"/>
                <w:spacing w:val="4"/>
                <w:sz w:val="24"/>
              </w:rPr>
              <w:t> </w:t>
            </w:r>
            <w:r>
              <w:rPr>
                <w:rFonts w:ascii="Cambria Math" w:eastAsia="Cambria Math"/>
                <w:sz w:val="24"/>
              </w:rPr>
              <w:t>𝐴𝑣</w:t>
            </w:r>
            <w:r>
              <w:rPr>
                <w:rFonts w:ascii="Cambria Math" w:eastAsia="Cambria Math"/>
                <w:spacing w:val="13"/>
                <w:sz w:val="24"/>
              </w:rPr>
              <w:t> </w:t>
            </w:r>
            <w:r>
              <w:rPr>
                <w:rFonts w:ascii="Cambria Math" w:eastAsia="Cambria Math"/>
                <w:sz w:val="24"/>
              </w:rPr>
              <w:t>+</w:t>
            </w:r>
            <w:r>
              <w:rPr>
                <w:rFonts w:ascii="Cambria Math" w:eastAsia="Cambria Math"/>
                <w:spacing w:val="5"/>
                <w:sz w:val="24"/>
              </w:rPr>
              <w:t> </w:t>
            </w:r>
            <w:r>
              <w:rPr>
                <w:rFonts w:ascii="Cambria Math" w:eastAsia="Cambria Math"/>
                <w:sz w:val="24"/>
              </w:rPr>
              <w:t>𝐵𝑣</w:t>
            </w:r>
            <w:r>
              <w:rPr>
                <w:rFonts w:ascii="Cambria Math" w:eastAsia="Cambria Math"/>
                <w:sz w:val="24"/>
                <w:vertAlign w:val="superscript"/>
              </w:rPr>
              <w:t>2</w:t>
            </w:r>
          </w:p>
        </w:tc>
        <w:tc>
          <w:tcPr>
            <w:tcW w:w="2265" w:type="dxa"/>
          </w:tcPr>
          <w:p>
            <w:pPr>
              <w:pStyle w:val="TableParagraph"/>
              <w:spacing w:line="257" w:lineRule="exact"/>
              <w:ind w:right="198"/>
              <w:jc w:val="right"/>
              <w:rPr>
                <w:sz w:val="24"/>
              </w:rPr>
            </w:pPr>
            <w:r>
              <w:rPr>
                <w:sz w:val="24"/>
              </w:rPr>
              <w:t>(3.6)</w:t>
            </w:r>
          </w:p>
        </w:tc>
      </w:tr>
    </w:tbl>
    <w:p>
      <w:pPr>
        <w:pStyle w:val="BodyText"/>
        <w:spacing w:before="4"/>
        <w:rPr>
          <w:sz w:val="16"/>
        </w:rPr>
      </w:pPr>
    </w:p>
    <w:p>
      <w:pPr>
        <w:pStyle w:val="BodyText"/>
        <w:spacing w:line="480" w:lineRule="auto" w:before="90"/>
        <w:ind w:left="439" w:right="257"/>
        <w:jc w:val="both"/>
      </w:pPr>
      <w:r>
        <w:rPr/>
        <w:t>where v represents velocity, </w:t>
      </w:r>
      <w:r>
        <w:rPr>
          <w:i/>
        </w:rPr>
        <w:t>a</w:t>
      </w:r>
      <w:r>
        <w:rPr/>
        <w:t>(</w:t>
      </w:r>
      <w:r>
        <w:rPr>
          <w:i/>
        </w:rPr>
        <w:t>v</w:t>
      </w:r>
      <w:r>
        <w:rPr/>
        <w:t>) is deceleration relative to velocity and </w:t>
      </w:r>
      <w:r>
        <w:rPr>
          <w:i/>
        </w:rPr>
        <w:t>A</w:t>
      </w:r>
      <w:r>
        <w:rPr/>
        <w:t>, </w:t>
      </w:r>
      <w:r>
        <w:rPr>
          <w:i/>
        </w:rPr>
        <w:t>B</w:t>
      </w:r>
      <w:r>
        <w:rPr/>
        <w:t>, and </w:t>
      </w:r>
      <w:r>
        <w:rPr>
          <w:i/>
        </w:rPr>
        <w:t>C </w:t>
      </w:r>
      <w:r>
        <w:rPr/>
        <w:t>are</w:t>
      </w:r>
      <w:r>
        <w:rPr>
          <w:spacing w:val="1"/>
        </w:rPr>
        <w:t> </w:t>
      </w:r>
      <w:r>
        <w:rPr/>
        <w:t>constants that must be determined empirically. The terms on the right side of the equation</w:t>
      </w:r>
      <w:r>
        <w:rPr>
          <w:spacing w:val="-57"/>
        </w:rPr>
        <w:t> </w:t>
      </w:r>
      <w:r>
        <w:rPr/>
        <w:t>are commonly associated with the cohesive resistance of the target, </w:t>
      </w:r>
      <w:r>
        <w:rPr>
          <w:i/>
        </w:rPr>
        <w:t>C</w:t>
      </w:r>
      <w:r>
        <w:rPr/>
        <w:t>; a frictional effect,</w:t>
      </w:r>
      <w:r>
        <w:rPr>
          <w:spacing w:val="1"/>
        </w:rPr>
        <w:t> </w:t>
      </w:r>
      <w:r>
        <w:rPr>
          <w:i/>
        </w:rPr>
        <w:t>Av;</w:t>
      </w:r>
      <w:r>
        <w:rPr>
          <w:i/>
          <w:spacing w:val="-1"/>
        </w:rPr>
        <w:t> </w:t>
      </w:r>
      <w:r>
        <w:rPr/>
        <w:t>and acceleration of</w:t>
      </w:r>
      <w:r>
        <w:rPr>
          <w:spacing w:val="-1"/>
        </w:rPr>
        <w:t> </w:t>
      </w:r>
      <w:r>
        <w:rPr/>
        <w:t>target</w:t>
      </w:r>
      <w:r>
        <w:rPr>
          <w:spacing w:val="-1"/>
        </w:rPr>
        <w:t> </w:t>
      </w:r>
      <w:r>
        <w:rPr/>
        <w:t>material</w:t>
      </w:r>
      <w:r>
        <w:rPr>
          <w:spacing w:val="-1"/>
        </w:rPr>
        <w:t> </w:t>
      </w:r>
      <w:r>
        <w:rPr/>
        <w:t>in the</w:t>
      </w:r>
      <w:r>
        <w:rPr>
          <w:spacing w:val="-1"/>
        </w:rPr>
        <w:t> </w:t>
      </w:r>
      <w:r>
        <w:rPr/>
        <w:t>impact area,</w:t>
      </w:r>
      <w:r>
        <w:rPr>
          <w:spacing w:val="-1"/>
        </w:rPr>
        <w:t> </w:t>
      </w:r>
      <w:r>
        <w:rPr>
          <w:i/>
        </w:rPr>
        <w:t>Bv</w:t>
      </w:r>
      <w:r>
        <w:rPr>
          <w:i/>
          <w:vertAlign w:val="superscript"/>
        </w:rPr>
        <w:t>2</w:t>
      </w:r>
      <w:r>
        <w:rPr>
          <w:vertAlign w:val="baseline"/>
        </w:rPr>
        <w:t>.</w:t>
      </w:r>
    </w:p>
    <w:p>
      <w:pPr>
        <w:pStyle w:val="BodyText"/>
        <w:spacing w:line="480" w:lineRule="auto" w:before="160"/>
        <w:ind w:left="439" w:right="256" w:firstLine="720"/>
        <w:jc w:val="both"/>
      </w:pPr>
      <w:r>
        <w:rPr/>
        <w:t>Classic</w:t>
      </w:r>
      <w:r>
        <w:rPr>
          <w:spacing w:val="1"/>
        </w:rPr>
        <w:t> </w:t>
      </w:r>
      <w:r>
        <w:rPr/>
        <w:t>penetration</w:t>
      </w:r>
      <w:r>
        <w:rPr>
          <w:spacing w:val="1"/>
        </w:rPr>
        <w:t> </w:t>
      </w:r>
      <w:r>
        <w:rPr/>
        <w:t>equations</w:t>
      </w:r>
      <w:r>
        <w:rPr>
          <w:spacing w:val="1"/>
        </w:rPr>
        <w:t> </w:t>
      </w:r>
      <w:r>
        <w:rPr/>
        <w:t>based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fundamental</w:t>
      </w:r>
      <w:r>
        <w:rPr>
          <w:spacing w:val="1"/>
        </w:rPr>
        <w:t> </w:t>
      </w:r>
      <w:r>
        <w:rPr/>
        <w:t>relationships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assumptions were developed by Euler and Robins, Poncelet, and the French engineer,</w:t>
      </w:r>
      <w:r>
        <w:rPr>
          <w:spacing w:val="1"/>
        </w:rPr>
        <w:t> </w:t>
      </w:r>
      <w:r>
        <w:rPr/>
        <w:t>Resal.</w:t>
      </w:r>
      <w:r>
        <w:rPr>
          <w:spacing w:val="1"/>
        </w:rPr>
        <w:t> </w:t>
      </w:r>
      <w:r>
        <w:rPr/>
        <w:t>Through</w:t>
      </w:r>
      <w:r>
        <w:rPr>
          <w:spacing w:val="1"/>
        </w:rPr>
        <w:t> </w:t>
      </w:r>
      <w:r>
        <w:rPr/>
        <w:t>integration,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expression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deceleration</w:t>
      </w:r>
      <w:r>
        <w:rPr>
          <w:spacing w:val="1"/>
        </w:rPr>
        <w:t> </w:t>
      </w:r>
      <w:r>
        <w:rPr/>
        <w:t>relative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velocity</w:t>
      </w:r>
      <w:r>
        <w:rPr>
          <w:spacing w:val="1"/>
        </w:rPr>
        <w:t> </w:t>
      </w:r>
      <w:r>
        <w:rPr/>
        <w:t>can</w:t>
      </w:r>
      <w:r>
        <w:rPr>
          <w:spacing w:val="-57"/>
        </w:rPr>
        <w:t> </w:t>
      </w:r>
      <w:r>
        <w:rPr/>
        <w:t>transform</w:t>
      </w:r>
      <w:r>
        <w:rPr>
          <w:spacing w:val="-14"/>
        </w:rPr>
        <w:t> </w:t>
      </w:r>
      <w:r>
        <w:rPr/>
        <w:t>into</w:t>
      </w:r>
      <w:r>
        <w:rPr>
          <w:spacing w:val="-11"/>
        </w:rPr>
        <w:t> </w:t>
      </w:r>
      <w:r>
        <w:rPr/>
        <w:t>an</w:t>
      </w:r>
      <w:r>
        <w:rPr>
          <w:spacing w:val="-11"/>
        </w:rPr>
        <w:t> </w:t>
      </w:r>
      <w:r>
        <w:rPr/>
        <w:t>expression</w:t>
      </w:r>
      <w:r>
        <w:rPr>
          <w:spacing w:val="-12"/>
        </w:rPr>
        <w:t> </w:t>
      </w:r>
      <w:r>
        <w:rPr/>
        <w:t>for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final</w:t>
      </w:r>
      <w:r>
        <w:rPr>
          <w:spacing w:val="-12"/>
        </w:rPr>
        <w:t> </w:t>
      </w:r>
      <w:r>
        <w:rPr/>
        <w:t>penetration</w:t>
      </w:r>
      <w:r>
        <w:rPr>
          <w:spacing w:val="-11"/>
        </w:rPr>
        <w:t> </w:t>
      </w:r>
      <w:r>
        <w:rPr/>
        <w:t>depth,</w:t>
      </w:r>
      <w:r>
        <w:rPr>
          <w:spacing w:val="-12"/>
        </w:rPr>
        <w:t> </w:t>
      </w:r>
      <w:r>
        <w:rPr>
          <w:i/>
        </w:rPr>
        <w:t>P</w:t>
      </w:r>
      <w:r>
        <w:rPr/>
        <w:t>,</w:t>
      </w:r>
      <w:r>
        <w:rPr>
          <w:spacing w:val="-12"/>
        </w:rPr>
        <w:t> </w:t>
      </w:r>
      <w:r>
        <w:rPr/>
        <w:t>in</w:t>
      </w:r>
      <w:r>
        <w:rPr>
          <w:spacing w:val="-11"/>
        </w:rPr>
        <w:t> </w:t>
      </w:r>
      <w:r>
        <w:rPr/>
        <w:t>terms</w:t>
      </w:r>
      <w:r>
        <w:rPr>
          <w:spacing w:val="-11"/>
        </w:rPr>
        <w:t> </w:t>
      </w:r>
      <w:r>
        <w:rPr/>
        <w:t>of</w:t>
      </w:r>
      <w:r>
        <w:rPr>
          <w:spacing w:val="-13"/>
        </w:rPr>
        <w:t> </w:t>
      </w:r>
      <w:r>
        <w:rPr/>
        <w:t>striking</w:t>
      </w:r>
      <w:r>
        <w:rPr>
          <w:spacing w:val="-11"/>
        </w:rPr>
        <w:t> </w:t>
      </w:r>
      <w:r>
        <w:rPr/>
        <w:t>velocity,</w:t>
      </w:r>
      <w:r>
        <w:rPr>
          <w:spacing w:val="-58"/>
        </w:rPr>
        <w:t> </w:t>
      </w:r>
      <w:r>
        <w:rPr>
          <w:i/>
          <w:position w:val="1"/>
        </w:rPr>
        <w:t>v</w:t>
      </w:r>
      <w:r>
        <w:rPr>
          <w:i/>
          <w:sz w:val="16"/>
        </w:rPr>
        <w:t>s</w:t>
      </w:r>
      <w:r>
        <w:rPr>
          <w:position w:val="1"/>
        </w:rPr>
        <w:t>.</w:t>
      </w:r>
      <w:r>
        <w:rPr>
          <w:spacing w:val="59"/>
          <w:position w:val="1"/>
        </w:rPr>
        <w:t> </w:t>
      </w:r>
      <w:hyperlink w:history="true" w:anchor="_bookmark12">
        <w:r>
          <w:rPr>
            <w:position w:val="1"/>
          </w:rPr>
          <w:t>Table 3-1</w:t>
        </w:r>
      </w:hyperlink>
      <w:r>
        <w:rPr>
          <w:position w:val="1"/>
        </w:rPr>
        <w:t> shows</w:t>
      </w:r>
      <w:r>
        <w:rPr>
          <w:spacing w:val="-1"/>
          <w:position w:val="1"/>
        </w:rPr>
        <w:t> </w:t>
      </w:r>
      <w:r>
        <w:rPr>
          <w:position w:val="1"/>
        </w:rPr>
        <w:t>the</w:t>
      </w:r>
      <w:r>
        <w:rPr>
          <w:spacing w:val="-1"/>
          <w:position w:val="1"/>
        </w:rPr>
        <w:t> </w:t>
      </w:r>
      <w:r>
        <w:rPr>
          <w:position w:val="1"/>
        </w:rPr>
        <w:t>equations credited</w:t>
      </w:r>
      <w:r>
        <w:rPr>
          <w:spacing w:val="-2"/>
          <w:position w:val="1"/>
        </w:rPr>
        <w:t> </w:t>
      </w:r>
      <w:r>
        <w:rPr>
          <w:position w:val="1"/>
        </w:rPr>
        <w:t>to each</w:t>
      </w:r>
      <w:r>
        <w:rPr>
          <w:spacing w:val="-1"/>
          <w:position w:val="1"/>
        </w:rPr>
        <w:t> </w:t>
      </w:r>
      <w:r>
        <w:rPr>
          <w:position w:val="1"/>
        </w:rPr>
        <w:t>scientist.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spacing w:before="79"/>
        <w:ind w:left="178" w:right="0" w:firstLine="0"/>
        <w:jc w:val="center"/>
        <w:rPr>
          <w:i/>
          <w:sz w:val="24"/>
        </w:rPr>
      </w:pPr>
      <w:r>
        <w:rPr/>
        <w:pict>
          <v:rect style="position:absolute;margin-left:456.660004pt;margin-top:85.653152pt;width:14.34pt;height:.78pt;mso-position-horizontal-relative:page;mso-position-vertical-relative:paragraph;z-index:-34956800" filled="true" fillcolor="#000000" stroked="false">
            <v:fill type="solid"/>
            <w10:wrap type="none"/>
          </v:rect>
        </w:pict>
      </w:r>
      <w:r>
        <w:rPr/>
        <w:pict>
          <v:rect style="position:absolute;margin-left:421.619995pt;margin-top:133.893158pt;width:14.819pt;height:.78pt;mso-position-horizontal-relative:page;mso-position-vertical-relative:paragraph;z-index:-34956288" filled="true" fillcolor="#000000" stroked="false">
            <v:fill type="solid"/>
            <w10:wrap type="none"/>
          </v:rect>
        </w:pict>
      </w:r>
      <w:r>
        <w:rPr/>
        <w:pict>
          <v:rect style="position:absolute;margin-left:478.26001pt;margin-top:133.893158pt;width:20.82pt;height:.78pt;mso-position-horizontal-relative:page;mso-position-vertical-relative:paragraph;z-index:-34955776" filled="true" fillcolor="#000000" stroked="false">
            <v:fill type="solid"/>
            <w10:wrap type="none"/>
          </v:rect>
        </w:pict>
      </w:r>
      <w:bookmarkStart w:name="_bookmark12" w:id="99"/>
      <w:bookmarkEnd w:id="99"/>
      <w:r>
        <w:rPr/>
      </w:r>
      <w:r>
        <w:rPr>
          <w:i/>
          <w:sz w:val="24"/>
        </w:rPr>
        <w:t>Table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3-1.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Classic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penetration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equations.</w:t>
      </w:r>
    </w:p>
    <w:p>
      <w:pPr>
        <w:pStyle w:val="BodyText"/>
        <w:spacing w:before="5" w:after="1"/>
        <w:rPr>
          <w:i/>
          <w:sz w:val="17"/>
        </w:rPr>
      </w:pPr>
    </w:p>
    <w:tbl>
      <w:tblPr>
        <w:tblW w:w="0" w:type="auto"/>
        <w:jc w:val="left"/>
        <w:tblInd w:w="4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35"/>
        <w:gridCol w:w="2790"/>
        <w:gridCol w:w="3505"/>
      </w:tblGrid>
      <w:tr>
        <w:trPr>
          <w:trHeight w:val="592" w:hRule="atLeast"/>
        </w:trPr>
        <w:tc>
          <w:tcPr>
            <w:tcW w:w="2335" w:type="dxa"/>
            <w:shd w:val="clear" w:color="auto" w:fill="D0CECE"/>
          </w:tcPr>
          <w:p>
            <w:pPr>
              <w:pStyle w:val="TableParagraph"/>
              <w:spacing w:before="158"/>
              <w:ind w:left="213" w:right="20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Scientist/Engineer</w:t>
            </w:r>
          </w:p>
        </w:tc>
        <w:tc>
          <w:tcPr>
            <w:tcW w:w="2790" w:type="dxa"/>
            <w:shd w:val="clear" w:color="auto" w:fill="D0CECE"/>
          </w:tcPr>
          <w:p>
            <w:pPr>
              <w:pStyle w:val="TableParagraph"/>
              <w:spacing w:before="158"/>
              <w:ind w:left="133" w:right="12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Deceleration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Expression</w:t>
            </w:r>
          </w:p>
        </w:tc>
        <w:tc>
          <w:tcPr>
            <w:tcW w:w="3505" w:type="dxa"/>
            <w:shd w:val="clear" w:color="auto" w:fill="D0CECE"/>
          </w:tcPr>
          <w:p>
            <w:pPr>
              <w:pStyle w:val="TableParagraph"/>
              <w:spacing w:before="158"/>
              <w:ind w:left="212"/>
              <w:rPr>
                <w:b/>
                <w:sz w:val="24"/>
              </w:rPr>
            </w:pPr>
            <w:r>
              <w:rPr>
                <w:b/>
                <w:sz w:val="24"/>
              </w:rPr>
              <w:t>Penetration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Depth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Expression</w:t>
            </w:r>
          </w:p>
        </w:tc>
      </w:tr>
      <w:tr>
        <w:trPr>
          <w:trHeight w:val="992" w:hRule="atLeast"/>
        </w:trPr>
        <w:tc>
          <w:tcPr>
            <w:tcW w:w="2335" w:type="dxa"/>
          </w:tcPr>
          <w:p>
            <w:pPr>
              <w:pStyle w:val="TableParagraph"/>
              <w:spacing w:before="2"/>
              <w:rPr>
                <w:i/>
                <w:sz w:val="31"/>
              </w:rPr>
            </w:pPr>
          </w:p>
          <w:p>
            <w:pPr>
              <w:pStyle w:val="TableParagraph"/>
              <w:ind w:left="212" w:right="20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Euler-Robins</w:t>
            </w:r>
          </w:p>
        </w:tc>
        <w:tc>
          <w:tcPr>
            <w:tcW w:w="2790" w:type="dxa"/>
          </w:tcPr>
          <w:p>
            <w:pPr>
              <w:pStyle w:val="TableParagraph"/>
              <w:spacing w:before="11"/>
              <w:rPr>
                <w:i/>
                <w:sz w:val="30"/>
              </w:rPr>
            </w:pPr>
          </w:p>
          <w:p>
            <w:pPr>
              <w:pStyle w:val="TableParagraph"/>
              <w:ind w:left="129" w:right="125"/>
              <w:jc w:val="center"/>
              <w:rPr>
                <w:rFonts w:ascii="Cambria Math" w:eastAsia="Cambria Math"/>
                <w:sz w:val="24"/>
              </w:rPr>
            </w:pPr>
            <w:r>
              <w:rPr>
                <w:rFonts w:ascii="Cambria Math" w:eastAsia="Cambria Math"/>
                <w:sz w:val="24"/>
              </w:rPr>
              <w:t>𝑎</w:t>
            </w:r>
            <w:r>
              <w:rPr>
                <w:rFonts w:ascii="Cambria Math" w:eastAsia="Cambria Math"/>
                <w:spacing w:val="18"/>
                <w:sz w:val="24"/>
              </w:rPr>
              <w:t> </w:t>
            </w:r>
            <w:r>
              <w:rPr>
                <w:rFonts w:ascii="Cambria Math" w:eastAsia="Cambria Math"/>
                <w:sz w:val="24"/>
              </w:rPr>
              <w:t>=</w:t>
            </w:r>
            <w:r>
              <w:rPr>
                <w:rFonts w:ascii="Cambria Math" w:eastAsia="Cambria Math"/>
                <w:spacing w:val="13"/>
                <w:sz w:val="24"/>
              </w:rPr>
              <w:t> </w:t>
            </w:r>
            <w:r>
              <w:rPr>
                <w:rFonts w:ascii="Cambria Math" w:eastAsia="Cambria Math"/>
                <w:sz w:val="24"/>
              </w:rPr>
              <w:t>𝐶</w:t>
            </w:r>
            <w:r>
              <w:rPr>
                <w:rFonts w:ascii="Cambria Math" w:eastAsia="Cambria Math"/>
                <w:spacing w:val="23"/>
                <w:sz w:val="24"/>
              </w:rPr>
              <w:t> </w:t>
            </w:r>
            <w:r>
              <w:rPr>
                <w:rFonts w:ascii="Cambria Math" w:eastAsia="Cambria Math"/>
                <w:sz w:val="24"/>
              </w:rPr>
              <w:t>=</w:t>
            </w:r>
            <w:r>
              <w:rPr>
                <w:rFonts w:ascii="Cambria Math" w:eastAsia="Cambria Math"/>
                <w:spacing w:val="13"/>
                <w:sz w:val="24"/>
              </w:rPr>
              <w:t> </w:t>
            </w:r>
            <w:r>
              <w:rPr>
                <w:rFonts w:ascii="Cambria Math" w:eastAsia="Cambria Math"/>
                <w:sz w:val="24"/>
              </w:rPr>
              <w:t>𝑐𝑜𝑛𝑠𝑡𝑎𝑛𝑡</w:t>
            </w:r>
          </w:p>
        </w:tc>
        <w:tc>
          <w:tcPr>
            <w:tcW w:w="3505" w:type="dxa"/>
          </w:tcPr>
          <w:p>
            <w:pPr>
              <w:pStyle w:val="TableParagraph"/>
              <w:spacing w:before="9"/>
              <w:rPr>
                <w:i/>
                <w:sz w:val="20"/>
              </w:rPr>
            </w:pPr>
          </w:p>
          <w:p>
            <w:pPr>
              <w:pStyle w:val="TableParagraph"/>
              <w:spacing w:line="153" w:lineRule="auto"/>
              <w:ind w:right="1389"/>
              <w:jc w:val="right"/>
              <w:rPr>
                <w:rFonts w:ascii="Cambria Math" w:eastAsia="Cambria Math"/>
                <w:sz w:val="17"/>
              </w:rPr>
            </w:pPr>
            <w:r>
              <w:rPr>
                <w:rFonts w:ascii="Cambria Math" w:eastAsia="Cambria Math"/>
                <w:position w:val="-8"/>
                <w:sz w:val="24"/>
              </w:rPr>
              <w:t>𝑣</w:t>
            </w:r>
            <w:r>
              <w:rPr>
                <w:rFonts w:ascii="Cambria Math" w:eastAsia="Cambria Math"/>
                <w:sz w:val="17"/>
              </w:rPr>
              <w:t>2</w:t>
            </w:r>
          </w:p>
          <w:p>
            <w:pPr>
              <w:pStyle w:val="TableParagraph"/>
              <w:spacing w:line="170" w:lineRule="exact"/>
              <w:ind w:right="1434"/>
              <w:jc w:val="right"/>
              <w:rPr>
                <w:rFonts w:ascii="Cambria Math" w:eastAsia="Cambria Math"/>
                <w:sz w:val="24"/>
              </w:rPr>
            </w:pPr>
            <w:r>
              <w:rPr>
                <w:rFonts w:ascii="Cambria Math" w:eastAsia="Cambria Math"/>
                <w:sz w:val="24"/>
              </w:rPr>
              <w:t>𝑃</w:t>
            </w:r>
            <w:r>
              <w:rPr>
                <w:rFonts w:ascii="Cambria Math" w:eastAsia="Cambria Math"/>
                <w:spacing w:val="22"/>
                <w:sz w:val="24"/>
              </w:rPr>
              <w:t> </w:t>
            </w:r>
            <w:r>
              <w:rPr>
                <w:rFonts w:ascii="Cambria Math" w:eastAsia="Cambria Math"/>
                <w:sz w:val="24"/>
              </w:rPr>
              <w:t>=  </w:t>
            </w:r>
            <w:r>
              <w:rPr>
                <w:rFonts w:ascii="Cambria Math" w:eastAsia="Cambria Math"/>
                <w:spacing w:val="47"/>
                <w:sz w:val="24"/>
              </w:rPr>
              <w:t> </w:t>
            </w:r>
            <w:r>
              <w:rPr>
                <w:rFonts w:ascii="Cambria Math" w:eastAsia="Cambria Math"/>
                <w:sz w:val="24"/>
                <w:vertAlign w:val="superscript"/>
              </w:rPr>
              <w:t>𝑠</w:t>
            </w:r>
          </w:p>
          <w:p>
            <w:pPr>
              <w:pStyle w:val="TableParagraph"/>
              <w:spacing w:line="221" w:lineRule="exact"/>
              <w:ind w:left="1822" w:right="1355"/>
              <w:jc w:val="center"/>
              <w:rPr>
                <w:rFonts w:ascii="Cambria Math" w:eastAsia="Cambria Math"/>
                <w:sz w:val="24"/>
              </w:rPr>
            </w:pPr>
            <w:r>
              <w:rPr>
                <w:rFonts w:ascii="Cambria Math" w:eastAsia="Cambria Math"/>
                <w:sz w:val="24"/>
              </w:rPr>
              <w:t>2𝐶</w:t>
            </w:r>
          </w:p>
        </w:tc>
      </w:tr>
      <w:tr>
        <w:trPr>
          <w:trHeight w:val="992" w:hRule="atLeast"/>
        </w:trPr>
        <w:tc>
          <w:tcPr>
            <w:tcW w:w="2335" w:type="dxa"/>
          </w:tcPr>
          <w:p>
            <w:pPr>
              <w:pStyle w:val="TableParagraph"/>
              <w:spacing w:before="2"/>
              <w:rPr>
                <w:i/>
                <w:sz w:val="31"/>
              </w:rPr>
            </w:pPr>
          </w:p>
          <w:p>
            <w:pPr>
              <w:pStyle w:val="TableParagraph"/>
              <w:ind w:left="213" w:right="20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Poncelet</w:t>
            </w:r>
          </w:p>
        </w:tc>
        <w:tc>
          <w:tcPr>
            <w:tcW w:w="2790" w:type="dxa"/>
          </w:tcPr>
          <w:p>
            <w:pPr>
              <w:pStyle w:val="TableParagraph"/>
              <w:rPr>
                <w:i/>
                <w:sz w:val="31"/>
              </w:rPr>
            </w:pPr>
          </w:p>
          <w:p>
            <w:pPr>
              <w:pStyle w:val="TableParagraph"/>
              <w:spacing w:before="1"/>
              <w:ind w:left="125" w:right="125"/>
              <w:jc w:val="center"/>
              <w:rPr>
                <w:rFonts w:ascii="Cambria Math" w:eastAsia="Cambria Math"/>
                <w:sz w:val="24"/>
              </w:rPr>
            </w:pPr>
            <w:r>
              <w:rPr>
                <w:rFonts w:ascii="Cambria Math" w:eastAsia="Cambria Math"/>
                <w:sz w:val="24"/>
              </w:rPr>
              <w:t>𝑎</w:t>
            </w:r>
            <w:r>
              <w:rPr>
                <w:rFonts w:ascii="Cambria Math" w:eastAsia="Cambria Math"/>
                <w:spacing w:val="25"/>
                <w:sz w:val="24"/>
              </w:rPr>
              <w:t> </w:t>
            </w:r>
            <w:r>
              <w:rPr>
                <w:rFonts w:ascii="Cambria Math" w:eastAsia="Cambria Math"/>
                <w:sz w:val="24"/>
              </w:rPr>
              <w:t>=</w:t>
            </w:r>
            <w:r>
              <w:rPr>
                <w:rFonts w:ascii="Cambria Math" w:eastAsia="Cambria Math"/>
                <w:spacing w:val="19"/>
                <w:sz w:val="24"/>
              </w:rPr>
              <w:t> </w:t>
            </w:r>
            <w:r>
              <w:rPr>
                <w:rFonts w:ascii="Cambria Math" w:eastAsia="Cambria Math"/>
                <w:sz w:val="24"/>
              </w:rPr>
              <w:t>𝐶</w:t>
            </w:r>
            <w:r>
              <w:rPr>
                <w:rFonts w:ascii="Cambria Math" w:eastAsia="Cambria Math"/>
                <w:spacing w:val="17"/>
                <w:sz w:val="24"/>
              </w:rPr>
              <w:t> </w:t>
            </w:r>
            <w:r>
              <w:rPr>
                <w:rFonts w:ascii="Cambria Math" w:eastAsia="Cambria Math"/>
                <w:sz w:val="24"/>
              </w:rPr>
              <w:t>+</w:t>
            </w:r>
            <w:r>
              <w:rPr>
                <w:rFonts w:ascii="Cambria Math" w:eastAsia="Cambria Math"/>
                <w:spacing w:val="3"/>
                <w:sz w:val="24"/>
              </w:rPr>
              <w:t> </w:t>
            </w:r>
            <w:r>
              <w:rPr>
                <w:rFonts w:ascii="Cambria Math" w:eastAsia="Cambria Math"/>
                <w:sz w:val="24"/>
              </w:rPr>
              <w:t>𝐵𝑣</w:t>
            </w:r>
            <w:r>
              <w:rPr>
                <w:rFonts w:ascii="Cambria Math" w:eastAsia="Cambria Math"/>
                <w:sz w:val="24"/>
                <w:vertAlign w:val="superscript"/>
              </w:rPr>
              <w:t>2</w:t>
            </w:r>
          </w:p>
        </w:tc>
        <w:tc>
          <w:tcPr>
            <w:tcW w:w="3505" w:type="dxa"/>
          </w:tcPr>
          <w:p>
            <w:pPr>
              <w:pStyle w:val="TableParagraph"/>
              <w:tabs>
                <w:tab w:pos="2275" w:val="left" w:leader="none"/>
              </w:tabs>
              <w:spacing w:line="231" w:lineRule="exact" w:before="173"/>
              <w:ind w:left="1223"/>
              <w:rPr>
                <w:rFonts w:ascii="Cambria Math" w:eastAsia="Cambria Math"/>
                <w:sz w:val="24"/>
              </w:rPr>
            </w:pPr>
            <w:r>
              <w:rPr>
                <w:rFonts w:ascii="Cambria Math" w:eastAsia="Cambria Math"/>
                <w:sz w:val="24"/>
              </w:rPr>
              <w:t>1</w:t>
              <w:tab/>
              <w:t>𝐵𝑣</w:t>
            </w:r>
            <w:r>
              <w:rPr>
                <w:rFonts w:ascii="Cambria Math" w:eastAsia="Cambria Math"/>
                <w:sz w:val="24"/>
                <w:vertAlign w:val="superscript"/>
              </w:rPr>
              <w:t>2</w:t>
            </w:r>
          </w:p>
          <w:p>
            <w:pPr>
              <w:pStyle w:val="TableParagraph"/>
              <w:tabs>
                <w:tab w:pos="1479" w:val="left" w:leader="none"/>
                <w:tab w:pos="2555" w:val="left" w:leader="none"/>
              </w:tabs>
              <w:spacing w:line="171" w:lineRule="exact"/>
              <w:ind w:left="675"/>
              <w:rPr>
                <w:rFonts w:ascii="Cambria Math" w:hAnsi="Cambria Math" w:cs="Cambria Math" w:eastAsia="Cambria Math"/>
                <w:sz w:val="24"/>
                <w:szCs w:val="24"/>
              </w:rPr>
            </w:pPr>
            <w:r>
              <w:rPr>
                <w:rFonts w:ascii="Cambria Math" w:hAnsi="Cambria Math" w:cs="Cambria Math" w:eastAsia="Cambria Math"/>
                <w:sz w:val="24"/>
                <w:szCs w:val="24"/>
              </w:rPr>
              <w:t>𝑃</w:t>
            </w:r>
            <w:r>
              <w:rPr>
                <w:rFonts w:ascii="Cambria Math" w:hAnsi="Cambria Math" w:cs="Cambria Math" w:eastAsia="Cambria Math"/>
                <w:spacing w:val="19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sz w:val="24"/>
                <w:szCs w:val="24"/>
              </w:rPr>
              <w:t>=</w:t>
              <w:tab/>
            </w:r>
            <w:r>
              <w:rPr>
                <w:rFonts w:ascii="Cambria Math" w:hAnsi="Cambria Math" w:cs="Cambria Math" w:eastAsia="Cambria Math"/>
                <w:w w:val="85"/>
                <w:sz w:val="24"/>
                <w:szCs w:val="24"/>
              </w:rPr>
              <w:t>ln</w:t>
            </w:r>
            <w:r>
              <w:rPr>
                <w:rFonts w:ascii="Cambria Math" w:hAnsi="Cambria Math" w:cs="Cambria Math" w:eastAsia="Cambria Math"/>
                <w:spacing w:val="-4"/>
                <w:w w:val="85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w w:val="85"/>
                <w:sz w:val="24"/>
                <w:szCs w:val="24"/>
              </w:rPr>
              <w:t>�1</w:t>
            </w:r>
            <w:r>
              <w:rPr>
                <w:rFonts w:ascii="Cambria Math" w:hAnsi="Cambria Math" w:cs="Cambria Math" w:eastAsia="Cambria Math"/>
                <w:spacing w:val="10"/>
                <w:w w:val="85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w w:val="85"/>
                <w:sz w:val="24"/>
                <w:szCs w:val="24"/>
              </w:rPr>
              <w:t>+</w:t>
              <w:tab/>
            </w:r>
            <w:r>
              <w:rPr>
                <w:rFonts w:ascii="Cambria Math" w:hAnsi="Cambria Math" w:cs="Cambria Math" w:eastAsia="Cambria Math"/>
                <w:w w:val="80"/>
                <w:sz w:val="24"/>
                <w:szCs w:val="24"/>
                <w:vertAlign w:val="superscript"/>
              </w:rPr>
              <w:t>𝑠</w:t>
            </w:r>
            <w:r>
              <w:rPr>
                <w:rFonts w:ascii="Cambria Math" w:hAnsi="Cambria Math" w:cs="Cambria Math" w:eastAsia="Cambria Math"/>
                <w:spacing w:val="-1"/>
                <w:w w:val="80"/>
                <w:sz w:val="24"/>
                <w:szCs w:val="24"/>
                <w:vertAlign w:val="baseline"/>
              </w:rPr>
              <w:t> </w:t>
            </w:r>
            <w:r>
              <w:rPr>
                <w:rFonts w:ascii="Cambria Math" w:hAnsi="Cambria Math" w:cs="Cambria Math" w:eastAsia="Cambria Math"/>
                <w:w w:val="80"/>
                <w:sz w:val="24"/>
                <w:szCs w:val="24"/>
                <w:vertAlign w:val="baseline"/>
              </w:rPr>
              <w:t>�</w:t>
            </w:r>
          </w:p>
          <w:p>
            <w:pPr>
              <w:pStyle w:val="TableParagraph"/>
              <w:tabs>
                <w:tab w:pos="2405" w:val="left" w:leader="none"/>
              </w:tabs>
              <w:spacing w:line="221" w:lineRule="exact"/>
              <w:ind w:left="1142"/>
              <w:rPr>
                <w:rFonts w:ascii="Cambria Math" w:eastAsia="Cambria Math"/>
                <w:sz w:val="24"/>
              </w:rPr>
            </w:pPr>
            <w:r>
              <w:rPr>
                <w:rFonts w:ascii="Cambria Math" w:eastAsia="Cambria Math"/>
                <w:sz w:val="24"/>
              </w:rPr>
              <w:t>2𝐵</w:t>
              <w:tab/>
              <w:t>𝐶</w:t>
            </w:r>
          </w:p>
        </w:tc>
      </w:tr>
      <w:tr>
        <w:trPr>
          <w:trHeight w:val="991" w:hRule="atLeast"/>
        </w:trPr>
        <w:tc>
          <w:tcPr>
            <w:tcW w:w="2335" w:type="dxa"/>
          </w:tcPr>
          <w:p>
            <w:pPr>
              <w:pStyle w:val="TableParagraph"/>
              <w:spacing w:before="2"/>
              <w:rPr>
                <w:i/>
                <w:sz w:val="31"/>
              </w:rPr>
            </w:pPr>
          </w:p>
          <w:p>
            <w:pPr>
              <w:pStyle w:val="TableParagraph"/>
              <w:ind w:left="212" w:right="20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Resal</w:t>
            </w:r>
          </w:p>
        </w:tc>
        <w:tc>
          <w:tcPr>
            <w:tcW w:w="2790" w:type="dxa"/>
          </w:tcPr>
          <w:p>
            <w:pPr>
              <w:pStyle w:val="TableParagraph"/>
              <w:spacing w:before="11"/>
              <w:rPr>
                <w:i/>
                <w:sz w:val="30"/>
              </w:rPr>
            </w:pPr>
          </w:p>
          <w:p>
            <w:pPr>
              <w:pStyle w:val="TableParagraph"/>
              <w:ind w:left="127" w:right="125"/>
              <w:jc w:val="center"/>
              <w:rPr>
                <w:rFonts w:ascii="Cambria Math" w:eastAsia="Cambria Math"/>
                <w:sz w:val="24"/>
              </w:rPr>
            </w:pPr>
            <w:r>
              <w:rPr>
                <w:rFonts w:ascii="Cambria Math" w:eastAsia="Cambria Math"/>
                <w:sz w:val="24"/>
              </w:rPr>
              <w:t>𝑎</w:t>
            </w:r>
            <w:r>
              <w:rPr>
                <w:rFonts w:ascii="Cambria Math" w:eastAsia="Cambria Math"/>
                <w:spacing w:val="18"/>
                <w:sz w:val="24"/>
              </w:rPr>
              <w:t> </w:t>
            </w:r>
            <w:r>
              <w:rPr>
                <w:rFonts w:ascii="Cambria Math" w:eastAsia="Cambria Math"/>
                <w:sz w:val="24"/>
              </w:rPr>
              <w:t>=</w:t>
            </w:r>
            <w:r>
              <w:rPr>
                <w:rFonts w:ascii="Cambria Math" w:eastAsia="Cambria Math"/>
                <w:spacing w:val="13"/>
                <w:sz w:val="24"/>
              </w:rPr>
              <w:t> </w:t>
            </w:r>
            <w:r>
              <w:rPr>
                <w:rFonts w:ascii="Cambria Math" w:eastAsia="Cambria Math"/>
                <w:sz w:val="24"/>
              </w:rPr>
              <w:t>𝐴𝑣</w:t>
            </w:r>
            <w:r>
              <w:rPr>
                <w:rFonts w:ascii="Cambria Math" w:eastAsia="Cambria Math"/>
                <w:spacing w:val="7"/>
                <w:sz w:val="24"/>
              </w:rPr>
              <w:t> </w:t>
            </w:r>
            <w:r>
              <w:rPr>
                <w:rFonts w:ascii="Cambria Math" w:eastAsia="Cambria Math"/>
                <w:sz w:val="24"/>
              </w:rPr>
              <w:t>+ 𝐵𝑣</w:t>
            </w:r>
          </w:p>
        </w:tc>
        <w:tc>
          <w:tcPr>
            <w:tcW w:w="3505" w:type="dxa"/>
          </w:tcPr>
          <w:p>
            <w:pPr>
              <w:pStyle w:val="TableParagraph"/>
              <w:tabs>
                <w:tab w:pos="2229" w:val="left" w:leader="none"/>
              </w:tabs>
              <w:spacing w:line="249" w:lineRule="exact" w:before="191"/>
              <w:ind w:left="1263"/>
              <w:rPr>
                <w:rFonts w:ascii="Cambria Math" w:eastAsia="Cambria Math"/>
                <w:sz w:val="17"/>
              </w:rPr>
            </w:pPr>
            <w:r>
              <w:rPr>
                <w:rFonts w:ascii="Cambria Math" w:eastAsia="Cambria Math"/>
                <w:sz w:val="24"/>
              </w:rPr>
              <w:t>1</w:t>
              <w:tab/>
              <w:t>𝐵𝑣</w:t>
            </w:r>
            <w:r>
              <w:rPr>
                <w:rFonts w:ascii="Cambria Math" w:eastAsia="Cambria Math"/>
                <w:position w:val="-4"/>
                <w:sz w:val="17"/>
              </w:rPr>
              <w:t>𝑠</w:t>
            </w:r>
          </w:p>
          <w:p>
            <w:pPr>
              <w:pStyle w:val="TableParagraph"/>
              <w:spacing w:line="168" w:lineRule="auto"/>
              <w:ind w:left="781"/>
              <w:rPr>
                <w:rFonts w:ascii="Cambria Math" w:hAnsi="Cambria Math" w:cs="Cambria Math" w:eastAsia="Cambria Math"/>
                <w:sz w:val="24"/>
                <w:szCs w:val="24"/>
              </w:rPr>
            </w:pPr>
            <w:r>
              <w:rPr>
                <w:rFonts w:ascii="Cambria Math" w:hAnsi="Cambria Math" w:cs="Cambria Math" w:eastAsia="Cambria Math"/>
                <w:sz w:val="24"/>
                <w:szCs w:val="24"/>
              </w:rPr>
              <w:t>𝑃</w:t>
            </w:r>
            <w:r>
              <w:rPr>
                <w:rFonts w:ascii="Cambria Math" w:hAnsi="Cambria Math" w:cs="Cambria Math" w:eastAsia="Cambria Math"/>
                <w:spacing w:val="19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sz w:val="24"/>
                <w:szCs w:val="24"/>
              </w:rPr>
              <w:t>=</w:t>
            </w:r>
            <w:r>
              <w:rPr>
                <w:rFonts w:ascii="Cambria Math" w:hAnsi="Cambria Math" w:cs="Cambria Math" w:eastAsia="Cambria Math"/>
                <w:spacing w:val="13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position w:val="-15"/>
                <w:sz w:val="24"/>
                <w:szCs w:val="24"/>
              </w:rPr>
              <w:t>𝐵</w:t>
            </w:r>
            <w:r>
              <w:rPr>
                <w:rFonts w:ascii="Cambria Math" w:hAnsi="Cambria Math" w:cs="Cambria Math" w:eastAsia="Cambria Math"/>
                <w:spacing w:val="-7"/>
                <w:position w:val="-15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spacing w:val="-1"/>
                <w:sz w:val="24"/>
                <w:szCs w:val="24"/>
              </w:rPr>
              <w:t>l</w:t>
            </w:r>
            <w:r>
              <w:rPr>
                <w:rFonts w:ascii="Cambria Math" w:hAnsi="Cambria Math" w:cs="Cambria Math" w:eastAsia="Cambria Math"/>
                <w:sz w:val="24"/>
                <w:szCs w:val="24"/>
              </w:rPr>
              <w:t>n</w:t>
            </w:r>
            <w:r>
              <w:rPr>
                <w:rFonts w:ascii="Cambria Math" w:hAnsi="Cambria Math" w:cs="Cambria Math" w:eastAsia="Cambria Math"/>
                <w:spacing w:val="-12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w w:val="49"/>
                <w:sz w:val="24"/>
                <w:szCs w:val="24"/>
              </w:rPr>
              <w:t>�</w:t>
            </w:r>
            <w:r>
              <w:rPr>
                <w:rFonts w:ascii="Cambria Math" w:hAnsi="Cambria Math" w:cs="Cambria Math" w:eastAsia="Cambria Math"/>
                <w:sz w:val="24"/>
                <w:szCs w:val="24"/>
              </w:rPr>
              <w:t>1 +  </w:t>
            </w:r>
            <w:r>
              <w:rPr>
                <w:rFonts w:ascii="Cambria Math" w:hAnsi="Cambria Math" w:cs="Cambria Math" w:eastAsia="Cambria Math"/>
                <w:spacing w:val="5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position w:val="-15"/>
                <w:sz w:val="24"/>
                <w:szCs w:val="24"/>
              </w:rPr>
              <w:t>𝐶 </w:t>
            </w:r>
            <w:r>
              <w:rPr>
                <w:rFonts w:ascii="Cambria Math" w:hAnsi="Cambria Math" w:cs="Cambria Math" w:eastAsia="Cambria Math"/>
                <w:spacing w:val="16"/>
                <w:position w:val="-15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w w:val="49"/>
                <w:sz w:val="24"/>
                <w:szCs w:val="24"/>
              </w:rPr>
              <w:t>�</w:t>
            </w:r>
          </w:p>
        </w:tc>
      </w:tr>
    </w:tbl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7"/>
        <w:rPr>
          <w:i/>
          <w:sz w:val="27"/>
        </w:rPr>
      </w:pPr>
    </w:p>
    <w:p>
      <w:pPr>
        <w:spacing w:before="0"/>
        <w:ind w:left="440" w:right="0" w:firstLine="0"/>
        <w:jc w:val="both"/>
        <w:rPr>
          <w:i/>
          <w:sz w:val="24"/>
        </w:rPr>
      </w:pPr>
      <w:r>
        <w:rPr/>
        <w:pict>
          <v:rect style="position:absolute;margin-left:426.899994pt;margin-top:-69.616875pt;width:8.221pt;height:.78pt;mso-position-horizontal-relative:page;mso-position-vertical-relative:paragraph;z-index:-34955264" filled="true" fillcolor="#000000" stroked="false">
            <v:fill type="solid"/>
            <w10:wrap type="none"/>
          </v:rect>
        </w:pict>
      </w:r>
      <w:r>
        <w:rPr/>
        <w:pict>
          <v:rect style="position:absolute;margin-left:475.980011pt;margin-top:-69.616875pt;width:18.779pt;height:.78pt;mso-position-horizontal-relative:page;mso-position-vertical-relative:paragraph;z-index:-34954752" filled="true" fillcolor="#000000" stroked="false">
            <v:fill type="solid"/>
            <w10:wrap type="none"/>
          </v:rect>
        </w:pict>
      </w:r>
      <w:bookmarkStart w:name="3.3.3 Shaped-charge jet penetration" w:id="100"/>
      <w:bookmarkEnd w:id="100"/>
      <w:r>
        <w:rPr/>
      </w:r>
      <w:r>
        <w:rPr>
          <w:i/>
          <w:sz w:val="24"/>
        </w:rPr>
        <w:t>3.3.3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Shaped-charge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jet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penetration</w:t>
      </w:r>
    </w:p>
    <w:p>
      <w:pPr>
        <w:pStyle w:val="BodyText"/>
        <w:spacing w:before="7"/>
        <w:rPr>
          <w:i/>
          <w:sz w:val="22"/>
        </w:rPr>
      </w:pPr>
    </w:p>
    <w:p>
      <w:pPr>
        <w:pStyle w:val="BodyText"/>
        <w:spacing w:line="480" w:lineRule="auto" w:before="1"/>
        <w:ind w:left="439" w:right="256" w:firstLine="720"/>
        <w:jc w:val="both"/>
      </w:pPr>
      <w:r>
        <w:rPr/>
        <w:t>For two centuries, scientific understanding of terminal ballistics depended on</w:t>
      </w:r>
      <w:r>
        <w:rPr>
          <w:spacing w:val="1"/>
        </w:rPr>
        <w:t> </w:t>
      </w:r>
      <w:r>
        <w:rPr/>
        <w:t>empirically</w:t>
      </w:r>
      <w:r>
        <w:rPr>
          <w:spacing w:val="1"/>
        </w:rPr>
        <w:t> </w:t>
      </w:r>
      <w:r>
        <w:rPr/>
        <w:t>derived</w:t>
      </w:r>
      <w:r>
        <w:rPr>
          <w:spacing w:val="1"/>
        </w:rPr>
        <w:t> </w:t>
      </w:r>
      <w:r>
        <w:rPr/>
        <w:t>relationships,</w:t>
      </w:r>
      <w:r>
        <w:rPr>
          <w:spacing w:val="1"/>
        </w:rPr>
        <w:t> </w:t>
      </w:r>
      <w:r>
        <w:rPr/>
        <w:t>primarily</w:t>
      </w:r>
      <w:r>
        <w:rPr>
          <w:spacing w:val="1"/>
        </w:rPr>
        <w:t> </w:t>
      </w:r>
      <w:r>
        <w:rPr/>
        <w:t>between</w:t>
      </w:r>
      <w:r>
        <w:rPr>
          <w:spacing w:val="1"/>
        </w:rPr>
        <w:t> </w:t>
      </w:r>
      <w:r>
        <w:rPr/>
        <w:t>impact</w:t>
      </w:r>
      <w:r>
        <w:rPr>
          <w:spacing w:val="1"/>
        </w:rPr>
        <w:t> </w:t>
      </w:r>
      <w:r>
        <w:rPr/>
        <w:t>velocity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penetration</w:t>
      </w:r>
      <w:r>
        <w:rPr>
          <w:spacing w:val="-57"/>
        </w:rPr>
        <w:t> </w:t>
      </w:r>
      <w:r>
        <w:rPr/>
        <w:t>depth,</w:t>
      </w:r>
      <w:r>
        <w:rPr>
          <w:spacing w:val="-10"/>
        </w:rPr>
        <w:t> </w:t>
      </w:r>
      <w:r>
        <w:rPr/>
        <w:t>for</w:t>
      </w:r>
      <w:r>
        <w:rPr>
          <w:spacing w:val="-8"/>
        </w:rPr>
        <w:t> </w:t>
      </w:r>
      <w:r>
        <w:rPr/>
        <w:t>various</w:t>
      </w:r>
      <w:r>
        <w:rPr>
          <w:spacing w:val="-8"/>
        </w:rPr>
        <w:t> </w:t>
      </w:r>
      <w:r>
        <w:rPr/>
        <w:t>projectile</w:t>
      </w:r>
      <w:r>
        <w:rPr>
          <w:spacing w:val="-8"/>
        </w:rPr>
        <w:t> </w:t>
      </w:r>
      <w:r>
        <w:rPr/>
        <w:t>and</w:t>
      </w:r>
      <w:r>
        <w:rPr>
          <w:spacing w:val="-9"/>
        </w:rPr>
        <w:t> </w:t>
      </w:r>
      <w:r>
        <w:rPr/>
        <w:t>target</w:t>
      </w:r>
      <w:r>
        <w:rPr>
          <w:spacing w:val="-9"/>
        </w:rPr>
        <w:t> </w:t>
      </w:r>
      <w:r>
        <w:rPr/>
        <w:t>combinations.</w:t>
      </w:r>
      <w:r>
        <w:rPr>
          <w:spacing w:val="43"/>
        </w:rPr>
        <w:t> </w:t>
      </w:r>
      <w:r>
        <w:rPr/>
        <w:t>During</w:t>
      </w:r>
      <w:r>
        <w:rPr>
          <w:spacing w:val="-9"/>
        </w:rPr>
        <w:t> </w:t>
      </w:r>
      <w:r>
        <w:rPr/>
        <w:t>World</w:t>
      </w:r>
      <w:r>
        <w:rPr>
          <w:spacing w:val="-7"/>
        </w:rPr>
        <w:t> </w:t>
      </w:r>
      <w:r>
        <w:rPr/>
        <w:t>War</w:t>
      </w:r>
      <w:r>
        <w:rPr>
          <w:spacing w:val="-9"/>
        </w:rPr>
        <w:t> </w:t>
      </w:r>
      <w:r>
        <w:rPr/>
        <w:t>II,</w:t>
      </w:r>
      <w:r>
        <w:rPr>
          <w:spacing w:val="-9"/>
        </w:rPr>
        <w:t> </w:t>
      </w:r>
      <w:r>
        <w:rPr/>
        <w:t>American</w:t>
      </w:r>
      <w:r>
        <w:rPr>
          <w:spacing w:val="-10"/>
        </w:rPr>
        <w:t> </w:t>
      </w:r>
      <w:r>
        <w:rPr/>
        <w:t>and</w:t>
      </w:r>
      <w:r>
        <w:rPr>
          <w:spacing w:val="-58"/>
        </w:rPr>
        <w:t> </w:t>
      </w:r>
      <w:r>
        <w:rPr/>
        <w:t>British</w:t>
      </w:r>
      <w:r>
        <w:rPr>
          <w:spacing w:val="1"/>
        </w:rPr>
        <w:t> </w:t>
      </w:r>
      <w:r>
        <w:rPr/>
        <w:t>scientists</w:t>
      </w:r>
      <w:r>
        <w:rPr>
          <w:spacing w:val="1"/>
        </w:rPr>
        <w:t> </w:t>
      </w:r>
      <w:r>
        <w:rPr/>
        <w:t>independently</w:t>
      </w:r>
      <w:r>
        <w:rPr>
          <w:spacing w:val="1"/>
        </w:rPr>
        <w:t> </w:t>
      </w:r>
      <w:r>
        <w:rPr/>
        <w:t>researched</w:t>
      </w:r>
      <w:r>
        <w:rPr>
          <w:spacing w:val="1"/>
        </w:rPr>
        <w:t> </w:t>
      </w:r>
      <w:r>
        <w:rPr/>
        <w:t>shaped-charge</w:t>
      </w:r>
      <w:r>
        <w:rPr>
          <w:spacing w:val="1"/>
        </w:rPr>
        <w:t> </w:t>
      </w:r>
      <w:r>
        <w:rPr/>
        <w:t>jet</w:t>
      </w:r>
      <w:r>
        <w:rPr>
          <w:spacing w:val="1"/>
        </w:rPr>
        <w:t> </w:t>
      </w:r>
      <w:r>
        <w:rPr/>
        <w:t>penetration,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considered a jet with constant velocity, length and density.</w:t>
      </w:r>
      <w:r>
        <w:rPr>
          <w:spacing w:val="1"/>
        </w:rPr>
        <w:t> </w:t>
      </w:r>
      <w:r>
        <w:rPr/>
        <w:t>A jet referred to the force of</w:t>
      </w:r>
      <w:r>
        <w:rPr>
          <w:spacing w:val="1"/>
        </w:rPr>
        <w:t> </w:t>
      </w:r>
      <w:r>
        <w:rPr/>
        <w:t>the explosive charge such as those observed in projectiles with lined hollow noses, like</w:t>
      </w:r>
      <w:r>
        <w:rPr>
          <w:spacing w:val="1"/>
        </w:rPr>
        <w:t> </w:t>
      </w:r>
      <w:r>
        <w:rPr/>
        <w:t>bazookas</w:t>
      </w:r>
      <w:r>
        <w:rPr>
          <w:spacing w:val="-6"/>
        </w:rPr>
        <w:t> </w:t>
      </w:r>
      <w:r>
        <w:rPr/>
        <w:t>used</w:t>
      </w:r>
      <w:r>
        <w:rPr>
          <w:spacing w:val="-6"/>
        </w:rPr>
        <w:t> </w:t>
      </w:r>
      <w:r>
        <w:rPr/>
        <w:t>by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Americans</w:t>
      </w:r>
      <w:r>
        <w:rPr>
          <w:spacing w:val="-5"/>
        </w:rPr>
        <w:t> </w:t>
      </w:r>
      <w:r>
        <w:rPr/>
        <w:t>and</w:t>
      </w:r>
      <w:r>
        <w:rPr>
          <w:spacing w:val="-6"/>
        </w:rPr>
        <w:t> </w:t>
      </w:r>
      <w:r>
        <w:rPr/>
        <w:t>Germans.</w:t>
      </w:r>
      <w:r>
        <w:rPr>
          <w:spacing w:val="49"/>
        </w:rPr>
        <w:t> </w:t>
      </w:r>
      <w:r>
        <w:rPr/>
        <w:t>In</w:t>
      </w:r>
      <w:r>
        <w:rPr>
          <w:spacing w:val="-6"/>
        </w:rPr>
        <w:t> </w:t>
      </w:r>
      <w:r>
        <w:rPr/>
        <w:t>this</w:t>
      </w:r>
      <w:r>
        <w:rPr>
          <w:spacing w:val="-6"/>
        </w:rPr>
        <w:t> </w:t>
      </w:r>
      <w:r>
        <w:rPr/>
        <w:t>style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projectile,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impact</w:t>
      </w:r>
      <w:r>
        <w:rPr>
          <w:spacing w:val="-5"/>
        </w:rPr>
        <w:t> </w:t>
      </w:r>
      <w:r>
        <w:rPr/>
        <w:t>event</w:t>
      </w:r>
      <w:r>
        <w:rPr>
          <w:spacing w:val="-58"/>
        </w:rPr>
        <w:t> </w:t>
      </w:r>
      <w:r>
        <w:rPr>
          <w:spacing w:val="-1"/>
        </w:rPr>
        <w:t>caused</w:t>
      </w:r>
      <w:r>
        <w:rPr>
          <w:spacing w:val="-14"/>
        </w:rPr>
        <w:t> </w:t>
      </w:r>
      <w:r>
        <w:rPr>
          <w:spacing w:val="-1"/>
        </w:rPr>
        <w:t>the</w:t>
      </w:r>
      <w:r>
        <w:rPr>
          <w:spacing w:val="-12"/>
        </w:rPr>
        <w:t> </w:t>
      </w:r>
      <w:r>
        <w:rPr>
          <w:spacing w:val="-1"/>
        </w:rPr>
        <w:t>charge</w:t>
      </w:r>
      <w:r>
        <w:rPr>
          <w:spacing w:val="-12"/>
        </w:rPr>
        <w:t> </w:t>
      </w:r>
      <w:r>
        <w:rPr>
          <w:spacing w:val="-1"/>
        </w:rPr>
        <w:t>detonation</w:t>
      </w:r>
      <w:r>
        <w:rPr>
          <w:spacing w:val="-11"/>
        </w:rPr>
        <w:t> </w:t>
      </w:r>
      <w:r>
        <w:rPr/>
        <w:t>which</w:t>
      </w:r>
      <w:r>
        <w:rPr>
          <w:spacing w:val="-11"/>
        </w:rPr>
        <w:t> </w:t>
      </w:r>
      <w:r>
        <w:rPr/>
        <w:t>created</w:t>
      </w:r>
      <w:r>
        <w:rPr>
          <w:spacing w:val="-12"/>
        </w:rPr>
        <w:t> </w:t>
      </w:r>
      <w:r>
        <w:rPr/>
        <w:t>a</w:t>
      </w:r>
      <w:r>
        <w:rPr>
          <w:spacing w:val="-12"/>
        </w:rPr>
        <w:t> </w:t>
      </w:r>
      <w:r>
        <w:rPr/>
        <w:t>high</w:t>
      </w:r>
      <w:r>
        <w:rPr>
          <w:spacing w:val="-13"/>
        </w:rPr>
        <w:t> </w:t>
      </w:r>
      <w:r>
        <w:rPr/>
        <w:t>speed</w:t>
      </w:r>
      <w:r>
        <w:rPr>
          <w:spacing w:val="-14"/>
        </w:rPr>
        <w:t> </w:t>
      </w:r>
      <w:r>
        <w:rPr/>
        <w:t>jet,</w:t>
      </w:r>
      <w:r>
        <w:rPr>
          <w:spacing w:val="-11"/>
        </w:rPr>
        <w:t> </w:t>
      </w:r>
      <w:r>
        <w:rPr/>
        <w:t>or</w:t>
      </w:r>
      <w:r>
        <w:rPr>
          <w:spacing w:val="-12"/>
        </w:rPr>
        <w:t> </w:t>
      </w:r>
      <w:r>
        <w:rPr/>
        <w:t>long,</w:t>
      </w:r>
      <w:r>
        <w:rPr>
          <w:spacing w:val="-14"/>
        </w:rPr>
        <w:t> </w:t>
      </w:r>
      <w:r>
        <w:rPr/>
        <w:t>small-diameter</w:t>
      </w:r>
      <w:r>
        <w:rPr>
          <w:spacing w:val="-11"/>
        </w:rPr>
        <w:t> </w:t>
      </w:r>
      <w:r>
        <w:rPr/>
        <w:t>stream</w:t>
      </w:r>
      <w:r>
        <w:rPr>
          <w:spacing w:val="-58"/>
        </w:rPr>
        <w:t> </w:t>
      </w:r>
      <w:r>
        <w:rPr/>
        <w:t>of</w:t>
      </w:r>
      <w:r>
        <w:rPr>
          <w:spacing w:val="-3"/>
        </w:rPr>
        <w:t> </w:t>
      </w:r>
      <w:r>
        <w:rPr/>
        <w:t>steel</w:t>
      </w:r>
      <w:r>
        <w:rPr>
          <w:spacing w:val="-2"/>
        </w:rPr>
        <w:t> </w:t>
      </w:r>
      <w:r>
        <w:rPr/>
        <w:t>from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steel</w:t>
      </w:r>
      <w:r>
        <w:rPr>
          <w:spacing w:val="-2"/>
        </w:rPr>
        <w:t> </w:t>
      </w:r>
      <w:r>
        <w:rPr/>
        <w:t>cone</w:t>
      </w:r>
      <w:r>
        <w:rPr>
          <w:spacing w:val="-2"/>
        </w:rPr>
        <w:t> </w:t>
      </w:r>
      <w:r>
        <w:rPr/>
        <w:t>liner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projectile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/>
        <w:t>effectively</w:t>
      </w:r>
      <w:r>
        <w:rPr>
          <w:spacing w:val="-2"/>
        </w:rPr>
        <w:t> </w:t>
      </w:r>
      <w:r>
        <w:rPr/>
        <w:t>perforated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target</w:t>
      </w:r>
      <w:r>
        <w:rPr>
          <w:spacing w:val="-3"/>
        </w:rPr>
        <w:t> </w:t>
      </w:r>
      <w:r>
        <w:rPr/>
        <w:t>with</w:t>
      </w:r>
      <w:r>
        <w:rPr>
          <w:spacing w:val="-58"/>
        </w:rPr>
        <w:t> </w:t>
      </w:r>
      <w:r>
        <w:rPr/>
        <w:t>a slower velocities than previously developed antitank projectiles [30]. Penetration by jets</w:t>
      </w:r>
      <w:r>
        <w:rPr>
          <w:spacing w:val="-57"/>
        </w:rPr>
        <w:t> </w:t>
      </w:r>
      <w:r>
        <w:rPr/>
        <w:t>later became known as long rod penetration and an extensive body of work exists in</w:t>
      </w:r>
      <w:r>
        <w:rPr>
          <w:spacing w:val="1"/>
        </w:rPr>
        <w:t> </w:t>
      </w:r>
      <w:r>
        <w:rPr/>
        <w:t>examining long rod penetration impacts.</w:t>
      </w:r>
      <w:r>
        <w:rPr>
          <w:spacing w:val="1"/>
        </w:rPr>
        <w:t> </w:t>
      </w:r>
      <w:r>
        <w:rPr/>
        <w:t>Long rod penetration is outside the scope of this</w:t>
      </w:r>
      <w:r>
        <w:rPr>
          <w:spacing w:val="-57"/>
        </w:rPr>
        <w:t> </w:t>
      </w:r>
      <w:r>
        <w:rPr/>
        <w:t>research.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Heading9"/>
        <w:numPr>
          <w:ilvl w:val="1"/>
          <w:numId w:val="17"/>
        </w:numPr>
        <w:tabs>
          <w:tab w:pos="800" w:val="left" w:leader="none"/>
        </w:tabs>
        <w:spacing w:line="240" w:lineRule="auto" w:before="60" w:after="0"/>
        <w:ind w:left="800" w:right="0" w:hanging="360"/>
        <w:jc w:val="both"/>
      </w:pPr>
      <w:bookmarkStart w:name="_TOC_250057" w:id="101"/>
      <w:bookmarkStart w:name="3.4 Impulsive loading" w:id="102"/>
      <w:r>
        <w:rPr>
          <w:b w:val="0"/>
        </w:rPr>
      </w:r>
      <w:bookmarkEnd w:id="102"/>
      <w:bookmarkStart w:name="3.4 Impulsive loading" w:id="103"/>
      <w:r>
        <w:rPr/>
        <w:t>I</w:t>
      </w:r>
      <w:r>
        <w:rPr/>
        <w:t>mpulsive</w:t>
      </w:r>
      <w:r>
        <w:rPr>
          <w:spacing w:val="-7"/>
        </w:rPr>
        <w:t> </w:t>
      </w:r>
      <w:bookmarkEnd w:id="101"/>
      <w:r>
        <w:rPr/>
        <w:t>loading</w:t>
      </w:r>
    </w:p>
    <w:p>
      <w:pPr>
        <w:pStyle w:val="BodyText"/>
        <w:spacing w:before="6"/>
        <w:rPr>
          <w:b/>
          <w:sz w:val="22"/>
        </w:rPr>
      </w:pPr>
    </w:p>
    <w:p>
      <w:pPr>
        <w:pStyle w:val="BodyText"/>
        <w:spacing w:line="480" w:lineRule="auto"/>
        <w:ind w:left="439" w:right="256" w:firstLine="720"/>
        <w:jc w:val="both"/>
      </w:pPr>
      <w:r>
        <w:rPr/>
        <w:t>Solid materials deform under the stresses they experience during loading.</w:t>
      </w:r>
      <w:r>
        <w:rPr>
          <w:spacing w:val="1"/>
        </w:rPr>
        <w:t> </w:t>
      </w:r>
      <w:r>
        <w:rPr/>
        <w:t>In a</w:t>
      </w:r>
      <w:r>
        <w:rPr>
          <w:spacing w:val="1"/>
        </w:rPr>
        <w:t> </w:t>
      </w:r>
      <w:r>
        <w:rPr/>
        <w:t>ballistic event, there is an impulsive load that result in large applied pressures over a very</w:t>
      </w:r>
      <w:r>
        <w:rPr>
          <w:spacing w:val="1"/>
        </w:rPr>
        <w:t> </w:t>
      </w:r>
      <w:r>
        <w:rPr/>
        <w:t>short duration.</w:t>
      </w:r>
      <w:r>
        <w:rPr>
          <w:spacing w:val="1"/>
        </w:rPr>
        <w:t> </w:t>
      </w:r>
      <w:r>
        <w:rPr/>
        <w:t>Structural and material response to impulsive loading can be a very</w:t>
      </w:r>
      <w:r>
        <w:rPr>
          <w:spacing w:val="1"/>
        </w:rPr>
        <w:t> </w:t>
      </w:r>
      <w:r>
        <w:rPr/>
        <w:t>complex phenomenon.</w:t>
      </w:r>
      <w:r>
        <w:rPr>
          <w:spacing w:val="1"/>
        </w:rPr>
        <w:t> </w:t>
      </w:r>
      <w:r>
        <w:rPr/>
        <w:t>Conceptually, impulsive loading can be characterized into three</w:t>
      </w:r>
      <w:r>
        <w:rPr>
          <w:spacing w:val="1"/>
        </w:rPr>
        <w:t> </w:t>
      </w:r>
      <w:r>
        <w:rPr/>
        <w:t>regimes: 1) stresses below the elastic limit; 2) increased stresses resulting in plastic</w:t>
      </w:r>
      <w:r>
        <w:rPr>
          <w:spacing w:val="1"/>
        </w:rPr>
        <w:t> </w:t>
      </w:r>
      <w:r>
        <w:rPr/>
        <w:t>behavior;</w:t>
      </w:r>
      <w:r>
        <w:rPr>
          <w:spacing w:val="-1"/>
        </w:rPr>
        <w:t> </w:t>
      </w:r>
      <w:r>
        <w:rPr/>
        <w:t>and 3)</w:t>
      </w:r>
      <w:r>
        <w:rPr>
          <w:spacing w:val="-1"/>
        </w:rPr>
        <w:t> </w:t>
      </w:r>
      <w:r>
        <w:rPr/>
        <w:t>very high stresses</w:t>
      </w:r>
      <w:r>
        <w:rPr>
          <w:spacing w:val="-2"/>
        </w:rPr>
        <w:t> </w:t>
      </w:r>
      <w:r>
        <w:rPr/>
        <w:t>where hydrodynamic</w:t>
      </w:r>
      <w:r>
        <w:rPr>
          <w:spacing w:val="-1"/>
        </w:rPr>
        <w:t> </w:t>
      </w:r>
      <w:r>
        <w:rPr/>
        <w:t>behavior</w:t>
      </w:r>
      <w:r>
        <w:rPr>
          <w:spacing w:val="-1"/>
        </w:rPr>
        <w:t> </w:t>
      </w:r>
      <w:r>
        <w:rPr/>
        <w:t>is observed.</w:t>
      </w:r>
    </w:p>
    <w:p>
      <w:pPr>
        <w:pStyle w:val="BodyText"/>
        <w:spacing w:line="480" w:lineRule="auto" w:before="160"/>
        <w:ind w:left="439" w:right="257" w:firstLine="720"/>
        <w:jc w:val="both"/>
      </w:pPr>
      <w:r>
        <w:rPr/>
        <w:t>Geometry</w:t>
      </w:r>
      <w:r>
        <w:rPr>
          <w:spacing w:val="-12"/>
        </w:rPr>
        <w:t> </w:t>
      </w:r>
      <w:r>
        <w:rPr/>
        <w:t>and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material</w:t>
      </w:r>
      <w:r>
        <w:rPr>
          <w:spacing w:val="-10"/>
        </w:rPr>
        <w:t> </w:t>
      </w:r>
      <w:r>
        <w:rPr/>
        <w:t>properties,</w:t>
      </w:r>
      <w:r>
        <w:rPr>
          <w:spacing w:val="-11"/>
        </w:rPr>
        <w:t> </w:t>
      </w:r>
      <w:r>
        <w:rPr/>
        <w:t>both</w:t>
      </w:r>
      <w:r>
        <w:rPr>
          <w:spacing w:val="-12"/>
        </w:rPr>
        <w:t> </w:t>
      </w:r>
      <w:r>
        <w:rPr/>
        <w:t>target</w:t>
      </w:r>
      <w:r>
        <w:rPr>
          <w:spacing w:val="-11"/>
        </w:rPr>
        <w:t> </w:t>
      </w:r>
      <w:r>
        <w:rPr/>
        <w:t>and</w:t>
      </w:r>
      <w:r>
        <w:rPr>
          <w:spacing w:val="-11"/>
        </w:rPr>
        <w:t> </w:t>
      </w:r>
      <w:r>
        <w:rPr/>
        <w:t>projectile,</w:t>
      </w:r>
      <w:r>
        <w:rPr>
          <w:spacing w:val="-12"/>
        </w:rPr>
        <w:t> </w:t>
      </w:r>
      <w:r>
        <w:rPr/>
        <w:t>all</w:t>
      </w:r>
      <w:r>
        <w:rPr>
          <w:spacing w:val="-10"/>
        </w:rPr>
        <w:t> </w:t>
      </w:r>
      <w:r>
        <w:rPr/>
        <w:t>play</w:t>
      </w:r>
      <w:r>
        <w:rPr>
          <w:spacing w:val="-11"/>
        </w:rPr>
        <w:t> </w:t>
      </w:r>
      <w:r>
        <w:rPr/>
        <w:t>significant</w:t>
      </w:r>
      <w:r>
        <w:rPr>
          <w:spacing w:val="-58"/>
        </w:rPr>
        <w:t> </w:t>
      </w:r>
      <w:r>
        <w:rPr/>
        <w:t>roles</w:t>
      </w:r>
      <w:r>
        <w:rPr>
          <w:spacing w:val="-13"/>
        </w:rPr>
        <w:t> </w:t>
      </w:r>
      <w:r>
        <w:rPr/>
        <w:t>in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resulting</w:t>
      </w:r>
      <w:r>
        <w:rPr>
          <w:spacing w:val="-11"/>
        </w:rPr>
        <w:t> </w:t>
      </w:r>
      <w:r>
        <w:rPr/>
        <w:t>effects</w:t>
      </w:r>
      <w:r>
        <w:rPr>
          <w:spacing w:val="-11"/>
        </w:rPr>
        <w:t> </w:t>
      </w:r>
      <w:r>
        <w:rPr/>
        <w:t>of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many</w:t>
      </w:r>
      <w:r>
        <w:rPr>
          <w:spacing w:val="-11"/>
        </w:rPr>
        <w:t> </w:t>
      </w:r>
      <w:r>
        <w:rPr/>
        <w:t>contributing</w:t>
      </w:r>
      <w:r>
        <w:rPr>
          <w:spacing w:val="-11"/>
        </w:rPr>
        <w:t> </w:t>
      </w:r>
      <w:r>
        <w:rPr/>
        <w:t>factors</w:t>
      </w:r>
      <w:r>
        <w:rPr>
          <w:spacing w:val="-12"/>
        </w:rPr>
        <w:t> </w:t>
      </w:r>
      <w:r>
        <w:rPr/>
        <w:t>in</w:t>
      </w:r>
      <w:r>
        <w:rPr>
          <w:spacing w:val="-12"/>
        </w:rPr>
        <w:t> </w:t>
      </w:r>
      <w:r>
        <w:rPr/>
        <w:t>an</w:t>
      </w:r>
      <w:r>
        <w:rPr>
          <w:spacing w:val="-12"/>
        </w:rPr>
        <w:t> </w:t>
      </w:r>
      <w:r>
        <w:rPr/>
        <w:t>impulsive</w:t>
      </w:r>
      <w:r>
        <w:rPr>
          <w:spacing w:val="-11"/>
        </w:rPr>
        <w:t> </w:t>
      </w:r>
      <w:r>
        <w:rPr/>
        <w:t>loading</w:t>
      </w:r>
      <w:r>
        <w:rPr>
          <w:spacing w:val="-11"/>
        </w:rPr>
        <w:t> </w:t>
      </w:r>
      <w:r>
        <w:rPr/>
        <w:t>event.</w:t>
      </w:r>
      <w:r>
        <w:rPr>
          <w:spacing w:val="-58"/>
        </w:rPr>
        <w:t> </w:t>
      </w:r>
      <w:r>
        <w:rPr/>
        <w:t>Materials may behave elastically if loading conditions apply stresses below their material</w:t>
      </w:r>
      <w:r>
        <w:rPr>
          <w:spacing w:val="1"/>
        </w:rPr>
        <w:t> </w:t>
      </w:r>
      <w:r>
        <w:rPr/>
        <w:t>yield point.</w:t>
      </w:r>
      <w:r>
        <w:rPr>
          <w:spacing w:val="1"/>
        </w:rPr>
        <w:t> </w:t>
      </w:r>
      <w:r>
        <w:rPr/>
        <w:t>As loading increases and surpasses the yield and ultimate strengths of the</w:t>
      </w:r>
      <w:r>
        <w:rPr>
          <w:spacing w:val="1"/>
        </w:rPr>
        <w:t> </w:t>
      </w:r>
      <w:r>
        <w:rPr/>
        <w:t>material, deformations become plastic with large deformations. If the deformations are</w:t>
      </w:r>
      <w:r>
        <w:rPr>
          <w:spacing w:val="1"/>
        </w:rPr>
        <w:t> </w:t>
      </w:r>
      <w:r>
        <w:rPr/>
        <w:t>large enough, fracture and rupture of the target, and possibly the projectile, will result.</w:t>
      </w:r>
      <w:r>
        <w:rPr>
          <w:spacing w:val="1"/>
        </w:rPr>
        <w:t> </w:t>
      </w:r>
      <w:r>
        <w:rPr/>
        <w:t>In</w:t>
      </w:r>
      <w:r>
        <w:rPr>
          <w:spacing w:val="-57"/>
        </w:rPr>
        <w:t> </w:t>
      </w:r>
      <w:r>
        <w:rPr/>
        <w:t>the third regime, with stresses of even higher intensity, pressures may exceed the material</w:t>
      </w:r>
      <w:r>
        <w:rPr>
          <w:spacing w:val="-57"/>
        </w:rPr>
        <w:t> </w:t>
      </w:r>
      <w:r>
        <w:rPr/>
        <w:t>strength by multiple orders of magnitude and the material behavior is viewed to act</w:t>
      </w:r>
      <w:r>
        <w:rPr>
          <w:spacing w:val="1"/>
        </w:rPr>
        <w:t> </w:t>
      </w:r>
      <w:r>
        <w:rPr/>
        <w:t>hydrodynamically,</w:t>
      </w:r>
      <w:r>
        <w:rPr>
          <w:spacing w:val="-1"/>
        </w:rPr>
        <w:t> </w:t>
      </w:r>
      <w:r>
        <w:rPr/>
        <w:t>or as</w:t>
      </w:r>
      <w:r>
        <w:rPr>
          <w:spacing w:val="-1"/>
        </w:rPr>
        <w:t> </w:t>
      </w:r>
      <w:r>
        <w:rPr/>
        <w:t>a fluid.</w:t>
      </w:r>
    </w:p>
    <w:p>
      <w:pPr>
        <w:pStyle w:val="BodyText"/>
        <w:spacing w:line="480" w:lineRule="auto" w:before="160"/>
        <w:ind w:left="439" w:right="256" w:firstLine="720"/>
        <w:jc w:val="both"/>
      </w:pPr>
      <w:r>
        <w:rPr/>
        <w:t>Studies</w:t>
      </w:r>
      <w:r>
        <w:rPr>
          <w:spacing w:val="-3"/>
        </w:rPr>
        <w:t> </w:t>
      </w:r>
      <w:r>
        <w:rPr/>
        <w:t>in</w:t>
      </w:r>
      <w:r>
        <w:rPr>
          <w:spacing w:val="-4"/>
        </w:rPr>
        <w:t> </w:t>
      </w:r>
      <w:r>
        <w:rPr/>
        <w:t>impact</w:t>
      </w:r>
      <w:r>
        <w:rPr>
          <w:spacing w:val="-3"/>
        </w:rPr>
        <w:t> </w:t>
      </w:r>
      <w:r>
        <w:rPr/>
        <w:t>dynamics</w:t>
      </w:r>
      <w:r>
        <w:rPr>
          <w:spacing w:val="-2"/>
        </w:rPr>
        <w:t> </w:t>
      </w:r>
      <w:r>
        <w:rPr/>
        <w:t>examine</w:t>
      </w:r>
      <w:r>
        <w:rPr>
          <w:spacing w:val="-2"/>
        </w:rPr>
        <w:t> </w:t>
      </w:r>
      <w:r>
        <w:rPr/>
        <w:t>deformable</w:t>
      </w:r>
      <w:r>
        <w:rPr>
          <w:spacing w:val="-3"/>
        </w:rPr>
        <w:t> </w:t>
      </w:r>
      <w:r>
        <w:rPr/>
        <w:t>bodies</w:t>
      </w:r>
      <w:r>
        <w:rPr>
          <w:spacing w:val="-2"/>
        </w:rPr>
        <w:t> </w:t>
      </w:r>
      <w:r>
        <w:rPr/>
        <w:t>that</w:t>
      </w:r>
      <w:r>
        <w:rPr>
          <w:spacing w:val="-3"/>
        </w:rPr>
        <w:t> </w:t>
      </w:r>
      <w:r>
        <w:rPr/>
        <w:t>experience</w:t>
      </w:r>
      <w:r>
        <w:rPr>
          <w:spacing w:val="-5"/>
        </w:rPr>
        <w:t> </w:t>
      </w:r>
      <w:r>
        <w:rPr/>
        <w:t>a</w:t>
      </w:r>
      <w:r>
        <w:rPr>
          <w:spacing w:val="-2"/>
        </w:rPr>
        <w:t> </w:t>
      </w:r>
      <w:r>
        <w:rPr/>
        <w:t>dynamic</w:t>
      </w:r>
      <w:r>
        <w:rPr>
          <w:spacing w:val="-58"/>
        </w:rPr>
        <w:t> </w:t>
      </w:r>
      <w:r>
        <w:rPr/>
        <w:t>loading at rates that make it necessary to consider inertia effects.</w:t>
      </w:r>
      <w:r>
        <w:rPr>
          <w:spacing w:val="1"/>
        </w:rPr>
        <w:t> </w:t>
      </w:r>
      <w:r>
        <w:rPr/>
        <w:t>In classical mechanics</w:t>
      </w:r>
      <w:r>
        <w:rPr>
          <w:spacing w:val="1"/>
        </w:rPr>
        <w:t> </w:t>
      </w:r>
      <w:r>
        <w:rPr/>
        <w:t>inertia is neglected and stress states are assumed to be uniform throughout the body [61].</w:t>
      </w:r>
      <w:r>
        <w:rPr>
          <w:spacing w:val="1"/>
        </w:rPr>
        <w:t> </w:t>
      </w:r>
      <w:r>
        <w:rPr/>
        <w:t>Material characteristics such as bulk stiffness and shear modulus are typically considered</w:t>
      </w:r>
      <w:r>
        <w:rPr>
          <w:spacing w:val="1"/>
        </w:rPr>
        <w:t> </w:t>
      </w:r>
      <w:r>
        <w:rPr/>
        <w:t>constant.</w:t>
      </w:r>
      <w:r>
        <w:rPr>
          <w:spacing w:val="1"/>
        </w:rPr>
        <w:t> </w:t>
      </w:r>
      <w:r>
        <w:rPr/>
        <w:t>However, for high-pressure impacts such as a ballistic penetration, they may</w:t>
      </w:r>
      <w:r>
        <w:rPr>
          <w:spacing w:val="1"/>
        </w:rPr>
        <w:t> </w:t>
      </w:r>
      <w:r>
        <w:rPr/>
        <w:t>vary.</w:t>
      </w:r>
      <w:r>
        <w:rPr>
          <w:spacing w:val="24"/>
        </w:rPr>
        <w:t> </w:t>
      </w:r>
      <w:r>
        <w:rPr/>
        <w:t>The</w:t>
      </w:r>
      <w:r>
        <w:rPr>
          <w:spacing w:val="42"/>
        </w:rPr>
        <w:t> </w:t>
      </w:r>
      <w:r>
        <w:rPr/>
        <w:t>inclusion</w:t>
      </w:r>
      <w:r>
        <w:rPr>
          <w:spacing w:val="41"/>
        </w:rPr>
        <w:t> </w:t>
      </w:r>
      <w:r>
        <w:rPr/>
        <w:t>of</w:t>
      </w:r>
      <w:r>
        <w:rPr>
          <w:spacing w:val="41"/>
        </w:rPr>
        <w:t> </w:t>
      </w:r>
      <w:r>
        <w:rPr/>
        <w:t>inertia</w:t>
      </w:r>
      <w:r>
        <w:rPr>
          <w:spacing w:val="41"/>
        </w:rPr>
        <w:t> </w:t>
      </w:r>
      <w:r>
        <w:rPr/>
        <w:t>effects</w:t>
      </w:r>
      <w:r>
        <w:rPr>
          <w:spacing w:val="42"/>
        </w:rPr>
        <w:t> </w:t>
      </w:r>
      <w:r>
        <w:rPr/>
        <w:t>and</w:t>
      </w:r>
      <w:r>
        <w:rPr>
          <w:spacing w:val="41"/>
        </w:rPr>
        <w:t> </w:t>
      </w:r>
      <w:r>
        <w:rPr/>
        <w:t>stress</w:t>
      </w:r>
      <w:r>
        <w:rPr>
          <w:spacing w:val="42"/>
        </w:rPr>
        <w:t> </w:t>
      </w:r>
      <w:r>
        <w:rPr/>
        <w:t>wave</w:t>
      </w:r>
      <w:r>
        <w:rPr>
          <w:spacing w:val="41"/>
        </w:rPr>
        <w:t> </w:t>
      </w:r>
      <w:r>
        <w:rPr/>
        <w:t>propagation</w:t>
      </w:r>
      <w:r>
        <w:rPr>
          <w:spacing w:val="42"/>
        </w:rPr>
        <w:t> </w:t>
      </w:r>
      <w:r>
        <w:rPr/>
        <w:t>are</w:t>
      </w:r>
      <w:r>
        <w:rPr>
          <w:spacing w:val="40"/>
        </w:rPr>
        <w:t> </w:t>
      </w:r>
      <w:r>
        <w:rPr/>
        <w:t>key</w:t>
      </w:r>
      <w:r>
        <w:rPr>
          <w:spacing w:val="42"/>
        </w:rPr>
        <w:t> </w:t>
      </w:r>
      <w:r>
        <w:rPr/>
        <w:t>to</w:t>
      </w:r>
      <w:r>
        <w:rPr>
          <w:spacing w:val="41"/>
        </w:rPr>
        <w:t> </w:t>
      </w:r>
      <w:r>
        <w:rPr/>
        <w:t>impact</w:t>
      </w:r>
    </w:p>
    <w:p>
      <w:pPr>
        <w:spacing w:after="0" w:line="480" w:lineRule="auto"/>
        <w:jc w:val="both"/>
        <w:sectPr>
          <w:pgSz w:w="12240" w:h="15840"/>
          <w:pgMar w:header="0" w:footer="1064" w:top="1380" w:bottom="1260" w:left="1720" w:right="1180"/>
        </w:sectPr>
      </w:pPr>
    </w:p>
    <w:p>
      <w:pPr>
        <w:pStyle w:val="BodyText"/>
        <w:spacing w:line="480" w:lineRule="auto" w:before="78"/>
        <w:ind w:left="440" w:right="257"/>
        <w:jc w:val="both"/>
      </w:pPr>
      <w:r>
        <w:rPr/>
        <w:t>dynamics.</w:t>
      </w:r>
      <w:r>
        <w:rPr>
          <w:spacing w:val="36"/>
        </w:rPr>
        <w:t> </w:t>
      </w:r>
      <w:r>
        <w:rPr/>
        <w:t>The</w:t>
      </w:r>
      <w:r>
        <w:rPr>
          <w:spacing w:val="-12"/>
        </w:rPr>
        <w:t> </w:t>
      </w:r>
      <w:r>
        <w:rPr/>
        <w:t>high</w:t>
      </w:r>
      <w:r>
        <w:rPr>
          <w:spacing w:val="-12"/>
        </w:rPr>
        <w:t> </w:t>
      </w:r>
      <w:r>
        <w:rPr/>
        <w:t>strain</w:t>
      </w:r>
      <w:r>
        <w:rPr>
          <w:spacing w:val="-12"/>
        </w:rPr>
        <w:t> </w:t>
      </w:r>
      <w:r>
        <w:rPr/>
        <w:t>rates</w:t>
      </w:r>
      <w:r>
        <w:rPr>
          <w:spacing w:val="-12"/>
        </w:rPr>
        <w:t> </w:t>
      </w:r>
      <w:r>
        <w:rPr/>
        <w:t>have</w:t>
      </w:r>
      <w:r>
        <w:rPr>
          <w:spacing w:val="-13"/>
        </w:rPr>
        <w:t> </w:t>
      </w:r>
      <w:r>
        <w:rPr/>
        <w:t>been</w:t>
      </w:r>
      <w:r>
        <w:rPr>
          <w:spacing w:val="-12"/>
        </w:rPr>
        <w:t> </w:t>
      </w:r>
      <w:r>
        <w:rPr/>
        <w:t>shown</w:t>
      </w:r>
      <w:r>
        <w:rPr>
          <w:spacing w:val="-12"/>
        </w:rPr>
        <w:t> </w:t>
      </w:r>
      <w:r>
        <w:rPr/>
        <w:t>to</w:t>
      </w:r>
      <w:r>
        <w:rPr>
          <w:spacing w:val="-12"/>
        </w:rPr>
        <w:t> </w:t>
      </w:r>
      <w:r>
        <w:rPr/>
        <w:t>produce</w:t>
      </w:r>
      <w:r>
        <w:rPr>
          <w:spacing w:val="-12"/>
        </w:rPr>
        <w:t> </w:t>
      </w:r>
      <w:r>
        <w:rPr/>
        <w:t>an</w:t>
      </w:r>
      <w:r>
        <w:rPr>
          <w:spacing w:val="-12"/>
        </w:rPr>
        <w:t> </w:t>
      </w:r>
      <w:r>
        <w:rPr/>
        <w:t>increased</w:t>
      </w:r>
      <w:r>
        <w:rPr>
          <w:spacing w:val="-12"/>
        </w:rPr>
        <w:t> </w:t>
      </w:r>
      <w:r>
        <w:rPr/>
        <w:t>material</w:t>
      </w:r>
      <w:r>
        <w:rPr>
          <w:spacing w:val="-12"/>
        </w:rPr>
        <w:t> </w:t>
      </w:r>
      <w:r>
        <w:rPr/>
        <w:t>strength</w:t>
      </w:r>
      <w:r>
        <w:rPr>
          <w:spacing w:val="-58"/>
        </w:rPr>
        <w:t> </w:t>
      </w:r>
      <w:r>
        <w:rPr/>
        <w:t>for</w:t>
      </w:r>
      <w:r>
        <w:rPr>
          <w:spacing w:val="-1"/>
        </w:rPr>
        <w:t> </w:t>
      </w:r>
      <w:r>
        <w:rPr/>
        <w:t>dynamic conditions compared to</w:t>
      </w:r>
      <w:r>
        <w:rPr>
          <w:spacing w:val="-2"/>
        </w:rPr>
        <w:t> </w:t>
      </w:r>
      <w:r>
        <w:rPr/>
        <w:t>static loading.</w:t>
      </w:r>
    </w:p>
    <w:p>
      <w:pPr>
        <w:pStyle w:val="BodyText"/>
        <w:spacing w:line="480" w:lineRule="auto" w:before="159"/>
        <w:ind w:left="439" w:right="257" w:firstLine="720"/>
        <w:jc w:val="both"/>
      </w:pPr>
      <w:r>
        <w:rPr/>
        <w:t>The applied pressure of a penetration event leads to compressive stresses on the</w:t>
      </w:r>
      <w:r>
        <w:rPr>
          <w:spacing w:val="1"/>
        </w:rPr>
        <w:t> </w:t>
      </w:r>
      <w:r>
        <w:rPr/>
        <w:t>face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target.</w:t>
      </w:r>
      <w:r>
        <w:rPr>
          <w:spacing w:val="48"/>
        </w:rPr>
        <w:t> </w:t>
      </w:r>
      <w:r>
        <w:rPr/>
        <w:t>The</w:t>
      </w:r>
      <w:r>
        <w:rPr>
          <w:spacing w:val="-6"/>
        </w:rPr>
        <w:t> </w:t>
      </w:r>
      <w:r>
        <w:rPr/>
        <w:t>pressure</w:t>
      </w:r>
      <w:r>
        <w:rPr>
          <w:spacing w:val="-6"/>
        </w:rPr>
        <w:t> </w:t>
      </w:r>
      <w:r>
        <w:rPr/>
        <w:t>causes</w:t>
      </w:r>
      <w:r>
        <w:rPr>
          <w:spacing w:val="-6"/>
        </w:rPr>
        <w:t> </w:t>
      </w:r>
      <w:r>
        <w:rPr/>
        <w:t>an</w:t>
      </w:r>
      <w:r>
        <w:rPr>
          <w:spacing w:val="-6"/>
        </w:rPr>
        <w:t> </w:t>
      </w:r>
      <w:r>
        <w:rPr/>
        <w:t>acceleration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surface</w:t>
      </w:r>
      <w:r>
        <w:rPr>
          <w:spacing w:val="-5"/>
        </w:rPr>
        <w:t> </w:t>
      </w:r>
      <w:r>
        <w:rPr/>
        <w:t>layer</w:t>
      </w:r>
      <w:r>
        <w:rPr>
          <w:spacing w:val="-7"/>
        </w:rPr>
        <w:t> </w:t>
      </w:r>
      <w:r>
        <w:rPr/>
        <w:t>particles,</w:t>
      </w:r>
      <w:r>
        <w:rPr>
          <w:spacing w:val="-6"/>
        </w:rPr>
        <w:t> </w:t>
      </w:r>
      <w:r>
        <w:rPr/>
        <w:t>which</w:t>
      </w:r>
      <w:r>
        <w:rPr>
          <w:spacing w:val="-58"/>
        </w:rPr>
        <w:t> </w:t>
      </w:r>
      <w:r>
        <w:rPr/>
        <w:t>move</w:t>
      </w:r>
      <w:r>
        <w:rPr>
          <w:spacing w:val="-9"/>
        </w:rPr>
        <w:t> </w:t>
      </w:r>
      <w:r>
        <w:rPr/>
        <w:t>towards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second</w:t>
      </w:r>
      <w:r>
        <w:rPr>
          <w:spacing w:val="-9"/>
        </w:rPr>
        <w:t> </w:t>
      </w:r>
      <w:r>
        <w:rPr/>
        <w:t>layer</w:t>
      </w:r>
      <w:r>
        <w:rPr>
          <w:spacing w:val="-8"/>
        </w:rPr>
        <w:t> </w:t>
      </w:r>
      <w:r>
        <w:rPr/>
        <w:t>behind</w:t>
      </w:r>
      <w:r>
        <w:rPr>
          <w:spacing w:val="-9"/>
        </w:rPr>
        <w:t> </w:t>
      </w:r>
      <w:r>
        <w:rPr/>
        <w:t>it,</w:t>
      </w:r>
      <w:r>
        <w:rPr>
          <w:spacing w:val="-9"/>
        </w:rPr>
        <w:t> </w:t>
      </w:r>
      <w:r>
        <w:rPr/>
        <w:t>and</w:t>
      </w:r>
      <w:r>
        <w:rPr>
          <w:spacing w:val="-10"/>
        </w:rPr>
        <w:t> </w:t>
      </w:r>
      <w:r>
        <w:rPr/>
        <w:t>compressive</w:t>
      </w:r>
      <w:r>
        <w:rPr>
          <w:spacing w:val="-8"/>
        </w:rPr>
        <w:t> </w:t>
      </w:r>
      <w:r>
        <w:rPr/>
        <w:t>stresses</w:t>
      </w:r>
      <w:r>
        <w:rPr>
          <w:spacing w:val="-8"/>
        </w:rPr>
        <w:t> </w:t>
      </w:r>
      <w:r>
        <w:rPr/>
        <w:t>build</w:t>
      </w:r>
      <w:r>
        <w:rPr>
          <w:spacing w:val="-10"/>
        </w:rPr>
        <w:t> </w:t>
      </w:r>
      <w:r>
        <w:rPr/>
        <w:t>and</w:t>
      </w:r>
      <w:r>
        <w:rPr>
          <w:spacing w:val="-9"/>
        </w:rPr>
        <w:t> </w:t>
      </w:r>
      <w:r>
        <w:rPr/>
        <w:t>accelerate</w:t>
      </w:r>
      <w:r>
        <w:rPr>
          <w:spacing w:val="-8"/>
        </w:rPr>
        <w:t> </w:t>
      </w:r>
      <w:r>
        <w:rPr/>
        <w:t>the</w:t>
      </w:r>
      <w:r>
        <w:rPr>
          <w:spacing w:val="-58"/>
        </w:rPr>
        <w:t> </w:t>
      </w:r>
      <w:r>
        <w:rPr/>
        <w:t>second layer at an increasing rate. This continues at each successive layer [126].</w:t>
      </w:r>
      <w:r>
        <w:rPr>
          <w:spacing w:val="1"/>
        </w:rPr>
        <w:t> </w:t>
      </w:r>
      <w:r>
        <w:rPr/>
        <w:t>Stress</w:t>
      </w:r>
      <w:r>
        <w:rPr>
          <w:spacing w:val="1"/>
        </w:rPr>
        <w:t> </w:t>
      </w:r>
      <w:r>
        <w:rPr>
          <w:spacing w:val="-1"/>
        </w:rPr>
        <w:t>waves</w:t>
      </w:r>
      <w:r>
        <w:rPr>
          <w:spacing w:val="-15"/>
        </w:rPr>
        <w:t> </w:t>
      </w:r>
      <w:r>
        <w:rPr>
          <w:spacing w:val="-1"/>
        </w:rPr>
        <w:t>develop</w:t>
      </w:r>
      <w:r>
        <w:rPr>
          <w:spacing w:val="-15"/>
        </w:rPr>
        <w:t> </w:t>
      </w:r>
      <w:r>
        <w:rPr>
          <w:spacing w:val="-1"/>
        </w:rPr>
        <w:t>when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compressive</w:t>
      </w:r>
      <w:r>
        <w:rPr>
          <w:spacing w:val="-15"/>
        </w:rPr>
        <w:t> </w:t>
      </w:r>
      <w:r>
        <w:rPr/>
        <w:t>stresses</w:t>
      </w:r>
      <w:r>
        <w:rPr>
          <w:spacing w:val="-14"/>
        </w:rPr>
        <w:t> </w:t>
      </w:r>
      <w:r>
        <w:rPr/>
        <w:t>between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layers</w:t>
      </w:r>
      <w:r>
        <w:rPr>
          <w:spacing w:val="-15"/>
        </w:rPr>
        <w:t> </w:t>
      </w:r>
      <w:r>
        <w:rPr/>
        <w:t>equal</w:t>
      </w:r>
      <w:r>
        <w:rPr>
          <w:spacing w:val="-14"/>
        </w:rPr>
        <w:t> </w:t>
      </w:r>
      <w:r>
        <w:rPr/>
        <w:t>the</w:t>
      </w:r>
      <w:r>
        <w:rPr>
          <w:spacing w:val="-15"/>
        </w:rPr>
        <w:t> </w:t>
      </w:r>
      <w:r>
        <w:rPr/>
        <w:t>applied</w:t>
      </w:r>
      <w:r>
        <w:rPr>
          <w:spacing w:val="-15"/>
        </w:rPr>
        <w:t> </w:t>
      </w:r>
      <w:r>
        <w:rPr/>
        <w:t>pressure</w:t>
      </w:r>
      <w:r>
        <w:rPr>
          <w:spacing w:val="-58"/>
        </w:rPr>
        <w:t> </w:t>
      </w:r>
      <w:r>
        <w:rPr/>
        <w:t>and</w:t>
      </w:r>
      <w:r>
        <w:rPr>
          <w:spacing w:val="-13"/>
        </w:rPr>
        <w:t> </w:t>
      </w:r>
      <w:r>
        <w:rPr/>
        <w:t>these</w:t>
      </w:r>
      <w:r>
        <w:rPr>
          <w:spacing w:val="-12"/>
        </w:rPr>
        <w:t> </w:t>
      </w:r>
      <w:r>
        <w:rPr/>
        <w:t>waves</w:t>
      </w:r>
      <w:r>
        <w:rPr>
          <w:spacing w:val="-12"/>
        </w:rPr>
        <w:t> </w:t>
      </w:r>
      <w:r>
        <w:rPr/>
        <w:t>propagate</w:t>
      </w:r>
      <w:r>
        <w:rPr>
          <w:spacing w:val="-12"/>
        </w:rPr>
        <w:t> </w:t>
      </w:r>
      <w:r>
        <w:rPr/>
        <w:t>through</w:t>
      </w:r>
      <w:r>
        <w:rPr>
          <w:spacing w:val="-13"/>
        </w:rPr>
        <w:t> </w:t>
      </w:r>
      <w:r>
        <w:rPr/>
        <w:t>the</w:t>
      </w:r>
      <w:r>
        <w:rPr>
          <w:spacing w:val="-11"/>
        </w:rPr>
        <w:t> </w:t>
      </w:r>
      <w:r>
        <w:rPr/>
        <w:t>material.</w:t>
      </w:r>
      <w:r>
        <w:rPr>
          <w:spacing w:val="36"/>
        </w:rPr>
        <w:t> </w:t>
      </w:r>
      <w:r>
        <w:rPr/>
        <w:t>In</w:t>
      </w:r>
      <w:r>
        <w:rPr>
          <w:spacing w:val="-12"/>
        </w:rPr>
        <w:t> </w:t>
      </w:r>
      <w:r>
        <w:rPr/>
        <w:t>accordance</w:t>
      </w:r>
      <w:r>
        <w:rPr>
          <w:spacing w:val="-13"/>
        </w:rPr>
        <w:t> </w:t>
      </w:r>
      <w:r>
        <w:rPr/>
        <w:t>with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conservation</w:t>
      </w:r>
      <w:r>
        <w:rPr>
          <w:spacing w:val="-12"/>
        </w:rPr>
        <w:t> </w:t>
      </w:r>
      <w:r>
        <w:rPr/>
        <w:t>laws,</w:t>
      </w:r>
      <w:r>
        <w:rPr>
          <w:spacing w:val="-58"/>
        </w:rPr>
        <w:t> </w:t>
      </w:r>
      <w:r>
        <w:rPr/>
        <w:t>this changes particle velocities as well as the states of strain and stress.</w:t>
      </w:r>
      <w:r>
        <w:rPr>
          <w:spacing w:val="1"/>
        </w:rPr>
        <w:t> </w:t>
      </w:r>
      <w:r>
        <w:rPr/>
        <w:t>At low impact</w:t>
      </w:r>
      <w:r>
        <w:rPr>
          <w:spacing w:val="1"/>
        </w:rPr>
        <w:t> </w:t>
      </w:r>
      <w:r>
        <w:rPr/>
        <w:t>velocities, stresses may be below the material yield strength and thus only develop elastic</w:t>
      </w:r>
      <w:r>
        <w:rPr>
          <w:spacing w:val="-57"/>
        </w:rPr>
        <w:t> </w:t>
      </w:r>
      <w:r>
        <w:rPr/>
        <w:t>stress waves.</w:t>
      </w:r>
      <w:r>
        <w:rPr>
          <w:spacing w:val="1"/>
        </w:rPr>
        <w:t> </w:t>
      </w:r>
      <w:r>
        <w:rPr/>
        <w:t>With elastic waves, particles move but return to their original positions.</w:t>
      </w:r>
      <w:r>
        <w:rPr>
          <w:spacing w:val="1"/>
        </w:rPr>
        <w:t> </w:t>
      </w:r>
      <w:r>
        <w:rPr/>
        <w:t>Inelastic</w:t>
      </w:r>
      <w:r>
        <w:rPr>
          <w:spacing w:val="-1"/>
        </w:rPr>
        <w:t> </w:t>
      </w:r>
      <w:r>
        <w:rPr/>
        <w:t>stress waves</w:t>
      </w:r>
      <w:r>
        <w:rPr>
          <w:spacing w:val="-1"/>
        </w:rPr>
        <w:t> </w:t>
      </w:r>
      <w:r>
        <w:rPr/>
        <w:t>can develop where</w:t>
      </w:r>
      <w:r>
        <w:rPr>
          <w:spacing w:val="-1"/>
        </w:rPr>
        <w:t> </w:t>
      </w:r>
      <w:r>
        <w:rPr/>
        <w:t>stresses</w:t>
      </w:r>
      <w:r>
        <w:rPr>
          <w:spacing w:val="-1"/>
        </w:rPr>
        <w:t> </w:t>
      </w:r>
      <w:r>
        <w:rPr/>
        <w:t>exceed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yield stress.</w:t>
      </w:r>
    </w:p>
    <w:p>
      <w:pPr>
        <w:pStyle w:val="Heading9"/>
        <w:numPr>
          <w:ilvl w:val="1"/>
          <w:numId w:val="17"/>
        </w:numPr>
        <w:tabs>
          <w:tab w:pos="800" w:val="left" w:leader="none"/>
        </w:tabs>
        <w:spacing w:line="240" w:lineRule="auto" w:before="163" w:after="0"/>
        <w:ind w:left="800" w:right="0" w:hanging="361"/>
        <w:jc w:val="both"/>
      </w:pPr>
      <w:bookmarkStart w:name="_TOC_250056" w:id="104"/>
      <w:bookmarkStart w:name="3.5 Shock Waves" w:id="105"/>
      <w:r>
        <w:rPr>
          <w:b w:val="0"/>
        </w:rPr>
      </w:r>
      <w:bookmarkEnd w:id="105"/>
      <w:bookmarkStart w:name="3.5 Shock Waves" w:id="106"/>
      <w:r>
        <w:rPr/>
        <w:t>S</w:t>
      </w:r>
      <w:r>
        <w:rPr/>
        <w:t>hock</w:t>
      </w:r>
      <w:r>
        <w:rPr>
          <w:spacing w:val="-4"/>
        </w:rPr>
        <w:t> </w:t>
      </w:r>
      <w:bookmarkEnd w:id="104"/>
      <w:r>
        <w:rPr/>
        <w:t>Waves</w:t>
      </w:r>
    </w:p>
    <w:p>
      <w:pPr>
        <w:pStyle w:val="BodyText"/>
        <w:spacing w:before="6"/>
        <w:rPr>
          <w:b/>
          <w:sz w:val="22"/>
        </w:rPr>
      </w:pPr>
    </w:p>
    <w:p>
      <w:pPr>
        <w:pStyle w:val="BodyText"/>
        <w:spacing w:line="480" w:lineRule="auto"/>
        <w:ind w:left="439" w:right="256" w:firstLine="720"/>
        <w:jc w:val="both"/>
      </w:pPr>
      <w:r>
        <w:rPr>
          <w:spacing w:val="-1"/>
        </w:rPr>
        <w:t>With</w:t>
      </w:r>
      <w:r>
        <w:rPr>
          <w:spacing w:val="-13"/>
        </w:rPr>
        <w:t> </w:t>
      </w:r>
      <w:r>
        <w:rPr>
          <w:spacing w:val="-1"/>
        </w:rPr>
        <w:t>an</w:t>
      </w:r>
      <w:r>
        <w:rPr>
          <w:spacing w:val="-12"/>
        </w:rPr>
        <w:t> </w:t>
      </w:r>
      <w:r>
        <w:rPr>
          <w:spacing w:val="-1"/>
        </w:rPr>
        <w:t>explosion</w:t>
      </w:r>
      <w:r>
        <w:rPr>
          <w:spacing w:val="-12"/>
        </w:rPr>
        <w:t> </w:t>
      </w:r>
      <w:r>
        <w:rPr/>
        <w:t>or</w:t>
      </w:r>
      <w:r>
        <w:rPr>
          <w:spacing w:val="-13"/>
        </w:rPr>
        <w:t> </w:t>
      </w:r>
      <w:r>
        <w:rPr/>
        <w:t>a</w:t>
      </w:r>
      <w:r>
        <w:rPr>
          <w:spacing w:val="-13"/>
        </w:rPr>
        <w:t> </w:t>
      </w:r>
      <w:r>
        <w:rPr/>
        <w:t>high-velocity</w:t>
      </w:r>
      <w:r>
        <w:rPr>
          <w:spacing w:val="-14"/>
        </w:rPr>
        <w:t> </w:t>
      </w:r>
      <w:r>
        <w:rPr/>
        <w:t>impact,</w:t>
      </w:r>
      <w:r>
        <w:rPr>
          <w:spacing w:val="-13"/>
        </w:rPr>
        <w:t> </w:t>
      </w:r>
      <w:r>
        <w:rPr/>
        <w:t>a</w:t>
      </w:r>
      <w:r>
        <w:rPr>
          <w:spacing w:val="-13"/>
        </w:rPr>
        <w:t> </w:t>
      </w:r>
      <w:r>
        <w:rPr/>
        <w:t>discontinuity</w:t>
      </w:r>
      <w:r>
        <w:rPr>
          <w:spacing w:val="-14"/>
        </w:rPr>
        <w:t> </w:t>
      </w:r>
      <w:r>
        <w:rPr/>
        <w:t>in</w:t>
      </w:r>
      <w:r>
        <w:rPr>
          <w:spacing w:val="-15"/>
        </w:rPr>
        <w:t> </w:t>
      </w:r>
      <w:r>
        <w:rPr/>
        <w:t>pressure</w:t>
      </w:r>
      <w:r>
        <w:rPr>
          <w:spacing w:val="-13"/>
        </w:rPr>
        <w:t> </w:t>
      </w:r>
      <w:r>
        <w:rPr/>
        <w:t>and</w:t>
      </w:r>
      <w:r>
        <w:rPr>
          <w:spacing w:val="-12"/>
        </w:rPr>
        <w:t> </w:t>
      </w:r>
      <w:r>
        <w:rPr/>
        <w:t>particle</w:t>
      </w:r>
      <w:r>
        <w:rPr>
          <w:spacing w:val="-58"/>
        </w:rPr>
        <w:t> </w:t>
      </w:r>
      <w:r>
        <w:rPr/>
        <w:t>velocity is created which propagates through the material and is known as a shock wave</w:t>
      </w:r>
      <w:r>
        <w:rPr>
          <w:spacing w:val="1"/>
        </w:rPr>
        <w:t> </w:t>
      </w:r>
      <w:r>
        <w:rPr/>
        <w:t>[115].</w:t>
      </w:r>
      <w:r>
        <w:rPr>
          <w:spacing w:val="40"/>
        </w:rPr>
        <w:t> </w:t>
      </w:r>
      <w:r>
        <w:rPr/>
        <w:t>Shock</w:t>
      </w:r>
      <w:r>
        <w:rPr>
          <w:spacing w:val="-6"/>
        </w:rPr>
        <w:t> </w:t>
      </w:r>
      <w:r>
        <w:rPr/>
        <w:t>waves</w:t>
      </w:r>
      <w:r>
        <w:rPr>
          <w:spacing w:val="-6"/>
        </w:rPr>
        <w:t> </w:t>
      </w:r>
      <w:r>
        <w:rPr/>
        <w:t>result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a</w:t>
      </w:r>
      <w:r>
        <w:rPr>
          <w:spacing w:val="-5"/>
        </w:rPr>
        <w:t> </w:t>
      </w:r>
      <w:r>
        <w:rPr/>
        <w:t>scenario</w:t>
      </w:r>
      <w:r>
        <w:rPr>
          <w:spacing w:val="-6"/>
        </w:rPr>
        <w:t> </w:t>
      </w:r>
      <w:r>
        <w:rPr/>
        <w:t>where</w:t>
      </w:r>
      <w:r>
        <w:rPr>
          <w:spacing w:val="-7"/>
        </w:rPr>
        <w:t> </w:t>
      </w:r>
      <w:r>
        <w:rPr/>
        <w:t>matter</w:t>
      </w:r>
      <w:r>
        <w:rPr>
          <w:spacing w:val="-6"/>
        </w:rPr>
        <w:t> </w:t>
      </w:r>
      <w:r>
        <w:rPr/>
        <w:t>is</w:t>
      </w:r>
      <w:r>
        <w:rPr>
          <w:spacing w:val="-5"/>
        </w:rPr>
        <w:t> </w:t>
      </w:r>
      <w:r>
        <w:rPr/>
        <w:t>moving</w:t>
      </w:r>
      <w:r>
        <w:rPr>
          <w:spacing w:val="-6"/>
        </w:rPr>
        <w:t> </w:t>
      </w:r>
      <w:r>
        <w:rPr/>
        <w:t>faster</w:t>
      </w:r>
      <w:r>
        <w:rPr>
          <w:spacing w:val="-7"/>
        </w:rPr>
        <w:t> </w:t>
      </w:r>
      <w:r>
        <w:rPr/>
        <w:t>than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speed</w:t>
      </w:r>
      <w:r>
        <w:rPr>
          <w:spacing w:val="-5"/>
        </w:rPr>
        <w:t> </w:t>
      </w:r>
      <w:r>
        <w:rPr/>
        <w:t>that</w:t>
      </w:r>
      <w:r>
        <w:rPr>
          <w:spacing w:val="-58"/>
        </w:rPr>
        <w:t> </w:t>
      </w:r>
      <w:r>
        <w:rPr/>
        <w:t>surrounding matter can displace [25].</w:t>
      </w:r>
      <w:r>
        <w:rPr>
          <w:spacing w:val="1"/>
        </w:rPr>
        <w:t> </w:t>
      </w:r>
      <w:r>
        <w:rPr/>
        <w:t>With a dynamic impact, a shock wave is a moving</w:t>
      </w:r>
      <w:r>
        <w:rPr>
          <w:spacing w:val="1"/>
        </w:rPr>
        <w:t> </w:t>
      </w:r>
      <w:r>
        <w:rPr/>
        <w:t>discontinuity of compressed matter into undisturbed matter.</w:t>
      </w:r>
      <w:r>
        <w:rPr>
          <w:spacing w:val="1"/>
        </w:rPr>
        <w:t> </w:t>
      </w:r>
      <w:r>
        <w:rPr/>
        <w:t>It is a scenario of intense,</w:t>
      </w:r>
      <w:r>
        <w:rPr>
          <w:spacing w:val="1"/>
        </w:rPr>
        <w:t> </w:t>
      </w:r>
      <w:r>
        <w:rPr/>
        <w:t>short-duration loading distinct because of the fast rate of loading compared to a static</w:t>
      </w:r>
      <w:r>
        <w:rPr>
          <w:spacing w:val="1"/>
        </w:rPr>
        <w:t> </w:t>
      </w:r>
      <w:r>
        <w:rPr/>
        <w:t>loading.</w:t>
      </w:r>
    </w:p>
    <w:p>
      <w:pPr>
        <w:pStyle w:val="BodyText"/>
        <w:spacing w:line="480" w:lineRule="auto" w:before="152"/>
        <w:ind w:left="439" w:right="257" w:firstLine="720"/>
        <w:jc w:val="both"/>
      </w:pPr>
      <w:r>
        <w:rPr/>
        <w:t>The shock wave initiates at the impact face when the projectile strikes the target</w:t>
      </w:r>
      <w:r>
        <w:rPr>
          <w:spacing w:val="1"/>
        </w:rPr>
        <w:t> </w:t>
      </w:r>
      <w:r>
        <w:rPr/>
        <w:t>and</w:t>
      </w:r>
      <w:r>
        <w:rPr>
          <w:spacing w:val="-12"/>
        </w:rPr>
        <w:t> </w:t>
      </w:r>
      <w:r>
        <w:rPr/>
        <w:t>moves</w:t>
      </w:r>
      <w:r>
        <w:rPr>
          <w:spacing w:val="-11"/>
        </w:rPr>
        <w:t> </w:t>
      </w:r>
      <w:r>
        <w:rPr/>
        <w:t>into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target</w:t>
      </w:r>
      <w:r>
        <w:rPr>
          <w:spacing w:val="-12"/>
        </w:rPr>
        <w:t> </w:t>
      </w:r>
      <w:r>
        <w:rPr/>
        <w:t>by</w:t>
      </w:r>
      <w:r>
        <w:rPr>
          <w:spacing w:val="-11"/>
        </w:rPr>
        <w:t> </w:t>
      </w:r>
      <w:r>
        <w:rPr/>
        <w:t>sweeping</w:t>
      </w:r>
      <w:r>
        <w:rPr>
          <w:spacing w:val="-11"/>
        </w:rPr>
        <w:t> </w:t>
      </w:r>
      <w:r>
        <w:rPr/>
        <w:t>through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material</w:t>
      </w:r>
      <w:r>
        <w:rPr>
          <w:spacing w:val="-11"/>
        </w:rPr>
        <w:t> </w:t>
      </w:r>
      <w:r>
        <w:rPr/>
        <w:t>at</w:t>
      </w:r>
      <w:r>
        <w:rPr>
          <w:spacing w:val="-12"/>
        </w:rPr>
        <w:t> </w:t>
      </w:r>
      <w:r>
        <w:rPr/>
        <w:t>a</w:t>
      </w:r>
      <w:r>
        <w:rPr>
          <w:spacing w:val="-11"/>
        </w:rPr>
        <w:t> </w:t>
      </w:r>
      <w:r>
        <w:rPr/>
        <w:t>constant</w:t>
      </w:r>
      <w:r>
        <w:rPr>
          <w:spacing w:val="-11"/>
        </w:rPr>
        <w:t> </w:t>
      </w:r>
      <w:r>
        <w:rPr/>
        <w:t>velocity.</w:t>
      </w:r>
      <w:r>
        <w:rPr>
          <w:spacing w:val="37"/>
        </w:rPr>
        <w:t> </w:t>
      </w:r>
      <w:r>
        <w:rPr/>
        <w:t>Material</w:t>
      </w:r>
      <w:r>
        <w:rPr>
          <w:spacing w:val="-58"/>
        </w:rPr>
        <w:t> </w:t>
      </w:r>
      <w:r>
        <w:rPr/>
        <w:t>behind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shock</w:t>
      </w:r>
      <w:r>
        <w:rPr>
          <w:spacing w:val="-4"/>
        </w:rPr>
        <w:t> </w:t>
      </w:r>
      <w:r>
        <w:rPr/>
        <w:t>front</w:t>
      </w:r>
      <w:r>
        <w:rPr>
          <w:spacing w:val="-5"/>
        </w:rPr>
        <w:t> </w:t>
      </w:r>
      <w:r>
        <w:rPr/>
        <w:t>is</w:t>
      </w:r>
      <w:r>
        <w:rPr>
          <w:spacing w:val="-5"/>
        </w:rPr>
        <w:t> </w:t>
      </w:r>
      <w:r>
        <w:rPr/>
        <w:t>compressed</w:t>
      </w:r>
      <w:r>
        <w:rPr>
          <w:spacing w:val="-4"/>
        </w:rPr>
        <w:t> </w:t>
      </w:r>
      <w:r>
        <w:rPr/>
        <w:t>to</w:t>
      </w:r>
      <w:r>
        <w:rPr>
          <w:spacing w:val="-5"/>
        </w:rPr>
        <w:t> </w:t>
      </w:r>
      <w:r>
        <w:rPr/>
        <w:t>a</w:t>
      </w:r>
      <w:r>
        <w:rPr>
          <w:spacing w:val="-3"/>
        </w:rPr>
        <w:t> </w:t>
      </w:r>
      <w:r>
        <w:rPr/>
        <w:t>high</w:t>
      </w:r>
      <w:r>
        <w:rPr>
          <w:spacing w:val="-4"/>
        </w:rPr>
        <w:t> </w:t>
      </w:r>
      <w:r>
        <w:rPr/>
        <w:t>pressure</w:t>
      </w:r>
      <w:r>
        <w:rPr>
          <w:spacing w:val="-5"/>
        </w:rPr>
        <w:t> </w:t>
      </w:r>
      <w:r>
        <w:rPr/>
        <w:t>state</w:t>
      </w:r>
      <w:r>
        <w:rPr>
          <w:spacing w:val="-6"/>
        </w:rPr>
        <w:t> </w:t>
      </w:r>
      <w:r>
        <w:rPr/>
        <w:t>and</w:t>
      </w:r>
      <w:r>
        <w:rPr>
          <w:spacing w:val="-4"/>
        </w:rPr>
        <w:t> </w:t>
      </w:r>
      <w:r>
        <w:rPr/>
        <w:t>density</w:t>
      </w:r>
      <w:r>
        <w:rPr>
          <w:spacing w:val="-5"/>
        </w:rPr>
        <w:t> </w:t>
      </w:r>
      <w:r>
        <w:rPr/>
        <w:t>dependent</w:t>
      </w:r>
      <w:r>
        <w:rPr>
          <w:spacing w:val="-5"/>
        </w:rPr>
        <w:t> </w:t>
      </w:r>
      <w:r>
        <w:rPr/>
        <w:t>on</w:t>
      </w:r>
      <w:r>
        <w:rPr>
          <w:spacing w:val="-3"/>
        </w:rPr>
        <w:t> </w:t>
      </w:r>
      <w:r>
        <w:rPr/>
        <w:t>the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40" w:right="256"/>
        <w:jc w:val="both"/>
      </w:pPr>
      <w:r>
        <w:rPr/>
        <w:pict>
          <v:shape style="position:absolute;margin-left:240.97142pt;margin-top:416.524353pt;width:12.9pt;height:39.9pt;mso-position-horizontal-relative:page;mso-position-vertical-relative:page;z-index:15754240" type="#_x0000_t202" filled="false" stroked="false">
            <v:textbox inset="0,0,0,0" style="layout-flow:vertical;mso-layout-flow-alt:bottom-to-top">
              <w:txbxContent>
                <w:p>
                  <w:pPr>
                    <w:spacing w:line="239" w:lineRule="exact" w:before="0"/>
                    <w:ind w:left="20" w:right="0" w:firstLine="0"/>
                    <w:jc w:val="left"/>
                    <w:rPr>
                      <w:rFonts w:ascii="Calibri"/>
                      <w:sz w:val="21"/>
                    </w:rPr>
                  </w:pPr>
                  <w:r>
                    <w:rPr>
                      <w:rFonts w:ascii="Calibri"/>
                      <w:spacing w:val="-1"/>
                      <w:w w:val="105"/>
                      <w:sz w:val="21"/>
                    </w:rPr>
                    <w:t>Pressure</w:t>
                  </w:r>
                </w:p>
              </w:txbxContent>
            </v:textbox>
            <w10:wrap type="none"/>
          </v:shape>
        </w:pict>
      </w:r>
      <w:r>
        <w:rPr/>
        <w:t>impact velocity and material characteristics.</w:t>
      </w:r>
      <w:r>
        <w:rPr>
          <w:spacing w:val="1"/>
        </w:rPr>
        <w:t> </w:t>
      </w:r>
      <w:r>
        <w:rPr/>
        <w:t>The shock wave decays through relief and</w:t>
      </w:r>
      <w:r>
        <w:rPr>
          <w:spacing w:val="1"/>
        </w:rPr>
        <w:t> </w:t>
      </w:r>
      <w:r>
        <w:rPr/>
        <w:t>residual waves reflecting from free surfaces.</w:t>
      </w:r>
      <w:r>
        <w:rPr>
          <w:spacing w:val="1"/>
        </w:rPr>
        <w:t> </w:t>
      </w:r>
      <w:r>
        <w:rPr/>
        <w:t>Tensile stresses are induced with the relief</w:t>
      </w:r>
      <w:r>
        <w:rPr>
          <w:spacing w:val="1"/>
        </w:rPr>
        <w:t> </w:t>
      </w:r>
      <w:r>
        <w:rPr/>
        <w:t>waves as they reflect the initial compressive force of the shock wave and this can cause</w:t>
      </w:r>
      <w:r>
        <w:rPr>
          <w:spacing w:val="1"/>
        </w:rPr>
        <w:t> </w:t>
      </w:r>
      <w:r>
        <w:rPr/>
        <w:t>spall</w:t>
      </w:r>
      <w:r>
        <w:rPr>
          <w:spacing w:val="-2"/>
        </w:rPr>
        <w:t> </w:t>
      </w:r>
      <w:r>
        <w:rPr/>
        <w:t>in materials</w:t>
      </w:r>
      <w:r>
        <w:rPr>
          <w:spacing w:val="-1"/>
        </w:rPr>
        <w:t> </w:t>
      </w:r>
      <w:r>
        <w:rPr/>
        <w:t>with</w:t>
      </w:r>
      <w:r>
        <w:rPr>
          <w:spacing w:val="-2"/>
        </w:rPr>
        <w:t> </w:t>
      </w:r>
      <w:r>
        <w:rPr/>
        <w:t>relatively</w:t>
      </w:r>
      <w:r>
        <w:rPr>
          <w:spacing w:val="-1"/>
        </w:rPr>
        <w:t> </w:t>
      </w:r>
      <w:r>
        <w:rPr/>
        <w:t>low</w:t>
      </w:r>
      <w:r>
        <w:rPr>
          <w:spacing w:val="-1"/>
        </w:rPr>
        <w:t> </w:t>
      </w:r>
      <w:r>
        <w:rPr/>
        <w:t>tensile strengths</w:t>
      </w:r>
      <w:r>
        <w:rPr>
          <w:spacing w:val="-1"/>
        </w:rPr>
        <w:t> </w:t>
      </w:r>
      <w:r>
        <w:rPr/>
        <w:t>like concrete</w:t>
      </w:r>
      <w:r>
        <w:rPr>
          <w:spacing w:val="-1"/>
        </w:rPr>
        <w:t> </w:t>
      </w:r>
      <w:r>
        <w:rPr/>
        <w:t>[49].</w:t>
      </w:r>
    </w:p>
    <w:p>
      <w:pPr>
        <w:pStyle w:val="BodyText"/>
        <w:spacing w:line="480" w:lineRule="auto" w:before="159"/>
        <w:ind w:left="439" w:right="258" w:firstLine="720"/>
        <w:jc w:val="both"/>
      </w:pPr>
      <w:r>
        <w:rPr/>
        <w:pict>
          <v:group style="position:absolute;margin-left:246.039154pt;margin-top:184.480667pt;width:3.65pt;height:37.35pt;mso-position-horizontal-relative:page;mso-position-vertical-relative:paragraph;z-index:15753216" coordorigin="4921,3690" coordsize="73,747">
            <v:line style="position:absolute" from="4957,4436" to="4957,3750" stroked="true" strokeweight=".30168pt" strokecolor="#000000">
              <v:stroke dashstyle="solid"/>
            </v:line>
            <v:shape style="position:absolute;left:4920;top:3689;width:73;height:73" coordorigin="4921,3690" coordsize="73,73" path="m4957,3690l4921,3762,4993,3762,4957,3690xe" filled="true" fillcolor="#000000" stroked="false">
              <v:path arrowok="t"/>
              <v:fill type="solid"/>
            </v:shape>
            <w10:wrap type="none"/>
          </v:group>
        </w:pict>
      </w:r>
      <w:r>
        <w:rPr/>
        <w:t>A wave travels in the material with an almost</w:t>
      </w:r>
      <w:r>
        <w:rPr>
          <w:spacing w:val="1"/>
        </w:rPr>
        <w:t> </w:t>
      </w:r>
      <w:r>
        <w:rPr/>
        <w:t>instantaneous rise in pressure</w:t>
      </w:r>
      <w:r>
        <w:rPr>
          <w:spacing w:val="1"/>
        </w:rPr>
        <w:t> </w:t>
      </w:r>
      <w:r>
        <w:rPr/>
        <w:t>detectable by high density behind the shock front.</w:t>
      </w:r>
      <w:r>
        <w:rPr>
          <w:spacing w:val="1"/>
        </w:rPr>
        <w:t> </w:t>
      </w:r>
      <w:r>
        <w:rPr/>
        <w:t>The presence of this wave visually can</w:t>
      </w:r>
      <w:r>
        <w:rPr>
          <w:spacing w:val="-57"/>
        </w:rPr>
        <w:t> </w:t>
      </w:r>
      <w:r>
        <w:rPr>
          <w:spacing w:val="-1"/>
        </w:rPr>
        <w:t>often</w:t>
      </w:r>
      <w:r>
        <w:rPr>
          <w:spacing w:val="-13"/>
        </w:rPr>
        <w:t> </w:t>
      </w:r>
      <w:r>
        <w:rPr/>
        <w:t>only</w:t>
      </w:r>
      <w:r>
        <w:rPr>
          <w:spacing w:val="-13"/>
        </w:rPr>
        <w:t> </w:t>
      </w:r>
      <w:r>
        <w:rPr/>
        <w:t>be</w:t>
      </w:r>
      <w:r>
        <w:rPr>
          <w:spacing w:val="-13"/>
        </w:rPr>
        <w:t> </w:t>
      </w:r>
      <w:r>
        <w:rPr/>
        <w:t>detected</w:t>
      </w:r>
      <w:r>
        <w:rPr>
          <w:spacing w:val="-13"/>
        </w:rPr>
        <w:t> </w:t>
      </w:r>
      <w:r>
        <w:rPr/>
        <w:t>by</w:t>
      </w:r>
      <w:r>
        <w:rPr>
          <w:spacing w:val="-13"/>
        </w:rPr>
        <w:t> </w:t>
      </w:r>
      <w:r>
        <w:rPr/>
        <w:t>high-speed</w:t>
      </w:r>
      <w:r>
        <w:rPr>
          <w:spacing w:val="-15"/>
        </w:rPr>
        <w:t> </w:t>
      </w:r>
      <w:r>
        <w:rPr/>
        <w:t>cameras.</w:t>
      </w:r>
      <w:r>
        <w:rPr>
          <w:spacing w:val="35"/>
        </w:rPr>
        <w:t> </w:t>
      </w:r>
      <w:r>
        <w:rPr/>
        <w:t>Graphically,</w:t>
      </w:r>
      <w:r>
        <w:rPr>
          <w:spacing w:val="-15"/>
        </w:rPr>
        <w:t> </w:t>
      </w:r>
      <w:r>
        <w:rPr/>
        <w:t>this</w:t>
      </w:r>
      <w:r>
        <w:rPr>
          <w:spacing w:val="-13"/>
        </w:rPr>
        <w:t> </w:t>
      </w:r>
      <w:r>
        <w:rPr/>
        <w:t>travel</w:t>
      </w:r>
      <w:r>
        <w:rPr>
          <w:spacing w:val="-13"/>
        </w:rPr>
        <w:t> </w:t>
      </w:r>
      <w:r>
        <w:rPr/>
        <w:t>is</w:t>
      </w:r>
      <w:r>
        <w:rPr>
          <w:spacing w:val="-14"/>
        </w:rPr>
        <w:t> </w:t>
      </w:r>
      <w:r>
        <w:rPr/>
        <w:t>depicted</w:t>
      </w:r>
      <w:r>
        <w:rPr>
          <w:spacing w:val="-13"/>
        </w:rPr>
        <w:t> </w:t>
      </w:r>
      <w:r>
        <w:rPr/>
        <w:t>as</w:t>
      </w:r>
      <w:r>
        <w:rPr>
          <w:spacing w:val="-12"/>
        </w:rPr>
        <w:t> </w:t>
      </w:r>
      <w:r>
        <w:rPr/>
        <w:t>shown</w:t>
      </w:r>
      <w:r>
        <w:rPr>
          <w:spacing w:val="-58"/>
        </w:rPr>
        <w:t> </w:t>
      </w:r>
      <w:r>
        <w:rPr/>
        <w:t>in</w:t>
      </w:r>
      <w:r>
        <w:rPr>
          <w:spacing w:val="-1"/>
        </w:rPr>
        <w:t> </w:t>
      </w:r>
      <w:hyperlink w:history="true" w:anchor="_bookmark13">
        <w:r>
          <w:rPr/>
          <w:t>Figure 3-1</w:t>
        </w:r>
      </w:hyperlink>
      <w:r>
        <w:rPr/>
        <w:t> with a wave</w:t>
      </w:r>
      <w:r>
        <w:rPr>
          <w:spacing w:val="-1"/>
        </w:rPr>
        <w:t> </w:t>
      </w:r>
      <w:r>
        <w:rPr/>
        <w:t>front in terms of</w:t>
      </w:r>
      <w:r>
        <w:rPr>
          <w:spacing w:val="-1"/>
        </w:rPr>
        <w:t> </w:t>
      </w:r>
      <w:r>
        <w:rPr/>
        <w:t>pressure</w:t>
      </w:r>
      <w:r>
        <w:rPr>
          <w:spacing w:val="-1"/>
        </w:rPr>
        <w:t> </w:t>
      </w:r>
      <w:r>
        <w:rPr/>
        <w:t>and time.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1"/>
        </w:rPr>
      </w:pPr>
      <w:r>
        <w:rPr/>
        <w:pict>
          <v:group style="position:absolute;margin-left:258.439514pt;margin-top:8.644556pt;width:141.6pt;height:129.25pt;mso-position-horizontal-relative:page;mso-position-vertical-relative:paragraph;z-index:-15704576;mso-wrap-distance-left:0;mso-wrap-distance-right:0" coordorigin="5169,173" coordsize="2832,2585">
            <v:line style="position:absolute" from="5184,188" to="5200,2742" stroked="true" strokeweight="1.556787pt" strokecolor="#000000">
              <v:stroke dashstyle="solid"/>
            </v:line>
            <v:line style="position:absolute" from="5200,2742" to="8000,2742" stroked="true" strokeweight="1.553739pt" strokecolor="#000000">
              <v:stroke dashstyle="solid"/>
            </v:line>
            <v:line style="position:absolute" from="6262,2735" to="6246,1570" stroked="true" strokeweight=".603384pt" strokecolor="#000000">
              <v:stroke dashstyle="solid"/>
            </v:line>
            <v:line style="position:absolute" from="6243,1567" to="7836,1557" stroked="true" strokeweight=".6022pt" strokecolor="#000000">
              <v:stroke dashstyle="solid"/>
            </v:line>
            <w10:wrap type="topAndBottom"/>
          </v:group>
        </w:pict>
      </w:r>
    </w:p>
    <w:p>
      <w:pPr>
        <w:spacing w:before="8"/>
        <w:ind w:left="4298" w:right="4557" w:firstLine="0"/>
        <w:jc w:val="center"/>
        <w:rPr>
          <w:rFonts w:ascii="Calibri"/>
          <w:sz w:val="21"/>
        </w:rPr>
      </w:pPr>
      <w:r>
        <w:rPr>
          <w:rFonts w:ascii="Calibri"/>
          <w:w w:val="105"/>
          <w:sz w:val="21"/>
        </w:rPr>
        <w:t>Time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5"/>
        <w:rPr>
          <w:rFonts w:ascii="Calibri"/>
          <w:sz w:val="23"/>
        </w:rPr>
      </w:pPr>
    </w:p>
    <w:p>
      <w:pPr>
        <w:spacing w:before="90"/>
        <w:ind w:left="439" w:right="0" w:firstLine="0"/>
        <w:jc w:val="left"/>
        <w:rPr>
          <w:i/>
          <w:sz w:val="24"/>
        </w:rPr>
      </w:pPr>
      <w:r>
        <w:rPr/>
        <w:pict>
          <v:group style="position:absolute;margin-left:338.785034pt;margin-top:-46.8955pt;width:26.4pt;height:3.65pt;mso-position-horizontal-relative:page;mso-position-vertical-relative:paragraph;z-index:15753728" coordorigin="6776,-938" coordsize="528,73">
            <v:line style="position:absolute" from="6776,-902" to="7243,-902" stroked="true" strokeweight=".301117pt" strokecolor="#000000">
              <v:stroke dashstyle="solid"/>
            </v:line>
            <v:shape style="position:absolute;left:7230;top:-938;width:73;height:73" coordorigin="7231,-938" coordsize="73,73" path="m7231,-938l7231,-866,7303,-902,7231,-938xe" filled="true" fillcolor="#000000" stroked="false">
              <v:path arrowok="t"/>
              <v:fill type="solid"/>
            </v:shape>
            <w10:wrap type="none"/>
          </v:group>
        </w:pict>
      </w:r>
      <w:bookmarkStart w:name="_bookmark13" w:id="107"/>
      <w:bookmarkEnd w:id="107"/>
      <w:r>
        <w:rPr/>
      </w:r>
      <w:r>
        <w:rPr>
          <w:i/>
          <w:sz w:val="24"/>
        </w:rPr>
        <w:t>Figure</w:t>
      </w:r>
      <w:r>
        <w:rPr>
          <w:i/>
          <w:spacing w:val="8"/>
          <w:sz w:val="24"/>
        </w:rPr>
        <w:t> </w:t>
      </w:r>
      <w:r>
        <w:rPr>
          <w:i/>
          <w:sz w:val="24"/>
        </w:rPr>
        <w:t>3-1.</w:t>
      </w:r>
      <w:r>
        <w:rPr>
          <w:i/>
          <w:spacing w:val="9"/>
          <w:sz w:val="24"/>
        </w:rPr>
        <w:t> </w:t>
      </w:r>
      <w:r>
        <w:rPr>
          <w:i/>
          <w:sz w:val="24"/>
        </w:rPr>
        <w:t>Graphical</w:t>
      </w:r>
      <w:r>
        <w:rPr>
          <w:i/>
          <w:spacing w:val="9"/>
          <w:sz w:val="24"/>
        </w:rPr>
        <w:t> </w:t>
      </w:r>
      <w:r>
        <w:rPr>
          <w:i/>
          <w:sz w:val="24"/>
        </w:rPr>
        <w:t>depiction</w:t>
      </w:r>
      <w:r>
        <w:rPr>
          <w:i/>
          <w:spacing w:val="9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9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9"/>
          <w:sz w:val="24"/>
        </w:rPr>
        <w:t> </w:t>
      </w:r>
      <w:r>
        <w:rPr>
          <w:i/>
          <w:sz w:val="24"/>
        </w:rPr>
        <w:t>shock</w:t>
      </w:r>
      <w:r>
        <w:rPr>
          <w:i/>
          <w:spacing w:val="8"/>
          <w:sz w:val="24"/>
        </w:rPr>
        <w:t> </w:t>
      </w:r>
      <w:r>
        <w:rPr>
          <w:i/>
          <w:sz w:val="24"/>
        </w:rPr>
        <w:t>front</w:t>
      </w:r>
      <w:r>
        <w:rPr>
          <w:i/>
          <w:spacing w:val="8"/>
          <w:sz w:val="24"/>
        </w:rPr>
        <w:t> </w:t>
      </w:r>
      <w:r>
        <w:rPr>
          <w:i/>
          <w:sz w:val="24"/>
        </w:rPr>
        <w:t>at</w:t>
      </w:r>
      <w:r>
        <w:rPr>
          <w:i/>
          <w:spacing w:val="9"/>
          <w:sz w:val="24"/>
        </w:rPr>
        <w:t> </w:t>
      </w:r>
      <w:r>
        <w:rPr>
          <w:i/>
          <w:sz w:val="24"/>
        </w:rPr>
        <w:t>steady-state</w:t>
      </w:r>
      <w:r>
        <w:rPr>
          <w:i/>
          <w:spacing w:val="9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8"/>
          <w:sz w:val="24"/>
        </w:rPr>
        <w:t> </w:t>
      </w:r>
      <w:r>
        <w:rPr>
          <w:i/>
          <w:sz w:val="24"/>
        </w:rPr>
        <w:t>terms</w:t>
      </w:r>
      <w:r>
        <w:rPr>
          <w:i/>
          <w:spacing w:val="8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0"/>
          <w:sz w:val="24"/>
        </w:rPr>
        <w:t> </w:t>
      </w:r>
      <w:r>
        <w:rPr>
          <w:i/>
          <w:sz w:val="24"/>
        </w:rPr>
        <w:t>pressure</w:t>
      </w:r>
      <w:r>
        <w:rPr>
          <w:i/>
          <w:spacing w:val="7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time.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7"/>
        <w:rPr>
          <w:i/>
          <w:sz w:val="36"/>
        </w:rPr>
      </w:pPr>
    </w:p>
    <w:p>
      <w:pPr>
        <w:pStyle w:val="BodyText"/>
        <w:spacing w:line="480" w:lineRule="auto" w:before="1"/>
        <w:ind w:left="439" w:right="256" w:firstLine="720"/>
        <w:jc w:val="both"/>
      </w:pPr>
      <w:r>
        <w:rPr/>
        <w:t>A</w:t>
      </w:r>
      <w:r>
        <w:rPr>
          <w:spacing w:val="-3"/>
        </w:rPr>
        <w:t> </w:t>
      </w:r>
      <w:r>
        <w:rPr/>
        <w:t>shock</w:t>
      </w:r>
      <w:r>
        <w:rPr>
          <w:spacing w:val="-3"/>
        </w:rPr>
        <w:t> </w:t>
      </w:r>
      <w:r>
        <w:rPr/>
        <w:t>wave</w:t>
      </w:r>
      <w:r>
        <w:rPr>
          <w:spacing w:val="-2"/>
        </w:rPr>
        <w:t> </w:t>
      </w:r>
      <w:r>
        <w:rPr/>
        <w:t>creates</w:t>
      </w:r>
      <w:r>
        <w:rPr>
          <w:spacing w:val="-2"/>
        </w:rPr>
        <w:t> </w:t>
      </w:r>
      <w:r>
        <w:rPr/>
        <w:t>discontinuity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system</w:t>
      </w:r>
      <w:r>
        <w:rPr>
          <w:spacing w:val="-5"/>
        </w:rPr>
        <w:t> </w:t>
      </w:r>
      <w:r>
        <w:rPr/>
        <w:t>in</w:t>
      </w:r>
      <w:r>
        <w:rPr>
          <w:spacing w:val="-3"/>
        </w:rPr>
        <w:t> </w:t>
      </w:r>
      <w:r>
        <w:rPr/>
        <w:t>that</w:t>
      </w:r>
      <w:r>
        <w:rPr>
          <w:spacing w:val="-2"/>
        </w:rPr>
        <w:t> </w:t>
      </w:r>
      <w:r>
        <w:rPr/>
        <w:t>it</w:t>
      </w:r>
      <w:r>
        <w:rPr>
          <w:spacing w:val="-2"/>
        </w:rPr>
        <w:t> </w:t>
      </w:r>
      <w:r>
        <w:rPr/>
        <w:t>induces</w:t>
      </w:r>
      <w:r>
        <w:rPr>
          <w:spacing w:val="-2"/>
        </w:rPr>
        <w:t> </w:t>
      </w:r>
      <w:r>
        <w:rPr/>
        <w:t>large</w:t>
      </w:r>
      <w:r>
        <w:rPr>
          <w:spacing w:val="-2"/>
        </w:rPr>
        <w:t> </w:t>
      </w:r>
      <w:r>
        <w:rPr/>
        <w:t>pressures,</w:t>
      </w:r>
      <w:r>
        <w:rPr>
          <w:spacing w:val="-57"/>
        </w:rPr>
        <w:t> </w:t>
      </w:r>
      <w:r>
        <w:rPr/>
        <w:t>mass particle speed, and internal energy changes.</w:t>
      </w:r>
      <w:r>
        <w:rPr>
          <w:spacing w:val="1"/>
        </w:rPr>
        <w:t> </w:t>
      </w:r>
      <w:r>
        <w:rPr/>
        <w:t>To maintain equilibrium, the stress of</w:t>
      </w:r>
      <w:r>
        <w:rPr>
          <w:spacing w:val="1"/>
        </w:rPr>
        <w:t> </w:t>
      </w:r>
      <w:r>
        <w:rPr/>
        <w:t>the shock wave must be reduced and this is done through relief waves, which brings the</w:t>
      </w:r>
      <w:r>
        <w:rPr>
          <w:spacing w:val="1"/>
        </w:rPr>
        <w:t> </w:t>
      </w:r>
      <w:r>
        <w:rPr/>
        <w:t>pressure</w:t>
      </w:r>
      <w:r>
        <w:rPr>
          <w:spacing w:val="15"/>
        </w:rPr>
        <w:t> </w:t>
      </w:r>
      <w:r>
        <w:rPr/>
        <w:t>back</w:t>
      </w:r>
      <w:r>
        <w:rPr>
          <w:spacing w:val="15"/>
        </w:rPr>
        <w:t> </w:t>
      </w:r>
      <w:r>
        <w:rPr/>
        <w:t>down</w:t>
      </w:r>
      <w:r>
        <w:rPr>
          <w:spacing w:val="15"/>
        </w:rPr>
        <w:t> </w:t>
      </w:r>
      <w:r>
        <w:rPr/>
        <w:t>to</w:t>
      </w:r>
      <w:r>
        <w:rPr>
          <w:spacing w:val="14"/>
        </w:rPr>
        <w:t> </w:t>
      </w:r>
      <w:r>
        <w:rPr/>
        <w:t>the</w:t>
      </w:r>
      <w:r>
        <w:rPr>
          <w:spacing w:val="16"/>
        </w:rPr>
        <w:t> </w:t>
      </w:r>
      <w:r>
        <w:rPr/>
        <w:t>initial</w:t>
      </w:r>
      <w:r>
        <w:rPr>
          <w:spacing w:val="16"/>
        </w:rPr>
        <w:t> </w:t>
      </w:r>
      <w:r>
        <w:rPr/>
        <w:t>state,</w:t>
      </w:r>
      <w:r>
        <w:rPr>
          <w:spacing w:val="14"/>
        </w:rPr>
        <w:t> </w:t>
      </w:r>
      <w:r>
        <w:rPr/>
        <w:t>often</w:t>
      </w:r>
      <w:r>
        <w:rPr>
          <w:spacing w:val="15"/>
        </w:rPr>
        <w:t> </w:t>
      </w:r>
      <w:r>
        <w:rPr/>
        <w:t>zero</w:t>
      </w:r>
      <w:r>
        <w:rPr>
          <w:spacing w:val="15"/>
        </w:rPr>
        <w:t> </w:t>
      </w:r>
      <w:r>
        <w:rPr/>
        <w:t>pressure.</w:t>
      </w:r>
      <w:r>
        <w:rPr>
          <w:spacing w:val="31"/>
        </w:rPr>
        <w:t> </w:t>
      </w:r>
      <w:r>
        <w:rPr/>
        <w:t>Relief</w:t>
      </w:r>
      <w:r>
        <w:rPr>
          <w:spacing w:val="14"/>
        </w:rPr>
        <w:t> </w:t>
      </w:r>
      <w:r>
        <w:rPr/>
        <w:t>waves</w:t>
      </w:r>
      <w:r>
        <w:rPr>
          <w:spacing w:val="16"/>
        </w:rPr>
        <w:t> </w:t>
      </w:r>
      <w:r>
        <w:rPr/>
        <w:t>are</w:t>
      </w:r>
      <w:r>
        <w:rPr>
          <w:spacing w:val="16"/>
        </w:rPr>
        <w:t> </w:t>
      </w:r>
      <w:r>
        <w:rPr/>
        <w:t>not</w:t>
      </w:r>
      <w:r>
        <w:rPr>
          <w:spacing w:val="15"/>
        </w:rPr>
        <w:t> </w:t>
      </w:r>
      <w:r>
        <w:rPr/>
        <w:t>steady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40" w:right="257"/>
        <w:jc w:val="both"/>
      </w:pPr>
      <w:r>
        <w:rPr/>
        <w:t>like the shock wave but rather can be thought of as a number of small stepped waves with</w:t>
      </w:r>
      <w:r>
        <w:rPr>
          <w:spacing w:val="-57"/>
        </w:rPr>
        <w:t> </w:t>
      </w:r>
      <w:r>
        <w:rPr/>
        <w:t>a range of velocities determined by functions of pressure governed by the material and its</w:t>
      </w:r>
      <w:r>
        <w:rPr>
          <w:spacing w:val="-57"/>
        </w:rPr>
        <w:t> </w:t>
      </w:r>
      <w:r>
        <w:rPr/>
        <w:t>equation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state</w:t>
      </w:r>
      <w:r>
        <w:rPr>
          <w:spacing w:val="-2"/>
        </w:rPr>
        <w:t> </w:t>
      </w:r>
      <w:r>
        <w:rPr/>
        <w:t>[49].</w:t>
      </w:r>
      <w:r>
        <w:rPr>
          <w:spacing w:val="57"/>
        </w:rPr>
        <w:t> </w:t>
      </w:r>
      <w:r>
        <w:rPr/>
        <w:t>These</w:t>
      </w:r>
      <w:r>
        <w:rPr>
          <w:spacing w:val="-2"/>
        </w:rPr>
        <w:t> </w:t>
      </w:r>
      <w:r>
        <w:rPr/>
        <w:t>relief</w:t>
      </w:r>
      <w:r>
        <w:rPr>
          <w:spacing w:val="-3"/>
        </w:rPr>
        <w:t> </w:t>
      </w:r>
      <w:r>
        <w:rPr/>
        <w:t>waves</w:t>
      </w:r>
      <w:r>
        <w:rPr>
          <w:spacing w:val="-1"/>
        </w:rPr>
        <w:t> </w:t>
      </w:r>
      <w:r>
        <w:rPr/>
        <w:t>propagate</w:t>
      </w:r>
      <w:r>
        <w:rPr>
          <w:spacing w:val="-2"/>
        </w:rPr>
        <w:t> </w:t>
      </w:r>
      <w:r>
        <w:rPr/>
        <w:t>in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opposite</w:t>
      </w:r>
      <w:r>
        <w:rPr>
          <w:spacing w:val="-1"/>
        </w:rPr>
        <w:t> </w:t>
      </w:r>
      <w:r>
        <w:rPr/>
        <w:t>direction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shock</w:t>
      </w:r>
      <w:r>
        <w:rPr>
          <w:spacing w:val="-58"/>
        </w:rPr>
        <w:t> </w:t>
      </w:r>
      <w:r>
        <w:rPr/>
        <w:t>wave when the shock wave contacts a free surface, where the pressure remains at zero,</w:t>
      </w:r>
      <w:r>
        <w:rPr>
          <w:spacing w:val="1"/>
        </w:rPr>
        <w:t> </w:t>
      </w:r>
      <w:r>
        <w:rPr/>
        <w:t>releasing the pressure or stress of the shock wave.</w:t>
      </w:r>
      <w:r>
        <w:rPr>
          <w:spacing w:val="1"/>
        </w:rPr>
        <w:t> </w:t>
      </w:r>
      <w:r>
        <w:rPr/>
        <w:t>Relief waves can also occur when the</w:t>
      </w:r>
      <w:r>
        <w:rPr>
          <w:spacing w:val="1"/>
        </w:rPr>
        <w:t> </w:t>
      </w:r>
      <w:r>
        <w:rPr/>
        <w:t>shock</w:t>
      </w:r>
      <w:r>
        <w:rPr>
          <w:spacing w:val="-11"/>
        </w:rPr>
        <w:t> </w:t>
      </w:r>
      <w:r>
        <w:rPr/>
        <w:t>front</w:t>
      </w:r>
      <w:r>
        <w:rPr>
          <w:spacing w:val="-11"/>
        </w:rPr>
        <w:t> </w:t>
      </w:r>
      <w:r>
        <w:rPr/>
        <w:t>hits</w:t>
      </w:r>
      <w:r>
        <w:rPr>
          <w:spacing w:val="-11"/>
        </w:rPr>
        <w:t> </w:t>
      </w:r>
      <w:r>
        <w:rPr/>
        <w:t>a</w:t>
      </w:r>
      <w:r>
        <w:rPr>
          <w:spacing w:val="-11"/>
        </w:rPr>
        <w:t> </w:t>
      </w:r>
      <w:r>
        <w:rPr/>
        <w:t>boundary</w:t>
      </w:r>
      <w:r>
        <w:rPr>
          <w:spacing w:val="-11"/>
        </w:rPr>
        <w:t> </w:t>
      </w:r>
      <w:r>
        <w:rPr/>
        <w:t>between</w:t>
      </w:r>
      <w:r>
        <w:rPr>
          <w:spacing w:val="-11"/>
        </w:rPr>
        <w:t> </w:t>
      </w:r>
      <w:r>
        <w:rPr/>
        <w:t>two</w:t>
      </w:r>
      <w:r>
        <w:rPr>
          <w:spacing w:val="-10"/>
        </w:rPr>
        <w:t> </w:t>
      </w:r>
      <w:r>
        <w:rPr/>
        <w:t>different</w:t>
      </w:r>
      <w:r>
        <w:rPr>
          <w:spacing w:val="-11"/>
        </w:rPr>
        <w:t> </w:t>
      </w:r>
      <w:r>
        <w:rPr/>
        <w:t>solids</w:t>
      </w:r>
      <w:r>
        <w:rPr>
          <w:spacing w:val="-11"/>
        </w:rPr>
        <w:t> </w:t>
      </w:r>
      <w:r>
        <w:rPr/>
        <w:t>due</w:t>
      </w:r>
      <w:r>
        <w:rPr>
          <w:spacing w:val="-11"/>
        </w:rPr>
        <w:t> </w:t>
      </w:r>
      <w:r>
        <w:rPr/>
        <w:t>to</w:t>
      </w:r>
      <w:r>
        <w:rPr>
          <w:spacing w:val="-11"/>
        </w:rPr>
        <w:t> </w:t>
      </w:r>
      <w:r>
        <w:rPr/>
        <w:t>different</w:t>
      </w:r>
      <w:r>
        <w:rPr>
          <w:spacing w:val="-11"/>
        </w:rPr>
        <w:t> </w:t>
      </w:r>
      <w:r>
        <w:rPr/>
        <w:t>material</w:t>
      </w:r>
      <w:r>
        <w:rPr>
          <w:spacing w:val="-10"/>
        </w:rPr>
        <w:t> </w:t>
      </w:r>
      <w:r>
        <w:rPr/>
        <w:t>response,</w:t>
      </w:r>
      <w:r>
        <w:rPr>
          <w:spacing w:val="-58"/>
        </w:rPr>
        <w:t> </w:t>
      </w:r>
      <w:r>
        <w:rPr/>
        <w:t>or shock impedance, where only a portion of the shock conditions continue transmitting</w:t>
      </w:r>
      <w:r>
        <w:rPr>
          <w:spacing w:val="1"/>
        </w:rPr>
        <w:t> </w:t>
      </w:r>
      <w:r>
        <w:rPr/>
        <w:t>and the remaining energy is conserved through a relief wave at that material boundary.</w:t>
      </w:r>
      <w:r>
        <w:rPr>
          <w:spacing w:val="1"/>
        </w:rPr>
        <w:t> </w:t>
      </w:r>
      <w:r>
        <w:rPr/>
        <w:t>The transmitted and reflected waves are conceptually how the split-Hopkinson pressure</w:t>
      </w:r>
      <w:r>
        <w:rPr>
          <w:spacing w:val="1"/>
        </w:rPr>
        <w:t> </w:t>
      </w:r>
      <w:r>
        <w:rPr/>
        <w:t>bar</w:t>
      </w:r>
      <w:r>
        <w:rPr>
          <w:spacing w:val="-12"/>
        </w:rPr>
        <w:t> </w:t>
      </w:r>
      <w:r>
        <w:rPr/>
        <w:t>(SHPB)</w:t>
      </w:r>
      <w:r>
        <w:rPr>
          <w:spacing w:val="-12"/>
        </w:rPr>
        <w:t> </w:t>
      </w:r>
      <w:r>
        <w:rPr/>
        <w:t>works</w:t>
      </w:r>
      <w:r>
        <w:rPr>
          <w:spacing w:val="-11"/>
        </w:rPr>
        <w:t> </w:t>
      </w:r>
      <w:r>
        <w:rPr/>
        <w:t>to</w:t>
      </w:r>
      <w:r>
        <w:rPr>
          <w:spacing w:val="-12"/>
        </w:rPr>
        <w:t> </w:t>
      </w:r>
      <w:r>
        <w:rPr/>
        <w:t>determine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dynamic</w:t>
      </w:r>
      <w:r>
        <w:rPr>
          <w:spacing w:val="-12"/>
        </w:rPr>
        <w:t> </w:t>
      </w:r>
      <w:r>
        <w:rPr/>
        <w:t>characterization</w:t>
      </w:r>
      <w:r>
        <w:rPr>
          <w:spacing w:val="-12"/>
        </w:rPr>
        <w:t> </w:t>
      </w:r>
      <w:r>
        <w:rPr/>
        <w:t>of</w:t>
      </w:r>
      <w:r>
        <w:rPr>
          <w:spacing w:val="-12"/>
        </w:rPr>
        <w:t> </w:t>
      </w:r>
      <w:r>
        <w:rPr/>
        <w:t>materials</w:t>
      </w:r>
      <w:r>
        <w:rPr>
          <w:spacing w:val="-13"/>
        </w:rPr>
        <w:t> </w:t>
      </w:r>
      <w:r>
        <w:rPr/>
        <w:t>under</w:t>
      </w:r>
      <w:r>
        <w:rPr>
          <w:spacing w:val="-11"/>
        </w:rPr>
        <w:t> </w:t>
      </w:r>
      <w:r>
        <w:rPr/>
        <w:t>high</w:t>
      </w:r>
      <w:r>
        <w:rPr>
          <w:spacing w:val="-13"/>
        </w:rPr>
        <w:t> </w:t>
      </w:r>
      <w:r>
        <w:rPr/>
        <w:t>strain</w:t>
      </w:r>
      <w:r>
        <w:rPr>
          <w:spacing w:val="-57"/>
        </w:rPr>
        <w:t> </w:t>
      </w:r>
      <w:r>
        <w:rPr/>
        <w:t>rates.</w:t>
      </w:r>
      <w:r>
        <w:rPr>
          <w:spacing w:val="1"/>
        </w:rPr>
        <w:t> </w:t>
      </w:r>
      <w:r>
        <w:rPr/>
        <w:t>The SHPB test, or Kolsky bar test set-up, is useful in determining dynamic stress-</w:t>
      </w:r>
      <w:r>
        <w:rPr>
          <w:spacing w:val="1"/>
        </w:rPr>
        <w:t> </w:t>
      </w:r>
      <w:r>
        <w:rPr/>
        <w:t>strain</w:t>
      </w:r>
      <w:r>
        <w:rPr>
          <w:spacing w:val="-1"/>
        </w:rPr>
        <w:t> </w:t>
      </w:r>
      <w:r>
        <w:rPr/>
        <w:t>curves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solids under uniaxial</w:t>
      </w:r>
      <w:r>
        <w:rPr>
          <w:spacing w:val="-1"/>
        </w:rPr>
        <w:t> </w:t>
      </w:r>
      <w:r>
        <w:rPr/>
        <w:t>stress</w:t>
      </w:r>
      <w:r>
        <w:rPr>
          <w:spacing w:val="-1"/>
        </w:rPr>
        <w:t> </w:t>
      </w:r>
      <w:r>
        <w:rPr/>
        <w:t>conditions.</w:t>
      </w:r>
    </w:p>
    <w:p>
      <w:pPr>
        <w:pStyle w:val="ListParagraph"/>
        <w:numPr>
          <w:ilvl w:val="2"/>
          <w:numId w:val="17"/>
        </w:numPr>
        <w:tabs>
          <w:tab w:pos="980" w:val="left" w:leader="none"/>
        </w:tabs>
        <w:spacing w:line="240" w:lineRule="auto" w:before="161" w:after="0"/>
        <w:ind w:left="980" w:right="0" w:hanging="540"/>
        <w:jc w:val="both"/>
        <w:rPr>
          <w:i/>
          <w:sz w:val="24"/>
        </w:rPr>
      </w:pPr>
      <w:bookmarkStart w:name="3.5.1 Applying shock wave theory" w:id="108"/>
      <w:bookmarkEnd w:id="108"/>
      <w:r>
        <w:rPr/>
      </w:r>
      <w:bookmarkStart w:name="3.5.1 Applying shock wave theory" w:id="109"/>
      <w:bookmarkEnd w:id="109"/>
      <w:r>
        <w:rPr>
          <w:i/>
          <w:sz w:val="24"/>
        </w:rPr>
        <w:t>A</w:t>
      </w:r>
      <w:r>
        <w:rPr>
          <w:i/>
          <w:sz w:val="24"/>
        </w:rPr>
        <w:t>pplying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shock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wave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theory</w:t>
      </w:r>
    </w:p>
    <w:p>
      <w:pPr>
        <w:pStyle w:val="BodyText"/>
        <w:spacing w:before="7"/>
        <w:rPr>
          <w:i/>
          <w:sz w:val="22"/>
        </w:rPr>
      </w:pPr>
    </w:p>
    <w:p>
      <w:pPr>
        <w:pStyle w:val="BodyText"/>
        <w:spacing w:line="480" w:lineRule="auto"/>
        <w:ind w:left="439" w:right="257" w:firstLine="720"/>
        <w:jc w:val="both"/>
      </w:pPr>
      <w:r>
        <w:rPr/>
        <w:t>Different theories, such as plastic wave theory and rate-dependent theory, have</w:t>
      </w:r>
      <w:r>
        <w:rPr>
          <w:spacing w:val="1"/>
        </w:rPr>
        <w:t> </w:t>
      </w:r>
      <w:r>
        <w:rPr/>
        <w:t>been developed to assist in determining expected material behavior.</w:t>
      </w:r>
      <w:r>
        <w:rPr>
          <w:spacing w:val="1"/>
        </w:rPr>
        <w:t> </w:t>
      </w:r>
      <w:r>
        <w:rPr/>
        <w:t>Plastic wave theory</w:t>
      </w:r>
      <w:r>
        <w:rPr>
          <w:spacing w:val="1"/>
        </w:rPr>
        <w:t> </w:t>
      </w:r>
      <w:r>
        <w:rPr/>
        <w:t>assumes behavior is represented by the same stress-strain curve as a static test of the</w:t>
      </w:r>
      <w:r>
        <w:rPr>
          <w:spacing w:val="1"/>
        </w:rPr>
        <w:t> </w:t>
      </w:r>
      <w:r>
        <w:rPr/>
        <w:t>material.</w:t>
      </w:r>
      <w:r>
        <w:rPr>
          <w:spacing w:val="1"/>
        </w:rPr>
        <w:t> </w:t>
      </w:r>
      <w:r>
        <w:rPr/>
        <w:t>By this theory, solutions can be found mathematically with the wave equation</w:t>
      </w:r>
      <w:r>
        <w:rPr>
          <w:spacing w:val="1"/>
        </w:rPr>
        <w:t> </w:t>
      </w:r>
      <w:r>
        <w:rPr/>
        <w:t>and</w:t>
      </w:r>
      <w:r>
        <w:rPr>
          <w:spacing w:val="-14"/>
        </w:rPr>
        <w:t> </w:t>
      </w:r>
      <w:r>
        <w:rPr/>
        <w:t>correctly</w:t>
      </w:r>
      <w:r>
        <w:rPr>
          <w:spacing w:val="-13"/>
        </w:rPr>
        <w:t> </w:t>
      </w:r>
      <w:r>
        <w:rPr/>
        <w:t>identified</w:t>
      </w:r>
      <w:r>
        <w:rPr>
          <w:spacing w:val="-13"/>
        </w:rPr>
        <w:t> </w:t>
      </w:r>
      <w:r>
        <w:rPr/>
        <w:t>initial</w:t>
      </w:r>
      <w:r>
        <w:rPr>
          <w:spacing w:val="-13"/>
        </w:rPr>
        <w:t> </w:t>
      </w:r>
      <w:r>
        <w:rPr/>
        <w:t>boundary</w:t>
      </w:r>
      <w:r>
        <w:rPr>
          <w:spacing w:val="-13"/>
        </w:rPr>
        <w:t> </w:t>
      </w:r>
      <w:r>
        <w:rPr/>
        <w:t>conditions.</w:t>
      </w:r>
      <w:r>
        <w:rPr>
          <w:spacing w:val="33"/>
        </w:rPr>
        <w:t> </w:t>
      </w:r>
      <w:r>
        <w:rPr/>
        <w:t>Rate-dependent</w:t>
      </w:r>
      <w:r>
        <w:rPr>
          <w:spacing w:val="-14"/>
        </w:rPr>
        <w:t> </w:t>
      </w:r>
      <w:r>
        <w:rPr/>
        <w:t>theory</w:t>
      </w:r>
      <w:r>
        <w:rPr>
          <w:spacing w:val="-13"/>
        </w:rPr>
        <w:t> </w:t>
      </w:r>
      <w:r>
        <w:rPr/>
        <w:t>recognizes</w:t>
      </w:r>
      <w:r>
        <w:rPr>
          <w:spacing w:val="-13"/>
        </w:rPr>
        <w:t> </w:t>
      </w:r>
      <w:r>
        <w:rPr/>
        <w:t>that</w:t>
      </w:r>
      <w:r>
        <w:rPr>
          <w:spacing w:val="-58"/>
        </w:rPr>
        <w:t> </w:t>
      </w:r>
      <w:r>
        <w:rPr/>
        <w:t>strain</w:t>
      </w:r>
      <w:r>
        <w:rPr>
          <w:spacing w:val="-11"/>
        </w:rPr>
        <w:t> </w:t>
      </w:r>
      <w:r>
        <w:rPr/>
        <w:t>rate</w:t>
      </w:r>
      <w:r>
        <w:rPr>
          <w:spacing w:val="-11"/>
        </w:rPr>
        <w:t> </w:t>
      </w:r>
      <w:r>
        <w:rPr/>
        <w:t>is</w:t>
      </w:r>
      <w:r>
        <w:rPr>
          <w:spacing w:val="-11"/>
        </w:rPr>
        <w:t> </w:t>
      </w:r>
      <w:r>
        <w:rPr/>
        <w:t>dependent</w:t>
      </w:r>
      <w:r>
        <w:rPr>
          <w:spacing w:val="-11"/>
        </w:rPr>
        <w:t> </w:t>
      </w:r>
      <w:r>
        <w:rPr/>
        <w:t>on</w:t>
      </w:r>
      <w:r>
        <w:rPr>
          <w:spacing w:val="-10"/>
        </w:rPr>
        <w:t> </w:t>
      </w:r>
      <w:r>
        <w:rPr/>
        <w:t>plastic</w:t>
      </w:r>
      <w:r>
        <w:rPr>
          <w:spacing w:val="-11"/>
        </w:rPr>
        <w:t> </w:t>
      </w:r>
      <w:r>
        <w:rPr/>
        <w:t>flow</w:t>
      </w:r>
      <w:r>
        <w:rPr>
          <w:spacing w:val="-12"/>
        </w:rPr>
        <w:t> </w:t>
      </w:r>
      <w:r>
        <w:rPr/>
        <w:t>and,</w:t>
      </w:r>
      <w:r>
        <w:rPr>
          <w:spacing w:val="-10"/>
        </w:rPr>
        <w:t> </w:t>
      </w:r>
      <w:r>
        <w:rPr/>
        <w:t>as</w:t>
      </w:r>
      <w:r>
        <w:rPr>
          <w:spacing w:val="-11"/>
        </w:rPr>
        <w:t> </w:t>
      </w:r>
      <w:r>
        <w:rPr/>
        <w:t>the</w:t>
      </w:r>
      <w:r>
        <w:rPr>
          <w:spacing w:val="-10"/>
        </w:rPr>
        <w:t> </w:t>
      </w:r>
      <w:r>
        <w:rPr/>
        <w:t>name</w:t>
      </w:r>
      <w:r>
        <w:rPr>
          <w:spacing w:val="-11"/>
        </w:rPr>
        <w:t> </w:t>
      </w:r>
      <w:r>
        <w:rPr/>
        <w:t>suggests,</w:t>
      </w:r>
      <w:r>
        <w:rPr>
          <w:spacing w:val="-11"/>
        </w:rPr>
        <w:t> </w:t>
      </w:r>
      <w:r>
        <w:rPr/>
        <w:t>dependent</w:t>
      </w:r>
      <w:r>
        <w:rPr>
          <w:spacing w:val="-10"/>
        </w:rPr>
        <w:t> </w:t>
      </w:r>
      <w:r>
        <w:rPr/>
        <w:t>on</w:t>
      </w:r>
      <w:r>
        <w:rPr>
          <w:spacing w:val="-11"/>
        </w:rPr>
        <w:t> </w:t>
      </w:r>
      <w:r>
        <w:rPr/>
        <w:t>the</w:t>
      </w:r>
      <w:r>
        <w:rPr>
          <w:spacing w:val="-10"/>
        </w:rPr>
        <w:t> </w:t>
      </w:r>
      <w:r>
        <w:rPr/>
        <w:t>loading</w:t>
      </w:r>
      <w:r>
        <w:rPr>
          <w:spacing w:val="-58"/>
        </w:rPr>
        <w:t> </w:t>
      </w:r>
      <w:r>
        <w:rPr/>
        <w:t>rate</w:t>
      </w:r>
      <w:r>
        <w:rPr>
          <w:spacing w:val="-1"/>
        </w:rPr>
        <w:t> </w:t>
      </w:r>
      <w:r>
        <w:rPr/>
        <w:t>[126].</w:t>
      </w:r>
    </w:p>
    <w:p>
      <w:pPr>
        <w:pStyle w:val="BodyText"/>
        <w:spacing w:line="480" w:lineRule="auto" w:before="160"/>
        <w:ind w:left="439" w:right="258" w:firstLine="720"/>
        <w:jc w:val="both"/>
      </w:pPr>
      <w:r>
        <w:rPr/>
        <w:t>Shock loading can be studied using rod geometry, with uniaxial stress, where the</w:t>
      </w:r>
      <w:r>
        <w:rPr>
          <w:spacing w:val="1"/>
        </w:rPr>
        <w:t> </w:t>
      </w:r>
      <w:r>
        <w:rPr/>
        <w:t>stress intensity is limited by plasticity or plate geometry, with uniaxial strain, where the</w:t>
      </w:r>
      <w:r>
        <w:rPr>
          <w:spacing w:val="1"/>
        </w:rPr>
        <w:t> </w:t>
      </w:r>
      <w:r>
        <w:rPr/>
        <w:t>stress</w:t>
      </w:r>
      <w:r>
        <w:rPr>
          <w:spacing w:val="-7"/>
        </w:rPr>
        <w:t> </w:t>
      </w:r>
      <w:r>
        <w:rPr/>
        <w:t>intensity</w:t>
      </w:r>
      <w:r>
        <w:rPr>
          <w:spacing w:val="-7"/>
        </w:rPr>
        <w:t> </w:t>
      </w:r>
      <w:r>
        <w:rPr/>
        <w:t>is</w:t>
      </w:r>
      <w:r>
        <w:rPr>
          <w:spacing w:val="-7"/>
        </w:rPr>
        <w:t> </w:t>
      </w:r>
      <w:r>
        <w:rPr/>
        <w:t>dictated</w:t>
      </w:r>
      <w:r>
        <w:rPr>
          <w:spacing w:val="-9"/>
        </w:rPr>
        <w:t> </w:t>
      </w:r>
      <w:r>
        <w:rPr/>
        <w:t>by</w:t>
      </w:r>
      <w:r>
        <w:rPr>
          <w:spacing w:val="-7"/>
        </w:rPr>
        <w:t> </w:t>
      </w:r>
      <w:r>
        <w:rPr/>
        <w:t>bulk</w:t>
      </w:r>
      <w:r>
        <w:rPr>
          <w:spacing w:val="-7"/>
        </w:rPr>
        <w:t> </w:t>
      </w:r>
      <w:r>
        <w:rPr/>
        <w:t>properties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material</w:t>
      </w:r>
      <w:r>
        <w:rPr>
          <w:spacing w:val="-7"/>
        </w:rPr>
        <w:t> </w:t>
      </w:r>
      <w:r>
        <w:rPr/>
        <w:t>failure</w:t>
      </w:r>
      <w:r>
        <w:rPr>
          <w:spacing w:val="-7"/>
        </w:rPr>
        <w:t> </w:t>
      </w:r>
      <w:r>
        <w:rPr/>
        <w:t>decides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pressure</w:t>
      </w:r>
      <w:r>
        <w:rPr>
          <w:spacing w:val="-7"/>
        </w:rPr>
        <w:t> </w:t>
      </w:r>
      <w:r>
        <w:rPr/>
        <w:t>limit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40" w:right="257"/>
        <w:jc w:val="both"/>
      </w:pPr>
      <w:r>
        <w:rPr/>
        <w:t>[124]. Historically, work with shock waves used plate geometries which examined a state</w:t>
      </w:r>
      <w:r>
        <w:rPr>
          <w:spacing w:val="-57"/>
        </w:rPr>
        <w:t> </w:t>
      </w:r>
      <w:r>
        <w:rPr/>
        <w:t>of uniaxial strain and three-dimensional stresses.</w:t>
      </w:r>
      <w:r>
        <w:rPr>
          <w:spacing w:val="1"/>
        </w:rPr>
        <w:t> </w:t>
      </w:r>
      <w:r>
        <w:rPr/>
        <w:t>Uniaxial strain is appropriate for a</w:t>
      </w:r>
      <w:r>
        <w:rPr>
          <w:spacing w:val="1"/>
        </w:rPr>
        <w:t> </w:t>
      </w:r>
      <w:r>
        <w:rPr/>
        <w:t>ballistic impact or other high-rate phenomena where the material does not have time to</w:t>
      </w:r>
      <w:r>
        <w:rPr>
          <w:spacing w:val="1"/>
        </w:rPr>
        <w:t> </w:t>
      </w:r>
      <w:r>
        <w:rPr/>
        <w:t>deform</w:t>
      </w:r>
      <w:r>
        <w:rPr>
          <w:spacing w:val="-3"/>
        </w:rPr>
        <w:t> </w:t>
      </w:r>
      <w:r>
        <w:rPr/>
        <w:t>laterally, at least</w:t>
      </w:r>
      <w:r>
        <w:rPr>
          <w:spacing w:val="-1"/>
        </w:rPr>
        <w:t> </w:t>
      </w:r>
      <w:r>
        <w:rPr/>
        <w:t>initially.</w:t>
      </w:r>
    </w:p>
    <w:p>
      <w:pPr>
        <w:pStyle w:val="ListParagraph"/>
        <w:numPr>
          <w:ilvl w:val="2"/>
          <w:numId w:val="17"/>
        </w:numPr>
        <w:tabs>
          <w:tab w:pos="980" w:val="left" w:leader="none"/>
        </w:tabs>
        <w:spacing w:line="240" w:lineRule="auto" w:before="161" w:after="0"/>
        <w:ind w:left="980" w:right="0" w:hanging="540"/>
        <w:jc w:val="both"/>
        <w:rPr>
          <w:i/>
          <w:sz w:val="24"/>
        </w:rPr>
      </w:pPr>
      <w:bookmarkStart w:name="3.5.2 Shock Hugoniot curve" w:id="110"/>
      <w:bookmarkEnd w:id="110"/>
      <w:r>
        <w:rPr/>
      </w:r>
      <w:bookmarkStart w:name="3.5.2 Shock Hugoniot curve" w:id="111"/>
      <w:bookmarkEnd w:id="111"/>
      <w:r>
        <w:rPr>
          <w:i/>
          <w:sz w:val="24"/>
        </w:rPr>
        <w:t>Shock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Hugoniot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curve</w:t>
      </w:r>
    </w:p>
    <w:p>
      <w:pPr>
        <w:pStyle w:val="BodyText"/>
        <w:spacing w:before="7"/>
        <w:rPr>
          <w:i/>
          <w:sz w:val="22"/>
        </w:rPr>
      </w:pPr>
    </w:p>
    <w:p>
      <w:pPr>
        <w:pStyle w:val="BodyText"/>
        <w:spacing w:line="480" w:lineRule="auto"/>
        <w:ind w:left="439" w:right="257" w:firstLine="720"/>
        <w:jc w:val="both"/>
      </w:pPr>
      <w:r>
        <w:rPr/>
        <w:t>With a shock wave, the relationship between the states on both sides of the shock</w:t>
      </w:r>
      <w:r>
        <w:rPr>
          <w:spacing w:val="1"/>
        </w:rPr>
        <w:t> </w:t>
      </w:r>
      <w:r>
        <w:rPr/>
        <w:t>wave can be described with Rankine-Hugoniot relations, which express the relationship</w:t>
      </w:r>
      <w:r>
        <w:rPr>
          <w:spacing w:val="1"/>
        </w:rPr>
        <w:t> </w:t>
      </w:r>
      <w:r>
        <w:rPr/>
        <w:t>between</w:t>
      </w:r>
      <w:r>
        <w:rPr>
          <w:spacing w:val="1"/>
        </w:rPr>
        <w:t> </w:t>
      </w:r>
      <w:r>
        <w:rPr/>
        <w:t>variables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either</w:t>
      </w:r>
      <w:r>
        <w:rPr>
          <w:spacing w:val="1"/>
        </w:rPr>
        <w:t> </w:t>
      </w:r>
      <w:r>
        <w:rPr/>
        <w:t>side.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conditions</w:t>
      </w:r>
      <w:r>
        <w:rPr>
          <w:spacing w:val="1"/>
        </w:rPr>
        <w:t> </w:t>
      </w:r>
      <w:r>
        <w:rPr/>
        <w:t>effectively</w:t>
      </w:r>
      <w:r>
        <w:rPr>
          <w:spacing w:val="1"/>
        </w:rPr>
        <w:t> </w:t>
      </w:r>
      <w:r>
        <w:rPr/>
        <w:t>set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conservation</w:t>
      </w:r>
      <w:r>
        <w:rPr>
          <w:spacing w:val="-57"/>
        </w:rPr>
        <w:t> </w:t>
      </w:r>
      <w:r>
        <w:rPr/>
        <w:t>equations for mass, momentum, and energy in the conditions of the shock wave speed.</w:t>
      </w:r>
      <w:r>
        <w:rPr>
          <w:spacing w:val="1"/>
        </w:rPr>
        <w:t> </w:t>
      </w:r>
      <w:r>
        <w:rPr/>
        <w:t>Based on the conservation equations, the mass density on either side of the wave, the</w:t>
      </w:r>
      <w:r>
        <w:rPr>
          <w:spacing w:val="1"/>
        </w:rPr>
        <w:t> </w:t>
      </w:r>
      <w:r>
        <w:rPr/>
        <w:t>particle velocity, the pressures and specific internal energies both behind and in front of</w:t>
      </w:r>
      <w:r>
        <w:rPr>
          <w:spacing w:val="1"/>
        </w:rPr>
        <w:t> </w:t>
      </w:r>
      <w:r>
        <w:rPr/>
        <w:t>the shock wave can be determined [20].</w:t>
      </w:r>
      <w:r>
        <w:rPr>
          <w:spacing w:val="1"/>
        </w:rPr>
        <w:t> </w:t>
      </w:r>
      <w:r>
        <w:rPr/>
        <w:t>Assumptions made for the Hugoniot relationship</w:t>
      </w:r>
      <w:r>
        <w:rPr>
          <w:spacing w:val="-57"/>
        </w:rPr>
        <w:t> </w:t>
      </w:r>
      <w:r>
        <w:rPr/>
        <w:t>include inviscid fluid, no heat transfer through conduction or radiation and neglect of</w:t>
      </w:r>
      <w:r>
        <w:rPr>
          <w:spacing w:val="1"/>
        </w:rPr>
        <w:t> </w:t>
      </w:r>
      <w:r>
        <w:rPr/>
        <w:t>gravitational acceleration.</w:t>
      </w:r>
      <w:r>
        <w:rPr>
          <w:spacing w:val="1"/>
        </w:rPr>
        <w:t> </w:t>
      </w:r>
      <w:r>
        <w:rPr/>
        <w:t>The Hugoniot relationship of a material is unique to it and can</w:t>
      </w:r>
      <w:r>
        <w:rPr>
          <w:spacing w:val="-57"/>
        </w:rPr>
        <w:t> </w:t>
      </w:r>
      <w:r>
        <w:rPr/>
        <w:t>be</w:t>
      </w:r>
      <w:r>
        <w:rPr>
          <w:spacing w:val="-7"/>
        </w:rPr>
        <w:t> </w:t>
      </w:r>
      <w:r>
        <w:rPr/>
        <w:t>found</w:t>
      </w:r>
      <w:r>
        <w:rPr>
          <w:spacing w:val="-6"/>
        </w:rPr>
        <w:t> </w:t>
      </w:r>
      <w:r>
        <w:rPr/>
        <w:t>experimentally</w:t>
      </w:r>
      <w:r>
        <w:rPr>
          <w:spacing w:val="-8"/>
        </w:rPr>
        <w:t> </w:t>
      </w:r>
      <w:r>
        <w:rPr/>
        <w:t>with</w:t>
      </w:r>
      <w:r>
        <w:rPr>
          <w:spacing w:val="-6"/>
        </w:rPr>
        <w:t> </w:t>
      </w:r>
      <w:r>
        <w:rPr/>
        <w:t>embedded</w:t>
      </w:r>
      <w:r>
        <w:rPr>
          <w:spacing w:val="-7"/>
        </w:rPr>
        <w:t> </w:t>
      </w:r>
      <w:r>
        <w:rPr/>
        <w:t>stress</w:t>
      </w:r>
      <w:r>
        <w:rPr>
          <w:spacing w:val="-6"/>
        </w:rPr>
        <w:t> </w:t>
      </w:r>
      <w:r>
        <w:rPr/>
        <w:t>gauges</w:t>
      </w:r>
      <w:r>
        <w:rPr>
          <w:spacing w:val="-7"/>
        </w:rPr>
        <w:t> </w:t>
      </w:r>
      <w:r>
        <w:rPr/>
        <w:t>or</w:t>
      </w:r>
      <w:r>
        <w:rPr>
          <w:spacing w:val="-6"/>
        </w:rPr>
        <w:t> </w:t>
      </w:r>
      <w:r>
        <w:rPr/>
        <w:t>using</w:t>
      </w:r>
      <w:r>
        <w:rPr>
          <w:spacing w:val="-7"/>
        </w:rPr>
        <w:t> </w:t>
      </w:r>
      <w:r>
        <w:rPr/>
        <w:t>interferometric</w:t>
      </w:r>
      <w:r>
        <w:rPr>
          <w:spacing w:val="-6"/>
        </w:rPr>
        <w:t> </w:t>
      </w:r>
      <w:r>
        <w:rPr/>
        <w:t>techniques.</w:t>
      </w:r>
    </w:p>
    <w:p>
      <w:pPr>
        <w:pStyle w:val="BodyText"/>
        <w:spacing w:line="480" w:lineRule="auto" w:before="160"/>
        <w:ind w:left="439" w:right="257" w:firstLine="720"/>
        <w:jc w:val="both"/>
      </w:pPr>
      <w:r>
        <w:rPr/>
        <w:t>The conservation laws apply and assist with equations regarding the behavior of</w:t>
      </w:r>
      <w:r>
        <w:rPr>
          <w:spacing w:val="1"/>
        </w:rPr>
        <w:t> </w:t>
      </w:r>
      <w:r>
        <w:rPr/>
        <w:t>shock</w:t>
      </w:r>
      <w:r>
        <w:rPr>
          <w:spacing w:val="-7"/>
        </w:rPr>
        <w:t> </w:t>
      </w:r>
      <w:r>
        <w:rPr/>
        <w:t>waves.</w:t>
      </w:r>
      <w:r>
        <w:rPr>
          <w:spacing w:val="46"/>
        </w:rPr>
        <w:t> </w:t>
      </w:r>
      <w:r>
        <w:rPr/>
        <w:t>A</w:t>
      </w:r>
      <w:r>
        <w:rPr>
          <w:spacing w:val="-8"/>
        </w:rPr>
        <w:t> </w:t>
      </w:r>
      <w:r>
        <w:rPr/>
        <w:t>Hugoniot</w:t>
      </w:r>
      <w:r>
        <w:rPr>
          <w:spacing w:val="-6"/>
        </w:rPr>
        <w:t> </w:t>
      </w:r>
      <w:r>
        <w:rPr/>
        <w:t>curve</w:t>
      </w:r>
      <w:r>
        <w:rPr>
          <w:spacing w:val="-7"/>
        </w:rPr>
        <w:t> </w:t>
      </w:r>
      <w:r>
        <w:rPr/>
        <w:t>for</w:t>
      </w:r>
      <w:r>
        <w:rPr>
          <w:spacing w:val="-8"/>
        </w:rPr>
        <w:t> </w:t>
      </w:r>
      <w:r>
        <w:rPr/>
        <w:t>a</w:t>
      </w:r>
      <w:r>
        <w:rPr>
          <w:spacing w:val="-7"/>
        </w:rPr>
        <w:t> </w:t>
      </w:r>
      <w:r>
        <w:rPr/>
        <w:t>material</w:t>
      </w:r>
      <w:r>
        <w:rPr>
          <w:spacing w:val="-7"/>
        </w:rPr>
        <w:t> </w:t>
      </w:r>
      <w:r>
        <w:rPr/>
        <w:t>can</w:t>
      </w:r>
      <w:r>
        <w:rPr>
          <w:spacing w:val="-6"/>
        </w:rPr>
        <w:t> </w:t>
      </w:r>
      <w:r>
        <w:rPr/>
        <w:t>be</w:t>
      </w:r>
      <w:r>
        <w:rPr>
          <w:spacing w:val="-7"/>
        </w:rPr>
        <w:t> </w:t>
      </w:r>
      <w:r>
        <w:rPr/>
        <w:t>developed</w:t>
      </w:r>
      <w:r>
        <w:rPr>
          <w:spacing w:val="-7"/>
        </w:rPr>
        <w:t> </w:t>
      </w:r>
      <w:r>
        <w:rPr/>
        <w:t>based</w:t>
      </w:r>
      <w:r>
        <w:rPr>
          <w:spacing w:val="-7"/>
        </w:rPr>
        <w:t> </w:t>
      </w:r>
      <w:r>
        <w:rPr/>
        <w:t>on</w:t>
      </w:r>
      <w:r>
        <w:rPr>
          <w:spacing w:val="-9"/>
        </w:rPr>
        <w:t> </w:t>
      </w:r>
      <w:r>
        <w:rPr/>
        <w:t>the</w:t>
      </w:r>
      <w:r>
        <w:rPr>
          <w:spacing w:val="-6"/>
        </w:rPr>
        <w:t> </w:t>
      </w:r>
      <w:r>
        <w:rPr/>
        <w:t>combination</w:t>
      </w:r>
      <w:r>
        <w:rPr>
          <w:spacing w:val="-58"/>
        </w:rPr>
        <w:t> </w:t>
      </w:r>
      <w:r>
        <w:rPr/>
        <w:t>of the laws of conservation of mass, momentum and energy and knowledge of material</w:t>
      </w:r>
      <w:r>
        <w:rPr>
          <w:spacing w:val="1"/>
        </w:rPr>
        <w:t> </w:t>
      </w:r>
      <w:r>
        <w:rPr/>
        <w:t>characteristics such as density, stress, modulus of elasticity at initial and final states of</w:t>
      </w:r>
      <w:r>
        <w:rPr>
          <w:spacing w:val="1"/>
        </w:rPr>
        <w:t> </w:t>
      </w:r>
      <w:r>
        <w:rPr/>
        <w:t>shock.</w:t>
      </w:r>
      <w:r>
        <w:rPr>
          <w:spacing w:val="1"/>
        </w:rPr>
        <w:t> </w:t>
      </w:r>
      <w:r>
        <w:rPr/>
        <w:t>Equation 3.7 shows the conservation of energy Rankine-Hugoniot equation for a</w:t>
      </w:r>
      <w:r>
        <w:rPr>
          <w:spacing w:val="1"/>
        </w:rPr>
        <w:t> </w:t>
      </w:r>
      <w:r>
        <w:rPr/>
        <w:t>steady</w:t>
      </w:r>
      <w:r>
        <w:rPr>
          <w:spacing w:val="-1"/>
        </w:rPr>
        <w:t> </w:t>
      </w:r>
      <w:r>
        <w:rPr/>
        <w:t>plane</w:t>
      </w:r>
      <w:r>
        <w:rPr>
          <w:spacing w:val="-1"/>
        </w:rPr>
        <w:t> </w:t>
      </w:r>
      <w:r>
        <w:rPr/>
        <w:t>one-dimensional shock</w:t>
      </w:r>
      <w:r>
        <w:rPr>
          <w:spacing w:val="-2"/>
        </w:rPr>
        <w:t> </w:t>
      </w:r>
      <w:r>
        <w:rPr/>
        <w:t>wave: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tbl>
      <w:tblPr>
        <w:tblW w:w="0" w:type="auto"/>
        <w:jc w:val="left"/>
        <w:tblInd w:w="182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753"/>
        <w:gridCol w:w="1603"/>
      </w:tblGrid>
      <w:tr>
        <w:trPr>
          <w:trHeight w:val="818" w:hRule="atLeast"/>
        </w:trPr>
        <w:tc>
          <w:tcPr>
            <w:tcW w:w="5753" w:type="dxa"/>
          </w:tcPr>
          <w:p>
            <w:pPr>
              <w:pStyle w:val="TableParagraph"/>
              <w:tabs>
                <w:tab w:pos="2673" w:val="left" w:leader="none"/>
                <w:tab w:pos="2905" w:val="left" w:leader="none"/>
                <w:tab w:pos="3137" w:val="left" w:leader="none"/>
              </w:tabs>
              <w:spacing w:line="115" w:lineRule="auto" w:before="68"/>
              <w:ind w:left="1283" w:right="2495" w:firstLine="1100"/>
              <w:rPr>
                <w:rFonts w:ascii="Cambria Math" w:hAnsi="Cambria Math" w:cs="Cambria Math" w:eastAsia="Cambria Math"/>
                <w:sz w:val="24"/>
                <w:szCs w:val="24"/>
              </w:rPr>
            </w:pPr>
            <w:r>
              <w:rPr>
                <w:rFonts w:ascii="Cambria Math" w:hAnsi="Cambria Math" w:cs="Cambria Math" w:eastAsia="Cambria Math"/>
                <w:sz w:val="24"/>
                <w:szCs w:val="24"/>
                <w:u w:val="single"/>
              </w:rPr>
              <w:t>1</w:t>
            </w:r>
            <w:r>
              <w:rPr>
                <w:rFonts w:ascii="Cambria Math" w:hAnsi="Cambria Math" w:cs="Cambria Math" w:eastAsia="Cambria Math"/>
                <w:sz w:val="24"/>
                <w:szCs w:val="24"/>
              </w:rPr>
              <w:tab/>
              <w:tab/>
            </w:r>
            <w:r>
              <w:rPr>
                <w:rFonts w:ascii="Cambria Math" w:hAnsi="Cambria Math" w:cs="Cambria Math" w:eastAsia="Cambria Math"/>
                <w:sz w:val="24"/>
                <w:szCs w:val="24"/>
                <w:u w:val="single"/>
              </w:rPr>
              <w:t>1</w:t>
            </w:r>
            <w:r>
              <w:rPr>
                <w:rFonts w:ascii="Cambria Math" w:hAnsi="Cambria Math" w:cs="Cambria Math" w:eastAsia="Cambria Math"/>
                <w:spacing w:val="1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spacing w:val="-5"/>
                <w:w w:val="90"/>
                <w:position w:val="1"/>
                <w:sz w:val="24"/>
                <w:szCs w:val="24"/>
              </w:rPr>
              <w:t>(</w:t>
            </w:r>
            <w:r>
              <w:rPr>
                <w:rFonts w:ascii="Cambria Math" w:hAnsi="Cambria Math" w:cs="Cambria Math" w:eastAsia="Cambria Math"/>
                <w:spacing w:val="-5"/>
                <w:w w:val="90"/>
                <w:sz w:val="24"/>
                <w:szCs w:val="24"/>
              </w:rPr>
              <w:t>𝑃</w:t>
            </w:r>
            <w:r>
              <w:rPr>
                <w:rFonts w:ascii="Cambria Math" w:hAnsi="Cambria Math" w:cs="Cambria Math" w:eastAsia="Cambria Math"/>
                <w:spacing w:val="-5"/>
                <w:w w:val="90"/>
                <w:position w:val="-4"/>
                <w:sz w:val="17"/>
                <w:szCs w:val="17"/>
              </w:rPr>
              <w:t>1</w:t>
            </w:r>
            <w:r>
              <w:rPr>
                <w:rFonts w:ascii="Cambria Math" w:hAnsi="Cambria Math" w:cs="Cambria Math" w:eastAsia="Cambria Math"/>
                <w:spacing w:val="25"/>
                <w:position w:val="-4"/>
                <w:sz w:val="17"/>
                <w:szCs w:val="17"/>
              </w:rPr>
              <w:t> </w:t>
            </w:r>
            <w:r>
              <w:rPr>
                <w:rFonts w:ascii="Cambria Math" w:hAnsi="Cambria Math" w:cs="Cambria Math" w:eastAsia="Cambria Math"/>
                <w:spacing w:val="-5"/>
                <w:w w:val="90"/>
                <w:sz w:val="24"/>
                <w:szCs w:val="24"/>
              </w:rPr>
              <w:t>+</w:t>
            </w:r>
            <w:r>
              <w:rPr>
                <w:rFonts w:ascii="Cambria Math" w:hAnsi="Cambria Math" w:cs="Cambria Math" w:eastAsia="Cambria Math"/>
                <w:spacing w:val="5"/>
                <w:w w:val="90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spacing w:val="-5"/>
                <w:w w:val="90"/>
                <w:sz w:val="24"/>
                <w:szCs w:val="24"/>
              </w:rPr>
              <w:t>𝑃</w:t>
            </w:r>
            <w:r>
              <w:rPr>
                <w:rFonts w:ascii="Cambria Math" w:hAnsi="Cambria Math" w:cs="Cambria Math" w:eastAsia="Cambria Math"/>
                <w:spacing w:val="-5"/>
                <w:w w:val="90"/>
                <w:position w:val="-4"/>
                <w:sz w:val="17"/>
                <w:szCs w:val="17"/>
              </w:rPr>
              <w:t>0</w:t>
            </w:r>
            <w:r>
              <w:rPr>
                <w:rFonts w:ascii="Cambria Math" w:hAnsi="Cambria Math" w:cs="Cambria Math" w:eastAsia="Cambria Math"/>
                <w:spacing w:val="-5"/>
                <w:w w:val="90"/>
                <w:position w:val="1"/>
                <w:sz w:val="24"/>
                <w:szCs w:val="24"/>
              </w:rPr>
              <w:t>)</w:t>
            </w:r>
            <w:r>
              <w:rPr>
                <w:rFonts w:ascii="Cambria Math" w:hAnsi="Cambria Math" w:cs="Cambria Math" w:eastAsia="Cambria Math"/>
                <w:spacing w:val="-8"/>
                <w:w w:val="90"/>
                <w:position w:val="1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spacing w:val="-5"/>
                <w:w w:val="85"/>
                <w:sz w:val="24"/>
                <w:szCs w:val="24"/>
              </w:rPr>
              <w:t>�</w:t>
              <w:tab/>
            </w:r>
            <w:r>
              <w:rPr>
                <w:rFonts w:ascii="Cambria Math" w:hAnsi="Cambria Math" w:cs="Cambria Math" w:eastAsia="Cambria Math"/>
                <w:sz w:val="24"/>
                <w:szCs w:val="24"/>
              </w:rPr>
              <w:t>−</w:t>
              <w:tab/>
              <w:tab/>
            </w:r>
            <w:r>
              <w:rPr>
                <w:rFonts w:ascii="Cambria Math" w:hAnsi="Cambria Math" w:cs="Cambria Math" w:eastAsia="Cambria Math"/>
                <w:spacing w:val="-6"/>
                <w:w w:val="50"/>
                <w:sz w:val="24"/>
                <w:szCs w:val="24"/>
              </w:rPr>
              <w:t>�</w:t>
            </w:r>
          </w:p>
          <w:p>
            <w:pPr>
              <w:pStyle w:val="TableParagraph"/>
              <w:tabs>
                <w:tab w:pos="2383" w:val="left" w:leader="none"/>
                <w:tab w:pos="2905" w:val="left" w:leader="none"/>
              </w:tabs>
              <w:spacing w:line="183" w:lineRule="exact"/>
              <w:ind w:left="200"/>
              <w:rPr>
                <w:rFonts w:ascii="Cambria Math" w:hAnsi="Cambria Math" w:eastAsia="Cambria Math"/>
                <w:sz w:val="24"/>
              </w:rPr>
            </w:pPr>
            <w:r>
              <w:rPr>
                <w:rFonts w:ascii="Cambria Math" w:hAnsi="Cambria Math" w:eastAsia="Cambria Math"/>
                <w:sz w:val="24"/>
              </w:rPr>
              <w:t>𝐸</w:t>
            </w:r>
            <w:r>
              <w:rPr>
                <w:rFonts w:ascii="Cambria Math" w:hAnsi="Cambria Math" w:eastAsia="Cambria Math"/>
                <w:spacing w:val="89"/>
                <w:sz w:val="24"/>
              </w:rPr>
              <w:t> </w:t>
            </w:r>
            <w:r>
              <w:rPr>
                <w:rFonts w:ascii="Cambria Math" w:hAnsi="Cambria Math" w:eastAsia="Cambria Math"/>
                <w:sz w:val="24"/>
              </w:rPr>
              <w:t>− 𝐸  </w:t>
            </w:r>
            <w:r>
              <w:rPr>
                <w:rFonts w:ascii="Cambria Math" w:hAnsi="Cambria Math" w:eastAsia="Cambria Math"/>
                <w:spacing w:val="3"/>
                <w:sz w:val="24"/>
              </w:rPr>
              <w:t> </w:t>
            </w:r>
            <w:r>
              <w:rPr>
                <w:rFonts w:ascii="Cambria Math" w:hAnsi="Cambria Math" w:eastAsia="Cambria Math"/>
                <w:sz w:val="24"/>
              </w:rPr>
              <w:t>=</w:t>
              <w:tab/>
            </w:r>
            <w:r>
              <w:rPr>
                <w:rFonts w:ascii="Cambria Math" w:hAnsi="Cambria Math" w:eastAsia="Cambria Math"/>
                <w:position w:val="16"/>
                <w:sz w:val="24"/>
              </w:rPr>
              <w:t>𝜌</w:t>
            </w:r>
            <w:r>
              <w:rPr>
                <w:rFonts w:ascii="Cambria Math" w:hAnsi="Cambria Math" w:eastAsia="Cambria Math"/>
                <w:position w:val="11"/>
                <w:sz w:val="17"/>
              </w:rPr>
              <w:t>0</w:t>
              <w:tab/>
            </w:r>
            <w:r>
              <w:rPr>
                <w:rFonts w:ascii="Cambria Math" w:hAnsi="Cambria Math" w:eastAsia="Cambria Math"/>
                <w:spacing w:val="-5"/>
                <w:position w:val="16"/>
                <w:sz w:val="24"/>
              </w:rPr>
              <w:t>𝜌</w:t>
            </w:r>
            <w:r>
              <w:rPr>
                <w:rFonts w:ascii="Cambria Math" w:hAnsi="Cambria Math" w:eastAsia="Cambria Math"/>
                <w:spacing w:val="-5"/>
                <w:position w:val="11"/>
                <w:sz w:val="17"/>
              </w:rPr>
              <w:t>1</w:t>
            </w:r>
            <w:r>
              <w:rPr>
                <w:rFonts w:ascii="Cambria Math" w:hAnsi="Cambria Math" w:eastAsia="Cambria Math"/>
                <w:spacing w:val="27"/>
                <w:position w:val="11"/>
                <w:sz w:val="17"/>
              </w:rPr>
              <w:t>  </w:t>
            </w:r>
            <w:r>
              <w:rPr>
                <w:rFonts w:ascii="Cambria Math" w:hAnsi="Cambria Math" w:eastAsia="Cambria Math"/>
                <w:spacing w:val="28"/>
                <w:position w:val="11"/>
                <w:sz w:val="17"/>
              </w:rPr>
              <w:t> </w:t>
            </w:r>
            <w:r>
              <w:rPr>
                <w:rFonts w:ascii="Cambria Math" w:hAnsi="Cambria Math" w:eastAsia="Cambria Math"/>
                <w:sz w:val="24"/>
              </w:rPr>
              <w:t>=</w:t>
            </w:r>
            <w:r>
              <w:rPr>
                <w:rFonts w:ascii="Cambria Math" w:hAnsi="Cambria Math" w:eastAsia="Cambria Math"/>
                <w:spacing w:val="14"/>
                <w:sz w:val="24"/>
              </w:rPr>
              <w:t> </w:t>
            </w:r>
            <w:r>
              <w:rPr>
                <w:rFonts w:ascii="Cambria Math" w:hAnsi="Cambria Math" w:eastAsia="Cambria Math"/>
                <w:position w:val="18"/>
                <w:sz w:val="24"/>
              </w:rPr>
              <w:t>1</w:t>
            </w:r>
            <w:r>
              <w:rPr>
                <w:rFonts w:ascii="Cambria Math" w:hAnsi="Cambria Math" w:eastAsia="Cambria Math"/>
                <w:spacing w:val="-12"/>
                <w:position w:val="18"/>
                <w:sz w:val="24"/>
              </w:rPr>
              <w:t> </w:t>
            </w:r>
            <w:r>
              <w:rPr>
                <w:rFonts w:ascii="Cambria Math" w:hAnsi="Cambria Math" w:eastAsia="Cambria Math"/>
                <w:position w:val="1"/>
                <w:sz w:val="24"/>
              </w:rPr>
              <w:t>(</w:t>
            </w:r>
            <w:r>
              <w:rPr>
                <w:rFonts w:ascii="Cambria Math" w:hAnsi="Cambria Math" w:eastAsia="Cambria Math"/>
                <w:sz w:val="24"/>
              </w:rPr>
              <w:t>𝑢</w:t>
            </w:r>
            <w:r>
              <w:rPr>
                <w:rFonts w:ascii="Cambria Math" w:hAnsi="Cambria Math" w:eastAsia="Cambria Math"/>
                <w:spacing w:val="54"/>
                <w:sz w:val="24"/>
              </w:rPr>
              <w:t> </w:t>
            </w:r>
            <w:r>
              <w:rPr>
                <w:rFonts w:ascii="Cambria Math" w:hAnsi="Cambria Math" w:eastAsia="Cambria Math"/>
                <w:sz w:val="24"/>
              </w:rPr>
              <w:t>−</w:t>
            </w:r>
            <w:r>
              <w:rPr>
                <w:rFonts w:ascii="Cambria Math" w:hAnsi="Cambria Math" w:eastAsia="Cambria Math"/>
                <w:spacing w:val="1"/>
                <w:sz w:val="24"/>
              </w:rPr>
              <w:t> </w:t>
            </w:r>
            <w:r>
              <w:rPr>
                <w:rFonts w:ascii="Cambria Math" w:hAnsi="Cambria Math" w:eastAsia="Cambria Math"/>
                <w:sz w:val="24"/>
              </w:rPr>
              <w:t>𝑢</w:t>
            </w:r>
            <w:r>
              <w:rPr>
                <w:rFonts w:ascii="Cambria Math" w:hAnsi="Cambria Math" w:eastAsia="Cambria Math"/>
                <w:spacing w:val="57"/>
                <w:sz w:val="24"/>
              </w:rPr>
              <w:t> </w:t>
            </w:r>
            <w:r>
              <w:rPr>
                <w:rFonts w:ascii="Cambria Math" w:hAnsi="Cambria Math" w:eastAsia="Cambria Math"/>
                <w:position w:val="1"/>
                <w:sz w:val="24"/>
              </w:rPr>
              <w:t>)</w:t>
            </w:r>
            <w:r>
              <w:rPr>
                <w:rFonts w:ascii="Cambria Math" w:hAnsi="Cambria Math" w:eastAsia="Cambria Math"/>
                <w:position w:val="1"/>
                <w:sz w:val="24"/>
                <w:vertAlign w:val="superscript"/>
              </w:rPr>
              <w:t>2</w:t>
            </w:r>
          </w:p>
          <w:p>
            <w:pPr>
              <w:pStyle w:val="TableParagraph"/>
              <w:tabs>
                <w:tab w:pos="862" w:val="left" w:leader="none"/>
                <w:tab w:pos="2201" w:val="left" w:leader="none"/>
                <w:tab w:pos="3567" w:val="left" w:leader="none"/>
                <w:tab w:pos="3971" w:val="left" w:leader="none"/>
                <w:tab w:pos="4504" w:val="left" w:leader="none"/>
              </w:tabs>
              <w:spacing w:line="81" w:lineRule="auto"/>
              <w:ind w:left="330"/>
              <w:rPr>
                <w:rFonts w:ascii="Cambria Math"/>
                <w:sz w:val="17"/>
              </w:rPr>
            </w:pPr>
            <w:r>
              <w:rPr>
                <w:rFonts w:ascii="Cambria Math"/>
                <w:w w:val="105"/>
                <w:sz w:val="17"/>
              </w:rPr>
              <w:t>1</w:t>
              <w:tab/>
              <w:t>0</w:t>
              <w:tab/>
            </w:r>
            <w:r>
              <w:rPr>
                <w:rFonts w:ascii="Cambria Math"/>
                <w:w w:val="105"/>
                <w:position w:val="-10"/>
                <w:sz w:val="24"/>
              </w:rPr>
              <w:t>2</w:t>
              <w:tab/>
              <w:t>2</w:t>
              <w:tab/>
            </w:r>
            <w:r>
              <w:rPr>
                <w:rFonts w:ascii="Cambria Math"/>
                <w:w w:val="105"/>
                <w:sz w:val="17"/>
              </w:rPr>
              <w:t>1</w:t>
              <w:tab/>
              <w:t>0</w:t>
            </w:r>
          </w:p>
        </w:tc>
        <w:tc>
          <w:tcPr>
            <w:tcW w:w="1603" w:type="dxa"/>
          </w:tcPr>
          <w:p>
            <w:pPr>
              <w:pStyle w:val="TableParagraph"/>
              <w:spacing w:before="231"/>
              <w:ind w:left="942"/>
              <w:rPr>
                <w:sz w:val="24"/>
              </w:rPr>
            </w:pPr>
            <w:r>
              <w:rPr>
                <w:sz w:val="24"/>
              </w:rPr>
              <w:t>(3.7)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0"/>
        </w:rPr>
      </w:pPr>
    </w:p>
    <w:p>
      <w:pPr>
        <w:pStyle w:val="BodyText"/>
        <w:spacing w:line="480" w:lineRule="auto" w:before="1"/>
        <w:ind w:left="440" w:right="257"/>
        <w:jc w:val="both"/>
      </w:pPr>
      <w:r>
        <w:rPr/>
        <w:pict>
          <v:rect style="position:absolute;margin-left:241.020004pt;margin-top:-61.326893pt;width:98.52pt;height:.78pt;mso-position-horizontal-relative:page;mso-position-vertical-relative:paragraph;z-index:-34952192" filled="true" fillcolor="#000000" stroked="false">
            <v:fill type="solid"/>
            <w10:wrap type="none"/>
          </v:rect>
        </w:pict>
      </w:r>
      <w:r>
        <w:rPr/>
        <w:pict>
          <v:rect style="position:absolute;margin-left:355.200012pt;margin-top:-61.326893pt;width:6.66pt;height:.78pt;mso-position-horizontal-relative:page;mso-position-vertical-relative:paragraph;z-index:-34951680" filled="true" fillcolor="#000000" stroked="false">
            <v:fill type="solid"/>
            <w10:wrap type="none"/>
          </v:rect>
        </w:pict>
      </w:r>
      <w:r>
        <w:rPr>
          <w:position w:val="1"/>
        </w:rPr>
        <w:t>where </w:t>
      </w:r>
      <w:r>
        <w:rPr>
          <w:i/>
          <w:position w:val="1"/>
        </w:rPr>
        <w:t>E</w:t>
      </w:r>
      <w:r>
        <w:rPr>
          <w:i/>
          <w:sz w:val="16"/>
        </w:rPr>
        <w:t>i </w:t>
      </w:r>
      <w:r>
        <w:rPr>
          <w:position w:val="1"/>
        </w:rPr>
        <w:t>is the internal energy, </w:t>
      </w:r>
      <w:r>
        <w:rPr>
          <w:i/>
          <w:position w:val="1"/>
        </w:rPr>
        <w:t>ρ </w:t>
      </w:r>
      <w:r>
        <w:rPr>
          <w:position w:val="1"/>
        </w:rPr>
        <w:t>is density, </w:t>
      </w:r>
      <w:r>
        <w:rPr>
          <w:i/>
          <w:position w:val="1"/>
        </w:rPr>
        <w:t>u </w:t>
      </w:r>
      <w:r>
        <w:rPr>
          <w:position w:val="1"/>
        </w:rPr>
        <w:t>is particle velocity, </w:t>
      </w:r>
      <w:r>
        <w:rPr>
          <w:i/>
          <w:position w:val="1"/>
        </w:rPr>
        <w:t>P </w:t>
      </w:r>
      <w:r>
        <w:rPr>
          <w:position w:val="1"/>
        </w:rPr>
        <w:t>is shock pressure and</w:t>
      </w:r>
      <w:r>
        <w:rPr>
          <w:spacing w:val="1"/>
          <w:position w:val="1"/>
        </w:rPr>
        <w:t> </w:t>
      </w:r>
      <w:r>
        <w:rPr/>
        <w:t>the</w:t>
      </w:r>
      <w:r>
        <w:rPr>
          <w:spacing w:val="-8"/>
        </w:rPr>
        <w:t> </w:t>
      </w:r>
      <w:r>
        <w:rPr/>
        <w:t>subscripts</w:t>
      </w:r>
      <w:r>
        <w:rPr>
          <w:spacing w:val="-8"/>
        </w:rPr>
        <w:t> </w:t>
      </w:r>
      <w:r>
        <w:rPr>
          <w:i/>
        </w:rPr>
        <w:t>0</w:t>
      </w:r>
      <w:r>
        <w:rPr>
          <w:i/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>
          <w:i/>
        </w:rPr>
        <w:t>1</w:t>
      </w:r>
      <w:r>
        <w:rPr>
          <w:i/>
          <w:spacing w:val="-9"/>
        </w:rPr>
        <w:t> </w:t>
      </w:r>
      <w:r>
        <w:rPr/>
        <w:t>are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state</w:t>
      </w:r>
      <w:r>
        <w:rPr>
          <w:spacing w:val="-10"/>
        </w:rPr>
        <w:t> </w:t>
      </w:r>
      <w:r>
        <w:rPr/>
        <w:t>in</w:t>
      </w:r>
      <w:r>
        <w:rPr>
          <w:spacing w:val="-9"/>
        </w:rPr>
        <w:t> </w:t>
      </w:r>
      <w:r>
        <w:rPr/>
        <w:t>front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and</w:t>
      </w:r>
      <w:r>
        <w:rPr>
          <w:spacing w:val="-8"/>
        </w:rPr>
        <w:t> </w:t>
      </w:r>
      <w:r>
        <w:rPr/>
        <w:t>behind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shock</w:t>
      </w:r>
      <w:r>
        <w:rPr>
          <w:spacing w:val="-9"/>
        </w:rPr>
        <w:t> </w:t>
      </w:r>
      <w:r>
        <w:rPr/>
        <w:t>front,</w:t>
      </w:r>
      <w:r>
        <w:rPr>
          <w:spacing w:val="-9"/>
        </w:rPr>
        <w:t> </w:t>
      </w:r>
      <w:r>
        <w:rPr/>
        <w:t>respectively.</w:t>
      </w:r>
      <w:r>
        <w:rPr>
          <w:spacing w:val="43"/>
        </w:rPr>
        <w:t> </w:t>
      </w:r>
      <w:r>
        <w:rPr/>
        <w:t>The</w:t>
      </w:r>
      <w:r>
        <w:rPr>
          <w:spacing w:val="-58"/>
        </w:rPr>
        <w:t> </w:t>
      </w:r>
      <w:r>
        <w:rPr/>
        <w:t>curve, which is typically a graphic depiction of the pressure-specific volume relationship,</w:t>
      </w:r>
      <w:r>
        <w:rPr>
          <w:spacing w:val="-57"/>
        </w:rPr>
        <w:t> </w:t>
      </w:r>
      <w:r>
        <w:rPr/>
        <w:t>or</w:t>
      </w:r>
      <w:r>
        <w:rPr>
          <w:spacing w:val="-6"/>
        </w:rPr>
        <w:t> </w:t>
      </w:r>
      <w:r>
        <w:rPr/>
        <w:t>P-V</w:t>
      </w:r>
      <w:r>
        <w:rPr>
          <w:spacing w:val="-7"/>
        </w:rPr>
        <w:t> </w:t>
      </w:r>
      <w:r>
        <w:rPr/>
        <w:t>curve</w:t>
      </w:r>
      <w:r>
        <w:rPr>
          <w:spacing w:val="-6"/>
        </w:rPr>
        <w:t> </w:t>
      </w:r>
      <w:r>
        <w:rPr/>
        <w:t>as</w:t>
      </w:r>
      <w:r>
        <w:rPr>
          <w:spacing w:val="-6"/>
        </w:rPr>
        <w:t> </w:t>
      </w:r>
      <w:r>
        <w:rPr/>
        <w:t>it</w:t>
      </w:r>
      <w:r>
        <w:rPr>
          <w:spacing w:val="-6"/>
        </w:rPr>
        <w:t> </w:t>
      </w:r>
      <w:r>
        <w:rPr/>
        <w:t>is</w:t>
      </w:r>
      <w:r>
        <w:rPr>
          <w:spacing w:val="-5"/>
        </w:rPr>
        <w:t> </w:t>
      </w:r>
      <w:r>
        <w:rPr/>
        <w:t>sometimes</w:t>
      </w:r>
      <w:r>
        <w:rPr>
          <w:spacing w:val="-6"/>
        </w:rPr>
        <w:t> </w:t>
      </w:r>
      <w:r>
        <w:rPr/>
        <w:t>identified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literature,</w:t>
      </w:r>
      <w:r>
        <w:rPr>
          <w:spacing w:val="-5"/>
        </w:rPr>
        <w:t> </w:t>
      </w:r>
      <w:r>
        <w:rPr/>
        <w:t>can</w:t>
      </w:r>
      <w:r>
        <w:rPr>
          <w:spacing w:val="-7"/>
        </w:rPr>
        <w:t> </w:t>
      </w:r>
      <w:r>
        <w:rPr/>
        <w:t>be</w:t>
      </w:r>
      <w:r>
        <w:rPr>
          <w:spacing w:val="-6"/>
        </w:rPr>
        <w:t> </w:t>
      </w:r>
      <w:r>
        <w:rPr/>
        <w:t>determined</w:t>
      </w:r>
      <w:r>
        <w:rPr>
          <w:spacing w:val="-6"/>
        </w:rPr>
        <w:t> </w:t>
      </w:r>
      <w:r>
        <w:rPr/>
        <w:t>by</w:t>
      </w:r>
      <w:r>
        <w:rPr>
          <w:spacing w:val="-6"/>
        </w:rPr>
        <w:t> </w:t>
      </w:r>
      <w:r>
        <w:rPr/>
        <w:t>a</w:t>
      </w:r>
      <w:r>
        <w:rPr>
          <w:spacing w:val="-6"/>
        </w:rPr>
        <w:t> </w:t>
      </w:r>
      <w:r>
        <w:rPr/>
        <w:t>series</w:t>
      </w:r>
      <w:r>
        <w:rPr>
          <w:spacing w:val="-5"/>
        </w:rPr>
        <w:t> </w:t>
      </w:r>
      <w:r>
        <w:rPr/>
        <w:t>of</w:t>
      </w:r>
      <w:r>
        <w:rPr>
          <w:spacing w:val="-58"/>
        </w:rPr>
        <w:t> </w:t>
      </w:r>
      <w:r>
        <w:rPr/>
        <w:t>plate impact experiments with a flyer plate of varied velocities forming the curve.</w:t>
      </w:r>
      <w:r>
        <w:rPr>
          <w:spacing w:val="1"/>
        </w:rPr>
        <w:t> </w:t>
      </w:r>
      <w:r>
        <w:rPr/>
        <w:t>Each</w:t>
      </w:r>
      <w:r>
        <w:rPr>
          <w:spacing w:val="1"/>
        </w:rPr>
        <w:t> </w:t>
      </w:r>
      <w:r>
        <w:rPr/>
        <w:t>shock wave experiment of a set velocity yields a single P, V point, or Hugoniot end state.</w:t>
      </w:r>
      <w:r>
        <w:rPr>
          <w:spacing w:val="1"/>
        </w:rPr>
        <w:t> </w:t>
      </w:r>
      <w:r>
        <w:rPr/>
        <w:t>A straight line connecting two of those points is called a Rayleigh line, or compression</w:t>
      </w:r>
      <w:r>
        <w:rPr>
          <w:spacing w:val="1"/>
        </w:rPr>
        <w:t> </w:t>
      </w:r>
      <w:r>
        <w:rPr/>
        <w:t>path,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can</w:t>
      </w:r>
      <w:r>
        <w:rPr>
          <w:spacing w:val="-12"/>
        </w:rPr>
        <w:t> </w:t>
      </w:r>
      <w:r>
        <w:rPr/>
        <w:t>be</w:t>
      </w:r>
      <w:r>
        <w:rPr>
          <w:spacing w:val="-13"/>
        </w:rPr>
        <w:t> </w:t>
      </w:r>
      <w:r>
        <w:rPr/>
        <w:t>drawn</w:t>
      </w:r>
      <w:r>
        <w:rPr>
          <w:spacing w:val="-12"/>
        </w:rPr>
        <w:t> </w:t>
      </w:r>
      <w:r>
        <w:rPr/>
        <w:t>to</w:t>
      </w:r>
      <w:r>
        <w:rPr>
          <w:spacing w:val="-13"/>
        </w:rPr>
        <w:t> </w:t>
      </w:r>
      <w:r>
        <w:rPr/>
        <w:t>connect</w:t>
      </w:r>
      <w:r>
        <w:rPr>
          <w:spacing w:val="-12"/>
        </w:rPr>
        <w:t> </w:t>
      </w:r>
      <w:r>
        <w:rPr/>
        <w:t>an</w:t>
      </w:r>
      <w:r>
        <w:rPr>
          <w:spacing w:val="-15"/>
        </w:rPr>
        <w:t> </w:t>
      </w:r>
      <w:r>
        <w:rPr/>
        <w:t>initial</w:t>
      </w:r>
      <w:r>
        <w:rPr>
          <w:spacing w:val="-12"/>
        </w:rPr>
        <w:t> </w:t>
      </w:r>
      <w:r>
        <w:rPr/>
        <w:t>state</w:t>
      </w:r>
      <w:r>
        <w:rPr>
          <w:spacing w:val="-14"/>
        </w:rPr>
        <w:t> </w:t>
      </w:r>
      <w:r>
        <w:rPr/>
        <w:t>and</w:t>
      </w:r>
      <w:r>
        <w:rPr>
          <w:spacing w:val="-13"/>
        </w:rPr>
        <w:t> </w:t>
      </w:r>
      <w:r>
        <w:rPr/>
        <w:t>a</w:t>
      </w:r>
      <w:r>
        <w:rPr>
          <w:spacing w:val="-12"/>
        </w:rPr>
        <w:t> </w:t>
      </w:r>
      <w:r>
        <w:rPr/>
        <w:t>final</w:t>
      </w:r>
      <w:r>
        <w:rPr>
          <w:spacing w:val="-13"/>
        </w:rPr>
        <w:t> </w:t>
      </w:r>
      <w:r>
        <w:rPr/>
        <w:t>state.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slope</w:t>
      </w:r>
      <w:r>
        <w:rPr>
          <w:spacing w:val="-12"/>
        </w:rPr>
        <w:t> </w:t>
      </w:r>
      <w:r>
        <w:rPr/>
        <w:t>of</w:t>
      </w:r>
      <w:r>
        <w:rPr>
          <w:spacing w:val="-14"/>
        </w:rPr>
        <w:t> </w:t>
      </w:r>
      <w:r>
        <w:rPr/>
        <w:t>the</w:t>
      </w:r>
      <w:r>
        <w:rPr>
          <w:spacing w:val="-12"/>
        </w:rPr>
        <w:t> </w:t>
      </w:r>
      <w:r>
        <w:rPr/>
        <w:t>Rayleigh</w:t>
      </w:r>
      <w:r>
        <w:rPr>
          <w:spacing w:val="-58"/>
        </w:rPr>
        <w:t> </w:t>
      </w:r>
      <w:r>
        <w:rPr/>
        <w:t>line</w:t>
      </w:r>
      <w:r>
        <w:rPr>
          <w:spacing w:val="-7"/>
        </w:rPr>
        <w:t> </w:t>
      </w:r>
      <w:r>
        <w:rPr/>
        <w:t>determines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shock</w:t>
      </w:r>
      <w:r>
        <w:rPr>
          <w:spacing w:val="-6"/>
        </w:rPr>
        <w:t> </w:t>
      </w:r>
      <w:r>
        <w:rPr/>
        <w:t>speed</w:t>
      </w:r>
      <w:r>
        <w:rPr>
          <w:spacing w:val="-6"/>
        </w:rPr>
        <w:t> </w:t>
      </w:r>
      <w:r>
        <w:rPr/>
        <w:t>[49].</w:t>
      </w:r>
      <w:r>
        <w:rPr>
          <w:spacing w:val="43"/>
        </w:rPr>
        <w:t> </w:t>
      </w:r>
      <w:r>
        <w:rPr/>
        <w:t>A</w:t>
      </w:r>
      <w:r>
        <w:rPr>
          <w:spacing w:val="-7"/>
        </w:rPr>
        <w:t> </w:t>
      </w:r>
      <w:r>
        <w:rPr/>
        <w:t>generic</w:t>
      </w:r>
      <w:r>
        <w:rPr>
          <w:spacing w:val="-7"/>
        </w:rPr>
        <w:t> </w:t>
      </w:r>
      <w:r>
        <w:rPr/>
        <w:t>Hugoniot</w:t>
      </w:r>
      <w:r>
        <w:rPr>
          <w:spacing w:val="-6"/>
        </w:rPr>
        <w:t> </w:t>
      </w:r>
      <w:r>
        <w:rPr/>
        <w:t>curve</w:t>
      </w:r>
      <w:r>
        <w:rPr>
          <w:spacing w:val="-6"/>
        </w:rPr>
        <w:t> </w:t>
      </w:r>
      <w:r>
        <w:rPr/>
        <w:t>is</w:t>
      </w:r>
      <w:r>
        <w:rPr>
          <w:spacing w:val="-7"/>
        </w:rPr>
        <w:t> </w:t>
      </w:r>
      <w:r>
        <w:rPr/>
        <w:t>depicted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hyperlink w:history="true" w:anchor="_bookmark14">
        <w:r>
          <w:rPr/>
          <w:t>Figure</w:t>
        </w:r>
        <w:r>
          <w:rPr>
            <w:spacing w:val="-7"/>
          </w:rPr>
          <w:t> </w:t>
        </w:r>
        <w:r>
          <w:rPr/>
          <w:t>3-2.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237"/>
        <w:ind w:left="2216" w:right="0" w:firstLine="0"/>
        <w:jc w:val="left"/>
        <w:rPr>
          <w:sz w:val="28"/>
        </w:rPr>
      </w:pPr>
      <w:r>
        <w:rPr/>
        <w:pict>
          <v:group style="position:absolute;margin-left:247.378235pt;margin-top:12.30677pt;width:194.95pt;height:153.7pt;mso-position-horizontal-relative:page;mso-position-vertical-relative:paragraph;z-index:15755776" coordorigin="4948,246" coordsize="3899,3074">
            <v:shape style="position:absolute;left:5502;top:788;width:2184;height:2484" coordorigin="5502,789" coordsize="2184,2484" path="m7686,3273l7612,3266,7539,3256,7467,3245,7396,3231,7325,3215,7256,3196,7187,3176,7119,3153,7052,3129,6986,3102,6921,3073,6857,3043,6794,3010,6732,2976,6671,2939,6611,2901,6553,2861,6496,2820,6440,2776,6385,2731,6332,2685,6280,2637,6229,2587,6180,2536,6132,2483,6086,2429,6041,2373,5998,2316,5956,2258,5916,2198,5878,2137,5841,2075,5806,2012,5773,1947,5741,1882,5711,1815,5683,1747,5657,1679,5633,1609,5611,1538,5591,1467,5572,1394,5556,1321,5542,1247,5530,1172,5520,1097,5512,1021,5507,944,5503,867,5502,789e" filled="false" stroked="true" strokeweight="1.459089pt" strokecolor="#5b9bd5">
              <v:path arrowok="t"/>
              <v:stroke dashstyle="solid"/>
            </v:shape>
            <v:line style="position:absolute" from="6617,3280" to="6617,2826" stroked="true" strokeweight="1.179948pt" strokecolor="#000000">
              <v:stroke dashstyle="solid"/>
            </v:line>
            <v:line style="position:absolute" from="5584,3280" to="5566,1267" stroked="true" strokeweight="1.179919pt" strokecolor="#000000">
              <v:stroke dashstyle="solid"/>
            </v:line>
            <v:line style="position:absolute" from="4973,2930" to="6714,2930" stroked="true" strokeweight="1.182811pt" strokecolor="#000000">
              <v:stroke dashstyle="solid"/>
            </v:line>
            <v:line style="position:absolute" from="4955,1372" to="5470,1372" stroked="true" strokeweight="1.182844pt" strokecolor="#000000">
              <v:stroke dashstyle="solid"/>
            </v:line>
            <v:line style="position:absolute" from="5498,1298" to="6685,3004" stroked="true" strokeweight="1.180865pt" strokecolor="#000000">
              <v:stroke dashstyle="solid"/>
            </v:line>
            <v:line style="position:absolute" from="4987,3280" to="4987,299" stroked="true" strokeweight="1.318743pt" strokecolor="#000000">
              <v:stroke dashstyle="solid"/>
            </v:line>
            <v:shape style="position:absolute;left:4947;top:246;width:80;height:80" coordorigin="4948,246" coordsize="80,80" path="m4987,246l4948,325,4987,299,5027,325,4987,246xe" filled="true" fillcolor="#000000" stroked="false">
              <v:path arrowok="t"/>
              <v:fill type="solid"/>
            </v:shape>
            <v:line style="position:absolute" from="4987,3280" to="8793,3280" stroked="true" strokeweight="1.321956pt" strokecolor="#000000">
              <v:stroke dashstyle="solid"/>
            </v:line>
            <v:shape style="position:absolute;left:8767;top:3240;width:80;height:80" coordorigin="8767,3240" coordsize="80,80" path="m8767,3319l8793,3280,8767,3240,8846,3280,8767,3319xe" filled="true" fillcolor="#000000" stroked="false">
              <v:path arrowok="t"/>
              <v:fill type="solid"/>
            </v:shape>
            <v:shape style="position:absolute;left:5463;top:1261;width:205;height:220" type="#_x0000_t75" stroked="false">
              <v:imagedata r:id="rId46" o:title=""/>
            </v:shape>
            <v:shape style="position:absolute;left:6514;top:2819;width:205;height:220" type="#_x0000_t75" stroked="false">
              <v:imagedata r:id="rId47" o:title=""/>
            </v:shape>
            <v:line style="position:absolute" from="7148,1194" to="6095,2022" stroked="true" strokeweight="1.181687pt" strokecolor="#000000">
              <v:stroke dashstyle="solid"/>
            </v:line>
            <v:shape style="position:absolute;left:6057;top:1979;width:78;height:72" coordorigin="6057,1979" coordsize="78,72" path="m6057,2051l6135,2035,6095,2022,6091,1979,6057,2051xe" filled="true" fillcolor="#000000" stroked="false">
              <v:path arrowok="t"/>
              <v:fill type="solid"/>
            </v:shape>
            <v:line style="position:absolute" from="7552,2957" to="7026,3029" stroked="true" strokeweight="1.182791pt" strokecolor="#000000">
              <v:stroke dashstyle="solid"/>
            </v:line>
            <v:shape style="position:absolute;left:6979;top:2990;width:75;height:71" coordorigin="6979,2990" coordsize="75,71" path="m7054,3061l7026,3029,7044,2990,6979,3035,7054,3061xe" filled="true" fillcolor="#000000" stroked="false">
              <v:path arrowok="t"/>
              <v:fill type="solid"/>
            </v:shape>
            <v:shape style="position:absolute;left:5771;top:711;width:592;height:643" type="#_x0000_t202" filled="false" stroked="false">
              <v:textbox inset="0,0,0,0">
                <w:txbxContent>
                  <w:p>
                    <w:pPr>
                      <w:spacing w:line="249" w:lineRule="auto" w:before="0"/>
                      <w:ind w:left="0" w:right="1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pacing w:val="-1"/>
                        <w:sz w:val="28"/>
                      </w:rPr>
                      <w:t>Final</w:t>
                    </w:r>
                    <w:r>
                      <w:rPr>
                        <w:spacing w:val="-67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State</w:t>
                    </w:r>
                  </w:p>
                </w:txbxContent>
              </v:textbox>
              <w10:wrap type="none"/>
            </v:shape>
            <v:shape style="position:absolute;left:7167;top:882;width:1600;height:309" type="#_x0000_t202" filled="false" stroked="false">
              <v:textbox inset="0,0,0,0">
                <w:txbxContent>
                  <w:p>
                    <w:pPr>
                      <w:spacing w:line="308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Rayleigh</w:t>
                    </w:r>
                    <w:r>
                      <w:rPr>
                        <w:spacing w:val="-15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Line</w:t>
                    </w:r>
                  </w:p>
                </w:txbxContent>
              </v:textbox>
              <w10:wrap type="none"/>
            </v:shape>
            <v:shape style="position:absolute;left:6707;top:2172;width:686;height:643" type="#_x0000_t202" filled="false" stroked="false">
              <v:textbox inset="0,0,0,0">
                <w:txbxContent>
                  <w:p>
                    <w:pPr>
                      <w:spacing w:line="249" w:lineRule="auto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95"/>
                        <w:sz w:val="28"/>
                      </w:rPr>
                      <w:t>Initial</w:t>
                    </w:r>
                    <w:r>
                      <w:rPr>
                        <w:spacing w:val="-64"/>
                        <w:w w:val="95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State</w:t>
                    </w:r>
                  </w:p>
                </w:txbxContent>
              </v:textbox>
              <w10:wrap type="none"/>
            </v:shape>
            <v:shape style="position:absolute;left:7634;top:2807;width:1069;height:309" type="#_x0000_t202" filled="false" stroked="false">
              <v:textbox inset="0,0,0,0">
                <w:txbxContent>
                  <w:p>
                    <w:pPr>
                      <w:spacing w:line="308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Hugoniot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28"/>
        </w:rPr>
        <w:t>Pressure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3"/>
        </w:rPr>
      </w:pPr>
    </w:p>
    <w:p>
      <w:pPr>
        <w:spacing w:before="87"/>
        <w:ind w:left="2812" w:right="0" w:firstLine="0"/>
        <w:jc w:val="left"/>
        <w:rPr>
          <w:sz w:val="28"/>
        </w:rPr>
      </w:pPr>
      <w:r>
        <w:rPr>
          <w:w w:val="99"/>
          <w:sz w:val="28"/>
        </w:rPr>
        <w:t>P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</w:p>
    <w:p>
      <w:pPr>
        <w:spacing w:after="0"/>
        <w:rPr>
          <w:sz w:val="20"/>
        </w:rPr>
        <w:sectPr>
          <w:pgSz w:w="12240" w:h="15840"/>
          <w:pgMar w:header="0" w:footer="1064" w:top="1460" w:bottom="1260" w:left="1720" w:right="1180"/>
        </w:sectPr>
      </w:pPr>
    </w:p>
    <w:p>
      <w:pPr>
        <w:spacing w:before="86"/>
        <w:ind w:left="2736" w:right="2018" w:firstLine="0"/>
        <w:jc w:val="center"/>
        <w:rPr>
          <w:sz w:val="18"/>
        </w:rPr>
      </w:pPr>
      <w:r>
        <w:rPr>
          <w:sz w:val="28"/>
        </w:rPr>
        <w:t>P</w:t>
      </w:r>
      <w:r>
        <w:rPr>
          <w:position w:val="-6"/>
          <w:sz w:val="18"/>
        </w:rPr>
        <w:t>0</w:t>
      </w:r>
    </w:p>
    <w:p>
      <w:pPr>
        <w:pStyle w:val="BodyText"/>
        <w:spacing w:before="9"/>
        <w:rPr>
          <w:sz w:val="28"/>
        </w:rPr>
      </w:pPr>
    </w:p>
    <w:p>
      <w:pPr>
        <w:tabs>
          <w:tab w:pos="903" w:val="left" w:leader="none"/>
        </w:tabs>
        <w:spacing w:before="0"/>
        <w:ind w:left="0" w:right="0" w:firstLine="0"/>
        <w:jc w:val="right"/>
        <w:rPr>
          <w:sz w:val="18"/>
        </w:rPr>
      </w:pPr>
      <w:r>
        <w:rPr>
          <w:sz w:val="28"/>
        </w:rPr>
        <w:t>V</w:t>
        <w:tab/>
        <w:t>V</w:t>
      </w:r>
      <w:r>
        <w:rPr>
          <w:position w:val="-6"/>
          <w:sz w:val="18"/>
        </w:rPr>
        <w:t>0</w:t>
      </w:r>
    </w:p>
    <w:p>
      <w:pPr>
        <w:pStyle w:val="BodyText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rPr>
          <w:sz w:val="30"/>
        </w:rPr>
      </w:pPr>
    </w:p>
    <w:p>
      <w:pPr>
        <w:pStyle w:val="Heading5"/>
        <w:spacing w:before="174"/>
        <w:ind w:left="1365"/>
      </w:pPr>
      <w:r>
        <w:rPr/>
        <w:t>Volume</w:t>
      </w:r>
    </w:p>
    <w:p>
      <w:pPr>
        <w:spacing w:after="0"/>
        <w:sectPr>
          <w:type w:val="continuous"/>
          <w:pgSz w:w="12240" w:h="15840"/>
          <w:pgMar w:top="1380" w:bottom="280" w:left="1720" w:right="1180"/>
          <w:cols w:num="2" w:equalWidth="0">
            <w:col w:w="5040" w:space="40"/>
            <w:col w:w="426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5"/>
        </w:rPr>
      </w:pPr>
    </w:p>
    <w:p>
      <w:pPr>
        <w:spacing w:before="90"/>
        <w:ind w:left="180" w:right="0" w:firstLine="0"/>
        <w:jc w:val="center"/>
        <w:rPr>
          <w:i/>
          <w:sz w:val="24"/>
        </w:rPr>
      </w:pPr>
      <w:bookmarkStart w:name="_bookmark14" w:id="112"/>
      <w:bookmarkEnd w:id="112"/>
      <w:r>
        <w:rPr/>
      </w:r>
      <w:r>
        <w:rPr>
          <w:i/>
          <w:sz w:val="24"/>
        </w:rPr>
        <w:t>Figure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3-2.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Relationship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P-V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Hugoniot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Rayleigh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line.</w:t>
      </w:r>
    </w:p>
    <w:p>
      <w:pPr>
        <w:spacing w:after="0"/>
        <w:jc w:val="center"/>
        <w:rPr>
          <w:sz w:val="24"/>
        </w:rPr>
        <w:sectPr>
          <w:type w:val="continuous"/>
          <w:pgSz w:w="12240" w:h="15840"/>
          <w:pgMar w:top="1380" w:bottom="280" w:left="1720" w:right="1180"/>
        </w:sectPr>
      </w:pPr>
    </w:p>
    <w:p>
      <w:pPr>
        <w:pStyle w:val="BodyText"/>
        <w:spacing w:line="480" w:lineRule="auto" w:before="78"/>
        <w:ind w:left="440" w:right="257" w:firstLine="720"/>
        <w:jc w:val="both"/>
      </w:pPr>
      <w:r>
        <w:rPr/>
        <w:t>The Hugoniot elastic limit (HEL) is the position on the curve where the material</w:t>
      </w:r>
      <w:r>
        <w:rPr>
          <w:spacing w:val="1"/>
        </w:rPr>
        <w:t> </w:t>
      </w:r>
      <w:r>
        <w:rPr/>
        <w:t>transitions</w:t>
      </w:r>
      <w:r>
        <w:rPr>
          <w:spacing w:val="-5"/>
        </w:rPr>
        <w:t> </w:t>
      </w:r>
      <w:r>
        <w:rPr/>
        <w:t>from</w:t>
      </w:r>
      <w:r>
        <w:rPr>
          <w:spacing w:val="-7"/>
        </w:rPr>
        <w:t> </w:t>
      </w:r>
      <w:r>
        <w:rPr/>
        <w:t>purely</w:t>
      </w:r>
      <w:r>
        <w:rPr>
          <w:spacing w:val="-4"/>
        </w:rPr>
        <w:t> </w:t>
      </w:r>
      <w:r>
        <w:rPr/>
        <w:t>elastic</w:t>
      </w:r>
      <w:r>
        <w:rPr>
          <w:spacing w:val="-5"/>
        </w:rPr>
        <w:t> </w:t>
      </w:r>
      <w:r>
        <w:rPr/>
        <w:t>state</w:t>
      </w:r>
      <w:r>
        <w:rPr>
          <w:spacing w:val="-5"/>
        </w:rPr>
        <w:t> </w:t>
      </w:r>
      <w:r>
        <w:rPr/>
        <w:t>to</w:t>
      </w:r>
      <w:r>
        <w:rPr>
          <w:spacing w:val="-6"/>
        </w:rPr>
        <w:t> </w:t>
      </w:r>
      <w:r>
        <w:rPr/>
        <w:t>an</w:t>
      </w:r>
      <w:r>
        <w:rPr>
          <w:spacing w:val="-4"/>
        </w:rPr>
        <w:t> </w:t>
      </w:r>
      <w:r>
        <w:rPr/>
        <w:t>elastic-plastic</w:t>
      </w:r>
      <w:r>
        <w:rPr>
          <w:spacing w:val="-5"/>
        </w:rPr>
        <w:t> </w:t>
      </w:r>
      <w:r>
        <w:rPr/>
        <w:t>state,</w:t>
      </w:r>
      <w:r>
        <w:rPr>
          <w:spacing w:val="-4"/>
        </w:rPr>
        <w:t> </w:t>
      </w:r>
      <w:r>
        <w:rPr/>
        <w:t>or</w:t>
      </w:r>
      <w:r>
        <w:rPr>
          <w:spacing w:val="-4"/>
        </w:rPr>
        <w:t> </w:t>
      </w:r>
      <w:r>
        <w:rPr/>
        <w:t>where</w:t>
      </w:r>
      <w:r>
        <w:rPr>
          <w:spacing w:val="-4"/>
        </w:rPr>
        <w:t> </w:t>
      </w:r>
      <w:r>
        <w:rPr/>
        <w:t>plastic</w:t>
      </w:r>
      <w:r>
        <w:rPr>
          <w:spacing w:val="-5"/>
        </w:rPr>
        <w:t> </w:t>
      </w:r>
      <w:r>
        <w:rPr/>
        <w:t>deformation</w:t>
      </w:r>
      <w:r>
        <w:rPr>
          <w:spacing w:val="-58"/>
        </w:rPr>
        <w:t> </w:t>
      </w:r>
      <w:r>
        <w:rPr/>
        <w:t>or material yielding is initiated.</w:t>
      </w:r>
      <w:r>
        <w:rPr>
          <w:spacing w:val="1"/>
        </w:rPr>
        <w:t> </w:t>
      </w:r>
      <w:r>
        <w:rPr/>
        <w:t>It should be noted that above this point the material loses</w:t>
      </w:r>
      <w:r>
        <w:rPr>
          <w:spacing w:val="-57"/>
        </w:rPr>
        <w:t> </w:t>
      </w:r>
      <w:r>
        <w:rPr/>
        <w:t>the majority of its shear strength and thus can be represented as behaving like a fluid, or</w:t>
      </w:r>
      <w:r>
        <w:rPr>
          <w:spacing w:val="1"/>
        </w:rPr>
        <w:t> </w:t>
      </w:r>
      <w:r>
        <w:rPr/>
        <w:t>hydrodynamically.</w:t>
      </w:r>
    </w:p>
    <w:p>
      <w:pPr>
        <w:pStyle w:val="BodyText"/>
        <w:spacing w:line="480" w:lineRule="auto" w:before="159"/>
        <w:ind w:left="440" w:right="257" w:firstLine="720"/>
        <w:jc w:val="both"/>
      </w:pPr>
      <w:r>
        <w:rPr/>
        <w:t>Dynamic compression in elastic-plastic solids is complex but anisotropic solid</w:t>
      </w:r>
      <w:r>
        <w:rPr>
          <w:spacing w:val="1"/>
        </w:rPr>
        <w:t> </w:t>
      </w:r>
      <w:r>
        <w:rPr/>
        <w:t>materials like wood make the problem even more difficult.</w:t>
      </w:r>
      <w:r>
        <w:rPr>
          <w:spacing w:val="1"/>
        </w:rPr>
        <w:t> </w:t>
      </w:r>
      <w:r>
        <w:rPr/>
        <w:t>Hydrocodes and iterative</w:t>
      </w:r>
      <w:r>
        <w:rPr>
          <w:spacing w:val="1"/>
        </w:rPr>
        <w:t> </w:t>
      </w:r>
      <w:r>
        <w:rPr/>
        <w:t>calculations help find solutions.</w:t>
      </w:r>
      <w:r>
        <w:rPr>
          <w:spacing w:val="1"/>
        </w:rPr>
        <w:t> </w:t>
      </w:r>
      <w:r>
        <w:rPr/>
        <w:t>However, these codes cannot operate alone and require</w:t>
      </w:r>
      <w:r>
        <w:rPr>
          <w:spacing w:val="1"/>
        </w:rPr>
        <w:t> </w:t>
      </w:r>
      <w:r>
        <w:rPr/>
        <w:t>input on the material equation of state, constitutive relations, and response to dynamic</w:t>
      </w:r>
      <w:r>
        <w:rPr>
          <w:spacing w:val="1"/>
        </w:rPr>
        <w:t> </w:t>
      </w:r>
      <w:r>
        <w:rPr/>
        <w:t>loading.</w:t>
      </w:r>
    </w:p>
    <w:p>
      <w:pPr>
        <w:pStyle w:val="Heading9"/>
        <w:numPr>
          <w:ilvl w:val="1"/>
          <w:numId w:val="17"/>
        </w:numPr>
        <w:tabs>
          <w:tab w:pos="800" w:val="left" w:leader="none"/>
        </w:tabs>
        <w:spacing w:line="240" w:lineRule="auto" w:before="163" w:after="0"/>
        <w:ind w:left="800" w:right="0" w:hanging="360"/>
        <w:jc w:val="both"/>
      </w:pPr>
      <w:bookmarkStart w:name="_TOC_250055" w:id="113"/>
      <w:bookmarkStart w:name="3.6 Hydrodynamic Theory of Penetration" w:id="114"/>
      <w:r>
        <w:rPr>
          <w:b w:val="0"/>
        </w:rPr>
      </w:r>
      <w:bookmarkEnd w:id="114"/>
      <w:bookmarkStart w:name="3.6 Hydrodynamic Theory of Penetration" w:id="115"/>
      <w:r>
        <w:rPr/>
        <w:t>H</w:t>
      </w:r>
      <w:r>
        <w:rPr/>
        <w:t>ydrodynamic</w:t>
      </w:r>
      <w:r>
        <w:rPr>
          <w:spacing w:val="-3"/>
        </w:rPr>
        <w:t> </w:t>
      </w:r>
      <w:r>
        <w:rPr/>
        <w:t>Theory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bookmarkEnd w:id="113"/>
      <w:r>
        <w:rPr/>
        <w:t>Penetration</w:t>
      </w:r>
    </w:p>
    <w:p>
      <w:pPr>
        <w:pStyle w:val="BodyText"/>
        <w:spacing w:before="6"/>
        <w:rPr>
          <w:b/>
          <w:sz w:val="22"/>
        </w:rPr>
      </w:pPr>
    </w:p>
    <w:p>
      <w:pPr>
        <w:pStyle w:val="BodyText"/>
        <w:spacing w:line="480" w:lineRule="auto"/>
        <w:ind w:left="440" w:right="256" w:firstLine="720"/>
        <w:jc w:val="both"/>
      </w:pPr>
      <w:r>
        <w:rPr/>
        <w:t>The study of penetration by jets lead to the development of the hydrodynamic</w:t>
      </w:r>
      <w:r>
        <w:rPr>
          <w:spacing w:val="1"/>
        </w:rPr>
        <w:t> </w:t>
      </w:r>
      <w:r>
        <w:rPr/>
        <w:t>theory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penetration.</w:t>
      </w:r>
      <w:r>
        <w:rPr>
          <w:spacing w:val="35"/>
        </w:rPr>
        <w:t> </w:t>
      </w:r>
      <w:r>
        <w:rPr/>
        <w:t>This</w:t>
      </w:r>
      <w:r>
        <w:rPr>
          <w:spacing w:val="-13"/>
        </w:rPr>
        <w:t> </w:t>
      </w:r>
      <w:r>
        <w:rPr/>
        <w:t>theory</w:t>
      </w:r>
      <w:r>
        <w:rPr>
          <w:spacing w:val="-15"/>
        </w:rPr>
        <w:t> </w:t>
      </w:r>
      <w:r>
        <w:rPr/>
        <w:t>is</w:t>
      </w:r>
      <w:r>
        <w:rPr>
          <w:spacing w:val="-13"/>
        </w:rPr>
        <w:t> </w:t>
      </w:r>
      <w:r>
        <w:rPr/>
        <w:t>useful</w:t>
      </w:r>
      <w:r>
        <w:rPr>
          <w:spacing w:val="-13"/>
        </w:rPr>
        <w:t> </w:t>
      </w:r>
      <w:r>
        <w:rPr/>
        <w:t>in</w:t>
      </w:r>
      <w:r>
        <w:rPr>
          <w:spacing w:val="-13"/>
        </w:rPr>
        <w:t> </w:t>
      </w:r>
      <w:r>
        <w:rPr/>
        <w:t>understanding</w:t>
      </w:r>
      <w:r>
        <w:rPr>
          <w:spacing w:val="-15"/>
        </w:rPr>
        <w:t> </w:t>
      </w:r>
      <w:r>
        <w:rPr/>
        <w:t>and</w:t>
      </w:r>
      <w:r>
        <w:rPr>
          <w:spacing w:val="-12"/>
        </w:rPr>
        <w:t> </w:t>
      </w:r>
      <w:r>
        <w:rPr/>
        <w:t>predicting</w:t>
      </w:r>
      <w:r>
        <w:rPr>
          <w:spacing w:val="-13"/>
        </w:rPr>
        <w:t> </w:t>
      </w:r>
      <w:r>
        <w:rPr/>
        <w:t>results</w:t>
      </w:r>
      <w:r>
        <w:rPr>
          <w:spacing w:val="-13"/>
        </w:rPr>
        <w:t> </w:t>
      </w:r>
      <w:r>
        <w:rPr/>
        <w:t>of</w:t>
      </w:r>
      <w:r>
        <w:rPr>
          <w:spacing w:val="-13"/>
        </w:rPr>
        <w:t> </w:t>
      </w:r>
      <w:r>
        <w:rPr/>
        <w:t>many</w:t>
      </w:r>
      <w:r>
        <w:rPr>
          <w:spacing w:val="-58"/>
        </w:rPr>
        <w:t> </w:t>
      </w:r>
      <w:r>
        <w:rPr/>
        <w:t>penetration experiments but it does neglect the strength of target materials because it was</w:t>
      </w:r>
      <w:r>
        <w:rPr>
          <w:spacing w:val="1"/>
        </w:rPr>
        <w:t> </w:t>
      </w:r>
      <w:r>
        <w:rPr/>
        <w:t>observed</w:t>
      </w:r>
      <w:r>
        <w:rPr>
          <w:spacing w:val="-8"/>
        </w:rPr>
        <w:t> </w:t>
      </w:r>
      <w:r>
        <w:rPr/>
        <w:t>that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high</w:t>
      </w:r>
      <w:r>
        <w:rPr>
          <w:spacing w:val="-8"/>
        </w:rPr>
        <w:t> </w:t>
      </w:r>
      <w:r>
        <w:rPr/>
        <w:t>velocities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shaped-charge</w:t>
      </w:r>
      <w:r>
        <w:rPr>
          <w:spacing w:val="-7"/>
        </w:rPr>
        <w:t> </w:t>
      </w:r>
      <w:r>
        <w:rPr/>
        <w:t>jets</w:t>
      </w:r>
      <w:r>
        <w:rPr>
          <w:spacing w:val="-7"/>
        </w:rPr>
        <w:t> </w:t>
      </w:r>
      <w:r>
        <w:rPr/>
        <w:t>produced</w:t>
      </w:r>
      <w:r>
        <w:rPr>
          <w:spacing w:val="-7"/>
        </w:rPr>
        <w:t> </w:t>
      </w:r>
      <w:r>
        <w:rPr/>
        <w:t>pressures</w:t>
      </w:r>
      <w:r>
        <w:rPr>
          <w:spacing w:val="-6"/>
        </w:rPr>
        <w:t> </w:t>
      </w:r>
      <w:r>
        <w:rPr/>
        <w:t>well</w:t>
      </w:r>
      <w:r>
        <w:rPr>
          <w:spacing w:val="-7"/>
        </w:rPr>
        <w:t> </w:t>
      </w:r>
      <w:r>
        <w:rPr/>
        <w:t>beyond</w:t>
      </w:r>
      <w:r>
        <w:rPr>
          <w:spacing w:val="-58"/>
        </w:rPr>
        <w:t> </w:t>
      </w:r>
      <w:r>
        <w:rPr>
          <w:spacing w:val="-1"/>
        </w:rPr>
        <w:t>the</w:t>
      </w:r>
      <w:r>
        <w:rPr>
          <w:spacing w:val="-13"/>
        </w:rPr>
        <w:t> </w:t>
      </w:r>
      <w:r>
        <w:rPr>
          <w:spacing w:val="-1"/>
        </w:rPr>
        <w:t>material</w:t>
      </w:r>
      <w:r>
        <w:rPr>
          <w:spacing w:val="-14"/>
        </w:rPr>
        <w:t> </w:t>
      </w:r>
      <w:r>
        <w:rPr>
          <w:spacing w:val="-1"/>
        </w:rPr>
        <w:t>yield</w:t>
      </w:r>
      <w:r>
        <w:rPr>
          <w:spacing w:val="-13"/>
        </w:rPr>
        <w:t> </w:t>
      </w:r>
      <w:r>
        <w:rPr>
          <w:spacing w:val="-1"/>
        </w:rPr>
        <w:t>strength.</w:t>
      </w:r>
      <w:r>
        <w:rPr>
          <w:spacing w:val="34"/>
        </w:rPr>
        <w:t> </w:t>
      </w:r>
      <w:r>
        <w:rPr/>
        <w:t>It</w:t>
      </w:r>
      <w:r>
        <w:rPr>
          <w:spacing w:val="-13"/>
        </w:rPr>
        <w:t> </w:t>
      </w:r>
      <w:r>
        <w:rPr/>
        <w:t>was</w:t>
      </w:r>
      <w:r>
        <w:rPr>
          <w:spacing w:val="-12"/>
        </w:rPr>
        <w:t> </w:t>
      </w:r>
      <w:r>
        <w:rPr/>
        <w:t>determined</w:t>
      </w:r>
      <w:r>
        <w:rPr>
          <w:spacing w:val="-14"/>
        </w:rPr>
        <w:t> </w:t>
      </w:r>
      <w:r>
        <w:rPr/>
        <w:t>with</w:t>
      </w:r>
      <w:r>
        <w:rPr>
          <w:spacing w:val="-13"/>
        </w:rPr>
        <w:t> </w:t>
      </w:r>
      <w:r>
        <w:rPr/>
        <w:t>such</w:t>
      </w:r>
      <w:r>
        <w:rPr>
          <w:spacing w:val="-14"/>
        </w:rPr>
        <w:t> </w:t>
      </w:r>
      <w:r>
        <w:rPr/>
        <w:t>large</w:t>
      </w:r>
      <w:r>
        <w:rPr>
          <w:spacing w:val="-15"/>
        </w:rPr>
        <w:t> </w:t>
      </w:r>
      <w:r>
        <w:rPr/>
        <w:t>pressure</w:t>
      </w:r>
      <w:r>
        <w:rPr>
          <w:spacing w:val="-12"/>
        </w:rPr>
        <w:t> </w:t>
      </w:r>
      <w:r>
        <w:rPr/>
        <w:t>values,</w:t>
      </w:r>
      <w:r>
        <w:rPr>
          <w:spacing w:val="-14"/>
        </w:rPr>
        <w:t> </w:t>
      </w:r>
      <w:r>
        <w:rPr/>
        <w:t>the</w:t>
      </w:r>
      <w:r>
        <w:rPr>
          <w:spacing w:val="-12"/>
        </w:rPr>
        <w:t> </w:t>
      </w:r>
      <w:r>
        <w:rPr/>
        <w:t>materials</w:t>
      </w:r>
      <w:r>
        <w:rPr>
          <w:spacing w:val="-58"/>
        </w:rPr>
        <w:t> </w:t>
      </w:r>
      <w:r>
        <w:rPr/>
        <w:t>involved could be treated as fluids, hence the hydrodynamic term.</w:t>
      </w:r>
      <w:r>
        <w:rPr>
          <w:spacing w:val="1"/>
        </w:rPr>
        <w:t> </w:t>
      </w:r>
      <w:r>
        <w:rPr/>
        <w:t>The foundation of the</w:t>
      </w:r>
      <w:r>
        <w:rPr>
          <w:spacing w:val="1"/>
        </w:rPr>
        <w:t> </w:t>
      </w:r>
      <w:r>
        <w:rPr>
          <w:spacing w:val="-1"/>
        </w:rPr>
        <w:t>theory</w:t>
      </w:r>
      <w:r>
        <w:rPr>
          <w:spacing w:val="-14"/>
        </w:rPr>
        <w:t> </w:t>
      </w:r>
      <w:r>
        <w:rPr>
          <w:spacing w:val="-1"/>
        </w:rPr>
        <w:t>centered</w:t>
      </w:r>
      <w:r>
        <w:rPr>
          <w:spacing w:val="-14"/>
        </w:rPr>
        <w:t> </w:t>
      </w:r>
      <w:r>
        <w:rPr>
          <w:spacing w:val="-1"/>
        </w:rPr>
        <w:t>on</w:t>
      </w:r>
      <w:r>
        <w:rPr>
          <w:spacing w:val="-14"/>
        </w:rPr>
        <w:t> </w:t>
      </w:r>
      <w:r>
        <w:rPr>
          <w:spacing w:val="-1"/>
        </w:rPr>
        <w:t>the</w:t>
      </w:r>
      <w:r>
        <w:rPr>
          <w:spacing w:val="-12"/>
        </w:rPr>
        <w:t> </w:t>
      </w:r>
      <w:r>
        <w:rPr/>
        <w:t>conservation</w:t>
      </w:r>
      <w:r>
        <w:rPr>
          <w:spacing w:val="-14"/>
        </w:rPr>
        <w:t> </w:t>
      </w:r>
      <w:r>
        <w:rPr/>
        <w:t>of</w:t>
      </w:r>
      <w:r>
        <w:rPr>
          <w:spacing w:val="-13"/>
        </w:rPr>
        <w:t> </w:t>
      </w:r>
      <w:r>
        <w:rPr/>
        <w:t>momentum</w:t>
      </w:r>
      <w:r>
        <w:rPr>
          <w:spacing w:val="-14"/>
        </w:rPr>
        <w:t> </w:t>
      </w:r>
      <w:r>
        <w:rPr/>
        <w:t>and</w:t>
      </w:r>
      <w:r>
        <w:rPr>
          <w:spacing w:val="-14"/>
        </w:rPr>
        <w:t> </w:t>
      </w:r>
      <w:r>
        <w:rPr/>
        <w:t>Bernoulli’s</w:t>
      </w:r>
      <w:r>
        <w:rPr>
          <w:spacing w:val="-14"/>
        </w:rPr>
        <w:t> </w:t>
      </w:r>
      <w:r>
        <w:rPr/>
        <w:t>equation,</w:t>
      </w:r>
      <w:r>
        <w:rPr>
          <w:spacing w:val="-14"/>
        </w:rPr>
        <w:t> </w:t>
      </w:r>
      <w:r>
        <w:rPr/>
        <w:t>a</w:t>
      </w:r>
      <w:r>
        <w:rPr>
          <w:spacing w:val="-13"/>
        </w:rPr>
        <w:t> </w:t>
      </w:r>
      <w:r>
        <w:rPr/>
        <w:t>conservation</w:t>
      </w:r>
      <w:r>
        <w:rPr>
          <w:spacing w:val="-57"/>
        </w:rPr>
        <w:t> </w:t>
      </w:r>
      <w:r>
        <w:rPr/>
        <w:t>of energy principle for flowing fluids.</w:t>
      </w:r>
      <w:r>
        <w:rPr>
          <w:spacing w:val="1"/>
        </w:rPr>
        <w:t> </w:t>
      </w:r>
      <w:r>
        <w:rPr/>
        <w:t>The theory is based on additional assumptions</w:t>
      </w:r>
      <w:r>
        <w:rPr>
          <w:spacing w:val="1"/>
        </w:rPr>
        <w:t> </w:t>
      </w:r>
      <w:r>
        <w:rPr/>
        <w:t>beyond representing the materials as fluid, such as the incompressibility of both the jet</w:t>
      </w:r>
      <w:r>
        <w:rPr>
          <w:spacing w:val="1"/>
        </w:rPr>
        <w:t> </w:t>
      </w:r>
      <w:r>
        <w:rPr/>
        <w:t>material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target</w:t>
      </w:r>
      <w:r>
        <w:rPr>
          <w:spacing w:val="1"/>
        </w:rPr>
        <w:t> </w:t>
      </w:r>
      <w:r>
        <w:rPr/>
        <w:t>material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that,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steady</w:t>
      </w:r>
      <w:r>
        <w:rPr>
          <w:spacing w:val="1"/>
        </w:rPr>
        <w:t> </w:t>
      </w:r>
      <w:r>
        <w:rPr/>
        <w:t>state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constant</w:t>
      </w:r>
      <w:r>
        <w:rPr>
          <w:spacing w:val="1"/>
        </w:rPr>
        <w:t> </w:t>
      </w:r>
      <w:r>
        <w:rPr/>
        <w:t>velocity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reached</w:t>
      </w:r>
      <w:r>
        <w:rPr>
          <w:spacing w:val="-57"/>
        </w:rPr>
        <w:t> </w:t>
      </w:r>
      <w:r>
        <w:rPr/>
        <w:t>instantaneously</w:t>
      </w:r>
      <w:r>
        <w:rPr>
          <w:spacing w:val="-13"/>
        </w:rPr>
        <w:t> </w:t>
      </w:r>
      <w:r>
        <w:rPr/>
        <w:t>allowing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shock</w:t>
      </w:r>
      <w:r>
        <w:rPr>
          <w:spacing w:val="-13"/>
        </w:rPr>
        <w:t> </w:t>
      </w:r>
      <w:r>
        <w:rPr/>
        <w:t>phase</w:t>
      </w:r>
      <w:r>
        <w:rPr>
          <w:spacing w:val="-13"/>
        </w:rPr>
        <w:t> </w:t>
      </w:r>
      <w:r>
        <w:rPr/>
        <w:t>to</w:t>
      </w:r>
      <w:r>
        <w:rPr>
          <w:spacing w:val="-13"/>
        </w:rPr>
        <w:t> </w:t>
      </w:r>
      <w:r>
        <w:rPr/>
        <w:t>be</w:t>
      </w:r>
      <w:r>
        <w:rPr>
          <w:spacing w:val="-13"/>
        </w:rPr>
        <w:t> </w:t>
      </w:r>
      <w:r>
        <w:rPr/>
        <w:t>ignored.</w:t>
      </w:r>
      <w:r>
        <w:rPr>
          <w:spacing w:val="34"/>
        </w:rPr>
        <w:t> </w:t>
      </w:r>
      <w:r>
        <w:rPr/>
        <w:t>It</w:t>
      </w:r>
      <w:r>
        <w:rPr>
          <w:spacing w:val="-13"/>
        </w:rPr>
        <w:t> </w:t>
      </w:r>
      <w:r>
        <w:rPr/>
        <w:t>was</w:t>
      </w:r>
      <w:r>
        <w:rPr>
          <w:spacing w:val="-14"/>
        </w:rPr>
        <w:t> </w:t>
      </w:r>
      <w:r>
        <w:rPr/>
        <w:t>also</w:t>
      </w:r>
      <w:r>
        <w:rPr>
          <w:spacing w:val="-13"/>
        </w:rPr>
        <w:t> </w:t>
      </w:r>
      <w:r>
        <w:rPr/>
        <w:t>applied</w:t>
      </w:r>
      <w:r>
        <w:rPr>
          <w:spacing w:val="-15"/>
        </w:rPr>
        <w:t> </w:t>
      </w:r>
      <w:r>
        <w:rPr/>
        <w:t>to</w:t>
      </w:r>
      <w:r>
        <w:rPr>
          <w:spacing w:val="-13"/>
        </w:rPr>
        <w:t> </w:t>
      </w:r>
      <w:r>
        <w:rPr/>
        <w:t>semi-infinite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tabs>
          <w:tab w:pos="1365" w:val="left" w:leader="none"/>
        </w:tabs>
        <w:spacing w:line="480" w:lineRule="auto" w:before="78"/>
        <w:ind w:left="440" w:right="258"/>
      </w:pPr>
      <w:r>
        <w:rPr/>
        <w:pict>
          <v:rect style="position:absolute;margin-left:279.839996pt;margin-top:89.024147pt;width:7.74pt;height:.779pt;mso-position-horizontal-relative:page;mso-position-vertical-relative:paragraph;z-index:-34950656" filled="true" fillcolor="#000000" stroked="false">
            <v:fill type="solid"/>
            <w10:wrap type="none"/>
          </v:rect>
        </w:pict>
      </w:r>
      <w:r>
        <w:rPr/>
        <w:pict>
          <v:rect style="position:absolute;margin-left:312.420013pt;margin-top:89.024147pt;width:12.24pt;height:.779pt;mso-position-horizontal-relative:page;mso-position-vertical-relative:paragraph;z-index:-34950144" filled="true" fillcolor="#000000" stroked="false">
            <v:fill type="solid"/>
            <w10:wrap type="none"/>
          </v:rect>
        </w:pict>
      </w:r>
      <w:r>
        <w:rPr/>
        <w:t>targets.</w:t>
        <w:tab/>
        <w:t>These</w:t>
      </w:r>
      <w:r>
        <w:rPr>
          <w:spacing w:val="51"/>
        </w:rPr>
        <w:t> </w:t>
      </w:r>
      <w:r>
        <w:rPr/>
        <w:t>assumptions</w:t>
      </w:r>
      <w:r>
        <w:rPr>
          <w:spacing w:val="52"/>
        </w:rPr>
        <w:t> </w:t>
      </w:r>
      <w:r>
        <w:rPr/>
        <w:t>allow</w:t>
      </w:r>
      <w:r>
        <w:rPr>
          <w:spacing w:val="51"/>
        </w:rPr>
        <w:t> </w:t>
      </w:r>
      <w:r>
        <w:rPr/>
        <w:t>the</w:t>
      </w:r>
      <w:r>
        <w:rPr>
          <w:spacing w:val="52"/>
        </w:rPr>
        <w:t> </w:t>
      </w:r>
      <w:r>
        <w:rPr/>
        <w:t>depth</w:t>
      </w:r>
      <w:r>
        <w:rPr>
          <w:spacing w:val="50"/>
        </w:rPr>
        <w:t> </w:t>
      </w:r>
      <w:r>
        <w:rPr/>
        <w:t>of</w:t>
      </w:r>
      <w:r>
        <w:rPr>
          <w:spacing w:val="51"/>
        </w:rPr>
        <w:t> </w:t>
      </w:r>
      <w:r>
        <w:rPr/>
        <w:t>penetration</w:t>
      </w:r>
      <w:r>
        <w:rPr>
          <w:spacing w:val="50"/>
        </w:rPr>
        <w:t> </w:t>
      </w:r>
      <w:r>
        <w:rPr/>
        <w:t>for</w:t>
      </w:r>
      <w:r>
        <w:rPr>
          <w:spacing w:val="52"/>
        </w:rPr>
        <w:t> </w:t>
      </w:r>
      <w:r>
        <w:rPr/>
        <w:t>continuous</w:t>
      </w:r>
      <w:r>
        <w:rPr>
          <w:spacing w:val="52"/>
        </w:rPr>
        <w:t> </w:t>
      </w:r>
      <w:r>
        <w:rPr/>
        <w:t>jets</w:t>
      </w:r>
      <w:r>
        <w:rPr>
          <w:spacing w:val="51"/>
        </w:rPr>
        <w:t> </w:t>
      </w:r>
      <w:r>
        <w:rPr/>
        <w:t>to</w:t>
      </w:r>
      <w:r>
        <w:rPr>
          <w:spacing w:val="50"/>
        </w:rPr>
        <w:t> </w:t>
      </w:r>
      <w:r>
        <w:rPr/>
        <w:t>be</w:t>
      </w:r>
      <w:r>
        <w:rPr>
          <w:spacing w:val="-57"/>
        </w:rPr>
        <w:t> </w:t>
      </w:r>
      <w:r>
        <w:rPr/>
        <w:t>calculated</w:t>
      </w:r>
      <w:r>
        <w:rPr>
          <w:spacing w:val="-1"/>
        </w:rPr>
        <w:t> </w:t>
      </w:r>
      <w:r>
        <w:rPr/>
        <w:t>using Equation 3.8:</w:t>
      </w:r>
    </w:p>
    <w:p>
      <w:pPr>
        <w:pStyle w:val="BodyText"/>
        <w:spacing w:before="6"/>
        <w:rPr>
          <w:sz w:val="18"/>
        </w:rPr>
      </w:pPr>
    </w:p>
    <w:tbl>
      <w:tblPr>
        <w:tblW w:w="0" w:type="auto"/>
        <w:jc w:val="left"/>
        <w:tblInd w:w="36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96"/>
        <w:gridCol w:w="4399"/>
      </w:tblGrid>
      <w:tr>
        <w:trPr>
          <w:trHeight w:val="690" w:hRule="atLeast"/>
        </w:trPr>
        <w:tc>
          <w:tcPr>
            <w:tcW w:w="1096" w:type="dxa"/>
            <w:tcBorders>
              <w:top w:val="single" w:sz="8" w:space="0" w:color="000000"/>
            </w:tcBorders>
          </w:tcPr>
          <w:p>
            <w:pPr>
              <w:pStyle w:val="TableParagraph"/>
              <w:tabs>
                <w:tab w:pos="840" w:val="left" w:leader="none"/>
              </w:tabs>
              <w:spacing w:line="240" w:lineRule="exact" w:before="23"/>
              <w:ind w:left="188"/>
              <w:jc w:val="center"/>
              <w:rPr>
                <w:rFonts w:ascii="Cambria Math" w:eastAsia="Cambria Math"/>
                <w:sz w:val="24"/>
              </w:rPr>
            </w:pPr>
            <w:r>
              <w:rPr>
                <w:rFonts w:ascii="Cambria Math" w:eastAsia="Cambria Math"/>
                <w:w w:val="105"/>
                <w:sz w:val="24"/>
              </w:rPr>
              <w:t>𝑃</w:t>
              <w:tab/>
            </w:r>
            <w:r>
              <w:rPr>
                <w:rFonts w:ascii="Cambria Math" w:eastAsia="Cambria Math"/>
                <w:w w:val="105"/>
                <w:position w:val="1"/>
                <w:sz w:val="24"/>
              </w:rPr>
              <w:t>𝜌</w:t>
            </w:r>
            <w:r>
              <w:rPr>
                <w:rFonts w:ascii="Cambria Math" w:eastAsia="Cambria Math"/>
                <w:w w:val="105"/>
                <w:position w:val="1"/>
                <w:sz w:val="24"/>
                <w:vertAlign w:val="subscript"/>
              </w:rPr>
              <w:t>𝑝</w:t>
            </w:r>
          </w:p>
          <w:p>
            <w:pPr>
              <w:pStyle w:val="TableParagraph"/>
              <w:spacing w:line="181" w:lineRule="exact"/>
              <w:ind w:left="177"/>
              <w:jc w:val="center"/>
              <w:rPr>
                <w:rFonts w:ascii="Cambria Math" w:hAnsi="Cambria Math" w:cs="Cambria Math" w:eastAsia="Cambria Math"/>
                <w:sz w:val="24"/>
                <w:szCs w:val="24"/>
              </w:rPr>
            </w:pPr>
            <w:r>
              <w:rPr>
                <w:rFonts w:ascii="Cambria Math" w:hAnsi="Cambria Math" w:cs="Cambria Math" w:eastAsia="Cambria Math"/>
                <w:w w:val="95"/>
                <w:position w:val="2"/>
                <w:sz w:val="24"/>
                <w:szCs w:val="24"/>
              </w:rPr>
              <w:t>=</w:t>
            </w:r>
            <w:r>
              <w:rPr>
                <w:rFonts w:ascii="Cambria Math" w:hAnsi="Cambria Math" w:cs="Cambria Math" w:eastAsia="Cambria Math"/>
                <w:spacing w:val="-1"/>
                <w:w w:val="95"/>
                <w:position w:val="2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w w:val="95"/>
                <w:sz w:val="24"/>
                <w:szCs w:val="24"/>
              </w:rPr>
              <w:t>�</w:t>
            </w:r>
          </w:p>
          <w:p>
            <w:pPr>
              <w:pStyle w:val="TableParagraph"/>
              <w:tabs>
                <w:tab w:pos="836" w:val="left" w:leader="none"/>
              </w:tabs>
              <w:spacing w:line="226" w:lineRule="exact"/>
              <w:ind w:left="183"/>
              <w:jc w:val="center"/>
              <w:rPr>
                <w:rFonts w:ascii="Cambria Math" w:eastAsia="Cambria Math"/>
                <w:sz w:val="17"/>
              </w:rPr>
            </w:pPr>
            <w:r>
              <w:rPr>
                <w:rFonts w:ascii="Cambria Math" w:eastAsia="Cambria Math"/>
                <w:w w:val="105"/>
                <w:sz w:val="24"/>
              </w:rPr>
              <w:t>𝐿</w:t>
              <w:tab/>
              <w:t>𝜌</w:t>
            </w:r>
            <w:r>
              <w:rPr>
                <w:rFonts w:ascii="Cambria Math" w:eastAsia="Cambria Math"/>
                <w:w w:val="105"/>
                <w:position w:val="-4"/>
                <w:sz w:val="17"/>
              </w:rPr>
              <w:t>𝑡</w:t>
            </w:r>
          </w:p>
        </w:tc>
        <w:tc>
          <w:tcPr>
            <w:tcW w:w="4399" w:type="dxa"/>
          </w:tcPr>
          <w:p>
            <w:pPr>
              <w:pStyle w:val="TableParagraph"/>
              <w:spacing w:before="219"/>
              <w:ind w:right="197"/>
              <w:jc w:val="right"/>
              <w:rPr>
                <w:sz w:val="24"/>
              </w:rPr>
            </w:pPr>
            <w:r>
              <w:rPr>
                <w:sz w:val="24"/>
              </w:rPr>
              <w:t>(3.8)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6"/>
        </w:rPr>
      </w:pPr>
    </w:p>
    <w:p>
      <w:pPr>
        <w:pStyle w:val="BodyText"/>
        <w:spacing w:line="480" w:lineRule="auto" w:before="89"/>
        <w:ind w:left="440" w:right="257"/>
        <w:jc w:val="both"/>
      </w:pPr>
      <w:r>
        <w:rPr>
          <w:position w:val="1"/>
        </w:rPr>
        <w:t>where </w:t>
      </w:r>
      <w:r>
        <w:rPr>
          <w:i/>
          <w:position w:val="1"/>
        </w:rPr>
        <w:t>P </w:t>
      </w:r>
      <w:r>
        <w:rPr>
          <w:position w:val="1"/>
        </w:rPr>
        <w:t>is the depth of penetration, </w:t>
      </w:r>
      <w:r>
        <w:rPr>
          <w:i/>
          <w:position w:val="1"/>
        </w:rPr>
        <w:t>L </w:t>
      </w:r>
      <w:r>
        <w:rPr>
          <w:position w:val="1"/>
        </w:rPr>
        <w:t>is the original jet length, </w:t>
      </w:r>
      <w:r>
        <w:rPr>
          <w:i/>
          <w:position w:val="1"/>
        </w:rPr>
        <w:t>ρ</w:t>
      </w:r>
      <w:r>
        <w:rPr>
          <w:i/>
          <w:sz w:val="16"/>
        </w:rPr>
        <w:t>p</w:t>
      </w:r>
      <w:r>
        <w:rPr>
          <w:i/>
          <w:spacing w:val="1"/>
          <w:sz w:val="16"/>
        </w:rPr>
        <w:t> </w:t>
      </w:r>
      <w:r>
        <w:rPr>
          <w:position w:val="1"/>
        </w:rPr>
        <w:t>is the density of the</w:t>
      </w:r>
      <w:r>
        <w:rPr>
          <w:spacing w:val="1"/>
          <w:position w:val="1"/>
        </w:rPr>
        <w:t> </w:t>
      </w:r>
      <w:r>
        <w:rPr>
          <w:position w:val="1"/>
        </w:rPr>
        <w:t>projectile and </w:t>
      </w:r>
      <w:r>
        <w:rPr>
          <w:i/>
          <w:position w:val="1"/>
        </w:rPr>
        <w:t>ρ</w:t>
      </w:r>
      <w:r>
        <w:rPr>
          <w:i/>
          <w:sz w:val="16"/>
        </w:rPr>
        <w:t>t </w:t>
      </w:r>
      <w:r>
        <w:rPr>
          <w:position w:val="1"/>
        </w:rPr>
        <w:t>is the density of the target.</w:t>
      </w:r>
      <w:r>
        <w:rPr>
          <w:spacing w:val="1"/>
          <w:position w:val="1"/>
        </w:rPr>
        <w:t> </w:t>
      </w:r>
      <w:r>
        <w:rPr>
          <w:position w:val="1"/>
        </w:rPr>
        <w:t>However, this applied only to hydrodynamic</w:t>
      </w:r>
      <w:r>
        <w:rPr>
          <w:spacing w:val="1"/>
          <w:position w:val="1"/>
        </w:rPr>
        <w:t> </w:t>
      </w:r>
      <w:r>
        <w:rPr/>
        <w:t>materials where the projectile and target have no strength because the strength of the</w:t>
      </w:r>
      <w:r>
        <w:rPr>
          <w:spacing w:val="1"/>
        </w:rPr>
        <w:t> </w:t>
      </w:r>
      <w:r>
        <w:rPr/>
        <w:t>materials is neglected.</w:t>
      </w:r>
      <w:r>
        <w:rPr>
          <w:spacing w:val="1"/>
        </w:rPr>
        <w:t> </w:t>
      </w:r>
      <w:r>
        <w:rPr/>
        <w:t>It is believed these strength can be ignored because the pressures</w:t>
      </w:r>
      <w:r>
        <w:rPr>
          <w:spacing w:val="1"/>
        </w:rPr>
        <w:t> </w:t>
      </w:r>
      <w:r>
        <w:rPr/>
        <w:t>inflicted by the jet are orders of magnitude larger than the strength of the materials.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reality,</w:t>
      </w:r>
      <w:r>
        <w:rPr>
          <w:spacing w:val="-5"/>
        </w:rPr>
        <w:t> </w:t>
      </w:r>
      <w:r>
        <w:rPr/>
        <w:t>penetration</w:t>
      </w:r>
      <w:r>
        <w:rPr>
          <w:spacing w:val="-5"/>
        </w:rPr>
        <w:t> </w:t>
      </w:r>
      <w:r>
        <w:rPr/>
        <w:t>depth</w:t>
      </w:r>
      <w:r>
        <w:rPr>
          <w:spacing w:val="-6"/>
        </w:rPr>
        <w:t> </w:t>
      </w:r>
      <w:r>
        <w:rPr/>
        <w:t>is</w:t>
      </w:r>
      <w:r>
        <w:rPr>
          <w:spacing w:val="-5"/>
        </w:rPr>
        <w:t> </w:t>
      </w:r>
      <w:r>
        <w:rPr/>
        <w:t>known</w:t>
      </w:r>
      <w:r>
        <w:rPr>
          <w:spacing w:val="-5"/>
        </w:rPr>
        <w:t> </w:t>
      </w:r>
      <w:r>
        <w:rPr/>
        <w:t>to</w:t>
      </w:r>
      <w:r>
        <w:rPr>
          <w:spacing w:val="-5"/>
        </w:rPr>
        <w:t> </w:t>
      </w:r>
      <w:r>
        <w:rPr/>
        <w:t>depend</w:t>
      </w:r>
      <w:r>
        <w:rPr>
          <w:spacing w:val="-5"/>
        </w:rPr>
        <w:t> </w:t>
      </w:r>
      <w:r>
        <w:rPr/>
        <w:t>on</w:t>
      </w:r>
      <w:r>
        <w:rPr>
          <w:spacing w:val="-5"/>
        </w:rPr>
        <w:t> </w:t>
      </w:r>
      <w:r>
        <w:rPr/>
        <w:t>material</w:t>
      </w:r>
      <w:r>
        <w:rPr>
          <w:spacing w:val="-5"/>
        </w:rPr>
        <w:t> </w:t>
      </w:r>
      <w:r>
        <w:rPr/>
        <w:t>strengths,</w:t>
      </w:r>
      <w:r>
        <w:rPr>
          <w:spacing w:val="-5"/>
        </w:rPr>
        <w:t> </w:t>
      </w:r>
      <w:r>
        <w:rPr/>
        <w:t>even</w:t>
      </w:r>
      <w:r>
        <w:rPr>
          <w:spacing w:val="-5"/>
        </w:rPr>
        <w:t> </w:t>
      </w:r>
      <w:r>
        <w:rPr/>
        <w:t>at</w:t>
      </w:r>
      <w:r>
        <w:rPr>
          <w:spacing w:val="-5"/>
        </w:rPr>
        <w:t> </w:t>
      </w:r>
      <w:r>
        <w:rPr/>
        <w:t>high</w:t>
      </w:r>
      <w:r>
        <w:rPr>
          <w:spacing w:val="-5"/>
        </w:rPr>
        <w:t> </w:t>
      </w:r>
      <w:r>
        <w:rPr/>
        <w:t>velocities</w:t>
      </w:r>
      <w:r>
        <w:rPr>
          <w:spacing w:val="-58"/>
        </w:rPr>
        <w:t> </w:t>
      </w:r>
      <w:r>
        <w:rPr/>
        <w:t>[30]. Later research in the 1960’s worked to include a dynamic yield strength of the target</w:t>
      </w:r>
      <w:r>
        <w:rPr>
          <w:spacing w:val="-57"/>
        </w:rPr>
        <w:t> </w:t>
      </w:r>
      <w:r>
        <w:rPr/>
        <w:t>material [23].</w:t>
      </w:r>
      <w:r>
        <w:rPr>
          <w:spacing w:val="1"/>
        </w:rPr>
        <w:t> </w:t>
      </w:r>
      <w:r>
        <w:rPr/>
        <w:t>This work was based on a modified Bernoulli equation with an additional</w:t>
      </w:r>
      <w:r>
        <w:rPr>
          <w:spacing w:val="1"/>
        </w:rPr>
        <w:t> </w:t>
      </w:r>
      <w:r>
        <w:rPr/>
        <w:t>term accounting for material strength.</w:t>
      </w:r>
      <w:r>
        <w:rPr>
          <w:spacing w:val="1"/>
        </w:rPr>
        <w:t> </w:t>
      </w:r>
      <w:r>
        <w:rPr/>
        <w:t>However, it also relied on restrictive assumptions</w:t>
      </w:r>
      <w:r>
        <w:rPr>
          <w:spacing w:val="1"/>
        </w:rPr>
        <w:t> </w:t>
      </w:r>
      <w:r>
        <w:rPr/>
        <w:t>such as those valid for very high velocity impacts and that the projectile is consumed</w:t>
      </w:r>
      <w:r>
        <w:rPr>
          <w:spacing w:val="1"/>
        </w:rPr>
        <w:t> </w:t>
      </w:r>
      <w:r>
        <w:rPr/>
        <w:t>entirely,</w:t>
      </w:r>
      <w:r>
        <w:rPr>
          <w:spacing w:val="-1"/>
        </w:rPr>
        <w:t> </w:t>
      </w:r>
      <w:r>
        <w:rPr/>
        <w:t>making it</w:t>
      </w:r>
      <w:r>
        <w:rPr>
          <w:spacing w:val="-1"/>
        </w:rPr>
        <w:t> </w:t>
      </w:r>
      <w:r>
        <w:rPr/>
        <w:t>applicable</w:t>
      </w:r>
      <w:r>
        <w:rPr>
          <w:spacing w:val="-1"/>
        </w:rPr>
        <w:t> </w:t>
      </w:r>
      <w:r>
        <w:rPr/>
        <w:t>to mostly weak</w:t>
      </w:r>
      <w:r>
        <w:rPr>
          <w:spacing w:val="-1"/>
        </w:rPr>
        <w:t> </w:t>
      </w:r>
      <w:r>
        <w:rPr/>
        <w:t>projectiles.</w:t>
      </w:r>
    </w:p>
    <w:p>
      <w:pPr>
        <w:pStyle w:val="Heading9"/>
        <w:numPr>
          <w:ilvl w:val="1"/>
          <w:numId w:val="17"/>
        </w:numPr>
        <w:tabs>
          <w:tab w:pos="800" w:val="left" w:leader="none"/>
        </w:tabs>
        <w:spacing w:line="240" w:lineRule="auto" w:before="163" w:after="0"/>
        <w:ind w:left="800" w:right="0" w:hanging="361"/>
        <w:jc w:val="both"/>
      </w:pPr>
      <w:bookmarkStart w:name="_TOC_250054" w:id="116"/>
      <w:bookmarkStart w:name="3.7 Phases of penetration" w:id="117"/>
      <w:r>
        <w:rPr>
          <w:b w:val="0"/>
        </w:rPr>
      </w:r>
      <w:bookmarkEnd w:id="117"/>
      <w:bookmarkStart w:name="3.7 Phases of penetration" w:id="118"/>
      <w:r>
        <w:rPr/>
        <w:t>P</w:t>
      </w:r>
      <w:r>
        <w:rPr/>
        <w:t>hases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bookmarkEnd w:id="116"/>
      <w:r>
        <w:rPr/>
        <w:t>penetration</w:t>
      </w:r>
    </w:p>
    <w:p>
      <w:pPr>
        <w:pStyle w:val="BodyText"/>
        <w:spacing w:before="10"/>
        <w:rPr>
          <w:b/>
          <w:sz w:val="21"/>
        </w:rPr>
      </w:pPr>
    </w:p>
    <w:p>
      <w:pPr>
        <w:pStyle w:val="BodyText"/>
        <w:spacing w:line="480" w:lineRule="auto"/>
        <w:ind w:left="439" w:right="256" w:firstLine="720"/>
        <w:jc w:val="both"/>
      </w:pPr>
      <w:r>
        <w:rPr/>
        <w:t>A phases of penetration model was developed by Christman and Gehring in 1966</w:t>
      </w:r>
      <w:r>
        <w:rPr>
          <w:spacing w:val="1"/>
        </w:rPr>
        <w:t> </w:t>
      </w:r>
      <w:r>
        <w:rPr/>
        <w:t>for high-velocity projectile penetration [38].</w:t>
      </w:r>
      <w:r>
        <w:rPr>
          <w:spacing w:val="1"/>
        </w:rPr>
        <w:t> </w:t>
      </w:r>
      <w:r>
        <w:rPr/>
        <w:t>Their study examined dynamic behavior</w:t>
      </w:r>
      <w:r>
        <w:rPr>
          <w:spacing w:val="1"/>
        </w:rPr>
        <w:t> </w:t>
      </w:r>
      <w:r>
        <w:rPr/>
        <w:t>during penetration by rod projectiles and characteristics of the target post-penetration for</w:t>
      </w:r>
      <w:r>
        <w:rPr>
          <w:spacing w:val="1"/>
        </w:rPr>
        <w:t> </w:t>
      </w:r>
      <w:r>
        <w:rPr/>
        <w:t>semi-infinite</w:t>
      </w:r>
      <w:r>
        <w:rPr>
          <w:spacing w:val="-12"/>
        </w:rPr>
        <w:t> </w:t>
      </w:r>
      <w:r>
        <w:rPr/>
        <w:t>targets.</w:t>
      </w:r>
      <w:r>
        <w:rPr>
          <w:spacing w:val="40"/>
        </w:rPr>
        <w:t> </w:t>
      </w:r>
      <w:r>
        <w:rPr/>
        <w:t>The</w:t>
      </w:r>
      <w:r>
        <w:rPr>
          <w:spacing w:val="-12"/>
        </w:rPr>
        <w:t> </w:t>
      </w:r>
      <w:r>
        <w:rPr/>
        <w:t>first</w:t>
      </w:r>
      <w:r>
        <w:rPr>
          <w:spacing w:val="-11"/>
        </w:rPr>
        <w:t> </w:t>
      </w:r>
      <w:r>
        <w:rPr/>
        <w:t>phase,</w:t>
      </w:r>
      <w:r>
        <w:rPr>
          <w:spacing w:val="-12"/>
        </w:rPr>
        <w:t> </w:t>
      </w:r>
      <w:r>
        <w:rPr/>
        <w:t>also</w:t>
      </w:r>
      <w:r>
        <w:rPr>
          <w:spacing w:val="-11"/>
        </w:rPr>
        <w:t> </w:t>
      </w:r>
      <w:r>
        <w:rPr/>
        <w:t>called</w:t>
      </w:r>
      <w:r>
        <w:rPr>
          <w:spacing w:val="-11"/>
        </w:rPr>
        <w:t> </w:t>
      </w:r>
      <w:r>
        <w:rPr/>
        <w:t>the</w:t>
      </w:r>
      <w:r>
        <w:rPr>
          <w:spacing w:val="-10"/>
        </w:rPr>
        <w:t> </w:t>
      </w:r>
      <w:r>
        <w:rPr/>
        <w:t>transient</w:t>
      </w:r>
      <w:r>
        <w:rPr>
          <w:spacing w:val="-12"/>
        </w:rPr>
        <w:t> </w:t>
      </w:r>
      <w:r>
        <w:rPr/>
        <w:t>phase,</w:t>
      </w:r>
      <w:r>
        <w:rPr>
          <w:spacing w:val="-10"/>
        </w:rPr>
        <w:t> </w:t>
      </w:r>
      <w:r>
        <w:rPr/>
        <w:t>is</w:t>
      </w:r>
      <w:r>
        <w:rPr>
          <w:spacing w:val="-10"/>
        </w:rPr>
        <w:t> </w:t>
      </w:r>
      <w:r>
        <w:rPr/>
        <w:t>extremely</w:t>
      </w:r>
      <w:r>
        <w:rPr>
          <w:spacing w:val="-11"/>
        </w:rPr>
        <w:t> </w:t>
      </w:r>
      <w:r>
        <w:rPr/>
        <w:t>short</w:t>
      </w:r>
      <w:r>
        <w:rPr>
          <w:spacing w:val="-11"/>
        </w:rPr>
        <w:t> </w:t>
      </w:r>
      <w:r>
        <w:rPr/>
        <w:t>and</w:t>
      </w:r>
      <w:r>
        <w:rPr>
          <w:spacing w:val="-57"/>
        </w:rPr>
        <w:t> </w:t>
      </w:r>
      <w:r>
        <w:rPr/>
        <w:t>is on the order of microseconds.</w:t>
      </w:r>
      <w:r>
        <w:rPr>
          <w:spacing w:val="1"/>
        </w:rPr>
        <w:t> </w:t>
      </w:r>
      <w:r>
        <w:rPr/>
        <w:t>It is when the projectile first comes in contact with the</w:t>
      </w:r>
      <w:r>
        <w:rPr>
          <w:spacing w:val="1"/>
        </w:rPr>
        <w:t> </w:t>
      </w:r>
      <w:r>
        <w:rPr/>
        <w:t>target</w:t>
      </w:r>
      <w:r>
        <w:rPr>
          <w:spacing w:val="19"/>
        </w:rPr>
        <w:t> </w:t>
      </w:r>
      <w:r>
        <w:rPr/>
        <w:t>face.</w:t>
      </w:r>
      <w:r>
        <w:rPr>
          <w:spacing w:val="39"/>
        </w:rPr>
        <w:t> </w:t>
      </w:r>
      <w:r>
        <w:rPr/>
        <w:t>There</w:t>
      </w:r>
      <w:r>
        <w:rPr>
          <w:spacing w:val="19"/>
        </w:rPr>
        <w:t> </w:t>
      </w:r>
      <w:r>
        <w:rPr/>
        <w:t>is</w:t>
      </w:r>
      <w:r>
        <w:rPr>
          <w:spacing w:val="19"/>
        </w:rPr>
        <w:t> </w:t>
      </w:r>
      <w:r>
        <w:rPr/>
        <w:t>a</w:t>
      </w:r>
      <w:r>
        <w:rPr>
          <w:spacing w:val="19"/>
        </w:rPr>
        <w:t> </w:t>
      </w:r>
      <w:r>
        <w:rPr/>
        <w:t>high-pressure</w:t>
      </w:r>
      <w:r>
        <w:rPr>
          <w:spacing w:val="19"/>
        </w:rPr>
        <w:t> </w:t>
      </w:r>
      <w:r>
        <w:rPr/>
        <w:t>spike</w:t>
      </w:r>
      <w:r>
        <w:rPr>
          <w:spacing w:val="19"/>
        </w:rPr>
        <w:t> </w:t>
      </w:r>
      <w:r>
        <w:rPr/>
        <w:t>as</w:t>
      </w:r>
      <w:r>
        <w:rPr>
          <w:spacing w:val="20"/>
        </w:rPr>
        <w:t> </w:t>
      </w:r>
      <w:r>
        <w:rPr/>
        <w:t>the</w:t>
      </w:r>
      <w:r>
        <w:rPr>
          <w:spacing w:val="19"/>
        </w:rPr>
        <w:t> </w:t>
      </w:r>
      <w:r>
        <w:rPr/>
        <w:t>shock</w:t>
      </w:r>
      <w:r>
        <w:rPr>
          <w:spacing w:val="19"/>
        </w:rPr>
        <w:t> </w:t>
      </w:r>
      <w:r>
        <w:rPr/>
        <w:t>wave</w:t>
      </w:r>
      <w:r>
        <w:rPr>
          <w:spacing w:val="21"/>
        </w:rPr>
        <w:t> </w:t>
      </w:r>
      <w:r>
        <w:rPr/>
        <w:t>moves</w:t>
      </w:r>
      <w:r>
        <w:rPr>
          <w:spacing w:val="19"/>
        </w:rPr>
        <w:t> </w:t>
      </w:r>
      <w:r>
        <w:rPr/>
        <w:t>from</w:t>
      </w:r>
      <w:r>
        <w:rPr>
          <w:spacing w:val="17"/>
        </w:rPr>
        <w:t> </w:t>
      </w:r>
      <w:r>
        <w:rPr/>
        <w:t>the</w:t>
      </w:r>
      <w:r>
        <w:rPr>
          <w:spacing w:val="20"/>
        </w:rPr>
        <w:t> </w:t>
      </w:r>
      <w:r>
        <w:rPr/>
        <w:t>interface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40" w:right="229"/>
      </w:pPr>
      <w:r>
        <w:rPr/>
        <w:pict>
          <v:group style="position:absolute;margin-left:178.965134pt;margin-top:152.012314pt;width:5.55pt;height:34.4pt;mso-position-horizontal-relative:page;mso-position-vertical-relative:paragraph;z-index:15758336" coordorigin="3579,3040" coordsize="111,688">
            <v:line style="position:absolute" from="3646,3717" to="3633,3051" stroked="true" strokeweight="1.093889pt" strokecolor="#000000">
              <v:stroke dashstyle="solid"/>
            </v:line>
            <v:shape style="position:absolute;left:3590;top:3051;width:90;height:77" coordorigin="3590,3051" coordsize="90,77" path="m3590,3128l3633,3051,3679,3127e" filled="false" stroked="true" strokeweight="1.092680pt" strokecolor="#000000">
              <v:path arrowok="t"/>
              <v:stroke dashstyle="solid"/>
            </v:shape>
            <w10:wrap type="none"/>
          </v:group>
        </w:pict>
      </w:r>
      <w:r>
        <w:rPr/>
        <w:t>between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projectile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/>
        <w:t>target</w:t>
      </w:r>
      <w:r>
        <w:rPr>
          <w:spacing w:val="-2"/>
        </w:rPr>
        <w:t> </w:t>
      </w:r>
      <w:r>
        <w:rPr/>
        <w:t>into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target.</w:t>
      </w:r>
      <w:r>
        <w:rPr>
          <w:spacing w:val="55"/>
        </w:rPr>
        <w:t> </w:t>
      </w:r>
      <w:r>
        <w:rPr/>
        <w:t>This</w:t>
      </w:r>
      <w:r>
        <w:rPr>
          <w:spacing w:val="-2"/>
        </w:rPr>
        <w:t> </w:t>
      </w:r>
      <w:r>
        <w:rPr/>
        <w:t>phase</w:t>
      </w:r>
      <w:r>
        <w:rPr>
          <w:spacing w:val="-2"/>
        </w:rPr>
        <w:t> </w:t>
      </w:r>
      <w:r>
        <w:rPr/>
        <w:t>is</w:t>
      </w:r>
      <w:r>
        <w:rPr>
          <w:spacing w:val="-4"/>
        </w:rPr>
        <w:t> </w:t>
      </w:r>
      <w:r>
        <w:rPr/>
        <w:t>annotated</w:t>
      </w:r>
      <w:r>
        <w:rPr>
          <w:spacing w:val="-3"/>
        </w:rPr>
        <w:t> </w:t>
      </w:r>
      <w:r>
        <w:rPr/>
        <w:t>with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marking</w:t>
      </w:r>
      <w:r>
        <w:rPr>
          <w:spacing w:val="-57"/>
        </w:rPr>
        <w:t> </w:t>
      </w:r>
      <w:r>
        <w:rPr/>
        <w:t>I</w:t>
      </w:r>
      <w:r>
        <w:rPr>
          <w:spacing w:val="-1"/>
        </w:rPr>
        <w:t> </w:t>
      </w:r>
      <w:r>
        <w:rPr/>
        <w:t>in </w:t>
      </w:r>
      <w:hyperlink w:history="true" w:anchor="_bookmark15">
        <w:r>
          <w:rPr/>
          <w:t>Figure 3-3</w:t>
        </w:r>
      </w:hyperlink>
      <w:r>
        <w:rPr/>
        <w:t>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</w:pPr>
    </w:p>
    <w:p>
      <w:pPr>
        <w:spacing w:before="94"/>
        <w:ind w:left="613" w:right="1542" w:firstLine="0"/>
        <w:jc w:val="center"/>
        <w:rPr>
          <w:sz w:val="20"/>
        </w:rPr>
      </w:pPr>
      <w:r>
        <w:rPr/>
        <w:pict>
          <v:group style="position:absolute;margin-left:200.212448pt;margin-top:-177.254822pt;width:270.3pt;height:177.85pt;mso-position-horizontal-relative:page;mso-position-vertical-relative:paragraph;z-index:15757312" coordorigin="4004,-3545" coordsize="5406,3557">
            <v:line style="position:absolute" from="9364,-2526" to="9138,-2526" stroked="true" strokeweight=".634711pt" strokecolor="#000000">
              <v:stroke dashstyle="solid"/>
            </v:line>
            <v:shape style="position:absolute;left:9086;top:-2552;width:85;height:51" coordorigin="9087,-2552" coordsize="85,51" path="m9172,-2501l9138,-2526,9172,-2552,9087,-2526,9172,-2501xe" filled="true" fillcolor="#000000" stroked="false">
              <v:path arrowok="t"/>
              <v:fill type="solid"/>
            </v:shape>
            <v:line style="position:absolute" from="9042,-2709" to="9048,-470" stroked="true" strokeweight=".211977pt" strokecolor="#000000">
              <v:stroke dashstyle="solid"/>
            </v:line>
            <v:line style="position:absolute" from="4768,-2740" to="4787,-1295" stroked="true" strokeweight=".211976pt" strokecolor="#000000">
              <v:stroke dashstyle="solid"/>
            </v:line>
            <v:line style="position:absolute" from="6441,-2732" to="6429,-1327" stroked="true" strokeweight=".211982pt" strokecolor="#000000">
              <v:stroke dashstyle="solid"/>
            </v:line>
            <v:line style="position:absolute" from="4817,-2496" to="6379,-2496" stroked="true" strokeweight=".634699pt" strokecolor="#000000">
              <v:stroke dashstyle="solid"/>
            </v:line>
            <v:shape style="position:absolute;left:4765;top:-2522;width:1665;height:51" coordorigin="4766,-2521" coordsize="1665,51" path="m4851,-2521l4766,-2496,4851,-2471,4817,-2496,4851,-2521xm6430,-2496l6346,-2521,6380,-2496,6346,-2471,6430,-2496xe" filled="true" fillcolor="#000000" stroked="false">
              <v:path arrowok="t"/>
              <v:fill type="solid"/>
            </v:shape>
            <v:line style="position:absolute" from="8624,-2709" to="8614,-133" stroked="true" strokeweight=".211977pt" strokecolor="#000000">
              <v:stroke dashstyle="solid"/>
            </v:line>
            <v:line style="position:absolute" from="6481,-2496" to="8574,-2496" stroked="true" strokeweight=".634716pt" strokecolor="#000000">
              <v:stroke dashstyle="solid"/>
            </v:line>
            <v:shape style="position:absolute;left:6430;top:-2522;width:2194;height:51" coordorigin="6430,-2521" coordsize="2194,51" path="m6515,-2521l6430,-2496,6515,-2471,6481,-2496,6515,-2521xm8624,-2496l8540,-2521,8573,-2496,8540,-2471,8624,-2496xe" filled="true" fillcolor="#000000" stroked="false">
              <v:path arrowok="t"/>
              <v:fill type="solid"/>
            </v:shape>
            <v:line style="position:absolute" from="4015,-470" to="9401,-460" stroked="true" strokeweight=".211567pt" strokecolor="#000000">
              <v:stroke dashstyle="solid"/>
            </v:line>
            <v:line style="position:absolute" from="4015,-460" to="4351,-1996" stroked="true" strokeweight="1.093738pt" strokecolor="#5b9bd5">
              <v:stroke dashstyle="solid"/>
            </v:line>
            <v:line style="position:absolute" from="6441,-1547" to="8366,-182" stroked="true" strokeweight="1.092448pt" strokecolor="#5b9bd5">
              <v:stroke dashstyle="solid"/>
            </v:line>
            <v:line style="position:absolute" from="9051,-460" to="9401,-460" stroked="true" strokeweight="1.091756pt" strokecolor="#5b9bd5">
              <v:stroke dashstyle="solid"/>
            </v:line>
            <v:shape style="position:absolute;left:4333;top:-2198;width:355;height:338" type="#_x0000_t75" stroked="false">
              <v:imagedata r:id="rId48" o:title=""/>
            </v:shape>
            <v:shape style="position:absolute;left:4677;top:-1905;width:1562;height:358" coordorigin="4677,-1905" coordsize="1562,358" path="m4677,-1905l4695,-1846,4717,-1789,4746,-1734,4787,-1684,4844,-1640,4919,-1604,5018,-1576,5133,-1559,5199,-1554,5269,-1550,5343,-1548,5422,-1547,5504,-1548,5589,-1550,5676,-1554,5766,-1558,5858,-1562,5952,-1568,6047,-1574,6142,-1580,6238,-1586e" filled="false" stroked="true" strokeweight="1.091822pt" strokecolor="#5b9bd5">
              <v:path arrowok="t"/>
              <v:stroke dashstyle="solid"/>
            </v:shape>
            <v:shape style="position:absolute;left:8366;top:-484;width:715;height:374" coordorigin="8366,-484" coordsize="715,374" path="m9081,-484l9050,-409,9013,-342,8970,-283,8923,-233,8872,-191,8817,-157,8758,-132,8697,-117,8634,-110,8568,-114,8502,-126,8434,-149,8366,-182e" filled="false" stroked="true" strokeweight="1.092259pt" strokecolor="#5b9bd5">
              <v:path arrowok="t"/>
              <v:stroke dashstyle="solid"/>
            </v:shape>
            <v:rect style="position:absolute;left:4015;top:-3536;width:5386;height:3538" filled="false" stroked="true" strokeweight=".952615pt" strokecolor="#000000">
              <v:stroke dashstyle="solid"/>
            </v:rect>
            <v:shape style="position:absolute;left:4261;top:-3429;width:509;height:493" type="#_x0000_t75" stroked="false">
              <v:imagedata r:id="rId49" o:title=""/>
            </v:shape>
            <v:shape style="position:absolute;left:5572;top:-3347;width:442;height:444" type="#_x0000_t75" stroked="false">
              <v:imagedata r:id="rId50" o:title=""/>
            </v:shape>
            <v:shape style="position:absolute;left:7508;top:-3412;width:544;height:562" type="#_x0000_t75" stroked="false">
              <v:imagedata r:id="rId51" o:title=""/>
            </v:shape>
            <v:shape style="position:absolute;left:8779;top:-3384;width:514;height:518" coordorigin="8779,-3383" coordsize="514,518" path="m8886,-2896l8864,-2874,8866,-2877,8864,-2883,8862,-2886,8800,-2945,8796,-2948,8791,-2948,8788,-2947,8782,-2941,8779,-2943,8816,-2981,8823,-2986,8833,-2992,8836,-2993,8813,-2968,8810,-2965,8807,-2960,8841,-2928,8844,-2931,8868,-2956,8868,-2954,8863,-2946,8865,-2946,8845,-2924,8873,-2897,8877,-2895,8879,-2895,8883,-2894,8886,-2896xm8868,-2956l8852,-2939,8856,-2946,8856,-2961,8854,-2967,8844,-2976,8838,-2979,8826,-2979,8820,-2976,8836,-2993,8839,-2993,8851,-2993,8856,-2990,8866,-2981,8869,-2975,8870,-2962,8868,-2956xm8849,-2929l8846,-2926,8845,-2924,8853,-2933,8849,-2929xm8938,-2946l8917,-2924,8853,-2933,8865,-2946,8911,-2939,8917,-2939,8926,-2941,8931,-2944,8935,-2948,8938,-2946xm8894,-2900l8860,-2865,8858,-2867,8892,-2902,8894,-2900xm8971,-2977l8959,-2965,8951,-2962,8932,-2962,8923,-2966,8905,-2983,8900,-2993,8899,-3012,8902,-3021,8915,-3034,8922,-3037,8926,-3037,8907,-3017,8905,-3013,8905,-3003,8907,-2998,8912,-2993,8948,-3031,8951,-3028,8915,-2990,8923,-2982,8931,-2978,8948,-2977,8955,-2980,8973,-2998,8974,-2985,8971,-2977xm8948,-3031l8936,-3019,8932,-3022,8929,-3024,8924,-3026,8921,-3026,8915,-3024,8912,-3023,8926,-3037,8937,-3038,8944,-3034,8948,-3031xm8973,-2998l8964,-2989,8966,-2993,8967,-3002,8965,-3007,8962,-3014,8965,-3014,8970,-3008,8973,-3001,8973,-2998xm9022,-3030l9011,-3018,9003,-3015,8984,-3016,8974,-3021,8957,-3037,8952,-3047,8951,-3067,8955,-3076,8967,-3088,8972,-3091,8978,-3092,8960,-3073,8958,-3069,8960,-3056,8963,-3050,8976,-3037,8983,-3033,9000,-3030,9006,-3032,9025,-3052,9024,-3036,9022,-3030xm8994,-3080l8990,-3076,8987,-3075,8983,-3075,8981,-3076,8976,-3080,8973,-3081,8971,-3081,8968,-3081,8966,-3080,8978,-3092,8985,-3093,8989,-3092,8994,-3087,8994,-3086,8994,-3082,8994,-3080xm9025,-3052l9015,-3042,9017,-3046,9017,-3052,9018,-3056,9016,-3061,9014,-3068,9016,-3069,9022,-3061,9025,-3052,9025,-3052xm9076,-3086l9063,-3073,9054,-3070,9033,-3072,9025,-3076,9013,-3088,9009,-3094,9004,-3108,9003,-3115,9006,-3127,9009,-3133,9022,-3146,9031,-3149,9033,-3149,9014,-3130,9012,-3127,9011,-3120,9011,-3117,9015,-3108,9019,-3103,9032,-3091,9040,-3086,9058,-3081,9064,-3083,9081,-3100,9079,-3092,9076,-3086xm9081,-3100l9073,-3092,9075,-3097,9073,-3108,9069,-3114,9051,-3131,9042,-3136,9032,-3137,9025,-3138,9020,-3136,9033,-3149,9052,-3147,9060,-3144,9072,-3132,9076,-3126,9081,-3112,9082,-3105,9081,-3100xm9132,-3145l9130,-3143,9065,-3167,9062,-3169,9060,-3169,9056,-3169,9055,-3169,9052,-3168,9050,-3167,9048,-3166,9046,-3168,9070,-3193,9073,-3191,9070,-3188,9069,-3186,9069,-3183,9069,-3182,9072,-3179,9074,-3178,9077,-3177,9119,-3161,9123,-3165,9132,-3145xm9123,-3165l9119,-3161,9099,-3207,9098,-3209,9096,-3211,9095,-3211,9095,-3211,9094,-3211,9093,-3211,9091,-3210,9089,-3209,9087,-3207,9085,-3209,9102,-3227,9105,-3224,9103,-3222,9102,-3220,9102,-3216,9102,-3213,9104,-3209,9123,-3165xm9193,-3208l9181,-3196,9173,-3193,9154,-3193,9145,-3197,9127,-3214,9122,-3224,9120,-3243,9124,-3252,9136,-3265,9143,-3268,9148,-3268,9128,-3248,9127,-3244,9127,-3234,9129,-3229,9133,-3224,9169,-3262,9173,-3259,9137,-3221,9145,-3213,9153,-3209,9170,-3208,9177,-3211,9195,-3229,9196,-3216,9193,-3208xm9169,-3262l9158,-3250,9154,-3253,9151,-3255,9146,-3257,9143,-3257,9136,-3255,9134,-3254,9148,-3268,9159,-3269,9166,-3265,9169,-3262xm9195,-3229l9185,-3220,9187,-3224,9188,-3233,9187,-3238,9184,-3245,9187,-3245,9192,-3239,9194,-3232,9195,-3229xm9164,-3277l9162,-3278,9171,-3301,9173,-3303,9181,-3296,9166,-3280,9165,-3279,9164,-3277xm9188,-3294l9185,-3292,9182,-3304,9182,-3313,9189,-3320,9191,-3321,9197,-3321,9199,-3320,9202,-3317,9188,-3303,9188,-3302,9188,-3297,9188,-3294xm9292,-3282l9284,-3274,9285,-3276,9285,-3281,9284,-3285,9276,-3303,9214,-3323,9212,-3324,9206,-3324,9205,-3324,9204,-3324,9202,-3324,9200,-3323,9198,-3321,9195,-3324,9220,-3349,9222,-3347,9219,-3344,9218,-3342,9218,-3339,9219,-3338,9222,-3335,9224,-3333,9269,-3319,9274,-3324,9292,-3283,9292,-3282xm9274,-3324l9269,-3319,9249,-3362,9249,-3363,9245,-3367,9245,-3367,9243,-3367,9243,-3367,9241,-3366,9239,-3365,9238,-3363,9236,-3365,9253,-3383,9255,-3381,9254,-3379,9253,-3378,9252,-3375,9252,-3374,9253,-3372,9253,-3371,9254,-3368,9256,-3364,9274,-3324xm9234,-3259l9212,-3236,9214,-3238,9215,-3242,9214,-3244,9213,-3247,9176,-3281,9173,-3283,9172,-3284,9169,-3283,9168,-3283,9181,-3296,9185,-3292,9188,-3294,9189,-3292,9190,-3287,9220,-3258,9222,-3257,9226,-3256,9228,-3256,9232,-3257,9234,-3259xm9202,-3310l9200,-3307,9198,-3306,9191,-3305,9190,-3304,9202,-3317,9202,-3317,9203,-3315,9203,-3311,9202,-3310xm9239,-3259l9212,-3231,9210,-3233,9236,-3261,9239,-3259xm9290,-3260l9285,-3254,9282,-3253,9277,-3253,9274,-3253,9271,-3257,9270,-3259,9270,-3263,9271,-3265,9274,-3268,9276,-3269,9282,-3272,9283,-3272,9292,-3282,9293,-3277,9292,-3265,9290,-3260xe" filled="true" fillcolor="#000000" stroked="false">
              <v:path arrowok="t"/>
              <v:fill type="solid"/>
            </v:shape>
            <v:shape style="position:absolute;left:6189;top:-1589;width:255;height:47" coordorigin="6190,-1589" coordsize="255,47" path="m6190,-1579l6261,-1589,6328,-1586,6390,-1571,6444,-1543e" filled="false" stroked="true" strokeweight="1.092246pt" strokecolor="#5b9bd5">
              <v:path arrowok="t"/>
              <v:stroke dashstyle="solid"/>
            </v:shape>
            <v:shape style="position:absolute;left:4384;top:-2829;width:71;height:169" type="#_x0000_t202" filled="false" stroked="false">
              <v:textbox inset="0,0,0,0">
                <w:txbxContent>
                  <w:p>
                    <w:pPr>
                      <w:spacing w:line="168" w:lineRule="exact" w:before="0"/>
                      <w:ind w:left="0" w:right="0" w:firstLine="0"/>
                      <w:jc w:val="left"/>
                      <w:rPr>
                        <w:sz w:val="15"/>
                      </w:rPr>
                    </w:pPr>
                    <w:r>
                      <w:rPr>
                        <w:w w:val="101"/>
                        <w:sz w:val="15"/>
                      </w:rPr>
                      <w:t>I</w:t>
                    </w:r>
                  </w:p>
                </w:txbxContent>
              </v:textbox>
              <w10:wrap type="none"/>
            </v:shape>
            <v:shape style="position:absolute;left:5501;top:-2829;width:122;height:169" type="#_x0000_t202" filled="false" stroked="false">
              <v:textbox inset="0,0,0,0">
                <w:txbxContent>
                  <w:p>
                    <w:pPr>
                      <w:spacing w:line="168" w:lineRule="exact" w:before="0"/>
                      <w:ind w:left="0" w:right="0" w:firstLine="0"/>
                      <w:jc w:val="left"/>
                      <w:rPr>
                        <w:sz w:val="15"/>
                      </w:rPr>
                    </w:pPr>
                    <w:r>
                      <w:rPr>
                        <w:sz w:val="15"/>
                      </w:rPr>
                      <w:t>II</w:t>
                    </w:r>
                  </w:p>
                </w:txbxContent>
              </v:textbox>
              <w10:wrap type="none"/>
            </v:shape>
            <v:shape style="position:absolute;left:7393;top:-2796;width:173;height:169" type="#_x0000_t202" filled="false" stroked="false">
              <v:textbox inset="0,0,0,0">
                <w:txbxContent>
                  <w:p>
                    <w:pPr>
                      <w:spacing w:line="168" w:lineRule="exact" w:before="0"/>
                      <w:ind w:left="0" w:right="0" w:firstLine="0"/>
                      <w:jc w:val="left"/>
                      <w:rPr>
                        <w:sz w:val="15"/>
                      </w:rPr>
                    </w:pPr>
                    <w:r>
                      <w:rPr>
                        <w:sz w:val="15"/>
                      </w:rPr>
                      <w:t>III</w:t>
                    </w:r>
                  </w:p>
                </w:txbxContent>
              </v:textbox>
              <w10:wrap type="none"/>
            </v:shape>
            <v:shape style="position:absolute;left:8730;top:-2829;width:182;height:169" type="#_x0000_t202" filled="false" stroked="false">
              <v:textbox inset="0,0,0,0">
                <w:txbxContent>
                  <w:p>
                    <w:pPr>
                      <w:spacing w:line="168" w:lineRule="exact" w:before="0"/>
                      <w:ind w:left="0" w:right="0" w:firstLine="0"/>
                      <w:jc w:val="left"/>
                      <w:rPr>
                        <w:sz w:val="15"/>
                      </w:rPr>
                    </w:pPr>
                    <w:r>
                      <w:rPr>
                        <w:sz w:val="15"/>
                      </w:rPr>
                      <w:t>IV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20.322968pt;margin-top:8.840185pt;width:72.7pt;height:5.55pt;mso-position-horizontal-relative:page;mso-position-vertical-relative:paragraph;z-index:15757824" coordorigin="6406,177" coordsize="1454,111">
            <v:line style="position:absolute" from="6417,225" to="7849,233" stroked="true" strokeweight="1.091738pt" strokecolor="#000000">
              <v:stroke dashstyle="solid"/>
            </v:line>
            <v:shape style="position:absolute;left:7772;top:187;width:77;height:89" coordorigin="7772,188" coordsize="77,89" path="m7773,188l7849,233,7772,277e" filled="false" stroked="true" strokeweight="1.092963pt" strokecolor="#000000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175.250916pt;margin-top:-97.357597pt;width:13.3pt;height:36.450pt;mso-position-horizontal-relative:page;mso-position-vertical-relative:paragraph;z-index:15758848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Pressure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t>Time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6"/>
        </w:rPr>
      </w:pPr>
    </w:p>
    <w:p>
      <w:pPr>
        <w:spacing w:before="90"/>
        <w:ind w:left="533" w:right="0" w:firstLine="0"/>
        <w:jc w:val="left"/>
        <w:rPr>
          <w:i/>
          <w:sz w:val="24"/>
        </w:rPr>
      </w:pPr>
      <w:bookmarkStart w:name="_bookmark15" w:id="119"/>
      <w:bookmarkEnd w:id="119"/>
      <w:r>
        <w:rPr/>
      </w:r>
      <w:r>
        <w:rPr>
          <w:i/>
          <w:sz w:val="24"/>
        </w:rPr>
        <w:t>Figure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3-3.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Phases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penetration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with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respect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time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pressure,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adapted from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[38].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228"/>
        <w:ind w:left="440" w:right="257" w:firstLine="720"/>
        <w:jc w:val="both"/>
      </w:pPr>
      <w:r>
        <w:rPr/>
        <w:t>The next phase, marked as II on </w:t>
      </w:r>
      <w:hyperlink w:history="true" w:anchor="_bookmark15">
        <w:r>
          <w:rPr/>
          <w:t>Figure 3-3</w:t>
        </w:r>
      </w:hyperlink>
      <w:r>
        <w:rPr/>
        <w:t>, is the primary penetration phase.</w:t>
      </w:r>
      <w:r>
        <w:rPr>
          <w:spacing w:val="1"/>
        </w:rPr>
        <w:t> </w:t>
      </w:r>
      <w:r>
        <w:rPr/>
        <w:t>During this phase, the kinetic energy of the projectile is transitioned to the target material</w:t>
      </w:r>
      <w:r>
        <w:rPr>
          <w:spacing w:val="1"/>
        </w:rPr>
        <w:t> </w:t>
      </w:r>
      <w:r>
        <w:rPr/>
        <w:t>in a hydrodynamic process.</w:t>
      </w:r>
      <w:r>
        <w:rPr>
          <w:spacing w:val="1"/>
        </w:rPr>
        <w:t> </w:t>
      </w:r>
      <w:r>
        <w:rPr/>
        <w:t>The pressure field at this stage is a product of the densities</w:t>
      </w:r>
      <w:r>
        <w:rPr>
          <w:spacing w:val="1"/>
        </w:rPr>
        <w:t> </w:t>
      </w:r>
      <w:r>
        <w:rPr/>
        <w:t>and compressibility of both the target and projectile materials, as well as the velocity and</w:t>
      </w:r>
      <w:r>
        <w:rPr>
          <w:spacing w:val="1"/>
        </w:rPr>
        <w:t> </w:t>
      </w:r>
      <w:r>
        <w:rPr/>
        <w:t>dimensions of the projectile.</w:t>
      </w:r>
      <w:r>
        <w:rPr>
          <w:spacing w:val="1"/>
        </w:rPr>
        <w:t> </w:t>
      </w:r>
      <w:r>
        <w:rPr/>
        <w:t>The pressure level is shown as a horizontal line as it is</w:t>
      </w:r>
      <w:r>
        <w:rPr>
          <w:spacing w:val="1"/>
        </w:rPr>
        <w:t> </w:t>
      </w:r>
      <w:r>
        <w:rPr/>
        <w:t>modeled as steady-state, where the pressure behind the shock front is constant.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duration of this phase is influenced by the aspect ratio of the projectile with a low ratio</w:t>
      </w:r>
      <w:r>
        <w:rPr>
          <w:spacing w:val="1"/>
        </w:rPr>
        <w:t> </w:t>
      </w:r>
      <w:r>
        <w:rPr/>
        <w:t>causing it to have a short duration and high ratio leading to a relatively long period where</w:t>
      </w:r>
      <w:r>
        <w:rPr>
          <w:spacing w:val="-57"/>
        </w:rPr>
        <w:t> </w:t>
      </w:r>
      <w:r>
        <w:rPr/>
        <w:t>the</w:t>
      </w:r>
      <w:r>
        <w:rPr>
          <w:spacing w:val="-1"/>
        </w:rPr>
        <w:t> </w:t>
      </w:r>
      <w:r>
        <w:rPr/>
        <w:t>crater develops [38].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40" w:right="257" w:firstLine="720"/>
        <w:jc w:val="both"/>
      </w:pPr>
      <w:r>
        <w:rPr/>
        <w:t>The secondary penetration phase, or cavitation, follows and is marked on </w:t>
      </w:r>
      <w:hyperlink w:history="true" w:anchor="_bookmark15">
        <w:r>
          <w:rPr/>
          <w:t>Figure</w:t>
        </w:r>
      </w:hyperlink>
      <w:r>
        <w:rPr>
          <w:spacing w:val="1"/>
        </w:rPr>
        <w:t> </w:t>
      </w:r>
      <w:hyperlink w:history="true" w:anchor="_bookmark15">
        <w:r>
          <w:rPr/>
          <w:t>3-3 </w:t>
        </w:r>
      </w:hyperlink>
      <w:r>
        <w:rPr/>
        <w:t>with III.</w:t>
      </w:r>
      <w:r>
        <w:rPr>
          <w:spacing w:val="1"/>
        </w:rPr>
        <w:t> </w:t>
      </w:r>
      <w:r>
        <w:rPr/>
        <w:t>Christman and Gehring describe this phase as the projectile being deformed</w:t>
      </w:r>
      <w:r>
        <w:rPr>
          <w:spacing w:val="1"/>
        </w:rPr>
        <w:t> </w:t>
      </w:r>
      <w:r>
        <w:rPr/>
        <w:t>and</w:t>
      </w:r>
      <w:r>
        <w:rPr>
          <w:spacing w:val="-3"/>
        </w:rPr>
        <w:t> </w:t>
      </w:r>
      <w:r>
        <w:rPr/>
        <w:t>removed</w:t>
      </w:r>
      <w:r>
        <w:rPr>
          <w:spacing w:val="-2"/>
        </w:rPr>
        <w:t> </w:t>
      </w:r>
      <w:r>
        <w:rPr/>
        <w:t>as</w:t>
      </w:r>
      <w:r>
        <w:rPr>
          <w:spacing w:val="-2"/>
        </w:rPr>
        <w:t> </w:t>
      </w:r>
      <w:r>
        <w:rPr/>
        <w:t>an</w:t>
      </w:r>
      <w:r>
        <w:rPr>
          <w:spacing w:val="-3"/>
        </w:rPr>
        <w:t> </w:t>
      </w:r>
      <w:r>
        <w:rPr/>
        <w:t>energy</w:t>
      </w:r>
      <w:r>
        <w:rPr>
          <w:spacing w:val="-2"/>
        </w:rPr>
        <w:t> </w:t>
      </w:r>
      <w:r>
        <w:rPr/>
        <w:t>source</w:t>
      </w:r>
      <w:r>
        <w:rPr>
          <w:spacing w:val="-2"/>
        </w:rPr>
        <w:t> </w:t>
      </w:r>
      <w:r>
        <w:rPr/>
        <w:t>from</w:t>
      </w:r>
      <w:r>
        <w:rPr>
          <w:spacing w:val="-4"/>
        </w:rPr>
        <w:t> </w:t>
      </w:r>
      <w:r>
        <w:rPr/>
        <w:t>the</w:t>
      </w:r>
      <w:r>
        <w:rPr>
          <w:spacing w:val="-2"/>
        </w:rPr>
        <w:t> </w:t>
      </w:r>
      <w:r>
        <w:rPr/>
        <w:t>system</w:t>
      </w:r>
      <w:r>
        <w:rPr>
          <w:spacing w:val="-2"/>
        </w:rPr>
        <w:t> </w:t>
      </w:r>
      <w:r>
        <w:rPr/>
        <w:t>where</w:t>
      </w:r>
      <w:r>
        <w:rPr>
          <w:spacing w:val="-2"/>
        </w:rPr>
        <w:t> </w:t>
      </w:r>
      <w:r>
        <w:rPr/>
        <w:t>radial</w:t>
      </w:r>
      <w:r>
        <w:rPr>
          <w:spacing w:val="-1"/>
        </w:rPr>
        <w:t> </w:t>
      </w:r>
      <w:r>
        <w:rPr/>
        <w:t>expansion</w:t>
      </w:r>
      <w:r>
        <w:rPr>
          <w:spacing w:val="-3"/>
        </w:rPr>
        <w:t> </w:t>
      </w:r>
      <w:r>
        <w:rPr/>
        <w:t>occurs</w:t>
      </w:r>
      <w:r>
        <w:rPr>
          <w:spacing w:val="-1"/>
        </w:rPr>
        <w:t> </w:t>
      </w:r>
      <w:r>
        <w:rPr/>
        <w:t>from</w:t>
      </w:r>
      <w:r>
        <w:rPr>
          <w:spacing w:val="-3"/>
        </w:rPr>
        <w:t> </w:t>
      </w:r>
      <w:r>
        <w:rPr/>
        <w:t>the</w:t>
      </w:r>
      <w:r>
        <w:rPr>
          <w:spacing w:val="-57"/>
        </w:rPr>
        <w:t> </w:t>
      </w:r>
      <w:r>
        <w:rPr/>
        <w:t>crater. As the pressure field decreases, the material strength and strain-rate response come</w:t>
      </w:r>
      <w:r>
        <w:rPr>
          <w:spacing w:val="-57"/>
        </w:rPr>
        <w:t> </w:t>
      </w:r>
      <w:r>
        <w:rPr/>
        <w:t>into play and can no longer be neglected as they are when assumed as hydrodynamic.</w:t>
      </w:r>
      <w:r>
        <w:rPr>
          <w:spacing w:val="1"/>
        </w:rPr>
        <w:t> </w:t>
      </w:r>
      <w:r>
        <w:rPr/>
        <w:t>Primary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secondary</w:t>
      </w:r>
      <w:r>
        <w:rPr>
          <w:spacing w:val="1"/>
        </w:rPr>
        <w:t> </w:t>
      </w:r>
      <w:r>
        <w:rPr/>
        <w:t>penetration</w:t>
      </w:r>
      <w:r>
        <w:rPr>
          <w:spacing w:val="1"/>
        </w:rPr>
        <w:t> </w:t>
      </w:r>
      <w:r>
        <w:rPr/>
        <w:t>phases</w:t>
      </w:r>
      <w:r>
        <w:rPr>
          <w:spacing w:val="1"/>
        </w:rPr>
        <w:t> </w:t>
      </w:r>
      <w:r>
        <w:rPr/>
        <w:t>may</w:t>
      </w:r>
      <w:r>
        <w:rPr>
          <w:spacing w:val="1"/>
        </w:rPr>
        <w:t> </w:t>
      </w:r>
      <w:r>
        <w:rPr/>
        <w:t>occur</w:t>
      </w:r>
      <w:r>
        <w:rPr>
          <w:spacing w:val="1"/>
        </w:rPr>
        <w:t> </w:t>
      </w:r>
      <w:r>
        <w:rPr/>
        <w:t>simultaneously</w:t>
      </w:r>
      <w:r>
        <w:rPr>
          <w:spacing w:val="1"/>
        </w:rPr>
        <w:t> </w:t>
      </w:r>
      <w:r>
        <w:rPr/>
        <w:t>where</w:t>
      </w:r>
      <w:r>
        <w:rPr>
          <w:spacing w:val="1"/>
        </w:rPr>
        <w:t> </w:t>
      </w:r>
      <w:r>
        <w:rPr/>
        <w:t>shear</w:t>
      </w:r>
      <w:r>
        <w:rPr>
          <w:spacing w:val="1"/>
        </w:rPr>
        <w:t> </w:t>
      </w:r>
      <w:r>
        <w:rPr/>
        <w:t>deformation occurs parallel to the crater and the projectile and target material are ejected</w:t>
      </w:r>
      <w:r>
        <w:rPr>
          <w:spacing w:val="1"/>
        </w:rPr>
        <w:t> </w:t>
      </w:r>
      <w:r>
        <w:rPr/>
        <w:t>from the crater.</w:t>
      </w:r>
      <w:r>
        <w:rPr>
          <w:spacing w:val="1"/>
        </w:rPr>
        <w:t> </w:t>
      </w:r>
      <w:r>
        <w:rPr/>
        <w:t>This phase ends when the energy density behind the shock wave can no</w:t>
      </w:r>
      <w:r>
        <w:rPr>
          <w:spacing w:val="1"/>
        </w:rPr>
        <w:t> </w:t>
      </w:r>
      <w:r>
        <w:rPr/>
        <w:t>longer</w:t>
      </w:r>
      <w:r>
        <w:rPr>
          <w:spacing w:val="-1"/>
        </w:rPr>
        <w:t> </w:t>
      </w:r>
      <w:r>
        <w:rPr/>
        <w:t>out-match the</w:t>
      </w:r>
      <w:r>
        <w:rPr>
          <w:spacing w:val="1"/>
        </w:rPr>
        <w:t> </w:t>
      </w:r>
      <w:r>
        <w:rPr/>
        <w:t>material</w:t>
      </w:r>
      <w:r>
        <w:rPr>
          <w:spacing w:val="-2"/>
        </w:rPr>
        <w:t> </w:t>
      </w:r>
      <w:r>
        <w:rPr/>
        <w:t>resistance to deformation [38].</w:t>
      </w:r>
    </w:p>
    <w:p>
      <w:pPr>
        <w:pStyle w:val="BodyText"/>
        <w:spacing w:line="480" w:lineRule="auto" w:before="160"/>
        <w:ind w:left="440" w:right="257" w:firstLine="720"/>
        <w:jc w:val="both"/>
      </w:pPr>
      <w:r>
        <w:rPr/>
        <w:t>The final phase, the recovery phase, annotated with IV on </w:t>
      </w:r>
      <w:hyperlink w:history="true" w:anchor="_bookmark15">
        <w:r>
          <w:rPr/>
          <w:t>Figure 3-3,</w:t>
        </w:r>
      </w:hyperlink>
      <w:r>
        <w:rPr/>
        <w:t> sees a</w:t>
      </w:r>
      <w:r>
        <w:rPr>
          <w:spacing w:val="1"/>
        </w:rPr>
        <w:t> </w:t>
      </w:r>
      <w:r>
        <w:rPr/>
        <w:t>contraction of the crater. Depending on the brittleness of the target material, fractured and</w:t>
      </w:r>
      <w:r>
        <w:rPr>
          <w:spacing w:val="-57"/>
        </w:rPr>
        <w:t> </w:t>
      </w:r>
      <w:r>
        <w:rPr/>
        <w:t>spalled material may congest the crater, making it smaller than its maximum diameter in</w:t>
      </w:r>
      <w:r>
        <w:rPr>
          <w:spacing w:val="1"/>
        </w:rPr>
        <w:t> </w:t>
      </w:r>
      <w:r>
        <w:rPr/>
        <w:t>previous phases.</w:t>
      </w:r>
      <w:r>
        <w:rPr>
          <w:spacing w:val="1"/>
        </w:rPr>
        <w:t> </w:t>
      </w:r>
      <w:r>
        <w:rPr/>
        <w:t>Some material recovery may also take place as the material rebounds</w:t>
      </w:r>
      <w:r>
        <w:rPr>
          <w:spacing w:val="1"/>
        </w:rPr>
        <w:t> </w:t>
      </w:r>
      <w:r>
        <w:rPr/>
        <w:t>from</w:t>
      </w:r>
      <w:r>
        <w:rPr>
          <w:spacing w:val="-3"/>
        </w:rPr>
        <w:t> </w:t>
      </w:r>
      <w:r>
        <w:rPr/>
        <w:t>the compressing pressures of</w:t>
      </w:r>
      <w:r>
        <w:rPr>
          <w:spacing w:val="-1"/>
        </w:rPr>
        <w:t> </w:t>
      </w:r>
      <w:r>
        <w:rPr/>
        <w:t>the impact</w:t>
      </w:r>
      <w:r>
        <w:rPr>
          <w:spacing w:val="-1"/>
        </w:rPr>
        <w:t> </w:t>
      </w:r>
      <w:r>
        <w:rPr/>
        <w:t>event [38].</w:t>
      </w:r>
    </w:p>
    <w:p>
      <w:pPr>
        <w:pStyle w:val="BodyText"/>
        <w:spacing w:line="480" w:lineRule="auto" w:before="159"/>
        <w:ind w:left="439" w:right="257" w:firstLine="720"/>
        <w:jc w:val="both"/>
      </w:pPr>
      <w:r>
        <w:rPr/>
        <w:t>One</w:t>
      </w:r>
      <w:r>
        <w:rPr>
          <w:spacing w:val="-7"/>
        </w:rPr>
        <w:t> </w:t>
      </w:r>
      <w:r>
        <w:rPr/>
        <w:t>significant</w:t>
      </w:r>
      <w:r>
        <w:rPr>
          <w:spacing w:val="-6"/>
        </w:rPr>
        <w:t> </w:t>
      </w:r>
      <w:r>
        <w:rPr/>
        <w:t>aspect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this</w:t>
      </w:r>
      <w:r>
        <w:rPr>
          <w:spacing w:val="-6"/>
        </w:rPr>
        <w:t> </w:t>
      </w:r>
      <w:r>
        <w:rPr/>
        <w:t>model</w:t>
      </w:r>
      <w:r>
        <w:rPr>
          <w:spacing w:val="-6"/>
        </w:rPr>
        <w:t> </w:t>
      </w:r>
      <w:r>
        <w:rPr/>
        <w:t>is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similarities</w:t>
      </w:r>
      <w:r>
        <w:rPr>
          <w:spacing w:val="-6"/>
        </w:rPr>
        <w:t> </w:t>
      </w:r>
      <w:r>
        <w:rPr/>
        <w:t>between</w:t>
      </w:r>
      <w:r>
        <w:rPr>
          <w:spacing w:val="-6"/>
        </w:rPr>
        <w:t> </w:t>
      </w:r>
      <w:r>
        <w:rPr/>
        <w:t>a</w:t>
      </w:r>
      <w:r>
        <w:rPr>
          <w:spacing w:val="-6"/>
        </w:rPr>
        <w:t> </w:t>
      </w:r>
      <w:r>
        <w:rPr/>
        <w:t>ballistic</w:t>
      </w:r>
      <w:r>
        <w:rPr>
          <w:spacing w:val="-7"/>
        </w:rPr>
        <w:t> </w:t>
      </w:r>
      <w:r>
        <w:rPr/>
        <w:t>projectile</w:t>
      </w:r>
      <w:r>
        <w:rPr>
          <w:spacing w:val="-58"/>
        </w:rPr>
        <w:t> </w:t>
      </w:r>
      <w:r>
        <w:rPr/>
        <w:t>induced impact and a blast induced impact.</w:t>
      </w:r>
      <w:r>
        <w:rPr>
          <w:spacing w:val="1"/>
        </w:rPr>
        <w:t> </w:t>
      </w:r>
      <w:r>
        <w:rPr/>
        <w:t>Both have the hallmarks of a very short</w:t>
      </w:r>
      <w:r>
        <w:rPr>
          <w:spacing w:val="1"/>
        </w:rPr>
        <w:t> </w:t>
      </w:r>
      <w:r>
        <w:rPr/>
        <w:t>duration, high pressure front at the beginning, followed by shock wave sweeping at a</w:t>
      </w:r>
      <w:r>
        <w:rPr>
          <w:spacing w:val="1"/>
        </w:rPr>
        <w:t> </w:t>
      </w:r>
      <w:r>
        <w:rPr/>
        <w:t>constant</w:t>
      </w:r>
      <w:r>
        <w:rPr>
          <w:spacing w:val="-2"/>
        </w:rPr>
        <w:t> </w:t>
      </w:r>
      <w:r>
        <w:rPr/>
        <w:t>pressure</w:t>
      </w:r>
      <w:r>
        <w:rPr>
          <w:spacing w:val="-1"/>
        </w:rPr>
        <w:t> </w:t>
      </w:r>
      <w:r>
        <w:rPr/>
        <w:t>and</w:t>
      </w:r>
      <w:r>
        <w:rPr>
          <w:spacing w:val="-3"/>
        </w:rPr>
        <w:t> </w:t>
      </w:r>
      <w:r>
        <w:rPr/>
        <w:t>then</w:t>
      </w:r>
      <w:r>
        <w:rPr>
          <w:spacing w:val="-2"/>
        </w:rPr>
        <w:t> </w:t>
      </w:r>
      <w:r>
        <w:rPr/>
        <w:t>ending</w:t>
      </w:r>
      <w:r>
        <w:rPr>
          <w:spacing w:val="-1"/>
        </w:rPr>
        <w:t> </w:t>
      </w:r>
      <w:r>
        <w:rPr/>
        <w:t>with</w:t>
      </w:r>
      <w:r>
        <w:rPr>
          <w:spacing w:val="-1"/>
        </w:rPr>
        <w:t> </w:t>
      </w:r>
      <w:r>
        <w:rPr/>
        <w:t>a</w:t>
      </w:r>
      <w:r>
        <w:rPr>
          <w:spacing w:val="-3"/>
        </w:rPr>
        <w:t> </w:t>
      </w:r>
      <w:r>
        <w:rPr/>
        <w:t>recovery</w:t>
      </w:r>
      <w:r>
        <w:rPr>
          <w:spacing w:val="-1"/>
        </w:rPr>
        <w:t> </w:t>
      </w:r>
      <w:r>
        <w:rPr/>
        <w:t>period</w:t>
      </w:r>
      <w:r>
        <w:rPr>
          <w:spacing w:val="-3"/>
        </w:rPr>
        <w:t> </w:t>
      </w:r>
      <w:r>
        <w:rPr/>
        <w:t>with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slightly</w:t>
      </w:r>
      <w:r>
        <w:rPr>
          <w:spacing w:val="-3"/>
        </w:rPr>
        <w:t> </w:t>
      </w:r>
      <w:r>
        <w:rPr/>
        <w:t>negative</w:t>
      </w:r>
      <w:r>
        <w:rPr>
          <w:spacing w:val="-1"/>
        </w:rPr>
        <w:t> </w:t>
      </w:r>
      <w:r>
        <w:rPr/>
        <w:t>pressure</w:t>
      </w:r>
      <w:r>
        <w:rPr>
          <w:spacing w:val="-58"/>
        </w:rPr>
        <w:t> </w:t>
      </w:r>
      <w:r>
        <w:rPr/>
        <w:t>period.</w:t>
      </w:r>
      <w:r>
        <w:rPr>
          <w:spacing w:val="1"/>
        </w:rPr>
        <w:t> </w:t>
      </w:r>
      <w:r>
        <w:rPr/>
        <w:t>While the area impacted by a ballistic projectile may be limited to two to three</w:t>
      </w:r>
      <w:r>
        <w:rPr>
          <w:spacing w:val="1"/>
        </w:rPr>
        <w:t> </w:t>
      </w:r>
      <w:r>
        <w:rPr/>
        <w:t>diameters of the projectile, the impact phenomena is not dissimilar from a blast where</w:t>
      </w:r>
      <w:r>
        <w:rPr>
          <w:spacing w:val="1"/>
        </w:rPr>
        <w:t> </w:t>
      </w:r>
      <w:r>
        <w:rPr/>
        <w:t>dynamic</w:t>
      </w:r>
      <w:r>
        <w:rPr>
          <w:spacing w:val="-1"/>
        </w:rPr>
        <w:t> </w:t>
      </w:r>
      <w:r>
        <w:rPr/>
        <w:t>loading under high strain</w:t>
      </w:r>
      <w:r>
        <w:rPr>
          <w:spacing w:val="-3"/>
        </w:rPr>
        <w:t> </w:t>
      </w:r>
      <w:r>
        <w:rPr/>
        <w:t>rates effects the material.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Heading9"/>
        <w:numPr>
          <w:ilvl w:val="1"/>
          <w:numId w:val="17"/>
        </w:numPr>
        <w:tabs>
          <w:tab w:pos="800" w:val="left" w:leader="none"/>
        </w:tabs>
        <w:spacing w:line="240" w:lineRule="auto" w:before="60" w:after="0"/>
        <w:ind w:left="800" w:right="0" w:hanging="360"/>
        <w:jc w:val="left"/>
      </w:pPr>
      <w:bookmarkStart w:name="_TOC_250053" w:id="120"/>
      <w:bookmarkStart w:name="3.8 Ballistics" w:id="121"/>
      <w:r>
        <w:rPr>
          <w:b w:val="0"/>
        </w:rPr>
      </w:r>
      <w:bookmarkEnd w:id="121"/>
      <w:bookmarkStart w:name="3.8 Ballistics" w:id="122"/>
      <w:r>
        <w:rPr/>
        <w:t>B</w:t>
      </w:r>
      <w:bookmarkEnd w:id="120"/>
      <w:r>
        <w:rPr/>
        <w:t>allistics</w:t>
      </w:r>
    </w:p>
    <w:p>
      <w:pPr>
        <w:pStyle w:val="BodyText"/>
        <w:spacing w:before="7"/>
        <w:rPr>
          <w:b/>
          <w:sz w:val="22"/>
        </w:rPr>
      </w:pPr>
    </w:p>
    <w:p>
      <w:pPr>
        <w:pStyle w:val="ListParagraph"/>
        <w:numPr>
          <w:ilvl w:val="2"/>
          <w:numId w:val="17"/>
        </w:numPr>
        <w:tabs>
          <w:tab w:pos="980" w:val="left" w:leader="none"/>
        </w:tabs>
        <w:spacing w:line="240" w:lineRule="auto" w:before="0" w:after="0"/>
        <w:ind w:left="980" w:right="0" w:hanging="541"/>
        <w:jc w:val="left"/>
        <w:rPr>
          <w:i/>
          <w:sz w:val="24"/>
        </w:rPr>
      </w:pPr>
      <w:bookmarkStart w:name="3.8.1 Breakdown of the science of ballis" w:id="123"/>
      <w:bookmarkEnd w:id="123"/>
      <w:r>
        <w:rPr/>
      </w:r>
      <w:bookmarkStart w:name="3.8.1 Breakdown of the science of ballis" w:id="124"/>
      <w:bookmarkEnd w:id="124"/>
      <w:r>
        <w:rPr>
          <w:i/>
          <w:sz w:val="24"/>
        </w:rPr>
        <w:t>B</w:t>
      </w:r>
      <w:r>
        <w:rPr>
          <w:i/>
          <w:sz w:val="24"/>
        </w:rPr>
        <w:t>reakdown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science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ballistics</w:t>
      </w:r>
    </w:p>
    <w:p>
      <w:pPr>
        <w:pStyle w:val="BodyText"/>
        <w:spacing w:before="8"/>
        <w:rPr>
          <w:i/>
          <w:sz w:val="22"/>
        </w:rPr>
      </w:pPr>
    </w:p>
    <w:p>
      <w:pPr>
        <w:pStyle w:val="BodyText"/>
        <w:ind w:left="800"/>
      </w:pPr>
      <w:r>
        <w:rPr/>
        <w:t>Ballistics</w:t>
      </w:r>
      <w:r>
        <w:rPr>
          <w:spacing w:val="-2"/>
        </w:rPr>
        <w:t> </w:t>
      </w:r>
      <w:r>
        <w:rPr/>
        <w:t>breaks</w:t>
      </w:r>
      <w:r>
        <w:rPr>
          <w:spacing w:val="-1"/>
        </w:rPr>
        <w:t> </w:t>
      </w:r>
      <w:r>
        <w:rPr/>
        <w:t>down</w:t>
      </w:r>
      <w:r>
        <w:rPr>
          <w:spacing w:val="-1"/>
        </w:rPr>
        <w:t> </w:t>
      </w:r>
      <w:r>
        <w:rPr/>
        <w:t>into</w:t>
      </w:r>
      <w:r>
        <w:rPr>
          <w:spacing w:val="-2"/>
        </w:rPr>
        <w:t> </w:t>
      </w:r>
      <w:r>
        <w:rPr/>
        <w:t>three</w:t>
      </w:r>
      <w:r>
        <w:rPr>
          <w:spacing w:val="-1"/>
        </w:rPr>
        <w:t> </w:t>
      </w:r>
      <w:r>
        <w:rPr/>
        <w:t>distinct</w:t>
      </w:r>
      <w:r>
        <w:rPr>
          <w:spacing w:val="-1"/>
        </w:rPr>
        <w:t> </w:t>
      </w:r>
      <w:r>
        <w:rPr/>
        <w:t>areas</w:t>
      </w:r>
      <w:r>
        <w:rPr>
          <w:spacing w:val="-1"/>
        </w:rPr>
        <w:t> </w:t>
      </w:r>
      <w:r>
        <w:rPr/>
        <w:t>of</w:t>
      </w:r>
      <w:r>
        <w:rPr>
          <w:spacing w:val="-3"/>
        </w:rPr>
        <w:t> </w:t>
      </w:r>
      <w:r>
        <w:rPr/>
        <w:t>science,</w:t>
      </w:r>
      <w:r>
        <w:rPr>
          <w:spacing w:val="-1"/>
        </w:rPr>
        <w:t> </w:t>
      </w:r>
      <w:r>
        <w:rPr/>
        <w:t>as</w:t>
      </w:r>
      <w:r>
        <w:rPr>
          <w:spacing w:val="-2"/>
        </w:rPr>
        <w:t> </w:t>
      </w:r>
      <w:r>
        <w:rPr/>
        <w:t>follows:</w:t>
      </w:r>
    </w:p>
    <w:p>
      <w:pPr>
        <w:pStyle w:val="BodyText"/>
        <w:rPr>
          <w:sz w:val="38"/>
        </w:rPr>
      </w:pPr>
    </w:p>
    <w:p>
      <w:pPr>
        <w:pStyle w:val="ListParagraph"/>
        <w:numPr>
          <w:ilvl w:val="3"/>
          <w:numId w:val="17"/>
        </w:numPr>
        <w:tabs>
          <w:tab w:pos="1520" w:val="left" w:leader="none"/>
        </w:tabs>
        <w:spacing w:line="480" w:lineRule="auto" w:before="0" w:after="0"/>
        <w:ind w:left="1520" w:right="257" w:hanging="360"/>
        <w:jc w:val="left"/>
        <w:rPr>
          <w:sz w:val="24"/>
        </w:rPr>
      </w:pPr>
      <w:r>
        <w:rPr>
          <w:sz w:val="24"/>
        </w:rPr>
        <w:t>Internal</w:t>
      </w:r>
      <w:r>
        <w:rPr>
          <w:spacing w:val="49"/>
          <w:sz w:val="24"/>
        </w:rPr>
        <w:t> </w:t>
      </w:r>
      <w:r>
        <w:rPr>
          <w:sz w:val="24"/>
        </w:rPr>
        <w:t>ballistics,</w:t>
      </w:r>
      <w:r>
        <w:rPr>
          <w:spacing w:val="49"/>
          <w:sz w:val="24"/>
        </w:rPr>
        <w:t> </w:t>
      </w:r>
      <w:r>
        <w:rPr>
          <w:sz w:val="24"/>
        </w:rPr>
        <w:t>with</w:t>
      </w:r>
      <w:r>
        <w:rPr>
          <w:spacing w:val="48"/>
          <w:sz w:val="24"/>
        </w:rPr>
        <w:t> </w:t>
      </w:r>
      <w:r>
        <w:rPr>
          <w:sz w:val="24"/>
        </w:rPr>
        <w:t>a</w:t>
      </w:r>
      <w:r>
        <w:rPr>
          <w:spacing w:val="49"/>
          <w:sz w:val="24"/>
        </w:rPr>
        <w:t> </w:t>
      </w:r>
      <w:r>
        <w:rPr>
          <w:sz w:val="24"/>
        </w:rPr>
        <w:t>focus</w:t>
      </w:r>
      <w:r>
        <w:rPr>
          <w:spacing w:val="50"/>
          <w:sz w:val="24"/>
        </w:rPr>
        <w:t> </w:t>
      </w:r>
      <w:r>
        <w:rPr>
          <w:sz w:val="24"/>
        </w:rPr>
        <w:t>on</w:t>
      </w:r>
      <w:r>
        <w:rPr>
          <w:spacing w:val="49"/>
          <w:sz w:val="24"/>
        </w:rPr>
        <w:t> </w:t>
      </w:r>
      <w:r>
        <w:rPr>
          <w:sz w:val="24"/>
        </w:rPr>
        <w:t>the</w:t>
      </w:r>
      <w:r>
        <w:rPr>
          <w:spacing w:val="49"/>
          <w:sz w:val="24"/>
        </w:rPr>
        <w:t> </w:t>
      </w:r>
      <w:r>
        <w:rPr>
          <w:sz w:val="24"/>
        </w:rPr>
        <w:t>inner</w:t>
      </w:r>
      <w:r>
        <w:rPr>
          <w:spacing w:val="49"/>
          <w:sz w:val="24"/>
        </w:rPr>
        <w:t> </w:t>
      </w:r>
      <w:r>
        <w:rPr>
          <w:sz w:val="24"/>
        </w:rPr>
        <w:t>workings</w:t>
      </w:r>
      <w:r>
        <w:rPr>
          <w:spacing w:val="50"/>
          <w:sz w:val="24"/>
        </w:rPr>
        <w:t> </w:t>
      </w:r>
      <w:r>
        <w:rPr>
          <w:sz w:val="24"/>
        </w:rPr>
        <w:t>of</w:t>
      </w:r>
      <w:r>
        <w:rPr>
          <w:spacing w:val="48"/>
          <w:sz w:val="24"/>
        </w:rPr>
        <w:t> </w:t>
      </w:r>
      <w:r>
        <w:rPr>
          <w:sz w:val="24"/>
        </w:rPr>
        <w:t>the</w:t>
      </w:r>
      <w:r>
        <w:rPr>
          <w:spacing w:val="49"/>
          <w:sz w:val="24"/>
        </w:rPr>
        <w:t> </w:t>
      </w:r>
      <w:r>
        <w:rPr>
          <w:sz w:val="24"/>
        </w:rPr>
        <w:t>gun</w:t>
      </w:r>
      <w:r>
        <w:rPr>
          <w:spacing w:val="49"/>
          <w:sz w:val="24"/>
        </w:rPr>
        <w:t> </w:t>
      </w:r>
      <w:r>
        <w:rPr>
          <w:sz w:val="24"/>
        </w:rPr>
        <w:t>and</w:t>
      </w:r>
      <w:r>
        <w:rPr>
          <w:spacing w:val="48"/>
          <w:sz w:val="24"/>
        </w:rPr>
        <w:t> </w:t>
      </w:r>
      <w:r>
        <w:rPr>
          <w:sz w:val="24"/>
        </w:rPr>
        <w:t>the</w:t>
      </w:r>
      <w:r>
        <w:rPr>
          <w:spacing w:val="-57"/>
          <w:sz w:val="24"/>
        </w:rPr>
        <w:t> </w:t>
      </w:r>
      <w:r>
        <w:rPr>
          <w:sz w:val="24"/>
        </w:rPr>
        <w:t>interaction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the gun, projectile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propellant</w:t>
      </w:r>
      <w:r>
        <w:rPr>
          <w:spacing w:val="-1"/>
          <w:sz w:val="24"/>
        </w:rPr>
        <w:t> </w:t>
      </w:r>
      <w:r>
        <w:rPr>
          <w:sz w:val="24"/>
        </w:rPr>
        <w:t>charge</w:t>
      </w:r>
    </w:p>
    <w:p>
      <w:pPr>
        <w:pStyle w:val="ListParagraph"/>
        <w:numPr>
          <w:ilvl w:val="3"/>
          <w:numId w:val="17"/>
        </w:numPr>
        <w:tabs>
          <w:tab w:pos="1520" w:val="left" w:leader="none"/>
        </w:tabs>
        <w:spacing w:line="480" w:lineRule="auto" w:before="0" w:after="0"/>
        <w:ind w:left="1520" w:right="258" w:hanging="360"/>
        <w:jc w:val="left"/>
        <w:rPr>
          <w:sz w:val="24"/>
        </w:rPr>
      </w:pPr>
      <w:r>
        <w:rPr>
          <w:sz w:val="24"/>
        </w:rPr>
        <w:t>External</w:t>
      </w:r>
      <w:r>
        <w:rPr>
          <w:spacing w:val="12"/>
          <w:sz w:val="24"/>
        </w:rPr>
        <w:t> </w:t>
      </w:r>
      <w:r>
        <w:rPr>
          <w:sz w:val="24"/>
        </w:rPr>
        <w:t>ballistics,</w:t>
      </w:r>
      <w:r>
        <w:rPr>
          <w:spacing w:val="12"/>
          <w:sz w:val="24"/>
        </w:rPr>
        <w:t> </w:t>
      </w:r>
      <w:r>
        <w:rPr>
          <w:sz w:val="24"/>
        </w:rPr>
        <w:t>with</w:t>
      </w:r>
      <w:r>
        <w:rPr>
          <w:spacing w:val="11"/>
          <w:sz w:val="24"/>
        </w:rPr>
        <w:t> </w:t>
      </w:r>
      <w:r>
        <w:rPr>
          <w:sz w:val="24"/>
        </w:rPr>
        <w:t>a</w:t>
      </w:r>
      <w:r>
        <w:rPr>
          <w:spacing w:val="13"/>
          <w:sz w:val="24"/>
        </w:rPr>
        <w:t> </w:t>
      </w:r>
      <w:r>
        <w:rPr>
          <w:sz w:val="24"/>
        </w:rPr>
        <w:t>focus</w:t>
      </w:r>
      <w:r>
        <w:rPr>
          <w:spacing w:val="13"/>
          <w:sz w:val="24"/>
        </w:rPr>
        <w:t> </w:t>
      </w:r>
      <w:r>
        <w:rPr>
          <w:sz w:val="24"/>
        </w:rPr>
        <w:t>on</w:t>
      </w:r>
      <w:r>
        <w:rPr>
          <w:spacing w:val="12"/>
          <w:sz w:val="24"/>
        </w:rPr>
        <w:t> </w:t>
      </w:r>
      <w:r>
        <w:rPr>
          <w:sz w:val="24"/>
        </w:rPr>
        <w:t>the</w:t>
      </w:r>
      <w:r>
        <w:rPr>
          <w:spacing w:val="13"/>
          <w:sz w:val="24"/>
        </w:rPr>
        <w:t> </w:t>
      </w:r>
      <w:r>
        <w:rPr>
          <w:sz w:val="24"/>
        </w:rPr>
        <w:t>projectile</w:t>
      </w:r>
      <w:r>
        <w:rPr>
          <w:spacing w:val="12"/>
          <w:sz w:val="24"/>
        </w:rPr>
        <w:t> </w:t>
      </w:r>
      <w:r>
        <w:rPr>
          <w:sz w:val="24"/>
        </w:rPr>
        <w:t>in</w:t>
      </w:r>
      <w:r>
        <w:rPr>
          <w:spacing w:val="12"/>
          <w:sz w:val="24"/>
        </w:rPr>
        <w:t> </w:t>
      </w:r>
      <w:r>
        <w:rPr>
          <w:sz w:val="24"/>
        </w:rPr>
        <w:t>flight</w:t>
      </w:r>
      <w:r>
        <w:rPr>
          <w:spacing w:val="13"/>
          <w:sz w:val="24"/>
        </w:rPr>
        <w:t> </w:t>
      </w:r>
      <w:r>
        <w:rPr>
          <w:sz w:val="24"/>
        </w:rPr>
        <w:t>from</w:t>
      </w:r>
      <w:r>
        <w:rPr>
          <w:spacing w:val="11"/>
          <w:sz w:val="24"/>
        </w:rPr>
        <w:t> </w:t>
      </w:r>
      <w:r>
        <w:rPr>
          <w:sz w:val="24"/>
        </w:rPr>
        <w:t>the</w:t>
      </w:r>
      <w:r>
        <w:rPr>
          <w:spacing w:val="13"/>
          <w:sz w:val="24"/>
        </w:rPr>
        <w:t> </w:t>
      </w:r>
      <w:r>
        <w:rPr>
          <w:sz w:val="24"/>
        </w:rPr>
        <w:t>end</w:t>
      </w:r>
      <w:r>
        <w:rPr>
          <w:spacing w:val="13"/>
          <w:sz w:val="24"/>
        </w:rPr>
        <w:t> </w:t>
      </w:r>
      <w:r>
        <w:rPr>
          <w:sz w:val="24"/>
        </w:rPr>
        <w:t>of</w:t>
      </w:r>
      <w:r>
        <w:rPr>
          <w:spacing w:val="12"/>
          <w:sz w:val="24"/>
        </w:rPr>
        <w:t> </w:t>
      </w:r>
      <w:r>
        <w:rPr>
          <w:sz w:val="24"/>
        </w:rPr>
        <w:t>the</w:t>
      </w:r>
      <w:r>
        <w:rPr>
          <w:spacing w:val="-57"/>
          <w:sz w:val="24"/>
        </w:rPr>
        <w:t> </w:t>
      </w:r>
      <w:r>
        <w:rPr>
          <w:sz w:val="24"/>
        </w:rPr>
        <w:t>gun</w:t>
      </w:r>
      <w:r>
        <w:rPr>
          <w:spacing w:val="-1"/>
          <w:sz w:val="24"/>
        </w:rPr>
        <w:t> </w:t>
      </w:r>
      <w:r>
        <w:rPr>
          <w:sz w:val="24"/>
        </w:rPr>
        <w:t>barrel to</w:t>
      </w:r>
      <w:r>
        <w:rPr>
          <w:spacing w:val="-2"/>
          <w:sz w:val="24"/>
        </w:rPr>
        <w:t> </w:t>
      </w:r>
      <w:r>
        <w:rPr>
          <w:sz w:val="24"/>
        </w:rPr>
        <w:t>the target-projectile interface</w:t>
      </w:r>
    </w:p>
    <w:p>
      <w:pPr>
        <w:pStyle w:val="ListParagraph"/>
        <w:numPr>
          <w:ilvl w:val="3"/>
          <w:numId w:val="17"/>
        </w:numPr>
        <w:tabs>
          <w:tab w:pos="1520" w:val="left" w:leader="none"/>
        </w:tabs>
        <w:spacing w:line="240" w:lineRule="auto" w:before="0" w:after="0"/>
        <w:ind w:left="1520" w:right="0" w:hanging="361"/>
        <w:jc w:val="left"/>
        <w:rPr>
          <w:sz w:val="24"/>
        </w:rPr>
      </w:pPr>
      <w:r>
        <w:rPr>
          <w:spacing w:val="-1"/>
          <w:sz w:val="24"/>
        </w:rPr>
        <w:t>Terminal</w:t>
      </w:r>
      <w:r>
        <w:rPr>
          <w:spacing w:val="-13"/>
          <w:sz w:val="24"/>
        </w:rPr>
        <w:t> </w:t>
      </w:r>
      <w:r>
        <w:rPr>
          <w:spacing w:val="-1"/>
          <w:sz w:val="24"/>
        </w:rPr>
        <w:t>ballistics,</w:t>
      </w:r>
      <w:r>
        <w:rPr>
          <w:spacing w:val="-14"/>
          <w:sz w:val="24"/>
        </w:rPr>
        <w:t> </w:t>
      </w:r>
      <w:r>
        <w:rPr>
          <w:sz w:val="24"/>
        </w:rPr>
        <w:t>which</w:t>
      </w:r>
      <w:r>
        <w:rPr>
          <w:spacing w:val="-13"/>
          <w:sz w:val="24"/>
        </w:rPr>
        <w:t> </w:t>
      </w:r>
      <w:r>
        <w:rPr>
          <w:sz w:val="24"/>
        </w:rPr>
        <w:t>is</w:t>
      </w:r>
      <w:r>
        <w:rPr>
          <w:spacing w:val="-13"/>
          <w:sz w:val="24"/>
        </w:rPr>
        <w:t> </w:t>
      </w:r>
      <w:r>
        <w:rPr>
          <w:sz w:val="24"/>
        </w:rPr>
        <w:t>generically,</w:t>
      </w:r>
      <w:r>
        <w:rPr>
          <w:spacing w:val="-13"/>
          <w:sz w:val="24"/>
        </w:rPr>
        <w:t> </w:t>
      </w:r>
      <w:r>
        <w:rPr>
          <w:sz w:val="24"/>
        </w:rPr>
        <w:t>the</w:t>
      </w:r>
      <w:r>
        <w:rPr>
          <w:spacing w:val="-15"/>
          <w:sz w:val="24"/>
        </w:rPr>
        <w:t> </w:t>
      </w:r>
      <w:r>
        <w:rPr>
          <w:sz w:val="24"/>
        </w:rPr>
        <w:t>science</w:t>
      </w:r>
      <w:r>
        <w:rPr>
          <w:spacing w:val="-13"/>
          <w:sz w:val="24"/>
        </w:rPr>
        <w:t> </w:t>
      </w:r>
      <w:r>
        <w:rPr>
          <w:sz w:val="24"/>
        </w:rPr>
        <w:t>and</w:t>
      </w:r>
      <w:r>
        <w:rPr>
          <w:spacing w:val="-13"/>
          <w:sz w:val="24"/>
        </w:rPr>
        <w:t> </w:t>
      </w:r>
      <w:r>
        <w:rPr>
          <w:sz w:val="24"/>
        </w:rPr>
        <w:t>engineering</w:t>
      </w:r>
      <w:r>
        <w:rPr>
          <w:spacing w:val="-14"/>
          <w:sz w:val="24"/>
        </w:rPr>
        <w:t> </w:t>
      </w:r>
      <w:r>
        <w:rPr>
          <w:sz w:val="24"/>
        </w:rPr>
        <w:t>of</w:t>
      </w:r>
      <w:r>
        <w:rPr>
          <w:spacing w:val="-13"/>
          <w:sz w:val="24"/>
        </w:rPr>
        <w:t> </w:t>
      </w:r>
      <w:r>
        <w:rPr>
          <w:sz w:val="24"/>
        </w:rPr>
        <w:t>impacts</w:t>
      </w:r>
    </w:p>
    <w:p>
      <w:pPr>
        <w:pStyle w:val="BodyText"/>
        <w:spacing w:before="10"/>
        <w:rPr>
          <w:sz w:val="37"/>
        </w:rPr>
      </w:pPr>
    </w:p>
    <w:p>
      <w:pPr>
        <w:pStyle w:val="BodyText"/>
        <w:spacing w:line="480" w:lineRule="auto"/>
        <w:ind w:left="439" w:right="256" w:firstLine="720"/>
        <w:jc w:val="both"/>
      </w:pPr>
      <w:r>
        <w:rPr/>
        <w:t>Terminal</w:t>
      </w:r>
      <w:r>
        <w:rPr>
          <w:spacing w:val="1"/>
        </w:rPr>
        <w:t> </w:t>
      </w:r>
      <w:r>
        <w:rPr/>
        <w:t>ballistics,</w:t>
      </w:r>
      <w:r>
        <w:rPr>
          <w:spacing w:val="1"/>
        </w:rPr>
        <w:t> </w:t>
      </w:r>
      <w:r>
        <w:rPr/>
        <w:t>now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commonly</w:t>
      </w:r>
      <w:r>
        <w:rPr>
          <w:spacing w:val="1"/>
        </w:rPr>
        <w:t> </w:t>
      </w:r>
      <w:r>
        <w:rPr/>
        <w:t>called</w:t>
      </w:r>
      <w:r>
        <w:rPr>
          <w:spacing w:val="1"/>
        </w:rPr>
        <w:t> </w:t>
      </w:r>
      <w:r>
        <w:rPr/>
        <w:t>penetration</w:t>
      </w:r>
      <w:r>
        <w:rPr>
          <w:spacing w:val="1"/>
        </w:rPr>
        <w:t> </w:t>
      </w:r>
      <w:r>
        <w:rPr/>
        <w:t>mechanics,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specifically the science behind what happens when a projectile strikes a target, including</w:t>
      </w:r>
      <w:r>
        <w:rPr>
          <w:spacing w:val="1"/>
        </w:rPr>
        <w:t> </w:t>
      </w:r>
      <w:r>
        <w:rPr/>
        <w:t>the</w:t>
      </w:r>
      <w:r>
        <w:rPr>
          <w:spacing w:val="-13"/>
        </w:rPr>
        <w:t> </w:t>
      </w:r>
      <w:r>
        <w:rPr/>
        <w:t>behavior</w:t>
      </w:r>
      <w:r>
        <w:rPr>
          <w:spacing w:val="-14"/>
        </w:rPr>
        <w:t> </w:t>
      </w:r>
      <w:r>
        <w:rPr/>
        <w:t>and</w:t>
      </w:r>
      <w:r>
        <w:rPr>
          <w:spacing w:val="-13"/>
        </w:rPr>
        <w:t> </w:t>
      </w:r>
      <w:r>
        <w:rPr/>
        <w:t>effects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the</w:t>
      </w:r>
      <w:r>
        <w:rPr>
          <w:spacing w:val="-13"/>
        </w:rPr>
        <w:t> </w:t>
      </w:r>
      <w:r>
        <w:rPr/>
        <w:t>projectile</w:t>
      </w:r>
      <w:r>
        <w:rPr>
          <w:spacing w:val="-13"/>
        </w:rPr>
        <w:t> </w:t>
      </w:r>
      <w:r>
        <w:rPr/>
        <w:t>when</w:t>
      </w:r>
      <w:r>
        <w:rPr>
          <w:spacing w:val="-13"/>
        </w:rPr>
        <w:t> </w:t>
      </w:r>
      <w:r>
        <w:rPr/>
        <w:t>it</w:t>
      </w:r>
      <w:r>
        <w:rPr>
          <w:spacing w:val="-14"/>
        </w:rPr>
        <w:t> </w:t>
      </w:r>
      <w:r>
        <w:rPr/>
        <w:t>makes</w:t>
      </w:r>
      <w:r>
        <w:rPr>
          <w:spacing w:val="-13"/>
        </w:rPr>
        <w:t> </w:t>
      </w:r>
      <w:r>
        <w:rPr/>
        <w:t>contact</w:t>
      </w:r>
      <w:r>
        <w:rPr>
          <w:spacing w:val="-13"/>
        </w:rPr>
        <w:t> </w:t>
      </w:r>
      <w:r>
        <w:rPr/>
        <w:t>with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target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transfers</w:t>
      </w:r>
      <w:r>
        <w:rPr>
          <w:spacing w:val="-58"/>
        </w:rPr>
        <w:t> </w:t>
      </w:r>
      <w:r>
        <w:rPr/>
        <w:t>energy</w:t>
      </w:r>
      <w:r>
        <w:rPr>
          <w:spacing w:val="-11"/>
        </w:rPr>
        <w:t> </w:t>
      </w:r>
      <w:r>
        <w:rPr/>
        <w:t>to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target.</w:t>
      </w:r>
      <w:r>
        <w:rPr>
          <w:spacing w:val="40"/>
        </w:rPr>
        <w:t> </w:t>
      </w:r>
      <w:r>
        <w:rPr/>
        <w:t>The</w:t>
      </w:r>
      <w:r>
        <w:rPr>
          <w:spacing w:val="-10"/>
        </w:rPr>
        <w:t> </w:t>
      </w:r>
      <w:r>
        <w:rPr/>
        <w:t>penetration</w:t>
      </w:r>
      <w:r>
        <w:rPr>
          <w:spacing w:val="-10"/>
        </w:rPr>
        <w:t> </w:t>
      </w:r>
      <w:r>
        <w:rPr/>
        <w:t>effectiveness</w:t>
      </w:r>
      <w:r>
        <w:rPr>
          <w:spacing w:val="-11"/>
        </w:rPr>
        <w:t> </w:t>
      </w:r>
      <w:r>
        <w:rPr/>
        <w:t>is</w:t>
      </w:r>
      <w:r>
        <w:rPr>
          <w:spacing w:val="-10"/>
        </w:rPr>
        <w:t> </w:t>
      </w:r>
      <w:r>
        <w:rPr/>
        <w:t>typically</w:t>
      </w:r>
      <w:r>
        <w:rPr>
          <w:spacing w:val="-10"/>
        </w:rPr>
        <w:t> </w:t>
      </w:r>
      <w:r>
        <w:rPr/>
        <w:t>determined</w:t>
      </w:r>
      <w:r>
        <w:rPr>
          <w:spacing w:val="-10"/>
        </w:rPr>
        <w:t> </w:t>
      </w:r>
      <w:r>
        <w:rPr/>
        <w:t>by</w:t>
      </w:r>
      <w:r>
        <w:rPr>
          <w:spacing w:val="-11"/>
        </w:rPr>
        <w:t> </w:t>
      </w:r>
      <w:r>
        <w:rPr/>
        <w:t>the</w:t>
      </w:r>
      <w:r>
        <w:rPr>
          <w:spacing w:val="-10"/>
        </w:rPr>
        <w:t> </w:t>
      </w:r>
      <w:r>
        <w:rPr/>
        <w:t>projectile</w:t>
      </w:r>
      <w:r>
        <w:rPr>
          <w:spacing w:val="-57"/>
        </w:rPr>
        <w:t> </w:t>
      </w:r>
      <w:r>
        <w:rPr/>
        <w:t>design</w:t>
      </w:r>
      <w:r>
        <w:rPr>
          <w:spacing w:val="-10"/>
        </w:rPr>
        <w:t> </w:t>
      </w:r>
      <w:r>
        <w:rPr/>
        <w:t>in</w:t>
      </w:r>
      <w:r>
        <w:rPr>
          <w:spacing w:val="-11"/>
        </w:rPr>
        <w:t> </w:t>
      </w:r>
      <w:r>
        <w:rPr/>
        <w:t>terms</w:t>
      </w:r>
      <w:r>
        <w:rPr>
          <w:spacing w:val="-10"/>
        </w:rPr>
        <w:t> </w:t>
      </w:r>
      <w:r>
        <w:rPr/>
        <w:t>of</w:t>
      </w:r>
      <w:r>
        <w:rPr>
          <w:spacing w:val="-11"/>
        </w:rPr>
        <w:t> </w:t>
      </w:r>
      <w:r>
        <w:rPr/>
        <w:t>shape,</w:t>
      </w:r>
      <w:r>
        <w:rPr>
          <w:spacing w:val="-10"/>
        </w:rPr>
        <w:t> </w:t>
      </w:r>
      <w:r>
        <w:rPr/>
        <w:t>size,</w:t>
      </w:r>
      <w:r>
        <w:rPr>
          <w:spacing w:val="-11"/>
        </w:rPr>
        <w:t> </w:t>
      </w:r>
      <w:r>
        <w:rPr/>
        <w:t>and</w:t>
      </w:r>
      <w:r>
        <w:rPr>
          <w:spacing w:val="-10"/>
        </w:rPr>
        <w:t> </w:t>
      </w:r>
      <w:r>
        <w:rPr/>
        <w:t>striking</w:t>
      </w:r>
      <w:r>
        <w:rPr>
          <w:spacing w:val="-10"/>
        </w:rPr>
        <w:t> </w:t>
      </w:r>
      <w:r>
        <w:rPr/>
        <w:t>velocity.</w:t>
      </w:r>
      <w:r>
        <w:rPr>
          <w:spacing w:val="41"/>
        </w:rPr>
        <w:t> </w:t>
      </w:r>
      <w:r>
        <w:rPr/>
        <w:t>There</w:t>
      </w:r>
      <w:r>
        <w:rPr>
          <w:spacing w:val="-10"/>
        </w:rPr>
        <w:t> </w:t>
      </w:r>
      <w:r>
        <w:rPr/>
        <w:t>are</w:t>
      </w:r>
      <w:r>
        <w:rPr>
          <w:spacing w:val="-11"/>
        </w:rPr>
        <w:t> </w:t>
      </w:r>
      <w:r>
        <w:rPr/>
        <w:t>two</w:t>
      </w:r>
      <w:r>
        <w:rPr>
          <w:spacing w:val="-9"/>
        </w:rPr>
        <w:t> </w:t>
      </w:r>
      <w:r>
        <w:rPr/>
        <w:t>perspectives</w:t>
      </w:r>
      <w:r>
        <w:rPr>
          <w:spacing w:val="-11"/>
        </w:rPr>
        <w:t> </w:t>
      </w:r>
      <w:r>
        <w:rPr/>
        <w:t>to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field</w:t>
      </w:r>
      <w:r>
        <w:rPr>
          <w:spacing w:val="-58"/>
        </w:rPr>
        <w:t> </w:t>
      </w:r>
      <w:r>
        <w:rPr/>
        <w:t>of terminal ballistics.</w:t>
      </w:r>
      <w:r>
        <w:rPr>
          <w:spacing w:val="1"/>
        </w:rPr>
        <w:t> </w:t>
      </w:r>
      <w:r>
        <w:rPr/>
        <w:t>One view is in terms of protection and research from this vantage</w:t>
      </w:r>
      <w:r>
        <w:rPr>
          <w:spacing w:val="1"/>
        </w:rPr>
        <w:t> </w:t>
      </w:r>
      <w:r>
        <w:rPr/>
        <w:t>point</w:t>
      </w:r>
      <w:r>
        <w:rPr>
          <w:spacing w:val="-6"/>
        </w:rPr>
        <w:t> </w:t>
      </w:r>
      <w:r>
        <w:rPr/>
        <w:t>in</w:t>
      </w:r>
      <w:r>
        <w:rPr>
          <w:spacing w:val="-5"/>
        </w:rPr>
        <w:t> </w:t>
      </w:r>
      <w:r>
        <w:rPr/>
        <w:t>terminal</w:t>
      </w:r>
      <w:r>
        <w:rPr>
          <w:spacing w:val="-3"/>
        </w:rPr>
        <w:t> </w:t>
      </w:r>
      <w:r>
        <w:rPr/>
        <w:t>ballistics</w:t>
      </w:r>
      <w:r>
        <w:rPr>
          <w:spacing w:val="-5"/>
        </w:rPr>
        <w:t> </w:t>
      </w:r>
      <w:r>
        <w:rPr/>
        <w:t>is</w:t>
      </w:r>
      <w:r>
        <w:rPr>
          <w:spacing w:val="-4"/>
        </w:rPr>
        <w:t> </w:t>
      </w:r>
      <w:r>
        <w:rPr/>
        <w:t>for</w:t>
      </w:r>
      <w:r>
        <w:rPr>
          <w:spacing w:val="-5"/>
        </w:rPr>
        <w:t> </w:t>
      </w:r>
      <w:r>
        <w:rPr/>
        <w:t>armor</w:t>
      </w:r>
      <w:r>
        <w:rPr>
          <w:spacing w:val="-4"/>
        </w:rPr>
        <w:t> </w:t>
      </w:r>
      <w:r>
        <w:rPr/>
        <w:t>design</w:t>
      </w:r>
      <w:r>
        <w:rPr>
          <w:spacing w:val="-6"/>
        </w:rPr>
        <w:t> </w:t>
      </w:r>
      <w:r>
        <w:rPr/>
        <w:t>or</w:t>
      </w:r>
      <w:r>
        <w:rPr>
          <w:spacing w:val="-3"/>
        </w:rPr>
        <w:t> </w:t>
      </w:r>
      <w:r>
        <w:rPr/>
        <w:t>force</w:t>
      </w:r>
      <w:r>
        <w:rPr>
          <w:spacing w:val="-5"/>
        </w:rPr>
        <w:t> </w:t>
      </w:r>
      <w:r>
        <w:rPr/>
        <w:t>protection</w:t>
      </w:r>
      <w:r>
        <w:rPr>
          <w:spacing w:val="-5"/>
        </w:rPr>
        <w:t> </w:t>
      </w:r>
      <w:r>
        <w:rPr/>
        <w:t>assessment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structures.</w:t>
      </w:r>
      <w:r>
        <w:rPr>
          <w:spacing w:val="-58"/>
        </w:rPr>
        <w:t> </w:t>
      </w:r>
      <w:r>
        <w:rPr/>
        <w:t>In essence, it involves design of a target with minimal areal density to defeat, or resist the</w:t>
      </w:r>
      <w:r>
        <w:rPr>
          <w:spacing w:val="-57"/>
        </w:rPr>
        <w:t> </w:t>
      </w:r>
      <w:r>
        <w:rPr/>
        <w:t>penetration of a projectile.</w:t>
      </w:r>
      <w:r>
        <w:rPr>
          <w:spacing w:val="1"/>
        </w:rPr>
        <w:t> </w:t>
      </w:r>
      <w:r>
        <w:rPr/>
        <w:t>On the other hand, there is the lethality viewpoint used in</w:t>
      </w:r>
      <w:r>
        <w:rPr>
          <w:spacing w:val="1"/>
        </w:rPr>
        <w:t> </w:t>
      </w:r>
      <w:r>
        <w:rPr/>
        <w:t>weapons</w:t>
      </w:r>
      <w:r>
        <w:rPr>
          <w:spacing w:val="-3"/>
        </w:rPr>
        <w:t> </w:t>
      </w:r>
      <w:r>
        <w:rPr/>
        <w:t>design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maximize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desired</w:t>
      </w:r>
      <w:r>
        <w:rPr>
          <w:spacing w:val="-2"/>
        </w:rPr>
        <w:t> </w:t>
      </w:r>
      <w:r>
        <w:rPr/>
        <w:t>effect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/>
        <w:t>design</w:t>
      </w:r>
      <w:r>
        <w:rPr>
          <w:spacing w:val="-3"/>
        </w:rPr>
        <w:t> </w:t>
      </w:r>
      <w:r>
        <w:rPr/>
        <w:t>projectiles</w:t>
      </w:r>
      <w:r>
        <w:rPr>
          <w:spacing w:val="-2"/>
        </w:rPr>
        <w:t> </w:t>
      </w:r>
      <w:r>
        <w:rPr/>
        <w:t>capable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defeating</w:t>
      </w:r>
      <w:r>
        <w:rPr>
          <w:spacing w:val="-58"/>
        </w:rPr>
        <w:t> </w:t>
      </w:r>
      <w:r>
        <w:rPr/>
        <w:t>or penetrating a given target with minimal energy.</w:t>
      </w:r>
      <w:r>
        <w:rPr>
          <w:spacing w:val="1"/>
        </w:rPr>
        <w:t> </w:t>
      </w:r>
      <w:r>
        <w:rPr/>
        <w:t>Due to challenges in gathering data</w:t>
      </w:r>
      <w:r>
        <w:rPr>
          <w:spacing w:val="1"/>
        </w:rPr>
        <w:t> </w:t>
      </w:r>
      <w:r>
        <w:rPr/>
        <w:t>related to terminal ballistics, the science of penetration mechanics has lagged behind the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two</w:t>
      </w:r>
      <w:r>
        <w:rPr>
          <w:spacing w:val="1"/>
        </w:rPr>
        <w:t> </w:t>
      </w:r>
      <w:r>
        <w:rPr/>
        <w:t>areas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ballistics,</w:t>
      </w:r>
      <w:r>
        <w:rPr>
          <w:spacing w:val="1"/>
        </w:rPr>
        <w:t> </w:t>
      </w:r>
      <w:r>
        <w:rPr/>
        <w:t>although</w:t>
      </w:r>
      <w:r>
        <w:rPr>
          <w:spacing w:val="1"/>
        </w:rPr>
        <w:t> </w:t>
      </w:r>
      <w:r>
        <w:rPr/>
        <w:t>recent</w:t>
      </w:r>
      <w:r>
        <w:rPr>
          <w:spacing w:val="1"/>
        </w:rPr>
        <w:t> </w:t>
      </w:r>
      <w:r>
        <w:rPr/>
        <w:t>developments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computer</w:t>
      </w:r>
      <w:r>
        <w:rPr>
          <w:spacing w:val="1"/>
        </w:rPr>
        <w:t> </w:t>
      </w:r>
      <w:r>
        <w:rPr/>
        <w:t>simulation,</w:t>
      </w:r>
      <w:r>
        <w:rPr>
          <w:spacing w:val="1"/>
        </w:rPr>
        <w:t> </w:t>
      </w:r>
      <w:r>
        <w:rPr/>
        <w:t>radiography</w:t>
      </w:r>
      <w:r>
        <w:rPr>
          <w:spacing w:val="-3"/>
        </w:rPr>
        <w:t> </w:t>
      </w:r>
      <w:r>
        <w:rPr/>
        <w:t>and high-speed photography</w:t>
      </w:r>
      <w:r>
        <w:rPr>
          <w:spacing w:val="-1"/>
        </w:rPr>
        <w:t> </w:t>
      </w:r>
      <w:r>
        <w:rPr/>
        <w:t>have all helped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the recent past.</w:t>
      </w:r>
    </w:p>
    <w:p>
      <w:pPr>
        <w:spacing w:after="0" w:line="480" w:lineRule="auto"/>
        <w:jc w:val="both"/>
        <w:sectPr>
          <w:pgSz w:w="12240" w:h="15840"/>
          <w:pgMar w:header="0" w:footer="1064" w:top="1380" w:bottom="1260" w:left="1720" w:right="1180"/>
        </w:sectPr>
      </w:pPr>
    </w:p>
    <w:p>
      <w:pPr>
        <w:pStyle w:val="ListParagraph"/>
        <w:numPr>
          <w:ilvl w:val="2"/>
          <w:numId w:val="17"/>
        </w:numPr>
        <w:tabs>
          <w:tab w:pos="980" w:val="left" w:leader="none"/>
        </w:tabs>
        <w:spacing w:line="240" w:lineRule="auto" w:before="79" w:after="0"/>
        <w:ind w:left="980" w:right="0" w:hanging="540"/>
        <w:jc w:val="both"/>
        <w:rPr>
          <w:i/>
          <w:sz w:val="24"/>
        </w:rPr>
      </w:pPr>
      <w:bookmarkStart w:name="3.8.2 Basic ballistic terms defined" w:id="125"/>
      <w:bookmarkEnd w:id="125"/>
      <w:r>
        <w:rPr/>
      </w:r>
      <w:bookmarkStart w:name="3.8.2 Basic ballistic terms defined" w:id="126"/>
      <w:bookmarkEnd w:id="126"/>
      <w:r>
        <w:rPr>
          <w:i/>
          <w:sz w:val="24"/>
        </w:rPr>
        <w:t>B</w:t>
      </w:r>
      <w:r>
        <w:rPr>
          <w:i/>
          <w:sz w:val="24"/>
        </w:rPr>
        <w:t>asic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ballistic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terms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defined</w:t>
      </w:r>
    </w:p>
    <w:p>
      <w:pPr>
        <w:pStyle w:val="BodyText"/>
        <w:spacing w:before="7"/>
        <w:rPr>
          <w:i/>
          <w:sz w:val="22"/>
        </w:rPr>
      </w:pPr>
    </w:p>
    <w:p>
      <w:pPr>
        <w:pStyle w:val="BodyText"/>
        <w:spacing w:line="480" w:lineRule="auto"/>
        <w:ind w:left="440" w:right="257" w:firstLine="720"/>
        <w:jc w:val="both"/>
      </w:pPr>
      <w:r>
        <w:rPr/>
        <w:t>Common</w:t>
      </w:r>
      <w:r>
        <w:rPr>
          <w:spacing w:val="-13"/>
        </w:rPr>
        <w:t> </w:t>
      </w:r>
      <w:r>
        <w:rPr/>
        <w:t>ballistics</w:t>
      </w:r>
      <w:r>
        <w:rPr>
          <w:spacing w:val="-12"/>
        </w:rPr>
        <w:t> </w:t>
      </w:r>
      <w:r>
        <w:rPr/>
        <w:t>terminology</w:t>
      </w:r>
      <w:r>
        <w:rPr>
          <w:spacing w:val="-12"/>
        </w:rPr>
        <w:t> </w:t>
      </w:r>
      <w:r>
        <w:rPr/>
        <w:t>must</w:t>
      </w:r>
      <w:r>
        <w:rPr>
          <w:spacing w:val="-11"/>
        </w:rPr>
        <w:t> </w:t>
      </w:r>
      <w:r>
        <w:rPr/>
        <w:t>be</w:t>
      </w:r>
      <w:r>
        <w:rPr>
          <w:spacing w:val="-12"/>
        </w:rPr>
        <w:t> </w:t>
      </w:r>
      <w:r>
        <w:rPr/>
        <w:t>defined</w:t>
      </w:r>
      <w:r>
        <w:rPr>
          <w:spacing w:val="-12"/>
        </w:rPr>
        <w:t> </w:t>
      </w:r>
      <w:r>
        <w:rPr/>
        <w:t>for</w:t>
      </w:r>
      <w:r>
        <w:rPr>
          <w:spacing w:val="-12"/>
        </w:rPr>
        <w:t> </w:t>
      </w:r>
      <w:r>
        <w:rPr/>
        <w:t>clarity.</w:t>
      </w:r>
      <w:r>
        <w:rPr>
          <w:spacing w:val="36"/>
        </w:rPr>
        <w:t> </w:t>
      </w:r>
      <w:r>
        <w:rPr/>
        <w:t>Penetration</w:t>
      </w:r>
      <w:r>
        <w:rPr>
          <w:spacing w:val="-13"/>
        </w:rPr>
        <w:t> </w:t>
      </w:r>
      <w:r>
        <w:rPr/>
        <w:t>is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entry</w:t>
      </w:r>
      <w:r>
        <w:rPr>
          <w:spacing w:val="-58"/>
        </w:rPr>
        <w:t> </w:t>
      </w:r>
      <w:r>
        <w:rPr/>
        <w:t>of a</w:t>
      </w:r>
      <w:r>
        <w:rPr>
          <w:spacing w:val="1"/>
        </w:rPr>
        <w:t> </w:t>
      </w:r>
      <w:r>
        <w:rPr/>
        <w:t>penetrator,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projectile, into any</w:t>
      </w:r>
      <w:r>
        <w:rPr>
          <w:spacing w:val="1"/>
        </w:rPr>
        <w:t> </w:t>
      </w:r>
      <w:r>
        <w:rPr/>
        <w:t>portion</w:t>
      </w:r>
      <w:r>
        <w:rPr>
          <w:spacing w:val="1"/>
        </w:rPr>
        <w:t> </w:t>
      </w:r>
      <w:r>
        <w:rPr/>
        <w:t>of a</w:t>
      </w:r>
      <w:r>
        <w:rPr>
          <w:spacing w:val="1"/>
        </w:rPr>
        <w:t> </w:t>
      </w:r>
      <w:r>
        <w:rPr/>
        <w:t>target; this includes</w:t>
      </w:r>
      <w:r>
        <w:rPr>
          <w:spacing w:val="1"/>
        </w:rPr>
        <w:t> </w:t>
      </w:r>
      <w:r>
        <w:rPr/>
        <w:t>perforation,</w:t>
      </w:r>
      <w:r>
        <w:rPr>
          <w:spacing w:val="1"/>
        </w:rPr>
        <w:t> </w:t>
      </w:r>
      <w:r>
        <w:rPr/>
        <w:t>embedment and ricochet.</w:t>
      </w:r>
      <w:r>
        <w:rPr>
          <w:spacing w:val="1"/>
        </w:rPr>
        <w:t> </w:t>
      </w:r>
      <w:r>
        <w:rPr/>
        <w:t>Ricochet is the scenario where the penetrator deflects from the</w:t>
      </w:r>
      <w:r>
        <w:rPr>
          <w:spacing w:val="1"/>
        </w:rPr>
        <w:t> </w:t>
      </w:r>
      <w:r>
        <w:rPr/>
        <w:t>target without being stopped or perforated. Embedment is where the penetrator is stopped</w:t>
      </w:r>
      <w:r>
        <w:rPr>
          <w:spacing w:val="-57"/>
        </w:rPr>
        <w:t> </w:t>
      </w:r>
      <w:r>
        <w:rPr>
          <w:spacing w:val="-1"/>
        </w:rPr>
        <w:t>during</w:t>
      </w:r>
      <w:r>
        <w:rPr>
          <w:spacing w:val="-13"/>
        </w:rPr>
        <w:t> </w:t>
      </w:r>
      <w:r>
        <w:rPr/>
        <w:t>contact</w:t>
      </w:r>
      <w:r>
        <w:rPr>
          <w:spacing w:val="-13"/>
        </w:rPr>
        <w:t> </w:t>
      </w:r>
      <w:r>
        <w:rPr/>
        <w:t>with</w:t>
      </w:r>
      <w:r>
        <w:rPr>
          <w:spacing w:val="-15"/>
        </w:rPr>
        <w:t> </w:t>
      </w:r>
      <w:r>
        <w:rPr/>
        <w:t>the</w:t>
      </w:r>
      <w:r>
        <w:rPr>
          <w:spacing w:val="-13"/>
        </w:rPr>
        <w:t> </w:t>
      </w:r>
      <w:r>
        <w:rPr/>
        <w:t>target</w:t>
      </w:r>
      <w:r>
        <w:rPr>
          <w:spacing w:val="-14"/>
        </w:rPr>
        <w:t> </w:t>
      </w:r>
      <w:r>
        <w:rPr/>
        <w:t>and</w:t>
      </w:r>
      <w:r>
        <w:rPr>
          <w:spacing w:val="-13"/>
        </w:rPr>
        <w:t> </w:t>
      </w:r>
      <w:r>
        <w:rPr/>
        <w:t>there</w:t>
      </w:r>
      <w:r>
        <w:rPr>
          <w:spacing w:val="-12"/>
        </w:rPr>
        <w:t> </w:t>
      </w:r>
      <w:r>
        <w:rPr/>
        <w:t>is</w:t>
      </w:r>
      <w:r>
        <w:rPr>
          <w:spacing w:val="-14"/>
        </w:rPr>
        <w:t> </w:t>
      </w:r>
      <w:r>
        <w:rPr/>
        <w:t>the</w:t>
      </w:r>
      <w:r>
        <w:rPr>
          <w:spacing w:val="-13"/>
        </w:rPr>
        <w:t> </w:t>
      </w:r>
      <w:r>
        <w:rPr/>
        <w:t>formation</w:t>
      </w:r>
      <w:r>
        <w:rPr>
          <w:spacing w:val="-12"/>
        </w:rPr>
        <w:t> </w:t>
      </w:r>
      <w:r>
        <w:rPr/>
        <w:t>of</w:t>
      </w:r>
      <w:r>
        <w:rPr>
          <w:spacing w:val="-14"/>
        </w:rPr>
        <w:t> </w:t>
      </w:r>
      <w:r>
        <w:rPr/>
        <w:t>a</w:t>
      </w:r>
      <w:r>
        <w:rPr>
          <w:spacing w:val="-14"/>
        </w:rPr>
        <w:t> </w:t>
      </w:r>
      <w:r>
        <w:rPr/>
        <w:t>crater</w:t>
      </w:r>
      <w:r>
        <w:rPr>
          <w:spacing w:val="-13"/>
        </w:rPr>
        <w:t> </w:t>
      </w:r>
      <w:r>
        <w:rPr/>
        <w:t>in</w:t>
      </w:r>
      <w:r>
        <w:rPr>
          <w:spacing w:val="-15"/>
        </w:rPr>
        <w:t> </w:t>
      </w:r>
      <w:r>
        <w:rPr/>
        <w:t>the</w:t>
      </w:r>
      <w:r>
        <w:rPr>
          <w:spacing w:val="-14"/>
        </w:rPr>
        <w:t> </w:t>
      </w:r>
      <w:r>
        <w:rPr/>
        <w:t>target.</w:t>
      </w:r>
      <w:r>
        <w:rPr>
          <w:spacing w:val="35"/>
        </w:rPr>
        <w:t> </w:t>
      </w:r>
      <w:r>
        <w:rPr/>
        <w:t>Perforation</w:t>
      </w:r>
      <w:r>
        <w:rPr>
          <w:spacing w:val="-58"/>
        </w:rPr>
        <w:t> </w:t>
      </w:r>
      <w:r>
        <w:rPr/>
        <w:t>is when the penetrator passes through the target and may also be called a complete or full</w:t>
      </w:r>
      <w:r>
        <w:rPr>
          <w:spacing w:val="1"/>
        </w:rPr>
        <w:t> </w:t>
      </w:r>
      <w:r>
        <w:rPr/>
        <w:t>penetration.</w:t>
      </w:r>
      <w:r>
        <w:rPr>
          <w:spacing w:val="56"/>
        </w:rPr>
        <w:t> </w:t>
      </w:r>
      <w:r>
        <w:rPr/>
        <w:t>Cratering</w:t>
      </w:r>
      <w:r>
        <w:rPr>
          <w:spacing w:val="-1"/>
        </w:rPr>
        <w:t> </w:t>
      </w:r>
      <w:r>
        <w:rPr/>
        <w:t>describes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localized</w:t>
      </w:r>
      <w:r>
        <w:rPr>
          <w:spacing w:val="-1"/>
        </w:rPr>
        <w:t> </w:t>
      </w:r>
      <w:r>
        <w:rPr/>
        <w:t>deformations in</w:t>
      </w:r>
      <w:r>
        <w:rPr>
          <w:spacing w:val="-1"/>
        </w:rPr>
        <w:t> </w:t>
      </w:r>
      <w:r>
        <w:rPr/>
        <w:t>target [27].</w:t>
      </w:r>
    </w:p>
    <w:p>
      <w:pPr>
        <w:pStyle w:val="BodyText"/>
        <w:spacing w:line="480" w:lineRule="auto" w:before="160"/>
        <w:ind w:left="440" w:right="257" w:firstLine="720"/>
        <w:jc w:val="both"/>
      </w:pPr>
      <w:r>
        <w:rPr>
          <w:position w:val="1"/>
        </w:rPr>
        <w:t>Ballistic</w:t>
      </w:r>
      <w:r>
        <w:rPr>
          <w:spacing w:val="1"/>
          <w:position w:val="1"/>
        </w:rPr>
        <w:t> </w:t>
      </w:r>
      <w:r>
        <w:rPr>
          <w:position w:val="1"/>
        </w:rPr>
        <w:t>limit</w:t>
      </w:r>
      <w:r>
        <w:rPr>
          <w:spacing w:val="1"/>
          <w:position w:val="1"/>
        </w:rPr>
        <w:t> </w:t>
      </w:r>
      <w:r>
        <w:rPr>
          <w:position w:val="1"/>
        </w:rPr>
        <w:t>(V</w:t>
      </w:r>
      <w:r>
        <w:rPr>
          <w:sz w:val="16"/>
        </w:rPr>
        <w:t>BL</w:t>
      </w:r>
      <w:r>
        <w:rPr>
          <w:spacing w:val="1"/>
          <w:sz w:val="16"/>
        </w:rPr>
        <w:t> </w:t>
      </w:r>
      <w:r>
        <w:rPr>
          <w:position w:val="1"/>
        </w:rPr>
        <w:t>or</w:t>
      </w:r>
      <w:r>
        <w:rPr>
          <w:spacing w:val="1"/>
          <w:position w:val="1"/>
        </w:rPr>
        <w:t> </w:t>
      </w:r>
      <w:r>
        <w:rPr>
          <w:position w:val="1"/>
        </w:rPr>
        <w:t>V</w:t>
      </w:r>
      <w:r>
        <w:rPr>
          <w:sz w:val="16"/>
        </w:rPr>
        <w:t>50</w:t>
      </w:r>
      <w:r>
        <w:rPr>
          <w:position w:val="1"/>
        </w:rPr>
        <w:t>)</w:t>
      </w:r>
      <w:r>
        <w:rPr>
          <w:spacing w:val="1"/>
          <w:position w:val="1"/>
        </w:rPr>
        <w:t> </w:t>
      </w:r>
      <w:r>
        <w:rPr>
          <w:position w:val="1"/>
        </w:rPr>
        <w:t>is</w:t>
      </w:r>
      <w:r>
        <w:rPr>
          <w:spacing w:val="1"/>
          <w:position w:val="1"/>
        </w:rPr>
        <w:t> </w:t>
      </w:r>
      <w:r>
        <w:rPr>
          <w:position w:val="1"/>
        </w:rPr>
        <w:t>a</w:t>
      </w:r>
      <w:r>
        <w:rPr>
          <w:spacing w:val="1"/>
          <w:position w:val="1"/>
        </w:rPr>
        <w:t> </w:t>
      </w:r>
      <w:r>
        <w:rPr>
          <w:position w:val="1"/>
        </w:rPr>
        <w:t>commonly</w:t>
      </w:r>
      <w:r>
        <w:rPr>
          <w:spacing w:val="1"/>
          <w:position w:val="1"/>
        </w:rPr>
        <w:t> </w:t>
      </w:r>
      <w:r>
        <w:rPr>
          <w:position w:val="1"/>
        </w:rPr>
        <w:t>referenced</w:t>
      </w:r>
      <w:r>
        <w:rPr>
          <w:spacing w:val="1"/>
          <w:position w:val="1"/>
        </w:rPr>
        <w:t> </w:t>
      </w:r>
      <w:r>
        <w:rPr>
          <w:position w:val="1"/>
        </w:rPr>
        <w:t>velocity</w:t>
      </w:r>
      <w:r>
        <w:rPr>
          <w:spacing w:val="1"/>
          <w:position w:val="1"/>
        </w:rPr>
        <w:t> </w:t>
      </w:r>
      <w:r>
        <w:rPr>
          <w:position w:val="1"/>
        </w:rPr>
        <w:t>threshold</w:t>
      </w:r>
      <w:r>
        <w:rPr>
          <w:spacing w:val="1"/>
          <w:position w:val="1"/>
        </w:rPr>
        <w:t> </w:t>
      </w:r>
      <w:r>
        <w:rPr>
          <w:position w:val="1"/>
        </w:rPr>
        <w:t>for</w:t>
      </w:r>
      <w:r>
        <w:rPr>
          <w:spacing w:val="-57"/>
          <w:position w:val="1"/>
        </w:rPr>
        <w:t> </w:t>
      </w:r>
      <w:r>
        <w:rPr/>
        <w:t>perforation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is</w:t>
      </w:r>
      <w:r>
        <w:rPr>
          <w:spacing w:val="-7"/>
        </w:rPr>
        <w:t> </w:t>
      </w:r>
      <w:r>
        <w:rPr/>
        <w:t>defined</w:t>
      </w:r>
      <w:r>
        <w:rPr>
          <w:spacing w:val="-7"/>
        </w:rPr>
        <w:t> </w:t>
      </w:r>
      <w:r>
        <w:rPr/>
        <w:t>as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average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two</w:t>
      </w:r>
      <w:r>
        <w:rPr>
          <w:spacing w:val="-7"/>
        </w:rPr>
        <w:t> </w:t>
      </w:r>
      <w:r>
        <w:rPr/>
        <w:t>striking</w:t>
      </w:r>
      <w:r>
        <w:rPr>
          <w:spacing w:val="-6"/>
        </w:rPr>
        <w:t> </w:t>
      </w:r>
      <w:r>
        <w:rPr/>
        <w:t>velocities</w:t>
      </w:r>
      <w:r>
        <w:rPr>
          <w:spacing w:val="-7"/>
        </w:rPr>
        <w:t> </w:t>
      </w:r>
      <w:r>
        <w:rPr/>
        <w:t>where</w:t>
      </w:r>
      <w:r>
        <w:rPr>
          <w:spacing w:val="-7"/>
        </w:rPr>
        <w:t> </w:t>
      </w:r>
      <w:r>
        <w:rPr/>
        <w:t>one</w:t>
      </w:r>
      <w:r>
        <w:rPr>
          <w:spacing w:val="-7"/>
        </w:rPr>
        <w:t> </w:t>
      </w:r>
      <w:r>
        <w:rPr/>
        <w:t>is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highest</w:t>
      </w:r>
      <w:r>
        <w:rPr>
          <w:spacing w:val="-58"/>
        </w:rPr>
        <w:t> </w:t>
      </w:r>
      <w:r>
        <w:rPr/>
        <w:t>velocity</w:t>
      </w:r>
      <w:r>
        <w:rPr>
          <w:spacing w:val="-12"/>
        </w:rPr>
        <w:t> </w:t>
      </w:r>
      <w:r>
        <w:rPr/>
        <w:t>giving</w:t>
      </w:r>
      <w:r>
        <w:rPr>
          <w:spacing w:val="-12"/>
        </w:rPr>
        <w:t> </w:t>
      </w:r>
      <w:r>
        <w:rPr/>
        <w:t>a</w:t>
      </w:r>
      <w:r>
        <w:rPr>
          <w:spacing w:val="-12"/>
        </w:rPr>
        <w:t> </w:t>
      </w:r>
      <w:r>
        <w:rPr/>
        <w:t>partial</w:t>
      </w:r>
      <w:r>
        <w:rPr>
          <w:spacing w:val="-11"/>
        </w:rPr>
        <w:t> </w:t>
      </w:r>
      <w:r>
        <w:rPr/>
        <w:t>penetration</w:t>
      </w:r>
      <w:r>
        <w:rPr>
          <w:spacing w:val="-13"/>
        </w:rPr>
        <w:t> </w:t>
      </w:r>
      <w:r>
        <w:rPr/>
        <w:t>and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second</w:t>
      </w:r>
      <w:r>
        <w:rPr>
          <w:spacing w:val="-12"/>
        </w:rPr>
        <w:t> </w:t>
      </w:r>
      <w:r>
        <w:rPr/>
        <w:t>is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lowest</w:t>
      </w:r>
      <w:r>
        <w:rPr>
          <w:spacing w:val="-12"/>
        </w:rPr>
        <w:t> </w:t>
      </w:r>
      <w:r>
        <w:rPr/>
        <w:t>velocity</w:t>
      </w:r>
      <w:r>
        <w:rPr>
          <w:spacing w:val="-13"/>
        </w:rPr>
        <w:t> </w:t>
      </w:r>
      <w:r>
        <w:rPr/>
        <w:t>giving</w:t>
      </w:r>
      <w:r>
        <w:rPr>
          <w:spacing w:val="-12"/>
        </w:rPr>
        <w:t> </w:t>
      </w:r>
      <w:r>
        <w:rPr/>
        <w:t>a</w:t>
      </w:r>
      <w:r>
        <w:rPr>
          <w:spacing w:val="-11"/>
        </w:rPr>
        <w:t> </w:t>
      </w:r>
      <w:r>
        <w:rPr/>
        <w:t>complete</w:t>
      </w:r>
      <w:r>
        <w:rPr>
          <w:spacing w:val="-58"/>
        </w:rPr>
        <w:t> </w:t>
      </w:r>
      <w:r>
        <w:rPr/>
        <w:t>penetration or perforation.</w:t>
      </w:r>
      <w:r>
        <w:rPr>
          <w:spacing w:val="1"/>
        </w:rPr>
        <w:t> </w:t>
      </w:r>
      <w:r>
        <w:rPr/>
        <w:t>This value is determined experimentally with at least six shots</w:t>
      </w:r>
      <w:r>
        <w:rPr>
          <w:spacing w:val="-57"/>
        </w:rPr>
        <w:t> </w:t>
      </w:r>
      <w:r>
        <w:rPr/>
        <w:t>where</w:t>
      </w:r>
      <w:r>
        <w:rPr>
          <w:spacing w:val="-9"/>
        </w:rPr>
        <w:t> </w:t>
      </w:r>
      <w:r>
        <w:rPr/>
        <w:t>half</w:t>
      </w:r>
      <w:r>
        <w:rPr>
          <w:spacing w:val="-9"/>
        </w:rPr>
        <w:t> </w:t>
      </w:r>
      <w:r>
        <w:rPr/>
        <w:t>perforate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target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/>
        <w:t>half</w:t>
      </w:r>
      <w:r>
        <w:rPr>
          <w:spacing w:val="-9"/>
        </w:rPr>
        <w:t> </w:t>
      </w:r>
      <w:r>
        <w:rPr/>
        <w:t>experience</w:t>
      </w:r>
      <w:r>
        <w:rPr>
          <w:spacing w:val="-10"/>
        </w:rPr>
        <w:t> </w:t>
      </w:r>
      <w:r>
        <w:rPr/>
        <w:t>embedment,</w:t>
      </w:r>
      <w:r>
        <w:rPr>
          <w:spacing w:val="-7"/>
        </w:rPr>
        <w:t> </w:t>
      </w:r>
      <w:r>
        <w:rPr/>
        <w:t>or</w:t>
      </w:r>
      <w:r>
        <w:rPr>
          <w:spacing w:val="-8"/>
        </w:rPr>
        <w:t> </w:t>
      </w:r>
      <w:r>
        <w:rPr/>
        <w:t>stop</w:t>
      </w:r>
      <w:r>
        <w:rPr>
          <w:spacing w:val="-10"/>
        </w:rPr>
        <w:t> </w:t>
      </w:r>
      <w:r>
        <w:rPr/>
        <w:t>the</w:t>
      </w:r>
      <w:r>
        <w:rPr>
          <w:spacing w:val="-8"/>
        </w:rPr>
        <w:t> </w:t>
      </w:r>
      <w:r>
        <w:rPr/>
        <w:t>penetrator.</w:t>
      </w:r>
      <w:r>
        <w:rPr>
          <w:spacing w:val="42"/>
        </w:rPr>
        <w:t> </w:t>
      </w:r>
      <w:r>
        <w:rPr/>
        <w:t>The</w:t>
      </w:r>
      <w:r>
        <w:rPr>
          <w:spacing w:val="-58"/>
        </w:rPr>
        <w:t> </w:t>
      </w:r>
      <w:r>
        <w:rPr/>
        <w:t>typical difference between the highest and lowest velocities in the test set is less than 60</w:t>
      </w:r>
      <w:r>
        <w:rPr>
          <w:spacing w:val="1"/>
        </w:rPr>
        <w:t> </w:t>
      </w:r>
      <w:r>
        <w:rPr/>
        <w:t>m/s (200 fps).</w:t>
      </w:r>
      <w:r>
        <w:rPr>
          <w:spacing w:val="1"/>
        </w:rPr>
        <w:t> </w:t>
      </w:r>
      <w:r>
        <w:rPr/>
        <w:t>There are several measures used in rating the penetration performance of</w:t>
      </w:r>
      <w:r>
        <w:rPr>
          <w:spacing w:val="1"/>
        </w:rPr>
        <w:t> </w:t>
      </w:r>
      <w:r>
        <w:rPr/>
        <w:t>armor or other materials of interest.</w:t>
      </w:r>
      <w:r>
        <w:rPr>
          <w:spacing w:val="1"/>
        </w:rPr>
        <w:t> </w:t>
      </w:r>
      <w:r>
        <w:rPr/>
        <w:t>Three of the most extensively used criteria are the</w:t>
      </w:r>
      <w:r>
        <w:rPr>
          <w:spacing w:val="1"/>
        </w:rPr>
        <w:t> </w:t>
      </w:r>
      <w:r>
        <w:rPr/>
        <w:t>Army Ballistic Limit, the Protection Ballistic Limit and the Navy Ballistic Limit [27].</w:t>
      </w:r>
      <w:r>
        <w:rPr>
          <w:spacing w:val="1"/>
        </w:rPr>
        <w:t> </w:t>
      </w:r>
      <w:hyperlink w:history="true" w:anchor="_bookmark16">
        <w:r>
          <w:rPr/>
          <w:t>Figure 3-4</w:t>
        </w:r>
      </w:hyperlink>
      <w:r>
        <w:rPr/>
        <w:t> shows the differences between the three criteria for partial and complete</w:t>
      </w:r>
      <w:r>
        <w:rPr>
          <w:spacing w:val="1"/>
        </w:rPr>
        <w:t> </w:t>
      </w:r>
      <w:r>
        <w:rPr/>
        <w:t>penetrations.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8"/>
        </w:rPr>
      </w:pPr>
    </w:p>
    <w:p>
      <w:pPr>
        <w:spacing w:line="247" w:lineRule="auto" w:before="0"/>
        <w:ind w:left="538" w:right="-2" w:firstLine="366"/>
        <w:jc w:val="left"/>
        <w:rPr>
          <w:sz w:val="19"/>
        </w:rPr>
      </w:pPr>
      <w:r>
        <w:rPr>
          <w:w w:val="95"/>
          <w:sz w:val="19"/>
        </w:rPr>
        <w:t>Partial</w:t>
      </w:r>
      <w:r>
        <w:rPr>
          <w:spacing w:val="-43"/>
          <w:w w:val="95"/>
          <w:sz w:val="19"/>
        </w:rPr>
        <w:t> </w:t>
      </w:r>
      <w:r>
        <w:rPr>
          <w:w w:val="95"/>
          <w:sz w:val="19"/>
        </w:rPr>
        <w:t>Penetration</w:t>
      </w:r>
    </w:p>
    <w:p>
      <w:pPr>
        <w:spacing w:line="247" w:lineRule="auto" w:before="67"/>
        <w:ind w:left="353" w:right="-2" w:firstLine="305"/>
        <w:jc w:val="left"/>
        <w:rPr>
          <w:sz w:val="19"/>
        </w:rPr>
      </w:pPr>
      <w:r>
        <w:rPr/>
        <w:br w:type="column"/>
      </w:r>
      <w:r>
        <w:rPr>
          <w:sz w:val="19"/>
        </w:rPr>
        <w:t>Army</w:t>
      </w:r>
      <w:r>
        <w:rPr>
          <w:spacing w:val="1"/>
          <w:sz w:val="19"/>
        </w:rPr>
        <w:t> </w:t>
      </w:r>
      <w:r>
        <w:rPr>
          <w:spacing w:val="-2"/>
          <w:sz w:val="19"/>
        </w:rPr>
        <w:t>Ballistic</w:t>
      </w:r>
      <w:r>
        <w:rPr>
          <w:spacing w:val="-8"/>
          <w:sz w:val="19"/>
        </w:rPr>
        <w:t> </w:t>
      </w:r>
      <w:r>
        <w:rPr>
          <w:spacing w:val="-1"/>
          <w:sz w:val="19"/>
        </w:rPr>
        <w:t>Limit</w:t>
      </w:r>
    </w:p>
    <w:p>
      <w:pPr>
        <w:spacing w:line="247" w:lineRule="auto" w:before="67"/>
        <w:ind w:left="1344" w:right="1629" w:firstLine="136"/>
        <w:jc w:val="left"/>
        <w:rPr>
          <w:sz w:val="19"/>
        </w:rPr>
      </w:pPr>
      <w:r>
        <w:rPr/>
        <w:br w:type="column"/>
      </w:r>
      <w:r>
        <w:rPr>
          <w:sz w:val="19"/>
        </w:rPr>
        <w:t>Protection</w:t>
      </w:r>
      <w:r>
        <w:rPr>
          <w:spacing w:val="1"/>
          <w:sz w:val="19"/>
        </w:rPr>
        <w:t> </w:t>
      </w:r>
      <w:r>
        <w:rPr>
          <w:spacing w:val="-2"/>
          <w:sz w:val="19"/>
        </w:rPr>
        <w:t>Ballistic</w:t>
      </w:r>
      <w:r>
        <w:rPr>
          <w:spacing w:val="-6"/>
          <w:sz w:val="19"/>
        </w:rPr>
        <w:t> </w:t>
      </w:r>
      <w:r>
        <w:rPr>
          <w:spacing w:val="-1"/>
          <w:sz w:val="19"/>
        </w:rPr>
        <w:t>Limit</w:t>
      </w:r>
    </w:p>
    <w:p>
      <w:pPr>
        <w:tabs>
          <w:tab w:pos="3578" w:val="left" w:leader="none"/>
        </w:tabs>
        <w:spacing w:before="157"/>
        <w:ind w:left="265" w:right="0" w:firstLine="0"/>
        <w:jc w:val="center"/>
        <w:rPr>
          <w:sz w:val="19"/>
        </w:rPr>
      </w:pPr>
      <w:r>
        <w:rPr>
          <w:sz w:val="19"/>
        </w:rPr>
        <w:t>Partial</w:t>
        <w:tab/>
      </w:r>
      <w:r>
        <w:rPr>
          <w:spacing w:val="-3"/>
          <w:sz w:val="19"/>
        </w:rPr>
        <w:t>Partial</w:t>
      </w:r>
    </w:p>
    <w:p>
      <w:pPr>
        <w:spacing w:before="12"/>
        <w:ind w:left="213" w:right="0" w:firstLine="0"/>
        <w:jc w:val="center"/>
        <w:rPr>
          <w:sz w:val="19"/>
        </w:rPr>
      </w:pPr>
      <w:r>
        <w:rPr/>
        <w:pict>
          <v:group style="position:absolute;margin-left:257.02951pt;margin-top:1.470388pt;width:123.65pt;height:163.050pt;mso-position-horizontal-relative:page;mso-position-vertical-relative:paragraph;z-index:-34947072" coordorigin="5141,29" coordsize="2473,3261">
            <v:shape style="position:absolute;left:5815;top:38;width:573;height:2659" coordorigin="5816,39" coordsize="573,2659" path="m6332,1987l6343,1977,6357,1969,6371,1963,6388,1959,6388,39,5816,39,5816,2697,6388,2697,6388,2504,6359,2500,6336,2489,6319,2473,6308,2453,6286,2446,6269,2433,6256,2416,6247,2396,6220,2365,6210,2325,6217,2284,6243,2250,6237,2239,6233,2227,6232,2215,6233,2203,6231,2193,6230,2182,6233,2171,6238,2161,6227,2149,6220,2135,6220,2121,6224,2109,6198,2088,6192,2057,6205,2028,6238,2015,6247,2015,6252,2010,6262,2006,6276,2006,6285,2006,6292,1999,6300,1993,6310,1988,6323,1987,6332,1987xe" filled="false" stroked="true" strokeweight=".938663pt" strokecolor="#000000">
              <v:path arrowok="t"/>
              <v:stroke dashstyle="solid"/>
            </v:shape>
            <v:shape style="position:absolute;left:5150;top:219;width:967;height:648" coordorigin="5150,220" coordsize="967,648" path="m5372,867l5267,834,5221,788,5186,730,5162,661,5150,587,5150,511,5161,436,5184,367,5220,307,5267,260,5328,230,5395,220,5466,225,5541,241,5619,260,5692,282,5769,311,5847,345,5921,384,5988,426,6044,471,6087,518,6116,613,6098,656,6005,725,5938,753,5862,778,5781,799,5698,817,5619,834,5519,853,5439,865,5372,867xe" filled="true" fillcolor="#ffffff" stroked="false">
              <v:path arrowok="t"/>
              <v:fill type="solid"/>
            </v:shape>
            <v:shape style="position:absolute;left:5150;top:219;width:967;height:648" coordorigin="5150,220" coordsize="967,648" path="m6116,613l6059,693,6005,725,5938,753,5862,778,5781,799,5698,817,5619,834,5519,853,5439,865,5372,867,5316,857,5221,788,5186,730,5162,661,5150,587,5150,511,5161,436,5184,367,5220,307,5267,260,5328,230,5395,220,5466,225,5541,241,5619,260,5692,282,5769,311,5847,345,5921,384,5988,426,6044,471,6087,518,6116,613xe" filled="false" stroked="true" strokeweight=".940287pt" strokecolor="#000000">
              <v:path arrowok="t"/>
              <v:stroke dashstyle="solid"/>
            </v:shape>
            <v:shape style="position:absolute;left:5351;top:1853;width:967;height:644" coordorigin="5352,1853" coordsize="967,644" path="m5572,2497l5468,2462,5422,2418,5388,2360,5364,2291,5352,2217,5352,2140,5363,2065,5386,1995,5421,1935,5468,1888,5530,1862,5597,1853,5668,1858,5743,1871,5820,1888,5886,1909,5956,1936,6026,1967,6095,2002,6158,2040,6215,2081,6219,2091,6226,2099,6235,2105,6247,2109,6279,2140,6302,2173,6315,2208,6318,2241,6299,2284,6205,2353,6138,2381,6061,2406,5981,2427,5899,2445,5820,2462,5721,2482,5639,2495,5572,2497xe" filled="true" fillcolor="#ffffff" stroked="false">
              <v:path arrowok="t"/>
              <v:fill type="solid"/>
            </v:shape>
            <v:shape style="position:absolute;left:5351;top:1853;width:967;height:644" coordorigin="5352,1853" coordsize="967,644" path="m6247,2109l6235,2105,6226,2099,6219,2091,6215,2081,6158,2040,6095,2002,6026,1967,5956,1936,5886,1909,5820,1888,5743,1871,5668,1858,5597,1853,5530,1862,5468,1888,5421,1935,5386,1995,5363,2065,5352,2140,5352,2217,5364,2291,5388,2360,5422,2418,5468,2462,5572,2497,5639,2495,5721,2482,5820,2462,5899,2445,5981,2427,6061,2406,6138,2381,6205,2353,6261,2321,6318,2241,6315,2208,6302,2173,6279,2140,6247,2109xe" filled="false" stroked="true" strokeweight=".940292pt" strokecolor="#000000">
              <v:path arrowok="t"/>
              <v:stroke dashstyle="solid"/>
            </v:shape>
            <v:shape style="position:absolute;left:7214;top:38;width:151;height:1869" coordorigin="7214,39" coordsize="151,1869" path="m7214,39l7214,1893,7224,1893,7233,1893,7238,1893,7242,1897,7247,1893,7252,1893,7261,1893,7270,1893,7275,1888,7285,1883,7299,1883,7312,1885,7323,1890,7331,1897,7336,1907,7341,1902,7350,1902,7355,1902,7364,1902,7364,39,7214,39xe" filled="false" stroked="true" strokeweight=".938567pt" strokecolor="#000000">
              <v:path arrowok="t"/>
              <v:stroke dashstyle="solid"/>
            </v:shape>
            <v:shape style="position:absolute;left:7214;top:1972;width:151;height:76" coordorigin="7214,1973" coordsize="151,76" path="m7242,2048l7247,2043,7252,2043,7261,2043,7270,2043,7275,2043,7280,2048,7285,2043,7289,2043,7299,2043,7308,2043,7313,2043,7322,2048,7327,2039,7341,2034,7355,2034,7364,2034,7364,1996,7355,1996,7342,1995,7331,1990,7323,1982,7317,1973,7313,1977,7303,1977,7299,1977,7289,1977,7285,1982,7275,1987,7261,1987,7252,1987,7247,1987,7242,1982,7238,1987,7228,1987,7224,1987,7214,1987,7214,2043,7224,2043,7233,2043,7238,2043,7242,2048xe" filled="false" stroked="true" strokeweight=".940561pt" strokecolor="#000000">
              <v:path arrowok="t"/>
              <v:stroke dashstyle="solid"/>
            </v:shape>
            <v:shape style="position:absolute;left:7214;top:2118;width:151;height:579" coordorigin="7214,2119" coordsize="151,579" path="m7355,2123l7346,2123,7341,2123,7331,2119,7327,2128,7313,2133,7299,2133,7289,2133,7285,2133,7280,2128,7275,2133,7270,2133,7261,2133,7252,2133,7247,2133,7242,2128,7238,2133,7233,2133,7224,2133,7214,2133,7214,2697,7364,2697,7364,2123,7355,2123xe" filled="false" stroked="true" strokeweight=".93871pt" strokecolor="#000000">
              <v:path arrowok="t"/>
              <v:stroke dashstyle="solid"/>
            </v:shape>
            <v:line style="position:absolute" from="6402,293" to="7186,293" stroked="true" strokeweight=".941066pt" strokecolor="#000000">
              <v:stroke dashstyle="solid"/>
            </v:line>
            <v:line style="position:absolute" from="7289,2744" to="7510,3281" stroked="true" strokeweight=".938915pt" strokecolor="#000000">
              <v:stroke dashstyle="solid"/>
            </v:line>
            <v:line style="position:absolute" from="6402,293" to="6459,222" stroked="true" strokeweight=".939529pt" strokecolor="#000000">
              <v:stroke dashstyle="solid"/>
            </v:line>
            <v:line style="position:absolute" from="7125,368" to="7177,298" stroked="true" strokeweight=".939427pt" strokecolor="#000000">
              <v:stroke dashstyle="solid"/>
            </v:line>
            <v:line style="position:absolute" from="6477,363" to="6402,293" stroked="true" strokeweight=".939886pt" strokecolor="#000000">
              <v:stroke dashstyle="solid"/>
            </v:line>
            <v:line style="position:absolute" from="7177,288" to="7106,218" stroked="true" strokeweight=".939805pt" strokecolor="#000000">
              <v:stroke dashstyle="solid"/>
            </v:line>
            <v:line style="position:absolute" from="7425,2806" to="7289,2744" stroked="true" strokeweight=".940643pt" strokecolor="#000000">
              <v:stroke dashstyle="solid"/>
            </v:line>
            <v:line style="position:absolute" from="7289,2749" to="7233,2876" stroked="true" strokeweight=".938964pt" strokecolor="#000000">
              <v:stroke dashstyle="solid"/>
            </v:line>
            <v:shape style="position:absolute;left:7364;top:1855;width:146;height:118" coordorigin="7364,1855" coordsize="146,118" path="m7364,1902l7444,1973,7510,1855,7397,1855,7364,1902xe" filled="false" stroked="true" strokeweight=".940072pt" strokecolor="#000000">
              <v:path arrowok="t"/>
              <v:stroke dashstyle="solid"/>
            </v:shape>
            <v:shape style="position:absolute;left:7425;top:2033;width:188;height:165" type="#_x0000_t75" stroked="false">
              <v:imagedata r:id="rId52" o:title=""/>
            </v:shape>
            <v:shape style="position:absolute;left:6505;top:1911;width:221;height:269" coordorigin="6506,1912" coordsize="221,269" path="m6506,2048l6571,2180,6651,2137,6726,2010,6651,1912,6651,1973,6618,2048,6506,2048xe" filled="false" stroked="true" strokeweight=".939566pt" strokecolor="#000000">
              <v:path arrowok="t"/>
              <v:stroke dashstyle="solid"/>
            </v:shape>
            <v:shape style="position:absolute;left:6505;top:2330;width:184;height:160" coordorigin="6506,2330" coordsize="184,160" path="m6506,2330l6506,2439,6618,2490,6689,2439,6599,2330,6506,2330xe" filled="false" stroked="true" strokeweight=".939977pt" strokecolor="#000000">
              <v:path arrowok="t"/>
              <v:stroke dashstyle="solid"/>
            </v:shape>
            <v:shape style="position:absolute;left:6651;top:2189;width:76;height:76" coordorigin="6651,2189" coordsize="76,76" path="m6651,2189l6726,2189,6689,2264,6651,2189xe" filled="false" stroked="true" strokeweight=".939805pt" strokecolor="#000000">
              <v:path arrowok="t"/>
              <v:stroke dashstyle="solid"/>
            </v:shape>
            <v:shape style="position:absolute;left:6848;top:2330;width:80;height:109" coordorigin="6848,2330" coordsize="80,109" path="m6928,2406l6848,2439,6848,2330,6928,2330,6928,2406xe" filled="false" stroked="true" strokeweight=".939436pt" strokecolor="#000000">
              <v:path arrowok="t"/>
              <v:stroke dashstyle="solid"/>
            </v:shape>
            <v:shape style="position:absolute;left:6796;top:2650;width:52;height:128" coordorigin="6796,2650" coordsize="52,128" path="m6848,2777l6796,2650,6796,2711,6848,2777xe" filled="false" stroked="true" strokeweight=".938907pt" strokecolor="#000000">
              <v:path arrowok="t"/>
              <v:stroke dashstyle="solid"/>
            </v:shape>
            <v:shape style="position:absolute;left:6848;top:2090;width:80;height:137" coordorigin="6848,2090" coordsize="80,137" path="m6928,2090l6848,2090,6848,2227,6928,2156,6928,2090xe" filled="false" stroked="true" strokeweight=".939192pt" strokecolor="#000000">
              <v:path arrowok="t"/>
              <v:stroke dashstyle="solid"/>
            </v:shape>
            <v:shape style="position:absolute;left:7031;top:1949;width:108;height:142" coordorigin="7031,1949" coordsize="108,142" path="m7031,1949l7031,2090,7139,2048,7087,1949,7031,1949xe" filled="false" stroked="true" strokeweight=".939479pt" strokecolor="#000000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398.71759pt;margin-top:1.470364pt;width:135.25pt;height:133.9pt;mso-position-horizontal-relative:page;mso-position-vertical-relative:paragraph;z-index:15760384" coordorigin="7974,29" coordsize="2705,2678">
            <v:shape style="position:absolute;left:9049;top:38;width:568;height:1817" coordorigin="9049,39" coordsize="568,1817" path="m9377,481l9384,471,9390,461,9397,451,9406,443,9407,425,9413,408,9421,393,9434,382,9434,378,9438,378,9443,373,9453,363,9462,359,9476,354,9481,319,9498,289,9526,268,9565,260,9581,261,9595,264,9606,270,9617,279,9617,39,9049,39,9049,1850,9058,1850,9068,1850,9077,1850,9087,1855,9094,1849,9104,1844,9116,1842,9129,1841,9138,1841,9148,1841,9152,1846,9164,1836,9179,1829,9196,1824,9213,1822,9231,1824,9247,1829,9262,1836,9274,1846,9279,1841,9288,1841,9298,1841,9312,1841,9326,1846,9335,1850,9340,1846,9354,1841,9368,1841,9377,1841,9387,1841,9396,1846,9409,1829,9425,1816,9446,1807,9471,1803,9490,1803,9501,1781,9518,1763,9543,1751,9575,1747,9585,1748,9596,1750,9606,1755,9617,1761,9617,862,9607,867,9593,872,9584,872,9555,868,9532,856,9515,840,9504,820,9482,813,9465,801,9452,785,9443,768,9424,766,9344,715,9328,675,9330,631,9349,594,9345,562,9348,531,9358,503,9377,481xe" filled="false" stroked="true" strokeweight=".938775pt" strokecolor="#000000">
              <v:path arrowok="t"/>
              <v:stroke dashstyle="solid"/>
            </v:shape>
            <v:shape style="position:absolute;left:8369;top:219;width:967;height:648" coordorigin="8369,220" coordsize="967,648" path="m8588,867l8486,834,8440,788,8405,730,8382,661,8370,587,8369,511,8381,436,8404,367,8439,307,8486,260,8548,230,8614,220,8686,225,8760,241,8838,260,8910,282,8985,311,9062,345,9135,384,9202,426,9258,471,9302,518,9335,613,9317,656,9223,725,9155,753,9079,778,8998,799,8916,817,8838,834,8736,853,8654,865,8588,867xe" filled="true" fillcolor="#ffffff" stroked="false">
              <v:path arrowok="t"/>
              <v:fill type="solid"/>
            </v:shape>
            <v:shape style="position:absolute;left:8369;top:219;width:967;height:648" coordorigin="8369,220" coordsize="967,648" path="m9335,613l9278,693,9223,725,9155,753,9079,778,8998,799,8916,817,8838,834,8736,853,8654,865,8588,867,8533,857,8440,788,8405,730,8382,661,8370,587,8369,511,8381,436,8404,367,8439,307,8486,260,8548,230,8614,220,8686,225,8760,241,8838,260,8910,282,8985,311,9062,345,9135,384,9202,426,9258,471,9302,518,9335,613xe" filled="false" stroked="true" strokeweight=".940287pt" strokecolor="#000000">
              <v:path arrowok="t"/>
              <v:stroke dashstyle="solid"/>
            </v:shape>
            <v:shape style="position:absolute;left:9720;top:763;width:226;height:226" type="#_x0000_t75" stroked="false">
              <v:imagedata r:id="rId53" o:title=""/>
            </v:shape>
            <v:shape style="position:absolute;left:9616;top:636;width:151;height:76" coordorigin="9617,636" coordsize="151,76" path="m9626,712l9617,655,9762,636,9767,688,9626,712xe" filled="true" fillcolor="#ffffff" stroked="false">
              <v:path arrowok="t"/>
              <v:fill type="solid"/>
            </v:shape>
            <v:shape style="position:absolute;left:9616;top:636;width:151;height:76" coordorigin="9617,636" coordsize="151,76" path="m9626,712l9617,655,9762,636,9767,688,9626,712xe" filled="false" stroked="true" strokeweight=".940561pt" strokecolor="#000000">
              <v:path arrowok="t"/>
              <v:stroke dashstyle="solid"/>
            </v:shape>
            <v:shape style="position:absolute;left:9490;top:372;width:127;height:95" coordorigin="9490,373" coordsize="127,95" path="m9528,373l9617,373,9575,467,9490,467,9490,420,9528,373xe" filled="false" stroked="true" strokeweight=".940172pt" strokecolor="#000000">
              <v:path arrowok="t"/>
              <v:stroke dashstyle="solid"/>
            </v:shape>
            <v:shape style="position:absolute;left:10043;top:467;width:165;height:160" coordorigin="10044,467" coordsize="165,160" path="m10133,467l10208,547,10133,547,10077,627,10044,547,10077,467,10133,467xe" filled="false" stroked="true" strokeweight=".939841pt" strokecolor="#000000">
              <v:path arrowok="t"/>
              <v:stroke dashstyle="solid"/>
            </v:shape>
            <v:shape style="position:absolute;left:9804;top:292;width:240;height:128" coordorigin="9805,293" coordsize="240,128" path="m9833,331l9805,420,9894,420,9936,373,10044,326,9936,293,9833,331xe" filled="false" stroked="true" strokeweight=".940513pt" strokecolor="#000000">
              <v:path arrowok="t"/>
              <v:stroke dashstyle="solid"/>
            </v:shape>
            <v:shape style="position:absolute;left:9804;top:547;width:184;height:80" coordorigin="9805,547" coordsize="184,80" path="m9988,627l9922,547,9805,547,9894,627,9988,627xe" filled="false" stroked="true" strokeweight=".940662pt" strokecolor="#000000">
              <v:path arrowok="t"/>
              <v:stroke dashstyle="solid"/>
            </v:shape>
            <v:shape style="position:absolute;left:9049;top:2179;width:568;height:518" coordorigin="9049,2180" coordsize="568,518" path="m9589,2373l9576,2370,9565,2364,9556,2357,9551,2349,9546,2349,9531,2347,9518,2340,9509,2331,9504,2321,9490,2321,9478,2319,9468,2315,9460,2309,9453,2302,9443,2302,9431,2300,9421,2296,9413,2290,9406,2283,9384,2278,9370,2266,9361,2248,9359,2227,9346,2225,9336,2220,9328,2211,9321,2199,9316,2203,9307,2208,9298,2208,9285,2206,9274,2201,9265,2194,9260,2184,9255,2189,9218,2189,9209,2184,9204,2180,9194,2184,9185,2189,9176,2189,9166,2189,9162,2189,9157,2184,9152,2189,9148,2189,9138,2189,9129,2189,9124,2194,9115,2194,9115,2199,9101,2199,9096,2199,9091,2199,9087,2194,9082,2194,9077,2189,9072,2184,9063,2189,9058,2189,9049,2189,9049,2697,9617,2697,9617,2363,9607,2368,9598,2373,9589,2373xe" filled="false" stroked="true" strokeweight=".939925pt" strokecolor="#000000">
              <v:path arrowok="t"/>
              <v:stroke dashstyle="solid"/>
            </v:shape>
            <v:shape style="position:absolute;left:9424;top:1845;width:141;height:344" type="#_x0000_t75" stroked="false">
              <v:imagedata r:id="rId54" o:title=""/>
            </v:shape>
            <v:shape style="position:absolute;left:9747;top:1790;width:923;height:698" coordorigin="9747,1791" coordsize="923,698" path="m10659,2415l10626,2450,10578,2473,10515,2485,10443,2489,10363,2485,10280,2477,10196,2465,10114,2453,10015,2437,9935,2421,9872,2401,9790,2335,9761,2276,9747,2209,9748,2136,9761,2063,9786,1991,9822,1925,9868,1869,9922,1825,9983,1799,10050,1791,10116,1804,10182,1833,10247,1872,10311,1916,10372,1962,10435,2014,10495,2073,10551,2134,10600,2197,10637,2259,10662,2317,10670,2370,10659,2415xe" filled="false" stroked="true" strokeweight=".940151pt" strokecolor="#000000">
              <v:path arrowok="t"/>
              <v:stroke dashstyle="solid"/>
            </v:shape>
            <v:shape style="position:absolute;left:9682;top:1709;width:160;height:207" type="#_x0000_t75" stroked="false">
              <v:imagedata r:id="rId55" o:title=""/>
            </v:shape>
            <v:shape style="position:absolute;left:9616;top:2118;width:76;height:146" coordorigin="9617,2119" coordsize="76,146" path="m9617,2264l9617,2137,9692,2119,9692,2217,9617,2264xe" filled="true" fillcolor="#ffffff" stroked="false">
              <v:path arrowok="t"/>
              <v:fill type="solid"/>
            </v:shape>
            <v:shape style="position:absolute;left:9616;top:2118;width:76;height:146" coordorigin="9617,2119" coordsize="76,146" path="m9617,2137l9692,2119,9692,2217,9617,2264,9617,2137xe" filled="false" stroked="true" strokeweight=".939078pt" strokecolor="#000000">
              <v:path arrowok="t"/>
              <v:stroke dashstyle="solid"/>
            </v:shape>
            <v:shape style="position:absolute;left:9720;top:2396;width:123;height:193" type="#_x0000_t75" stroked="false">
              <v:imagedata r:id="rId56" o:title=""/>
            </v:shape>
            <v:shape style="position:absolute;left:7974;top:1626;width:751;height:209" type="#_x0000_t202" filled="false" stroked="false">
              <v:textbox inset="0,0,0,0">
                <w:txbxContent>
                  <w:p>
                    <w:pPr>
                      <w:spacing w:line="208" w:lineRule="exact" w:before="0"/>
                      <w:ind w:left="0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sz w:val="19"/>
                      </w:rPr>
                      <w:t>Complete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19"/>
        </w:rPr>
        <w:t>6-in</w:t>
      </w:r>
    </w:p>
    <w:p>
      <w:pPr>
        <w:spacing w:line="247" w:lineRule="auto" w:before="67"/>
        <w:ind w:left="43" w:right="1181" w:firstLine="319"/>
        <w:jc w:val="left"/>
        <w:rPr>
          <w:sz w:val="19"/>
        </w:rPr>
      </w:pPr>
      <w:r>
        <w:rPr/>
        <w:br w:type="column"/>
      </w:r>
      <w:r>
        <w:rPr>
          <w:sz w:val="19"/>
        </w:rPr>
        <w:t>Navy</w:t>
      </w:r>
      <w:r>
        <w:rPr>
          <w:spacing w:val="1"/>
          <w:sz w:val="19"/>
        </w:rPr>
        <w:t> </w:t>
      </w:r>
      <w:r>
        <w:rPr>
          <w:spacing w:val="-2"/>
          <w:sz w:val="19"/>
        </w:rPr>
        <w:t>Ballistic</w:t>
      </w:r>
      <w:r>
        <w:rPr>
          <w:spacing w:val="-6"/>
          <w:sz w:val="19"/>
        </w:rPr>
        <w:t> </w:t>
      </w:r>
      <w:r>
        <w:rPr>
          <w:spacing w:val="-1"/>
          <w:sz w:val="19"/>
        </w:rPr>
        <w:t>Limit</w:t>
      </w:r>
    </w:p>
    <w:p>
      <w:pPr>
        <w:spacing w:after="0" w:line="247" w:lineRule="auto"/>
        <w:jc w:val="left"/>
        <w:rPr>
          <w:sz w:val="19"/>
        </w:rPr>
        <w:sectPr>
          <w:pgSz w:w="12240" w:h="15840"/>
          <w:pgMar w:header="0" w:footer="1064" w:top="1360" w:bottom="1260" w:left="1720" w:right="1180"/>
          <w:cols w:num="4" w:equalWidth="0">
            <w:col w:w="1394" w:space="40"/>
            <w:col w:w="1443" w:space="39"/>
            <w:col w:w="4067" w:space="39"/>
            <w:col w:w="2318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2240" w:h="15840"/>
          <w:pgMar w:top="1380" w:bottom="280" w:left="1720" w:right="1180"/>
        </w:sectPr>
      </w:pPr>
    </w:p>
    <w:p>
      <w:pPr>
        <w:pStyle w:val="BodyText"/>
        <w:spacing w:before="5"/>
        <w:rPr>
          <w:sz w:val="20"/>
        </w:rPr>
      </w:pPr>
    </w:p>
    <w:p>
      <w:pPr>
        <w:spacing w:line="247" w:lineRule="auto" w:before="0"/>
        <w:ind w:left="538" w:right="21" w:firstLine="126"/>
        <w:jc w:val="left"/>
        <w:rPr>
          <w:sz w:val="19"/>
        </w:rPr>
      </w:pPr>
      <w:r>
        <w:rPr>
          <w:spacing w:val="-1"/>
          <w:sz w:val="19"/>
        </w:rPr>
        <w:t>Complete</w:t>
      </w:r>
      <w:r>
        <w:rPr>
          <w:spacing w:val="-45"/>
          <w:sz w:val="19"/>
        </w:rPr>
        <w:t> </w:t>
      </w:r>
      <w:r>
        <w:rPr>
          <w:spacing w:val="-1"/>
          <w:sz w:val="19"/>
        </w:rPr>
        <w:t>Penetration</w:t>
      </w:r>
    </w:p>
    <w:p>
      <w:pPr>
        <w:pStyle w:val="BodyText"/>
        <w:spacing w:before="5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spacing w:before="0"/>
        <w:ind w:left="538" w:right="0" w:firstLine="0"/>
        <w:jc w:val="left"/>
        <w:rPr>
          <w:sz w:val="19"/>
        </w:rPr>
      </w:pPr>
      <w:r>
        <w:rPr/>
        <w:pict>
          <v:group style="position:absolute;margin-left:162.296646pt;margin-top:-79.357101pt;width:55.8pt;height:133.9pt;mso-position-horizontal-relative:page;mso-position-vertical-relative:paragraph;z-index:15759360" coordorigin="3246,-1587" coordsize="1116,2678">
            <v:shape style="position:absolute;left:3769;top:-1578;width:573;height:2659" coordorigin="3770,-1578" coordsize="573,2659" path="m4342,394l4342,-1578,3770,-1578,3770,1081,4342,1081,4342,563,4303,527,4289,477,4303,428,4342,394xe" filled="false" stroked="true" strokeweight=".938663pt" strokecolor="#000000">
              <v:path arrowok="t"/>
              <v:stroke dashstyle="solid"/>
            </v:shape>
            <v:shape style="position:absolute;left:3255;top:-1397;width:965;height:648" coordorigin="3255,-1397" coordsize="965,648" path="m3481,-749l3375,-783,3328,-828,3292,-887,3268,-955,3256,-1030,3255,-1106,3267,-1181,3291,-1250,3327,-1310,3375,-1357,3435,-1387,3502,-1397,3573,-1391,3647,-1376,3723,-1357,3796,-1334,3873,-1306,3950,-1271,4023,-1233,4090,-1190,4146,-1145,4189,-1099,4220,-1004,4202,-961,4110,-891,4044,-863,3968,-839,3887,-818,3804,-799,3723,-783,3626,-763,3546,-751,3481,-749xe" filled="true" fillcolor="#ffffff" stroked="false">
              <v:path arrowok="t"/>
              <v:fill type="solid"/>
            </v:shape>
            <v:shape style="position:absolute;left:3255;top:-1397;width:965;height:648" coordorigin="3255,-1397" coordsize="965,648" path="m4220,-1004l4164,-923,4110,-891,4044,-863,3968,-839,3887,-818,3804,-799,3723,-783,3626,-763,3546,-751,3481,-749,3425,-759,3328,-828,3292,-887,3268,-955,3256,-1030,3255,-1106,3267,-1181,3291,-1250,3327,-1310,3375,-1357,3435,-1387,3502,-1397,3573,-1391,3647,-1376,3723,-1357,3796,-1334,3873,-1306,3950,-1271,4023,-1233,4090,-1190,4146,-1145,4189,-1099,4220,-1004xe" filled="false" stroked="true" strokeweight=".940285pt" strokecolor="#000000">
              <v:path arrowok="t"/>
              <v:stroke dashstyle="solid"/>
            </v:shape>
            <v:shape style="position:absolute;left:3385;top:99;width:967;height:646" coordorigin="3386,100" coordsize="967,646" path="m3606,746l3502,714,3456,668,3421,609,3398,540,3386,465,3386,388,3397,314,3420,245,3455,185,3502,140,3564,109,3631,100,3702,105,3777,120,3854,140,3926,162,4002,191,4079,225,4153,264,4220,306,4277,351,4320,398,4352,493,4333,535,4239,605,4171,633,4095,657,4014,679,3933,697,3854,714,3754,731,3673,743,3606,746xe" filled="true" fillcolor="#ffffff" stroked="false">
              <v:path arrowok="t"/>
              <v:fill type="solid"/>
            </v:shape>
            <v:shape style="position:absolute;left:3385;top:99;width:967;height:646" coordorigin="3386,100" coordsize="967,646" path="m4352,493l4294,573,4239,605,4171,633,4095,657,4014,679,3933,697,3854,714,3754,731,3673,743,3606,746,3550,737,3456,668,3421,609,3398,540,3386,465,3386,388,3397,314,3420,245,3455,185,3502,140,3564,109,3631,100,3702,105,3777,120,3854,140,3926,162,4002,191,4079,225,4153,264,4220,306,4277,351,4320,398,4352,493xe" filled="false" stroked="true" strokeweight=".940289pt" strokecolor="#000000">
              <v:path arrowok="t"/>
              <v:stroke dashstyle="solid"/>
            </v:shape>
            <w10:wrap type="none"/>
          </v:group>
        </w:pict>
      </w:r>
      <w:r>
        <w:rPr>
          <w:sz w:val="19"/>
        </w:rPr>
        <w:t>Complete</w:t>
      </w:r>
    </w:p>
    <w:p>
      <w:pPr>
        <w:spacing w:after="0"/>
        <w:jc w:val="left"/>
        <w:rPr>
          <w:sz w:val="19"/>
        </w:rPr>
        <w:sectPr>
          <w:type w:val="continuous"/>
          <w:pgSz w:w="12240" w:h="15840"/>
          <w:pgMar w:top="1380" w:bottom="280" w:left="1720" w:right="1180"/>
          <w:cols w:num="2" w:equalWidth="0">
            <w:col w:w="1436" w:space="967"/>
            <w:col w:w="693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8"/>
        </w:rPr>
      </w:pPr>
    </w:p>
    <w:p>
      <w:pPr>
        <w:spacing w:before="90"/>
        <w:ind w:left="5343" w:right="0" w:firstLine="0"/>
        <w:jc w:val="left"/>
        <w:rPr>
          <w:sz w:val="19"/>
        </w:rPr>
      </w:pPr>
      <w:r>
        <w:rPr>
          <w:sz w:val="19"/>
        </w:rPr>
        <w:t>Witness</w:t>
      </w:r>
      <w:r>
        <w:rPr>
          <w:spacing w:val="-8"/>
          <w:sz w:val="19"/>
        </w:rPr>
        <w:t> </w:t>
      </w:r>
      <w:r>
        <w:rPr>
          <w:sz w:val="19"/>
        </w:rPr>
        <w:t>Plate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9"/>
        </w:rPr>
      </w:pPr>
    </w:p>
    <w:p>
      <w:pPr>
        <w:spacing w:before="90"/>
        <w:ind w:left="1023" w:right="0" w:firstLine="0"/>
        <w:jc w:val="left"/>
        <w:rPr>
          <w:i/>
          <w:sz w:val="24"/>
        </w:rPr>
      </w:pPr>
      <w:bookmarkStart w:name="_bookmark16" w:id="127"/>
      <w:bookmarkEnd w:id="127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3-4.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Illustration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three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main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penetration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criteria,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adapted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from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[27].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229"/>
        <w:ind w:left="439" w:right="256" w:firstLine="720"/>
        <w:jc w:val="both"/>
      </w:pPr>
      <w:r>
        <w:rPr/>
        <w:t>The</w:t>
      </w:r>
      <w:r>
        <w:rPr>
          <w:spacing w:val="-6"/>
        </w:rPr>
        <w:t> </w:t>
      </w:r>
      <w:r>
        <w:rPr/>
        <w:t>main</w:t>
      </w:r>
      <w:r>
        <w:rPr>
          <w:spacing w:val="-7"/>
        </w:rPr>
        <w:t> </w:t>
      </w:r>
      <w:r>
        <w:rPr/>
        <w:t>distinction</w:t>
      </w:r>
      <w:r>
        <w:rPr>
          <w:spacing w:val="-7"/>
        </w:rPr>
        <w:t> </w:t>
      </w:r>
      <w:r>
        <w:rPr/>
        <w:t>between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three</w:t>
      </w:r>
      <w:r>
        <w:rPr>
          <w:spacing w:val="-7"/>
        </w:rPr>
        <w:t> </w:t>
      </w:r>
      <w:r>
        <w:rPr/>
        <w:t>criterion</w:t>
      </w:r>
      <w:r>
        <w:rPr>
          <w:spacing w:val="-7"/>
        </w:rPr>
        <w:t> </w:t>
      </w:r>
      <w:r>
        <w:rPr/>
        <w:t>is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definition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/>
        <w:t>perforation</w:t>
      </w:r>
      <w:r>
        <w:rPr>
          <w:spacing w:val="-7"/>
        </w:rPr>
        <w:t> </w:t>
      </w:r>
      <w:r>
        <w:rPr/>
        <w:t>or</w:t>
      </w:r>
      <w:r>
        <w:rPr>
          <w:spacing w:val="-58"/>
        </w:rPr>
        <w:t> </w:t>
      </w:r>
      <w:r>
        <w:rPr/>
        <w:t>complete penetration.</w:t>
      </w:r>
      <w:r>
        <w:rPr>
          <w:spacing w:val="1"/>
        </w:rPr>
        <w:t> </w:t>
      </w:r>
      <w:r>
        <w:rPr/>
        <w:t>While the Navy definition involves the total projectile emergence</w:t>
      </w:r>
      <w:r>
        <w:rPr>
          <w:spacing w:val="1"/>
        </w:rPr>
        <w:t> </w:t>
      </w:r>
      <w:r>
        <w:rPr/>
        <w:t>from the target, the Army limit requires the projectile to be visible on the back face such</w:t>
      </w:r>
      <w:r>
        <w:rPr>
          <w:spacing w:val="1"/>
        </w:rPr>
        <w:t> </w:t>
      </w:r>
      <w:r>
        <w:rPr/>
        <w:t>that light could pass through the hole or crack formed.</w:t>
      </w:r>
      <w:r>
        <w:rPr>
          <w:spacing w:val="1"/>
        </w:rPr>
        <w:t> </w:t>
      </w:r>
      <w:r>
        <w:rPr/>
        <w:t>The protection limit defines</w:t>
      </w:r>
      <w:r>
        <w:rPr>
          <w:spacing w:val="1"/>
        </w:rPr>
        <w:t> </w:t>
      </w:r>
      <w:r>
        <w:rPr>
          <w:spacing w:val="-1"/>
        </w:rPr>
        <w:t>complete</w:t>
      </w:r>
      <w:r>
        <w:rPr>
          <w:spacing w:val="-12"/>
        </w:rPr>
        <w:t> </w:t>
      </w:r>
      <w:r>
        <w:rPr>
          <w:spacing w:val="-1"/>
        </w:rPr>
        <w:t>penetration</w:t>
      </w:r>
      <w:r>
        <w:rPr>
          <w:spacing w:val="-14"/>
        </w:rPr>
        <w:t> </w:t>
      </w:r>
      <w:r>
        <w:rPr/>
        <w:t>as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instance</w:t>
      </w:r>
      <w:r>
        <w:rPr>
          <w:spacing w:val="-15"/>
        </w:rPr>
        <w:t> </w:t>
      </w:r>
      <w:r>
        <w:rPr/>
        <w:t>where</w:t>
      </w:r>
      <w:r>
        <w:rPr>
          <w:spacing w:val="-12"/>
        </w:rPr>
        <w:t> </w:t>
      </w:r>
      <w:r>
        <w:rPr/>
        <w:t>a</w:t>
      </w:r>
      <w:r>
        <w:rPr>
          <w:spacing w:val="-13"/>
        </w:rPr>
        <w:t> </w:t>
      </w:r>
      <w:r>
        <w:rPr/>
        <w:t>witness</w:t>
      </w:r>
      <w:r>
        <w:rPr>
          <w:spacing w:val="-12"/>
        </w:rPr>
        <w:t> </w:t>
      </w:r>
      <w:r>
        <w:rPr/>
        <w:t>plate</w:t>
      </w:r>
      <w:r>
        <w:rPr>
          <w:spacing w:val="-13"/>
        </w:rPr>
        <w:t> </w:t>
      </w:r>
      <w:r>
        <w:rPr/>
        <w:t>located</w:t>
      </w:r>
      <w:r>
        <w:rPr>
          <w:spacing w:val="-12"/>
        </w:rPr>
        <w:t> </w:t>
      </w:r>
      <w:r>
        <w:rPr/>
        <w:t>6-inches</w:t>
      </w:r>
      <w:r>
        <w:rPr>
          <w:spacing w:val="-12"/>
        </w:rPr>
        <w:t> </w:t>
      </w:r>
      <w:r>
        <w:rPr/>
        <w:t>behind</w:t>
      </w:r>
      <w:r>
        <w:rPr>
          <w:spacing w:val="-14"/>
        </w:rPr>
        <w:t> </w:t>
      </w:r>
      <w:r>
        <w:rPr/>
        <w:t>the</w:t>
      </w:r>
      <w:r>
        <w:rPr>
          <w:spacing w:val="-15"/>
        </w:rPr>
        <w:t> </w:t>
      </w:r>
      <w:r>
        <w:rPr/>
        <w:t>back</w:t>
      </w:r>
      <w:r>
        <w:rPr>
          <w:spacing w:val="-57"/>
        </w:rPr>
        <w:t> </w:t>
      </w:r>
      <w:r>
        <w:rPr/>
        <w:t>face of the target is perforated, either by fragments of the target created by the impact or</w:t>
      </w:r>
      <w:r>
        <w:rPr>
          <w:spacing w:val="1"/>
        </w:rPr>
        <w:t> </w:t>
      </w:r>
      <w:r>
        <w:rPr/>
        <w:t>by the projectile itself.</w:t>
      </w:r>
      <w:r>
        <w:rPr>
          <w:spacing w:val="1"/>
        </w:rPr>
        <w:t> </w:t>
      </w:r>
      <w:r>
        <w:rPr/>
        <w:t>For the protection limit partial penetration, the witness plate may</w:t>
      </w:r>
      <w:r>
        <w:rPr>
          <w:spacing w:val="1"/>
        </w:rPr>
        <w:t> </w:t>
      </w:r>
      <w:r>
        <w:rPr/>
        <w:t>be</w:t>
      </w:r>
      <w:r>
        <w:rPr>
          <w:spacing w:val="-1"/>
        </w:rPr>
        <w:t> </w:t>
      </w:r>
      <w:r>
        <w:rPr/>
        <w:t>dented but not perforated.</w:t>
      </w:r>
    </w:p>
    <w:p>
      <w:pPr>
        <w:pStyle w:val="ListParagraph"/>
        <w:numPr>
          <w:ilvl w:val="2"/>
          <w:numId w:val="17"/>
        </w:numPr>
        <w:tabs>
          <w:tab w:pos="980" w:val="left" w:leader="none"/>
        </w:tabs>
        <w:spacing w:line="240" w:lineRule="auto" w:before="161" w:after="0"/>
        <w:ind w:left="980" w:right="0" w:hanging="541"/>
        <w:jc w:val="both"/>
        <w:rPr>
          <w:i/>
          <w:sz w:val="24"/>
        </w:rPr>
      </w:pPr>
      <w:bookmarkStart w:name="3.8.3 Regimes of velocity" w:id="128"/>
      <w:bookmarkEnd w:id="128"/>
      <w:r>
        <w:rPr/>
      </w:r>
      <w:bookmarkStart w:name="3.8.3 Regimes of velocity" w:id="129"/>
      <w:bookmarkEnd w:id="129"/>
      <w:r>
        <w:rPr>
          <w:i/>
          <w:sz w:val="24"/>
        </w:rPr>
        <w:t>R</w:t>
      </w:r>
      <w:r>
        <w:rPr>
          <w:i/>
          <w:sz w:val="24"/>
        </w:rPr>
        <w:t>egimes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velocity</w:t>
      </w:r>
    </w:p>
    <w:p>
      <w:pPr>
        <w:pStyle w:val="BodyText"/>
        <w:spacing w:line="480" w:lineRule="auto" w:before="141"/>
        <w:ind w:left="439" w:right="257" w:firstLine="720"/>
        <w:jc w:val="both"/>
      </w:pPr>
      <w:r>
        <w:rPr/>
        <w:t>For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purposes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penetration</w:t>
      </w:r>
      <w:r>
        <w:rPr>
          <w:spacing w:val="-11"/>
        </w:rPr>
        <w:t> </w:t>
      </w:r>
      <w:r>
        <w:rPr/>
        <w:t>mechanics,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striking</w:t>
      </w:r>
      <w:r>
        <w:rPr>
          <w:spacing w:val="-11"/>
        </w:rPr>
        <w:t> </w:t>
      </w:r>
      <w:r>
        <w:rPr/>
        <w:t>velocity</w:t>
      </w:r>
      <w:r>
        <w:rPr>
          <w:spacing w:val="-10"/>
        </w:rPr>
        <w:t> </w:t>
      </w:r>
      <w:r>
        <w:rPr/>
        <w:t>is</w:t>
      </w:r>
      <w:r>
        <w:rPr>
          <w:spacing w:val="-11"/>
        </w:rPr>
        <w:t> </w:t>
      </w:r>
      <w:r>
        <w:rPr/>
        <w:t>generally</w:t>
      </w:r>
      <w:r>
        <w:rPr>
          <w:spacing w:val="-10"/>
        </w:rPr>
        <w:t> </w:t>
      </w:r>
      <w:r>
        <w:rPr/>
        <w:t>broken</w:t>
      </w:r>
      <w:r>
        <w:rPr>
          <w:spacing w:val="-58"/>
        </w:rPr>
        <w:t> </w:t>
      </w:r>
      <w:r>
        <w:rPr/>
        <w:t>down into regimes of velocities. One rationale for these regimes is different mathematical</w:t>
      </w:r>
      <w:r>
        <w:rPr>
          <w:spacing w:val="-57"/>
        </w:rPr>
        <w:t> </w:t>
      </w:r>
      <w:r>
        <w:rPr/>
        <w:t>models</w:t>
      </w:r>
      <w:r>
        <w:rPr>
          <w:spacing w:val="29"/>
        </w:rPr>
        <w:t> </w:t>
      </w:r>
      <w:r>
        <w:rPr/>
        <w:t>seem</w:t>
      </w:r>
      <w:r>
        <w:rPr>
          <w:spacing w:val="28"/>
        </w:rPr>
        <w:t> </w:t>
      </w:r>
      <w:r>
        <w:rPr/>
        <w:t>to</w:t>
      </w:r>
      <w:r>
        <w:rPr>
          <w:spacing w:val="29"/>
        </w:rPr>
        <w:t> </w:t>
      </w:r>
      <w:r>
        <w:rPr/>
        <w:t>apply</w:t>
      </w:r>
      <w:r>
        <w:rPr>
          <w:spacing w:val="29"/>
        </w:rPr>
        <w:t> </w:t>
      </w:r>
      <w:r>
        <w:rPr/>
        <w:t>to</w:t>
      </w:r>
      <w:r>
        <w:rPr>
          <w:spacing w:val="30"/>
        </w:rPr>
        <w:t> </w:t>
      </w:r>
      <w:r>
        <w:rPr/>
        <w:t>impact</w:t>
      </w:r>
      <w:r>
        <w:rPr>
          <w:spacing w:val="29"/>
        </w:rPr>
        <w:t> </w:t>
      </w:r>
      <w:r>
        <w:rPr/>
        <w:t>phenomena</w:t>
      </w:r>
      <w:r>
        <w:rPr>
          <w:spacing w:val="29"/>
        </w:rPr>
        <w:t> </w:t>
      </w:r>
      <w:r>
        <w:rPr/>
        <w:t>at</w:t>
      </w:r>
      <w:r>
        <w:rPr>
          <w:spacing w:val="29"/>
        </w:rPr>
        <w:t> </w:t>
      </w:r>
      <w:r>
        <w:rPr/>
        <w:t>different</w:t>
      </w:r>
      <w:r>
        <w:rPr>
          <w:spacing w:val="29"/>
        </w:rPr>
        <w:t> </w:t>
      </w:r>
      <w:r>
        <w:rPr/>
        <w:t>velocities.</w:t>
      </w:r>
      <w:r>
        <w:rPr>
          <w:spacing w:val="60"/>
        </w:rPr>
        <w:t> </w:t>
      </w:r>
      <w:r>
        <w:rPr/>
        <w:t>It</w:t>
      </w:r>
      <w:r>
        <w:rPr>
          <w:spacing w:val="29"/>
        </w:rPr>
        <w:t> </w:t>
      </w:r>
      <w:r>
        <w:rPr/>
        <w:t>should</w:t>
      </w:r>
      <w:r>
        <w:rPr>
          <w:spacing w:val="29"/>
        </w:rPr>
        <w:t> </w:t>
      </w:r>
      <w:r>
        <w:rPr/>
        <w:t>be</w:t>
      </w:r>
      <w:r>
        <w:rPr>
          <w:spacing w:val="29"/>
        </w:rPr>
        <w:t> </w:t>
      </w:r>
      <w:r>
        <w:rPr/>
        <w:t>noted</w:t>
      </w:r>
    </w:p>
    <w:p>
      <w:pPr>
        <w:spacing w:after="0" w:line="480" w:lineRule="auto"/>
        <w:jc w:val="both"/>
        <w:sectPr>
          <w:type w:val="continuous"/>
          <w:pgSz w:w="12240" w:h="15840"/>
          <w:pgMar w:top="1380" w:bottom="280" w:left="1720" w:right="1180"/>
        </w:sectPr>
      </w:pPr>
    </w:p>
    <w:p>
      <w:pPr>
        <w:pStyle w:val="BodyText"/>
        <w:spacing w:line="480" w:lineRule="auto" w:before="78"/>
        <w:ind w:left="440" w:right="259"/>
        <w:jc w:val="both"/>
      </w:pPr>
      <w:r>
        <w:rPr/>
        <w:t>however that the quantities associated with the different regimes are just guidelines, not</w:t>
      </w:r>
      <w:r>
        <w:rPr>
          <w:spacing w:val="1"/>
        </w:rPr>
        <w:t> </w:t>
      </w:r>
      <w:r>
        <w:rPr/>
        <w:t>rigid rules for application due to the influence of numerous other variables beyond the</w:t>
      </w:r>
      <w:r>
        <w:rPr>
          <w:spacing w:val="1"/>
        </w:rPr>
        <w:t> </w:t>
      </w:r>
      <w:r>
        <w:rPr/>
        <w:t>striking</w:t>
      </w:r>
      <w:r>
        <w:rPr>
          <w:spacing w:val="-1"/>
        </w:rPr>
        <w:t> </w:t>
      </w:r>
      <w:r>
        <w:rPr/>
        <w:t>velocity.</w:t>
      </w:r>
    </w:p>
    <w:p>
      <w:pPr>
        <w:pStyle w:val="BodyText"/>
        <w:spacing w:line="480" w:lineRule="auto" w:before="159"/>
        <w:ind w:left="439" w:right="257" w:firstLine="720"/>
        <w:jc w:val="both"/>
      </w:pPr>
      <w:r>
        <w:rPr/>
        <w:t>The low velocity regime generally applies to projectiles with a striking velocity of</w:t>
      </w:r>
      <w:r>
        <w:rPr>
          <w:spacing w:val="-57"/>
        </w:rPr>
        <w:t> </w:t>
      </w:r>
      <w:r>
        <w:rPr/>
        <w:t>less than 250 m/s (approximately 820 fps). In this regime, structural analysis mythologies</w:t>
      </w:r>
      <w:r>
        <w:rPr>
          <w:spacing w:val="-57"/>
        </w:rPr>
        <w:t> </w:t>
      </w:r>
      <w:r>
        <w:rPr/>
        <w:t>of</w:t>
      </w:r>
      <w:r>
        <w:rPr>
          <w:spacing w:val="-7"/>
        </w:rPr>
        <w:t> </w:t>
      </w:r>
      <w:r>
        <w:rPr/>
        <w:t>taking</w:t>
      </w:r>
      <w:r>
        <w:rPr>
          <w:spacing w:val="-6"/>
        </w:rPr>
        <w:t> </w:t>
      </w:r>
      <w:r>
        <w:rPr/>
        <w:t>an</w:t>
      </w:r>
      <w:r>
        <w:rPr>
          <w:spacing w:val="-5"/>
        </w:rPr>
        <w:t> </w:t>
      </w:r>
      <w:r>
        <w:rPr/>
        <w:t>equivalent</w:t>
      </w:r>
      <w:r>
        <w:rPr>
          <w:spacing w:val="-5"/>
        </w:rPr>
        <w:t> </w:t>
      </w:r>
      <w:r>
        <w:rPr/>
        <w:t>load</w:t>
      </w:r>
      <w:r>
        <w:rPr>
          <w:spacing w:val="-6"/>
        </w:rPr>
        <w:t> </w:t>
      </w:r>
      <w:r>
        <w:rPr/>
        <w:t>distribution</w:t>
      </w:r>
      <w:r>
        <w:rPr>
          <w:spacing w:val="-6"/>
        </w:rPr>
        <w:t> </w:t>
      </w:r>
      <w:r>
        <w:rPr/>
        <w:t>over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impact</w:t>
      </w:r>
      <w:r>
        <w:rPr>
          <w:spacing w:val="-6"/>
        </w:rPr>
        <w:t> </w:t>
      </w:r>
      <w:r>
        <w:rPr/>
        <w:t>area</w:t>
      </w:r>
      <w:r>
        <w:rPr>
          <w:spacing w:val="-6"/>
        </w:rPr>
        <w:t> </w:t>
      </w:r>
      <w:r>
        <w:rPr/>
        <w:t>fit,</w:t>
      </w:r>
      <w:r>
        <w:rPr>
          <w:spacing w:val="-4"/>
        </w:rPr>
        <w:t> </w:t>
      </w:r>
      <w:r>
        <w:rPr/>
        <w:t>making</w:t>
      </w:r>
      <w:r>
        <w:rPr>
          <w:spacing w:val="-6"/>
        </w:rPr>
        <w:t> </w:t>
      </w:r>
      <w:r>
        <w:rPr/>
        <w:t>it</w:t>
      </w:r>
      <w:r>
        <w:rPr>
          <w:spacing w:val="-6"/>
        </w:rPr>
        <w:t> </w:t>
      </w:r>
      <w:r>
        <w:rPr/>
        <w:t>a</w:t>
      </w:r>
      <w:r>
        <w:rPr>
          <w:spacing w:val="-6"/>
        </w:rPr>
        <w:t> </w:t>
      </w:r>
      <w:r>
        <w:rPr/>
        <w:t>regime</w:t>
      </w:r>
      <w:r>
        <w:rPr>
          <w:spacing w:val="-5"/>
        </w:rPr>
        <w:t> </w:t>
      </w:r>
      <w:r>
        <w:rPr/>
        <w:t>where</w:t>
      </w:r>
      <w:r>
        <w:rPr>
          <w:spacing w:val="-58"/>
        </w:rPr>
        <w:t> </w:t>
      </w:r>
      <w:r>
        <w:rPr/>
        <w:t>problems fall into the realm of structural dynamics. The loading and response times in the</w:t>
      </w:r>
      <w:r>
        <w:rPr>
          <w:spacing w:val="-57"/>
        </w:rPr>
        <w:t> </w:t>
      </w:r>
      <w:r>
        <w:rPr/>
        <w:t>low velocity regime are milliseconds (ms), which is much longer than the following</w:t>
      </w:r>
      <w:r>
        <w:rPr>
          <w:spacing w:val="1"/>
        </w:rPr>
        <w:t> </w:t>
      </w:r>
      <w:r>
        <w:rPr/>
        <w:t>regimes.</w:t>
      </w:r>
    </w:p>
    <w:p>
      <w:pPr>
        <w:pStyle w:val="BodyText"/>
        <w:spacing w:line="480" w:lineRule="auto" w:before="160"/>
        <w:ind w:left="439" w:right="257" w:firstLine="720"/>
        <w:jc w:val="both"/>
      </w:pPr>
      <w:r>
        <w:rPr/>
        <w:t>Intermediate velocity, refers to a striking velocity in the range of 500 to 2,000 m/s</w:t>
      </w:r>
      <w:r>
        <w:rPr>
          <w:spacing w:val="-57"/>
        </w:rPr>
        <w:t> </w:t>
      </w:r>
      <w:r>
        <w:rPr/>
        <w:t>(approximately 1,600 to 6,500 fps).</w:t>
      </w:r>
      <w:r>
        <w:rPr>
          <w:spacing w:val="1"/>
        </w:rPr>
        <w:t> </w:t>
      </w:r>
      <w:r>
        <w:rPr/>
        <w:t>In this range, the material behavior governs the</w:t>
      </w:r>
      <w:r>
        <w:rPr>
          <w:spacing w:val="1"/>
        </w:rPr>
        <w:t> </w:t>
      </w:r>
      <w:r>
        <w:rPr/>
        <w:t>response and places the response of the structure as secondary.</w:t>
      </w:r>
      <w:r>
        <w:rPr>
          <w:spacing w:val="1"/>
        </w:rPr>
        <w:t> </w:t>
      </w:r>
      <w:r>
        <w:rPr/>
        <w:t>However, the impact area</w:t>
      </w:r>
      <w:r>
        <w:rPr>
          <w:spacing w:val="-57"/>
        </w:rPr>
        <w:t> </w:t>
      </w:r>
      <w:r>
        <w:rPr/>
        <w:t>where material response is observed is typically limited to just two to three times the</w:t>
      </w:r>
      <w:r>
        <w:rPr>
          <w:spacing w:val="1"/>
        </w:rPr>
        <w:t> </w:t>
      </w:r>
      <w:r>
        <w:rPr/>
        <w:t>diameter of the impacting projectile.</w:t>
      </w:r>
      <w:r>
        <w:rPr>
          <w:spacing w:val="1"/>
        </w:rPr>
        <w:t> </w:t>
      </w:r>
      <w:r>
        <w:rPr/>
        <w:t>The impact phenomenon in this range is described</w:t>
      </w:r>
      <w:r>
        <w:rPr>
          <w:spacing w:val="1"/>
        </w:rPr>
        <w:t> </w:t>
      </w:r>
      <w:r>
        <w:rPr/>
        <w:t>with a shock wave influenced by the velocity, geometry, and material characteristics of</w:t>
      </w:r>
      <w:r>
        <w:rPr>
          <w:spacing w:val="1"/>
        </w:rPr>
        <w:t> </w:t>
      </w:r>
      <w:r>
        <w:rPr/>
        <w:t>both the target and projectile to include density and strength.</w:t>
      </w:r>
      <w:r>
        <w:rPr>
          <w:spacing w:val="1"/>
        </w:rPr>
        <w:t> </w:t>
      </w:r>
      <w:r>
        <w:rPr/>
        <w:t>Loading and reaction times</w:t>
      </w:r>
      <w:r>
        <w:rPr>
          <w:spacing w:val="1"/>
        </w:rPr>
        <w:t> </w:t>
      </w:r>
      <w:r>
        <w:rPr/>
        <w:t>are now microseconds (μs).</w:t>
      </w:r>
      <w:r>
        <w:rPr>
          <w:spacing w:val="1"/>
        </w:rPr>
        <w:t> </w:t>
      </w:r>
      <w:r>
        <w:rPr/>
        <w:t>This regime coincides with the velocity range for typical</w:t>
      </w:r>
      <w:r>
        <w:rPr>
          <w:spacing w:val="1"/>
        </w:rPr>
        <w:t> </w:t>
      </w:r>
      <w:r>
        <w:rPr>
          <w:spacing w:val="-1"/>
        </w:rPr>
        <w:t>ordnance</w:t>
      </w:r>
      <w:r>
        <w:rPr>
          <w:spacing w:val="-13"/>
        </w:rPr>
        <w:t> </w:t>
      </w:r>
      <w:r>
        <w:rPr/>
        <w:t>of</w:t>
      </w:r>
      <w:r>
        <w:rPr>
          <w:spacing w:val="-15"/>
        </w:rPr>
        <w:t> </w:t>
      </w:r>
      <w:r>
        <w:rPr/>
        <w:t>conventional</w:t>
      </w:r>
      <w:r>
        <w:rPr>
          <w:spacing w:val="-13"/>
        </w:rPr>
        <w:t> </w:t>
      </w:r>
      <w:r>
        <w:rPr/>
        <w:t>weapons</w:t>
      </w:r>
      <w:r>
        <w:rPr>
          <w:spacing w:val="-13"/>
        </w:rPr>
        <w:t> </w:t>
      </w:r>
      <w:r>
        <w:rPr/>
        <w:t>systems.</w:t>
      </w:r>
      <w:r>
        <w:rPr>
          <w:spacing w:val="34"/>
        </w:rPr>
        <w:t> </w:t>
      </w:r>
      <w:r>
        <w:rPr/>
        <w:t>The</w:t>
      </w:r>
      <w:r>
        <w:rPr>
          <w:spacing w:val="-13"/>
        </w:rPr>
        <w:t> </w:t>
      </w:r>
      <w:r>
        <w:rPr/>
        <w:t>velocity</w:t>
      </w:r>
      <w:r>
        <w:rPr>
          <w:spacing w:val="-13"/>
        </w:rPr>
        <w:t> </w:t>
      </w:r>
      <w:r>
        <w:rPr/>
        <w:t>ranges</w:t>
      </w:r>
      <w:r>
        <w:rPr>
          <w:spacing w:val="-13"/>
        </w:rPr>
        <w:t> </w:t>
      </w:r>
      <w:r>
        <w:rPr/>
        <w:t>in</w:t>
      </w:r>
      <w:r>
        <w:rPr>
          <w:spacing w:val="-13"/>
        </w:rPr>
        <w:t> </w:t>
      </w:r>
      <w:r>
        <w:rPr/>
        <w:t>this</w:t>
      </w:r>
      <w:r>
        <w:rPr>
          <w:spacing w:val="-14"/>
        </w:rPr>
        <w:t> </w:t>
      </w:r>
      <w:r>
        <w:rPr/>
        <w:t>research</w:t>
      </w:r>
      <w:r>
        <w:rPr>
          <w:spacing w:val="-13"/>
        </w:rPr>
        <w:t> </w:t>
      </w:r>
      <w:r>
        <w:rPr/>
        <w:t>fall</w:t>
      </w:r>
      <w:r>
        <w:rPr>
          <w:spacing w:val="-13"/>
        </w:rPr>
        <w:t> </w:t>
      </w:r>
      <w:r>
        <w:rPr/>
        <w:t>within</w:t>
      </w:r>
      <w:r>
        <w:rPr>
          <w:spacing w:val="-58"/>
        </w:rPr>
        <w:t> </w:t>
      </w:r>
      <w:r>
        <w:rPr/>
        <w:t>this</w:t>
      </w:r>
      <w:r>
        <w:rPr>
          <w:spacing w:val="-1"/>
        </w:rPr>
        <w:t> </w:t>
      </w:r>
      <w:r>
        <w:rPr/>
        <w:t>regime.</w:t>
      </w:r>
    </w:p>
    <w:p>
      <w:pPr>
        <w:pStyle w:val="BodyText"/>
        <w:spacing w:line="480" w:lineRule="auto" w:before="152"/>
        <w:ind w:left="440" w:right="258" w:firstLine="720"/>
        <w:jc w:val="both"/>
      </w:pPr>
      <w:r>
        <w:rPr/>
        <w:t>The high velocity regime is a velocity range of 2,000 to 3,000 m/s (approximately</w:t>
      </w:r>
      <w:r>
        <w:rPr>
          <w:spacing w:val="-57"/>
        </w:rPr>
        <w:t> </w:t>
      </w:r>
      <w:r>
        <w:rPr/>
        <w:t>6,500 to 10,000 fps).</w:t>
      </w:r>
      <w:r>
        <w:rPr>
          <w:spacing w:val="1"/>
        </w:rPr>
        <w:t> </w:t>
      </w:r>
      <w:r>
        <w:rPr/>
        <w:t>At these rates, the localized pressures exceed the strength of the</w:t>
      </w:r>
      <w:r>
        <w:rPr>
          <w:spacing w:val="1"/>
        </w:rPr>
        <w:t> </w:t>
      </w:r>
      <w:r>
        <w:rPr/>
        <w:t>material by an order of magnitude.</w:t>
      </w:r>
      <w:r>
        <w:rPr>
          <w:spacing w:val="1"/>
        </w:rPr>
        <w:t> </w:t>
      </w:r>
      <w:r>
        <w:rPr/>
        <w:t>Under those circumstances, the collision of the target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projectile</w:t>
      </w:r>
      <w:r>
        <w:rPr>
          <w:spacing w:val="2"/>
        </w:rPr>
        <w:t> </w:t>
      </w:r>
      <w:r>
        <w:rPr/>
        <w:t>as</w:t>
      </w:r>
      <w:r>
        <w:rPr>
          <w:spacing w:val="2"/>
        </w:rPr>
        <w:t> </w:t>
      </w:r>
      <w:r>
        <w:rPr/>
        <w:t>solids</w:t>
      </w:r>
      <w:r>
        <w:rPr>
          <w:spacing w:val="2"/>
        </w:rPr>
        <w:t> </w:t>
      </w:r>
      <w:r>
        <w:rPr/>
        <w:t>can</w:t>
      </w:r>
      <w:r>
        <w:rPr>
          <w:spacing w:val="2"/>
        </w:rPr>
        <w:t> </w:t>
      </w:r>
      <w:r>
        <w:rPr/>
        <w:t>be</w:t>
      </w:r>
      <w:r>
        <w:rPr>
          <w:spacing w:val="2"/>
        </w:rPr>
        <w:t> </w:t>
      </w:r>
      <w:r>
        <w:rPr/>
        <w:t>treated</w:t>
      </w:r>
      <w:r>
        <w:rPr>
          <w:spacing w:val="2"/>
        </w:rPr>
        <w:t> </w:t>
      </w:r>
      <w:r>
        <w:rPr/>
        <w:t>as</w:t>
      </w:r>
      <w:r>
        <w:rPr>
          <w:spacing w:val="2"/>
        </w:rPr>
        <w:t> </w:t>
      </w:r>
      <w:r>
        <w:rPr/>
        <w:t>fluids</w:t>
      </w:r>
      <w:r>
        <w:rPr>
          <w:spacing w:val="2"/>
        </w:rPr>
        <w:t> </w:t>
      </w:r>
      <w:r>
        <w:rPr/>
        <w:t>and</w:t>
      </w:r>
      <w:r>
        <w:rPr>
          <w:spacing w:val="2"/>
        </w:rPr>
        <w:t> </w:t>
      </w:r>
      <w:r>
        <w:rPr/>
        <w:t>the</w:t>
      </w:r>
      <w:r>
        <w:rPr>
          <w:spacing w:val="2"/>
        </w:rPr>
        <w:t> </w:t>
      </w:r>
      <w:r>
        <w:rPr/>
        <w:t>problem can</w:t>
      </w:r>
      <w:r>
        <w:rPr>
          <w:spacing w:val="2"/>
        </w:rPr>
        <w:t> </w:t>
      </w:r>
      <w:r>
        <w:rPr/>
        <w:t>be</w:t>
      </w:r>
      <w:r>
        <w:rPr>
          <w:spacing w:val="2"/>
        </w:rPr>
        <w:t> </w:t>
      </w:r>
      <w:r>
        <w:rPr/>
        <w:t>examined</w:t>
      </w:r>
      <w:r>
        <w:rPr>
          <w:spacing w:val="2"/>
        </w:rPr>
        <w:t> </w:t>
      </w:r>
      <w:r>
        <w:rPr/>
        <w:t>with</w:t>
      </w:r>
      <w:r>
        <w:rPr>
          <w:spacing w:val="2"/>
        </w:rPr>
        <w:t> </w:t>
      </w:r>
      <w:r>
        <w:rPr/>
        <w:t>the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40" w:right="258"/>
        <w:jc w:val="both"/>
      </w:pPr>
      <w:r>
        <w:rPr/>
        <w:t>principles of hydrodynamics. The realm of hypervelocity starts in this regime. The impact</w:t>
      </w:r>
      <w:r>
        <w:rPr>
          <w:spacing w:val="-57"/>
        </w:rPr>
        <w:t> </w:t>
      </w:r>
      <w:r>
        <w:rPr/>
        <w:t>velocity of shaped charge jets are typically in the range of 2,000 to 8,000 m/s (6,500 to</w:t>
      </w:r>
      <w:r>
        <w:rPr>
          <w:spacing w:val="1"/>
        </w:rPr>
        <w:t> </w:t>
      </w:r>
      <w:r>
        <w:rPr/>
        <w:t>26,000</w:t>
      </w:r>
      <w:r>
        <w:rPr>
          <w:spacing w:val="-1"/>
        </w:rPr>
        <w:t> </w:t>
      </w:r>
      <w:r>
        <w:rPr/>
        <w:t>fps)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their</w:t>
      </w:r>
      <w:r>
        <w:rPr>
          <w:spacing w:val="-1"/>
        </w:rPr>
        <w:t> </w:t>
      </w:r>
      <w:r>
        <w:rPr/>
        <w:t>study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often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interest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armor and</w:t>
      </w:r>
      <w:r>
        <w:rPr>
          <w:spacing w:val="-1"/>
        </w:rPr>
        <w:t> </w:t>
      </w:r>
      <w:r>
        <w:rPr/>
        <w:t>anti-armor</w:t>
      </w:r>
      <w:r>
        <w:rPr>
          <w:spacing w:val="-1"/>
        </w:rPr>
        <w:t> </w:t>
      </w:r>
      <w:r>
        <w:rPr/>
        <w:t>design</w:t>
      </w:r>
      <w:r>
        <w:rPr>
          <w:spacing w:val="-1"/>
        </w:rPr>
        <w:t> </w:t>
      </w:r>
      <w:r>
        <w:rPr/>
        <w:t>[95].</w:t>
      </w:r>
    </w:p>
    <w:p>
      <w:pPr>
        <w:pStyle w:val="BodyText"/>
        <w:spacing w:line="480" w:lineRule="auto" w:before="159"/>
        <w:ind w:left="439" w:right="257" w:firstLine="720"/>
        <w:jc w:val="both"/>
      </w:pPr>
      <w:r>
        <w:rPr/>
        <w:t>The fastest velocity regime is called ultra-high velocity with rates greater than</w:t>
      </w:r>
      <w:r>
        <w:rPr>
          <w:spacing w:val="1"/>
        </w:rPr>
        <w:t> </w:t>
      </w:r>
      <w:r>
        <w:rPr/>
        <w:t>12,000</w:t>
      </w:r>
      <w:r>
        <w:rPr>
          <w:spacing w:val="-10"/>
        </w:rPr>
        <w:t> </w:t>
      </w:r>
      <w:r>
        <w:rPr/>
        <w:t>m/s</w:t>
      </w:r>
      <w:r>
        <w:rPr>
          <w:spacing w:val="-8"/>
        </w:rPr>
        <w:t> </w:t>
      </w:r>
      <w:r>
        <w:rPr/>
        <w:t>(approximately</w:t>
      </w:r>
      <w:r>
        <w:rPr>
          <w:spacing w:val="-9"/>
        </w:rPr>
        <w:t> </w:t>
      </w:r>
      <w:r>
        <w:rPr/>
        <w:t>40,000</w:t>
      </w:r>
      <w:r>
        <w:rPr>
          <w:spacing w:val="-9"/>
        </w:rPr>
        <w:t> </w:t>
      </w:r>
      <w:r>
        <w:rPr/>
        <w:t>fps).</w:t>
      </w:r>
      <w:r>
        <w:rPr>
          <w:spacing w:val="42"/>
        </w:rPr>
        <w:t> </w:t>
      </w:r>
      <w:r>
        <w:rPr/>
        <w:t>With</w:t>
      </w:r>
      <w:r>
        <w:rPr>
          <w:spacing w:val="-9"/>
        </w:rPr>
        <w:t> </w:t>
      </w:r>
      <w:r>
        <w:rPr/>
        <w:t>an</w:t>
      </w:r>
      <w:r>
        <w:rPr>
          <w:spacing w:val="-10"/>
        </w:rPr>
        <w:t> </w:t>
      </w:r>
      <w:r>
        <w:rPr/>
        <w:t>explosive</w:t>
      </w:r>
      <w:r>
        <w:rPr>
          <w:spacing w:val="-9"/>
        </w:rPr>
        <w:t> </w:t>
      </w:r>
      <w:r>
        <w:rPr/>
        <w:t>impact</w:t>
      </w:r>
      <w:r>
        <w:rPr>
          <w:spacing w:val="-9"/>
        </w:rPr>
        <w:t> </w:t>
      </w:r>
      <w:r>
        <w:rPr/>
        <w:t>in</w:t>
      </w:r>
      <w:r>
        <w:rPr>
          <w:spacing w:val="-9"/>
        </w:rPr>
        <w:t> </w:t>
      </w:r>
      <w:r>
        <w:rPr/>
        <w:t>this</w:t>
      </w:r>
      <w:r>
        <w:rPr>
          <w:spacing w:val="-11"/>
        </w:rPr>
        <w:t> </w:t>
      </w:r>
      <w:r>
        <w:rPr/>
        <w:t>regime,</w:t>
      </w:r>
      <w:r>
        <w:rPr>
          <w:spacing w:val="-9"/>
        </w:rPr>
        <w:t> </w:t>
      </w:r>
      <w:r>
        <w:rPr/>
        <w:t>colliding</w:t>
      </w:r>
      <w:r>
        <w:rPr>
          <w:spacing w:val="-58"/>
        </w:rPr>
        <w:t> </w:t>
      </w:r>
      <w:r>
        <w:rPr/>
        <w:t>materials result in vaporization.</w:t>
      </w:r>
      <w:r>
        <w:rPr>
          <w:spacing w:val="1"/>
        </w:rPr>
        <w:t> </w:t>
      </w:r>
      <w:r>
        <w:rPr/>
        <w:t>Projectiles moving in this regime tend to be involved in</w:t>
      </w:r>
      <w:r>
        <w:rPr>
          <w:spacing w:val="1"/>
        </w:rPr>
        <w:t> </w:t>
      </w:r>
      <w:r>
        <w:rPr/>
        <w:t>studies</w:t>
      </w:r>
      <w:r>
        <w:rPr>
          <w:spacing w:val="-2"/>
        </w:rPr>
        <w:t> </w:t>
      </w:r>
      <w:r>
        <w:rPr/>
        <w:t>in space and aeronautical areas.</w:t>
      </w:r>
    </w:p>
    <w:p>
      <w:pPr>
        <w:pStyle w:val="ListParagraph"/>
        <w:numPr>
          <w:ilvl w:val="2"/>
          <w:numId w:val="17"/>
        </w:numPr>
        <w:tabs>
          <w:tab w:pos="980" w:val="left" w:leader="none"/>
        </w:tabs>
        <w:spacing w:line="240" w:lineRule="auto" w:before="161" w:after="0"/>
        <w:ind w:left="980" w:right="0" w:hanging="541"/>
        <w:jc w:val="both"/>
        <w:rPr>
          <w:i/>
          <w:sz w:val="24"/>
        </w:rPr>
      </w:pPr>
      <w:bookmarkStart w:name="3.8.4 Hypervelocity impact" w:id="130"/>
      <w:bookmarkEnd w:id="130"/>
      <w:r>
        <w:rPr/>
      </w:r>
      <w:bookmarkStart w:name="3.8.4 Hypervelocity impact" w:id="131"/>
      <w:bookmarkEnd w:id="131"/>
      <w:r>
        <w:rPr>
          <w:i/>
          <w:sz w:val="24"/>
        </w:rPr>
        <w:t>H</w:t>
      </w:r>
      <w:r>
        <w:rPr>
          <w:i/>
          <w:sz w:val="24"/>
        </w:rPr>
        <w:t>ypervelocity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impact</w:t>
      </w:r>
    </w:p>
    <w:p>
      <w:pPr>
        <w:pStyle w:val="BodyText"/>
        <w:spacing w:line="480" w:lineRule="auto" w:before="142"/>
        <w:ind w:left="439" w:right="257" w:firstLine="720"/>
        <w:jc w:val="both"/>
      </w:pPr>
      <w:r>
        <w:rPr/>
        <w:t>The</w:t>
      </w:r>
      <w:r>
        <w:rPr>
          <w:spacing w:val="-8"/>
        </w:rPr>
        <w:t> </w:t>
      </w:r>
      <w:r>
        <w:rPr/>
        <w:t>1950s</w:t>
      </w:r>
      <w:r>
        <w:rPr>
          <w:spacing w:val="-8"/>
        </w:rPr>
        <w:t> </w:t>
      </w:r>
      <w:r>
        <w:rPr/>
        <w:t>and</w:t>
      </w:r>
      <w:r>
        <w:rPr>
          <w:spacing w:val="-9"/>
        </w:rPr>
        <w:t> </w:t>
      </w:r>
      <w:r>
        <w:rPr/>
        <w:t>1960s</w:t>
      </w:r>
      <w:r>
        <w:rPr>
          <w:spacing w:val="-8"/>
        </w:rPr>
        <w:t> </w:t>
      </w:r>
      <w:r>
        <w:rPr/>
        <w:t>saw</w:t>
      </w:r>
      <w:r>
        <w:rPr>
          <w:spacing w:val="-9"/>
        </w:rPr>
        <w:t> </w:t>
      </w:r>
      <w:r>
        <w:rPr/>
        <w:t>an</w:t>
      </w:r>
      <w:r>
        <w:rPr>
          <w:spacing w:val="-9"/>
        </w:rPr>
        <w:t> </w:t>
      </w:r>
      <w:r>
        <w:rPr/>
        <w:t>era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great</w:t>
      </w:r>
      <w:r>
        <w:rPr>
          <w:spacing w:val="-9"/>
        </w:rPr>
        <w:t> </w:t>
      </w:r>
      <w:r>
        <w:rPr/>
        <w:t>interest</w:t>
      </w:r>
      <w:r>
        <w:rPr>
          <w:spacing w:val="-9"/>
        </w:rPr>
        <w:t> </w:t>
      </w:r>
      <w:r>
        <w:rPr/>
        <w:t>in</w:t>
      </w:r>
      <w:r>
        <w:rPr>
          <w:spacing w:val="-9"/>
        </w:rPr>
        <w:t> </w:t>
      </w:r>
      <w:r>
        <w:rPr/>
        <w:t>hypervelocity</w:t>
      </w:r>
      <w:r>
        <w:rPr>
          <w:spacing w:val="-9"/>
        </w:rPr>
        <w:t> </w:t>
      </w:r>
      <w:r>
        <w:rPr/>
        <w:t>impact</w:t>
      </w:r>
      <w:r>
        <w:rPr>
          <w:spacing w:val="-8"/>
        </w:rPr>
        <w:t> </w:t>
      </w:r>
      <w:r>
        <w:rPr/>
        <w:t>due</w:t>
      </w:r>
      <w:r>
        <w:rPr>
          <w:spacing w:val="-8"/>
        </w:rPr>
        <w:t> </w:t>
      </w:r>
      <w:r>
        <w:rPr/>
        <w:t>to</w:t>
      </w:r>
      <w:r>
        <w:rPr>
          <w:spacing w:val="-9"/>
        </w:rPr>
        <w:t> </w:t>
      </w:r>
      <w:r>
        <w:rPr/>
        <w:t>the</w:t>
      </w:r>
      <w:r>
        <w:rPr>
          <w:spacing w:val="-58"/>
        </w:rPr>
        <w:t> </w:t>
      </w:r>
      <w:r>
        <w:rPr/>
        <w:t>race to space.</w:t>
      </w:r>
      <w:r>
        <w:rPr>
          <w:spacing w:val="1"/>
        </w:rPr>
        <w:t> </w:t>
      </w:r>
      <w:r>
        <w:rPr/>
        <w:t>Concern with spacecraft impact with meteoroids led to significant work</w:t>
      </w:r>
      <w:r>
        <w:rPr>
          <w:spacing w:val="1"/>
        </w:rPr>
        <w:t> </w:t>
      </w:r>
      <w:r>
        <w:rPr/>
        <w:t>exploring this ultra-high velocity range.</w:t>
      </w:r>
      <w:r>
        <w:rPr>
          <w:spacing w:val="1"/>
        </w:rPr>
        <w:t> </w:t>
      </w:r>
      <w:r>
        <w:rPr/>
        <w:t>Ultimately, scientists and engineers determined</w:t>
      </w:r>
      <w:r>
        <w:rPr>
          <w:spacing w:val="1"/>
        </w:rPr>
        <w:t> </w:t>
      </w:r>
      <w:r>
        <w:rPr/>
        <w:t>the larger stresses allowed for the neglect of rigidity and compressibility and the impact</w:t>
      </w:r>
      <w:r>
        <w:rPr>
          <w:spacing w:val="1"/>
        </w:rPr>
        <w:t> </w:t>
      </w:r>
      <w:r>
        <w:rPr/>
        <w:t>was viewed as a fluid flow scenario. The National Aeronautics and Space Administration</w:t>
      </w:r>
      <w:r>
        <w:rPr>
          <w:spacing w:val="1"/>
        </w:rPr>
        <w:t> </w:t>
      </w:r>
      <w:r>
        <w:rPr/>
        <w:t>(NASA) extensively studies hypervelocity impact even today in the interest of designing</w:t>
      </w:r>
      <w:r>
        <w:rPr>
          <w:spacing w:val="1"/>
        </w:rPr>
        <w:t> </w:t>
      </w:r>
      <w:r>
        <w:rPr/>
        <w:t>spacecraft</w:t>
      </w:r>
      <w:r>
        <w:rPr>
          <w:spacing w:val="-7"/>
        </w:rPr>
        <w:t> </w:t>
      </w:r>
      <w:r>
        <w:rPr/>
        <w:t>and</w:t>
      </w:r>
      <w:r>
        <w:rPr>
          <w:spacing w:val="-6"/>
        </w:rPr>
        <w:t> </w:t>
      </w:r>
      <w:r>
        <w:rPr/>
        <w:t>satellites</w:t>
      </w:r>
      <w:r>
        <w:rPr>
          <w:spacing w:val="-7"/>
        </w:rPr>
        <w:t> </w:t>
      </w:r>
      <w:r>
        <w:rPr/>
        <w:t>capable</w:t>
      </w:r>
      <w:r>
        <w:rPr>
          <w:spacing w:val="-6"/>
        </w:rPr>
        <w:t> </w:t>
      </w:r>
      <w:r>
        <w:rPr/>
        <w:t>of</w:t>
      </w:r>
      <w:r>
        <w:rPr>
          <w:spacing w:val="-8"/>
        </w:rPr>
        <w:t> </w:t>
      </w:r>
      <w:r>
        <w:rPr/>
        <w:t>withstanding</w:t>
      </w:r>
      <w:r>
        <w:rPr>
          <w:spacing w:val="-6"/>
        </w:rPr>
        <w:t> </w:t>
      </w:r>
      <w:r>
        <w:rPr/>
        <w:t>impact</w:t>
      </w:r>
      <w:r>
        <w:rPr>
          <w:spacing w:val="-6"/>
        </w:rPr>
        <w:t> </w:t>
      </w:r>
      <w:r>
        <w:rPr/>
        <w:t>from</w:t>
      </w:r>
      <w:r>
        <w:rPr>
          <w:spacing w:val="-7"/>
        </w:rPr>
        <w:t> </w:t>
      </w:r>
      <w:r>
        <w:rPr/>
        <w:t>debris</w:t>
      </w:r>
      <w:r>
        <w:rPr>
          <w:spacing w:val="-7"/>
        </w:rPr>
        <w:t> </w:t>
      </w:r>
      <w:r>
        <w:rPr/>
        <w:t>and</w:t>
      </w:r>
      <w:r>
        <w:rPr>
          <w:spacing w:val="-6"/>
        </w:rPr>
        <w:t> </w:t>
      </w:r>
      <w:r>
        <w:rPr/>
        <w:t>small</w:t>
      </w:r>
      <w:r>
        <w:rPr>
          <w:spacing w:val="-5"/>
        </w:rPr>
        <w:t> </w:t>
      </w:r>
      <w:r>
        <w:rPr/>
        <w:t>meteoroids.</w:t>
      </w:r>
    </w:p>
    <w:p>
      <w:pPr>
        <w:pStyle w:val="ListParagraph"/>
        <w:numPr>
          <w:ilvl w:val="2"/>
          <w:numId w:val="17"/>
        </w:numPr>
        <w:tabs>
          <w:tab w:pos="980" w:val="left" w:leader="none"/>
        </w:tabs>
        <w:spacing w:line="240" w:lineRule="auto" w:before="161" w:after="0"/>
        <w:ind w:left="980" w:right="0" w:hanging="541"/>
        <w:jc w:val="both"/>
        <w:rPr>
          <w:i/>
          <w:sz w:val="24"/>
        </w:rPr>
      </w:pPr>
      <w:bookmarkStart w:name="3.8.5 Dynamic Properties" w:id="132"/>
      <w:bookmarkEnd w:id="132"/>
      <w:r>
        <w:rPr/>
      </w:r>
      <w:bookmarkStart w:name="3.8.5 Dynamic Properties" w:id="133"/>
      <w:bookmarkEnd w:id="133"/>
      <w:r>
        <w:rPr>
          <w:i/>
          <w:sz w:val="24"/>
        </w:rPr>
        <w:t>D</w:t>
      </w:r>
      <w:r>
        <w:rPr>
          <w:i/>
          <w:sz w:val="24"/>
        </w:rPr>
        <w:t>ynamic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Properties</w:t>
      </w:r>
    </w:p>
    <w:p>
      <w:pPr>
        <w:pStyle w:val="BodyText"/>
        <w:spacing w:line="480" w:lineRule="auto" w:before="141"/>
        <w:ind w:left="439" w:right="258" w:firstLine="720"/>
        <w:jc w:val="both"/>
      </w:pPr>
      <w:r>
        <w:rPr/>
        <w:t>In a high velocity impact, such as those in a ballistic event, high pressures and</w:t>
      </w:r>
      <w:r>
        <w:rPr>
          <w:spacing w:val="1"/>
        </w:rPr>
        <w:t> </w:t>
      </w:r>
      <w:r>
        <w:rPr/>
        <w:t>temperatures</w:t>
      </w:r>
      <w:r>
        <w:rPr>
          <w:spacing w:val="-13"/>
        </w:rPr>
        <w:t> </w:t>
      </w:r>
      <w:r>
        <w:rPr/>
        <w:t>exist</w:t>
      </w:r>
      <w:r>
        <w:rPr>
          <w:spacing w:val="-13"/>
        </w:rPr>
        <w:t> </w:t>
      </w:r>
      <w:r>
        <w:rPr/>
        <w:t>in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projectile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target</w:t>
      </w:r>
      <w:r>
        <w:rPr>
          <w:spacing w:val="-13"/>
        </w:rPr>
        <w:t> </w:t>
      </w:r>
      <w:r>
        <w:rPr/>
        <w:t>for</w:t>
      </w:r>
      <w:r>
        <w:rPr>
          <w:spacing w:val="-13"/>
        </w:rPr>
        <w:t> </w:t>
      </w:r>
      <w:r>
        <w:rPr/>
        <w:t>very</w:t>
      </w:r>
      <w:r>
        <w:rPr>
          <w:spacing w:val="-13"/>
        </w:rPr>
        <w:t> </w:t>
      </w:r>
      <w:r>
        <w:rPr/>
        <w:t>short</w:t>
      </w:r>
      <w:r>
        <w:rPr>
          <w:spacing w:val="-13"/>
        </w:rPr>
        <w:t> </w:t>
      </w:r>
      <w:r>
        <w:rPr/>
        <w:t>(μs)</w:t>
      </w:r>
      <w:r>
        <w:rPr>
          <w:spacing w:val="-13"/>
        </w:rPr>
        <w:t> </w:t>
      </w:r>
      <w:r>
        <w:rPr/>
        <w:t>periods</w:t>
      </w:r>
      <w:r>
        <w:rPr>
          <w:spacing w:val="-14"/>
        </w:rPr>
        <w:t> </w:t>
      </w:r>
      <w:r>
        <w:rPr/>
        <w:t>of</w:t>
      </w:r>
      <w:r>
        <w:rPr>
          <w:spacing w:val="-13"/>
        </w:rPr>
        <w:t> </w:t>
      </w:r>
      <w:r>
        <w:rPr/>
        <w:t>time</w:t>
      </w:r>
      <w:r>
        <w:rPr>
          <w:spacing w:val="-13"/>
        </w:rPr>
        <w:t> </w:t>
      </w:r>
      <w:r>
        <w:rPr/>
        <w:t>through</w:t>
      </w:r>
      <w:r>
        <w:rPr>
          <w:spacing w:val="-58"/>
        </w:rPr>
        <w:t> </w:t>
      </w:r>
      <w:r>
        <w:rPr/>
        <w:t>fast</w:t>
      </w:r>
      <w:r>
        <w:rPr>
          <w:spacing w:val="-10"/>
        </w:rPr>
        <w:t> </w:t>
      </w:r>
      <w:r>
        <w:rPr/>
        <w:t>moving</w:t>
      </w:r>
      <w:r>
        <w:rPr>
          <w:spacing w:val="-10"/>
        </w:rPr>
        <w:t> </w:t>
      </w:r>
      <w:r>
        <w:rPr/>
        <w:t>shock</w:t>
      </w:r>
      <w:r>
        <w:rPr>
          <w:spacing w:val="-10"/>
        </w:rPr>
        <w:t> </w:t>
      </w:r>
      <w:r>
        <w:rPr/>
        <w:t>waves.</w:t>
      </w:r>
      <w:r>
        <w:rPr>
          <w:spacing w:val="40"/>
        </w:rPr>
        <w:t> </w:t>
      </w:r>
      <w:r>
        <w:rPr/>
        <w:t>The</w:t>
      </w:r>
      <w:r>
        <w:rPr>
          <w:spacing w:val="-10"/>
        </w:rPr>
        <w:t> </w:t>
      </w:r>
      <w:r>
        <w:rPr/>
        <w:t>impulsive</w:t>
      </w:r>
      <w:r>
        <w:rPr>
          <w:spacing w:val="-10"/>
        </w:rPr>
        <w:t> </w:t>
      </w:r>
      <w:r>
        <w:rPr/>
        <w:t>nature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0"/>
        </w:rPr>
        <w:t> </w:t>
      </w:r>
      <w:r>
        <w:rPr/>
        <w:t>event</w:t>
      </w:r>
      <w:r>
        <w:rPr>
          <w:spacing w:val="-9"/>
        </w:rPr>
        <w:t> </w:t>
      </w:r>
      <w:r>
        <w:rPr/>
        <w:t>is</w:t>
      </w:r>
      <w:r>
        <w:rPr>
          <w:spacing w:val="-11"/>
        </w:rPr>
        <w:t> </w:t>
      </w:r>
      <w:r>
        <w:rPr/>
        <w:t>characterized</w:t>
      </w:r>
      <w:r>
        <w:rPr>
          <w:spacing w:val="-11"/>
        </w:rPr>
        <w:t> </w:t>
      </w:r>
      <w:r>
        <w:rPr/>
        <w:t>by</w:t>
      </w:r>
      <w:r>
        <w:rPr>
          <w:spacing w:val="-10"/>
        </w:rPr>
        <w:t> </w:t>
      </w:r>
      <w:r>
        <w:rPr/>
        <w:t>high</w:t>
      </w:r>
      <w:r>
        <w:rPr>
          <w:spacing w:val="-10"/>
        </w:rPr>
        <w:t> </w:t>
      </w:r>
      <w:r>
        <w:rPr/>
        <w:t>strain</w:t>
      </w:r>
      <w:r>
        <w:rPr>
          <w:spacing w:val="-58"/>
        </w:rPr>
        <w:t> </w:t>
      </w:r>
      <w:r>
        <w:rPr/>
        <w:t>rates in excess of 10</w:t>
      </w:r>
      <w:r>
        <w:rPr>
          <w:vertAlign w:val="superscript"/>
        </w:rPr>
        <w:t>2</w:t>
      </w:r>
      <w:r>
        <w:rPr>
          <w:vertAlign w:val="baseline"/>
        </w:rPr>
        <w:t> s</w:t>
      </w:r>
      <w:r>
        <w:rPr>
          <w:vertAlign w:val="superscript"/>
        </w:rPr>
        <w:t>-1</w:t>
      </w:r>
      <w:r>
        <w:rPr>
          <w:vertAlign w:val="baseline"/>
        </w:rPr>
        <w:t> and pressures over 10 GPa.</w:t>
      </w:r>
      <w:r>
        <w:rPr>
          <w:spacing w:val="1"/>
          <w:vertAlign w:val="baseline"/>
        </w:rPr>
        <w:t> </w:t>
      </w:r>
      <w:r>
        <w:rPr>
          <w:vertAlign w:val="baseline"/>
        </w:rPr>
        <w:t>The high temperatures are of note</w:t>
      </w:r>
      <w:r>
        <w:rPr>
          <w:spacing w:val="1"/>
          <w:vertAlign w:val="baseline"/>
        </w:rPr>
        <w:t> </w:t>
      </w:r>
      <w:r>
        <w:rPr>
          <w:vertAlign w:val="baseline"/>
        </w:rPr>
        <w:t>because</w:t>
      </w:r>
      <w:r>
        <w:rPr>
          <w:spacing w:val="-8"/>
          <w:vertAlign w:val="baseline"/>
        </w:rPr>
        <w:t> </w:t>
      </w:r>
      <w:r>
        <w:rPr>
          <w:vertAlign w:val="baseline"/>
        </w:rPr>
        <w:t>for</w:t>
      </w:r>
      <w:r>
        <w:rPr>
          <w:spacing w:val="-9"/>
          <w:vertAlign w:val="baseline"/>
        </w:rPr>
        <w:t> </w:t>
      </w:r>
      <w:r>
        <w:rPr>
          <w:vertAlign w:val="baseline"/>
        </w:rPr>
        <w:t>temperature</w:t>
      </w:r>
      <w:r>
        <w:rPr>
          <w:spacing w:val="-7"/>
          <w:vertAlign w:val="baseline"/>
        </w:rPr>
        <w:t> </w:t>
      </w:r>
      <w:r>
        <w:rPr>
          <w:vertAlign w:val="baseline"/>
        </w:rPr>
        <w:t>sensitive</w:t>
      </w:r>
      <w:r>
        <w:rPr>
          <w:spacing w:val="-8"/>
          <w:vertAlign w:val="baseline"/>
        </w:rPr>
        <w:t> </w:t>
      </w:r>
      <w:r>
        <w:rPr>
          <w:vertAlign w:val="baseline"/>
        </w:rPr>
        <w:t>materials,</w:t>
      </w:r>
      <w:r>
        <w:rPr>
          <w:spacing w:val="-9"/>
          <w:vertAlign w:val="baseline"/>
        </w:rPr>
        <w:t> </w:t>
      </w:r>
      <w:r>
        <w:rPr>
          <w:vertAlign w:val="baseline"/>
        </w:rPr>
        <w:t>like</w:t>
      </w:r>
      <w:r>
        <w:rPr>
          <w:spacing w:val="-10"/>
          <w:vertAlign w:val="baseline"/>
        </w:rPr>
        <w:t> </w:t>
      </w:r>
      <w:r>
        <w:rPr>
          <w:vertAlign w:val="baseline"/>
        </w:rPr>
        <w:t>many</w:t>
      </w:r>
      <w:r>
        <w:rPr>
          <w:spacing w:val="-7"/>
          <w:vertAlign w:val="baseline"/>
        </w:rPr>
        <w:t> </w:t>
      </w:r>
      <w:r>
        <w:rPr>
          <w:vertAlign w:val="baseline"/>
        </w:rPr>
        <w:t>metals,</w:t>
      </w:r>
      <w:r>
        <w:rPr>
          <w:spacing w:val="-8"/>
          <w:vertAlign w:val="baseline"/>
        </w:rPr>
        <w:t> </w:t>
      </w:r>
      <w:r>
        <w:rPr>
          <w:vertAlign w:val="baseline"/>
        </w:rPr>
        <w:t>an</w:t>
      </w:r>
      <w:r>
        <w:rPr>
          <w:spacing w:val="-7"/>
          <w:vertAlign w:val="baseline"/>
        </w:rPr>
        <w:t> </w:t>
      </w:r>
      <w:r>
        <w:rPr>
          <w:vertAlign w:val="baseline"/>
        </w:rPr>
        <w:t>elevated</w:t>
      </w:r>
      <w:r>
        <w:rPr>
          <w:spacing w:val="-9"/>
          <w:vertAlign w:val="baseline"/>
        </w:rPr>
        <w:t> </w:t>
      </w:r>
      <w:r>
        <w:rPr>
          <w:vertAlign w:val="baseline"/>
        </w:rPr>
        <w:t>temperature</w:t>
      </w:r>
      <w:r>
        <w:rPr>
          <w:spacing w:val="-9"/>
          <w:vertAlign w:val="baseline"/>
        </w:rPr>
        <w:t> </w:t>
      </w:r>
      <w:r>
        <w:rPr>
          <w:vertAlign w:val="baseline"/>
        </w:rPr>
        <w:t>can</w:t>
      </w:r>
      <w:r>
        <w:rPr>
          <w:spacing w:val="-58"/>
          <w:vertAlign w:val="baseline"/>
        </w:rPr>
        <w:t> </w:t>
      </w:r>
      <w:r>
        <w:rPr>
          <w:vertAlign w:val="baseline"/>
        </w:rPr>
        <w:t>cause material softening and lead to adiabatic shearing and greatly contribute to material</w:t>
      </w:r>
      <w:r>
        <w:rPr>
          <w:spacing w:val="1"/>
          <w:vertAlign w:val="baseline"/>
        </w:rPr>
        <w:t> </w:t>
      </w:r>
      <w:r>
        <w:rPr>
          <w:vertAlign w:val="baseline"/>
        </w:rPr>
        <w:t>failure.</w:t>
      </w:r>
      <w:r>
        <w:rPr>
          <w:spacing w:val="34"/>
          <w:vertAlign w:val="baseline"/>
        </w:rPr>
        <w:t> </w:t>
      </w:r>
      <w:r>
        <w:rPr>
          <w:vertAlign w:val="baseline"/>
        </w:rPr>
        <w:t>Some</w:t>
      </w:r>
      <w:r>
        <w:rPr>
          <w:spacing w:val="-12"/>
          <w:vertAlign w:val="baseline"/>
        </w:rPr>
        <w:t> </w:t>
      </w:r>
      <w:r>
        <w:rPr>
          <w:vertAlign w:val="baseline"/>
        </w:rPr>
        <w:t>dynamic</w:t>
      </w:r>
      <w:r>
        <w:rPr>
          <w:spacing w:val="-13"/>
          <w:vertAlign w:val="baseline"/>
        </w:rPr>
        <w:t> </w:t>
      </w:r>
      <w:r>
        <w:rPr>
          <w:vertAlign w:val="baseline"/>
        </w:rPr>
        <w:t>properties</w:t>
      </w:r>
      <w:r>
        <w:rPr>
          <w:spacing w:val="-13"/>
          <w:vertAlign w:val="baseline"/>
        </w:rPr>
        <w:t> </w:t>
      </w:r>
      <w:r>
        <w:rPr>
          <w:vertAlign w:val="baseline"/>
        </w:rPr>
        <w:t>affect</w:t>
      </w:r>
      <w:r>
        <w:rPr>
          <w:spacing w:val="-13"/>
          <w:vertAlign w:val="baseline"/>
        </w:rPr>
        <w:t> </w:t>
      </w:r>
      <w:r>
        <w:rPr>
          <w:vertAlign w:val="baseline"/>
        </w:rPr>
        <w:t>the</w:t>
      </w:r>
      <w:r>
        <w:rPr>
          <w:spacing w:val="-12"/>
          <w:vertAlign w:val="baseline"/>
        </w:rPr>
        <w:t> </w:t>
      </w:r>
      <w:r>
        <w:rPr>
          <w:vertAlign w:val="baseline"/>
        </w:rPr>
        <w:t>material’s</w:t>
      </w:r>
      <w:r>
        <w:rPr>
          <w:spacing w:val="-13"/>
          <w:vertAlign w:val="baseline"/>
        </w:rPr>
        <w:t> </w:t>
      </w:r>
      <w:r>
        <w:rPr>
          <w:vertAlign w:val="baseline"/>
        </w:rPr>
        <w:t>equation</w:t>
      </w:r>
      <w:r>
        <w:rPr>
          <w:spacing w:val="-12"/>
          <w:vertAlign w:val="baseline"/>
        </w:rPr>
        <w:t> </w:t>
      </w:r>
      <w:r>
        <w:rPr>
          <w:vertAlign w:val="baseline"/>
        </w:rPr>
        <w:t>of</w:t>
      </w:r>
      <w:r>
        <w:rPr>
          <w:spacing w:val="-14"/>
          <w:vertAlign w:val="baseline"/>
        </w:rPr>
        <w:t> </w:t>
      </w:r>
      <w:r>
        <w:rPr>
          <w:vertAlign w:val="baseline"/>
        </w:rPr>
        <w:t>state,</w:t>
      </w:r>
      <w:r>
        <w:rPr>
          <w:spacing w:val="-12"/>
          <w:vertAlign w:val="baseline"/>
        </w:rPr>
        <w:t> </w:t>
      </w:r>
      <w:r>
        <w:rPr>
          <w:vertAlign w:val="baseline"/>
        </w:rPr>
        <w:t>or</w:t>
      </w:r>
      <w:r>
        <w:rPr>
          <w:spacing w:val="-14"/>
          <w:vertAlign w:val="baseline"/>
        </w:rPr>
        <w:t> </w:t>
      </w:r>
      <w:r>
        <w:rPr>
          <w:vertAlign w:val="baseline"/>
        </w:rPr>
        <w:t>thermodynamic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40" w:right="257"/>
        <w:jc w:val="both"/>
      </w:pPr>
      <w:r>
        <w:rPr/>
        <w:t>equation relating state variables like pressure, volume, temperature or internal energy.</w:t>
      </w:r>
      <w:r>
        <w:rPr>
          <w:spacing w:val="1"/>
        </w:rPr>
        <w:t> </w:t>
      </w:r>
      <w:r>
        <w:rPr/>
        <w:t>Other properties determine constitutive relations, which account for strength and failure</w:t>
      </w:r>
      <w:r>
        <w:rPr>
          <w:spacing w:val="1"/>
        </w:rPr>
        <w:t> </w:t>
      </w:r>
      <w:r>
        <w:rPr/>
        <w:t>characteristics under high loading rates.</w:t>
      </w:r>
      <w:r>
        <w:rPr>
          <w:spacing w:val="1"/>
        </w:rPr>
        <w:t> </w:t>
      </w:r>
      <w:r>
        <w:rPr/>
        <w:t>Strength and failure are important properties for</w:t>
      </w:r>
      <w:r>
        <w:rPr>
          <w:spacing w:val="1"/>
        </w:rPr>
        <w:t> </w:t>
      </w:r>
      <w:r>
        <w:rPr/>
        <w:t>terminal</w:t>
      </w:r>
      <w:r>
        <w:rPr>
          <w:spacing w:val="-1"/>
        </w:rPr>
        <w:t> </w:t>
      </w:r>
      <w:r>
        <w:rPr/>
        <w:t>ballistics,</w:t>
      </w:r>
      <w:r>
        <w:rPr>
          <w:spacing w:val="-1"/>
        </w:rPr>
        <w:t> </w:t>
      </w:r>
      <w:r>
        <w:rPr/>
        <w:t>which</w:t>
      </w:r>
      <w:r>
        <w:rPr>
          <w:spacing w:val="-2"/>
        </w:rPr>
        <w:t> </w:t>
      </w:r>
      <w:r>
        <w:rPr/>
        <w:t>vary</w:t>
      </w:r>
      <w:r>
        <w:rPr>
          <w:spacing w:val="-1"/>
        </w:rPr>
        <w:t> </w:t>
      </w:r>
      <w:r>
        <w:rPr/>
        <w:t>with</w:t>
      </w:r>
      <w:r>
        <w:rPr>
          <w:spacing w:val="-2"/>
        </w:rPr>
        <w:t> </w:t>
      </w:r>
      <w:r>
        <w:rPr/>
        <w:t>loading</w:t>
      </w:r>
      <w:r>
        <w:rPr>
          <w:spacing w:val="-1"/>
        </w:rPr>
        <w:t> </w:t>
      </w:r>
      <w:r>
        <w:rPr/>
        <w:t>rate, pressures</w:t>
      </w:r>
      <w:r>
        <w:rPr>
          <w:spacing w:val="-1"/>
        </w:rPr>
        <w:t> </w:t>
      </w:r>
      <w:r>
        <w:rPr/>
        <w:t>and</w:t>
      </w:r>
      <w:r>
        <w:rPr>
          <w:spacing w:val="-3"/>
        </w:rPr>
        <w:t> </w:t>
      </w:r>
      <w:r>
        <w:rPr/>
        <w:t>temperature.</w:t>
      </w:r>
    </w:p>
    <w:p>
      <w:pPr>
        <w:pStyle w:val="Heading9"/>
        <w:numPr>
          <w:ilvl w:val="1"/>
          <w:numId w:val="17"/>
        </w:numPr>
        <w:tabs>
          <w:tab w:pos="800" w:val="left" w:leader="none"/>
        </w:tabs>
        <w:spacing w:line="240" w:lineRule="auto" w:before="162" w:after="0"/>
        <w:ind w:left="800" w:right="0" w:hanging="360"/>
        <w:jc w:val="both"/>
      </w:pPr>
      <w:bookmarkStart w:name="_TOC_250052" w:id="134"/>
      <w:bookmarkStart w:name="3.9 Process of penetration" w:id="135"/>
      <w:r>
        <w:rPr>
          <w:b w:val="0"/>
        </w:rPr>
      </w:r>
      <w:bookmarkEnd w:id="135"/>
      <w:bookmarkStart w:name="3.9 Process of penetration" w:id="136"/>
      <w:r>
        <w:rPr/>
        <w:t>P</w:t>
      </w:r>
      <w:r>
        <w:rPr/>
        <w:t>rocess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bookmarkEnd w:id="134"/>
      <w:r>
        <w:rPr/>
        <w:t>penetration</w:t>
      </w:r>
    </w:p>
    <w:p>
      <w:pPr>
        <w:pStyle w:val="BodyText"/>
        <w:spacing w:before="6"/>
        <w:rPr>
          <w:b/>
          <w:sz w:val="22"/>
        </w:rPr>
      </w:pPr>
    </w:p>
    <w:p>
      <w:pPr>
        <w:pStyle w:val="BodyText"/>
        <w:spacing w:line="480" w:lineRule="auto"/>
        <w:ind w:left="440" w:right="257" w:firstLine="720"/>
        <w:jc w:val="both"/>
      </w:pPr>
      <w:r>
        <w:rPr/>
        <w:t>The</w:t>
      </w:r>
      <w:r>
        <w:rPr>
          <w:spacing w:val="-3"/>
        </w:rPr>
        <w:t> </w:t>
      </w:r>
      <w:r>
        <w:rPr/>
        <w:t>process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penetration</w:t>
      </w:r>
      <w:r>
        <w:rPr>
          <w:spacing w:val="-3"/>
        </w:rPr>
        <w:t> </w:t>
      </w:r>
      <w:r>
        <w:rPr/>
        <w:t>is</w:t>
      </w:r>
      <w:r>
        <w:rPr>
          <w:spacing w:val="-4"/>
        </w:rPr>
        <w:t> </w:t>
      </w:r>
      <w:r>
        <w:rPr/>
        <w:t>complex</w:t>
      </w:r>
      <w:r>
        <w:rPr>
          <w:spacing w:val="-3"/>
        </w:rPr>
        <w:t> </w:t>
      </w:r>
      <w:r>
        <w:rPr/>
        <w:t>in</w:t>
      </w:r>
      <w:r>
        <w:rPr>
          <w:spacing w:val="-4"/>
        </w:rPr>
        <w:t> </w:t>
      </w:r>
      <w:r>
        <w:rPr/>
        <w:t>terms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all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variables</w:t>
      </w:r>
      <w:r>
        <w:rPr>
          <w:spacing w:val="-2"/>
        </w:rPr>
        <w:t> </w:t>
      </w:r>
      <w:r>
        <w:rPr/>
        <w:t>changing</w:t>
      </w:r>
      <w:r>
        <w:rPr>
          <w:spacing w:val="-3"/>
        </w:rPr>
        <w:t> </w:t>
      </w:r>
      <w:r>
        <w:rPr/>
        <w:t>and</w:t>
      </w:r>
      <w:r>
        <w:rPr>
          <w:spacing w:val="-58"/>
        </w:rPr>
        <w:t> </w:t>
      </w:r>
      <w:r>
        <w:rPr/>
        <w:t>being</w:t>
      </w:r>
      <w:r>
        <w:rPr>
          <w:spacing w:val="-11"/>
        </w:rPr>
        <w:t> </w:t>
      </w:r>
      <w:r>
        <w:rPr/>
        <w:t>influenced</w:t>
      </w:r>
      <w:r>
        <w:rPr>
          <w:spacing w:val="-11"/>
        </w:rPr>
        <w:t> </w:t>
      </w:r>
      <w:r>
        <w:rPr/>
        <w:t>by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impact</w:t>
      </w:r>
      <w:r>
        <w:rPr>
          <w:spacing w:val="-10"/>
        </w:rPr>
        <w:t> </w:t>
      </w:r>
      <w:r>
        <w:rPr/>
        <w:t>event.</w:t>
      </w:r>
      <w:r>
        <w:rPr>
          <w:spacing w:val="38"/>
        </w:rPr>
        <w:t> </w:t>
      </w:r>
      <w:r>
        <w:rPr/>
        <w:t>The</w:t>
      </w:r>
      <w:r>
        <w:rPr>
          <w:spacing w:val="-11"/>
        </w:rPr>
        <w:t> </w:t>
      </w:r>
      <w:r>
        <w:rPr/>
        <w:t>projectile</w:t>
      </w:r>
      <w:r>
        <w:rPr>
          <w:spacing w:val="-11"/>
        </w:rPr>
        <w:t> </w:t>
      </w:r>
      <w:r>
        <w:rPr/>
        <w:t>hits</w:t>
      </w:r>
      <w:r>
        <w:rPr>
          <w:spacing w:val="-11"/>
        </w:rPr>
        <w:t> </w:t>
      </w:r>
      <w:r>
        <w:rPr/>
        <w:t>the</w:t>
      </w:r>
      <w:r>
        <w:rPr>
          <w:spacing w:val="-10"/>
        </w:rPr>
        <w:t> </w:t>
      </w:r>
      <w:r>
        <w:rPr/>
        <w:t>target</w:t>
      </w:r>
      <w:r>
        <w:rPr>
          <w:spacing w:val="-12"/>
        </w:rPr>
        <w:t> </w:t>
      </w:r>
      <w:r>
        <w:rPr/>
        <w:t>and</w:t>
      </w:r>
      <w:r>
        <w:rPr>
          <w:spacing w:val="-11"/>
        </w:rPr>
        <w:t> </w:t>
      </w:r>
      <w:r>
        <w:rPr/>
        <w:t>strong</w:t>
      </w:r>
      <w:r>
        <w:rPr>
          <w:spacing w:val="-11"/>
        </w:rPr>
        <w:t> </w:t>
      </w:r>
      <w:r>
        <w:rPr/>
        <w:t>compressive</w:t>
      </w:r>
      <w:r>
        <w:rPr>
          <w:spacing w:val="-57"/>
        </w:rPr>
        <w:t> </w:t>
      </w:r>
      <w:r>
        <w:rPr/>
        <w:t>shock waves propagate through both bodies as visually represented in </w:t>
      </w:r>
      <w:hyperlink w:history="true" w:anchor="_bookmark17">
        <w:r>
          <w:rPr/>
          <w:t>Figure 3-5</w:t>
        </w:r>
      </w:hyperlink>
      <w:r>
        <w:rPr/>
        <w:t>.</w:t>
      </w:r>
      <w:r>
        <w:rPr>
          <w:spacing w:val="1"/>
        </w:rPr>
        <w:t> </w:t>
      </w:r>
      <w:r>
        <w:rPr/>
        <w:t>Shock</w:t>
      </w:r>
      <w:r>
        <w:rPr>
          <w:spacing w:val="1"/>
        </w:rPr>
        <w:t> </w:t>
      </w:r>
      <w:r>
        <w:rPr/>
        <w:t>waves compress materials in fractions of microseconds traveling faster than the speed of</w:t>
      </w:r>
      <w:r>
        <w:rPr>
          <w:spacing w:val="1"/>
        </w:rPr>
        <w:t> </w:t>
      </w:r>
      <w:r>
        <w:rPr/>
        <w:t>sound</w:t>
      </w:r>
      <w:r>
        <w:rPr>
          <w:spacing w:val="-1"/>
        </w:rPr>
        <w:t> </w:t>
      </w:r>
      <w:r>
        <w:rPr/>
        <w:t>and changing internal energies [49].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8"/>
        </w:rPr>
      </w:pPr>
      <w:r>
        <w:rPr/>
        <w:pict>
          <v:group style="position:absolute;margin-left:112.714912pt;margin-top:18.686363pt;width:82.4pt;height:69.95pt;mso-position-horizontal-relative:page;mso-position-vertical-relative:paragraph;z-index:-15696384;mso-wrap-distance-left:0;mso-wrap-distance-right:0" coordorigin="2254,374" coordsize="1648,1399">
            <v:shape style="position:absolute;left:3391;top:378;width:506;height:1390" type="#_x0000_t75" stroked="false">
              <v:imagedata r:id="rId57" o:title=""/>
            </v:shape>
            <v:rect style="position:absolute;left:3391;top:378;width:506;height:1390" filled="false" stroked="true" strokeweight=".446536pt" strokecolor="#41719c">
              <v:stroke dashstyle="solid"/>
            </v:rect>
            <v:shape style="position:absolute;left:2747;top:754;width:645;height:643" coordorigin="2748,755" coordsize="645,643" path="m3070,1398l2996,1389,2928,1365,2868,1327,2818,1277,2780,1218,2756,1150,2748,1076,2756,1003,2780,935,2818,875,2868,826,2928,788,2996,763,3070,755,3143,763,3211,788,3271,826,3321,875,3359,935,3383,1003,3392,1076,3383,1150,3359,1218,3321,1277,3271,1327,3211,1365,3143,1389,3070,1398xe" filled="true" fillcolor="#808080" stroked="false">
              <v:path arrowok="t"/>
              <v:fill type="solid"/>
            </v:shape>
            <v:shape style="position:absolute;left:2747;top:754;width:645;height:643" coordorigin="2748,755" coordsize="645,643" path="m2748,1076l2756,1003,2780,935,2818,875,2868,826,2928,788,2996,763,3070,755,3143,763,3211,788,3271,826,3321,875,3359,935,3383,1003,3392,1076,3383,1150,3359,1218,3321,1277,3271,1327,3211,1365,3143,1389,3070,1398,2996,1389,2928,1365,2868,1327,2818,1277,2780,1218,2756,1150,2748,1076xe" filled="false" stroked="true" strokeweight=".446865pt" strokecolor="#000000">
              <v:path arrowok="t"/>
              <v:stroke dashstyle="solid"/>
            </v:shape>
            <v:line style="position:absolute" from="2351,835" to="2797,848" stroked="true" strokeweight=".223203pt" strokecolor="#5b9bd5">
              <v:stroke dashstyle="solid"/>
            </v:line>
            <v:shape style="position:absolute;left:2787;top:820;width:55;height:54" coordorigin="2787,821" coordsize="55,54" path="m2787,874l2789,821,2842,849,2787,874xe" filled="true" fillcolor="#5b9bd5" stroked="false">
              <v:path arrowok="t"/>
              <v:fill type="solid"/>
            </v:shape>
            <v:line style="position:absolute" from="2257,1041" to="2702,1054" stroked="true" strokeweight=".223203pt" strokecolor="#5b9bd5">
              <v:stroke dashstyle="solid"/>
            </v:line>
            <v:shape style="position:absolute;left:2692;top:1026;width:55;height:54" coordorigin="2693,1027" coordsize="55,54" path="m2693,1080l2694,1027,2747,1055,2693,1080xe" filled="true" fillcolor="#5b9bd5" stroked="false">
              <v:path arrowok="t"/>
              <v:fill type="solid"/>
            </v:shape>
            <v:line style="position:absolute" from="2257,1161" to="2702,1173" stroked="true" strokeweight=".223203pt" strokecolor="#5b9bd5">
              <v:stroke dashstyle="solid"/>
            </v:line>
            <v:shape style="position:absolute;left:2692;top:1146;width:55;height:54" coordorigin="2693,1146" coordsize="55,54" path="m2693,1200l2694,1146,2747,1174,2693,1200xe" filled="true" fillcolor="#5b9bd5" stroked="false">
              <v:path arrowok="t"/>
              <v:fill type="solid"/>
            </v:shape>
            <v:line style="position:absolute" from="2319,1280" to="2765,1292" stroked="true" strokeweight=".223203pt" strokecolor="#5b9bd5">
              <v:stroke dashstyle="solid"/>
            </v:line>
            <v:shape style="position:absolute;left:2754;top:1265;width:55;height:54" coordorigin="2755,1265" coordsize="55,54" path="m2755,1319l2756,1265,2809,1293,2755,1319xe" filled="true" fillcolor="#5b9bd5" stroked="false">
              <v:path arrowok="t"/>
              <v:fill type="solid"/>
            </v:shape>
            <v:line style="position:absolute" from="2278,936" to="2724,948" stroked="true" strokeweight=".223203pt" strokecolor="#5b9bd5">
              <v:stroke dashstyle="solid"/>
            </v:line>
            <v:shape style="position:absolute;left:2714;top:921;width:55;height:54" coordorigin="2714,921" coordsize="55,54" path="m2714,975l2716,921,2768,950,2714,975xe" filled="true" fillcolor="#5b9bd5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205.737427pt;margin-top:18.686363pt;width:75.25pt;height:69.95pt;mso-position-horizontal-relative:page;mso-position-vertical-relative:paragraph;z-index:-15695872;mso-wrap-distance-left:0;mso-wrap-distance-right:0" coordorigin="4115,374" coordsize="1505,1399">
            <v:shape style="position:absolute;left:5109;top:378;width:506;height:1390" type="#_x0000_t75" stroked="false">
              <v:imagedata r:id="rId58" o:title=""/>
            </v:shape>
            <v:rect style="position:absolute;left:5109;top:378;width:506;height:1390" filled="false" stroked="true" strokeweight=".446536pt" strokecolor="#41719c">
              <v:stroke dashstyle="solid"/>
            </v:rect>
            <v:shape style="position:absolute;left:4609;top:754;width:645;height:643" coordorigin="4609,755" coordsize="645,643" path="m4931,1398l4857,1389,4789,1365,4730,1327,4680,1277,4642,1218,4618,1150,4609,1076,4618,1003,4642,935,4680,875,4730,826,4789,788,4857,763,4931,755,5005,763,5073,788,5133,826,5182,875,5220,935,5245,1003,5253,1076,5245,1150,5220,1218,5182,1277,5133,1327,5073,1365,5005,1389,4931,1398xe" filled="true" fillcolor="#808080" stroked="false">
              <v:path arrowok="t"/>
              <v:fill type="solid"/>
            </v:shape>
            <v:shape style="position:absolute;left:4609;top:754;width:645;height:643" coordorigin="4609,755" coordsize="645,643" path="m4609,1076l4618,1003,4642,935,4680,875,4730,826,4789,788,4857,763,4931,755,5005,763,5073,788,5133,826,5182,875,5220,935,5245,1003,5253,1076,5245,1150,5220,1218,5182,1277,5133,1327,5073,1365,5005,1389,4931,1398,4857,1389,4789,1365,4730,1327,4680,1277,4642,1218,4618,1150,4609,1076xe" filled="false" stroked="true" strokeweight=".446865pt" strokecolor="#000000">
              <v:path arrowok="t"/>
              <v:stroke dashstyle="solid"/>
            </v:shape>
            <v:shape style="position:absolute;left:5088;top:630;width:381;height:874" coordorigin="5088,631" coordsize="381,874" path="m5093,631l5155,633,5215,649,5270,678,5322,717,5367,767,5405,825,5435,892,5457,964,5468,1042,5468,1121,5458,1196,5437,1266,5408,1329,5370,1385,5325,1432,5274,1468,5218,1492,5156,1504,5139,1504,5122,1504,5105,1503,5088,1500e" filled="false" stroked="true" strokeweight="1.153663pt" strokecolor="#000000">
              <v:path arrowok="t"/>
              <v:stroke dashstyle="solid"/>
            </v:shape>
            <v:shape style="position:absolute;left:4997;top:896;width:252;height:368" type="#_x0000_t75" stroked="false">
              <v:imagedata r:id="rId59" o:title=""/>
            </v:shape>
            <v:line style="position:absolute" from="4212,833" to="4658,846" stroked="true" strokeweight=".223203pt" strokecolor="#5b9bd5">
              <v:stroke dashstyle="solid"/>
            </v:line>
            <v:shape style="position:absolute;left:4647;top:818;width:55;height:54" coordorigin="4648,819" coordsize="55,54" path="m4648,872l4649,819,4702,847,4648,872xe" filled="true" fillcolor="#5b9bd5" stroked="false">
              <v:path arrowok="t"/>
              <v:fill type="solid"/>
            </v:shape>
            <v:line style="position:absolute" from="4117,1039" to="4563,1052" stroked="true" strokeweight=".223203pt" strokecolor="#5b9bd5">
              <v:stroke dashstyle="solid"/>
            </v:line>
            <v:shape style="position:absolute;left:4553;top:1024;width:55;height:54" coordorigin="4553,1025" coordsize="55,54" path="m4553,1078l4555,1025,4607,1053,4553,1078xe" filled="true" fillcolor="#5b9bd5" stroked="false">
              <v:path arrowok="t"/>
              <v:fill type="solid"/>
            </v:shape>
            <v:line style="position:absolute" from="4117,1158" to="4563,1171" stroked="true" strokeweight=".223203pt" strokecolor="#5b9bd5">
              <v:stroke dashstyle="solid"/>
            </v:line>
            <v:shape style="position:absolute;left:4553;top:1143;width:55;height:54" coordorigin="4553,1144" coordsize="55,54" path="m4553,1197l4555,1144,4607,1172,4553,1197xe" filled="true" fillcolor="#5b9bd5" stroked="false">
              <v:path arrowok="t"/>
              <v:fill type="solid"/>
            </v:shape>
            <v:line style="position:absolute" from="4179,1278" to="4625,1290" stroked="true" strokeweight=".223203pt" strokecolor="#5b9bd5">
              <v:stroke dashstyle="solid"/>
            </v:line>
            <v:shape style="position:absolute;left:4615;top:1263;width:55;height:54" coordorigin="4615,1263" coordsize="55,54" path="m4615,1317l4617,1263,4670,1291,4615,1317xe" filled="true" fillcolor="#5b9bd5" stroked="false">
              <v:path arrowok="t"/>
              <v:fill type="solid"/>
            </v:shape>
            <v:line style="position:absolute" from="4138,934" to="4584,946" stroked="true" strokeweight=".223203pt" strokecolor="#5b9bd5">
              <v:stroke dashstyle="solid"/>
            </v:line>
            <v:shape style="position:absolute;left:4574;top:919;width:55;height:54" coordorigin="4574,919" coordsize="55,54" path="m4574,973l4576,919,4629,948,4574,973xe" filled="true" fillcolor="#5b9bd5" stroked="false">
              <v:path arrowok="t"/>
              <v:fill type="solid"/>
            </v:shape>
            <v:shape style="position:absolute;left:4989;top:754;width:373;height:643" coordorigin="4990,755" coordsize="373,643" path="m5040,755l5114,763,5182,788,5241,826,5291,875,5329,935,5354,1003,5362,1076,5354,1150,5329,1218,5291,1277,5241,1327,5182,1365,5114,1389,5040,1398,5027,1398,5015,1397,5002,1396,4990,1394e" filled="false" stroked="true" strokeweight="1.153498pt" strokecolor="#000000">
              <v:path arrowok="t"/>
              <v:stroke dashstyle="solid"/>
            </v:shape>
            <v:shape style="position:absolute;left:5088;top:950;width:165;height:261" type="#_x0000_t75" stroked="false">
              <v:imagedata r:id="rId60" o:title=""/>
            </v:shape>
            <w10:wrap type="topAndBottom"/>
          </v:group>
        </w:pict>
      </w:r>
      <w:r>
        <w:rPr/>
        <w:pict>
          <v:group style="position:absolute;margin-left:320.950562pt;margin-top:18.257805pt;width:73.350pt;height:69.95pt;mso-position-horizontal-relative:page;mso-position-vertical-relative:paragraph;z-index:-15695360;mso-wrap-distance-left:0;mso-wrap-distance-right:0" coordorigin="6419,365" coordsize="1467,1399">
            <v:shape style="position:absolute;left:7355;top:369;width:506;height:1390" type="#_x0000_t75" stroked="false">
              <v:imagedata r:id="rId61" o:title=""/>
            </v:shape>
            <v:rect style="position:absolute;left:7355;top:369;width:506;height:1390" filled="false" stroked="true" strokeweight=".446536pt" strokecolor="#41719c">
              <v:stroke dashstyle="solid"/>
            </v:rect>
            <v:shape style="position:absolute;left:6912;top:746;width:645;height:643" coordorigin="6913,746" coordsize="645,643" path="m7235,1389l7161,1381,7093,1357,7033,1319,6984,1269,6946,1209,6921,1142,6913,1068,6921,994,6946,926,6984,867,7033,817,7093,779,7161,755,7235,746,7309,755,7376,779,7436,817,7486,867,7524,926,7548,994,7557,1068,7548,1142,7524,1209,7486,1269,7436,1319,7376,1357,7309,1381,7235,1389xe" filled="true" fillcolor="#808080" stroked="false">
              <v:path arrowok="t"/>
              <v:fill type="solid"/>
            </v:shape>
            <v:shape style="position:absolute;left:6912;top:746;width:645;height:643" coordorigin="6913,746" coordsize="645,643" path="m6913,1068l6921,994,6946,926,6984,867,7033,817,7093,779,7161,755,7235,746,7309,755,7376,779,7436,817,7486,867,7524,926,7548,994,7557,1068,7548,1142,7524,1209,7486,1269,7436,1319,7376,1357,7309,1381,7235,1389,7161,1381,7093,1357,7033,1319,6984,1269,6946,1209,6921,1142,6913,1068xe" filled="false" stroked="true" strokeweight=".446865pt" strokecolor="#000000">
              <v:path arrowok="t"/>
              <v:stroke dashstyle="solid"/>
            </v:shape>
            <v:shape style="position:absolute;left:7353;top:622;width:381;height:874" coordorigin="7353,622" coordsize="381,874" path="m7358,622l7420,625,7480,641,7536,669,7587,709,7632,758,7670,817,7701,883,7722,956,7733,1034,7733,1113,7723,1188,7702,1258,7673,1321,7635,1377,7590,1423,7539,1459,7483,1484,7421,1495,7404,1496,7387,1496,7370,1494,7353,1492e" filled="false" stroked="true" strokeweight="1.153663pt" strokecolor="#000000">
              <v:path arrowok="t"/>
              <v:stroke dashstyle="solid"/>
            </v:shape>
            <v:line style="position:absolute" from="6516,824" to="6962,836" stroked="true" strokeweight=".223203pt" strokecolor="#5b9bd5">
              <v:stroke dashstyle="solid"/>
            </v:line>
            <v:shape style="position:absolute;left:6952;top:809;width:55;height:54" coordorigin="6952,809" coordsize="55,54" path="m6952,863l6954,809,7007,838,6952,863xe" filled="true" fillcolor="#5b9bd5" stroked="false">
              <v:path arrowok="t"/>
              <v:fill type="solid"/>
            </v:shape>
            <v:line style="position:absolute" from="6421,1030" to="6867,1042" stroked="true" strokeweight=".223203pt" strokecolor="#5b9bd5">
              <v:stroke dashstyle="solid"/>
            </v:line>
            <v:shape style="position:absolute;left:6857;top:1015;width:55;height:54" coordorigin="6857,1015" coordsize="55,54" path="m6857,1069l6859,1015,6912,1044,6857,1069xe" filled="true" fillcolor="#5b9bd5" stroked="false">
              <v:path arrowok="t"/>
              <v:fill type="solid"/>
            </v:shape>
            <v:line style="position:absolute" from="6421,1149" to="6867,1162" stroked="true" strokeweight=".223203pt" strokecolor="#5b9bd5">
              <v:stroke dashstyle="solid"/>
            </v:line>
            <v:shape style="position:absolute;left:6857;top:1134;width:55;height:54" coordorigin="6857,1135" coordsize="55,54" path="m6857,1188l6859,1135,6912,1163,6857,1188xe" filled="true" fillcolor="#5b9bd5" stroked="false">
              <v:path arrowok="t"/>
              <v:fill type="solid"/>
            </v:shape>
            <v:line style="position:absolute" from="6484,1268" to="6929,1281" stroked="true" strokeweight=".223203pt" strokecolor="#5b9bd5">
              <v:stroke dashstyle="solid"/>
            </v:line>
            <v:shape style="position:absolute;left:6919;top:1253;width:55;height:54" coordorigin="6920,1254" coordsize="55,54" path="m6920,1307l6921,1254,6974,1282,6920,1307xe" filled="true" fillcolor="#5b9bd5" stroked="false">
              <v:path arrowok="t"/>
              <v:fill type="solid"/>
            </v:shape>
            <v:line style="position:absolute" from="6443,924" to="6888,937" stroked="true" strokeweight=".223203pt" strokecolor="#5b9bd5">
              <v:stroke dashstyle="solid"/>
            </v:line>
            <v:shape style="position:absolute;left:6878;top:909;width:55;height:54" coordorigin="6879,910" coordsize="55,54" path="m6879,963l6880,910,6933,938,6879,963xe" filled="true" fillcolor="#5b9bd5" stroked="false">
              <v:path arrowok="t"/>
              <v:fill type="solid"/>
            </v:shape>
            <v:shape style="position:absolute;left:7235;top:746;width:373;height:643" coordorigin="7236,746" coordsize="373,643" path="m7286,746l7360,755,7427,779,7487,817,7537,867,7575,926,7599,994,7608,1068,7599,1142,7575,1209,7537,1269,7487,1319,7427,1357,7360,1381,7286,1389,7273,1389,7261,1388,7248,1387,7236,1385e" filled="false" stroked="true" strokeweight="1.153498pt" strokecolor="#000000">
              <v:path arrowok="t"/>
              <v:stroke dashstyle="solid"/>
            </v:shape>
            <v:shape style="position:absolute;left:7596;top:756;width:263;height:526" coordorigin="7597,757" coordsize="263,526" path="m7842,1282l7767,1272,7702,1238,7649,1183,7612,1112,7597,1030,7605,946,7635,873,7683,814,7745,774,7818,757,7829,757,7839,757,7849,758,7859,759e" filled="false" stroked="true" strokeweight="1.153571pt" strokecolor="#ed7d31">
              <v:path arrowok="t"/>
              <v:stroke dashstyle="solid"/>
            </v:shape>
            <v:shape style="position:absolute;left:7481;top:603;width:393;height:875" coordorigin="7481,604" coordsize="393,875" path="m7845,1479l7783,1474,7724,1457,7669,1427,7619,1386,7575,1335,7538,1275,7510,1208,7490,1135,7481,1057,7483,978,7496,903,7518,834,7550,771,7589,717,7635,672,7687,637,7744,614,7806,604,7823,604,7840,605,7857,607,7874,610e" filled="false" stroked="true" strokeweight="1.153693pt" strokecolor="#ed7d31">
              <v:path arrowok="t"/>
              <v:stroke dashstyle="solid"/>
            </v:shape>
            <w10:wrap type="topAndBottom"/>
          </v:group>
        </w:pict>
      </w:r>
      <w:r>
        <w:rPr/>
        <w:pict>
          <v:group style="position:absolute;margin-left:433.352722pt;margin-top:20.400658pt;width:104.95pt;height:69.95pt;mso-position-horizontal-relative:page;mso-position-vertical-relative:paragraph;z-index:-15694848;mso-wrap-distance-left:0;mso-wrap-distance-right:0" coordorigin="8667,408" coordsize="2099,1399">
            <v:shape style="position:absolute;left:9278;top:412;width:506;height:1390" type="#_x0000_t75" stroked="false">
              <v:imagedata r:id="rId62" o:title=""/>
            </v:shape>
            <v:rect style="position:absolute;left:9278;top:412;width:506;height:1390" filled="false" stroked="true" strokeweight=".446536pt" strokecolor="#41719c">
              <v:stroke dashstyle="solid"/>
            </v:rect>
            <v:shape style="position:absolute;left:9405;top:646;width:393;height:875" coordorigin="9405,647" coordsize="393,875" path="m9769,1521l9707,1517,9647,1499,9592,1469,9542,1428,9499,1378,9462,1318,9433,1251,9414,1178,9405,1100,9407,1021,9420,946,9442,877,9473,814,9513,760,9559,714,9611,680,9668,657,9730,647,9747,647,9764,648,9781,650,9798,653e" filled="false" stroked="true" strokeweight="1.153693pt" strokecolor="#ed7d31">
              <v:path arrowok="t"/>
              <v:stroke dashstyle="solid"/>
            </v:shape>
            <v:shape style="position:absolute;left:9791;top:649;width:523;height:313" type="#_x0000_t75" stroked="false">
              <v:imagedata r:id="rId63" o:title=""/>
            </v:shape>
            <v:shape style="position:absolute;left:9791;top:649;width:523;height:313" coordorigin="9791,649" coordsize="523,313" path="m9791,649l10314,806,9791,962,9791,649xe" filled="false" stroked="true" strokeweight=".447051pt" strokecolor="#000000">
              <v:path arrowok="t"/>
              <v:stroke dashstyle="solid"/>
            </v:shape>
            <v:shape style="position:absolute;left:9788;top:1143;width:523;height:313" type="#_x0000_t75" stroked="false">
              <v:imagedata r:id="rId64" o:title=""/>
            </v:shape>
            <v:shape style="position:absolute;left:9788;top:1143;width:523;height:313" coordorigin="9789,1144" coordsize="523,313" path="m9789,1144l10311,1300,9789,1456,9789,1144xe" filled="false" stroked="true" strokeweight=".447051pt" strokecolor="#000000">
              <v:path arrowok="t"/>
              <v:stroke dashstyle="solid"/>
            </v:shape>
            <v:shape style="position:absolute;left:10230;top:958;width:278;height:292" type="#_x0000_t75" stroked="false">
              <v:imagedata r:id="rId65" o:title=""/>
            </v:shape>
            <v:shape style="position:absolute;left:10230;top:958;width:278;height:292" coordorigin="10231,958" coordsize="278,292" path="m10378,958l10509,1250,10231,1091,10378,958xe" filled="false" stroked="true" strokeweight=".446907pt" strokecolor="#000000">
              <v:path arrowok="t"/>
              <v:stroke dashstyle="solid"/>
            </v:shape>
            <v:shape style="position:absolute;left:10506;top:979;width:255;height:236" type="#_x0000_t75" stroked="false">
              <v:imagedata r:id="rId66" o:title=""/>
            </v:shape>
            <v:shape style="position:absolute;left:10506;top:979;width:255;height:236" coordorigin="10506,979" coordsize="255,236" path="m10641,979l10761,1215,10506,1141,10641,979xe" filled="false" stroked="true" strokeweight=".446852pt" strokecolor="#000000">
              <v:path arrowok="t"/>
              <v:stroke dashstyle="solid"/>
            </v:shape>
            <v:shape style="position:absolute;left:10319;top:762;width:199;height:159" type="#_x0000_t75" stroked="false">
              <v:imagedata r:id="rId67" o:title=""/>
            </v:shape>
            <v:shape style="position:absolute;left:10319;top:762;width:199;height:159" coordorigin="10320,762" coordsize="199,159" path="m10320,762l10518,826,10333,921,10320,762xe" filled="false" stroked="true" strokeweight=".44694pt" strokecolor="#000000">
              <v:path arrowok="t"/>
              <v:stroke dashstyle="solid"/>
            </v:shape>
            <v:line style="position:absolute" from="8764,878" to="9210,891" stroked="true" strokeweight=".223203pt" strokecolor="#5b9bd5">
              <v:stroke dashstyle="solid"/>
            </v:line>
            <v:shape style="position:absolute;left:9200;top:863;width:55;height:54" coordorigin="9200,864" coordsize="55,54" path="m9200,917l9202,864,9255,892,9200,917xe" filled="true" fillcolor="#5b9bd5" stroked="false">
              <v:path arrowok="t"/>
              <v:fill type="solid"/>
            </v:shape>
            <v:line style="position:absolute" from="8669,1084" to="9115,1097" stroked="true" strokeweight=".223203pt" strokecolor="#5b9bd5">
              <v:stroke dashstyle="solid"/>
            </v:line>
            <v:shape style="position:absolute;left:9105;top:1069;width:55;height:54" coordorigin="9105,1070" coordsize="55,54" path="m9105,1123l9107,1070,9160,1098,9105,1123xe" filled="true" fillcolor="#5b9bd5" stroked="false">
              <v:path arrowok="t"/>
              <v:fill type="solid"/>
            </v:shape>
            <v:line style="position:absolute" from="8669,1203" to="9115,1216" stroked="true" strokeweight=".223203pt" strokecolor="#5b9bd5">
              <v:stroke dashstyle="solid"/>
            </v:line>
            <v:shape style="position:absolute;left:9105;top:1188;width:55;height:54" coordorigin="9105,1189" coordsize="55,54" path="m9105,1242l9107,1189,9160,1217,9105,1242xe" filled="true" fillcolor="#5b9bd5" stroked="false">
              <v:path arrowok="t"/>
              <v:fill type="solid"/>
            </v:shape>
            <v:line style="position:absolute" from="8732,1322" to="9177,1335" stroked="true" strokeweight=".223203pt" strokecolor="#5b9bd5">
              <v:stroke dashstyle="solid"/>
            </v:line>
            <v:shape style="position:absolute;left:9167;top:1307;width:55;height:54" coordorigin="9168,1308" coordsize="55,54" path="m9168,1361l9169,1308,9222,1336,9168,1361xe" filled="true" fillcolor="#5b9bd5" stroked="false">
              <v:path arrowok="t"/>
              <v:fill type="solid"/>
            </v:shape>
            <v:line style="position:absolute" from="8691,979" to="9136,991" stroked="true" strokeweight=".223203pt" strokecolor="#5b9bd5">
              <v:stroke dashstyle="solid"/>
            </v:line>
            <v:shape style="position:absolute;left:9126;top:964;width:55;height:54" coordorigin="9127,964" coordsize="55,54" path="m9127,1018l9128,964,9181,992,9127,1018xe" filled="true" fillcolor="#5b9bd5" stroked="false">
              <v:path arrowok="t"/>
              <v:fill type="solid"/>
            </v:shape>
            <v:shape style="position:absolute;left:9321;top:661;width:429;height:955" coordorigin="9321,662" coordsize="429,955" path="m9327,662l9397,664,9464,682,9527,713,9585,756,9636,810,9679,874,9713,946,9737,1025,9750,1111,9750,1197,9738,1279,9714,1355,9681,1424,9638,1485,9587,1536,9529,1576,9465,1603,9396,1616,9377,1616,9359,1616,9340,1615,9321,1612e" filled="false" stroked="true" strokeweight="1.153678pt" strokecolor="#000000">
              <v:path arrowok="t"/>
              <v:stroke dashstyle="solid"/>
            </v:shape>
            <v:shape style="position:absolute;left:9520;top:799;width:263;height:526" coordorigin="9520,800" coordsize="263,526" path="m9766,1325l9691,1315,9625,1280,9572,1226,9536,1155,9520,1073,9528,989,9558,916,9606,857,9669,816,9742,800,9752,800,9763,800,9773,801,9783,802e" filled="false" stroked="true" strokeweight="1.153571pt" strokecolor="#ed7d31">
              <v:path arrowok="t"/>
              <v:stroke dashstyle="solid"/>
            </v:shape>
            <v:shape style="position:absolute;left:9183;top:798;width:645;height:643" coordorigin="9183,799" coordsize="645,643" path="m9505,1442l9431,1433,9364,1409,9304,1371,9254,1321,9216,1261,9192,1194,9183,1120,9192,1046,9216,979,9254,919,9304,869,9364,831,9431,807,9505,799,9579,807,9647,831,9707,869,9756,919,9795,979,9819,1046,9827,1120,9819,1194,9795,1261,9756,1321,9707,1371,9647,1409,9579,1433,9505,1442xe" filled="true" fillcolor="#808080" stroked="false">
              <v:path arrowok="t"/>
              <v:fill type="solid"/>
            </v:shape>
            <v:shape style="position:absolute;left:9183;top:798;width:645;height:643" coordorigin="9183,799" coordsize="645,643" path="m9183,1120l9192,1046,9216,979,9254,919,9304,869,9364,831,9431,807,9505,799,9579,807,9647,831,9707,869,9756,919,9795,979,9819,1046,9827,1120,9819,1194,9795,1261,9756,1321,9707,1371,9647,1409,9579,1433,9505,1442,9431,1433,9364,1409,9304,1371,9254,1321,9216,1261,9192,1194,9183,1120xe" filled="false" stroked="true" strokeweight=".446865pt" strokecolor="#000000">
              <v:path arrowok="t"/>
              <v:stroke dashstyle="solid"/>
            </v:shape>
            <w10:wrap type="topAndBottom"/>
          </v:group>
        </w:pict>
      </w:r>
    </w:p>
    <w:p>
      <w:pPr>
        <w:pStyle w:val="BodyText"/>
        <w:rPr>
          <w:sz w:val="26"/>
        </w:rPr>
      </w:pPr>
    </w:p>
    <w:p>
      <w:pPr>
        <w:pStyle w:val="BodyText"/>
        <w:spacing w:before="1"/>
        <w:rPr>
          <w:sz w:val="31"/>
        </w:rPr>
      </w:pPr>
    </w:p>
    <w:p>
      <w:pPr>
        <w:spacing w:before="0"/>
        <w:ind w:left="440" w:right="608" w:firstLine="0"/>
        <w:jc w:val="left"/>
        <w:rPr>
          <w:i/>
          <w:sz w:val="24"/>
        </w:rPr>
      </w:pPr>
      <w:bookmarkStart w:name="_bookmark17" w:id="137"/>
      <w:bookmarkEnd w:id="137"/>
      <w:r>
        <w:rPr/>
      </w:r>
      <w:r>
        <w:rPr>
          <w:i/>
          <w:sz w:val="24"/>
        </w:rPr>
        <w:t>Figure 3-5. Projectile penetration into target creating compression waves (black) and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relief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waves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(orange).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2"/>
        </w:rPr>
      </w:pPr>
    </w:p>
    <w:p>
      <w:pPr>
        <w:pStyle w:val="BodyText"/>
        <w:spacing w:line="550" w:lineRule="atLeast" w:before="1"/>
        <w:ind w:left="440" w:right="257" w:firstLine="720"/>
        <w:jc w:val="both"/>
      </w:pPr>
      <w:r>
        <w:rPr/>
        <w:t>An</w:t>
      </w:r>
      <w:r>
        <w:rPr>
          <w:spacing w:val="-8"/>
        </w:rPr>
        <w:t> </w:t>
      </w:r>
      <w:r>
        <w:rPr/>
        <w:t>almost</w:t>
      </w:r>
      <w:r>
        <w:rPr>
          <w:spacing w:val="-7"/>
        </w:rPr>
        <w:t> </w:t>
      </w:r>
      <w:r>
        <w:rPr/>
        <w:t>instantaneous</w:t>
      </w:r>
      <w:r>
        <w:rPr>
          <w:spacing w:val="-8"/>
        </w:rPr>
        <w:t> </w:t>
      </w:r>
      <w:r>
        <w:rPr/>
        <w:t>rise</w:t>
      </w:r>
      <w:r>
        <w:rPr>
          <w:spacing w:val="-8"/>
        </w:rPr>
        <w:t> </w:t>
      </w:r>
      <w:r>
        <w:rPr/>
        <w:t>in</w:t>
      </w:r>
      <w:r>
        <w:rPr>
          <w:spacing w:val="-10"/>
        </w:rPr>
        <w:t> </w:t>
      </w:r>
      <w:r>
        <w:rPr/>
        <w:t>pressure</w:t>
      </w:r>
      <w:r>
        <w:rPr>
          <w:spacing w:val="-7"/>
        </w:rPr>
        <w:t> </w:t>
      </w:r>
      <w:r>
        <w:rPr/>
        <w:t>moves</w:t>
      </w:r>
      <w:r>
        <w:rPr>
          <w:spacing w:val="-7"/>
        </w:rPr>
        <w:t> </w:t>
      </w:r>
      <w:r>
        <w:rPr/>
        <w:t>into</w:t>
      </w:r>
      <w:r>
        <w:rPr>
          <w:spacing w:val="-7"/>
        </w:rPr>
        <w:t> </w:t>
      </w:r>
      <w:r>
        <w:rPr/>
        <w:t>and</w:t>
      </w:r>
      <w:r>
        <w:rPr>
          <w:spacing w:val="-9"/>
        </w:rPr>
        <w:t> </w:t>
      </w:r>
      <w:r>
        <w:rPr/>
        <w:t>through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target</w:t>
      </w:r>
      <w:r>
        <w:rPr>
          <w:spacing w:val="-8"/>
        </w:rPr>
        <w:t> </w:t>
      </w:r>
      <w:r>
        <w:rPr/>
        <w:t>with</w:t>
      </w:r>
      <w:r>
        <w:rPr>
          <w:spacing w:val="-9"/>
        </w:rPr>
        <w:t> </w:t>
      </w:r>
      <w:r>
        <w:rPr/>
        <w:t>the</w:t>
      </w:r>
      <w:r>
        <w:rPr>
          <w:spacing w:val="-58"/>
        </w:rPr>
        <w:t> </w:t>
      </w:r>
      <w:r>
        <w:rPr/>
        <w:t>shock wave.</w:t>
      </w:r>
      <w:r>
        <w:rPr>
          <w:spacing w:val="1"/>
        </w:rPr>
        <w:t> </w:t>
      </w:r>
      <w:r>
        <w:rPr/>
        <w:t>If the striking velocity is high enough, relief waves propagate and develop</w:t>
      </w:r>
      <w:r>
        <w:rPr>
          <w:spacing w:val="1"/>
        </w:rPr>
        <w:t> </w:t>
      </w:r>
      <w:r>
        <w:rPr/>
        <w:t>high tensile stresses in the projectile material.</w:t>
      </w:r>
      <w:r>
        <w:rPr>
          <w:spacing w:val="1"/>
        </w:rPr>
        <w:t> </w:t>
      </w:r>
      <w:r>
        <w:rPr/>
        <w:t>When the original compressive wave</w:t>
      </w:r>
      <w:r>
        <w:rPr>
          <w:spacing w:val="1"/>
        </w:rPr>
        <w:t> </w:t>
      </w:r>
      <w:r>
        <w:rPr/>
        <w:t>reaches a free boundary, such as the rear surface of the target, additional relief waves are</w:t>
      </w:r>
      <w:r>
        <w:rPr>
          <w:spacing w:val="1"/>
        </w:rPr>
        <w:t> </w:t>
      </w:r>
      <w:r>
        <w:rPr/>
        <w:t>generated</w:t>
      </w:r>
      <w:r>
        <w:rPr>
          <w:spacing w:val="-7"/>
        </w:rPr>
        <w:t> </w:t>
      </w:r>
      <w:r>
        <w:rPr/>
        <w:t>to</w:t>
      </w:r>
      <w:r>
        <w:rPr>
          <w:spacing w:val="-9"/>
        </w:rPr>
        <w:t> </w:t>
      </w:r>
      <w:r>
        <w:rPr/>
        <w:t>reduce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stresses</w:t>
      </w:r>
      <w:r>
        <w:rPr>
          <w:spacing w:val="-8"/>
        </w:rPr>
        <w:t> </w:t>
      </w:r>
      <w:r>
        <w:rPr/>
        <w:t>and</w:t>
      </w:r>
      <w:r>
        <w:rPr>
          <w:spacing w:val="-7"/>
        </w:rPr>
        <w:t> </w:t>
      </w:r>
      <w:r>
        <w:rPr/>
        <w:t>bring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pressure</w:t>
      </w:r>
      <w:r>
        <w:rPr>
          <w:spacing w:val="-7"/>
        </w:rPr>
        <w:t> </w:t>
      </w:r>
      <w:r>
        <w:rPr/>
        <w:t>back</w:t>
      </w:r>
      <w:r>
        <w:rPr>
          <w:spacing w:val="-7"/>
        </w:rPr>
        <w:t> </w:t>
      </w:r>
      <w:r>
        <w:rPr/>
        <w:t>down</w:t>
      </w:r>
      <w:r>
        <w:rPr>
          <w:spacing w:val="-7"/>
        </w:rPr>
        <w:t> </w:t>
      </w:r>
      <w:r>
        <w:rPr/>
        <w:t>to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initial</w:t>
      </w:r>
      <w:r>
        <w:rPr>
          <w:spacing w:val="-7"/>
        </w:rPr>
        <w:t> </w:t>
      </w:r>
      <w:r>
        <w:rPr/>
        <w:t>pressure.</w:t>
      </w:r>
      <w:r>
        <w:rPr>
          <w:spacing w:val="44"/>
        </w:rPr>
        <w:t> </w:t>
      </w:r>
      <w:r>
        <w:rPr/>
        <w:t>If</w:t>
      </w:r>
    </w:p>
    <w:p>
      <w:pPr>
        <w:spacing w:after="0" w:line="550" w:lineRule="atLeast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40" w:right="257"/>
        <w:jc w:val="both"/>
      </w:pPr>
      <w:r>
        <w:rPr/>
        <w:t>the load intensity and duration exceeds a critical value for the target material, a material</w:t>
      </w:r>
      <w:r>
        <w:rPr>
          <w:spacing w:val="1"/>
        </w:rPr>
        <w:t> </w:t>
      </w:r>
      <w:r>
        <w:rPr/>
        <w:t>failure initiates [125].</w:t>
      </w:r>
      <w:r>
        <w:rPr>
          <w:spacing w:val="1"/>
        </w:rPr>
        <w:t> </w:t>
      </w:r>
      <w:r>
        <w:rPr/>
        <w:t>For impact situations, two types of material failure exist: 1)</w:t>
      </w:r>
      <w:r>
        <w:rPr>
          <w:spacing w:val="1"/>
        </w:rPr>
        <w:t> </w:t>
      </w:r>
      <w:r>
        <w:rPr/>
        <w:t>exceeding the elastic limit and plastic flow occurrence with permanent deformation and</w:t>
      </w:r>
      <w:r>
        <w:rPr>
          <w:spacing w:val="1"/>
        </w:rPr>
        <w:t> </w:t>
      </w:r>
      <w:r>
        <w:rPr/>
        <w:t>cratering; 2) exceeding the cohesive strength of the target material leading to fracture</w:t>
      </w:r>
      <w:r>
        <w:rPr>
          <w:spacing w:val="1"/>
        </w:rPr>
        <w:t> </w:t>
      </w:r>
      <w:r>
        <w:rPr/>
        <w:t>occurrence and perforation.</w:t>
      </w:r>
      <w:r>
        <w:rPr>
          <w:spacing w:val="1"/>
        </w:rPr>
        <w:t> </w:t>
      </w:r>
      <w:r>
        <w:rPr/>
        <w:t>When the kinetic energy of a projectile is greater than the</w:t>
      </w:r>
      <w:r>
        <w:rPr>
          <w:spacing w:val="1"/>
        </w:rPr>
        <w:t> </w:t>
      </w:r>
      <w:r>
        <w:rPr/>
        <w:t>shear</w:t>
      </w:r>
      <w:r>
        <w:rPr>
          <w:spacing w:val="-1"/>
        </w:rPr>
        <w:t> </w:t>
      </w:r>
      <w:r>
        <w:rPr/>
        <w:t>strength and</w:t>
      </w:r>
      <w:r>
        <w:rPr>
          <w:spacing w:val="-1"/>
        </w:rPr>
        <w:t> </w:t>
      </w:r>
      <w:r>
        <w:rPr/>
        <w:t>material resistance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the target, perforation</w:t>
      </w:r>
      <w:r>
        <w:rPr>
          <w:spacing w:val="-3"/>
        </w:rPr>
        <w:t> </w:t>
      </w:r>
      <w:r>
        <w:rPr/>
        <w:t>results.</w:t>
      </w:r>
    </w:p>
    <w:p>
      <w:pPr>
        <w:pStyle w:val="Heading9"/>
        <w:numPr>
          <w:ilvl w:val="1"/>
          <w:numId w:val="17"/>
        </w:numPr>
        <w:tabs>
          <w:tab w:pos="920" w:val="left" w:leader="none"/>
        </w:tabs>
        <w:spacing w:line="240" w:lineRule="auto" w:before="162" w:after="0"/>
        <w:ind w:left="920" w:right="0" w:hanging="480"/>
        <w:jc w:val="both"/>
      </w:pPr>
      <w:bookmarkStart w:name="_TOC_250051" w:id="138"/>
      <w:bookmarkStart w:name="3.10 Response of materials" w:id="139"/>
      <w:r>
        <w:rPr>
          <w:b w:val="0"/>
        </w:rPr>
      </w:r>
      <w:bookmarkEnd w:id="139"/>
      <w:bookmarkStart w:name="3.10 Response of materials" w:id="140"/>
      <w:r>
        <w:rPr/>
        <w:t>R</w:t>
      </w:r>
      <w:r>
        <w:rPr/>
        <w:t>esponse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bookmarkEnd w:id="138"/>
      <w:r>
        <w:rPr/>
        <w:t>materials</w:t>
      </w:r>
    </w:p>
    <w:p>
      <w:pPr>
        <w:pStyle w:val="BodyText"/>
        <w:spacing w:before="6"/>
        <w:rPr>
          <w:b/>
          <w:sz w:val="22"/>
        </w:rPr>
      </w:pPr>
    </w:p>
    <w:p>
      <w:pPr>
        <w:pStyle w:val="BodyText"/>
        <w:spacing w:line="480" w:lineRule="auto"/>
        <w:ind w:left="440" w:right="257" w:firstLine="720"/>
        <w:jc w:val="both"/>
      </w:pPr>
      <w:r>
        <w:rPr/>
        <w:t>Upon an impact, the material of the target responds through multiple mechanisms.</w:t>
      </w:r>
      <w:r>
        <w:rPr>
          <w:spacing w:val="-57"/>
        </w:rPr>
        <w:t> </w:t>
      </w:r>
      <w:r>
        <w:rPr/>
        <w:t>Part</w:t>
      </w:r>
      <w:r>
        <w:rPr>
          <w:spacing w:val="-10"/>
        </w:rPr>
        <w:t> </w:t>
      </w:r>
      <w:r>
        <w:rPr/>
        <w:t>of</w:t>
      </w:r>
      <w:r>
        <w:rPr>
          <w:spacing w:val="-11"/>
        </w:rPr>
        <w:t> </w:t>
      </w:r>
      <w:r>
        <w:rPr/>
        <w:t>the</w:t>
      </w:r>
      <w:r>
        <w:rPr>
          <w:spacing w:val="-10"/>
        </w:rPr>
        <w:t> </w:t>
      </w:r>
      <w:r>
        <w:rPr/>
        <w:t>mechanical</w:t>
      </w:r>
      <w:r>
        <w:rPr>
          <w:spacing w:val="-12"/>
        </w:rPr>
        <w:t> </w:t>
      </w:r>
      <w:r>
        <w:rPr/>
        <w:t>energy</w:t>
      </w:r>
      <w:r>
        <w:rPr>
          <w:spacing w:val="-10"/>
        </w:rPr>
        <w:t> </w:t>
      </w:r>
      <w:r>
        <w:rPr/>
        <w:t>may</w:t>
      </w:r>
      <w:r>
        <w:rPr>
          <w:spacing w:val="-10"/>
        </w:rPr>
        <w:t> </w:t>
      </w:r>
      <w:r>
        <w:rPr/>
        <w:t>be</w:t>
      </w:r>
      <w:r>
        <w:rPr>
          <w:spacing w:val="-12"/>
        </w:rPr>
        <w:t> </w:t>
      </w:r>
      <w:r>
        <w:rPr/>
        <w:t>transformed</w:t>
      </w:r>
      <w:r>
        <w:rPr>
          <w:spacing w:val="-10"/>
        </w:rPr>
        <w:t> </w:t>
      </w:r>
      <w:r>
        <w:rPr/>
        <w:t>into</w:t>
      </w:r>
      <w:r>
        <w:rPr>
          <w:spacing w:val="-10"/>
        </w:rPr>
        <w:t> </w:t>
      </w:r>
      <w:r>
        <w:rPr/>
        <w:t>heat,</w:t>
      </w:r>
      <w:r>
        <w:rPr>
          <w:spacing w:val="-11"/>
        </w:rPr>
        <w:t> </w:t>
      </w:r>
      <w:r>
        <w:rPr/>
        <w:t>which</w:t>
      </w:r>
      <w:r>
        <w:rPr>
          <w:spacing w:val="-10"/>
        </w:rPr>
        <w:t> </w:t>
      </w:r>
      <w:r>
        <w:rPr/>
        <w:t>can</w:t>
      </w:r>
      <w:r>
        <w:rPr>
          <w:spacing w:val="-11"/>
        </w:rPr>
        <w:t> </w:t>
      </w:r>
      <w:r>
        <w:rPr/>
        <w:t>change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strength</w:t>
      </w:r>
      <w:r>
        <w:rPr>
          <w:spacing w:val="-58"/>
        </w:rPr>
        <w:t> </w:t>
      </w:r>
      <w:r>
        <w:rPr/>
        <w:t>properties of the material if thermally sensitive.</w:t>
      </w:r>
      <w:r>
        <w:rPr>
          <w:spacing w:val="1"/>
        </w:rPr>
        <w:t> </w:t>
      </w:r>
      <w:r>
        <w:rPr/>
        <w:t>As mentioned, the material response to a</w:t>
      </w:r>
      <w:r>
        <w:rPr>
          <w:spacing w:val="-57"/>
        </w:rPr>
        <w:t> </w:t>
      </w:r>
      <w:r>
        <w:rPr/>
        <w:t>dynamic impact loading such as a ballistic projectile is distinctly different from static</w:t>
      </w:r>
      <w:r>
        <w:rPr>
          <w:spacing w:val="1"/>
        </w:rPr>
        <w:t> </w:t>
      </w:r>
      <w:r>
        <w:rPr/>
        <w:t>loading</w:t>
      </w:r>
      <w:r>
        <w:rPr>
          <w:spacing w:val="-2"/>
        </w:rPr>
        <w:t> </w:t>
      </w:r>
      <w:r>
        <w:rPr/>
        <w:t>because</w:t>
      </w:r>
      <w:r>
        <w:rPr>
          <w:spacing w:val="-1"/>
        </w:rPr>
        <w:t> </w:t>
      </w:r>
      <w:r>
        <w:rPr/>
        <w:t>inertia</w:t>
      </w:r>
      <w:r>
        <w:rPr>
          <w:spacing w:val="-1"/>
        </w:rPr>
        <w:t> </w:t>
      </w:r>
      <w:r>
        <w:rPr/>
        <w:t>effects should</w:t>
      </w:r>
      <w:r>
        <w:rPr>
          <w:spacing w:val="-1"/>
        </w:rPr>
        <w:t> </w:t>
      </w:r>
      <w:r>
        <w:rPr/>
        <w:t>be</w:t>
      </w:r>
      <w:r>
        <w:rPr>
          <w:spacing w:val="-1"/>
        </w:rPr>
        <w:t> </w:t>
      </w:r>
      <w:r>
        <w:rPr/>
        <w:t>included</w:t>
      </w:r>
      <w:r>
        <w:rPr>
          <w:spacing w:val="-1"/>
        </w:rPr>
        <w:t> </w:t>
      </w:r>
      <w:r>
        <w:rPr/>
        <w:t>with the</w:t>
      </w:r>
      <w:r>
        <w:rPr>
          <w:spacing w:val="-1"/>
        </w:rPr>
        <w:t> </w:t>
      </w:r>
      <w:r>
        <w:rPr/>
        <w:t>stress</w:t>
      </w:r>
      <w:r>
        <w:rPr>
          <w:spacing w:val="-1"/>
        </w:rPr>
        <w:t> </w:t>
      </w:r>
      <w:r>
        <w:rPr/>
        <w:t>wave propagation.</w:t>
      </w:r>
    </w:p>
    <w:p>
      <w:pPr>
        <w:pStyle w:val="BodyText"/>
        <w:spacing w:line="480" w:lineRule="auto" w:before="160"/>
        <w:ind w:left="440" w:right="257" w:firstLine="720"/>
        <w:jc w:val="both"/>
      </w:pPr>
      <w:r>
        <w:rPr/>
        <w:t>An accurate understanding of what occurs during a penetration event requires</w:t>
      </w:r>
      <w:r>
        <w:rPr>
          <w:spacing w:val="1"/>
        </w:rPr>
        <w:t> </w:t>
      </w:r>
      <w:r>
        <w:rPr/>
        <w:t>material characterization of both the target and the projectile.</w:t>
      </w:r>
      <w:r>
        <w:rPr>
          <w:spacing w:val="1"/>
        </w:rPr>
        <w:t> </w:t>
      </w:r>
      <w:r>
        <w:rPr/>
        <w:t>Material properties are</w:t>
      </w:r>
      <w:r>
        <w:rPr>
          <w:spacing w:val="1"/>
        </w:rPr>
        <w:t> </w:t>
      </w:r>
      <w:r>
        <w:rPr/>
        <w:t>needed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analysis,</w:t>
      </w:r>
      <w:r>
        <w:rPr>
          <w:spacing w:val="1"/>
        </w:rPr>
        <w:t> </w:t>
      </w:r>
      <w:r>
        <w:rPr/>
        <w:t>prediction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interpretation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penetration</w:t>
      </w:r>
      <w:r>
        <w:rPr>
          <w:spacing w:val="1"/>
        </w:rPr>
        <w:t> </w:t>
      </w:r>
      <w:r>
        <w:rPr/>
        <w:t>phenomena.</w:t>
      </w:r>
      <w:r>
        <w:rPr>
          <w:spacing w:val="1"/>
        </w:rPr>
        <w:t> </w:t>
      </w:r>
      <w:r>
        <w:rPr/>
        <w:t>Three</w:t>
      </w:r>
      <w:r>
        <w:rPr>
          <w:spacing w:val="-57"/>
        </w:rPr>
        <w:t> </w:t>
      </w:r>
      <w:r>
        <w:rPr/>
        <w:t>physical properties of importance due to their influence on ballistic performance include</w:t>
      </w:r>
      <w:r>
        <w:rPr>
          <w:spacing w:val="1"/>
        </w:rPr>
        <w:t> </w:t>
      </w:r>
      <w:r>
        <w:rPr/>
        <w:t>hardness, toughness and soundness.</w:t>
      </w:r>
      <w:r>
        <w:rPr>
          <w:spacing w:val="1"/>
        </w:rPr>
        <w:t> </w:t>
      </w:r>
      <w:r>
        <w:rPr/>
        <w:t>Hardness is the material’s resistance to indentation.</w:t>
      </w:r>
      <w:r>
        <w:rPr>
          <w:spacing w:val="1"/>
        </w:rPr>
        <w:t> </w:t>
      </w:r>
      <w:r>
        <w:rPr/>
        <w:t>Toughness is the ability of the material to absorb energy before fracture. Soundness is the</w:t>
      </w:r>
      <w:r>
        <w:rPr>
          <w:spacing w:val="-57"/>
        </w:rPr>
        <w:t> </w:t>
      </w:r>
      <w:r>
        <w:rPr/>
        <w:t>presence or absence of localized flaws or weaknesses within the material.</w:t>
      </w:r>
      <w:r>
        <w:rPr>
          <w:spacing w:val="1"/>
        </w:rPr>
        <w:t> </w:t>
      </w:r>
      <w:r>
        <w:rPr/>
        <w:t>Generally, a</w:t>
      </w:r>
      <w:r>
        <w:rPr>
          <w:spacing w:val="1"/>
        </w:rPr>
        <w:t> </w:t>
      </w:r>
      <w:r>
        <w:rPr/>
        <w:t>deformation</w:t>
      </w:r>
      <w:r>
        <w:rPr>
          <w:spacing w:val="-7"/>
        </w:rPr>
        <w:t> </w:t>
      </w:r>
      <w:r>
        <w:rPr/>
        <w:t>occurs</w:t>
      </w:r>
      <w:r>
        <w:rPr>
          <w:spacing w:val="-5"/>
        </w:rPr>
        <w:t> </w:t>
      </w:r>
      <w:r>
        <w:rPr/>
        <w:t>in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material</w:t>
      </w:r>
      <w:r>
        <w:rPr>
          <w:spacing w:val="-5"/>
        </w:rPr>
        <w:t> </w:t>
      </w:r>
      <w:r>
        <w:rPr/>
        <w:t>when</w:t>
      </w:r>
      <w:r>
        <w:rPr>
          <w:spacing w:val="-5"/>
        </w:rPr>
        <w:t> </w:t>
      </w:r>
      <w:r>
        <w:rPr/>
        <w:t>applied</w:t>
      </w:r>
      <w:r>
        <w:rPr>
          <w:spacing w:val="-5"/>
        </w:rPr>
        <w:t> </w:t>
      </w:r>
      <w:r>
        <w:rPr/>
        <w:t>stresses</w:t>
      </w:r>
      <w:r>
        <w:rPr>
          <w:spacing w:val="-5"/>
        </w:rPr>
        <w:t> </w:t>
      </w:r>
      <w:r>
        <w:rPr/>
        <w:t>reach</w:t>
      </w:r>
      <w:r>
        <w:rPr>
          <w:spacing w:val="-6"/>
        </w:rPr>
        <w:t> </w:t>
      </w:r>
      <w:r>
        <w:rPr/>
        <w:t>a</w:t>
      </w:r>
      <w:r>
        <w:rPr>
          <w:spacing w:val="-5"/>
        </w:rPr>
        <w:t> </w:t>
      </w:r>
      <w:r>
        <w:rPr/>
        <w:t>critical</w:t>
      </w:r>
      <w:r>
        <w:rPr>
          <w:spacing w:val="-5"/>
        </w:rPr>
        <w:t> </w:t>
      </w:r>
      <w:r>
        <w:rPr/>
        <w:t>value</w:t>
      </w:r>
      <w:r>
        <w:rPr>
          <w:spacing w:val="-5"/>
        </w:rPr>
        <w:t> </w:t>
      </w:r>
      <w:r>
        <w:rPr/>
        <w:t>or</w:t>
      </w:r>
      <w:r>
        <w:rPr>
          <w:spacing w:val="-5"/>
        </w:rPr>
        <w:t> </w:t>
      </w:r>
      <w:r>
        <w:rPr/>
        <w:t>yield</w:t>
      </w:r>
      <w:r>
        <w:rPr>
          <w:spacing w:val="-5"/>
        </w:rPr>
        <w:t> </w:t>
      </w:r>
      <w:r>
        <w:rPr/>
        <w:t>limit.</w:t>
      </w:r>
      <w:r>
        <w:rPr>
          <w:spacing w:val="-58"/>
        </w:rPr>
        <w:t> </w:t>
      </w:r>
      <w:r>
        <w:rPr/>
        <w:t>Rupture or fracture occurs in a material when the stresses exceed an ultimate strength.</w:t>
      </w:r>
      <w:r>
        <w:rPr>
          <w:spacing w:val="1"/>
        </w:rPr>
        <w:t> </w:t>
      </w:r>
      <w:r>
        <w:rPr/>
        <w:t>These</w:t>
      </w:r>
      <w:r>
        <w:rPr>
          <w:spacing w:val="-1"/>
        </w:rPr>
        <w:t> </w:t>
      </w:r>
      <w:r>
        <w:rPr/>
        <w:t>stresses can</w:t>
      </w:r>
      <w:r>
        <w:rPr>
          <w:spacing w:val="-1"/>
        </w:rPr>
        <w:t> </w:t>
      </w:r>
      <w:r>
        <w:rPr/>
        <w:t>be compressive,</w:t>
      </w:r>
      <w:r>
        <w:rPr>
          <w:spacing w:val="-3"/>
        </w:rPr>
        <w:t> </w:t>
      </w:r>
      <w:r>
        <w:rPr/>
        <w:t>tensile, or</w:t>
      </w:r>
      <w:r>
        <w:rPr>
          <w:spacing w:val="-1"/>
        </w:rPr>
        <w:t> </w:t>
      </w:r>
      <w:r>
        <w:rPr/>
        <w:t>a combination</w:t>
      </w:r>
      <w:r>
        <w:rPr>
          <w:spacing w:val="-3"/>
        </w:rPr>
        <w:t> </w:t>
      </w:r>
      <w:r>
        <w:rPr/>
        <w:t>such as in</w:t>
      </w:r>
      <w:r>
        <w:rPr>
          <w:spacing w:val="-1"/>
        </w:rPr>
        <w:t> </w:t>
      </w:r>
      <w:r>
        <w:rPr/>
        <w:t>flexure.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40" w:right="312" w:firstLine="720"/>
      </w:pPr>
      <w:r>
        <w:rPr/>
        <w:t>For some materials, the constitutive relations are not well developed or frequently</w:t>
      </w:r>
      <w:r>
        <w:rPr>
          <w:spacing w:val="-57"/>
        </w:rPr>
        <w:t> </w:t>
      </w:r>
      <w:r>
        <w:rPr/>
        <w:t>applied, and this is the case with wood, a highly anisotropic material.</w:t>
      </w:r>
      <w:r>
        <w:rPr>
          <w:spacing w:val="1"/>
        </w:rPr>
        <w:t> </w:t>
      </w:r>
      <w:r>
        <w:rPr/>
        <w:t>Dynamic material</w:t>
      </w:r>
      <w:r>
        <w:rPr>
          <w:spacing w:val="1"/>
        </w:rPr>
        <w:t> </w:t>
      </w:r>
      <w:r>
        <w:rPr/>
        <w:t>behavior for wood has not been extensively investigated.</w:t>
      </w:r>
      <w:r>
        <w:rPr>
          <w:spacing w:val="1"/>
        </w:rPr>
        <w:t> </w:t>
      </w:r>
      <w:r>
        <w:rPr/>
        <w:t>The extreme range of stresses</w:t>
      </w:r>
      <w:r>
        <w:rPr>
          <w:spacing w:val="1"/>
        </w:rPr>
        <w:t> </w:t>
      </w:r>
      <w:r>
        <w:rPr/>
        <w:t>applied in dynamic impacts such as a bullet penetration require knowledge on the</w:t>
      </w:r>
      <w:r>
        <w:rPr>
          <w:spacing w:val="1"/>
        </w:rPr>
        <w:t> </w:t>
      </w:r>
      <w:r>
        <w:rPr/>
        <w:t>material response under that type of loading.</w:t>
      </w:r>
      <w:r>
        <w:rPr>
          <w:spacing w:val="1"/>
        </w:rPr>
        <w:t> </w:t>
      </w:r>
      <w:r>
        <w:rPr/>
        <w:t>Existing models for materials under that</w:t>
      </w:r>
      <w:r>
        <w:rPr>
          <w:spacing w:val="1"/>
        </w:rPr>
        <w:t> </w:t>
      </w:r>
      <w:r>
        <w:rPr/>
        <w:t>type of loading are based on extrapolations from experimental information.</w:t>
      </w:r>
      <w:r>
        <w:rPr>
          <w:spacing w:val="1"/>
        </w:rPr>
        <w:t> </w:t>
      </w:r>
      <w:r>
        <w:rPr/>
        <w:t>Metals and</w:t>
      </w:r>
      <w:r>
        <w:rPr>
          <w:spacing w:val="1"/>
        </w:rPr>
        <w:t> </w:t>
      </w:r>
      <w:r>
        <w:rPr/>
        <w:t>plastics, which are generally homogeneous and isotropic, have well-known constitutive</w:t>
      </w:r>
      <w:r>
        <w:rPr>
          <w:spacing w:val="1"/>
        </w:rPr>
        <w:t> </w:t>
      </w:r>
      <w:r>
        <w:rPr/>
        <w:t>relations.</w:t>
      </w:r>
      <w:r>
        <w:rPr>
          <w:spacing w:val="60"/>
        </w:rPr>
        <w:t> </w:t>
      </w:r>
      <w:r>
        <w:rPr/>
        <w:t>These materials are frequently used as targets in penetration mechanics</w:t>
      </w:r>
      <w:r>
        <w:rPr>
          <w:spacing w:val="1"/>
        </w:rPr>
        <w:t> </w:t>
      </w:r>
      <w:r>
        <w:rPr/>
        <w:t>research because</w:t>
      </w:r>
      <w:r>
        <w:rPr>
          <w:spacing w:val="1"/>
        </w:rPr>
        <w:t> </w:t>
      </w:r>
      <w:r>
        <w:rPr/>
        <w:t>of both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homogeneity</w:t>
      </w:r>
      <w:r>
        <w:rPr>
          <w:spacing w:val="-1"/>
        </w:rPr>
        <w:t> </w:t>
      </w:r>
      <w:r>
        <w:rPr/>
        <w:t>and</w:t>
      </w:r>
      <w:r>
        <w:rPr>
          <w:spacing w:val="1"/>
        </w:rPr>
        <w:t> </w:t>
      </w:r>
      <w:r>
        <w:rPr/>
        <w:t>isotropy,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their</w:t>
      </w:r>
      <w:r>
        <w:rPr>
          <w:spacing w:val="1"/>
        </w:rPr>
        <w:t> </w:t>
      </w:r>
      <w:r>
        <w:rPr/>
        <w:t>history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use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armor</w:t>
      </w:r>
      <w:r>
        <w:rPr>
          <w:spacing w:val="-1"/>
        </w:rPr>
        <w:t> </w:t>
      </w:r>
      <w:r>
        <w:rPr/>
        <w:t>and penetration</w:t>
      </w:r>
      <w:r>
        <w:rPr>
          <w:spacing w:val="-2"/>
        </w:rPr>
        <w:t> </w:t>
      </w:r>
      <w:r>
        <w:rPr/>
        <w:t>resisting materials.</w:t>
      </w:r>
    </w:p>
    <w:p>
      <w:pPr>
        <w:pStyle w:val="Heading9"/>
        <w:numPr>
          <w:ilvl w:val="1"/>
          <w:numId w:val="17"/>
        </w:numPr>
        <w:tabs>
          <w:tab w:pos="920" w:val="left" w:leader="none"/>
        </w:tabs>
        <w:spacing w:line="240" w:lineRule="auto" w:before="162" w:after="0"/>
        <w:ind w:left="920" w:right="0" w:hanging="480"/>
        <w:jc w:val="left"/>
      </w:pPr>
      <w:bookmarkStart w:name="_TOC_250050" w:id="141"/>
      <w:bookmarkStart w:name="3.11 Target classification" w:id="142"/>
      <w:r>
        <w:rPr>
          <w:b w:val="0"/>
        </w:rPr>
      </w:r>
      <w:bookmarkEnd w:id="142"/>
      <w:bookmarkStart w:name="3.11 Target classification" w:id="143"/>
      <w:r>
        <w:rPr/>
        <w:t>T</w:t>
      </w:r>
      <w:r>
        <w:rPr/>
        <w:t>arget</w:t>
      </w:r>
      <w:r>
        <w:rPr>
          <w:spacing w:val="-5"/>
        </w:rPr>
        <w:t> </w:t>
      </w:r>
      <w:bookmarkEnd w:id="141"/>
      <w:r>
        <w:rPr/>
        <w:t>classification</w:t>
      </w:r>
    </w:p>
    <w:p>
      <w:pPr>
        <w:pStyle w:val="BodyText"/>
        <w:spacing w:before="6"/>
        <w:rPr>
          <w:b/>
          <w:sz w:val="22"/>
        </w:rPr>
      </w:pPr>
    </w:p>
    <w:p>
      <w:pPr>
        <w:pStyle w:val="BodyText"/>
        <w:spacing w:line="480" w:lineRule="auto"/>
        <w:ind w:left="439" w:right="257" w:firstLine="360"/>
        <w:jc w:val="both"/>
      </w:pPr>
      <w:r>
        <w:rPr/>
        <w:t>The</w:t>
      </w:r>
      <w:r>
        <w:rPr>
          <w:spacing w:val="1"/>
        </w:rPr>
        <w:t> </w:t>
      </w:r>
      <w:r>
        <w:rPr/>
        <w:t>material</w:t>
      </w:r>
      <w:r>
        <w:rPr>
          <w:spacing w:val="1"/>
        </w:rPr>
        <w:t> </w:t>
      </w:r>
      <w:r>
        <w:rPr/>
        <w:t>composition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only</w:t>
      </w:r>
      <w:r>
        <w:rPr>
          <w:spacing w:val="1"/>
        </w:rPr>
        <w:t> </w:t>
      </w:r>
      <w:r>
        <w:rPr/>
        <w:t>influence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target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impact</w:t>
      </w:r>
      <w:r>
        <w:rPr>
          <w:spacing w:val="1"/>
        </w:rPr>
        <w:t> </w:t>
      </w:r>
      <w:r>
        <w:rPr/>
        <w:t>phenomenon.</w:t>
      </w:r>
      <w:r>
        <w:rPr>
          <w:spacing w:val="38"/>
        </w:rPr>
        <w:t> </w:t>
      </w:r>
      <w:r>
        <w:rPr/>
        <w:t>The</w:t>
      </w:r>
      <w:r>
        <w:rPr>
          <w:spacing w:val="-11"/>
        </w:rPr>
        <w:t> </w:t>
      </w:r>
      <w:r>
        <w:rPr/>
        <w:t>ratio</w:t>
      </w:r>
      <w:r>
        <w:rPr>
          <w:spacing w:val="-12"/>
        </w:rPr>
        <w:t> </w:t>
      </w:r>
      <w:r>
        <w:rPr/>
        <w:t>of</w:t>
      </w:r>
      <w:r>
        <w:rPr>
          <w:spacing w:val="-12"/>
        </w:rPr>
        <w:t> </w:t>
      </w:r>
      <w:r>
        <w:rPr/>
        <w:t>target</w:t>
      </w:r>
      <w:r>
        <w:rPr>
          <w:spacing w:val="-12"/>
        </w:rPr>
        <w:t> </w:t>
      </w:r>
      <w:r>
        <w:rPr/>
        <w:t>thickness</w:t>
      </w:r>
      <w:r>
        <w:rPr>
          <w:spacing w:val="-10"/>
        </w:rPr>
        <w:t> </w:t>
      </w:r>
      <w:r>
        <w:rPr/>
        <w:t>to</w:t>
      </w:r>
      <w:r>
        <w:rPr>
          <w:spacing w:val="-11"/>
        </w:rPr>
        <w:t> </w:t>
      </w:r>
      <w:r>
        <w:rPr/>
        <w:t>diameter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projectile</w:t>
      </w:r>
      <w:r>
        <w:rPr>
          <w:spacing w:val="-11"/>
        </w:rPr>
        <w:t> </w:t>
      </w:r>
      <w:r>
        <w:rPr/>
        <w:t>is</w:t>
      </w:r>
      <w:r>
        <w:rPr>
          <w:spacing w:val="-10"/>
        </w:rPr>
        <w:t> </w:t>
      </w:r>
      <w:r>
        <w:rPr/>
        <w:t>also</w:t>
      </w:r>
      <w:r>
        <w:rPr>
          <w:spacing w:val="-11"/>
        </w:rPr>
        <w:t> </w:t>
      </w:r>
      <w:r>
        <w:rPr/>
        <w:t>an</w:t>
      </w:r>
      <w:r>
        <w:rPr>
          <w:spacing w:val="-12"/>
        </w:rPr>
        <w:t> </w:t>
      </w:r>
      <w:r>
        <w:rPr/>
        <w:t>important</w:t>
      </w:r>
      <w:r>
        <w:rPr>
          <w:spacing w:val="-58"/>
        </w:rPr>
        <w:t> </w:t>
      </w:r>
      <w:r>
        <w:rPr/>
        <w:t>influencer.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thickness,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depth,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target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large</w:t>
      </w:r>
      <w:r>
        <w:rPr>
          <w:spacing w:val="1"/>
        </w:rPr>
        <w:t> </w:t>
      </w:r>
      <w:r>
        <w:rPr/>
        <w:t>factor</w:t>
      </w:r>
      <w:r>
        <w:rPr>
          <w:spacing w:val="1"/>
        </w:rPr>
        <w:t> </w:t>
      </w:r>
      <w:r>
        <w:rPr/>
        <w:t>because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transmittance of shock waves and the distance those waves need to travel to reach a free</w:t>
      </w:r>
      <w:r>
        <w:rPr>
          <w:spacing w:val="1"/>
        </w:rPr>
        <w:t> </w:t>
      </w:r>
      <w:r>
        <w:rPr/>
        <w:t>boundary.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convenience,</w:t>
      </w:r>
      <w:r>
        <w:rPr>
          <w:spacing w:val="1"/>
        </w:rPr>
        <w:t> </w:t>
      </w:r>
      <w:r>
        <w:rPr/>
        <w:t>targets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classified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thickness</w:t>
      </w:r>
      <w:r>
        <w:rPr>
          <w:spacing w:val="1"/>
        </w:rPr>
        <w:t> </w:t>
      </w:r>
      <w:r>
        <w:rPr/>
        <w:t>into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following</w:t>
      </w:r>
      <w:r>
        <w:rPr>
          <w:spacing w:val="1"/>
        </w:rPr>
        <w:t> </w:t>
      </w:r>
      <w:r>
        <w:rPr/>
        <w:t>categories</w:t>
      </w:r>
      <w:r>
        <w:rPr>
          <w:spacing w:val="-1"/>
        </w:rPr>
        <w:t> </w:t>
      </w:r>
      <w:r>
        <w:rPr/>
        <w:t>[27]:</w:t>
      </w:r>
    </w:p>
    <w:p>
      <w:pPr>
        <w:pStyle w:val="ListParagraph"/>
        <w:numPr>
          <w:ilvl w:val="0"/>
          <w:numId w:val="18"/>
        </w:numPr>
        <w:tabs>
          <w:tab w:pos="1160" w:val="left" w:leader="none"/>
        </w:tabs>
        <w:spacing w:line="480" w:lineRule="auto" w:before="160" w:after="0"/>
        <w:ind w:left="1159" w:right="257" w:hanging="360"/>
        <w:jc w:val="left"/>
        <w:rPr>
          <w:sz w:val="24"/>
        </w:rPr>
      </w:pPr>
      <w:r>
        <w:rPr>
          <w:sz w:val="24"/>
        </w:rPr>
        <w:t>Semi-infinite,</w:t>
      </w:r>
      <w:r>
        <w:rPr>
          <w:spacing w:val="36"/>
          <w:sz w:val="24"/>
        </w:rPr>
        <w:t> </w:t>
      </w:r>
      <w:r>
        <w:rPr>
          <w:sz w:val="24"/>
        </w:rPr>
        <w:t>where</w:t>
      </w:r>
      <w:r>
        <w:rPr>
          <w:spacing w:val="36"/>
          <w:sz w:val="24"/>
        </w:rPr>
        <w:t> </w:t>
      </w:r>
      <w:r>
        <w:rPr>
          <w:sz w:val="24"/>
        </w:rPr>
        <w:t>the</w:t>
      </w:r>
      <w:r>
        <w:rPr>
          <w:spacing w:val="36"/>
          <w:sz w:val="24"/>
        </w:rPr>
        <w:t> </w:t>
      </w:r>
      <w:r>
        <w:rPr>
          <w:sz w:val="24"/>
        </w:rPr>
        <w:t>distal</w:t>
      </w:r>
      <w:r>
        <w:rPr>
          <w:spacing w:val="36"/>
          <w:sz w:val="24"/>
        </w:rPr>
        <w:t> </w:t>
      </w:r>
      <w:r>
        <w:rPr>
          <w:sz w:val="24"/>
        </w:rPr>
        <w:t>boundary,</w:t>
      </w:r>
      <w:r>
        <w:rPr>
          <w:spacing w:val="36"/>
          <w:sz w:val="24"/>
        </w:rPr>
        <w:t> </w:t>
      </w:r>
      <w:r>
        <w:rPr>
          <w:sz w:val="24"/>
        </w:rPr>
        <w:t>or</w:t>
      </w:r>
      <w:r>
        <w:rPr>
          <w:spacing w:val="36"/>
          <w:sz w:val="24"/>
        </w:rPr>
        <w:t> </w:t>
      </w:r>
      <w:r>
        <w:rPr>
          <w:sz w:val="24"/>
        </w:rPr>
        <w:t>rear</w:t>
      </w:r>
      <w:r>
        <w:rPr>
          <w:spacing w:val="37"/>
          <w:sz w:val="24"/>
        </w:rPr>
        <w:t> </w:t>
      </w:r>
      <w:r>
        <w:rPr>
          <w:sz w:val="24"/>
        </w:rPr>
        <w:t>surface</w:t>
      </w:r>
      <w:r>
        <w:rPr>
          <w:spacing w:val="36"/>
          <w:sz w:val="24"/>
        </w:rPr>
        <w:t> </w:t>
      </w:r>
      <w:r>
        <w:rPr>
          <w:sz w:val="24"/>
        </w:rPr>
        <w:t>of</w:t>
      </w:r>
      <w:r>
        <w:rPr>
          <w:spacing w:val="36"/>
          <w:sz w:val="24"/>
        </w:rPr>
        <w:t> </w:t>
      </w:r>
      <w:r>
        <w:rPr>
          <w:sz w:val="24"/>
        </w:rPr>
        <w:t>the</w:t>
      </w:r>
      <w:r>
        <w:rPr>
          <w:spacing w:val="36"/>
          <w:sz w:val="24"/>
        </w:rPr>
        <w:t> </w:t>
      </w:r>
      <w:r>
        <w:rPr>
          <w:sz w:val="24"/>
        </w:rPr>
        <w:t>target</w:t>
      </w:r>
      <w:r>
        <w:rPr>
          <w:spacing w:val="35"/>
          <w:sz w:val="24"/>
        </w:rPr>
        <w:t> </w:t>
      </w:r>
      <w:r>
        <w:rPr>
          <w:sz w:val="24"/>
        </w:rPr>
        <w:t>does</w:t>
      </w:r>
      <w:r>
        <w:rPr>
          <w:spacing w:val="37"/>
          <w:sz w:val="24"/>
        </w:rPr>
        <w:t> </w:t>
      </w:r>
      <w:r>
        <w:rPr>
          <w:sz w:val="24"/>
        </w:rPr>
        <w:t>not</w:t>
      </w:r>
      <w:r>
        <w:rPr>
          <w:spacing w:val="-57"/>
          <w:sz w:val="24"/>
        </w:rPr>
        <w:t> </w:t>
      </w:r>
      <w:r>
        <w:rPr>
          <w:sz w:val="24"/>
        </w:rPr>
        <w:t>influence</w:t>
      </w:r>
      <w:r>
        <w:rPr>
          <w:spacing w:val="-1"/>
          <w:sz w:val="24"/>
        </w:rPr>
        <w:t> </w:t>
      </w:r>
      <w:r>
        <w:rPr>
          <w:sz w:val="24"/>
        </w:rPr>
        <w:t>the penetration process,</w:t>
      </w:r>
    </w:p>
    <w:p>
      <w:pPr>
        <w:pStyle w:val="ListParagraph"/>
        <w:numPr>
          <w:ilvl w:val="0"/>
          <w:numId w:val="18"/>
        </w:numPr>
        <w:tabs>
          <w:tab w:pos="1160" w:val="left" w:leader="none"/>
        </w:tabs>
        <w:spacing w:line="480" w:lineRule="auto" w:before="0" w:after="0"/>
        <w:ind w:left="1159" w:right="257" w:hanging="360"/>
        <w:jc w:val="left"/>
        <w:rPr>
          <w:sz w:val="24"/>
        </w:rPr>
      </w:pPr>
      <w:r>
        <w:rPr>
          <w:sz w:val="24"/>
        </w:rPr>
        <w:t>Thick,</w:t>
      </w:r>
      <w:r>
        <w:rPr>
          <w:spacing w:val="-9"/>
          <w:sz w:val="24"/>
        </w:rPr>
        <w:t> </w:t>
      </w:r>
      <w:r>
        <w:rPr>
          <w:sz w:val="24"/>
        </w:rPr>
        <w:t>where</w:t>
      </w:r>
      <w:r>
        <w:rPr>
          <w:spacing w:val="-8"/>
          <w:sz w:val="24"/>
        </w:rPr>
        <w:t> </w:t>
      </w:r>
      <w:r>
        <w:rPr>
          <w:sz w:val="24"/>
        </w:rPr>
        <w:t>the</w:t>
      </w:r>
      <w:r>
        <w:rPr>
          <w:spacing w:val="-8"/>
          <w:sz w:val="24"/>
        </w:rPr>
        <w:t> </w:t>
      </w:r>
      <w:r>
        <w:rPr>
          <w:sz w:val="24"/>
        </w:rPr>
        <w:t>influence</w:t>
      </w:r>
      <w:r>
        <w:rPr>
          <w:spacing w:val="-8"/>
          <w:sz w:val="24"/>
        </w:rPr>
        <w:t> </w:t>
      </w:r>
      <w:r>
        <w:rPr>
          <w:sz w:val="24"/>
        </w:rPr>
        <w:t>of</w:t>
      </w:r>
      <w:r>
        <w:rPr>
          <w:spacing w:val="-8"/>
          <w:sz w:val="24"/>
        </w:rPr>
        <w:t> </w:t>
      </w:r>
      <w:r>
        <w:rPr>
          <w:sz w:val="24"/>
        </w:rPr>
        <w:t>the</w:t>
      </w:r>
      <w:r>
        <w:rPr>
          <w:spacing w:val="-8"/>
          <w:sz w:val="24"/>
        </w:rPr>
        <w:t> </w:t>
      </w:r>
      <w:r>
        <w:rPr>
          <w:sz w:val="24"/>
        </w:rPr>
        <w:t>distal</w:t>
      </w:r>
      <w:r>
        <w:rPr>
          <w:spacing w:val="-8"/>
          <w:sz w:val="24"/>
        </w:rPr>
        <w:t> </w:t>
      </w:r>
      <w:r>
        <w:rPr>
          <w:sz w:val="24"/>
        </w:rPr>
        <w:t>boundary</w:t>
      </w:r>
      <w:r>
        <w:rPr>
          <w:spacing w:val="-10"/>
          <w:sz w:val="24"/>
        </w:rPr>
        <w:t> </w:t>
      </w:r>
      <w:r>
        <w:rPr>
          <w:sz w:val="24"/>
        </w:rPr>
        <w:t>on</w:t>
      </w:r>
      <w:r>
        <w:rPr>
          <w:spacing w:val="-8"/>
          <w:sz w:val="24"/>
        </w:rPr>
        <w:t> </w:t>
      </w:r>
      <w:r>
        <w:rPr>
          <w:sz w:val="24"/>
        </w:rPr>
        <w:t>the</w:t>
      </w:r>
      <w:r>
        <w:rPr>
          <w:spacing w:val="-8"/>
          <w:sz w:val="24"/>
        </w:rPr>
        <w:t> </w:t>
      </w:r>
      <w:r>
        <w:rPr>
          <w:sz w:val="24"/>
        </w:rPr>
        <w:t>penetration</w:t>
      </w:r>
      <w:r>
        <w:rPr>
          <w:spacing w:val="-9"/>
          <w:sz w:val="24"/>
        </w:rPr>
        <w:t> </w:t>
      </w:r>
      <w:r>
        <w:rPr>
          <w:sz w:val="24"/>
        </w:rPr>
        <w:t>process</w:t>
      </w:r>
      <w:r>
        <w:rPr>
          <w:spacing w:val="-8"/>
          <w:sz w:val="24"/>
        </w:rPr>
        <w:t> </w:t>
      </w:r>
      <w:r>
        <w:rPr>
          <w:sz w:val="24"/>
        </w:rPr>
        <w:t>is</w:t>
      </w:r>
      <w:r>
        <w:rPr>
          <w:spacing w:val="-7"/>
          <w:sz w:val="24"/>
        </w:rPr>
        <w:t> </w:t>
      </w:r>
      <w:r>
        <w:rPr>
          <w:sz w:val="24"/>
        </w:rPr>
        <w:t>only</w:t>
      </w:r>
      <w:r>
        <w:rPr>
          <w:spacing w:val="-57"/>
          <w:sz w:val="24"/>
        </w:rPr>
        <w:t> </w:t>
      </w:r>
      <w:r>
        <w:rPr>
          <w:sz w:val="24"/>
        </w:rPr>
        <w:t>after</w:t>
      </w:r>
      <w:r>
        <w:rPr>
          <w:spacing w:val="-1"/>
          <w:sz w:val="24"/>
        </w:rPr>
        <w:t> </w:t>
      </w:r>
      <w:r>
        <w:rPr>
          <w:sz w:val="24"/>
        </w:rPr>
        <w:t>substantial travel by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projectile into</w:t>
      </w:r>
      <w:r>
        <w:rPr>
          <w:spacing w:val="-2"/>
          <w:sz w:val="24"/>
        </w:rPr>
        <w:t> </w:t>
      </w:r>
      <w:r>
        <w:rPr>
          <w:sz w:val="24"/>
        </w:rPr>
        <w:t>the target,</w:t>
      </w:r>
    </w:p>
    <w:p>
      <w:pPr>
        <w:pStyle w:val="ListParagraph"/>
        <w:numPr>
          <w:ilvl w:val="0"/>
          <w:numId w:val="18"/>
        </w:numPr>
        <w:tabs>
          <w:tab w:pos="1160" w:val="left" w:leader="none"/>
        </w:tabs>
        <w:spacing w:line="480" w:lineRule="auto" w:before="0" w:after="0"/>
        <w:ind w:left="1159" w:right="257" w:hanging="360"/>
        <w:jc w:val="left"/>
        <w:rPr>
          <w:sz w:val="24"/>
        </w:rPr>
      </w:pPr>
      <w:r>
        <w:rPr>
          <w:sz w:val="24"/>
        </w:rPr>
        <w:t>Intermediate,</w:t>
      </w:r>
      <w:r>
        <w:rPr>
          <w:spacing w:val="9"/>
          <w:sz w:val="24"/>
        </w:rPr>
        <w:t> </w:t>
      </w:r>
      <w:r>
        <w:rPr>
          <w:sz w:val="24"/>
        </w:rPr>
        <w:t>where</w:t>
      </w:r>
      <w:r>
        <w:rPr>
          <w:spacing w:val="10"/>
          <w:sz w:val="24"/>
        </w:rPr>
        <w:t> </w:t>
      </w:r>
      <w:r>
        <w:rPr>
          <w:sz w:val="24"/>
        </w:rPr>
        <w:t>the</w:t>
      </w:r>
      <w:r>
        <w:rPr>
          <w:spacing w:val="10"/>
          <w:sz w:val="24"/>
        </w:rPr>
        <w:t> </w:t>
      </w:r>
      <w:r>
        <w:rPr>
          <w:sz w:val="24"/>
        </w:rPr>
        <w:t>rear</w:t>
      </w:r>
      <w:r>
        <w:rPr>
          <w:spacing w:val="10"/>
          <w:sz w:val="24"/>
        </w:rPr>
        <w:t> </w:t>
      </w:r>
      <w:r>
        <w:rPr>
          <w:sz w:val="24"/>
        </w:rPr>
        <w:t>surface</w:t>
      </w:r>
      <w:r>
        <w:rPr>
          <w:spacing w:val="10"/>
          <w:sz w:val="24"/>
        </w:rPr>
        <w:t> </w:t>
      </w:r>
      <w:r>
        <w:rPr>
          <w:sz w:val="24"/>
        </w:rPr>
        <w:t>influences</w:t>
      </w:r>
      <w:r>
        <w:rPr>
          <w:spacing w:val="10"/>
          <w:sz w:val="24"/>
        </w:rPr>
        <w:t> </w:t>
      </w:r>
      <w:r>
        <w:rPr>
          <w:sz w:val="24"/>
        </w:rPr>
        <w:t>the</w:t>
      </w:r>
      <w:r>
        <w:rPr>
          <w:spacing w:val="10"/>
          <w:sz w:val="24"/>
        </w:rPr>
        <w:t> </w:t>
      </w:r>
      <w:r>
        <w:rPr>
          <w:sz w:val="24"/>
        </w:rPr>
        <w:t>deformation</w:t>
      </w:r>
      <w:r>
        <w:rPr>
          <w:spacing w:val="8"/>
          <w:sz w:val="24"/>
        </w:rPr>
        <w:t> </w:t>
      </w:r>
      <w:r>
        <w:rPr>
          <w:sz w:val="24"/>
        </w:rPr>
        <w:t>process</w:t>
      </w:r>
      <w:r>
        <w:rPr>
          <w:spacing w:val="-57"/>
          <w:sz w:val="24"/>
        </w:rPr>
        <w:t> </w:t>
      </w:r>
      <w:r>
        <w:rPr>
          <w:sz w:val="24"/>
        </w:rPr>
        <w:t>considerably</w:t>
      </w:r>
      <w:r>
        <w:rPr>
          <w:spacing w:val="-3"/>
          <w:sz w:val="24"/>
        </w:rPr>
        <w:t> </w:t>
      </w:r>
      <w:r>
        <w:rPr>
          <w:sz w:val="24"/>
        </w:rPr>
        <w:t>during most of</w:t>
      </w:r>
      <w:r>
        <w:rPr>
          <w:spacing w:val="-1"/>
          <w:sz w:val="24"/>
        </w:rPr>
        <w:t> </w:t>
      </w:r>
      <w:r>
        <w:rPr>
          <w:sz w:val="24"/>
        </w:rPr>
        <w:t>the penetration process,</w:t>
      </w:r>
    </w:p>
    <w:p>
      <w:pPr>
        <w:spacing w:after="0" w:line="480" w:lineRule="auto"/>
        <w:jc w:val="left"/>
        <w:rPr>
          <w:sz w:val="24"/>
        </w:rPr>
        <w:sectPr>
          <w:pgSz w:w="12240" w:h="15840"/>
          <w:pgMar w:header="0" w:footer="1064" w:top="1360" w:bottom="1260" w:left="1720" w:right="1180"/>
        </w:sectPr>
      </w:pPr>
    </w:p>
    <w:p>
      <w:pPr>
        <w:pStyle w:val="ListParagraph"/>
        <w:numPr>
          <w:ilvl w:val="0"/>
          <w:numId w:val="18"/>
        </w:numPr>
        <w:tabs>
          <w:tab w:pos="1160" w:val="left" w:leader="none"/>
        </w:tabs>
        <w:spacing w:line="240" w:lineRule="auto" w:before="78" w:after="0"/>
        <w:ind w:left="1160" w:right="0" w:hanging="360"/>
        <w:jc w:val="left"/>
        <w:rPr>
          <w:sz w:val="24"/>
        </w:rPr>
      </w:pPr>
      <w:r>
        <w:rPr>
          <w:sz w:val="24"/>
        </w:rPr>
        <w:t>Thin,</w:t>
      </w:r>
      <w:r>
        <w:rPr>
          <w:spacing w:val="-8"/>
          <w:sz w:val="24"/>
        </w:rPr>
        <w:t> </w:t>
      </w:r>
      <w:r>
        <w:rPr>
          <w:sz w:val="24"/>
        </w:rPr>
        <w:t>where</w:t>
      </w:r>
      <w:r>
        <w:rPr>
          <w:spacing w:val="-10"/>
          <w:sz w:val="24"/>
        </w:rPr>
        <w:t> </w:t>
      </w:r>
      <w:r>
        <w:rPr>
          <w:sz w:val="24"/>
        </w:rPr>
        <w:t>stress</w:t>
      </w:r>
      <w:r>
        <w:rPr>
          <w:spacing w:val="-8"/>
          <w:sz w:val="24"/>
        </w:rPr>
        <w:t> </w:t>
      </w:r>
      <w:r>
        <w:rPr>
          <w:sz w:val="24"/>
        </w:rPr>
        <w:t>and</w:t>
      </w:r>
      <w:r>
        <w:rPr>
          <w:spacing w:val="-9"/>
          <w:sz w:val="24"/>
        </w:rPr>
        <w:t> </w:t>
      </w:r>
      <w:r>
        <w:rPr>
          <w:sz w:val="24"/>
        </w:rPr>
        <w:t>deformation</w:t>
      </w:r>
      <w:r>
        <w:rPr>
          <w:spacing w:val="-7"/>
          <w:sz w:val="24"/>
        </w:rPr>
        <w:t> </w:t>
      </w:r>
      <w:r>
        <w:rPr>
          <w:sz w:val="24"/>
        </w:rPr>
        <w:t>gradients</w:t>
      </w:r>
      <w:r>
        <w:rPr>
          <w:spacing w:val="-8"/>
          <w:sz w:val="24"/>
        </w:rPr>
        <w:t> </w:t>
      </w:r>
      <w:r>
        <w:rPr>
          <w:sz w:val="24"/>
        </w:rPr>
        <w:t>do</w:t>
      </w:r>
      <w:r>
        <w:rPr>
          <w:spacing w:val="-7"/>
          <w:sz w:val="24"/>
        </w:rPr>
        <w:t> </w:t>
      </w:r>
      <w:r>
        <w:rPr>
          <w:sz w:val="24"/>
        </w:rPr>
        <w:t>not</w:t>
      </w:r>
      <w:r>
        <w:rPr>
          <w:spacing w:val="-8"/>
          <w:sz w:val="24"/>
        </w:rPr>
        <w:t> </w:t>
      </w:r>
      <w:r>
        <w:rPr>
          <w:sz w:val="24"/>
        </w:rPr>
        <w:t>exist</w:t>
      </w:r>
      <w:r>
        <w:rPr>
          <w:spacing w:val="-8"/>
          <w:sz w:val="24"/>
        </w:rPr>
        <w:t> </w:t>
      </w:r>
      <w:r>
        <w:rPr>
          <w:sz w:val="24"/>
        </w:rPr>
        <w:t>throughout</w:t>
      </w:r>
      <w:r>
        <w:rPr>
          <w:spacing w:val="-7"/>
          <w:sz w:val="24"/>
        </w:rPr>
        <w:t> </w:t>
      </w:r>
      <w:r>
        <w:rPr>
          <w:sz w:val="24"/>
        </w:rPr>
        <w:t>the</w:t>
      </w:r>
      <w:r>
        <w:rPr>
          <w:spacing w:val="-8"/>
          <w:sz w:val="24"/>
        </w:rPr>
        <w:t> </w:t>
      </w:r>
      <w:r>
        <w:rPr>
          <w:sz w:val="24"/>
        </w:rPr>
        <w:t>thickness</w:t>
      </w:r>
      <w:hyperlink w:history="true" w:anchor="_bookmark18">
        <w:r>
          <w:rPr>
            <w:sz w:val="24"/>
          </w:rPr>
          <w:t>.</w:t>
        </w:r>
      </w:hyperlink>
    </w:p>
    <w:p>
      <w:pPr>
        <w:pStyle w:val="BodyText"/>
        <w:spacing w:before="10"/>
        <w:rPr>
          <w:sz w:val="37"/>
        </w:rPr>
      </w:pPr>
    </w:p>
    <w:p>
      <w:pPr>
        <w:pStyle w:val="BodyText"/>
        <w:spacing w:line="480" w:lineRule="auto"/>
        <w:ind w:left="440"/>
      </w:pPr>
      <w:hyperlink w:history="true" w:anchor="_bookmark18">
        <w:r>
          <w:rPr/>
          <w:t>Table</w:t>
        </w:r>
        <w:r>
          <w:rPr>
            <w:spacing w:val="16"/>
          </w:rPr>
          <w:t> </w:t>
        </w:r>
        <w:r>
          <w:rPr/>
          <w:t>3-2</w:t>
        </w:r>
        <w:r>
          <w:rPr>
            <w:spacing w:val="14"/>
          </w:rPr>
          <w:t> </w:t>
        </w:r>
      </w:hyperlink>
      <w:r>
        <w:rPr/>
        <w:t>aligns</w:t>
      </w:r>
      <w:r>
        <w:rPr>
          <w:spacing w:val="16"/>
        </w:rPr>
        <w:t> </w:t>
      </w:r>
      <w:r>
        <w:rPr/>
        <w:t>a</w:t>
      </w:r>
      <w:r>
        <w:rPr>
          <w:spacing w:val="14"/>
        </w:rPr>
        <w:t> </w:t>
      </w:r>
      <w:r>
        <w:rPr/>
        <w:t>target</w:t>
      </w:r>
      <w:r>
        <w:rPr>
          <w:spacing w:val="15"/>
        </w:rPr>
        <w:t> </w:t>
      </w:r>
      <w:r>
        <w:rPr/>
        <w:t>classification</w:t>
      </w:r>
      <w:r>
        <w:rPr>
          <w:spacing w:val="15"/>
        </w:rPr>
        <w:t> </w:t>
      </w:r>
      <w:r>
        <w:rPr/>
        <w:t>with</w:t>
      </w:r>
      <w:r>
        <w:rPr>
          <w:spacing w:val="15"/>
        </w:rPr>
        <w:t> </w:t>
      </w:r>
      <w:r>
        <w:rPr/>
        <w:t>a</w:t>
      </w:r>
      <w:r>
        <w:rPr>
          <w:spacing w:val="16"/>
        </w:rPr>
        <w:t> </w:t>
      </w:r>
      <w:r>
        <w:rPr/>
        <w:t>ratio</w:t>
      </w:r>
      <w:r>
        <w:rPr>
          <w:spacing w:val="15"/>
        </w:rPr>
        <w:t> </w:t>
      </w:r>
      <w:r>
        <w:rPr/>
        <w:t>of</w:t>
      </w:r>
      <w:r>
        <w:rPr>
          <w:spacing w:val="15"/>
        </w:rPr>
        <w:t> </w:t>
      </w:r>
      <w:r>
        <w:rPr/>
        <w:t>target</w:t>
      </w:r>
      <w:r>
        <w:rPr>
          <w:spacing w:val="15"/>
        </w:rPr>
        <w:t> </w:t>
      </w:r>
      <w:r>
        <w:rPr/>
        <w:t>thickness</w:t>
      </w:r>
      <w:r>
        <w:rPr>
          <w:spacing w:val="14"/>
        </w:rPr>
        <w:t> </w:t>
      </w:r>
      <w:r>
        <w:rPr/>
        <w:t>to</w:t>
      </w:r>
      <w:r>
        <w:rPr>
          <w:spacing w:val="14"/>
        </w:rPr>
        <w:t> </w:t>
      </w:r>
      <w:r>
        <w:rPr/>
        <w:t>diameter</w:t>
      </w:r>
      <w:r>
        <w:rPr>
          <w:spacing w:val="16"/>
        </w:rPr>
        <w:t> </w:t>
      </w:r>
      <w:r>
        <w:rPr/>
        <w:t>of</w:t>
      </w:r>
      <w:r>
        <w:rPr>
          <w:spacing w:val="15"/>
        </w:rPr>
        <w:t> </w:t>
      </w:r>
      <w:r>
        <w:rPr/>
        <w:t>the</w:t>
      </w:r>
      <w:r>
        <w:rPr>
          <w:spacing w:val="-57"/>
        </w:rPr>
        <w:t> </w:t>
      </w:r>
      <w:r>
        <w:rPr/>
        <w:t>projectile.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spacing w:before="231"/>
        <w:ind w:left="180" w:right="0" w:firstLine="0"/>
        <w:jc w:val="center"/>
        <w:rPr>
          <w:i/>
          <w:sz w:val="24"/>
        </w:rPr>
      </w:pPr>
      <w:bookmarkStart w:name="_bookmark18" w:id="144"/>
      <w:bookmarkEnd w:id="144"/>
      <w:r>
        <w:rPr/>
      </w:r>
      <w:r>
        <w:rPr>
          <w:i/>
          <w:sz w:val="24"/>
        </w:rPr>
        <w:t>Table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3-2.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Classification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target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by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thickness,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adapted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from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[90].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6"/>
        <w:rPr>
          <w:i/>
          <w:sz w:val="21"/>
        </w:rPr>
      </w:pPr>
    </w:p>
    <w:tbl>
      <w:tblPr>
        <w:tblW w:w="0" w:type="auto"/>
        <w:jc w:val="left"/>
        <w:tblInd w:w="1977" w:type="dxa"/>
        <w:tblBorders>
          <w:top w:val="single" w:sz="4" w:space="0" w:color="9A9A9A"/>
          <w:left w:val="single" w:sz="4" w:space="0" w:color="9A9A9A"/>
          <w:bottom w:val="single" w:sz="4" w:space="0" w:color="9A9A9A"/>
          <w:right w:val="single" w:sz="4" w:space="0" w:color="9A9A9A"/>
          <w:insideH w:val="single" w:sz="4" w:space="0" w:color="9A9A9A"/>
          <w:insideV w:val="single" w:sz="4" w:space="0" w:color="9A9A9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85"/>
        <w:gridCol w:w="2790"/>
      </w:tblGrid>
      <w:tr>
        <w:trPr>
          <w:trHeight w:val="551" w:hRule="atLeast"/>
        </w:trPr>
        <w:tc>
          <w:tcPr>
            <w:tcW w:w="2785" w:type="dxa"/>
            <w:tcBorders>
              <w:bottom w:val="single" w:sz="12" w:space="0" w:color="666666"/>
            </w:tcBorders>
          </w:tcPr>
          <w:p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Target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Classification</w:t>
            </w:r>
          </w:p>
        </w:tc>
        <w:tc>
          <w:tcPr>
            <w:tcW w:w="2790" w:type="dxa"/>
            <w:tcBorders>
              <w:bottom w:val="single" w:sz="12" w:space="0" w:color="666666"/>
            </w:tcBorders>
          </w:tcPr>
          <w:p>
            <w:pPr>
              <w:pStyle w:val="TableParagraph"/>
              <w:spacing w:line="270" w:lineRule="atLeast"/>
              <w:ind w:left="107" w:right="87"/>
              <w:rPr>
                <w:b/>
                <w:sz w:val="24"/>
              </w:rPr>
            </w:pPr>
            <w:r>
              <w:rPr>
                <w:b/>
                <w:sz w:val="24"/>
              </w:rPr>
              <w:t>Ratio</w:t>
            </w:r>
            <w:r>
              <w:rPr>
                <w:b/>
                <w:spacing w:val="22"/>
                <w:sz w:val="24"/>
              </w:rPr>
              <w:t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22"/>
                <w:sz w:val="24"/>
              </w:rPr>
              <w:t> </w:t>
            </w:r>
            <w:r>
              <w:rPr>
                <w:b/>
                <w:sz w:val="24"/>
              </w:rPr>
              <w:t>target</w:t>
            </w:r>
            <w:r>
              <w:rPr>
                <w:b/>
                <w:spacing w:val="22"/>
                <w:sz w:val="24"/>
              </w:rPr>
              <w:t> </w:t>
            </w:r>
            <w:r>
              <w:rPr>
                <w:b/>
                <w:sz w:val="24"/>
              </w:rPr>
              <w:t>thickness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to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projectile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diameter</w:t>
            </w:r>
          </w:p>
        </w:tc>
      </w:tr>
      <w:tr>
        <w:trPr>
          <w:trHeight w:val="275" w:hRule="atLeast"/>
        </w:trPr>
        <w:tc>
          <w:tcPr>
            <w:tcW w:w="2785" w:type="dxa"/>
            <w:tcBorders>
              <w:top w:val="single" w:sz="12" w:space="0" w:color="666666"/>
            </w:tcBorders>
          </w:tcPr>
          <w:p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Thin</w:t>
            </w:r>
          </w:p>
        </w:tc>
        <w:tc>
          <w:tcPr>
            <w:tcW w:w="2790" w:type="dxa"/>
            <w:tcBorders>
              <w:top w:val="single" w:sz="12" w:space="0" w:color="666666"/>
            </w:tcBorders>
          </w:tcPr>
          <w:p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&lt;1</w:t>
            </w:r>
          </w:p>
        </w:tc>
      </w:tr>
      <w:tr>
        <w:trPr>
          <w:trHeight w:val="275" w:hRule="atLeast"/>
        </w:trPr>
        <w:tc>
          <w:tcPr>
            <w:tcW w:w="2785" w:type="dxa"/>
          </w:tcPr>
          <w:p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Intermediate</w:t>
            </w:r>
          </w:p>
        </w:tc>
        <w:tc>
          <w:tcPr>
            <w:tcW w:w="2790" w:type="dxa"/>
          </w:tcPr>
          <w:p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1-8</w:t>
            </w:r>
          </w:p>
        </w:tc>
      </w:tr>
      <w:tr>
        <w:trPr>
          <w:trHeight w:val="276" w:hRule="atLeast"/>
        </w:trPr>
        <w:tc>
          <w:tcPr>
            <w:tcW w:w="2785" w:type="dxa"/>
          </w:tcPr>
          <w:p>
            <w:pPr>
              <w:pStyle w:val="TableParagraph"/>
              <w:spacing w:line="257" w:lineRule="exact"/>
              <w:ind w:left="107"/>
              <w:rPr>
                <w:sz w:val="24"/>
              </w:rPr>
            </w:pPr>
            <w:r>
              <w:rPr>
                <w:sz w:val="24"/>
              </w:rPr>
              <w:t>Thick</w:t>
            </w:r>
          </w:p>
        </w:tc>
        <w:tc>
          <w:tcPr>
            <w:tcW w:w="2790" w:type="dxa"/>
          </w:tcPr>
          <w:p>
            <w:pPr>
              <w:pStyle w:val="TableParagraph"/>
              <w:spacing w:line="257" w:lineRule="exact"/>
              <w:ind w:left="107"/>
              <w:rPr>
                <w:sz w:val="24"/>
              </w:rPr>
            </w:pPr>
            <w:r>
              <w:rPr>
                <w:sz w:val="24"/>
              </w:rPr>
              <w:t>8-12</w:t>
            </w:r>
          </w:p>
        </w:tc>
      </w:tr>
      <w:tr>
        <w:trPr>
          <w:trHeight w:val="275" w:hRule="atLeast"/>
        </w:trPr>
        <w:tc>
          <w:tcPr>
            <w:tcW w:w="2785" w:type="dxa"/>
          </w:tcPr>
          <w:p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Semi-infinite</w:t>
            </w:r>
          </w:p>
        </w:tc>
        <w:tc>
          <w:tcPr>
            <w:tcW w:w="2790" w:type="dxa"/>
          </w:tcPr>
          <w:p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&gt;12</w:t>
            </w:r>
          </w:p>
        </w:tc>
      </w:tr>
    </w:tbl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</w:rPr>
      </w:pPr>
    </w:p>
    <w:p>
      <w:pPr>
        <w:pStyle w:val="BodyText"/>
        <w:spacing w:line="480" w:lineRule="auto" w:before="90"/>
        <w:ind w:left="439" w:right="257"/>
        <w:jc w:val="both"/>
      </w:pPr>
      <w:r>
        <w:rPr/>
        <w:t>Experiments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semi-infinite</w:t>
      </w:r>
      <w:r>
        <w:rPr>
          <w:spacing w:val="1"/>
        </w:rPr>
        <w:t> </w:t>
      </w:r>
      <w:r>
        <w:rPr/>
        <w:t>targets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typically</w:t>
      </w:r>
      <w:r>
        <w:rPr>
          <w:spacing w:val="1"/>
        </w:rPr>
        <w:t> </w:t>
      </w:r>
      <w:r>
        <w:rPr/>
        <w:t>designed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focus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penetration process and the physics of the process whereas thinner targets are typically</w:t>
      </w:r>
      <w:r>
        <w:rPr>
          <w:spacing w:val="1"/>
        </w:rPr>
        <w:t> </w:t>
      </w:r>
      <w:r>
        <w:rPr/>
        <w:t>used</w:t>
      </w:r>
      <w:r>
        <w:rPr>
          <w:spacing w:val="-1"/>
        </w:rPr>
        <w:t> </w:t>
      </w:r>
      <w:r>
        <w:rPr/>
        <w:t>to simulate design options in</w:t>
      </w:r>
      <w:r>
        <w:rPr>
          <w:spacing w:val="-2"/>
        </w:rPr>
        <w:t> </w:t>
      </w:r>
      <w:r>
        <w:rPr/>
        <w:t>armor</w:t>
      </w:r>
      <w:r>
        <w:rPr>
          <w:spacing w:val="-1"/>
        </w:rPr>
        <w:t> </w:t>
      </w:r>
      <w:r>
        <w:rPr/>
        <w:t>or weapons design.</w:t>
      </w:r>
    </w:p>
    <w:p>
      <w:pPr>
        <w:spacing w:before="161"/>
        <w:ind w:left="440" w:right="0" w:firstLine="0"/>
        <w:jc w:val="both"/>
        <w:rPr>
          <w:i/>
          <w:sz w:val="24"/>
        </w:rPr>
      </w:pPr>
      <w:bookmarkStart w:name="3.11.1. Target modeling assumptions" w:id="145"/>
      <w:bookmarkEnd w:id="145"/>
      <w:r>
        <w:rPr/>
      </w:r>
      <w:r>
        <w:rPr>
          <w:i/>
          <w:sz w:val="24"/>
        </w:rPr>
        <w:t>3.11.1.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Target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modeling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assumptions</w:t>
      </w:r>
    </w:p>
    <w:p>
      <w:pPr>
        <w:pStyle w:val="BodyText"/>
        <w:spacing w:before="8"/>
        <w:rPr>
          <w:i/>
          <w:sz w:val="22"/>
        </w:rPr>
      </w:pPr>
    </w:p>
    <w:p>
      <w:pPr>
        <w:pStyle w:val="BodyText"/>
        <w:spacing w:line="480" w:lineRule="auto"/>
        <w:ind w:left="439" w:right="258" w:firstLine="720"/>
        <w:jc w:val="both"/>
      </w:pPr>
      <w:r>
        <w:rPr/>
        <w:t>Based on years of studies involving a range of projectile type, it can be assumed</w:t>
      </w:r>
      <w:r>
        <w:rPr>
          <w:spacing w:val="1"/>
        </w:rPr>
        <w:t> </w:t>
      </w:r>
      <w:r>
        <w:rPr/>
        <w:t>that localized influence with the cratering deformation of a projectile only extends two to</w:t>
      </w:r>
      <w:r>
        <w:rPr>
          <w:spacing w:val="1"/>
        </w:rPr>
        <w:t> </w:t>
      </w:r>
      <w:r>
        <w:rPr/>
        <w:t>three projectile diameters.</w:t>
      </w:r>
      <w:r>
        <w:rPr>
          <w:spacing w:val="1"/>
        </w:rPr>
        <w:t> </w:t>
      </w:r>
      <w:r>
        <w:rPr/>
        <w:t>In thin plate targets and striking velocities near the ballistic</w:t>
      </w:r>
      <w:r>
        <w:rPr>
          <w:spacing w:val="1"/>
        </w:rPr>
        <w:t> </w:t>
      </w:r>
      <w:r>
        <w:rPr/>
        <w:t>limit, this assumption gets more uncertain.</w:t>
      </w:r>
      <w:r>
        <w:rPr>
          <w:spacing w:val="1"/>
        </w:rPr>
        <w:t> </w:t>
      </w:r>
      <w:r>
        <w:rPr/>
        <w:t>Additionally, the target should be fixed in its</w:t>
      </w:r>
      <w:r>
        <w:rPr>
          <w:spacing w:val="1"/>
        </w:rPr>
        <w:t> </w:t>
      </w:r>
      <w:r>
        <w:rPr/>
        <w:t>position</w:t>
      </w:r>
      <w:r>
        <w:rPr>
          <w:spacing w:val="-7"/>
        </w:rPr>
        <w:t> </w:t>
      </w:r>
      <w:r>
        <w:rPr/>
        <w:t>to</w:t>
      </w:r>
      <w:r>
        <w:rPr>
          <w:spacing w:val="-6"/>
        </w:rPr>
        <w:t> </w:t>
      </w:r>
      <w:r>
        <w:rPr/>
        <w:t>avoid</w:t>
      </w:r>
      <w:r>
        <w:rPr>
          <w:spacing w:val="-6"/>
        </w:rPr>
        <w:t> </w:t>
      </w:r>
      <w:r>
        <w:rPr/>
        <w:t>complications</w:t>
      </w:r>
      <w:r>
        <w:rPr>
          <w:spacing w:val="-6"/>
        </w:rPr>
        <w:t> </w:t>
      </w:r>
      <w:r>
        <w:rPr/>
        <w:t>with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motion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target</w:t>
      </w:r>
      <w:r>
        <w:rPr>
          <w:spacing w:val="-6"/>
        </w:rPr>
        <w:t> </w:t>
      </w:r>
      <w:r>
        <w:rPr/>
        <w:t>upon</w:t>
      </w:r>
      <w:r>
        <w:rPr>
          <w:spacing w:val="-6"/>
        </w:rPr>
        <w:t> </w:t>
      </w:r>
      <w:r>
        <w:rPr/>
        <w:t>impact.</w:t>
      </w:r>
      <w:r>
        <w:rPr>
          <w:spacing w:val="48"/>
        </w:rPr>
        <w:t> </w:t>
      </w:r>
      <w:r>
        <w:rPr/>
        <w:t>It</w:t>
      </w:r>
      <w:r>
        <w:rPr>
          <w:spacing w:val="-5"/>
        </w:rPr>
        <w:t> </w:t>
      </w:r>
      <w:r>
        <w:rPr/>
        <w:t>is</w:t>
      </w:r>
      <w:r>
        <w:rPr>
          <w:spacing w:val="-6"/>
        </w:rPr>
        <w:t> </w:t>
      </w:r>
      <w:r>
        <w:rPr/>
        <w:t>effectively</w:t>
      </w:r>
      <w:r>
        <w:rPr>
          <w:spacing w:val="-58"/>
        </w:rPr>
        <w:t> </w:t>
      </w:r>
      <w:r>
        <w:rPr/>
        <w:t>a</w:t>
      </w:r>
      <w:r>
        <w:rPr>
          <w:spacing w:val="-13"/>
        </w:rPr>
        <w:t> </w:t>
      </w:r>
      <w:r>
        <w:rPr/>
        <w:t>rigid</w:t>
      </w:r>
      <w:r>
        <w:rPr>
          <w:spacing w:val="-12"/>
        </w:rPr>
        <w:t> </w:t>
      </w:r>
      <w:r>
        <w:rPr/>
        <w:t>body</w:t>
      </w:r>
      <w:r>
        <w:rPr>
          <w:spacing w:val="-13"/>
        </w:rPr>
        <w:t> </w:t>
      </w:r>
      <w:r>
        <w:rPr/>
        <w:t>from</w:t>
      </w:r>
      <w:r>
        <w:rPr>
          <w:spacing w:val="-14"/>
        </w:rPr>
        <w:t> </w:t>
      </w:r>
      <w:r>
        <w:rPr/>
        <w:t>the</w:t>
      </w:r>
      <w:r>
        <w:rPr>
          <w:spacing w:val="-12"/>
        </w:rPr>
        <w:t> </w:t>
      </w:r>
      <w:r>
        <w:rPr/>
        <w:t>perspective</w:t>
      </w:r>
      <w:r>
        <w:rPr>
          <w:spacing w:val="-12"/>
        </w:rPr>
        <w:t> </w:t>
      </w:r>
      <w:r>
        <w:rPr/>
        <w:t>of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penetrator.</w:t>
      </w:r>
      <w:r>
        <w:rPr>
          <w:spacing w:val="36"/>
        </w:rPr>
        <w:t> </w:t>
      </w:r>
      <w:r>
        <w:rPr/>
        <w:t>Often,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thermal</w:t>
      </w:r>
      <w:r>
        <w:rPr>
          <w:spacing w:val="-12"/>
        </w:rPr>
        <w:t> </w:t>
      </w:r>
      <w:r>
        <w:rPr/>
        <w:t>effects</w:t>
      </w:r>
      <w:r>
        <w:rPr>
          <w:spacing w:val="-12"/>
        </w:rPr>
        <w:t> </w:t>
      </w:r>
      <w:r>
        <w:rPr/>
        <w:t>are</w:t>
      </w:r>
      <w:r>
        <w:rPr>
          <w:spacing w:val="-12"/>
        </w:rPr>
        <w:t> </w:t>
      </w:r>
      <w:r>
        <w:rPr/>
        <w:t>neglected</w:t>
      </w:r>
      <w:r>
        <w:rPr>
          <w:spacing w:val="-58"/>
        </w:rPr>
        <w:t> </w:t>
      </w:r>
      <w:r>
        <w:rPr/>
        <w:t>due</w:t>
      </w:r>
      <w:r>
        <w:rPr>
          <w:spacing w:val="-7"/>
        </w:rPr>
        <w:t> </w:t>
      </w:r>
      <w:r>
        <w:rPr/>
        <w:t>to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relatively</w:t>
      </w:r>
      <w:r>
        <w:rPr>
          <w:spacing w:val="-7"/>
        </w:rPr>
        <w:t> </w:t>
      </w:r>
      <w:r>
        <w:rPr/>
        <w:t>small</w:t>
      </w:r>
      <w:r>
        <w:rPr>
          <w:spacing w:val="-7"/>
        </w:rPr>
        <w:t> </w:t>
      </w:r>
      <w:r>
        <w:rPr/>
        <w:t>dissipation</w:t>
      </w:r>
      <w:r>
        <w:rPr>
          <w:spacing w:val="-9"/>
        </w:rPr>
        <w:t> </w:t>
      </w:r>
      <w:r>
        <w:rPr/>
        <w:t>of</w:t>
      </w:r>
      <w:r>
        <w:rPr>
          <w:spacing w:val="-8"/>
        </w:rPr>
        <w:t> </w:t>
      </w:r>
      <w:r>
        <w:rPr/>
        <w:t>heat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limited</w:t>
      </w:r>
      <w:r>
        <w:rPr>
          <w:spacing w:val="-7"/>
        </w:rPr>
        <w:t> </w:t>
      </w:r>
      <w:r>
        <w:rPr/>
        <w:t>number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materials</w:t>
      </w:r>
      <w:r>
        <w:rPr>
          <w:spacing w:val="-7"/>
        </w:rPr>
        <w:t> </w:t>
      </w:r>
      <w:r>
        <w:rPr/>
        <w:t>significantly</w:t>
      </w:r>
      <w:r>
        <w:rPr>
          <w:spacing w:val="-58"/>
        </w:rPr>
        <w:t> </w:t>
      </w:r>
      <w:r>
        <w:rPr/>
        <w:t>influenced</w:t>
      </w:r>
      <w:r>
        <w:rPr>
          <w:spacing w:val="34"/>
        </w:rPr>
        <w:t> </w:t>
      </w:r>
      <w:r>
        <w:rPr/>
        <w:t>by</w:t>
      </w:r>
      <w:r>
        <w:rPr>
          <w:spacing w:val="36"/>
        </w:rPr>
        <w:t> </w:t>
      </w:r>
      <w:r>
        <w:rPr/>
        <w:t>the</w:t>
      </w:r>
      <w:r>
        <w:rPr>
          <w:spacing w:val="36"/>
        </w:rPr>
        <w:t> </w:t>
      </w:r>
      <w:r>
        <w:rPr/>
        <w:t>temperature</w:t>
      </w:r>
      <w:r>
        <w:rPr>
          <w:spacing w:val="35"/>
        </w:rPr>
        <w:t> </w:t>
      </w:r>
      <w:r>
        <w:rPr/>
        <w:t>change.</w:t>
      </w:r>
      <w:r>
        <w:rPr>
          <w:spacing w:val="13"/>
        </w:rPr>
        <w:t> </w:t>
      </w:r>
      <w:r>
        <w:rPr/>
        <w:t>It</w:t>
      </w:r>
      <w:r>
        <w:rPr>
          <w:spacing w:val="35"/>
        </w:rPr>
        <w:t> </w:t>
      </w:r>
      <w:r>
        <w:rPr/>
        <w:t>is</w:t>
      </w:r>
      <w:r>
        <w:rPr>
          <w:spacing w:val="36"/>
        </w:rPr>
        <w:t> </w:t>
      </w:r>
      <w:r>
        <w:rPr/>
        <w:t>also</w:t>
      </w:r>
      <w:r>
        <w:rPr>
          <w:spacing w:val="36"/>
        </w:rPr>
        <w:t> </w:t>
      </w:r>
      <w:r>
        <w:rPr/>
        <w:t>extremely</w:t>
      </w:r>
      <w:r>
        <w:rPr>
          <w:spacing w:val="35"/>
        </w:rPr>
        <w:t> </w:t>
      </w:r>
      <w:r>
        <w:rPr/>
        <w:t>challenging</w:t>
      </w:r>
      <w:r>
        <w:rPr>
          <w:spacing w:val="36"/>
        </w:rPr>
        <w:t> </w:t>
      </w:r>
      <w:r>
        <w:rPr/>
        <w:t>to</w:t>
      </w:r>
      <w:r>
        <w:rPr>
          <w:spacing w:val="36"/>
        </w:rPr>
        <w:t> </w:t>
      </w:r>
      <w:r>
        <w:rPr/>
        <w:t>measure</w:t>
      </w:r>
      <w:r>
        <w:rPr>
          <w:spacing w:val="35"/>
        </w:rPr>
        <w:t> </w:t>
      </w:r>
      <w:r>
        <w:rPr/>
        <w:t>in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40" w:right="258"/>
        <w:jc w:val="both"/>
      </w:pPr>
      <w:r>
        <w:rPr/>
        <w:t>experimental</w:t>
      </w:r>
      <w:r>
        <w:rPr>
          <w:spacing w:val="-6"/>
        </w:rPr>
        <w:t> </w:t>
      </w:r>
      <w:r>
        <w:rPr/>
        <w:t>testing</w:t>
      </w:r>
      <w:r>
        <w:rPr>
          <w:spacing w:val="-5"/>
        </w:rPr>
        <w:t> </w:t>
      </w:r>
      <w:r>
        <w:rPr/>
        <w:t>as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rise</w:t>
      </w:r>
      <w:r>
        <w:rPr>
          <w:spacing w:val="-6"/>
        </w:rPr>
        <w:t> </w:t>
      </w:r>
      <w:r>
        <w:rPr/>
        <w:t>in</w:t>
      </w:r>
      <w:r>
        <w:rPr>
          <w:spacing w:val="-5"/>
        </w:rPr>
        <w:t> </w:t>
      </w:r>
      <w:r>
        <w:rPr/>
        <w:t>temperature</w:t>
      </w:r>
      <w:r>
        <w:rPr>
          <w:spacing w:val="-6"/>
        </w:rPr>
        <w:t> </w:t>
      </w:r>
      <w:r>
        <w:rPr/>
        <w:t>is</w:t>
      </w:r>
      <w:r>
        <w:rPr>
          <w:spacing w:val="-7"/>
        </w:rPr>
        <w:t> </w:t>
      </w:r>
      <w:r>
        <w:rPr/>
        <w:t>internal</w:t>
      </w:r>
      <w:r>
        <w:rPr>
          <w:spacing w:val="-6"/>
        </w:rPr>
        <w:t> </w:t>
      </w:r>
      <w:r>
        <w:rPr/>
        <w:t>to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target</w:t>
      </w:r>
      <w:r>
        <w:rPr>
          <w:spacing w:val="-6"/>
        </w:rPr>
        <w:t> </w:t>
      </w:r>
      <w:r>
        <w:rPr/>
        <w:t>which</w:t>
      </w:r>
      <w:r>
        <w:rPr>
          <w:spacing w:val="-5"/>
        </w:rPr>
        <w:t> </w:t>
      </w:r>
      <w:r>
        <w:rPr/>
        <w:t>would</w:t>
      </w:r>
      <w:r>
        <w:rPr>
          <w:spacing w:val="-5"/>
        </w:rPr>
        <w:t> </w:t>
      </w:r>
      <w:r>
        <w:rPr/>
        <w:t>require</w:t>
      </w:r>
      <w:r>
        <w:rPr>
          <w:spacing w:val="-58"/>
        </w:rPr>
        <w:t> </w:t>
      </w:r>
      <w:r>
        <w:rPr/>
        <w:t>a thermal image detecting camera and which may or may not be sensitive enough to</w:t>
      </w:r>
      <w:r>
        <w:rPr>
          <w:spacing w:val="1"/>
        </w:rPr>
        <w:t> </w:t>
      </w:r>
      <w:r>
        <w:rPr/>
        <w:t>measure</w:t>
      </w:r>
      <w:r>
        <w:rPr>
          <w:spacing w:val="-1"/>
        </w:rPr>
        <w:t> </w:t>
      </w:r>
      <w:r>
        <w:rPr/>
        <w:t>the relatively short temperature surge.</w:t>
      </w:r>
    </w:p>
    <w:p>
      <w:pPr>
        <w:pStyle w:val="BodyText"/>
        <w:spacing w:line="480" w:lineRule="auto" w:before="159"/>
        <w:ind w:left="439" w:right="256" w:firstLine="720"/>
        <w:jc w:val="both"/>
      </w:pPr>
      <w:r>
        <w:rPr/>
        <w:t>A</w:t>
      </w:r>
      <w:r>
        <w:rPr>
          <w:spacing w:val="1"/>
        </w:rPr>
        <w:t> </w:t>
      </w:r>
      <w:r>
        <w:rPr/>
        <w:t>breakdown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material</w:t>
      </w:r>
      <w:r>
        <w:rPr>
          <w:spacing w:val="1"/>
        </w:rPr>
        <w:t> </w:t>
      </w:r>
      <w:r>
        <w:rPr/>
        <w:t>characteristics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integral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penetration</w:t>
      </w:r>
      <w:r>
        <w:rPr>
          <w:spacing w:val="1"/>
        </w:rPr>
        <w:t> </w:t>
      </w:r>
      <w:r>
        <w:rPr/>
        <w:t>mechanics</w:t>
      </w:r>
      <w:r>
        <w:rPr>
          <w:spacing w:val="1"/>
        </w:rPr>
        <w:t> </w:t>
      </w:r>
      <w:r>
        <w:rPr/>
        <w:t>research.</w:t>
      </w:r>
      <w:r>
        <w:rPr>
          <w:spacing w:val="1"/>
        </w:rPr>
        <w:t> </w:t>
      </w:r>
      <w:r>
        <w:rPr/>
        <w:t>These characteristics include bulk and shear moduli, strengths, density, and</w:t>
      </w:r>
      <w:r>
        <w:rPr>
          <w:spacing w:val="1"/>
        </w:rPr>
        <w:t> </w:t>
      </w:r>
      <w:r>
        <w:rPr/>
        <w:t>thickness.</w:t>
      </w:r>
      <w:r>
        <w:rPr>
          <w:spacing w:val="1"/>
        </w:rPr>
        <w:t> </w:t>
      </w:r>
      <w:r>
        <w:rPr/>
        <w:t>Thorough</w:t>
      </w:r>
      <w:r>
        <w:rPr>
          <w:spacing w:val="1"/>
        </w:rPr>
        <w:t> </w:t>
      </w:r>
      <w:r>
        <w:rPr/>
        <w:t>documentation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geometry,</w:t>
      </w:r>
      <w:r>
        <w:rPr>
          <w:spacing w:val="1"/>
        </w:rPr>
        <w:t> </w:t>
      </w:r>
      <w:r>
        <w:rPr/>
        <w:t>density,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observable</w:t>
      </w:r>
      <w:r>
        <w:rPr>
          <w:spacing w:val="-57"/>
        </w:rPr>
        <w:t> </w:t>
      </w:r>
      <w:r>
        <w:rPr/>
        <w:t>characteristics of the target should be captured.</w:t>
      </w:r>
      <w:r>
        <w:rPr>
          <w:spacing w:val="1"/>
        </w:rPr>
        <w:t> </w:t>
      </w:r>
      <w:r>
        <w:rPr/>
        <w:t>Target thickness is a key parameter, even</w:t>
      </w:r>
      <w:r>
        <w:rPr>
          <w:spacing w:val="-57"/>
        </w:rPr>
        <w:t> </w:t>
      </w:r>
      <w:r>
        <w:rPr/>
        <w:t>for</w:t>
      </w:r>
      <w:r>
        <w:rPr>
          <w:spacing w:val="-1"/>
        </w:rPr>
        <w:t> </w:t>
      </w:r>
      <w:r>
        <w:rPr/>
        <w:t>the simplest of</w:t>
      </w:r>
      <w:r>
        <w:rPr>
          <w:spacing w:val="-1"/>
        </w:rPr>
        <w:t> </w:t>
      </w:r>
      <w:r>
        <w:rPr/>
        <w:t>models.</w:t>
      </w:r>
    </w:p>
    <w:p>
      <w:pPr>
        <w:pStyle w:val="Heading9"/>
        <w:numPr>
          <w:ilvl w:val="1"/>
          <w:numId w:val="17"/>
        </w:numPr>
        <w:tabs>
          <w:tab w:pos="920" w:val="left" w:leader="none"/>
        </w:tabs>
        <w:spacing w:line="240" w:lineRule="auto" w:before="163" w:after="0"/>
        <w:ind w:left="920" w:right="0" w:hanging="481"/>
        <w:jc w:val="both"/>
      </w:pPr>
      <w:bookmarkStart w:name="_TOC_250049" w:id="146"/>
      <w:bookmarkStart w:name="3.12 Failure mechanisms" w:id="147"/>
      <w:r>
        <w:rPr>
          <w:b w:val="0"/>
        </w:rPr>
      </w:r>
      <w:bookmarkEnd w:id="147"/>
      <w:bookmarkStart w:name="3.12 Failure mechanisms" w:id="148"/>
      <w:r>
        <w:rPr/>
        <w:t>F</w:t>
      </w:r>
      <w:r>
        <w:rPr/>
        <w:t>ailure</w:t>
      </w:r>
      <w:r>
        <w:rPr>
          <w:spacing w:val="-7"/>
        </w:rPr>
        <w:t> </w:t>
      </w:r>
      <w:bookmarkEnd w:id="146"/>
      <w:r>
        <w:rPr/>
        <w:t>mechanisms</w:t>
      </w:r>
    </w:p>
    <w:p>
      <w:pPr>
        <w:pStyle w:val="BodyText"/>
        <w:spacing w:before="7"/>
        <w:rPr>
          <w:b/>
          <w:sz w:val="22"/>
        </w:rPr>
      </w:pPr>
    </w:p>
    <w:p>
      <w:pPr>
        <w:pStyle w:val="BodyText"/>
        <w:spacing w:line="480" w:lineRule="auto"/>
        <w:ind w:left="439" w:right="257" w:firstLine="720"/>
        <w:jc w:val="both"/>
      </w:pPr>
      <w:r>
        <w:rPr/>
        <w:t>Generally, failure modes can be summarized by the target thickness and striking</w:t>
      </w:r>
      <w:r>
        <w:rPr>
          <w:spacing w:val="1"/>
        </w:rPr>
        <w:t> </w:t>
      </w:r>
      <w:r>
        <w:rPr/>
        <w:t>velocity of the projectile.</w:t>
      </w:r>
      <w:r>
        <w:rPr>
          <w:spacing w:val="1"/>
        </w:rPr>
        <w:t> </w:t>
      </w:r>
      <w:r>
        <w:rPr/>
        <w:t>While other factors such as material characteristics and target</w:t>
      </w:r>
      <w:r>
        <w:rPr>
          <w:spacing w:val="1"/>
        </w:rPr>
        <w:t> </w:t>
      </w:r>
      <w:r>
        <w:rPr/>
        <w:t>support methods also influence the situation, the target thickness and speed of the striking</w:t>
      </w:r>
      <w:r>
        <w:rPr>
          <w:spacing w:val="-57"/>
        </w:rPr>
        <w:t> </w:t>
      </w:r>
      <w:r>
        <w:rPr/>
        <w:t>object are the most influential.</w:t>
      </w:r>
      <w:r>
        <w:rPr>
          <w:spacing w:val="1"/>
        </w:rPr>
        <w:t> </w:t>
      </w:r>
      <w:r>
        <w:rPr/>
        <w:t>Failure can occur in both the target and the projectile.</w:t>
      </w:r>
      <w:r>
        <w:rPr>
          <w:spacing w:val="1"/>
        </w:rPr>
        <w:t> </w:t>
      </w:r>
      <w:r>
        <w:rPr/>
        <w:t>Target material failure is in the form of severe deformation and presence of a crater from</w:t>
      </w:r>
      <w:r>
        <w:rPr>
          <w:spacing w:val="1"/>
        </w:rPr>
        <w:t> </w:t>
      </w:r>
      <w:r>
        <w:rPr/>
        <w:t>the</w:t>
      </w:r>
      <w:r>
        <w:rPr>
          <w:spacing w:val="-8"/>
        </w:rPr>
        <w:t> </w:t>
      </w:r>
      <w:r>
        <w:rPr/>
        <w:t>projectile’s</w:t>
      </w:r>
      <w:r>
        <w:rPr>
          <w:spacing w:val="-7"/>
        </w:rPr>
        <w:t> </w:t>
      </w:r>
      <w:r>
        <w:rPr/>
        <w:t>path.</w:t>
      </w:r>
      <w:r>
        <w:rPr>
          <w:spacing w:val="45"/>
        </w:rPr>
        <w:t> </w:t>
      </w:r>
      <w:r>
        <w:rPr/>
        <w:t>Projectile</w:t>
      </w:r>
      <w:r>
        <w:rPr>
          <w:spacing w:val="-9"/>
        </w:rPr>
        <w:t> </w:t>
      </w:r>
      <w:r>
        <w:rPr/>
        <w:t>failure</w:t>
      </w:r>
      <w:r>
        <w:rPr>
          <w:spacing w:val="-7"/>
        </w:rPr>
        <w:t> </w:t>
      </w:r>
      <w:r>
        <w:rPr/>
        <w:t>is</w:t>
      </w:r>
      <w:r>
        <w:rPr>
          <w:spacing w:val="-8"/>
        </w:rPr>
        <w:t> </w:t>
      </w:r>
      <w:r>
        <w:rPr/>
        <w:t>more</w:t>
      </w:r>
      <w:r>
        <w:rPr>
          <w:spacing w:val="-7"/>
        </w:rPr>
        <w:t> </w:t>
      </w:r>
      <w:r>
        <w:rPr/>
        <w:t>likely</w:t>
      </w:r>
      <w:r>
        <w:rPr>
          <w:spacing w:val="-8"/>
        </w:rPr>
        <w:t> </w:t>
      </w:r>
      <w:r>
        <w:rPr/>
        <w:t>to</w:t>
      </w:r>
      <w:r>
        <w:rPr>
          <w:spacing w:val="-7"/>
        </w:rPr>
        <w:t> </w:t>
      </w:r>
      <w:r>
        <w:rPr/>
        <w:t>occur</w:t>
      </w:r>
      <w:r>
        <w:rPr>
          <w:spacing w:val="-8"/>
        </w:rPr>
        <w:t> </w:t>
      </w:r>
      <w:r>
        <w:rPr/>
        <w:t>in</w:t>
      </w:r>
      <w:r>
        <w:rPr>
          <w:spacing w:val="-7"/>
        </w:rPr>
        <w:t> </w:t>
      </w:r>
      <w:r>
        <w:rPr/>
        <w:t>brittle</w:t>
      </w:r>
      <w:r>
        <w:rPr>
          <w:spacing w:val="-8"/>
        </w:rPr>
        <w:t> </w:t>
      </w:r>
      <w:r>
        <w:rPr/>
        <w:t>materials</w:t>
      </w:r>
      <w:r>
        <w:rPr>
          <w:spacing w:val="-7"/>
        </w:rPr>
        <w:t> </w:t>
      </w:r>
      <w:r>
        <w:rPr/>
        <w:t>due</w:t>
      </w:r>
      <w:r>
        <w:rPr>
          <w:spacing w:val="-7"/>
        </w:rPr>
        <w:t> </w:t>
      </w:r>
      <w:r>
        <w:rPr/>
        <w:t>to</w:t>
      </w:r>
      <w:r>
        <w:rPr>
          <w:spacing w:val="-8"/>
        </w:rPr>
        <w:t> </w:t>
      </w:r>
      <w:r>
        <w:rPr/>
        <w:t>the</w:t>
      </w:r>
      <w:r>
        <w:rPr>
          <w:spacing w:val="-58"/>
        </w:rPr>
        <w:t> </w:t>
      </w:r>
      <w:r>
        <w:rPr/>
        <w:t>reflected</w:t>
      </w:r>
      <w:r>
        <w:rPr>
          <w:spacing w:val="-1"/>
        </w:rPr>
        <w:t> </w:t>
      </w:r>
      <w:r>
        <w:rPr/>
        <w:t>tensile</w:t>
      </w:r>
      <w:r>
        <w:rPr>
          <w:spacing w:val="-1"/>
        </w:rPr>
        <w:t> </w:t>
      </w:r>
      <w:r>
        <w:rPr/>
        <w:t>relief</w:t>
      </w:r>
      <w:r>
        <w:rPr>
          <w:spacing w:val="-1"/>
        </w:rPr>
        <w:t> </w:t>
      </w:r>
      <w:r>
        <w:rPr/>
        <w:t>waves</w:t>
      </w:r>
      <w:r>
        <w:rPr>
          <w:spacing w:val="-1"/>
        </w:rPr>
        <w:t> </w:t>
      </w:r>
      <w:r>
        <w:rPr/>
        <w:t>initiated by contact</w:t>
      </w:r>
      <w:r>
        <w:rPr>
          <w:spacing w:val="-1"/>
        </w:rPr>
        <w:t> </w:t>
      </w:r>
      <w:r>
        <w:rPr/>
        <w:t>with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target.</w:t>
      </w:r>
    </w:p>
    <w:p>
      <w:pPr>
        <w:pStyle w:val="BodyText"/>
        <w:spacing w:line="480" w:lineRule="auto" w:before="152"/>
        <w:ind w:left="439" w:right="257" w:firstLine="720"/>
        <w:jc w:val="both"/>
      </w:pPr>
      <w:r>
        <w:rPr/>
        <w:t>In the case of ballistic penetration, elastic deformation is typically limited to very</w:t>
      </w:r>
      <w:r>
        <w:rPr>
          <w:spacing w:val="1"/>
        </w:rPr>
        <w:t> </w:t>
      </w:r>
      <w:r>
        <w:rPr/>
        <w:t>low</w:t>
      </w:r>
      <w:r>
        <w:rPr>
          <w:spacing w:val="14"/>
        </w:rPr>
        <w:t> </w:t>
      </w:r>
      <w:r>
        <w:rPr/>
        <w:t>striking</w:t>
      </w:r>
      <w:r>
        <w:rPr>
          <w:spacing w:val="14"/>
        </w:rPr>
        <w:t> </w:t>
      </w:r>
      <w:r>
        <w:rPr/>
        <w:t>velocities,</w:t>
      </w:r>
      <w:r>
        <w:rPr>
          <w:spacing w:val="14"/>
        </w:rPr>
        <w:t> </w:t>
      </w:r>
      <w:r>
        <w:rPr/>
        <w:t>well</w:t>
      </w:r>
      <w:r>
        <w:rPr>
          <w:spacing w:val="16"/>
        </w:rPr>
        <w:t> </w:t>
      </w:r>
      <w:r>
        <w:rPr/>
        <w:t>below</w:t>
      </w:r>
      <w:r>
        <w:rPr>
          <w:spacing w:val="15"/>
        </w:rPr>
        <w:t> </w:t>
      </w:r>
      <w:r>
        <w:rPr/>
        <w:t>the</w:t>
      </w:r>
      <w:r>
        <w:rPr>
          <w:spacing w:val="15"/>
        </w:rPr>
        <w:t> </w:t>
      </w:r>
      <w:r>
        <w:rPr/>
        <w:t>normal</w:t>
      </w:r>
      <w:r>
        <w:rPr>
          <w:spacing w:val="16"/>
        </w:rPr>
        <w:t> </w:t>
      </w:r>
      <w:r>
        <w:rPr/>
        <w:t>ordnance</w:t>
      </w:r>
      <w:r>
        <w:rPr>
          <w:spacing w:val="14"/>
        </w:rPr>
        <w:t> </w:t>
      </w:r>
      <w:r>
        <w:rPr/>
        <w:t>range</w:t>
      </w:r>
      <w:r>
        <w:rPr>
          <w:spacing w:val="16"/>
        </w:rPr>
        <w:t> </w:t>
      </w:r>
      <w:r>
        <w:rPr/>
        <w:t>of</w:t>
      </w:r>
      <w:r>
        <w:rPr>
          <w:spacing w:val="15"/>
        </w:rPr>
        <w:t> </w:t>
      </w:r>
      <w:r>
        <w:rPr/>
        <w:t>conventional</w:t>
      </w:r>
      <w:r>
        <w:rPr>
          <w:spacing w:val="16"/>
        </w:rPr>
        <w:t> </w:t>
      </w:r>
      <w:r>
        <w:rPr/>
        <w:t>weapons.</w:t>
      </w:r>
      <w:r>
        <w:rPr>
          <w:spacing w:val="-58"/>
        </w:rPr>
        <w:t> </w:t>
      </w:r>
      <w:r>
        <w:rPr>
          <w:spacing w:val="-1"/>
        </w:rPr>
        <w:t>A</w:t>
      </w:r>
      <w:r>
        <w:rPr>
          <w:spacing w:val="-14"/>
        </w:rPr>
        <w:t> </w:t>
      </w:r>
      <w:r>
        <w:rPr>
          <w:spacing w:val="-1"/>
        </w:rPr>
        <w:t>limiting</w:t>
      </w:r>
      <w:r>
        <w:rPr>
          <w:spacing w:val="-14"/>
        </w:rPr>
        <w:t> </w:t>
      </w:r>
      <w:r>
        <w:rPr>
          <w:spacing w:val="-1"/>
        </w:rPr>
        <w:t>velocity</w:t>
      </w:r>
      <w:r>
        <w:rPr>
          <w:spacing w:val="-14"/>
        </w:rPr>
        <w:t> </w:t>
      </w:r>
      <w:r>
        <w:rPr>
          <w:spacing w:val="-1"/>
        </w:rPr>
        <w:t>for</w:t>
      </w:r>
      <w:r>
        <w:rPr>
          <w:spacing w:val="-14"/>
        </w:rPr>
        <w:t> </w:t>
      </w:r>
      <w:r>
        <w:rPr/>
        <w:t>elastic</w:t>
      </w:r>
      <w:r>
        <w:rPr>
          <w:spacing w:val="-13"/>
        </w:rPr>
        <w:t> </w:t>
      </w:r>
      <w:r>
        <w:rPr/>
        <w:t>deformation</w:t>
      </w:r>
      <w:r>
        <w:rPr>
          <w:spacing w:val="-14"/>
        </w:rPr>
        <w:t> </w:t>
      </w:r>
      <w:r>
        <w:rPr/>
        <w:t>has</w:t>
      </w:r>
      <w:r>
        <w:rPr>
          <w:spacing w:val="-13"/>
        </w:rPr>
        <w:t> </w:t>
      </w:r>
      <w:r>
        <w:rPr/>
        <w:t>been</w:t>
      </w:r>
      <w:r>
        <w:rPr>
          <w:spacing w:val="-14"/>
        </w:rPr>
        <w:t> </w:t>
      </w:r>
      <w:r>
        <w:rPr/>
        <w:t>calculated</w:t>
      </w:r>
      <w:r>
        <w:rPr>
          <w:spacing w:val="-15"/>
        </w:rPr>
        <w:t> </w:t>
      </w:r>
      <w:r>
        <w:rPr/>
        <w:t>based</w:t>
      </w:r>
      <w:r>
        <w:rPr>
          <w:spacing w:val="-14"/>
        </w:rPr>
        <w:t> </w:t>
      </w:r>
      <w:r>
        <w:rPr/>
        <w:t>on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applied</w:t>
      </w:r>
      <w:r>
        <w:rPr>
          <w:spacing w:val="-15"/>
        </w:rPr>
        <w:t> </w:t>
      </w:r>
      <w:r>
        <w:rPr/>
        <w:t>stresses</w:t>
      </w:r>
      <w:r>
        <w:rPr>
          <w:spacing w:val="-57"/>
        </w:rPr>
        <w:t> </w:t>
      </w:r>
      <w:r>
        <w:rPr/>
        <w:t>of the projectile and the material characteristics such as stiffness, Poisson’s ratio, and</w:t>
      </w:r>
      <w:r>
        <w:rPr>
          <w:spacing w:val="1"/>
        </w:rPr>
        <w:t> </w:t>
      </w:r>
      <w:r>
        <w:rPr/>
        <w:t>density of the target and project [27].</w:t>
      </w:r>
      <w:r>
        <w:rPr>
          <w:spacing w:val="1"/>
        </w:rPr>
        <w:t> </w:t>
      </w:r>
      <w:r>
        <w:rPr/>
        <w:t>Permanent deformations are more commonly seen</w:t>
      </w:r>
      <w:r>
        <w:rPr>
          <w:spacing w:val="1"/>
        </w:rPr>
        <w:t> </w:t>
      </w:r>
      <w:r>
        <w:rPr/>
        <w:t>and those can stem from a variety or combination of failure mechanisms. The mechanism</w:t>
      </w:r>
      <w:r>
        <w:rPr>
          <w:spacing w:val="-57"/>
        </w:rPr>
        <w:t> </w:t>
      </w:r>
      <w:r>
        <w:rPr/>
        <w:t>of</w:t>
      </w:r>
      <w:r>
        <w:rPr>
          <w:spacing w:val="-10"/>
        </w:rPr>
        <w:t> </w:t>
      </w:r>
      <w:r>
        <w:rPr/>
        <w:t>failure</w:t>
      </w:r>
      <w:r>
        <w:rPr>
          <w:spacing w:val="-10"/>
        </w:rPr>
        <w:t> </w:t>
      </w:r>
      <w:r>
        <w:rPr/>
        <w:t>experienced</w:t>
      </w:r>
      <w:r>
        <w:rPr>
          <w:spacing w:val="-10"/>
        </w:rPr>
        <w:t> </w:t>
      </w:r>
      <w:r>
        <w:rPr/>
        <w:t>with</w:t>
      </w:r>
      <w:r>
        <w:rPr>
          <w:spacing w:val="-10"/>
        </w:rPr>
        <w:t> </w:t>
      </w:r>
      <w:r>
        <w:rPr/>
        <w:t>a</w:t>
      </w:r>
      <w:r>
        <w:rPr>
          <w:spacing w:val="-10"/>
        </w:rPr>
        <w:t> </w:t>
      </w:r>
      <w:r>
        <w:rPr/>
        <w:t>ballistic</w:t>
      </w:r>
      <w:r>
        <w:rPr>
          <w:spacing w:val="-11"/>
        </w:rPr>
        <w:t> </w:t>
      </w:r>
      <w:r>
        <w:rPr/>
        <w:t>impact</w:t>
      </w:r>
      <w:r>
        <w:rPr>
          <w:spacing w:val="-9"/>
        </w:rPr>
        <w:t> </w:t>
      </w:r>
      <w:r>
        <w:rPr/>
        <w:t>event</w:t>
      </w:r>
      <w:r>
        <w:rPr>
          <w:spacing w:val="-9"/>
        </w:rPr>
        <w:t> </w:t>
      </w:r>
      <w:r>
        <w:rPr/>
        <w:t>is</w:t>
      </w:r>
      <w:r>
        <w:rPr>
          <w:spacing w:val="-10"/>
        </w:rPr>
        <w:t> </w:t>
      </w:r>
      <w:r>
        <w:rPr/>
        <w:t>influenced</w:t>
      </w:r>
      <w:r>
        <w:rPr>
          <w:spacing w:val="-10"/>
        </w:rPr>
        <w:t> </w:t>
      </w:r>
      <w:r>
        <w:rPr/>
        <w:t>by</w:t>
      </w:r>
      <w:r>
        <w:rPr>
          <w:spacing w:val="-10"/>
        </w:rPr>
        <w:t> </w:t>
      </w:r>
      <w:r>
        <w:rPr/>
        <w:t>material</w:t>
      </w:r>
      <w:r>
        <w:rPr>
          <w:spacing w:val="-9"/>
        </w:rPr>
        <w:t> </w:t>
      </w:r>
      <w:r>
        <w:rPr/>
        <w:t>properties,</w:t>
      </w:r>
      <w:r>
        <w:rPr>
          <w:spacing w:val="-11"/>
        </w:rPr>
        <w:t> </w:t>
      </w:r>
      <w:r>
        <w:rPr/>
        <w:t>the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40" w:right="259"/>
        <w:jc w:val="both"/>
      </w:pPr>
      <w:r>
        <w:rPr/>
        <w:t>striking velocity, projectile shape, method of target support and relative dimensions of the</w:t>
      </w:r>
      <w:r>
        <w:rPr>
          <w:spacing w:val="-57"/>
        </w:rPr>
        <w:t> </w:t>
      </w:r>
      <w:r>
        <w:rPr/>
        <w:t>target</w:t>
      </w:r>
      <w:r>
        <w:rPr>
          <w:spacing w:val="-10"/>
        </w:rPr>
        <w:t> </w:t>
      </w:r>
      <w:r>
        <w:rPr/>
        <w:t>and</w:t>
      </w:r>
      <w:r>
        <w:rPr>
          <w:spacing w:val="-11"/>
        </w:rPr>
        <w:t> </w:t>
      </w:r>
      <w:r>
        <w:rPr/>
        <w:t>projectile.</w:t>
      </w:r>
      <w:r>
        <w:rPr>
          <w:spacing w:val="39"/>
        </w:rPr>
        <w:t> </w:t>
      </w:r>
      <w:r>
        <w:rPr/>
        <w:t>Frequently,</w:t>
      </w:r>
      <w:r>
        <w:rPr>
          <w:spacing w:val="-10"/>
        </w:rPr>
        <w:t> </w:t>
      </w:r>
      <w:r>
        <w:rPr/>
        <w:t>more</w:t>
      </w:r>
      <w:r>
        <w:rPr>
          <w:spacing w:val="-10"/>
        </w:rPr>
        <w:t> </w:t>
      </w:r>
      <w:r>
        <w:rPr/>
        <w:t>than</w:t>
      </w:r>
      <w:r>
        <w:rPr>
          <w:spacing w:val="-12"/>
        </w:rPr>
        <w:t> </w:t>
      </w:r>
      <w:r>
        <w:rPr/>
        <w:t>one</w:t>
      </w:r>
      <w:r>
        <w:rPr>
          <w:spacing w:val="-10"/>
        </w:rPr>
        <w:t> </w:t>
      </w:r>
      <w:r>
        <w:rPr/>
        <w:t>failure</w:t>
      </w:r>
      <w:r>
        <w:rPr>
          <w:spacing w:val="-10"/>
        </w:rPr>
        <w:t> </w:t>
      </w:r>
      <w:r>
        <w:rPr/>
        <w:t>mode</w:t>
      </w:r>
      <w:r>
        <w:rPr>
          <w:spacing w:val="-11"/>
        </w:rPr>
        <w:t> </w:t>
      </w:r>
      <w:r>
        <w:rPr/>
        <w:t>occurs</w:t>
      </w:r>
      <w:r>
        <w:rPr>
          <w:spacing w:val="-10"/>
        </w:rPr>
        <w:t> </w:t>
      </w:r>
      <w:r>
        <w:rPr/>
        <w:t>with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same</w:t>
      </w:r>
      <w:r>
        <w:rPr>
          <w:spacing w:val="-10"/>
        </w:rPr>
        <w:t> </w:t>
      </w:r>
      <w:r>
        <w:rPr/>
        <w:t>impact.</w:t>
      </w:r>
      <w:r>
        <w:rPr>
          <w:spacing w:val="-58"/>
        </w:rPr>
        <w:t> </w:t>
      </w:r>
      <w:r>
        <w:rPr/>
        <w:t>Common modes of failure include scabbing, spalling, fracture, plugging, petaling, and</w:t>
      </w:r>
      <w:r>
        <w:rPr>
          <w:spacing w:val="1"/>
        </w:rPr>
        <w:t> </w:t>
      </w:r>
      <w:r>
        <w:rPr/>
        <w:t>ductile</w:t>
      </w:r>
      <w:r>
        <w:rPr>
          <w:spacing w:val="-1"/>
        </w:rPr>
        <w:t> </w:t>
      </w:r>
      <w:r>
        <w:rPr/>
        <w:t>failure.</w:t>
      </w:r>
      <w:r>
        <w:rPr>
          <w:spacing w:val="58"/>
        </w:rPr>
        <w:t> </w:t>
      </w:r>
      <w:hyperlink w:history="true" w:anchor="_bookmark19">
        <w:r>
          <w:rPr/>
          <w:t>Figure</w:t>
        </w:r>
        <w:r>
          <w:rPr>
            <w:spacing w:val="-1"/>
          </w:rPr>
          <w:t> </w:t>
        </w:r>
        <w:r>
          <w:rPr/>
          <w:t>3-6</w:t>
        </w:r>
      </w:hyperlink>
      <w:r>
        <w:rPr>
          <w:spacing w:val="-1"/>
        </w:rPr>
        <w:t> </w:t>
      </w:r>
      <w:r>
        <w:rPr/>
        <w:t>provides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visual</w:t>
      </w:r>
      <w:r>
        <w:rPr>
          <w:spacing w:val="-1"/>
        </w:rPr>
        <w:t> </w:t>
      </w:r>
      <w:r>
        <w:rPr/>
        <w:t>depiction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difference</w:t>
      </w:r>
      <w:r>
        <w:rPr>
          <w:spacing w:val="-1"/>
        </w:rPr>
        <w:t> </w:t>
      </w:r>
      <w:r>
        <w:rPr/>
        <w:t>failure</w:t>
      </w:r>
      <w:r>
        <w:rPr>
          <w:spacing w:val="-1"/>
        </w:rPr>
        <w:t> </w:t>
      </w:r>
      <w:r>
        <w:rPr/>
        <w:t>modes.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5"/>
        </w:rPr>
      </w:pPr>
    </w:p>
    <w:p>
      <w:pPr>
        <w:pStyle w:val="Heading5"/>
        <w:spacing w:before="88"/>
        <w:ind w:left="1238"/>
      </w:pPr>
      <w:r>
        <w:rPr/>
        <w:pict>
          <v:group style="position:absolute;margin-left:294.174072pt;margin-top:-31.87435pt;width:167.55pt;height:410.05pt;mso-position-horizontal-relative:page;mso-position-vertical-relative:paragraph;z-index:15763968" coordorigin="5883,-637" coordsize="3351,8201">
            <v:shape style="position:absolute;left:8104;top:6675;width:224;height:170" type="#_x0000_t75" stroked="false">
              <v:imagedata r:id="rId68" o:title=""/>
            </v:shape>
            <v:shape style="position:absolute;left:8096;top:7164;width:226;height:189" type="#_x0000_t75" stroked="false">
              <v:imagedata r:id="rId69" o:title=""/>
            </v:shape>
            <v:shape style="position:absolute;left:6612;top:5567;width:363;height:141" type="#_x0000_t75" stroked="false">
              <v:imagedata r:id="rId70" o:title=""/>
            </v:shape>
            <v:shape style="position:absolute;left:6590;top:6106;width:369;height:179" type="#_x0000_t75" stroked="false">
              <v:imagedata r:id="rId71" o:title=""/>
            </v:shape>
            <v:shape style="position:absolute;left:6698;top:6597;width:366;height:160" type="#_x0000_t75" stroked="false">
              <v:imagedata r:id="rId72" o:title=""/>
            </v:shape>
            <v:shape style="position:absolute;left:6673;top:7218;width:372;height:200" type="#_x0000_t75" stroked="false">
              <v:imagedata r:id="rId73" o:title=""/>
            </v:shape>
            <v:rect style="position:absolute;left:6797;top:-638;width:1420;height:8201" filled="true" fillcolor="#a7a9ac" stroked="false">
              <v:fill type="solid"/>
            </v:rect>
            <v:rect style="position:absolute;left:5888;top:31;width:979;height:508" filled="true" fillcolor="#6d6e71" stroked="false">
              <v:fill type="solid"/>
            </v:rect>
            <v:rect style="position:absolute;left:5888;top:31;width:979;height:508" filled="false" stroked="true" strokeweight=".539147pt" strokecolor="#000000">
              <v:stroke dashstyle="solid"/>
            </v:rect>
            <v:shape style="position:absolute;left:6856;top:31;width:1044;height:508" coordorigin="6857,32" coordsize="1044,508" path="m6857,539l6857,32,6899,32,6985,36,7123,49,7214,63,7302,79,7387,98,7470,119,7549,143,7625,169,7699,196,7769,225,7836,255,7900,285,7842,314,7781,342,7717,370,7649,396,7578,422,7503,445,7425,467,7344,487,7260,503,7173,517,7083,528,6968,536,6857,539xe" filled="true" fillcolor="#6d6e71" stroked="false">
              <v:path arrowok="t"/>
              <v:fill type="solid"/>
            </v:shape>
            <v:shape style="position:absolute;left:6856;top:31;width:1044;height:508" coordorigin="6857,32" coordsize="1044,508" path="m7900,285l7836,255,7769,225,7699,196,7625,169,7549,143,7470,119,7387,98,7302,79,7214,63,7123,49,7029,40,6942,34,6857,32,6857,539,6968,536,7083,528,7173,517,7260,503,7344,487,7425,467,7503,445,7578,422,7649,396,7717,370,7781,342,7842,314,7900,285xe" filled="false" stroked="true" strokeweight=".539184pt" strokecolor="#000000">
              <v:path arrowok="t"/>
              <v:stroke dashstyle="solid"/>
            </v:shape>
            <v:rect style="position:absolute;left:5899;top:1779;width:979;height:508" filled="true" fillcolor="#6d6e71" stroked="false">
              <v:fill type="solid"/>
            </v:rect>
            <v:rect style="position:absolute;left:5899;top:1779;width:979;height:508" filled="false" stroked="true" strokeweight=".539147pt" strokecolor="#000000">
              <v:stroke dashstyle="solid"/>
            </v:rect>
            <v:shape style="position:absolute;left:6867;top:1779;width:1044;height:508" coordorigin="6868,1780" coordsize="1044,508" path="m6868,2287l6868,1780,6910,1780,6996,1784,7134,1798,7225,1811,7313,1827,7398,1846,7480,1867,7560,1891,7636,1917,7710,1944,7780,1973,7847,2003,7911,2033,7853,2062,7792,2090,7728,2118,7660,2144,7588,2170,7514,2194,7436,2215,7355,2235,7271,2252,7184,2265,7093,2276,6978,2284,6868,2287xe" filled="true" fillcolor="#6d6e71" stroked="false">
              <v:path arrowok="t"/>
              <v:fill type="solid"/>
            </v:shape>
            <v:shape style="position:absolute;left:6867;top:1779;width:1044;height:508" coordorigin="6868,1780" coordsize="1044,508" path="m7911,2033l7847,2003,7780,1973,7710,1944,7636,1917,7560,1891,7480,1867,7398,1846,7313,1827,7225,1811,7134,1798,7040,1788,6953,1782,6868,1780,6868,2287,6978,2284,7093,2276,7184,2265,7271,2252,7355,2235,7436,2215,7514,2194,7588,2170,7660,2144,7728,2118,7792,2090,7853,2062,7911,2033xe" filled="false" stroked="true" strokeweight=".539184pt" strokecolor="#000000">
              <v:path arrowok="t"/>
              <v:stroke dashstyle="solid"/>
            </v:shape>
            <v:shape style="position:absolute;left:7808;top:-368;width:678;height:3084" coordorigin="7809,-368" coordsize="678,3084" path="m8486,1240l7809,1240,7832,1275,7859,1318,7888,1369,7917,1427,7947,1492,7975,1565,8000,1644,8020,1729,8036,1820,8044,1917,8045,2020,8038,2118,8024,2211,8004,2297,7980,2378,7952,2452,7922,2519,7892,2579,7862,2632,7834,2678,7809,2716,8486,2716,8486,1240xm8486,-368l7809,-368,7834,-331,7864,-284,7897,-229,7929,-166,7961,-94,7990,-14,8015,73,8033,166,8044,267,8045,374,8037,477,8020,573,7996,663,7968,745,7936,820,7902,886,7869,945,7837,994,7809,1035,8486,1035,8486,-368xe" filled="true" fillcolor="#ffffff" stroked="false">
              <v:path arrowok="t"/>
              <v:fill type="solid"/>
            </v:shape>
            <v:shape style="position:absolute;left:8529;top:-368;width:705;height:2420" coordorigin="8529,-368" coordsize="705,2420" path="m8992,323l8990,228,8984,137,8975,50,8964,-32,8950,-109,8935,-181,8918,-249,8901,-311,8884,-368,8529,-368,8556,-275,8578,-185,8596,-98,8610,-15,8621,63,8628,138,8633,208,8636,273,8637,334,8635,430,8629,523,8620,611,8609,694,8595,773,8580,846,8563,914,8546,977,8529,1035,8884,1035,8901,977,8918,914,8935,844,8951,770,8965,690,8976,605,8985,516,8990,421,8992,323xm9234,1898l9013,1898,9013,2052,9234,2052,9234,1898xe" filled="true" fillcolor="#a7a9ac" stroked="false">
              <v:path arrowok="t"/>
              <v:fill type="solid"/>
            </v:shape>
            <v:shape style="position:absolute;left:8314;top:1434;width:775;height:1282" coordorigin="8314,1434" coordsize="775,1282" path="m8470,2559l8314,2559,8314,2716,8470,2716,8470,2559xm8537,1494l8392,1494,8392,1639,8537,1639,8537,1494xm8814,1977l8647,1977,8647,2230,8814,2230,8814,1977xm8997,1434l8814,1434,8814,1618,8997,1618,8997,1434xm9088,2389l8903,2389,8903,2578,9088,2578,9088,2389xe" filled="true" fillcolor="#a7a9ac" stroked="false">
              <v:path arrowok="t"/>
              <v:fill type="solid"/>
            </v:shape>
            <v:rect style="position:absolute;left:6206;top:4417;width:979;height:508" filled="true" fillcolor="#6d6e71" stroked="false">
              <v:fill type="solid"/>
            </v:rect>
            <v:rect style="position:absolute;left:6206;top:4417;width:979;height:508" filled="false" stroked="true" strokeweight=".539147pt" strokecolor="#000000">
              <v:stroke dashstyle="solid"/>
            </v:rect>
            <v:shape style="position:absolute;left:7174;top:4417;width:1044;height:508" coordorigin="7174,4418" coordsize="1044,508" path="m7174,4925l7174,4418,7216,4418,7302,4422,7440,4436,7531,4449,7619,4465,7705,4484,7787,4506,7866,4529,7943,4555,8016,4582,8086,4611,8153,4641,8217,4671,8160,4700,8099,4728,8034,4756,7966,4783,7895,4808,7820,4832,7742,4854,7661,4873,7577,4890,7490,4904,7400,4914,7285,4923,7174,4925xe" filled="true" fillcolor="#6d6e71" stroked="false">
              <v:path arrowok="t"/>
              <v:fill type="solid"/>
            </v:shape>
            <v:shape style="position:absolute;left:7174;top:4417;width:1044;height:508" coordorigin="7174,4418" coordsize="1044,508" path="m8217,4671l8153,4641,8086,4611,8016,4582,7943,4555,7866,4529,7787,4506,7705,4484,7619,4465,7531,4449,7440,4436,7346,4426,7259,4420,7174,4418,7174,4925,7285,4923,7400,4914,7490,4904,7577,4890,7661,4873,7742,4854,7820,4832,7895,4808,7966,4783,8034,4756,8099,4728,8160,4700,8217,4671xe" filled="false" stroked="true" strokeweight=".539184pt" strokecolor="#000000">
              <v:path arrowok="t"/>
              <v:stroke dashstyle="solid"/>
            </v:shape>
            <v:rect style="position:absolute;left:7580;top:4434;width:936;height:475" filled="true" fillcolor="#000000" stroked="false">
              <v:fill type="solid"/>
            </v:rect>
            <v:rect style="position:absolute;left:6566;top:6748;width:1057;height:508" filled="true" fillcolor="#6d6e71" stroked="false">
              <v:fill type="solid"/>
            </v:rect>
            <v:rect style="position:absolute;left:6566;top:6748;width:1057;height:508" filled="false" stroked="true" strokeweight=".539191pt" strokecolor="#000000">
              <v:stroke dashstyle="solid"/>
            </v:rect>
            <v:shape style="position:absolute;left:7612;top:6748;width:1127;height:508" coordorigin="7612,6749" coordsize="1127,508" path="m7612,7256l7612,6749,7658,6749,7751,6753,7891,6766,7981,6777,8069,6792,8154,6808,8237,6827,8317,6848,8394,6871,8469,6895,8540,6920,8609,6947,8676,6974,8739,7002,8682,7028,8622,7055,8559,7080,8493,7105,8424,7128,8351,7151,8276,7172,8198,7191,8117,7208,8033,7223,7946,7235,7857,7245,7793,7250,7732,7253,7671,7255,7612,7256xe" filled="true" fillcolor="#6d6e71" stroked="false">
              <v:path arrowok="t"/>
              <v:fill type="solid"/>
            </v:shape>
            <v:shape style="position:absolute;left:7612;top:6748;width:1127;height:508" coordorigin="7612,6749" coordsize="1127,508" path="m8739,7002l8676,6974,8609,6947,8540,6920,8469,6895,8394,6871,8317,6848,8237,6827,8154,6808,8069,6792,7981,6777,7891,6766,7798,6757,7704,6751,7612,6749,7612,7256,7732,7253,7793,7250,7857,7245,7946,7235,8033,7223,8117,7208,8198,7191,8276,7172,8351,7151,8424,7128,8493,7105,8559,7080,8622,7055,8682,7028,8739,7002xe" filled="false" stroked="true" strokeweight=".539225pt" strokecolor="#000000">
              <v:path arrowok="t"/>
              <v:stroke dashstyle="solid"/>
            </v:shape>
            <v:shape style="position:absolute;left:7472;top:5275;width:1159;height:1271" coordorigin="7472,5276" coordsize="1159,1271" path="m8623,6502l8619,6450,8607,6393,8586,6333,8533,6245,8469,6176,8398,6124,8329,6086,8267,6061,8220,6046,8193,6039,7472,6042,7513,6078,7563,6118,7623,6158,7693,6199,7774,6236,7875,6271,7968,6293,8050,6304,8118,6309,8177,6311,8256,6322,8350,6348,8451,6395,8509,6433,8556,6473,8594,6511,8623,6546,8623,6502xm8631,5320l8631,5276,8601,5311,8563,5349,8516,5389,8459,5427,8358,5474,8264,5500,8185,5511,8126,5513,8058,5518,7976,5531,7883,5553,7782,5589,7701,5626,7631,5667,7571,5708,7521,5748,7481,5783,8201,5783,8228,5776,8275,5761,8337,5736,8406,5698,8477,5646,8541,5577,8594,5489,8615,5428,8627,5371,8631,5320xe" filled="true" fillcolor="#a7a9ac" stroked="false">
              <v:path arrowok="t"/>
              <v:fill type="solid"/>
            </v:shape>
            <v:rect style="position:absolute;left:6475;top:5664;width:1025;height:508" filled="true" fillcolor="#6d6e71" stroked="false">
              <v:fill type="solid"/>
            </v:rect>
            <v:rect style="position:absolute;left:6475;top:5664;width:1025;height:508" filled="false" stroked="true" strokeweight=".539174pt" strokecolor="#000000">
              <v:stroke dashstyle="solid"/>
            </v:rect>
            <v:shape style="position:absolute;left:7485;top:5664;width:1092;height:508" coordorigin="7486,5664" coordsize="1092,508" path="m7486,6171l7486,5664,7531,5665,7622,5669,7758,5681,7845,5693,7930,5707,8012,5724,8092,5743,8170,5764,8244,5786,8316,5810,8386,5836,8452,5862,8516,5890,8578,5918,8517,5946,8453,5975,8385,6002,8314,6029,8240,6054,8162,6078,8081,6100,7996,6119,7908,6136,7817,6150,7723,6161,7661,6166,7543,6171,7486,6171xe" filled="true" fillcolor="#6d6e71" stroked="false">
              <v:path arrowok="t"/>
              <v:fill type="solid"/>
            </v:shape>
            <v:shape style="position:absolute;left:7485;top:5664;width:1092;height:508" coordorigin="7486,5664" coordsize="1092,508" path="m8578,5918l8516,5890,8452,5862,8386,5836,8316,5810,8244,5786,8170,5764,8092,5743,8012,5724,7930,5707,7845,5693,7758,5681,7669,5672,7576,5666,7486,5664,7486,6171,7601,6169,7723,6161,7817,6150,7908,6136,7996,6119,8081,6100,8162,6078,8240,6054,8314,6029,8385,6002,8453,5975,8517,5946,8578,5918xe" filled="false" stroked="true" strokeweight=".539209pt" strokecolor="#000000">
              <v:path arrowok="t"/>
              <v:stroke dashstyle="solid"/>
            </v:shape>
            <v:rect style="position:absolute;left:6109;top:3198;width:917;height:508" filled="true" fillcolor="#6d6e71" stroked="false">
              <v:fill type="solid"/>
            </v:rect>
            <v:rect style="position:absolute;left:6109;top:3198;width:917;height:508" filled="false" stroked="true" strokeweight=".539106pt" strokecolor="#000000">
              <v:stroke dashstyle="solid"/>
            </v:rect>
            <v:shape style="position:absolute;left:7015;top:3198;width:976;height:508" coordorigin="7015,3199" coordsize="976,508" path="m7015,3706l7015,3199,7054,3199,7135,3203,7264,3217,7349,3230,7431,3246,7511,3265,7588,3286,7662,3310,7734,3336,7802,3363,7868,3392,7931,3422,7991,3452,7932,3484,7869,3515,7801,3545,7730,3574,7655,3601,7576,3626,7494,3648,7409,3667,7320,3683,7228,3695,7119,3703,7015,3706xe" filled="true" fillcolor="#6d6e71" stroked="false">
              <v:path arrowok="t"/>
              <v:fill type="solid"/>
            </v:shape>
            <v:shape style="position:absolute;left:7015;top:3198;width:976;height:508" coordorigin="7015,3199" coordsize="976,508" path="m7991,3452l7931,3422,7868,3392,7802,3363,7734,3336,7662,3310,7588,3286,7511,3265,7431,3246,7349,3230,7264,3217,7177,3207,7094,3201,7015,3199,7015,3706,7119,3703,7228,3695,7320,3683,7409,3667,7494,3648,7576,3626,7655,3601,7730,3574,7801,3545,7869,3515,7932,3484,7991,3452xe" filled="false" stroked="true" strokeweight=".539146pt" strokecolor="#000000">
              <v:path arrowok="t"/>
              <v:stroke dashstyle="solid"/>
            </v:shape>
            <v:shape style="position:absolute;left:7803;top:3158;width:423;height:553" type="#_x0000_t75" stroked="false">
              <v:imagedata r:id="rId74" o:title=""/>
            </v:shape>
            <w10:wrap type="none"/>
          </v:group>
        </w:pict>
      </w:r>
      <w:r>
        <w:rPr/>
        <w:t>SCABBING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7"/>
        </w:rPr>
      </w:pPr>
      <w:r>
        <w:rPr/>
        <w:pict>
          <v:rect style="position:absolute;margin-left:467.188263pt;margin-top:11.855808pt;width:6.587148pt;height:6.609228pt;mso-position-horizontal-relative:page;mso-position-vertical-relative:paragraph;z-index:-15694336;mso-wrap-distance-left:0;mso-wrap-distance-right:0" filled="true" fillcolor="#a7a9ac" stroked="false">
            <v:fill type="solid"/>
            <w10:wrap type="topAndBottom"/>
          </v:rect>
        </w:pict>
      </w:r>
    </w:p>
    <w:p>
      <w:pPr>
        <w:spacing w:before="88" w:after="74"/>
        <w:ind w:left="1212" w:right="0" w:firstLine="0"/>
        <w:jc w:val="left"/>
        <w:rPr>
          <w:sz w:val="28"/>
        </w:rPr>
      </w:pPr>
      <w:r>
        <w:rPr>
          <w:sz w:val="28"/>
        </w:rPr>
        <w:t>SPALLING</w:t>
      </w:r>
    </w:p>
    <w:p>
      <w:pPr>
        <w:pStyle w:val="BodyText"/>
        <w:ind w:left="7701"/>
        <w:rPr>
          <w:sz w:val="20"/>
        </w:rPr>
      </w:pPr>
      <w:r>
        <w:rPr>
          <w:sz w:val="20"/>
        </w:rPr>
        <w:pict>
          <v:group style="width:5.4pt;height:12.45pt;mso-position-horizontal-relative:char;mso-position-vertical-relative:line" coordorigin="0,0" coordsize="108,249">
            <v:rect style="position:absolute;left:0;top:0;width:108;height:249" filled="true" fillcolor="#a7a9ac" stroked="false">
              <v:fill type="solid"/>
            </v:rect>
          </v:group>
        </w:pict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spacing w:before="2"/>
      </w:pPr>
    </w:p>
    <w:p>
      <w:pPr>
        <w:pStyle w:val="Heading5"/>
        <w:spacing w:line="249" w:lineRule="auto" w:before="1"/>
        <w:ind w:left="613" w:right="6086"/>
        <w:jc w:val="center"/>
      </w:pPr>
      <w:r>
        <w:rPr/>
        <w:t>FRACTURE</w:t>
      </w:r>
      <w:r>
        <w:rPr>
          <w:spacing w:val="-67"/>
        </w:rPr>
        <w:t> </w:t>
      </w:r>
      <w:r>
        <w:rPr/>
        <w:t>(BRITTLE)</w:t>
      </w: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33"/>
        </w:rPr>
      </w:pPr>
    </w:p>
    <w:p>
      <w:pPr>
        <w:spacing w:before="0"/>
        <w:ind w:left="1212" w:right="0" w:firstLine="0"/>
        <w:jc w:val="left"/>
        <w:rPr>
          <w:sz w:val="28"/>
        </w:rPr>
      </w:pPr>
      <w:r>
        <w:rPr>
          <w:sz w:val="28"/>
        </w:rPr>
        <w:t>PLUGGING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Heading5"/>
        <w:spacing w:before="219"/>
        <w:ind w:left="1325" w:hanging="74"/>
      </w:pPr>
      <w:r>
        <w:rPr/>
        <w:t>PETALING</w:t>
      </w:r>
    </w:p>
    <w:p>
      <w:pPr>
        <w:pStyle w:val="BodyText"/>
        <w:spacing w:before="6"/>
        <w:rPr>
          <w:sz w:val="40"/>
        </w:rPr>
      </w:pPr>
    </w:p>
    <w:p>
      <w:pPr>
        <w:spacing w:line="249" w:lineRule="auto" w:before="0"/>
        <w:ind w:left="1310" w:right="6796" w:hanging="1"/>
        <w:jc w:val="center"/>
        <w:rPr>
          <w:sz w:val="28"/>
        </w:rPr>
      </w:pPr>
      <w:r>
        <w:rPr>
          <w:sz w:val="28"/>
        </w:rPr>
        <w:t>DUCTILE</w:t>
      </w:r>
      <w:r>
        <w:rPr>
          <w:spacing w:val="-67"/>
          <w:sz w:val="28"/>
        </w:rPr>
        <w:t> </w:t>
      </w:r>
      <w:r>
        <w:rPr>
          <w:sz w:val="28"/>
        </w:rPr>
        <w:t>HOLE</w:t>
      </w:r>
      <w:r>
        <w:rPr>
          <w:spacing w:val="1"/>
          <w:sz w:val="28"/>
        </w:rPr>
        <w:t> </w:t>
      </w:r>
      <w:r>
        <w:rPr>
          <w:sz w:val="28"/>
        </w:rPr>
        <w:t>GROWTH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3"/>
        </w:rPr>
      </w:pPr>
    </w:p>
    <w:p>
      <w:pPr>
        <w:spacing w:before="90"/>
        <w:ind w:left="178" w:right="0" w:firstLine="0"/>
        <w:jc w:val="center"/>
        <w:rPr>
          <w:i/>
          <w:sz w:val="24"/>
        </w:rPr>
      </w:pPr>
      <w:bookmarkStart w:name="_bookmark19" w:id="149"/>
      <w:bookmarkEnd w:id="149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3-6.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Examples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failure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modes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induced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by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projectiles.</w:t>
      </w:r>
    </w:p>
    <w:p>
      <w:pPr>
        <w:spacing w:after="0"/>
        <w:jc w:val="center"/>
        <w:rPr>
          <w:sz w:val="24"/>
        </w:rPr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40" w:right="257" w:firstLine="720"/>
        <w:jc w:val="both"/>
      </w:pPr>
      <w:r>
        <w:rPr/>
        <w:t>Scabbing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caused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large</w:t>
      </w:r>
      <w:r>
        <w:rPr>
          <w:spacing w:val="1"/>
        </w:rPr>
        <w:t> </w:t>
      </w:r>
      <w:r>
        <w:rPr/>
        <w:t>deformations,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influenced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local</w:t>
      </w:r>
      <w:r>
        <w:rPr>
          <w:spacing w:val="1"/>
        </w:rPr>
        <w:t> </w:t>
      </w:r>
      <w:r>
        <w:rPr/>
        <w:t>inhomogeneity and anisotropy of the material.</w:t>
      </w:r>
      <w:r>
        <w:rPr>
          <w:spacing w:val="1"/>
        </w:rPr>
        <w:t> </w:t>
      </w:r>
      <w:r>
        <w:rPr/>
        <w:t>Fracture can occur when the stress wave</w:t>
      </w:r>
      <w:r>
        <w:rPr>
          <w:spacing w:val="1"/>
        </w:rPr>
        <w:t> </w:t>
      </w:r>
      <w:r>
        <w:rPr/>
        <w:t>exceeds the material’s yield strength.</w:t>
      </w:r>
      <w:r>
        <w:rPr>
          <w:spacing w:val="1"/>
        </w:rPr>
        <w:t> </w:t>
      </w:r>
      <w:r>
        <w:rPr/>
        <w:t>Spalling appears similar to scabbing but is caused</w:t>
      </w:r>
      <w:r>
        <w:rPr>
          <w:spacing w:val="1"/>
        </w:rPr>
        <w:t> </w:t>
      </w:r>
      <w:r>
        <w:rPr/>
        <w:t>by tensile failure, typically on the back face of the target, and is induced by the reflection</w:t>
      </w:r>
      <w:r>
        <w:rPr>
          <w:spacing w:val="1"/>
        </w:rPr>
        <w:t> </w:t>
      </w:r>
      <w:r>
        <w:rPr/>
        <w:t>of the initial compressive shockwave in relief waves.</w:t>
      </w:r>
      <w:r>
        <w:rPr>
          <w:spacing w:val="1"/>
        </w:rPr>
        <w:t> </w:t>
      </w:r>
      <w:r>
        <w:rPr/>
        <w:t>It is a common failure mode for</w:t>
      </w:r>
      <w:r>
        <w:rPr>
          <w:spacing w:val="1"/>
        </w:rPr>
        <w:t> </w:t>
      </w:r>
      <w:r>
        <w:rPr/>
        <w:t>materials stronger in compression than tension, such as concrete.</w:t>
      </w:r>
      <w:r>
        <w:rPr>
          <w:spacing w:val="1"/>
        </w:rPr>
        <w:t> </w:t>
      </w:r>
      <w:r>
        <w:rPr/>
        <w:t>Radial cracking is also</w:t>
      </w:r>
      <w:r>
        <w:rPr>
          <w:spacing w:val="1"/>
        </w:rPr>
        <w:t> </w:t>
      </w:r>
      <w:r>
        <w:rPr/>
        <w:t>common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the same</w:t>
      </w:r>
      <w:r>
        <w:rPr>
          <w:spacing w:val="1"/>
        </w:rPr>
        <w:t> </w:t>
      </w:r>
      <w:r>
        <w:rPr/>
        <w:t>materials.</w:t>
      </w:r>
    </w:p>
    <w:p>
      <w:pPr>
        <w:pStyle w:val="BodyText"/>
        <w:spacing w:line="480" w:lineRule="auto" w:before="160"/>
        <w:ind w:left="439" w:right="257" w:firstLine="720"/>
        <w:jc w:val="both"/>
      </w:pPr>
      <w:r>
        <w:rPr/>
        <w:t>Brittle fracture typically involves sudden, very rapid crack formation and there are</w:t>
      </w:r>
      <w:r>
        <w:rPr>
          <w:spacing w:val="-57"/>
        </w:rPr>
        <w:t> </w:t>
      </w:r>
      <w:r>
        <w:rPr/>
        <w:t>no signs of ductility.</w:t>
      </w:r>
      <w:r>
        <w:rPr>
          <w:spacing w:val="1"/>
        </w:rPr>
        <w:t> </w:t>
      </w:r>
      <w:r>
        <w:rPr/>
        <w:t>The cracks can lead to fragmentation into smaller pieces.</w:t>
      </w:r>
      <w:r>
        <w:rPr>
          <w:spacing w:val="1"/>
        </w:rPr>
        <w:t> </w:t>
      </w:r>
      <w:r>
        <w:rPr/>
        <w:t>There is</w:t>
      </w:r>
      <w:r>
        <w:rPr>
          <w:spacing w:val="1"/>
        </w:rPr>
        <w:t> </w:t>
      </w:r>
      <w:r>
        <w:rPr/>
        <w:t>little or no plastic deformation and low energy absorption before fracture.</w:t>
      </w:r>
      <w:r>
        <w:rPr>
          <w:spacing w:val="1"/>
        </w:rPr>
        <w:t> </w:t>
      </w:r>
      <w:r>
        <w:rPr/>
        <w:t>The fracture</w:t>
      </w:r>
      <w:r>
        <w:rPr>
          <w:spacing w:val="1"/>
        </w:rPr>
        <w:t> </w:t>
      </w:r>
      <w:r>
        <w:rPr/>
        <w:t>surface</w:t>
      </w:r>
      <w:r>
        <w:rPr>
          <w:spacing w:val="-1"/>
        </w:rPr>
        <w:t> </w:t>
      </w:r>
      <w:r>
        <w:rPr/>
        <w:t>is distinct and often relatively smooth.</w:t>
      </w:r>
    </w:p>
    <w:p>
      <w:pPr>
        <w:pStyle w:val="BodyText"/>
        <w:spacing w:line="480" w:lineRule="auto" w:before="159"/>
        <w:ind w:left="439" w:right="257" w:firstLine="720"/>
        <w:jc w:val="both"/>
      </w:pPr>
      <w:r>
        <w:rPr/>
        <w:t>Plugging is a failure mechanism that has been the topic of many studies.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failure</w:t>
      </w:r>
      <w:r>
        <w:rPr>
          <w:spacing w:val="7"/>
        </w:rPr>
        <w:t> </w:t>
      </w:r>
      <w:r>
        <w:rPr/>
        <w:t>mode</w:t>
      </w:r>
      <w:r>
        <w:rPr>
          <w:spacing w:val="7"/>
        </w:rPr>
        <w:t> </w:t>
      </w:r>
      <w:r>
        <w:rPr/>
        <w:t>typically</w:t>
      </w:r>
      <w:r>
        <w:rPr>
          <w:spacing w:val="7"/>
        </w:rPr>
        <w:t> </w:t>
      </w:r>
      <w:r>
        <w:rPr/>
        <w:t>occurs</w:t>
      </w:r>
      <w:r>
        <w:rPr>
          <w:spacing w:val="8"/>
        </w:rPr>
        <w:t> </w:t>
      </w:r>
      <w:r>
        <w:rPr/>
        <w:t>with</w:t>
      </w:r>
      <w:r>
        <w:rPr>
          <w:spacing w:val="7"/>
        </w:rPr>
        <w:t> </w:t>
      </w:r>
      <w:r>
        <w:rPr/>
        <w:t>a</w:t>
      </w:r>
      <w:r>
        <w:rPr>
          <w:spacing w:val="6"/>
        </w:rPr>
        <w:t> </w:t>
      </w:r>
      <w:r>
        <w:rPr/>
        <w:t>blunt</w:t>
      </w:r>
      <w:r>
        <w:rPr>
          <w:spacing w:val="9"/>
        </w:rPr>
        <w:t> </w:t>
      </w:r>
      <w:r>
        <w:rPr/>
        <w:t>or</w:t>
      </w:r>
      <w:r>
        <w:rPr>
          <w:spacing w:val="8"/>
        </w:rPr>
        <w:t> </w:t>
      </w:r>
      <w:r>
        <w:rPr/>
        <w:t>hemispherical</w:t>
      </w:r>
      <w:r>
        <w:rPr>
          <w:spacing w:val="6"/>
        </w:rPr>
        <w:t> </w:t>
      </w:r>
      <w:r>
        <w:rPr/>
        <w:t>nose-shaped</w:t>
      </w:r>
      <w:r>
        <w:rPr>
          <w:spacing w:val="7"/>
        </w:rPr>
        <w:t> </w:t>
      </w:r>
      <w:r>
        <w:rPr/>
        <w:t>projectile</w:t>
      </w:r>
      <w:r>
        <w:rPr>
          <w:spacing w:val="7"/>
        </w:rPr>
        <w:t> </w:t>
      </w:r>
      <w:r>
        <w:rPr/>
        <w:t>where</w:t>
      </w:r>
      <w:r>
        <w:rPr>
          <w:spacing w:val="-58"/>
        </w:rPr>
        <w:t> </w:t>
      </w:r>
      <w:r>
        <w:rPr/>
        <w:t>a process termed adiabatic shearing results in the development of a cylindrical slug.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slug, with a size approximately the same diameter or slightly larger than the striking</w:t>
      </w:r>
      <w:r>
        <w:rPr>
          <w:spacing w:val="1"/>
        </w:rPr>
        <w:t> </w:t>
      </w:r>
      <w:r>
        <w:rPr/>
        <w:t>projectile, is ejected from the target or at least completely perforated from the original</w:t>
      </w:r>
      <w:r>
        <w:rPr>
          <w:spacing w:val="1"/>
        </w:rPr>
        <w:t> </w:t>
      </w:r>
      <w:r>
        <w:rPr/>
        <w:t>target.</w:t>
      </w:r>
      <w:r>
        <w:rPr>
          <w:spacing w:val="1"/>
        </w:rPr>
        <w:t> </w:t>
      </w:r>
      <w:r>
        <w:rPr/>
        <w:t>This failure type is frequently seen with temperature sensitive materials because</w:t>
      </w:r>
      <w:r>
        <w:rPr>
          <w:spacing w:val="1"/>
        </w:rPr>
        <w:t> </w:t>
      </w:r>
      <w:r>
        <w:rPr/>
        <w:t>the plastic deformations of the projectile can convert to heat as the energy dissipates. This</w:t>
      </w:r>
      <w:r>
        <w:rPr>
          <w:spacing w:val="-57"/>
        </w:rPr>
        <w:t> </w:t>
      </w:r>
      <w:r>
        <w:rPr/>
        <w:t>increased temperature influences the shear strength of some materials, hence the adiabatic</w:t>
      </w:r>
      <w:r>
        <w:rPr>
          <w:spacing w:val="-57"/>
        </w:rPr>
        <w:t> </w:t>
      </w:r>
      <w:r>
        <w:rPr/>
        <w:t>shearing or formation of adiabatic shear bands.</w:t>
      </w:r>
      <w:r>
        <w:rPr>
          <w:spacing w:val="1"/>
        </w:rPr>
        <w:t> </w:t>
      </w:r>
      <w:r>
        <w:rPr/>
        <w:t>Striking velocities near the ballistic limit</w:t>
      </w:r>
      <w:r>
        <w:rPr>
          <w:spacing w:val="1"/>
        </w:rPr>
        <w:t> </w:t>
      </w:r>
      <w:r>
        <w:rPr/>
        <w:t>are often credited with this failure mode as higher velocities tend to cause fragmentation</w:t>
      </w:r>
      <w:r>
        <w:rPr>
          <w:spacing w:val="1"/>
        </w:rPr>
        <w:t> </w:t>
      </w:r>
      <w:r>
        <w:rPr/>
        <w:t>of</w:t>
      </w:r>
      <w:r>
        <w:rPr>
          <w:spacing w:val="-2"/>
        </w:rPr>
        <w:t> </w:t>
      </w:r>
      <w:r>
        <w:rPr/>
        <w:t>the material instead of</w:t>
      </w:r>
      <w:r>
        <w:rPr>
          <w:spacing w:val="-2"/>
        </w:rPr>
        <w:t> </w:t>
      </w:r>
      <w:r>
        <w:rPr/>
        <w:t>formation of</w:t>
      </w:r>
      <w:r>
        <w:rPr>
          <w:spacing w:val="-2"/>
        </w:rPr>
        <w:t> </w:t>
      </w:r>
      <w:r>
        <w:rPr/>
        <w:t>an intact plug [125].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40" w:right="256" w:firstLine="720"/>
        <w:jc w:val="both"/>
      </w:pPr>
      <w:r>
        <w:rPr/>
        <w:t>Petalling of the target material takes place when high radial and circumferential</w:t>
      </w:r>
      <w:r>
        <w:rPr>
          <w:spacing w:val="1"/>
        </w:rPr>
        <w:t> </w:t>
      </w:r>
      <w:r>
        <w:rPr/>
        <w:t>tensile stresses arise after the initial stress wave.</w:t>
      </w:r>
      <w:r>
        <w:rPr>
          <w:spacing w:val="1"/>
        </w:rPr>
        <w:t> </w:t>
      </w:r>
      <w:r>
        <w:rPr/>
        <w:t>This failure mode is common in thin</w:t>
      </w:r>
      <w:r>
        <w:rPr>
          <w:spacing w:val="1"/>
        </w:rPr>
        <w:t> </w:t>
      </w:r>
      <w:r>
        <w:rPr/>
        <w:t>targets</w:t>
      </w:r>
      <w:r>
        <w:rPr>
          <w:spacing w:val="-8"/>
        </w:rPr>
        <w:t> </w:t>
      </w:r>
      <w:r>
        <w:rPr/>
        <w:t>and</w:t>
      </w:r>
      <w:r>
        <w:rPr>
          <w:spacing w:val="-7"/>
        </w:rPr>
        <w:t> </w:t>
      </w:r>
      <w:r>
        <w:rPr/>
        <w:t>ogival</w:t>
      </w:r>
      <w:r>
        <w:rPr>
          <w:spacing w:val="-7"/>
        </w:rPr>
        <w:t> </w:t>
      </w:r>
      <w:r>
        <w:rPr/>
        <w:t>or</w:t>
      </w:r>
      <w:r>
        <w:rPr>
          <w:spacing w:val="-8"/>
        </w:rPr>
        <w:t> </w:t>
      </w:r>
      <w:r>
        <w:rPr/>
        <w:t>conical</w:t>
      </w:r>
      <w:r>
        <w:rPr>
          <w:spacing w:val="-7"/>
        </w:rPr>
        <w:t> </w:t>
      </w:r>
      <w:r>
        <w:rPr/>
        <w:t>nosed</w:t>
      </w:r>
      <w:r>
        <w:rPr>
          <w:spacing w:val="-7"/>
        </w:rPr>
        <w:t> </w:t>
      </w:r>
      <w:r>
        <w:rPr/>
        <w:t>projectiles.</w:t>
      </w:r>
      <w:r>
        <w:rPr>
          <w:spacing w:val="45"/>
        </w:rPr>
        <w:t> </w:t>
      </w:r>
      <w:r>
        <w:rPr/>
        <w:t>High</w:t>
      </w:r>
      <w:r>
        <w:rPr>
          <w:spacing w:val="-7"/>
        </w:rPr>
        <w:t> </w:t>
      </w:r>
      <w:r>
        <w:rPr/>
        <w:t>stress</w:t>
      </w:r>
      <w:r>
        <w:rPr>
          <w:spacing w:val="-8"/>
        </w:rPr>
        <w:t> </w:t>
      </w:r>
      <w:r>
        <w:rPr/>
        <w:t>gradients</w:t>
      </w:r>
      <w:r>
        <w:rPr>
          <w:spacing w:val="-7"/>
        </w:rPr>
        <w:t> </w:t>
      </w:r>
      <w:r>
        <w:rPr/>
        <w:t>develop</w:t>
      </w:r>
      <w:r>
        <w:rPr>
          <w:spacing w:val="-7"/>
        </w:rPr>
        <w:t> </w:t>
      </w:r>
      <w:r>
        <w:rPr/>
        <w:t>in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area</w:t>
      </w:r>
      <w:r>
        <w:rPr>
          <w:spacing w:val="-7"/>
        </w:rPr>
        <w:t> </w:t>
      </w:r>
      <w:r>
        <w:rPr/>
        <w:t>of</w:t>
      </w:r>
      <w:r>
        <w:rPr>
          <w:spacing w:val="-58"/>
        </w:rPr>
        <w:t> </w:t>
      </w:r>
      <w:r>
        <w:rPr/>
        <w:t>the</w:t>
      </w:r>
      <w:r>
        <w:rPr>
          <w:spacing w:val="-9"/>
        </w:rPr>
        <w:t> </w:t>
      </w:r>
      <w:r>
        <w:rPr/>
        <w:t>tip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projectile,</w:t>
      </w:r>
      <w:r>
        <w:rPr>
          <w:spacing w:val="-9"/>
        </w:rPr>
        <w:t> </w:t>
      </w:r>
      <w:r>
        <w:rPr/>
        <w:t>or</w:t>
      </w:r>
      <w:r>
        <w:rPr>
          <w:spacing w:val="-8"/>
        </w:rPr>
        <w:t> </w:t>
      </w:r>
      <w:r>
        <w:rPr/>
        <w:t>the</w:t>
      </w:r>
      <w:r>
        <w:rPr>
          <w:spacing w:val="-10"/>
        </w:rPr>
        <w:t> </w:t>
      </w:r>
      <w:r>
        <w:rPr/>
        <w:t>leading</w:t>
      </w:r>
      <w:r>
        <w:rPr>
          <w:spacing w:val="-10"/>
        </w:rPr>
        <w:t> </w:t>
      </w:r>
      <w:r>
        <w:rPr/>
        <w:t>edge,</w:t>
      </w:r>
      <w:r>
        <w:rPr>
          <w:spacing w:val="-9"/>
        </w:rPr>
        <w:t> </w:t>
      </w:r>
      <w:r>
        <w:rPr/>
        <w:t>resulting</w:t>
      </w:r>
      <w:r>
        <w:rPr>
          <w:spacing w:val="-9"/>
        </w:rPr>
        <w:t> </w:t>
      </w:r>
      <w:r>
        <w:rPr/>
        <w:t>in</w:t>
      </w:r>
      <w:r>
        <w:rPr>
          <w:spacing w:val="-10"/>
        </w:rPr>
        <w:t> </w:t>
      </w:r>
      <w:r>
        <w:rPr/>
        <w:t>plastic</w:t>
      </w:r>
      <w:r>
        <w:rPr>
          <w:spacing w:val="-10"/>
        </w:rPr>
        <w:t> </w:t>
      </w:r>
      <w:r>
        <w:rPr/>
        <w:t>flow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/>
        <w:t>permanent</w:t>
      </w:r>
      <w:r>
        <w:rPr>
          <w:spacing w:val="-8"/>
        </w:rPr>
        <w:t> </w:t>
      </w:r>
      <w:r>
        <w:rPr/>
        <w:t>flexure</w:t>
      </w:r>
      <w:r>
        <w:rPr>
          <w:spacing w:val="-58"/>
        </w:rPr>
        <w:t> </w:t>
      </w:r>
      <w:r>
        <w:rPr/>
        <w:t>in the material.</w:t>
      </w:r>
      <w:r>
        <w:rPr>
          <w:spacing w:val="1"/>
        </w:rPr>
        <w:t> </w:t>
      </w:r>
      <w:r>
        <w:rPr/>
        <w:t>Upon exceedance of the material’s strength, star-shaped cracks develop</w:t>
      </w:r>
      <w:r>
        <w:rPr>
          <w:spacing w:val="1"/>
        </w:rPr>
        <w:t> </w:t>
      </w:r>
      <w:r>
        <w:rPr/>
        <w:t>and target material is pushed back further by the projectile’s continued motion forming</w:t>
      </w:r>
      <w:r>
        <w:rPr>
          <w:spacing w:val="1"/>
        </w:rPr>
        <w:t> </w:t>
      </w:r>
      <w:r>
        <w:rPr/>
        <w:t>protruding petals of target material still attached to the original target but with large</w:t>
      </w:r>
      <w:r>
        <w:rPr>
          <w:spacing w:val="1"/>
        </w:rPr>
        <w:t> </w:t>
      </w:r>
      <w:r>
        <w:rPr/>
        <w:t>deformations</w:t>
      </w:r>
      <w:r>
        <w:rPr>
          <w:spacing w:val="-1"/>
        </w:rPr>
        <w:t> </w:t>
      </w:r>
      <w:r>
        <w:rPr/>
        <w:t>[125].</w:t>
      </w:r>
    </w:p>
    <w:p>
      <w:pPr>
        <w:pStyle w:val="BodyText"/>
        <w:spacing w:line="480" w:lineRule="auto" w:before="160"/>
        <w:ind w:left="440" w:right="257" w:firstLine="720"/>
        <w:jc w:val="both"/>
      </w:pPr>
      <w:r>
        <w:rPr/>
        <w:t>Ductile failure combined with spalling is common for thick targets with low or</w:t>
      </w:r>
      <w:r>
        <w:rPr>
          <w:spacing w:val="1"/>
        </w:rPr>
        <w:t> </w:t>
      </w:r>
      <w:r>
        <w:rPr/>
        <w:t>medium hardness [125].</w:t>
      </w:r>
      <w:r>
        <w:rPr>
          <w:spacing w:val="1"/>
        </w:rPr>
        <w:t> </w:t>
      </w:r>
      <w:r>
        <w:rPr/>
        <w:t>In this failure mode, stresses exceeding the material strength</w:t>
      </w:r>
      <w:r>
        <w:rPr>
          <w:spacing w:val="1"/>
        </w:rPr>
        <w:t> </w:t>
      </w:r>
      <w:r>
        <w:rPr/>
        <w:t>induce plastic deformations and eventually fracture is induced as the material pulls apart.</w:t>
      </w:r>
      <w:r>
        <w:rPr>
          <w:spacing w:val="1"/>
        </w:rPr>
        <w:t> </w:t>
      </w:r>
      <w:r>
        <w:rPr/>
        <w:t>Due</w:t>
      </w:r>
      <w:r>
        <w:rPr>
          <w:spacing w:val="-7"/>
        </w:rPr>
        <w:t> </w:t>
      </w:r>
      <w:r>
        <w:rPr/>
        <w:t>to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complexity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penetration</w:t>
      </w:r>
      <w:r>
        <w:rPr>
          <w:spacing w:val="-6"/>
        </w:rPr>
        <w:t> </w:t>
      </w:r>
      <w:r>
        <w:rPr/>
        <w:t>mechanics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number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influencing</w:t>
      </w:r>
      <w:r>
        <w:rPr>
          <w:spacing w:val="-6"/>
        </w:rPr>
        <w:t> </w:t>
      </w:r>
      <w:r>
        <w:rPr/>
        <w:t>factors,</w:t>
      </w:r>
      <w:r>
        <w:rPr>
          <w:spacing w:val="-58"/>
        </w:rPr>
        <w:t> </w:t>
      </w:r>
      <w:r>
        <w:rPr>
          <w:spacing w:val="-1"/>
        </w:rPr>
        <w:t>it</w:t>
      </w:r>
      <w:r>
        <w:rPr>
          <w:spacing w:val="-13"/>
        </w:rPr>
        <w:t> </w:t>
      </w:r>
      <w:r>
        <w:rPr>
          <w:spacing w:val="-1"/>
        </w:rPr>
        <w:t>can</w:t>
      </w:r>
      <w:r>
        <w:rPr>
          <w:spacing w:val="-14"/>
        </w:rPr>
        <w:t> </w:t>
      </w:r>
      <w:r>
        <w:rPr>
          <w:spacing w:val="-1"/>
        </w:rPr>
        <w:t>be</w:t>
      </w:r>
      <w:r>
        <w:rPr>
          <w:spacing w:val="-13"/>
        </w:rPr>
        <w:t> </w:t>
      </w:r>
      <w:r>
        <w:rPr>
          <w:spacing w:val="-1"/>
        </w:rPr>
        <w:t>challenging</w:t>
      </w:r>
      <w:r>
        <w:rPr>
          <w:spacing w:val="-14"/>
        </w:rPr>
        <w:t> </w:t>
      </w:r>
      <w:r>
        <w:rPr/>
        <w:t>to</w:t>
      </w:r>
      <w:r>
        <w:rPr>
          <w:spacing w:val="-14"/>
        </w:rPr>
        <w:t> </w:t>
      </w:r>
      <w:r>
        <w:rPr/>
        <w:t>correlate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performance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target</w:t>
      </w:r>
      <w:r>
        <w:rPr>
          <w:spacing w:val="-13"/>
        </w:rPr>
        <w:t> </w:t>
      </w:r>
      <w:r>
        <w:rPr/>
        <w:t>and</w:t>
      </w:r>
      <w:r>
        <w:rPr>
          <w:spacing w:val="-14"/>
        </w:rPr>
        <w:t> </w:t>
      </w:r>
      <w:r>
        <w:rPr/>
        <w:t>projectiles</w:t>
      </w:r>
      <w:r>
        <w:rPr>
          <w:spacing w:val="-15"/>
        </w:rPr>
        <w:t> </w:t>
      </w:r>
      <w:r>
        <w:rPr/>
        <w:t>with</w:t>
      </w:r>
      <w:r>
        <w:rPr>
          <w:spacing w:val="-14"/>
        </w:rPr>
        <w:t> </w:t>
      </w:r>
      <w:r>
        <w:rPr/>
        <w:t>the</w:t>
      </w:r>
      <w:r>
        <w:rPr>
          <w:spacing w:val="-13"/>
        </w:rPr>
        <w:t> </w:t>
      </w:r>
      <w:r>
        <w:rPr/>
        <w:t>different</w:t>
      </w:r>
      <w:r>
        <w:rPr>
          <w:spacing w:val="-57"/>
        </w:rPr>
        <w:t> </w:t>
      </w:r>
      <w:r>
        <w:rPr/>
        <w:t>failure</w:t>
      </w:r>
      <w:r>
        <w:rPr>
          <w:spacing w:val="-1"/>
        </w:rPr>
        <w:t> </w:t>
      </w:r>
      <w:r>
        <w:rPr/>
        <w:t>mechanics responsible for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final state.</w:t>
      </w:r>
    </w:p>
    <w:p>
      <w:pPr>
        <w:pStyle w:val="BodyText"/>
        <w:spacing w:line="480" w:lineRule="auto" w:before="159"/>
        <w:ind w:left="440" w:right="257" w:firstLine="720"/>
        <w:jc w:val="both"/>
      </w:pPr>
      <w:r>
        <w:rPr/>
        <w:t>The thickness of the target and the length of the projectile can change the failure</w:t>
      </w:r>
      <w:r>
        <w:rPr>
          <w:spacing w:val="1"/>
        </w:rPr>
        <w:t> </w:t>
      </w:r>
      <w:r>
        <w:rPr/>
        <w:t>occurring during penetration. One example is a theory called entrance phase effect, which</w:t>
      </w:r>
      <w:r>
        <w:rPr>
          <w:spacing w:val="-57"/>
        </w:rPr>
        <w:t> </w:t>
      </w:r>
      <w:r>
        <w:rPr/>
        <w:t>is credited for relatively higher penetrations of rigid penetrators in lower velocity ranges,</w:t>
      </w:r>
      <w:r>
        <w:rPr>
          <w:spacing w:val="1"/>
        </w:rPr>
        <w:t> </w:t>
      </w:r>
      <w:r>
        <w:rPr/>
        <w:t>due to lower decelerations by the target.</w:t>
      </w:r>
      <w:r>
        <w:rPr>
          <w:spacing w:val="1"/>
        </w:rPr>
        <w:t> </w:t>
      </w:r>
      <w:r>
        <w:rPr/>
        <w:t>Early in the target deformation, when the</w:t>
      </w:r>
      <w:r>
        <w:rPr>
          <w:spacing w:val="1"/>
        </w:rPr>
        <w:t> </w:t>
      </w:r>
      <w:r>
        <w:rPr/>
        <w:t>projectile is just deforming on the front face, the target has a lower retarding force as the</w:t>
      </w:r>
      <w:r>
        <w:rPr>
          <w:spacing w:val="1"/>
        </w:rPr>
        <w:t> </w:t>
      </w:r>
      <w:r>
        <w:rPr>
          <w:spacing w:val="-1"/>
        </w:rPr>
        <w:t>target</w:t>
      </w:r>
      <w:r>
        <w:rPr>
          <w:spacing w:val="-14"/>
        </w:rPr>
        <w:t> </w:t>
      </w:r>
      <w:r>
        <w:rPr/>
        <w:t>material</w:t>
      </w:r>
      <w:r>
        <w:rPr>
          <w:spacing w:val="-14"/>
        </w:rPr>
        <w:t> </w:t>
      </w:r>
      <w:r>
        <w:rPr/>
        <w:t>can</w:t>
      </w:r>
      <w:r>
        <w:rPr>
          <w:spacing w:val="-15"/>
        </w:rPr>
        <w:t> </w:t>
      </w:r>
      <w:r>
        <w:rPr/>
        <w:t>displace</w:t>
      </w:r>
      <w:r>
        <w:rPr>
          <w:spacing w:val="-14"/>
        </w:rPr>
        <w:t> </w:t>
      </w:r>
      <w:r>
        <w:rPr/>
        <w:t>around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projectile</w:t>
      </w:r>
      <w:r>
        <w:rPr>
          <w:spacing w:val="-14"/>
        </w:rPr>
        <w:t> </w:t>
      </w:r>
      <w:r>
        <w:rPr/>
        <w:t>and</w:t>
      </w:r>
      <w:r>
        <w:rPr>
          <w:spacing w:val="-15"/>
        </w:rPr>
        <w:t> </w:t>
      </w:r>
      <w:r>
        <w:rPr/>
        <w:t>be</w:t>
      </w:r>
      <w:r>
        <w:rPr>
          <w:spacing w:val="-14"/>
        </w:rPr>
        <w:t> </w:t>
      </w:r>
      <w:r>
        <w:rPr/>
        <w:t>pushed</w:t>
      </w:r>
      <w:r>
        <w:rPr>
          <w:spacing w:val="-14"/>
        </w:rPr>
        <w:t> </w:t>
      </w:r>
      <w:r>
        <w:rPr/>
        <w:t>out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front</w:t>
      </w:r>
      <w:r>
        <w:rPr>
          <w:spacing w:val="-14"/>
        </w:rPr>
        <w:t> </w:t>
      </w:r>
      <w:r>
        <w:rPr/>
        <w:t>face.</w:t>
      </w:r>
      <w:r>
        <w:rPr>
          <w:spacing w:val="33"/>
        </w:rPr>
        <w:t> </w:t>
      </w:r>
      <w:r>
        <w:rPr/>
        <w:t>Whereas</w:t>
      </w:r>
      <w:r>
        <w:rPr>
          <w:spacing w:val="-58"/>
        </w:rPr>
        <w:t> </w:t>
      </w:r>
      <w:r>
        <w:rPr/>
        <w:t>in deeper penetrations, the target material has nowhere to escape so the projectile must</w:t>
      </w:r>
      <w:r>
        <w:rPr>
          <w:spacing w:val="1"/>
        </w:rPr>
        <w:t> </w:t>
      </w:r>
      <w:r>
        <w:rPr/>
        <w:t>push</w:t>
      </w:r>
      <w:r>
        <w:rPr>
          <w:spacing w:val="11"/>
        </w:rPr>
        <w:t> </w:t>
      </w:r>
      <w:r>
        <w:rPr/>
        <w:t>that</w:t>
      </w:r>
      <w:r>
        <w:rPr>
          <w:spacing w:val="11"/>
        </w:rPr>
        <w:t> </w:t>
      </w:r>
      <w:r>
        <w:rPr/>
        <w:t>material</w:t>
      </w:r>
      <w:r>
        <w:rPr>
          <w:spacing w:val="11"/>
        </w:rPr>
        <w:t> </w:t>
      </w:r>
      <w:r>
        <w:rPr/>
        <w:t>forward</w:t>
      </w:r>
      <w:r>
        <w:rPr>
          <w:spacing w:val="11"/>
        </w:rPr>
        <w:t> </w:t>
      </w:r>
      <w:r>
        <w:rPr/>
        <w:t>to</w:t>
      </w:r>
      <w:r>
        <w:rPr>
          <w:spacing w:val="11"/>
        </w:rPr>
        <w:t> </w:t>
      </w:r>
      <w:r>
        <w:rPr/>
        <w:t>sideways</w:t>
      </w:r>
      <w:r>
        <w:rPr>
          <w:spacing w:val="11"/>
        </w:rPr>
        <w:t> </w:t>
      </w:r>
      <w:r>
        <w:rPr/>
        <w:t>as</w:t>
      </w:r>
      <w:r>
        <w:rPr>
          <w:spacing w:val="11"/>
        </w:rPr>
        <w:t> </w:t>
      </w:r>
      <w:r>
        <w:rPr/>
        <w:t>it</w:t>
      </w:r>
      <w:r>
        <w:rPr>
          <w:spacing w:val="11"/>
        </w:rPr>
        <w:t> </w:t>
      </w:r>
      <w:r>
        <w:rPr/>
        <w:t>advances</w:t>
      </w:r>
      <w:r>
        <w:rPr>
          <w:spacing w:val="11"/>
        </w:rPr>
        <w:t> </w:t>
      </w:r>
      <w:r>
        <w:rPr/>
        <w:t>or</w:t>
      </w:r>
      <w:r>
        <w:rPr>
          <w:spacing w:val="11"/>
        </w:rPr>
        <w:t> </w:t>
      </w:r>
      <w:r>
        <w:rPr/>
        <w:t>compress</w:t>
      </w:r>
      <w:r>
        <w:rPr>
          <w:spacing w:val="11"/>
        </w:rPr>
        <w:t> </w:t>
      </w:r>
      <w:r>
        <w:rPr/>
        <w:t>that</w:t>
      </w:r>
      <w:r>
        <w:rPr>
          <w:spacing w:val="10"/>
        </w:rPr>
        <w:t> </w:t>
      </w:r>
      <w:r>
        <w:rPr/>
        <w:t>material</w:t>
      </w:r>
      <w:r>
        <w:rPr>
          <w:spacing w:val="11"/>
        </w:rPr>
        <w:t> </w:t>
      </w:r>
      <w:r>
        <w:rPr/>
        <w:t>until</w:t>
      </w:r>
      <w:r>
        <w:rPr>
          <w:spacing w:val="11"/>
        </w:rPr>
        <w:t> </w:t>
      </w:r>
      <w:r>
        <w:rPr/>
        <w:t>the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40" w:right="257"/>
        <w:jc w:val="both"/>
      </w:pPr>
      <w:r>
        <w:rPr/>
        <w:t>projectile has passed.</w:t>
      </w:r>
      <w:r>
        <w:rPr>
          <w:spacing w:val="1"/>
        </w:rPr>
        <w:t> </w:t>
      </w:r>
      <w:r>
        <w:rPr/>
        <w:t>With shorter projectiles, it may be easier for that deformed target</w:t>
      </w:r>
      <w:r>
        <w:rPr>
          <w:spacing w:val="1"/>
        </w:rPr>
        <w:t> </w:t>
      </w:r>
      <w:r>
        <w:rPr/>
        <w:t>material</w:t>
      </w:r>
      <w:r>
        <w:rPr>
          <w:spacing w:val="-1"/>
        </w:rPr>
        <w:t> </w:t>
      </w:r>
      <w:r>
        <w:rPr/>
        <w:t>to displace behind the projectile [95].</w:t>
      </w:r>
    </w:p>
    <w:p>
      <w:pPr>
        <w:pStyle w:val="Heading9"/>
        <w:numPr>
          <w:ilvl w:val="1"/>
          <w:numId w:val="17"/>
        </w:numPr>
        <w:tabs>
          <w:tab w:pos="920" w:val="left" w:leader="none"/>
        </w:tabs>
        <w:spacing w:line="240" w:lineRule="auto" w:before="162" w:after="0"/>
        <w:ind w:left="920" w:right="0" w:hanging="480"/>
        <w:jc w:val="both"/>
      </w:pPr>
      <w:bookmarkStart w:name="_TOC_250048" w:id="150"/>
      <w:bookmarkStart w:name="3.13 Projectile characteristics and infl" w:id="151"/>
      <w:r>
        <w:rPr>
          <w:b w:val="0"/>
        </w:rPr>
      </w:r>
      <w:bookmarkEnd w:id="151"/>
      <w:bookmarkStart w:name="3.13 Projectile characteristics and infl" w:id="152"/>
      <w:r>
        <w:rPr/>
        <w:t>P</w:t>
      </w:r>
      <w:r>
        <w:rPr/>
        <w:t>rojectile</w:t>
      </w:r>
      <w:r>
        <w:rPr>
          <w:spacing w:val="-5"/>
        </w:rPr>
        <w:t> </w:t>
      </w:r>
      <w:r>
        <w:rPr/>
        <w:t>characteristics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bookmarkEnd w:id="150"/>
      <w:r>
        <w:rPr/>
        <w:t>influence</w:t>
      </w:r>
    </w:p>
    <w:p>
      <w:pPr>
        <w:pStyle w:val="BodyText"/>
        <w:spacing w:before="6"/>
        <w:rPr>
          <w:b/>
          <w:sz w:val="22"/>
        </w:rPr>
      </w:pPr>
    </w:p>
    <w:p>
      <w:pPr>
        <w:pStyle w:val="BodyText"/>
        <w:spacing w:line="480" w:lineRule="auto"/>
        <w:ind w:left="439" w:right="256" w:firstLine="720"/>
        <w:jc w:val="both"/>
      </w:pPr>
      <w:r>
        <w:rPr/>
        <w:t>In terms of ballistics and munitions design, there are multiple types of projectiles.</w:t>
      </w:r>
      <w:r>
        <w:rPr>
          <w:spacing w:val="1"/>
        </w:rPr>
        <w:t> </w:t>
      </w:r>
      <w:r>
        <w:rPr/>
        <w:t>Kinetic</w:t>
      </w:r>
      <w:r>
        <w:rPr>
          <w:spacing w:val="1"/>
        </w:rPr>
        <w:t> </w:t>
      </w:r>
      <w:r>
        <w:rPr/>
        <w:t>energy</w:t>
      </w:r>
      <w:r>
        <w:rPr>
          <w:spacing w:val="1"/>
        </w:rPr>
        <w:t> </w:t>
      </w:r>
      <w:r>
        <w:rPr/>
        <w:t>projectiles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where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energy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projectile</w:t>
      </w:r>
      <w:r>
        <w:rPr>
          <w:spacing w:val="1"/>
        </w:rPr>
        <w:t> </w:t>
      </w:r>
      <w:r>
        <w:rPr/>
        <w:t>motion</w:t>
      </w:r>
      <w:r>
        <w:rPr>
          <w:spacing w:val="1"/>
        </w:rPr>
        <w:t> </w:t>
      </w:r>
      <w:r>
        <w:rPr/>
        <w:t>results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penetration or the projectile pushing into and possibly through a barrier or target [126].</w:t>
      </w:r>
      <w:r>
        <w:rPr>
          <w:spacing w:val="1"/>
        </w:rPr>
        <w:t> </w:t>
      </w:r>
      <w:r>
        <w:rPr>
          <w:spacing w:val="-1"/>
        </w:rPr>
        <w:t>Other</w:t>
      </w:r>
      <w:r>
        <w:rPr>
          <w:spacing w:val="-14"/>
        </w:rPr>
        <w:t> </w:t>
      </w:r>
      <w:r>
        <w:rPr>
          <w:spacing w:val="-1"/>
        </w:rPr>
        <w:t>projectiles</w:t>
      </w:r>
      <w:r>
        <w:rPr>
          <w:spacing w:val="-15"/>
        </w:rPr>
        <w:t> </w:t>
      </w:r>
      <w:r>
        <w:rPr/>
        <w:t>may</w:t>
      </w:r>
      <w:r>
        <w:rPr>
          <w:spacing w:val="-15"/>
        </w:rPr>
        <w:t> </w:t>
      </w:r>
      <w:r>
        <w:rPr/>
        <w:t>be</w:t>
      </w:r>
      <w:r>
        <w:rPr>
          <w:spacing w:val="-13"/>
        </w:rPr>
        <w:t> </w:t>
      </w:r>
      <w:r>
        <w:rPr/>
        <w:t>designed</w:t>
      </w:r>
      <w:r>
        <w:rPr>
          <w:spacing w:val="-15"/>
        </w:rPr>
        <w:t> </w:t>
      </w:r>
      <w:r>
        <w:rPr/>
        <w:t>with</w:t>
      </w:r>
      <w:r>
        <w:rPr>
          <w:spacing w:val="-15"/>
        </w:rPr>
        <w:t> </w:t>
      </w:r>
      <w:r>
        <w:rPr/>
        <w:t>different</w:t>
      </w:r>
      <w:r>
        <w:rPr>
          <w:spacing w:val="-14"/>
        </w:rPr>
        <w:t> </w:t>
      </w:r>
      <w:r>
        <w:rPr/>
        <w:t>desired</w:t>
      </w:r>
      <w:r>
        <w:rPr>
          <w:spacing w:val="-16"/>
        </w:rPr>
        <w:t> </w:t>
      </w:r>
      <w:r>
        <w:rPr/>
        <w:t>terminal</w:t>
      </w:r>
      <w:r>
        <w:rPr>
          <w:spacing w:val="-14"/>
        </w:rPr>
        <w:t> </w:t>
      </w:r>
      <w:r>
        <w:rPr/>
        <w:t>effects,</w:t>
      </w:r>
      <w:r>
        <w:rPr>
          <w:spacing w:val="-15"/>
        </w:rPr>
        <w:t> </w:t>
      </w:r>
      <w:r>
        <w:rPr/>
        <w:t>such</w:t>
      </w:r>
      <w:r>
        <w:rPr>
          <w:spacing w:val="-15"/>
        </w:rPr>
        <w:t> </w:t>
      </w:r>
      <w:r>
        <w:rPr/>
        <w:t>as</w:t>
      </w:r>
      <w:r>
        <w:rPr>
          <w:spacing w:val="-15"/>
        </w:rPr>
        <w:t> </w:t>
      </w:r>
      <w:r>
        <w:rPr/>
        <w:t>a</w:t>
      </w:r>
      <w:r>
        <w:rPr>
          <w:spacing w:val="-15"/>
        </w:rPr>
        <w:t> </w:t>
      </w:r>
      <w:r>
        <w:rPr/>
        <w:t>warhead</w:t>
      </w:r>
      <w:r>
        <w:rPr>
          <w:spacing w:val="-58"/>
        </w:rPr>
        <w:t> </w:t>
      </w:r>
      <w:r>
        <w:rPr/>
        <w:t>which can contain explosive or chemical charge designed to initiate upon contact with the</w:t>
      </w:r>
      <w:r>
        <w:rPr>
          <w:spacing w:val="-57"/>
        </w:rPr>
        <w:t> </w:t>
      </w:r>
      <w:r>
        <w:rPr/>
        <w:t>target.</w:t>
      </w:r>
      <w:r>
        <w:rPr>
          <w:spacing w:val="38"/>
        </w:rPr>
        <w:t> </w:t>
      </w:r>
      <w:r>
        <w:rPr/>
        <w:t>An</w:t>
      </w:r>
      <w:r>
        <w:rPr>
          <w:spacing w:val="-11"/>
        </w:rPr>
        <w:t> </w:t>
      </w:r>
      <w:r>
        <w:rPr/>
        <w:t>example</w:t>
      </w:r>
      <w:r>
        <w:rPr>
          <w:spacing w:val="-10"/>
        </w:rPr>
        <w:t> </w:t>
      </w:r>
      <w:r>
        <w:rPr/>
        <w:t>of</w:t>
      </w:r>
      <w:r>
        <w:rPr>
          <w:spacing w:val="-11"/>
        </w:rPr>
        <w:t> </w:t>
      </w:r>
      <w:r>
        <w:rPr/>
        <w:t>a</w:t>
      </w:r>
      <w:r>
        <w:rPr>
          <w:spacing w:val="-11"/>
        </w:rPr>
        <w:t> </w:t>
      </w:r>
      <w:r>
        <w:rPr/>
        <w:t>specialized</w:t>
      </w:r>
      <w:r>
        <w:rPr>
          <w:spacing w:val="-10"/>
        </w:rPr>
        <w:t> </w:t>
      </w:r>
      <w:r>
        <w:rPr/>
        <w:t>warhead</w:t>
      </w:r>
      <w:r>
        <w:rPr>
          <w:spacing w:val="-11"/>
        </w:rPr>
        <w:t> </w:t>
      </w:r>
      <w:r>
        <w:rPr/>
        <w:t>is</w:t>
      </w:r>
      <w:r>
        <w:rPr>
          <w:spacing w:val="-11"/>
        </w:rPr>
        <w:t> </w:t>
      </w:r>
      <w:r>
        <w:rPr/>
        <w:t>a</w:t>
      </w:r>
      <w:r>
        <w:rPr>
          <w:spacing w:val="-10"/>
        </w:rPr>
        <w:t> </w:t>
      </w:r>
      <w:r>
        <w:rPr/>
        <w:t>munition</w:t>
      </w:r>
      <w:r>
        <w:rPr>
          <w:spacing w:val="-11"/>
        </w:rPr>
        <w:t> </w:t>
      </w:r>
      <w:r>
        <w:rPr/>
        <w:t>known</w:t>
      </w:r>
      <w:r>
        <w:rPr>
          <w:spacing w:val="-11"/>
        </w:rPr>
        <w:t> </w:t>
      </w:r>
      <w:r>
        <w:rPr/>
        <w:t>as</w:t>
      </w:r>
      <w:r>
        <w:rPr>
          <w:spacing w:val="-10"/>
        </w:rPr>
        <w:t> </w:t>
      </w:r>
      <w:r>
        <w:rPr/>
        <w:t>a</w:t>
      </w:r>
      <w:r>
        <w:rPr>
          <w:spacing w:val="-11"/>
        </w:rPr>
        <w:t> </w:t>
      </w:r>
      <w:r>
        <w:rPr/>
        <w:t>bunker</w:t>
      </w:r>
      <w:r>
        <w:rPr>
          <w:spacing w:val="-11"/>
        </w:rPr>
        <w:t> </w:t>
      </w:r>
      <w:r>
        <w:rPr/>
        <w:t>buster</w:t>
      </w:r>
      <w:r>
        <w:rPr>
          <w:spacing w:val="-11"/>
        </w:rPr>
        <w:t> </w:t>
      </w:r>
      <w:r>
        <w:rPr/>
        <w:t>which</w:t>
      </w:r>
      <w:r>
        <w:rPr>
          <w:spacing w:val="-58"/>
        </w:rPr>
        <w:t> </w:t>
      </w:r>
      <w:r>
        <w:rPr/>
        <w:t>is designed to penetrate, either into the earth or through reinforced concrete, and then</w:t>
      </w:r>
      <w:r>
        <w:rPr>
          <w:spacing w:val="1"/>
        </w:rPr>
        <w:t> </w:t>
      </w:r>
      <w:r>
        <w:rPr/>
        <w:t>explode in order to reach underground or hardened targets.</w:t>
      </w:r>
      <w:r>
        <w:rPr>
          <w:spacing w:val="1"/>
        </w:rPr>
        <w:t> </w:t>
      </w:r>
      <w:r>
        <w:rPr/>
        <w:t>These warhead munitions are</w:t>
      </w:r>
      <w:r>
        <w:rPr>
          <w:spacing w:val="1"/>
        </w:rPr>
        <w:t> </w:t>
      </w:r>
      <w:r>
        <w:rPr/>
        <w:t>often dropped from aircraft above the target so they are not without an element of kinetic</w:t>
      </w:r>
      <w:r>
        <w:rPr>
          <w:spacing w:val="1"/>
        </w:rPr>
        <w:t> </w:t>
      </w:r>
      <w:r>
        <w:rPr/>
        <w:t>energy.</w:t>
      </w:r>
      <w:r>
        <w:rPr>
          <w:spacing w:val="1"/>
        </w:rPr>
        <w:t> </w:t>
      </w:r>
      <w:r>
        <w:rPr/>
        <w:t>Unlike the small arms kinetic energy penetrators, these munitions often have</w:t>
      </w:r>
      <w:r>
        <w:rPr>
          <w:spacing w:val="1"/>
        </w:rPr>
        <w:t> </w:t>
      </w:r>
      <w:r>
        <w:rPr/>
        <w:t>delayed</w:t>
      </w:r>
      <w:r>
        <w:rPr>
          <w:spacing w:val="-10"/>
        </w:rPr>
        <w:t> </w:t>
      </w:r>
      <w:r>
        <w:rPr/>
        <w:t>or</w:t>
      </w:r>
      <w:r>
        <w:rPr>
          <w:spacing w:val="-8"/>
        </w:rPr>
        <w:t> </w:t>
      </w:r>
      <w:r>
        <w:rPr/>
        <w:t>advanced</w:t>
      </w:r>
      <w:r>
        <w:rPr>
          <w:spacing w:val="-9"/>
        </w:rPr>
        <w:t> </w:t>
      </w:r>
      <w:r>
        <w:rPr/>
        <w:t>technology</w:t>
      </w:r>
      <w:r>
        <w:rPr>
          <w:spacing w:val="-9"/>
        </w:rPr>
        <w:t> </w:t>
      </w:r>
      <w:r>
        <w:rPr/>
        <w:t>fuses</w:t>
      </w:r>
      <w:r>
        <w:rPr>
          <w:spacing w:val="-8"/>
        </w:rPr>
        <w:t> </w:t>
      </w:r>
      <w:r>
        <w:rPr/>
        <w:t>and</w:t>
      </w:r>
      <w:r>
        <w:rPr>
          <w:spacing w:val="-9"/>
        </w:rPr>
        <w:t> </w:t>
      </w:r>
      <w:r>
        <w:rPr/>
        <w:t>explosive</w:t>
      </w:r>
      <w:r>
        <w:rPr>
          <w:spacing w:val="-8"/>
        </w:rPr>
        <w:t> </w:t>
      </w:r>
      <w:r>
        <w:rPr/>
        <w:t>packed</w:t>
      </w:r>
      <w:r>
        <w:rPr>
          <w:spacing w:val="-10"/>
        </w:rPr>
        <w:t> </w:t>
      </w:r>
      <w:r>
        <w:rPr/>
        <w:t>into</w:t>
      </w:r>
      <w:r>
        <w:rPr>
          <w:spacing w:val="-10"/>
        </w:rPr>
        <w:t> </w:t>
      </w:r>
      <w:r>
        <w:rPr/>
        <w:t>the</w:t>
      </w:r>
      <w:r>
        <w:rPr>
          <w:spacing w:val="-8"/>
        </w:rPr>
        <w:t> </w:t>
      </w:r>
      <w:r>
        <w:rPr/>
        <w:t>nose</w:t>
      </w:r>
      <w:r>
        <w:rPr>
          <w:spacing w:val="-10"/>
        </w:rPr>
        <w:t> </w:t>
      </w:r>
      <w:r>
        <w:rPr/>
        <w:t>which</w:t>
      </w:r>
      <w:r>
        <w:rPr>
          <w:spacing w:val="-9"/>
        </w:rPr>
        <w:t> </w:t>
      </w:r>
      <w:r>
        <w:rPr/>
        <w:t>can</w:t>
      </w:r>
      <w:r>
        <w:rPr>
          <w:spacing w:val="-10"/>
        </w:rPr>
        <w:t> </w:t>
      </w:r>
      <w:r>
        <w:rPr/>
        <w:t>inflict</w:t>
      </w:r>
      <w:r>
        <w:rPr>
          <w:spacing w:val="-58"/>
        </w:rPr>
        <w:t> </w:t>
      </w:r>
      <w:r>
        <w:rPr/>
        <w:t>the</w:t>
      </w:r>
      <w:r>
        <w:rPr>
          <w:spacing w:val="-1"/>
        </w:rPr>
        <w:t> </w:t>
      </w:r>
      <w:r>
        <w:rPr/>
        <w:t>desired</w:t>
      </w:r>
      <w:r>
        <w:rPr>
          <w:spacing w:val="-2"/>
        </w:rPr>
        <w:t> </w:t>
      </w:r>
      <w:r>
        <w:rPr/>
        <w:t>terminal effect on the</w:t>
      </w:r>
      <w:r>
        <w:rPr>
          <w:spacing w:val="-1"/>
        </w:rPr>
        <w:t> </w:t>
      </w:r>
      <w:r>
        <w:rPr/>
        <w:t>target when</w:t>
      </w:r>
      <w:r>
        <w:rPr>
          <w:spacing w:val="-1"/>
        </w:rPr>
        <w:t> </w:t>
      </w:r>
      <w:r>
        <w:rPr/>
        <w:t>employed.</w:t>
      </w:r>
    </w:p>
    <w:p>
      <w:pPr>
        <w:pStyle w:val="BodyText"/>
        <w:spacing w:line="480" w:lineRule="auto" w:before="160"/>
        <w:ind w:left="440" w:right="256" w:firstLine="720"/>
        <w:jc w:val="both"/>
      </w:pPr>
      <w:r>
        <w:rPr/>
        <w:t>Small arms projectiles like those fired from handguns and rifles also have various</w:t>
      </w:r>
      <w:r>
        <w:rPr>
          <w:spacing w:val="1"/>
        </w:rPr>
        <w:t> </w:t>
      </w:r>
      <w:r>
        <w:rPr/>
        <w:t>designs.</w:t>
      </w:r>
      <w:r>
        <w:rPr>
          <w:spacing w:val="1"/>
        </w:rPr>
        <w:t> </w:t>
      </w:r>
      <w:r>
        <w:rPr/>
        <w:t>Terms</w:t>
      </w:r>
      <w:r>
        <w:rPr>
          <w:spacing w:val="1"/>
        </w:rPr>
        <w:t> </w:t>
      </w:r>
      <w:r>
        <w:rPr/>
        <w:t>like</w:t>
      </w:r>
      <w:r>
        <w:rPr>
          <w:spacing w:val="1"/>
        </w:rPr>
        <w:t> </w:t>
      </w:r>
      <w:r>
        <w:rPr/>
        <w:t>full</w:t>
      </w:r>
      <w:r>
        <w:rPr>
          <w:spacing w:val="1"/>
        </w:rPr>
        <w:t> </w:t>
      </w:r>
      <w:r>
        <w:rPr/>
        <w:t>metal</w:t>
      </w:r>
      <w:r>
        <w:rPr>
          <w:spacing w:val="1"/>
        </w:rPr>
        <w:t> </w:t>
      </w:r>
      <w:r>
        <w:rPr/>
        <w:t>jacket,</w:t>
      </w:r>
      <w:r>
        <w:rPr>
          <w:spacing w:val="1"/>
        </w:rPr>
        <w:t> </w:t>
      </w:r>
      <w:r>
        <w:rPr/>
        <w:t>hollow</w:t>
      </w:r>
      <w:r>
        <w:rPr>
          <w:spacing w:val="1"/>
        </w:rPr>
        <w:t> </w:t>
      </w:r>
      <w:r>
        <w:rPr/>
        <w:t>point,</w:t>
      </w:r>
      <w:r>
        <w:rPr>
          <w:spacing w:val="1"/>
        </w:rPr>
        <w:t> </w:t>
      </w:r>
      <w:r>
        <w:rPr/>
        <w:t>semi-wad</w:t>
      </w:r>
      <w:r>
        <w:rPr>
          <w:spacing w:val="1"/>
        </w:rPr>
        <w:t> </w:t>
      </w:r>
      <w:r>
        <w:rPr/>
        <w:t>cutter</w:t>
      </w:r>
      <w:r>
        <w:rPr>
          <w:spacing w:val="1"/>
        </w:rPr>
        <w:t> </w:t>
      </w:r>
      <w:r>
        <w:rPr/>
        <w:t>all</w:t>
      </w:r>
      <w:r>
        <w:rPr>
          <w:spacing w:val="1"/>
        </w:rPr>
        <w:t> </w:t>
      </w:r>
      <w:r>
        <w:rPr/>
        <w:t>apply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conventional</w:t>
      </w:r>
      <w:r>
        <w:rPr>
          <w:spacing w:val="-7"/>
        </w:rPr>
        <w:t> </w:t>
      </w:r>
      <w:r>
        <w:rPr/>
        <w:t>small</w:t>
      </w:r>
      <w:r>
        <w:rPr>
          <w:spacing w:val="-7"/>
        </w:rPr>
        <w:t> </w:t>
      </w:r>
      <w:r>
        <w:rPr/>
        <w:t>arms</w:t>
      </w:r>
      <w:r>
        <w:rPr>
          <w:spacing w:val="-6"/>
        </w:rPr>
        <w:t> </w:t>
      </w:r>
      <w:r>
        <w:rPr/>
        <w:t>munitions.</w:t>
      </w:r>
      <w:r>
        <w:rPr>
          <w:spacing w:val="45"/>
        </w:rPr>
        <w:t> </w:t>
      </w:r>
      <w:r>
        <w:rPr/>
        <w:t>The</w:t>
      </w:r>
      <w:r>
        <w:rPr>
          <w:spacing w:val="-6"/>
        </w:rPr>
        <w:t> </w:t>
      </w:r>
      <w:r>
        <w:rPr/>
        <w:t>main</w:t>
      </w:r>
      <w:r>
        <w:rPr>
          <w:spacing w:val="-7"/>
        </w:rPr>
        <w:t> </w:t>
      </w:r>
      <w:r>
        <w:rPr/>
        <w:t>differences</w:t>
      </w:r>
      <w:r>
        <w:rPr>
          <w:spacing w:val="-6"/>
        </w:rPr>
        <w:t> </w:t>
      </w:r>
      <w:r>
        <w:rPr/>
        <w:t>with</w:t>
      </w:r>
      <w:r>
        <w:rPr>
          <w:spacing w:val="-7"/>
        </w:rPr>
        <w:t> </w:t>
      </w:r>
      <w:r>
        <w:rPr/>
        <w:t>this</w:t>
      </w:r>
      <w:r>
        <w:rPr>
          <w:spacing w:val="-7"/>
        </w:rPr>
        <w:t> </w:t>
      </w:r>
      <w:r>
        <w:rPr/>
        <w:t>type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munition</w:t>
      </w:r>
      <w:r>
        <w:rPr>
          <w:spacing w:val="-7"/>
        </w:rPr>
        <w:t> </w:t>
      </w:r>
      <w:r>
        <w:rPr/>
        <w:t>is</w:t>
      </w:r>
      <w:r>
        <w:rPr>
          <w:spacing w:val="-7"/>
        </w:rPr>
        <w:t> </w:t>
      </w:r>
      <w:r>
        <w:rPr/>
        <w:t>the</w:t>
      </w:r>
      <w:r>
        <w:rPr>
          <w:spacing w:val="-58"/>
        </w:rPr>
        <w:t> </w:t>
      </w:r>
      <w:r>
        <w:rPr/>
        <w:t>shape and structure of the nose of the projectile, which vary depending on the desired</w:t>
      </w:r>
      <w:r>
        <w:rPr>
          <w:spacing w:val="1"/>
        </w:rPr>
        <w:t> </w:t>
      </w:r>
      <w:r>
        <w:rPr/>
        <w:t>terminal effects of the individual shooting the projectile.</w:t>
      </w:r>
      <w:r>
        <w:rPr>
          <w:spacing w:val="1"/>
        </w:rPr>
        <w:t> </w:t>
      </w:r>
      <w:r>
        <w:rPr/>
        <w:t>Some rounds, like the hollow</w:t>
      </w:r>
      <w:r>
        <w:rPr>
          <w:spacing w:val="1"/>
        </w:rPr>
        <w:t> </w:t>
      </w:r>
      <w:r>
        <w:rPr/>
        <w:t>point variety are designed to expand upon impact, creating a larger diameter crater or</w:t>
      </w:r>
      <w:r>
        <w:rPr>
          <w:spacing w:val="1"/>
        </w:rPr>
        <w:t> </w:t>
      </w:r>
      <w:r>
        <w:rPr/>
        <w:t>projectile path than a full metal jacket.</w:t>
      </w:r>
      <w:r>
        <w:rPr>
          <w:spacing w:val="1"/>
        </w:rPr>
        <w:t> </w:t>
      </w:r>
      <w:r>
        <w:rPr/>
        <w:t>With the exception of tracer ammunition, which</w:t>
      </w:r>
      <w:r>
        <w:rPr>
          <w:spacing w:val="1"/>
        </w:rPr>
        <w:t> </w:t>
      </w:r>
      <w:r>
        <w:rPr/>
        <w:t>have</w:t>
      </w:r>
      <w:r>
        <w:rPr>
          <w:spacing w:val="26"/>
        </w:rPr>
        <w:t> </w:t>
      </w:r>
      <w:r>
        <w:rPr/>
        <w:t>a</w:t>
      </w:r>
      <w:r>
        <w:rPr>
          <w:spacing w:val="27"/>
        </w:rPr>
        <w:t> </w:t>
      </w:r>
      <w:r>
        <w:rPr/>
        <w:t>small</w:t>
      </w:r>
      <w:r>
        <w:rPr>
          <w:spacing w:val="27"/>
        </w:rPr>
        <w:t> </w:t>
      </w:r>
      <w:r>
        <w:rPr/>
        <w:t>charge</w:t>
      </w:r>
      <w:r>
        <w:rPr>
          <w:spacing w:val="27"/>
        </w:rPr>
        <w:t> </w:t>
      </w:r>
      <w:r>
        <w:rPr/>
        <w:t>in</w:t>
      </w:r>
      <w:r>
        <w:rPr>
          <w:spacing w:val="26"/>
        </w:rPr>
        <w:t> </w:t>
      </w:r>
      <w:r>
        <w:rPr/>
        <w:t>the</w:t>
      </w:r>
      <w:r>
        <w:rPr>
          <w:spacing w:val="27"/>
        </w:rPr>
        <w:t> </w:t>
      </w:r>
      <w:r>
        <w:rPr/>
        <w:t>base</w:t>
      </w:r>
      <w:r>
        <w:rPr>
          <w:spacing w:val="26"/>
        </w:rPr>
        <w:t> </w:t>
      </w:r>
      <w:r>
        <w:rPr/>
        <w:t>that</w:t>
      </w:r>
      <w:r>
        <w:rPr>
          <w:spacing w:val="26"/>
        </w:rPr>
        <w:t> </w:t>
      </w:r>
      <w:r>
        <w:rPr/>
        <w:t>burns</w:t>
      </w:r>
      <w:r>
        <w:rPr>
          <w:spacing w:val="27"/>
        </w:rPr>
        <w:t> </w:t>
      </w:r>
      <w:r>
        <w:rPr/>
        <w:t>to</w:t>
      </w:r>
      <w:r>
        <w:rPr>
          <w:spacing w:val="26"/>
        </w:rPr>
        <w:t> </w:t>
      </w:r>
      <w:r>
        <w:rPr/>
        <w:t>illuminate</w:t>
      </w:r>
      <w:r>
        <w:rPr>
          <w:spacing w:val="27"/>
        </w:rPr>
        <w:t> </w:t>
      </w:r>
      <w:r>
        <w:rPr/>
        <w:t>the</w:t>
      </w:r>
      <w:r>
        <w:rPr>
          <w:spacing w:val="25"/>
        </w:rPr>
        <w:t> </w:t>
      </w:r>
      <w:r>
        <w:rPr/>
        <w:t>path</w:t>
      </w:r>
      <w:r>
        <w:rPr>
          <w:spacing w:val="27"/>
        </w:rPr>
        <w:t> </w:t>
      </w:r>
      <w:r>
        <w:rPr/>
        <w:t>of</w:t>
      </w:r>
      <w:r>
        <w:rPr>
          <w:spacing w:val="25"/>
        </w:rPr>
        <w:t> </w:t>
      </w:r>
      <w:r>
        <w:rPr/>
        <w:t>the</w:t>
      </w:r>
      <w:r>
        <w:rPr>
          <w:spacing w:val="27"/>
        </w:rPr>
        <w:t> </w:t>
      </w:r>
      <w:r>
        <w:rPr/>
        <w:t>projectiles,</w:t>
      </w:r>
      <w:r>
        <w:rPr>
          <w:spacing w:val="26"/>
        </w:rPr>
        <w:t> </w:t>
      </w:r>
      <w:r>
        <w:rPr/>
        <w:t>the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40" w:right="257"/>
        <w:jc w:val="both"/>
      </w:pPr>
      <w:r>
        <w:rPr/>
        <w:pict>
          <v:rect style="position:absolute;margin-left:300.299988pt;margin-top:165.164154pt;width:6.66pt;height:.779pt;mso-position-horizontal-relative:page;mso-position-vertical-relative:paragraph;z-index:-34942464" filled="true" fillcolor="#000000" stroked="false">
            <v:fill type="solid"/>
            <w10:wrap type="none"/>
          </v:rect>
        </w:pict>
      </w:r>
      <w:r>
        <w:rPr/>
        <w:t>explosive portion of the small arms projectiles takes place within the weapon.</w:t>
      </w:r>
      <w:r>
        <w:rPr>
          <w:spacing w:val="1"/>
        </w:rPr>
        <w:t> </w:t>
      </w:r>
      <w:r>
        <w:rPr/>
        <w:t>Powder in</w:t>
      </w:r>
      <w:r>
        <w:rPr>
          <w:spacing w:val="1"/>
        </w:rPr>
        <w:t> </w:t>
      </w:r>
      <w:r>
        <w:rPr/>
        <w:t>the</w:t>
      </w:r>
      <w:r>
        <w:rPr>
          <w:spacing w:val="-11"/>
        </w:rPr>
        <w:t> </w:t>
      </w:r>
      <w:r>
        <w:rPr/>
        <w:t>cartridge</w:t>
      </w:r>
      <w:r>
        <w:rPr>
          <w:spacing w:val="-11"/>
        </w:rPr>
        <w:t> </w:t>
      </w:r>
      <w:r>
        <w:rPr/>
        <w:t>ignites</w:t>
      </w:r>
      <w:r>
        <w:rPr>
          <w:spacing w:val="-11"/>
        </w:rPr>
        <w:t> </w:t>
      </w:r>
      <w:r>
        <w:rPr/>
        <w:t>and</w:t>
      </w:r>
      <w:r>
        <w:rPr>
          <w:spacing w:val="-11"/>
        </w:rPr>
        <w:t> </w:t>
      </w:r>
      <w:r>
        <w:rPr/>
        <w:t>the</w:t>
      </w:r>
      <w:r>
        <w:rPr>
          <w:spacing w:val="-10"/>
        </w:rPr>
        <w:t> </w:t>
      </w:r>
      <w:r>
        <w:rPr/>
        <w:t>burning</w:t>
      </w:r>
      <w:r>
        <w:rPr>
          <w:spacing w:val="-12"/>
        </w:rPr>
        <w:t> </w:t>
      </w:r>
      <w:r>
        <w:rPr/>
        <w:t>propellant</w:t>
      </w:r>
      <w:r>
        <w:rPr>
          <w:spacing w:val="-11"/>
        </w:rPr>
        <w:t> </w:t>
      </w:r>
      <w:r>
        <w:rPr/>
        <w:t>rapidly</w:t>
      </w:r>
      <w:r>
        <w:rPr>
          <w:spacing w:val="-10"/>
        </w:rPr>
        <w:t> </w:t>
      </w:r>
      <w:r>
        <w:rPr/>
        <w:t>generates</w:t>
      </w:r>
      <w:r>
        <w:rPr>
          <w:spacing w:val="-10"/>
        </w:rPr>
        <w:t> </w:t>
      </w:r>
      <w:r>
        <w:rPr/>
        <w:t>a</w:t>
      </w:r>
      <w:r>
        <w:rPr>
          <w:spacing w:val="-11"/>
        </w:rPr>
        <w:t> </w:t>
      </w:r>
      <w:r>
        <w:rPr/>
        <w:t>large</w:t>
      </w:r>
      <w:r>
        <w:rPr>
          <w:spacing w:val="-10"/>
        </w:rPr>
        <w:t> </w:t>
      </w:r>
      <w:r>
        <w:rPr/>
        <w:t>amount</w:t>
      </w:r>
      <w:r>
        <w:rPr>
          <w:spacing w:val="-10"/>
        </w:rPr>
        <w:t> </w:t>
      </w:r>
      <w:r>
        <w:rPr/>
        <w:t>of</w:t>
      </w:r>
      <w:r>
        <w:rPr>
          <w:spacing w:val="-11"/>
        </w:rPr>
        <w:t> </w:t>
      </w:r>
      <w:r>
        <w:rPr/>
        <w:t>hot</w:t>
      </w:r>
      <w:r>
        <w:rPr>
          <w:spacing w:val="-9"/>
        </w:rPr>
        <w:t> </w:t>
      </w:r>
      <w:r>
        <w:rPr/>
        <w:t>gas.</w:t>
      </w:r>
      <w:r>
        <w:rPr>
          <w:spacing w:val="-58"/>
        </w:rPr>
        <w:t> </w:t>
      </w:r>
      <w:r>
        <w:rPr/>
        <w:t>The pressure of this gas expels the projectile from the end of the cartridge and sends it</w:t>
      </w:r>
      <w:r>
        <w:rPr>
          <w:spacing w:val="1"/>
        </w:rPr>
        <w:t> </w:t>
      </w:r>
      <w:r>
        <w:rPr/>
        <w:t>down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gun</w:t>
      </w:r>
      <w:r>
        <w:rPr>
          <w:spacing w:val="-7"/>
        </w:rPr>
        <w:t> </w:t>
      </w:r>
      <w:r>
        <w:rPr/>
        <w:t>barrel</w:t>
      </w:r>
      <w:r>
        <w:rPr>
          <w:spacing w:val="-6"/>
        </w:rPr>
        <w:t> </w:t>
      </w:r>
      <w:r>
        <w:rPr/>
        <w:t>at</w:t>
      </w:r>
      <w:r>
        <w:rPr>
          <w:spacing w:val="-7"/>
        </w:rPr>
        <w:t> </w:t>
      </w:r>
      <w:r>
        <w:rPr/>
        <w:t>high</w:t>
      </w:r>
      <w:r>
        <w:rPr>
          <w:spacing w:val="-6"/>
        </w:rPr>
        <w:t> </w:t>
      </w:r>
      <w:r>
        <w:rPr/>
        <w:t>speeds</w:t>
      </w:r>
      <w:r>
        <w:rPr>
          <w:spacing w:val="-8"/>
        </w:rPr>
        <w:t> </w:t>
      </w:r>
      <w:r>
        <w:rPr/>
        <w:t>towards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target.</w:t>
      </w:r>
      <w:r>
        <w:rPr>
          <w:spacing w:val="46"/>
        </w:rPr>
        <w:t> </w:t>
      </w:r>
      <w:r>
        <w:rPr/>
        <w:t>These</w:t>
      </w:r>
      <w:r>
        <w:rPr>
          <w:spacing w:val="-8"/>
        </w:rPr>
        <w:t> </w:t>
      </w:r>
      <w:r>
        <w:rPr/>
        <w:t>are</w:t>
      </w:r>
      <w:r>
        <w:rPr>
          <w:spacing w:val="-6"/>
        </w:rPr>
        <w:t> </w:t>
      </w:r>
      <w:r>
        <w:rPr/>
        <w:t>kinetic</w:t>
      </w:r>
      <w:r>
        <w:rPr>
          <w:spacing w:val="-7"/>
        </w:rPr>
        <w:t> </w:t>
      </w:r>
      <w:r>
        <w:rPr/>
        <w:t>energy</w:t>
      </w:r>
      <w:r>
        <w:rPr>
          <w:spacing w:val="-6"/>
        </w:rPr>
        <w:t> </w:t>
      </w:r>
      <w:r>
        <w:rPr/>
        <w:t>projectiles</w:t>
      </w:r>
      <w:r>
        <w:rPr>
          <w:spacing w:val="-58"/>
        </w:rPr>
        <w:t> </w:t>
      </w:r>
      <w:r>
        <w:rPr/>
        <w:t>and</w:t>
      </w:r>
      <w:r>
        <w:rPr>
          <w:spacing w:val="-1"/>
        </w:rPr>
        <w:t> </w:t>
      </w:r>
      <w:r>
        <w:rPr/>
        <w:t>the standard kinetic</w:t>
      </w:r>
      <w:r>
        <w:rPr>
          <w:spacing w:val="-2"/>
        </w:rPr>
        <w:t> </w:t>
      </w:r>
      <w:r>
        <w:rPr/>
        <w:t>energy equations as</w:t>
      </w:r>
      <w:r>
        <w:rPr>
          <w:spacing w:val="-2"/>
        </w:rPr>
        <w:t> </w:t>
      </w:r>
      <w:r>
        <w:rPr/>
        <w:t>shown in Equation</w:t>
      </w:r>
      <w:r>
        <w:rPr>
          <w:spacing w:val="-1"/>
        </w:rPr>
        <w:t> </w:t>
      </w:r>
      <w:r>
        <w:rPr/>
        <w:t>3.9 applies.</w:t>
      </w:r>
    </w:p>
    <w:p>
      <w:pPr>
        <w:pStyle w:val="BodyText"/>
        <w:spacing w:before="8" w:after="1"/>
        <w:rPr>
          <w:sz w:val="14"/>
        </w:rPr>
      </w:pPr>
    </w:p>
    <w:tbl>
      <w:tblPr>
        <w:tblW w:w="0" w:type="auto"/>
        <w:jc w:val="left"/>
        <w:tblInd w:w="345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64"/>
        <w:gridCol w:w="2463"/>
      </w:tblGrid>
      <w:tr>
        <w:trPr>
          <w:trHeight w:val="585" w:hRule="atLeast"/>
        </w:trPr>
        <w:tc>
          <w:tcPr>
            <w:tcW w:w="3264" w:type="dxa"/>
          </w:tcPr>
          <w:p>
            <w:pPr>
              <w:pStyle w:val="TableParagraph"/>
              <w:spacing w:line="364" w:lineRule="exact"/>
              <w:ind w:left="200"/>
              <w:rPr>
                <w:rFonts w:ascii="Cambria Math" w:eastAsia="Cambria Math"/>
                <w:sz w:val="24"/>
              </w:rPr>
            </w:pPr>
            <w:r>
              <w:rPr>
                <w:rFonts w:ascii="Cambria Math" w:eastAsia="Cambria Math"/>
                <w:sz w:val="24"/>
              </w:rPr>
              <w:t>𝐾𝐸</w:t>
            </w:r>
            <w:r>
              <w:rPr>
                <w:rFonts w:ascii="Cambria Math" w:eastAsia="Cambria Math"/>
                <w:spacing w:val="29"/>
                <w:sz w:val="24"/>
              </w:rPr>
              <w:t> </w:t>
            </w:r>
            <w:r>
              <w:rPr>
                <w:rFonts w:ascii="Cambria Math" w:eastAsia="Cambria Math"/>
                <w:sz w:val="24"/>
              </w:rPr>
              <w:t>=</w:t>
            </w:r>
            <w:r>
              <w:rPr>
                <w:rFonts w:ascii="Cambria Math" w:eastAsia="Cambria Math"/>
                <w:spacing w:val="20"/>
                <w:sz w:val="24"/>
              </w:rPr>
              <w:t> </w:t>
            </w:r>
            <w:r>
              <w:rPr>
                <w:rFonts w:ascii="Cambria Math" w:eastAsia="Cambria Math"/>
                <w:position w:val="18"/>
                <w:sz w:val="24"/>
              </w:rPr>
              <w:t>1</w:t>
            </w:r>
            <w:r>
              <w:rPr>
                <w:rFonts w:ascii="Cambria Math" w:eastAsia="Cambria Math"/>
                <w:spacing w:val="-9"/>
                <w:position w:val="18"/>
                <w:sz w:val="24"/>
              </w:rPr>
              <w:t> </w:t>
            </w:r>
            <w:r>
              <w:rPr>
                <w:rFonts w:ascii="Cambria Math" w:eastAsia="Cambria Math"/>
                <w:sz w:val="24"/>
              </w:rPr>
              <w:t>𝑚𝑣</w:t>
            </w:r>
            <w:r>
              <w:rPr>
                <w:rFonts w:ascii="Cambria Math" w:eastAsia="Cambria Math"/>
                <w:sz w:val="24"/>
                <w:vertAlign w:val="superscript"/>
              </w:rPr>
              <w:t>2</w:t>
            </w:r>
          </w:p>
          <w:p>
            <w:pPr>
              <w:pStyle w:val="TableParagraph"/>
              <w:spacing w:line="201" w:lineRule="exact"/>
              <w:ind w:left="839"/>
              <w:rPr>
                <w:rFonts w:ascii="Cambria Math"/>
                <w:sz w:val="24"/>
              </w:rPr>
            </w:pPr>
            <w:r>
              <w:rPr>
                <w:rFonts w:ascii="Cambria Math"/>
                <w:sz w:val="24"/>
              </w:rPr>
              <w:t>2</w:t>
            </w:r>
          </w:p>
        </w:tc>
        <w:tc>
          <w:tcPr>
            <w:tcW w:w="2463" w:type="dxa"/>
          </w:tcPr>
          <w:p>
            <w:pPr>
              <w:pStyle w:val="TableParagraph"/>
              <w:spacing w:line="266" w:lineRule="exact"/>
              <w:ind w:right="198"/>
              <w:jc w:val="right"/>
              <w:rPr>
                <w:sz w:val="24"/>
              </w:rPr>
            </w:pPr>
            <w:r>
              <w:rPr>
                <w:sz w:val="24"/>
              </w:rPr>
              <w:t>(3.9)</w:t>
            </w:r>
          </w:p>
        </w:tc>
      </w:tr>
    </w:tbl>
    <w:p>
      <w:pPr>
        <w:pStyle w:val="BodyText"/>
        <w:spacing w:before="9"/>
        <w:rPr>
          <w:sz w:val="11"/>
        </w:rPr>
      </w:pPr>
    </w:p>
    <w:p>
      <w:pPr>
        <w:pStyle w:val="BodyText"/>
        <w:spacing w:before="90"/>
        <w:ind w:left="440"/>
      </w:pPr>
      <w:r>
        <w:rPr/>
        <w:t>where</w:t>
      </w:r>
      <w:r>
        <w:rPr>
          <w:spacing w:val="-1"/>
        </w:rPr>
        <w:t> </w:t>
      </w:r>
      <w:r>
        <w:rPr>
          <w:i/>
        </w:rPr>
        <w:t>KE</w:t>
      </w:r>
      <w:r>
        <w:rPr>
          <w:i/>
          <w:spacing w:val="-2"/>
        </w:rPr>
        <w:t> </w:t>
      </w:r>
      <w:r>
        <w:rPr/>
        <w:t>represents</w:t>
      </w:r>
      <w:r>
        <w:rPr>
          <w:spacing w:val="-1"/>
        </w:rPr>
        <w:t> </w:t>
      </w:r>
      <w:r>
        <w:rPr/>
        <w:t>kinetic</w:t>
      </w:r>
      <w:r>
        <w:rPr>
          <w:spacing w:val="-2"/>
        </w:rPr>
        <w:t> </w:t>
      </w:r>
      <w:r>
        <w:rPr/>
        <w:t>energy,</w:t>
      </w:r>
      <w:r>
        <w:rPr>
          <w:spacing w:val="-3"/>
        </w:rPr>
        <w:t> </w:t>
      </w:r>
      <w:r>
        <w:rPr>
          <w:i/>
        </w:rPr>
        <w:t>m</w:t>
      </w:r>
      <w:r>
        <w:rPr>
          <w:i/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mass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>
          <w:i/>
        </w:rPr>
        <w:t>v</w:t>
      </w:r>
      <w:r>
        <w:rPr>
          <w:i/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velocity.</w:t>
      </w:r>
    </w:p>
    <w:p>
      <w:pPr>
        <w:pStyle w:val="BodyText"/>
        <w:spacing w:before="10"/>
        <w:rPr>
          <w:sz w:val="37"/>
        </w:rPr>
      </w:pPr>
    </w:p>
    <w:p>
      <w:pPr>
        <w:pStyle w:val="BodyText"/>
        <w:spacing w:line="480" w:lineRule="auto"/>
        <w:ind w:left="439" w:right="256" w:firstLine="720"/>
        <w:jc w:val="both"/>
      </w:pPr>
      <w:r>
        <w:rPr/>
        <w:t>Basic</w:t>
      </w:r>
      <w:r>
        <w:rPr>
          <w:spacing w:val="1"/>
        </w:rPr>
        <w:t> </w:t>
      </w:r>
      <w:r>
        <w:rPr/>
        <w:t>parameters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ballistic</w:t>
      </w:r>
      <w:r>
        <w:rPr>
          <w:spacing w:val="1"/>
        </w:rPr>
        <w:t> </w:t>
      </w:r>
      <w:r>
        <w:rPr/>
        <w:t>penetration</w:t>
      </w:r>
      <w:r>
        <w:rPr>
          <w:spacing w:val="1"/>
        </w:rPr>
        <w:t> </w:t>
      </w:r>
      <w:r>
        <w:rPr/>
        <w:t>calculations</w:t>
      </w:r>
      <w:r>
        <w:rPr>
          <w:spacing w:val="1"/>
        </w:rPr>
        <w:t> </w:t>
      </w:r>
      <w:r>
        <w:rPr/>
        <w:t>include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following</w:t>
      </w:r>
      <w:r>
        <w:rPr>
          <w:spacing w:val="1"/>
        </w:rPr>
        <w:t> </w:t>
      </w:r>
      <w:r>
        <w:rPr/>
        <w:t>information about the projectile: mass, length, diameter, nose shape, nose length, density</w:t>
      </w:r>
      <w:r>
        <w:rPr>
          <w:spacing w:val="1"/>
        </w:rPr>
        <w:t> </w:t>
      </w:r>
      <w:r>
        <w:rPr/>
        <w:t>and striking velocity.</w:t>
      </w:r>
      <w:r>
        <w:rPr>
          <w:spacing w:val="1"/>
        </w:rPr>
        <w:t> </w:t>
      </w:r>
      <w:r>
        <w:rPr/>
        <w:t>In experimental research, deformation and fragmentation of the</w:t>
      </w:r>
      <w:r>
        <w:rPr>
          <w:spacing w:val="1"/>
        </w:rPr>
        <w:t> </w:t>
      </w:r>
      <w:r>
        <w:rPr/>
        <w:t>penetrator data are also collected to help understand the event.</w:t>
      </w:r>
      <w:r>
        <w:rPr>
          <w:spacing w:val="1"/>
        </w:rPr>
        <w:t> </w:t>
      </w:r>
      <w:r>
        <w:rPr/>
        <w:t>Damage to the projectile</w:t>
      </w:r>
      <w:r>
        <w:rPr>
          <w:spacing w:val="1"/>
        </w:rPr>
        <w:t> </w:t>
      </w:r>
      <w:r>
        <w:rPr/>
        <w:t>can</w:t>
      </w:r>
      <w:r>
        <w:rPr>
          <w:spacing w:val="-1"/>
        </w:rPr>
        <w:t> </w:t>
      </w:r>
      <w:r>
        <w:rPr/>
        <w:t>be as</w:t>
      </w:r>
      <w:r>
        <w:rPr>
          <w:spacing w:val="-2"/>
        </w:rPr>
        <w:t> </w:t>
      </w:r>
      <w:r>
        <w:rPr/>
        <w:t>telling as</w:t>
      </w:r>
      <w:r>
        <w:rPr>
          <w:spacing w:val="-1"/>
        </w:rPr>
        <w:t> </w:t>
      </w:r>
      <w:r>
        <w:rPr/>
        <w:t>target</w:t>
      </w:r>
      <w:r>
        <w:rPr>
          <w:spacing w:val="-1"/>
        </w:rPr>
        <w:t> </w:t>
      </w:r>
      <w:r>
        <w:rPr/>
        <w:t>damage in regards</w:t>
      </w:r>
      <w:r>
        <w:rPr>
          <w:spacing w:val="-2"/>
        </w:rPr>
        <w:t> </w:t>
      </w:r>
      <w:r>
        <w:rPr/>
        <w:t>to how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energy</w:t>
      </w:r>
      <w:r>
        <w:rPr>
          <w:spacing w:val="-1"/>
        </w:rPr>
        <w:t> </w:t>
      </w:r>
      <w:r>
        <w:rPr/>
        <w:t>was dissipated.</w:t>
      </w:r>
    </w:p>
    <w:p>
      <w:pPr>
        <w:pStyle w:val="ListParagraph"/>
        <w:numPr>
          <w:ilvl w:val="2"/>
          <w:numId w:val="17"/>
        </w:numPr>
        <w:tabs>
          <w:tab w:pos="1100" w:val="left" w:leader="none"/>
        </w:tabs>
        <w:spacing w:line="240" w:lineRule="auto" w:before="161" w:after="0"/>
        <w:ind w:left="1100" w:right="0" w:hanging="661"/>
        <w:jc w:val="both"/>
        <w:rPr>
          <w:i/>
          <w:sz w:val="24"/>
        </w:rPr>
      </w:pPr>
      <w:bookmarkStart w:name="3.13.1 Nose shape" w:id="153"/>
      <w:bookmarkEnd w:id="153"/>
      <w:r>
        <w:rPr/>
      </w:r>
      <w:bookmarkStart w:name="3.13.1 Nose shape" w:id="154"/>
      <w:bookmarkEnd w:id="154"/>
      <w:r>
        <w:rPr>
          <w:i/>
          <w:sz w:val="24"/>
        </w:rPr>
        <w:t>N</w:t>
      </w:r>
      <w:r>
        <w:rPr>
          <w:i/>
          <w:sz w:val="24"/>
        </w:rPr>
        <w:t>ose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shape</w:t>
      </w:r>
    </w:p>
    <w:p>
      <w:pPr>
        <w:pStyle w:val="BodyText"/>
        <w:spacing w:before="8"/>
        <w:rPr>
          <w:i/>
          <w:sz w:val="22"/>
        </w:rPr>
      </w:pPr>
    </w:p>
    <w:p>
      <w:pPr>
        <w:pStyle w:val="BodyText"/>
        <w:spacing w:line="480" w:lineRule="auto"/>
        <w:ind w:left="439" w:right="257" w:firstLine="720"/>
        <w:jc w:val="both"/>
      </w:pPr>
      <w:r>
        <w:rPr/>
        <w:t>Shape of the projectile is significant to the mode of perforation and the ability of</w:t>
      </w:r>
      <w:r>
        <w:rPr>
          <w:spacing w:val="1"/>
        </w:rPr>
        <w:t> </w:t>
      </w:r>
      <w:r>
        <w:rPr/>
        <w:t>the target to resist penetration.</w:t>
      </w:r>
      <w:r>
        <w:rPr>
          <w:spacing w:val="1"/>
        </w:rPr>
        <w:t> </w:t>
      </w:r>
      <w:r>
        <w:rPr/>
        <w:t>Pointed penetrators allow for a piercing perforation where</w:t>
      </w:r>
      <w:r>
        <w:rPr>
          <w:spacing w:val="-57"/>
        </w:rPr>
        <w:t> </w:t>
      </w:r>
      <w:r>
        <w:rPr/>
        <w:t>the target fails about the projectile axis and high stress gradients are experienced at the</w:t>
      </w:r>
      <w:r>
        <w:rPr>
          <w:spacing w:val="1"/>
        </w:rPr>
        <w:t> </w:t>
      </w:r>
      <w:r>
        <w:rPr/>
        <w:t>pointed tip.</w:t>
      </w:r>
      <w:r>
        <w:rPr>
          <w:spacing w:val="1"/>
        </w:rPr>
        <w:t> </w:t>
      </w:r>
      <w:r>
        <w:rPr/>
        <w:t>In contrast, blunt projectiles often lead to a plugging penetration where the</w:t>
      </w:r>
      <w:r>
        <w:rPr>
          <w:spacing w:val="1"/>
        </w:rPr>
        <w:t> </w:t>
      </w:r>
      <w:r>
        <w:rPr/>
        <w:t>target fails over a larger cylindrical or conical surface.</w:t>
      </w:r>
      <w:r>
        <w:rPr>
          <w:spacing w:val="1"/>
        </w:rPr>
        <w:t> </w:t>
      </w:r>
      <w:r>
        <w:rPr/>
        <w:t>While the thickness of the target</w:t>
      </w:r>
      <w:r>
        <w:rPr>
          <w:spacing w:val="1"/>
        </w:rPr>
        <w:t> </w:t>
      </w:r>
      <w:r>
        <w:rPr/>
        <w:t>still plays a large role in determining the post-impact end state, the efficiency of a sharp</w:t>
      </w:r>
      <w:r>
        <w:rPr>
          <w:spacing w:val="1"/>
        </w:rPr>
        <w:t> </w:t>
      </w:r>
      <w:r>
        <w:rPr/>
        <w:t>versus</w:t>
      </w:r>
      <w:r>
        <w:rPr>
          <w:spacing w:val="-9"/>
        </w:rPr>
        <w:t> </w:t>
      </w:r>
      <w:r>
        <w:rPr/>
        <w:t>a</w:t>
      </w:r>
      <w:r>
        <w:rPr>
          <w:spacing w:val="-7"/>
        </w:rPr>
        <w:t> </w:t>
      </w:r>
      <w:r>
        <w:rPr/>
        <w:t>blunt</w:t>
      </w:r>
      <w:r>
        <w:rPr>
          <w:spacing w:val="-7"/>
        </w:rPr>
        <w:t> </w:t>
      </w:r>
      <w:r>
        <w:rPr/>
        <w:t>nosed</w:t>
      </w:r>
      <w:r>
        <w:rPr>
          <w:spacing w:val="-10"/>
        </w:rPr>
        <w:t> </w:t>
      </w:r>
      <w:r>
        <w:rPr/>
        <w:t>projectile</w:t>
      </w:r>
      <w:r>
        <w:rPr>
          <w:spacing w:val="-8"/>
        </w:rPr>
        <w:t> </w:t>
      </w:r>
      <w:r>
        <w:rPr/>
        <w:t>also</w:t>
      </w:r>
      <w:r>
        <w:rPr>
          <w:spacing w:val="-8"/>
        </w:rPr>
        <w:t> </w:t>
      </w:r>
      <w:r>
        <w:rPr/>
        <w:t>influence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effects</w:t>
      </w:r>
      <w:r>
        <w:rPr>
          <w:spacing w:val="-7"/>
        </w:rPr>
        <w:t> </w:t>
      </w:r>
      <w:r>
        <w:rPr/>
        <w:t>felt.</w:t>
      </w:r>
      <w:r>
        <w:rPr>
          <w:spacing w:val="42"/>
        </w:rPr>
        <w:t> </w:t>
      </w:r>
      <w:r>
        <w:rPr/>
        <w:t>Once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target</w:t>
      </w:r>
      <w:r>
        <w:rPr>
          <w:spacing w:val="-8"/>
        </w:rPr>
        <w:t> </w:t>
      </w:r>
      <w:r>
        <w:rPr/>
        <w:t>is</w:t>
      </w:r>
      <w:r>
        <w:rPr>
          <w:spacing w:val="-7"/>
        </w:rPr>
        <w:t> </w:t>
      </w:r>
      <w:r>
        <w:rPr/>
        <w:t>penetrated,</w:t>
      </w:r>
      <w:r>
        <w:rPr>
          <w:spacing w:val="-58"/>
        </w:rPr>
        <w:t> </w:t>
      </w:r>
      <w:r>
        <w:rPr/>
        <w:t>the least deceleration is experienced by ogive-nose projectiles making them efficient in</w:t>
      </w:r>
      <w:r>
        <w:rPr>
          <w:spacing w:val="1"/>
        </w:rPr>
        <w:t> </w:t>
      </w:r>
      <w:r>
        <w:rPr/>
        <w:t>penetration</w:t>
      </w:r>
      <w:r>
        <w:rPr>
          <w:spacing w:val="12"/>
        </w:rPr>
        <w:t> </w:t>
      </w:r>
      <w:r>
        <w:rPr/>
        <w:t>and</w:t>
      </w:r>
      <w:r>
        <w:rPr>
          <w:spacing w:val="14"/>
        </w:rPr>
        <w:t> </w:t>
      </w:r>
      <w:r>
        <w:rPr/>
        <w:t>the</w:t>
      </w:r>
      <w:r>
        <w:rPr>
          <w:spacing w:val="15"/>
        </w:rPr>
        <w:t> </w:t>
      </w:r>
      <w:r>
        <w:rPr/>
        <w:t>most</w:t>
      </w:r>
      <w:r>
        <w:rPr>
          <w:spacing w:val="15"/>
        </w:rPr>
        <w:t> </w:t>
      </w:r>
      <w:r>
        <w:rPr/>
        <w:t>deceleration</w:t>
      </w:r>
      <w:r>
        <w:rPr>
          <w:spacing w:val="15"/>
        </w:rPr>
        <w:t> </w:t>
      </w:r>
      <w:r>
        <w:rPr/>
        <w:t>occurs</w:t>
      </w:r>
      <w:r>
        <w:rPr>
          <w:spacing w:val="15"/>
        </w:rPr>
        <w:t> </w:t>
      </w:r>
      <w:r>
        <w:rPr/>
        <w:t>with</w:t>
      </w:r>
      <w:r>
        <w:rPr>
          <w:spacing w:val="14"/>
        </w:rPr>
        <w:t> </w:t>
      </w:r>
      <w:r>
        <w:rPr/>
        <w:t>flat-ended</w:t>
      </w:r>
      <w:r>
        <w:rPr>
          <w:spacing w:val="13"/>
        </w:rPr>
        <w:t> </w:t>
      </w:r>
      <w:r>
        <w:rPr/>
        <w:t>projectiles</w:t>
      </w:r>
      <w:r>
        <w:rPr>
          <w:spacing w:val="14"/>
        </w:rPr>
        <w:t> </w:t>
      </w:r>
      <w:r>
        <w:rPr/>
        <w:t>such</w:t>
      </w:r>
      <w:r>
        <w:rPr>
          <w:spacing w:val="14"/>
        </w:rPr>
        <w:t> </w:t>
      </w:r>
      <w:r>
        <w:rPr/>
        <w:t>a</w:t>
      </w:r>
      <w:r>
        <w:rPr>
          <w:spacing w:val="15"/>
        </w:rPr>
        <w:t> </w:t>
      </w:r>
      <w:r>
        <w:rPr/>
        <w:t>fragment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40" w:right="257"/>
      </w:pPr>
      <w:r>
        <w:rPr>
          <w:spacing w:val="-1"/>
        </w:rPr>
        <w:t>simulating</w:t>
      </w:r>
      <w:r>
        <w:rPr>
          <w:spacing w:val="-14"/>
        </w:rPr>
        <w:t> </w:t>
      </w:r>
      <w:r>
        <w:rPr>
          <w:spacing w:val="-1"/>
        </w:rPr>
        <w:t>projectiles</w:t>
      </w:r>
      <w:r>
        <w:rPr>
          <w:spacing w:val="-15"/>
        </w:rPr>
        <w:t> </w:t>
      </w:r>
      <w:r>
        <w:rPr>
          <w:spacing w:val="-1"/>
        </w:rPr>
        <w:t>(FSP).</w:t>
      </w:r>
      <w:r>
        <w:rPr>
          <w:spacing w:val="33"/>
        </w:rPr>
        <w:t> </w:t>
      </w:r>
      <w:r>
        <w:rPr/>
        <w:t>Examples</w:t>
      </w:r>
      <w:r>
        <w:rPr>
          <w:spacing w:val="-12"/>
        </w:rPr>
        <w:t> </w:t>
      </w:r>
      <w:r>
        <w:rPr/>
        <w:t>of</w:t>
      </w:r>
      <w:r>
        <w:rPr>
          <w:spacing w:val="-14"/>
        </w:rPr>
        <w:t> </w:t>
      </w:r>
      <w:r>
        <w:rPr/>
        <w:t>different</w:t>
      </w:r>
      <w:r>
        <w:rPr>
          <w:spacing w:val="-13"/>
        </w:rPr>
        <w:t> </w:t>
      </w:r>
      <w:r>
        <w:rPr/>
        <w:t>nose</w:t>
      </w:r>
      <w:r>
        <w:rPr>
          <w:spacing w:val="-15"/>
        </w:rPr>
        <w:t> </w:t>
      </w:r>
      <w:r>
        <w:rPr/>
        <w:t>shapes</w:t>
      </w:r>
      <w:r>
        <w:rPr>
          <w:spacing w:val="-13"/>
        </w:rPr>
        <w:t> </w:t>
      </w:r>
      <w:r>
        <w:rPr/>
        <w:t>are</w:t>
      </w:r>
      <w:r>
        <w:rPr>
          <w:spacing w:val="-12"/>
        </w:rPr>
        <w:t> </w:t>
      </w:r>
      <w:r>
        <w:rPr/>
        <w:t>demonstrated</w:t>
      </w:r>
      <w:r>
        <w:rPr>
          <w:spacing w:val="-15"/>
        </w:rPr>
        <w:t> </w:t>
      </w:r>
      <w:r>
        <w:rPr/>
        <w:t>in</w:t>
      </w:r>
      <w:r>
        <w:rPr>
          <w:spacing w:val="-14"/>
        </w:rPr>
        <w:t> </w:t>
      </w:r>
      <w:hyperlink w:history="true" w:anchor="_bookmark20">
        <w:r>
          <w:rPr/>
          <w:t>Figure</w:t>
        </w:r>
      </w:hyperlink>
      <w:r>
        <w:rPr>
          <w:spacing w:val="-57"/>
        </w:rPr>
        <w:t> </w:t>
      </w:r>
      <w:hyperlink w:history="true" w:anchor="_bookmark20">
        <w:r>
          <w:rPr/>
          <w:t>3-7</w:t>
        </w:r>
      </w:hyperlink>
      <w:r>
        <w:rPr/>
        <w:t>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5"/>
        </w:rPr>
      </w:pPr>
    </w:p>
    <w:p>
      <w:pPr>
        <w:tabs>
          <w:tab w:pos="3087" w:val="left" w:leader="none"/>
          <w:tab w:pos="5243" w:val="left" w:leader="none"/>
        </w:tabs>
        <w:spacing w:before="88"/>
        <w:ind w:left="613" w:right="0" w:firstLine="0"/>
        <w:jc w:val="center"/>
        <w:rPr>
          <w:sz w:val="31"/>
        </w:rPr>
      </w:pPr>
      <w:r>
        <w:rPr/>
        <w:pict>
          <v:group style="position:absolute;margin-left:410.316742pt;margin-top:11.206689pt;width:128.1pt;height:109.8pt;mso-position-horizontal-relative:page;mso-position-vertical-relative:paragraph;z-index:-34939904" coordorigin="8206,224" coordsize="2562,2196">
            <v:rect style="position:absolute;left:8218;top:679;width:1244;height:537" filled="false" stroked="true" strokeweight="1.255599pt" strokecolor="#000000">
              <v:stroke dashstyle="solid"/>
            </v:rect>
            <v:shape style="position:absolute;left:9465;top:685;width:1290;height:609" coordorigin="9466,686" coordsize="1290,609" path="m10755,1295l10685,1264,10624,1232,10573,1199,10501,1128,10475,1055,10468,1018,10449,981,10377,911,10325,877,10265,845,10196,815,10121,788,10039,763,9952,741,9860,722,9764,707,9666,695,9566,688,9466,686e" filled="false" stroked="true" strokeweight="1.255651pt" strokecolor="#000000">
              <v:path arrowok="t"/>
              <v:stroke dashstyle="solid"/>
            </v:shape>
            <v:shape style="position:absolute;left:9432;top:662;width:1323;height:550" coordorigin="9432,663" coordsize="1323,550" path="m10755,663l10654,700,10593,728,10500,789,10450,853,10443,886,10437,918,10387,982,10294,1043,10233,1071,10164,1098,10089,1122,10007,1145,9919,1164,9827,1181,9732,1194,9633,1204,9533,1210,9432,1213e" filled="false" stroked="true" strokeweight="1.255570pt" strokecolor="#000000">
              <v:path arrowok="t"/>
              <v:stroke dashstyle="solid"/>
            </v:shape>
            <v:shape style="position:absolute;left:10378;top:224;width:377;height:1447" coordorigin="10379,224" coordsize="377,1447" path="m10755,1653l10472,1671,10379,249,10755,224,10755,1653xe" filled="true" fillcolor="#ffffff" stroked="false">
              <v:path arrowok="t"/>
              <v:fill type="solid"/>
            </v:shape>
            <v:shape style="position:absolute;left:8670;top:1706;width:702;height:701" coordorigin="8671,1706" coordsize="702,701" path="m8671,2056l8678,1986,8698,1920,8731,1860,8773,1809,8825,1766,8885,1734,8951,1713,9022,1706,9092,1713,9158,1734,9218,1766,9270,1809,9313,1860,9345,1920,9365,1986,9373,2056,9365,2127,9345,2193,9313,2252,9270,2304,9218,2347,9158,2379,9092,2399,9022,2407,8951,2399,8885,2379,8825,2347,8773,2304,8731,2252,8698,2193,8678,2127,8671,2056xe" filled="false" stroked="true" strokeweight="1.256448pt" strokecolor="#000000">
              <v:path arrowok="t"/>
              <v:stroke dashstyle="solid"/>
            </v:shape>
            <v:shape style="position:absolute;left:8783;top:1830;width:478;height:442" coordorigin="8783,1831" coordsize="478,442" path="m8783,2052l8795,1982,8829,1921,8881,1874,8946,1842,9022,1831,9097,1842,9163,1874,9214,1921,9248,1982,9260,2052,9248,2121,9214,2182,9163,2230,9097,2261,9022,2272,8946,2261,8881,2230,8829,2182,8795,2121,8783,2052xe" filled="false" stroked="true" strokeweight="1.256333pt" strokecolor="#000000">
              <v:path arrowok="t"/>
              <v:stroke dashstyle="solid"/>
            </v:shape>
            <w10:wrap type="none"/>
          </v:group>
        </w:pict>
      </w:r>
      <w:r>
        <w:rPr>
          <w:sz w:val="31"/>
        </w:rPr>
        <w:t>Blunt</w:t>
      </w:r>
      <w:r>
        <w:rPr>
          <w:spacing w:val="1"/>
          <w:sz w:val="31"/>
        </w:rPr>
        <w:t> </w:t>
      </w:r>
      <w:r>
        <w:rPr>
          <w:sz w:val="31"/>
        </w:rPr>
        <w:t>or</w:t>
      </w:r>
      <w:r>
        <w:rPr>
          <w:spacing w:val="1"/>
          <w:sz w:val="31"/>
        </w:rPr>
        <w:t> </w:t>
      </w:r>
      <w:r>
        <w:rPr>
          <w:sz w:val="31"/>
        </w:rPr>
        <w:t>Flat</w:t>
        <w:tab/>
        <w:t>Spherical</w:t>
        <w:tab/>
        <w:t>Ogive-shaped</w:t>
      </w:r>
    </w:p>
    <w:p>
      <w:pPr>
        <w:spacing w:line="705" w:lineRule="auto" w:before="299"/>
        <w:ind w:left="755" w:right="7548" w:firstLine="152"/>
        <w:jc w:val="left"/>
        <w:rPr>
          <w:sz w:val="31"/>
        </w:rPr>
      </w:pPr>
      <w:r>
        <w:rPr/>
        <w:pict>
          <v:group style="position:absolute;margin-left:293.464783pt;margin-top:10.240701pt;width:78pt;height:28.1pt;mso-position-horizontal-relative:page;mso-position-vertical-relative:paragraph;z-index:15764992" coordorigin="5869,205" coordsize="1560,562">
            <v:rect style="position:absolute;left:5881;top:217;width:1244;height:537" filled="false" stroked="true" strokeweight="1.255599pt" strokecolor="#000000">
              <v:stroke dashstyle="solid"/>
            </v:rect>
            <v:shape style="position:absolute;left:7112;top:204;width:317;height:562" type="#_x0000_t75" stroked="false">
              <v:imagedata r:id="rId75" o:title=""/>
            </v:shape>
            <w10:wrap type="none"/>
          </v:group>
        </w:pict>
      </w:r>
      <w:r>
        <w:rPr/>
        <w:pict>
          <v:shape style="position:absolute;margin-left:311.208771pt;margin-top:63.090382pt;width:35.1pt;height:35.050pt;mso-position-horizontal-relative:page;mso-position-vertical-relative:paragraph;z-index:15765504" coordorigin="6224,1262" coordsize="702,701" path="m6224,1612l6231,1541,6252,1476,6284,1416,6327,1364,6379,1322,6439,1289,6504,1269,6575,1262,6646,1269,6712,1289,6771,1322,6823,1364,6866,1416,6899,1476,6919,1541,6926,1612,6919,1683,6899,1748,6866,1808,6823,1860,6771,1903,6712,1935,6646,1955,6575,1962,6504,1955,6439,1935,6379,1903,6327,1860,6284,1808,6252,1748,6231,1683,6224,1612xe" filled="false" stroked="true" strokeweight="1.256448pt" strokecolor="#000000">
            <v:path arrowok="t"/>
            <v:stroke dashstyle="solid"/>
            <w10:wrap type="none"/>
          </v:shape>
        </w:pict>
      </w:r>
      <w:r>
        <w:rPr/>
        <w:pict>
          <v:group style="position:absolute;margin-left:185.966034pt;margin-top:10.234407pt;width:68.650pt;height:29.85pt;mso-position-horizontal-relative:page;mso-position-vertical-relative:paragraph;z-index:15766016" coordorigin="3719,205" coordsize="1373,597">
            <v:rect style="position:absolute;left:3731;top:217;width:1138;height:572" filled="false" stroked="true" strokeweight="1.255724pt" strokecolor="#000000">
              <v:stroke dashstyle="solid"/>
            </v:rect>
            <v:line style="position:absolute" from="5079,322" to="5078,672" stroked="true" strokeweight="1.257551pt" strokecolor="#000000">
              <v:stroke dashstyle="solid"/>
            </v:line>
            <v:line style="position:absolute" from="5079,660" to="4869,789" stroked="true" strokeweight="1.255928pt" strokecolor="#000000">
              <v:stroke dashstyle="solid"/>
            </v:line>
            <v:line style="position:absolute" from="5079,334" to="4865,217" stroked="true" strokeweight="1.25583pt" strokecolor="#000000">
              <v:stroke dashstyle="solid"/>
            </v:line>
            <w10:wrap type="none"/>
          </v:group>
        </w:pict>
      </w:r>
      <w:r>
        <w:rPr/>
        <w:pict>
          <v:group style="position:absolute;margin-left:196.857666pt;margin-top:62.230465pt;width:36.4pt;height:36.3pt;mso-position-horizontal-relative:page;mso-position-vertical-relative:paragraph;z-index:15766528" coordorigin="3937,1245" coordsize="728,726">
            <v:shape style="position:absolute;left:3949;top:1257;width:702;height:701" coordorigin="3950,1257" coordsize="702,701" path="m3950,1607l3957,1537,3977,1471,4010,1412,4053,1360,4104,1317,4164,1285,4230,1264,4301,1257,4371,1264,4437,1285,4497,1317,4549,1360,4592,1412,4624,1471,4645,1537,4652,1607,4645,1678,4624,1744,4592,1803,4549,1855,4497,1898,4437,1930,4371,1951,4301,1958,4230,1951,4164,1930,4104,1898,4053,1855,4010,1803,3977,1744,3957,1678,3950,1607xe" filled="false" stroked="true" strokeweight="1.256448pt" strokecolor="#000000">
              <v:path arrowok="t"/>
              <v:stroke dashstyle="solid"/>
            </v:shape>
            <v:line style="position:absolute" from="4136,1286" to="4154,1929" stroked="true" strokeweight="1.257621pt" strokecolor="#000000">
              <v:stroke dashstyle="solid"/>
            </v:line>
            <v:line style="position:absolute" from="4453,1286" to="4470,1929" stroked="true" strokeweight="1.257621pt" strokecolor="#000000">
              <v:stroke dashstyle="solid"/>
            </v:line>
            <w10:wrap type="none"/>
          </v:group>
        </w:pict>
      </w:r>
      <w:r>
        <w:rPr>
          <w:sz w:val="31"/>
        </w:rPr>
        <w:t>SIDE</w:t>
      </w:r>
      <w:r>
        <w:rPr>
          <w:spacing w:val="1"/>
          <w:sz w:val="31"/>
        </w:rPr>
        <w:t> </w:t>
      </w:r>
      <w:r>
        <w:rPr>
          <w:sz w:val="31"/>
        </w:rPr>
        <w:t>FRONT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1"/>
        </w:rPr>
      </w:pPr>
    </w:p>
    <w:p>
      <w:pPr>
        <w:spacing w:before="90"/>
        <w:ind w:left="179" w:right="0" w:firstLine="0"/>
        <w:jc w:val="center"/>
        <w:rPr>
          <w:i/>
          <w:sz w:val="24"/>
        </w:rPr>
      </w:pPr>
      <w:bookmarkStart w:name="_bookmark20" w:id="155"/>
      <w:bookmarkEnd w:id="155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3-7.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Projectile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nose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shape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examples.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10"/>
        <w:rPr>
          <w:i/>
          <w:sz w:val="35"/>
        </w:rPr>
      </w:pPr>
    </w:p>
    <w:p>
      <w:pPr>
        <w:pStyle w:val="ListParagraph"/>
        <w:numPr>
          <w:ilvl w:val="2"/>
          <w:numId w:val="17"/>
        </w:numPr>
        <w:tabs>
          <w:tab w:pos="1100" w:val="left" w:leader="none"/>
        </w:tabs>
        <w:spacing w:line="240" w:lineRule="auto" w:before="0" w:after="0"/>
        <w:ind w:left="1100" w:right="0" w:hanging="660"/>
        <w:jc w:val="both"/>
        <w:rPr>
          <w:i/>
          <w:sz w:val="24"/>
        </w:rPr>
      </w:pPr>
      <w:bookmarkStart w:name="3.13.2 Obliquity of projectile" w:id="156"/>
      <w:bookmarkEnd w:id="156"/>
      <w:r>
        <w:rPr/>
      </w:r>
      <w:bookmarkStart w:name="3.13.2 Obliquity of projectile" w:id="157"/>
      <w:bookmarkEnd w:id="157"/>
      <w:r>
        <w:rPr>
          <w:i/>
          <w:sz w:val="24"/>
        </w:rPr>
        <w:t>O</w:t>
      </w:r>
      <w:r>
        <w:rPr>
          <w:i/>
          <w:sz w:val="24"/>
        </w:rPr>
        <w:t>bliquity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projectile</w:t>
      </w:r>
    </w:p>
    <w:p>
      <w:pPr>
        <w:pStyle w:val="BodyText"/>
        <w:spacing w:before="7"/>
        <w:rPr>
          <w:i/>
          <w:sz w:val="22"/>
        </w:rPr>
      </w:pPr>
    </w:p>
    <w:p>
      <w:pPr>
        <w:pStyle w:val="BodyText"/>
        <w:spacing w:line="480" w:lineRule="auto" w:before="1"/>
        <w:ind w:left="440" w:right="256" w:firstLine="720"/>
        <w:jc w:val="both"/>
      </w:pPr>
      <w:r>
        <w:rPr/>
        <w:t>Besides nose shape, flight orientation, or how straight the projectile flies through</w:t>
      </w:r>
      <w:r>
        <w:rPr>
          <w:spacing w:val="1"/>
        </w:rPr>
        <w:t> </w:t>
      </w:r>
      <w:r>
        <w:rPr/>
        <w:t>the</w:t>
      </w:r>
      <w:r>
        <w:rPr>
          <w:spacing w:val="-13"/>
        </w:rPr>
        <w:t> </w:t>
      </w:r>
      <w:r>
        <w:rPr/>
        <w:t>air,</w:t>
      </w:r>
      <w:r>
        <w:rPr>
          <w:spacing w:val="-12"/>
        </w:rPr>
        <w:t> </w:t>
      </w:r>
      <w:r>
        <w:rPr/>
        <w:t>and</w:t>
      </w:r>
      <w:r>
        <w:rPr>
          <w:spacing w:val="-13"/>
        </w:rPr>
        <w:t> </w:t>
      </w:r>
      <w:r>
        <w:rPr/>
        <w:t>angle</w:t>
      </w:r>
      <w:r>
        <w:rPr>
          <w:spacing w:val="-12"/>
        </w:rPr>
        <w:t> </w:t>
      </w:r>
      <w:r>
        <w:rPr/>
        <w:t>of</w:t>
      </w:r>
      <w:r>
        <w:rPr>
          <w:spacing w:val="-13"/>
        </w:rPr>
        <w:t> </w:t>
      </w:r>
      <w:r>
        <w:rPr/>
        <w:t>obliquity</w:t>
      </w:r>
      <w:r>
        <w:rPr>
          <w:spacing w:val="-13"/>
        </w:rPr>
        <w:t> </w:t>
      </w:r>
      <w:r>
        <w:rPr/>
        <w:t>are</w:t>
      </w:r>
      <w:r>
        <w:rPr>
          <w:spacing w:val="-12"/>
        </w:rPr>
        <w:t> </w:t>
      </w:r>
      <w:r>
        <w:rPr/>
        <w:t>other</w:t>
      </w:r>
      <w:r>
        <w:rPr>
          <w:spacing w:val="-13"/>
        </w:rPr>
        <w:t> </w:t>
      </w:r>
      <w:r>
        <w:rPr/>
        <w:t>separate</w:t>
      </w:r>
      <w:r>
        <w:rPr>
          <w:spacing w:val="-12"/>
        </w:rPr>
        <w:t> </w:t>
      </w:r>
      <w:r>
        <w:rPr/>
        <w:t>projectile</w:t>
      </w:r>
      <w:r>
        <w:rPr>
          <w:spacing w:val="-12"/>
        </w:rPr>
        <w:t> </w:t>
      </w:r>
      <w:r>
        <w:rPr/>
        <w:t>parameters.</w:t>
      </w:r>
      <w:r>
        <w:rPr>
          <w:spacing w:val="35"/>
        </w:rPr>
        <w:t> </w:t>
      </w:r>
      <w:r>
        <w:rPr/>
        <w:t>For</w:t>
      </w:r>
      <w:r>
        <w:rPr>
          <w:spacing w:val="-12"/>
        </w:rPr>
        <w:t> </w:t>
      </w:r>
      <w:r>
        <w:rPr/>
        <w:t>normal</w:t>
      </w:r>
      <w:r>
        <w:rPr>
          <w:spacing w:val="-13"/>
        </w:rPr>
        <w:t> </w:t>
      </w:r>
      <w:r>
        <w:rPr/>
        <w:t>impacts,</w:t>
      </w:r>
      <w:r>
        <w:rPr>
          <w:spacing w:val="-57"/>
        </w:rPr>
        <w:t> </w:t>
      </w:r>
      <w:r>
        <w:rPr/>
        <w:t>where the projectile’s path is perpendicular to the plane of the target face, the stress state</w:t>
      </w:r>
      <w:r>
        <w:rPr>
          <w:spacing w:val="1"/>
        </w:rPr>
        <w:t> </w:t>
      </w:r>
      <w:r>
        <w:rPr/>
        <w:t>is two-dimensional [125].</w:t>
      </w:r>
      <w:r>
        <w:rPr>
          <w:spacing w:val="1"/>
        </w:rPr>
        <w:t> </w:t>
      </w:r>
      <w:r>
        <w:rPr/>
        <w:t>When the target strikes the face at an angle other than normal</w:t>
      </w:r>
      <w:r>
        <w:rPr>
          <w:spacing w:val="1"/>
        </w:rPr>
        <w:t> </w:t>
      </w:r>
      <w:r>
        <w:rPr/>
        <w:t>there</w:t>
      </w:r>
      <w:r>
        <w:rPr>
          <w:spacing w:val="-6"/>
        </w:rPr>
        <w:t> </w:t>
      </w:r>
      <w:r>
        <w:rPr/>
        <w:t>is</w:t>
      </w:r>
      <w:r>
        <w:rPr>
          <w:spacing w:val="-5"/>
        </w:rPr>
        <w:t> </w:t>
      </w:r>
      <w:r>
        <w:rPr/>
        <w:t>an</w:t>
      </w:r>
      <w:r>
        <w:rPr>
          <w:spacing w:val="-5"/>
        </w:rPr>
        <w:t> </w:t>
      </w:r>
      <w:r>
        <w:rPr/>
        <w:t>angle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obliquity,</w:t>
      </w:r>
      <w:r>
        <w:rPr>
          <w:spacing w:val="-5"/>
        </w:rPr>
        <w:t> </w:t>
      </w:r>
      <w:r>
        <w:rPr/>
        <w:t>as</w:t>
      </w:r>
      <w:r>
        <w:rPr>
          <w:spacing w:val="-5"/>
        </w:rPr>
        <w:t> </w:t>
      </w:r>
      <w:r>
        <w:rPr/>
        <w:t>shown</w:t>
      </w:r>
      <w:r>
        <w:rPr>
          <w:spacing w:val="-5"/>
        </w:rPr>
        <w:t> </w:t>
      </w:r>
      <w:r>
        <w:rPr/>
        <w:t>in</w:t>
      </w:r>
      <w:r>
        <w:rPr>
          <w:spacing w:val="-5"/>
        </w:rPr>
        <w:t> </w:t>
      </w:r>
      <w:hyperlink w:history="true" w:anchor="_bookmark21">
        <w:r>
          <w:rPr/>
          <w:t>Figure</w:t>
        </w:r>
        <w:r>
          <w:rPr>
            <w:spacing w:val="-6"/>
          </w:rPr>
          <w:t> </w:t>
        </w:r>
        <w:r>
          <w:rPr/>
          <w:t>3-8</w:t>
        </w:r>
      </w:hyperlink>
      <w:r>
        <w:rPr/>
        <w:t>.</w:t>
      </w:r>
      <w:r>
        <w:rPr>
          <w:spacing w:val="47"/>
        </w:rPr>
        <w:t> </w:t>
      </w:r>
      <w:r>
        <w:rPr/>
        <w:t>This</w:t>
      </w:r>
      <w:r>
        <w:rPr>
          <w:spacing w:val="-5"/>
        </w:rPr>
        <w:t> </w:t>
      </w:r>
      <w:r>
        <w:rPr/>
        <w:t>situation</w:t>
      </w:r>
      <w:r>
        <w:rPr>
          <w:spacing w:val="-5"/>
        </w:rPr>
        <w:t> </w:t>
      </w:r>
      <w:r>
        <w:rPr/>
        <w:t>increases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level</w:t>
      </w:r>
      <w:r>
        <w:rPr>
          <w:spacing w:val="-4"/>
        </w:rPr>
        <w:t> </w:t>
      </w:r>
      <w:r>
        <w:rPr/>
        <w:t>of</w:t>
      </w:r>
      <w:r>
        <w:rPr>
          <w:spacing w:val="-58"/>
        </w:rPr>
        <w:t> </w:t>
      </w:r>
      <w:r>
        <w:rPr/>
        <w:t>complexity by introducing bending stresses with the asymmetrical loading condition.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preliminary investigative ballistic testing on CLT, the scope of this research is limited to</w:t>
      </w:r>
      <w:r>
        <w:rPr>
          <w:spacing w:val="1"/>
        </w:rPr>
        <w:t> </w:t>
      </w:r>
      <w:r>
        <w:rPr/>
        <w:t>normal</w:t>
      </w:r>
      <w:r>
        <w:rPr>
          <w:spacing w:val="-1"/>
        </w:rPr>
        <w:t> </w:t>
      </w:r>
      <w:r>
        <w:rPr/>
        <w:t>impacts.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7"/>
        </w:rPr>
      </w:pPr>
    </w:p>
    <w:p>
      <w:pPr>
        <w:spacing w:before="93"/>
        <w:ind w:left="5974" w:right="0" w:firstLine="0"/>
        <w:jc w:val="lef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68377088">
            <wp:simplePos x="0" y="0"/>
            <wp:positionH relativeFrom="page">
              <wp:posOffset>3824190</wp:posOffset>
            </wp:positionH>
            <wp:positionV relativeFrom="paragraph">
              <wp:posOffset>-479018</wp:posOffset>
            </wp:positionV>
            <wp:extent cx="1413903" cy="934350"/>
            <wp:effectExtent l="0" t="0" r="0" b="0"/>
            <wp:wrapNone/>
            <wp:docPr id="19" name="image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68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3903" cy="934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67.126831pt;margin-top:-43.852867pt;width:34.65pt;height:158.15pt;mso-position-horizontal-relative:page;mso-position-vertical-relative:paragraph;z-index:15768064" type="#_x0000_t202" filled="true" fillcolor="#a7a8a7" stroked="true" strokeweight=".504542pt" strokecolor="#41719c">
            <v:textbox inset="0,0,0,0">
              <w:txbxContent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before="6"/>
                    <w:rPr>
                      <w:sz w:val="28"/>
                    </w:rPr>
                  </w:pPr>
                </w:p>
                <w:p>
                  <w:pPr>
                    <w:spacing w:line="268" w:lineRule="auto" w:before="0"/>
                    <w:ind w:left="269" w:right="266" w:firstLine="11"/>
                    <w:jc w:val="both"/>
                    <w:rPr>
                      <w:sz w:val="20"/>
                    </w:rPr>
                  </w:pPr>
                  <w:r>
                    <w:rPr>
                      <w:color w:val="FFFFFF"/>
                      <w:sz w:val="20"/>
                    </w:rPr>
                    <w:t>T</w:t>
                  </w:r>
                  <w:r>
                    <w:rPr>
                      <w:color w:val="FFFFFF"/>
                      <w:spacing w:val="-48"/>
                      <w:sz w:val="20"/>
                    </w:rPr>
                    <w:t> </w:t>
                  </w:r>
                  <w:r>
                    <w:rPr>
                      <w:color w:val="FFFFFF"/>
                      <w:sz w:val="20"/>
                    </w:rPr>
                    <w:t>A</w:t>
                  </w:r>
                  <w:r>
                    <w:rPr>
                      <w:color w:val="FFFFFF"/>
                      <w:spacing w:val="-48"/>
                      <w:sz w:val="20"/>
                    </w:rPr>
                    <w:t> </w:t>
                  </w:r>
                  <w:r>
                    <w:rPr>
                      <w:color w:val="FFFFFF"/>
                      <w:sz w:val="20"/>
                    </w:rPr>
                    <w:t>R</w:t>
                  </w:r>
                  <w:r>
                    <w:rPr>
                      <w:color w:val="FFFFFF"/>
                      <w:spacing w:val="-48"/>
                      <w:sz w:val="20"/>
                    </w:rPr>
                    <w:t> </w:t>
                  </w:r>
                  <w:r>
                    <w:rPr>
                      <w:color w:val="FFFFFF"/>
                      <w:sz w:val="20"/>
                    </w:rPr>
                    <w:t>G</w:t>
                  </w:r>
                  <w:r>
                    <w:rPr>
                      <w:color w:val="FFFFFF"/>
                      <w:spacing w:val="-48"/>
                      <w:sz w:val="20"/>
                    </w:rPr>
                    <w:t> </w:t>
                  </w:r>
                  <w:r>
                    <w:rPr>
                      <w:color w:val="FFFFFF"/>
                      <w:sz w:val="20"/>
                    </w:rPr>
                    <w:t>E</w:t>
                  </w:r>
                  <w:r>
                    <w:rPr>
                      <w:color w:val="FFFFFF"/>
                      <w:spacing w:val="-48"/>
                      <w:sz w:val="20"/>
                    </w:rPr>
                    <w:t> </w:t>
                  </w:r>
                  <w:r>
                    <w:rPr>
                      <w:color w:val="FFFFFF"/>
                      <w:sz w:val="20"/>
                    </w:rPr>
                    <w:t>T</w:t>
                  </w:r>
                </w:p>
              </w:txbxContent>
            </v:textbox>
            <v:fill type="solid"/>
            <v:stroke dashstyle="solid"/>
            <w10:wrap type="none"/>
          </v:shape>
        </w:pict>
      </w:r>
      <w:r>
        <w:rPr>
          <w:sz w:val="20"/>
        </w:rPr>
        <w:t>Angle</w:t>
      </w:r>
      <w:r>
        <w:rPr>
          <w:spacing w:val="2"/>
          <w:sz w:val="20"/>
        </w:rPr>
        <w:t> </w:t>
      </w:r>
      <w:r>
        <w:rPr>
          <w:sz w:val="20"/>
        </w:rPr>
        <w:t>of</w:t>
      </w:r>
      <w:r>
        <w:rPr>
          <w:spacing w:val="1"/>
          <w:sz w:val="20"/>
        </w:rPr>
        <w:t> </w:t>
      </w:r>
      <w:r>
        <w:rPr>
          <w:sz w:val="20"/>
        </w:rPr>
        <w:t>obliquity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0"/>
        </w:rPr>
      </w:pPr>
    </w:p>
    <w:p>
      <w:pPr>
        <w:spacing w:before="0"/>
        <w:ind w:left="4459" w:right="0" w:firstLine="0"/>
        <w:jc w:val="left"/>
        <w:rPr>
          <w:sz w:val="20"/>
        </w:rPr>
      </w:pPr>
      <w:r>
        <w:rPr>
          <w:sz w:val="20"/>
        </w:rPr>
        <w:t>Normal</w:t>
      </w:r>
      <w:r>
        <w:rPr>
          <w:spacing w:val="1"/>
          <w:sz w:val="20"/>
        </w:rPr>
        <w:t> </w:t>
      </w:r>
      <w:r>
        <w:rPr>
          <w:sz w:val="20"/>
        </w:rPr>
        <w:t>to</w:t>
      </w:r>
      <w:r>
        <w:rPr>
          <w:spacing w:val="1"/>
          <w:sz w:val="20"/>
        </w:rPr>
        <w:t> </w:t>
      </w:r>
      <w:r>
        <w:rPr>
          <w:sz w:val="20"/>
        </w:rPr>
        <w:t>striking</w:t>
      </w:r>
      <w:r>
        <w:rPr>
          <w:spacing w:val="1"/>
          <w:sz w:val="20"/>
        </w:rPr>
        <w:t> </w:t>
      </w:r>
      <w:r>
        <w:rPr>
          <w:sz w:val="20"/>
        </w:rPr>
        <w:t>surface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</w:p>
    <w:p>
      <w:pPr>
        <w:spacing w:before="90"/>
        <w:ind w:left="180" w:right="0" w:firstLine="0"/>
        <w:jc w:val="center"/>
        <w:rPr>
          <w:i/>
          <w:sz w:val="24"/>
        </w:rPr>
      </w:pPr>
      <w:bookmarkStart w:name="_bookmark21" w:id="158"/>
      <w:bookmarkEnd w:id="158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3-8.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Angle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obliquity.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2"/>
        <w:rPr>
          <w:i/>
          <w:sz w:val="18"/>
        </w:rPr>
      </w:pPr>
    </w:p>
    <w:p>
      <w:pPr>
        <w:pStyle w:val="ListParagraph"/>
        <w:numPr>
          <w:ilvl w:val="2"/>
          <w:numId w:val="17"/>
        </w:numPr>
        <w:tabs>
          <w:tab w:pos="1100" w:val="left" w:leader="none"/>
        </w:tabs>
        <w:spacing w:line="240" w:lineRule="auto" w:before="90" w:after="0"/>
        <w:ind w:left="1100" w:right="0" w:hanging="660"/>
        <w:jc w:val="both"/>
        <w:rPr>
          <w:i/>
          <w:sz w:val="24"/>
        </w:rPr>
      </w:pPr>
      <w:bookmarkStart w:name="3.13.3 Rigid sphere impact" w:id="159"/>
      <w:bookmarkEnd w:id="159"/>
      <w:r>
        <w:rPr/>
      </w:r>
      <w:bookmarkStart w:name="3.13.3 Rigid sphere impact" w:id="160"/>
      <w:bookmarkEnd w:id="160"/>
      <w:r>
        <w:rPr>
          <w:i/>
          <w:sz w:val="24"/>
        </w:rPr>
        <w:t>R</w:t>
      </w:r>
      <w:r>
        <w:rPr>
          <w:i/>
          <w:sz w:val="24"/>
        </w:rPr>
        <w:t>igid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sphere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impact</w:t>
      </w:r>
    </w:p>
    <w:p>
      <w:pPr>
        <w:pStyle w:val="BodyText"/>
        <w:spacing w:before="7"/>
        <w:rPr>
          <w:i/>
          <w:sz w:val="22"/>
        </w:rPr>
      </w:pPr>
    </w:p>
    <w:p>
      <w:pPr>
        <w:pStyle w:val="BodyText"/>
        <w:spacing w:line="480" w:lineRule="auto" w:before="1"/>
        <w:ind w:left="440" w:right="256" w:firstLine="720"/>
        <w:jc w:val="both"/>
      </w:pPr>
      <w:r>
        <w:rPr/>
        <w:t>While studied less than long rods, the impact of rigid spheres into semi-infinite</w:t>
      </w:r>
      <w:r>
        <w:rPr>
          <w:spacing w:val="1"/>
        </w:rPr>
        <w:t> </w:t>
      </w:r>
      <w:r>
        <w:rPr/>
        <w:t>targets has been studied.</w:t>
      </w:r>
      <w:r>
        <w:rPr>
          <w:spacing w:val="1"/>
        </w:rPr>
        <w:t> </w:t>
      </w:r>
      <w:r>
        <w:rPr/>
        <w:t>Complexities arise with the sphere due to the entrance phase</w:t>
      </w:r>
      <w:r>
        <w:rPr>
          <w:spacing w:val="1"/>
        </w:rPr>
        <w:t> </w:t>
      </w:r>
      <w:r>
        <w:rPr/>
        <w:t>effect in that the small length to diameter ratio (L/D) of the projectile potentially allows</w:t>
      </w:r>
      <w:r>
        <w:rPr>
          <w:spacing w:val="1"/>
        </w:rPr>
        <w:t> </w:t>
      </w:r>
      <w:r>
        <w:rPr/>
        <w:t>more material to fill in behind it as the projectile moves through the target.</w:t>
      </w:r>
      <w:r>
        <w:rPr>
          <w:spacing w:val="1"/>
        </w:rPr>
        <w:t> </w:t>
      </w:r>
      <w:r>
        <w:rPr/>
        <w:t>Numerical</w:t>
      </w:r>
      <w:r>
        <w:rPr>
          <w:spacing w:val="1"/>
        </w:rPr>
        <w:t> </w:t>
      </w:r>
      <w:r>
        <w:rPr/>
        <w:t>simulations have shown that with sphere projectiles, target density may have an increased</w:t>
      </w:r>
      <w:r>
        <w:rPr>
          <w:spacing w:val="-57"/>
        </w:rPr>
        <w:t> </w:t>
      </w:r>
      <w:r>
        <w:rPr/>
        <w:t>importance relative to penetration depth compared to long rod projectiles.</w:t>
      </w:r>
      <w:r>
        <w:rPr>
          <w:spacing w:val="1"/>
        </w:rPr>
        <w:t> </w:t>
      </w:r>
      <w:r>
        <w:rPr/>
        <w:t>Empirical</w:t>
      </w:r>
      <w:r>
        <w:rPr>
          <w:spacing w:val="1"/>
        </w:rPr>
        <w:t> </w:t>
      </w:r>
      <w:r>
        <w:rPr/>
        <w:t>relations of the penetration depth developed from simulations of a rigid sphere impacting</w:t>
      </w:r>
      <w:r>
        <w:rPr>
          <w:spacing w:val="1"/>
        </w:rPr>
        <w:t> </w:t>
      </w:r>
      <w:r>
        <w:rPr/>
        <w:t>an aluminum target indicate dependence on the strength of the target and the density ratio</w:t>
      </w:r>
      <w:r>
        <w:rPr>
          <w:spacing w:val="-57"/>
        </w:rPr>
        <w:t> </w:t>
      </w:r>
      <w:r>
        <w:rPr/>
        <w:t>expressing</w:t>
      </w:r>
      <w:r>
        <w:rPr>
          <w:spacing w:val="-1"/>
        </w:rPr>
        <w:t> </w:t>
      </w:r>
      <w:r>
        <w:rPr/>
        <w:t>the density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projectile divided</w:t>
      </w:r>
      <w:r>
        <w:rPr>
          <w:spacing w:val="-1"/>
        </w:rPr>
        <w:t> </w:t>
      </w:r>
      <w:r>
        <w:rPr/>
        <w:t>by the</w:t>
      </w:r>
      <w:r>
        <w:rPr>
          <w:spacing w:val="-1"/>
        </w:rPr>
        <w:t> </w:t>
      </w:r>
      <w:r>
        <w:rPr/>
        <w:t>density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the target</w:t>
      </w:r>
      <w:r>
        <w:rPr>
          <w:spacing w:val="-2"/>
        </w:rPr>
        <w:t> </w:t>
      </w:r>
      <w:r>
        <w:rPr/>
        <w:t>[95].</w:t>
      </w:r>
    </w:p>
    <w:p>
      <w:pPr>
        <w:pStyle w:val="ListParagraph"/>
        <w:numPr>
          <w:ilvl w:val="2"/>
          <w:numId w:val="17"/>
        </w:numPr>
        <w:tabs>
          <w:tab w:pos="1100" w:val="left" w:leader="none"/>
        </w:tabs>
        <w:spacing w:line="240" w:lineRule="auto" w:before="161" w:after="0"/>
        <w:ind w:left="1100" w:right="0" w:hanging="660"/>
        <w:jc w:val="both"/>
        <w:rPr>
          <w:i/>
          <w:sz w:val="24"/>
        </w:rPr>
      </w:pPr>
      <w:bookmarkStart w:name="3.13.4 Cavity Expansion" w:id="161"/>
      <w:bookmarkEnd w:id="161"/>
      <w:r>
        <w:rPr/>
      </w:r>
      <w:bookmarkStart w:name="3.13.4 Cavity Expansion" w:id="162"/>
      <w:bookmarkEnd w:id="162"/>
      <w:r>
        <w:rPr>
          <w:i/>
          <w:sz w:val="24"/>
        </w:rPr>
        <w:t>C</w:t>
      </w:r>
      <w:r>
        <w:rPr>
          <w:i/>
          <w:sz w:val="24"/>
        </w:rPr>
        <w:t>avity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Expansion</w:t>
      </w:r>
    </w:p>
    <w:p>
      <w:pPr>
        <w:pStyle w:val="BodyText"/>
        <w:spacing w:line="480" w:lineRule="auto" w:before="140"/>
        <w:ind w:left="440" w:right="258" w:firstLine="720"/>
        <w:jc w:val="both"/>
      </w:pPr>
      <w:r>
        <w:rPr/>
        <w:t>High</w:t>
      </w:r>
      <w:r>
        <w:rPr>
          <w:spacing w:val="1"/>
        </w:rPr>
        <w:t> </w:t>
      </w:r>
      <w:r>
        <w:rPr/>
        <w:t>velocity</w:t>
      </w:r>
      <w:r>
        <w:rPr>
          <w:spacing w:val="1"/>
        </w:rPr>
        <w:t> </w:t>
      </w:r>
      <w:r>
        <w:rPr/>
        <w:t>impact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cratering</w:t>
      </w:r>
      <w:r>
        <w:rPr>
          <w:spacing w:val="1"/>
        </w:rPr>
        <w:t> </w:t>
      </w:r>
      <w:r>
        <w:rPr/>
        <w:t>deformations</w:t>
      </w:r>
      <w:r>
        <w:rPr>
          <w:spacing w:val="1"/>
        </w:rPr>
        <w:t> </w:t>
      </w:r>
      <w:r>
        <w:rPr/>
        <w:t>through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target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introduces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concept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cavitation.</w:t>
      </w:r>
      <w:r>
        <w:rPr>
          <w:spacing w:val="47"/>
        </w:rPr>
        <w:t> </w:t>
      </w:r>
      <w:r>
        <w:rPr/>
        <w:t>Borrowed</w:t>
      </w:r>
      <w:r>
        <w:rPr>
          <w:spacing w:val="-6"/>
        </w:rPr>
        <w:t> </w:t>
      </w:r>
      <w:r>
        <w:rPr/>
        <w:t>from</w:t>
      </w:r>
      <w:r>
        <w:rPr>
          <w:spacing w:val="-8"/>
        </w:rPr>
        <w:t> </w:t>
      </w:r>
      <w:r>
        <w:rPr/>
        <w:t>fluid</w:t>
      </w:r>
      <w:r>
        <w:rPr>
          <w:spacing w:val="-4"/>
        </w:rPr>
        <w:t> </w:t>
      </w:r>
      <w:r>
        <w:rPr/>
        <w:t>mechanics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hydrodynamics,</w:t>
      </w:r>
    </w:p>
    <w:p>
      <w:pPr>
        <w:spacing w:after="0" w:line="480" w:lineRule="auto"/>
        <w:jc w:val="both"/>
        <w:sectPr>
          <w:pgSz w:w="12240" w:h="15840"/>
          <w:pgMar w:header="0" w:footer="1064" w:top="1500" w:bottom="1260" w:left="1720" w:right="1180"/>
        </w:sectPr>
      </w:pPr>
    </w:p>
    <w:p>
      <w:pPr>
        <w:pStyle w:val="BodyText"/>
        <w:spacing w:line="480" w:lineRule="auto" w:before="78"/>
        <w:ind w:left="439" w:right="257"/>
        <w:jc w:val="both"/>
      </w:pPr>
      <w:r>
        <w:rPr/>
        <w:t>cavitation refers to the crater or channel diameter created during penetration which has a</w:t>
      </w:r>
      <w:r>
        <w:rPr>
          <w:spacing w:val="1"/>
        </w:rPr>
        <w:t> </w:t>
      </w:r>
      <w:r>
        <w:rPr/>
        <w:t>diameter</w:t>
      </w:r>
      <w:r>
        <w:rPr>
          <w:spacing w:val="1"/>
        </w:rPr>
        <w:t> </w:t>
      </w:r>
      <w:r>
        <w:rPr/>
        <w:t>larger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penetrator</w:t>
      </w:r>
      <w:r>
        <w:rPr>
          <w:spacing w:val="1"/>
        </w:rPr>
        <w:t> </w:t>
      </w:r>
      <w:r>
        <w:rPr/>
        <w:t>itself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illustrated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hyperlink w:history="true" w:anchor="_bookmark22">
        <w:r>
          <w:rPr/>
          <w:t>Figure</w:t>
        </w:r>
        <w:r>
          <w:rPr>
            <w:spacing w:val="1"/>
          </w:rPr>
          <w:t> </w:t>
        </w:r>
        <w:r>
          <w:rPr/>
          <w:t>3-9.</w:t>
        </w:r>
      </w:hyperlink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cavity</w:t>
      </w:r>
      <w:r>
        <w:rPr>
          <w:spacing w:val="-57"/>
        </w:rPr>
        <w:t> </w:t>
      </w:r>
      <w:r>
        <w:rPr/>
        <w:t>expansion</w:t>
      </w:r>
      <w:r>
        <w:rPr>
          <w:spacing w:val="-4"/>
        </w:rPr>
        <w:t> </w:t>
      </w:r>
      <w:r>
        <w:rPr/>
        <w:t>is</w:t>
      </w:r>
      <w:r>
        <w:rPr>
          <w:spacing w:val="-4"/>
        </w:rPr>
        <w:t> </w:t>
      </w:r>
      <w:r>
        <w:rPr/>
        <w:t>believed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/>
        <w:t>be</w:t>
      </w:r>
      <w:r>
        <w:rPr>
          <w:spacing w:val="-1"/>
        </w:rPr>
        <w:t> </w:t>
      </w:r>
      <w:r>
        <w:rPr/>
        <w:t>one</w:t>
      </w:r>
      <w:r>
        <w:rPr>
          <w:spacing w:val="-2"/>
        </w:rPr>
        <w:t> </w:t>
      </w:r>
      <w:r>
        <w:rPr/>
        <w:t>aspect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penetration</w:t>
      </w:r>
      <w:r>
        <w:rPr>
          <w:spacing w:val="-2"/>
        </w:rPr>
        <w:t> </w:t>
      </w:r>
      <w:r>
        <w:rPr/>
        <w:t>event</w:t>
      </w:r>
      <w:r>
        <w:rPr>
          <w:spacing w:val="-3"/>
        </w:rPr>
        <w:t> </w:t>
      </w:r>
      <w:r>
        <w:rPr/>
        <w:t>where</w:t>
      </w:r>
      <w:r>
        <w:rPr>
          <w:spacing w:val="-2"/>
        </w:rPr>
        <w:t> </w:t>
      </w:r>
      <w:r>
        <w:rPr/>
        <w:t>energy</w:t>
      </w:r>
      <w:r>
        <w:rPr>
          <w:spacing w:val="-3"/>
        </w:rPr>
        <w:t> </w:t>
      </w:r>
      <w:r>
        <w:rPr/>
        <w:t>is</w:t>
      </w:r>
      <w:r>
        <w:rPr>
          <w:spacing w:val="-1"/>
        </w:rPr>
        <w:t> </w:t>
      </w:r>
      <w:r>
        <w:rPr/>
        <w:t>dissipated.</w:t>
      </w:r>
      <w:r>
        <w:rPr>
          <w:spacing w:val="-58"/>
        </w:rPr>
        <w:t> </w:t>
      </w:r>
      <w:r>
        <w:rPr/>
        <w:t>Typically, low velocity impacts do not develop cavitation or any expansion of the crater</w:t>
      </w:r>
      <w:r>
        <w:rPr>
          <w:spacing w:val="1"/>
        </w:rPr>
        <w:t> </w:t>
      </w:r>
      <w:r>
        <w:rPr/>
        <w:t>channel.</w:t>
      </w:r>
      <w:r>
        <w:rPr>
          <w:spacing w:val="1"/>
        </w:rPr>
        <w:t> </w:t>
      </w:r>
      <w:r>
        <w:rPr/>
        <w:t>Studies have shown cavitation occurs for all projectile nose shapes at high</w:t>
      </w:r>
      <w:r>
        <w:rPr>
          <w:spacing w:val="1"/>
        </w:rPr>
        <w:t> </w:t>
      </w:r>
      <w:r>
        <w:rPr/>
        <w:t>velocities.</w:t>
      </w:r>
      <w:r>
        <w:rPr>
          <w:spacing w:val="1"/>
        </w:rPr>
        <w:t> </w:t>
      </w:r>
      <w:r>
        <w:rPr/>
        <w:t>Multiple researchers have concluded that penetration without cavitation is</w:t>
      </w:r>
      <w:r>
        <w:rPr>
          <w:spacing w:val="1"/>
        </w:rPr>
        <w:t> </w:t>
      </w:r>
      <w:r>
        <w:rPr/>
        <w:t>associated</w:t>
      </w:r>
      <w:r>
        <w:rPr>
          <w:spacing w:val="-1"/>
        </w:rPr>
        <w:t> </w:t>
      </w:r>
      <w:r>
        <w:rPr/>
        <w:t>with</w:t>
      </w:r>
      <w:r>
        <w:rPr>
          <w:spacing w:val="-1"/>
        </w:rPr>
        <w:t> </w:t>
      </w:r>
      <w:r>
        <w:rPr/>
        <w:t>a constant</w:t>
      </w:r>
      <w:r>
        <w:rPr>
          <w:spacing w:val="-1"/>
        </w:rPr>
        <w:t> </w:t>
      </w:r>
      <w:r>
        <w:rPr/>
        <w:t>resisting stress</w:t>
      </w:r>
      <w:r>
        <w:rPr>
          <w:spacing w:val="-1"/>
        </w:rPr>
        <w:t> </w:t>
      </w:r>
      <w:r>
        <w:rPr/>
        <w:t>by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target material</w:t>
      </w:r>
      <w:r>
        <w:rPr>
          <w:spacing w:val="-1"/>
        </w:rPr>
        <w:t> </w:t>
      </w:r>
      <w:r>
        <w:rPr/>
        <w:t>[61, 94,</w:t>
      </w:r>
      <w:r>
        <w:rPr>
          <w:spacing w:val="-1"/>
        </w:rPr>
        <w:t> </w:t>
      </w:r>
      <w:r>
        <w:rPr/>
        <w:t>95].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8"/>
        </w:rPr>
      </w:pPr>
      <w:r>
        <w:rPr/>
        <w:pict>
          <v:group style="position:absolute;margin-left:137.729996pt;margin-top:18.269312pt;width:371.75pt;height:161.25pt;mso-position-horizontal-relative:page;mso-position-vertical-relative:paragraph;z-index:-15688704;mso-wrap-distance-left:0;mso-wrap-distance-right:0" coordorigin="2755,365" coordsize="7435,3225">
            <v:rect style="position:absolute;left:2867;top:380;width:7305;height:3195" filled="true" fillcolor="#bcbec0" stroked="false">
              <v:fill type="solid"/>
            </v:rect>
            <v:shape style="position:absolute;left:2867;top:380;width:2;height:3195" coordorigin="2867,380" coordsize="0,3195" path="m2867,2275l2867,3575m2867,380l2867,1704e" filled="false" stroked="true" strokeweight=".608668pt" strokecolor="#000000">
              <v:path arrowok="t"/>
              <v:stroke dashstyle="solid"/>
            </v:shape>
            <v:line style="position:absolute" from="10171,380" to="10171,3575" stroked="true" strokeweight=".608051pt" strokecolor="#000000">
              <v:stroke dashstyle="solid"/>
            </v:line>
            <v:shape style="position:absolute;left:2867;top:1716;width:3957;height:572" coordorigin="2867,1716" coordsize="3957,572" path="m6824,1716l2867,1716,2867,2275,2867,2288,6824,2288,6824,2275,6824,1716xe" filled="true" fillcolor="#ffffff" stroked="false">
              <v:path arrowok="t"/>
              <v:fill type="solid"/>
            </v:shape>
            <v:rect style="position:absolute;left:6823;top:1716;width:1108;height:572" filled="true" fillcolor="#6d6e71" stroked="false">
              <v:fill type="solid"/>
            </v:rect>
            <v:rect style="position:absolute;left:6823;top:1716;width:1108;height:572" filled="false" stroked="true" strokeweight=".608538pt" strokecolor="#000000">
              <v:stroke dashstyle="solid"/>
            </v:rect>
            <v:shape style="position:absolute;left:7919;top:1716;width:1181;height:572" coordorigin="7919,1716" coordsize="1181,572" path="m7919,2288l7919,1716,7967,1717,8064,1721,8204,1734,8292,1746,8377,1761,8461,1777,8542,1796,8620,1817,8696,1840,8770,1864,8841,1889,8909,1916,8975,1944,9039,1973,9100,2002,9040,2031,8977,2061,8911,2089,8842,2117,8769,2144,8693,2169,8614,2193,8532,2215,8447,2234,8359,2251,8268,2265,8175,2275,8109,2281,8045,2285,7981,2287,7919,2288xe" filled="true" fillcolor="#6d6e71" stroked="false">
              <v:path arrowok="t"/>
              <v:fill type="solid"/>
            </v:shape>
            <v:shape style="position:absolute;left:7919;top:1716;width:1181;height:572" coordorigin="7919,1716" coordsize="1181,572" path="m9100,2002l9039,1973,8975,1944,8909,1916,8841,1889,8770,1864,8696,1840,8620,1817,8542,1796,8461,1777,8377,1761,8292,1746,8204,1734,8114,1725,8015,1718,7919,1716,7919,2288,7981,2287,8045,2285,8109,2281,8175,2275,8268,2265,8359,2251,8447,2234,8532,2215,8614,2193,8693,2169,8769,2144,8842,2117,8911,2089,8977,2061,9040,2031,9100,2002xe" filled="false" stroked="true" strokeweight=".608551pt" strokecolor="#000000">
              <v:path arrowok="t"/>
              <v:stroke dashstyle="solid"/>
            </v:shape>
            <v:rect style="position:absolute;left:2867;top:1582;width:2289;height:803" filled="true" fillcolor="#ffffff" stroked="false">
              <v:fill type="solid"/>
            </v:rect>
            <v:rect style="position:absolute;left:4948;top:1630;width:1157;height:706" filled="true" fillcolor="#ffffff" stroked="false">
              <v:fill type="solid"/>
            </v:rect>
            <v:rect style="position:absolute;left:2781;top:1703;width:1108;height:572" filled="true" fillcolor="#6d6e71" stroked="false">
              <v:fill type="solid"/>
            </v:rect>
            <v:rect style="position:absolute;left:2781;top:1703;width:1108;height:572" filled="false" stroked="true" strokeweight=".608538pt" strokecolor="#000000">
              <v:stroke dashstyle="solid"/>
            </v:rect>
            <v:shape style="position:absolute;left:3877;top:1703;width:1181;height:572" coordorigin="3878,1704" coordsize="1181,572" path="m3878,2275l3878,1704,3926,1704,4023,1709,4162,1722,4250,1734,4336,1748,4419,1765,4500,1784,4578,1805,4654,1827,4728,1852,4799,1877,4868,1904,4934,1932,4997,1960,5058,1990,4999,2019,4936,2049,4870,2077,4800,2105,4728,2132,4652,2157,4573,2181,4491,2202,4406,2222,4318,2239,4227,2252,4133,2263,4068,2269,4003,2273,3940,2275,3878,2275xe" filled="true" fillcolor="#6d6e71" stroked="false">
              <v:path arrowok="t"/>
              <v:fill type="solid"/>
            </v:shape>
            <v:shape style="position:absolute;left:3877;top:1703;width:1181;height:572" coordorigin="3878,1704" coordsize="1181,572" path="m5058,1990l4997,1960,4934,1932,4868,1904,4799,1877,4728,1852,4654,1827,4578,1805,4500,1784,4419,1765,4336,1748,4250,1734,4162,1722,4072,1713,3974,1706,3878,1704,3878,2275,3940,2275,4003,2273,4068,2269,4133,2263,4227,2252,4318,2239,4406,2222,4491,2202,4573,2181,4652,2157,4728,2132,4800,2105,4870,2077,4936,2049,4999,2019,5058,1990xe" filled="false" stroked="true" strokeweight=".608551pt" strokecolor="#000000">
              <v:path arrowok="t"/>
              <v:stroke dashstyle="solid"/>
            </v:shape>
            <v:rect style="position:absolute;left:2762;top:372;width:7420;height:3210" filled="false" stroked="true" strokeweight=".75pt" strokecolor="#000000">
              <v:stroke dashstyle="solid"/>
            </v:rect>
            <w10:wrap type="topAndBottom"/>
          </v:group>
        </w:pict>
      </w:r>
    </w:p>
    <w:p>
      <w:pPr>
        <w:pStyle w:val="BodyText"/>
        <w:spacing w:before="5"/>
        <w:rPr>
          <w:sz w:val="37"/>
        </w:rPr>
      </w:pPr>
    </w:p>
    <w:p>
      <w:pPr>
        <w:spacing w:before="0"/>
        <w:ind w:left="180" w:right="0" w:firstLine="0"/>
        <w:jc w:val="center"/>
        <w:rPr>
          <w:i/>
          <w:sz w:val="24"/>
        </w:rPr>
      </w:pPr>
      <w:bookmarkStart w:name="_bookmark22" w:id="163"/>
      <w:bookmarkEnd w:id="163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3-9.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Cavitation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demonstrated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projectile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on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left.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4"/>
        <w:rPr>
          <w:i/>
          <w:sz w:val="37"/>
        </w:rPr>
      </w:pPr>
    </w:p>
    <w:p>
      <w:pPr>
        <w:pStyle w:val="BodyText"/>
        <w:spacing w:line="480" w:lineRule="auto"/>
        <w:ind w:left="439" w:right="256" w:firstLine="720"/>
        <w:jc w:val="both"/>
      </w:pPr>
      <w:r>
        <w:rPr/>
        <w:t>Like most phenomena of impacts, the velocity of the projectile and the strength of</w:t>
      </w:r>
      <w:r>
        <w:rPr>
          <w:spacing w:val="-57"/>
        </w:rPr>
        <w:t> </w:t>
      </w:r>
      <w:r>
        <w:rPr/>
        <w:t>the target are key factors in the presence of cavitation. Many past studies of aluminum for</w:t>
      </w:r>
      <w:r>
        <w:rPr>
          <w:spacing w:val="-57"/>
        </w:rPr>
        <w:t> </w:t>
      </w:r>
      <w:r>
        <w:rPr/>
        <w:t>velocities</w:t>
      </w:r>
      <w:r>
        <w:rPr>
          <w:spacing w:val="-5"/>
        </w:rPr>
        <w:t> </w:t>
      </w:r>
      <w:r>
        <w:rPr/>
        <w:t>in</w:t>
      </w:r>
      <w:r>
        <w:rPr>
          <w:spacing w:val="-7"/>
        </w:rPr>
        <w:t> </w:t>
      </w:r>
      <w:r>
        <w:rPr/>
        <w:t>the</w:t>
      </w:r>
      <w:r>
        <w:rPr>
          <w:spacing w:val="-5"/>
        </w:rPr>
        <w:t> </w:t>
      </w:r>
      <w:r>
        <w:rPr/>
        <w:t>range</w:t>
      </w:r>
      <w:r>
        <w:rPr>
          <w:spacing w:val="-4"/>
        </w:rPr>
        <w:t> </w:t>
      </w:r>
      <w:r>
        <w:rPr/>
        <w:t>of</w:t>
      </w:r>
      <w:r>
        <w:rPr>
          <w:spacing w:val="-7"/>
        </w:rPr>
        <w:t> </w:t>
      </w:r>
      <w:r>
        <w:rPr/>
        <w:t>1,000</w:t>
      </w:r>
      <w:r>
        <w:rPr>
          <w:spacing w:val="-5"/>
        </w:rPr>
        <w:t> </w:t>
      </w:r>
      <w:r>
        <w:rPr/>
        <w:t>to</w:t>
      </w:r>
      <w:r>
        <w:rPr>
          <w:spacing w:val="-5"/>
        </w:rPr>
        <w:t> </w:t>
      </w:r>
      <w:r>
        <w:rPr/>
        <w:t>2,000</w:t>
      </w:r>
      <w:r>
        <w:rPr>
          <w:spacing w:val="-4"/>
        </w:rPr>
        <w:t> </w:t>
      </w:r>
      <w:r>
        <w:rPr/>
        <w:t>m/s</w:t>
      </w:r>
      <w:r>
        <w:rPr>
          <w:spacing w:val="-5"/>
        </w:rPr>
        <w:t> </w:t>
      </w:r>
      <w:r>
        <w:rPr/>
        <w:t>(3,250</w:t>
      </w:r>
      <w:r>
        <w:rPr>
          <w:spacing w:val="-5"/>
        </w:rPr>
        <w:t> </w:t>
      </w:r>
      <w:r>
        <w:rPr/>
        <w:t>to</w:t>
      </w:r>
      <w:r>
        <w:rPr>
          <w:spacing w:val="-5"/>
        </w:rPr>
        <w:t> </w:t>
      </w:r>
      <w:r>
        <w:rPr/>
        <w:t>6,500</w:t>
      </w:r>
      <w:r>
        <w:rPr>
          <w:spacing w:val="-5"/>
        </w:rPr>
        <w:t> </w:t>
      </w:r>
      <w:r>
        <w:rPr/>
        <w:t>fps)</w:t>
      </w:r>
      <w:r>
        <w:rPr>
          <w:spacing w:val="-5"/>
        </w:rPr>
        <w:t> </w:t>
      </w:r>
      <w:r>
        <w:rPr/>
        <w:t>did</w:t>
      </w:r>
      <w:r>
        <w:rPr>
          <w:spacing w:val="-6"/>
        </w:rPr>
        <w:t> </w:t>
      </w:r>
      <w:r>
        <w:rPr/>
        <w:t>not</w:t>
      </w:r>
      <w:r>
        <w:rPr>
          <w:spacing w:val="-6"/>
        </w:rPr>
        <w:t> </w:t>
      </w:r>
      <w:r>
        <w:rPr/>
        <w:t>witness</w:t>
      </w:r>
      <w:r>
        <w:rPr>
          <w:spacing w:val="-5"/>
        </w:rPr>
        <w:t> </w:t>
      </w:r>
      <w:r>
        <w:rPr/>
        <w:t>cavitation</w:t>
      </w:r>
      <w:r>
        <w:rPr>
          <w:spacing w:val="-58"/>
        </w:rPr>
        <w:t> </w:t>
      </w:r>
      <w:r>
        <w:rPr/>
        <w:t>[50].</w:t>
      </w:r>
      <w:r>
        <w:rPr>
          <w:spacing w:val="1"/>
        </w:rPr>
        <w:t> </w:t>
      </w:r>
      <w:r>
        <w:rPr/>
        <w:t>This work lead to further simulations showing the presence of an expanded channel</w:t>
      </w:r>
      <w:r>
        <w:rPr>
          <w:spacing w:val="-57"/>
        </w:rPr>
        <w:t> </w:t>
      </w:r>
      <w:r>
        <w:rPr/>
        <w:t>depends</w:t>
      </w:r>
      <w:r>
        <w:rPr>
          <w:spacing w:val="27"/>
        </w:rPr>
        <w:t> </w:t>
      </w:r>
      <w:r>
        <w:rPr/>
        <w:t>on</w:t>
      </w:r>
      <w:r>
        <w:rPr>
          <w:spacing w:val="25"/>
        </w:rPr>
        <w:t> </w:t>
      </w:r>
      <w:r>
        <w:rPr/>
        <w:t>both</w:t>
      </w:r>
      <w:r>
        <w:rPr>
          <w:spacing w:val="26"/>
        </w:rPr>
        <w:t> </w:t>
      </w:r>
      <w:r>
        <w:rPr/>
        <w:t>the</w:t>
      </w:r>
      <w:r>
        <w:rPr>
          <w:spacing w:val="28"/>
        </w:rPr>
        <w:t> </w:t>
      </w:r>
      <w:r>
        <w:rPr/>
        <w:t>target</w:t>
      </w:r>
      <w:r>
        <w:rPr>
          <w:spacing w:val="27"/>
        </w:rPr>
        <w:t> </w:t>
      </w:r>
      <w:r>
        <w:rPr/>
        <w:t>material</w:t>
      </w:r>
      <w:r>
        <w:rPr>
          <w:spacing w:val="27"/>
        </w:rPr>
        <w:t> </w:t>
      </w:r>
      <w:r>
        <w:rPr/>
        <w:t>strength</w:t>
      </w:r>
      <w:r>
        <w:rPr>
          <w:spacing w:val="26"/>
        </w:rPr>
        <w:t> </w:t>
      </w:r>
      <w:r>
        <w:rPr/>
        <w:t>and</w:t>
      </w:r>
      <w:r>
        <w:rPr>
          <w:spacing w:val="26"/>
        </w:rPr>
        <w:t> </w:t>
      </w:r>
      <w:r>
        <w:rPr/>
        <w:t>density,</w:t>
      </w:r>
      <w:r>
        <w:rPr>
          <w:spacing w:val="27"/>
        </w:rPr>
        <w:t> </w:t>
      </w:r>
      <w:r>
        <w:rPr/>
        <w:t>as</w:t>
      </w:r>
      <w:r>
        <w:rPr>
          <w:spacing w:val="27"/>
        </w:rPr>
        <w:t> </w:t>
      </w:r>
      <w:r>
        <w:rPr/>
        <w:t>well</w:t>
      </w:r>
      <w:r>
        <w:rPr>
          <w:spacing w:val="27"/>
        </w:rPr>
        <w:t> </w:t>
      </w:r>
      <w:r>
        <w:rPr/>
        <w:t>as</w:t>
      </w:r>
      <w:r>
        <w:rPr>
          <w:spacing w:val="26"/>
        </w:rPr>
        <w:t> </w:t>
      </w:r>
      <w:r>
        <w:rPr/>
        <w:t>the</w:t>
      </w:r>
      <w:r>
        <w:rPr>
          <w:spacing w:val="27"/>
        </w:rPr>
        <w:t> </w:t>
      </w:r>
      <w:r>
        <w:rPr/>
        <w:t>projectile</w:t>
      </w:r>
      <w:r>
        <w:rPr>
          <w:spacing w:val="26"/>
        </w:rPr>
        <w:t> </w:t>
      </w:r>
      <w:r>
        <w:rPr/>
        <w:t>nose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39" w:right="257"/>
        <w:jc w:val="both"/>
      </w:pPr>
      <w:r>
        <w:rPr/>
        <w:t>shape.</w:t>
      </w:r>
      <w:r>
        <w:rPr>
          <w:spacing w:val="1"/>
        </w:rPr>
        <w:t> </w:t>
      </w:r>
      <w:r>
        <w:rPr/>
        <w:t>Additionally, the work further showed that the deceleration of the projectile is not</w:t>
      </w:r>
      <w:r>
        <w:rPr>
          <w:spacing w:val="-57"/>
        </w:rPr>
        <w:t> </w:t>
      </w:r>
      <w:r>
        <w:rPr/>
        <w:t>constant, as often assumed in analytical models.</w:t>
      </w:r>
      <w:r>
        <w:rPr>
          <w:spacing w:val="1"/>
        </w:rPr>
        <w:t> </w:t>
      </w:r>
      <w:r>
        <w:rPr/>
        <w:t>In essence, with cavitation the projectile</w:t>
      </w:r>
      <w:r>
        <w:rPr>
          <w:spacing w:val="-57"/>
        </w:rPr>
        <w:t> </w:t>
      </w:r>
      <w:r>
        <w:rPr/>
        <w:t>must expend a portion of its kinetic energy on the initial penetration of the target and this</w:t>
      </w:r>
      <w:r>
        <w:rPr>
          <w:spacing w:val="1"/>
        </w:rPr>
        <w:t> </w:t>
      </w:r>
      <w:r>
        <w:rPr/>
        <w:t>creates</w:t>
      </w:r>
      <w:r>
        <w:rPr>
          <w:spacing w:val="-8"/>
        </w:rPr>
        <w:t> </w:t>
      </w:r>
      <w:r>
        <w:rPr/>
        <w:t>lateral</w:t>
      </w:r>
      <w:r>
        <w:rPr>
          <w:spacing w:val="-6"/>
        </w:rPr>
        <w:t> </w:t>
      </w:r>
      <w:r>
        <w:rPr/>
        <w:t>deformation</w:t>
      </w:r>
      <w:r>
        <w:rPr>
          <w:spacing w:val="-7"/>
        </w:rPr>
        <w:t> </w:t>
      </w:r>
      <w:r>
        <w:rPr/>
        <w:t>in</w:t>
      </w:r>
      <w:r>
        <w:rPr>
          <w:spacing w:val="-6"/>
        </w:rPr>
        <w:t> </w:t>
      </w:r>
      <w:r>
        <w:rPr/>
        <w:t>addition</w:t>
      </w:r>
      <w:r>
        <w:rPr>
          <w:spacing w:val="-7"/>
        </w:rPr>
        <w:t> </w:t>
      </w:r>
      <w:r>
        <w:rPr/>
        <w:t>to</w:t>
      </w:r>
      <w:r>
        <w:rPr>
          <w:spacing w:val="-6"/>
        </w:rPr>
        <w:t> </w:t>
      </w:r>
      <w:r>
        <w:rPr/>
        <w:t>the</w:t>
      </w:r>
      <w:r>
        <w:rPr>
          <w:spacing w:val="-8"/>
        </w:rPr>
        <w:t> </w:t>
      </w:r>
      <w:r>
        <w:rPr/>
        <w:t>crater</w:t>
      </w:r>
      <w:r>
        <w:rPr>
          <w:spacing w:val="-6"/>
        </w:rPr>
        <w:t> </w:t>
      </w:r>
      <w:r>
        <w:rPr/>
        <w:t>hole.</w:t>
      </w:r>
      <w:r>
        <w:rPr>
          <w:spacing w:val="46"/>
        </w:rPr>
        <w:t> </w:t>
      </w:r>
      <w:r>
        <w:rPr/>
        <w:t>The</w:t>
      </w:r>
      <w:r>
        <w:rPr>
          <w:spacing w:val="-7"/>
        </w:rPr>
        <w:t> </w:t>
      </w:r>
      <w:r>
        <w:rPr/>
        <w:t>lateral</w:t>
      </w:r>
      <w:r>
        <w:rPr>
          <w:spacing w:val="-7"/>
        </w:rPr>
        <w:t> </w:t>
      </w:r>
      <w:r>
        <w:rPr/>
        <w:t>deformations</w:t>
      </w:r>
      <w:r>
        <w:rPr>
          <w:spacing w:val="-6"/>
        </w:rPr>
        <w:t> </w:t>
      </w:r>
      <w:r>
        <w:rPr/>
        <w:t>result</w:t>
      </w:r>
      <w:r>
        <w:rPr>
          <w:spacing w:val="-7"/>
        </w:rPr>
        <w:t> </w:t>
      </w:r>
      <w:r>
        <w:rPr/>
        <w:t>in</w:t>
      </w:r>
      <w:r>
        <w:rPr>
          <w:spacing w:val="-57"/>
        </w:rPr>
        <w:t> </w:t>
      </w:r>
      <w:r>
        <w:rPr/>
        <w:t>the</w:t>
      </w:r>
      <w:r>
        <w:rPr>
          <w:spacing w:val="-1"/>
        </w:rPr>
        <w:t> </w:t>
      </w:r>
      <w:r>
        <w:rPr/>
        <w:t>crater expanding past</w:t>
      </w:r>
      <w:r>
        <w:rPr>
          <w:spacing w:val="-1"/>
        </w:rPr>
        <w:t> </w:t>
      </w:r>
      <w:r>
        <w:rPr/>
        <w:t>the diameter of</w:t>
      </w:r>
      <w:r>
        <w:rPr>
          <w:spacing w:val="-2"/>
        </w:rPr>
        <w:t> </w:t>
      </w:r>
      <w:r>
        <w:rPr/>
        <w:t>the projectile.</w:t>
      </w:r>
    </w:p>
    <w:p>
      <w:pPr>
        <w:pStyle w:val="BodyText"/>
        <w:spacing w:line="480" w:lineRule="auto" w:before="159"/>
        <w:ind w:left="440" w:right="257" w:firstLine="720"/>
        <w:jc w:val="both"/>
      </w:pPr>
      <w:r>
        <w:rPr/>
        <w:t>The concept of cavitation expansion is an example of how complex penetration</w:t>
      </w:r>
      <w:r>
        <w:rPr>
          <w:spacing w:val="1"/>
        </w:rPr>
        <w:t> </w:t>
      </w:r>
      <w:r>
        <w:rPr/>
        <w:t>events can be. The material response may change multiple times within the short duration</w:t>
      </w:r>
      <w:r>
        <w:rPr>
          <w:spacing w:val="-57"/>
        </w:rPr>
        <w:t> </w:t>
      </w:r>
      <w:r>
        <w:rPr/>
        <w:t>of penetration due to changes in velocity and interaction between the projectile and the</w:t>
      </w:r>
      <w:r>
        <w:rPr>
          <w:spacing w:val="1"/>
        </w:rPr>
        <w:t> </w:t>
      </w:r>
      <w:r>
        <w:rPr/>
        <w:t>target.</w:t>
      </w:r>
      <w:r>
        <w:rPr>
          <w:spacing w:val="1"/>
        </w:rPr>
        <w:t> </w:t>
      </w:r>
      <w:r>
        <w:rPr/>
        <w:t>With a change in nose shape or material density, very different penetration results</w:t>
      </w:r>
      <w:r>
        <w:rPr>
          <w:spacing w:val="-57"/>
        </w:rPr>
        <w:t> </w:t>
      </w:r>
      <w:r>
        <w:rPr/>
        <w:t>can be seen.</w:t>
      </w:r>
    </w:p>
    <w:p>
      <w:pPr>
        <w:pStyle w:val="Heading9"/>
        <w:numPr>
          <w:ilvl w:val="1"/>
          <w:numId w:val="17"/>
        </w:numPr>
        <w:tabs>
          <w:tab w:pos="920" w:val="left" w:leader="none"/>
        </w:tabs>
        <w:spacing w:line="240" w:lineRule="auto" w:before="163" w:after="0"/>
        <w:ind w:left="920" w:right="0" w:hanging="480"/>
        <w:jc w:val="both"/>
      </w:pPr>
      <w:bookmarkStart w:name="_TOC_250047" w:id="164"/>
      <w:bookmarkStart w:name="3.14 Approaches to understanding ballist" w:id="165"/>
      <w:r>
        <w:rPr>
          <w:b w:val="0"/>
        </w:rPr>
      </w:r>
      <w:bookmarkEnd w:id="165"/>
      <w:bookmarkStart w:name="3.14 Approaches to understanding ballist" w:id="166"/>
      <w:r>
        <w:rPr/>
        <w:t>App</w:t>
      </w:r>
      <w:r>
        <w:rPr/>
        <w:t>roaches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understanding</w:t>
      </w:r>
      <w:r>
        <w:rPr>
          <w:spacing w:val="-6"/>
        </w:rPr>
        <w:t> </w:t>
      </w:r>
      <w:r>
        <w:rPr/>
        <w:t>ballistic</w:t>
      </w:r>
      <w:r>
        <w:rPr>
          <w:spacing w:val="-4"/>
        </w:rPr>
        <w:t> </w:t>
      </w:r>
      <w:bookmarkEnd w:id="164"/>
      <w:r>
        <w:rPr/>
        <w:t>impacts</w:t>
      </w:r>
    </w:p>
    <w:p>
      <w:pPr>
        <w:pStyle w:val="BodyText"/>
        <w:spacing w:before="7"/>
        <w:rPr>
          <w:b/>
          <w:sz w:val="22"/>
        </w:rPr>
      </w:pPr>
    </w:p>
    <w:p>
      <w:pPr>
        <w:pStyle w:val="ListParagraph"/>
        <w:numPr>
          <w:ilvl w:val="2"/>
          <w:numId w:val="17"/>
        </w:numPr>
        <w:tabs>
          <w:tab w:pos="1100" w:val="left" w:leader="none"/>
        </w:tabs>
        <w:spacing w:line="240" w:lineRule="auto" w:before="0" w:after="0"/>
        <w:ind w:left="1100" w:right="0" w:hanging="660"/>
        <w:jc w:val="both"/>
        <w:rPr>
          <w:i/>
          <w:sz w:val="24"/>
        </w:rPr>
      </w:pPr>
      <w:bookmarkStart w:name="3.14.1 Empirical approaches to studying " w:id="167"/>
      <w:bookmarkEnd w:id="167"/>
      <w:r>
        <w:rPr/>
      </w:r>
      <w:bookmarkStart w:name="3.14.1 Empirical approaches to studying " w:id="168"/>
      <w:bookmarkEnd w:id="168"/>
      <w:r>
        <w:rPr>
          <w:i/>
          <w:sz w:val="24"/>
        </w:rPr>
        <w:t>E</w:t>
      </w:r>
      <w:r>
        <w:rPr>
          <w:i/>
          <w:sz w:val="24"/>
        </w:rPr>
        <w:t>mpirical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approaches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studying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impact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dynamics</w:t>
      </w:r>
    </w:p>
    <w:p>
      <w:pPr>
        <w:pStyle w:val="BodyText"/>
        <w:spacing w:before="9"/>
        <w:rPr>
          <w:i/>
          <w:sz w:val="22"/>
        </w:rPr>
      </w:pPr>
    </w:p>
    <w:p>
      <w:pPr>
        <w:pStyle w:val="BodyText"/>
        <w:spacing w:line="480" w:lineRule="auto"/>
        <w:ind w:left="440" w:right="256" w:firstLine="720"/>
        <w:jc w:val="both"/>
      </w:pPr>
      <w:r>
        <w:rPr/>
        <w:t>Historically, empirical approaches are the most common type of analysis because</w:t>
      </w:r>
      <w:r>
        <w:rPr>
          <w:spacing w:val="1"/>
        </w:rPr>
        <w:t> </w:t>
      </w:r>
      <w:r>
        <w:rPr/>
        <w:t>of the challenges and complexity associated with ballistic testing and results.</w:t>
      </w:r>
      <w:r>
        <w:rPr>
          <w:spacing w:val="1"/>
        </w:rPr>
        <w:t> </w:t>
      </w:r>
      <w:r>
        <w:rPr/>
        <w:t>While an</w:t>
      </w:r>
      <w:r>
        <w:rPr>
          <w:spacing w:val="1"/>
        </w:rPr>
        <w:t> </w:t>
      </w:r>
      <w:r>
        <w:rPr/>
        <w:t>impact event has many variables, an empirical relation describing penetration mechanics</w:t>
      </w:r>
      <w:r>
        <w:rPr>
          <w:spacing w:val="1"/>
        </w:rPr>
        <w:t> </w:t>
      </w:r>
      <w:r>
        <w:rPr/>
        <w:t>is</w:t>
      </w:r>
      <w:r>
        <w:rPr>
          <w:spacing w:val="-1"/>
        </w:rPr>
        <w:t> </w:t>
      </w:r>
      <w:r>
        <w:rPr/>
        <w:t>most useful when</w:t>
      </w:r>
      <w:r>
        <w:rPr>
          <w:spacing w:val="-1"/>
        </w:rPr>
        <w:t> </w:t>
      </w:r>
      <w:r>
        <w:rPr/>
        <w:t>a small number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variables</w:t>
      </w:r>
      <w:r>
        <w:rPr>
          <w:spacing w:val="-1"/>
        </w:rPr>
        <w:t> </w:t>
      </w:r>
      <w:r>
        <w:rPr/>
        <w:t>are</w:t>
      </w:r>
      <w:r>
        <w:rPr>
          <w:spacing w:val="-1"/>
        </w:rPr>
        <w:t> </w:t>
      </w:r>
      <w:r>
        <w:rPr/>
        <w:t>correlated [27].</w:t>
      </w:r>
    </w:p>
    <w:p>
      <w:pPr>
        <w:pStyle w:val="BodyText"/>
        <w:spacing w:line="480" w:lineRule="auto" w:before="152"/>
        <w:ind w:left="440" w:right="257" w:firstLine="720"/>
        <w:jc w:val="both"/>
      </w:pPr>
      <w:r>
        <w:rPr/>
        <w:t>Ballistic testing is typically very resource intensive in terms of both cost and time.</w:t>
      </w:r>
      <w:r>
        <w:rPr>
          <w:spacing w:val="-57"/>
        </w:rPr>
        <w:t> </w:t>
      </w:r>
      <w:r>
        <w:rPr/>
        <w:t>This makes obtaining large data sets difficult.</w:t>
      </w:r>
      <w:r>
        <w:rPr>
          <w:spacing w:val="1"/>
        </w:rPr>
        <w:t> </w:t>
      </w:r>
      <w:r>
        <w:rPr/>
        <w:t>Using the experimental data, algebraic</w:t>
      </w:r>
      <w:r>
        <w:rPr>
          <w:spacing w:val="1"/>
        </w:rPr>
        <w:t> </w:t>
      </w:r>
      <w:r>
        <w:rPr/>
        <w:t>equations</w:t>
      </w:r>
      <w:r>
        <w:rPr>
          <w:spacing w:val="-5"/>
        </w:rPr>
        <w:t> </w:t>
      </w:r>
      <w:r>
        <w:rPr/>
        <w:t>are</w:t>
      </w:r>
      <w:r>
        <w:rPr>
          <w:spacing w:val="-4"/>
        </w:rPr>
        <w:t> </w:t>
      </w:r>
      <w:r>
        <w:rPr/>
        <w:t>developed</w:t>
      </w:r>
      <w:r>
        <w:rPr>
          <w:spacing w:val="-5"/>
        </w:rPr>
        <w:t> </w:t>
      </w:r>
      <w:r>
        <w:rPr/>
        <w:t>in</w:t>
      </w:r>
      <w:r>
        <w:rPr>
          <w:spacing w:val="-5"/>
        </w:rPr>
        <w:t> </w:t>
      </w:r>
      <w:r>
        <w:rPr/>
        <w:t>terms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material</w:t>
      </w:r>
      <w:r>
        <w:rPr>
          <w:spacing w:val="-4"/>
        </w:rPr>
        <w:t> </w:t>
      </w:r>
      <w:r>
        <w:rPr/>
        <w:t>properties,</w:t>
      </w:r>
      <w:r>
        <w:rPr>
          <w:spacing w:val="-4"/>
        </w:rPr>
        <w:t> </w:t>
      </w:r>
      <w:r>
        <w:rPr/>
        <w:t>dimensions,</w:t>
      </w:r>
      <w:r>
        <w:rPr>
          <w:spacing w:val="-4"/>
        </w:rPr>
        <w:t> </w:t>
      </w:r>
      <w:r>
        <w:rPr/>
        <w:t>and</w:t>
      </w:r>
      <w:r>
        <w:rPr>
          <w:spacing w:val="-6"/>
        </w:rPr>
        <w:t> </w:t>
      </w:r>
      <w:r>
        <w:rPr/>
        <w:t>velocity,</w:t>
      </w:r>
      <w:r>
        <w:rPr>
          <w:spacing w:val="-4"/>
        </w:rPr>
        <w:t> </w:t>
      </w:r>
      <w:r>
        <w:rPr/>
        <w:t>through</w:t>
      </w:r>
      <w:r>
        <w:rPr>
          <w:spacing w:val="-58"/>
        </w:rPr>
        <w:t> </w:t>
      </w:r>
      <w:r>
        <w:rPr/>
        <w:t>curve fitting equations and constants.</w:t>
      </w:r>
      <w:r>
        <w:rPr>
          <w:spacing w:val="1"/>
        </w:rPr>
        <w:t> </w:t>
      </w:r>
      <w:r>
        <w:rPr/>
        <w:t>These equations may be used for predicting future</w:t>
      </w:r>
      <w:r>
        <w:rPr>
          <w:spacing w:val="1"/>
        </w:rPr>
        <w:t> </w:t>
      </w:r>
      <w:r>
        <w:rPr/>
        <w:t>iterations of experiments with the same test parameters.</w:t>
      </w:r>
      <w:r>
        <w:rPr>
          <w:spacing w:val="1"/>
        </w:rPr>
        <w:t> </w:t>
      </w:r>
      <w:r>
        <w:rPr/>
        <w:t>The constants do not provide a</w:t>
      </w:r>
      <w:r>
        <w:rPr>
          <w:spacing w:val="1"/>
        </w:rPr>
        <w:t> </w:t>
      </w:r>
      <w:r>
        <w:rPr/>
        <w:t>great understanding of the material behavior or the mechanisms at work in the impact</w:t>
      </w:r>
      <w:r>
        <w:rPr>
          <w:spacing w:val="1"/>
        </w:rPr>
        <w:t> </w:t>
      </w:r>
      <w:r>
        <w:rPr/>
        <w:t>event.</w:t>
      </w:r>
      <w:r>
        <w:rPr>
          <w:spacing w:val="2"/>
        </w:rPr>
        <w:t> </w:t>
      </w:r>
      <w:r>
        <w:rPr/>
        <w:t>Due to this,</w:t>
      </w:r>
      <w:r>
        <w:rPr>
          <w:spacing w:val="1"/>
        </w:rPr>
        <w:t> </w:t>
      </w:r>
      <w:r>
        <w:rPr/>
        <w:t>it is considered difficult and</w:t>
      </w:r>
      <w:r>
        <w:rPr>
          <w:spacing w:val="-1"/>
        </w:rPr>
        <w:t> </w:t>
      </w:r>
      <w:r>
        <w:rPr/>
        <w:t>even dangerous</w:t>
      </w:r>
      <w:r>
        <w:rPr>
          <w:spacing w:val="1"/>
        </w:rPr>
        <w:t> </w:t>
      </w:r>
      <w:r>
        <w:rPr/>
        <w:t>to extrapolate beyond</w:t>
      </w:r>
      <w:r>
        <w:rPr>
          <w:spacing w:val="1"/>
        </w:rPr>
        <w:t> </w:t>
      </w:r>
      <w:r>
        <w:rPr/>
        <w:t>the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39" w:right="257"/>
        <w:jc w:val="both"/>
      </w:pPr>
      <w:r>
        <w:rPr/>
        <w:t>materials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test</w:t>
      </w:r>
      <w:r>
        <w:rPr>
          <w:spacing w:val="1"/>
        </w:rPr>
        <w:t> </w:t>
      </w:r>
      <w:r>
        <w:rPr/>
        <w:t>parameters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set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relationship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based</w:t>
      </w:r>
      <w:r>
        <w:rPr>
          <w:spacing w:val="1"/>
        </w:rPr>
        <w:t> </w:t>
      </w:r>
      <w:r>
        <w:rPr/>
        <w:t>on.</w:t>
      </w:r>
      <w:r>
        <w:rPr>
          <w:spacing w:val="1"/>
        </w:rPr>
        <w:t> </w:t>
      </w:r>
      <w:r>
        <w:rPr/>
        <w:t>Independently, ballistic test results and empirical relationships do not provide significant</w:t>
      </w:r>
      <w:r>
        <w:rPr>
          <w:spacing w:val="1"/>
        </w:rPr>
        <w:t> </w:t>
      </w:r>
      <w:r>
        <w:rPr/>
        <w:t>insight</w:t>
      </w:r>
      <w:r>
        <w:rPr>
          <w:spacing w:val="-7"/>
        </w:rPr>
        <w:t> </w:t>
      </w:r>
      <w:r>
        <w:rPr/>
        <w:t>into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penetration</w:t>
      </w:r>
      <w:r>
        <w:rPr>
          <w:spacing w:val="-6"/>
        </w:rPr>
        <w:t> </w:t>
      </w:r>
      <w:r>
        <w:rPr/>
        <w:t>processes</w:t>
      </w:r>
      <w:r>
        <w:rPr>
          <w:spacing w:val="-7"/>
        </w:rPr>
        <w:t> </w:t>
      </w:r>
      <w:r>
        <w:rPr/>
        <w:t>at</w:t>
      </w:r>
      <w:r>
        <w:rPr>
          <w:spacing w:val="-5"/>
        </w:rPr>
        <w:t> </w:t>
      </w:r>
      <w:r>
        <w:rPr/>
        <w:t>work.</w:t>
      </w:r>
      <w:r>
        <w:rPr>
          <w:spacing w:val="48"/>
        </w:rPr>
        <w:t> </w:t>
      </w:r>
      <w:r>
        <w:rPr/>
        <w:t>That</w:t>
      </w:r>
      <w:r>
        <w:rPr>
          <w:spacing w:val="-5"/>
        </w:rPr>
        <w:t> </w:t>
      </w:r>
      <w:r>
        <w:rPr/>
        <w:t>is</w:t>
      </w:r>
      <w:r>
        <w:rPr>
          <w:spacing w:val="-6"/>
        </w:rPr>
        <w:t> </w:t>
      </w:r>
      <w:r>
        <w:rPr/>
        <w:t>not</w:t>
      </w:r>
      <w:r>
        <w:rPr>
          <w:spacing w:val="-6"/>
        </w:rPr>
        <w:t> </w:t>
      </w:r>
      <w:r>
        <w:rPr/>
        <w:t>to</w:t>
      </w:r>
      <w:r>
        <w:rPr>
          <w:spacing w:val="-5"/>
        </w:rPr>
        <w:t> </w:t>
      </w:r>
      <w:r>
        <w:rPr/>
        <w:t>say</w:t>
      </w:r>
      <w:r>
        <w:rPr>
          <w:spacing w:val="-6"/>
        </w:rPr>
        <w:t> </w:t>
      </w:r>
      <w:r>
        <w:rPr/>
        <w:t>that</w:t>
      </w:r>
      <w:r>
        <w:rPr>
          <w:spacing w:val="-6"/>
        </w:rPr>
        <w:t> </w:t>
      </w:r>
      <w:r>
        <w:rPr/>
        <w:t>empirical</w:t>
      </w:r>
      <w:r>
        <w:rPr>
          <w:spacing w:val="-5"/>
        </w:rPr>
        <w:t> </w:t>
      </w:r>
      <w:r>
        <w:rPr/>
        <w:t>approaches</w:t>
      </w:r>
      <w:r>
        <w:rPr>
          <w:spacing w:val="-58"/>
        </w:rPr>
        <w:t> </w:t>
      </w:r>
      <w:r>
        <w:rPr/>
        <w:t>are without value.</w:t>
      </w:r>
      <w:r>
        <w:rPr>
          <w:spacing w:val="1"/>
        </w:rPr>
        <w:t> </w:t>
      </w:r>
      <w:r>
        <w:rPr/>
        <w:t>Much of the seminal research on penetration mechanics was based on</w:t>
      </w:r>
      <w:r>
        <w:rPr>
          <w:spacing w:val="1"/>
        </w:rPr>
        <w:t> </w:t>
      </w:r>
      <w:r>
        <w:rPr/>
        <w:t>experimental testing and empirical relationships. Future experiments can be guided by the</w:t>
      </w:r>
      <w:r>
        <w:rPr>
          <w:spacing w:val="-57"/>
        </w:rPr>
        <w:t> </w:t>
      </w:r>
      <w:r>
        <w:rPr/>
        <w:t>results</w:t>
      </w:r>
      <w:r>
        <w:rPr>
          <w:spacing w:val="-1"/>
        </w:rPr>
        <w:t> </w:t>
      </w:r>
      <w:r>
        <w:rPr/>
        <w:t>and relationships</w:t>
      </w:r>
      <w:r>
        <w:rPr>
          <w:spacing w:val="-1"/>
        </w:rPr>
        <w:t> </w:t>
      </w:r>
      <w:r>
        <w:rPr/>
        <w:t>observed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empirical equations</w:t>
      </w:r>
      <w:r>
        <w:rPr>
          <w:spacing w:val="-1"/>
        </w:rPr>
        <w:t> </w:t>
      </w:r>
      <w:r>
        <w:rPr/>
        <w:t>fit to</w:t>
      </w:r>
      <w:r>
        <w:rPr>
          <w:spacing w:val="-2"/>
        </w:rPr>
        <w:t> </w:t>
      </w:r>
      <w:r>
        <w:rPr/>
        <w:t>the data.</w:t>
      </w:r>
    </w:p>
    <w:p>
      <w:pPr>
        <w:pStyle w:val="BodyText"/>
        <w:spacing w:line="480" w:lineRule="auto" w:before="160"/>
        <w:ind w:left="439" w:right="257" w:firstLine="720"/>
        <w:jc w:val="both"/>
      </w:pPr>
      <w:r>
        <w:rPr/>
        <w:t>Models</w:t>
      </w:r>
      <w:r>
        <w:rPr>
          <w:spacing w:val="-8"/>
        </w:rPr>
        <w:t> </w:t>
      </w:r>
      <w:r>
        <w:rPr/>
        <w:t>developed</w:t>
      </w:r>
      <w:r>
        <w:rPr>
          <w:spacing w:val="-9"/>
        </w:rPr>
        <w:t> </w:t>
      </w:r>
      <w:r>
        <w:rPr/>
        <w:t>from</w:t>
      </w:r>
      <w:r>
        <w:rPr>
          <w:spacing w:val="-11"/>
        </w:rPr>
        <w:t> </w:t>
      </w:r>
      <w:r>
        <w:rPr/>
        <w:t>experimental</w:t>
      </w:r>
      <w:r>
        <w:rPr>
          <w:spacing w:val="-9"/>
        </w:rPr>
        <w:t> </w:t>
      </w:r>
      <w:r>
        <w:rPr/>
        <w:t>data</w:t>
      </w:r>
      <w:r>
        <w:rPr>
          <w:spacing w:val="-8"/>
        </w:rPr>
        <w:t> </w:t>
      </w:r>
      <w:r>
        <w:rPr/>
        <w:t>often</w:t>
      </w:r>
      <w:r>
        <w:rPr>
          <w:spacing w:val="-9"/>
        </w:rPr>
        <w:t> </w:t>
      </w:r>
      <w:r>
        <w:rPr/>
        <w:t>have</w:t>
      </w:r>
      <w:r>
        <w:rPr>
          <w:spacing w:val="-8"/>
        </w:rPr>
        <w:t> </w:t>
      </w:r>
      <w:r>
        <w:rPr/>
        <w:t>many</w:t>
      </w:r>
      <w:r>
        <w:rPr>
          <w:spacing w:val="-9"/>
        </w:rPr>
        <w:t> </w:t>
      </w:r>
      <w:r>
        <w:rPr/>
        <w:t>variables,</w:t>
      </w:r>
      <w:r>
        <w:rPr>
          <w:spacing w:val="-9"/>
        </w:rPr>
        <w:t> </w:t>
      </w:r>
      <w:r>
        <w:rPr/>
        <w:t>which</w:t>
      </w:r>
      <w:r>
        <w:rPr>
          <w:spacing w:val="-9"/>
        </w:rPr>
        <w:t> </w:t>
      </w:r>
      <w:r>
        <w:rPr/>
        <w:t>create</w:t>
      </w:r>
      <w:r>
        <w:rPr>
          <w:spacing w:val="-58"/>
        </w:rPr>
        <w:t> </w:t>
      </w:r>
      <w:r>
        <w:rPr/>
        <w:t>so many parameters in developing a mathematical relationship that the value of such</w:t>
      </w:r>
      <w:r>
        <w:rPr>
          <w:spacing w:val="1"/>
        </w:rPr>
        <w:t> </w:t>
      </w:r>
      <w:r>
        <w:rPr/>
        <w:t>analysis</w:t>
      </w:r>
      <w:r>
        <w:rPr>
          <w:spacing w:val="-11"/>
        </w:rPr>
        <w:t> </w:t>
      </w:r>
      <w:r>
        <w:rPr/>
        <w:t>may</w:t>
      </w:r>
      <w:r>
        <w:rPr>
          <w:spacing w:val="-10"/>
        </w:rPr>
        <w:t> </w:t>
      </w:r>
      <w:r>
        <w:rPr/>
        <w:t>be</w:t>
      </w:r>
      <w:r>
        <w:rPr>
          <w:spacing w:val="-10"/>
        </w:rPr>
        <w:t> </w:t>
      </w:r>
      <w:r>
        <w:rPr/>
        <w:t>limited.</w:t>
      </w:r>
      <w:r>
        <w:rPr>
          <w:spacing w:val="40"/>
        </w:rPr>
        <w:t> </w:t>
      </w:r>
      <w:r>
        <w:rPr/>
        <w:t>A</w:t>
      </w:r>
      <w:r>
        <w:rPr>
          <w:spacing w:val="-10"/>
        </w:rPr>
        <w:t> </w:t>
      </w:r>
      <w:r>
        <w:rPr/>
        <w:t>large</w:t>
      </w:r>
      <w:r>
        <w:rPr>
          <w:spacing w:val="-11"/>
        </w:rPr>
        <w:t> </w:t>
      </w:r>
      <w:r>
        <w:rPr/>
        <w:t>number</w:t>
      </w:r>
      <w:r>
        <w:rPr>
          <w:spacing w:val="-9"/>
        </w:rPr>
        <w:t> </w:t>
      </w:r>
      <w:r>
        <w:rPr/>
        <w:t>of</w:t>
      </w:r>
      <w:r>
        <w:rPr>
          <w:spacing w:val="-11"/>
        </w:rPr>
        <w:t> </w:t>
      </w:r>
      <w:r>
        <w:rPr/>
        <w:t>variables</w:t>
      </w:r>
      <w:r>
        <w:rPr>
          <w:spacing w:val="-11"/>
        </w:rPr>
        <w:t> </w:t>
      </w:r>
      <w:r>
        <w:rPr/>
        <w:t>usually</w:t>
      </w:r>
      <w:r>
        <w:rPr>
          <w:spacing w:val="-10"/>
        </w:rPr>
        <w:t> </w:t>
      </w:r>
      <w:r>
        <w:rPr/>
        <w:t>results</w:t>
      </w:r>
      <w:r>
        <w:rPr>
          <w:spacing w:val="-11"/>
        </w:rPr>
        <w:t> </w:t>
      </w:r>
      <w:r>
        <w:rPr/>
        <w:t>in</w:t>
      </w:r>
      <w:r>
        <w:rPr>
          <w:spacing w:val="-10"/>
        </w:rPr>
        <w:t> </w:t>
      </w:r>
      <w:r>
        <w:rPr/>
        <w:t>a</w:t>
      </w:r>
      <w:r>
        <w:rPr>
          <w:spacing w:val="-12"/>
        </w:rPr>
        <w:t> </w:t>
      </w:r>
      <w:r>
        <w:rPr/>
        <w:t>complex</w:t>
      </w:r>
      <w:r>
        <w:rPr>
          <w:spacing w:val="-10"/>
        </w:rPr>
        <w:t> </w:t>
      </w:r>
      <w:r>
        <w:rPr/>
        <w:t>equation</w:t>
      </w:r>
      <w:r>
        <w:rPr>
          <w:spacing w:val="-58"/>
        </w:rPr>
        <w:t> </w:t>
      </w:r>
      <w:r>
        <w:rPr/>
        <w:t>and less statistical meaning than a small number of variables would allow [27].</w:t>
      </w:r>
      <w:r>
        <w:rPr>
          <w:spacing w:val="1"/>
        </w:rPr>
        <w:t> </w:t>
      </w:r>
      <w:r>
        <w:rPr/>
        <w:t>For this</w:t>
      </w:r>
      <w:r>
        <w:rPr>
          <w:spacing w:val="1"/>
        </w:rPr>
        <w:t> </w:t>
      </w:r>
      <w:r>
        <w:rPr/>
        <w:t>reason,</w:t>
      </w:r>
      <w:r>
        <w:rPr>
          <w:spacing w:val="-5"/>
        </w:rPr>
        <w:t> </w:t>
      </w:r>
      <w:r>
        <w:rPr/>
        <w:t>the</w:t>
      </w:r>
      <w:r>
        <w:rPr>
          <w:spacing w:val="-3"/>
        </w:rPr>
        <w:t> </w:t>
      </w:r>
      <w:r>
        <w:rPr/>
        <w:t>design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experiments</w:t>
      </w:r>
      <w:r>
        <w:rPr>
          <w:spacing w:val="-2"/>
        </w:rPr>
        <w:t> </w:t>
      </w:r>
      <w:r>
        <w:rPr/>
        <w:t>and</w:t>
      </w:r>
      <w:r>
        <w:rPr>
          <w:spacing w:val="-4"/>
        </w:rPr>
        <w:t> </w:t>
      </w:r>
      <w:r>
        <w:rPr/>
        <w:t>careful</w:t>
      </w:r>
      <w:r>
        <w:rPr>
          <w:spacing w:val="-3"/>
        </w:rPr>
        <w:t> </w:t>
      </w:r>
      <w:r>
        <w:rPr/>
        <w:t>attention</w:t>
      </w:r>
      <w:r>
        <w:rPr>
          <w:spacing w:val="-5"/>
        </w:rPr>
        <w:t> </w:t>
      </w:r>
      <w:r>
        <w:rPr/>
        <w:t>to</w:t>
      </w:r>
      <w:r>
        <w:rPr>
          <w:spacing w:val="-3"/>
        </w:rPr>
        <w:t> </w:t>
      </w:r>
      <w:r>
        <w:rPr/>
        <w:t>controllable</w:t>
      </w:r>
      <w:r>
        <w:rPr>
          <w:spacing w:val="-3"/>
        </w:rPr>
        <w:t> </w:t>
      </w:r>
      <w:r>
        <w:rPr/>
        <w:t>parameters</w:t>
      </w:r>
      <w:r>
        <w:rPr>
          <w:spacing w:val="-3"/>
        </w:rPr>
        <w:t> </w:t>
      </w:r>
      <w:r>
        <w:rPr/>
        <w:t>are</w:t>
      </w:r>
      <w:r>
        <w:rPr>
          <w:spacing w:val="-5"/>
        </w:rPr>
        <w:t> </w:t>
      </w:r>
      <w:r>
        <w:rPr/>
        <w:t>both</w:t>
      </w:r>
      <w:r>
        <w:rPr>
          <w:spacing w:val="-57"/>
        </w:rPr>
        <w:t> </w:t>
      </w:r>
      <w:r>
        <w:rPr/>
        <w:t>important.</w:t>
      </w:r>
    </w:p>
    <w:p>
      <w:pPr>
        <w:pStyle w:val="BodyText"/>
        <w:spacing w:line="480" w:lineRule="auto" w:before="159"/>
        <w:ind w:left="439" w:right="257" w:firstLine="720"/>
        <w:jc w:val="both"/>
      </w:pPr>
      <w:r>
        <w:rPr/>
        <w:t>An example of an empirical approach is found with the THOR equations.</w:t>
      </w:r>
      <w:r>
        <w:rPr>
          <w:spacing w:val="1"/>
        </w:rPr>
        <w:t> </w:t>
      </w:r>
      <w:r>
        <w:rPr/>
        <w:t>In the</w:t>
      </w:r>
      <w:r>
        <w:rPr>
          <w:spacing w:val="1"/>
        </w:rPr>
        <w:t> </w:t>
      </w:r>
      <w:r>
        <w:rPr/>
        <w:t>1960s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Ballistic</w:t>
      </w:r>
      <w:r>
        <w:rPr>
          <w:spacing w:val="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Laboratory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Ballistic</w:t>
      </w:r>
      <w:r>
        <w:rPr>
          <w:spacing w:val="1"/>
        </w:rPr>
        <w:t> </w:t>
      </w:r>
      <w:r>
        <w:rPr/>
        <w:t>Research</w:t>
      </w:r>
      <w:r>
        <w:rPr>
          <w:spacing w:val="1"/>
        </w:rPr>
        <w:t> </w:t>
      </w:r>
      <w:r>
        <w:rPr/>
        <w:t>Laboratory</w:t>
      </w:r>
      <w:r>
        <w:rPr>
          <w:spacing w:val="1"/>
        </w:rPr>
        <w:t> </w:t>
      </w:r>
      <w:r>
        <w:rPr/>
        <w:t>studied</w:t>
      </w:r>
      <w:r>
        <w:rPr>
          <w:spacing w:val="1"/>
        </w:rPr>
        <w:t> </w:t>
      </w:r>
      <w:r>
        <w:rPr/>
        <w:t>penetration for metallic and non-metallic materials and published reports with empirical</w:t>
      </w:r>
      <w:r>
        <w:rPr>
          <w:spacing w:val="1"/>
        </w:rPr>
        <w:t> </w:t>
      </w:r>
      <w:r>
        <w:rPr/>
        <w:t>equations developed from testing.</w:t>
      </w:r>
      <w:r>
        <w:rPr>
          <w:spacing w:val="1"/>
        </w:rPr>
        <w:t> </w:t>
      </w:r>
      <w:r>
        <w:rPr/>
        <w:t>The projectile in the experiments was designed to</w:t>
      </w:r>
      <w:r>
        <w:rPr>
          <w:spacing w:val="1"/>
        </w:rPr>
        <w:t> </w:t>
      </w:r>
      <w:r>
        <w:rPr/>
        <w:t>simulate fragments. Two base equations were developed with five experimental variables</w:t>
      </w:r>
      <w:r>
        <w:rPr>
          <w:spacing w:val="-57"/>
        </w:rPr>
        <w:t> </w:t>
      </w:r>
      <w:r>
        <w:rPr/>
        <w:t>and five adjustable constants.</w:t>
      </w:r>
      <w:r>
        <w:rPr>
          <w:spacing w:val="1"/>
        </w:rPr>
        <w:t> </w:t>
      </w:r>
      <w:r>
        <w:rPr/>
        <w:t>These equations calculating residual velocity and residual</w:t>
      </w:r>
      <w:r>
        <w:rPr>
          <w:spacing w:val="1"/>
        </w:rPr>
        <w:t> </w:t>
      </w:r>
      <w:r>
        <w:rPr/>
        <w:t>mass</w:t>
      </w:r>
      <w:r>
        <w:rPr>
          <w:spacing w:val="-1"/>
        </w:rPr>
        <w:t> </w:t>
      </w:r>
      <w:r>
        <w:rPr/>
        <w:t>can be seen in Equation 3.10 and</w:t>
      </w:r>
      <w:r>
        <w:rPr>
          <w:spacing w:val="-1"/>
        </w:rPr>
        <w:t> </w:t>
      </w:r>
      <w:r>
        <w:rPr/>
        <w:t>3.11, respectively.</w:t>
      </w:r>
    </w:p>
    <w:p>
      <w:pPr>
        <w:pStyle w:val="BodyText"/>
        <w:tabs>
          <w:tab w:pos="8392" w:val="left" w:leader="none"/>
        </w:tabs>
        <w:spacing w:before="158"/>
        <w:ind w:left="2292"/>
      </w:pPr>
      <w:r>
        <w:rPr/>
        <w:pict>
          <v:shape style="position:absolute;margin-left:319.440002pt;margin-top:15.626901pt;width:4.150pt;height:8.550pt;mso-position-horizontal-relative:page;mso-position-vertical-relative:paragraph;z-index:-34937856" type="#_x0000_t202" filled="false" stroked="false">
            <v:textbox inset="0,0,0,0">
              <w:txbxContent>
                <w:p>
                  <w:pPr>
                    <w:spacing w:line="170" w:lineRule="exact" w:before="0"/>
                    <w:ind w:left="0" w:right="0" w:firstLine="0"/>
                    <w:jc w:val="left"/>
                    <w:rPr>
                      <w:rFonts w:ascii="Cambria Math" w:eastAsia="Cambria Math"/>
                      <w:sz w:val="17"/>
                    </w:rPr>
                  </w:pPr>
                  <w:r>
                    <w:rPr>
                      <w:rFonts w:ascii="Cambria Math" w:eastAsia="Cambria Math"/>
                      <w:w w:val="105"/>
                      <w:sz w:val="17"/>
                    </w:rPr>
                    <w:t>𝑠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84.420013pt;margin-top:15.626901pt;width:4.150pt;height:8.550pt;mso-position-horizontal-relative:page;mso-position-vertical-relative:paragraph;z-index:-34937344" type="#_x0000_t202" filled="false" stroked="false">
            <v:textbox inset="0,0,0,0">
              <w:txbxContent>
                <w:p>
                  <w:pPr>
                    <w:spacing w:line="170" w:lineRule="exact" w:before="0"/>
                    <w:ind w:left="0" w:right="0" w:firstLine="0"/>
                    <w:jc w:val="left"/>
                    <w:rPr>
                      <w:rFonts w:ascii="Cambria Math" w:eastAsia="Cambria Math"/>
                      <w:sz w:val="17"/>
                    </w:rPr>
                  </w:pPr>
                  <w:r>
                    <w:rPr>
                      <w:rFonts w:ascii="Cambria Math" w:eastAsia="Cambria Math"/>
                      <w:w w:val="105"/>
                      <w:sz w:val="17"/>
                    </w:rPr>
                    <w:t>𝑠</w:t>
                  </w:r>
                </w:p>
              </w:txbxContent>
            </v:textbox>
            <w10:wrap type="none"/>
          </v:shape>
        </w:pict>
      </w:r>
      <w:r>
        <w:rPr>
          <w:rFonts w:ascii="Cambria Math" w:hAnsi="Cambria Math" w:eastAsia="Cambria Math"/>
          <w:spacing w:val="-15"/>
        </w:rPr>
        <w:t>𝑣</w:t>
      </w:r>
      <w:r>
        <w:rPr>
          <w:rFonts w:ascii="Cambria Math" w:hAnsi="Cambria Math" w:eastAsia="Cambria Math"/>
          <w:w w:val="111"/>
          <w:position w:val="-4"/>
          <w:sz w:val="17"/>
        </w:rPr>
        <w:t>𝑟</w:t>
      </w:r>
      <w:r>
        <w:rPr>
          <w:rFonts w:ascii="Cambria Math" w:hAnsi="Cambria Math" w:eastAsia="Cambria Math"/>
          <w:position w:val="-4"/>
          <w:sz w:val="17"/>
        </w:rPr>
        <w:t> </w:t>
      </w:r>
      <w:r>
        <w:rPr>
          <w:rFonts w:ascii="Cambria Math" w:hAnsi="Cambria Math" w:eastAsia="Cambria Math"/>
          <w:spacing w:val="7"/>
          <w:position w:val="-4"/>
          <w:sz w:val="17"/>
        </w:rPr>
        <w:t> </w:t>
      </w:r>
      <w:r>
        <w:rPr>
          <w:rFonts w:ascii="Cambria Math" w:hAnsi="Cambria Math" w:eastAsia="Cambria Math"/>
        </w:rPr>
        <w:t>=</w:t>
      </w:r>
      <w:r>
        <w:rPr>
          <w:rFonts w:ascii="Cambria Math" w:hAnsi="Cambria Math" w:eastAsia="Cambria Math"/>
          <w:spacing w:val="13"/>
        </w:rPr>
        <w:t> </w:t>
      </w:r>
      <w:r>
        <w:rPr>
          <w:rFonts w:ascii="Cambria Math" w:hAnsi="Cambria Math" w:eastAsia="Cambria Math"/>
          <w:spacing w:val="-15"/>
        </w:rPr>
        <w:t>𝑣</w:t>
      </w:r>
      <w:r>
        <w:rPr>
          <w:rFonts w:ascii="Cambria Math" w:hAnsi="Cambria Math" w:eastAsia="Cambria Math"/>
          <w:w w:val="105"/>
          <w:position w:val="-4"/>
          <w:sz w:val="17"/>
        </w:rPr>
        <w:t>𝑠</w:t>
      </w:r>
      <w:r>
        <w:rPr>
          <w:rFonts w:ascii="Cambria Math" w:hAnsi="Cambria Math" w:eastAsia="Cambria Math"/>
          <w:position w:val="-4"/>
          <w:sz w:val="17"/>
        </w:rPr>
        <w:t> </w:t>
      </w:r>
      <w:r>
        <w:rPr>
          <w:rFonts w:ascii="Cambria Math" w:hAnsi="Cambria Math" w:eastAsia="Cambria Math"/>
          <w:spacing w:val="-9"/>
          <w:position w:val="-4"/>
          <w:sz w:val="17"/>
        </w:rPr>
        <w:t> </w:t>
      </w:r>
      <w:r>
        <w:rPr>
          <w:rFonts w:ascii="Cambria Math" w:hAnsi="Cambria Math" w:eastAsia="Cambria Math"/>
        </w:rPr>
        <w:t>− 10</w:t>
      </w:r>
      <w:r>
        <w:rPr>
          <w:rFonts w:ascii="Cambria Math" w:hAnsi="Cambria Math" w:eastAsia="Cambria Math"/>
          <w:w w:val="117"/>
          <w:vertAlign w:val="superscript"/>
        </w:rPr>
        <w:t>𝑐</w:t>
      </w:r>
      <w:r>
        <w:rPr>
          <w:rFonts w:ascii="Cambria Math" w:hAnsi="Cambria Math" w:eastAsia="Cambria Math"/>
          <w:spacing w:val="9"/>
          <w:w w:val="111"/>
          <w:vertAlign w:val="superscript"/>
        </w:rPr>
        <w:t>1</w:t>
      </w:r>
      <w:r>
        <w:rPr>
          <w:rFonts w:ascii="Cambria Math" w:hAnsi="Cambria Math" w:eastAsia="Cambria Math"/>
          <w:position w:val="1"/>
          <w:vertAlign w:val="baseline"/>
        </w:rPr>
        <w:t>(</w:t>
      </w:r>
      <w:r>
        <w:rPr>
          <w:rFonts w:ascii="Cambria Math" w:hAnsi="Cambria Math" w:eastAsia="Cambria Math"/>
          <w:vertAlign w:val="baseline"/>
        </w:rPr>
        <w:t>ℎ</w:t>
      </w:r>
      <w:r>
        <w:rPr>
          <w:rFonts w:ascii="Cambria Math" w:hAnsi="Cambria Math" w:eastAsia="Cambria Math"/>
          <w:spacing w:val="2"/>
          <w:vertAlign w:val="baseline"/>
        </w:rPr>
        <w:t>𝐴</w:t>
      </w:r>
      <w:r>
        <w:rPr>
          <w:rFonts w:ascii="Cambria Math" w:hAnsi="Cambria Math" w:eastAsia="Cambria Math"/>
          <w:position w:val="1"/>
          <w:vertAlign w:val="baseline"/>
        </w:rPr>
        <w:t>)</w:t>
      </w:r>
      <w:r>
        <w:rPr>
          <w:rFonts w:ascii="Cambria Math" w:hAnsi="Cambria Math" w:eastAsia="Cambria Math"/>
          <w:spacing w:val="-1"/>
          <w:w w:val="117"/>
          <w:position w:val="1"/>
          <w:vertAlign w:val="superscript"/>
        </w:rPr>
        <w:t>𝑐</w:t>
      </w:r>
      <w:r>
        <w:rPr>
          <w:rFonts w:ascii="Cambria Math" w:hAnsi="Cambria Math" w:eastAsia="Cambria Math"/>
          <w:spacing w:val="9"/>
          <w:w w:val="111"/>
          <w:position w:val="1"/>
          <w:vertAlign w:val="superscript"/>
        </w:rPr>
        <w:t>2</w:t>
      </w:r>
      <w:r>
        <w:rPr>
          <w:rFonts w:ascii="Cambria Math" w:hAnsi="Cambria Math" w:eastAsia="Cambria Math"/>
          <w:spacing w:val="3"/>
          <w:vertAlign w:val="baseline"/>
        </w:rPr>
        <w:t>𝑚</w:t>
      </w:r>
      <w:r>
        <w:rPr>
          <w:rFonts w:ascii="Cambria Math" w:hAnsi="Cambria Math" w:eastAsia="Cambria Math"/>
          <w:w w:val="117"/>
          <w:vertAlign w:val="superscript"/>
        </w:rPr>
        <w:t>𝑐</w:t>
      </w:r>
      <w:r>
        <w:rPr>
          <w:rFonts w:ascii="Cambria Math" w:hAnsi="Cambria Math" w:eastAsia="Cambria Math"/>
          <w:w w:val="111"/>
          <w:vertAlign w:val="superscript"/>
        </w:rPr>
        <w:t>3</w:t>
      </w:r>
      <w:r>
        <w:rPr>
          <w:rFonts w:ascii="Cambria Math" w:hAnsi="Cambria Math" w:eastAsia="Cambria Math"/>
          <w:spacing w:val="-4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(sec</w:t>
      </w:r>
      <w:r>
        <w:rPr>
          <w:rFonts w:ascii="Cambria Math" w:hAnsi="Cambria Math" w:eastAsia="Cambria Math"/>
          <w:spacing w:val="-14"/>
          <w:vertAlign w:val="baseline"/>
        </w:rPr>
        <w:t> </w:t>
      </w:r>
      <w:r>
        <w:rPr>
          <w:rFonts w:ascii="Cambria Math" w:hAnsi="Cambria Math" w:eastAsia="Cambria Math"/>
          <w:w w:val="50"/>
          <w:vertAlign w:val="baseline"/>
        </w:rPr>
        <w:t>𝜃</w:t>
      </w:r>
      <w:r>
        <w:rPr>
          <w:rFonts w:ascii="Cambria Math" w:hAnsi="Cambria Math" w:eastAsia="Cambria Math"/>
          <w:spacing w:val="6"/>
          <w:w w:val="50"/>
          <w:vertAlign w:val="baseline"/>
        </w:rPr>
        <w:t>𝜃</w:t>
      </w:r>
      <w:r>
        <w:rPr>
          <w:rFonts w:ascii="Cambria Math" w:hAnsi="Cambria Math" w:eastAsia="Cambria Math"/>
          <w:spacing w:val="4"/>
          <w:vertAlign w:val="baseline"/>
        </w:rPr>
        <w:t>)</w:t>
      </w:r>
      <w:r>
        <w:rPr>
          <w:rFonts w:ascii="Cambria Math" w:hAnsi="Cambria Math" w:eastAsia="Cambria Math"/>
          <w:w w:val="117"/>
          <w:vertAlign w:val="superscript"/>
        </w:rPr>
        <w:t>𝑐</w:t>
      </w:r>
      <w:r>
        <w:rPr>
          <w:rFonts w:ascii="Cambria Math" w:hAnsi="Cambria Math" w:eastAsia="Cambria Math"/>
          <w:w w:val="111"/>
          <w:vertAlign w:val="superscript"/>
        </w:rPr>
        <w:t>4</w:t>
      </w:r>
      <w:r>
        <w:rPr>
          <w:rFonts w:ascii="Cambria Math" w:hAnsi="Cambria Math" w:eastAsia="Cambria Math"/>
          <w:spacing w:val="-4"/>
          <w:vertAlign w:val="baseline"/>
        </w:rPr>
        <w:t> </w:t>
      </w:r>
      <w:r>
        <w:rPr>
          <w:rFonts w:ascii="Cambria Math" w:hAnsi="Cambria Math" w:eastAsia="Cambria Math"/>
          <w:spacing w:val="14"/>
          <w:vertAlign w:val="baseline"/>
        </w:rPr>
        <w:t>𝑣</w:t>
      </w:r>
      <w:r>
        <w:rPr>
          <w:rFonts w:ascii="Cambria Math" w:hAnsi="Cambria Math" w:eastAsia="Cambria Math"/>
          <w:w w:val="117"/>
          <w:vertAlign w:val="superscript"/>
        </w:rPr>
        <w:t>𝑐</w:t>
      </w:r>
      <w:r>
        <w:rPr>
          <w:rFonts w:ascii="Cambria Math" w:hAnsi="Cambria Math" w:eastAsia="Cambria Math"/>
          <w:w w:val="111"/>
          <w:vertAlign w:val="superscript"/>
        </w:rPr>
        <w:t>5</w:t>
      </w:r>
      <w:r>
        <w:rPr>
          <w:rFonts w:ascii="Cambria Math" w:hAnsi="Cambria Math" w:eastAsia="Cambria Math"/>
          <w:vertAlign w:val="baseline"/>
        </w:rPr>
        <w:tab/>
      </w:r>
      <w:r>
        <w:rPr>
          <w:position w:val="1"/>
          <w:vertAlign w:val="baseline"/>
        </w:rPr>
        <w:t>(3.10)</w:t>
      </w:r>
    </w:p>
    <w:p>
      <w:pPr>
        <w:pStyle w:val="BodyText"/>
        <w:spacing w:before="7"/>
        <w:rPr>
          <w:sz w:val="13"/>
        </w:rPr>
      </w:pPr>
    </w:p>
    <w:p>
      <w:pPr>
        <w:pStyle w:val="BodyText"/>
        <w:tabs>
          <w:tab w:pos="8392" w:val="left" w:leader="none"/>
        </w:tabs>
        <w:spacing w:before="90"/>
        <w:ind w:left="2151"/>
      </w:pPr>
      <w:r>
        <w:rPr/>
        <w:pict>
          <v:shape style="position:absolute;margin-left:323.100006pt;margin-top:12.226891pt;width:4.150pt;height:8.550pt;mso-position-horizontal-relative:page;mso-position-vertical-relative:paragraph;z-index:-34936832" type="#_x0000_t202" filled="false" stroked="false">
            <v:textbox inset="0,0,0,0">
              <w:txbxContent>
                <w:p>
                  <w:pPr>
                    <w:spacing w:line="170" w:lineRule="exact" w:before="0"/>
                    <w:ind w:left="0" w:right="0" w:firstLine="0"/>
                    <w:jc w:val="left"/>
                    <w:rPr>
                      <w:rFonts w:ascii="Cambria Math" w:eastAsia="Cambria Math"/>
                      <w:sz w:val="17"/>
                    </w:rPr>
                  </w:pPr>
                  <w:r>
                    <w:rPr>
                      <w:rFonts w:ascii="Cambria Math" w:eastAsia="Cambria Math"/>
                      <w:w w:val="105"/>
                      <w:sz w:val="17"/>
                    </w:rPr>
                    <w:t>𝑠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90.359985pt;margin-top:12.226891pt;width:4.150pt;height:8.550pt;mso-position-horizontal-relative:page;mso-position-vertical-relative:paragraph;z-index:-34936320" type="#_x0000_t202" filled="false" stroked="false">
            <v:textbox inset="0,0,0,0">
              <w:txbxContent>
                <w:p>
                  <w:pPr>
                    <w:spacing w:line="170" w:lineRule="exact" w:before="0"/>
                    <w:ind w:left="0" w:right="0" w:firstLine="0"/>
                    <w:jc w:val="left"/>
                    <w:rPr>
                      <w:rFonts w:ascii="Cambria Math" w:eastAsia="Cambria Math"/>
                      <w:sz w:val="17"/>
                    </w:rPr>
                  </w:pPr>
                  <w:r>
                    <w:rPr>
                      <w:rFonts w:ascii="Cambria Math" w:eastAsia="Cambria Math"/>
                      <w:w w:val="105"/>
                      <w:sz w:val="17"/>
                    </w:rPr>
                    <w:t>𝑠</w:t>
                  </w:r>
                </w:p>
              </w:txbxContent>
            </v:textbox>
            <w10:wrap type="none"/>
          </v:shape>
        </w:pict>
      </w:r>
      <w:r>
        <w:rPr>
          <w:rFonts w:ascii="Cambria Math" w:hAnsi="Cambria Math" w:eastAsia="Cambria Math"/>
        </w:rPr>
        <w:t>𝑚</w:t>
      </w:r>
      <w:r>
        <w:rPr>
          <w:rFonts w:ascii="Cambria Math" w:hAnsi="Cambria Math" w:eastAsia="Cambria Math"/>
          <w:w w:val="111"/>
          <w:position w:val="-4"/>
          <w:sz w:val="17"/>
        </w:rPr>
        <w:t>𝑟</w:t>
      </w:r>
      <w:r>
        <w:rPr>
          <w:rFonts w:ascii="Cambria Math" w:hAnsi="Cambria Math" w:eastAsia="Cambria Math"/>
          <w:position w:val="-4"/>
          <w:sz w:val="17"/>
        </w:rPr>
        <w:t> </w:t>
      </w:r>
      <w:r>
        <w:rPr>
          <w:rFonts w:ascii="Cambria Math" w:hAnsi="Cambria Math" w:eastAsia="Cambria Math"/>
          <w:spacing w:val="6"/>
          <w:position w:val="-4"/>
          <w:sz w:val="17"/>
        </w:rPr>
        <w:t> </w:t>
      </w:r>
      <w:r>
        <w:rPr>
          <w:rFonts w:ascii="Cambria Math" w:hAnsi="Cambria Math" w:eastAsia="Cambria Math"/>
        </w:rPr>
        <w:t>=</w:t>
      </w:r>
      <w:r>
        <w:rPr>
          <w:rFonts w:ascii="Cambria Math" w:hAnsi="Cambria Math" w:eastAsia="Cambria Math"/>
          <w:spacing w:val="13"/>
        </w:rPr>
        <w:t> </w:t>
      </w:r>
      <w:r>
        <w:rPr>
          <w:rFonts w:ascii="Cambria Math" w:hAnsi="Cambria Math" w:eastAsia="Cambria Math"/>
        </w:rPr>
        <w:t>𝑚</w:t>
      </w:r>
      <w:r>
        <w:rPr>
          <w:rFonts w:ascii="Cambria Math" w:hAnsi="Cambria Math" w:eastAsia="Cambria Math"/>
          <w:w w:val="105"/>
          <w:position w:val="-4"/>
          <w:sz w:val="17"/>
        </w:rPr>
        <w:t>𝑠</w:t>
      </w:r>
      <w:r>
        <w:rPr>
          <w:rFonts w:ascii="Cambria Math" w:hAnsi="Cambria Math" w:eastAsia="Cambria Math"/>
          <w:position w:val="-4"/>
          <w:sz w:val="17"/>
        </w:rPr>
        <w:t> </w:t>
      </w:r>
      <w:r>
        <w:rPr>
          <w:rFonts w:ascii="Cambria Math" w:hAnsi="Cambria Math" w:eastAsia="Cambria Math"/>
          <w:spacing w:val="-9"/>
          <w:position w:val="-4"/>
          <w:sz w:val="17"/>
        </w:rPr>
        <w:t> </w:t>
      </w:r>
      <w:r>
        <w:rPr>
          <w:rFonts w:ascii="Cambria Math" w:hAnsi="Cambria Math" w:eastAsia="Cambria Math"/>
        </w:rPr>
        <w:t>− 10</w:t>
      </w:r>
      <w:r>
        <w:rPr>
          <w:rFonts w:ascii="Cambria Math" w:hAnsi="Cambria Math" w:eastAsia="Cambria Math"/>
          <w:w w:val="117"/>
          <w:vertAlign w:val="superscript"/>
        </w:rPr>
        <w:t>𝑑</w:t>
      </w:r>
      <w:r>
        <w:rPr>
          <w:rFonts w:ascii="Cambria Math" w:hAnsi="Cambria Math" w:eastAsia="Cambria Math"/>
          <w:spacing w:val="9"/>
          <w:w w:val="111"/>
          <w:vertAlign w:val="superscript"/>
        </w:rPr>
        <w:t>1</w:t>
      </w:r>
      <w:r>
        <w:rPr>
          <w:rFonts w:ascii="Cambria Math" w:hAnsi="Cambria Math" w:eastAsia="Cambria Math"/>
          <w:position w:val="1"/>
          <w:vertAlign w:val="baseline"/>
        </w:rPr>
        <w:t>(</w:t>
      </w:r>
      <w:r>
        <w:rPr>
          <w:rFonts w:ascii="Cambria Math" w:hAnsi="Cambria Math" w:eastAsia="Cambria Math"/>
          <w:vertAlign w:val="baseline"/>
        </w:rPr>
        <w:t>ℎ</w:t>
      </w:r>
      <w:r>
        <w:rPr>
          <w:rFonts w:ascii="Cambria Math" w:hAnsi="Cambria Math" w:eastAsia="Cambria Math"/>
          <w:spacing w:val="2"/>
          <w:vertAlign w:val="baseline"/>
        </w:rPr>
        <w:t>𝐴</w:t>
      </w:r>
      <w:r>
        <w:rPr>
          <w:rFonts w:ascii="Cambria Math" w:hAnsi="Cambria Math" w:eastAsia="Cambria Math"/>
          <w:position w:val="1"/>
          <w:vertAlign w:val="baseline"/>
        </w:rPr>
        <w:t>)</w:t>
      </w:r>
      <w:r>
        <w:rPr>
          <w:rFonts w:ascii="Cambria Math" w:hAnsi="Cambria Math" w:eastAsia="Cambria Math"/>
          <w:spacing w:val="-1"/>
          <w:w w:val="117"/>
          <w:position w:val="1"/>
          <w:vertAlign w:val="superscript"/>
        </w:rPr>
        <w:t>𝑑</w:t>
      </w:r>
      <w:r>
        <w:rPr>
          <w:rFonts w:ascii="Cambria Math" w:hAnsi="Cambria Math" w:eastAsia="Cambria Math"/>
          <w:spacing w:val="9"/>
          <w:w w:val="111"/>
          <w:position w:val="1"/>
          <w:vertAlign w:val="superscript"/>
        </w:rPr>
        <w:t>2</w:t>
      </w:r>
      <w:r>
        <w:rPr>
          <w:rFonts w:ascii="Cambria Math" w:hAnsi="Cambria Math" w:eastAsia="Cambria Math"/>
          <w:spacing w:val="3"/>
          <w:vertAlign w:val="baseline"/>
        </w:rPr>
        <w:t>𝑚</w:t>
      </w:r>
      <w:r>
        <w:rPr>
          <w:rFonts w:ascii="Cambria Math" w:hAnsi="Cambria Math" w:eastAsia="Cambria Math"/>
          <w:w w:val="117"/>
          <w:vertAlign w:val="superscript"/>
        </w:rPr>
        <w:t>𝑑</w:t>
      </w:r>
      <w:r>
        <w:rPr>
          <w:rFonts w:ascii="Cambria Math" w:hAnsi="Cambria Math" w:eastAsia="Cambria Math"/>
          <w:w w:val="111"/>
          <w:vertAlign w:val="superscript"/>
        </w:rPr>
        <w:t>3</w:t>
      </w:r>
      <w:r>
        <w:rPr>
          <w:rFonts w:ascii="Cambria Math" w:hAnsi="Cambria Math" w:eastAsia="Cambria Math"/>
          <w:spacing w:val="-4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(sec</w:t>
      </w:r>
      <w:r>
        <w:rPr>
          <w:rFonts w:ascii="Cambria Math" w:hAnsi="Cambria Math" w:eastAsia="Cambria Math"/>
          <w:spacing w:val="-14"/>
          <w:vertAlign w:val="baseline"/>
        </w:rPr>
        <w:t> </w:t>
      </w:r>
      <w:r>
        <w:rPr>
          <w:rFonts w:ascii="Cambria Math" w:hAnsi="Cambria Math" w:eastAsia="Cambria Math"/>
          <w:w w:val="50"/>
          <w:vertAlign w:val="baseline"/>
        </w:rPr>
        <w:t>𝜃</w:t>
      </w:r>
      <w:r>
        <w:rPr>
          <w:rFonts w:ascii="Cambria Math" w:hAnsi="Cambria Math" w:eastAsia="Cambria Math"/>
          <w:spacing w:val="6"/>
          <w:w w:val="50"/>
          <w:vertAlign w:val="baseline"/>
        </w:rPr>
        <w:t>𝜃</w:t>
      </w:r>
      <w:r>
        <w:rPr>
          <w:rFonts w:ascii="Cambria Math" w:hAnsi="Cambria Math" w:eastAsia="Cambria Math"/>
          <w:spacing w:val="4"/>
          <w:vertAlign w:val="baseline"/>
        </w:rPr>
        <w:t>)</w:t>
      </w:r>
      <w:r>
        <w:rPr>
          <w:rFonts w:ascii="Cambria Math" w:hAnsi="Cambria Math" w:eastAsia="Cambria Math"/>
          <w:w w:val="117"/>
          <w:vertAlign w:val="superscript"/>
        </w:rPr>
        <w:t>𝑑</w:t>
      </w:r>
      <w:r>
        <w:rPr>
          <w:rFonts w:ascii="Cambria Math" w:hAnsi="Cambria Math" w:eastAsia="Cambria Math"/>
          <w:w w:val="111"/>
          <w:vertAlign w:val="superscript"/>
        </w:rPr>
        <w:t>4</w:t>
      </w:r>
      <w:r>
        <w:rPr>
          <w:rFonts w:ascii="Cambria Math" w:hAnsi="Cambria Math" w:eastAsia="Cambria Math"/>
          <w:spacing w:val="-4"/>
          <w:vertAlign w:val="baseline"/>
        </w:rPr>
        <w:t> </w:t>
      </w:r>
      <w:r>
        <w:rPr>
          <w:rFonts w:ascii="Cambria Math" w:hAnsi="Cambria Math" w:eastAsia="Cambria Math"/>
          <w:spacing w:val="14"/>
          <w:vertAlign w:val="baseline"/>
        </w:rPr>
        <w:t>𝑣</w:t>
      </w:r>
      <w:r>
        <w:rPr>
          <w:rFonts w:ascii="Cambria Math" w:hAnsi="Cambria Math" w:eastAsia="Cambria Math"/>
          <w:w w:val="117"/>
          <w:vertAlign w:val="superscript"/>
        </w:rPr>
        <w:t>𝑑</w:t>
      </w:r>
      <w:r>
        <w:rPr>
          <w:rFonts w:ascii="Cambria Math" w:hAnsi="Cambria Math" w:eastAsia="Cambria Math"/>
          <w:w w:val="111"/>
          <w:vertAlign w:val="superscript"/>
        </w:rPr>
        <w:t>5</w:t>
      </w:r>
      <w:r>
        <w:rPr>
          <w:rFonts w:ascii="Cambria Math" w:hAnsi="Cambria Math" w:eastAsia="Cambria Math"/>
          <w:vertAlign w:val="baseline"/>
        </w:rPr>
        <w:tab/>
      </w:r>
      <w:r>
        <w:rPr>
          <w:position w:val="1"/>
          <w:vertAlign w:val="baseline"/>
        </w:rPr>
        <w:t>(3.11)</w:t>
      </w:r>
    </w:p>
    <w:p>
      <w:pPr>
        <w:spacing w:after="0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7"/>
        <w:ind w:left="439" w:right="257"/>
        <w:jc w:val="both"/>
      </w:pPr>
      <w:r>
        <w:rPr>
          <w:position w:val="1"/>
        </w:rPr>
        <w:t>Where </w:t>
      </w:r>
      <w:r>
        <w:rPr>
          <w:i/>
          <w:position w:val="1"/>
        </w:rPr>
        <w:t>v</w:t>
      </w:r>
      <w:r>
        <w:rPr>
          <w:i/>
          <w:sz w:val="16"/>
        </w:rPr>
        <w:t>r </w:t>
      </w:r>
      <w:r>
        <w:rPr>
          <w:position w:val="1"/>
        </w:rPr>
        <w:t>represents fragment residual velocity, </w:t>
      </w:r>
      <w:r>
        <w:rPr>
          <w:i/>
          <w:position w:val="1"/>
        </w:rPr>
        <w:t>v</w:t>
      </w:r>
      <w:r>
        <w:rPr>
          <w:i/>
          <w:sz w:val="16"/>
        </w:rPr>
        <w:t>s </w:t>
      </w:r>
      <w:r>
        <w:rPr>
          <w:position w:val="1"/>
        </w:rPr>
        <w:t>fragment striking velocity (fps), </w:t>
      </w:r>
      <w:r>
        <w:rPr>
          <w:i/>
          <w:position w:val="1"/>
        </w:rPr>
        <w:t>h </w:t>
      </w:r>
      <w:r>
        <w:rPr>
          <w:position w:val="1"/>
        </w:rPr>
        <w:t>target</w:t>
      </w:r>
      <w:r>
        <w:rPr>
          <w:spacing w:val="-58"/>
          <w:position w:val="1"/>
        </w:rPr>
        <w:t> </w:t>
      </w:r>
      <w:r>
        <w:rPr>
          <w:w w:val="95"/>
          <w:position w:val="1"/>
        </w:rPr>
        <w:t>thickness, </w:t>
      </w:r>
      <w:r>
        <w:rPr>
          <w:i/>
          <w:w w:val="95"/>
          <w:position w:val="1"/>
        </w:rPr>
        <w:t>A </w:t>
      </w:r>
      <w:r>
        <w:rPr>
          <w:w w:val="95"/>
          <w:position w:val="1"/>
        </w:rPr>
        <w:t>average impact area of fragment, </w:t>
      </w:r>
      <w:r>
        <w:rPr>
          <w:rFonts w:ascii="Cambria Math" w:eastAsia="Cambria Math"/>
          <w:w w:val="90"/>
          <w:position w:val="1"/>
        </w:rPr>
        <w:t>𝜃𝜃 </w:t>
      </w:r>
      <w:r>
        <w:rPr>
          <w:w w:val="95"/>
          <w:position w:val="1"/>
        </w:rPr>
        <w:t>angle of obliquity, </w:t>
      </w:r>
      <w:r>
        <w:rPr>
          <w:i/>
          <w:w w:val="95"/>
          <w:position w:val="1"/>
        </w:rPr>
        <w:t>m</w:t>
      </w:r>
      <w:r>
        <w:rPr>
          <w:i/>
          <w:w w:val="95"/>
          <w:sz w:val="16"/>
        </w:rPr>
        <w:t>s </w:t>
      </w:r>
      <w:r>
        <w:rPr>
          <w:w w:val="95"/>
          <w:position w:val="1"/>
        </w:rPr>
        <w:t>weight of the original</w:t>
      </w:r>
      <w:r>
        <w:rPr>
          <w:spacing w:val="1"/>
          <w:w w:val="95"/>
          <w:position w:val="1"/>
        </w:rPr>
        <w:t> </w:t>
      </w:r>
      <w:r>
        <w:rPr>
          <w:position w:val="1"/>
        </w:rPr>
        <w:t>fragment</w:t>
      </w:r>
      <w:r>
        <w:rPr>
          <w:spacing w:val="-1"/>
          <w:position w:val="1"/>
        </w:rPr>
        <w:t> </w:t>
      </w:r>
      <w:r>
        <w:rPr>
          <w:position w:val="1"/>
        </w:rPr>
        <w:t>(grains),</w:t>
      </w:r>
      <w:r>
        <w:rPr>
          <w:spacing w:val="-1"/>
          <w:position w:val="1"/>
        </w:rPr>
        <w:t> </w:t>
      </w:r>
      <w:r>
        <w:rPr>
          <w:position w:val="1"/>
        </w:rPr>
        <w:t>and</w:t>
      </w:r>
      <w:r>
        <w:rPr>
          <w:spacing w:val="-1"/>
          <w:position w:val="1"/>
        </w:rPr>
        <w:t> </w:t>
      </w:r>
      <w:r>
        <w:rPr>
          <w:i/>
          <w:position w:val="1"/>
        </w:rPr>
        <w:t>m</w:t>
      </w:r>
      <w:r>
        <w:rPr>
          <w:i/>
          <w:sz w:val="16"/>
        </w:rPr>
        <w:t>r</w:t>
      </w:r>
      <w:r>
        <w:rPr>
          <w:i/>
          <w:spacing w:val="20"/>
          <w:sz w:val="16"/>
        </w:rPr>
        <w:t> </w:t>
      </w:r>
      <w:r>
        <w:rPr>
          <w:position w:val="1"/>
        </w:rPr>
        <w:t>weight</w:t>
      </w:r>
      <w:r>
        <w:rPr>
          <w:spacing w:val="-1"/>
          <w:position w:val="1"/>
        </w:rPr>
        <w:t> </w:t>
      </w:r>
      <w:r>
        <w:rPr>
          <w:position w:val="1"/>
        </w:rPr>
        <w:t>of</w:t>
      </w:r>
      <w:r>
        <w:rPr>
          <w:spacing w:val="-2"/>
          <w:position w:val="1"/>
        </w:rPr>
        <w:t> </w:t>
      </w:r>
      <w:r>
        <w:rPr>
          <w:position w:val="1"/>
        </w:rPr>
        <w:t>residual fragment,</w:t>
      </w:r>
      <w:r>
        <w:rPr>
          <w:spacing w:val="-1"/>
          <w:position w:val="1"/>
        </w:rPr>
        <w:t> </w:t>
      </w:r>
      <w:r>
        <w:rPr>
          <w:position w:val="1"/>
        </w:rPr>
        <w:t>or</w:t>
      </w:r>
      <w:r>
        <w:rPr>
          <w:spacing w:val="-1"/>
          <w:position w:val="1"/>
        </w:rPr>
        <w:t> </w:t>
      </w:r>
      <w:r>
        <w:rPr>
          <w:position w:val="1"/>
        </w:rPr>
        <w:t>largest piece</w:t>
      </w:r>
      <w:r>
        <w:rPr>
          <w:spacing w:val="-1"/>
          <w:position w:val="1"/>
        </w:rPr>
        <w:t> </w:t>
      </w:r>
      <w:r>
        <w:rPr>
          <w:position w:val="1"/>
        </w:rPr>
        <w:t>to</w:t>
      </w:r>
      <w:r>
        <w:rPr>
          <w:spacing w:val="-3"/>
          <w:position w:val="1"/>
        </w:rPr>
        <w:t> </w:t>
      </w:r>
      <w:r>
        <w:rPr>
          <w:position w:val="1"/>
        </w:rPr>
        <w:t>perforate.</w:t>
      </w:r>
    </w:p>
    <w:p>
      <w:pPr>
        <w:pStyle w:val="BodyText"/>
        <w:spacing w:line="480" w:lineRule="auto" w:before="160"/>
        <w:ind w:left="439" w:right="257" w:firstLine="720"/>
        <w:jc w:val="both"/>
      </w:pPr>
      <w:r>
        <w:rPr/>
        <w:t>The</w:t>
      </w:r>
      <w:r>
        <w:rPr>
          <w:spacing w:val="-8"/>
        </w:rPr>
        <w:t> </w:t>
      </w:r>
      <w:r>
        <w:rPr/>
        <w:t>THOR</w:t>
      </w:r>
      <w:r>
        <w:rPr>
          <w:spacing w:val="-8"/>
        </w:rPr>
        <w:t> </w:t>
      </w:r>
      <w:r>
        <w:rPr/>
        <w:t>equations</w:t>
      </w:r>
      <w:r>
        <w:rPr>
          <w:spacing w:val="-7"/>
        </w:rPr>
        <w:t> </w:t>
      </w:r>
      <w:r>
        <w:rPr/>
        <w:t>were</w:t>
      </w:r>
      <w:r>
        <w:rPr>
          <w:spacing w:val="-8"/>
        </w:rPr>
        <w:t> </w:t>
      </w:r>
      <w:r>
        <w:rPr/>
        <w:t>fit</w:t>
      </w:r>
      <w:r>
        <w:rPr>
          <w:spacing w:val="-8"/>
        </w:rPr>
        <w:t> </w:t>
      </w:r>
      <w:r>
        <w:rPr/>
        <w:t>to</w:t>
      </w:r>
      <w:r>
        <w:rPr>
          <w:spacing w:val="-9"/>
        </w:rPr>
        <w:t> </w:t>
      </w:r>
      <w:r>
        <w:rPr/>
        <w:t>a</w:t>
      </w:r>
      <w:r>
        <w:rPr>
          <w:spacing w:val="-8"/>
        </w:rPr>
        <w:t> </w:t>
      </w:r>
      <w:r>
        <w:rPr/>
        <w:t>data</w:t>
      </w:r>
      <w:r>
        <w:rPr>
          <w:spacing w:val="-8"/>
        </w:rPr>
        <w:t> </w:t>
      </w:r>
      <w:r>
        <w:rPr/>
        <w:t>set</w:t>
      </w:r>
      <w:r>
        <w:rPr>
          <w:spacing w:val="-8"/>
        </w:rPr>
        <w:t> </w:t>
      </w:r>
      <w:r>
        <w:rPr/>
        <w:t>for</w:t>
      </w:r>
      <w:r>
        <w:rPr>
          <w:spacing w:val="-8"/>
        </w:rPr>
        <w:t> </w:t>
      </w:r>
      <w:r>
        <w:rPr/>
        <w:t>blunt-nosed</w:t>
      </w:r>
      <w:r>
        <w:rPr>
          <w:spacing w:val="-10"/>
        </w:rPr>
        <w:t> </w:t>
      </w:r>
      <w:r>
        <w:rPr/>
        <w:t>steel</w:t>
      </w:r>
      <w:r>
        <w:rPr>
          <w:spacing w:val="-8"/>
        </w:rPr>
        <w:t> </w:t>
      </w:r>
      <w:r>
        <w:rPr/>
        <w:t>cylinder</w:t>
      </w:r>
      <w:r>
        <w:rPr>
          <w:spacing w:val="-9"/>
        </w:rPr>
        <w:t> </w:t>
      </w:r>
      <w:r>
        <w:rPr/>
        <w:t>projectiles</w:t>
      </w:r>
      <w:r>
        <w:rPr>
          <w:spacing w:val="-58"/>
        </w:rPr>
        <w:t> </w:t>
      </w:r>
      <w:r>
        <w:rPr/>
        <w:t>impacting</w:t>
      </w:r>
      <w:r>
        <w:rPr>
          <w:spacing w:val="-7"/>
        </w:rPr>
        <w:t> </w:t>
      </w:r>
      <w:r>
        <w:rPr/>
        <w:t>different</w:t>
      </w:r>
      <w:r>
        <w:rPr>
          <w:spacing w:val="-7"/>
        </w:rPr>
        <w:t> </w:t>
      </w:r>
      <w:r>
        <w:rPr/>
        <w:t>relatively</w:t>
      </w:r>
      <w:r>
        <w:rPr>
          <w:spacing w:val="-7"/>
        </w:rPr>
        <w:t> </w:t>
      </w:r>
      <w:r>
        <w:rPr/>
        <w:t>thin</w:t>
      </w:r>
      <w:r>
        <w:rPr>
          <w:spacing w:val="-9"/>
        </w:rPr>
        <w:t> </w:t>
      </w:r>
      <w:r>
        <w:rPr/>
        <w:t>target</w:t>
      </w:r>
      <w:r>
        <w:rPr>
          <w:spacing w:val="-7"/>
        </w:rPr>
        <w:t> </w:t>
      </w:r>
      <w:r>
        <w:rPr/>
        <w:t>plate</w:t>
      </w:r>
      <w:r>
        <w:rPr>
          <w:spacing w:val="-8"/>
        </w:rPr>
        <w:t> </w:t>
      </w:r>
      <w:r>
        <w:rPr/>
        <w:t>materials</w:t>
      </w:r>
      <w:r>
        <w:rPr>
          <w:spacing w:val="-8"/>
        </w:rPr>
        <w:t> </w:t>
      </w:r>
      <w:r>
        <w:rPr/>
        <w:t>and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constants</w:t>
      </w:r>
      <w:r>
        <w:rPr>
          <w:spacing w:val="-8"/>
        </w:rPr>
        <w:t> </w:t>
      </w:r>
      <w:r>
        <w:rPr/>
        <w:t>were</w:t>
      </w:r>
      <w:r>
        <w:rPr>
          <w:spacing w:val="-7"/>
        </w:rPr>
        <w:t> </w:t>
      </w:r>
      <w:r>
        <w:rPr/>
        <w:t>determined</w:t>
      </w:r>
      <w:r>
        <w:rPr>
          <w:spacing w:val="-57"/>
        </w:rPr>
        <w:t> </w:t>
      </w:r>
      <w:r>
        <w:rPr/>
        <w:t>by a least squares type of best fit.</w:t>
      </w:r>
      <w:r>
        <w:rPr>
          <w:spacing w:val="1"/>
        </w:rPr>
        <w:t> </w:t>
      </w:r>
      <w:r>
        <w:rPr/>
        <w:t>Each material tested yielded a separate set of constants</w:t>
      </w:r>
      <w:r>
        <w:rPr>
          <w:spacing w:val="1"/>
        </w:rPr>
        <w:t> </w:t>
      </w:r>
      <w:r>
        <w:rPr/>
        <w:t>for the equation.</w:t>
      </w:r>
      <w:r>
        <w:rPr>
          <w:spacing w:val="1"/>
        </w:rPr>
        <w:t> </w:t>
      </w:r>
      <w:r>
        <w:rPr/>
        <w:t>The form of the equation was set to be simple and practical while</w:t>
      </w:r>
      <w:r>
        <w:rPr>
          <w:spacing w:val="1"/>
        </w:rPr>
        <w:t> </w:t>
      </w:r>
      <w:r>
        <w:rPr/>
        <w:t>including all the important parameters.</w:t>
      </w:r>
      <w:r>
        <w:rPr>
          <w:spacing w:val="1"/>
        </w:rPr>
        <w:t> </w:t>
      </w:r>
      <w:r>
        <w:rPr/>
        <w:t>An additional benefit of the exponential form was</w:t>
      </w:r>
      <w:r>
        <w:rPr>
          <w:spacing w:val="-57"/>
        </w:rPr>
        <w:t> </w:t>
      </w:r>
      <w:r>
        <w:rPr/>
        <w:t>the ability to convert it into logarithmic form.</w:t>
      </w:r>
      <w:r>
        <w:rPr>
          <w:spacing w:val="1"/>
        </w:rPr>
        <w:t> </w:t>
      </w:r>
      <w:r>
        <w:rPr/>
        <w:t>This was seen as an advantage because of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linearity</w:t>
      </w:r>
      <w:r>
        <w:rPr>
          <w:spacing w:val="-2"/>
        </w:rPr>
        <w:t> </w:t>
      </w:r>
      <w:r>
        <w:rPr/>
        <w:t>achieved</w:t>
      </w:r>
      <w:r>
        <w:rPr>
          <w:spacing w:val="-2"/>
        </w:rPr>
        <w:t> </w:t>
      </w:r>
      <w:r>
        <w:rPr/>
        <w:t>in this form</w:t>
      </w:r>
      <w:r>
        <w:rPr>
          <w:spacing w:val="-1"/>
        </w:rPr>
        <w:t> </w:t>
      </w:r>
      <w:r>
        <w:rPr/>
        <w:t>[2].</w:t>
      </w:r>
    </w:p>
    <w:p>
      <w:pPr>
        <w:pStyle w:val="ListParagraph"/>
        <w:numPr>
          <w:ilvl w:val="2"/>
          <w:numId w:val="17"/>
        </w:numPr>
        <w:tabs>
          <w:tab w:pos="1100" w:val="left" w:leader="none"/>
        </w:tabs>
        <w:spacing w:line="240" w:lineRule="auto" w:before="162" w:after="0"/>
        <w:ind w:left="1100" w:right="0" w:hanging="661"/>
        <w:jc w:val="both"/>
        <w:rPr>
          <w:i/>
          <w:sz w:val="24"/>
        </w:rPr>
      </w:pPr>
      <w:bookmarkStart w:name="3.14.2 Analytical approaches to studying" w:id="169"/>
      <w:bookmarkEnd w:id="169"/>
      <w:r>
        <w:rPr/>
      </w:r>
      <w:bookmarkStart w:name="3.14.2 Analytical approaches to studying" w:id="170"/>
      <w:bookmarkEnd w:id="170"/>
      <w:r>
        <w:rPr>
          <w:i/>
          <w:sz w:val="24"/>
        </w:rPr>
        <w:t>A</w:t>
      </w:r>
      <w:r>
        <w:rPr>
          <w:i/>
          <w:sz w:val="24"/>
        </w:rPr>
        <w:t>nalytical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approaches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studying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impact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dynamics</w:t>
      </w:r>
    </w:p>
    <w:p>
      <w:pPr>
        <w:pStyle w:val="BodyText"/>
        <w:spacing w:before="7"/>
        <w:rPr>
          <w:i/>
          <w:sz w:val="22"/>
        </w:rPr>
      </w:pPr>
    </w:p>
    <w:p>
      <w:pPr>
        <w:pStyle w:val="BodyText"/>
        <w:spacing w:line="480" w:lineRule="auto"/>
        <w:ind w:left="439" w:right="257" w:firstLine="720"/>
        <w:jc w:val="both"/>
      </w:pPr>
      <w:r>
        <w:rPr/>
        <w:t>Analytical approaches started to develop during World War II based on physical</w:t>
      </w:r>
      <w:r>
        <w:rPr>
          <w:spacing w:val="1"/>
        </w:rPr>
        <w:t> </w:t>
      </w:r>
      <w:r>
        <w:rPr/>
        <w:t>considerations</w:t>
      </w:r>
      <w:r>
        <w:rPr>
          <w:spacing w:val="-7"/>
        </w:rPr>
        <w:t> </w:t>
      </w:r>
      <w:r>
        <w:rPr/>
        <w:t>with</w:t>
      </w:r>
      <w:r>
        <w:rPr>
          <w:spacing w:val="-8"/>
        </w:rPr>
        <w:t> </w:t>
      </w:r>
      <w:r>
        <w:rPr/>
        <w:t>identifying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force</w:t>
      </w:r>
      <w:r>
        <w:rPr>
          <w:spacing w:val="-6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7"/>
        </w:rPr>
        <w:t> </w:t>
      </w:r>
      <w:r>
        <w:rPr/>
        <w:t>projectile</w:t>
      </w:r>
      <w:r>
        <w:rPr>
          <w:spacing w:val="-7"/>
        </w:rPr>
        <w:t> </w:t>
      </w:r>
      <w:r>
        <w:rPr/>
        <w:t>during</w:t>
      </w:r>
      <w:r>
        <w:rPr>
          <w:spacing w:val="-6"/>
        </w:rPr>
        <w:t> </w:t>
      </w:r>
      <w:r>
        <w:rPr/>
        <w:t>penetration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using</w:t>
      </w:r>
      <w:r>
        <w:rPr>
          <w:spacing w:val="-8"/>
        </w:rPr>
        <w:t> </w:t>
      </w:r>
      <w:r>
        <w:rPr/>
        <w:t>that</w:t>
      </w:r>
      <w:r>
        <w:rPr>
          <w:spacing w:val="-57"/>
        </w:rPr>
        <w:t> </w:t>
      </w:r>
      <w:r>
        <w:rPr/>
        <w:t>value</w:t>
      </w:r>
      <w:r>
        <w:rPr>
          <w:spacing w:val="-8"/>
        </w:rPr>
        <w:t> </w:t>
      </w:r>
      <w:r>
        <w:rPr/>
        <w:t>in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equation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motion</w:t>
      </w:r>
      <w:r>
        <w:rPr>
          <w:spacing w:val="-9"/>
        </w:rPr>
        <w:t> </w:t>
      </w:r>
      <w:r>
        <w:rPr/>
        <w:t>[95].</w:t>
      </w:r>
      <w:r>
        <w:rPr>
          <w:spacing w:val="44"/>
        </w:rPr>
        <w:t> </w:t>
      </w:r>
      <w:r>
        <w:rPr/>
        <w:t>Analytical</w:t>
      </w:r>
      <w:r>
        <w:rPr>
          <w:spacing w:val="-9"/>
        </w:rPr>
        <w:t> </w:t>
      </w:r>
      <w:r>
        <w:rPr/>
        <w:t>models</w:t>
      </w:r>
      <w:r>
        <w:rPr>
          <w:spacing w:val="-8"/>
        </w:rPr>
        <w:t> </w:t>
      </w:r>
      <w:r>
        <w:rPr/>
        <w:t>aimed</w:t>
      </w:r>
      <w:r>
        <w:rPr>
          <w:spacing w:val="-9"/>
        </w:rPr>
        <w:t> </w:t>
      </w:r>
      <w:r>
        <w:rPr/>
        <w:t>to</w:t>
      </w:r>
      <w:r>
        <w:rPr>
          <w:spacing w:val="-9"/>
        </w:rPr>
        <w:t> </w:t>
      </w:r>
      <w:r>
        <w:rPr/>
        <w:t>simplify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complicated</w:t>
      </w:r>
      <w:r>
        <w:rPr>
          <w:spacing w:val="-58"/>
        </w:rPr>
        <w:t> </w:t>
      </w:r>
      <w:r>
        <w:rPr/>
        <w:t>problem without sacrificing the laws of physics and could be compared to systematically</w:t>
      </w:r>
      <w:r>
        <w:rPr>
          <w:spacing w:val="1"/>
        </w:rPr>
        <w:t> </w:t>
      </w:r>
      <w:r>
        <w:rPr/>
        <w:t>conducted experiments designed with limited parameters [95]. Analytical models provide</w:t>
      </w:r>
      <w:r>
        <w:rPr>
          <w:spacing w:val="-57"/>
        </w:rPr>
        <w:t> </w:t>
      </w:r>
      <w:r>
        <w:rPr/>
        <w:t>correlations like empirical models but the models are based on a foundation of physical</w:t>
      </w:r>
      <w:r>
        <w:rPr>
          <w:spacing w:val="1"/>
        </w:rPr>
        <w:t> </w:t>
      </w:r>
      <w:r>
        <w:rPr/>
        <w:t>science</w:t>
      </w:r>
      <w:r>
        <w:rPr>
          <w:spacing w:val="-9"/>
        </w:rPr>
        <w:t> </w:t>
      </w:r>
      <w:r>
        <w:rPr/>
        <w:t>and</w:t>
      </w:r>
      <w:r>
        <w:rPr>
          <w:spacing w:val="-10"/>
        </w:rPr>
        <w:t> </w:t>
      </w:r>
      <w:r>
        <w:rPr/>
        <w:t>not</w:t>
      </w:r>
      <w:r>
        <w:rPr>
          <w:spacing w:val="-8"/>
        </w:rPr>
        <w:t> </w:t>
      </w:r>
      <w:r>
        <w:rPr/>
        <w:t>adding</w:t>
      </w:r>
      <w:r>
        <w:rPr>
          <w:spacing w:val="-10"/>
        </w:rPr>
        <w:t> </w:t>
      </w:r>
      <w:r>
        <w:rPr/>
        <w:t>correlating</w:t>
      </w:r>
      <w:r>
        <w:rPr>
          <w:spacing w:val="-9"/>
        </w:rPr>
        <w:t> </w:t>
      </w:r>
      <w:r>
        <w:rPr/>
        <w:t>variables</w:t>
      </w:r>
      <w:r>
        <w:rPr>
          <w:spacing w:val="-8"/>
        </w:rPr>
        <w:t> </w:t>
      </w:r>
      <w:r>
        <w:rPr/>
        <w:t>and</w:t>
      </w:r>
      <w:r>
        <w:rPr>
          <w:spacing w:val="-9"/>
        </w:rPr>
        <w:t> </w:t>
      </w:r>
      <w:r>
        <w:rPr/>
        <w:t>parameters</w:t>
      </w:r>
      <w:r>
        <w:rPr>
          <w:spacing w:val="-8"/>
        </w:rPr>
        <w:t> </w:t>
      </w:r>
      <w:r>
        <w:rPr/>
        <w:t>to</w:t>
      </w:r>
      <w:r>
        <w:rPr>
          <w:spacing w:val="-10"/>
        </w:rPr>
        <w:t> </w:t>
      </w:r>
      <w:r>
        <w:rPr/>
        <w:t>best</w:t>
      </w:r>
      <w:r>
        <w:rPr>
          <w:spacing w:val="-8"/>
        </w:rPr>
        <w:t> </w:t>
      </w:r>
      <w:r>
        <w:rPr/>
        <w:t>fit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data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a</w:t>
      </w:r>
      <w:r>
        <w:rPr>
          <w:spacing w:val="-8"/>
        </w:rPr>
        <w:t> </w:t>
      </w:r>
      <w:r>
        <w:rPr/>
        <w:t>specific</w:t>
      </w:r>
      <w:r>
        <w:rPr>
          <w:spacing w:val="-58"/>
        </w:rPr>
        <w:t> </w:t>
      </w:r>
      <w:r>
        <w:rPr/>
        <w:t>experiment.</w:t>
      </w:r>
      <w:r>
        <w:rPr>
          <w:spacing w:val="39"/>
        </w:rPr>
        <w:t> </w:t>
      </w:r>
      <w:r>
        <w:rPr/>
        <w:t>Often</w:t>
      </w:r>
      <w:r>
        <w:rPr>
          <w:spacing w:val="-11"/>
        </w:rPr>
        <w:t> </w:t>
      </w:r>
      <w:r>
        <w:rPr/>
        <w:t>analytical</w:t>
      </w:r>
      <w:r>
        <w:rPr>
          <w:spacing w:val="-10"/>
        </w:rPr>
        <w:t> </w:t>
      </w:r>
      <w:r>
        <w:rPr/>
        <w:t>approaches</w:t>
      </w:r>
      <w:r>
        <w:rPr>
          <w:spacing w:val="-10"/>
        </w:rPr>
        <w:t> </w:t>
      </w:r>
      <w:r>
        <w:rPr/>
        <w:t>require</w:t>
      </w:r>
      <w:r>
        <w:rPr>
          <w:spacing w:val="-11"/>
        </w:rPr>
        <w:t> </w:t>
      </w:r>
      <w:r>
        <w:rPr/>
        <w:t>restrictive</w:t>
      </w:r>
      <w:r>
        <w:rPr>
          <w:spacing w:val="-11"/>
        </w:rPr>
        <w:t> </w:t>
      </w:r>
      <w:r>
        <w:rPr/>
        <w:t>assumptions</w:t>
      </w:r>
      <w:r>
        <w:rPr>
          <w:spacing w:val="-11"/>
        </w:rPr>
        <w:t> </w:t>
      </w:r>
      <w:r>
        <w:rPr/>
        <w:t>such</w:t>
      </w:r>
      <w:r>
        <w:rPr>
          <w:spacing w:val="-10"/>
        </w:rPr>
        <w:t> </w:t>
      </w:r>
      <w:r>
        <w:rPr/>
        <w:t>as</w:t>
      </w:r>
      <w:r>
        <w:rPr>
          <w:spacing w:val="-11"/>
        </w:rPr>
        <w:t> </w:t>
      </w:r>
      <w:r>
        <w:rPr/>
        <w:t>rigidity</w:t>
      </w:r>
      <w:r>
        <w:rPr>
          <w:spacing w:val="-11"/>
        </w:rPr>
        <w:t> </w:t>
      </w:r>
      <w:r>
        <w:rPr/>
        <w:t>of</w:t>
      </w:r>
      <w:r>
        <w:rPr>
          <w:spacing w:val="-57"/>
        </w:rPr>
        <w:t> </w:t>
      </w:r>
      <w:r>
        <w:rPr/>
        <w:t>the</w:t>
      </w:r>
      <w:r>
        <w:rPr>
          <w:spacing w:val="-7"/>
        </w:rPr>
        <w:t> </w:t>
      </w:r>
      <w:r>
        <w:rPr/>
        <w:t>projectile,</w:t>
      </w:r>
      <w:r>
        <w:rPr>
          <w:spacing w:val="-6"/>
        </w:rPr>
        <w:t> </w:t>
      </w:r>
      <w:r>
        <w:rPr/>
        <w:t>ideal</w:t>
      </w:r>
      <w:r>
        <w:rPr>
          <w:spacing w:val="-8"/>
        </w:rPr>
        <w:t> </w:t>
      </w:r>
      <w:r>
        <w:rPr/>
        <w:t>plastic</w:t>
      </w:r>
      <w:r>
        <w:rPr>
          <w:spacing w:val="-6"/>
        </w:rPr>
        <w:t> </w:t>
      </w:r>
      <w:r>
        <w:rPr/>
        <w:t>behavior</w:t>
      </w:r>
      <w:r>
        <w:rPr>
          <w:spacing w:val="-9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target,</w:t>
      </w:r>
      <w:r>
        <w:rPr>
          <w:spacing w:val="-8"/>
        </w:rPr>
        <w:t> </w:t>
      </w:r>
      <w:r>
        <w:rPr/>
        <w:t>and</w:t>
      </w:r>
      <w:r>
        <w:rPr>
          <w:spacing w:val="-6"/>
        </w:rPr>
        <w:t> </w:t>
      </w:r>
      <w:r>
        <w:rPr/>
        <w:t>specific</w:t>
      </w:r>
      <w:r>
        <w:rPr>
          <w:spacing w:val="-8"/>
        </w:rPr>
        <w:t> </w:t>
      </w:r>
      <w:r>
        <w:rPr/>
        <w:t>modes</w:t>
      </w:r>
      <w:r>
        <w:rPr>
          <w:spacing w:val="-6"/>
        </w:rPr>
        <w:t> </w:t>
      </w:r>
      <w:r>
        <w:rPr/>
        <w:t>of</w:t>
      </w:r>
      <w:r>
        <w:rPr>
          <w:spacing w:val="-8"/>
        </w:rPr>
        <w:t> </w:t>
      </w:r>
      <w:r>
        <w:rPr/>
        <w:t>target</w:t>
      </w:r>
      <w:r>
        <w:rPr>
          <w:spacing w:val="-7"/>
        </w:rPr>
        <w:t> </w:t>
      </w:r>
      <w:r>
        <w:rPr/>
        <w:t>deformation</w:t>
      </w:r>
      <w:r>
        <w:rPr>
          <w:spacing w:val="-58"/>
        </w:rPr>
        <w:t> </w:t>
      </w:r>
      <w:r>
        <w:rPr/>
        <w:t>in</w:t>
      </w:r>
      <w:r>
        <w:rPr>
          <w:spacing w:val="-8"/>
        </w:rPr>
        <w:t> </w:t>
      </w:r>
      <w:r>
        <w:rPr/>
        <w:t>order</w:t>
      </w:r>
      <w:r>
        <w:rPr>
          <w:spacing w:val="-8"/>
        </w:rPr>
        <w:t> </w:t>
      </w:r>
      <w:r>
        <w:rPr/>
        <w:t>to</w:t>
      </w:r>
      <w:r>
        <w:rPr>
          <w:spacing w:val="-8"/>
        </w:rPr>
        <w:t> </w:t>
      </w:r>
      <w:r>
        <w:rPr/>
        <w:t>keep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problem</w:t>
      </w:r>
      <w:r>
        <w:rPr>
          <w:spacing w:val="-10"/>
        </w:rPr>
        <w:t> </w:t>
      </w:r>
      <w:r>
        <w:rPr/>
        <w:t>as</w:t>
      </w:r>
      <w:r>
        <w:rPr>
          <w:spacing w:val="-7"/>
        </w:rPr>
        <w:t> </w:t>
      </w:r>
      <w:r>
        <w:rPr/>
        <w:t>simple</w:t>
      </w:r>
      <w:r>
        <w:rPr>
          <w:spacing w:val="-8"/>
        </w:rPr>
        <w:t> </w:t>
      </w:r>
      <w:r>
        <w:rPr/>
        <w:t>as</w:t>
      </w:r>
      <w:r>
        <w:rPr>
          <w:spacing w:val="-7"/>
        </w:rPr>
        <w:t> </w:t>
      </w:r>
      <w:r>
        <w:rPr/>
        <w:t>possible.</w:t>
      </w:r>
      <w:r>
        <w:rPr>
          <w:spacing w:val="45"/>
        </w:rPr>
        <w:t> </w:t>
      </w:r>
      <w:r>
        <w:rPr/>
        <w:t>Analytical</w:t>
      </w:r>
      <w:r>
        <w:rPr>
          <w:spacing w:val="-8"/>
        </w:rPr>
        <w:t> </w:t>
      </w:r>
      <w:r>
        <w:rPr/>
        <w:t>models</w:t>
      </w:r>
      <w:r>
        <w:rPr>
          <w:spacing w:val="-8"/>
        </w:rPr>
        <w:t> </w:t>
      </w:r>
      <w:r>
        <w:rPr/>
        <w:t>typically</w:t>
      </w:r>
      <w:r>
        <w:rPr>
          <w:spacing w:val="-7"/>
        </w:rPr>
        <w:t> </w:t>
      </w:r>
      <w:r>
        <w:rPr/>
        <w:t>experience</w:t>
      </w:r>
      <w:r>
        <w:rPr>
          <w:spacing w:val="-58"/>
        </w:rPr>
        <w:t> </w:t>
      </w:r>
      <w:r>
        <w:rPr/>
        <w:t>the same limitations as empirical equations in that recalibration is required if the variable</w:t>
      </w:r>
      <w:r>
        <w:rPr>
          <w:spacing w:val="1"/>
        </w:rPr>
        <w:t> </w:t>
      </w:r>
      <w:r>
        <w:rPr/>
        <w:t>of</w:t>
      </w:r>
      <w:r>
        <w:rPr>
          <w:spacing w:val="-2"/>
        </w:rPr>
        <w:t> </w:t>
      </w:r>
      <w:r>
        <w:rPr/>
        <w:t>the penetration problems are different.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40" w:right="257" w:firstLine="720"/>
        <w:jc w:val="both"/>
      </w:pPr>
      <w:r>
        <w:rPr/>
        <w:t>An</w:t>
      </w:r>
      <w:r>
        <w:rPr>
          <w:spacing w:val="-5"/>
        </w:rPr>
        <w:t> </w:t>
      </w:r>
      <w:r>
        <w:rPr/>
        <w:t>example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an</w:t>
      </w:r>
      <w:r>
        <w:rPr>
          <w:spacing w:val="-4"/>
        </w:rPr>
        <w:t> </w:t>
      </w:r>
      <w:r>
        <w:rPr/>
        <w:t>analytic</w:t>
      </w:r>
      <w:r>
        <w:rPr>
          <w:spacing w:val="-5"/>
        </w:rPr>
        <w:t> </w:t>
      </w:r>
      <w:r>
        <w:rPr/>
        <w:t>approach</w:t>
      </w:r>
      <w:r>
        <w:rPr>
          <w:spacing w:val="-5"/>
        </w:rPr>
        <w:t> </w:t>
      </w:r>
      <w:r>
        <w:rPr/>
        <w:t>in</w:t>
      </w:r>
      <w:r>
        <w:rPr>
          <w:spacing w:val="-4"/>
        </w:rPr>
        <w:t> </w:t>
      </w:r>
      <w:r>
        <w:rPr/>
        <w:t>terms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Newton’s</w:t>
      </w:r>
      <w:r>
        <w:rPr>
          <w:spacing w:val="-4"/>
        </w:rPr>
        <w:t> </w:t>
      </w:r>
      <w:r>
        <w:rPr/>
        <w:t>law</w:t>
      </w:r>
      <w:r>
        <w:rPr>
          <w:spacing w:val="-7"/>
        </w:rPr>
        <w:t> </w:t>
      </w:r>
      <w:r>
        <w:rPr/>
        <w:t>for</w:t>
      </w:r>
      <w:r>
        <w:rPr>
          <w:spacing w:val="-5"/>
        </w:rPr>
        <w:t> </w:t>
      </w:r>
      <w:r>
        <w:rPr/>
        <w:t>deep</w:t>
      </w:r>
      <w:r>
        <w:rPr>
          <w:spacing w:val="-4"/>
        </w:rPr>
        <w:t> </w:t>
      </w:r>
      <w:r>
        <w:rPr/>
        <w:t>penetration</w:t>
      </w:r>
      <w:r>
        <w:rPr>
          <w:spacing w:val="-58"/>
        </w:rPr>
        <w:t> </w:t>
      </w:r>
      <w:r>
        <w:rPr/>
        <w:t>of rigid long rods is outlined in Rosenberg and Dekel’s Terminal Ballistics text [95].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retarding force, </w:t>
      </w:r>
      <w:r>
        <w:rPr>
          <w:i/>
        </w:rPr>
        <w:t>F</w:t>
      </w:r>
      <w:r>
        <w:rPr/>
        <w:t>, is defined as the force the target creates on the projectile.</w:t>
      </w:r>
      <w:r>
        <w:rPr>
          <w:spacing w:val="1"/>
        </w:rPr>
        <w:t> </w:t>
      </w:r>
      <w:r>
        <w:rPr/>
        <w:t>This force is</w:t>
      </w:r>
      <w:r>
        <w:rPr>
          <w:spacing w:val="-57"/>
        </w:rPr>
        <w:t> </w:t>
      </w:r>
      <w:r>
        <w:rPr/>
        <w:t>assumed to be constant in the process, as is the deceleration rate of the projectile.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resistive force equation is shown in Equation 3.12 and the normalized penetration depth,</w:t>
      </w:r>
      <w:r>
        <w:rPr>
          <w:spacing w:val="1"/>
        </w:rPr>
        <w:t> </w:t>
      </w:r>
      <w:r>
        <w:rPr>
          <w:i/>
          <w:position w:val="1"/>
        </w:rPr>
        <w:t>P/L</w:t>
      </w:r>
      <w:r>
        <w:rPr>
          <w:i/>
          <w:sz w:val="16"/>
        </w:rPr>
        <w:t>eff</w:t>
      </w:r>
      <w:r>
        <w:rPr>
          <w:i/>
          <w:spacing w:val="19"/>
          <w:sz w:val="16"/>
        </w:rPr>
        <w:t> </w:t>
      </w:r>
      <w:r>
        <w:rPr>
          <w:position w:val="1"/>
        </w:rPr>
        <w:t>based</w:t>
      </w:r>
      <w:r>
        <w:rPr>
          <w:spacing w:val="-1"/>
          <w:position w:val="1"/>
        </w:rPr>
        <w:t> </w:t>
      </w:r>
      <w:r>
        <w:rPr>
          <w:position w:val="1"/>
        </w:rPr>
        <w:t>on the</w:t>
      </w:r>
      <w:r>
        <w:rPr>
          <w:spacing w:val="-1"/>
          <w:position w:val="1"/>
        </w:rPr>
        <w:t> </w:t>
      </w:r>
      <w:r>
        <w:rPr>
          <w:position w:val="1"/>
        </w:rPr>
        <w:t>transformation of</w:t>
      </w:r>
      <w:r>
        <w:rPr>
          <w:spacing w:val="-1"/>
          <w:position w:val="1"/>
        </w:rPr>
        <w:t> </w:t>
      </w:r>
      <w:r>
        <w:rPr>
          <w:position w:val="1"/>
        </w:rPr>
        <w:t>that</w:t>
      </w:r>
      <w:r>
        <w:rPr>
          <w:spacing w:val="-1"/>
          <w:position w:val="1"/>
        </w:rPr>
        <w:t> </w:t>
      </w:r>
      <w:r>
        <w:rPr>
          <w:position w:val="1"/>
        </w:rPr>
        <w:t>initial</w:t>
      </w:r>
      <w:r>
        <w:rPr>
          <w:spacing w:val="-1"/>
          <w:position w:val="1"/>
        </w:rPr>
        <w:t> </w:t>
      </w:r>
      <w:r>
        <w:rPr>
          <w:position w:val="1"/>
        </w:rPr>
        <w:t>force</w:t>
      </w:r>
      <w:r>
        <w:rPr>
          <w:spacing w:val="-1"/>
          <w:position w:val="1"/>
        </w:rPr>
        <w:t> </w:t>
      </w:r>
      <w:r>
        <w:rPr>
          <w:position w:val="1"/>
        </w:rPr>
        <w:t>equation in</w:t>
      </w:r>
      <w:r>
        <w:rPr>
          <w:spacing w:val="-1"/>
          <w:position w:val="1"/>
        </w:rPr>
        <w:t> </w:t>
      </w:r>
      <w:r>
        <w:rPr>
          <w:position w:val="1"/>
        </w:rPr>
        <w:t>Equation 3.13:</w:t>
      </w:r>
    </w:p>
    <w:p>
      <w:pPr>
        <w:tabs>
          <w:tab w:pos="8392" w:val="left" w:leader="none"/>
        </w:tabs>
        <w:spacing w:before="158"/>
        <w:ind w:left="2274" w:right="0" w:firstLine="0"/>
        <w:jc w:val="left"/>
        <w:rPr>
          <w:sz w:val="24"/>
        </w:rPr>
      </w:pPr>
      <w:r>
        <w:rPr>
          <w:rFonts w:ascii="Cambria Math" w:eastAsia="Cambria Math"/>
          <w:sz w:val="24"/>
        </w:rPr>
        <w:t>𝐹</w:t>
      </w:r>
      <w:r>
        <w:rPr>
          <w:rFonts w:ascii="Cambria Math" w:eastAsia="Cambria Math"/>
          <w:spacing w:val="22"/>
          <w:sz w:val="24"/>
        </w:rPr>
        <w:t> </w:t>
      </w:r>
      <w:r>
        <w:rPr>
          <w:rFonts w:ascii="Cambria Math" w:eastAsia="Cambria Math"/>
          <w:sz w:val="24"/>
        </w:rPr>
        <w:t>=</w:t>
      </w:r>
      <w:r>
        <w:rPr>
          <w:rFonts w:ascii="Cambria Math" w:eastAsia="Cambria Math"/>
          <w:spacing w:val="13"/>
          <w:sz w:val="24"/>
        </w:rPr>
        <w:t> </w:t>
      </w:r>
      <w:r>
        <w:rPr>
          <w:rFonts w:ascii="Cambria Math" w:eastAsia="Cambria Math"/>
          <w:sz w:val="24"/>
        </w:rPr>
        <w:t>𝑚𝑎</w:t>
      </w:r>
      <w:r>
        <w:rPr>
          <w:rFonts w:ascii="Cambria Math" w:eastAsia="Cambria Math"/>
          <w:spacing w:val="19"/>
          <w:sz w:val="24"/>
        </w:rPr>
        <w:t> </w:t>
      </w:r>
      <w:r>
        <w:rPr>
          <w:rFonts w:ascii="Cambria Math" w:eastAsia="Cambria Math"/>
          <w:sz w:val="24"/>
        </w:rPr>
        <w:t>=</w:t>
      </w:r>
      <w:r>
        <w:rPr>
          <w:rFonts w:ascii="Cambria Math" w:eastAsia="Cambria Math"/>
          <w:spacing w:val="13"/>
          <w:sz w:val="24"/>
        </w:rPr>
        <w:t> </w:t>
      </w:r>
      <w:r>
        <w:rPr>
          <w:rFonts w:ascii="Cambria Math" w:eastAsia="Cambria Math"/>
          <w:spacing w:val="-10"/>
          <w:sz w:val="24"/>
        </w:rPr>
        <w:t>𝜌</w:t>
      </w:r>
      <w:r>
        <w:rPr>
          <w:rFonts w:ascii="Cambria Math" w:eastAsia="Cambria Math"/>
          <w:spacing w:val="11"/>
          <w:w w:val="113"/>
          <w:position w:val="-4"/>
          <w:sz w:val="17"/>
        </w:rPr>
        <w:t>𝑝</w:t>
      </w:r>
      <w:r>
        <w:rPr>
          <w:rFonts w:ascii="Cambria Math" w:eastAsia="Cambria Math"/>
          <w:spacing w:val="-1"/>
          <w:sz w:val="24"/>
        </w:rPr>
        <w:t>𝐿</w:t>
      </w:r>
      <w:r>
        <w:rPr>
          <w:rFonts w:ascii="Cambria Math" w:eastAsia="Cambria Math"/>
          <w:spacing w:val="-1"/>
          <w:w w:val="109"/>
          <w:position w:val="-4"/>
          <w:sz w:val="17"/>
        </w:rPr>
        <w:t>𝑒</w:t>
      </w:r>
      <w:r>
        <w:rPr>
          <w:rFonts w:ascii="Cambria Math" w:eastAsia="Cambria Math"/>
          <w:spacing w:val="-1"/>
          <w:w w:val="54"/>
          <w:position w:val="-4"/>
          <w:sz w:val="17"/>
        </w:rPr>
        <w:t>𝑓𝑓𝑓</w:t>
      </w:r>
      <w:r>
        <w:rPr>
          <w:rFonts w:ascii="Cambria Math" w:eastAsia="Cambria Math"/>
          <w:spacing w:val="14"/>
          <w:w w:val="54"/>
          <w:position w:val="-4"/>
          <w:sz w:val="17"/>
        </w:rPr>
        <w:t>𝑓</w:t>
      </w:r>
      <w:r>
        <w:rPr>
          <w:rFonts w:ascii="Cambria Math" w:eastAsia="Cambria Math"/>
          <w:spacing w:val="5"/>
          <w:sz w:val="24"/>
        </w:rPr>
        <w:t>𝜋</w:t>
      </w:r>
      <w:r>
        <w:rPr>
          <w:rFonts w:ascii="Cambria Math" w:eastAsia="Cambria Math"/>
          <w:spacing w:val="10"/>
          <w:sz w:val="24"/>
        </w:rPr>
        <w:t>𝑟</w:t>
      </w:r>
      <w:r>
        <w:rPr>
          <w:rFonts w:ascii="Cambria Math" w:eastAsia="Cambria Math"/>
          <w:spacing w:val="10"/>
          <w:w w:val="111"/>
          <w:sz w:val="24"/>
          <w:vertAlign w:val="superscript"/>
        </w:rPr>
        <w:t>2</w:t>
      </w:r>
      <w:r>
        <w:rPr>
          <w:rFonts w:ascii="Cambria Math" w:eastAsia="Cambria Math"/>
          <w:sz w:val="24"/>
          <w:vertAlign w:val="baseline"/>
        </w:rPr>
        <w:t>𝑎</w:t>
      </w:r>
      <w:r>
        <w:rPr>
          <w:rFonts w:ascii="Cambria Math" w:eastAsia="Cambria Math"/>
          <w:spacing w:val="19"/>
          <w:sz w:val="24"/>
          <w:vertAlign w:val="baseline"/>
        </w:rPr>
        <w:t> </w:t>
      </w:r>
      <w:r>
        <w:rPr>
          <w:rFonts w:ascii="Cambria Math" w:eastAsia="Cambria Math"/>
          <w:sz w:val="24"/>
          <w:vertAlign w:val="baseline"/>
        </w:rPr>
        <w:t>=</w:t>
      </w:r>
      <w:r>
        <w:rPr>
          <w:rFonts w:ascii="Cambria Math" w:eastAsia="Cambria Math"/>
          <w:spacing w:val="13"/>
          <w:sz w:val="24"/>
          <w:vertAlign w:val="baseline"/>
        </w:rPr>
        <w:t> </w:t>
      </w:r>
      <w:r>
        <w:rPr>
          <w:rFonts w:ascii="Cambria Math" w:eastAsia="Cambria Math"/>
          <w:sz w:val="24"/>
          <w:vertAlign w:val="baseline"/>
        </w:rPr>
        <w:t>𝑐𝑜𝑛</w:t>
      </w:r>
      <w:r>
        <w:rPr>
          <w:rFonts w:ascii="Cambria Math" w:eastAsia="Cambria Math"/>
          <w:spacing w:val="-1"/>
          <w:sz w:val="24"/>
          <w:vertAlign w:val="baseline"/>
        </w:rPr>
        <w:t>𝑠</w:t>
      </w:r>
      <w:r>
        <w:rPr>
          <w:rFonts w:ascii="Cambria Math" w:eastAsia="Cambria Math"/>
          <w:sz w:val="24"/>
          <w:vertAlign w:val="baseline"/>
        </w:rPr>
        <w:t>𝑡</w:t>
      </w:r>
      <w:r>
        <w:rPr>
          <w:rFonts w:ascii="Cambria Math" w:eastAsia="Cambria Math"/>
          <w:spacing w:val="19"/>
          <w:sz w:val="24"/>
          <w:vertAlign w:val="baseline"/>
        </w:rPr>
        <w:t> </w:t>
      </w:r>
      <w:r>
        <w:rPr>
          <w:rFonts w:ascii="Cambria Math" w:eastAsia="Cambria Math"/>
          <w:sz w:val="24"/>
          <w:vertAlign w:val="baseline"/>
        </w:rPr>
        <w:t>=</w:t>
      </w:r>
      <w:r>
        <w:rPr>
          <w:rFonts w:ascii="Cambria Math" w:eastAsia="Cambria Math"/>
          <w:spacing w:val="13"/>
          <w:sz w:val="24"/>
          <w:vertAlign w:val="baseline"/>
        </w:rPr>
        <w:t> </w:t>
      </w:r>
      <w:r>
        <w:rPr>
          <w:rFonts w:ascii="Cambria Math" w:eastAsia="Cambria Math"/>
          <w:spacing w:val="5"/>
          <w:sz w:val="24"/>
          <w:vertAlign w:val="baseline"/>
        </w:rPr>
        <w:t>𝜋</w:t>
      </w:r>
      <w:r>
        <w:rPr>
          <w:rFonts w:ascii="Cambria Math" w:eastAsia="Cambria Math"/>
          <w:spacing w:val="-5"/>
          <w:sz w:val="24"/>
          <w:vertAlign w:val="baseline"/>
        </w:rPr>
        <w:t>𝑅</w:t>
      </w:r>
      <w:r>
        <w:rPr>
          <w:rFonts w:ascii="Cambria Math" w:eastAsia="Cambria Math"/>
          <w:w w:val="111"/>
          <w:position w:val="-4"/>
          <w:sz w:val="17"/>
          <w:vertAlign w:val="baseline"/>
        </w:rPr>
        <w:t>𝑡</w:t>
      </w:r>
      <w:r>
        <w:rPr>
          <w:rFonts w:ascii="Cambria Math" w:eastAsia="Cambria Math"/>
          <w:position w:val="-4"/>
          <w:sz w:val="17"/>
          <w:vertAlign w:val="baseline"/>
        </w:rPr>
        <w:tab/>
      </w:r>
      <w:r>
        <w:rPr>
          <w:position w:val="1"/>
          <w:sz w:val="24"/>
          <w:vertAlign w:val="baseline"/>
        </w:rPr>
        <w:t>(3.12)</w:t>
      </w:r>
    </w:p>
    <w:p>
      <w:pPr>
        <w:pStyle w:val="BodyText"/>
        <w:rPr>
          <w:sz w:val="16"/>
        </w:rPr>
      </w:pPr>
    </w:p>
    <w:p>
      <w:pPr>
        <w:spacing w:after="0"/>
        <w:rPr>
          <w:sz w:val="16"/>
        </w:rPr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before="104"/>
        <w:ind w:left="3611"/>
        <w:jc w:val="center"/>
        <w:rPr>
          <w:rFonts w:ascii="Cambria Math" w:eastAsia="Cambria Math"/>
        </w:rPr>
      </w:pPr>
      <w:r>
        <w:rPr>
          <w:rFonts w:ascii="Cambria Math" w:eastAsia="Cambria Math"/>
        </w:rPr>
        <w:t>𝑃</w:t>
      </w:r>
    </w:p>
    <w:p>
      <w:pPr>
        <w:pStyle w:val="BodyText"/>
        <w:spacing w:before="5"/>
        <w:rPr>
          <w:rFonts w:ascii="Cambria Math"/>
          <w:sz w:val="4"/>
        </w:rPr>
      </w:pPr>
    </w:p>
    <w:p>
      <w:pPr>
        <w:pStyle w:val="BodyText"/>
        <w:spacing w:line="20" w:lineRule="exact"/>
        <w:ind w:left="3603" w:right="-87"/>
        <w:rPr>
          <w:rFonts w:ascii="Cambria Math"/>
          <w:sz w:val="2"/>
        </w:rPr>
      </w:pPr>
      <w:r>
        <w:rPr>
          <w:rFonts w:ascii="Cambria Math"/>
          <w:sz w:val="2"/>
        </w:rPr>
        <w:pict>
          <v:group style="width:21.95pt;height:.8pt;mso-position-horizontal-relative:char;mso-position-vertical-relative:line" coordorigin="0,0" coordsize="439,16">
            <v:rect style="position:absolute;left:0;top:0;width:439;height:16" filled="true" fillcolor="#000000" stroked="false">
              <v:fill type="solid"/>
            </v:rect>
          </v:group>
        </w:pict>
      </w:r>
      <w:r>
        <w:rPr>
          <w:rFonts w:ascii="Cambria Math"/>
          <w:sz w:val="2"/>
        </w:rPr>
      </w:r>
    </w:p>
    <w:p>
      <w:pPr>
        <w:spacing w:before="0"/>
        <w:ind w:left="3603" w:right="0" w:firstLine="0"/>
        <w:jc w:val="center"/>
        <w:rPr>
          <w:rFonts w:ascii="Cambria Math" w:eastAsia="Cambria Math"/>
          <w:sz w:val="17"/>
        </w:rPr>
      </w:pPr>
      <w:r>
        <w:rPr>
          <w:rFonts w:ascii="Cambria Math" w:eastAsia="Cambria Math"/>
          <w:spacing w:val="-1"/>
          <w:position w:val="5"/>
          <w:sz w:val="24"/>
        </w:rPr>
        <w:t>𝐿</w:t>
      </w:r>
      <w:r>
        <w:rPr>
          <w:rFonts w:ascii="Cambria Math" w:eastAsia="Cambria Math"/>
          <w:spacing w:val="-1"/>
          <w:w w:val="109"/>
          <w:sz w:val="17"/>
        </w:rPr>
        <w:t>𝑒</w:t>
      </w:r>
      <w:r>
        <w:rPr>
          <w:rFonts w:ascii="Cambria Math" w:eastAsia="Cambria Math"/>
          <w:spacing w:val="-1"/>
          <w:w w:val="54"/>
          <w:sz w:val="17"/>
        </w:rPr>
        <w:t>𝑓𝑓𝑓𝑓</w:t>
      </w:r>
    </w:p>
    <w:p>
      <w:pPr>
        <w:spacing w:line="252" w:lineRule="exact" w:before="98"/>
        <w:ind w:left="287" w:right="0" w:firstLine="0"/>
        <w:jc w:val="left"/>
        <w:rPr>
          <w:rFonts w:ascii="Cambria Math" w:eastAsia="Cambria Math"/>
          <w:sz w:val="24"/>
        </w:rPr>
      </w:pPr>
      <w:r>
        <w:rPr/>
        <w:br w:type="column"/>
      </w:r>
      <w:r>
        <w:rPr>
          <w:rFonts w:ascii="Cambria Math" w:eastAsia="Cambria Math"/>
          <w:w w:val="105"/>
          <w:sz w:val="24"/>
        </w:rPr>
        <w:t>𝜌</w:t>
      </w:r>
      <w:r>
        <w:rPr>
          <w:rFonts w:ascii="Cambria Math" w:eastAsia="Cambria Math"/>
          <w:w w:val="105"/>
          <w:position w:val="-4"/>
          <w:sz w:val="17"/>
        </w:rPr>
        <w:t>𝑝</w:t>
      </w:r>
      <w:r>
        <w:rPr>
          <w:rFonts w:ascii="Cambria Math" w:eastAsia="Cambria Math"/>
          <w:w w:val="105"/>
          <w:sz w:val="24"/>
        </w:rPr>
        <w:t>𝑉</w:t>
      </w:r>
      <w:r>
        <w:rPr>
          <w:rFonts w:ascii="Cambria Math" w:eastAsia="Cambria Math"/>
          <w:w w:val="105"/>
          <w:sz w:val="24"/>
          <w:vertAlign w:val="superscript"/>
        </w:rPr>
        <w:t>2</w:t>
      </w:r>
    </w:p>
    <w:p>
      <w:pPr>
        <w:pStyle w:val="BodyText"/>
        <w:spacing w:line="157" w:lineRule="exact"/>
        <w:ind w:left="41"/>
        <w:rPr>
          <w:rFonts w:ascii="Cambria Math"/>
        </w:rPr>
      </w:pPr>
      <w:r>
        <w:rPr/>
        <w:pict>
          <v:rect style="position:absolute;margin-left:303.720001pt;margin-top:4.407954pt;width:25.86pt;height:.779pt;mso-position-horizontal-relative:page;mso-position-vertical-relative:paragraph;z-index:15771648" filled="true" fillcolor="#000000" stroked="false">
            <v:fill type="solid"/>
            <w10:wrap type="none"/>
          </v:rect>
        </w:pict>
      </w:r>
      <w:r>
        <w:rPr/>
        <w:pict>
          <v:shape style="position:absolute;margin-left:321.839996pt;margin-top:-5.168495pt;width:4.95pt;height:8.550pt;mso-position-horizontal-relative:page;mso-position-vertical-relative:paragraph;z-index:-34934784" type="#_x0000_t202" filled="false" stroked="false">
            <v:textbox inset="0,0,0,0">
              <w:txbxContent>
                <w:p>
                  <w:pPr>
                    <w:spacing w:line="170" w:lineRule="exact" w:before="0"/>
                    <w:ind w:left="0" w:right="0" w:firstLine="0"/>
                    <w:jc w:val="left"/>
                    <w:rPr>
                      <w:rFonts w:ascii="Cambria Math"/>
                      <w:sz w:val="17"/>
                    </w:rPr>
                  </w:pPr>
                  <w:r>
                    <w:rPr>
                      <w:rFonts w:ascii="Cambria Math"/>
                      <w:w w:val="104"/>
                      <w:sz w:val="17"/>
                    </w:rPr>
                    <w:t>0</w:t>
                  </w:r>
                </w:p>
              </w:txbxContent>
            </v:textbox>
            <w10:wrap type="none"/>
          </v:shape>
        </w:pict>
      </w:r>
      <w:r>
        <w:rPr>
          <w:rFonts w:ascii="Cambria Math"/>
        </w:rPr>
        <w:t>=</w:t>
      </w:r>
    </w:p>
    <w:p>
      <w:pPr>
        <w:spacing w:line="256" w:lineRule="exact" w:before="0"/>
        <w:ind w:left="360" w:right="0" w:firstLine="0"/>
        <w:jc w:val="left"/>
        <w:rPr>
          <w:rFonts w:ascii="Cambria Math" w:eastAsia="Cambria Math"/>
          <w:sz w:val="17"/>
        </w:rPr>
      </w:pPr>
      <w:r>
        <w:rPr>
          <w:rFonts w:ascii="Cambria Math" w:eastAsia="Cambria Math"/>
          <w:w w:val="105"/>
          <w:sz w:val="24"/>
        </w:rPr>
        <w:t>2𝑅</w:t>
      </w:r>
      <w:r>
        <w:rPr>
          <w:rFonts w:ascii="Cambria Math" w:eastAsia="Cambria Math"/>
          <w:w w:val="105"/>
          <w:position w:val="-4"/>
          <w:sz w:val="17"/>
        </w:rPr>
        <w:t>𝑡</w:t>
      </w:r>
    </w:p>
    <w:p>
      <w:pPr>
        <w:pStyle w:val="BodyText"/>
        <w:spacing w:before="90"/>
        <w:ind w:right="365"/>
        <w:jc w:val="right"/>
      </w:pPr>
      <w:r>
        <w:rPr/>
        <w:br w:type="column"/>
      </w:r>
      <w:r>
        <w:rPr/>
        <w:t>(3.13)</w:t>
      </w:r>
    </w:p>
    <w:p>
      <w:pPr>
        <w:spacing w:after="0"/>
        <w:jc w:val="right"/>
        <w:sectPr>
          <w:type w:val="continuous"/>
          <w:pgSz w:w="12240" w:h="15840"/>
          <w:pgMar w:top="1380" w:bottom="280" w:left="1720" w:right="1180"/>
          <w:cols w:num="3" w:equalWidth="0">
            <w:col w:w="4027" w:space="40"/>
            <w:col w:w="795" w:space="39"/>
            <w:col w:w="4439"/>
          </w:cols>
        </w:sectPr>
      </w:pPr>
    </w:p>
    <w:p>
      <w:pPr>
        <w:pStyle w:val="BodyText"/>
        <w:rPr>
          <w:sz w:val="15"/>
        </w:rPr>
      </w:pPr>
    </w:p>
    <w:p>
      <w:pPr>
        <w:pStyle w:val="BodyText"/>
        <w:spacing w:line="480" w:lineRule="auto" w:before="90"/>
        <w:ind w:left="439" w:right="256"/>
        <w:jc w:val="both"/>
      </w:pPr>
      <w:r>
        <w:rPr/>
        <w:t>Where </w:t>
      </w:r>
      <w:r>
        <w:rPr>
          <w:i/>
        </w:rPr>
        <w:t>F </w:t>
      </w:r>
      <w:r>
        <w:rPr/>
        <w:t>is the resistive force required by the target material to prevent penetration, </w:t>
      </w:r>
      <w:r>
        <w:rPr>
          <w:i/>
        </w:rPr>
        <w:t>m </w:t>
      </w:r>
      <w:r>
        <w:rPr/>
        <w:t>is</w:t>
      </w:r>
      <w:r>
        <w:rPr>
          <w:spacing w:val="1"/>
        </w:rPr>
        <w:t> </w:t>
      </w:r>
      <w:r>
        <w:rPr/>
        <w:t>the mass of the long rod penetrator, </w:t>
      </w:r>
      <w:r>
        <w:rPr>
          <w:i/>
        </w:rPr>
        <w:t>r </w:t>
      </w:r>
      <w:r>
        <w:rPr/>
        <w:t>is the radius of the penetrator used to calculate the</w:t>
      </w:r>
      <w:r>
        <w:rPr>
          <w:spacing w:val="1"/>
        </w:rPr>
        <w:t> </w:t>
      </w:r>
      <w:r>
        <w:rPr>
          <w:position w:val="1"/>
        </w:rPr>
        <w:t>cross-sectional area, </w:t>
      </w:r>
      <w:r>
        <w:rPr>
          <w:i/>
          <w:position w:val="1"/>
        </w:rPr>
        <w:t>L</w:t>
      </w:r>
      <w:r>
        <w:rPr>
          <w:i/>
          <w:sz w:val="16"/>
        </w:rPr>
        <w:t>eff</w:t>
      </w:r>
      <w:r>
        <w:rPr>
          <w:i/>
          <w:spacing w:val="1"/>
          <w:sz w:val="16"/>
        </w:rPr>
        <w:t> </w:t>
      </w:r>
      <w:r>
        <w:rPr>
          <w:position w:val="1"/>
        </w:rPr>
        <w:t>is the effective length of the penetrator, </w:t>
      </w:r>
      <w:r>
        <w:rPr>
          <w:i/>
          <w:position w:val="1"/>
        </w:rPr>
        <w:t>a </w:t>
      </w:r>
      <w:r>
        <w:rPr>
          <w:position w:val="1"/>
        </w:rPr>
        <w:t>is the acceleration or</w:t>
      </w:r>
      <w:r>
        <w:rPr>
          <w:spacing w:val="1"/>
          <w:position w:val="1"/>
        </w:rPr>
        <w:t> </w:t>
      </w:r>
      <w:r>
        <w:rPr>
          <w:position w:val="1"/>
        </w:rPr>
        <w:t>deceleration in this case, </w:t>
      </w:r>
      <w:r>
        <w:rPr>
          <w:i/>
          <w:position w:val="1"/>
        </w:rPr>
        <w:t>v</w:t>
      </w:r>
      <w:r>
        <w:rPr>
          <w:i/>
          <w:sz w:val="16"/>
        </w:rPr>
        <w:t>0 </w:t>
      </w:r>
      <w:r>
        <w:rPr>
          <w:position w:val="1"/>
        </w:rPr>
        <w:t>is striking velocity, and </w:t>
      </w:r>
      <w:r>
        <w:rPr>
          <w:i/>
          <w:position w:val="1"/>
        </w:rPr>
        <w:t>R</w:t>
      </w:r>
      <w:r>
        <w:rPr>
          <w:i/>
          <w:sz w:val="16"/>
        </w:rPr>
        <w:t>t </w:t>
      </w:r>
      <w:r>
        <w:rPr>
          <w:position w:val="1"/>
        </w:rPr>
        <w:t>is the resisting stress of the target.</w:t>
      </w:r>
      <w:r>
        <w:rPr>
          <w:spacing w:val="1"/>
          <w:position w:val="1"/>
        </w:rPr>
        <w:t> </w:t>
      </w:r>
      <w:r>
        <w:rPr/>
        <w:t>In</w:t>
      </w:r>
      <w:r>
        <w:rPr>
          <w:spacing w:val="-7"/>
        </w:rPr>
        <w:t> </w:t>
      </w:r>
      <w:r>
        <w:rPr/>
        <w:t>this</w:t>
      </w:r>
      <w:r>
        <w:rPr>
          <w:spacing w:val="-6"/>
        </w:rPr>
        <w:t> </w:t>
      </w:r>
      <w:r>
        <w:rPr/>
        <w:t>model,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penetration</w:t>
      </w:r>
      <w:r>
        <w:rPr>
          <w:spacing w:val="-6"/>
        </w:rPr>
        <w:t> </w:t>
      </w:r>
      <w:r>
        <w:rPr/>
        <w:t>depth</w:t>
      </w:r>
      <w:r>
        <w:rPr>
          <w:spacing w:val="-6"/>
        </w:rPr>
        <w:t> </w:t>
      </w:r>
      <w:r>
        <w:rPr/>
        <w:t>is</w:t>
      </w:r>
      <w:r>
        <w:rPr>
          <w:spacing w:val="-6"/>
        </w:rPr>
        <w:t> </w:t>
      </w:r>
      <w:r>
        <w:rPr/>
        <w:t>not</w:t>
      </w:r>
      <w:r>
        <w:rPr>
          <w:spacing w:val="-6"/>
        </w:rPr>
        <w:t> </w:t>
      </w:r>
      <w:r>
        <w:rPr/>
        <w:t>dependent</w:t>
      </w:r>
      <w:r>
        <w:rPr>
          <w:spacing w:val="-6"/>
        </w:rPr>
        <w:t> </w:t>
      </w:r>
      <w:r>
        <w:rPr/>
        <w:t>on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target</w:t>
      </w:r>
      <w:r>
        <w:rPr>
          <w:spacing w:val="-6"/>
        </w:rPr>
        <w:t> </w:t>
      </w:r>
      <w:r>
        <w:rPr/>
        <w:t>density,</w:t>
      </w:r>
      <w:r>
        <w:rPr>
          <w:spacing w:val="-8"/>
        </w:rPr>
        <w:t> </w:t>
      </w:r>
      <w:r>
        <w:rPr/>
        <w:t>just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strength</w:t>
      </w:r>
      <w:r>
        <w:rPr>
          <w:spacing w:val="-58"/>
        </w:rPr>
        <w:t> </w:t>
      </w:r>
      <w:r>
        <w:rPr/>
        <w:t>of the target in terms of a resisting stress value.</w:t>
      </w:r>
      <w:r>
        <w:rPr>
          <w:spacing w:val="1"/>
        </w:rPr>
        <w:t> </w:t>
      </w:r>
      <w:r>
        <w:rPr/>
        <w:t>The shape of the projectile’s nose is also</w:t>
      </w:r>
      <w:r>
        <w:rPr>
          <w:spacing w:val="1"/>
        </w:rPr>
        <w:t> </w:t>
      </w:r>
      <w:r>
        <w:rPr>
          <w:spacing w:val="-1"/>
        </w:rPr>
        <w:t>not</w:t>
      </w:r>
      <w:r>
        <w:rPr>
          <w:spacing w:val="-14"/>
        </w:rPr>
        <w:t> </w:t>
      </w:r>
      <w:r>
        <w:rPr>
          <w:spacing w:val="-1"/>
        </w:rPr>
        <w:t>a</w:t>
      </w:r>
      <w:r>
        <w:rPr>
          <w:spacing w:val="-15"/>
        </w:rPr>
        <w:t> </w:t>
      </w:r>
      <w:r>
        <w:rPr>
          <w:spacing w:val="-1"/>
        </w:rPr>
        <w:t>factor</w:t>
      </w:r>
      <w:r>
        <w:rPr>
          <w:spacing w:val="-14"/>
        </w:rPr>
        <w:t> </w:t>
      </w:r>
      <w:r>
        <w:rPr>
          <w:spacing w:val="-1"/>
        </w:rPr>
        <w:t>in</w:t>
      </w:r>
      <w:r>
        <w:rPr>
          <w:spacing w:val="-15"/>
        </w:rPr>
        <w:t> </w:t>
      </w:r>
      <w:r>
        <w:rPr>
          <w:spacing w:val="-1"/>
        </w:rPr>
        <w:t>this</w:t>
      </w:r>
      <w:r>
        <w:rPr>
          <w:spacing w:val="-15"/>
        </w:rPr>
        <w:t> </w:t>
      </w:r>
      <w:r>
        <w:rPr/>
        <w:t>model.</w:t>
      </w:r>
      <w:r>
        <w:rPr>
          <w:spacing w:val="31"/>
        </w:rPr>
        <w:t> </w:t>
      </w:r>
      <w:r>
        <w:rPr/>
        <w:t>The</w:t>
      </w:r>
      <w:r>
        <w:rPr>
          <w:spacing w:val="-15"/>
        </w:rPr>
        <w:t> </w:t>
      </w:r>
      <w:r>
        <w:rPr/>
        <w:t>assumptions</w:t>
      </w:r>
      <w:r>
        <w:rPr>
          <w:spacing w:val="-15"/>
        </w:rPr>
        <w:t> </w:t>
      </w:r>
      <w:r>
        <w:rPr/>
        <w:t>made</w:t>
      </w:r>
      <w:r>
        <w:rPr>
          <w:spacing w:val="-13"/>
        </w:rPr>
        <w:t> </w:t>
      </w:r>
      <w:r>
        <w:rPr/>
        <w:t>and</w:t>
      </w:r>
      <w:r>
        <w:rPr>
          <w:spacing w:val="-15"/>
        </w:rPr>
        <w:t> </w:t>
      </w:r>
      <w:r>
        <w:rPr/>
        <w:t>exclusions</w:t>
      </w:r>
      <w:r>
        <w:rPr>
          <w:spacing w:val="-15"/>
        </w:rPr>
        <w:t> </w:t>
      </w:r>
      <w:r>
        <w:rPr/>
        <w:t>of</w:t>
      </w:r>
      <w:r>
        <w:rPr>
          <w:spacing w:val="-16"/>
        </w:rPr>
        <w:t> </w:t>
      </w:r>
      <w:r>
        <w:rPr/>
        <w:t>known</w:t>
      </w:r>
      <w:r>
        <w:rPr>
          <w:spacing w:val="-12"/>
        </w:rPr>
        <w:t> </w:t>
      </w:r>
      <w:r>
        <w:rPr/>
        <w:t>factors</w:t>
      </w:r>
      <w:r>
        <w:rPr>
          <w:spacing w:val="-15"/>
        </w:rPr>
        <w:t> </w:t>
      </w:r>
      <w:r>
        <w:rPr/>
        <w:t>involved</w:t>
      </w:r>
      <w:r>
        <w:rPr>
          <w:spacing w:val="-57"/>
        </w:rPr>
        <w:t> </w:t>
      </w:r>
      <w:r>
        <w:rPr/>
        <w:t>in the penetration process show that while science-based, an analytical model has its</w:t>
      </w:r>
      <w:r>
        <w:rPr>
          <w:spacing w:val="1"/>
        </w:rPr>
        <w:t> </w:t>
      </w:r>
      <w:r>
        <w:rPr/>
        <w:t>limitations</w:t>
      </w:r>
      <w:r>
        <w:rPr>
          <w:spacing w:val="-1"/>
        </w:rPr>
        <w:t> </w:t>
      </w:r>
      <w:r>
        <w:rPr/>
        <w:t>due to its simplifications.</w:t>
      </w:r>
    </w:p>
    <w:p>
      <w:pPr>
        <w:pStyle w:val="BodyText"/>
        <w:spacing w:line="480" w:lineRule="auto" w:before="160"/>
        <w:ind w:left="439" w:right="257" w:firstLine="720"/>
        <w:jc w:val="both"/>
      </w:pPr>
      <w:r>
        <w:rPr/>
        <w:t>Some</w:t>
      </w:r>
      <w:r>
        <w:rPr>
          <w:spacing w:val="1"/>
        </w:rPr>
        <w:t> </w:t>
      </w:r>
      <w:r>
        <w:rPr/>
        <w:t>analytical</w:t>
      </w:r>
      <w:r>
        <w:rPr>
          <w:spacing w:val="1"/>
        </w:rPr>
        <w:t> </w:t>
      </w:r>
      <w:r>
        <w:rPr/>
        <w:t>models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based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energy</w:t>
      </w:r>
      <w:r>
        <w:rPr>
          <w:spacing w:val="1"/>
        </w:rPr>
        <w:t> </w:t>
      </w:r>
      <w:r>
        <w:rPr/>
        <w:t>balance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conservation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momentum equations but they also require assumptions and limitations to simplify the</w:t>
      </w:r>
      <w:r>
        <w:rPr>
          <w:spacing w:val="1"/>
        </w:rPr>
        <w:t> </w:t>
      </w:r>
      <w:r>
        <w:rPr/>
        <w:t>circumstances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make</w:t>
      </w:r>
      <w:r>
        <w:rPr>
          <w:spacing w:val="1"/>
        </w:rPr>
        <w:t> </w:t>
      </w:r>
      <w:r>
        <w:rPr/>
        <w:t>the model</w:t>
      </w:r>
      <w:r>
        <w:rPr>
          <w:spacing w:val="1"/>
        </w:rPr>
        <w:t> </w:t>
      </w:r>
      <w:r>
        <w:rPr/>
        <w:t>solvable.</w:t>
      </w:r>
      <w:r>
        <w:rPr>
          <w:spacing w:val="1"/>
        </w:rPr>
        <w:t> </w:t>
      </w:r>
      <w:r>
        <w:rPr/>
        <w:t>Recht</w:t>
      </w:r>
      <w:r>
        <w:rPr>
          <w:spacing w:val="1"/>
        </w:rPr>
        <w:t> </w:t>
      </w:r>
      <w:r>
        <w:rPr/>
        <w:t>and Ipson</w:t>
      </w:r>
      <w:r>
        <w:rPr>
          <w:spacing w:val="1"/>
        </w:rPr>
        <w:t> </w:t>
      </w:r>
      <w:r>
        <w:rPr/>
        <w:t>developed</w:t>
      </w:r>
      <w:r>
        <w:rPr>
          <w:spacing w:val="1"/>
        </w:rPr>
        <w:t> </w:t>
      </w:r>
      <w:r>
        <w:rPr/>
        <w:t>analytical</w:t>
      </w:r>
      <w:r>
        <w:rPr>
          <w:spacing w:val="1"/>
        </w:rPr>
        <w:t> </w:t>
      </w:r>
      <w:r>
        <w:rPr/>
        <w:t>equations based on the work required by the projectile to eject a material plug from the</w:t>
      </w:r>
      <w:r>
        <w:rPr>
          <w:spacing w:val="1"/>
        </w:rPr>
        <w:t> </w:t>
      </w:r>
      <w:r>
        <w:rPr/>
        <w:t>target</w:t>
      </w:r>
      <w:r>
        <w:rPr>
          <w:spacing w:val="-6"/>
        </w:rPr>
        <w:t> </w:t>
      </w:r>
      <w:r>
        <w:rPr/>
        <w:t>[91].</w:t>
      </w:r>
      <w:r>
        <w:rPr>
          <w:spacing w:val="52"/>
        </w:rPr>
        <w:t> </w:t>
      </w:r>
      <w:r>
        <w:rPr/>
        <w:t>Analytical</w:t>
      </w:r>
      <w:r>
        <w:rPr>
          <w:spacing w:val="-6"/>
        </w:rPr>
        <w:t> </w:t>
      </w:r>
      <w:r>
        <w:rPr/>
        <w:t>models</w:t>
      </w:r>
      <w:r>
        <w:rPr>
          <w:spacing w:val="-5"/>
        </w:rPr>
        <w:t> </w:t>
      </w:r>
      <w:r>
        <w:rPr/>
        <w:t>tend</w:t>
      </w:r>
      <w:r>
        <w:rPr>
          <w:spacing w:val="-5"/>
        </w:rPr>
        <w:t> </w:t>
      </w:r>
      <w:r>
        <w:rPr/>
        <w:t>to</w:t>
      </w:r>
      <w:r>
        <w:rPr>
          <w:spacing w:val="-5"/>
        </w:rPr>
        <w:t> </w:t>
      </w:r>
      <w:r>
        <w:rPr/>
        <w:t>ignore</w:t>
      </w:r>
      <w:r>
        <w:rPr>
          <w:spacing w:val="-6"/>
        </w:rPr>
        <w:t> </w:t>
      </w:r>
      <w:r>
        <w:rPr/>
        <w:t>entrance</w:t>
      </w:r>
      <w:r>
        <w:rPr>
          <w:spacing w:val="-5"/>
        </w:rPr>
        <w:t> </w:t>
      </w:r>
      <w:r>
        <w:rPr/>
        <w:t>phase</w:t>
      </w:r>
      <w:r>
        <w:rPr>
          <w:spacing w:val="-5"/>
        </w:rPr>
        <w:t> </w:t>
      </w:r>
      <w:r>
        <w:rPr/>
        <w:t>effects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/>
        <w:t>cavitation</w:t>
      </w:r>
      <w:r>
        <w:rPr>
          <w:spacing w:val="-5"/>
        </w:rPr>
        <w:t> </w:t>
      </w:r>
      <w:r>
        <w:rPr/>
        <w:t>effects,</w:t>
      </w:r>
    </w:p>
    <w:p>
      <w:pPr>
        <w:spacing w:after="0" w:line="480" w:lineRule="auto"/>
        <w:jc w:val="both"/>
        <w:sectPr>
          <w:type w:val="continuous"/>
          <w:pgSz w:w="12240" w:h="15840"/>
          <w:pgMar w:top="1380" w:bottom="280" w:left="1720" w:right="1180"/>
        </w:sectPr>
      </w:pPr>
    </w:p>
    <w:p>
      <w:pPr>
        <w:pStyle w:val="BodyText"/>
        <w:spacing w:line="480" w:lineRule="auto" w:before="78"/>
        <w:ind w:left="440" w:right="257"/>
        <w:jc w:val="both"/>
      </w:pPr>
      <w:r>
        <w:rPr/>
        <w:t>and</w:t>
      </w:r>
      <w:r>
        <w:rPr>
          <w:spacing w:val="-6"/>
        </w:rPr>
        <w:t> </w:t>
      </w:r>
      <w:r>
        <w:rPr/>
        <w:t>require</w:t>
      </w:r>
      <w:r>
        <w:rPr>
          <w:spacing w:val="-7"/>
        </w:rPr>
        <w:t> </w:t>
      </w:r>
      <w:r>
        <w:rPr/>
        <w:t>a</w:t>
      </w:r>
      <w:r>
        <w:rPr>
          <w:spacing w:val="-6"/>
        </w:rPr>
        <w:t> </w:t>
      </w:r>
      <w:r>
        <w:rPr/>
        <w:t>target’s</w:t>
      </w:r>
      <w:r>
        <w:rPr>
          <w:spacing w:val="-5"/>
        </w:rPr>
        <w:t> </w:t>
      </w:r>
      <w:r>
        <w:rPr/>
        <w:t>resistive</w:t>
      </w:r>
      <w:r>
        <w:rPr>
          <w:spacing w:val="-6"/>
        </w:rPr>
        <w:t> </w:t>
      </w:r>
      <w:r>
        <w:rPr/>
        <w:t>strength</w:t>
      </w:r>
      <w:r>
        <w:rPr>
          <w:spacing w:val="-6"/>
        </w:rPr>
        <w:t> </w:t>
      </w:r>
      <w:r>
        <w:rPr/>
        <w:t>or</w:t>
      </w:r>
      <w:r>
        <w:rPr>
          <w:spacing w:val="-5"/>
        </w:rPr>
        <w:t> </w:t>
      </w:r>
      <w:r>
        <w:rPr/>
        <w:t>other</w:t>
      </w:r>
      <w:r>
        <w:rPr>
          <w:spacing w:val="-7"/>
        </w:rPr>
        <w:t> </w:t>
      </w:r>
      <w:r>
        <w:rPr/>
        <w:t>material</w:t>
      </w:r>
      <w:r>
        <w:rPr>
          <w:spacing w:val="-6"/>
        </w:rPr>
        <w:t> </w:t>
      </w:r>
      <w:r>
        <w:rPr/>
        <w:t>characteristics,</w:t>
      </w:r>
      <w:r>
        <w:rPr>
          <w:spacing w:val="-6"/>
        </w:rPr>
        <w:t> </w:t>
      </w:r>
      <w:r>
        <w:rPr/>
        <w:t>which</w:t>
      </w:r>
      <w:r>
        <w:rPr>
          <w:spacing w:val="-6"/>
        </w:rPr>
        <w:t> </w:t>
      </w:r>
      <w:r>
        <w:rPr/>
        <w:t>are</w:t>
      </w:r>
      <w:r>
        <w:rPr>
          <w:spacing w:val="-6"/>
        </w:rPr>
        <w:t> </w:t>
      </w:r>
      <w:r>
        <w:rPr/>
        <w:t>specific</w:t>
      </w:r>
      <w:r>
        <w:rPr>
          <w:spacing w:val="-57"/>
        </w:rPr>
        <w:t> </w:t>
      </w:r>
      <w:r>
        <w:rPr/>
        <w:t>to the target-penetrator combination of the test scenario.</w:t>
      </w:r>
      <w:r>
        <w:rPr>
          <w:spacing w:val="1"/>
        </w:rPr>
        <w:t> </w:t>
      </w:r>
      <w:r>
        <w:rPr/>
        <w:t>Like empirical models, the</w:t>
      </w:r>
      <w:r>
        <w:rPr>
          <w:spacing w:val="1"/>
        </w:rPr>
        <w:t> </w:t>
      </w:r>
      <w:r>
        <w:rPr/>
        <w:t>analytical models are only applicable to a narrow set of defined parameters without</w:t>
      </w:r>
      <w:r>
        <w:rPr>
          <w:spacing w:val="1"/>
        </w:rPr>
        <w:t> </w:t>
      </w:r>
      <w:r>
        <w:rPr/>
        <w:t>recalibration.</w:t>
      </w:r>
    </w:p>
    <w:p>
      <w:pPr>
        <w:pStyle w:val="ListParagraph"/>
        <w:numPr>
          <w:ilvl w:val="2"/>
          <w:numId w:val="17"/>
        </w:numPr>
        <w:tabs>
          <w:tab w:pos="1100" w:val="left" w:leader="none"/>
        </w:tabs>
        <w:spacing w:line="240" w:lineRule="auto" w:before="161" w:after="0"/>
        <w:ind w:left="1100" w:right="0" w:hanging="660"/>
        <w:jc w:val="both"/>
        <w:rPr>
          <w:i/>
          <w:sz w:val="24"/>
        </w:rPr>
      </w:pPr>
      <w:bookmarkStart w:name="3.14.3 Numerical approaches to studying " w:id="171"/>
      <w:bookmarkEnd w:id="171"/>
      <w:r>
        <w:rPr/>
      </w:r>
      <w:bookmarkStart w:name="3.14.3 Numerical approaches to studying " w:id="172"/>
      <w:bookmarkEnd w:id="172"/>
      <w:r>
        <w:rPr>
          <w:i/>
          <w:sz w:val="24"/>
        </w:rPr>
        <w:t>N</w:t>
      </w:r>
      <w:r>
        <w:rPr>
          <w:i/>
          <w:sz w:val="24"/>
        </w:rPr>
        <w:t>umerical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approaches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studying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impact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dynamics</w:t>
      </w:r>
    </w:p>
    <w:p>
      <w:pPr>
        <w:pStyle w:val="BodyText"/>
        <w:spacing w:before="7"/>
        <w:rPr>
          <w:i/>
          <w:sz w:val="22"/>
        </w:rPr>
      </w:pPr>
    </w:p>
    <w:p>
      <w:pPr>
        <w:pStyle w:val="BodyText"/>
        <w:spacing w:line="480" w:lineRule="auto"/>
        <w:ind w:left="440" w:right="456" w:firstLine="720"/>
      </w:pPr>
      <w:r>
        <w:rPr/>
        <w:t>Numerical models are becoming more common in the field as computers and</w:t>
      </w:r>
      <w:r>
        <w:rPr>
          <w:spacing w:val="1"/>
        </w:rPr>
        <w:t> </w:t>
      </w:r>
      <w:r>
        <w:rPr/>
        <w:t>finite element techniques develop.</w:t>
      </w:r>
      <w:r>
        <w:rPr>
          <w:spacing w:val="1"/>
        </w:rPr>
        <w:t> </w:t>
      </w:r>
      <w:r>
        <w:rPr/>
        <w:t>The challenge with numerical models lies in the</w:t>
      </w:r>
      <w:r>
        <w:rPr>
          <w:spacing w:val="1"/>
        </w:rPr>
        <w:t> </w:t>
      </w:r>
      <w:r>
        <w:rPr/>
        <w:t>necessity for accurate material models to feed into the simulation.</w:t>
      </w:r>
      <w:r>
        <w:rPr>
          <w:spacing w:val="1"/>
        </w:rPr>
        <w:t> </w:t>
      </w:r>
      <w:r>
        <w:rPr/>
        <w:t>Without robust</w:t>
      </w:r>
      <w:r>
        <w:rPr>
          <w:spacing w:val="1"/>
        </w:rPr>
        <w:t> </w:t>
      </w:r>
      <w:r>
        <w:rPr/>
        <w:t>material characteristic data, including elastic, plastic and hydrodynamic regimes of</w:t>
      </w:r>
      <w:r>
        <w:rPr>
          <w:spacing w:val="1"/>
        </w:rPr>
        <w:t> </w:t>
      </w:r>
      <w:r>
        <w:rPr/>
        <w:t>behavior, such as dynamic characteristics and strengths over a wide range of high strain</w:t>
      </w:r>
      <w:r>
        <w:rPr>
          <w:spacing w:val="-58"/>
        </w:rPr>
        <w:t> </w:t>
      </w:r>
      <w:r>
        <w:rPr/>
        <w:t>rates,</w:t>
      </w:r>
      <w:r>
        <w:rPr>
          <w:spacing w:val="-3"/>
        </w:rPr>
        <w:t> </w:t>
      </w:r>
      <w:r>
        <w:rPr/>
        <w:t>the numerical outputs</w:t>
      </w:r>
      <w:r>
        <w:rPr>
          <w:spacing w:val="-1"/>
        </w:rPr>
        <w:t> </w:t>
      </w:r>
      <w:r>
        <w:rPr/>
        <w:t>will be flawed or</w:t>
      </w:r>
      <w:r>
        <w:rPr>
          <w:spacing w:val="-1"/>
        </w:rPr>
        <w:t> </w:t>
      </w:r>
      <w:r>
        <w:rPr/>
        <w:t>inapplicable.</w:t>
      </w:r>
    </w:p>
    <w:p>
      <w:pPr>
        <w:pStyle w:val="BodyText"/>
        <w:spacing w:line="480" w:lineRule="auto" w:before="160"/>
        <w:ind w:left="440" w:right="258" w:firstLine="720"/>
      </w:pPr>
      <w:r>
        <w:rPr/>
        <w:t>Computer codes called hydrocodes can perform numerical simulations of high</w:t>
      </w:r>
      <w:r>
        <w:rPr>
          <w:spacing w:val="1"/>
        </w:rPr>
        <w:t> </w:t>
      </w:r>
      <w:r>
        <w:rPr/>
        <w:t>velocity</w:t>
      </w:r>
      <w:r>
        <w:rPr>
          <w:spacing w:val="-2"/>
        </w:rPr>
        <w:t> </w:t>
      </w:r>
      <w:r>
        <w:rPr/>
        <w:t>impact</w:t>
      </w:r>
      <w:r>
        <w:rPr>
          <w:spacing w:val="-1"/>
        </w:rPr>
        <w:t> </w:t>
      </w:r>
      <w:r>
        <w:rPr/>
        <w:t>events.</w:t>
      </w:r>
      <w:r>
        <w:rPr>
          <w:spacing w:val="56"/>
        </w:rPr>
        <w:t> </w:t>
      </w:r>
      <w:r>
        <w:rPr/>
        <w:t>These</w:t>
      </w:r>
      <w:r>
        <w:rPr>
          <w:spacing w:val="-2"/>
        </w:rPr>
        <w:t> </w:t>
      </w:r>
      <w:r>
        <w:rPr/>
        <w:t>computer</w:t>
      </w:r>
      <w:r>
        <w:rPr>
          <w:spacing w:val="-1"/>
        </w:rPr>
        <w:t> </w:t>
      </w:r>
      <w:r>
        <w:rPr/>
        <w:t>models</w:t>
      </w:r>
      <w:r>
        <w:rPr>
          <w:spacing w:val="-1"/>
        </w:rPr>
        <w:t> </w:t>
      </w:r>
      <w:r>
        <w:rPr/>
        <w:t>can</w:t>
      </w:r>
      <w:r>
        <w:rPr>
          <w:spacing w:val="-1"/>
        </w:rPr>
        <w:t> </w:t>
      </w:r>
      <w:r>
        <w:rPr/>
        <w:t>run</w:t>
      </w:r>
      <w:r>
        <w:rPr>
          <w:spacing w:val="-2"/>
        </w:rPr>
        <w:t> </w:t>
      </w:r>
      <w:r>
        <w:rPr/>
        <w:t>rapid</w:t>
      </w:r>
      <w:r>
        <w:rPr>
          <w:spacing w:val="-1"/>
        </w:rPr>
        <w:t> </w:t>
      </w:r>
      <w:r>
        <w:rPr/>
        <w:t>simulations,</w:t>
      </w:r>
      <w:r>
        <w:rPr>
          <w:spacing w:val="-1"/>
        </w:rPr>
        <w:t> </w:t>
      </w:r>
      <w:r>
        <w:rPr/>
        <w:t>changing</w:t>
      </w:r>
      <w:r>
        <w:rPr>
          <w:spacing w:val="-3"/>
        </w:rPr>
        <w:t> </w:t>
      </w:r>
      <w:r>
        <w:rPr/>
        <w:t>only</w:t>
      </w:r>
      <w:r>
        <w:rPr>
          <w:spacing w:val="-57"/>
        </w:rPr>
        <w:t> </w:t>
      </w:r>
      <w:r>
        <w:rPr/>
        <w:t>one variable at a time while maintaining all other variables, which helps determine the</w:t>
      </w:r>
      <w:r>
        <w:rPr>
          <w:spacing w:val="1"/>
        </w:rPr>
        <w:t> </w:t>
      </w:r>
      <w:r>
        <w:rPr/>
        <w:t>influence and dependence of the problem on that variable.</w:t>
      </w:r>
      <w:r>
        <w:rPr>
          <w:spacing w:val="1"/>
        </w:rPr>
        <w:t> </w:t>
      </w:r>
      <w:r>
        <w:rPr/>
        <w:t>However, the hydrocodes</w:t>
      </w:r>
      <w:r>
        <w:rPr>
          <w:spacing w:val="1"/>
        </w:rPr>
        <w:t> </w:t>
      </w:r>
      <w:r>
        <w:rPr/>
        <w:t>depend on the input of equations of state and constitutive relations for the materials</w:t>
      </w:r>
      <w:r>
        <w:rPr>
          <w:spacing w:val="1"/>
        </w:rPr>
        <w:t> </w:t>
      </w:r>
      <w:r>
        <w:rPr/>
        <w:t>involved.</w:t>
      </w:r>
      <w:r>
        <w:rPr>
          <w:spacing w:val="1"/>
        </w:rPr>
        <w:t> </w:t>
      </w:r>
      <w:r>
        <w:rPr/>
        <w:t>Errors in the material characterization are more common in numerical</w:t>
      </w:r>
      <w:r>
        <w:rPr>
          <w:spacing w:val="1"/>
        </w:rPr>
        <w:t> </w:t>
      </w:r>
      <w:r>
        <w:rPr/>
        <w:t>approaches</w:t>
      </w:r>
      <w:r>
        <w:rPr>
          <w:spacing w:val="-1"/>
        </w:rPr>
        <w:t> </w:t>
      </w:r>
      <w:r>
        <w:rPr/>
        <w:t>than an error</w:t>
      </w:r>
      <w:r>
        <w:rPr>
          <w:spacing w:val="-1"/>
        </w:rPr>
        <w:t> </w:t>
      </w:r>
      <w:r>
        <w:rPr/>
        <w:t>in the numerical method</w:t>
      </w:r>
      <w:r>
        <w:rPr>
          <w:spacing w:val="-1"/>
        </w:rPr>
        <w:t> </w:t>
      </w:r>
      <w:r>
        <w:rPr/>
        <w:t>[95].</w:t>
      </w:r>
    </w:p>
    <w:p>
      <w:pPr>
        <w:pStyle w:val="Heading9"/>
        <w:numPr>
          <w:ilvl w:val="1"/>
          <w:numId w:val="17"/>
        </w:numPr>
        <w:tabs>
          <w:tab w:pos="920" w:val="left" w:leader="none"/>
        </w:tabs>
        <w:spacing w:line="240" w:lineRule="auto" w:before="163" w:after="0"/>
        <w:ind w:left="920" w:right="0" w:hanging="480"/>
        <w:jc w:val="left"/>
      </w:pPr>
      <w:bookmarkStart w:name="_TOC_250046" w:id="173"/>
      <w:bookmarkStart w:name="3.15 Summary" w:id="174"/>
      <w:r>
        <w:rPr>
          <w:b w:val="0"/>
        </w:rPr>
      </w:r>
      <w:bookmarkEnd w:id="174"/>
      <w:bookmarkStart w:name="3.15 Summary" w:id="175"/>
      <w:r>
        <w:rPr/>
        <w:t>S</w:t>
      </w:r>
      <w:bookmarkEnd w:id="173"/>
      <w:r>
        <w:rPr/>
        <w:t>ummary</w:t>
      </w:r>
    </w:p>
    <w:p>
      <w:pPr>
        <w:pStyle w:val="BodyText"/>
        <w:spacing w:before="10"/>
        <w:rPr>
          <w:b/>
          <w:sz w:val="21"/>
        </w:rPr>
      </w:pPr>
    </w:p>
    <w:p>
      <w:pPr>
        <w:pStyle w:val="BodyText"/>
        <w:spacing w:line="480" w:lineRule="auto"/>
        <w:ind w:left="440" w:right="257" w:firstLine="720"/>
        <w:jc w:val="both"/>
      </w:pPr>
      <w:r>
        <w:rPr/>
        <w:t>Penetration</w:t>
      </w:r>
      <w:r>
        <w:rPr>
          <w:spacing w:val="1"/>
        </w:rPr>
        <w:t> </w:t>
      </w:r>
      <w:r>
        <w:rPr/>
        <w:t>mechanics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complex</w:t>
      </w:r>
      <w:r>
        <w:rPr>
          <w:spacing w:val="1"/>
        </w:rPr>
        <w:t> </w:t>
      </w:r>
      <w:r>
        <w:rPr/>
        <w:t>field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many</w:t>
      </w:r>
      <w:r>
        <w:rPr>
          <w:spacing w:val="1"/>
        </w:rPr>
        <w:t> </w:t>
      </w:r>
      <w:r>
        <w:rPr/>
        <w:t>factors</w:t>
      </w:r>
      <w:r>
        <w:rPr>
          <w:spacing w:val="1"/>
        </w:rPr>
        <w:t> </w:t>
      </w:r>
      <w:r>
        <w:rPr/>
        <w:t>influencing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scenario, often factors unable to be controlled in experimentation.</w:t>
      </w:r>
      <w:r>
        <w:rPr>
          <w:spacing w:val="1"/>
        </w:rPr>
        <w:t> </w:t>
      </w:r>
      <w:r>
        <w:rPr/>
        <w:t>Experimental testing</w:t>
      </w:r>
      <w:r>
        <w:rPr>
          <w:spacing w:val="1"/>
        </w:rPr>
        <w:t> </w:t>
      </w:r>
      <w:r>
        <w:rPr/>
        <w:t>and</w:t>
      </w:r>
      <w:r>
        <w:rPr>
          <w:spacing w:val="-12"/>
        </w:rPr>
        <w:t> </w:t>
      </w:r>
      <w:r>
        <w:rPr/>
        <w:t>empirical</w:t>
      </w:r>
      <w:r>
        <w:rPr>
          <w:spacing w:val="-12"/>
        </w:rPr>
        <w:t> </w:t>
      </w:r>
      <w:r>
        <w:rPr/>
        <w:t>equations</w:t>
      </w:r>
      <w:r>
        <w:rPr>
          <w:spacing w:val="-12"/>
        </w:rPr>
        <w:t> </w:t>
      </w:r>
      <w:r>
        <w:rPr/>
        <w:t>best</w:t>
      </w:r>
      <w:r>
        <w:rPr>
          <w:spacing w:val="-12"/>
        </w:rPr>
        <w:t> </w:t>
      </w:r>
      <w:r>
        <w:rPr/>
        <w:t>fit</w:t>
      </w:r>
      <w:r>
        <w:rPr>
          <w:spacing w:val="-12"/>
        </w:rPr>
        <w:t> </w:t>
      </w:r>
      <w:r>
        <w:rPr/>
        <w:t>to</w:t>
      </w:r>
      <w:r>
        <w:rPr>
          <w:spacing w:val="-12"/>
        </w:rPr>
        <w:t> </w:t>
      </w:r>
      <w:r>
        <w:rPr/>
        <w:t>that</w:t>
      </w:r>
      <w:r>
        <w:rPr>
          <w:spacing w:val="-12"/>
        </w:rPr>
        <w:t> </w:t>
      </w:r>
      <w:r>
        <w:rPr/>
        <w:t>data</w:t>
      </w:r>
      <w:r>
        <w:rPr>
          <w:spacing w:val="-12"/>
        </w:rPr>
        <w:t> </w:t>
      </w:r>
      <w:r>
        <w:rPr/>
        <w:t>are</w:t>
      </w:r>
      <w:r>
        <w:rPr>
          <w:spacing w:val="-12"/>
        </w:rPr>
        <w:t> </w:t>
      </w:r>
      <w:r>
        <w:rPr/>
        <w:t>prevalent</w:t>
      </w:r>
      <w:r>
        <w:rPr>
          <w:spacing w:val="-12"/>
        </w:rPr>
        <w:t> </w:t>
      </w:r>
      <w:r>
        <w:rPr/>
        <w:t>due</w:t>
      </w:r>
      <w:r>
        <w:rPr>
          <w:spacing w:val="-12"/>
        </w:rPr>
        <w:t> </w:t>
      </w:r>
      <w:r>
        <w:rPr/>
        <w:t>to</w:t>
      </w:r>
      <w:r>
        <w:rPr>
          <w:spacing w:val="-12"/>
        </w:rPr>
        <w:t> </w:t>
      </w:r>
      <w:r>
        <w:rPr/>
        <w:t>challenges</w:t>
      </w:r>
      <w:r>
        <w:rPr>
          <w:spacing w:val="-13"/>
        </w:rPr>
        <w:t> </w:t>
      </w:r>
      <w:r>
        <w:rPr/>
        <w:t>with</w:t>
      </w:r>
      <w:r>
        <w:rPr>
          <w:spacing w:val="-12"/>
        </w:rPr>
        <w:t> </w:t>
      </w:r>
      <w:r>
        <w:rPr/>
        <w:t>associating</w:t>
      </w:r>
      <w:r>
        <w:rPr>
          <w:spacing w:val="-58"/>
        </w:rPr>
        <w:t> </w:t>
      </w:r>
      <w:r>
        <w:rPr/>
        <w:t>unlimited</w:t>
      </w:r>
      <w:r>
        <w:rPr>
          <w:spacing w:val="-11"/>
        </w:rPr>
        <w:t> </w:t>
      </w:r>
      <w:r>
        <w:rPr/>
        <w:t>analytical</w:t>
      </w:r>
      <w:r>
        <w:rPr>
          <w:spacing w:val="-9"/>
        </w:rPr>
        <w:t> </w:t>
      </w:r>
      <w:r>
        <w:rPr/>
        <w:t>models,</w:t>
      </w:r>
      <w:r>
        <w:rPr>
          <w:spacing w:val="-10"/>
        </w:rPr>
        <w:t> </w:t>
      </w:r>
      <w:r>
        <w:rPr/>
        <w:t>and</w:t>
      </w:r>
      <w:r>
        <w:rPr>
          <w:spacing w:val="-10"/>
        </w:rPr>
        <w:t> </w:t>
      </w:r>
      <w:r>
        <w:rPr/>
        <w:t>requirements</w:t>
      </w:r>
      <w:r>
        <w:rPr>
          <w:spacing w:val="-10"/>
        </w:rPr>
        <w:t> </w:t>
      </w:r>
      <w:r>
        <w:rPr/>
        <w:t>for</w:t>
      </w:r>
      <w:r>
        <w:rPr>
          <w:spacing w:val="-9"/>
        </w:rPr>
        <w:t> </w:t>
      </w:r>
      <w:r>
        <w:rPr/>
        <w:t>dynamic</w:t>
      </w:r>
      <w:r>
        <w:rPr>
          <w:spacing w:val="-9"/>
        </w:rPr>
        <w:t> </w:t>
      </w:r>
      <w:r>
        <w:rPr/>
        <w:t>strength</w:t>
      </w:r>
      <w:r>
        <w:rPr>
          <w:spacing w:val="-10"/>
        </w:rPr>
        <w:t> </w:t>
      </w:r>
      <w:r>
        <w:rPr/>
        <w:t>characteristic</w:t>
      </w:r>
      <w:r>
        <w:rPr>
          <w:spacing w:val="-11"/>
        </w:rPr>
        <w:t> </w:t>
      </w:r>
      <w:r>
        <w:rPr/>
        <w:t>required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40" w:right="260"/>
        <w:jc w:val="both"/>
      </w:pPr>
      <w:r>
        <w:rPr/>
        <w:t>with</w:t>
      </w:r>
      <w:r>
        <w:rPr>
          <w:spacing w:val="-11"/>
        </w:rPr>
        <w:t> </w:t>
      </w:r>
      <w:r>
        <w:rPr/>
        <w:t>numerical</w:t>
      </w:r>
      <w:r>
        <w:rPr>
          <w:spacing w:val="-10"/>
        </w:rPr>
        <w:t> </w:t>
      </w:r>
      <w:r>
        <w:rPr/>
        <w:t>solutions.</w:t>
      </w:r>
      <w:r>
        <w:rPr>
          <w:spacing w:val="40"/>
        </w:rPr>
        <w:t> </w:t>
      </w:r>
      <w:r>
        <w:rPr/>
        <w:t>With</w:t>
      </w:r>
      <w:r>
        <w:rPr>
          <w:spacing w:val="-11"/>
        </w:rPr>
        <w:t> </w:t>
      </w:r>
      <w:r>
        <w:rPr/>
        <w:t>each</w:t>
      </w:r>
      <w:r>
        <w:rPr>
          <w:spacing w:val="-11"/>
        </w:rPr>
        <w:t> </w:t>
      </w:r>
      <w:r>
        <w:rPr/>
        <w:t>velocity</w:t>
      </w:r>
      <w:r>
        <w:rPr>
          <w:spacing w:val="-11"/>
        </w:rPr>
        <w:t> </w:t>
      </w:r>
      <w:r>
        <w:rPr/>
        <w:t>regime,</w:t>
      </w:r>
      <w:r>
        <w:rPr>
          <w:spacing w:val="-10"/>
        </w:rPr>
        <w:t> </w:t>
      </w:r>
      <w:r>
        <w:rPr/>
        <w:t>projectile</w:t>
      </w:r>
      <w:r>
        <w:rPr>
          <w:spacing w:val="-11"/>
        </w:rPr>
        <w:t> </w:t>
      </w:r>
      <w:r>
        <w:rPr/>
        <w:t>nose</w:t>
      </w:r>
      <w:r>
        <w:rPr>
          <w:spacing w:val="-11"/>
        </w:rPr>
        <w:t> </w:t>
      </w:r>
      <w:r>
        <w:rPr/>
        <w:t>shape,</w:t>
      </w:r>
      <w:r>
        <w:rPr>
          <w:spacing w:val="-11"/>
        </w:rPr>
        <w:t> </w:t>
      </w:r>
      <w:r>
        <w:rPr/>
        <w:t>target</w:t>
      </w:r>
      <w:r>
        <w:rPr>
          <w:spacing w:val="-10"/>
        </w:rPr>
        <w:t> </w:t>
      </w:r>
      <w:r>
        <w:rPr/>
        <w:t>material</w:t>
      </w:r>
      <w:r>
        <w:rPr>
          <w:spacing w:val="-57"/>
        </w:rPr>
        <w:t> </w:t>
      </w:r>
      <w:r>
        <w:rPr/>
        <w:t>and</w:t>
      </w:r>
      <w:r>
        <w:rPr>
          <w:spacing w:val="-1"/>
        </w:rPr>
        <w:t> </w:t>
      </w:r>
      <w:r>
        <w:rPr/>
        <w:t>target</w:t>
      </w:r>
      <w:r>
        <w:rPr>
          <w:spacing w:val="-1"/>
        </w:rPr>
        <w:t> </w:t>
      </w:r>
      <w:r>
        <w:rPr/>
        <w:t>thickness,</w:t>
      </w:r>
      <w:r>
        <w:rPr>
          <w:spacing w:val="-1"/>
        </w:rPr>
        <w:t> </w:t>
      </w:r>
      <w:r>
        <w:rPr/>
        <w:t>different variables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equations influence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solution.</w:t>
      </w:r>
    </w:p>
    <w:p>
      <w:pPr>
        <w:pStyle w:val="BodyText"/>
        <w:spacing w:line="480" w:lineRule="auto" w:before="159"/>
        <w:ind w:left="439" w:right="257" w:firstLine="720"/>
        <w:jc w:val="both"/>
      </w:pPr>
      <w:r>
        <w:rPr/>
        <w:t>This research is limited to small-arms projectiles and a 1/2-inch sphere penetrator</w:t>
      </w:r>
      <w:r>
        <w:rPr>
          <w:spacing w:val="1"/>
        </w:rPr>
        <w:t> </w:t>
      </w:r>
      <w:r>
        <w:rPr/>
        <w:t>with the intent of investigating the material response and penetration resistance of CLT.</w:t>
      </w:r>
      <w:r>
        <w:rPr>
          <w:spacing w:val="1"/>
        </w:rPr>
        <w:t> </w:t>
      </w:r>
      <w:r>
        <w:rPr/>
        <w:t>As a composite material with multiple plies adhered together and alternating the strong</w:t>
      </w:r>
      <w:r>
        <w:rPr>
          <w:spacing w:val="1"/>
        </w:rPr>
        <w:t> </w:t>
      </w:r>
      <w:r>
        <w:rPr/>
        <w:t>axes direction, its response to a ballistic event is of interest.</w:t>
      </w:r>
      <w:r>
        <w:rPr>
          <w:spacing w:val="1"/>
        </w:rPr>
        <w:t> </w:t>
      </w:r>
      <w:r>
        <w:rPr/>
        <w:t>The propagation of the shock</w:t>
      </w:r>
      <w:r>
        <w:rPr>
          <w:spacing w:val="-57"/>
        </w:rPr>
        <w:t> </w:t>
      </w:r>
      <w:r>
        <w:rPr/>
        <w:t>waves</w:t>
      </w:r>
      <w:r>
        <w:rPr>
          <w:spacing w:val="1"/>
        </w:rPr>
        <w:t> </w:t>
      </w:r>
      <w:r>
        <w:rPr/>
        <w:t>of such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impulsive load may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interrupted,</w:t>
      </w:r>
      <w:r>
        <w:rPr>
          <w:spacing w:val="1"/>
        </w:rPr>
        <w:t> </w:t>
      </w:r>
      <w:r>
        <w:rPr/>
        <w:t>or at least</w:t>
      </w:r>
      <w:r>
        <w:rPr>
          <w:spacing w:val="1"/>
        </w:rPr>
        <w:t> </w:t>
      </w:r>
      <w:r>
        <w:rPr/>
        <w:t>influenced,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anisotropy</w:t>
      </w:r>
      <w:r>
        <w:rPr>
          <w:spacing w:val="-1"/>
        </w:rPr>
        <w:t> </w:t>
      </w:r>
      <w:r>
        <w:rPr/>
        <w:t>and inhomogeneity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material as</w:t>
      </w:r>
      <w:r>
        <w:rPr>
          <w:spacing w:val="-1"/>
        </w:rPr>
        <w:t> </w:t>
      </w:r>
      <w:r>
        <w:rPr/>
        <w:t>has</w:t>
      </w:r>
      <w:r>
        <w:rPr>
          <w:spacing w:val="-1"/>
        </w:rPr>
        <w:t> </w:t>
      </w:r>
      <w:r>
        <w:rPr/>
        <w:t>been seen</w:t>
      </w:r>
      <w:r>
        <w:rPr>
          <w:spacing w:val="-1"/>
        </w:rPr>
        <w:t> </w:t>
      </w:r>
      <w:r>
        <w:rPr/>
        <w:t>in composites</w:t>
      </w:r>
      <w:r>
        <w:rPr>
          <w:spacing w:val="-1"/>
        </w:rPr>
        <w:t> </w:t>
      </w:r>
      <w:r>
        <w:rPr/>
        <w:t>[85].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spacing w:before="60"/>
        <w:ind w:left="98" w:right="0" w:firstLine="0"/>
        <w:jc w:val="center"/>
        <w:rPr>
          <w:b/>
          <w:sz w:val="28"/>
        </w:rPr>
      </w:pPr>
      <w:bookmarkStart w:name="Chapter 4" w:id="176"/>
      <w:bookmarkEnd w:id="176"/>
      <w:r>
        <w:rPr/>
      </w:r>
      <w:r>
        <w:rPr>
          <w:b/>
          <w:sz w:val="28"/>
        </w:rPr>
        <w:t>CHAPTER</w:t>
      </w:r>
      <w:r>
        <w:rPr>
          <w:b/>
          <w:spacing w:val="-7"/>
          <w:sz w:val="28"/>
        </w:rPr>
        <w:t> </w:t>
      </w:r>
      <w:r>
        <w:rPr>
          <w:b/>
          <w:sz w:val="28"/>
        </w:rPr>
        <w:t>4</w:t>
      </w:r>
    </w:p>
    <w:p>
      <w:pPr>
        <w:spacing w:before="26"/>
        <w:ind w:left="181" w:right="0" w:firstLine="0"/>
        <w:jc w:val="center"/>
        <w:rPr>
          <w:b/>
          <w:sz w:val="28"/>
        </w:rPr>
      </w:pPr>
      <w:r>
        <w:rPr>
          <w:b/>
          <w:sz w:val="28"/>
        </w:rPr>
        <w:t>WOOD PROPERTIES AND THEIR LIKELY ROLES IN BALLISTIC</w:t>
      </w:r>
      <w:r>
        <w:rPr>
          <w:b/>
          <w:spacing w:val="-68"/>
          <w:sz w:val="28"/>
        </w:rPr>
        <w:t> </w:t>
      </w:r>
      <w:r>
        <w:rPr>
          <w:b/>
          <w:sz w:val="28"/>
        </w:rPr>
        <w:t>PENETRATION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AND BLAST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PERFORMANCE</w:t>
      </w: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spacing w:before="8"/>
        <w:rPr>
          <w:b/>
          <w:sz w:val="23"/>
        </w:rPr>
      </w:pPr>
    </w:p>
    <w:p>
      <w:pPr>
        <w:pStyle w:val="BodyText"/>
        <w:spacing w:line="480" w:lineRule="auto" w:before="1"/>
        <w:ind w:left="439" w:right="294" w:firstLine="720"/>
      </w:pPr>
      <w:r>
        <w:rPr/>
        <w:t>The purpose of this chapter is to discuss specific wood properties within the</w:t>
      </w:r>
      <w:r>
        <w:rPr>
          <w:spacing w:val="1"/>
        </w:rPr>
        <w:t> </w:t>
      </w:r>
      <w:r>
        <w:rPr/>
        <w:t>context of how the material’s performance with respect to ballistic penetration and blast</w:t>
      </w:r>
      <w:r>
        <w:rPr>
          <w:spacing w:val="1"/>
        </w:rPr>
        <w:t> </w:t>
      </w:r>
      <w:r>
        <w:rPr/>
        <w:t>loading response is influenced in a composite panel.</w:t>
      </w:r>
      <w:r>
        <w:rPr>
          <w:spacing w:val="1"/>
        </w:rPr>
        <w:t> </w:t>
      </w:r>
      <w:r>
        <w:rPr/>
        <w:t>This chapter presents a background</w:t>
      </w:r>
      <w:r>
        <w:rPr>
          <w:spacing w:val="1"/>
        </w:rPr>
        <w:t> </w:t>
      </w:r>
      <w:r>
        <w:rPr/>
        <w:t>on wood properties; the historic use of wood against impact threats; development,</w:t>
      </w:r>
      <w:r>
        <w:rPr>
          <w:spacing w:val="1"/>
        </w:rPr>
        <w:t> </w:t>
      </w:r>
      <w:r>
        <w:rPr/>
        <w:t>fabrication, and testing of Southern Yellow Pine CLT; wood hardness testing of CLT</w:t>
      </w:r>
      <w:r>
        <w:rPr>
          <w:spacing w:val="1"/>
        </w:rPr>
        <w:t> </w:t>
      </w:r>
      <w:r>
        <w:rPr/>
        <w:t>panels;</w:t>
      </w:r>
      <w:r>
        <w:rPr>
          <w:spacing w:val="-1"/>
        </w:rPr>
        <w:t> </w:t>
      </w:r>
      <w:r>
        <w:rPr/>
        <w:t>shear</w:t>
      </w:r>
      <w:r>
        <w:rPr>
          <w:spacing w:val="-1"/>
        </w:rPr>
        <w:t> </w:t>
      </w:r>
      <w:r>
        <w:rPr/>
        <w:t>behavior</w:t>
      </w:r>
      <w:r>
        <w:rPr>
          <w:spacing w:val="-1"/>
        </w:rPr>
        <w:t> </w:t>
      </w:r>
      <w:r>
        <w:rPr/>
        <w:t>in</w:t>
      </w:r>
      <w:r>
        <w:rPr>
          <w:spacing w:val="-3"/>
        </w:rPr>
        <w:t> </w:t>
      </w:r>
      <w:r>
        <w:rPr/>
        <w:t>wood,</w:t>
      </w:r>
      <w:r>
        <w:rPr>
          <w:spacing w:val="-1"/>
        </w:rPr>
        <w:t> </w:t>
      </w:r>
      <w:r>
        <w:rPr/>
        <w:t>CLT</w:t>
      </w:r>
      <w:r>
        <w:rPr>
          <w:spacing w:val="-1"/>
        </w:rPr>
        <w:t> </w:t>
      </w:r>
      <w:r>
        <w:rPr/>
        <w:t>panels,</w:t>
      </w:r>
      <w:r>
        <w:rPr>
          <w:spacing w:val="-1"/>
        </w:rPr>
        <w:t> </w:t>
      </w:r>
      <w:r>
        <w:rPr/>
        <w:t>and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shear</w:t>
      </w:r>
      <w:r>
        <w:rPr>
          <w:spacing w:val="-2"/>
        </w:rPr>
        <w:t> </w:t>
      </w:r>
      <w:r>
        <w:rPr/>
        <w:t>analogy</w:t>
      </w:r>
      <w:r>
        <w:rPr>
          <w:spacing w:val="-1"/>
        </w:rPr>
        <w:t> </w:t>
      </w:r>
      <w:r>
        <w:rPr/>
        <w:t>method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composite</w:t>
      </w:r>
      <w:r>
        <w:rPr>
          <w:spacing w:val="-57"/>
        </w:rPr>
        <w:t> </w:t>
      </w:r>
      <w:r>
        <w:rPr/>
        <w:t>panels;</w:t>
      </w:r>
      <w:r>
        <w:rPr>
          <w:spacing w:val="-1"/>
        </w:rPr>
        <w:t> </w:t>
      </w:r>
      <w:r>
        <w:rPr/>
        <w:t>and the behavior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wood at high strain</w:t>
      </w:r>
      <w:r>
        <w:rPr>
          <w:spacing w:val="-2"/>
        </w:rPr>
        <w:t> </w:t>
      </w:r>
      <w:r>
        <w:rPr/>
        <w:t>rates.</w:t>
      </w:r>
    </w:p>
    <w:p>
      <w:pPr>
        <w:pStyle w:val="Heading9"/>
        <w:numPr>
          <w:ilvl w:val="1"/>
          <w:numId w:val="19"/>
        </w:numPr>
        <w:tabs>
          <w:tab w:pos="800" w:val="left" w:leader="none"/>
        </w:tabs>
        <w:spacing w:line="240" w:lineRule="auto" w:before="162" w:after="0"/>
        <w:ind w:left="800" w:right="0" w:hanging="361"/>
        <w:jc w:val="left"/>
      </w:pPr>
      <w:bookmarkStart w:name="_TOC_250045" w:id="177"/>
      <w:bookmarkStart w:name="4.1 Background on wood properties" w:id="178"/>
      <w:r>
        <w:rPr>
          <w:b w:val="0"/>
        </w:rPr>
      </w:r>
      <w:bookmarkEnd w:id="178"/>
      <w:bookmarkStart w:name="4.1 Background on wood properties" w:id="179"/>
      <w:r>
        <w:rPr/>
        <w:t>B</w:t>
      </w:r>
      <w:r>
        <w:rPr/>
        <w:t>ackground</w:t>
      </w:r>
      <w:r>
        <w:rPr>
          <w:spacing w:val="-5"/>
        </w:rPr>
        <w:t> </w:t>
      </w:r>
      <w:r>
        <w:rPr/>
        <w:t>on</w:t>
      </w:r>
      <w:r>
        <w:rPr>
          <w:spacing w:val="-3"/>
        </w:rPr>
        <w:t> </w:t>
      </w:r>
      <w:r>
        <w:rPr/>
        <w:t>wood</w:t>
      </w:r>
      <w:r>
        <w:rPr>
          <w:spacing w:val="-4"/>
        </w:rPr>
        <w:t> </w:t>
      </w:r>
      <w:bookmarkEnd w:id="177"/>
      <w:r>
        <w:rPr/>
        <w:t>properties</w:t>
      </w:r>
    </w:p>
    <w:p>
      <w:pPr>
        <w:pStyle w:val="BodyText"/>
        <w:spacing w:before="2"/>
        <w:rPr>
          <w:b/>
          <w:sz w:val="22"/>
        </w:rPr>
      </w:pPr>
    </w:p>
    <w:p>
      <w:pPr>
        <w:pStyle w:val="BodyText"/>
        <w:spacing w:line="480" w:lineRule="auto"/>
        <w:ind w:left="439" w:right="257" w:firstLine="720"/>
        <w:jc w:val="both"/>
      </w:pPr>
      <w:r>
        <w:rPr/>
        <w:t>Wood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natural</w:t>
      </w:r>
      <w:r>
        <w:rPr>
          <w:spacing w:val="1"/>
        </w:rPr>
        <w:t> </w:t>
      </w:r>
      <w:r>
        <w:rPr/>
        <w:t>material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higher</w:t>
      </w:r>
      <w:r>
        <w:rPr>
          <w:spacing w:val="1"/>
        </w:rPr>
        <w:t> </w:t>
      </w:r>
      <w:r>
        <w:rPr/>
        <w:t>variability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complex</w:t>
      </w:r>
      <w:r>
        <w:rPr>
          <w:spacing w:val="1"/>
        </w:rPr>
        <w:t> </w:t>
      </w:r>
      <w:r>
        <w:rPr/>
        <w:t>microstructure than most man-made structural materials.</w:t>
      </w:r>
      <w:r>
        <w:rPr>
          <w:spacing w:val="1"/>
        </w:rPr>
        <w:t> </w:t>
      </w:r>
      <w:r>
        <w:rPr/>
        <w:t>One highly relevant property of</w:t>
      </w:r>
      <w:r>
        <w:rPr>
          <w:spacing w:val="-57"/>
        </w:rPr>
        <w:t> </w:t>
      </w:r>
      <w:r>
        <w:rPr/>
        <w:t>wood is its anisotropic nature. The material has different properties in different directions</w:t>
      </w:r>
      <w:r>
        <w:rPr>
          <w:spacing w:val="-57"/>
        </w:rPr>
        <w:t> </w:t>
      </w:r>
      <w:r>
        <w:rPr/>
        <w:t>relative to the direction of tree growth.</w:t>
      </w:r>
      <w:r>
        <w:rPr>
          <w:spacing w:val="1"/>
        </w:rPr>
        <w:t> </w:t>
      </w:r>
      <w:r>
        <w:rPr/>
        <w:t>The highest structural properties are aligned with</w:t>
      </w:r>
      <w:r>
        <w:rPr>
          <w:spacing w:val="1"/>
        </w:rPr>
        <w:t> </w:t>
      </w:r>
      <w:r>
        <w:rPr/>
        <w:t>the longitudinal axis of the tree.</w:t>
      </w:r>
      <w:r>
        <w:rPr>
          <w:spacing w:val="1"/>
        </w:rPr>
        <w:t> </w:t>
      </w:r>
      <w:r>
        <w:rPr/>
        <w:t>At the micro-scale, sawn wood timber is described as</w:t>
      </w:r>
      <w:r>
        <w:rPr>
          <w:spacing w:val="1"/>
        </w:rPr>
        <w:t> </w:t>
      </w:r>
      <w:r>
        <w:rPr/>
        <w:t>having longitudinal, radial and tangential properties, coinciding with the growth direction</w:t>
      </w:r>
      <w:r>
        <w:rPr>
          <w:spacing w:val="-57"/>
        </w:rPr>
        <w:t> </w:t>
      </w:r>
      <w:r>
        <w:rPr/>
        <w:t>of the tree. For sawn timber, it is generally too difficult to assess the difference between</w:t>
      </w:r>
      <w:r>
        <w:rPr>
          <w:spacing w:val="1"/>
        </w:rPr>
        <w:t> </w:t>
      </w:r>
      <w:r>
        <w:rPr>
          <w:spacing w:val="-1"/>
        </w:rPr>
        <w:t>properties</w:t>
      </w:r>
      <w:r>
        <w:rPr>
          <w:spacing w:val="-15"/>
        </w:rPr>
        <w:t> </w:t>
      </w:r>
      <w:r>
        <w:rPr>
          <w:spacing w:val="-1"/>
        </w:rPr>
        <w:t>in</w:t>
      </w:r>
      <w:r>
        <w:rPr>
          <w:spacing w:val="-15"/>
        </w:rPr>
        <w:t> </w:t>
      </w:r>
      <w:r>
        <w:rPr>
          <w:spacing w:val="-1"/>
        </w:rPr>
        <w:t>the</w:t>
      </w:r>
      <w:r>
        <w:rPr>
          <w:spacing w:val="-13"/>
        </w:rPr>
        <w:t> </w:t>
      </w:r>
      <w:r>
        <w:rPr/>
        <w:t>radial</w:t>
      </w:r>
      <w:r>
        <w:rPr>
          <w:spacing w:val="-13"/>
        </w:rPr>
        <w:t> </w:t>
      </w:r>
      <w:r>
        <w:rPr/>
        <w:t>and</w:t>
      </w:r>
      <w:r>
        <w:rPr>
          <w:spacing w:val="-14"/>
        </w:rPr>
        <w:t> </w:t>
      </w:r>
      <w:r>
        <w:rPr/>
        <w:t>tangential</w:t>
      </w:r>
      <w:r>
        <w:rPr>
          <w:spacing w:val="-14"/>
        </w:rPr>
        <w:t> </w:t>
      </w:r>
      <w:r>
        <w:rPr/>
        <w:t>directions.</w:t>
      </w:r>
      <w:r>
        <w:rPr>
          <w:spacing w:val="32"/>
        </w:rPr>
        <w:t> </w:t>
      </w:r>
      <w:r>
        <w:rPr/>
        <w:t>Instead,</w:t>
      </w:r>
      <w:r>
        <w:rPr>
          <w:spacing w:val="-14"/>
        </w:rPr>
        <w:t> </w:t>
      </w:r>
      <w:r>
        <w:rPr/>
        <w:t>these</w:t>
      </w:r>
      <w:r>
        <w:rPr>
          <w:spacing w:val="-15"/>
        </w:rPr>
        <w:t> </w:t>
      </w:r>
      <w:r>
        <w:rPr/>
        <w:t>properties</w:t>
      </w:r>
      <w:r>
        <w:rPr>
          <w:spacing w:val="-13"/>
        </w:rPr>
        <w:t> </w:t>
      </w:r>
      <w:r>
        <w:rPr/>
        <w:t>are</w:t>
      </w:r>
      <w:r>
        <w:rPr>
          <w:spacing w:val="-13"/>
        </w:rPr>
        <w:t> </w:t>
      </w:r>
      <w:r>
        <w:rPr/>
        <w:t>homogenized</w:t>
      </w:r>
      <w:r>
        <w:rPr>
          <w:spacing w:val="-57"/>
        </w:rPr>
        <w:t> </w:t>
      </w:r>
      <w:r>
        <w:rPr/>
        <w:t>in the test data and the properties of the wood are given in the longitudinal and transverse</w:t>
      </w:r>
      <w:r>
        <w:rPr>
          <w:spacing w:val="-57"/>
        </w:rPr>
        <w:t> </w:t>
      </w:r>
      <w:r>
        <w:rPr/>
        <w:t>directions.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wood</w:t>
      </w:r>
      <w:r>
        <w:rPr>
          <w:spacing w:val="-6"/>
        </w:rPr>
        <w:t> </w:t>
      </w:r>
      <w:r>
        <w:rPr/>
        <w:t>is</w:t>
      </w:r>
      <w:r>
        <w:rPr>
          <w:spacing w:val="-7"/>
        </w:rPr>
        <w:t> </w:t>
      </w:r>
      <w:r>
        <w:rPr/>
        <w:t>therefore</w:t>
      </w:r>
      <w:r>
        <w:rPr>
          <w:spacing w:val="-6"/>
        </w:rPr>
        <w:t> </w:t>
      </w:r>
      <w:r>
        <w:rPr/>
        <w:t>treated</w:t>
      </w:r>
      <w:r>
        <w:rPr>
          <w:spacing w:val="-6"/>
        </w:rPr>
        <w:t> </w:t>
      </w:r>
      <w:r>
        <w:rPr/>
        <w:t>as</w:t>
      </w:r>
      <w:r>
        <w:rPr>
          <w:spacing w:val="-7"/>
        </w:rPr>
        <w:t> </w:t>
      </w:r>
      <w:r>
        <w:rPr/>
        <w:t>transversely</w:t>
      </w:r>
      <w:r>
        <w:rPr>
          <w:spacing w:val="-7"/>
        </w:rPr>
        <w:t> </w:t>
      </w:r>
      <w:r>
        <w:rPr/>
        <w:t>isotropic,</w:t>
      </w:r>
      <w:r>
        <w:rPr>
          <w:spacing w:val="-6"/>
        </w:rPr>
        <w:t> </w:t>
      </w:r>
      <w:r>
        <w:rPr/>
        <w:t>where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first</w:t>
      </w:r>
      <w:r>
        <w:rPr>
          <w:spacing w:val="-6"/>
        </w:rPr>
        <w:t> </w:t>
      </w:r>
      <w:r>
        <w:rPr/>
        <w:t>principle</w:t>
      </w:r>
      <w:r>
        <w:rPr>
          <w:spacing w:val="-57"/>
        </w:rPr>
        <w:t> </w:t>
      </w:r>
      <w:r>
        <w:rPr/>
        <w:t>stress direction corresponds to the material properties of the growth direction of the tree</w:t>
      </w:r>
      <w:r>
        <w:rPr>
          <w:spacing w:val="1"/>
        </w:rPr>
        <w:t> </w:t>
      </w:r>
      <w:r>
        <w:rPr/>
        <w:t>and</w:t>
      </w:r>
      <w:r>
        <w:rPr>
          <w:spacing w:val="8"/>
        </w:rPr>
        <w:t> </w:t>
      </w:r>
      <w:r>
        <w:rPr/>
        <w:t>the</w:t>
      </w:r>
      <w:r>
        <w:rPr>
          <w:spacing w:val="10"/>
        </w:rPr>
        <w:t> </w:t>
      </w:r>
      <w:r>
        <w:rPr/>
        <w:t>second</w:t>
      </w:r>
      <w:r>
        <w:rPr>
          <w:spacing w:val="9"/>
        </w:rPr>
        <w:t> </w:t>
      </w:r>
      <w:r>
        <w:rPr/>
        <w:t>and</w:t>
      </w:r>
      <w:r>
        <w:rPr>
          <w:spacing w:val="8"/>
        </w:rPr>
        <w:t> </w:t>
      </w:r>
      <w:r>
        <w:rPr/>
        <w:t>third</w:t>
      </w:r>
      <w:r>
        <w:rPr>
          <w:spacing w:val="8"/>
        </w:rPr>
        <w:t> </w:t>
      </w:r>
      <w:r>
        <w:rPr/>
        <w:t>principle</w:t>
      </w:r>
      <w:r>
        <w:rPr>
          <w:spacing w:val="10"/>
        </w:rPr>
        <w:t> </w:t>
      </w:r>
      <w:r>
        <w:rPr/>
        <w:t>stress</w:t>
      </w:r>
      <w:r>
        <w:rPr>
          <w:spacing w:val="10"/>
        </w:rPr>
        <w:t> </w:t>
      </w:r>
      <w:r>
        <w:rPr/>
        <w:t>directions</w:t>
      </w:r>
      <w:r>
        <w:rPr>
          <w:spacing w:val="9"/>
        </w:rPr>
        <w:t> </w:t>
      </w:r>
      <w:r>
        <w:rPr/>
        <w:t>are</w:t>
      </w:r>
      <w:r>
        <w:rPr>
          <w:spacing w:val="10"/>
        </w:rPr>
        <w:t> </w:t>
      </w:r>
      <w:r>
        <w:rPr/>
        <w:t>considered</w:t>
      </w:r>
      <w:r>
        <w:rPr>
          <w:spacing w:val="9"/>
        </w:rPr>
        <w:t> </w:t>
      </w:r>
      <w:r>
        <w:rPr/>
        <w:t>to</w:t>
      </w:r>
      <w:r>
        <w:rPr>
          <w:spacing w:val="8"/>
        </w:rPr>
        <w:t> </w:t>
      </w:r>
      <w:r>
        <w:rPr/>
        <w:t>have</w:t>
      </w:r>
      <w:r>
        <w:rPr>
          <w:spacing w:val="10"/>
        </w:rPr>
        <w:t> </w:t>
      </w:r>
      <w:r>
        <w:rPr/>
        <w:t>equal</w:t>
      </w:r>
      <w:r>
        <w:rPr>
          <w:spacing w:val="10"/>
        </w:rPr>
        <w:t> </w:t>
      </w:r>
      <w:r>
        <w:rPr/>
        <w:t>material</w:t>
      </w:r>
    </w:p>
    <w:p>
      <w:pPr>
        <w:spacing w:after="0" w:line="480" w:lineRule="auto"/>
        <w:jc w:val="both"/>
        <w:sectPr>
          <w:pgSz w:w="12240" w:h="15840"/>
          <w:pgMar w:header="0" w:footer="1064" w:top="1380" w:bottom="1260" w:left="1720" w:right="1180"/>
        </w:sectPr>
      </w:pPr>
    </w:p>
    <w:p>
      <w:pPr>
        <w:pStyle w:val="BodyText"/>
        <w:spacing w:line="480" w:lineRule="auto" w:before="78"/>
        <w:ind w:left="440" w:right="257"/>
        <w:jc w:val="both"/>
      </w:pPr>
      <w:r>
        <w:rPr/>
        <w:t>properties but different than that of the first principal stress. The directional properties of</w:t>
      </w:r>
      <w:r>
        <w:rPr>
          <w:spacing w:val="1"/>
        </w:rPr>
        <w:t> </w:t>
      </w:r>
      <w:r>
        <w:rPr/>
        <w:t>wood are exploited in CLT because the orthogonal orientation of the alternating layers</w:t>
      </w:r>
      <w:r>
        <w:rPr>
          <w:spacing w:val="1"/>
        </w:rPr>
        <w:t> </w:t>
      </w:r>
      <w:r>
        <w:rPr/>
        <w:t>changes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overall strength and stiffness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 panel.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/>
        <w:ind w:left="439" w:right="256" w:firstLine="720"/>
        <w:jc w:val="both"/>
      </w:pPr>
      <w:r>
        <w:rPr/>
        <w:t>In</w:t>
      </w:r>
      <w:r>
        <w:rPr>
          <w:spacing w:val="-7"/>
        </w:rPr>
        <w:t> </w:t>
      </w:r>
      <w:r>
        <w:rPr/>
        <w:t>addition,</w:t>
      </w:r>
      <w:r>
        <w:rPr>
          <w:spacing w:val="-9"/>
        </w:rPr>
        <w:t> </w:t>
      </w:r>
      <w:r>
        <w:rPr/>
        <w:t>wood</w:t>
      </w:r>
      <w:r>
        <w:rPr>
          <w:spacing w:val="-7"/>
        </w:rPr>
        <w:t> </w:t>
      </w:r>
      <w:r>
        <w:rPr/>
        <w:t>exhibits</w:t>
      </w:r>
      <w:r>
        <w:rPr>
          <w:spacing w:val="-7"/>
        </w:rPr>
        <w:t> </w:t>
      </w:r>
      <w:r>
        <w:rPr/>
        <w:t>high</w:t>
      </w:r>
      <w:r>
        <w:rPr>
          <w:spacing w:val="-7"/>
        </w:rPr>
        <w:t> </w:t>
      </w:r>
      <w:r>
        <w:rPr/>
        <w:t>variability</w:t>
      </w:r>
      <w:r>
        <w:rPr>
          <w:spacing w:val="-7"/>
        </w:rPr>
        <w:t> </w:t>
      </w:r>
      <w:r>
        <w:rPr/>
        <w:t>between</w:t>
      </w:r>
      <w:r>
        <w:rPr>
          <w:spacing w:val="-7"/>
        </w:rPr>
        <w:t> </w:t>
      </w:r>
      <w:r>
        <w:rPr/>
        <w:t>species</w:t>
      </w:r>
      <w:r>
        <w:rPr>
          <w:spacing w:val="46"/>
        </w:rPr>
        <w:t> </w:t>
      </w:r>
      <w:r>
        <w:rPr/>
        <w:t>and</w:t>
      </w:r>
      <w:r>
        <w:rPr>
          <w:spacing w:val="-7"/>
        </w:rPr>
        <w:t> </w:t>
      </w:r>
      <w:r>
        <w:rPr/>
        <w:t>between</w:t>
      </w:r>
      <w:r>
        <w:rPr>
          <w:spacing w:val="-9"/>
        </w:rPr>
        <w:t> </w:t>
      </w:r>
      <w:r>
        <w:rPr/>
        <w:t>wood</w:t>
      </w:r>
      <w:r>
        <w:rPr>
          <w:spacing w:val="-7"/>
        </w:rPr>
        <w:t> </w:t>
      </w:r>
      <w:r>
        <w:rPr/>
        <w:t>lots</w:t>
      </w:r>
      <w:r>
        <w:rPr>
          <w:spacing w:val="-58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same</w:t>
      </w:r>
      <w:r>
        <w:rPr>
          <w:spacing w:val="-11"/>
        </w:rPr>
        <w:t> </w:t>
      </w:r>
      <w:r>
        <w:rPr/>
        <w:t>species.</w:t>
      </w:r>
      <w:r>
        <w:rPr>
          <w:spacing w:val="37"/>
        </w:rPr>
        <w:t> </w:t>
      </w:r>
      <w:r>
        <w:rPr/>
        <w:t>The</w:t>
      </w:r>
      <w:r>
        <w:rPr>
          <w:spacing w:val="-12"/>
        </w:rPr>
        <w:t> </w:t>
      </w:r>
      <w:r>
        <w:rPr/>
        <w:t>variations</w:t>
      </w:r>
      <w:r>
        <w:rPr>
          <w:spacing w:val="-11"/>
        </w:rPr>
        <w:t> </w:t>
      </w:r>
      <w:r>
        <w:rPr/>
        <w:t>in</w:t>
      </w:r>
      <w:r>
        <w:rPr>
          <w:spacing w:val="-10"/>
        </w:rPr>
        <w:t> </w:t>
      </w:r>
      <w:r>
        <w:rPr/>
        <w:t>wood</w:t>
      </w:r>
      <w:r>
        <w:rPr>
          <w:spacing w:val="38"/>
        </w:rPr>
        <w:t> </w:t>
      </w:r>
      <w:r>
        <w:rPr/>
        <w:t>are</w:t>
      </w:r>
      <w:r>
        <w:rPr>
          <w:spacing w:val="-12"/>
        </w:rPr>
        <w:t> </w:t>
      </w:r>
      <w:r>
        <w:rPr/>
        <w:t>even</w:t>
      </w:r>
      <w:r>
        <w:rPr>
          <w:spacing w:val="-11"/>
        </w:rPr>
        <w:t> </w:t>
      </w:r>
      <w:r>
        <w:rPr/>
        <w:t>greater</w:t>
      </w:r>
      <w:r>
        <w:rPr>
          <w:spacing w:val="-12"/>
        </w:rPr>
        <w:t> </w:t>
      </w:r>
      <w:r>
        <w:rPr/>
        <w:t>due</w:t>
      </w:r>
      <w:r>
        <w:rPr>
          <w:spacing w:val="-11"/>
        </w:rPr>
        <w:t> </w:t>
      </w:r>
      <w:r>
        <w:rPr/>
        <w:t>to</w:t>
      </w:r>
      <w:r>
        <w:rPr>
          <w:spacing w:val="-11"/>
        </w:rPr>
        <w:t> </w:t>
      </w:r>
      <w:r>
        <w:rPr/>
        <w:t>the</w:t>
      </w:r>
      <w:r>
        <w:rPr>
          <w:spacing w:val="-10"/>
        </w:rPr>
        <w:t> </w:t>
      </w:r>
      <w:r>
        <w:rPr/>
        <w:t>presence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defects</w:t>
      </w:r>
      <w:r>
        <w:rPr>
          <w:spacing w:val="-58"/>
        </w:rPr>
        <w:t> </w:t>
      </w:r>
      <w:r>
        <w:rPr/>
        <w:t>like knots or checking, as well as dimensional instabilities like cupping or warping. These</w:t>
      </w:r>
      <w:r>
        <w:rPr>
          <w:spacing w:val="-57"/>
        </w:rPr>
        <w:t> </w:t>
      </w:r>
      <w:r>
        <w:rPr/>
        <w:t>variations are important to note in the context of experimental characterization of the</w:t>
      </w:r>
      <w:r>
        <w:rPr>
          <w:spacing w:val="1"/>
        </w:rPr>
        <w:t> </w:t>
      </w:r>
      <w:r>
        <w:rPr/>
        <w:t>material and its structural properties.</w:t>
      </w:r>
      <w:r>
        <w:rPr>
          <w:spacing w:val="1"/>
        </w:rPr>
        <w:t> </w:t>
      </w:r>
      <w:r>
        <w:rPr/>
        <w:t>The nature of wood and its flaws provide a partial</w:t>
      </w:r>
      <w:r>
        <w:rPr>
          <w:spacing w:val="1"/>
        </w:rPr>
        <w:t> </w:t>
      </w:r>
      <w:r>
        <w:rPr/>
        <w:t>explanation for variability in test results and tend to raise the number of required tests to</w:t>
      </w:r>
      <w:r>
        <w:rPr>
          <w:spacing w:val="1"/>
        </w:rPr>
        <w:t> </w:t>
      </w:r>
      <w:r>
        <w:rPr/>
        <w:t>achieve reliable characteristic values of engineering properties.</w:t>
      </w:r>
      <w:r>
        <w:rPr>
          <w:spacing w:val="1"/>
        </w:rPr>
        <w:t> </w:t>
      </w:r>
      <w:r>
        <w:rPr/>
        <w:t>Average coefficients of</w:t>
      </w:r>
      <w:r>
        <w:rPr>
          <w:spacing w:val="1"/>
        </w:rPr>
        <w:t> </w:t>
      </w:r>
      <w:r>
        <w:rPr/>
        <w:t>variation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wood products are shown in </w:t>
      </w:r>
      <w:hyperlink w:history="true" w:anchor="_bookmark23">
        <w:r>
          <w:rPr/>
          <w:t>Table 4-1</w:t>
        </w:r>
      </w:hyperlink>
      <w:r>
        <w:rPr/>
        <w:t>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/>
        <w:ind w:left="440" w:right="257" w:firstLine="720"/>
        <w:jc w:val="both"/>
      </w:pPr>
      <w:r>
        <w:rPr/>
        <w:t>Comparatively,</w:t>
      </w:r>
      <w:r>
        <w:rPr>
          <w:spacing w:val="-8"/>
        </w:rPr>
        <w:t> </w:t>
      </w:r>
      <w:r>
        <w:rPr/>
        <w:t>coefficients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variation</w:t>
      </w:r>
      <w:r>
        <w:rPr>
          <w:spacing w:val="-8"/>
        </w:rPr>
        <w:t> </w:t>
      </w:r>
      <w:r>
        <w:rPr/>
        <w:t>for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in-place</w:t>
      </w:r>
      <w:r>
        <w:rPr>
          <w:spacing w:val="-8"/>
        </w:rPr>
        <w:t> </w:t>
      </w:r>
      <w:r>
        <w:rPr/>
        <w:t>strength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concrete</w:t>
      </w:r>
      <w:r>
        <w:rPr>
          <w:spacing w:val="-8"/>
        </w:rPr>
        <w:t> </w:t>
      </w:r>
      <w:r>
        <w:rPr/>
        <w:t>due</w:t>
      </w:r>
      <w:r>
        <w:rPr>
          <w:spacing w:val="-7"/>
        </w:rPr>
        <w:t> </w:t>
      </w:r>
      <w:r>
        <w:rPr/>
        <w:t>to</w:t>
      </w:r>
      <w:r>
        <w:rPr>
          <w:spacing w:val="-58"/>
        </w:rPr>
        <w:t> </w:t>
      </w:r>
      <w:r>
        <w:rPr/>
        <w:t>batch</w:t>
      </w:r>
      <w:r>
        <w:rPr>
          <w:spacing w:val="-4"/>
        </w:rPr>
        <w:t> </w:t>
      </w:r>
      <w:r>
        <w:rPr/>
        <w:t>variation</w:t>
      </w:r>
      <w:r>
        <w:rPr>
          <w:spacing w:val="-3"/>
        </w:rPr>
        <w:t> </w:t>
      </w:r>
      <w:r>
        <w:rPr/>
        <w:t>are</w:t>
      </w:r>
      <w:r>
        <w:rPr>
          <w:spacing w:val="-3"/>
        </w:rPr>
        <w:t> </w:t>
      </w:r>
      <w:r>
        <w:rPr/>
        <w:t>estimated</w:t>
      </w:r>
      <w:r>
        <w:rPr>
          <w:spacing w:val="-3"/>
        </w:rPr>
        <w:t> </w:t>
      </w:r>
      <w:r>
        <w:rPr/>
        <w:t>as</w:t>
      </w:r>
      <w:r>
        <w:rPr>
          <w:spacing w:val="-3"/>
        </w:rPr>
        <w:t> </w:t>
      </w:r>
      <w:r>
        <w:rPr/>
        <w:t>10</w:t>
      </w:r>
      <w:r>
        <w:rPr>
          <w:spacing w:val="-3"/>
        </w:rPr>
        <w:t> </w:t>
      </w:r>
      <w:r>
        <w:rPr/>
        <w:t>percent</w:t>
      </w:r>
      <w:r>
        <w:rPr>
          <w:spacing w:val="-3"/>
        </w:rPr>
        <w:t> </w:t>
      </w:r>
      <w:r>
        <w:rPr/>
        <w:t>for</w:t>
      </w:r>
      <w:r>
        <w:rPr>
          <w:spacing w:val="-3"/>
        </w:rPr>
        <w:t> </w:t>
      </w:r>
      <w:r>
        <w:rPr/>
        <w:t>cast-in-place</w:t>
      </w:r>
      <w:r>
        <w:rPr>
          <w:spacing w:val="-2"/>
        </w:rPr>
        <w:t> </w:t>
      </w:r>
      <w:r>
        <w:rPr/>
        <w:t>construction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6</w:t>
      </w:r>
      <w:r>
        <w:rPr>
          <w:spacing w:val="-3"/>
        </w:rPr>
        <w:t> </w:t>
      </w:r>
      <w:r>
        <w:rPr/>
        <w:t>percent</w:t>
      </w:r>
      <w:r>
        <w:rPr>
          <w:spacing w:val="-3"/>
        </w:rPr>
        <w:t> </w:t>
      </w:r>
      <w:r>
        <w:rPr/>
        <w:t>for</w:t>
      </w:r>
      <w:r>
        <w:rPr>
          <w:spacing w:val="-58"/>
        </w:rPr>
        <w:t> </w:t>
      </w:r>
      <w:r>
        <w:rPr/>
        <w:t>precast construction [28].</w:t>
      </w:r>
      <w:r>
        <w:rPr>
          <w:spacing w:val="1"/>
        </w:rPr>
        <w:t> </w:t>
      </w:r>
      <w:r>
        <w:rPr/>
        <w:t>Typical coefficients of variation for the yield strength of steel</w:t>
      </w:r>
      <w:r>
        <w:rPr>
          <w:spacing w:val="1"/>
        </w:rPr>
        <w:t> </w:t>
      </w:r>
      <w:r>
        <w:rPr/>
        <w:t>range from 3 to 11 percent, and 6 to 10 percent for high strength steel, while the average</w:t>
      </w:r>
      <w:r>
        <w:rPr>
          <w:spacing w:val="1"/>
        </w:rPr>
        <w:t> </w:t>
      </w:r>
      <w:r>
        <w:rPr/>
        <w:t>coefficient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variation for</w:t>
      </w:r>
      <w:r>
        <w:rPr>
          <w:spacing w:val="-1"/>
        </w:rPr>
        <w:t> </w:t>
      </w:r>
      <w:r>
        <w:rPr/>
        <w:t>the modulus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elasticity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steel</w:t>
      </w:r>
      <w:r>
        <w:rPr>
          <w:spacing w:val="-2"/>
        </w:rPr>
        <w:t> </w:t>
      </w:r>
      <w:r>
        <w:rPr/>
        <w:t>is</w:t>
      </w:r>
      <w:r>
        <w:rPr>
          <w:spacing w:val="-1"/>
        </w:rPr>
        <w:t> </w:t>
      </w:r>
      <w:r>
        <w:rPr/>
        <w:t>under</w:t>
      </w:r>
      <w:r>
        <w:rPr>
          <w:spacing w:val="-1"/>
        </w:rPr>
        <w:t> </w:t>
      </w:r>
      <w:r>
        <w:rPr/>
        <w:t>2 percent</w:t>
      </w:r>
      <w:r>
        <w:rPr>
          <w:spacing w:val="-1"/>
        </w:rPr>
        <w:t> </w:t>
      </w:r>
      <w:r>
        <w:rPr/>
        <w:t>[60].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line="480" w:lineRule="auto"/>
        <w:ind w:left="439" w:right="257" w:firstLine="720"/>
        <w:jc w:val="both"/>
      </w:pPr>
      <w:r>
        <w:rPr/>
        <w:t>At the microscopic level, wood is comprised of wood cells that are elongated and</w:t>
      </w:r>
      <w:r>
        <w:rPr>
          <w:spacing w:val="1"/>
        </w:rPr>
        <w:t> </w:t>
      </w:r>
      <w:r>
        <w:rPr/>
        <w:t>oriented in the longitudinal direction.</w:t>
      </w:r>
      <w:r>
        <w:rPr>
          <w:spacing w:val="1"/>
        </w:rPr>
        <w:t> </w:t>
      </w:r>
      <w:r>
        <w:rPr/>
        <w:t>At this scale, the wood material itself is basically a</w:t>
      </w:r>
      <w:r>
        <w:rPr>
          <w:spacing w:val="1"/>
        </w:rPr>
        <w:t> </w:t>
      </w:r>
      <w:r>
        <w:rPr/>
        <w:t>laminate composition of the individual wood cells.</w:t>
      </w:r>
      <w:r>
        <w:rPr>
          <w:spacing w:val="1"/>
        </w:rPr>
        <w:t> </w:t>
      </w:r>
      <w:r>
        <w:rPr/>
        <w:t>Differences in the proportion and</w:t>
      </w:r>
      <w:r>
        <w:rPr>
          <w:spacing w:val="1"/>
        </w:rPr>
        <w:t> </w:t>
      </w:r>
      <w:r>
        <w:rPr/>
        <w:t>nature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cellulose,</w:t>
      </w:r>
      <w:r>
        <w:rPr>
          <w:spacing w:val="-8"/>
        </w:rPr>
        <w:t> </w:t>
      </w:r>
      <w:r>
        <w:rPr/>
        <w:t>lignin,</w:t>
      </w:r>
      <w:r>
        <w:rPr>
          <w:spacing w:val="-7"/>
        </w:rPr>
        <w:t> </w:t>
      </w:r>
      <w:r>
        <w:rPr/>
        <w:t>and</w:t>
      </w:r>
      <w:r>
        <w:rPr>
          <w:spacing w:val="-8"/>
        </w:rPr>
        <w:t> </w:t>
      </w:r>
      <w:r>
        <w:rPr/>
        <w:t>hemicelluloses</w:t>
      </w:r>
      <w:r>
        <w:rPr>
          <w:spacing w:val="-8"/>
        </w:rPr>
        <w:t> </w:t>
      </w:r>
      <w:r>
        <w:rPr/>
        <w:t>contained</w:t>
      </w:r>
      <w:r>
        <w:rPr>
          <w:spacing w:val="-8"/>
        </w:rPr>
        <w:t> </w:t>
      </w:r>
      <w:r>
        <w:rPr/>
        <w:t>within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cellular</w:t>
      </w:r>
      <w:r>
        <w:rPr>
          <w:spacing w:val="-8"/>
        </w:rPr>
        <w:t> </w:t>
      </w:r>
      <w:r>
        <w:rPr/>
        <w:t>structure</w:t>
      </w:r>
      <w:r>
        <w:rPr>
          <w:spacing w:val="-8"/>
        </w:rPr>
        <w:t> </w:t>
      </w:r>
      <w:r>
        <w:rPr/>
        <w:t>of</w:t>
      </w:r>
      <w:r>
        <w:rPr>
          <w:spacing w:val="-58"/>
        </w:rPr>
        <w:t> </w:t>
      </w:r>
      <w:r>
        <w:rPr/>
        <w:t>wood determine the properties of the wood.</w:t>
      </w:r>
      <w:r>
        <w:rPr>
          <w:spacing w:val="1"/>
        </w:rPr>
        <w:t> </w:t>
      </w:r>
      <w:r>
        <w:rPr/>
        <w:t>Hardwoods, which may be softer than some</w:t>
      </w:r>
      <w:r>
        <w:rPr>
          <w:spacing w:val="1"/>
        </w:rPr>
        <w:t> </w:t>
      </w:r>
      <w:r>
        <w:rPr/>
        <w:t>softwoods,</w:t>
      </w:r>
      <w:r>
        <w:rPr>
          <w:spacing w:val="26"/>
        </w:rPr>
        <w:t> </w:t>
      </w:r>
      <w:r>
        <w:rPr/>
        <w:t>have</w:t>
      </w:r>
      <w:r>
        <w:rPr>
          <w:spacing w:val="26"/>
        </w:rPr>
        <w:t> </w:t>
      </w:r>
      <w:r>
        <w:rPr/>
        <w:t>vessel</w:t>
      </w:r>
      <w:r>
        <w:rPr>
          <w:spacing w:val="25"/>
        </w:rPr>
        <w:t> </w:t>
      </w:r>
      <w:r>
        <w:rPr/>
        <w:t>elements</w:t>
      </w:r>
      <w:r>
        <w:rPr>
          <w:spacing w:val="28"/>
        </w:rPr>
        <w:t> </w:t>
      </w:r>
      <w:r>
        <w:rPr/>
        <w:t>or</w:t>
      </w:r>
      <w:r>
        <w:rPr>
          <w:spacing w:val="25"/>
        </w:rPr>
        <w:t> </w:t>
      </w:r>
      <w:r>
        <w:rPr/>
        <w:t>a</w:t>
      </w:r>
      <w:r>
        <w:rPr>
          <w:spacing w:val="26"/>
        </w:rPr>
        <w:t> </w:t>
      </w:r>
      <w:r>
        <w:rPr/>
        <w:t>wood</w:t>
      </w:r>
      <w:r>
        <w:rPr>
          <w:spacing w:val="26"/>
        </w:rPr>
        <w:t> </w:t>
      </w:r>
      <w:r>
        <w:rPr/>
        <w:t>cell</w:t>
      </w:r>
      <w:r>
        <w:rPr>
          <w:spacing w:val="28"/>
        </w:rPr>
        <w:t> </w:t>
      </w:r>
      <w:r>
        <w:rPr/>
        <w:t>with</w:t>
      </w:r>
      <w:r>
        <w:rPr>
          <w:spacing w:val="26"/>
        </w:rPr>
        <w:t> </w:t>
      </w:r>
      <w:r>
        <w:rPr/>
        <w:t>open</w:t>
      </w:r>
      <w:r>
        <w:rPr>
          <w:spacing w:val="25"/>
        </w:rPr>
        <w:t> </w:t>
      </w:r>
      <w:r>
        <w:rPr/>
        <w:t>ends</w:t>
      </w:r>
      <w:r>
        <w:rPr>
          <w:spacing w:val="26"/>
        </w:rPr>
        <w:t> </w:t>
      </w:r>
      <w:r>
        <w:rPr/>
        <w:t>forming</w:t>
      </w:r>
      <w:r>
        <w:rPr>
          <w:spacing w:val="27"/>
        </w:rPr>
        <w:t> </w:t>
      </w:r>
      <w:r>
        <w:rPr/>
        <w:t>a</w:t>
      </w:r>
      <w:r>
        <w:rPr>
          <w:spacing w:val="26"/>
        </w:rPr>
        <w:t> </w:t>
      </w:r>
      <w:r>
        <w:rPr/>
        <w:t>tube</w:t>
      </w:r>
      <w:r>
        <w:rPr>
          <w:spacing w:val="26"/>
        </w:rPr>
        <w:t> </w:t>
      </w:r>
      <w:r>
        <w:rPr/>
        <w:t>for</w:t>
      </w:r>
      <w:r>
        <w:rPr>
          <w:spacing w:val="27"/>
        </w:rPr>
        <w:t> </w:t>
      </w:r>
      <w:r>
        <w:rPr/>
        <w:t>the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40" w:right="257"/>
        <w:jc w:val="both"/>
      </w:pPr>
      <w:r>
        <w:rPr>
          <w:spacing w:val="-1"/>
        </w:rPr>
        <w:t>transport</w:t>
      </w:r>
      <w:r>
        <w:rPr>
          <w:spacing w:val="-14"/>
        </w:rPr>
        <w:t> </w:t>
      </w:r>
      <w:r>
        <w:rPr>
          <w:spacing w:val="-1"/>
        </w:rPr>
        <w:t>of</w:t>
      </w:r>
      <w:r>
        <w:rPr>
          <w:spacing w:val="-16"/>
        </w:rPr>
        <w:t> </w:t>
      </w:r>
      <w:r>
        <w:rPr>
          <w:spacing w:val="-1"/>
        </w:rPr>
        <w:t>water</w:t>
      </w:r>
      <w:r>
        <w:rPr>
          <w:spacing w:val="-14"/>
        </w:rPr>
        <w:t> </w:t>
      </w:r>
      <w:r>
        <w:rPr/>
        <w:t>or</w:t>
      </w:r>
      <w:r>
        <w:rPr>
          <w:spacing w:val="-14"/>
        </w:rPr>
        <w:t> </w:t>
      </w:r>
      <w:r>
        <w:rPr/>
        <w:t>sap</w:t>
      </w:r>
      <w:r>
        <w:rPr>
          <w:spacing w:val="-16"/>
        </w:rPr>
        <w:t> </w:t>
      </w:r>
      <w:r>
        <w:rPr/>
        <w:t>within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tree.</w:t>
      </w:r>
      <w:r>
        <w:rPr>
          <w:spacing w:val="31"/>
        </w:rPr>
        <w:t> </w:t>
      </w:r>
      <w:r>
        <w:rPr/>
        <w:t>In</w:t>
      </w:r>
      <w:r>
        <w:rPr>
          <w:spacing w:val="-15"/>
        </w:rPr>
        <w:t> </w:t>
      </w:r>
      <w:r>
        <w:rPr/>
        <w:t>contrast,</w:t>
      </w:r>
      <w:r>
        <w:rPr>
          <w:spacing w:val="-14"/>
        </w:rPr>
        <w:t> </w:t>
      </w:r>
      <w:r>
        <w:rPr/>
        <w:t>softwoods</w:t>
      </w:r>
      <w:r>
        <w:rPr>
          <w:spacing w:val="-15"/>
        </w:rPr>
        <w:t> </w:t>
      </w:r>
      <w:r>
        <w:rPr/>
        <w:t>have</w:t>
      </w:r>
      <w:r>
        <w:rPr>
          <w:spacing w:val="-15"/>
        </w:rPr>
        <w:t> </w:t>
      </w:r>
      <w:r>
        <w:rPr/>
        <w:t>a</w:t>
      </w:r>
      <w:r>
        <w:rPr>
          <w:spacing w:val="-15"/>
        </w:rPr>
        <w:t> </w:t>
      </w:r>
      <w:r>
        <w:rPr/>
        <w:t>simpler</w:t>
      </w:r>
      <w:r>
        <w:rPr>
          <w:spacing w:val="-14"/>
        </w:rPr>
        <w:t> </w:t>
      </w:r>
      <w:r>
        <w:rPr/>
        <w:t>cell</w:t>
      </w:r>
      <w:r>
        <w:rPr>
          <w:spacing w:val="-14"/>
        </w:rPr>
        <w:t> </w:t>
      </w:r>
      <w:r>
        <w:rPr/>
        <w:t>structure</w:t>
      </w:r>
      <w:r>
        <w:rPr>
          <w:spacing w:val="-58"/>
        </w:rPr>
        <w:t> </w:t>
      </w:r>
      <w:r>
        <w:rPr>
          <w:spacing w:val="-1"/>
        </w:rPr>
        <w:t>and</w:t>
      </w:r>
      <w:r>
        <w:rPr>
          <w:spacing w:val="-14"/>
        </w:rPr>
        <w:t> </w:t>
      </w:r>
      <w:r>
        <w:rPr>
          <w:spacing w:val="-1"/>
        </w:rPr>
        <w:t>do</w:t>
      </w:r>
      <w:r>
        <w:rPr>
          <w:spacing w:val="-14"/>
        </w:rPr>
        <w:t> </w:t>
      </w:r>
      <w:r>
        <w:rPr>
          <w:spacing w:val="-1"/>
        </w:rPr>
        <w:t>not</w:t>
      </w:r>
      <w:r>
        <w:rPr>
          <w:spacing w:val="-14"/>
        </w:rPr>
        <w:t> </w:t>
      </w:r>
      <w:r>
        <w:rPr>
          <w:spacing w:val="-1"/>
        </w:rPr>
        <w:t>have</w:t>
      </w:r>
      <w:r>
        <w:rPr>
          <w:spacing w:val="-13"/>
        </w:rPr>
        <w:t> </w:t>
      </w:r>
      <w:r>
        <w:rPr>
          <w:spacing w:val="-1"/>
        </w:rPr>
        <w:t>vessels.</w:t>
      </w:r>
      <w:r>
        <w:rPr>
          <w:spacing w:val="32"/>
        </w:rPr>
        <w:t> </w:t>
      </w:r>
      <w:r>
        <w:rPr/>
        <w:t>As</w:t>
      </w:r>
      <w:r>
        <w:rPr>
          <w:spacing w:val="-13"/>
        </w:rPr>
        <w:t> </w:t>
      </w:r>
      <w:r>
        <w:rPr/>
        <w:t>a</w:t>
      </w:r>
      <w:r>
        <w:rPr>
          <w:spacing w:val="-13"/>
        </w:rPr>
        <w:t> </w:t>
      </w:r>
      <w:r>
        <w:rPr/>
        <w:t>result,</w:t>
      </w:r>
      <w:r>
        <w:rPr>
          <w:spacing w:val="-15"/>
        </w:rPr>
        <w:t> </w:t>
      </w:r>
      <w:r>
        <w:rPr/>
        <w:t>they</w:t>
      </w:r>
      <w:r>
        <w:rPr>
          <w:spacing w:val="-13"/>
        </w:rPr>
        <w:t> </w:t>
      </w:r>
      <w:r>
        <w:rPr/>
        <w:t>are</w:t>
      </w:r>
      <w:r>
        <w:rPr>
          <w:spacing w:val="-15"/>
        </w:rPr>
        <w:t> </w:t>
      </w:r>
      <w:r>
        <w:rPr/>
        <w:t>considered</w:t>
      </w:r>
      <w:r>
        <w:rPr>
          <w:spacing w:val="-15"/>
        </w:rPr>
        <w:t> </w:t>
      </w:r>
      <w:r>
        <w:rPr/>
        <w:t>nonporous.</w:t>
      </w:r>
      <w:r>
        <w:rPr>
          <w:spacing w:val="-14"/>
        </w:rPr>
        <w:t> </w:t>
      </w:r>
      <w:r>
        <w:rPr/>
        <w:t>[96].</w:t>
      </w:r>
      <w:r>
        <w:rPr>
          <w:spacing w:val="34"/>
        </w:rPr>
        <w:t> </w:t>
      </w:r>
      <w:r>
        <w:rPr/>
        <w:t>The</w:t>
      </w:r>
      <w:r>
        <w:rPr>
          <w:spacing w:val="-13"/>
        </w:rPr>
        <w:t> </w:t>
      </w:r>
      <w:r>
        <w:rPr/>
        <w:t>key</w:t>
      </w:r>
      <w:r>
        <w:rPr>
          <w:spacing w:val="-14"/>
        </w:rPr>
        <w:t> </w:t>
      </w:r>
      <w:r>
        <w:rPr/>
        <w:t>physical</w:t>
      </w:r>
      <w:r>
        <w:rPr>
          <w:spacing w:val="-58"/>
        </w:rPr>
        <w:t> </w:t>
      </w:r>
      <w:r>
        <w:rPr/>
        <w:t>and</w:t>
      </w:r>
      <w:r>
        <w:rPr>
          <w:spacing w:val="-5"/>
        </w:rPr>
        <w:t> </w:t>
      </w:r>
      <w:r>
        <w:rPr/>
        <w:t>mechanical</w:t>
      </w:r>
      <w:r>
        <w:rPr>
          <w:spacing w:val="-3"/>
        </w:rPr>
        <w:t> </w:t>
      </w:r>
      <w:r>
        <w:rPr/>
        <w:t>properties,</w:t>
      </w:r>
      <w:r>
        <w:rPr>
          <w:spacing w:val="-5"/>
        </w:rPr>
        <w:t> </w:t>
      </w:r>
      <w:r>
        <w:rPr/>
        <w:t>such</w:t>
      </w:r>
      <w:r>
        <w:rPr>
          <w:spacing w:val="-4"/>
        </w:rPr>
        <w:t> </w:t>
      </w:r>
      <w:r>
        <w:rPr/>
        <w:t>as</w:t>
      </w:r>
      <w:r>
        <w:rPr>
          <w:spacing w:val="-5"/>
        </w:rPr>
        <w:t> </w:t>
      </w:r>
      <w:r>
        <w:rPr/>
        <w:t>density,</w:t>
      </w:r>
      <w:r>
        <w:rPr>
          <w:spacing w:val="-4"/>
        </w:rPr>
        <w:t> </w:t>
      </w:r>
      <w:r>
        <w:rPr/>
        <w:t>hardness,</w:t>
      </w:r>
      <w:r>
        <w:rPr>
          <w:spacing w:val="-5"/>
        </w:rPr>
        <w:t> </w:t>
      </w:r>
      <w:r>
        <w:rPr/>
        <w:t>flexural</w:t>
      </w:r>
      <w:r>
        <w:rPr>
          <w:spacing w:val="-5"/>
        </w:rPr>
        <w:t> </w:t>
      </w:r>
      <w:r>
        <w:rPr/>
        <w:t>modulus,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/>
        <w:t>strength,</w:t>
      </w:r>
      <w:r>
        <w:rPr>
          <w:spacing w:val="-5"/>
        </w:rPr>
        <w:t> </w:t>
      </w:r>
      <w:r>
        <w:rPr/>
        <w:t>for</w:t>
      </w:r>
      <w:r>
        <w:rPr>
          <w:spacing w:val="-3"/>
        </w:rPr>
        <w:t> </w:t>
      </w:r>
      <w:r>
        <w:rPr/>
        <w:t>a</w:t>
      </w:r>
      <w:r>
        <w:rPr>
          <w:spacing w:val="-58"/>
        </w:rPr>
        <w:t> </w:t>
      </w:r>
      <w:r>
        <w:rPr/>
        <w:t>given</w:t>
      </w:r>
      <w:r>
        <w:rPr>
          <w:spacing w:val="-1"/>
        </w:rPr>
        <w:t> </w:t>
      </w:r>
      <w:r>
        <w:rPr/>
        <w:t>wood species</w:t>
      </w:r>
      <w:r>
        <w:rPr>
          <w:spacing w:val="-1"/>
        </w:rPr>
        <w:t> </w:t>
      </w:r>
      <w:r>
        <w:rPr/>
        <w:t>are</w:t>
      </w:r>
      <w:r>
        <w:rPr>
          <w:spacing w:val="-1"/>
        </w:rPr>
        <w:t> </w:t>
      </w:r>
      <w:r>
        <w:rPr/>
        <w:t>directly</w:t>
      </w:r>
      <w:r>
        <w:rPr>
          <w:spacing w:val="-2"/>
        </w:rPr>
        <w:t> </w:t>
      </w:r>
      <w:r>
        <w:rPr/>
        <w:t>related to</w:t>
      </w:r>
      <w:r>
        <w:rPr>
          <w:spacing w:val="-1"/>
        </w:rPr>
        <w:t> </w:t>
      </w:r>
      <w:r>
        <w:rPr/>
        <w:t>the cells</w:t>
      </w:r>
      <w:r>
        <w:rPr>
          <w:spacing w:val="-1"/>
        </w:rPr>
        <w:t> </w:t>
      </w:r>
      <w:r>
        <w:rPr/>
        <w:t>that make</w:t>
      </w:r>
      <w:r>
        <w:rPr>
          <w:spacing w:val="-1"/>
        </w:rPr>
        <w:t> </w:t>
      </w:r>
      <w:r>
        <w:rPr/>
        <w:t>up the wood.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spacing w:before="231"/>
        <w:ind w:left="440" w:right="402" w:firstLine="0"/>
        <w:jc w:val="left"/>
        <w:rPr>
          <w:i/>
          <w:sz w:val="24"/>
        </w:rPr>
      </w:pPr>
      <w:bookmarkStart w:name="_bookmark23" w:id="180"/>
      <w:bookmarkEnd w:id="180"/>
      <w:r>
        <w:rPr/>
      </w:r>
      <w:r>
        <w:rPr>
          <w:i/>
          <w:sz w:val="24"/>
        </w:rPr>
        <w:t>Table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4-1.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Average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coefficients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variation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some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mechanical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properties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clear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wood,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adapted from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[96].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19"/>
        </w:rPr>
      </w:pPr>
    </w:p>
    <w:tbl>
      <w:tblPr>
        <w:tblW w:w="0" w:type="auto"/>
        <w:jc w:val="left"/>
        <w:tblInd w:w="206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80"/>
        <w:gridCol w:w="2515"/>
      </w:tblGrid>
      <w:tr>
        <w:trPr>
          <w:trHeight w:val="721" w:hRule="atLeast"/>
        </w:trPr>
        <w:tc>
          <w:tcPr>
            <w:tcW w:w="2880" w:type="dxa"/>
            <w:tcBorders>
              <w:top w:val="nil"/>
              <w:left w:val="nil"/>
            </w:tcBorders>
            <w:shd w:val="clear" w:color="auto" w:fill="C0C0C0"/>
          </w:tcPr>
          <w:p>
            <w:pPr>
              <w:pStyle w:val="TableParagraph"/>
              <w:spacing w:before="152"/>
              <w:ind w:left="998" w:right="994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Property</w:t>
            </w:r>
          </w:p>
        </w:tc>
        <w:tc>
          <w:tcPr>
            <w:tcW w:w="2515" w:type="dxa"/>
            <w:tcBorders>
              <w:top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259" w:lineRule="auto" w:before="15"/>
              <w:ind w:left="1070" w:right="72" w:hanging="986"/>
              <w:rPr>
                <w:b/>
                <w:sz w:val="22"/>
              </w:rPr>
            </w:pPr>
            <w:r>
              <w:rPr>
                <w:b/>
                <w:sz w:val="22"/>
              </w:rPr>
              <w:t>Coefficient of Variation*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(%)</w:t>
            </w:r>
          </w:p>
        </w:tc>
      </w:tr>
      <w:tr>
        <w:trPr>
          <w:trHeight w:val="315" w:hRule="atLeast"/>
        </w:trPr>
        <w:tc>
          <w:tcPr>
            <w:tcW w:w="2880" w:type="dxa"/>
            <w:tcBorders>
              <w:left w:val="nil"/>
            </w:tcBorders>
          </w:tcPr>
          <w:p>
            <w:pPr>
              <w:pStyle w:val="TableParagraph"/>
              <w:spacing w:line="234" w:lineRule="exact" w:before="61"/>
              <w:ind w:left="15"/>
              <w:rPr>
                <w:sz w:val="22"/>
              </w:rPr>
            </w:pPr>
            <w:r>
              <w:rPr>
                <w:sz w:val="22"/>
              </w:rPr>
              <w:t>Static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bending</w:t>
            </w:r>
          </w:p>
        </w:tc>
        <w:tc>
          <w:tcPr>
            <w:tcW w:w="2515" w:type="dxa"/>
            <w:tcBorders>
              <w:right w:val="nil"/>
            </w:tcBorders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15" w:hRule="atLeast"/>
        </w:trPr>
        <w:tc>
          <w:tcPr>
            <w:tcW w:w="2880" w:type="dxa"/>
            <w:tcBorders>
              <w:left w:val="nil"/>
            </w:tcBorders>
          </w:tcPr>
          <w:p>
            <w:pPr>
              <w:pStyle w:val="TableParagraph"/>
              <w:spacing w:line="234" w:lineRule="exact" w:before="61"/>
              <w:ind w:left="401"/>
              <w:rPr>
                <w:sz w:val="22"/>
              </w:rPr>
            </w:pPr>
            <w:r>
              <w:rPr>
                <w:sz w:val="22"/>
              </w:rPr>
              <w:t>Modulus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rupture</w:t>
            </w:r>
          </w:p>
        </w:tc>
        <w:tc>
          <w:tcPr>
            <w:tcW w:w="2515" w:type="dxa"/>
            <w:tcBorders>
              <w:right w:val="nil"/>
            </w:tcBorders>
          </w:tcPr>
          <w:p>
            <w:pPr>
              <w:pStyle w:val="TableParagraph"/>
              <w:spacing w:line="234" w:lineRule="exact" w:before="61"/>
              <w:ind w:left="1125" w:right="1125"/>
              <w:jc w:val="center"/>
              <w:rPr>
                <w:sz w:val="22"/>
              </w:rPr>
            </w:pPr>
            <w:r>
              <w:rPr>
                <w:sz w:val="22"/>
              </w:rPr>
              <w:t>16</w:t>
            </w:r>
          </w:p>
        </w:tc>
      </w:tr>
      <w:tr>
        <w:trPr>
          <w:trHeight w:val="315" w:hRule="atLeast"/>
        </w:trPr>
        <w:tc>
          <w:tcPr>
            <w:tcW w:w="2880" w:type="dxa"/>
            <w:tcBorders>
              <w:left w:val="nil"/>
            </w:tcBorders>
          </w:tcPr>
          <w:p>
            <w:pPr>
              <w:pStyle w:val="TableParagraph"/>
              <w:spacing w:line="234" w:lineRule="exact" w:before="61"/>
              <w:ind w:left="401"/>
              <w:rPr>
                <w:sz w:val="22"/>
              </w:rPr>
            </w:pPr>
            <w:r>
              <w:rPr>
                <w:sz w:val="22"/>
              </w:rPr>
              <w:t>Modulus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elasticity</w:t>
            </w:r>
          </w:p>
        </w:tc>
        <w:tc>
          <w:tcPr>
            <w:tcW w:w="2515" w:type="dxa"/>
            <w:tcBorders>
              <w:right w:val="nil"/>
            </w:tcBorders>
          </w:tcPr>
          <w:p>
            <w:pPr>
              <w:pStyle w:val="TableParagraph"/>
              <w:spacing w:line="234" w:lineRule="exact" w:before="61"/>
              <w:ind w:left="1125" w:right="1125"/>
              <w:jc w:val="center"/>
              <w:rPr>
                <w:sz w:val="22"/>
              </w:rPr>
            </w:pPr>
            <w:r>
              <w:rPr>
                <w:sz w:val="22"/>
              </w:rPr>
              <w:t>22</w:t>
            </w:r>
          </w:p>
        </w:tc>
      </w:tr>
      <w:tr>
        <w:trPr>
          <w:trHeight w:val="313" w:hRule="atLeast"/>
        </w:trPr>
        <w:tc>
          <w:tcPr>
            <w:tcW w:w="2880" w:type="dxa"/>
            <w:tcBorders>
              <w:left w:val="nil"/>
            </w:tcBorders>
          </w:tcPr>
          <w:p>
            <w:pPr>
              <w:pStyle w:val="TableParagraph"/>
              <w:spacing w:line="234" w:lineRule="exact" w:before="59"/>
              <w:ind w:left="15"/>
              <w:rPr>
                <w:sz w:val="22"/>
              </w:rPr>
            </w:pPr>
            <w:r>
              <w:rPr>
                <w:sz w:val="22"/>
              </w:rPr>
              <w:t>Work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maximum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load</w:t>
            </w:r>
          </w:p>
        </w:tc>
        <w:tc>
          <w:tcPr>
            <w:tcW w:w="2515" w:type="dxa"/>
            <w:tcBorders>
              <w:right w:val="nil"/>
            </w:tcBorders>
          </w:tcPr>
          <w:p>
            <w:pPr>
              <w:pStyle w:val="TableParagraph"/>
              <w:spacing w:line="234" w:lineRule="exact" w:before="59"/>
              <w:ind w:left="1125" w:right="1125"/>
              <w:jc w:val="center"/>
              <w:rPr>
                <w:sz w:val="22"/>
              </w:rPr>
            </w:pPr>
            <w:r>
              <w:rPr>
                <w:sz w:val="22"/>
              </w:rPr>
              <w:t>34</w:t>
            </w:r>
          </w:p>
        </w:tc>
      </w:tr>
      <w:tr>
        <w:trPr>
          <w:trHeight w:val="315" w:hRule="atLeast"/>
        </w:trPr>
        <w:tc>
          <w:tcPr>
            <w:tcW w:w="2880" w:type="dxa"/>
            <w:tcBorders>
              <w:left w:val="nil"/>
            </w:tcBorders>
          </w:tcPr>
          <w:p>
            <w:pPr>
              <w:pStyle w:val="TableParagraph"/>
              <w:spacing w:line="234" w:lineRule="exact" w:before="61"/>
              <w:ind w:left="15"/>
              <w:rPr>
                <w:sz w:val="22"/>
              </w:rPr>
            </w:pPr>
            <w:r>
              <w:rPr>
                <w:sz w:val="22"/>
              </w:rPr>
              <w:t>Impact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bending</w:t>
            </w:r>
          </w:p>
        </w:tc>
        <w:tc>
          <w:tcPr>
            <w:tcW w:w="2515" w:type="dxa"/>
            <w:tcBorders>
              <w:right w:val="nil"/>
            </w:tcBorders>
          </w:tcPr>
          <w:p>
            <w:pPr>
              <w:pStyle w:val="TableParagraph"/>
              <w:spacing w:line="234" w:lineRule="exact" w:before="61"/>
              <w:ind w:left="1125" w:right="1125"/>
              <w:jc w:val="center"/>
              <w:rPr>
                <w:sz w:val="22"/>
              </w:rPr>
            </w:pPr>
            <w:r>
              <w:rPr>
                <w:sz w:val="22"/>
              </w:rPr>
              <w:t>25</w:t>
            </w:r>
          </w:p>
        </w:tc>
      </w:tr>
      <w:tr>
        <w:trPr>
          <w:trHeight w:val="315" w:hRule="atLeast"/>
        </w:trPr>
        <w:tc>
          <w:tcPr>
            <w:tcW w:w="2880" w:type="dxa"/>
            <w:tcBorders>
              <w:left w:val="nil"/>
            </w:tcBorders>
          </w:tcPr>
          <w:p>
            <w:pPr>
              <w:pStyle w:val="TableParagraph"/>
              <w:spacing w:line="234" w:lineRule="exact" w:before="61"/>
              <w:ind w:left="15"/>
              <w:rPr>
                <w:sz w:val="22"/>
              </w:rPr>
            </w:pPr>
            <w:r>
              <w:rPr>
                <w:sz w:val="22"/>
              </w:rPr>
              <w:t>Compression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parallel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grain</w:t>
            </w:r>
          </w:p>
        </w:tc>
        <w:tc>
          <w:tcPr>
            <w:tcW w:w="2515" w:type="dxa"/>
            <w:tcBorders>
              <w:right w:val="nil"/>
            </w:tcBorders>
          </w:tcPr>
          <w:p>
            <w:pPr>
              <w:pStyle w:val="TableParagraph"/>
              <w:spacing w:line="234" w:lineRule="exact" w:before="61"/>
              <w:ind w:left="1125" w:right="1125"/>
              <w:jc w:val="center"/>
              <w:rPr>
                <w:sz w:val="22"/>
              </w:rPr>
            </w:pPr>
            <w:r>
              <w:rPr>
                <w:sz w:val="22"/>
              </w:rPr>
              <w:t>18</w:t>
            </w:r>
          </w:p>
        </w:tc>
      </w:tr>
      <w:tr>
        <w:trPr>
          <w:trHeight w:val="615" w:hRule="atLeast"/>
        </w:trPr>
        <w:tc>
          <w:tcPr>
            <w:tcW w:w="2880" w:type="dxa"/>
            <w:tcBorders>
              <w:left w:val="nil"/>
            </w:tcBorders>
          </w:tcPr>
          <w:p>
            <w:pPr>
              <w:pStyle w:val="TableParagraph"/>
              <w:spacing w:line="250" w:lineRule="atLeast" w:before="89"/>
              <w:ind w:left="15" w:right="188"/>
              <w:rPr>
                <w:sz w:val="22"/>
              </w:rPr>
            </w:pPr>
            <w:r>
              <w:rPr>
                <w:sz w:val="22"/>
              </w:rPr>
              <w:t>Compression perpendicular to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grain</w:t>
            </w:r>
          </w:p>
        </w:tc>
        <w:tc>
          <w:tcPr>
            <w:tcW w:w="2515" w:type="dxa"/>
            <w:tcBorders>
              <w:right w:val="nil"/>
            </w:tcBorders>
          </w:tcPr>
          <w:p>
            <w:pPr>
              <w:pStyle w:val="TableParagraph"/>
              <w:spacing w:before="4"/>
              <w:rPr>
                <w:i/>
                <w:sz w:val="31"/>
              </w:rPr>
            </w:pPr>
          </w:p>
          <w:p>
            <w:pPr>
              <w:pStyle w:val="TableParagraph"/>
              <w:spacing w:line="234" w:lineRule="exact"/>
              <w:ind w:left="1125" w:right="1125"/>
              <w:jc w:val="center"/>
              <w:rPr>
                <w:sz w:val="22"/>
              </w:rPr>
            </w:pPr>
            <w:r>
              <w:rPr>
                <w:sz w:val="22"/>
              </w:rPr>
              <w:t>28</w:t>
            </w:r>
          </w:p>
        </w:tc>
      </w:tr>
      <w:tr>
        <w:trPr>
          <w:trHeight w:val="615" w:hRule="atLeast"/>
        </w:trPr>
        <w:tc>
          <w:tcPr>
            <w:tcW w:w="2880" w:type="dxa"/>
            <w:tcBorders>
              <w:left w:val="nil"/>
            </w:tcBorders>
          </w:tcPr>
          <w:p>
            <w:pPr>
              <w:pStyle w:val="TableParagraph"/>
              <w:spacing w:line="250" w:lineRule="atLeast" w:before="89"/>
              <w:ind w:left="15" w:right="394"/>
              <w:rPr>
                <w:sz w:val="22"/>
              </w:rPr>
            </w:pPr>
            <w:r>
              <w:rPr>
                <w:sz w:val="22"/>
              </w:rPr>
              <w:t>Shear parallel to grain,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maximum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shearing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strength</w:t>
            </w:r>
          </w:p>
        </w:tc>
        <w:tc>
          <w:tcPr>
            <w:tcW w:w="2515" w:type="dxa"/>
            <w:tcBorders>
              <w:right w:val="nil"/>
            </w:tcBorders>
          </w:tcPr>
          <w:p>
            <w:pPr>
              <w:pStyle w:val="TableParagraph"/>
              <w:spacing w:before="4"/>
              <w:rPr>
                <w:i/>
                <w:sz w:val="31"/>
              </w:rPr>
            </w:pPr>
          </w:p>
          <w:p>
            <w:pPr>
              <w:pStyle w:val="TableParagraph"/>
              <w:spacing w:line="234" w:lineRule="exact"/>
              <w:ind w:left="1125" w:right="1125"/>
              <w:jc w:val="center"/>
              <w:rPr>
                <w:sz w:val="22"/>
              </w:rPr>
            </w:pPr>
            <w:r>
              <w:rPr>
                <w:sz w:val="22"/>
              </w:rPr>
              <w:t>14</w:t>
            </w:r>
          </w:p>
        </w:tc>
      </w:tr>
      <w:tr>
        <w:trPr>
          <w:trHeight w:val="315" w:hRule="atLeast"/>
        </w:trPr>
        <w:tc>
          <w:tcPr>
            <w:tcW w:w="2880" w:type="dxa"/>
            <w:tcBorders>
              <w:left w:val="nil"/>
            </w:tcBorders>
          </w:tcPr>
          <w:p>
            <w:pPr>
              <w:pStyle w:val="TableParagraph"/>
              <w:spacing w:line="234" w:lineRule="exact" w:before="61"/>
              <w:ind w:left="15"/>
              <w:rPr>
                <w:sz w:val="22"/>
              </w:rPr>
            </w:pPr>
            <w:r>
              <w:rPr>
                <w:sz w:val="22"/>
              </w:rPr>
              <w:t>Tension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parallel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grain</w:t>
            </w:r>
          </w:p>
        </w:tc>
        <w:tc>
          <w:tcPr>
            <w:tcW w:w="2515" w:type="dxa"/>
            <w:tcBorders>
              <w:right w:val="nil"/>
            </w:tcBorders>
          </w:tcPr>
          <w:p>
            <w:pPr>
              <w:pStyle w:val="TableParagraph"/>
              <w:spacing w:line="234" w:lineRule="exact" w:before="61"/>
              <w:ind w:left="1125" w:right="1125"/>
              <w:jc w:val="center"/>
              <w:rPr>
                <w:sz w:val="22"/>
              </w:rPr>
            </w:pPr>
            <w:r>
              <w:rPr>
                <w:sz w:val="22"/>
              </w:rPr>
              <w:t>25</w:t>
            </w:r>
          </w:p>
        </w:tc>
      </w:tr>
      <w:tr>
        <w:trPr>
          <w:trHeight w:val="313" w:hRule="atLeast"/>
        </w:trPr>
        <w:tc>
          <w:tcPr>
            <w:tcW w:w="2880" w:type="dxa"/>
            <w:tcBorders>
              <w:left w:val="nil"/>
            </w:tcBorders>
          </w:tcPr>
          <w:p>
            <w:pPr>
              <w:pStyle w:val="TableParagraph"/>
              <w:spacing w:line="234" w:lineRule="exact" w:before="59"/>
              <w:ind w:left="15"/>
              <w:rPr>
                <w:sz w:val="22"/>
              </w:rPr>
            </w:pPr>
            <w:r>
              <w:rPr>
                <w:sz w:val="22"/>
              </w:rPr>
              <w:t>Side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Hardness</w:t>
            </w:r>
          </w:p>
        </w:tc>
        <w:tc>
          <w:tcPr>
            <w:tcW w:w="2515" w:type="dxa"/>
            <w:tcBorders>
              <w:right w:val="nil"/>
            </w:tcBorders>
          </w:tcPr>
          <w:p>
            <w:pPr>
              <w:pStyle w:val="TableParagraph"/>
              <w:spacing w:line="234" w:lineRule="exact" w:before="59"/>
              <w:ind w:left="1125" w:right="1125"/>
              <w:jc w:val="center"/>
              <w:rPr>
                <w:sz w:val="22"/>
              </w:rPr>
            </w:pPr>
            <w:r>
              <w:rPr>
                <w:sz w:val="22"/>
              </w:rPr>
              <w:t>20</w:t>
            </w:r>
          </w:p>
        </w:tc>
      </w:tr>
      <w:tr>
        <w:trPr>
          <w:trHeight w:val="315" w:hRule="atLeast"/>
        </w:trPr>
        <w:tc>
          <w:tcPr>
            <w:tcW w:w="2880" w:type="dxa"/>
            <w:tcBorders>
              <w:left w:val="nil"/>
            </w:tcBorders>
          </w:tcPr>
          <w:p>
            <w:pPr>
              <w:pStyle w:val="TableParagraph"/>
              <w:spacing w:line="234" w:lineRule="exact" w:before="61"/>
              <w:ind w:left="15"/>
              <w:rPr>
                <w:sz w:val="22"/>
              </w:rPr>
            </w:pPr>
            <w:r>
              <w:rPr>
                <w:sz w:val="22"/>
              </w:rPr>
              <w:t>Toughness</w:t>
            </w:r>
          </w:p>
        </w:tc>
        <w:tc>
          <w:tcPr>
            <w:tcW w:w="2515" w:type="dxa"/>
            <w:tcBorders>
              <w:right w:val="nil"/>
            </w:tcBorders>
          </w:tcPr>
          <w:p>
            <w:pPr>
              <w:pStyle w:val="TableParagraph"/>
              <w:spacing w:line="234" w:lineRule="exact" w:before="61"/>
              <w:ind w:left="1125" w:right="1125"/>
              <w:jc w:val="center"/>
              <w:rPr>
                <w:sz w:val="22"/>
              </w:rPr>
            </w:pPr>
            <w:r>
              <w:rPr>
                <w:sz w:val="22"/>
              </w:rPr>
              <w:t>34</w:t>
            </w:r>
          </w:p>
        </w:tc>
      </w:tr>
      <w:tr>
        <w:trPr>
          <w:trHeight w:val="315" w:hRule="atLeast"/>
        </w:trPr>
        <w:tc>
          <w:tcPr>
            <w:tcW w:w="2880" w:type="dxa"/>
            <w:tcBorders>
              <w:left w:val="nil"/>
            </w:tcBorders>
          </w:tcPr>
          <w:p>
            <w:pPr>
              <w:pStyle w:val="TableParagraph"/>
              <w:spacing w:line="234" w:lineRule="exact" w:before="61"/>
              <w:ind w:left="15"/>
              <w:rPr>
                <w:sz w:val="22"/>
              </w:rPr>
            </w:pPr>
            <w:r>
              <w:rPr>
                <w:sz w:val="22"/>
              </w:rPr>
              <w:t>Specific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gravity</w:t>
            </w:r>
          </w:p>
        </w:tc>
        <w:tc>
          <w:tcPr>
            <w:tcW w:w="2515" w:type="dxa"/>
            <w:tcBorders>
              <w:right w:val="nil"/>
            </w:tcBorders>
          </w:tcPr>
          <w:p>
            <w:pPr>
              <w:pStyle w:val="TableParagraph"/>
              <w:spacing w:line="234" w:lineRule="exact" w:before="61"/>
              <w:ind w:left="1125" w:right="1125"/>
              <w:jc w:val="center"/>
              <w:rPr>
                <w:sz w:val="22"/>
              </w:rPr>
            </w:pPr>
            <w:r>
              <w:rPr>
                <w:sz w:val="22"/>
              </w:rPr>
              <w:t>10</w:t>
            </w:r>
          </w:p>
        </w:tc>
      </w:tr>
    </w:tbl>
    <w:p>
      <w:pPr>
        <w:spacing w:line="259" w:lineRule="auto" w:before="14"/>
        <w:ind w:left="2078" w:right="1884" w:firstLine="0"/>
        <w:jc w:val="left"/>
        <w:rPr>
          <w:sz w:val="22"/>
        </w:rPr>
      </w:pPr>
      <w:r>
        <w:rPr>
          <w:sz w:val="22"/>
        </w:rPr>
        <w:t>*Values based on results of tests of green wood from</w:t>
      </w:r>
      <w:r>
        <w:rPr>
          <w:spacing w:val="1"/>
          <w:sz w:val="22"/>
        </w:rPr>
        <w:t> </w:t>
      </w:r>
      <w:r>
        <w:rPr>
          <w:sz w:val="22"/>
        </w:rPr>
        <w:t>approximately 50 species.</w:t>
      </w:r>
      <w:r>
        <w:rPr>
          <w:spacing w:val="1"/>
          <w:sz w:val="22"/>
        </w:rPr>
        <w:t> </w:t>
      </w:r>
      <w:r>
        <w:rPr>
          <w:sz w:val="22"/>
        </w:rPr>
        <w:t>Values for wood adjusted to 12%</w:t>
      </w:r>
      <w:r>
        <w:rPr>
          <w:spacing w:val="-52"/>
          <w:sz w:val="22"/>
        </w:rPr>
        <w:t> </w:t>
      </w:r>
      <w:r>
        <w:rPr>
          <w:sz w:val="22"/>
        </w:rPr>
        <w:t>moisture content may be assumed to be approximately of the</w:t>
      </w:r>
      <w:r>
        <w:rPr>
          <w:spacing w:val="-52"/>
          <w:sz w:val="22"/>
        </w:rPr>
        <w:t> </w:t>
      </w:r>
      <w:r>
        <w:rPr>
          <w:sz w:val="22"/>
        </w:rPr>
        <w:t>same magnitude.</w:t>
      </w:r>
    </w:p>
    <w:p>
      <w:pPr>
        <w:spacing w:after="0" w:line="259" w:lineRule="auto"/>
        <w:jc w:val="left"/>
        <w:rPr>
          <w:sz w:val="22"/>
        </w:rPr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39" w:right="256" w:firstLine="720"/>
        <w:jc w:val="both"/>
      </w:pPr>
      <w:r>
        <w:rPr/>
        <w:t>The cellular structure of wood enables the material to absorb the energy of an</w:t>
      </w:r>
      <w:r>
        <w:rPr>
          <w:spacing w:val="1"/>
        </w:rPr>
        <w:t> </w:t>
      </w:r>
      <w:r>
        <w:rPr/>
        <w:t>impact and deform locally without brittle failure.</w:t>
      </w:r>
      <w:r>
        <w:rPr>
          <w:spacing w:val="1"/>
        </w:rPr>
        <w:t> </w:t>
      </w:r>
      <w:r>
        <w:rPr/>
        <w:t>For instance, a nail can be driven into a</w:t>
      </w:r>
      <w:r>
        <w:rPr>
          <w:spacing w:val="-57"/>
        </w:rPr>
        <w:t> </w:t>
      </w:r>
      <w:r>
        <w:rPr/>
        <w:t>piece of wood whereas most plastics, glass and even some concrete would crack or</w:t>
      </w:r>
      <w:r>
        <w:rPr>
          <w:spacing w:val="1"/>
        </w:rPr>
        <w:t> </w:t>
      </w:r>
      <w:r>
        <w:rPr/>
        <w:t>experience damage under such an impact. The following key properties are thought to</w:t>
      </w:r>
      <w:r>
        <w:rPr>
          <w:spacing w:val="1"/>
        </w:rPr>
        <w:t> </w:t>
      </w:r>
      <w:r>
        <w:rPr/>
        <w:t>influence</w:t>
      </w:r>
      <w:r>
        <w:rPr>
          <w:spacing w:val="-10"/>
        </w:rPr>
        <w:t> </w:t>
      </w:r>
      <w:r>
        <w:rPr/>
        <w:t>the</w:t>
      </w:r>
      <w:r>
        <w:rPr>
          <w:spacing w:val="-8"/>
        </w:rPr>
        <w:t> </w:t>
      </w:r>
      <w:r>
        <w:rPr/>
        <w:t>ballistic</w:t>
      </w:r>
      <w:r>
        <w:rPr>
          <w:spacing w:val="-9"/>
        </w:rPr>
        <w:t> </w:t>
      </w:r>
      <w:r>
        <w:rPr/>
        <w:t>performance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wood:</w:t>
      </w:r>
      <w:r>
        <w:rPr>
          <w:spacing w:val="-8"/>
        </w:rPr>
        <w:t> </w:t>
      </w:r>
      <w:r>
        <w:rPr/>
        <w:t>compressive</w:t>
      </w:r>
      <w:r>
        <w:rPr>
          <w:spacing w:val="-9"/>
        </w:rPr>
        <w:t> </w:t>
      </w:r>
      <w:r>
        <w:rPr/>
        <w:t>strength;</w:t>
      </w:r>
      <w:r>
        <w:rPr>
          <w:spacing w:val="-8"/>
        </w:rPr>
        <w:t> </w:t>
      </w:r>
      <w:r>
        <w:rPr/>
        <w:t>shear</w:t>
      </w:r>
      <w:r>
        <w:rPr>
          <w:spacing w:val="-9"/>
        </w:rPr>
        <w:t> </w:t>
      </w:r>
      <w:r>
        <w:rPr/>
        <w:t>strength;</w:t>
      </w:r>
      <w:r>
        <w:rPr>
          <w:spacing w:val="-9"/>
        </w:rPr>
        <w:t> </w:t>
      </w:r>
      <w:r>
        <w:rPr/>
        <w:t>density;</w:t>
      </w:r>
      <w:r>
        <w:rPr>
          <w:spacing w:val="-57"/>
        </w:rPr>
        <w:t> </w:t>
      </w:r>
      <w:r>
        <w:rPr/>
        <w:t>bulk shear modulus; and the modulus of elasticity [69, 111, 121].</w:t>
      </w:r>
      <w:r>
        <w:rPr>
          <w:spacing w:val="1"/>
        </w:rPr>
        <w:t> </w:t>
      </w:r>
      <w:r>
        <w:rPr/>
        <w:t>Additionally, the</w:t>
      </w:r>
      <w:r>
        <w:rPr>
          <w:spacing w:val="1"/>
        </w:rPr>
        <w:t> </w:t>
      </w:r>
      <w:r>
        <w:rPr/>
        <w:t>Hugoniot elastic limit – the yield stress under uniaxial dynamic loading – is of interest to</w:t>
      </w:r>
      <w:r>
        <w:rPr>
          <w:spacing w:val="1"/>
        </w:rPr>
        <w:t> </w:t>
      </w:r>
      <w:r>
        <w:rPr/>
        <w:t>the material’s ballistic performance [69, 93]. For many wood species, these properties are</w:t>
      </w:r>
      <w:r>
        <w:rPr>
          <w:spacing w:val="-57"/>
        </w:rPr>
        <w:t> </w:t>
      </w:r>
      <w:r>
        <w:rPr/>
        <w:t>well</w:t>
      </w:r>
      <w:r>
        <w:rPr>
          <w:spacing w:val="-11"/>
        </w:rPr>
        <w:t> </w:t>
      </w:r>
      <w:r>
        <w:rPr/>
        <w:t>known</w:t>
      </w:r>
      <w:r>
        <w:rPr>
          <w:spacing w:val="-11"/>
        </w:rPr>
        <w:t> </w:t>
      </w:r>
      <w:r>
        <w:rPr/>
        <w:t>and</w:t>
      </w:r>
      <w:r>
        <w:rPr>
          <w:spacing w:val="-11"/>
        </w:rPr>
        <w:t> </w:t>
      </w:r>
      <w:r>
        <w:rPr/>
        <w:t>therefore</w:t>
      </w:r>
      <w:r>
        <w:rPr>
          <w:spacing w:val="-11"/>
        </w:rPr>
        <w:t> </w:t>
      </w:r>
      <w:r>
        <w:rPr/>
        <w:t>have</w:t>
      </w:r>
      <w:r>
        <w:rPr>
          <w:spacing w:val="-10"/>
        </w:rPr>
        <w:t> </w:t>
      </w:r>
      <w:r>
        <w:rPr/>
        <w:t>been</w:t>
      </w:r>
      <w:r>
        <w:rPr>
          <w:spacing w:val="-12"/>
        </w:rPr>
        <w:t> </w:t>
      </w:r>
      <w:r>
        <w:rPr/>
        <w:t>drawn</w:t>
      </w:r>
      <w:r>
        <w:rPr>
          <w:spacing w:val="-11"/>
        </w:rPr>
        <w:t> </w:t>
      </w:r>
      <w:r>
        <w:rPr/>
        <w:t>from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literature.</w:t>
      </w:r>
      <w:r>
        <w:rPr>
          <w:spacing w:val="39"/>
        </w:rPr>
        <w:t> </w:t>
      </w:r>
      <w:r>
        <w:rPr/>
        <w:t>A</w:t>
      </w:r>
      <w:r>
        <w:rPr>
          <w:spacing w:val="-12"/>
        </w:rPr>
        <w:t> </w:t>
      </w:r>
      <w:r>
        <w:rPr/>
        <w:t>number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key</w:t>
      </w:r>
      <w:r>
        <w:rPr>
          <w:spacing w:val="-11"/>
        </w:rPr>
        <w:t> </w:t>
      </w:r>
      <w:r>
        <w:rPr/>
        <w:t>properties</w:t>
      </w:r>
      <w:r>
        <w:rPr>
          <w:spacing w:val="-58"/>
        </w:rPr>
        <w:t> </w:t>
      </w:r>
      <w:r>
        <w:rPr/>
        <w:t>were investigated in the context of the production and behavior of CLT and are discussed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following</w:t>
      </w:r>
      <w:r>
        <w:rPr>
          <w:spacing w:val="1"/>
        </w:rPr>
        <w:t> </w:t>
      </w:r>
      <w:r>
        <w:rPr/>
        <w:t>sections.</w:t>
      </w:r>
      <w:r>
        <w:rPr>
          <w:spacing w:val="1"/>
        </w:rPr>
        <w:t> </w:t>
      </w:r>
      <w:r>
        <w:rPr/>
        <w:t>Discussion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hardness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shear</w:t>
      </w:r>
      <w:r>
        <w:rPr>
          <w:spacing w:val="1"/>
        </w:rPr>
        <w:t> </w:t>
      </w:r>
      <w:r>
        <w:rPr/>
        <w:t>strength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based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experimental testing while other properties are presented as unique aspects of CLT which</w:t>
      </w:r>
      <w:r>
        <w:rPr>
          <w:spacing w:val="-57"/>
        </w:rPr>
        <w:t> </w:t>
      </w:r>
      <w:r>
        <w:rPr/>
        <w:t>warrant</w:t>
      </w:r>
      <w:r>
        <w:rPr>
          <w:spacing w:val="-1"/>
        </w:rPr>
        <w:t> </w:t>
      </w:r>
      <w:r>
        <w:rPr/>
        <w:t>further investigation and</w:t>
      </w:r>
      <w:r>
        <w:rPr>
          <w:spacing w:val="-2"/>
        </w:rPr>
        <w:t> </w:t>
      </w:r>
      <w:r>
        <w:rPr/>
        <w:t>research.</w:t>
      </w:r>
    </w:p>
    <w:p>
      <w:pPr>
        <w:pStyle w:val="BodyText"/>
        <w:spacing w:line="480" w:lineRule="auto" w:before="160"/>
        <w:ind w:left="439" w:right="257" w:firstLine="720"/>
        <w:jc w:val="both"/>
      </w:pPr>
      <w:r>
        <w:rPr/>
        <w:t>Wood is one of the oldest construction materials.</w:t>
      </w:r>
      <w:r>
        <w:rPr>
          <w:spacing w:val="1"/>
        </w:rPr>
        <w:t> </w:t>
      </w:r>
      <w:r>
        <w:rPr/>
        <w:t>In current practice, wood is</w:t>
      </w:r>
      <w:r>
        <w:rPr>
          <w:spacing w:val="1"/>
        </w:rPr>
        <w:t> </w:t>
      </w:r>
      <w:r>
        <w:rPr/>
        <w:t>viewed</w:t>
      </w:r>
      <w:r>
        <w:rPr>
          <w:spacing w:val="-8"/>
        </w:rPr>
        <w:t> </w:t>
      </w:r>
      <w:r>
        <w:rPr/>
        <w:t>as</w:t>
      </w:r>
      <w:r>
        <w:rPr>
          <w:spacing w:val="-7"/>
        </w:rPr>
        <w:t> </w:t>
      </w:r>
      <w:r>
        <w:rPr/>
        <w:t>limited</w:t>
      </w:r>
      <w:r>
        <w:rPr>
          <w:spacing w:val="-7"/>
        </w:rPr>
        <w:t> </w:t>
      </w:r>
      <w:r>
        <w:rPr/>
        <w:t>in</w:t>
      </w:r>
      <w:r>
        <w:rPr>
          <w:spacing w:val="-7"/>
        </w:rPr>
        <w:t> </w:t>
      </w:r>
      <w:r>
        <w:rPr/>
        <w:t>strength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stiffness</w:t>
      </w:r>
      <w:r>
        <w:rPr>
          <w:spacing w:val="-7"/>
        </w:rPr>
        <w:t> </w:t>
      </w:r>
      <w:r>
        <w:rPr/>
        <w:t>compared</w:t>
      </w:r>
      <w:r>
        <w:rPr>
          <w:spacing w:val="-8"/>
        </w:rPr>
        <w:t> </w:t>
      </w:r>
      <w:r>
        <w:rPr/>
        <w:t>to</w:t>
      </w:r>
      <w:r>
        <w:rPr>
          <w:spacing w:val="-7"/>
        </w:rPr>
        <w:t> </w:t>
      </w:r>
      <w:r>
        <w:rPr/>
        <w:t>steel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concrete,</w:t>
      </w:r>
      <w:r>
        <w:rPr>
          <w:spacing w:val="-9"/>
        </w:rPr>
        <w:t> </w:t>
      </w:r>
      <w:r>
        <w:rPr/>
        <w:t>as</w:t>
      </w:r>
      <w:r>
        <w:rPr>
          <w:spacing w:val="-7"/>
        </w:rPr>
        <w:t> </w:t>
      </w:r>
      <w:r>
        <w:rPr/>
        <w:t>evidenced</w:t>
      </w:r>
      <w:r>
        <w:rPr>
          <w:spacing w:val="-9"/>
        </w:rPr>
        <w:t> </w:t>
      </w:r>
      <w:r>
        <w:rPr/>
        <w:t>by</w:t>
      </w:r>
      <w:r>
        <w:rPr>
          <w:spacing w:val="-58"/>
        </w:rPr>
        <w:t> </w:t>
      </w:r>
      <w:r>
        <w:rPr/>
        <w:t>code restrictions on multi-story wood construction.</w:t>
      </w:r>
      <w:r>
        <w:rPr>
          <w:spacing w:val="1"/>
        </w:rPr>
        <w:t> </w:t>
      </w:r>
      <w:r>
        <w:rPr/>
        <w:t>However, engineered wood products</w:t>
      </w:r>
      <w:r>
        <w:rPr>
          <w:spacing w:val="1"/>
        </w:rPr>
        <w:t> </w:t>
      </w:r>
      <w:r>
        <w:rPr/>
        <w:t>and</w:t>
      </w:r>
      <w:r>
        <w:rPr>
          <w:spacing w:val="-10"/>
        </w:rPr>
        <w:t> </w:t>
      </w:r>
      <w:r>
        <w:rPr/>
        <w:t>in</w:t>
      </w:r>
      <w:r>
        <w:rPr>
          <w:spacing w:val="-9"/>
        </w:rPr>
        <w:t> </w:t>
      </w:r>
      <w:r>
        <w:rPr/>
        <w:t>particular</w:t>
      </w:r>
      <w:r>
        <w:rPr>
          <w:spacing w:val="-8"/>
        </w:rPr>
        <w:t> </w:t>
      </w:r>
      <w:r>
        <w:rPr/>
        <w:t>mass</w:t>
      </w:r>
      <w:r>
        <w:rPr>
          <w:spacing w:val="-9"/>
        </w:rPr>
        <w:t> </w:t>
      </w:r>
      <w:r>
        <w:rPr/>
        <w:t>timber</w:t>
      </w:r>
      <w:r>
        <w:rPr>
          <w:spacing w:val="-8"/>
        </w:rPr>
        <w:t> </w:t>
      </w:r>
      <w:r>
        <w:rPr/>
        <w:t>products</w:t>
      </w:r>
      <w:r>
        <w:rPr>
          <w:spacing w:val="-8"/>
        </w:rPr>
        <w:t> </w:t>
      </w:r>
      <w:r>
        <w:rPr/>
        <w:t>like</w:t>
      </w:r>
      <w:r>
        <w:rPr>
          <w:spacing w:val="-9"/>
        </w:rPr>
        <w:t> </w:t>
      </w:r>
      <w:r>
        <w:rPr/>
        <w:t>CLT</w:t>
      </w:r>
      <w:r>
        <w:rPr>
          <w:spacing w:val="-10"/>
        </w:rPr>
        <w:t> </w:t>
      </w:r>
      <w:r>
        <w:rPr/>
        <w:t>are</w:t>
      </w:r>
      <w:r>
        <w:rPr>
          <w:spacing w:val="-8"/>
        </w:rPr>
        <w:t> </w:t>
      </w:r>
      <w:r>
        <w:rPr/>
        <w:t>challenging</w:t>
      </w:r>
      <w:r>
        <w:rPr>
          <w:spacing w:val="-9"/>
        </w:rPr>
        <w:t> </w:t>
      </w:r>
      <w:r>
        <w:rPr/>
        <w:t>this</w:t>
      </w:r>
      <w:r>
        <w:rPr>
          <w:spacing w:val="-11"/>
        </w:rPr>
        <w:t> </w:t>
      </w:r>
      <w:r>
        <w:rPr/>
        <w:t>view</w:t>
      </w:r>
      <w:r>
        <w:rPr>
          <w:spacing w:val="-10"/>
        </w:rPr>
        <w:t> </w:t>
      </w:r>
      <w:r>
        <w:rPr/>
        <w:t>and</w:t>
      </w:r>
      <w:r>
        <w:rPr>
          <w:spacing w:val="-9"/>
        </w:rPr>
        <w:t> </w:t>
      </w:r>
      <w:r>
        <w:rPr/>
        <w:t>encouraging</w:t>
      </w:r>
      <w:r>
        <w:rPr>
          <w:spacing w:val="-58"/>
        </w:rPr>
        <w:t> </w:t>
      </w:r>
      <w:r>
        <w:rPr/>
        <w:t>a re-evaluation of wood products for use where design specifications would previously</w:t>
      </w:r>
      <w:r>
        <w:rPr>
          <w:spacing w:val="1"/>
        </w:rPr>
        <w:t> </w:t>
      </w:r>
      <w:r>
        <w:rPr>
          <w:spacing w:val="-1"/>
        </w:rPr>
        <w:t>have</w:t>
      </w:r>
      <w:r>
        <w:rPr>
          <w:spacing w:val="-15"/>
        </w:rPr>
        <w:t> </w:t>
      </w:r>
      <w:r>
        <w:rPr>
          <w:spacing w:val="-1"/>
        </w:rPr>
        <w:t>eliminated</w:t>
      </w:r>
      <w:r>
        <w:rPr>
          <w:spacing w:val="-15"/>
        </w:rPr>
        <w:t> </w:t>
      </w:r>
      <w:r>
        <w:rPr>
          <w:spacing w:val="-1"/>
        </w:rPr>
        <w:t>wood</w:t>
      </w:r>
      <w:r>
        <w:rPr>
          <w:spacing w:val="-15"/>
        </w:rPr>
        <w:t> </w:t>
      </w:r>
      <w:r>
        <w:rPr/>
        <w:t>as</w:t>
      </w:r>
      <w:r>
        <w:rPr>
          <w:spacing w:val="-15"/>
        </w:rPr>
        <w:t> </w:t>
      </w:r>
      <w:r>
        <w:rPr/>
        <w:t>a</w:t>
      </w:r>
      <w:r>
        <w:rPr>
          <w:spacing w:val="-14"/>
        </w:rPr>
        <w:t> </w:t>
      </w:r>
      <w:r>
        <w:rPr/>
        <w:t>potential</w:t>
      </w:r>
      <w:r>
        <w:rPr>
          <w:spacing w:val="-14"/>
        </w:rPr>
        <w:t> </w:t>
      </w:r>
      <w:r>
        <w:rPr/>
        <w:t>material.</w:t>
      </w:r>
      <w:r>
        <w:rPr>
          <w:spacing w:val="31"/>
        </w:rPr>
        <w:t> </w:t>
      </w:r>
      <w:r>
        <w:rPr/>
        <w:t>As</w:t>
      </w:r>
      <w:r>
        <w:rPr>
          <w:spacing w:val="-14"/>
        </w:rPr>
        <w:t> </w:t>
      </w:r>
      <w:r>
        <w:rPr/>
        <w:t>a</w:t>
      </w:r>
      <w:r>
        <w:rPr>
          <w:spacing w:val="-15"/>
        </w:rPr>
        <w:t> </w:t>
      </w:r>
      <w:r>
        <w:rPr/>
        <w:t>renewable</w:t>
      </w:r>
      <w:r>
        <w:rPr>
          <w:spacing w:val="-15"/>
        </w:rPr>
        <w:t> </w:t>
      </w:r>
      <w:r>
        <w:rPr/>
        <w:t>material</w:t>
      </w:r>
      <w:r>
        <w:rPr>
          <w:spacing w:val="-14"/>
        </w:rPr>
        <w:t> </w:t>
      </w:r>
      <w:r>
        <w:rPr/>
        <w:t>with</w:t>
      </w:r>
      <w:r>
        <w:rPr>
          <w:spacing w:val="-14"/>
        </w:rPr>
        <w:t> </w:t>
      </w:r>
      <w:r>
        <w:rPr/>
        <w:t>a</w:t>
      </w:r>
      <w:r>
        <w:rPr>
          <w:spacing w:val="-15"/>
        </w:rPr>
        <w:t> </w:t>
      </w:r>
      <w:r>
        <w:rPr/>
        <w:t>high</w:t>
      </w:r>
      <w:r>
        <w:rPr>
          <w:spacing w:val="-15"/>
        </w:rPr>
        <w:t> </w:t>
      </w:r>
      <w:r>
        <w:rPr/>
        <w:t>strength-</w:t>
      </w:r>
      <w:r>
        <w:rPr>
          <w:spacing w:val="-58"/>
        </w:rPr>
        <w:t> </w:t>
      </w:r>
      <w:r>
        <w:rPr/>
        <w:t>to-weight ratio, wood holds many attractive qualities.</w:t>
      </w:r>
      <w:r>
        <w:rPr>
          <w:spacing w:val="1"/>
        </w:rPr>
        <w:t> </w:t>
      </w:r>
      <w:r>
        <w:rPr/>
        <w:t>Compared to other lightweight</w:t>
      </w:r>
      <w:r>
        <w:rPr>
          <w:spacing w:val="1"/>
        </w:rPr>
        <w:t> </w:t>
      </w:r>
      <w:r>
        <w:rPr/>
        <w:t>materials, wood has shown interesting capacity in terms of energy absorption [123].</w:t>
      </w:r>
      <w:r>
        <w:rPr>
          <w:spacing w:val="1"/>
        </w:rPr>
        <w:t> </w:t>
      </w:r>
      <w:r>
        <w:rPr/>
        <w:t>Despite historical use of timber in protective structures, research on the capacity of CLT</w:t>
      </w:r>
      <w:r>
        <w:rPr>
          <w:spacing w:val="1"/>
        </w:rPr>
        <w:t> </w:t>
      </w:r>
      <w:r>
        <w:rPr/>
        <w:t>for</w:t>
      </w:r>
      <w:r>
        <w:rPr>
          <w:spacing w:val="-1"/>
        </w:rPr>
        <w:t> </w:t>
      </w:r>
      <w:r>
        <w:rPr/>
        <w:t>energy absorption</w:t>
      </w:r>
      <w:r>
        <w:rPr>
          <w:spacing w:val="-2"/>
        </w:rPr>
        <w:t> </w:t>
      </w:r>
      <w:r>
        <w:rPr/>
        <w:t>is</w:t>
      </w:r>
      <w:r>
        <w:rPr>
          <w:spacing w:val="-1"/>
        </w:rPr>
        <w:t> </w:t>
      </w:r>
      <w:r>
        <w:rPr/>
        <w:t>just beginning.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Heading9"/>
        <w:numPr>
          <w:ilvl w:val="1"/>
          <w:numId w:val="19"/>
        </w:numPr>
        <w:tabs>
          <w:tab w:pos="890" w:val="left" w:leader="none"/>
        </w:tabs>
        <w:spacing w:line="240" w:lineRule="auto" w:before="60" w:after="0"/>
        <w:ind w:left="890" w:right="0" w:hanging="360"/>
        <w:jc w:val="both"/>
      </w:pPr>
      <w:bookmarkStart w:name="_TOC_250044" w:id="181"/>
      <w:bookmarkStart w:name="4.2 Historic use of wood against impact " w:id="182"/>
      <w:r>
        <w:rPr>
          <w:b w:val="0"/>
        </w:rPr>
      </w:r>
      <w:bookmarkEnd w:id="182"/>
      <w:bookmarkStart w:name="4.2 Historic use of wood against impact " w:id="183"/>
      <w:r>
        <w:rPr/>
        <w:t>His</w:t>
      </w:r>
      <w:r>
        <w:rPr/>
        <w:t>toric</w:t>
      </w:r>
      <w:r>
        <w:rPr>
          <w:spacing w:val="-3"/>
        </w:rPr>
        <w:t> </w:t>
      </w:r>
      <w:r>
        <w:rPr/>
        <w:t>use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wood</w:t>
      </w:r>
      <w:r>
        <w:rPr>
          <w:spacing w:val="-3"/>
        </w:rPr>
        <w:t> </w:t>
      </w:r>
      <w:r>
        <w:rPr/>
        <w:t>against</w:t>
      </w:r>
      <w:r>
        <w:rPr>
          <w:spacing w:val="-1"/>
        </w:rPr>
        <w:t> </w:t>
      </w:r>
      <w:r>
        <w:rPr/>
        <w:t>impact</w:t>
      </w:r>
      <w:r>
        <w:rPr>
          <w:spacing w:val="-2"/>
        </w:rPr>
        <w:t> </w:t>
      </w:r>
      <w:bookmarkEnd w:id="181"/>
      <w:r>
        <w:rPr/>
        <w:t>threats</w:t>
      </w:r>
    </w:p>
    <w:p>
      <w:pPr>
        <w:pStyle w:val="BodyText"/>
        <w:spacing w:before="6"/>
        <w:rPr>
          <w:b/>
          <w:sz w:val="22"/>
        </w:rPr>
      </w:pPr>
    </w:p>
    <w:p>
      <w:pPr>
        <w:pStyle w:val="BodyText"/>
        <w:spacing w:line="480" w:lineRule="auto"/>
        <w:ind w:left="440" w:right="258" w:firstLine="720"/>
        <w:jc w:val="both"/>
      </w:pPr>
      <w:r>
        <w:rPr/>
        <w:t>Throughout history, there are examples of wood used to counter high impact</w:t>
      </w:r>
      <w:r>
        <w:rPr>
          <w:spacing w:val="1"/>
        </w:rPr>
        <w:t> </w:t>
      </w:r>
      <w:r>
        <w:rPr/>
        <w:t>threats. One example is the USS Constitution shown in </w:t>
      </w:r>
      <w:hyperlink w:history="true" w:anchor="_bookmark24">
        <w:r>
          <w:rPr/>
          <w:t>Figure 4-1</w:t>
        </w:r>
      </w:hyperlink>
      <w:r>
        <w:rPr/>
        <w:t>. The ship is a wooden-</w:t>
      </w:r>
      <w:r>
        <w:rPr>
          <w:spacing w:val="-57"/>
        </w:rPr>
        <w:t> </w:t>
      </w:r>
      <w:r>
        <w:rPr/>
        <w:t>hulled, three mast frigate built for the U.S. Navy and commissioned into service in 1797.</w:t>
      </w:r>
      <w:r>
        <w:rPr>
          <w:spacing w:val="1"/>
        </w:rPr>
        <w:t> </w:t>
      </w:r>
      <w:r>
        <w:rPr/>
        <w:t>The ship was used for 58 years of active Navy service that included battle engagements</w:t>
      </w:r>
      <w:r>
        <w:rPr>
          <w:spacing w:val="1"/>
        </w:rPr>
        <w:t> </w:t>
      </w:r>
      <w:r>
        <w:rPr/>
        <w:t>with the French in the Barbary Wars and with Britain in the War of 1812.</w:t>
      </w:r>
      <w:r>
        <w:rPr>
          <w:spacing w:val="1"/>
        </w:rPr>
        <w:t> </w:t>
      </w:r>
      <w:r>
        <w:rPr/>
        <w:t>It is credited</w:t>
      </w:r>
      <w:r>
        <w:rPr>
          <w:spacing w:val="1"/>
        </w:rPr>
        <w:t> </w:t>
      </w:r>
      <w:r>
        <w:rPr/>
        <w:t>with</w:t>
      </w:r>
      <w:r>
        <w:rPr>
          <w:spacing w:val="-4"/>
        </w:rPr>
        <w:t> </w:t>
      </w:r>
      <w:r>
        <w:rPr/>
        <w:t>33</w:t>
      </w:r>
      <w:r>
        <w:rPr>
          <w:spacing w:val="-3"/>
        </w:rPr>
        <w:t> </w:t>
      </w:r>
      <w:r>
        <w:rPr/>
        <w:t>battle</w:t>
      </w:r>
      <w:r>
        <w:rPr>
          <w:spacing w:val="-2"/>
        </w:rPr>
        <w:t> </w:t>
      </w:r>
      <w:r>
        <w:rPr/>
        <w:t>victories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/>
        <w:t>no</w:t>
      </w:r>
      <w:r>
        <w:rPr>
          <w:spacing w:val="-3"/>
        </w:rPr>
        <w:t> </w:t>
      </w:r>
      <w:r>
        <w:rPr/>
        <w:t>losses.</w:t>
      </w:r>
      <w:r>
        <w:rPr>
          <w:spacing w:val="56"/>
        </w:rPr>
        <w:t> </w:t>
      </w:r>
      <w:r>
        <w:rPr/>
        <w:t>While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/>
        <w:t>armament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/>
        <w:t>skill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ship’s</w:t>
      </w:r>
      <w:r>
        <w:rPr>
          <w:spacing w:val="-4"/>
        </w:rPr>
        <w:t> </w:t>
      </w:r>
      <w:r>
        <w:rPr/>
        <w:t>captains</w:t>
      </w:r>
      <w:r>
        <w:rPr>
          <w:spacing w:val="-58"/>
        </w:rPr>
        <w:t> </w:t>
      </w:r>
      <w:r>
        <w:rPr/>
        <w:t>and crew were huge contributors to the ship’s winning record, historic records document</w:t>
      </w:r>
      <w:r>
        <w:rPr>
          <w:spacing w:val="1"/>
        </w:rPr>
        <w:t> </w:t>
      </w:r>
      <w:r>
        <w:rPr/>
        <w:t>stories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British</w:t>
      </w:r>
      <w:r>
        <w:rPr>
          <w:spacing w:val="-9"/>
        </w:rPr>
        <w:t> </w:t>
      </w:r>
      <w:r>
        <w:rPr/>
        <w:t>iron</w:t>
      </w:r>
      <w:r>
        <w:rPr>
          <w:spacing w:val="-9"/>
        </w:rPr>
        <w:t> </w:t>
      </w:r>
      <w:r>
        <w:rPr/>
        <w:t>cannonballs</w:t>
      </w:r>
      <w:r>
        <w:rPr>
          <w:spacing w:val="-7"/>
        </w:rPr>
        <w:t> </w:t>
      </w:r>
      <w:r>
        <w:rPr/>
        <w:t>bouncing</w:t>
      </w:r>
      <w:r>
        <w:rPr>
          <w:spacing w:val="-7"/>
        </w:rPr>
        <w:t> </w:t>
      </w:r>
      <w:r>
        <w:rPr/>
        <w:t>off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25-inch</w:t>
      </w:r>
      <w:r>
        <w:rPr>
          <w:spacing w:val="-8"/>
        </w:rPr>
        <w:t> </w:t>
      </w:r>
      <w:r>
        <w:rPr/>
        <w:t>oak</w:t>
      </w:r>
      <w:r>
        <w:rPr>
          <w:spacing w:val="-7"/>
        </w:rPr>
        <w:t> </w:t>
      </w:r>
      <w:r>
        <w:rPr/>
        <w:t>hull,</w:t>
      </w:r>
      <w:r>
        <w:rPr>
          <w:spacing w:val="-7"/>
        </w:rPr>
        <w:t> </w:t>
      </w:r>
      <w:r>
        <w:rPr/>
        <w:t>earning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nickname</w:t>
      </w:r>
      <w:r>
        <w:rPr>
          <w:spacing w:val="-58"/>
        </w:rPr>
        <w:t> </w:t>
      </w:r>
      <w:r>
        <w:rPr/>
        <w:t>Old</w:t>
      </w:r>
      <w:r>
        <w:rPr>
          <w:spacing w:val="-1"/>
        </w:rPr>
        <w:t> </w:t>
      </w:r>
      <w:r>
        <w:rPr/>
        <w:t>Ironsides despite (or</w:t>
      </w:r>
      <w:r>
        <w:rPr>
          <w:spacing w:val="-1"/>
        </w:rPr>
        <w:t> </w:t>
      </w:r>
      <w:r>
        <w:rPr/>
        <w:t>maybe because of)</w:t>
      </w:r>
      <w:r>
        <w:rPr>
          <w:spacing w:val="-1"/>
        </w:rPr>
        <w:t> </w:t>
      </w:r>
      <w:r>
        <w:rPr/>
        <w:t>its wooden hull [65].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86">
            <wp:simplePos x="0" y="0"/>
            <wp:positionH relativeFrom="page">
              <wp:posOffset>2514600</wp:posOffset>
            </wp:positionH>
            <wp:positionV relativeFrom="paragraph">
              <wp:posOffset>191049</wp:posOffset>
            </wp:positionV>
            <wp:extent cx="3218779" cy="3767899"/>
            <wp:effectExtent l="0" t="0" r="0" b="0"/>
            <wp:wrapTopAndBottom/>
            <wp:docPr id="21" name="image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69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8779" cy="37678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28"/>
        <w:ind w:left="440" w:right="0" w:firstLine="0"/>
        <w:jc w:val="left"/>
        <w:rPr>
          <w:i/>
          <w:sz w:val="24"/>
        </w:rPr>
      </w:pPr>
      <w:bookmarkStart w:name="_bookmark24" w:id="184"/>
      <w:bookmarkEnd w:id="184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4-1.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USS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Constitution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docked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Boston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Harbor,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May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2014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(author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photo).</w:t>
      </w:r>
    </w:p>
    <w:p>
      <w:pPr>
        <w:spacing w:after="0"/>
        <w:jc w:val="left"/>
        <w:rPr>
          <w:sz w:val="24"/>
        </w:rPr>
        <w:sectPr>
          <w:pgSz w:w="12240" w:h="15840"/>
          <w:pgMar w:header="0" w:footer="1064" w:top="1380" w:bottom="1260" w:left="1720" w:right="1180"/>
        </w:sectPr>
      </w:pPr>
    </w:p>
    <w:p>
      <w:pPr>
        <w:pStyle w:val="BodyText"/>
        <w:spacing w:line="480" w:lineRule="auto" w:before="78"/>
        <w:ind w:left="440" w:right="257" w:firstLine="720"/>
        <w:jc w:val="both"/>
      </w:pPr>
      <w:r>
        <w:rPr/>
        <w:t>Almost 150 years after the wooden hull of the USS Constitution defeated iron</w:t>
      </w:r>
      <w:r>
        <w:rPr>
          <w:spacing w:val="1"/>
        </w:rPr>
        <w:t> </w:t>
      </w:r>
      <w:r>
        <w:rPr/>
        <w:t>cannonballs, wood was again being used in warfare. The Japanese forces employed wood</w:t>
      </w:r>
      <w:r>
        <w:rPr>
          <w:spacing w:val="-57"/>
        </w:rPr>
        <w:t> </w:t>
      </w:r>
      <w:r>
        <w:rPr/>
        <w:t>to</w:t>
      </w:r>
      <w:r>
        <w:rPr>
          <w:spacing w:val="6"/>
        </w:rPr>
        <w:t> </w:t>
      </w:r>
      <w:r>
        <w:rPr/>
        <w:t>construct</w:t>
      </w:r>
      <w:r>
        <w:rPr>
          <w:spacing w:val="5"/>
        </w:rPr>
        <w:t> </w:t>
      </w:r>
      <w:r>
        <w:rPr/>
        <w:t>their</w:t>
      </w:r>
      <w:r>
        <w:rPr>
          <w:spacing w:val="7"/>
        </w:rPr>
        <w:t> </w:t>
      </w:r>
      <w:r>
        <w:rPr/>
        <w:t>fighting</w:t>
      </w:r>
      <w:r>
        <w:rPr>
          <w:spacing w:val="6"/>
        </w:rPr>
        <w:t> </w:t>
      </w:r>
      <w:r>
        <w:rPr/>
        <w:t>positions</w:t>
      </w:r>
      <w:r>
        <w:rPr>
          <w:spacing w:val="4"/>
        </w:rPr>
        <w:t> </w:t>
      </w:r>
      <w:r>
        <w:rPr/>
        <w:t>and</w:t>
      </w:r>
      <w:r>
        <w:rPr>
          <w:spacing w:val="7"/>
        </w:rPr>
        <w:t> </w:t>
      </w:r>
      <w:r>
        <w:rPr/>
        <w:t>defenses</w:t>
      </w:r>
      <w:r>
        <w:rPr>
          <w:spacing w:val="6"/>
        </w:rPr>
        <w:t> </w:t>
      </w:r>
      <w:r>
        <w:rPr/>
        <w:t>in</w:t>
      </w:r>
      <w:r>
        <w:rPr>
          <w:spacing w:val="5"/>
        </w:rPr>
        <w:t> </w:t>
      </w:r>
      <w:r>
        <w:rPr/>
        <w:t>the</w:t>
      </w:r>
      <w:r>
        <w:rPr>
          <w:spacing w:val="6"/>
        </w:rPr>
        <w:t> </w:t>
      </w:r>
      <w:r>
        <w:rPr/>
        <w:t>Pacific</w:t>
      </w:r>
      <w:r>
        <w:rPr>
          <w:spacing w:val="6"/>
        </w:rPr>
        <w:t> </w:t>
      </w:r>
      <w:r>
        <w:rPr/>
        <w:t>theater</w:t>
      </w:r>
      <w:r>
        <w:rPr>
          <w:spacing w:val="5"/>
        </w:rPr>
        <w:t> </w:t>
      </w:r>
      <w:r>
        <w:rPr/>
        <w:t>during</w:t>
      </w:r>
      <w:r>
        <w:rPr>
          <w:spacing w:val="7"/>
        </w:rPr>
        <w:t> </w:t>
      </w:r>
      <w:r>
        <w:rPr/>
        <w:t>World</w:t>
      </w:r>
      <w:r>
        <w:rPr>
          <w:spacing w:val="6"/>
        </w:rPr>
        <w:t> </w:t>
      </w:r>
      <w:r>
        <w:rPr/>
        <w:t>War</w:t>
      </w:r>
    </w:p>
    <w:p>
      <w:pPr>
        <w:pStyle w:val="BodyText"/>
        <w:spacing w:line="480" w:lineRule="auto"/>
        <w:ind w:left="440" w:right="257"/>
        <w:jc w:val="both"/>
      </w:pPr>
      <w:r>
        <w:rPr/>
        <w:t>II. Readily available on most islands, coconut logs were found to be extremely resilient to</w:t>
      </w:r>
      <w:r>
        <w:rPr>
          <w:spacing w:val="-57"/>
        </w:rPr>
        <w:t> </w:t>
      </w:r>
      <w:r>
        <w:rPr/>
        <w:t>projectile impacts thanks to their soft and fibrous interior, which also reduced splintering.</w:t>
      </w:r>
      <w:r>
        <w:rPr>
          <w:spacing w:val="-57"/>
        </w:rPr>
        <w:t> </w:t>
      </w:r>
      <w:r>
        <w:rPr/>
        <w:t>Some native hardwood species, such as ironwood, were also used for the construction of</w:t>
      </w:r>
      <w:r>
        <w:rPr>
          <w:spacing w:val="1"/>
        </w:rPr>
        <w:t> </w:t>
      </w:r>
      <w:r>
        <w:rPr/>
        <w:t>bunkers.</w:t>
      </w:r>
    </w:p>
    <w:p>
      <w:pPr>
        <w:pStyle w:val="BodyText"/>
        <w:spacing w:line="480" w:lineRule="auto" w:before="160"/>
        <w:ind w:left="439" w:right="257" w:firstLine="720"/>
        <w:jc w:val="both"/>
      </w:pPr>
      <w:r>
        <w:rPr>
          <w:spacing w:val="-1"/>
        </w:rPr>
        <w:t>Roofs</w:t>
      </w:r>
      <w:r>
        <w:rPr>
          <w:spacing w:val="-13"/>
        </w:rPr>
        <w:t> </w:t>
      </w:r>
      <w:r>
        <w:rPr>
          <w:spacing w:val="-1"/>
        </w:rPr>
        <w:t>for</w:t>
      </w:r>
      <w:r>
        <w:rPr>
          <w:spacing w:val="-11"/>
        </w:rPr>
        <w:t> </w:t>
      </w:r>
      <w:r>
        <w:rPr>
          <w:spacing w:val="-1"/>
        </w:rPr>
        <w:t>fighting</w:t>
      </w:r>
      <w:r>
        <w:rPr>
          <w:spacing w:val="-13"/>
        </w:rPr>
        <w:t> </w:t>
      </w:r>
      <w:r>
        <w:rPr>
          <w:spacing w:val="-1"/>
        </w:rPr>
        <w:t>positions</w:t>
      </w:r>
      <w:r>
        <w:rPr>
          <w:spacing w:val="-13"/>
        </w:rPr>
        <w:t> </w:t>
      </w:r>
      <w:r>
        <w:rPr/>
        <w:t>designed</w:t>
      </w:r>
      <w:r>
        <w:rPr>
          <w:spacing w:val="-14"/>
        </w:rPr>
        <w:t> </w:t>
      </w:r>
      <w:r>
        <w:rPr/>
        <w:t>to</w:t>
      </w:r>
      <w:r>
        <w:rPr>
          <w:spacing w:val="-13"/>
        </w:rPr>
        <w:t> </w:t>
      </w:r>
      <w:r>
        <w:rPr/>
        <w:t>protect</w:t>
      </w:r>
      <w:r>
        <w:rPr>
          <w:spacing w:val="-13"/>
        </w:rPr>
        <w:t> </w:t>
      </w:r>
      <w:r>
        <w:rPr/>
        <w:t>from</w:t>
      </w:r>
      <w:r>
        <w:rPr>
          <w:spacing w:val="-13"/>
        </w:rPr>
        <w:t> </w:t>
      </w:r>
      <w:r>
        <w:rPr/>
        <w:t>artillery</w:t>
      </w:r>
      <w:r>
        <w:rPr>
          <w:spacing w:val="-14"/>
        </w:rPr>
        <w:t> </w:t>
      </w:r>
      <w:r>
        <w:rPr/>
        <w:t>and</w:t>
      </w:r>
      <w:r>
        <w:rPr>
          <w:spacing w:val="-14"/>
        </w:rPr>
        <w:t> </w:t>
      </w:r>
      <w:r>
        <w:rPr/>
        <w:t>bombs</w:t>
      </w:r>
      <w:r>
        <w:rPr>
          <w:spacing w:val="-12"/>
        </w:rPr>
        <w:t> </w:t>
      </w:r>
      <w:r>
        <w:rPr/>
        <w:t>were</w:t>
      </w:r>
      <w:r>
        <w:rPr>
          <w:spacing w:val="-12"/>
        </w:rPr>
        <w:t> </w:t>
      </w:r>
      <w:r>
        <w:rPr/>
        <w:t>often</w:t>
      </w:r>
      <w:r>
        <w:rPr>
          <w:spacing w:val="-58"/>
        </w:rPr>
        <w:t> </w:t>
      </w:r>
      <w:r>
        <w:rPr/>
        <w:t>made from logs laid in solid layers with perpendicular alternating layers.</w:t>
      </w:r>
      <w:r>
        <w:rPr>
          <w:spacing w:val="1"/>
        </w:rPr>
        <w:t> </w:t>
      </w:r>
      <w:r>
        <w:rPr/>
        <w:t>This layered</w:t>
      </w:r>
      <w:r>
        <w:rPr>
          <w:spacing w:val="1"/>
        </w:rPr>
        <w:t> </w:t>
      </w:r>
      <w:r>
        <w:rPr/>
        <w:t>wooden</w:t>
      </w:r>
      <w:r>
        <w:rPr>
          <w:spacing w:val="-6"/>
        </w:rPr>
        <w:t> </w:t>
      </w:r>
      <w:r>
        <w:rPr/>
        <w:t>roof</w:t>
      </w:r>
      <w:r>
        <w:rPr>
          <w:spacing w:val="-7"/>
        </w:rPr>
        <w:t> </w:t>
      </w:r>
      <w:r>
        <w:rPr/>
        <w:t>was</w:t>
      </w:r>
      <w:r>
        <w:rPr>
          <w:spacing w:val="-6"/>
        </w:rPr>
        <w:t> </w:t>
      </w:r>
      <w:r>
        <w:rPr/>
        <w:t>commonly</w:t>
      </w:r>
      <w:r>
        <w:rPr>
          <w:spacing w:val="-6"/>
        </w:rPr>
        <w:t> </w:t>
      </w:r>
      <w:r>
        <w:rPr/>
        <w:t>two</w:t>
      </w:r>
      <w:r>
        <w:rPr>
          <w:spacing w:val="-6"/>
        </w:rPr>
        <w:t> </w:t>
      </w:r>
      <w:r>
        <w:rPr/>
        <w:t>to</w:t>
      </w:r>
      <w:r>
        <w:rPr>
          <w:spacing w:val="-7"/>
        </w:rPr>
        <w:t> </w:t>
      </w:r>
      <w:r>
        <w:rPr/>
        <w:t>three</w:t>
      </w:r>
      <w:r>
        <w:rPr>
          <w:spacing w:val="-6"/>
        </w:rPr>
        <w:t> </w:t>
      </w:r>
      <w:r>
        <w:rPr/>
        <w:t>layers</w:t>
      </w:r>
      <w:r>
        <w:rPr>
          <w:spacing w:val="-5"/>
        </w:rPr>
        <w:t> </w:t>
      </w:r>
      <w:r>
        <w:rPr/>
        <w:t>of</w:t>
      </w:r>
      <w:r>
        <w:rPr>
          <w:spacing w:val="-8"/>
        </w:rPr>
        <w:t> </w:t>
      </w:r>
      <w:r>
        <w:rPr/>
        <w:t>4-</w:t>
      </w:r>
      <w:r>
        <w:rPr>
          <w:spacing w:val="-5"/>
        </w:rPr>
        <w:t> </w:t>
      </w:r>
      <w:r>
        <w:rPr/>
        <w:t>to</w:t>
      </w:r>
      <w:r>
        <w:rPr>
          <w:spacing w:val="-6"/>
        </w:rPr>
        <w:t> </w:t>
      </w:r>
      <w:r>
        <w:rPr/>
        <w:t>18-inch</w:t>
      </w:r>
      <w:r>
        <w:rPr>
          <w:spacing w:val="-6"/>
        </w:rPr>
        <w:t> </w:t>
      </w:r>
      <w:r>
        <w:rPr/>
        <w:t>diameter</w:t>
      </w:r>
      <w:r>
        <w:rPr>
          <w:spacing w:val="-6"/>
        </w:rPr>
        <w:t> </w:t>
      </w:r>
      <w:r>
        <w:rPr/>
        <w:t>logs</w:t>
      </w:r>
      <w:r>
        <w:rPr>
          <w:spacing w:val="-6"/>
        </w:rPr>
        <w:t> </w:t>
      </w:r>
      <w:r>
        <w:rPr/>
        <w:t>but</w:t>
      </w:r>
      <w:r>
        <w:rPr>
          <w:spacing w:val="-6"/>
        </w:rPr>
        <w:t> </w:t>
      </w:r>
      <w:r>
        <w:rPr/>
        <w:t>as</w:t>
      </w:r>
      <w:r>
        <w:rPr>
          <w:spacing w:val="-5"/>
        </w:rPr>
        <w:t> </w:t>
      </w:r>
      <w:r>
        <w:rPr/>
        <w:t>many</w:t>
      </w:r>
      <w:r>
        <w:rPr>
          <w:spacing w:val="-58"/>
        </w:rPr>
        <w:t> </w:t>
      </w:r>
      <w:r>
        <w:rPr/>
        <w:t>as six layers have been documented in some bunkers [97].</w:t>
      </w:r>
      <w:r>
        <w:rPr>
          <w:spacing w:val="1"/>
        </w:rPr>
        <w:t> </w:t>
      </w:r>
      <w:r>
        <w:rPr/>
        <w:t>The Japanese even added</w:t>
      </w:r>
      <w:r>
        <w:rPr>
          <w:spacing w:val="1"/>
        </w:rPr>
        <w:t> </w:t>
      </w:r>
      <w:r>
        <w:rPr/>
        <w:t>enhancing</w:t>
      </w:r>
      <w:r>
        <w:rPr>
          <w:spacing w:val="1"/>
        </w:rPr>
        <w:t> </w:t>
      </w:r>
      <w:r>
        <w:rPr/>
        <w:t>layers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rocks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deform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deflect</w:t>
      </w:r>
      <w:r>
        <w:rPr>
          <w:spacing w:val="1"/>
        </w:rPr>
        <w:t> </w:t>
      </w:r>
      <w:r>
        <w:rPr/>
        <w:t>projectiles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promote</w:t>
      </w:r>
      <w:r>
        <w:rPr>
          <w:spacing w:val="1"/>
        </w:rPr>
        <w:t> </w:t>
      </w:r>
      <w:r>
        <w:rPr/>
        <w:t>early</w:t>
      </w:r>
      <w:r>
        <w:rPr>
          <w:spacing w:val="1"/>
        </w:rPr>
        <w:t> </w:t>
      </w:r>
      <w:r>
        <w:rPr/>
        <w:t>detonation of explosive charges.</w:t>
      </w:r>
      <w:r>
        <w:rPr>
          <w:spacing w:val="1"/>
        </w:rPr>
        <w:t> </w:t>
      </w:r>
      <w:r>
        <w:rPr/>
        <w:t>In some cases, U.S. artillery were unable to completely</w:t>
      </w:r>
      <w:r>
        <w:rPr>
          <w:spacing w:val="1"/>
        </w:rPr>
        <w:t> </w:t>
      </w:r>
      <w:r>
        <w:rPr/>
        <w:t>penetrate</w:t>
      </w:r>
      <w:r>
        <w:rPr>
          <w:spacing w:val="-1"/>
        </w:rPr>
        <w:t> </w:t>
      </w:r>
      <w:r>
        <w:rPr/>
        <w:t>such structures</w:t>
      </w:r>
      <w:r>
        <w:rPr>
          <w:spacing w:val="-1"/>
        </w:rPr>
        <w:t> </w:t>
      </w:r>
      <w:r>
        <w:rPr/>
        <w:t>[97].</w:t>
      </w:r>
    </w:p>
    <w:p>
      <w:pPr>
        <w:pStyle w:val="BodyText"/>
        <w:spacing w:line="480" w:lineRule="auto" w:before="159"/>
        <w:ind w:left="439" w:right="257" w:firstLine="720"/>
        <w:jc w:val="both"/>
      </w:pPr>
      <w:r>
        <w:rPr/>
        <w:t>More current applications of wood against impact loads include composite panels</w:t>
      </w:r>
      <w:r>
        <w:rPr>
          <w:spacing w:val="1"/>
        </w:rPr>
        <w:t> </w:t>
      </w:r>
      <w:r>
        <w:rPr/>
        <w:t>being</w:t>
      </w:r>
      <w:r>
        <w:rPr>
          <w:spacing w:val="-7"/>
        </w:rPr>
        <w:t> </w:t>
      </w:r>
      <w:r>
        <w:rPr/>
        <w:t>developed</w:t>
      </w:r>
      <w:r>
        <w:rPr>
          <w:spacing w:val="-6"/>
        </w:rPr>
        <w:t> </w:t>
      </w:r>
      <w:r>
        <w:rPr/>
        <w:t>by</w:t>
      </w:r>
      <w:r>
        <w:rPr>
          <w:spacing w:val="-7"/>
        </w:rPr>
        <w:t> </w:t>
      </w:r>
      <w:r>
        <w:rPr/>
        <w:t>researchers</w:t>
      </w:r>
      <w:r>
        <w:rPr>
          <w:spacing w:val="-7"/>
        </w:rPr>
        <w:t> </w:t>
      </w:r>
      <w:r>
        <w:rPr/>
        <w:t>at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University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Maine’s</w:t>
      </w:r>
      <w:r>
        <w:rPr>
          <w:spacing w:val="-7"/>
        </w:rPr>
        <w:t> </w:t>
      </w:r>
      <w:r>
        <w:rPr/>
        <w:t>Advanced</w:t>
      </w:r>
      <w:r>
        <w:rPr>
          <w:spacing w:val="-7"/>
        </w:rPr>
        <w:t> </w:t>
      </w:r>
      <w:r>
        <w:rPr/>
        <w:t>Wood</w:t>
      </w:r>
      <w:r>
        <w:rPr>
          <w:spacing w:val="-6"/>
        </w:rPr>
        <w:t> </w:t>
      </w:r>
      <w:r>
        <w:rPr/>
        <w:t>Engineering</w:t>
      </w:r>
      <w:r>
        <w:rPr>
          <w:spacing w:val="-58"/>
        </w:rPr>
        <w:t> </w:t>
      </w:r>
      <w:r>
        <w:rPr/>
        <w:t>Composites Center for the U.S. Army Corps of Engineers.</w:t>
      </w:r>
      <w:r>
        <w:rPr>
          <w:spacing w:val="1"/>
        </w:rPr>
        <w:t> </w:t>
      </w:r>
      <w:r>
        <w:rPr/>
        <w:t>Based around a wood core, a</w:t>
      </w:r>
      <w:r>
        <w:rPr>
          <w:spacing w:val="1"/>
        </w:rPr>
        <w:t> </w:t>
      </w:r>
      <w:r>
        <w:rPr/>
        <w:t>lightweight</w:t>
      </w:r>
      <w:r>
        <w:rPr>
          <w:spacing w:val="-12"/>
        </w:rPr>
        <w:t> </w:t>
      </w:r>
      <w:r>
        <w:rPr/>
        <w:t>composite</w:t>
      </w:r>
      <w:r>
        <w:rPr>
          <w:spacing w:val="-10"/>
        </w:rPr>
        <w:t> </w:t>
      </w:r>
      <w:r>
        <w:rPr/>
        <w:t>panel</w:t>
      </w:r>
      <w:r>
        <w:rPr>
          <w:spacing w:val="-9"/>
        </w:rPr>
        <w:t> </w:t>
      </w:r>
      <w:r>
        <w:rPr/>
        <w:t>with</w:t>
      </w:r>
      <w:r>
        <w:rPr>
          <w:spacing w:val="-10"/>
        </w:rPr>
        <w:t> </w:t>
      </w:r>
      <w:r>
        <w:rPr/>
        <w:t>fibers</w:t>
      </w:r>
      <w:r>
        <w:rPr>
          <w:spacing w:val="-10"/>
        </w:rPr>
        <w:t> </w:t>
      </w:r>
      <w:r>
        <w:rPr/>
        <w:t>and</w:t>
      </w:r>
      <w:r>
        <w:rPr>
          <w:spacing w:val="-10"/>
        </w:rPr>
        <w:t> </w:t>
      </w:r>
      <w:r>
        <w:rPr/>
        <w:t>resin</w:t>
      </w:r>
      <w:r>
        <w:rPr>
          <w:spacing w:val="-11"/>
        </w:rPr>
        <w:t> </w:t>
      </w:r>
      <w:r>
        <w:rPr/>
        <w:t>has</w:t>
      </w:r>
      <w:r>
        <w:rPr>
          <w:spacing w:val="-10"/>
        </w:rPr>
        <w:t> </w:t>
      </w:r>
      <w:r>
        <w:rPr/>
        <w:t>been</w:t>
      </w:r>
      <w:r>
        <w:rPr>
          <w:spacing w:val="-10"/>
        </w:rPr>
        <w:t> </w:t>
      </w:r>
      <w:r>
        <w:rPr/>
        <w:t>developed</w:t>
      </w:r>
      <w:r>
        <w:rPr>
          <w:spacing w:val="-10"/>
        </w:rPr>
        <w:t> </w:t>
      </w:r>
      <w:r>
        <w:rPr/>
        <w:t>to</w:t>
      </w:r>
      <w:r>
        <w:rPr>
          <w:spacing w:val="-10"/>
        </w:rPr>
        <w:t> </w:t>
      </w:r>
      <w:r>
        <w:rPr/>
        <w:t>fit</w:t>
      </w:r>
      <w:r>
        <w:rPr>
          <w:spacing w:val="-9"/>
        </w:rPr>
        <w:t> </w:t>
      </w:r>
      <w:r>
        <w:rPr/>
        <w:t>inside</w:t>
      </w:r>
      <w:r>
        <w:rPr>
          <w:spacing w:val="-10"/>
        </w:rPr>
        <w:t> </w:t>
      </w:r>
      <w:r>
        <w:rPr/>
        <w:t>tents</w:t>
      </w:r>
      <w:r>
        <w:rPr>
          <w:spacing w:val="-11"/>
        </w:rPr>
        <w:t> </w:t>
      </w:r>
      <w:r>
        <w:rPr/>
        <w:t>and</w:t>
      </w:r>
      <w:r>
        <w:rPr>
          <w:spacing w:val="-58"/>
        </w:rPr>
        <w:t> </w:t>
      </w:r>
      <w:r>
        <w:rPr/>
        <w:t>provide increased protection from projectiles and blast.</w:t>
      </w:r>
      <w:r>
        <w:rPr>
          <w:spacing w:val="1"/>
        </w:rPr>
        <w:t> </w:t>
      </w:r>
      <w:r>
        <w:rPr/>
        <w:t>By employing techniques such as</w:t>
      </w:r>
      <w:r>
        <w:rPr>
          <w:spacing w:val="-57"/>
        </w:rPr>
        <w:t> </w:t>
      </w:r>
      <w:r>
        <w:rPr/>
        <w:t>use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fiberglass</w:t>
      </w:r>
      <w:r>
        <w:rPr>
          <w:spacing w:val="1"/>
        </w:rPr>
        <w:t> </w:t>
      </w:r>
      <w:r>
        <w:rPr/>
        <w:t>reinforced</w:t>
      </w:r>
      <w:r>
        <w:rPr>
          <w:spacing w:val="1"/>
        </w:rPr>
        <w:t> </w:t>
      </w:r>
      <w:r>
        <w:rPr/>
        <w:t>plastic</w:t>
      </w:r>
      <w:r>
        <w:rPr>
          <w:spacing w:val="1"/>
        </w:rPr>
        <w:t> </w:t>
      </w:r>
      <w:r>
        <w:rPr/>
        <w:t>(FRP)</w:t>
      </w:r>
      <w:r>
        <w:rPr>
          <w:spacing w:val="1"/>
        </w:rPr>
        <w:t> </w:t>
      </w:r>
      <w:r>
        <w:rPr/>
        <w:t>materials,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blast-resistance</w:t>
      </w:r>
      <w:r>
        <w:rPr>
          <w:spacing w:val="1"/>
        </w:rPr>
        <w:t> </w:t>
      </w:r>
      <w:r>
        <w:rPr/>
        <w:t>coatings,</w:t>
      </w:r>
      <w:r>
        <w:rPr>
          <w:spacing w:val="1"/>
        </w:rPr>
        <w:t> </w:t>
      </w:r>
      <w:r>
        <w:rPr/>
        <w:t>researchers work to capitalize on the high strength-to-weight ratio of wood by combining</w:t>
      </w:r>
      <w:r>
        <w:rPr>
          <w:spacing w:val="1"/>
        </w:rPr>
        <w:t> </w:t>
      </w:r>
      <w:r>
        <w:rPr/>
        <w:t>it with other materials known for tensile reinforcement and impact resistance [24].</w:t>
      </w:r>
      <w:r>
        <w:rPr>
          <w:spacing w:val="1"/>
        </w:rPr>
        <w:t> </w:t>
      </w:r>
      <w:r>
        <w:rPr/>
        <w:t>One</w:t>
      </w:r>
      <w:r>
        <w:rPr>
          <w:spacing w:val="1"/>
        </w:rPr>
        <w:t> </w:t>
      </w:r>
      <w:r>
        <w:rPr/>
        <w:t>Dutch</w:t>
      </w:r>
      <w:r>
        <w:rPr>
          <w:spacing w:val="26"/>
        </w:rPr>
        <w:t> </w:t>
      </w:r>
      <w:r>
        <w:rPr/>
        <w:t>manufacturer,</w:t>
      </w:r>
      <w:r>
        <w:rPr>
          <w:spacing w:val="25"/>
        </w:rPr>
        <w:t> </w:t>
      </w:r>
      <w:r>
        <w:rPr/>
        <w:t>Lignostone,</w:t>
      </w:r>
      <w:r>
        <w:rPr>
          <w:spacing w:val="26"/>
        </w:rPr>
        <w:t> </w:t>
      </w:r>
      <w:r>
        <w:rPr/>
        <w:t>makes</w:t>
      </w:r>
      <w:r>
        <w:rPr>
          <w:spacing w:val="28"/>
        </w:rPr>
        <w:t> </w:t>
      </w:r>
      <w:r>
        <w:rPr/>
        <w:t>a</w:t>
      </w:r>
      <w:r>
        <w:rPr>
          <w:spacing w:val="25"/>
        </w:rPr>
        <w:t> </w:t>
      </w:r>
      <w:r>
        <w:rPr/>
        <w:t>composite</w:t>
      </w:r>
      <w:r>
        <w:rPr>
          <w:spacing w:val="25"/>
        </w:rPr>
        <w:t> </w:t>
      </w:r>
      <w:r>
        <w:rPr/>
        <w:t>for</w:t>
      </w:r>
      <w:r>
        <w:rPr>
          <w:spacing w:val="28"/>
        </w:rPr>
        <w:t> </w:t>
      </w:r>
      <w:r>
        <w:rPr/>
        <w:t>the</w:t>
      </w:r>
      <w:r>
        <w:rPr>
          <w:spacing w:val="25"/>
        </w:rPr>
        <w:t> </w:t>
      </w:r>
      <w:r>
        <w:rPr/>
        <w:t>military</w:t>
      </w:r>
      <w:r>
        <w:rPr>
          <w:spacing w:val="25"/>
        </w:rPr>
        <w:t> </w:t>
      </w:r>
      <w:r>
        <w:rPr/>
        <w:t>using</w:t>
      </w:r>
      <w:r>
        <w:rPr>
          <w:spacing w:val="27"/>
        </w:rPr>
        <w:t> </w:t>
      </w:r>
      <w:r>
        <w:rPr/>
        <w:t>compressed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40" w:right="257"/>
        <w:jc w:val="both"/>
      </w:pPr>
      <w:r>
        <w:rPr/>
        <w:t>beechwood and aramid, glass epoxy or carbon [24].</w:t>
      </w:r>
      <w:r>
        <w:rPr>
          <w:spacing w:val="1"/>
        </w:rPr>
        <w:t> </w:t>
      </w:r>
      <w:r>
        <w:rPr/>
        <w:t>Other researchers, like those at the</w:t>
      </w:r>
      <w:r>
        <w:rPr>
          <w:spacing w:val="1"/>
        </w:rPr>
        <w:t> </w:t>
      </w:r>
      <w:r>
        <w:rPr/>
        <w:t>University of Maryland have focused on increasing the strength of wood by compressing</w:t>
      </w:r>
      <w:r>
        <w:rPr>
          <w:spacing w:val="1"/>
        </w:rPr>
        <w:t> </w:t>
      </w:r>
      <w:r>
        <w:rPr/>
        <w:t>and heating the wood lignin, which then exhibits improved ballistic resistance to natural</w:t>
      </w:r>
      <w:r>
        <w:rPr>
          <w:spacing w:val="1"/>
        </w:rPr>
        <w:t> </w:t>
      </w:r>
      <w:r>
        <w:rPr/>
        <w:t>wood</w:t>
      </w:r>
      <w:r>
        <w:rPr>
          <w:spacing w:val="-1"/>
        </w:rPr>
        <w:t> </w:t>
      </w:r>
      <w:r>
        <w:rPr/>
        <w:t>[59].</w:t>
      </w:r>
    </w:p>
    <w:p>
      <w:pPr>
        <w:pStyle w:val="Heading9"/>
        <w:numPr>
          <w:ilvl w:val="1"/>
          <w:numId w:val="19"/>
        </w:numPr>
        <w:tabs>
          <w:tab w:pos="800" w:val="left" w:leader="none"/>
        </w:tabs>
        <w:spacing w:line="240" w:lineRule="auto" w:before="162" w:after="0"/>
        <w:ind w:left="800" w:right="0" w:hanging="360"/>
        <w:jc w:val="both"/>
      </w:pPr>
      <w:bookmarkStart w:name="_TOC_250043" w:id="185"/>
      <w:bookmarkStart w:name="4.3 Southern Yellow Pine CLT: Small-scal" w:id="186"/>
      <w:r>
        <w:rPr>
          <w:b w:val="0"/>
        </w:rPr>
      </w:r>
      <w:bookmarkEnd w:id="186"/>
      <w:bookmarkStart w:name="4.3 Southern Yellow Pine CLT: Small-scal" w:id="187"/>
      <w:r>
        <w:rPr/>
        <w:t>S</w:t>
      </w:r>
      <w:r>
        <w:rPr/>
        <w:t>outhern</w:t>
      </w:r>
      <w:r>
        <w:rPr>
          <w:spacing w:val="-5"/>
        </w:rPr>
        <w:t> </w:t>
      </w:r>
      <w:r>
        <w:rPr/>
        <w:t>Yellow</w:t>
      </w:r>
      <w:r>
        <w:rPr>
          <w:spacing w:val="-5"/>
        </w:rPr>
        <w:t> </w:t>
      </w:r>
      <w:r>
        <w:rPr/>
        <w:t>Pine</w:t>
      </w:r>
      <w:r>
        <w:rPr>
          <w:spacing w:val="-3"/>
        </w:rPr>
        <w:t> </w:t>
      </w:r>
      <w:r>
        <w:rPr/>
        <w:t>CLT:</w:t>
      </w:r>
      <w:r>
        <w:rPr>
          <w:spacing w:val="-3"/>
        </w:rPr>
        <w:t> </w:t>
      </w:r>
      <w:r>
        <w:rPr/>
        <w:t>Small-scale</w:t>
      </w:r>
      <w:r>
        <w:rPr>
          <w:spacing w:val="-3"/>
        </w:rPr>
        <w:t> </w:t>
      </w:r>
      <w:bookmarkEnd w:id="185"/>
      <w:r>
        <w:rPr/>
        <w:t>production</w:t>
      </w:r>
    </w:p>
    <w:p>
      <w:pPr>
        <w:pStyle w:val="BodyText"/>
        <w:spacing w:before="6"/>
        <w:rPr>
          <w:b/>
          <w:sz w:val="22"/>
        </w:rPr>
      </w:pPr>
    </w:p>
    <w:p>
      <w:pPr>
        <w:pStyle w:val="BodyText"/>
        <w:spacing w:line="480" w:lineRule="auto"/>
        <w:ind w:left="440" w:right="257" w:firstLine="720"/>
        <w:jc w:val="both"/>
      </w:pPr>
      <w:r>
        <w:rPr/>
        <w:t>In the interest of examining multiple wood types and their properties with respect</w:t>
      </w:r>
      <w:r>
        <w:rPr>
          <w:spacing w:val="1"/>
        </w:rPr>
        <w:t> </w:t>
      </w:r>
      <w:r>
        <w:rPr/>
        <w:t>to</w:t>
      </w:r>
      <w:r>
        <w:rPr>
          <w:spacing w:val="-5"/>
        </w:rPr>
        <w:t> </w:t>
      </w:r>
      <w:r>
        <w:rPr/>
        <w:t>ballistic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/>
        <w:t>blast</w:t>
      </w:r>
      <w:r>
        <w:rPr>
          <w:spacing w:val="-5"/>
        </w:rPr>
        <w:t> </w:t>
      </w:r>
      <w:r>
        <w:rPr/>
        <w:t>performance,</w:t>
      </w:r>
      <w:r>
        <w:rPr>
          <w:spacing w:val="-4"/>
        </w:rPr>
        <w:t> </w:t>
      </w:r>
      <w:r>
        <w:rPr/>
        <w:t>a</w:t>
      </w:r>
      <w:r>
        <w:rPr>
          <w:spacing w:val="-5"/>
        </w:rPr>
        <w:t> </w:t>
      </w:r>
      <w:r>
        <w:rPr/>
        <w:t>small-scale</w:t>
      </w:r>
      <w:r>
        <w:rPr>
          <w:spacing w:val="-4"/>
        </w:rPr>
        <w:t> </w:t>
      </w:r>
      <w:r>
        <w:rPr/>
        <w:t>production</w:t>
      </w:r>
      <w:r>
        <w:rPr>
          <w:spacing w:val="-5"/>
        </w:rPr>
        <w:t> </w:t>
      </w:r>
      <w:r>
        <w:rPr/>
        <w:t>process</w:t>
      </w:r>
      <w:r>
        <w:rPr>
          <w:spacing w:val="-4"/>
        </w:rPr>
        <w:t> </w:t>
      </w:r>
      <w:r>
        <w:rPr/>
        <w:t>was</w:t>
      </w:r>
      <w:r>
        <w:rPr>
          <w:spacing w:val="-4"/>
        </w:rPr>
        <w:t> </w:t>
      </w:r>
      <w:r>
        <w:rPr/>
        <w:t>developed</w:t>
      </w:r>
      <w:r>
        <w:rPr>
          <w:spacing w:val="-5"/>
        </w:rPr>
        <w:t> </w:t>
      </w:r>
      <w:r>
        <w:rPr/>
        <w:t>for</w:t>
      </w:r>
      <w:r>
        <w:rPr>
          <w:spacing w:val="-5"/>
        </w:rPr>
        <w:t> </w:t>
      </w:r>
      <w:r>
        <w:rPr/>
        <w:t>this</w:t>
      </w:r>
      <w:r>
        <w:rPr>
          <w:spacing w:val="-58"/>
        </w:rPr>
        <w:t> </w:t>
      </w:r>
      <w:r>
        <w:rPr/>
        <w:t>research.</w:t>
      </w:r>
      <w:r>
        <w:rPr>
          <w:spacing w:val="1"/>
        </w:rPr>
        <w:t> </w:t>
      </w:r>
      <w:r>
        <w:rPr/>
        <w:t>This allowed for investigation of two different classifications of CLT with</w:t>
      </w:r>
      <w:r>
        <w:rPr>
          <w:spacing w:val="1"/>
        </w:rPr>
        <w:t> </w:t>
      </w:r>
      <w:r>
        <w:rPr/>
        <w:t>different</w:t>
      </w:r>
      <w:r>
        <w:rPr>
          <w:spacing w:val="-7"/>
        </w:rPr>
        <w:t> </w:t>
      </w:r>
      <w:r>
        <w:rPr/>
        <w:t>physical</w:t>
      </w:r>
      <w:r>
        <w:rPr>
          <w:spacing w:val="-7"/>
        </w:rPr>
        <w:t> </w:t>
      </w:r>
      <w:r>
        <w:rPr/>
        <w:t>properties.</w:t>
      </w:r>
      <w:r>
        <w:rPr>
          <w:spacing w:val="46"/>
        </w:rPr>
        <w:t> </w:t>
      </w:r>
      <w:r>
        <w:rPr/>
        <w:t>A</w:t>
      </w:r>
      <w:r>
        <w:rPr>
          <w:spacing w:val="-8"/>
        </w:rPr>
        <w:t> </w:t>
      </w:r>
      <w:r>
        <w:rPr/>
        <w:t>portion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work</w:t>
      </w:r>
      <w:r>
        <w:rPr>
          <w:spacing w:val="-7"/>
        </w:rPr>
        <w:t> </w:t>
      </w:r>
      <w:r>
        <w:rPr/>
        <w:t>focused</w:t>
      </w:r>
      <w:r>
        <w:rPr>
          <w:spacing w:val="-9"/>
        </w:rPr>
        <w:t> </w:t>
      </w:r>
      <w:r>
        <w:rPr/>
        <w:t>on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production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Southern</w:t>
      </w:r>
      <w:r>
        <w:rPr>
          <w:spacing w:val="-58"/>
        </w:rPr>
        <w:t> </w:t>
      </w:r>
      <w:r>
        <w:rPr/>
        <w:t>Yellow Pine CLT because in order to be considered as a viable material for use in</w:t>
      </w:r>
      <w:r>
        <w:rPr>
          <w:spacing w:val="1"/>
        </w:rPr>
        <w:t> </w:t>
      </w:r>
      <w:r>
        <w:rPr/>
        <w:t>temporary</w:t>
      </w:r>
      <w:r>
        <w:rPr>
          <w:spacing w:val="-8"/>
        </w:rPr>
        <w:t> </w:t>
      </w:r>
      <w:r>
        <w:rPr/>
        <w:t>military</w:t>
      </w:r>
      <w:r>
        <w:rPr>
          <w:spacing w:val="-9"/>
        </w:rPr>
        <w:t> </w:t>
      </w:r>
      <w:r>
        <w:rPr/>
        <w:t>structures,</w:t>
      </w:r>
      <w:r>
        <w:rPr>
          <w:spacing w:val="-7"/>
        </w:rPr>
        <w:t> </w:t>
      </w:r>
      <w:r>
        <w:rPr/>
        <w:t>it</w:t>
      </w:r>
      <w:r>
        <w:rPr>
          <w:spacing w:val="-7"/>
        </w:rPr>
        <w:t> </w:t>
      </w:r>
      <w:r>
        <w:rPr/>
        <w:t>needs</w:t>
      </w:r>
      <w:r>
        <w:rPr>
          <w:spacing w:val="-7"/>
        </w:rPr>
        <w:t> </w:t>
      </w:r>
      <w:r>
        <w:rPr/>
        <w:t>to</w:t>
      </w:r>
      <w:r>
        <w:rPr>
          <w:spacing w:val="-8"/>
        </w:rPr>
        <w:t> </w:t>
      </w:r>
      <w:r>
        <w:rPr/>
        <w:t>be</w:t>
      </w:r>
      <w:r>
        <w:rPr>
          <w:spacing w:val="-7"/>
        </w:rPr>
        <w:t> </w:t>
      </w:r>
      <w:r>
        <w:rPr/>
        <w:t>more</w:t>
      </w:r>
      <w:r>
        <w:rPr>
          <w:spacing w:val="-7"/>
        </w:rPr>
        <w:t> </w:t>
      </w:r>
      <w:r>
        <w:rPr/>
        <w:t>widely</w:t>
      </w:r>
      <w:r>
        <w:rPr>
          <w:spacing w:val="-7"/>
        </w:rPr>
        <w:t> </w:t>
      </w:r>
      <w:r>
        <w:rPr/>
        <w:t>produced</w:t>
      </w:r>
      <w:r>
        <w:rPr>
          <w:spacing w:val="-8"/>
        </w:rPr>
        <w:t> </w:t>
      </w:r>
      <w:r>
        <w:rPr/>
        <w:t>beyond</w:t>
      </w:r>
      <w:r>
        <w:rPr>
          <w:spacing w:val="-9"/>
        </w:rPr>
        <w:t> </w:t>
      </w:r>
      <w:r>
        <w:rPr/>
        <w:t>Canada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the</w:t>
      </w:r>
      <w:r>
        <w:rPr>
          <w:spacing w:val="-58"/>
        </w:rPr>
        <w:t> </w:t>
      </w:r>
      <w:r>
        <w:rPr/>
        <w:t>Pacific Northwest region. Using local and different sources of timber</w:t>
      </w:r>
      <w:r>
        <w:rPr>
          <w:spacing w:val="1"/>
        </w:rPr>
        <w:t> </w:t>
      </w:r>
      <w:r>
        <w:rPr/>
        <w:t>increases the</w:t>
      </w:r>
      <w:r>
        <w:rPr>
          <w:spacing w:val="1"/>
        </w:rPr>
        <w:t> </w:t>
      </w:r>
      <w:r>
        <w:rPr/>
        <w:t>availability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CLT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employment.</w:t>
      </w:r>
      <w:r>
        <w:rPr>
          <w:spacing w:val="1"/>
        </w:rPr>
        <w:t> </w:t>
      </w:r>
      <w:r>
        <w:rPr/>
        <w:t>Additionally,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greater</w:t>
      </w:r>
      <w:r>
        <w:rPr>
          <w:spacing w:val="1"/>
        </w:rPr>
        <w:t> </w:t>
      </w:r>
      <w:r>
        <w:rPr/>
        <w:t>understanding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composite panels was gained through the production process, and this contributed to the</w:t>
      </w:r>
      <w:r>
        <w:rPr>
          <w:spacing w:val="1"/>
        </w:rPr>
        <w:t> </w:t>
      </w:r>
      <w:r>
        <w:rPr/>
        <w:t>concept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developing</w:t>
      </w:r>
      <w:r>
        <w:rPr>
          <w:spacing w:val="-3"/>
        </w:rPr>
        <w:t> </w:t>
      </w:r>
      <w:r>
        <w:rPr/>
        <w:t>the enhanced</w:t>
      </w:r>
      <w:r>
        <w:rPr>
          <w:spacing w:val="-2"/>
        </w:rPr>
        <w:t> </w:t>
      </w:r>
      <w:r>
        <w:rPr/>
        <w:t>CLT</w:t>
      </w:r>
      <w:r>
        <w:rPr>
          <w:spacing w:val="-2"/>
        </w:rPr>
        <w:t> </w:t>
      </w:r>
      <w:r>
        <w:rPr/>
        <w:t>prototypes discussed in</w:t>
      </w:r>
      <w:r>
        <w:rPr>
          <w:spacing w:val="-1"/>
        </w:rPr>
        <w:t> </w:t>
      </w:r>
      <w:r>
        <w:rPr/>
        <w:t>Chapter</w:t>
      </w:r>
      <w:r>
        <w:rPr>
          <w:spacing w:val="-1"/>
        </w:rPr>
        <w:t> </w:t>
      </w:r>
      <w:r>
        <w:rPr/>
        <w:t>7.</w:t>
      </w:r>
    </w:p>
    <w:p>
      <w:pPr>
        <w:pStyle w:val="ListParagraph"/>
        <w:numPr>
          <w:ilvl w:val="2"/>
          <w:numId w:val="19"/>
        </w:numPr>
        <w:tabs>
          <w:tab w:pos="980" w:val="left" w:leader="none"/>
        </w:tabs>
        <w:spacing w:line="240" w:lineRule="auto" w:before="161" w:after="0"/>
        <w:ind w:left="980" w:right="0" w:hanging="540"/>
        <w:jc w:val="both"/>
        <w:rPr>
          <w:i/>
          <w:sz w:val="24"/>
        </w:rPr>
      </w:pPr>
      <w:bookmarkStart w:name="4.3.1 Current CLT manufacturing" w:id="188"/>
      <w:bookmarkEnd w:id="188"/>
      <w:r>
        <w:rPr/>
      </w:r>
      <w:bookmarkStart w:name="4.3.1 Current CLT manufacturing" w:id="189"/>
      <w:bookmarkEnd w:id="189"/>
      <w:r>
        <w:rPr>
          <w:i/>
          <w:sz w:val="24"/>
        </w:rPr>
        <w:t>C</w:t>
      </w:r>
      <w:r>
        <w:rPr>
          <w:i/>
          <w:sz w:val="24"/>
        </w:rPr>
        <w:t>urrent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CLT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manufacturing</w:t>
      </w:r>
    </w:p>
    <w:p>
      <w:pPr>
        <w:pStyle w:val="BodyText"/>
        <w:spacing w:before="8"/>
        <w:rPr>
          <w:i/>
          <w:sz w:val="22"/>
        </w:rPr>
      </w:pPr>
    </w:p>
    <w:p>
      <w:pPr>
        <w:pStyle w:val="BodyText"/>
        <w:spacing w:line="480" w:lineRule="auto"/>
        <w:ind w:left="440" w:right="256" w:firstLine="720"/>
        <w:jc w:val="both"/>
      </w:pPr>
      <w:r>
        <w:rPr/>
        <w:t>Current</w:t>
      </w:r>
      <w:r>
        <w:rPr>
          <w:spacing w:val="-6"/>
        </w:rPr>
        <w:t> </w:t>
      </w:r>
      <w:r>
        <w:rPr/>
        <w:t>North</w:t>
      </w:r>
      <w:r>
        <w:rPr>
          <w:spacing w:val="-6"/>
        </w:rPr>
        <w:t> </w:t>
      </w:r>
      <w:r>
        <w:rPr/>
        <w:t>American</w:t>
      </w:r>
      <w:r>
        <w:rPr>
          <w:spacing w:val="-5"/>
        </w:rPr>
        <w:t> </w:t>
      </w:r>
      <w:r>
        <w:rPr/>
        <w:t>manufacturers</w:t>
      </w:r>
      <w:r>
        <w:rPr>
          <w:spacing w:val="-6"/>
        </w:rPr>
        <w:t> </w:t>
      </w:r>
      <w:r>
        <w:rPr/>
        <w:t>produce</w:t>
      </w:r>
      <w:r>
        <w:rPr>
          <w:spacing w:val="-5"/>
        </w:rPr>
        <w:t> </w:t>
      </w:r>
      <w:r>
        <w:rPr/>
        <w:t>CLT</w:t>
      </w:r>
      <w:r>
        <w:rPr>
          <w:spacing w:val="-5"/>
        </w:rPr>
        <w:t> </w:t>
      </w:r>
      <w:r>
        <w:rPr/>
        <w:t>made</w:t>
      </w:r>
      <w:r>
        <w:rPr>
          <w:spacing w:val="-4"/>
        </w:rPr>
        <w:t> </w:t>
      </w:r>
      <w:r>
        <w:rPr/>
        <w:t>from</w:t>
      </w:r>
      <w:r>
        <w:rPr>
          <w:spacing w:val="-8"/>
        </w:rPr>
        <w:t> </w:t>
      </w:r>
      <w:r>
        <w:rPr/>
        <w:t>softwood</w:t>
      </w:r>
      <w:r>
        <w:rPr>
          <w:spacing w:val="-5"/>
        </w:rPr>
        <w:t> </w:t>
      </w:r>
      <w:r>
        <w:rPr/>
        <w:t>species</w:t>
      </w:r>
      <w:r>
        <w:rPr>
          <w:spacing w:val="-58"/>
        </w:rPr>
        <w:t> </w:t>
      </w:r>
      <w:r>
        <w:rPr/>
        <w:t>native to their location.</w:t>
      </w:r>
      <w:r>
        <w:rPr>
          <w:spacing w:val="1"/>
        </w:rPr>
        <w:t> </w:t>
      </w:r>
      <w:r>
        <w:rPr/>
        <w:t>A common wood species used in the manufacture of CLT is</w:t>
      </w:r>
      <w:r>
        <w:rPr>
          <w:spacing w:val="1"/>
        </w:rPr>
        <w:t> </w:t>
      </w:r>
      <w:r>
        <w:rPr/>
        <w:t>Spruce-Pine-Fir (SPF), which grows abundantly in the northern U.S. as well as Canada.</w:t>
      </w:r>
      <w:r>
        <w:rPr>
          <w:spacing w:val="1"/>
        </w:rPr>
        <w:t> </w:t>
      </w:r>
      <w:r>
        <w:rPr/>
        <w:t>Specific</w:t>
      </w:r>
      <w:r>
        <w:rPr>
          <w:spacing w:val="-6"/>
        </w:rPr>
        <w:t> </w:t>
      </w:r>
      <w:r>
        <w:rPr/>
        <w:t>tree</w:t>
      </w:r>
      <w:r>
        <w:rPr>
          <w:spacing w:val="-6"/>
        </w:rPr>
        <w:t> </w:t>
      </w:r>
      <w:r>
        <w:rPr/>
        <w:t>types</w:t>
      </w:r>
      <w:r>
        <w:rPr>
          <w:spacing w:val="-6"/>
        </w:rPr>
        <w:t> </w:t>
      </w:r>
      <w:r>
        <w:rPr/>
        <w:t>that</w:t>
      </w:r>
      <w:r>
        <w:rPr>
          <w:spacing w:val="-5"/>
        </w:rPr>
        <w:t> </w:t>
      </w:r>
      <w:r>
        <w:rPr/>
        <w:t>fall</w:t>
      </w:r>
      <w:r>
        <w:rPr>
          <w:spacing w:val="-6"/>
        </w:rPr>
        <w:t> </w:t>
      </w:r>
      <w:r>
        <w:rPr/>
        <w:t>within</w:t>
      </w:r>
      <w:r>
        <w:rPr>
          <w:spacing w:val="-5"/>
        </w:rPr>
        <w:t> </w:t>
      </w:r>
      <w:r>
        <w:rPr/>
        <w:t>that</w:t>
      </w:r>
      <w:r>
        <w:rPr>
          <w:spacing w:val="-6"/>
        </w:rPr>
        <w:t> </w:t>
      </w:r>
      <w:r>
        <w:rPr/>
        <w:t>species</w:t>
      </w:r>
      <w:r>
        <w:rPr>
          <w:spacing w:val="-6"/>
        </w:rPr>
        <w:t> </w:t>
      </w:r>
      <w:r>
        <w:rPr/>
        <w:t>classification</w:t>
      </w:r>
      <w:r>
        <w:rPr>
          <w:spacing w:val="-5"/>
        </w:rPr>
        <w:t> </w:t>
      </w:r>
      <w:r>
        <w:rPr/>
        <w:t>include</w:t>
      </w:r>
      <w:r>
        <w:rPr>
          <w:spacing w:val="-6"/>
        </w:rPr>
        <w:t> </w:t>
      </w:r>
      <w:r>
        <w:rPr/>
        <w:t>Balsam</w:t>
      </w:r>
      <w:r>
        <w:rPr>
          <w:spacing w:val="-6"/>
        </w:rPr>
        <w:t> </w:t>
      </w:r>
      <w:r>
        <w:rPr/>
        <w:t>Fir,</w:t>
      </w:r>
      <w:r>
        <w:rPr>
          <w:spacing w:val="-6"/>
        </w:rPr>
        <w:t> </w:t>
      </w:r>
      <w:r>
        <w:rPr/>
        <w:t>Red</w:t>
      </w:r>
      <w:r>
        <w:rPr>
          <w:spacing w:val="-5"/>
        </w:rPr>
        <w:t> </w:t>
      </w:r>
      <w:r>
        <w:rPr/>
        <w:t>Pine,</w:t>
      </w:r>
      <w:r>
        <w:rPr>
          <w:spacing w:val="-58"/>
        </w:rPr>
        <w:t> </w:t>
      </w:r>
      <w:r>
        <w:rPr/>
        <w:t>Red</w:t>
      </w:r>
      <w:r>
        <w:rPr>
          <w:spacing w:val="1"/>
        </w:rPr>
        <w:t> </w:t>
      </w:r>
      <w:r>
        <w:rPr/>
        <w:t>Spruce,</w:t>
      </w:r>
      <w:r>
        <w:rPr>
          <w:spacing w:val="1"/>
        </w:rPr>
        <w:t> </w:t>
      </w:r>
      <w:r>
        <w:rPr/>
        <w:t>Black</w:t>
      </w:r>
      <w:r>
        <w:rPr>
          <w:spacing w:val="1"/>
        </w:rPr>
        <w:t> </w:t>
      </w:r>
      <w:r>
        <w:rPr/>
        <w:t>Spruce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Lodgepole</w:t>
      </w:r>
      <w:r>
        <w:rPr>
          <w:spacing w:val="1"/>
        </w:rPr>
        <w:t> </w:t>
      </w:r>
      <w:r>
        <w:rPr/>
        <w:t>Pine.</w:t>
      </w:r>
      <w:r>
        <w:rPr>
          <w:spacing w:val="1"/>
        </w:rPr>
        <w:t> </w:t>
      </w:r>
      <w:r>
        <w:rPr/>
        <w:t>SPF</w:t>
      </w:r>
      <w:r>
        <w:rPr>
          <w:spacing w:val="1"/>
        </w:rPr>
        <w:t> </w:t>
      </w:r>
      <w:r>
        <w:rPr/>
        <w:t>wood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commonly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for</w:t>
      </w:r>
      <w:r>
        <w:rPr>
          <w:spacing w:val="-57"/>
        </w:rPr>
        <w:t> </w:t>
      </w:r>
      <w:r>
        <w:rPr>
          <w:spacing w:val="-1"/>
        </w:rPr>
        <w:t>dimensionally</w:t>
      </w:r>
      <w:r>
        <w:rPr>
          <w:spacing w:val="-13"/>
        </w:rPr>
        <w:t> </w:t>
      </w:r>
      <w:r>
        <w:rPr/>
        <w:t>sawn</w:t>
      </w:r>
      <w:r>
        <w:rPr>
          <w:spacing w:val="-15"/>
        </w:rPr>
        <w:t> </w:t>
      </w:r>
      <w:r>
        <w:rPr/>
        <w:t>lumber.</w:t>
      </w:r>
      <w:r>
        <w:rPr>
          <w:spacing w:val="34"/>
        </w:rPr>
        <w:t> </w:t>
      </w:r>
      <w:r>
        <w:rPr/>
        <w:t>Located</w:t>
      </w:r>
      <w:r>
        <w:rPr>
          <w:spacing w:val="-12"/>
        </w:rPr>
        <w:t> </w:t>
      </w:r>
      <w:r>
        <w:rPr/>
        <w:t>in</w:t>
      </w:r>
      <w:r>
        <w:rPr>
          <w:spacing w:val="-13"/>
        </w:rPr>
        <w:t> </w:t>
      </w:r>
      <w:r>
        <w:rPr/>
        <w:t>Montana,</w:t>
      </w:r>
      <w:r>
        <w:rPr>
          <w:spacing w:val="-12"/>
        </w:rPr>
        <w:t> </w:t>
      </w:r>
      <w:r>
        <w:rPr/>
        <w:t>SmartLam</w:t>
      </w:r>
      <w:r>
        <w:rPr>
          <w:spacing w:val="-14"/>
        </w:rPr>
        <w:t> </w:t>
      </w:r>
      <w:r>
        <w:rPr/>
        <w:t>manufactures</w:t>
      </w:r>
      <w:r>
        <w:rPr>
          <w:spacing w:val="-12"/>
        </w:rPr>
        <w:t> </w:t>
      </w:r>
      <w:r>
        <w:rPr/>
        <w:t>CLT</w:t>
      </w:r>
      <w:r>
        <w:rPr>
          <w:spacing w:val="-13"/>
        </w:rPr>
        <w:t> </w:t>
      </w:r>
      <w:r>
        <w:rPr/>
        <w:t>from</w:t>
      </w:r>
      <w:r>
        <w:rPr>
          <w:spacing w:val="-13"/>
        </w:rPr>
        <w:t> </w:t>
      </w:r>
      <w:r>
        <w:rPr/>
        <w:t>both</w:t>
      </w:r>
      <w:r>
        <w:rPr>
          <w:spacing w:val="-58"/>
        </w:rPr>
        <w:t> </w:t>
      </w:r>
      <w:r>
        <w:rPr/>
        <w:t>SPF</w:t>
      </w:r>
      <w:r>
        <w:rPr>
          <w:spacing w:val="7"/>
        </w:rPr>
        <w:t> </w:t>
      </w:r>
      <w:r>
        <w:rPr/>
        <w:t>harvested</w:t>
      </w:r>
      <w:r>
        <w:rPr>
          <w:spacing w:val="7"/>
        </w:rPr>
        <w:t> </w:t>
      </w:r>
      <w:r>
        <w:rPr/>
        <w:t>in</w:t>
      </w:r>
      <w:r>
        <w:rPr>
          <w:spacing w:val="7"/>
        </w:rPr>
        <w:t> </w:t>
      </w:r>
      <w:r>
        <w:rPr/>
        <w:t>Canada</w:t>
      </w:r>
      <w:r>
        <w:rPr>
          <w:spacing w:val="7"/>
        </w:rPr>
        <w:t> </w:t>
      </w:r>
      <w:r>
        <w:rPr/>
        <w:t>and</w:t>
      </w:r>
      <w:r>
        <w:rPr>
          <w:spacing w:val="7"/>
        </w:rPr>
        <w:t> </w:t>
      </w:r>
      <w:r>
        <w:rPr/>
        <w:t>Spruce-Pine-Fir</w:t>
      </w:r>
      <w:r>
        <w:rPr>
          <w:spacing w:val="6"/>
        </w:rPr>
        <w:t> </w:t>
      </w:r>
      <w:r>
        <w:rPr/>
        <w:t>(South)</w:t>
      </w:r>
      <w:r>
        <w:rPr>
          <w:spacing w:val="6"/>
        </w:rPr>
        <w:t> </w:t>
      </w:r>
      <w:r>
        <w:rPr/>
        <w:t>(SPF-S)</w:t>
      </w:r>
      <w:r>
        <w:rPr>
          <w:spacing w:val="7"/>
        </w:rPr>
        <w:t> </w:t>
      </w:r>
      <w:r>
        <w:rPr/>
        <w:t>harvested</w:t>
      </w:r>
      <w:r>
        <w:rPr>
          <w:spacing w:val="6"/>
        </w:rPr>
        <w:t> </w:t>
      </w:r>
      <w:r>
        <w:rPr/>
        <w:t>locally</w:t>
      </w:r>
      <w:r>
        <w:rPr>
          <w:spacing w:val="6"/>
        </w:rPr>
        <w:t> </w:t>
      </w:r>
      <w:r>
        <w:rPr/>
        <w:t>in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40" w:right="257"/>
        <w:jc w:val="both"/>
      </w:pPr>
      <w:r>
        <w:rPr/>
        <w:t>Montana.</w:t>
      </w:r>
      <w:r>
        <w:rPr>
          <w:spacing w:val="1"/>
        </w:rPr>
        <w:t> </w:t>
      </w:r>
      <w:r>
        <w:rPr/>
        <w:t>SPF-S is a species of softwood very similar to SPF but with minor differences</w:t>
      </w:r>
      <w:r>
        <w:rPr>
          <w:spacing w:val="1"/>
        </w:rPr>
        <w:t> </w:t>
      </w:r>
      <w:r>
        <w:rPr/>
        <w:t>in the specific types of trees included or excluded.</w:t>
      </w:r>
      <w:r>
        <w:rPr>
          <w:spacing w:val="1"/>
        </w:rPr>
        <w:t> </w:t>
      </w:r>
      <w:r>
        <w:rPr/>
        <w:t>SPF is distinct from SPF-S in that the</w:t>
      </w:r>
      <w:r>
        <w:rPr>
          <w:spacing w:val="1"/>
        </w:rPr>
        <w:t> </w:t>
      </w:r>
      <w:r>
        <w:rPr/>
        <w:t>wood</w:t>
      </w:r>
      <w:r>
        <w:rPr>
          <w:spacing w:val="1"/>
        </w:rPr>
        <w:t> </w:t>
      </w:r>
      <w:r>
        <w:rPr/>
        <w:t>source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exclusively</w:t>
      </w:r>
      <w:r>
        <w:rPr>
          <w:spacing w:val="1"/>
        </w:rPr>
        <w:t> </w:t>
      </w:r>
      <w:r>
        <w:rPr/>
        <w:t>Canadian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origin.</w:t>
      </w:r>
      <w:r>
        <w:rPr>
          <w:spacing w:val="1"/>
        </w:rPr>
        <w:t> </w:t>
      </w:r>
      <w:r>
        <w:rPr/>
        <w:t>Nordic</w:t>
      </w:r>
      <w:r>
        <w:rPr>
          <w:spacing w:val="1"/>
        </w:rPr>
        <w:t> </w:t>
      </w:r>
      <w:r>
        <w:rPr/>
        <w:t>Structures,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Canadian</w:t>
      </w:r>
      <w:r>
        <w:rPr>
          <w:spacing w:val="1"/>
        </w:rPr>
        <w:t> </w:t>
      </w:r>
      <w:r>
        <w:rPr/>
        <w:t>manufacturer,</w:t>
      </w:r>
      <w:r>
        <w:rPr>
          <w:spacing w:val="-5"/>
        </w:rPr>
        <w:t> </w:t>
      </w:r>
      <w:r>
        <w:rPr/>
        <w:t>also</w:t>
      </w:r>
      <w:r>
        <w:rPr>
          <w:spacing w:val="-5"/>
        </w:rPr>
        <w:t> </w:t>
      </w:r>
      <w:r>
        <w:rPr/>
        <w:t>uses</w:t>
      </w:r>
      <w:r>
        <w:rPr>
          <w:spacing w:val="-5"/>
        </w:rPr>
        <w:t> </w:t>
      </w:r>
      <w:r>
        <w:rPr/>
        <w:t>Spruce-Pine-Fir</w:t>
      </w:r>
      <w:r>
        <w:rPr>
          <w:spacing w:val="-4"/>
        </w:rPr>
        <w:t> </w:t>
      </w:r>
      <w:r>
        <w:rPr/>
        <w:t>species</w:t>
      </w:r>
      <w:r>
        <w:rPr>
          <w:spacing w:val="-6"/>
        </w:rPr>
        <w:t> </w:t>
      </w:r>
      <w:r>
        <w:rPr/>
        <w:t>for</w:t>
      </w:r>
      <w:r>
        <w:rPr>
          <w:spacing w:val="-4"/>
        </w:rPr>
        <w:t> </w:t>
      </w:r>
      <w:r>
        <w:rPr/>
        <w:t>their</w:t>
      </w:r>
      <w:r>
        <w:rPr>
          <w:spacing w:val="-3"/>
        </w:rPr>
        <w:t> </w:t>
      </w:r>
      <w:r>
        <w:rPr/>
        <w:t>E1</w:t>
      </w:r>
      <w:r>
        <w:rPr>
          <w:spacing w:val="-6"/>
        </w:rPr>
        <w:t> </w:t>
      </w:r>
      <w:r>
        <w:rPr/>
        <w:t>graded</w:t>
      </w:r>
      <w:r>
        <w:rPr>
          <w:spacing w:val="-5"/>
        </w:rPr>
        <w:t> </w:t>
      </w:r>
      <w:r>
        <w:rPr/>
        <w:t>CLT</w:t>
      </w:r>
      <w:r>
        <w:rPr>
          <w:spacing w:val="-4"/>
        </w:rPr>
        <w:t> </w:t>
      </w:r>
      <w:r>
        <w:rPr/>
        <w:t>product,</w:t>
      </w:r>
      <w:r>
        <w:rPr>
          <w:spacing w:val="-5"/>
        </w:rPr>
        <w:t> </w:t>
      </w:r>
      <w:r>
        <w:rPr/>
        <w:t>X-Lam.</w:t>
      </w:r>
    </w:p>
    <w:p>
      <w:pPr>
        <w:pStyle w:val="BodyText"/>
        <w:spacing w:line="480" w:lineRule="auto" w:before="159"/>
        <w:ind w:left="439" w:right="257" w:firstLine="720"/>
        <w:jc w:val="both"/>
      </w:pPr>
      <w:r>
        <w:rPr/>
        <w:t>Another category of wood species used extensively in lightweight wood frame</w:t>
      </w:r>
      <w:r>
        <w:rPr>
          <w:spacing w:val="1"/>
        </w:rPr>
        <w:t> </w:t>
      </w:r>
      <w:r>
        <w:rPr/>
        <w:t>construction is Southern Yellow Pine.</w:t>
      </w:r>
      <w:r>
        <w:rPr>
          <w:spacing w:val="1"/>
        </w:rPr>
        <w:t> </w:t>
      </w:r>
      <w:r>
        <w:rPr/>
        <w:t>To date, there is not a manufacturer who produces</w:t>
      </w:r>
      <w:r>
        <w:rPr>
          <w:spacing w:val="-57"/>
        </w:rPr>
        <w:t> </w:t>
      </w:r>
      <w:r>
        <w:rPr/>
        <w:t>and</w:t>
      </w:r>
      <w:r>
        <w:rPr>
          <w:spacing w:val="-12"/>
        </w:rPr>
        <w:t> </w:t>
      </w:r>
      <w:r>
        <w:rPr/>
        <w:t>sells</w:t>
      </w:r>
      <w:r>
        <w:rPr>
          <w:spacing w:val="-12"/>
        </w:rPr>
        <w:t> </w:t>
      </w:r>
      <w:r>
        <w:rPr/>
        <w:t>a</w:t>
      </w:r>
      <w:r>
        <w:rPr>
          <w:spacing w:val="-12"/>
        </w:rPr>
        <w:t> </w:t>
      </w:r>
      <w:r>
        <w:rPr/>
        <w:t>CLT</w:t>
      </w:r>
      <w:r>
        <w:rPr>
          <w:spacing w:val="-11"/>
        </w:rPr>
        <w:t> </w:t>
      </w:r>
      <w:r>
        <w:rPr/>
        <w:t>product</w:t>
      </w:r>
      <w:r>
        <w:rPr>
          <w:spacing w:val="-13"/>
        </w:rPr>
        <w:t> </w:t>
      </w:r>
      <w:r>
        <w:rPr/>
        <w:t>made</w:t>
      </w:r>
      <w:r>
        <w:rPr>
          <w:spacing w:val="-12"/>
        </w:rPr>
        <w:t> </w:t>
      </w:r>
      <w:r>
        <w:rPr/>
        <w:t>from</w:t>
      </w:r>
      <w:r>
        <w:rPr>
          <w:spacing w:val="-13"/>
        </w:rPr>
        <w:t> </w:t>
      </w:r>
      <w:r>
        <w:rPr/>
        <w:t>Southern</w:t>
      </w:r>
      <w:r>
        <w:rPr>
          <w:spacing w:val="-11"/>
        </w:rPr>
        <w:t> </w:t>
      </w:r>
      <w:r>
        <w:rPr/>
        <w:t>Yellow</w:t>
      </w:r>
      <w:r>
        <w:rPr>
          <w:spacing w:val="-13"/>
        </w:rPr>
        <w:t> </w:t>
      </w:r>
      <w:r>
        <w:rPr/>
        <w:t>Pine.</w:t>
      </w:r>
      <w:r>
        <w:rPr>
          <w:spacing w:val="38"/>
        </w:rPr>
        <w:t> </w:t>
      </w:r>
      <w:r>
        <w:rPr/>
        <w:t>Researchers</w:t>
      </w:r>
      <w:r>
        <w:rPr>
          <w:spacing w:val="-13"/>
        </w:rPr>
        <w:t> </w:t>
      </w:r>
      <w:r>
        <w:rPr/>
        <w:t>and</w:t>
      </w:r>
      <w:r>
        <w:rPr>
          <w:spacing w:val="-11"/>
        </w:rPr>
        <w:t> </w:t>
      </w:r>
      <w:r>
        <w:rPr/>
        <w:t>manufacturers</w:t>
      </w:r>
      <w:r>
        <w:rPr>
          <w:spacing w:val="-58"/>
        </w:rPr>
        <w:t> </w:t>
      </w:r>
      <w:r>
        <w:rPr/>
        <w:t>alike have expressed interest in the wood species because it is widely available in the</w:t>
      </w:r>
      <w:r>
        <w:rPr>
          <w:spacing w:val="1"/>
        </w:rPr>
        <w:t> </w:t>
      </w:r>
      <w:r>
        <w:rPr/>
        <w:t>Southeastern U.S [58, 62, 79].</w:t>
      </w:r>
      <w:r>
        <w:rPr>
          <w:spacing w:val="1"/>
        </w:rPr>
        <w:t> </w:t>
      </w:r>
      <w:r>
        <w:rPr/>
        <w:t>It is commonly used as sawn timber but is also used to</w:t>
      </w:r>
      <w:r>
        <w:rPr>
          <w:spacing w:val="1"/>
        </w:rPr>
        <w:t> </w:t>
      </w:r>
      <w:r>
        <w:rPr/>
        <w:t>manufacture the engineered wood product of glulam.</w:t>
      </w:r>
      <w:r>
        <w:rPr>
          <w:spacing w:val="1"/>
        </w:rPr>
        <w:t> </w:t>
      </w:r>
      <w:r>
        <w:rPr/>
        <w:t>The species is known for strength,</w:t>
      </w:r>
      <w:r>
        <w:rPr>
          <w:spacing w:val="1"/>
        </w:rPr>
        <w:t> </w:t>
      </w:r>
      <w:r>
        <w:rPr/>
        <w:t>fastener-holding</w:t>
      </w:r>
      <w:r>
        <w:rPr>
          <w:spacing w:val="-6"/>
        </w:rPr>
        <w:t> </w:t>
      </w:r>
      <w:r>
        <w:rPr/>
        <w:t>ability</w:t>
      </w:r>
      <w:r>
        <w:rPr>
          <w:spacing w:val="-7"/>
        </w:rPr>
        <w:t> </w:t>
      </w:r>
      <w:r>
        <w:rPr/>
        <w:t>and</w:t>
      </w:r>
      <w:r>
        <w:rPr>
          <w:spacing w:val="-6"/>
        </w:rPr>
        <w:t> </w:t>
      </w:r>
      <w:r>
        <w:rPr/>
        <w:t>long,</w:t>
      </w:r>
      <w:r>
        <w:rPr>
          <w:spacing w:val="-6"/>
        </w:rPr>
        <w:t> </w:t>
      </w:r>
      <w:r>
        <w:rPr/>
        <w:t>clear</w:t>
      </w:r>
      <w:r>
        <w:rPr>
          <w:spacing w:val="-6"/>
        </w:rPr>
        <w:t> </w:t>
      </w:r>
      <w:r>
        <w:rPr/>
        <w:t>spans.</w:t>
      </w:r>
      <w:r>
        <w:rPr>
          <w:spacing w:val="47"/>
        </w:rPr>
        <w:t> </w:t>
      </w:r>
      <w:r>
        <w:rPr/>
        <w:t>It</w:t>
      </w:r>
      <w:r>
        <w:rPr>
          <w:spacing w:val="-6"/>
        </w:rPr>
        <w:t> </w:t>
      </w:r>
      <w:r>
        <w:rPr/>
        <w:t>is</w:t>
      </w:r>
      <w:r>
        <w:rPr>
          <w:spacing w:val="-6"/>
        </w:rPr>
        <w:t> </w:t>
      </w:r>
      <w:r>
        <w:rPr/>
        <w:t>also</w:t>
      </w:r>
      <w:r>
        <w:rPr>
          <w:spacing w:val="-6"/>
        </w:rPr>
        <w:t> </w:t>
      </w:r>
      <w:r>
        <w:rPr/>
        <w:t>easy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/>
        <w:t>treat</w:t>
      </w:r>
      <w:r>
        <w:rPr>
          <w:spacing w:val="-6"/>
        </w:rPr>
        <w:t> </w:t>
      </w:r>
      <w:r>
        <w:rPr/>
        <w:t>for</w:t>
      </w:r>
      <w:r>
        <w:rPr>
          <w:spacing w:val="-6"/>
        </w:rPr>
        <w:t> </w:t>
      </w:r>
      <w:r>
        <w:rPr/>
        <w:t>weather</w:t>
      </w:r>
      <w:r>
        <w:rPr>
          <w:spacing w:val="-6"/>
        </w:rPr>
        <w:t> </w:t>
      </w:r>
      <w:r>
        <w:rPr/>
        <w:t>and</w:t>
      </w:r>
      <w:r>
        <w:rPr>
          <w:spacing w:val="-5"/>
        </w:rPr>
        <w:t> </w:t>
      </w:r>
      <w:r>
        <w:rPr/>
        <w:t>insect</w:t>
      </w:r>
      <w:r>
        <w:rPr>
          <w:spacing w:val="-58"/>
        </w:rPr>
        <w:t> </w:t>
      </w:r>
      <w:r>
        <w:rPr/>
        <w:t>resistance,</w:t>
      </w:r>
      <w:r>
        <w:rPr>
          <w:spacing w:val="-3"/>
        </w:rPr>
        <w:t> </w:t>
      </w:r>
      <w:r>
        <w:rPr/>
        <w:t>making it a</w:t>
      </w:r>
      <w:r>
        <w:rPr>
          <w:spacing w:val="-1"/>
        </w:rPr>
        <w:t> </w:t>
      </w:r>
      <w:r>
        <w:rPr/>
        <w:t>good option</w:t>
      </w:r>
      <w:r>
        <w:rPr>
          <w:spacing w:val="-2"/>
        </w:rPr>
        <w:t> </w:t>
      </w:r>
      <w:r>
        <w:rPr/>
        <w:t>for outdoor</w:t>
      </w:r>
      <w:r>
        <w:rPr>
          <w:spacing w:val="-2"/>
        </w:rPr>
        <w:t> </w:t>
      </w:r>
      <w:r>
        <w:rPr/>
        <w:t>applications</w:t>
      </w:r>
      <w:r>
        <w:rPr>
          <w:spacing w:val="-1"/>
        </w:rPr>
        <w:t> </w:t>
      </w:r>
      <w:r>
        <w:rPr/>
        <w:t>such as</w:t>
      </w:r>
      <w:r>
        <w:rPr>
          <w:spacing w:val="-1"/>
        </w:rPr>
        <w:t> </w:t>
      </w:r>
      <w:r>
        <w:rPr/>
        <w:t>decks.</w:t>
      </w:r>
    </w:p>
    <w:p>
      <w:pPr>
        <w:pStyle w:val="BodyText"/>
        <w:spacing w:line="480" w:lineRule="auto" w:before="160"/>
        <w:ind w:left="439" w:right="257" w:firstLine="720"/>
        <w:jc w:val="both"/>
      </w:pPr>
      <w:r>
        <w:rPr/>
        <w:t>By using wood species grown locally for construction, transportation costs and</w:t>
      </w:r>
      <w:r>
        <w:rPr>
          <w:spacing w:val="1"/>
        </w:rPr>
        <w:t> </w:t>
      </w:r>
      <w:r>
        <w:rPr/>
        <w:t>associated transportation related environmental impacts are reduced.</w:t>
      </w:r>
      <w:r>
        <w:rPr>
          <w:spacing w:val="1"/>
        </w:rPr>
        <w:t> </w:t>
      </w:r>
      <w:r>
        <w:rPr/>
        <w:t>This applies to both</w:t>
      </w:r>
      <w:r>
        <w:rPr>
          <w:spacing w:val="-57"/>
        </w:rPr>
        <w:t> </w:t>
      </w:r>
      <w:r>
        <w:rPr/>
        <w:t>sawn timber as well as engineered wood products. To implement CLT construction in the</w:t>
      </w:r>
      <w:r>
        <w:rPr>
          <w:spacing w:val="-57"/>
        </w:rPr>
        <w:t> </w:t>
      </w:r>
      <w:r>
        <w:rPr/>
        <w:t>southern and eastern United States, manufacturers must ship the heavy CLT panels across</w:t>
      </w:r>
      <w:r>
        <w:rPr>
          <w:spacing w:val="-57"/>
        </w:rPr>
        <w:t> </w:t>
      </w:r>
      <w:r>
        <w:rPr/>
        <w:t>the country from the Pacific Northwest or import them via ship from Europe.</w:t>
      </w:r>
      <w:r>
        <w:rPr>
          <w:spacing w:val="1"/>
        </w:rPr>
        <w:t> </w:t>
      </w:r>
      <w:r>
        <w:rPr/>
        <w:t>Due to the</w:t>
      </w:r>
      <w:r>
        <w:rPr>
          <w:spacing w:val="1"/>
        </w:rPr>
        <w:t> </w:t>
      </w:r>
      <w:r>
        <w:rPr/>
        <w:t>variability in parameters and characteristics between wood species further research and</w:t>
      </w:r>
      <w:r>
        <w:rPr>
          <w:spacing w:val="1"/>
        </w:rPr>
        <w:t> </w:t>
      </w:r>
      <w:r>
        <w:rPr/>
        <w:t>testing are required establish the manufacturing parameters for producing Southern Pine</w:t>
      </w:r>
      <w:r>
        <w:rPr>
          <w:spacing w:val="1"/>
        </w:rPr>
        <w:t> </w:t>
      </w:r>
      <w:r>
        <w:rPr/>
        <w:t>CLT.</w:t>
      </w:r>
      <w:r>
        <w:rPr>
          <w:spacing w:val="36"/>
        </w:rPr>
        <w:t> </w:t>
      </w:r>
      <w:r>
        <w:rPr/>
        <w:t>However,</w:t>
      </w:r>
      <w:r>
        <w:rPr>
          <w:spacing w:val="-11"/>
        </w:rPr>
        <w:t> </w:t>
      </w:r>
      <w:r>
        <w:rPr/>
        <w:t>a</w:t>
      </w:r>
      <w:r>
        <w:rPr>
          <w:spacing w:val="-12"/>
        </w:rPr>
        <w:t> </w:t>
      </w:r>
      <w:r>
        <w:rPr/>
        <w:t>CLT</w:t>
      </w:r>
      <w:r>
        <w:rPr>
          <w:spacing w:val="-11"/>
        </w:rPr>
        <w:t> </w:t>
      </w:r>
      <w:r>
        <w:rPr/>
        <w:t>grade</w:t>
      </w:r>
      <w:r>
        <w:rPr>
          <w:spacing w:val="-12"/>
        </w:rPr>
        <w:t> </w:t>
      </w:r>
      <w:r>
        <w:rPr/>
        <w:t>classification</w:t>
      </w:r>
      <w:r>
        <w:rPr>
          <w:spacing w:val="-11"/>
        </w:rPr>
        <w:t> </w:t>
      </w:r>
      <w:r>
        <w:rPr/>
        <w:t>already</w:t>
      </w:r>
      <w:r>
        <w:rPr>
          <w:spacing w:val="-12"/>
        </w:rPr>
        <w:t> </w:t>
      </w:r>
      <w:r>
        <w:rPr/>
        <w:t>exists</w:t>
      </w:r>
      <w:r>
        <w:rPr>
          <w:spacing w:val="-13"/>
        </w:rPr>
        <w:t> </w:t>
      </w:r>
      <w:r>
        <w:rPr/>
        <w:t>in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Standard</w:t>
      </w:r>
      <w:r>
        <w:rPr>
          <w:spacing w:val="-11"/>
        </w:rPr>
        <w:t> </w:t>
      </w:r>
      <w:r>
        <w:rPr/>
        <w:t>for</w:t>
      </w:r>
      <w:r>
        <w:rPr>
          <w:spacing w:val="-12"/>
        </w:rPr>
        <w:t> </w:t>
      </w:r>
      <w:r>
        <w:rPr/>
        <w:t>Performance-</w:t>
      </w:r>
      <w:r>
        <w:rPr>
          <w:spacing w:val="-57"/>
        </w:rPr>
        <w:t> </w:t>
      </w:r>
      <w:r>
        <w:rPr/>
        <w:t>Rated</w:t>
      </w:r>
      <w:r>
        <w:rPr>
          <w:spacing w:val="-1"/>
        </w:rPr>
        <w:t> </w:t>
      </w:r>
      <w:r>
        <w:rPr/>
        <w:t>CLT</w:t>
      </w:r>
      <w:r>
        <w:rPr>
          <w:spacing w:val="-1"/>
        </w:rPr>
        <w:t> </w:t>
      </w:r>
      <w:r>
        <w:rPr/>
        <w:t>(PRG</w:t>
      </w:r>
      <w:r>
        <w:rPr>
          <w:spacing w:val="-1"/>
        </w:rPr>
        <w:t> </w:t>
      </w:r>
      <w:r>
        <w:rPr/>
        <w:t>320) for a Southern</w:t>
      </w:r>
      <w:r>
        <w:rPr>
          <w:spacing w:val="-2"/>
        </w:rPr>
        <w:t> </w:t>
      </w:r>
      <w:r>
        <w:rPr/>
        <w:t>Pine</w:t>
      </w:r>
      <w:r>
        <w:rPr>
          <w:spacing w:val="-1"/>
        </w:rPr>
        <w:t> </w:t>
      </w:r>
      <w:r>
        <w:rPr/>
        <w:t>lumber.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ListParagraph"/>
        <w:numPr>
          <w:ilvl w:val="2"/>
          <w:numId w:val="19"/>
        </w:numPr>
        <w:tabs>
          <w:tab w:pos="980" w:val="left" w:leader="none"/>
        </w:tabs>
        <w:spacing w:line="240" w:lineRule="auto" w:before="79" w:after="0"/>
        <w:ind w:left="980" w:right="0" w:hanging="540"/>
        <w:jc w:val="both"/>
        <w:rPr>
          <w:i/>
          <w:sz w:val="24"/>
        </w:rPr>
      </w:pPr>
      <w:bookmarkStart w:name="4.3.2 Small-scale CLT production" w:id="190"/>
      <w:bookmarkEnd w:id="190"/>
      <w:r>
        <w:rPr/>
      </w:r>
      <w:bookmarkStart w:name="4.3.2 Small-scale CLT production" w:id="191"/>
      <w:bookmarkEnd w:id="191"/>
      <w:r>
        <w:rPr>
          <w:i/>
          <w:sz w:val="24"/>
        </w:rPr>
        <w:t>S</w:t>
      </w:r>
      <w:r>
        <w:rPr>
          <w:i/>
          <w:sz w:val="24"/>
        </w:rPr>
        <w:t>mall-scale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CLT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production</w:t>
      </w:r>
    </w:p>
    <w:p>
      <w:pPr>
        <w:pStyle w:val="BodyText"/>
        <w:spacing w:before="7"/>
        <w:rPr>
          <w:i/>
          <w:sz w:val="22"/>
        </w:rPr>
      </w:pPr>
    </w:p>
    <w:p>
      <w:pPr>
        <w:pStyle w:val="BodyText"/>
        <w:spacing w:line="480" w:lineRule="auto"/>
        <w:ind w:left="439" w:right="257" w:firstLine="720"/>
        <w:jc w:val="both"/>
      </w:pPr>
      <w:r>
        <w:rPr/>
        <w:t>As</w:t>
      </w:r>
      <w:r>
        <w:rPr>
          <w:spacing w:val="-14"/>
        </w:rPr>
        <w:t> </w:t>
      </w:r>
      <w:r>
        <w:rPr/>
        <w:t>part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this</w:t>
      </w:r>
      <w:r>
        <w:rPr>
          <w:spacing w:val="-13"/>
        </w:rPr>
        <w:t> </w:t>
      </w:r>
      <w:r>
        <w:rPr/>
        <w:t>research,</w:t>
      </w:r>
      <w:r>
        <w:rPr>
          <w:spacing w:val="-13"/>
        </w:rPr>
        <w:t> </w:t>
      </w:r>
      <w:r>
        <w:rPr/>
        <w:t>small-scale</w:t>
      </w:r>
      <w:r>
        <w:rPr>
          <w:spacing w:val="-13"/>
        </w:rPr>
        <w:t> </w:t>
      </w:r>
      <w:r>
        <w:rPr/>
        <w:t>specimens</w:t>
      </w:r>
      <w:r>
        <w:rPr>
          <w:spacing w:val="-13"/>
        </w:rPr>
        <w:t> </w:t>
      </w:r>
      <w:r>
        <w:rPr/>
        <w:t>of</w:t>
      </w:r>
      <w:r>
        <w:rPr>
          <w:spacing w:val="-12"/>
        </w:rPr>
        <w:t> </w:t>
      </w:r>
      <w:r>
        <w:rPr/>
        <w:t>CLT</w:t>
      </w:r>
      <w:r>
        <w:rPr>
          <w:spacing w:val="-13"/>
        </w:rPr>
        <w:t> </w:t>
      </w:r>
      <w:r>
        <w:rPr/>
        <w:t>made</w:t>
      </w:r>
      <w:r>
        <w:rPr>
          <w:spacing w:val="-12"/>
        </w:rPr>
        <w:t> </w:t>
      </w:r>
      <w:r>
        <w:rPr/>
        <w:t>from</w:t>
      </w:r>
      <w:r>
        <w:rPr>
          <w:spacing w:val="-14"/>
        </w:rPr>
        <w:t> </w:t>
      </w:r>
      <w:r>
        <w:rPr/>
        <w:t>Southern</w:t>
      </w:r>
      <w:r>
        <w:rPr>
          <w:spacing w:val="-13"/>
        </w:rPr>
        <w:t> </w:t>
      </w:r>
      <w:r>
        <w:rPr/>
        <w:t>Yellow</w:t>
      </w:r>
      <w:r>
        <w:rPr>
          <w:spacing w:val="-58"/>
        </w:rPr>
        <w:t> </w:t>
      </w:r>
      <w:r>
        <w:rPr/>
        <w:t>Pine</w:t>
      </w:r>
      <w:r>
        <w:rPr>
          <w:spacing w:val="-8"/>
        </w:rPr>
        <w:t> </w:t>
      </w:r>
      <w:r>
        <w:rPr/>
        <w:t>were</w:t>
      </w:r>
      <w:r>
        <w:rPr>
          <w:spacing w:val="-7"/>
        </w:rPr>
        <w:t> </w:t>
      </w:r>
      <w:r>
        <w:rPr/>
        <w:t>produced</w:t>
      </w:r>
      <w:r>
        <w:rPr>
          <w:spacing w:val="-7"/>
        </w:rPr>
        <w:t> </w:t>
      </w:r>
      <w:r>
        <w:rPr/>
        <w:t>in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Digital</w:t>
      </w:r>
      <w:r>
        <w:rPr>
          <w:spacing w:val="-7"/>
        </w:rPr>
        <w:t> </w:t>
      </w:r>
      <w:r>
        <w:rPr/>
        <w:t>Fabrication</w:t>
      </w:r>
      <w:r>
        <w:rPr>
          <w:spacing w:val="-7"/>
        </w:rPr>
        <w:t> </w:t>
      </w:r>
      <w:r>
        <w:rPr/>
        <w:t>Laboratory</w:t>
      </w:r>
      <w:r>
        <w:rPr>
          <w:spacing w:val="-7"/>
        </w:rPr>
        <w:t> </w:t>
      </w:r>
      <w:r>
        <w:rPr/>
        <w:t>(DFL)</w:t>
      </w:r>
      <w:r>
        <w:rPr>
          <w:spacing w:val="-7"/>
        </w:rPr>
        <w:t> </w:t>
      </w:r>
      <w:r>
        <w:rPr/>
        <w:t>at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Georgia</w:t>
      </w:r>
      <w:r>
        <w:rPr>
          <w:spacing w:val="-7"/>
        </w:rPr>
        <w:t> </w:t>
      </w:r>
      <w:r>
        <w:rPr/>
        <w:t>Institute</w:t>
      </w:r>
      <w:r>
        <w:rPr>
          <w:spacing w:val="-7"/>
        </w:rPr>
        <w:t> </w:t>
      </w:r>
      <w:r>
        <w:rPr/>
        <w:t>of</w:t>
      </w:r>
      <w:r>
        <w:rPr>
          <w:spacing w:val="-58"/>
        </w:rPr>
        <w:t> </w:t>
      </w:r>
      <w:r>
        <w:rPr>
          <w:spacing w:val="-1"/>
        </w:rPr>
        <w:t>Technology</w:t>
      </w:r>
      <w:r>
        <w:rPr>
          <w:spacing w:val="-15"/>
        </w:rPr>
        <w:t> </w:t>
      </w:r>
      <w:r>
        <w:rPr>
          <w:spacing w:val="-1"/>
        </w:rPr>
        <w:t>using</w:t>
      </w:r>
      <w:r>
        <w:rPr>
          <w:spacing w:val="-14"/>
        </w:rPr>
        <w:t> </w:t>
      </w:r>
      <w:r>
        <w:rPr>
          <w:spacing w:val="-1"/>
        </w:rPr>
        <w:t>commercially</w:t>
      </w:r>
      <w:r>
        <w:rPr>
          <w:spacing w:val="-15"/>
        </w:rPr>
        <w:t> </w:t>
      </w:r>
      <w:r>
        <w:rPr/>
        <w:t>available</w:t>
      </w:r>
      <w:r>
        <w:rPr>
          <w:spacing w:val="-14"/>
        </w:rPr>
        <w:t> </w:t>
      </w:r>
      <w:r>
        <w:rPr/>
        <w:t>2x8</w:t>
      </w:r>
      <w:r>
        <w:rPr>
          <w:spacing w:val="-14"/>
        </w:rPr>
        <w:t> </w:t>
      </w:r>
      <w:r>
        <w:rPr/>
        <w:t>sawn</w:t>
      </w:r>
      <w:r>
        <w:rPr>
          <w:spacing w:val="-14"/>
        </w:rPr>
        <w:t> </w:t>
      </w:r>
      <w:r>
        <w:rPr/>
        <w:t>lumber</w:t>
      </w:r>
      <w:r>
        <w:rPr>
          <w:spacing w:val="-13"/>
        </w:rPr>
        <w:t> </w:t>
      </w:r>
      <w:r>
        <w:rPr/>
        <w:t>(actual</w:t>
      </w:r>
      <w:r>
        <w:rPr>
          <w:spacing w:val="-13"/>
        </w:rPr>
        <w:t> </w:t>
      </w:r>
      <w:r>
        <w:rPr/>
        <w:t>size</w:t>
      </w:r>
      <w:r>
        <w:rPr>
          <w:spacing w:val="-15"/>
        </w:rPr>
        <w:t> </w:t>
      </w:r>
      <w:r>
        <w:rPr/>
        <w:t>1.5-inches</w:t>
      </w:r>
      <w:r>
        <w:rPr>
          <w:spacing w:val="-15"/>
        </w:rPr>
        <w:t> </w:t>
      </w:r>
      <w:r>
        <w:rPr/>
        <w:t>by</w:t>
      </w:r>
      <w:r>
        <w:rPr>
          <w:spacing w:val="-15"/>
        </w:rPr>
        <w:t> </w:t>
      </w:r>
      <w:r>
        <w:rPr/>
        <w:t>7.25-</w:t>
      </w:r>
      <w:r>
        <w:rPr>
          <w:spacing w:val="-58"/>
        </w:rPr>
        <w:t> </w:t>
      </w:r>
      <w:r>
        <w:rPr/>
        <w:t>inches).</w:t>
      </w:r>
      <w:r>
        <w:rPr>
          <w:spacing w:val="1"/>
        </w:rPr>
        <w:t> </w:t>
      </w:r>
      <w:r>
        <w:rPr/>
        <w:t>The classification of the sawn lumber was No. 2 Prime, which is a higher</w:t>
      </w:r>
      <w:r>
        <w:rPr>
          <w:spacing w:val="1"/>
        </w:rPr>
        <w:t> </w:t>
      </w:r>
      <w:r>
        <w:rPr/>
        <w:t>classification than required for the performance-rated V3 CLT specified by PRG 320.</w:t>
      </w:r>
      <w:r>
        <w:rPr>
          <w:spacing w:val="1"/>
        </w:rPr>
        <w:t> </w:t>
      </w:r>
      <w:r>
        <w:rPr/>
        <w:t>Grading rules for V3 CLT allow for No. 3 Southern Pine lumber in all transverse layers.</w:t>
      </w:r>
      <w:r>
        <w:rPr>
          <w:spacing w:val="1"/>
        </w:rPr>
        <w:t> </w:t>
      </w:r>
      <w:r>
        <w:rPr/>
        <w:t>However, No. 2 Prime was used for all layers as No. 3 was not readily available.</w:t>
      </w:r>
      <w:r>
        <w:rPr>
          <w:spacing w:val="1"/>
        </w:rPr>
        <w:t> </w:t>
      </w:r>
      <w:r>
        <w:rPr/>
        <w:t>Though</w:t>
      </w:r>
      <w:r>
        <w:rPr>
          <w:spacing w:val="-57"/>
        </w:rPr>
        <w:t> </w:t>
      </w:r>
      <w:r>
        <w:rPr/>
        <w:t>the</w:t>
      </w:r>
      <w:r>
        <w:rPr>
          <w:spacing w:val="-2"/>
        </w:rPr>
        <w:t> </w:t>
      </w:r>
      <w:r>
        <w:rPr/>
        <w:t>intent</w:t>
      </w:r>
      <w:r>
        <w:rPr>
          <w:spacing w:val="-2"/>
        </w:rPr>
        <w:t> </w:t>
      </w:r>
      <w:r>
        <w:rPr/>
        <w:t>was</w:t>
      </w:r>
      <w:r>
        <w:rPr>
          <w:spacing w:val="-1"/>
        </w:rPr>
        <w:t> </w:t>
      </w:r>
      <w:r>
        <w:rPr/>
        <w:t>to</w:t>
      </w:r>
      <w:r>
        <w:rPr>
          <w:spacing w:val="-3"/>
        </w:rPr>
        <w:t> </w:t>
      </w:r>
      <w:r>
        <w:rPr/>
        <w:t>produce</w:t>
      </w:r>
      <w:r>
        <w:rPr>
          <w:spacing w:val="-1"/>
        </w:rPr>
        <w:t> </w:t>
      </w:r>
      <w:r>
        <w:rPr/>
        <w:t>Southern</w:t>
      </w:r>
      <w:r>
        <w:rPr>
          <w:spacing w:val="-3"/>
        </w:rPr>
        <w:t> </w:t>
      </w:r>
      <w:r>
        <w:rPr/>
        <w:t>Pine</w:t>
      </w:r>
      <w:r>
        <w:rPr>
          <w:spacing w:val="-2"/>
        </w:rPr>
        <w:t> </w:t>
      </w:r>
      <w:r>
        <w:rPr/>
        <w:t>CLT</w:t>
      </w:r>
      <w:r>
        <w:rPr>
          <w:spacing w:val="-2"/>
        </w:rPr>
        <w:t> </w:t>
      </w:r>
      <w:r>
        <w:rPr/>
        <w:t>according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/>
        <w:t>standard,</w:t>
      </w:r>
      <w:r>
        <w:rPr>
          <w:spacing w:val="-3"/>
        </w:rPr>
        <w:t> </w:t>
      </w:r>
      <w:r>
        <w:rPr/>
        <w:t>it</w:t>
      </w:r>
      <w:r>
        <w:rPr>
          <w:spacing w:val="-1"/>
        </w:rPr>
        <w:t> </w:t>
      </w:r>
      <w:r>
        <w:rPr/>
        <w:t>should</w:t>
      </w:r>
      <w:r>
        <w:rPr>
          <w:spacing w:val="-3"/>
        </w:rPr>
        <w:t> </w:t>
      </w:r>
      <w:r>
        <w:rPr/>
        <w:t>be</w:t>
      </w:r>
      <w:r>
        <w:rPr>
          <w:spacing w:val="-1"/>
        </w:rPr>
        <w:t> </w:t>
      </w:r>
      <w:r>
        <w:rPr/>
        <w:t>noted</w:t>
      </w:r>
      <w:r>
        <w:rPr>
          <w:spacing w:val="-58"/>
        </w:rPr>
        <w:t> </w:t>
      </w:r>
      <w:r>
        <w:rPr/>
        <w:t>that there is potential for use and further investigation with lower grades of Southern Pine</w:t>
      </w:r>
      <w:r>
        <w:rPr>
          <w:spacing w:val="-57"/>
        </w:rPr>
        <w:t> </w:t>
      </w:r>
      <w:r>
        <w:rPr/>
        <w:t>sawn</w:t>
      </w:r>
      <w:r>
        <w:rPr>
          <w:spacing w:val="-1"/>
        </w:rPr>
        <w:t> </w:t>
      </w:r>
      <w:r>
        <w:rPr/>
        <w:t>lumber.</w:t>
      </w:r>
    </w:p>
    <w:p>
      <w:pPr>
        <w:spacing w:line="480" w:lineRule="auto" w:before="160"/>
        <w:ind w:left="439" w:right="257" w:firstLine="720"/>
        <w:jc w:val="both"/>
        <w:rPr>
          <w:sz w:val="24"/>
        </w:rPr>
      </w:pPr>
      <w:r>
        <w:rPr>
          <w:sz w:val="24"/>
        </w:rPr>
        <w:t>By PRG 320, the requirement for CLT adhesives is to meet </w:t>
      </w:r>
      <w:r>
        <w:rPr>
          <w:i/>
          <w:sz w:val="24"/>
        </w:rPr>
        <w:t>American Institute 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Timber Construction (AITC) 405, Standard for Adhesives for Use in Structural Glued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Laminated Timber </w:t>
      </w:r>
      <w:r>
        <w:rPr>
          <w:sz w:val="24"/>
        </w:rPr>
        <w:t>with small modifications [4].</w:t>
      </w:r>
      <w:r>
        <w:rPr>
          <w:spacing w:val="1"/>
          <w:sz w:val="24"/>
        </w:rPr>
        <w:t> </w:t>
      </w:r>
      <w:r>
        <w:rPr>
          <w:sz w:val="24"/>
        </w:rPr>
        <w:t>The modifications include the adhesives</w:t>
      </w:r>
      <w:r>
        <w:rPr>
          <w:spacing w:val="-57"/>
          <w:sz w:val="24"/>
        </w:rPr>
        <w:t> </w:t>
      </w:r>
      <w:r>
        <w:rPr>
          <w:sz w:val="24"/>
        </w:rPr>
        <w:t>be evaluated for heat performance based on the standard for structural plywood which</w:t>
      </w:r>
      <w:r>
        <w:rPr>
          <w:spacing w:val="1"/>
          <w:sz w:val="24"/>
        </w:rPr>
        <w:t> </w:t>
      </w:r>
      <w:r>
        <w:rPr>
          <w:sz w:val="24"/>
        </w:rPr>
        <w:t>focuses</w:t>
      </w:r>
      <w:r>
        <w:rPr>
          <w:spacing w:val="-4"/>
          <w:sz w:val="24"/>
        </w:rPr>
        <w:t> </w:t>
      </w:r>
      <w:r>
        <w:rPr>
          <w:sz w:val="24"/>
        </w:rPr>
        <w:t>on</w:t>
      </w:r>
      <w:r>
        <w:rPr>
          <w:spacing w:val="-4"/>
          <w:sz w:val="24"/>
        </w:rPr>
        <w:t> </w:t>
      </w:r>
      <w:r>
        <w:rPr>
          <w:sz w:val="24"/>
        </w:rPr>
        <w:t>delamination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bonded</w:t>
      </w:r>
      <w:r>
        <w:rPr>
          <w:spacing w:val="-4"/>
          <w:sz w:val="24"/>
        </w:rPr>
        <w:t> </w:t>
      </w:r>
      <w:r>
        <w:rPr>
          <w:sz w:val="24"/>
        </w:rPr>
        <w:t>layers</w:t>
      </w:r>
      <w:r>
        <w:rPr>
          <w:spacing w:val="-3"/>
          <w:sz w:val="24"/>
        </w:rPr>
        <w:t> </w:t>
      </w:r>
      <w:r>
        <w:rPr>
          <w:sz w:val="24"/>
        </w:rPr>
        <w:t>after</w:t>
      </w:r>
      <w:r>
        <w:rPr>
          <w:spacing w:val="-3"/>
          <w:sz w:val="24"/>
        </w:rPr>
        <w:t> </w:t>
      </w:r>
      <w:r>
        <w:rPr>
          <w:sz w:val="24"/>
        </w:rPr>
        <w:t>exposure</w:t>
      </w:r>
      <w:r>
        <w:rPr>
          <w:spacing w:val="-4"/>
          <w:sz w:val="24"/>
        </w:rPr>
        <w:t> </w:t>
      </w:r>
      <w:r>
        <w:rPr>
          <w:sz w:val="24"/>
        </w:rPr>
        <w:t>to</w:t>
      </w:r>
      <w:r>
        <w:rPr>
          <w:spacing w:val="-4"/>
          <w:sz w:val="24"/>
        </w:rPr>
        <w:t> </w:t>
      </w:r>
      <w:r>
        <w:rPr>
          <w:sz w:val="24"/>
        </w:rPr>
        <w:t>extreme</w:t>
      </w:r>
      <w:r>
        <w:rPr>
          <w:spacing w:val="-4"/>
          <w:sz w:val="24"/>
        </w:rPr>
        <w:t> </w:t>
      </w:r>
      <w:r>
        <w:rPr>
          <w:sz w:val="24"/>
        </w:rPr>
        <w:t>heat</w:t>
      </w:r>
      <w:r>
        <w:rPr>
          <w:spacing w:val="-3"/>
          <w:sz w:val="24"/>
        </w:rPr>
        <w:t> </w:t>
      </w:r>
      <w:r>
        <w:rPr>
          <w:sz w:val="24"/>
        </w:rPr>
        <w:t>from</w:t>
      </w:r>
      <w:r>
        <w:rPr>
          <w:spacing w:val="-5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flame.</w:t>
      </w:r>
      <w:r>
        <w:rPr>
          <w:spacing w:val="-58"/>
          <w:sz w:val="24"/>
        </w:rPr>
        <w:t> </w:t>
      </w:r>
      <w:r>
        <w:rPr>
          <w:sz w:val="24"/>
        </w:rPr>
        <w:t>Additionally,</w:t>
      </w:r>
      <w:r>
        <w:rPr>
          <w:spacing w:val="-13"/>
          <w:sz w:val="24"/>
        </w:rPr>
        <w:t> </w:t>
      </w:r>
      <w:r>
        <w:rPr>
          <w:sz w:val="24"/>
        </w:rPr>
        <w:t>PRG</w:t>
      </w:r>
      <w:r>
        <w:rPr>
          <w:spacing w:val="-12"/>
          <w:sz w:val="24"/>
        </w:rPr>
        <w:t> </w:t>
      </w:r>
      <w:r>
        <w:rPr>
          <w:sz w:val="24"/>
        </w:rPr>
        <w:t>320</w:t>
      </w:r>
      <w:r>
        <w:rPr>
          <w:spacing w:val="-12"/>
          <w:sz w:val="24"/>
        </w:rPr>
        <w:t> </w:t>
      </w:r>
      <w:r>
        <w:rPr>
          <w:sz w:val="24"/>
        </w:rPr>
        <w:t>excludes</w:t>
      </w:r>
      <w:r>
        <w:rPr>
          <w:spacing w:val="-12"/>
          <w:sz w:val="24"/>
        </w:rPr>
        <w:t> </w:t>
      </w:r>
      <w:r>
        <w:rPr>
          <w:sz w:val="24"/>
        </w:rPr>
        <w:t>the</w:t>
      </w:r>
      <w:r>
        <w:rPr>
          <w:spacing w:val="-12"/>
          <w:sz w:val="24"/>
        </w:rPr>
        <w:t> </w:t>
      </w:r>
      <w:r>
        <w:rPr>
          <w:sz w:val="24"/>
        </w:rPr>
        <w:t>requirement</w:t>
      </w:r>
      <w:r>
        <w:rPr>
          <w:spacing w:val="-12"/>
          <w:sz w:val="24"/>
        </w:rPr>
        <w:t> </w:t>
      </w:r>
      <w:r>
        <w:rPr>
          <w:sz w:val="24"/>
        </w:rPr>
        <w:t>for</w:t>
      </w:r>
      <w:r>
        <w:rPr>
          <w:spacing w:val="-12"/>
          <w:sz w:val="24"/>
        </w:rPr>
        <w:t> </w:t>
      </w:r>
      <w:r>
        <w:rPr>
          <w:sz w:val="24"/>
        </w:rPr>
        <w:t>exterior</w:t>
      </w:r>
      <w:r>
        <w:rPr>
          <w:spacing w:val="-12"/>
          <w:sz w:val="24"/>
        </w:rPr>
        <w:t> </w:t>
      </w:r>
      <w:r>
        <w:rPr>
          <w:sz w:val="24"/>
        </w:rPr>
        <w:t>wet</w:t>
      </w:r>
      <w:r>
        <w:rPr>
          <w:spacing w:val="-12"/>
          <w:sz w:val="24"/>
        </w:rPr>
        <w:t> </w:t>
      </w:r>
      <w:r>
        <w:rPr>
          <w:sz w:val="24"/>
        </w:rPr>
        <w:t>use</w:t>
      </w:r>
      <w:r>
        <w:rPr>
          <w:spacing w:val="-12"/>
          <w:sz w:val="24"/>
        </w:rPr>
        <w:t> </w:t>
      </w:r>
      <w:r>
        <w:rPr>
          <w:sz w:val="24"/>
        </w:rPr>
        <w:t>wood</w:t>
      </w:r>
      <w:r>
        <w:rPr>
          <w:spacing w:val="-12"/>
          <w:sz w:val="24"/>
        </w:rPr>
        <w:t> </w:t>
      </w:r>
      <w:r>
        <w:rPr>
          <w:sz w:val="24"/>
        </w:rPr>
        <w:t>adhesives</w:t>
      </w:r>
      <w:r>
        <w:rPr>
          <w:spacing w:val="-12"/>
          <w:sz w:val="24"/>
        </w:rPr>
        <w:t> </w:t>
      </w:r>
      <w:r>
        <w:rPr>
          <w:sz w:val="24"/>
        </w:rPr>
        <w:t>since</w:t>
      </w:r>
      <w:r>
        <w:rPr>
          <w:spacing w:val="-58"/>
          <w:sz w:val="24"/>
        </w:rPr>
        <w:t> </w:t>
      </w:r>
      <w:r>
        <w:rPr>
          <w:sz w:val="24"/>
        </w:rPr>
        <w:t>CLT</w:t>
      </w:r>
      <w:r>
        <w:rPr>
          <w:spacing w:val="-2"/>
          <w:sz w:val="24"/>
        </w:rPr>
        <w:t> </w:t>
      </w:r>
      <w:r>
        <w:rPr>
          <w:sz w:val="24"/>
        </w:rPr>
        <w:t>is not designed for</w:t>
      </w:r>
      <w:r>
        <w:rPr>
          <w:spacing w:val="-1"/>
          <w:sz w:val="24"/>
        </w:rPr>
        <w:t> </w:t>
      </w:r>
      <w:r>
        <w:rPr>
          <w:sz w:val="24"/>
        </w:rPr>
        <w:t>exterior</w:t>
      </w:r>
      <w:r>
        <w:rPr>
          <w:spacing w:val="-1"/>
          <w:sz w:val="24"/>
        </w:rPr>
        <w:t> </w:t>
      </w:r>
      <w:r>
        <w:rPr>
          <w:sz w:val="24"/>
        </w:rPr>
        <w:t>exposure under</w:t>
      </w:r>
      <w:r>
        <w:rPr>
          <w:spacing w:val="-1"/>
          <w:sz w:val="24"/>
        </w:rPr>
        <w:t> </w:t>
      </w:r>
      <w:r>
        <w:rPr>
          <w:sz w:val="24"/>
        </w:rPr>
        <w:t>typical conditions.</w:t>
      </w:r>
    </w:p>
    <w:p>
      <w:pPr>
        <w:pStyle w:val="BodyText"/>
        <w:spacing w:line="480" w:lineRule="auto" w:before="160"/>
        <w:ind w:left="439" w:right="257" w:firstLine="720"/>
        <w:jc w:val="both"/>
      </w:pPr>
      <w:r>
        <w:rPr/>
        <w:t>CLT</w:t>
      </w:r>
      <w:r>
        <w:rPr>
          <w:spacing w:val="-12"/>
        </w:rPr>
        <w:t> </w:t>
      </w:r>
      <w:r>
        <w:rPr/>
        <w:t>can</w:t>
      </w:r>
      <w:r>
        <w:rPr>
          <w:spacing w:val="-11"/>
        </w:rPr>
        <w:t> </w:t>
      </w:r>
      <w:r>
        <w:rPr/>
        <w:t>be</w:t>
      </w:r>
      <w:r>
        <w:rPr>
          <w:spacing w:val="-12"/>
        </w:rPr>
        <w:t> </w:t>
      </w:r>
      <w:r>
        <w:rPr/>
        <w:t>made</w:t>
      </w:r>
      <w:r>
        <w:rPr>
          <w:spacing w:val="-11"/>
        </w:rPr>
        <w:t> </w:t>
      </w:r>
      <w:r>
        <w:rPr/>
        <w:t>with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same</w:t>
      </w:r>
      <w:r>
        <w:rPr>
          <w:spacing w:val="-11"/>
        </w:rPr>
        <w:t> </w:t>
      </w:r>
      <w:r>
        <w:rPr/>
        <w:t>adhesives</w:t>
      </w:r>
      <w:r>
        <w:rPr>
          <w:spacing w:val="-13"/>
        </w:rPr>
        <w:t> </w:t>
      </w:r>
      <w:r>
        <w:rPr/>
        <w:t>used</w:t>
      </w:r>
      <w:r>
        <w:rPr>
          <w:spacing w:val="-12"/>
        </w:rPr>
        <w:t> </w:t>
      </w:r>
      <w:r>
        <w:rPr/>
        <w:t>in</w:t>
      </w:r>
      <w:r>
        <w:rPr>
          <w:spacing w:val="-11"/>
        </w:rPr>
        <w:t> </w:t>
      </w:r>
      <w:r>
        <w:rPr/>
        <w:t>other</w:t>
      </w:r>
      <w:r>
        <w:rPr>
          <w:spacing w:val="-12"/>
        </w:rPr>
        <w:t> </w:t>
      </w:r>
      <w:r>
        <w:rPr/>
        <w:t>engineered</w:t>
      </w:r>
      <w:r>
        <w:rPr>
          <w:spacing w:val="-12"/>
        </w:rPr>
        <w:t> </w:t>
      </w:r>
      <w:r>
        <w:rPr/>
        <w:t>wood</w:t>
      </w:r>
      <w:r>
        <w:rPr>
          <w:spacing w:val="-11"/>
        </w:rPr>
        <w:t> </w:t>
      </w:r>
      <w:r>
        <w:rPr/>
        <w:t>products.</w:t>
      </w:r>
      <w:r>
        <w:rPr>
          <w:spacing w:val="-58"/>
        </w:rPr>
        <w:t> </w:t>
      </w:r>
      <w:r>
        <w:rPr/>
        <w:t>These</w:t>
      </w:r>
      <w:r>
        <w:rPr>
          <w:spacing w:val="-5"/>
        </w:rPr>
        <w:t> </w:t>
      </w:r>
      <w:r>
        <w:rPr/>
        <w:t>adhesives</w:t>
      </w:r>
      <w:r>
        <w:rPr>
          <w:spacing w:val="-4"/>
        </w:rPr>
        <w:t> </w:t>
      </w:r>
      <w:r>
        <w:rPr/>
        <w:t>typically</w:t>
      </w:r>
      <w:r>
        <w:rPr>
          <w:spacing w:val="-5"/>
        </w:rPr>
        <w:t> </w:t>
      </w:r>
      <w:r>
        <w:rPr/>
        <w:t>consist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polyurethane,</w:t>
      </w:r>
      <w:r>
        <w:rPr>
          <w:spacing w:val="-4"/>
        </w:rPr>
        <w:t> </w:t>
      </w:r>
      <w:r>
        <w:rPr/>
        <w:t>melamine,</w:t>
      </w:r>
      <w:r>
        <w:rPr>
          <w:spacing w:val="-4"/>
        </w:rPr>
        <w:t> </w:t>
      </w:r>
      <w:r>
        <w:rPr/>
        <w:t>or</w:t>
      </w:r>
      <w:r>
        <w:rPr>
          <w:spacing w:val="-4"/>
        </w:rPr>
        <w:t> </w:t>
      </w:r>
      <w:r>
        <w:rPr/>
        <w:t>phenolic-based</w:t>
      </w:r>
      <w:r>
        <w:rPr>
          <w:spacing w:val="-4"/>
        </w:rPr>
        <w:t> </w:t>
      </w:r>
      <w:r>
        <w:rPr/>
        <w:t>adhesives</w:t>
      </w:r>
      <w:r>
        <w:rPr>
          <w:spacing w:val="-58"/>
        </w:rPr>
        <w:t> </w:t>
      </w:r>
      <w:r>
        <w:rPr/>
        <w:t>that meet the AITC 405 requirements.</w:t>
      </w:r>
      <w:r>
        <w:rPr>
          <w:spacing w:val="1"/>
        </w:rPr>
        <w:t> </w:t>
      </w:r>
      <w:r>
        <w:rPr/>
        <w:t>For this research, a single-part, moisture cure,</w:t>
      </w:r>
      <w:r>
        <w:rPr>
          <w:spacing w:val="1"/>
        </w:rPr>
        <w:t> </w:t>
      </w:r>
      <w:r>
        <w:rPr>
          <w:spacing w:val="-1"/>
        </w:rPr>
        <w:t>polyurethane</w:t>
      </w:r>
      <w:r>
        <w:rPr>
          <w:spacing w:val="-13"/>
        </w:rPr>
        <w:t> </w:t>
      </w:r>
      <w:r>
        <w:rPr>
          <w:spacing w:val="-1"/>
        </w:rPr>
        <w:t>adhesive</w:t>
      </w:r>
      <w:r>
        <w:rPr>
          <w:spacing w:val="-12"/>
        </w:rPr>
        <w:t> </w:t>
      </w:r>
      <w:r>
        <w:rPr/>
        <w:t>was</w:t>
      </w:r>
      <w:r>
        <w:rPr>
          <w:spacing w:val="-13"/>
        </w:rPr>
        <w:t> </w:t>
      </w:r>
      <w:r>
        <w:rPr/>
        <w:t>used</w:t>
      </w:r>
      <w:r>
        <w:rPr>
          <w:spacing w:val="-14"/>
        </w:rPr>
        <w:t> </w:t>
      </w:r>
      <w:r>
        <w:rPr/>
        <w:t>to</w:t>
      </w:r>
      <w:r>
        <w:rPr>
          <w:spacing w:val="-15"/>
        </w:rPr>
        <w:t> </w:t>
      </w:r>
      <w:r>
        <w:rPr/>
        <w:t>fabricate</w:t>
      </w:r>
      <w:r>
        <w:rPr>
          <w:spacing w:val="-12"/>
        </w:rPr>
        <w:t> </w:t>
      </w:r>
      <w:r>
        <w:rPr/>
        <w:t>Southern</w:t>
      </w:r>
      <w:r>
        <w:rPr>
          <w:spacing w:val="-12"/>
        </w:rPr>
        <w:t> </w:t>
      </w:r>
      <w:r>
        <w:rPr/>
        <w:t>Pine</w:t>
      </w:r>
      <w:r>
        <w:rPr>
          <w:spacing w:val="-13"/>
        </w:rPr>
        <w:t> </w:t>
      </w:r>
      <w:r>
        <w:rPr/>
        <w:t>test</w:t>
      </w:r>
      <w:r>
        <w:rPr>
          <w:spacing w:val="-12"/>
        </w:rPr>
        <w:t> </w:t>
      </w:r>
      <w:r>
        <w:rPr/>
        <w:t>specimens.</w:t>
      </w:r>
      <w:r>
        <w:rPr>
          <w:spacing w:val="35"/>
        </w:rPr>
        <w:t> </w:t>
      </w:r>
      <w:r>
        <w:rPr/>
        <w:t>The</w:t>
      </w:r>
      <w:r>
        <w:rPr>
          <w:spacing w:val="-13"/>
        </w:rPr>
        <w:t> </w:t>
      </w:r>
      <w:r>
        <w:rPr/>
        <w:t>availability</w:t>
      </w:r>
      <w:r>
        <w:rPr>
          <w:spacing w:val="-57"/>
        </w:rPr>
        <w:t> </w:t>
      </w:r>
      <w:r>
        <w:rPr/>
        <w:t>and</w:t>
      </w:r>
      <w:r>
        <w:rPr>
          <w:spacing w:val="29"/>
        </w:rPr>
        <w:t> </w:t>
      </w:r>
      <w:r>
        <w:rPr/>
        <w:t>applicability</w:t>
      </w:r>
      <w:r>
        <w:rPr>
          <w:spacing w:val="29"/>
        </w:rPr>
        <w:t> </w:t>
      </w:r>
      <w:r>
        <w:rPr/>
        <w:t>of</w:t>
      </w:r>
      <w:r>
        <w:rPr>
          <w:spacing w:val="27"/>
        </w:rPr>
        <w:t> </w:t>
      </w:r>
      <w:r>
        <w:rPr/>
        <w:t>the</w:t>
      </w:r>
      <w:r>
        <w:rPr>
          <w:spacing w:val="28"/>
        </w:rPr>
        <w:t> </w:t>
      </w:r>
      <w:r>
        <w:rPr/>
        <w:t>polyurethane</w:t>
      </w:r>
      <w:r>
        <w:rPr>
          <w:spacing w:val="29"/>
        </w:rPr>
        <w:t> </w:t>
      </w:r>
      <w:r>
        <w:rPr/>
        <w:t>glue</w:t>
      </w:r>
      <w:r>
        <w:rPr>
          <w:spacing w:val="28"/>
        </w:rPr>
        <w:t> </w:t>
      </w:r>
      <w:r>
        <w:rPr/>
        <w:t>for</w:t>
      </w:r>
      <w:r>
        <w:rPr>
          <w:spacing w:val="29"/>
        </w:rPr>
        <w:t> </w:t>
      </w:r>
      <w:r>
        <w:rPr/>
        <w:t>adhering</w:t>
      </w:r>
      <w:r>
        <w:rPr>
          <w:spacing w:val="27"/>
        </w:rPr>
        <w:t> </w:t>
      </w:r>
      <w:r>
        <w:rPr/>
        <w:t>wood</w:t>
      </w:r>
      <w:r>
        <w:rPr>
          <w:spacing w:val="29"/>
        </w:rPr>
        <w:t> </w:t>
      </w:r>
      <w:r>
        <w:rPr/>
        <w:t>together</w:t>
      </w:r>
      <w:r>
        <w:rPr>
          <w:spacing w:val="27"/>
        </w:rPr>
        <w:t> </w:t>
      </w:r>
      <w:r>
        <w:rPr/>
        <w:t>made</w:t>
      </w:r>
      <w:r>
        <w:rPr>
          <w:spacing w:val="29"/>
        </w:rPr>
        <w:t> </w:t>
      </w:r>
      <w:r>
        <w:rPr/>
        <w:t>it</w:t>
      </w:r>
      <w:r>
        <w:rPr>
          <w:spacing w:val="29"/>
        </w:rPr>
        <w:t> </w:t>
      </w:r>
      <w:r>
        <w:rPr/>
        <w:t>the</w:t>
      </w:r>
      <w:r>
        <w:rPr>
          <w:spacing w:val="27"/>
        </w:rPr>
        <w:t> </w:t>
      </w:r>
      <w:r>
        <w:rPr/>
        <w:t>first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right="259"/>
        <w:jc w:val="right"/>
      </w:pPr>
      <w:r>
        <w:rPr/>
        <w:t>choice</w:t>
      </w:r>
      <w:r>
        <w:rPr>
          <w:spacing w:val="4"/>
        </w:rPr>
        <w:t> </w:t>
      </w:r>
      <w:r>
        <w:rPr/>
        <w:t>for</w:t>
      </w:r>
      <w:r>
        <w:rPr>
          <w:spacing w:val="4"/>
        </w:rPr>
        <w:t> </w:t>
      </w:r>
      <w:r>
        <w:rPr/>
        <w:t>initial</w:t>
      </w:r>
      <w:r>
        <w:rPr>
          <w:spacing w:val="4"/>
        </w:rPr>
        <w:t> </w:t>
      </w:r>
      <w:r>
        <w:rPr/>
        <w:t>experimentation</w:t>
      </w:r>
      <w:r>
        <w:rPr>
          <w:spacing w:val="4"/>
        </w:rPr>
        <w:t> </w:t>
      </w:r>
      <w:r>
        <w:rPr/>
        <w:t>and</w:t>
      </w:r>
      <w:r>
        <w:rPr>
          <w:spacing w:val="3"/>
        </w:rPr>
        <w:t> </w:t>
      </w:r>
      <w:r>
        <w:rPr/>
        <w:t>is</w:t>
      </w:r>
      <w:r>
        <w:rPr>
          <w:spacing w:val="4"/>
        </w:rPr>
        <w:t> </w:t>
      </w:r>
      <w:r>
        <w:rPr/>
        <w:t>consistent</w:t>
      </w:r>
      <w:r>
        <w:rPr>
          <w:spacing w:val="4"/>
        </w:rPr>
        <w:t> </w:t>
      </w:r>
      <w:r>
        <w:rPr/>
        <w:t>with</w:t>
      </w:r>
      <w:r>
        <w:rPr>
          <w:spacing w:val="4"/>
        </w:rPr>
        <w:t> </w:t>
      </w:r>
      <w:r>
        <w:rPr/>
        <w:t>current</w:t>
      </w:r>
      <w:r>
        <w:rPr>
          <w:spacing w:val="5"/>
        </w:rPr>
        <w:t> </w:t>
      </w:r>
      <w:r>
        <w:rPr/>
        <w:t>manufacturing</w:t>
      </w:r>
      <w:r>
        <w:rPr>
          <w:spacing w:val="4"/>
        </w:rPr>
        <w:t> </w:t>
      </w:r>
      <w:r>
        <w:rPr/>
        <w:t>processes.</w:t>
      </w:r>
      <w:r>
        <w:rPr>
          <w:spacing w:val="-57"/>
        </w:rPr>
        <w:t> </w:t>
      </w:r>
      <w:r>
        <w:rPr/>
        <w:t>SmartLam</w:t>
      </w:r>
      <w:r>
        <w:rPr>
          <w:spacing w:val="-13"/>
        </w:rPr>
        <w:t> </w:t>
      </w:r>
      <w:r>
        <w:rPr/>
        <w:t>used</w:t>
      </w:r>
      <w:r>
        <w:rPr>
          <w:spacing w:val="-10"/>
        </w:rPr>
        <w:t> </w:t>
      </w:r>
      <w:r>
        <w:rPr/>
        <w:t>a</w:t>
      </w:r>
      <w:r>
        <w:rPr>
          <w:spacing w:val="-11"/>
        </w:rPr>
        <w:t> </w:t>
      </w:r>
      <w:r>
        <w:rPr/>
        <w:t>polyurethane</w:t>
      </w:r>
      <w:r>
        <w:rPr>
          <w:spacing w:val="-10"/>
        </w:rPr>
        <w:t> </w:t>
      </w:r>
      <w:r>
        <w:rPr/>
        <w:t>adhesive</w:t>
      </w:r>
      <w:r>
        <w:rPr>
          <w:spacing w:val="-10"/>
        </w:rPr>
        <w:t> </w:t>
      </w:r>
      <w:r>
        <w:rPr/>
        <w:t>product</w:t>
      </w:r>
      <w:r>
        <w:rPr>
          <w:spacing w:val="-10"/>
        </w:rPr>
        <w:t> </w:t>
      </w:r>
      <w:r>
        <w:rPr/>
        <w:t>for</w:t>
      </w:r>
      <w:r>
        <w:rPr>
          <w:spacing w:val="-9"/>
        </w:rPr>
        <w:t> </w:t>
      </w:r>
      <w:r>
        <w:rPr/>
        <w:t>their</w:t>
      </w:r>
      <w:r>
        <w:rPr>
          <w:spacing w:val="-10"/>
        </w:rPr>
        <w:t> </w:t>
      </w:r>
      <w:r>
        <w:rPr/>
        <w:t>manufactured</w:t>
      </w:r>
      <w:r>
        <w:rPr>
          <w:spacing w:val="-10"/>
        </w:rPr>
        <w:t> </w:t>
      </w:r>
      <w:r>
        <w:rPr/>
        <w:t>CLT</w:t>
      </w:r>
      <w:r>
        <w:rPr>
          <w:spacing w:val="-10"/>
        </w:rPr>
        <w:t> </w:t>
      </w:r>
      <w:r>
        <w:rPr/>
        <w:t>panels</w:t>
      </w:r>
      <w:r>
        <w:rPr>
          <w:spacing w:val="-11"/>
        </w:rPr>
        <w:t> </w:t>
      </w:r>
      <w:r>
        <w:rPr/>
        <w:t>[110].</w:t>
      </w:r>
    </w:p>
    <w:p>
      <w:pPr>
        <w:pStyle w:val="BodyText"/>
        <w:spacing w:before="159"/>
        <w:ind w:right="258"/>
        <w:jc w:val="right"/>
      </w:pPr>
      <w:r>
        <w:rPr/>
        <w:t>CLT</w:t>
      </w:r>
      <w:r>
        <w:rPr>
          <w:spacing w:val="26"/>
        </w:rPr>
        <w:t> </w:t>
      </w:r>
      <w:r>
        <w:rPr/>
        <w:t>manufacturing,</w:t>
      </w:r>
      <w:r>
        <w:rPr>
          <w:spacing w:val="26"/>
        </w:rPr>
        <w:t> </w:t>
      </w:r>
      <w:r>
        <w:rPr/>
        <w:t>according</w:t>
      </w:r>
      <w:r>
        <w:rPr>
          <w:spacing w:val="26"/>
        </w:rPr>
        <w:t> </w:t>
      </w:r>
      <w:r>
        <w:rPr/>
        <w:t>to</w:t>
      </w:r>
      <w:r>
        <w:rPr>
          <w:spacing w:val="26"/>
        </w:rPr>
        <w:t> </w:t>
      </w:r>
      <w:r>
        <w:rPr/>
        <w:t>the</w:t>
      </w:r>
      <w:r>
        <w:rPr>
          <w:spacing w:val="26"/>
        </w:rPr>
        <w:t> </w:t>
      </w:r>
      <w:r>
        <w:rPr/>
        <w:t>CLT</w:t>
      </w:r>
      <w:r>
        <w:rPr>
          <w:spacing w:val="27"/>
        </w:rPr>
        <w:t> </w:t>
      </w:r>
      <w:r>
        <w:rPr/>
        <w:t>Handbook,</w:t>
      </w:r>
      <w:r>
        <w:rPr>
          <w:spacing w:val="26"/>
        </w:rPr>
        <w:t> </w:t>
      </w:r>
      <w:r>
        <w:rPr/>
        <w:t>consists</w:t>
      </w:r>
      <w:r>
        <w:rPr>
          <w:spacing w:val="26"/>
        </w:rPr>
        <w:t> </w:t>
      </w:r>
      <w:r>
        <w:rPr/>
        <w:t>of</w:t>
      </w:r>
      <w:r>
        <w:rPr>
          <w:spacing w:val="25"/>
        </w:rPr>
        <w:t> </w:t>
      </w:r>
      <w:r>
        <w:rPr/>
        <w:t>the</w:t>
      </w:r>
      <w:r>
        <w:rPr>
          <w:spacing w:val="26"/>
        </w:rPr>
        <w:t> </w:t>
      </w:r>
      <w:r>
        <w:rPr/>
        <w:t>following</w:t>
      </w:r>
    </w:p>
    <w:p>
      <w:pPr>
        <w:pStyle w:val="BodyText"/>
      </w:pPr>
    </w:p>
    <w:p>
      <w:pPr>
        <w:pStyle w:val="BodyText"/>
        <w:ind w:left="440"/>
      </w:pPr>
      <w:r>
        <w:rPr/>
        <w:t>steps:</w:t>
      </w:r>
    </w:p>
    <w:p>
      <w:pPr>
        <w:pStyle w:val="BodyText"/>
        <w:spacing w:before="10"/>
        <w:rPr>
          <w:sz w:val="26"/>
        </w:rPr>
      </w:pPr>
    </w:p>
    <w:tbl>
      <w:tblPr>
        <w:tblW w:w="0" w:type="auto"/>
        <w:jc w:val="left"/>
        <w:tblInd w:w="22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8"/>
        <w:gridCol w:w="4774"/>
      </w:tblGrid>
      <w:tr>
        <w:trPr>
          <w:trHeight w:val="282" w:hRule="atLeast"/>
        </w:trPr>
        <w:tc>
          <w:tcPr>
            <w:tcW w:w="488" w:type="dxa"/>
          </w:tcPr>
          <w:p>
            <w:pPr>
              <w:pStyle w:val="TableParagraph"/>
              <w:spacing w:line="263" w:lineRule="exact"/>
              <w:ind w:right="107"/>
              <w:jc w:val="right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4774" w:type="dxa"/>
          </w:tcPr>
          <w:p>
            <w:pPr>
              <w:pStyle w:val="TableParagraph"/>
              <w:spacing w:line="263" w:lineRule="exact"/>
              <w:ind w:left="107"/>
              <w:rPr>
                <w:sz w:val="24"/>
              </w:rPr>
            </w:pPr>
            <w:r>
              <w:rPr>
                <w:sz w:val="24"/>
              </w:rPr>
              <w:t>Lumber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Selection</w:t>
            </w:r>
          </w:p>
        </w:tc>
      </w:tr>
      <w:tr>
        <w:trPr>
          <w:trHeight w:val="299" w:hRule="atLeast"/>
        </w:trPr>
        <w:tc>
          <w:tcPr>
            <w:tcW w:w="488" w:type="dxa"/>
          </w:tcPr>
          <w:p>
            <w:pPr>
              <w:pStyle w:val="TableParagraph"/>
              <w:spacing w:line="272" w:lineRule="exact" w:before="7"/>
              <w:ind w:right="107"/>
              <w:jc w:val="right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4774" w:type="dxa"/>
          </w:tcPr>
          <w:p>
            <w:pPr>
              <w:pStyle w:val="TableParagraph"/>
              <w:spacing w:line="272" w:lineRule="exact" w:before="7"/>
              <w:ind w:left="107"/>
              <w:rPr>
                <w:sz w:val="24"/>
              </w:rPr>
            </w:pPr>
            <w:r>
              <w:rPr>
                <w:sz w:val="24"/>
              </w:rPr>
              <w:t>Lumber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Grouping</w:t>
            </w:r>
          </w:p>
        </w:tc>
      </w:tr>
      <w:tr>
        <w:trPr>
          <w:trHeight w:val="298" w:hRule="atLeast"/>
        </w:trPr>
        <w:tc>
          <w:tcPr>
            <w:tcW w:w="488" w:type="dxa"/>
          </w:tcPr>
          <w:p>
            <w:pPr>
              <w:pStyle w:val="TableParagraph"/>
              <w:spacing w:line="272" w:lineRule="exact" w:before="6"/>
              <w:ind w:right="107"/>
              <w:jc w:val="right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4774" w:type="dxa"/>
          </w:tcPr>
          <w:p>
            <w:pPr>
              <w:pStyle w:val="TableParagraph"/>
              <w:spacing w:line="272" w:lineRule="exact" w:before="6"/>
              <w:ind w:left="107"/>
              <w:rPr>
                <w:sz w:val="24"/>
              </w:rPr>
            </w:pPr>
            <w:r>
              <w:rPr>
                <w:sz w:val="24"/>
              </w:rPr>
              <w:t>Lumber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Planing</w:t>
            </w:r>
          </w:p>
        </w:tc>
      </w:tr>
      <w:tr>
        <w:trPr>
          <w:trHeight w:val="298" w:hRule="atLeast"/>
        </w:trPr>
        <w:tc>
          <w:tcPr>
            <w:tcW w:w="488" w:type="dxa"/>
          </w:tcPr>
          <w:p>
            <w:pPr>
              <w:pStyle w:val="TableParagraph"/>
              <w:spacing w:line="272" w:lineRule="exact" w:before="6"/>
              <w:ind w:right="107"/>
              <w:jc w:val="right"/>
              <w:rPr>
                <w:sz w:val="24"/>
              </w:rPr>
            </w:pPr>
            <w:r>
              <w:rPr>
                <w:sz w:val="24"/>
              </w:rPr>
              <w:t>4.</w:t>
            </w:r>
          </w:p>
        </w:tc>
        <w:tc>
          <w:tcPr>
            <w:tcW w:w="4774" w:type="dxa"/>
          </w:tcPr>
          <w:p>
            <w:pPr>
              <w:pStyle w:val="TableParagraph"/>
              <w:spacing w:line="272" w:lineRule="exact" w:before="6"/>
              <w:ind w:left="107"/>
              <w:rPr>
                <w:sz w:val="24"/>
              </w:rPr>
            </w:pPr>
            <w:r>
              <w:rPr>
                <w:sz w:val="24"/>
              </w:rPr>
              <w:t>Cut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length</w:t>
            </w:r>
          </w:p>
        </w:tc>
      </w:tr>
      <w:tr>
        <w:trPr>
          <w:trHeight w:val="298" w:hRule="atLeast"/>
        </w:trPr>
        <w:tc>
          <w:tcPr>
            <w:tcW w:w="488" w:type="dxa"/>
          </w:tcPr>
          <w:p>
            <w:pPr>
              <w:pStyle w:val="TableParagraph"/>
              <w:spacing w:line="272" w:lineRule="exact" w:before="6"/>
              <w:ind w:right="107"/>
              <w:jc w:val="right"/>
              <w:rPr>
                <w:sz w:val="24"/>
              </w:rPr>
            </w:pPr>
            <w:r>
              <w:rPr>
                <w:sz w:val="24"/>
              </w:rPr>
              <w:t>5.</w:t>
            </w:r>
          </w:p>
        </w:tc>
        <w:tc>
          <w:tcPr>
            <w:tcW w:w="4774" w:type="dxa"/>
          </w:tcPr>
          <w:p>
            <w:pPr>
              <w:pStyle w:val="TableParagraph"/>
              <w:spacing w:line="272" w:lineRule="exact" w:before="6"/>
              <w:ind w:left="107"/>
              <w:rPr>
                <w:sz w:val="24"/>
              </w:rPr>
            </w:pPr>
            <w:r>
              <w:rPr>
                <w:sz w:val="24"/>
              </w:rPr>
              <w:t>Apply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adhesive</w:t>
            </w:r>
          </w:p>
        </w:tc>
      </w:tr>
      <w:tr>
        <w:trPr>
          <w:trHeight w:val="298" w:hRule="atLeast"/>
        </w:trPr>
        <w:tc>
          <w:tcPr>
            <w:tcW w:w="488" w:type="dxa"/>
          </w:tcPr>
          <w:p>
            <w:pPr>
              <w:pStyle w:val="TableParagraph"/>
              <w:spacing w:line="272" w:lineRule="exact" w:before="6"/>
              <w:ind w:right="107"/>
              <w:jc w:val="right"/>
              <w:rPr>
                <w:sz w:val="24"/>
              </w:rPr>
            </w:pPr>
            <w:r>
              <w:rPr>
                <w:sz w:val="24"/>
              </w:rPr>
              <w:t>6.</w:t>
            </w:r>
          </w:p>
        </w:tc>
        <w:tc>
          <w:tcPr>
            <w:tcW w:w="4774" w:type="dxa"/>
          </w:tcPr>
          <w:p>
            <w:pPr>
              <w:pStyle w:val="TableParagraph"/>
              <w:spacing w:line="272" w:lineRule="exact" w:before="6"/>
              <w:ind w:left="107"/>
              <w:rPr>
                <w:sz w:val="24"/>
              </w:rPr>
            </w:pPr>
            <w:r>
              <w:rPr>
                <w:sz w:val="24"/>
              </w:rPr>
              <w:t>Panel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lay-up</w:t>
            </w:r>
          </w:p>
        </w:tc>
      </w:tr>
      <w:tr>
        <w:trPr>
          <w:trHeight w:val="299" w:hRule="atLeast"/>
        </w:trPr>
        <w:tc>
          <w:tcPr>
            <w:tcW w:w="488" w:type="dxa"/>
          </w:tcPr>
          <w:p>
            <w:pPr>
              <w:pStyle w:val="TableParagraph"/>
              <w:spacing w:line="273" w:lineRule="exact" w:before="6"/>
              <w:ind w:right="107"/>
              <w:jc w:val="right"/>
              <w:rPr>
                <w:sz w:val="24"/>
              </w:rPr>
            </w:pPr>
            <w:r>
              <w:rPr>
                <w:sz w:val="24"/>
              </w:rPr>
              <w:t>7.</w:t>
            </w:r>
          </w:p>
        </w:tc>
        <w:tc>
          <w:tcPr>
            <w:tcW w:w="4774" w:type="dxa"/>
          </w:tcPr>
          <w:p>
            <w:pPr>
              <w:pStyle w:val="TableParagraph"/>
              <w:spacing w:line="273" w:lineRule="exact" w:before="6"/>
              <w:ind w:left="107"/>
              <w:rPr>
                <w:sz w:val="24"/>
              </w:rPr>
            </w:pPr>
            <w:r>
              <w:rPr>
                <w:sz w:val="24"/>
              </w:rPr>
              <w:t>Assembly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pressing</w:t>
            </w:r>
          </w:p>
        </w:tc>
      </w:tr>
      <w:tr>
        <w:trPr>
          <w:trHeight w:val="299" w:hRule="atLeast"/>
        </w:trPr>
        <w:tc>
          <w:tcPr>
            <w:tcW w:w="488" w:type="dxa"/>
          </w:tcPr>
          <w:p>
            <w:pPr>
              <w:pStyle w:val="TableParagraph"/>
              <w:spacing w:line="272" w:lineRule="exact" w:before="7"/>
              <w:ind w:right="107"/>
              <w:jc w:val="right"/>
              <w:rPr>
                <w:sz w:val="24"/>
              </w:rPr>
            </w:pPr>
            <w:r>
              <w:rPr>
                <w:sz w:val="24"/>
              </w:rPr>
              <w:t>8.</w:t>
            </w:r>
          </w:p>
        </w:tc>
        <w:tc>
          <w:tcPr>
            <w:tcW w:w="4774" w:type="dxa"/>
          </w:tcPr>
          <w:p>
            <w:pPr>
              <w:pStyle w:val="TableParagraph"/>
              <w:spacing w:line="272" w:lineRule="exact" w:before="7"/>
              <w:ind w:left="107"/>
              <w:rPr>
                <w:sz w:val="24"/>
              </w:rPr>
            </w:pPr>
            <w:r>
              <w:rPr>
                <w:sz w:val="24"/>
              </w:rPr>
              <w:t>On-line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quality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control,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machining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cutting</w:t>
            </w:r>
          </w:p>
        </w:tc>
      </w:tr>
      <w:tr>
        <w:trPr>
          <w:trHeight w:val="282" w:hRule="atLeast"/>
        </w:trPr>
        <w:tc>
          <w:tcPr>
            <w:tcW w:w="488" w:type="dxa"/>
          </w:tcPr>
          <w:p>
            <w:pPr>
              <w:pStyle w:val="TableParagraph"/>
              <w:spacing w:line="256" w:lineRule="exact" w:before="6"/>
              <w:ind w:right="107"/>
              <w:jc w:val="right"/>
              <w:rPr>
                <w:sz w:val="24"/>
              </w:rPr>
            </w:pPr>
            <w:r>
              <w:rPr>
                <w:sz w:val="24"/>
              </w:rPr>
              <w:t>9.</w:t>
            </w:r>
          </w:p>
        </w:tc>
        <w:tc>
          <w:tcPr>
            <w:tcW w:w="4774" w:type="dxa"/>
          </w:tcPr>
          <w:p>
            <w:pPr>
              <w:pStyle w:val="TableParagraph"/>
              <w:spacing w:line="256" w:lineRule="exact" w:before="6"/>
              <w:ind w:left="107"/>
              <w:rPr>
                <w:sz w:val="24"/>
              </w:rPr>
            </w:pPr>
            <w:r>
              <w:rPr>
                <w:sz w:val="24"/>
              </w:rPr>
              <w:t>Product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marking,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packaging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shipping</w:t>
            </w:r>
          </w:p>
        </w:tc>
      </w:tr>
    </w:tbl>
    <w:p>
      <w:pPr>
        <w:pStyle w:val="BodyText"/>
        <w:rPr>
          <w:sz w:val="26"/>
        </w:rPr>
      </w:pPr>
    </w:p>
    <w:p>
      <w:pPr>
        <w:pStyle w:val="BodyText"/>
        <w:spacing w:before="10"/>
        <w:rPr>
          <w:sz w:val="35"/>
        </w:rPr>
      </w:pPr>
    </w:p>
    <w:p>
      <w:pPr>
        <w:pStyle w:val="BodyText"/>
        <w:spacing w:line="480" w:lineRule="auto"/>
        <w:ind w:left="440" w:right="256"/>
        <w:jc w:val="both"/>
      </w:pPr>
      <w:r>
        <w:rPr/>
        <w:t>For selection and grouping, the moisture content was checked with a pin resistance</w:t>
      </w:r>
      <w:r>
        <w:rPr>
          <w:spacing w:val="1"/>
        </w:rPr>
        <w:t> </w:t>
      </w:r>
      <w:r>
        <w:rPr/>
        <w:t>moisture meter and each lamination piece was weighed in order to minimize variation in</w:t>
      </w:r>
      <w:r>
        <w:rPr>
          <w:spacing w:val="1"/>
        </w:rPr>
        <w:t> </w:t>
      </w:r>
      <w:r>
        <w:rPr/>
        <w:t>moisture content and density within layers.</w:t>
      </w:r>
      <w:r>
        <w:rPr>
          <w:spacing w:val="1"/>
        </w:rPr>
        <w:t> </w:t>
      </w:r>
      <w:r>
        <w:rPr/>
        <w:t>Pieces with similar density were more likely</w:t>
      </w:r>
      <w:r>
        <w:rPr>
          <w:spacing w:val="1"/>
        </w:rPr>
        <w:t> </w:t>
      </w:r>
      <w:r>
        <w:rPr/>
        <w:t>to have the same engineering properties, which is required of major and minor strength</w:t>
      </w:r>
      <w:r>
        <w:rPr>
          <w:spacing w:val="1"/>
        </w:rPr>
        <w:t> </w:t>
      </w:r>
      <w:r>
        <w:rPr/>
        <w:t>directions [68] and recommended by the adhesive manufacturer.</w:t>
      </w:r>
      <w:r>
        <w:rPr>
          <w:spacing w:val="1"/>
        </w:rPr>
        <w:t> </w:t>
      </w:r>
      <w:r>
        <w:rPr/>
        <w:t>Prior to gluing and</w:t>
      </w:r>
      <w:r>
        <w:rPr>
          <w:spacing w:val="1"/>
        </w:rPr>
        <w:t> </w:t>
      </w:r>
      <w:r>
        <w:rPr/>
        <w:t>pressing,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2-inch</w:t>
      </w:r>
      <w:r>
        <w:rPr>
          <w:spacing w:val="-3"/>
        </w:rPr>
        <w:t> </w:t>
      </w:r>
      <w:r>
        <w:rPr/>
        <w:t>by</w:t>
      </w:r>
      <w:r>
        <w:rPr>
          <w:spacing w:val="-2"/>
        </w:rPr>
        <w:t> </w:t>
      </w:r>
      <w:r>
        <w:rPr/>
        <w:t>8-inch</w:t>
      </w:r>
      <w:r>
        <w:rPr>
          <w:spacing w:val="-3"/>
        </w:rPr>
        <w:t> </w:t>
      </w:r>
      <w:r>
        <w:rPr/>
        <w:t>lumber</w:t>
      </w:r>
      <w:r>
        <w:rPr>
          <w:spacing w:val="-1"/>
        </w:rPr>
        <w:t> </w:t>
      </w:r>
      <w:r>
        <w:rPr/>
        <w:t>was</w:t>
      </w:r>
      <w:r>
        <w:rPr>
          <w:spacing w:val="-2"/>
        </w:rPr>
        <w:t> </w:t>
      </w:r>
      <w:r>
        <w:rPr/>
        <w:t>planed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7-in.</w:t>
      </w:r>
      <w:r>
        <w:rPr>
          <w:spacing w:val="-2"/>
        </w:rPr>
        <w:t> </w:t>
      </w:r>
      <w:r>
        <w:rPr/>
        <w:t>wide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trimmed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/>
        <w:t>14-in.</w:t>
      </w:r>
      <w:r>
        <w:rPr>
          <w:spacing w:val="-2"/>
        </w:rPr>
        <w:t> </w:t>
      </w:r>
      <w:r>
        <w:rPr/>
        <w:t>long</w:t>
      </w:r>
      <w:r>
        <w:rPr>
          <w:spacing w:val="-58"/>
        </w:rPr>
        <w:t> </w:t>
      </w:r>
      <w:r>
        <w:rPr/>
        <w:t>to fit the size limitations of the small hydraulic press. These dimensions remained within</w:t>
      </w:r>
      <w:r>
        <w:rPr>
          <w:spacing w:val="1"/>
        </w:rPr>
        <w:t> </w:t>
      </w:r>
      <w:r>
        <w:rPr/>
        <w:t>the</w:t>
      </w:r>
      <w:r>
        <w:rPr>
          <w:spacing w:val="-12"/>
        </w:rPr>
        <w:t> </w:t>
      </w:r>
      <w:r>
        <w:rPr/>
        <w:t>recommended</w:t>
      </w:r>
      <w:r>
        <w:rPr>
          <w:spacing w:val="-11"/>
        </w:rPr>
        <w:t> </w:t>
      </w:r>
      <w:r>
        <w:rPr/>
        <w:t>maximum</w:t>
      </w:r>
      <w:r>
        <w:rPr>
          <w:spacing w:val="-13"/>
        </w:rPr>
        <w:t> </w:t>
      </w:r>
      <w:r>
        <w:rPr/>
        <w:t>lamination</w:t>
      </w:r>
      <w:r>
        <w:rPr>
          <w:spacing w:val="-11"/>
        </w:rPr>
        <w:t> </w:t>
      </w:r>
      <w:r>
        <w:rPr/>
        <w:t>thickness</w:t>
      </w:r>
      <w:r>
        <w:rPr>
          <w:spacing w:val="-11"/>
        </w:rPr>
        <w:t> </w:t>
      </w:r>
      <w:r>
        <w:rPr/>
        <w:t>to</w:t>
      </w:r>
      <w:r>
        <w:rPr>
          <w:spacing w:val="-12"/>
        </w:rPr>
        <w:t> </w:t>
      </w:r>
      <w:r>
        <w:rPr/>
        <w:t>width</w:t>
      </w:r>
      <w:r>
        <w:rPr>
          <w:spacing w:val="-11"/>
        </w:rPr>
        <w:t> </w:t>
      </w:r>
      <w:r>
        <w:rPr/>
        <w:t>ratio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3.5.</w:t>
      </w:r>
      <w:r>
        <w:rPr>
          <w:spacing w:val="37"/>
        </w:rPr>
        <w:t> </w:t>
      </w:r>
      <w:r>
        <w:rPr/>
        <w:t>Planing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lumber</w:t>
      </w:r>
      <w:r>
        <w:rPr>
          <w:spacing w:val="-58"/>
        </w:rPr>
        <w:t> </w:t>
      </w:r>
      <w:r>
        <w:rPr/>
        <w:t>activates the wood surface to improve gluing effectiveness.</w:t>
      </w:r>
      <w:r>
        <w:rPr>
          <w:spacing w:val="1"/>
        </w:rPr>
        <w:t> </w:t>
      </w:r>
      <w:r>
        <w:rPr/>
        <w:t>As recommended, the wood</w:t>
      </w:r>
      <w:r>
        <w:rPr>
          <w:spacing w:val="-57"/>
        </w:rPr>
        <w:t> </w:t>
      </w:r>
      <w:r>
        <w:rPr>
          <w:spacing w:val="-1"/>
        </w:rPr>
        <w:t>was</w:t>
      </w:r>
      <w:r>
        <w:rPr>
          <w:spacing w:val="-12"/>
        </w:rPr>
        <w:t> </w:t>
      </w:r>
      <w:r>
        <w:rPr/>
        <w:t>planed</w:t>
      </w:r>
      <w:r>
        <w:rPr>
          <w:spacing w:val="-15"/>
        </w:rPr>
        <w:t> </w:t>
      </w:r>
      <w:r>
        <w:rPr/>
        <w:t>within</w:t>
      </w:r>
      <w:r>
        <w:rPr>
          <w:spacing w:val="-13"/>
        </w:rPr>
        <w:t> </w:t>
      </w:r>
      <w:r>
        <w:rPr/>
        <w:t>two</w:t>
      </w:r>
      <w:r>
        <w:rPr>
          <w:spacing w:val="-12"/>
        </w:rPr>
        <w:t> </w:t>
      </w:r>
      <w:r>
        <w:rPr/>
        <w:t>hours</w:t>
      </w:r>
      <w:r>
        <w:rPr>
          <w:spacing w:val="-13"/>
        </w:rPr>
        <w:t> </w:t>
      </w:r>
      <w:r>
        <w:rPr/>
        <w:t>of</w:t>
      </w:r>
      <w:r>
        <w:rPr>
          <w:spacing w:val="-13"/>
        </w:rPr>
        <w:t> </w:t>
      </w:r>
      <w:r>
        <w:rPr/>
        <w:t>adhesive</w:t>
      </w:r>
      <w:r>
        <w:rPr>
          <w:spacing w:val="-12"/>
        </w:rPr>
        <w:t> </w:t>
      </w:r>
      <w:r>
        <w:rPr/>
        <w:t>application.</w:t>
      </w:r>
      <w:r>
        <w:rPr>
          <w:spacing w:val="35"/>
        </w:rPr>
        <w:t> </w:t>
      </w:r>
      <w:r>
        <w:rPr/>
        <w:t>This</w:t>
      </w:r>
      <w:r>
        <w:rPr>
          <w:spacing w:val="-13"/>
        </w:rPr>
        <w:t> </w:t>
      </w:r>
      <w:r>
        <w:rPr/>
        <w:t>allows</w:t>
      </w:r>
      <w:r>
        <w:rPr>
          <w:spacing w:val="-12"/>
        </w:rPr>
        <w:t> </w:t>
      </w:r>
      <w:r>
        <w:rPr/>
        <w:t>for</w:t>
      </w:r>
      <w:r>
        <w:rPr>
          <w:spacing w:val="-12"/>
        </w:rPr>
        <w:t> </w:t>
      </w:r>
      <w:r>
        <w:rPr/>
        <w:t>a</w:t>
      </w:r>
      <w:r>
        <w:rPr>
          <w:spacing w:val="-13"/>
        </w:rPr>
        <w:t> </w:t>
      </w:r>
      <w:r>
        <w:rPr/>
        <w:t>reduction</w:t>
      </w:r>
      <w:r>
        <w:rPr>
          <w:spacing w:val="-13"/>
        </w:rPr>
        <w:t> </w:t>
      </w:r>
      <w:r>
        <w:rPr/>
        <w:t>in</w:t>
      </w:r>
      <w:r>
        <w:rPr>
          <w:spacing w:val="-12"/>
        </w:rPr>
        <w:t> </w:t>
      </w:r>
      <w:r>
        <w:rPr/>
        <w:t>surface</w:t>
      </w:r>
      <w:r>
        <w:rPr>
          <w:spacing w:val="-58"/>
        </w:rPr>
        <w:t> </w:t>
      </w:r>
      <w:r>
        <w:rPr/>
        <w:t>oxidation, surface ageing, and dimensional instability, preparing the wood for a more</w:t>
      </w:r>
      <w:r>
        <w:rPr>
          <w:spacing w:val="1"/>
        </w:rPr>
        <w:t> </w:t>
      </w:r>
      <w:r>
        <w:rPr>
          <w:spacing w:val="-1"/>
        </w:rPr>
        <w:t>effective</w:t>
      </w:r>
      <w:r>
        <w:rPr>
          <w:spacing w:val="-13"/>
        </w:rPr>
        <w:t> </w:t>
      </w:r>
      <w:r>
        <w:rPr>
          <w:spacing w:val="-1"/>
        </w:rPr>
        <w:t>bond</w:t>
      </w:r>
      <w:r>
        <w:rPr>
          <w:spacing w:val="-14"/>
        </w:rPr>
        <w:t> </w:t>
      </w:r>
      <w:r>
        <w:rPr>
          <w:spacing w:val="-1"/>
        </w:rPr>
        <w:t>[68].</w:t>
      </w:r>
      <w:r>
        <w:rPr>
          <w:spacing w:val="34"/>
        </w:rPr>
        <w:t> </w:t>
      </w:r>
      <w:r>
        <w:rPr>
          <w:spacing w:val="-1"/>
        </w:rPr>
        <w:t>By</w:t>
      </w:r>
      <w:r>
        <w:rPr>
          <w:spacing w:val="-12"/>
        </w:rPr>
        <w:t> </w:t>
      </w:r>
      <w:r>
        <w:rPr/>
        <w:t>running</w:t>
      </w:r>
      <w:r>
        <w:rPr>
          <w:spacing w:val="-14"/>
        </w:rPr>
        <w:t> </w:t>
      </w:r>
      <w:r>
        <w:rPr/>
        <w:t>the</w:t>
      </w:r>
      <w:r>
        <w:rPr>
          <w:spacing w:val="-15"/>
        </w:rPr>
        <w:t> </w:t>
      </w:r>
      <w:r>
        <w:rPr/>
        <w:t>lumber</w:t>
      </w:r>
      <w:r>
        <w:rPr>
          <w:spacing w:val="-12"/>
        </w:rPr>
        <w:t> </w:t>
      </w:r>
      <w:r>
        <w:rPr/>
        <w:t>through</w:t>
      </w:r>
      <w:r>
        <w:rPr>
          <w:spacing w:val="-14"/>
        </w:rPr>
        <w:t> </w:t>
      </w:r>
      <w:r>
        <w:rPr/>
        <w:t>the</w:t>
      </w:r>
      <w:r>
        <w:rPr>
          <w:spacing w:val="-13"/>
        </w:rPr>
        <w:t> </w:t>
      </w:r>
      <w:r>
        <w:rPr/>
        <w:t>planer,</w:t>
      </w:r>
      <w:r>
        <w:rPr>
          <w:spacing w:val="-14"/>
        </w:rPr>
        <w:t> </w:t>
      </w:r>
      <w:r>
        <w:rPr/>
        <w:t>any</w:t>
      </w:r>
      <w:r>
        <w:rPr>
          <w:spacing w:val="-14"/>
        </w:rPr>
        <w:t> </w:t>
      </w:r>
      <w:r>
        <w:rPr/>
        <w:t>superficial</w:t>
      </w:r>
      <w:r>
        <w:rPr>
          <w:spacing w:val="-13"/>
        </w:rPr>
        <w:t> </w:t>
      </w:r>
      <w:r>
        <w:rPr/>
        <w:t>defects</w:t>
      </w:r>
      <w:r>
        <w:rPr>
          <w:spacing w:val="-13"/>
        </w:rPr>
        <w:t> </w:t>
      </w:r>
      <w:r>
        <w:rPr/>
        <w:t>from</w:t>
      </w:r>
      <w:r>
        <w:rPr>
          <w:spacing w:val="-57"/>
        </w:rPr>
        <w:t> </w:t>
      </w:r>
      <w:r>
        <w:rPr/>
        <w:t>the</w:t>
      </w:r>
      <w:r>
        <w:rPr>
          <w:spacing w:val="17"/>
        </w:rPr>
        <w:t> </w:t>
      </w:r>
      <w:r>
        <w:rPr/>
        <w:t>handling</w:t>
      </w:r>
      <w:r>
        <w:rPr>
          <w:spacing w:val="15"/>
        </w:rPr>
        <w:t> </w:t>
      </w:r>
      <w:r>
        <w:rPr/>
        <w:t>and</w:t>
      </w:r>
      <w:r>
        <w:rPr>
          <w:spacing w:val="17"/>
        </w:rPr>
        <w:t> </w:t>
      </w:r>
      <w:r>
        <w:rPr/>
        <w:t>transport</w:t>
      </w:r>
      <w:r>
        <w:rPr>
          <w:spacing w:val="17"/>
        </w:rPr>
        <w:t> </w:t>
      </w:r>
      <w:r>
        <w:rPr/>
        <w:t>of</w:t>
      </w:r>
      <w:r>
        <w:rPr>
          <w:spacing w:val="16"/>
        </w:rPr>
        <w:t> </w:t>
      </w:r>
      <w:r>
        <w:rPr/>
        <w:t>the</w:t>
      </w:r>
      <w:r>
        <w:rPr>
          <w:spacing w:val="18"/>
        </w:rPr>
        <w:t> </w:t>
      </w:r>
      <w:r>
        <w:rPr/>
        <w:t>lumber</w:t>
      </w:r>
      <w:r>
        <w:rPr>
          <w:spacing w:val="17"/>
        </w:rPr>
        <w:t> </w:t>
      </w:r>
      <w:r>
        <w:rPr/>
        <w:t>were</w:t>
      </w:r>
      <w:r>
        <w:rPr>
          <w:spacing w:val="17"/>
        </w:rPr>
        <w:t> </w:t>
      </w:r>
      <w:r>
        <w:rPr/>
        <w:t>removed</w:t>
      </w:r>
      <w:r>
        <w:rPr>
          <w:spacing w:val="17"/>
        </w:rPr>
        <w:t> </w:t>
      </w:r>
      <w:r>
        <w:rPr/>
        <w:t>as</w:t>
      </w:r>
      <w:r>
        <w:rPr>
          <w:spacing w:val="18"/>
        </w:rPr>
        <w:t> </w:t>
      </w:r>
      <w:r>
        <w:rPr/>
        <w:t>well.</w:t>
      </w:r>
      <w:r>
        <w:rPr>
          <w:spacing w:val="36"/>
        </w:rPr>
        <w:t> </w:t>
      </w:r>
      <w:r>
        <w:rPr/>
        <w:t>It</w:t>
      </w:r>
      <w:r>
        <w:rPr>
          <w:spacing w:val="17"/>
        </w:rPr>
        <w:t> </w:t>
      </w:r>
      <w:r>
        <w:rPr/>
        <w:t>should</w:t>
      </w:r>
      <w:r>
        <w:rPr>
          <w:spacing w:val="17"/>
        </w:rPr>
        <w:t> </w:t>
      </w:r>
      <w:r>
        <w:rPr/>
        <w:t>be</w:t>
      </w:r>
      <w:r>
        <w:rPr>
          <w:spacing w:val="17"/>
        </w:rPr>
        <w:t> </w:t>
      </w:r>
      <w:r>
        <w:rPr/>
        <w:t>noted</w:t>
      </w:r>
      <w:r>
        <w:rPr>
          <w:spacing w:val="15"/>
        </w:rPr>
        <w:t> </w:t>
      </w:r>
      <w:r>
        <w:rPr/>
        <w:t>that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40" w:right="257"/>
        <w:jc w:val="both"/>
      </w:pPr>
      <w:r>
        <w:rPr/>
        <w:t>early experiments with Southern Pine timber showed that wood laminations made with</w:t>
      </w:r>
      <w:r>
        <w:rPr>
          <w:spacing w:val="1"/>
        </w:rPr>
        <w:t> </w:t>
      </w:r>
      <w:r>
        <w:rPr/>
        <w:t>lumber</w:t>
      </w:r>
      <w:r>
        <w:rPr>
          <w:spacing w:val="-7"/>
        </w:rPr>
        <w:t> </w:t>
      </w:r>
      <w:r>
        <w:rPr/>
        <w:t>planed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day</w:t>
      </w:r>
      <w:r>
        <w:rPr>
          <w:spacing w:val="-7"/>
        </w:rPr>
        <w:t> </w:t>
      </w:r>
      <w:r>
        <w:rPr/>
        <w:t>before</w:t>
      </w:r>
      <w:r>
        <w:rPr>
          <w:spacing w:val="-7"/>
        </w:rPr>
        <w:t> </w:t>
      </w:r>
      <w:r>
        <w:rPr/>
        <w:t>pressing</w:t>
      </w:r>
      <w:r>
        <w:rPr>
          <w:spacing w:val="-7"/>
        </w:rPr>
        <w:t> </w:t>
      </w:r>
      <w:r>
        <w:rPr/>
        <w:t>were</w:t>
      </w:r>
      <w:r>
        <w:rPr>
          <w:spacing w:val="-7"/>
        </w:rPr>
        <w:t> </w:t>
      </w:r>
      <w:r>
        <w:rPr/>
        <w:t>not</w:t>
      </w:r>
      <w:r>
        <w:rPr>
          <w:spacing w:val="-6"/>
        </w:rPr>
        <w:t> </w:t>
      </w:r>
      <w:r>
        <w:rPr/>
        <w:t>as</w:t>
      </w:r>
      <w:r>
        <w:rPr>
          <w:spacing w:val="-7"/>
        </w:rPr>
        <w:t> </w:t>
      </w:r>
      <w:r>
        <w:rPr/>
        <w:t>consistent</w:t>
      </w:r>
      <w:r>
        <w:rPr>
          <w:spacing w:val="-8"/>
        </w:rPr>
        <w:t> </w:t>
      </w:r>
      <w:r>
        <w:rPr/>
        <w:t>as</w:t>
      </w:r>
      <w:r>
        <w:rPr>
          <w:spacing w:val="-7"/>
        </w:rPr>
        <w:t> </w:t>
      </w:r>
      <w:r>
        <w:rPr/>
        <w:t>those</w:t>
      </w:r>
      <w:r>
        <w:rPr>
          <w:spacing w:val="-7"/>
        </w:rPr>
        <w:t> </w:t>
      </w:r>
      <w:r>
        <w:rPr/>
        <w:t>that</w:t>
      </w:r>
      <w:r>
        <w:rPr>
          <w:spacing w:val="-8"/>
        </w:rPr>
        <w:t> </w:t>
      </w:r>
      <w:r>
        <w:rPr/>
        <w:t>were</w:t>
      </w:r>
      <w:r>
        <w:rPr>
          <w:spacing w:val="-6"/>
        </w:rPr>
        <w:t> </w:t>
      </w:r>
      <w:r>
        <w:rPr/>
        <w:t>made</w:t>
      </w:r>
      <w:r>
        <w:rPr>
          <w:spacing w:val="-5"/>
        </w:rPr>
        <w:t> </w:t>
      </w:r>
      <w:r>
        <w:rPr/>
        <w:t>from</w:t>
      </w:r>
      <w:r>
        <w:rPr>
          <w:spacing w:val="-58"/>
        </w:rPr>
        <w:t> </w:t>
      </w:r>
      <w:r>
        <w:rPr/>
        <w:t>wood that was planed and pressed on the same day.</w:t>
      </w:r>
      <w:r>
        <w:rPr>
          <w:spacing w:val="1"/>
        </w:rPr>
        <w:t> </w:t>
      </w:r>
      <w:r>
        <w:rPr/>
        <w:t>The pieces of cut lumber were then</w:t>
      </w:r>
      <w:r>
        <w:rPr>
          <w:spacing w:val="1"/>
        </w:rPr>
        <w:t> </w:t>
      </w:r>
      <w:r>
        <w:rPr/>
        <w:t>set</w:t>
      </w:r>
      <w:r>
        <w:rPr>
          <w:spacing w:val="-1"/>
        </w:rPr>
        <w:t> </w:t>
      </w:r>
      <w:r>
        <w:rPr/>
        <w:t>in</w:t>
      </w:r>
      <w:r>
        <w:rPr>
          <w:spacing w:val="-3"/>
        </w:rPr>
        <w:t> </w:t>
      </w:r>
      <w:r>
        <w:rPr/>
        <w:t>the desired</w:t>
      </w:r>
      <w:r>
        <w:rPr>
          <w:spacing w:val="-3"/>
        </w:rPr>
        <w:t> </w:t>
      </w:r>
      <w:r>
        <w:rPr/>
        <w:t>lay-up</w:t>
      </w:r>
      <w:r>
        <w:rPr>
          <w:spacing w:val="-2"/>
        </w:rPr>
        <w:t> </w:t>
      </w:r>
      <w:r>
        <w:rPr/>
        <w:t>with</w:t>
      </w:r>
      <w:r>
        <w:rPr>
          <w:spacing w:val="-1"/>
        </w:rPr>
        <w:t> </w:t>
      </w:r>
      <w:r>
        <w:rPr/>
        <w:t>the orthogonally</w:t>
      </w:r>
      <w:r>
        <w:rPr>
          <w:spacing w:val="-1"/>
        </w:rPr>
        <w:t> </w:t>
      </w:r>
      <w:r>
        <w:rPr/>
        <w:t>oriented</w:t>
      </w:r>
      <w:r>
        <w:rPr>
          <w:spacing w:val="-1"/>
        </w:rPr>
        <w:t> </w:t>
      </w:r>
      <w:r>
        <w:rPr/>
        <w:t>layers</w:t>
      </w:r>
      <w:r>
        <w:rPr>
          <w:spacing w:val="-1"/>
        </w:rPr>
        <w:t> </w:t>
      </w:r>
      <w:r>
        <w:rPr/>
        <w:t>as</w:t>
      </w:r>
      <w:r>
        <w:rPr>
          <w:spacing w:val="-1"/>
        </w:rPr>
        <w:t> </w:t>
      </w:r>
      <w:r>
        <w:rPr/>
        <w:t>shown in</w:t>
      </w:r>
      <w:r>
        <w:rPr>
          <w:spacing w:val="-2"/>
        </w:rPr>
        <w:t> </w:t>
      </w:r>
      <w:hyperlink w:history="true" w:anchor="_bookmark25">
        <w:r>
          <w:rPr/>
          <w:t>Figure</w:t>
        </w:r>
        <w:r>
          <w:rPr>
            <w:spacing w:val="-1"/>
          </w:rPr>
          <w:t> </w:t>
        </w:r>
        <w:r>
          <w:rPr/>
          <w:t>4-2</w:t>
        </w:r>
      </w:hyperlink>
      <w:r>
        <w:rPr/>
        <w:t>.</w:t>
      </w:r>
    </w:p>
    <w:p>
      <w:pPr>
        <w:pStyle w:val="BodyText"/>
        <w:spacing w:line="480" w:lineRule="auto" w:before="159"/>
        <w:ind w:left="440" w:right="258" w:firstLine="720"/>
        <w:jc w:val="both"/>
      </w:pPr>
      <w:r>
        <w:rPr/>
        <w:t>Based on the technical specifications of the adhesive, existing guidance from the</w:t>
      </w:r>
      <w:r>
        <w:rPr>
          <w:spacing w:val="1"/>
        </w:rPr>
        <w:t> </w:t>
      </w:r>
      <w:r>
        <w:rPr/>
        <w:t>CLT Handbook, and existing literature on CLT, the initial specimens were face glued, but</w:t>
      </w:r>
      <w:r>
        <w:rPr>
          <w:spacing w:val="-57"/>
        </w:rPr>
        <w:t> </w:t>
      </w:r>
      <w:r>
        <w:rPr/>
        <w:t>not intentionally edge glued.</w:t>
      </w:r>
      <w:r>
        <w:rPr>
          <w:spacing w:val="1"/>
        </w:rPr>
        <w:t> </w:t>
      </w:r>
      <w:r>
        <w:rPr/>
        <w:t>The process did allow some glue to migrate between the</w:t>
      </w:r>
      <w:r>
        <w:rPr>
          <w:spacing w:val="1"/>
        </w:rPr>
        <w:t> </w:t>
      </w:r>
      <w:r>
        <w:rPr/>
        <w:t>individual pieces’ narrow faces.</w:t>
      </w:r>
      <w:r>
        <w:rPr>
          <w:spacing w:val="1"/>
        </w:rPr>
        <w:t> </w:t>
      </w:r>
      <w:r>
        <w:rPr/>
        <w:t>This was unavoidable and is likely to happen to some</w:t>
      </w:r>
      <w:r>
        <w:rPr>
          <w:spacing w:val="1"/>
        </w:rPr>
        <w:t> </w:t>
      </w:r>
      <w:r>
        <w:rPr/>
        <w:t>extent in large scale production as well.</w:t>
      </w:r>
      <w:r>
        <w:rPr>
          <w:spacing w:val="1"/>
        </w:rPr>
        <w:t> </w:t>
      </w:r>
      <w:r>
        <w:rPr/>
        <w:t>Currently, North American produced CLT does</w:t>
      </w:r>
      <w:r>
        <w:rPr>
          <w:spacing w:val="1"/>
        </w:rPr>
        <w:t> </w:t>
      </w:r>
      <w:r>
        <w:rPr>
          <w:spacing w:val="-1"/>
        </w:rPr>
        <w:t>not</w:t>
      </w:r>
      <w:r>
        <w:rPr>
          <w:spacing w:val="-14"/>
        </w:rPr>
        <w:t> </w:t>
      </w:r>
      <w:r>
        <w:rPr>
          <w:spacing w:val="-1"/>
        </w:rPr>
        <w:t>require</w:t>
      </w:r>
      <w:r>
        <w:rPr>
          <w:spacing w:val="-15"/>
        </w:rPr>
        <w:t> </w:t>
      </w:r>
      <w:r>
        <w:rPr>
          <w:spacing w:val="-1"/>
        </w:rPr>
        <w:t>edge</w:t>
      </w:r>
      <w:r>
        <w:rPr>
          <w:spacing w:val="-15"/>
        </w:rPr>
        <w:t> </w:t>
      </w:r>
      <w:r>
        <w:rPr>
          <w:spacing w:val="-1"/>
        </w:rPr>
        <w:t>gluing.</w:t>
      </w:r>
      <w:r>
        <w:rPr>
          <w:spacing w:val="32"/>
        </w:rPr>
        <w:t> </w:t>
      </w:r>
      <w:r>
        <w:rPr/>
        <w:t>Concerns</w:t>
      </w:r>
      <w:r>
        <w:rPr>
          <w:spacing w:val="-15"/>
        </w:rPr>
        <w:t> </w:t>
      </w:r>
      <w:r>
        <w:rPr/>
        <w:t>related</w:t>
      </w:r>
      <w:r>
        <w:rPr>
          <w:spacing w:val="-15"/>
        </w:rPr>
        <w:t> </w:t>
      </w:r>
      <w:r>
        <w:rPr/>
        <w:t>to</w:t>
      </w:r>
      <w:r>
        <w:rPr>
          <w:spacing w:val="-15"/>
        </w:rPr>
        <w:t> </w:t>
      </w:r>
      <w:r>
        <w:rPr/>
        <w:t>interlaminar</w:t>
      </w:r>
      <w:r>
        <w:rPr>
          <w:spacing w:val="-14"/>
        </w:rPr>
        <w:t> </w:t>
      </w:r>
      <w:r>
        <w:rPr/>
        <w:t>stresses</w:t>
      </w:r>
      <w:r>
        <w:rPr>
          <w:spacing w:val="-14"/>
        </w:rPr>
        <w:t> </w:t>
      </w:r>
      <w:r>
        <w:rPr/>
        <w:t>(rolling</w:t>
      </w:r>
      <w:r>
        <w:rPr>
          <w:spacing w:val="-15"/>
        </w:rPr>
        <w:t> </w:t>
      </w:r>
      <w:r>
        <w:rPr/>
        <w:t>shear)</w:t>
      </w:r>
      <w:r>
        <w:rPr>
          <w:spacing w:val="-14"/>
        </w:rPr>
        <w:t> </w:t>
      </w:r>
      <w:r>
        <w:rPr/>
        <w:t>are</w:t>
      </w:r>
      <w:r>
        <w:rPr>
          <w:spacing w:val="-15"/>
        </w:rPr>
        <w:t> </w:t>
      </w:r>
      <w:r>
        <w:rPr/>
        <w:t>instead</w:t>
      </w:r>
      <w:r>
        <w:rPr>
          <w:spacing w:val="-57"/>
        </w:rPr>
        <w:t> </w:t>
      </w:r>
      <w:r>
        <w:rPr/>
        <w:t>addressed in PRG 320 by dimensional guidelines related to individual timber widths and</w:t>
      </w:r>
      <w:r>
        <w:rPr>
          <w:spacing w:val="1"/>
        </w:rPr>
        <w:t> </w:t>
      </w:r>
      <w:r>
        <w:rPr/>
        <w:t>thicknesses.</w:t>
      </w:r>
      <w:r>
        <w:rPr>
          <w:spacing w:val="1"/>
        </w:rPr>
        <w:t> </w:t>
      </w:r>
      <w:r>
        <w:rPr/>
        <w:t>The polyurethane adhesive was moisture activated, and so the individual</w:t>
      </w:r>
      <w:r>
        <w:rPr>
          <w:spacing w:val="1"/>
        </w:rPr>
        <w:t> </w:t>
      </w:r>
      <w:r>
        <w:rPr/>
        <w:t>pieces</w:t>
      </w:r>
      <w:r>
        <w:rPr>
          <w:spacing w:val="-1"/>
        </w:rPr>
        <w:t> </w:t>
      </w:r>
      <w:r>
        <w:rPr/>
        <w:t>were</w:t>
      </w:r>
      <w:r>
        <w:rPr>
          <w:spacing w:val="-1"/>
        </w:rPr>
        <w:t> </w:t>
      </w:r>
      <w:r>
        <w:rPr/>
        <w:t>dampened with a</w:t>
      </w:r>
      <w:r>
        <w:rPr>
          <w:spacing w:val="-1"/>
        </w:rPr>
        <w:t> </w:t>
      </w:r>
      <w:r>
        <w:rPr/>
        <w:t>wet</w:t>
      </w:r>
      <w:r>
        <w:rPr>
          <w:spacing w:val="-1"/>
        </w:rPr>
        <w:t> </w:t>
      </w:r>
      <w:r>
        <w:rPr/>
        <w:t>cloth before the</w:t>
      </w:r>
      <w:r>
        <w:rPr>
          <w:spacing w:val="-2"/>
        </w:rPr>
        <w:t> </w:t>
      </w:r>
      <w:r>
        <w:rPr/>
        <w:t>glue was applied.</w:t>
      </w:r>
    </w:p>
    <w:p>
      <w:pPr>
        <w:pStyle w:val="BodyText"/>
        <w:spacing w:line="480" w:lineRule="auto" w:before="160"/>
        <w:ind w:left="440" w:right="257" w:firstLine="720"/>
        <w:jc w:val="both"/>
      </w:pPr>
      <w:r>
        <w:rPr/>
        <w:t>The adhesive was applied in thin ribbons parallel to the grain direction and spread</w:t>
      </w:r>
      <w:r>
        <w:rPr>
          <w:spacing w:val="-57"/>
        </w:rPr>
        <w:t> </w:t>
      </w:r>
      <w:r>
        <w:rPr/>
        <w:t>evenly across the surface with a scraper and each successive layer was stacked as soon as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glue</w:t>
      </w:r>
      <w:r>
        <w:rPr>
          <w:spacing w:val="-1"/>
        </w:rPr>
        <w:t> </w:t>
      </w:r>
      <w:r>
        <w:rPr/>
        <w:t>was</w:t>
      </w:r>
      <w:r>
        <w:rPr>
          <w:spacing w:val="-2"/>
        </w:rPr>
        <w:t> </w:t>
      </w:r>
      <w:r>
        <w:rPr/>
        <w:t>spread.</w:t>
      </w:r>
      <w:r>
        <w:rPr>
          <w:spacing w:val="56"/>
        </w:rPr>
        <w:t> </w:t>
      </w:r>
      <w:r>
        <w:rPr/>
        <w:t>An average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29.3</w:t>
      </w:r>
      <w:r>
        <w:rPr>
          <w:spacing w:val="-1"/>
        </w:rPr>
        <w:t> </w:t>
      </w:r>
      <w:r>
        <w:rPr/>
        <w:t>grams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adhesive per</w:t>
      </w:r>
      <w:r>
        <w:rPr>
          <w:spacing w:val="-1"/>
        </w:rPr>
        <w:t> </w:t>
      </w:r>
      <w:r>
        <w:rPr/>
        <w:t>square</w:t>
      </w:r>
      <w:r>
        <w:rPr>
          <w:spacing w:val="-1"/>
        </w:rPr>
        <w:t> </w:t>
      </w:r>
      <w:r>
        <w:rPr/>
        <w:t>foot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lumber was</w:t>
      </w:r>
      <w:r>
        <w:rPr>
          <w:spacing w:val="-57"/>
        </w:rPr>
        <w:t> </w:t>
      </w:r>
      <w:r>
        <w:rPr/>
        <w:t>used.</w:t>
      </w:r>
      <w:r>
        <w:rPr>
          <w:spacing w:val="43"/>
        </w:rPr>
        <w:t> </w:t>
      </w:r>
      <w:r>
        <w:rPr/>
        <w:t>The</w:t>
      </w:r>
      <w:r>
        <w:rPr>
          <w:spacing w:val="-10"/>
        </w:rPr>
        <w:t> </w:t>
      </w:r>
      <w:r>
        <w:rPr/>
        <w:t>14-inch</w:t>
      </w:r>
      <w:r>
        <w:rPr>
          <w:spacing w:val="-9"/>
        </w:rPr>
        <w:t> </w:t>
      </w:r>
      <w:r>
        <w:rPr/>
        <w:t>by</w:t>
      </w:r>
      <w:r>
        <w:rPr>
          <w:spacing w:val="-10"/>
        </w:rPr>
        <w:t> </w:t>
      </w:r>
      <w:r>
        <w:rPr/>
        <w:t>14-inch</w:t>
      </w:r>
      <w:r>
        <w:rPr>
          <w:spacing w:val="-10"/>
        </w:rPr>
        <w:t> </w:t>
      </w:r>
      <w:r>
        <w:rPr/>
        <w:t>(36</w:t>
      </w:r>
      <w:r>
        <w:rPr>
          <w:spacing w:val="-10"/>
        </w:rPr>
        <w:t> </w:t>
      </w:r>
      <w:r>
        <w:rPr/>
        <w:t>cm</w:t>
      </w:r>
      <w:r>
        <w:rPr>
          <w:spacing w:val="-9"/>
        </w:rPr>
        <w:t> </w:t>
      </w:r>
      <w:r>
        <w:rPr/>
        <w:t>by</w:t>
      </w:r>
      <w:r>
        <w:rPr>
          <w:spacing w:val="-9"/>
        </w:rPr>
        <w:t> </w:t>
      </w:r>
      <w:r>
        <w:rPr/>
        <w:t>36</w:t>
      </w:r>
      <w:r>
        <w:rPr>
          <w:spacing w:val="-9"/>
        </w:rPr>
        <w:t> </w:t>
      </w:r>
      <w:r>
        <w:rPr/>
        <w:t>cm)</w:t>
      </w:r>
      <w:r>
        <w:rPr>
          <w:spacing w:val="-8"/>
        </w:rPr>
        <w:t> </w:t>
      </w:r>
      <w:r>
        <w:rPr/>
        <w:t>specimen</w:t>
      </w:r>
      <w:r>
        <w:rPr>
          <w:spacing w:val="-9"/>
        </w:rPr>
        <w:t> </w:t>
      </w:r>
      <w:r>
        <w:rPr/>
        <w:t>block</w:t>
      </w:r>
      <w:r>
        <w:rPr>
          <w:spacing w:val="-9"/>
        </w:rPr>
        <w:t> </w:t>
      </w:r>
      <w:r>
        <w:rPr/>
        <w:t>was</w:t>
      </w:r>
      <w:r>
        <w:rPr>
          <w:spacing w:val="-8"/>
        </w:rPr>
        <w:t> </w:t>
      </w:r>
      <w:r>
        <w:rPr/>
        <w:t>held</w:t>
      </w:r>
      <w:r>
        <w:rPr>
          <w:spacing w:val="-10"/>
        </w:rPr>
        <w:t> </w:t>
      </w:r>
      <w:r>
        <w:rPr/>
        <w:t>in</w:t>
      </w:r>
      <w:r>
        <w:rPr>
          <w:spacing w:val="-9"/>
        </w:rPr>
        <w:t> </w:t>
      </w:r>
      <w:r>
        <w:rPr/>
        <w:t>place</w:t>
      </w:r>
      <w:r>
        <w:rPr>
          <w:spacing w:val="-10"/>
        </w:rPr>
        <w:t> </w:t>
      </w:r>
      <w:r>
        <w:rPr/>
        <w:t>laterally</w:t>
      </w:r>
      <w:r>
        <w:rPr>
          <w:spacing w:val="-58"/>
        </w:rPr>
        <w:t> </w:t>
      </w:r>
      <w:r>
        <w:rPr/>
        <w:t>by</w:t>
      </w:r>
      <w:r>
        <w:rPr>
          <w:spacing w:val="-6"/>
        </w:rPr>
        <w:t> </w:t>
      </w:r>
      <w:r>
        <w:rPr/>
        <w:t>two</w:t>
      </w:r>
      <w:r>
        <w:rPr>
          <w:spacing w:val="-5"/>
        </w:rPr>
        <w:t> </w:t>
      </w:r>
      <w:r>
        <w:rPr/>
        <w:t>plastic</w:t>
      </w:r>
      <w:r>
        <w:rPr>
          <w:spacing w:val="-5"/>
        </w:rPr>
        <w:t> </w:t>
      </w:r>
      <w:r>
        <w:rPr/>
        <w:t>corner</w:t>
      </w:r>
      <w:r>
        <w:rPr>
          <w:spacing w:val="-6"/>
        </w:rPr>
        <w:t> </w:t>
      </w:r>
      <w:r>
        <w:rPr/>
        <w:t>braces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/>
        <w:t>ratchet</w:t>
      </w:r>
      <w:r>
        <w:rPr>
          <w:spacing w:val="-5"/>
        </w:rPr>
        <w:t> </w:t>
      </w:r>
      <w:r>
        <w:rPr/>
        <w:t>strips</w:t>
      </w:r>
      <w:r>
        <w:rPr>
          <w:spacing w:val="-6"/>
        </w:rPr>
        <w:t> </w:t>
      </w:r>
      <w:r>
        <w:rPr/>
        <w:t>as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expanding</w:t>
      </w:r>
      <w:r>
        <w:rPr>
          <w:spacing w:val="-5"/>
        </w:rPr>
        <w:t> </w:t>
      </w:r>
      <w:r>
        <w:rPr/>
        <w:t>adhesive</w:t>
      </w:r>
      <w:r>
        <w:rPr>
          <w:spacing w:val="-7"/>
        </w:rPr>
        <w:t> </w:t>
      </w:r>
      <w:r>
        <w:rPr/>
        <w:t>caused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pieces</w:t>
      </w:r>
      <w:r>
        <w:rPr>
          <w:spacing w:val="-58"/>
        </w:rPr>
        <w:t> </w:t>
      </w:r>
      <w:r>
        <w:rPr/>
        <w:t>to push out and create undesirable gaps between the pieces in a single layer.</w:t>
      </w:r>
      <w:r>
        <w:rPr>
          <w:spacing w:val="1"/>
        </w:rPr>
        <w:t> </w:t>
      </w:r>
      <w:r>
        <w:rPr/>
        <w:t>The braces</w:t>
      </w:r>
      <w:r>
        <w:rPr>
          <w:spacing w:val="1"/>
        </w:rPr>
        <w:t> </w:t>
      </w:r>
      <w:r>
        <w:rPr/>
        <w:t>and straps were not intended to apply a specific clamping pressure but to hold the small</w:t>
      </w:r>
      <w:r>
        <w:rPr>
          <w:spacing w:val="1"/>
        </w:rPr>
        <w:t> </w:t>
      </w:r>
      <w:r>
        <w:rPr/>
        <w:t>pieces</w:t>
      </w:r>
      <w:r>
        <w:rPr>
          <w:spacing w:val="-2"/>
        </w:rPr>
        <w:t> </w:t>
      </w:r>
      <w:r>
        <w:rPr/>
        <w:t>in place horizontally.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ind w:left="3242"/>
        <w:rPr>
          <w:sz w:val="20"/>
        </w:rPr>
      </w:pPr>
      <w:r>
        <w:rPr>
          <w:sz w:val="20"/>
        </w:rPr>
        <w:drawing>
          <wp:inline distT="0" distB="0" distL="0" distR="0">
            <wp:extent cx="2353012" cy="3137344"/>
            <wp:effectExtent l="0" t="0" r="0" b="0"/>
            <wp:docPr id="23" name="image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70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012" cy="3137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5"/>
        </w:rPr>
      </w:pPr>
    </w:p>
    <w:p>
      <w:pPr>
        <w:spacing w:before="90"/>
        <w:ind w:left="179" w:right="0" w:firstLine="0"/>
        <w:jc w:val="center"/>
        <w:rPr>
          <w:i/>
          <w:sz w:val="24"/>
        </w:rPr>
      </w:pPr>
      <w:bookmarkStart w:name="_bookmark25" w:id="192"/>
      <w:bookmarkEnd w:id="192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4-2.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Cut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lumber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pieces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laid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out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CLT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specimen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production.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229"/>
        <w:ind w:left="440" w:right="257" w:firstLine="720"/>
        <w:jc w:val="both"/>
      </w:pPr>
      <w:r>
        <w:rPr/>
        <w:t>Layers,</w:t>
      </w:r>
      <w:r>
        <w:rPr>
          <w:spacing w:val="-12"/>
        </w:rPr>
        <w:t> </w:t>
      </w:r>
      <w:r>
        <w:rPr/>
        <w:t>or</w:t>
      </w:r>
      <w:r>
        <w:rPr>
          <w:spacing w:val="-12"/>
        </w:rPr>
        <w:t> </w:t>
      </w:r>
      <w:r>
        <w:rPr/>
        <w:t>plies,</w:t>
      </w:r>
      <w:r>
        <w:rPr>
          <w:spacing w:val="-12"/>
        </w:rPr>
        <w:t> </w:t>
      </w:r>
      <w:r>
        <w:rPr/>
        <w:t>were</w:t>
      </w:r>
      <w:r>
        <w:rPr>
          <w:spacing w:val="-12"/>
        </w:rPr>
        <w:t> </w:t>
      </w:r>
      <w:r>
        <w:rPr/>
        <w:t>added</w:t>
      </w:r>
      <w:r>
        <w:rPr>
          <w:spacing w:val="-12"/>
        </w:rPr>
        <w:t> </w:t>
      </w:r>
      <w:r>
        <w:rPr/>
        <w:t>to</w:t>
      </w:r>
      <w:r>
        <w:rPr>
          <w:spacing w:val="-12"/>
        </w:rPr>
        <w:t> </w:t>
      </w:r>
      <w:r>
        <w:rPr/>
        <w:t>reach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desired</w:t>
      </w:r>
      <w:r>
        <w:rPr>
          <w:spacing w:val="-12"/>
        </w:rPr>
        <w:t> </w:t>
      </w:r>
      <w:r>
        <w:rPr/>
        <w:t>number</w:t>
      </w:r>
      <w:r>
        <w:rPr>
          <w:spacing w:val="-12"/>
        </w:rPr>
        <w:t> </w:t>
      </w:r>
      <w:r>
        <w:rPr/>
        <w:t>and</w:t>
      </w:r>
      <w:r>
        <w:rPr>
          <w:spacing w:val="-12"/>
        </w:rPr>
        <w:t> </w:t>
      </w:r>
      <w:r>
        <w:rPr/>
        <w:t>then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specimen</w:t>
      </w:r>
      <w:r>
        <w:rPr>
          <w:spacing w:val="-10"/>
        </w:rPr>
        <w:t> </w:t>
      </w:r>
      <w:r>
        <w:rPr/>
        <w:t>was</w:t>
      </w:r>
      <w:r>
        <w:rPr>
          <w:spacing w:val="-58"/>
        </w:rPr>
        <w:t> </w:t>
      </w:r>
      <w:r>
        <w:rPr/>
        <w:t>pressed using a small hydraulic press, applying up to 100 psi for a period of two hours.</w:t>
      </w:r>
      <w:r>
        <w:rPr>
          <w:spacing w:val="1"/>
        </w:rPr>
        <w:t> </w:t>
      </w:r>
      <w:hyperlink w:history="true" w:anchor="_bookmark26">
        <w:r>
          <w:rPr/>
          <w:t>Figure 4-3 </w:t>
        </w:r>
      </w:hyperlink>
      <w:r>
        <w:rPr/>
        <w:t>shows the press and lateral bracing techniques used to fabricate the CLT.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most</w:t>
      </w:r>
      <w:r>
        <w:rPr>
          <w:spacing w:val="-12"/>
        </w:rPr>
        <w:t> </w:t>
      </w:r>
      <w:r>
        <w:rPr/>
        <w:t>cases</w:t>
      </w:r>
      <w:r>
        <w:rPr>
          <w:spacing w:val="-12"/>
        </w:rPr>
        <w:t> </w:t>
      </w:r>
      <w:r>
        <w:rPr/>
        <w:t>two</w:t>
      </w:r>
      <w:r>
        <w:rPr>
          <w:spacing w:val="-11"/>
        </w:rPr>
        <w:t> </w:t>
      </w:r>
      <w:r>
        <w:rPr/>
        <w:t>or</w:t>
      </w:r>
      <w:r>
        <w:rPr>
          <w:spacing w:val="-11"/>
        </w:rPr>
        <w:t> </w:t>
      </w:r>
      <w:r>
        <w:rPr/>
        <w:t>three</w:t>
      </w:r>
      <w:r>
        <w:rPr>
          <w:spacing w:val="-12"/>
        </w:rPr>
        <w:t> </w:t>
      </w:r>
      <w:r>
        <w:rPr/>
        <w:t>CLT</w:t>
      </w:r>
      <w:r>
        <w:rPr>
          <w:spacing w:val="-11"/>
        </w:rPr>
        <w:t> </w:t>
      </w:r>
      <w:r>
        <w:rPr/>
        <w:t>specimens</w:t>
      </w:r>
      <w:r>
        <w:rPr>
          <w:spacing w:val="-11"/>
        </w:rPr>
        <w:t> </w:t>
      </w:r>
      <w:r>
        <w:rPr/>
        <w:t>were</w:t>
      </w:r>
      <w:r>
        <w:rPr>
          <w:spacing w:val="-11"/>
        </w:rPr>
        <w:t> </w:t>
      </w:r>
      <w:r>
        <w:rPr/>
        <w:t>produced</w:t>
      </w:r>
      <w:r>
        <w:rPr>
          <w:spacing w:val="-11"/>
        </w:rPr>
        <w:t> </w:t>
      </w:r>
      <w:r>
        <w:rPr/>
        <w:t>at</w:t>
      </w:r>
      <w:r>
        <w:rPr>
          <w:spacing w:val="-12"/>
        </w:rPr>
        <w:t> </w:t>
      </w:r>
      <w:r>
        <w:rPr/>
        <w:t>one</w:t>
      </w:r>
      <w:r>
        <w:rPr>
          <w:spacing w:val="-12"/>
        </w:rPr>
        <w:t> </w:t>
      </w:r>
      <w:r>
        <w:rPr/>
        <w:t>time</w:t>
      </w:r>
      <w:r>
        <w:rPr>
          <w:spacing w:val="-11"/>
        </w:rPr>
        <w:t> </w:t>
      </w:r>
      <w:r>
        <w:rPr/>
        <w:t>by</w:t>
      </w:r>
      <w:r>
        <w:rPr>
          <w:spacing w:val="-11"/>
        </w:rPr>
        <w:t> </w:t>
      </w:r>
      <w:r>
        <w:rPr/>
        <w:t>using</w:t>
      </w:r>
      <w:r>
        <w:rPr>
          <w:spacing w:val="-11"/>
        </w:rPr>
        <w:t> </w:t>
      </w:r>
      <w:r>
        <w:rPr/>
        <w:t>a</w:t>
      </w:r>
      <w:r>
        <w:rPr>
          <w:spacing w:val="-11"/>
        </w:rPr>
        <w:t> </w:t>
      </w:r>
      <w:r>
        <w:rPr/>
        <w:t>bond</w:t>
      </w:r>
      <w:r>
        <w:rPr>
          <w:spacing w:val="-11"/>
        </w:rPr>
        <w:t> </w:t>
      </w:r>
      <w:r>
        <w:rPr/>
        <w:t>breaker</w:t>
      </w:r>
      <w:r>
        <w:rPr>
          <w:spacing w:val="-58"/>
        </w:rPr>
        <w:t> </w:t>
      </w:r>
      <w:r>
        <w:rPr/>
        <w:t>between the non-glued plies. Common pressures for CLT manufacturing ranged from 85</w:t>
      </w:r>
      <w:r>
        <w:rPr>
          <w:spacing w:val="1"/>
        </w:rPr>
        <w:t> </w:t>
      </w:r>
      <w:r>
        <w:rPr/>
        <w:t>to 115 psi in the literature [32, 33, 103].</w:t>
      </w:r>
      <w:r>
        <w:rPr>
          <w:spacing w:val="1"/>
        </w:rPr>
        <w:t> </w:t>
      </w:r>
      <w:r>
        <w:rPr/>
        <w:t>The adhesive specifications call for a clamping</w:t>
      </w:r>
      <w:r>
        <w:rPr>
          <w:spacing w:val="1"/>
        </w:rPr>
        <w:t> </w:t>
      </w:r>
      <w:r>
        <w:rPr/>
        <w:t>pressure in the range of 14 to 100 psi for a duration of one to two hours.</w:t>
      </w:r>
      <w:r>
        <w:rPr>
          <w:spacing w:val="1"/>
        </w:rPr>
        <w:t> </w:t>
      </w:r>
      <w:r>
        <w:rPr/>
        <w:t>For the test</w:t>
      </w:r>
      <w:r>
        <w:rPr>
          <w:spacing w:val="1"/>
        </w:rPr>
        <w:t> </w:t>
      </w:r>
      <w:r>
        <w:rPr/>
        <w:t>specimens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clamping</w:t>
      </w:r>
      <w:r>
        <w:rPr>
          <w:spacing w:val="-12"/>
        </w:rPr>
        <w:t> </w:t>
      </w:r>
      <w:r>
        <w:rPr/>
        <w:t>pressure</w:t>
      </w:r>
      <w:r>
        <w:rPr>
          <w:spacing w:val="-11"/>
        </w:rPr>
        <w:t> </w:t>
      </w:r>
      <w:r>
        <w:rPr/>
        <w:t>remained</w:t>
      </w:r>
      <w:r>
        <w:rPr>
          <w:spacing w:val="-12"/>
        </w:rPr>
        <w:t> </w:t>
      </w:r>
      <w:r>
        <w:rPr/>
        <w:t>constant</w:t>
      </w:r>
      <w:r>
        <w:rPr>
          <w:spacing w:val="-12"/>
        </w:rPr>
        <w:t> </w:t>
      </w:r>
      <w:r>
        <w:rPr/>
        <w:t>for</w:t>
      </w:r>
      <w:r>
        <w:rPr>
          <w:spacing w:val="-11"/>
        </w:rPr>
        <w:t> </w:t>
      </w:r>
      <w:r>
        <w:rPr/>
        <w:t>two</w:t>
      </w:r>
      <w:r>
        <w:rPr>
          <w:spacing w:val="-12"/>
        </w:rPr>
        <w:t> </w:t>
      </w:r>
      <w:r>
        <w:rPr/>
        <w:t>hours</w:t>
      </w:r>
      <w:r>
        <w:rPr>
          <w:spacing w:val="-12"/>
        </w:rPr>
        <w:t> </w:t>
      </w:r>
      <w:r>
        <w:rPr/>
        <w:t>before</w:t>
      </w:r>
      <w:r>
        <w:rPr>
          <w:spacing w:val="-13"/>
        </w:rPr>
        <w:t> </w:t>
      </w:r>
      <w:r>
        <w:rPr/>
        <w:t>the</w:t>
      </w:r>
      <w:r>
        <w:rPr>
          <w:spacing w:val="-11"/>
        </w:rPr>
        <w:t> </w:t>
      </w:r>
      <w:r>
        <w:rPr/>
        <w:t>specimen</w:t>
      </w:r>
      <w:r>
        <w:rPr>
          <w:spacing w:val="-12"/>
        </w:rPr>
        <w:t> </w:t>
      </w:r>
      <w:r>
        <w:rPr/>
        <w:t>was</w:t>
      </w:r>
      <w:r>
        <w:rPr>
          <w:spacing w:val="-58"/>
        </w:rPr>
        <w:t> </w:t>
      </w:r>
      <w:r>
        <w:rPr/>
        <w:t>removed.</w:t>
      </w:r>
      <w:r>
        <w:rPr>
          <w:spacing w:val="45"/>
        </w:rPr>
        <w:t> </w:t>
      </w:r>
      <w:r>
        <w:rPr/>
        <w:t>After</w:t>
      </w:r>
      <w:r>
        <w:rPr>
          <w:spacing w:val="-7"/>
        </w:rPr>
        <w:t> </w:t>
      </w:r>
      <w:r>
        <w:rPr/>
        <w:t>removal</w:t>
      </w:r>
      <w:r>
        <w:rPr>
          <w:spacing w:val="-8"/>
        </w:rPr>
        <w:t> </w:t>
      </w:r>
      <w:r>
        <w:rPr/>
        <w:t>from</w:t>
      </w:r>
      <w:r>
        <w:rPr>
          <w:spacing w:val="-9"/>
        </w:rPr>
        <w:t> </w:t>
      </w:r>
      <w:r>
        <w:rPr/>
        <w:t>the</w:t>
      </w:r>
      <w:r>
        <w:rPr>
          <w:spacing w:val="-7"/>
        </w:rPr>
        <w:t> </w:t>
      </w:r>
      <w:r>
        <w:rPr/>
        <w:t>press,</w:t>
      </w:r>
      <w:r>
        <w:rPr>
          <w:spacing w:val="-7"/>
        </w:rPr>
        <w:t> </w:t>
      </w:r>
      <w:r>
        <w:rPr/>
        <w:t>excess</w:t>
      </w:r>
      <w:r>
        <w:rPr>
          <w:spacing w:val="-7"/>
        </w:rPr>
        <w:t> </w:t>
      </w:r>
      <w:r>
        <w:rPr/>
        <w:t>adhesive</w:t>
      </w:r>
      <w:r>
        <w:rPr>
          <w:spacing w:val="-7"/>
        </w:rPr>
        <w:t> </w:t>
      </w:r>
      <w:r>
        <w:rPr/>
        <w:t>was</w:t>
      </w:r>
      <w:r>
        <w:rPr>
          <w:spacing w:val="-8"/>
        </w:rPr>
        <w:t> </w:t>
      </w:r>
      <w:r>
        <w:rPr/>
        <w:t>cleaned</w:t>
      </w:r>
      <w:r>
        <w:rPr>
          <w:spacing w:val="-9"/>
        </w:rPr>
        <w:t> </w:t>
      </w:r>
      <w:r>
        <w:rPr/>
        <w:t>off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edges</w:t>
      </w:r>
      <w:r>
        <w:rPr>
          <w:spacing w:val="-8"/>
        </w:rPr>
        <w:t> </w:t>
      </w:r>
      <w:r>
        <w:rPr/>
        <w:t>and</w:t>
      </w:r>
      <w:r>
        <w:rPr>
          <w:spacing w:val="-9"/>
        </w:rPr>
        <w:t> </w:t>
      </w:r>
      <w:r>
        <w:rPr/>
        <w:t>the</w:t>
      </w:r>
      <w:r>
        <w:rPr>
          <w:spacing w:val="-57"/>
        </w:rPr>
        <w:t> </w:t>
      </w:r>
      <w:r>
        <w:rPr/>
        <w:t>specimen</w:t>
      </w:r>
      <w:r>
        <w:rPr>
          <w:spacing w:val="-1"/>
        </w:rPr>
        <w:t> </w:t>
      </w:r>
      <w:r>
        <w:rPr/>
        <w:t>were trimmed to a</w:t>
      </w:r>
      <w:r>
        <w:rPr>
          <w:spacing w:val="-1"/>
        </w:rPr>
        <w:t> </w:t>
      </w:r>
      <w:r>
        <w:rPr/>
        <w:t>standard</w:t>
      </w:r>
      <w:r>
        <w:rPr>
          <w:spacing w:val="-2"/>
        </w:rPr>
        <w:t> </w:t>
      </w:r>
      <w:r>
        <w:rPr/>
        <w:t>12-inch</w:t>
      </w:r>
      <w:r>
        <w:rPr>
          <w:spacing w:val="-1"/>
        </w:rPr>
        <w:t> </w:t>
      </w:r>
      <w:r>
        <w:rPr/>
        <w:t>by</w:t>
      </w:r>
      <w:r>
        <w:rPr>
          <w:spacing w:val="-2"/>
        </w:rPr>
        <w:t> </w:t>
      </w:r>
      <w:r>
        <w:rPr/>
        <w:t>12-inch (30.5</w:t>
      </w:r>
      <w:r>
        <w:rPr>
          <w:spacing w:val="-1"/>
        </w:rPr>
        <w:t> </w:t>
      </w:r>
      <w:r>
        <w:rPr/>
        <w:t>cm</w:t>
      </w:r>
      <w:r>
        <w:rPr>
          <w:spacing w:val="-2"/>
        </w:rPr>
        <w:t> </w:t>
      </w:r>
      <w:r>
        <w:rPr/>
        <w:t>by</w:t>
      </w:r>
      <w:r>
        <w:rPr>
          <w:spacing w:val="-1"/>
        </w:rPr>
        <w:t> </w:t>
      </w:r>
      <w:r>
        <w:rPr/>
        <w:t>30.5 cm)</w:t>
      </w:r>
      <w:r>
        <w:rPr>
          <w:spacing w:val="-1"/>
        </w:rPr>
        <w:t> </w:t>
      </w:r>
      <w:r>
        <w:rPr/>
        <w:t>size.</w:t>
      </w:r>
    </w:p>
    <w:p>
      <w:pPr>
        <w:spacing w:after="0" w:line="480" w:lineRule="auto"/>
        <w:jc w:val="both"/>
        <w:sectPr>
          <w:pgSz w:w="12240" w:h="15840"/>
          <w:pgMar w:header="0" w:footer="1064" w:top="1440" w:bottom="1260" w:left="1720" w:right="1180"/>
        </w:sectPr>
      </w:pPr>
    </w:p>
    <w:p>
      <w:pPr>
        <w:pStyle w:val="BodyText"/>
        <w:ind w:left="2765"/>
        <w:rPr>
          <w:sz w:val="20"/>
        </w:rPr>
      </w:pPr>
      <w:r>
        <w:rPr>
          <w:sz w:val="20"/>
        </w:rPr>
        <w:drawing>
          <wp:inline distT="0" distB="0" distL="0" distR="0">
            <wp:extent cx="2515832" cy="3301174"/>
            <wp:effectExtent l="0" t="0" r="0" b="0"/>
            <wp:docPr id="25" name="image7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71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5832" cy="3301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"/>
        <w:rPr>
          <w:sz w:val="17"/>
        </w:rPr>
      </w:pPr>
    </w:p>
    <w:p>
      <w:pPr>
        <w:spacing w:before="90"/>
        <w:ind w:left="534" w:right="288" w:hanging="48"/>
        <w:jc w:val="left"/>
        <w:rPr>
          <w:i/>
          <w:sz w:val="24"/>
        </w:rPr>
      </w:pPr>
      <w:bookmarkStart w:name="_bookmark26" w:id="193"/>
      <w:bookmarkEnd w:id="193"/>
      <w:r>
        <w:rPr/>
      </w:r>
      <w:r>
        <w:rPr>
          <w:i/>
          <w:sz w:val="24"/>
        </w:rPr>
        <w:t>Figure 4-3. Two specimens, one 3-ply and one 5-ply, of Southern Yellow Pine CLT in the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hydraulic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press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set-up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Georgia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Institute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Technology's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Digital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Fabrication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Lab.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spacing w:before="178"/>
        <w:ind w:left="440" w:right="0" w:firstLine="0"/>
        <w:jc w:val="both"/>
        <w:rPr>
          <w:i/>
          <w:sz w:val="24"/>
        </w:rPr>
      </w:pPr>
      <w:bookmarkStart w:name="4.3.3. Shear block testing for bond line" w:id="194"/>
      <w:bookmarkEnd w:id="194"/>
      <w:r>
        <w:rPr/>
      </w:r>
      <w:r>
        <w:rPr>
          <w:i/>
          <w:sz w:val="24"/>
        </w:rPr>
        <w:t>4.3.3.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Shear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block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testing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bond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line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adhesion</w:t>
      </w:r>
    </w:p>
    <w:p>
      <w:pPr>
        <w:pStyle w:val="BodyText"/>
        <w:spacing w:before="8"/>
        <w:rPr>
          <w:i/>
          <w:sz w:val="22"/>
        </w:rPr>
      </w:pPr>
    </w:p>
    <w:p>
      <w:pPr>
        <w:pStyle w:val="BodyText"/>
        <w:spacing w:line="480" w:lineRule="auto"/>
        <w:ind w:left="440" w:right="256" w:firstLine="720"/>
        <w:jc w:val="both"/>
      </w:pPr>
      <w:r>
        <w:rPr/>
        <w:t>In order to verify adequate bond line adhesion, shear block samples were cut from</w:t>
      </w:r>
      <w:r>
        <w:rPr>
          <w:spacing w:val="-57"/>
        </w:rPr>
        <w:t> </w:t>
      </w:r>
      <w:r>
        <w:rPr/>
        <w:t>the blocks of Southern Yellow Pine CLT.</w:t>
      </w:r>
      <w:r>
        <w:rPr>
          <w:spacing w:val="1"/>
        </w:rPr>
        <w:t> </w:t>
      </w:r>
      <w:r>
        <w:rPr/>
        <w:t>Additional shear blocks were also extracted</w:t>
      </w:r>
      <w:r>
        <w:rPr>
          <w:spacing w:val="1"/>
        </w:rPr>
        <w:t> </w:t>
      </w:r>
      <w:r>
        <w:rPr/>
        <w:t>from pieces of SmartLam V4, 3-ply CLT.</w:t>
      </w:r>
      <w:r>
        <w:rPr>
          <w:spacing w:val="1"/>
        </w:rPr>
        <w:t> </w:t>
      </w:r>
      <w:r>
        <w:rPr/>
        <w:t>The blocks were tested by the process outlined</w:t>
      </w:r>
      <w:r>
        <w:rPr>
          <w:spacing w:val="-57"/>
        </w:rPr>
        <w:t> </w:t>
      </w:r>
      <w:r>
        <w:rPr/>
        <w:t>in</w:t>
      </w:r>
      <w:r>
        <w:rPr>
          <w:spacing w:val="-5"/>
        </w:rPr>
        <w:t> </w:t>
      </w:r>
      <w:r>
        <w:rPr>
          <w:i/>
        </w:rPr>
        <w:t>ASTM</w:t>
      </w:r>
      <w:r>
        <w:rPr>
          <w:i/>
          <w:spacing w:val="-5"/>
        </w:rPr>
        <w:t> </w:t>
      </w:r>
      <w:r>
        <w:rPr>
          <w:i/>
        </w:rPr>
        <w:t>D905,</w:t>
      </w:r>
      <w:r>
        <w:rPr>
          <w:i/>
          <w:spacing w:val="-5"/>
        </w:rPr>
        <w:t> </w:t>
      </w:r>
      <w:r>
        <w:rPr>
          <w:i/>
          <w:color w:val="231F20"/>
        </w:rPr>
        <w:t>Standard</w:t>
      </w:r>
      <w:r>
        <w:rPr>
          <w:i/>
          <w:color w:val="231F20"/>
          <w:spacing w:val="-5"/>
        </w:rPr>
        <w:t> </w:t>
      </w:r>
      <w:r>
        <w:rPr>
          <w:i/>
          <w:color w:val="231F20"/>
        </w:rPr>
        <w:t>Test</w:t>
      </w:r>
      <w:r>
        <w:rPr>
          <w:i/>
          <w:color w:val="231F20"/>
          <w:spacing w:val="-5"/>
        </w:rPr>
        <w:t> </w:t>
      </w:r>
      <w:r>
        <w:rPr>
          <w:i/>
          <w:color w:val="231F20"/>
        </w:rPr>
        <w:t>Method</w:t>
      </w:r>
      <w:r>
        <w:rPr>
          <w:i/>
          <w:color w:val="231F20"/>
          <w:spacing w:val="-5"/>
        </w:rPr>
        <w:t> </w:t>
      </w:r>
      <w:r>
        <w:rPr>
          <w:i/>
          <w:color w:val="231F20"/>
        </w:rPr>
        <w:t>for</w:t>
      </w:r>
      <w:r>
        <w:rPr>
          <w:i/>
          <w:color w:val="231F20"/>
          <w:spacing w:val="-5"/>
        </w:rPr>
        <w:t> </w:t>
      </w:r>
      <w:r>
        <w:rPr>
          <w:i/>
          <w:color w:val="231F20"/>
        </w:rPr>
        <w:t>Strength</w:t>
      </w:r>
      <w:r>
        <w:rPr>
          <w:i/>
          <w:color w:val="231F20"/>
          <w:spacing w:val="-5"/>
        </w:rPr>
        <w:t> </w:t>
      </w:r>
      <w:r>
        <w:rPr>
          <w:i/>
          <w:color w:val="231F20"/>
        </w:rPr>
        <w:t>Properties</w:t>
      </w:r>
      <w:r>
        <w:rPr>
          <w:i/>
          <w:color w:val="231F20"/>
          <w:spacing w:val="-5"/>
        </w:rPr>
        <w:t> </w:t>
      </w:r>
      <w:r>
        <w:rPr>
          <w:i/>
          <w:color w:val="231F20"/>
        </w:rPr>
        <w:t>of</w:t>
      </w:r>
      <w:r>
        <w:rPr>
          <w:i/>
          <w:color w:val="231F20"/>
          <w:spacing w:val="-5"/>
        </w:rPr>
        <w:t> </w:t>
      </w:r>
      <w:r>
        <w:rPr>
          <w:i/>
          <w:color w:val="231F20"/>
        </w:rPr>
        <w:t>Adhesive</w:t>
      </w:r>
      <w:r>
        <w:rPr>
          <w:i/>
          <w:color w:val="231F20"/>
          <w:spacing w:val="-5"/>
        </w:rPr>
        <w:t> </w:t>
      </w:r>
      <w:r>
        <w:rPr>
          <w:i/>
          <w:color w:val="231F20"/>
        </w:rPr>
        <w:t>Bonds</w:t>
      </w:r>
      <w:r>
        <w:rPr>
          <w:i/>
          <w:color w:val="231F20"/>
          <w:spacing w:val="-5"/>
        </w:rPr>
        <w:t> </w:t>
      </w:r>
      <w:r>
        <w:rPr>
          <w:i/>
          <w:color w:val="231F20"/>
        </w:rPr>
        <w:t>in</w:t>
      </w:r>
      <w:r>
        <w:rPr>
          <w:i/>
          <w:color w:val="231F20"/>
          <w:spacing w:val="-4"/>
        </w:rPr>
        <w:t> </w:t>
      </w:r>
      <w:r>
        <w:rPr>
          <w:i/>
          <w:color w:val="231F20"/>
        </w:rPr>
        <w:t>Shear</w:t>
      </w:r>
      <w:r>
        <w:rPr>
          <w:i/>
          <w:color w:val="231F20"/>
          <w:spacing w:val="-58"/>
        </w:rPr>
        <w:t> </w:t>
      </w:r>
      <w:r>
        <w:rPr>
          <w:i/>
          <w:color w:val="231F20"/>
        </w:rPr>
        <w:t>by Compression Loading</w:t>
      </w:r>
      <w:r>
        <w:rPr>
          <w:color w:val="231F20"/>
        </w:rPr>
        <w:t>, in the apparatus shown in </w:t>
      </w:r>
      <w:hyperlink w:history="true" w:anchor="_bookmark27">
        <w:r>
          <w:rPr/>
          <w:t>Figure 4-4</w:t>
        </w:r>
      </w:hyperlink>
      <w:r>
        <w:rPr/>
        <w:t> </w:t>
      </w:r>
      <w:r>
        <w:rPr>
          <w:color w:val="231F20"/>
        </w:rPr>
        <w:t>[18].</w:t>
      </w:r>
      <w:r>
        <w:rPr>
          <w:color w:val="231F20"/>
          <w:spacing w:val="1"/>
        </w:rPr>
        <w:t> </w:t>
      </w:r>
      <w:r>
        <w:rPr>
          <w:color w:val="231F20"/>
        </w:rPr>
        <w:t>The test provides an</w:t>
      </w:r>
      <w:r>
        <w:rPr>
          <w:color w:val="231F20"/>
          <w:spacing w:val="-57"/>
        </w:rPr>
        <w:t> </w:t>
      </w:r>
      <w:r>
        <w:rPr>
          <w:color w:val="231F20"/>
        </w:rPr>
        <w:t>estimate of bond line adhesion for CLT, however, the test cannot be assumed to measure</w:t>
      </w:r>
      <w:r>
        <w:rPr>
          <w:color w:val="231F20"/>
          <w:spacing w:val="1"/>
        </w:rPr>
        <w:t> </w:t>
      </w:r>
      <w:r>
        <w:rPr>
          <w:color w:val="231F20"/>
        </w:rPr>
        <w:t>the true shear strength of the bond for many reasons.</w:t>
      </w:r>
      <w:r>
        <w:rPr>
          <w:color w:val="231F20"/>
          <w:spacing w:val="1"/>
        </w:rPr>
        <w:t> </w:t>
      </w:r>
      <w:r>
        <w:rPr>
          <w:color w:val="231F20"/>
        </w:rPr>
        <w:t>The factors include the strength of</w:t>
      </w:r>
      <w:r>
        <w:rPr>
          <w:color w:val="231F20"/>
          <w:spacing w:val="1"/>
        </w:rPr>
        <w:t> </w:t>
      </w:r>
      <w:r>
        <w:rPr>
          <w:color w:val="231F20"/>
        </w:rPr>
        <w:t>wood tested, the non-standard shearing tool, and the rate of loading used.</w:t>
      </w:r>
      <w:r>
        <w:rPr>
          <w:color w:val="231F20"/>
          <w:spacing w:val="1"/>
        </w:rPr>
        <w:t> </w:t>
      </w:r>
      <w:r>
        <w:rPr>
          <w:color w:val="231F20"/>
        </w:rPr>
        <w:t>Additionally,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specimen</w:t>
      </w:r>
      <w:r>
        <w:rPr>
          <w:color w:val="231F20"/>
          <w:spacing w:val="-6"/>
        </w:rPr>
        <w:t> </w:t>
      </w:r>
      <w:r>
        <w:rPr>
          <w:color w:val="231F20"/>
        </w:rPr>
        <w:t>could</w:t>
      </w:r>
      <w:r>
        <w:rPr>
          <w:color w:val="231F20"/>
          <w:spacing w:val="-6"/>
        </w:rPr>
        <w:t> </w:t>
      </w:r>
      <w:r>
        <w:rPr>
          <w:color w:val="231F20"/>
        </w:rPr>
        <w:t>not</w:t>
      </w:r>
      <w:r>
        <w:rPr>
          <w:color w:val="231F20"/>
          <w:spacing w:val="-6"/>
        </w:rPr>
        <w:t> </w:t>
      </w:r>
      <w:r>
        <w:rPr>
          <w:color w:val="231F20"/>
        </w:rPr>
        <w:t>be</w:t>
      </w:r>
      <w:r>
        <w:rPr>
          <w:color w:val="231F20"/>
          <w:spacing w:val="-6"/>
        </w:rPr>
        <w:t> </w:t>
      </w:r>
      <w:r>
        <w:rPr>
          <w:color w:val="231F20"/>
        </w:rPr>
        <w:t>sized</w:t>
      </w:r>
      <w:r>
        <w:rPr>
          <w:color w:val="231F20"/>
          <w:spacing w:val="-7"/>
        </w:rPr>
        <w:t> </w:t>
      </w:r>
      <w:r>
        <w:rPr>
          <w:color w:val="231F20"/>
        </w:rPr>
        <w:t>exactly</w:t>
      </w:r>
      <w:r>
        <w:rPr>
          <w:color w:val="231F20"/>
          <w:spacing w:val="-6"/>
        </w:rPr>
        <w:t> </w:t>
      </w:r>
      <w:r>
        <w:rPr>
          <w:color w:val="231F20"/>
        </w:rPr>
        <w:t>as</w:t>
      </w:r>
      <w:r>
        <w:rPr>
          <w:color w:val="231F20"/>
          <w:spacing w:val="-5"/>
        </w:rPr>
        <w:t> </w:t>
      </w:r>
      <w:r>
        <w:rPr>
          <w:color w:val="231F20"/>
        </w:rPr>
        <w:t>outlined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ASTM</w:t>
      </w:r>
      <w:r>
        <w:rPr>
          <w:color w:val="231F20"/>
          <w:spacing w:val="-5"/>
        </w:rPr>
        <w:t> </w:t>
      </w:r>
      <w:r>
        <w:rPr>
          <w:color w:val="231F20"/>
        </w:rPr>
        <w:t>D905</w:t>
      </w:r>
      <w:r>
        <w:rPr>
          <w:color w:val="231F20"/>
          <w:spacing w:val="-5"/>
        </w:rPr>
        <w:t> </w:t>
      </w:r>
      <w:r>
        <w:rPr>
          <w:color w:val="231F20"/>
        </w:rPr>
        <w:t>standard</w:t>
      </w:r>
      <w:r>
        <w:rPr>
          <w:color w:val="231F20"/>
          <w:spacing w:val="-7"/>
        </w:rPr>
        <w:t> </w:t>
      </w:r>
      <w:r>
        <w:rPr>
          <w:color w:val="231F20"/>
        </w:rPr>
        <w:t>due</w:t>
      </w:r>
      <w:r>
        <w:rPr>
          <w:color w:val="231F20"/>
          <w:spacing w:val="-7"/>
        </w:rPr>
        <w:t> </w:t>
      </w:r>
      <w:r>
        <w:rPr>
          <w:color w:val="231F20"/>
        </w:rPr>
        <w:t>to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</w:p>
    <w:p>
      <w:pPr>
        <w:spacing w:after="0" w:line="480" w:lineRule="auto"/>
        <w:jc w:val="both"/>
        <w:sectPr>
          <w:pgSz w:w="12240" w:h="15840"/>
          <w:pgMar w:header="0" w:footer="1064" w:top="1440" w:bottom="1260" w:left="1720" w:right="1180"/>
        </w:sectPr>
      </w:pPr>
    </w:p>
    <w:p>
      <w:pPr>
        <w:pStyle w:val="BodyText"/>
        <w:spacing w:line="480" w:lineRule="auto" w:before="78"/>
        <w:ind w:left="440" w:right="256"/>
        <w:jc w:val="both"/>
      </w:pPr>
      <w:r>
        <w:rPr>
          <w:color w:val="231F20"/>
        </w:rPr>
        <w:t>size limitations of the CLT being tested.</w:t>
      </w:r>
      <w:r>
        <w:rPr>
          <w:color w:val="231F20"/>
          <w:spacing w:val="1"/>
        </w:rPr>
        <w:t> </w:t>
      </w:r>
      <w:r>
        <w:rPr>
          <w:color w:val="231F20"/>
        </w:rPr>
        <w:t>However, the test method is deemed suitable for</w:t>
      </w:r>
      <w:r>
        <w:rPr>
          <w:color w:val="231F20"/>
          <w:spacing w:val="-57"/>
        </w:rPr>
        <w:t> </w:t>
      </w:r>
      <w:r>
        <w:rPr>
          <w:color w:val="231F20"/>
        </w:rPr>
        <w:t>product research and development per the standard [18].</w:t>
      </w:r>
      <w:r>
        <w:rPr>
          <w:color w:val="231F20"/>
          <w:spacing w:val="1"/>
        </w:rPr>
        <w:t> </w:t>
      </w:r>
      <w:r>
        <w:rPr>
          <w:color w:val="231F20"/>
        </w:rPr>
        <w:t>The primary interest here was to</w:t>
      </w:r>
      <w:r>
        <w:rPr>
          <w:color w:val="231F20"/>
          <w:spacing w:val="-58"/>
        </w:rPr>
        <w:t> </w:t>
      </w:r>
      <w:r>
        <w:rPr>
          <w:color w:val="231F20"/>
        </w:rPr>
        <w:t>identify</w:t>
      </w:r>
      <w:r>
        <w:rPr>
          <w:color w:val="231F20"/>
          <w:spacing w:val="-11"/>
        </w:rPr>
        <w:t> </w:t>
      </w:r>
      <w:r>
        <w:rPr>
          <w:color w:val="231F20"/>
        </w:rPr>
        <w:t>if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shear</w:t>
      </w:r>
      <w:r>
        <w:rPr>
          <w:color w:val="231F20"/>
          <w:spacing w:val="-11"/>
        </w:rPr>
        <w:t> </w:t>
      </w:r>
      <w:r>
        <w:rPr>
          <w:color w:val="231F20"/>
        </w:rPr>
        <w:t>block</w:t>
      </w:r>
      <w:r>
        <w:rPr>
          <w:color w:val="231F20"/>
          <w:spacing w:val="-11"/>
        </w:rPr>
        <w:t> </w:t>
      </w:r>
      <w:r>
        <w:rPr>
          <w:color w:val="231F20"/>
        </w:rPr>
        <w:t>specimens</w:t>
      </w:r>
      <w:r>
        <w:rPr>
          <w:color w:val="231F20"/>
          <w:spacing w:val="-9"/>
        </w:rPr>
        <w:t> </w:t>
      </w:r>
      <w:r>
        <w:rPr>
          <w:color w:val="231F20"/>
        </w:rPr>
        <w:t>failed</w:t>
      </w:r>
      <w:r>
        <w:rPr>
          <w:color w:val="231F20"/>
          <w:spacing w:val="-11"/>
        </w:rPr>
        <w:t> </w:t>
      </w:r>
      <w:r>
        <w:rPr>
          <w:color w:val="231F20"/>
        </w:rPr>
        <w:t>due</w:t>
      </w:r>
      <w:r>
        <w:rPr>
          <w:color w:val="231F20"/>
          <w:spacing w:val="-11"/>
        </w:rPr>
        <w:t> </w:t>
      </w:r>
      <w:r>
        <w:rPr>
          <w:color w:val="231F20"/>
        </w:rPr>
        <w:t>to</w:t>
      </w:r>
      <w:r>
        <w:rPr>
          <w:color w:val="231F20"/>
          <w:spacing w:val="-11"/>
        </w:rPr>
        <w:t> </w:t>
      </w:r>
      <w:r>
        <w:rPr>
          <w:color w:val="231F20"/>
        </w:rPr>
        <w:t>adhesive</w:t>
      </w:r>
      <w:r>
        <w:rPr>
          <w:color w:val="231F20"/>
          <w:spacing w:val="-11"/>
        </w:rPr>
        <w:t> </w:t>
      </w:r>
      <w:r>
        <w:rPr>
          <w:color w:val="231F20"/>
        </w:rPr>
        <w:t>failure</w:t>
      </w:r>
      <w:r>
        <w:rPr>
          <w:color w:val="231F20"/>
          <w:spacing w:val="-11"/>
        </w:rPr>
        <w:t> </w:t>
      </w:r>
      <w:r>
        <w:rPr>
          <w:color w:val="231F20"/>
        </w:rPr>
        <w:t>or</w:t>
      </w:r>
      <w:r>
        <w:rPr>
          <w:color w:val="231F20"/>
          <w:spacing w:val="-10"/>
        </w:rPr>
        <w:t> </w:t>
      </w:r>
      <w:r>
        <w:rPr>
          <w:color w:val="231F20"/>
        </w:rPr>
        <w:t>wood</w:t>
      </w:r>
      <w:r>
        <w:rPr>
          <w:color w:val="231F20"/>
          <w:spacing w:val="-11"/>
        </w:rPr>
        <w:t> </w:t>
      </w:r>
      <w:r>
        <w:rPr>
          <w:color w:val="231F20"/>
        </w:rPr>
        <w:t>failure</w:t>
      </w:r>
      <w:r>
        <w:rPr>
          <w:color w:val="231F20"/>
          <w:spacing w:val="-11"/>
        </w:rPr>
        <w:t> </w:t>
      </w:r>
      <w:r>
        <w:rPr>
          <w:color w:val="231F20"/>
        </w:rPr>
        <w:t>and</w:t>
      </w:r>
      <w:r>
        <w:rPr>
          <w:color w:val="231F20"/>
          <w:spacing w:val="-10"/>
        </w:rPr>
        <w:t> </w:t>
      </w:r>
      <w:r>
        <w:rPr>
          <w:color w:val="231F20"/>
        </w:rPr>
        <w:t>thus</w:t>
      </w:r>
      <w:r>
        <w:rPr>
          <w:color w:val="231F20"/>
          <w:spacing w:val="-58"/>
        </w:rPr>
        <w:t> </w:t>
      </w:r>
      <w:r>
        <w:rPr>
          <w:color w:val="231F20"/>
        </w:rPr>
        <w:t>determine if the Southern Yellow Pine CLT manufacturing process achieved satisfactory</w:t>
      </w:r>
      <w:r>
        <w:rPr>
          <w:color w:val="231F20"/>
          <w:spacing w:val="1"/>
        </w:rPr>
        <w:t> </w:t>
      </w:r>
      <w:r>
        <w:rPr>
          <w:color w:val="231F20"/>
        </w:rPr>
        <w:t>bond lines.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87">
            <wp:simplePos x="0" y="0"/>
            <wp:positionH relativeFrom="page">
              <wp:posOffset>3034481</wp:posOffset>
            </wp:positionH>
            <wp:positionV relativeFrom="paragraph">
              <wp:posOffset>237956</wp:posOffset>
            </wp:positionV>
            <wp:extent cx="2142050" cy="3231546"/>
            <wp:effectExtent l="0" t="0" r="0" b="0"/>
            <wp:wrapTopAndBottom/>
            <wp:docPr id="27" name="image7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72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2050" cy="32315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25"/>
        </w:rPr>
      </w:pPr>
    </w:p>
    <w:p>
      <w:pPr>
        <w:spacing w:before="0"/>
        <w:ind w:left="179" w:right="0" w:firstLine="0"/>
        <w:jc w:val="center"/>
        <w:rPr>
          <w:i/>
          <w:sz w:val="24"/>
        </w:rPr>
      </w:pPr>
      <w:bookmarkStart w:name="_bookmark27" w:id="195"/>
      <w:bookmarkEnd w:id="195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4-4.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Shearing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tool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bond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line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testing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per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ASTM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D905.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spacing w:line="480" w:lineRule="auto" w:before="171"/>
        <w:ind w:left="439" w:right="257" w:firstLine="720"/>
        <w:jc w:val="both"/>
        <w:rPr>
          <w:sz w:val="24"/>
        </w:rPr>
      </w:pPr>
      <w:r>
        <w:rPr>
          <w:i/>
          <w:color w:val="231F20"/>
          <w:sz w:val="24"/>
        </w:rPr>
        <w:t>ASTM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905-08,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Standard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Test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Method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for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Strength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Properties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of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Adhesive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Bonds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in</w:t>
      </w:r>
      <w:r>
        <w:rPr>
          <w:i/>
          <w:color w:val="231F20"/>
          <w:spacing w:val="-58"/>
          <w:sz w:val="24"/>
        </w:rPr>
        <w:t> </w:t>
      </w:r>
      <w:r>
        <w:rPr>
          <w:i/>
          <w:color w:val="231F20"/>
          <w:sz w:val="24"/>
        </w:rPr>
        <w:t>Shear by Compression Loading </w:t>
      </w:r>
      <w:r>
        <w:rPr>
          <w:color w:val="231F20"/>
          <w:sz w:val="24"/>
        </w:rPr>
        <w:t>calls for the loading on the blocks to occur parallel to the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grain, however, with cross-laminated specimens of CLT, there is typically one lamella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parallel and one lamella perpendicular [18].</w:t>
      </w:r>
      <w:r>
        <w:rPr>
          <w:color w:val="231F20"/>
          <w:spacing w:val="1"/>
          <w:sz w:val="24"/>
        </w:rPr>
        <w:t> </w:t>
      </w:r>
      <w:r>
        <w:rPr>
          <w:sz w:val="24"/>
        </w:rPr>
        <w:t>Because of this, the shear block specimens</w:t>
      </w:r>
      <w:r>
        <w:rPr>
          <w:spacing w:val="1"/>
          <w:sz w:val="24"/>
        </w:rPr>
        <w:t> </w:t>
      </w:r>
      <w:r>
        <w:rPr>
          <w:sz w:val="24"/>
        </w:rPr>
        <w:t>were</w:t>
      </w:r>
      <w:r>
        <w:rPr>
          <w:spacing w:val="-2"/>
          <w:sz w:val="24"/>
        </w:rPr>
        <w:t> </w:t>
      </w:r>
      <w:r>
        <w:rPr>
          <w:sz w:val="24"/>
        </w:rPr>
        <w:t>tested</w:t>
      </w:r>
      <w:r>
        <w:rPr>
          <w:spacing w:val="-3"/>
          <w:sz w:val="24"/>
        </w:rPr>
        <w:t> </w:t>
      </w:r>
      <w:r>
        <w:rPr>
          <w:sz w:val="24"/>
        </w:rPr>
        <w:t>with</w:t>
      </w:r>
      <w:r>
        <w:rPr>
          <w:spacing w:val="-1"/>
          <w:sz w:val="24"/>
        </w:rPr>
        <w:t> </w:t>
      </w:r>
      <w:r>
        <w:rPr>
          <w:sz w:val="24"/>
        </w:rPr>
        <w:t>both</w:t>
      </w:r>
      <w:r>
        <w:rPr>
          <w:spacing w:val="-1"/>
          <w:sz w:val="24"/>
        </w:rPr>
        <w:t> </w:t>
      </w:r>
      <w:r>
        <w:rPr>
          <w:sz w:val="24"/>
        </w:rPr>
        <w:t>orientations</w:t>
      </w:r>
      <w:r>
        <w:rPr>
          <w:spacing w:val="-2"/>
          <w:sz w:val="24"/>
        </w:rPr>
        <w:t> </w:t>
      </w:r>
      <w:r>
        <w:rPr>
          <w:sz w:val="24"/>
        </w:rPr>
        <w:t>in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set-up.</w:t>
      </w:r>
      <w:r>
        <w:rPr>
          <w:spacing w:val="55"/>
          <w:sz w:val="24"/>
        </w:rPr>
        <w:t> </w:t>
      </w:r>
      <w:r>
        <w:rPr>
          <w:sz w:val="24"/>
        </w:rPr>
        <w:t>In</w:t>
      </w:r>
      <w:r>
        <w:rPr>
          <w:spacing w:val="-2"/>
          <w:sz w:val="24"/>
        </w:rPr>
        <w:t> </w:t>
      </w:r>
      <w:r>
        <w:rPr>
          <w:sz w:val="24"/>
        </w:rPr>
        <w:t>some</w:t>
      </w:r>
      <w:r>
        <w:rPr>
          <w:spacing w:val="-1"/>
          <w:sz w:val="24"/>
        </w:rPr>
        <w:t> </w:t>
      </w:r>
      <w:r>
        <w:rPr>
          <w:sz w:val="24"/>
        </w:rPr>
        <w:t>specimens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shorter</w:t>
      </w:r>
      <w:r>
        <w:rPr>
          <w:spacing w:val="-2"/>
          <w:sz w:val="24"/>
        </w:rPr>
        <w:t> </w:t>
      </w:r>
      <w:r>
        <w:rPr>
          <w:sz w:val="24"/>
        </w:rPr>
        <w:t>side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the</w:t>
      </w:r>
    </w:p>
    <w:p>
      <w:pPr>
        <w:spacing w:after="0" w:line="480" w:lineRule="auto"/>
        <w:jc w:val="both"/>
        <w:rPr>
          <w:sz w:val="24"/>
        </w:rPr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39" w:right="257"/>
        <w:jc w:val="both"/>
      </w:pPr>
      <w:r>
        <w:rPr/>
        <w:t>block was oriented parallel to the compressive load and in other cases, the shorter side</w:t>
      </w:r>
      <w:r>
        <w:rPr>
          <w:spacing w:val="1"/>
        </w:rPr>
        <w:t> </w:t>
      </w:r>
      <w:r>
        <w:rPr/>
        <w:t>consisted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wood</w:t>
      </w:r>
      <w:r>
        <w:rPr>
          <w:spacing w:val="1"/>
        </w:rPr>
        <w:t> </w:t>
      </w:r>
      <w:r>
        <w:rPr/>
        <w:t>section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grain</w:t>
      </w:r>
      <w:r>
        <w:rPr>
          <w:spacing w:val="1"/>
        </w:rPr>
        <w:t> </w:t>
      </w:r>
      <w:r>
        <w:rPr/>
        <w:t>direction</w:t>
      </w:r>
      <w:r>
        <w:rPr>
          <w:spacing w:val="1"/>
        </w:rPr>
        <w:t> </w:t>
      </w:r>
      <w:r>
        <w:rPr/>
        <w:t>oriented</w:t>
      </w:r>
      <w:r>
        <w:rPr>
          <w:spacing w:val="1"/>
        </w:rPr>
        <w:t> </w:t>
      </w:r>
      <w:r>
        <w:rPr/>
        <w:t>perpendicular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compressive loading.</w:t>
      </w:r>
      <w:r>
        <w:rPr>
          <w:spacing w:val="1"/>
        </w:rPr>
        <w:t> </w:t>
      </w:r>
      <w:hyperlink w:history="true" w:anchor="_bookmark28">
        <w:r>
          <w:rPr/>
          <w:t>Figure 4-5 </w:t>
        </w:r>
      </w:hyperlink>
      <w:r>
        <w:rPr/>
        <w:t>shows an example of both perpendicular and parallel</w:t>
      </w:r>
      <w:r>
        <w:rPr>
          <w:spacing w:val="1"/>
        </w:rPr>
        <w:t> </w:t>
      </w:r>
      <w:r>
        <w:rPr/>
        <w:t>classified</w:t>
      </w:r>
      <w:r>
        <w:rPr>
          <w:spacing w:val="-15"/>
        </w:rPr>
        <w:t> </w:t>
      </w:r>
      <w:r>
        <w:rPr/>
        <w:t>specimens</w:t>
      </w:r>
      <w:r>
        <w:rPr>
          <w:spacing w:val="-14"/>
        </w:rPr>
        <w:t> </w:t>
      </w:r>
      <w:r>
        <w:rPr/>
        <w:t>for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shear</w:t>
      </w:r>
      <w:r>
        <w:rPr>
          <w:spacing w:val="-14"/>
        </w:rPr>
        <w:t> </w:t>
      </w:r>
      <w:r>
        <w:rPr/>
        <w:t>tests.</w:t>
      </w:r>
      <w:r>
        <w:rPr>
          <w:spacing w:val="31"/>
        </w:rPr>
        <w:t> </w:t>
      </w:r>
      <w:r>
        <w:rPr/>
        <w:t>The</w:t>
      </w:r>
      <w:r>
        <w:rPr>
          <w:spacing w:val="-14"/>
        </w:rPr>
        <w:t> </w:t>
      </w:r>
      <w:r>
        <w:rPr/>
        <w:t>configuration</w:t>
      </w:r>
      <w:r>
        <w:rPr>
          <w:spacing w:val="-15"/>
        </w:rPr>
        <w:t> </w:t>
      </w:r>
      <w:r>
        <w:rPr/>
        <w:t>shown</w:t>
      </w:r>
      <w:r>
        <w:rPr>
          <w:spacing w:val="-15"/>
        </w:rPr>
        <w:t> </w:t>
      </w:r>
      <w:r>
        <w:rPr/>
        <w:t>in</w:t>
      </w:r>
      <w:r>
        <w:rPr>
          <w:spacing w:val="-15"/>
        </w:rPr>
        <w:t> </w:t>
      </w:r>
      <w:hyperlink w:history="true" w:anchor="_bookmark29">
        <w:r>
          <w:rPr/>
          <w:t>Figure</w:t>
        </w:r>
        <w:r>
          <w:rPr>
            <w:spacing w:val="-14"/>
          </w:rPr>
          <w:t> </w:t>
        </w:r>
        <w:r>
          <w:rPr/>
          <w:t>4-6</w:t>
        </w:r>
        <w:r>
          <w:rPr>
            <w:spacing w:val="-14"/>
          </w:rPr>
          <w:t> </w:t>
        </w:r>
      </w:hyperlink>
      <w:r>
        <w:rPr/>
        <w:t>is</w:t>
      </w:r>
      <w:r>
        <w:rPr>
          <w:spacing w:val="-14"/>
        </w:rPr>
        <w:t> </w:t>
      </w:r>
      <w:r>
        <w:rPr/>
        <w:t>described</w:t>
      </w:r>
      <w:r>
        <w:rPr>
          <w:spacing w:val="-58"/>
        </w:rPr>
        <w:t> </w:t>
      </w:r>
      <w:r>
        <w:rPr/>
        <w:t>as</w:t>
      </w:r>
      <w:r>
        <w:rPr>
          <w:spacing w:val="-1"/>
        </w:rPr>
        <w:t> </w:t>
      </w:r>
      <w:r>
        <w:rPr/>
        <w:t>the </w:t>
      </w:r>
      <w:r>
        <w:rPr>
          <w:i/>
        </w:rPr>
        <w:t>perpendicular </w:t>
      </w:r>
      <w:r>
        <w:rPr/>
        <w:t>direction</w:t>
      </w:r>
      <w:r>
        <w:rPr>
          <w:spacing w:val="-2"/>
        </w:rPr>
        <w:t> </w:t>
      </w:r>
      <w:r>
        <w:rPr/>
        <w:t>in the</w:t>
      </w:r>
      <w:r>
        <w:rPr>
          <w:spacing w:val="-2"/>
        </w:rPr>
        <w:t> </w:t>
      </w:r>
      <w:r>
        <w:rPr/>
        <w:t>discussion that follows.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9"/>
        </w:rPr>
      </w:pPr>
      <w:r>
        <w:rPr/>
        <w:pict>
          <v:group style="position:absolute;margin-left:115.471176pt;margin-top:18.815672pt;width:417.2pt;height:246.4pt;mso-position-horizontal-relative:page;mso-position-vertical-relative:paragraph;z-index:-15683584;mso-wrap-distance-left:0;mso-wrap-distance-right:0" coordorigin="2309,376" coordsize="8344,4928">
            <v:shape style="position:absolute;left:2309;top:376;width:8344;height:4928" type="#_x0000_t75" stroked="false">
              <v:imagedata r:id="rId81" o:title=""/>
            </v:shape>
            <v:shape style="position:absolute;left:3756;top:1201;width:505;height:1022" coordorigin="3757,1202" coordsize="505,1022" path="m4009,2223l3757,1970,3883,1970,3883,1202,4135,1202,4135,1970,4261,1970,4009,2223xe" filled="true" fillcolor="#ff0000" stroked="false">
              <v:path arrowok="t"/>
              <v:fill type="solid"/>
            </v:shape>
            <v:shape style="position:absolute;left:3756;top:1201;width:505;height:1022" coordorigin="3757,1202" coordsize="505,1022" path="m3757,1970l3883,1970,3883,1202,4135,1202,4135,1970,4261,1970,4009,2223,3757,1970xe" filled="false" stroked="true" strokeweight=".635054pt" strokecolor="#c00000">
              <v:path arrowok="t"/>
              <v:stroke dashstyle="solid"/>
            </v:shape>
            <v:shape style="position:absolute;left:7343;top:1476;width:505;height:1022" coordorigin="7343,1477" coordsize="505,1022" path="m7596,2498l7343,2245,7469,2245,7469,1477,7722,1477,7722,2245,7848,2245,7596,2498xe" filled="true" fillcolor="#ff0000" stroked="false">
              <v:path arrowok="t"/>
              <v:fill type="solid"/>
            </v:shape>
            <v:shape style="position:absolute;left:7343;top:1476;width:505;height:1022" coordorigin="7343,1477" coordsize="505,1022" path="m7343,2245l7469,2245,7469,1477,7722,1477,7722,2245,7848,2245,7596,2498,7343,2245xe" filled="false" stroked="true" strokeweight=".635054pt" strokecolor="#c00000">
              <v:path arrowok="t"/>
              <v:stroke dashstyle="solid"/>
            </v:shape>
            <v:shape style="position:absolute;left:5629;top:3843;width:505;height:1022" coordorigin="5629,3844" coordsize="505,1022" path="m5882,3844l6134,4097,6008,4097,6008,4865,5756,4865,5756,4097,5629,4097,5882,3844xe" filled="true" fillcolor="#ff0000" stroked="false">
              <v:path arrowok="t"/>
              <v:fill type="solid"/>
            </v:shape>
            <v:shape style="position:absolute;left:5629;top:3843;width:505;height:1022" coordorigin="5629,3844" coordsize="505,1022" path="m6134,4097l6008,4097,6008,4865,5756,4865,5756,4097,5629,4097,5882,3844,6134,4097xe" filled="false" stroked="true" strokeweight=".635054pt" strokecolor="#c00000">
              <v:path arrowok="t"/>
              <v:stroke dashstyle="solid"/>
            </v:shape>
            <v:shape style="position:absolute;left:8822;top:4198;width:505;height:1022" coordorigin="8822,4198" coordsize="505,1022" path="m9075,4198l9327,4451,9201,4451,9201,5220,8949,5220,8949,4451,8822,4451,9075,4198xe" filled="true" fillcolor="#ff0000" stroked="false">
              <v:path arrowok="t"/>
              <v:fill type="solid"/>
            </v:shape>
            <v:shape style="position:absolute;left:8822;top:4198;width:505;height:1022" coordorigin="8822,4198" coordsize="505,1022" path="m9327,4451l9201,4451,9201,5220,8949,5220,8949,4451,8822,4451,9075,4198,9327,4451xe" filled="false" stroked="true" strokeweight=".635054pt" strokecolor="#c00000">
              <v:path arrowok="t"/>
              <v:stroke dashstyle="solid"/>
            </v:shape>
            <v:shape style="position:absolute;left:3263;top:619;width:3110;height:353" type="#_x0000_t202" filled="false" stroked="false">
              <v:textbox inset="0,0,0,0">
                <w:txbxContent>
                  <w:p>
                    <w:pPr>
                      <w:spacing w:line="352" w:lineRule="exact" w:before="0"/>
                      <w:ind w:left="0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color w:val="FFFFFF"/>
                        <w:spacing w:val="-1"/>
                        <w:sz w:val="32"/>
                      </w:rPr>
                      <w:t>Perpendicular</w:t>
                    </w:r>
                    <w:r>
                      <w:rPr>
                        <w:color w:val="FFFFFF"/>
                        <w:spacing w:val="-15"/>
                        <w:sz w:val="32"/>
                      </w:rPr>
                      <w:t> </w:t>
                    </w:r>
                    <w:r>
                      <w:rPr>
                        <w:color w:val="FFFFFF"/>
                        <w:spacing w:val="-1"/>
                        <w:sz w:val="32"/>
                      </w:rPr>
                      <w:t>Specimen</w:t>
                    </w:r>
                  </w:p>
                </w:txbxContent>
              </v:textbox>
              <w10:wrap type="none"/>
            </v:shape>
            <v:shape style="position:absolute;left:7286;top:627;width:2317;height:353" type="#_x0000_t202" filled="false" stroked="false">
              <v:textbox inset="0,0,0,0">
                <w:txbxContent>
                  <w:p>
                    <w:pPr>
                      <w:spacing w:line="352" w:lineRule="exact" w:before="0"/>
                      <w:ind w:left="0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color w:val="FFFFFF"/>
                        <w:spacing w:val="-1"/>
                        <w:sz w:val="32"/>
                      </w:rPr>
                      <w:t>Parallel</w:t>
                    </w:r>
                    <w:r>
                      <w:rPr>
                        <w:color w:val="FFFFFF"/>
                        <w:spacing w:val="-19"/>
                        <w:sz w:val="32"/>
                      </w:rPr>
                      <w:t> </w:t>
                    </w:r>
                    <w:r>
                      <w:rPr>
                        <w:color w:val="FFFFFF"/>
                        <w:sz w:val="32"/>
                      </w:rPr>
                      <w:t>Specimen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8"/>
        <w:rPr>
          <w:sz w:val="36"/>
        </w:rPr>
      </w:pPr>
    </w:p>
    <w:p>
      <w:pPr>
        <w:spacing w:before="0"/>
        <w:ind w:left="439" w:right="258" w:firstLine="0"/>
        <w:jc w:val="both"/>
        <w:rPr>
          <w:i/>
          <w:sz w:val="24"/>
        </w:rPr>
      </w:pPr>
      <w:bookmarkStart w:name="_bookmark28" w:id="196"/>
      <w:bookmarkEnd w:id="196"/>
      <w:r>
        <w:rPr/>
      </w:r>
      <w:r>
        <w:rPr>
          <w:i/>
          <w:sz w:val="24"/>
        </w:rPr>
        <w:t>Figure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4-5.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two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types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shear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block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specimens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with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respect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grain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orientation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shorter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side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relative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the applied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load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represented by the red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arrows.</w:t>
      </w:r>
    </w:p>
    <w:p>
      <w:pPr>
        <w:spacing w:after="0"/>
        <w:jc w:val="both"/>
        <w:rPr>
          <w:sz w:val="24"/>
        </w:rPr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ind w:left="2567"/>
        <w:rPr>
          <w:sz w:val="20"/>
        </w:rPr>
      </w:pPr>
      <w:r>
        <w:rPr>
          <w:sz w:val="20"/>
        </w:rPr>
        <w:drawing>
          <wp:inline distT="0" distB="0" distL="0" distR="0">
            <wp:extent cx="2822638" cy="3763517"/>
            <wp:effectExtent l="0" t="0" r="0" b="0"/>
            <wp:docPr id="29" name="image7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74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2638" cy="3763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  <w:rPr>
          <w:i/>
        </w:rPr>
      </w:pPr>
    </w:p>
    <w:p>
      <w:pPr>
        <w:spacing w:before="90"/>
        <w:ind w:left="440" w:right="0" w:firstLine="0"/>
        <w:jc w:val="left"/>
        <w:rPr>
          <w:i/>
          <w:sz w:val="24"/>
        </w:rPr>
      </w:pPr>
      <w:bookmarkStart w:name="_bookmark29" w:id="197"/>
      <w:bookmarkEnd w:id="197"/>
      <w:r>
        <w:rPr/>
      </w:r>
      <w:r>
        <w:rPr>
          <w:i/>
          <w:sz w:val="24"/>
        </w:rPr>
        <w:t>Figure</w:t>
      </w:r>
      <w:r>
        <w:rPr>
          <w:i/>
          <w:spacing w:val="38"/>
          <w:sz w:val="24"/>
        </w:rPr>
        <w:t> </w:t>
      </w:r>
      <w:r>
        <w:rPr>
          <w:i/>
          <w:sz w:val="24"/>
        </w:rPr>
        <w:t>4-6.</w:t>
      </w:r>
      <w:r>
        <w:rPr>
          <w:i/>
          <w:spacing w:val="37"/>
          <w:sz w:val="24"/>
        </w:rPr>
        <w:t> </w:t>
      </w:r>
      <w:r>
        <w:rPr>
          <w:i/>
          <w:sz w:val="24"/>
        </w:rPr>
        <w:t>Shearing</w:t>
      </w:r>
      <w:r>
        <w:rPr>
          <w:i/>
          <w:spacing w:val="38"/>
          <w:sz w:val="24"/>
        </w:rPr>
        <w:t> </w:t>
      </w:r>
      <w:r>
        <w:rPr>
          <w:i/>
          <w:sz w:val="24"/>
        </w:rPr>
        <w:t>tool</w:t>
      </w:r>
      <w:r>
        <w:rPr>
          <w:i/>
          <w:spacing w:val="40"/>
          <w:sz w:val="24"/>
        </w:rPr>
        <w:t> </w:t>
      </w:r>
      <w:r>
        <w:rPr>
          <w:i/>
          <w:sz w:val="24"/>
        </w:rPr>
        <w:t>loaded</w:t>
      </w:r>
      <w:r>
        <w:rPr>
          <w:i/>
          <w:spacing w:val="37"/>
          <w:sz w:val="24"/>
        </w:rPr>
        <w:t> </w:t>
      </w:r>
      <w:r>
        <w:rPr>
          <w:i/>
          <w:sz w:val="24"/>
        </w:rPr>
        <w:t>with</w:t>
      </w:r>
      <w:r>
        <w:rPr>
          <w:i/>
          <w:spacing w:val="38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39"/>
          <w:sz w:val="24"/>
        </w:rPr>
        <w:t> </w:t>
      </w:r>
      <w:r>
        <w:rPr>
          <w:i/>
          <w:sz w:val="24"/>
        </w:rPr>
        <w:t>bonded</w:t>
      </w:r>
      <w:r>
        <w:rPr>
          <w:i/>
          <w:spacing w:val="38"/>
          <w:sz w:val="24"/>
        </w:rPr>
        <w:t> </w:t>
      </w:r>
      <w:r>
        <w:rPr>
          <w:i/>
          <w:sz w:val="24"/>
        </w:rPr>
        <w:t>block</w:t>
      </w:r>
      <w:r>
        <w:rPr>
          <w:i/>
          <w:spacing w:val="38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38"/>
          <w:sz w:val="24"/>
        </w:rPr>
        <w:t> </w:t>
      </w:r>
      <w:r>
        <w:rPr>
          <w:i/>
          <w:sz w:val="24"/>
        </w:rPr>
        <w:t>wood.</w:t>
      </w:r>
      <w:r>
        <w:rPr>
          <w:i/>
          <w:spacing w:val="18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38"/>
          <w:sz w:val="24"/>
        </w:rPr>
        <w:t> </w:t>
      </w:r>
      <w:r>
        <w:rPr>
          <w:i/>
          <w:sz w:val="24"/>
        </w:rPr>
        <w:t>short</w:t>
      </w:r>
      <w:r>
        <w:rPr>
          <w:i/>
          <w:spacing w:val="39"/>
          <w:sz w:val="24"/>
        </w:rPr>
        <w:t> </w:t>
      </w:r>
      <w:r>
        <w:rPr>
          <w:i/>
          <w:sz w:val="24"/>
        </w:rPr>
        <w:t>section</w:t>
      </w:r>
      <w:r>
        <w:rPr>
          <w:i/>
          <w:spacing w:val="39"/>
          <w:sz w:val="24"/>
        </w:rPr>
        <w:t> </w:t>
      </w:r>
      <w:r>
        <w:rPr>
          <w:i/>
          <w:sz w:val="24"/>
        </w:rPr>
        <w:t>is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oriented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with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grain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direction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perpendicular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compressive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force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this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specimen.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229"/>
        <w:ind w:left="440" w:right="257" w:firstLine="720"/>
        <w:jc w:val="both"/>
      </w:pPr>
      <w:r>
        <w:rPr/>
        <w:t>The specimens were carefully loaded to ensure that the bond line aligned with the</w:t>
      </w:r>
      <w:r>
        <w:rPr>
          <w:spacing w:val="1"/>
        </w:rPr>
        <w:t> </w:t>
      </w:r>
      <w:r>
        <w:rPr/>
        <w:t>shearing sections of the tool. </w:t>
      </w:r>
      <w:r>
        <w:rPr>
          <w:color w:val="231F20"/>
        </w:rPr>
        <w:t>The specimens were loaded using displacement control with</w:t>
      </w:r>
      <w:r>
        <w:rPr>
          <w:color w:val="231F20"/>
          <w:spacing w:val="-57"/>
        </w:rPr>
        <w:t> </w:t>
      </w:r>
      <w:r>
        <w:rPr>
          <w:color w:val="231F20"/>
        </w:rPr>
        <w:t>a loading rate of 0.20-inches per minute. The shear tool was loaded in compression with a</w:t>
      </w:r>
      <w:r>
        <w:rPr>
          <w:color w:val="231F20"/>
          <w:spacing w:val="-57"/>
        </w:rPr>
        <w:t> </w:t>
      </w:r>
      <w:r>
        <w:rPr>
          <w:color w:val="231F20"/>
        </w:rPr>
        <w:t>servo-controlled hydraulic pump and an actuator</w:t>
      </w:r>
      <w:r>
        <w:rPr>
          <w:color w:val="231F20"/>
          <w:spacing w:val="1"/>
        </w:rPr>
        <w:t> </w:t>
      </w:r>
      <w:r>
        <w:rPr>
          <w:color w:val="231F20"/>
        </w:rPr>
        <w:t>controlled by an MTS Flextest SE</w:t>
      </w:r>
      <w:r>
        <w:rPr>
          <w:color w:val="231F20"/>
          <w:spacing w:val="1"/>
        </w:rPr>
        <w:t> </w:t>
      </w:r>
      <w:r>
        <w:rPr>
          <w:color w:val="231F20"/>
        </w:rPr>
        <w:t>controller.</w:t>
      </w:r>
      <w:r>
        <w:rPr>
          <w:color w:val="231F20"/>
          <w:spacing w:val="1"/>
        </w:rPr>
        <w:t> </w:t>
      </w:r>
      <w:r>
        <w:rPr>
          <w:color w:val="231F20"/>
        </w:rPr>
        <w:t>Once the measured load on the specimen dropped and the specimen was no</w:t>
      </w:r>
      <w:r>
        <w:rPr>
          <w:color w:val="231F20"/>
          <w:spacing w:val="1"/>
        </w:rPr>
        <w:t> </w:t>
      </w:r>
      <w:r>
        <w:rPr>
          <w:color w:val="231F20"/>
        </w:rPr>
        <w:t>longer supporting an increasing compressive load, the test was concluded.</w:t>
      </w:r>
      <w:r>
        <w:rPr>
          <w:color w:val="231F20"/>
          <w:spacing w:val="1"/>
        </w:rPr>
        <w:t> </w:t>
      </w:r>
      <w:r>
        <w:rPr>
          <w:color w:val="231F20"/>
        </w:rPr>
        <w:t>Occasionally,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load</w:t>
      </w:r>
      <w:r>
        <w:rPr>
          <w:color w:val="231F20"/>
          <w:spacing w:val="-5"/>
        </w:rPr>
        <w:t> </w:t>
      </w:r>
      <w:r>
        <w:rPr>
          <w:color w:val="231F20"/>
        </w:rPr>
        <w:t>would</w:t>
      </w:r>
      <w:r>
        <w:rPr>
          <w:color w:val="231F20"/>
          <w:spacing w:val="-5"/>
        </w:rPr>
        <w:t> </w:t>
      </w:r>
      <w:r>
        <w:rPr>
          <w:color w:val="231F20"/>
        </w:rPr>
        <w:t>drop</w:t>
      </w:r>
      <w:r>
        <w:rPr>
          <w:color w:val="231F20"/>
          <w:spacing w:val="-4"/>
        </w:rPr>
        <w:t> </w:t>
      </w:r>
      <w:r>
        <w:rPr>
          <w:color w:val="231F20"/>
        </w:rPr>
        <w:t>only</w:t>
      </w:r>
      <w:r>
        <w:rPr>
          <w:color w:val="231F20"/>
          <w:spacing w:val="-5"/>
        </w:rPr>
        <w:t> </w:t>
      </w:r>
      <w:r>
        <w:rPr>
          <w:color w:val="231F20"/>
        </w:rPr>
        <w:t>slightly</w:t>
      </w:r>
      <w:r>
        <w:rPr>
          <w:color w:val="231F20"/>
          <w:spacing w:val="-6"/>
        </w:rPr>
        <w:t> </w:t>
      </w:r>
      <w:r>
        <w:rPr>
          <w:color w:val="231F20"/>
        </w:rPr>
        <w:t>or</w:t>
      </w:r>
      <w:r>
        <w:rPr>
          <w:color w:val="231F20"/>
          <w:spacing w:val="-5"/>
        </w:rPr>
        <w:t> </w:t>
      </w:r>
      <w:r>
        <w:rPr>
          <w:color w:val="231F20"/>
        </w:rPr>
        <w:t>stay</w:t>
      </w:r>
      <w:r>
        <w:rPr>
          <w:color w:val="231F20"/>
          <w:spacing w:val="-5"/>
        </w:rPr>
        <w:t> </w:t>
      </w:r>
      <w:r>
        <w:rPr>
          <w:color w:val="231F20"/>
        </w:rPr>
        <w:t>almost</w:t>
      </w:r>
      <w:r>
        <w:rPr>
          <w:color w:val="231F20"/>
          <w:spacing w:val="-4"/>
        </w:rPr>
        <w:t> </w:t>
      </w:r>
      <w:r>
        <w:rPr>
          <w:color w:val="231F20"/>
        </w:rPr>
        <w:t>constant</w:t>
      </w:r>
      <w:r>
        <w:rPr>
          <w:color w:val="231F20"/>
          <w:spacing w:val="-3"/>
        </w:rPr>
        <w:t> </w:t>
      </w:r>
      <w:r>
        <w:rPr>
          <w:color w:val="231F20"/>
        </w:rPr>
        <w:t>while</w:t>
      </w:r>
      <w:r>
        <w:rPr>
          <w:color w:val="231F20"/>
          <w:spacing w:val="-5"/>
        </w:rPr>
        <w:t> </w:t>
      </w:r>
      <w:r>
        <w:rPr>
          <w:color w:val="231F20"/>
        </w:rPr>
        <w:t>still</w:t>
      </w:r>
      <w:r>
        <w:rPr>
          <w:color w:val="231F20"/>
          <w:spacing w:val="-4"/>
        </w:rPr>
        <w:t> </w:t>
      </w:r>
      <w:r>
        <w:rPr>
          <w:color w:val="231F20"/>
        </w:rPr>
        <w:t>showing</w:t>
      </w:r>
      <w:r>
        <w:rPr>
          <w:color w:val="231F20"/>
          <w:spacing w:val="-4"/>
        </w:rPr>
        <w:t> </w:t>
      </w:r>
      <w:r>
        <w:rPr>
          <w:color w:val="231F20"/>
        </w:rPr>
        <w:t>an</w:t>
      </w:r>
      <w:r>
        <w:rPr>
          <w:color w:val="231F20"/>
          <w:spacing w:val="-5"/>
        </w:rPr>
        <w:t> </w:t>
      </w:r>
      <w:r>
        <w:rPr>
          <w:color w:val="231F20"/>
        </w:rPr>
        <w:t>increasing</w:t>
      </w:r>
      <w:r>
        <w:rPr>
          <w:color w:val="231F20"/>
          <w:spacing w:val="-58"/>
        </w:rPr>
        <w:t> </w:t>
      </w:r>
      <w:r>
        <w:rPr>
          <w:color w:val="231F20"/>
        </w:rPr>
        <w:t>measurement of displacement.</w:t>
      </w:r>
      <w:r>
        <w:rPr>
          <w:color w:val="231F20"/>
          <w:spacing w:val="1"/>
        </w:rPr>
        <w:t> </w:t>
      </w:r>
      <w:r>
        <w:rPr>
          <w:color w:val="231F20"/>
        </w:rPr>
        <w:t>These loads were closely observed but the test was not</w:t>
      </w:r>
      <w:r>
        <w:rPr>
          <w:color w:val="231F20"/>
          <w:spacing w:val="1"/>
        </w:rPr>
        <w:t> </w:t>
      </w:r>
      <w:r>
        <w:rPr>
          <w:color w:val="231F20"/>
        </w:rPr>
        <w:t>stopped</w:t>
      </w:r>
      <w:r>
        <w:rPr>
          <w:color w:val="231F20"/>
          <w:spacing w:val="-1"/>
        </w:rPr>
        <w:t> </w:t>
      </w:r>
      <w:r>
        <w:rPr>
          <w:color w:val="231F20"/>
        </w:rPr>
        <w:t>until a drop of</w:t>
      </w:r>
      <w:r>
        <w:rPr>
          <w:color w:val="231F20"/>
          <w:spacing w:val="-2"/>
        </w:rPr>
        <w:t> </w:t>
      </w:r>
      <w:r>
        <w:rPr>
          <w:color w:val="231F20"/>
        </w:rPr>
        <w:t>50-lbf</w:t>
      </w:r>
      <w:r>
        <w:rPr>
          <w:color w:val="231F20"/>
          <w:spacing w:val="-1"/>
        </w:rPr>
        <w:t> </w:t>
      </w:r>
      <w:r>
        <w:rPr>
          <w:color w:val="231F20"/>
        </w:rPr>
        <w:t>compressive force</w:t>
      </w:r>
      <w:r>
        <w:rPr>
          <w:color w:val="231F20"/>
          <w:spacing w:val="-1"/>
        </w:rPr>
        <w:t> </w:t>
      </w:r>
      <w:r>
        <w:rPr>
          <w:color w:val="231F20"/>
        </w:rPr>
        <w:t>from</w:t>
      </w:r>
      <w:r>
        <w:rPr>
          <w:color w:val="231F20"/>
          <w:spacing w:val="-3"/>
        </w:rPr>
        <w:t> </w:t>
      </w:r>
      <w:r>
        <w:rPr>
          <w:color w:val="231F20"/>
        </w:rPr>
        <w:t>the peak was detected.</w:t>
      </w:r>
    </w:p>
    <w:p>
      <w:pPr>
        <w:spacing w:after="0" w:line="480" w:lineRule="auto"/>
        <w:jc w:val="both"/>
        <w:sectPr>
          <w:pgSz w:w="12240" w:h="15840"/>
          <w:pgMar w:header="0" w:footer="1064" w:top="1440" w:bottom="1260" w:left="1720" w:right="1180"/>
        </w:sectPr>
      </w:pPr>
    </w:p>
    <w:p>
      <w:pPr>
        <w:pStyle w:val="BodyText"/>
        <w:spacing w:line="480" w:lineRule="auto" w:before="78"/>
        <w:ind w:left="440" w:right="258" w:firstLine="720"/>
      </w:pPr>
      <w:r>
        <w:rPr>
          <w:color w:val="231F20"/>
        </w:rPr>
        <w:t>Upon conclusion of the test, each specimen was examined to determine the</w:t>
      </w:r>
      <w:r>
        <w:rPr>
          <w:color w:val="231F20"/>
          <w:spacing w:val="1"/>
        </w:rPr>
        <w:t> </w:t>
      </w:r>
      <w:r>
        <w:rPr>
          <w:color w:val="231F20"/>
        </w:rPr>
        <w:t>percentage of wood failure versus adhesive failure along the bond line.</w:t>
      </w:r>
      <w:r>
        <w:rPr>
          <w:color w:val="231F20"/>
          <w:spacing w:val="1"/>
        </w:rPr>
        <w:t> </w:t>
      </w:r>
      <w:r>
        <w:rPr>
          <w:color w:val="231F20"/>
        </w:rPr>
        <w:t>Some specimens</w:t>
      </w:r>
      <w:r>
        <w:rPr>
          <w:color w:val="231F20"/>
          <w:spacing w:val="1"/>
        </w:rPr>
        <w:t> </w:t>
      </w:r>
      <w:r>
        <w:rPr>
          <w:color w:val="231F20"/>
        </w:rPr>
        <w:t>exhibited a combination of wood and adhesive failure.</w:t>
      </w:r>
      <w:r>
        <w:rPr>
          <w:color w:val="231F20"/>
          <w:spacing w:val="1"/>
        </w:rPr>
        <w:t> </w:t>
      </w:r>
      <w:hyperlink w:history="true" w:anchor="_bookmark30">
        <w:r>
          <w:rPr/>
          <w:t>Figure 4-7</w:t>
        </w:r>
      </w:hyperlink>
      <w:r>
        <w:rPr/>
        <w:t> </w:t>
      </w:r>
      <w:r>
        <w:rPr>
          <w:color w:val="231F20"/>
        </w:rPr>
        <w:t>shows</w:t>
      </w:r>
      <w:r>
        <w:rPr>
          <w:color w:val="231F20"/>
          <w:spacing w:val="1"/>
        </w:rPr>
        <w:t> </w:t>
      </w:r>
      <w:r>
        <w:rPr>
          <w:color w:val="231F20"/>
        </w:rPr>
        <w:t>an example of</w:t>
      </w:r>
      <w:r>
        <w:rPr>
          <w:color w:val="231F20"/>
          <w:spacing w:val="1"/>
        </w:rPr>
        <w:t> </w:t>
      </w:r>
      <w:r>
        <w:rPr>
          <w:color w:val="231F20"/>
        </w:rPr>
        <w:t>such</w:t>
      </w:r>
      <w:r>
        <w:rPr>
          <w:color w:val="231F20"/>
          <w:spacing w:val="1"/>
        </w:rPr>
        <w:t> </w:t>
      </w:r>
      <w:r>
        <w:rPr>
          <w:color w:val="231F20"/>
        </w:rPr>
        <w:t>a</w:t>
      </w:r>
      <w:r>
        <w:rPr>
          <w:color w:val="231F20"/>
          <w:spacing w:val="1"/>
        </w:rPr>
        <w:t> </w:t>
      </w:r>
      <w:r>
        <w:rPr>
          <w:color w:val="231F20"/>
        </w:rPr>
        <w:t>failure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2"/>
        </w:rPr>
        <w:t> </w:t>
      </w:r>
      <w:r>
        <w:rPr>
          <w:color w:val="231F20"/>
        </w:rPr>
        <w:t>shear</w:t>
      </w:r>
      <w:r>
        <w:rPr>
          <w:color w:val="231F20"/>
          <w:spacing w:val="1"/>
        </w:rPr>
        <w:t> </w:t>
      </w:r>
      <w:r>
        <w:rPr>
          <w:color w:val="231F20"/>
        </w:rPr>
        <w:t>block</w:t>
      </w:r>
      <w:r>
        <w:rPr>
          <w:color w:val="231F20"/>
          <w:spacing w:val="1"/>
        </w:rPr>
        <w:t> </w:t>
      </w:r>
      <w:r>
        <w:rPr>
          <w:color w:val="231F20"/>
        </w:rPr>
        <w:t>test</w:t>
      </w:r>
      <w:r>
        <w:rPr>
          <w:color w:val="231F20"/>
          <w:spacing w:val="2"/>
        </w:rPr>
        <w:t> </w:t>
      </w:r>
      <w:r>
        <w:rPr>
          <w:color w:val="231F20"/>
        </w:rPr>
        <w:t>specimen,</w:t>
      </w:r>
      <w:r>
        <w:rPr>
          <w:color w:val="231F20"/>
          <w:spacing w:val="1"/>
        </w:rPr>
        <w:t> </w:t>
      </w:r>
      <w:r>
        <w:rPr>
          <w:color w:val="231F20"/>
        </w:rPr>
        <w:t>T11.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2"/>
        </w:rPr>
        <w:t> </w:t>
      </w:r>
      <w:r>
        <w:rPr>
          <w:color w:val="231F20"/>
        </w:rPr>
        <w:t>this</w:t>
      </w:r>
      <w:r>
        <w:rPr>
          <w:color w:val="231F20"/>
          <w:spacing w:val="1"/>
        </w:rPr>
        <w:t> </w:t>
      </w:r>
      <w:r>
        <w:rPr>
          <w:color w:val="231F20"/>
        </w:rPr>
        <w:t>test,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2"/>
        </w:rPr>
        <w:t> </w:t>
      </w:r>
      <w:r>
        <w:rPr>
          <w:color w:val="231F20"/>
        </w:rPr>
        <w:t>wood</w:t>
      </w:r>
      <w:r>
        <w:rPr>
          <w:color w:val="231F20"/>
          <w:spacing w:val="1"/>
        </w:rPr>
        <w:t> </w:t>
      </w:r>
      <w:r>
        <w:rPr>
          <w:color w:val="231F20"/>
        </w:rPr>
        <w:t>failure</w:t>
      </w:r>
      <w:r>
        <w:rPr>
          <w:color w:val="231F20"/>
          <w:spacing w:val="1"/>
        </w:rPr>
        <w:t> </w:t>
      </w:r>
      <w:r>
        <w:rPr>
          <w:color w:val="231F20"/>
        </w:rPr>
        <w:t>was</w:t>
      </w:r>
      <w:r>
        <w:rPr>
          <w:color w:val="231F20"/>
          <w:spacing w:val="1"/>
        </w:rPr>
        <w:t> </w:t>
      </w:r>
      <w:r>
        <w:rPr>
          <w:color w:val="231F20"/>
        </w:rPr>
        <w:t>assessed</w:t>
      </w:r>
      <w:r>
        <w:rPr>
          <w:color w:val="231F20"/>
          <w:spacing w:val="-1"/>
        </w:rPr>
        <w:t> </w:t>
      </w:r>
      <w:r>
        <w:rPr>
          <w:color w:val="231F20"/>
        </w:rPr>
        <w:t>as</w:t>
      </w:r>
      <w:r>
        <w:rPr>
          <w:color w:val="231F20"/>
          <w:spacing w:val="1"/>
        </w:rPr>
        <w:t> </w:t>
      </w:r>
      <w:r>
        <w:rPr>
          <w:color w:val="231F20"/>
        </w:rPr>
        <w:t>75</w:t>
      </w:r>
      <w:r>
        <w:rPr>
          <w:color w:val="231F20"/>
          <w:spacing w:val="1"/>
        </w:rPr>
        <w:t> </w:t>
      </w:r>
      <w:r>
        <w:rPr>
          <w:color w:val="231F20"/>
        </w:rPr>
        <w:t>percent.  T11</w:t>
      </w:r>
      <w:r>
        <w:rPr>
          <w:color w:val="231F20"/>
          <w:spacing w:val="1"/>
        </w:rPr>
        <w:t> </w:t>
      </w:r>
      <w:r>
        <w:rPr>
          <w:color w:val="231F20"/>
        </w:rPr>
        <w:t>is</w:t>
      </w:r>
      <w:r>
        <w:rPr>
          <w:color w:val="231F20"/>
          <w:spacing w:val="2"/>
        </w:rPr>
        <w:t> </w:t>
      </w:r>
      <w:r>
        <w:rPr>
          <w:color w:val="231F20"/>
        </w:rPr>
        <w:t>a</w:t>
      </w:r>
      <w:r>
        <w:rPr>
          <w:color w:val="231F20"/>
          <w:spacing w:val="2"/>
        </w:rPr>
        <w:t> </w:t>
      </w:r>
      <w:r>
        <w:rPr>
          <w:i/>
          <w:color w:val="231F20"/>
        </w:rPr>
        <w:t>parallel</w:t>
      </w:r>
      <w:r>
        <w:rPr>
          <w:i/>
          <w:color w:val="231F20"/>
          <w:spacing w:val="1"/>
        </w:rPr>
        <w:t> </w:t>
      </w:r>
      <w:r>
        <w:rPr>
          <w:color w:val="231F20"/>
        </w:rPr>
        <w:t>specimen</w:t>
      </w:r>
      <w:r>
        <w:rPr>
          <w:color w:val="231F20"/>
          <w:spacing w:val="2"/>
        </w:rPr>
        <w:t> </w:t>
      </w:r>
      <w:r>
        <w:rPr>
          <w:color w:val="231F20"/>
        </w:rPr>
        <w:t>by</w:t>
      </w:r>
      <w:r>
        <w:rPr>
          <w:color w:val="231F20"/>
          <w:spacing w:val="2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classification</w:t>
      </w:r>
      <w:r>
        <w:rPr>
          <w:color w:val="231F20"/>
          <w:spacing w:val="2"/>
        </w:rPr>
        <w:t> </w:t>
      </w:r>
      <w:r>
        <w:rPr>
          <w:color w:val="231F20"/>
        </w:rPr>
        <w:t>type</w:t>
      </w:r>
      <w:r>
        <w:rPr>
          <w:color w:val="231F20"/>
          <w:spacing w:val="2"/>
        </w:rPr>
        <w:t> </w:t>
      </w:r>
      <w:r>
        <w:rPr>
          <w:color w:val="231F20"/>
        </w:rPr>
        <w:t>used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hyperlink w:history="true" w:anchor="_bookmark31">
        <w:r>
          <w:rPr/>
          <w:t>Table</w:t>
        </w:r>
        <w:r>
          <w:rPr>
            <w:spacing w:val="25"/>
          </w:rPr>
          <w:t> </w:t>
        </w:r>
        <w:r>
          <w:rPr/>
          <w:t>4-2</w:t>
        </w:r>
      </w:hyperlink>
      <w:r>
        <w:rPr>
          <w:color w:val="231F20"/>
        </w:rPr>
        <w:t>.</w:t>
      </w:r>
      <w:r>
        <w:rPr>
          <w:color w:val="231F20"/>
          <w:spacing w:val="51"/>
        </w:rPr>
        <w:t> </w:t>
      </w:r>
      <w:r>
        <w:rPr>
          <w:color w:val="231F20"/>
        </w:rPr>
        <w:t>Since</w:t>
      </w:r>
      <w:r>
        <w:rPr>
          <w:color w:val="231F20"/>
          <w:spacing w:val="26"/>
        </w:rPr>
        <w:t> </w:t>
      </w:r>
      <w:r>
        <w:rPr>
          <w:color w:val="231F20"/>
        </w:rPr>
        <w:t>the</w:t>
      </w:r>
      <w:r>
        <w:rPr>
          <w:color w:val="231F20"/>
          <w:spacing w:val="25"/>
        </w:rPr>
        <w:t> </w:t>
      </w:r>
      <w:r>
        <w:rPr>
          <w:color w:val="231F20"/>
        </w:rPr>
        <w:t>majority</w:t>
      </w:r>
      <w:r>
        <w:rPr>
          <w:color w:val="231F20"/>
          <w:spacing w:val="26"/>
        </w:rPr>
        <w:t> </w:t>
      </w:r>
      <w:r>
        <w:rPr>
          <w:color w:val="231F20"/>
        </w:rPr>
        <w:t>of</w:t>
      </w:r>
      <w:r>
        <w:rPr>
          <w:color w:val="231F20"/>
          <w:spacing w:val="25"/>
        </w:rPr>
        <w:t> </w:t>
      </w:r>
      <w:r>
        <w:rPr>
          <w:color w:val="231F20"/>
        </w:rPr>
        <w:t>the</w:t>
      </w:r>
      <w:r>
        <w:rPr>
          <w:color w:val="231F20"/>
          <w:spacing w:val="25"/>
        </w:rPr>
        <w:t> </w:t>
      </w:r>
      <w:r>
        <w:rPr>
          <w:color w:val="231F20"/>
        </w:rPr>
        <w:t>failure</w:t>
      </w:r>
      <w:r>
        <w:rPr>
          <w:color w:val="231F20"/>
          <w:spacing w:val="26"/>
        </w:rPr>
        <w:t> </w:t>
      </w:r>
      <w:r>
        <w:rPr>
          <w:color w:val="231F20"/>
        </w:rPr>
        <w:t>in</w:t>
      </w:r>
      <w:r>
        <w:rPr>
          <w:color w:val="231F20"/>
          <w:spacing w:val="24"/>
        </w:rPr>
        <w:t> </w:t>
      </w:r>
      <w:r>
        <w:rPr>
          <w:color w:val="231F20"/>
        </w:rPr>
        <w:t>the</w:t>
      </w:r>
      <w:r>
        <w:rPr>
          <w:color w:val="231F20"/>
          <w:spacing w:val="25"/>
        </w:rPr>
        <w:t> </w:t>
      </w:r>
      <w:r>
        <w:rPr>
          <w:color w:val="231F20"/>
        </w:rPr>
        <w:t>fabricated</w:t>
      </w:r>
      <w:r>
        <w:rPr>
          <w:color w:val="231F20"/>
          <w:spacing w:val="26"/>
        </w:rPr>
        <w:t> </w:t>
      </w:r>
      <w:r>
        <w:rPr>
          <w:color w:val="231F20"/>
        </w:rPr>
        <w:t>Southern</w:t>
      </w:r>
      <w:r>
        <w:rPr>
          <w:color w:val="231F20"/>
          <w:spacing w:val="25"/>
        </w:rPr>
        <w:t> </w:t>
      </w:r>
      <w:r>
        <w:rPr>
          <w:color w:val="231F20"/>
        </w:rPr>
        <w:t>Pine</w:t>
      </w:r>
      <w:r>
        <w:rPr>
          <w:color w:val="231F20"/>
          <w:spacing w:val="25"/>
        </w:rPr>
        <w:t> </w:t>
      </w:r>
      <w:r>
        <w:rPr>
          <w:color w:val="231F20"/>
        </w:rPr>
        <w:t>specimens</w:t>
      </w:r>
      <w:r>
        <w:rPr>
          <w:color w:val="231F20"/>
          <w:spacing w:val="-57"/>
        </w:rPr>
        <w:t> </w:t>
      </w:r>
      <w:r>
        <w:rPr>
          <w:color w:val="231F20"/>
        </w:rPr>
        <w:t>greater</w:t>
      </w:r>
      <w:r>
        <w:rPr>
          <w:color w:val="231F20"/>
          <w:spacing w:val="23"/>
        </w:rPr>
        <w:t> </w:t>
      </w:r>
      <w:r>
        <w:rPr>
          <w:color w:val="231F20"/>
        </w:rPr>
        <w:t>wood</w:t>
      </w:r>
      <w:r>
        <w:rPr>
          <w:color w:val="231F20"/>
          <w:spacing w:val="24"/>
        </w:rPr>
        <w:t> </w:t>
      </w:r>
      <w:r>
        <w:rPr>
          <w:color w:val="231F20"/>
        </w:rPr>
        <w:t>failure,</w:t>
      </w:r>
      <w:r>
        <w:rPr>
          <w:color w:val="231F20"/>
          <w:spacing w:val="24"/>
        </w:rPr>
        <w:t> </w:t>
      </w:r>
      <w:r>
        <w:rPr>
          <w:color w:val="231F20"/>
        </w:rPr>
        <w:t>it</w:t>
      </w:r>
      <w:r>
        <w:rPr>
          <w:color w:val="231F20"/>
          <w:spacing w:val="23"/>
        </w:rPr>
        <w:t> </w:t>
      </w:r>
      <w:r>
        <w:rPr>
          <w:color w:val="231F20"/>
        </w:rPr>
        <w:t>was</w:t>
      </w:r>
      <w:r>
        <w:rPr>
          <w:color w:val="231F20"/>
          <w:spacing w:val="24"/>
        </w:rPr>
        <w:t> </w:t>
      </w:r>
      <w:r>
        <w:rPr>
          <w:color w:val="231F20"/>
        </w:rPr>
        <w:t>determined</w:t>
      </w:r>
      <w:r>
        <w:rPr>
          <w:color w:val="231F20"/>
          <w:spacing w:val="23"/>
        </w:rPr>
        <w:t> </w:t>
      </w:r>
      <w:r>
        <w:rPr>
          <w:color w:val="231F20"/>
        </w:rPr>
        <w:t>that</w:t>
      </w:r>
      <w:r>
        <w:rPr>
          <w:color w:val="231F20"/>
          <w:spacing w:val="24"/>
        </w:rPr>
        <w:t> </w:t>
      </w:r>
      <w:r>
        <w:rPr>
          <w:color w:val="231F20"/>
        </w:rPr>
        <w:t>the</w:t>
      </w:r>
      <w:r>
        <w:rPr>
          <w:color w:val="231F20"/>
          <w:spacing w:val="23"/>
        </w:rPr>
        <w:t> </w:t>
      </w:r>
      <w:r>
        <w:rPr>
          <w:color w:val="231F20"/>
        </w:rPr>
        <w:t>small-scale</w:t>
      </w:r>
      <w:r>
        <w:rPr>
          <w:color w:val="231F20"/>
          <w:spacing w:val="24"/>
        </w:rPr>
        <w:t> </w:t>
      </w:r>
      <w:r>
        <w:rPr>
          <w:color w:val="231F20"/>
        </w:rPr>
        <w:t>manufacturing</w:t>
      </w:r>
      <w:r>
        <w:rPr>
          <w:color w:val="231F20"/>
          <w:spacing w:val="24"/>
        </w:rPr>
        <w:t> </w:t>
      </w:r>
      <w:r>
        <w:rPr>
          <w:color w:val="231F20"/>
        </w:rPr>
        <w:t>process</w:t>
      </w:r>
      <w:r>
        <w:rPr>
          <w:color w:val="231F20"/>
          <w:spacing w:val="23"/>
        </w:rPr>
        <w:t> </w:t>
      </w:r>
      <w:r>
        <w:rPr>
          <w:color w:val="231F20"/>
        </w:rPr>
        <w:t>was</w:t>
      </w:r>
      <w:r>
        <w:rPr>
          <w:color w:val="231F20"/>
          <w:spacing w:val="-57"/>
        </w:rPr>
        <w:t> </w:t>
      </w:r>
      <w:r>
        <w:rPr>
          <w:color w:val="231F20"/>
        </w:rPr>
        <w:t>sufficient</w:t>
      </w:r>
      <w:r>
        <w:rPr>
          <w:color w:val="231F20"/>
          <w:spacing w:val="-1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achieve good CLT</w:t>
      </w:r>
      <w:r>
        <w:rPr>
          <w:color w:val="231F20"/>
          <w:spacing w:val="-1"/>
        </w:rPr>
        <w:t> </w:t>
      </w:r>
      <w:r>
        <w:rPr>
          <w:color w:val="231F20"/>
        </w:rPr>
        <w:t>bond</w:t>
      </w:r>
      <w:r>
        <w:rPr>
          <w:color w:val="231F20"/>
          <w:spacing w:val="1"/>
        </w:rPr>
        <w:t> </w:t>
      </w:r>
      <w:r>
        <w:rPr>
          <w:color w:val="231F20"/>
        </w:rPr>
        <w:t>lines.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89">
            <wp:simplePos x="0" y="0"/>
            <wp:positionH relativeFrom="page">
              <wp:posOffset>1371600</wp:posOffset>
            </wp:positionH>
            <wp:positionV relativeFrom="paragraph">
              <wp:posOffset>235212</wp:posOffset>
            </wp:positionV>
            <wp:extent cx="5520127" cy="2187702"/>
            <wp:effectExtent l="0" t="0" r="0" b="0"/>
            <wp:wrapTopAndBottom/>
            <wp:docPr id="31" name="image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75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0127" cy="2187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33"/>
        </w:rPr>
      </w:pPr>
    </w:p>
    <w:p>
      <w:pPr>
        <w:spacing w:before="0"/>
        <w:ind w:left="439" w:right="399" w:firstLine="0"/>
        <w:jc w:val="left"/>
        <w:rPr>
          <w:i/>
          <w:sz w:val="24"/>
        </w:rPr>
      </w:pPr>
      <w:bookmarkStart w:name="_bookmark30" w:id="198"/>
      <w:bookmarkEnd w:id="198"/>
      <w:r>
        <w:rPr/>
      </w:r>
      <w:r>
        <w:rPr>
          <w:i/>
          <w:sz w:val="24"/>
        </w:rPr>
        <w:t>Figure 4-7. A representative shear block test specimen post-test (a.) wood failure shown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across the growth ring beyond the adhesive bond line from one side perspective, (b.)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wood failure occurring along the growth ring from the opposite side, (c.) a combination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wood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adhesive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failure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shown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from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interface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two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pieces,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assessed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as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75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percent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wood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failure.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8"/>
        <w:rPr>
          <w:i/>
          <w:sz w:val="23"/>
        </w:rPr>
      </w:pPr>
    </w:p>
    <w:p>
      <w:pPr>
        <w:pStyle w:val="BodyText"/>
        <w:spacing w:line="480" w:lineRule="auto"/>
        <w:ind w:left="439" w:right="561" w:firstLine="720"/>
        <w:jc w:val="both"/>
      </w:pPr>
      <w:r>
        <w:rPr>
          <w:color w:val="231F20"/>
        </w:rPr>
        <w:t>The results of the shear block testing are shown in </w:t>
      </w:r>
      <w:hyperlink w:history="true" w:anchor="_bookmark31">
        <w:r>
          <w:rPr/>
          <w:t>Table 4-2</w:t>
        </w:r>
        <w:r>
          <w:rPr>
            <w:color w:val="231F20"/>
          </w:rPr>
          <w:t>.</w:t>
        </w:r>
      </w:hyperlink>
      <w:r>
        <w:rPr>
          <w:color w:val="231F20"/>
          <w:spacing w:val="1"/>
        </w:rPr>
        <w:t> </w:t>
      </w:r>
      <w:hyperlink w:history="true" w:anchor="_bookmark32">
        <w:r>
          <w:rPr/>
          <w:t>Table 4-2 </w:t>
        </w:r>
      </w:hyperlink>
      <w:r>
        <w:rPr>
          <w:color w:val="231F20"/>
        </w:rPr>
        <w:t>shows</w:t>
      </w:r>
      <w:r>
        <w:rPr>
          <w:color w:val="231F20"/>
          <w:spacing w:val="-57"/>
        </w:rPr>
        <w:t> </w:t>
      </w:r>
      <w:r>
        <w:rPr>
          <w:color w:val="231F20"/>
        </w:rPr>
        <w:t>the average shear stress calculated from the shear block testing by specimen type: SYP</w:t>
      </w:r>
      <w:r>
        <w:rPr>
          <w:color w:val="231F20"/>
          <w:spacing w:val="-58"/>
        </w:rPr>
        <w:t> </w:t>
      </w:r>
      <w:r>
        <w:rPr>
          <w:color w:val="231F20"/>
        </w:rPr>
        <w:t>CLT</w:t>
      </w:r>
      <w:r>
        <w:rPr>
          <w:color w:val="231F20"/>
          <w:spacing w:val="-2"/>
        </w:rPr>
        <w:t> </w:t>
      </w:r>
      <w:r>
        <w:rPr>
          <w:color w:val="231F20"/>
        </w:rPr>
        <w:t>is</w:t>
      </w:r>
      <w:r>
        <w:rPr>
          <w:color w:val="231F20"/>
          <w:spacing w:val="-1"/>
        </w:rPr>
        <w:t> </w:t>
      </w:r>
      <w:r>
        <w:rPr>
          <w:color w:val="231F20"/>
        </w:rPr>
        <w:t>from</w:t>
      </w:r>
      <w:r>
        <w:rPr>
          <w:color w:val="231F20"/>
          <w:spacing w:val="-2"/>
        </w:rPr>
        <w:t> </w:t>
      </w:r>
      <w:r>
        <w:rPr>
          <w:color w:val="231F20"/>
        </w:rPr>
        <w:t>locally fabricated</w:t>
      </w:r>
      <w:r>
        <w:rPr>
          <w:color w:val="231F20"/>
          <w:spacing w:val="-1"/>
        </w:rPr>
        <w:t> </w:t>
      </w:r>
      <w:r>
        <w:rPr>
          <w:color w:val="231F20"/>
        </w:rPr>
        <w:t>Southern</w:t>
      </w:r>
      <w:r>
        <w:rPr>
          <w:color w:val="231F20"/>
          <w:spacing w:val="-1"/>
        </w:rPr>
        <w:t> </w:t>
      </w:r>
      <w:r>
        <w:rPr>
          <w:color w:val="231F20"/>
        </w:rPr>
        <w:t>Yellow</w:t>
      </w:r>
      <w:r>
        <w:rPr>
          <w:color w:val="231F20"/>
          <w:spacing w:val="-3"/>
        </w:rPr>
        <w:t> </w:t>
      </w:r>
      <w:r>
        <w:rPr>
          <w:color w:val="231F20"/>
        </w:rPr>
        <w:t>Pine CLT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1"/>
        </w:rPr>
        <w:t> </w:t>
      </w:r>
      <w:r>
        <w:rPr>
          <w:color w:val="231F20"/>
        </w:rPr>
        <w:t>SPF-S</w:t>
      </w:r>
      <w:r>
        <w:rPr>
          <w:color w:val="231F20"/>
          <w:spacing w:val="-1"/>
        </w:rPr>
        <w:t> </w:t>
      </w:r>
      <w:r>
        <w:rPr>
          <w:color w:val="231F20"/>
        </w:rPr>
        <w:t>CLT</w:t>
      </w:r>
      <w:r>
        <w:rPr>
          <w:color w:val="231F20"/>
          <w:spacing w:val="-2"/>
        </w:rPr>
        <w:t> </w:t>
      </w:r>
      <w:r>
        <w:rPr>
          <w:color w:val="231F20"/>
        </w:rPr>
        <w:t>is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40"/>
      </w:pPr>
      <w:r>
        <w:rPr>
          <w:color w:val="231F20"/>
        </w:rPr>
        <w:t>SmartLam commercially manufactured CLT.</w:t>
      </w:r>
      <w:r>
        <w:rPr>
          <w:color w:val="231F20"/>
          <w:spacing w:val="1"/>
        </w:rPr>
        <w:t> </w:t>
      </w:r>
      <w:r>
        <w:rPr>
          <w:color w:val="231F20"/>
        </w:rPr>
        <w:t>Although the test standard cautions against</w:t>
      </w:r>
      <w:r>
        <w:rPr>
          <w:color w:val="231F20"/>
          <w:spacing w:val="-57"/>
        </w:rPr>
        <w:t> </w:t>
      </w:r>
      <w:r>
        <w:rPr>
          <w:color w:val="231F20"/>
        </w:rPr>
        <w:t>assuming it measures the true shear strength of the bond, the standard states it may be</w:t>
      </w:r>
      <w:r>
        <w:rPr>
          <w:color w:val="231F20"/>
          <w:spacing w:val="1"/>
        </w:rPr>
        <w:t> </w:t>
      </w:r>
      <w:r>
        <w:rPr>
          <w:color w:val="231F20"/>
        </w:rPr>
        <w:t>informative for research and development purposes.</w:t>
      </w:r>
      <w:r>
        <w:rPr>
          <w:color w:val="231F20"/>
          <w:spacing w:val="1"/>
        </w:rPr>
        <w:t> </w:t>
      </w:r>
      <w:r>
        <w:rPr>
          <w:color w:val="231F20"/>
        </w:rPr>
        <w:t>According to ASTM D905, the</w:t>
      </w:r>
      <w:r>
        <w:rPr>
          <w:color w:val="231F20"/>
          <w:spacing w:val="1"/>
        </w:rPr>
        <w:t> </w:t>
      </w:r>
      <w:r>
        <w:rPr>
          <w:color w:val="231F20"/>
        </w:rPr>
        <w:t>coefficient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variation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shear</w:t>
      </w:r>
      <w:r>
        <w:rPr>
          <w:color w:val="231F20"/>
          <w:spacing w:val="-1"/>
        </w:rPr>
        <w:t> </w:t>
      </w:r>
      <w:r>
        <w:rPr>
          <w:color w:val="231F20"/>
        </w:rPr>
        <w:t>strength</w:t>
      </w:r>
      <w:r>
        <w:rPr>
          <w:color w:val="231F20"/>
          <w:spacing w:val="-1"/>
        </w:rPr>
        <w:t> </w:t>
      </w:r>
      <w:r>
        <w:rPr>
          <w:color w:val="231F20"/>
        </w:rPr>
        <w:t>parallel</w:t>
      </w:r>
      <w:r>
        <w:rPr>
          <w:color w:val="231F20"/>
          <w:spacing w:val="-1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grain</w:t>
      </w:r>
      <w:r>
        <w:rPr>
          <w:color w:val="231F20"/>
          <w:spacing w:val="-1"/>
        </w:rPr>
        <w:t> </w:t>
      </w:r>
      <w:r>
        <w:rPr>
          <w:color w:val="231F20"/>
        </w:rPr>
        <w:t>is</w:t>
      </w:r>
      <w:r>
        <w:rPr>
          <w:color w:val="231F20"/>
          <w:spacing w:val="-1"/>
        </w:rPr>
        <w:t> </w:t>
      </w:r>
      <w:r>
        <w:rPr>
          <w:color w:val="231F20"/>
        </w:rPr>
        <w:t>14%</w:t>
      </w:r>
      <w:r>
        <w:rPr>
          <w:color w:val="231F20"/>
          <w:spacing w:val="-1"/>
        </w:rPr>
        <w:t> </w:t>
      </w:r>
      <w:r>
        <w:rPr>
          <w:color w:val="231F20"/>
        </w:rPr>
        <w:t>for</w:t>
      </w:r>
      <w:r>
        <w:rPr>
          <w:color w:val="231F20"/>
          <w:spacing w:val="-1"/>
        </w:rPr>
        <w:t> </w:t>
      </w:r>
      <w:r>
        <w:rPr>
          <w:color w:val="231F20"/>
        </w:rPr>
        <w:t>a</w:t>
      </w:r>
      <w:r>
        <w:rPr>
          <w:color w:val="231F20"/>
          <w:spacing w:val="-2"/>
        </w:rPr>
        <w:t> </w:t>
      </w:r>
      <w:r>
        <w:rPr>
          <w:color w:val="231F20"/>
        </w:rPr>
        <w:t>given</w:t>
      </w:r>
      <w:r>
        <w:rPr>
          <w:color w:val="231F20"/>
          <w:spacing w:val="-1"/>
        </w:rPr>
        <w:t> </w:t>
      </w:r>
      <w:r>
        <w:rPr>
          <w:color w:val="231F20"/>
        </w:rPr>
        <w:t>species.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spacing w:before="231"/>
        <w:ind w:left="440" w:right="340" w:firstLine="0"/>
        <w:jc w:val="left"/>
        <w:rPr>
          <w:i/>
          <w:sz w:val="24"/>
        </w:rPr>
      </w:pPr>
      <w:bookmarkStart w:name="_bookmark31" w:id="199"/>
      <w:bookmarkEnd w:id="199"/>
      <w:r>
        <w:rPr/>
      </w:r>
      <w:bookmarkStart w:name="_bookmark32" w:id="200"/>
      <w:bookmarkEnd w:id="200"/>
      <w:r>
        <w:rPr/>
      </w:r>
      <w:r>
        <w:rPr>
          <w:i/>
          <w:sz w:val="24"/>
        </w:rPr>
        <w:t>Table 4-2. Comparison of average shear stress achieved through shear block testing and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coefficients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 variations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for two types 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CLT.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3"/>
        <w:rPr>
          <w:i/>
          <w:sz w:val="17"/>
        </w:rPr>
      </w:pPr>
    </w:p>
    <w:tbl>
      <w:tblPr>
        <w:tblW w:w="0" w:type="auto"/>
        <w:jc w:val="left"/>
        <w:tblInd w:w="22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90"/>
        <w:gridCol w:w="998"/>
        <w:gridCol w:w="1242"/>
        <w:gridCol w:w="1036"/>
      </w:tblGrid>
      <w:tr>
        <w:trPr>
          <w:trHeight w:val="1012" w:hRule="atLeast"/>
        </w:trPr>
        <w:tc>
          <w:tcPr>
            <w:tcW w:w="1790" w:type="dxa"/>
            <w:shd w:val="clear" w:color="auto" w:fill="C0C0C0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line="234" w:lineRule="exact" w:before="206"/>
              <w:ind w:left="167"/>
              <w:rPr>
                <w:b/>
                <w:sz w:val="22"/>
              </w:rPr>
            </w:pPr>
            <w:r>
              <w:rPr>
                <w:b/>
                <w:sz w:val="22"/>
              </w:rPr>
              <w:t>Specimen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type</w:t>
            </w:r>
          </w:p>
        </w:tc>
        <w:tc>
          <w:tcPr>
            <w:tcW w:w="998" w:type="dxa"/>
            <w:shd w:val="clear" w:color="auto" w:fill="C0C0C0"/>
          </w:tcPr>
          <w:p>
            <w:pPr>
              <w:pStyle w:val="TableParagraph"/>
              <w:spacing w:line="254" w:lineRule="exact"/>
              <w:ind w:left="108" w:right="8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Average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Shear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stress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(psi)</w:t>
            </w:r>
          </w:p>
        </w:tc>
        <w:tc>
          <w:tcPr>
            <w:tcW w:w="1242" w:type="dxa"/>
            <w:shd w:val="clear" w:color="auto" w:fill="C0C0C0"/>
          </w:tcPr>
          <w:p>
            <w:pPr>
              <w:pStyle w:val="TableParagraph"/>
              <w:spacing w:line="254" w:lineRule="exact"/>
              <w:ind w:left="113" w:right="91"/>
              <w:jc w:val="center"/>
              <w:rPr>
                <w:b/>
                <w:sz w:val="22"/>
              </w:rPr>
            </w:pPr>
            <w:r>
              <w:rPr>
                <w:b/>
                <w:spacing w:val="-1"/>
                <w:sz w:val="22"/>
              </w:rPr>
              <w:t>Coefficient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of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Variation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(CoV)</w:t>
            </w:r>
          </w:p>
        </w:tc>
        <w:tc>
          <w:tcPr>
            <w:tcW w:w="1036" w:type="dxa"/>
            <w:shd w:val="clear" w:color="auto" w:fill="C0C0C0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line="250" w:lineRule="atLeast" w:before="210"/>
              <w:ind w:left="113" w:right="82" w:firstLine="91"/>
              <w:rPr>
                <w:b/>
                <w:sz w:val="22"/>
              </w:rPr>
            </w:pPr>
            <w:r>
              <w:rPr>
                <w:b/>
                <w:sz w:val="22"/>
              </w:rPr>
              <w:t>N (# of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pacing w:val="-1"/>
                <w:sz w:val="22"/>
              </w:rPr>
              <w:t>samples)</w:t>
            </w:r>
          </w:p>
        </w:tc>
      </w:tr>
      <w:tr>
        <w:trPr>
          <w:trHeight w:val="285" w:hRule="atLeast"/>
        </w:trPr>
        <w:tc>
          <w:tcPr>
            <w:tcW w:w="1790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233" w:lineRule="exact" w:before="33"/>
              <w:ind w:left="107"/>
              <w:rPr>
                <w:b/>
                <w:sz w:val="22"/>
              </w:rPr>
            </w:pPr>
            <w:r>
              <w:rPr>
                <w:b/>
                <w:sz w:val="22"/>
              </w:rPr>
              <w:t>SYP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CLT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(all)</w:t>
            </w:r>
          </w:p>
        </w:tc>
        <w:tc>
          <w:tcPr>
            <w:tcW w:w="998" w:type="dxa"/>
          </w:tcPr>
          <w:p>
            <w:pPr>
              <w:pStyle w:val="TableParagraph"/>
              <w:spacing w:line="233" w:lineRule="exact" w:before="33"/>
              <w:ind w:left="108" w:right="8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729.7</w:t>
            </w:r>
          </w:p>
        </w:tc>
        <w:tc>
          <w:tcPr>
            <w:tcW w:w="1242" w:type="dxa"/>
          </w:tcPr>
          <w:p>
            <w:pPr>
              <w:pStyle w:val="TableParagraph"/>
              <w:spacing w:line="233" w:lineRule="exact" w:before="33"/>
              <w:ind w:right="383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30%</w:t>
            </w:r>
          </w:p>
        </w:tc>
        <w:tc>
          <w:tcPr>
            <w:tcW w:w="1036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233" w:lineRule="exact" w:before="33"/>
              <w:ind w:left="392" w:right="36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14</w:t>
            </w:r>
          </w:p>
        </w:tc>
      </w:tr>
      <w:tr>
        <w:trPr>
          <w:trHeight w:val="290" w:hRule="atLeast"/>
        </w:trPr>
        <w:tc>
          <w:tcPr>
            <w:tcW w:w="1790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right="90"/>
              <w:jc w:val="right"/>
              <w:rPr>
                <w:sz w:val="22"/>
              </w:rPr>
            </w:pPr>
            <w:r>
              <w:rPr>
                <w:sz w:val="22"/>
              </w:rPr>
              <w:t>perpendicular</w:t>
            </w:r>
          </w:p>
        </w:tc>
        <w:tc>
          <w:tcPr>
            <w:tcW w:w="998" w:type="dxa"/>
          </w:tcPr>
          <w:p>
            <w:pPr>
              <w:pStyle w:val="TableParagraph"/>
              <w:spacing w:line="234" w:lineRule="exact" w:before="35"/>
              <w:ind w:left="108" w:right="87"/>
              <w:jc w:val="center"/>
              <w:rPr>
                <w:sz w:val="22"/>
              </w:rPr>
            </w:pPr>
            <w:r>
              <w:rPr>
                <w:sz w:val="22"/>
              </w:rPr>
              <w:t>579.9</w:t>
            </w:r>
          </w:p>
        </w:tc>
        <w:tc>
          <w:tcPr>
            <w:tcW w:w="1242" w:type="dxa"/>
          </w:tcPr>
          <w:p>
            <w:pPr>
              <w:pStyle w:val="TableParagraph"/>
              <w:spacing w:line="234" w:lineRule="exact" w:before="35"/>
              <w:ind w:right="401"/>
              <w:jc w:val="right"/>
              <w:rPr>
                <w:sz w:val="22"/>
              </w:rPr>
            </w:pPr>
            <w:r>
              <w:rPr>
                <w:sz w:val="22"/>
              </w:rPr>
              <w:t>26%</w:t>
            </w:r>
          </w:p>
        </w:tc>
        <w:tc>
          <w:tcPr>
            <w:tcW w:w="1036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23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7</w:t>
            </w:r>
          </w:p>
        </w:tc>
      </w:tr>
      <w:tr>
        <w:trPr>
          <w:trHeight w:val="290" w:hRule="atLeast"/>
        </w:trPr>
        <w:tc>
          <w:tcPr>
            <w:tcW w:w="1790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right="92"/>
              <w:jc w:val="right"/>
              <w:rPr>
                <w:sz w:val="22"/>
              </w:rPr>
            </w:pPr>
            <w:r>
              <w:rPr>
                <w:sz w:val="22"/>
              </w:rPr>
              <w:t>parallel</w:t>
            </w:r>
          </w:p>
        </w:tc>
        <w:tc>
          <w:tcPr>
            <w:tcW w:w="998" w:type="dxa"/>
          </w:tcPr>
          <w:p>
            <w:pPr>
              <w:pStyle w:val="TableParagraph"/>
              <w:spacing w:line="234" w:lineRule="exact" w:before="35"/>
              <w:ind w:left="108" w:right="87"/>
              <w:jc w:val="center"/>
              <w:rPr>
                <w:sz w:val="22"/>
              </w:rPr>
            </w:pPr>
            <w:r>
              <w:rPr>
                <w:sz w:val="22"/>
              </w:rPr>
              <w:t>879.6</w:t>
            </w:r>
          </w:p>
        </w:tc>
        <w:tc>
          <w:tcPr>
            <w:tcW w:w="1242" w:type="dxa"/>
          </w:tcPr>
          <w:p>
            <w:pPr>
              <w:pStyle w:val="TableParagraph"/>
              <w:spacing w:line="234" w:lineRule="exact" w:before="35"/>
              <w:ind w:right="401"/>
              <w:jc w:val="right"/>
              <w:rPr>
                <w:sz w:val="22"/>
              </w:rPr>
            </w:pPr>
            <w:r>
              <w:rPr>
                <w:sz w:val="22"/>
              </w:rPr>
              <w:t>19%</w:t>
            </w:r>
          </w:p>
        </w:tc>
        <w:tc>
          <w:tcPr>
            <w:tcW w:w="1036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23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7</w:t>
            </w:r>
          </w:p>
        </w:tc>
      </w:tr>
      <w:tr>
        <w:trPr>
          <w:trHeight w:val="289" w:hRule="atLeast"/>
        </w:trPr>
        <w:tc>
          <w:tcPr>
            <w:tcW w:w="5066" w:type="dxa"/>
            <w:gridSpan w:val="4"/>
            <w:tcBorders>
              <w:left w:val="single" w:sz="8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90" w:hRule="atLeast"/>
        </w:trPr>
        <w:tc>
          <w:tcPr>
            <w:tcW w:w="1790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233" w:lineRule="exact" w:before="37"/>
              <w:ind w:left="107"/>
              <w:rPr>
                <w:b/>
                <w:sz w:val="22"/>
              </w:rPr>
            </w:pPr>
            <w:r>
              <w:rPr>
                <w:b/>
                <w:sz w:val="22"/>
              </w:rPr>
              <w:t>SPF-S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CLT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(all)</w:t>
            </w:r>
          </w:p>
        </w:tc>
        <w:tc>
          <w:tcPr>
            <w:tcW w:w="998" w:type="dxa"/>
          </w:tcPr>
          <w:p>
            <w:pPr>
              <w:pStyle w:val="TableParagraph"/>
              <w:spacing w:line="233" w:lineRule="exact" w:before="37"/>
              <w:ind w:left="108" w:right="8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341.7</w:t>
            </w:r>
          </w:p>
        </w:tc>
        <w:tc>
          <w:tcPr>
            <w:tcW w:w="1242" w:type="dxa"/>
          </w:tcPr>
          <w:p>
            <w:pPr>
              <w:pStyle w:val="TableParagraph"/>
              <w:spacing w:line="233" w:lineRule="exact" w:before="37"/>
              <w:ind w:right="383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29%</w:t>
            </w:r>
          </w:p>
        </w:tc>
        <w:tc>
          <w:tcPr>
            <w:tcW w:w="1036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233" w:lineRule="exact" w:before="37"/>
              <w:ind w:left="392" w:right="36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11</w:t>
            </w:r>
          </w:p>
        </w:tc>
      </w:tr>
      <w:tr>
        <w:trPr>
          <w:trHeight w:val="290" w:hRule="atLeast"/>
        </w:trPr>
        <w:tc>
          <w:tcPr>
            <w:tcW w:w="1790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right="90"/>
              <w:jc w:val="right"/>
              <w:rPr>
                <w:sz w:val="22"/>
              </w:rPr>
            </w:pPr>
            <w:r>
              <w:rPr>
                <w:sz w:val="22"/>
              </w:rPr>
              <w:t>perpendicular</w:t>
            </w:r>
          </w:p>
        </w:tc>
        <w:tc>
          <w:tcPr>
            <w:tcW w:w="998" w:type="dxa"/>
          </w:tcPr>
          <w:p>
            <w:pPr>
              <w:pStyle w:val="TableParagraph"/>
              <w:spacing w:line="234" w:lineRule="exact" w:before="35"/>
              <w:ind w:left="108" w:right="88"/>
              <w:jc w:val="center"/>
              <w:rPr>
                <w:sz w:val="22"/>
              </w:rPr>
            </w:pPr>
            <w:r>
              <w:rPr>
                <w:sz w:val="22"/>
              </w:rPr>
              <w:t>294.5</w:t>
            </w:r>
          </w:p>
        </w:tc>
        <w:tc>
          <w:tcPr>
            <w:tcW w:w="1242" w:type="dxa"/>
          </w:tcPr>
          <w:p>
            <w:pPr>
              <w:pStyle w:val="TableParagraph"/>
              <w:spacing w:line="234" w:lineRule="exact" w:before="35"/>
              <w:ind w:right="456"/>
              <w:jc w:val="right"/>
              <w:rPr>
                <w:sz w:val="22"/>
              </w:rPr>
            </w:pPr>
            <w:r>
              <w:rPr>
                <w:sz w:val="22"/>
              </w:rPr>
              <w:t>9%</w:t>
            </w:r>
          </w:p>
        </w:tc>
        <w:tc>
          <w:tcPr>
            <w:tcW w:w="1036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23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6</w:t>
            </w:r>
          </w:p>
        </w:tc>
      </w:tr>
      <w:tr>
        <w:trPr>
          <w:trHeight w:val="289" w:hRule="atLeast"/>
        </w:trPr>
        <w:tc>
          <w:tcPr>
            <w:tcW w:w="1790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right="92"/>
              <w:jc w:val="right"/>
              <w:rPr>
                <w:sz w:val="22"/>
              </w:rPr>
            </w:pPr>
            <w:r>
              <w:rPr>
                <w:sz w:val="22"/>
              </w:rPr>
              <w:t>parallel</w:t>
            </w:r>
          </w:p>
        </w:tc>
        <w:tc>
          <w:tcPr>
            <w:tcW w:w="998" w:type="dxa"/>
          </w:tcPr>
          <w:p>
            <w:pPr>
              <w:pStyle w:val="TableParagraph"/>
              <w:spacing w:line="234" w:lineRule="exact" w:before="35"/>
              <w:ind w:left="108" w:right="87"/>
              <w:jc w:val="center"/>
              <w:rPr>
                <w:sz w:val="22"/>
              </w:rPr>
            </w:pPr>
            <w:r>
              <w:rPr>
                <w:sz w:val="22"/>
              </w:rPr>
              <w:t>398.4</w:t>
            </w:r>
          </w:p>
        </w:tc>
        <w:tc>
          <w:tcPr>
            <w:tcW w:w="1242" w:type="dxa"/>
          </w:tcPr>
          <w:p>
            <w:pPr>
              <w:pStyle w:val="TableParagraph"/>
              <w:spacing w:line="234" w:lineRule="exact" w:before="35"/>
              <w:ind w:right="401"/>
              <w:jc w:val="right"/>
              <w:rPr>
                <w:sz w:val="22"/>
              </w:rPr>
            </w:pPr>
            <w:r>
              <w:rPr>
                <w:sz w:val="22"/>
              </w:rPr>
              <w:t>32%</w:t>
            </w:r>
          </w:p>
        </w:tc>
        <w:tc>
          <w:tcPr>
            <w:tcW w:w="1036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23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5</w:t>
            </w:r>
          </w:p>
        </w:tc>
      </w:tr>
    </w:tbl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1"/>
        </w:rPr>
      </w:pPr>
    </w:p>
    <w:p>
      <w:pPr>
        <w:pStyle w:val="BodyText"/>
        <w:spacing w:line="480" w:lineRule="auto" w:before="90"/>
        <w:ind w:left="440" w:right="257" w:firstLine="720"/>
        <w:jc w:val="both"/>
      </w:pPr>
      <w:r>
        <w:rPr/>
        <w:t>The shear block testing showed that the lab-produced Southern Yellow Pine CLT</w:t>
      </w:r>
      <w:r>
        <w:rPr>
          <w:spacing w:val="1"/>
        </w:rPr>
        <w:t> </w:t>
      </w:r>
      <w:r>
        <w:rPr/>
        <w:t>achieved an average shear stress almost twice that of the SPF-S manufactured products</w:t>
      </w:r>
      <w:r>
        <w:rPr>
          <w:spacing w:val="1"/>
        </w:rPr>
        <w:t> </w:t>
      </w:r>
      <w:r>
        <w:rPr/>
        <w:t>with similar coefficients of variation.</w:t>
      </w:r>
      <w:r>
        <w:rPr>
          <w:spacing w:val="1"/>
        </w:rPr>
        <w:t> </w:t>
      </w:r>
      <w:r>
        <w:rPr/>
        <w:t>For the Southern Pine CLT, there also appeared to</w:t>
      </w:r>
      <w:r>
        <w:rPr>
          <w:spacing w:val="1"/>
        </w:rPr>
        <w:t> </w:t>
      </w:r>
      <w:r>
        <w:rPr/>
        <w:t>be a difference in shear strength depending on the orientation of the grain in the shorter</w:t>
      </w:r>
      <w:r>
        <w:rPr>
          <w:spacing w:val="1"/>
        </w:rPr>
        <w:t> </w:t>
      </w:r>
      <w:r>
        <w:rPr/>
        <w:t>block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specimen.</w:t>
      </w:r>
      <w:r>
        <w:rPr>
          <w:spacing w:val="59"/>
        </w:rPr>
        <w:t> </w:t>
      </w:r>
      <w:r>
        <w:rPr/>
        <w:t>This</w:t>
      </w:r>
      <w:r>
        <w:rPr>
          <w:spacing w:val="-1"/>
        </w:rPr>
        <w:t> </w:t>
      </w:r>
      <w:r>
        <w:rPr/>
        <w:t>difference was</w:t>
      </w:r>
      <w:r>
        <w:rPr>
          <w:spacing w:val="-1"/>
        </w:rPr>
        <w:t> </w:t>
      </w:r>
      <w:r>
        <w:rPr/>
        <w:t>not</w:t>
      </w:r>
      <w:r>
        <w:rPr>
          <w:spacing w:val="-1"/>
        </w:rPr>
        <w:t> </w:t>
      </w:r>
      <w:r>
        <w:rPr/>
        <w:t>as</w:t>
      </w:r>
      <w:r>
        <w:rPr>
          <w:spacing w:val="-1"/>
        </w:rPr>
        <w:t> </w:t>
      </w:r>
      <w:r>
        <w:rPr/>
        <w:t>obvious for</w:t>
      </w:r>
      <w:r>
        <w:rPr>
          <w:spacing w:val="-1"/>
        </w:rPr>
        <w:t> </w:t>
      </w:r>
      <w:r>
        <w:rPr/>
        <w:t>the SPF-S</w:t>
      </w:r>
      <w:r>
        <w:rPr>
          <w:spacing w:val="-3"/>
        </w:rPr>
        <w:t> </w:t>
      </w:r>
      <w:r>
        <w:rPr/>
        <w:t>specimen.</w:t>
      </w:r>
    </w:p>
    <w:p>
      <w:pPr>
        <w:spacing w:before="161"/>
        <w:ind w:left="440" w:right="0" w:firstLine="0"/>
        <w:jc w:val="both"/>
        <w:rPr>
          <w:i/>
          <w:sz w:val="24"/>
        </w:rPr>
      </w:pPr>
      <w:bookmarkStart w:name="4.3.4 Shear block testing with non-wood " w:id="201"/>
      <w:bookmarkEnd w:id="201"/>
      <w:r>
        <w:rPr/>
      </w:r>
      <w:r>
        <w:rPr>
          <w:i/>
          <w:sz w:val="24"/>
        </w:rPr>
        <w:t>4.3.4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Shear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block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testing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with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non-wood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layers</w:t>
      </w:r>
    </w:p>
    <w:p>
      <w:pPr>
        <w:pStyle w:val="BodyText"/>
        <w:spacing w:line="552" w:lineRule="exact" w:before="43"/>
        <w:ind w:left="440" w:right="257" w:firstLine="720"/>
        <w:jc w:val="both"/>
      </w:pPr>
      <w:r>
        <w:rPr/>
        <w:t>Shear</w:t>
      </w:r>
      <w:r>
        <w:rPr>
          <w:spacing w:val="-13"/>
        </w:rPr>
        <w:t> </w:t>
      </w:r>
      <w:r>
        <w:rPr/>
        <w:t>block</w:t>
      </w:r>
      <w:r>
        <w:rPr>
          <w:spacing w:val="-14"/>
        </w:rPr>
        <w:t> </w:t>
      </w:r>
      <w:r>
        <w:rPr/>
        <w:t>testing</w:t>
      </w:r>
      <w:r>
        <w:rPr>
          <w:spacing w:val="-12"/>
        </w:rPr>
        <w:t> </w:t>
      </w:r>
      <w:r>
        <w:rPr/>
        <w:t>was</w:t>
      </w:r>
      <w:r>
        <w:rPr>
          <w:spacing w:val="-14"/>
        </w:rPr>
        <w:t> </w:t>
      </w:r>
      <w:r>
        <w:rPr/>
        <w:t>also</w:t>
      </w:r>
      <w:r>
        <w:rPr>
          <w:spacing w:val="-13"/>
        </w:rPr>
        <w:t> </w:t>
      </w:r>
      <w:r>
        <w:rPr/>
        <w:t>conducted</w:t>
      </w:r>
      <w:r>
        <w:rPr>
          <w:spacing w:val="-12"/>
        </w:rPr>
        <w:t> </w:t>
      </w:r>
      <w:r>
        <w:rPr/>
        <w:t>with</w:t>
      </w:r>
      <w:r>
        <w:rPr>
          <w:spacing w:val="-13"/>
        </w:rPr>
        <w:t> </w:t>
      </w:r>
      <w:r>
        <w:rPr/>
        <w:t>wood</w:t>
      </w:r>
      <w:r>
        <w:rPr>
          <w:spacing w:val="-13"/>
        </w:rPr>
        <w:t> </w:t>
      </w:r>
      <w:r>
        <w:rPr/>
        <w:t>specimens</w:t>
      </w:r>
      <w:r>
        <w:rPr>
          <w:spacing w:val="-13"/>
        </w:rPr>
        <w:t> </w:t>
      </w:r>
      <w:r>
        <w:rPr/>
        <w:t>fabricated</w:t>
      </w:r>
      <w:r>
        <w:rPr>
          <w:spacing w:val="-14"/>
        </w:rPr>
        <w:t> </w:t>
      </w:r>
      <w:r>
        <w:rPr/>
        <w:t>with</w:t>
      </w:r>
      <w:r>
        <w:rPr>
          <w:spacing w:val="-12"/>
        </w:rPr>
        <w:t> </w:t>
      </w:r>
      <w:r>
        <w:rPr/>
        <w:t>layers</w:t>
      </w:r>
      <w:r>
        <w:rPr>
          <w:spacing w:val="-58"/>
        </w:rPr>
        <w:t> </w:t>
      </w:r>
      <w:r>
        <w:rPr/>
        <w:t>of</w:t>
      </w:r>
      <w:r>
        <w:rPr>
          <w:spacing w:val="35"/>
        </w:rPr>
        <w:t> </w:t>
      </w:r>
      <w:r>
        <w:rPr/>
        <w:t>E-glass</w:t>
      </w:r>
      <w:r>
        <w:rPr>
          <w:spacing w:val="36"/>
        </w:rPr>
        <w:t> </w:t>
      </w:r>
      <w:r>
        <w:rPr/>
        <w:t>fabric</w:t>
      </w:r>
      <w:r>
        <w:rPr>
          <w:spacing w:val="36"/>
        </w:rPr>
        <w:t> </w:t>
      </w:r>
      <w:r>
        <w:rPr/>
        <w:t>and</w:t>
      </w:r>
      <w:r>
        <w:rPr>
          <w:spacing w:val="36"/>
        </w:rPr>
        <w:t> </w:t>
      </w:r>
      <w:r>
        <w:rPr/>
        <w:t>with</w:t>
      </w:r>
      <w:r>
        <w:rPr>
          <w:spacing w:val="36"/>
        </w:rPr>
        <w:t> </w:t>
      </w:r>
      <w:r>
        <w:rPr/>
        <w:t>a</w:t>
      </w:r>
      <w:r>
        <w:rPr>
          <w:spacing w:val="36"/>
        </w:rPr>
        <w:t> </w:t>
      </w:r>
      <w:r>
        <w:rPr/>
        <w:t>0.25-in.</w:t>
      </w:r>
      <w:r>
        <w:rPr>
          <w:spacing w:val="36"/>
        </w:rPr>
        <w:t> </w:t>
      </w:r>
      <w:r>
        <w:rPr/>
        <w:t>thick</w:t>
      </w:r>
      <w:r>
        <w:rPr>
          <w:spacing w:val="36"/>
        </w:rPr>
        <w:t> </w:t>
      </w:r>
      <w:r>
        <w:rPr/>
        <w:t>steel</w:t>
      </w:r>
      <w:r>
        <w:rPr>
          <w:spacing w:val="36"/>
        </w:rPr>
        <w:t> </w:t>
      </w:r>
      <w:r>
        <w:rPr/>
        <w:t>plate</w:t>
      </w:r>
      <w:r>
        <w:rPr>
          <w:spacing w:val="36"/>
        </w:rPr>
        <w:t> </w:t>
      </w:r>
      <w:r>
        <w:rPr/>
        <w:t>in</w:t>
      </w:r>
      <w:r>
        <w:rPr>
          <w:spacing w:val="36"/>
        </w:rPr>
        <w:t> </w:t>
      </w:r>
      <w:r>
        <w:rPr/>
        <w:t>preparation</w:t>
      </w:r>
      <w:r>
        <w:rPr>
          <w:spacing w:val="36"/>
        </w:rPr>
        <w:t> </w:t>
      </w:r>
      <w:r>
        <w:rPr/>
        <w:t>for</w:t>
      </w:r>
      <w:r>
        <w:rPr>
          <w:spacing w:val="36"/>
        </w:rPr>
        <w:t> </w:t>
      </w:r>
      <w:r>
        <w:rPr/>
        <w:t>production</w:t>
      </w:r>
      <w:r>
        <w:rPr>
          <w:spacing w:val="36"/>
        </w:rPr>
        <w:t> </w:t>
      </w:r>
      <w:r>
        <w:rPr/>
        <w:t>of</w:t>
      </w:r>
    </w:p>
    <w:p>
      <w:pPr>
        <w:spacing w:after="0" w:line="552" w:lineRule="exact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39" w:right="257"/>
        <w:jc w:val="both"/>
      </w:pPr>
      <w:r>
        <w:rPr/>
        <w:t>enhanced CLT specimens (see Chapter 7).</w:t>
      </w:r>
      <w:r>
        <w:rPr>
          <w:spacing w:val="1"/>
        </w:rPr>
        <w:t> </w:t>
      </w:r>
      <w:r>
        <w:rPr/>
        <w:t>The steel was sandblasted in preparation for</w:t>
      </w:r>
      <w:r>
        <w:rPr>
          <w:spacing w:val="1"/>
        </w:rPr>
        <w:t> </w:t>
      </w:r>
      <w:r>
        <w:rPr/>
        <w:t>adhering to the wood.</w:t>
      </w:r>
      <w:r>
        <w:rPr>
          <w:spacing w:val="60"/>
        </w:rPr>
        <w:t> </w:t>
      </w:r>
      <w:r>
        <w:rPr/>
        <w:t>Two weights of E-glass fabric and a woven roving were selected,</w:t>
      </w:r>
      <w:r>
        <w:rPr>
          <w:spacing w:val="1"/>
        </w:rPr>
        <w:t> </w:t>
      </w:r>
      <w:r>
        <w:rPr/>
        <w:t>to</w:t>
      </w:r>
      <w:r>
        <w:rPr>
          <w:spacing w:val="-4"/>
        </w:rPr>
        <w:t> </w:t>
      </w:r>
      <w:r>
        <w:rPr/>
        <w:t>assess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efficacy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bonding</w:t>
      </w:r>
      <w:r>
        <w:rPr>
          <w:spacing w:val="-4"/>
        </w:rPr>
        <w:t> </w:t>
      </w:r>
      <w:r>
        <w:rPr/>
        <w:t>as</w:t>
      </w:r>
      <w:r>
        <w:rPr>
          <w:spacing w:val="-4"/>
        </w:rPr>
        <w:t> </w:t>
      </w:r>
      <w:r>
        <w:rPr/>
        <w:t>a</w:t>
      </w:r>
      <w:r>
        <w:rPr>
          <w:spacing w:val="-5"/>
        </w:rPr>
        <w:t> </w:t>
      </w:r>
      <w:r>
        <w:rPr/>
        <w:t>function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fiber</w:t>
      </w:r>
      <w:r>
        <w:rPr>
          <w:spacing w:val="-3"/>
        </w:rPr>
        <w:t> </w:t>
      </w:r>
      <w:r>
        <w:rPr/>
        <w:t>thickness.</w:t>
      </w:r>
      <w:r>
        <w:rPr>
          <w:spacing w:val="54"/>
        </w:rPr>
        <w:t> </w:t>
      </w:r>
      <w:r>
        <w:rPr/>
        <w:t>Trialed</w:t>
      </w:r>
      <w:r>
        <w:rPr>
          <w:spacing w:val="-4"/>
        </w:rPr>
        <w:t> </w:t>
      </w:r>
      <w:r>
        <w:rPr/>
        <w:t>fabrics</w:t>
      </w:r>
      <w:r>
        <w:rPr>
          <w:spacing w:val="-5"/>
        </w:rPr>
        <w:t> </w:t>
      </w:r>
      <w:r>
        <w:rPr/>
        <w:t>included:</w:t>
      </w:r>
    </w:p>
    <w:p>
      <w:pPr>
        <w:pStyle w:val="BodyText"/>
        <w:spacing w:line="480" w:lineRule="auto"/>
        <w:ind w:left="439" w:right="256"/>
        <w:jc w:val="both"/>
      </w:pPr>
      <w:r>
        <w:rPr/>
        <w:t>(1) a light weight (10 ounces per square yard) plain weave E-glass fabric; (2) a heavy</w:t>
      </w:r>
      <w:r>
        <w:rPr>
          <w:spacing w:val="1"/>
        </w:rPr>
        <w:t> </w:t>
      </w:r>
      <w:r>
        <w:rPr/>
        <w:t>weight (26 ounces per square yard unidirectional fabric); and (3) an 18 ounces per square</w:t>
      </w:r>
      <w:r>
        <w:rPr>
          <w:spacing w:val="1"/>
        </w:rPr>
        <w:t> </w:t>
      </w:r>
      <w:r>
        <w:rPr/>
        <w:t>yard woven roving fiberglass fabric. Samples of each of these fabrics are shown in </w:t>
      </w:r>
      <w:hyperlink w:history="true" w:anchor="_bookmark33">
        <w:r>
          <w:rPr/>
          <w:t>Figure</w:t>
        </w:r>
      </w:hyperlink>
      <w:r>
        <w:rPr>
          <w:spacing w:val="-57"/>
        </w:rPr>
        <w:t> </w:t>
      </w:r>
      <w:hyperlink w:history="true" w:anchor="_bookmark33">
        <w:r>
          <w:rPr/>
          <w:t>4-8</w:t>
        </w:r>
      </w:hyperlink>
      <w:r>
        <w:rPr/>
        <w:t>.</w:t>
      </w:r>
      <w:r>
        <w:rPr>
          <w:spacing w:val="1"/>
        </w:rPr>
        <w:t> </w:t>
      </w:r>
      <w:r>
        <w:rPr/>
        <w:t>The woven roving layup used four plies of the fiberglass fabric.</w:t>
      </w:r>
      <w:r>
        <w:rPr>
          <w:spacing w:val="1"/>
        </w:rPr>
        <w:t> </w:t>
      </w:r>
      <w:r>
        <w:rPr/>
        <w:t>The light and heavy</w:t>
      </w:r>
      <w:r>
        <w:rPr>
          <w:spacing w:val="-58"/>
        </w:rPr>
        <w:t> </w:t>
      </w:r>
      <w:r>
        <w:rPr/>
        <w:t>weight</w:t>
      </w:r>
      <w:r>
        <w:rPr>
          <w:spacing w:val="-8"/>
        </w:rPr>
        <w:t> </w:t>
      </w:r>
      <w:r>
        <w:rPr/>
        <w:t>e-glass</w:t>
      </w:r>
      <w:r>
        <w:rPr>
          <w:spacing w:val="-7"/>
        </w:rPr>
        <w:t> </w:t>
      </w:r>
      <w:r>
        <w:rPr/>
        <w:t>fabrics</w:t>
      </w:r>
      <w:r>
        <w:rPr>
          <w:spacing w:val="-8"/>
        </w:rPr>
        <w:t> </w:t>
      </w:r>
      <w:r>
        <w:rPr/>
        <w:t>layups</w:t>
      </w:r>
      <w:r>
        <w:rPr>
          <w:spacing w:val="-7"/>
        </w:rPr>
        <w:t> </w:t>
      </w:r>
      <w:r>
        <w:rPr/>
        <w:t>used</w:t>
      </w:r>
      <w:r>
        <w:rPr>
          <w:spacing w:val="-7"/>
        </w:rPr>
        <w:t> </w:t>
      </w:r>
      <w:r>
        <w:rPr/>
        <w:t>one</w:t>
      </w:r>
      <w:r>
        <w:rPr>
          <w:spacing w:val="-7"/>
        </w:rPr>
        <w:t> </w:t>
      </w:r>
      <w:r>
        <w:rPr/>
        <w:t>ply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fabric,</w:t>
      </w:r>
      <w:r>
        <w:rPr>
          <w:spacing w:val="-7"/>
        </w:rPr>
        <w:t> </w:t>
      </w:r>
      <w:r>
        <w:rPr/>
        <w:t>which</w:t>
      </w:r>
      <w:r>
        <w:rPr>
          <w:spacing w:val="-7"/>
        </w:rPr>
        <w:t> </w:t>
      </w:r>
      <w:r>
        <w:rPr/>
        <w:t>had</w:t>
      </w:r>
      <w:r>
        <w:rPr>
          <w:spacing w:val="-7"/>
        </w:rPr>
        <w:t> </w:t>
      </w:r>
      <w:r>
        <w:rPr/>
        <w:t>been</w:t>
      </w:r>
      <w:r>
        <w:rPr>
          <w:spacing w:val="-7"/>
        </w:rPr>
        <w:t> </w:t>
      </w:r>
      <w:r>
        <w:rPr/>
        <w:t>saturated</w:t>
      </w:r>
      <w:r>
        <w:rPr>
          <w:spacing w:val="-9"/>
        </w:rPr>
        <w:t> </w:t>
      </w:r>
      <w:r>
        <w:rPr/>
        <w:t>in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epoxy</w:t>
      </w:r>
      <w:r>
        <w:rPr>
          <w:spacing w:val="-58"/>
        </w:rPr>
        <w:t> </w:t>
      </w:r>
      <w:r>
        <w:rPr/>
        <w:t>resin-hardener mixture and then sandwiched between the cross-oriented wood. The epoxy</w:t>
      </w:r>
      <w:r>
        <w:rPr>
          <w:spacing w:val="-57"/>
        </w:rPr>
        <w:t> </w:t>
      </w:r>
      <w:r>
        <w:rPr/>
        <w:t>used for all four specimens was a West System resin and hardening system.</w:t>
      </w:r>
      <w:r>
        <w:rPr>
          <w:spacing w:val="1"/>
        </w:rPr>
        <w:t> </w:t>
      </w:r>
      <w:r>
        <w:rPr/>
        <w:t>It served as</w:t>
      </w:r>
      <w:r>
        <w:rPr>
          <w:spacing w:val="1"/>
        </w:rPr>
        <w:t> </w:t>
      </w:r>
      <w:r>
        <w:rPr/>
        <w:t>the saturating resin for the dry fiber fabrics and as the adhesive.</w:t>
      </w:r>
      <w:r>
        <w:rPr>
          <w:spacing w:val="1"/>
        </w:rPr>
        <w:t> </w:t>
      </w:r>
      <w:r>
        <w:rPr/>
        <w:t>The clamping pressure</w:t>
      </w:r>
      <w:r>
        <w:rPr>
          <w:spacing w:val="1"/>
        </w:rPr>
        <w:t> </w:t>
      </w:r>
      <w:r>
        <w:rPr/>
        <w:t>was greatly reduced from the traditional CLT production methods using polyurethane</w:t>
      </w:r>
      <w:r>
        <w:rPr>
          <w:spacing w:val="1"/>
        </w:rPr>
        <w:t> </w:t>
      </w:r>
      <w:r>
        <w:rPr/>
        <w:t>adhesive</w:t>
      </w:r>
      <w:r>
        <w:rPr>
          <w:spacing w:val="-14"/>
        </w:rPr>
        <w:t> </w:t>
      </w:r>
      <w:r>
        <w:rPr/>
        <w:t>based</w:t>
      </w:r>
      <w:r>
        <w:rPr>
          <w:spacing w:val="-12"/>
        </w:rPr>
        <w:t> </w:t>
      </w:r>
      <w:r>
        <w:rPr/>
        <w:t>on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recommendations</w:t>
      </w:r>
      <w:r>
        <w:rPr>
          <w:spacing w:val="-13"/>
        </w:rPr>
        <w:t> </w:t>
      </w:r>
      <w:r>
        <w:rPr/>
        <w:t>of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epoxy</w:t>
      </w:r>
      <w:r>
        <w:rPr>
          <w:spacing w:val="-13"/>
        </w:rPr>
        <w:t> </w:t>
      </w:r>
      <w:r>
        <w:rPr/>
        <w:t>manufacturer.</w:t>
      </w:r>
      <w:r>
        <w:rPr>
          <w:spacing w:val="34"/>
        </w:rPr>
        <w:t> </w:t>
      </w:r>
      <w:r>
        <w:rPr/>
        <w:t>Additionally,</w:t>
      </w:r>
      <w:r>
        <w:rPr>
          <w:spacing w:val="-13"/>
        </w:rPr>
        <w:t> </w:t>
      </w:r>
      <w:r>
        <w:rPr/>
        <w:t>baseline</w:t>
      </w:r>
      <w:r>
        <w:rPr>
          <w:spacing w:val="-58"/>
        </w:rPr>
        <w:t> </w:t>
      </w:r>
      <w:r>
        <w:rPr/>
        <w:t>traditional</w:t>
      </w:r>
      <w:r>
        <w:rPr>
          <w:spacing w:val="1"/>
        </w:rPr>
        <w:t> </w:t>
      </w:r>
      <w:r>
        <w:rPr/>
        <w:t>CLT</w:t>
      </w:r>
      <w:r>
        <w:rPr>
          <w:spacing w:val="1"/>
        </w:rPr>
        <w:t> </w:t>
      </w:r>
      <w:r>
        <w:rPr/>
        <w:t>specimens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fabricated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epoxy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lieu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polyurethane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comparison</w:t>
      </w:r>
      <w:r>
        <w:rPr>
          <w:spacing w:val="-1"/>
        </w:rPr>
        <w:t> </w:t>
      </w:r>
      <w:r>
        <w:rPr/>
        <w:t>purposes.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/>
        <w:ind w:left="440" w:right="256" w:firstLine="720"/>
        <w:jc w:val="both"/>
      </w:pPr>
      <w:r>
        <w:rPr/>
        <w:t>The</w:t>
      </w:r>
      <w:r>
        <w:rPr>
          <w:spacing w:val="-9"/>
        </w:rPr>
        <w:t> </w:t>
      </w:r>
      <w:r>
        <w:rPr/>
        <w:t>intent</w:t>
      </w:r>
      <w:r>
        <w:rPr>
          <w:spacing w:val="-8"/>
        </w:rPr>
        <w:t> </w:t>
      </w:r>
      <w:r>
        <w:rPr/>
        <w:t>behind</w:t>
      </w:r>
      <w:r>
        <w:rPr>
          <w:spacing w:val="-9"/>
        </w:rPr>
        <w:t> </w:t>
      </w:r>
      <w:r>
        <w:rPr/>
        <w:t>this</w:t>
      </w:r>
      <w:r>
        <w:rPr>
          <w:spacing w:val="-8"/>
        </w:rPr>
        <w:t> </w:t>
      </w:r>
      <w:r>
        <w:rPr/>
        <w:t>series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tests</w:t>
      </w:r>
      <w:r>
        <w:rPr>
          <w:spacing w:val="-11"/>
        </w:rPr>
        <w:t> </w:t>
      </w:r>
      <w:r>
        <w:rPr/>
        <w:t>was</w:t>
      </w:r>
      <w:r>
        <w:rPr>
          <w:spacing w:val="-8"/>
        </w:rPr>
        <w:t> </w:t>
      </w:r>
      <w:r>
        <w:rPr/>
        <w:t>to</w:t>
      </w:r>
      <w:r>
        <w:rPr>
          <w:spacing w:val="-9"/>
        </w:rPr>
        <w:t> </w:t>
      </w:r>
      <w:r>
        <w:rPr/>
        <w:t>compare</w:t>
      </w:r>
      <w:r>
        <w:rPr>
          <w:spacing w:val="-10"/>
        </w:rPr>
        <w:t> </w:t>
      </w:r>
      <w:r>
        <w:rPr/>
        <w:t>the</w:t>
      </w:r>
      <w:r>
        <w:rPr>
          <w:spacing w:val="-8"/>
        </w:rPr>
        <w:t> </w:t>
      </w:r>
      <w:r>
        <w:rPr/>
        <w:t>bond</w:t>
      </w:r>
      <w:r>
        <w:rPr>
          <w:spacing w:val="-10"/>
        </w:rPr>
        <w:t> </w:t>
      </w:r>
      <w:r>
        <w:rPr/>
        <w:t>strengths</w:t>
      </w:r>
      <w:r>
        <w:rPr>
          <w:spacing w:val="-8"/>
        </w:rPr>
        <w:t> </w:t>
      </w:r>
      <w:r>
        <w:rPr/>
        <w:t>of</w:t>
      </w:r>
      <w:r>
        <w:rPr>
          <w:spacing w:val="-11"/>
        </w:rPr>
        <w:t> </w:t>
      </w:r>
      <w:r>
        <w:rPr/>
        <w:t>an</w:t>
      </w:r>
      <w:r>
        <w:rPr>
          <w:spacing w:val="-9"/>
        </w:rPr>
        <w:t> </w:t>
      </w:r>
      <w:r>
        <w:rPr/>
        <w:t>epoxy</w:t>
      </w:r>
      <w:r>
        <w:rPr>
          <w:spacing w:val="-58"/>
        </w:rPr>
        <w:t> </w:t>
      </w:r>
      <w:r>
        <w:rPr/>
        <w:t>adhesive to the polyurethane adhesive as well as the relative bond strength between the</w:t>
      </w:r>
      <w:r>
        <w:rPr>
          <w:spacing w:val="1"/>
        </w:rPr>
        <w:t> </w:t>
      </w:r>
      <w:r>
        <w:rPr/>
        <w:t>wood and non-wood layers.</w:t>
      </w:r>
      <w:r>
        <w:rPr>
          <w:spacing w:val="1"/>
        </w:rPr>
        <w:t> </w:t>
      </w:r>
      <w:r>
        <w:rPr/>
        <w:t>It should be noted that the polyurethane adhesive used for</w:t>
      </w:r>
      <w:r>
        <w:rPr>
          <w:spacing w:val="1"/>
        </w:rPr>
        <w:t> </w:t>
      </w:r>
      <w:r>
        <w:rPr/>
        <w:t>bonding wood to wood is not suitable for bonding wood to fiberglass fabric or wood to</w:t>
      </w:r>
      <w:r>
        <w:rPr>
          <w:spacing w:val="1"/>
        </w:rPr>
        <w:t> </w:t>
      </w:r>
      <w:r>
        <w:rPr/>
        <w:t>steel.</w:t>
      </w:r>
      <w:r>
        <w:rPr>
          <w:spacing w:val="25"/>
        </w:rPr>
        <w:t> </w:t>
      </w:r>
      <w:r>
        <w:rPr/>
        <w:t>The</w:t>
      </w:r>
      <w:r>
        <w:rPr>
          <w:spacing w:val="-10"/>
        </w:rPr>
        <w:t> </w:t>
      </w:r>
      <w:r>
        <w:rPr/>
        <w:t>test</w:t>
      </w:r>
      <w:r>
        <w:rPr>
          <w:spacing w:val="-9"/>
        </w:rPr>
        <w:t> </w:t>
      </w:r>
      <w:r>
        <w:rPr/>
        <w:t>results</w:t>
      </w:r>
      <w:r>
        <w:rPr>
          <w:spacing w:val="-9"/>
        </w:rPr>
        <w:t> </w:t>
      </w:r>
      <w:r>
        <w:rPr/>
        <w:t>from</w:t>
      </w:r>
      <w:r>
        <w:rPr>
          <w:spacing w:val="-12"/>
        </w:rPr>
        <w:t> </w:t>
      </w:r>
      <w:r>
        <w:rPr/>
        <w:t>these</w:t>
      </w:r>
      <w:r>
        <w:rPr>
          <w:spacing w:val="-10"/>
        </w:rPr>
        <w:t> </w:t>
      </w:r>
      <w:r>
        <w:rPr/>
        <w:t>specimens</w:t>
      </w:r>
      <w:r>
        <w:rPr>
          <w:spacing w:val="-9"/>
        </w:rPr>
        <w:t> </w:t>
      </w:r>
      <w:r>
        <w:rPr/>
        <w:t>are</w:t>
      </w:r>
      <w:r>
        <w:rPr>
          <w:spacing w:val="-10"/>
        </w:rPr>
        <w:t> </w:t>
      </w:r>
      <w:r>
        <w:rPr/>
        <w:t>tabulated</w:t>
      </w:r>
      <w:r>
        <w:rPr>
          <w:spacing w:val="-9"/>
        </w:rPr>
        <w:t> </w:t>
      </w:r>
      <w:r>
        <w:rPr/>
        <w:t>in</w:t>
      </w:r>
      <w:r>
        <w:rPr>
          <w:spacing w:val="-10"/>
        </w:rPr>
        <w:t> </w:t>
      </w:r>
      <w:hyperlink w:history="true" w:anchor="_bookmark34">
        <w:r>
          <w:rPr/>
          <w:t>Table</w:t>
        </w:r>
        <w:r>
          <w:rPr>
            <w:spacing w:val="-9"/>
          </w:rPr>
          <w:t> </w:t>
        </w:r>
        <w:r>
          <w:rPr/>
          <w:t>4-3</w:t>
        </w:r>
      </w:hyperlink>
      <w:r>
        <w:rPr/>
        <w:t>.</w:t>
      </w:r>
      <w:r>
        <w:rPr>
          <w:spacing w:val="42"/>
        </w:rPr>
        <w:t> </w:t>
      </w:r>
      <w:r>
        <w:rPr/>
        <w:t>Similar</w:t>
      </w:r>
      <w:r>
        <w:rPr>
          <w:spacing w:val="-9"/>
        </w:rPr>
        <w:t> </w:t>
      </w:r>
      <w:r>
        <w:rPr/>
        <w:t>to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first</w:t>
      </w:r>
      <w:r>
        <w:rPr>
          <w:spacing w:val="-58"/>
        </w:rPr>
        <w:t> </w:t>
      </w:r>
      <w:r>
        <w:rPr/>
        <w:t>test of bonded shear block tests, several of the specimens were set-up with the loaded side</w:t>
      </w:r>
      <w:r>
        <w:rPr>
          <w:spacing w:val="-57"/>
        </w:rPr>
        <w:t> </w:t>
      </w:r>
      <w:r>
        <w:rPr/>
        <w:t>of the specimen aligned with the wood grain perpendicular to the compressive load.</w:t>
      </w:r>
      <w:r>
        <w:rPr>
          <w:spacing w:val="1"/>
        </w:rPr>
        <w:t> </w:t>
      </w:r>
      <w:r>
        <w:rPr/>
        <w:t>This</w:t>
      </w:r>
      <w:r>
        <w:rPr>
          <w:spacing w:val="-57"/>
        </w:rPr>
        <w:t> </w:t>
      </w:r>
      <w:r>
        <w:rPr/>
        <w:t>particular</w:t>
      </w:r>
      <w:r>
        <w:rPr>
          <w:spacing w:val="5"/>
        </w:rPr>
        <w:t> </w:t>
      </w:r>
      <w:r>
        <w:rPr/>
        <w:t>set-up</w:t>
      </w:r>
      <w:r>
        <w:rPr>
          <w:spacing w:val="6"/>
        </w:rPr>
        <w:t> </w:t>
      </w:r>
      <w:r>
        <w:rPr/>
        <w:t>appears</w:t>
      </w:r>
      <w:r>
        <w:rPr>
          <w:spacing w:val="5"/>
        </w:rPr>
        <w:t> </w:t>
      </w:r>
      <w:r>
        <w:rPr/>
        <w:t>to</w:t>
      </w:r>
      <w:r>
        <w:rPr>
          <w:spacing w:val="6"/>
        </w:rPr>
        <w:t> </w:t>
      </w:r>
      <w:r>
        <w:rPr/>
        <w:t>yield</w:t>
      </w:r>
      <w:r>
        <w:rPr>
          <w:spacing w:val="5"/>
        </w:rPr>
        <w:t> </w:t>
      </w:r>
      <w:r>
        <w:rPr/>
        <w:t>smaller</w:t>
      </w:r>
      <w:r>
        <w:rPr>
          <w:spacing w:val="6"/>
        </w:rPr>
        <w:t> </w:t>
      </w:r>
      <w:r>
        <w:rPr/>
        <w:t>values</w:t>
      </w:r>
      <w:r>
        <w:rPr>
          <w:spacing w:val="5"/>
        </w:rPr>
        <w:t> </w:t>
      </w:r>
      <w:r>
        <w:rPr/>
        <w:t>of</w:t>
      </w:r>
      <w:r>
        <w:rPr>
          <w:spacing w:val="5"/>
        </w:rPr>
        <w:t> </w:t>
      </w:r>
      <w:r>
        <w:rPr/>
        <w:t>shear</w:t>
      </w:r>
      <w:r>
        <w:rPr>
          <w:spacing w:val="6"/>
        </w:rPr>
        <w:t> </w:t>
      </w:r>
      <w:r>
        <w:rPr/>
        <w:t>stress</w:t>
      </w:r>
      <w:r>
        <w:rPr>
          <w:spacing w:val="6"/>
        </w:rPr>
        <w:t> </w:t>
      </w:r>
      <w:r>
        <w:rPr/>
        <w:t>and</w:t>
      </w:r>
      <w:r>
        <w:rPr>
          <w:spacing w:val="4"/>
        </w:rPr>
        <w:t> </w:t>
      </w:r>
      <w:r>
        <w:rPr/>
        <w:t>likely</w:t>
      </w:r>
      <w:r>
        <w:rPr>
          <w:spacing w:val="5"/>
        </w:rPr>
        <w:t> </w:t>
      </w:r>
      <w:r>
        <w:rPr/>
        <w:t>indicates</w:t>
      </w:r>
      <w:r>
        <w:rPr>
          <w:spacing w:val="5"/>
        </w:rPr>
        <w:t> </w:t>
      </w:r>
      <w:r>
        <w:rPr/>
        <w:t>a</w:t>
      </w:r>
      <w:r>
        <w:rPr>
          <w:spacing w:val="5"/>
        </w:rPr>
        <w:t> </w:t>
      </w:r>
      <w:r>
        <w:rPr/>
        <w:t>bias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39" w:right="229"/>
      </w:pPr>
      <w:r>
        <w:rPr/>
        <w:t>in</w:t>
      </w:r>
      <w:r>
        <w:rPr>
          <w:spacing w:val="37"/>
        </w:rPr>
        <w:t> </w:t>
      </w:r>
      <w:r>
        <w:rPr/>
        <w:t>the</w:t>
      </w:r>
      <w:r>
        <w:rPr>
          <w:spacing w:val="37"/>
        </w:rPr>
        <w:t> </w:t>
      </w:r>
      <w:r>
        <w:rPr/>
        <w:t>test</w:t>
      </w:r>
      <w:r>
        <w:rPr>
          <w:spacing w:val="37"/>
        </w:rPr>
        <w:t> </w:t>
      </w:r>
      <w:r>
        <w:rPr/>
        <w:t>set-up.</w:t>
      </w:r>
      <w:r>
        <w:rPr>
          <w:spacing w:val="37"/>
        </w:rPr>
        <w:t> </w:t>
      </w:r>
      <w:r>
        <w:rPr/>
        <w:t>Based</w:t>
      </w:r>
      <w:r>
        <w:rPr>
          <w:spacing w:val="38"/>
        </w:rPr>
        <w:t> </w:t>
      </w:r>
      <w:r>
        <w:rPr/>
        <w:t>on</w:t>
      </w:r>
      <w:r>
        <w:rPr>
          <w:spacing w:val="38"/>
        </w:rPr>
        <w:t> </w:t>
      </w:r>
      <w:r>
        <w:rPr/>
        <w:t>this</w:t>
      </w:r>
      <w:r>
        <w:rPr>
          <w:spacing w:val="38"/>
        </w:rPr>
        <w:t> </w:t>
      </w:r>
      <w:r>
        <w:rPr/>
        <w:t>testing,</w:t>
      </w:r>
      <w:r>
        <w:rPr>
          <w:spacing w:val="36"/>
        </w:rPr>
        <w:t> </w:t>
      </w:r>
      <w:r>
        <w:rPr/>
        <w:t>it</w:t>
      </w:r>
      <w:r>
        <w:rPr>
          <w:spacing w:val="37"/>
        </w:rPr>
        <w:t> </w:t>
      </w:r>
      <w:r>
        <w:rPr/>
        <w:t>is</w:t>
      </w:r>
      <w:r>
        <w:rPr>
          <w:spacing w:val="37"/>
        </w:rPr>
        <w:t> </w:t>
      </w:r>
      <w:r>
        <w:rPr/>
        <w:t>recommended</w:t>
      </w:r>
      <w:r>
        <w:rPr>
          <w:spacing w:val="37"/>
        </w:rPr>
        <w:t> </w:t>
      </w:r>
      <w:r>
        <w:rPr/>
        <w:t>that</w:t>
      </w:r>
      <w:r>
        <w:rPr>
          <w:spacing w:val="37"/>
        </w:rPr>
        <w:t> </w:t>
      </w:r>
      <w:r>
        <w:rPr/>
        <w:t>a</w:t>
      </w:r>
      <w:r>
        <w:rPr>
          <w:spacing w:val="38"/>
        </w:rPr>
        <w:t> </w:t>
      </w:r>
      <w:r>
        <w:rPr/>
        <w:t>so-called</w:t>
      </w:r>
      <w:r>
        <w:rPr>
          <w:spacing w:val="38"/>
        </w:rPr>
        <w:t> </w:t>
      </w:r>
      <w:r>
        <w:rPr/>
        <w:t>“parallel”</w:t>
      </w:r>
      <w:r>
        <w:rPr>
          <w:spacing w:val="-57"/>
        </w:rPr>
        <w:t> </w:t>
      </w:r>
      <w:r>
        <w:rPr/>
        <w:t>specimen</w:t>
      </w:r>
      <w:r>
        <w:rPr>
          <w:spacing w:val="-1"/>
        </w:rPr>
        <w:t> </w:t>
      </w:r>
      <w:r>
        <w:rPr/>
        <w:t>be used for all</w:t>
      </w:r>
      <w:r>
        <w:rPr>
          <w:spacing w:val="-1"/>
        </w:rPr>
        <w:t> </w:t>
      </w:r>
      <w:r>
        <w:rPr/>
        <w:t>future testing.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90">
            <wp:simplePos x="0" y="0"/>
            <wp:positionH relativeFrom="page">
              <wp:posOffset>1384061</wp:posOffset>
            </wp:positionH>
            <wp:positionV relativeFrom="paragraph">
              <wp:posOffset>191828</wp:posOffset>
            </wp:positionV>
            <wp:extent cx="1816216" cy="1578864"/>
            <wp:effectExtent l="0" t="0" r="0" b="0"/>
            <wp:wrapTopAndBottom/>
            <wp:docPr id="33" name="image7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76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6216" cy="1578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1">
            <wp:simplePos x="0" y="0"/>
            <wp:positionH relativeFrom="page">
              <wp:posOffset>3382000</wp:posOffset>
            </wp:positionH>
            <wp:positionV relativeFrom="paragraph">
              <wp:posOffset>198267</wp:posOffset>
            </wp:positionV>
            <wp:extent cx="1743452" cy="1572768"/>
            <wp:effectExtent l="0" t="0" r="0" b="0"/>
            <wp:wrapTopAndBottom/>
            <wp:docPr id="35" name="image7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77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3452" cy="1572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2">
            <wp:simplePos x="0" y="0"/>
            <wp:positionH relativeFrom="page">
              <wp:posOffset>5306783</wp:posOffset>
            </wp:positionH>
            <wp:positionV relativeFrom="paragraph">
              <wp:posOffset>198419</wp:posOffset>
            </wp:positionV>
            <wp:extent cx="1540720" cy="1560576"/>
            <wp:effectExtent l="0" t="0" r="0" b="0"/>
            <wp:wrapTopAndBottom/>
            <wp:docPr id="37" name="image7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78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0720" cy="1560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3654" w:val="left" w:leader="none"/>
          <w:tab w:pos="6763" w:val="left" w:leader="none"/>
        </w:tabs>
        <w:spacing w:before="4"/>
        <w:ind w:left="644" w:right="0" w:firstLine="0"/>
        <w:jc w:val="left"/>
        <w:rPr>
          <w:sz w:val="20"/>
        </w:rPr>
      </w:pPr>
      <w:r>
        <w:rPr>
          <w:sz w:val="20"/>
        </w:rPr>
        <w:t>10</w:t>
      </w:r>
      <w:r>
        <w:rPr>
          <w:spacing w:val="-8"/>
          <w:sz w:val="20"/>
        </w:rPr>
        <w:t> </w:t>
      </w:r>
      <w:r>
        <w:rPr>
          <w:sz w:val="20"/>
        </w:rPr>
        <w:t>oz/sq</w:t>
      </w:r>
      <w:r>
        <w:rPr>
          <w:spacing w:val="-8"/>
          <w:sz w:val="20"/>
        </w:rPr>
        <w:t> </w:t>
      </w:r>
      <w:r>
        <w:rPr>
          <w:sz w:val="20"/>
        </w:rPr>
        <w:t>yd</w:t>
      </w:r>
      <w:r>
        <w:rPr>
          <w:spacing w:val="-7"/>
          <w:sz w:val="20"/>
        </w:rPr>
        <w:t> </w:t>
      </w:r>
      <w:r>
        <w:rPr>
          <w:sz w:val="20"/>
        </w:rPr>
        <w:t>Plain</w:t>
      </w:r>
      <w:r>
        <w:rPr>
          <w:spacing w:val="-11"/>
          <w:sz w:val="20"/>
        </w:rPr>
        <w:t> </w:t>
      </w:r>
      <w:r>
        <w:rPr>
          <w:sz w:val="20"/>
        </w:rPr>
        <w:t>Weave</w:t>
      </w:r>
      <w:r>
        <w:rPr>
          <w:spacing w:val="-9"/>
          <w:sz w:val="20"/>
        </w:rPr>
        <w:t> </w:t>
      </w:r>
      <w:r>
        <w:rPr>
          <w:sz w:val="20"/>
        </w:rPr>
        <w:t>fabric</w:t>
        <w:tab/>
        <w:t>26</w:t>
      </w:r>
      <w:r>
        <w:rPr>
          <w:spacing w:val="-7"/>
          <w:sz w:val="20"/>
        </w:rPr>
        <w:t> </w:t>
      </w:r>
      <w:r>
        <w:rPr>
          <w:sz w:val="20"/>
        </w:rPr>
        <w:t>oz/sq</w:t>
      </w:r>
      <w:r>
        <w:rPr>
          <w:spacing w:val="-8"/>
          <w:sz w:val="20"/>
        </w:rPr>
        <w:t> </w:t>
      </w:r>
      <w:r>
        <w:rPr>
          <w:sz w:val="20"/>
        </w:rPr>
        <w:t>yd</w:t>
      </w:r>
      <w:r>
        <w:rPr>
          <w:spacing w:val="-6"/>
          <w:sz w:val="20"/>
        </w:rPr>
        <w:t> </w:t>
      </w:r>
      <w:r>
        <w:rPr>
          <w:sz w:val="20"/>
        </w:rPr>
        <w:t>Unidirectional</w:t>
      </w:r>
      <w:r>
        <w:rPr>
          <w:spacing w:val="-11"/>
          <w:sz w:val="20"/>
        </w:rPr>
        <w:t> </w:t>
      </w:r>
      <w:r>
        <w:rPr>
          <w:sz w:val="20"/>
        </w:rPr>
        <w:t>fabric</w:t>
        <w:tab/>
        <w:t>18</w:t>
      </w:r>
      <w:r>
        <w:rPr>
          <w:spacing w:val="-9"/>
          <w:sz w:val="20"/>
        </w:rPr>
        <w:t> </w:t>
      </w:r>
      <w:r>
        <w:rPr>
          <w:sz w:val="20"/>
        </w:rPr>
        <w:t>oz/sq</w:t>
      </w:r>
      <w:r>
        <w:rPr>
          <w:spacing w:val="-9"/>
          <w:sz w:val="20"/>
        </w:rPr>
        <w:t> </w:t>
      </w:r>
      <w:r>
        <w:rPr>
          <w:sz w:val="20"/>
        </w:rPr>
        <w:t>yd</w:t>
      </w:r>
      <w:r>
        <w:rPr>
          <w:spacing w:val="-11"/>
          <w:sz w:val="20"/>
        </w:rPr>
        <w:t> </w:t>
      </w:r>
      <w:r>
        <w:rPr>
          <w:sz w:val="20"/>
        </w:rPr>
        <w:t>Woven</w:t>
      </w:r>
      <w:r>
        <w:rPr>
          <w:spacing w:val="-12"/>
          <w:sz w:val="20"/>
        </w:rPr>
        <w:t> </w:t>
      </w:r>
      <w:r>
        <w:rPr>
          <w:sz w:val="20"/>
        </w:rPr>
        <w:t>Roving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1"/>
        </w:rPr>
      </w:pPr>
    </w:p>
    <w:p>
      <w:pPr>
        <w:spacing w:before="90"/>
        <w:ind w:left="440" w:right="0" w:firstLine="0"/>
        <w:jc w:val="left"/>
        <w:rPr>
          <w:i/>
          <w:sz w:val="24"/>
        </w:rPr>
      </w:pPr>
      <w:bookmarkStart w:name="_bookmark33" w:id="202"/>
      <w:bookmarkEnd w:id="202"/>
      <w:r>
        <w:rPr/>
      </w:r>
      <w:r>
        <w:rPr>
          <w:i/>
          <w:sz w:val="24"/>
        </w:rPr>
        <w:t>Figure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4-8.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Fabrics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materials trialed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shear block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tests to verify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adhesive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bond strength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between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components.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229"/>
        <w:ind w:left="439" w:right="256" w:firstLine="720"/>
        <w:jc w:val="both"/>
      </w:pPr>
      <w:r>
        <w:rPr/>
        <w:t>The</w:t>
      </w:r>
      <w:r>
        <w:rPr>
          <w:spacing w:val="-8"/>
        </w:rPr>
        <w:t> </w:t>
      </w:r>
      <w:r>
        <w:rPr/>
        <w:t>shear</w:t>
      </w:r>
      <w:r>
        <w:rPr>
          <w:spacing w:val="-7"/>
        </w:rPr>
        <w:t> </w:t>
      </w:r>
      <w:r>
        <w:rPr/>
        <w:t>stresses</w:t>
      </w:r>
      <w:r>
        <w:rPr>
          <w:spacing w:val="-7"/>
        </w:rPr>
        <w:t> </w:t>
      </w:r>
      <w:r>
        <w:rPr/>
        <w:t>observed</w:t>
      </w:r>
      <w:r>
        <w:rPr>
          <w:spacing w:val="-7"/>
        </w:rPr>
        <w:t> </w:t>
      </w:r>
      <w:r>
        <w:rPr/>
        <w:t>in</w:t>
      </w:r>
      <w:r>
        <w:rPr>
          <w:spacing w:val="-7"/>
        </w:rPr>
        <w:t> </w:t>
      </w:r>
      <w:r>
        <w:rPr/>
        <w:t>these</w:t>
      </w:r>
      <w:r>
        <w:rPr>
          <w:spacing w:val="-7"/>
        </w:rPr>
        <w:t> </w:t>
      </w:r>
      <w:r>
        <w:rPr/>
        <w:t>tests</w:t>
      </w:r>
      <w:r>
        <w:rPr>
          <w:spacing w:val="-7"/>
        </w:rPr>
        <w:t> </w:t>
      </w:r>
      <w:r>
        <w:rPr/>
        <w:t>are</w:t>
      </w:r>
      <w:r>
        <w:rPr>
          <w:spacing w:val="-7"/>
        </w:rPr>
        <w:t> </w:t>
      </w:r>
      <w:r>
        <w:rPr/>
        <w:t>generally</w:t>
      </w:r>
      <w:r>
        <w:rPr>
          <w:spacing w:val="-7"/>
        </w:rPr>
        <w:t> </w:t>
      </w:r>
      <w:r>
        <w:rPr/>
        <w:t>lower</w:t>
      </w:r>
      <w:r>
        <w:rPr>
          <w:spacing w:val="-7"/>
        </w:rPr>
        <w:t> </w:t>
      </w:r>
      <w:r>
        <w:rPr/>
        <w:t>than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average</w:t>
      </w:r>
      <w:r>
        <w:rPr>
          <w:spacing w:val="-7"/>
        </w:rPr>
        <w:t> </w:t>
      </w:r>
      <w:r>
        <w:rPr/>
        <w:t>SYP</w:t>
      </w:r>
      <w:r>
        <w:rPr>
          <w:spacing w:val="-58"/>
        </w:rPr>
        <w:t> </w:t>
      </w:r>
      <w:r>
        <w:rPr/>
        <w:t>CLT test results from the all-wood specimens.</w:t>
      </w:r>
      <w:r>
        <w:rPr>
          <w:spacing w:val="1"/>
        </w:rPr>
        <w:t> </w:t>
      </w:r>
      <w:r>
        <w:rPr/>
        <w:t>The fabric-based specimens exhibited</w:t>
      </w:r>
      <w:r>
        <w:rPr>
          <w:spacing w:val="1"/>
        </w:rPr>
        <w:t> </w:t>
      </w:r>
      <w:r>
        <w:rPr/>
        <w:t>predominantly wood failure over adhesive failure while the steel specimens exhibited</w:t>
      </w:r>
      <w:r>
        <w:rPr>
          <w:spacing w:val="1"/>
        </w:rPr>
        <w:t> </w:t>
      </w:r>
      <w:r>
        <w:rPr/>
        <w:t>adhesive</w:t>
      </w:r>
      <w:r>
        <w:rPr>
          <w:spacing w:val="-12"/>
        </w:rPr>
        <w:t> </w:t>
      </w:r>
      <w:r>
        <w:rPr/>
        <w:t>failures.</w:t>
      </w:r>
      <w:r>
        <w:rPr>
          <w:spacing w:val="38"/>
        </w:rPr>
        <w:t> </w:t>
      </w:r>
      <w:hyperlink w:history="true" w:anchor="_bookmark35">
        <w:r>
          <w:rPr/>
          <w:t>Figure</w:t>
        </w:r>
        <w:r>
          <w:rPr>
            <w:spacing w:val="-12"/>
          </w:rPr>
          <w:t> </w:t>
        </w:r>
        <w:r>
          <w:rPr/>
          <w:t>4-9</w:t>
        </w:r>
        <w:r>
          <w:rPr>
            <w:spacing w:val="-11"/>
          </w:rPr>
          <w:t> </w:t>
        </w:r>
      </w:hyperlink>
      <w:r>
        <w:rPr/>
        <w:t>shows</w:t>
      </w:r>
      <w:r>
        <w:rPr>
          <w:spacing w:val="-11"/>
        </w:rPr>
        <w:t> </w:t>
      </w:r>
      <w:r>
        <w:rPr/>
        <w:t>examples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four</w:t>
      </w:r>
      <w:r>
        <w:rPr>
          <w:spacing w:val="-11"/>
        </w:rPr>
        <w:t> </w:t>
      </w:r>
      <w:r>
        <w:rPr/>
        <w:t>types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shear</w:t>
      </w:r>
      <w:r>
        <w:rPr>
          <w:spacing w:val="-11"/>
        </w:rPr>
        <w:t> </w:t>
      </w:r>
      <w:r>
        <w:rPr/>
        <w:t>specimens.</w:t>
      </w:r>
      <w:r>
        <w:rPr>
          <w:spacing w:val="38"/>
        </w:rPr>
        <w:t> </w:t>
      </w:r>
      <w:r>
        <w:rPr/>
        <w:t>A</w:t>
      </w:r>
      <w:r>
        <w:rPr>
          <w:spacing w:val="-11"/>
        </w:rPr>
        <w:t> </w:t>
      </w:r>
      <w:r>
        <w:rPr/>
        <w:t>high</w:t>
      </w:r>
      <w:r>
        <w:rPr>
          <w:spacing w:val="-58"/>
        </w:rPr>
        <w:t> </w:t>
      </w:r>
      <w:r>
        <w:rPr/>
        <w:t>value of shear stress was achieved with the SYP-woven roving specimen type.</w:t>
      </w:r>
      <w:r>
        <w:rPr>
          <w:spacing w:val="1"/>
        </w:rPr>
        <w:t> </w:t>
      </w:r>
      <w:r>
        <w:rPr/>
        <w:t>The other</w:t>
      </w:r>
      <w:r>
        <w:rPr>
          <w:spacing w:val="1"/>
        </w:rPr>
        <w:t> </w:t>
      </w:r>
      <w:r>
        <w:rPr/>
        <w:t>fabric specimen trials may have lower shear strengths due to a smaller volume of epoxy</w:t>
      </w:r>
      <w:r>
        <w:rPr>
          <w:spacing w:val="1"/>
        </w:rPr>
        <w:t> </w:t>
      </w:r>
      <w:r>
        <w:rPr/>
        <w:t>used; these pieces were trial iterations to refine production techniques.</w:t>
      </w:r>
      <w:r>
        <w:rPr>
          <w:spacing w:val="1"/>
        </w:rPr>
        <w:t> </w:t>
      </w:r>
      <w:r>
        <w:rPr/>
        <w:t>The steel also</w:t>
      </w:r>
      <w:r>
        <w:rPr>
          <w:spacing w:val="1"/>
        </w:rPr>
        <w:t> </w:t>
      </w:r>
      <w:r>
        <w:rPr/>
        <w:t>yielded lower bond stresses, which may demonstrate the challenge of bonding these</w:t>
      </w:r>
      <w:r>
        <w:rPr>
          <w:spacing w:val="1"/>
        </w:rPr>
        <w:t> </w:t>
      </w:r>
      <w:r>
        <w:rPr/>
        <w:t>materials</w:t>
      </w:r>
      <w:r>
        <w:rPr>
          <w:spacing w:val="-1"/>
        </w:rPr>
        <w:t> </w:t>
      </w:r>
      <w:r>
        <w:rPr/>
        <w:t>with this method.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spacing w:before="79"/>
        <w:ind w:left="440" w:right="666" w:firstLine="0"/>
        <w:jc w:val="left"/>
        <w:rPr>
          <w:i/>
          <w:sz w:val="24"/>
        </w:rPr>
      </w:pPr>
      <w:bookmarkStart w:name="_bookmark34" w:id="203"/>
      <w:bookmarkEnd w:id="203"/>
      <w:r>
        <w:rPr/>
      </w:r>
      <w:r>
        <w:rPr>
          <w:i/>
          <w:sz w:val="24"/>
        </w:rPr>
        <w:t>Table 4-3. Average shear stresses achieved through shear block testing for epoxy and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non-wood layers.</w:t>
      </w:r>
    </w:p>
    <w:p>
      <w:pPr>
        <w:pStyle w:val="BodyText"/>
        <w:spacing w:before="5" w:after="1"/>
        <w:rPr>
          <w:i/>
          <w:sz w:val="17"/>
        </w:rPr>
      </w:pPr>
    </w:p>
    <w:tbl>
      <w:tblPr>
        <w:tblW w:w="0" w:type="auto"/>
        <w:jc w:val="left"/>
        <w:tblInd w:w="19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45"/>
        <w:gridCol w:w="998"/>
        <w:gridCol w:w="1243"/>
        <w:gridCol w:w="1242"/>
      </w:tblGrid>
      <w:tr>
        <w:trPr>
          <w:trHeight w:val="1199" w:hRule="atLeast"/>
        </w:trPr>
        <w:tc>
          <w:tcPr>
            <w:tcW w:w="2245" w:type="dxa"/>
            <w:shd w:val="clear" w:color="auto" w:fill="C0C0C0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96"/>
              <w:ind w:left="441"/>
              <w:rPr>
                <w:b/>
                <w:sz w:val="22"/>
              </w:rPr>
            </w:pPr>
            <w:r>
              <w:rPr>
                <w:b/>
                <w:sz w:val="22"/>
              </w:rPr>
              <w:t>Specimen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type</w:t>
            </w:r>
          </w:p>
        </w:tc>
        <w:tc>
          <w:tcPr>
            <w:tcW w:w="998" w:type="dxa"/>
            <w:shd w:val="clear" w:color="auto" w:fill="C0C0C0"/>
          </w:tcPr>
          <w:p>
            <w:pPr>
              <w:pStyle w:val="TableParagraph"/>
              <w:spacing w:before="93"/>
              <w:ind w:left="103" w:right="91"/>
              <w:jc w:val="center"/>
              <w:rPr>
                <w:b/>
                <w:sz w:val="22"/>
              </w:rPr>
            </w:pPr>
            <w:r>
              <w:rPr>
                <w:b/>
                <w:spacing w:val="-1"/>
                <w:sz w:val="22"/>
              </w:rPr>
              <w:t>Average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shear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stress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(psi)</w:t>
            </w:r>
          </w:p>
        </w:tc>
        <w:tc>
          <w:tcPr>
            <w:tcW w:w="1243" w:type="dxa"/>
            <w:shd w:val="clear" w:color="auto" w:fill="C0C0C0"/>
          </w:tcPr>
          <w:p>
            <w:pPr>
              <w:pStyle w:val="TableParagraph"/>
              <w:spacing w:before="93"/>
              <w:ind w:left="108" w:right="97"/>
              <w:jc w:val="center"/>
              <w:rPr>
                <w:b/>
                <w:sz w:val="22"/>
              </w:rPr>
            </w:pPr>
            <w:r>
              <w:rPr>
                <w:b/>
                <w:spacing w:val="-1"/>
                <w:sz w:val="22"/>
              </w:rPr>
              <w:t>Coefficient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of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Variation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(COV)</w:t>
            </w:r>
          </w:p>
        </w:tc>
        <w:tc>
          <w:tcPr>
            <w:tcW w:w="1242" w:type="dxa"/>
            <w:shd w:val="clear" w:color="auto" w:fill="C0C0C0"/>
          </w:tcPr>
          <w:p>
            <w:pPr>
              <w:pStyle w:val="TableParagraph"/>
              <w:spacing w:before="1"/>
              <w:rPr>
                <w:i/>
                <w:sz w:val="30"/>
              </w:rPr>
            </w:pPr>
          </w:p>
          <w:p>
            <w:pPr>
              <w:pStyle w:val="TableParagraph"/>
              <w:ind w:left="211" w:right="190" w:firstLine="91"/>
              <w:rPr>
                <w:b/>
                <w:sz w:val="22"/>
              </w:rPr>
            </w:pPr>
            <w:r>
              <w:rPr>
                <w:b/>
                <w:sz w:val="22"/>
              </w:rPr>
              <w:t>N (# of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pacing w:val="-1"/>
                <w:sz w:val="22"/>
              </w:rPr>
              <w:t>samples)</w:t>
            </w:r>
          </w:p>
        </w:tc>
      </w:tr>
      <w:tr>
        <w:trPr>
          <w:trHeight w:val="299" w:hRule="atLeast"/>
        </w:trPr>
        <w:tc>
          <w:tcPr>
            <w:tcW w:w="2245" w:type="dxa"/>
          </w:tcPr>
          <w:p>
            <w:pPr>
              <w:pStyle w:val="TableParagraph"/>
              <w:spacing w:line="233" w:lineRule="exact" w:before="46"/>
              <w:ind w:left="107"/>
              <w:rPr>
                <w:b/>
                <w:sz w:val="22"/>
              </w:rPr>
            </w:pPr>
            <w:r>
              <w:rPr>
                <w:b/>
                <w:sz w:val="22"/>
              </w:rPr>
              <w:t>SYP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-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epoxy</w:t>
            </w:r>
          </w:p>
        </w:tc>
        <w:tc>
          <w:tcPr>
            <w:tcW w:w="998" w:type="dxa"/>
          </w:tcPr>
          <w:p>
            <w:pPr>
              <w:pStyle w:val="TableParagraph"/>
              <w:spacing w:line="233" w:lineRule="exact" w:before="46"/>
              <w:ind w:left="102" w:right="9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423.0</w:t>
            </w:r>
          </w:p>
        </w:tc>
        <w:tc>
          <w:tcPr>
            <w:tcW w:w="1243" w:type="dxa"/>
          </w:tcPr>
          <w:p>
            <w:pPr>
              <w:pStyle w:val="TableParagraph"/>
              <w:spacing w:before="23"/>
              <w:ind w:left="105" w:right="9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42%</w:t>
            </w:r>
          </w:p>
        </w:tc>
        <w:tc>
          <w:tcPr>
            <w:tcW w:w="1242" w:type="dxa"/>
          </w:tcPr>
          <w:p>
            <w:pPr>
              <w:pStyle w:val="TableParagraph"/>
              <w:spacing w:line="233" w:lineRule="exact" w:before="46"/>
              <w:ind w:left="9"/>
              <w:jc w:val="center"/>
              <w:rPr>
                <w:b/>
                <w:sz w:val="22"/>
              </w:rPr>
            </w:pPr>
            <w:r>
              <w:rPr>
                <w:b/>
                <w:w w:val="99"/>
                <w:sz w:val="22"/>
              </w:rPr>
              <w:t>8</w:t>
            </w:r>
          </w:p>
        </w:tc>
      </w:tr>
      <w:tr>
        <w:trPr>
          <w:trHeight w:val="300" w:hRule="atLeast"/>
        </w:trPr>
        <w:tc>
          <w:tcPr>
            <w:tcW w:w="2245" w:type="dxa"/>
          </w:tcPr>
          <w:p>
            <w:pPr>
              <w:pStyle w:val="TableParagraph"/>
              <w:spacing w:line="234" w:lineRule="exact" w:before="46"/>
              <w:ind w:right="95"/>
              <w:jc w:val="right"/>
              <w:rPr>
                <w:sz w:val="22"/>
              </w:rPr>
            </w:pPr>
            <w:r>
              <w:rPr>
                <w:sz w:val="22"/>
              </w:rPr>
              <w:t>perpendicular</w:t>
            </w:r>
          </w:p>
        </w:tc>
        <w:tc>
          <w:tcPr>
            <w:tcW w:w="998" w:type="dxa"/>
          </w:tcPr>
          <w:p>
            <w:pPr>
              <w:pStyle w:val="TableParagraph"/>
              <w:spacing w:line="234" w:lineRule="exact" w:before="46"/>
              <w:ind w:left="102" w:right="91"/>
              <w:jc w:val="center"/>
              <w:rPr>
                <w:sz w:val="22"/>
              </w:rPr>
            </w:pPr>
            <w:r>
              <w:rPr>
                <w:sz w:val="22"/>
              </w:rPr>
              <w:t>277.2</w:t>
            </w:r>
          </w:p>
        </w:tc>
        <w:tc>
          <w:tcPr>
            <w:tcW w:w="1243" w:type="dxa"/>
          </w:tcPr>
          <w:p>
            <w:pPr>
              <w:pStyle w:val="TableParagraph"/>
              <w:spacing w:before="22"/>
              <w:ind w:left="106" w:right="97"/>
              <w:jc w:val="center"/>
              <w:rPr>
                <w:sz w:val="22"/>
              </w:rPr>
            </w:pPr>
            <w:r>
              <w:rPr>
                <w:sz w:val="22"/>
              </w:rPr>
              <w:t>42%</w:t>
            </w:r>
          </w:p>
        </w:tc>
        <w:tc>
          <w:tcPr>
            <w:tcW w:w="1242" w:type="dxa"/>
          </w:tcPr>
          <w:p>
            <w:pPr>
              <w:pStyle w:val="TableParagraph"/>
              <w:spacing w:line="234" w:lineRule="exact" w:before="46"/>
              <w:ind w:left="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4</w:t>
            </w:r>
          </w:p>
        </w:tc>
      </w:tr>
      <w:tr>
        <w:trPr>
          <w:trHeight w:val="299" w:hRule="atLeast"/>
        </w:trPr>
        <w:tc>
          <w:tcPr>
            <w:tcW w:w="2245" w:type="dxa"/>
          </w:tcPr>
          <w:p>
            <w:pPr>
              <w:pStyle w:val="TableParagraph"/>
              <w:spacing w:line="234" w:lineRule="exact" w:before="45"/>
              <w:ind w:right="97"/>
              <w:jc w:val="right"/>
              <w:rPr>
                <w:sz w:val="22"/>
              </w:rPr>
            </w:pPr>
            <w:r>
              <w:rPr>
                <w:sz w:val="22"/>
              </w:rPr>
              <w:t>parallel</w:t>
            </w:r>
          </w:p>
        </w:tc>
        <w:tc>
          <w:tcPr>
            <w:tcW w:w="998" w:type="dxa"/>
          </w:tcPr>
          <w:p>
            <w:pPr>
              <w:pStyle w:val="TableParagraph"/>
              <w:spacing w:line="234" w:lineRule="exact" w:before="45"/>
              <w:ind w:left="102" w:right="91"/>
              <w:jc w:val="center"/>
              <w:rPr>
                <w:sz w:val="22"/>
              </w:rPr>
            </w:pPr>
            <w:r>
              <w:rPr>
                <w:sz w:val="22"/>
              </w:rPr>
              <w:t>568.8</w:t>
            </w:r>
          </w:p>
        </w:tc>
        <w:tc>
          <w:tcPr>
            <w:tcW w:w="1243" w:type="dxa"/>
          </w:tcPr>
          <w:p>
            <w:pPr>
              <w:pStyle w:val="TableParagraph"/>
              <w:spacing w:before="21"/>
              <w:ind w:left="106" w:right="97"/>
              <w:jc w:val="center"/>
              <w:rPr>
                <w:sz w:val="22"/>
              </w:rPr>
            </w:pPr>
            <w:r>
              <w:rPr>
                <w:sz w:val="22"/>
              </w:rPr>
              <w:t>8%</w:t>
            </w:r>
          </w:p>
        </w:tc>
        <w:tc>
          <w:tcPr>
            <w:tcW w:w="1242" w:type="dxa"/>
          </w:tcPr>
          <w:p>
            <w:pPr>
              <w:pStyle w:val="TableParagraph"/>
              <w:spacing w:line="234" w:lineRule="exact" w:before="45"/>
              <w:ind w:left="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4</w:t>
            </w:r>
          </w:p>
        </w:tc>
      </w:tr>
      <w:tr>
        <w:trPr>
          <w:trHeight w:val="299" w:hRule="atLeast"/>
        </w:trPr>
        <w:tc>
          <w:tcPr>
            <w:tcW w:w="2245" w:type="dxa"/>
          </w:tcPr>
          <w:p>
            <w:pPr>
              <w:pStyle w:val="TableParagraph"/>
              <w:spacing w:line="233" w:lineRule="exact" w:before="46"/>
              <w:ind w:left="107"/>
              <w:rPr>
                <w:b/>
                <w:sz w:val="22"/>
              </w:rPr>
            </w:pPr>
            <w:r>
              <w:rPr>
                <w:b/>
                <w:sz w:val="22"/>
              </w:rPr>
              <w:t>SYP-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heavy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fabric</w:t>
            </w:r>
          </w:p>
        </w:tc>
        <w:tc>
          <w:tcPr>
            <w:tcW w:w="998" w:type="dxa"/>
          </w:tcPr>
          <w:p>
            <w:pPr>
              <w:pStyle w:val="TableParagraph"/>
              <w:spacing w:line="233" w:lineRule="exact" w:before="46"/>
              <w:ind w:left="102" w:right="9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688.7</w:t>
            </w:r>
          </w:p>
        </w:tc>
        <w:tc>
          <w:tcPr>
            <w:tcW w:w="1243" w:type="dxa"/>
          </w:tcPr>
          <w:p>
            <w:pPr>
              <w:pStyle w:val="TableParagraph"/>
              <w:spacing w:before="23"/>
              <w:ind w:left="105" w:right="9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50%</w:t>
            </w:r>
          </w:p>
        </w:tc>
        <w:tc>
          <w:tcPr>
            <w:tcW w:w="1242" w:type="dxa"/>
          </w:tcPr>
          <w:p>
            <w:pPr>
              <w:pStyle w:val="TableParagraph"/>
              <w:spacing w:line="233" w:lineRule="exact" w:before="46"/>
              <w:ind w:left="9"/>
              <w:jc w:val="center"/>
              <w:rPr>
                <w:b/>
                <w:sz w:val="22"/>
              </w:rPr>
            </w:pPr>
            <w:r>
              <w:rPr>
                <w:b/>
                <w:w w:val="99"/>
                <w:sz w:val="22"/>
              </w:rPr>
              <w:t>7</w:t>
            </w:r>
          </w:p>
        </w:tc>
      </w:tr>
      <w:tr>
        <w:trPr>
          <w:trHeight w:val="300" w:hRule="atLeast"/>
        </w:trPr>
        <w:tc>
          <w:tcPr>
            <w:tcW w:w="2245" w:type="dxa"/>
          </w:tcPr>
          <w:p>
            <w:pPr>
              <w:pStyle w:val="TableParagraph"/>
              <w:spacing w:line="234" w:lineRule="exact" w:before="46"/>
              <w:ind w:right="95"/>
              <w:jc w:val="right"/>
              <w:rPr>
                <w:sz w:val="22"/>
              </w:rPr>
            </w:pPr>
            <w:r>
              <w:rPr>
                <w:sz w:val="22"/>
              </w:rPr>
              <w:t>perpendicular</w:t>
            </w:r>
          </w:p>
        </w:tc>
        <w:tc>
          <w:tcPr>
            <w:tcW w:w="998" w:type="dxa"/>
          </w:tcPr>
          <w:p>
            <w:pPr>
              <w:pStyle w:val="TableParagraph"/>
              <w:spacing w:line="234" w:lineRule="exact" w:before="46"/>
              <w:ind w:left="102" w:right="91"/>
              <w:jc w:val="center"/>
              <w:rPr>
                <w:sz w:val="22"/>
              </w:rPr>
            </w:pPr>
            <w:r>
              <w:rPr>
                <w:sz w:val="22"/>
              </w:rPr>
              <w:t>440.8</w:t>
            </w:r>
          </w:p>
        </w:tc>
        <w:tc>
          <w:tcPr>
            <w:tcW w:w="1243" w:type="dxa"/>
          </w:tcPr>
          <w:p>
            <w:pPr>
              <w:pStyle w:val="TableParagraph"/>
              <w:spacing w:before="22"/>
              <w:ind w:left="106" w:right="97"/>
              <w:jc w:val="center"/>
              <w:rPr>
                <w:sz w:val="22"/>
              </w:rPr>
            </w:pPr>
            <w:r>
              <w:rPr>
                <w:sz w:val="22"/>
              </w:rPr>
              <w:t>22%</w:t>
            </w:r>
          </w:p>
        </w:tc>
        <w:tc>
          <w:tcPr>
            <w:tcW w:w="1242" w:type="dxa"/>
          </w:tcPr>
          <w:p>
            <w:pPr>
              <w:pStyle w:val="TableParagraph"/>
              <w:spacing w:line="234" w:lineRule="exact" w:before="46"/>
              <w:ind w:left="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4</w:t>
            </w:r>
          </w:p>
        </w:tc>
      </w:tr>
      <w:tr>
        <w:trPr>
          <w:trHeight w:val="299" w:hRule="atLeast"/>
        </w:trPr>
        <w:tc>
          <w:tcPr>
            <w:tcW w:w="2245" w:type="dxa"/>
          </w:tcPr>
          <w:p>
            <w:pPr>
              <w:pStyle w:val="TableParagraph"/>
              <w:spacing w:line="234" w:lineRule="exact" w:before="45"/>
              <w:ind w:right="97"/>
              <w:jc w:val="right"/>
              <w:rPr>
                <w:sz w:val="22"/>
              </w:rPr>
            </w:pPr>
            <w:r>
              <w:rPr>
                <w:sz w:val="22"/>
              </w:rPr>
              <w:t>parallel</w:t>
            </w:r>
          </w:p>
        </w:tc>
        <w:tc>
          <w:tcPr>
            <w:tcW w:w="998" w:type="dxa"/>
          </w:tcPr>
          <w:p>
            <w:pPr>
              <w:pStyle w:val="TableParagraph"/>
              <w:spacing w:line="234" w:lineRule="exact" w:before="45"/>
              <w:ind w:left="102" w:right="91"/>
              <w:jc w:val="center"/>
              <w:rPr>
                <w:sz w:val="22"/>
              </w:rPr>
            </w:pPr>
            <w:r>
              <w:rPr>
                <w:sz w:val="22"/>
              </w:rPr>
              <w:t>1019.2</w:t>
            </w:r>
          </w:p>
        </w:tc>
        <w:tc>
          <w:tcPr>
            <w:tcW w:w="1243" w:type="dxa"/>
          </w:tcPr>
          <w:p>
            <w:pPr>
              <w:pStyle w:val="TableParagraph"/>
              <w:spacing w:before="21"/>
              <w:ind w:left="106" w:right="97"/>
              <w:jc w:val="center"/>
              <w:rPr>
                <w:sz w:val="22"/>
              </w:rPr>
            </w:pPr>
            <w:r>
              <w:rPr>
                <w:sz w:val="22"/>
              </w:rPr>
              <w:t>22%</w:t>
            </w:r>
          </w:p>
        </w:tc>
        <w:tc>
          <w:tcPr>
            <w:tcW w:w="1242" w:type="dxa"/>
          </w:tcPr>
          <w:p>
            <w:pPr>
              <w:pStyle w:val="TableParagraph"/>
              <w:spacing w:line="234" w:lineRule="exact" w:before="45"/>
              <w:ind w:left="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3</w:t>
            </w:r>
          </w:p>
        </w:tc>
      </w:tr>
      <w:tr>
        <w:trPr>
          <w:trHeight w:val="299" w:hRule="atLeast"/>
        </w:trPr>
        <w:tc>
          <w:tcPr>
            <w:tcW w:w="2245" w:type="dxa"/>
          </w:tcPr>
          <w:p>
            <w:pPr>
              <w:pStyle w:val="TableParagraph"/>
              <w:spacing w:line="233" w:lineRule="exact" w:before="46"/>
              <w:ind w:left="107"/>
              <w:rPr>
                <w:b/>
                <w:sz w:val="22"/>
              </w:rPr>
            </w:pPr>
            <w:r>
              <w:rPr>
                <w:b/>
                <w:sz w:val="22"/>
              </w:rPr>
              <w:t>SYP-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light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fabric</w:t>
            </w:r>
          </w:p>
        </w:tc>
        <w:tc>
          <w:tcPr>
            <w:tcW w:w="998" w:type="dxa"/>
          </w:tcPr>
          <w:p>
            <w:pPr>
              <w:pStyle w:val="TableParagraph"/>
              <w:spacing w:line="233" w:lineRule="exact" w:before="46"/>
              <w:ind w:left="102" w:right="9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532.5</w:t>
            </w:r>
          </w:p>
        </w:tc>
        <w:tc>
          <w:tcPr>
            <w:tcW w:w="1243" w:type="dxa"/>
          </w:tcPr>
          <w:p>
            <w:pPr>
              <w:pStyle w:val="TableParagraph"/>
              <w:spacing w:before="23"/>
              <w:ind w:left="105" w:right="9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32%</w:t>
            </w:r>
          </w:p>
        </w:tc>
        <w:tc>
          <w:tcPr>
            <w:tcW w:w="1242" w:type="dxa"/>
          </w:tcPr>
          <w:p>
            <w:pPr>
              <w:pStyle w:val="TableParagraph"/>
              <w:spacing w:line="233" w:lineRule="exact" w:before="46"/>
              <w:ind w:left="9"/>
              <w:jc w:val="center"/>
              <w:rPr>
                <w:b/>
                <w:sz w:val="22"/>
              </w:rPr>
            </w:pPr>
            <w:r>
              <w:rPr>
                <w:b/>
                <w:w w:val="99"/>
                <w:sz w:val="22"/>
              </w:rPr>
              <w:t>7</w:t>
            </w:r>
          </w:p>
        </w:tc>
      </w:tr>
      <w:tr>
        <w:trPr>
          <w:trHeight w:val="300" w:hRule="atLeast"/>
        </w:trPr>
        <w:tc>
          <w:tcPr>
            <w:tcW w:w="2245" w:type="dxa"/>
          </w:tcPr>
          <w:p>
            <w:pPr>
              <w:pStyle w:val="TableParagraph"/>
              <w:spacing w:line="234" w:lineRule="exact" w:before="46"/>
              <w:ind w:right="95"/>
              <w:jc w:val="right"/>
              <w:rPr>
                <w:sz w:val="22"/>
              </w:rPr>
            </w:pPr>
            <w:r>
              <w:rPr>
                <w:sz w:val="22"/>
              </w:rPr>
              <w:t>perpendicular</w:t>
            </w:r>
          </w:p>
        </w:tc>
        <w:tc>
          <w:tcPr>
            <w:tcW w:w="998" w:type="dxa"/>
          </w:tcPr>
          <w:p>
            <w:pPr>
              <w:pStyle w:val="TableParagraph"/>
              <w:spacing w:line="234" w:lineRule="exact" w:before="46"/>
              <w:ind w:left="102" w:right="91"/>
              <w:jc w:val="center"/>
              <w:rPr>
                <w:sz w:val="22"/>
              </w:rPr>
            </w:pPr>
            <w:r>
              <w:rPr>
                <w:sz w:val="22"/>
              </w:rPr>
              <w:t>380.3</w:t>
            </w:r>
          </w:p>
        </w:tc>
        <w:tc>
          <w:tcPr>
            <w:tcW w:w="1243" w:type="dxa"/>
          </w:tcPr>
          <w:p>
            <w:pPr>
              <w:pStyle w:val="TableParagraph"/>
              <w:spacing w:before="22"/>
              <w:ind w:left="106" w:right="97"/>
              <w:jc w:val="center"/>
              <w:rPr>
                <w:sz w:val="22"/>
              </w:rPr>
            </w:pPr>
            <w:r>
              <w:rPr>
                <w:sz w:val="22"/>
              </w:rPr>
              <w:t>22%</w:t>
            </w:r>
          </w:p>
        </w:tc>
        <w:tc>
          <w:tcPr>
            <w:tcW w:w="1242" w:type="dxa"/>
          </w:tcPr>
          <w:p>
            <w:pPr>
              <w:pStyle w:val="TableParagraph"/>
              <w:spacing w:line="234" w:lineRule="exact" w:before="46"/>
              <w:ind w:left="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3</w:t>
            </w:r>
          </w:p>
        </w:tc>
      </w:tr>
      <w:tr>
        <w:trPr>
          <w:trHeight w:val="299" w:hRule="atLeast"/>
        </w:trPr>
        <w:tc>
          <w:tcPr>
            <w:tcW w:w="2245" w:type="dxa"/>
          </w:tcPr>
          <w:p>
            <w:pPr>
              <w:pStyle w:val="TableParagraph"/>
              <w:spacing w:line="234" w:lineRule="exact" w:before="45"/>
              <w:ind w:right="97"/>
              <w:jc w:val="right"/>
              <w:rPr>
                <w:sz w:val="22"/>
              </w:rPr>
            </w:pPr>
            <w:r>
              <w:rPr>
                <w:sz w:val="22"/>
              </w:rPr>
              <w:t>parallel</w:t>
            </w:r>
          </w:p>
        </w:tc>
        <w:tc>
          <w:tcPr>
            <w:tcW w:w="998" w:type="dxa"/>
          </w:tcPr>
          <w:p>
            <w:pPr>
              <w:pStyle w:val="TableParagraph"/>
              <w:spacing w:line="234" w:lineRule="exact" w:before="45"/>
              <w:ind w:left="102" w:right="91"/>
              <w:jc w:val="center"/>
              <w:rPr>
                <w:sz w:val="22"/>
              </w:rPr>
            </w:pPr>
            <w:r>
              <w:rPr>
                <w:sz w:val="22"/>
              </w:rPr>
              <w:t>646.6</w:t>
            </w:r>
          </w:p>
        </w:tc>
        <w:tc>
          <w:tcPr>
            <w:tcW w:w="1243" w:type="dxa"/>
          </w:tcPr>
          <w:p>
            <w:pPr>
              <w:pStyle w:val="TableParagraph"/>
              <w:spacing w:before="21"/>
              <w:ind w:left="106" w:right="97"/>
              <w:jc w:val="center"/>
              <w:rPr>
                <w:sz w:val="22"/>
              </w:rPr>
            </w:pPr>
            <w:r>
              <w:rPr>
                <w:sz w:val="22"/>
              </w:rPr>
              <w:t>16%</w:t>
            </w:r>
          </w:p>
        </w:tc>
        <w:tc>
          <w:tcPr>
            <w:tcW w:w="1242" w:type="dxa"/>
          </w:tcPr>
          <w:p>
            <w:pPr>
              <w:pStyle w:val="TableParagraph"/>
              <w:spacing w:line="234" w:lineRule="exact" w:before="45"/>
              <w:ind w:left="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4</w:t>
            </w:r>
          </w:p>
        </w:tc>
      </w:tr>
      <w:tr>
        <w:trPr>
          <w:trHeight w:val="299" w:hRule="atLeast"/>
        </w:trPr>
        <w:tc>
          <w:tcPr>
            <w:tcW w:w="2245" w:type="dxa"/>
          </w:tcPr>
          <w:p>
            <w:pPr>
              <w:pStyle w:val="TableParagraph"/>
              <w:spacing w:line="233" w:lineRule="exact" w:before="46"/>
              <w:ind w:right="97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SYP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-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stainless</w:t>
            </w:r>
            <w:r>
              <w:rPr>
                <w:b/>
                <w:spacing w:val="-4"/>
                <w:sz w:val="22"/>
              </w:rPr>
              <w:t> </w:t>
            </w:r>
            <w:r>
              <w:rPr>
                <w:b/>
                <w:sz w:val="22"/>
              </w:rPr>
              <w:t>steel</w:t>
            </w:r>
          </w:p>
        </w:tc>
        <w:tc>
          <w:tcPr>
            <w:tcW w:w="998" w:type="dxa"/>
          </w:tcPr>
          <w:p>
            <w:pPr>
              <w:pStyle w:val="TableParagraph"/>
              <w:spacing w:line="233" w:lineRule="exact" w:before="46"/>
              <w:ind w:left="102" w:right="9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500.5</w:t>
            </w:r>
          </w:p>
        </w:tc>
        <w:tc>
          <w:tcPr>
            <w:tcW w:w="1243" w:type="dxa"/>
          </w:tcPr>
          <w:p>
            <w:pPr>
              <w:pStyle w:val="TableParagraph"/>
              <w:spacing w:before="23"/>
              <w:ind w:left="105" w:right="9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44%</w:t>
            </w:r>
          </w:p>
        </w:tc>
        <w:tc>
          <w:tcPr>
            <w:tcW w:w="1242" w:type="dxa"/>
          </w:tcPr>
          <w:p>
            <w:pPr>
              <w:pStyle w:val="TableParagraph"/>
              <w:spacing w:line="233" w:lineRule="exact" w:before="46"/>
              <w:ind w:left="9"/>
              <w:jc w:val="center"/>
              <w:rPr>
                <w:b/>
                <w:sz w:val="22"/>
              </w:rPr>
            </w:pPr>
            <w:r>
              <w:rPr>
                <w:b/>
                <w:w w:val="99"/>
                <w:sz w:val="22"/>
              </w:rPr>
              <w:t>6</w:t>
            </w:r>
          </w:p>
        </w:tc>
      </w:tr>
      <w:tr>
        <w:trPr>
          <w:trHeight w:val="300" w:hRule="atLeast"/>
        </w:trPr>
        <w:tc>
          <w:tcPr>
            <w:tcW w:w="2245" w:type="dxa"/>
          </w:tcPr>
          <w:p>
            <w:pPr>
              <w:pStyle w:val="TableParagraph"/>
              <w:spacing w:line="234" w:lineRule="exact" w:before="46"/>
              <w:ind w:right="95"/>
              <w:jc w:val="right"/>
              <w:rPr>
                <w:sz w:val="22"/>
              </w:rPr>
            </w:pPr>
            <w:r>
              <w:rPr>
                <w:sz w:val="22"/>
              </w:rPr>
              <w:t>perpendicular</w:t>
            </w:r>
          </w:p>
        </w:tc>
        <w:tc>
          <w:tcPr>
            <w:tcW w:w="998" w:type="dxa"/>
          </w:tcPr>
          <w:p>
            <w:pPr>
              <w:pStyle w:val="TableParagraph"/>
              <w:spacing w:line="234" w:lineRule="exact" w:before="46"/>
              <w:ind w:left="102" w:right="91"/>
              <w:jc w:val="center"/>
              <w:rPr>
                <w:sz w:val="22"/>
              </w:rPr>
            </w:pPr>
            <w:r>
              <w:rPr>
                <w:sz w:val="22"/>
              </w:rPr>
              <w:t>148.4</w:t>
            </w:r>
          </w:p>
        </w:tc>
        <w:tc>
          <w:tcPr>
            <w:tcW w:w="1243" w:type="dxa"/>
          </w:tcPr>
          <w:p>
            <w:pPr>
              <w:pStyle w:val="TableParagraph"/>
              <w:spacing w:before="22"/>
              <w:ind w:left="7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-</w:t>
            </w:r>
          </w:p>
        </w:tc>
        <w:tc>
          <w:tcPr>
            <w:tcW w:w="1242" w:type="dxa"/>
          </w:tcPr>
          <w:p>
            <w:pPr>
              <w:pStyle w:val="TableParagraph"/>
              <w:spacing w:line="234" w:lineRule="exact" w:before="46"/>
              <w:ind w:left="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1</w:t>
            </w:r>
          </w:p>
        </w:tc>
      </w:tr>
      <w:tr>
        <w:trPr>
          <w:trHeight w:val="299" w:hRule="atLeast"/>
        </w:trPr>
        <w:tc>
          <w:tcPr>
            <w:tcW w:w="2245" w:type="dxa"/>
          </w:tcPr>
          <w:p>
            <w:pPr>
              <w:pStyle w:val="TableParagraph"/>
              <w:spacing w:line="234" w:lineRule="exact" w:before="45"/>
              <w:ind w:right="97"/>
              <w:jc w:val="right"/>
              <w:rPr>
                <w:sz w:val="22"/>
              </w:rPr>
            </w:pPr>
            <w:r>
              <w:rPr>
                <w:sz w:val="22"/>
              </w:rPr>
              <w:t>parallel</w:t>
            </w:r>
          </w:p>
        </w:tc>
        <w:tc>
          <w:tcPr>
            <w:tcW w:w="998" w:type="dxa"/>
          </w:tcPr>
          <w:p>
            <w:pPr>
              <w:pStyle w:val="TableParagraph"/>
              <w:spacing w:line="234" w:lineRule="exact" w:before="45"/>
              <w:ind w:left="102" w:right="91"/>
              <w:jc w:val="center"/>
              <w:rPr>
                <w:sz w:val="22"/>
              </w:rPr>
            </w:pPr>
            <w:r>
              <w:rPr>
                <w:sz w:val="22"/>
              </w:rPr>
              <w:t>571.0</w:t>
            </w:r>
          </w:p>
        </w:tc>
        <w:tc>
          <w:tcPr>
            <w:tcW w:w="1243" w:type="dxa"/>
          </w:tcPr>
          <w:p>
            <w:pPr>
              <w:pStyle w:val="TableParagraph"/>
              <w:spacing w:before="21"/>
              <w:ind w:left="106" w:right="97"/>
              <w:jc w:val="center"/>
              <w:rPr>
                <w:sz w:val="22"/>
              </w:rPr>
            </w:pPr>
            <w:r>
              <w:rPr>
                <w:sz w:val="22"/>
              </w:rPr>
              <w:t>27%</w:t>
            </w:r>
          </w:p>
        </w:tc>
        <w:tc>
          <w:tcPr>
            <w:tcW w:w="1242" w:type="dxa"/>
          </w:tcPr>
          <w:p>
            <w:pPr>
              <w:pStyle w:val="TableParagraph"/>
              <w:spacing w:line="234" w:lineRule="exact" w:before="45"/>
              <w:ind w:left="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5</w:t>
            </w:r>
          </w:p>
        </w:tc>
      </w:tr>
      <w:tr>
        <w:trPr>
          <w:trHeight w:val="585" w:hRule="atLeast"/>
        </w:trPr>
        <w:tc>
          <w:tcPr>
            <w:tcW w:w="2245" w:type="dxa"/>
          </w:tcPr>
          <w:p>
            <w:pPr>
              <w:pStyle w:val="TableParagraph"/>
              <w:spacing w:line="252" w:lineRule="exact" w:before="79"/>
              <w:ind w:right="96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SYP-</w:t>
            </w:r>
            <w:r>
              <w:rPr>
                <w:b/>
                <w:spacing w:val="-4"/>
                <w:sz w:val="22"/>
              </w:rPr>
              <w:t> </w:t>
            </w:r>
            <w:r>
              <w:rPr>
                <w:b/>
                <w:sz w:val="22"/>
              </w:rPr>
              <w:t>woven</w:t>
            </w:r>
            <w:r>
              <w:rPr>
                <w:b/>
                <w:spacing w:val="-4"/>
                <w:sz w:val="22"/>
              </w:rPr>
              <w:t> </w:t>
            </w:r>
            <w:r>
              <w:rPr>
                <w:b/>
                <w:sz w:val="22"/>
              </w:rPr>
              <w:t>roving</w:t>
            </w:r>
          </w:p>
          <w:p>
            <w:pPr>
              <w:pStyle w:val="TableParagraph"/>
              <w:spacing w:line="234" w:lineRule="exact"/>
              <w:ind w:right="96"/>
              <w:jc w:val="right"/>
              <w:rPr>
                <w:sz w:val="22"/>
              </w:rPr>
            </w:pPr>
            <w:r>
              <w:rPr>
                <w:sz w:val="22"/>
              </w:rPr>
              <w:t>(all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parallel)</w:t>
            </w:r>
          </w:p>
        </w:tc>
        <w:tc>
          <w:tcPr>
            <w:tcW w:w="998" w:type="dxa"/>
          </w:tcPr>
          <w:p>
            <w:pPr>
              <w:pStyle w:val="TableParagraph"/>
              <w:spacing w:before="165"/>
              <w:ind w:left="102" w:right="9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1329.7</w:t>
            </w:r>
          </w:p>
        </w:tc>
        <w:tc>
          <w:tcPr>
            <w:tcW w:w="1243" w:type="dxa"/>
          </w:tcPr>
          <w:p>
            <w:pPr>
              <w:pStyle w:val="TableParagraph"/>
              <w:spacing w:before="165"/>
              <w:ind w:left="105" w:right="9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18%</w:t>
            </w:r>
          </w:p>
        </w:tc>
        <w:tc>
          <w:tcPr>
            <w:tcW w:w="1242" w:type="dxa"/>
          </w:tcPr>
          <w:p>
            <w:pPr>
              <w:pStyle w:val="TableParagraph"/>
              <w:spacing w:before="165"/>
              <w:ind w:left="100" w:right="9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10</w:t>
            </w:r>
          </w:p>
        </w:tc>
      </w:tr>
    </w:tbl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2"/>
        <w:rPr>
          <w:i/>
          <w:sz w:val="16"/>
        </w:rPr>
      </w:pPr>
      <w:r>
        <w:rPr/>
        <w:drawing>
          <wp:anchor distT="0" distB="0" distL="0" distR="0" allowOverlap="1" layoutInCell="1" locked="0" behindDoc="0" simplePos="0" relativeHeight="93">
            <wp:simplePos x="0" y="0"/>
            <wp:positionH relativeFrom="page">
              <wp:posOffset>2085975</wp:posOffset>
            </wp:positionH>
            <wp:positionV relativeFrom="paragraph">
              <wp:posOffset>143425</wp:posOffset>
            </wp:positionV>
            <wp:extent cx="4092645" cy="3218688"/>
            <wp:effectExtent l="0" t="0" r="0" b="0"/>
            <wp:wrapTopAndBottom/>
            <wp:docPr id="39" name="image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79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2645" cy="3218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03"/>
        <w:ind w:left="900" w:right="242" w:hanging="461"/>
        <w:jc w:val="left"/>
        <w:rPr>
          <w:i/>
          <w:sz w:val="24"/>
        </w:rPr>
      </w:pPr>
      <w:bookmarkStart w:name="_bookmark35" w:id="204"/>
      <w:bookmarkEnd w:id="204"/>
      <w:r>
        <w:rPr/>
      </w:r>
      <w:r>
        <w:rPr>
          <w:i/>
          <w:sz w:val="24"/>
        </w:rPr>
        <w:t>Figure 4-9. Shear block testing of enhanced specimens, (upper left) Unidirectional fabric,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(upper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right)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Plain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Weave fabric,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(lower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left)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Woven Roving,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(lower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right)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steel.</w:t>
      </w:r>
    </w:p>
    <w:p>
      <w:pPr>
        <w:spacing w:after="0"/>
        <w:jc w:val="left"/>
        <w:rPr>
          <w:sz w:val="24"/>
        </w:rPr>
        <w:sectPr>
          <w:pgSz w:w="12240" w:h="15840"/>
          <w:pgMar w:header="0" w:footer="1064" w:top="1360" w:bottom="1260" w:left="1720" w:right="1180"/>
        </w:sectPr>
      </w:pPr>
    </w:p>
    <w:p>
      <w:pPr>
        <w:pStyle w:val="Heading9"/>
        <w:numPr>
          <w:ilvl w:val="1"/>
          <w:numId w:val="19"/>
        </w:numPr>
        <w:tabs>
          <w:tab w:pos="800" w:val="left" w:leader="none"/>
        </w:tabs>
        <w:spacing w:line="240" w:lineRule="auto" w:before="61" w:after="0"/>
        <w:ind w:left="800" w:right="0" w:hanging="360"/>
        <w:jc w:val="left"/>
      </w:pPr>
      <w:bookmarkStart w:name="_TOC_250042" w:id="205"/>
      <w:r>
        <w:rPr/>
        <w:t>Wood</w:t>
      </w:r>
      <w:r>
        <w:rPr>
          <w:spacing w:val="-2"/>
        </w:rPr>
        <w:t> </w:t>
      </w:r>
      <w:bookmarkEnd w:id="205"/>
      <w:r>
        <w:rPr/>
        <w:t>Hardness</w:t>
      </w:r>
    </w:p>
    <w:p>
      <w:pPr>
        <w:pStyle w:val="BodyText"/>
        <w:spacing w:line="480" w:lineRule="auto" w:before="179"/>
        <w:ind w:left="440" w:right="274" w:firstLine="720"/>
      </w:pPr>
      <w:r>
        <w:rPr/>
        <w:t>Wood hardness is an important material property in predicting the ballistic</w:t>
      </w:r>
      <w:r>
        <w:rPr>
          <w:spacing w:val="1"/>
        </w:rPr>
        <w:t> </w:t>
      </w:r>
      <w:r>
        <w:rPr/>
        <w:t>response of CLT.</w:t>
      </w:r>
      <w:r>
        <w:rPr>
          <w:spacing w:val="1"/>
        </w:rPr>
        <w:t> </w:t>
      </w:r>
      <w:r>
        <w:rPr/>
        <w:t>The variable is used in the existing UFC guidelines for calculating the</w:t>
      </w:r>
      <w:r>
        <w:rPr>
          <w:spacing w:val="-57"/>
        </w:rPr>
        <w:t> </w:t>
      </w:r>
      <w:r>
        <w:rPr/>
        <w:t>thickness of wood required to prevent perforation during a ballistic impact, discussed</w:t>
      </w:r>
      <w:r>
        <w:rPr>
          <w:spacing w:val="1"/>
        </w:rPr>
        <w:t> </w:t>
      </w:r>
      <w:r>
        <w:rPr/>
        <w:t>more in Chapter 5.</w:t>
      </w:r>
      <w:r>
        <w:rPr>
          <w:spacing w:val="1"/>
        </w:rPr>
        <w:t> </w:t>
      </w:r>
      <w:r>
        <w:rPr/>
        <w:t>The design guide provides a handful of reference values for general</w:t>
      </w:r>
      <w:r>
        <w:rPr>
          <w:spacing w:val="1"/>
        </w:rPr>
        <w:t> </w:t>
      </w:r>
      <w:r>
        <w:rPr/>
        <w:t>use in the equation.  These given values do not</w:t>
      </w:r>
      <w:r>
        <w:rPr>
          <w:spacing w:val="1"/>
        </w:rPr>
        <w:t> </w:t>
      </w:r>
      <w:r>
        <w:rPr/>
        <w:t>correspond with commonly accepted</w:t>
      </w:r>
      <w:r>
        <w:rPr>
          <w:spacing w:val="1"/>
        </w:rPr>
        <w:t> </w:t>
      </w:r>
      <w:r>
        <w:rPr/>
        <w:t>wood hardness values from the U.S. Forest Service Wood Handbook, indicating that the</w:t>
      </w:r>
      <w:r>
        <w:rPr>
          <w:spacing w:val="1"/>
        </w:rPr>
        <w:t> </w:t>
      </w:r>
      <w:r>
        <w:rPr/>
        <w:t>UFC</w:t>
      </w:r>
      <w:r>
        <w:rPr>
          <w:spacing w:val="1"/>
        </w:rPr>
        <w:t> </w:t>
      </w:r>
      <w:r>
        <w:rPr/>
        <w:t>may use a different hardness scale, although the actual scale used is not specified.</w:t>
      </w:r>
      <w:r>
        <w:rPr>
          <w:spacing w:val="1"/>
        </w:rPr>
        <w:t> </w:t>
      </w:r>
      <w:r>
        <w:rPr/>
        <w:t>The inclusion of the characteristic in the calculation indicates that the ballistic penetration</w:t>
      </w:r>
      <w:r>
        <w:rPr>
          <w:spacing w:val="-58"/>
        </w:rPr>
        <w:t> </w:t>
      </w:r>
      <w:r>
        <w:rPr/>
        <w:t>of</w:t>
      </w:r>
      <w:r>
        <w:rPr>
          <w:spacing w:val="-2"/>
        </w:rPr>
        <w:t> </w:t>
      </w:r>
      <w:r>
        <w:rPr/>
        <w:t>wood is, at a minimum, empirically related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/>
        <w:t>hardness.</w:t>
      </w:r>
    </w:p>
    <w:p>
      <w:pPr>
        <w:numPr>
          <w:ilvl w:val="2"/>
          <w:numId w:val="19"/>
        </w:numPr>
        <w:tabs>
          <w:tab w:pos="980" w:val="left" w:leader="none"/>
        </w:tabs>
        <w:spacing w:before="162"/>
        <w:ind w:left="980" w:right="0" w:hanging="540"/>
        <w:jc w:val="left"/>
        <w:rPr>
          <w:b/>
          <w:i/>
          <w:sz w:val="24"/>
        </w:rPr>
      </w:pPr>
      <w:bookmarkStart w:name="_TOC_250041" w:id="206"/>
      <w:bookmarkStart w:name="4.4.1 Hardness, the material property" w:id="207"/>
      <w:r>
        <w:rPr/>
      </w:r>
      <w:bookmarkEnd w:id="207"/>
      <w:bookmarkStart w:name="4.4.1 Hardness, the material property" w:id="208"/>
      <w:r>
        <w:rPr>
          <w:b/>
          <w:i/>
          <w:sz w:val="24"/>
        </w:rPr>
        <w:t>H</w:t>
      </w:r>
      <w:r>
        <w:rPr>
          <w:b/>
          <w:i/>
          <w:sz w:val="24"/>
        </w:rPr>
        <w:t>ardness,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the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material</w:t>
      </w:r>
      <w:r>
        <w:rPr>
          <w:b/>
          <w:i/>
          <w:spacing w:val="-3"/>
          <w:sz w:val="24"/>
        </w:rPr>
        <w:t> </w:t>
      </w:r>
      <w:bookmarkEnd w:id="206"/>
      <w:r>
        <w:rPr>
          <w:b/>
          <w:i/>
          <w:sz w:val="24"/>
        </w:rPr>
        <w:t>property</w:t>
      </w:r>
    </w:p>
    <w:p>
      <w:pPr>
        <w:pStyle w:val="BodyText"/>
        <w:spacing w:before="7"/>
        <w:rPr>
          <w:b/>
          <w:i/>
          <w:sz w:val="22"/>
        </w:rPr>
      </w:pPr>
    </w:p>
    <w:p>
      <w:pPr>
        <w:pStyle w:val="BodyText"/>
        <w:spacing w:line="480" w:lineRule="auto"/>
        <w:ind w:left="440" w:right="257" w:firstLine="720"/>
        <w:jc w:val="both"/>
      </w:pPr>
      <w:r>
        <w:rPr/>
        <w:t>In</w:t>
      </w:r>
      <w:r>
        <w:rPr>
          <w:spacing w:val="-7"/>
        </w:rPr>
        <w:t> </w:t>
      </w:r>
      <w:r>
        <w:rPr/>
        <w:t>this</w:t>
      </w:r>
      <w:r>
        <w:rPr>
          <w:spacing w:val="-8"/>
        </w:rPr>
        <w:t> </w:t>
      </w:r>
      <w:r>
        <w:rPr/>
        <w:t>context,</w:t>
      </w:r>
      <w:r>
        <w:rPr>
          <w:spacing w:val="-7"/>
        </w:rPr>
        <w:t> </w:t>
      </w:r>
      <w:r>
        <w:rPr/>
        <w:t>wood</w:t>
      </w:r>
      <w:r>
        <w:rPr>
          <w:spacing w:val="-7"/>
        </w:rPr>
        <w:t> </w:t>
      </w:r>
      <w:r>
        <w:rPr/>
        <w:t>hardness</w:t>
      </w:r>
      <w:r>
        <w:rPr>
          <w:spacing w:val="-7"/>
        </w:rPr>
        <w:t> </w:t>
      </w:r>
      <w:r>
        <w:rPr/>
        <w:t>is</w:t>
      </w:r>
      <w:r>
        <w:rPr>
          <w:spacing w:val="-7"/>
        </w:rPr>
        <w:t> </w:t>
      </w:r>
      <w:r>
        <w:rPr/>
        <w:t>not</w:t>
      </w:r>
      <w:r>
        <w:rPr>
          <w:spacing w:val="-8"/>
        </w:rPr>
        <w:t> </w:t>
      </w:r>
      <w:r>
        <w:rPr/>
        <w:t>a</w:t>
      </w:r>
      <w:r>
        <w:rPr>
          <w:spacing w:val="-7"/>
        </w:rPr>
        <w:t> </w:t>
      </w:r>
      <w:r>
        <w:rPr/>
        <w:t>reference</w:t>
      </w:r>
      <w:r>
        <w:rPr>
          <w:spacing w:val="-7"/>
        </w:rPr>
        <w:t> </w:t>
      </w:r>
      <w:r>
        <w:rPr/>
        <w:t>to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classification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a</w:t>
      </w:r>
      <w:r>
        <w:rPr>
          <w:spacing w:val="-7"/>
        </w:rPr>
        <w:t> </w:t>
      </w:r>
      <w:r>
        <w:rPr/>
        <w:t>hardwood</w:t>
      </w:r>
      <w:r>
        <w:rPr>
          <w:spacing w:val="-58"/>
        </w:rPr>
        <w:t> </w:t>
      </w:r>
      <w:r>
        <w:rPr/>
        <w:t>or softwood tree.</w:t>
      </w:r>
      <w:r>
        <w:rPr>
          <w:spacing w:val="1"/>
        </w:rPr>
        <w:t> </w:t>
      </w:r>
      <w:r>
        <w:rPr/>
        <w:t>Rather, hardness is a physical property indicative of a material’s</w:t>
      </w:r>
      <w:r>
        <w:rPr>
          <w:spacing w:val="1"/>
        </w:rPr>
        <w:t> </w:t>
      </w:r>
      <w:r>
        <w:rPr/>
        <w:t>resistance to local deformation or penetration, typically measured by indentation, that is</w:t>
      </w:r>
      <w:r>
        <w:rPr>
          <w:spacing w:val="1"/>
        </w:rPr>
        <w:t> </w:t>
      </w:r>
      <w:r>
        <w:rPr/>
        <w:t>caused by the application of loading over a relatively small area.</w:t>
      </w:r>
      <w:r>
        <w:rPr>
          <w:spacing w:val="1"/>
        </w:rPr>
        <w:t> </w:t>
      </w:r>
      <w:r>
        <w:rPr/>
        <w:t>Wood hardness can be</w:t>
      </w:r>
      <w:r>
        <w:rPr>
          <w:spacing w:val="1"/>
        </w:rPr>
        <w:t> </w:t>
      </w:r>
      <w:r>
        <w:rPr/>
        <w:t>defined as the resistance to indentation by a harder material.</w:t>
      </w:r>
      <w:r>
        <w:rPr>
          <w:spacing w:val="1"/>
        </w:rPr>
        <w:t> </w:t>
      </w:r>
      <w:r>
        <w:rPr/>
        <w:t>Hardness is commonly</w:t>
      </w:r>
      <w:r>
        <w:rPr>
          <w:spacing w:val="1"/>
        </w:rPr>
        <w:t> </w:t>
      </w:r>
      <w:r>
        <w:rPr/>
        <w:t>associated with wood flooring as it is an important property for consideration as durable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resilient</w:t>
      </w:r>
      <w:r>
        <w:rPr>
          <w:spacing w:val="-1"/>
        </w:rPr>
        <w:t> </w:t>
      </w:r>
      <w:r>
        <w:rPr/>
        <w:t>wood products</w:t>
      </w:r>
      <w:r>
        <w:rPr>
          <w:spacing w:val="-1"/>
        </w:rPr>
        <w:t> </w:t>
      </w:r>
      <w:r>
        <w:rPr/>
        <w:t>are desirable characteristics</w:t>
      </w:r>
      <w:r>
        <w:rPr>
          <w:spacing w:val="-1"/>
        </w:rPr>
        <w:t> </w:t>
      </w:r>
      <w:r>
        <w:rPr/>
        <w:t>for flooring.</w:t>
      </w:r>
    </w:p>
    <w:p>
      <w:pPr>
        <w:pStyle w:val="BodyText"/>
        <w:spacing w:line="480" w:lineRule="auto" w:before="160"/>
        <w:ind w:left="440" w:right="257" w:firstLine="720"/>
        <w:jc w:val="both"/>
      </w:pPr>
      <w:r>
        <w:rPr>
          <w:spacing w:val="-1"/>
        </w:rPr>
        <w:t>Metals,</w:t>
      </w:r>
      <w:r>
        <w:rPr>
          <w:spacing w:val="-14"/>
        </w:rPr>
        <w:t> </w:t>
      </w:r>
      <w:r>
        <w:rPr>
          <w:spacing w:val="-1"/>
        </w:rPr>
        <w:t>plastics,</w:t>
      </w:r>
      <w:r>
        <w:rPr>
          <w:spacing w:val="-14"/>
        </w:rPr>
        <w:t> </w:t>
      </w:r>
      <w:r>
        <w:rPr/>
        <w:t>and</w:t>
      </w:r>
      <w:r>
        <w:rPr>
          <w:spacing w:val="-15"/>
        </w:rPr>
        <w:t> </w:t>
      </w:r>
      <w:r>
        <w:rPr/>
        <w:t>rubbers</w:t>
      </w:r>
      <w:r>
        <w:rPr>
          <w:spacing w:val="-13"/>
        </w:rPr>
        <w:t> </w:t>
      </w:r>
      <w:r>
        <w:rPr/>
        <w:t>are</w:t>
      </w:r>
      <w:r>
        <w:rPr>
          <w:spacing w:val="-13"/>
        </w:rPr>
        <w:t> </w:t>
      </w:r>
      <w:r>
        <w:rPr/>
        <w:t>often</w:t>
      </w:r>
      <w:r>
        <w:rPr>
          <w:spacing w:val="-15"/>
        </w:rPr>
        <w:t> </w:t>
      </w:r>
      <w:r>
        <w:rPr/>
        <w:t>also</w:t>
      </w:r>
      <w:r>
        <w:rPr>
          <w:spacing w:val="-15"/>
        </w:rPr>
        <w:t> </w:t>
      </w:r>
      <w:r>
        <w:rPr/>
        <w:t>rated</w:t>
      </w:r>
      <w:r>
        <w:rPr>
          <w:spacing w:val="-14"/>
        </w:rPr>
        <w:t> </w:t>
      </w:r>
      <w:r>
        <w:rPr/>
        <w:t>in</w:t>
      </w:r>
      <w:r>
        <w:rPr>
          <w:spacing w:val="-16"/>
        </w:rPr>
        <w:t> </w:t>
      </w:r>
      <w:r>
        <w:rPr/>
        <w:t>terms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hardness,</w:t>
      </w:r>
      <w:r>
        <w:rPr>
          <w:spacing w:val="-13"/>
        </w:rPr>
        <w:t> </w:t>
      </w:r>
      <w:r>
        <w:rPr/>
        <w:t>and</w:t>
      </w:r>
      <w:r>
        <w:rPr>
          <w:spacing w:val="-15"/>
        </w:rPr>
        <w:t> </w:t>
      </w:r>
      <w:r>
        <w:rPr/>
        <w:t>so</w:t>
      </w:r>
      <w:r>
        <w:rPr>
          <w:spacing w:val="-14"/>
        </w:rPr>
        <w:t> </w:t>
      </w:r>
      <w:r>
        <w:rPr/>
        <w:t>several</w:t>
      </w:r>
      <w:r>
        <w:rPr>
          <w:spacing w:val="-58"/>
        </w:rPr>
        <w:t> </w:t>
      </w:r>
      <w:r>
        <w:rPr/>
        <w:t>different scales of hardness exist.</w:t>
      </w:r>
      <w:r>
        <w:rPr>
          <w:spacing w:val="1"/>
        </w:rPr>
        <w:t> </w:t>
      </w:r>
      <w:r>
        <w:rPr/>
        <w:t>A few common scales and test methods for hardness</w:t>
      </w:r>
      <w:r>
        <w:rPr>
          <w:spacing w:val="1"/>
        </w:rPr>
        <w:t> </w:t>
      </w:r>
      <w:r>
        <w:rPr/>
        <w:t>include</w:t>
      </w:r>
      <w:r>
        <w:rPr>
          <w:spacing w:val="-14"/>
        </w:rPr>
        <w:t> </w:t>
      </w:r>
      <w:r>
        <w:rPr/>
        <w:t>Rockwell,</w:t>
      </w:r>
      <w:r>
        <w:rPr>
          <w:spacing w:val="-15"/>
        </w:rPr>
        <w:t> </w:t>
      </w:r>
      <w:r>
        <w:rPr/>
        <w:t>Vickers,</w:t>
      </w:r>
      <w:r>
        <w:rPr>
          <w:spacing w:val="-15"/>
        </w:rPr>
        <w:t> </w:t>
      </w:r>
      <w:r>
        <w:rPr/>
        <w:t>Brinell</w:t>
      </w:r>
      <w:r>
        <w:rPr>
          <w:spacing w:val="-14"/>
        </w:rPr>
        <w:t> </w:t>
      </w:r>
      <w:r>
        <w:rPr/>
        <w:t>and</w:t>
      </w:r>
      <w:r>
        <w:rPr>
          <w:spacing w:val="-15"/>
        </w:rPr>
        <w:t> </w:t>
      </w:r>
      <w:r>
        <w:rPr/>
        <w:t>Knoop.</w:t>
      </w:r>
      <w:r>
        <w:rPr>
          <w:spacing w:val="32"/>
        </w:rPr>
        <w:t> </w:t>
      </w:r>
      <w:r>
        <w:rPr/>
        <w:t>The</w:t>
      </w:r>
      <w:r>
        <w:rPr>
          <w:spacing w:val="-14"/>
        </w:rPr>
        <w:t> </w:t>
      </w:r>
      <w:r>
        <w:rPr/>
        <w:t>general</w:t>
      </w:r>
      <w:r>
        <w:rPr>
          <w:spacing w:val="-14"/>
        </w:rPr>
        <w:t> </w:t>
      </w:r>
      <w:r>
        <w:rPr/>
        <w:t>process</w:t>
      </w:r>
      <w:r>
        <w:rPr>
          <w:spacing w:val="-14"/>
        </w:rPr>
        <w:t> </w:t>
      </w:r>
      <w:r>
        <w:rPr/>
        <w:t>for</w:t>
      </w:r>
      <w:r>
        <w:rPr>
          <w:spacing w:val="-14"/>
        </w:rPr>
        <w:t> </w:t>
      </w:r>
      <w:r>
        <w:rPr/>
        <w:t>testing</w:t>
      </w:r>
      <w:r>
        <w:rPr>
          <w:spacing w:val="-15"/>
        </w:rPr>
        <w:t> </w:t>
      </w:r>
      <w:r>
        <w:rPr/>
        <w:t>uses</w:t>
      </w:r>
      <w:r>
        <w:rPr>
          <w:spacing w:val="-14"/>
        </w:rPr>
        <w:t> </w:t>
      </w:r>
      <w:r>
        <w:rPr/>
        <w:t>a</w:t>
      </w:r>
      <w:r>
        <w:rPr>
          <w:spacing w:val="-14"/>
        </w:rPr>
        <w:t> </w:t>
      </w:r>
      <w:r>
        <w:rPr/>
        <w:t>small</w:t>
      </w:r>
      <w:r>
        <w:rPr>
          <w:spacing w:val="-58"/>
        </w:rPr>
        <w:t> </w:t>
      </w:r>
      <w:r>
        <w:rPr/>
        <w:t>indenter, sometimes spherical in shape, which is pressed into the specimen to a specified</w:t>
      </w:r>
      <w:r>
        <w:rPr>
          <w:spacing w:val="1"/>
        </w:rPr>
        <w:t> </w:t>
      </w:r>
      <w:r>
        <w:rPr/>
        <w:t>load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indentation.</w:t>
      </w:r>
      <w:r>
        <w:rPr>
          <w:spacing w:val="3"/>
        </w:rPr>
        <w:t> </w:t>
      </w:r>
      <w:r>
        <w:rPr/>
        <w:t>The hardness</w:t>
      </w:r>
      <w:r>
        <w:rPr>
          <w:spacing w:val="1"/>
        </w:rPr>
        <w:t> </w:t>
      </w:r>
      <w:r>
        <w:rPr/>
        <w:t>value is</w:t>
      </w:r>
      <w:r>
        <w:rPr>
          <w:spacing w:val="1"/>
        </w:rPr>
        <w:t> </w:t>
      </w:r>
      <w:r>
        <w:rPr/>
        <w:t>often</w:t>
      </w:r>
      <w:r>
        <w:rPr>
          <w:spacing w:val="-1"/>
        </w:rPr>
        <w:t> </w:t>
      </w:r>
      <w:r>
        <w:rPr/>
        <w:t>based</w:t>
      </w:r>
      <w:r>
        <w:rPr>
          <w:spacing w:val="2"/>
        </w:rPr>
        <w:t> </w:t>
      </w:r>
      <w:r>
        <w:rPr/>
        <w:t>on the measured</w:t>
      </w:r>
      <w:r>
        <w:rPr>
          <w:spacing w:val="1"/>
        </w:rPr>
        <w:t> </w:t>
      </w:r>
      <w:r>
        <w:rPr/>
        <w:t>applied load,</w:t>
      </w:r>
      <w:r>
        <w:rPr>
          <w:spacing w:val="-1"/>
        </w:rPr>
        <w:t> </w:t>
      </w:r>
      <w:r>
        <w:rPr/>
        <w:t>or</w:t>
      </w:r>
      <w:r>
        <w:rPr>
          <w:spacing w:val="1"/>
        </w:rPr>
        <w:t> </w:t>
      </w:r>
      <w:r>
        <w:rPr/>
        <w:t>it</w:t>
      </w:r>
    </w:p>
    <w:p>
      <w:pPr>
        <w:spacing w:after="0" w:line="480" w:lineRule="auto"/>
        <w:jc w:val="both"/>
        <w:sectPr>
          <w:pgSz w:w="12240" w:h="15840"/>
          <w:pgMar w:header="0" w:footer="1064" w:top="1380" w:bottom="1260" w:left="1720" w:right="1180"/>
        </w:sectPr>
      </w:pPr>
    </w:p>
    <w:p>
      <w:pPr>
        <w:pStyle w:val="BodyText"/>
        <w:spacing w:line="480" w:lineRule="auto" w:before="78"/>
        <w:ind w:left="440" w:right="257"/>
        <w:jc w:val="both"/>
      </w:pPr>
      <w:r>
        <w:rPr/>
        <w:t>may include calculations that take into account other variables such as indenter and</w:t>
      </w:r>
      <w:r>
        <w:rPr>
          <w:spacing w:val="1"/>
        </w:rPr>
        <w:t> </w:t>
      </w:r>
      <w:r>
        <w:rPr/>
        <w:t>indentation geometry.</w:t>
      </w:r>
      <w:r>
        <w:rPr>
          <w:spacing w:val="1"/>
        </w:rPr>
        <w:t> </w:t>
      </w:r>
      <w:r>
        <w:rPr/>
        <w:t>Hardness may also be reported as an empirical measure, without</w:t>
      </w:r>
      <w:r>
        <w:rPr>
          <w:spacing w:val="1"/>
        </w:rPr>
        <w:t> </w:t>
      </w:r>
      <w:r>
        <w:rPr/>
        <w:t>units, accompanied by nomenclature representing the test method.</w:t>
      </w:r>
      <w:r>
        <w:rPr>
          <w:spacing w:val="1"/>
        </w:rPr>
        <w:t> </w:t>
      </w:r>
      <w:r>
        <w:rPr/>
        <w:t>Examples include</w:t>
      </w:r>
      <w:r>
        <w:rPr>
          <w:spacing w:val="1"/>
        </w:rPr>
        <w:t> </w:t>
      </w:r>
      <w:r>
        <w:rPr/>
        <w:t>HB</w:t>
      </w:r>
      <w:r>
        <w:rPr>
          <w:spacing w:val="-57"/>
        </w:rPr>
        <w:t> </w:t>
      </w:r>
      <w:r>
        <w:rPr/>
        <w:t>for Brinell hardness numbers, HV for Vickers hardness values, and HRA for Rockwell</w:t>
      </w:r>
      <w:r>
        <w:rPr>
          <w:spacing w:val="1"/>
        </w:rPr>
        <w:t> </w:t>
      </w:r>
      <w:r>
        <w:rPr/>
        <w:t>Scale</w:t>
      </w:r>
      <w:r>
        <w:rPr>
          <w:spacing w:val="-1"/>
        </w:rPr>
        <w:t> </w:t>
      </w:r>
      <w:r>
        <w:rPr/>
        <w:t>A.</w:t>
      </w:r>
    </w:p>
    <w:p>
      <w:pPr>
        <w:pStyle w:val="BodyText"/>
        <w:spacing w:line="480" w:lineRule="auto" w:before="159"/>
        <w:ind w:left="440" w:right="257" w:firstLine="720"/>
        <w:jc w:val="both"/>
      </w:pPr>
      <w:r>
        <w:rPr/>
        <w:t>For wood, a common test for hardness is the Janka hardness test [6].</w:t>
      </w:r>
      <w:r>
        <w:rPr>
          <w:spacing w:val="1"/>
        </w:rPr>
        <w:t> </w:t>
      </w:r>
      <w:r>
        <w:rPr/>
        <w:t>Like other</w:t>
      </w:r>
      <w:r>
        <w:rPr>
          <w:spacing w:val="1"/>
        </w:rPr>
        <w:t> </w:t>
      </w:r>
      <w:r>
        <w:rPr/>
        <w:t>hardness test procedures, the Janka hardness test measures the force required to embed a</w:t>
      </w:r>
      <w:r>
        <w:rPr>
          <w:spacing w:val="1"/>
        </w:rPr>
        <w:t> </w:t>
      </w:r>
      <w:r>
        <w:rPr/>
        <w:t>0.444-inch (11.28-mm) diameter steel ball halfway into the wood.</w:t>
      </w:r>
      <w:r>
        <w:rPr>
          <w:spacing w:val="1"/>
        </w:rPr>
        <w:t> </w:t>
      </w:r>
      <w:r>
        <w:rPr/>
        <w:t>Janka hardness values</w:t>
      </w:r>
      <w:r>
        <w:rPr>
          <w:spacing w:val="1"/>
        </w:rPr>
        <w:t> </w:t>
      </w:r>
      <w:r>
        <w:rPr/>
        <w:t>are reported in force units and are based on an average for the wood species.</w:t>
      </w:r>
      <w:r>
        <w:rPr>
          <w:spacing w:val="1"/>
        </w:rPr>
        <w:t> </w:t>
      </w:r>
      <w:r>
        <w:rPr/>
        <w:t>The test is</w:t>
      </w:r>
      <w:r>
        <w:rPr>
          <w:spacing w:val="1"/>
        </w:rPr>
        <w:t> </w:t>
      </w:r>
      <w:r>
        <w:rPr/>
        <w:t>destructive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sense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leaves</w:t>
      </w:r>
      <w:r>
        <w:rPr>
          <w:spacing w:val="1"/>
        </w:rPr>
        <w:t> </w:t>
      </w:r>
      <w:r>
        <w:rPr/>
        <w:t>deformations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tested</w:t>
      </w:r>
      <w:r>
        <w:rPr>
          <w:spacing w:val="1"/>
        </w:rPr>
        <w:t> </w:t>
      </w:r>
      <w:r>
        <w:rPr/>
        <w:t>surface,</w:t>
      </w:r>
      <w:r>
        <w:rPr>
          <w:spacing w:val="1"/>
        </w:rPr>
        <w:t> </w:t>
      </w:r>
      <w:r>
        <w:rPr/>
        <w:t>typically</w:t>
      </w:r>
      <w:r>
        <w:rPr>
          <w:spacing w:val="1"/>
        </w:rPr>
        <w:t> </w:t>
      </w:r>
      <w:r>
        <w:rPr>
          <w:spacing w:val="-1"/>
        </w:rPr>
        <w:t>undesirable</w:t>
      </w:r>
      <w:r>
        <w:rPr>
          <w:spacing w:val="-16"/>
        </w:rPr>
        <w:t> </w:t>
      </w:r>
      <w:r>
        <w:rPr>
          <w:spacing w:val="-1"/>
        </w:rPr>
        <w:t>for</w:t>
      </w:r>
      <w:r>
        <w:rPr>
          <w:spacing w:val="-14"/>
        </w:rPr>
        <w:t> </w:t>
      </w:r>
      <w:r>
        <w:rPr>
          <w:spacing w:val="-1"/>
        </w:rPr>
        <w:t>finished</w:t>
      </w:r>
      <w:r>
        <w:rPr>
          <w:spacing w:val="-15"/>
        </w:rPr>
        <w:t> </w:t>
      </w:r>
      <w:r>
        <w:rPr/>
        <w:t>wood</w:t>
      </w:r>
      <w:r>
        <w:rPr>
          <w:spacing w:val="-15"/>
        </w:rPr>
        <w:t> </w:t>
      </w:r>
      <w:r>
        <w:rPr/>
        <w:t>products.</w:t>
      </w:r>
      <w:r>
        <w:rPr>
          <w:spacing w:val="32"/>
        </w:rPr>
        <w:t> </w:t>
      </w:r>
      <w:r>
        <w:rPr/>
        <w:t>Brinell</w:t>
      </w:r>
      <w:r>
        <w:rPr>
          <w:spacing w:val="-14"/>
        </w:rPr>
        <w:t> </w:t>
      </w:r>
      <w:r>
        <w:rPr/>
        <w:t>testing</w:t>
      </w:r>
      <w:r>
        <w:rPr>
          <w:spacing w:val="-14"/>
        </w:rPr>
        <w:t> </w:t>
      </w:r>
      <w:r>
        <w:rPr/>
        <w:t>has</w:t>
      </w:r>
      <w:r>
        <w:rPr>
          <w:spacing w:val="-15"/>
        </w:rPr>
        <w:t> </w:t>
      </w:r>
      <w:r>
        <w:rPr/>
        <w:t>also</w:t>
      </w:r>
      <w:r>
        <w:rPr>
          <w:spacing w:val="-15"/>
        </w:rPr>
        <w:t> </w:t>
      </w:r>
      <w:r>
        <w:rPr/>
        <w:t>been</w:t>
      </w:r>
      <w:r>
        <w:rPr>
          <w:spacing w:val="-14"/>
        </w:rPr>
        <w:t> </w:t>
      </w:r>
      <w:r>
        <w:rPr/>
        <w:t>used</w:t>
      </w:r>
      <w:r>
        <w:rPr>
          <w:spacing w:val="-16"/>
        </w:rPr>
        <w:t> </w:t>
      </w:r>
      <w:r>
        <w:rPr/>
        <w:t>to</w:t>
      </w:r>
      <w:r>
        <w:rPr>
          <w:spacing w:val="-14"/>
        </w:rPr>
        <w:t> </w:t>
      </w:r>
      <w:r>
        <w:rPr/>
        <w:t>measure</w:t>
      </w:r>
      <w:r>
        <w:rPr>
          <w:spacing w:val="-16"/>
        </w:rPr>
        <w:t> </w:t>
      </w:r>
      <w:r>
        <w:rPr/>
        <w:t>wood</w:t>
      </w:r>
      <w:r>
        <w:rPr>
          <w:spacing w:val="-58"/>
        </w:rPr>
        <w:t> </w:t>
      </w:r>
      <w:r>
        <w:rPr/>
        <w:t>hardness, and like the Janka hardness test is based on a steel ball indenting the wood</w:t>
      </w:r>
      <w:r>
        <w:rPr>
          <w:spacing w:val="1"/>
        </w:rPr>
        <w:t> </w:t>
      </w:r>
      <w:r>
        <w:rPr/>
        <w:t>specimen surface. Whereas the Janka test measures the applied load required to indent the</w:t>
      </w:r>
      <w:r>
        <w:rPr>
          <w:spacing w:val="-57"/>
        </w:rPr>
        <w:t> </w:t>
      </w:r>
      <w:r>
        <w:rPr/>
        <w:t>wood</w:t>
      </w:r>
      <w:r>
        <w:rPr>
          <w:spacing w:val="-5"/>
        </w:rPr>
        <w:t> </w:t>
      </w:r>
      <w:r>
        <w:rPr/>
        <w:t>to</w:t>
      </w:r>
      <w:r>
        <w:rPr>
          <w:spacing w:val="-4"/>
        </w:rPr>
        <w:t> </w:t>
      </w:r>
      <w:r>
        <w:rPr/>
        <w:t>a</w:t>
      </w:r>
      <w:r>
        <w:rPr>
          <w:spacing w:val="-5"/>
        </w:rPr>
        <w:t> </w:t>
      </w:r>
      <w:r>
        <w:rPr/>
        <w:t>specified</w:t>
      </w:r>
      <w:r>
        <w:rPr>
          <w:spacing w:val="-4"/>
        </w:rPr>
        <w:t> </w:t>
      </w:r>
      <w:r>
        <w:rPr/>
        <w:t>depth</w:t>
      </w:r>
      <w:r>
        <w:rPr>
          <w:spacing w:val="-5"/>
        </w:rPr>
        <w:t> </w:t>
      </w:r>
      <w:r>
        <w:rPr/>
        <w:t>(half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diameter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4"/>
        </w:rPr>
        <w:t> </w:t>
      </w:r>
      <w:r>
        <w:rPr/>
        <w:t>steel</w:t>
      </w:r>
      <w:r>
        <w:rPr>
          <w:spacing w:val="-4"/>
        </w:rPr>
        <w:t> </w:t>
      </w:r>
      <w:r>
        <w:rPr/>
        <w:t>ball),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Brinell</w:t>
      </w:r>
      <w:r>
        <w:rPr>
          <w:spacing w:val="-4"/>
        </w:rPr>
        <w:t> </w:t>
      </w:r>
      <w:r>
        <w:rPr/>
        <w:t>test</w:t>
      </w:r>
      <w:r>
        <w:rPr>
          <w:spacing w:val="-3"/>
        </w:rPr>
        <w:t> </w:t>
      </w:r>
      <w:r>
        <w:rPr/>
        <w:t>measures</w:t>
      </w:r>
      <w:r>
        <w:rPr>
          <w:spacing w:val="-6"/>
        </w:rPr>
        <w:t> </w:t>
      </w:r>
      <w:r>
        <w:rPr/>
        <w:t>the</w:t>
      </w:r>
      <w:r>
        <w:rPr>
          <w:spacing w:val="-57"/>
        </w:rPr>
        <w:t> </w:t>
      </w:r>
      <w:r>
        <w:rPr/>
        <w:t>depth of the indentation for a specified force. Measuring the depth of indentation can be</w:t>
      </w:r>
      <w:r>
        <w:rPr>
          <w:spacing w:val="1"/>
        </w:rPr>
        <w:t> </w:t>
      </w:r>
      <w:r>
        <w:rPr/>
        <w:t>difficult to accurately ascertain. In the Janka test, a ball diameter of 0.444 in. was selected</w:t>
      </w:r>
      <w:r>
        <w:rPr>
          <w:spacing w:val="-57"/>
        </w:rPr>
        <w:t> </w:t>
      </w:r>
      <w:r>
        <w:rPr/>
        <w:t>so that the area loaded at full indentation is exactly 100 mm</w:t>
      </w:r>
      <w:r>
        <w:rPr>
          <w:vertAlign w:val="superscript"/>
        </w:rPr>
        <w:t>2</w:t>
      </w:r>
      <w:r>
        <w:rPr>
          <w:vertAlign w:val="baseline"/>
        </w:rPr>
        <w:t>.</w:t>
      </w:r>
      <w:r>
        <w:rPr>
          <w:spacing w:val="1"/>
          <w:vertAlign w:val="baseline"/>
        </w:rPr>
        <w:t> </w:t>
      </w:r>
      <w:r>
        <w:rPr>
          <w:vertAlign w:val="baseline"/>
        </w:rPr>
        <w:t>Janka has been the ASTM</w:t>
      </w:r>
      <w:r>
        <w:rPr>
          <w:spacing w:val="1"/>
          <w:vertAlign w:val="baseline"/>
        </w:rPr>
        <w:t> </w:t>
      </w:r>
      <w:r>
        <w:rPr>
          <w:vertAlign w:val="baseline"/>
        </w:rPr>
        <w:t>accepted</w:t>
      </w:r>
      <w:r>
        <w:rPr>
          <w:spacing w:val="-1"/>
          <w:vertAlign w:val="baseline"/>
        </w:rPr>
        <w:t> </w:t>
      </w:r>
      <w:r>
        <w:rPr>
          <w:vertAlign w:val="baseline"/>
        </w:rPr>
        <w:t>standard for solid wood since 1922 [56].</w:t>
      </w:r>
    </w:p>
    <w:p>
      <w:pPr>
        <w:pStyle w:val="BodyText"/>
        <w:spacing w:line="480" w:lineRule="auto" w:before="161"/>
        <w:ind w:left="439" w:right="257" w:firstLine="720"/>
        <w:jc w:val="both"/>
      </w:pPr>
      <w:r>
        <w:rPr/>
        <w:t>Dynamic</w:t>
      </w:r>
      <w:r>
        <w:rPr>
          <w:spacing w:val="-8"/>
        </w:rPr>
        <w:t> </w:t>
      </w:r>
      <w:r>
        <w:rPr/>
        <w:t>hardness</w:t>
      </w:r>
      <w:r>
        <w:rPr>
          <w:spacing w:val="-8"/>
        </w:rPr>
        <w:t> </w:t>
      </w:r>
      <w:r>
        <w:rPr/>
        <w:t>test</w:t>
      </w:r>
      <w:r>
        <w:rPr>
          <w:spacing w:val="-9"/>
        </w:rPr>
        <w:t> </w:t>
      </w:r>
      <w:r>
        <w:rPr/>
        <w:t>methods</w:t>
      </w:r>
      <w:r>
        <w:rPr>
          <w:spacing w:val="-8"/>
        </w:rPr>
        <w:t> </w:t>
      </w:r>
      <w:r>
        <w:rPr/>
        <w:t>are</w:t>
      </w:r>
      <w:r>
        <w:rPr>
          <w:spacing w:val="-8"/>
        </w:rPr>
        <w:t> </w:t>
      </w:r>
      <w:r>
        <w:rPr/>
        <w:t>less</w:t>
      </w:r>
      <w:r>
        <w:rPr>
          <w:spacing w:val="-8"/>
        </w:rPr>
        <w:t> </w:t>
      </w:r>
      <w:r>
        <w:rPr/>
        <w:t>commonly</w:t>
      </w:r>
      <w:r>
        <w:rPr>
          <w:spacing w:val="-9"/>
        </w:rPr>
        <w:t> </w:t>
      </w:r>
      <w:r>
        <w:rPr/>
        <w:t>used</w:t>
      </w:r>
      <w:r>
        <w:rPr>
          <w:spacing w:val="-9"/>
        </w:rPr>
        <w:t> </w:t>
      </w:r>
      <w:r>
        <w:rPr/>
        <w:t>for</w:t>
      </w:r>
      <w:r>
        <w:rPr>
          <w:spacing w:val="-8"/>
        </w:rPr>
        <w:t> </w:t>
      </w:r>
      <w:r>
        <w:rPr/>
        <w:t>wood,</w:t>
      </w:r>
      <w:r>
        <w:rPr>
          <w:spacing w:val="-9"/>
        </w:rPr>
        <w:t> </w:t>
      </w:r>
      <w:r>
        <w:rPr/>
        <w:t>although</w:t>
      </w:r>
      <w:r>
        <w:rPr>
          <w:spacing w:val="-9"/>
        </w:rPr>
        <w:t> </w:t>
      </w:r>
      <w:r>
        <w:rPr/>
        <w:t>a</w:t>
      </w:r>
      <w:r>
        <w:rPr>
          <w:spacing w:val="-8"/>
        </w:rPr>
        <w:t> </w:t>
      </w:r>
      <w:r>
        <w:rPr/>
        <w:t>2011</w:t>
      </w:r>
      <w:r>
        <w:rPr>
          <w:spacing w:val="-57"/>
        </w:rPr>
        <w:t> </w:t>
      </w:r>
      <w:r>
        <w:rPr/>
        <w:t>study explored the use of a drop weight test with wood specimens [84].</w:t>
      </w:r>
      <w:r>
        <w:rPr>
          <w:spacing w:val="1"/>
        </w:rPr>
        <w:t> </w:t>
      </w:r>
      <w:r>
        <w:rPr/>
        <w:t>Much like the</w:t>
      </w:r>
      <w:r>
        <w:rPr>
          <w:spacing w:val="1"/>
        </w:rPr>
        <w:t> </w:t>
      </w:r>
      <w:r>
        <w:rPr/>
        <w:t>static</w:t>
      </w:r>
      <w:r>
        <w:rPr>
          <w:spacing w:val="-9"/>
        </w:rPr>
        <w:t> </w:t>
      </w:r>
      <w:r>
        <w:rPr/>
        <w:t>tests,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dynamic</w:t>
      </w:r>
      <w:r>
        <w:rPr>
          <w:spacing w:val="-8"/>
        </w:rPr>
        <w:t> </w:t>
      </w:r>
      <w:r>
        <w:rPr/>
        <w:t>methodology</w:t>
      </w:r>
      <w:r>
        <w:rPr>
          <w:spacing w:val="-7"/>
        </w:rPr>
        <w:t> </w:t>
      </w:r>
      <w:r>
        <w:rPr/>
        <w:t>found</w:t>
      </w:r>
      <w:r>
        <w:rPr>
          <w:spacing w:val="-8"/>
        </w:rPr>
        <w:t> </w:t>
      </w:r>
      <w:r>
        <w:rPr/>
        <w:t>that</w:t>
      </w:r>
      <w:r>
        <w:rPr>
          <w:spacing w:val="-9"/>
        </w:rPr>
        <w:t> </w:t>
      </w:r>
      <w:r>
        <w:rPr/>
        <w:t>dynamic</w:t>
      </w:r>
      <w:r>
        <w:rPr>
          <w:spacing w:val="-8"/>
        </w:rPr>
        <w:t> </w:t>
      </w:r>
      <w:r>
        <w:rPr/>
        <w:t>hardness</w:t>
      </w:r>
      <w:r>
        <w:rPr>
          <w:spacing w:val="-7"/>
        </w:rPr>
        <w:t> </w:t>
      </w:r>
      <w:r>
        <w:rPr/>
        <w:t>increased</w:t>
      </w:r>
      <w:r>
        <w:rPr>
          <w:spacing w:val="-8"/>
        </w:rPr>
        <w:t> </w:t>
      </w:r>
      <w:r>
        <w:rPr/>
        <w:t>with</w:t>
      </w:r>
      <w:r>
        <w:rPr>
          <w:spacing w:val="-9"/>
        </w:rPr>
        <w:t> </w:t>
      </w:r>
      <w:r>
        <w:rPr/>
        <w:t>density.</w:t>
      </w:r>
      <w:r>
        <w:rPr>
          <w:spacing w:val="-58"/>
        </w:rPr>
        <w:t> </w:t>
      </w:r>
      <w:r>
        <w:rPr>
          <w:spacing w:val="-1"/>
        </w:rPr>
        <w:t>Furthermore,</w:t>
      </w:r>
      <w:r>
        <w:rPr>
          <w:spacing w:val="-14"/>
        </w:rPr>
        <w:t> </w:t>
      </w:r>
      <w:r>
        <w:rPr>
          <w:spacing w:val="-1"/>
        </w:rPr>
        <w:t>the</w:t>
      </w:r>
      <w:r>
        <w:rPr>
          <w:spacing w:val="-13"/>
        </w:rPr>
        <w:t> </w:t>
      </w:r>
      <w:r>
        <w:rPr>
          <w:spacing w:val="-1"/>
        </w:rPr>
        <w:t>radial</w:t>
      </w:r>
      <w:r>
        <w:rPr>
          <w:spacing w:val="-13"/>
        </w:rPr>
        <w:t> </w:t>
      </w:r>
      <w:r>
        <w:rPr/>
        <w:t>and</w:t>
      </w:r>
      <w:r>
        <w:rPr>
          <w:spacing w:val="-14"/>
        </w:rPr>
        <w:t> </w:t>
      </w:r>
      <w:r>
        <w:rPr/>
        <w:t>tangential</w:t>
      </w:r>
      <w:r>
        <w:rPr>
          <w:spacing w:val="-13"/>
        </w:rPr>
        <w:t> </w:t>
      </w:r>
      <w:r>
        <w:rPr/>
        <w:t>hardness</w:t>
      </w:r>
      <w:r>
        <w:rPr>
          <w:spacing w:val="-13"/>
        </w:rPr>
        <w:t> </w:t>
      </w:r>
      <w:r>
        <w:rPr/>
        <w:t>did</w:t>
      </w:r>
      <w:r>
        <w:rPr>
          <w:spacing w:val="-14"/>
        </w:rPr>
        <w:t> </w:t>
      </w:r>
      <w:r>
        <w:rPr/>
        <w:t>not</w:t>
      </w:r>
      <w:r>
        <w:rPr>
          <w:spacing w:val="-12"/>
        </w:rPr>
        <w:t> </w:t>
      </w:r>
      <w:r>
        <w:rPr/>
        <w:t>differ</w:t>
      </w:r>
      <w:r>
        <w:rPr>
          <w:spacing w:val="-13"/>
        </w:rPr>
        <w:t> </w:t>
      </w:r>
      <w:r>
        <w:rPr/>
        <w:t>significantly</w:t>
      </w:r>
      <w:r>
        <w:rPr>
          <w:spacing w:val="-14"/>
        </w:rPr>
        <w:t> </w:t>
      </w:r>
      <w:r>
        <w:rPr/>
        <w:t>in</w:t>
      </w:r>
      <w:r>
        <w:rPr>
          <w:spacing w:val="-14"/>
        </w:rPr>
        <w:t> </w:t>
      </w:r>
      <w:r>
        <w:rPr/>
        <w:t>dynamic</w:t>
      </w:r>
      <w:r>
        <w:rPr>
          <w:spacing w:val="-13"/>
        </w:rPr>
        <w:t> </w:t>
      </w:r>
      <w:r>
        <w:rPr/>
        <w:t>tests.</w:t>
      </w:r>
      <w:r>
        <w:rPr>
          <w:spacing w:val="-57"/>
        </w:rPr>
        <w:t> </w:t>
      </w:r>
      <w:r>
        <w:rPr/>
        <w:t>Longitudinal</w:t>
      </w:r>
      <w:r>
        <w:rPr>
          <w:spacing w:val="30"/>
        </w:rPr>
        <w:t> </w:t>
      </w:r>
      <w:r>
        <w:rPr/>
        <w:t>hardness</w:t>
      </w:r>
      <w:r>
        <w:rPr>
          <w:spacing w:val="29"/>
        </w:rPr>
        <w:t> </w:t>
      </w:r>
      <w:r>
        <w:rPr/>
        <w:t>was</w:t>
      </w:r>
      <w:r>
        <w:rPr>
          <w:spacing w:val="30"/>
        </w:rPr>
        <w:t> </w:t>
      </w:r>
      <w:r>
        <w:rPr/>
        <w:t>found</w:t>
      </w:r>
      <w:r>
        <w:rPr>
          <w:spacing w:val="30"/>
        </w:rPr>
        <w:t> </w:t>
      </w:r>
      <w:r>
        <w:rPr/>
        <w:t>to</w:t>
      </w:r>
      <w:r>
        <w:rPr>
          <w:spacing w:val="30"/>
        </w:rPr>
        <w:t> </w:t>
      </w:r>
      <w:r>
        <w:rPr/>
        <w:t>be</w:t>
      </w:r>
      <w:r>
        <w:rPr>
          <w:spacing w:val="30"/>
        </w:rPr>
        <w:t> </w:t>
      </w:r>
      <w:r>
        <w:rPr/>
        <w:t>approximately</w:t>
      </w:r>
      <w:r>
        <w:rPr>
          <w:spacing w:val="30"/>
        </w:rPr>
        <w:t> </w:t>
      </w:r>
      <w:r>
        <w:rPr/>
        <w:t>1.5</w:t>
      </w:r>
      <w:r>
        <w:rPr>
          <w:spacing w:val="31"/>
        </w:rPr>
        <w:t> </w:t>
      </w:r>
      <w:r>
        <w:rPr/>
        <w:t>times</w:t>
      </w:r>
      <w:r>
        <w:rPr>
          <w:spacing w:val="30"/>
        </w:rPr>
        <w:t> </w:t>
      </w:r>
      <w:r>
        <w:rPr/>
        <w:t>higher</w:t>
      </w:r>
      <w:r>
        <w:rPr>
          <w:spacing w:val="30"/>
        </w:rPr>
        <w:t> </w:t>
      </w:r>
      <w:r>
        <w:rPr/>
        <w:t>than</w:t>
      </w:r>
      <w:r>
        <w:rPr>
          <w:spacing w:val="30"/>
        </w:rPr>
        <w:t> </w:t>
      </w:r>
      <w:r>
        <w:rPr/>
        <w:t>transverse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40" w:right="257"/>
        <w:jc w:val="both"/>
      </w:pPr>
      <w:r>
        <w:rPr/>
        <w:t>hardness,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smaller</w:t>
      </w:r>
      <w:r>
        <w:rPr>
          <w:spacing w:val="1"/>
        </w:rPr>
        <w:t> </w:t>
      </w:r>
      <w:r>
        <w:rPr/>
        <w:t>difference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observed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static</w:t>
      </w:r>
      <w:r>
        <w:rPr>
          <w:spacing w:val="1"/>
        </w:rPr>
        <w:t> </w:t>
      </w:r>
      <w:r>
        <w:rPr/>
        <w:t>testing.</w:t>
      </w:r>
      <w:r>
        <w:rPr>
          <w:spacing w:val="1"/>
        </w:rPr>
        <w:t> </w:t>
      </w:r>
      <w:r>
        <w:rPr/>
        <w:t>Therefore,</w:t>
      </w:r>
      <w:r>
        <w:rPr>
          <w:spacing w:val="1"/>
        </w:rPr>
        <w:t> </w:t>
      </w:r>
      <w:r>
        <w:rPr/>
        <w:t>researchers</w:t>
      </w:r>
      <w:r>
        <w:rPr>
          <w:spacing w:val="-9"/>
        </w:rPr>
        <w:t> </w:t>
      </w:r>
      <w:r>
        <w:rPr/>
        <w:t>have</w:t>
      </w:r>
      <w:r>
        <w:rPr>
          <w:spacing w:val="-7"/>
        </w:rPr>
        <w:t> </w:t>
      </w:r>
      <w:r>
        <w:rPr/>
        <w:t>concluded</w:t>
      </w:r>
      <w:r>
        <w:rPr>
          <w:spacing w:val="-7"/>
        </w:rPr>
        <w:t> </w:t>
      </w:r>
      <w:r>
        <w:rPr/>
        <w:t>that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dynamic</w:t>
      </w:r>
      <w:r>
        <w:rPr>
          <w:spacing w:val="-7"/>
        </w:rPr>
        <w:t> </w:t>
      </w:r>
      <w:r>
        <w:rPr/>
        <w:t>hardness</w:t>
      </w:r>
      <w:r>
        <w:rPr>
          <w:spacing w:val="-8"/>
        </w:rPr>
        <w:t> </w:t>
      </w:r>
      <w:r>
        <w:rPr/>
        <w:t>test</w:t>
      </w:r>
      <w:r>
        <w:rPr>
          <w:spacing w:val="-8"/>
        </w:rPr>
        <w:t> </w:t>
      </w:r>
      <w:r>
        <w:rPr/>
        <w:t>method</w:t>
      </w:r>
      <w:r>
        <w:rPr>
          <w:spacing w:val="-7"/>
        </w:rPr>
        <w:t> </w:t>
      </w:r>
      <w:r>
        <w:rPr/>
        <w:t>was</w:t>
      </w:r>
      <w:r>
        <w:rPr>
          <w:spacing w:val="-8"/>
        </w:rPr>
        <w:t> </w:t>
      </w:r>
      <w:r>
        <w:rPr/>
        <w:t>less</w:t>
      </w:r>
      <w:r>
        <w:rPr>
          <w:spacing w:val="-7"/>
        </w:rPr>
        <w:t> </w:t>
      </w:r>
      <w:r>
        <w:rPr/>
        <w:t>sensitive</w:t>
      </w:r>
      <w:r>
        <w:rPr>
          <w:spacing w:val="-8"/>
        </w:rPr>
        <w:t> </w:t>
      </w:r>
      <w:r>
        <w:rPr/>
        <w:t>to</w:t>
      </w:r>
      <w:r>
        <w:rPr>
          <w:spacing w:val="-7"/>
        </w:rPr>
        <w:t> </w:t>
      </w:r>
      <w:r>
        <w:rPr/>
        <w:t>the</w:t>
      </w:r>
      <w:r>
        <w:rPr>
          <w:spacing w:val="-58"/>
        </w:rPr>
        <w:t> </w:t>
      </w:r>
      <w:r>
        <w:rPr/>
        <w:t>direction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wood orientation</w:t>
      </w:r>
      <w:r>
        <w:rPr>
          <w:spacing w:val="-2"/>
        </w:rPr>
        <w:t> </w:t>
      </w:r>
      <w:r>
        <w:rPr/>
        <w:t>than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comparable static tests [84].</w:t>
      </w:r>
    </w:p>
    <w:p>
      <w:pPr>
        <w:pStyle w:val="BodyText"/>
        <w:spacing w:line="480" w:lineRule="auto" w:before="159"/>
        <w:ind w:left="440" w:right="256" w:firstLine="720"/>
        <w:jc w:val="both"/>
      </w:pPr>
      <w:r>
        <w:rPr/>
        <w:t>According to </w:t>
      </w:r>
      <w:r>
        <w:rPr>
          <w:i/>
        </w:rPr>
        <w:t>ASTM D143-14, Standard Test Methods for Small Clear Specimens</w:t>
      </w:r>
      <w:r>
        <w:rPr>
          <w:i/>
          <w:spacing w:val="1"/>
        </w:rPr>
        <w:t> </w:t>
      </w:r>
      <w:r>
        <w:rPr>
          <w:i/>
        </w:rPr>
        <w:t>of Timber, </w:t>
      </w:r>
      <w:r>
        <w:rPr/>
        <w:t>the specimen size for hardness testing should be 2-inches by 2-inches by 6-</w:t>
      </w:r>
      <w:r>
        <w:rPr>
          <w:spacing w:val="1"/>
        </w:rPr>
        <w:t> </w:t>
      </w:r>
      <w:r>
        <w:rPr>
          <w:spacing w:val="-1"/>
        </w:rPr>
        <w:t>inches</w:t>
      </w:r>
      <w:r>
        <w:rPr>
          <w:spacing w:val="-15"/>
        </w:rPr>
        <w:t> </w:t>
      </w:r>
      <w:r>
        <w:rPr>
          <w:spacing w:val="-1"/>
        </w:rPr>
        <w:t>[5].</w:t>
      </w:r>
      <w:r>
        <w:rPr>
          <w:spacing w:val="8"/>
        </w:rPr>
        <w:t> </w:t>
      </w:r>
      <w:r>
        <w:rPr>
          <w:spacing w:val="-1"/>
        </w:rPr>
        <w:t>The</w:t>
      </w:r>
      <w:r>
        <w:rPr>
          <w:spacing w:val="-15"/>
        </w:rPr>
        <w:t> </w:t>
      </w:r>
      <w:r>
        <w:rPr>
          <w:spacing w:val="-1"/>
        </w:rPr>
        <w:t>hardness</w:t>
      </w:r>
      <w:r>
        <w:rPr>
          <w:spacing w:val="-15"/>
        </w:rPr>
        <w:t> </w:t>
      </w:r>
      <w:r>
        <w:rPr/>
        <w:t>value</w:t>
      </w:r>
      <w:r>
        <w:rPr>
          <w:spacing w:val="-14"/>
        </w:rPr>
        <w:t> </w:t>
      </w:r>
      <w:r>
        <w:rPr/>
        <w:t>recorded</w:t>
      </w:r>
      <w:r>
        <w:rPr>
          <w:spacing w:val="-15"/>
        </w:rPr>
        <w:t> </w:t>
      </w:r>
      <w:r>
        <w:rPr/>
        <w:t>is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applied</w:t>
      </w:r>
      <w:r>
        <w:rPr>
          <w:spacing w:val="-14"/>
        </w:rPr>
        <w:t> </w:t>
      </w:r>
      <w:r>
        <w:rPr/>
        <w:t>load</w:t>
      </w:r>
      <w:r>
        <w:rPr>
          <w:spacing w:val="-15"/>
        </w:rPr>
        <w:t> </w:t>
      </w:r>
      <w:r>
        <w:rPr/>
        <w:t>when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sphere</w:t>
      </w:r>
      <w:r>
        <w:rPr>
          <w:spacing w:val="-14"/>
        </w:rPr>
        <w:t> </w:t>
      </w:r>
      <w:r>
        <w:rPr/>
        <w:t>has</w:t>
      </w:r>
      <w:r>
        <w:rPr>
          <w:spacing w:val="-15"/>
        </w:rPr>
        <w:t> </w:t>
      </w:r>
      <w:r>
        <w:rPr/>
        <w:t>penetrated</w:t>
      </w:r>
      <w:r>
        <w:rPr>
          <w:spacing w:val="-58"/>
        </w:rPr>
        <w:t> </w:t>
      </w:r>
      <w:r>
        <w:rPr/>
        <w:t>half of its diameter.</w:t>
      </w:r>
      <w:r>
        <w:rPr>
          <w:spacing w:val="1"/>
        </w:rPr>
        <w:t> </w:t>
      </w:r>
      <w:r>
        <w:rPr/>
        <w:t>The load application rate should be 0.25-inches per minute (6</w:t>
      </w:r>
      <w:r>
        <w:rPr>
          <w:spacing w:val="1"/>
        </w:rPr>
        <w:t> </w:t>
      </w:r>
      <w:r>
        <w:rPr/>
        <w:t>mm/min).</w:t>
      </w:r>
      <w:r>
        <w:rPr>
          <w:spacing w:val="1"/>
        </w:rPr>
        <w:t> </w:t>
      </w:r>
      <w:r>
        <w:rPr>
          <w:i/>
        </w:rPr>
        <w:t>ASTM D1037-12, Standard Test Methods for Evaluating Properties of Wood-</w:t>
      </w:r>
      <w:r>
        <w:rPr>
          <w:i/>
          <w:spacing w:val="1"/>
        </w:rPr>
        <w:t> </w:t>
      </w:r>
      <w:r>
        <w:rPr>
          <w:i/>
        </w:rPr>
        <w:t>Base Fiber and Particle Panel Material</w:t>
      </w:r>
      <w:r>
        <w:rPr/>
        <w:t>, also covers the procedures for determining</w:t>
      </w:r>
      <w:r>
        <w:rPr>
          <w:spacing w:val="1"/>
        </w:rPr>
        <w:t> </w:t>
      </w:r>
      <w:r>
        <w:rPr/>
        <w:t>hardness,</w:t>
      </w:r>
      <w:r>
        <w:rPr>
          <w:spacing w:val="-7"/>
        </w:rPr>
        <w:t> </w:t>
      </w:r>
      <w:r>
        <w:rPr/>
        <w:t>but</w:t>
      </w:r>
      <w:r>
        <w:rPr>
          <w:spacing w:val="-6"/>
        </w:rPr>
        <w:t> </w:t>
      </w:r>
      <w:r>
        <w:rPr/>
        <w:t>it</w:t>
      </w:r>
      <w:r>
        <w:rPr>
          <w:spacing w:val="-6"/>
        </w:rPr>
        <w:t> </w:t>
      </w:r>
      <w:r>
        <w:rPr/>
        <w:t>uses</w:t>
      </w:r>
      <w:r>
        <w:rPr>
          <w:spacing w:val="-7"/>
        </w:rPr>
        <w:t> </w:t>
      </w:r>
      <w:r>
        <w:rPr/>
        <w:t>a</w:t>
      </w:r>
      <w:r>
        <w:rPr>
          <w:spacing w:val="-6"/>
        </w:rPr>
        <w:t> </w:t>
      </w:r>
      <w:r>
        <w:rPr/>
        <w:t>modified</w:t>
      </w:r>
      <w:r>
        <w:rPr>
          <w:spacing w:val="-6"/>
        </w:rPr>
        <w:t> </w:t>
      </w:r>
      <w:r>
        <w:rPr/>
        <w:t>Janka</w:t>
      </w:r>
      <w:r>
        <w:rPr>
          <w:spacing w:val="-7"/>
        </w:rPr>
        <w:t> </w:t>
      </w:r>
      <w:r>
        <w:rPr/>
        <w:t>test</w:t>
      </w:r>
      <w:r>
        <w:rPr>
          <w:spacing w:val="-6"/>
        </w:rPr>
        <w:t> </w:t>
      </w:r>
      <w:r>
        <w:rPr/>
        <w:t>method</w:t>
      </w:r>
      <w:r>
        <w:rPr>
          <w:spacing w:val="-6"/>
        </w:rPr>
        <w:t> </w:t>
      </w:r>
      <w:r>
        <w:rPr/>
        <w:t>[11].</w:t>
      </w:r>
      <w:r>
        <w:rPr>
          <w:spacing w:val="47"/>
        </w:rPr>
        <w:t> </w:t>
      </w:r>
      <w:r>
        <w:rPr/>
        <w:t>The</w:t>
      </w:r>
      <w:r>
        <w:rPr>
          <w:spacing w:val="-5"/>
        </w:rPr>
        <w:t> </w:t>
      </w:r>
      <w:r>
        <w:rPr/>
        <w:t>modification</w:t>
      </w:r>
      <w:r>
        <w:rPr>
          <w:spacing w:val="-7"/>
        </w:rPr>
        <w:t> </w:t>
      </w:r>
      <w:r>
        <w:rPr/>
        <w:t>is</w:t>
      </w:r>
      <w:r>
        <w:rPr>
          <w:spacing w:val="-7"/>
        </w:rPr>
        <w:t> </w:t>
      </w:r>
      <w:r>
        <w:rPr/>
        <w:t>to</w:t>
      </w:r>
      <w:r>
        <w:rPr>
          <w:spacing w:val="-6"/>
        </w:rPr>
        <w:t> </w:t>
      </w:r>
      <w:r>
        <w:rPr/>
        <w:t>account</w:t>
      </w:r>
      <w:r>
        <w:rPr>
          <w:spacing w:val="-6"/>
        </w:rPr>
        <w:t> </w:t>
      </w:r>
      <w:r>
        <w:rPr/>
        <w:t>for</w:t>
      </w:r>
      <w:r>
        <w:rPr>
          <w:spacing w:val="-58"/>
        </w:rPr>
        <w:t> </w:t>
      </w:r>
      <w:r>
        <w:rPr/>
        <w:t>the less than 2-inch thickness of most manufactured fiber and particle panels.</w:t>
      </w:r>
      <w:r>
        <w:rPr>
          <w:spacing w:val="1"/>
        </w:rPr>
        <w:t> </w:t>
      </w:r>
      <w:r>
        <w:rPr/>
        <w:t>For these</w:t>
      </w:r>
      <w:r>
        <w:rPr>
          <w:spacing w:val="1"/>
        </w:rPr>
        <w:t> </w:t>
      </w:r>
      <w:r>
        <w:rPr/>
        <w:t>panels, the test specimen is composed of several layers bonded together to achieve the</w:t>
      </w:r>
      <w:r>
        <w:rPr>
          <w:spacing w:val="1"/>
        </w:rPr>
        <w:t> </w:t>
      </w:r>
      <w:r>
        <w:rPr/>
        <w:t>required thickness.</w:t>
      </w:r>
      <w:r>
        <w:rPr>
          <w:spacing w:val="1"/>
        </w:rPr>
        <w:t> </w:t>
      </w:r>
      <w:r>
        <w:rPr/>
        <w:t>For clear specimens, the standard calls for two penetrations on a</w:t>
      </w:r>
      <w:r>
        <w:rPr>
          <w:spacing w:val="1"/>
        </w:rPr>
        <w:t> </w:t>
      </w:r>
      <w:r>
        <w:rPr/>
        <w:t>tangential surface, two on a radial surface and one on each end. For the wood-based panel</w:t>
      </w:r>
      <w:r>
        <w:rPr>
          <w:spacing w:val="-57"/>
        </w:rPr>
        <w:t> </w:t>
      </w:r>
      <w:r>
        <w:rPr/>
        <w:t>materials</w:t>
      </w:r>
      <w:r>
        <w:rPr>
          <w:spacing w:val="-1"/>
        </w:rPr>
        <w:t> </w:t>
      </w:r>
      <w:r>
        <w:rPr/>
        <w:t>two penetrations</w:t>
      </w:r>
      <w:r>
        <w:rPr>
          <w:spacing w:val="-1"/>
        </w:rPr>
        <w:t> </w:t>
      </w:r>
      <w:r>
        <w:rPr/>
        <w:t>are required</w:t>
      </w:r>
      <w:r>
        <w:rPr>
          <w:spacing w:val="-1"/>
        </w:rPr>
        <w:t> </w:t>
      </w:r>
      <w:r>
        <w:rPr/>
        <w:t>on</w:t>
      </w:r>
      <w:r>
        <w:rPr>
          <w:spacing w:val="-1"/>
        </w:rPr>
        <w:t> </w:t>
      </w:r>
      <w:r>
        <w:rPr/>
        <w:t>each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two</w:t>
      </w:r>
      <w:r>
        <w:rPr>
          <w:spacing w:val="-1"/>
        </w:rPr>
        <w:t> </w:t>
      </w:r>
      <w:r>
        <w:rPr/>
        <w:t>faces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panel.</w:t>
      </w:r>
    </w:p>
    <w:p>
      <w:pPr>
        <w:pStyle w:val="BodyText"/>
        <w:spacing w:line="480" w:lineRule="auto" w:before="161"/>
        <w:ind w:left="440" w:right="256" w:firstLine="720"/>
        <w:jc w:val="both"/>
      </w:pPr>
      <w:r>
        <w:rPr/>
        <w:t>The</w:t>
      </w:r>
      <w:r>
        <w:rPr>
          <w:spacing w:val="1"/>
        </w:rPr>
        <w:t> </w:t>
      </w:r>
      <w:r>
        <w:rPr/>
        <w:t>Forest</w:t>
      </w:r>
      <w:r>
        <w:rPr>
          <w:spacing w:val="1"/>
        </w:rPr>
        <w:t> </w:t>
      </w:r>
      <w:r>
        <w:rPr/>
        <w:t>Products</w:t>
      </w:r>
      <w:r>
        <w:rPr>
          <w:spacing w:val="1"/>
        </w:rPr>
        <w:t> </w:t>
      </w:r>
      <w:r>
        <w:rPr/>
        <w:t>Laboratory</w:t>
      </w:r>
      <w:r>
        <w:rPr>
          <w:spacing w:val="1"/>
        </w:rPr>
        <w:t> </w:t>
      </w:r>
      <w:r>
        <w:rPr/>
        <w:t>published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report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2006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non-standard</w:t>
      </w:r>
      <w:r>
        <w:rPr>
          <w:spacing w:val="1"/>
        </w:rPr>
        <w:t> </w:t>
      </w:r>
      <w:r>
        <w:rPr/>
        <w:t>specimens, which examined thinner specimens such as 1.5-inch by 3.5-inch sawn lumber</w:t>
      </w:r>
      <w:r>
        <w:rPr>
          <w:spacing w:val="1"/>
        </w:rPr>
        <w:t> </w:t>
      </w:r>
      <w:r>
        <w:rPr>
          <w:spacing w:val="-1"/>
        </w:rPr>
        <w:t>(2x4s)</w:t>
      </w:r>
      <w:r>
        <w:rPr>
          <w:spacing w:val="-13"/>
        </w:rPr>
        <w:t> </w:t>
      </w:r>
      <w:r>
        <w:rPr>
          <w:spacing w:val="-1"/>
        </w:rPr>
        <w:t>[56].</w:t>
      </w:r>
      <w:r>
        <w:rPr>
          <w:spacing w:val="33"/>
        </w:rPr>
        <w:t> </w:t>
      </w:r>
      <w:r>
        <w:rPr>
          <w:spacing w:val="-1"/>
        </w:rPr>
        <w:t>In</w:t>
      </w:r>
      <w:r>
        <w:rPr>
          <w:spacing w:val="-14"/>
        </w:rPr>
        <w:t> </w:t>
      </w:r>
      <w:r>
        <w:rPr/>
        <w:t>testing</w:t>
      </w:r>
      <w:r>
        <w:rPr>
          <w:spacing w:val="-14"/>
        </w:rPr>
        <w:t> </w:t>
      </w:r>
      <w:r>
        <w:rPr/>
        <w:t>1-inch,</w:t>
      </w:r>
      <w:r>
        <w:rPr>
          <w:spacing w:val="-14"/>
        </w:rPr>
        <w:t> </w:t>
      </w:r>
      <w:r>
        <w:rPr/>
        <w:t>1.5-inch</w:t>
      </w:r>
      <w:r>
        <w:rPr>
          <w:spacing w:val="-14"/>
        </w:rPr>
        <w:t> </w:t>
      </w:r>
      <w:r>
        <w:rPr/>
        <w:t>and</w:t>
      </w:r>
      <w:r>
        <w:rPr>
          <w:spacing w:val="-13"/>
        </w:rPr>
        <w:t> </w:t>
      </w:r>
      <w:r>
        <w:rPr/>
        <w:t>3-inch</w:t>
      </w:r>
      <w:r>
        <w:rPr>
          <w:spacing w:val="-15"/>
        </w:rPr>
        <w:t> </w:t>
      </w:r>
      <w:r>
        <w:rPr/>
        <w:t>specimens,</w:t>
      </w:r>
      <w:r>
        <w:rPr>
          <w:spacing w:val="-14"/>
        </w:rPr>
        <w:t> </w:t>
      </w:r>
      <w:r>
        <w:rPr/>
        <w:t>the</w:t>
      </w:r>
      <w:r>
        <w:rPr>
          <w:spacing w:val="-13"/>
        </w:rPr>
        <w:t> </w:t>
      </w:r>
      <w:r>
        <w:rPr/>
        <w:t>study</w:t>
      </w:r>
      <w:r>
        <w:rPr>
          <w:spacing w:val="-14"/>
        </w:rPr>
        <w:t> </w:t>
      </w:r>
      <w:r>
        <w:rPr/>
        <w:t>found</w:t>
      </w:r>
      <w:r>
        <w:rPr>
          <w:spacing w:val="-14"/>
        </w:rPr>
        <w:t> </w:t>
      </w:r>
      <w:r>
        <w:rPr/>
        <w:t>no</w:t>
      </w:r>
      <w:r>
        <w:rPr>
          <w:spacing w:val="-14"/>
        </w:rPr>
        <w:t> </w:t>
      </w:r>
      <w:r>
        <w:rPr/>
        <w:t>difference</w:t>
      </w:r>
      <w:r>
        <w:rPr>
          <w:spacing w:val="-57"/>
        </w:rPr>
        <w:t> </w:t>
      </w:r>
      <w:r>
        <w:rPr/>
        <w:t>in Janka hardness values.</w:t>
      </w:r>
      <w:r>
        <w:rPr>
          <w:spacing w:val="1"/>
        </w:rPr>
        <w:t> </w:t>
      </w:r>
      <w:r>
        <w:rPr/>
        <w:t>Additionally, an historical analysis conducted in conjunction</w:t>
      </w:r>
      <w:r>
        <w:rPr>
          <w:spacing w:val="1"/>
        </w:rPr>
        <w:t> </w:t>
      </w:r>
      <w:r>
        <w:rPr/>
        <w:t>with the study found no significant difference between radial and tangential direction</w:t>
      </w:r>
      <w:r>
        <w:rPr>
          <w:spacing w:val="1"/>
        </w:rPr>
        <w:t> </w:t>
      </w:r>
      <w:r>
        <w:rPr/>
        <w:t>hardness values [56].</w:t>
      </w:r>
      <w:r>
        <w:rPr>
          <w:spacing w:val="1"/>
        </w:rPr>
        <w:t> </w:t>
      </w:r>
      <w:r>
        <w:rPr/>
        <w:t>End hardness values, taken at the longitudinal direction, were</w:t>
      </w:r>
      <w:r>
        <w:rPr>
          <w:spacing w:val="1"/>
        </w:rPr>
        <w:t> </w:t>
      </w:r>
      <w:r>
        <w:rPr/>
        <w:t>distinctly different, however.</w:t>
      </w:r>
      <w:r>
        <w:rPr>
          <w:spacing w:val="1"/>
        </w:rPr>
        <w:t> </w:t>
      </w:r>
      <w:r>
        <w:rPr/>
        <w:t>Through experimental testing over the years, empirical</w:t>
      </w:r>
      <w:r>
        <w:rPr>
          <w:spacing w:val="1"/>
        </w:rPr>
        <w:t> </w:t>
      </w:r>
      <w:r>
        <w:rPr/>
        <w:t>relationships</w:t>
      </w:r>
      <w:r>
        <w:rPr>
          <w:spacing w:val="28"/>
        </w:rPr>
        <w:t> </w:t>
      </w:r>
      <w:r>
        <w:rPr/>
        <w:t>between</w:t>
      </w:r>
      <w:r>
        <w:rPr>
          <w:spacing w:val="29"/>
        </w:rPr>
        <w:t> </w:t>
      </w:r>
      <w:r>
        <w:rPr/>
        <w:t>hardness</w:t>
      </w:r>
      <w:r>
        <w:rPr>
          <w:spacing w:val="28"/>
        </w:rPr>
        <w:t> </w:t>
      </w:r>
      <w:r>
        <w:rPr/>
        <w:t>and</w:t>
      </w:r>
      <w:r>
        <w:rPr>
          <w:spacing w:val="27"/>
        </w:rPr>
        <w:t> </w:t>
      </w:r>
      <w:r>
        <w:rPr/>
        <w:t>other</w:t>
      </w:r>
      <w:r>
        <w:rPr>
          <w:spacing w:val="29"/>
        </w:rPr>
        <w:t> </w:t>
      </w:r>
      <w:r>
        <w:rPr/>
        <w:t>properties</w:t>
      </w:r>
      <w:r>
        <w:rPr>
          <w:spacing w:val="29"/>
        </w:rPr>
        <w:t> </w:t>
      </w:r>
      <w:r>
        <w:rPr/>
        <w:t>such</w:t>
      </w:r>
      <w:r>
        <w:rPr>
          <w:spacing w:val="29"/>
        </w:rPr>
        <w:t> </w:t>
      </w:r>
      <w:r>
        <w:rPr/>
        <w:t>as</w:t>
      </w:r>
      <w:r>
        <w:rPr>
          <w:spacing w:val="29"/>
        </w:rPr>
        <w:t> </w:t>
      </w:r>
      <w:r>
        <w:rPr/>
        <w:t>compression</w:t>
      </w:r>
      <w:r>
        <w:rPr>
          <w:spacing w:val="27"/>
        </w:rPr>
        <w:t> </w:t>
      </w:r>
      <w:r>
        <w:rPr/>
        <w:t>strength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40" w:right="257"/>
        <w:jc w:val="both"/>
      </w:pPr>
      <w:r>
        <w:rPr/>
        <w:t>perpendicular to grain, modulus of rupture, and ultimate compressive stress have been</w:t>
      </w:r>
      <w:r>
        <w:rPr>
          <w:spacing w:val="1"/>
        </w:rPr>
        <w:t> </w:t>
      </w:r>
      <w:r>
        <w:rPr/>
        <w:t>developed.</w:t>
      </w:r>
      <w:r>
        <w:rPr>
          <w:spacing w:val="36"/>
        </w:rPr>
        <w:t> </w:t>
      </w:r>
      <w:r>
        <w:rPr/>
        <w:t>An</w:t>
      </w:r>
      <w:r>
        <w:rPr>
          <w:spacing w:val="-10"/>
        </w:rPr>
        <w:t> </w:t>
      </w:r>
      <w:r>
        <w:rPr/>
        <w:t>approximate</w:t>
      </w:r>
      <w:r>
        <w:rPr>
          <w:spacing w:val="-11"/>
        </w:rPr>
        <w:t> </w:t>
      </w:r>
      <w:r>
        <w:rPr/>
        <w:t>relationship</w:t>
      </w:r>
      <w:r>
        <w:rPr>
          <w:spacing w:val="-10"/>
        </w:rPr>
        <w:t> </w:t>
      </w:r>
      <w:r>
        <w:rPr/>
        <w:t>also</w:t>
      </w:r>
      <w:r>
        <w:rPr>
          <w:spacing w:val="-11"/>
        </w:rPr>
        <w:t> </w:t>
      </w:r>
      <w:r>
        <w:rPr/>
        <w:t>exists</w:t>
      </w:r>
      <w:r>
        <w:rPr>
          <w:spacing w:val="-12"/>
        </w:rPr>
        <w:t> </w:t>
      </w:r>
      <w:r>
        <w:rPr/>
        <w:t>between</w:t>
      </w:r>
      <w:r>
        <w:rPr>
          <w:spacing w:val="-10"/>
        </w:rPr>
        <w:t> </w:t>
      </w:r>
      <w:r>
        <w:rPr/>
        <w:t>hardness</w:t>
      </w:r>
      <w:r>
        <w:rPr>
          <w:spacing w:val="-11"/>
        </w:rPr>
        <w:t> </w:t>
      </w:r>
      <w:r>
        <w:rPr/>
        <w:t>and</w:t>
      </w:r>
      <w:r>
        <w:rPr>
          <w:spacing w:val="-10"/>
        </w:rPr>
        <w:t> </w:t>
      </w:r>
      <w:r>
        <w:rPr/>
        <w:t>specific</w:t>
      </w:r>
      <w:r>
        <w:rPr>
          <w:spacing w:val="-11"/>
        </w:rPr>
        <w:t> </w:t>
      </w:r>
      <w:r>
        <w:rPr/>
        <w:t>gravity,</w:t>
      </w:r>
      <w:r>
        <w:rPr>
          <w:spacing w:val="-58"/>
        </w:rPr>
        <w:t> </w:t>
      </w:r>
      <w:r>
        <w:rPr/>
        <w:t>as shown in Equation 4.1, with coefficients listed in </w:t>
      </w:r>
      <w:hyperlink w:history="true" w:anchor="_bookmark36">
        <w:r>
          <w:rPr/>
          <w:t>Table 4-4</w:t>
        </w:r>
      </w:hyperlink>
      <w:r>
        <w:rPr/>
        <w:t>.</w:t>
      </w:r>
      <w:r>
        <w:rPr>
          <w:spacing w:val="1"/>
        </w:rPr>
        <w:t> </w:t>
      </w:r>
      <w:r>
        <w:rPr/>
        <w:t>Around the time that the</w:t>
      </w:r>
      <w:r>
        <w:rPr>
          <w:spacing w:val="1"/>
        </w:rPr>
        <w:t> </w:t>
      </w:r>
      <w:r>
        <w:rPr/>
        <w:t>Janka</w:t>
      </w:r>
      <w:r>
        <w:rPr>
          <w:spacing w:val="1"/>
        </w:rPr>
        <w:t> </w:t>
      </w:r>
      <w:r>
        <w:rPr/>
        <w:t>hardness</w:t>
      </w:r>
      <w:r>
        <w:rPr>
          <w:spacing w:val="1"/>
        </w:rPr>
        <w:t> </w:t>
      </w:r>
      <w:r>
        <w:rPr/>
        <w:t>test</w:t>
      </w:r>
      <w:r>
        <w:rPr>
          <w:spacing w:val="1"/>
        </w:rPr>
        <w:t> </w:t>
      </w:r>
      <w:r>
        <w:rPr/>
        <w:t>became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ASTM</w:t>
      </w:r>
      <w:r>
        <w:rPr>
          <w:spacing w:val="1"/>
        </w:rPr>
        <w:t> </w:t>
      </w:r>
      <w:r>
        <w:rPr/>
        <w:t>standard</w:t>
      </w:r>
      <w:r>
        <w:rPr>
          <w:spacing w:val="1"/>
        </w:rPr>
        <w:t> </w:t>
      </w:r>
      <w:r>
        <w:rPr/>
        <w:t>method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testing</w:t>
      </w:r>
      <w:r>
        <w:rPr>
          <w:spacing w:val="1"/>
        </w:rPr>
        <w:t> </w:t>
      </w:r>
      <w:r>
        <w:rPr/>
        <w:t>wood</w:t>
      </w:r>
      <w:r>
        <w:rPr>
          <w:spacing w:val="1"/>
        </w:rPr>
        <w:t> </w:t>
      </w:r>
      <w:r>
        <w:rPr/>
        <w:t>hardness,</w:t>
      </w:r>
      <w:r>
        <w:rPr>
          <w:spacing w:val="-57"/>
        </w:rPr>
        <w:t> </w:t>
      </w:r>
      <w:r>
        <w:rPr/>
        <w:t>distinctive</w:t>
      </w:r>
      <w:r>
        <w:rPr>
          <w:spacing w:val="-1"/>
        </w:rPr>
        <w:t> </w:t>
      </w:r>
      <w:r>
        <w:rPr/>
        <w:t>coefficients between</w:t>
      </w:r>
      <w:r>
        <w:rPr>
          <w:spacing w:val="-1"/>
        </w:rPr>
        <w:t> </w:t>
      </w:r>
      <w:r>
        <w:rPr/>
        <w:t>hardwood and softwood</w:t>
      </w:r>
      <w:r>
        <w:rPr>
          <w:spacing w:val="-1"/>
        </w:rPr>
        <w:t> </w:t>
      </w:r>
      <w:r>
        <w:rPr/>
        <w:t>were added.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8"/>
        </w:rPr>
      </w:pPr>
    </w:p>
    <w:tbl>
      <w:tblPr>
        <w:tblW w:w="0" w:type="auto"/>
        <w:jc w:val="left"/>
        <w:tblInd w:w="17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02"/>
        <w:gridCol w:w="935"/>
        <w:gridCol w:w="3147"/>
      </w:tblGrid>
      <w:tr>
        <w:trPr>
          <w:trHeight w:val="418" w:hRule="atLeast"/>
        </w:trPr>
        <w:tc>
          <w:tcPr>
            <w:tcW w:w="3302" w:type="dxa"/>
          </w:tcPr>
          <w:p>
            <w:pPr>
              <w:pStyle w:val="TableParagraph"/>
              <w:spacing w:line="274" w:lineRule="exact"/>
              <w:ind w:left="200"/>
              <w:rPr>
                <w:rFonts w:ascii="Cambria Math" w:eastAsia="Cambria Math"/>
                <w:sz w:val="24"/>
              </w:rPr>
            </w:pPr>
            <w:r>
              <w:rPr>
                <w:rFonts w:ascii="Cambria Math" w:eastAsia="Cambria Math"/>
                <w:sz w:val="24"/>
              </w:rPr>
              <w:t>𝐻</w:t>
            </w:r>
            <w:r>
              <w:rPr>
                <w:rFonts w:ascii="Cambria Math" w:eastAsia="Cambria Math"/>
                <w:spacing w:val="28"/>
                <w:sz w:val="24"/>
              </w:rPr>
              <w:t> </w:t>
            </w:r>
            <w:r>
              <w:rPr>
                <w:rFonts w:ascii="Cambria Math" w:eastAsia="Cambria Math"/>
                <w:sz w:val="24"/>
              </w:rPr>
              <w:t>=</w:t>
            </w:r>
            <w:r>
              <w:rPr>
                <w:rFonts w:ascii="Cambria Math" w:eastAsia="Cambria Math"/>
                <w:spacing w:val="20"/>
                <w:sz w:val="24"/>
              </w:rPr>
              <w:t> </w:t>
            </w:r>
            <w:r>
              <w:rPr>
                <w:rFonts w:ascii="Cambria Math" w:eastAsia="Cambria Math"/>
                <w:sz w:val="24"/>
              </w:rPr>
              <w:t>𝐴</w:t>
            </w:r>
            <w:r>
              <w:rPr>
                <w:rFonts w:ascii="Cambria Math" w:eastAsia="Cambria Math"/>
                <w:position w:val="1"/>
                <w:sz w:val="24"/>
              </w:rPr>
              <w:t>(</w:t>
            </w:r>
            <w:r>
              <w:rPr>
                <w:rFonts w:ascii="Cambria Math" w:eastAsia="Cambria Math"/>
                <w:sz w:val="24"/>
              </w:rPr>
              <w:t>𝐺𝑟</w:t>
            </w:r>
            <w:r>
              <w:rPr>
                <w:rFonts w:ascii="Cambria Math" w:eastAsia="Cambria Math"/>
                <w:position w:val="1"/>
                <w:sz w:val="24"/>
              </w:rPr>
              <w:t>)</w:t>
            </w:r>
            <w:r>
              <w:rPr>
                <w:rFonts w:ascii="Cambria Math" w:eastAsia="Cambria Math"/>
                <w:position w:val="1"/>
                <w:sz w:val="24"/>
                <w:vertAlign w:val="superscript"/>
              </w:rPr>
              <w:t>𝑛</w:t>
            </w:r>
          </w:p>
        </w:tc>
        <w:tc>
          <w:tcPr>
            <w:tcW w:w="93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147" w:type="dxa"/>
          </w:tcPr>
          <w:p>
            <w:pPr>
              <w:pStyle w:val="TableParagraph"/>
              <w:spacing w:line="266" w:lineRule="exact"/>
              <w:ind w:right="196"/>
              <w:jc w:val="right"/>
              <w:rPr>
                <w:sz w:val="24"/>
              </w:rPr>
            </w:pPr>
            <w:r>
              <w:rPr>
                <w:sz w:val="24"/>
              </w:rPr>
              <w:t>(4.1)</w:t>
            </w:r>
          </w:p>
        </w:tc>
      </w:tr>
      <w:tr>
        <w:trPr>
          <w:trHeight w:val="415" w:hRule="atLeast"/>
        </w:trPr>
        <w:tc>
          <w:tcPr>
            <w:tcW w:w="3302" w:type="dxa"/>
          </w:tcPr>
          <w:p>
            <w:pPr>
              <w:pStyle w:val="TableParagraph"/>
              <w:spacing w:line="262" w:lineRule="exact" w:before="134"/>
              <w:ind w:right="430"/>
              <w:jc w:val="right"/>
              <w:rPr>
                <w:sz w:val="24"/>
              </w:rPr>
            </w:pPr>
            <w:r>
              <w:rPr>
                <w:sz w:val="24"/>
              </w:rPr>
              <w:t>where</w:t>
            </w:r>
          </w:p>
        </w:tc>
        <w:tc>
          <w:tcPr>
            <w:tcW w:w="935" w:type="dxa"/>
          </w:tcPr>
          <w:p>
            <w:pPr>
              <w:pStyle w:val="TableParagraph"/>
              <w:spacing w:line="260" w:lineRule="exact" w:before="135"/>
              <w:ind w:right="105"/>
              <w:jc w:val="right"/>
              <w:rPr>
                <w:i/>
                <w:sz w:val="24"/>
              </w:rPr>
            </w:pPr>
            <w:r>
              <w:rPr>
                <w:i/>
                <w:sz w:val="24"/>
              </w:rPr>
              <w:t>H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=</w:t>
            </w:r>
          </w:p>
        </w:tc>
        <w:tc>
          <w:tcPr>
            <w:tcW w:w="3147" w:type="dxa"/>
          </w:tcPr>
          <w:p>
            <w:pPr>
              <w:pStyle w:val="TableParagraph"/>
              <w:spacing w:line="262" w:lineRule="exact" w:before="134"/>
              <w:ind w:left="108"/>
              <w:rPr>
                <w:sz w:val="24"/>
              </w:rPr>
            </w:pPr>
            <w:r>
              <w:rPr>
                <w:sz w:val="24"/>
              </w:rPr>
              <w:t>Janka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hardness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(pounds)</w:t>
            </w:r>
          </w:p>
        </w:tc>
      </w:tr>
      <w:tr>
        <w:trPr>
          <w:trHeight w:val="276" w:hRule="atLeast"/>
        </w:trPr>
        <w:tc>
          <w:tcPr>
            <w:tcW w:w="330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935" w:type="dxa"/>
          </w:tcPr>
          <w:p>
            <w:pPr>
              <w:pStyle w:val="TableParagraph"/>
              <w:spacing w:line="256" w:lineRule="exact"/>
              <w:ind w:right="105"/>
              <w:jc w:val="right"/>
              <w:rPr>
                <w:i/>
                <w:sz w:val="24"/>
              </w:rPr>
            </w:pPr>
            <w:r>
              <w:rPr>
                <w:i/>
                <w:sz w:val="24"/>
              </w:rPr>
              <w:t>Gr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=</w:t>
            </w:r>
          </w:p>
        </w:tc>
        <w:tc>
          <w:tcPr>
            <w:tcW w:w="3147" w:type="dxa"/>
          </w:tcPr>
          <w:p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specific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gravity</w:t>
            </w:r>
          </w:p>
        </w:tc>
      </w:tr>
      <w:tr>
        <w:trPr>
          <w:trHeight w:val="546" w:hRule="atLeast"/>
        </w:trPr>
        <w:tc>
          <w:tcPr>
            <w:tcW w:w="4237" w:type="dxa"/>
            <w:gridSpan w:val="2"/>
          </w:tcPr>
          <w:p>
            <w:pPr>
              <w:pStyle w:val="TableParagraph"/>
              <w:spacing w:line="270" w:lineRule="exact"/>
              <w:ind w:right="105"/>
              <w:jc w:val="right"/>
              <w:rPr>
                <w:i/>
                <w:sz w:val="24"/>
              </w:rPr>
            </w:pPr>
            <w:r>
              <w:rPr>
                <w:i/>
                <w:sz w:val="24"/>
              </w:rPr>
              <w:t>A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sz w:val="24"/>
              </w:rPr>
              <w:t>and </w:t>
            </w:r>
            <w:r>
              <w:rPr>
                <w:i/>
                <w:sz w:val="24"/>
              </w:rPr>
              <w:t>n =</w:t>
            </w:r>
          </w:p>
        </w:tc>
        <w:tc>
          <w:tcPr>
            <w:tcW w:w="3147" w:type="dxa"/>
          </w:tcPr>
          <w:p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separate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coefficients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for</w:t>
            </w:r>
          </w:p>
          <w:p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green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dry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wood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8"/>
        </w:rPr>
      </w:pPr>
    </w:p>
    <w:p>
      <w:pPr>
        <w:spacing w:before="90"/>
        <w:ind w:left="440" w:right="444" w:firstLine="0"/>
        <w:jc w:val="left"/>
        <w:rPr>
          <w:i/>
          <w:sz w:val="24"/>
        </w:rPr>
      </w:pPr>
      <w:bookmarkStart w:name="_bookmark36" w:id="209"/>
      <w:bookmarkEnd w:id="209"/>
      <w:r>
        <w:rPr/>
      </w:r>
      <w:r>
        <w:rPr>
          <w:i/>
          <w:sz w:val="24"/>
        </w:rPr>
        <w:t>Table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4-4.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Coefficients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relationship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between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Janka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hardness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specific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gravity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domestic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species, adapted from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[56].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4"/>
        <w:rPr>
          <w:i/>
          <w:sz w:val="17"/>
        </w:rPr>
      </w:pPr>
    </w:p>
    <w:tbl>
      <w:tblPr>
        <w:tblW w:w="0" w:type="auto"/>
        <w:jc w:val="left"/>
        <w:tblInd w:w="263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20"/>
        <w:gridCol w:w="1119"/>
        <w:gridCol w:w="959"/>
        <w:gridCol w:w="959"/>
      </w:tblGrid>
      <w:tr>
        <w:trPr>
          <w:trHeight w:val="757" w:hRule="atLeast"/>
        </w:trPr>
        <w:tc>
          <w:tcPr>
            <w:tcW w:w="1220" w:type="dxa"/>
            <w:shd w:val="clear" w:color="auto" w:fill="C0C0C0"/>
          </w:tcPr>
          <w:p>
            <w:pPr>
              <w:pStyle w:val="TableParagraph"/>
              <w:spacing w:before="4"/>
              <w:rPr>
                <w:i/>
                <w:sz w:val="20"/>
              </w:rPr>
            </w:pPr>
          </w:p>
          <w:p>
            <w:pPr>
              <w:pStyle w:val="TableParagraph"/>
              <w:spacing w:line="252" w:lineRule="exact"/>
              <w:ind w:left="352" w:right="250" w:hanging="78"/>
              <w:rPr>
                <w:sz w:val="22"/>
              </w:rPr>
            </w:pPr>
            <w:r>
              <w:rPr>
                <w:spacing w:val="-1"/>
                <w:sz w:val="22"/>
              </w:rPr>
              <w:t>Species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group</w:t>
            </w:r>
          </w:p>
        </w:tc>
        <w:tc>
          <w:tcPr>
            <w:tcW w:w="1119" w:type="dxa"/>
            <w:shd w:val="clear" w:color="auto" w:fill="C0C0C0"/>
          </w:tcPr>
          <w:p>
            <w:pPr>
              <w:pStyle w:val="TableParagraph"/>
              <w:spacing w:before="4"/>
              <w:rPr>
                <w:i/>
                <w:sz w:val="20"/>
              </w:rPr>
            </w:pPr>
          </w:p>
          <w:p>
            <w:pPr>
              <w:pStyle w:val="TableParagraph"/>
              <w:spacing w:line="252" w:lineRule="exact"/>
              <w:ind w:left="211" w:right="133" w:hanging="50"/>
              <w:rPr>
                <w:sz w:val="22"/>
              </w:rPr>
            </w:pPr>
            <w:r>
              <w:rPr>
                <w:sz w:val="22"/>
              </w:rPr>
              <w:t>Moisture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Content</w:t>
            </w:r>
          </w:p>
        </w:tc>
        <w:tc>
          <w:tcPr>
            <w:tcW w:w="959" w:type="dxa"/>
            <w:shd w:val="clear" w:color="auto" w:fill="C0C0C0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0"/>
              <w:rPr>
                <w:i/>
                <w:sz w:val="19"/>
              </w:rPr>
            </w:pPr>
          </w:p>
          <w:p>
            <w:pPr>
              <w:pStyle w:val="TableParagraph"/>
              <w:spacing w:line="233" w:lineRule="exact"/>
              <w:ind w:left="12"/>
              <w:jc w:val="center"/>
              <w:rPr>
                <w:i/>
                <w:sz w:val="22"/>
              </w:rPr>
            </w:pPr>
            <w:r>
              <w:rPr>
                <w:i/>
                <w:w w:val="99"/>
                <w:sz w:val="22"/>
              </w:rPr>
              <w:t>A</w:t>
            </w:r>
          </w:p>
        </w:tc>
        <w:tc>
          <w:tcPr>
            <w:tcW w:w="959" w:type="dxa"/>
            <w:shd w:val="clear" w:color="auto" w:fill="C0C0C0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0"/>
              <w:rPr>
                <w:i/>
                <w:sz w:val="19"/>
              </w:rPr>
            </w:pPr>
          </w:p>
          <w:p>
            <w:pPr>
              <w:pStyle w:val="TableParagraph"/>
              <w:spacing w:line="233" w:lineRule="exact"/>
              <w:ind w:left="14"/>
              <w:jc w:val="center"/>
              <w:rPr>
                <w:i/>
                <w:sz w:val="22"/>
              </w:rPr>
            </w:pPr>
            <w:r>
              <w:rPr>
                <w:i/>
                <w:w w:val="99"/>
                <w:sz w:val="22"/>
              </w:rPr>
              <w:t>n</w:t>
            </w:r>
          </w:p>
        </w:tc>
      </w:tr>
      <w:tr>
        <w:trPr>
          <w:trHeight w:val="290" w:hRule="atLeast"/>
        </w:trPr>
        <w:tc>
          <w:tcPr>
            <w:tcW w:w="1220" w:type="dxa"/>
          </w:tcPr>
          <w:p>
            <w:pPr>
              <w:pStyle w:val="TableParagraph"/>
              <w:spacing w:line="234" w:lineRule="exact" w:before="35"/>
              <w:ind w:left="107"/>
              <w:rPr>
                <w:sz w:val="22"/>
              </w:rPr>
            </w:pPr>
            <w:r>
              <w:rPr>
                <w:sz w:val="22"/>
              </w:rPr>
              <w:t>Hardwood</w:t>
            </w:r>
          </w:p>
        </w:tc>
        <w:tc>
          <w:tcPr>
            <w:tcW w:w="1119" w:type="dxa"/>
          </w:tcPr>
          <w:p>
            <w:pPr>
              <w:pStyle w:val="TableParagraph"/>
              <w:spacing w:line="234" w:lineRule="exact" w:before="35"/>
              <w:ind w:left="108"/>
              <w:rPr>
                <w:sz w:val="22"/>
              </w:rPr>
            </w:pPr>
            <w:r>
              <w:rPr>
                <w:sz w:val="22"/>
              </w:rPr>
              <w:t>Green</w:t>
            </w:r>
          </w:p>
        </w:tc>
        <w:tc>
          <w:tcPr>
            <w:tcW w:w="959" w:type="dxa"/>
          </w:tcPr>
          <w:p>
            <w:pPr>
              <w:pStyle w:val="TableParagraph"/>
              <w:spacing w:line="234" w:lineRule="exact" w:before="35"/>
              <w:ind w:left="179" w:right="166"/>
              <w:jc w:val="center"/>
              <w:rPr>
                <w:sz w:val="22"/>
              </w:rPr>
            </w:pPr>
            <w:r>
              <w:rPr>
                <w:sz w:val="22"/>
              </w:rPr>
              <w:t>3,720</w:t>
            </w:r>
          </w:p>
        </w:tc>
        <w:tc>
          <w:tcPr>
            <w:tcW w:w="959" w:type="dxa"/>
          </w:tcPr>
          <w:p>
            <w:pPr>
              <w:pStyle w:val="TableParagraph"/>
              <w:spacing w:line="234" w:lineRule="exact" w:before="35"/>
              <w:ind w:left="179" w:right="165"/>
              <w:jc w:val="center"/>
              <w:rPr>
                <w:sz w:val="22"/>
              </w:rPr>
            </w:pPr>
            <w:r>
              <w:rPr>
                <w:sz w:val="22"/>
              </w:rPr>
              <w:t>2.31</w:t>
            </w:r>
          </w:p>
        </w:tc>
      </w:tr>
      <w:tr>
        <w:trPr>
          <w:trHeight w:val="290" w:hRule="atLeast"/>
        </w:trPr>
        <w:tc>
          <w:tcPr>
            <w:tcW w:w="122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19" w:type="dxa"/>
          </w:tcPr>
          <w:p>
            <w:pPr>
              <w:pStyle w:val="TableParagraph"/>
              <w:spacing w:line="234" w:lineRule="exact" w:before="35"/>
              <w:ind w:left="108"/>
              <w:rPr>
                <w:sz w:val="22"/>
              </w:rPr>
            </w:pPr>
            <w:r>
              <w:rPr>
                <w:sz w:val="22"/>
              </w:rPr>
              <w:t>12%</w:t>
            </w:r>
          </w:p>
        </w:tc>
        <w:tc>
          <w:tcPr>
            <w:tcW w:w="959" w:type="dxa"/>
          </w:tcPr>
          <w:p>
            <w:pPr>
              <w:pStyle w:val="TableParagraph"/>
              <w:spacing w:line="234" w:lineRule="exact" w:before="35"/>
              <w:ind w:left="179" w:right="166"/>
              <w:jc w:val="center"/>
              <w:rPr>
                <w:sz w:val="22"/>
              </w:rPr>
            </w:pPr>
            <w:r>
              <w:rPr>
                <w:sz w:val="22"/>
              </w:rPr>
              <w:t>3,400</w:t>
            </w:r>
          </w:p>
        </w:tc>
        <w:tc>
          <w:tcPr>
            <w:tcW w:w="959" w:type="dxa"/>
          </w:tcPr>
          <w:p>
            <w:pPr>
              <w:pStyle w:val="TableParagraph"/>
              <w:spacing w:line="234" w:lineRule="exact" w:before="35"/>
              <w:ind w:left="179" w:right="165"/>
              <w:jc w:val="center"/>
              <w:rPr>
                <w:sz w:val="22"/>
              </w:rPr>
            </w:pPr>
            <w:r>
              <w:rPr>
                <w:sz w:val="22"/>
              </w:rPr>
              <w:t>2.09</w:t>
            </w:r>
          </w:p>
        </w:tc>
      </w:tr>
      <w:tr>
        <w:trPr>
          <w:trHeight w:val="289" w:hRule="atLeast"/>
        </w:trPr>
        <w:tc>
          <w:tcPr>
            <w:tcW w:w="1220" w:type="dxa"/>
          </w:tcPr>
          <w:p>
            <w:pPr>
              <w:pStyle w:val="TableParagraph"/>
              <w:spacing w:line="234" w:lineRule="exact" w:before="35"/>
              <w:ind w:left="107"/>
              <w:rPr>
                <w:sz w:val="22"/>
              </w:rPr>
            </w:pPr>
            <w:r>
              <w:rPr>
                <w:sz w:val="22"/>
              </w:rPr>
              <w:t>Softwood</w:t>
            </w:r>
          </w:p>
        </w:tc>
        <w:tc>
          <w:tcPr>
            <w:tcW w:w="1119" w:type="dxa"/>
          </w:tcPr>
          <w:p>
            <w:pPr>
              <w:pStyle w:val="TableParagraph"/>
              <w:spacing w:line="234" w:lineRule="exact" w:before="35"/>
              <w:ind w:left="108"/>
              <w:rPr>
                <w:sz w:val="22"/>
              </w:rPr>
            </w:pPr>
            <w:r>
              <w:rPr>
                <w:sz w:val="22"/>
              </w:rPr>
              <w:t>Green</w:t>
            </w:r>
          </w:p>
        </w:tc>
        <w:tc>
          <w:tcPr>
            <w:tcW w:w="959" w:type="dxa"/>
          </w:tcPr>
          <w:p>
            <w:pPr>
              <w:pStyle w:val="TableParagraph"/>
              <w:spacing w:line="234" w:lineRule="exact" w:before="35"/>
              <w:ind w:left="179" w:right="166"/>
              <w:jc w:val="center"/>
              <w:rPr>
                <w:sz w:val="22"/>
              </w:rPr>
            </w:pPr>
            <w:r>
              <w:rPr>
                <w:sz w:val="22"/>
              </w:rPr>
              <w:t>1,400</w:t>
            </w:r>
          </w:p>
        </w:tc>
        <w:tc>
          <w:tcPr>
            <w:tcW w:w="959" w:type="dxa"/>
          </w:tcPr>
          <w:p>
            <w:pPr>
              <w:pStyle w:val="TableParagraph"/>
              <w:spacing w:line="234" w:lineRule="exact" w:before="35"/>
              <w:ind w:left="179" w:right="165"/>
              <w:jc w:val="center"/>
              <w:rPr>
                <w:sz w:val="22"/>
              </w:rPr>
            </w:pPr>
            <w:r>
              <w:rPr>
                <w:sz w:val="22"/>
              </w:rPr>
              <w:t>1.41</w:t>
            </w:r>
          </w:p>
        </w:tc>
      </w:tr>
      <w:tr>
        <w:trPr>
          <w:trHeight w:val="291" w:hRule="atLeast"/>
        </w:trPr>
        <w:tc>
          <w:tcPr>
            <w:tcW w:w="122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19" w:type="dxa"/>
          </w:tcPr>
          <w:p>
            <w:pPr>
              <w:pStyle w:val="TableParagraph"/>
              <w:spacing w:line="236" w:lineRule="exact" w:before="35"/>
              <w:ind w:left="108"/>
              <w:rPr>
                <w:sz w:val="22"/>
              </w:rPr>
            </w:pPr>
            <w:r>
              <w:rPr>
                <w:sz w:val="22"/>
              </w:rPr>
              <w:t>12%</w:t>
            </w:r>
          </w:p>
        </w:tc>
        <w:tc>
          <w:tcPr>
            <w:tcW w:w="959" w:type="dxa"/>
          </w:tcPr>
          <w:p>
            <w:pPr>
              <w:pStyle w:val="TableParagraph"/>
              <w:spacing w:line="236" w:lineRule="exact" w:before="35"/>
              <w:ind w:left="179" w:right="166"/>
              <w:jc w:val="center"/>
              <w:rPr>
                <w:sz w:val="22"/>
              </w:rPr>
            </w:pPr>
            <w:r>
              <w:rPr>
                <w:sz w:val="22"/>
              </w:rPr>
              <w:t>1,930</w:t>
            </w:r>
          </w:p>
        </w:tc>
        <w:tc>
          <w:tcPr>
            <w:tcW w:w="959" w:type="dxa"/>
          </w:tcPr>
          <w:p>
            <w:pPr>
              <w:pStyle w:val="TableParagraph"/>
              <w:spacing w:line="236" w:lineRule="exact" w:before="35"/>
              <w:ind w:left="179" w:right="165"/>
              <w:jc w:val="center"/>
              <w:rPr>
                <w:sz w:val="22"/>
              </w:rPr>
            </w:pPr>
            <w:r>
              <w:rPr>
                <w:sz w:val="22"/>
              </w:rPr>
              <w:t>1.50</w:t>
            </w:r>
          </w:p>
        </w:tc>
      </w:tr>
    </w:tbl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</w:rPr>
      </w:pPr>
    </w:p>
    <w:p>
      <w:pPr>
        <w:pStyle w:val="BodyText"/>
        <w:spacing w:line="480" w:lineRule="auto" w:before="90"/>
        <w:ind w:left="440" w:right="257" w:firstLine="720"/>
        <w:jc w:val="both"/>
      </w:pPr>
      <w:r>
        <w:rPr/>
        <w:t>The thickness requirement for the test specimen was based on the theory that in</w:t>
      </w:r>
      <w:r>
        <w:rPr>
          <w:spacing w:val="1"/>
        </w:rPr>
        <w:t> </w:t>
      </w:r>
      <w:r>
        <w:rPr/>
        <w:t>thinner specimens, the hardness of the supporting surface could potentially influence the</w:t>
      </w:r>
      <w:r>
        <w:rPr>
          <w:spacing w:val="1"/>
        </w:rPr>
        <w:t> </w:t>
      </w:r>
      <w:r>
        <w:rPr/>
        <w:t>hardness</w:t>
      </w:r>
      <w:r>
        <w:rPr>
          <w:spacing w:val="5"/>
        </w:rPr>
        <w:t> </w:t>
      </w:r>
      <w:r>
        <w:rPr/>
        <w:t>measurement.</w:t>
      </w:r>
      <w:r>
        <w:rPr>
          <w:spacing w:val="12"/>
        </w:rPr>
        <w:t> </w:t>
      </w:r>
      <w:r>
        <w:rPr/>
        <w:t>This</w:t>
      </w:r>
      <w:r>
        <w:rPr>
          <w:spacing w:val="5"/>
        </w:rPr>
        <w:t> </w:t>
      </w:r>
      <w:r>
        <w:rPr/>
        <w:t>concept</w:t>
      </w:r>
      <w:r>
        <w:rPr>
          <w:spacing w:val="6"/>
        </w:rPr>
        <w:t> </w:t>
      </w:r>
      <w:r>
        <w:rPr/>
        <w:t>was</w:t>
      </w:r>
      <w:r>
        <w:rPr>
          <w:spacing w:val="5"/>
        </w:rPr>
        <w:t> </w:t>
      </w:r>
      <w:r>
        <w:rPr/>
        <w:t>explored</w:t>
      </w:r>
      <w:r>
        <w:rPr>
          <w:spacing w:val="5"/>
        </w:rPr>
        <w:t> </w:t>
      </w:r>
      <w:r>
        <w:rPr/>
        <w:t>in</w:t>
      </w:r>
      <w:r>
        <w:rPr>
          <w:spacing w:val="6"/>
        </w:rPr>
        <w:t> </w:t>
      </w:r>
      <w:r>
        <w:rPr/>
        <w:t>this</w:t>
      </w:r>
      <w:r>
        <w:rPr>
          <w:spacing w:val="5"/>
        </w:rPr>
        <w:t> </w:t>
      </w:r>
      <w:r>
        <w:rPr/>
        <w:t>research</w:t>
      </w:r>
      <w:r>
        <w:rPr>
          <w:spacing w:val="6"/>
        </w:rPr>
        <w:t> </w:t>
      </w:r>
      <w:r>
        <w:rPr/>
        <w:t>through</w:t>
      </w:r>
      <w:r>
        <w:rPr>
          <w:spacing w:val="5"/>
        </w:rPr>
        <w:t> </w:t>
      </w:r>
      <w:r>
        <w:rPr/>
        <w:t>experimental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40" w:right="257"/>
        <w:jc w:val="both"/>
      </w:pPr>
      <w:r>
        <w:rPr/>
        <w:t>testing</w:t>
      </w:r>
      <w:r>
        <w:rPr>
          <w:spacing w:val="-10"/>
        </w:rPr>
        <w:t> </w:t>
      </w:r>
      <w:r>
        <w:rPr/>
        <w:t>of</w:t>
      </w:r>
      <w:r>
        <w:rPr>
          <w:spacing w:val="-11"/>
        </w:rPr>
        <w:t> </w:t>
      </w:r>
      <w:r>
        <w:rPr/>
        <w:t>single</w:t>
      </w:r>
      <w:r>
        <w:rPr>
          <w:spacing w:val="-10"/>
        </w:rPr>
        <w:t> </w:t>
      </w:r>
      <w:r>
        <w:rPr/>
        <w:t>ply</w:t>
      </w:r>
      <w:r>
        <w:rPr>
          <w:spacing w:val="-10"/>
        </w:rPr>
        <w:t> </w:t>
      </w:r>
      <w:r>
        <w:rPr/>
        <w:t>SPF-S</w:t>
      </w:r>
      <w:r>
        <w:rPr>
          <w:spacing w:val="-10"/>
        </w:rPr>
        <w:t> </w:t>
      </w:r>
      <w:r>
        <w:rPr/>
        <w:t>and</w:t>
      </w:r>
      <w:r>
        <w:rPr>
          <w:spacing w:val="-10"/>
        </w:rPr>
        <w:t> </w:t>
      </w:r>
      <w:r>
        <w:rPr/>
        <w:t>SYP</w:t>
      </w:r>
      <w:r>
        <w:rPr>
          <w:spacing w:val="-10"/>
        </w:rPr>
        <w:t> </w:t>
      </w:r>
      <w:r>
        <w:rPr/>
        <w:t>sawn</w:t>
      </w:r>
      <w:r>
        <w:rPr>
          <w:spacing w:val="-10"/>
        </w:rPr>
        <w:t> </w:t>
      </w:r>
      <w:r>
        <w:rPr/>
        <w:t>lumber</w:t>
      </w:r>
      <w:r>
        <w:rPr>
          <w:spacing w:val="-8"/>
        </w:rPr>
        <w:t> </w:t>
      </w:r>
      <w:r>
        <w:rPr/>
        <w:t>pieces,</w:t>
      </w:r>
      <w:r>
        <w:rPr>
          <w:spacing w:val="-10"/>
        </w:rPr>
        <w:t> </w:t>
      </w:r>
      <w:r>
        <w:rPr/>
        <w:t>as</w:t>
      </w:r>
      <w:r>
        <w:rPr>
          <w:spacing w:val="-10"/>
        </w:rPr>
        <w:t> </w:t>
      </w:r>
      <w:r>
        <w:rPr/>
        <w:t>well</w:t>
      </w:r>
      <w:r>
        <w:rPr>
          <w:spacing w:val="-9"/>
        </w:rPr>
        <w:t> </w:t>
      </w:r>
      <w:r>
        <w:rPr/>
        <w:t>as</w:t>
      </w:r>
      <w:r>
        <w:rPr>
          <w:spacing w:val="-10"/>
        </w:rPr>
        <w:t> </w:t>
      </w:r>
      <w:r>
        <w:rPr/>
        <w:t>a</w:t>
      </w:r>
      <w:r>
        <w:rPr>
          <w:spacing w:val="-10"/>
        </w:rPr>
        <w:t> </w:t>
      </w:r>
      <w:r>
        <w:rPr/>
        <w:t>series</w:t>
      </w:r>
      <w:r>
        <w:rPr>
          <w:spacing w:val="-10"/>
        </w:rPr>
        <w:t> </w:t>
      </w:r>
      <w:r>
        <w:rPr/>
        <w:t>of</w:t>
      </w:r>
      <w:r>
        <w:rPr>
          <w:spacing w:val="-11"/>
        </w:rPr>
        <w:t> </w:t>
      </w:r>
      <w:r>
        <w:rPr/>
        <w:t>tests</w:t>
      </w:r>
      <w:r>
        <w:rPr>
          <w:spacing w:val="-10"/>
        </w:rPr>
        <w:t> </w:t>
      </w:r>
      <w:r>
        <w:rPr/>
        <w:t>on</w:t>
      </w:r>
      <w:r>
        <w:rPr>
          <w:spacing w:val="-11"/>
        </w:rPr>
        <w:t> </w:t>
      </w:r>
      <w:r>
        <w:rPr/>
        <w:t>both</w:t>
      </w:r>
      <w:r>
        <w:rPr>
          <w:spacing w:val="-57"/>
        </w:rPr>
        <w:t> </w:t>
      </w:r>
      <w:r>
        <w:rPr/>
        <w:t>2- and 3-ply specimens.</w:t>
      </w:r>
      <w:r>
        <w:rPr>
          <w:spacing w:val="1"/>
        </w:rPr>
        <w:t> </w:t>
      </w:r>
      <w:r>
        <w:rPr/>
        <w:t>As recommended by the Forest Products Laboratory report, the</w:t>
      </w:r>
      <w:r>
        <w:rPr>
          <w:spacing w:val="1"/>
        </w:rPr>
        <w:t> </w:t>
      </w:r>
      <w:r>
        <w:rPr/>
        <w:t>multiple</w:t>
      </w:r>
      <w:r>
        <w:rPr>
          <w:spacing w:val="-1"/>
        </w:rPr>
        <w:t> </w:t>
      </w:r>
      <w:r>
        <w:rPr/>
        <w:t>ply</w:t>
      </w:r>
      <w:r>
        <w:rPr>
          <w:spacing w:val="-2"/>
        </w:rPr>
        <w:t> </w:t>
      </w:r>
      <w:r>
        <w:rPr/>
        <w:t>specimens were bonded</w:t>
      </w:r>
      <w:r>
        <w:rPr>
          <w:spacing w:val="-1"/>
        </w:rPr>
        <w:t> </w:t>
      </w:r>
      <w:r>
        <w:rPr/>
        <w:t>together and not just</w:t>
      </w:r>
      <w:r>
        <w:rPr>
          <w:spacing w:val="-1"/>
        </w:rPr>
        <w:t> </w:t>
      </w:r>
      <w:r>
        <w:rPr/>
        <w:t>stacked.</w:t>
      </w:r>
    </w:p>
    <w:p>
      <w:pPr>
        <w:pStyle w:val="ListParagraph"/>
        <w:numPr>
          <w:ilvl w:val="2"/>
          <w:numId w:val="19"/>
        </w:numPr>
        <w:tabs>
          <w:tab w:pos="980" w:val="left" w:leader="none"/>
        </w:tabs>
        <w:spacing w:line="240" w:lineRule="auto" w:before="161" w:after="0"/>
        <w:ind w:left="980" w:right="0" w:hanging="540"/>
        <w:jc w:val="both"/>
        <w:rPr>
          <w:i/>
          <w:sz w:val="24"/>
        </w:rPr>
      </w:pPr>
      <w:bookmarkStart w:name="4.4.2 Experimental hardness testing" w:id="210"/>
      <w:bookmarkEnd w:id="210"/>
      <w:r>
        <w:rPr/>
      </w:r>
      <w:bookmarkStart w:name="4.4.2 Experimental hardness testing" w:id="211"/>
      <w:bookmarkEnd w:id="211"/>
      <w:r>
        <w:rPr>
          <w:i/>
          <w:sz w:val="24"/>
        </w:rPr>
        <w:t>E</w:t>
      </w:r>
      <w:r>
        <w:rPr>
          <w:i/>
          <w:sz w:val="24"/>
        </w:rPr>
        <w:t>xperimental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hardness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testing</w:t>
      </w:r>
    </w:p>
    <w:p>
      <w:pPr>
        <w:pStyle w:val="BodyText"/>
        <w:spacing w:before="7"/>
        <w:rPr>
          <w:i/>
          <w:sz w:val="22"/>
        </w:rPr>
      </w:pPr>
    </w:p>
    <w:p>
      <w:pPr>
        <w:pStyle w:val="BodyText"/>
        <w:spacing w:line="480" w:lineRule="auto"/>
        <w:ind w:left="440" w:right="257" w:firstLine="720"/>
        <w:jc w:val="both"/>
      </w:pPr>
      <w:r>
        <w:rPr/>
        <w:t>Ten specimens per wood type were randomly selected from stock used to produce</w:t>
      </w:r>
      <w:r>
        <w:rPr>
          <w:spacing w:val="-57"/>
        </w:rPr>
        <w:t> </w:t>
      </w:r>
      <w:r>
        <w:rPr/>
        <w:t>Southern</w:t>
      </w:r>
      <w:r>
        <w:rPr>
          <w:spacing w:val="-13"/>
        </w:rPr>
        <w:t> </w:t>
      </w:r>
      <w:r>
        <w:rPr/>
        <w:t>Pine</w:t>
      </w:r>
      <w:r>
        <w:rPr>
          <w:spacing w:val="-12"/>
        </w:rPr>
        <w:t> </w:t>
      </w:r>
      <w:r>
        <w:rPr/>
        <w:t>CLT</w:t>
      </w:r>
      <w:r>
        <w:rPr>
          <w:spacing w:val="-13"/>
        </w:rPr>
        <w:t> </w:t>
      </w:r>
      <w:r>
        <w:rPr/>
        <w:t>and</w:t>
      </w:r>
      <w:r>
        <w:rPr>
          <w:spacing w:val="-12"/>
        </w:rPr>
        <w:t> </w:t>
      </w:r>
      <w:r>
        <w:rPr/>
        <w:t>from</w:t>
      </w:r>
      <w:r>
        <w:rPr>
          <w:spacing w:val="-14"/>
        </w:rPr>
        <w:t> </w:t>
      </w:r>
      <w:r>
        <w:rPr/>
        <w:t>parent</w:t>
      </w:r>
      <w:r>
        <w:rPr>
          <w:spacing w:val="-13"/>
        </w:rPr>
        <w:t> </w:t>
      </w:r>
      <w:r>
        <w:rPr/>
        <w:t>stock</w:t>
      </w:r>
      <w:r>
        <w:rPr>
          <w:spacing w:val="-12"/>
        </w:rPr>
        <w:t> </w:t>
      </w:r>
      <w:r>
        <w:rPr/>
        <w:t>of</w:t>
      </w:r>
      <w:r>
        <w:rPr>
          <w:spacing w:val="-13"/>
        </w:rPr>
        <w:t> </w:t>
      </w:r>
      <w:r>
        <w:rPr/>
        <w:t>SPF-S</w:t>
      </w:r>
      <w:r>
        <w:rPr>
          <w:spacing w:val="-13"/>
        </w:rPr>
        <w:t> </w:t>
      </w:r>
      <w:r>
        <w:rPr/>
        <w:t>provided</w:t>
      </w:r>
      <w:r>
        <w:rPr>
          <w:spacing w:val="-13"/>
        </w:rPr>
        <w:t> </w:t>
      </w:r>
      <w:r>
        <w:rPr/>
        <w:t>by</w:t>
      </w:r>
      <w:r>
        <w:rPr>
          <w:spacing w:val="-12"/>
        </w:rPr>
        <w:t> </w:t>
      </w:r>
      <w:r>
        <w:rPr/>
        <w:t>SmartLam.</w:t>
      </w:r>
      <w:r>
        <w:rPr>
          <w:spacing w:val="36"/>
        </w:rPr>
        <w:t> </w:t>
      </w:r>
      <w:r>
        <w:rPr/>
        <w:t>All</w:t>
      </w:r>
      <w:r>
        <w:rPr>
          <w:spacing w:val="-12"/>
        </w:rPr>
        <w:t> </w:t>
      </w:r>
      <w:r>
        <w:rPr/>
        <w:t>specimens</w:t>
      </w:r>
      <w:r>
        <w:rPr>
          <w:spacing w:val="-58"/>
        </w:rPr>
        <w:t> </w:t>
      </w:r>
      <w:r>
        <w:rPr/>
        <w:t>had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planed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approximately</w:t>
      </w:r>
      <w:r>
        <w:rPr>
          <w:spacing w:val="1"/>
        </w:rPr>
        <w:t> </w:t>
      </w:r>
      <w:r>
        <w:rPr/>
        <w:t>1.375-inches</w:t>
      </w:r>
      <w:r>
        <w:rPr>
          <w:spacing w:val="1"/>
        </w:rPr>
        <w:t> </w:t>
      </w:r>
      <w:r>
        <w:rPr/>
        <w:t>thickness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preparation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CLT</w:t>
      </w:r>
      <w:r>
        <w:rPr>
          <w:spacing w:val="1"/>
        </w:rPr>
        <w:t> </w:t>
      </w:r>
      <w:r>
        <w:rPr/>
        <w:t>production.</w:t>
      </w:r>
      <w:r>
        <w:rPr>
          <w:spacing w:val="1"/>
        </w:rPr>
        <w:t> </w:t>
      </w:r>
      <w:r>
        <w:rPr/>
        <w:t>The SPF-S specimens were approximately 15-in. long by 5-in. wide, with</w:t>
      </w:r>
      <w:r>
        <w:rPr>
          <w:spacing w:val="1"/>
        </w:rPr>
        <w:t> </w:t>
      </w:r>
      <w:r>
        <w:rPr/>
        <w:t>three columns and seven rows of hardness measurements taken for each specimen, as</w:t>
      </w:r>
      <w:r>
        <w:rPr>
          <w:spacing w:val="1"/>
        </w:rPr>
        <w:t> </w:t>
      </w:r>
      <w:r>
        <w:rPr/>
        <w:t>shown in </w:t>
      </w:r>
      <w:hyperlink w:history="true" w:anchor="_bookmark37">
        <w:r>
          <w:rPr/>
          <w:t>Figure 4-10</w:t>
        </w:r>
      </w:hyperlink>
      <w:r>
        <w:rPr/>
        <w:t>a. The Southern Pine specimens were approximately 10-in. long and</w:t>
      </w:r>
      <w:r>
        <w:rPr>
          <w:spacing w:val="-57"/>
        </w:rPr>
        <w:t> </w:t>
      </w:r>
      <w:r>
        <w:rPr/>
        <w:t>7-in. wide with four columns and five rows of measurements per specimen as shown in</w:t>
      </w:r>
      <w:r>
        <w:rPr>
          <w:spacing w:val="1"/>
        </w:rPr>
        <w:t> </w:t>
      </w:r>
      <w:hyperlink w:history="true" w:anchor="_bookmark37">
        <w:r>
          <w:rPr/>
          <w:t>Figure 4-10</w:t>
        </w:r>
      </w:hyperlink>
      <w:r>
        <w:rPr/>
        <w:t>b. Defects, such as knots and cracks, and finger joints were not excluded from</w:t>
      </w:r>
      <w:r>
        <w:rPr>
          <w:spacing w:val="-57"/>
        </w:rPr>
        <w:t> </w:t>
      </w:r>
      <w:r>
        <w:rPr/>
        <w:t>the test samples, as they would doubtless be present in a CLT produced from these</w:t>
      </w:r>
      <w:r>
        <w:rPr>
          <w:spacing w:val="1"/>
        </w:rPr>
        <w:t> </w:t>
      </w:r>
      <w:r>
        <w:rPr/>
        <w:t>materials.</w:t>
      </w:r>
      <w:r>
        <w:rPr>
          <w:spacing w:val="42"/>
        </w:rPr>
        <w:t> </w:t>
      </w:r>
      <w:r>
        <w:rPr/>
        <w:t>There</w:t>
      </w:r>
      <w:r>
        <w:rPr>
          <w:spacing w:val="-9"/>
        </w:rPr>
        <w:t> </w:t>
      </w:r>
      <w:r>
        <w:rPr/>
        <w:t>were</w:t>
      </w:r>
      <w:r>
        <w:rPr>
          <w:spacing w:val="-10"/>
        </w:rPr>
        <w:t> </w:t>
      </w:r>
      <w:r>
        <w:rPr/>
        <w:t>a</w:t>
      </w:r>
      <w:r>
        <w:rPr>
          <w:spacing w:val="-9"/>
        </w:rPr>
        <w:t> </w:t>
      </w:r>
      <w:r>
        <w:rPr/>
        <w:t>total</w:t>
      </w:r>
      <w:r>
        <w:rPr>
          <w:spacing w:val="-8"/>
        </w:rPr>
        <w:t> </w:t>
      </w:r>
      <w:r>
        <w:rPr/>
        <w:t>of</w:t>
      </w:r>
      <w:r>
        <w:rPr>
          <w:spacing w:val="-10"/>
        </w:rPr>
        <w:t> </w:t>
      </w:r>
      <w:r>
        <w:rPr/>
        <w:t>209</w:t>
      </w:r>
      <w:r>
        <w:rPr>
          <w:spacing w:val="-9"/>
        </w:rPr>
        <w:t> </w:t>
      </w:r>
      <w:r>
        <w:rPr/>
        <w:t>hardness</w:t>
      </w:r>
      <w:r>
        <w:rPr>
          <w:spacing w:val="-8"/>
        </w:rPr>
        <w:t> </w:t>
      </w:r>
      <w:r>
        <w:rPr/>
        <w:t>values</w:t>
      </w:r>
      <w:r>
        <w:rPr>
          <w:spacing w:val="-9"/>
        </w:rPr>
        <w:t> </w:t>
      </w:r>
      <w:r>
        <w:rPr/>
        <w:t>recorded</w:t>
      </w:r>
      <w:r>
        <w:rPr>
          <w:spacing w:val="-9"/>
        </w:rPr>
        <w:t> </w:t>
      </w:r>
      <w:r>
        <w:rPr/>
        <w:t>for</w:t>
      </w:r>
      <w:r>
        <w:rPr>
          <w:spacing w:val="-9"/>
        </w:rPr>
        <w:t> </w:t>
      </w:r>
      <w:r>
        <w:rPr/>
        <w:t>SPF-S,</w:t>
      </w:r>
      <w:r>
        <w:rPr>
          <w:spacing w:val="-9"/>
        </w:rPr>
        <w:t> </w:t>
      </w:r>
      <w:r>
        <w:rPr/>
        <w:t>and</w:t>
      </w:r>
      <w:r>
        <w:rPr>
          <w:spacing w:val="-10"/>
        </w:rPr>
        <w:t> </w:t>
      </w:r>
      <w:r>
        <w:rPr/>
        <w:t>197</w:t>
      </w:r>
      <w:r>
        <w:rPr>
          <w:spacing w:val="-9"/>
        </w:rPr>
        <w:t> </w:t>
      </w:r>
      <w:r>
        <w:rPr/>
        <w:t>hardness</w:t>
      </w:r>
      <w:r>
        <w:rPr>
          <w:spacing w:val="-58"/>
        </w:rPr>
        <w:t> </w:t>
      </w:r>
      <w:r>
        <w:rPr/>
        <w:t>values</w:t>
      </w:r>
      <w:r>
        <w:rPr>
          <w:spacing w:val="-1"/>
        </w:rPr>
        <w:t> </w:t>
      </w:r>
      <w:r>
        <w:rPr/>
        <w:t>recorded for Southern Pine.</w:t>
      </w:r>
    </w:p>
    <w:p>
      <w:pPr>
        <w:pStyle w:val="BodyText"/>
        <w:spacing w:line="480" w:lineRule="auto" w:before="160"/>
        <w:ind w:left="439" w:right="256" w:firstLine="720"/>
        <w:jc w:val="both"/>
      </w:pPr>
      <w:r>
        <w:rPr/>
        <w:t>The</w:t>
      </w:r>
      <w:r>
        <w:rPr>
          <w:spacing w:val="1"/>
        </w:rPr>
        <w:t> </w:t>
      </w:r>
      <w:r>
        <w:rPr/>
        <w:t>test</w:t>
      </w:r>
      <w:r>
        <w:rPr>
          <w:spacing w:val="1"/>
        </w:rPr>
        <w:t> </w:t>
      </w:r>
      <w:r>
        <w:rPr/>
        <w:t>apparatus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conduct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Janka</w:t>
      </w:r>
      <w:r>
        <w:rPr>
          <w:spacing w:val="1"/>
        </w:rPr>
        <w:t> </w:t>
      </w:r>
      <w:r>
        <w:rPr/>
        <w:t>hardness</w:t>
      </w:r>
      <w:r>
        <w:rPr>
          <w:spacing w:val="1"/>
        </w:rPr>
        <w:t> </w:t>
      </w:r>
      <w:r>
        <w:rPr/>
        <w:t>testing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>
          <w:color w:val="231F20"/>
        </w:rPr>
        <w:t>a</w:t>
      </w:r>
      <w:r>
        <w:rPr>
          <w:color w:val="231F20"/>
          <w:spacing w:val="1"/>
        </w:rPr>
        <w:t> </w:t>
      </w:r>
      <w:r>
        <w:rPr>
          <w:color w:val="231F20"/>
        </w:rPr>
        <w:t>servo-</w:t>
      </w:r>
      <w:r>
        <w:rPr>
          <w:color w:val="231F20"/>
          <w:spacing w:val="-57"/>
        </w:rPr>
        <w:t> </w:t>
      </w:r>
      <w:r>
        <w:rPr>
          <w:color w:val="231F20"/>
        </w:rPr>
        <w:t>controlled hydraulic pump and actuator controlled by an MTS Flextest SE controller and</w:t>
      </w:r>
      <w:r>
        <w:rPr>
          <w:color w:val="231F20"/>
          <w:spacing w:val="1"/>
        </w:rPr>
        <w:t> </w:t>
      </w:r>
      <w:r>
        <w:rPr/>
        <w:t>load cell.</w:t>
      </w:r>
      <w:r>
        <w:rPr>
          <w:spacing w:val="1"/>
        </w:rPr>
        <w:t> </w:t>
      </w:r>
      <w:r>
        <w:rPr/>
        <w:t>The specified 0.444-inch (11.28-mm) steel sphere was magnetically attached to</w:t>
      </w:r>
      <w:r>
        <w:rPr>
          <w:spacing w:val="-57"/>
        </w:rPr>
        <w:t> </w:t>
      </w:r>
      <w:r>
        <w:rPr/>
        <w:t>the fixture and the platen raised the test specimen and aluminum block base up at the</w:t>
      </w:r>
      <w:r>
        <w:rPr>
          <w:spacing w:val="1"/>
        </w:rPr>
        <w:t> </w:t>
      </w:r>
      <w:r>
        <w:rPr/>
        <w:t>designated rate of 0.25-inches/minute.</w:t>
      </w:r>
      <w:r>
        <w:rPr>
          <w:spacing w:val="1"/>
        </w:rPr>
        <w:t> </w:t>
      </w:r>
      <w:r>
        <w:rPr/>
        <w:t>The machine program was set to apply load from</w:t>
      </w:r>
      <w:r>
        <w:rPr>
          <w:spacing w:val="1"/>
        </w:rPr>
        <w:t> </w:t>
      </w:r>
      <w:r>
        <w:rPr/>
        <w:t>the starting position to a displacement of 0.222-inches, half of the diameter of the test</w:t>
      </w:r>
      <w:r>
        <w:rPr>
          <w:spacing w:val="1"/>
        </w:rPr>
        <w:t> </w:t>
      </w:r>
      <w:r>
        <w:rPr/>
        <w:t>sphere.</w:t>
      </w:r>
      <w:r>
        <w:rPr>
          <w:spacing w:val="1"/>
        </w:rPr>
        <w:t> </w:t>
      </w:r>
      <w:r>
        <w:rPr/>
        <w:t>The test specimens had to be carefully aligned with the surface of the wood in</w:t>
      </w:r>
      <w:r>
        <w:rPr>
          <w:spacing w:val="1"/>
        </w:rPr>
        <w:t> </w:t>
      </w:r>
      <w:r>
        <w:rPr/>
        <w:t>contact</w:t>
      </w:r>
      <w:r>
        <w:rPr>
          <w:spacing w:val="42"/>
        </w:rPr>
        <w:t> </w:t>
      </w:r>
      <w:r>
        <w:rPr/>
        <w:t>with</w:t>
      </w:r>
      <w:r>
        <w:rPr>
          <w:spacing w:val="41"/>
        </w:rPr>
        <w:t> </w:t>
      </w:r>
      <w:r>
        <w:rPr/>
        <w:t>the</w:t>
      </w:r>
      <w:r>
        <w:rPr>
          <w:spacing w:val="43"/>
        </w:rPr>
        <w:t> </w:t>
      </w:r>
      <w:r>
        <w:rPr/>
        <w:t>surface</w:t>
      </w:r>
      <w:r>
        <w:rPr>
          <w:spacing w:val="42"/>
        </w:rPr>
        <w:t> </w:t>
      </w:r>
      <w:r>
        <w:rPr/>
        <w:t>of</w:t>
      </w:r>
      <w:r>
        <w:rPr>
          <w:spacing w:val="42"/>
        </w:rPr>
        <w:t> </w:t>
      </w:r>
      <w:r>
        <w:rPr/>
        <w:t>the</w:t>
      </w:r>
      <w:r>
        <w:rPr>
          <w:spacing w:val="42"/>
        </w:rPr>
        <w:t> </w:t>
      </w:r>
      <w:r>
        <w:rPr/>
        <w:t>sphere</w:t>
      </w:r>
      <w:r>
        <w:rPr>
          <w:spacing w:val="43"/>
        </w:rPr>
        <w:t> </w:t>
      </w:r>
      <w:r>
        <w:rPr/>
        <w:t>prior</w:t>
      </w:r>
      <w:r>
        <w:rPr>
          <w:spacing w:val="42"/>
        </w:rPr>
        <w:t> </w:t>
      </w:r>
      <w:r>
        <w:rPr/>
        <w:t>to</w:t>
      </w:r>
      <w:r>
        <w:rPr>
          <w:spacing w:val="42"/>
        </w:rPr>
        <w:t> </w:t>
      </w:r>
      <w:r>
        <w:rPr/>
        <w:t>starting</w:t>
      </w:r>
      <w:r>
        <w:rPr>
          <w:spacing w:val="42"/>
        </w:rPr>
        <w:t> </w:t>
      </w:r>
      <w:r>
        <w:rPr/>
        <w:t>the</w:t>
      </w:r>
      <w:r>
        <w:rPr>
          <w:spacing w:val="41"/>
        </w:rPr>
        <w:t> </w:t>
      </w:r>
      <w:r>
        <w:rPr/>
        <w:t>test.</w:t>
      </w:r>
      <w:r>
        <w:rPr>
          <w:spacing w:val="26"/>
        </w:rPr>
        <w:t> </w:t>
      </w:r>
      <w:r>
        <w:rPr/>
        <w:t>This</w:t>
      </w:r>
      <w:r>
        <w:rPr>
          <w:spacing w:val="43"/>
        </w:rPr>
        <w:t> </w:t>
      </w:r>
      <w:r>
        <w:rPr/>
        <w:t>was</w:t>
      </w:r>
      <w:r>
        <w:rPr>
          <w:spacing w:val="42"/>
        </w:rPr>
        <w:t> </w:t>
      </w:r>
      <w:r>
        <w:rPr/>
        <w:t>completed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40" w:right="229"/>
      </w:pPr>
      <w:r>
        <w:rPr/>
        <w:t>manually</w:t>
      </w:r>
      <w:r>
        <w:rPr>
          <w:spacing w:val="16"/>
        </w:rPr>
        <w:t> </w:t>
      </w:r>
      <w:r>
        <w:rPr/>
        <w:t>by</w:t>
      </w:r>
      <w:r>
        <w:rPr>
          <w:spacing w:val="17"/>
        </w:rPr>
        <w:t> </w:t>
      </w:r>
      <w:r>
        <w:rPr/>
        <w:t>observing</w:t>
      </w:r>
      <w:r>
        <w:rPr>
          <w:spacing w:val="14"/>
        </w:rPr>
        <w:t> </w:t>
      </w:r>
      <w:r>
        <w:rPr/>
        <w:t>contact</w:t>
      </w:r>
      <w:r>
        <w:rPr>
          <w:spacing w:val="16"/>
        </w:rPr>
        <w:t> </w:t>
      </w:r>
      <w:r>
        <w:rPr/>
        <w:t>as</w:t>
      </w:r>
      <w:r>
        <w:rPr>
          <w:spacing w:val="17"/>
        </w:rPr>
        <w:t> </w:t>
      </w:r>
      <w:r>
        <w:rPr/>
        <w:t>well</w:t>
      </w:r>
      <w:r>
        <w:rPr>
          <w:spacing w:val="16"/>
        </w:rPr>
        <w:t> </w:t>
      </w:r>
      <w:r>
        <w:rPr/>
        <w:t>as</w:t>
      </w:r>
      <w:r>
        <w:rPr>
          <w:spacing w:val="16"/>
        </w:rPr>
        <w:t> </w:t>
      </w:r>
      <w:r>
        <w:rPr/>
        <w:t>monitoring</w:t>
      </w:r>
      <w:r>
        <w:rPr>
          <w:spacing w:val="17"/>
        </w:rPr>
        <w:t> </w:t>
      </w:r>
      <w:r>
        <w:rPr/>
        <w:t>the</w:t>
      </w:r>
      <w:r>
        <w:rPr>
          <w:spacing w:val="16"/>
        </w:rPr>
        <w:t> </w:t>
      </w:r>
      <w:r>
        <w:rPr/>
        <w:t>load</w:t>
      </w:r>
      <w:r>
        <w:rPr>
          <w:spacing w:val="17"/>
        </w:rPr>
        <w:t> </w:t>
      </w:r>
      <w:r>
        <w:rPr/>
        <w:t>cell</w:t>
      </w:r>
      <w:r>
        <w:rPr>
          <w:spacing w:val="17"/>
        </w:rPr>
        <w:t> </w:t>
      </w:r>
      <w:r>
        <w:rPr/>
        <w:t>reading.</w:t>
      </w:r>
      <w:r>
        <w:rPr>
          <w:spacing w:val="35"/>
        </w:rPr>
        <w:t> </w:t>
      </w:r>
      <w:hyperlink w:history="true" w:anchor="_bookmark38">
        <w:r>
          <w:rPr/>
          <w:t>Figure</w:t>
        </w:r>
        <w:r>
          <w:rPr>
            <w:spacing w:val="16"/>
          </w:rPr>
          <w:t> </w:t>
        </w:r>
        <w:r>
          <w:rPr/>
          <w:t>4-11</w:t>
        </w:r>
      </w:hyperlink>
      <w:r>
        <w:rPr>
          <w:spacing w:val="-57"/>
        </w:rPr>
        <w:t> </w:t>
      </w:r>
      <w:r>
        <w:rPr/>
        <w:t>shows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test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progress</w:t>
      </w:r>
      <w:r>
        <w:rPr>
          <w:spacing w:val="-2"/>
        </w:rPr>
        <w:t> </w:t>
      </w:r>
      <w:r>
        <w:rPr/>
        <w:t>with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sphere</w:t>
      </w:r>
      <w:r>
        <w:rPr>
          <w:spacing w:val="-1"/>
        </w:rPr>
        <w:t> </w:t>
      </w:r>
      <w:r>
        <w:rPr/>
        <w:t>slightly</w:t>
      </w:r>
      <w:r>
        <w:rPr>
          <w:spacing w:val="-3"/>
        </w:rPr>
        <w:t> </w:t>
      </w:r>
      <w:r>
        <w:rPr/>
        <w:t>embedded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SPF-S</w:t>
      </w:r>
      <w:r>
        <w:rPr>
          <w:spacing w:val="-2"/>
        </w:rPr>
        <w:t> </w:t>
      </w:r>
      <w:r>
        <w:rPr/>
        <w:t>wood</w:t>
      </w:r>
      <w:r>
        <w:rPr>
          <w:spacing w:val="-1"/>
        </w:rPr>
        <w:t> </w:t>
      </w:r>
      <w:r>
        <w:rPr/>
        <w:t>specimen.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94">
            <wp:simplePos x="0" y="0"/>
            <wp:positionH relativeFrom="page">
              <wp:posOffset>2447925</wp:posOffset>
            </wp:positionH>
            <wp:positionV relativeFrom="paragraph">
              <wp:posOffset>235034</wp:posOffset>
            </wp:positionV>
            <wp:extent cx="1223635" cy="3309937"/>
            <wp:effectExtent l="0" t="0" r="0" b="0"/>
            <wp:wrapTopAndBottom/>
            <wp:docPr id="41" name="image8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80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3635" cy="3309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5">
            <wp:simplePos x="0" y="0"/>
            <wp:positionH relativeFrom="page">
              <wp:posOffset>3952875</wp:posOffset>
            </wp:positionH>
            <wp:positionV relativeFrom="paragraph">
              <wp:posOffset>1007092</wp:posOffset>
            </wp:positionV>
            <wp:extent cx="1817551" cy="2546604"/>
            <wp:effectExtent l="0" t="0" r="0" b="0"/>
            <wp:wrapTopAndBottom/>
            <wp:docPr id="43" name="image8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81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7551" cy="25466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92"/>
        <w:ind w:left="440" w:right="1167" w:firstLine="0"/>
        <w:jc w:val="left"/>
        <w:rPr>
          <w:i/>
          <w:sz w:val="24"/>
        </w:rPr>
      </w:pPr>
      <w:bookmarkStart w:name="_bookmark37" w:id="212"/>
      <w:bookmarkEnd w:id="212"/>
      <w:r>
        <w:rPr/>
      </w:r>
      <w:r>
        <w:rPr>
          <w:i/>
          <w:sz w:val="24"/>
        </w:rPr>
        <w:t>Figure 4-10. a. (left) SPF-S hardness test specimen; b. (right) SYP hardness test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specimen.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2"/>
        <w:rPr>
          <w:i/>
          <w:sz w:val="37"/>
        </w:rPr>
      </w:pPr>
    </w:p>
    <w:p>
      <w:pPr>
        <w:pStyle w:val="BodyText"/>
        <w:spacing w:line="480" w:lineRule="auto"/>
        <w:ind w:left="440" w:right="256" w:firstLine="720"/>
        <w:jc w:val="both"/>
      </w:pPr>
      <w:r>
        <w:rPr/>
        <w:t>In</w:t>
      </w:r>
      <w:r>
        <w:rPr>
          <w:spacing w:val="-4"/>
        </w:rPr>
        <w:t> </w:t>
      </w:r>
      <w:r>
        <w:rPr/>
        <w:t>addition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single-ply</w:t>
      </w:r>
      <w:r>
        <w:rPr>
          <w:spacing w:val="-4"/>
        </w:rPr>
        <w:t> </w:t>
      </w:r>
      <w:r>
        <w:rPr/>
        <w:t>test</w:t>
      </w:r>
      <w:r>
        <w:rPr>
          <w:spacing w:val="-3"/>
        </w:rPr>
        <w:t> </w:t>
      </w:r>
      <w:r>
        <w:rPr/>
        <w:t>specimens,</w:t>
      </w:r>
      <w:r>
        <w:rPr>
          <w:spacing w:val="-3"/>
        </w:rPr>
        <w:t> </w:t>
      </w:r>
      <w:r>
        <w:rPr/>
        <w:t>2-ply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3-ply</w:t>
      </w:r>
      <w:r>
        <w:rPr>
          <w:spacing w:val="-3"/>
        </w:rPr>
        <w:t> </w:t>
      </w:r>
      <w:r>
        <w:rPr/>
        <w:t>sections</w:t>
      </w:r>
      <w:r>
        <w:rPr>
          <w:spacing w:val="-4"/>
        </w:rPr>
        <w:t> </w:t>
      </w:r>
      <w:r>
        <w:rPr/>
        <w:t>cut</w:t>
      </w:r>
      <w:r>
        <w:rPr>
          <w:spacing w:val="-3"/>
        </w:rPr>
        <w:t> </w:t>
      </w:r>
      <w:r>
        <w:rPr/>
        <w:t>from</w:t>
      </w:r>
      <w:r>
        <w:rPr>
          <w:spacing w:val="-5"/>
        </w:rPr>
        <w:t> </w:t>
      </w:r>
      <w:r>
        <w:rPr/>
        <w:t>CLT</w:t>
      </w:r>
      <w:r>
        <w:rPr>
          <w:spacing w:val="-58"/>
        </w:rPr>
        <w:t> </w:t>
      </w:r>
      <w:r>
        <w:rPr/>
        <w:t>layups were also tested. The goal of the testing was to determine hardness values for each</w:t>
      </w:r>
      <w:r>
        <w:rPr>
          <w:spacing w:val="-57"/>
        </w:rPr>
        <w:t> </w:t>
      </w:r>
      <w:r>
        <w:rPr/>
        <w:t>of the species used in CLT ballistic testing (see Chapter 5). Additionally, while the Forest</w:t>
      </w:r>
      <w:r>
        <w:rPr>
          <w:spacing w:val="-57"/>
        </w:rPr>
        <w:t> </w:t>
      </w:r>
      <w:r>
        <w:rPr/>
        <w:t>Products Lab report indicated that thicknesses of less than 2-inches would not be skewed</w:t>
      </w:r>
      <w:r>
        <w:rPr>
          <w:spacing w:val="1"/>
        </w:rPr>
        <w:t> </w:t>
      </w:r>
      <w:r>
        <w:rPr/>
        <w:t>by the hardness of the supporting plate, there was interest in verifying if the adhesive and</w:t>
      </w:r>
      <w:r>
        <w:rPr>
          <w:spacing w:val="1"/>
        </w:rPr>
        <w:t> </w:t>
      </w:r>
      <w:r>
        <w:rPr/>
        <w:t>additional plies in a multiple-ply specimen produced a difference in measured hardness</w:t>
      </w:r>
      <w:r>
        <w:rPr>
          <w:spacing w:val="1"/>
        </w:rPr>
        <w:t> </w:t>
      </w:r>
      <w:r>
        <w:rPr/>
        <w:t>[56].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 w:after="2"/>
        <w:ind w:left="440" w:right="256" w:firstLine="720"/>
        <w:jc w:val="both"/>
      </w:pPr>
      <w:r>
        <w:rPr/>
        <w:t>The 2-ply specimen measured approximately 3-in. thick by 12-in. long by 12-in.</w:t>
      </w:r>
      <w:r>
        <w:rPr>
          <w:spacing w:val="1"/>
        </w:rPr>
        <w:t> </w:t>
      </w:r>
      <w:r>
        <w:rPr/>
        <w:t>wide.</w:t>
      </w:r>
      <w:r>
        <w:rPr>
          <w:spacing w:val="1"/>
        </w:rPr>
        <w:t> </w:t>
      </w:r>
      <w:r>
        <w:rPr/>
        <w:t>The size of the specimen allowed for seven rows of seven columns on each side of</w:t>
      </w:r>
      <w:r>
        <w:rPr>
          <w:spacing w:val="1"/>
        </w:rPr>
        <w:t> </w:t>
      </w:r>
      <w:r>
        <w:rPr/>
        <w:t>the specimen, for a total of 98 hardness test values recorded.</w:t>
      </w:r>
      <w:r>
        <w:rPr>
          <w:spacing w:val="1"/>
        </w:rPr>
        <w:t> </w:t>
      </w:r>
      <w:r>
        <w:rPr/>
        <w:t>Both faces were tested per</w:t>
      </w:r>
      <w:r>
        <w:rPr>
          <w:spacing w:val="1"/>
        </w:rPr>
        <w:t> </w:t>
      </w:r>
      <w:r>
        <w:rPr>
          <w:i/>
        </w:rPr>
        <w:t>ASTM D1037-12, Standard Test Methods for Evaluating Properties of Wood-Base Fiber</w:t>
      </w:r>
      <w:r>
        <w:rPr>
          <w:i/>
          <w:spacing w:val="1"/>
        </w:rPr>
        <w:t> </w:t>
      </w:r>
      <w:r>
        <w:rPr>
          <w:i/>
        </w:rPr>
        <w:t>and Particle Panel Material.</w:t>
      </w:r>
      <w:r>
        <w:rPr>
          <w:i/>
          <w:spacing w:val="1"/>
        </w:rPr>
        <w:t> </w:t>
      </w:r>
      <w:r>
        <w:rPr/>
        <w:t>The 3-ply specimen measured 4.25-in. thick by 12-in. long</w:t>
      </w:r>
      <w:r>
        <w:rPr>
          <w:spacing w:val="1"/>
        </w:rPr>
        <w:t> </w:t>
      </w:r>
      <w:r>
        <w:rPr/>
        <w:t>and 12-in. wide.</w:t>
      </w:r>
      <w:r>
        <w:rPr>
          <w:spacing w:val="1"/>
        </w:rPr>
        <w:t> </w:t>
      </w:r>
      <w:r>
        <w:rPr/>
        <w:t>The same test layout was adopted, allowing for 98 tests on the 3-ply</w:t>
      </w:r>
      <w:r>
        <w:rPr>
          <w:spacing w:val="1"/>
        </w:rPr>
        <w:t> </w:t>
      </w:r>
      <w:r>
        <w:rPr/>
        <w:t>specimen, bringing the total number of multi-ply tests to 196.</w:t>
      </w:r>
      <w:r>
        <w:rPr>
          <w:spacing w:val="1"/>
        </w:rPr>
        <w:t> </w:t>
      </w:r>
      <w:r>
        <w:rPr/>
        <w:t>Moisture contents were</w:t>
      </w:r>
      <w:r>
        <w:rPr>
          <w:spacing w:val="1"/>
        </w:rPr>
        <w:t> </w:t>
      </w:r>
      <w:r>
        <w:rPr/>
        <w:t>recorded</w:t>
      </w:r>
      <w:r>
        <w:rPr>
          <w:spacing w:val="-1"/>
        </w:rPr>
        <w:t> </w:t>
      </w:r>
      <w:r>
        <w:rPr/>
        <w:t>for all hardness</w:t>
      </w:r>
      <w:r>
        <w:rPr>
          <w:spacing w:val="-1"/>
        </w:rPr>
        <w:t> </w:t>
      </w:r>
      <w:r>
        <w:rPr/>
        <w:t>test specimens.</w:t>
      </w:r>
    </w:p>
    <w:p>
      <w:pPr>
        <w:pStyle w:val="BodyText"/>
        <w:ind w:left="1441"/>
        <w:rPr>
          <w:sz w:val="20"/>
        </w:rPr>
      </w:pPr>
      <w:r>
        <w:rPr>
          <w:sz w:val="20"/>
        </w:rPr>
        <w:drawing>
          <wp:inline distT="0" distB="0" distL="0" distR="0">
            <wp:extent cx="4250710" cy="3120390"/>
            <wp:effectExtent l="0" t="0" r="0" b="0"/>
            <wp:docPr id="45" name="image8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82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0710" cy="312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138"/>
        <w:ind w:left="179" w:right="0" w:firstLine="0"/>
        <w:jc w:val="center"/>
        <w:rPr>
          <w:i/>
          <w:sz w:val="24"/>
        </w:rPr>
      </w:pPr>
      <w:bookmarkStart w:name="_bookmark38" w:id="213"/>
      <w:bookmarkEnd w:id="213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4-11.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Janka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hardness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testing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set-up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with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progress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test.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4"/>
        <w:rPr>
          <w:i/>
          <w:sz w:val="37"/>
        </w:rPr>
      </w:pPr>
    </w:p>
    <w:p>
      <w:pPr>
        <w:pStyle w:val="BodyText"/>
        <w:spacing w:line="480" w:lineRule="auto"/>
        <w:ind w:left="439" w:right="257" w:firstLine="720"/>
        <w:jc w:val="both"/>
      </w:pPr>
      <w:r>
        <w:rPr/>
        <w:t>The</w:t>
      </w:r>
      <w:r>
        <w:rPr>
          <w:spacing w:val="-7"/>
        </w:rPr>
        <w:t> </w:t>
      </w:r>
      <w:r>
        <w:rPr/>
        <w:t>average</w:t>
      </w:r>
      <w:r>
        <w:rPr>
          <w:spacing w:val="-8"/>
        </w:rPr>
        <w:t> </w:t>
      </w:r>
      <w:r>
        <w:rPr/>
        <w:t>Janka</w:t>
      </w:r>
      <w:r>
        <w:rPr>
          <w:spacing w:val="-7"/>
        </w:rPr>
        <w:t> </w:t>
      </w:r>
      <w:r>
        <w:rPr/>
        <w:t>hardness</w:t>
      </w:r>
      <w:r>
        <w:rPr>
          <w:spacing w:val="-7"/>
        </w:rPr>
        <w:t> </w:t>
      </w:r>
      <w:r>
        <w:rPr/>
        <w:t>for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SPF-S</w:t>
      </w:r>
      <w:r>
        <w:rPr>
          <w:spacing w:val="-7"/>
        </w:rPr>
        <w:t> </w:t>
      </w:r>
      <w:r>
        <w:rPr/>
        <w:t>single-ply</w:t>
      </w:r>
      <w:r>
        <w:rPr>
          <w:spacing w:val="-7"/>
        </w:rPr>
        <w:t> </w:t>
      </w:r>
      <w:r>
        <w:rPr/>
        <w:t>specimens</w:t>
      </w:r>
      <w:r>
        <w:rPr>
          <w:spacing w:val="-6"/>
        </w:rPr>
        <w:t> </w:t>
      </w:r>
      <w:r>
        <w:rPr/>
        <w:t>was</w:t>
      </w:r>
      <w:r>
        <w:rPr>
          <w:spacing w:val="-7"/>
        </w:rPr>
        <w:t> </w:t>
      </w:r>
      <w:r>
        <w:rPr/>
        <w:t>606.3</w:t>
      </w:r>
      <w:r>
        <w:rPr>
          <w:spacing w:val="-6"/>
        </w:rPr>
        <w:t> </w:t>
      </w:r>
      <w:r>
        <w:rPr/>
        <w:t>pounds,</w:t>
      </w:r>
      <w:r>
        <w:rPr>
          <w:spacing w:val="-58"/>
        </w:rPr>
        <w:t> </w:t>
      </w:r>
      <w:r>
        <w:rPr/>
        <w:t>which was higher than expected based on the reference value [96].</w:t>
      </w:r>
      <w:r>
        <w:rPr>
          <w:spacing w:val="1"/>
        </w:rPr>
        <w:t> </w:t>
      </w:r>
      <w:r>
        <w:rPr/>
        <w:t>The average Janka</w:t>
      </w:r>
      <w:r>
        <w:rPr>
          <w:spacing w:val="1"/>
        </w:rPr>
        <w:t> </w:t>
      </w:r>
      <w:r>
        <w:rPr/>
        <w:t>hardness</w:t>
      </w:r>
      <w:r>
        <w:rPr>
          <w:spacing w:val="-11"/>
        </w:rPr>
        <w:t> </w:t>
      </w:r>
      <w:r>
        <w:rPr/>
        <w:t>for</w:t>
      </w:r>
      <w:r>
        <w:rPr>
          <w:spacing w:val="-10"/>
        </w:rPr>
        <w:t> </w:t>
      </w:r>
      <w:r>
        <w:rPr/>
        <w:t>the</w:t>
      </w:r>
      <w:r>
        <w:rPr>
          <w:spacing w:val="-8"/>
        </w:rPr>
        <w:t> </w:t>
      </w:r>
      <w:r>
        <w:rPr/>
        <w:t>Southern</w:t>
      </w:r>
      <w:r>
        <w:rPr>
          <w:spacing w:val="-11"/>
        </w:rPr>
        <w:t> </w:t>
      </w:r>
      <w:r>
        <w:rPr/>
        <w:t>Pine</w:t>
      </w:r>
      <w:r>
        <w:rPr>
          <w:spacing w:val="-8"/>
        </w:rPr>
        <w:t> </w:t>
      </w:r>
      <w:r>
        <w:rPr/>
        <w:t>single-ply</w:t>
      </w:r>
      <w:r>
        <w:rPr>
          <w:spacing w:val="-10"/>
        </w:rPr>
        <w:t> </w:t>
      </w:r>
      <w:r>
        <w:rPr/>
        <w:t>specimens</w:t>
      </w:r>
      <w:r>
        <w:rPr>
          <w:spacing w:val="-8"/>
        </w:rPr>
        <w:t> </w:t>
      </w:r>
      <w:r>
        <w:rPr/>
        <w:t>was</w:t>
      </w:r>
      <w:r>
        <w:rPr>
          <w:spacing w:val="-9"/>
        </w:rPr>
        <w:t> </w:t>
      </w:r>
      <w:r>
        <w:rPr/>
        <w:t>652.3</w:t>
      </w:r>
      <w:r>
        <w:rPr>
          <w:spacing w:val="-10"/>
        </w:rPr>
        <w:t> </w:t>
      </w:r>
      <w:r>
        <w:rPr/>
        <w:t>pounds,</w:t>
      </w:r>
      <w:r>
        <w:rPr>
          <w:spacing w:val="-9"/>
        </w:rPr>
        <w:t> </w:t>
      </w:r>
      <w:r>
        <w:rPr/>
        <w:t>which</w:t>
      </w:r>
      <w:r>
        <w:rPr>
          <w:spacing w:val="-10"/>
        </w:rPr>
        <w:t> </w:t>
      </w:r>
      <w:r>
        <w:rPr/>
        <w:t>was</w:t>
      </w:r>
      <w:r>
        <w:rPr>
          <w:spacing w:val="-10"/>
        </w:rPr>
        <w:t> </w:t>
      </w:r>
      <w:r>
        <w:rPr/>
        <w:t>slightly</w:t>
      </w:r>
      <w:r>
        <w:rPr>
          <w:spacing w:val="-58"/>
        </w:rPr>
        <w:t> </w:t>
      </w:r>
      <w:r>
        <w:rPr/>
        <w:t>lower</w:t>
      </w:r>
      <w:r>
        <w:rPr>
          <w:spacing w:val="-13"/>
        </w:rPr>
        <w:t> </w:t>
      </w:r>
      <w:r>
        <w:rPr/>
        <w:t>than</w:t>
      </w:r>
      <w:r>
        <w:rPr>
          <w:spacing w:val="-13"/>
        </w:rPr>
        <w:t> </w:t>
      </w:r>
      <w:r>
        <w:rPr/>
        <w:t>expected;</w:t>
      </w:r>
      <w:r>
        <w:rPr>
          <w:spacing w:val="-11"/>
        </w:rPr>
        <w:t> </w:t>
      </w:r>
      <w:hyperlink w:history="true" w:anchor="_bookmark39">
        <w:r>
          <w:rPr/>
          <w:t>Figure</w:t>
        </w:r>
        <w:r>
          <w:rPr>
            <w:spacing w:val="-11"/>
          </w:rPr>
          <w:t> </w:t>
        </w:r>
        <w:r>
          <w:rPr/>
          <w:t>4-12</w:t>
        </w:r>
        <w:r>
          <w:rPr>
            <w:spacing w:val="-12"/>
          </w:rPr>
          <w:t> </w:t>
        </w:r>
      </w:hyperlink>
      <w:r>
        <w:rPr/>
        <w:t>shows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histogram</w:t>
      </w:r>
      <w:r>
        <w:rPr>
          <w:spacing w:val="-13"/>
        </w:rPr>
        <w:t> </w:t>
      </w:r>
      <w:r>
        <w:rPr/>
        <w:t>of</w:t>
      </w:r>
      <w:r>
        <w:rPr>
          <w:spacing w:val="-13"/>
        </w:rPr>
        <w:t> </w:t>
      </w:r>
      <w:r>
        <w:rPr/>
        <w:t>Southern</w:t>
      </w:r>
      <w:r>
        <w:rPr>
          <w:spacing w:val="-13"/>
        </w:rPr>
        <w:t> </w:t>
      </w:r>
      <w:r>
        <w:rPr/>
        <w:t>Pine</w:t>
      </w:r>
      <w:r>
        <w:rPr>
          <w:spacing w:val="-12"/>
        </w:rPr>
        <w:t> </w:t>
      </w:r>
      <w:r>
        <w:rPr/>
        <w:t>and</w:t>
      </w:r>
      <w:r>
        <w:rPr>
          <w:spacing w:val="-12"/>
        </w:rPr>
        <w:t> </w:t>
      </w:r>
      <w:r>
        <w:rPr/>
        <w:t>SPF-S</w:t>
      </w:r>
      <w:r>
        <w:rPr>
          <w:spacing w:val="-12"/>
        </w:rPr>
        <w:t> </w:t>
      </w:r>
      <w:r>
        <w:rPr/>
        <w:t>lumber,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40" w:right="257"/>
        <w:jc w:val="both"/>
      </w:pPr>
      <w:r>
        <w:rPr/>
        <w:t>normalized</w:t>
      </w:r>
      <w:r>
        <w:rPr>
          <w:spacing w:val="-6"/>
        </w:rPr>
        <w:t> </w:t>
      </w:r>
      <w:r>
        <w:rPr/>
        <w:t>by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total</w:t>
      </w:r>
      <w:r>
        <w:rPr>
          <w:spacing w:val="-7"/>
        </w:rPr>
        <w:t> </w:t>
      </w:r>
      <w:r>
        <w:rPr/>
        <w:t>number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specimens,</w:t>
      </w:r>
      <w:r>
        <w:rPr>
          <w:spacing w:val="-6"/>
        </w:rPr>
        <w:t> </w:t>
      </w:r>
      <w:r>
        <w:rPr/>
        <w:t>with</w:t>
      </w:r>
      <w:r>
        <w:rPr>
          <w:spacing w:val="-6"/>
        </w:rPr>
        <w:t> </w:t>
      </w:r>
      <w:r>
        <w:rPr/>
        <w:t>a</w:t>
      </w:r>
      <w:r>
        <w:rPr>
          <w:spacing w:val="-6"/>
        </w:rPr>
        <w:t> </w:t>
      </w:r>
      <w:r>
        <w:rPr/>
        <w:t>bin</w:t>
      </w:r>
      <w:r>
        <w:rPr>
          <w:spacing w:val="-6"/>
        </w:rPr>
        <w:t> </w:t>
      </w:r>
      <w:r>
        <w:rPr/>
        <w:t>size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50</w:t>
      </w:r>
      <w:r>
        <w:rPr>
          <w:spacing w:val="-6"/>
        </w:rPr>
        <w:t> </w:t>
      </w:r>
      <w:r>
        <w:rPr/>
        <w:t>pounds.</w:t>
      </w:r>
      <w:r>
        <w:rPr>
          <w:spacing w:val="48"/>
        </w:rPr>
        <w:t> </w:t>
      </w:r>
      <w:r>
        <w:rPr/>
        <w:t>High</w:t>
      </w:r>
      <w:r>
        <w:rPr>
          <w:spacing w:val="-5"/>
        </w:rPr>
        <w:t> </w:t>
      </w:r>
      <w:r>
        <w:rPr/>
        <w:t>hardness</w:t>
      </w:r>
      <w:r>
        <w:rPr>
          <w:spacing w:val="-58"/>
        </w:rPr>
        <w:t> </w:t>
      </w:r>
      <w:r>
        <w:rPr/>
        <w:t>values tend to represent the presence of knots in the wood in that location or close</w:t>
      </w:r>
      <w:r>
        <w:rPr>
          <w:spacing w:val="1"/>
        </w:rPr>
        <w:t> </w:t>
      </w:r>
      <w:r>
        <w:rPr/>
        <w:t>proximity.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1"/>
        </w:rPr>
      </w:pPr>
    </w:p>
    <w:p>
      <w:pPr>
        <w:spacing w:before="99"/>
        <w:ind w:left="1096" w:right="0" w:firstLine="0"/>
        <w:jc w:val="left"/>
        <w:rPr>
          <w:sz w:val="18"/>
        </w:rPr>
      </w:pPr>
      <w:r>
        <w:rPr/>
        <w:pict>
          <v:group style="position:absolute;margin-left:158.346252pt;margin-top:9.853339pt;width:374.5pt;height:216.8pt;mso-position-horizontal-relative:page;mso-position-vertical-relative:paragraph;z-index:15777792" coordorigin="3167,197" coordsize="7490,4336">
            <v:rect style="position:absolute;left:3174;top:204;width:7474;height:4320" filled="false" stroked="true" strokeweight=".777637pt" strokecolor="#000000">
              <v:stroke dashstyle="solid"/>
            </v:rect>
            <v:line style="position:absolute" from="3851,4524" to="3851,4412" stroked="true" strokeweight=".777724pt" strokecolor="#000000">
              <v:stroke dashstyle="solid"/>
            </v:line>
            <v:line style="position:absolute" from="4532,4524" to="4532,4412" stroked="true" strokeweight=".777724pt" strokecolor="#000000">
              <v:stroke dashstyle="solid"/>
            </v:line>
            <v:line style="position:absolute" from="5212,4524" to="5212,4412" stroked="true" strokeweight=".777724pt" strokecolor="#000000">
              <v:stroke dashstyle="solid"/>
            </v:line>
            <v:line style="position:absolute" from="5893,4524" to="5893,4412" stroked="true" strokeweight=".777724pt" strokecolor="#000000">
              <v:stroke dashstyle="solid"/>
            </v:line>
            <v:line style="position:absolute" from="6569,4524" to="6569,4412" stroked="true" strokeweight=".777724pt" strokecolor="#000000">
              <v:stroke dashstyle="solid"/>
            </v:line>
            <v:line style="position:absolute" from="7250,4524" to="7250,4412" stroked="true" strokeweight=".777724pt" strokecolor="#000000">
              <v:stroke dashstyle="solid"/>
            </v:line>
            <v:line style="position:absolute" from="7930,4524" to="7930,4412" stroked="true" strokeweight=".777724pt" strokecolor="#000000">
              <v:stroke dashstyle="solid"/>
            </v:line>
            <v:line style="position:absolute" from="8607,4524" to="8607,4412" stroked="true" strokeweight=".777724pt" strokecolor="#000000">
              <v:stroke dashstyle="solid"/>
            </v:line>
            <v:line style="position:absolute" from="9288,4524" to="9288,4412" stroked="true" strokeweight=".777724pt" strokecolor="#000000">
              <v:stroke dashstyle="solid"/>
            </v:line>
            <v:line style="position:absolute" from="9968,4524" to="9968,4412" stroked="true" strokeweight=".777724pt" strokecolor="#000000">
              <v:stroke dashstyle="solid"/>
            </v:line>
            <v:line style="position:absolute" from="3851,205" to="3851,318" stroked="true" strokeweight=".777724pt" strokecolor="#000000">
              <v:stroke dashstyle="solid"/>
            </v:line>
            <v:line style="position:absolute" from="4532,205" to="4532,318" stroked="true" strokeweight=".777724pt" strokecolor="#000000">
              <v:stroke dashstyle="solid"/>
            </v:line>
            <v:line style="position:absolute" from="5212,205" to="5212,318" stroked="true" strokeweight=".777724pt" strokecolor="#000000">
              <v:stroke dashstyle="solid"/>
            </v:line>
            <v:line style="position:absolute" from="5893,205" to="5893,318" stroked="true" strokeweight=".777724pt" strokecolor="#000000">
              <v:stroke dashstyle="solid"/>
            </v:line>
            <v:line style="position:absolute" from="6569,205" to="6569,318" stroked="true" strokeweight=".777724pt" strokecolor="#000000">
              <v:stroke dashstyle="solid"/>
            </v:line>
            <v:line style="position:absolute" from="7250,205" to="7250,318" stroked="true" strokeweight=".777724pt" strokecolor="#000000">
              <v:stroke dashstyle="solid"/>
            </v:line>
            <v:line style="position:absolute" from="7930,205" to="7930,318" stroked="true" strokeweight=".777724pt" strokecolor="#000000">
              <v:stroke dashstyle="solid"/>
            </v:line>
            <v:line style="position:absolute" from="8607,205" to="8607,318" stroked="true" strokeweight=".777724pt" strokecolor="#000000">
              <v:stroke dashstyle="solid"/>
            </v:line>
            <v:line style="position:absolute" from="9288,205" to="9288,318" stroked="true" strokeweight=".777724pt" strokecolor="#000000">
              <v:stroke dashstyle="solid"/>
            </v:line>
            <v:line style="position:absolute" from="9968,205" to="9968,318" stroked="true" strokeweight=".777724pt" strokecolor="#000000">
              <v:stroke dashstyle="solid"/>
            </v:line>
            <v:shape style="position:absolute;left:3174;top:1067;width:7474;height:2594" coordorigin="3175,1068" coordsize="7474,2594" path="m3175,3661l4722,3661m4851,3661l4893,3661m5022,3661l5061,3661m5189,3661l5232,3661m5360,3661l5403,3661m5531,3661l5574,3661m5702,3661l5741,3661m5870,3661l5912,3661m6041,3661l6083,3661m6212,3661l6251,3661m6379,3661l6422,3661m6550,3661l6593,3661m6721,3661l7102,3661m7231,3661l8121,3661m8249,3661l10649,3661m3175,2794l5061,2794m5189,2794l5232,2794m5360,2794l5574,2794m5702,2794l5741,2794m5870,2794l5912,2794m6041,2794l6083,2794m6212,2794l6251,2794m6379,2794l6422,2794m6550,2794l10649,2794m3175,1931l5574,1931m5702,1931l6083,1931m6212,1931l10649,1931m3175,1068l5574,1068m5702,1068l10649,1068e" filled="false" stroked="true" strokeweight=".777608pt" strokecolor="#c1c1c1">
              <v:path arrowok="t"/>
              <v:stroke dashstyle="solid"/>
            </v:shape>
            <v:rect style="position:absolute;left:3532;top:4438;width:129;height:86" filled="true" fillcolor="#ff0000" stroked="false">
              <v:fill type="solid"/>
            </v:rect>
            <v:rect style="position:absolute;left:3532;top:4438;width:129;height:86" filled="false" stroked="true" strokeweight=".777644pt" strokecolor="#000000">
              <v:stroke dashstyle="solid"/>
            </v:rect>
            <v:rect style="position:absolute;left:3874;top:3945;width:129;height:580" filled="true" fillcolor="#ff0000" stroked="false">
              <v:fill type="solid"/>
            </v:rect>
            <v:rect style="position:absolute;left:3874;top:3945;width:125;height:580" filled="false" stroked="true" strokeweight=".777719pt" strokecolor="#000000">
              <v:stroke dashstyle="solid"/>
            </v:rect>
            <v:rect style="position:absolute;left:4212;top:3696;width:129;height:829" filled="true" fillcolor="#ff0000" stroked="false">
              <v:fill type="solid"/>
            </v:rect>
            <v:rect style="position:absolute;left:4212;top:3696;width:129;height:829" filled="false" stroked="true" strokeweight=".777722pt" strokecolor="#000000">
              <v:stroke dashstyle="solid"/>
            </v:rect>
            <v:rect style="position:absolute;left:4555;top:4193;width:125;height:331" filled="true" fillcolor="#ff0000" stroked="false">
              <v:fill type="solid"/>
            </v:rect>
            <v:rect style="position:absolute;left:4555;top:4193;width:125;height:331" filled="false" stroked="true" strokeweight=".77771pt" strokecolor="#000000">
              <v:stroke dashstyle="solid"/>
            </v:rect>
            <v:rect style="position:absolute;left:4893;top:2953;width:129;height:1571" filled="true" fillcolor="#ff0000" stroked="false">
              <v:fill type="solid"/>
            </v:rect>
            <v:rect style="position:absolute;left:4893;top:2953;width:129;height:1571" filled="false" stroked="true" strokeweight=".777724pt" strokecolor="#000000">
              <v:stroke dashstyle="solid"/>
            </v:rect>
            <v:rect style="position:absolute;left:5231;top:2207;width:129;height:2318" filled="true" fillcolor="#ff0000" stroked="false">
              <v:fill type="solid"/>
            </v:rect>
            <v:rect style="position:absolute;left:5231;top:2207;width:129;height:2318" filled="false" stroked="true" strokeweight=".777724pt" strokecolor="#000000">
              <v:stroke dashstyle="solid"/>
            </v:rect>
            <v:rect style="position:absolute;left:5573;top:640;width:129;height:3885" filled="true" fillcolor="#ff0000" stroked="false">
              <v:fill type="solid"/>
            </v:rect>
            <v:rect style="position:absolute;left:5573;top:640;width:125;height:3885" filled="false" stroked="true" strokeweight=".777724pt" strokecolor="#000000">
              <v:stroke dashstyle="solid"/>
            </v:rect>
            <v:rect style="position:absolute;left:5912;top:1962;width:129;height:2563" filled="true" fillcolor="#ff0000" stroked="false">
              <v:fill type="solid"/>
            </v:rect>
            <v:rect style="position:absolute;left:5912;top:1962;width:129;height:2563" filled="false" stroked="true" strokeweight=".777724pt" strokecolor="#000000">
              <v:stroke dashstyle="solid"/>
            </v:rect>
            <v:rect style="position:absolute;left:6250;top:2043;width:129;height:2481" filled="true" fillcolor="#ff0000" stroked="false">
              <v:fill type="solid"/>
            </v:rect>
            <v:rect style="position:absolute;left:6250;top:2043;width:129;height:2481" filled="false" stroked="true" strokeweight=".777724pt" strokecolor="#000000">
              <v:stroke dashstyle="solid"/>
            </v:rect>
            <v:rect style="position:absolute;left:6592;top:3365;width:129;height:1159" filled="true" fillcolor="#ff0000" stroked="false">
              <v:fill type="solid"/>
            </v:rect>
            <v:rect style="position:absolute;left:6592;top:3365;width:125;height:1159" filled="false" stroked="true" strokeweight=".777723pt" strokecolor="#000000">
              <v:stroke dashstyle="solid"/>
            </v:rect>
            <v:rect style="position:absolute;left:6931;top:4112;width:129;height:413" filled="true" fillcolor="#ff0000" stroked="false">
              <v:fill type="solid"/>
            </v:rect>
            <v:rect style="position:absolute;left:6931;top:4112;width:129;height:413" filled="false" stroked="true" strokeweight=".777714pt" strokecolor="#000000">
              <v:stroke dashstyle="solid"/>
            </v:rect>
            <v:rect style="position:absolute;left:7269;top:4438;width:129;height:86" filled="true" fillcolor="#ff0000" stroked="false">
              <v:fill type="solid"/>
            </v:rect>
            <v:rect style="position:absolute;left:7269;top:4438;width:129;height:86" filled="false" stroked="true" strokeweight=".777644pt" strokecolor="#000000">
              <v:stroke dashstyle="solid"/>
            </v:rect>
            <v:rect style="position:absolute;left:7611;top:4357;width:129;height:168" filled="true" fillcolor="#ff0000" stroked="false">
              <v:fill type="solid"/>
            </v:rect>
            <v:rect style="position:absolute;left:7611;top:4357;width:129;height:168" filled="false" stroked="true" strokeweight=".777681pt" strokecolor="#000000">
              <v:stroke dashstyle="solid"/>
            </v:rect>
            <v:rect style="position:absolute;left:7949;top:4275;width:129;height:249" filled="true" fillcolor="#ff0000" stroked="false">
              <v:fill type="solid"/>
            </v:rect>
            <v:rect style="position:absolute;left:7949;top:4275;width:129;height:249" filled="false" stroked="true" strokeweight=".77770pt" strokecolor="#000000">
              <v:stroke dashstyle="solid"/>
            </v:rect>
            <v:rect style="position:absolute;left:8292;top:4357;width:129;height:168" filled="true" fillcolor="#ff0000" stroked="false">
              <v:fill type="solid"/>
            </v:rect>
            <v:rect style="position:absolute;left:8292;top:4357;width:125;height:168" filled="false" stroked="true" strokeweight=".777683pt" strokecolor="#000000">
              <v:stroke dashstyle="solid"/>
            </v:rect>
            <v:rect style="position:absolute;left:8630;top:4438;width:129;height:86" filled="true" fillcolor="#ff0000" stroked="false">
              <v:fill type="solid"/>
            </v:rect>
            <v:rect style="position:absolute;left:8630;top:4438;width:129;height:86" filled="false" stroked="true" strokeweight=".777644pt" strokecolor="#000000">
              <v:stroke dashstyle="solid"/>
            </v:rect>
            <v:shape style="position:absolute;left:8968;top:4524;width:129;height:2" coordorigin="8969,4524" coordsize="129,0" path="m9097,4524l8969,4524e" filled="true" fillcolor="#ff0000" stroked="false">
              <v:path arrowok="t"/>
              <v:fill type="solid"/>
            </v:shape>
            <v:shape style="position:absolute;left:8968;top:4524;width:129;height:2" coordorigin="8969,4524" coordsize="129,0" path="m8969,4524l9097,4524,8969,4524xe" filled="false" stroked="true" strokeweight=".777608pt" strokecolor="#000000">
              <v:path arrowok="t"/>
              <v:stroke dashstyle="solid"/>
            </v:shape>
            <v:shape style="position:absolute;left:9310;top:4524;width:129;height:2" coordorigin="9311,4524" coordsize="129,0" path="m9439,4524l9311,4524e" filled="true" fillcolor="#ff0000" stroked="false">
              <v:path arrowok="t"/>
              <v:fill type="solid"/>
            </v:shape>
            <v:shape style="position:absolute;left:9310;top:4524;width:129;height:2" coordorigin="9311,4524" coordsize="129,0" path="m9311,4524l9439,4524,9311,4524xe" filled="false" stroked="true" strokeweight=".777608pt" strokecolor="#000000">
              <v:path arrowok="t"/>
              <v:stroke dashstyle="solid"/>
            </v:shape>
            <v:shape style="position:absolute;left:9649;top:4524;width:129;height:2" coordorigin="9649,4524" coordsize="129,0" path="m9778,4524l9649,4524e" filled="true" fillcolor="#ff0000" stroked="false">
              <v:path arrowok="t"/>
              <v:fill type="solid"/>
            </v:shape>
            <v:shape style="position:absolute;left:9649;top:4524;width:129;height:2" coordorigin="9649,4524" coordsize="129,0" path="m9649,4524l9778,4524,9649,4524xe" filled="false" stroked="true" strokeweight=".777608pt" strokecolor="#000000">
              <v:path arrowok="t"/>
              <v:stroke dashstyle="solid"/>
            </v:shape>
            <v:shape style="position:absolute;left:9987;top:4524;width:129;height:2" coordorigin="9988,4524" coordsize="129,0" path="m10116,4524l9988,4524e" filled="true" fillcolor="#ff0000" stroked="false">
              <v:path arrowok="t"/>
              <v:fill type="solid"/>
            </v:shape>
            <v:shape style="position:absolute;left:9987;top:4524;width:129;height:2" coordorigin="9988,4524" coordsize="129,0" path="m9988,4524l10116,4524,9988,4524xe" filled="false" stroked="true" strokeweight=".777608pt" strokecolor="#000000">
              <v:path arrowok="t"/>
              <v:stroke dashstyle="solid"/>
            </v:shape>
            <v:rect style="position:absolute;left:10329;top:4438;width:129;height:86" filled="true" fillcolor="#ff0000" stroked="false">
              <v:fill type="solid"/>
            </v:rect>
            <v:rect style="position:absolute;left:10329;top:4438;width:129;height:86" filled="false" stroked="true" strokeweight=".777644pt" strokecolor="#000000">
              <v:stroke dashstyle="solid"/>
            </v:rect>
            <v:shape style="position:absolute;left:3703;top:4524;width:129;height:2" coordorigin="3704,4524" coordsize="129,0" path="m3832,4524l3704,4524e" filled="true" fillcolor="#0000ff" stroked="false">
              <v:path arrowok="t"/>
              <v:fill type="solid"/>
            </v:shape>
            <v:shape style="position:absolute;left:3703;top:4524;width:129;height:2" coordorigin="3704,4524" coordsize="129,0" path="m3704,4524l3832,4524,3704,4524xe" filled="false" stroked="true" strokeweight=".777608pt" strokecolor="#000000">
              <v:path arrowok="t"/>
              <v:stroke dashstyle="solid"/>
            </v:shape>
            <v:shape style="position:absolute;left:4041;top:4524;width:129;height:2" coordorigin="4042,4524" coordsize="129,0" path="m4170,4524l4042,4524e" filled="true" fillcolor="#0000ff" stroked="false">
              <v:path arrowok="t"/>
              <v:fill type="solid"/>
            </v:shape>
            <v:shape style="position:absolute;left:4041;top:4524;width:129;height:2" coordorigin="4042,4524" coordsize="129,0" path="m4042,4524l4170,4524,4042,4524xe" filled="false" stroked="true" strokeweight=".777608pt" strokecolor="#000000">
              <v:path arrowok="t"/>
              <v:stroke dashstyle="solid"/>
            </v:shape>
            <v:rect style="position:absolute;left:4384;top:4260;width:129;height:265" filled="true" fillcolor="#0000ff" stroked="false">
              <v:fill type="solid"/>
            </v:rect>
            <v:rect style="position:absolute;left:4384;top:4260;width:129;height:265" filled="false" stroked="true" strokeweight=".777702pt" strokecolor="#000000">
              <v:stroke dashstyle="solid"/>
            </v:rect>
            <v:rect style="position:absolute;left:4722;top:3470;width:129;height:1054" filled="true" fillcolor="#0000ff" stroked="false">
              <v:fill type="solid"/>
            </v:rect>
            <v:rect style="position:absolute;left:4722;top:3470;width:129;height:1054" filled="false" stroked="true" strokeweight=".777723pt" strokecolor="#000000">
              <v:stroke dashstyle="solid"/>
            </v:rect>
            <v:rect style="position:absolute;left:5060;top:2242;width:129;height:2283" filled="true" fillcolor="#0000ff" stroked="false">
              <v:fill type="solid"/>
            </v:rect>
            <v:rect style="position:absolute;left:5060;top:2242;width:129;height:2283" filled="false" stroked="true" strokeweight=".777724pt" strokecolor="#000000">
              <v:stroke dashstyle="solid"/>
            </v:rect>
            <v:rect style="position:absolute;left:5402;top:3031;width:129;height:1493" filled="true" fillcolor="#0000ff" stroked="false">
              <v:fill type="solid"/>
            </v:rect>
            <v:rect style="position:absolute;left:5402;top:3031;width:129;height:1493" filled="false" stroked="true" strokeweight=".777724pt" strokecolor="#000000">
              <v:stroke dashstyle="solid"/>
            </v:rect>
            <v:rect style="position:absolute;left:5741;top:2595;width:129;height:1929" filled="true" fillcolor="#0000ff" stroked="false">
              <v:fill type="solid"/>
            </v:rect>
            <v:rect style="position:absolute;left:5741;top:2595;width:129;height:1929" filled="false" stroked="true" strokeweight=".777724pt" strokecolor="#000000">
              <v:stroke dashstyle="solid"/>
            </v:rect>
            <v:rect style="position:absolute;left:6083;top:1102;width:129;height:3422" filled="true" fillcolor="#0000ff" stroked="false">
              <v:fill type="solid"/>
            </v:rect>
            <v:rect style="position:absolute;left:6083;top:1102;width:129;height:3422" filled="false" stroked="true" strokeweight=".777724pt" strokecolor="#000000">
              <v:stroke dashstyle="solid"/>
            </v:rect>
            <v:rect style="position:absolute;left:6421;top:2421;width:129;height:2104" filled="true" fillcolor="#0000ff" stroked="false">
              <v:fill type="solid"/>
            </v:rect>
            <v:rect style="position:absolute;left:6421;top:2421;width:129;height:2104" filled="false" stroked="true" strokeweight=".777724pt" strokecolor="#000000">
              <v:stroke dashstyle="solid"/>
            </v:rect>
            <v:rect style="position:absolute;left:6760;top:3735;width:129;height:790" filled="true" fillcolor="#0000ff" stroked="false">
              <v:fill type="solid"/>
            </v:rect>
            <v:rect style="position:absolute;left:6760;top:3735;width:129;height:790" filled="false" stroked="true" strokeweight=".777721pt" strokecolor="#000000">
              <v:stroke dashstyle="solid"/>
            </v:rect>
            <v:rect style="position:absolute;left:7102;top:3385;width:129;height:1140" filled="true" fillcolor="#0000ff" stroked="false">
              <v:fill type="solid"/>
            </v:rect>
            <v:rect style="position:absolute;left:7102;top:3385;width:129;height:1140" filled="false" stroked="true" strokeweight=".777723pt" strokecolor="#000000">
              <v:stroke dashstyle="solid"/>
            </v:rect>
            <v:rect style="position:absolute;left:7440;top:4260;width:129;height:265" filled="true" fillcolor="#0000ff" stroked="false">
              <v:fill type="solid"/>
            </v:rect>
            <v:rect style="position:absolute;left:7440;top:4260;width:129;height:265" filled="false" stroked="true" strokeweight=".777702pt" strokecolor="#000000">
              <v:stroke dashstyle="solid"/>
            </v:rect>
            <v:rect style="position:absolute;left:7782;top:3995;width:125;height:529" filled="true" fillcolor="#0000ff" stroked="false">
              <v:fill type="solid"/>
            </v:rect>
            <v:rect style="position:absolute;left:7782;top:3995;width:125;height:529" filled="false" stroked="true" strokeweight=".777718pt" strokecolor="#000000">
              <v:stroke dashstyle="solid"/>
            </v:rect>
            <v:rect style="position:absolute;left:8121;top:3385;width:129;height:1140" filled="true" fillcolor="#0000ff" stroked="false">
              <v:fill type="solid"/>
            </v:rect>
            <v:rect style="position:absolute;left:8121;top:3385;width:129;height:1140" filled="false" stroked="true" strokeweight=".777723pt" strokecolor="#000000">
              <v:stroke dashstyle="solid"/>
            </v:rect>
            <v:rect style="position:absolute;left:8459;top:4260;width:129;height:265" filled="true" fillcolor="#0000ff" stroked="false">
              <v:fill type="solid"/>
            </v:rect>
            <v:rect style="position:absolute;left:8459;top:4260;width:129;height:265" filled="false" stroked="true" strokeweight=".777702pt" strokecolor="#000000">
              <v:stroke dashstyle="solid"/>
            </v:rect>
            <v:rect style="position:absolute;left:8801;top:4345;width:129;height:179" filled="true" fillcolor="#0000ff" stroked="false">
              <v:fill type="solid"/>
            </v:rect>
            <v:rect style="position:absolute;left:8801;top:4345;width:125;height:179" filled="false" stroked="true" strokeweight=".777686pt" strokecolor="#000000">
              <v:stroke dashstyle="solid"/>
            </v:rect>
            <v:rect style="position:absolute;left:9139;top:4435;width:129;height:90" filled="true" fillcolor="#0000ff" stroked="false">
              <v:fill type="solid"/>
            </v:rect>
            <v:rect style="position:absolute;left:9139;top:4435;width:129;height:90" filled="false" stroked="true" strokeweight=".777646pt" strokecolor="#000000">
              <v:stroke dashstyle="solid"/>
            </v:rect>
            <v:shape style="position:absolute;left:9482;top:4524;width:125;height:2" coordorigin="9482,4524" coordsize="125,0" path="m9606,4524l9482,4524e" filled="true" fillcolor="#0000ff" stroked="false">
              <v:path arrowok="t"/>
              <v:fill type="solid"/>
            </v:shape>
            <v:shape style="position:absolute;left:9482;top:4524;width:125;height:2" coordorigin="9482,4524" coordsize="125,0" path="m9482,4524l9606,4524,9482,4524xe" filled="false" stroked="true" strokeweight=".777608pt" strokecolor="#000000">
              <v:path arrowok="t"/>
              <v:stroke dashstyle="solid"/>
            </v:shape>
            <v:shape style="position:absolute;left:9820;top:4524;width:129;height:2" coordorigin="9820,4524" coordsize="129,0" path="m9949,4524l9820,4524e" filled="true" fillcolor="#0000ff" stroked="false">
              <v:path arrowok="t"/>
              <v:fill type="solid"/>
            </v:shape>
            <v:shape style="position:absolute;left:9820;top:4524;width:129;height:2" coordorigin="9820,4524" coordsize="129,0" path="m9820,4524l9949,4524,9820,4524xe" filled="false" stroked="true" strokeweight=".777608pt" strokecolor="#000000">
              <v:path arrowok="t"/>
              <v:stroke dashstyle="solid"/>
            </v:shape>
            <v:rect style="position:absolute;left:10158;top:4435;width:129;height:90" filled="true" fillcolor="#0000ff" stroked="false">
              <v:fill type="solid"/>
            </v:rect>
            <v:rect style="position:absolute;left:10158;top:4435;width:129;height:90" filled="false" stroked="true" strokeweight=".777646pt" strokecolor="#000000">
              <v:stroke dashstyle="solid"/>
            </v:rect>
            <v:shape style="position:absolute;left:10500;top:4524;width:129;height:2" coordorigin="10501,4524" coordsize="129,0" path="m10629,4524l10501,4524e" filled="true" fillcolor="#0000ff" stroked="false">
              <v:path arrowok="t"/>
              <v:fill type="solid"/>
            </v:shape>
            <v:shape style="position:absolute;left:10500;top:4524;width:125;height:2" coordorigin="10501,4524" coordsize="125,0" path="m10501,4524l10625,4524,10501,4524xe" filled="false" stroked="true" strokeweight=".777608pt" strokecolor="#000000">
              <v:path arrowok="t"/>
              <v:stroke dashstyle="solid"/>
            </v:shape>
            <v:rect style="position:absolute;left:9209;top:504;width:522;height:156" filled="true" fillcolor="#ff0000" stroked="false">
              <v:fill type="solid"/>
            </v:rect>
            <v:rect style="position:absolute;left:9209;top:504;width:522;height:156" filled="false" stroked="true" strokeweight=".777617pt" strokecolor="#000000">
              <v:stroke dashstyle="solid"/>
            </v:rect>
            <v:rect style="position:absolute;left:9209;top:741;width:522;height:156" filled="true" fillcolor="#0000ff" stroked="false">
              <v:fill type="solid"/>
            </v:rect>
            <v:rect style="position:absolute;left:9209;top:741;width:522;height:156" filled="false" stroked="true" strokeweight=".777617pt" strokecolor="#000000">
              <v:stroke dashstyle="solid"/>
            </v:rect>
            <v:shape style="position:absolute;left:9832;top:466;width:497;height:444" type="#_x0000_t202" filled="false" stroked="false">
              <v:textbox inset="0,0,0,0">
                <w:txbxContent>
                  <w:p>
                    <w:pPr>
                      <w:spacing w:line="205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w w:val="105"/>
                        <w:sz w:val="18"/>
                      </w:rPr>
                      <w:t>SPF-S</w:t>
                    </w:r>
                  </w:p>
                  <w:p>
                    <w:pPr>
                      <w:spacing w:before="3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w w:val="105"/>
                        <w:sz w:val="18"/>
                      </w:rPr>
                      <w:t>SYP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105"/>
          <w:sz w:val="18"/>
        </w:rPr>
        <w:t>25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8"/>
        </w:rPr>
      </w:pPr>
    </w:p>
    <w:p>
      <w:pPr>
        <w:spacing w:before="98"/>
        <w:ind w:left="1096" w:right="0" w:firstLine="0"/>
        <w:jc w:val="left"/>
        <w:rPr>
          <w:sz w:val="18"/>
        </w:rPr>
      </w:pPr>
      <w:r>
        <w:rPr/>
        <w:pict>
          <v:shape style="position:absolute;margin-left:113.035172pt;margin-top:14.42573pt;width:14.1pt;height:134.8pt;mso-position-horizontal-relative:page;mso-position-vertical-relative:paragraph;z-index:15778304" type="#_x0000_t202" filled="false" stroked="false">
            <v:textbox inset="0,0,0,0" style="layout-flow:vertical;mso-layout-flow-alt:bottom-to-top">
              <w:txbxContent>
                <w:p>
                  <w:pPr>
                    <w:spacing w:before="18"/>
                    <w:ind w:left="20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pacing w:val="-1"/>
                      <w:w w:val="105"/>
                      <w:sz w:val="21"/>
                    </w:rPr>
                    <w:t>Percent</w:t>
                  </w:r>
                  <w:r>
                    <w:rPr>
                      <w:b/>
                      <w:spacing w:val="-13"/>
                      <w:w w:val="105"/>
                      <w:sz w:val="21"/>
                    </w:rPr>
                    <w:t> </w:t>
                  </w:r>
                  <w:r>
                    <w:rPr>
                      <w:b/>
                      <w:w w:val="105"/>
                      <w:sz w:val="21"/>
                    </w:rPr>
                    <w:t>of</w:t>
                  </w:r>
                  <w:r>
                    <w:rPr>
                      <w:b/>
                      <w:spacing w:val="-9"/>
                      <w:w w:val="105"/>
                      <w:sz w:val="21"/>
                    </w:rPr>
                    <w:t> </w:t>
                  </w:r>
                  <w:r>
                    <w:rPr>
                      <w:b/>
                      <w:w w:val="105"/>
                      <w:sz w:val="21"/>
                    </w:rPr>
                    <w:t>Specimens</w:t>
                  </w:r>
                  <w:r>
                    <w:rPr>
                      <w:b/>
                      <w:spacing w:val="-10"/>
                      <w:w w:val="105"/>
                      <w:sz w:val="21"/>
                    </w:rPr>
                    <w:t> </w:t>
                  </w:r>
                  <w:r>
                    <w:rPr>
                      <w:b/>
                      <w:w w:val="105"/>
                      <w:sz w:val="21"/>
                    </w:rPr>
                    <w:t>Tested</w:t>
                  </w:r>
                </w:p>
              </w:txbxContent>
            </v:textbox>
            <w10:wrap type="none"/>
          </v:shape>
        </w:pict>
      </w:r>
      <w:r>
        <w:rPr>
          <w:w w:val="105"/>
          <w:sz w:val="18"/>
        </w:rPr>
        <w:t>20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8"/>
        </w:rPr>
      </w:pPr>
    </w:p>
    <w:p>
      <w:pPr>
        <w:spacing w:before="98"/>
        <w:ind w:left="1096" w:right="0" w:firstLine="0"/>
        <w:jc w:val="left"/>
        <w:rPr>
          <w:sz w:val="18"/>
        </w:rPr>
      </w:pPr>
      <w:r>
        <w:rPr>
          <w:w w:val="105"/>
          <w:sz w:val="18"/>
        </w:rPr>
        <w:t>15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8"/>
        </w:rPr>
      </w:pPr>
    </w:p>
    <w:p>
      <w:pPr>
        <w:spacing w:before="98"/>
        <w:ind w:left="1096" w:right="0" w:firstLine="0"/>
        <w:jc w:val="left"/>
        <w:rPr>
          <w:sz w:val="18"/>
        </w:rPr>
      </w:pPr>
      <w:r>
        <w:rPr>
          <w:w w:val="105"/>
          <w:sz w:val="18"/>
        </w:rPr>
        <w:t>10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8"/>
        </w:rPr>
      </w:pPr>
    </w:p>
    <w:p>
      <w:pPr>
        <w:spacing w:before="99"/>
        <w:ind w:left="1190" w:right="0" w:firstLine="0"/>
        <w:jc w:val="left"/>
        <w:rPr>
          <w:sz w:val="18"/>
        </w:rPr>
      </w:pPr>
      <w:r>
        <w:rPr>
          <w:w w:val="103"/>
          <w:sz w:val="18"/>
        </w:rPr>
        <w:t>5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8"/>
        </w:rPr>
      </w:pPr>
    </w:p>
    <w:p>
      <w:pPr>
        <w:spacing w:after="0"/>
        <w:rPr>
          <w:sz w:val="28"/>
        </w:rPr>
        <w:sectPr>
          <w:pgSz w:w="12240" w:h="15840"/>
          <w:pgMar w:header="0" w:footer="1064" w:top="1360" w:bottom="1260" w:left="1720" w:right="1180"/>
        </w:sectPr>
      </w:pPr>
    </w:p>
    <w:p>
      <w:pPr>
        <w:spacing w:before="99"/>
        <w:ind w:left="1190" w:right="0" w:firstLine="0"/>
        <w:jc w:val="left"/>
        <w:rPr>
          <w:sz w:val="18"/>
        </w:rPr>
      </w:pPr>
      <w:r>
        <w:rPr>
          <w:w w:val="103"/>
          <w:sz w:val="18"/>
        </w:rPr>
        <w:t>0</w:t>
      </w:r>
    </w:p>
    <w:p>
      <w:pPr>
        <w:spacing w:before="22"/>
        <w:ind w:left="1314" w:right="0" w:firstLine="0"/>
        <w:jc w:val="left"/>
        <w:rPr>
          <w:sz w:val="18"/>
        </w:rPr>
      </w:pPr>
      <w:r>
        <w:rPr>
          <w:sz w:val="18"/>
        </w:rPr>
        <w:t>200</w:t>
      </w:r>
    </w:p>
    <w:p>
      <w:pPr>
        <w:pStyle w:val="BodyText"/>
        <w:spacing w:before="6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spacing w:before="0"/>
        <w:ind w:left="348" w:right="0" w:firstLine="0"/>
        <w:jc w:val="left"/>
        <w:rPr>
          <w:sz w:val="18"/>
        </w:rPr>
      </w:pPr>
      <w:r>
        <w:rPr>
          <w:sz w:val="18"/>
        </w:rPr>
        <w:t>300</w:t>
      </w:r>
    </w:p>
    <w:p>
      <w:pPr>
        <w:pStyle w:val="BodyText"/>
        <w:spacing w:before="6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spacing w:before="0"/>
        <w:ind w:left="372" w:right="0" w:firstLine="0"/>
        <w:jc w:val="left"/>
        <w:rPr>
          <w:sz w:val="18"/>
        </w:rPr>
      </w:pPr>
      <w:r>
        <w:rPr>
          <w:sz w:val="18"/>
        </w:rPr>
        <w:t>400</w:t>
      </w:r>
    </w:p>
    <w:p>
      <w:pPr>
        <w:pStyle w:val="BodyText"/>
        <w:spacing w:before="6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spacing w:before="0"/>
        <w:ind w:left="348" w:right="0" w:firstLine="0"/>
        <w:jc w:val="left"/>
        <w:rPr>
          <w:sz w:val="18"/>
        </w:rPr>
      </w:pPr>
      <w:r>
        <w:rPr>
          <w:sz w:val="18"/>
        </w:rPr>
        <w:t>500</w:t>
      </w:r>
    </w:p>
    <w:p>
      <w:pPr>
        <w:pStyle w:val="BodyText"/>
        <w:spacing w:before="6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spacing w:before="0"/>
        <w:ind w:left="372" w:right="0" w:firstLine="0"/>
        <w:jc w:val="left"/>
        <w:rPr>
          <w:sz w:val="18"/>
        </w:rPr>
      </w:pPr>
      <w:r>
        <w:rPr>
          <w:sz w:val="18"/>
        </w:rPr>
        <w:t>600</w:t>
      </w:r>
    </w:p>
    <w:p>
      <w:pPr>
        <w:pStyle w:val="BodyText"/>
        <w:spacing w:before="6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spacing w:before="0"/>
        <w:ind w:left="349" w:right="0" w:firstLine="0"/>
        <w:jc w:val="left"/>
        <w:rPr>
          <w:sz w:val="18"/>
        </w:rPr>
      </w:pPr>
      <w:r>
        <w:rPr>
          <w:sz w:val="18"/>
        </w:rPr>
        <w:t>700</w:t>
      </w:r>
    </w:p>
    <w:p>
      <w:pPr>
        <w:pStyle w:val="BodyText"/>
        <w:spacing w:before="6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spacing w:before="0"/>
        <w:ind w:left="372" w:right="0" w:firstLine="0"/>
        <w:jc w:val="left"/>
        <w:rPr>
          <w:sz w:val="18"/>
        </w:rPr>
      </w:pPr>
      <w:r>
        <w:rPr>
          <w:sz w:val="18"/>
        </w:rPr>
        <w:t>800</w:t>
      </w:r>
    </w:p>
    <w:p>
      <w:pPr>
        <w:pStyle w:val="BodyText"/>
        <w:spacing w:before="6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spacing w:before="0"/>
        <w:ind w:left="349" w:right="0" w:firstLine="0"/>
        <w:jc w:val="left"/>
        <w:rPr>
          <w:sz w:val="18"/>
        </w:rPr>
      </w:pPr>
      <w:r>
        <w:rPr>
          <w:sz w:val="18"/>
        </w:rPr>
        <w:t>900</w:t>
      </w:r>
    </w:p>
    <w:p>
      <w:pPr>
        <w:pStyle w:val="BodyText"/>
        <w:spacing w:before="6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spacing w:before="0"/>
        <w:ind w:left="309" w:right="0" w:firstLine="0"/>
        <w:jc w:val="left"/>
        <w:rPr>
          <w:sz w:val="18"/>
        </w:rPr>
      </w:pPr>
      <w:r>
        <w:rPr>
          <w:sz w:val="18"/>
        </w:rPr>
        <w:t>1000</w:t>
      </w:r>
    </w:p>
    <w:p>
      <w:pPr>
        <w:pStyle w:val="BodyText"/>
        <w:spacing w:before="6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spacing w:before="0"/>
        <w:ind w:left="278" w:right="0" w:firstLine="0"/>
        <w:jc w:val="left"/>
        <w:rPr>
          <w:sz w:val="18"/>
        </w:rPr>
      </w:pPr>
      <w:r>
        <w:rPr>
          <w:sz w:val="18"/>
        </w:rPr>
        <w:t>1100</w:t>
      </w:r>
    </w:p>
    <w:p>
      <w:pPr>
        <w:pStyle w:val="BodyText"/>
        <w:spacing w:before="6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spacing w:before="0"/>
        <w:ind w:left="255" w:right="0" w:firstLine="0"/>
        <w:jc w:val="left"/>
        <w:rPr>
          <w:sz w:val="18"/>
        </w:rPr>
      </w:pPr>
      <w:r>
        <w:rPr>
          <w:w w:val="105"/>
          <w:sz w:val="18"/>
        </w:rPr>
        <w:t>1200</w:t>
      </w:r>
    </w:p>
    <w:p>
      <w:pPr>
        <w:spacing w:after="0"/>
        <w:jc w:val="left"/>
        <w:rPr>
          <w:sz w:val="18"/>
        </w:rPr>
        <w:sectPr>
          <w:type w:val="continuous"/>
          <w:pgSz w:w="12240" w:h="15840"/>
          <w:pgMar w:top="1380" w:bottom="280" w:left="1720" w:right="1180"/>
          <w:cols w:num="11" w:equalWidth="0">
            <w:col w:w="1595" w:space="40"/>
            <w:col w:w="625" w:space="39"/>
            <w:col w:w="653" w:space="40"/>
            <w:col w:w="629" w:space="39"/>
            <w:col w:w="653" w:space="40"/>
            <w:col w:w="629" w:space="39"/>
            <w:col w:w="649" w:space="40"/>
            <w:col w:w="630" w:space="39"/>
            <w:col w:w="684" w:space="39"/>
            <w:col w:w="653" w:space="40"/>
            <w:col w:w="1545"/>
          </w:cols>
        </w:sectPr>
      </w:pPr>
    </w:p>
    <w:p>
      <w:pPr>
        <w:spacing w:before="119"/>
        <w:ind w:left="602" w:right="0" w:firstLine="0"/>
        <w:jc w:val="center"/>
        <w:rPr>
          <w:b/>
          <w:sz w:val="21"/>
        </w:rPr>
      </w:pPr>
      <w:r>
        <w:rPr>
          <w:b/>
          <w:w w:val="105"/>
          <w:sz w:val="21"/>
        </w:rPr>
        <w:t>Janka</w:t>
      </w:r>
      <w:r>
        <w:rPr>
          <w:b/>
          <w:spacing w:val="-12"/>
          <w:w w:val="105"/>
          <w:sz w:val="21"/>
        </w:rPr>
        <w:t> </w:t>
      </w:r>
      <w:r>
        <w:rPr>
          <w:b/>
          <w:w w:val="105"/>
          <w:sz w:val="21"/>
        </w:rPr>
        <w:t>Hardness</w:t>
      </w:r>
      <w:r>
        <w:rPr>
          <w:b/>
          <w:spacing w:val="-10"/>
          <w:w w:val="105"/>
          <w:sz w:val="21"/>
        </w:rPr>
        <w:t> </w:t>
      </w:r>
      <w:r>
        <w:rPr>
          <w:b/>
          <w:w w:val="105"/>
          <w:sz w:val="21"/>
        </w:rPr>
        <w:t>Value</w:t>
      </w:r>
      <w:r>
        <w:rPr>
          <w:b/>
          <w:spacing w:val="-10"/>
          <w:w w:val="105"/>
          <w:sz w:val="21"/>
        </w:rPr>
        <w:t> </w:t>
      </w:r>
      <w:r>
        <w:rPr>
          <w:b/>
          <w:w w:val="105"/>
          <w:sz w:val="21"/>
        </w:rPr>
        <w:t>(lb)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2"/>
        </w:rPr>
      </w:pPr>
    </w:p>
    <w:p>
      <w:pPr>
        <w:spacing w:before="0"/>
        <w:ind w:left="181" w:right="0" w:firstLine="0"/>
        <w:jc w:val="center"/>
        <w:rPr>
          <w:i/>
          <w:sz w:val="24"/>
        </w:rPr>
      </w:pPr>
      <w:bookmarkStart w:name="_bookmark39" w:id="214"/>
      <w:bookmarkEnd w:id="214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4-12.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SPF-S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SYP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hardness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value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distributions.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206"/>
        <w:ind w:left="440" w:right="257" w:firstLine="720"/>
        <w:jc w:val="both"/>
      </w:pPr>
      <w:hyperlink w:history="true" w:anchor="_bookmark40">
        <w:r>
          <w:rPr/>
          <w:t>Table 4-5</w:t>
        </w:r>
      </w:hyperlink>
      <w:r>
        <w:rPr/>
        <w:t> summarizes the results of the hardness testing.</w:t>
      </w:r>
      <w:r>
        <w:rPr>
          <w:spacing w:val="1"/>
        </w:rPr>
        <w:t> </w:t>
      </w:r>
      <w:r>
        <w:rPr/>
        <w:t>The 2-ply Southern Pine</w:t>
      </w:r>
      <w:r>
        <w:rPr>
          <w:spacing w:val="-57"/>
        </w:rPr>
        <w:t> </w:t>
      </w:r>
      <w:r>
        <w:rPr/>
        <w:t>specimen provided a lower mean Janka hardness value, 533.8, compared to 652.3 for the</w:t>
      </w:r>
      <w:r>
        <w:rPr>
          <w:spacing w:val="1"/>
        </w:rPr>
        <w:t> </w:t>
      </w:r>
      <w:r>
        <w:rPr/>
        <w:t>single</w:t>
      </w:r>
      <w:r>
        <w:rPr>
          <w:spacing w:val="-8"/>
        </w:rPr>
        <w:t> </w:t>
      </w:r>
      <w:r>
        <w:rPr/>
        <w:t>ply.</w:t>
      </w:r>
      <w:r>
        <w:rPr>
          <w:spacing w:val="42"/>
        </w:rPr>
        <w:t> </w:t>
      </w:r>
      <w:r>
        <w:rPr/>
        <w:t>This</w:t>
      </w:r>
      <w:r>
        <w:rPr>
          <w:spacing w:val="-7"/>
        </w:rPr>
        <w:t> </w:t>
      </w:r>
      <w:r>
        <w:rPr/>
        <w:t>particular</w:t>
      </w:r>
      <w:r>
        <w:rPr>
          <w:spacing w:val="-8"/>
        </w:rPr>
        <w:t> </w:t>
      </w:r>
      <w:r>
        <w:rPr/>
        <w:t>2-ply</w:t>
      </w:r>
      <w:r>
        <w:rPr>
          <w:spacing w:val="-9"/>
        </w:rPr>
        <w:t> </w:t>
      </w:r>
      <w:r>
        <w:rPr/>
        <w:t>specimen</w:t>
      </w:r>
      <w:r>
        <w:rPr>
          <w:spacing w:val="-9"/>
        </w:rPr>
        <w:t> </w:t>
      </w:r>
      <w:r>
        <w:rPr/>
        <w:t>also</w:t>
      </w:r>
      <w:r>
        <w:rPr>
          <w:spacing w:val="-8"/>
        </w:rPr>
        <w:t> </w:t>
      </w:r>
      <w:r>
        <w:rPr/>
        <w:t>had</w:t>
      </w:r>
      <w:r>
        <w:rPr>
          <w:spacing w:val="-9"/>
        </w:rPr>
        <w:t> </w:t>
      </w:r>
      <w:r>
        <w:rPr/>
        <w:t>a</w:t>
      </w:r>
      <w:r>
        <w:rPr>
          <w:spacing w:val="-8"/>
        </w:rPr>
        <w:t> </w:t>
      </w:r>
      <w:r>
        <w:rPr/>
        <w:t>lower</w:t>
      </w:r>
      <w:r>
        <w:rPr>
          <w:spacing w:val="-8"/>
        </w:rPr>
        <w:t> </w:t>
      </w:r>
      <w:r>
        <w:rPr/>
        <w:t>average</w:t>
      </w:r>
      <w:r>
        <w:rPr>
          <w:spacing w:val="-7"/>
        </w:rPr>
        <w:t> </w:t>
      </w:r>
      <w:r>
        <w:rPr/>
        <w:t>density</w:t>
      </w:r>
      <w:r>
        <w:rPr>
          <w:spacing w:val="-9"/>
        </w:rPr>
        <w:t> </w:t>
      </w:r>
      <w:r>
        <w:rPr/>
        <w:t>than</w:t>
      </w:r>
      <w:r>
        <w:rPr>
          <w:spacing w:val="-9"/>
        </w:rPr>
        <w:t> </w:t>
      </w:r>
      <w:r>
        <w:rPr/>
        <w:t>that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58"/>
        </w:rPr>
        <w:t> </w:t>
      </w:r>
      <w:r>
        <w:rPr/>
        <w:t>single</w:t>
      </w:r>
      <w:r>
        <w:rPr>
          <w:spacing w:val="-12"/>
        </w:rPr>
        <w:t> </w:t>
      </w:r>
      <w:r>
        <w:rPr/>
        <w:t>ply</w:t>
      </w:r>
      <w:r>
        <w:rPr>
          <w:spacing w:val="-11"/>
        </w:rPr>
        <w:t> </w:t>
      </w:r>
      <w:r>
        <w:rPr/>
        <w:t>specimen,</w:t>
      </w:r>
      <w:r>
        <w:rPr>
          <w:spacing w:val="-10"/>
        </w:rPr>
        <w:t> </w:t>
      </w:r>
      <w:r>
        <w:rPr/>
        <w:t>however.</w:t>
      </w:r>
      <w:r>
        <w:rPr>
          <w:spacing w:val="39"/>
        </w:rPr>
        <w:t> </w:t>
      </w:r>
      <w:r>
        <w:rPr/>
        <w:t>The</w:t>
      </w:r>
      <w:r>
        <w:rPr>
          <w:spacing w:val="-10"/>
        </w:rPr>
        <w:t> </w:t>
      </w:r>
      <w:r>
        <w:rPr/>
        <w:t>3-ply</w:t>
      </w:r>
      <w:r>
        <w:rPr>
          <w:spacing w:val="-11"/>
        </w:rPr>
        <w:t> </w:t>
      </w:r>
      <w:r>
        <w:rPr/>
        <w:t>SYP,</w:t>
      </w:r>
      <w:r>
        <w:rPr>
          <w:spacing w:val="-10"/>
        </w:rPr>
        <w:t> </w:t>
      </w:r>
      <w:r>
        <w:rPr/>
        <w:t>which</w:t>
      </w:r>
      <w:r>
        <w:rPr>
          <w:spacing w:val="-10"/>
        </w:rPr>
        <w:t> </w:t>
      </w:r>
      <w:r>
        <w:rPr/>
        <w:t>happened</w:t>
      </w:r>
      <w:r>
        <w:rPr>
          <w:spacing w:val="-11"/>
        </w:rPr>
        <w:t> </w:t>
      </w:r>
      <w:r>
        <w:rPr/>
        <w:t>to</w:t>
      </w:r>
      <w:r>
        <w:rPr>
          <w:spacing w:val="-10"/>
        </w:rPr>
        <w:t> </w:t>
      </w:r>
      <w:r>
        <w:rPr/>
        <w:t>have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lowest</w:t>
      </w:r>
      <w:r>
        <w:rPr>
          <w:spacing w:val="-11"/>
        </w:rPr>
        <w:t> </w:t>
      </w:r>
      <w:r>
        <w:rPr/>
        <w:t>average</w:t>
      </w:r>
      <w:r>
        <w:rPr>
          <w:spacing w:val="-58"/>
        </w:rPr>
        <w:t> </w:t>
      </w:r>
      <w:r>
        <w:rPr/>
        <w:t>density of any of the hardness specimens, produced a Janka hardness value of 612.7</w:t>
      </w:r>
      <w:r>
        <w:rPr>
          <w:spacing w:val="1"/>
        </w:rPr>
        <w:t> </w:t>
      </w:r>
      <w:r>
        <w:rPr/>
        <w:t>pounds,</w:t>
      </w:r>
      <w:r>
        <w:rPr>
          <w:spacing w:val="-1"/>
        </w:rPr>
        <w:t> </w:t>
      </w:r>
      <w:r>
        <w:rPr/>
        <w:t>which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still</w:t>
      </w:r>
      <w:r>
        <w:rPr>
          <w:spacing w:val="-1"/>
        </w:rPr>
        <w:t> </w:t>
      </w:r>
      <w:r>
        <w:rPr/>
        <w:t>lower</w:t>
      </w:r>
      <w:r>
        <w:rPr>
          <w:spacing w:val="-1"/>
        </w:rPr>
        <w:t> </w:t>
      </w:r>
      <w:r>
        <w:rPr/>
        <w:t>than the</w:t>
      </w:r>
      <w:r>
        <w:rPr>
          <w:spacing w:val="-2"/>
        </w:rPr>
        <w:t> </w:t>
      </w:r>
      <w:r>
        <w:rPr/>
        <w:t>single</w:t>
      </w:r>
      <w:r>
        <w:rPr>
          <w:spacing w:val="-1"/>
        </w:rPr>
        <w:t> </w:t>
      </w:r>
      <w:r>
        <w:rPr/>
        <w:t>ply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same wood</w:t>
      </w:r>
      <w:r>
        <w:rPr>
          <w:spacing w:val="-1"/>
        </w:rPr>
        <w:t> </w:t>
      </w:r>
      <w:r>
        <w:rPr/>
        <w:t>type</w:t>
      </w:r>
      <w:r>
        <w:rPr>
          <w:spacing w:val="-1"/>
        </w:rPr>
        <w:t> </w:t>
      </w:r>
      <w:r>
        <w:rPr/>
        <w:t>but</w:t>
      </w:r>
      <w:r>
        <w:rPr>
          <w:spacing w:val="-2"/>
        </w:rPr>
        <w:t> </w:t>
      </w:r>
      <w:r>
        <w:rPr/>
        <w:t>higher</w:t>
      </w:r>
      <w:r>
        <w:rPr>
          <w:spacing w:val="-1"/>
        </w:rPr>
        <w:t> </w:t>
      </w:r>
      <w:r>
        <w:rPr/>
        <w:t>than</w:t>
      </w:r>
      <w:r>
        <w:rPr>
          <w:spacing w:val="-2"/>
        </w:rPr>
        <w:t> </w:t>
      </w:r>
      <w:r>
        <w:rPr/>
        <w:t>that</w:t>
      </w:r>
    </w:p>
    <w:p>
      <w:pPr>
        <w:spacing w:after="0" w:line="480" w:lineRule="auto"/>
        <w:jc w:val="both"/>
        <w:sectPr>
          <w:type w:val="continuous"/>
          <w:pgSz w:w="12240" w:h="15840"/>
          <w:pgMar w:top="1380" w:bottom="280" w:left="1720" w:right="1180"/>
        </w:sectPr>
      </w:pPr>
    </w:p>
    <w:p>
      <w:pPr>
        <w:pStyle w:val="BodyText"/>
        <w:spacing w:line="480" w:lineRule="auto" w:before="78"/>
        <w:ind w:left="440" w:right="257"/>
        <w:jc w:val="both"/>
      </w:pPr>
      <w:r>
        <w:rPr/>
        <w:t>of the 2-ply specimen. The average density values must be compared with caution as they</w:t>
      </w:r>
      <w:r>
        <w:rPr>
          <w:spacing w:val="-57"/>
        </w:rPr>
        <w:t> </w:t>
      </w:r>
      <w:r>
        <w:rPr/>
        <w:t>represent the mean density of four to six boards. Individually tested boards could be more</w:t>
      </w:r>
      <w:r>
        <w:rPr>
          <w:spacing w:val="-57"/>
        </w:rPr>
        <w:t> </w:t>
      </w:r>
      <w:r>
        <w:rPr/>
        <w:t>or less dense than the average.</w:t>
      </w:r>
      <w:r>
        <w:rPr>
          <w:spacing w:val="1"/>
        </w:rPr>
        <w:t> </w:t>
      </w:r>
      <w:r>
        <w:rPr/>
        <w:t>A comparison of the normal probability distribution</w:t>
      </w:r>
      <w:r>
        <w:rPr>
          <w:spacing w:val="1"/>
        </w:rPr>
        <w:t> </w:t>
      </w:r>
      <w:r>
        <w:rPr/>
        <w:t>functions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single</w:t>
      </w:r>
      <w:r>
        <w:rPr>
          <w:spacing w:val="-1"/>
        </w:rPr>
        <w:t> </w:t>
      </w:r>
      <w:r>
        <w:rPr/>
        <w:t>and</w:t>
      </w:r>
      <w:r>
        <w:rPr>
          <w:spacing w:val="-3"/>
        </w:rPr>
        <w:t> </w:t>
      </w:r>
      <w:r>
        <w:rPr/>
        <w:t>multiple</w:t>
      </w:r>
      <w:r>
        <w:rPr>
          <w:spacing w:val="-1"/>
        </w:rPr>
        <w:t> </w:t>
      </w:r>
      <w:r>
        <w:rPr/>
        <w:t>ply</w:t>
      </w:r>
      <w:r>
        <w:rPr>
          <w:spacing w:val="-3"/>
        </w:rPr>
        <w:t> </w:t>
      </w:r>
      <w:r>
        <w:rPr/>
        <w:t>SYP</w:t>
      </w:r>
      <w:r>
        <w:rPr>
          <w:spacing w:val="-2"/>
        </w:rPr>
        <w:t> </w:t>
      </w:r>
      <w:r>
        <w:rPr/>
        <w:t>hardness test</w:t>
      </w:r>
      <w:r>
        <w:rPr>
          <w:spacing w:val="-1"/>
        </w:rPr>
        <w:t> </w:t>
      </w:r>
      <w:r>
        <w:rPr/>
        <w:t>values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shown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hyperlink w:history="true" w:anchor="_bookmark41">
        <w:r>
          <w:rPr/>
          <w:t>Figure</w:t>
        </w:r>
        <w:r>
          <w:rPr>
            <w:spacing w:val="-1"/>
          </w:rPr>
          <w:t> </w:t>
        </w:r>
        <w:r>
          <w:rPr/>
          <w:t>4-13.</w:t>
        </w:r>
      </w:hyperlink>
    </w:p>
    <w:p>
      <w:pPr>
        <w:pStyle w:val="BodyText"/>
      </w:pPr>
    </w:p>
    <w:p>
      <w:pPr>
        <w:pStyle w:val="BodyText"/>
        <w:spacing w:line="480" w:lineRule="auto"/>
        <w:ind w:left="439" w:right="257" w:firstLine="720"/>
        <w:jc w:val="both"/>
      </w:pPr>
      <w:r>
        <w:rPr/>
        <w:t>A</w:t>
      </w:r>
      <w:r>
        <w:rPr>
          <w:spacing w:val="-8"/>
        </w:rPr>
        <w:t> </w:t>
      </w:r>
      <w:r>
        <w:rPr/>
        <w:t>histogram</w:t>
      </w:r>
      <w:r>
        <w:rPr>
          <w:spacing w:val="-7"/>
        </w:rPr>
        <w:t> </w:t>
      </w:r>
      <w:r>
        <w:rPr/>
        <w:t>comparing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single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multiple</w:t>
      </w:r>
      <w:r>
        <w:rPr>
          <w:spacing w:val="-6"/>
        </w:rPr>
        <w:t> </w:t>
      </w:r>
      <w:r>
        <w:rPr/>
        <w:t>ply</w:t>
      </w:r>
      <w:r>
        <w:rPr>
          <w:spacing w:val="-7"/>
        </w:rPr>
        <w:t> </w:t>
      </w:r>
      <w:r>
        <w:rPr/>
        <w:t>Janka</w:t>
      </w:r>
      <w:r>
        <w:rPr>
          <w:spacing w:val="-6"/>
        </w:rPr>
        <w:t> </w:t>
      </w:r>
      <w:r>
        <w:rPr/>
        <w:t>hardness</w:t>
      </w:r>
      <w:r>
        <w:rPr>
          <w:spacing w:val="-7"/>
        </w:rPr>
        <w:t> </w:t>
      </w:r>
      <w:r>
        <w:rPr/>
        <w:t>values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their</w:t>
      </w:r>
      <w:r>
        <w:rPr>
          <w:spacing w:val="-57"/>
        </w:rPr>
        <w:t> </w:t>
      </w:r>
      <w:r>
        <w:rPr/>
        <w:t>bin frequency, with a bin size of 50, is shown in </w:t>
      </w:r>
      <w:hyperlink w:history="true" w:anchor="_bookmark42">
        <w:r>
          <w:rPr/>
          <w:t>Figure 4-14</w:t>
        </w:r>
      </w:hyperlink>
      <w:r>
        <w:rPr/>
        <w:t>. The histogram and resulting</w:t>
      </w:r>
      <w:r>
        <w:rPr>
          <w:spacing w:val="-57"/>
        </w:rPr>
        <w:t> </w:t>
      </w:r>
      <w:r>
        <w:rPr/>
        <w:t>probability distribution function indicate that there may be some difference between the</w:t>
      </w:r>
      <w:r>
        <w:rPr>
          <w:spacing w:val="1"/>
        </w:rPr>
        <w:t> </w:t>
      </w:r>
      <w:r>
        <w:rPr/>
        <w:t>single ply and multiple ply test specimens, with the single ply specimens showing an</w:t>
      </w:r>
      <w:r>
        <w:rPr>
          <w:spacing w:val="1"/>
        </w:rPr>
        <w:t> </w:t>
      </w:r>
      <w:r>
        <w:rPr/>
        <w:t>apparent</w:t>
      </w:r>
      <w:r>
        <w:rPr>
          <w:spacing w:val="1"/>
        </w:rPr>
        <w:t> </w:t>
      </w:r>
      <w:r>
        <w:rPr/>
        <w:t>Janka</w:t>
      </w:r>
      <w:r>
        <w:rPr>
          <w:spacing w:val="1"/>
        </w:rPr>
        <w:t> </w:t>
      </w:r>
      <w:r>
        <w:rPr/>
        <w:t>hardness</w:t>
      </w:r>
      <w:r>
        <w:rPr>
          <w:spacing w:val="1"/>
        </w:rPr>
        <w:t> </w:t>
      </w:r>
      <w:r>
        <w:rPr/>
        <w:t>greater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2-ply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3-ply</w:t>
      </w:r>
      <w:r>
        <w:rPr>
          <w:spacing w:val="1"/>
        </w:rPr>
        <w:t> </w:t>
      </w:r>
      <w:r>
        <w:rPr/>
        <w:t>specimens.</w:t>
      </w:r>
      <w:r>
        <w:rPr>
          <w:spacing w:val="1"/>
        </w:rPr>
        <w:t> </w:t>
      </w:r>
      <w:r>
        <w:rPr/>
        <w:t>However,</w:t>
      </w:r>
      <w:r>
        <w:rPr>
          <w:spacing w:val="1"/>
        </w:rPr>
        <w:t> </w:t>
      </w:r>
      <w:r>
        <w:rPr/>
        <w:t>an</w:t>
      </w:r>
      <w:r>
        <w:rPr>
          <w:spacing w:val="-57"/>
        </w:rPr>
        <w:t> </w:t>
      </w:r>
      <w:r>
        <w:rPr/>
        <w:t>insufficient number of tests were conducted to reach a conclusion that contradicts the</w:t>
      </w:r>
      <w:r>
        <w:rPr>
          <w:spacing w:val="1"/>
        </w:rPr>
        <w:t> </w:t>
      </w:r>
      <w:r>
        <w:rPr/>
        <w:t>findings of the Forest Product Laboratory report.</w:t>
      </w:r>
      <w:r>
        <w:rPr>
          <w:spacing w:val="1"/>
        </w:rPr>
        <w:t> </w:t>
      </w:r>
      <w:r>
        <w:rPr/>
        <w:t>Additional testing, outside the scope of</w:t>
      </w:r>
      <w:r>
        <w:rPr>
          <w:spacing w:val="1"/>
        </w:rPr>
        <w:t> </w:t>
      </w:r>
      <w:r>
        <w:rPr/>
        <w:t>this research, is needed to further examine the influence of thicker, adhesively connected</w:t>
      </w:r>
      <w:r>
        <w:rPr>
          <w:spacing w:val="1"/>
        </w:rPr>
        <w:t> </w:t>
      </w:r>
      <w:r>
        <w:rPr/>
        <w:t>specimens</w:t>
      </w:r>
      <w:r>
        <w:rPr>
          <w:spacing w:val="-12"/>
        </w:rPr>
        <w:t> </w:t>
      </w:r>
      <w:r>
        <w:rPr/>
        <w:t>compared</w:t>
      </w:r>
      <w:r>
        <w:rPr>
          <w:spacing w:val="-11"/>
        </w:rPr>
        <w:t> </w:t>
      </w:r>
      <w:r>
        <w:rPr/>
        <w:t>to</w:t>
      </w:r>
      <w:r>
        <w:rPr>
          <w:spacing w:val="-11"/>
        </w:rPr>
        <w:t> </w:t>
      </w:r>
      <w:r>
        <w:rPr/>
        <w:t>thin</w:t>
      </w:r>
      <w:r>
        <w:rPr>
          <w:spacing w:val="-11"/>
        </w:rPr>
        <w:t> </w:t>
      </w:r>
      <w:r>
        <w:rPr/>
        <w:t>single</w:t>
      </w:r>
      <w:r>
        <w:rPr>
          <w:spacing w:val="-11"/>
        </w:rPr>
        <w:t> </w:t>
      </w:r>
      <w:r>
        <w:rPr/>
        <w:t>ply</w:t>
      </w:r>
      <w:r>
        <w:rPr>
          <w:spacing w:val="-11"/>
        </w:rPr>
        <w:t> </w:t>
      </w:r>
      <w:r>
        <w:rPr/>
        <w:t>specimens.</w:t>
      </w:r>
      <w:r>
        <w:rPr>
          <w:spacing w:val="37"/>
        </w:rPr>
        <w:t> </w:t>
      </w:r>
      <w:r>
        <w:rPr/>
        <w:t>Nevertheless,</w:t>
      </w:r>
      <w:r>
        <w:rPr>
          <w:spacing w:val="-11"/>
        </w:rPr>
        <w:t> </w:t>
      </w:r>
      <w:r>
        <w:rPr/>
        <w:t>based</w:t>
      </w:r>
      <w:r>
        <w:rPr>
          <w:spacing w:val="-11"/>
        </w:rPr>
        <w:t> </w:t>
      </w:r>
      <w:r>
        <w:rPr/>
        <w:t>on</w:t>
      </w:r>
      <w:r>
        <w:rPr>
          <w:spacing w:val="-12"/>
        </w:rPr>
        <w:t> </w:t>
      </w:r>
      <w:r>
        <w:rPr/>
        <w:t>these</w:t>
      </w:r>
      <w:r>
        <w:rPr>
          <w:spacing w:val="-11"/>
        </w:rPr>
        <w:t> </w:t>
      </w:r>
      <w:r>
        <w:rPr/>
        <w:t>test</w:t>
      </w:r>
      <w:r>
        <w:rPr>
          <w:spacing w:val="-12"/>
        </w:rPr>
        <w:t> </w:t>
      </w:r>
      <w:r>
        <w:rPr/>
        <w:t>results</w:t>
      </w:r>
      <w:r>
        <w:rPr>
          <w:spacing w:val="-58"/>
        </w:rPr>
        <w:t> </w:t>
      </w:r>
      <w:r>
        <w:rPr>
          <w:spacing w:val="-1"/>
        </w:rPr>
        <w:t>and</w:t>
      </w:r>
      <w:r>
        <w:rPr>
          <w:spacing w:val="-15"/>
        </w:rPr>
        <w:t> </w:t>
      </w:r>
      <w:r>
        <w:rPr>
          <w:spacing w:val="-1"/>
        </w:rPr>
        <w:t>the</w:t>
      </w:r>
      <w:r>
        <w:rPr>
          <w:spacing w:val="-15"/>
        </w:rPr>
        <w:t> </w:t>
      </w:r>
      <w:r>
        <w:rPr>
          <w:spacing w:val="-1"/>
        </w:rPr>
        <w:t>prior</w:t>
      </w:r>
      <w:r>
        <w:rPr>
          <w:spacing w:val="-16"/>
        </w:rPr>
        <w:t> </w:t>
      </w:r>
      <w:r>
        <w:rPr>
          <w:spacing w:val="-1"/>
        </w:rPr>
        <w:t>Forest</w:t>
      </w:r>
      <w:r>
        <w:rPr>
          <w:spacing w:val="-14"/>
        </w:rPr>
        <w:t> </w:t>
      </w:r>
      <w:r>
        <w:rPr>
          <w:spacing w:val="-1"/>
        </w:rPr>
        <w:t>Products</w:t>
      </w:r>
      <w:r>
        <w:rPr>
          <w:spacing w:val="-15"/>
        </w:rPr>
        <w:t> </w:t>
      </w:r>
      <w:r>
        <w:rPr/>
        <w:t>Laboratory</w:t>
      </w:r>
      <w:r>
        <w:rPr>
          <w:spacing w:val="-15"/>
        </w:rPr>
        <w:t> </w:t>
      </w:r>
      <w:r>
        <w:rPr/>
        <w:t>work,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hardness</w:t>
      </w:r>
      <w:r>
        <w:rPr>
          <w:spacing w:val="-15"/>
        </w:rPr>
        <w:t> </w:t>
      </w:r>
      <w:r>
        <w:rPr/>
        <w:t>values</w:t>
      </w:r>
      <w:r>
        <w:rPr>
          <w:spacing w:val="-14"/>
        </w:rPr>
        <w:t> </w:t>
      </w:r>
      <w:r>
        <w:rPr/>
        <w:t>for</w:t>
      </w:r>
      <w:r>
        <w:rPr>
          <w:spacing w:val="-16"/>
        </w:rPr>
        <w:t> </w:t>
      </w:r>
      <w:r>
        <w:rPr/>
        <w:t>the</w:t>
      </w:r>
      <w:r>
        <w:rPr>
          <w:spacing w:val="-16"/>
        </w:rPr>
        <w:t> </w:t>
      </w:r>
      <w:r>
        <w:rPr/>
        <w:t>single</w:t>
      </w:r>
      <w:r>
        <w:rPr>
          <w:spacing w:val="-15"/>
        </w:rPr>
        <w:t> </w:t>
      </w:r>
      <w:r>
        <w:rPr/>
        <w:t>ply</w:t>
      </w:r>
      <w:r>
        <w:rPr>
          <w:spacing w:val="-16"/>
        </w:rPr>
        <w:t> </w:t>
      </w:r>
      <w:r>
        <w:rPr/>
        <w:t>testing</w:t>
      </w:r>
      <w:r>
        <w:rPr>
          <w:spacing w:val="-58"/>
        </w:rPr>
        <w:t> </w:t>
      </w:r>
      <w:r>
        <w:rPr/>
        <w:t>are</w:t>
      </w:r>
      <w:r>
        <w:rPr>
          <w:spacing w:val="-1"/>
        </w:rPr>
        <w:t> </w:t>
      </w:r>
      <w:r>
        <w:rPr/>
        <w:t>acceptable for obtaining Janka hardness values.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spacing w:before="230"/>
        <w:ind w:left="181" w:right="0" w:firstLine="0"/>
        <w:jc w:val="center"/>
        <w:rPr>
          <w:i/>
          <w:sz w:val="24"/>
        </w:rPr>
      </w:pPr>
      <w:bookmarkStart w:name="_bookmark40" w:id="215"/>
      <w:bookmarkEnd w:id="215"/>
      <w:r>
        <w:rPr/>
      </w:r>
      <w:r>
        <w:rPr>
          <w:i/>
          <w:sz w:val="24"/>
        </w:rPr>
        <w:t>Table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4-5.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Results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Janka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hardness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testing.</w:t>
      </w:r>
    </w:p>
    <w:p>
      <w:pPr>
        <w:pStyle w:val="BodyText"/>
        <w:spacing w:before="6"/>
        <w:rPr>
          <w:i/>
          <w:sz w:val="17"/>
        </w:rPr>
      </w:pPr>
    </w:p>
    <w:tbl>
      <w:tblPr>
        <w:tblW w:w="0" w:type="auto"/>
        <w:jc w:val="left"/>
        <w:tblInd w:w="8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60"/>
        <w:gridCol w:w="960"/>
        <w:gridCol w:w="960"/>
        <w:gridCol w:w="960"/>
        <w:gridCol w:w="1280"/>
        <w:gridCol w:w="1280"/>
        <w:gridCol w:w="1339"/>
      </w:tblGrid>
      <w:tr>
        <w:trPr>
          <w:trHeight w:val="899" w:hRule="atLeast"/>
        </w:trPr>
        <w:tc>
          <w:tcPr>
            <w:tcW w:w="960" w:type="dxa"/>
            <w:shd w:val="clear" w:color="auto" w:fill="C0C0C0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"/>
              <w:rPr>
                <w:i/>
                <w:sz w:val="32"/>
              </w:rPr>
            </w:pPr>
          </w:p>
          <w:p>
            <w:pPr>
              <w:pStyle w:val="TableParagraph"/>
              <w:spacing w:line="234" w:lineRule="exact"/>
              <w:ind w:right="133"/>
              <w:jc w:val="right"/>
              <w:rPr>
                <w:sz w:val="22"/>
              </w:rPr>
            </w:pPr>
            <w:r>
              <w:rPr>
                <w:sz w:val="22"/>
              </w:rPr>
              <w:t>Species</w:t>
            </w:r>
          </w:p>
        </w:tc>
        <w:tc>
          <w:tcPr>
            <w:tcW w:w="960" w:type="dxa"/>
            <w:shd w:val="clear" w:color="auto" w:fill="C0C0C0"/>
          </w:tcPr>
          <w:p>
            <w:pPr>
              <w:pStyle w:val="TableParagraph"/>
              <w:spacing w:before="7"/>
              <w:rPr>
                <w:i/>
                <w:sz w:val="32"/>
              </w:rPr>
            </w:pPr>
          </w:p>
          <w:p>
            <w:pPr>
              <w:pStyle w:val="TableParagraph"/>
              <w:spacing w:line="252" w:lineRule="exact"/>
              <w:ind w:left="272" w:right="242" w:firstLine="32"/>
              <w:rPr>
                <w:sz w:val="22"/>
              </w:rPr>
            </w:pPr>
            <w:r>
              <w:rPr>
                <w:sz w:val="22"/>
              </w:rPr>
              <w:t># of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plies</w:t>
            </w:r>
          </w:p>
        </w:tc>
        <w:tc>
          <w:tcPr>
            <w:tcW w:w="960" w:type="dxa"/>
            <w:shd w:val="clear" w:color="auto" w:fill="C0C0C0"/>
          </w:tcPr>
          <w:p>
            <w:pPr>
              <w:pStyle w:val="TableParagraph"/>
              <w:spacing w:before="7"/>
              <w:rPr>
                <w:i/>
                <w:sz w:val="32"/>
              </w:rPr>
            </w:pPr>
          </w:p>
          <w:p>
            <w:pPr>
              <w:pStyle w:val="TableParagraph"/>
              <w:spacing w:line="252" w:lineRule="exact"/>
              <w:ind w:left="284" w:right="254" w:firstLine="20"/>
              <w:rPr>
                <w:sz w:val="22"/>
              </w:rPr>
            </w:pPr>
            <w:r>
              <w:rPr>
                <w:sz w:val="22"/>
              </w:rPr>
              <w:t># of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tests</w:t>
            </w:r>
          </w:p>
        </w:tc>
        <w:tc>
          <w:tcPr>
            <w:tcW w:w="960" w:type="dxa"/>
            <w:shd w:val="clear" w:color="auto" w:fill="C0C0C0"/>
          </w:tcPr>
          <w:p>
            <w:pPr>
              <w:pStyle w:val="TableParagraph"/>
              <w:spacing w:before="140"/>
              <w:ind w:left="161" w:firstLine="67"/>
              <w:rPr>
                <w:sz w:val="22"/>
              </w:rPr>
            </w:pPr>
            <w:r>
              <w:rPr>
                <w:sz w:val="22"/>
              </w:rPr>
              <w:t>Mean</w:t>
            </w:r>
          </w:p>
          <w:p>
            <w:pPr>
              <w:pStyle w:val="TableParagraph"/>
              <w:spacing w:line="252" w:lineRule="exact"/>
              <w:ind w:left="266" w:right="133" w:hanging="105"/>
              <w:rPr>
                <w:sz w:val="22"/>
              </w:rPr>
            </w:pPr>
            <w:r>
              <w:rPr>
                <w:sz w:val="22"/>
              </w:rPr>
              <w:t>density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(pcf)</w:t>
            </w:r>
          </w:p>
        </w:tc>
        <w:tc>
          <w:tcPr>
            <w:tcW w:w="1280" w:type="dxa"/>
            <w:shd w:val="clear" w:color="auto" w:fill="C0C0C0"/>
          </w:tcPr>
          <w:p>
            <w:pPr>
              <w:pStyle w:val="TableParagraph"/>
              <w:spacing w:before="140"/>
              <w:ind w:left="231" w:hanging="120"/>
              <w:rPr>
                <w:sz w:val="22"/>
              </w:rPr>
            </w:pPr>
            <w:r>
              <w:rPr>
                <w:sz w:val="22"/>
              </w:rPr>
              <w:t>Mean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Janka</w:t>
            </w:r>
          </w:p>
          <w:p>
            <w:pPr>
              <w:pStyle w:val="TableParagraph"/>
              <w:spacing w:line="252" w:lineRule="exact"/>
              <w:ind w:left="481" w:right="208" w:hanging="250"/>
              <w:rPr>
                <w:sz w:val="22"/>
              </w:rPr>
            </w:pPr>
            <w:r>
              <w:rPr>
                <w:spacing w:val="-1"/>
                <w:sz w:val="22"/>
              </w:rPr>
              <w:t>Hardness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(lb)</w:t>
            </w:r>
          </w:p>
        </w:tc>
        <w:tc>
          <w:tcPr>
            <w:tcW w:w="1280" w:type="dxa"/>
            <w:shd w:val="clear" w:color="auto" w:fill="C0C0C0"/>
          </w:tcPr>
          <w:p>
            <w:pPr>
              <w:pStyle w:val="TableParagraph"/>
              <w:spacing w:before="7"/>
              <w:rPr>
                <w:i/>
                <w:sz w:val="32"/>
              </w:rPr>
            </w:pPr>
          </w:p>
          <w:p>
            <w:pPr>
              <w:pStyle w:val="TableParagraph"/>
              <w:spacing w:line="252" w:lineRule="exact"/>
              <w:ind w:left="206" w:right="176" w:firstLine="42"/>
              <w:rPr>
                <w:sz w:val="22"/>
              </w:rPr>
            </w:pPr>
            <w:r>
              <w:rPr>
                <w:sz w:val="22"/>
              </w:rPr>
              <w:t>Standard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Deviation</w:t>
            </w:r>
          </w:p>
        </w:tc>
        <w:tc>
          <w:tcPr>
            <w:tcW w:w="1339" w:type="dxa"/>
            <w:shd w:val="clear" w:color="auto" w:fill="C0C0C0"/>
          </w:tcPr>
          <w:p>
            <w:pPr>
              <w:pStyle w:val="TableParagraph"/>
              <w:spacing w:before="140"/>
              <w:ind w:left="135" w:firstLine="39"/>
              <w:rPr>
                <w:sz w:val="22"/>
              </w:rPr>
            </w:pPr>
            <w:r>
              <w:rPr>
                <w:sz w:val="22"/>
              </w:rPr>
              <w:t>Coefficient</w:t>
            </w:r>
          </w:p>
          <w:p>
            <w:pPr>
              <w:pStyle w:val="TableParagraph"/>
              <w:spacing w:line="252" w:lineRule="exact"/>
              <w:ind w:left="504" w:right="105" w:hanging="370"/>
              <w:rPr>
                <w:sz w:val="22"/>
              </w:rPr>
            </w:pPr>
            <w:r>
              <w:rPr>
                <w:sz w:val="22"/>
              </w:rPr>
              <w:t>of Variation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(%)</w:t>
            </w:r>
          </w:p>
        </w:tc>
      </w:tr>
      <w:tr>
        <w:trPr>
          <w:trHeight w:val="300" w:hRule="atLeast"/>
        </w:trPr>
        <w:tc>
          <w:tcPr>
            <w:tcW w:w="960" w:type="dxa"/>
          </w:tcPr>
          <w:p>
            <w:pPr>
              <w:pStyle w:val="TableParagraph"/>
              <w:spacing w:line="234" w:lineRule="exact" w:before="46"/>
              <w:ind w:right="187"/>
              <w:jc w:val="right"/>
              <w:rPr>
                <w:sz w:val="22"/>
              </w:rPr>
            </w:pPr>
            <w:r>
              <w:rPr>
                <w:sz w:val="22"/>
              </w:rPr>
              <w:t>SPF-S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46"/>
              <w:ind w:left="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1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46"/>
              <w:ind w:left="314"/>
              <w:rPr>
                <w:sz w:val="22"/>
              </w:rPr>
            </w:pPr>
            <w:r>
              <w:rPr>
                <w:sz w:val="22"/>
              </w:rPr>
              <w:t>209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46"/>
              <w:ind w:left="286"/>
              <w:rPr>
                <w:sz w:val="22"/>
              </w:rPr>
            </w:pPr>
            <w:r>
              <w:rPr>
                <w:sz w:val="22"/>
              </w:rPr>
              <w:t>31.7</w:t>
            </w:r>
          </w:p>
        </w:tc>
        <w:tc>
          <w:tcPr>
            <w:tcW w:w="1280" w:type="dxa"/>
          </w:tcPr>
          <w:p>
            <w:pPr>
              <w:pStyle w:val="TableParagraph"/>
              <w:spacing w:line="234" w:lineRule="exact" w:before="46"/>
              <w:ind w:left="174" w:right="165"/>
              <w:jc w:val="center"/>
              <w:rPr>
                <w:sz w:val="22"/>
              </w:rPr>
            </w:pPr>
            <w:r>
              <w:rPr>
                <w:sz w:val="22"/>
              </w:rPr>
              <w:t>606.3</w:t>
            </w:r>
          </w:p>
        </w:tc>
        <w:tc>
          <w:tcPr>
            <w:tcW w:w="1280" w:type="dxa"/>
          </w:tcPr>
          <w:p>
            <w:pPr>
              <w:pStyle w:val="TableParagraph"/>
              <w:spacing w:line="234" w:lineRule="exact" w:before="46"/>
              <w:ind w:left="175" w:right="165"/>
              <w:jc w:val="center"/>
              <w:rPr>
                <w:sz w:val="22"/>
              </w:rPr>
            </w:pPr>
            <w:r>
              <w:rPr>
                <w:sz w:val="22"/>
              </w:rPr>
              <w:t>175.3</w:t>
            </w:r>
          </w:p>
        </w:tc>
        <w:tc>
          <w:tcPr>
            <w:tcW w:w="1339" w:type="dxa"/>
          </w:tcPr>
          <w:p>
            <w:pPr>
              <w:pStyle w:val="TableParagraph"/>
              <w:spacing w:line="234" w:lineRule="exact" w:before="46"/>
              <w:ind w:left="457" w:right="447"/>
              <w:jc w:val="center"/>
              <w:rPr>
                <w:sz w:val="22"/>
              </w:rPr>
            </w:pPr>
            <w:r>
              <w:rPr>
                <w:sz w:val="22"/>
              </w:rPr>
              <w:t>28.9</w:t>
            </w:r>
          </w:p>
        </w:tc>
      </w:tr>
      <w:tr>
        <w:trPr>
          <w:trHeight w:val="299" w:hRule="atLeast"/>
        </w:trPr>
        <w:tc>
          <w:tcPr>
            <w:tcW w:w="960" w:type="dxa"/>
          </w:tcPr>
          <w:p>
            <w:pPr>
              <w:pStyle w:val="TableParagraph"/>
              <w:spacing w:line="234" w:lineRule="exact" w:before="45"/>
              <w:ind w:left="278"/>
              <w:rPr>
                <w:sz w:val="22"/>
              </w:rPr>
            </w:pPr>
            <w:r>
              <w:rPr>
                <w:sz w:val="22"/>
              </w:rPr>
              <w:t>SYP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45"/>
              <w:ind w:left="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1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45"/>
              <w:ind w:left="314"/>
              <w:rPr>
                <w:sz w:val="22"/>
              </w:rPr>
            </w:pPr>
            <w:r>
              <w:rPr>
                <w:sz w:val="22"/>
              </w:rPr>
              <w:t>197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45"/>
              <w:ind w:left="286"/>
              <w:rPr>
                <w:sz w:val="22"/>
              </w:rPr>
            </w:pPr>
            <w:r>
              <w:rPr>
                <w:sz w:val="22"/>
              </w:rPr>
              <w:t>32.8</w:t>
            </w:r>
          </w:p>
        </w:tc>
        <w:tc>
          <w:tcPr>
            <w:tcW w:w="1280" w:type="dxa"/>
          </w:tcPr>
          <w:p>
            <w:pPr>
              <w:pStyle w:val="TableParagraph"/>
              <w:spacing w:line="234" w:lineRule="exact" w:before="45"/>
              <w:ind w:left="174" w:right="165"/>
              <w:jc w:val="center"/>
              <w:rPr>
                <w:sz w:val="22"/>
              </w:rPr>
            </w:pPr>
            <w:r>
              <w:rPr>
                <w:sz w:val="22"/>
              </w:rPr>
              <w:t>652.3</w:t>
            </w:r>
          </w:p>
        </w:tc>
        <w:tc>
          <w:tcPr>
            <w:tcW w:w="1280" w:type="dxa"/>
          </w:tcPr>
          <w:p>
            <w:pPr>
              <w:pStyle w:val="TableParagraph"/>
              <w:spacing w:line="234" w:lineRule="exact" w:before="45"/>
              <w:ind w:left="175" w:right="165"/>
              <w:jc w:val="center"/>
              <w:rPr>
                <w:sz w:val="22"/>
              </w:rPr>
            </w:pPr>
            <w:r>
              <w:rPr>
                <w:sz w:val="22"/>
              </w:rPr>
              <w:t>195.6</w:t>
            </w:r>
          </w:p>
        </w:tc>
        <w:tc>
          <w:tcPr>
            <w:tcW w:w="1339" w:type="dxa"/>
          </w:tcPr>
          <w:p>
            <w:pPr>
              <w:pStyle w:val="TableParagraph"/>
              <w:spacing w:line="234" w:lineRule="exact" w:before="45"/>
              <w:ind w:left="457" w:right="447"/>
              <w:jc w:val="center"/>
              <w:rPr>
                <w:sz w:val="22"/>
              </w:rPr>
            </w:pPr>
            <w:r>
              <w:rPr>
                <w:sz w:val="22"/>
              </w:rPr>
              <w:t>30.0</w:t>
            </w:r>
          </w:p>
        </w:tc>
      </w:tr>
      <w:tr>
        <w:trPr>
          <w:trHeight w:val="299" w:hRule="atLeast"/>
        </w:trPr>
        <w:tc>
          <w:tcPr>
            <w:tcW w:w="960" w:type="dxa"/>
            <w:shd w:val="clear" w:color="auto" w:fill="C0C0C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60" w:type="dxa"/>
            <w:shd w:val="clear" w:color="auto" w:fill="C0C0C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60" w:type="dxa"/>
            <w:shd w:val="clear" w:color="auto" w:fill="C0C0C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60" w:type="dxa"/>
            <w:shd w:val="clear" w:color="auto" w:fill="C0C0C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280" w:type="dxa"/>
            <w:shd w:val="clear" w:color="auto" w:fill="C0C0C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280" w:type="dxa"/>
            <w:shd w:val="clear" w:color="auto" w:fill="C0C0C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339" w:type="dxa"/>
            <w:shd w:val="clear" w:color="auto" w:fill="C0C0C0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00" w:hRule="atLeast"/>
        </w:trPr>
        <w:tc>
          <w:tcPr>
            <w:tcW w:w="960" w:type="dxa"/>
          </w:tcPr>
          <w:p>
            <w:pPr>
              <w:pStyle w:val="TableParagraph"/>
              <w:spacing w:line="234" w:lineRule="exact" w:before="46"/>
              <w:ind w:left="278"/>
              <w:rPr>
                <w:sz w:val="22"/>
              </w:rPr>
            </w:pPr>
            <w:r>
              <w:rPr>
                <w:sz w:val="22"/>
              </w:rPr>
              <w:t>SYP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46"/>
              <w:ind w:left="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2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46"/>
              <w:ind w:left="369"/>
              <w:rPr>
                <w:sz w:val="22"/>
              </w:rPr>
            </w:pPr>
            <w:r>
              <w:rPr>
                <w:sz w:val="22"/>
              </w:rPr>
              <w:t>98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46"/>
              <w:ind w:left="286"/>
              <w:rPr>
                <w:sz w:val="22"/>
              </w:rPr>
            </w:pPr>
            <w:r>
              <w:rPr>
                <w:sz w:val="22"/>
              </w:rPr>
              <w:t>32.4</w:t>
            </w:r>
          </w:p>
        </w:tc>
        <w:tc>
          <w:tcPr>
            <w:tcW w:w="1280" w:type="dxa"/>
          </w:tcPr>
          <w:p>
            <w:pPr>
              <w:pStyle w:val="TableParagraph"/>
              <w:spacing w:line="234" w:lineRule="exact" w:before="46"/>
              <w:ind w:left="174" w:right="165"/>
              <w:jc w:val="center"/>
              <w:rPr>
                <w:sz w:val="22"/>
              </w:rPr>
            </w:pPr>
            <w:r>
              <w:rPr>
                <w:sz w:val="22"/>
              </w:rPr>
              <w:t>533.8</w:t>
            </w:r>
          </w:p>
        </w:tc>
        <w:tc>
          <w:tcPr>
            <w:tcW w:w="1280" w:type="dxa"/>
          </w:tcPr>
          <w:p>
            <w:pPr>
              <w:pStyle w:val="TableParagraph"/>
              <w:spacing w:line="234" w:lineRule="exact" w:before="46"/>
              <w:ind w:left="175" w:right="165"/>
              <w:jc w:val="center"/>
              <w:rPr>
                <w:sz w:val="22"/>
              </w:rPr>
            </w:pPr>
            <w:r>
              <w:rPr>
                <w:sz w:val="22"/>
              </w:rPr>
              <w:t>169.7</w:t>
            </w:r>
          </w:p>
        </w:tc>
        <w:tc>
          <w:tcPr>
            <w:tcW w:w="1339" w:type="dxa"/>
          </w:tcPr>
          <w:p>
            <w:pPr>
              <w:pStyle w:val="TableParagraph"/>
              <w:spacing w:line="234" w:lineRule="exact" w:before="46"/>
              <w:ind w:left="457" w:right="447"/>
              <w:jc w:val="center"/>
              <w:rPr>
                <w:sz w:val="22"/>
              </w:rPr>
            </w:pPr>
            <w:r>
              <w:rPr>
                <w:sz w:val="22"/>
              </w:rPr>
              <w:t>31.8</w:t>
            </w:r>
          </w:p>
        </w:tc>
      </w:tr>
      <w:tr>
        <w:trPr>
          <w:trHeight w:val="299" w:hRule="atLeast"/>
        </w:trPr>
        <w:tc>
          <w:tcPr>
            <w:tcW w:w="960" w:type="dxa"/>
          </w:tcPr>
          <w:p>
            <w:pPr>
              <w:pStyle w:val="TableParagraph"/>
              <w:spacing w:line="234" w:lineRule="exact" w:before="45"/>
              <w:ind w:left="278"/>
              <w:rPr>
                <w:sz w:val="22"/>
              </w:rPr>
            </w:pPr>
            <w:r>
              <w:rPr>
                <w:sz w:val="22"/>
              </w:rPr>
              <w:t>SYP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45"/>
              <w:ind w:left="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3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45"/>
              <w:ind w:left="369"/>
              <w:rPr>
                <w:sz w:val="22"/>
              </w:rPr>
            </w:pPr>
            <w:r>
              <w:rPr>
                <w:sz w:val="22"/>
              </w:rPr>
              <w:t>98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45"/>
              <w:ind w:left="286"/>
              <w:rPr>
                <w:sz w:val="22"/>
              </w:rPr>
            </w:pPr>
            <w:r>
              <w:rPr>
                <w:sz w:val="22"/>
              </w:rPr>
              <w:t>29.7</w:t>
            </w:r>
          </w:p>
        </w:tc>
        <w:tc>
          <w:tcPr>
            <w:tcW w:w="1280" w:type="dxa"/>
          </w:tcPr>
          <w:p>
            <w:pPr>
              <w:pStyle w:val="TableParagraph"/>
              <w:spacing w:line="234" w:lineRule="exact" w:before="45"/>
              <w:ind w:left="174" w:right="165"/>
              <w:jc w:val="center"/>
              <w:rPr>
                <w:sz w:val="22"/>
              </w:rPr>
            </w:pPr>
            <w:r>
              <w:rPr>
                <w:sz w:val="22"/>
              </w:rPr>
              <w:t>612.7</w:t>
            </w:r>
          </w:p>
        </w:tc>
        <w:tc>
          <w:tcPr>
            <w:tcW w:w="1280" w:type="dxa"/>
          </w:tcPr>
          <w:p>
            <w:pPr>
              <w:pStyle w:val="TableParagraph"/>
              <w:spacing w:line="234" w:lineRule="exact" w:before="45"/>
              <w:ind w:left="175" w:right="165"/>
              <w:jc w:val="center"/>
              <w:rPr>
                <w:sz w:val="22"/>
              </w:rPr>
            </w:pPr>
            <w:r>
              <w:rPr>
                <w:sz w:val="22"/>
              </w:rPr>
              <w:t>109.5</w:t>
            </w:r>
          </w:p>
        </w:tc>
        <w:tc>
          <w:tcPr>
            <w:tcW w:w="1339" w:type="dxa"/>
          </w:tcPr>
          <w:p>
            <w:pPr>
              <w:pStyle w:val="TableParagraph"/>
              <w:spacing w:line="234" w:lineRule="exact" w:before="45"/>
              <w:ind w:left="457" w:right="447"/>
              <w:jc w:val="center"/>
              <w:rPr>
                <w:sz w:val="22"/>
              </w:rPr>
            </w:pPr>
            <w:r>
              <w:rPr>
                <w:sz w:val="22"/>
              </w:rPr>
              <w:t>17.9</w:t>
            </w:r>
          </w:p>
        </w:tc>
      </w:tr>
      <w:tr>
        <w:trPr>
          <w:trHeight w:val="299" w:hRule="atLeast"/>
        </w:trPr>
        <w:tc>
          <w:tcPr>
            <w:tcW w:w="960" w:type="dxa"/>
            <w:shd w:val="clear" w:color="auto" w:fill="C0C0C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60" w:type="dxa"/>
            <w:shd w:val="clear" w:color="auto" w:fill="C0C0C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60" w:type="dxa"/>
            <w:shd w:val="clear" w:color="auto" w:fill="C0C0C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60" w:type="dxa"/>
            <w:shd w:val="clear" w:color="auto" w:fill="C0C0C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280" w:type="dxa"/>
            <w:shd w:val="clear" w:color="auto" w:fill="C0C0C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280" w:type="dxa"/>
            <w:shd w:val="clear" w:color="auto" w:fill="C0C0C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339" w:type="dxa"/>
            <w:shd w:val="clear" w:color="auto" w:fill="C0C0C0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00" w:hRule="atLeast"/>
        </w:trPr>
        <w:tc>
          <w:tcPr>
            <w:tcW w:w="960" w:type="dxa"/>
          </w:tcPr>
          <w:p>
            <w:pPr>
              <w:pStyle w:val="TableParagraph"/>
              <w:spacing w:line="234" w:lineRule="exact" w:before="46"/>
              <w:ind w:left="278"/>
              <w:rPr>
                <w:sz w:val="22"/>
              </w:rPr>
            </w:pPr>
            <w:r>
              <w:rPr>
                <w:sz w:val="22"/>
              </w:rPr>
              <w:t>SYP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46"/>
              <w:ind w:left="113" w:right="104"/>
              <w:jc w:val="center"/>
              <w:rPr>
                <w:sz w:val="22"/>
              </w:rPr>
            </w:pPr>
            <w:r>
              <w:rPr>
                <w:sz w:val="22"/>
              </w:rPr>
              <w:t>Multi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46"/>
              <w:ind w:left="314"/>
              <w:rPr>
                <w:sz w:val="22"/>
              </w:rPr>
            </w:pPr>
            <w:r>
              <w:rPr>
                <w:sz w:val="22"/>
              </w:rPr>
              <w:t>196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46"/>
              <w:ind w:left="286"/>
              <w:rPr>
                <w:sz w:val="22"/>
              </w:rPr>
            </w:pPr>
            <w:r>
              <w:rPr>
                <w:sz w:val="22"/>
              </w:rPr>
              <w:t>31.1</w:t>
            </w:r>
          </w:p>
        </w:tc>
        <w:tc>
          <w:tcPr>
            <w:tcW w:w="1280" w:type="dxa"/>
          </w:tcPr>
          <w:p>
            <w:pPr>
              <w:pStyle w:val="TableParagraph"/>
              <w:spacing w:line="234" w:lineRule="exact" w:before="46"/>
              <w:ind w:left="174" w:right="165"/>
              <w:jc w:val="center"/>
              <w:rPr>
                <w:sz w:val="22"/>
              </w:rPr>
            </w:pPr>
            <w:r>
              <w:rPr>
                <w:sz w:val="22"/>
              </w:rPr>
              <w:t>573.3</w:t>
            </w:r>
          </w:p>
        </w:tc>
        <w:tc>
          <w:tcPr>
            <w:tcW w:w="1280" w:type="dxa"/>
          </w:tcPr>
          <w:p>
            <w:pPr>
              <w:pStyle w:val="TableParagraph"/>
              <w:spacing w:line="234" w:lineRule="exact" w:before="46"/>
              <w:ind w:left="175" w:right="165"/>
              <w:jc w:val="center"/>
              <w:rPr>
                <w:sz w:val="22"/>
              </w:rPr>
            </w:pPr>
            <w:r>
              <w:rPr>
                <w:sz w:val="22"/>
              </w:rPr>
              <w:t>148.2</w:t>
            </w:r>
          </w:p>
        </w:tc>
        <w:tc>
          <w:tcPr>
            <w:tcW w:w="1339" w:type="dxa"/>
          </w:tcPr>
          <w:p>
            <w:pPr>
              <w:pStyle w:val="TableParagraph"/>
              <w:spacing w:line="234" w:lineRule="exact" w:before="46"/>
              <w:ind w:left="457" w:right="447"/>
              <w:jc w:val="center"/>
              <w:rPr>
                <w:sz w:val="22"/>
              </w:rPr>
            </w:pPr>
            <w:r>
              <w:rPr>
                <w:sz w:val="22"/>
              </w:rPr>
              <w:t>25.8</w:t>
            </w:r>
          </w:p>
        </w:tc>
      </w:tr>
    </w:tbl>
    <w:p>
      <w:pPr>
        <w:spacing w:after="0" w:line="234" w:lineRule="exact"/>
        <w:jc w:val="center"/>
        <w:rPr>
          <w:sz w:val="22"/>
        </w:rPr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before="10"/>
        <w:rPr>
          <w:i/>
          <w:sz w:val="20"/>
        </w:rPr>
      </w:pPr>
    </w:p>
    <w:p>
      <w:pPr>
        <w:spacing w:after="0"/>
        <w:rPr>
          <w:sz w:val="20"/>
        </w:rPr>
        <w:sectPr>
          <w:pgSz w:w="12240" w:h="15840"/>
          <w:pgMar w:header="0" w:footer="1064" w:top="1500" w:bottom="1260" w:left="1720" w:right="1180"/>
        </w:sectPr>
      </w:pPr>
    </w:p>
    <w:p>
      <w:pPr>
        <w:pStyle w:val="BodyText"/>
        <w:spacing w:before="3"/>
        <w:rPr>
          <w:i/>
          <w:sz w:val="28"/>
        </w:rPr>
      </w:pPr>
    </w:p>
    <w:p>
      <w:pPr>
        <w:pStyle w:val="BodyText"/>
        <w:ind w:left="1338"/>
      </w:pPr>
      <w:r>
        <w:rPr/>
        <w:pict>
          <v:line style="position:absolute;mso-position-horizontal-relative:page;mso-position-vertical-relative:paragraph;z-index:15779328" from="257.819397pt,-4.293783pt" to="277.019397pt,-4.293783pt" stroked="true" strokeweight="2.5pt" strokecolor="#30303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34927104" from="346.571198pt,-4.293783pt" to="365.771198pt,-4.293783pt" stroked="true" strokeweight="2.5pt" strokecolor="#5b9bd5">
            <v:stroke dashstyle="solid"/>
            <w10:wrap type="none"/>
          </v:line>
        </w:pict>
      </w:r>
      <w:r>
        <w:rPr/>
        <w:t>0.00300</w:t>
      </w:r>
    </w:p>
    <w:p>
      <w:pPr>
        <w:pStyle w:val="BodyText"/>
        <w:tabs>
          <w:tab w:pos="3113" w:val="left" w:leader="none"/>
        </w:tabs>
        <w:spacing w:before="90"/>
        <w:ind w:left="1338"/>
      </w:pPr>
      <w:r>
        <w:rPr/>
        <w:br w:type="column"/>
      </w:r>
      <w:r>
        <w:rPr/>
        <w:t>Multiple</w:t>
      </w:r>
      <w:r>
        <w:rPr>
          <w:spacing w:val="-1"/>
        </w:rPr>
        <w:t> </w:t>
      </w:r>
      <w:r>
        <w:rPr/>
        <w:t>ply</w:t>
        <w:tab/>
        <w:t>Single</w:t>
      </w:r>
      <w:r>
        <w:rPr>
          <w:spacing w:val="-2"/>
        </w:rPr>
        <w:t> </w:t>
      </w:r>
      <w:r>
        <w:rPr/>
        <w:t>ply</w:t>
      </w:r>
    </w:p>
    <w:p>
      <w:pPr>
        <w:spacing w:after="0"/>
        <w:sectPr>
          <w:type w:val="continuous"/>
          <w:pgSz w:w="12240" w:h="15840"/>
          <w:pgMar w:top="1380" w:bottom="280" w:left="1720" w:right="1180"/>
          <w:cols w:num="2" w:equalWidth="0">
            <w:col w:w="2159" w:space="363"/>
            <w:col w:w="6818"/>
          </w:cols>
        </w:sectPr>
      </w:pPr>
    </w:p>
    <w:p>
      <w:pPr>
        <w:pStyle w:val="BodyText"/>
        <w:spacing w:before="5"/>
        <w:rPr>
          <w:sz w:val="29"/>
        </w:rPr>
      </w:pPr>
    </w:p>
    <w:p>
      <w:pPr>
        <w:pStyle w:val="BodyText"/>
        <w:spacing w:before="90"/>
        <w:ind w:left="1338"/>
      </w:pPr>
      <w:r>
        <w:rPr/>
        <w:pict>
          <v:group style="position:absolute;margin-left:201.636993pt;margin-top:-23.676266pt;width:280.650pt;height:212.95pt;mso-position-horizontal-relative:page;mso-position-vertical-relative:paragraph;z-index:15778816" coordorigin="4033,-474" coordsize="5613,4259">
            <v:rect style="position:absolute;left:4042;top:-464;width:5563;height:4223" filled="false" stroked="true" strokeweight="1pt" strokecolor="#818181">
              <v:stroke dashstyle="solid"/>
            </v:rect>
            <v:shape style="position:absolute;left:4042;top:-464;width:5563;height:4223" coordorigin="4043,-464" coordsize="5563,4223" path="m4043,3759l4043,-464m4043,3759l4114,3759m4043,3055l4114,3055m4043,2352l4114,2352m4043,1648l4114,1648m4043,945l4114,945m4043,240l4114,240m4043,-464l4114,-464m4043,3759l9606,3759e" filled="false" stroked="true" strokeweight=".25pt" strokecolor="#000000">
              <v:path arrowok="t"/>
              <v:stroke dashstyle="solid"/>
            </v:shape>
            <v:shape style="position:absolute;left:4042;top:3688;width:5563;height:72" coordorigin="4043,3688" coordsize="5563,72" path="m4043,3688l4043,3759m4837,3688l4837,3759m5632,3688l5632,3759m6427,3688l6427,3759m7222,3688l7222,3759m8016,3688l8016,3759m8810,3688l8810,3759m9606,3688l9606,3759e" filled="false" stroked="true" strokeweight=".25pt" strokecolor="#000000">
              <v:path arrowok="t"/>
              <v:stroke dashstyle="solid"/>
            </v:shape>
            <v:shape style="position:absolute;left:4384;top:-31;width:5236;height:3791" coordorigin="4384,-30" coordsize="5236,3791" path="m4384,3743l4416,3739,4448,3736,4480,3731,4543,3720,4607,3705,4670,3684,4734,3659,4798,3625,4861,3583,4925,3532,4988,3466,5052,3388,5116,3293,5147,3239,5179,3180,5210,3118,5243,3049,5274,2977,5306,2899,5338,2818,5370,2730,5401,2638,5434,2542,5465,2440,5497,2334,5528,2225,5561,2112,5592,1996,5624,1876,5656,1755,5688,1632,5719,1509,5752,1385,5783,1260,5815,1138,5846,1018,5879,900,5910,786,5942,677,5974,573,6006,474,6037,383,6070,299,6101,225,6133,157,6164,100,6228,16,6292,-26,6324,-30,6355,-24,6419,22,6482,111,6515,169,6546,238,6578,315,6610,400,6642,492,6673,592,6704,697,6737,808,6768,922,6800,1041,6832,1162,6864,1284,6895,1408,6928,1531,6959,1655,6991,1777,7022,1899,7055,2017,7086,2134,7118,2245,7150,2355,7182,2459,7213,2560,7246,2656,7277,2747,7309,2833,7340,2915,7373,2992,7404,3063,7436,3130,7468,3192,7500,3250,7531,3303,7595,3395,7658,3473,7722,3537,7786,3588,7849,3629,7913,3661,7976,3687,8040,3706,8104,3721,8136,3726,8167,3732,8200,3736,8231,3739,8262,3743,8294,3745,8326,3748,8358,3750,8389,3751,8422,3753,8453,3754,8485,3755,8516,3756,8549,3756,8580,3757,8612,3757,8644,3757,8676,3759,8707,3759,8740,3759,8771,3759,8803,3759,8834,3759,8867,3759,8898,3760,9566,3760,9598,3759,9620,3759e" filled="false" stroked="true" strokeweight="2.5pt" strokecolor="#303030">
              <v:path arrowok="t"/>
              <v:stroke dashstyle="solid"/>
            </v:shape>
            <v:shape style="position:absolute;left:4575;top:888;width:5046;height:2869" coordorigin="4575,889" coordsize="5046,2869" path="m4575,3673l4639,3653,4703,3629,4734,3615,4766,3600,4798,3583,4830,3567,4861,3547,4925,3504,4988,3455,5052,3399,5083,3367,5116,3335,5147,3299,5179,3262,5210,3223,5243,3183,5274,3138,5306,3093,5370,2995,5401,2944,5434,2890,5465,2833,5497,2776,5528,2716,5561,2655,5592,2591,5624,2526,5656,2460,5688,2393,5719,2325,5752,2255,5783,2184,5815,2113,5846,2043,5879,1972,5910,1900,5942,1830,5974,1759,6006,1691,6037,1623,6070,1557,6101,1492,6133,1429,6164,1368,6197,1311,6228,1255,6260,1204,6324,1110,6388,1031,6451,969,6515,923,6578,897,6642,889,6673,892,6737,913,6800,953,6864,1011,6928,1085,6991,1175,7055,1278,7086,1335,7118,1393,7150,1455,7182,1518,7213,1584,7246,1651,7277,1720,7309,1788,7340,1859,7373,1930,7404,2001,7436,2073,7468,2143,7500,2214,7531,2284,7564,2353,7595,2421,7627,2488,7658,2554,7691,2617,7722,2681,7754,2741,7786,2801,7818,2857,7849,2913,7882,2965,7913,3017,7976,3112,8040,3199,8104,3279,8167,3348,8231,3411,8294,3466,8358,3514,8422,3555,8453,3574,8516,3606,8580,3634,8644,3658,8707,3677,8740,3687,8803,3701,8867,3713,8930,3723,8962,3727,8994,3731,9025,3735,9058,3737,9089,3739,9121,3742,9152,3744,9185,3747,9216,3748,9248,3749,9280,3750,9312,3751,9343,3753,9376,3754,9407,3755,9439,3755,9470,3756,9503,3756,9534,3756,9566,3757,9598,3757,9620,3757e" filled="false" stroked="true" strokeweight="2.5pt" strokecolor="#5b9bd5">
              <v:path arrowok="t"/>
              <v:stroke dashstyle="solid"/>
            </v:shape>
            <w10:wrap type="none"/>
          </v:group>
        </w:pict>
      </w:r>
      <w:r>
        <w:rPr/>
        <w:t>0.00250</w:t>
      </w:r>
    </w:p>
    <w:p>
      <w:pPr>
        <w:pStyle w:val="BodyText"/>
        <w:spacing w:before="4"/>
        <w:rPr>
          <w:sz w:val="29"/>
        </w:rPr>
      </w:pPr>
    </w:p>
    <w:p>
      <w:pPr>
        <w:pStyle w:val="BodyText"/>
        <w:spacing w:before="90"/>
        <w:ind w:left="1338"/>
      </w:pPr>
      <w:r>
        <w:rPr/>
        <w:pict>
          <v:shape style="position:absolute;margin-left:136.787445pt;margin-top:15.198684pt;width:15.3pt;height:55.5pt;mso-position-horizontal-relative:page;mso-position-vertical-relative:paragraph;z-index:15780352" type="#_x0000_t202" filled="false" stroked="false">
            <v:textbox inset="0,0,0,0" style="layout-flow:vertical;mso-layout-flow-alt:bottom-to-top">
              <w:txbxContent>
                <w:p>
                  <w:pPr>
                    <w:pStyle w:val="BodyText"/>
                    <w:spacing w:before="10"/>
                    <w:ind w:left="20"/>
                  </w:pPr>
                  <w:r>
                    <w:rPr/>
                    <w:t>Probability</w:t>
                  </w:r>
                </w:p>
              </w:txbxContent>
            </v:textbox>
            <w10:wrap type="none"/>
          </v:shape>
        </w:pict>
      </w:r>
      <w:r>
        <w:rPr/>
        <w:t>0.00200</w:t>
      </w:r>
    </w:p>
    <w:p>
      <w:pPr>
        <w:pStyle w:val="BodyText"/>
        <w:spacing w:before="5"/>
        <w:rPr>
          <w:sz w:val="29"/>
        </w:rPr>
      </w:pPr>
    </w:p>
    <w:p>
      <w:pPr>
        <w:pStyle w:val="BodyText"/>
        <w:spacing w:before="90"/>
        <w:ind w:left="1338"/>
      </w:pPr>
      <w:r>
        <w:rPr/>
        <w:t>0.00150</w:t>
      </w:r>
    </w:p>
    <w:p>
      <w:pPr>
        <w:pStyle w:val="BodyText"/>
        <w:spacing w:before="4"/>
        <w:rPr>
          <w:sz w:val="29"/>
        </w:rPr>
      </w:pPr>
    </w:p>
    <w:p>
      <w:pPr>
        <w:pStyle w:val="BodyText"/>
        <w:spacing w:before="90"/>
        <w:ind w:left="1338"/>
      </w:pPr>
      <w:r>
        <w:rPr/>
        <w:t>0.00100</w:t>
      </w:r>
    </w:p>
    <w:p>
      <w:pPr>
        <w:pStyle w:val="BodyText"/>
        <w:spacing w:before="5"/>
        <w:rPr>
          <w:sz w:val="29"/>
        </w:rPr>
      </w:pPr>
    </w:p>
    <w:p>
      <w:pPr>
        <w:pStyle w:val="BodyText"/>
        <w:spacing w:before="90"/>
        <w:ind w:left="1338"/>
      </w:pPr>
      <w:r>
        <w:rPr/>
        <w:t>0.00050</w:t>
      </w:r>
    </w:p>
    <w:p>
      <w:pPr>
        <w:pStyle w:val="BodyText"/>
        <w:spacing w:before="4"/>
        <w:rPr>
          <w:sz w:val="29"/>
        </w:rPr>
      </w:pPr>
    </w:p>
    <w:p>
      <w:pPr>
        <w:pStyle w:val="BodyText"/>
        <w:spacing w:before="90"/>
        <w:ind w:left="1338"/>
      </w:pPr>
      <w:r>
        <w:rPr/>
        <w:t>0.00000</w:t>
      </w:r>
    </w:p>
    <w:p>
      <w:pPr>
        <w:pStyle w:val="BodyText"/>
        <w:tabs>
          <w:tab w:pos="2937" w:val="left" w:leader="none"/>
          <w:tab w:pos="3731" w:val="left" w:leader="none"/>
          <w:tab w:pos="4526" w:val="left" w:leader="none"/>
          <w:tab w:pos="5321" w:val="left" w:leader="none"/>
          <w:tab w:pos="6055" w:val="left" w:leader="none"/>
          <w:tab w:pos="6850" w:val="left" w:leader="none"/>
          <w:tab w:pos="7645" w:val="left" w:leader="none"/>
        </w:tabs>
        <w:spacing w:before="5"/>
        <w:ind w:left="2262"/>
      </w:pPr>
      <w:r>
        <w:rPr/>
        <w:t>0</w:t>
        <w:tab/>
        <w:t>200</w:t>
        <w:tab/>
        <w:t>400</w:t>
        <w:tab/>
        <w:t>600</w:t>
        <w:tab/>
        <w:t>800</w:t>
        <w:tab/>
        <w:t>1000</w:t>
        <w:tab/>
        <w:t>1200</w:t>
        <w:tab/>
        <w:t>1400</w:t>
      </w:r>
    </w:p>
    <w:p>
      <w:pPr>
        <w:pStyle w:val="BodyText"/>
        <w:spacing w:before="54"/>
        <w:ind w:left="3825"/>
      </w:pPr>
      <w:r>
        <w:rPr/>
        <w:t>Janka</w:t>
      </w:r>
      <w:r>
        <w:rPr>
          <w:spacing w:val="-2"/>
        </w:rPr>
        <w:t> </w:t>
      </w:r>
      <w:r>
        <w:rPr/>
        <w:t>Hardness (pounds)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3"/>
        </w:rPr>
      </w:pPr>
    </w:p>
    <w:p>
      <w:pPr>
        <w:spacing w:before="90"/>
        <w:ind w:left="440" w:right="402" w:firstLine="0"/>
        <w:jc w:val="left"/>
        <w:rPr>
          <w:i/>
          <w:sz w:val="24"/>
        </w:rPr>
      </w:pPr>
      <w:bookmarkStart w:name="_bookmark41" w:id="216"/>
      <w:bookmarkEnd w:id="216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4-13.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Normal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probability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distribution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functions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single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multiple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ply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hardness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testing of SYP.</w:t>
      </w:r>
    </w:p>
    <w:p>
      <w:pPr>
        <w:spacing w:after="0"/>
        <w:jc w:val="left"/>
        <w:rPr>
          <w:sz w:val="24"/>
        </w:rPr>
        <w:sectPr>
          <w:type w:val="continuous"/>
          <w:pgSz w:w="12240" w:h="15840"/>
          <w:pgMar w:top="1380" w:bottom="280" w:left="1720" w:right="1180"/>
        </w:sectPr>
      </w:pPr>
    </w:p>
    <w:p>
      <w:pPr>
        <w:spacing w:before="75"/>
        <w:ind w:left="1194" w:right="0" w:firstLine="0"/>
        <w:jc w:val="left"/>
        <w:rPr>
          <w:sz w:val="19"/>
        </w:rPr>
      </w:pPr>
      <w:r>
        <w:rPr/>
        <w:pict>
          <v:group style="position:absolute;margin-left:161.877777pt;margin-top:9.319144pt;width:352.95pt;height:200.1pt;mso-position-horizontal-relative:page;mso-position-vertical-relative:paragraph;z-index:15780864" coordorigin="3238,186" coordsize="7059,4002">
            <v:rect style="position:absolute;left:3244;top:193;width:7045;height:3988" filled="false" stroked="true" strokeweight=".695344pt" strokecolor="#000000">
              <v:stroke dashstyle="solid"/>
            </v:rect>
            <v:line style="position:absolute" from="6266,4080" to="6266,4181" stroked="true" strokeweight=".348352pt" strokecolor="#000000">
              <v:stroke dashstyle="solid"/>
            </v:line>
            <v:line style="position:absolute" from="6770,4080" to="6770,4181" stroked="true" strokeweight=".348371pt" strokecolor="#000000">
              <v:stroke dashstyle="solid"/>
            </v:line>
            <v:line style="position:absolute" from="7274,4080" to="7274,4181" stroked="true" strokeweight=".348347pt" strokecolor="#000000">
              <v:stroke dashstyle="solid"/>
            </v:line>
            <v:line style="position:absolute" from="7775,4181" to="7775,4080" stroked="true" strokeweight=".695411pt" strokecolor="#000000">
              <v:stroke dashstyle="solid"/>
            </v:line>
            <v:line style="position:absolute" from="8276,4181" to="8276,4080" stroked="true" strokeweight=".695411pt" strokecolor="#000000">
              <v:stroke dashstyle="solid"/>
            </v:line>
            <v:line style="position:absolute" from="8780,4181" to="8780,4080" stroked="true" strokeweight=".695411pt" strokecolor="#000000">
              <v:stroke dashstyle="solid"/>
            </v:line>
            <v:line style="position:absolute" from="9284,4181" to="9284,4080" stroked="true" strokeweight=".695411pt" strokecolor="#000000">
              <v:stroke dashstyle="solid"/>
            </v:line>
            <v:line style="position:absolute" from="9788,4181" to="9788,4080" stroked="true" strokeweight=".695411pt" strokecolor="#000000">
              <v:stroke dashstyle="solid"/>
            </v:line>
            <v:line style="position:absolute" from="3745,193" to="3745,294" stroked="true" strokeweight=".695411pt" strokecolor="#000000">
              <v:stroke dashstyle="solid"/>
            </v:line>
            <v:line style="position:absolute" from="4249,193" to="4249,294" stroked="true" strokeweight=".695411pt" strokecolor="#000000">
              <v:stroke dashstyle="solid"/>
            </v:line>
            <v:line style="position:absolute" from="4754,193" to="4754,294" stroked="true" strokeweight=".695411pt" strokecolor="#000000">
              <v:stroke dashstyle="solid"/>
            </v:line>
            <v:line style="position:absolute" from="5258,193" to="5258,294" stroked="true" strokeweight=".695411pt" strokecolor="#000000">
              <v:stroke dashstyle="solid"/>
            </v:line>
            <v:line style="position:absolute" from="5758,193" to="5758,294" stroked="true" strokeweight=".695411pt" strokecolor="#000000">
              <v:stroke dashstyle="solid"/>
            </v:line>
            <v:line style="position:absolute" from="6263,193" to="6263,294" stroked="true" strokeweight=".695411pt" strokecolor="#000000">
              <v:stroke dashstyle="solid"/>
            </v:line>
            <v:line style="position:absolute" from="6767,193" to="6767,294" stroked="true" strokeweight=".695411pt" strokecolor="#000000">
              <v:stroke dashstyle="solid"/>
            </v:line>
            <v:line style="position:absolute" from="7271,193" to="7271,294" stroked="true" strokeweight=".695411pt" strokecolor="#000000">
              <v:stroke dashstyle="solid"/>
            </v:line>
            <v:line style="position:absolute" from="7775,193" to="7775,294" stroked="true" strokeweight=".695411pt" strokecolor="#000000">
              <v:stroke dashstyle="solid"/>
            </v:line>
            <v:line style="position:absolute" from="8276,193" to="8276,294" stroked="true" strokeweight=".695411pt" strokecolor="#000000">
              <v:stroke dashstyle="solid"/>
            </v:line>
            <v:line style="position:absolute" from="8780,193" to="8780,294" stroked="true" strokeweight=".695411pt" strokecolor="#000000">
              <v:stroke dashstyle="solid"/>
            </v:line>
            <v:line style="position:absolute" from="9284,193" to="9284,294" stroked="true" strokeweight=".695411pt" strokecolor="#000000">
              <v:stroke dashstyle="solid"/>
            </v:line>
            <v:line style="position:absolute" from="9788,193" to="9788,294" stroked="true" strokeweight=".695411pt" strokecolor="#000000">
              <v:stroke dashstyle="solid"/>
            </v:line>
            <v:shape style="position:absolute;left:3244;top:2185;width:7048;height:1495" coordorigin="3245,2185" coordsize="7048,1495" path="m3245,3680l3495,3680m3620,3680l3745,3680m5762,3680l6137,3680m6263,3680l6388,3680m6516,3680l10293,3680m3245,3183l3495,3183m3620,3183l3745,3183m5383,3183l5633,3183m5762,3183l6388,3183m6516,3183l10293,3183m3245,2686l3745,2686m3874,2686l3999,2686m5383,2686l10293,2686m3245,2185l3745,2185e" filled="false" stroked="true" strokeweight=".695323pt" strokecolor="#c1c1c1">
              <v:path arrowok="t"/>
              <v:stroke dashstyle="solid"/>
            </v:shape>
            <v:shape style="position:absolute;left:3873;top:2182;width:6419;height:7" coordorigin="3874,2182" coordsize="6419,7" path="m3874,2189l4124,2189m4375,2189l4500,2189m5004,2189l5129,2189m5258,2189l10293,2189m3874,2182l4124,2182m4249,2182l4500,2182m5004,2182l5129,2182m5258,2182l10293,2182e" filled="false" stroked="true" strokeweight=".347236pt" strokecolor="#c1c1c1">
              <v:path arrowok="t"/>
              <v:stroke dashstyle="solid"/>
            </v:shape>
            <v:shape style="position:absolute;left:3244;top:1191;width:7048;height:498" coordorigin="3245,1191" coordsize="7048,498" path="m3245,1688l3745,1688m3874,1688l4124,1688m4249,1688l4500,1688m4628,1688l4754,1688m5004,1688l10293,1688m3245,1191l4500,1191e" filled="false" stroked="true" strokeweight=".695323pt" strokecolor="#c1c1c1">
              <v:path arrowok="t"/>
              <v:stroke dashstyle="solid"/>
            </v:shape>
            <v:shape style="position:absolute;left:4628;top:1187;width:5665;height:7" coordorigin="4628,1188" coordsize="5665,7" path="m4628,1195l4879,1195m5004,1195l10293,1195m4628,1188l4879,1188m5004,1188l10293,1188e" filled="false" stroked="true" strokeweight=".347114pt" strokecolor="#c1c1c1">
              <v:path arrowok="t"/>
              <v:stroke dashstyle="solid"/>
            </v:shape>
            <v:shape style="position:absolute;left:3244;top:690;width:7048;height:2" coordorigin="3245,691" coordsize="7048,0" path="m3245,691l4879,691m5004,691l10293,691e" filled="false" stroked="true" strokeweight=".695323pt" strokecolor="#c1c1c1">
              <v:path arrowok="t"/>
              <v:stroke dashstyle="solid"/>
            </v:shape>
            <v:rect style="position:absolute;left:3244;top:3882;width:126;height:299" filled="true" fillcolor="#ff0000" stroked="false">
              <v:fill type="solid"/>
            </v:rect>
            <v:rect style="position:absolute;left:3244;top:3882;width:126;height:299" filled="false" stroked="true" strokeweight=".695398pt" strokecolor="#000000">
              <v:stroke dashstyle="solid"/>
            </v:rect>
            <v:rect style="position:absolute;left:3494;top:2884;width:126;height:1297" filled="true" fillcolor="#ff0000" stroked="false">
              <v:fill type="solid"/>
            </v:rect>
            <v:rect style="position:absolute;left:3494;top:2884;width:126;height:1297" filled="false" stroked="true" strokeweight=".69541pt" strokecolor="#000000">
              <v:stroke dashstyle="solid"/>
            </v:rect>
            <v:rect style="position:absolute;left:3745;top:1288;width:129;height:2893" filled="true" fillcolor="#ff0000" stroked="false">
              <v:fill type="solid"/>
            </v:rect>
            <v:rect style="position:absolute;left:3745;top:1288;width:129;height:2893" filled="false" stroked="true" strokeweight=".695411pt" strokecolor="#000000">
              <v:stroke dashstyle="solid"/>
            </v:rect>
            <v:rect style="position:absolute;left:3999;top:2185;width:126;height:1996" filled="true" fillcolor="#ff0000" stroked="false">
              <v:fill type="solid"/>
            </v:rect>
            <v:rect style="position:absolute;left:3999;top:2185;width:126;height:1996" filled="false" stroked="true" strokeweight=".695411pt" strokecolor="#000000">
              <v:stroke dashstyle="solid"/>
            </v:rect>
            <v:rect style="position:absolute;left:4249;top:2185;width:126;height:1996" filled="true" fillcolor="#ff0000" stroked="false">
              <v:fill type="solid"/>
            </v:rect>
            <v:rect style="position:absolute;left:4249;top:2185;width:126;height:1996" filled="false" stroked="true" strokeweight=".695411pt" strokecolor="#000000">
              <v:stroke dashstyle="solid"/>
            </v:rect>
            <v:rect style="position:absolute;left:4499;top:1090;width:129;height:3091" filled="true" fillcolor="#ff0000" stroked="false">
              <v:fill type="solid"/>
            </v:rect>
            <v:rect style="position:absolute;left:4499;top:1090;width:129;height:3091" filled="false" stroked="true" strokeweight=".695411pt" strokecolor="#000000">
              <v:stroke dashstyle="solid"/>
            </v:rect>
            <v:rect style="position:absolute;left:4753;top:1191;width:126;height:2990" filled="true" fillcolor="#ff0000" stroked="false">
              <v:fill type="solid"/>
            </v:rect>
            <v:rect style="position:absolute;left:4753;top:1191;width:126;height:2990" filled="false" stroked="true" strokeweight=".695411pt" strokecolor="#000000">
              <v:stroke dashstyle="solid"/>
            </v:rect>
            <v:rect style="position:absolute;left:5003;top:2387;width:126;height:1794" filled="true" fillcolor="#ff0000" stroked="false">
              <v:fill type="solid"/>
            </v:rect>
            <v:rect style="position:absolute;left:5003;top:2387;width:126;height:1794" filled="false" stroked="true" strokeweight=".695411pt" strokecolor="#000000">
              <v:stroke dashstyle="solid"/>
            </v:rect>
            <v:rect style="position:absolute;left:5257;top:2484;width:126;height:1697" filled="true" fillcolor="#ff0000" stroked="false">
              <v:fill type="solid"/>
            </v:rect>
            <v:rect style="position:absolute;left:5257;top:2484;width:126;height:1697" filled="false" stroked="true" strokeweight=".695411pt" strokecolor="#000000">
              <v:stroke dashstyle="solid"/>
            </v:rect>
            <v:rect style="position:absolute;left:5508;top:3381;width:126;height:800" filled="true" fillcolor="#ff0000" stroked="false">
              <v:fill type="solid"/>
            </v:rect>
            <v:rect style="position:absolute;left:5508;top:3381;width:126;height:800" filled="false" stroked="true" strokeweight=".695409pt" strokecolor="#000000">
              <v:stroke dashstyle="solid"/>
            </v:rect>
            <v:rect style="position:absolute;left:5761;top:3979;width:126;height:202" filled="true" fillcolor="#ff0000" stroked="false">
              <v:fill type="solid"/>
            </v:rect>
            <v:rect style="position:absolute;left:5758;top:3979;width:129;height:202" filled="false" stroked="true" strokeweight=".695386pt" strokecolor="#000000">
              <v:stroke dashstyle="solid"/>
            </v:rect>
            <v:rect style="position:absolute;left:6012;top:3882;width:126;height:299" filled="true" fillcolor="#ff0000" stroked="false">
              <v:fill type="solid"/>
            </v:rect>
            <v:rect style="position:absolute;left:6012;top:3882;width:126;height:299" filled="false" stroked="true" strokeweight=".695398pt" strokecolor="#000000">
              <v:stroke dashstyle="solid"/>
            </v:rect>
            <v:shape style="position:absolute;left:6262;top:4181;width:126;height:2" coordorigin="6263,4181" coordsize="126,0" path="m6263,4181l6388,4181,6263,4181xe" filled="true" fillcolor="#ff0000" stroked="false">
              <v:path arrowok="t"/>
              <v:fill type="solid"/>
            </v:shape>
            <v:shape style="position:absolute;left:6262;top:4181;width:126;height:2" coordorigin="6263,4181" coordsize="126,0" path="m6263,4181l6388,4181,6263,4181xe" filled="false" stroked="true" strokeweight=".695323pt" strokecolor="#000000">
              <v:path arrowok="t"/>
              <v:stroke dashstyle="solid"/>
            </v:shape>
            <v:rect style="position:absolute;left:6516;top:4080;width:126;height:101" filled="true" fillcolor="#ff0000" stroked="false">
              <v:fill type="solid"/>
            </v:rect>
            <v:rect style="position:absolute;left:6516;top:4080;width:126;height:101" filled="false" stroked="true" strokeweight=".695358pt" strokecolor="#000000">
              <v:stroke dashstyle="solid"/>
            </v:rect>
            <v:shape style="position:absolute;left:6766;top:4181;width:126;height:2" coordorigin="6767,4181" coordsize="126,0" path="m6892,4181l6767,4181e" filled="true" fillcolor="#ff0000" stroked="false">
              <v:path arrowok="t"/>
              <v:fill type="solid"/>
            </v:shape>
            <v:shape style="position:absolute;left:6766;top:4181;width:126;height:2" coordorigin="6767,4181" coordsize="126,0" path="m6767,4181l6892,4181,6767,4181xe" filled="false" stroked="true" strokeweight=".695323pt" strokecolor="#000000">
              <v:path arrowok="t"/>
              <v:stroke dashstyle="solid"/>
            </v:shape>
            <v:shape style="position:absolute;left:7017;top:4181;width:129;height:2" coordorigin="7017,4181" coordsize="129,0" path="m7146,4181l7017,4181e" filled="true" fillcolor="#ff0000" stroked="false">
              <v:path arrowok="t"/>
              <v:fill type="solid"/>
            </v:shape>
            <v:shape style="position:absolute;left:7017;top:4181;width:129;height:2" coordorigin="7017,4181" coordsize="129,0" path="m7017,4181l7146,4181,7017,4181xe" filled="false" stroked="true" strokeweight=".695323pt" strokecolor="#000000">
              <v:path arrowok="t"/>
              <v:stroke dashstyle="solid"/>
            </v:shape>
            <v:shape style="position:absolute;left:7270;top:4181;width:126;height:2" coordorigin="7271,4181" coordsize="126,0" path="m7396,4181l7271,4181e" filled="true" fillcolor="#ff0000" stroked="false">
              <v:path arrowok="t"/>
              <v:fill type="solid"/>
            </v:shape>
            <v:shape style="position:absolute;left:7270;top:4181;width:126;height:2" coordorigin="7271,4181" coordsize="126,0" path="m7271,4181l7396,4181,7271,4181xe" filled="false" stroked="true" strokeweight=".695323pt" strokecolor="#000000">
              <v:path arrowok="t"/>
              <v:stroke dashstyle="solid"/>
            </v:shape>
            <v:shape style="position:absolute;left:7521;top:4181;width:129;height:2" coordorigin="7521,4181" coordsize="129,0" path="m7650,4181l7521,4181e" filled="true" fillcolor="#ff0000" stroked="false">
              <v:path arrowok="t"/>
              <v:fill type="solid"/>
            </v:shape>
            <v:shape style="position:absolute;left:7521;top:4181;width:126;height:2" coordorigin="7521,4181" coordsize="126,0" path="m7521,4181l7646,4181,7521,4181xe" filled="false" stroked="true" strokeweight=".695323pt" strokecolor="#000000">
              <v:path arrowok="t"/>
              <v:stroke dashstyle="solid"/>
            </v:shape>
            <v:shape style="position:absolute;left:7775;top:4181;width:126;height:2" coordorigin="7775,4181" coordsize="126,0" path="m7900,4181l7775,4181e" filled="true" fillcolor="#ff0000" stroked="false">
              <v:path arrowok="t"/>
              <v:fill type="solid"/>
            </v:shape>
            <v:shape style="position:absolute;left:7775;top:4181;width:126;height:2" coordorigin="7775,4181" coordsize="126,0" path="m7775,4181l7900,4181,7775,4181xe" filled="false" stroked="true" strokeweight=".695323pt" strokecolor="#000000">
              <v:path arrowok="t"/>
              <v:stroke dashstyle="solid"/>
            </v:shape>
            <v:shape style="position:absolute;left:8025;top:4181;width:126;height:2" coordorigin="8025,4181" coordsize="126,0" path="m8151,4181l8025,4181e" filled="true" fillcolor="#ff0000" stroked="false">
              <v:path arrowok="t"/>
              <v:fill type="solid"/>
            </v:shape>
            <v:shape style="position:absolute;left:8025;top:4181;width:126;height:2" coordorigin="8025,4181" coordsize="126,0" path="m8025,4181l8151,4181,8025,4181xe" filled="false" stroked="true" strokeweight=".695323pt" strokecolor="#000000">
              <v:path arrowok="t"/>
              <v:stroke dashstyle="solid"/>
            </v:shape>
            <v:shape style="position:absolute;left:8275;top:4181;width:129;height:2" coordorigin="8276,4181" coordsize="129,0" path="m8404,4181l8276,4181e" filled="true" fillcolor="#ff0000" stroked="false">
              <v:path arrowok="t"/>
              <v:fill type="solid"/>
            </v:shape>
            <v:shape style="position:absolute;left:8275;top:4181;width:129;height:2" coordorigin="8276,4181" coordsize="129,0" path="m8276,4181l8404,4181,8276,4181xe" filled="false" stroked="true" strokeweight=".695323pt" strokecolor="#000000">
              <v:path arrowok="t"/>
              <v:stroke dashstyle="solid"/>
            </v:shape>
            <v:shape style="position:absolute;left:8529;top:4181;width:126;height:2" coordorigin="8530,4181" coordsize="126,0" path="m8655,4181l8530,4181e" filled="true" fillcolor="#ff0000" stroked="false">
              <v:path arrowok="t"/>
              <v:fill type="solid"/>
            </v:shape>
            <v:shape style="position:absolute;left:8529;top:4181;width:126;height:2" coordorigin="8530,4181" coordsize="126,0" path="m8530,4181l8655,4181,8530,4181xe" filled="false" stroked="true" strokeweight=".695323pt" strokecolor="#000000">
              <v:path arrowok="t"/>
              <v:stroke dashstyle="solid"/>
            </v:shape>
            <v:shape style="position:absolute;left:8779;top:4181;width:126;height:2" coordorigin="8780,4181" coordsize="126,0" path="m8905,4181l8780,4181e" filled="true" fillcolor="#ff0000" stroked="false">
              <v:path arrowok="t"/>
              <v:fill type="solid"/>
            </v:shape>
            <v:shape style="position:absolute;left:8779;top:4181;width:126;height:2" coordorigin="8780,4181" coordsize="126,0" path="m8780,4181l8905,4181,8780,4181xe" filled="false" stroked="true" strokeweight=".695323pt" strokecolor="#000000">
              <v:path arrowok="t"/>
              <v:stroke dashstyle="solid"/>
            </v:shape>
            <v:shape style="position:absolute;left:9033;top:4181;width:126;height:2" coordorigin="9034,4181" coordsize="126,0" path="m9159,4181l9034,4181e" filled="true" fillcolor="#ff0000" stroked="false">
              <v:path arrowok="t"/>
              <v:fill type="solid"/>
            </v:shape>
            <v:shape style="position:absolute;left:9033;top:4181;width:126;height:2" coordorigin="9034,4181" coordsize="126,0" path="m9034,4181l9159,4181,9034,4181xe" filled="false" stroked="true" strokeweight=".695323pt" strokecolor="#000000">
              <v:path arrowok="t"/>
              <v:stroke dashstyle="solid"/>
            </v:shape>
            <v:shape style="position:absolute;left:9284;top:4181;width:126;height:2" coordorigin="9284,4181" coordsize="126,0" path="m9409,4181l9284,4181e" filled="true" fillcolor="#ff0000" stroked="false">
              <v:path arrowok="t"/>
              <v:fill type="solid"/>
            </v:shape>
            <v:shape style="position:absolute;left:9284;top:4181;width:126;height:2" coordorigin="9284,4181" coordsize="126,0" path="m9284,4181l9409,4181,9284,4181xe" filled="false" stroked="true" strokeweight=".695323pt" strokecolor="#000000">
              <v:path arrowok="t"/>
              <v:stroke dashstyle="solid"/>
            </v:shape>
            <v:shape style="position:absolute;left:9534;top:4181;width:129;height:2" coordorigin="9535,4181" coordsize="129,0" path="m9663,4181l9535,4181e" filled="true" fillcolor="#ff0000" stroked="false">
              <v:path arrowok="t"/>
              <v:fill type="solid"/>
            </v:shape>
            <v:shape style="position:absolute;left:9534;top:4181;width:126;height:2" coordorigin="9535,4181" coordsize="126,0" path="m9535,4181l9660,4181,9535,4181xe" filled="false" stroked="true" strokeweight=".695323pt" strokecolor="#000000">
              <v:path arrowok="t"/>
              <v:stroke dashstyle="solid"/>
            </v:shape>
            <v:shape style="position:absolute;left:9788;top:4181;width:126;height:2" coordorigin="9788,4181" coordsize="126,0" path="m9914,4181l9788,4181e" filled="true" fillcolor="#ff0000" stroked="false">
              <v:path arrowok="t"/>
              <v:fill type="solid"/>
            </v:shape>
            <v:shape style="position:absolute;left:9788;top:4181;width:126;height:2" coordorigin="9788,4181" coordsize="126,0" path="m9788,4181l9913,4181,9788,4181xe" filled="false" stroked="true" strokeweight=".695323pt" strokecolor="#000000">
              <v:path arrowok="t"/>
              <v:stroke dashstyle="solid"/>
            </v:shape>
            <v:rect style="position:absolute;left:10038;top:4080;width:126;height:101" filled="true" fillcolor="#ff0000" stroked="false">
              <v:fill type="solid"/>
            </v:rect>
            <v:rect style="position:absolute;left:10038;top:4080;width:126;height:101" filled="false" stroked="true" strokeweight=".695358pt" strokecolor="#000000">
              <v:stroke dashstyle="solid"/>
            </v:rect>
            <v:shape style="position:absolute;left:3369;top:4181;width:126;height:2" coordorigin="3370,4181" coordsize="126,0" path="m3495,4181l3370,4181e" filled="true" fillcolor="#0000ff" stroked="false">
              <v:path arrowok="t"/>
              <v:fill type="solid"/>
            </v:shape>
            <v:shape style="position:absolute;left:3369;top:4181;width:126;height:2" coordorigin="3370,4181" coordsize="126,0" path="m3370,4181l3495,4181,3370,4181xe" filled="false" stroked="true" strokeweight=".695323pt" strokecolor="#000000">
              <v:path arrowok="t"/>
              <v:stroke dashstyle="solid"/>
            </v:shape>
            <v:rect style="position:absolute;left:3620;top:3882;width:129;height:299" filled="true" fillcolor="#0000ff" stroked="false">
              <v:fill type="solid"/>
            </v:rect>
            <v:rect style="position:absolute;left:3620;top:3882;width:126;height:299" filled="false" stroked="true" strokeweight=".695398pt" strokecolor="#000000">
              <v:stroke dashstyle="solid"/>
            </v:rect>
            <v:rect style="position:absolute;left:3873;top:2985;width:126;height:1196" filled="true" fillcolor="#0000ff" stroked="false">
              <v:fill type="solid"/>
            </v:rect>
            <v:rect style="position:absolute;left:3873;top:2985;width:126;height:1196" filled="false" stroked="true" strokeweight=".69541pt" strokecolor="#000000">
              <v:stroke dashstyle="solid"/>
            </v:rect>
            <v:rect style="position:absolute;left:4124;top:1587;width:126;height:2594" filled="true" fillcolor="#0000ff" stroked="false">
              <v:fill type="solid"/>
            </v:rect>
            <v:rect style="position:absolute;left:4124;top:1587;width:126;height:2594" filled="false" stroked="true" strokeweight=".695411pt" strokecolor="#000000">
              <v:stroke dashstyle="solid"/>
            </v:rect>
            <v:rect style="position:absolute;left:4374;top:2484;width:129;height:1697" filled="true" fillcolor="#0000ff" stroked="false">
              <v:fill type="solid"/>
            </v:rect>
            <v:rect style="position:absolute;left:4374;top:2484;width:126;height:1697" filled="false" stroked="true" strokeweight=".695411pt" strokecolor="#000000">
              <v:stroke dashstyle="solid"/>
            </v:rect>
            <v:rect style="position:absolute;left:4628;top:1987;width:126;height:2194" filled="true" fillcolor="#0000ff" stroked="false">
              <v:fill type="solid"/>
            </v:rect>
            <v:rect style="position:absolute;left:4628;top:1987;width:126;height:2194" filled="false" stroked="true" strokeweight=".695411pt" strokecolor="#000000">
              <v:stroke dashstyle="solid"/>
            </v:rect>
            <v:rect style="position:absolute;left:4878;top:294;width:126;height:3887" filled="true" fillcolor="#0000ff" stroked="false">
              <v:fill type="solid"/>
            </v:rect>
            <v:rect style="position:absolute;left:4878;top:294;width:126;height:3887" filled="false" stroked="true" strokeweight=".695411pt" strokecolor="#000000">
              <v:stroke dashstyle="solid"/>
            </v:rect>
            <v:rect style="position:absolute;left:5129;top:1789;width:129;height:2392" filled="true" fillcolor="#0000ff" stroked="false">
              <v:fill type="solid"/>
            </v:rect>
            <v:rect style="position:absolute;left:5129;top:1789;width:129;height:2392" filled="false" stroked="true" strokeweight=".695411pt" strokecolor="#000000">
              <v:stroke dashstyle="solid"/>
            </v:rect>
            <v:rect style="position:absolute;left:5382;top:3284;width:126;height:897" filled="true" fillcolor="#0000ff" stroked="false">
              <v:fill type="solid"/>
            </v:rect>
            <v:rect style="position:absolute;left:5382;top:3284;width:126;height:897" filled="false" stroked="true" strokeweight=".69541pt" strokecolor="#000000">
              <v:stroke dashstyle="solid"/>
            </v:rect>
            <v:rect style="position:absolute;left:5633;top:2884;width:129;height:1297" filled="true" fillcolor="#0000ff" stroked="false">
              <v:fill type="solid"/>
            </v:rect>
            <v:rect style="position:absolute;left:5633;top:2884;width:126;height:1297" filled="false" stroked="true" strokeweight=".69541pt" strokecolor="#000000">
              <v:stroke dashstyle="solid"/>
            </v:rect>
            <v:rect style="position:absolute;left:5887;top:3882;width:126;height:299" filled="true" fillcolor="#0000ff" stroked="false">
              <v:fill type="solid"/>
            </v:rect>
            <v:rect style="position:absolute;left:5887;top:3882;width:126;height:299" filled="false" stroked="true" strokeweight=".695398pt" strokecolor="#000000">
              <v:stroke dashstyle="solid"/>
            </v:rect>
            <v:rect style="position:absolute;left:6137;top:3583;width:126;height:598" filled="true" fillcolor="#0000ff" stroked="false">
              <v:fill type="solid"/>
            </v:rect>
            <v:rect style="position:absolute;left:6137;top:3583;width:126;height:598" filled="false" stroked="true" strokeweight=".695407pt" strokecolor="#000000">
              <v:stroke dashstyle="solid"/>
            </v:rect>
            <v:rect style="position:absolute;left:6387;top:2884;width:129;height:1297" filled="true" fillcolor="#0000ff" stroked="false">
              <v:fill type="solid"/>
            </v:rect>
            <v:rect style="position:absolute;left:6387;top:2884;width:129;height:1297" filled="false" stroked="true" strokeweight=".69541pt" strokecolor="#000000">
              <v:stroke dashstyle="solid"/>
            </v:rect>
            <v:rect style="position:absolute;left:6641;top:3882;width:126;height:299" filled="true" fillcolor="#0000ff" stroked="false">
              <v:fill type="solid"/>
            </v:rect>
            <v:rect style="position:absolute;left:6641;top:3882;width:126;height:299" filled="false" stroked="true" strokeweight=".695398pt" strokecolor="#000000">
              <v:stroke dashstyle="solid"/>
            </v:rect>
            <v:rect style="position:absolute;left:6891;top:3979;width:126;height:202" filled="true" fillcolor="#0000ff" stroked="false">
              <v:fill type="solid"/>
            </v:rect>
            <v:rect style="position:absolute;left:6891;top:3979;width:126;height:202" filled="false" stroked="true" strokeweight=".695387pt" strokecolor="#000000">
              <v:stroke dashstyle="solid"/>
            </v:rect>
            <v:rect style="position:absolute;left:7145;top:4080;width:126;height:101" filled="true" fillcolor="#0000ff" stroked="false">
              <v:fill type="solid"/>
            </v:rect>
            <v:rect style="position:absolute;left:7145;top:4080;width:126;height:101" filled="false" stroked="true" strokeweight=".695358pt" strokecolor="#000000">
              <v:stroke dashstyle="solid"/>
            </v:rect>
            <v:shape style="position:absolute;left:7396;top:4181;width:126;height:2" coordorigin="7396,4181" coordsize="126,0" path="m7521,4181l7396,4181e" filled="true" fillcolor="#0000ff" stroked="false">
              <v:path arrowok="t"/>
              <v:fill type="solid"/>
            </v:shape>
            <v:shape style="position:absolute;left:7396;top:4181;width:126;height:2" coordorigin="7396,4181" coordsize="126,0" path="m7396,4181l7521,4181,7396,4181xe" filled="false" stroked="true" strokeweight=".695323pt" strokecolor="#000000">
              <v:path arrowok="t"/>
              <v:stroke dashstyle="solid"/>
            </v:shape>
            <v:shape style="position:absolute;left:7646;top:4181;width:129;height:2" coordorigin="7646,4181" coordsize="129,0" path="m7775,4181l7646,4181e" filled="true" fillcolor="#0000ff" stroked="false">
              <v:path arrowok="t"/>
              <v:fill type="solid"/>
            </v:shape>
            <v:shape style="position:absolute;left:7646;top:4181;width:129;height:2" coordorigin="7646,4181" coordsize="129,0" path="m7646,4181l7775,4181,7646,4181xe" filled="false" stroked="true" strokeweight=".695323pt" strokecolor="#000000">
              <v:path arrowok="t"/>
              <v:stroke dashstyle="solid"/>
            </v:shape>
            <v:rect style="position:absolute;left:7900;top:4080;width:126;height:101" filled="true" fillcolor="#0000ff" stroked="false">
              <v:fill type="solid"/>
            </v:rect>
            <v:rect style="position:absolute;left:7900;top:4080;width:126;height:101" filled="false" stroked="true" strokeweight=".695358pt" strokecolor="#000000">
              <v:stroke dashstyle="solid"/>
            </v:rect>
            <v:shape style="position:absolute;left:8150;top:4181;width:129;height:2" coordorigin="8151,4181" coordsize="129,0" path="m8279,4181l8151,4181e" filled="true" fillcolor="#0000ff" stroked="false">
              <v:path arrowok="t"/>
              <v:fill type="solid"/>
            </v:shape>
            <v:shape style="position:absolute;left:8150;top:4181;width:126;height:2" coordorigin="8151,4181" coordsize="126,0" path="m8151,4181l8276,4181,8151,4181xe" filled="false" stroked="true" strokeweight=".695323pt" strokecolor="#000000">
              <v:path arrowok="t"/>
              <v:stroke dashstyle="solid"/>
            </v:shape>
            <v:rect style="position:absolute;left:8491;top:502;width:369;height:126" filled="true" fillcolor="#ff0000" stroked="false">
              <v:fill type="solid"/>
            </v:rect>
            <v:rect style="position:absolute;left:8491;top:753;width:369;height:133" filled="true" fillcolor="#0000ff" stroked="false">
              <v:fill type="solid"/>
            </v:rect>
            <v:shape style="position:absolute;left:8964;top:457;width:987;height:466" type="#_x0000_t202" filled="false" stroked="false">
              <v:textbox inset="0,0,0,0">
                <w:txbxContent>
                  <w:p>
                    <w:pPr>
                      <w:spacing w:line="215" w:lineRule="exact" w:before="0"/>
                      <w:ind w:left="0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sz w:val="19"/>
                      </w:rPr>
                      <w:t>Multiple</w:t>
                    </w:r>
                    <w:r>
                      <w:rPr>
                        <w:spacing w:val="12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ply</w:t>
                    </w:r>
                  </w:p>
                  <w:p>
                    <w:pPr>
                      <w:spacing w:before="32"/>
                      <w:ind w:left="0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sz w:val="19"/>
                      </w:rPr>
                      <w:t>Single</w:t>
                    </w:r>
                    <w:r>
                      <w:rPr>
                        <w:spacing w:val="7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ply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19"/>
        </w:rPr>
        <w:t>40</w:t>
      </w:r>
    </w:p>
    <w:p>
      <w:pPr>
        <w:pStyle w:val="BodyText"/>
        <w:spacing w:before="3"/>
      </w:pPr>
    </w:p>
    <w:p>
      <w:pPr>
        <w:spacing w:before="0"/>
        <w:ind w:left="1194" w:right="0" w:firstLine="0"/>
        <w:jc w:val="left"/>
        <w:rPr>
          <w:sz w:val="19"/>
        </w:rPr>
      </w:pPr>
      <w:r>
        <w:rPr>
          <w:sz w:val="19"/>
        </w:rPr>
        <w:t>35</w:t>
      </w:r>
    </w:p>
    <w:p>
      <w:pPr>
        <w:pStyle w:val="BodyText"/>
        <w:spacing w:before="2"/>
        <w:rPr>
          <w:sz w:val="16"/>
        </w:rPr>
      </w:pPr>
    </w:p>
    <w:p>
      <w:pPr>
        <w:spacing w:before="96"/>
        <w:ind w:left="1194" w:right="0" w:firstLine="0"/>
        <w:jc w:val="left"/>
        <w:rPr>
          <w:sz w:val="19"/>
        </w:rPr>
      </w:pPr>
      <w:r>
        <w:rPr>
          <w:sz w:val="19"/>
        </w:rPr>
        <w:t>30</w:t>
      </w:r>
    </w:p>
    <w:p>
      <w:pPr>
        <w:pStyle w:val="BodyText"/>
        <w:spacing w:before="10"/>
        <w:rPr>
          <w:sz w:val="15"/>
        </w:rPr>
      </w:pPr>
    </w:p>
    <w:p>
      <w:pPr>
        <w:spacing w:before="96"/>
        <w:ind w:left="1194" w:right="0" w:firstLine="0"/>
        <w:jc w:val="left"/>
        <w:rPr>
          <w:sz w:val="19"/>
        </w:rPr>
      </w:pPr>
      <w:r>
        <w:rPr>
          <w:sz w:val="19"/>
        </w:rPr>
        <w:t>25</w:t>
      </w:r>
    </w:p>
    <w:p>
      <w:pPr>
        <w:pStyle w:val="BodyText"/>
        <w:spacing w:before="10"/>
        <w:rPr>
          <w:sz w:val="15"/>
        </w:rPr>
      </w:pPr>
    </w:p>
    <w:p>
      <w:pPr>
        <w:spacing w:before="97"/>
        <w:ind w:left="1194" w:right="0" w:firstLine="0"/>
        <w:jc w:val="left"/>
        <w:rPr>
          <w:sz w:val="19"/>
        </w:rPr>
      </w:pPr>
      <w:r>
        <w:rPr/>
        <w:pict>
          <v:shape style="position:absolute;margin-left:122.602676pt;margin-top:-6.408515pt;width:15.9pt;height:32.6pt;mso-position-horizontal-relative:page;mso-position-vertical-relative:paragraph;z-index:15781376" type="#_x0000_t202" filled="false" stroked="false">
            <v:textbox inset="0,0,0,0" style="layout-flow:vertical;mso-layout-flow-alt:bottom-to-top">
              <w:txbxContent>
                <w:p>
                  <w:pPr>
                    <w:spacing w:before="9"/>
                    <w:ind w:left="20" w:right="0" w:firstLine="0"/>
                    <w:jc w:val="left"/>
                    <w:rPr>
                      <w:sz w:val="25"/>
                    </w:rPr>
                  </w:pPr>
                  <w:r>
                    <w:rPr>
                      <w:sz w:val="25"/>
                    </w:rPr>
                    <w:t>Count</w:t>
                  </w:r>
                </w:p>
              </w:txbxContent>
            </v:textbox>
            <w10:wrap type="none"/>
          </v:shape>
        </w:pict>
      </w:r>
      <w:r>
        <w:rPr>
          <w:sz w:val="19"/>
        </w:rPr>
        <w:t>20</w:t>
      </w:r>
    </w:p>
    <w:p>
      <w:pPr>
        <w:pStyle w:val="BodyText"/>
        <w:spacing w:before="1"/>
        <w:rPr>
          <w:sz w:val="16"/>
        </w:rPr>
      </w:pPr>
    </w:p>
    <w:p>
      <w:pPr>
        <w:spacing w:before="97"/>
        <w:ind w:left="1194" w:right="0" w:firstLine="0"/>
        <w:jc w:val="left"/>
        <w:rPr>
          <w:sz w:val="19"/>
        </w:rPr>
      </w:pPr>
      <w:r>
        <w:rPr>
          <w:sz w:val="19"/>
        </w:rPr>
        <w:t>15</w:t>
      </w:r>
    </w:p>
    <w:p>
      <w:pPr>
        <w:pStyle w:val="BodyText"/>
        <w:spacing w:before="10"/>
        <w:rPr>
          <w:sz w:val="15"/>
        </w:rPr>
      </w:pPr>
    </w:p>
    <w:p>
      <w:pPr>
        <w:spacing w:before="96"/>
        <w:ind w:left="1194" w:right="0" w:firstLine="0"/>
        <w:jc w:val="left"/>
        <w:rPr>
          <w:sz w:val="19"/>
        </w:rPr>
      </w:pPr>
      <w:r>
        <w:rPr>
          <w:sz w:val="19"/>
        </w:rPr>
        <w:t>10</w:t>
      </w:r>
    </w:p>
    <w:p>
      <w:pPr>
        <w:pStyle w:val="BodyText"/>
        <w:spacing w:before="10"/>
        <w:rPr>
          <w:sz w:val="15"/>
        </w:rPr>
      </w:pPr>
    </w:p>
    <w:p>
      <w:pPr>
        <w:spacing w:before="96"/>
        <w:ind w:left="1308" w:right="0" w:firstLine="0"/>
        <w:jc w:val="left"/>
        <w:rPr>
          <w:sz w:val="19"/>
        </w:rPr>
      </w:pPr>
      <w:r>
        <w:rPr>
          <w:w w:val="102"/>
          <w:sz w:val="19"/>
        </w:rPr>
        <w:t>5</w:t>
      </w:r>
    </w:p>
    <w:p>
      <w:pPr>
        <w:pStyle w:val="BodyText"/>
        <w:spacing w:before="2"/>
        <w:rPr>
          <w:sz w:val="16"/>
        </w:rPr>
      </w:pPr>
    </w:p>
    <w:p>
      <w:pPr>
        <w:spacing w:after="0"/>
        <w:rPr>
          <w:sz w:val="16"/>
        </w:rPr>
        <w:sectPr>
          <w:pgSz w:w="12240" w:h="15840"/>
          <w:pgMar w:header="0" w:footer="1064" w:top="1340" w:bottom="1260" w:left="1720" w:right="1180"/>
        </w:sectPr>
      </w:pPr>
    </w:p>
    <w:p>
      <w:pPr>
        <w:spacing w:line="214" w:lineRule="exact" w:before="96"/>
        <w:ind w:left="1308" w:right="0" w:firstLine="0"/>
        <w:jc w:val="left"/>
        <w:rPr>
          <w:sz w:val="19"/>
        </w:rPr>
      </w:pPr>
      <w:r>
        <w:rPr>
          <w:w w:val="102"/>
          <w:sz w:val="19"/>
        </w:rPr>
        <w:t>0</w:t>
      </w:r>
    </w:p>
    <w:p>
      <w:pPr>
        <w:spacing w:line="189" w:lineRule="exact" w:before="0"/>
        <w:ind w:left="1347" w:right="0" w:firstLine="0"/>
        <w:jc w:val="left"/>
        <w:rPr>
          <w:sz w:val="19"/>
        </w:rPr>
      </w:pPr>
      <w:r>
        <w:rPr>
          <w:sz w:val="19"/>
        </w:rPr>
        <w:t>300</w:t>
      </w:r>
    </w:p>
    <w:p>
      <w:pPr>
        <w:pStyle w:val="BodyText"/>
        <w:spacing w:before="6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spacing w:line="194" w:lineRule="exact" w:before="0"/>
        <w:ind w:left="0" w:right="0" w:firstLine="0"/>
        <w:jc w:val="right"/>
        <w:rPr>
          <w:sz w:val="19"/>
        </w:rPr>
      </w:pPr>
      <w:r>
        <w:rPr>
          <w:sz w:val="19"/>
        </w:rPr>
        <w:t>500</w:t>
      </w:r>
    </w:p>
    <w:p>
      <w:pPr>
        <w:pStyle w:val="BodyText"/>
        <w:spacing w:before="6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spacing w:line="194" w:lineRule="exact" w:before="0"/>
        <w:ind w:left="0" w:right="0" w:firstLine="0"/>
        <w:jc w:val="right"/>
        <w:rPr>
          <w:sz w:val="19"/>
        </w:rPr>
      </w:pPr>
      <w:r>
        <w:rPr>
          <w:sz w:val="19"/>
        </w:rPr>
        <w:t>700</w:t>
      </w:r>
    </w:p>
    <w:p>
      <w:pPr>
        <w:pStyle w:val="BodyText"/>
        <w:spacing w:before="6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spacing w:line="194" w:lineRule="exact" w:before="0"/>
        <w:ind w:left="0" w:right="0" w:firstLine="0"/>
        <w:jc w:val="right"/>
        <w:rPr>
          <w:sz w:val="19"/>
        </w:rPr>
      </w:pPr>
      <w:r>
        <w:rPr>
          <w:sz w:val="19"/>
        </w:rPr>
        <w:t>900</w:t>
      </w:r>
    </w:p>
    <w:p>
      <w:pPr>
        <w:pStyle w:val="BodyText"/>
        <w:spacing w:before="6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tabs>
          <w:tab w:pos="1621" w:val="left" w:leader="none"/>
          <w:tab w:pos="2630" w:val="left" w:leader="none"/>
          <w:tab w:pos="3635" w:val="left" w:leader="none"/>
        </w:tabs>
        <w:spacing w:line="194" w:lineRule="exact" w:before="0"/>
        <w:ind w:left="617" w:right="0" w:firstLine="0"/>
        <w:jc w:val="left"/>
        <w:rPr>
          <w:sz w:val="19"/>
        </w:rPr>
      </w:pPr>
      <w:r>
        <w:rPr>
          <w:sz w:val="19"/>
        </w:rPr>
        <w:t>1100</w:t>
        <w:tab/>
        <w:t>1300</w:t>
        <w:tab/>
        <w:t>1500</w:t>
        <w:tab/>
        <w:t>1700</w:t>
      </w:r>
    </w:p>
    <w:p>
      <w:pPr>
        <w:spacing w:after="0" w:line="194" w:lineRule="exact"/>
        <w:jc w:val="left"/>
        <w:rPr>
          <w:sz w:val="19"/>
        </w:rPr>
        <w:sectPr>
          <w:type w:val="continuous"/>
          <w:pgSz w:w="12240" w:h="15840"/>
          <w:pgMar w:top="1380" w:bottom="280" w:left="1720" w:right="1180"/>
          <w:cols w:num="5" w:equalWidth="0">
            <w:col w:w="1636" w:space="40"/>
            <w:col w:w="969" w:space="39"/>
            <w:col w:w="965" w:space="40"/>
            <w:col w:w="969" w:space="39"/>
            <w:col w:w="4643"/>
          </w:cols>
        </w:sectPr>
      </w:pPr>
    </w:p>
    <w:p>
      <w:pPr>
        <w:spacing w:line="277" w:lineRule="exact" w:before="0"/>
        <w:ind w:left="360" w:right="0" w:firstLine="0"/>
        <w:jc w:val="center"/>
        <w:rPr>
          <w:sz w:val="25"/>
        </w:rPr>
      </w:pPr>
      <w:r>
        <w:rPr>
          <w:sz w:val="25"/>
        </w:rPr>
        <w:t>Janka</w:t>
      </w:r>
      <w:r>
        <w:rPr>
          <w:spacing w:val="-1"/>
          <w:sz w:val="25"/>
        </w:rPr>
        <w:t> </w:t>
      </w:r>
      <w:r>
        <w:rPr>
          <w:sz w:val="25"/>
        </w:rPr>
        <w:t>Hardness (lb)</w:t>
      </w:r>
    </w:p>
    <w:p>
      <w:pPr>
        <w:spacing w:before="220"/>
        <w:ind w:left="957" w:right="0" w:firstLine="0"/>
        <w:jc w:val="left"/>
        <w:rPr>
          <w:i/>
          <w:sz w:val="24"/>
        </w:rPr>
      </w:pPr>
      <w:bookmarkStart w:name="_bookmark42" w:id="217"/>
      <w:bookmarkEnd w:id="217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4-14.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Janka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hardness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values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multiple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single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ply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SYP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specimens.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4"/>
        <w:rPr>
          <w:i/>
          <w:sz w:val="27"/>
        </w:rPr>
      </w:pPr>
    </w:p>
    <w:p>
      <w:pPr>
        <w:pStyle w:val="Heading9"/>
        <w:numPr>
          <w:ilvl w:val="1"/>
          <w:numId w:val="20"/>
        </w:numPr>
        <w:tabs>
          <w:tab w:pos="800" w:val="left" w:leader="none"/>
        </w:tabs>
        <w:spacing w:line="240" w:lineRule="auto" w:before="0" w:after="0"/>
        <w:ind w:left="800" w:right="0" w:hanging="360"/>
        <w:jc w:val="both"/>
      </w:pPr>
      <w:bookmarkStart w:name="_TOC_250040" w:id="218"/>
      <w:bookmarkStart w:name="4.5 Shear behavior of wood" w:id="219"/>
      <w:r>
        <w:rPr>
          <w:b w:val="0"/>
        </w:rPr>
      </w:r>
      <w:bookmarkEnd w:id="219"/>
      <w:bookmarkStart w:name="4.5 Shear behavior of wood" w:id="220"/>
      <w:r>
        <w:rPr/>
        <w:t>S</w:t>
      </w:r>
      <w:r>
        <w:rPr/>
        <w:t>hear</w:t>
      </w:r>
      <w:r>
        <w:rPr>
          <w:spacing w:val="-2"/>
        </w:rPr>
        <w:t> </w:t>
      </w:r>
      <w:r>
        <w:rPr/>
        <w:t>behavior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bookmarkEnd w:id="218"/>
      <w:r>
        <w:rPr/>
        <w:t>wood</w:t>
      </w:r>
    </w:p>
    <w:p>
      <w:pPr>
        <w:pStyle w:val="BodyText"/>
        <w:spacing w:before="6"/>
        <w:rPr>
          <w:b/>
          <w:sz w:val="22"/>
        </w:rPr>
      </w:pPr>
    </w:p>
    <w:p>
      <w:pPr>
        <w:pStyle w:val="BodyText"/>
        <w:spacing w:line="480" w:lineRule="auto"/>
        <w:ind w:left="440" w:right="257" w:firstLine="720"/>
        <w:jc w:val="both"/>
      </w:pPr>
      <w:r>
        <w:rPr/>
        <w:t>It</w:t>
      </w:r>
      <w:r>
        <w:rPr>
          <w:spacing w:val="-2"/>
        </w:rPr>
        <w:t> </w:t>
      </w:r>
      <w:r>
        <w:rPr/>
        <w:t>is</w:t>
      </w:r>
      <w:r>
        <w:rPr>
          <w:spacing w:val="-1"/>
        </w:rPr>
        <w:t> </w:t>
      </w:r>
      <w:r>
        <w:rPr/>
        <w:t>important</w:t>
      </w:r>
      <w:r>
        <w:rPr>
          <w:spacing w:val="-1"/>
        </w:rPr>
        <w:t> </w:t>
      </w:r>
      <w:r>
        <w:rPr/>
        <w:t>to</w:t>
      </w:r>
      <w:r>
        <w:rPr>
          <w:spacing w:val="-3"/>
        </w:rPr>
        <w:t> </w:t>
      </w:r>
      <w:r>
        <w:rPr/>
        <w:t>know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shear</w:t>
      </w:r>
      <w:r>
        <w:rPr>
          <w:spacing w:val="-2"/>
        </w:rPr>
        <w:t> </w:t>
      </w:r>
      <w:r>
        <w:rPr/>
        <w:t>strength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wood</w:t>
      </w:r>
      <w:r>
        <w:rPr>
          <w:spacing w:val="-3"/>
        </w:rPr>
        <w:t> </w:t>
      </w:r>
      <w:r>
        <w:rPr/>
        <w:t>in</w:t>
      </w:r>
      <w:r>
        <w:rPr>
          <w:spacing w:val="-2"/>
        </w:rPr>
        <w:t> </w:t>
      </w:r>
      <w:r>
        <w:rPr/>
        <w:t>order</w:t>
      </w:r>
      <w:r>
        <w:rPr>
          <w:spacing w:val="-1"/>
        </w:rPr>
        <w:t> </w:t>
      </w:r>
      <w:r>
        <w:rPr/>
        <w:t>to</w:t>
      </w:r>
      <w:r>
        <w:rPr>
          <w:spacing w:val="-4"/>
        </w:rPr>
        <w:t> </w:t>
      </w:r>
      <w:r>
        <w:rPr/>
        <w:t>create</w:t>
      </w:r>
      <w:r>
        <w:rPr>
          <w:spacing w:val="-1"/>
        </w:rPr>
        <w:t> </w:t>
      </w:r>
      <w:r>
        <w:rPr/>
        <w:t>wood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wood</w:t>
      </w:r>
      <w:r>
        <w:rPr>
          <w:spacing w:val="-57"/>
        </w:rPr>
        <w:t> </w:t>
      </w:r>
      <w:r>
        <w:rPr/>
        <w:t>and wood to other material bonds that are as strong or stronger than the underlying shear</w:t>
      </w:r>
      <w:r>
        <w:rPr>
          <w:spacing w:val="1"/>
        </w:rPr>
        <w:t> </w:t>
      </w:r>
      <w:r>
        <w:rPr/>
        <w:t>strength of wood. Strong bonds are imperative to high performance from CLT and ECLT.</w:t>
      </w:r>
      <w:r>
        <w:rPr>
          <w:spacing w:val="-57"/>
        </w:rPr>
        <w:t> </w:t>
      </w:r>
      <w:r>
        <w:rPr/>
        <w:t>Furthermore, research has suggested that material ballistic performance is related to the</w:t>
      </w:r>
      <w:r>
        <w:rPr>
          <w:spacing w:val="1"/>
        </w:rPr>
        <w:t> </w:t>
      </w:r>
      <w:r>
        <w:rPr/>
        <w:t>shear strength, in addition to hardness [69, 93].</w:t>
      </w:r>
      <w:r>
        <w:rPr>
          <w:spacing w:val="1"/>
        </w:rPr>
        <w:t> </w:t>
      </w:r>
      <w:r>
        <w:rPr/>
        <w:t>The anisotropic nature of wood makes</w:t>
      </w:r>
      <w:r>
        <w:rPr>
          <w:spacing w:val="1"/>
        </w:rPr>
        <w:t> </w:t>
      </w:r>
      <w:r>
        <w:rPr/>
        <w:t>shear strength an interesting characteristic.</w:t>
      </w:r>
      <w:r>
        <w:rPr>
          <w:spacing w:val="1"/>
        </w:rPr>
        <w:t> </w:t>
      </w:r>
      <w:r>
        <w:rPr/>
        <w:t>With the longitudinal, radial and tangential</w:t>
      </w:r>
      <w:r>
        <w:rPr>
          <w:spacing w:val="1"/>
        </w:rPr>
        <w:t> </w:t>
      </w:r>
      <w:r>
        <w:rPr/>
        <w:t>axes, there are effectively three different shear strengths for the wood.</w:t>
      </w:r>
      <w:r>
        <w:rPr>
          <w:spacing w:val="1"/>
        </w:rPr>
        <w:t> </w:t>
      </w:r>
      <w:r>
        <w:rPr/>
        <w:t>Due to the</w:t>
      </w:r>
      <w:r>
        <w:rPr>
          <w:spacing w:val="1"/>
        </w:rPr>
        <w:t> </w:t>
      </w:r>
      <w:r>
        <w:rPr/>
        <w:t>complexities</w:t>
      </w:r>
      <w:r>
        <w:rPr>
          <w:spacing w:val="-11"/>
        </w:rPr>
        <w:t> </w:t>
      </w:r>
      <w:r>
        <w:rPr/>
        <w:t>associated</w:t>
      </w:r>
      <w:r>
        <w:rPr>
          <w:spacing w:val="-10"/>
        </w:rPr>
        <w:t> </w:t>
      </w:r>
      <w:r>
        <w:rPr/>
        <w:t>with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three</w:t>
      </w:r>
      <w:r>
        <w:rPr>
          <w:spacing w:val="-8"/>
        </w:rPr>
        <w:t> </w:t>
      </w:r>
      <w:r>
        <w:rPr/>
        <w:t>directions,</w:t>
      </w:r>
      <w:r>
        <w:rPr>
          <w:spacing w:val="-10"/>
        </w:rPr>
        <w:t> </w:t>
      </w:r>
      <w:r>
        <w:rPr/>
        <w:t>wood</w:t>
      </w:r>
      <w:r>
        <w:rPr>
          <w:spacing w:val="-10"/>
        </w:rPr>
        <w:t> </w:t>
      </w:r>
      <w:r>
        <w:rPr/>
        <w:t>is</w:t>
      </w:r>
      <w:r>
        <w:rPr>
          <w:spacing w:val="-8"/>
        </w:rPr>
        <w:t> </w:t>
      </w:r>
      <w:r>
        <w:rPr/>
        <w:t>often</w:t>
      </w:r>
      <w:r>
        <w:rPr>
          <w:spacing w:val="-9"/>
        </w:rPr>
        <w:t> </w:t>
      </w:r>
      <w:r>
        <w:rPr/>
        <w:t>assumed</w:t>
      </w:r>
      <w:r>
        <w:rPr>
          <w:spacing w:val="-9"/>
        </w:rPr>
        <w:t> </w:t>
      </w:r>
      <w:r>
        <w:rPr/>
        <w:t>to</w:t>
      </w:r>
      <w:r>
        <w:rPr>
          <w:spacing w:val="-9"/>
        </w:rPr>
        <w:t> </w:t>
      </w:r>
      <w:r>
        <w:rPr/>
        <w:t>be</w:t>
      </w:r>
      <w:r>
        <w:rPr>
          <w:spacing w:val="-8"/>
        </w:rPr>
        <w:t> </w:t>
      </w:r>
      <w:r>
        <w:rPr/>
        <w:t>transversely</w:t>
      </w:r>
      <w:r>
        <w:rPr>
          <w:spacing w:val="-58"/>
        </w:rPr>
        <w:t> </w:t>
      </w:r>
      <w:r>
        <w:rPr/>
        <w:t>isotropic,</w:t>
      </w:r>
      <w:r>
        <w:rPr>
          <w:spacing w:val="-7"/>
        </w:rPr>
        <w:t> </w:t>
      </w:r>
      <w:r>
        <w:rPr/>
        <w:t>meaning</w:t>
      </w:r>
      <w:r>
        <w:rPr>
          <w:spacing w:val="-6"/>
        </w:rPr>
        <w:t> </w:t>
      </w:r>
      <w:r>
        <w:rPr/>
        <w:t>that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radial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tangential</w:t>
      </w:r>
      <w:r>
        <w:rPr>
          <w:spacing w:val="-6"/>
        </w:rPr>
        <w:t> </w:t>
      </w:r>
      <w:r>
        <w:rPr/>
        <w:t>directions,</w:t>
      </w:r>
      <w:r>
        <w:rPr>
          <w:spacing w:val="-7"/>
        </w:rPr>
        <w:t> </w:t>
      </w:r>
      <w:r>
        <w:rPr/>
        <w:t>or</w:t>
      </w:r>
      <w:r>
        <w:rPr>
          <w:spacing w:val="-6"/>
        </w:rPr>
        <w:t> </w:t>
      </w:r>
      <w:r>
        <w:rPr/>
        <w:t>those</w:t>
      </w:r>
      <w:r>
        <w:rPr>
          <w:spacing w:val="-6"/>
        </w:rPr>
        <w:t> </w:t>
      </w:r>
      <w:r>
        <w:rPr/>
        <w:t>perpendicular</w:t>
      </w:r>
      <w:r>
        <w:rPr>
          <w:spacing w:val="-7"/>
        </w:rPr>
        <w:t> </w:t>
      </w:r>
      <w:r>
        <w:rPr/>
        <w:t>to</w:t>
      </w:r>
      <w:r>
        <w:rPr>
          <w:spacing w:val="-6"/>
        </w:rPr>
        <w:t> </w:t>
      </w:r>
      <w:r>
        <w:rPr/>
        <w:t>the</w:t>
      </w:r>
      <w:r>
        <w:rPr>
          <w:spacing w:val="-58"/>
        </w:rPr>
        <w:t> </w:t>
      </w:r>
      <w:r>
        <w:rPr/>
        <w:t>grain, the properties may be considered the same.</w:t>
      </w:r>
      <w:r>
        <w:rPr>
          <w:spacing w:val="1"/>
        </w:rPr>
        <w:t> </w:t>
      </w:r>
      <w:r>
        <w:rPr/>
        <w:t>Wood is known to have relatively low</w:t>
      </w:r>
      <w:r>
        <w:rPr>
          <w:spacing w:val="-57"/>
        </w:rPr>
        <w:t> </w:t>
      </w:r>
      <w:r>
        <w:rPr/>
        <w:t>shear</w:t>
      </w:r>
      <w:r>
        <w:rPr>
          <w:spacing w:val="31"/>
        </w:rPr>
        <w:t> </w:t>
      </w:r>
      <w:r>
        <w:rPr/>
        <w:t>strengths</w:t>
      </w:r>
      <w:r>
        <w:rPr>
          <w:spacing w:val="31"/>
        </w:rPr>
        <w:t> </w:t>
      </w:r>
      <w:r>
        <w:rPr/>
        <w:t>parallel</w:t>
      </w:r>
      <w:r>
        <w:rPr>
          <w:spacing w:val="31"/>
        </w:rPr>
        <w:t> </w:t>
      </w:r>
      <w:r>
        <w:rPr/>
        <w:t>to</w:t>
      </w:r>
      <w:r>
        <w:rPr>
          <w:spacing w:val="31"/>
        </w:rPr>
        <w:t> </w:t>
      </w:r>
      <w:r>
        <w:rPr/>
        <w:t>the</w:t>
      </w:r>
      <w:r>
        <w:rPr>
          <w:spacing w:val="31"/>
        </w:rPr>
        <w:t> </w:t>
      </w:r>
      <w:r>
        <w:rPr/>
        <w:t>grain,</w:t>
      </w:r>
      <w:r>
        <w:rPr>
          <w:spacing w:val="30"/>
        </w:rPr>
        <w:t> </w:t>
      </w:r>
      <w:r>
        <w:rPr/>
        <w:t>compared</w:t>
      </w:r>
      <w:r>
        <w:rPr>
          <w:spacing w:val="31"/>
        </w:rPr>
        <w:t> </w:t>
      </w:r>
      <w:r>
        <w:rPr/>
        <w:t>to</w:t>
      </w:r>
      <w:r>
        <w:rPr>
          <w:spacing w:val="31"/>
        </w:rPr>
        <w:t> </w:t>
      </w:r>
      <w:r>
        <w:rPr/>
        <w:t>its</w:t>
      </w:r>
      <w:r>
        <w:rPr>
          <w:spacing w:val="31"/>
        </w:rPr>
        <w:t> </w:t>
      </w:r>
      <w:r>
        <w:rPr/>
        <w:t>tensile</w:t>
      </w:r>
      <w:r>
        <w:rPr>
          <w:spacing w:val="30"/>
        </w:rPr>
        <w:t> </w:t>
      </w:r>
      <w:r>
        <w:rPr/>
        <w:t>and</w:t>
      </w:r>
      <w:r>
        <w:rPr>
          <w:spacing w:val="31"/>
        </w:rPr>
        <w:t> </w:t>
      </w:r>
      <w:r>
        <w:rPr/>
        <w:t>compressive</w:t>
      </w:r>
      <w:r>
        <w:rPr>
          <w:spacing w:val="31"/>
        </w:rPr>
        <w:t> </w:t>
      </w:r>
      <w:r>
        <w:rPr/>
        <w:t>strengths</w:t>
      </w:r>
    </w:p>
    <w:p>
      <w:pPr>
        <w:spacing w:after="0" w:line="480" w:lineRule="auto"/>
        <w:jc w:val="both"/>
        <w:sectPr>
          <w:type w:val="continuous"/>
          <w:pgSz w:w="12240" w:h="15840"/>
          <w:pgMar w:top="1380" w:bottom="280" w:left="1720" w:right="1180"/>
        </w:sectPr>
      </w:pPr>
    </w:p>
    <w:p>
      <w:pPr>
        <w:pStyle w:val="BodyText"/>
        <w:spacing w:line="480" w:lineRule="auto" w:before="78"/>
        <w:ind w:left="439" w:right="257"/>
        <w:jc w:val="both"/>
      </w:pPr>
      <w:r>
        <w:rPr/>
        <w:t>parallel</w:t>
      </w:r>
      <w:r>
        <w:rPr>
          <w:spacing w:val="-14"/>
        </w:rPr>
        <w:t> </w:t>
      </w:r>
      <w:r>
        <w:rPr/>
        <w:t>to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wood</w:t>
      </w:r>
      <w:r>
        <w:rPr>
          <w:spacing w:val="-13"/>
        </w:rPr>
        <w:t> </w:t>
      </w:r>
      <w:r>
        <w:rPr/>
        <w:t>grain.</w:t>
      </w:r>
      <w:r>
        <w:rPr>
          <w:spacing w:val="36"/>
        </w:rPr>
        <w:t> </w:t>
      </w:r>
      <w:r>
        <w:rPr/>
        <w:t>It</w:t>
      </w:r>
      <w:r>
        <w:rPr>
          <w:spacing w:val="-13"/>
        </w:rPr>
        <w:t> </w:t>
      </w:r>
      <w:r>
        <w:rPr/>
        <w:t>is</w:t>
      </w:r>
      <w:r>
        <w:rPr>
          <w:spacing w:val="-13"/>
        </w:rPr>
        <w:t> </w:t>
      </w:r>
      <w:r>
        <w:rPr/>
        <w:t>almost</w:t>
      </w:r>
      <w:r>
        <w:rPr>
          <w:spacing w:val="-12"/>
        </w:rPr>
        <w:t> </w:t>
      </w:r>
      <w:r>
        <w:rPr/>
        <w:t>impossible</w:t>
      </w:r>
      <w:r>
        <w:rPr>
          <w:spacing w:val="-13"/>
        </w:rPr>
        <w:t> </w:t>
      </w:r>
      <w:r>
        <w:rPr/>
        <w:t>to</w:t>
      </w:r>
      <w:r>
        <w:rPr>
          <w:spacing w:val="-12"/>
        </w:rPr>
        <w:t> </w:t>
      </w:r>
      <w:r>
        <w:rPr/>
        <w:t>propagate</w:t>
      </w:r>
      <w:r>
        <w:rPr>
          <w:spacing w:val="-12"/>
        </w:rPr>
        <w:t> </w:t>
      </w:r>
      <w:r>
        <w:rPr/>
        <w:t>shear</w:t>
      </w:r>
      <w:r>
        <w:rPr>
          <w:spacing w:val="-13"/>
        </w:rPr>
        <w:t> </w:t>
      </w:r>
      <w:r>
        <w:rPr/>
        <w:t>failures</w:t>
      </w:r>
      <w:r>
        <w:rPr>
          <w:spacing w:val="-12"/>
        </w:rPr>
        <w:t> </w:t>
      </w:r>
      <w:r>
        <w:rPr/>
        <w:t>perpendicular</w:t>
      </w:r>
      <w:r>
        <w:rPr>
          <w:spacing w:val="-58"/>
        </w:rPr>
        <w:t> </w:t>
      </w:r>
      <w:r>
        <w:rPr/>
        <w:t>to the grain due to the fibrous nature of wood causing other failure modes before shear</w:t>
      </w:r>
      <w:r>
        <w:rPr>
          <w:spacing w:val="1"/>
        </w:rPr>
        <w:t> </w:t>
      </w:r>
      <w:r>
        <w:rPr/>
        <w:t>perpendicular</w:t>
      </w:r>
      <w:r>
        <w:rPr>
          <w:spacing w:val="-1"/>
        </w:rPr>
        <w:t> </w:t>
      </w:r>
      <w:r>
        <w:rPr/>
        <w:t>to</w:t>
      </w:r>
      <w:r>
        <w:rPr>
          <w:spacing w:val="-2"/>
        </w:rPr>
        <w:t> </w:t>
      </w:r>
      <w:r>
        <w:rPr/>
        <w:t>the grain can be achieved.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/>
        <w:ind w:left="439" w:right="257" w:firstLine="720"/>
        <w:jc w:val="both"/>
      </w:pPr>
      <w:r>
        <w:rPr/>
        <w:t>In</w:t>
      </w:r>
      <w:r>
        <w:rPr>
          <w:spacing w:val="-4"/>
        </w:rPr>
        <w:t> </w:t>
      </w:r>
      <w:r>
        <w:rPr/>
        <w:t>examining</w:t>
      </w:r>
      <w:r>
        <w:rPr>
          <w:spacing w:val="-3"/>
        </w:rPr>
        <w:t> </w:t>
      </w:r>
      <w:r>
        <w:rPr/>
        <w:t>ballistic</w:t>
      </w:r>
      <w:r>
        <w:rPr>
          <w:spacing w:val="-3"/>
        </w:rPr>
        <w:t> </w:t>
      </w:r>
      <w:r>
        <w:rPr/>
        <w:t>resistance,</w:t>
      </w:r>
      <w:r>
        <w:rPr>
          <w:spacing w:val="-3"/>
        </w:rPr>
        <w:t> </w:t>
      </w:r>
      <w:r>
        <w:rPr/>
        <w:t>shear</w:t>
      </w:r>
      <w:r>
        <w:rPr>
          <w:spacing w:val="-2"/>
        </w:rPr>
        <w:t> </w:t>
      </w:r>
      <w:r>
        <w:rPr/>
        <w:t>strength</w:t>
      </w:r>
      <w:r>
        <w:rPr>
          <w:spacing w:val="-4"/>
        </w:rPr>
        <w:t> </w:t>
      </w:r>
      <w:r>
        <w:rPr/>
        <w:t>is</w:t>
      </w:r>
      <w:r>
        <w:rPr>
          <w:spacing w:val="-2"/>
        </w:rPr>
        <w:t> </w:t>
      </w:r>
      <w:r>
        <w:rPr/>
        <w:t>known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/>
        <w:t>indicate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/>
        <w:t>material’s</w:t>
      </w:r>
      <w:r>
        <w:rPr>
          <w:spacing w:val="-58"/>
        </w:rPr>
        <w:t> </w:t>
      </w:r>
      <w:r>
        <w:rPr/>
        <w:t>ability to decelerate the projectile [121].</w:t>
      </w:r>
      <w:r>
        <w:rPr>
          <w:spacing w:val="1"/>
        </w:rPr>
        <w:t> </w:t>
      </w:r>
      <w:r>
        <w:rPr/>
        <w:t>The localized high velocity impact causes shear</w:t>
      </w:r>
      <w:r>
        <w:rPr>
          <w:spacing w:val="1"/>
        </w:rPr>
        <w:t> </w:t>
      </w:r>
      <w:r>
        <w:rPr/>
        <w:t>failure as the projectile moves through the target material [121].</w:t>
      </w:r>
      <w:r>
        <w:rPr>
          <w:spacing w:val="1"/>
        </w:rPr>
        <w:t> </w:t>
      </w:r>
      <w:r>
        <w:rPr/>
        <w:t>Therefore, in addition to</w:t>
      </w:r>
      <w:r>
        <w:rPr>
          <w:spacing w:val="-57"/>
        </w:rPr>
        <w:t> </w:t>
      </w:r>
      <w:r>
        <w:rPr/>
        <w:t>the bond line shear push-off testing discussed in Section 4.3.3., an additional set of shear</w:t>
      </w:r>
      <w:r>
        <w:rPr>
          <w:spacing w:val="1"/>
        </w:rPr>
        <w:t> </w:t>
      </w:r>
      <w:r>
        <w:rPr/>
        <w:t>tests was conducted to examine the shear strength of the two wood types serving as the</w:t>
      </w:r>
      <w:r>
        <w:rPr>
          <w:spacing w:val="1"/>
        </w:rPr>
        <w:t> </w:t>
      </w:r>
      <w:r>
        <w:rPr/>
        <w:t>basis of the CLT test specimens.</w:t>
      </w:r>
      <w:r>
        <w:rPr>
          <w:spacing w:val="1"/>
        </w:rPr>
        <w:t> </w:t>
      </w:r>
      <w:r>
        <w:rPr/>
        <w:t>The testing apparatus and specimens were the same as</w:t>
      </w:r>
      <w:r>
        <w:rPr>
          <w:spacing w:val="1"/>
        </w:rPr>
        <w:t> </w:t>
      </w:r>
      <w:r>
        <w:rPr/>
        <w:t>the</w:t>
      </w:r>
      <w:r>
        <w:rPr>
          <w:spacing w:val="-12"/>
        </w:rPr>
        <w:t> </w:t>
      </w:r>
      <w:r>
        <w:rPr/>
        <w:t>shear</w:t>
      </w:r>
      <w:r>
        <w:rPr>
          <w:spacing w:val="-13"/>
        </w:rPr>
        <w:t> </w:t>
      </w:r>
      <w:r>
        <w:rPr/>
        <w:t>bond</w:t>
      </w:r>
      <w:r>
        <w:rPr>
          <w:spacing w:val="-13"/>
        </w:rPr>
        <w:t> </w:t>
      </w:r>
      <w:r>
        <w:rPr/>
        <w:t>line</w:t>
      </w:r>
      <w:r>
        <w:rPr>
          <w:spacing w:val="-13"/>
        </w:rPr>
        <w:t> </w:t>
      </w:r>
      <w:r>
        <w:rPr/>
        <w:t>testing</w:t>
      </w:r>
      <w:r>
        <w:rPr>
          <w:spacing w:val="-13"/>
        </w:rPr>
        <w:t> </w:t>
      </w:r>
      <w:r>
        <w:rPr/>
        <w:t>described</w:t>
      </w:r>
      <w:r>
        <w:rPr>
          <w:spacing w:val="-15"/>
        </w:rPr>
        <w:t> </w:t>
      </w:r>
      <w:r>
        <w:rPr/>
        <w:t>previously.</w:t>
      </w:r>
      <w:r>
        <w:rPr>
          <w:spacing w:val="34"/>
        </w:rPr>
        <w:t> </w:t>
      </w:r>
      <w:r>
        <w:rPr/>
        <w:t>While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previous</w:t>
      </w:r>
      <w:r>
        <w:rPr>
          <w:spacing w:val="-12"/>
        </w:rPr>
        <w:t> </w:t>
      </w:r>
      <w:r>
        <w:rPr/>
        <w:t>focus</w:t>
      </w:r>
      <w:r>
        <w:rPr>
          <w:spacing w:val="-13"/>
        </w:rPr>
        <w:t> </w:t>
      </w:r>
      <w:r>
        <w:rPr/>
        <w:t>was</w:t>
      </w:r>
      <w:r>
        <w:rPr>
          <w:spacing w:val="-12"/>
        </w:rPr>
        <w:t> </w:t>
      </w:r>
      <w:r>
        <w:rPr/>
        <w:t>on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shear</w:t>
      </w:r>
      <w:r>
        <w:rPr>
          <w:spacing w:val="-58"/>
        </w:rPr>
        <w:t> </w:t>
      </w:r>
      <w:r>
        <w:rPr/>
        <w:t>strength of the bond between the two pieces, for this series of testing the shear strength of</w:t>
      </w:r>
      <w:r>
        <w:rPr>
          <w:spacing w:val="-57"/>
        </w:rPr>
        <w:t> </w:t>
      </w:r>
      <w:r>
        <w:rPr/>
        <w:t>the wood itself was of interest.</w:t>
      </w:r>
      <w:r>
        <w:rPr>
          <w:spacing w:val="1"/>
        </w:rPr>
        <w:t> </w:t>
      </w:r>
      <w:r>
        <w:rPr/>
        <w:t>The material used to make the shear test specimens was</w:t>
      </w:r>
      <w:r>
        <w:rPr>
          <w:spacing w:val="1"/>
        </w:rPr>
        <w:t> </w:t>
      </w:r>
      <w:r>
        <w:rPr/>
        <w:t>the same wood types and grades used to make the CLT specimens.</w:t>
      </w:r>
      <w:r>
        <w:rPr>
          <w:spacing w:val="1"/>
        </w:rPr>
        <w:t> </w:t>
      </w:r>
      <w:r>
        <w:rPr/>
        <w:t>As a result, the</w:t>
      </w:r>
      <w:r>
        <w:rPr>
          <w:spacing w:val="1"/>
        </w:rPr>
        <w:t> </w:t>
      </w:r>
      <w:r>
        <w:rPr/>
        <w:t>specimen dimensions were slightly smaller than the </w:t>
      </w:r>
      <w:r>
        <w:rPr>
          <w:i/>
        </w:rPr>
        <w:t>ASTM, D143 Standard Test Methods</w:t>
      </w:r>
      <w:r>
        <w:rPr>
          <w:i/>
          <w:spacing w:val="1"/>
        </w:rPr>
        <w:t> </w:t>
      </w:r>
      <w:r>
        <w:rPr>
          <w:i/>
        </w:rPr>
        <w:t>for Small Clear Specimens of Timber </w:t>
      </w:r>
      <w:r>
        <w:rPr/>
        <w:t>specification of 2-inch by 2-inch cross-section for</w:t>
      </w:r>
      <w:r>
        <w:rPr>
          <w:spacing w:val="1"/>
        </w:rPr>
        <w:t> </w:t>
      </w:r>
      <w:r>
        <w:rPr/>
        <w:t>shear</w:t>
      </w:r>
      <w:r>
        <w:rPr>
          <w:spacing w:val="-12"/>
        </w:rPr>
        <w:t> </w:t>
      </w:r>
      <w:r>
        <w:rPr/>
        <w:t>parallel</w:t>
      </w:r>
      <w:r>
        <w:rPr>
          <w:spacing w:val="-11"/>
        </w:rPr>
        <w:t> </w:t>
      </w:r>
      <w:r>
        <w:rPr/>
        <w:t>to</w:t>
      </w:r>
      <w:r>
        <w:rPr>
          <w:spacing w:val="-11"/>
        </w:rPr>
        <w:t> </w:t>
      </w:r>
      <w:r>
        <w:rPr/>
        <w:t>grain</w:t>
      </w:r>
      <w:r>
        <w:rPr>
          <w:spacing w:val="-12"/>
        </w:rPr>
        <w:t> </w:t>
      </w:r>
      <w:r>
        <w:rPr/>
        <w:t>tests.</w:t>
      </w:r>
      <w:r>
        <w:rPr>
          <w:spacing w:val="37"/>
        </w:rPr>
        <w:t> </w:t>
      </w:r>
      <w:r>
        <w:rPr/>
        <w:t>However,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specimens</w:t>
      </w:r>
      <w:r>
        <w:rPr>
          <w:spacing w:val="-11"/>
        </w:rPr>
        <w:t> </w:t>
      </w:r>
      <w:r>
        <w:rPr/>
        <w:t>were</w:t>
      </w:r>
      <w:r>
        <w:rPr>
          <w:spacing w:val="-11"/>
        </w:rPr>
        <w:t> </w:t>
      </w:r>
      <w:r>
        <w:rPr/>
        <w:t>representative</w:t>
      </w:r>
      <w:r>
        <w:rPr>
          <w:spacing w:val="-12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timber</w:t>
      </w:r>
      <w:r>
        <w:rPr>
          <w:spacing w:val="-9"/>
        </w:rPr>
        <w:t> </w:t>
      </w:r>
      <w:r>
        <w:rPr/>
        <w:t>size</w:t>
      </w:r>
      <w:r>
        <w:rPr>
          <w:spacing w:val="-58"/>
        </w:rPr>
        <w:t> </w:t>
      </w:r>
      <w:r>
        <w:rPr/>
        <w:t>in</w:t>
      </w:r>
      <w:r>
        <w:rPr>
          <w:spacing w:val="-1"/>
        </w:rPr>
        <w:t> </w:t>
      </w:r>
      <w:r>
        <w:rPr/>
        <w:t>the composite product.</w:t>
      </w:r>
    </w:p>
    <w:p>
      <w:pPr>
        <w:pStyle w:val="BodyText"/>
        <w:spacing w:line="480" w:lineRule="auto" w:before="232"/>
        <w:ind w:left="439" w:right="257" w:firstLine="720"/>
        <w:jc w:val="both"/>
      </w:pPr>
      <w:r>
        <w:rPr/>
        <w:t>For these tests, the load was applied at a rate of 0.20-inch/min (5 mm/min) on the</w:t>
      </w:r>
      <w:r>
        <w:rPr>
          <w:spacing w:val="1"/>
        </w:rPr>
        <w:t> </w:t>
      </w:r>
      <w:r>
        <w:rPr/>
        <w:t>end-grain surfaces.</w:t>
      </w:r>
      <w:r>
        <w:rPr>
          <w:spacing w:val="1"/>
        </w:rPr>
        <w:t> </w:t>
      </w:r>
      <w:r>
        <w:rPr/>
        <w:t>This is the rate specified by </w:t>
      </w:r>
      <w:r>
        <w:rPr>
          <w:i/>
        </w:rPr>
        <w:t>ASTM D905, Strength Properties of</w:t>
      </w:r>
      <w:r>
        <w:rPr>
          <w:i/>
          <w:spacing w:val="1"/>
        </w:rPr>
        <w:t> </w:t>
      </w:r>
      <w:r>
        <w:rPr>
          <w:i/>
        </w:rPr>
        <w:t>Adhesive Bonds in Shear by Compression Loading</w:t>
      </w:r>
      <w:r>
        <w:rPr/>
        <w:t>, and was used to compare the bonded</w:t>
      </w:r>
      <w:r>
        <w:rPr>
          <w:spacing w:val="1"/>
        </w:rPr>
        <w:t> </w:t>
      </w:r>
      <w:r>
        <w:rPr/>
        <w:t>sample shear strength to the parent stock wood shear strength.</w:t>
      </w:r>
      <w:r>
        <w:rPr>
          <w:spacing w:val="1"/>
        </w:rPr>
        <w:t> </w:t>
      </w:r>
      <w:r>
        <w:rPr/>
        <w:t>The maximum load until</w:t>
      </w:r>
      <w:r>
        <w:rPr>
          <w:spacing w:val="1"/>
        </w:rPr>
        <w:t> </w:t>
      </w:r>
      <w:r>
        <w:rPr/>
        <w:t>shear failure was recorded and the specimens were examined after the test for types of</w:t>
      </w:r>
      <w:r>
        <w:rPr>
          <w:spacing w:val="1"/>
        </w:rPr>
        <w:t> </w:t>
      </w:r>
      <w:r>
        <w:rPr/>
        <w:t>failure.</w:t>
      </w:r>
      <w:r>
        <w:rPr>
          <w:spacing w:val="14"/>
        </w:rPr>
        <w:t> </w:t>
      </w:r>
      <w:hyperlink w:history="true" w:anchor="_bookmark43">
        <w:r>
          <w:rPr/>
          <w:t>Table</w:t>
        </w:r>
        <w:r>
          <w:rPr>
            <w:spacing w:val="36"/>
          </w:rPr>
          <w:t> </w:t>
        </w:r>
        <w:r>
          <w:rPr/>
          <w:t>4-6</w:t>
        </w:r>
      </w:hyperlink>
      <w:r>
        <w:rPr>
          <w:spacing w:val="37"/>
        </w:rPr>
        <w:t> </w:t>
      </w:r>
      <w:r>
        <w:rPr/>
        <w:t>provides</w:t>
      </w:r>
      <w:r>
        <w:rPr>
          <w:spacing w:val="36"/>
        </w:rPr>
        <w:t> </w:t>
      </w:r>
      <w:r>
        <w:rPr/>
        <w:t>the</w:t>
      </w:r>
      <w:r>
        <w:rPr>
          <w:spacing w:val="37"/>
        </w:rPr>
        <w:t> </w:t>
      </w:r>
      <w:r>
        <w:rPr/>
        <w:t>test</w:t>
      </w:r>
      <w:r>
        <w:rPr>
          <w:spacing w:val="37"/>
        </w:rPr>
        <w:t> </w:t>
      </w:r>
      <w:r>
        <w:rPr/>
        <w:t>result</w:t>
      </w:r>
      <w:r>
        <w:rPr>
          <w:spacing w:val="35"/>
        </w:rPr>
        <w:t> </w:t>
      </w:r>
      <w:r>
        <w:rPr/>
        <w:t>details.</w:t>
      </w:r>
      <w:r>
        <w:rPr>
          <w:spacing w:val="13"/>
        </w:rPr>
        <w:t> </w:t>
      </w:r>
      <w:hyperlink w:history="true" w:anchor="_bookmark44">
        <w:r>
          <w:rPr/>
          <w:t>Figure</w:t>
        </w:r>
        <w:r>
          <w:rPr>
            <w:spacing w:val="36"/>
          </w:rPr>
          <w:t> </w:t>
        </w:r>
        <w:r>
          <w:rPr/>
          <w:t>4-15</w:t>
        </w:r>
      </w:hyperlink>
      <w:r>
        <w:rPr>
          <w:spacing w:val="37"/>
        </w:rPr>
        <w:t> </w:t>
      </w:r>
      <w:r>
        <w:rPr/>
        <w:t>demonstrates</w:t>
      </w:r>
      <w:r>
        <w:rPr>
          <w:spacing w:val="36"/>
        </w:rPr>
        <w:t> </w:t>
      </w:r>
      <w:r>
        <w:rPr/>
        <w:t>how</w:t>
      </w:r>
      <w:r>
        <w:rPr>
          <w:spacing w:val="36"/>
        </w:rPr>
        <w:t> </w:t>
      </w:r>
      <w:r>
        <w:rPr/>
        <w:t>the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39"/>
      </w:pPr>
      <w:r>
        <w:rPr/>
        <w:t>specimens</w:t>
      </w:r>
      <w:r>
        <w:rPr>
          <w:spacing w:val="24"/>
        </w:rPr>
        <w:t> </w:t>
      </w:r>
      <w:r>
        <w:rPr/>
        <w:t>looked</w:t>
      </w:r>
      <w:r>
        <w:rPr>
          <w:spacing w:val="25"/>
        </w:rPr>
        <w:t> </w:t>
      </w:r>
      <w:r>
        <w:rPr/>
        <w:t>post-test</w:t>
      </w:r>
      <w:r>
        <w:rPr>
          <w:spacing w:val="25"/>
        </w:rPr>
        <w:t> </w:t>
      </w:r>
      <w:r>
        <w:rPr/>
        <w:t>with</w:t>
      </w:r>
      <w:r>
        <w:rPr>
          <w:spacing w:val="25"/>
        </w:rPr>
        <w:t> </w:t>
      </w:r>
      <w:r>
        <w:rPr/>
        <w:t>the</w:t>
      </w:r>
      <w:r>
        <w:rPr>
          <w:spacing w:val="24"/>
        </w:rPr>
        <w:t> </w:t>
      </w:r>
      <w:r>
        <w:rPr/>
        <w:t>top</w:t>
      </w:r>
      <w:r>
        <w:rPr>
          <w:spacing w:val="25"/>
        </w:rPr>
        <w:t> </w:t>
      </w:r>
      <w:r>
        <w:rPr/>
        <w:t>images</w:t>
      </w:r>
      <w:r>
        <w:rPr>
          <w:spacing w:val="26"/>
        </w:rPr>
        <w:t> </w:t>
      </w:r>
      <w:r>
        <w:rPr/>
        <w:t>showing</w:t>
      </w:r>
      <w:r>
        <w:rPr>
          <w:spacing w:val="25"/>
        </w:rPr>
        <w:t> </w:t>
      </w:r>
      <w:r>
        <w:rPr/>
        <w:t>two</w:t>
      </w:r>
      <w:r>
        <w:rPr>
          <w:spacing w:val="25"/>
        </w:rPr>
        <w:t> </w:t>
      </w:r>
      <w:r>
        <w:rPr/>
        <w:t>SPF-S</w:t>
      </w:r>
      <w:r>
        <w:rPr>
          <w:spacing w:val="24"/>
        </w:rPr>
        <w:t> </w:t>
      </w:r>
      <w:r>
        <w:rPr/>
        <w:t>specimens</w:t>
      </w:r>
      <w:r>
        <w:rPr>
          <w:spacing w:val="25"/>
        </w:rPr>
        <w:t> </w:t>
      </w:r>
      <w:r>
        <w:rPr/>
        <w:t>and</w:t>
      </w:r>
      <w:r>
        <w:rPr>
          <w:spacing w:val="26"/>
        </w:rPr>
        <w:t> </w:t>
      </w:r>
      <w:r>
        <w:rPr/>
        <w:t>the</w:t>
      </w:r>
      <w:r>
        <w:rPr>
          <w:spacing w:val="-57"/>
        </w:rPr>
        <w:t> </w:t>
      </w:r>
      <w:r>
        <w:rPr/>
        <w:t>bottom</w:t>
      </w:r>
      <w:r>
        <w:rPr>
          <w:spacing w:val="-3"/>
        </w:rPr>
        <w:t> </w:t>
      </w:r>
      <w:r>
        <w:rPr/>
        <w:t>images presenting</w:t>
      </w:r>
      <w:r>
        <w:rPr>
          <w:spacing w:val="-1"/>
        </w:rPr>
        <w:t> </w:t>
      </w:r>
      <w:r>
        <w:rPr/>
        <w:t>two SYP</w:t>
      </w:r>
      <w:r>
        <w:rPr>
          <w:spacing w:val="-1"/>
        </w:rPr>
        <w:t> </w:t>
      </w:r>
      <w:r>
        <w:rPr/>
        <w:t>specimens.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spacing w:before="231"/>
        <w:ind w:left="181" w:right="0" w:firstLine="0"/>
        <w:jc w:val="center"/>
        <w:rPr>
          <w:i/>
          <w:sz w:val="24"/>
        </w:rPr>
      </w:pPr>
      <w:bookmarkStart w:name="_bookmark43" w:id="221"/>
      <w:bookmarkEnd w:id="221"/>
      <w:r>
        <w:rPr/>
      </w:r>
      <w:r>
        <w:rPr>
          <w:i/>
          <w:sz w:val="24"/>
        </w:rPr>
        <w:t>Table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4-6.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Shear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stress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test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results.</w:t>
      </w:r>
    </w:p>
    <w:p>
      <w:pPr>
        <w:pStyle w:val="BodyText"/>
        <w:spacing w:before="6"/>
        <w:rPr>
          <w:i/>
          <w:sz w:val="17"/>
        </w:rPr>
      </w:pPr>
    </w:p>
    <w:tbl>
      <w:tblPr>
        <w:tblW w:w="0" w:type="auto"/>
        <w:jc w:val="left"/>
        <w:tblInd w:w="17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81"/>
        <w:gridCol w:w="1519"/>
        <w:gridCol w:w="1721"/>
        <w:gridCol w:w="1279"/>
      </w:tblGrid>
      <w:tr>
        <w:trPr>
          <w:trHeight w:val="767" w:hRule="atLeast"/>
        </w:trPr>
        <w:tc>
          <w:tcPr>
            <w:tcW w:w="1481" w:type="dxa"/>
            <w:shd w:val="clear" w:color="auto" w:fill="C0C0C0"/>
          </w:tcPr>
          <w:p>
            <w:pPr>
              <w:pStyle w:val="TableParagraph"/>
              <w:spacing w:before="3"/>
              <w:rPr>
                <w:i/>
                <w:sz w:val="22"/>
              </w:rPr>
            </w:pPr>
          </w:p>
          <w:p>
            <w:pPr>
              <w:pStyle w:val="TableParagraph"/>
              <w:ind w:left="380" w:right="36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Species</w:t>
            </w:r>
          </w:p>
        </w:tc>
        <w:tc>
          <w:tcPr>
            <w:tcW w:w="1519" w:type="dxa"/>
            <w:shd w:val="clear" w:color="auto" w:fill="C0C0C0"/>
          </w:tcPr>
          <w:p>
            <w:pPr>
              <w:pStyle w:val="TableParagraph"/>
              <w:spacing w:line="250" w:lineRule="atLeast"/>
              <w:ind w:left="198" w:right="17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Average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Shear stress</w:t>
            </w:r>
            <w:r>
              <w:rPr>
                <w:b/>
                <w:spacing w:val="-53"/>
                <w:sz w:val="22"/>
              </w:rPr>
              <w:t> </w:t>
            </w:r>
            <w:r>
              <w:rPr>
                <w:b/>
                <w:sz w:val="22"/>
              </w:rPr>
              <w:t>(psi)</w:t>
            </w:r>
          </w:p>
        </w:tc>
        <w:tc>
          <w:tcPr>
            <w:tcW w:w="1721" w:type="dxa"/>
            <w:shd w:val="clear" w:color="auto" w:fill="C0C0C0"/>
          </w:tcPr>
          <w:p>
            <w:pPr>
              <w:pStyle w:val="TableParagraph"/>
              <w:spacing w:line="250" w:lineRule="atLeast"/>
              <w:ind w:left="231" w:right="21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Coefficient of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Variation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(CoV)</w:t>
            </w:r>
          </w:p>
        </w:tc>
        <w:tc>
          <w:tcPr>
            <w:tcW w:w="1279" w:type="dxa"/>
            <w:shd w:val="clear" w:color="auto" w:fill="C0C0C0"/>
          </w:tcPr>
          <w:p>
            <w:pPr>
              <w:pStyle w:val="TableParagraph"/>
              <w:spacing w:before="130"/>
              <w:ind w:left="233" w:right="205" w:firstLine="91"/>
              <w:rPr>
                <w:b/>
                <w:sz w:val="22"/>
              </w:rPr>
            </w:pPr>
            <w:r>
              <w:rPr>
                <w:b/>
                <w:sz w:val="22"/>
              </w:rPr>
              <w:t>N (# of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pacing w:val="-1"/>
                <w:sz w:val="22"/>
              </w:rPr>
              <w:t>samples)</w:t>
            </w:r>
          </w:p>
        </w:tc>
      </w:tr>
      <w:tr>
        <w:trPr>
          <w:trHeight w:val="299" w:hRule="atLeast"/>
        </w:trPr>
        <w:tc>
          <w:tcPr>
            <w:tcW w:w="1481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234" w:lineRule="exact" w:before="45"/>
              <w:ind w:left="436" w:right="425"/>
              <w:jc w:val="center"/>
              <w:rPr>
                <w:sz w:val="22"/>
              </w:rPr>
            </w:pPr>
            <w:r>
              <w:rPr>
                <w:sz w:val="22"/>
              </w:rPr>
              <w:t>SYP</w:t>
            </w:r>
          </w:p>
        </w:tc>
        <w:tc>
          <w:tcPr>
            <w:tcW w:w="1519" w:type="dxa"/>
          </w:tcPr>
          <w:p>
            <w:pPr>
              <w:pStyle w:val="TableParagraph"/>
              <w:spacing w:line="234" w:lineRule="exact" w:before="45"/>
              <w:ind w:left="194" w:right="178"/>
              <w:jc w:val="center"/>
              <w:rPr>
                <w:sz w:val="22"/>
              </w:rPr>
            </w:pPr>
            <w:r>
              <w:rPr>
                <w:sz w:val="22"/>
              </w:rPr>
              <w:t>1,597</w:t>
            </w:r>
          </w:p>
        </w:tc>
        <w:tc>
          <w:tcPr>
            <w:tcW w:w="1721" w:type="dxa"/>
          </w:tcPr>
          <w:p>
            <w:pPr>
              <w:pStyle w:val="TableParagraph"/>
              <w:spacing w:line="234" w:lineRule="exact" w:before="45"/>
              <w:ind w:left="662"/>
              <w:rPr>
                <w:sz w:val="22"/>
              </w:rPr>
            </w:pPr>
            <w:r>
              <w:rPr>
                <w:sz w:val="22"/>
              </w:rPr>
              <w:t>13%</w:t>
            </w:r>
          </w:p>
        </w:tc>
        <w:tc>
          <w:tcPr>
            <w:tcW w:w="1279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234" w:lineRule="exact" w:before="45"/>
              <w:ind w:left="533"/>
              <w:rPr>
                <w:sz w:val="22"/>
              </w:rPr>
            </w:pPr>
            <w:r>
              <w:rPr>
                <w:sz w:val="22"/>
              </w:rPr>
              <w:t>19</w:t>
            </w:r>
          </w:p>
        </w:tc>
      </w:tr>
      <w:tr>
        <w:trPr>
          <w:trHeight w:val="315" w:hRule="atLeast"/>
        </w:trPr>
        <w:tc>
          <w:tcPr>
            <w:tcW w:w="1481" w:type="dxa"/>
            <w:tcBorders>
              <w:left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34" w:lineRule="exact" w:before="61"/>
              <w:ind w:left="437" w:right="425"/>
              <w:jc w:val="center"/>
              <w:rPr>
                <w:sz w:val="22"/>
              </w:rPr>
            </w:pPr>
            <w:r>
              <w:rPr>
                <w:sz w:val="22"/>
              </w:rPr>
              <w:t>SPF-S</w:t>
            </w:r>
          </w:p>
        </w:tc>
        <w:tc>
          <w:tcPr>
            <w:tcW w:w="1519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34" w:lineRule="exact" w:before="61"/>
              <w:ind w:left="195" w:right="178"/>
              <w:jc w:val="center"/>
              <w:rPr>
                <w:sz w:val="22"/>
              </w:rPr>
            </w:pPr>
            <w:r>
              <w:rPr>
                <w:sz w:val="22"/>
              </w:rPr>
              <w:t>1,302</w:t>
            </w:r>
          </w:p>
        </w:tc>
        <w:tc>
          <w:tcPr>
            <w:tcW w:w="1721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34" w:lineRule="exact" w:before="61"/>
              <w:ind w:left="662"/>
              <w:rPr>
                <w:sz w:val="22"/>
              </w:rPr>
            </w:pPr>
            <w:r>
              <w:rPr>
                <w:sz w:val="22"/>
              </w:rPr>
              <w:t>27%</w:t>
            </w:r>
          </w:p>
        </w:tc>
        <w:tc>
          <w:tcPr>
            <w:tcW w:w="1279" w:type="dxa"/>
            <w:tcBorders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34" w:lineRule="exact" w:before="61"/>
              <w:ind w:left="533"/>
              <w:rPr>
                <w:sz w:val="22"/>
              </w:rPr>
            </w:pPr>
            <w:r>
              <w:rPr>
                <w:sz w:val="22"/>
              </w:rPr>
              <w:t>14</w:t>
            </w:r>
          </w:p>
        </w:tc>
      </w:tr>
    </w:tbl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9"/>
        <w:rPr>
          <w:i/>
          <w:sz w:val="31"/>
        </w:rPr>
      </w:pPr>
    </w:p>
    <w:p>
      <w:pPr>
        <w:pStyle w:val="BodyText"/>
        <w:spacing w:line="480" w:lineRule="auto"/>
        <w:ind w:left="439" w:right="256" w:firstLine="720"/>
        <w:jc w:val="both"/>
      </w:pPr>
      <w:hyperlink w:history="true" w:anchor="_bookmark44">
        <w:r>
          <w:rPr/>
          <w:t>Figure 4-15</w:t>
        </w:r>
      </w:hyperlink>
      <w:r>
        <w:rPr/>
        <w:t>a and b both show alternating ridges along the growth ring lines as the</w:t>
      </w:r>
      <w:r>
        <w:rPr>
          <w:spacing w:val="-57"/>
        </w:rPr>
        <w:t> </w:t>
      </w:r>
      <w:r>
        <w:rPr/>
        <w:t>shear</w:t>
      </w:r>
      <w:r>
        <w:rPr>
          <w:spacing w:val="-13"/>
        </w:rPr>
        <w:t> </w:t>
      </w:r>
      <w:r>
        <w:rPr/>
        <w:t>fracture</w:t>
      </w:r>
      <w:r>
        <w:rPr>
          <w:spacing w:val="-12"/>
        </w:rPr>
        <w:t> </w:t>
      </w:r>
      <w:r>
        <w:rPr/>
        <w:t>occurred</w:t>
      </w:r>
      <w:r>
        <w:rPr>
          <w:spacing w:val="-13"/>
        </w:rPr>
        <w:t> </w:t>
      </w:r>
      <w:r>
        <w:rPr/>
        <w:t>in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radial</w:t>
      </w:r>
      <w:r>
        <w:rPr>
          <w:spacing w:val="-12"/>
        </w:rPr>
        <w:t> </w:t>
      </w:r>
      <w:r>
        <w:rPr/>
        <w:t>axis</w:t>
      </w:r>
      <w:r>
        <w:rPr>
          <w:spacing w:val="-12"/>
        </w:rPr>
        <w:t> </w:t>
      </w:r>
      <w:r>
        <w:rPr/>
        <w:t>of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wood.</w:t>
      </w:r>
      <w:r>
        <w:rPr>
          <w:spacing w:val="35"/>
        </w:rPr>
        <w:t> </w:t>
      </w:r>
      <w:r>
        <w:rPr/>
        <w:t>The</w:t>
      </w:r>
      <w:r>
        <w:rPr>
          <w:spacing w:val="-12"/>
        </w:rPr>
        <w:t> </w:t>
      </w:r>
      <w:r>
        <w:rPr/>
        <w:t>specimen</w:t>
      </w:r>
      <w:r>
        <w:rPr>
          <w:spacing w:val="-12"/>
        </w:rPr>
        <w:t> </w:t>
      </w:r>
      <w:r>
        <w:rPr/>
        <w:t>shown</w:t>
      </w:r>
      <w:r>
        <w:rPr>
          <w:spacing w:val="-12"/>
        </w:rPr>
        <w:t> </w:t>
      </w:r>
      <w:r>
        <w:rPr/>
        <w:t>in</w:t>
      </w:r>
      <w:r>
        <w:rPr>
          <w:spacing w:val="-12"/>
        </w:rPr>
        <w:t> </w:t>
      </w:r>
      <w:hyperlink w:history="true" w:anchor="_bookmark44">
        <w:r>
          <w:rPr/>
          <w:t>Figure</w:t>
        </w:r>
        <w:r>
          <w:rPr>
            <w:spacing w:val="-11"/>
          </w:rPr>
          <w:t> </w:t>
        </w:r>
        <w:r>
          <w:rPr/>
          <w:t>4-15</w:t>
        </w:r>
      </w:hyperlink>
      <w:r>
        <w:rPr/>
        <w:t>c</w:t>
      </w:r>
      <w:r>
        <w:rPr>
          <w:spacing w:val="-58"/>
        </w:rPr>
        <w:t> </w:t>
      </w:r>
      <w:r>
        <w:rPr/>
        <w:t>had a relatively large knot, which caused the jagged fracture line shown in the photo.</w:t>
      </w:r>
      <w:r>
        <w:rPr>
          <w:spacing w:val="1"/>
        </w:rPr>
        <w:t> </w:t>
      </w:r>
      <w:hyperlink w:history="true" w:anchor="_bookmark44">
        <w:r>
          <w:rPr/>
          <w:t>Figure</w:t>
        </w:r>
        <w:r>
          <w:rPr>
            <w:spacing w:val="-3"/>
          </w:rPr>
          <w:t> </w:t>
        </w:r>
        <w:r>
          <w:rPr/>
          <w:t>4-15</w:t>
        </w:r>
      </w:hyperlink>
      <w:r>
        <w:rPr/>
        <w:t>d</w:t>
      </w:r>
      <w:r>
        <w:rPr>
          <w:spacing w:val="-3"/>
        </w:rPr>
        <w:t> </w:t>
      </w:r>
      <w:r>
        <w:rPr/>
        <w:t>shows</w:t>
      </w:r>
      <w:r>
        <w:rPr>
          <w:spacing w:val="-2"/>
        </w:rPr>
        <w:t> </w:t>
      </w:r>
      <w:r>
        <w:rPr/>
        <w:t>how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/>
        <w:t>specimen</w:t>
      </w:r>
      <w:r>
        <w:rPr>
          <w:spacing w:val="-3"/>
        </w:rPr>
        <w:t> </w:t>
      </w:r>
      <w:r>
        <w:rPr/>
        <w:t>with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annual</w:t>
      </w:r>
      <w:r>
        <w:rPr>
          <w:spacing w:val="-2"/>
        </w:rPr>
        <w:t> </w:t>
      </w:r>
      <w:r>
        <w:rPr/>
        <w:t>rings</w:t>
      </w:r>
      <w:r>
        <w:rPr>
          <w:spacing w:val="-4"/>
        </w:rPr>
        <w:t> </w:t>
      </w:r>
      <w:r>
        <w:rPr/>
        <w:t>aligned</w:t>
      </w:r>
      <w:r>
        <w:rPr>
          <w:spacing w:val="-3"/>
        </w:rPr>
        <w:t> </w:t>
      </w:r>
      <w:r>
        <w:rPr/>
        <w:t>differently</w:t>
      </w:r>
      <w:r>
        <w:rPr>
          <w:spacing w:val="-3"/>
        </w:rPr>
        <w:t> </w:t>
      </w:r>
      <w:r>
        <w:rPr/>
        <w:t>experienced</w:t>
      </w:r>
      <w:r>
        <w:rPr>
          <w:spacing w:val="-58"/>
        </w:rPr>
        <w:t> </w:t>
      </w:r>
      <w:r>
        <w:rPr/>
        <w:t>a</w:t>
      </w:r>
      <w:r>
        <w:rPr>
          <w:spacing w:val="-9"/>
        </w:rPr>
        <w:t> </w:t>
      </w:r>
      <w:r>
        <w:rPr/>
        <w:t>shear</w:t>
      </w:r>
      <w:r>
        <w:rPr>
          <w:spacing w:val="-8"/>
        </w:rPr>
        <w:t> </w:t>
      </w:r>
      <w:r>
        <w:rPr/>
        <w:t>fracture</w:t>
      </w:r>
      <w:r>
        <w:rPr>
          <w:spacing w:val="-9"/>
        </w:rPr>
        <w:t> </w:t>
      </w:r>
      <w:r>
        <w:rPr/>
        <w:t>on</w:t>
      </w:r>
      <w:r>
        <w:rPr>
          <w:spacing w:val="-10"/>
        </w:rPr>
        <w:t> </w:t>
      </w:r>
      <w:r>
        <w:rPr/>
        <w:t>the</w:t>
      </w:r>
      <w:r>
        <w:rPr>
          <w:spacing w:val="-11"/>
        </w:rPr>
        <w:t> </w:t>
      </w:r>
      <w:r>
        <w:rPr/>
        <w:t>tangential</w:t>
      </w:r>
      <w:r>
        <w:rPr>
          <w:spacing w:val="-8"/>
        </w:rPr>
        <w:t> </w:t>
      </w:r>
      <w:r>
        <w:rPr/>
        <w:t>axis,</w:t>
      </w:r>
      <w:r>
        <w:rPr>
          <w:spacing w:val="-10"/>
        </w:rPr>
        <w:t> </w:t>
      </w:r>
      <w:r>
        <w:rPr/>
        <w:t>which</w:t>
      </w:r>
      <w:r>
        <w:rPr>
          <w:spacing w:val="-9"/>
        </w:rPr>
        <w:t> </w:t>
      </w:r>
      <w:r>
        <w:rPr/>
        <w:t>creates</w:t>
      </w:r>
      <w:r>
        <w:rPr>
          <w:spacing w:val="-8"/>
        </w:rPr>
        <w:t> </w:t>
      </w:r>
      <w:r>
        <w:rPr/>
        <w:t>a</w:t>
      </w:r>
      <w:r>
        <w:rPr>
          <w:spacing w:val="-11"/>
        </w:rPr>
        <w:t> </w:t>
      </w:r>
      <w:r>
        <w:rPr/>
        <w:t>nearly</w:t>
      </w:r>
      <w:r>
        <w:rPr>
          <w:spacing w:val="-9"/>
        </w:rPr>
        <w:t> </w:t>
      </w:r>
      <w:r>
        <w:rPr/>
        <w:t>smooth</w:t>
      </w:r>
      <w:r>
        <w:rPr>
          <w:spacing w:val="-10"/>
        </w:rPr>
        <w:t> </w:t>
      </w:r>
      <w:r>
        <w:rPr/>
        <w:t>surface</w:t>
      </w:r>
      <w:r>
        <w:rPr>
          <w:spacing w:val="-8"/>
        </w:rPr>
        <w:t> </w:t>
      </w:r>
      <w:r>
        <w:rPr/>
        <w:t>at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fracture</w:t>
      </w:r>
      <w:r>
        <w:rPr>
          <w:spacing w:val="-58"/>
        </w:rPr>
        <w:t> </w:t>
      </w:r>
      <w:r>
        <w:rPr/>
        <w:t>as the growth rings split apart.</w:t>
      </w:r>
      <w:r>
        <w:rPr>
          <w:spacing w:val="1"/>
        </w:rPr>
        <w:t> </w:t>
      </w:r>
      <w:r>
        <w:rPr/>
        <w:t>In softwoods, wood shear failures often follow the growth</w:t>
      </w:r>
      <w:r>
        <w:rPr>
          <w:spacing w:val="-57"/>
        </w:rPr>
        <w:t> </w:t>
      </w:r>
      <w:r>
        <w:rPr/>
        <w:t>ring</w:t>
      </w:r>
      <w:r>
        <w:rPr>
          <w:spacing w:val="-1"/>
        </w:rPr>
        <w:t> </w:t>
      </w:r>
      <w:r>
        <w:rPr/>
        <w:t>line or</w:t>
      </w:r>
      <w:r>
        <w:rPr>
          <w:spacing w:val="-1"/>
        </w:rPr>
        <w:t> </w:t>
      </w:r>
      <w:r>
        <w:rPr/>
        <w:t>transition of</w:t>
      </w:r>
      <w:r>
        <w:rPr>
          <w:spacing w:val="-2"/>
        </w:rPr>
        <w:t> </w:t>
      </w:r>
      <w:r>
        <w:rPr/>
        <w:t>early</w:t>
      </w:r>
      <w:r>
        <w:rPr>
          <w:spacing w:val="-2"/>
        </w:rPr>
        <w:t> </w:t>
      </w:r>
      <w:r>
        <w:rPr/>
        <w:t>and latewood.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before="10"/>
        <w:rPr>
          <w:sz w:val="11"/>
        </w:rPr>
      </w:pPr>
    </w:p>
    <w:p>
      <w:pPr>
        <w:spacing w:line="240" w:lineRule="auto"/>
        <w:ind w:left="1073" w:right="0" w:firstLine="0"/>
        <w:rPr>
          <w:sz w:val="20"/>
        </w:rPr>
      </w:pPr>
      <w:r>
        <w:rPr>
          <w:sz w:val="20"/>
        </w:rPr>
        <w:pict>
          <v:group style="width:178.2pt;height:310.8pt;mso-position-horizontal-relative:char;mso-position-vertical-relative:line" coordorigin="0,0" coordsize="3564,6216">
            <v:shape style="position:absolute;left:0;top:0;width:3547;height:3024" type="#_x0000_t75" stroked="false">
              <v:imagedata r:id="rId91" o:title=""/>
            </v:shape>
            <v:shape style="position:absolute;left:23;top:3078;width:3540;height:3138" type="#_x0000_t75" stroked="false">
              <v:imagedata r:id="rId92" o:title=""/>
            </v:shape>
            <v:shape style="position:absolute;left:3276;top:2701;width:201;height:265" type="#_x0000_t202" filled="false" stroked="false">
              <v:textbox inset="0,0,0,0">
                <w:txbxContent>
                  <w:p>
                    <w:pPr>
                      <w:spacing w:line="265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a.</w:t>
                    </w:r>
                  </w:p>
                </w:txbxContent>
              </v:textbox>
              <w10:wrap type="none"/>
            </v:shape>
            <v:shape style="position:absolute;left:3325;top:5904;width:187;height:265" type="#_x0000_t202" filled="false" stroked="false">
              <v:textbox inset="0,0,0,0">
                <w:txbxContent>
                  <w:p>
                    <w:pPr>
                      <w:spacing w:line="265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c.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  <w:r>
        <w:rPr>
          <w:spacing w:val="15"/>
          <w:sz w:val="20"/>
        </w:rPr>
        <w:t> </w:t>
      </w:r>
      <w:r>
        <w:rPr>
          <w:spacing w:val="15"/>
          <w:sz w:val="20"/>
        </w:rPr>
        <w:pict>
          <v:group style="width:186.35pt;height:309.4pt;mso-position-horizontal-relative:char;mso-position-vertical-relative:line" coordorigin="0,0" coordsize="3727,6188">
            <v:shape style="position:absolute;left:0;top:0;width:3727;height:2991" type="#_x0000_t75" stroked="false">
              <v:imagedata r:id="rId93" o:title=""/>
            </v:shape>
            <v:shape style="position:absolute;left:0;top:3045;width:3722;height:3142" type="#_x0000_t75" stroked="false">
              <v:imagedata r:id="rId94" o:title=""/>
            </v:shape>
            <v:shape style="position:absolute;left:3438;top:2646;width:214;height:265" type="#_x0000_t202" filled="false" stroked="false">
              <v:textbox inset="0,0,0,0">
                <w:txbxContent>
                  <w:p>
                    <w:pPr>
                      <w:spacing w:line="265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b.</w:t>
                    </w:r>
                  </w:p>
                </w:txbxContent>
              </v:textbox>
              <w10:wrap type="none"/>
            </v:shape>
            <v:shape style="position:absolute;left:3497;top:5863;width:214;height:265" type="#_x0000_t202" filled="false" stroked="false">
              <v:textbox inset="0,0,0,0">
                <w:txbxContent>
                  <w:p>
                    <w:pPr>
                      <w:spacing w:line="265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d.</w:t>
                    </w:r>
                  </w:p>
                </w:txbxContent>
              </v:textbox>
              <w10:wrap type="none"/>
            </v:shape>
          </v:group>
        </w:pict>
      </w:r>
      <w:r>
        <w:rPr>
          <w:spacing w:val="15"/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2"/>
        </w:rPr>
      </w:pPr>
    </w:p>
    <w:p>
      <w:pPr>
        <w:spacing w:before="0"/>
        <w:ind w:left="440" w:right="229" w:firstLine="0"/>
        <w:jc w:val="left"/>
        <w:rPr>
          <w:i/>
          <w:sz w:val="24"/>
        </w:rPr>
      </w:pPr>
      <w:bookmarkStart w:name="_bookmark44" w:id="222"/>
      <w:bookmarkEnd w:id="222"/>
      <w:r>
        <w:rPr/>
      </w:r>
      <w:r>
        <w:rPr>
          <w:i/>
          <w:sz w:val="24"/>
        </w:rPr>
        <w:t>Figure</w:t>
      </w:r>
      <w:r>
        <w:rPr>
          <w:i/>
          <w:spacing w:val="-10"/>
          <w:sz w:val="24"/>
        </w:rPr>
        <w:t> </w:t>
      </w:r>
      <w:r>
        <w:rPr>
          <w:i/>
          <w:sz w:val="24"/>
        </w:rPr>
        <w:t>4-15.</w:t>
      </w:r>
      <w:r>
        <w:rPr>
          <w:i/>
          <w:spacing w:val="-11"/>
          <w:sz w:val="24"/>
        </w:rPr>
        <w:t> </w:t>
      </w:r>
      <w:r>
        <w:rPr>
          <w:i/>
          <w:sz w:val="24"/>
        </w:rPr>
        <w:t>Examples</w:t>
      </w:r>
      <w:r>
        <w:rPr>
          <w:i/>
          <w:spacing w:val="-10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0"/>
          <w:sz w:val="24"/>
        </w:rPr>
        <w:t> </w:t>
      </w:r>
      <w:r>
        <w:rPr>
          <w:i/>
          <w:sz w:val="24"/>
        </w:rPr>
        <w:t>shear</w:t>
      </w:r>
      <w:r>
        <w:rPr>
          <w:i/>
          <w:spacing w:val="-10"/>
          <w:sz w:val="24"/>
        </w:rPr>
        <w:t> </w:t>
      </w:r>
      <w:r>
        <w:rPr>
          <w:i/>
          <w:sz w:val="24"/>
        </w:rPr>
        <w:t>test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specimens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post-test,</w:t>
      </w:r>
      <w:r>
        <w:rPr>
          <w:i/>
          <w:spacing w:val="-10"/>
          <w:sz w:val="24"/>
        </w:rPr>
        <w:t> </w:t>
      </w:r>
      <w:r>
        <w:rPr>
          <w:i/>
          <w:sz w:val="24"/>
        </w:rPr>
        <w:t>(a,</w:t>
      </w:r>
      <w:r>
        <w:rPr>
          <w:i/>
          <w:spacing w:val="-10"/>
          <w:sz w:val="24"/>
        </w:rPr>
        <w:t> </w:t>
      </w:r>
      <w:r>
        <w:rPr>
          <w:i/>
          <w:sz w:val="24"/>
        </w:rPr>
        <w:t>b)</w:t>
      </w:r>
      <w:r>
        <w:rPr>
          <w:i/>
          <w:spacing w:val="-11"/>
          <w:sz w:val="24"/>
        </w:rPr>
        <w:t> </w:t>
      </w:r>
      <w:r>
        <w:rPr>
          <w:i/>
          <w:sz w:val="24"/>
        </w:rPr>
        <w:t>SPF-S</w:t>
      </w:r>
      <w:r>
        <w:rPr>
          <w:i/>
          <w:spacing w:val="-10"/>
          <w:sz w:val="24"/>
        </w:rPr>
        <w:t> </w:t>
      </w:r>
      <w:r>
        <w:rPr>
          <w:i/>
          <w:sz w:val="24"/>
        </w:rPr>
        <w:t>specimens,</w:t>
      </w:r>
      <w:r>
        <w:rPr>
          <w:i/>
          <w:spacing w:val="-10"/>
          <w:sz w:val="24"/>
        </w:rPr>
        <w:t> </w:t>
      </w:r>
      <w:r>
        <w:rPr>
          <w:i/>
          <w:sz w:val="24"/>
        </w:rPr>
        <w:t>(c,d)</w:t>
      </w:r>
      <w:r>
        <w:rPr>
          <w:i/>
          <w:spacing w:val="-11"/>
          <w:sz w:val="24"/>
        </w:rPr>
        <w:t> </w:t>
      </w:r>
      <w:r>
        <w:rPr>
          <w:i/>
          <w:sz w:val="24"/>
        </w:rPr>
        <w:t>SYP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specimens.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1"/>
        <w:rPr>
          <w:i/>
          <w:sz w:val="34"/>
        </w:rPr>
      </w:pPr>
    </w:p>
    <w:p>
      <w:pPr>
        <w:pStyle w:val="Heading9"/>
        <w:numPr>
          <w:ilvl w:val="1"/>
          <w:numId w:val="20"/>
        </w:numPr>
        <w:tabs>
          <w:tab w:pos="800" w:val="left" w:leader="none"/>
        </w:tabs>
        <w:spacing w:line="240" w:lineRule="auto" w:before="0" w:after="0"/>
        <w:ind w:left="800" w:right="0" w:hanging="360"/>
        <w:jc w:val="both"/>
      </w:pPr>
      <w:bookmarkStart w:name="_TOC_250039" w:id="223"/>
      <w:bookmarkStart w:name="4.6 Rolling Shear" w:id="224"/>
      <w:r>
        <w:rPr>
          <w:b w:val="0"/>
        </w:rPr>
      </w:r>
      <w:bookmarkEnd w:id="224"/>
      <w:bookmarkStart w:name="4.6 Rolling Shear" w:id="225"/>
      <w:r>
        <w:rPr/>
        <w:t>R</w:t>
      </w:r>
      <w:r>
        <w:rPr/>
        <w:t>olling</w:t>
      </w:r>
      <w:r>
        <w:rPr>
          <w:spacing w:val="-7"/>
        </w:rPr>
        <w:t> </w:t>
      </w:r>
      <w:bookmarkEnd w:id="223"/>
      <w:r>
        <w:rPr/>
        <w:t>Shear</w:t>
      </w:r>
    </w:p>
    <w:p>
      <w:pPr>
        <w:pStyle w:val="BodyText"/>
        <w:spacing w:before="6"/>
        <w:rPr>
          <w:b/>
          <w:sz w:val="22"/>
        </w:rPr>
      </w:pPr>
    </w:p>
    <w:p>
      <w:pPr>
        <w:pStyle w:val="BodyText"/>
        <w:spacing w:line="480" w:lineRule="auto"/>
        <w:ind w:left="439" w:right="257" w:firstLine="720"/>
        <w:jc w:val="both"/>
      </w:pPr>
      <w:r>
        <w:rPr>
          <w:spacing w:val="-1"/>
        </w:rPr>
        <w:t>A</w:t>
      </w:r>
      <w:r>
        <w:rPr>
          <w:spacing w:val="-13"/>
        </w:rPr>
        <w:t> </w:t>
      </w:r>
      <w:r>
        <w:rPr>
          <w:spacing w:val="-1"/>
        </w:rPr>
        <w:t>material</w:t>
      </w:r>
      <w:r>
        <w:rPr>
          <w:spacing w:val="-13"/>
        </w:rPr>
        <w:t> </w:t>
      </w:r>
      <w:r>
        <w:rPr/>
        <w:t>characteristic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particular</w:t>
      </w:r>
      <w:r>
        <w:rPr>
          <w:spacing w:val="-14"/>
        </w:rPr>
        <w:t> </w:t>
      </w:r>
      <w:r>
        <w:rPr/>
        <w:t>interest</w:t>
      </w:r>
      <w:r>
        <w:rPr>
          <w:spacing w:val="-13"/>
        </w:rPr>
        <w:t> </w:t>
      </w:r>
      <w:r>
        <w:rPr/>
        <w:t>in</w:t>
      </w:r>
      <w:r>
        <w:rPr>
          <w:spacing w:val="-13"/>
        </w:rPr>
        <w:t> </w:t>
      </w:r>
      <w:r>
        <w:rPr/>
        <w:t>CLT</w:t>
      </w:r>
      <w:r>
        <w:rPr>
          <w:spacing w:val="-13"/>
        </w:rPr>
        <w:t> </w:t>
      </w:r>
      <w:r>
        <w:rPr/>
        <w:t>is</w:t>
      </w:r>
      <w:r>
        <w:rPr>
          <w:spacing w:val="-13"/>
        </w:rPr>
        <w:t> </w:t>
      </w:r>
      <w:r>
        <w:rPr/>
        <w:t>rolling</w:t>
      </w:r>
      <w:r>
        <w:rPr>
          <w:spacing w:val="-15"/>
        </w:rPr>
        <w:t> </w:t>
      </w:r>
      <w:r>
        <w:rPr/>
        <w:t>shear.</w:t>
      </w:r>
      <w:r>
        <w:rPr>
          <w:spacing w:val="35"/>
        </w:rPr>
        <w:t> </w:t>
      </w:r>
      <w:r>
        <w:rPr/>
        <w:t>Rolling</w:t>
      </w:r>
      <w:r>
        <w:rPr>
          <w:spacing w:val="-12"/>
        </w:rPr>
        <w:t> </w:t>
      </w:r>
      <w:r>
        <w:rPr/>
        <w:t>shear</w:t>
      </w:r>
      <w:r>
        <w:rPr>
          <w:spacing w:val="-58"/>
        </w:rPr>
        <w:t> </w:t>
      </w:r>
      <w:r>
        <w:rPr>
          <w:position w:val="1"/>
        </w:rPr>
        <w:t>occurs in the radial-tangential plane (</w:t>
      </w:r>
      <w:r>
        <w:rPr>
          <w:i/>
          <w:position w:val="1"/>
        </w:rPr>
        <w:t>G</w:t>
      </w:r>
      <w:r>
        <w:rPr>
          <w:i/>
          <w:sz w:val="16"/>
        </w:rPr>
        <w:t>R</w:t>
      </w:r>
      <w:r>
        <w:rPr>
          <w:position w:val="1"/>
        </w:rPr>
        <w:t>) and thus represents the weakest plane for shear</w:t>
      </w:r>
      <w:r>
        <w:rPr>
          <w:spacing w:val="1"/>
          <w:position w:val="1"/>
        </w:rPr>
        <w:t> </w:t>
      </w:r>
      <w:r>
        <w:rPr/>
        <w:t>stiffness and strength.</w:t>
      </w:r>
      <w:r>
        <w:rPr>
          <w:spacing w:val="1"/>
        </w:rPr>
        <w:t> </w:t>
      </w:r>
      <w:r>
        <w:rPr/>
        <w:t>Rolling shear is defined as shear stress causing shear strains</w:t>
      </w:r>
      <w:r>
        <w:rPr>
          <w:spacing w:val="1"/>
        </w:rPr>
        <w:t> </w:t>
      </w:r>
      <w:r>
        <w:rPr/>
        <w:t>perpendicular to the grain direction of wood [47].</w:t>
      </w:r>
      <w:r>
        <w:rPr>
          <w:spacing w:val="1"/>
        </w:rPr>
        <w:t> </w:t>
      </w:r>
      <w:r>
        <w:rPr/>
        <w:t>CLT, with its individual lamella in the</w:t>
      </w:r>
      <w:r>
        <w:rPr>
          <w:spacing w:val="1"/>
        </w:rPr>
        <w:t> </w:t>
      </w:r>
      <w:r>
        <w:rPr/>
        <w:t>transverse direction, may be limited in some situations by its rolling shear capacity or by</w:t>
      </w:r>
      <w:r>
        <w:rPr>
          <w:spacing w:val="1"/>
        </w:rPr>
        <w:t> </w:t>
      </w:r>
      <w:r>
        <w:rPr/>
        <w:t>excessive</w:t>
      </w:r>
      <w:r>
        <w:rPr>
          <w:spacing w:val="-7"/>
        </w:rPr>
        <w:t> </w:t>
      </w:r>
      <w:r>
        <w:rPr/>
        <w:t>deformation</w:t>
      </w:r>
      <w:r>
        <w:rPr>
          <w:spacing w:val="-7"/>
        </w:rPr>
        <w:t> </w:t>
      </w:r>
      <w:r>
        <w:rPr/>
        <w:t>due</w:t>
      </w:r>
      <w:r>
        <w:rPr>
          <w:spacing w:val="-6"/>
        </w:rPr>
        <w:t> </w:t>
      </w:r>
      <w:r>
        <w:rPr/>
        <w:t>to</w:t>
      </w:r>
      <w:r>
        <w:rPr>
          <w:spacing w:val="-7"/>
        </w:rPr>
        <w:t> </w:t>
      </w:r>
      <w:r>
        <w:rPr/>
        <w:t>rolling</w:t>
      </w:r>
      <w:r>
        <w:rPr>
          <w:spacing w:val="-8"/>
        </w:rPr>
        <w:t> </w:t>
      </w:r>
      <w:r>
        <w:rPr/>
        <w:t>shear.</w:t>
      </w:r>
      <w:r>
        <w:rPr>
          <w:spacing w:val="47"/>
        </w:rPr>
        <w:t> </w:t>
      </w:r>
      <w:r>
        <w:rPr/>
        <w:t>As</w:t>
      </w:r>
      <w:r>
        <w:rPr>
          <w:spacing w:val="-7"/>
        </w:rPr>
        <w:t> </w:t>
      </w:r>
      <w:hyperlink w:history="true" w:anchor="_bookmark45">
        <w:r>
          <w:rPr/>
          <w:t>Figure</w:t>
        </w:r>
        <w:r>
          <w:rPr>
            <w:spacing w:val="-6"/>
          </w:rPr>
          <w:t> </w:t>
        </w:r>
        <w:r>
          <w:rPr/>
          <w:t>4-16</w:t>
        </w:r>
        <w:r>
          <w:rPr>
            <w:spacing w:val="-7"/>
          </w:rPr>
          <w:t> </w:t>
        </w:r>
      </w:hyperlink>
      <w:r>
        <w:rPr/>
        <w:t>demonstrates</w:t>
      </w:r>
      <w:r>
        <w:rPr>
          <w:spacing w:val="-8"/>
        </w:rPr>
        <w:t> </w:t>
      </w:r>
      <w:r>
        <w:rPr/>
        <w:t>with</w:t>
      </w:r>
      <w:r>
        <w:rPr>
          <w:spacing w:val="-6"/>
        </w:rPr>
        <w:t> </w:t>
      </w:r>
      <w:r>
        <w:rPr/>
        <w:t>a</w:t>
      </w:r>
      <w:r>
        <w:rPr>
          <w:spacing w:val="-7"/>
        </w:rPr>
        <w:t> </w:t>
      </w:r>
      <w:r>
        <w:rPr/>
        <w:t>schematic</w:t>
      </w:r>
    </w:p>
    <w:p>
      <w:pPr>
        <w:spacing w:after="0" w:line="480" w:lineRule="auto"/>
        <w:jc w:val="both"/>
        <w:sectPr>
          <w:pgSz w:w="12240" w:h="15840"/>
          <w:pgMar w:header="0" w:footer="1064" w:top="1500" w:bottom="1260" w:left="1720" w:right="1180"/>
        </w:sectPr>
      </w:pPr>
    </w:p>
    <w:p>
      <w:pPr>
        <w:pStyle w:val="BodyText"/>
        <w:spacing w:line="480" w:lineRule="auto" w:before="78"/>
        <w:ind w:left="440"/>
      </w:pPr>
      <w:r>
        <w:rPr/>
        <w:t>representation</w:t>
      </w:r>
      <w:r>
        <w:rPr>
          <w:spacing w:val="35"/>
        </w:rPr>
        <w:t> </w:t>
      </w:r>
      <w:r>
        <w:rPr/>
        <w:t>of</w:t>
      </w:r>
      <w:r>
        <w:rPr>
          <w:spacing w:val="35"/>
        </w:rPr>
        <w:t> </w:t>
      </w:r>
      <w:r>
        <w:rPr/>
        <w:t>the</w:t>
      </w:r>
      <w:r>
        <w:rPr>
          <w:spacing w:val="36"/>
        </w:rPr>
        <w:t> </w:t>
      </w:r>
      <w:r>
        <w:rPr/>
        <w:t>radial-tangential</w:t>
      </w:r>
      <w:r>
        <w:rPr>
          <w:spacing w:val="35"/>
        </w:rPr>
        <w:t> </w:t>
      </w:r>
      <w:r>
        <w:rPr/>
        <w:t>plane</w:t>
      </w:r>
      <w:r>
        <w:rPr>
          <w:spacing w:val="36"/>
        </w:rPr>
        <w:t> </w:t>
      </w:r>
      <w:r>
        <w:rPr/>
        <w:t>of</w:t>
      </w:r>
      <w:r>
        <w:rPr>
          <w:spacing w:val="35"/>
        </w:rPr>
        <w:t> </w:t>
      </w:r>
      <w:r>
        <w:rPr/>
        <w:t>a</w:t>
      </w:r>
      <w:r>
        <w:rPr>
          <w:spacing w:val="35"/>
        </w:rPr>
        <w:t> </w:t>
      </w:r>
      <w:r>
        <w:rPr/>
        <w:t>wood</w:t>
      </w:r>
      <w:r>
        <w:rPr>
          <w:spacing w:val="36"/>
        </w:rPr>
        <w:t> </w:t>
      </w:r>
      <w:r>
        <w:rPr/>
        <w:t>timber,</w:t>
      </w:r>
      <w:r>
        <w:rPr>
          <w:spacing w:val="36"/>
        </w:rPr>
        <w:t> </w:t>
      </w:r>
      <w:r>
        <w:rPr/>
        <w:t>the</w:t>
      </w:r>
      <w:r>
        <w:rPr>
          <w:spacing w:val="36"/>
        </w:rPr>
        <w:t> </w:t>
      </w:r>
      <w:r>
        <w:rPr/>
        <w:t>wood</w:t>
      </w:r>
      <w:r>
        <w:rPr>
          <w:spacing w:val="35"/>
        </w:rPr>
        <w:t> </w:t>
      </w:r>
      <w:r>
        <w:rPr/>
        <w:t>fibers</w:t>
      </w:r>
      <w:r>
        <w:rPr>
          <w:spacing w:val="36"/>
        </w:rPr>
        <w:t> </w:t>
      </w:r>
      <w:r>
        <w:rPr/>
        <w:t>in</w:t>
      </w:r>
      <w:r>
        <w:rPr>
          <w:spacing w:val="35"/>
        </w:rPr>
        <w:t> </w:t>
      </w:r>
      <w:r>
        <w:rPr/>
        <w:t>this</w:t>
      </w:r>
      <w:r>
        <w:rPr>
          <w:spacing w:val="-57"/>
        </w:rPr>
        <w:t> </w:t>
      </w:r>
      <w:r>
        <w:rPr/>
        <w:t>sensitive</w:t>
      </w:r>
      <w:r>
        <w:rPr>
          <w:spacing w:val="-1"/>
        </w:rPr>
        <w:t> </w:t>
      </w:r>
      <w:r>
        <w:rPr/>
        <w:t>plane</w:t>
      </w:r>
      <w:r>
        <w:rPr>
          <w:spacing w:val="-1"/>
        </w:rPr>
        <w:t> </w:t>
      </w:r>
      <w:r>
        <w:rPr/>
        <w:t>may</w:t>
      </w:r>
      <w:r>
        <w:rPr>
          <w:spacing w:val="-1"/>
        </w:rPr>
        <w:t> </w:t>
      </w:r>
      <w:r>
        <w:rPr/>
        <w:t>roll over</w:t>
      </w:r>
      <w:r>
        <w:rPr>
          <w:spacing w:val="-1"/>
        </w:rPr>
        <w:t> </w:t>
      </w:r>
      <w:r>
        <w:rPr/>
        <w:t>one</w:t>
      </w:r>
      <w:r>
        <w:rPr>
          <w:spacing w:val="-1"/>
        </w:rPr>
        <w:t> </w:t>
      </w:r>
      <w:r>
        <w:rPr/>
        <w:t>another</w:t>
      </w:r>
      <w:r>
        <w:rPr>
          <w:spacing w:val="-1"/>
        </w:rPr>
        <w:t> </w:t>
      </w:r>
      <w:r>
        <w:rPr/>
        <w:t>when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</w:t>
      </w:r>
      <w:r>
        <w:rPr/>
        <w:t>high</w:t>
      </w:r>
      <w:r>
        <w:rPr>
          <w:spacing w:val="-1"/>
        </w:rPr>
        <w:t> </w:t>
      </w:r>
      <w:r>
        <w:rPr/>
        <w:t>enough shear</w:t>
      </w:r>
      <w:r>
        <w:rPr>
          <w:spacing w:val="-1"/>
        </w:rPr>
        <w:t> </w:t>
      </w:r>
      <w:r>
        <w:rPr/>
        <w:t>force,</w:t>
      </w:r>
      <w:r>
        <w:rPr>
          <w:spacing w:val="-1"/>
        </w:rPr>
        <w:t> </w:t>
      </w:r>
      <w:r>
        <w:rPr>
          <w:i/>
        </w:rPr>
        <w:t>τ</w:t>
      </w:r>
      <w:r>
        <w:rPr/>
        <w:t>,</w:t>
      </w:r>
      <w:r>
        <w:rPr>
          <w:spacing w:val="-1"/>
        </w:rPr>
        <w:t> </w:t>
      </w:r>
      <w:r>
        <w:rPr/>
        <w:t>is applied.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06">
            <wp:simplePos x="0" y="0"/>
            <wp:positionH relativeFrom="page">
              <wp:posOffset>2085975</wp:posOffset>
            </wp:positionH>
            <wp:positionV relativeFrom="paragraph">
              <wp:posOffset>190495</wp:posOffset>
            </wp:positionV>
            <wp:extent cx="4101078" cy="2162555"/>
            <wp:effectExtent l="0" t="0" r="0" b="0"/>
            <wp:wrapTopAndBottom/>
            <wp:docPr id="47" name="image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87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1078" cy="2162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15"/>
        <w:ind w:left="440" w:right="0" w:firstLine="0"/>
        <w:jc w:val="left"/>
        <w:rPr>
          <w:i/>
          <w:sz w:val="24"/>
        </w:rPr>
      </w:pPr>
      <w:bookmarkStart w:name="_bookmark45" w:id="226"/>
      <w:bookmarkEnd w:id="226"/>
      <w:r>
        <w:rPr/>
      </w:r>
      <w:r>
        <w:rPr>
          <w:i/>
          <w:sz w:val="24"/>
        </w:rPr>
        <w:t>Figure</w:t>
      </w:r>
      <w:r>
        <w:rPr>
          <w:i/>
          <w:spacing w:val="12"/>
          <w:sz w:val="24"/>
        </w:rPr>
        <w:t> </w:t>
      </w:r>
      <w:r>
        <w:rPr>
          <w:i/>
          <w:sz w:val="24"/>
        </w:rPr>
        <w:t>4-16.</w:t>
      </w:r>
      <w:r>
        <w:rPr>
          <w:i/>
          <w:spacing w:val="11"/>
          <w:sz w:val="24"/>
        </w:rPr>
        <w:t> </w:t>
      </w:r>
      <w:r>
        <w:rPr>
          <w:i/>
          <w:sz w:val="24"/>
        </w:rPr>
        <w:t>Stress</w:t>
      </w:r>
      <w:r>
        <w:rPr>
          <w:i/>
          <w:spacing w:val="11"/>
          <w:sz w:val="24"/>
        </w:rPr>
        <w:t> </w:t>
      </w:r>
      <w:r>
        <w:rPr>
          <w:i/>
          <w:sz w:val="24"/>
        </w:rPr>
        <w:t>due</w:t>
      </w:r>
      <w:r>
        <w:rPr>
          <w:i/>
          <w:spacing w:val="11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12"/>
          <w:sz w:val="24"/>
        </w:rPr>
        <w:t> </w:t>
      </w:r>
      <w:r>
        <w:rPr>
          <w:i/>
          <w:sz w:val="24"/>
        </w:rPr>
        <w:t>rolling</w:t>
      </w:r>
      <w:r>
        <w:rPr>
          <w:i/>
          <w:spacing w:val="12"/>
          <w:sz w:val="24"/>
        </w:rPr>
        <w:t> </w:t>
      </w:r>
      <w:r>
        <w:rPr>
          <w:i/>
          <w:sz w:val="24"/>
        </w:rPr>
        <w:t>shear,</w:t>
      </w:r>
      <w:r>
        <w:rPr>
          <w:i/>
          <w:spacing w:val="12"/>
          <w:sz w:val="24"/>
        </w:rPr>
        <w:t> </w:t>
      </w:r>
      <w:r>
        <w:rPr>
          <w:i/>
          <w:sz w:val="24"/>
        </w:rPr>
        <w:t>adapted</w:t>
      </w:r>
      <w:r>
        <w:rPr>
          <w:i/>
          <w:spacing w:val="12"/>
          <w:sz w:val="24"/>
        </w:rPr>
        <w:t> </w:t>
      </w:r>
      <w:r>
        <w:rPr>
          <w:i/>
          <w:sz w:val="24"/>
        </w:rPr>
        <w:t>from</w:t>
      </w:r>
      <w:r>
        <w:rPr>
          <w:i/>
          <w:spacing w:val="11"/>
          <w:sz w:val="24"/>
        </w:rPr>
        <w:t> </w:t>
      </w:r>
      <w:r>
        <w:rPr>
          <w:i/>
          <w:sz w:val="24"/>
        </w:rPr>
        <w:t>[47].</w:t>
      </w:r>
      <w:r>
        <w:rPr>
          <w:i/>
          <w:spacing w:val="9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12"/>
          <w:sz w:val="24"/>
        </w:rPr>
        <w:t> </w:t>
      </w:r>
      <w:r>
        <w:rPr>
          <w:i/>
          <w:sz w:val="24"/>
        </w:rPr>
        <w:t>longitudinal</w:t>
      </w:r>
      <w:r>
        <w:rPr>
          <w:i/>
          <w:spacing w:val="12"/>
          <w:sz w:val="24"/>
        </w:rPr>
        <w:t> </w:t>
      </w:r>
      <w:r>
        <w:rPr>
          <w:i/>
          <w:sz w:val="24"/>
        </w:rPr>
        <w:t>axis</w:t>
      </w:r>
      <w:r>
        <w:rPr>
          <w:i/>
          <w:spacing w:val="1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wood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fiber is out of 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plane.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7"/>
        <w:rPr>
          <w:i/>
          <w:sz w:val="33"/>
        </w:rPr>
      </w:pPr>
    </w:p>
    <w:p>
      <w:pPr>
        <w:pStyle w:val="BodyText"/>
        <w:spacing w:line="480" w:lineRule="auto"/>
        <w:ind w:left="439" w:right="256" w:firstLine="720"/>
        <w:jc w:val="both"/>
      </w:pPr>
      <w:r>
        <w:rPr/>
        <w:t>The</w:t>
      </w:r>
      <w:r>
        <w:rPr>
          <w:spacing w:val="-7"/>
        </w:rPr>
        <w:t> </w:t>
      </w:r>
      <w:r>
        <w:rPr/>
        <w:t>rolling</w:t>
      </w:r>
      <w:r>
        <w:rPr>
          <w:spacing w:val="-9"/>
        </w:rPr>
        <w:t> </w:t>
      </w:r>
      <w:r>
        <w:rPr/>
        <w:t>shear</w:t>
      </w:r>
      <w:r>
        <w:rPr>
          <w:spacing w:val="-7"/>
        </w:rPr>
        <w:t> </w:t>
      </w:r>
      <w:r>
        <w:rPr/>
        <w:t>strength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concern</w:t>
      </w:r>
      <w:r>
        <w:rPr>
          <w:spacing w:val="-9"/>
        </w:rPr>
        <w:t> </w:t>
      </w:r>
      <w:r>
        <w:rPr/>
        <w:t>is</w:t>
      </w:r>
      <w:r>
        <w:rPr>
          <w:spacing w:val="-7"/>
        </w:rPr>
        <w:t> </w:t>
      </w:r>
      <w:r>
        <w:rPr/>
        <w:t>not</w:t>
      </w:r>
      <w:r>
        <w:rPr>
          <w:spacing w:val="-7"/>
        </w:rPr>
        <w:t> </w:t>
      </w:r>
      <w:r>
        <w:rPr/>
        <w:t>just</w:t>
      </w:r>
      <w:r>
        <w:rPr>
          <w:spacing w:val="-8"/>
        </w:rPr>
        <w:t> </w:t>
      </w:r>
      <w:r>
        <w:rPr/>
        <w:t>a</w:t>
      </w:r>
      <w:r>
        <w:rPr>
          <w:spacing w:val="-10"/>
        </w:rPr>
        <w:t> </w:t>
      </w:r>
      <w:r>
        <w:rPr/>
        <w:t>property</w:t>
      </w:r>
      <w:r>
        <w:rPr>
          <w:spacing w:val="-9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wood</w:t>
      </w:r>
      <w:r>
        <w:rPr>
          <w:spacing w:val="-6"/>
        </w:rPr>
        <w:t> </w:t>
      </w:r>
      <w:r>
        <w:rPr/>
        <w:t>timber</w:t>
      </w:r>
      <w:r>
        <w:rPr>
          <w:spacing w:val="-8"/>
        </w:rPr>
        <w:t> </w:t>
      </w:r>
      <w:r>
        <w:rPr/>
        <w:t>itself</w:t>
      </w:r>
      <w:r>
        <w:rPr>
          <w:spacing w:val="-58"/>
        </w:rPr>
        <w:t> </w:t>
      </w:r>
      <w:r>
        <w:rPr/>
        <w:t>but also a panel characteristic based on the stiffness of the lamella, as well as their</w:t>
      </w:r>
      <w:r>
        <w:rPr>
          <w:spacing w:val="1"/>
        </w:rPr>
        <w:t> </w:t>
      </w:r>
      <w:r>
        <w:rPr/>
        <w:t>geometry. It is in essence a macroscale shear value for the structural element.</w:t>
      </w:r>
      <w:r>
        <w:rPr>
          <w:spacing w:val="1"/>
        </w:rPr>
        <w:t> </w:t>
      </w:r>
      <w:r>
        <w:rPr/>
        <w:t>With out-</w:t>
      </w:r>
      <w:r>
        <w:rPr>
          <w:spacing w:val="1"/>
        </w:rPr>
        <w:t> </w:t>
      </w:r>
      <w:r>
        <w:rPr/>
        <w:t>of-plane loading which causes the CLT panel to bend, the transverse layers are subjected</w:t>
      </w:r>
      <w:r>
        <w:rPr>
          <w:spacing w:val="1"/>
        </w:rPr>
        <w:t> </w:t>
      </w:r>
      <w:r>
        <w:rPr/>
        <w:t>to</w:t>
      </w:r>
      <w:r>
        <w:rPr>
          <w:spacing w:val="-12"/>
        </w:rPr>
        <w:t> </w:t>
      </w:r>
      <w:r>
        <w:rPr/>
        <w:t>rolling</w:t>
      </w:r>
      <w:r>
        <w:rPr>
          <w:spacing w:val="-11"/>
        </w:rPr>
        <w:t> </w:t>
      </w:r>
      <w:r>
        <w:rPr/>
        <w:t>shear</w:t>
      </w:r>
      <w:r>
        <w:rPr>
          <w:spacing w:val="-12"/>
        </w:rPr>
        <w:t> </w:t>
      </w:r>
      <w:r>
        <w:rPr/>
        <w:t>which</w:t>
      </w:r>
      <w:r>
        <w:rPr>
          <w:spacing w:val="-11"/>
        </w:rPr>
        <w:t> </w:t>
      </w:r>
      <w:r>
        <w:rPr/>
        <w:t>can</w:t>
      </w:r>
      <w:r>
        <w:rPr>
          <w:spacing w:val="-12"/>
        </w:rPr>
        <w:t> </w:t>
      </w:r>
      <w:r>
        <w:rPr/>
        <w:t>have</w:t>
      </w:r>
      <w:r>
        <w:rPr>
          <w:spacing w:val="-11"/>
        </w:rPr>
        <w:t> </w:t>
      </w:r>
      <w:r>
        <w:rPr/>
        <w:t>a</w:t>
      </w:r>
      <w:r>
        <w:rPr>
          <w:spacing w:val="-12"/>
        </w:rPr>
        <w:t> </w:t>
      </w:r>
      <w:r>
        <w:rPr/>
        <w:t>significant</w:t>
      </w:r>
      <w:r>
        <w:rPr>
          <w:spacing w:val="-11"/>
        </w:rPr>
        <w:t> </w:t>
      </w:r>
      <w:r>
        <w:rPr/>
        <w:t>impact</w:t>
      </w:r>
      <w:r>
        <w:rPr>
          <w:spacing w:val="-11"/>
        </w:rPr>
        <w:t> </w:t>
      </w:r>
      <w:r>
        <w:rPr/>
        <w:t>on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panel</w:t>
      </w:r>
      <w:r>
        <w:rPr>
          <w:spacing w:val="-12"/>
        </w:rPr>
        <w:t> </w:t>
      </w:r>
      <w:r>
        <w:rPr/>
        <w:t>overall</w:t>
      </w:r>
      <w:r>
        <w:rPr>
          <w:spacing w:val="-11"/>
        </w:rPr>
        <w:t> </w:t>
      </w:r>
      <w:r>
        <w:rPr/>
        <w:t>strength.</w:t>
      </w:r>
      <w:r>
        <w:rPr>
          <w:spacing w:val="37"/>
        </w:rPr>
        <w:t> </w:t>
      </w:r>
      <w:r>
        <w:rPr/>
        <w:t>A</w:t>
      </w:r>
      <w:r>
        <w:rPr>
          <w:spacing w:val="-12"/>
        </w:rPr>
        <w:t> </w:t>
      </w:r>
      <w:r>
        <w:rPr/>
        <w:t>rolling</w:t>
      </w:r>
      <w:r>
        <w:rPr>
          <w:spacing w:val="-58"/>
        </w:rPr>
        <w:t> </w:t>
      </w:r>
      <w:r>
        <w:rPr/>
        <w:t>shear failure effectively disconnects the layers from each other and thus reduces both</w:t>
      </w:r>
      <w:r>
        <w:rPr>
          <w:spacing w:val="1"/>
        </w:rPr>
        <w:t> </w:t>
      </w:r>
      <w:r>
        <w:rPr/>
        <w:t>stiffness and strength of the composite panel.</w:t>
      </w:r>
      <w:r>
        <w:rPr>
          <w:spacing w:val="1"/>
        </w:rPr>
        <w:t> </w:t>
      </w:r>
      <w:r>
        <w:rPr/>
        <w:t>It is theorized that the cut of the wood with</w:t>
      </w:r>
      <w:r>
        <w:rPr>
          <w:spacing w:val="-57"/>
        </w:rPr>
        <w:t> </w:t>
      </w:r>
      <w:r>
        <w:rPr/>
        <w:t>respect to the grain direction for the timbers in the even layers may influence the rolling</w:t>
      </w:r>
      <w:r>
        <w:rPr>
          <w:spacing w:val="1"/>
        </w:rPr>
        <w:t> </w:t>
      </w:r>
      <w:r>
        <w:rPr/>
        <w:t>shear</w:t>
      </w:r>
      <w:r>
        <w:rPr>
          <w:spacing w:val="50"/>
        </w:rPr>
        <w:t> </w:t>
      </w:r>
      <w:r>
        <w:rPr/>
        <w:t>modulus</w:t>
      </w:r>
      <w:r>
        <w:rPr>
          <w:spacing w:val="50"/>
        </w:rPr>
        <w:t> </w:t>
      </w:r>
      <w:r>
        <w:rPr/>
        <w:t>as</w:t>
      </w:r>
      <w:r>
        <w:rPr>
          <w:spacing w:val="49"/>
        </w:rPr>
        <w:t> </w:t>
      </w:r>
      <w:r>
        <w:rPr/>
        <w:t>the</w:t>
      </w:r>
      <w:r>
        <w:rPr>
          <w:spacing w:val="50"/>
        </w:rPr>
        <w:t> </w:t>
      </w:r>
      <w:r>
        <w:rPr/>
        <w:t>stiffness</w:t>
      </w:r>
      <w:r>
        <w:rPr>
          <w:spacing w:val="50"/>
        </w:rPr>
        <w:t> </w:t>
      </w:r>
      <w:r>
        <w:rPr/>
        <w:t>in</w:t>
      </w:r>
      <w:r>
        <w:rPr>
          <w:spacing w:val="50"/>
        </w:rPr>
        <w:t> </w:t>
      </w:r>
      <w:r>
        <w:rPr/>
        <w:t>the</w:t>
      </w:r>
      <w:r>
        <w:rPr>
          <w:spacing w:val="50"/>
        </w:rPr>
        <w:t> </w:t>
      </w:r>
      <w:r>
        <w:rPr/>
        <w:t>radial</w:t>
      </w:r>
      <w:r>
        <w:rPr>
          <w:spacing w:val="51"/>
        </w:rPr>
        <w:t> </w:t>
      </w:r>
      <w:r>
        <w:rPr/>
        <w:t>and</w:t>
      </w:r>
      <w:r>
        <w:rPr>
          <w:spacing w:val="50"/>
        </w:rPr>
        <w:t> </w:t>
      </w:r>
      <w:r>
        <w:rPr/>
        <w:t>tangential</w:t>
      </w:r>
      <w:r>
        <w:rPr>
          <w:spacing w:val="49"/>
        </w:rPr>
        <w:t> </w:t>
      </w:r>
      <w:r>
        <w:rPr/>
        <w:t>directions</w:t>
      </w:r>
      <w:r>
        <w:rPr>
          <w:spacing w:val="48"/>
        </w:rPr>
        <w:t> </w:t>
      </w:r>
      <w:r>
        <w:rPr/>
        <w:t>may</w:t>
      </w:r>
      <w:r>
        <w:rPr>
          <w:spacing w:val="50"/>
        </w:rPr>
        <w:t> </w:t>
      </w:r>
      <w:r>
        <w:rPr/>
        <w:t>vary</w:t>
      </w:r>
      <w:r>
        <w:rPr>
          <w:spacing w:val="50"/>
        </w:rPr>
        <w:t> </w:t>
      </w:r>
      <w:r>
        <w:rPr/>
        <w:t>[21].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39" w:right="258"/>
        <w:jc w:val="both"/>
      </w:pPr>
      <w:r>
        <w:rPr/>
        <w:t>Location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pith,</w:t>
      </w:r>
      <w:r>
        <w:rPr>
          <w:spacing w:val="-10"/>
        </w:rPr>
        <w:t> </w:t>
      </w:r>
      <w:r>
        <w:rPr/>
        <w:t>the</w:t>
      </w:r>
      <w:r>
        <w:rPr>
          <w:spacing w:val="-8"/>
        </w:rPr>
        <w:t> </w:t>
      </w:r>
      <w:r>
        <w:rPr/>
        <w:t>softer</w:t>
      </w:r>
      <w:r>
        <w:rPr>
          <w:spacing w:val="-8"/>
        </w:rPr>
        <w:t> </w:t>
      </w:r>
      <w:r>
        <w:rPr/>
        <w:t>wood</w:t>
      </w:r>
      <w:r>
        <w:rPr>
          <w:spacing w:val="-9"/>
        </w:rPr>
        <w:t> </w:t>
      </w:r>
      <w:r>
        <w:rPr/>
        <w:t>located</w:t>
      </w:r>
      <w:r>
        <w:rPr>
          <w:spacing w:val="-9"/>
        </w:rPr>
        <w:t> </w:t>
      </w:r>
      <w:r>
        <w:rPr/>
        <w:t>at</w:t>
      </w:r>
      <w:r>
        <w:rPr>
          <w:spacing w:val="-8"/>
        </w:rPr>
        <w:t> </w:t>
      </w:r>
      <w:r>
        <w:rPr/>
        <w:t>the</w:t>
      </w:r>
      <w:r>
        <w:rPr>
          <w:spacing w:val="-10"/>
        </w:rPr>
        <w:t> </w:t>
      </w:r>
      <w:r>
        <w:rPr/>
        <w:t>center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tree,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/>
        <w:t>eccentric</w:t>
      </w:r>
      <w:r>
        <w:rPr>
          <w:spacing w:val="-10"/>
        </w:rPr>
        <w:t> </w:t>
      </w:r>
      <w:r>
        <w:rPr/>
        <w:t>location</w:t>
      </w:r>
      <w:r>
        <w:rPr>
          <w:spacing w:val="-58"/>
        </w:rPr>
        <w:t> </w:t>
      </w:r>
      <w:r>
        <w:rPr/>
        <w:t>and asymmetric annual ring growth likely all influence the sawn timber rolling shear</w:t>
      </w:r>
      <w:r>
        <w:rPr>
          <w:spacing w:val="1"/>
        </w:rPr>
        <w:t> </w:t>
      </w:r>
      <w:r>
        <w:rPr/>
        <w:t>modulus [21, 47].</w:t>
      </w:r>
      <w:r>
        <w:rPr>
          <w:spacing w:val="1"/>
        </w:rPr>
        <w:t> </w:t>
      </w:r>
      <w:r>
        <w:rPr/>
        <w:t>Manufacturers use wide boards for the plies in the transverse layers to</w:t>
      </w:r>
      <w:r>
        <w:rPr>
          <w:spacing w:val="1"/>
        </w:rPr>
        <w:t> </w:t>
      </w:r>
      <w:r>
        <w:rPr/>
        <w:t>limit</w:t>
      </w:r>
      <w:r>
        <w:rPr>
          <w:spacing w:val="-1"/>
        </w:rPr>
        <w:t> </w:t>
      </w:r>
      <w:r>
        <w:rPr/>
        <w:t>the influence of</w:t>
      </w:r>
      <w:r>
        <w:rPr>
          <w:spacing w:val="-1"/>
        </w:rPr>
        <w:t> </w:t>
      </w:r>
      <w:r>
        <w:rPr/>
        <w:t>rolling shear on</w:t>
      </w:r>
      <w:r>
        <w:rPr>
          <w:spacing w:val="-2"/>
        </w:rPr>
        <w:t> </w:t>
      </w:r>
      <w:r>
        <w:rPr/>
        <w:t>the design.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/>
        <w:ind w:left="439" w:right="256" w:firstLine="720"/>
        <w:jc w:val="both"/>
      </w:pPr>
      <w:r>
        <w:rPr/>
        <w:t>PRG 320 requires that the width of cross-layer lamella layers be at least 3.5 times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thickness,</w:t>
      </w:r>
      <w:r>
        <w:rPr>
          <w:spacing w:val="1"/>
        </w:rPr>
        <w:t> </w:t>
      </w:r>
      <w:r>
        <w:rPr/>
        <w:t>if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edge</w:t>
      </w:r>
      <w:r>
        <w:rPr>
          <w:spacing w:val="1"/>
        </w:rPr>
        <w:t> </w:t>
      </w:r>
      <w:r>
        <w:rPr/>
        <w:t>bonded,</w:t>
      </w:r>
      <w:r>
        <w:rPr>
          <w:spacing w:val="1"/>
        </w:rPr>
        <w:t> </w:t>
      </w:r>
      <w:r>
        <w:rPr/>
        <w:t>unless</w:t>
      </w:r>
      <w:r>
        <w:rPr>
          <w:spacing w:val="1"/>
        </w:rPr>
        <w:t> </w:t>
      </w:r>
      <w:r>
        <w:rPr/>
        <w:t>additional</w:t>
      </w:r>
      <w:r>
        <w:rPr>
          <w:spacing w:val="1"/>
        </w:rPr>
        <w:t> </w:t>
      </w:r>
      <w:r>
        <w:rPr/>
        <w:t>rolling</w:t>
      </w:r>
      <w:r>
        <w:rPr>
          <w:spacing w:val="1"/>
        </w:rPr>
        <w:t> </w:t>
      </w:r>
      <w:r>
        <w:rPr/>
        <w:t>shear</w:t>
      </w:r>
      <w:r>
        <w:rPr>
          <w:spacing w:val="1"/>
        </w:rPr>
        <w:t> </w:t>
      </w:r>
      <w:r>
        <w:rPr/>
        <w:t>strength</w:t>
      </w:r>
      <w:r>
        <w:rPr>
          <w:spacing w:val="1"/>
        </w:rPr>
        <w:t> </w:t>
      </w:r>
      <w:r>
        <w:rPr/>
        <w:t>testing</w:t>
      </w:r>
      <w:r>
        <w:rPr>
          <w:spacing w:val="1"/>
        </w:rPr>
        <w:t> </w:t>
      </w:r>
      <w:r>
        <w:rPr/>
        <w:t>is</w:t>
      </w:r>
      <w:r>
        <w:rPr>
          <w:spacing w:val="-57"/>
        </w:rPr>
        <w:t> </w:t>
      </w:r>
      <w:r>
        <w:rPr>
          <w:position w:val="1"/>
        </w:rPr>
        <w:t>conducted.</w:t>
      </w:r>
      <w:r>
        <w:rPr>
          <w:spacing w:val="1"/>
          <w:position w:val="1"/>
        </w:rPr>
        <w:t> </w:t>
      </w:r>
      <w:r>
        <w:rPr>
          <w:position w:val="1"/>
        </w:rPr>
        <w:t>The standard assumes the rolling shear modulus, </w:t>
      </w:r>
      <w:r>
        <w:rPr>
          <w:i/>
          <w:position w:val="1"/>
        </w:rPr>
        <w:t>G</w:t>
      </w:r>
      <w:r>
        <w:rPr>
          <w:i/>
          <w:sz w:val="16"/>
        </w:rPr>
        <w:t>R</w:t>
      </w:r>
      <w:r>
        <w:rPr>
          <w:sz w:val="16"/>
        </w:rPr>
        <w:t>, </w:t>
      </w:r>
      <w:r>
        <w:rPr>
          <w:position w:val="1"/>
        </w:rPr>
        <w:t>to be one-tenth of the</w:t>
      </w:r>
      <w:r>
        <w:rPr>
          <w:spacing w:val="1"/>
          <w:position w:val="1"/>
        </w:rPr>
        <w:t> </w:t>
      </w:r>
      <w:r>
        <w:rPr>
          <w:position w:val="1"/>
        </w:rPr>
        <w:t>shear modulus parallel to the wood grain, </w:t>
      </w:r>
      <w:r>
        <w:rPr>
          <w:i/>
          <w:position w:val="1"/>
        </w:rPr>
        <w:t>G</w:t>
      </w:r>
      <w:r>
        <w:rPr>
          <w:i/>
          <w:sz w:val="16"/>
        </w:rPr>
        <w:t>0</w:t>
      </w:r>
      <w:r>
        <w:rPr>
          <w:position w:val="1"/>
        </w:rPr>
        <w:t>.</w:t>
      </w:r>
      <w:r>
        <w:rPr>
          <w:spacing w:val="1"/>
          <w:position w:val="1"/>
        </w:rPr>
        <w:t> </w:t>
      </w:r>
      <w:r>
        <w:rPr>
          <w:position w:val="1"/>
        </w:rPr>
        <w:t>In addition, PRG 320 assumes that </w:t>
      </w:r>
      <w:r>
        <w:rPr>
          <w:i/>
          <w:position w:val="1"/>
        </w:rPr>
        <w:t>G</w:t>
      </w:r>
      <w:r>
        <w:rPr>
          <w:i/>
          <w:sz w:val="16"/>
        </w:rPr>
        <w:t>0</w:t>
      </w:r>
      <w:r>
        <w:rPr>
          <w:i/>
          <w:spacing w:val="1"/>
          <w:sz w:val="16"/>
        </w:rPr>
        <w:t> </w:t>
      </w:r>
      <w:r>
        <w:rPr>
          <w:position w:val="1"/>
        </w:rPr>
        <w:t>is</w:t>
      </w:r>
      <w:r>
        <w:rPr>
          <w:spacing w:val="1"/>
          <w:position w:val="1"/>
        </w:rPr>
        <w:t> </w:t>
      </w:r>
      <w:r>
        <w:rPr/>
        <w:t>0.0625 of the material’s modulus of elasticity, </w:t>
      </w:r>
      <w:r>
        <w:rPr>
          <w:i/>
        </w:rPr>
        <w:t>E</w:t>
      </w:r>
      <w:r>
        <w:rPr/>
        <w:t>, based on testing and previous literature</w:t>
      </w:r>
      <w:r>
        <w:rPr>
          <w:spacing w:val="1"/>
        </w:rPr>
        <w:t> </w:t>
      </w:r>
      <w:r>
        <w:rPr/>
        <w:t>[68].</w:t>
      </w:r>
      <w:r>
        <w:rPr>
          <w:spacing w:val="1"/>
        </w:rPr>
        <w:t> </w:t>
      </w:r>
      <w:r>
        <w:rPr/>
        <w:t>The reduced rolling shear modulus caused by the cross-lamination of the layer in</w:t>
      </w:r>
      <w:r>
        <w:rPr>
          <w:spacing w:val="1"/>
        </w:rPr>
        <w:t> </w:t>
      </w:r>
      <w:r>
        <w:rPr/>
        <w:t>CLT</w:t>
      </w:r>
      <w:r>
        <w:rPr>
          <w:spacing w:val="-8"/>
        </w:rPr>
        <w:t> </w:t>
      </w:r>
      <w:r>
        <w:rPr/>
        <w:t>can</w:t>
      </w:r>
      <w:r>
        <w:rPr>
          <w:spacing w:val="-6"/>
        </w:rPr>
        <w:t> </w:t>
      </w:r>
      <w:r>
        <w:rPr/>
        <w:t>lead</w:t>
      </w:r>
      <w:r>
        <w:rPr>
          <w:spacing w:val="-6"/>
        </w:rPr>
        <w:t> </w:t>
      </w:r>
      <w:r>
        <w:rPr/>
        <w:t>to</w:t>
      </w:r>
      <w:r>
        <w:rPr>
          <w:spacing w:val="-7"/>
        </w:rPr>
        <w:t> </w:t>
      </w:r>
      <w:r>
        <w:rPr/>
        <w:t>large</w:t>
      </w:r>
      <w:r>
        <w:rPr>
          <w:spacing w:val="-6"/>
        </w:rPr>
        <w:t> </w:t>
      </w:r>
      <w:r>
        <w:rPr/>
        <w:t>shear</w:t>
      </w:r>
      <w:r>
        <w:rPr>
          <w:spacing w:val="-6"/>
        </w:rPr>
        <w:t> </w:t>
      </w:r>
      <w:r>
        <w:rPr/>
        <w:t>deformations</w:t>
      </w:r>
      <w:r>
        <w:rPr>
          <w:spacing w:val="-6"/>
        </w:rPr>
        <w:t> </w:t>
      </w:r>
      <w:r>
        <w:rPr/>
        <w:t>depending</w:t>
      </w:r>
      <w:r>
        <w:rPr>
          <w:spacing w:val="-7"/>
        </w:rPr>
        <w:t> </w:t>
      </w:r>
      <w:r>
        <w:rPr/>
        <w:t>on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loads,</w:t>
      </w:r>
      <w:r>
        <w:rPr>
          <w:spacing w:val="-7"/>
        </w:rPr>
        <w:t> </w:t>
      </w:r>
      <w:r>
        <w:rPr/>
        <w:t>span-to-depth</w:t>
      </w:r>
      <w:r>
        <w:rPr>
          <w:spacing w:val="-6"/>
        </w:rPr>
        <w:t> </w:t>
      </w:r>
      <w:r>
        <w:rPr/>
        <w:t>ratios</w:t>
      </w:r>
      <w:r>
        <w:rPr>
          <w:spacing w:val="-8"/>
        </w:rPr>
        <w:t> </w:t>
      </w:r>
      <w:r>
        <w:rPr/>
        <w:t>and</w:t>
      </w:r>
      <w:r>
        <w:rPr>
          <w:spacing w:val="-58"/>
        </w:rPr>
        <w:t> </w:t>
      </w:r>
      <w:r>
        <w:rPr/>
        <w:t>boundary</w:t>
      </w:r>
      <w:r>
        <w:rPr>
          <w:spacing w:val="-1"/>
        </w:rPr>
        <w:t> </w:t>
      </w:r>
      <w:r>
        <w:rPr/>
        <w:t>conditions of</w:t>
      </w:r>
      <w:r>
        <w:rPr>
          <w:spacing w:val="-1"/>
        </w:rPr>
        <w:t> </w:t>
      </w:r>
      <w:r>
        <w:rPr/>
        <w:t>the panels.</w:t>
      </w:r>
    </w:p>
    <w:p>
      <w:pPr>
        <w:pStyle w:val="Heading9"/>
        <w:numPr>
          <w:ilvl w:val="1"/>
          <w:numId w:val="20"/>
        </w:numPr>
        <w:tabs>
          <w:tab w:pos="890" w:val="left" w:leader="none"/>
        </w:tabs>
        <w:spacing w:line="240" w:lineRule="auto" w:before="162" w:after="0"/>
        <w:ind w:left="890" w:right="0" w:hanging="361"/>
        <w:jc w:val="both"/>
      </w:pPr>
      <w:bookmarkStart w:name="_TOC_250038" w:id="227"/>
      <w:bookmarkStart w:name="4.7 Shear analogy method" w:id="228"/>
      <w:r>
        <w:rPr>
          <w:b w:val="0"/>
        </w:rPr>
      </w:r>
      <w:bookmarkEnd w:id="228"/>
      <w:bookmarkStart w:name="4.7 Shear analogy method" w:id="229"/>
      <w:r>
        <w:rPr/>
        <w:t>S</w:t>
      </w:r>
      <w:r>
        <w:rPr/>
        <w:t>hear</w:t>
      </w:r>
      <w:r>
        <w:rPr>
          <w:spacing w:val="-3"/>
        </w:rPr>
        <w:t> </w:t>
      </w:r>
      <w:r>
        <w:rPr/>
        <w:t>analogy</w:t>
      </w:r>
      <w:r>
        <w:rPr>
          <w:spacing w:val="-3"/>
        </w:rPr>
        <w:t> </w:t>
      </w:r>
      <w:bookmarkEnd w:id="227"/>
      <w:r>
        <w:rPr/>
        <w:t>method</w:t>
      </w:r>
    </w:p>
    <w:p>
      <w:pPr>
        <w:pStyle w:val="BodyText"/>
        <w:spacing w:before="6"/>
        <w:rPr>
          <w:b/>
          <w:sz w:val="22"/>
        </w:rPr>
      </w:pPr>
    </w:p>
    <w:p>
      <w:pPr>
        <w:pStyle w:val="BodyText"/>
        <w:spacing w:line="480" w:lineRule="auto"/>
        <w:ind w:left="439" w:right="256" w:firstLine="720"/>
        <w:jc w:val="both"/>
      </w:pPr>
      <w:r>
        <w:rPr/>
        <w:t>The shear analogy method is an analytical model developed and currently used for</w:t>
      </w:r>
      <w:r>
        <w:rPr>
          <w:spacing w:val="-57"/>
        </w:rPr>
        <w:t> </w:t>
      </w:r>
      <w:r>
        <w:rPr/>
        <w:t>the calculation of basic mechanical properties of CLT elements, taking into account the</w:t>
      </w:r>
      <w:r>
        <w:rPr>
          <w:spacing w:val="1"/>
        </w:rPr>
        <w:t> </w:t>
      </w:r>
      <w:r>
        <w:rPr/>
        <w:t>composite</w:t>
      </w:r>
      <w:r>
        <w:rPr>
          <w:spacing w:val="-10"/>
        </w:rPr>
        <w:t> </w:t>
      </w:r>
      <w:r>
        <w:rPr/>
        <w:t>nature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panels.</w:t>
      </w:r>
      <w:r>
        <w:rPr>
          <w:spacing w:val="41"/>
        </w:rPr>
        <w:t> </w:t>
      </w:r>
      <w:r>
        <w:rPr/>
        <w:t>It</w:t>
      </w:r>
      <w:r>
        <w:rPr>
          <w:spacing w:val="-9"/>
        </w:rPr>
        <w:t> </w:t>
      </w:r>
      <w:r>
        <w:rPr/>
        <w:t>is</w:t>
      </w:r>
      <w:r>
        <w:rPr>
          <w:spacing w:val="-12"/>
        </w:rPr>
        <w:t> </w:t>
      </w:r>
      <w:r>
        <w:rPr/>
        <w:t>included</w:t>
      </w:r>
      <w:r>
        <w:rPr>
          <w:spacing w:val="-11"/>
        </w:rPr>
        <w:t> </w:t>
      </w:r>
      <w:r>
        <w:rPr/>
        <w:t>in</w:t>
      </w:r>
      <w:r>
        <w:rPr>
          <w:spacing w:val="-10"/>
        </w:rPr>
        <w:t> </w:t>
      </w:r>
      <w:r>
        <w:rPr/>
        <w:t>this</w:t>
      </w:r>
      <w:r>
        <w:rPr>
          <w:spacing w:val="-10"/>
        </w:rPr>
        <w:t> </w:t>
      </w:r>
      <w:r>
        <w:rPr/>
        <w:t>discussion</w:t>
      </w:r>
      <w:r>
        <w:rPr>
          <w:spacing w:val="-10"/>
        </w:rPr>
        <w:t> </w:t>
      </w:r>
      <w:r>
        <w:rPr/>
        <w:t>of</w:t>
      </w:r>
      <w:r>
        <w:rPr>
          <w:spacing w:val="-11"/>
        </w:rPr>
        <w:t> </w:t>
      </w:r>
      <w:r>
        <w:rPr/>
        <w:t>wood</w:t>
      </w:r>
      <w:r>
        <w:rPr>
          <w:spacing w:val="-10"/>
        </w:rPr>
        <w:t> </w:t>
      </w:r>
      <w:r>
        <w:rPr/>
        <w:t>properties</w:t>
      </w:r>
      <w:r>
        <w:rPr>
          <w:spacing w:val="-9"/>
        </w:rPr>
        <w:t> </w:t>
      </w:r>
      <w:r>
        <w:rPr/>
        <w:t>because</w:t>
      </w:r>
      <w:r>
        <w:rPr>
          <w:spacing w:val="-58"/>
        </w:rPr>
        <w:t> </w:t>
      </w:r>
      <w:r>
        <w:rPr/>
        <w:t>it</w:t>
      </w:r>
      <w:r>
        <w:rPr>
          <w:spacing w:val="-13"/>
        </w:rPr>
        <w:t> </w:t>
      </w:r>
      <w:r>
        <w:rPr/>
        <w:t>is</w:t>
      </w:r>
      <w:r>
        <w:rPr>
          <w:spacing w:val="-14"/>
        </w:rPr>
        <w:t> </w:t>
      </w:r>
      <w:r>
        <w:rPr/>
        <w:t>important</w:t>
      </w:r>
      <w:r>
        <w:rPr>
          <w:spacing w:val="-13"/>
        </w:rPr>
        <w:t> </w:t>
      </w:r>
      <w:r>
        <w:rPr/>
        <w:t>for</w:t>
      </w:r>
      <w:r>
        <w:rPr>
          <w:spacing w:val="-13"/>
        </w:rPr>
        <w:t> </w:t>
      </w:r>
      <w:r>
        <w:rPr/>
        <w:t>evaluation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the</w:t>
      </w:r>
      <w:r>
        <w:rPr>
          <w:spacing w:val="-13"/>
        </w:rPr>
        <w:t> </w:t>
      </w:r>
      <w:r>
        <w:rPr/>
        <w:t>CLT</w:t>
      </w:r>
      <w:r>
        <w:rPr>
          <w:spacing w:val="-14"/>
        </w:rPr>
        <w:t> </w:t>
      </w:r>
      <w:r>
        <w:rPr/>
        <w:t>panels</w:t>
      </w:r>
      <w:r>
        <w:rPr>
          <w:spacing w:val="-13"/>
        </w:rPr>
        <w:t> </w:t>
      </w:r>
      <w:r>
        <w:rPr/>
        <w:t>in</w:t>
      </w:r>
      <w:r>
        <w:rPr>
          <w:spacing w:val="-13"/>
        </w:rPr>
        <w:t> </w:t>
      </w:r>
      <w:r>
        <w:rPr/>
        <w:t>modeling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blast</w:t>
      </w:r>
      <w:r>
        <w:rPr>
          <w:spacing w:val="-14"/>
        </w:rPr>
        <w:t> </w:t>
      </w:r>
      <w:r>
        <w:rPr/>
        <w:t>response</w:t>
      </w:r>
      <w:r>
        <w:rPr>
          <w:spacing w:val="-13"/>
        </w:rPr>
        <w:t> </w:t>
      </w:r>
      <w:r>
        <w:rPr/>
        <w:t>to</w:t>
      </w:r>
      <w:r>
        <w:rPr>
          <w:spacing w:val="-13"/>
        </w:rPr>
        <w:t> </w:t>
      </w:r>
      <w:r>
        <w:rPr/>
        <w:t>accurately</w:t>
      </w:r>
      <w:r>
        <w:rPr>
          <w:spacing w:val="-58"/>
        </w:rPr>
        <w:t> </w:t>
      </w:r>
      <w:r>
        <w:rPr/>
        <w:t>account for the increased strength and stiffness from the cross-laminations.</w:t>
      </w:r>
      <w:r>
        <w:rPr>
          <w:spacing w:val="1"/>
        </w:rPr>
        <w:t> </w:t>
      </w:r>
      <w:r>
        <w:rPr/>
        <w:t>The cross</w:t>
      </w:r>
      <w:r>
        <w:rPr>
          <w:spacing w:val="1"/>
        </w:rPr>
        <w:t> </w:t>
      </w:r>
      <w:r>
        <w:rPr/>
        <w:t>layers combined with the anisotropy of the wood affect the load bearing behavior of the</w:t>
      </w:r>
      <w:r>
        <w:rPr>
          <w:spacing w:val="1"/>
        </w:rPr>
        <w:t> </w:t>
      </w:r>
      <w:r>
        <w:rPr/>
        <w:t>composite panel.</w:t>
      </w:r>
      <w:r>
        <w:rPr>
          <w:spacing w:val="1"/>
        </w:rPr>
        <w:t> </w:t>
      </w:r>
      <w:r>
        <w:rPr/>
        <w:t>When loaded perpendicular to the plane, longitudinal layers transmit</w:t>
      </w:r>
      <w:r>
        <w:rPr>
          <w:spacing w:val="1"/>
        </w:rPr>
        <w:t> </w:t>
      </w:r>
      <w:r>
        <w:rPr>
          <w:position w:val="1"/>
        </w:rPr>
        <w:t>shear and deform proportionally to </w:t>
      </w:r>
      <w:r>
        <w:rPr>
          <w:i/>
          <w:position w:val="1"/>
        </w:rPr>
        <w:t>G</w:t>
      </w:r>
      <w:r>
        <w:rPr>
          <w:sz w:val="16"/>
        </w:rPr>
        <w:t>0 </w:t>
      </w:r>
      <w:r>
        <w:rPr>
          <w:position w:val="1"/>
        </w:rPr>
        <w:t>while the cross layers experience rolling shear and</w:t>
      </w:r>
      <w:r>
        <w:rPr>
          <w:spacing w:val="1"/>
          <w:position w:val="1"/>
        </w:rPr>
        <w:t> </w:t>
      </w:r>
      <w:r>
        <w:rPr>
          <w:position w:val="1"/>
        </w:rPr>
        <w:t>deform</w:t>
      </w:r>
      <w:r>
        <w:rPr>
          <w:spacing w:val="-3"/>
          <w:position w:val="1"/>
        </w:rPr>
        <w:t> </w:t>
      </w:r>
      <w:r>
        <w:rPr>
          <w:position w:val="1"/>
        </w:rPr>
        <w:t>proportionally</w:t>
      </w:r>
      <w:r>
        <w:rPr>
          <w:spacing w:val="-2"/>
          <w:position w:val="1"/>
        </w:rPr>
        <w:t> </w:t>
      </w:r>
      <w:r>
        <w:rPr>
          <w:position w:val="1"/>
        </w:rPr>
        <w:t>to</w:t>
      </w:r>
      <w:r>
        <w:rPr>
          <w:spacing w:val="-2"/>
          <w:position w:val="1"/>
        </w:rPr>
        <w:t> </w:t>
      </w:r>
      <w:r>
        <w:rPr>
          <w:i/>
          <w:position w:val="1"/>
        </w:rPr>
        <w:t>G</w:t>
      </w:r>
      <w:r>
        <w:rPr>
          <w:i/>
          <w:sz w:val="16"/>
        </w:rPr>
        <w:t>R</w:t>
      </w:r>
      <w:r>
        <w:rPr>
          <w:position w:val="1"/>
        </w:rPr>
        <w:t>.</w:t>
      </w:r>
      <w:r>
        <w:rPr>
          <w:spacing w:val="59"/>
          <w:position w:val="1"/>
        </w:rPr>
        <w:t> </w:t>
      </w:r>
      <w:r>
        <w:rPr>
          <w:position w:val="1"/>
        </w:rPr>
        <w:t>This behavior</w:t>
      </w:r>
      <w:r>
        <w:rPr>
          <w:spacing w:val="-1"/>
          <w:position w:val="1"/>
        </w:rPr>
        <w:t> </w:t>
      </w:r>
      <w:r>
        <w:rPr>
          <w:position w:val="1"/>
        </w:rPr>
        <w:t>is shown in</w:t>
      </w:r>
      <w:r>
        <w:rPr>
          <w:spacing w:val="-1"/>
          <w:position w:val="1"/>
        </w:rPr>
        <w:t> </w:t>
      </w:r>
      <w:hyperlink w:history="true" w:anchor="_bookmark46">
        <w:r>
          <w:rPr>
            <w:position w:val="1"/>
          </w:rPr>
          <w:t>Figure</w:t>
        </w:r>
        <w:r>
          <w:rPr>
            <w:spacing w:val="-1"/>
            <w:position w:val="1"/>
          </w:rPr>
          <w:t> </w:t>
        </w:r>
        <w:r>
          <w:rPr>
            <w:position w:val="1"/>
          </w:rPr>
          <w:t>4-17.</w:t>
        </w:r>
      </w:hyperlink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39" w:right="257" w:firstLine="720"/>
        <w:jc w:val="both"/>
      </w:pPr>
      <w:r>
        <w:rPr/>
        <w:t>Several</w:t>
      </w:r>
      <w:r>
        <w:rPr>
          <w:spacing w:val="-10"/>
        </w:rPr>
        <w:t> </w:t>
      </w:r>
      <w:r>
        <w:rPr/>
        <w:t>other</w:t>
      </w:r>
      <w:r>
        <w:rPr>
          <w:spacing w:val="-8"/>
        </w:rPr>
        <w:t> </w:t>
      </w:r>
      <w:r>
        <w:rPr/>
        <w:t>models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/>
        <w:t>theories</w:t>
      </w:r>
      <w:r>
        <w:rPr>
          <w:spacing w:val="-9"/>
        </w:rPr>
        <w:t> </w:t>
      </w:r>
      <w:r>
        <w:rPr/>
        <w:t>have</w:t>
      </w:r>
      <w:r>
        <w:rPr>
          <w:spacing w:val="-8"/>
        </w:rPr>
        <w:t> </w:t>
      </w:r>
      <w:r>
        <w:rPr/>
        <w:t>been</w:t>
      </w:r>
      <w:r>
        <w:rPr>
          <w:spacing w:val="-10"/>
        </w:rPr>
        <w:t> </w:t>
      </w:r>
      <w:r>
        <w:rPr/>
        <w:t>applied</w:t>
      </w:r>
      <w:r>
        <w:rPr>
          <w:spacing w:val="-9"/>
        </w:rPr>
        <w:t> </w:t>
      </w:r>
      <w:r>
        <w:rPr/>
        <w:t>to</w:t>
      </w:r>
      <w:r>
        <w:rPr>
          <w:spacing w:val="-9"/>
        </w:rPr>
        <w:t> </w:t>
      </w:r>
      <w:r>
        <w:rPr/>
        <w:t>CLT</w:t>
      </w:r>
      <w:r>
        <w:rPr>
          <w:spacing w:val="-10"/>
        </w:rPr>
        <w:t> </w:t>
      </w:r>
      <w:r>
        <w:rPr/>
        <w:t>to</w:t>
      </w:r>
      <w:r>
        <w:rPr>
          <w:spacing w:val="-10"/>
        </w:rPr>
        <w:t> </w:t>
      </w:r>
      <w:r>
        <w:rPr/>
        <w:t>determine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stress</w:t>
      </w:r>
      <w:r>
        <w:rPr>
          <w:spacing w:val="-58"/>
        </w:rPr>
        <w:t> </w:t>
      </w:r>
      <w:r>
        <w:rPr/>
        <w:t>and</w:t>
      </w:r>
      <w:r>
        <w:rPr>
          <w:spacing w:val="-8"/>
        </w:rPr>
        <w:t> </w:t>
      </w:r>
      <w:r>
        <w:rPr/>
        <w:t>deformation</w:t>
      </w:r>
      <w:r>
        <w:rPr>
          <w:spacing w:val="-8"/>
        </w:rPr>
        <w:t> </w:t>
      </w:r>
      <w:r>
        <w:rPr/>
        <w:t>behavior</w:t>
      </w:r>
      <w:r>
        <w:rPr>
          <w:spacing w:val="-7"/>
        </w:rPr>
        <w:t> </w:t>
      </w:r>
      <w:r>
        <w:rPr/>
        <w:t>in</w:t>
      </w:r>
      <w:r>
        <w:rPr>
          <w:spacing w:val="-10"/>
        </w:rPr>
        <w:t> </w:t>
      </w:r>
      <w:r>
        <w:rPr/>
        <w:t>a</w:t>
      </w:r>
      <w:r>
        <w:rPr>
          <w:spacing w:val="-8"/>
        </w:rPr>
        <w:t> </w:t>
      </w:r>
      <w:r>
        <w:rPr/>
        <w:t>panel.</w:t>
      </w:r>
      <w:r>
        <w:rPr>
          <w:spacing w:val="42"/>
        </w:rPr>
        <w:t> </w:t>
      </w:r>
      <w:r>
        <w:rPr/>
        <w:t>These</w:t>
      </w:r>
      <w:r>
        <w:rPr>
          <w:spacing w:val="-8"/>
        </w:rPr>
        <w:t> </w:t>
      </w:r>
      <w:r>
        <w:rPr/>
        <w:t>include</w:t>
      </w:r>
      <w:r>
        <w:rPr>
          <w:spacing w:val="-7"/>
        </w:rPr>
        <w:t> </w:t>
      </w:r>
      <w:r>
        <w:rPr/>
        <w:t>classical</w:t>
      </w:r>
      <w:r>
        <w:rPr>
          <w:spacing w:val="-8"/>
        </w:rPr>
        <w:t> </w:t>
      </w:r>
      <w:r>
        <w:rPr/>
        <w:t>plate</w:t>
      </w:r>
      <w:r>
        <w:rPr>
          <w:spacing w:val="-9"/>
        </w:rPr>
        <w:t> </w:t>
      </w:r>
      <w:r>
        <w:rPr/>
        <w:t>theory,</w:t>
      </w:r>
      <w:r>
        <w:rPr>
          <w:spacing w:val="-9"/>
        </w:rPr>
        <w:t> </w:t>
      </w:r>
      <w:r>
        <w:rPr/>
        <w:t>first-order</w:t>
      </w:r>
      <w:r>
        <w:rPr>
          <w:spacing w:val="-9"/>
        </w:rPr>
        <w:t> </w:t>
      </w:r>
      <w:r>
        <w:rPr/>
        <w:t>shear</w:t>
      </w:r>
      <w:r>
        <w:rPr>
          <w:spacing w:val="-57"/>
        </w:rPr>
        <w:t> </w:t>
      </w:r>
      <w:r>
        <w:rPr/>
        <w:t>deformation plate theory, and more advanced plate theories.</w:t>
      </w:r>
      <w:r>
        <w:rPr>
          <w:spacing w:val="1"/>
        </w:rPr>
        <w:t> </w:t>
      </w:r>
      <w:r>
        <w:rPr/>
        <w:t>However, most of these</w:t>
      </w:r>
      <w:r>
        <w:rPr>
          <w:spacing w:val="1"/>
        </w:rPr>
        <w:t> </w:t>
      </w:r>
      <w:r>
        <w:rPr/>
        <w:t>methodologies fall short in modeling behavior for various reasons, including inability to</w:t>
      </w:r>
      <w:r>
        <w:rPr>
          <w:spacing w:val="1"/>
        </w:rPr>
        <w:t> </w:t>
      </w:r>
      <w:r>
        <w:rPr/>
        <w:t>account for shear deformation [83, 106].</w:t>
      </w:r>
      <w:r>
        <w:rPr>
          <w:spacing w:val="1"/>
        </w:rPr>
        <w:t> </w:t>
      </w:r>
      <w:r>
        <w:rPr/>
        <w:t>PRG 320, the NDS, and the German design</w:t>
      </w:r>
      <w:r>
        <w:rPr>
          <w:spacing w:val="1"/>
        </w:rPr>
        <w:t> </w:t>
      </w:r>
      <w:r>
        <w:rPr>
          <w:spacing w:val="-1"/>
        </w:rPr>
        <w:t>standard</w:t>
      </w:r>
      <w:r>
        <w:rPr>
          <w:spacing w:val="-14"/>
        </w:rPr>
        <w:t> </w:t>
      </w:r>
      <w:r>
        <w:rPr>
          <w:spacing w:val="-1"/>
        </w:rPr>
        <w:t>for</w:t>
      </w:r>
      <w:r>
        <w:rPr>
          <w:spacing w:val="-14"/>
        </w:rPr>
        <w:t> </w:t>
      </w:r>
      <w:r>
        <w:rPr>
          <w:spacing w:val="-1"/>
        </w:rPr>
        <w:t>timber</w:t>
      </w:r>
      <w:r>
        <w:rPr>
          <w:spacing w:val="-13"/>
        </w:rPr>
        <w:t> </w:t>
      </w:r>
      <w:r>
        <w:rPr/>
        <w:t>structures</w:t>
      </w:r>
      <w:r>
        <w:rPr>
          <w:spacing w:val="-13"/>
        </w:rPr>
        <w:t> </w:t>
      </w:r>
      <w:r>
        <w:rPr/>
        <w:t>(DIN</w:t>
      </w:r>
      <w:r>
        <w:rPr>
          <w:spacing w:val="-14"/>
        </w:rPr>
        <w:t> </w:t>
      </w:r>
      <w:r>
        <w:rPr/>
        <w:t>1052)</w:t>
      </w:r>
      <w:r>
        <w:rPr>
          <w:spacing w:val="-13"/>
        </w:rPr>
        <w:t> </w:t>
      </w:r>
      <w:r>
        <w:rPr/>
        <w:t>have</w:t>
      </w:r>
      <w:r>
        <w:rPr>
          <w:spacing w:val="-13"/>
        </w:rPr>
        <w:t> </w:t>
      </w:r>
      <w:r>
        <w:rPr/>
        <w:t>adopted</w:t>
      </w:r>
      <w:r>
        <w:rPr>
          <w:spacing w:val="-14"/>
        </w:rPr>
        <w:t> </w:t>
      </w:r>
      <w:r>
        <w:rPr/>
        <w:t>the</w:t>
      </w:r>
      <w:r>
        <w:rPr>
          <w:spacing w:val="-13"/>
        </w:rPr>
        <w:t> </w:t>
      </w:r>
      <w:r>
        <w:rPr/>
        <w:t>shear</w:t>
      </w:r>
      <w:r>
        <w:rPr>
          <w:spacing w:val="-13"/>
        </w:rPr>
        <w:t> </w:t>
      </w:r>
      <w:r>
        <w:rPr/>
        <w:t>analogy</w:t>
      </w:r>
      <w:r>
        <w:rPr>
          <w:spacing w:val="-15"/>
        </w:rPr>
        <w:t> </w:t>
      </w:r>
      <w:r>
        <w:rPr/>
        <w:t>method</w:t>
      </w:r>
      <w:r>
        <w:rPr>
          <w:spacing w:val="-12"/>
        </w:rPr>
        <w:t> </w:t>
      </w:r>
      <w:r>
        <w:rPr/>
        <w:t>[68,</w:t>
      </w:r>
      <w:r>
        <w:rPr>
          <w:spacing w:val="-12"/>
        </w:rPr>
        <w:t> </w:t>
      </w:r>
      <w:r>
        <w:rPr/>
        <w:t>106]</w:t>
      </w:r>
      <w:r>
        <w:rPr>
          <w:spacing w:val="-57"/>
        </w:rPr>
        <w:t> </w:t>
      </w:r>
      <w:r>
        <w:rPr/>
        <w:t>for CLT.</w:t>
      </w:r>
      <w:r>
        <w:rPr>
          <w:spacing w:val="1"/>
        </w:rPr>
        <w:t> </w:t>
      </w:r>
      <w:r>
        <w:rPr/>
        <w:t>This analytical method was popularized by the German researcher Kreuzinger</w:t>
      </w:r>
      <w:r>
        <w:rPr>
          <w:spacing w:val="1"/>
        </w:rPr>
        <w:t> </w:t>
      </w:r>
      <w:r>
        <w:rPr/>
        <w:t>and allows for the inclusion of different moduli of elasticity and shear moduli from the</w:t>
      </w:r>
      <w:r>
        <w:rPr>
          <w:spacing w:val="1"/>
        </w:rPr>
        <w:t> </w:t>
      </w:r>
      <w:r>
        <w:rPr/>
        <w:t>different layers and has no restrictions on the number of included layers.</w:t>
      </w:r>
      <w:r>
        <w:rPr>
          <w:spacing w:val="1"/>
        </w:rPr>
        <w:t> </w:t>
      </w:r>
      <w:r>
        <w:rPr/>
        <w:t>As a result, it is</w:t>
      </w:r>
      <w:r>
        <w:rPr>
          <w:spacing w:val="1"/>
        </w:rPr>
        <w:t> </w:t>
      </w:r>
      <w:r>
        <w:rPr/>
        <w:t>considered to be the most accurate design method for CLT as shear deformations are not</w:t>
      </w:r>
      <w:r>
        <w:rPr>
          <w:spacing w:val="1"/>
        </w:rPr>
        <w:t> </w:t>
      </w:r>
      <w:r>
        <w:rPr/>
        <w:t>neglected. It should be noted that this method is only applicable for CLT products that are</w:t>
      </w:r>
      <w:r>
        <w:rPr>
          <w:spacing w:val="-57"/>
        </w:rPr>
        <w:t> </w:t>
      </w:r>
      <w:r>
        <w:rPr/>
        <w:t>face-glued</w:t>
      </w:r>
      <w:r>
        <w:rPr>
          <w:spacing w:val="-1"/>
        </w:rPr>
        <w:t> </w:t>
      </w:r>
      <w:r>
        <w:rPr/>
        <w:t>and is not</w:t>
      </w:r>
      <w:r>
        <w:rPr>
          <w:spacing w:val="-1"/>
        </w:rPr>
        <w:t> </w:t>
      </w:r>
      <w:r>
        <w:rPr/>
        <w:t>applicable for</w:t>
      </w:r>
      <w:r>
        <w:rPr>
          <w:spacing w:val="-1"/>
        </w:rPr>
        <w:t> </w:t>
      </w:r>
      <w:r>
        <w:rPr/>
        <w:t>nailed or</w:t>
      </w:r>
      <w:r>
        <w:rPr>
          <w:spacing w:val="-1"/>
        </w:rPr>
        <w:t> </w:t>
      </w:r>
      <w:r>
        <w:rPr/>
        <w:t>doweled CLT.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187"/>
        <w:ind w:left="2532" w:right="0" w:firstLine="0"/>
        <w:jc w:val="left"/>
        <w:rPr>
          <w:rFonts w:ascii="Calibri" w:hAnsi="Calibri"/>
          <w:sz w:val="29"/>
        </w:rPr>
      </w:pPr>
      <w:r>
        <w:rPr>
          <w:rFonts w:ascii="Calibri" w:hAnsi="Calibri"/>
          <w:w w:val="99"/>
          <w:sz w:val="29"/>
        </w:rPr>
        <w:t>τ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7"/>
        <w:rPr>
          <w:rFonts w:ascii="Calibri"/>
          <w:sz w:val="26"/>
        </w:rPr>
      </w:pPr>
    </w:p>
    <w:p>
      <w:pPr>
        <w:tabs>
          <w:tab w:pos="4498" w:val="left" w:leader="none"/>
        </w:tabs>
        <w:spacing w:before="40"/>
        <w:ind w:left="585" w:right="0" w:firstLine="0"/>
        <w:jc w:val="left"/>
        <w:rPr>
          <w:rFonts w:ascii="Calibri" w:hAnsi="Calibri"/>
          <w:sz w:val="29"/>
        </w:rPr>
      </w:pPr>
      <w:r>
        <w:rPr/>
        <w:pict>
          <v:group style="position:absolute;margin-left:125.592331pt;margin-top:-62.444317pt;width:178.05pt;height:145pt;mso-position-horizontal-relative:page;mso-position-vertical-relative:paragraph;z-index:-34923520" coordorigin="2512,-1249" coordsize="3561,2900">
            <v:shape style="position:absolute;left:2648;top:451;width:3297;height:521" type="#_x0000_t75" stroked="false">
              <v:imagedata r:id="rId96" o:title=""/>
            </v:shape>
            <v:line style="position:absolute" from="2572,-1009" to="2584,1498" stroked="true" strokeweight="1.160878pt" strokecolor="#000000">
              <v:stroke dashstyle="solid"/>
            </v:line>
            <v:shape style="position:absolute;left:2511;top:-1111;width:122;height:123" coordorigin="2512,-1110" coordsize="122,123" path="m2512,-988l2572,-1110,2633,-989,2512,-988xe" filled="true" fillcolor="#000000" stroked="false">
              <v:path arrowok="t"/>
              <v:fill type="solid"/>
            </v:shape>
            <v:line style="position:absolute" from="6012,1396" to="6007,-1110" stroked="true" strokeweight="1.160878pt" strokecolor="#000000">
              <v:stroke dashstyle="solid"/>
            </v:line>
            <v:shape style="position:absolute;left:5950;top:1375;width:122;height:122" coordorigin="5951,1376" coordsize="122,122" path="m6072,1376l6012,1498,5951,1376,6072,1376xe" filled="true" fillcolor="#000000" stroked="false">
              <v:path arrowok="t"/>
              <v:fill type="solid"/>
            </v:shape>
            <v:shape style="position:absolute;left:2651;top:-590;width:3294;height:521" type="#_x0000_t75" stroked="false">
              <v:imagedata r:id="rId96" o:title=""/>
            </v:shape>
            <v:rect style="position:absolute;left:2653;top:-1111;width:3281;height:521" filled="false" stroked="true" strokeweight="1.163484pt" strokecolor="#000000">
              <v:stroke dashstyle="solid"/>
            </v:rect>
            <v:rect style="position:absolute;left:2661;top:-69;width:3273;height:521" filled="false" stroked="true" strokeweight="1.163484pt" strokecolor="#000000">
              <v:stroke dashstyle="solid"/>
            </v:rect>
            <v:rect style="position:absolute;left:2658;top:976;width:3276;height:521" filled="false" stroked="true" strokeweight="1.163484pt" strokecolor="#000000">
              <v:stroke dashstyle="solid"/>
            </v:rect>
            <v:line style="position:absolute" from="2781,1589" to="5934,1602" stroked="true" strokeweight="1.163553pt" strokecolor="#000000">
              <v:stroke dashstyle="solid"/>
            </v:line>
            <v:shape style="position:absolute;left:2679;top:1528;width:122;height:122" coordorigin="2679,1529" coordsize="122,122" path="m2801,1650l2679,1589,2801,1529,2801,1650xe" filled="true" fillcolor="#000000" stroked="false">
              <v:path arrowok="t"/>
              <v:fill type="solid"/>
            </v:shape>
            <v:line style="position:absolute" from="5824,-1188" to="2680,-1181" stroked="true" strokeweight="1.163556pt" strokecolor="#000000">
              <v:stroke dashstyle="solid"/>
            </v:line>
            <v:shape style="position:absolute;left:5803;top:-1249;width:122;height:122" coordorigin="5803,-1249" coordsize="122,122" path="m5804,-1127l5925,-1188,5803,-1249,5804,-1127xe" filled="true" fillcolor="#000000" stroked="false">
              <v:path arrowok="t"/>
              <v:fill type="solid"/>
            </v:shape>
            <v:line style="position:absolute" from="2659,-932" to="5934,-921" stroked="true" strokeweight=".676463pt" strokecolor="#000000">
              <v:stroke dashstyle="solid"/>
            </v:line>
            <v:line style="position:absolute" from="2660,-815" to="5936,-804" stroked="true" strokeweight=".676463pt" strokecolor="#000000">
              <v:stroke dashstyle="solid"/>
            </v:line>
            <v:line style="position:absolute" from="2659,-699" to="5934,-688" stroked="true" strokeweight=".676463pt" strokecolor="#000000">
              <v:stroke dashstyle="solid"/>
            </v:line>
            <v:line style="position:absolute" from="2652,-1034" to="5927,-1023" stroked="true" strokeweight=".676463pt" strokecolor="#000000">
              <v:stroke dashstyle="solid"/>
            </v:line>
            <v:line style="position:absolute" from="2656,115" to="5932,126" stroked="true" strokeweight=".676463pt" strokecolor="#000000">
              <v:stroke dashstyle="solid"/>
            </v:line>
            <v:line style="position:absolute" from="2658,233" to="5934,243" stroked="true" strokeweight=".676463pt" strokecolor="#000000">
              <v:stroke dashstyle="solid"/>
            </v:line>
            <v:line style="position:absolute" from="2656,348" to="5932,359" stroked="true" strokeweight=".676463pt" strokecolor="#000000">
              <v:stroke dashstyle="solid"/>
            </v:line>
            <v:line style="position:absolute" from="2649,13" to="5925,24" stroked="true" strokeweight=".676463pt" strokecolor="#000000">
              <v:stroke dashstyle="solid"/>
            </v:line>
            <v:line style="position:absolute" from="2663,1158" to="5939,1168" stroked="true" strokeweight=".676463pt" strokecolor="#000000">
              <v:stroke dashstyle="solid"/>
            </v:line>
            <v:line style="position:absolute" from="2665,1275" to="5941,1286" stroked="true" strokeweight=".676463pt" strokecolor="#000000">
              <v:stroke dashstyle="solid"/>
            </v:line>
            <v:line style="position:absolute" from="2663,1391" to="5939,1401" stroked="true" strokeweight=".676463pt" strokecolor="#000000">
              <v:stroke dashstyle="solid"/>
            </v:line>
            <v:line style="position:absolute" from="2656,1056" to="5932,1066" stroked="true" strokeweight=".676463pt" strokecolor="#000000">
              <v:stroke dashstyle="solid"/>
            </v:line>
            <w10:wrap type="none"/>
          </v:group>
        </w:pict>
      </w:r>
      <w:r>
        <w:rPr/>
        <w:pict>
          <v:group style="position:absolute;margin-left:321.509705pt;margin-top:-56.408249pt;width:218.45pt;height:160.050pt;mso-position-horizontal-relative:page;mso-position-vertical-relative:paragraph;z-index:15783936" coordorigin="6430,-1128" coordsize="4369,3201">
            <v:shape style="position:absolute;left:6732;top:451;width:3624;height:521" type="#_x0000_t75" stroked="false">
              <v:imagedata r:id="rId97" o:title=""/>
            </v:shape>
            <v:shape style="position:absolute;left:7058;top:-584;width:3594;height:515" type="#_x0000_t75" stroked="false">
              <v:imagedata r:id="rId98" o:title=""/>
            </v:shape>
            <v:rect style="position:absolute;left:7370;top:-1117;width:3281;height:521" filled="false" stroked="true" strokeweight="1.163484pt" strokecolor="#000000">
              <v:stroke dashstyle="solid"/>
            </v:rect>
            <v:rect style="position:absolute;left:7070;top:-69;width:3273;height:521" filled="false" stroked="true" strokeweight="1.163484pt" strokecolor="#000000">
              <v:stroke dashstyle="solid"/>
            </v:rect>
            <v:rect style="position:absolute;left:6734;top:976;width:3276;height:521" filled="false" stroked="true" strokeweight="1.163484pt" strokecolor="#000000">
              <v:stroke dashstyle="solid"/>
            </v:rect>
            <v:line style="position:absolute" from="7376,-932" to="10652,-921" stroked="true" strokeweight=".676463pt" strokecolor="#000000">
              <v:stroke dashstyle="solid"/>
            </v:line>
            <v:line style="position:absolute" from="7378,-815" to="10653,-804" stroked="true" strokeweight=".676463pt" strokecolor="#000000">
              <v:stroke dashstyle="solid"/>
            </v:line>
            <v:line style="position:absolute" from="7376,-699" to="10652,-688" stroked="true" strokeweight=".676463pt" strokecolor="#000000">
              <v:stroke dashstyle="solid"/>
            </v:line>
            <v:line style="position:absolute" from="7369,-1034" to="10645,-1023" stroked="true" strokeweight=".676463pt" strokecolor="#000000">
              <v:stroke dashstyle="solid"/>
            </v:line>
            <v:line style="position:absolute" from="7065,115" to="10341,126" stroked="true" strokeweight=".676463pt" strokecolor="#000000">
              <v:stroke dashstyle="solid"/>
            </v:line>
            <v:line style="position:absolute" from="7067,233" to="10342,243" stroked="true" strokeweight=".676463pt" strokecolor="#000000">
              <v:stroke dashstyle="solid"/>
            </v:line>
            <v:line style="position:absolute" from="7065,348" to="10341,359" stroked="true" strokeweight=".676463pt" strokecolor="#000000">
              <v:stroke dashstyle="solid"/>
            </v:line>
            <v:line style="position:absolute" from="7058,13" to="10334,24" stroked="true" strokeweight=".676463pt" strokecolor="#000000">
              <v:stroke dashstyle="solid"/>
            </v:line>
            <v:line style="position:absolute" from="6739,1158" to="10015,1168" stroked="true" strokeweight=".676463pt" strokecolor="#000000">
              <v:stroke dashstyle="solid"/>
            </v:line>
            <v:line style="position:absolute" from="6741,1275" to="10016,1286" stroked="true" strokeweight=".676463pt" strokecolor="#000000">
              <v:stroke dashstyle="solid"/>
            </v:line>
            <v:line style="position:absolute" from="6739,1391" to="10015,1401" stroked="true" strokeweight=".676463pt" strokecolor="#000000">
              <v:stroke dashstyle="solid"/>
            </v:line>
            <v:line style="position:absolute" from="6732,1056" to="10008,1066" stroked="true" strokeweight=".676463pt" strokecolor="#000000">
              <v:stroke dashstyle="solid"/>
            </v:line>
            <v:shape style="position:absolute;left:6430;top:-589;width:913;height:1562" coordorigin="6430,-589" coordsize="913,1562" path="m7052,447l6430,428,6717,972,7052,447xm7343,-589l6751,-586,7063,-66,7343,-589xe" filled="true" fillcolor="#ffffff" stroked="false">
              <v:path arrowok="t"/>
              <v:fill type="solid"/>
            </v:shape>
            <v:line style="position:absolute" from="7351,-590" to="7052,-69" stroked="true" strokeweight="1.161519pt" strokecolor="#000000">
              <v:stroke dashstyle="solid"/>
            </v:line>
            <v:line style="position:absolute" from="7051,440" to="6717,972" stroked="true" strokeweight="1.161649pt" strokecolor="#000000">
              <v:stroke dashstyle="solid"/>
            </v:line>
            <v:line style="position:absolute" from="10663,-583" to="10329,-51" stroked="true" strokeweight="1.161649pt" strokecolor="#000000">
              <v:stroke dashstyle="solid"/>
            </v:line>
            <v:line style="position:absolute" from="10356,430" to="10022,962" stroked="true" strokeweight="1.161649pt" strokecolor="#000000">
              <v:stroke dashstyle="solid"/>
            </v:line>
            <v:shape style="position:absolute;left:10037;top:-590;width:762;height:1583" coordorigin="10037,-590" coordsize="762,1583" path="m10637,993l10360,460,10037,974,10637,993xm10799,-363l10672,-590,10366,-66,10799,-65,10799,-363xe" filled="true" fillcolor="#ffffff" stroked="false">
              <v:path arrowok="t"/>
              <v:fill type="solid"/>
            </v:shape>
            <v:line style="position:absolute" from="10022,1506" to="10022,2070" stroked="true" strokeweight=".224968pt" strokecolor="#000000">
              <v:stroke dashstyle="solid"/>
            </v:line>
            <v:line style="position:absolute" from="10672,-590" to="10663,2070" stroked="true" strokeweight=".224965pt" strokecolor="#000000">
              <v:stroke dashstyle="solid"/>
            </v:line>
            <v:line style="position:absolute" from="9877,1924" to="10742,1924" stroked="true" strokeweight=".225491pt" strokecolor="#000000">
              <v:stroke dashstyle="solid"/>
            </v:line>
            <w10:wrap type="none"/>
          </v:group>
        </w:pict>
      </w:r>
      <w:r>
        <w:rPr>
          <w:rFonts w:ascii="Calibri" w:hAnsi="Calibri"/>
          <w:sz w:val="29"/>
        </w:rPr>
        <w:t>τ</w:t>
        <w:tab/>
        <w:t>τ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5"/>
        <w:rPr>
          <w:rFonts w:ascii="Calibri"/>
          <w:sz w:val="25"/>
        </w:rPr>
      </w:pPr>
    </w:p>
    <w:p>
      <w:pPr>
        <w:pStyle w:val="Heading3"/>
        <w:spacing w:before="41"/>
      </w:pPr>
      <w:r>
        <w:rPr>
          <w:w w:val="99"/>
        </w:rPr>
        <w:t>τ</w:t>
      </w:r>
    </w:p>
    <w:p>
      <w:pPr>
        <w:spacing w:before="5"/>
        <w:ind w:left="0" w:right="315" w:firstLine="0"/>
        <w:jc w:val="right"/>
        <w:rPr>
          <w:sz w:val="16"/>
        </w:rPr>
      </w:pPr>
      <w:r>
        <w:rPr>
          <w:sz w:val="16"/>
        </w:rPr>
        <w:t>Shear</w:t>
      </w:r>
      <w:r>
        <w:rPr>
          <w:spacing w:val="5"/>
          <w:sz w:val="16"/>
        </w:rPr>
        <w:t> </w:t>
      </w:r>
      <w:r>
        <w:rPr>
          <w:sz w:val="16"/>
        </w:rPr>
        <w:t>deformation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3"/>
        </w:rPr>
      </w:pPr>
    </w:p>
    <w:p>
      <w:pPr>
        <w:spacing w:before="0"/>
        <w:ind w:left="879" w:right="0" w:firstLine="0"/>
        <w:jc w:val="left"/>
        <w:rPr>
          <w:i/>
          <w:sz w:val="24"/>
        </w:rPr>
      </w:pPr>
      <w:bookmarkStart w:name="_bookmark46" w:id="230"/>
      <w:bookmarkEnd w:id="230"/>
      <w:r>
        <w:rPr/>
      </w:r>
      <w:r>
        <w:rPr>
          <w:i/>
          <w:sz w:val="24"/>
        </w:rPr>
        <w:t>Figure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4-17.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Shear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deformation in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CLT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cross-section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view,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adapted from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[83].</w:t>
      </w:r>
    </w:p>
    <w:p>
      <w:pPr>
        <w:spacing w:after="0"/>
        <w:jc w:val="left"/>
        <w:rPr>
          <w:sz w:val="24"/>
        </w:rPr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40" w:right="256" w:firstLine="720"/>
        <w:jc w:val="both"/>
      </w:pPr>
      <w:r>
        <w:rPr/>
        <w:t>The shear analogy method is particularly useful in the design of CLT bending</w:t>
      </w:r>
      <w:r>
        <w:rPr>
          <w:spacing w:val="1"/>
        </w:rPr>
        <w:t> </w:t>
      </w:r>
      <w:r>
        <w:rPr/>
        <w:t>members that resist loads perpendicular to the face of the CLT panel.</w:t>
      </w:r>
      <w:r>
        <w:rPr>
          <w:spacing w:val="1"/>
        </w:rPr>
        <w:t> </w:t>
      </w:r>
      <w:r>
        <w:rPr/>
        <w:t>With the shear</w:t>
      </w:r>
      <w:r>
        <w:rPr>
          <w:spacing w:val="1"/>
        </w:rPr>
        <w:t> </w:t>
      </w:r>
      <w:r>
        <w:rPr/>
        <w:t>analogy method, an effective bending stiffness, defined as the product of the modulus of</w:t>
      </w:r>
      <w:r>
        <w:rPr>
          <w:spacing w:val="1"/>
        </w:rPr>
        <w:t> </w:t>
      </w:r>
      <w:r>
        <w:rPr/>
        <w:t>elasticity and area moment of inertia, is used to describe the bending resistance of the</w:t>
      </w:r>
      <w:r>
        <w:rPr>
          <w:spacing w:val="1"/>
        </w:rPr>
        <w:t> </w:t>
      </w:r>
      <w:r>
        <w:rPr/>
        <w:t>composite panel. The effective bending stiffness accounts for the stiffness contribution of</w:t>
      </w:r>
      <w:r>
        <w:rPr>
          <w:spacing w:val="-57"/>
        </w:rPr>
        <w:t> </w:t>
      </w:r>
      <w:r>
        <w:rPr/>
        <w:t>each layer.</w:t>
      </w:r>
      <w:r>
        <w:rPr>
          <w:spacing w:val="1"/>
        </w:rPr>
        <w:t> </w:t>
      </w:r>
      <w:r>
        <w:rPr/>
        <w:t>The method allows for each layer to have a differing stiffness to account for</w:t>
      </w:r>
      <w:r>
        <w:rPr>
          <w:spacing w:val="1"/>
        </w:rPr>
        <w:t> </w:t>
      </w:r>
      <w:r>
        <w:rPr/>
        <w:t>the orientation of the layer.</w:t>
      </w:r>
      <w:r>
        <w:rPr>
          <w:spacing w:val="1"/>
        </w:rPr>
        <w:t> </w:t>
      </w:r>
      <w:r>
        <w:rPr/>
        <w:t>The span of the panel plays a significant role and shear</w:t>
      </w:r>
      <w:r>
        <w:rPr>
          <w:spacing w:val="1"/>
        </w:rPr>
        <w:t> </w:t>
      </w:r>
      <w:r>
        <w:rPr/>
        <w:t>influence on capacity can be seen for span to depth ratios less than 20 for bending</w:t>
      </w:r>
      <w:r>
        <w:rPr>
          <w:spacing w:val="1"/>
        </w:rPr>
        <w:t> </w:t>
      </w:r>
      <w:r>
        <w:rPr/>
        <w:t>perpendicular to the grain direction of the outermost plies [47].</w:t>
      </w:r>
      <w:r>
        <w:rPr>
          <w:spacing w:val="1"/>
        </w:rPr>
        <w:t> </w:t>
      </w:r>
      <w:r>
        <w:rPr/>
        <w:t>Smaller span to depth</w:t>
      </w:r>
      <w:r>
        <w:rPr>
          <w:spacing w:val="1"/>
        </w:rPr>
        <w:t> </w:t>
      </w:r>
      <w:r>
        <w:rPr/>
        <w:t>ratios</w:t>
      </w:r>
      <w:r>
        <w:rPr>
          <w:spacing w:val="-1"/>
        </w:rPr>
        <w:t> </w:t>
      </w:r>
      <w:r>
        <w:rPr/>
        <w:t>experience higher</w:t>
      </w:r>
      <w:r>
        <w:rPr>
          <w:spacing w:val="-2"/>
        </w:rPr>
        <w:t> </w:t>
      </w:r>
      <w:r>
        <w:rPr/>
        <w:t>shear deformation</w:t>
      </w:r>
      <w:r>
        <w:rPr>
          <w:spacing w:val="-1"/>
        </w:rPr>
        <w:t> </w:t>
      </w:r>
      <w:r>
        <w:rPr/>
        <w:t>due</w:t>
      </w:r>
      <w:r>
        <w:rPr>
          <w:spacing w:val="-1"/>
        </w:rPr>
        <w:t> </w:t>
      </w:r>
      <w:r>
        <w:rPr/>
        <w:t>to the</w:t>
      </w:r>
      <w:r>
        <w:rPr>
          <w:spacing w:val="-1"/>
        </w:rPr>
        <w:t> </w:t>
      </w:r>
      <w:r>
        <w:rPr/>
        <w:t>low</w:t>
      </w:r>
      <w:r>
        <w:rPr>
          <w:spacing w:val="-1"/>
        </w:rPr>
        <w:t> </w:t>
      </w:r>
      <w:r>
        <w:rPr/>
        <w:t>rolling</w:t>
      </w:r>
      <w:r>
        <w:rPr>
          <w:spacing w:val="-1"/>
        </w:rPr>
        <w:t> </w:t>
      </w:r>
      <w:r>
        <w:rPr/>
        <w:t>shear modulus.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/>
        <w:ind w:left="439" w:right="256" w:firstLine="720"/>
        <w:jc w:val="both"/>
      </w:pPr>
      <w:r>
        <w:rPr/>
        <w:t>The procedure for the shear analogy method starts with the multiple layered panel</w:t>
      </w:r>
      <w:r>
        <w:rPr>
          <w:spacing w:val="1"/>
        </w:rPr>
        <w:t> </w:t>
      </w:r>
      <w:r>
        <w:rPr/>
        <w:t>is divided into two virtual beams as shown in </w:t>
      </w:r>
      <w:hyperlink w:history="true" w:anchor="_bookmark47">
        <w:r>
          <w:rPr/>
          <w:t>Figure 4-18</w:t>
        </w:r>
      </w:hyperlink>
      <w:r>
        <w:rPr/>
        <w:t>.</w:t>
      </w:r>
      <w:r>
        <w:rPr>
          <w:spacing w:val="1"/>
        </w:rPr>
        <w:t> </w:t>
      </w:r>
      <w:r>
        <w:rPr/>
        <w:t>One beam, Beam A, uses the</w:t>
      </w:r>
      <w:r>
        <w:rPr>
          <w:spacing w:val="1"/>
        </w:rPr>
        <w:t> </w:t>
      </w:r>
      <w:r>
        <w:rPr/>
        <w:t>flexural and shear stiffness values of the individual plies along their own centers.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second beam, Beam B, has an increased moment of inertia because of the distance from</w:t>
      </w:r>
      <w:r>
        <w:rPr>
          <w:spacing w:val="1"/>
        </w:rPr>
        <w:t> </w:t>
      </w:r>
      <w:r>
        <w:rPr/>
        <w:t>the neutral axis.</w:t>
      </w:r>
      <w:r>
        <w:rPr>
          <w:spacing w:val="1"/>
        </w:rPr>
        <w:t> </w:t>
      </w:r>
      <w:r>
        <w:rPr/>
        <w:t>The two beams are connected with rigid web members in the model to</w:t>
      </w:r>
      <w:r>
        <w:rPr>
          <w:spacing w:val="1"/>
        </w:rPr>
        <w:t> </w:t>
      </w:r>
      <w:r>
        <w:rPr/>
        <w:t>enable</w:t>
      </w:r>
      <w:r>
        <w:rPr>
          <w:spacing w:val="-1"/>
        </w:rPr>
        <w:t> </w:t>
      </w:r>
      <w:r>
        <w:rPr/>
        <w:t>equal</w:t>
      </w:r>
      <w:r>
        <w:rPr>
          <w:spacing w:val="-1"/>
        </w:rPr>
        <w:t> </w:t>
      </w:r>
      <w:r>
        <w:rPr/>
        <w:t>deflection</w:t>
      </w:r>
      <w:r>
        <w:rPr>
          <w:spacing w:val="-1"/>
        </w:rPr>
        <w:t> </w:t>
      </w:r>
      <w:r>
        <w:rPr/>
        <w:t>between the beams.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109">
            <wp:simplePos x="0" y="0"/>
            <wp:positionH relativeFrom="page">
              <wp:posOffset>1371600</wp:posOffset>
            </wp:positionH>
            <wp:positionV relativeFrom="paragraph">
              <wp:posOffset>241305</wp:posOffset>
            </wp:positionV>
            <wp:extent cx="5520596" cy="676656"/>
            <wp:effectExtent l="0" t="0" r="0" b="0"/>
            <wp:wrapTopAndBottom/>
            <wp:docPr id="49" name="image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91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0596" cy="676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45"/>
        <w:ind w:left="179" w:right="0" w:firstLine="0"/>
        <w:jc w:val="center"/>
        <w:rPr>
          <w:i/>
          <w:sz w:val="24"/>
        </w:rPr>
      </w:pPr>
      <w:bookmarkStart w:name="_bookmark47" w:id="231"/>
      <w:bookmarkEnd w:id="231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4-18.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Virtual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beams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use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shear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analogy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method.</w:t>
      </w:r>
    </w:p>
    <w:p>
      <w:pPr>
        <w:spacing w:after="0"/>
        <w:jc w:val="center"/>
        <w:rPr>
          <w:sz w:val="24"/>
        </w:rPr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7"/>
        <w:ind w:left="439" w:right="257" w:firstLine="720"/>
      </w:pPr>
      <w:r>
        <w:rPr>
          <w:position w:val="1"/>
        </w:rPr>
        <w:t>Beam</w:t>
      </w:r>
      <w:r>
        <w:rPr>
          <w:spacing w:val="-2"/>
          <w:position w:val="1"/>
        </w:rPr>
        <w:t> </w:t>
      </w:r>
      <w:r>
        <w:rPr>
          <w:position w:val="1"/>
        </w:rPr>
        <w:t>A</w:t>
      </w:r>
      <w:r>
        <w:rPr>
          <w:spacing w:val="-1"/>
          <w:position w:val="1"/>
        </w:rPr>
        <w:t> </w:t>
      </w:r>
      <w:r>
        <w:rPr>
          <w:position w:val="1"/>
        </w:rPr>
        <w:t>has</w:t>
      </w:r>
      <w:r>
        <w:rPr>
          <w:spacing w:val="-1"/>
          <w:position w:val="1"/>
        </w:rPr>
        <w:t> </w:t>
      </w:r>
      <w:r>
        <w:rPr>
          <w:position w:val="1"/>
        </w:rPr>
        <w:t>a bending</w:t>
      </w:r>
      <w:r>
        <w:rPr>
          <w:spacing w:val="-3"/>
          <w:position w:val="1"/>
        </w:rPr>
        <w:t> </w:t>
      </w:r>
      <w:r>
        <w:rPr>
          <w:position w:val="1"/>
        </w:rPr>
        <w:t>stiffness, </w:t>
      </w:r>
      <w:r>
        <w:rPr>
          <w:i/>
          <w:position w:val="1"/>
        </w:rPr>
        <w:t>B</w:t>
      </w:r>
      <w:r>
        <w:rPr>
          <w:i/>
          <w:sz w:val="16"/>
        </w:rPr>
        <w:t>A</w:t>
      </w:r>
      <w:r>
        <w:rPr>
          <w:sz w:val="16"/>
        </w:rPr>
        <w:t>,</w:t>
      </w:r>
      <w:r>
        <w:rPr>
          <w:spacing w:val="-2"/>
          <w:sz w:val="16"/>
        </w:rPr>
        <w:t> </w:t>
      </w:r>
      <w:r>
        <w:rPr>
          <w:position w:val="1"/>
        </w:rPr>
        <w:t>equal to</w:t>
      </w:r>
      <w:r>
        <w:rPr>
          <w:spacing w:val="-3"/>
          <w:position w:val="1"/>
        </w:rPr>
        <w:t> </w:t>
      </w:r>
      <w:r>
        <w:rPr>
          <w:position w:val="1"/>
        </w:rPr>
        <w:t>the sum</w:t>
      </w:r>
      <w:r>
        <w:rPr>
          <w:spacing w:val="-3"/>
          <w:position w:val="1"/>
        </w:rPr>
        <w:t> </w:t>
      </w:r>
      <w:r>
        <w:rPr>
          <w:position w:val="1"/>
        </w:rPr>
        <w:t>of</w:t>
      </w:r>
      <w:r>
        <w:rPr>
          <w:spacing w:val="-1"/>
          <w:position w:val="1"/>
        </w:rPr>
        <w:t> </w:t>
      </w:r>
      <w:r>
        <w:rPr>
          <w:position w:val="1"/>
        </w:rPr>
        <w:t>the</w:t>
      </w:r>
      <w:r>
        <w:rPr>
          <w:spacing w:val="-1"/>
          <w:position w:val="1"/>
        </w:rPr>
        <w:t> </w:t>
      </w:r>
      <w:r>
        <w:rPr>
          <w:position w:val="1"/>
        </w:rPr>
        <w:t>bending stiffness</w:t>
      </w:r>
      <w:r>
        <w:rPr>
          <w:spacing w:val="-1"/>
          <w:position w:val="1"/>
        </w:rPr>
        <w:t> </w:t>
      </w:r>
      <w:r>
        <w:rPr>
          <w:position w:val="1"/>
        </w:rPr>
        <w:t>of</w:t>
      </w:r>
      <w:r>
        <w:rPr>
          <w:spacing w:val="-1"/>
          <w:position w:val="1"/>
        </w:rPr>
        <w:t> </w:t>
      </w:r>
      <w:r>
        <w:rPr>
          <w:position w:val="1"/>
        </w:rPr>
        <w:t>all</w:t>
      </w:r>
      <w:r>
        <w:rPr>
          <w:spacing w:val="-57"/>
          <w:position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individual layers or</w:t>
      </w:r>
      <w:r>
        <w:rPr>
          <w:spacing w:val="-2"/>
        </w:rPr>
        <w:t> </w:t>
      </w:r>
      <w:r>
        <w:rPr/>
        <w:t>cross-sections, as shown</w:t>
      </w:r>
      <w:r>
        <w:rPr>
          <w:spacing w:val="-1"/>
        </w:rPr>
        <w:t> </w:t>
      </w:r>
      <w:r>
        <w:rPr/>
        <w:t>in Equation</w:t>
      </w:r>
      <w:r>
        <w:rPr>
          <w:spacing w:val="-2"/>
        </w:rPr>
        <w:t> </w:t>
      </w:r>
      <w:r>
        <w:rPr/>
        <w:t>4.2.</w:t>
      </w:r>
    </w:p>
    <w:p>
      <w:pPr>
        <w:pStyle w:val="BodyText"/>
        <w:spacing w:before="10"/>
        <w:rPr>
          <w:sz w:val="19"/>
        </w:rPr>
      </w:pPr>
    </w:p>
    <w:tbl>
      <w:tblPr>
        <w:tblW w:w="0" w:type="auto"/>
        <w:jc w:val="left"/>
        <w:tblInd w:w="99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701"/>
        <w:gridCol w:w="691"/>
        <w:gridCol w:w="3778"/>
      </w:tblGrid>
      <w:tr>
        <w:trPr>
          <w:trHeight w:val="792" w:hRule="atLeast"/>
        </w:trPr>
        <w:tc>
          <w:tcPr>
            <w:tcW w:w="3701" w:type="dxa"/>
          </w:tcPr>
          <w:p>
            <w:pPr>
              <w:pStyle w:val="TableParagraph"/>
              <w:tabs>
                <w:tab w:pos="1908" w:val="left" w:leader="none"/>
              </w:tabs>
              <w:spacing w:line="31" w:lineRule="exact"/>
              <w:ind w:left="873"/>
              <w:rPr>
                <w:rFonts w:ascii="Cambria Math" w:eastAsia="Cambria Math"/>
                <w:sz w:val="17"/>
              </w:rPr>
            </w:pPr>
            <w:r>
              <w:rPr>
                <w:rFonts w:ascii="Cambria Math" w:eastAsia="Cambria Math"/>
                <w:w w:val="115"/>
                <w:sz w:val="17"/>
              </w:rPr>
              <w:t>𝑛</w:t>
              <w:tab/>
              <w:t>𝑛</w:t>
            </w:r>
          </w:p>
          <w:p>
            <w:pPr>
              <w:pStyle w:val="TableParagraph"/>
              <w:spacing w:line="105" w:lineRule="auto" w:before="11"/>
              <w:ind w:right="798"/>
              <w:jc w:val="right"/>
              <w:rPr>
                <w:rFonts w:ascii="Cambria Math" w:hAnsi="Cambria Math"/>
                <w:sz w:val="17"/>
              </w:rPr>
            </w:pPr>
            <w:r>
              <w:rPr>
                <w:spacing w:val="-33"/>
                <w:w w:val="100"/>
                <w:position w:val="-14"/>
                <w:sz w:val="17"/>
                <w:u w:val="single"/>
              </w:rPr>
              <w:t> </w:t>
            </w:r>
            <w:r>
              <w:rPr>
                <w:rFonts w:ascii="Cambria Math" w:hAnsi="Cambria Math"/>
                <w:position w:val="-9"/>
                <w:sz w:val="24"/>
              </w:rPr>
              <w:t>ℎ</w:t>
            </w:r>
            <w:r>
              <w:rPr>
                <w:rFonts w:ascii="Cambria Math" w:hAnsi="Cambria Math"/>
                <w:sz w:val="17"/>
              </w:rPr>
              <w:t>3</w:t>
            </w:r>
          </w:p>
          <w:p>
            <w:pPr>
              <w:pStyle w:val="TableParagraph"/>
              <w:tabs>
                <w:tab w:pos="2597" w:val="left" w:leader="none"/>
              </w:tabs>
              <w:spacing w:line="179" w:lineRule="exact"/>
              <w:ind w:right="841"/>
              <w:jc w:val="right"/>
              <w:rPr>
                <w:rFonts w:ascii="Cambria Math" w:hAnsi="Cambria Math" w:cs="Cambria Math" w:eastAsia="Cambria Math"/>
                <w:sz w:val="24"/>
                <w:szCs w:val="24"/>
              </w:rPr>
            </w:pPr>
            <w:r>
              <w:rPr>
                <w:rFonts w:ascii="Cambria Math" w:hAnsi="Cambria Math" w:cs="Cambria Math" w:eastAsia="Cambria Math"/>
                <w:sz w:val="24"/>
                <w:szCs w:val="24"/>
              </w:rPr>
              <w:t>𝐵  </w:t>
            </w:r>
            <w:r>
              <w:rPr>
                <w:rFonts w:ascii="Cambria Math" w:hAnsi="Cambria Math" w:cs="Cambria Math" w:eastAsia="Cambria Math"/>
                <w:spacing w:val="26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sz w:val="24"/>
                <w:szCs w:val="24"/>
              </w:rPr>
              <w:t>=</w:t>
            </w:r>
            <w:r>
              <w:rPr>
                <w:rFonts w:ascii="Cambria Math" w:hAnsi="Cambria Math" w:cs="Cambria Math" w:eastAsia="Cambria Math"/>
                <w:spacing w:val="20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w w:val="115"/>
                <w:sz w:val="24"/>
                <w:szCs w:val="24"/>
              </w:rPr>
              <w:t>�</w:t>
            </w:r>
            <w:r>
              <w:rPr>
                <w:rFonts w:ascii="Cambria Math" w:hAnsi="Cambria Math" w:cs="Cambria Math" w:eastAsia="Cambria Math"/>
                <w:spacing w:val="-17"/>
                <w:w w:val="115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sz w:val="24"/>
                <w:szCs w:val="24"/>
              </w:rPr>
              <w:t>𝐸</w:t>
            </w:r>
            <w:r>
              <w:rPr>
                <w:rFonts w:ascii="Cambria Math" w:hAnsi="Cambria Math" w:cs="Cambria Math" w:eastAsia="Cambria Math"/>
                <w:spacing w:val="15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sz w:val="24"/>
                <w:szCs w:val="24"/>
              </w:rPr>
              <w:t>𝐼</w:t>
            </w:r>
            <w:r>
              <w:rPr>
                <w:rFonts w:ascii="Cambria Math" w:hAnsi="Cambria Math" w:cs="Cambria Math" w:eastAsia="Cambria Math"/>
                <w:spacing w:val="88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sz w:val="24"/>
                <w:szCs w:val="24"/>
              </w:rPr>
              <w:t>=</w:t>
            </w:r>
            <w:r>
              <w:rPr>
                <w:rFonts w:ascii="Cambria Math" w:hAnsi="Cambria Math" w:cs="Cambria Math" w:eastAsia="Cambria Math"/>
                <w:spacing w:val="19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w w:val="115"/>
                <w:sz w:val="24"/>
                <w:szCs w:val="24"/>
              </w:rPr>
              <w:t>�</w:t>
            </w:r>
            <w:r>
              <w:rPr>
                <w:rFonts w:ascii="Cambria Math" w:hAnsi="Cambria Math" w:cs="Cambria Math" w:eastAsia="Cambria Math"/>
                <w:spacing w:val="-16"/>
                <w:w w:val="115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sz w:val="24"/>
                <w:szCs w:val="24"/>
              </w:rPr>
              <w:t>𝐸</w:t>
            </w:r>
            <w:r>
              <w:rPr>
                <w:rFonts w:ascii="Cambria Math" w:hAnsi="Cambria Math" w:cs="Cambria Math" w:eastAsia="Cambria Math"/>
                <w:spacing w:val="59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sz w:val="24"/>
                <w:szCs w:val="24"/>
              </w:rPr>
              <w:t>𝑏</w:t>
              <w:tab/>
            </w:r>
            <w:r>
              <w:rPr>
                <w:rFonts w:ascii="Cambria Math" w:hAnsi="Cambria Math" w:cs="Cambria Math" w:eastAsia="Cambria Math"/>
                <w:w w:val="60"/>
                <w:sz w:val="24"/>
                <w:szCs w:val="24"/>
                <w:u w:val="single"/>
                <w:vertAlign w:val="superscript"/>
              </w:rPr>
              <w:t>𝑔𝑔</w:t>
            </w:r>
          </w:p>
          <w:p>
            <w:pPr>
              <w:pStyle w:val="TableParagraph"/>
              <w:tabs>
                <w:tab w:pos="932" w:val="left" w:leader="none"/>
                <w:tab w:pos="1967" w:val="left" w:leader="none"/>
              </w:tabs>
              <w:spacing w:line="81" w:lineRule="auto"/>
              <w:ind w:right="777"/>
              <w:jc w:val="right"/>
              <w:rPr>
                <w:rFonts w:ascii="Cambria Math" w:eastAsia="Cambria Math"/>
                <w:sz w:val="24"/>
              </w:rPr>
            </w:pPr>
            <w:r>
              <w:rPr>
                <w:rFonts w:ascii="Cambria Math" w:eastAsia="Cambria Math"/>
                <w:w w:val="95"/>
                <w:sz w:val="17"/>
              </w:rPr>
              <w:t>𝐴</w:t>
              <w:tab/>
            </w:r>
            <w:r>
              <w:rPr>
                <w:rFonts w:ascii="Cambria Math" w:eastAsia="Cambria Math"/>
                <w:w w:val="50"/>
                <w:sz w:val="17"/>
              </w:rPr>
              <w:t>𝑔𝑔</w:t>
            </w:r>
            <w:r>
              <w:rPr>
                <w:rFonts w:ascii="Cambria Math" w:eastAsia="Cambria Math"/>
                <w:spacing w:val="23"/>
                <w:sz w:val="17"/>
              </w:rPr>
              <w:t> </w:t>
            </w:r>
            <w:r>
              <w:rPr>
                <w:rFonts w:ascii="Cambria Math" w:eastAsia="Cambria Math"/>
                <w:w w:val="50"/>
                <w:sz w:val="17"/>
              </w:rPr>
              <w:t>𝑔𝑔</w:t>
              <w:tab/>
            </w:r>
            <w:r>
              <w:rPr>
                <w:rFonts w:ascii="Cambria Math" w:eastAsia="Cambria Math"/>
                <w:w w:val="25"/>
                <w:sz w:val="17"/>
              </w:rPr>
              <w:t>𝑔𝑔</w:t>
            </w:r>
            <w:r>
              <w:rPr>
                <w:rFonts w:ascii="Cambria Math" w:eastAsia="Cambria Math"/>
                <w:spacing w:val="8"/>
                <w:sz w:val="17"/>
              </w:rPr>
              <w:t>   </w:t>
            </w:r>
            <w:r>
              <w:rPr>
                <w:rFonts w:ascii="Cambria Math" w:eastAsia="Cambria Math"/>
                <w:spacing w:val="9"/>
                <w:sz w:val="17"/>
              </w:rPr>
              <w:t> </w:t>
            </w:r>
            <w:r>
              <w:rPr>
                <w:rFonts w:ascii="Cambria Math" w:eastAsia="Cambria Math"/>
                <w:w w:val="60"/>
                <w:sz w:val="17"/>
              </w:rPr>
              <w:t>𝑔𝑔</w:t>
            </w:r>
            <w:r>
              <w:rPr>
                <w:rFonts w:ascii="Cambria Math" w:eastAsia="Cambria Math"/>
                <w:spacing w:val="14"/>
                <w:w w:val="60"/>
                <w:sz w:val="17"/>
              </w:rPr>
              <w:t> </w:t>
            </w:r>
            <w:r>
              <w:rPr>
                <w:rFonts w:ascii="Cambria Math" w:eastAsia="Cambria Math"/>
                <w:w w:val="90"/>
                <w:position w:val="-10"/>
                <w:sz w:val="24"/>
              </w:rPr>
              <w:t>12</w:t>
            </w:r>
          </w:p>
          <w:p>
            <w:pPr>
              <w:pStyle w:val="TableParagraph"/>
              <w:tabs>
                <w:tab w:pos="1821" w:val="left" w:leader="none"/>
              </w:tabs>
              <w:spacing w:before="32"/>
              <w:ind w:left="785"/>
              <w:rPr>
                <w:rFonts w:ascii="Cambria Math" w:eastAsia="Cambria Math"/>
                <w:sz w:val="17"/>
              </w:rPr>
            </w:pPr>
            <w:r>
              <w:rPr>
                <w:rFonts w:ascii="Cambria Math" w:eastAsia="Cambria Math"/>
                <w:w w:val="28"/>
                <w:sz w:val="17"/>
              </w:rPr>
              <w:t>𝑔</w:t>
            </w:r>
            <w:r>
              <w:rPr>
                <w:rFonts w:ascii="Cambria Math" w:eastAsia="Cambria Math"/>
                <w:spacing w:val="7"/>
                <w:w w:val="28"/>
                <w:sz w:val="17"/>
              </w:rPr>
              <w:t>𝑔</w:t>
            </w:r>
            <w:r>
              <w:rPr>
                <w:rFonts w:ascii="Cambria Math" w:eastAsia="Cambria Math"/>
                <w:spacing w:val="-1"/>
                <w:w w:val="97"/>
                <w:sz w:val="17"/>
              </w:rPr>
              <w:t>=</w:t>
            </w:r>
            <w:r>
              <w:rPr>
                <w:rFonts w:ascii="Cambria Math" w:eastAsia="Cambria Math"/>
                <w:w w:val="104"/>
                <w:sz w:val="17"/>
              </w:rPr>
              <w:t>1</w:t>
            </w:r>
            <w:r>
              <w:rPr>
                <w:rFonts w:ascii="Cambria Math" w:eastAsia="Cambria Math"/>
                <w:sz w:val="17"/>
              </w:rPr>
              <w:tab/>
            </w:r>
            <w:r>
              <w:rPr>
                <w:rFonts w:ascii="Cambria Math" w:eastAsia="Cambria Math"/>
                <w:w w:val="28"/>
                <w:sz w:val="17"/>
              </w:rPr>
              <w:t>𝑔</w:t>
            </w:r>
            <w:r>
              <w:rPr>
                <w:rFonts w:ascii="Cambria Math" w:eastAsia="Cambria Math"/>
                <w:spacing w:val="7"/>
                <w:w w:val="28"/>
                <w:sz w:val="17"/>
              </w:rPr>
              <w:t>𝑔</w:t>
            </w:r>
            <w:r>
              <w:rPr>
                <w:rFonts w:ascii="Cambria Math" w:eastAsia="Cambria Math"/>
                <w:spacing w:val="-1"/>
                <w:w w:val="97"/>
                <w:sz w:val="17"/>
              </w:rPr>
              <w:t>=</w:t>
            </w:r>
            <w:r>
              <w:rPr>
                <w:rFonts w:ascii="Cambria Math" w:eastAsia="Cambria Math"/>
                <w:w w:val="104"/>
                <w:sz w:val="17"/>
              </w:rPr>
              <w:t>1</w:t>
            </w:r>
          </w:p>
        </w:tc>
        <w:tc>
          <w:tcPr>
            <w:tcW w:w="69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778" w:type="dxa"/>
          </w:tcPr>
          <w:p>
            <w:pPr>
              <w:pStyle w:val="TableParagraph"/>
              <w:spacing w:before="8"/>
              <w:rPr>
                <w:sz w:val="20"/>
              </w:rPr>
            </w:pPr>
          </w:p>
          <w:p>
            <w:pPr>
              <w:pStyle w:val="TableParagraph"/>
              <w:ind w:right="197"/>
              <w:jc w:val="right"/>
              <w:rPr>
                <w:sz w:val="24"/>
              </w:rPr>
            </w:pPr>
            <w:r>
              <w:rPr>
                <w:sz w:val="24"/>
              </w:rPr>
              <w:t>(4.2)</w:t>
            </w:r>
          </w:p>
        </w:tc>
      </w:tr>
      <w:tr>
        <w:trPr>
          <w:trHeight w:val="310" w:hRule="atLeast"/>
        </w:trPr>
        <w:tc>
          <w:tcPr>
            <w:tcW w:w="3701" w:type="dxa"/>
          </w:tcPr>
          <w:p>
            <w:pPr>
              <w:pStyle w:val="TableParagraph"/>
              <w:spacing w:line="262" w:lineRule="exact" w:before="29"/>
              <w:ind w:right="134"/>
              <w:jc w:val="right"/>
              <w:rPr>
                <w:sz w:val="24"/>
              </w:rPr>
            </w:pPr>
            <w:r>
              <w:rPr>
                <w:sz w:val="24"/>
              </w:rPr>
              <w:t>where</w:t>
            </w:r>
          </w:p>
        </w:tc>
        <w:tc>
          <w:tcPr>
            <w:tcW w:w="691" w:type="dxa"/>
          </w:tcPr>
          <w:p>
            <w:pPr>
              <w:pStyle w:val="TableParagraph"/>
              <w:spacing w:line="261" w:lineRule="exact" w:before="29"/>
              <w:ind w:left="115" w:right="87"/>
              <w:jc w:val="center"/>
              <w:rPr>
                <w:i/>
                <w:sz w:val="24"/>
              </w:rPr>
            </w:pPr>
            <w:r>
              <w:rPr>
                <w:i/>
                <w:position w:val="1"/>
                <w:sz w:val="24"/>
              </w:rPr>
              <w:t>B</w:t>
            </w:r>
            <w:r>
              <w:rPr>
                <w:i/>
                <w:sz w:val="16"/>
              </w:rPr>
              <w:t>A</w:t>
            </w:r>
            <w:r>
              <w:rPr>
                <w:i/>
                <w:spacing w:val="-2"/>
                <w:sz w:val="16"/>
              </w:rPr>
              <w:t> </w:t>
            </w:r>
            <w:r>
              <w:rPr>
                <w:i/>
                <w:position w:val="1"/>
                <w:sz w:val="24"/>
              </w:rPr>
              <w:t>=</w:t>
            </w:r>
          </w:p>
        </w:tc>
        <w:tc>
          <w:tcPr>
            <w:tcW w:w="3778" w:type="dxa"/>
          </w:tcPr>
          <w:p>
            <w:pPr>
              <w:pStyle w:val="TableParagraph"/>
              <w:spacing w:line="262" w:lineRule="exact" w:before="28"/>
              <w:ind w:left="108"/>
              <w:rPr>
                <w:sz w:val="24"/>
              </w:rPr>
            </w:pPr>
            <w:r>
              <w:rPr>
                <w:position w:val="1"/>
                <w:sz w:val="24"/>
              </w:rPr>
              <w:t>(EI)</w:t>
            </w:r>
            <w:r>
              <w:rPr>
                <w:sz w:val="16"/>
              </w:rPr>
              <w:t>A</w:t>
            </w:r>
            <w:r>
              <w:rPr>
                <w:position w:val="1"/>
                <w:sz w:val="24"/>
              </w:rPr>
              <w:t>,</w:t>
            </w:r>
            <w:r>
              <w:rPr>
                <w:spacing w:val="-1"/>
                <w:position w:val="1"/>
                <w:sz w:val="24"/>
              </w:rPr>
              <w:t> </w:t>
            </w:r>
            <w:r>
              <w:rPr>
                <w:position w:val="1"/>
                <w:sz w:val="24"/>
              </w:rPr>
              <w:t>bending</w:t>
            </w:r>
            <w:r>
              <w:rPr>
                <w:spacing w:val="-1"/>
                <w:position w:val="1"/>
                <w:sz w:val="24"/>
              </w:rPr>
              <w:t> </w:t>
            </w:r>
            <w:r>
              <w:rPr>
                <w:position w:val="1"/>
                <w:sz w:val="24"/>
              </w:rPr>
              <w:t>stiffness</w:t>
            </w:r>
            <w:r>
              <w:rPr>
                <w:spacing w:val="-1"/>
                <w:position w:val="1"/>
                <w:sz w:val="24"/>
              </w:rPr>
              <w:t> </w:t>
            </w:r>
            <w:r>
              <w:rPr>
                <w:position w:val="1"/>
                <w:sz w:val="24"/>
              </w:rPr>
              <w:t>of</w:t>
            </w:r>
            <w:r>
              <w:rPr>
                <w:spacing w:val="-2"/>
                <w:position w:val="1"/>
                <w:sz w:val="24"/>
              </w:rPr>
              <w:t> </w:t>
            </w:r>
            <w:r>
              <w:rPr>
                <w:position w:val="1"/>
                <w:sz w:val="24"/>
              </w:rPr>
              <w:t>Beam</w:t>
            </w:r>
            <w:r>
              <w:rPr>
                <w:spacing w:val="-2"/>
                <w:position w:val="1"/>
                <w:sz w:val="24"/>
              </w:rPr>
              <w:t> </w:t>
            </w:r>
            <w:r>
              <w:rPr>
                <w:position w:val="1"/>
                <w:sz w:val="24"/>
              </w:rPr>
              <w:t>A</w:t>
            </w:r>
          </w:p>
        </w:tc>
      </w:tr>
      <w:tr>
        <w:trPr>
          <w:trHeight w:val="275" w:hRule="atLeast"/>
        </w:trPr>
        <w:tc>
          <w:tcPr>
            <w:tcW w:w="3701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691" w:type="dxa"/>
          </w:tcPr>
          <w:p>
            <w:pPr>
              <w:pStyle w:val="TableParagraph"/>
              <w:spacing w:line="256" w:lineRule="exact"/>
              <w:ind w:left="222" w:right="87"/>
              <w:jc w:val="center"/>
              <w:rPr>
                <w:i/>
                <w:sz w:val="16"/>
              </w:rPr>
            </w:pPr>
            <w:r>
              <w:rPr>
                <w:i/>
                <w:position w:val="1"/>
                <w:sz w:val="24"/>
              </w:rPr>
              <w:t>E</w:t>
            </w:r>
            <w:r>
              <w:rPr>
                <w:i/>
                <w:sz w:val="16"/>
              </w:rPr>
              <w:t>i</w:t>
            </w:r>
            <w:r>
              <w:rPr>
                <w:i/>
                <w:spacing w:val="-2"/>
                <w:sz w:val="16"/>
              </w:rPr>
              <w:t> </w:t>
            </w:r>
            <w:r>
              <w:rPr>
                <w:i/>
                <w:sz w:val="16"/>
              </w:rPr>
              <w:t>=</w:t>
            </w:r>
          </w:p>
        </w:tc>
        <w:tc>
          <w:tcPr>
            <w:tcW w:w="3778" w:type="dxa"/>
          </w:tcPr>
          <w:p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modulus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elasticity</w:t>
            </w:r>
          </w:p>
        </w:tc>
      </w:tr>
      <w:tr>
        <w:trPr>
          <w:trHeight w:val="276" w:hRule="atLeast"/>
        </w:trPr>
        <w:tc>
          <w:tcPr>
            <w:tcW w:w="3701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691" w:type="dxa"/>
          </w:tcPr>
          <w:p>
            <w:pPr>
              <w:pStyle w:val="TableParagraph"/>
              <w:spacing w:line="256" w:lineRule="exact"/>
              <w:ind w:left="224" w:right="35"/>
              <w:jc w:val="center"/>
              <w:rPr>
                <w:i/>
                <w:sz w:val="24"/>
              </w:rPr>
            </w:pPr>
            <w:r>
              <w:rPr>
                <w:i/>
                <w:position w:val="1"/>
                <w:sz w:val="24"/>
              </w:rPr>
              <w:t>I</w:t>
            </w:r>
            <w:r>
              <w:rPr>
                <w:i/>
                <w:sz w:val="16"/>
              </w:rPr>
              <w:t>i</w:t>
            </w:r>
            <w:r>
              <w:rPr>
                <w:i/>
                <w:position w:val="1"/>
                <w:sz w:val="24"/>
              </w:rPr>
              <w:t>=</w:t>
            </w:r>
          </w:p>
        </w:tc>
        <w:tc>
          <w:tcPr>
            <w:tcW w:w="3778" w:type="dxa"/>
          </w:tcPr>
          <w:p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second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moment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area</w:t>
            </w:r>
          </w:p>
        </w:tc>
      </w:tr>
      <w:tr>
        <w:trPr>
          <w:trHeight w:val="551" w:hRule="atLeast"/>
        </w:trPr>
        <w:tc>
          <w:tcPr>
            <w:tcW w:w="370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91" w:type="dxa"/>
          </w:tcPr>
          <w:p>
            <w:pPr>
              <w:pStyle w:val="TableParagraph"/>
              <w:spacing w:line="271" w:lineRule="exact"/>
              <w:ind w:left="117" w:right="7"/>
              <w:jc w:val="center"/>
              <w:rPr>
                <w:i/>
                <w:sz w:val="24"/>
              </w:rPr>
            </w:pPr>
            <w:r>
              <w:rPr>
                <w:i/>
                <w:position w:val="1"/>
                <w:sz w:val="24"/>
              </w:rPr>
              <w:t>b</w:t>
            </w:r>
            <w:r>
              <w:rPr>
                <w:i/>
                <w:sz w:val="16"/>
              </w:rPr>
              <w:t>i</w:t>
            </w:r>
            <w:r>
              <w:rPr>
                <w:i/>
                <w:spacing w:val="-2"/>
                <w:sz w:val="16"/>
              </w:rPr>
              <w:t> </w:t>
            </w:r>
            <w:r>
              <w:rPr>
                <w:i/>
                <w:position w:val="1"/>
                <w:sz w:val="24"/>
              </w:rPr>
              <w:t>=</w:t>
            </w:r>
          </w:p>
        </w:tc>
        <w:tc>
          <w:tcPr>
            <w:tcW w:w="3778" w:type="dxa"/>
          </w:tcPr>
          <w:p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width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individual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layer,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usually</w:t>
            </w:r>
          </w:p>
          <w:p>
            <w:pPr>
              <w:pStyle w:val="TableParagraph"/>
              <w:spacing w:line="261" w:lineRule="exact"/>
              <w:ind w:left="108"/>
              <w:rPr>
                <w:sz w:val="24"/>
              </w:rPr>
            </w:pPr>
            <w:r>
              <w:rPr>
                <w:sz w:val="24"/>
              </w:rPr>
              <w:t>taken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1-ft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CLT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panel</w:t>
            </w:r>
          </w:p>
        </w:tc>
      </w:tr>
      <w:tr>
        <w:trPr>
          <w:trHeight w:val="272" w:hRule="atLeast"/>
        </w:trPr>
        <w:tc>
          <w:tcPr>
            <w:tcW w:w="3701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691" w:type="dxa"/>
          </w:tcPr>
          <w:p>
            <w:pPr>
              <w:pStyle w:val="TableParagraph"/>
              <w:spacing w:line="252" w:lineRule="exact"/>
              <w:ind w:left="117" w:right="27"/>
              <w:jc w:val="center"/>
              <w:rPr>
                <w:i/>
                <w:sz w:val="24"/>
              </w:rPr>
            </w:pPr>
            <w:r>
              <w:rPr>
                <w:i/>
                <w:position w:val="1"/>
                <w:sz w:val="24"/>
              </w:rPr>
              <w:t>h</w:t>
            </w:r>
            <w:r>
              <w:rPr>
                <w:i/>
                <w:sz w:val="16"/>
              </w:rPr>
              <w:t>i</w:t>
            </w:r>
            <w:r>
              <w:rPr>
                <w:i/>
                <w:spacing w:val="19"/>
                <w:sz w:val="16"/>
              </w:rPr>
              <w:t> </w:t>
            </w:r>
            <w:r>
              <w:rPr>
                <w:i/>
                <w:position w:val="1"/>
                <w:sz w:val="24"/>
              </w:rPr>
              <w:t>=</w:t>
            </w:r>
          </w:p>
        </w:tc>
        <w:tc>
          <w:tcPr>
            <w:tcW w:w="3778" w:type="dxa"/>
          </w:tcPr>
          <w:p>
            <w:pPr>
              <w:pStyle w:val="TableParagraph"/>
              <w:spacing w:line="252" w:lineRule="exact"/>
              <w:ind w:left="108"/>
              <w:rPr>
                <w:sz w:val="24"/>
              </w:rPr>
            </w:pPr>
            <w:r>
              <w:rPr>
                <w:sz w:val="24"/>
              </w:rPr>
              <w:t>thickness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each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individual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layer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spacing w:line="480" w:lineRule="auto" w:before="225"/>
        <w:ind w:left="440"/>
      </w:pPr>
      <w:r>
        <w:rPr>
          <w:position w:val="1"/>
        </w:rPr>
        <w:t>For</w:t>
      </w:r>
      <w:r>
        <w:rPr>
          <w:spacing w:val="16"/>
          <w:position w:val="1"/>
        </w:rPr>
        <w:t> </w:t>
      </w:r>
      <w:r>
        <w:rPr>
          <w:position w:val="1"/>
        </w:rPr>
        <w:t>Beam</w:t>
      </w:r>
      <w:r>
        <w:rPr>
          <w:spacing w:val="16"/>
          <w:position w:val="1"/>
        </w:rPr>
        <w:t> </w:t>
      </w:r>
      <w:r>
        <w:rPr>
          <w:position w:val="1"/>
        </w:rPr>
        <w:t>B,</w:t>
      </w:r>
      <w:r>
        <w:rPr>
          <w:spacing w:val="16"/>
          <w:position w:val="1"/>
        </w:rPr>
        <w:t> </w:t>
      </w:r>
      <w:r>
        <w:rPr>
          <w:position w:val="1"/>
        </w:rPr>
        <w:t>the</w:t>
      </w:r>
      <w:r>
        <w:rPr>
          <w:spacing w:val="17"/>
          <w:position w:val="1"/>
        </w:rPr>
        <w:t> </w:t>
      </w:r>
      <w:r>
        <w:rPr>
          <w:position w:val="1"/>
        </w:rPr>
        <w:t>bending</w:t>
      </w:r>
      <w:r>
        <w:rPr>
          <w:spacing w:val="16"/>
          <w:position w:val="1"/>
        </w:rPr>
        <w:t> </w:t>
      </w:r>
      <w:r>
        <w:rPr>
          <w:position w:val="1"/>
        </w:rPr>
        <w:t>stiffness,</w:t>
      </w:r>
      <w:r>
        <w:rPr>
          <w:spacing w:val="16"/>
          <w:position w:val="1"/>
        </w:rPr>
        <w:t> </w:t>
      </w:r>
      <w:r>
        <w:rPr>
          <w:i/>
          <w:position w:val="1"/>
        </w:rPr>
        <w:t>B</w:t>
      </w:r>
      <w:r>
        <w:rPr>
          <w:i/>
          <w:sz w:val="16"/>
        </w:rPr>
        <w:t>B</w:t>
      </w:r>
      <w:r>
        <w:rPr>
          <w:position w:val="1"/>
        </w:rPr>
        <w:t>,</w:t>
      </w:r>
      <w:r>
        <w:rPr>
          <w:spacing w:val="16"/>
          <w:position w:val="1"/>
        </w:rPr>
        <w:t> </w:t>
      </w:r>
      <w:r>
        <w:rPr>
          <w:position w:val="1"/>
        </w:rPr>
        <w:t>is</w:t>
      </w:r>
      <w:r>
        <w:rPr>
          <w:spacing w:val="17"/>
          <w:position w:val="1"/>
        </w:rPr>
        <w:t> </w:t>
      </w:r>
      <w:r>
        <w:rPr>
          <w:position w:val="1"/>
        </w:rPr>
        <w:t>determined</w:t>
      </w:r>
      <w:r>
        <w:rPr>
          <w:spacing w:val="17"/>
          <w:position w:val="1"/>
        </w:rPr>
        <w:t> </w:t>
      </w:r>
      <w:r>
        <w:rPr>
          <w:position w:val="1"/>
        </w:rPr>
        <w:t>using</w:t>
      </w:r>
      <w:r>
        <w:rPr>
          <w:spacing w:val="16"/>
          <w:position w:val="1"/>
        </w:rPr>
        <w:t> </w:t>
      </w:r>
      <w:r>
        <w:rPr>
          <w:position w:val="1"/>
        </w:rPr>
        <w:t>the</w:t>
      </w:r>
      <w:r>
        <w:rPr>
          <w:spacing w:val="17"/>
          <w:position w:val="1"/>
        </w:rPr>
        <w:t> </w:t>
      </w:r>
      <w:r>
        <w:rPr>
          <w:position w:val="1"/>
        </w:rPr>
        <w:t>parallel</w:t>
      </w:r>
      <w:r>
        <w:rPr>
          <w:spacing w:val="15"/>
          <w:position w:val="1"/>
        </w:rPr>
        <w:t> </w:t>
      </w:r>
      <w:r>
        <w:rPr>
          <w:position w:val="1"/>
        </w:rPr>
        <w:t>axis</w:t>
      </w:r>
      <w:r>
        <w:rPr>
          <w:spacing w:val="17"/>
          <w:position w:val="1"/>
        </w:rPr>
        <w:t> </w:t>
      </w:r>
      <w:r>
        <w:rPr>
          <w:position w:val="1"/>
        </w:rPr>
        <w:t>theorem,</w:t>
      </w:r>
      <w:r>
        <w:rPr>
          <w:spacing w:val="16"/>
          <w:position w:val="1"/>
        </w:rPr>
        <w:t> </w:t>
      </w:r>
      <w:r>
        <w:rPr>
          <w:position w:val="1"/>
        </w:rPr>
        <w:t>as</w:t>
      </w:r>
      <w:r>
        <w:rPr>
          <w:spacing w:val="-57"/>
          <w:position w:val="1"/>
        </w:rPr>
        <w:t> </w:t>
      </w:r>
      <w:r>
        <w:rPr/>
        <w:t>demonstrated</w:t>
      </w:r>
      <w:r>
        <w:rPr>
          <w:spacing w:val="-1"/>
        </w:rPr>
        <w:t> </w:t>
      </w:r>
      <w:r>
        <w:rPr/>
        <w:t>in Equation 4.3.</w:t>
      </w:r>
    </w:p>
    <w:p>
      <w:pPr>
        <w:spacing w:before="121"/>
        <w:ind w:left="2252" w:right="0" w:firstLine="0"/>
        <w:jc w:val="left"/>
        <w:rPr>
          <w:rFonts w:ascii="Cambria Math" w:eastAsia="Cambria Math"/>
          <w:sz w:val="17"/>
        </w:rPr>
      </w:pPr>
      <w:r>
        <w:rPr>
          <w:rFonts w:ascii="Cambria Math" w:eastAsia="Cambria Math"/>
          <w:w w:val="115"/>
          <w:sz w:val="17"/>
        </w:rPr>
        <w:t>𝑛</w:t>
      </w:r>
    </w:p>
    <w:p>
      <w:pPr>
        <w:pStyle w:val="BodyText"/>
        <w:spacing w:before="10"/>
        <w:rPr>
          <w:rFonts w:ascii="Cambria Math"/>
          <w:sz w:val="7"/>
        </w:rPr>
      </w:pPr>
    </w:p>
    <w:tbl>
      <w:tblPr>
        <w:tblW w:w="0" w:type="auto"/>
        <w:jc w:val="left"/>
        <w:tblInd w:w="13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053"/>
        <w:gridCol w:w="792"/>
        <w:gridCol w:w="3958"/>
      </w:tblGrid>
      <w:tr>
        <w:trPr>
          <w:trHeight w:val="550" w:hRule="atLeast"/>
        </w:trPr>
        <w:tc>
          <w:tcPr>
            <w:tcW w:w="3053" w:type="dxa"/>
          </w:tcPr>
          <w:p>
            <w:pPr>
              <w:pStyle w:val="TableParagraph"/>
              <w:spacing w:line="219" w:lineRule="exact"/>
              <w:ind w:left="200"/>
              <w:rPr>
                <w:rFonts w:ascii="Cambria Math" w:hAnsi="Cambria Math" w:cs="Cambria Math" w:eastAsia="Cambria Math"/>
                <w:sz w:val="24"/>
                <w:szCs w:val="24"/>
              </w:rPr>
            </w:pPr>
            <w:r>
              <w:rPr>
                <w:rFonts w:ascii="Cambria Math" w:hAnsi="Cambria Math" w:cs="Cambria Math" w:eastAsia="Cambria Math"/>
                <w:spacing w:val="-12"/>
                <w:sz w:val="24"/>
                <w:szCs w:val="24"/>
              </w:rPr>
              <w:t>𝐵</w:t>
            </w:r>
            <w:r>
              <w:rPr>
                <w:rFonts w:ascii="Cambria Math" w:hAnsi="Cambria Math" w:cs="Cambria Math" w:eastAsia="Cambria Math"/>
                <w:w w:val="103"/>
                <w:position w:val="-4"/>
                <w:sz w:val="17"/>
                <w:szCs w:val="17"/>
              </w:rPr>
              <w:t>𝐵</w:t>
            </w:r>
            <w:r>
              <w:rPr>
                <w:rFonts w:ascii="Cambria Math" w:hAnsi="Cambria Math" w:cs="Cambria Math" w:eastAsia="Cambria Math"/>
                <w:position w:val="-4"/>
                <w:sz w:val="17"/>
                <w:szCs w:val="17"/>
              </w:rPr>
              <w:t> </w:t>
            </w:r>
            <w:r>
              <w:rPr>
                <w:rFonts w:ascii="Cambria Math" w:hAnsi="Cambria Math" w:cs="Cambria Math" w:eastAsia="Cambria Math"/>
                <w:spacing w:val="6"/>
                <w:position w:val="-4"/>
                <w:sz w:val="17"/>
                <w:szCs w:val="17"/>
              </w:rPr>
              <w:t> </w:t>
            </w:r>
            <w:r>
              <w:rPr>
                <w:rFonts w:ascii="Cambria Math" w:hAnsi="Cambria Math" w:cs="Cambria Math" w:eastAsia="Cambria Math"/>
                <w:sz w:val="24"/>
                <w:szCs w:val="24"/>
              </w:rPr>
              <w:t>=</w:t>
            </w:r>
            <w:r>
              <w:rPr>
                <w:rFonts w:ascii="Cambria Math" w:hAnsi="Cambria Math" w:cs="Cambria Math" w:eastAsia="Cambria Math"/>
                <w:spacing w:val="13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w w:val="132"/>
                <w:sz w:val="24"/>
                <w:szCs w:val="24"/>
              </w:rPr>
              <w:t>�</w:t>
            </w:r>
            <w:r>
              <w:rPr>
                <w:rFonts w:ascii="Cambria Math" w:hAnsi="Cambria Math" w:cs="Cambria Math" w:eastAsia="Cambria Math"/>
                <w:spacing w:val="-13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spacing w:val="-14"/>
                <w:sz w:val="24"/>
                <w:szCs w:val="24"/>
              </w:rPr>
              <w:t>𝐸</w:t>
            </w:r>
            <w:r>
              <w:rPr>
                <w:rFonts w:ascii="Cambria Math" w:hAnsi="Cambria Math" w:cs="Cambria Math" w:eastAsia="Cambria Math"/>
                <w:w w:val="28"/>
                <w:position w:val="-4"/>
                <w:sz w:val="17"/>
                <w:szCs w:val="17"/>
              </w:rPr>
              <w:t>𝑔𝑔</w:t>
            </w:r>
            <w:r>
              <w:rPr>
                <w:rFonts w:ascii="Cambria Math" w:hAnsi="Cambria Math" w:cs="Cambria Math" w:eastAsia="Cambria Math"/>
                <w:spacing w:val="-22"/>
                <w:position w:val="-4"/>
                <w:sz w:val="17"/>
                <w:szCs w:val="17"/>
              </w:rPr>
              <w:t> </w:t>
            </w:r>
            <w:r>
              <w:rPr>
                <w:rFonts w:ascii="Cambria Math" w:hAnsi="Cambria Math" w:cs="Cambria Math" w:eastAsia="Cambria Math"/>
                <w:sz w:val="24"/>
                <w:szCs w:val="24"/>
              </w:rPr>
              <w:t>𝐴</w:t>
            </w:r>
            <w:r>
              <w:rPr>
                <w:rFonts w:ascii="Cambria Math" w:hAnsi="Cambria Math" w:cs="Cambria Math" w:eastAsia="Cambria Math"/>
                <w:w w:val="28"/>
                <w:position w:val="-4"/>
                <w:sz w:val="17"/>
                <w:szCs w:val="17"/>
              </w:rPr>
              <w:t>𝑔𝑔</w:t>
            </w:r>
            <w:r>
              <w:rPr>
                <w:rFonts w:ascii="Cambria Math" w:hAnsi="Cambria Math" w:cs="Cambria Math" w:eastAsia="Cambria Math"/>
                <w:spacing w:val="-22"/>
                <w:position w:val="-4"/>
                <w:sz w:val="17"/>
                <w:szCs w:val="17"/>
              </w:rPr>
              <w:t> </w:t>
            </w:r>
            <w:r>
              <w:rPr>
                <w:rFonts w:ascii="Cambria Math" w:hAnsi="Cambria Math" w:cs="Cambria Math" w:eastAsia="Cambria Math"/>
                <w:spacing w:val="11"/>
                <w:sz w:val="24"/>
                <w:szCs w:val="24"/>
              </w:rPr>
              <w:t>𝑧</w:t>
            </w:r>
            <w:r>
              <w:rPr>
                <w:rFonts w:ascii="Cambria Math" w:hAnsi="Cambria Math" w:cs="Cambria Math" w:eastAsia="Cambria Math"/>
                <w:w w:val="111"/>
                <w:sz w:val="24"/>
                <w:szCs w:val="24"/>
                <w:vertAlign w:val="superscript"/>
              </w:rPr>
              <w:t>2</w:t>
            </w:r>
          </w:p>
          <w:p>
            <w:pPr>
              <w:pStyle w:val="TableParagraph"/>
              <w:spacing w:line="103" w:lineRule="exact"/>
              <w:ind w:left="785" w:right="381"/>
              <w:jc w:val="center"/>
              <w:rPr>
                <w:rFonts w:ascii="Cambria Math" w:eastAsia="Cambria Math"/>
                <w:sz w:val="17"/>
              </w:rPr>
            </w:pPr>
            <w:r>
              <w:rPr>
                <w:rFonts w:ascii="Cambria Math" w:eastAsia="Cambria Math"/>
                <w:w w:val="40"/>
                <w:sz w:val="17"/>
              </w:rPr>
              <w:t>𝑔𝑔</w:t>
            </w:r>
          </w:p>
          <w:p>
            <w:pPr>
              <w:pStyle w:val="TableParagraph"/>
              <w:spacing w:line="159" w:lineRule="exact" w:before="49"/>
              <w:ind w:left="108" w:right="1262"/>
              <w:jc w:val="center"/>
              <w:rPr>
                <w:rFonts w:ascii="Cambria Math" w:eastAsia="Cambria Math"/>
                <w:sz w:val="17"/>
              </w:rPr>
            </w:pPr>
            <w:r>
              <w:rPr>
                <w:rFonts w:ascii="Cambria Math" w:eastAsia="Cambria Math"/>
                <w:w w:val="28"/>
                <w:sz w:val="17"/>
              </w:rPr>
              <w:t>𝑔</w:t>
            </w:r>
            <w:r>
              <w:rPr>
                <w:rFonts w:ascii="Cambria Math" w:eastAsia="Cambria Math"/>
                <w:spacing w:val="6"/>
                <w:w w:val="28"/>
                <w:sz w:val="17"/>
              </w:rPr>
              <w:t>𝑔</w:t>
            </w:r>
            <w:r>
              <w:rPr>
                <w:rFonts w:ascii="Cambria Math" w:eastAsia="Cambria Math"/>
                <w:w w:val="97"/>
                <w:sz w:val="17"/>
              </w:rPr>
              <w:t>=</w:t>
            </w:r>
            <w:r>
              <w:rPr>
                <w:rFonts w:ascii="Cambria Math" w:eastAsia="Cambria Math"/>
                <w:w w:val="104"/>
                <w:sz w:val="17"/>
              </w:rPr>
              <w:t>1</w:t>
            </w:r>
          </w:p>
        </w:tc>
        <w:tc>
          <w:tcPr>
            <w:tcW w:w="79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958" w:type="dxa"/>
          </w:tcPr>
          <w:p>
            <w:pPr>
              <w:pStyle w:val="TableParagraph"/>
              <w:spacing w:before="3"/>
              <w:ind w:right="198"/>
              <w:jc w:val="right"/>
              <w:rPr>
                <w:sz w:val="24"/>
              </w:rPr>
            </w:pPr>
            <w:r>
              <w:rPr>
                <w:sz w:val="24"/>
              </w:rPr>
              <w:t>(4.3)</w:t>
            </w:r>
          </w:p>
        </w:tc>
      </w:tr>
      <w:tr>
        <w:trPr>
          <w:trHeight w:val="264" w:hRule="atLeast"/>
        </w:trPr>
        <w:tc>
          <w:tcPr>
            <w:tcW w:w="3053" w:type="dxa"/>
          </w:tcPr>
          <w:p>
            <w:pPr>
              <w:pStyle w:val="TableParagraph"/>
              <w:spacing w:line="245" w:lineRule="exact"/>
              <w:ind w:right="214"/>
              <w:jc w:val="right"/>
              <w:rPr>
                <w:sz w:val="24"/>
              </w:rPr>
            </w:pPr>
            <w:r>
              <w:rPr>
                <w:sz w:val="24"/>
              </w:rPr>
              <w:t>where</w:t>
            </w:r>
          </w:p>
        </w:tc>
        <w:tc>
          <w:tcPr>
            <w:tcW w:w="792" w:type="dxa"/>
          </w:tcPr>
          <w:p>
            <w:pPr>
              <w:pStyle w:val="TableParagraph"/>
              <w:spacing w:line="245" w:lineRule="exact"/>
              <w:ind w:left="195" w:right="89"/>
              <w:jc w:val="center"/>
              <w:rPr>
                <w:i/>
                <w:sz w:val="24"/>
              </w:rPr>
            </w:pPr>
            <w:r>
              <w:rPr>
                <w:i/>
                <w:position w:val="1"/>
                <w:sz w:val="24"/>
              </w:rPr>
              <w:t>B</w:t>
            </w:r>
            <w:r>
              <w:rPr>
                <w:i/>
                <w:sz w:val="16"/>
              </w:rPr>
              <w:t>B</w:t>
            </w:r>
            <w:r>
              <w:rPr>
                <w:i/>
                <w:spacing w:val="18"/>
                <w:sz w:val="16"/>
              </w:rPr>
              <w:t> </w:t>
            </w:r>
            <w:r>
              <w:rPr>
                <w:i/>
                <w:position w:val="1"/>
                <w:sz w:val="24"/>
              </w:rPr>
              <w:t>=</w:t>
            </w:r>
          </w:p>
        </w:tc>
        <w:tc>
          <w:tcPr>
            <w:tcW w:w="3958" w:type="dxa"/>
          </w:tcPr>
          <w:p>
            <w:pPr>
              <w:pStyle w:val="TableParagraph"/>
              <w:spacing w:line="245" w:lineRule="exact"/>
              <w:ind w:left="107"/>
              <w:rPr>
                <w:sz w:val="24"/>
              </w:rPr>
            </w:pPr>
            <w:r>
              <w:rPr>
                <w:position w:val="1"/>
                <w:sz w:val="24"/>
              </w:rPr>
              <w:t>(EI)</w:t>
            </w:r>
            <w:r>
              <w:rPr>
                <w:sz w:val="16"/>
              </w:rPr>
              <w:t>B</w:t>
            </w:r>
            <w:r>
              <w:rPr>
                <w:position w:val="1"/>
                <w:sz w:val="24"/>
              </w:rPr>
              <w:t>,</w:t>
            </w:r>
            <w:r>
              <w:rPr>
                <w:spacing w:val="-2"/>
                <w:position w:val="1"/>
                <w:sz w:val="24"/>
              </w:rPr>
              <w:t> </w:t>
            </w:r>
            <w:r>
              <w:rPr>
                <w:position w:val="1"/>
                <w:sz w:val="24"/>
              </w:rPr>
              <w:t>bending</w:t>
            </w:r>
            <w:r>
              <w:rPr>
                <w:spacing w:val="-1"/>
                <w:position w:val="1"/>
                <w:sz w:val="24"/>
              </w:rPr>
              <w:t> </w:t>
            </w:r>
            <w:r>
              <w:rPr>
                <w:position w:val="1"/>
                <w:sz w:val="24"/>
              </w:rPr>
              <w:t>stiffness</w:t>
            </w:r>
            <w:r>
              <w:rPr>
                <w:spacing w:val="-1"/>
                <w:position w:val="1"/>
                <w:sz w:val="24"/>
              </w:rPr>
              <w:t> </w:t>
            </w:r>
            <w:r>
              <w:rPr>
                <w:position w:val="1"/>
                <w:sz w:val="24"/>
              </w:rPr>
              <w:t>of</w:t>
            </w:r>
            <w:r>
              <w:rPr>
                <w:spacing w:val="-2"/>
                <w:position w:val="1"/>
                <w:sz w:val="24"/>
              </w:rPr>
              <w:t> </w:t>
            </w:r>
            <w:r>
              <w:rPr>
                <w:position w:val="1"/>
                <w:sz w:val="24"/>
              </w:rPr>
              <w:t>Beam</w:t>
            </w:r>
            <w:r>
              <w:rPr>
                <w:spacing w:val="-3"/>
                <w:position w:val="1"/>
                <w:sz w:val="24"/>
              </w:rPr>
              <w:t> </w:t>
            </w:r>
            <w:r>
              <w:rPr>
                <w:position w:val="1"/>
                <w:sz w:val="24"/>
              </w:rPr>
              <w:t>B</w:t>
            </w:r>
          </w:p>
        </w:tc>
      </w:tr>
      <w:tr>
        <w:trPr>
          <w:trHeight w:val="276" w:hRule="atLeast"/>
        </w:trPr>
        <w:tc>
          <w:tcPr>
            <w:tcW w:w="305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792" w:type="dxa"/>
          </w:tcPr>
          <w:p>
            <w:pPr>
              <w:pStyle w:val="TableParagraph"/>
              <w:spacing w:line="256" w:lineRule="exact"/>
              <w:ind w:left="196" w:right="35"/>
              <w:jc w:val="center"/>
              <w:rPr>
                <w:i/>
                <w:sz w:val="24"/>
              </w:rPr>
            </w:pPr>
            <w:r>
              <w:rPr>
                <w:i/>
                <w:position w:val="1"/>
                <w:sz w:val="24"/>
              </w:rPr>
              <w:t>E</w:t>
            </w:r>
            <w:r>
              <w:rPr>
                <w:i/>
                <w:sz w:val="16"/>
              </w:rPr>
              <w:t>i</w:t>
            </w:r>
            <w:r>
              <w:rPr>
                <w:i/>
                <w:spacing w:val="19"/>
                <w:sz w:val="16"/>
              </w:rPr>
              <w:t> </w:t>
            </w:r>
            <w:r>
              <w:rPr>
                <w:i/>
                <w:position w:val="1"/>
                <w:sz w:val="24"/>
              </w:rPr>
              <w:t>=</w:t>
            </w:r>
          </w:p>
        </w:tc>
        <w:tc>
          <w:tcPr>
            <w:tcW w:w="3958" w:type="dxa"/>
          </w:tcPr>
          <w:p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modulus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elasticity</w:t>
            </w:r>
          </w:p>
        </w:tc>
      </w:tr>
      <w:tr>
        <w:trPr>
          <w:trHeight w:val="276" w:hRule="atLeast"/>
        </w:trPr>
        <w:tc>
          <w:tcPr>
            <w:tcW w:w="305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792" w:type="dxa"/>
          </w:tcPr>
          <w:p>
            <w:pPr>
              <w:pStyle w:val="TableParagraph"/>
              <w:spacing w:line="256" w:lineRule="exact"/>
              <w:ind w:left="196" w:right="35"/>
              <w:jc w:val="center"/>
              <w:rPr>
                <w:i/>
                <w:sz w:val="24"/>
              </w:rPr>
            </w:pPr>
            <w:r>
              <w:rPr>
                <w:i/>
                <w:position w:val="1"/>
                <w:sz w:val="24"/>
              </w:rPr>
              <w:t>A</w:t>
            </w:r>
            <w:r>
              <w:rPr>
                <w:i/>
                <w:sz w:val="16"/>
              </w:rPr>
              <w:t>i</w:t>
            </w:r>
            <w:r>
              <w:rPr>
                <w:i/>
                <w:spacing w:val="19"/>
                <w:sz w:val="16"/>
              </w:rPr>
              <w:t> </w:t>
            </w:r>
            <w:r>
              <w:rPr>
                <w:i/>
                <w:position w:val="1"/>
                <w:sz w:val="24"/>
              </w:rPr>
              <w:t>=</w:t>
            </w:r>
          </w:p>
        </w:tc>
        <w:tc>
          <w:tcPr>
            <w:tcW w:w="3958" w:type="dxa"/>
          </w:tcPr>
          <w:p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cross-sectional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area</w:t>
            </w:r>
          </w:p>
        </w:tc>
      </w:tr>
      <w:tr>
        <w:trPr>
          <w:trHeight w:val="546" w:hRule="atLeast"/>
        </w:trPr>
        <w:tc>
          <w:tcPr>
            <w:tcW w:w="305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92" w:type="dxa"/>
          </w:tcPr>
          <w:p>
            <w:pPr>
              <w:pStyle w:val="TableParagraph"/>
              <w:spacing w:line="271" w:lineRule="exact"/>
              <w:ind w:left="303" w:right="89"/>
              <w:jc w:val="center"/>
              <w:rPr>
                <w:i/>
                <w:sz w:val="24"/>
              </w:rPr>
            </w:pPr>
            <w:r>
              <w:rPr>
                <w:i/>
                <w:position w:val="1"/>
                <w:sz w:val="24"/>
              </w:rPr>
              <w:t>z</w:t>
            </w:r>
            <w:r>
              <w:rPr>
                <w:i/>
                <w:sz w:val="16"/>
              </w:rPr>
              <w:t>i</w:t>
            </w:r>
            <w:r>
              <w:rPr>
                <w:i/>
                <w:spacing w:val="19"/>
                <w:sz w:val="16"/>
              </w:rPr>
              <w:t> </w:t>
            </w:r>
            <w:r>
              <w:rPr>
                <w:i/>
                <w:position w:val="1"/>
                <w:sz w:val="24"/>
              </w:rPr>
              <w:t>=</w:t>
            </w:r>
          </w:p>
        </w:tc>
        <w:tc>
          <w:tcPr>
            <w:tcW w:w="3958" w:type="dxa"/>
          </w:tcPr>
          <w:p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distance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between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center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point</w:t>
            </w:r>
          </w:p>
          <w:p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each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layer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 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neutral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axis</w:t>
            </w:r>
          </w:p>
        </w:tc>
      </w:tr>
    </w:tbl>
    <w:p>
      <w:pPr>
        <w:pStyle w:val="BodyText"/>
        <w:rPr>
          <w:rFonts w:ascii="Cambria Math"/>
          <w:sz w:val="16"/>
        </w:rPr>
      </w:pPr>
    </w:p>
    <w:p>
      <w:pPr>
        <w:pStyle w:val="BodyText"/>
        <w:rPr>
          <w:rFonts w:ascii="Cambria Math"/>
          <w:sz w:val="23"/>
        </w:rPr>
      </w:pPr>
    </w:p>
    <w:p>
      <w:pPr>
        <w:pStyle w:val="BodyText"/>
        <w:spacing w:line="480" w:lineRule="auto"/>
        <w:ind w:left="440" w:right="257"/>
        <w:jc w:val="both"/>
      </w:pPr>
      <w:r>
        <w:rPr>
          <w:position w:val="1"/>
        </w:rPr>
        <w:t>The modulus of elasticity value for the longitudinal layers is the material property, </w:t>
      </w:r>
      <w:r>
        <w:rPr>
          <w:i/>
          <w:position w:val="1"/>
        </w:rPr>
        <w:t>E</w:t>
      </w:r>
      <w:r>
        <w:rPr>
          <w:i/>
          <w:sz w:val="16"/>
        </w:rPr>
        <w:t>0</w:t>
      </w:r>
      <w:r>
        <w:rPr>
          <w:position w:val="1"/>
        </w:rPr>
        <w:t>,</w:t>
      </w:r>
      <w:r>
        <w:rPr>
          <w:spacing w:val="1"/>
          <w:position w:val="1"/>
        </w:rPr>
        <w:t> </w:t>
      </w:r>
      <w:r>
        <w:rPr>
          <w:position w:val="1"/>
        </w:rPr>
        <w:t>while the cross laminations’ modulus of elasticity value, </w:t>
      </w:r>
      <w:r>
        <w:rPr>
          <w:i/>
          <w:position w:val="1"/>
        </w:rPr>
        <w:t>E</w:t>
      </w:r>
      <w:r>
        <w:rPr>
          <w:i/>
          <w:sz w:val="16"/>
        </w:rPr>
        <w:t>90</w:t>
      </w:r>
      <w:r>
        <w:rPr>
          <w:position w:val="1"/>
        </w:rPr>
        <w:t>, should be calculated as 1/30</w:t>
      </w:r>
      <w:r>
        <w:rPr>
          <w:spacing w:val="-57"/>
          <w:position w:val="1"/>
        </w:rPr>
        <w:t> </w:t>
      </w:r>
      <w:r>
        <w:rPr>
          <w:position w:val="1"/>
        </w:rPr>
        <w:t>of that longitudinal value.</w:t>
      </w:r>
      <w:r>
        <w:rPr>
          <w:spacing w:val="1"/>
          <w:position w:val="1"/>
        </w:rPr>
        <w:t> </w:t>
      </w:r>
      <w:r>
        <w:rPr>
          <w:position w:val="1"/>
        </w:rPr>
        <w:t>The effective bending stiffness, </w:t>
      </w:r>
      <w:r>
        <w:rPr>
          <w:i/>
          <w:position w:val="1"/>
        </w:rPr>
        <w:t>EI</w:t>
      </w:r>
      <w:r>
        <w:rPr>
          <w:i/>
          <w:sz w:val="16"/>
        </w:rPr>
        <w:t>eff</w:t>
      </w:r>
      <w:r>
        <w:rPr>
          <w:i/>
          <w:position w:val="1"/>
        </w:rPr>
        <w:t>, </w:t>
      </w:r>
      <w:r>
        <w:rPr>
          <w:position w:val="1"/>
        </w:rPr>
        <w:t>for the composite CLT</w:t>
      </w:r>
      <w:r>
        <w:rPr>
          <w:spacing w:val="1"/>
          <w:position w:val="1"/>
        </w:rPr>
        <w:t> </w:t>
      </w:r>
      <w:r>
        <w:rPr/>
        <w:t>panel may then be calculated using Equation 4.4, which simply added the two bending</w:t>
      </w:r>
      <w:r>
        <w:rPr>
          <w:spacing w:val="1"/>
        </w:rPr>
        <w:t> </w:t>
      </w:r>
      <w:r>
        <w:rPr/>
        <w:t>stiffness</w:t>
      </w:r>
      <w:r>
        <w:rPr>
          <w:spacing w:val="-1"/>
        </w:rPr>
        <w:t> </w:t>
      </w:r>
      <w:r>
        <w:rPr/>
        <w:t>values found for Beam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and Beam</w:t>
      </w:r>
      <w:r>
        <w:rPr>
          <w:spacing w:val="-1"/>
        </w:rPr>
        <w:t> </w:t>
      </w:r>
      <w:r>
        <w:rPr/>
        <w:t>B.</w:t>
      </w:r>
    </w:p>
    <w:p>
      <w:pPr>
        <w:pStyle w:val="BodyText"/>
        <w:spacing w:before="10"/>
        <w:rPr>
          <w:sz w:val="19"/>
        </w:rPr>
      </w:pPr>
    </w:p>
    <w:tbl>
      <w:tblPr>
        <w:tblW w:w="0" w:type="auto"/>
        <w:jc w:val="left"/>
        <w:tblInd w:w="191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17"/>
        <w:gridCol w:w="2243"/>
      </w:tblGrid>
      <w:tr>
        <w:trPr>
          <w:trHeight w:val="753" w:hRule="atLeast"/>
        </w:trPr>
        <w:tc>
          <w:tcPr>
            <w:tcW w:w="5017" w:type="dxa"/>
          </w:tcPr>
          <w:p>
            <w:pPr>
              <w:pStyle w:val="TableParagraph"/>
              <w:tabs>
                <w:tab w:pos="2511" w:val="left" w:leader="none"/>
              </w:tabs>
              <w:spacing w:line="31" w:lineRule="exact"/>
              <w:ind w:left="1152"/>
              <w:rPr>
                <w:rFonts w:ascii="Cambria Math" w:eastAsia="Cambria Math"/>
                <w:sz w:val="17"/>
              </w:rPr>
            </w:pPr>
            <w:r>
              <w:rPr>
                <w:rFonts w:ascii="Cambria Math" w:eastAsia="Cambria Math"/>
                <w:w w:val="115"/>
                <w:sz w:val="17"/>
              </w:rPr>
              <w:t>𝑛</w:t>
              <w:tab/>
              <w:t>𝑛</w:t>
            </w:r>
          </w:p>
          <w:p>
            <w:pPr>
              <w:pStyle w:val="TableParagraph"/>
              <w:spacing w:line="105" w:lineRule="auto" w:before="11"/>
              <w:ind w:right="1053"/>
              <w:jc w:val="center"/>
              <w:rPr>
                <w:rFonts w:ascii="Cambria Math" w:hAnsi="Cambria Math"/>
                <w:sz w:val="17"/>
              </w:rPr>
            </w:pPr>
            <w:r>
              <w:rPr>
                <w:spacing w:val="-33"/>
                <w:w w:val="100"/>
                <w:position w:val="-14"/>
                <w:sz w:val="17"/>
                <w:u w:val="single"/>
              </w:rPr>
              <w:t> </w:t>
            </w:r>
            <w:r>
              <w:rPr>
                <w:rFonts w:ascii="Cambria Math" w:hAnsi="Cambria Math"/>
                <w:position w:val="-9"/>
                <w:sz w:val="24"/>
              </w:rPr>
              <w:t>ℎ</w:t>
            </w:r>
            <w:r>
              <w:rPr>
                <w:rFonts w:ascii="Cambria Math" w:hAnsi="Cambria Math"/>
                <w:sz w:val="17"/>
              </w:rPr>
              <w:t>3</w:t>
            </w:r>
          </w:p>
          <w:p>
            <w:pPr>
              <w:pStyle w:val="TableParagraph"/>
              <w:tabs>
                <w:tab w:pos="604" w:val="left" w:leader="none"/>
                <w:tab w:pos="1801" w:val="left" w:leader="none"/>
              </w:tabs>
              <w:spacing w:line="178" w:lineRule="exact"/>
              <w:ind w:right="1580"/>
              <w:jc w:val="right"/>
              <w:rPr>
                <w:rFonts w:ascii="Cambria Math" w:hAnsi="Cambria Math" w:cs="Cambria Math" w:eastAsia="Cambria Math"/>
                <w:sz w:val="24"/>
                <w:szCs w:val="24"/>
              </w:rPr>
            </w:pPr>
            <w:r>
              <w:rPr>
                <w:rFonts w:ascii="Cambria Math" w:hAnsi="Cambria Math" w:cs="Cambria Math" w:eastAsia="Cambria Math"/>
                <w:sz w:val="24"/>
                <w:szCs w:val="24"/>
              </w:rPr>
              <w:t>𝐸𝐼</w:t>
              <w:tab/>
              <w:t>=</w:t>
            </w:r>
            <w:r>
              <w:rPr>
                <w:rFonts w:ascii="Cambria Math" w:hAnsi="Cambria Math" w:cs="Cambria Math" w:eastAsia="Cambria Math"/>
                <w:spacing w:val="22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w w:val="115"/>
                <w:sz w:val="24"/>
                <w:szCs w:val="24"/>
              </w:rPr>
              <w:t>�</w:t>
            </w:r>
            <w:r>
              <w:rPr>
                <w:rFonts w:ascii="Cambria Math" w:hAnsi="Cambria Math" w:cs="Cambria Math" w:eastAsia="Cambria Math"/>
                <w:spacing w:val="-17"/>
                <w:w w:val="115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sz w:val="24"/>
                <w:szCs w:val="24"/>
              </w:rPr>
              <w:t>𝐸</w:t>
            </w:r>
            <w:r>
              <w:rPr>
                <w:rFonts w:ascii="Cambria Math" w:hAnsi="Cambria Math" w:cs="Cambria Math" w:eastAsia="Cambria Math"/>
                <w:spacing w:val="17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sz w:val="24"/>
                <w:szCs w:val="24"/>
              </w:rPr>
              <w:t>𝑏</w:t>
              <w:tab/>
            </w:r>
            <w:r>
              <w:rPr>
                <w:rFonts w:ascii="Cambria Math" w:hAnsi="Cambria Math" w:cs="Cambria Math" w:eastAsia="Cambria Math"/>
                <w:w w:val="60"/>
                <w:sz w:val="24"/>
                <w:szCs w:val="24"/>
                <w:u w:val="single"/>
                <w:vertAlign w:val="superscript"/>
              </w:rPr>
              <w:t>𝑔𝑔</w:t>
            </w:r>
            <w:r>
              <w:rPr>
                <w:rFonts w:ascii="Cambria Math" w:hAnsi="Cambria Math" w:cs="Cambria Math" w:eastAsia="Cambria Math"/>
                <w:spacing w:val="25"/>
                <w:w w:val="60"/>
                <w:sz w:val="24"/>
                <w:szCs w:val="24"/>
                <w:vertAlign w:val="baseline"/>
              </w:rPr>
              <w:t> </w:t>
            </w:r>
            <w:r>
              <w:rPr>
                <w:rFonts w:ascii="Cambria Math" w:hAnsi="Cambria Math" w:cs="Cambria Math" w:eastAsia="Cambria Math"/>
                <w:sz w:val="24"/>
                <w:szCs w:val="24"/>
                <w:vertAlign w:val="baseline"/>
              </w:rPr>
              <w:t>+</w:t>
            </w:r>
            <w:r>
              <w:rPr>
                <w:rFonts w:ascii="Cambria Math" w:hAnsi="Cambria Math" w:cs="Cambria Math" w:eastAsia="Cambria Math"/>
                <w:spacing w:val="3"/>
                <w:sz w:val="24"/>
                <w:szCs w:val="24"/>
                <w:vertAlign w:val="baseline"/>
              </w:rPr>
              <w:t> </w:t>
            </w:r>
            <w:r>
              <w:rPr>
                <w:rFonts w:ascii="Cambria Math" w:hAnsi="Cambria Math" w:cs="Cambria Math" w:eastAsia="Cambria Math"/>
                <w:w w:val="110"/>
                <w:sz w:val="24"/>
                <w:szCs w:val="24"/>
                <w:vertAlign w:val="baseline"/>
              </w:rPr>
              <w:t>�</w:t>
            </w:r>
            <w:r>
              <w:rPr>
                <w:rFonts w:ascii="Cambria Math" w:hAnsi="Cambria Math" w:cs="Cambria Math" w:eastAsia="Cambria Math"/>
                <w:spacing w:val="-17"/>
                <w:w w:val="110"/>
                <w:sz w:val="24"/>
                <w:szCs w:val="24"/>
                <w:vertAlign w:val="baseline"/>
              </w:rPr>
              <w:t> </w:t>
            </w:r>
            <w:r>
              <w:rPr>
                <w:rFonts w:ascii="Cambria Math" w:hAnsi="Cambria Math" w:cs="Cambria Math" w:eastAsia="Cambria Math"/>
                <w:sz w:val="24"/>
                <w:szCs w:val="24"/>
                <w:vertAlign w:val="baseline"/>
              </w:rPr>
              <w:t>𝐸</w:t>
            </w:r>
            <w:r>
              <w:rPr>
                <w:rFonts w:ascii="Cambria Math" w:hAnsi="Cambria Math" w:cs="Cambria Math" w:eastAsia="Cambria Math"/>
                <w:spacing w:val="12"/>
                <w:sz w:val="24"/>
                <w:szCs w:val="24"/>
                <w:vertAlign w:val="baseline"/>
              </w:rPr>
              <w:t> </w:t>
            </w:r>
            <w:r>
              <w:rPr>
                <w:rFonts w:ascii="Cambria Math" w:hAnsi="Cambria Math" w:cs="Cambria Math" w:eastAsia="Cambria Math"/>
                <w:sz w:val="24"/>
                <w:szCs w:val="24"/>
                <w:vertAlign w:val="baseline"/>
              </w:rPr>
              <w:t>𝐴</w:t>
            </w:r>
            <w:r>
              <w:rPr>
                <w:rFonts w:ascii="Cambria Math" w:hAnsi="Cambria Math" w:cs="Cambria Math" w:eastAsia="Cambria Math"/>
                <w:spacing w:val="26"/>
                <w:sz w:val="24"/>
                <w:szCs w:val="24"/>
                <w:vertAlign w:val="baseline"/>
              </w:rPr>
              <w:t> </w:t>
            </w:r>
            <w:r>
              <w:rPr>
                <w:rFonts w:ascii="Cambria Math" w:hAnsi="Cambria Math" w:cs="Cambria Math" w:eastAsia="Cambria Math"/>
                <w:sz w:val="24"/>
                <w:szCs w:val="24"/>
                <w:vertAlign w:val="baseline"/>
              </w:rPr>
              <w:t>𝑧</w:t>
            </w:r>
            <w:r>
              <w:rPr>
                <w:rFonts w:ascii="Cambria Math" w:hAnsi="Cambria Math" w:cs="Cambria Math" w:eastAsia="Cambria Math"/>
                <w:sz w:val="24"/>
                <w:szCs w:val="24"/>
                <w:vertAlign w:val="superscript"/>
              </w:rPr>
              <w:t>2</w:t>
            </w:r>
          </w:p>
          <w:p>
            <w:pPr>
              <w:pStyle w:val="TableParagraph"/>
              <w:tabs>
                <w:tab w:pos="1118" w:val="left" w:leader="none"/>
                <w:tab w:pos="2477" w:val="left" w:leader="none"/>
              </w:tabs>
              <w:spacing w:line="91" w:lineRule="auto"/>
              <w:ind w:right="1636"/>
              <w:jc w:val="right"/>
              <w:rPr>
                <w:rFonts w:ascii="Cambria Math" w:eastAsia="Cambria Math"/>
                <w:sz w:val="17"/>
              </w:rPr>
            </w:pPr>
            <w:r>
              <w:rPr>
                <w:rFonts w:ascii="Cambria Math" w:eastAsia="Cambria Math"/>
                <w:spacing w:val="-1"/>
                <w:w w:val="109"/>
                <w:position w:val="1"/>
                <w:sz w:val="17"/>
              </w:rPr>
              <w:t>𝑒</w:t>
            </w:r>
            <w:r>
              <w:rPr>
                <w:rFonts w:ascii="Cambria Math" w:eastAsia="Cambria Math"/>
                <w:spacing w:val="-1"/>
                <w:w w:val="54"/>
                <w:position w:val="1"/>
                <w:sz w:val="17"/>
              </w:rPr>
              <w:t>𝑓𝑓𝑓</w:t>
            </w:r>
            <w:r>
              <w:rPr>
                <w:rFonts w:ascii="Cambria Math" w:eastAsia="Cambria Math"/>
                <w:w w:val="54"/>
                <w:position w:val="1"/>
                <w:sz w:val="17"/>
              </w:rPr>
              <w:t>𝑓</w:t>
            </w:r>
            <w:r>
              <w:rPr>
                <w:rFonts w:ascii="Cambria Math" w:eastAsia="Cambria Math"/>
                <w:position w:val="1"/>
                <w:sz w:val="17"/>
              </w:rPr>
              <w:tab/>
            </w:r>
            <w:r>
              <w:rPr>
                <w:rFonts w:ascii="Cambria Math" w:eastAsia="Cambria Math"/>
                <w:w w:val="28"/>
                <w:position w:val="1"/>
                <w:sz w:val="17"/>
              </w:rPr>
              <w:t>𝑔𝑔</w:t>
            </w:r>
            <w:r>
              <w:rPr>
                <w:rFonts w:ascii="Cambria Math" w:eastAsia="Cambria Math"/>
                <w:position w:val="1"/>
                <w:sz w:val="17"/>
              </w:rPr>
              <w:t>   </w:t>
            </w:r>
            <w:r>
              <w:rPr>
                <w:rFonts w:ascii="Cambria Math" w:eastAsia="Cambria Math"/>
                <w:spacing w:val="-12"/>
                <w:position w:val="1"/>
                <w:sz w:val="17"/>
              </w:rPr>
              <w:t> </w:t>
            </w:r>
            <w:r>
              <w:rPr>
                <w:rFonts w:ascii="Cambria Math" w:eastAsia="Cambria Math"/>
                <w:w w:val="28"/>
                <w:position w:val="1"/>
                <w:sz w:val="17"/>
              </w:rPr>
              <w:t>𝑔𝑔</w:t>
            </w:r>
            <w:r>
              <w:rPr>
                <w:rFonts w:ascii="Cambria Math" w:eastAsia="Cambria Math"/>
                <w:spacing w:val="18"/>
                <w:position w:val="1"/>
                <w:sz w:val="17"/>
              </w:rPr>
              <w:t> </w:t>
            </w:r>
            <w:r>
              <w:rPr>
                <w:rFonts w:ascii="Cambria Math" w:eastAsia="Cambria Math"/>
                <w:position w:val="-9"/>
                <w:sz w:val="24"/>
              </w:rPr>
              <w:t>12</w:t>
              <w:tab/>
            </w:r>
            <w:r>
              <w:rPr>
                <w:rFonts w:ascii="Cambria Math" w:eastAsia="Cambria Math"/>
                <w:w w:val="28"/>
                <w:position w:val="1"/>
                <w:sz w:val="17"/>
              </w:rPr>
              <w:t>𝑔𝑔</w:t>
            </w:r>
            <w:r>
              <w:rPr>
                <w:rFonts w:ascii="Cambria Math" w:eastAsia="Cambria Math"/>
                <w:position w:val="1"/>
                <w:sz w:val="17"/>
              </w:rPr>
              <w:t>   </w:t>
            </w:r>
            <w:r>
              <w:rPr>
                <w:rFonts w:ascii="Cambria Math" w:eastAsia="Cambria Math"/>
                <w:spacing w:val="18"/>
                <w:position w:val="1"/>
                <w:sz w:val="17"/>
              </w:rPr>
              <w:t> </w:t>
            </w:r>
            <w:r>
              <w:rPr>
                <w:rFonts w:ascii="Cambria Math" w:eastAsia="Cambria Math"/>
                <w:w w:val="28"/>
                <w:position w:val="1"/>
                <w:sz w:val="17"/>
              </w:rPr>
              <w:t>𝑔𝑔</w:t>
            </w:r>
            <w:r>
              <w:rPr>
                <w:rFonts w:ascii="Cambria Math" w:eastAsia="Cambria Math"/>
                <w:position w:val="1"/>
                <w:sz w:val="17"/>
              </w:rPr>
              <w:t>  </w:t>
            </w:r>
            <w:r>
              <w:rPr>
                <w:rFonts w:ascii="Cambria Math" w:eastAsia="Cambria Math"/>
                <w:spacing w:val="13"/>
                <w:position w:val="1"/>
                <w:sz w:val="17"/>
              </w:rPr>
              <w:t> </w:t>
            </w:r>
            <w:r>
              <w:rPr>
                <w:rFonts w:ascii="Cambria Math" w:eastAsia="Cambria Math"/>
                <w:w w:val="28"/>
                <w:sz w:val="17"/>
              </w:rPr>
              <w:t>𝑔𝑔</w:t>
            </w:r>
          </w:p>
          <w:p>
            <w:pPr>
              <w:pStyle w:val="TableParagraph"/>
              <w:tabs>
                <w:tab w:pos="2423" w:val="left" w:leader="none"/>
              </w:tabs>
              <w:spacing w:line="179" w:lineRule="exact" w:before="21"/>
              <w:ind w:left="1065"/>
              <w:rPr>
                <w:rFonts w:ascii="Cambria Math" w:eastAsia="Cambria Math"/>
                <w:sz w:val="17"/>
              </w:rPr>
            </w:pPr>
            <w:r>
              <w:rPr>
                <w:rFonts w:ascii="Cambria Math" w:eastAsia="Cambria Math"/>
                <w:w w:val="28"/>
                <w:sz w:val="17"/>
              </w:rPr>
              <w:t>𝑔</w:t>
            </w:r>
            <w:r>
              <w:rPr>
                <w:rFonts w:ascii="Cambria Math" w:eastAsia="Cambria Math"/>
                <w:spacing w:val="6"/>
                <w:w w:val="28"/>
                <w:sz w:val="17"/>
              </w:rPr>
              <w:t>𝑔</w:t>
            </w:r>
            <w:r>
              <w:rPr>
                <w:rFonts w:ascii="Cambria Math" w:eastAsia="Cambria Math"/>
                <w:spacing w:val="-1"/>
                <w:w w:val="97"/>
                <w:sz w:val="17"/>
              </w:rPr>
              <w:t>=</w:t>
            </w:r>
            <w:r>
              <w:rPr>
                <w:rFonts w:ascii="Cambria Math" w:eastAsia="Cambria Math"/>
                <w:w w:val="104"/>
                <w:sz w:val="17"/>
              </w:rPr>
              <w:t>1</w:t>
            </w:r>
            <w:r>
              <w:rPr>
                <w:rFonts w:ascii="Cambria Math" w:eastAsia="Cambria Math"/>
                <w:sz w:val="17"/>
              </w:rPr>
              <w:tab/>
            </w:r>
            <w:r>
              <w:rPr>
                <w:rFonts w:ascii="Cambria Math" w:eastAsia="Cambria Math"/>
                <w:w w:val="28"/>
                <w:sz w:val="17"/>
              </w:rPr>
              <w:t>𝑔</w:t>
            </w:r>
            <w:r>
              <w:rPr>
                <w:rFonts w:ascii="Cambria Math" w:eastAsia="Cambria Math"/>
                <w:spacing w:val="7"/>
                <w:w w:val="28"/>
                <w:sz w:val="17"/>
              </w:rPr>
              <w:t>𝑔</w:t>
            </w:r>
            <w:r>
              <w:rPr>
                <w:rFonts w:ascii="Cambria Math" w:eastAsia="Cambria Math"/>
                <w:spacing w:val="-1"/>
                <w:w w:val="97"/>
                <w:sz w:val="17"/>
              </w:rPr>
              <w:t>=</w:t>
            </w:r>
            <w:r>
              <w:rPr>
                <w:rFonts w:ascii="Cambria Math" w:eastAsia="Cambria Math"/>
                <w:w w:val="104"/>
                <w:sz w:val="17"/>
              </w:rPr>
              <w:t>1</w:t>
            </w:r>
          </w:p>
        </w:tc>
        <w:tc>
          <w:tcPr>
            <w:tcW w:w="2243" w:type="dxa"/>
          </w:tcPr>
          <w:p>
            <w:pPr>
              <w:pStyle w:val="TableParagraph"/>
              <w:spacing w:before="186"/>
              <w:ind w:right="198"/>
              <w:jc w:val="right"/>
              <w:rPr>
                <w:sz w:val="24"/>
              </w:rPr>
            </w:pPr>
            <w:r>
              <w:rPr>
                <w:sz w:val="24"/>
              </w:rPr>
              <w:t>(4.4)</w:t>
            </w:r>
          </w:p>
        </w:tc>
      </w:tr>
    </w:tbl>
    <w:p>
      <w:pPr>
        <w:spacing w:after="0"/>
        <w:jc w:val="right"/>
        <w:rPr>
          <w:sz w:val="24"/>
        </w:rPr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39" w:right="257" w:firstLine="720"/>
        <w:jc w:val="both"/>
      </w:pPr>
      <w:r>
        <w:rPr/>
        <w:pict>
          <v:rect style="position:absolute;margin-left:190.679993pt;margin-top:194.383148pt;width:173.219pt;height:.78pt;mso-position-horizontal-relative:page;mso-position-vertical-relative:paragraph;z-index:-34921984" filled="true" fillcolor="#000000" stroked="false">
            <v:fill type="solid"/>
            <w10:wrap type="none"/>
          </v:rect>
        </w:pict>
      </w:r>
      <w:r>
        <w:rPr/>
        <w:t>For the effective shear stiffness, the longitudinal lamella should be assumed to be</w:t>
      </w:r>
      <w:r>
        <w:rPr>
          <w:spacing w:val="1"/>
        </w:rPr>
        <w:t> </w:t>
      </w:r>
      <w:r>
        <w:rPr>
          <w:position w:val="1"/>
        </w:rPr>
        <w:t>the</w:t>
      </w:r>
      <w:r>
        <w:rPr>
          <w:spacing w:val="-8"/>
          <w:position w:val="1"/>
        </w:rPr>
        <w:t> </w:t>
      </w:r>
      <w:r>
        <w:rPr>
          <w:position w:val="1"/>
        </w:rPr>
        <w:t>shear</w:t>
      </w:r>
      <w:r>
        <w:rPr>
          <w:spacing w:val="-8"/>
          <w:position w:val="1"/>
        </w:rPr>
        <w:t> </w:t>
      </w:r>
      <w:r>
        <w:rPr>
          <w:position w:val="1"/>
        </w:rPr>
        <w:t>modulus</w:t>
      </w:r>
      <w:r>
        <w:rPr>
          <w:spacing w:val="-8"/>
          <w:position w:val="1"/>
        </w:rPr>
        <w:t> </w:t>
      </w:r>
      <w:r>
        <w:rPr>
          <w:position w:val="1"/>
        </w:rPr>
        <w:t>parallel</w:t>
      </w:r>
      <w:r>
        <w:rPr>
          <w:spacing w:val="-8"/>
          <w:position w:val="1"/>
        </w:rPr>
        <w:t> </w:t>
      </w:r>
      <w:r>
        <w:rPr>
          <w:position w:val="1"/>
        </w:rPr>
        <w:t>to</w:t>
      </w:r>
      <w:r>
        <w:rPr>
          <w:spacing w:val="-9"/>
          <w:position w:val="1"/>
        </w:rPr>
        <w:t> </w:t>
      </w:r>
      <w:r>
        <w:rPr>
          <w:position w:val="1"/>
        </w:rPr>
        <w:t>the</w:t>
      </w:r>
      <w:r>
        <w:rPr>
          <w:spacing w:val="-8"/>
          <w:position w:val="1"/>
        </w:rPr>
        <w:t> </w:t>
      </w:r>
      <w:r>
        <w:rPr>
          <w:position w:val="1"/>
        </w:rPr>
        <w:t>grain,</w:t>
      </w:r>
      <w:r>
        <w:rPr>
          <w:spacing w:val="-9"/>
          <w:position w:val="1"/>
        </w:rPr>
        <w:t> </w:t>
      </w:r>
      <w:r>
        <w:rPr>
          <w:i/>
          <w:position w:val="1"/>
        </w:rPr>
        <w:t>G</w:t>
      </w:r>
      <w:r>
        <w:rPr>
          <w:i/>
          <w:sz w:val="16"/>
        </w:rPr>
        <w:t>0,</w:t>
      </w:r>
      <w:r>
        <w:rPr>
          <w:i/>
          <w:spacing w:val="11"/>
          <w:sz w:val="16"/>
        </w:rPr>
        <w:t> </w:t>
      </w:r>
      <w:r>
        <w:rPr>
          <w:position w:val="1"/>
        </w:rPr>
        <w:t>and</w:t>
      </w:r>
      <w:r>
        <w:rPr>
          <w:spacing w:val="-9"/>
          <w:position w:val="1"/>
        </w:rPr>
        <w:t> </w:t>
      </w:r>
      <w:r>
        <w:rPr>
          <w:position w:val="1"/>
        </w:rPr>
        <w:t>the</w:t>
      </w:r>
      <w:r>
        <w:rPr>
          <w:spacing w:val="-8"/>
          <w:position w:val="1"/>
        </w:rPr>
        <w:t> </w:t>
      </w:r>
      <w:r>
        <w:rPr>
          <w:position w:val="1"/>
        </w:rPr>
        <w:t>cross</w:t>
      </w:r>
      <w:r>
        <w:rPr>
          <w:spacing w:val="-8"/>
          <w:position w:val="1"/>
        </w:rPr>
        <w:t> </w:t>
      </w:r>
      <w:r>
        <w:rPr>
          <w:position w:val="1"/>
        </w:rPr>
        <w:t>laminations</w:t>
      </w:r>
      <w:r>
        <w:rPr>
          <w:spacing w:val="-8"/>
          <w:position w:val="1"/>
        </w:rPr>
        <w:t> </w:t>
      </w:r>
      <w:r>
        <w:rPr>
          <w:position w:val="1"/>
        </w:rPr>
        <w:t>shear</w:t>
      </w:r>
      <w:r>
        <w:rPr>
          <w:spacing w:val="-9"/>
          <w:position w:val="1"/>
        </w:rPr>
        <w:t> </w:t>
      </w:r>
      <w:r>
        <w:rPr>
          <w:position w:val="1"/>
        </w:rPr>
        <w:t>modulus</w:t>
      </w:r>
      <w:r>
        <w:rPr>
          <w:spacing w:val="-8"/>
          <w:position w:val="1"/>
        </w:rPr>
        <w:t> </w:t>
      </w:r>
      <w:r>
        <w:rPr>
          <w:position w:val="1"/>
        </w:rPr>
        <w:t>should</w:t>
      </w:r>
      <w:r>
        <w:rPr>
          <w:spacing w:val="-57"/>
          <w:position w:val="1"/>
        </w:rPr>
        <w:t> </w:t>
      </w:r>
      <w:r>
        <w:rPr>
          <w:position w:val="1"/>
        </w:rPr>
        <w:t>be the rolling shear modulus, </w:t>
      </w:r>
      <w:r>
        <w:rPr>
          <w:i/>
          <w:position w:val="1"/>
        </w:rPr>
        <w:t>G</w:t>
      </w:r>
      <w:r>
        <w:rPr>
          <w:i/>
          <w:sz w:val="16"/>
        </w:rPr>
        <w:t>R</w:t>
      </w:r>
      <w:r>
        <w:rPr>
          <w:position w:val="1"/>
        </w:rPr>
        <w:t>, which is calculated as 0.10 </w:t>
      </w:r>
      <w:r>
        <w:rPr>
          <w:i/>
          <w:position w:val="1"/>
        </w:rPr>
        <w:t>G</w:t>
      </w:r>
      <w:r>
        <w:rPr>
          <w:i/>
          <w:sz w:val="16"/>
        </w:rPr>
        <w:t>0</w:t>
      </w:r>
      <w:r>
        <w:rPr>
          <w:position w:val="1"/>
        </w:rPr>
        <w:t>. Based on guidance from</w:t>
      </w:r>
      <w:r>
        <w:rPr>
          <w:spacing w:val="-57"/>
          <w:position w:val="1"/>
        </w:rPr>
        <w:t> </w:t>
      </w:r>
      <w:r>
        <w:rPr>
          <w:spacing w:val="-1"/>
        </w:rPr>
        <w:t>PRG</w:t>
      </w:r>
      <w:r>
        <w:rPr>
          <w:spacing w:val="-15"/>
        </w:rPr>
        <w:t> </w:t>
      </w:r>
      <w:r>
        <w:rPr>
          <w:spacing w:val="-1"/>
        </w:rPr>
        <w:t>320,</w:t>
      </w:r>
      <w:r>
        <w:rPr>
          <w:spacing w:val="-15"/>
        </w:rPr>
        <w:t> </w:t>
      </w:r>
      <w:r>
        <w:rPr>
          <w:spacing w:val="-1"/>
        </w:rPr>
        <w:t>the</w:t>
      </w:r>
      <w:r>
        <w:rPr>
          <w:spacing w:val="-14"/>
        </w:rPr>
        <w:t> </w:t>
      </w:r>
      <w:r>
        <w:rPr>
          <w:spacing w:val="-1"/>
        </w:rPr>
        <w:t>shear</w:t>
      </w:r>
      <w:r>
        <w:rPr>
          <w:spacing w:val="-14"/>
        </w:rPr>
        <w:t> </w:t>
      </w:r>
      <w:r>
        <w:rPr>
          <w:spacing w:val="-1"/>
        </w:rPr>
        <w:t>modulus</w:t>
      </w:r>
      <w:r>
        <w:rPr>
          <w:spacing w:val="-15"/>
        </w:rPr>
        <w:t> </w:t>
      </w:r>
      <w:r>
        <w:rPr/>
        <w:t>parallel</w:t>
      </w:r>
      <w:r>
        <w:rPr>
          <w:spacing w:val="-16"/>
        </w:rPr>
        <w:t> </w:t>
      </w:r>
      <w:r>
        <w:rPr/>
        <w:t>to</w:t>
      </w:r>
      <w:r>
        <w:rPr>
          <w:spacing w:val="-15"/>
        </w:rPr>
        <w:t> </w:t>
      </w:r>
      <w:r>
        <w:rPr/>
        <w:t>the</w:t>
      </w:r>
      <w:r>
        <w:rPr>
          <w:spacing w:val="-16"/>
        </w:rPr>
        <w:t> </w:t>
      </w:r>
      <w:r>
        <w:rPr/>
        <w:t>grain</w:t>
      </w:r>
      <w:r>
        <w:rPr>
          <w:spacing w:val="-15"/>
        </w:rPr>
        <w:t> </w:t>
      </w:r>
      <w:r>
        <w:rPr/>
        <w:t>can</w:t>
      </w:r>
      <w:r>
        <w:rPr>
          <w:spacing w:val="-15"/>
        </w:rPr>
        <w:t> </w:t>
      </w:r>
      <w:r>
        <w:rPr/>
        <w:t>be</w:t>
      </w:r>
      <w:r>
        <w:rPr>
          <w:spacing w:val="-15"/>
        </w:rPr>
        <w:t> </w:t>
      </w:r>
      <w:r>
        <w:rPr/>
        <w:t>calculated</w:t>
      </w:r>
      <w:r>
        <w:rPr>
          <w:spacing w:val="-14"/>
        </w:rPr>
        <w:t> </w:t>
      </w:r>
      <w:r>
        <w:rPr/>
        <w:t>as</w:t>
      </w:r>
      <w:r>
        <w:rPr>
          <w:spacing w:val="-16"/>
        </w:rPr>
        <w:t> </w:t>
      </w:r>
      <w:r>
        <w:rPr/>
        <w:t>0.0625</w:t>
      </w:r>
      <w:r>
        <w:rPr>
          <w:spacing w:val="-15"/>
        </w:rPr>
        <w:t> </w:t>
      </w:r>
      <w:r>
        <w:rPr/>
        <w:t>of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modulus</w:t>
      </w:r>
      <w:r>
        <w:rPr>
          <w:spacing w:val="-58"/>
        </w:rPr>
        <w:t> </w:t>
      </w:r>
      <w:r>
        <w:rPr/>
        <w:t>of elasticity, </w:t>
      </w:r>
      <w:r>
        <w:rPr>
          <w:i/>
        </w:rPr>
        <w:t>E</w:t>
      </w:r>
      <w:r>
        <w:rPr/>
        <w:t>.</w:t>
      </w:r>
      <w:r>
        <w:rPr>
          <w:spacing w:val="1"/>
        </w:rPr>
        <w:t> </w:t>
      </w:r>
      <w:r>
        <w:rPr/>
        <w:t>Given these parameters, an effective shear stiffness of the composite</w:t>
      </w:r>
      <w:r>
        <w:rPr>
          <w:spacing w:val="1"/>
        </w:rPr>
        <w:t> </w:t>
      </w:r>
      <w:r>
        <w:rPr>
          <w:position w:val="1"/>
        </w:rPr>
        <w:t>section,</w:t>
      </w:r>
      <w:r>
        <w:rPr>
          <w:spacing w:val="-1"/>
          <w:position w:val="1"/>
        </w:rPr>
        <w:t> </w:t>
      </w:r>
      <w:r>
        <w:rPr>
          <w:i/>
          <w:position w:val="1"/>
        </w:rPr>
        <w:t>GA</w:t>
      </w:r>
      <w:r>
        <w:rPr>
          <w:i/>
          <w:sz w:val="16"/>
        </w:rPr>
        <w:t>eff</w:t>
      </w:r>
      <w:r>
        <w:rPr>
          <w:position w:val="1"/>
        </w:rPr>
        <w:t>, can be found using Equation 4.5.</w:t>
      </w:r>
    </w:p>
    <w:p>
      <w:pPr>
        <w:pStyle w:val="BodyText"/>
        <w:spacing w:before="10" w:after="1"/>
        <w:rPr>
          <w:sz w:val="14"/>
        </w:rPr>
      </w:pPr>
    </w:p>
    <w:tbl>
      <w:tblPr>
        <w:tblW w:w="0" w:type="auto"/>
        <w:jc w:val="left"/>
        <w:tblInd w:w="97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73"/>
        <w:gridCol w:w="1030"/>
        <w:gridCol w:w="2361"/>
        <w:gridCol w:w="2134"/>
      </w:tblGrid>
      <w:tr>
        <w:trPr>
          <w:trHeight w:val="1215" w:hRule="atLeast"/>
        </w:trPr>
        <w:tc>
          <w:tcPr>
            <w:tcW w:w="6064" w:type="dxa"/>
            <w:gridSpan w:val="3"/>
          </w:tcPr>
          <w:p>
            <w:pPr>
              <w:pStyle w:val="TableParagraph"/>
              <w:spacing w:line="240" w:lineRule="exact"/>
              <w:ind w:right="353"/>
              <w:jc w:val="center"/>
              <w:rPr>
                <w:rFonts w:ascii="Cambria Math" w:hAnsi="Cambria Math" w:eastAsia="Cambria Math"/>
                <w:sz w:val="17"/>
              </w:rPr>
            </w:pPr>
            <w:r>
              <w:rPr>
                <w:rFonts w:ascii="Cambria Math" w:hAnsi="Cambria Math" w:eastAsia="Cambria Math"/>
                <w:w w:val="110"/>
                <w:position w:val="5"/>
                <w:sz w:val="24"/>
              </w:rPr>
              <w:t>𝑎</w:t>
            </w:r>
            <w:r>
              <w:rPr>
                <w:rFonts w:ascii="Cambria Math" w:hAnsi="Cambria Math" w:eastAsia="Cambria Math"/>
                <w:w w:val="110"/>
                <w:sz w:val="17"/>
              </w:rPr>
              <w:t>𝑠ℎ𝑒𝑎𝑟</w:t>
            </w:r>
            <w:r>
              <w:rPr>
                <w:rFonts w:ascii="Cambria Math" w:hAnsi="Cambria Math" w:eastAsia="Cambria Math"/>
                <w:w w:val="110"/>
                <w:position w:val="14"/>
                <w:sz w:val="17"/>
              </w:rPr>
              <w:t>2</w:t>
            </w:r>
          </w:p>
          <w:p>
            <w:pPr>
              <w:pStyle w:val="TableParagraph"/>
              <w:tabs>
                <w:tab w:pos="1335" w:val="left" w:leader="none"/>
                <w:tab w:pos="1849" w:val="left" w:leader="none"/>
                <w:tab w:pos="2916" w:val="left" w:leader="none"/>
                <w:tab w:pos="3853" w:val="left" w:leader="none"/>
                <w:tab w:pos="4381" w:val="left" w:leader="none"/>
              </w:tabs>
              <w:spacing w:line="279" w:lineRule="exact"/>
              <w:ind w:left="200"/>
              <w:rPr>
                <w:rFonts w:ascii="Cambria Math" w:hAnsi="Cambria Math" w:eastAsia="Cambria Math"/>
                <w:sz w:val="24"/>
              </w:rPr>
            </w:pPr>
            <w:r>
              <w:rPr>
                <w:rFonts w:ascii="Cambria Math" w:hAnsi="Cambria Math" w:eastAsia="Cambria Math"/>
                <w:position w:val="14"/>
                <w:sz w:val="24"/>
              </w:rPr>
              <w:t>𝐺𝐴</w:t>
            </w:r>
            <w:r>
              <w:rPr>
                <w:rFonts w:ascii="Cambria Math" w:hAnsi="Cambria Math" w:eastAsia="Cambria Math"/>
                <w:spacing w:val="-1"/>
                <w:w w:val="109"/>
                <w:position w:val="9"/>
                <w:sz w:val="17"/>
              </w:rPr>
              <w:t>𝑒</w:t>
            </w:r>
            <w:r>
              <w:rPr>
                <w:rFonts w:ascii="Cambria Math" w:hAnsi="Cambria Math" w:eastAsia="Cambria Math"/>
                <w:spacing w:val="-1"/>
                <w:w w:val="54"/>
                <w:position w:val="9"/>
                <w:sz w:val="17"/>
              </w:rPr>
              <w:t>𝑓𝑓𝑓</w:t>
            </w:r>
            <w:r>
              <w:rPr>
                <w:rFonts w:ascii="Cambria Math" w:hAnsi="Cambria Math" w:eastAsia="Cambria Math"/>
                <w:w w:val="54"/>
                <w:position w:val="9"/>
                <w:sz w:val="17"/>
              </w:rPr>
              <w:t>𝑓</w:t>
            </w:r>
            <w:r>
              <w:rPr>
                <w:rFonts w:ascii="Cambria Math" w:hAnsi="Cambria Math" w:eastAsia="Cambria Math"/>
                <w:position w:val="9"/>
                <w:sz w:val="17"/>
              </w:rPr>
              <w:t> </w:t>
            </w:r>
            <w:r>
              <w:rPr>
                <w:rFonts w:ascii="Cambria Math" w:hAnsi="Cambria Math" w:eastAsia="Cambria Math"/>
                <w:spacing w:val="5"/>
                <w:position w:val="9"/>
                <w:sz w:val="17"/>
              </w:rPr>
              <w:t> </w:t>
            </w:r>
            <w:r>
              <w:rPr>
                <w:rFonts w:ascii="Cambria Math" w:hAnsi="Cambria Math" w:eastAsia="Cambria Math"/>
                <w:position w:val="14"/>
                <w:sz w:val="24"/>
              </w:rPr>
              <w:t>=</w:t>
              <w:tab/>
            </w:r>
            <w:r>
              <w:rPr>
                <w:sz w:val="24"/>
                <w:u w:val="single"/>
              </w:rPr>
              <w:t> </w:t>
            </w:r>
            <w:r>
              <w:rPr>
                <w:spacing w:val="19"/>
                <w:sz w:val="24"/>
                <w:u w:val="single"/>
              </w:rPr>
              <w:t> </w:t>
            </w:r>
            <w:r>
              <w:rPr>
                <w:rFonts w:ascii="Cambria Math" w:hAnsi="Cambria Math" w:eastAsia="Cambria Math"/>
                <w:sz w:val="24"/>
                <w:u w:val="single"/>
              </w:rPr>
              <w:t>ℎ</w:t>
              <w:tab/>
            </w:r>
            <w:r>
              <w:rPr>
                <w:rFonts w:ascii="Cambria Math" w:hAnsi="Cambria Math" w:eastAsia="Cambria Math"/>
                <w:sz w:val="24"/>
              </w:rPr>
              <w:tab/>
            </w:r>
            <w:r>
              <w:rPr>
                <w:sz w:val="24"/>
                <w:u w:val="single"/>
              </w:rPr>
              <w:t> </w:t>
            </w:r>
            <w:r>
              <w:rPr>
                <w:spacing w:val="-17"/>
                <w:sz w:val="24"/>
                <w:u w:val="single"/>
              </w:rPr>
              <w:t> </w:t>
            </w:r>
            <w:r>
              <w:rPr>
                <w:rFonts w:ascii="Cambria Math" w:hAnsi="Cambria Math" w:eastAsia="Cambria Math"/>
                <w:sz w:val="24"/>
                <w:u w:val="single"/>
              </w:rPr>
              <w:t>ℎ  </w:t>
            </w:r>
            <w:r>
              <w:rPr>
                <w:rFonts w:ascii="Cambria Math" w:hAnsi="Cambria Math" w:eastAsia="Cambria Math"/>
                <w:spacing w:val="21"/>
                <w:sz w:val="24"/>
                <w:u w:val="single"/>
              </w:rPr>
              <w:t> </w:t>
            </w:r>
            <w:r>
              <w:rPr>
                <w:rFonts w:ascii="Cambria Math" w:hAnsi="Cambria Math" w:eastAsia="Cambria Math"/>
                <w:sz w:val="24"/>
              </w:rPr>
              <w:tab/>
            </w:r>
            <w:r>
              <w:rPr>
                <w:sz w:val="24"/>
                <w:u w:val="single"/>
              </w:rPr>
              <w:t> </w:t>
            </w:r>
            <w:r>
              <w:rPr>
                <w:spacing w:val="15"/>
                <w:sz w:val="24"/>
                <w:u w:val="single"/>
              </w:rPr>
              <w:t> </w:t>
            </w:r>
            <w:r>
              <w:rPr>
                <w:rFonts w:ascii="Cambria Math" w:hAnsi="Cambria Math" w:eastAsia="Cambria Math"/>
                <w:sz w:val="24"/>
                <w:u w:val="single"/>
              </w:rPr>
              <w:t>ℎ</w:t>
              <w:tab/>
            </w:r>
          </w:p>
          <w:p>
            <w:pPr>
              <w:pStyle w:val="TableParagraph"/>
              <w:tabs>
                <w:tab w:pos="475" w:val="left" w:leader="none"/>
                <w:tab w:pos="2026" w:val="left" w:leader="none"/>
                <w:tab w:pos="2996" w:val="left" w:leader="none"/>
              </w:tabs>
              <w:spacing w:line="137" w:lineRule="exact"/>
              <w:ind w:right="345"/>
              <w:jc w:val="center"/>
              <w:rPr>
                <w:rFonts w:ascii="Cambria Math" w:hAnsi="Cambria Math" w:cs="Cambria Math" w:eastAsia="Cambria Math"/>
                <w:sz w:val="24"/>
                <w:szCs w:val="24"/>
              </w:rPr>
            </w:pPr>
            <w:r>
              <w:rPr>
                <w:rFonts w:ascii="Cambria Math" w:hAnsi="Cambria Math" w:cs="Cambria Math" w:eastAsia="Cambria Math"/>
                <w:w w:val="37"/>
                <w:sz w:val="24"/>
                <w:szCs w:val="24"/>
              </w:rPr>
              <w:t>�</w:t>
            </w:r>
            <w:r>
              <w:rPr>
                <w:rFonts w:ascii="Cambria Math" w:hAnsi="Cambria Math" w:cs="Cambria Math" w:eastAsia="Cambria Math"/>
                <w:w w:val="49"/>
                <w:sz w:val="24"/>
                <w:szCs w:val="24"/>
              </w:rPr>
              <w:t>�</w:t>
            </w:r>
            <w:r>
              <w:rPr>
                <w:rFonts w:ascii="Cambria Math" w:hAnsi="Cambria Math" w:cs="Cambria Math" w:eastAsia="Cambria Math"/>
                <w:sz w:val="24"/>
                <w:szCs w:val="24"/>
              </w:rPr>
              <w:tab/>
            </w:r>
            <w:r>
              <w:rPr>
                <w:rFonts w:ascii="Cambria Math" w:hAnsi="Cambria Math" w:cs="Cambria Math" w:eastAsia="Cambria Math"/>
                <w:w w:val="111"/>
                <w:sz w:val="24"/>
                <w:szCs w:val="24"/>
                <w:vertAlign w:val="superscript"/>
              </w:rPr>
              <w:t>1</w:t>
            </w:r>
            <w:r>
              <w:rPr>
                <w:rFonts w:ascii="Cambria Math" w:hAnsi="Cambria Math" w:cs="Cambria Math" w:eastAsia="Cambria Math"/>
                <w:sz w:val="24"/>
                <w:szCs w:val="24"/>
                <w:vertAlign w:val="baseline"/>
              </w:rPr>
              <w:t>  </w:t>
            </w:r>
            <w:r>
              <w:rPr>
                <w:rFonts w:ascii="Cambria Math" w:hAnsi="Cambria Math" w:cs="Cambria Math" w:eastAsia="Cambria Math"/>
                <w:spacing w:val="-9"/>
                <w:sz w:val="24"/>
                <w:szCs w:val="24"/>
                <w:vertAlign w:val="baseline"/>
              </w:rPr>
              <w:t> </w:t>
            </w:r>
            <w:r>
              <w:rPr>
                <w:rFonts w:ascii="Cambria Math" w:hAnsi="Cambria Math" w:cs="Cambria Math" w:eastAsia="Cambria Math"/>
                <w:w w:val="49"/>
                <w:sz w:val="24"/>
                <w:szCs w:val="24"/>
                <w:vertAlign w:val="baseline"/>
              </w:rPr>
              <w:t>�</w:t>
            </w:r>
            <w:r>
              <w:rPr>
                <w:rFonts w:ascii="Cambria Math" w:hAnsi="Cambria Math" w:cs="Cambria Math" w:eastAsia="Cambria Math"/>
                <w:spacing w:val="-1"/>
                <w:sz w:val="24"/>
                <w:szCs w:val="24"/>
                <w:vertAlign w:val="baseline"/>
              </w:rPr>
              <w:t> </w:t>
            </w:r>
            <w:r>
              <w:rPr>
                <w:rFonts w:ascii="Cambria Math" w:hAnsi="Cambria Math" w:cs="Cambria Math" w:eastAsia="Cambria Math"/>
                <w:sz w:val="24"/>
                <w:szCs w:val="24"/>
                <w:vertAlign w:val="baseline"/>
              </w:rPr>
              <w:t>+ </w:t>
            </w:r>
            <w:r>
              <w:rPr>
                <w:rFonts w:ascii="Cambria Math" w:hAnsi="Cambria Math" w:cs="Cambria Math" w:eastAsia="Cambria Math"/>
                <w:spacing w:val="-1"/>
                <w:w w:val="49"/>
                <w:sz w:val="24"/>
                <w:szCs w:val="24"/>
                <w:vertAlign w:val="baseline"/>
              </w:rPr>
              <w:t>�</w:t>
            </w:r>
            <w:r>
              <w:rPr>
                <w:rFonts w:ascii="Cambria Math" w:hAnsi="Cambria Math" w:cs="Cambria Math" w:eastAsia="Cambria Math"/>
                <w:position w:val="1"/>
                <w:sz w:val="24"/>
                <w:szCs w:val="24"/>
                <w:vertAlign w:val="baseline"/>
              </w:rPr>
              <w:t>∑</w:t>
            </w:r>
            <w:r>
              <w:rPr>
                <w:rFonts w:ascii="Cambria Math" w:hAnsi="Cambria Math" w:cs="Cambria Math" w:eastAsia="Cambria Math"/>
                <w:spacing w:val="2"/>
                <w:w w:val="120"/>
                <w:position w:val="1"/>
                <w:sz w:val="24"/>
                <w:szCs w:val="24"/>
                <w:vertAlign w:val="superscript"/>
              </w:rPr>
              <w:t>𝑛</w:t>
            </w:r>
            <w:r>
              <w:rPr>
                <w:rFonts w:ascii="Cambria Math" w:hAnsi="Cambria Math" w:cs="Cambria Math" w:eastAsia="Cambria Math"/>
                <w:spacing w:val="-1"/>
                <w:w w:val="103"/>
                <w:position w:val="1"/>
                <w:sz w:val="24"/>
                <w:szCs w:val="24"/>
                <w:vertAlign w:val="superscript"/>
              </w:rPr>
              <w:t>−</w:t>
            </w:r>
            <w:r>
              <w:rPr>
                <w:rFonts w:ascii="Cambria Math" w:hAnsi="Cambria Math" w:cs="Cambria Math" w:eastAsia="Cambria Math"/>
                <w:w w:val="111"/>
                <w:position w:val="1"/>
                <w:sz w:val="24"/>
                <w:szCs w:val="24"/>
                <w:vertAlign w:val="superscript"/>
              </w:rPr>
              <w:t>1</w:t>
            </w:r>
            <w:r>
              <w:rPr>
                <w:rFonts w:ascii="Cambria Math" w:hAnsi="Cambria Math" w:cs="Cambria Math" w:eastAsia="Cambria Math"/>
                <w:position w:val="1"/>
                <w:sz w:val="24"/>
                <w:szCs w:val="24"/>
                <w:vertAlign w:val="baseline"/>
              </w:rPr>
              <w:tab/>
            </w:r>
            <w:r>
              <w:rPr>
                <w:rFonts w:ascii="Cambria Math" w:hAnsi="Cambria Math" w:cs="Cambria Math" w:eastAsia="Cambria Math"/>
                <w:w w:val="30"/>
                <w:position w:val="1"/>
                <w:sz w:val="24"/>
                <w:szCs w:val="24"/>
                <w:vertAlign w:val="superscript"/>
              </w:rPr>
              <w:t>𝑔𝑔</w:t>
            </w:r>
            <w:r>
              <w:rPr>
                <w:rFonts w:ascii="Cambria Math" w:hAnsi="Cambria Math" w:cs="Cambria Math" w:eastAsia="Cambria Math"/>
                <w:position w:val="1"/>
                <w:sz w:val="24"/>
                <w:szCs w:val="24"/>
                <w:vertAlign w:val="baseline"/>
              </w:rPr>
              <w:t> </w:t>
            </w:r>
            <w:r>
              <w:rPr>
                <w:rFonts w:ascii="Cambria Math" w:hAnsi="Cambria Math" w:cs="Cambria Math" w:eastAsia="Cambria Math"/>
                <w:spacing w:val="14"/>
                <w:position w:val="1"/>
                <w:sz w:val="24"/>
                <w:szCs w:val="24"/>
                <w:vertAlign w:val="baseline"/>
              </w:rPr>
              <w:t> </w:t>
            </w:r>
            <w:r>
              <w:rPr>
                <w:rFonts w:ascii="Cambria Math" w:hAnsi="Cambria Math" w:cs="Cambria Math" w:eastAsia="Cambria Math"/>
                <w:w w:val="49"/>
                <w:sz w:val="24"/>
                <w:szCs w:val="24"/>
                <w:vertAlign w:val="baseline"/>
              </w:rPr>
              <w:t>�</w:t>
            </w:r>
            <w:r>
              <w:rPr>
                <w:rFonts w:ascii="Cambria Math" w:hAnsi="Cambria Math" w:cs="Cambria Math" w:eastAsia="Cambria Math"/>
                <w:spacing w:val="-1"/>
                <w:sz w:val="24"/>
                <w:szCs w:val="24"/>
                <w:vertAlign w:val="baseline"/>
              </w:rPr>
              <w:t> </w:t>
            </w:r>
            <w:r>
              <w:rPr>
                <w:rFonts w:ascii="Cambria Math" w:hAnsi="Cambria Math" w:cs="Cambria Math" w:eastAsia="Cambria Math"/>
                <w:sz w:val="24"/>
                <w:szCs w:val="24"/>
                <w:vertAlign w:val="baseline"/>
              </w:rPr>
              <w:t>+ </w:t>
            </w:r>
            <w:r>
              <w:rPr>
                <w:rFonts w:ascii="Cambria Math" w:hAnsi="Cambria Math" w:cs="Cambria Math" w:eastAsia="Cambria Math"/>
                <w:w w:val="49"/>
                <w:sz w:val="24"/>
                <w:szCs w:val="24"/>
                <w:vertAlign w:val="baseline"/>
              </w:rPr>
              <w:t>�</w:t>
            </w:r>
            <w:r>
              <w:rPr>
                <w:rFonts w:ascii="Cambria Math" w:hAnsi="Cambria Math" w:cs="Cambria Math" w:eastAsia="Cambria Math"/>
                <w:sz w:val="24"/>
                <w:szCs w:val="24"/>
                <w:vertAlign w:val="baseline"/>
              </w:rPr>
              <w:tab/>
            </w:r>
            <w:r>
              <w:rPr>
                <w:rFonts w:ascii="Cambria Math" w:hAnsi="Cambria Math" w:cs="Cambria Math" w:eastAsia="Cambria Math"/>
                <w:w w:val="120"/>
                <w:sz w:val="24"/>
                <w:szCs w:val="24"/>
                <w:vertAlign w:val="superscript"/>
              </w:rPr>
              <w:t>𝑛</w:t>
            </w:r>
            <w:r>
              <w:rPr>
                <w:rFonts w:ascii="Cambria Math" w:hAnsi="Cambria Math" w:cs="Cambria Math" w:eastAsia="Cambria Math"/>
                <w:sz w:val="24"/>
                <w:szCs w:val="24"/>
                <w:vertAlign w:val="baseline"/>
              </w:rPr>
              <w:t>  </w:t>
            </w:r>
            <w:r>
              <w:rPr>
                <w:rFonts w:ascii="Cambria Math" w:hAnsi="Cambria Math" w:cs="Cambria Math" w:eastAsia="Cambria Math"/>
                <w:spacing w:val="-11"/>
                <w:sz w:val="24"/>
                <w:szCs w:val="24"/>
                <w:vertAlign w:val="baseline"/>
              </w:rPr>
              <w:t> </w:t>
            </w:r>
            <w:r>
              <w:rPr>
                <w:rFonts w:ascii="Cambria Math" w:hAnsi="Cambria Math" w:cs="Cambria Math" w:eastAsia="Cambria Math"/>
                <w:spacing w:val="-1"/>
                <w:w w:val="49"/>
                <w:sz w:val="24"/>
                <w:szCs w:val="24"/>
                <w:vertAlign w:val="baseline"/>
              </w:rPr>
              <w:t>�</w:t>
            </w:r>
            <w:r>
              <w:rPr>
                <w:rFonts w:ascii="Cambria Math" w:hAnsi="Cambria Math" w:cs="Cambria Math" w:eastAsia="Cambria Math"/>
                <w:w w:val="37"/>
                <w:sz w:val="24"/>
                <w:szCs w:val="24"/>
                <w:vertAlign w:val="baseline"/>
              </w:rPr>
              <w:t>�</w:t>
            </w:r>
          </w:p>
          <w:p>
            <w:pPr>
              <w:pStyle w:val="TableParagraph"/>
              <w:tabs>
                <w:tab w:pos="1205" w:val="left" w:leader="none"/>
                <w:tab w:pos="2518" w:val="left" w:leader="none"/>
              </w:tabs>
              <w:spacing w:line="237" w:lineRule="exact"/>
              <w:ind w:right="349"/>
              <w:jc w:val="center"/>
              <w:rPr>
                <w:rFonts w:ascii="Cambria Math" w:eastAsia="Cambria Math"/>
                <w:sz w:val="24"/>
              </w:rPr>
            </w:pPr>
            <w:r>
              <w:rPr>
                <w:rFonts w:ascii="Cambria Math" w:eastAsia="Cambria Math"/>
                <w:sz w:val="24"/>
              </w:rPr>
              <w:t>2</w:t>
            </w:r>
            <w:r>
              <w:rPr>
                <w:rFonts w:ascii="Cambria Math" w:eastAsia="Cambria Math"/>
                <w:spacing w:val="-14"/>
                <w:sz w:val="24"/>
              </w:rPr>
              <w:t>𝐺</w:t>
            </w:r>
            <w:r>
              <w:rPr>
                <w:rFonts w:ascii="Cambria Math" w:eastAsia="Cambria Math"/>
                <w:spacing w:val="9"/>
                <w:w w:val="104"/>
                <w:position w:val="-4"/>
                <w:sz w:val="17"/>
              </w:rPr>
              <w:t>1</w:t>
            </w:r>
            <w:r>
              <w:rPr>
                <w:rFonts w:ascii="Cambria Math" w:eastAsia="Cambria Math"/>
                <w:sz w:val="24"/>
              </w:rPr>
              <w:t>𝑏</w:t>
              <w:tab/>
            </w:r>
            <w:r>
              <w:rPr>
                <w:rFonts w:ascii="Cambria Math" w:eastAsia="Cambria Math"/>
                <w:w w:val="28"/>
                <w:position w:val="6"/>
                <w:sz w:val="17"/>
              </w:rPr>
              <w:t>𝑔</w:t>
            </w:r>
            <w:r>
              <w:rPr>
                <w:rFonts w:ascii="Cambria Math" w:eastAsia="Cambria Math"/>
                <w:spacing w:val="5"/>
                <w:w w:val="28"/>
                <w:position w:val="6"/>
                <w:sz w:val="17"/>
              </w:rPr>
              <w:t>𝑔</w:t>
            </w:r>
            <w:r>
              <w:rPr>
                <w:rFonts w:ascii="Cambria Math" w:eastAsia="Cambria Math"/>
                <w:spacing w:val="-1"/>
                <w:w w:val="97"/>
                <w:position w:val="6"/>
                <w:sz w:val="17"/>
              </w:rPr>
              <w:t>=</w:t>
            </w:r>
            <w:r>
              <w:rPr>
                <w:rFonts w:ascii="Cambria Math" w:eastAsia="Cambria Math"/>
                <w:w w:val="104"/>
                <w:position w:val="6"/>
                <w:sz w:val="17"/>
              </w:rPr>
              <w:t>2</w:t>
            </w:r>
            <w:r>
              <w:rPr>
                <w:rFonts w:ascii="Cambria Math" w:eastAsia="Cambria Math"/>
                <w:position w:val="6"/>
                <w:sz w:val="17"/>
              </w:rPr>
              <w:t> </w:t>
            </w:r>
            <w:r>
              <w:rPr>
                <w:rFonts w:ascii="Cambria Math" w:eastAsia="Cambria Math"/>
                <w:spacing w:val="13"/>
                <w:position w:val="6"/>
                <w:sz w:val="17"/>
              </w:rPr>
              <w:t> </w:t>
            </w:r>
            <w:r>
              <w:rPr>
                <w:rFonts w:ascii="Cambria Math" w:eastAsia="Cambria Math"/>
                <w:spacing w:val="-8"/>
                <w:sz w:val="24"/>
              </w:rPr>
              <w:t>𝐺</w:t>
            </w:r>
            <w:r>
              <w:rPr>
                <w:rFonts w:ascii="Cambria Math" w:eastAsia="Cambria Math"/>
                <w:w w:val="28"/>
                <w:position w:val="-4"/>
                <w:sz w:val="17"/>
              </w:rPr>
              <w:t>𝑔𝑔</w:t>
            </w:r>
            <w:r>
              <w:rPr>
                <w:rFonts w:ascii="Cambria Math" w:eastAsia="Cambria Math"/>
                <w:spacing w:val="-22"/>
                <w:position w:val="-4"/>
                <w:sz w:val="17"/>
              </w:rPr>
              <w:t> </w:t>
            </w:r>
            <w:r>
              <w:rPr>
                <w:rFonts w:ascii="Cambria Math" w:eastAsia="Cambria Math"/>
                <w:spacing w:val="-7"/>
                <w:sz w:val="24"/>
              </w:rPr>
              <w:t>𝑏</w:t>
            </w:r>
            <w:r>
              <w:rPr>
                <w:rFonts w:ascii="Cambria Math" w:eastAsia="Cambria Math"/>
                <w:w w:val="28"/>
                <w:position w:val="-4"/>
                <w:sz w:val="17"/>
              </w:rPr>
              <w:t>𝑔𝑔</w:t>
            </w:r>
            <w:r>
              <w:rPr>
                <w:rFonts w:ascii="Cambria Math" w:eastAsia="Cambria Math"/>
                <w:position w:val="-4"/>
                <w:sz w:val="17"/>
              </w:rPr>
              <w:tab/>
            </w:r>
            <w:r>
              <w:rPr>
                <w:rFonts w:ascii="Cambria Math" w:eastAsia="Cambria Math"/>
                <w:sz w:val="24"/>
              </w:rPr>
              <w:t>2</w:t>
            </w:r>
            <w:r>
              <w:rPr>
                <w:rFonts w:ascii="Cambria Math" w:eastAsia="Cambria Math"/>
                <w:spacing w:val="-15"/>
                <w:sz w:val="24"/>
              </w:rPr>
              <w:t>𝐺</w:t>
            </w:r>
            <w:r>
              <w:rPr>
                <w:rFonts w:ascii="Cambria Math" w:eastAsia="Cambria Math"/>
                <w:spacing w:val="12"/>
                <w:w w:val="113"/>
                <w:position w:val="-4"/>
                <w:sz w:val="17"/>
              </w:rPr>
              <w:t>𝑛</w:t>
            </w:r>
            <w:r>
              <w:rPr>
                <w:rFonts w:ascii="Cambria Math" w:eastAsia="Cambria Math"/>
                <w:sz w:val="24"/>
              </w:rPr>
              <w:t>𝑏</w:t>
            </w:r>
          </w:p>
        </w:tc>
        <w:tc>
          <w:tcPr>
            <w:tcW w:w="2134" w:type="dxa"/>
          </w:tcPr>
          <w:p>
            <w:pPr>
              <w:pStyle w:val="TableParagraph"/>
              <w:rPr>
                <w:sz w:val="26"/>
              </w:rPr>
            </w:pPr>
          </w:p>
          <w:p>
            <w:pPr>
              <w:pStyle w:val="TableParagraph"/>
              <w:spacing w:before="9"/>
              <w:rPr>
                <w:sz w:val="27"/>
              </w:rPr>
            </w:pPr>
          </w:p>
          <w:p>
            <w:pPr>
              <w:pStyle w:val="TableParagraph"/>
              <w:ind w:right="200"/>
              <w:jc w:val="right"/>
              <w:rPr>
                <w:sz w:val="24"/>
              </w:rPr>
            </w:pPr>
            <w:r>
              <w:rPr>
                <w:sz w:val="24"/>
              </w:rPr>
              <w:t>(4.5)</w:t>
            </w:r>
          </w:p>
        </w:tc>
      </w:tr>
      <w:tr>
        <w:trPr>
          <w:trHeight w:val="592" w:hRule="atLeast"/>
        </w:trPr>
        <w:tc>
          <w:tcPr>
            <w:tcW w:w="2673" w:type="dxa"/>
          </w:tcPr>
          <w:p>
            <w:pPr>
              <w:pStyle w:val="TableParagraph"/>
              <w:rPr>
                <w:sz w:val="27"/>
              </w:rPr>
            </w:pPr>
          </w:p>
          <w:p>
            <w:pPr>
              <w:pStyle w:val="TableParagraph"/>
              <w:spacing w:line="262" w:lineRule="exact"/>
              <w:ind w:right="161"/>
              <w:jc w:val="right"/>
              <w:rPr>
                <w:sz w:val="24"/>
              </w:rPr>
            </w:pPr>
            <w:r>
              <w:rPr>
                <w:sz w:val="24"/>
              </w:rPr>
              <w:t>where</w:t>
            </w:r>
          </w:p>
        </w:tc>
        <w:tc>
          <w:tcPr>
            <w:tcW w:w="1030" w:type="dxa"/>
          </w:tcPr>
          <w:p>
            <w:pPr>
              <w:pStyle w:val="TableParagraph"/>
              <w:rPr>
                <w:sz w:val="27"/>
              </w:rPr>
            </w:pPr>
          </w:p>
          <w:p>
            <w:pPr>
              <w:pStyle w:val="TableParagraph"/>
              <w:spacing w:line="261" w:lineRule="exact" w:before="1"/>
              <w:ind w:right="106"/>
              <w:jc w:val="right"/>
              <w:rPr>
                <w:i/>
                <w:sz w:val="24"/>
              </w:rPr>
            </w:pPr>
            <w:r>
              <w:rPr>
                <w:i/>
                <w:position w:val="1"/>
                <w:sz w:val="24"/>
              </w:rPr>
              <w:t>a</w:t>
            </w:r>
            <w:r>
              <w:rPr>
                <w:i/>
                <w:spacing w:val="-1"/>
                <w:position w:val="1"/>
                <w:sz w:val="24"/>
              </w:rPr>
              <w:t> </w:t>
            </w:r>
            <w:r>
              <w:rPr>
                <w:i/>
                <w:sz w:val="16"/>
              </w:rPr>
              <w:t>shear</w:t>
            </w:r>
            <w:r>
              <w:rPr>
                <w:i/>
                <w:spacing w:val="19"/>
                <w:sz w:val="16"/>
              </w:rPr>
              <w:t> </w:t>
            </w:r>
            <w:r>
              <w:rPr>
                <w:i/>
                <w:position w:val="1"/>
                <w:sz w:val="24"/>
              </w:rPr>
              <w:t>=</w:t>
            </w:r>
          </w:p>
        </w:tc>
        <w:tc>
          <w:tcPr>
            <w:tcW w:w="4495" w:type="dxa"/>
            <w:gridSpan w:val="2"/>
          </w:tcPr>
          <w:p>
            <w:pPr>
              <w:pStyle w:val="TableParagraph"/>
              <w:rPr>
                <w:sz w:val="27"/>
              </w:rPr>
            </w:pPr>
          </w:p>
          <w:p>
            <w:pPr>
              <w:pStyle w:val="TableParagraph"/>
              <w:spacing w:line="262" w:lineRule="exact"/>
              <w:ind w:left="107"/>
              <w:rPr>
                <w:sz w:val="24"/>
              </w:rPr>
            </w:pPr>
            <w:r>
              <w:rPr>
                <w:sz w:val="24"/>
              </w:rPr>
              <w:t>effective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shear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thickness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=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h(n-1)</w:t>
            </w:r>
          </w:p>
        </w:tc>
      </w:tr>
      <w:tr>
        <w:trPr>
          <w:trHeight w:val="276" w:hRule="atLeast"/>
        </w:trPr>
        <w:tc>
          <w:tcPr>
            <w:tcW w:w="267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30" w:type="dxa"/>
          </w:tcPr>
          <w:p>
            <w:pPr>
              <w:pStyle w:val="TableParagraph"/>
              <w:spacing w:line="256" w:lineRule="exact"/>
              <w:ind w:right="106"/>
              <w:jc w:val="right"/>
              <w:rPr>
                <w:i/>
                <w:sz w:val="24"/>
              </w:rPr>
            </w:pPr>
            <w:r>
              <w:rPr>
                <w:i/>
                <w:sz w:val="24"/>
              </w:rPr>
              <w:t>h =</w:t>
            </w:r>
          </w:p>
        </w:tc>
        <w:tc>
          <w:tcPr>
            <w:tcW w:w="4495" w:type="dxa"/>
            <w:gridSpan w:val="2"/>
          </w:tcPr>
          <w:p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thickness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each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individual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layer</w:t>
            </w:r>
          </w:p>
        </w:tc>
      </w:tr>
      <w:tr>
        <w:trPr>
          <w:trHeight w:val="276" w:hRule="atLeast"/>
        </w:trPr>
        <w:tc>
          <w:tcPr>
            <w:tcW w:w="267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30" w:type="dxa"/>
          </w:tcPr>
          <w:p>
            <w:pPr>
              <w:pStyle w:val="TableParagraph"/>
              <w:spacing w:line="256" w:lineRule="exact"/>
              <w:ind w:right="106"/>
              <w:jc w:val="right"/>
              <w:rPr>
                <w:i/>
                <w:sz w:val="24"/>
              </w:rPr>
            </w:pPr>
            <w:r>
              <w:rPr>
                <w:i/>
                <w:sz w:val="24"/>
              </w:rPr>
              <w:t>b =</w:t>
            </w:r>
          </w:p>
        </w:tc>
        <w:tc>
          <w:tcPr>
            <w:tcW w:w="4495" w:type="dxa"/>
            <w:gridSpan w:val="2"/>
          </w:tcPr>
          <w:p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width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individual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layer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CLT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panel</w:t>
            </w:r>
          </w:p>
        </w:tc>
      </w:tr>
      <w:tr>
        <w:trPr>
          <w:trHeight w:val="546" w:hRule="atLeast"/>
        </w:trPr>
        <w:tc>
          <w:tcPr>
            <w:tcW w:w="267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30" w:type="dxa"/>
          </w:tcPr>
          <w:p>
            <w:pPr>
              <w:pStyle w:val="TableParagraph"/>
              <w:spacing w:line="271" w:lineRule="exact"/>
              <w:ind w:right="106"/>
              <w:jc w:val="right"/>
              <w:rPr>
                <w:i/>
                <w:sz w:val="24"/>
              </w:rPr>
            </w:pPr>
            <w:r>
              <w:rPr>
                <w:i/>
                <w:sz w:val="24"/>
              </w:rPr>
              <w:t>G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=</w:t>
            </w:r>
          </w:p>
        </w:tc>
        <w:tc>
          <w:tcPr>
            <w:tcW w:w="4495" w:type="dxa"/>
            <w:gridSpan w:val="2"/>
          </w:tcPr>
          <w:p>
            <w:pPr>
              <w:pStyle w:val="TableParagraph"/>
              <w:spacing w:line="276" w:lineRule="exact"/>
              <w:ind w:left="107" w:right="1617"/>
              <w:rPr>
                <w:sz w:val="24"/>
              </w:rPr>
            </w:pPr>
            <w:r>
              <w:rPr>
                <w:position w:val="1"/>
                <w:sz w:val="24"/>
              </w:rPr>
              <w:t>shear modulus = G</w:t>
            </w:r>
            <w:r>
              <w:rPr>
                <w:sz w:val="16"/>
              </w:rPr>
              <w:t>0</w:t>
            </w:r>
            <w:r>
              <w:rPr>
                <w:position w:val="1"/>
                <w:sz w:val="24"/>
              </w:rPr>
              <w:t>=E/16 or</w:t>
            </w:r>
            <w:r>
              <w:rPr>
                <w:spacing w:val="-58"/>
                <w:position w:val="1"/>
                <w:sz w:val="24"/>
              </w:rPr>
              <w:t> </w:t>
            </w:r>
            <w:r>
              <w:rPr>
                <w:position w:val="1"/>
                <w:sz w:val="24"/>
              </w:rPr>
              <w:t>G</w:t>
            </w:r>
            <w:r>
              <w:rPr>
                <w:sz w:val="16"/>
              </w:rPr>
              <w:t>R</w:t>
            </w:r>
            <w:r>
              <w:rPr>
                <w:position w:val="1"/>
                <w:sz w:val="24"/>
              </w:rPr>
              <w:t>=E/(16*10)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spacing w:line="480" w:lineRule="auto" w:before="227"/>
        <w:ind w:left="439" w:right="257" w:firstLine="720"/>
        <w:jc w:val="both"/>
      </w:pPr>
      <w:r>
        <w:rPr/>
        <w:pict>
          <v:rect style="position:absolute;margin-left:289.260010pt;margin-top:172.913132pt;width:43.2pt;height:.78pt;mso-position-horizontal-relative:page;mso-position-vertical-relative:paragraph;z-index:-34921472" filled="true" fillcolor="#000000" stroked="false">
            <v:fill type="solid"/>
            <w10:wrap type="none"/>
          </v:rect>
        </w:pict>
      </w:r>
      <w:r>
        <w:rPr/>
        <w:t>According to the CLT Handbook and PRG 320, the design of bending members in</w:t>
      </w:r>
      <w:r>
        <w:rPr>
          <w:spacing w:val="-57"/>
        </w:rPr>
        <w:t> </w:t>
      </w:r>
      <w:r>
        <w:rPr/>
        <w:t>flexure can use a simplified method to determine panel capacity using the extreme fiber</w:t>
      </w:r>
      <w:r>
        <w:rPr>
          <w:spacing w:val="1"/>
        </w:rPr>
        <w:t> </w:t>
      </w:r>
      <w:r>
        <w:rPr>
          <w:position w:val="1"/>
        </w:rPr>
        <w:t>approach of the effective section modulus, </w:t>
      </w:r>
      <w:r>
        <w:rPr>
          <w:i/>
          <w:position w:val="1"/>
        </w:rPr>
        <w:t>S</w:t>
      </w:r>
      <w:r>
        <w:rPr>
          <w:i/>
          <w:sz w:val="16"/>
        </w:rPr>
        <w:t>eff</w:t>
      </w:r>
      <w:r>
        <w:rPr>
          <w:position w:val="1"/>
        </w:rPr>
        <w:t>.</w:t>
      </w:r>
      <w:r>
        <w:rPr>
          <w:spacing w:val="1"/>
          <w:position w:val="1"/>
        </w:rPr>
        <w:t> </w:t>
      </w:r>
      <w:r>
        <w:rPr>
          <w:position w:val="1"/>
        </w:rPr>
        <w:t>With this method, the effective bending</w:t>
      </w:r>
      <w:r>
        <w:rPr>
          <w:spacing w:val="1"/>
          <w:position w:val="1"/>
        </w:rPr>
        <w:t> </w:t>
      </w:r>
      <w:r>
        <w:rPr/>
        <w:t>stiffness from Equation 4.4. is divided by the modulus of elasticity of the outer layer and</w:t>
      </w:r>
      <w:r>
        <w:rPr>
          <w:spacing w:val="1"/>
        </w:rPr>
        <w:t> </w:t>
      </w:r>
      <w:r>
        <w:rPr/>
        <w:t>half</w:t>
      </w:r>
      <w:r>
        <w:rPr>
          <w:spacing w:val="-2"/>
        </w:rPr>
        <w:t> </w:t>
      </w:r>
      <w:r>
        <w:rPr/>
        <w:t>the thickness 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panel, as shown in</w:t>
      </w:r>
      <w:r>
        <w:rPr>
          <w:spacing w:val="-1"/>
        </w:rPr>
        <w:t> </w:t>
      </w:r>
      <w:r>
        <w:rPr/>
        <w:t>Equation 4.6.</w:t>
      </w:r>
    </w:p>
    <w:p>
      <w:pPr>
        <w:pStyle w:val="BodyText"/>
        <w:spacing w:before="9"/>
        <w:rPr>
          <w:sz w:val="14"/>
        </w:rPr>
      </w:pPr>
    </w:p>
    <w:tbl>
      <w:tblPr>
        <w:tblW w:w="0" w:type="auto"/>
        <w:jc w:val="left"/>
        <w:tblInd w:w="313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64"/>
        <w:gridCol w:w="879"/>
        <w:gridCol w:w="4195"/>
      </w:tblGrid>
      <w:tr>
        <w:trPr>
          <w:trHeight w:val="685" w:hRule="atLeast"/>
        </w:trPr>
        <w:tc>
          <w:tcPr>
            <w:tcW w:w="1843" w:type="dxa"/>
            <w:gridSpan w:val="2"/>
          </w:tcPr>
          <w:p>
            <w:pPr>
              <w:pStyle w:val="TableParagraph"/>
              <w:spacing w:line="196" w:lineRule="exact"/>
              <w:ind w:left="1036"/>
              <w:rPr>
                <w:rFonts w:ascii="Cambria Math" w:eastAsia="Cambria Math"/>
                <w:sz w:val="24"/>
              </w:rPr>
            </w:pPr>
            <w:r>
              <w:rPr>
                <w:rFonts w:ascii="Cambria Math" w:eastAsia="Cambria Math"/>
                <w:spacing w:val="1"/>
                <w:sz w:val="24"/>
              </w:rPr>
              <w:t>2</w:t>
            </w:r>
            <w:r>
              <w:rPr>
                <w:rFonts w:ascii="Cambria Math" w:eastAsia="Cambria Math"/>
                <w:sz w:val="24"/>
              </w:rPr>
              <w:t>𝐸</w:t>
            </w:r>
            <w:r>
              <w:rPr>
                <w:rFonts w:ascii="Cambria Math" w:eastAsia="Cambria Math"/>
                <w:spacing w:val="-15"/>
                <w:sz w:val="24"/>
              </w:rPr>
              <w:t>𝐼</w:t>
            </w:r>
            <w:r>
              <w:rPr>
                <w:rFonts w:ascii="Cambria Math" w:eastAsia="Cambria Math"/>
                <w:spacing w:val="-1"/>
                <w:w w:val="116"/>
                <w:sz w:val="24"/>
                <w:vertAlign w:val="subscript"/>
              </w:rPr>
              <w:t>𝑒</w:t>
            </w:r>
            <w:r>
              <w:rPr>
                <w:rFonts w:ascii="Cambria Math" w:eastAsia="Cambria Math"/>
                <w:spacing w:val="-1"/>
                <w:w w:val="58"/>
                <w:sz w:val="24"/>
                <w:vertAlign w:val="subscript"/>
              </w:rPr>
              <w:t>𝑓𝑓𝑓𝑓</w:t>
            </w:r>
          </w:p>
          <w:p>
            <w:pPr>
              <w:pStyle w:val="TableParagraph"/>
              <w:spacing w:line="117" w:lineRule="auto" w:before="11"/>
              <w:ind w:left="200"/>
              <w:rPr>
                <w:rFonts w:ascii="Cambria Math" w:hAnsi="Cambria Math" w:eastAsia="Cambria Math"/>
                <w:sz w:val="24"/>
              </w:rPr>
            </w:pPr>
            <w:r>
              <w:rPr>
                <w:rFonts w:ascii="Cambria Math" w:hAnsi="Cambria Math" w:eastAsia="Cambria Math"/>
                <w:spacing w:val="-11"/>
                <w:position w:val="5"/>
                <w:sz w:val="24"/>
              </w:rPr>
              <w:t>𝑆</w:t>
            </w:r>
            <w:r>
              <w:rPr>
                <w:rFonts w:ascii="Cambria Math" w:hAnsi="Cambria Math" w:eastAsia="Cambria Math"/>
                <w:spacing w:val="-1"/>
                <w:w w:val="109"/>
                <w:sz w:val="17"/>
              </w:rPr>
              <w:t>𝑒</w:t>
            </w:r>
            <w:r>
              <w:rPr>
                <w:rFonts w:ascii="Cambria Math" w:hAnsi="Cambria Math" w:eastAsia="Cambria Math"/>
                <w:spacing w:val="-1"/>
                <w:w w:val="54"/>
                <w:sz w:val="17"/>
              </w:rPr>
              <w:t>𝑓𝑓𝑓</w:t>
            </w:r>
            <w:r>
              <w:rPr>
                <w:rFonts w:ascii="Cambria Math" w:hAnsi="Cambria Math" w:eastAsia="Cambria Math"/>
                <w:w w:val="54"/>
                <w:sz w:val="17"/>
              </w:rPr>
              <w:t>𝑓</w:t>
            </w:r>
            <w:r>
              <w:rPr>
                <w:rFonts w:ascii="Cambria Math" w:hAnsi="Cambria Math" w:eastAsia="Cambria Math"/>
                <w:sz w:val="17"/>
              </w:rPr>
              <w:t> </w:t>
            </w:r>
            <w:r>
              <w:rPr>
                <w:rFonts w:ascii="Cambria Math" w:hAnsi="Cambria Math" w:eastAsia="Cambria Math"/>
                <w:spacing w:val="6"/>
                <w:sz w:val="17"/>
              </w:rPr>
              <w:t> </w:t>
            </w:r>
            <w:r>
              <w:rPr>
                <w:rFonts w:ascii="Cambria Math" w:hAnsi="Cambria Math" w:eastAsia="Cambria Math"/>
                <w:position w:val="5"/>
                <w:sz w:val="24"/>
              </w:rPr>
              <w:t>=</w:t>
            </w:r>
            <w:r>
              <w:rPr>
                <w:rFonts w:ascii="Cambria Math" w:hAnsi="Cambria Math" w:eastAsia="Cambria Math"/>
                <w:spacing w:val="13"/>
                <w:position w:val="5"/>
                <w:sz w:val="24"/>
              </w:rPr>
              <w:t> </w:t>
            </w:r>
            <w:r>
              <w:rPr>
                <w:rFonts w:ascii="Cambria Math" w:hAnsi="Cambria Math" w:eastAsia="Cambria Math"/>
                <w:position w:val="-10"/>
                <w:sz w:val="24"/>
              </w:rPr>
              <w:t>𝐸 </w:t>
            </w:r>
            <w:r>
              <w:rPr>
                <w:rFonts w:ascii="Cambria Math" w:hAnsi="Cambria Math" w:eastAsia="Cambria Math"/>
                <w:spacing w:val="-16"/>
                <w:position w:val="-10"/>
                <w:sz w:val="24"/>
              </w:rPr>
              <w:t> </w:t>
            </w:r>
            <w:r>
              <w:rPr>
                <w:rFonts w:ascii="Cambria Math" w:hAnsi="Cambria Math" w:eastAsia="Cambria Math"/>
                <w:position w:val="-10"/>
                <w:sz w:val="24"/>
              </w:rPr>
              <w:t>ℎ</w:t>
            </w:r>
          </w:p>
          <w:p>
            <w:pPr>
              <w:pStyle w:val="TableParagraph"/>
              <w:spacing w:line="117" w:lineRule="exact"/>
              <w:ind w:left="1071"/>
              <w:rPr>
                <w:rFonts w:ascii="Cambria Math" w:eastAsia="Cambria Math"/>
                <w:sz w:val="17"/>
              </w:rPr>
            </w:pPr>
            <w:r>
              <w:rPr>
                <w:rFonts w:ascii="Cambria Math" w:eastAsia="Cambria Math"/>
                <w:w w:val="110"/>
                <w:sz w:val="17"/>
              </w:rPr>
              <w:t>1 </w:t>
            </w:r>
            <w:r>
              <w:rPr>
                <w:rFonts w:ascii="Cambria Math" w:eastAsia="Cambria Math"/>
                <w:spacing w:val="22"/>
                <w:w w:val="110"/>
                <w:sz w:val="17"/>
              </w:rPr>
              <w:t> </w:t>
            </w:r>
            <w:r>
              <w:rPr>
                <w:rFonts w:ascii="Cambria Math" w:eastAsia="Cambria Math"/>
                <w:w w:val="110"/>
                <w:sz w:val="17"/>
              </w:rPr>
              <w:t>𝑝𝑎𝑛𝑒𝑙</w:t>
            </w:r>
          </w:p>
        </w:tc>
        <w:tc>
          <w:tcPr>
            <w:tcW w:w="4195" w:type="dxa"/>
          </w:tcPr>
          <w:p>
            <w:pPr>
              <w:pStyle w:val="TableParagraph"/>
              <w:spacing w:line="266" w:lineRule="exact"/>
              <w:ind w:right="197"/>
              <w:jc w:val="right"/>
              <w:rPr>
                <w:sz w:val="24"/>
              </w:rPr>
            </w:pPr>
            <w:r>
              <w:rPr>
                <w:sz w:val="24"/>
              </w:rPr>
              <w:t>(4.6)</w:t>
            </w:r>
          </w:p>
        </w:tc>
      </w:tr>
      <w:tr>
        <w:trPr>
          <w:trHeight w:val="332" w:hRule="atLeast"/>
        </w:trPr>
        <w:tc>
          <w:tcPr>
            <w:tcW w:w="964" w:type="dxa"/>
          </w:tcPr>
          <w:p>
            <w:pPr>
              <w:pStyle w:val="TableParagraph"/>
              <w:spacing w:line="262" w:lineRule="exact" w:before="50"/>
              <w:ind w:left="215"/>
              <w:rPr>
                <w:sz w:val="24"/>
              </w:rPr>
            </w:pPr>
            <w:r>
              <w:rPr>
                <w:sz w:val="24"/>
              </w:rPr>
              <w:t>where</w:t>
            </w:r>
          </w:p>
        </w:tc>
        <w:tc>
          <w:tcPr>
            <w:tcW w:w="879" w:type="dxa"/>
          </w:tcPr>
          <w:p>
            <w:pPr>
              <w:pStyle w:val="TableParagraph"/>
              <w:spacing w:line="261" w:lineRule="exact" w:before="51"/>
              <w:ind w:right="106"/>
              <w:jc w:val="right"/>
              <w:rPr>
                <w:i/>
                <w:sz w:val="24"/>
              </w:rPr>
            </w:pPr>
            <w:r>
              <w:rPr>
                <w:i/>
                <w:position w:val="1"/>
                <w:sz w:val="24"/>
              </w:rPr>
              <w:t>EI</w:t>
            </w:r>
            <w:r>
              <w:rPr>
                <w:i/>
                <w:sz w:val="16"/>
              </w:rPr>
              <w:t>eff</w:t>
            </w:r>
            <w:r>
              <w:rPr>
                <w:i/>
                <w:spacing w:val="19"/>
                <w:sz w:val="16"/>
              </w:rPr>
              <w:t> </w:t>
            </w:r>
            <w:r>
              <w:rPr>
                <w:i/>
                <w:position w:val="1"/>
                <w:sz w:val="24"/>
              </w:rPr>
              <w:t>=</w:t>
            </w:r>
          </w:p>
        </w:tc>
        <w:tc>
          <w:tcPr>
            <w:tcW w:w="4195" w:type="dxa"/>
          </w:tcPr>
          <w:p>
            <w:pPr>
              <w:pStyle w:val="TableParagraph"/>
              <w:spacing w:line="262" w:lineRule="exact" w:before="50"/>
              <w:ind w:left="107"/>
              <w:rPr>
                <w:sz w:val="24"/>
              </w:rPr>
            </w:pPr>
            <w:r>
              <w:rPr>
                <w:sz w:val="24"/>
              </w:rPr>
              <w:t>effective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bending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stiffness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(see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Eqn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4.4)</w:t>
            </w:r>
          </w:p>
        </w:tc>
      </w:tr>
      <w:tr>
        <w:trPr>
          <w:trHeight w:val="276" w:hRule="atLeast"/>
        </w:trPr>
        <w:tc>
          <w:tcPr>
            <w:tcW w:w="96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879" w:type="dxa"/>
          </w:tcPr>
          <w:p>
            <w:pPr>
              <w:pStyle w:val="TableParagraph"/>
              <w:spacing w:line="256" w:lineRule="exact"/>
              <w:ind w:right="106"/>
              <w:jc w:val="right"/>
              <w:rPr>
                <w:i/>
                <w:sz w:val="24"/>
              </w:rPr>
            </w:pPr>
            <w:r>
              <w:rPr>
                <w:i/>
                <w:position w:val="1"/>
                <w:sz w:val="24"/>
              </w:rPr>
              <w:t>E</w:t>
            </w:r>
            <w:r>
              <w:rPr>
                <w:i/>
                <w:sz w:val="16"/>
              </w:rPr>
              <w:t>1</w:t>
            </w:r>
            <w:r>
              <w:rPr>
                <w:i/>
                <w:spacing w:val="19"/>
                <w:sz w:val="16"/>
              </w:rPr>
              <w:t> </w:t>
            </w:r>
            <w:r>
              <w:rPr>
                <w:i/>
                <w:position w:val="1"/>
                <w:sz w:val="24"/>
              </w:rPr>
              <w:t>=</w:t>
            </w:r>
          </w:p>
        </w:tc>
        <w:tc>
          <w:tcPr>
            <w:tcW w:w="4195" w:type="dxa"/>
          </w:tcPr>
          <w:p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modulus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elasticity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outermost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layer</w:t>
            </w:r>
          </w:p>
        </w:tc>
      </w:tr>
      <w:tr>
        <w:trPr>
          <w:trHeight w:val="271" w:hRule="atLeast"/>
        </w:trPr>
        <w:tc>
          <w:tcPr>
            <w:tcW w:w="96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879" w:type="dxa"/>
          </w:tcPr>
          <w:p>
            <w:pPr>
              <w:pStyle w:val="TableParagraph"/>
              <w:spacing w:line="251" w:lineRule="exact"/>
              <w:ind w:right="105"/>
              <w:jc w:val="right"/>
              <w:rPr>
                <w:i/>
                <w:sz w:val="24"/>
              </w:rPr>
            </w:pPr>
            <w:r>
              <w:rPr>
                <w:i/>
                <w:position w:val="1"/>
                <w:sz w:val="24"/>
              </w:rPr>
              <w:t>h</w:t>
            </w:r>
            <w:r>
              <w:rPr>
                <w:i/>
                <w:sz w:val="16"/>
              </w:rPr>
              <w:t>panel</w:t>
            </w:r>
            <w:r>
              <w:rPr>
                <w:i/>
                <w:spacing w:val="18"/>
                <w:sz w:val="16"/>
              </w:rPr>
              <w:t> </w:t>
            </w:r>
            <w:r>
              <w:rPr>
                <w:i/>
                <w:position w:val="1"/>
                <w:sz w:val="24"/>
              </w:rPr>
              <w:t>=</w:t>
            </w:r>
          </w:p>
        </w:tc>
        <w:tc>
          <w:tcPr>
            <w:tcW w:w="4195" w:type="dxa"/>
          </w:tcPr>
          <w:p>
            <w:pPr>
              <w:pStyle w:val="TableParagraph"/>
              <w:spacing w:line="251" w:lineRule="exact"/>
              <w:ind w:left="107"/>
              <w:rPr>
                <w:sz w:val="24"/>
              </w:rPr>
            </w:pPr>
            <w:r>
              <w:rPr>
                <w:sz w:val="24"/>
              </w:rPr>
              <w:t>entire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thickness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panel</w:t>
            </w:r>
          </w:p>
        </w:tc>
      </w:tr>
    </w:tbl>
    <w:p>
      <w:pPr>
        <w:spacing w:after="0" w:line="251" w:lineRule="exact"/>
        <w:rPr>
          <w:sz w:val="24"/>
        </w:rPr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40" w:right="257"/>
        <w:jc w:val="both"/>
      </w:pPr>
      <w:r>
        <w:rPr/>
        <w:t>The moment capacity of the panel can then be determined by multiplying the effective</w:t>
      </w:r>
      <w:r>
        <w:rPr>
          <w:spacing w:val="1"/>
        </w:rPr>
        <w:t> </w:t>
      </w:r>
      <w:r>
        <w:rPr/>
        <w:t>section modulus by the allowable bending stress of the outermost layer.</w:t>
      </w:r>
      <w:r>
        <w:rPr>
          <w:spacing w:val="1"/>
        </w:rPr>
        <w:t> </w:t>
      </w:r>
      <w:r>
        <w:rPr/>
        <w:t>PRG 320 further</w:t>
      </w:r>
      <w:r>
        <w:rPr>
          <w:spacing w:val="-57"/>
        </w:rPr>
        <w:t> </w:t>
      </w:r>
      <w:r>
        <w:rPr/>
        <w:t>reduces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moment capacity</w:t>
      </w:r>
      <w:r>
        <w:rPr>
          <w:spacing w:val="59"/>
        </w:rPr>
        <w:t> </w:t>
      </w:r>
      <w:r>
        <w:rPr/>
        <w:t>with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factor of</w:t>
      </w:r>
      <w:r>
        <w:rPr>
          <w:spacing w:val="-2"/>
        </w:rPr>
        <w:t> </w:t>
      </w:r>
      <w:r>
        <w:rPr/>
        <w:t>0.85 for conservatism</w:t>
      </w:r>
      <w:r>
        <w:rPr>
          <w:spacing w:val="-3"/>
        </w:rPr>
        <w:t> </w:t>
      </w:r>
      <w:r>
        <w:rPr/>
        <w:t>in CLT</w:t>
      </w:r>
      <w:r>
        <w:rPr>
          <w:spacing w:val="-1"/>
        </w:rPr>
        <w:t> </w:t>
      </w:r>
      <w:r>
        <w:rPr/>
        <w:t>design.</w:t>
      </w:r>
    </w:p>
    <w:p>
      <w:pPr>
        <w:pStyle w:val="BodyText"/>
        <w:spacing w:line="480" w:lineRule="auto" w:before="159"/>
        <w:ind w:left="439" w:right="258" w:firstLine="720"/>
        <w:jc w:val="both"/>
      </w:pPr>
      <w:r>
        <w:rPr/>
        <w:t>To determine the corresponding shear capacity of the CLT panel, a simplified</w:t>
      </w:r>
      <w:r>
        <w:rPr>
          <w:spacing w:val="1"/>
        </w:rPr>
        <w:t> </w:t>
      </w:r>
      <w:r>
        <w:rPr>
          <w:spacing w:val="-1"/>
        </w:rPr>
        <w:t>method</w:t>
      </w:r>
      <w:r>
        <w:rPr>
          <w:spacing w:val="-15"/>
        </w:rPr>
        <w:t> </w:t>
      </w:r>
      <w:r>
        <w:rPr>
          <w:spacing w:val="-1"/>
        </w:rPr>
        <w:t>can</w:t>
      </w:r>
      <w:r>
        <w:rPr>
          <w:spacing w:val="-14"/>
        </w:rPr>
        <w:t> </w:t>
      </w:r>
      <w:r>
        <w:rPr>
          <w:spacing w:val="-1"/>
        </w:rPr>
        <w:t>again</w:t>
      </w:r>
      <w:r>
        <w:rPr>
          <w:spacing w:val="-15"/>
        </w:rPr>
        <w:t> </w:t>
      </w:r>
      <w:r>
        <w:rPr/>
        <w:t>be</w:t>
      </w:r>
      <w:r>
        <w:rPr>
          <w:spacing w:val="-15"/>
        </w:rPr>
        <w:t> </w:t>
      </w:r>
      <w:r>
        <w:rPr/>
        <w:t>used</w:t>
      </w:r>
      <w:r>
        <w:rPr>
          <w:spacing w:val="-15"/>
        </w:rPr>
        <w:t> </w:t>
      </w:r>
      <w:r>
        <w:rPr/>
        <w:t>to</w:t>
      </w:r>
      <w:r>
        <w:rPr>
          <w:spacing w:val="-15"/>
        </w:rPr>
        <w:t> </w:t>
      </w:r>
      <w:r>
        <w:rPr/>
        <w:t>find</w:t>
      </w:r>
      <w:r>
        <w:rPr>
          <w:spacing w:val="-15"/>
        </w:rPr>
        <w:t> </w:t>
      </w:r>
      <w:r>
        <w:rPr/>
        <w:t>the</w:t>
      </w:r>
      <w:r>
        <w:rPr>
          <w:spacing w:val="-14"/>
        </w:rPr>
        <w:t> </w:t>
      </w:r>
      <w:r>
        <w:rPr/>
        <w:t>effective</w:t>
      </w:r>
      <w:r>
        <w:rPr>
          <w:spacing w:val="-15"/>
        </w:rPr>
        <w:t> </w:t>
      </w:r>
      <w:r>
        <w:rPr/>
        <w:t>shear</w:t>
      </w:r>
      <w:r>
        <w:rPr>
          <w:spacing w:val="-14"/>
        </w:rPr>
        <w:t> </w:t>
      </w:r>
      <w:r>
        <w:rPr/>
        <w:t>parameters.</w:t>
      </w:r>
      <w:r>
        <w:rPr>
          <w:spacing w:val="31"/>
        </w:rPr>
        <w:t> </w:t>
      </w:r>
      <w:r>
        <w:rPr/>
        <w:t>Equation</w:t>
      </w:r>
      <w:r>
        <w:rPr>
          <w:spacing w:val="-15"/>
        </w:rPr>
        <w:t> </w:t>
      </w:r>
      <w:r>
        <w:rPr/>
        <w:t>4.7</w:t>
      </w:r>
      <w:r>
        <w:rPr>
          <w:spacing w:val="-15"/>
        </w:rPr>
        <w:t> </w:t>
      </w:r>
      <w:r>
        <w:rPr/>
        <w:t>demonstrates</w:t>
      </w:r>
      <w:r>
        <w:rPr>
          <w:spacing w:val="-57"/>
        </w:rPr>
        <w:t> </w:t>
      </w:r>
      <w:r>
        <w:rPr>
          <w:position w:val="1"/>
        </w:rPr>
        <w:t>this method and calculation of the </w:t>
      </w:r>
      <w:r>
        <w:rPr>
          <w:i/>
          <w:position w:val="1"/>
        </w:rPr>
        <w:t>(Ib/Q)</w:t>
      </w:r>
      <w:r>
        <w:rPr>
          <w:i/>
          <w:sz w:val="16"/>
        </w:rPr>
        <w:t>eff </w:t>
      </w:r>
      <w:r>
        <w:rPr>
          <w:position w:val="1"/>
        </w:rPr>
        <w:t>term. The shear capacity of the designed panel</w:t>
      </w:r>
      <w:r>
        <w:rPr>
          <w:spacing w:val="-57"/>
          <w:position w:val="1"/>
        </w:rPr>
        <w:t> </w:t>
      </w:r>
      <w:r>
        <w:rPr>
          <w:position w:val="1"/>
        </w:rPr>
        <w:t>can then be calculated by multiplying that value of </w:t>
      </w:r>
      <w:r>
        <w:rPr>
          <w:i/>
          <w:position w:val="1"/>
        </w:rPr>
        <w:t>(Ib/Q)</w:t>
      </w:r>
      <w:r>
        <w:rPr>
          <w:i/>
          <w:sz w:val="16"/>
        </w:rPr>
        <w:t>eff</w:t>
      </w:r>
      <w:r>
        <w:rPr>
          <w:i/>
          <w:spacing w:val="1"/>
          <w:sz w:val="16"/>
        </w:rPr>
        <w:t> </w:t>
      </w:r>
      <w:r>
        <w:rPr>
          <w:position w:val="1"/>
        </w:rPr>
        <w:t>by the shear strength of the</w:t>
      </w:r>
      <w:r>
        <w:rPr>
          <w:spacing w:val="1"/>
          <w:position w:val="1"/>
        </w:rPr>
        <w:t> </w:t>
      </w:r>
      <w:r>
        <w:rPr>
          <w:position w:val="1"/>
        </w:rPr>
        <w:t>panel,</w:t>
      </w:r>
      <w:r>
        <w:rPr>
          <w:spacing w:val="-1"/>
          <w:position w:val="1"/>
        </w:rPr>
        <w:t> </w:t>
      </w:r>
      <w:r>
        <w:rPr>
          <w:i/>
          <w:position w:val="1"/>
        </w:rPr>
        <w:t>F</w:t>
      </w:r>
      <w:r>
        <w:rPr>
          <w:i/>
          <w:sz w:val="16"/>
        </w:rPr>
        <w:t>v</w:t>
      </w:r>
      <w:r>
        <w:rPr>
          <w:i/>
          <w:position w:val="1"/>
        </w:rPr>
        <w:t>, </w:t>
      </w:r>
      <w:r>
        <w:rPr>
          <w:position w:val="1"/>
        </w:rPr>
        <w:t>and any required adjustment factors.</w:t>
      </w:r>
    </w:p>
    <w:p>
      <w:pPr>
        <w:pStyle w:val="BodyText"/>
        <w:spacing w:before="9"/>
        <w:rPr>
          <w:sz w:val="14"/>
        </w:rPr>
      </w:pPr>
    </w:p>
    <w:tbl>
      <w:tblPr>
        <w:tblW w:w="0" w:type="auto"/>
        <w:jc w:val="left"/>
        <w:tblInd w:w="197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32"/>
        <w:gridCol w:w="862"/>
        <w:gridCol w:w="2962"/>
        <w:gridCol w:w="2435"/>
      </w:tblGrid>
      <w:tr>
        <w:trPr>
          <w:trHeight w:val="836" w:hRule="atLeast"/>
        </w:trPr>
        <w:tc>
          <w:tcPr>
            <w:tcW w:w="4756" w:type="dxa"/>
            <w:gridSpan w:val="3"/>
          </w:tcPr>
          <w:p>
            <w:pPr>
              <w:pStyle w:val="TableParagraph"/>
              <w:tabs>
                <w:tab w:pos="1624" w:val="left" w:leader="none"/>
                <w:tab w:pos="2157" w:val="left" w:leader="none"/>
                <w:tab w:pos="2981" w:val="left" w:leader="none"/>
              </w:tabs>
              <w:spacing w:line="347" w:lineRule="exact"/>
              <w:ind w:left="522"/>
              <w:rPr>
                <w:rFonts w:ascii="Cambria Math" w:hAnsi="Cambria Math" w:cs="Cambria Math" w:eastAsia="Cambria Math"/>
                <w:sz w:val="17"/>
                <w:szCs w:val="17"/>
              </w:rPr>
            </w:pPr>
            <w:r>
              <w:rPr>
                <w:rFonts w:ascii="Cambria Math" w:hAnsi="Cambria Math" w:cs="Cambria Math" w:eastAsia="Cambria Math"/>
                <w:spacing w:val="-1"/>
                <w:w w:val="49"/>
                <w:position w:val="1"/>
                <w:sz w:val="24"/>
                <w:szCs w:val="24"/>
              </w:rPr>
              <w:t>�</w:t>
            </w:r>
            <w:r>
              <w:rPr>
                <w:rFonts w:ascii="Cambria Math" w:hAnsi="Cambria Math" w:cs="Cambria Math" w:eastAsia="Cambria Math"/>
                <w:position w:val="9"/>
                <w:sz w:val="24"/>
                <w:szCs w:val="24"/>
              </w:rPr>
              <w:t>𝐼</w:t>
            </w:r>
            <w:r>
              <w:rPr>
                <w:rFonts w:ascii="Cambria Math" w:hAnsi="Cambria Math" w:cs="Cambria Math" w:eastAsia="Cambria Math"/>
                <w:spacing w:val="-15"/>
                <w:position w:val="9"/>
                <w:sz w:val="24"/>
                <w:szCs w:val="24"/>
              </w:rPr>
              <w:t>𝑏</w:t>
            </w:r>
            <w:r>
              <w:rPr>
                <w:rFonts w:ascii="Cambria Math" w:hAnsi="Cambria Math" w:cs="Cambria Math" w:eastAsia="Cambria Math"/>
                <w:w w:val="55"/>
                <w:sz w:val="24"/>
                <w:szCs w:val="24"/>
              </w:rPr>
              <w:t>�</w:t>
            </w:r>
            <w:r>
              <w:rPr>
                <w:rFonts w:ascii="Cambria Math" w:hAnsi="Cambria Math" w:cs="Cambria Math" w:eastAsia="Cambria Math"/>
                <w:sz w:val="24"/>
                <w:szCs w:val="24"/>
              </w:rPr>
              <w:t>  </w:t>
            </w:r>
            <w:r>
              <w:rPr>
                <w:rFonts w:ascii="Cambria Math" w:hAnsi="Cambria Math" w:cs="Cambria Math" w:eastAsia="Cambria Math"/>
                <w:spacing w:val="-9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w w:val="49"/>
                <w:position w:val="1"/>
                <w:sz w:val="24"/>
                <w:szCs w:val="24"/>
              </w:rPr>
              <w:t>�</w:t>
            </w:r>
            <w:r>
              <w:rPr>
                <w:rFonts w:ascii="Cambria Math" w:hAnsi="Cambria Math" w:cs="Cambria Math" w:eastAsia="Cambria Math"/>
                <w:position w:val="1"/>
                <w:sz w:val="24"/>
                <w:szCs w:val="24"/>
              </w:rPr>
              <w:tab/>
              <w:t>=</w:t>
            </w:r>
            <w:r>
              <w:rPr>
                <w:rFonts w:ascii="Cambria Math" w:hAnsi="Cambria Math" w:cs="Cambria Math" w:eastAsia="Cambria Math"/>
                <w:spacing w:val="13"/>
                <w:position w:val="1"/>
                <w:sz w:val="24"/>
                <w:szCs w:val="24"/>
              </w:rPr>
              <w:t> </w:t>
            </w:r>
            <w:r>
              <w:rPr>
                <w:position w:val="20"/>
                <w:sz w:val="24"/>
                <w:szCs w:val="24"/>
                <w:u w:val="single"/>
              </w:rPr>
              <w:t> </w:t>
              <w:tab/>
            </w:r>
            <w:r>
              <w:rPr>
                <w:rFonts w:ascii="Cambria Math" w:hAnsi="Cambria Math" w:cs="Cambria Math" w:eastAsia="Cambria Math"/>
                <w:position w:val="20"/>
                <w:sz w:val="24"/>
                <w:szCs w:val="24"/>
                <w:u w:val="single"/>
              </w:rPr>
              <w:t>𝐸</w:t>
            </w:r>
            <w:r>
              <w:rPr>
                <w:rFonts w:ascii="Cambria Math" w:hAnsi="Cambria Math" w:cs="Cambria Math" w:eastAsia="Cambria Math"/>
                <w:spacing w:val="-15"/>
                <w:position w:val="20"/>
                <w:sz w:val="24"/>
                <w:szCs w:val="24"/>
                <w:u w:val="single"/>
              </w:rPr>
              <w:t>𝐼</w:t>
            </w:r>
            <w:r>
              <w:rPr>
                <w:rFonts w:ascii="Cambria Math" w:hAnsi="Cambria Math" w:cs="Cambria Math" w:eastAsia="Cambria Math"/>
                <w:spacing w:val="-1"/>
                <w:w w:val="109"/>
                <w:position w:val="15"/>
                <w:sz w:val="17"/>
                <w:szCs w:val="17"/>
                <w:u w:val="single"/>
              </w:rPr>
              <w:t>𝑒</w:t>
            </w:r>
            <w:r>
              <w:rPr>
                <w:rFonts w:ascii="Cambria Math" w:hAnsi="Cambria Math" w:cs="Cambria Math" w:eastAsia="Cambria Math"/>
                <w:spacing w:val="-1"/>
                <w:w w:val="54"/>
                <w:position w:val="15"/>
                <w:sz w:val="17"/>
                <w:szCs w:val="17"/>
                <w:u w:val="single"/>
              </w:rPr>
              <w:t>𝑓𝑓</w:t>
            </w:r>
            <w:r>
              <w:rPr>
                <w:rFonts w:ascii="Cambria Math" w:hAnsi="Cambria Math" w:cs="Cambria Math" w:eastAsia="Cambria Math"/>
                <w:spacing w:val="1"/>
                <w:w w:val="54"/>
                <w:position w:val="15"/>
                <w:sz w:val="17"/>
                <w:szCs w:val="17"/>
                <w:u w:val="single"/>
              </w:rPr>
              <w:t>𝑓</w:t>
            </w:r>
            <w:r>
              <w:rPr>
                <w:rFonts w:ascii="Cambria Math" w:hAnsi="Cambria Math" w:cs="Cambria Math" w:eastAsia="Cambria Math"/>
                <w:position w:val="15"/>
                <w:sz w:val="17"/>
                <w:szCs w:val="17"/>
                <w:u w:val="single"/>
              </w:rPr>
              <w:t>        </w:t>
            </w:r>
            <w:r>
              <w:rPr>
                <w:rFonts w:ascii="Cambria Math" w:hAnsi="Cambria Math" w:cs="Cambria Math" w:eastAsia="Cambria Math"/>
                <w:w w:val="54"/>
                <w:position w:val="15"/>
                <w:sz w:val="17"/>
                <w:szCs w:val="17"/>
                <w:u w:val="single"/>
              </w:rPr>
              <w:t>𝑓</w:t>
            </w:r>
            <w:r>
              <w:rPr>
                <w:rFonts w:ascii="Cambria Math" w:hAnsi="Cambria Math" w:cs="Cambria Math" w:eastAsia="Cambria Math"/>
                <w:position w:val="15"/>
                <w:sz w:val="17"/>
                <w:szCs w:val="17"/>
                <w:u w:val="single"/>
              </w:rPr>
              <w:tab/>
            </w:r>
          </w:p>
          <w:p>
            <w:pPr>
              <w:pStyle w:val="TableParagraph"/>
              <w:tabs>
                <w:tab w:pos="1870" w:val="left" w:leader="none"/>
              </w:tabs>
              <w:spacing w:line="213" w:lineRule="exact"/>
              <w:ind w:left="959"/>
              <w:rPr>
                <w:rFonts w:ascii="Cambria Math" w:hAnsi="Cambria Math" w:eastAsia="Cambria Math"/>
                <w:sz w:val="24"/>
              </w:rPr>
            </w:pPr>
            <w:r>
              <w:rPr>
                <w:rFonts w:ascii="Cambria Math" w:hAnsi="Cambria Math" w:eastAsia="Cambria Math"/>
                <w:w w:val="50"/>
                <w:position w:val="11"/>
                <w:sz w:val="24"/>
              </w:rPr>
              <w:t>𝑄𝑄</w:t>
            </w:r>
            <w:r>
              <w:rPr>
                <w:rFonts w:ascii="Cambria Math" w:hAnsi="Cambria Math" w:eastAsia="Cambria Math"/>
                <w:position w:val="11"/>
                <w:sz w:val="24"/>
              </w:rPr>
              <w:t> </w:t>
            </w:r>
            <w:r>
              <w:rPr>
                <w:rFonts w:ascii="Cambria Math" w:hAnsi="Cambria Math" w:eastAsia="Cambria Math"/>
                <w:spacing w:val="18"/>
                <w:position w:val="11"/>
                <w:sz w:val="24"/>
              </w:rPr>
              <w:t> </w:t>
            </w:r>
            <w:r>
              <w:rPr>
                <w:rFonts w:ascii="Cambria Math" w:hAnsi="Cambria Math" w:eastAsia="Cambria Math"/>
                <w:spacing w:val="-1"/>
                <w:w w:val="109"/>
                <w:position w:val="3"/>
                <w:sz w:val="17"/>
              </w:rPr>
              <w:t>𝑒</w:t>
            </w:r>
            <w:r>
              <w:rPr>
                <w:rFonts w:ascii="Cambria Math" w:hAnsi="Cambria Math" w:eastAsia="Cambria Math"/>
                <w:spacing w:val="-1"/>
                <w:w w:val="54"/>
                <w:position w:val="3"/>
                <w:sz w:val="17"/>
              </w:rPr>
              <w:t>𝑓𝑓𝑓</w:t>
            </w:r>
            <w:r>
              <w:rPr>
                <w:rFonts w:ascii="Cambria Math" w:hAnsi="Cambria Math" w:eastAsia="Cambria Math"/>
                <w:w w:val="54"/>
                <w:position w:val="3"/>
                <w:sz w:val="17"/>
              </w:rPr>
              <w:t>𝑓</w:t>
            </w:r>
            <w:r>
              <w:rPr>
                <w:rFonts w:ascii="Cambria Math" w:hAnsi="Cambria Math" w:eastAsia="Cambria Math"/>
                <w:position w:val="3"/>
                <w:sz w:val="17"/>
              </w:rPr>
              <w:tab/>
            </w:r>
            <w:r>
              <w:rPr>
                <w:rFonts w:ascii="Cambria Math" w:hAnsi="Cambria Math" w:eastAsia="Cambria Math"/>
                <w:position w:val="1"/>
                <w:sz w:val="24"/>
              </w:rPr>
              <w:t>∑</w:t>
            </w:r>
            <w:r>
              <w:rPr>
                <w:rFonts w:ascii="Cambria Math" w:hAnsi="Cambria Math" w:eastAsia="Cambria Math"/>
                <w:spacing w:val="2"/>
                <w:w w:val="113"/>
                <w:position w:val="13"/>
                <w:sz w:val="17"/>
              </w:rPr>
              <w:t>𝑛</w:t>
            </w:r>
            <w:r>
              <w:rPr>
                <w:rFonts w:ascii="Cambria Math" w:hAnsi="Cambria Math" w:eastAsia="Cambria Math"/>
                <w:w w:val="100"/>
                <w:position w:val="13"/>
                <w:sz w:val="17"/>
              </w:rPr>
              <w:t>/</w:t>
            </w:r>
            <w:r>
              <w:rPr>
                <w:rFonts w:ascii="Cambria Math" w:hAnsi="Cambria Math" w:eastAsia="Cambria Math"/>
                <w:w w:val="104"/>
                <w:position w:val="13"/>
                <w:sz w:val="17"/>
              </w:rPr>
              <w:t>2</w:t>
            </w:r>
            <w:r>
              <w:rPr>
                <w:rFonts w:ascii="Cambria Math" w:hAnsi="Cambria Math" w:eastAsia="Cambria Math"/>
                <w:spacing w:val="1"/>
                <w:position w:val="13"/>
                <w:sz w:val="17"/>
              </w:rPr>
              <w:t> </w:t>
            </w:r>
            <w:r>
              <w:rPr>
                <w:rFonts w:ascii="Cambria Math" w:hAnsi="Cambria Math" w:eastAsia="Cambria Math"/>
                <w:sz w:val="24"/>
              </w:rPr>
              <w:t>𝐸</w:t>
            </w:r>
            <w:r>
              <w:rPr>
                <w:rFonts w:ascii="Cambria Math" w:hAnsi="Cambria Math" w:eastAsia="Cambria Math"/>
                <w:spacing w:val="9"/>
                <w:sz w:val="24"/>
              </w:rPr>
              <w:t> </w:t>
            </w:r>
            <w:r>
              <w:rPr>
                <w:rFonts w:ascii="Cambria Math" w:hAnsi="Cambria Math" w:eastAsia="Cambria Math"/>
                <w:sz w:val="24"/>
              </w:rPr>
              <w:t>ℎ</w:t>
            </w:r>
            <w:r>
              <w:rPr>
                <w:rFonts w:ascii="Cambria Math" w:hAnsi="Cambria Math" w:eastAsia="Cambria Math"/>
                <w:spacing w:val="22"/>
                <w:sz w:val="24"/>
              </w:rPr>
              <w:t> </w:t>
            </w:r>
            <w:r>
              <w:rPr>
                <w:rFonts w:ascii="Cambria Math" w:hAnsi="Cambria Math" w:eastAsia="Cambria Math"/>
                <w:sz w:val="24"/>
              </w:rPr>
              <w:t>𝑧</w:t>
            </w:r>
          </w:p>
          <w:p>
            <w:pPr>
              <w:pStyle w:val="TableParagraph"/>
              <w:spacing w:line="115" w:lineRule="auto"/>
              <w:ind w:left="2021" w:right="1770"/>
              <w:jc w:val="center"/>
              <w:rPr>
                <w:rFonts w:ascii="Cambria Math" w:eastAsia="Cambria Math"/>
                <w:sz w:val="17"/>
              </w:rPr>
            </w:pPr>
            <w:r>
              <w:rPr>
                <w:rFonts w:ascii="Cambria Math" w:eastAsia="Cambria Math"/>
                <w:w w:val="28"/>
                <w:position w:val="-2"/>
                <w:sz w:val="17"/>
              </w:rPr>
              <w:t>𝑔</w:t>
            </w:r>
            <w:r>
              <w:rPr>
                <w:rFonts w:ascii="Cambria Math" w:eastAsia="Cambria Math"/>
                <w:spacing w:val="5"/>
                <w:w w:val="28"/>
                <w:position w:val="-2"/>
                <w:sz w:val="17"/>
              </w:rPr>
              <w:t>𝑔</w:t>
            </w:r>
            <w:r>
              <w:rPr>
                <w:rFonts w:ascii="Cambria Math" w:eastAsia="Cambria Math"/>
                <w:spacing w:val="-1"/>
                <w:w w:val="97"/>
                <w:position w:val="-2"/>
                <w:sz w:val="17"/>
              </w:rPr>
              <w:t>=</w:t>
            </w:r>
            <w:r>
              <w:rPr>
                <w:rFonts w:ascii="Cambria Math" w:eastAsia="Cambria Math"/>
                <w:w w:val="104"/>
                <w:position w:val="-2"/>
                <w:sz w:val="17"/>
              </w:rPr>
              <w:t>1</w:t>
            </w:r>
            <w:r>
              <w:rPr>
                <w:rFonts w:ascii="Cambria Math" w:eastAsia="Cambria Math"/>
                <w:position w:val="-2"/>
                <w:sz w:val="17"/>
              </w:rPr>
              <w:t>    </w:t>
            </w:r>
            <w:r>
              <w:rPr>
                <w:rFonts w:ascii="Cambria Math" w:eastAsia="Cambria Math"/>
                <w:spacing w:val="-3"/>
                <w:position w:val="-2"/>
                <w:sz w:val="17"/>
              </w:rPr>
              <w:t> </w:t>
            </w:r>
            <w:r>
              <w:rPr>
                <w:rFonts w:ascii="Cambria Math" w:eastAsia="Cambria Math"/>
                <w:w w:val="28"/>
                <w:sz w:val="17"/>
              </w:rPr>
              <w:t>𝑔𝑔</w:t>
            </w:r>
            <w:r>
              <w:rPr>
                <w:rFonts w:ascii="Cambria Math" w:eastAsia="Cambria Math"/>
                <w:sz w:val="17"/>
              </w:rPr>
              <w:t>   </w:t>
            </w:r>
            <w:r>
              <w:rPr>
                <w:rFonts w:ascii="Cambria Math" w:eastAsia="Cambria Math"/>
                <w:spacing w:val="-1"/>
                <w:sz w:val="17"/>
              </w:rPr>
              <w:t> </w:t>
            </w:r>
            <w:r>
              <w:rPr>
                <w:rFonts w:ascii="Cambria Math" w:eastAsia="Cambria Math"/>
                <w:w w:val="28"/>
                <w:sz w:val="17"/>
              </w:rPr>
              <w:t>𝑔𝑔</w:t>
            </w:r>
            <w:r>
              <w:rPr>
                <w:rFonts w:ascii="Cambria Math" w:eastAsia="Cambria Math"/>
                <w:sz w:val="17"/>
              </w:rPr>
              <w:t>  </w:t>
            </w:r>
            <w:r>
              <w:rPr>
                <w:rFonts w:ascii="Cambria Math" w:eastAsia="Cambria Math"/>
                <w:spacing w:val="13"/>
                <w:sz w:val="17"/>
              </w:rPr>
              <w:t> </w:t>
            </w:r>
            <w:r>
              <w:rPr>
                <w:rFonts w:ascii="Cambria Math" w:eastAsia="Cambria Math"/>
                <w:w w:val="28"/>
                <w:sz w:val="17"/>
              </w:rPr>
              <w:t>𝑔𝑔</w:t>
            </w:r>
          </w:p>
        </w:tc>
        <w:tc>
          <w:tcPr>
            <w:tcW w:w="2435" w:type="dxa"/>
          </w:tcPr>
          <w:p>
            <w:pPr>
              <w:pStyle w:val="TableParagraph"/>
              <w:spacing w:line="266" w:lineRule="exact"/>
              <w:ind w:right="196"/>
              <w:jc w:val="right"/>
              <w:rPr>
                <w:sz w:val="24"/>
              </w:rPr>
            </w:pPr>
            <w:r>
              <w:rPr>
                <w:sz w:val="24"/>
              </w:rPr>
              <w:t>(4.7)</w:t>
            </w:r>
          </w:p>
        </w:tc>
      </w:tr>
      <w:tr>
        <w:trPr>
          <w:trHeight w:val="398" w:hRule="atLeast"/>
        </w:trPr>
        <w:tc>
          <w:tcPr>
            <w:tcW w:w="932" w:type="dxa"/>
          </w:tcPr>
          <w:p>
            <w:pPr>
              <w:pStyle w:val="TableParagraph"/>
              <w:spacing w:line="262" w:lineRule="exact" w:before="116"/>
              <w:ind w:left="200"/>
              <w:rPr>
                <w:sz w:val="24"/>
              </w:rPr>
            </w:pPr>
            <w:r>
              <w:rPr>
                <w:sz w:val="24"/>
              </w:rPr>
              <w:t>where</w:t>
            </w:r>
          </w:p>
        </w:tc>
        <w:tc>
          <w:tcPr>
            <w:tcW w:w="862" w:type="dxa"/>
          </w:tcPr>
          <w:p>
            <w:pPr>
              <w:pStyle w:val="TableParagraph"/>
              <w:spacing w:line="261" w:lineRule="exact" w:before="117"/>
              <w:ind w:right="105"/>
              <w:jc w:val="right"/>
              <w:rPr>
                <w:i/>
                <w:sz w:val="24"/>
              </w:rPr>
            </w:pPr>
            <w:r>
              <w:rPr>
                <w:i/>
                <w:position w:val="1"/>
                <w:sz w:val="24"/>
              </w:rPr>
              <w:t>EI</w:t>
            </w:r>
            <w:r>
              <w:rPr>
                <w:i/>
                <w:sz w:val="16"/>
              </w:rPr>
              <w:t>eff</w:t>
            </w:r>
            <w:r>
              <w:rPr>
                <w:i/>
                <w:spacing w:val="19"/>
                <w:sz w:val="16"/>
              </w:rPr>
              <w:t> </w:t>
            </w:r>
            <w:r>
              <w:rPr>
                <w:i/>
                <w:position w:val="1"/>
                <w:sz w:val="24"/>
              </w:rPr>
              <w:t>=</w:t>
            </w:r>
          </w:p>
        </w:tc>
        <w:tc>
          <w:tcPr>
            <w:tcW w:w="5397" w:type="dxa"/>
            <w:gridSpan w:val="2"/>
          </w:tcPr>
          <w:p>
            <w:pPr>
              <w:pStyle w:val="TableParagraph"/>
              <w:spacing w:line="262" w:lineRule="exact" w:before="116"/>
              <w:ind w:left="108"/>
              <w:rPr>
                <w:sz w:val="24"/>
              </w:rPr>
            </w:pPr>
            <w:r>
              <w:rPr>
                <w:sz w:val="24"/>
              </w:rPr>
              <w:t>effective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bending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stiffness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(see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Eqn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4.4)</w:t>
            </w:r>
          </w:p>
        </w:tc>
      </w:tr>
      <w:tr>
        <w:trPr>
          <w:trHeight w:val="275" w:hRule="atLeast"/>
        </w:trPr>
        <w:tc>
          <w:tcPr>
            <w:tcW w:w="93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862" w:type="dxa"/>
          </w:tcPr>
          <w:p>
            <w:pPr>
              <w:pStyle w:val="TableParagraph"/>
              <w:spacing w:line="256" w:lineRule="exact"/>
              <w:ind w:right="105"/>
              <w:jc w:val="right"/>
              <w:rPr>
                <w:i/>
                <w:sz w:val="24"/>
              </w:rPr>
            </w:pPr>
            <w:r>
              <w:rPr>
                <w:i/>
                <w:position w:val="1"/>
                <w:sz w:val="24"/>
              </w:rPr>
              <w:t>E</w:t>
            </w:r>
            <w:r>
              <w:rPr>
                <w:i/>
                <w:sz w:val="16"/>
              </w:rPr>
              <w:t>i</w:t>
            </w:r>
            <w:r>
              <w:rPr>
                <w:i/>
                <w:spacing w:val="19"/>
                <w:sz w:val="16"/>
              </w:rPr>
              <w:t> </w:t>
            </w:r>
            <w:r>
              <w:rPr>
                <w:i/>
                <w:position w:val="1"/>
                <w:sz w:val="24"/>
              </w:rPr>
              <w:t>=</w:t>
            </w:r>
          </w:p>
        </w:tc>
        <w:tc>
          <w:tcPr>
            <w:tcW w:w="5397" w:type="dxa"/>
            <w:gridSpan w:val="2"/>
          </w:tcPr>
          <w:p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modulus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elasticity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individual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layer</w:t>
            </w:r>
          </w:p>
        </w:tc>
      </w:tr>
      <w:tr>
        <w:trPr>
          <w:trHeight w:val="551" w:hRule="atLeast"/>
        </w:trPr>
        <w:tc>
          <w:tcPr>
            <w:tcW w:w="93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62" w:type="dxa"/>
          </w:tcPr>
          <w:p>
            <w:pPr>
              <w:pStyle w:val="TableParagraph"/>
              <w:spacing w:line="271" w:lineRule="exact"/>
              <w:ind w:right="105"/>
              <w:jc w:val="right"/>
              <w:rPr>
                <w:i/>
                <w:sz w:val="24"/>
              </w:rPr>
            </w:pPr>
            <w:r>
              <w:rPr>
                <w:i/>
                <w:position w:val="1"/>
                <w:sz w:val="24"/>
              </w:rPr>
              <w:t>h</w:t>
            </w:r>
            <w:r>
              <w:rPr>
                <w:i/>
                <w:sz w:val="16"/>
              </w:rPr>
              <w:t>i</w:t>
            </w:r>
            <w:r>
              <w:rPr>
                <w:i/>
                <w:spacing w:val="19"/>
                <w:sz w:val="16"/>
              </w:rPr>
              <w:t> </w:t>
            </w:r>
            <w:r>
              <w:rPr>
                <w:i/>
                <w:position w:val="1"/>
                <w:sz w:val="24"/>
              </w:rPr>
              <w:t>=</w:t>
            </w:r>
          </w:p>
        </w:tc>
        <w:tc>
          <w:tcPr>
            <w:tcW w:w="5397" w:type="dxa"/>
            <w:gridSpan w:val="2"/>
          </w:tcPr>
          <w:p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thickness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individual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layer,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except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middle</w:t>
            </w:r>
          </w:p>
          <w:p>
            <w:pPr>
              <w:pStyle w:val="TableParagraph"/>
              <w:spacing w:line="261" w:lineRule="exact"/>
              <w:ind w:left="108"/>
              <w:rPr>
                <w:sz w:val="24"/>
              </w:rPr>
            </w:pPr>
            <w:r>
              <w:rPr>
                <w:sz w:val="24"/>
              </w:rPr>
              <w:t>layer,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which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is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half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its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thickness</w:t>
            </w:r>
          </w:p>
        </w:tc>
      </w:tr>
      <w:tr>
        <w:trPr>
          <w:trHeight w:val="822" w:hRule="atLeast"/>
        </w:trPr>
        <w:tc>
          <w:tcPr>
            <w:tcW w:w="93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62" w:type="dxa"/>
          </w:tcPr>
          <w:p>
            <w:pPr>
              <w:pStyle w:val="TableParagraph"/>
              <w:spacing w:line="272" w:lineRule="exact"/>
              <w:ind w:right="105"/>
              <w:jc w:val="right"/>
              <w:rPr>
                <w:i/>
                <w:sz w:val="24"/>
              </w:rPr>
            </w:pPr>
            <w:r>
              <w:rPr>
                <w:i/>
                <w:position w:val="1"/>
                <w:sz w:val="24"/>
              </w:rPr>
              <w:t>z</w:t>
            </w:r>
            <w:r>
              <w:rPr>
                <w:i/>
                <w:sz w:val="16"/>
              </w:rPr>
              <w:t>i</w:t>
            </w:r>
            <w:r>
              <w:rPr>
                <w:i/>
                <w:spacing w:val="19"/>
                <w:sz w:val="16"/>
              </w:rPr>
              <w:t> </w:t>
            </w:r>
            <w:r>
              <w:rPr>
                <w:i/>
                <w:position w:val="1"/>
                <w:sz w:val="24"/>
              </w:rPr>
              <w:t>=</w:t>
            </w:r>
          </w:p>
        </w:tc>
        <w:tc>
          <w:tcPr>
            <w:tcW w:w="5397" w:type="dxa"/>
            <w:gridSpan w:val="2"/>
          </w:tcPr>
          <w:p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sz w:val="24"/>
              </w:rPr>
              <w:t>distance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from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centroid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layer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neutral</w:t>
            </w:r>
          </w:p>
          <w:p>
            <w:pPr>
              <w:pStyle w:val="TableParagraph"/>
              <w:spacing w:line="270" w:lineRule="atLeast"/>
              <w:ind w:left="108" w:right="457"/>
              <w:rPr>
                <w:sz w:val="24"/>
              </w:rPr>
            </w:pPr>
            <w:r>
              <w:rPr>
                <w:sz w:val="24"/>
              </w:rPr>
              <w:t>axis, except for the middle layer, where it is to the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centroid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 top half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that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layer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1"/>
        </w:rPr>
      </w:pPr>
    </w:p>
    <w:p>
      <w:pPr>
        <w:pStyle w:val="BodyText"/>
        <w:spacing w:line="480" w:lineRule="auto" w:after="12"/>
        <w:ind w:left="439" w:right="256"/>
        <w:jc w:val="both"/>
      </w:pPr>
      <w:r>
        <w:rPr/>
        <w:pict>
          <v:rect style="position:absolute;margin-left:283.980011pt;margin-top:125.944115pt;width:69.36pt;height:.779pt;mso-position-horizontal-relative:page;mso-position-vertical-relative:paragraph;z-index:-34920960" filled="true" fillcolor="#000000" stroked="false">
            <v:fill type="solid"/>
            <w10:wrap type="none"/>
          </v:rect>
        </w:pict>
      </w:r>
      <w:r>
        <w:rPr>
          <w:position w:val="1"/>
        </w:rPr>
        <w:t>An apparent stiffness value, </w:t>
      </w:r>
      <w:r>
        <w:rPr>
          <w:i/>
          <w:position w:val="1"/>
        </w:rPr>
        <w:t>EI</w:t>
      </w:r>
      <w:r>
        <w:rPr>
          <w:i/>
          <w:sz w:val="16"/>
        </w:rPr>
        <w:t>app</w:t>
      </w:r>
      <w:r>
        <w:rPr>
          <w:position w:val="1"/>
        </w:rPr>
        <w:t>, is a reduced effective bending stiffness value modified</w:t>
      </w:r>
      <w:r>
        <w:rPr>
          <w:spacing w:val="1"/>
          <w:position w:val="1"/>
        </w:rPr>
        <w:t> </w:t>
      </w:r>
      <w:r>
        <w:rPr/>
        <w:t>to account for the shear deformation.</w:t>
      </w:r>
      <w:r>
        <w:rPr>
          <w:spacing w:val="1"/>
        </w:rPr>
        <w:t> </w:t>
      </w:r>
      <w:r>
        <w:rPr/>
        <w:t>Equation 4.8 shows the method to determine the</w:t>
      </w:r>
      <w:r>
        <w:rPr>
          <w:spacing w:val="1"/>
        </w:rPr>
        <w:t> </w:t>
      </w:r>
      <w:r>
        <w:rPr>
          <w:position w:val="1"/>
        </w:rPr>
        <w:t>apparent</w:t>
      </w:r>
      <w:r>
        <w:rPr>
          <w:spacing w:val="-6"/>
          <w:position w:val="1"/>
        </w:rPr>
        <w:t> </w:t>
      </w:r>
      <w:r>
        <w:rPr>
          <w:position w:val="1"/>
        </w:rPr>
        <w:t>stiffness.</w:t>
      </w:r>
      <w:r>
        <w:rPr>
          <w:spacing w:val="47"/>
          <w:position w:val="1"/>
        </w:rPr>
        <w:t> </w:t>
      </w:r>
      <w:r>
        <w:rPr>
          <w:position w:val="1"/>
        </w:rPr>
        <w:t>The</w:t>
      </w:r>
      <w:r>
        <w:rPr>
          <w:spacing w:val="-6"/>
          <w:position w:val="1"/>
        </w:rPr>
        <w:t> </w:t>
      </w:r>
      <w:r>
        <w:rPr>
          <w:i/>
          <w:position w:val="1"/>
        </w:rPr>
        <w:t>K</w:t>
      </w:r>
      <w:r>
        <w:rPr>
          <w:i/>
          <w:sz w:val="16"/>
        </w:rPr>
        <w:t>S</w:t>
      </w:r>
      <w:r>
        <w:rPr>
          <w:i/>
          <w:spacing w:val="14"/>
          <w:sz w:val="16"/>
        </w:rPr>
        <w:t> </w:t>
      </w:r>
      <w:r>
        <w:rPr>
          <w:position w:val="1"/>
        </w:rPr>
        <w:t>value</w:t>
      </w:r>
      <w:r>
        <w:rPr>
          <w:spacing w:val="-7"/>
          <w:position w:val="1"/>
        </w:rPr>
        <w:t> </w:t>
      </w:r>
      <w:r>
        <w:rPr>
          <w:position w:val="1"/>
        </w:rPr>
        <w:t>in</w:t>
      </w:r>
      <w:r>
        <w:rPr>
          <w:spacing w:val="-7"/>
          <w:position w:val="1"/>
        </w:rPr>
        <w:t> </w:t>
      </w:r>
      <w:r>
        <w:rPr>
          <w:position w:val="1"/>
        </w:rPr>
        <w:t>the</w:t>
      </w:r>
      <w:r>
        <w:rPr>
          <w:spacing w:val="-6"/>
          <w:position w:val="1"/>
        </w:rPr>
        <w:t> </w:t>
      </w:r>
      <w:r>
        <w:rPr>
          <w:position w:val="1"/>
        </w:rPr>
        <w:t>equation</w:t>
      </w:r>
      <w:r>
        <w:rPr>
          <w:spacing w:val="-7"/>
          <w:position w:val="1"/>
        </w:rPr>
        <w:t> </w:t>
      </w:r>
      <w:r>
        <w:rPr>
          <w:position w:val="1"/>
        </w:rPr>
        <w:t>is</w:t>
      </w:r>
      <w:r>
        <w:rPr>
          <w:spacing w:val="-6"/>
          <w:position w:val="1"/>
        </w:rPr>
        <w:t> </w:t>
      </w:r>
      <w:r>
        <w:rPr>
          <w:position w:val="1"/>
        </w:rPr>
        <w:t>a</w:t>
      </w:r>
      <w:r>
        <w:rPr>
          <w:spacing w:val="-7"/>
          <w:position w:val="1"/>
        </w:rPr>
        <w:t> </w:t>
      </w:r>
      <w:r>
        <w:rPr>
          <w:position w:val="1"/>
        </w:rPr>
        <w:t>constant</w:t>
      </w:r>
      <w:r>
        <w:rPr>
          <w:spacing w:val="-7"/>
          <w:position w:val="1"/>
        </w:rPr>
        <w:t> </w:t>
      </w:r>
      <w:r>
        <w:rPr>
          <w:position w:val="1"/>
        </w:rPr>
        <w:t>related</w:t>
      </w:r>
      <w:r>
        <w:rPr>
          <w:spacing w:val="-7"/>
          <w:position w:val="1"/>
        </w:rPr>
        <w:t> </w:t>
      </w:r>
      <w:r>
        <w:rPr>
          <w:position w:val="1"/>
        </w:rPr>
        <w:t>to</w:t>
      </w:r>
      <w:r>
        <w:rPr>
          <w:spacing w:val="-7"/>
          <w:position w:val="1"/>
        </w:rPr>
        <w:t> </w:t>
      </w:r>
      <w:r>
        <w:rPr>
          <w:position w:val="1"/>
        </w:rPr>
        <w:t>the</w:t>
      </w:r>
      <w:r>
        <w:rPr>
          <w:spacing w:val="-6"/>
          <w:position w:val="1"/>
        </w:rPr>
        <w:t> </w:t>
      </w:r>
      <w:r>
        <w:rPr>
          <w:position w:val="1"/>
        </w:rPr>
        <w:t>influence</w:t>
      </w:r>
      <w:r>
        <w:rPr>
          <w:spacing w:val="-7"/>
          <w:position w:val="1"/>
        </w:rPr>
        <w:t> </w:t>
      </w:r>
      <w:r>
        <w:rPr>
          <w:position w:val="1"/>
        </w:rPr>
        <w:t>of</w:t>
      </w:r>
      <w:r>
        <w:rPr>
          <w:spacing w:val="-7"/>
          <w:position w:val="1"/>
        </w:rPr>
        <w:t> </w:t>
      </w:r>
      <w:r>
        <w:rPr>
          <w:position w:val="1"/>
        </w:rPr>
        <w:t>the</w:t>
      </w:r>
      <w:r>
        <w:rPr>
          <w:spacing w:val="-58"/>
          <w:position w:val="1"/>
        </w:rPr>
        <w:t> </w:t>
      </w:r>
      <w:r>
        <w:rPr/>
        <w:t>shear</w:t>
      </w:r>
      <w:r>
        <w:rPr>
          <w:spacing w:val="-1"/>
        </w:rPr>
        <w:t> </w:t>
      </w:r>
      <w:r>
        <w:rPr/>
        <w:t>deformation based on</w:t>
      </w:r>
      <w:r>
        <w:rPr>
          <w:spacing w:val="-1"/>
        </w:rPr>
        <w:t> </w:t>
      </w:r>
      <w:r>
        <w:rPr/>
        <w:t>load and end</w:t>
      </w:r>
      <w:r>
        <w:rPr>
          <w:spacing w:val="-1"/>
        </w:rPr>
        <w:t> </w:t>
      </w:r>
      <w:r>
        <w:rPr/>
        <w:t>conditions, as shown</w:t>
      </w:r>
      <w:r>
        <w:rPr>
          <w:spacing w:val="-1"/>
        </w:rPr>
        <w:t> </w:t>
      </w:r>
      <w:r>
        <w:rPr/>
        <w:t>in </w:t>
      </w:r>
      <w:hyperlink w:history="true" w:anchor="_bookmark48">
        <w:r>
          <w:rPr/>
          <w:t>Table</w:t>
        </w:r>
        <w:r>
          <w:rPr>
            <w:spacing w:val="-1"/>
          </w:rPr>
          <w:t> </w:t>
        </w:r>
        <w:r>
          <w:rPr/>
          <w:t>4-7</w:t>
        </w:r>
      </w:hyperlink>
      <w:r>
        <w:rPr/>
        <w:t>.</w:t>
      </w:r>
    </w:p>
    <w:tbl>
      <w:tblPr>
        <w:tblW w:w="0" w:type="auto"/>
        <w:jc w:val="left"/>
        <w:tblInd w:w="289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45"/>
        <w:gridCol w:w="913"/>
        <w:gridCol w:w="1979"/>
        <w:gridCol w:w="2238"/>
      </w:tblGrid>
      <w:tr>
        <w:trPr>
          <w:trHeight w:val="1077" w:hRule="atLeast"/>
        </w:trPr>
        <w:tc>
          <w:tcPr>
            <w:tcW w:w="4037" w:type="dxa"/>
            <w:gridSpan w:val="3"/>
          </w:tcPr>
          <w:p>
            <w:pPr>
              <w:pStyle w:val="TableParagraph"/>
              <w:spacing w:line="212" w:lineRule="exact"/>
              <w:ind w:right="517"/>
              <w:jc w:val="center"/>
              <w:rPr>
                <w:rFonts w:ascii="Cambria Math" w:eastAsia="Cambria Math"/>
                <w:sz w:val="17"/>
              </w:rPr>
            </w:pPr>
            <w:r>
              <w:rPr>
                <w:rFonts w:ascii="Cambria Math" w:eastAsia="Cambria Math"/>
                <w:position w:val="5"/>
                <w:sz w:val="24"/>
              </w:rPr>
              <w:t>𝐸</w:t>
            </w:r>
            <w:r>
              <w:rPr>
                <w:rFonts w:ascii="Cambria Math" w:eastAsia="Cambria Math"/>
                <w:spacing w:val="-15"/>
                <w:position w:val="5"/>
                <w:sz w:val="24"/>
              </w:rPr>
              <w:t>𝐼</w:t>
            </w:r>
            <w:r>
              <w:rPr>
                <w:rFonts w:ascii="Cambria Math" w:eastAsia="Cambria Math"/>
                <w:spacing w:val="-1"/>
                <w:w w:val="109"/>
                <w:sz w:val="17"/>
              </w:rPr>
              <w:t>𝑒</w:t>
            </w:r>
            <w:r>
              <w:rPr>
                <w:rFonts w:ascii="Cambria Math" w:eastAsia="Cambria Math"/>
                <w:spacing w:val="-1"/>
                <w:w w:val="54"/>
                <w:sz w:val="17"/>
              </w:rPr>
              <w:t>𝑓𝑓𝑓𝑓</w:t>
            </w:r>
          </w:p>
          <w:p>
            <w:pPr>
              <w:pStyle w:val="TableParagraph"/>
              <w:tabs>
                <w:tab w:pos="1489" w:val="left" w:leader="none"/>
              </w:tabs>
              <w:spacing w:line="311" w:lineRule="exact"/>
              <w:ind w:left="200"/>
              <w:rPr>
                <w:rFonts w:ascii="Cambria Math" w:eastAsia="Cambria Math"/>
                <w:sz w:val="17"/>
              </w:rPr>
            </w:pPr>
            <w:r>
              <w:rPr>
                <w:rFonts w:ascii="Cambria Math" w:eastAsia="Cambria Math"/>
                <w:position w:val="13"/>
                <w:sz w:val="24"/>
              </w:rPr>
              <w:t>𝐸</w:t>
            </w:r>
            <w:r>
              <w:rPr>
                <w:rFonts w:ascii="Cambria Math" w:eastAsia="Cambria Math"/>
                <w:spacing w:val="-15"/>
                <w:position w:val="13"/>
                <w:sz w:val="24"/>
              </w:rPr>
              <w:t>𝐼</w:t>
            </w:r>
            <w:r>
              <w:rPr>
                <w:rFonts w:ascii="Cambria Math" w:eastAsia="Cambria Math"/>
                <w:w w:val="112"/>
                <w:position w:val="8"/>
                <w:sz w:val="17"/>
              </w:rPr>
              <w:t>𝑎</w:t>
            </w:r>
            <w:r>
              <w:rPr>
                <w:rFonts w:ascii="Cambria Math" w:eastAsia="Cambria Math"/>
                <w:spacing w:val="-1"/>
                <w:w w:val="113"/>
                <w:position w:val="8"/>
                <w:sz w:val="17"/>
              </w:rPr>
              <w:t>𝑝</w:t>
            </w:r>
            <w:r>
              <w:rPr>
                <w:rFonts w:ascii="Cambria Math" w:eastAsia="Cambria Math"/>
                <w:w w:val="113"/>
                <w:position w:val="8"/>
                <w:sz w:val="17"/>
              </w:rPr>
              <w:t>𝑝</w:t>
            </w:r>
            <w:r>
              <w:rPr>
                <w:rFonts w:ascii="Cambria Math" w:eastAsia="Cambria Math"/>
                <w:position w:val="8"/>
                <w:sz w:val="17"/>
              </w:rPr>
              <w:t> </w:t>
            </w:r>
            <w:r>
              <w:rPr>
                <w:rFonts w:ascii="Cambria Math" w:eastAsia="Cambria Math"/>
                <w:spacing w:val="2"/>
                <w:position w:val="8"/>
                <w:sz w:val="17"/>
              </w:rPr>
              <w:t> </w:t>
            </w:r>
            <w:r>
              <w:rPr>
                <w:rFonts w:ascii="Cambria Math" w:eastAsia="Cambria Math"/>
                <w:position w:val="13"/>
                <w:sz w:val="24"/>
              </w:rPr>
              <w:t>=</w:t>
              <w:tab/>
            </w:r>
            <w:r>
              <w:rPr>
                <w:sz w:val="24"/>
                <w:u w:val="single"/>
              </w:rPr>
              <w:t> </w:t>
            </w:r>
            <w:r>
              <w:rPr>
                <w:spacing w:val="-29"/>
                <w:sz w:val="24"/>
                <w:u w:val="single"/>
              </w:rPr>
              <w:t> </w:t>
            </w:r>
            <w:r>
              <w:rPr>
                <w:rFonts w:ascii="Cambria Math" w:eastAsia="Cambria Math"/>
                <w:spacing w:val="-26"/>
                <w:sz w:val="24"/>
                <w:u w:val="single"/>
              </w:rPr>
              <w:t>𝐾</w:t>
            </w:r>
            <w:r>
              <w:rPr>
                <w:rFonts w:ascii="Cambria Math" w:eastAsia="Cambria Math"/>
                <w:spacing w:val="13"/>
                <w:w w:val="104"/>
                <w:position w:val="-4"/>
                <w:sz w:val="17"/>
                <w:u w:val="single"/>
              </w:rPr>
              <w:t>𝑆</w:t>
            </w:r>
            <w:r>
              <w:rPr>
                <w:rFonts w:ascii="Cambria Math" w:eastAsia="Cambria Math"/>
                <w:sz w:val="24"/>
                <w:u w:val="single"/>
              </w:rPr>
              <w:t>𝐸</w:t>
            </w:r>
            <w:r>
              <w:rPr>
                <w:rFonts w:ascii="Cambria Math" w:eastAsia="Cambria Math"/>
                <w:spacing w:val="-15"/>
                <w:sz w:val="24"/>
                <w:u w:val="single"/>
              </w:rPr>
              <w:t>𝐼</w:t>
            </w:r>
            <w:r>
              <w:rPr>
                <w:rFonts w:ascii="Cambria Math" w:eastAsia="Cambria Math"/>
                <w:spacing w:val="-1"/>
                <w:w w:val="109"/>
                <w:position w:val="-4"/>
                <w:sz w:val="17"/>
                <w:u w:val="single"/>
              </w:rPr>
              <w:t>𝑒</w:t>
            </w:r>
            <w:r>
              <w:rPr>
                <w:rFonts w:ascii="Cambria Math" w:eastAsia="Cambria Math"/>
                <w:spacing w:val="-1"/>
                <w:w w:val="54"/>
                <w:position w:val="-4"/>
                <w:sz w:val="17"/>
                <w:u w:val="single"/>
              </w:rPr>
              <w:t>𝑓𝑓</w:t>
            </w:r>
            <w:r>
              <w:rPr>
                <w:rFonts w:ascii="Cambria Math" w:eastAsia="Cambria Math"/>
                <w:spacing w:val="29"/>
                <w:w w:val="54"/>
                <w:position w:val="-4"/>
                <w:sz w:val="17"/>
                <w:u w:val="single"/>
              </w:rPr>
              <w:t>𝑓</w:t>
            </w:r>
            <w:r>
              <w:rPr>
                <w:rFonts w:ascii="Cambria Math" w:eastAsia="Cambria Math"/>
                <w:position w:val="-4"/>
                <w:sz w:val="17"/>
                <w:u w:val="single"/>
              </w:rPr>
              <w:t>  </w:t>
            </w:r>
            <w:r>
              <w:rPr>
                <w:rFonts w:ascii="Cambria Math" w:eastAsia="Cambria Math"/>
                <w:w w:val="54"/>
                <w:position w:val="-4"/>
                <w:sz w:val="17"/>
                <w:u w:val="single"/>
              </w:rPr>
              <w:t>𝑓</w:t>
            </w:r>
            <w:r>
              <w:rPr>
                <w:rFonts w:ascii="Cambria Math" w:eastAsia="Cambria Math"/>
                <w:spacing w:val="-9"/>
                <w:position w:val="-4"/>
                <w:sz w:val="17"/>
                <w:u w:val="single"/>
              </w:rPr>
              <w:t> </w:t>
            </w:r>
          </w:p>
          <w:p>
            <w:pPr>
              <w:pStyle w:val="TableParagraph"/>
              <w:tabs>
                <w:tab w:pos="1279" w:val="left" w:leader="none"/>
              </w:tabs>
              <w:spacing w:line="176" w:lineRule="exact"/>
              <w:ind w:right="514"/>
              <w:jc w:val="center"/>
              <w:rPr>
                <w:rFonts w:ascii="Cambria Math"/>
                <w:sz w:val="17"/>
              </w:rPr>
            </w:pPr>
            <w:r>
              <w:rPr>
                <w:rFonts w:ascii="Cambria Math"/>
                <w:sz w:val="24"/>
              </w:rPr>
              <w:t>1 +</w:t>
              <w:tab/>
            </w:r>
            <w:r>
              <w:rPr>
                <w:rFonts w:ascii="Cambria Math"/>
                <w:position w:val="-5"/>
                <w:sz w:val="17"/>
              </w:rPr>
              <w:t>2</w:t>
            </w:r>
          </w:p>
          <w:p>
            <w:pPr>
              <w:pStyle w:val="TableParagraph"/>
              <w:spacing w:line="237" w:lineRule="exact"/>
              <w:ind w:right="206"/>
              <w:jc w:val="center"/>
              <w:rPr>
                <w:rFonts w:ascii="Cambria Math" w:eastAsia="Cambria Math"/>
                <w:sz w:val="17"/>
              </w:rPr>
            </w:pPr>
            <w:r>
              <w:rPr>
                <w:rFonts w:ascii="Cambria Math" w:eastAsia="Cambria Math"/>
                <w:position w:val="5"/>
                <w:sz w:val="24"/>
              </w:rPr>
              <w:t>𝐺𝐴</w:t>
            </w:r>
            <w:r>
              <w:rPr>
                <w:rFonts w:ascii="Cambria Math" w:eastAsia="Cambria Math"/>
                <w:spacing w:val="-1"/>
                <w:w w:val="109"/>
                <w:sz w:val="17"/>
              </w:rPr>
              <w:t>𝑒</w:t>
            </w:r>
            <w:r>
              <w:rPr>
                <w:rFonts w:ascii="Cambria Math" w:eastAsia="Cambria Math"/>
                <w:spacing w:val="-1"/>
                <w:w w:val="54"/>
                <w:sz w:val="17"/>
              </w:rPr>
              <w:t>𝑓𝑓𝑓</w:t>
            </w:r>
            <w:r>
              <w:rPr>
                <w:rFonts w:ascii="Cambria Math" w:eastAsia="Cambria Math"/>
                <w:spacing w:val="14"/>
                <w:w w:val="54"/>
                <w:sz w:val="17"/>
              </w:rPr>
              <w:t>𝑓</w:t>
            </w:r>
            <w:r>
              <w:rPr>
                <w:rFonts w:ascii="Cambria Math" w:eastAsia="Cambria Math"/>
                <w:spacing w:val="-1"/>
                <w:position w:val="5"/>
                <w:sz w:val="24"/>
              </w:rPr>
              <w:t>𝐿</w:t>
            </w:r>
            <w:r>
              <w:rPr>
                <w:rFonts w:ascii="Cambria Math" w:eastAsia="Cambria Math"/>
                <w:w w:val="113"/>
                <w:sz w:val="17"/>
              </w:rPr>
              <w:t>𝑝</w:t>
            </w:r>
          </w:p>
        </w:tc>
        <w:tc>
          <w:tcPr>
            <w:tcW w:w="2238" w:type="dxa"/>
          </w:tcPr>
          <w:p>
            <w:pPr>
              <w:pStyle w:val="TableParagraph"/>
              <w:spacing w:line="266" w:lineRule="exact"/>
              <w:ind w:right="198"/>
              <w:jc w:val="right"/>
              <w:rPr>
                <w:sz w:val="24"/>
              </w:rPr>
            </w:pPr>
            <w:r>
              <w:rPr>
                <w:sz w:val="24"/>
              </w:rPr>
              <w:t>(4.8)</w:t>
            </w:r>
          </w:p>
        </w:tc>
      </w:tr>
      <w:tr>
        <w:trPr>
          <w:trHeight w:val="413" w:hRule="atLeast"/>
        </w:trPr>
        <w:tc>
          <w:tcPr>
            <w:tcW w:w="1145" w:type="dxa"/>
          </w:tcPr>
          <w:p>
            <w:pPr>
              <w:pStyle w:val="TableParagraph"/>
              <w:spacing w:line="262" w:lineRule="exact" w:before="131"/>
              <w:ind w:left="362"/>
              <w:rPr>
                <w:sz w:val="24"/>
              </w:rPr>
            </w:pPr>
            <w:r>
              <w:rPr>
                <w:sz w:val="24"/>
              </w:rPr>
              <w:t>where</w:t>
            </w:r>
          </w:p>
        </w:tc>
        <w:tc>
          <w:tcPr>
            <w:tcW w:w="913" w:type="dxa"/>
          </w:tcPr>
          <w:p>
            <w:pPr>
              <w:pStyle w:val="TableParagraph"/>
              <w:spacing w:line="261" w:lineRule="exact" w:before="132"/>
              <w:ind w:right="106"/>
              <w:jc w:val="right"/>
              <w:rPr>
                <w:i/>
                <w:sz w:val="24"/>
              </w:rPr>
            </w:pPr>
            <w:r>
              <w:rPr>
                <w:i/>
                <w:position w:val="1"/>
                <w:sz w:val="24"/>
              </w:rPr>
              <w:t>EI</w:t>
            </w:r>
            <w:r>
              <w:rPr>
                <w:i/>
                <w:sz w:val="16"/>
              </w:rPr>
              <w:t>eff</w:t>
            </w:r>
            <w:r>
              <w:rPr>
                <w:i/>
                <w:spacing w:val="19"/>
                <w:sz w:val="16"/>
              </w:rPr>
              <w:t> </w:t>
            </w:r>
            <w:r>
              <w:rPr>
                <w:i/>
                <w:position w:val="1"/>
                <w:sz w:val="24"/>
              </w:rPr>
              <w:t>=</w:t>
            </w:r>
          </w:p>
        </w:tc>
        <w:tc>
          <w:tcPr>
            <w:tcW w:w="4217" w:type="dxa"/>
            <w:gridSpan w:val="2"/>
          </w:tcPr>
          <w:p>
            <w:pPr>
              <w:pStyle w:val="TableParagraph"/>
              <w:spacing w:line="262" w:lineRule="exact" w:before="131"/>
              <w:ind w:left="107"/>
              <w:rPr>
                <w:sz w:val="24"/>
              </w:rPr>
            </w:pPr>
            <w:r>
              <w:rPr>
                <w:sz w:val="24"/>
              </w:rPr>
              <w:t>effective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bending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stiffness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(See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Eqn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4.4)</w:t>
            </w:r>
          </w:p>
        </w:tc>
      </w:tr>
      <w:tr>
        <w:trPr>
          <w:trHeight w:val="276" w:hRule="atLeast"/>
        </w:trPr>
        <w:tc>
          <w:tcPr>
            <w:tcW w:w="114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913" w:type="dxa"/>
          </w:tcPr>
          <w:p>
            <w:pPr>
              <w:pStyle w:val="TableParagraph"/>
              <w:spacing w:line="256" w:lineRule="exact"/>
              <w:ind w:right="106"/>
              <w:jc w:val="right"/>
              <w:rPr>
                <w:i/>
                <w:sz w:val="24"/>
              </w:rPr>
            </w:pPr>
            <w:r>
              <w:rPr>
                <w:i/>
                <w:position w:val="1"/>
                <w:sz w:val="24"/>
              </w:rPr>
              <w:t>K</w:t>
            </w:r>
            <w:r>
              <w:rPr>
                <w:i/>
                <w:sz w:val="16"/>
              </w:rPr>
              <w:t>S</w:t>
            </w:r>
            <w:r>
              <w:rPr>
                <w:i/>
                <w:spacing w:val="19"/>
                <w:sz w:val="16"/>
              </w:rPr>
              <w:t> </w:t>
            </w:r>
            <w:r>
              <w:rPr>
                <w:i/>
                <w:position w:val="1"/>
                <w:sz w:val="24"/>
              </w:rPr>
              <w:t>=</w:t>
            </w:r>
          </w:p>
        </w:tc>
        <w:tc>
          <w:tcPr>
            <w:tcW w:w="4217" w:type="dxa"/>
            <w:gridSpan w:val="2"/>
          </w:tcPr>
          <w:p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constant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based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load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conditions</w:t>
            </w:r>
          </w:p>
        </w:tc>
      </w:tr>
      <w:tr>
        <w:trPr>
          <w:trHeight w:val="275" w:hRule="atLeast"/>
        </w:trPr>
        <w:tc>
          <w:tcPr>
            <w:tcW w:w="114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913" w:type="dxa"/>
          </w:tcPr>
          <w:p>
            <w:pPr>
              <w:pStyle w:val="TableParagraph"/>
              <w:spacing w:line="256" w:lineRule="exact"/>
              <w:ind w:right="107"/>
              <w:jc w:val="right"/>
              <w:rPr>
                <w:i/>
                <w:sz w:val="24"/>
              </w:rPr>
            </w:pPr>
            <w:r>
              <w:rPr>
                <w:i/>
                <w:position w:val="1"/>
                <w:sz w:val="24"/>
              </w:rPr>
              <w:t>GA</w:t>
            </w:r>
            <w:r>
              <w:rPr>
                <w:i/>
                <w:sz w:val="16"/>
              </w:rPr>
              <w:t>eff</w:t>
            </w:r>
            <w:r>
              <w:rPr>
                <w:i/>
                <w:spacing w:val="18"/>
                <w:sz w:val="16"/>
              </w:rPr>
              <w:t> </w:t>
            </w:r>
            <w:r>
              <w:rPr>
                <w:i/>
                <w:position w:val="1"/>
                <w:sz w:val="24"/>
              </w:rPr>
              <w:t>=</w:t>
            </w:r>
          </w:p>
        </w:tc>
        <w:tc>
          <w:tcPr>
            <w:tcW w:w="4217" w:type="dxa"/>
            <w:gridSpan w:val="2"/>
          </w:tcPr>
          <w:p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effective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shear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stiffness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(See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Eqn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4.5)</w:t>
            </w:r>
          </w:p>
        </w:tc>
      </w:tr>
      <w:tr>
        <w:trPr>
          <w:trHeight w:val="271" w:hRule="atLeast"/>
        </w:trPr>
        <w:tc>
          <w:tcPr>
            <w:tcW w:w="114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913" w:type="dxa"/>
          </w:tcPr>
          <w:p>
            <w:pPr>
              <w:pStyle w:val="TableParagraph"/>
              <w:spacing w:line="251" w:lineRule="exact"/>
              <w:ind w:right="106"/>
              <w:jc w:val="right"/>
              <w:rPr>
                <w:i/>
                <w:sz w:val="24"/>
              </w:rPr>
            </w:pPr>
            <w:r>
              <w:rPr>
                <w:i/>
                <w:position w:val="1"/>
                <w:sz w:val="24"/>
              </w:rPr>
              <w:t>L</w:t>
            </w:r>
            <w:r>
              <w:rPr>
                <w:i/>
                <w:sz w:val="16"/>
              </w:rPr>
              <w:t>p</w:t>
            </w:r>
            <w:r>
              <w:rPr>
                <w:i/>
                <w:spacing w:val="19"/>
                <w:sz w:val="16"/>
              </w:rPr>
              <w:t> </w:t>
            </w:r>
            <w:r>
              <w:rPr>
                <w:i/>
                <w:position w:val="1"/>
                <w:sz w:val="24"/>
              </w:rPr>
              <w:t>=</w:t>
            </w:r>
          </w:p>
        </w:tc>
        <w:tc>
          <w:tcPr>
            <w:tcW w:w="1979" w:type="dxa"/>
          </w:tcPr>
          <w:p>
            <w:pPr>
              <w:pStyle w:val="TableParagraph"/>
              <w:spacing w:line="251" w:lineRule="exact"/>
              <w:ind w:left="107"/>
              <w:rPr>
                <w:sz w:val="24"/>
              </w:rPr>
            </w:pPr>
            <w:r>
              <w:rPr>
                <w:sz w:val="24"/>
              </w:rPr>
              <w:t>panel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height</w:t>
            </w:r>
          </w:p>
        </w:tc>
        <w:tc>
          <w:tcPr>
            <w:tcW w:w="2238" w:type="dxa"/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spacing w:after="0"/>
        <w:rPr>
          <w:sz w:val="20"/>
        </w:rPr>
        <w:sectPr>
          <w:pgSz w:w="12240" w:h="15840"/>
          <w:pgMar w:header="0" w:footer="1064" w:top="1360" w:bottom="1260" w:left="1720" w:right="1180"/>
        </w:sectPr>
      </w:pPr>
    </w:p>
    <w:p>
      <w:pPr>
        <w:spacing w:before="78"/>
        <w:ind w:left="181" w:right="0" w:firstLine="0"/>
        <w:jc w:val="center"/>
        <w:rPr>
          <w:i/>
          <w:sz w:val="24"/>
        </w:rPr>
      </w:pPr>
      <w:bookmarkStart w:name="_bookmark48" w:id="232"/>
      <w:bookmarkEnd w:id="232"/>
      <w:r>
        <w:rPr/>
      </w:r>
      <w:r>
        <w:rPr>
          <w:i/>
          <w:position w:val="1"/>
          <w:sz w:val="24"/>
        </w:rPr>
        <w:t>Table</w:t>
      </w:r>
      <w:r>
        <w:rPr>
          <w:i/>
          <w:spacing w:val="-1"/>
          <w:position w:val="1"/>
          <w:sz w:val="24"/>
        </w:rPr>
        <w:t> </w:t>
      </w:r>
      <w:r>
        <w:rPr>
          <w:i/>
          <w:position w:val="1"/>
          <w:sz w:val="24"/>
        </w:rPr>
        <w:t>4-7.</w:t>
      </w:r>
      <w:r>
        <w:rPr>
          <w:i/>
          <w:spacing w:val="-1"/>
          <w:position w:val="1"/>
          <w:sz w:val="24"/>
        </w:rPr>
        <w:t> </w:t>
      </w:r>
      <w:r>
        <w:rPr>
          <w:i/>
          <w:position w:val="1"/>
          <w:sz w:val="24"/>
        </w:rPr>
        <w:t>K</w:t>
      </w:r>
      <w:r>
        <w:rPr>
          <w:i/>
          <w:sz w:val="16"/>
        </w:rPr>
        <w:t>S</w:t>
      </w:r>
      <w:r>
        <w:rPr>
          <w:i/>
          <w:spacing w:val="20"/>
          <w:sz w:val="16"/>
        </w:rPr>
        <w:t> </w:t>
      </w:r>
      <w:r>
        <w:rPr>
          <w:i/>
          <w:position w:val="1"/>
          <w:sz w:val="24"/>
        </w:rPr>
        <w:t>values</w:t>
      </w:r>
      <w:r>
        <w:rPr>
          <w:i/>
          <w:spacing w:val="-2"/>
          <w:position w:val="1"/>
          <w:sz w:val="24"/>
        </w:rPr>
        <w:t> </w:t>
      </w:r>
      <w:r>
        <w:rPr>
          <w:i/>
          <w:position w:val="1"/>
          <w:sz w:val="24"/>
        </w:rPr>
        <w:t>for</w:t>
      </w:r>
      <w:r>
        <w:rPr>
          <w:i/>
          <w:spacing w:val="-2"/>
          <w:position w:val="1"/>
          <w:sz w:val="24"/>
        </w:rPr>
        <w:t> </w:t>
      </w:r>
      <w:r>
        <w:rPr>
          <w:i/>
          <w:position w:val="1"/>
          <w:sz w:val="24"/>
        </w:rPr>
        <w:t>various loading</w:t>
      </w:r>
      <w:r>
        <w:rPr>
          <w:i/>
          <w:spacing w:val="-1"/>
          <w:position w:val="1"/>
          <w:sz w:val="24"/>
        </w:rPr>
        <w:t> </w:t>
      </w:r>
      <w:r>
        <w:rPr>
          <w:i/>
          <w:position w:val="1"/>
          <w:sz w:val="24"/>
        </w:rPr>
        <w:t>conditions,</w:t>
      </w:r>
      <w:r>
        <w:rPr>
          <w:i/>
          <w:spacing w:val="-1"/>
          <w:position w:val="1"/>
          <w:sz w:val="24"/>
        </w:rPr>
        <w:t> </w:t>
      </w:r>
      <w:r>
        <w:rPr>
          <w:i/>
          <w:position w:val="1"/>
          <w:sz w:val="24"/>
        </w:rPr>
        <w:t>adapted</w:t>
      </w:r>
      <w:r>
        <w:rPr>
          <w:i/>
          <w:spacing w:val="-1"/>
          <w:position w:val="1"/>
          <w:sz w:val="24"/>
        </w:rPr>
        <w:t> </w:t>
      </w:r>
      <w:r>
        <w:rPr>
          <w:i/>
          <w:position w:val="1"/>
          <w:sz w:val="24"/>
        </w:rPr>
        <w:t>from</w:t>
      </w:r>
      <w:r>
        <w:rPr>
          <w:i/>
          <w:spacing w:val="-2"/>
          <w:position w:val="1"/>
          <w:sz w:val="24"/>
        </w:rPr>
        <w:t> </w:t>
      </w:r>
      <w:r>
        <w:rPr>
          <w:i/>
          <w:position w:val="1"/>
          <w:sz w:val="24"/>
        </w:rPr>
        <w:t>[68].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6" w:after="1"/>
        <w:rPr>
          <w:i/>
          <w:sz w:val="21"/>
        </w:rPr>
      </w:pPr>
    </w:p>
    <w:tbl>
      <w:tblPr>
        <w:tblW w:w="0" w:type="auto"/>
        <w:jc w:val="left"/>
        <w:tblInd w:w="21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020"/>
        <w:gridCol w:w="1340"/>
        <w:gridCol w:w="960"/>
      </w:tblGrid>
      <w:tr>
        <w:trPr>
          <w:trHeight w:val="329" w:hRule="atLeast"/>
        </w:trPr>
        <w:tc>
          <w:tcPr>
            <w:tcW w:w="3020" w:type="dxa"/>
            <w:shd w:val="clear" w:color="auto" w:fill="C0C0C0"/>
          </w:tcPr>
          <w:p>
            <w:pPr>
              <w:pStyle w:val="TableParagraph"/>
              <w:spacing w:line="234" w:lineRule="exact" w:before="75"/>
              <w:ind w:left="1123" w:right="1112"/>
              <w:jc w:val="center"/>
              <w:rPr>
                <w:sz w:val="22"/>
              </w:rPr>
            </w:pPr>
            <w:r>
              <w:rPr>
                <w:sz w:val="22"/>
              </w:rPr>
              <w:t>Loading</w:t>
            </w:r>
          </w:p>
        </w:tc>
        <w:tc>
          <w:tcPr>
            <w:tcW w:w="1340" w:type="dxa"/>
            <w:shd w:val="clear" w:color="auto" w:fill="C0C0C0"/>
          </w:tcPr>
          <w:p>
            <w:pPr>
              <w:pStyle w:val="TableParagraph"/>
              <w:spacing w:line="234" w:lineRule="exact" w:before="75"/>
              <w:ind w:left="87" w:right="77"/>
              <w:jc w:val="center"/>
              <w:rPr>
                <w:sz w:val="22"/>
              </w:rPr>
            </w:pPr>
            <w:r>
              <w:rPr>
                <w:sz w:val="22"/>
              </w:rPr>
              <w:t>End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Fixity</w:t>
            </w:r>
          </w:p>
        </w:tc>
        <w:tc>
          <w:tcPr>
            <w:tcW w:w="960" w:type="dxa"/>
            <w:shd w:val="clear" w:color="auto" w:fill="C0C0C0"/>
          </w:tcPr>
          <w:p>
            <w:pPr>
              <w:pStyle w:val="TableParagraph"/>
              <w:spacing w:line="234" w:lineRule="exact" w:before="75"/>
              <w:ind w:left="114" w:right="104"/>
              <w:jc w:val="center"/>
              <w:rPr>
                <w:sz w:val="22"/>
              </w:rPr>
            </w:pPr>
            <w:r>
              <w:rPr>
                <w:sz w:val="22"/>
              </w:rPr>
              <w:t>K</w:t>
            </w:r>
            <w:r>
              <w:rPr>
                <w:sz w:val="22"/>
                <w:vertAlign w:val="subscript"/>
              </w:rPr>
              <w:t>S</w:t>
            </w:r>
          </w:p>
        </w:tc>
      </w:tr>
      <w:tr>
        <w:trPr>
          <w:trHeight w:val="299" w:hRule="atLeast"/>
        </w:trPr>
        <w:tc>
          <w:tcPr>
            <w:tcW w:w="3020" w:type="dxa"/>
            <w:vMerge w:val="restart"/>
          </w:tcPr>
          <w:p>
            <w:pPr>
              <w:pStyle w:val="TableParagraph"/>
              <w:spacing w:before="177"/>
              <w:ind w:left="107"/>
              <w:rPr>
                <w:sz w:val="22"/>
              </w:rPr>
            </w:pPr>
            <w:r>
              <w:rPr>
                <w:sz w:val="22"/>
              </w:rPr>
              <w:t>Uniformly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distributed</w:t>
            </w:r>
          </w:p>
        </w:tc>
        <w:tc>
          <w:tcPr>
            <w:tcW w:w="1340" w:type="dxa"/>
          </w:tcPr>
          <w:p>
            <w:pPr>
              <w:pStyle w:val="TableParagraph"/>
              <w:spacing w:line="234" w:lineRule="exact" w:before="45"/>
              <w:ind w:left="87" w:right="76"/>
              <w:jc w:val="center"/>
              <w:rPr>
                <w:sz w:val="22"/>
              </w:rPr>
            </w:pPr>
            <w:r>
              <w:rPr>
                <w:sz w:val="22"/>
              </w:rPr>
              <w:t>Pinned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45"/>
              <w:ind w:left="114" w:right="104"/>
              <w:jc w:val="center"/>
              <w:rPr>
                <w:sz w:val="22"/>
              </w:rPr>
            </w:pPr>
            <w:r>
              <w:rPr>
                <w:sz w:val="22"/>
              </w:rPr>
              <w:t>11.5</w:t>
            </w:r>
          </w:p>
        </w:tc>
      </w:tr>
      <w:tr>
        <w:trPr>
          <w:trHeight w:val="300" w:hRule="atLeast"/>
        </w:trPr>
        <w:tc>
          <w:tcPr>
            <w:tcW w:w="302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40" w:type="dxa"/>
          </w:tcPr>
          <w:p>
            <w:pPr>
              <w:pStyle w:val="TableParagraph"/>
              <w:spacing w:line="234" w:lineRule="exact" w:before="46"/>
              <w:ind w:left="86" w:right="78"/>
              <w:jc w:val="center"/>
              <w:rPr>
                <w:sz w:val="22"/>
              </w:rPr>
            </w:pPr>
            <w:r>
              <w:rPr>
                <w:sz w:val="22"/>
              </w:rPr>
              <w:t>Fixed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46"/>
              <w:ind w:left="114" w:right="104"/>
              <w:jc w:val="center"/>
              <w:rPr>
                <w:sz w:val="22"/>
              </w:rPr>
            </w:pPr>
            <w:r>
              <w:rPr>
                <w:sz w:val="22"/>
              </w:rPr>
              <w:t>57.6</w:t>
            </w:r>
          </w:p>
        </w:tc>
      </w:tr>
      <w:tr>
        <w:trPr>
          <w:trHeight w:val="299" w:hRule="atLeast"/>
        </w:trPr>
        <w:tc>
          <w:tcPr>
            <w:tcW w:w="3020" w:type="dxa"/>
            <w:vMerge w:val="restart"/>
          </w:tcPr>
          <w:p>
            <w:pPr>
              <w:pStyle w:val="TableParagraph"/>
              <w:spacing w:before="177"/>
              <w:ind w:left="107"/>
              <w:rPr>
                <w:sz w:val="22"/>
              </w:rPr>
            </w:pPr>
            <w:r>
              <w:rPr>
                <w:sz w:val="22"/>
              </w:rPr>
              <w:t>Concentrated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at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mid-span</w:t>
            </w:r>
          </w:p>
        </w:tc>
        <w:tc>
          <w:tcPr>
            <w:tcW w:w="1340" w:type="dxa"/>
          </w:tcPr>
          <w:p>
            <w:pPr>
              <w:pStyle w:val="TableParagraph"/>
              <w:spacing w:line="234" w:lineRule="exact" w:before="45"/>
              <w:ind w:left="87" w:right="76"/>
              <w:jc w:val="center"/>
              <w:rPr>
                <w:sz w:val="22"/>
              </w:rPr>
            </w:pPr>
            <w:r>
              <w:rPr>
                <w:sz w:val="22"/>
              </w:rPr>
              <w:t>Pinned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45"/>
              <w:ind w:left="114" w:right="104"/>
              <w:jc w:val="center"/>
              <w:rPr>
                <w:sz w:val="22"/>
              </w:rPr>
            </w:pPr>
            <w:r>
              <w:rPr>
                <w:sz w:val="22"/>
              </w:rPr>
              <w:t>14.4</w:t>
            </w:r>
          </w:p>
        </w:tc>
      </w:tr>
      <w:tr>
        <w:trPr>
          <w:trHeight w:val="299" w:hRule="atLeast"/>
        </w:trPr>
        <w:tc>
          <w:tcPr>
            <w:tcW w:w="302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40" w:type="dxa"/>
          </w:tcPr>
          <w:p>
            <w:pPr>
              <w:pStyle w:val="TableParagraph"/>
              <w:spacing w:line="234" w:lineRule="exact" w:before="45"/>
              <w:ind w:left="86" w:right="78"/>
              <w:jc w:val="center"/>
              <w:rPr>
                <w:sz w:val="22"/>
              </w:rPr>
            </w:pPr>
            <w:r>
              <w:rPr>
                <w:sz w:val="22"/>
              </w:rPr>
              <w:t>Fixed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45"/>
              <w:ind w:left="114" w:right="104"/>
              <w:jc w:val="center"/>
              <w:rPr>
                <w:sz w:val="22"/>
              </w:rPr>
            </w:pPr>
            <w:r>
              <w:rPr>
                <w:sz w:val="22"/>
              </w:rPr>
              <w:t>57.6</w:t>
            </w:r>
          </w:p>
        </w:tc>
      </w:tr>
      <w:tr>
        <w:trPr>
          <w:trHeight w:val="300" w:hRule="atLeast"/>
        </w:trPr>
        <w:tc>
          <w:tcPr>
            <w:tcW w:w="3020" w:type="dxa"/>
          </w:tcPr>
          <w:p>
            <w:pPr>
              <w:pStyle w:val="TableParagraph"/>
              <w:spacing w:before="22"/>
              <w:ind w:left="107"/>
              <w:rPr>
                <w:sz w:val="22"/>
              </w:rPr>
            </w:pPr>
            <w:r>
              <w:rPr>
                <w:sz w:val="22"/>
              </w:rPr>
              <w:t>Concentrated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at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quarter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points</w:t>
            </w:r>
          </w:p>
        </w:tc>
        <w:tc>
          <w:tcPr>
            <w:tcW w:w="1340" w:type="dxa"/>
          </w:tcPr>
          <w:p>
            <w:pPr>
              <w:pStyle w:val="TableParagraph"/>
              <w:spacing w:line="234" w:lineRule="exact" w:before="46"/>
              <w:ind w:left="87" w:right="76"/>
              <w:jc w:val="center"/>
              <w:rPr>
                <w:sz w:val="22"/>
              </w:rPr>
            </w:pPr>
            <w:r>
              <w:rPr>
                <w:sz w:val="22"/>
              </w:rPr>
              <w:t>Pinned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46"/>
              <w:ind w:left="114" w:right="104"/>
              <w:jc w:val="center"/>
              <w:rPr>
                <w:sz w:val="22"/>
              </w:rPr>
            </w:pPr>
            <w:r>
              <w:rPr>
                <w:sz w:val="22"/>
              </w:rPr>
              <w:t>10.5</w:t>
            </w:r>
          </w:p>
        </w:tc>
      </w:tr>
      <w:tr>
        <w:trPr>
          <w:trHeight w:val="299" w:hRule="atLeast"/>
        </w:trPr>
        <w:tc>
          <w:tcPr>
            <w:tcW w:w="3020" w:type="dxa"/>
          </w:tcPr>
          <w:p>
            <w:pPr>
              <w:pStyle w:val="TableParagraph"/>
              <w:spacing w:before="21"/>
              <w:ind w:left="107"/>
              <w:rPr>
                <w:sz w:val="22"/>
              </w:rPr>
            </w:pPr>
            <w:r>
              <w:rPr>
                <w:sz w:val="22"/>
              </w:rPr>
              <w:t>Constant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moment</w:t>
            </w:r>
          </w:p>
        </w:tc>
        <w:tc>
          <w:tcPr>
            <w:tcW w:w="1340" w:type="dxa"/>
          </w:tcPr>
          <w:p>
            <w:pPr>
              <w:pStyle w:val="TableParagraph"/>
              <w:spacing w:line="234" w:lineRule="exact" w:before="45"/>
              <w:ind w:left="87" w:right="76"/>
              <w:jc w:val="center"/>
              <w:rPr>
                <w:sz w:val="22"/>
              </w:rPr>
            </w:pPr>
            <w:r>
              <w:rPr>
                <w:sz w:val="22"/>
              </w:rPr>
              <w:t>Pinned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45"/>
              <w:ind w:left="114" w:right="104"/>
              <w:jc w:val="center"/>
              <w:rPr>
                <w:sz w:val="22"/>
              </w:rPr>
            </w:pPr>
            <w:r>
              <w:rPr>
                <w:sz w:val="22"/>
              </w:rPr>
              <w:t>11.8</w:t>
            </w:r>
          </w:p>
        </w:tc>
      </w:tr>
      <w:tr>
        <w:trPr>
          <w:trHeight w:val="299" w:hRule="atLeast"/>
        </w:trPr>
        <w:tc>
          <w:tcPr>
            <w:tcW w:w="3020" w:type="dxa"/>
          </w:tcPr>
          <w:p>
            <w:pPr>
              <w:pStyle w:val="TableParagraph"/>
              <w:spacing w:before="22"/>
              <w:ind w:left="107"/>
              <w:rPr>
                <w:sz w:val="22"/>
              </w:rPr>
            </w:pPr>
            <w:r>
              <w:rPr>
                <w:sz w:val="22"/>
              </w:rPr>
              <w:t>Uniformly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distributed</w:t>
            </w:r>
          </w:p>
        </w:tc>
        <w:tc>
          <w:tcPr>
            <w:tcW w:w="1340" w:type="dxa"/>
          </w:tcPr>
          <w:p>
            <w:pPr>
              <w:pStyle w:val="TableParagraph"/>
              <w:spacing w:line="234" w:lineRule="exact" w:before="45"/>
              <w:ind w:left="87" w:right="78"/>
              <w:jc w:val="center"/>
              <w:rPr>
                <w:sz w:val="22"/>
              </w:rPr>
            </w:pPr>
            <w:r>
              <w:rPr>
                <w:sz w:val="22"/>
              </w:rPr>
              <w:t>Cantilevered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45"/>
              <w:ind w:left="114" w:right="104"/>
              <w:jc w:val="center"/>
              <w:rPr>
                <w:sz w:val="22"/>
              </w:rPr>
            </w:pPr>
            <w:r>
              <w:rPr>
                <w:sz w:val="22"/>
              </w:rPr>
              <w:t>4.8</w:t>
            </w:r>
          </w:p>
        </w:tc>
      </w:tr>
      <w:tr>
        <w:trPr>
          <w:trHeight w:val="300" w:hRule="atLeast"/>
        </w:trPr>
        <w:tc>
          <w:tcPr>
            <w:tcW w:w="3020" w:type="dxa"/>
          </w:tcPr>
          <w:p>
            <w:pPr>
              <w:pStyle w:val="TableParagraph"/>
              <w:spacing w:before="22"/>
              <w:ind w:left="107"/>
              <w:rPr>
                <w:sz w:val="22"/>
              </w:rPr>
            </w:pPr>
            <w:r>
              <w:rPr>
                <w:sz w:val="22"/>
              </w:rPr>
              <w:t>Concentrated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at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free-end</w:t>
            </w:r>
          </w:p>
        </w:tc>
        <w:tc>
          <w:tcPr>
            <w:tcW w:w="1340" w:type="dxa"/>
          </w:tcPr>
          <w:p>
            <w:pPr>
              <w:pStyle w:val="TableParagraph"/>
              <w:spacing w:line="234" w:lineRule="exact" w:before="46"/>
              <w:ind w:left="87" w:right="78"/>
              <w:jc w:val="center"/>
              <w:rPr>
                <w:sz w:val="22"/>
              </w:rPr>
            </w:pPr>
            <w:r>
              <w:rPr>
                <w:sz w:val="22"/>
              </w:rPr>
              <w:t>Cantilevered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46"/>
              <w:ind w:left="114" w:right="104"/>
              <w:jc w:val="center"/>
              <w:rPr>
                <w:sz w:val="22"/>
              </w:rPr>
            </w:pPr>
            <w:r>
              <w:rPr>
                <w:sz w:val="22"/>
              </w:rPr>
              <w:t>3.6</w:t>
            </w:r>
          </w:p>
        </w:tc>
      </w:tr>
    </w:tbl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1"/>
        <w:rPr>
          <w:i/>
          <w:sz w:val="22"/>
        </w:rPr>
      </w:pPr>
    </w:p>
    <w:p>
      <w:pPr>
        <w:pStyle w:val="Heading9"/>
        <w:numPr>
          <w:ilvl w:val="1"/>
          <w:numId w:val="20"/>
        </w:numPr>
        <w:tabs>
          <w:tab w:pos="800" w:val="left" w:leader="none"/>
        </w:tabs>
        <w:spacing w:line="240" w:lineRule="auto" w:before="90" w:after="0"/>
        <w:ind w:left="800" w:right="0" w:hanging="360"/>
        <w:jc w:val="both"/>
      </w:pPr>
      <w:bookmarkStart w:name="_TOC_250037" w:id="233"/>
      <w:bookmarkStart w:name="4.8 High strain rate strengths in wood" w:id="234"/>
      <w:r>
        <w:rPr>
          <w:b w:val="0"/>
        </w:rPr>
      </w:r>
      <w:bookmarkEnd w:id="234"/>
      <w:bookmarkStart w:name="4.8 High strain rate strengths in wood" w:id="235"/>
      <w:r>
        <w:rPr/>
        <w:t>Hi</w:t>
      </w:r>
      <w:r>
        <w:rPr/>
        <w:t>gh</w:t>
      </w:r>
      <w:r>
        <w:rPr>
          <w:spacing w:val="-3"/>
        </w:rPr>
        <w:t> </w:t>
      </w:r>
      <w:r>
        <w:rPr/>
        <w:t>strain</w:t>
      </w:r>
      <w:r>
        <w:rPr>
          <w:spacing w:val="-2"/>
        </w:rPr>
        <w:t> </w:t>
      </w:r>
      <w:r>
        <w:rPr/>
        <w:t>rate</w:t>
      </w:r>
      <w:r>
        <w:rPr>
          <w:spacing w:val="-1"/>
        </w:rPr>
        <w:t> </w:t>
      </w:r>
      <w:r>
        <w:rPr/>
        <w:t>strengths</w:t>
      </w:r>
      <w:r>
        <w:rPr>
          <w:spacing w:val="-2"/>
        </w:rPr>
        <w:t> </w:t>
      </w:r>
      <w:r>
        <w:rPr/>
        <w:t>in</w:t>
      </w:r>
      <w:r>
        <w:rPr>
          <w:spacing w:val="-2"/>
        </w:rPr>
        <w:t> </w:t>
      </w:r>
      <w:bookmarkEnd w:id="233"/>
      <w:r>
        <w:rPr/>
        <w:t>wood</w:t>
      </w:r>
    </w:p>
    <w:p>
      <w:pPr>
        <w:pStyle w:val="BodyText"/>
        <w:spacing w:before="6"/>
        <w:rPr>
          <w:b/>
          <w:sz w:val="22"/>
        </w:rPr>
      </w:pPr>
    </w:p>
    <w:p>
      <w:pPr>
        <w:pStyle w:val="BodyText"/>
        <w:spacing w:line="480" w:lineRule="auto"/>
        <w:ind w:left="440" w:right="257" w:firstLine="720"/>
        <w:jc w:val="both"/>
      </w:pPr>
      <w:r>
        <w:rPr/>
        <w:t>Physical experiments have shown wood demonstrates an increased strength under</w:t>
      </w:r>
      <w:r>
        <w:rPr>
          <w:spacing w:val="1"/>
        </w:rPr>
        <w:t> </w:t>
      </w:r>
      <w:r>
        <w:rPr/>
        <w:t>high strain rates, as has been observed with other materials such as structural steel and</w:t>
      </w:r>
      <w:r>
        <w:rPr>
          <w:spacing w:val="1"/>
        </w:rPr>
        <w:t> </w:t>
      </w:r>
      <w:r>
        <w:rPr/>
        <w:t>reinforced concrete [54, 113, 120].</w:t>
      </w:r>
      <w:r>
        <w:rPr>
          <w:spacing w:val="1"/>
        </w:rPr>
        <w:t> </w:t>
      </w:r>
      <w:r>
        <w:rPr/>
        <w:t>Wouts et al. have shown that wood mechanical</w:t>
      </w:r>
      <w:r>
        <w:rPr>
          <w:spacing w:val="1"/>
        </w:rPr>
        <w:t> </w:t>
      </w:r>
      <w:r>
        <w:rPr/>
        <w:t>properties are sensitive to strain rate and that loading direction relative to grain direction</w:t>
      </w:r>
      <w:r>
        <w:rPr>
          <w:spacing w:val="1"/>
        </w:rPr>
        <w:t> </w:t>
      </w:r>
      <w:r>
        <w:rPr/>
        <w:t>influences</w:t>
      </w:r>
      <w:r>
        <w:rPr>
          <w:spacing w:val="-12"/>
        </w:rPr>
        <w:t> </w:t>
      </w:r>
      <w:r>
        <w:rPr/>
        <w:t>this</w:t>
      </w:r>
      <w:r>
        <w:rPr>
          <w:spacing w:val="-10"/>
        </w:rPr>
        <w:t> </w:t>
      </w:r>
      <w:r>
        <w:rPr/>
        <w:t>sensitivity</w:t>
      </w:r>
      <w:r>
        <w:rPr>
          <w:spacing w:val="-11"/>
        </w:rPr>
        <w:t> </w:t>
      </w:r>
      <w:r>
        <w:rPr/>
        <w:t>[123].</w:t>
      </w:r>
      <w:r>
        <w:rPr>
          <w:spacing w:val="41"/>
        </w:rPr>
        <w:t> </w:t>
      </w:r>
      <w:r>
        <w:rPr/>
        <w:t>Much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the</w:t>
      </w:r>
      <w:r>
        <w:rPr>
          <w:spacing w:val="-10"/>
        </w:rPr>
        <w:t> </w:t>
      </w:r>
      <w:r>
        <w:rPr/>
        <w:t>literature</w:t>
      </w:r>
      <w:r>
        <w:rPr>
          <w:spacing w:val="-11"/>
        </w:rPr>
        <w:t> </w:t>
      </w:r>
      <w:r>
        <w:rPr/>
        <w:t>on</w:t>
      </w:r>
      <w:r>
        <w:rPr>
          <w:spacing w:val="-10"/>
        </w:rPr>
        <w:t> </w:t>
      </w:r>
      <w:r>
        <w:rPr/>
        <w:t>wood</w:t>
      </w:r>
      <w:r>
        <w:rPr>
          <w:spacing w:val="-10"/>
        </w:rPr>
        <w:t> </w:t>
      </w:r>
      <w:r>
        <w:rPr/>
        <w:t>under</w:t>
      </w:r>
      <w:r>
        <w:rPr>
          <w:spacing w:val="-10"/>
        </w:rPr>
        <w:t> </w:t>
      </w:r>
      <w:r>
        <w:rPr/>
        <w:t>high</w:t>
      </w:r>
      <w:r>
        <w:rPr>
          <w:spacing w:val="-10"/>
        </w:rPr>
        <w:t> </w:t>
      </w:r>
      <w:r>
        <w:rPr/>
        <w:t>strain</w:t>
      </w:r>
      <w:r>
        <w:rPr>
          <w:spacing w:val="-11"/>
        </w:rPr>
        <w:t> </w:t>
      </w:r>
      <w:r>
        <w:rPr/>
        <w:t>rates</w:t>
      </w:r>
      <w:r>
        <w:rPr>
          <w:spacing w:val="-11"/>
        </w:rPr>
        <w:t> </w:t>
      </w:r>
      <w:r>
        <w:rPr/>
        <w:t>has</w:t>
      </w:r>
      <w:r>
        <w:rPr>
          <w:spacing w:val="-58"/>
        </w:rPr>
        <w:t> </w:t>
      </w:r>
      <w:r>
        <w:rPr/>
        <w:t>been limited to balsa wood used in the cores of sandwich panels.</w:t>
      </w:r>
      <w:r>
        <w:rPr>
          <w:spacing w:val="1"/>
        </w:rPr>
        <w:t> </w:t>
      </w:r>
      <w:r>
        <w:rPr/>
        <w:t>A few key references</w:t>
      </w:r>
      <w:r>
        <w:rPr>
          <w:spacing w:val="1"/>
        </w:rPr>
        <w:t> </w:t>
      </w:r>
      <w:r>
        <w:rPr/>
        <w:t>report</w:t>
      </w:r>
      <w:r>
        <w:rPr>
          <w:spacing w:val="-4"/>
        </w:rPr>
        <w:t> </w:t>
      </w:r>
      <w:r>
        <w:rPr/>
        <w:t>on</w:t>
      </w:r>
      <w:r>
        <w:rPr>
          <w:spacing w:val="-3"/>
        </w:rPr>
        <w:t> </w:t>
      </w:r>
      <w:r>
        <w:rPr/>
        <w:t>wood</w:t>
      </w:r>
      <w:r>
        <w:rPr>
          <w:spacing w:val="-3"/>
        </w:rPr>
        <w:t> </w:t>
      </w:r>
      <w:r>
        <w:rPr/>
        <w:t>properties</w:t>
      </w:r>
      <w:r>
        <w:rPr>
          <w:spacing w:val="-2"/>
        </w:rPr>
        <w:t> </w:t>
      </w:r>
      <w:r>
        <w:rPr/>
        <w:t>of</w:t>
      </w:r>
      <w:r>
        <w:rPr>
          <w:spacing w:val="-4"/>
        </w:rPr>
        <w:t> </w:t>
      </w:r>
      <w:r>
        <w:rPr/>
        <w:t>typical</w:t>
      </w:r>
      <w:r>
        <w:rPr>
          <w:spacing w:val="-2"/>
        </w:rPr>
        <w:t> </w:t>
      </w:r>
      <w:r>
        <w:rPr/>
        <w:t>softwood</w:t>
      </w:r>
      <w:r>
        <w:rPr>
          <w:spacing w:val="-3"/>
        </w:rPr>
        <w:t> </w:t>
      </w:r>
      <w:r>
        <w:rPr/>
        <w:t>lumber,</w:t>
      </w:r>
      <w:r>
        <w:rPr>
          <w:spacing w:val="-3"/>
        </w:rPr>
        <w:t> </w:t>
      </w:r>
      <w:r>
        <w:rPr/>
        <w:t>examined</w:t>
      </w:r>
      <w:r>
        <w:rPr>
          <w:spacing w:val="-3"/>
        </w:rPr>
        <w:t> </w:t>
      </w:r>
      <w:r>
        <w:rPr/>
        <w:t>at</w:t>
      </w:r>
      <w:r>
        <w:rPr>
          <w:spacing w:val="-3"/>
        </w:rPr>
        <w:t> </w:t>
      </w:r>
      <w:r>
        <w:rPr/>
        <w:t>higher</w:t>
      </w:r>
      <w:r>
        <w:rPr>
          <w:spacing w:val="-2"/>
        </w:rPr>
        <w:t> </w:t>
      </w:r>
      <w:r>
        <w:rPr/>
        <w:t>strain</w:t>
      </w:r>
      <w:r>
        <w:rPr>
          <w:spacing w:val="-4"/>
        </w:rPr>
        <w:t> </w:t>
      </w:r>
      <w:r>
        <w:rPr/>
        <w:t>rates</w:t>
      </w:r>
      <w:r>
        <w:rPr>
          <w:spacing w:val="-4"/>
        </w:rPr>
        <w:t> </w:t>
      </w:r>
      <w:r>
        <w:rPr/>
        <w:t>[66,</w:t>
      </w:r>
      <w:r>
        <w:rPr>
          <w:spacing w:val="-58"/>
        </w:rPr>
        <w:t> </w:t>
      </w:r>
      <w:r>
        <w:rPr/>
        <w:t>113, 123].</w:t>
      </w:r>
    </w:p>
    <w:p>
      <w:pPr>
        <w:pStyle w:val="BodyText"/>
        <w:spacing w:line="480" w:lineRule="auto" w:before="160"/>
        <w:ind w:left="440" w:right="257" w:firstLine="720"/>
        <w:jc w:val="both"/>
      </w:pPr>
      <w:r>
        <w:rPr/>
        <w:t>Wouts et al. used a Split Hopkinson Pressure Bar (SHPB) to evaluate beech and</w:t>
      </w:r>
      <w:r>
        <w:rPr>
          <w:spacing w:val="1"/>
        </w:rPr>
        <w:t> </w:t>
      </w:r>
      <w:r>
        <w:rPr/>
        <w:t>spruce wood sensitivity to high strain rates.</w:t>
      </w:r>
      <w:r>
        <w:rPr>
          <w:spacing w:val="1"/>
        </w:rPr>
        <w:t> </w:t>
      </w:r>
      <w:r>
        <w:rPr/>
        <w:t>The wood species studied were selected due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differences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hardwood</w:t>
      </w:r>
      <w:r>
        <w:rPr>
          <w:spacing w:val="1"/>
        </w:rPr>
        <w:t> </w:t>
      </w:r>
      <w:r>
        <w:rPr/>
        <w:t>(beech)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softwood</w:t>
      </w:r>
      <w:r>
        <w:rPr>
          <w:spacing w:val="1"/>
        </w:rPr>
        <w:t> </w:t>
      </w:r>
      <w:r>
        <w:rPr/>
        <w:t>(spruce)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dissimilar</w:t>
      </w:r>
      <w:r>
        <w:rPr>
          <w:spacing w:val="1"/>
        </w:rPr>
        <w:t> </w:t>
      </w:r>
      <w:r>
        <w:rPr/>
        <w:t>microstructure</w:t>
      </w:r>
      <w:r>
        <w:rPr>
          <w:spacing w:val="-3"/>
        </w:rPr>
        <w:t> </w:t>
      </w:r>
      <w:r>
        <w:rPr/>
        <w:t>composition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varied</w:t>
      </w:r>
      <w:r>
        <w:rPr>
          <w:spacing w:val="-4"/>
        </w:rPr>
        <w:t> </w:t>
      </w:r>
      <w:r>
        <w:rPr/>
        <w:t>specific</w:t>
      </w:r>
      <w:r>
        <w:rPr>
          <w:spacing w:val="-3"/>
        </w:rPr>
        <w:t> </w:t>
      </w:r>
      <w:r>
        <w:rPr/>
        <w:t>density,</w:t>
      </w:r>
      <w:r>
        <w:rPr>
          <w:spacing w:val="-4"/>
        </w:rPr>
        <w:t> </w:t>
      </w:r>
      <w:r>
        <w:rPr/>
        <w:t>which</w:t>
      </w:r>
      <w:r>
        <w:rPr>
          <w:spacing w:val="-5"/>
        </w:rPr>
        <w:t> </w:t>
      </w:r>
      <w:r>
        <w:rPr/>
        <w:t>relates</w:t>
      </w:r>
      <w:r>
        <w:rPr>
          <w:spacing w:val="-3"/>
        </w:rPr>
        <w:t> </w:t>
      </w:r>
      <w:r>
        <w:rPr/>
        <w:t>to</w:t>
      </w:r>
      <w:r>
        <w:rPr>
          <w:spacing w:val="-5"/>
        </w:rPr>
        <w:t> </w:t>
      </w:r>
      <w:r>
        <w:rPr/>
        <w:t>many</w:t>
      </w:r>
      <w:r>
        <w:rPr>
          <w:spacing w:val="-4"/>
        </w:rPr>
        <w:t> </w:t>
      </w:r>
      <w:r>
        <w:rPr/>
        <w:t>mechanical</w:t>
      </w:r>
      <w:r>
        <w:rPr>
          <w:spacing w:val="-57"/>
        </w:rPr>
        <w:t> </w:t>
      </w:r>
      <w:r>
        <w:rPr/>
        <w:t>properties.</w:t>
      </w:r>
      <w:r>
        <w:rPr>
          <w:spacing w:val="29"/>
        </w:rPr>
        <w:t> </w:t>
      </w:r>
      <w:r>
        <w:rPr/>
        <w:t>It</w:t>
      </w:r>
      <w:r>
        <w:rPr>
          <w:spacing w:val="15"/>
        </w:rPr>
        <w:t> </w:t>
      </w:r>
      <w:r>
        <w:rPr/>
        <w:t>was</w:t>
      </w:r>
      <w:r>
        <w:rPr>
          <w:spacing w:val="15"/>
        </w:rPr>
        <w:t> </w:t>
      </w:r>
      <w:r>
        <w:rPr/>
        <w:t>determined</w:t>
      </w:r>
      <w:r>
        <w:rPr>
          <w:spacing w:val="15"/>
        </w:rPr>
        <w:t> </w:t>
      </w:r>
      <w:r>
        <w:rPr/>
        <w:t>that</w:t>
      </w:r>
      <w:r>
        <w:rPr>
          <w:spacing w:val="15"/>
        </w:rPr>
        <w:t> </w:t>
      </w:r>
      <w:r>
        <w:rPr/>
        <w:t>the</w:t>
      </w:r>
      <w:r>
        <w:rPr>
          <w:spacing w:val="16"/>
        </w:rPr>
        <w:t> </w:t>
      </w:r>
      <w:r>
        <w:rPr/>
        <w:t>initial</w:t>
      </w:r>
      <w:r>
        <w:rPr>
          <w:spacing w:val="15"/>
        </w:rPr>
        <w:t> </w:t>
      </w:r>
      <w:r>
        <w:rPr/>
        <w:t>longitudinal</w:t>
      </w:r>
      <w:r>
        <w:rPr>
          <w:spacing w:val="16"/>
        </w:rPr>
        <w:t> </w:t>
      </w:r>
      <w:r>
        <w:rPr/>
        <w:t>crushing</w:t>
      </w:r>
      <w:r>
        <w:rPr>
          <w:spacing w:val="14"/>
        </w:rPr>
        <w:t> </w:t>
      </w:r>
      <w:r>
        <w:rPr/>
        <w:t>strength</w:t>
      </w:r>
      <w:r>
        <w:rPr>
          <w:spacing w:val="15"/>
        </w:rPr>
        <w:t> </w:t>
      </w:r>
      <w:r>
        <w:rPr/>
        <w:t>is</w:t>
      </w:r>
      <w:r>
        <w:rPr>
          <w:spacing w:val="13"/>
        </w:rPr>
        <w:t> </w:t>
      </w:r>
      <w:r>
        <w:rPr/>
        <w:t>strain</w:t>
      </w:r>
      <w:r>
        <w:rPr>
          <w:spacing w:val="15"/>
        </w:rPr>
        <w:t> </w:t>
      </w:r>
      <w:r>
        <w:rPr/>
        <w:t>rate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40" w:right="258"/>
        <w:jc w:val="both"/>
      </w:pPr>
      <w:r>
        <w:rPr/>
        <w:t>sensitive with a significant increase in the range of 60 to 110 percent from quasi-static</w:t>
      </w:r>
      <w:r>
        <w:rPr>
          <w:spacing w:val="1"/>
        </w:rPr>
        <w:t> </w:t>
      </w:r>
      <w:r>
        <w:rPr/>
        <w:t>(0.001 s</w:t>
      </w:r>
      <w:r>
        <w:rPr>
          <w:vertAlign w:val="superscript"/>
        </w:rPr>
        <w:t>-1</w:t>
      </w:r>
      <w:r>
        <w:rPr>
          <w:vertAlign w:val="baseline"/>
        </w:rPr>
        <w:t>) to high strain rates (600 s</w:t>
      </w:r>
      <w:r>
        <w:rPr>
          <w:vertAlign w:val="superscript"/>
        </w:rPr>
        <w:t>-1</w:t>
      </w:r>
      <w:r>
        <w:rPr>
          <w:vertAlign w:val="baseline"/>
        </w:rPr>
        <w:t>).</w:t>
      </w:r>
      <w:r>
        <w:rPr>
          <w:spacing w:val="1"/>
          <w:vertAlign w:val="baseline"/>
        </w:rPr>
        <w:t> </w:t>
      </w:r>
      <w:r>
        <w:rPr>
          <w:vertAlign w:val="baseline"/>
        </w:rPr>
        <w:t>This increase is most apparent in the longitudinal</w:t>
      </w:r>
      <w:r>
        <w:rPr>
          <w:spacing w:val="-57"/>
          <w:vertAlign w:val="baseline"/>
        </w:rPr>
        <w:t> </w:t>
      </w:r>
      <w:r>
        <w:rPr>
          <w:vertAlign w:val="baseline"/>
        </w:rPr>
        <w:t>direction</w:t>
      </w:r>
      <w:r>
        <w:rPr>
          <w:spacing w:val="-1"/>
          <w:vertAlign w:val="baseline"/>
        </w:rPr>
        <w:t> </w:t>
      </w:r>
      <w:r>
        <w:rPr>
          <w:vertAlign w:val="baseline"/>
        </w:rPr>
        <w:t>but</w:t>
      </w:r>
      <w:r>
        <w:rPr>
          <w:spacing w:val="-1"/>
          <w:vertAlign w:val="baseline"/>
        </w:rPr>
        <w:t> </w:t>
      </w:r>
      <w:r>
        <w:rPr>
          <w:vertAlign w:val="baseline"/>
        </w:rPr>
        <w:t>still observable</w:t>
      </w:r>
      <w:r>
        <w:rPr>
          <w:spacing w:val="-1"/>
          <w:vertAlign w:val="baseline"/>
        </w:rPr>
        <w:t> </w:t>
      </w:r>
      <w:r>
        <w:rPr>
          <w:vertAlign w:val="baseline"/>
        </w:rPr>
        <w:t>in</w:t>
      </w:r>
      <w:r>
        <w:rPr>
          <w:spacing w:val="-2"/>
          <w:vertAlign w:val="baseline"/>
        </w:rPr>
        <w:t> </w:t>
      </w:r>
      <w:r>
        <w:rPr>
          <w:vertAlign w:val="baseline"/>
        </w:rPr>
        <w:t>the transverse directions</w:t>
      </w:r>
      <w:r>
        <w:rPr>
          <w:spacing w:val="-1"/>
          <w:vertAlign w:val="baseline"/>
        </w:rPr>
        <w:t> </w:t>
      </w:r>
      <w:r>
        <w:rPr>
          <w:vertAlign w:val="baseline"/>
        </w:rPr>
        <w:t>[123].</w:t>
      </w:r>
    </w:p>
    <w:p>
      <w:pPr>
        <w:pStyle w:val="BodyText"/>
        <w:spacing w:line="480" w:lineRule="auto" w:before="159"/>
        <w:ind w:left="439" w:right="256" w:firstLine="720"/>
        <w:jc w:val="both"/>
      </w:pPr>
      <w:r>
        <w:rPr/>
        <w:t>Based</w:t>
      </w:r>
      <w:r>
        <w:rPr>
          <w:spacing w:val="-12"/>
        </w:rPr>
        <w:t> </w:t>
      </w:r>
      <w:r>
        <w:rPr/>
        <w:t>on</w:t>
      </w:r>
      <w:r>
        <w:rPr>
          <w:spacing w:val="-11"/>
        </w:rPr>
        <w:t> </w:t>
      </w:r>
      <w:r>
        <w:rPr/>
        <w:t>wood</w:t>
      </w:r>
      <w:r>
        <w:rPr>
          <w:spacing w:val="-11"/>
        </w:rPr>
        <w:t> </w:t>
      </w:r>
      <w:r>
        <w:rPr/>
        <w:t>specimen</w:t>
      </w:r>
      <w:r>
        <w:rPr>
          <w:spacing w:val="-12"/>
        </w:rPr>
        <w:t> </w:t>
      </w:r>
      <w:r>
        <w:rPr/>
        <w:t>responses</w:t>
      </w:r>
      <w:r>
        <w:rPr>
          <w:spacing w:val="-12"/>
        </w:rPr>
        <w:t> </w:t>
      </w:r>
      <w:r>
        <w:rPr/>
        <w:t>to</w:t>
      </w:r>
      <w:r>
        <w:rPr>
          <w:spacing w:val="-12"/>
        </w:rPr>
        <w:t> </w:t>
      </w:r>
      <w:r>
        <w:rPr/>
        <w:t>high</w:t>
      </w:r>
      <w:r>
        <w:rPr>
          <w:spacing w:val="-12"/>
        </w:rPr>
        <w:t> </w:t>
      </w:r>
      <w:r>
        <w:rPr/>
        <w:t>strain</w:t>
      </w:r>
      <w:r>
        <w:rPr>
          <w:spacing w:val="-11"/>
        </w:rPr>
        <w:t> </w:t>
      </w:r>
      <w:r>
        <w:rPr/>
        <w:t>rates,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compressive</w:t>
      </w:r>
      <w:r>
        <w:rPr>
          <w:spacing w:val="-11"/>
        </w:rPr>
        <w:t> </w:t>
      </w:r>
      <w:r>
        <w:rPr/>
        <w:t>behavioral</w:t>
      </w:r>
      <w:r>
        <w:rPr>
          <w:spacing w:val="-58"/>
        </w:rPr>
        <w:t> </w:t>
      </w:r>
      <w:r>
        <w:rPr>
          <w:position w:val="1"/>
        </w:rPr>
        <w:t>response is defined in terms of three parameters: an initial crushing stress, </w:t>
      </w:r>
      <w:r>
        <w:rPr>
          <w:i/>
          <w:iCs/>
          <w:position w:val="1"/>
        </w:rPr>
        <w:t>σ</w:t>
      </w:r>
      <w:r>
        <w:rPr>
          <w:i/>
          <w:iCs/>
          <w:sz w:val="16"/>
          <w:szCs w:val="16"/>
        </w:rPr>
        <w:t>cr</w:t>
      </w:r>
      <w:r>
        <w:rPr>
          <w:position w:val="1"/>
        </w:rPr>
        <w:t>; a plateau</w:t>
      </w:r>
      <w:r>
        <w:rPr>
          <w:spacing w:val="1"/>
          <w:position w:val="1"/>
        </w:rPr>
        <w:t> </w:t>
      </w:r>
      <w:r>
        <w:rPr>
          <w:position w:val="1"/>
        </w:rPr>
        <w:t>stress, </w:t>
      </w:r>
      <w:r>
        <w:rPr>
          <w:i/>
          <w:iCs/>
          <w:position w:val="1"/>
        </w:rPr>
        <w:t>σ</w:t>
      </w:r>
      <w:r>
        <w:rPr>
          <w:i/>
          <w:iCs/>
          <w:sz w:val="16"/>
          <w:szCs w:val="16"/>
        </w:rPr>
        <w:t>plateau</w:t>
      </w:r>
      <w:r>
        <w:rPr>
          <w:position w:val="1"/>
        </w:rPr>
        <w:t>; and densification locking strain, </w:t>
      </w:r>
      <w:r>
        <w:rPr>
          <w:i/>
          <w:iCs/>
          <w:position w:val="1"/>
        </w:rPr>
        <w:t>ϵ</w:t>
      </w:r>
      <w:r>
        <w:rPr>
          <w:i/>
          <w:iCs/>
          <w:sz w:val="16"/>
          <w:szCs w:val="16"/>
        </w:rPr>
        <w:t>d</w:t>
      </w:r>
      <w:r>
        <w:rPr>
          <w:position w:val="1"/>
        </w:rPr>
        <w:t>.</w:t>
      </w:r>
      <w:r>
        <w:rPr>
          <w:spacing w:val="1"/>
          <w:position w:val="1"/>
        </w:rPr>
        <w:t> </w:t>
      </w:r>
      <w:r>
        <w:rPr>
          <w:position w:val="1"/>
        </w:rPr>
        <w:t>The three values are commonly values</w:t>
      </w:r>
      <w:r>
        <w:rPr>
          <w:spacing w:val="1"/>
          <w:position w:val="1"/>
        </w:rPr>
        <w:t> </w:t>
      </w:r>
      <w:r>
        <w:rPr/>
        <w:t>of interest in the study of cellular materials and impact energy absorption. The parameters</w:t>
      </w:r>
      <w:r>
        <w:rPr>
          <w:spacing w:val="-57"/>
        </w:rPr>
        <w:t> </w:t>
      </w:r>
      <w:r>
        <w:rPr/>
        <w:t>can be extracted from an engineering stress versus strain curve, like the generic curve</w:t>
      </w:r>
      <w:r>
        <w:rPr>
          <w:spacing w:val="1"/>
        </w:rPr>
        <w:t> </w:t>
      </w:r>
      <w:r>
        <w:rPr/>
        <w:t>shown in </w:t>
      </w:r>
      <w:hyperlink w:history="true" w:anchor="_bookmark49">
        <w:r>
          <w:rPr/>
          <w:t>Figure 4-19</w:t>
        </w:r>
      </w:hyperlink>
      <w:r>
        <w:rPr/>
        <w:t>.</w:t>
      </w:r>
      <w:r>
        <w:rPr>
          <w:spacing w:val="1"/>
        </w:rPr>
        <w:t> </w:t>
      </w:r>
      <w:r>
        <w:rPr/>
        <w:t>The initial crushing stress relates to the yield stress depending on</w:t>
      </w:r>
      <w:r>
        <w:rPr>
          <w:spacing w:val="1"/>
        </w:rPr>
        <w:t> </w:t>
      </w:r>
      <w:r>
        <w:rPr/>
        <w:t>load direction and specimen orientation and has an accompanying initial crushing strain</w:t>
      </w:r>
      <w:r>
        <w:rPr>
          <w:spacing w:val="1"/>
        </w:rPr>
        <w:t> </w:t>
      </w:r>
      <w:r>
        <w:rPr/>
        <w:t>value. This value is sensitive to strain rate with higher strength values occurring with high</w:t>
      </w:r>
      <w:r>
        <w:rPr>
          <w:spacing w:val="-58"/>
        </w:rPr>
        <w:t> </w:t>
      </w:r>
      <w:r>
        <w:rPr/>
        <w:t>strain</w:t>
      </w:r>
      <w:r>
        <w:rPr>
          <w:spacing w:val="-11"/>
        </w:rPr>
        <w:t> </w:t>
      </w:r>
      <w:r>
        <w:rPr/>
        <w:t>rates.</w:t>
      </w:r>
      <w:r>
        <w:rPr>
          <w:spacing w:val="38"/>
        </w:rPr>
        <w:t> </w:t>
      </w:r>
      <w:r>
        <w:rPr/>
        <w:t>The</w:t>
      </w:r>
      <w:r>
        <w:rPr>
          <w:spacing w:val="-10"/>
        </w:rPr>
        <w:t> </w:t>
      </w:r>
      <w:r>
        <w:rPr/>
        <w:t>plateau</w:t>
      </w:r>
      <w:r>
        <w:rPr>
          <w:spacing w:val="-11"/>
        </w:rPr>
        <w:t> </w:t>
      </w:r>
      <w:r>
        <w:rPr/>
        <w:t>stress</w:t>
      </w:r>
      <w:r>
        <w:rPr>
          <w:spacing w:val="-10"/>
        </w:rPr>
        <w:t> </w:t>
      </w:r>
      <w:r>
        <w:rPr/>
        <w:t>represents</w:t>
      </w:r>
      <w:r>
        <w:rPr>
          <w:spacing w:val="-10"/>
        </w:rPr>
        <w:t> </w:t>
      </w:r>
      <w:r>
        <w:rPr/>
        <w:t>a</w:t>
      </w:r>
      <w:r>
        <w:rPr>
          <w:spacing w:val="-11"/>
        </w:rPr>
        <w:t> </w:t>
      </w:r>
      <w:r>
        <w:rPr/>
        <w:t>relatively</w:t>
      </w:r>
      <w:r>
        <w:rPr>
          <w:spacing w:val="-11"/>
        </w:rPr>
        <w:t> </w:t>
      </w:r>
      <w:r>
        <w:rPr/>
        <w:t>constant</w:t>
      </w:r>
      <w:r>
        <w:rPr>
          <w:spacing w:val="-12"/>
        </w:rPr>
        <w:t> </w:t>
      </w:r>
      <w:r>
        <w:rPr/>
        <w:t>level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stress</w:t>
      </w:r>
      <w:r>
        <w:rPr>
          <w:spacing w:val="-10"/>
        </w:rPr>
        <w:t> </w:t>
      </w:r>
      <w:r>
        <w:rPr/>
        <w:t>across</w:t>
      </w:r>
      <w:r>
        <w:rPr>
          <w:spacing w:val="-10"/>
        </w:rPr>
        <w:t> </w:t>
      </w:r>
      <w:r>
        <w:rPr/>
        <w:t>a</w:t>
      </w:r>
      <w:r>
        <w:rPr>
          <w:spacing w:val="-11"/>
        </w:rPr>
        <w:t> </w:t>
      </w:r>
      <w:r>
        <w:rPr/>
        <w:t>range</w:t>
      </w:r>
      <w:r>
        <w:rPr>
          <w:spacing w:val="-58"/>
        </w:rPr>
        <w:t> </w:t>
      </w:r>
      <w:r>
        <w:rPr/>
        <w:t>of strains, which aids in determining absorbed energy. At extremely high strain rates such</w:t>
      </w:r>
      <w:r>
        <w:rPr>
          <w:spacing w:val="-57"/>
        </w:rPr>
        <w:t> </w:t>
      </w:r>
      <w:r>
        <w:rPr/>
        <w:t>as those higher than 600 s</w:t>
      </w:r>
      <w:r>
        <w:rPr>
          <w:vertAlign w:val="superscript"/>
        </w:rPr>
        <w:t>-1</w:t>
      </w:r>
      <w:r>
        <w:rPr>
          <w:vertAlign w:val="baseline"/>
        </w:rPr>
        <w:t>, the failure mechanisms make it difficult to determine to the</w:t>
      </w:r>
      <w:r>
        <w:rPr>
          <w:spacing w:val="1"/>
          <w:vertAlign w:val="baseline"/>
        </w:rPr>
        <w:t> </w:t>
      </w:r>
      <w:r>
        <w:rPr>
          <w:spacing w:val="-1"/>
          <w:vertAlign w:val="baseline"/>
        </w:rPr>
        <w:t>plateau</w:t>
      </w:r>
      <w:r>
        <w:rPr>
          <w:spacing w:val="-15"/>
          <w:vertAlign w:val="baseline"/>
        </w:rPr>
        <w:t> </w:t>
      </w:r>
      <w:r>
        <w:rPr>
          <w:spacing w:val="-1"/>
          <w:vertAlign w:val="baseline"/>
        </w:rPr>
        <w:t>stress.</w:t>
      </w:r>
      <w:r>
        <w:rPr>
          <w:spacing w:val="32"/>
          <w:vertAlign w:val="baseline"/>
        </w:rPr>
        <w:t> </w:t>
      </w:r>
      <w:r>
        <w:rPr>
          <w:spacing w:val="-1"/>
          <w:vertAlign w:val="baseline"/>
        </w:rPr>
        <w:t>The</w:t>
      </w:r>
      <w:r>
        <w:rPr>
          <w:spacing w:val="-14"/>
          <w:vertAlign w:val="baseline"/>
        </w:rPr>
        <w:t> </w:t>
      </w:r>
      <w:r>
        <w:rPr>
          <w:spacing w:val="-1"/>
          <w:vertAlign w:val="baseline"/>
        </w:rPr>
        <w:t>densification</w:t>
      </w:r>
      <w:r>
        <w:rPr>
          <w:spacing w:val="-16"/>
          <w:vertAlign w:val="baseline"/>
        </w:rPr>
        <w:t> </w:t>
      </w:r>
      <w:r>
        <w:rPr>
          <w:vertAlign w:val="baseline"/>
        </w:rPr>
        <w:t>locking</w:t>
      </w:r>
      <w:r>
        <w:rPr>
          <w:spacing w:val="-14"/>
          <w:vertAlign w:val="baseline"/>
        </w:rPr>
        <w:t> </w:t>
      </w:r>
      <w:r>
        <w:rPr>
          <w:vertAlign w:val="baseline"/>
        </w:rPr>
        <w:t>strain</w:t>
      </w:r>
      <w:r>
        <w:rPr>
          <w:spacing w:val="-14"/>
          <w:vertAlign w:val="baseline"/>
        </w:rPr>
        <w:t> </w:t>
      </w:r>
      <w:r>
        <w:rPr>
          <w:vertAlign w:val="baseline"/>
        </w:rPr>
        <w:t>value</w:t>
      </w:r>
      <w:r>
        <w:rPr>
          <w:spacing w:val="-15"/>
          <w:vertAlign w:val="baseline"/>
        </w:rPr>
        <w:t> </w:t>
      </w:r>
      <w:r>
        <w:rPr>
          <w:vertAlign w:val="baseline"/>
        </w:rPr>
        <w:t>occurs</w:t>
      </w:r>
      <w:r>
        <w:rPr>
          <w:spacing w:val="-14"/>
          <w:vertAlign w:val="baseline"/>
        </w:rPr>
        <w:t> </w:t>
      </w:r>
      <w:r>
        <w:rPr>
          <w:vertAlign w:val="baseline"/>
        </w:rPr>
        <w:t>before</w:t>
      </w:r>
      <w:r>
        <w:rPr>
          <w:spacing w:val="-15"/>
          <w:vertAlign w:val="baseline"/>
        </w:rPr>
        <w:t> </w:t>
      </w:r>
      <w:r>
        <w:rPr>
          <w:vertAlign w:val="baseline"/>
        </w:rPr>
        <w:t>a</w:t>
      </w:r>
      <w:r>
        <w:rPr>
          <w:spacing w:val="-14"/>
          <w:vertAlign w:val="baseline"/>
        </w:rPr>
        <w:t> </w:t>
      </w:r>
      <w:r>
        <w:rPr>
          <w:vertAlign w:val="baseline"/>
        </w:rPr>
        <w:t>large</w:t>
      </w:r>
      <w:r>
        <w:rPr>
          <w:spacing w:val="-15"/>
          <w:vertAlign w:val="baseline"/>
        </w:rPr>
        <w:t> </w:t>
      </w:r>
      <w:r>
        <w:rPr>
          <w:vertAlign w:val="baseline"/>
        </w:rPr>
        <w:t>increase</w:t>
      </w:r>
      <w:r>
        <w:rPr>
          <w:spacing w:val="-14"/>
          <w:vertAlign w:val="baseline"/>
        </w:rPr>
        <w:t> </w:t>
      </w:r>
      <w:r>
        <w:rPr>
          <w:vertAlign w:val="baseline"/>
        </w:rPr>
        <w:t>in</w:t>
      </w:r>
      <w:r>
        <w:rPr>
          <w:spacing w:val="-14"/>
          <w:vertAlign w:val="baseline"/>
        </w:rPr>
        <w:t> </w:t>
      </w:r>
      <w:r>
        <w:rPr>
          <w:vertAlign w:val="baseline"/>
        </w:rPr>
        <w:t>stress</w:t>
      </w:r>
      <w:r>
        <w:rPr>
          <w:spacing w:val="-58"/>
          <w:vertAlign w:val="baseline"/>
        </w:rPr>
        <w:t> </w:t>
      </w:r>
      <w:r>
        <w:rPr>
          <w:vertAlign w:val="baseline"/>
        </w:rPr>
        <w:t>and signifies the upper limit with respect to energy absorption capacity [123].</w:t>
      </w:r>
      <w:r>
        <w:rPr>
          <w:spacing w:val="1"/>
          <w:vertAlign w:val="baseline"/>
        </w:rPr>
        <w:t> </w:t>
      </w:r>
      <w:r>
        <w:rPr>
          <w:vertAlign w:val="baseline"/>
        </w:rPr>
        <w:t>It is</w:t>
      </w:r>
      <w:r>
        <w:rPr>
          <w:spacing w:val="1"/>
          <w:vertAlign w:val="baseline"/>
        </w:rPr>
        <w:t> </w:t>
      </w:r>
      <w:r>
        <w:rPr>
          <w:vertAlign w:val="baseline"/>
        </w:rPr>
        <w:t>important to note that the deformation capacity and subsequent hardening depicted in</w:t>
      </w:r>
      <w:r>
        <w:rPr>
          <w:spacing w:val="1"/>
          <w:vertAlign w:val="baseline"/>
        </w:rPr>
        <w:t> </w:t>
      </w:r>
      <w:hyperlink w:history="true" w:anchor="_bookmark49">
        <w:r>
          <w:rPr>
            <w:vertAlign w:val="baseline"/>
          </w:rPr>
          <w:t>Figure 4-19 </w:t>
        </w:r>
      </w:hyperlink>
      <w:r>
        <w:rPr>
          <w:vertAlign w:val="baseline"/>
        </w:rPr>
        <w:t>applies only to the compression loading of wood and it is unlikely that wood</w:t>
      </w:r>
      <w:r>
        <w:rPr>
          <w:spacing w:val="1"/>
          <w:vertAlign w:val="baseline"/>
        </w:rPr>
        <w:t> </w:t>
      </w:r>
      <w:r>
        <w:rPr>
          <w:vertAlign w:val="baseline"/>
        </w:rPr>
        <w:t>loaded</w:t>
      </w:r>
      <w:r>
        <w:rPr>
          <w:spacing w:val="-1"/>
          <w:vertAlign w:val="baseline"/>
        </w:rPr>
        <w:t> </w:t>
      </w:r>
      <w:r>
        <w:rPr>
          <w:vertAlign w:val="baseline"/>
        </w:rPr>
        <w:t>in</w:t>
      </w:r>
      <w:r>
        <w:rPr>
          <w:spacing w:val="-2"/>
          <w:vertAlign w:val="baseline"/>
        </w:rPr>
        <w:t> </w:t>
      </w:r>
      <w:r>
        <w:rPr>
          <w:vertAlign w:val="baseline"/>
        </w:rPr>
        <w:t>tension, shear,</w:t>
      </w:r>
      <w:r>
        <w:rPr>
          <w:spacing w:val="-2"/>
          <w:vertAlign w:val="baseline"/>
        </w:rPr>
        <w:t> </w:t>
      </w:r>
      <w:r>
        <w:rPr>
          <w:vertAlign w:val="baseline"/>
        </w:rPr>
        <w:t>or</w:t>
      </w:r>
      <w:r>
        <w:rPr>
          <w:spacing w:val="-1"/>
          <w:vertAlign w:val="baseline"/>
        </w:rPr>
        <w:t> </w:t>
      </w:r>
      <w:r>
        <w:rPr>
          <w:vertAlign w:val="baseline"/>
        </w:rPr>
        <w:t>flexure</w:t>
      </w:r>
      <w:r>
        <w:rPr>
          <w:spacing w:val="-1"/>
          <w:vertAlign w:val="baseline"/>
        </w:rPr>
        <w:t> </w:t>
      </w:r>
      <w:r>
        <w:rPr>
          <w:vertAlign w:val="baseline"/>
        </w:rPr>
        <w:t>would demonstrate this</w:t>
      </w:r>
      <w:r>
        <w:rPr>
          <w:spacing w:val="-1"/>
          <w:vertAlign w:val="baseline"/>
        </w:rPr>
        <w:t> </w:t>
      </w:r>
      <w:r>
        <w:rPr>
          <w:vertAlign w:val="baseline"/>
        </w:rPr>
        <w:t>behavior.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2"/>
        </w:rPr>
      </w:pPr>
    </w:p>
    <w:p>
      <w:pPr>
        <w:pStyle w:val="BodyText"/>
        <w:ind w:left="1780"/>
        <w:rPr>
          <w:sz w:val="20"/>
        </w:rPr>
      </w:pPr>
      <w:r>
        <w:rPr>
          <w:sz w:val="20"/>
        </w:rPr>
        <w:drawing>
          <wp:inline distT="0" distB="0" distL="0" distR="0">
            <wp:extent cx="3759378" cy="2761869"/>
            <wp:effectExtent l="0" t="0" r="0" b="0"/>
            <wp:docPr id="51" name="image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92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9378" cy="2761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"/>
        <w:rPr>
          <w:sz w:val="10"/>
        </w:rPr>
      </w:pPr>
    </w:p>
    <w:p>
      <w:pPr>
        <w:spacing w:before="90"/>
        <w:ind w:left="440" w:right="267" w:firstLine="0"/>
        <w:jc w:val="both"/>
        <w:rPr>
          <w:i/>
          <w:sz w:val="24"/>
        </w:rPr>
      </w:pPr>
      <w:bookmarkStart w:name="_bookmark49" w:id="236"/>
      <w:bookmarkEnd w:id="236"/>
      <w:r>
        <w:rPr/>
      </w:r>
      <w:r>
        <w:rPr>
          <w:i/>
          <w:sz w:val="24"/>
        </w:rPr>
        <w:t>Figure 4-19. Typical compressive response of wood in the longitudinal direction, adapted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from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[123].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170"/>
        <w:ind w:left="440" w:right="257" w:firstLine="720"/>
        <w:jc w:val="both"/>
      </w:pPr>
      <w:r>
        <w:rPr/>
        <w:t>Gilbertson and Bulleit also completed SHPB testing of wood and concluded that</w:t>
      </w:r>
      <w:r>
        <w:rPr>
          <w:spacing w:val="1"/>
        </w:rPr>
        <w:t> </w:t>
      </w:r>
      <w:r>
        <w:rPr/>
        <w:t>the maximum stress and strain of the wood specimens were significantly different over a</w:t>
      </w:r>
      <w:r>
        <w:rPr>
          <w:spacing w:val="1"/>
        </w:rPr>
        <w:t> </w:t>
      </w:r>
      <w:r>
        <w:rPr/>
        <w:t>range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strain</w:t>
      </w:r>
      <w:r>
        <w:rPr>
          <w:spacing w:val="-5"/>
        </w:rPr>
        <w:t> </w:t>
      </w:r>
      <w:r>
        <w:rPr/>
        <w:t>rates.</w:t>
      </w:r>
      <w:r>
        <w:rPr>
          <w:spacing w:val="48"/>
        </w:rPr>
        <w:t> </w:t>
      </w:r>
      <w:r>
        <w:rPr/>
        <w:t>They</w:t>
      </w:r>
      <w:r>
        <w:rPr>
          <w:spacing w:val="-5"/>
        </w:rPr>
        <w:t> </w:t>
      </w:r>
      <w:r>
        <w:rPr/>
        <w:t>found</w:t>
      </w:r>
      <w:r>
        <w:rPr>
          <w:spacing w:val="-5"/>
        </w:rPr>
        <w:t> </w:t>
      </w:r>
      <w:r>
        <w:rPr/>
        <w:t>that</w:t>
      </w:r>
      <w:r>
        <w:rPr>
          <w:spacing w:val="-5"/>
        </w:rPr>
        <w:t> </w:t>
      </w:r>
      <w:r>
        <w:rPr/>
        <w:t>with</w:t>
      </w:r>
      <w:r>
        <w:rPr>
          <w:spacing w:val="-6"/>
        </w:rPr>
        <w:t> </w:t>
      </w:r>
      <w:r>
        <w:rPr/>
        <w:t>increased</w:t>
      </w:r>
      <w:r>
        <w:rPr>
          <w:spacing w:val="-6"/>
        </w:rPr>
        <w:t> </w:t>
      </w:r>
      <w:r>
        <w:rPr/>
        <w:t>strain</w:t>
      </w:r>
      <w:r>
        <w:rPr>
          <w:spacing w:val="-5"/>
        </w:rPr>
        <w:t> </w:t>
      </w:r>
      <w:r>
        <w:rPr/>
        <w:t>rates,</w:t>
      </w:r>
      <w:r>
        <w:rPr>
          <w:spacing w:val="-5"/>
        </w:rPr>
        <w:t> </w:t>
      </w:r>
      <w:r>
        <w:rPr/>
        <w:t>such</w:t>
      </w:r>
      <w:r>
        <w:rPr>
          <w:spacing w:val="-6"/>
        </w:rPr>
        <w:t> </w:t>
      </w:r>
      <w:r>
        <w:rPr/>
        <w:t>as</w:t>
      </w:r>
      <w:r>
        <w:rPr>
          <w:spacing w:val="-7"/>
        </w:rPr>
        <w:t> </w:t>
      </w:r>
      <w:r>
        <w:rPr/>
        <w:t>those</w:t>
      </w:r>
      <w:r>
        <w:rPr>
          <w:spacing w:val="-5"/>
        </w:rPr>
        <w:t> </w:t>
      </w:r>
      <w:r>
        <w:rPr/>
        <w:t>felt</w:t>
      </w:r>
      <w:r>
        <w:rPr>
          <w:spacing w:val="-6"/>
        </w:rPr>
        <w:t> </w:t>
      </w:r>
      <w:r>
        <w:rPr/>
        <w:t>with</w:t>
      </w:r>
      <w:r>
        <w:rPr>
          <w:spacing w:val="-5"/>
        </w:rPr>
        <w:t> </w:t>
      </w:r>
      <w:r>
        <w:rPr/>
        <w:t>an</w:t>
      </w:r>
      <w:r>
        <w:rPr>
          <w:spacing w:val="-58"/>
        </w:rPr>
        <w:t> </w:t>
      </w:r>
      <w:r>
        <w:rPr/>
        <w:t>impact loading scenario, the modulus of elasticity, compressive strength and maximum</w:t>
      </w:r>
      <w:r>
        <w:rPr>
          <w:spacing w:val="1"/>
        </w:rPr>
        <w:t> </w:t>
      </w:r>
      <w:r>
        <w:rPr/>
        <w:t>strain all increased while the time to reach ultimate stress decreased [54].</w:t>
      </w:r>
      <w:r>
        <w:rPr>
          <w:spacing w:val="1"/>
        </w:rPr>
        <w:t> </w:t>
      </w:r>
      <w:r>
        <w:rPr/>
        <w:t>Generally, a</w:t>
      </w:r>
      <w:r>
        <w:rPr>
          <w:spacing w:val="1"/>
        </w:rPr>
        <w:t> </w:t>
      </w:r>
      <w:r>
        <w:rPr/>
        <w:t>limited</w:t>
      </w:r>
      <w:r>
        <w:rPr>
          <w:spacing w:val="-15"/>
        </w:rPr>
        <w:t> </w:t>
      </w:r>
      <w:r>
        <w:rPr/>
        <w:t>quantity</w:t>
      </w:r>
      <w:r>
        <w:rPr>
          <w:spacing w:val="-15"/>
        </w:rPr>
        <w:t> </w:t>
      </w:r>
      <w:r>
        <w:rPr/>
        <w:t>of</w:t>
      </w:r>
      <w:r>
        <w:rPr>
          <w:spacing w:val="-15"/>
        </w:rPr>
        <w:t> </w:t>
      </w:r>
      <w:r>
        <w:rPr/>
        <w:t>research</w:t>
      </w:r>
      <w:r>
        <w:rPr>
          <w:spacing w:val="-14"/>
        </w:rPr>
        <w:t> </w:t>
      </w:r>
      <w:r>
        <w:rPr/>
        <w:t>has</w:t>
      </w:r>
      <w:r>
        <w:rPr>
          <w:spacing w:val="-14"/>
        </w:rPr>
        <w:t> </w:t>
      </w:r>
      <w:r>
        <w:rPr/>
        <w:t>been</w:t>
      </w:r>
      <w:r>
        <w:rPr>
          <w:spacing w:val="-15"/>
        </w:rPr>
        <w:t> </w:t>
      </w:r>
      <w:r>
        <w:rPr/>
        <w:t>conducted</w:t>
      </w:r>
      <w:r>
        <w:rPr>
          <w:spacing w:val="-14"/>
        </w:rPr>
        <w:t> </w:t>
      </w:r>
      <w:r>
        <w:rPr/>
        <w:t>on</w:t>
      </w:r>
      <w:r>
        <w:rPr>
          <w:spacing w:val="-15"/>
        </w:rPr>
        <w:t> </w:t>
      </w:r>
      <w:r>
        <w:rPr/>
        <w:t>wood</w:t>
      </w:r>
      <w:r>
        <w:rPr>
          <w:spacing w:val="-13"/>
        </w:rPr>
        <w:t> </w:t>
      </w:r>
      <w:r>
        <w:rPr/>
        <w:t>materials</w:t>
      </w:r>
      <w:r>
        <w:rPr>
          <w:spacing w:val="-13"/>
        </w:rPr>
        <w:t> </w:t>
      </w:r>
      <w:r>
        <w:rPr/>
        <w:t>under</w:t>
      </w:r>
      <w:r>
        <w:rPr>
          <w:spacing w:val="-14"/>
        </w:rPr>
        <w:t> </w:t>
      </w:r>
      <w:r>
        <w:rPr/>
        <w:t>high</w:t>
      </w:r>
      <w:r>
        <w:rPr>
          <w:spacing w:val="-15"/>
        </w:rPr>
        <w:t> </w:t>
      </w:r>
      <w:r>
        <w:rPr/>
        <w:t>loading</w:t>
      </w:r>
      <w:r>
        <w:rPr>
          <w:spacing w:val="-14"/>
        </w:rPr>
        <w:t> </w:t>
      </w:r>
      <w:r>
        <w:rPr/>
        <w:t>rates</w:t>
      </w:r>
    </w:p>
    <w:p>
      <w:pPr>
        <w:pStyle w:val="BodyText"/>
        <w:spacing w:line="480" w:lineRule="auto"/>
        <w:ind w:left="440" w:right="257"/>
        <w:jc w:val="both"/>
      </w:pPr>
      <w:r>
        <w:rPr/>
        <w:t>– and both of these studies focused on compression loading.</w:t>
      </w:r>
      <w:r>
        <w:rPr>
          <w:spacing w:val="1"/>
        </w:rPr>
        <w:t> </w:t>
      </w:r>
      <w:r>
        <w:rPr/>
        <w:t>There is no standard test</w:t>
      </w:r>
      <w:r>
        <w:rPr>
          <w:spacing w:val="1"/>
        </w:rPr>
        <w:t> </w:t>
      </w:r>
      <w:r>
        <w:rPr/>
        <w:t>procedure or testing apparatus to date which makes comparing the limited data available</w:t>
      </w:r>
      <w:r>
        <w:rPr>
          <w:spacing w:val="1"/>
        </w:rPr>
        <w:t> </w:t>
      </w:r>
      <w:r>
        <w:rPr/>
        <w:t>difficult</w:t>
      </w:r>
      <w:r>
        <w:rPr>
          <w:spacing w:val="-1"/>
        </w:rPr>
        <w:t> </w:t>
      </w:r>
      <w:r>
        <w:rPr/>
        <w:t>[107].</w:t>
      </w:r>
    </w:p>
    <w:p>
      <w:pPr>
        <w:spacing w:after="0" w:line="480" w:lineRule="auto"/>
        <w:jc w:val="both"/>
        <w:sectPr>
          <w:pgSz w:w="12240" w:h="15840"/>
          <w:pgMar w:header="0" w:footer="1064" w:top="1500" w:bottom="1260" w:left="1720" w:right="1180"/>
        </w:sectPr>
      </w:pPr>
    </w:p>
    <w:p>
      <w:pPr>
        <w:pStyle w:val="Heading9"/>
        <w:numPr>
          <w:ilvl w:val="1"/>
          <w:numId w:val="20"/>
        </w:numPr>
        <w:tabs>
          <w:tab w:pos="800" w:val="left" w:leader="none"/>
        </w:tabs>
        <w:spacing w:line="240" w:lineRule="auto" w:before="60" w:after="0"/>
        <w:ind w:left="800" w:right="0" w:hanging="360"/>
        <w:jc w:val="both"/>
      </w:pPr>
      <w:bookmarkStart w:name="_TOC_250036" w:id="237"/>
      <w:bookmarkStart w:name="Chapter 5" w:id="238"/>
      <w:r>
        <w:rPr>
          <w:b w:val="0"/>
        </w:rPr>
      </w:r>
      <w:bookmarkStart w:name="4.9 Summary" w:id="239"/>
      <w:bookmarkEnd w:id="239"/>
      <w:r>
        <w:rPr>
          <w:b w:val="0"/>
        </w:rPr>
      </w:r>
      <w:bookmarkStart w:name="4.9 Summary" w:id="240"/>
      <w:bookmarkEnd w:id="240"/>
      <w:r>
        <w:rPr/>
        <w:t>S</w:t>
      </w:r>
      <w:bookmarkEnd w:id="237"/>
      <w:r>
        <w:rPr/>
        <w:t>ummary</w:t>
      </w:r>
    </w:p>
    <w:p>
      <w:pPr>
        <w:pStyle w:val="BodyText"/>
        <w:spacing w:before="6"/>
        <w:rPr>
          <w:b/>
          <w:sz w:val="22"/>
        </w:rPr>
      </w:pPr>
    </w:p>
    <w:p>
      <w:pPr>
        <w:pStyle w:val="BodyText"/>
        <w:spacing w:line="480" w:lineRule="auto"/>
        <w:ind w:left="439" w:right="257" w:firstLine="720"/>
        <w:jc w:val="both"/>
      </w:pPr>
      <w:r>
        <w:rPr/>
        <w:t>The unique characteristic of wood and wood products make it a construction</w:t>
      </w:r>
      <w:r>
        <w:rPr>
          <w:spacing w:val="1"/>
        </w:rPr>
        <w:t> </w:t>
      </w:r>
      <w:r>
        <w:rPr/>
        <w:t>material</w:t>
      </w:r>
      <w:r>
        <w:rPr>
          <w:spacing w:val="-14"/>
        </w:rPr>
        <w:t> </w:t>
      </w:r>
      <w:r>
        <w:rPr/>
        <w:t>unlike</w:t>
      </w:r>
      <w:r>
        <w:rPr>
          <w:spacing w:val="-12"/>
        </w:rPr>
        <w:t> </w:t>
      </w:r>
      <w:r>
        <w:rPr/>
        <w:t>many</w:t>
      </w:r>
      <w:r>
        <w:rPr>
          <w:spacing w:val="-13"/>
        </w:rPr>
        <w:t> </w:t>
      </w:r>
      <w:r>
        <w:rPr/>
        <w:t>others</w:t>
      </w:r>
      <w:r>
        <w:rPr>
          <w:spacing w:val="-13"/>
        </w:rPr>
        <w:t> </w:t>
      </w:r>
      <w:r>
        <w:rPr/>
        <w:t>in</w:t>
      </w:r>
      <w:r>
        <w:rPr>
          <w:spacing w:val="-13"/>
        </w:rPr>
        <w:t> </w:t>
      </w:r>
      <w:r>
        <w:rPr/>
        <w:t>terms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design</w:t>
      </w:r>
      <w:r>
        <w:rPr>
          <w:spacing w:val="-13"/>
        </w:rPr>
        <w:t> </w:t>
      </w:r>
      <w:r>
        <w:rPr/>
        <w:t>for</w:t>
      </w:r>
      <w:r>
        <w:rPr>
          <w:spacing w:val="-13"/>
        </w:rPr>
        <w:t> </w:t>
      </w:r>
      <w:r>
        <w:rPr/>
        <w:t>blast</w:t>
      </w:r>
      <w:r>
        <w:rPr>
          <w:spacing w:val="-13"/>
        </w:rPr>
        <w:t> </w:t>
      </w:r>
      <w:r>
        <w:rPr/>
        <w:t>and</w:t>
      </w:r>
      <w:r>
        <w:rPr>
          <w:spacing w:val="-14"/>
        </w:rPr>
        <w:t> </w:t>
      </w:r>
      <w:r>
        <w:rPr/>
        <w:t>ballistic</w:t>
      </w:r>
      <w:r>
        <w:rPr>
          <w:spacing w:val="-13"/>
        </w:rPr>
        <w:t> </w:t>
      </w:r>
      <w:r>
        <w:rPr/>
        <w:t>resistance.</w:t>
      </w:r>
      <w:r>
        <w:rPr>
          <w:spacing w:val="34"/>
        </w:rPr>
        <w:t> </w:t>
      </w:r>
      <w:r>
        <w:rPr/>
        <w:t>Parameters</w:t>
      </w:r>
      <w:r>
        <w:rPr>
          <w:spacing w:val="-58"/>
        </w:rPr>
        <w:t> </w:t>
      </w:r>
      <w:r>
        <w:rPr/>
        <w:t>such as the species type and composite layup can significantly change the performance of</w:t>
      </w:r>
      <w:r>
        <w:rPr>
          <w:spacing w:val="-57"/>
        </w:rPr>
        <w:t> </w:t>
      </w:r>
      <w:r>
        <w:rPr/>
        <w:t>CLT. In addition to species, the mechanical properties of the wood the panel is comprised</w:t>
      </w:r>
      <w:r>
        <w:rPr>
          <w:spacing w:val="-57"/>
        </w:rPr>
        <w:t> </w:t>
      </w:r>
      <w:r>
        <w:rPr/>
        <w:t>of,</w:t>
      </w:r>
      <w:r>
        <w:rPr>
          <w:spacing w:val="-11"/>
        </w:rPr>
        <w:t> </w:t>
      </w:r>
      <w:r>
        <w:rPr/>
        <w:t>including</w:t>
      </w:r>
      <w:r>
        <w:rPr>
          <w:spacing w:val="-11"/>
        </w:rPr>
        <w:t> </w:t>
      </w:r>
      <w:r>
        <w:rPr/>
        <w:t>density,</w:t>
      </w:r>
      <w:r>
        <w:rPr>
          <w:spacing w:val="-11"/>
        </w:rPr>
        <w:t> </w:t>
      </w:r>
      <w:r>
        <w:rPr/>
        <w:t>hardness</w:t>
      </w:r>
      <w:r>
        <w:rPr>
          <w:spacing w:val="-10"/>
        </w:rPr>
        <w:t> </w:t>
      </w:r>
      <w:r>
        <w:rPr/>
        <w:t>and</w:t>
      </w:r>
      <w:r>
        <w:rPr>
          <w:spacing w:val="-10"/>
        </w:rPr>
        <w:t> </w:t>
      </w:r>
      <w:r>
        <w:rPr/>
        <w:t>shear</w:t>
      </w:r>
      <w:r>
        <w:rPr>
          <w:spacing w:val="-10"/>
        </w:rPr>
        <w:t> </w:t>
      </w:r>
      <w:r>
        <w:rPr/>
        <w:t>strength</w:t>
      </w:r>
      <w:r>
        <w:rPr>
          <w:spacing w:val="-11"/>
        </w:rPr>
        <w:t> </w:t>
      </w:r>
      <w:r>
        <w:rPr/>
        <w:t>all</w:t>
      </w:r>
      <w:r>
        <w:rPr>
          <w:spacing w:val="-10"/>
        </w:rPr>
        <w:t> </w:t>
      </w:r>
      <w:r>
        <w:rPr/>
        <w:t>heavily</w:t>
      </w:r>
      <w:r>
        <w:rPr>
          <w:spacing w:val="-10"/>
        </w:rPr>
        <w:t> </w:t>
      </w:r>
      <w:r>
        <w:rPr/>
        <w:t>influence</w:t>
      </w:r>
      <w:r>
        <w:rPr>
          <w:spacing w:val="-10"/>
        </w:rPr>
        <w:t> </w:t>
      </w:r>
      <w:r>
        <w:rPr/>
        <w:t>the</w:t>
      </w:r>
      <w:r>
        <w:rPr>
          <w:spacing w:val="-13"/>
        </w:rPr>
        <w:t> </w:t>
      </w:r>
      <w:r>
        <w:rPr/>
        <w:t>overall</w:t>
      </w:r>
      <w:r>
        <w:rPr>
          <w:spacing w:val="-9"/>
        </w:rPr>
        <w:t> </w:t>
      </w:r>
      <w:r>
        <w:rPr/>
        <w:t>response</w:t>
      </w:r>
      <w:r>
        <w:rPr>
          <w:spacing w:val="-58"/>
        </w:rPr>
        <w:t> </w:t>
      </w:r>
      <w:r>
        <w:rPr/>
        <w:t>to</w:t>
      </w:r>
      <w:r>
        <w:rPr>
          <w:spacing w:val="1"/>
        </w:rPr>
        <w:t> </w:t>
      </w:r>
      <w:r>
        <w:rPr/>
        <w:t>impact</w:t>
      </w:r>
      <w:r>
        <w:rPr>
          <w:spacing w:val="1"/>
        </w:rPr>
        <w:t> </w:t>
      </w:r>
      <w:r>
        <w:rPr/>
        <w:t>loading</w:t>
      </w:r>
      <w:r>
        <w:rPr>
          <w:spacing w:val="1"/>
        </w:rPr>
        <w:t> </w:t>
      </w:r>
      <w:r>
        <w:rPr/>
        <w:t>conditions</w:t>
      </w:r>
      <w:r>
        <w:rPr>
          <w:spacing w:val="1"/>
        </w:rPr>
        <w:t> </w:t>
      </w:r>
      <w:r>
        <w:rPr/>
        <w:t>like</w:t>
      </w:r>
      <w:r>
        <w:rPr>
          <w:spacing w:val="1"/>
        </w:rPr>
        <w:t> </w:t>
      </w:r>
      <w:r>
        <w:rPr/>
        <w:t>those</w:t>
      </w:r>
      <w:r>
        <w:rPr>
          <w:spacing w:val="1"/>
        </w:rPr>
        <w:t> </w:t>
      </w:r>
      <w:r>
        <w:rPr/>
        <w:t>experienced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blast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ballistic</w:t>
      </w:r>
      <w:r>
        <w:rPr>
          <w:spacing w:val="1"/>
        </w:rPr>
        <w:t> </w:t>
      </w:r>
      <w:r>
        <w:rPr/>
        <w:t>event.</w:t>
      </w:r>
      <w:r>
        <w:rPr>
          <w:spacing w:val="1"/>
        </w:rPr>
        <w:t> </w:t>
      </w:r>
      <w:r>
        <w:rPr/>
        <w:t>Additionally, the cross-layering of the sawn timbers that gives CLT its strength and</w:t>
      </w:r>
      <w:r>
        <w:rPr>
          <w:spacing w:val="1"/>
        </w:rPr>
        <w:t> </w:t>
      </w:r>
      <w:r>
        <w:rPr/>
        <w:t>stiffness also increases concerns with rolling shear capacity.</w:t>
      </w:r>
      <w:r>
        <w:rPr>
          <w:spacing w:val="1"/>
        </w:rPr>
        <w:t> </w:t>
      </w:r>
      <w:r>
        <w:rPr/>
        <w:t>Design methodologies, such</w:t>
      </w:r>
      <w:r>
        <w:rPr>
          <w:spacing w:val="-57"/>
        </w:rPr>
        <w:t> </w:t>
      </w:r>
      <w:r>
        <w:rPr/>
        <w:t>as the shear analogy method, have been developed in the past two decades to accurately</w:t>
      </w:r>
      <w:r>
        <w:rPr>
          <w:spacing w:val="1"/>
        </w:rPr>
        <w:t> </w:t>
      </w:r>
      <w:r>
        <w:rPr/>
        <w:t>determine the flexural and shear strength design values for the CLT panels.</w:t>
      </w:r>
      <w:r>
        <w:rPr>
          <w:spacing w:val="1"/>
        </w:rPr>
        <w:t> </w:t>
      </w:r>
      <w:r>
        <w:rPr/>
        <w:t>However, the</w:t>
      </w:r>
      <w:r>
        <w:rPr>
          <w:spacing w:val="-57"/>
        </w:rPr>
        <w:t> </w:t>
      </w:r>
      <w:r>
        <w:rPr/>
        <w:t>need for improved data and procedures with respect to high rate loadings is significant.</w:t>
      </w:r>
      <w:r>
        <w:rPr>
          <w:spacing w:val="1"/>
        </w:rPr>
        <w:t> </w:t>
      </w:r>
      <w:r>
        <w:rPr/>
        <w:t>There is little available literature on the dynamic properties for wood and even less data</w:t>
      </w:r>
      <w:r>
        <w:rPr>
          <w:spacing w:val="1"/>
        </w:rPr>
        <w:t> </w:t>
      </w:r>
      <w:r>
        <w:rPr/>
        <w:t>for</w:t>
      </w:r>
      <w:r>
        <w:rPr>
          <w:spacing w:val="-1"/>
        </w:rPr>
        <w:t> </w:t>
      </w:r>
      <w:r>
        <w:rPr/>
        <w:t>engineered wood products like CLT.</w:t>
      </w:r>
    </w:p>
    <w:p>
      <w:pPr>
        <w:spacing w:after="0" w:line="480" w:lineRule="auto"/>
        <w:jc w:val="both"/>
        <w:sectPr>
          <w:pgSz w:w="12240" w:h="15840"/>
          <w:pgMar w:header="0" w:footer="1064" w:top="1380" w:bottom="1260" w:left="1720" w:right="1180"/>
        </w:sectPr>
      </w:pPr>
    </w:p>
    <w:p>
      <w:pPr>
        <w:spacing w:before="61"/>
        <w:ind w:left="98" w:right="0" w:firstLine="0"/>
        <w:jc w:val="center"/>
        <w:rPr>
          <w:b/>
          <w:sz w:val="28"/>
        </w:rPr>
      </w:pPr>
      <w:r>
        <w:rPr>
          <w:b/>
          <w:sz w:val="28"/>
        </w:rPr>
        <w:t>CHAPTER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5</w:t>
      </w:r>
    </w:p>
    <w:p>
      <w:pPr>
        <w:spacing w:before="26"/>
        <w:ind w:left="179" w:right="0" w:firstLine="0"/>
        <w:jc w:val="center"/>
        <w:rPr>
          <w:b/>
          <w:sz w:val="28"/>
        </w:rPr>
      </w:pPr>
      <w:r>
        <w:rPr>
          <w:b/>
          <w:sz w:val="28"/>
        </w:rPr>
        <w:t>BALLISTIC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PERFORMANCE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OF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CLT</w:t>
      </w: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spacing w:before="3"/>
        <w:rPr>
          <w:b/>
          <w:sz w:val="42"/>
        </w:rPr>
      </w:pPr>
    </w:p>
    <w:p>
      <w:pPr>
        <w:pStyle w:val="Heading9"/>
        <w:numPr>
          <w:ilvl w:val="1"/>
          <w:numId w:val="21"/>
        </w:numPr>
        <w:tabs>
          <w:tab w:pos="800" w:val="left" w:leader="none"/>
        </w:tabs>
        <w:spacing w:line="240" w:lineRule="auto" w:before="0" w:after="0"/>
        <w:ind w:left="800" w:right="0" w:hanging="360"/>
        <w:jc w:val="both"/>
      </w:pPr>
      <w:bookmarkStart w:name="_TOC_250035" w:id="241"/>
      <w:bookmarkStart w:name="5.1 Background on ballistic performance" w:id="242"/>
      <w:r>
        <w:rPr>
          <w:b w:val="0"/>
        </w:rPr>
      </w:r>
      <w:bookmarkEnd w:id="242"/>
      <w:bookmarkStart w:name="5.1 Background on ballistic performance" w:id="243"/>
      <w:r>
        <w:rPr/>
        <w:t>B</w:t>
      </w:r>
      <w:r>
        <w:rPr/>
        <w:t>ackground</w:t>
      </w:r>
      <w:r>
        <w:rPr>
          <w:spacing w:val="-5"/>
        </w:rPr>
        <w:t> </w:t>
      </w:r>
      <w:r>
        <w:rPr/>
        <w:t>on</w:t>
      </w:r>
      <w:r>
        <w:rPr>
          <w:spacing w:val="-4"/>
        </w:rPr>
        <w:t> </w:t>
      </w:r>
      <w:r>
        <w:rPr/>
        <w:t>ballistic</w:t>
      </w:r>
      <w:r>
        <w:rPr>
          <w:spacing w:val="-4"/>
        </w:rPr>
        <w:t> </w:t>
      </w:r>
      <w:bookmarkEnd w:id="241"/>
      <w:r>
        <w:rPr/>
        <w:t>performance</w:t>
      </w:r>
    </w:p>
    <w:p>
      <w:pPr>
        <w:pStyle w:val="BodyText"/>
        <w:spacing w:before="6"/>
        <w:rPr>
          <w:b/>
          <w:sz w:val="22"/>
        </w:rPr>
      </w:pPr>
    </w:p>
    <w:p>
      <w:pPr>
        <w:pStyle w:val="BodyText"/>
        <w:spacing w:line="480" w:lineRule="auto"/>
        <w:ind w:left="439" w:right="256" w:firstLine="720"/>
        <w:jc w:val="both"/>
      </w:pPr>
      <w:r>
        <w:rPr/>
        <w:pict>
          <v:rect style="position:absolute;margin-left:225.960007pt;margin-top:329.743103pt;width:21.42pt;height:.78pt;mso-position-horizontal-relative:page;mso-position-vertical-relative:paragraph;z-index:-34920448" filled="true" fillcolor="#000000" stroked="false">
            <v:fill type="solid"/>
            <w10:wrap type="none"/>
          </v:rect>
        </w:pict>
      </w:r>
      <w:r>
        <w:rPr/>
        <w:pict>
          <v:rect style="position:absolute;margin-left:211.139999pt;margin-top:312.343109pt;width:106.5pt;height:.78pt;mso-position-horizontal-relative:page;mso-position-vertical-relative:paragraph;z-index:-34919936" filled="true" fillcolor="#000000" stroked="false">
            <v:fill type="solid"/>
            <w10:wrap type="none"/>
          </v:rect>
        </w:pict>
      </w:r>
      <w:r>
        <w:rPr/>
        <w:t>Current design guidance for DoD planning and design of ballistic penetration is</w:t>
      </w:r>
      <w:r>
        <w:rPr>
          <w:spacing w:val="1"/>
        </w:rPr>
        <w:t> </w:t>
      </w:r>
      <w:r>
        <w:rPr/>
        <w:t>detailed in </w:t>
      </w:r>
      <w:r>
        <w:rPr>
          <w:i/>
        </w:rPr>
        <w:t>Unified Facilities Criteria (UFC) 4-023-07, Design to Resist Direct Fire</w:t>
      </w:r>
      <w:r>
        <w:rPr>
          <w:i/>
          <w:spacing w:val="1"/>
        </w:rPr>
        <w:t> </w:t>
      </w:r>
      <w:r>
        <w:rPr>
          <w:i/>
        </w:rPr>
        <w:t>Weapons Effects </w:t>
      </w:r>
      <w:r>
        <w:rPr/>
        <w:t>[7]. This standard provides guidance for facility design with the intent of</w:t>
      </w:r>
      <w:r>
        <w:rPr>
          <w:spacing w:val="-57"/>
        </w:rPr>
        <w:t> </w:t>
      </w:r>
      <w:r>
        <w:rPr/>
        <w:t>protection from direct fire weapon effects, which includes small arms ballistic weapons</w:t>
      </w:r>
      <w:r>
        <w:rPr>
          <w:spacing w:val="1"/>
        </w:rPr>
        <w:t> </w:t>
      </w:r>
      <w:r>
        <w:rPr/>
        <w:t>such as pistols, rifles, shotguns and submarine guns up to 0.50-caliber (12.7 mm), and</w:t>
      </w:r>
      <w:r>
        <w:rPr>
          <w:spacing w:val="1"/>
        </w:rPr>
        <w:t> </w:t>
      </w:r>
      <w:r>
        <w:rPr/>
        <w:t>shoulder fired antitank weapons.</w:t>
      </w:r>
      <w:r>
        <w:rPr>
          <w:spacing w:val="1"/>
        </w:rPr>
        <w:t> </w:t>
      </w:r>
      <w:r>
        <w:rPr/>
        <w:t>The UFC uses the Underwriters Laboratories (UL)</w:t>
      </w:r>
      <w:r>
        <w:rPr>
          <w:spacing w:val="1"/>
        </w:rPr>
        <w:t> </w:t>
      </w:r>
      <w:r>
        <w:rPr/>
        <w:t>ballistic</w:t>
      </w:r>
      <w:r>
        <w:rPr>
          <w:spacing w:val="1"/>
        </w:rPr>
        <w:t> </w:t>
      </w:r>
      <w:r>
        <w:rPr/>
        <w:t>standards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testing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characterizing</w:t>
      </w:r>
      <w:r>
        <w:rPr>
          <w:spacing w:val="1"/>
        </w:rPr>
        <w:t> </w:t>
      </w:r>
      <w:r>
        <w:rPr/>
        <w:t>building</w:t>
      </w:r>
      <w:r>
        <w:rPr>
          <w:spacing w:val="1"/>
        </w:rPr>
        <w:t> </w:t>
      </w:r>
      <w:r>
        <w:rPr/>
        <w:t>elements’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assemblies’</w:t>
      </w:r>
      <w:r>
        <w:rPr>
          <w:spacing w:val="1"/>
        </w:rPr>
        <w:t> </w:t>
      </w:r>
      <w:r>
        <w:rPr/>
        <w:t>resistance to ballistic effects.</w:t>
      </w:r>
      <w:r>
        <w:rPr>
          <w:spacing w:val="1"/>
        </w:rPr>
        <w:t> </w:t>
      </w:r>
      <w:r>
        <w:rPr/>
        <w:t>The UFC provides an equation for the thickness of wood</w:t>
      </w:r>
      <w:r>
        <w:rPr>
          <w:spacing w:val="1"/>
        </w:rPr>
        <w:t> </w:t>
      </w:r>
      <w:r>
        <w:rPr/>
        <w:t>necessary</w:t>
      </w:r>
      <w:r>
        <w:rPr>
          <w:spacing w:val="-10"/>
        </w:rPr>
        <w:t> </w:t>
      </w:r>
      <w:r>
        <w:rPr/>
        <w:t>to</w:t>
      </w:r>
      <w:r>
        <w:rPr>
          <w:spacing w:val="-10"/>
        </w:rPr>
        <w:t> </w:t>
      </w:r>
      <w:r>
        <w:rPr/>
        <w:t>resist</w:t>
      </w:r>
      <w:r>
        <w:rPr>
          <w:spacing w:val="-8"/>
        </w:rPr>
        <w:t> </w:t>
      </w:r>
      <w:r>
        <w:rPr/>
        <w:t>perforation</w:t>
      </w:r>
      <w:r>
        <w:rPr>
          <w:spacing w:val="-10"/>
        </w:rPr>
        <w:t> </w:t>
      </w:r>
      <w:r>
        <w:rPr/>
        <w:t>(see</w:t>
      </w:r>
      <w:r>
        <w:rPr>
          <w:spacing w:val="-8"/>
        </w:rPr>
        <w:t> </w:t>
      </w:r>
      <w:r>
        <w:rPr/>
        <w:t>Equation</w:t>
      </w:r>
      <w:r>
        <w:rPr>
          <w:spacing w:val="-9"/>
        </w:rPr>
        <w:t> </w:t>
      </w:r>
      <w:r>
        <w:rPr/>
        <w:t>5.1),</w:t>
      </w:r>
      <w:r>
        <w:rPr>
          <w:spacing w:val="-10"/>
        </w:rPr>
        <w:t> </w:t>
      </w:r>
      <w:r>
        <w:rPr/>
        <w:t>referred</w:t>
      </w:r>
      <w:r>
        <w:rPr>
          <w:spacing w:val="-10"/>
        </w:rPr>
        <w:t> </w:t>
      </w:r>
      <w:r>
        <w:rPr/>
        <w:t>to</w:t>
      </w:r>
      <w:r>
        <w:rPr>
          <w:spacing w:val="-10"/>
        </w:rPr>
        <w:t> </w:t>
      </w:r>
      <w:r>
        <w:rPr/>
        <w:t>as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“UFC</w:t>
      </w:r>
      <w:r>
        <w:rPr>
          <w:spacing w:val="-9"/>
        </w:rPr>
        <w:t> </w:t>
      </w:r>
      <w:r>
        <w:rPr/>
        <w:t>equation”</w:t>
      </w:r>
      <w:r>
        <w:rPr>
          <w:spacing w:val="-10"/>
        </w:rPr>
        <w:t> </w:t>
      </w:r>
      <w:r>
        <w:rPr/>
        <w:t>for</w:t>
      </w:r>
      <w:r>
        <w:rPr>
          <w:spacing w:val="-8"/>
        </w:rPr>
        <w:t> </w:t>
      </w:r>
      <w:r>
        <w:rPr/>
        <w:t>the</w:t>
      </w:r>
      <w:r>
        <w:rPr>
          <w:spacing w:val="-58"/>
        </w:rPr>
        <w:t> </w:t>
      </w:r>
      <w:r>
        <w:rPr/>
        <w:t>remainder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this document.</w:t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4"/>
        </w:rPr>
      </w:pPr>
    </w:p>
    <w:tbl>
      <w:tblPr>
        <w:tblW w:w="0" w:type="auto"/>
        <w:jc w:val="left"/>
        <w:tblInd w:w="9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574"/>
        <w:gridCol w:w="3626"/>
      </w:tblGrid>
      <w:tr>
        <w:trPr>
          <w:trHeight w:val="1065" w:hRule="atLeast"/>
        </w:trPr>
        <w:tc>
          <w:tcPr>
            <w:tcW w:w="4574" w:type="dxa"/>
          </w:tcPr>
          <w:p>
            <w:pPr>
              <w:pStyle w:val="TableParagraph"/>
              <w:tabs>
                <w:tab w:pos="1894" w:val="left" w:leader="none"/>
                <w:tab w:pos="3659" w:val="left" w:leader="none"/>
              </w:tabs>
              <w:spacing w:line="136" w:lineRule="auto"/>
              <w:ind w:left="1347"/>
              <w:rPr>
                <w:rFonts w:ascii="Cambria Math" w:hAnsi="Cambria Math" w:eastAsia="Cambria Math"/>
                <w:sz w:val="24"/>
              </w:rPr>
            </w:pPr>
            <w:r>
              <w:rPr>
                <w:rFonts w:ascii="Cambria Math" w:hAnsi="Cambria Math" w:eastAsia="Cambria Math"/>
                <w:position w:val="-21"/>
                <w:sz w:val="24"/>
              </w:rPr>
              <w:t>⎛</w:t>
              <w:tab/>
            </w:r>
            <w:r>
              <w:rPr>
                <w:rFonts w:ascii="Cambria Math" w:hAnsi="Cambria Math" w:eastAsia="Cambria Math"/>
                <w:position w:val="-8"/>
                <w:sz w:val="24"/>
              </w:rPr>
              <w:t>𝑣</w:t>
            </w:r>
            <w:r>
              <w:rPr>
                <w:rFonts w:ascii="Cambria Math" w:hAnsi="Cambria Math" w:eastAsia="Cambria Math"/>
                <w:sz w:val="17"/>
              </w:rPr>
              <w:t>0.4113</w:t>
            </w:r>
            <w:r>
              <w:rPr>
                <w:rFonts w:ascii="Cambria Math" w:hAnsi="Cambria Math" w:eastAsia="Cambria Math"/>
                <w:position w:val="-8"/>
                <w:sz w:val="24"/>
              </w:rPr>
              <w:t>𝑤</w:t>
            </w:r>
            <w:r>
              <w:rPr>
                <w:rFonts w:ascii="Cambria Math" w:hAnsi="Cambria Math" w:eastAsia="Cambria Math"/>
                <w:sz w:val="17"/>
              </w:rPr>
              <w:t>1.4897</w:t>
              <w:tab/>
            </w:r>
            <w:r>
              <w:rPr>
                <w:rFonts w:ascii="Cambria Math" w:hAnsi="Cambria Math" w:eastAsia="Cambria Math"/>
                <w:position w:val="-21"/>
                <w:sz w:val="24"/>
              </w:rPr>
              <w:t>⎞</w:t>
            </w:r>
          </w:p>
          <w:p>
            <w:pPr>
              <w:pStyle w:val="TableParagraph"/>
              <w:tabs>
                <w:tab w:pos="2169" w:val="left" w:leader="none"/>
              </w:tabs>
              <w:spacing w:line="98" w:lineRule="auto"/>
              <w:ind w:right="1480"/>
              <w:jc w:val="center"/>
              <w:rPr>
                <w:rFonts w:ascii="Cambria Math" w:eastAsia="Cambria Math"/>
                <w:sz w:val="17"/>
              </w:rPr>
            </w:pPr>
            <w:r>
              <w:rPr>
                <w:rFonts w:ascii="Cambria Math" w:eastAsia="Cambria Math"/>
                <w:w w:val="95"/>
                <w:sz w:val="24"/>
              </w:rPr>
              <w:t>𝑇</w:t>
            </w:r>
            <w:r>
              <w:rPr>
                <w:rFonts w:ascii="Cambria Math" w:eastAsia="Cambria Math"/>
                <w:w w:val="95"/>
                <w:position w:val="-4"/>
                <w:sz w:val="17"/>
              </w:rPr>
              <w:t>𝑤𝑤</w:t>
            </w:r>
            <w:r>
              <w:rPr>
                <w:rFonts w:ascii="Cambria Math" w:eastAsia="Cambria Math"/>
                <w:spacing w:val="21"/>
                <w:w w:val="95"/>
                <w:position w:val="-4"/>
                <w:sz w:val="17"/>
              </w:rPr>
              <w:t> </w:t>
            </w:r>
            <w:r>
              <w:rPr>
                <w:rFonts w:ascii="Cambria Math" w:eastAsia="Cambria Math"/>
                <w:w w:val="95"/>
                <w:sz w:val="24"/>
              </w:rPr>
              <w:t>=</w:t>
            </w:r>
            <w:r>
              <w:rPr>
                <w:rFonts w:ascii="Cambria Math" w:eastAsia="Cambria Math"/>
                <w:spacing w:val="-4"/>
                <w:w w:val="95"/>
                <w:sz w:val="24"/>
              </w:rPr>
              <w:t> </w:t>
            </w:r>
            <w:r>
              <w:rPr>
                <w:rFonts w:ascii="Cambria Math" w:eastAsia="Cambria Math"/>
                <w:w w:val="95"/>
                <w:sz w:val="24"/>
              </w:rPr>
              <w:t>9837</w:t>
              <w:tab/>
            </w:r>
            <w:r>
              <w:rPr>
                <w:rFonts w:ascii="Cambria Math" w:eastAsia="Cambria Math"/>
                <w:position w:val="-7"/>
                <w:sz w:val="17"/>
              </w:rPr>
              <w:t>1.3596</w:t>
            </w:r>
          </w:p>
          <w:p>
            <w:pPr>
              <w:pStyle w:val="TableParagraph"/>
              <w:spacing w:line="139" w:lineRule="exact"/>
              <w:ind w:right="501"/>
              <w:jc w:val="center"/>
              <w:rPr>
                <w:rFonts w:ascii="Cambria Math" w:eastAsia="Cambria Math"/>
                <w:sz w:val="24"/>
              </w:rPr>
            </w:pPr>
            <w:r>
              <w:rPr>
                <w:rFonts w:ascii="Cambria Math" w:eastAsia="Cambria Math"/>
                <w:w w:val="105"/>
                <w:sz w:val="24"/>
              </w:rPr>
              <w:t>𝜋𝐷</w:t>
            </w:r>
            <w:r>
              <w:rPr>
                <w:rFonts w:ascii="Cambria Math" w:eastAsia="Cambria Math"/>
                <w:w w:val="105"/>
                <w:sz w:val="24"/>
                <w:vertAlign w:val="superscript"/>
              </w:rPr>
              <w:t>2</w:t>
            </w:r>
          </w:p>
          <w:p>
            <w:pPr>
              <w:pStyle w:val="TableParagraph"/>
              <w:tabs>
                <w:tab w:pos="2940" w:val="left" w:leader="none"/>
              </w:tabs>
              <w:spacing w:line="91" w:lineRule="auto"/>
              <w:ind w:left="1347"/>
              <w:rPr>
                <w:rFonts w:ascii="Cambria Math" w:hAnsi="Cambria Math" w:cs="Cambria Math" w:eastAsia="Cambria Math"/>
                <w:sz w:val="24"/>
                <w:szCs w:val="24"/>
              </w:rPr>
            </w:pPr>
            <w:r>
              <w:rPr>
                <w:rFonts w:ascii="Cambria Math" w:hAnsi="Cambria Math" w:cs="Cambria Math" w:eastAsia="Cambria Math"/>
                <w:w w:val="80"/>
                <w:position w:val="-18"/>
                <w:sz w:val="24"/>
                <w:szCs w:val="24"/>
              </w:rPr>
              <w:t>𝗁</w:t>
            </w:r>
            <w:r>
              <w:rPr>
                <w:rFonts w:ascii="Cambria Math" w:hAnsi="Cambria Math" w:cs="Cambria Math" w:eastAsia="Cambria Math"/>
                <w:w w:val="80"/>
                <w:position w:val="-6"/>
                <w:sz w:val="24"/>
                <w:szCs w:val="24"/>
              </w:rPr>
              <w:t>𝜌</w:t>
            </w:r>
            <w:r>
              <w:rPr>
                <w:rFonts w:ascii="Cambria Math" w:hAnsi="Cambria Math" w:cs="Cambria Math" w:eastAsia="Cambria Math"/>
                <w:spacing w:val="-2"/>
                <w:w w:val="80"/>
                <w:position w:val="-6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w w:val="80"/>
                <w:position w:val="-6"/>
                <w:sz w:val="24"/>
                <w:szCs w:val="24"/>
              </w:rPr>
              <w:t>�</w:t>
            </w:r>
            <w:r>
              <w:rPr>
                <w:rFonts w:ascii="Cambria Math" w:hAnsi="Cambria Math" w:cs="Cambria Math" w:eastAsia="Cambria Math"/>
                <w:spacing w:val="91"/>
                <w:position w:val="-6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w w:val="80"/>
                <w:position w:val="-18"/>
                <w:sz w:val="24"/>
                <w:szCs w:val="24"/>
              </w:rPr>
              <w:t>2</w:t>
            </w:r>
            <w:r>
              <w:rPr>
                <w:rFonts w:ascii="Cambria Math" w:hAnsi="Cambria Math" w:cs="Cambria Math" w:eastAsia="Cambria Math"/>
                <w:spacing w:val="93"/>
                <w:position w:val="-18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w w:val="80"/>
                <w:position w:val="-6"/>
                <w:sz w:val="24"/>
                <w:szCs w:val="24"/>
              </w:rPr>
              <w:t>�</w:t>
              <w:tab/>
            </w:r>
            <w:r>
              <w:rPr>
                <w:rFonts w:ascii="Cambria Math" w:hAnsi="Cambria Math" w:cs="Cambria Math" w:eastAsia="Cambria Math"/>
                <w:position w:val="-6"/>
                <w:sz w:val="24"/>
                <w:szCs w:val="24"/>
              </w:rPr>
              <w:t>𝐻</w:t>
            </w:r>
            <w:r>
              <w:rPr>
                <w:rFonts w:ascii="Cambria Math" w:hAnsi="Cambria Math" w:cs="Cambria Math" w:eastAsia="Cambria Math"/>
                <w:sz w:val="17"/>
                <w:szCs w:val="17"/>
              </w:rPr>
              <w:t>0.5414</w:t>
            </w:r>
            <w:r>
              <w:rPr>
                <w:rFonts w:ascii="Cambria Math" w:hAnsi="Cambria Math" w:cs="Cambria Math" w:eastAsia="Cambria Math"/>
                <w:position w:val="-18"/>
                <w:sz w:val="24"/>
                <w:szCs w:val="24"/>
              </w:rPr>
              <w:t>⎠</w:t>
            </w:r>
          </w:p>
        </w:tc>
        <w:tc>
          <w:tcPr>
            <w:tcW w:w="3626" w:type="dxa"/>
          </w:tcPr>
          <w:p>
            <w:pPr>
              <w:pStyle w:val="TableParagraph"/>
              <w:spacing w:before="201"/>
              <w:ind w:right="198"/>
              <w:jc w:val="right"/>
              <w:rPr>
                <w:sz w:val="24"/>
              </w:rPr>
            </w:pPr>
            <w:r>
              <w:rPr>
                <w:sz w:val="24"/>
              </w:rPr>
              <w:t>(5.1)</w:t>
            </w:r>
          </w:p>
        </w:tc>
      </w:tr>
      <w:tr>
        <w:trPr>
          <w:trHeight w:val="550" w:hRule="atLeast"/>
        </w:trPr>
        <w:tc>
          <w:tcPr>
            <w:tcW w:w="4574" w:type="dxa"/>
          </w:tcPr>
          <w:p>
            <w:pPr>
              <w:pStyle w:val="TableParagraph"/>
              <w:spacing w:before="131"/>
              <w:ind w:right="105"/>
              <w:jc w:val="right"/>
              <w:rPr>
                <w:sz w:val="24"/>
              </w:rPr>
            </w:pPr>
            <w:r>
              <w:rPr>
                <w:sz w:val="24"/>
              </w:rPr>
              <w:t>Where:</w:t>
            </w:r>
          </w:p>
        </w:tc>
        <w:tc>
          <w:tcPr>
            <w:tcW w:w="3626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690" w:hRule="atLeast"/>
        </w:trPr>
        <w:tc>
          <w:tcPr>
            <w:tcW w:w="4574" w:type="dxa"/>
          </w:tcPr>
          <w:p>
            <w:pPr>
              <w:pStyle w:val="TableParagraph"/>
              <w:spacing w:before="134"/>
              <w:ind w:right="107"/>
              <w:jc w:val="right"/>
              <w:rPr>
                <w:i/>
                <w:sz w:val="24"/>
              </w:rPr>
            </w:pPr>
            <w:r>
              <w:rPr>
                <w:i/>
                <w:sz w:val="24"/>
              </w:rPr>
              <w:t>Tw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=</w:t>
            </w:r>
          </w:p>
        </w:tc>
        <w:tc>
          <w:tcPr>
            <w:tcW w:w="3626" w:type="dxa"/>
          </w:tcPr>
          <w:p>
            <w:pPr>
              <w:pStyle w:val="TableParagraph"/>
              <w:spacing w:line="270" w:lineRule="atLeast" w:before="118"/>
              <w:ind w:left="107" w:right="513"/>
              <w:rPr>
                <w:sz w:val="24"/>
              </w:rPr>
            </w:pPr>
            <w:r>
              <w:rPr>
                <w:sz w:val="24"/>
              </w:rPr>
              <w:t>thickness of wood necessary to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prevent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perforation (in)</w:t>
            </w:r>
          </w:p>
        </w:tc>
      </w:tr>
      <w:tr>
        <w:trPr>
          <w:trHeight w:val="308" w:hRule="atLeast"/>
        </w:trPr>
        <w:tc>
          <w:tcPr>
            <w:tcW w:w="4574" w:type="dxa"/>
          </w:tcPr>
          <w:p>
            <w:pPr>
              <w:pStyle w:val="TableParagraph"/>
              <w:spacing w:line="272" w:lineRule="exact"/>
              <w:ind w:right="106"/>
              <w:jc w:val="right"/>
              <w:rPr>
                <w:i/>
                <w:sz w:val="24"/>
              </w:rPr>
            </w:pPr>
            <w:r>
              <w:rPr>
                <w:i/>
                <w:sz w:val="24"/>
              </w:rPr>
              <w:t>v =</w:t>
            </w:r>
          </w:p>
        </w:tc>
        <w:tc>
          <w:tcPr>
            <w:tcW w:w="3626" w:type="dxa"/>
          </w:tcPr>
          <w:p>
            <w:pPr>
              <w:pStyle w:val="TableParagraph"/>
              <w:spacing w:line="271" w:lineRule="exact"/>
              <w:ind w:left="107"/>
              <w:rPr>
                <w:sz w:val="24"/>
              </w:rPr>
            </w:pPr>
            <w:r>
              <w:rPr>
                <w:sz w:val="24"/>
              </w:rPr>
              <w:t>projectile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impact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velocity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(fps)</w:t>
            </w:r>
          </w:p>
        </w:tc>
      </w:tr>
      <w:tr>
        <w:trPr>
          <w:trHeight w:val="318" w:hRule="atLeast"/>
        </w:trPr>
        <w:tc>
          <w:tcPr>
            <w:tcW w:w="4574" w:type="dxa"/>
          </w:tcPr>
          <w:p>
            <w:pPr>
              <w:pStyle w:val="TableParagraph"/>
              <w:spacing w:line="271" w:lineRule="exact" w:before="28"/>
              <w:ind w:right="106"/>
              <w:jc w:val="right"/>
              <w:rPr>
                <w:i/>
                <w:sz w:val="24"/>
              </w:rPr>
            </w:pPr>
            <w:r>
              <w:rPr>
                <w:i/>
                <w:sz w:val="24"/>
              </w:rPr>
              <w:t>w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=</w:t>
            </w:r>
          </w:p>
        </w:tc>
        <w:tc>
          <w:tcPr>
            <w:tcW w:w="3626" w:type="dxa"/>
          </w:tcPr>
          <w:p>
            <w:pPr>
              <w:pStyle w:val="TableParagraph"/>
              <w:spacing w:line="272" w:lineRule="exact" w:before="26"/>
              <w:ind w:left="107"/>
              <w:rPr>
                <w:sz w:val="24"/>
              </w:rPr>
            </w:pPr>
            <w:r>
              <w:rPr>
                <w:sz w:val="24"/>
              </w:rPr>
              <w:t>projectile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weight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(lb.)</w:t>
            </w:r>
          </w:p>
        </w:tc>
      </w:tr>
      <w:tr>
        <w:trPr>
          <w:trHeight w:val="294" w:hRule="atLeast"/>
        </w:trPr>
        <w:tc>
          <w:tcPr>
            <w:tcW w:w="4574" w:type="dxa"/>
          </w:tcPr>
          <w:p>
            <w:pPr>
              <w:pStyle w:val="TableParagraph"/>
              <w:spacing w:line="251" w:lineRule="exact" w:before="24"/>
              <w:ind w:right="106"/>
              <w:jc w:val="right"/>
              <w:rPr>
                <w:i/>
                <w:sz w:val="24"/>
              </w:rPr>
            </w:pPr>
            <w:r>
              <w:rPr>
                <w:i/>
                <w:sz w:val="24"/>
              </w:rPr>
              <w:t>D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=</w:t>
            </w:r>
          </w:p>
        </w:tc>
        <w:tc>
          <w:tcPr>
            <w:tcW w:w="3626" w:type="dxa"/>
          </w:tcPr>
          <w:p>
            <w:pPr>
              <w:pStyle w:val="TableParagraph"/>
              <w:spacing w:line="252" w:lineRule="exact" w:before="22"/>
              <w:ind w:left="107"/>
              <w:rPr>
                <w:sz w:val="24"/>
              </w:rPr>
            </w:pPr>
            <w:r>
              <w:rPr>
                <w:sz w:val="24"/>
              </w:rPr>
              <w:t>projectile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diameter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(in</w:t>
            </w:r>
            <w:r>
              <w:rPr>
                <w:sz w:val="24"/>
                <w:vertAlign w:val="superscript"/>
              </w:rPr>
              <w:t>2</w:t>
            </w:r>
            <w:r>
              <w:rPr>
                <w:sz w:val="24"/>
                <w:vertAlign w:val="baseline"/>
              </w:rPr>
              <w:t>)</w:t>
            </w:r>
          </w:p>
        </w:tc>
      </w:tr>
      <w:tr>
        <w:trPr>
          <w:trHeight w:val="285" w:hRule="atLeast"/>
        </w:trPr>
        <w:tc>
          <w:tcPr>
            <w:tcW w:w="4574" w:type="dxa"/>
          </w:tcPr>
          <w:p>
            <w:pPr>
              <w:pStyle w:val="TableParagraph"/>
              <w:spacing w:line="260" w:lineRule="exact" w:before="5"/>
              <w:ind w:right="106"/>
              <w:jc w:val="right"/>
              <w:rPr>
                <w:i/>
                <w:sz w:val="24"/>
              </w:rPr>
            </w:pPr>
            <w:r>
              <w:rPr>
                <w:i/>
                <w:sz w:val="24"/>
              </w:rPr>
              <w:t>ρ =</w:t>
            </w:r>
          </w:p>
        </w:tc>
        <w:tc>
          <w:tcPr>
            <w:tcW w:w="3626" w:type="dxa"/>
          </w:tcPr>
          <w:p>
            <w:pPr>
              <w:pStyle w:val="TableParagraph"/>
              <w:spacing w:line="262" w:lineRule="exact" w:before="3"/>
              <w:ind w:left="107"/>
              <w:rPr>
                <w:sz w:val="24"/>
              </w:rPr>
            </w:pPr>
            <w:r>
              <w:rPr>
                <w:sz w:val="24"/>
              </w:rPr>
              <w:t>wood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density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(lb./ft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z w:val="24"/>
                <w:vertAlign w:val="baseline"/>
              </w:rPr>
              <w:t>)</w:t>
            </w:r>
          </w:p>
        </w:tc>
      </w:tr>
      <w:tr>
        <w:trPr>
          <w:trHeight w:val="271" w:hRule="atLeast"/>
        </w:trPr>
        <w:tc>
          <w:tcPr>
            <w:tcW w:w="4574" w:type="dxa"/>
          </w:tcPr>
          <w:p>
            <w:pPr>
              <w:pStyle w:val="TableParagraph"/>
              <w:spacing w:line="251" w:lineRule="exact"/>
              <w:ind w:right="106"/>
              <w:jc w:val="right"/>
              <w:rPr>
                <w:i/>
                <w:sz w:val="24"/>
              </w:rPr>
            </w:pPr>
            <w:r>
              <w:rPr>
                <w:i/>
                <w:sz w:val="24"/>
              </w:rPr>
              <w:t>H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=</w:t>
            </w:r>
          </w:p>
        </w:tc>
        <w:tc>
          <w:tcPr>
            <w:tcW w:w="3626" w:type="dxa"/>
          </w:tcPr>
          <w:p>
            <w:pPr>
              <w:pStyle w:val="TableParagraph"/>
              <w:spacing w:line="251" w:lineRule="exact"/>
              <w:ind w:left="107"/>
              <w:rPr>
                <w:sz w:val="24"/>
              </w:rPr>
            </w:pPr>
            <w:r>
              <w:rPr>
                <w:sz w:val="24"/>
              </w:rPr>
              <w:t>wood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hardness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(lb.)</w:t>
            </w:r>
          </w:p>
        </w:tc>
      </w:tr>
    </w:tbl>
    <w:p>
      <w:pPr>
        <w:spacing w:after="0" w:line="251" w:lineRule="exact"/>
        <w:rPr>
          <w:sz w:val="24"/>
        </w:rPr>
        <w:sectPr>
          <w:pgSz w:w="12240" w:h="15840"/>
          <w:pgMar w:header="0" w:footer="1064" w:top="1380" w:bottom="1260" w:left="1720" w:right="1180"/>
        </w:sectPr>
      </w:pPr>
    </w:p>
    <w:p>
      <w:pPr>
        <w:pStyle w:val="BodyText"/>
        <w:spacing w:line="480" w:lineRule="auto" w:before="78"/>
        <w:ind w:left="440" w:right="319"/>
      </w:pPr>
      <w:r>
        <w:rPr/>
        <w:t>Wood</w:t>
      </w:r>
      <w:r>
        <w:rPr>
          <w:spacing w:val="-2"/>
        </w:rPr>
        <w:t> </w:t>
      </w:r>
      <w:r>
        <w:rPr/>
        <w:t>density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wood</w:t>
      </w:r>
      <w:r>
        <w:rPr>
          <w:spacing w:val="-2"/>
        </w:rPr>
        <w:t> </w:t>
      </w:r>
      <w:r>
        <w:rPr/>
        <w:t>hardness</w:t>
      </w:r>
      <w:r>
        <w:rPr>
          <w:spacing w:val="-1"/>
        </w:rPr>
        <w:t> </w:t>
      </w:r>
      <w:r>
        <w:rPr/>
        <w:t>values</w:t>
      </w:r>
      <w:r>
        <w:rPr>
          <w:spacing w:val="-1"/>
        </w:rPr>
        <w:t> </w:t>
      </w:r>
      <w:r>
        <w:rPr/>
        <w:t>are</w:t>
      </w:r>
      <w:r>
        <w:rPr>
          <w:spacing w:val="-2"/>
        </w:rPr>
        <w:t> </w:t>
      </w:r>
      <w:r>
        <w:rPr/>
        <w:t>given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“Wood</w:t>
      </w:r>
      <w:r>
        <w:rPr>
          <w:spacing w:val="-2"/>
        </w:rPr>
        <w:t> </w:t>
      </w:r>
      <w:r>
        <w:rPr/>
        <w:t>Properties”</w:t>
      </w:r>
      <w:r>
        <w:rPr>
          <w:spacing w:val="-1"/>
        </w:rPr>
        <w:t> </w:t>
      </w:r>
      <w:r>
        <w:rPr/>
        <w:t>table</w:t>
      </w:r>
      <w:r>
        <w:rPr>
          <w:spacing w:val="-1"/>
        </w:rPr>
        <w:t> </w:t>
      </w:r>
      <w:r>
        <w:rPr/>
        <w:t>included</w:t>
      </w:r>
      <w:r>
        <w:rPr>
          <w:spacing w:val="-57"/>
        </w:rPr>
        <w:t> </w:t>
      </w:r>
      <w:r>
        <w:rPr/>
        <w:t>in</w:t>
      </w:r>
      <w:r>
        <w:rPr>
          <w:spacing w:val="-1"/>
        </w:rPr>
        <w:t> </w:t>
      </w:r>
      <w:r>
        <w:rPr/>
        <w:t>the UFC.  These are</w:t>
      </w:r>
      <w:r>
        <w:rPr>
          <w:spacing w:val="-1"/>
        </w:rPr>
        <w:t> </w:t>
      </w:r>
      <w:r>
        <w:rPr/>
        <w:t>replicated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hyperlink w:history="true" w:anchor="_bookmark50">
        <w:r>
          <w:rPr/>
          <w:t>Table 5-1</w:t>
        </w:r>
      </w:hyperlink>
      <w:r>
        <w:rPr/>
        <w:t>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spacing w:before="231"/>
        <w:ind w:left="180" w:right="0" w:firstLine="0"/>
        <w:jc w:val="center"/>
        <w:rPr>
          <w:i/>
          <w:sz w:val="24"/>
        </w:rPr>
      </w:pPr>
      <w:bookmarkStart w:name="_bookmark50" w:id="244"/>
      <w:bookmarkEnd w:id="244"/>
      <w:r>
        <w:rPr/>
      </w:r>
      <w:r>
        <w:rPr>
          <w:i/>
          <w:sz w:val="24"/>
        </w:rPr>
        <w:t>Table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5-1.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Wood properties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table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from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UFC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for use in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wood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equation.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3"/>
        <w:rPr>
          <w:i/>
          <w:sz w:val="17"/>
        </w:rPr>
      </w:pPr>
    </w:p>
    <w:tbl>
      <w:tblPr>
        <w:tblW w:w="0" w:type="auto"/>
        <w:jc w:val="left"/>
        <w:tblInd w:w="25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20"/>
        <w:gridCol w:w="583"/>
        <w:gridCol w:w="960"/>
        <w:gridCol w:w="1036"/>
      </w:tblGrid>
      <w:tr>
        <w:trPr>
          <w:trHeight w:val="599" w:hRule="atLeast"/>
        </w:trPr>
        <w:tc>
          <w:tcPr>
            <w:tcW w:w="2503" w:type="dxa"/>
            <w:gridSpan w:val="2"/>
            <w:shd w:val="clear" w:color="auto" w:fill="DADADA"/>
          </w:tcPr>
          <w:p>
            <w:pPr>
              <w:pStyle w:val="TableParagraph"/>
              <w:spacing w:before="172"/>
              <w:ind w:left="894" w:right="886"/>
              <w:jc w:val="center"/>
              <w:rPr>
                <w:sz w:val="22"/>
              </w:rPr>
            </w:pPr>
            <w:r>
              <w:rPr>
                <w:sz w:val="22"/>
              </w:rPr>
              <w:t>Species</w:t>
            </w:r>
          </w:p>
        </w:tc>
        <w:tc>
          <w:tcPr>
            <w:tcW w:w="960" w:type="dxa"/>
            <w:shd w:val="clear" w:color="auto" w:fill="DADADA"/>
          </w:tcPr>
          <w:p>
            <w:pPr>
              <w:pStyle w:val="TableParagraph"/>
              <w:spacing w:before="45"/>
              <w:ind w:left="188" w:right="109" w:hanging="52"/>
              <w:rPr>
                <w:sz w:val="22"/>
              </w:rPr>
            </w:pPr>
            <w:r>
              <w:rPr>
                <w:sz w:val="22"/>
              </w:rPr>
              <w:t>Density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(lb/ft</w:t>
            </w:r>
            <w:r>
              <w:rPr>
                <w:sz w:val="22"/>
                <w:vertAlign w:val="superscript"/>
              </w:rPr>
              <w:t>3</w:t>
            </w:r>
            <w:r>
              <w:rPr>
                <w:sz w:val="22"/>
                <w:vertAlign w:val="baseline"/>
              </w:rPr>
              <w:t>)</w:t>
            </w:r>
          </w:p>
        </w:tc>
        <w:tc>
          <w:tcPr>
            <w:tcW w:w="1036" w:type="dxa"/>
            <w:shd w:val="clear" w:color="auto" w:fill="DADADA"/>
          </w:tcPr>
          <w:p>
            <w:pPr>
              <w:pStyle w:val="TableParagraph"/>
              <w:spacing w:before="45"/>
              <w:ind w:left="126" w:right="87" w:hanging="18"/>
              <w:rPr>
                <w:sz w:val="22"/>
              </w:rPr>
            </w:pPr>
            <w:r>
              <w:rPr>
                <w:spacing w:val="-1"/>
                <w:sz w:val="22"/>
              </w:rPr>
              <w:t>Hardness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(pounds)</w:t>
            </w:r>
          </w:p>
        </w:tc>
      </w:tr>
      <w:tr>
        <w:trPr>
          <w:trHeight w:val="289" w:hRule="atLeast"/>
        </w:trPr>
        <w:tc>
          <w:tcPr>
            <w:tcW w:w="1920" w:type="dxa"/>
            <w:vMerge w:val="restart"/>
          </w:tcPr>
          <w:p>
            <w:pPr>
              <w:pStyle w:val="TableParagraph"/>
              <w:spacing w:before="167"/>
              <w:ind w:left="658" w:right="649"/>
              <w:jc w:val="center"/>
              <w:rPr>
                <w:sz w:val="22"/>
              </w:rPr>
            </w:pPr>
            <w:r>
              <w:rPr>
                <w:sz w:val="22"/>
              </w:rPr>
              <w:t>Pine</w:t>
            </w:r>
          </w:p>
        </w:tc>
        <w:tc>
          <w:tcPr>
            <w:tcW w:w="583" w:type="dxa"/>
          </w:tcPr>
          <w:p>
            <w:pPr>
              <w:pStyle w:val="TableParagraph"/>
              <w:spacing w:line="234" w:lineRule="exact" w:before="35"/>
              <w:ind w:left="86" w:right="79"/>
              <w:jc w:val="center"/>
              <w:rPr>
                <w:sz w:val="22"/>
              </w:rPr>
            </w:pPr>
            <w:r>
              <w:rPr>
                <w:sz w:val="22"/>
              </w:rPr>
              <w:t>Dry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113" w:right="104"/>
              <w:jc w:val="center"/>
              <w:rPr>
                <w:sz w:val="22"/>
              </w:rPr>
            </w:pPr>
            <w:r>
              <w:rPr>
                <w:sz w:val="22"/>
              </w:rPr>
              <w:t>23.5</w:t>
            </w:r>
          </w:p>
        </w:tc>
        <w:tc>
          <w:tcPr>
            <w:tcW w:w="1036" w:type="dxa"/>
          </w:tcPr>
          <w:p>
            <w:pPr>
              <w:pStyle w:val="TableParagraph"/>
              <w:spacing w:line="234" w:lineRule="exact" w:before="35"/>
              <w:ind w:left="182" w:right="175"/>
              <w:jc w:val="center"/>
              <w:rPr>
                <w:sz w:val="22"/>
              </w:rPr>
            </w:pPr>
            <w:r>
              <w:rPr>
                <w:sz w:val="22"/>
              </w:rPr>
              <w:t>38.7</w:t>
            </w:r>
          </w:p>
        </w:tc>
      </w:tr>
      <w:tr>
        <w:trPr>
          <w:trHeight w:val="290" w:hRule="atLeast"/>
        </w:trPr>
        <w:tc>
          <w:tcPr>
            <w:tcW w:w="192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83" w:type="dxa"/>
          </w:tcPr>
          <w:p>
            <w:pPr>
              <w:pStyle w:val="TableParagraph"/>
              <w:spacing w:line="234" w:lineRule="exact" w:before="35"/>
              <w:ind w:left="87" w:right="79"/>
              <w:jc w:val="center"/>
              <w:rPr>
                <w:sz w:val="22"/>
              </w:rPr>
            </w:pPr>
            <w:r>
              <w:rPr>
                <w:sz w:val="22"/>
              </w:rPr>
              <w:t>Wet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114" w:right="104"/>
              <w:jc w:val="center"/>
              <w:rPr>
                <w:sz w:val="22"/>
              </w:rPr>
            </w:pPr>
            <w:r>
              <w:rPr>
                <w:sz w:val="22"/>
              </w:rPr>
              <w:t>30</w:t>
            </w:r>
          </w:p>
        </w:tc>
        <w:tc>
          <w:tcPr>
            <w:tcW w:w="1036" w:type="dxa"/>
          </w:tcPr>
          <w:p>
            <w:pPr>
              <w:pStyle w:val="TableParagraph"/>
              <w:spacing w:line="234" w:lineRule="exact" w:before="35"/>
              <w:ind w:left="182" w:right="175"/>
              <w:jc w:val="center"/>
              <w:rPr>
                <w:sz w:val="22"/>
              </w:rPr>
            </w:pPr>
            <w:r>
              <w:rPr>
                <w:sz w:val="22"/>
              </w:rPr>
              <w:t>51.1</w:t>
            </w:r>
          </w:p>
        </w:tc>
      </w:tr>
      <w:tr>
        <w:trPr>
          <w:trHeight w:val="290" w:hRule="atLeast"/>
        </w:trPr>
        <w:tc>
          <w:tcPr>
            <w:tcW w:w="1920" w:type="dxa"/>
            <w:vMerge w:val="restart"/>
          </w:tcPr>
          <w:p>
            <w:pPr>
              <w:pStyle w:val="TableParagraph"/>
              <w:spacing w:before="167"/>
              <w:ind w:left="658" w:right="649"/>
              <w:jc w:val="center"/>
              <w:rPr>
                <w:sz w:val="22"/>
              </w:rPr>
            </w:pPr>
            <w:r>
              <w:rPr>
                <w:sz w:val="22"/>
              </w:rPr>
              <w:t>Maple</w:t>
            </w:r>
          </w:p>
        </w:tc>
        <w:tc>
          <w:tcPr>
            <w:tcW w:w="583" w:type="dxa"/>
          </w:tcPr>
          <w:p>
            <w:pPr>
              <w:pStyle w:val="TableParagraph"/>
              <w:spacing w:line="234" w:lineRule="exact" w:before="35"/>
              <w:ind w:left="86" w:right="79"/>
              <w:jc w:val="center"/>
              <w:rPr>
                <w:sz w:val="22"/>
              </w:rPr>
            </w:pPr>
            <w:r>
              <w:rPr>
                <w:sz w:val="22"/>
              </w:rPr>
              <w:t>Dry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114" w:right="104"/>
              <w:jc w:val="center"/>
              <w:rPr>
                <w:sz w:val="22"/>
              </w:rPr>
            </w:pPr>
            <w:r>
              <w:rPr>
                <w:sz w:val="22"/>
              </w:rPr>
              <w:t>35</w:t>
            </w:r>
          </w:p>
        </w:tc>
        <w:tc>
          <w:tcPr>
            <w:tcW w:w="1036" w:type="dxa"/>
          </w:tcPr>
          <w:p>
            <w:pPr>
              <w:pStyle w:val="TableParagraph"/>
              <w:spacing w:line="234" w:lineRule="exact" w:before="35"/>
              <w:ind w:left="182" w:right="175"/>
              <w:jc w:val="center"/>
              <w:rPr>
                <w:sz w:val="22"/>
              </w:rPr>
            </w:pPr>
            <w:r>
              <w:rPr>
                <w:sz w:val="22"/>
              </w:rPr>
              <w:t>76.9</w:t>
            </w:r>
          </w:p>
        </w:tc>
      </w:tr>
      <w:tr>
        <w:trPr>
          <w:trHeight w:val="289" w:hRule="atLeast"/>
        </w:trPr>
        <w:tc>
          <w:tcPr>
            <w:tcW w:w="192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83" w:type="dxa"/>
          </w:tcPr>
          <w:p>
            <w:pPr>
              <w:pStyle w:val="TableParagraph"/>
              <w:spacing w:line="234" w:lineRule="exact" w:before="35"/>
              <w:ind w:left="87" w:right="79"/>
              <w:jc w:val="center"/>
              <w:rPr>
                <w:sz w:val="22"/>
              </w:rPr>
            </w:pPr>
            <w:r>
              <w:rPr>
                <w:sz w:val="22"/>
              </w:rPr>
              <w:t>Wet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114" w:right="104"/>
              <w:jc w:val="center"/>
              <w:rPr>
                <w:sz w:val="22"/>
              </w:rPr>
            </w:pPr>
            <w:r>
              <w:rPr>
                <w:sz w:val="22"/>
              </w:rPr>
              <w:t>40</w:t>
            </w:r>
          </w:p>
        </w:tc>
        <w:tc>
          <w:tcPr>
            <w:tcW w:w="1036" w:type="dxa"/>
          </w:tcPr>
          <w:p>
            <w:pPr>
              <w:pStyle w:val="TableParagraph"/>
              <w:spacing w:line="234" w:lineRule="exact" w:before="35"/>
              <w:ind w:left="183" w:right="175"/>
              <w:jc w:val="center"/>
              <w:rPr>
                <w:sz w:val="22"/>
              </w:rPr>
            </w:pPr>
            <w:r>
              <w:rPr>
                <w:sz w:val="22"/>
              </w:rPr>
              <w:t>72</w:t>
            </w:r>
          </w:p>
        </w:tc>
      </w:tr>
      <w:tr>
        <w:trPr>
          <w:trHeight w:val="290" w:hRule="atLeast"/>
        </w:trPr>
        <w:tc>
          <w:tcPr>
            <w:tcW w:w="1920" w:type="dxa"/>
            <w:vMerge w:val="restart"/>
          </w:tcPr>
          <w:p>
            <w:pPr>
              <w:pStyle w:val="TableParagraph"/>
              <w:spacing w:before="167"/>
              <w:ind w:left="479"/>
              <w:rPr>
                <w:sz w:val="22"/>
              </w:rPr>
            </w:pPr>
            <w:r>
              <w:rPr>
                <w:sz w:val="22"/>
              </w:rPr>
              <w:t>Green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Oak</w:t>
            </w:r>
          </w:p>
        </w:tc>
        <w:tc>
          <w:tcPr>
            <w:tcW w:w="583" w:type="dxa"/>
          </w:tcPr>
          <w:p>
            <w:pPr>
              <w:pStyle w:val="TableParagraph"/>
              <w:spacing w:line="234" w:lineRule="exact" w:before="35"/>
              <w:ind w:left="86" w:right="79"/>
              <w:jc w:val="center"/>
              <w:rPr>
                <w:sz w:val="22"/>
              </w:rPr>
            </w:pPr>
            <w:r>
              <w:rPr>
                <w:sz w:val="22"/>
              </w:rPr>
              <w:t>Dry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114" w:right="104"/>
              <w:jc w:val="center"/>
              <w:rPr>
                <w:sz w:val="22"/>
              </w:rPr>
            </w:pPr>
            <w:r>
              <w:rPr>
                <w:sz w:val="22"/>
              </w:rPr>
              <w:t>55</w:t>
            </w:r>
          </w:p>
        </w:tc>
        <w:tc>
          <w:tcPr>
            <w:tcW w:w="1036" w:type="dxa"/>
          </w:tcPr>
          <w:p>
            <w:pPr>
              <w:pStyle w:val="TableParagraph"/>
              <w:spacing w:line="234" w:lineRule="exact" w:before="35"/>
              <w:ind w:left="182" w:right="175"/>
              <w:jc w:val="center"/>
              <w:rPr>
                <w:sz w:val="22"/>
              </w:rPr>
            </w:pPr>
            <w:r>
              <w:rPr>
                <w:sz w:val="22"/>
              </w:rPr>
              <w:t>88.1</w:t>
            </w:r>
          </w:p>
        </w:tc>
      </w:tr>
      <w:tr>
        <w:trPr>
          <w:trHeight w:val="290" w:hRule="atLeast"/>
        </w:trPr>
        <w:tc>
          <w:tcPr>
            <w:tcW w:w="192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83" w:type="dxa"/>
          </w:tcPr>
          <w:p>
            <w:pPr>
              <w:pStyle w:val="TableParagraph"/>
              <w:spacing w:line="234" w:lineRule="exact" w:before="35"/>
              <w:ind w:left="87" w:right="79"/>
              <w:jc w:val="center"/>
              <w:rPr>
                <w:sz w:val="22"/>
              </w:rPr>
            </w:pPr>
            <w:r>
              <w:rPr>
                <w:sz w:val="22"/>
              </w:rPr>
              <w:t>Wet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114" w:right="104"/>
              <w:jc w:val="center"/>
              <w:rPr>
                <w:sz w:val="22"/>
              </w:rPr>
            </w:pPr>
            <w:r>
              <w:rPr>
                <w:sz w:val="22"/>
              </w:rPr>
              <w:t>55</w:t>
            </w:r>
          </w:p>
        </w:tc>
        <w:tc>
          <w:tcPr>
            <w:tcW w:w="1036" w:type="dxa"/>
          </w:tcPr>
          <w:p>
            <w:pPr>
              <w:pStyle w:val="TableParagraph"/>
              <w:spacing w:line="234" w:lineRule="exact" w:before="35"/>
              <w:ind w:left="182" w:right="175"/>
              <w:jc w:val="center"/>
              <w:rPr>
                <w:sz w:val="22"/>
              </w:rPr>
            </w:pPr>
            <w:r>
              <w:rPr>
                <w:sz w:val="22"/>
              </w:rPr>
              <w:t>72.1</w:t>
            </w:r>
          </w:p>
        </w:tc>
      </w:tr>
      <w:tr>
        <w:trPr>
          <w:trHeight w:val="289" w:hRule="atLeast"/>
        </w:trPr>
        <w:tc>
          <w:tcPr>
            <w:tcW w:w="1920" w:type="dxa"/>
            <w:vMerge w:val="restart"/>
          </w:tcPr>
          <w:p>
            <w:pPr>
              <w:pStyle w:val="TableParagraph"/>
              <w:spacing w:before="167"/>
              <w:ind w:left="229"/>
              <w:rPr>
                <w:sz w:val="22"/>
              </w:rPr>
            </w:pPr>
            <w:r>
              <w:rPr>
                <w:sz w:val="22"/>
              </w:rPr>
              <w:t>Marine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plywood</w:t>
            </w:r>
          </w:p>
        </w:tc>
        <w:tc>
          <w:tcPr>
            <w:tcW w:w="583" w:type="dxa"/>
          </w:tcPr>
          <w:p>
            <w:pPr>
              <w:pStyle w:val="TableParagraph"/>
              <w:spacing w:line="234" w:lineRule="exact" w:before="35"/>
              <w:ind w:left="86" w:right="79"/>
              <w:jc w:val="center"/>
              <w:rPr>
                <w:sz w:val="22"/>
              </w:rPr>
            </w:pPr>
            <w:r>
              <w:rPr>
                <w:sz w:val="22"/>
              </w:rPr>
              <w:t>Dry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114" w:right="104"/>
              <w:jc w:val="center"/>
              <w:rPr>
                <w:sz w:val="22"/>
              </w:rPr>
            </w:pPr>
            <w:r>
              <w:rPr>
                <w:sz w:val="22"/>
              </w:rPr>
              <w:t>37</w:t>
            </w:r>
          </w:p>
        </w:tc>
        <w:tc>
          <w:tcPr>
            <w:tcW w:w="1036" w:type="dxa"/>
          </w:tcPr>
          <w:p>
            <w:pPr>
              <w:pStyle w:val="TableParagraph"/>
              <w:spacing w:line="234" w:lineRule="exact" w:before="35"/>
              <w:ind w:left="182" w:right="175"/>
              <w:jc w:val="center"/>
              <w:rPr>
                <w:sz w:val="22"/>
              </w:rPr>
            </w:pPr>
            <w:r>
              <w:rPr>
                <w:sz w:val="22"/>
              </w:rPr>
              <w:t>68.7</w:t>
            </w:r>
          </w:p>
        </w:tc>
      </w:tr>
      <w:tr>
        <w:trPr>
          <w:trHeight w:val="290" w:hRule="atLeast"/>
        </w:trPr>
        <w:tc>
          <w:tcPr>
            <w:tcW w:w="192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83" w:type="dxa"/>
          </w:tcPr>
          <w:p>
            <w:pPr>
              <w:pStyle w:val="TableParagraph"/>
              <w:spacing w:line="234" w:lineRule="exact" w:before="35"/>
              <w:ind w:left="87" w:right="79"/>
              <w:jc w:val="center"/>
              <w:rPr>
                <w:sz w:val="22"/>
              </w:rPr>
            </w:pPr>
            <w:r>
              <w:rPr>
                <w:sz w:val="22"/>
              </w:rPr>
              <w:t>Wet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114" w:right="104"/>
              <w:jc w:val="center"/>
              <w:rPr>
                <w:sz w:val="22"/>
              </w:rPr>
            </w:pPr>
            <w:r>
              <w:rPr>
                <w:sz w:val="22"/>
              </w:rPr>
              <w:t>37</w:t>
            </w:r>
          </w:p>
        </w:tc>
        <w:tc>
          <w:tcPr>
            <w:tcW w:w="1036" w:type="dxa"/>
          </w:tcPr>
          <w:p>
            <w:pPr>
              <w:pStyle w:val="TableParagraph"/>
              <w:spacing w:line="234" w:lineRule="exact" w:before="35"/>
              <w:ind w:left="182" w:right="175"/>
              <w:jc w:val="center"/>
              <w:rPr>
                <w:sz w:val="22"/>
              </w:rPr>
            </w:pPr>
            <w:r>
              <w:rPr>
                <w:sz w:val="22"/>
              </w:rPr>
              <w:t>58.8</w:t>
            </w:r>
          </w:p>
        </w:tc>
      </w:tr>
      <w:tr>
        <w:trPr>
          <w:trHeight w:val="290" w:hRule="atLeast"/>
        </w:trPr>
        <w:tc>
          <w:tcPr>
            <w:tcW w:w="1920" w:type="dxa"/>
            <w:vMerge w:val="restart"/>
          </w:tcPr>
          <w:p>
            <w:pPr>
              <w:pStyle w:val="TableParagraph"/>
              <w:spacing w:before="167"/>
              <w:ind w:left="656" w:right="649"/>
              <w:jc w:val="center"/>
              <w:rPr>
                <w:sz w:val="22"/>
              </w:rPr>
            </w:pPr>
            <w:r>
              <w:rPr>
                <w:sz w:val="22"/>
              </w:rPr>
              <w:t>Balsa</w:t>
            </w:r>
          </w:p>
        </w:tc>
        <w:tc>
          <w:tcPr>
            <w:tcW w:w="583" w:type="dxa"/>
          </w:tcPr>
          <w:p>
            <w:pPr>
              <w:pStyle w:val="TableParagraph"/>
              <w:spacing w:line="234" w:lineRule="exact" w:before="35"/>
              <w:ind w:left="86" w:right="79"/>
              <w:jc w:val="center"/>
              <w:rPr>
                <w:sz w:val="22"/>
              </w:rPr>
            </w:pPr>
            <w:r>
              <w:rPr>
                <w:sz w:val="22"/>
              </w:rPr>
              <w:t>Dry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6</w:t>
            </w:r>
          </w:p>
        </w:tc>
        <w:tc>
          <w:tcPr>
            <w:tcW w:w="1036" w:type="dxa"/>
          </w:tcPr>
          <w:p>
            <w:pPr>
              <w:pStyle w:val="TableParagraph"/>
              <w:spacing w:line="234" w:lineRule="exact" w:before="35"/>
              <w:ind w:left="183" w:right="175"/>
              <w:jc w:val="center"/>
              <w:rPr>
                <w:sz w:val="22"/>
              </w:rPr>
            </w:pPr>
            <w:r>
              <w:rPr>
                <w:sz w:val="22"/>
              </w:rPr>
              <w:t>21</w:t>
            </w:r>
          </w:p>
        </w:tc>
      </w:tr>
      <w:tr>
        <w:trPr>
          <w:trHeight w:val="289" w:hRule="atLeast"/>
        </w:trPr>
        <w:tc>
          <w:tcPr>
            <w:tcW w:w="192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83" w:type="dxa"/>
          </w:tcPr>
          <w:p>
            <w:pPr>
              <w:pStyle w:val="TableParagraph"/>
              <w:spacing w:line="234" w:lineRule="exact" w:before="35"/>
              <w:ind w:left="87" w:right="79"/>
              <w:jc w:val="center"/>
              <w:rPr>
                <w:sz w:val="22"/>
              </w:rPr>
            </w:pPr>
            <w:r>
              <w:rPr>
                <w:sz w:val="22"/>
              </w:rPr>
              <w:t>Wet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6</w:t>
            </w:r>
          </w:p>
        </w:tc>
        <w:tc>
          <w:tcPr>
            <w:tcW w:w="1036" w:type="dxa"/>
          </w:tcPr>
          <w:p>
            <w:pPr>
              <w:pStyle w:val="TableParagraph"/>
              <w:spacing w:line="234" w:lineRule="exact" w:before="35"/>
              <w:ind w:left="182" w:right="175"/>
              <w:jc w:val="center"/>
              <w:rPr>
                <w:sz w:val="22"/>
              </w:rPr>
            </w:pPr>
            <w:r>
              <w:rPr>
                <w:sz w:val="22"/>
              </w:rPr>
              <w:t>61.5</w:t>
            </w:r>
          </w:p>
        </w:tc>
      </w:tr>
      <w:tr>
        <w:trPr>
          <w:trHeight w:val="290" w:hRule="atLeast"/>
        </w:trPr>
        <w:tc>
          <w:tcPr>
            <w:tcW w:w="1920" w:type="dxa"/>
            <w:vMerge w:val="restart"/>
          </w:tcPr>
          <w:p>
            <w:pPr>
              <w:pStyle w:val="TableParagraph"/>
              <w:spacing w:before="167"/>
              <w:ind w:left="418"/>
              <w:rPr>
                <w:sz w:val="22"/>
              </w:rPr>
            </w:pPr>
            <w:r>
              <w:rPr>
                <w:sz w:val="22"/>
              </w:rPr>
              <w:t>Fir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plywood</w:t>
            </w:r>
          </w:p>
        </w:tc>
        <w:tc>
          <w:tcPr>
            <w:tcW w:w="583" w:type="dxa"/>
          </w:tcPr>
          <w:p>
            <w:pPr>
              <w:pStyle w:val="TableParagraph"/>
              <w:spacing w:line="234" w:lineRule="exact" w:before="35"/>
              <w:ind w:left="86" w:right="79"/>
              <w:jc w:val="center"/>
              <w:rPr>
                <w:sz w:val="22"/>
              </w:rPr>
            </w:pPr>
            <w:r>
              <w:rPr>
                <w:sz w:val="22"/>
              </w:rPr>
              <w:t>Dry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114" w:right="104"/>
              <w:jc w:val="center"/>
              <w:rPr>
                <w:sz w:val="22"/>
              </w:rPr>
            </w:pPr>
            <w:r>
              <w:rPr>
                <w:sz w:val="22"/>
              </w:rPr>
              <w:t>30</w:t>
            </w:r>
          </w:p>
        </w:tc>
        <w:tc>
          <w:tcPr>
            <w:tcW w:w="1036" w:type="dxa"/>
          </w:tcPr>
          <w:p>
            <w:pPr>
              <w:pStyle w:val="TableParagraph"/>
              <w:spacing w:line="234" w:lineRule="exact" w:before="35"/>
              <w:ind w:left="183" w:right="175"/>
              <w:jc w:val="center"/>
              <w:rPr>
                <w:sz w:val="22"/>
              </w:rPr>
            </w:pPr>
            <w:r>
              <w:rPr>
                <w:sz w:val="22"/>
              </w:rPr>
              <w:t>75</w:t>
            </w:r>
          </w:p>
        </w:tc>
      </w:tr>
      <w:tr>
        <w:trPr>
          <w:trHeight w:val="290" w:hRule="atLeast"/>
        </w:trPr>
        <w:tc>
          <w:tcPr>
            <w:tcW w:w="192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83" w:type="dxa"/>
          </w:tcPr>
          <w:p>
            <w:pPr>
              <w:pStyle w:val="TableParagraph"/>
              <w:spacing w:line="234" w:lineRule="exact" w:before="35"/>
              <w:ind w:left="87" w:right="79"/>
              <w:jc w:val="center"/>
              <w:rPr>
                <w:sz w:val="22"/>
              </w:rPr>
            </w:pPr>
            <w:r>
              <w:rPr>
                <w:sz w:val="22"/>
              </w:rPr>
              <w:t>Wet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114" w:right="104"/>
              <w:jc w:val="center"/>
              <w:rPr>
                <w:sz w:val="22"/>
              </w:rPr>
            </w:pPr>
            <w:r>
              <w:rPr>
                <w:sz w:val="22"/>
              </w:rPr>
              <w:t>30</w:t>
            </w:r>
          </w:p>
        </w:tc>
        <w:tc>
          <w:tcPr>
            <w:tcW w:w="1036" w:type="dxa"/>
          </w:tcPr>
          <w:p>
            <w:pPr>
              <w:pStyle w:val="TableParagraph"/>
              <w:spacing w:line="234" w:lineRule="exact" w:before="35"/>
              <w:ind w:left="182" w:right="175"/>
              <w:jc w:val="center"/>
              <w:rPr>
                <w:sz w:val="22"/>
              </w:rPr>
            </w:pPr>
            <w:r>
              <w:rPr>
                <w:sz w:val="22"/>
              </w:rPr>
              <w:t>68.9</w:t>
            </w:r>
          </w:p>
        </w:tc>
      </w:tr>
      <w:tr>
        <w:trPr>
          <w:trHeight w:val="289" w:hRule="atLeast"/>
        </w:trPr>
        <w:tc>
          <w:tcPr>
            <w:tcW w:w="1920" w:type="dxa"/>
            <w:vMerge w:val="restart"/>
          </w:tcPr>
          <w:p>
            <w:pPr>
              <w:pStyle w:val="TableParagraph"/>
              <w:spacing w:before="167"/>
              <w:ind w:left="598"/>
              <w:rPr>
                <w:sz w:val="22"/>
              </w:rPr>
            </w:pPr>
            <w:r>
              <w:rPr>
                <w:sz w:val="22"/>
              </w:rPr>
              <w:t>Hickory</w:t>
            </w:r>
          </w:p>
        </w:tc>
        <w:tc>
          <w:tcPr>
            <w:tcW w:w="583" w:type="dxa"/>
          </w:tcPr>
          <w:p>
            <w:pPr>
              <w:pStyle w:val="TableParagraph"/>
              <w:spacing w:line="234" w:lineRule="exact" w:before="35"/>
              <w:ind w:left="86" w:right="79"/>
              <w:jc w:val="center"/>
              <w:rPr>
                <w:sz w:val="22"/>
              </w:rPr>
            </w:pPr>
            <w:r>
              <w:rPr>
                <w:sz w:val="22"/>
              </w:rPr>
              <w:t>Dry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114" w:right="104"/>
              <w:jc w:val="center"/>
              <w:rPr>
                <w:sz w:val="22"/>
              </w:rPr>
            </w:pPr>
            <w:r>
              <w:rPr>
                <w:sz w:val="22"/>
              </w:rPr>
              <w:t>50</w:t>
            </w:r>
          </w:p>
        </w:tc>
        <w:tc>
          <w:tcPr>
            <w:tcW w:w="1036" w:type="dxa"/>
          </w:tcPr>
          <w:p>
            <w:pPr>
              <w:pStyle w:val="TableParagraph"/>
              <w:spacing w:line="234" w:lineRule="exact" w:before="35"/>
              <w:ind w:left="182" w:right="175"/>
              <w:jc w:val="center"/>
              <w:rPr>
                <w:sz w:val="22"/>
              </w:rPr>
            </w:pPr>
            <w:r>
              <w:rPr>
                <w:sz w:val="22"/>
              </w:rPr>
              <w:t>74.3</w:t>
            </w:r>
          </w:p>
        </w:tc>
      </w:tr>
      <w:tr>
        <w:trPr>
          <w:trHeight w:val="291" w:hRule="atLeast"/>
        </w:trPr>
        <w:tc>
          <w:tcPr>
            <w:tcW w:w="192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83" w:type="dxa"/>
          </w:tcPr>
          <w:p>
            <w:pPr>
              <w:pStyle w:val="TableParagraph"/>
              <w:spacing w:line="236" w:lineRule="exact" w:before="35"/>
              <w:ind w:left="87" w:right="79"/>
              <w:jc w:val="center"/>
              <w:rPr>
                <w:sz w:val="22"/>
              </w:rPr>
            </w:pPr>
            <w:r>
              <w:rPr>
                <w:sz w:val="22"/>
              </w:rPr>
              <w:t>Wet</w:t>
            </w:r>
          </w:p>
        </w:tc>
        <w:tc>
          <w:tcPr>
            <w:tcW w:w="960" w:type="dxa"/>
          </w:tcPr>
          <w:p>
            <w:pPr>
              <w:pStyle w:val="TableParagraph"/>
              <w:spacing w:line="236" w:lineRule="exact" w:before="35"/>
              <w:ind w:left="114" w:right="104"/>
              <w:jc w:val="center"/>
              <w:rPr>
                <w:sz w:val="22"/>
              </w:rPr>
            </w:pPr>
            <w:r>
              <w:rPr>
                <w:sz w:val="22"/>
              </w:rPr>
              <w:t>55</w:t>
            </w:r>
          </w:p>
        </w:tc>
        <w:tc>
          <w:tcPr>
            <w:tcW w:w="1036" w:type="dxa"/>
          </w:tcPr>
          <w:p>
            <w:pPr>
              <w:pStyle w:val="TableParagraph"/>
              <w:spacing w:line="236" w:lineRule="exact" w:before="35"/>
              <w:ind w:left="182" w:right="175"/>
              <w:jc w:val="center"/>
              <w:rPr>
                <w:sz w:val="22"/>
              </w:rPr>
            </w:pPr>
            <w:r>
              <w:rPr>
                <w:sz w:val="22"/>
              </w:rPr>
              <w:t>63.5</w:t>
            </w:r>
          </w:p>
        </w:tc>
      </w:tr>
    </w:tbl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7"/>
        <w:rPr>
          <w:i/>
          <w:sz w:val="20"/>
        </w:rPr>
      </w:pPr>
    </w:p>
    <w:p>
      <w:pPr>
        <w:pStyle w:val="BodyText"/>
        <w:spacing w:line="480" w:lineRule="auto" w:before="90"/>
        <w:ind w:left="439" w:right="257" w:firstLine="720"/>
        <w:jc w:val="both"/>
      </w:pPr>
      <w:r>
        <w:rPr/>
        <w:t>Other than the wood properties listed in </w:t>
      </w:r>
      <w:hyperlink w:history="true" w:anchor="_bookmark50">
        <w:r>
          <w:rPr/>
          <w:t>Table 5-1</w:t>
        </w:r>
      </w:hyperlink>
      <w:r>
        <w:rPr/>
        <w:t>, there is limited information</w:t>
      </w:r>
      <w:r>
        <w:rPr>
          <w:spacing w:val="1"/>
        </w:rPr>
        <w:t> </w:t>
      </w:r>
      <w:r>
        <w:rPr/>
        <w:t>given about the wood or the projectiles that determined the UFC equation.</w:t>
      </w:r>
      <w:r>
        <w:rPr>
          <w:spacing w:val="1"/>
        </w:rPr>
        <w:t> </w:t>
      </w:r>
      <w:r>
        <w:rPr/>
        <w:t>Furthermore,</w:t>
      </w:r>
      <w:r>
        <w:rPr>
          <w:spacing w:val="1"/>
        </w:rPr>
        <w:t> </w:t>
      </w:r>
      <w:r>
        <w:rPr/>
        <w:t>the</w:t>
      </w:r>
      <w:r>
        <w:rPr>
          <w:spacing w:val="55"/>
        </w:rPr>
        <w:t> </w:t>
      </w:r>
      <w:r>
        <w:rPr/>
        <w:t>method</w:t>
      </w:r>
      <w:r>
        <w:rPr>
          <w:spacing w:val="57"/>
        </w:rPr>
        <w:t> </w:t>
      </w:r>
      <w:r>
        <w:rPr/>
        <w:t>for</w:t>
      </w:r>
      <w:r>
        <w:rPr>
          <w:spacing w:val="57"/>
        </w:rPr>
        <w:t> </w:t>
      </w:r>
      <w:r>
        <w:rPr/>
        <w:t>determining</w:t>
      </w:r>
      <w:r>
        <w:rPr>
          <w:spacing w:val="56"/>
        </w:rPr>
        <w:t> </w:t>
      </w:r>
      <w:r>
        <w:rPr/>
        <w:t>hardness</w:t>
      </w:r>
      <w:r>
        <w:rPr>
          <w:spacing w:val="56"/>
        </w:rPr>
        <w:t> </w:t>
      </w:r>
      <w:r>
        <w:rPr/>
        <w:t>values</w:t>
      </w:r>
      <w:r>
        <w:rPr>
          <w:spacing w:val="55"/>
        </w:rPr>
        <w:t> </w:t>
      </w:r>
      <w:r>
        <w:rPr/>
        <w:t>is</w:t>
      </w:r>
      <w:r>
        <w:rPr>
          <w:spacing w:val="56"/>
        </w:rPr>
        <w:t> </w:t>
      </w:r>
      <w:r>
        <w:rPr/>
        <w:t>not</w:t>
      </w:r>
      <w:r>
        <w:rPr>
          <w:spacing w:val="57"/>
        </w:rPr>
        <w:t> </w:t>
      </w:r>
      <w:r>
        <w:rPr/>
        <w:t>specified</w:t>
      </w:r>
      <w:r>
        <w:rPr>
          <w:spacing w:val="56"/>
        </w:rPr>
        <w:t> </w:t>
      </w:r>
      <w:r>
        <w:rPr/>
        <w:t>and</w:t>
      </w:r>
      <w:r>
        <w:rPr>
          <w:spacing w:val="57"/>
        </w:rPr>
        <w:t> </w:t>
      </w:r>
      <w:r>
        <w:rPr/>
        <w:t>these</w:t>
      </w:r>
      <w:r>
        <w:rPr>
          <w:spacing w:val="56"/>
        </w:rPr>
        <w:t> </w:t>
      </w:r>
      <w:r>
        <w:rPr/>
        <w:t>values</w:t>
      </w:r>
      <w:r>
        <w:rPr>
          <w:spacing w:val="55"/>
        </w:rPr>
        <w:t> </w:t>
      </w:r>
      <w:r>
        <w:rPr/>
        <w:t>differ</w:t>
      </w:r>
      <w:r>
        <w:rPr>
          <w:spacing w:val="-57"/>
        </w:rPr>
        <w:t> </w:t>
      </w:r>
      <w:r>
        <w:rPr/>
        <w:t>significantly from today’s accepted reference values for hardness. The projectile variables</w:t>
      </w:r>
      <w:r>
        <w:rPr>
          <w:spacing w:val="-58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equation</w:t>
      </w:r>
      <w:r>
        <w:rPr>
          <w:spacing w:val="1"/>
        </w:rPr>
        <w:t> </w:t>
      </w:r>
      <w:r>
        <w:rPr/>
        <w:t>include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velocity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projectile,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recommendation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conservatively</w:t>
      </w:r>
      <w:r>
        <w:rPr>
          <w:spacing w:val="-9"/>
        </w:rPr>
        <w:t> </w:t>
      </w:r>
      <w:r>
        <w:rPr/>
        <w:t>using</w:t>
      </w:r>
      <w:r>
        <w:rPr>
          <w:spacing w:val="-10"/>
        </w:rPr>
        <w:t> </w:t>
      </w:r>
      <w:r>
        <w:rPr/>
        <w:t>the</w:t>
      </w:r>
      <w:r>
        <w:rPr>
          <w:spacing w:val="-11"/>
        </w:rPr>
        <w:t> </w:t>
      </w:r>
      <w:r>
        <w:rPr/>
        <w:t>muzzle</w:t>
      </w:r>
      <w:r>
        <w:rPr>
          <w:spacing w:val="-8"/>
        </w:rPr>
        <w:t> </w:t>
      </w:r>
      <w:r>
        <w:rPr/>
        <w:t>velocity</w:t>
      </w:r>
      <w:r>
        <w:rPr>
          <w:spacing w:val="-9"/>
        </w:rPr>
        <w:t> </w:t>
      </w:r>
      <w:r>
        <w:rPr/>
        <w:t>for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weapons</w:t>
      </w:r>
      <w:r>
        <w:rPr>
          <w:spacing w:val="-8"/>
        </w:rPr>
        <w:t> </w:t>
      </w:r>
      <w:r>
        <w:rPr/>
        <w:t>that</w:t>
      </w:r>
      <w:r>
        <w:rPr>
          <w:spacing w:val="-8"/>
        </w:rPr>
        <w:t> </w:t>
      </w:r>
      <w:r>
        <w:rPr/>
        <w:t>the</w:t>
      </w:r>
      <w:r>
        <w:rPr>
          <w:spacing w:val="-10"/>
        </w:rPr>
        <w:t> </w:t>
      </w:r>
      <w:r>
        <w:rPr/>
        <w:t>wood</w:t>
      </w:r>
      <w:r>
        <w:rPr>
          <w:spacing w:val="-9"/>
        </w:rPr>
        <w:t> </w:t>
      </w:r>
      <w:r>
        <w:rPr/>
        <w:t>would</w:t>
      </w:r>
      <w:r>
        <w:rPr>
          <w:spacing w:val="-9"/>
        </w:rPr>
        <w:t> </w:t>
      </w:r>
      <w:r>
        <w:rPr/>
        <w:t>be</w:t>
      </w:r>
      <w:r>
        <w:rPr>
          <w:spacing w:val="-8"/>
        </w:rPr>
        <w:t> </w:t>
      </w:r>
      <w:r>
        <w:rPr/>
        <w:t>designed</w:t>
      </w:r>
      <w:r>
        <w:rPr>
          <w:spacing w:val="-58"/>
        </w:rPr>
        <w:t> </w:t>
      </w:r>
      <w:r>
        <w:rPr/>
        <w:t>to</w:t>
      </w:r>
      <w:r>
        <w:rPr>
          <w:spacing w:val="5"/>
        </w:rPr>
        <w:t> </w:t>
      </w:r>
      <w:r>
        <w:rPr/>
        <w:t>defeat,</w:t>
      </w:r>
      <w:r>
        <w:rPr>
          <w:spacing w:val="6"/>
        </w:rPr>
        <w:t> </w:t>
      </w:r>
      <w:r>
        <w:rPr/>
        <w:t>as</w:t>
      </w:r>
      <w:r>
        <w:rPr>
          <w:spacing w:val="5"/>
        </w:rPr>
        <w:t> </w:t>
      </w:r>
      <w:r>
        <w:rPr/>
        <w:t>well</w:t>
      </w:r>
      <w:r>
        <w:rPr>
          <w:spacing w:val="6"/>
        </w:rPr>
        <w:t> </w:t>
      </w:r>
      <w:r>
        <w:rPr/>
        <w:t>as</w:t>
      </w:r>
      <w:r>
        <w:rPr>
          <w:spacing w:val="6"/>
        </w:rPr>
        <w:t> </w:t>
      </w:r>
      <w:r>
        <w:rPr/>
        <w:t>the</w:t>
      </w:r>
      <w:r>
        <w:rPr>
          <w:spacing w:val="5"/>
        </w:rPr>
        <w:t> </w:t>
      </w:r>
      <w:r>
        <w:rPr/>
        <w:t>projectile</w:t>
      </w:r>
      <w:r>
        <w:rPr>
          <w:spacing w:val="6"/>
        </w:rPr>
        <w:t> </w:t>
      </w:r>
      <w:r>
        <w:rPr/>
        <w:t>weight</w:t>
      </w:r>
      <w:r>
        <w:rPr>
          <w:spacing w:val="6"/>
        </w:rPr>
        <w:t> </w:t>
      </w:r>
      <w:r>
        <w:rPr/>
        <w:t>and</w:t>
      </w:r>
      <w:r>
        <w:rPr>
          <w:spacing w:val="6"/>
        </w:rPr>
        <w:t> </w:t>
      </w:r>
      <w:r>
        <w:rPr/>
        <w:t>diameter.</w:t>
      </w:r>
      <w:r>
        <w:rPr>
          <w:spacing w:val="13"/>
        </w:rPr>
        <w:t> </w:t>
      </w:r>
      <w:r>
        <w:rPr/>
        <w:t>For</w:t>
      </w:r>
      <w:r>
        <w:rPr>
          <w:spacing w:val="6"/>
        </w:rPr>
        <w:t> </w:t>
      </w:r>
      <w:r>
        <w:rPr/>
        <w:t>the</w:t>
      </w:r>
      <w:r>
        <w:rPr>
          <w:spacing w:val="6"/>
        </w:rPr>
        <w:t> </w:t>
      </w:r>
      <w:r>
        <w:rPr/>
        <w:t>wood</w:t>
      </w:r>
      <w:r>
        <w:rPr>
          <w:spacing w:val="6"/>
        </w:rPr>
        <w:t> </w:t>
      </w:r>
      <w:r>
        <w:rPr/>
        <w:t>species</w:t>
      </w:r>
      <w:r>
        <w:rPr>
          <w:spacing w:val="6"/>
        </w:rPr>
        <w:t> </w:t>
      </w:r>
      <w:r>
        <w:rPr/>
        <w:t>of</w:t>
      </w:r>
      <w:r>
        <w:rPr>
          <w:spacing w:val="5"/>
        </w:rPr>
        <w:t> </w:t>
      </w:r>
      <w:r>
        <w:rPr/>
        <w:t>interest,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40" w:right="257"/>
        <w:jc w:val="both"/>
      </w:pPr>
      <w:r>
        <w:rPr/>
        <w:t>the material variables included are the density and hardness.</w:t>
      </w:r>
      <w:r>
        <w:rPr>
          <w:spacing w:val="1"/>
        </w:rPr>
        <w:t> </w:t>
      </w:r>
      <w:r>
        <w:rPr/>
        <w:t>From a physics-based</w:t>
      </w:r>
      <w:r>
        <w:rPr>
          <w:spacing w:val="1"/>
        </w:rPr>
        <w:t> </w:t>
      </w:r>
      <w:r>
        <w:rPr/>
        <w:t>perspective, the equation makes sense with the velocity and weight of the projectile in the</w:t>
      </w:r>
      <w:r>
        <w:rPr>
          <w:spacing w:val="-57"/>
        </w:rPr>
        <w:t> </w:t>
      </w:r>
      <w:r>
        <w:rPr/>
        <w:t>numerator.</w:t>
      </w:r>
      <w:r>
        <w:rPr>
          <w:spacing w:val="1"/>
        </w:rPr>
        <w:t> </w:t>
      </w:r>
      <w:r>
        <w:rPr/>
        <w:t>As the two values become larger, the thickness of the wood needs to be</w:t>
      </w:r>
      <w:r>
        <w:rPr>
          <w:spacing w:val="1"/>
        </w:rPr>
        <w:t> </w:t>
      </w:r>
      <w:r>
        <w:rPr/>
        <w:t>proportionally thicker.</w:t>
      </w:r>
      <w:r>
        <w:rPr>
          <w:spacing w:val="1"/>
        </w:rPr>
        <w:t> </w:t>
      </w:r>
      <w:r>
        <w:rPr/>
        <w:t>In the denominator of the equation are the wood density and</w:t>
      </w:r>
      <w:r>
        <w:rPr>
          <w:spacing w:val="1"/>
        </w:rPr>
        <w:t> </w:t>
      </w:r>
      <w:r>
        <w:rPr/>
        <w:t>hardness as well as the cross-sectional area based on the diameter of the projectile.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these</w:t>
      </w:r>
      <w:r>
        <w:rPr>
          <w:spacing w:val="-8"/>
        </w:rPr>
        <w:t> </w:t>
      </w:r>
      <w:r>
        <w:rPr/>
        <w:t>terms</w:t>
      </w:r>
      <w:r>
        <w:rPr>
          <w:spacing w:val="-7"/>
        </w:rPr>
        <w:t> </w:t>
      </w:r>
      <w:r>
        <w:rPr/>
        <w:t>increase,</w:t>
      </w:r>
      <w:r>
        <w:rPr>
          <w:spacing w:val="-7"/>
        </w:rPr>
        <w:t> </w:t>
      </w:r>
      <w:r>
        <w:rPr/>
        <w:t>less</w:t>
      </w:r>
      <w:r>
        <w:rPr>
          <w:spacing w:val="-8"/>
        </w:rPr>
        <w:t> </w:t>
      </w:r>
      <w:r>
        <w:rPr/>
        <w:t>wood</w:t>
      </w:r>
      <w:r>
        <w:rPr>
          <w:spacing w:val="-8"/>
        </w:rPr>
        <w:t> </w:t>
      </w:r>
      <w:r>
        <w:rPr/>
        <w:t>thickness</w:t>
      </w:r>
      <w:r>
        <w:rPr>
          <w:spacing w:val="-7"/>
        </w:rPr>
        <w:t> </w:t>
      </w:r>
      <w:r>
        <w:rPr/>
        <w:t>is</w:t>
      </w:r>
      <w:r>
        <w:rPr>
          <w:spacing w:val="-7"/>
        </w:rPr>
        <w:t> </w:t>
      </w:r>
      <w:r>
        <w:rPr/>
        <w:t>required</w:t>
      </w:r>
      <w:r>
        <w:rPr>
          <w:spacing w:val="-7"/>
        </w:rPr>
        <w:t> </w:t>
      </w:r>
      <w:r>
        <w:rPr/>
        <w:t>to</w:t>
      </w:r>
      <w:r>
        <w:rPr>
          <w:spacing w:val="-8"/>
        </w:rPr>
        <w:t> </w:t>
      </w:r>
      <w:r>
        <w:rPr/>
        <w:t>stop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perforation</w:t>
      </w:r>
      <w:r>
        <w:rPr>
          <w:spacing w:val="-7"/>
        </w:rPr>
        <w:t> </w:t>
      </w:r>
      <w:r>
        <w:rPr/>
        <w:t>because</w:t>
      </w:r>
      <w:r>
        <w:rPr>
          <w:spacing w:val="-7"/>
        </w:rPr>
        <w:t> </w:t>
      </w:r>
      <w:r>
        <w:rPr/>
        <w:t>harder</w:t>
      </w:r>
      <w:r>
        <w:rPr>
          <w:spacing w:val="-58"/>
        </w:rPr>
        <w:t> </w:t>
      </w:r>
      <w:r>
        <w:rPr/>
        <w:t>and denser wood resists the penetration to a higher degree.</w:t>
      </w:r>
      <w:r>
        <w:rPr>
          <w:spacing w:val="1"/>
        </w:rPr>
        <w:t> </w:t>
      </w:r>
      <w:r>
        <w:rPr/>
        <w:t>The relation between a larger</w:t>
      </w:r>
      <w:r>
        <w:rPr>
          <w:spacing w:val="1"/>
        </w:rPr>
        <w:t> </w:t>
      </w:r>
      <w:r>
        <w:rPr/>
        <w:t>diameter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projectile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the</w:t>
      </w:r>
      <w:r>
        <w:rPr>
          <w:spacing w:val="-2"/>
        </w:rPr>
        <w:t> </w:t>
      </w:r>
      <w:r>
        <w:rPr/>
        <w:t>requirement</w:t>
      </w:r>
      <w:r>
        <w:rPr>
          <w:spacing w:val="-2"/>
        </w:rPr>
        <w:t> </w:t>
      </w:r>
      <w:r>
        <w:rPr/>
        <w:t>of</w:t>
      </w:r>
      <w:r>
        <w:rPr>
          <w:spacing w:val="-4"/>
        </w:rPr>
        <w:t> </w:t>
      </w:r>
      <w:r>
        <w:rPr/>
        <w:t>less</w:t>
      </w:r>
      <w:r>
        <w:rPr>
          <w:spacing w:val="-2"/>
        </w:rPr>
        <w:t> </w:t>
      </w:r>
      <w:r>
        <w:rPr/>
        <w:t>wood</w:t>
      </w:r>
      <w:r>
        <w:rPr>
          <w:spacing w:val="-4"/>
        </w:rPr>
        <w:t> </w:t>
      </w:r>
      <w:r>
        <w:rPr/>
        <w:t>thickness</w:t>
      </w:r>
      <w:r>
        <w:rPr>
          <w:spacing w:val="-4"/>
        </w:rPr>
        <w:t> </w:t>
      </w:r>
      <w:r>
        <w:rPr/>
        <w:t>is</w:t>
      </w:r>
      <w:r>
        <w:rPr>
          <w:spacing w:val="-4"/>
        </w:rPr>
        <w:t> </w:t>
      </w:r>
      <w:r>
        <w:rPr/>
        <w:t>a</w:t>
      </w:r>
      <w:r>
        <w:rPr>
          <w:spacing w:val="-5"/>
        </w:rPr>
        <w:t> </w:t>
      </w:r>
      <w:r>
        <w:rPr/>
        <w:t>bit</w:t>
      </w:r>
      <w:r>
        <w:rPr>
          <w:spacing w:val="-3"/>
        </w:rPr>
        <w:t> </w:t>
      </w:r>
      <w:r>
        <w:rPr/>
        <w:t>less</w:t>
      </w:r>
      <w:r>
        <w:rPr>
          <w:spacing w:val="-4"/>
        </w:rPr>
        <w:t> </w:t>
      </w:r>
      <w:r>
        <w:rPr/>
        <w:t>intuitive.</w:t>
      </w:r>
      <w:r>
        <w:rPr>
          <w:spacing w:val="-58"/>
        </w:rPr>
        <w:t> </w:t>
      </w:r>
      <w:r>
        <w:rPr/>
        <w:t>From an energy dissipation perspective, it requires more energy for a larger diameter</w:t>
      </w:r>
      <w:r>
        <w:rPr>
          <w:spacing w:val="1"/>
        </w:rPr>
        <w:t> </w:t>
      </w:r>
      <w:r>
        <w:rPr/>
        <w:t>projectile to penetrate compared to a smaller diameter projectile because more target</w:t>
      </w:r>
      <w:r>
        <w:rPr>
          <w:spacing w:val="1"/>
        </w:rPr>
        <w:t> </w:t>
      </w:r>
      <w:r>
        <w:rPr/>
        <w:t>material</w:t>
      </w:r>
      <w:r>
        <w:rPr>
          <w:spacing w:val="-1"/>
        </w:rPr>
        <w:t> </w:t>
      </w:r>
      <w:r>
        <w:rPr/>
        <w:t>must be overmatched in</w:t>
      </w:r>
      <w:r>
        <w:rPr>
          <w:spacing w:val="-1"/>
        </w:rPr>
        <w:t> </w:t>
      </w:r>
      <w:r>
        <w:rPr/>
        <w:t>order to penetrate.</w:t>
      </w:r>
    </w:p>
    <w:p>
      <w:pPr>
        <w:pStyle w:val="BodyText"/>
        <w:spacing w:line="480" w:lineRule="auto" w:before="160"/>
        <w:ind w:left="439" w:right="258" w:firstLine="720"/>
        <w:jc w:val="both"/>
        <w:rPr>
          <w:i/>
        </w:rPr>
      </w:pPr>
      <w:r>
        <w:rPr/>
        <w:t>The UFC equation ties to a series of studies conducted by the Department of</w:t>
      </w:r>
      <w:r>
        <w:rPr>
          <w:spacing w:val="1"/>
        </w:rPr>
        <w:t> </w:t>
      </w:r>
      <w:r>
        <w:rPr/>
        <w:t>Defense’s Ballistic Analysis Laboratory in the 1960s known as the THOR reports. The</w:t>
      </w:r>
      <w:r>
        <w:rPr>
          <w:spacing w:val="1"/>
        </w:rPr>
        <w:t> </w:t>
      </w:r>
      <w:r>
        <w:rPr>
          <w:spacing w:val="-1"/>
        </w:rPr>
        <w:t>report</w:t>
      </w:r>
      <w:r>
        <w:rPr>
          <w:spacing w:val="-16"/>
        </w:rPr>
        <w:t> </w:t>
      </w:r>
      <w:r>
        <w:rPr>
          <w:spacing w:val="-1"/>
        </w:rPr>
        <w:t>consists</w:t>
      </w:r>
      <w:r>
        <w:rPr>
          <w:spacing w:val="-15"/>
        </w:rPr>
        <w:t> </w:t>
      </w:r>
      <w:r>
        <w:rPr/>
        <w:t>of</w:t>
      </w:r>
      <w:r>
        <w:rPr>
          <w:spacing w:val="-16"/>
        </w:rPr>
        <w:t> </w:t>
      </w:r>
      <w:r>
        <w:rPr/>
        <w:t>empirical</w:t>
      </w:r>
      <w:r>
        <w:rPr>
          <w:spacing w:val="-14"/>
        </w:rPr>
        <w:t> </w:t>
      </w:r>
      <w:r>
        <w:rPr/>
        <w:t>equations</w:t>
      </w:r>
      <w:r>
        <w:rPr>
          <w:spacing w:val="-16"/>
        </w:rPr>
        <w:t> </w:t>
      </w:r>
      <w:r>
        <w:rPr/>
        <w:t>and</w:t>
      </w:r>
      <w:r>
        <w:rPr>
          <w:spacing w:val="-15"/>
        </w:rPr>
        <w:t> </w:t>
      </w:r>
      <w:r>
        <w:rPr/>
        <w:t>these</w:t>
      </w:r>
      <w:r>
        <w:rPr>
          <w:spacing w:val="-15"/>
        </w:rPr>
        <w:t> </w:t>
      </w:r>
      <w:r>
        <w:rPr/>
        <w:t>equations</w:t>
      </w:r>
      <w:r>
        <w:rPr>
          <w:spacing w:val="-14"/>
        </w:rPr>
        <w:t> </w:t>
      </w:r>
      <w:r>
        <w:rPr/>
        <w:t>were</w:t>
      </w:r>
      <w:r>
        <w:rPr>
          <w:spacing w:val="-15"/>
        </w:rPr>
        <w:t> </w:t>
      </w:r>
      <w:r>
        <w:rPr/>
        <w:t>based</w:t>
      </w:r>
      <w:r>
        <w:rPr>
          <w:spacing w:val="-15"/>
        </w:rPr>
        <w:t> </w:t>
      </w:r>
      <w:r>
        <w:rPr/>
        <w:t>on</w:t>
      </w:r>
      <w:r>
        <w:rPr>
          <w:spacing w:val="-15"/>
        </w:rPr>
        <w:t> </w:t>
      </w:r>
      <w:r>
        <w:rPr/>
        <w:t>testing</w:t>
      </w:r>
      <w:r>
        <w:rPr>
          <w:spacing w:val="-15"/>
        </w:rPr>
        <w:t> </w:t>
      </w:r>
      <w:r>
        <w:rPr/>
        <w:t>of</w:t>
      </w:r>
      <w:r>
        <w:rPr>
          <w:spacing w:val="-14"/>
        </w:rPr>
        <w:t> </w:t>
      </w:r>
      <w:r>
        <w:rPr/>
        <w:t>metallic,</w:t>
      </w:r>
      <w:r>
        <w:rPr>
          <w:spacing w:val="-58"/>
        </w:rPr>
        <w:t> </w:t>
      </w:r>
      <w:r>
        <w:rPr>
          <w:spacing w:val="-1"/>
        </w:rPr>
        <w:t>nonmetallic,</w:t>
      </w:r>
      <w:r>
        <w:rPr>
          <w:spacing w:val="-16"/>
        </w:rPr>
        <w:t> </w:t>
      </w:r>
      <w:r>
        <w:rPr>
          <w:spacing w:val="-1"/>
        </w:rPr>
        <w:t>and</w:t>
      </w:r>
      <w:r>
        <w:rPr>
          <w:spacing w:val="-15"/>
        </w:rPr>
        <w:t> </w:t>
      </w:r>
      <w:r>
        <w:rPr>
          <w:spacing w:val="-1"/>
        </w:rPr>
        <w:t>wood</w:t>
      </w:r>
      <w:r>
        <w:rPr>
          <w:spacing w:val="-16"/>
        </w:rPr>
        <w:t> </w:t>
      </w:r>
      <w:r>
        <w:rPr/>
        <w:t>targets</w:t>
      </w:r>
      <w:r>
        <w:rPr>
          <w:spacing w:val="-16"/>
        </w:rPr>
        <w:t> </w:t>
      </w:r>
      <w:r>
        <w:rPr/>
        <w:t>with</w:t>
      </w:r>
      <w:r>
        <w:rPr>
          <w:spacing w:val="-16"/>
        </w:rPr>
        <w:t> </w:t>
      </w:r>
      <w:r>
        <w:rPr/>
        <w:t>projectiles</w:t>
      </w:r>
      <w:r>
        <w:rPr>
          <w:spacing w:val="-16"/>
        </w:rPr>
        <w:t> </w:t>
      </w:r>
      <w:r>
        <w:rPr/>
        <w:t>intended</w:t>
      </w:r>
      <w:r>
        <w:rPr>
          <w:spacing w:val="-15"/>
        </w:rPr>
        <w:t> </w:t>
      </w:r>
      <w:r>
        <w:rPr/>
        <w:t>to</w:t>
      </w:r>
      <w:r>
        <w:rPr>
          <w:spacing w:val="-16"/>
        </w:rPr>
        <w:t> </w:t>
      </w:r>
      <w:r>
        <w:rPr/>
        <w:t>simulate</w:t>
      </w:r>
      <w:r>
        <w:rPr>
          <w:spacing w:val="-16"/>
        </w:rPr>
        <w:t> </w:t>
      </w:r>
      <w:r>
        <w:rPr/>
        <w:t>primary</w:t>
      </w:r>
      <w:r>
        <w:rPr>
          <w:spacing w:val="-15"/>
        </w:rPr>
        <w:t> </w:t>
      </w:r>
      <w:r>
        <w:rPr/>
        <w:t>fragments</w:t>
      </w:r>
      <w:r>
        <w:rPr>
          <w:spacing w:val="-15"/>
        </w:rPr>
        <w:t> </w:t>
      </w:r>
      <w:r>
        <w:rPr/>
        <w:t>[42].</w:t>
      </w:r>
      <w:r>
        <w:rPr>
          <w:spacing w:val="-57"/>
        </w:rPr>
        <w:t> </w:t>
      </w:r>
      <w:r>
        <w:rPr/>
        <w:t>Specifically, Equation 5.1 may originate from THOR Report Number 62, </w:t>
      </w:r>
      <w:r>
        <w:rPr>
          <w:i/>
        </w:rPr>
        <w:t>The Resistance</w:t>
      </w:r>
      <w:r>
        <w:rPr>
          <w:i/>
          <w:spacing w:val="1"/>
        </w:rPr>
        <w:t> </w:t>
      </w:r>
      <w:r>
        <w:rPr>
          <w:i/>
        </w:rPr>
        <w:t>of Various Woods to Perforation by Steel Fragments and Small Caliber Projectiles</w:t>
      </w:r>
      <w:r>
        <w:rPr/>
        <w:t>, a</w:t>
      </w:r>
      <w:r>
        <w:rPr>
          <w:spacing w:val="1"/>
        </w:rPr>
        <w:t> </w:t>
      </w:r>
      <w:r>
        <w:rPr/>
        <w:t>document categorized as unclassified, distribution C, “For Official Use Only” by DoD</w:t>
      </w:r>
      <w:r>
        <w:rPr>
          <w:spacing w:val="1"/>
        </w:rPr>
        <w:t> </w:t>
      </w:r>
      <w:r>
        <w:rPr/>
        <w:t>employees</w:t>
      </w:r>
      <w:r>
        <w:rPr>
          <w:spacing w:val="-12"/>
        </w:rPr>
        <w:t> </w:t>
      </w:r>
      <w:r>
        <w:rPr/>
        <w:t>and</w:t>
      </w:r>
      <w:r>
        <w:rPr>
          <w:spacing w:val="-12"/>
        </w:rPr>
        <w:t> </w:t>
      </w:r>
      <w:r>
        <w:rPr/>
        <w:t>contractors</w:t>
      </w:r>
      <w:r>
        <w:rPr>
          <w:spacing w:val="-12"/>
        </w:rPr>
        <w:t> </w:t>
      </w:r>
      <w:r>
        <w:rPr/>
        <w:t>[80].</w:t>
      </w:r>
      <w:r>
        <w:rPr>
          <w:spacing w:val="38"/>
        </w:rPr>
        <w:t> </w:t>
      </w:r>
      <w:r>
        <w:rPr/>
        <w:t>This</w:t>
      </w:r>
      <w:r>
        <w:rPr>
          <w:spacing w:val="-12"/>
        </w:rPr>
        <w:t> </w:t>
      </w:r>
      <w:r>
        <w:rPr/>
        <w:t>is</w:t>
      </w:r>
      <w:r>
        <w:rPr>
          <w:spacing w:val="-11"/>
        </w:rPr>
        <w:t> </w:t>
      </w:r>
      <w:r>
        <w:rPr/>
        <w:t>likely</w:t>
      </w:r>
      <w:r>
        <w:rPr>
          <w:spacing w:val="-12"/>
        </w:rPr>
        <w:t> </w:t>
      </w:r>
      <w:r>
        <w:rPr/>
        <w:t>due</w:t>
      </w:r>
      <w:r>
        <w:rPr>
          <w:spacing w:val="-13"/>
        </w:rPr>
        <w:t> </w:t>
      </w:r>
      <w:r>
        <w:rPr/>
        <w:t>to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inclusion</w:t>
      </w:r>
      <w:r>
        <w:rPr>
          <w:spacing w:val="-12"/>
        </w:rPr>
        <w:t> </w:t>
      </w:r>
      <w:r>
        <w:rPr/>
        <w:t>of</w:t>
      </w:r>
      <w:r>
        <w:rPr>
          <w:spacing w:val="-12"/>
        </w:rPr>
        <w:t> </w:t>
      </w:r>
      <w:r>
        <w:rPr/>
        <w:t>data</w:t>
      </w:r>
      <w:r>
        <w:rPr>
          <w:spacing w:val="-12"/>
        </w:rPr>
        <w:t> </w:t>
      </w:r>
      <w:r>
        <w:rPr/>
        <w:t>on</w:t>
      </w:r>
      <w:r>
        <w:rPr>
          <w:spacing w:val="-12"/>
        </w:rPr>
        <w:t> </w:t>
      </w:r>
      <w:r>
        <w:rPr/>
        <w:t>specific</w:t>
      </w:r>
      <w:r>
        <w:rPr>
          <w:spacing w:val="-11"/>
        </w:rPr>
        <w:t> </w:t>
      </w:r>
      <w:r>
        <w:rPr/>
        <w:t>small</w:t>
      </w:r>
      <w:r>
        <w:rPr>
          <w:spacing w:val="-58"/>
        </w:rPr>
        <w:t> </w:t>
      </w:r>
      <w:r>
        <w:rPr/>
        <w:t>arms</w:t>
      </w:r>
      <w:r>
        <w:rPr>
          <w:spacing w:val="-2"/>
        </w:rPr>
        <w:t> </w:t>
      </w:r>
      <w:r>
        <w:rPr/>
        <w:t>caliber</w:t>
      </w:r>
      <w:r>
        <w:rPr>
          <w:spacing w:val="-2"/>
        </w:rPr>
        <w:t> </w:t>
      </w:r>
      <w:r>
        <w:rPr/>
        <w:t>ammunitions,</w:t>
      </w:r>
      <w:r>
        <w:rPr>
          <w:spacing w:val="-2"/>
        </w:rPr>
        <w:t> </w:t>
      </w:r>
      <w:r>
        <w:rPr/>
        <w:t>which</w:t>
      </w:r>
      <w:r>
        <w:rPr>
          <w:spacing w:val="-1"/>
        </w:rPr>
        <w:t> </w:t>
      </w:r>
      <w:r>
        <w:rPr/>
        <w:t>highlights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sensitivity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data</w:t>
      </w:r>
      <w:r>
        <w:rPr>
          <w:spacing w:val="-2"/>
        </w:rPr>
        <w:t> </w:t>
      </w:r>
      <w:r>
        <w:rPr/>
        <w:t>for</w:t>
      </w:r>
      <w:r>
        <w:rPr>
          <w:spacing w:val="-1"/>
        </w:rPr>
        <w:t> </w:t>
      </w:r>
      <w:r>
        <w:rPr/>
        <w:t>military</w:t>
      </w:r>
      <w:r>
        <w:rPr>
          <w:spacing w:val="-2"/>
        </w:rPr>
        <w:t> </w:t>
      </w:r>
      <w:r>
        <w:rPr/>
        <w:t>munitions</w:t>
      </w:r>
      <w:r>
        <w:rPr>
          <w:i/>
        </w:rPr>
        <w:t>.</w:t>
      </w:r>
    </w:p>
    <w:p>
      <w:pPr>
        <w:pStyle w:val="Heading9"/>
        <w:numPr>
          <w:ilvl w:val="1"/>
          <w:numId w:val="21"/>
        </w:numPr>
        <w:tabs>
          <w:tab w:pos="800" w:val="left" w:leader="none"/>
        </w:tabs>
        <w:spacing w:line="240" w:lineRule="auto" w:before="162" w:after="0"/>
        <w:ind w:left="800" w:right="0" w:hanging="360"/>
        <w:jc w:val="both"/>
      </w:pPr>
      <w:bookmarkStart w:name="_TOC_250034" w:id="245"/>
      <w:bookmarkStart w:name="5.2 Ballistic Resistance Standards" w:id="246"/>
      <w:r>
        <w:rPr>
          <w:b w:val="0"/>
        </w:rPr>
      </w:r>
      <w:bookmarkEnd w:id="246"/>
      <w:bookmarkStart w:name="5.2 Ballistic Resistance Standards" w:id="247"/>
      <w:r>
        <w:rPr/>
        <w:t>B</w:t>
      </w:r>
      <w:r>
        <w:rPr/>
        <w:t>allistic</w:t>
      </w:r>
      <w:r>
        <w:rPr>
          <w:spacing w:val="-6"/>
        </w:rPr>
        <w:t> </w:t>
      </w:r>
      <w:r>
        <w:rPr/>
        <w:t>Resistance</w:t>
      </w:r>
      <w:r>
        <w:rPr>
          <w:spacing w:val="-6"/>
        </w:rPr>
        <w:t> </w:t>
      </w:r>
      <w:bookmarkEnd w:id="245"/>
      <w:r>
        <w:rPr/>
        <w:t>Standards</w:t>
      </w:r>
    </w:p>
    <w:p>
      <w:pPr>
        <w:pStyle w:val="BodyText"/>
        <w:spacing w:before="6"/>
        <w:rPr>
          <w:b/>
          <w:sz w:val="22"/>
        </w:rPr>
      </w:pPr>
    </w:p>
    <w:p>
      <w:pPr>
        <w:spacing w:before="0"/>
        <w:ind w:left="0" w:right="258" w:firstLine="0"/>
        <w:jc w:val="right"/>
        <w:rPr>
          <w:i/>
          <w:sz w:val="24"/>
        </w:rPr>
      </w:pPr>
      <w:r>
        <w:rPr>
          <w:sz w:val="24"/>
        </w:rPr>
        <w:t>As</w:t>
      </w:r>
      <w:r>
        <w:rPr>
          <w:spacing w:val="-5"/>
          <w:sz w:val="24"/>
        </w:rPr>
        <w:t> </w:t>
      </w:r>
      <w:r>
        <w:rPr>
          <w:sz w:val="24"/>
        </w:rPr>
        <w:t>mentioned</w:t>
      </w:r>
      <w:r>
        <w:rPr>
          <w:spacing w:val="-5"/>
          <w:sz w:val="24"/>
        </w:rPr>
        <w:t> </w:t>
      </w:r>
      <w:r>
        <w:rPr>
          <w:sz w:val="24"/>
        </w:rPr>
        <w:t>in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-6"/>
          <w:sz w:val="24"/>
        </w:rPr>
        <w:t> </w:t>
      </w:r>
      <w:r>
        <w:rPr>
          <w:i/>
          <w:sz w:val="24"/>
        </w:rPr>
        <w:t>UFC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4-023-07,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Design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Resist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Direct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Fire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Weapons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Effects,</w:t>
      </w:r>
    </w:p>
    <w:p>
      <w:pPr>
        <w:pStyle w:val="BodyText"/>
        <w:rPr>
          <w:i/>
        </w:rPr>
      </w:pPr>
    </w:p>
    <w:p>
      <w:pPr>
        <w:pStyle w:val="BodyText"/>
        <w:ind w:right="259"/>
        <w:jc w:val="right"/>
      </w:pPr>
      <w:r>
        <w:rPr/>
        <w:t>the</w:t>
      </w:r>
      <w:r>
        <w:rPr>
          <w:spacing w:val="-6"/>
        </w:rPr>
        <w:t> </w:t>
      </w:r>
      <w:r>
        <w:rPr/>
        <w:t>design</w:t>
      </w:r>
      <w:r>
        <w:rPr>
          <w:spacing w:val="-6"/>
        </w:rPr>
        <w:t> </w:t>
      </w:r>
      <w:r>
        <w:rPr/>
        <w:t>standards</w:t>
      </w:r>
      <w:r>
        <w:rPr>
          <w:spacing w:val="-6"/>
        </w:rPr>
        <w:t> </w:t>
      </w:r>
      <w:r>
        <w:rPr/>
        <w:t>are</w:t>
      </w:r>
      <w:r>
        <w:rPr>
          <w:spacing w:val="-7"/>
        </w:rPr>
        <w:t> </w:t>
      </w:r>
      <w:r>
        <w:rPr/>
        <w:t>based</w:t>
      </w:r>
      <w:r>
        <w:rPr>
          <w:spacing w:val="-5"/>
        </w:rPr>
        <w:t> </w:t>
      </w:r>
      <w:r>
        <w:rPr/>
        <w:t>on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UL</w:t>
      </w:r>
      <w:r>
        <w:rPr>
          <w:spacing w:val="-5"/>
        </w:rPr>
        <w:t> </w:t>
      </w:r>
      <w:r>
        <w:rPr/>
        <w:t>ballistic</w:t>
      </w:r>
      <w:r>
        <w:rPr>
          <w:spacing w:val="-6"/>
        </w:rPr>
        <w:t> </w:t>
      </w:r>
      <w:r>
        <w:rPr/>
        <w:t>standard.</w:t>
      </w:r>
      <w:r>
        <w:rPr>
          <w:spacing w:val="49"/>
        </w:rPr>
        <w:t> </w:t>
      </w:r>
      <w:r>
        <w:rPr/>
        <w:t>Common</w:t>
      </w:r>
      <w:r>
        <w:rPr>
          <w:spacing w:val="-5"/>
        </w:rPr>
        <w:t> </w:t>
      </w:r>
      <w:r>
        <w:rPr/>
        <w:t>references</w:t>
      </w:r>
      <w:r>
        <w:rPr>
          <w:spacing w:val="-6"/>
        </w:rPr>
        <w:t> </w:t>
      </w:r>
      <w:r>
        <w:rPr/>
        <w:t>for</w:t>
      </w:r>
      <w:r>
        <w:rPr>
          <w:spacing w:val="-5"/>
        </w:rPr>
        <w:t> </w:t>
      </w:r>
      <w:r>
        <w:rPr/>
        <w:t>bullet</w:t>
      </w:r>
    </w:p>
    <w:p>
      <w:pPr>
        <w:spacing w:after="0"/>
        <w:jc w:val="right"/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spacing w:line="480" w:lineRule="auto" w:before="78"/>
        <w:ind w:left="440" w:right="257"/>
        <w:jc w:val="both"/>
      </w:pPr>
      <w:r>
        <w:rPr/>
        <w:t>resistance include the UL Standard 752, </w:t>
      </w:r>
      <w:r>
        <w:rPr>
          <w:i/>
        </w:rPr>
        <w:t>Standard for Safety, Bullet-Resisting Equipment</w:t>
      </w:r>
      <w:r>
        <w:rPr>
          <w:i/>
          <w:spacing w:val="1"/>
        </w:rPr>
        <w:t> </w:t>
      </w:r>
      <w:r>
        <w:rPr/>
        <w:t>(UL752)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National</w:t>
      </w:r>
      <w:r>
        <w:rPr>
          <w:spacing w:val="1"/>
        </w:rPr>
        <w:t> </w:t>
      </w:r>
      <w:r>
        <w:rPr/>
        <w:t>Institute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Justice</w:t>
      </w:r>
      <w:r>
        <w:rPr>
          <w:spacing w:val="1"/>
        </w:rPr>
        <w:t> </w:t>
      </w:r>
      <w:r>
        <w:rPr/>
        <w:t>Standard</w:t>
      </w:r>
      <w:r>
        <w:rPr>
          <w:spacing w:val="1"/>
        </w:rPr>
        <w:t> </w:t>
      </w:r>
      <w:r>
        <w:rPr/>
        <w:t>0108.01,</w:t>
      </w:r>
      <w:r>
        <w:rPr>
          <w:spacing w:val="1"/>
        </w:rPr>
        <w:t> </w:t>
      </w:r>
      <w:r>
        <w:rPr>
          <w:i/>
        </w:rPr>
        <w:t>Ballistic</w:t>
      </w:r>
      <w:r>
        <w:rPr>
          <w:i/>
          <w:spacing w:val="1"/>
        </w:rPr>
        <w:t> </w:t>
      </w:r>
      <w:r>
        <w:rPr>
          <w:i/>
        </w:rPr>
        <w:t>Resistant</w:t>
      </w:r>
      <w:r>
        <w:rPr>
          <w:i/>
          <w:spacing w:val="1"/>
        </w:rPr>
        <w:t> </w:t>
      </w:r>
      <w:r>
        <w:rPr>
          <w:i/>
        </w:rPr>
        <w:t>Protective</w:t>
      </w:r>
      <w:r>
        <w:rPr>
          <w:i/>
          <w:spacing w:val="-5"/>
        </w:rPr>
        <w:t> </w:t>
      </w:r>
      <w:r>
        <w:rPr>
          <w:i/>
        </w:rPr>
        <w:t>Materials</w:t>
      </w:r>
      <w:r>
        <w:rPr>
          <w:i/>
          <w:spacing w:val="-3"/>
        </w:rPr>
        <w:t> </w:t>
      </w:r>
      <w:r>
        <w:rPr/>
        <w:t>(NIJ</w:t>
      </w:r>
      <w:r>
        <w:rPr>
          <w:spacing w:val="-2"/>
        </w:rPr>
        <w:t> </w:t>
      </w:r>
      <w:r>
        <w:rPr/>
        <w:t>0108.01).</w:t>
      </w:r>
      <w:r>
        <w:rPr>
          <w:spacing w:val="57"/>
        </w:rPr>
        <w:t> </w:t>
      </w:r>
      <w:r>
        <w:rPr/>
        <w:t>UL752</w:t>
      </w:r>
      <w:r>
        <w:rPr>
          <w:spacing w:val="-2"/>
        </w:rPr>
        <w:t> </w:t>
      </w:r>
      <w:r>
        <w:rPr/>
        <w:t>includes</w:t>
      </w:r>
      <w:r>
        <w:rPr>
          <w:spacing w:val="-2"/>
        </w:rPr>
        <w:t> </w:t>
      </w:r>
      <w:r>
        <w:rPr/>
        <w:t>materials,</w:t>
      </w:r>
      <w:r>
        <w:rPr>
          <w:spacing w:val="-4"/>
        </w:rPr>
        <w:t> </w:t>
      </w:r>
      <w:r>
        <w:rPr/>
        <w:t>devices,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fixtures</w:t>
      </w:r>
      <w:r>
        <w:rPr>
          <w:spacing w:val="-2"/>
        </w:rPr>
        <w:t> </w:t>
      </w:r>
      <w:r>
        <w:rPr/>
        <w:t>used</w:t>
      </w:r>
      <w:r>
        <w:rPr>
          <w:spacing w:val="-58"/>
        </w:rPr>
        <w:t> </w:t>
      </w:r>
      <w:r>
        <w:rPr/>
        <w:t>in forming a bullet-resisting barrier with the intent of protecting against robbery, holdup,</w:t>
      </w:r>
      <w:r>
        <w:rPr>
          <w:spacing w:val="1"/>
        </w:rPr>
        <w:t> </w:t>
      </w:r>
      <w:r>
        <w:rPr/>
        <w:t>or armed attack.</w:t>
      </w:r>
      <w:r>
        <w:rPr>
          <w:spacing w:val="1"/>
        </w:rPr>
        <w:t> </w:t>
      </w:r>
      <w:r>
        <w:rPr/>
        <w:t>According to the reference, it may also be used to determine the bullet</w:t>
      </w:r>
      <w:r>
        <w:rPr>
          <w:spacing w:val="1"/>
        </w:rPr>
        <w:t> </w:t>
      </w:r>
      <w:r>
        <w:rPr/>
        <w:t>resistance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building</w:t>
      </w:r>
      <w:r>
        <w:rPr>
          <w:spacing w:val="-3"/>
        </w:rPr>
        <w:t> </w:t>
      </w:r>
      <w:r>
        <w:rPr/>
        <w:t>components</w:t>
      </w:r>
      <w:r>
        <w:rPr>
          <w:spacing w:val="-1"/>
        </w:rPr>
        <w:t> </w:t>
      </w:r>
      <w:r>
        <w:rPr/>
        <w:t>such</w:t>
      </w:r>
      <w:r>
        <w:rPr>
          <w:spacing w:val="-1"/>
        </w:rPr>
        <w:t> </w:t>
      </w:r>
      <w:r>
        <w:rPr/>
        <w:t>as</w:t>
      </w:r>
      <w:r>
        <w:rPr>
          <w:spacing w:val="-2"/>
        </w:rPr>
        <w:t> </w:t>
      </w:r>
      <w:r>
        <w:rPr/>
        <w:t>windows,</w:t>
      </w:r>
      <w:r>
        <w:rPr>
          <w:spacing w:val="-1"/>
        </w:rPr>
        <w:t> </w:t>
      </w:r>
      <w:r>
        <w:rPr/>
        <w:t>walls,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other</w:t>
      </w:r>
      <w:r>
        <w:rPr>
          <w:spacing w:val="-1"/>
        </w:rPr>
        <w:t> </w:t>
      </w:r>
      <w:r>
        <w:rPr/>
        <w:t>barrier</w:t>
      </w:r>
      <w:r>
        <w:rPr>
          <w:spacing w:val="-3"/>
        </w:rPr>
        <w:t> </w:t>
      </w:r>
      <w:r>
        <w:rPr/>
        <w:t>components.</w:t>
      </w:r>
    </w:p>
    <w:p>
      <w:pPr>
        <w:pStyle w:val="BodyText"/>
        <w:spacing w:line="480" w:lineRule="auto" w:before="160"/>
        <w:ind w:left="439" w:right="256" w:firstLine="720"/>
        <w:jc w:val="both"/>
      </w:pPr>
      <w:r>
        <w:rPr/>
        <w:t>Test specifications for UL752 standards are very specific in terms of test samples</w:t>
      </w:r>
      <w:r>
        <w:rPr>
          <w:spacing w:val="1"/>
        </w:rPr>
        <w:t> </w:t>
      </w:r>
      <w:r>
        <w:rPr/>
        <w:t>and test equipment. The rating levels classified by UL752 can be found in </w:t>
      </w:r>
      <w:hyperlink w:history="true" w:anchor="_bookmark51">
        <w:r>
          <w:rPr/>
          <w:t>Table 5-2 </w:t>
        </w:r>
      </w:hyperlink>
      <w:r>
        <w:rPr/>
        <w:t>[13].</w:t>
      </w:r>
      <w:r>
        <w:rPr>
          <w:spacing w:val="-57"/>
        </w:rPr>
        <w:t> </w:t>
      </w:r>
      <w:r>
        <w:rPr/>
        <w:t>Without a laboratory designed specifically for the tests, it is difficult to achieve the exact</w:t>
      </w:r>
      <w:r>
        <w:rPr>
          <w:spacing w:val="1"/>
        </w:rPr>
        <w:t> </w:t>
      </w:r>
      <w:r>
        <w:rPr/>
        <w:t>standards, which include temperatures and shot patterns.</w:t>
      </w:r>
      <w:r>
        <w:rPr>
          <w:spacing w:val="1"/>
        </w:rPr>
        <w:t> </w:t>
      </w:r>
      <w:r>
        <w:rPr/>
        <w:t>The experimental testing in this</w:t>
      </w:r>
      <w:r>
        <w:rPr>
          <w:spacing w:val="1"/>
        </w:rPr>
        <w:t> </w:t>
      </w:r>
      <w:r>
        <w:rPr/>
        <w:t>research</w:t>
      </w:r>
      <w:r>
        <w:rPr>
          <w:spacing w:val="-10"/>
        </w:rPr>
        <w:t> </w:t>
      </w:r>
      <w:r>
        <w:rPr/>
        <w:t>was</w:t>
      </w:r>
      <w:r>
        <w:rPr>
          <w:spacing w:val="-10"/>
        </w:rPr>
        <w:t> </w:t>
      </w:r>
      <w:r>
        <w:rPr/>
        <w:t>not</w:t>
      </w:r>
      <w:r>
        <w:rPr>
          <w:spacing w:val="-8"/>
        </w:rPr>
        <w:t> </w:t>
      </w:r>
      <w:r>
        <w:rPr/>
        <w:t>intended</w:t>
      </w:r>
      <w:r>
        <w:rPr>
          <w:spacing w:val="-10"/>
        </w:rPr>
        <w:t> </w:t>
      </w:r>
      <w:r>
        <w:rPr/>
        <w:t>to</w:t>
      </w:r>
      <w:r>
        <w:rPr>
          <w:spacing w:val="-9"/>
        </w:rPr>
        <w:t> </w:t>
      </w:r>
      <w:r>
        <w:rPr/>
        <w:t>meet</w:t>
      </w:r>
      <w:r>
        <w:rPr>
          <w:spacing w:val="-8"/>
        </w:rPr>
        <w:t> </w:t>
      </w:r>
      <w:r>
        <w:rPr/>
        <w:t>all</w:t>
      </w:r>
      <w:r>
        <w:rPr>
          <w:spacing w:val="-10"/>
        </w:rPr>
        <w:t> </w:t>
      </w:r>
      <w:r>
        <w:rPr/>
        <w:t>the</w:t>
      </w:r>
      <w:r>
        <w:rPr>
          <w:spacing w:val="-8"/>
        </w:rPr>
        <w:t> </w:t>
      </w:r>
      <w:r>
        <w:rPr/>
        <w:t>specifications</w:t>
      </w:r>
      <w:r>
        <w:rPr>
          <w:spacing w:val="-8"/>
        </w:rPr>
        <w:t> </w:t>
      </w:r>
      <w:r>
        <w:rPr/>
        <w:t>for</w:t>
      </w:r>
      <w:r>
        <w:rPr>
          <w:spacing w:val="-9"/>
        </w:rPr>
        <w:t> </w:t>
      </w:r>
      <w:r>
        <w:rPr/>
        <w:t>UL-level</w:t>
      </w:r>
      <w:r>
        <w:rPr>
          <w:spacing w:val="-8"/>
        </w:rPr>
        <w:t> </w:t>
      </w:r>
      <w:r>
        <w:rPr/>
        <w:t>testing.</w:t>
      </w:r>
      <w:r>
        <w:rPr>
          <w:spacing w:val="43"/>
        </w:rPr>
        <w:t> </w:t>
      </w:r>
      <w:r>
        <w:rPr/>
        <w:t>Rather,</w:t>
      </w:r>
      <w:r>
        <w:rPr>
          <w:spacing w:val="-11"/>
        </w:rPr>
        <w:t> </w:t>
      </w:r>
      <w:r>
        <w:rPr/>
        <w:t>as</w:t>
      </w:r>
      <w:r>
        <w:rPr>
          <w:spacing w:val="-8"/>
        </w:rPr>
        <w:t> </w:t>
      </w:r>
      <w:r>
        <w:rPr/>
        <w:t>the</w:t>
      </w:r>
      <w:r>
        <w:rPr>
          <w:spacing w:val="-58"/>
        </w:rPr>
        <w:t> </w:t>
      </w:r>
      <w:r>
        <w:rPr/>
        <w:t>first experimental tests examining the ballistic performance of CLT, the intent was to</w:t>
      </w:r>
      <w:r>
        <w:rPr>
          <w:spacing w:val="1"/>
        </w:rPr>
        <w:t> </w:t>
      </w:r>
      <w:r>
        <w:rPr/>
        <w:t>characterize</w:t>
      </w:r>
      <w:r>
        <w:rPr>
          <w:spacing w:val="-11"/>
        </w:rPr>
        <w:t> </w:t>
      </w:r>
      <w:r>
        <w:rPr/>
        <w:t>material</w:t>
      </w:r>
      <w:r>
        <w:rPr>
          <w:spacing w:val="-8"/>
        </w:rPr>
        <w:t> </w:t>
      </w:r>
      <w:r>
        <w:rPr/>
        <w:t>performance</w:t>
      </w:r>
      <w:r>
        <w:rPr>
          <w:spacing w:val="-8"/>
        </w:rPr>
        <w:t> </w:t>
      </w:r>
      <w:r>
        <w:rPr/>
        <w:t>in</w:t>
      </w:r>
      <w:r>
        <w:rPr>
          <w:spacing w:val="-8"/>
        </w:rPr>
        <w:t> </w:t>
      </w:r>
      <w:r>
        <w:rPr/>
        <w:t>terms</w:t>
      </w:r>
      <w:r>
        <w:rPr>
          <w:spacing w:val="-7"/>
        </w:rPr>
        <w:t> </w:t>
      </w:r>
      <w:r>
        <w:rPr/>
        <w:t>of</w:t>
      </w:r>
      <w:r>
        <w:rPr>
          <w:spacing w:val="-9"/>
        </w:rPr>
        <w:t> </w:t>
      </w:r>
      <w:r>
        <w:rPr/>
        <w:t>failure</w:t>
      </w:r>
      <w:r>
        <w:rPr>
          <w:spacing w:val="-8"/>
        </w:rPr>
        <w:t> </w:t>
      </w:r>
      <w:r>
        <w:rPr/>
        <w:t>modes</w:t>
      </w:r>
      <w:r>
        <w:rPr>
          <w:spacing w:val="-8"/>
        </w:rPr>
        <w:t> </w:t>
      </w:r>
      <w:r>
        <w:rPr/>
        <w:t>and</w:t>
      </w:r>
      <w:r>
        <w:rPr>
          <w:spacing w:val="-7"/>
        </w:rPr>
        <w:t> </w:t>
      </w:r>
      <w:r>
        <w:rPr/>
        <w:t>mechanisms</w:t>
      </w:r>
      <w:r>
        <w:rPr>
          <w:spacing w:val="-8"/>
        </w:rPr>
        <w:t> </w:t>
      </w:r>
      <w:r>
        <w:rPr/>
        <w:t>(discussed</w:t>
      </w:r>
      <w:r>
        <w:rPr>
          <w:spacing w:val="-8"/>
        </w:rPr>
        <w:t> </w:t>
      </w:r>
      <w:r>
        <w:rPr/>
        <w:t>in</w:t>
      </w:r>
      <w:r>
        <w:rPr>
          <w:spacing w:val="-58"/>
        </w:rPr>
        <w:t> </w:t>
      </w:r>
      <w:r>
        <w:rPr/>
        <w:t>Chapter 6) for the development of initial empirical models for CLT ballistic penetration</w:t>
      </w:r>
      <w:r>
        <w:rPr>
          <w:spacing w:val="1"/>
        </w:rPr>
        <w:t> </w:t>
      </w:r>
      <w:r>
        <w:rPr/>
        <w:t>performance.</w:t>
      </w:r>
    </w:p>
    <w:p>
      <w:pPr>
        <w:pStyle w:val="BodyText"/>
        <w:spacing w:line="480" w:lineRule="auto" w:before="160"/>
        <w:ind w:left="439" w:right="257" w:firstLine="720"/>
        <w:jc w:val="both"/>
      </w:pPr>
      <w:r>
        <w:rPr/>
        <w:t>NIJ 0108.01 is a standard for the performance requirements and testing methods</w:t>
      </w:r>
      <w:r>
        <w:rPr>
          <w:spacing w:val="1"/>
        </w:rPr>
        <w:t> </w:t>
      </w:r>
      <w:r>
        <w:rPr/>
        <w:t>for characterizing ballistic resistant protective materials or armor intended to protect</w:t>
      </w:r>
      <w:r>
        <w:rPr>
          <w:spacing w:val="1"/>
        </w:rPr>
        <w:t> </w:t>
      </w:r>
      <w:r>
        <w:rPr/>
        <w:t>against gunfire.</w:t>
      </w:r>
      <w:r>
        <w:rPr>
          <w:spacing w:val="1"/>
        </w:rPr>
        <w:t> </w:t>
      </w:r>
      <w:r>
        <w:rPr/>
        <w:t>This excludes police body armor and ballistic helmets, which have</w:t>
      </w:r>
      <w:r>
        <w:rPr>
          <w:spacing w:val="1"/>
        </w:rPr>
        <w:t> </w:t>
      </w:r>
      <w:r>
        <w:rPr/>
        <w:t>separate specified performance standards.</w:t>
      </w:r>
      <w:r>
        <w:rPr>
          <w:spacing w:val="1"/>
        </w:rPr>
        <w:t> </w:t>
      </w:r>
      <w:r>
        <w:rPr/>
        <w:t>Protective materials include portable ballistic</w:t>
      </w:r>
      <w:r>
        <w:rPr>
          <w:spacing w:val="1"/>
        </w:rPr>
        <w:t> </w:t>
      </w:r>
      <w:r>
        <w:rPr>
          <w:spacing w:val="-1"/>
        </w:rPr>
        <w:t>shields,</w:t>
      </w:r>
      <w:r>
        <w:rPr>
          <w:spacing w:val="-16"/>
        </w:rPr>
        <w:t> </w:t>
      </w:r>
      <w:r>
        <w:rPr>
          <w:spacing w:val="-1"/>
        </w:rPr>
        <w:t>ballistic</w:t>
      </w:r>
      <w:r>
        <w:rPr>
          <w:spacing w:val="-16"/>
        </w:rPr>
        <w:t> </w:t>
      </w:r>
      <w:r>
        <w:rPr>
          <w:spacing w:val="-1"/>
        </w:rPr>
        <w:t>protection</w:t>
      </w:r>
      <w:r>
        <w:rPr>
          <w:spacing w:val="-14"/>
        </w:rPr>
        <w:t> </w:t>
      </w:r>
      <w:r>
        <w:rPr/>
        <w:t>in</w:t>
      </w:r>
      <w:r>
        <w:rPr>
          <w:spacing w:val="-15"/>
        </w:rPr>
        <w:t> </w:t>
      </w:r>
      <w:r>
        <w:rPr/>
        <w:t>fixed</w:t>
      </w:r>
      <w:r>
        <w:rPr>
          <w:spacing w:val="-16"/>
        </w:rPr>
        <w:t> </w:t>
      </w:r>
      <w:r>
        <w:rPr/>
        <w:t>structures,</w:t>
      </w:r>
      <w:r>
        <w:rPr>
          <w:spacing w:val="-14"/>
        </w:rPr>
        <w:t> </w:t>
      </w:r>
      <w:r>
        <w:rPr/>
        <w:t>or</w:t>
      </w:r>
      <w:r>
        <w:rPr>
          <w:spacing w:val="-16"/>
        </w:rPr>
        <w:t> </w:t>
      </w:r>
      <w:r>
        <w:rPr/>
        <w:t>vehicles</w:t>
      </w:r>
      <w:r>
        <w:rPr>
          <w:spacing w:val="-14"/>
        </w:rPr>
        <w:t> </w:t>
      </w:r>
      <w:r>
        <w:rPr/>
        <w:t>fabricated</w:t>
      </w:r>
      <w:r>
        <w:rPr>
          <w:spacing w:val="-15"/>
        </w:rPr>
        <w:t> </w:t>
      </w:r>
      <w:r>
        <w:rPr/>
        <w:t>from</w:t>
      </w:r>
      <w:r>
        <w:rPr>
          <w:spacing w:val="-17"/>
        </w:rPr>
        <w:t> </w:t>
      </w:r>
      <w:r>
        <w:rPr/>
        <w:t>metals,</w:t>
      </w:r>
      <w:r>
        <w:rPr>
          <w:spacing w:val="-14"/>
        </w:rPr>
        <w:t> </w:t>
      </w:r>
      <w:r>
        <w:rPr/>
        <w:t>ceramics,</w:t>
      </w:r>
      <w:r>
        <w:rPr>
          <w:spacing w:val="-58"/>
        </w:rPr>
        <w:t> </w:t>
      </w:r>
      <w:r>
        <w:rPr/>
        <w:t>transparent glazing, fabric, and fabric-reinforced plastics.</w:t>
      </w:r>
      <w:r>
        <w:rPr>
          <w:spacing w:val="1"/>
        </w:rPr>
        <w:t> </w:t>
      </w:r>
      <w:r>
        <w:rPr/>
        <w:t>The standards for levels of</w:t>
      </w:r>
      <w:r>
        <w:rPr>
          <w:spacing w:val="1"/>
        </w:rPr>
        <w:t> </w:t>
      </w:r>
      <w:r>
        <w:rPr/>
        <w:t>performance</w:t>
      </w:r>
      <w:r>
        <w:rPr>
          <w:spacing w:val="-1"/>
        </w:rPr>
        <w:t> </w:t>
      </w:r>
      <w:r>
        <w:rPr/>
        <w:t>according to NIJ 0108.01</w:t>
      </w:r>
      <w:r>
        <w:rPr>
          <w:spacing w:val="-1"/>
        </w:rPr>
        <w:t> </w:t>
      </w:r>
      <w:r>
        <w:rPr/>
        <w:t>can be found in</w:t>
      </w:r>
      <w:r>
        <w:rPr>
          <w:spacing w:val="-1"/>
        </w:rPr>
        <w:t> </w:t>
      </w:r>
      <w:hyperlink w:history="true" w:anchor="_bookmark52">
        <w:r>
          <w:rPr/>
          <w:t>Table</w:t>
        </w:r>
        <w:r>
          <w:rPr>
            <w:spacing w:val="-1"/>
          </w:rPr>
          <w:t> </w:t>
        </w:r>
        <w:r>
          <w:rPr/>
          <w:t>5-3</w:t>
        </w:r>
      </w:hyperlink>
      <w:r>
        <w:rPr/>
        <w:t> [3].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180"/>
        </w:sectPr>
      </w:pPr>
    </w:p>
    <w:p>
      <w:pPr>
        <w:spacing w:before="79"/>
        <w:ind w:left="440" w:right="0" w:firstLine="0"/>
        <w:jc w:val="left"/>
        <w:rPr>
          <w:i/>
          <w:sz w:val="24"/>
        </w:rPr>
      </w:pPr>
      <w:bookmarkStart w:name="_bookmark51" w:id="248"/>
      <w:bookmarkEnd w:id="248"/>
      <w:r>
        <w:rPr/>
      </w:r>
      <w:r>
        <w:rPr>
          <w:i/>
          <w:sz w:val="24"/>
        </w:rPr>
        <w:t>Table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5-2.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From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UL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752,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Table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3.1,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rating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levels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ammunition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specifications.</w:t>
      </w:r>
    </w:p>
    <w:p>
      <w:pPr>
        <w:pStyle w:val="BodyText"/>
        <w:spacing w:before="5" w:after="1"/>
        <w:rPr>
          <w:i/>
          <w:sz w:val="17"/>
        </w:rPr>
      </w:pPr>
    </w:p>
    <w:tbl>
      <w:tblPr>
        <w:tblW w:w="0" w:type="auto"/>
        <w:jc w:val="left"/>
        <w:tblInd w:w="4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70"/>
        <w:gridCol w:w="2070"/>
        <w:gridCol w:w="1648"/>
        <w:gridCol w:w="810"/>
        <w:gridCol w:w="810"/>
        <w:gridCol w:w="739"/>
        <w:gridCol w:w="611"/>
        <w:gridCol w:w="962"/>
      </w:tblGrid>
      <w:tr>
        <w:trPr>
          <w:trHeight w:val="547" w:hRule="atLeast"/>
        </w:trPr>
        <w:tc>
          <w:tcPr>
            <w:tcW w:w="1070" w:type="dxa"/>
            <w:vMerge w:val="restart"/>
            <w:tcBorders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before="7"/>
              <w:rPr>
                <w:i/>
                <w:sz w:val="25"/>
              </w:rPr>
            </w:pPr>
          </w:p>
          <w:p>
            <w:pPr>
              <w:pStyle w:val="TableParagraph"/>
              <w:ind w:left="240"/>
              <w:rPr>
                <w:sz w:val="22"/>
              </w:rPr>
            </w:pPr>
            <w:r>
              <w:rPr>
                <w:sz w:val="22"/>
              </w:rPr>
              <w:t>Rating</w:t>
            </w:r>
          </w:p>
        </w:tc>
        <w:tc>
          <w:tcPr>
            <w:tcW w:w="2070" w:type="dxa"/>
            <w:vMerge w:val="restart"/>
            <w:tcBorders>
              <w:lef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before="7"/>
              <w:rPr>
                <w:i/>
                <w:sz w:val="25"/>
              </w:rPr>
            </w:pPr>
          </w:p>
          <w:p>
            <w:pPr>
              <w:pStyle w:val="TableParagraph"/>
              <w:ind w:left="468"/>
              <w:rPr>
                <w:sz w:val="22"/>
              </w:rPr>
            </w:pPr>
            <w:r>
              <w:rPr>
                <w:sz w:val="22"/>
              </w:rPr>
              <w:t>Ammunition</w:t>
            </w:r>
          </w:p>
        </w:tc>
        <w:tc>
          <w:tcPr>
            <w:tcW w:w="1648" w:type="dxa"/>
            <w:vMerge w:val="restart"/>
            <w:shd w:val="clear" w:color="auto" w:fill="C0C0C0"/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ind w:left="129"/>
              <w:rPr>
                <w:sz w:val="22"/>
              </w:rPr>
            </w:pPr>
            <w:r>
              <w:rPr>
                <w:sz w:val="22"/>
              </w:rPr>
              <w:t>Protection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from</w:t>
            </w:r>
          </w:p>
        </w:tc>
        <w:tc>
          <w:tcPr>
            <w:tcW w:w="810" w:type="dxa"/>
            <w:vMerge w:val="restart"/>
            <w:tcBorders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before="7"/>
              <w:rPr>
                <w:i/>
                <w:sz w:val="25"/>
              </w:rPr>
            </w:pPr>
          </w:p>
          <w:p>
            <w:pPr>
              <w:pStyle w:val="TableParagraph"/>
              <w:ind w:left="111"/>
              <w:rPr>
                <w:sz w:val="22"/>
              </w:rPr>
            </w:pPr>
            <w:r>
              <w:rPr>
                <w:sz w:val="22"/>
              </w:rPr>
              <w:t>Grains</w:t>
            </w:r>
          </w:p>
        </w:tc>
        <w:tc>
          <w:tcPr>
            <w:tcW w:w="810" w:type="dxa"/>
            <w:vMerge w:val="restart"/>
            <w:tcBorders>
              <w:left w:val="single" w:sz="8" w:space="0" w:color="000000"/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before="7"/>
              <w:rPr>
                <w:i/>
                <w:sz w:val="25"/>
              </w:rPr>
            </w:pPr>
          </w:p>
          <w:p>
            <w:pPr>
              <w:pStyle w:val="TableParagraph"/>
              <w:ind w:left="106"/>
              <w:rPr>
                <w:sz w:val="22"/>
              </w:rPr>
            </w:pPr>
            <w:r>
              <w:rPr>
                <w:sz w:val="22"/>
              </w:rPr>
              <w:t>Grams</w:t>
            </w:r>
          </w:p>
        </w:tc>
        <w:tc>
          <w:tcPr>
            <w:tcW w:w="1350" w:type="dxa"/>
            <w:gridSpan w:val="2"/>
            <w:tcBorders>
              <w:left w:val="single" w:sz="8" w:space="0" w:color="000000"/>
              <w:bottom w:val="nil"/>
            </w:tcBorders>
            <w:shd w:val="clear" w:color="auto" w:fill="C0C0C0"/>
          </w:tcPr>
          <w:p>
            <w:pPr>
              <w:pStyle w:val="TableParagraph"/>
              <w:ind w:left="315" w:right="205" w:hanging="86"/>
              <w:rPr>
                <w:sz w:val="22"/>
              </w:rPr>
            </w:pPr>
            <w:r>
              <w:rPr>
                <w:sz w:val="22"/>
              </w:rPr>
              <w:t>Minimum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velocity</w:t>
            </w:r>
          </w:p>
        </w:tc>
        <w:tc>
          <w:tcPr>
            <w:tcW w:w="962" w:type="dxa"/>
            <w:vMerge w:val="restart"/>
            <w:shd w:val="clear" w:color="auto" w:fill="C0C0C0"/>
          </w:tcPr>
          <w:p>
            <w:pPr>
              <w:pStyle w:val="TableParagraph"/>
              <w:ind w:left="135" w:right="97" w:hanging="15"/>
              <w:rPr>
                <w:sz w:val="22"/>
              </w:rPr>
            </w:pPr>
            <w:r>
              <w:rPr>
                <w:spacing w:val="-1"/>
                <w:sz w:val="22"/>
              </w:rPr>
              <w:t>Number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shots</w:t>
            </w:r>
          </w:p>
        </w:tc>
      </w:tr>
      <w:tr>
        <w:trPr>
          <w:trHeight w:val="287" w:hRule="atLeast"/>
        </w:trPr>
        <w:tc>
          <w:tcPr>
            <w:tcW w:w="1070" w:type="dxa"/>
            <w:vMerge/>
            <w:tcBorders>
              <w:top w:val="nil"/>
              <w:right w:val="single" w:sz="8" w:space="0" w:color="000000"/>
            </w:tcBorders>
            <w:shd w:val="clear" w:color="auto" w:fill="C0C0C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070" w:type="dxa"/>
            <w:vMerge/>
            <w:tcBorders>
              <w:top w:val="nil"/>
              <w:left w:val="single" w:sz="8" w:space="0" w:color="000000"/>
            </w:tcBorders>
            <w:shd w:val="clear" w:color="auto" w:fill="C0C0C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48" w:type="dxa"/>
            <w:vMerge/>
            <w:tcBorders>
              <w:top w:val="nil"/>
            </w:tcBorders>
            <w:shd w:val="clear" w:color="auto" w:fill="C0C0C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0" w:type="dxa"/>
            <w:vMerge/>
            <w:tcBorders>
              <w:top w:val="nil"/>
              <w:right w:val="single" w:sz="8" w:space="0" w:color="000000"/>
            </w:tcBorders>
            <w:shd w:val="clear" w:color="auto" w:fill="C0C0C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0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  <w:shd w:val="clear" w:color="auto" w:fill="C0C0C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39" w:type="dxa"/>
            <w:tcBorders>
              <w:top w:val="nil"/>
              <w:left w:val="single" w:sz="8" w:space="0" w:color="000000"/>
              <w:right w:val="nil"/>
            </w:tcBorders>
            <w:shd w:val="clear" w:color="auto" w:fill="C0C0C0"/>
          </w:tcPr>
          <w:p>
            <w:pPr>
              <w:pStyle w:val="TableParagraph"/>
              <w:spacing w:line="234" w:lineRule="exact" w:before="33"/>
              <w:ind w:left="88" w:right="105"/>
              <w:jc w:val="center"/>
              <w:rPr>
                <w:sz w:val="22"/>
              </w:rPr>
            </w:pPr>
            <w:r>
              <w:rPr>
                <w:sz w:val="22"/>
              </w:rPr>
              <w:t>fps</w:t>
            </w:r>
          </w:p>
        </w:tc>
        <w:tc>
          <w:tcPr>
            <w:tcW w:w="611" w:type="dxa"/>
            <w:tcBorders>
              <w:top w:val="nil"/>
              <w:left w:val="nil"/>
            </w:tcBorders>
            <w:shd w:val="clear" w:color="auto" w:fill="C0C0C0"/>
          </w:tcPr>
          <w:p>
            <w:pPr>
              <w:pStyle w:val="TableParagraph"/>
              <w:spacing w:line="234" w:lineRule="exact" w:before="33"/>
              <w:ind w:left="122" w:right="125"/>
              <w:jc w:val="center"/>
              <w:rPr>
                <w:sz w:val="22"/>
              </w:rPr>
            </w:pPr>
            <w:r>
              <w:rPr>
                <w:sz w:val="22"/>
              </w:rPr>
              <w:t>m/s</w:t>
            </w:r>
          </w:p>
        </w:tc>
        <w:tc>
          <w:tcPr>
            <w:tcW w:w="962" w:type="dxa"/>
            <w:vMerge/>
            <w:tcBorders>
              <w:top w:val="nil"/>
            </w:tcBorders>
            <w:shd w:val="clear" w:color="auto" w:fill="C0C0C0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05" w:hRule="atLeast"/>
        </w:trPr>
        <w:tc>
          <w:tcPr>
            <w:tcW w:w="1070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before="125"/>
              <w:ind w:left="126" w:right="113"/>
              <w:jc w:val="center"/>
              <w:rPr>
                <w:sz w:val="22"/>
              </w:rPr>
            </w:pPr>
            <w:r>
              <w:rPr>
                <w:sz w:val="22"/>
              </w:rPr>
              <w:t>Level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1</w:t>
            </w:r>
          </w:p>
        </w:tc>
        <w:tc>
          <w:tcPr>
            <w:tcW w:w="2070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254" w:lineRule="exact"/>
              <w:ind w:left="103" w:right="114"/>
              <w:rPr>
                <w:sz w:val="22"/>
              </w:rPr>
            </w:pPr>
            <w:r>
              <w:rPr>
                <w:sz w:val="22"/>
              </w:rPr>
              <w:t>9-mm full metal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jacket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with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lead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core</w:t>
            </w:r>
          </w:p>
        </w:tc>
        <w:tc>
          <w:tcPr>
            <w:tcW w:w="1648" w:type="dxa"/>
          </w:tcPr>
          <w:p>
            <w:pPr>
              <w:pStyle w:val="TableParagraph"/>
              <w:spacing w:line="254" w:lineRule="exact"/>
              <w:ind w:left="108" w:right="515"/>
              <w:rPr>
                <w:sz w:val="22"/>
              </w:rPr>
            </w:pPr>
            <w:r>
              <w:rPr>
                <w:sz w:val="22"/>
              </w:rPr>
              <w:t>Med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power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hand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guns</w:t>
            </w:r>
          </w:p>
        </w:tc>
        <w:tc>
          <w:tcPr>
            <w:tcW w:w="810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before="125"/>
              <w:ind w:left="137" w:right="122"/>
              <w:jc w:val="center"/>
              <w:rPr>
                <w:sz w:val="22"/>
              </w:rPr>
            </w:pPr>
            <w:r>
              <w:rPr>
                <w:sz w:val="22"/>
              </w:rPr>
              <w:t>124</w:t>
            </w:r>
          </w:p>
        </w:tc>
        <w:tc>
          <w:tcPr>
            <w:tcW w:w="810" w:type="dxa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25"/>
              <w:ind w:left="131" w:right="120"/>
              <w:jc w:val="center"/>
              <w:rPr>
                <w:sz w:val="22"/>
              </w:rPr>
            </w:pPr>
            <w:r>
              <w:rPr>
                <w:sz w:val="22"/>
              </w:rPr>
              <w:t>8.00</w:t>
            </w:r>
          </w:p>
        </w:tc>
        <w:tc>
          <w:tcPr>
            <w:tcW w:w="739" w:type="dxa"/>
            <w:tcBorders>
              <w:left w:val="single" w:sz="8" w:space="0" w:color="000000"/>
              <w:right w:val="nil"/>
            </w:tcBorders>
          </w:tcPr>
          <w:p>
            <w:pPr>
              <w:pStyle w:val="TableParagraph"/>
              <w:spacing w:before="125"/>
              <w:ind w:left="88" w:right="104"/>
              <w:jc w:val="center"/>
              <w:rPr>
                <w:sz w:val="22"/>
              </w:rPr>
            </w:pPr>
            <w:r>
              <w:rPr>
                <w:sz w:val="22"/>
              </w:rPr>
              <w:t>1,175</w:t>
            </w:r>
          </w:p>
        </w:tc>
        <w:tc>
          <w:tcPr>
            <w:tcW w:w="611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before="125"/>
              <w:ind w:left="116" w:right="114"/>
              <w:jc w:val="center"/>
              <w:rPr>
                <w:sz w:val="22"/>
              </w:rPr>
            </w:pPr>
            <w:r>
              <w:rPr>
                <w:sz w:val="22"/>
              </w:rPr>
              <w:t>358</w:t>
            </w:r>
          </w:p>
        </w:tc>
        <w:tc>
          <w:tcPr>
            <w:tcW w:w="962" w:type="dxa"/>
            <w:tcBorders>
              <w:left w:val="single" w:sz="8" w:space="0" w:color="000000"/>
            </w:tcBorders>
          </w:tcPr>
          <w:p>
            <w:pPr>
              <w:pStyle w:val="TableParagraph"/>
              <w:spacing w:before="125"/>
              <w:ind w:left="4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3</w:t>
            </w:r>
          </w:p>
        </w:tc>
      </w:tr>
      <w:tr>
        <w:trPr>
          <w:trHeight w:val="757" w:hRule="atLeast"/>
        </w:trPr>
        <w:tc>
          <w:tcPr>
            <w:tcW w:w="1070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before="8"/>
              <w:rPr>
                <w:i/>
                <w:sz w:val="21"/>
              </w:rPr>
            </w:pPr>
          </w:p>
          <w:p>
            <w:pPr>
              <w:pStyle w:val="TableParagraph"/>
              <w:ind w:left="126" w:right="113"/>
              <w:jc w:val="center"/>
              <w:rPr>
                <w:sz w:val="22"/>
              </w:rPr>
            </w:pPr>
            <w:r>
              <w:rPr>
                <w:sz w:val="22"/>
              </w:rPr>
              <w:t>Level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2</w:t>
            </w:r>
          </w:p>
        </w:tc>
        <w:tc>
          <w:tcPr>
            <w:tcW w:w="2070" w:type="dxa"/>
            <w:tcBorders>
              <w:left w:val="single" w:sz="8" w:space="0" w:color="000000"/>
            </w:tcBorders>
          </w:tcPr>
          <w:p>
            <w:pPr>
              <w:pStyle w:val="TableParagraph"/>
              <w:ind w:left="103" w:right="399"/>
              <w:rPr>
                <w:sz w:val="22"/>
              </w:rPr>
            </w:pPr>
            <w:r>
              <w:rPr>
                <w:sz w:val="22"/>
              </w:rPr>
              <w:t>0.357 Magnum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jacketed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lead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soft</w:t>
            </w:r>
          </w:p>
          <w:p>
            <w:pPr>
              <w:pStyle w:val="TableParagraph"/>
              <w:spacing w:line="234" w:lineRule="exact"/>
              <w:ind w:left="103"/>
              <w:rPr>
                <w:sz w:val="22"/>
              </w:rPr>
            </w:pPr>
            <w:r>
              <w:rPr>
                <w:sz w:val="22"/>
              </w:rPr>
              <w:t>point</w:t>
            </w:r>
          </w:p>
        </w:tc>
        <w:tc>
          <w:tcPr>
            <w:tcW w:w="1648" w:type="dxa"/>
          </w:tcPr>
          <w:p>
            <w:pPr>
              <w:pStyle w:val="TableParagraph"/>
              <w:spacing w:before="122"/>
              <w:ind w:left="108" w:right="465"/>
              <w:rPr>
                <w:sz w:val="22"/>
              </w:rPr>
            </w:pPr>
            <w:r>
              <w:rPr>
                <w:sz w:val="22"/>
              </w:rPr>
              <w:t>High power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hand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guns</w:t>
            </w:r>
          </w:p>
        </w:tc>
        <w:tc>
          <w:tcPr>
            <w:tcW w:w="810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before="8"/>
              <w:rPr>
                <w:i/>
                <w:sz w:val="21"/>
              </w:rPr>
            </w:pPr>
          </w:p>
          <w:p>
            <w:pPr>
              <w:pStyle w:val="TableParagraph"/>
              <w:ind w:left="137" w:right="121"/>
              <w:jc w:val="center"/>
              <w:rPr>
                <w:sz w:val="22"/>
              </w:rPr>
            </w:pPr>
            <w:r>
              <w:rPr>
                <w:sz w:val="22"/>
              </w:rPr>
              <w:t>158</w:t>
            </w:r>
          </w:p>
        </w:tc>
        <w:tc>
          <w:tcPr>
            <w:tcW w:w="810" w:type="dxa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8"/>
              <w:rPr>
                <w:i/>
                <w:sz w:val="21"/>
              </w:rPr>
            </w:pPr>
          </w:p>
          <w:p>
            <w:pPr>
              <w:pStyle w:val="TableParagraph"/>
              <w:ind w:left="131" w:right="122"/>
              <w:jc w:val="center"/>
              <w:rPr>
                <w:sz w:val="22"/>
              </w:rPr>
            </w:pPr>
            <w:r>
              <w:rPr>
                <w:sz w:val="22"/>
              </w:rPr>
              <w:t>10.20</w:t>
            </w:r>
          </w:p>
        </w:tc>
        <w:tc>
          <w:tcPr>
            <w:tcW w:w="739" w:type="dxa"/>
            <w:tcBorders>
              <w:left w:val="single" w:sz="8" w:space="0" w:color="000000"/>
              <w:right w:val="nil"/>
            </w:tcBorders>
          </w:tcPr>
          <w:p>
            <w:pPr>
              <w:pStyle w:val="TableParagraph"/>
              <w:spacing w:before="8"/>
              <w:rPr>
                <w:i/>
                <w:sz w:val="21"/>
              </w:rPr>
            </w:pPr>
          </w:p>
          <w:p>
            <w:pPr>
              <w:pStyle w:val="TableParagraph"/>
              <w:ind w:left="88" w:right="104"/>
              <w:jc w:val="center"/>
              <w:rPr>
                <w:sz w:val="22"/>
              </w:rPr>
            </w:pPr>
            <w:r>
              <w:rPr>
                <w:sz w:val="22"/>
              </w:rPr>
              <w:t>1,250</w:t>
            </w:r>
          </w:p>
        </w:tc>
        <w:tc>
          <w:tcPr>
            <w:tcW w:w="611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before="8"/>
              <w:rPr>
                <w:i/>
                <w:sz w:val="21"/>
              </w:rPr>
            </w:pPr>
          </w:p>
          <w:p>
            <w:pPr>
              <w:pStyle w:val="TableParagraph"/>
              <w:ind w:left="116" w:right="114"/>
              <w:jc w:val="center"/>
              <w:rPr>
                <w:sz w:val="22"/>
              </w:rPr>
            </w:pPr>
            <w:r>
              <w:rPr>
                <w:sz w:val="22"/>
              </w:rPr>
              <w:t>381</w:t>
            </w:r>
          </w:p>
        </w:tc>
        <w:tc>
          <w:tcPr>
            <w:tcW w:w="962" w:type="dxa"/>
            <w:tcBorders>
              <w:left w:val="single" w:sz="8" w:space="0" w:color="000000"/>
            </w:tcBorders>
          </w:tcPr>
          <w:p>
            <w:pPr>
              <w:pStyle w:val="TableParagraph"/>
              <w:spacing w:before="8"/>
              <w:rPr>
                <w:i/>
                <w:sz w:val="21"/>
              </w:rPr>
            </w:pPr>
          </w:p>
          <w:p>
            <w:pPr>
              <w:pStyle w:val="TableParagraph"/>
              <w:ind w:left="4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3</w:t>
            </w:r>
          </w:p>
        </w:tc>
      </w:tr>
      <w:tr>
        <w:trPr>
          <w:trHeight w:val="757" w:hRule="atLeast"/>
        </w:trPr>
        <w:tc>
          <w:tcPr>
            <w:tcW w:w="1070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ind w:left="126" w:right="113"/>
              <w:jc w:val="center"/>
              <w:rPr>
                <w:sz w:val="22"/>
              </w:rPr>
            </w:pPr>
            <w:r>
              <w:rPr>
                <w:sz w:val="22"/>
              </w:rPr>
              <w:t>Level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3</w:t>
            </w:r>
          </w:p>
        </w:tc>
        <w:tc>
          <w:tcPr>
            <w:tcW w:w="2070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251" w:lineRule="exact"/>
              <w:ind w:left="103"/>
              <w:rPr>
                <w:sz w:val="22"/>
              </w:rPr>
            </w:pPr>
            <w:r>
              <w:rPr>
                <w:sz w:val="22"/>
              </w:rPr>
              <w:t>0.44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Magnum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lead</w:t>
            </w:r>
          </w:p>
          <w:p>
            <w:pPr>
              <w:pStyle w:val="TableParagraph"/>
              <w:spacing w:line="252" w:lineRule="exact"/>
              <w:ind w:left="103" w:right="227"/>
              <w:rPr>
                <w:sz w:val="22"/>
              </w:rPr>
            </w:pPr>
            <w:r>
              <w:rPr>
                <w:sz w:val="22"/>
              </w:rPr>
              <w:t>semi-wadcutter gas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checked</w:t>
            </w:r>
          </w:p>
        </w:tc>
        <w:tc>
          <w:tcPr>
            <w:tcW w:w="1648" w:type="dxa"/>
          </w:tcPr>
          <w:p>
            <w:pPr>
              <w:pStyle w:val="TableParagraph"/>
              <w:spacing w:before="124"/>
              <w:ind w:left="108" w:right="391"/>
              <w:rPr>
                <w:sz w:val="22"/>
              </w:rPr>
            </w:pPr>
            <w:r>
              <w:rPr>
                <w:sz w:val="22"/>
              </w:rPr>
              <w:t>Super power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hand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guns</w:t>
            </w:r>
          </w:p>
        </w:tc>
        <w:tc>
          <w:tcPr>
            <w:tcW w:w="810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ind w:left="137" w:right="121"/>
              <w:jc w:val="center"/>
              <w:rPr>
                <w:sz w:val="22"/>
              </w:rPr>
            </w:pPr>
            <w:r>
              <w:rPr>
                <w:sz w:val="22"/>
              </w:rPr>
              <w:t>240</w:t>
            </w:r>
          </w:p>
        </w:tc>
        <w:tc>
          <w:tcPr>
            <w:tcW w:w="810" w:type="dxa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ind w:left="131" w:right="122"/>
              <w:jc w:val="center"/>
              <w:rPr>
                <w:sz w:val="22"/>
              </w:rPr>
            </w:pPr>
            <w:r>
              <w:rPr>
                <w:sz w:val="22"/>
              </w:rPr>
              <w:t>15.60</w:t>
            </w:r>
          </w:p>
        </w:tc>
        <w:tc>
          <w:tcPr>
            <w:tcW w:w="739" w:type="dxa"/>
            <w:tcBorders>
              <w:left w:val="single" w:sz="8" w:space="0" w:color="000000"/>
              <w:right w:val="nil"/>
            </w:tcBorders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ind w:left="88" w:right="104"/>
              <w:jc w:val="center"/>
              <w:rPr>
                <w:sz w:val="22"/>
              </w:rPr>
            </w:pPr>
            <w:r>
              <w:rPr>
                <w:sz w:val="22"/>
              </w:rPr>
              <w:t>1,350</w:t>
            </w:r>
          </w:p>
        </w:tc>
        <w:tc>
          <w:tcPr>
            <w:tcW w:w="611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ind w:left="116" w:right="114"/>
              <w:jc w:val="center"/>
              <w:rPr>
                <w:sz w:val="22"/>
              </w:rPr>
            </w:pPr>
            <w:r>
              <w:rPr>
                <w:sz w:val="22"/>
              </w:rPr>
              <w:t>411</w:t>
            </w:r>
          </w:p>
        </w:tc>
        <w:tc>
          <w:tcPr>
            <w:tcW w:w="962" w:type="dxa"/>
            <w:tcBorders>
              <w:left w:val="single" w:sz="8" w:space="0" w:color="000000"/>
            </w:tcBorders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ind w:left="4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3</w:t>
            </w:r>
          </w:p>
        </w:tc>
      </w:tr>
      <w:tr>
        <w:trPr>
          <w:trHeight w:val="505" w:hRule="atLeast"/>
        </w:trPr>
        <w:tc>
          <w:tcPr>
            <w:tcW w:w="1070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before="125"/>
              <w:ind w:left="126" w:right="113"/>
              <w:jc w:val="center"/>
              <w:rPr>
                <w:sz w:val="22"/>
              </w:rPr>
            </w:pPr>
            <w:r>
              <w:rPr>
                <w:sz w:val="22"/>
              </w:rPr>
              <w:t>Level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4</w:t>
            </w:r>
          </w:p>
        </w:tc>
        <w:tc>
          <w:tcPr>
            <w:tcW w:w="2070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252" w:lineRule="exact"/>
              <w:ind w:left="103" w:right="247"/>
              <w:rPr>
                <w:sz w:val="22"/>
              </w:rPr>
            </w:pPr>
            <w:r>
              <w:rPr>
                <w:sz w:val="22"/>
              </w:rPr>
              <w:t>0.30 caliber rifle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lead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core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soft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point</w:t>
            </w:r>
          </w:p>
        </w:tc>
        <w:tc>
          <w:tcPr>
            <w:tcW w:w="1648" w:type="dxa"/>
          </w:tcPr>
          <w:p>
            <w:pPr>
              <w:pStyle w:val="TableParagraph"/>
              <w:spacing w:line="252" w:lineRule="exact"/>
              <w:ind w:left="108" w:right="428"/>
              <w:rPr>
                <w:sz w:val="22"/>
              </w:rPr>
            </w:pPr>
            <w:r>
              <w:rPr>
                <w:sz w:val="22"/>
              </w:rPr>
              <w:t>High-power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hunting</w:t>
            </w:r>
            <w:r>
              <w:rPr>
                <w:spacing w:val="-12"/>
                <w:sz w:val="22"/>
              </w:rPr>
              <w:t> </w:t>
            </w:r>
            <w:r>
              <w:rPr>
                <w:sz w:val="22"/>
              </w:rPr>
              <w:t>rifle</w:t>
            </w:r>
          </w:p>
        </w:tc>
        <w:tc>
          <w:tcPr>
            <w:tcW w:w="810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before="125"/>
              <w:ind w:left="137" w:right="122"/>
              <w:jc w:val="center"/>
              <w:rPr>
                <w:sz w:val="22"/>
              </w:rPr>
            </w:pPr>
            <w:r>
              <w:rPr>
                <w:sz w:val="22"/>
              </w:rPr>
              <w:t>180</w:t>
            </w:r>
          </w:p>
        </w:tc>
        <w:tc>
          <w:tcPr>
            <w:tcW w:w="810" w:type="dxa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25"/>
              <w:ind w:left="131" w:right="122"/>
              <w:jc w:val="center"/>
              <w:rPr>
                <w:sz w:val="22"/>
              </w:rPr>
            </w:pPr>
            <w:r>
              <w:rPr>
                <w:sz w:val="22"/>
              </w:rPr>
              <w:t>11.70</w:t>
            </w:r>
          </w:p>
        </w:tc>
        <w:tc>
          <w:tcPr>
            <w:tcW w:w="739" w:type="dxa"/>
            <w:tcBorders>
              <w:left w:val="single" w:sz="8" w:space="0" w:color="000000"/>
              <w:right w:val="nil"/>
            </w:tcBorders>
          </w:tcPr>
          <w:p>
            <w:pPr>
              <w:pStyle w:val="TableParagraph"/>
              <w:spacing w:before="125"/>
              <w:ind w:left="88" w:right="104"/>
              <w:jc w:val="center"/>
              <w:rPr>
                <w:sz w:val="22"/>
              </w:rPr>
            </w:pPr>
            <w:r>
              <w:rPr>
                <w:sz w:val="22"/>
              </w:rPr>
              <w:t>2,540</w:t>
            </w:r>
          </w:p>
        </w:tc>
        <w:tc>
          <w:tcPr>
            <w:tcW w:w="611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before="125"/>
              <w:ind w:left="116" w:right="114"/>
              <w:jc w:val="center"/>
              <w:rPr>
                <w:sz w:val="22"/>
              </w:rPr>
            </w:pPr>
            <w:r>
              <w:rPr>
                <w:sz w:val="22"/>
              </w:rPr>
              <w:t>774</w:t>
            </w:r>
          </w:p>
        </w:tc>
        <w:tc>
          <w:tcPr>
            <w:tcW w:w="962" w:type="dxa"/>
            <w:tcBorders>
              <w:left w:val="single" w:sz="8" w:space="0" w:color="000000"/>
            </w:tcBorders>
          </w:tcPr>
          <w:p>
            <w:pPr>
              <w:pStyle w:val="TableParagraph"/>
              <w:spacing w:before="125"/>
              <w:ind w:left="4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1</w:t>
            </w:r>
          </w:p>
        </w:tc>
      </w:tr>
      <w:tr>
        <w:trPr>
          <w:trHeight w:val="1012" w:hRule="atLeast"/>
        </w:trPr>
        <w:tc>
          <w:tcPr>
            <w:tcW w:w="1070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before="10"/>
              <w:rPr>
                <w:i/>
                <w:sz w:val="32"/>
              </w:rPr>
            </w:pPr>
          </w:p>
          <w:p>
            <w:pPr>
              <w:pStyle w:val="TableParagraph"/>
              <w:spacing w:before="1"/>
              <w:ind w:left="126" w:right="113"/>
              <w:jc w:val="center"/>
              <w:rPr>
                <w:sz w:val="22"/>
              </w:rPr>
            </w:pPr>
            <w:r>
              <w:rPr>
                <w:sz w:val="22"/>
              </w:rPr>
              <w:t>Level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5</w:t>
            </w:r>
          </w:p>
        </w:tc>
        <w:tc>
          <w:tcPr>
            <w:tcW w:w="2070" w:type="dxa"/>
            <w:tcBorders>
              <w:left w:val="single" w:sz="8" w:space="0" w:color="000000"/>
            </w:tcBorders>
          </w:tcPr>
          <w:p>
            <w:pPr>
              <w:pStyle w:val="TableParagraph"/>
              <w:ind w:left="103" w:right="304"/>
              <w:rPr>
                <w:sz w:val="22"/>
              </w:rPr>
            </w:pPr>
            <w:r>
              <w:rPr>
                <w:sz w:val="22"/>
              </w:rPr>
              <w:t>7.62-mm</w:t>
            </w:r>
            <w:r>
              <w:rPr>
                <w:spacing w:val="-10"/>
                <w:sz w:val="22"/>
              </w:rPr>
              <w:t> </w:t>
            </w:r>
            <w:r>
              <w:rPr>
                <w:sz w:val="22"/>
              </w:rPr>
              <w:t>rifle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lead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core full metal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copper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jacket,</w:t>
            </w:r>
          </w:p>
          <w:p>
            <w:pPr>
              <w:pStyle w:val="TableParagraph"/>
              <w:spacing w:line="234" w:lineRule="exact"/>
              <w:ind w:left="103"/>
              <w:rPr>
                <w:sz w:val="22"/>
              </w:rPr>
            </w:pPr>
            <w:r>
              <w:rPr>
                <w:sz w:val="22"/>
              </w:rPr>
              <w:t>military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ball</w:t>
            </w:r>
          </w:p>
        </w:tc>
        <w:tc>
          <w:tcPr>
            <w:tcW w:w="1648" w:type="dxa"/>
          </w:tcPr>
          <w:p>
            <w:pPr>
              <w:pStyle w:val="TableParagraph"/>
              <w:ind w:left="108" w:right="116"/>
              <w:rPr>
                <w:sz w:val="22"/>
              </w:rPr>
            </w:pPr>
            <w:r>
              <w:rPr>
                <w:sz w:val="22"/>
              </w:rPr>
              <w:t>Military ball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from hunting or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military rifle</w:t>
            </w:r>
          </w:p>
        </w:tc>
        <w:tc>
          <w:tcPr>
            <w:tcW w:w="810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before="10"/>
              <w:rPr>
                <w:i/>
                <w:sz w:val="32"/>
              </w:rPr>
            </w:pPr>
          </w:p>
          <w:p>
            <w:pPr>
              <w:pStyle w:val="TableParagraph"/>
              <w:spacing w:before="1"/>
              <w:ind w:left="137" w:right="122"/>
              <w:jc w:val="center"/>
              <w:rPr>
                <w:sz w:val="22"/>
              </w:rPr>
            </w:pPr>
            <w:r>
              <w:rPr>
                <w:sz w:val="22"/>
              </w:rPr>
              <w:t>150</w:t>
            </w:r>
          </w:p>
        </w:tc>
        <w:tc>
          <w:tcPr>
            <w:tcW w:w="810" w:type="dxa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0"/>
              <w:rPr>
                <w:i/>
                <w:sz w:val="32"/>
              </w:rPr>
            </w:pPr>
          </w:p>
          <w:p>
            <w:pPr>
              <w:pStyle w:val="TableParagraph"/>
              <w:spacing w:before="1"/>
              <w:ind w:left="131" w:right="120"/>
              <w:jc w:val="center"/>
              <w:rPr>
                <w:sz w:val="22"/>
              </w:rPr>
            </w:pPr>
            <w:r>
              <w:rPr>
                <w:sz w:val="22"/>
              </w:rPr>
              <w:t>9.70</w:t>
            </w:r>
          </w:p>
        </w:tc>
        <w:tc>
          <w:tcPr>
            <w:tcW w:w="739" w:type="dxa"/>
            <w:tcBorders>
              <w:left w:val="single" w:sz="8" w:space="0" w:color="000000"/>
              <w:right w:val="nil"/>
            </w:tcBorders>
          </w:tcPr>
          <w:p>
            <w:pPr>
              <w:pStyle w:val="TableParagraph"/>
              <w:spacing w:before="10"/>
              <w:rPr>
                <w:i/>
                <w:sz w:val="32"/>
              </w:rPr>
            </w:pPr>
          </w:p>
          <w:p>
            <w:pPr>
              <w:pStyle w:val="TableParagraph"/>
              <w:spacing w:before="1"/>
              <w:ind w:left="88" w:right="104"/>
              <w:jc w:val="center"/>
              <w:rPr>
                <w:sz w:val="22"/>
              </w:rPr>
            </w:pPr>
            <w:r>
              <w:rPr>
                <w:sz w:val="22"/>
              </w:rPr>
              <w:t>2,750</w:t>
            </w:r>
          </w:p>
        </w:tc>
        <w:tc>
          <w:tcPr>
            <w:tcW w:w="611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before="10"/>
              <w:rPr>
                <w:i/>
                <w:sz w:val="32"/>
              </w:rPr>
            </w:pPr>
          </w:p>
          <w:p>
            <w:pPr>
              <w:pStyle w:val="TableParagraph"/>
              <w:spacing w:before="1"/>
              <w:ind w:left="116" w:right="114"/>
              <w:jc w:val="center"/>
              <w:rPr>
                <w:sz w:val="22"/>
              </w:rPr>
            </w:pPr>
            <w:r>
              <w:rPr>
                <w:sz w:val="22"/>
              </w:rPr>
              <w:t>838</w:t>
            </w:r>
          </w:p>
        </w:tc>
        <w:tc>
          <w:tcPr>
            <w:tcW w:w="962" w:type="dxa"/>
            <w:tcBorders>
              <w:left w:val="single" w:sz="8" w:space="0" w:color="000000"/>
            </w:tcBorders>
          </w:tcPr>
          <w:p>
            <w:pPr>
              <w:pStyle w:val="TableParagraph"/>
              <w:spacing w:before="10"/>
              <w:rPr>
                <w:i/>
                <w:sz w:val="32"/>
              </w:rPr>
            </w:pPr>
          </w:p>
          <w:p>
            <w:pPr>
              <w:pStyle w:val="TableParagraph"/>
              <w:spacing w:before="1"/>
              <w:ind w:left="4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1</w:t>
            </w:r>
          </w:p>
        </w:tc>
      </w:tr>
      <w:tr>
        <w:trPr>
          <w:trHeight w:val="759" w:hRule="atLeast"/>
        </w:trPr>
        <w:tc>
          <w:tcPr>
            <w:tcW w:w="1070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ind w:left="126" w:right="113"/>
              <w:jc w:val="center"/>
              <w:rPr>
                <w:sz w:val="22"/>
              </w:rPr>
            </w:pPr>
            <w:r>
              <w:rPr>
                <w:sz w:val="22"/>
              </w:rPr>
              <w:t>Level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6</w:t>
            </w:r>
          </w:p>
        </w:tc>
        <w:tc>
          <w:tcPr>
            <w:tcW w:w="2070" w:type="dxa"/>
            <w:tcBorders>
              <w:left w:val="single" w:sz="8" w:space="0" w:color="000000"/>
            </w:tcBorders>
          </w:tcPr>
          <w:p>
            <w:pPr>
              <w:pStyle w:val="TableParagraph"/>
              <w:spacing w:before="3"/>
              <w:rPr>
                <w:i/>
                <w:sz w:val="20"/>
              </w:rPr>
            </w:pPr>
          </w:p>
          <w:p>
            <w:pPr>
              <w:pStyle w:val="TableParagraph"/>
              <w:spacing w:line="250" w:lineRule="atLeast"/>
              <w:ind w:left="103" w:right="114"/>
              <w:rPr>
                <w:sz w:val="22"/>
              </w:rPr>
            </w:pPr>
            <w:r>
              <w:rPr>
                <w:sz w:val="22"/>
              </w:rPr>
              <w:t>9-mm full metal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jacket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with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lead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core</w:t>
            </w:r>
          </w:p>
        </w:tc>
        <w:tc>
          <w:tcPr>
            <w:tcW w:w="1648" w:type="dxa"/>
          </w:tcPr>
          <w:p>
            <w:pPr>
              <w:pStyle w:val="TableParagraph"/>
              <w:spacing w:line="254" w:lineRule="exact"/>
              <w:ind w:left="108" w:right="237"/>
              <w:jc w:val="both"/>
              <w:rPr>
                <w:sz w:val="22"/>
              </w:rPr>
            </w:pPr>
            <w:r>
              <w:rPr>
                <w:sz w:val="22"/>
              </w:rPr>
              <w:t>Multiple shots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of submachine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gun</w:t>
            </w:r>
          </w:p>
        </w:tc>
        <w:tc>
          <w:tcPr>
            <w:tcW w:w="810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ind w:left="137" w:right="122"/>
              <w:jc w:val="center"/>
              <w:rPr>
                <w:sz w:val="22"/>
              </w:rPr>
            </w:pPr>
            <w:r>
              <w:rPr>
                <w:sz w:val="22"/>
              </w:rPr>
              <w:t>124</w:t>
            </w:r>
          </w:p>
        </w:tc>
        <w:tc>
          <w:tcPr>
            <w:tcW w:w="810" w:type="dxa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ind w:left="131" w:right="121"/>
              <w:jc w:val="center"/>
              <w:rPr>
                <w:sz w:val="22"/>
              </w:rPr>
            </w:pPr>
            <w:r>
              <w:rPr>
                <w:sz w:val="22"/>
              </w:rPr>
              <w:t>8.00</w:t>
            </w:r>
          </w:p>
        </w:tc>
        <w:tc>
          <w:tcPr>
            <w:tcW w:w="739" w:type="dxa"/>
            <w:tcBorders>
              <w:left w:val="single" w:sz="8" w:space="0" w:color="000000"/>
              <w:right w:val="nil"/>
            </w:tcBorders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ind w:left="88" w:right="104"/>
              <w:jc w:val="center"/>
              <w:rPr>
                <w:sz w:val="22"/>
              </w:rPr>
            </w:pPr>
            <w:r>
              <w:rPr>
                <w:sz w:val="22"/>
              </w:rPr>
              <w:t>1,400</w:t>
            </w:r>
          </w:p>
        </w:tc>
        <w:tc>
          <w:tcPr>
            <w:tcW w:w="611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ind w:left="116" w:right="114"/>
              <w:jc w:val="center"/>
              <w:rPr>
                <w:sz w:val="22"/>
              </w:rPr>
            </w:pPr>
            <w:r>
              <w:rPr>
                <w:sz w:val="22"/>
              </w:rPr>
              <w:t>427</w:t>
            </w:r>
          </w:p>
        </w:tc>
        <w:tc>
          <w:tcPr>
            <w:tcW w:w="962" w:type="dxa"/>
            <w:tcBorders>
              <w:left w:val="single" w:sz="8" w:space="0" w:color="000000"/>
            </w:tcBorders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ind w:left="4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5</w:t>
            </w:r>
          </w:p>
        </w:tc>
      </w:tr>
      <w:tr>
        <w:trPr>
          <w:trHeight w:val="756" w:hRule="atLeast"/>
        </w:trPr>
        <w:tc>
          <w:tcPr>
            <w:tcW w:w="1070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before="7"/>
              <w:rPr>
                <w:i/>
                <w:sz w:val="21"/>
              </w:rPr>
            </w:pPr>
          </w:p>
          <w:p>
            <w:pPr>
              <w:pStyle w:val="TableParagraph"/>
              <w:ind w:left="126" w:right="113"/>
              <w:jc w:val="center"/>
              <w:rPr>
                <w:sz w:val="22"/>
              </w:rPr>
            </w:pPr>
            <w:r>
              <w:rPr>
                <w:sz w:val="22"/>
              </w:rPr>
              <w:t>Level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7</w:t>
            </w:r>
          </w:p>
        </w:tc>
        <w:tc>
          <w:tcPr>
            <w:tcW w:w="2070" w:type="dxa"/>
            <w:tcBorders>
              <w:left w:val="single" w:sz="8" w:space="0" w:color="000000"/>
            </w:tcBorders>
          </w:tcPr>
          <w:p>
            <w:pPr>
              <w:pStyle w:val="TableParagraph"/>
              <w:ind w:left="103" w:right="219"/>
              <w:rPr>
                <w:sz w:val="22"/>
              </w:rPr>
            </w:pPr>
            <w:r>
              <w:rPr>
                <w:sz w:val="22"/>
              </w:rPr>
              <w:t>5.56-mm rifle full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metal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copper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jacket</w:t>
            </w:r>
          </w:p>
          <w:p>
            <w:pPr>
              <w:pStyle w:val="TableParagraph"/>
              <w:spacing w:line="234" w:lineRule="exact"/>
              <w:ind w:left="103"/>
              <w:rPr>
                <w:sz w:val="22"/>
              </w:rPr>
            </w:pPr>
            <w:r>
              <w:rPr>
                <w:sz w:val="22"/>
              </w:rPr>
              <w:t>with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lead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core</w:t>
            </w:r>
          </w:p>
        </w:tc>
        <w:tc>
          <w:tcPr>
            <w:tcW w:w="1648" w:type="dxa"/>
          </w:tcPr>
          <w:p>
            <w:pPr>
              <w:pStyle w:val="TableParagraph"/>
              <w:ind w:left="108" w:right="244"/>
              <w:rPr>
                <w:sz w:val="22"/>
              </w:rPr>
            </w:pPr>
            <w:r>
              <w:rPr>
                <w:sz w:val="22"/>
              </w:rPr>
              <w:t>Multiple shots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military</w:t>
            </w:r>
          </w:p>
          <w:p>
            <w:pPr>
              <w:pStyle w:val="TableParagraph"/>
              <w:spacing w:line="234" w:lineRule="exact"/>
              <w:ind w:left="108"/>
              <w:rPr>
                <w:sz w:val="22"/>
              </w:rPr>
            </w:pPr>
            <w:r>
              <w:rPr>
                <w:sz w:val="22"/>
              </w:rPr>
              <w:t>assault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rifle</w:t>
            </w:r>
          </w:p>
        </w:tc>
        <w:tc>
          <w:tcPr>
            <w:tcW w:w="810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before="7"/>
              <w:rPr>
                <w:i/>
                <w:sz w:val="21"/>
              </w:rPr>
            </w:pPr>
          </w:p>
          <w:p>
            <w:pPr>
              <w:pStyle w:val="TableParagraph"/>
              <w:ind w:left="137" w:right="122"/>
              <w:jc w:val="center"/>
              <w:rPr>
                <w:sz w:val="22"/>
              </w:rPr>
            </w:pPr>
            <w:r>
              <w:rPr>
                <w:sz w:val="22"/>
              </w:rPr>
              <w:t>55</w:t>
            </w:r>
          </w:p>
        </w:tc>
        <w:tc>
          <w:tcPr>
            <w:tcW w:w="810" w:type="dxa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7"/>
              <w:rPr>
                <w:i/>
                <w:sz w:val="21"/>
              </w:rPr>
            </w:pPr>
          </w:p>
          <w:p>
            <w:pPr>
              <w:pStyle w:val="TableParagraph"/>
              <w:ind w:left="131" w:right="121"/>
              <w:jc w:val="center"/>
              <w:rPr>
                <w:sz w:val="22"/>
              </w:rPr>
            </w:pPr>
            <w:r>
              <w:rPr>
                <w:sz w:val="22"/>
              </w:rPr>
              <w:t>3.56</w:t>
            </w:r>
          </w:p>
        </w:tc>
        <w:tc>
          <w:tcPr>
            <w:tcW w:w="739" w:type="dxa"/>
            <w:tcBorders>
              <w:left w:val="single" w:sz="8" w:space="0" w:color="000000"/>
              <w:right w:val="nil"/>
            </w:tcBorders>
          </w:tcPr>
          <w:p>
            <w:pPr>
              <w:pStyle w:val="TableParagraph"/>
              <w:spacing w:before="7"/>
              <w:rPr>
                <w:i/>
                <w:sz w:val="21"/>
              </w:rPr>
            </w:pPr>
          </w:p>
          <w:p>
            <w:pPr>
              <w:pStyle w:val="TableParagraph"/>
              <w:ind w:left="88" w:right="104"/>
              <w:jc w:val="center"/>
              <w:rPr>
                <w:sz w:val="22"/>
              </w:rPr>
            </w:pPr>
            <w:r>
              <w:rPr>
                <w:sz w:val="22"/>
              </w:rPr>
              <w:t>3,080</w:t>
            </w:r>
          </w:p>
        </w:tc>
        <w:tc>
          <w:tcPr>
            <w:tcW w:w="611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before="7"/>
              <w:rPr>
                <w:i/>
                <w:sz w:val="21"/>
              </w:rPr>
            </w:pPr>
          </w:p>
          <w:p>
            <w:pPr>
              <w:pStyle w:val="TableParagraph"/>
              <w:ind w:left="115" w:right="114"/>
              <w:jc w:val="center"/>
              <w:rPr>
                <w:sz w:val="22"/>
              </w:rPr>
            </w:pPr>
            <w:r>
              <w:rPr>
                <w:sz w:val="22"/>
              </w:rPr>
              <w:t>939</w:t>
            </w:r>
          </w:p>
        </w:tc>
        <w:tc>
          <w:tcPr>
            <w:tcW w:w="962" w:type="dxa"/>
            <w:tcBorders>
              <w:left w:val="single" w:sz="8" w:space="0" w:color="000000"/>
            </w:tcBorders>
          </w:tcPr>
          <w:p>
            <w:pPr>
              <w:pStyle w:val="TableParagraph"/>
              <w:spacing w:before="7"/>
              <w:rPr>
                <w:i/>
                <w:sz w:val="21"/>
              </w:rPr>
            </w:pPr>
          </w:p>
          <w:p>
            <w:pPr>
              <w:pStyle w:val="TableParagraph"/>
              <w:ind w:left="4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5</w:t>
            </w:r>
          </w:p>
        </w:tc>
      </w:tr>
      <w:tr>
        <w:trPr>
          <w:trHeight w:val="1011" w:hRule="atLeast"/>
        </w:trPr>
        <w:tc>
          <w:tcPr>
            <w:tcW w:w="1070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before="9"/>
              <w:rPr>
                <w:i/>
                <w:sz w:val="32"/>
              </w:rPr>
            </w:pPr>
          </w:p>
          <w:p>
            <w:pPr>
              <w:pStyle w:val="TableParagraph"/>
              <w:ind w:left="126" w:right="113"/>
              <w:jc w:val="center"/>
              <w:rPr>
                <w:sz w:val="22"/>
              </w:rPr>
            </w:pPr>
            <w:r>
              <w:rPr>
                <w:sz w:val="22"/>
              </w:rPr>
              <w:t>Level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8</w:t>
            </w:r>
          </w:p>
        </w:tc>
        <w:tc>
          <w:tcPr>
            <w:tcW w:w="2070" w:type="dxa"/>
            <w:tcBorders>
              <w:left w:val="single" w:sz="8" w:space="0" w:color="000000"/>
            </w:tcBorders>
          </w:tcPr>
          <w:p>
            <w:pPr>
              <w:pStyle w:val="TableParagraph"/>
              <w:ind w:left="103" w:right="304"/>
              <w:rPr>
                <w:sz w:val="22"/>
              </w:rPr>
            </w:pPr>
            <w:r>
              <w:rPr>
                <w:sz w:val="22"/>
              </w:rPr>
              <w:t>7.62-mm</w:t>
            </w:r>
            <w:r>
              <w:rPr>
                <w:spacing w:val="-10"/>
                <w:sz w:val="22"/>
              </w:rPr>
              <w:t> </w:t>
            </w:r>
            <w:r>
              <w:rPr>
                <w:sz w:val="22"/>
              </w:rPr>
              <w:t>rifle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lead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core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full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metal</w:t>
            </w:r>
          </w:p>
          <w:p>
            <w:pPr>
              <w:pStyle w:val="TableParagraph"/>
              <w:spacing w:line="254" w:lineRule="exact"/>
              <w:ind w:left="103" w:right="698"/>
              <w:rPr>
                <w:sz w:val="22"/>
              </w:rPr>
            </w:pPr>
            <w:r>
              <w:rPr>
                <w:sz w:val="22"/>
              </w:rPr>
              <w:t>copper jacket,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military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ball</w:t>
            </w:r>
          </w:p>
        </w:tc>
        <w:tc>
          <w:tcPr>
            <w:tcW w:w="1648" w:type="dxa"/>
          </w:tcPr>
          <w:p>
            <w:pPr>
              <w:pStyle w:val="TableParagraph"/>
              <w:ind w:left="108" w:right="244"/>
              <w:rPr>
                <w:sz w:val="22"/>
              </w:rPr>
            </w:pPr>
            <w:r>
              <w:rPr>
                <w:sz w:val="22"/>
              </w:rPr>
              <w:t>Multiple shots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of military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assault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rifle</w:t>
            </w:r>
          </w:p>
        </w:tc>
        <w:tc>
          <w:tcPr>
            <w:tcW w:w="810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before="9"/>
              <w:rPr>
                <w:i/>
                <w:sz w:val="32"/>
              </w:rPr>
            </w:pPr>
          </w:p>
          <w:p>
            <w:pPr>
              <w:pStyle w:val="TableParagraph"/>
              <w:ind w:left="137" w:right="122"/>
              <w:jc w:val="center"/>
              <w:rPr>
                <w:sz w:val="22"/>
              </w:rPr>
            </w:pPr>
            <w:r>
              <w:rPr>
                <w:sz w:val="22"/>
              </w:rPr>
              <w:t>150</w:t>
            </w:r>
          </w:p>
        </w:tc>
        <w:tc>
          <w:tcPr>
            <w:tcW w:w="810" w:type="dxa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9"/>
              <w:rPr>
                <w:i/>
                <w:sz w:val="32"/>
              </w:rPr>
            </w:pPr>
          </w:p>
          <w:p>
            <w:pPr>
              <w:pStyle w:val="TableParagraph"/>
              <w:ind w:left="131" w:right="120"/>
              <w:jc w:val="center"/>
              <w:rPr>
                <w:sz w:val="22"/>
              </w:rPr>
            </w:pPr>
            <w:r>
              <w:rPr>
                <w:sz w:val="22"/>
              </w:rPr>
              <w:t>9.70</w:t>
            </w:r>
          </w:p>
        </w:tc>
        <w:tc>
          <w:tcPr>
            <w:tcW w:w="739" w:type="dxa"/>
            <w:tcBorders>
              <w:left w:val="single" w:sz="8" w:space="0" w:color="000000"/>
              <w:right w:val="nil"/>
            </w:tcBorders>
          </w:tcPr>
          <w:p>
            <w:pPr>
              <w:pStyle w:val="TableParagraph"/>
              <w:spacing w:before="9"/>
              <w:rPr>
                <w:i/>
                <w:sz w:val="32"/>
              </w:rPr>
            </w:pPr>
          </w:p>
          <w:p>
            <w:pPr>
              <w:pStyle w:val="TableParagraph"/>
              <w:ind w:left="88" w:right="104"/>
              <w:jc w:val="center"/>
              <w:rPr>
                <w:sz w:val="22"/>
              </w:rPr>
            </w:pPr>
            <w:r>
              <w:rPr>
                <w:sz w:val="22"/>
              </w:rPr>
              <w:t>2,750</w:t>
            </w:r>
          </w:p>
        </w:tc>
        <w:tc>
          <w:tcPr>
            <w:tcW w:w="611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before="9"/>
              <w:rPr>
                <w:i/>
                <w:sz w:val="32"/>
              </w:rPr>
            </w:pPr>
          </w:p>
          <w:p>
            <w:pPr>
              <w:pStyle w:val="TableParagraph"/>
              <w:ind w:left="116" w:right="114"/>
              <w:jc w:val="center"/>
              <w:rPr>
                <w:sz w:val="22"/>
              </w:rPr>
            </w:pPr>
            <w:r>
              <w:rPr>
                <w:sz w:val="22"/>
              </w:rPr>
              <w:t>838</w:t>
            </w:r>
          </w:p>
        </w:tc>
        <w:tc>
          <w:tcPr>
            <w:tcW w:w="962" w:type="dxa"/>
            <w:tcBorders>
              <w:left w:val="single" w:sz="8" w:space="0" w:color="000000"/>
            </w:tcBorders>
          </w:tcPr>
          <w:p>
            <w:pPr>
              <w:pStyle w:val="TableParagraph"/>
              <w:spacing w:before="9"/>
              <w:rPr>
                <w:i/>
                <w:sz w:val="32"/>
              </w:rPr>
            </w:pPr>
          </w:p>
          <w:p>
            <w:pPr>
              <w:pStyle w:val="TableParagraph"/>
              <w:ind w:left="4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5</w:t>
            </w:r>
          </w:p>
        </w:tc>
      </w:tr>
      <w:tr>
        <w:trPr>
          <w:trHeight w:val="1262" w:hRule="atLeast"/>
        </w:trPr>
        <w:tc>
          <w:tcPr>
            <w:tcW w:w="1070" w:type="dxa"/>
            <w:tcBorders>
              <w:right w:val="single" w:sz="8" w:space="0" w:color="000000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7"/>
              <w:rPr>
                <w:i/>
                <w:sz w:val="19"/>
              </w:rPr>
            </w:pPr>
          </w:p>
          <w:p>
            <w:pPr>
              <w:pStyle w:val="TableParagraph"/>
              <w:ind w:left="126" w:right="113"/>
              <w:jc w:val="center"/>
              <w:rPr>
                <w:sz w:val="22"/>
              </w:rPr>
            </w:pPr>
            <w:r>
              <w:rPr>
                <w:sz w:val="22"/>
              </w:rPr>
              <w:t>Level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9</w:t>
            </w:r>
          </w:p>
        </w:tc>
        <w:tc>
          <w:tcPr>
            <w:tcW w:w="2070" w:type="dxa"/>
            <w:tcBorders>
              <w:left w:val="single" w:sz="8" w:space="0" w:color="000000"/>
            </w:tcBorders>
          </w:tcPr>
          <w:p>
            <w:pPr>
              <w:pStyle w:val="TableParagraph"/>
              <w:ind w:left="103" w:right="101"/>
              <w:rPr>
                <w:sz w:val="22"/>
              </w:rPr>
            </w:pPr>
            <w:r>
              <w:rPr>
                <w:sz w:val="22"/>
              </w:rPr>
              <w:t>Armor</w:t>
            </w:r>
            <w:r>
              <w:rPr>
                <w:spacing w:val="55"/>
                <w:sz w:val="22"/>
              </w:rPr>
              <w:t> </w:t>
            </w:r>
            <w:r>
              <w:rPr>
                <w:sz w:val="22"/>
              </w:rPr>
              <w:t>Piercing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(AP) 0.30-caliber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rifle steel core lead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point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filler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full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metal</w:t>
            </w:r>
          </w:p>
          <w:p>
            <w:pPr>
              <w:pStyle w:val="TableParagraph"/>
              <w:spacing w:line="234" w:lineRule="exact"/>
              <w:ind w:left="103"/>
              <w:rPr>
                <w:sz w:val="22"/>
              </w:rPr>
            </w:pPr>
            <w:r>
              <w:rPr>
                <w:sz w:val="22"/>
              </w:rPr>
              <w:t>jacket</w:t>
            </w:r>
          </w:p>
        </w:tc>
        <w:tc>
          <w:tcPr>
            <w:tcW w:w="1648" w:type="dxa"/>
          </w:tcPr>
          <w:p>
            <w:pPr>
              <w:pStyle w:val="TableParagraph"/>
              <w:ind w:left="108" w:right="147"/>
              <w:rPr>
                <w:sz w:val="22"/>
              </w:rPr>
            </w:pPr>
            <w:r>
              <w:rPr>
                <w:sz w:val="22"/>
              </w:rPr>
              <w:t>Armor piercing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rounds;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high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power hunting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rifle</w:t>
            </w:r>
          </w:p>
        </w:tc>
        <w:tc>
          <w:tcPr>
            <w:tcW w:w="810" w:type="dxa"/>
            <w:tcBorders>
              <w:right w:val="single" w:sz="8" w:space="0" w:color="000000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7"/>
              <w:rPr>
                <w:i/>
                <w:sz w:val="19"/>
              </w:rPr>
            </w:pPr>
          </w:p>
          <w:p>
            <w:pPr>
              <w:pStyle w:val="TableParagraph"/>
              <w:ind w:left="137" w:right="122"/>
              <w:jc w:val="center"/>
              <w:rPr>
                <w:sz w:val="22"/>
              </w:rPr>
            </w:pPr>
            <w:r>
              <w:rPr>
                <w:sz w:val="22"/>
              </w:rPr>
              <w:t>166</w:t>
            </w:r>
          </w:p>
        </w:tc>
        <w:tc>
          <w:tcPr>
            <w:tcW w:w="810" w:type="dxa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7"/>
              <w:rPr>
                <w:i/>
                <w:sz w:val="19"/>
              </w:rPr>
            </w:pPr>
          </w:p>
          <w:p>
            <w:pPr>
              <w:pStyle w:val="TableParagraph"/>
              <w:ind w:left="131" w:right="122"/>
              <w:jc w:val="center"/>
              <w:rPr>
                <w:sz w:val="22"/>
              </w:rPr>
            </w:pPr>
            <w:r>
              <w:rPr>
                <w:sz w:val="22"/>
              </w:rPr>
              <w:t>10.80</w:t>
            </w:r>
          </w:p>
        </w:tc>
        <w:tc>
          <w:tcPr>
            <w:tcW w:w="739" w:type="dxa"/>
            <w:tcBorders>
              <w:left w:val="single" w:sz="8" w:space="0" w:color="000000"/>
              <w:right w:val="nil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7"/>
              <w:rPr>
                <w:i/>
                <w:sz w:val="19"/>
              </w:rPr>
            </w:pPr>
          </w:p>
          <w:p>
            <w:pPr>
              <w:pStyle w:val="TableParagraph"/>
              <w:ind w:left="88" w:right="104"/>
              <w:jc w:val="center"/>
              <w:rPr>
                <w:sz w:val="22"/>
              </w:rPr>
            </w:pPr>
            <w:r>
              <w:rPr>
                <w:sz w:val="22"/>
              </w:rPr>
              <w:t>2,715</w:t>
            </w:r>
          </w:p>
        </w:tc>
        <w:tc>
          <w:tcPr>
            <w:tcW w:w="611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7"/>
              <w:rPr>
                <w:i/>
                <w:sz w:val="19"/>
              </w:rPr>
            </w:pPr>
          </w:p>
          <w:p>
            <w:pPr>
              <w:pStyle w:val="TableParagraph"/>
              <w:ind w:left="116" w:right="114"/>
              <w:jc w:val="center"/>
              <w:rPr>
                <w:sz w:val="22"/>
              </w:rPr>
            </w:pPr>
            <w:r>
              <w:rPr>
                <w:sz w:val="22"/>
              </w:rPr>
              <w:t>828</w:t>
            </w:r>
          </w:p>
        </w:tc>
        <w:tc>
          <w:tcPr>
            <w:tcW w:w="962" w:type="dxa"/>
            <w:tcBorders>
              <w:left w:val="single" w:sz="8" w:space="0" w:color="000000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7"/>
              <w:rPr>
                <w:i/>
                <w:sz w:val="19"/>
              </w:rPr>
            </w:pPr>
          </w:p>
          <w:p>
            <w:pPr>
              <w:pStyle w:val="TableParagraph"/>
              <w:ind w:left="4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1</w:t>
            </w:r>
          </w:p>
        </w:tc>
      </w:tr>
      <w:tr>
        <w:trPr>
          <w:trHeight w:val="1011" w:hRule="atLeast"/>
        </w:trPr>
        <w:tc>
          <w:tcPr>
            <w:tcW w:w="1070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before="9"/>
              <w:rPr>
                <w:i/>
                <w:sz w:val="32"/>
              </w:rPr>
            </w:pPr>
          </w:p>
          <w:p>
            <w:pPr>
              <w:pStyle w:val="TableParagraph"/>
              <w:ind w:left="128" w:right="113"/>
              <w:jc w:val="center"/>
              <w:rPr>
                <w:sz w:val="22"/>
              </w:rPr>
            </w:pPr>
            <w:r>
              <w:rPr>
                <w:sz w:val="22"/>
              </w:rPr>
              <w:t>Level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10</w:t>
            </w:r>
          </w:p>
        </w:tc>
        <w:tc>
          <w:tcPr>
            <w:tcW w:w="2070" w:type="dxa"/>
            <w:tcBorders>
              <w:left w:val="single" w:sz="8" w:space="0" w:color="000000"/>
            </w:tcBorders>
          </w:tcPr>
          <w:p>
            <w:pPr>
              <w:pStyle w:val="TableParagraph"/>
              <w:ind w:left="103" w:right="238"/>
              <w:rPr>
                <w:sz w:val="22"/>
              </w:rPr>
            </w:pPr>
            <w:r>
              <w:rPr>
                <w:sz w:val="22"/>
              </w:rPr>
              <w:t>0.50-caliber rifle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lead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core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full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metal</w:t>
            </w:r>
          </w:p>
          <w:p>
            <w:pPr>
              <w:pStyle w:val="TableParagraph"/>
              <w:spacing w:line="254" w:lineRule="exact"/>
              <w:ind w:left="103" w:right="698"/>
              <w:rPr>
                <w:sz w:val="22"/>
              </w:rPr>
            </w:pPr>
            <w:r>
              <w:rPr>
                <w:sz w:val="22"/>
              </w:rPr>
              <w:t>copper jacket,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military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ball</w:t>
            </w:r>
          </w:p>
        </w:tc>
        <w:tc>
          <w:tcPr>
            <w:tcW w:w="1648" w:type="dxa"/>
          </w:tcPr>
          <w:p>
            <w:pPr>
              <w:pStyle w:val="TableParagraph"/>
              <w:ind w:left="108" w:right="233"/>
              <w:rPr>
                <w:sz w:val="22"/>
              </w:rPr>
            </w:pPr>
            <w:r>
              <w:rPr>
                <w:sz w:val="22"/>
              </w:rPr>
              <w:t>One shot from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military</w:t>
            </w:r>
            <w:r>
              <w:rPr>
                <w:spacing w:val="-13"/>
                <w:sz w:val="22"/>
              </w:rPr>
              <w:t> </w:t>
            </w:r>
            <w:r>
              <w:rPr>
                <w:sz w:val="22"/>
              </w:rPr>
              <w:t>sniper</w:t>
            </w:r>
          </w:p>
          <w:p>
            <w:pPr>
              <w:pStyle w:val="TableParagraph"/>
              <w:spacing w:line="254" w:lineRule="exact"/>
              <w:ind w:left="108" w:right="356"/>
              <w:rPr>
                <w:sz w:val="22"/>
              </w:rPr>
            </w:pPr>
            <w:r>
              <w:rPr>
                <w:sz w:val="22"/>
              </w:rPr>
              <w:t>rifle; 0.50-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caliber</w:t>
            </w:r>
            <w:r>
              <w:rPr>
                <w:spacing w:val="-13"/>
                <w:sz w:val="22"/>
              </w:rPr>
              <w:t> </w:t>
            </w:r>
            <w:r>
              <w:rPr>
                <w:sz w:val="22"/>
              </w:rPr>
              <w:t>round</w:t>
            </w:r>
          </w:p>
        </w:tc>
        <w:tc>
          <w:tcPr>
            <w:tcW w:w="810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before="9"/>
              <w:rPr>
                <w:i/>
                <w:sz w:val="32"/>
              </w:rPr>
            </w:pPr>
          </w:p>
          <w:p>
            <w:pPr>
              <w:pStyle w:val="TableParagraph"/>
              <w:ind w:left="137" w:right="123"/>
              <w:jc w:val="center"/>
              <w:rPr>
                <w:sz w:val="22"/>
              </w:rPr>
            </w:pPr>
            <w:r>
              <w:rPr>
                <w:sz w:val="22"/>
              </w:rPr>
              <w:t>709.5</w:t>
            </w:r>
          </w:p>
        </w:tc>
        <w:tc>
          <w:tcPr>
            <w:tcW w:w="810" w:type="dxa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9"/>
              <w:rPr>
                <w:i/>
                <w:sz w:val="32"/>
              </w:rPr>
            </w:pPr>
          </w:p>
          <w:p>
            <w:pPr>
              <w:pStyle w:val="TableParagraph"/>
              <w:ind w:left="131" w:right="123"/>
              <w:jc w:val="center"/>
              <w:rPr>
                <w:sz w:val="22"/>
              </w:rPr>
            </w:pPr>
            <w:r>
              <w:rPr>
                <w:sz w:val="22"/>
              </w:rPr>
              <w:t>45.90</w:t>
            </w:r>
          </w:p>
        </w:tc>
        <w:tc>
          <w:tcPr>
            <w:tcW w:w="739" w:type="dxa"/>
            <w:tcBorders>
              <w:left w:val="single" w:sz="8" w:space="0" w:color="000000"/>
              <w:right w:val="nil"/>
            </w:tcBorders>
          </w:tcPr>
          <w:p>
            <w:pPr>
              <w:pStyle w:val="TableParagraph"/>
              <w:spacing w:before="9"/>
              <w:rPr>
                <w:i/>
                <w:sz w:val="32"/>
              </w:rPr>
            </w:pPr>
          </w:p>
          <w:p>
            <w:pPr>
              <w:pStyle w:val="TableParagraph"/>
              <w:ind w:left="88" w:right="105"/>
              <w:jc w:val="center"/>
              <w:rPr>
                <w:sz w:val="22"/>
              </w:rPr>
            </w:pPr>
            <w:r>
              <w:rPr>
                <w:sz w:val="22"/>
              </w:rPr>
              <w:t>2,810</w:t>
            </w:r>
          </w:p>
        </w:tc>
        <w:tc>
          <w:tcPr>
            <w:tcW w:w="611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before="9"/>
              <w:rPr>
                <w:i/>
                <w:sz w:val="32"/>
              </w:rPr>
            </w:pPr>
          </w:p>
          <w:p>
            <w:pPr>
              <w:pStyle w:val="TableParagraph"/>
              <w:ind w:left="115" w:right="114"/>
              <w:jc w:val="center"/>
              <w:rPr>
                <w:sz w:val="22"/>
              </w:rPr>
            </w:pPr>
            <w:r>
              <w:rPr>
                <w:sz w:val="22"/>
              </w:rPr>
              <w:t>856</w:t>
            </w:r>
          </w:p>
        </w:tc>
        <w:tc>
          <w:tcPr>
            <w:tcW w:w="962" w:type="dxa"/>
            <w:tcBorders>
              <w:left w:val="single" w:sz="8" w:space="0" w:color="000000"/>
            </w:tcBorders>
          </w:tcPr>
          <w:p>
            <w:pPr>
              <w:pStyle w:val="TableParagraph"/>
              <w:spacing w:before="9"/>
              <w:rPr>
                <w:i/>
                <w:sz w:val="32"/>
              </w:rPr>
            </w:pPr>
          </w:p>
          <w:p>
            <w:pPr>
              <w:pStyle w:val="TableParagraph"/>
              <w:ind w:left="4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1</w:t>
            </w:r>
          </w:p>
        </w:tc>
      </w:tr>
      <w:tr>
        <w:trPr>
          <w:trHeight w:val="580" w:hRule="atLeast"/>
        </w:trPr>
        <w:tc>
          <w:tcPr>
            <w:tcW w:w="1070" w:type="dxa"/>
            <w:vMerge w:val="restart"/>
            <w:tcBorders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69"/>
              <w:ind w:left="173" w:right="159" w:firstLine="19"/>
              <w:jc w:val="both"/>
              <w:rPr>
                <w:sz w:val="22"/>
              </w:rPr>
            </w:pPr>
            <w:r>
              <w:rPr>
                <w:sz w:val="22"/>
              </w:rPr>
              <w:t>Supple-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mentary</w:t>
            </w:r>
            <w:r>
              <w:rPr>
                <w:spacing w:val="-54"/>
                <w:sz w:val="22"/>
              </w:rPr>
              <w:t> </w:t>
            </w:r>
            <w:r>
              <w:rPr>
                <w:sz w:val="22"/>
              </w:rPr>
              <w:t>shotgun</w:t>
            </w:r>
          </w:p>
        </w:tc>
        <w:tc>
          <w:tcPr>
            <w:tcW w:w="2070" w:type="dxa"/>
            <w:tcBorders>
              <w:left w:val="single" w:sz="8" w:space="0" w:color="000000"/>
              <w:bottom w:val="nil"/>
            </w:tcBorders>
          </w:tcPr>
          <w:p>
            <w:pPr>
              <w:pStyle w:val="TableParagraph"/>
              <w:spacing w:line="250" w:lineRule="atLeast" w:before="54"/>
              <w:ind w:left="103" w:right="121"/>
              <w:rPr>
                <w:sz w:val="22"/>
              </w:rPr>
            </w:pPr>
            <w:r>
              <w:rPr>
                <w:sz w:val="22"/>
              </w:rPr>
              <w:t>12-Gauge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rifled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lead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slug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and</w:t>
            </w:r>
          </w:p>
        </w:tc>
        <w:tc>
          <w:tcPr>
            <w:tcW w:w="1648" w:type="dxa"/>
            <w:tcBorders>
              <w:bottom w:val="nil"/>
            </w:tcBorders>
          </w:tcPr>
          <w:p>
            <w:pPr>
              <w:pStyle w:val="TableParagraph"/>
              <w:spacing w:line="249" w:lineRule="exact"/>
              <w:ind w:left="108"/>
              <w:rPr>
                <w:sz w:val="22"/>
              </w:rPr>
            </w:pPr>
            <w:r>
              <w:rPr>
                <w:sz w:val="22"/>
              </w:rPr>
              <w:t>Rifled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lead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slug</w:t>
            </w:r>
          </w:p>
        </w:tc>
        <w:tc>
          <w:tcPr>
            <w:tcW w:w="810" w:type="dxa"/>
            <w:tcBorders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160"/>
              <w:ind w:left="137" w:right="122"/>
              <w:jc w:val="center"/>
              <w:rPr>
                <w:sz w:val="22"/>
              </w:rPr>
            </w:pPr>
            <w:r>
              <w:rPr>
                <w:sz w:val="22"/>
              </w:rPr>
              <w:t>437</w:t>
            </w:r>
          </w:p>
        </w:tc>
        <w:tc>
          <w:tcPr>
            <w:tcW w:w="810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160"/>
              <w:ind w:left="131" w:right="122"/>
              <w:jc w:val="center"/>
              <w:rPr>
                <w:sz w:val="22"/>
              </w:rPr>
            </w:pPr>
            <w:r>
              <w:rPr>
                <w:sz w:val="22"/>
              </w:rPr>
              <w:t>28.30</w:t>
            </w:r>
          </w:p>
        </w:tc>
        <w:tc>
          <w:tcPr>
            <w:tcW w:w="739" w:type="dxa"/>
            <w:tcBorders>
              <w:left w:val="single" w:sz="8" w:space="0" w:color="000000"/>
              <w:bottom w:val="nil"/>
              <w:right w:val="nil"/>
            </w:tcBorders>
          </w:tcPr>
          <w:p>
            <w:pPr>
              <w:pStyle w:val="TableParagraph"/>
              <w:spacing w:before="160"/>
              <w:ind w:left="88" w:right="104"/>
              <w:jc w:val="center"/>
              <w:rPr>
                <w:sz w:val="22"/>
              </w:rPr>
            </w:pPr>
            <w:r>
              <w:rPr>
                <w:sz w:val="22"/>
              </w:rPr>
              <w:t>1,585</w:t>
            </w:r>
          </w:p>
        </w:tc>
        <w:tc>
          <w:tcPr>
            <w:tcW w:w="611" w:type="dxa"/>
            <w:tcBorders>
              <w:left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160"/>
              <w:ind w:left="116" w:right="114"/>
              <w:jc w:val="center"/>
              <w:rPr>
                <w:sz w:val="22"/>
              </w:rPr>
            </w:pPr>
            <w:r>
              <w:rPr>
                <w:sz w:val="22"/>
              </w:rPr>
              <w:t>483</w:t>
            </w:r>
          </w:p>
        </w:tc>
        <w:tc>
          <w:tcPr>
            <w:tcW w:w="962" w:type="dxa"/>
            <w:vMerge w:val="restart"/>
            <w:tcBorders>
              <w:left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160"/>
              <w:ind w:left="4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3</w:t>
            </w:r>
          </w:p>
        </w:tc>
      </w:tr>
      <w:tr>
        <w:trPr>
          <w:trHeight w:val="502" w:hRule="atLeast"/>
        </w:trPr>
        <w:tc>
          <w:tcPr>
            <w:tcW w:w="1070" w:type="dxa"/>
            <w:vMerge/>
            <w:tcBorders>
              <w:top w:val="nil"/>
              <w:bottom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070" w:type="dxa"/>
            <w:tcBorders>
              <w:top w:val="nil"/>
              <w:left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48" w:lineRule="exact"/>
              <w:ind w:left="103"/>
              <w:rPr>
                <w:sz w:val="22"/>
              </w:rPr>
            </w:pPr>
            <w:r>
              <w:rPr>
                <w:sz w:val="22"/>
              </w:rPr>
              <w:t>12-Gauge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00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lead</w:t>
            </w:r>
          </w:p>
          <w:p>
            <w:pPr>
              <w:pStyle w:val="TableParagraph"/>
              <w:spacing w:line="234" w:lineRule="exact"/>
              <w:ind w:left="103"/>
              <w:rPr>
                <w:sz w:val="22"/>
              </w:rPr>
            </w:pPr>
            <w:r>
              <w:rPr>
                <w:sz w:val="22"/>
              </w:rPr>
              <w:t>buckshot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(12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pellets)</w:t>
            </w:r>
          </w:p>
        </w:tc>
        <w:tc>
          <w:tcPr>
            <w:tcW w:w="1648" w:type="dxa"/>
            <w:tcBorders>
              <w:top w:val="nil"/>
              <w:bottom w:val="single" w:sz="8" w:space="0" w:color="000000"/>
            </w:tcBorders>
          </w:tcPr>
          <w:p>
            <w:pPr>
              <w:pStyle w:val="TableParagraph"/>
              <w:spacing w:line="248" w:lineRule="exact"/>
              <w:ind w:left="108"/>
              <w:rPr>
                <w:sz w:val="22"/>
              </w:rPr>
            </w:pPr>
            <w:r>
              <w:rPr>
                <w:sz w:val="22"/>
              </w:rPr>
              <w:t>00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lead</w:t>
            </w:r>
          </w:p>
          <w:p>
            <w:pPr>
              <w:pStyle w:val="TableParagraph"/>
              <w:spacing w:line="234" w:lineRule="exact"/>
              <w:ind w:left="108"/>
              <w:rPr>
                <w:sz w:val="22"/>
              </w:rPr>
            </w:pPr>
            <w:r>
              <w:rPr>
                <w:sz w:val="22"/>
              </w:rPr>
              <w:t>buckshot</w:t>
            </w:r>
          </w:p>
        </w:tc>
        <w:tc>
          <w:tcPr>
            <w:tcW w:w="810" w:type="dxa"/>
            <w:tcBorders>
              <w:top w:val="nil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22"/>
              <w:ind w:left="137" w:right="122"/>
              <w:jc w:val="center"/>
              <w:rPr>
                <w:sz w:val="22"/>
              </w:rPr>
            </w:pPr>
            <w:r>
              <w:rPr>
                <w:sz w:val="22"/>
              </w:rPr>
              <w:t>650</w:t>
            </w:r>
          </w:p>
        </w:tc>
        <w:tc>
          <w:tcPr>
            <w:tcW w:w="81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22"/>
              <w:ind w:left="131" w:right="122"/>
              <w:jc w:val="center"/>
              <w:rPr>
                <w:sz w:val="22"/>
              </w:rPr>
            </w:pPr>
            <w:r>
              <w:rPr>
                <w:sz w:val="22"/>
              </w:rPr>
              <w:t>42.00</w:t>
            </w:r>
          </w:p>
        </w:tc>
        <w:tc>
          <w:tcPr>
            <w:tcW w:w="739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</w:tcPr>
          <w:p>
            <w:pPr>
              <w:pStyle w:val="TableParagraph"/>
              <w:spacing w:before="122"/>
              <w:ind w:left="88" w:right="104"/>
              <w:jc w:val="center"/>
              <w:rPr>
                <w:sz w:val="22"/>
              </w:rPr>
            </w:pPr>
            <w:r>
              <w:rPr>
                <w:sz w:val="22"/>
              </w:rPr>
              <w:t>1,200</w:t>
            </w:r>
          </w:p>
        </w:tc>
        <w:tc>
          <w:tcPr>
            <w:tcW w:w="61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22"/>
              <w:ind w:left="116" w:right="114"/>
              <w:jc w:val="center"/>
              <w:rPr>
                <w:sz w:val="22"/>
              </w:rPr>
            </w:pPr>
            <w:r>
              <w:rPr>
                <w:sz w:val="22"/>
              </w:rPr>
              <w:t>366</w:t>
            </w:r>
          </w:p>
        </w:tc>
        <w:tc>
          <w:tcPr>
            <w:tcW w:w="962" w:type="dxa"/>
            <w:vMerge/>
            <w:tcBorders>
              <w:top w:val="nil"/>
              <w:left w:val="single" w:sz="8" w:space="0" w:color="000000"/>
              <w:bottom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07" w:hRule="atLeast"/>
        </w:trPr>
        <w:tc>
          <w:tcPr>
            <w:tcW w:w="8720" w:type="dxa"/>
            <w:gridSpan w:val="8"/>
            <w:tcBorders>
              <w:top w:val="single" w:sz="8" w:space="0" w:color="000000"/>
            </w:tcBorders>
          </w:tcPr>
          <w:p>
            <w:pPr>
              <w:pStyle w:val="TableParagraph"/>
              <w:spacing w:line="252" w:lineRule="exact"/>
              <w:ind w:left="107" w:right="4507"/>
              <w:rPr>
                <w:sz w:val="22"/>
              </w:rPr>
            </w:pPr>
            <w:r>
              <w:rPr>
                <w:sz w:val="22"/>
              </w:rPr>
              <w:t>Note: Maximum velocity is 110 percent of the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minimum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velocity.</w:t>
            </w:r>
          </w:p>
        </w:tc>
      </w:tr>
    </w:tbl>
    <w:p>
      <w:pPr>
        <w:spacing w:after="0" w:line="252" w:lineRule="exact"/>
        <w:rPr>
          <w:sz w:val="22"/>
        </w:rPr>
        <w:sectPr>
          <w:pgSz w:w="12240" w:h="15840"/>
          <w:pgMar w:header="0" w:footer="1064" w:top="1360" w:bottom="1260" w:left="1720" w:right="1180"/>
        </w:sectPr>
      </w:pPr>
    </w:p>
    <w:p>
      <w:pPr>
        <w:pStyle w:val="BodyText"/>
        <w:rPr>
          <w:i/>
          <w:sz w:val="20"/>
        </w:rPr>
      </w:pPr>
      <w:r>
        <w:rPr/>
        <w:pict>
          <v:shape style="position:absolute;margin-left:48.904297pt;margin-top:312.5pt;width:15.3pt;height:20pt;mso-position-horizontal-relative:page;mso-position-vertical-relative:page;z-index:15787520" type="#_x0000_t202" filled="false" stroked="false">
            <v:textbox inset="0,0,0,0" style="layout-flow:vertical">
              <w:txbxContent>
                <w:p>
                  <w:pPr>
                    <w:pStyle w:val="BodyText"/>
                    <w:spacing w:before="10"/>
                    <w:ind w:left="20"/>
                  </w:pPr>
                  <w:r>
                    <w:rPr/>
                    <w:t>154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spacing w:before="219"/>
        <w:ind w:left="300" w:right="0" w:firstLine="0"/>
        <w:jc w:val="left"/>
        <w:rPr>
          <w:i/>
          <w:sz w:val="24"/>
        </w:rPr>
      </w:pPr>
      <w:bookmarkStart w:name="_bookmark52" w:id="249"/>
      <w:bookmarkEnd w:id="249"/>
      <w:r>
        <w:rPr/>
      </w:r>
      <w:r>
        <w:rPr>
          <w:i/>
          <w:sz w:val="24"/>
        </w:rPr>
        <w:t>Table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5-3.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level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performance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standards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based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NIJ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0108.01.</w:t>
      </w:r>
    </w:p>
    <w:p>
      <w:pPr>
        <w:pStyle w:val="BodyText"/>
        <w:spacing w:before="6"/>
        <w:rPr>
          <w:i/>
          <w:sz w:val="17"/>
        </w:rPr>
      </w:pPr>
    </w:p>
    <w:tbl>
      <w:tblPr>
        <w:tblW w:w="0" w:type="auto"/>
        <w:jc w:val="left"/>
        <w:tblInd w:w="13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55"/>
        <w:gridCol w:w="2263"/>
        <w:gridCol w:w="916"/>
        <w:gridCol w:w="885"/>
        <w:gridCol w:w="1064"/>
        <w:gridCol w:w="1116"/>
        <w:gridCol w:w="1135"/>
        <w:gridCol w:w="1356"/>
        <w:gridCol w:w="1082"/>
        <w:gridCol w:w="1303"/>
      </w:tblGrid>
      <w:tr>
        <w:trPr>
          <w:trHeight w:val="1199" w:hRule="atLeast"/>
        </w:trPr>
        <w:tc>
          <w:tcPr>
            <w:tcW w:w="2155" w:type="dxa"/>
            <w:shd w:val="clear" w:color="auto" w:fill="C0C0C0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96"/>
              <w:ind w:left="111" w:right="72"/>
              <w:jc w:val="center"/>
              <w:rPr>
                <w:sz w:val="22"/>
              </w:rPr>
            </w:pPr>
            <w:r>
              <w:rPr>
                <w:sz w:val="22"/>
              </w:rPr>
              <w:t>Level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Performance</w:t>
            </w:r>
          </w:p>
        </w:tc>
        <w:tc>
          <w:tcPr>
            <w:tcW w:w="2263" w:type="dxa"/>
            <w:shd w:val="clear" w:color="auto" w:fill="C0C0C0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96"/>
              <w:ind w:left="352"/>
              <w:rPr>
                <w:sz w:val="22"/>
              </w:rPr>
            </w:pPr>
            <w:r>
              <w:rPr>
                <w:sz w:val="22"/>
              </w:rPr>
              <w:t>Test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Ammunition</w:t>
            </w:r>
          </w:p>
        </w:tc>
        <w:tc>
          <w:tcPr>
            <w:tcW w:w="1801" w:type="dxa"/>
            <w:gridSpan w:val="2"/>
            <w:shd w:val="clear" w:color="auto" w:fill="C0C0C0"/>
          </w:tcPr>
          <w:p>
            <w:pPr>
              <w:pStyle w:val="TableParagraph"/>
              <w:spacing w:before="185"/>
              <w:ind w:left="24"/>
              <w:jc w:val="center"/>
              <w:rPr>
                <w:sz w:val="22"/>
              </w:rPr>
            </w:pPr>
            <w:r>
              <w:rPr>
                <w:sz w:val="22"/>
              </w:rPr>
              <w:t>Nominal Bullet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Mass</w:t>
            </w:r>
          </w:p>
          <w:p>
            <w:pPr>
              <w:pStyle w:val="TableParagraph"/>
              <w:spacing w:before="1"/>
              <w:rPr>
                <w:i/>
                <w:sz w:val="22"/>
              </w:rPr>
            </w:pPr>
          </w:p>
          <w:p>
            <w:pPr>
              <w:pStyle w:val="TableParagraph"/>
              <w:tabs>
                <w:tab w:pos="922" w:val="left" w:leader="none"/>
              </w:tabs>
              <w:spacing w:line="234" w:lineRule="exact"/>
              <w:ind w:left="21"/>
              <w:jc w:val="center"/>
              <w:rPr>
                <w:sz w:val="22"/>
              </w:rPr>
            </w:pPr>
            <w:r>
              <w:rPr>
                <w:sz w:val="22"/>
              </w:rPr>
              <w:t>(grams)</w:t>
              <w:tab/>
              <w:t>(grains)</w:t>
            </w:r>
          </w:p>
        </w:tc>
        <w:tc>
          <w:tcPr>
            <w:tcW w:w="2180" w:type="dxa"/>
            <w:gridSpan w:val="2"/>
            <w:shd w:val="clear" w:color="auto" w:fill="C0C0C0"/>
          </w:tcPr>
          <w:p>
            <w:pPr>
              <w:pStyle w:val="TableParagraph"/>
              <w:spacing w:before="185"/>
              <w:ind w:left="779" w:right="294" w:hanging="443"/>
              <w:rPr>
                <w:sz w:val="22"/>
              </w:rPr>
            </w:pPr>
            <w:r>
              <w:rPr>
                <w:sz w:val="22"/>
              </w:rPr>
              <w:t>Suggested Barrel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Length</w:t>
            </w:r>
          </w:p>
          <w:p>
            <w:pPr>
              <w:pStyle w:val="TableParagraph"/>
              <w:spacing w:before="1"/>
              <w:rPr>
                <w:i/>
                <w:sz w:val="22"/>
              </w:rPr>
            </w:pPr>
          </w:p>
          <w:p>
            <w:pPr>
              <w:pStyle w:val="TableParagraph"/>
              <w:tabs>
                <w:tab w:pos="1298" w:val="left" w:leader="none"/>
              </w:tabs>
              <w:spacing w:line="234" w:lineRule="exact"/>
              <w:ind w:left="353"/>
              <w:rPr>
                <w:sz w:val="22"/>
              </w:rPr>
            </w:pPr>
            <w:r>
              <w:rPr>
                <w:sz w:val="22"/>
              </w:rPr>
              <w:t>(cm)</w:t>
              <w:tab/>
              <w:t>(inches)</w:t>
            </w:r>
          </w:p>
        </w:tc>
        <w:tc>
          <w:tcPr>
            <w:tcW w:w="2491" w:type="dxa"/>
            <w:gridSpan w:val="2"/>
            <w:shd w:val="clear" w:color="auto" w:fill="C0C0C0"/>
          </w:tcPr>
          <w:p>
            <w:pPr>
              <w:pStyle w:val="TableParagraph"/>
              <w:tabs>
                <w:tab w:pos="1575" w:val="left" w:leader="none"/>
              </w:tabs>
              <w:spacing w:line="634" w:lineRule="exact"/>
              <w:ind w:left="309" w:right="114" w:hanging="167"/>
              <w:rPr>
                <w:sz w:val="22"/>
              </w:rPr>
            </w:pPr>
            <w:r>
              <w:rPr>
                <w:sz w:val="22"/>
              </w:rPr>
              <w:t>Required Bullet Velocity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(m/s)</w:t>
              <w:tab/>
              <w:t>(ft/s)</w:t>
            </w:r>
          </w:p>
        </w:tc>
        <w:tc>
          <w:tcPr>
            <w:tcW w:w="1082" w:type="dxa"/>
            <w:shd w:val="clear" w:color="auto" w:fill="C0C0C0"/>
          </w:tcPr>
          <w:p>
            <w:pPr>
              <w:pStyle w:val="TableParagraph"/>
              <w:spacing w:before="91"/>
              <w:ind w:left="93" w:right="61"/>
              <w:jc w:val="center"/>
              <w:rPr>
                <w:sz w:val="22"/>
              </w:rPr>
            </w:pPr>
            <w:r>
              <w:rPr>
                <w:sz w:val="22"/>
              </w:rPr>
              <w:t>Required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Hits Per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Armor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1"/>
                <w:sz w:val="22"/>
              </w:rPr>
              <w:t>Specimen</w:t>
            </w:r>
          </w:p>
        </w:tc>
        <w:tc>
          <w:tcPr>
            <w:tcW w:w="1303" w:type="dxa"/>
            <w:shd w:val="clear" w:color="auto" w:fill="C0C0C0"/>
          </w:tcPr>
          <w:p>
            <w:pPr>
              <w:pStyle w:val="TableParagraph"/>
              <w:rPr>
                <w:i/>
                <w:sz w:val="30"/>
              </w:rPr>
            </w:pPr>
          </w:p>
          <w:p>
            <w:pPr>
              <w:pStyle w:val="TableParagraph"/>
              <w:ind w:left="115" w:right="60" w:firstLine="116"/>
              <w:rPr>
                <w:sz w:val="22"/>
              </w:rPr>
            </w:pPr>
            <w:r>
              <w:rPr>
                <w:sz w:val="22"/>
              </w:rPr>
              <w:t>Permitted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Penetrations</w:t>
            </w:r>
          </w:p>
        </w:tc>
      </w:tr>
      <w:tr>
        <w:trPr>
          <w:trHeight w:val="258" w:hRule="atLeast"/>
        </w:trPr>
        <w:tc>
          <w:tcPr>
            <w:tcW w:w="2155" w:type="dxa"/>
            <w:tcBorders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263" w:type="dxa"/>
            <w:tcBorders>
              <w:bottom w:val="nil"/>
            </w:tcBorders>
          </w:tcPr>
          <w:p>
            <w:pPr>
              <w:pStyle w:val="TableParagraph"/>
              <w:spacing w:line="221" w:lineRule="exact"/>
              <w:ind w:left="107"/>
              <w:rPr>
                <w:sz w:val="22"/>
              </w:rPr>
            </w:pPr>
            <w:r>
              <w:rPr>
                <w:sz w:val="22"/>
              </w:rPr>
              <w:t>22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LRHV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Lead</w:t>
            </w:r>
          </w:p>
        </w:tc>
        <w:tc>
          <w:tcPr>
            <w:tcW w:w="916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221" w:lineRule="exact"/>
              <w:ind w:left="240" w:right="240"/>
              <w:jc w:val="center"/>
              <w:rPr>
                <w:sz w:val="22"/>
              </w:rPr>
            </w:pPr>
            <w:r>
              <w:rPr>
                <w:sz w:val="22"/>
              </w:rPr>
              <w:t>2.6</w:t>
            </w:r>
          </w:p>
        </w:tc>
        <w:tc>
          <w:tcPr>
            <w:tcW w:w="885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221" w:lineRule="exact"/>
              <w:ind w:left="262" w:right="243"/>
              <w:jc w:val="center"/>
              <w:rPr>
                <w:sz w:val="22"/>
              </w:rPr>
            </w:pPr>
            <w:r>
              <w:rPr>
                <w:sz w:val="22"/>
              </w:rPr>
              <w:t>40</w:t>
            </w:r>
          </w:p>
        </w:tc>
        <w:tc>
          <w:tcPr>
            <w:tcW w:w="1064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221" w:lineRule="exact"/>
              <w:ind w:left="201" w:right="133"/>
              <w:jc w:val="center"/>
              <w:rPr>
                <w:sz w:val="22"/>
              </w:rPr>
            </w:pPr>
            <w:r>
              <w:rPr>
                <w:sz w:val="22"/>
              </w:rPr>
              <w:t>15-16.5</w:t>
            </w:r>
          </w:p>
        </w:tc>
        <w:tc>
          <w:tcPr>
            <w:tcW w:w="1116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221" w:lineRule="exact"/>
              <w:ind w:left="140" w:right="49"/>
              <w:jc w:val="center"/>
              <w:rPr>
                <w:sz w:val="22"/>
              </w:rPr>
            </w:pPr>
            <w:r>
              <w:rPr>
                <w:sz w:val="22"/>
              </w:rPr>
              <w:t>6-6.5</w:t>
            </w:r>
          </w:p>
        </w:tc>
        <w:tc>
          <w:tcPr>
            <w:tcW w:w="1135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221" w:lineRule="exact"/>
              <w:ind w:left="110"/>
              <w:rPr>
                <w:sz w:val="22"/>
              </w:rPr>
            </w:pPr>
            <w:r>
              <w:rPr>
                <w:sz w:val="22"/>
              </w:rPr>
              <w:t>320+/-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12</w:t>
            </w:r>
          </w:p>
        </w:tc>
        <w:tc>
          <w:tcPr>
            <w:tcW w:w="1356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221" w:lineRule="exact"/>
              <w:ind w:left="177"/>
              <w:rPr>
                <w:sz w:val="22"/>
              </w:rPr>
            </w:pPr>
            <w:r>
              <w:rPr>
                <w:sz w:val="22"/>
              </w:rPr>
              <w:t>1050+/-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40</w:t>
            </w:r>
          </w:p>
        </w:tc>
        <w:tc>
          <w:tcPr>
            <w:tcW w:w="1082" w:type="dxa"/>
            <w:tcBorders>
              <w:bottom w:val="nil"/>
            </w:tcBorders>
          </w:tcPr>
          <w:p>
            <w:pPr>
              <w:pStyle w:val="TableParagraph"/>
              <w:spacing w:line="221" w:lineRule="exact"/>
              <w:ind w:left="30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5</w:t>
            </w:r>
          </w:p>
        </w:tc>
        <w:tc>
          <w:tcPr>
            <w:tcW w:w="1303" w:type="dxa"/>
            <w:tcBorders>
              <w:bottom w:val="nil"/>
            </w:tcBorders>
          </w:tcPr>
          <w:p>
            <w:pPr>
              <w:pStyle w:val="TableParagraph"/>
              <w:spacing w:line="221" w:lineRule="exact"/>
              <w:ind w:right="566"/>
              <w:jc w:val="right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</w:tr>
      <w:tr>
        <w:trPr>
          <w:trHeight w:val="282" w:hRule="atLeast"/>
        </w:trPr>
        <w:tc>
          <w:tcPr>
            <w:tcW w:w="2155" w:type="dxa"/>
            <w:tcBorders>
              <w:top w:val="nil"/>
            </w:tcBorders>
          </w:tcPr>
          <w:p>
            <w:pPr>
              <w:pStyle w:val="TableParagraph"/>
              <w:spacing w:line="234" w:lineRule="exact" w:before="28"/>
              <w:ind w:left="111" w:right="71"/>
              <w:jc w:val="center"/>
              <w:rPr>
                <w:sz w:val="22"/>
              </w:rPr>
            </w:pPr>
            <w:r>
              <w:rPr>
                <w:sz w:val="22"/>
              </w:rPr>
              <w:t>Type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</w:t>
            </w:r>
          </w:p>
        </w:tc>
        <w:tc>
          <w:tcPr>
            <w:tcW w:w="2263" w:type="dxa"/>
            <w:tcBorders>
              <w:top w:val="nil"/>
            </w:tcBorders>
          </w:tcPr>
          <w:p>
            <w:pPr>
              <w:pStyle w:val="TableParagraph"/>
              <w:spacing w:line="234" w:lineRule="exact" w:before="28"/>
              <w:ind w:left="107"/>
              <w:rPr>
                <w:sz w:val="22"/>
              </w:rPr>
            </w:pPr>
            <w:r>
              <w:rPr>
                <w:sz w:val="22"/>
              </w:rPr>
              <w:t>38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Special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Lead</w:t>
            </w:r>
          </w:p>
        </w:tc>
        <w:tc>
          <w:tcPr>
            <w:tcW w:w="916" w:type="dxa"/>
            <w:tcBorders>
              <w:top w:val="nil"/>
              <w:right w:val="nil"/>
            </w:tcBorders>
          </w:tcPr>
          <w:p>
            <w:pPr>
              <w:pStyle w:val="TableParagraph"/>
              <w:spacing w:line="234" w:lineRule="exact" w:before="28"/>
              <w:ind w:left="240" w:right="240"/>
              <w:jc w:val="center"/>
              <w:rPr>
                <w:sz w:val="22"/>
              </w:rPr>
            </w:pPr>
            <w:r>
              <w:rPr>
                <w:sz w:val="22"/>
              </w:rPr>
              <w:t>10.2</w:t>
            </w:r>
          </w:p>
        </w:tc>
        <w:tc>
          <w:tcPr>
            <w:tcW w:w="885" w:type="dxa"/>
            <w:tcBorders>
              <w:top w:val="nil"/>
              <w:left w:val="nil"/>
            </w:tcBorders>
          </w:tcPr>
          <w:p>
            <w:pPr>
              <w:pStyle w:val="TableParagraph"/>
              <w:spacing w:line="234" w:lineRule="exact" w:before="28"/>
              <w:ind w:left="262" w:right="243"/>
              <w:jc w:val="center"/>
              <w:rPr>
                <w:sz w:val="22"/>
              </w:rPr>
            </w:pPr>
            <w:r>
              <w:rPr>
                <w:sz w:val="22"/>
              </w:rPr>
              <w:t>158</w:t>
            </w:r>
          </w:p>
        </w:tc>
        <w:tc>
          <w:tcPr>
            <w:tcW w:w="1064" w:type="dxa"/>
            <w:tcBorders>
              <w:top w:val="nil"/>
              <w:right w:val="nil"/>
            </w:tcBorders>
          </w:tcPr>
          <w:p>
            <w:pPr>
              <w:pStyle w:val="TableParagraph"/>
              <w:spacing w:line="234" w:lineRule="exact" w:before="28"/>
              <w:ind w:left="201" w:right="133"/>
              <w:jc w:val="center"/>
              <w:rPr>
                <w:sz w:val="22"/>
              </w:rPr>
            </w:pPr>
            <w:r>
              <w:rPr>
                <w:sz w:val="22"/>
              </w:rPr>
              <w:t>15-16.5</w:t>
            </w:r>
          </w:p>
        </w:tc>
        <w:tc>
          <w:tcPr>
            <w:tcW w:w="1116" w:type="dxa"/>
            <w:tcBorders>
              <w:top w:val="nil"/>
              <w:left w:val="nil"/>
            </w:tcBorders>
          </w:tcPr>
          <w:p>
            <w:pPr>
              <w:pStyle w:val="TableParagraph"/>
              <w:spacing w:line="234" w:lineRule="exact" w:before="28"/>
              <w:ind w:left="140" w:right="49"/>
              <w:jc w:val="center"/>
              <w:rPr>
                <w:sz w:val="22"/>
              </w:rPr>
            </w:pPr>
            <w:r>
              <w:rPr>
                <w:sz w:val="22"/>
              </w:rPr>
              <w:t>6-6.5</w:t>
            </w:r>
          </w:p>
        </w:tc>
        <w:tc>
          <w:tcPr>
            <w:tcW w:w="1135" w:type="dxa"/>
            <w:tcBorders>
              <w:top w:val="nil"/>
              <w:right w:val="nil"/>
            </w:tcBorders>
          </w:tcPr>
          <w:p>
            <w:pPr>
              <w:pStyle w:val="TableParagraph"/>
              <w:spacing w:line="234" w:lineRule="exact" w:before="28"/>
              <w:ind w:left="110"/>
              <w:rPr>
                <w:sz w:val="22"/>
              </w:rPr>
            </w:pPr>
            <w:r>
              <w:rPr>
                <w:sz w:val="22"/>
              </w:rPr>
              <w:t>259+/-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15</w:t>
            </w:r>
          </w:p>
        </w:tc>
        <w:tc>
          <w:tcPr>
            <w:tcW w:w="1356" w:type="dxa"/>
            <w:tcBorders>
              <w:top w:val="nil"/>
              <w:left w:val="nil"/>
            </w:tcBorders>
          </w:tcPr>
          <w:p>
            <w:pPr>
              <w:pStyle w:val="TableParagraph"/>
              <w:spacing w:line="234" w:lineRule="exact" w:before="28"/>
              <w:ind w:left="232"/>
              <w:rPr>
                <w:sz w:val="22"/>
              </w:rPr>
            </w:pPr>
            <w:r>
              <w:rPr>
                <w:sz w:val="22"/>
              </w:rPr>
              <w:t>850+/-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50</w:t>
            </w:r>
          </w:p>
        </w:tc>
        <w:tc>
          <w:tcPr>
            <w:tcW w:w="1082" w:type="dxa"/>
            <w:tcBorders>
              <w:top w:val="nil"/>
            </w:tcBorders>
          </w:tcPr>
          <w:p>
            <w:pPr>
              <w:pStyle w:val="TableParagraph"/>
              <w:spacing w:line="234" w:lineRule="exact" w:before="28"/>
              <w:ind w:left="30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5</w:t>
            </w:r>
          </w:p>
        </w:tc>
        <w:tc>
          <w:tcPr>
            <w:tcW w:w="1303" w:type="dxa"/>
            <w:tcBorders>
              <w:top w:val="nil"/>
            </w:tcBorders>
          </w:tcPr>
          <w:p>
            <w:pPr>
              <w:pStyle w:val="TableParagraph"/>
              <w:spacing w:line="234" w:lineRule="exact" w:before="28"/>
              <w:ind w:right="566"/>
              <w:jc w:val="right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</w:tr>
      <w:tr>
        <w:trPr>
          <w:trHeight w:val="327" w:hRule="atLeast"/>
        </w:trPr>
        <w:tc>
          <w:tcPr>
            <w:tcW w:w="2155" w:type="dxa"/>
            <w:tcBorders>
              <w:bottom w:val="nil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263" w:type="dxa"/>
            <w:tcBorders>
              <w:bottom w:val="nil"/>
            </w:tcBorders>
          </w:tcPr>
          <w:p>
            <w:pPr>
              <w:pStyle w:val="TableParagraph"/>
              <w:spacing w:before="36"/>
              <w:ind w:left="107"/>
              <w:rPr>
                <w:sz w:val="22"/>
              </w:rPr>
            </w:pPr>
            <w:r>
              <w:rPr>
                <w:sz w:val="22"/>
              </w:rPr>
              <w:t>357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Magnum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JSP</w:t>
            </w:r>
          </w:p>
        </w:tc>
        <w:tc>
          <w:tcPr>
            <w:tcW w:w="916" w:type="dxa"/>
            <w:tcBorders>
              <w:bottom w:val="nil"/>
              <w:right w:val="nil"/>
            </w:tcBorders>
          </w:tcPr>
          <w:p>
            <w:pPr>
              <w:pStyle w:val="TableParagraph"/>
              <w:spacing w:before="36"/>
              <w:ind w:left="240" w:right="240"/>
              <w:jc w:val="center"/>
              <w:rPr>
                <w:sz w:val="22"/>
              </w:rPr>
            </w:pPr>
            <w:r>
              <w:rPr>
                <w:sz w:val="22"/>
              </w:rPr>
              <w:t>10.2</w:t>
            </w:r>
          </w:p>
        </w:tc>
        <w:tc>
          <w:tcPr>
            <w:tcW w:w="885" w:type="dxa"/>
            <w:tcBorders>
              <w:left w:val="nil"/>
              <w:bottom w:val="nil"/>
            </w:tcBorders>
          </w:tcPr>
          <w:p>
            <w:pPr>
              <w:pStyle w:val="TableParagraph"/>
              <w:spacing w:before="36"/>
              <w:ind w:left="262" w:right="243"/>
              <w:jc w:val="center"/>
              <w:rPr>
                <w:sz w:val="22"/>
              </w:rPr>
            </w:pPr>
            <w:r>
              <w:rPr>
                <w:sz w:val="22"/>
              </w:rPr>
              <w:t>158</w:t>
            </w:r>
          </w:p>
        </w:tc>
        <w:tc>
          <w:tcPr>
            <w:tcW w:w="1064" w:type="dxa"/>
            <w:tcBorders>
              <w:bottom w:val="nil"/>
              <w:right w:val="nil"/>
            </w:tcBorders>
          </w:tcPr>
          <w:p>
            <w:pPr>
              <w:pStyle w:val="TableParagraph"/>
              <w:spacing w:before="36"/>
              <w:ind w:left="201" w:right="132"/>
              <w:jc w:val="center"/>
              <w:rPr>
                <w:sz w:val="22"/>
              </w:rPr>
            </w:pPr>
            <w:r>
              <w:rPr>
                <w:sz w:val="22"/>
              </w:rPr>
              <w:t>10-12</w:t>
            </w:r>
          </w:p>
        </w:tc>
        <w:tc>
          <w:tcPr>
            <w:tcW w:w="1116" w:type="dxa"/>
            <w:tcBorders>
              <w:left w:val="nil"/>
              <w:bottom w:val="nil"/>
            </w:tcBorders>
          </w:tcPr>
          <w:p>
            <w:pPr>
              <w:pStyle w:val="TableParagraph"/>
              <w:spacing w:before="36"/>
              <w:ind w:left="140" w:right="49"/>
              <w:jc w:val="center"/>
              <w:rPr>
                <w:sz w:val="22"/>
              </w:rPr>
            </w:pPr>
            <w:r>
              <w:rPr>
                <w:sz w:val="22"/>
              </w:rPr>
              <w:t>4-4.75</w:t>
            </w:r>
          </w:p>
        </w:tc>
        <w:tc>
          <w:tcPr>
            <w:tcW w:w="1135" w:type="dxa"/>
            <w:tcBorders>
              <w:bottom w:val="nil"/>
              <w:right w:val="nil"/>
            </w:tcBorders>
          </w:tcPr>
          <w:p>
            <w:pPr>
              <w:pStyle w:val="TableParagraph"/>
              <w:spacing w:before="36"/>
              <w:ind w:left="138"/>
              <w:rPr>
                <w:sz w:val="22"/>
              </w:rPr>
            </w:pPr>
            <w:r>
              <w:rPr>
                <w:sz w:val="22"/>
              </w:rPr>
              <w:t>381+/-15</w:t>
            </w:r>
          </w:p>
        </w:tc>
        <w:tc>
          <w:tcPr>
            <w:tcW w:w="1356" w:type="dxa"/>
            <w:tcBorders>
              <w:left w:val="nil"/>
              <w:bottom w:val="nil"/>
            </w:tcBorders>
          </w:tcPr>
          <w:p>
            <w:pPr>
              <w:pStyle w:val="TableParagraph"/>
              <w:spacing w:before="36"/>
              <w:ind w:left="177"/>
              <w:rPr>
                <w:sz w:val="22"/>
              </w:rPr>
            </w:pPr>
            <w:r>
              <w:rPr>
                <w:sz w:val="22"/>
              </w:rPr>
              <w:t>1250+/-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50</w:t>
            </w:r>
          </w:p>
        </w:tc>
        <w:tc>
          <w:tcPr>
            <w:tcW w:w="1082" w:type="dxa"/>
            <w:tcBorders>
              <w:bottom w:val="nil"/>
            </w:tcBorders>
          </w:tcPr>
          <w:p>
            <w:pPr>
              <w:pStyle w:val="TableParagraph"/>
              <w:spacing w:before="36"/>
              <w:ind w:left="30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5</w:t>
            </w:r>
          </w:p>
        </w:tc>
        <w:tc>
          <w:tcPr>
            <w:tcW w:w="1303" w:type="dxa"/>
            <w:tcBorders>
              <w:bottom w:val="nil"/>
            </w:tcBorders>
          </w:tcPr>
          <w:p>
            <w:pPr>
              <w:pStyle w:val="TableParagraph"/>
              <w:spacing w:before="36"/>
              <w:ind w:right="566"/>
              <w:jc w:val="right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</w:tr>
      <w:tr>
        <w:trPr>
          <w:trHeight w:val="282" w:hRule="atLeast"/>
        </w:trPr>
        <w:tc>
          <w:tcPr>
            <w:tcW w:w="2155" w:type="dxa"/>
            <w:tcBorders>
              <w:top w:val="nil"/>
            </w:tcBorders>
          </w:tcPr>
          <w:p>
            <w:pPr>
              <w:pStyle w:val="TableParagraph"/>
              <w:spacing w:line="234" w:lineRule="exact" w:before="28"/>
              <w:ind w:left="111" w:right="71"/>
              <w:jc w:val="center"/>
              <w:rPr>
                <w:sz w:val="22"/>
              </w:rPr>
            </w:pPr>
            <w:r>
              <w:rPr>
                <w:sz w:val="22"/>
              </w:rPr>
              <w:t>Type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II-A</w:t>
            </w:r>
          </w:p>
        </w:tc>
        <w:tc>
          <w:tcPr>
            <w:tcW w:w="2263" w:type="dxa"/>
            <w:tcBorders>
              <w:top w:val="nil"/>
            </w:tcBorders>
          </w:tcPr>
          <w:p>
            <w:pPr>
              <w:pStyle w:val="TableParagraph"/>
              <w:spacing w:line="234" w:lineRule="exact" w:before="28"/>
              <w:ind w:left="107"/>
              <w:rPr>
                <w:sz w:val="22"/>
              </w:rPr>
            </w:pPr>
            <w:r>
              <w:rPr>
                <w:sz w:val="22"/>
              </w:rPr>
              <w:t>9mm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FMJ</w:t>
            </w:r>
          </w:p>
        </w:tc>
        <w:tc>
          <w:tcPr>
            <w:tcW w:w="916" w:type="dxa"/>
            <w:tcBorders>
              <w:top w:val="nil"/>
              <w:right w:val="nil"/>
            </w:tcBorders>
          </w:tcPr>
          <w:p>
            <w:pPr>
              <w:pStyle w:val="TableParagraph"/>
              <w:spacing w:line="234" w:lineRule="exact" w:before="28"/>
              <w:ind w:right="4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8</w:t>
            </w:r>
          </w:p>
        </w:tc>
        <w:tc>
          <w:tcPr>
            <w:tcW w:w="885" w:type="dxa"/>
            <w:tcBorders>
              <w:top w:val="nil"/>
              <w:left w:val="nil"/>
            </w:tcBorders>
          </w:tcPr>
          <w:p>
            <w:pPr>
              <w:pStyle w:val="TableParagraph"/>
              <w:spacing w:line="234" w:lineRule="exact" w:before="28"/>
              <w:ind w:left="262" w:right="243"/>
              <w:jc w:val="center"/>
              <w:rPr>
                <w:sz w:val="22"/>
              </w:rPr>
            </w:pPr>
            <w:r>
              <w:rPr>
                <w:sz w:val="22"/>
              </w:rPr>
              <w:t>124</w:t>
            </w:r>
          </w:p>
        </w:tc>
        <w:tc>
          <w:tcPr>
            <w:tcW w:w="1064" w:type="dxa"/>
            <w:tcBorders>
              <w:top w:val="nil"/>
              <w:right w:val="nil"/>
            </w:tcBorders>
          </w:tcPr>
          <w:p>
            <w:pPr>
              <w:pStyle w:val="TableParagraph"/>
              <w:spacing w:line="234" w:lineRule="exact" w:before="28"/>
              <w:ind w:left="201" w:right="132"/>
              <w:jc w:val="center"/>
              <w:rPr>
                <w:sz w:val="22"/>
              </w:rPr>
            </w:pPr>
            <w:r>
              <w:rPr>
                <w:sz w:val="22"/>
              </w:rPr>
              <w:t>10-12</w:t>
            </w:r>
          </w:p>
        </w:tc>
        <w:tc>
          <w:tcPr>
            <w:tcW w:w="1116" w:type="dxa"/>
            <w:tcBorders>
              <w:top w:val="nil"/>
              <w:left w:val="nil"/>
            </w:tcBorders>
          </w:tcPr>
          <w:p>
            <w:pPr>
              <w:pStyle w:val="TableParagraph"/>
              <w:spacing w:line="234" w:lineRule="exact" w:before="28"/>
              <w:ind w:left="140" w:right="49"/>
              <w:jc w:val="center"/>
              <w:rPr>
                <w:sz w:val="22"/>
              </w:rPr>
            </w:pPr>
            <w:r>
              <w:rPr>
                <w:sz w:val="22"/>
              </w:rPr>
              <w:t>4-4.75</w:t>
            </w:r>
          </w:p>
        </w:tc>
        <w:tc>
          <w:tcPr>
            <w:tcW w:w="1135" w:type="dxa"/>
            <w:tcBorders>
              <w:top w:val="nil"/>
              <w:right w:val="nil"/>
            </w:tcBorders>
          </w:tcPr>
          <w:p>
            <w:pPr>
              <w:pStyle w:val="TableParagraph"/>
              <w:spacing w:line="234" w:lineRule="exact" w:before="28"/>
              <w:ind w:left="138"/>
              <w:rPr>
                <w:sz w:val="22"/>
              </w:rPr>
            </w:pPr>
            <w:r>
              <w:rPr>
                <w:sz w:val="22"/>
              </w:rPr>
              <w:t>332+/-12</w:t>
            </w:r>
          </w:p>
        </w:tc>
        <w:tc>
          <w:tcPr>
            <w:tcW w:w="1356" w:type="dxa"/>
            <w:tcBorders>
              <w:top w:val="nil"/>
              <w:left w:val="nil"/>
            </w:tcBorders>
          </w:tcPr>
          <w:p>
            <w:pPr>
              <w:pStyle w:val="TableParagraph"/>
              <w:spacing w:line="234" w:lineRule="exact" w:before="28"/>
              <w:ind w:left="204"/>
              <w:rPr>
                <w:sz w:val="22"/>
              </w:rPr>
            </w:pPr>
            <w:r>
              <w:rPr>
                <w:sz w:val="22"/>
              </w:rPr>
              <w:t>1090+/-40</w:t>
            </w:r>
          </w:p>
        </w:tc>
        <w:tc>
          <w:tcPr>
            <w:tcW w:w="1082" w:type="dxa"/>
            <w:tcBorders>
              <w:top w:val="nil"/>
            </w:tcBorders>
          </w:tcPr>
          <w:p>
            <w:pPr>
              <w:pStyle w:val="TableParagraph"/>
              <w:spacing w:line="234" w:lineRule="exact" w:before="28"/>
              <w:ind w:left="30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5</w:t>
            </w:r>
          </w:p>
        </w:tc>
        <w:tc>
          <w:tcPr>
            <w:tcW w:w="1303" w:type="dxa"/>
            <w:tcBorders>
              <w:top w:val="nil"/>
            </w:tcBorders>
          </w:tcPr>
          <w:p>
            <w:pPr>
              <w:pStyle w:val="TableParagraph"/>
              <w:spacing w:line="234" w:lineRule="exact" w:before="28"/>
              <w:ind w:right="566"/>
              <w:jc w:val="right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</w:tr>
      <w:tr>
        <w:trPr>
          <w:trHeight w:val="327" w:hRule="atLeast"/>
        </w:trPr>
        <w:tc>
          <w:tcPr>
            <w:tcW w:w="2155" w:type="dxa"/>
            <w:tcBorders>
              <w:bottom w:val="nil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263" w:type="dxa"/>
            <w:tcBorders>
              <w:bottom w:val="nil"/>
            </w:tcBorders>
          </w:tcPr>
          <w:p>
            <w:pPr>
              <w:pStyle w:val="TableParagraph"/>
              <w:spacing w:before="36"/>
              <w:ind w:left="107"/>
              <w:rPr>
                <w:sz w:val="22"/>
              </w:rPr>
            </w:pPr>
            <w:r>
              <w:rPr>
                <w:sz w:val="22"/>
              </w:rPr>
              <w:t>357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Magnum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JSP</w:t>
            </w:r>
          </w:p>
        </w:tc>
        <w:tc>
          <w:tcPr>
            <w:tcW w:w="916" w:type="dxa"/>
            <w:tcBorders>
              <w:bottom w:val="nil"/>
              <w:right w:val="nil"/>
            </w:tcBorders>
          </w:tcPr>
          <w:p>
            <w:pPr>
              <w:pStyle w:val="TableParagraph"/>
              <w:spacing w:before="36"/>
              <w:ind w:left="240" w:right="240"/>
              <w:jc w:val="center"/>
              <w:rPr>
                <w:sz w:val="22"/>
              </w:rPr>
            </w:pPr>
            <w:r>
              <w:rPr>
                <w:sz w:val="22"/>
              </w:rPr>
              <w:t>10.2</w:t>
            </w:r>
          </w:p>
        </w:tc>
        <w:tc>
          <w:tcPr>
            <w:tcW w:w="885" w:type="dxa"/>
            <w:tcBorders>
              <w:left w:val="nil"/>
              <w:bottom w:val="nil"/>
            </w:tcBorders>
          </w:tcPr>
          <w:p>
            <w:pPr>
              <w:pStyle w:val="TableParagraph"/>
              <w:spacing w:before="36"/>
              <w:ind w:left="262" w:right="243"/>
              <w:jc w:val="center"/>
              <w:rPr>
                <w:sz w:val="22"/>
              </w:rPr>
            </w:pPr>
            <w:r>
              <w:rPr>
                <w:sz w:val="22"/>
              </w:rPr>
              <w:t>158</w:t>
            </w:r>
          </w:p>
        </w:tc>
        <w:tc>
          <w:tcPr>
            <w:tcW w:w="1064" w:type="dxa"/>
            <w:tcBorders>
              <w:bottom w:val="nil"/>
              <w:right w:val="nil"/>
            </w:tcBorders>
          </w:tcPr>
          <w:p>
            <w:pPr>
              <w:pStyle w:val="TableParagraph"/>
              <w:spacing w:before="36"/>
              <w:ind w:left="201" w:right="133"/>
              <w:jc w:val="center"/>
              <w:rPr>
                <w:sz w:val="22"/>
              </w:rPr>
            </w:pPr>
            <w:r>
              <w:rPr>
                <w:sz w:val="22"/>
              </w:rPr>
              <w:t>15-16.5</w:t>
            </w:r>
          </w:p>
        </w:tc>
        <w:tc>
          <w:tcPr>
            <w:tcW w:w="1116" w:type="dxa"/>
            <w:tcBorders>
              <w:left w:val="nil"/>
              <w:bottom w:val="nil"/>
            </w:tcBorders>
          </w:tcPr>
          <w:p>
            <w:pPr>
              <w:pStyle w:val="TableParagraph"/>
              <w:spacing w:before="36"/>
              <w:ind w:left="140" w:right="49"/>
              <w:jc w:val="center"/>
              <w:rPr>
                <w:sz w:val="22"/>
              </w:rPr>
            </w:pPr>
            <w:r>
              <w:rPr>
                <w:sz w:val="22"/>
              </w:rPr>
              <w:t>6-6.5</w:t>
            </w:r>
          </w:p>
        </w:tc>
        <w:tc>
          <w:tcPr>
            <w:tcW w:w="1135" w:type="dxa"/>
            <w:tcBorders>
              <w:bottom w:val="nil"/>
              <w:right w:val="nil"/>
            </w:tcBorders>
          </w:tcPr>
          <w:p>
            <w:pPr>
              <w:pStyle w:val="TableParagraph"/>
              <w:spacing w:before="36"/>
              <w:ind w:left="110"/>
              <w:rPr>
                <w:sz w:val="22"/>
              </w:rPr>
            </w:pPr>
            <w:r>
              <w:rPr>
                <w:sz w:val="22"/>
              </w:rPr>
              <w:t>425+/-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15</w:t>
            </w:r>
          </w:p>
        </w:tc>
        <w:tc>
          <w:tcPr>
            <w:tcW w:w="1356" w:type="dxa"/>
            <w:tcBorders>
              <w:left w:val="nil"/>
              <w:bottom w:val="nil"/>
            </w:tcBorders>
          </w:tcPr>
          <w:p>
            <w:pPr>
              <w:pStyle w:val="TableParagraph"/>
              <w:spacing w:before="36"/>
              <w:ind w:left="177"/>
              <w:rPr>
                <w:sz w:val="22"/>
              </w:rPr>
            </w:pPr>
            <w:r>
              <w:rPr>
                <w:sz w:val="22"/>
              </w:rPr>
              <w:t>1395+/-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50</w:t>
            </w:r>
          </w:p>
        </w:tc>
        <w:tc>
          <w:tcPr>
            <w:tcW w:w="1082" w:type="dxa"/>
            <w:tcBorders>
              <w:bottom w:val="nil"/>
            </w:tcBorders>
          </w:tcPr>
          <w:p>
            <w:pPr>
              <w:pStyle w:val="TableParagraph"/>
              <w:spacing w:before="36"/>
              <w:ind w:left="30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5</w:t>
            </w:r>
          </w:p>
        </w:tc>
        <w:tc>
          <w:tcPr>
            <w:tcW w:w="1303" w:type="dxa"/>
            <w:tcBorders>
              <w:bottom w:val="nil"/>
            </w:tcBorders>
          </w:tcPr>
          <w:p>
            <w:pPr>
              <w:pStyle w:val="TableParagraph"/>
              <w:spacing w:before="36"/>
              <w:ind w:right="566"/>
              <w:jc w:val="right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</w:tr>
      <w:tr>
        <w:trPr>
          <w:trHeight w:val="282" w:hRule="atLeast"/>
        </w:trPr>
        <w:tc>
          <w:tcPr>
            <w:tcW w:w="2155" w:type="dxa"/>
            <w:tcBorders>
              <w:top w:val="nil"/>
            </w:tcBorders>
          </w:tcPr>
          <w:p>
            <w:pPr>
              <w:pStyle w:val="TableParagraph"/>
              <w:spacing w:line="234" w:lineRule="exact" w:before="28"/>
              <w:ind w:left="110" w:right="72"/>
              <w:jc w:val="center"/>
              <w:rPr>
                <w:sz w:val="22"/>
              </w:rPr>
            </w:pPr>
            <w:r>
              <w:rPr>
                <w:sz w:val="22"/>
              </w:rPr>
              <w:t>Type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II</w:t>
            </w:r>
          </w:p>
        </w:tc>
        <w:tc>
          <w:tcPr>
            <w:tcW w:w="2263" w:type="dxa"/>
            <w:tcBorders>
              <w:top w:val="nil"/>
            </w:tcBorders>
          </w:tcPr>
          <w:p>
            <w:pPr>
              <w:pStyle w:val="TableParagraph"/>
              <w:spacing w:line="234" w:lineRule="exact" w:before="28"/>
              <w:ind w:left="107"/>
              <w:rPr>
                <w:sz w:val="22"/>
              </w:rPr>
            </w:pPr>
            <w:r>
              <w:rPr>
                <w:sz w:val="22"/>
              </w:rPr>
              <w:t>9mm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FMJ</w:t>
            </w:r>
          </w:p>
        </w:tc>
        <w:tc>
          <w:tcPr>
            <w:tcW w:w="916" w:type="dxa"/>
            <w:tcBorders>
              <w:top w:val="nil"/>
              <w:right w:val="nil"/>
            </w:tcBorders>
          </w:tcPr>
          <w:p>
            <w:pPr>
              <w:pStyle w:val="TableParagraph"/>
              <w:spacing w:line="234" w:lineRule="exact" w:before="28"/>
              <w:ind w:right="4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8</w:t>
            </w:r>
          </w:p>
        </w:tc>
        <w:tc>
          <w:tcPr>
            <w:tcW w:w="885" w:type="dxa"/>
            <w:tcBorders>
              <w:top w:val="nil"/>
              <w:left w:val="nil"/>
            </w:tcBorders>
          </w:tcPr>
          <w:p>
            <w:pPr>
              <w:pStyle w:val="TableParagraph"/>
              <w:spacing w:line="234" w:lineRule="exact" w:before="28"/>
              <w:ind w:left="262" w:right="243"/>
              <w:jc w:val="center"/>
              <w:rPr>
                <w:sz w:val="22"/>
              </w:rPr>
            </w:pPr>
            <w:r>
              <w:rPr>
                <w:sz w:val="22"/>
              </w:rPr>
              <w:t>124</w:t>
            </w:r>
          </w:p>
        </w:tc>
        <w:tc>
          <w:tcPr>
            <w:tcW w:w="1064" w:type="dxa"/>
            <w:tcBorders>
              <w:top w:val="nil"/>
              <w:right w:val="nil"/>
            </w:tcBorders>
          </w:tcPr>
          <w:p>
            <w:pPr>
              <w:pStyle w:val="TableParagraph"/>
              <w:spacing w:line="234" w:lineRule="exact" w:before="28"/>
              <w:ind w:left="201" w:right="132"/>
              <w:jc w:val="center"/>
              <w:rPr>
                <w:sz w:val="22"/>
              </w:rPr>
            </w:pPr>
            <w:r>
              <w:rPr>
                <w:sz w:val="22"/>
              </w:rPr>
              <w:t>10-12</w:t>
            </w:r>
          </w:p>
        </w:tc>
        <w:tc>
          <w:tcPr>
            <w:tcW w:w="1116" w:type="dxa"/>
            <w:tcBorders>
              <w:top w:val="nil"/>
              <w:left w:val="nil"/>
            </w:tcBorders>
          </w:tcPr>
          <w:p>
            <w:pPr>
              <w:pStyle w:val="TableParagraph"/>
              <w:spacing w:line="234" w:lineRule="exact" w:before="28"/>
              <w:ind w:left="140" w:right="49"/>
              <w:jc w:val="center"/>
              <w:rPr>
                <w:sz w:val="22"/>
              </w:rPr>
            </w:pPr>
            <w:r>
              <w:rPr>
                <w:sz w:val="22"/>
              </w:rPr>
              <w:t>4-4.75</w:t>
            </w:r>
          </w:p>
        </w:tc>
        <w:tc>
          <w:tcPr>
            <w:tcW w:w="1135" w:type="dxa"/>
            <w:tcBorders>
              <w:top w:val="nil"/>
              <w:right w:val="nil"/>
            </w:tcBorders>
          </w:tcPr>
          <w:p>
            <w:pPr>
              <w:pStyle w:val="TableParagraph"/>
              <w:spacing w:line="234" w:lineRule="exact" w:before="28"/>
              <w:ind w:left="110"/>
              <w:rPr>
                <w:sz w:val="22"/>
              </w:rPr>
            </w:pPr>
            <w:r>
              <w:rPr>
                <w:sz w:val="22"/>
              </w:rPr>
              <w:t>358+/-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12</w:t>
            </w:r>
          </w:p>
        </w:tc>
        <w:tc>
          <w:tcPr>
            <w:tcW w:w="1356" w:type="dxa"/>
            <w:tcBorders>
              <w:top w:val="nil"/>
              <w:left w:val="nil"/>
            </w:tcBorders>
          </w:tcPr>
          <w:p>
            <w:pPr>
              <w:pStyle w:val="TableParagraph"/>
              <w:spacing w:line="234" w:lineRule="exact" w:before="28"/>
              <w:ind w:left="177"/>
              <w:rPr>
                <w:sz w:val="22"/>
              </w:rPr>
            </w:pPr>
            <w:r>
              <w:rPr>
                <w:sz w:val="22"/>
              </w:rPr>
              <w:t>1175+/-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40</w:t>
            </w:r>
          </w:p>
        </w:tc>
        <w:tc>
          <w:tcPr>
            <w:tcW w:w="1082" w:type="dxa"/>
            <w:tcBorders>
              <w:top w:val="nil"/>
            </w:tcBorders>
          </w:tcPr>
          <w:p>
            <w:pPr>
              <w:pStyle w:val="TableParagraph"/>
              <w:spacing w:line="234" w:lineRule="exact" w:before="28"/>
              <w:ind w:left="30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5</w:t>
            </w:r>
          </w:p>
        </w:tc>
        <w:tc>
          <w:tcPr>
            <w:tcW w:w="1303" w:type="dxa"/>
            <w:tcBorders>
              <w:top w:val="nil"/>
            </w:tcBorders>
          </w:tcPr>
          <w:p>
            <w:pPr>
              <w:pStyle w:val="TableParagraph"/>
              <w:spacing w:line="234" w:lineRule="exact" w:before="28"/>
              <w:ind w:right="566"/>
              <w:jc w:val="right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</w:tr>
      <w:tr>
        <w:trPr>
          <w:trHeight w:val="597" w:hRule="atLeast"/>
        </w:trPr>
        <w:tc>
          <w:tcPr>
            <w:tcW w:w="2155" w:type="dxa"/>
            <w:vMerge w:val="restart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4"/>
              <w:rPr>
                <w:i/>
                <w:sz w:val="31"/>
              </w:rPr>
            </w:pPr>
          </w:p>
          <w:p>
            <w:pPr>
              <w:pStyle w:val="TableParagraph"/>
              <w:spacing w:line="234" w:lineRule="exact"/>
              <w:ind w:left="607"/>
              <w:rPr>
                <w:sz w:val="22"/>
              </w:rPr>
            </w:pPr>
            <w:r>
              <w:rPr>
                <w:sz w:val="22"/>
              </w:rPr>
              <w:t>Type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III-A</w:t>
            </w:r>
          </w:p>
        </w:tc>
        <w:tc>
          <w:tcPr>
            <w:tcW w:w="2263" w:type="dxa"/>
            <w:tcBorders>
              <w:bottom w:val="nil"/>
            </w:tcBorders>
          </w:tcPr>
          <w:p>
            <w:pPr>
              <w:pStyle w:val="TableParagraph"/>
              <w:spacing w:before="63"/>
              <w:ind w:left="107" w:right="427"/>
              <w:rPr>
                <w:sz w:val="22"/>
              </w:rPr>
            </w:pPr>
            <w:r>
              <w:rPr>
                <w:sz w:val="22"/>
              </w:rPr>
              <w:t>44 Magnum Lead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SWC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Gas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Checked</w:t>
            </w:r>
          </w:p>
        </w:tc>
        <w:tc>
          <w:tcPr>
            <w:tcW w:w="1801" w:type="dxa"/>
            <w:gridSpan w:val="2"/>
            <w:tcBorders>
              <w:bottom w:val="nil"/>
            </w:tcBorders>
          </w:tcPr>
          <w:p>
            <w:pPr>
              <w:pStyle w:val="TableParagraph"/>
              <w:spacing w:before="5"/>
              <w:rPr>
                <w:i/>
                <w:sz w:val="27"/>
              </w:rPr>
            </w:pPr>
          </w:p>
          <w:p>
            <w:pPr>
              <w:pStyle w:val="TableParagraph"/>
              <w:tabs>
                <w:tab w:pos="1187" w:val="left" w:leader="none"/>
              </w:tabs>
              <w:ind w:left="203"/>
              <w:rPr>
                <w:sz w:val="22"/>
              </w:rPr>
            </w:pPr>
            <w:r>
              <w:rPr>
                <w:sz w:val="22"/>
              </w:rPr>
              <w:t>15.55</w:t>
              <w:tab/>
              <w:t>240</w:t>
            </w:r>
          </w:p>
        </w:tc>
        <w:tc>
          <w:tcPr>
            <w:tcW w:w="1064" w:type="dxa"/>
            <w:tcBorders>
              <w:bottom w:val="nil"/>
              <w:right w:val="nil"/>
            </w:tcBorders>
          </w:tcPr>
          <w:p>
            <w:pPr>
              <w:pStyle w:val="TableParagraph"/>
              <w:spacing w:before="5"/>
              <w:rPr>
                <w:i/>
                <w:sz w:val="27"/>
              </w:rPr>
            </w:pPr>
          </w:p>
          <w:p>
            <w:pPr>
              <w:pStyle w:val="TableParagraph"/>
              <w:ind w:left="201" w:right="132"/>
              <w:jc w:val="center"/>
              <w:rPr>
                <w:sz w:val="22"/>
              </w:rPr>
            </w:pPr>
            <w:r>
              <w:rPr>
                <w:sz w:val="22"/>
              </w:rPr>
              <w:t>14-16</w:t>
            </w:r>
          </w:p>
        </w:tc>
        <w:tc>
          <w:tcPr>
            <w:tcW w:w="1116" w:type="dxa"/>
            <w:tcBorders>
              <w:left w:val="nil"/>
              <w:bottom w:val="nil"/>
            </w:tcBorders>
          </w:tcPr>
          <w:p>
            <w:pPr>
              <w:pStyle w:val="TableParagraph"/>
              <w:spacing w:before="5"/>
              <w:rPr>
                <w:i/>
                <w:sz w:val="27"/>
              </w:rPr>
            </w:pPr>
          </w:p>
          <w:p>
            <w:pPr>
              <w:pStyle w:val="TableParagraph"/>
              <w:ind w:left="140" w:right="48"/>
              <w:jc w:val="center"/>
              <w:rPr>
                <w:sz w:val="22"/>
              </w:rPr>
            </w:pPr>
            <w:r>
              <w:rPr>
                <w:sz w:val="22"/>
              </w:rPr>
              <w:t>5.5-6.25</w:t>
            </w:r>
          </w:p>
        </w:tc>
        <w:tc>
          <w:tcPr>
            <w:tcW w:w="1135" w:type="dxa"/>
            <w:tcBorders>
              <w:bottom w:val="nil"/>
              <w:right w:val="nil"/>
            </w:tcBorders>
          </w:tcPr>
          <w:p>
            <w:pPr>
              <w:pStyle w:val="TableParagraph"/>
              <w:spacing w:before="5"/>
              <w:rPr>
                <w:i/>
                <w:sz w:val="27"/>
              </w:rPr>
            </w:pPr>
          </w:p>
          <w:p>
            <w:pPr>
              <w:pStyle w:val="TableParagraph"/>
              <w:ind w:left="110"/>
              <w:rPr>
                <w:sz w:val="22"/>
              </w:rPr>
            </w:pPr>
            <w:r>
              <w:rPr>
                <w:sz w:val="22"/>
              </w:rPr>
              <w:t>426+/-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15</w:t>
            </w:r>
          </w:p>
        </w:tc>
        <w:tc>
          <w:tcPr>
            <w:tcW w:w="1356" w:type="dxa"/>
            <w:tcBorders>
              <w:left w:val="nil"/>
              <w:bottom w:val="nil"/>
            </w:tcBorders>
          </w:tcPr>
          <w:p>
            <w:pPr>
              <w:pStyle w:val="TableParagraph"/>
              <w:spacing w:before="5"/>
              <w:rPr>
                <w:i/>
                <w:sz w:val="27"/>
              </w:rPr>
            </w:pPr>
          </w:p>
          <w:p>
            <w:pPr>
              <w:pStyle w:val="TableParagraph"/>
              <w:ind w:left="177"/>
              <w:rPr>
                <w:sz w:val="22"/>
              </w:rPr>
            </w:pPr>
            <w:r>
              <w:rPr>
                <w:sz w:val="22"/>
              </w:rPr>
              <w:t>1400+/-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50</w:t>
            </w:r>
          </w:p>
        </w:tc>
        <w:tc>
          <w:tcPr>
            <w:tcW w:w="1082" w:type="dxa"/>
            <w:tcBorders>
              <w:bottom w:val="nil"/>
            </w:tcBorders>
          </w:tcPr>
          <w:p>
            <w:pPr>
              <w:pStyle w:val="TableParagraph"/>
              <w:spacing w:before="5"/>
              <w:rPr>
                <w:i/>
                <w:sz w:val="27"/>
              </w:rPr>
            </w:pPr>
          </w:p>
          <w:p>
            <w:pPr>
              <w:pStyle w:val="TableParagraph"/>
              <w:ind w:left="30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5</w:t>
            </w:r>
          </w:p>
        </w:tc>
        <w:tc>
          <w:tcPr>
            <w:tcW w:w="1303" w:type="dxa"/>
            <w:tcBorders>
              <w:bottom w:val="nil"/>
            </w:tcBorders>
          </w:tcPr>
          <w:p>
            <w:pPr>
              <w:pStyle w:val="TableParagraph"/>
              <w:spacing w:before="5"/>
              <w:rPr>
                <w:i/>
                <w:sz w:val="27"/>
              </w:rPr>
            </w:pPr>
          </w:p>
          <w:p>
            <w:pPr>
              <w:pStyle w:val="TableParagraph"/>
              <w:ind w:right="566"/>
              <w:jc w:val="right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</w:tr>
      <w:tr>
        <w:trPr>
          <w:trHeight w:val="273" w:hRule="atLeast"/>
        </w:trPr>
        <w:tc>
          <w:tcPr>
            <w:tcW w:w="215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63" w:type="dxa"/>
            <w:tcBorders>
              <w:top w:val="nil"/>
            </w:tcBorders>
          </w:tcPr>
          <w:p>
            <w:pPr>
              <w:pStyle w:val="TableParagraph"/>
              <w:spacing w:line="234" w:lineRule="exact" w:before="19"/>
              <w:ind w:left="107"/>
              <w:rPr>
                <w:sz w:val="22"/>
              </w:rPr>
            </w:pPr>
            <w:r>
              <w:rPr>
                <w:sz w:val="22"/>
              </w:rPr>
              <w:t>9mm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FMJ</w:t>
            </w:r>
          </w:p>
        </w:tc>
        <w:tc>
          <w:tcPr>
            <w:tcW w:w="1801" w:type="dxa"/>
            <w:gridSpan w:val="2"/>
            <w:tcBorders>
              <w:top w:val="nil"/>
            </w:tcBorders>
          </w:tcPr>
          <w:p>
            <w:pPr>
              <w:pStyle w:val="TableParagraph"/>
              <w:tabs>
                <w:tab w:pos="1187" w:val="left" w:leader="none"/>
              </w:tabs>
              <w:spacing w:line="234" w:lineRule="exact" w:before="19"/>
              <w:ind w:left="395"/>
              <w:rPr>
                <w:sz w:val="22"/>
              </w:rPr>
            </w:pPr>
            <w:r>
              <w:rPr>
                <w:sz w:val="22"/>
              </w:rPr>
              <w:t>8</w:t>
              <w:tab/>
              <w:t>124</w:t>
            </w:r>
          </w:p>
        </w:tc>
        <w:tc>
          <w:tcPr>
            <w:tcW w:w="1064" w:type="dxa"/>
            <w:tcBorders>
              <w:top w:val="nil"/>
              <w:right w:val="nil"/>
            </w:tcBorders>
          </w:tcPr>
          <w:p>
            <w:pPr>
              <w:pStyle w:val="TableParagraph"/>
              <w:spacing w:line="234" w:lineRule="exact" w:before="19"/>
              <w:ind w:left="201" w:right="132"/>
              <w:jc w:val="center"/>
              <w:rPr>
                <w:sz w:val="22"/>
              </w:rPr>
            </w:pPr>
            <w:r>
              <w:rPr>
                <w:sz w:val="22"/>
              </w:rPr>
              <w:t>24-26</w:t>
            </w:r>
          </w:p>
        </w:tc>
        <w:tc>
          <w:tcPr>
            <w:tcW w:w="1116" w:type="dxa"/>
            <w:tcBorders>
              <w:top w:val="nil"/>
              <w:left w:val="nil"/>
            </w:tcBorders>
          </w:tcPr>
          <w:p>
            <w:pPr>
              <w:pStyle w:val="TableParagraph"/>
              <w:spacing w:line="234" w:lineRule="exact" w:before="19"/>
              <w:ind w:left="140" w:right="48"/>
              <w:jc w:val="center"/>
              <w:rPr>
                <w:sz w:val="22"/>
              </w:rPr>
            </w:pPr>
            <w:r>
              <w:rPr>
                <w:sz w:val="22"/>
              </w:rPr>
              <w:t>9.5-10.25</w:t>
            </w:r>
          </w:p>
        </w:tc>
        <w:tc>
          <w:tcPr>
            <w:tcW w:w="1135" w:type="dxa"/>
            <w:tcBorders>
              <w:top w:val="nil"/>
              <w:right w:val="nil"/>
            </w:tcBorders>
          </w:tcPr>
          <w:p>
            <w:pPr>
              <w:pStyle w:val="TableParagraph"/>
              <w:spacing w:line="234" w:lineRule="exact" w:before="19"/>
              <w:ind w:left="110"/>
              <w:rPr>
                <w:sz w:val="22"/>
              </w:rPr>
            </w:pPr>
            <w:r>
              <w:rPr>
                <w:sz w:val="22"/>
              </w:rPr>
              <w:t>426+/-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15</w:t>
            </w:r>
          </w:p>
        </w:tc>
        <w:tc>
          <w:tcPr>
            <w:tcW w:w="1356" w:type="dxa"/>
            <w:tcBorders>
              <w:top w:val="nil"/>
              <w:left w:val="nil"/>
            </w:tcBorders>
          </w:tcPr>
          <w:p>
            <w:pPr>
              <w:pStyle w:val="TableParagraph"/>
              <w:spacing w:line="234" w:lineRule="exact" w:before="19"/>
              <w:ind w:left="177"/>
              <w:rPr>
                <w:sz w:val="22"/>
              </w:rPr>
            </w:pPr>
            <w:r>
              <w:rPr>
                <w:sz w:val="22"/>
              </w:rPr>
              <w:t>1400+/-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50</w:t>
            </w:r>
          </w:p>
        </w:tc>
        <w:tc>
          <w:tcPr>
            <w:tcW w:w="1082" w:type="dxa"/>
            <w:tcBorders>
              <w:top w:val="nil"/>
            </w:tcBorders>
          </w:tcPr>
          <w:p>
            <w:pPr>
              <w:pStyle w:val="TableParagraph"/>
              <w:spacing w:line="234" w:lineRule="exact" w:before="19"/>
              <w:ind w:left="30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5</w:t>
            </w:r>
          </w:p>
        </w:tc>
        <w:tc>
          <w:tcPr>
            <w:tcW w:w="1303" w:type="dxa"/>
            <w:tcBorders>
              <w:top w:val="nil"/>
            </w:tcBorders>
          </w:tcPr>
          <w:p>
            <w:pPr>
              <w:pStyle w:val="TableParagraph"/>
              <w:spacing w:line="234" w:lineRule="exact" w:before="19"/>
              <w:ind w:right="566"/>
              <w:jc w:val="right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</w:tr>
      <w:tr>
        <w:trPr>
          <w:trHeight w:val="580" w:hRule="atLeast"/>
        </w:trPr>
        <w:tc>
          <w:tcPr>
            <w:tcW w:w="2155" w:type="dxa"/>
          </w:tcPr>
          <w:p>
            <w:pPr>
              <w:pStyle w:val="TableParagraph"/>
              <w:spacing w:before="3"/>
              <w:rPr>
                <w:i/>
                <w:sz w:val="28"/>
              </w:rPr>
            </w:pPr>
          </w:p>
          <w:p>
            <w:pPr>
              <w:pStyle w:val="TableParagraph"/>
              <w:spacing w:line="234" w:lineRule="exact" w:before="1"/>
              <w:ind w:left="111" w:right="72"/>
              <w:jc w:val="center"/>
              <w:rPr>
                <w:sz w:val="22"/>
              </w:rPr>
            </w:pPr>
            <w:r>
              <w:rPr>
                <w:sz w:val="22"/>
              </w:rPr>
              <w:t>Type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III</w:t>
            </w:r>
          </w:p>
        </w:tc>
        <w:tc>
          <w:tcPr>
            <w:tcW w:w="2263" w:type="dxa"/>
          </w:tcPr>
          <w:p>
            <w:pPr>
              <w:pStyle w:val="TableParagraph"/>
              <w:spacing w:line="250" w:lineRule="atLeast" w:before="54"/>
              <w:ind w:left="107" w:right="667"/>
              <w:rPr>
                <w:sz w:val="22"/>
              </w:rPr>
            </w:pPr>
            <w:r>
              <w:rPr>
                <w:sz w:val="22"/>
              </w:rPr>
              <w:t>7.62 mm 308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Winchester</w:t>
            </w:r>
            <w:r>
              <w:rPr>
                <w:spacing w:val="-12"/>
                <w:sz w:val="22"/>
              </w:rPr>
              <w:t> </w:t>
            </w:r>
            <w:r>
              <w:rPr>
                <w:sz w:val="22"/>
              </w:rPr>
              <w:t>FMJ</w:t>
            </w:r>
          </w:p>
        </w:tc>
        <w:tc>
          <w:tcPr>
            <w:tcW w:w="916" w:type="dxa"/>
            <w:tcBorders>
              <w:right w:val="nil"/>
            </w:tcBorders>
          </w:tcPr>
          <w:p>
            <w:pPr>
              <w:pStyle w:val="TableParagraph"/>
              <w:spacing w:before="3"/>
              <w:rPr>
                <w:i/>
                <w:sz w:val="28"/>
              </w:rPr>
            </w:pPr>
          </w:p>
          <w:p>
            <w:pPr>
              <w:pStyle w:val="TableParagraph"/>
              <w:spacing w:line="234" w:lineRule="exact" w:before="1"/>
              <w:ind w:left="240" w:right="240"/>
              <w:jc w:val="center"/>
              <w:rPr>
                <w:sz w:val="22"/>
              </w:rPr>
            </w:pPr>
            <w:r>
              <w:rPr>
                <w:sz w:val="22"/>
              </w:rPr>
              <w:t>9.7</w:t>
            </w:r>
          </w:p>
        </w:tc>
        <w:tc>
          <w:tcPr>
            <w:tcW w:w="885" w:type="dxa"/>
            <w:tcBorders>
              <w:left w:val="nil"/>
            </w:tcBorders>
          </w:tcPr>
          <w:p>
            <w:pPr>
              <w:pStyle w:val="TableParagraph"/>
              <w:spacing w:before="3"/>
              <w:rPr>
                <w:i/>
                <w:sz w:val="28"/>
              </w:rPr>
            </w:pPr>
          </w:p>
          <w:p>
            <w:pPr>
              <w:pStyle w:val="TableParagraph"/>
              <w:spacing w:line="234" w:lineRule="exact" w:before="1"/>
              <w:ind w:left="262" w:right="243"/>
              <w:jc w:val="center"/>
              <w:rPr>
                <w:sz w:val="22"/>
              </w:rPr>
            </w:pPr>
            <w:r>
              <w:rPr>
                <w:sz w:val="22"/>
              </w:rPr>
              <w:t>150</w:t>
            </w:r>
          </w:p>
        </w:tc>
        <w:tc>
          <w:tcPr>
            <w:tcW w:w="1064" w:type="dxa"/>
            <w:tcBorders>
              <w:right w:val="nil"/>
            </w:tcBorders>
          </w:tcPr>
          <w:p>
            <w:pPr>
              <w:pStyle w:val="TableParagraph"/>
              <w:spacing w:before="3"/>
              <w:rPr>
                <w:i/>
                <w:sz w:val="28"/>
              </w:rPr>
            </w:pPr>
          </w:p>
          <w:p>
            <w:pPr>
              <w:pStyle w:val="TableParagraph"/>
              <w:spacing w:line="234" w:lineRule="exact" w:before="1"/>
              <w:ind w:left="201" w:right="133"/>
              <w:jc w:val="center"/>
              <w:rPr>
                <w:sz w:val="22"/>
              </w:rPr>
            </w:pPr>
            <w:r>
              <w:rPr>
                <w:sz w:val="22"/>
              </w:rPr>
              <w:t>56</w:t>
            </w:r>
          </w:p>
        </w:tc>
        <w:tc>
          <w:tcPr>
            <w:tcW w:w="1116" w:type="dxa"/>
            <w:tcBorders>
              <w:left w:val="nil"/>
            </w:tcBorders>
          </w:tcPr>
          <w:p>
            <w:pPr>
              <w:pStyle w:val="TableParagraph"/>
              <w:spacing w:before="3"/>
              <w:rPr>
                <w:i/>
                <w:sz w:val="28"/>
              </w:rPr>
            </w:pPr>
          </w:p>
          <w:p>
            <w:pPr>
              <w:pStyle w:val="TableParagraph"/>
              <w:spacing w:line="234" w:lineRule="exact" w:before="1"/>
              <w:ind w:left="140" w:right="48"/>
              <w:jc w:val="center"/>
              <w:rPr>
                <w:sz w:val="22"/>
              </w:rPr>
            </w:pPr>
            <w:r>
              <w:rPr>
                <w:sz w:val="22"/>
              </w:rPr>
              <w:t>22</w:t>
            </w:r>
          </w:p>
        </w:tc>
        <w:tc>
          <w:tcPr>
            <w:tcW w:w="1135" w:type="dxa"/>
            <w:tcBorders>
              <w:right w:val="nil"/>
            </w:tcBorders>
          </w:tcPr>
          <w:p>
            <w:pPr>
              <w:pStyle w:val="TableParagraph"/>
              <w:spacing w:before="3"/>
              <w:rPr>
                <w:i/>
                <w:sz w:val="28"/>
              </w:rPr>
            </w:pPr>
          </w:p>
          <w:p>
            <w:pPr>
              <w:pStyle w:val="TableParagraph"/>
              <w:spacing w:line="234" w:lineRule="exact" w:before="1"/>
              <w:ind w:left="110"/>
              <w:rPr>
                <w:sz w:val="22"/>
              </w:rPr>
            </w:pPr>
            <w:r>
              <w:rPr>
                <w:sz w:val="22"/>
              </w:rPr>
              <w:t>838+/-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15</w:t>
            </w:r>
          </w:p>
        </w:tc>
        <w:tc>
          <w:tcPr>
            <w:tcW w:w="1356" w:type="dxa"/>
            <w:tcBorders>
              <w:left w:val="nil"/>
            </w:tcBorders>
          </w:tcPr>
          <w:p>
            <w:pPr>
              <w:pStyle w:val="TableParagraph"/>
              <w:spacing w:before="3"/>
              <w:rPr>
                <w:i/>
                <w:sz w:val="28"/>
              </w:rPr>
            </w:pPr>
          </w:p>
          <w:p>
            <w:pPr>
              <w:pStyle w:val="TableParagraph"/>
              <w:spacing w:line="234" w:lineRule="exact" w:before="1"/>
              <w:ind w:left="177"/>
              <w:rPr>
                <w:sz w:val="22"/>
              </w:rPr>
            </w:pPr>
            <w:r>
              <w:rPr>
                <w:sz w:val="22"/>
              </w:rPr>
              <w:t>2750+/-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50</w:t>
            </w:r>
          </w:p>
        </w:tc>
        <w:tc>
          <w:tcPr>
            <w:tcW w:w="1082" w:type="dxa"/>
          </w:tcPr>
          <w:p>
            <w:pPr>
              <w:pStyle w:val="TableParagraph"/>
              <w:spacing w:before="3"/>
              <w:rPr>
                <w:i/>
                <w:sz w:val="28"/>
              </w:rPr>
            </w:pPr>
          </w:p>
          <w:p>
            <w:pPr>
              <w:pStyle w:val="TableParagraph"/>
              <w:spacing w:line="234" w:lineRule="exact" w:before="1"/>
              <w:ind w:left="30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5</w:t>
            </w:r>
          </w:p>
        </w:tc>
        <w:tc>
          <w:tcPr>
            <w:tcW w:w="1303" w:type="dxa"/>
          </w:tcPr>
          <w:p>
            <w:pPr>
              <w:pStyle w:val="TableParagraph"/>
              <w:spacing w:before="3"/>
              <w:rPr>
                <w:i/>
                <w:sz w:val="28"/>
              </w:rPr>
            </w:pPr>
          </w:p>
          <w:p>
            <w:pPr>
              <w:pStyle w:val="TableParagraph"/>
              <w:spacing w:line="234" w:lineRule="exact" w:before="1"/>
              <w:ind w:right="566"/>
              <w:jc w:val="right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</w:tr>
      <w:tr>
        <w:trPr>
          <w:trHeight w:val="299" w:hRule="atLeast"/>
        </w:trPr>
        <w:tc>
          <w:tcPr>
            <w:tcW w:w="2155" w:type="dxa"/>
          </w:tcPr>
          <w:p>
            <w:pPr>
              <w:pStyle w:val="TableParagraph"/>
              <w:spacing w:line="234" w:lineRule="exact" w:before="45"/>
              <w:ind w:left="111" w:right="71"/>
              <w:jc w:val="center"/>
              <w:rPr>
                <w:sz w:val="22"/>
              </w:rPr>
            </w:pPr>
            <w:r>
              <w:rPr>
                <w:sz w:val="22"/>
              </w:rPr>
              <w:t>Type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IV</w:t>
            </w:r>
          </w:p>
        </w:tc>
        <w:tc>
          <w:tcPr>
            <w:tcW w:w="2263" w:type="dxa"/>
          </w:tcPr>
          <w:p>
            <w:pPr>
              <w:pStyle w:val="TableParagraph"/>
              <w:spacing w:line="234" w:lineRule="exact" w:before="45"/>
              <w:ind w:left="107"/>
              <w:rPr>
                <w:sz w:val="22"/>
              </w:rPr>
            </w:pPr>
            <w:r>
              <w:rPr>
                <w:sz w:val="22"/>
              </w:rPr>
              <w:t>30-06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AP</w:t>
            </w:r>
          </w:p>
        </w:tc>
        <w:tc>
          <w:tcPr>
            <w:tcW w:w="916" w:type="dxa"/>
            <w:tcBorders>
              <w:right w:val="nil"/>
            </w:tcBorders>
          </w:tcPr>
          <w:p>
            <w:pPr>
              <w:pStyle w:val="TableParagraph"/>
              <w:spacing w:line="234" w:lineRule="exact" w:before="45"/>
              <w:ind w:left="240" w:right="240"/>
              <w:jc w:val="center"/>
              <w:rPr>
                <w:sz w:val="22"/>
              </w:rPr>
            </w:pPr>
            <w:r>
              <w:rPr>
                <w:sz w:val="22"/>
              </w:rPr>
              <w:t>10.8</w:t>
            </w:r>
          </w:p>
        </w:tc>
        <w:tc>
          <w:tcPr>
            <w:tcW w:w="885" w:type="dxa"/>
            <w:tcBorders>
              <w:left w:val="nil"/>
            </w:tcBorders>
          </w:tcPr>
          <w:p>
            <w:pPr>
              <w:pStyle w:val="TableParagraph"/>
              <w:spacing w:line="234" w:lineRule="exact" w:before="45"/>
              <w:ind w:left="262" w:right="243"/>
              <w:jc w:val="center"/>
              <w:rPr>
                <w:sz w:val="22"/>
              </w:rPr>
            </w:pPr>
            <w:r>
              <w:rPr>
                <w:sz w:val="22"/>
              </w:rPr>
              <w:t>166</w:t>
            </w:r>
          </w:p>
        </w:tc>
        <w:tc>
          <w:tcPr>
            <w:tcW w:w="1064" w:type="dxa"/>
            <w:tcBorders>
              <w:right w:val="nil"/>
            </w:tcBorders>
          </w:tcPr>
          <w:p>
            <w:pPr>
              <w:pStyle w:val="TableParagraph"/>
              <w:spacing w:line="234" w:lineRule="exact" w:before="45"/>
              <w:ind w:left="201" w:right="133"/>
              <w:jc w:val="center"/>
              <w:rPr>
                <w:sz w:val="22"/>
              </w:rPr>
            </w:pPr>
            <w:r>
              <w:rPr>
                <w:sz w:val="22"/>
              </w:rPr>
              <w:t>56</w:t>
            </w:r>
          </w:p>
        </w:tc>
        <w:tc>
          <w:tcPr>
            <w:tcW w:w="1116" w:type="dxa"/>
            <w:tcBorders>
              <w:left w:val="nil"/>
            </w:tcBorders>
          </w:tcPr>
          <w:p>
            <w:pPr>
              <w:pStyle w:val="TableParagraph"/>
              <w:spacing w:line="234" w:lineRule="exact" w:before="45"/>
              <w:ind w:left="140" w:right="48"/>
              <w:jc w:val="center"/>
              <w:rPr>
                <w:sz w:val="22"/>
              </w:rPr>
            </w:pPr>
            <w:r>
              <w:rPr>
                <w:sz w:val="22"/>
              </w:rPr>
              <w:t>22</w:t>
            </w:r>
          </w:p>
        </w:tc>
        <w:tc>
          <w:tcPr>
            <w:tcW w:w="1135" w:type="dxa"/>
            <w:tcBorders>
              <w:right w:val="nil"/>
            </w:tcBorders>
          </w:tcPr>
          <w:p>
            <w:pPr>
              <w:pStyle w:val="TableParagraph"/>
              <w:spacing w:line="234" w:lineRule="exact" w:before="45"/>
              <w:ind w:left="110"/>
              <w:rPr>
                <w:sz w:val="22"/>
              </w:rPr>
            </w:pPr>
            <w:r>
              <w:rPr>
                <w:sz w:val="22"/>
              </w:rPr>
              <w:t>868+/-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15</w:t>
            </w:r>
          </w:p>
        </w:tc>
        <w:tc>
          <w:tcPr>
            <w:tcW w:w="1356" w:type="dxa"/>
            <w:tcBorders>
              <w:left w:val="nil"/>
            </w:tcBorders>
          </w:tcPr>
          <w:p>
            <w:pPr>
              <w:pStyle w:val="TableParagraph"/>
              <w:spacing w:line="234" w:lineRule="exact" w:before="45"/>
              <w:ind w:left="177"/>
              <w:rPr>
                <w:sz w:val="22"/>
              </w:rPr>
            </w:pPr>
            <w:r>
              <w:rPr>
                <w:sz w:val="22"/>
              </w:rPr>
              <w:t>2850+/-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50</w:t>
            </w:r>
          </w:p>
        </w:tc>
        <w:tc>
          <w:tcPr>
            <w:tcW w:w="1082" w:type="dxa"/>
          </w:tcPr>
          <w:p>
            <w:pPr>
              <w:pStyle w:val="TableParagraph"/>
              <w:spacing w:line="234" w:lineRule="exact" w:before="45"/>
              <w:ind w:left="30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1</w:t>
            </w:r>
          </w:p>
        </w:tc>
        <w:tc>
          <w:tcPr>
            <w:tcW w:w="1303" w:type="dxa"/>
          </w:tcPr>
          <w:p>
            <w:pPr>
              <w:pStyle w:val="TableParagraph"/>
              <w:spacing w:line="234" w:lineRule="exact" w:before="45"/>
              <w:ind w:right="566"/>
              <w:jc w:val="right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</w:tr>
    </w:tbl>
    <w:p>
      <w:pPr>
        <w:pStyle w:val="BodyText"/>
        <w:spacing w:before="6"/>
        <w:rPr>
          <w:i/>
          <w:sz w:val="27"/>
        </w:rPr>
      </w:pPr>
    </w:p>
    <w:p>
      <w:pPr>
        <w:spacing w:before="0"/>
        <w:ind w:left="256" w:right="0" w:firstLine="0"/>
        <w:jc w:val="left"/>
        <w:rPr>
          <w:sz w:val="22"/>
        </w:rPr>
      </w:pPr>
      <w:r>
        <w:rPr>
          <w:sz w:val="22"/>
        </w:rPr>
        <w:t>Abbreviations:</w:t>
      </w:r>
    </w:p>
    <w:p>
      <w:pPr>
        <w:spacing w:line="295" w:lineRule="auto" w:before="37"/>
        <w:ind w:left="256" w:right="11061" w:firstLine="0"/>
        <w:jc w:val="left"/>
        <w:rPr>
          <w:sz w:val="22"/>
        </w:rPr>
      </w:pPr>
      <w:r>
        <w:rPr>
          <w:sz w:val="22"/>
        </w:rPr>
        <w:t>AP - Armor Piercing</w:t>
      </w:r>
      <w:r>
        <w:rPr>
          <w:spacing w:val="1"/>
          <w:sz w:val="22"/>
        </w:rPr>
        <w:t> </w:t>
      </w:r>
      <w:r>
        <w:rPr>
          <w:sz w:val="22"/>
        </w:rPr>
        <w:t>FMJ - Full Metal Jacket</w:t>
      </w:r>
      <w:r>
        <w:rPr>
          <w:spacing w:val="1"/>
          <w:sz w:val="22"/>
        </w:rPr>
        <w:t> </w:t>
      </w:r>
      <w:r>
        <w:rPr>
          <w:sz w:val="22"/>
        </w:rPr>
        <w:t>JSP</w:t>
      </w:r>
      <w:r>
        <w:rPr>
          <w:spacing w:val="-3"/>
          <w:sz w:val="22"/>
        </w:rPr>
        <w:t> </w:t>
      </w:r>
      <w:r>
        <w:rPr>
          <w:sz w:val="22"/>
        </w:rPr>
        <w:t>-</w:t>
      </w:r>
      <w:r>
        <w:rPr>
          <w:spacing w:val="-2"/>
          <w:sz w:val="22"/>
        </w:rPr>
        <w:t> </w:t>
      </w:r>
      <w:r>
        <w:rPr>
          <w:sz w:val="22"/>
        </w:rPr>
        <w:t>Jacketed</w:t>
      </w:r>
      <w:r>
        <w:rPr>
          <w:spacing w:val="-2"/>
          <w:sz w:val="22"/>
        </w:rPr>
        <w:t> </w:t>
      </w:r>
      <w:r>
        <w:rPr>
          <w:sz w:val="22"/>
        </w:rPr>
        <w:t>Soft</w:t>
      </w:r>
      <w:r>
        <w:rPr>
          <w:spacing w:val="-3"/>
          <w:sz w:val="22"/>
        </w:rPr>
        <w:t> </w:t>
      </w:r>
      <w:r>
        <w:rPr>
          <w:sz w:val="22"/>
        </w:rPr>
        <w:t>Point</w:t>
      </w:r>
    </w:p>
    <w:p>
      <w:pPr>
        <w:spacing w:line="231" w:lineRule="exact" w:before="0"/>
        <w:ind w:left="256" w:right="0" w:firstLine="0"/>
        <w:jc w:val="left"/>
        <w:rPr>
          <w:sz w:val="22"/>
        </w:rPr>
      </w:pPr>
      <w:r>
        <w:rPr>
          <w:sz w:val="22"/>
        </w:rPr>
        <w:t>LRHV</w:t>
      </w:r>
      <w:r>
        <w:rPr>
          <w:spacing w:val="-2"/>
          <w:sz w:val="22"/>
        </w:rPr>
        <w:t> </w:t>
      </w:r>
      <w:r>
        <w:rPr>
          <w:sz w:val="22"/>
        </w:rPr>
        <w:t>-</w:t>
      </w:r>
      <w:r>
        <w:rPr>
          <w:spacing w:val="-2"/>
          <w:sz w:val="22"/>
        </w:rPr>
        <w:t> </w:t>
      </w:r>
      <w:r>
        <w:rPr>
          <w:sz w:val="22"/>
        </w:rPr>
        <w:t>Long</w:t>
      </w:r>
      <w:r>
        <w:rPr>
          <w:spacing w:val="-2"/>
          <w:sz w:val="22"/>
        </w:rPr>
        <w:t> </w:t>
      </w:r>
      <w:r>
        <w:rPr>
          <w:sz w:val="22"/>
        </w:rPr>
        <w:t>Rifle</w:t>
      </w:r>
      <w:r>
        <w:rPr>
          <w:spacing w:val="-3"/>
          <w:sz w:val="22"/>
        </w:rPr>
        <w:t> </w:t>
      </w:r>
      <w:r>
        <w:rPr>
          <w:sz w:val="22"/>
        </w:rPr>
        <w:t>High</w:t>
      </w:r>
      <w:r>
        <w:rPr>
          <w:spacing w:val="-3"/>
          <w:sz w:val="22"/>
        </w:rPr>
        <w:t> </w:t>
      </w:r>
      <w:r>
        <w:rPr>
          <w:sz w:val="22"/>
        </w:rPr>
        <w:t>Velocity</w:t>
      </w:r>
    </w:p>
    <w:p>
      <w:pPr>
        <w:spacing w:line="276" w:lineRule="auto" w:before="38"/>
        <w:ind w:left="256" w:right="11224" w:firstLine="0"/>
        <w:jc w:val="left"/>
        <w:rPr>
          <w:sz w:val="22"/>
        </w:rPr>
      </w:pPr>
      <w:r>
        <w:rPr>
          <w:sz w:val="22"/>
        </w:rPr>
        <w:t>RN - Round Nose</w:t>
      </w:r>
      <w:r>
        <w:rPr>
          <w:spacing w:val="1"/>
          <w:sz w:val="22"/>
        </w:rPr>
        <w:t> </w:t>
      </w:r>
      <w:r>
        <w:rPr>
          <w:sz w:val="22"/>
        </w:rPr>
        <w:t>SWC</w:t>
      </w:r>
      <w:r>
        <w:rPr>
          <w:spacing w:val="-5"/>
          <w:sz w:val="22"/>
        </w:rPr>
        <w:t> </w:t>
      </w:r>
      <w:r>
        <w:rPr>
          <w:sz w:val="22"/>
        </w:rPr>
        <w:t>–</w:t>
      </w:r>
      <w:r>
        <w:rPr>
          <w:spacing w:val="-5"/>
          <w:sz w:val="22"/>
        </w:rPr>
        <w:t> </w:t>
      </w:r>
      <w:r>
        <w:rPr>
          <w:sz w:val="22"/>
        </w:rPr>
        <w:t>semi-wadcutter</w:t>
      </w:r>
    </w:p>
    <w:p>
      <w:pPr>
        <w:spacing w:after="0" w:line="276" w:lineRule="auto"/>
        <w:jc w:val="left"/>
        <w:rPr>
          <w:sz w:val="22"/>
        </w:rPr>
        <w:sectPr>
          <w:footerReference w:type="default" r:id="rId101"/>
          <w:pgSz w:w="15840" w:h="12240" w:orient="landscape"/>
          <w:pgMar w:footer="0" w:header="0" w:top="1140" w:bottom="280" w:left="1260" w:right="1040"/>
        </w:sectPr>
      </w:pPr>
    </w:p>
    <w:p>
      <w:pPr>
        <w:pStyle w:val="Heading9"/>
        <w:numPr>
          <w:ilvl w:val="1"/>
          <w:numId w:val="21"/>
        </w:numPr>
        <w:tabs>
          <w:tab w:pos="800" w:val="left" w:leader="none"/>
        </w:tabs>
        <w:spacing w:line="240" w:lineRule="auto" w:before="61" w:after="0"/>
        <w:ind w:left="800" w:right="0" w:hanging="360"/>
        <w:jc w:val="both"/>
      </w:pPr>
      <w:bookmarkStart w:name="_TOC_250033" w:id="250"/>
      <w:bookmarkStart w:name="5.3 Design of Experiment" w:id="251"/>
      <w:r>
        <w:rPr>
          <w:b w:val="0"/>
        </w:rPr>
      </w:r>
      <w:bookmarkEnd w:id="251"/>
      <w:bookmarkStart w:name="5.3 Design of Experiment" w:id="252"/>
      <w:r>
        <w:rPr/>
        <w:t>D</w:t>
      </w:r>
      <w:r>
        <w:rPr/>
        <w:t>esign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bookmarkEnd w:id="250"/>
      <w:r>
        <w:rPr/>
        <w:t>Experiment</w:t>
      </w:r>
    </w:p>
    <w:p>
      <w:pPr>
        <w:pStyle w:val="BodyText"/>
        <w:spacing w:before="6"/>
        <w:rPr>
          <w:b/>
          <w:sz w:val="22"/>
        </w:rPr>
      </w:pPr>
    </w:p>
    <w:p>
      <w:pPr>
        <w:pStyle w:val="BodyText"/>
        <w:spacing w:line="480" w:lineRule="auto"/>
        <w:ind w:left="440" w:right="417" w:firstLine="720"/>
        <w:jc w:val="both"/>
      </w:pPr>
      <w:r>
        <w:rPr/>
        <w:t>A material’s response to a ballistic threat is dependent on many characteristics 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projectile,</w:t>
      </w:r>
      <w:r>
        <w:rPr>
          <w:spacing w:val="1"/>
        </w:rPr>
        <w:t> </w:t>
      </w:r>
      <w:r>
        <w:rPr/>
        <w:t>including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composition,</w:t>
      </w:r>
      <w:r>
        <w:rPr>
          <w:spacing w:val="1"/>
        </w:rPr>
        <w:t> </w:t>
      </w:r>
      <w:r>
        <w:rPr/>
        <w:t>shape,</w:t>
      </w:r>
      <w:r>
        <w:rPr>
          <w:spacing w:val="1"/>
        </w:rPr>
        <w:t> </w:t>
      </w:r>
      <w:r>
        <w:rPr/>
        <w:t>caliber,</w:t>
      </w:r>
      <w:r>
        <w:rPr>
          <w:spacing w:val="1"/>
        </w:rPr>
        <w:t> </w:t>
      </w:r>
      <w:r>
        <w:rPr/>
        <w:t>mass,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impact</w:t>
      </w:r>
      <w:r>
        <w:rPr>
          <w:spacing w:val="1"/>
        </w:rPr>
        <w:t> </w:t>
      </w:r>
      <w:r>
        <w:rPr/>
        <w:t>velocity.</w:t>
      </w:r>
      <w:r>
        <w:rPr>
          <w:spacing w:val="1"/>
        </w:rPr>
        <w:t> </w:t>
      </w:r>
      <w:r>
        <w:rPr/>
        <w:t>Although many variables are credited with having an effect on the response, the initial</w:t>
      </w:r>
      <w:r>
        <w:rPr>
          <w:spacing w:val="1"/>
        </w:rPr>
        <w:t> </w:t>
      </w:r>
      <w:r>
        <w:rPr/>
        <w:t>ballistic testing of CLT was simplified to a limited set of variables.</w:t>
      </w:r>
      <w:r>
        <w:rPr>
          <w:spacing w:val="1"/>
        </w:rPr>
        <w:t> </w:t>
      </w:r>
      <w:r>
        <w:rPr/>
        <w:t>For example, the</w:t>
      </w:r>
      <w:r>
        <w:rPr>
          <w:spacing w:val="1"/>
        </w:rPr>
        <w:t> </w:t>
      </w:r>
      <w:r>
        <w:rPr/>
        <w:t>majority of the testing was conducted with 0.50-in. steel sphere test rounds and a small</w:t>
      </w:r>
      <w:r>
        <w:rPr>
          <w:spacing w:val="1"/>
        </w:rPr>
        <w:t> </w:t>
      </w:r>
      <w:r>
        <w:rPr/>
        <w:t>number of tests were conducted with a 0.50-caliber fragment simulating projectile (FSP).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two</w:t>
      </w:r>
      <w:r>
        <w:rPr>
          <w:spacing w:val="1"/>
        </w:rPr>
        <w:t> </w:t>
      </w:r>
      <w:r>
        <w:rPr/>
        <w:t>experimental</w:t>
      </w:r>
      <w:r>
        <w:rPr>
          <w:spacing w:val="1"/>
        </w:rPr>
        <w:t> </w:t>
      </w:r>
      <w:r>
        <w:rPr/>
        <w:t>projectiles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benefit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being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same</w:t>
      </w:r>
      <w:r>
        <w:rPr>
          <w:spacing w:val="1"/>
        </w:rPr>
        <w:t> </w:t>
      </w:r>
      <w:r>
        <w:rPr/>
        <w:t>caliber</w:t>
      </w:r>
      <w:r>
        <w:rPr>
          <w:spacing w:val="1"/>
        </w:rPr>
        <w:t> </w:t>
      </w:r>
      <w:r>
        <w:rPr/>
        <w:t>(the</w:t>
      </w:r>
      <w:r>
        <w:rPr>
          <w:spacing w:val="-57"/>
        </w:rPr>
        <w:t> </w:t>
      </w:r>
      <w:r>
        <w:rPr/>
        <w:t>measurement of the inner diameter or bore of the gun barrel) and thus the same cross-</w:t>
      </w:r>
      <w:r>
        <w:rPr>
          <w:spacing w:val="1"/>
        </w:rPr>
        <w:t> </w:t>
      </w:r>
      <w:r>
        <w:rPr/>
        <w:t>sectional striking area while also having different masses and distinctly different nose</w:t>
      </w:r>
      <w:r>
        <w:rPr>
          <w:spacing w:val="1"/>
        </w:rPr>
        <w:t> </w:t>
      </w:r>
      <w:r>
        <w:rPr/>
        <w:t>shapes.</w:t>
      </w:r>
      <w:r>
        <w:rPr>
          <w:spacing w:val="1"/>
        </w:rPr>
        <w:t> </w:t>
      </w:r>
      <w:r>
        <w:rPr/>
        <w:t>Both rounds are frequently used in ballistic testing of armors as baseline data for</w:t>
      </w:r>
      <w:r>
        <w:rPr>
          <w:spacing w:val="1"/>
        </w:rPr>
        <w:t> </w:t>
      </w:r>
      <w:r>
        <w:rPr/>
        <w:t>comparison</w:t>
      </w:r>
      <w:r>
        <w:rPr>
          <w:spacing w:val="-1"/>
        </w:rPr>
        <w:t> </w:t>
      </w:r>
      <w:r>
        <w:rPr/>
        <w:t>to the performance of</w:t>
      </w:r>
      <w:r>
        <w:rPr>
          <w:spacing w:val="-1"/>
        </w:rPr>
        <w:t> </w:t>
      </w:r>
      <w:r>
        <w:rPr/>
        <w:t>other materials.</w:t>
      </w:r>
    </w:p>
    <w:p>
      <w:pPr>
        <w:pStyle w:val="BodyText"/>
        <w:spacing w:line="480" w:lineRule="auto" w:before="159"/>
        <w:ind w:left="439" w:right="417" w:firstLine="720"/>
        <w:jc w:val="both"/>
      </w:pPr>
      <w:r>
        <w:rPr/>
        <w:t>Nose</w:t>
      </w:r>
      <w:r>
        <w:rPr>
          <w:spacing w:val="1"/>
        </w:rPr>
        <w:t> </w:t>
      </w:r>
      <w:r>
        <w:rPr/>
        <w:t>shape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important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relatively</w:t>
      </w:r>
      <w:r>
        <w:rPr>
          <w:spacing w:val="1"/>
        </w:rPr>
        <w:t> </w:t>
      </w:r>
      <w:r>
        <w:rPr/>
        <w:t>complex</w:t>
      </w:r>
      <w:r>
        <w:rPr>
          <w:spacing w:val="1"/>
        </w:rPr>
        <w:t> </w:t>
      </w:r>
      <w:r>
        <w:rPr/>
        <w:t>parameter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penetration</w:t>
      </w:r>
      <w:r>
        <w:rPr>
          <w:spacing w:val="-57"/>
        </w:rPr>
        <w:t> </w:t>
      </w:r>
      <w:r>
        <w:rPr/>
        <w:t>mechanics. There is a significant amount of research that has compared different nose</w:t>
      </w:r>
      <w:r>
        <w:rPr>
          <w:spacing w:val="1"/>
        </w:rPr>
        <w:t> </w:t>
      </w:r>
      <w:r>
        <w:rPr/>
        <w:t>shapes and their penetration behavior into materials like metals and concrete.</w:t>
      </w:r>
      <w:r>
        <w:rPr>
          <w:spacing w:val="1"/>
        </w:rPr>
        <w:t> </w:t>
      </w:r>
      <w:r>
        <w:rPr/>
        <w:t>Since this</w:t>
      </w:r>
      <w:r>
        <w:rPr>
          <w:spacing w:val="1"/>
        </w:rPr>
        <w:t> </w:t>
      </w:r>
      <w:r>
        <w:rPr/>
        <w:t>research is focused on isolating variables to best understand the behavior of CLT, for</w:t>
      </w:r>
      <w:r>
        <w:rPr>
          <w:spacing w:val="1"/>
        </w:rPr>
        <w:t> </w:t>
      </w:r>
      <w:r>
        <w:rPr/>
        <w:t>simplicity the parameter of nose shape was not included in this research.</w:t>
      </w:r>
      <w:r>
        <w:rPr>
          <w:spacing w:val="1"/>
        </w:rPr>
        <w:t> </w:t>
      </w:r>
      <w:r>
        <w:rPr/>
        <w:t>Future work in</w:t>
      </w:r>
      <w:r>
        <w:rPr>
          <w:spacing w:val="1"/>
        </w:rPr>
        <w:t> </w:t>
      </w:r>
      <w:r>
        <w:rPr/>
        <w:t>the</w:t>
      </w:r>
      <w:r>
        <w:rPr>
          <w:spacing w:val="-9"/>
        </w:rPr>
        <w:t> </w:t>
      </w:r>
      <w:r>
        <w:rPr/>
        <w:t>ballistic</w:t>
      </w:r>
      <w:r>
        <w:rPr>
          <w:spacing w:val="-10"/>
        </w:rPr>
        <w:t> </w:t>
      </w:r>
      <w:r>
        <w:rPr/>
        <w:t>performance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CLT</w:t>
      </w:r>
      <w:r>
        <w:rPr>
          <w:spacing w:val="-10"/>
        </w:rPr>
        <w:t> </w:t>
      </w:r>
      <w:r>
        <w:rPr/>
        <w:t>and</w:t>
      </w:r>
      <w:r>
        <w:rPr>
          <w:spacing w:val="-9"/>
        </w:rPr>
        <w:t> </w:t>
      </w:r>
      <w:r>
        <w:rPr/>
        <w:t>mass</w:t>
      </w:r>
      <w:r>
        <w:rPr>
          <w:spacing w:val="-9"/>
        </w:rPr>
        <w:t> </w:t>
      </w:r>
      <w:r>
        <w:rPr/>
        <w:t>timber</w:t>
      </w:r>
      <w:r>
        <w:rPr>
          <w:spacing w:val="-7"/>
        </w:rPr>
        <w:t> </w:t>
      </w:r>
      <w:r>
        <w:rPr/>
        <w:t>products</w:t>
      </w:r>
      <w:r>
        <w:rPr>
          <w:spacing w:val="-11"/>
        </w:rPr>
        <w:t> </w:t>
      </w:r>
      <w:r>
        <w:rPr/>
        <w:t>could</w:t>
      </w:r>
      <w:r>
        <w:rPr>
          <w:spacing w:val="-9"/>
        </w:rPr>
        <w:t> </w:t>
      </w:r>
      <w:r>
        <w:rPr/>
        <w:t>build</w:t>
      </w:r>
      <w:r>
        <w:rPr>
          <w:spacing w:val="-10"/>
        </w:rPr>
        <w:t> </w:t>
      </w:r>
      <w:r>
        <w:rPr/>
        <w:t>off</w:t>
      </w:r>
      <w:r>
        <w:rPr>
          <w:spacing w:val="-9"/>
        </w:rPr>
        <w:t> </w:t>
      </w:r>
      <w:r>
        <w:rPr/>
        <w:t>this</w:t>
      </w:r>
      <w:r>
        <w:rPr>
          <w:spacing w:val="-8"/>
        </w:rPr>
        <w:t> </w:t>
      </w:r>
      <w:r>
        <w:rPr/>
        <w:t>initial</w:t>
      </w:r>
      <w:r>
        <w:rPr>
          <w:spacing w:val="-9"/>
        </w:rPr>
        <w:t> </w:t>
      </w:r>
      <w:r>
        <w:rPr/>
        <w:t>work</w:t>
      </w:r>
      <w:r>
        <w:rPr>
          <w:spacing w:val="-58"/>
        </w:rPr>
        <w:t> </w:t>
      </w:r>
      <w:r>
        <w:rPr/>
        <w:t>and include experiments with varying nose shape.</w:t>
      </w:r>
      <w:r>
        <w:rPr>
          <w:spacing w:val="1"/>
        </w:rPr>
        <w:t> </w:t>
      </w:r>
      <w:r>
        <w:rPr/>
        <w:t>Empirical models could then be</w:t>
      </w:r>
      <w:r>
        <w:rPr>
          <w:spacing w:val="1"/>
        </w:rPr>
        <w:t> </w:t>
      </w:r>
      <w:r>
        <w:rPr/>
        <w:t>calibrated</w:t>
      </w:r>
      <w:r>
        <w:rPr>
          <w:spacing w:val="-1"/>
        </w:rPr>
        <w:t> </w:t>
      </w:r>
      <w:r>
        <w:rPr/>
        <w:t>to</w:t>
      </w:r>
      <w:r>
        <w:rPr>
          <w:spacing w:val="-3"/>
        </w:rPr>
        <w:t> </w:t>
      </w:r>
      <w:r>
        <w:rPr/>
        <w:t>include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nose</w:t>
      </w:r>
      <w:r>
        <w:rPr>
          <w:spacing w:val="-1"/>
        </w:rPr>
        <w:t> </w:t>
      </w:r>
      <w:r>
        <w:rPr/>
        <w:t>shape factor</w:t>
      </w:r>
      <w:r>
        <w:rPr>
          <w:spacing w:val="-1"/>
        </w:rPr>
        <w:t> </w:t>
      </w:r>
      <w:r>
        <w:rPr/>
        <w:t>much</w:t>
      </w:r>
      <w:r>
        <w:rPr>
          <w:spacing w:val="-1"/>
        </w:rPr>
        <w:t> </w:t>
      </w:r>
      <w:r>
        <w:rPr/>
        <w:t>like any</w:t>
      </w:r>
      <w:r>
        <w:rPr>
          <w:spacing w:val="-1"/>
        </w:rPr>
        <w:t> </w:t>
      </w:r>
      <w:r>
        <w:rPr/>
        <w:t>other</w:t>
      </w:r>
      <w:r>
        <w:rPr>
          <w:spacing w:val="-1"/>
        </w:rPr>
        <w:t> </w:t>
      </w:r>
      <w:r>
        <w:rPr/>
        <w:t>variable</w:t>
      </w:r>
      <w:r>
        <w:rPr>
          <w:spacing w:val="-1"/>
        </w:rPr>
        <w:t> </w:t>
      </w:r>
      <w:r>
        <w:rPr/>
        <w:t>in</w:t>
      </w:r>
      <w:r>
        <w:rPr>
          <w:spacing w:val="-3"/>
        </w:rPr>
        <w:t> </w:t>
      </w:r>
      <w:r>
        <w:rPr/>
        <w:t>the model.</w:t>
      </w:r>
    </w:p>
    <w:p>
      <w:pPr>
        <w:spacing w:after="0" w:line="480" w:lineRule="auto"/>
        <w:jc w:val="both"/>
        <w:sectPr>
          <w:footerReference w:type="default" r:id="rId102"/>
          <w:pgSz w:w="12240" w:h="15840"/>
          <w:pgMar w:footer="1064" w:header="0" w:top="1420" w:bottom="1260" w:left="1720" w:right="1020"/>
          <w:pgNumType w:start="155"/>
        </w:sectPr>
      </w:pPr>
    </w:p>
    <w:p>
      <w:pPr>
        <w:pStyle w:val="ListParagraph"/>
        <w:numPr>
          <w:ilvl w:val="2"/>
          <w:numId w:val="21"/>
        </w:numPr>
        <w:tabs>
          <w:tab w:pos="980" w:val="left" w:leader="none"/>
        </w:tabs>
        <w:spacing w:line="240" w:lineRule="auto" w:before="79" w:after="0"/>
        <w:ind w:left="980" w:right="0" w:hanging="540"/>
        <w:jc w:val="left"/>
        <w:rPr>
          <w:i/>
          <w:sz w:val="24"/>
        </w:rPr>
      </w:pPr>
      <w:bookmarkStart w:name="5.3.1 Set-up and testing methodology" w:id="253"/>
      <w:bookmarkEnd w:id="253"/>
      <w:r>
        <w:rPr/>
      </w:r>
      <w:bookmarkStart w:name="5.3.1 Set-up and testing methodology" w:id="254"/>
      <w:bookmarkEnd w:id="254"/>
      <w:r>
        <w:rPr>
          <w:i/>
          <w:sz w:val="24"/>
        </w:rPr>
        <w:t>Set-up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testing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methodology</w:t>
      </w: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180"/>
        <w:ind w:left="439" w:right="416" w:firstLine="720"/>
        <w:jc w:val="both"/>
      </w:pPr>
      <w:r>
        <w:rPr/>
        <w:t>The majority of the ballistic experiments took place at the U.S. Army Corps of</w:t>
      </w:r>
      <w:r>
        <w:rPr>
          <w:spacing w:val="1"/>
        </w:rPr>
        <w:t> </w:t>
      </w:r>
      <w:r>
        <w:rPr/>
        <w:t>Engineers’ Engineer Research and Development Center (ERDC) in the Survivability</w:t>
      </w:r>
      <w:r>
        <w:rPr>
          <w:spacing w:val="1"/>
        </w:rPr>
        <w:t> </w:t>
      </w:r>
      <w:r>
        <w:rPr/>
        <w:t>Engineering Branch fragment simulating facility.</w:t>
      </w:r>
      <w:r>
        <w:rPr>
          <w:spacing w:val="1"/>
        </w:rPr>
        <w:t> </w:t>
      </w:r>
      <w:r>
        <w:rPr/>
        <w:t>The experimental test set-up consisted</w:t>
      </w:r>
      <w:r>
        <w:rPr>
          <w:spacing w:val="1"/>
        </w:rPr>
        <w:t> </w:t>
      </w:r>
      <w:r>
        <w:rPr/>
        <w:t>of</w:t>
      </w:r>
      <w:r>
        <w:rPr>
          <w:spacing w:val="-7"/>
        </w:rPr>
        <w:t> </w:t>
      </w:r>
      <w:r>
        <w:rPr/>
        <w:t>an</w:t>
      </w:r>
      <w:r>
        <w:rPr>
          <w:spacing w:val="-5"/>
        </w:rPr>
        <w:t> </w:t>
      </w:r>
      <w:r>
        <w:rPr/>
        <w:t>indoor,</w:t>
      </w:r>
      <w:r>
        <w:rPr>
          <w:spacing w:val="-6"/>
        </w:rPr>
        <w:t> </w:t>
      </w:r>
      <w:r>
        <w:rPr/>
        <w:t>conditioned,</w:t>
      </w:r>
      <w:r>
        <w:rPr>
          <w:spacing w:val="-5"/>
        </w:rPr>
        <w:t> </w:t>
      </w:r>
      <w:r>
        <w:rPr/>
        <w:t>ballistic</w:t>
      </w:r>
      <w:r>
        <w:rPr>
          <w:spacing w:val="-5"/>
        </w:rPr>
        <w:t> </w:t>
      </w:r>
      <w:r>
        <w:rPr/>
        <w:t>range</w:t>
      </w:r>
      <w:r>
        <w:rPr>
          <w:spacing w:val="-5"/>
        </w:rPr>
        <w:t> </w:t>
      </w:r>
      <w:r>
        <w:rPr/>
        <w:t>with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smooth</w:t>
      </w:r>
      <w:r>
        <w:rPr>
          <w:spacing w:val="-5"/>
        </w:rPr>
        <w:t> </w:t>
      </w:r>
      <w:r>
        <w:rPr/>
        <w:t>bore</w:t>
      </w:r>
      <w:r>
        <w:rPr>
          <w:spacing w:val="-6"/>
        </w:rPr>
        <w:t> </w:t>
      </w:r>
      <w:r>
        <w:rPr/>
        <w:t>powder</w:t>
      </w:r>
      <w:r>
        <w:rPr>
          <w:spacing w:val="-5"/>
        </w:rPr>
        <w:t> </w:t>
      </w:r>
      <w:r>
        <w:rPr/>
        <w:t>gun</w:t>
      </w:r>
      <w:r>
        <w:rPr>
          <w:spacing w:val="-5"/>
        </w:rPr>
        <w:t> </w:t>
      </w:r>
      <w:r>
        <w:rPr/>
        <w:t>with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50-caliber</w:t>
      </w:r>
      <w:r>
        <w:rPr>
          <w:spacing w:val="-58"/>
        </w:rPr>
        <w:t> </w:t>
      </w:r>
      <w:r>
        <w:rPr/>
        <w:t>barrel.</w:t>
      </w:r>
      <w:r>
        <w:rPr>
          <w:spacing w:val="1"/>
        </w:rPr>
        <w:t> </w:t>
      </w:r>
      <w:hyperlink w:history="true" w:anchor="_bookmark53">
        <w:r>
          <w:rPr/>
          <w:t>Figure 5-1 </w:t>
        </w:r>
      </w:hyperlink>
      <w:r>
        <w:rPr/>
        <w:t>shows the firing apparatus.</w:t>
      </w:r>
      <w:r>
        <w:rPr>
          <w:spacing w:val="1"/>
        </w:rPr>
        <w:t> </w:t>
      </w:r>
      <w:r>
        <w:rPr/>
        <w:t>While the firing system can be adapted for</w:t>
      </w:r>
      <w:r>
        <w:rPr>
          <w:spacing w:val="-57"/>
        </w:rPr>
        <w:t> </w:t>
      </w:r>
      <w:r>
        <w:rPr/>
        <w:t>multiple barrels, only a 50-caliber barrel was used.</w:t>
      </w:r>
      <w:r>
        <w:rPr>
          <w:spacing w:val="1"/>
        </w:rPr>
        <w:t> </w:t>
      </w:r>
      <w:r>
        <w:rPr/>
        <w:t>This barrel is the same type as those</w:t>
      </w:r>
      <w:r>
        <w:rPr>
          <w:spacing w:val="1"/>
        </w:rPr>
        <w:t> </w:t>
      </w:r>
      <w:r>
        <w:rPr/>
        <w:t>used</w:t>
      </w:r>
      <w:r>
        <w:rPr>
          <w:spacing w:val="-1"/>
        </w:rPr>
        <w:t> </w:t>
      </w:r>
      <w:r>
        <w:rPr/>
        <w:t>with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military M2</w:t>
      </w:r>
      <w:r>
        <w:rPr>
          <w:spacing w:val="-2"/>
        </w:rPr>
        <w:t> </w:t>
      </w:r>
      <w:r>
        <w:rPr/>
        <w:t>weapons systems.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116">
            <wp:simplePos x="0" y="0"/>
            <wp:positionH relativeFrom="page">
              <wp:posOffset>2152650</wp:posOffset>
            </wp:positionH>
            <wp:positionV relativeFrom="paragraph">
              <wp:posOffset>234744</wp:posOffset>
            </wp:positionV>
            <wp:extent cx="3961921" cy="2598420"/>
            <wp:effectExtent l="0" t="0" r="0" b="0"/>
            <wp:wrapTopAndBottom/>
            <wp:docPr id="53" name="image9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93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1921" cy="2598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10"/>
        <w:ind w:left="439" w:right="418" w:firstLine="0"/>
        <w:jc w:val="left"/>
        <w:rPr>
          <w:i/>
          <w:sz w:val="24"/>
        </w:rPr>
      </w:pPr>
      <w:bookmarkStart w:name="_bookmark53" w:id="255"/>
      <w:bookmarkEnd w:id="255"/>
      <w:r>
        <w:rPr/>
      </w:r>
      <w:r>
        <w:rPr>
          <w:i/>
          <w:sz w:val="24"/>
        </w:rPr>
        <w:t>Figure</w:t>
      </w:r>
      <w:r>
        <w:rPr>
          <w:i/>
          <w:spacing w:val="36"/>
          <w:sz w:val="24"/>
        </w:rPr>
        <w:t> </w:t>
      </w:r>
      <w:r>
        <w:rPr>
          <w:i/>
          <w:sz w:val="24"/>
        </w:rPr>
        <w:t>5-1.</w:t>
      </w:r>
      <w:r>
        <w:rPr>
          <w:i/>
          <w:spacing w:val="36"/>
          <w:sz w:val="24"/>
        </w:rPr>
        <w:t> </w:t>
      </w:r>
      <w:r>
        <w:rPr>
          <w:i/>
          <w:sz w:val="24"/>
        </w:rPr>
        <w:t>ERDC's</w:t>
      </w:r>
      <w:r>
        <w:rPr>
          <w:i/>
          <w:spacing w:val="37"/>
          <w:sz w:val="24"/>
        </w:rPr>
        <w:t> </w:t>
      </w:r>
      <w:r>
        <w:rPr>
          <w:i/>
          <w:sz w:val="24"/>
        </w:rPr>
        <w:t>fragment</w:t>
      </w:r>
      <w:r>
        <w:rPr>
          <w:i/>
          <w:spacing w:val="37"/>
          <w:sz w:val="24"/>
        </w:rPr>
        <w:t> </w:t>
      </w:r>
      <w:r>
        <w:rPr>
          <w:i/>
          <w:sz w:val="24"/>
        </w:rPr>
        <w:t>simulating</w:t>
      </w:r>
      <w:r>
        <w:rPr>
          <w:i/>
          <w:spacing w:val="37"/>
          <w:sz w:val="24"/>
        </w:rPr>
        <w:t> </w:t>
      </w:r>
      <w:r>
        <w:rPr>
          <w:i/>
          <w:sz w:val="24"/>
        </w:rPr>
        <w:t>facility</w:t>
      </w:r>
      <w:r>
        <w:rPr>
          <w:i/>
          <w:spacing w:val="36"/>
          <w:sz w:val="24"/>
        </w:rPr>
        <w:t> </w:t>
      </w:r>
      <w:r>
        <w:rPr>
          <w:i/>
          <w:sz w:val="24"/>
        </w:rPr>
        <w:t>firing</w:t>
      </w:r>
      <w:r>
        <w:rPr>
          <w:i/>
          <w:spacing w:val="37"/>
          <w:sz w:val="24"/>
        </w:rPr>
        <w:t> </w:t>
      </w:r>
      <w:r>
        <w:rPr>
          <w:i/>
          <w:sz w:val="24"/>
        </w:rPr>
        <w:t>apparatus</w:t>
      </w:r>
      <w:r>
        <w:rPr>
          <w:i/>
          <w:spacing w:val="37"/>
          <w:sz w:val="24"/>
        </w:rPr>
        <w:t> </w:t>
      </w:r>
      <w:r>
        <w:rPr>
          <w:i/>
          <w:sz w:val="24"/>
        </w:rPr>
        <w:t>shown</w:t>
      </w:r>
      <w:r>
        <w:rPr>
          <w:i/>
          <w:spacing w:val="37"/>
          <w:sz w:val="24"/>
        </w:rPr>
        <w:t> </w:t>
      </w:r>
      <w:r>
        <w:rPr>
          <w:i/>
          <w:sz w:val="24"/>
        </w:rPr>
        <w:t>with</w:t>
      </w:r>
      <w:r>
        <w:rPr>
          <w:i/>
          <w:spacing w:val="37"/>
          <w:sz w:val="24"/>
        </w:rPr>
        <w:t> </w:t>
      </w:r>
      <w:r>
        <w:rPr>
          <w:i/>
          <w:sz w:val="24"/>
        </w:rPr>
        <w:t>one</w:t>
      </w:r>
      <w:r>
        <w:rPr>
          <w:i/>
          <w:spacing w:val="36"/>
          <w:sz w:val="24"/>
        </w:rPr>
        <w:t> </w:t>
      </w:r>
      <w:r>
        <w:rPr>
          <w:i/>
          <w:sz w:val="24"/>
        </w:rPr>
        <w:t>50-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caliber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barrel mounted.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1"/>
        <w:rPr>
          <w:i/>
          <w:sz w:val="27"/>
        </w:rPr>
      </w:pPr>
    </w:p>
    <w:p>
      <w:pPr>
        <w:pStyle w:val="BodyText"/>
        <w:spacing w:line="480" w:lineRule="auto"/>
        <w:ind w:left="439" w:right="403"/>
      </w:pPr>
      <w:r>
        <w:rPr/>
        <w:t>The</w:t>
      </w:r>
      <w:r>
        <w:rPr>
          <w:spacing w:val="16"/>
        </w:rPr>
        <w:t> </w:t>
      </w:r>
      <w:r>
        <w:rPr/>
        <w:t>firing</w:t>
      </w:r>
      <w:r>
        <w:rPr>
          <w:spacing w:val="15"/>
        </w:rPr>
        <w:t> </w:t>
      </w:r>
      <w:r>
        <w:rPr/>
        <w:t>apparatus</w:t>
      </w:r>
      <w:r>
        <w:rPr>
          <w:spacing w:val="16"/>
        </w:rPr>
        <w:t> </w:t>
      </w:r>
      <w:r>
        <w:rPr/>
        <w:t>was</w:t>
      </w:r>
      <w:r>
        <w:rPr>
          <w:spacing w:val="17"/>
        </w:rPr>
        <w:t> </w:t>
      </w:r>
      <w:r>
        <w:rPr/>
        <w:t>mounted</w:t>
      </w:r>
      <w:r>
        <w:rPr>
          <w:spacing w:val="16"/>
        </w:rPr>
        <w:t> </w:t>
      </w:r>
      <w:r>
        <w:rPr/>
        <w:t>and</w:t>
      </w:r>
      <w:r>
        <w:rPr>
          <w:spacing w:val="15"/>
        </w:rPr>
        <w:t> </w:t>
      </w:r>
      <w:r>
        <w:rPr/>
        <w:t>secured</w:t>
      </w:r>
      <w:r>
        <w:rPr>
          <w:spacing w:val="15"/>
        </w:rPr>
        <w:t> </w:t>
      </w:r>
      <w:r>
        <w:rPr/>
        <w:t>to</w:t>
      </w:r>
      <w:r>
        <w:rPr>
          <w:spacing w:val="15"/>
        </w:rPr>
        <w:t> </w:t>
      </w:r>
      <w:r>
        <w:rPr/>
        <w:t>a</w:t>
      </w:r>
      <w:r>
        <w:rPr>
          <w:spacing w:val="16"/>
        </w:rPr>
        <w:t> </w:t>
      </w:r>
      <w:r>
        <w:rPr/>
        <w:t>table</w:t>
      </w:r>
      <w:r>
        <w:rPr>
          <w:spacing w:val="17"/>
        </w:rPr>
        <w:t> </w:t>
      </w:r>
      <w:r>
        <w:rPr/>
        <w:t>to</w:t>
      </w:r>
      <w:r>
        <w:rPr>
          <w:spacing w:val="15"/>
        </w:rPr>
        <w:t> </w:t>
      </w:r>
      <w:r>
        <w:rPr/>
        <w:t>prevent</w:t>
      </w:r>
      <w:r>
        <w:rPr>
          <w:spacing w:val="16"/>
        </w:rPr>
        <w:t> </w:t>
      </w:r>
      <w:r>
        <w:rPr/>
        <w:t>movement</w:t>
      </w:r>
      <w:r>
        <w:rPr>
          <w:spacing w:val="17"/>
        </w:rPr>
        <w:t> </w:t>
      </w:r>
      <w:r>
        <w:rPr/>
        <w:t>with</w:t>
      </w:r>
      <w:r>
        <w:rPr>
          <w:spacing w:val="16"/>
        </w:rPr>
        <w:t> </w:t>
      </w:r>
      <w:r>
        <w:rPr/>
        <w:t>test</w:t>
      </w:r>
      <w:r>
        <w:rPr>
          <w:spacing w:val="-57"/>
        </w:rPr>
        <w:t> </w:t>
      </w:r>
      <w:r>
        <w:rPr/>
        <w:t>shots.</w:t>
      </w:r>
      <w:r>
        <w:rPr>
          <w:spacing w:val="47"/>
        </w:rPr>
        <w:t> </w:t>
      </w:r>
      <w:r>
        <w:rPr/>
        <w:t>Four</w:t>
      </w:r>
      <w:r>
        <w:rPr>
          <w:spacing w:val="-8"/>
        </w:rPr>
        <w:t> </w:t>
      </w:r>
      <w:r>
        <w:rPr/>
        <w:t>infrared</w:t>
      </w:r>
      <w:r>
        <w:rPr>
          <w:spacing w:val="-6"/>
        </w:rPr>
        <w:t> </w:t>
      </w:r>
      <w:r>
        <w:rPr/>
        <w:t>photoelectric</w:t>
      </w:r>
      <w:r>
        <w:rPr>
          <w:spacing w:val="-6"/>
        </w:rPr>
        <w:t> </w:t>
      </w:r>
      <w:r>
        <w:rPr/>
        <w:t>velocity</w:t>
      </w:r>
      <w:r>
        <w:rPr>
          <w:spacing w:val="-7"/>
        </w:rPr>
        <w:t> </w:t>
      </w:r>
      <w:r>
        <w:rPr/>
        <w:t>screens</w:t>
      </w:r>
      <w:r>
        <w:rPr>
          <w:spacing w:val="-6"/>
        </w:rPr>
        <w:t> </w:t>
      </w:r>
      <w:r>
        <w:rPr/>
        <w:t>were</w:t>
      </w:r>
      <w:r>
        <w:rPr>
          <w:spacing w:val="-7"/>
        </w:rPr>
        <w:t> </w:t>
      </w:r>
      <w:r>
        <w:rPr/>
        <w:t>connected</w:t>
      </w:r>
      <w:r>
        <w:rPr>
          <w:spacing w:val="-7"/>
        </w:rPr>
        <w:t> </w:t>
      </w:r>
      <w:r>
        <w:rPr/>
        <w:t>to</w:t>
      </w:r>
      <w:r>
        <w:rPr>
          <w:spacing w:val="-6"/>
        </w:rPr>
        <w:t> </w:t>
      </w:r>
      <w:r>
        <w:rPr/>
        <w:t>two</w:t>
      </w:r>
      <w:r>
        <w:rPr>
          <w:spacing w:val="-8"/>
        </w:rPr>
        <w:t> </w:t>
      </w:r>
      <w:r>
        <w:rPr/>
        <w:t>chronographs</w:t>
      </w:r>
      <w:r>
        <w:rPr>
          <w:spacing w:val="-6"/>
        </w:rPr>
        <w:t> </w:t>
      </w:r>
      <w:r>
        <w:rPr/>
        <w:t>in</w:t>
      </w:r>
    </w:p>
    <w:p>
      <w:pPr>
        <w:spacing w:after="0" w:line="480" w:lineRule="auto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40" w:right="403"/>
      </w:pPr>
      <w:r>
        <w:rPr/>
        <w:t>order</w:t>
      </w:r>
      <w:r>
        <w:rPr>
          <w:spacing w:val="3"/>
        </w:rPr>
        <w:t> </w:t>
      </w:r>
      <w:r>
        <w:rPr/>
        <w:t>to</w:t>
      </w:r>
      <w:r>
        <w:rPr>
          <w:spacing w:val="4"/>
        </w:rPr>
        <w:t> </w:t>
      </w:r>
      <w:r>
        <w:rPr/>
        <w:t>capture</w:t>
      </w:r>
      <w:r>
        <w:rPr>
          <w:spacing w:val="5"/>
        </w:rPr>
        <w:t> </w:t>
      </w:r>
      <w:r>
        <w:rPr/>
        <w:t>two</w:t>
      </w:r>
      <w:r>
        <w:rPr>
          <w:spacing w:val="4"/>
        </w:rPr>
        <w:t> </w:t>
      </w:r>
      <w:r>
        <w:rPr/>
        <w:t>different</w:t>
      </w:r>
      <w:r>
        <w:rPr>
          <w:spacing w:val="5"/>
        </w:rPr>
        <w:t> </w:t>
      </w:r>
      <w:r>
        <w:rPr/>
        <w:t>velocity</w:t>
      </w:r>
      <w:r>
        <w:rPr>
          <w:spacing w:val="4"/>
        </w:rPr>
        <w:t> </w:t>
      </w:r>
      <w:r>
        <w:rPr/>
        <w:t>measurements</w:t>
      </w:r>
      <w:r>
        <w:rPr>
          <w:spacing w:val="5"/>
        </w:rPr>
        <w:t> </w:t>
      </w:r>
      <w:r>
        <w:rPr/>
        <w:t>as</w:t>
      </w:r>
      <w:r>
        <w:rPr>
          <w:spacing w:val="3"/>
        </w:rPr>
        <w:t> </w:t>
      </w:r>
      <w:r>
        <w:rPr/>
        <w:t>the</w:t>
      </w:r>
      <w:r>
        <w:rPr>
          <w:spacing w:val="5"/>
        </w:rPr>
        <w:t> </w:t>
      </w:r>
      <w:r>
        <w:rPr/>
        <w:t>projectile</w:t>
      </w:r>
      <w:r>
        <w:rPr>
          <w:spacing w:val="4"/>
        </w:rPr>
        <w:t> </w:t>
      </w:r>
      <w:r>
        <w:rPr/>
        <w:t>moved</w:t>
      </w:r>
      <w:r>
        <w:rPr>
          <w:spacing w:val="4"/>
        </w:rPr>
        <w:t> </w:t>
      </w:r>
      <w:r>
        <w:rPr/>
        <w:t>down</w:t>
      </w:r>
      <w:r>
        <w:rPr>
          <w:spacing w:val="5"/>
        </w:rPr>
        <w:t> </w:t>
      </w:r>
      <w:r>
        <w:rPr/>
        <w:t>range</w:t>
      </w:r>
      <w:r>
        <w:rPr>
          <w:spacing w:val="-57"/>
        </w:rPr>
        <w:t> </w:t>
      </w:r>
      <w:r>
        <w:rPr/>
        <w:t>in</w:t>
      </w:r>
      <w:r>
        <w:rPr>
          <w:spacing w:val="-1"/>
        </w:rPr>
        <w:t> </w:t>
      </w:r>
      <w:r>
        <w:rPr/>
        <w:t>the direction 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target.  The screens</w:t>
      </w:r>
      <w:r>
        <w:rPr>
          <w:spacing w:val="-1"/>
        </w:rPr>
        <w:t> </w:t>
      </w:r>
      <w:r>
        <w:rPr/>
        <w:t>are shown in </w:t>
      </w:r>
      <w:hyperlink w:history="true" w:anchor="_bookmark54">
        <w:r>
          <w:rPr/>
          <w:t>Figure</w:t>
        </w:r>
        <w:r>
          <w:rPr>
            <w:spacing w:val="-2"/>
          </w:rPr>
          <w:t> </w:t>
        </w:r>
        <w:r>
          <w:rPr/>
          <w:t>5-2.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  <w:r>
        <w:rPr/>
        <w:pict>
          <v:group style="position:absolute;margin-left:110.902pt;margin-top:15.514617pt;width:428.7pt;height:286.5pt;mso-position-horizontal-relative:page;mso-position-vertical-relative:paragraph;z-index:-15668736;mso-wrap-distance-left:0;mso-wrap-distance-right:0" coordorigin="2218,310" coordsize="8574,5730">
            <v:shape style="position:absolute;left:2218;top:310;width:8574;height:5730" type="#_x0000_t75" stroked="false">
              <v:imagedata r:id="rId104" o:title=""/>
            </v:shape>
            <v:line style="position:absolute" from="3113,3617" to="4149,3032" stroked="true" strokeweight="1.838336pt" strokecolor="#5b9bd5">
              <v:stroke dashstyle="solid"/>
            </v:line>
            <v:shape style="position:absolute;left:4080;top:2990;width:143;height:119" coordorigin="4081,2990" coordsize="143,119" path="m4224,2990l4081,2997,4149,3032,4144,3109,4224,2990xe" filled="true" fillcolor="#5b9bd5" stroked="false">
              <v:path arrowok="t"/>
              <v:fill type="solid"/>
            </v:shape>
            <v:line style="position:absolute" from="8494,1406" to="8606,2420" stroked="true" strokeweight="1.83535pt" strokecolor="#5b9bd5">
              <v:stroke dashstyle="solid"/>
            </v:line>
            <v:shape style="position:absolute;left:8537;top:2370;width:128;height:135" coordorigin="8537,2370" coordsize="128,135" path="m8615,2505l8537,2384,8606,2420,8665,2370,8615,2505xe" filled="true" fillcolor="#5b9bd5" stroked="false">
              <v:path arrowok="t"/>
              <v:fill type="solid"/>
            </v:shape>
            <v:line style="position:absolute" from="6759,1613" to="6529,2422" stroked="true" strokeweight="1.835546pt" strokecolor="#5b9bd5">
              <v:stroke dashstyle="solid"/>
            </v:line>
            <v:shape style="position:absolute;left:6479;top:2363;width:124;height:141" coordorigin="6479,2363" coordsize="124,141" path="m6506,2504l6602,2399,6529,2422,6479,2363,6506,2504xe" filled="true" fillcolor="#5b9bd5" stroked="false">
              <v:path arrowok="t"/>
              <v:fill type="solid"/>
            </v:shape>
            <v:line style="position:absolute" from="5541,1613" to="5254,2424" stroked="true" strokeweight="1.835681pt" strokecolor="#5b9bd5">
              <v:stroke dashstyle="solid"/>
            </v:line>
            <v:shape style="position:absolute;left:5207;top:2361;width:121;height:143" coordorigin="5208,2362" coordsize="121,143" path="m5225,2504l5328,2405,5254,2424,5208,2362,5225,2504xe" filled="true" fillcolor="#5b9bd5" stroked="false">
              <v:path arrowok="t"/>
              <v:fill type="solid"/>
            </v:shape>
            <v:shape style="position:absolute;left:5089;top:1268;width:910;height:285" type="#_x0000_t202" filled="false" stroked="false">
              <v:textbox inset="0,0,0,0">
                <w:txbxContent>
                  <w:p>
                    <w:pPr>
                      <w:spacing w:line="283" w:lineRule="exact" w:before="0"/>
                      <w:ind w:left="0" w:right="0" w:firstLine="0"/>
                      <w:jc w:val="left"/>
                      <w:rPr>
                        <w:sz w:val="25"/>
                      </w:rPr>
                    </w:pPr>
                    <w:r>
                      <w:rPr>
                        <w:color w:val="00B0F0"/>
                        <w:sz w:val="25"/>
                      </w:rPr>
                      <w:t>Screen</w:t>
                    </w:r>
                    <w:r>
                      <w:rPr>
                        <w:color w:val="00B0F0"/>
                        <w:spacing w:val="13"/>
                        <w:sz w:val="25"/>
                      </w:rPr>
                      <w:t> </w:t>
                    </w:r>
                    <w:r>
                      <w:rPr>
                        <w:color w:val="00B0F0"/>
                        <w:sz w:val="25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6295;top:1268;width:910;height:285" type="#_x0000_t202" filled="false" stroked="false">
              <v:textbox inset="0,0,0,0">
                <w:txbxContent>
                  <w:p>
                    <w:pPr>
                      <w:spacing w:line="283" w:lineRule="exact" w:before="0"/>
                      <w:ind w:left="0" w:right="0" w:firstLine="0"/>
                      <w:jc w:val="left"/>
                      <w:rPr>
                        <w:sz w:val="25"/>
                      </w:rPr>
                    </w:pPr>
                    <w:r>
                      <w:rPr>
                        <w:color w:val="00B0F0"/>
                        <w:sz w:val="25"/>
                      </w:rPr>
                      <w:t>Screen</w:t>
                    </w:r>
                    <w:r>
                      <w:rPr>
                        <w:color w:val="00B0F0"/>
                        <w:spacing w:val="13"/>
                        <w:sz w:val="25"/>
                      </w:rPr>
                      <w:t> </w:t>
                    </w:r>
                    <w:r>
                      <w:rPr>
                        <w:color w:val="00B0F0"/>
                        <w:sz w:val="25"/>
                      </w:rPr>
                      <w:t>3</w:t>
                    </w:r>
                  </w:p>
                </w:txbxContent>
              </v:textbox>
              <w10:wrap type="none"/>
            </v:shape>
            <v:shape style="position:absolute;left:8041;top:1061;width:910;height:285" type="#_x0000_t202" filled="false" stroked="false">
              <v:textbox inset="0,0,0,0">
                <w:txbxContent>
                  <w:p>
                    <w:pPr>
                      <w:spacing w:line="283" w:lineRule="exact" w:before="0"/>
                      <w:ind w:left="0" w:right="0" w:firstLine="0"/>
                      <w:jc w:val="left"/>
                      <w:rPr>
                        <w:sz w:val="25"/>
                      </w:rPr>
                    </w:pPr>
                    <w:r>
                      <w:rPr>
                        <w:color w:val="00B0F0"/>
                        <w:sz w:val="25"/>
                      </w:rPr>
                      <w:t>Screen</w:t>
                    </w:r>
                    <w:r>
                      <w:rPr>
                        <w:color w:val="00B0F0"/>
                        <w:spacing w:val="13"/>
                        <w:sz w:val="25"/>
                      </w:rPr>
                      <w:t> </w:t>
                    </w:r>
                    <w:r>
                      <w:rPr>
                        <w:color w:val="00B0F0"/>
                        <w:sz w:val="25"/>
                      </w:rPr>
                      <w:t>4</w:t>
                    </w:r>
                  </w:p>
                </w:txbxContent>
              </v:textbox>
              <w10:wrap type="none"/>
            </v:shape>
            <v:shape style="position:absolute;left:2320;top:2667;width:804;height:593" type="#_x0000_t202" filled="false" stroked="false">
              <v:textbox inset="0,0,0,0">
                <w:txbxContent>
                  <w:p>
                    <w:pPr>
                      <w:spacing w:line="256" w:lineRule="auto" w:before="0"/>
                      <w:ind w:left="0" w:right="0" w:firstLine="0"/>
                      <w:jc w:val="left"/>
                      <w:rPr>
                        <w:sz w:val="25"/>
                      </w:rPr>
                    </w:pPr>
                    <w:r>
                      <w:rPr>
                        <w:color w:val="00B0F0"/>
                        <w:sz w:val="25"/>
                      </w:rPr>
                      <w:t>Sabot</w:t>
                    </w:r>
                    <w:r>
                      <w:rPr>
                        <w:color w:val="00B0F0"/>
                        <w:spacing w:val="1"/>
                        <w:sz w:val="25"/>
                      </w:rPr>
                      <w:t> </w:t>
                    </w:r>
                    <w:r>
                      <w:rPr>
                        <w:color w:val="00B0F0"/>
                        <w:sz w:val="25"/>
                      </w:rPr>
                      <w:t>stripper</w:t>
                    </w:r>
                  </w:p>
                </w:txbxContent>
              </v:textbox>
              <w10:wrap type="none"/>
            </v:shape>
            <v:shape style="position:absolute;left:2416;top:3687;width:910;height:285" type="#_x0000_t202" filled="false" stroked="false">
              <v:textbox inset="0,0,0,0">
                <w:txbxContent>
                  <w:p>
                    <w:pPr>
                      <w:spacing w:line="283" w:lineRule="exact" w:before="0"/>
                      <w:ind w:left="0" w:right="0" w:firstLine="0"/>
                      <w:jc w:val="left"/>
                      <w:rPr>
                        <w:sz w:val="25"/>
                      </w:rPr>
                    </w:pPr>
                    <w:r>
                      <w:rPr>
                        <w:color w:val="00B0F0"/>
                        <w:sz w:val="25"/>
                      </w:rPr>
                      <w:t>Screen</w:t>
                    </w:r>
                    <w:r>
                      <w:rPr>
                        <w:color w:val="00B0F0"/>
                        <w:spacing w:val="13"/>
                        <w:sz w:val="25"/>
                      </w:rPr>
                      <w:t> </w:t>
                    </w:r>
                    <w:r>
                      <w:rPr>
                        <w:color w:val="00B0F0"/>
                        <w:sz w:val="25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2320;top:4879;width:1484;height:901" type="#_x0000_t202" filled="false" stroked="false">
              <v:textbox inset="0,0,0,0">
                <w:txbxContent>
                  <w:p>
                    <w:pPr>
                      <w:spacing w:line="256" w:lineRule="auto" w:before="0"/>
                      <w:ind w:left="0" w:right="0" w:firstLine="0"/>
                      <w:jc w:val="left"/>
                      <w:rPr>
                        <w:sz w:val="25"/>
                      </w:rPr>
                    </w:pPr>
                    <w:r>
                      <w:rPr>
                        <w:sz w:val="25"/>
                      </w:rPr>
                      <w:t>Wires</w:t>
                    </w:r>
                    <w:r>
                      <w:rPr>
                        <w:spacing w:val="7"/>
                        <w:sz w:val="25"/>
                      </w:rPr>
                      <w:t> </w:t>
                    </w:r>
                    <w:r>
                      <w:rPr>
                        <w:sz w:val="25"/>
                      </w:rPr>
                      <w:t>connect</w:t>
                    </w:r>
                    <w:r>
                      <w:rPr>
                        <w:spacing w:val="-60"/>
                        <w:sz w:val="25"/>
                      </w:rPr>
                      <w:t> </w:t>
                    </w:r>
                    <w:r>
                      <w:rPr>
                        <w:sz w:val="25"/>
                      </w:rPr>
                      <w:t>screens</w:t>
                    </w:r>
                    <w:r>
                      <w:rPr>
                        <w:spacing w:val="2"/>
                        <w:sz w:val="25"/>
                      </w:rPr>
                      <w:t> </w:t>
                    </w:r>
                    <w:r>
                      <w:rPr>
                        <w:sz w:val="25"/>
                      </w:rPr>
                      <w:t>to</w:t>
                    </w:r>
                    <w:r>
                      <w:rPr>
                        <w:spacing w:val="1"/>
                        <w:sz w:val="25"/>
                      </w:rPr>
                      <w:t> </w:t>
                    </w:r>
                    <w:r>
                      <w:rPr>
                        <w:sz w:val="25"/>
                      </w:rPr>
                      <w:t>chronographs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before="172"/>
        <w:ind w:left="440" w:right="403" w:firstLine="0"/>
        <w:jc w:val="left"/>
        <w:rPr>
          <w:i/>
          <w:sz w:val="24"/>
        </w:rPr>
      </w:pPr>
      <w:bookmarkStart w:name="_bookmark54" w:id="256"/>
      <w:bookmarkEnd w:id="256"/>
      <w:r>
        <w:rPr/>
      </w:r>
      <w:r>
        <w:rPr>
          <w:i/>
          <w:sz w:val="24"/>
        </w:rPr>
        <w:t>Figure</w:t>
      </w:r>
      <w:r>
        <w:rPr>
          <w:i/>
          <w:spacing w:val="6"/>
          <w:sz w:val="24"/>
        </w:rPr>
        <w:t> </w:t>
      </w:r>
      <w:r>
        <w:rPr>
          <w:i/>
          <w:sz w:val="24"/>
        </w:rPr>
        <w:t>5-2.</w:t>
      </w:r>
      <w:r>
        <w:rPr>
          <w:i/>
          <w:spacing w:val="7"/>
          <w:sz w:val="24"/>
        </w:rPr>
        <w:t> </w:t>
      </w:r>
      <w:r>
        <w:rPr>
          <w:i/>
          <w:sz w:val="24"/>
        </w:rPr>
        <w:t>Infrared</w:t>
      </w:r>
      <w:r>
        <w:rPr>
          <w:i/>
          <w:spacing w:val="6"/>
          <w:sz w:val="24"/>
        </w:rPr>
        <w:t> </w:t>
      </w:r>
      <w:r>
        <w:rPr>
          <w:i/>
          <w:sz w:val="24"/>
        </w:rPr>
        <w:t>photoelectric</w:t>
      </w:r>
      <w:r>
        <w:rPr>
          <w:i/>
          <w:spacing w:val="7"/>
          <w:sz w:val="24"/>
        </w:rPr>
        <w:t> </w:t>
      </w:r>
      <w:r>
        <w:rPr>
          <w:i/>
          <w:sz w:val="24"/>
        </w:rPr>
        <w:t>strike</w:t>
      </w:r>
      <w:r>
        <w:rPr>
          <w:i/>
          <w:spacing w:val="7"/>
          <w:sz w:val="24"/>
        </w:rPr>
        <w:t> </w:t>
      </w:r>
      <w:r>
        <w:rPr>
          <w:i/>
          <w:sz w:val="24"/>
        </w:rPr>
        <w:t>velocity</w:t>
      </w:r>
      <w:r>
        <w:rPr>
          <w:i/>
          <w:spacing w:val="6"/>
          <w:sz w:val="24"/>
        </w:rPr>
        <w:t> </w:t>
      </w:r>
      <w:r>
        <w:rPr>
          <w:i/>
          <w:sz w:val="24"/>
        </w:rPr>
        <w:t>screens</w:t>
      </w:r>
      <w:r>
        <w:rPr>
          <w:i/>
          <w:spacing w:val="7"/>
          <w:sz w:val="24"/>
        </w:rPr>
        <w:t> </w:t>
      </w:r>
      <w:r>
        <w:rPr>
          <w:i/>
          <w:sz w:val="24"/>
        </w:rPr>
        <w:t>connected</w:t>
      </w:r>
      <w:r>
        <w:rPr>
          <w:i/>
          <w:spacing w:val="6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7"/>
          <w:sz w:val="24"/>
        </w:rPr>
        <w:t> </w:t>
      </w:r>
      <w:r>
        <w:rPr>
          <w:i/>
          <w:sz w:val="24"/>
        </w:rPr>
        <w:t>two</w:t>
      </w:r>
      <w:r>
        <w:rPr>
          <w:i/>
          <w:spacing w:val="7"/>
          <w:sz w:val="24"/>
        </w:rPr>
        <w:t> </w:t>
      </w:r>
      <w:r>
        <w:rPr>
          <w:i/>
          <w:sz w:val="24"/>
        </w:rPr>
        <w:t>chronographs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determine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the impact velocity at the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target face.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7"/>
        <w:rPr>
          <w:i/>
          <w:sz w:val="35"/>
        </w:rPr>
      </w:pPr>
    </w:p>
    <w:p>
      <w:pPr>
        <w:pStyle w:val="BodyText"/>
        <w:spacing w:line="480" w:lineRule="auto"/>
        <w:ind w:left="440" w:right="403"/>
      </w:pPr>
      <w:r>
        <w:rPr>
          <w:position w:val="1"/>
        </w:rPr>
        <w:t>The</w:t>
      </w:r>
      <w:r>
        <w:rPr>
          <w:spacing w:val="4"/>
          <w:position w:val="1"/>
        </w:rPr>
        <w:t> </w:t>
      </w:r>
      <w:r>
        <w:rPr>
          <w:position w:val="1"/>
        </w:rPr>
        <w:t>screens</w:t>
      </w:r>
      <w:r>
        <w:rPr>
          <w:spacing w:val="4"/>
          <w:position w:val="1"/>
        </w:rPr>
        <w:t> </w:t>
      </w:r>
      <w:r>
        <w:rPr>
          <w:position w:val="1"/>
        </w:rPr>
        <w:t>determine</w:t>
      </w:r>
      <w:r>
        <w:rPr>
          <w:spacing w:val="5"/>
          <w:position w:val="1"/>
        </w:rPr>
        <w:t> </w:t>
      </w:r>
      <w:r>
        <w:rPr>
          <w:position w:val="1"/>
        </w:rPr>
        <w:t>the</w:t>
      </w:r>
      <w:r>
        <w:rPr>
          <w:spacing w:val="4"/>
          <w:position w:val="1"/>
        </w:rPr>
        <w:t> </w:t>
      </w:r>
      <w:r>
        <w:rPr>
          <w:position w:val="1"/>
        </w:rPr>
        <w:t>impact</w:t>
      </w:r>
      <w:r>
        <w:rPr>
          <w:spacing w:val="5"/>
          <w:position w:val="1"/>
        </w:rPr>
        <w:t> </w:t>
      </w:r>
      <w:r>
        <w:rPr>
          <w:position w:val="1"/>
        </w:rPr>
        <w:t>velocity,</w:t>
      </w:r>
      <w:r>
        <w:rPr>
          <w:spacing w:val="5"/>
          <w:position w:val="1"/>
        </w:rPr>
        <w:t> </w:t>
      </w:r>
      <w:r>
        <w:rPr>
          <w:position w:val="1"/>
        </w:rPr>
        <w:t>v</w:t>
      </w:r>
      <w:r>
        <w:rPr>
          <w:sz w:val="16"/>
        </w:rPr>
        <w:t>s,</w:t>
      </w:r>
      <w:r>
        <w:rPr>
          <w:spacing w:val="23"/>
          <w:sz w:val="16"/>
        </w:rPr>
        <w:t> </w:t>
      </w:r>
      <w:r>
        <w:rPr>
          <w:position w:val="1"/>
        </w:rPr>
        <w:t>using</w:t>
      </w:r>
      <w:r>
        <w:rPr>
          <w:spacing w:val="5"/>
          <w:position w:val="1"/>
        </w:rPr>
        <w:t> </w:t>
      </w:r>
      <w:r>
        <w:rPr>
          <w:position w:val="1"/>
        </w:rPr>
        <w:t>Equation</w:t>
      </w:r>
      <w:r>
        <w:rPr>
          <w:spacing w:val="3"/>
          <w:position w:val="1"/>
        </w:rPr>
        <w:t> </w:t>
      </w:r>
      <w:r>
        <w:rPr>
          <w:position w:val="1"/>
        </w:rPr>
        <w:t>5.2,</w:t>
      </w:r>
      <w:r>
        <w:rPr>
          <w:spacing w:val="4"/>
          <w:position w:val="1"/>
        </w:rPr>
        <w:t> </w:t>
      </w:r>
      <w:r>
        <w:rPr>
          <w:position w:val="1"/>
        </w:rPr>
        <w:t>based</w:t>
      </w:r>
      <w:r>
        <w:rPr>
          <w:spacing w:val="3"/>
          <w:position w:val="1"/>
        </w:rPr>
        <w:t> </w:t>
      </w:r>
      <w:r>
        <w:rPr>
          <w:position w:val="1"/>
        </w:rPr>
        <w:t>on</w:t>
      </w:r>
      <w:r>
        <w:rPr>
          <w:spacing w:val="5"/>
          <w:position w:val="1"/>
        </w:rPr>
        <w:t> </w:t>
      </w:r>
      <w:r>
        <w:rPr>
          <w:position w:val="1"/>
        </w:rPr>
        <w:t>the</w:t>
      </w:r>
      <w:r>
        <w:rPr>
          <w:spacing w:val="4"/>
          <w:position w:val="1"/>
        </w:rPr>
        <w:t> </w:t>
      </w:r>
      <w:r>
        <w:rPr>
          <w:position w:val="1"/>
        </w:rPr>
        <w:t>measured</w:t>
      </w:r>
      <w:r>
        <w:rPr>
          <w:spacing w:val="-57"/>
          <w:position w:val="1"/>
        </w:rPr>
        <w:t> </w:t>
      </w:r>
      <w:r>
        <w:rPr/>
        <w:t>velocities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known</w:t>
      </w:r>
      <w:r>
        <w:rPr>
          <w:spacing w:val="-1"/>
        </w:rPr>
        <w:t> </w:t>
      </w:r>
      <w:r>
        <w:rPr/>
        <w:t>distances</w:t>
      </w:r>
      <w:r>
        <w:rPr>
          <w:spacing w:val="-1"/>
        </w:rPr>
        <w:t> </w:t>
      </w:r>
      <w:r>
        <w:rPr/>
        <w:t>between the</w:t>
      </w:r>
      <w:r>
        <w:rPr>
          <w:spacing w:val="-1"/>
        </w:rPr>
        <w:t> </w:t>
      </w:r>
      <w:r>
        <w:rPr/>
        <w:t>screens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the fourth</w:t>
      </w:r>
      <w:r>
        <w:rPr>
          <w:spacing w:val="-1"/>
        </w:rPr>
        <w:t> </w:t>
      </w:r>
      <w:r>
        <w:rPr/>
        <w:t>screen</w:t>
      </w:r>
      <w:r>
        <w:rPr>
          <w:spacing w:val="-3"/>
        </w:rPr>
        <w:t> </w:t>
      </w:r>
      <w:r>
        <w:rPr/>
        <w:t>and</w:t>
      </w:r>
      <w:r>
        <w:rPr>
          <w:spacing w:val="-1"/>
        </w:rPr>
        <w:t> </w:t>
      </w:r>
      <w:r>
        <w:rPr/>
        <w:t>target:</w:t>
      </w:r>
    </w:p>
    <w:p>
      <w:pPr>
        <w:pStyle w:val="BodyText"/>
        <w:spacing w:before="9"/>
        <w:rPr>
          <w:sz w:val="14"/>
        </w:rPr>
      </w:pPr>
    </w:p>
    <w:tbl>
      <w:tblPr>
        <w:tblW w:w="0" w:type="auto"/>
        <w:jc w:val="left"/>
        <w:tblInd w:w="290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173"/>
        <w:gridCol w:w="2103"/>
      </w:tblGrid>
      <w:tr>
        <w:trPr>
          <w:trHeight w:val="616" w:hRule="atLeast"/>
        </w:trPr>
        <w:tc>
          <w:tcPr>
            <w:tcW w:w="4173" w:type="dxa"/>
          </w:tcPr>
          <w:p>
            <w:pPr>
              <w:pStyle w:val="TableParagraph"/>
              <w:spacing w:line="204" w:lineRule="exact"/>
              <w:ind w:left="185" w:right="1363"/>
              <w:jc w:val="center"/>
              <w:rPr>
                <w:rFonts w:ascii="Cambria Math" w:eastAsia="Cambria Math"/>
                <w:sz w:val="17"/>
              </w:rPr>
            </w:pPr>
            <w:r>
              <w:rPr>
                <w:rFonts w:ascii="Cambria Math" w:eastAsia="Cambria Math"/>
                <w:sz w:val="24"/>
                <w:u w:val="single"/>
              </w:rPr>
              <w:t>𝐿</w:t>
            </w:r>
            <w:r>
              <w:rPr>
                <w:rFonts w:ascii="Cambria Math" w:eastAsia="Cambria Math"/>
                <w:position w:val="-4"/>
                <w:sz w:val="17"/>
                <w:u w:val="single"/>
              </w:rPr>
              <w:t>2</w:t>
            </w:r>
          </w:p>
          <w:p>
            <w:pPr>
              <w:pStyle w:val="TableParagraph"/>
              <w:spacing w:line="146" w:lineRule="auto"/>
              <w:ind w:left="185" w:right="1425"/>
              <w:jc w:val="center"/>
              <w:rPr>
                <w:rFonts w:ascii="Cambria Math" w:hAnsi="Cambria Math" w:cs="Cambria Math" w:eastAsia="Cambria Math"/>
                <w:sz w:val="24"/>
                <w:szCs w:val="24"/>
              </w:rPr>
            </w:pPr>
            <w:r>
              <w:rPr>
                <w:rFonts w:ascii="Cambria Math" w:hAnsi="Cambria Math" w:cs="Cambria Math" w:eastAsia="Cambria Math"/>
                <w:spacing w:val="-10"/>
                <w:sz w:val="24"/>
                <w:szCs w:val="24"/>
              </w:rPr>
              <w:t>𝑣</w:t>
            </w:r>
            <w:r>
              <w:rPr>
                <w:rFonts w:ascii="Cambria Math" w:hAnsi="Cambria Math" w:cs="Cambria Math" w:eastAsia="Cambria Math"/>
                <w:w w:val="111"/>
                <w:sz w:val="24"/>
                <w:szCs w:val="24"/>
                <w:vertAlign w:val="subscript"/>
              </w:rPr>
              <w:t>𝑆</w:t>
            </w:r>
            <w:r>
              <w:rPr>
                <w:rFonts w:ascii="Cambria Math" w:hAnsi="Cambria Math" w:cs="Cambria Math" w:eastAsia="Cambria Math"/>
                <w:sz w:val="24"/>
                <w:szCs w:val="24"/>
                <w:vertAlign w:val="baseline"/>
              </w:rPr>
              <w:t> </w:t>
            </w:r>
            <w:r>
              <w:rPr>
                <w:rFonts w:ascii="Cambria Math" w:hAnsi="Cambria Math" w:cs="Cambria Math" w:eastAsia="Cambria Math"/>
                <w:spacing w:val="-25"/>
                <w:sz w:val="24"/>
                <w:szCs w:val="24"/>
                <w:vertAlign w:val="baseline"/>
              </w:rPr>
              <w:t> </w:t>
            </w:r>
            <w:r>
              <w:rPr>
                <w:rFonts w:ascii="Cambria Math" w:hAnsi="Cambria Math" w:cs="Cambria Math" w:eastAsia="Cambria Math"/>
                <w:sz w:val="24"/>
                <w:szCs w:val="24"/>
                <w:vertAlign w:val="baseline"/>
              </w:rPr>
              <w:t>=</w:t>
            </w:r>
            <w:r>
              <w:rPr>
                <w:rFonts w:ascii="Cambria Math" w:hAnsi="Cambria Math" w:cs="Cambria Math" w:eastAsia="Cambria Math"/>
                <w:spacing w:val="13"/>
                <w:sz w:val="24"/>
                <w:szCs w:val="24"/>
                <w:vertAlign w:val="baseline"/>
              </w:rPr>
              <w:t> </w:t>
            </w:r>
            <w:r>
              <w:rPr>
                <w:rFonts w:ascii="Cambria Math" w:hAnsi="Cambria Math" w:cs="Cambria Math" w:eastAsia="Cambria Math"/>
                <w:spacing w:val="-3"/>
                <w:sz w:val="24"/>
                <w:szCs w:val="24"/>
                <w:vertAlign w:val="baseline"/>
              </w:rPr>
              <w:t>𝑣</w:t>
            </w:r>
            <w:r>
              <w:rPr>
                <w:rFonts w:ascii="Cambria Math" w:hAnsi="Cambria Math" w:cs="Cambria Math" w:eastAsia="Cambria Math"/>
                <w:w w:val="111"/>
                <w:sz w:val="24"/>
                <w:szCs w:val="24"/>
                <w:vertAlign w:val="subscript"/>
              </w:rPr>
              <w:t>2</w:t>
            </w:r>
            <w:r>
              <w:rPr>
                <w:rFonts w:ascii="Cambria Math" w:hAnsi="Cambria Math" w:cs="Cambria Math" w:eastAsia="Cambria Math"/>
                <w:spacing w:val="9"/>
                <w:sz w:val="24"/>
                <w:szCs w:val="24"/>
                <w:vertAlign w:val="baseline"/>
              </w:rPr>
              <w:t> </w:t>
            </w:r>
            <w:r>
              <w:rPr>
                <w:rFonts w:ascii="Cambria Math" w:hAnsi="Cambria Math" w:cs="Cambria Math" w:eastAsia="Cambria Math"/>
                <w:sz w:val="24"/>
                <w:szCs w:val="24"/>
                <w:vertAlign w:val="baseline"/>
              </w:rPr>
              <w:t>+ </w:t>
            </w:r>
            <w:r>
              <w:rPr>
                <w:rFonts w:ascii="Cambria Math" w:hAnsi="Cambria Math" w:cs="Cambria Math" w:eastAsia="Cambria Math"/>
                <w:spacing w:val="2"/>
                <w:w w:val="49"/>
                <w:sz w:val="24"/>
                <w:szCs w:val="24"/>
                <w:vertAlign w:val="baseline"/>
              </w:rPr>
              <w:t>�</w:t>
            </w:r>
            <w:r>
              <w:rPr>
                <w:rFonts w:ascii="Cambria Math" w:hAnsi="Cambria Math" w:cs="Cambria Math" w:eastAsia="Cambria Math"/>
                <w:position w:val="-15"/>
                <w:sz w:val="24"/>
                <w:szCs w:val="24"/>
                <w:vertAlign w:val="baseline"/>
              </w:rPr>
              <w:t>𝐿  </w:t>
            </w:r>
            <w:r>
              <w:rPr>
                <w:rFonts w:ascii="Cambria Math" w:hAnsi="Cambria Math" w:cs="Cambria Math" w:eastAsia="Cambria Math"/>
                <w:w w:val="49"/>
                <w:sz w:val="24"/>
                <w:szCs w:val="24"/>
                <w:vertAlign w:val="baseline"/>
              </w:rPr>
              <w:t>�</w:t>
            </w:r>
            <w:r>
              <w:rPr>
                <w:rFonts w:ascii="Cambria Math" w:hAnsi="Cambria Math" w:cs="Cambria Math" w:eastAsia="Cambria Math"/>
                <w:spacing w:val="-14"/>
                <w:sz w:val="24"/>
                <w:szCs w:val="24"/>
                <w:vertAlign w:val="baseline"/>
              </w:rPr>
              <w:t> </w:t>
            </w:r>
            <w:r>
              <w:rPr>
                <w:rFonts w:ascii="Cambria Math" w:hAnsi="Cambria Math" w:cs="Cambria Math" w:eastAsia="Cambria Math"/>
                <w:position w:val="1"/>
                <w:sz w:val="24"/>
                <w:szCs w:val="24"/>
                <w:vertAlign w:val="baseline"/>
              </w:rPr>
              <w:t>(</w:t>
            </w:r>
            <w:r>
              <w:rPr>
                <w:rFonts w:ascii="Cambria Math" w:hAnsi="Cambria Math" w:cs="Cambria Math" w:eastAsia="Cambria Math"/>
                <w:spacing w:val="-3"/>
                <w:sz w:val="24"/>
                <w:szCs w:val="24"/>
                <w:vertAlign w:val="baseline"/>
              </w:rPr>
              <w:t>𝑣</w:t>
            </w:r>
            <w:r>
              <w:rPr>
                <w:rFonts w:ascii="Cambria Math" w:hAnsi="Cambria Math" w:cs="Cambria Math" w:eastAsia="Cambria Math"/>
                <w:w w:val="111"/>
                <w:sz w:val="24"/>
                <w:szCs w:val="24"/>
                <w:vertAlign w:val="subscript"/>
              </w:rPr>
              <w:t>2</w:t>
            </w:r>
            <w:r>
              <w:rPr>
                <w:rFonts w:ascii="Cambria Math" w:hAnsi="Cambria Math" w:cs="Cambria Math" w:eastAsia="Cambria Math"/>
                <w:spacing w:val="9"/>
                <w:sz w:val="24"/>
                <w:szCs w:val="24"/>
                <w:vertAlign w:val="baseline"/>
              </w:rPr>
              <w:t> </w:t>
            </w:r>
            <w:r>
              <w:rPr>
                <w:rFonts w:ascii="Cambria Math" w:hAnsi="Cambria Math" w:cs="Cambria Math" w:eastAsia="Cambria Math"/>
                <w:sz w:val="24"/>
                <w:szCs w:val="24"/>
                <w:vertAlign w:val="baseline"/>
              </w:rPr>
              <w:t>− </w:t>
            </w:r>
            <w:r>
              <w:rPr>
                <w:rFonts w:ascii="Cambria Math" w:hAnsi="Cambria Math" w:cs="Cambria Math" w:eastAsia="Cambria Math"/>
                <w:spacing w:val="-9"/>
                <w:sz w:val="24"/>
                <w:szCs w:val="24"/>
                <w:vertAlign w:val="baseline"/>
              </w:rPr>
              <w:t>𝑣</w:t>
            </w:r>
            <w:r>
              <w:rPr>
                <w:rFonts w:ascii="Cambria Math" w:hAnsi="Cambria Math" w:cs="Cambria Math" w:eastAsia="Cambria Math"/>
                <w:spacing w:val="10"/>
                <w:w w:val="111"/>
                <w:sz w:val="24"/>
                <w:szCs w:val="24"/>
                <w:vertAlign w:val="subscript"/>
              </w:rPr>
              <w:t>1</w:t>
            </w:r>
            <w:r>
              <w:rPr>
                <w:rFonts w:ascii="Cambria Math" w:hAnsi="Cambria Math" w:cs="Cambria Math" w:eastAsia="Cambria Math"/>
                <w:position w:val="1"/>
                <w:sz w:val="24"/>
                <w:szCs w:val="24"/>
                <w:vertAlign w:val="baseline"/>
              </w:rPr>
              <w:t>)</w:t>
            </w:r>
          </w:p>
          <w:p>
            <w:pPr>
              <w:pStyle w:val="TableParagraph"/>
              <w:spacing w:line="97" w:lineRule="exact"/>
              <w:ind w:right="1058"/>
              <w:jc w:val="center"/>
              <w:rPr>
                <w:rFonts w:ascii="Cambria Math"/>
                <w:sz w:val="17"/>
              </w:rPr>
            </w:pPr>
            <w:r>
              <w:rPr>
                <w:rFonts w:ascii="Cambria Math"/>
                <w:w w:val="104"/>
                <w:sz w:val="17"/>
              </w:rPr>
              <w:t>1</w:t>
            </w:r>
          </w:p>
        </w:tc>
        <w:tc>
          <w:tcPr>
            <w:tcW w:w="2103" w:type="dxa"/>
          </w:tcPr>
          <w:p>
            <w:pPr>
              <w:pStyle w:val="TableParagraph"/>
              <w:spacing w:line="266" w:lineRule="exact"/>
              <w:ind w:right="199"/>
              <w:jc w:val="right"/>
              <w:rPr>
                <w:sz w:val="24"/>
              </w:rPr>
            </w:pPr>
            <w:r>
              <w:rPr>
                <w:sz w:val="24"/>
              </w:rPr>
              <w:t>(5.2)</w:t>
            </w:r>
          </w:p>
        </w:tc>
      </w:tr>
    </w:tbl>
    <w:p>
      <w:pPr>
        <w:spacing w:after="0" w:line="266" w:lineRule="exact"/>
        <w:jc w:val="right"/>
        <w:rPr>
          <w:sz w:val="24"/>
        </w:rPr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7"/>
        <w:ind w:left="440" w:right="418"/>
        <w:jc w:val="both"/>
      </w:pPr>
      <w:r>
        <w:rPr>
          <w:position w:val="1"/>
        </w:rPr>
        <w:t>where </w:t>
      </w:r>
      <w:r>
        <w:rPr>
          <w:i/>
          <w:position w:val="1"/>
        </w:rPr>
        <w:t>v</w:t>
      </w:r>
      <w:r>
        <w:rPr>
          <w:i/>
          <w:sz w:val="16"/>
        </w:rPr>
        <w:t>1 </w:t>
      </w:r>
      <w:r>
        <w:rPr>
          <w:position w:val="1"/>
        </w:rPr>
        <w:t>is the velocity as determined by screens one and three (first and third screen the</w:t>
      </w:r>
      <w:r>
        <w:rPr>
          <w:spacing w:val="1"/>
          <w:position w:val="1"/>
        </w:rPr>
        <w:t> </w:t>
      </w:r>
      <w:r>
        <w:rPr>
          <w:position w:val="1"/>
        </w:rPr>
        <w:t>projectile passes), and </w:t>
      </w:r>
      <w:r>
        <w:rPr>
          <w:i/>
          <w:position w:val="1"/>
        </w:rPr>
        <w:t>v</w:t>
      </w:r>
      <w:r>
        <w:rPr>
          <w:i/>
          <w:sz w:val="16"/>
        </w:rPr>
        <w:t>2 </w:t>
      </w:r>
      <w:r>
        <w:rPr>
          <w:position w:val="1"/>
        </w:rPr>
        <w:t>is the velocity as determined by screens two and four. </w:t>
      </w:r>
      <w:r>
        <w:rPr>
          <w:i/>
          <w:position w:val="1"/>
        </w:rPr>
        <w:t>L</w:t>
      </w:r>
      <w:r>
        <w:rPr>
          <w:i/>
          <w:sz w:val="16"/>
        </w:rPr>
        <w:t>1 </w:t>
      </w:r>
      <w:r>
        <w:rPr>
          <w:position w:val="1"/>
        </w:rPr>
        <w:t>is the</w:t>
      </w:r>
      <w:r>
        <w:rPr>
          <w:spacing w:val="1"/>
          <w:position w:val="1"/>
        </w:rPr>
        <w:t> </w:t>
      </w:r>
      <w:r>
        <w:rPr>
          <w:position w:val="1"/>
        </w:rPr>
        <w:t>distance from which </w:t>
      </w:r>
      <w:r>
        <w:rPr>
          <w:i/>
          <w:position w:val="1"/>
        </w:rPr>
        <w:t>v</w:t>
      </w:r>
      <w:r>
        <w:rPr>
          <w:i/>
          <w:sz w:val="16"/>
        </w:rPr>
        <w:t>1</w:t>
      </w:r>
      <w:r>
        <w:rPr>
          <w:i/>
          <w:spacing w:val="1"/>
          <w:sz w:val="16"/>
        </w:rPr>
        <w:t> </w:t>
      </w:r>
      <w:r>
        <w:rPr>
          <w:position w:val="1"/>
        </w:rPr>
        <w:t>and </w:t>
      </w:r>
      <w:r>
        <w:rPr>
          <w:i/>
          <w:position w:val="1"/>
        </w:rPr>
        <w:t>v</w:t>
      </w:r>
      <w:r>
        <w:rPr>
          <w:i/>
          <w:sz w:val="16"/>
        </w:rPr>
        <w:t>2</w:t>
      </w:r>
      <w:r>
        <w:rPr>
          <w:i/>
          <w:spacing w:val="1"/>
          <w:sz w:val="16"/>
        </w:rPr>
        <w:t> </w:t>
      </w:r>
      <w:r>
        <w:rPr>
          <w:position w:val="1"/>
        </w:rPr>
        <w:t>were measured (known from test set-up), and </w:t>
      </w:r>
      <w:r>
        <w:rPr>
          <w:i/>
          <w:position w:val="1"/>
        </w:rPr>
        <w:t>L</w:t>
      </w:r>
      <w:r>
        <w:rPr>
          <w:i/>
          <w:sz w:val="16"/>
        </w:rPr>
        <w:t>2 </w:t>
      </w:r>
      <w:r>
        <w:rPr>
          <w:position w:val="1"/>
        </w:rPr>
        <w:t>is the</w:t>
      </w:r>
      <w:r>
        <w:rPr>
          <w:spacing w:val="1"/>
          <w:position w:val="1"/>
        </w:rPr>
        <w:t> </w:t>
      </w:r>
      <w:r>
        <w:rPr>
          <w:position w:val="1"/>
        </w:rPr>
        <w:t>distance between where </w:t>
      </w:r>
      <w:r>
        <w:rPr>
          <w:i/>
          <w:position w:val="1"/>
        </w:rPr>
        <w:t>v</w:t>
      </w:r>
      <w:r>
        <w:rPr>
          <w:i/>
          <w:sz w:val="16"/>
        </w:rPr>
        <w:t>2 </w:t>
      </w:r>
      <w:r>
        <w:rPr>
          <w:position w:val="1"/>
        </w:rPr>
        <w:t>was measured and the impact side of the test specimen (front</w:t>
      </w:r>
      <w:r>
        <w:rPr>
          <w:spacing w:val="1"/>
          <w:position w:val="1"/>
        </w:rPr>
        <w:t> </w:t>
      </w:r>
      <w:r>
        <w:rPr/>
        <w:t>face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 target).</w:t>
      </w:r>
    </w:p>
    <w:p>
      <w:pPr>
        <w:pStyle w:val="BodyText"/>
        <w:spacing w:line="480" w:lineRule="auto" w:before="160"/>
        <w:ind w:left="440" w:right="417" w:firstLine="720"/>
        <w:jc w:val="both"/>
      </w:pPr>
      <w:r>
        <w:rPr/>
        <w:t>The</w:t>
      </w:r>
      <w:r>
        <w:rPr>
          <w:spacing w:val="-10"/>
        </w:rPr>
        <w:t> </w:t>
      </w:r>
      <w:r>
        <w:rPr/>
        <w:t>CLT</w:t>
      </w:r>
      <w:r>
        <w:rPr>
          <w:spacing w:val="-10"/>
        </w:rPr>
        <w:t> </w:t>
      </w:r>
      <w:r>
        <w:rPr/>
        <w:t>test</w:t>
      </w:r>
      <w:r>
        <w:rPr>
          <w:spacing w:val="-9"/>
        </w:rPr>
        <w:t> </w:t>
      </w:r>
      <w:r>
        <w:rPr/>
        <w:t>specimen</w:t>
      </w:r>
      <w:r>
        <w:rPr>
          <w:spacing w:val="-9"/>
        </w:rPr>
        <w:t> </w:t>
      </w:r>
      <w:r>
        <w:rPr/>
        <w:t>was</w:t>
      </w:r>
      <w:r>
        <w:rPr>
          <w:spacing w:val="-8"/>
        </w:rPr>
        <w:t> </w:t>
      </w:r>
      <w:r>
        <w:rPr/>
        <w:t>mounted</w:t>
      </w:r>
      <w:r>
        <w:rPr>
          <w:spacing w:val="-10"/>
        </w:rPr>
        <w:t> </w:t>
      </w:r>
      <w:r>
        <w:rPr/>
        <w:t>to</w:t>
      </w:r>
      <w:r>
        <w:rPr>
          <w:spacing w:val="-10"/>
        </w:rPr>
        <w:t> </w:t>
      </w:r>
      <w:r>
        <w:rPr/>
        <w:t>a</w:t>
      </w:r>
      <w:r>
        <w:rPr>
          <w:spacing w:val="-9"/>
        </w:rPr>
        <w:t> </w:t>
      </w:r>
      <w:r>
        <w:rPr/>
        <w:t>steel</w:t>
      </w:r>
      <w:r>
        <w:rPr>
          <w:spacing w:val="-9"/>
        </w:rPr>
        <w:t> </w:t>
      </w:r>
      <w:r>
        <w:rPr/>
        <w:t>frame</w:t>
      </w:r>
      <w:r>
        <w:rPr>
          <w:spacing w:val="-10"/>
        </w:rPr>
        <w:t> </w:t>
      </w:r>
      <w:r>
        <w:rPr/>
        <w:t>using</w:t>
      </w:r>
      <w:r>
        <w:rPr>
          <w:spacing w:val="-10"/>
        </w:rPr>
        <w:t> </w:t>
      </w:r>
      <w:r>
        <w:rPr/>
        <w:t>ratchet</w:t>
      </w:r>
      <w:r>
        <w:rPr>
          <w:spacing w:val="-9"/>
        </w:rPr>
        <w:t> </w:t>
      </w:r>
      <w:r>
        <w:rPr/>
        <w:t>straps,</w:t>
      </w:r>
      <w:r>
        <w:rPr>
          <w:spacing w:val="-11"/>
        </w:rPr>
        <w:t> </w:t>
      </w:r>
      <w:r>
        <w:rPr/>
        <w:t>as</w:t>
      </w:r>
      <w:r>
        <w:rPr>
          <w:spacing w:val="-10"/>
        </w:rPr>
        <w:t> </w:t>
      </w:r>
      <w:r>
        <w:rPr/>
        <w:t>shown</w:t>
      </w:r>
      <w:r>
        <w:rPr>
          <w:spacing w:val="-57"/>
        </w:rPr>
        <w:t> </w:t>
      </w:r>
      <w:r>
        <w:rPr/>
        <w:t>in </w:t>
      </w:r>
      <w:hyperlink w:history="true" w:anchor="_bookmark55">
        <w:r>
          <w:rPr/>
          <w:t>Figure 5-3</w:t>
        </w:r>
      </w:hyperlink>
      <w:r>
        <w:rPr/>
        <w:t>.</w:t>
      </w:r>
      <w:r>
        <w:rPr>
          <w:spacing w:val="1"/>
        </w:rPr>
        <w:t> </w:t>
      </w:r>
      <w:r>
        <w:rPr/>
        <w:t>The frame also had a small shelf to rest the specimen, which helped ensure</w:t>
      </w:r>
      <w:r>
        <w:rPr>
          <w:spacing w:val="-57"/>
        </w:rPr>
        <w:t> </w:t>
      </w:r>
      <w:r>
        <w:rPr/>
        <w:t>it</w:t>
      </w:r>
      <w:r>
        <w:rPr>
          <w:spacing w:val="-7"/>
        </w:rPr>
        <w:t> </w:t>
      </w:r>
      <w:r>
        <w:rPr/>
        <w:t>was</w:t>
      </w:r>
      <w:r>
        <w:rPr>
          <w:spacing w:val="-7"/>
        </w:rPr>
        <w:t> </w:t>
      </w:r>
      <w:r>
        <w:rPr/>
        <w:t>level</w:t>
      </w:r>
      <w:r>
        <w:rPr>
          <w:spacing w:val="-7"/>
        </w:rPr>
        <w:t> </w:t>
      </w:r>
      <w:r>
        <w:rPr/>
        <w:t>and</w:t>
      </w:r>
      <w:r>
        <w:rPr>
          <w:spacing w:val="-6"/>
        </w:rPr>
        <w:t> </w:t>
      </w:r>
      <w:r>
        <w:rPr/>
        <w:t>at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same</w:t>
      </w:r>
      <w:r>
        <w:rPr>
          <w:spacing w:val="-6"/>
        </w:rPr>
        <w:t> </w:t>
      </w:r>
      <w:r>
        <w:rPr/>
        <w:t>location</w:t>
      </w:r>
      <w:r>
        <w:rPr>
          <w:spacing w:val="-7"/>
        </w:rPr>
        <w:t> </w:t>
      </w:r>
      <w:r>
        <w:rPr/>
        <w:t>placement</w:t>
      </w:r>
      <w:r>
        <w:rPr>
          <w:spacing w:val="-6"/>
        </w:rPr>
        <w:t> </w:t>
      </w:r>
      <w:r>
        <w:rPr/>
        <w:t>for</w:t>
      </w:r>
      <w:r>
        <w:rPr>
          <w:spacing w:val="-7"/>
        </w:rPr>
        <w:t> </w:t>
      </w:r>
      <w:r>
        <w:rPr/>
        <w:t>each</w:t>
      </w:r>
      <w:r>
        <w:rPr>
          <w:spacing w:val="-6"/>
        </w:rPr>
        <w:t> </w:t>
      </w:r>
      <w:r>
        <w:rPr/>
        <w:t>test.</w:t>
      </w:r>
      <w:r>
        <w:rPr>
          <w:spacing w:val="46"/>
        </w:rPr>
        <w:t> </w:t>
      </w:r>
      <w:r>
        <w:rPr/>
        <w:t>The</w:t>
      </w:r>
      <w:r>
        <w:rPr>
          <w:spacing w:val="-7"/>
        </w:rPr>
        <w:t> </w:t>
      </w:r>
      <w:r>
        <w:rPr/>
        <w:t>steel</w:t>
      </w:r>
      <w:r>
        <w:rPr>
          <w:spacing w:val="-7"/>
        </w:rPr>
        <w:t> </w:t>
      </w:r>
      <w:r>
        <w:rPr/>
        <w:t>frame</w:t>
      </w:r>
      <w:r>
        <w:rPr>
          <w:spacing w:val="-6"/>
        </w:rPr>
        <w:t> </w:t>
      </w:r>
      <w:r>
        <w:rPr/>
        <w:t>was</w:t>
      </w:r>
      <w:r>
        <w:rPr>
          <w:spacing w:val="-6"/>
        </w:rPr>
        <w:t> </w:t>
      </w:r>
      <w:r>
        <w:rPr/>
        <w:t>clamped</w:t>
      </w:r>
      <w:r>
        <w:rPr>
          <w:spacing w:val="-58"/>
        </w:rPr>
        <w:t> </w:t>
      </w:r>
      <w:r>
        <w:rPr/>
        <w:t>with</w:t>
      </w:r>
      <w:r>
        <w:rPr>
          <w:spacing w:val="-11"/>
        </w:rPr>
        <w:t> </w:t>
      </w:r>
      <w:r>
        <w:rPr/>
        <w:t>c-clamps</w:t>
      </w:r>
      <w:r>
        <w:rPr>
          <w:spacing w:val="-10"/>
        </w:rPr>
        <w:t> </w:t>
      </w:r>
      <w:r>
        <w:rPr/>
        <w:t>to</w:t>
      </w:r>
      <w:r>
        <w:rPr>
          <w:spacing w:val="-10"/>
        </w:rPr>
        <w:t> </w:t>
      </w:r>
      <w:r>
        <w:rPr/>
        <w:t>a</w:t>
      </w:r>
      <w:r>
        <w:rPr>
          <w:spacing w:val="-10"/>
        </w:rPr>
        <w:t> </w:t>
      </w:r>
      <w:r>
        <w:rPr/>
        <w:t>small</w:t>
      </w:r>
      <w:r>
        <w:rPr>
          <w:spacing w:val="-11"/>
        </w:rPr>
        <w:t> </w:t>
      </w:r>
      <w:r>
        <w:rPr/>
        <w:t>hydraulic</w:t>
      </w:r>
      <w:r>
        <w:rPr>
          <w:spacing w:val="-10"/>
        </w:rPr>
        <w:t> </w:t>
      </w:r>
      <w:r>
        <w:rPr/>
        <w:t>lift</w:t>
      </w:r>
      <w:r>
        <w:rPr>
          <w:spacing w:val="-9"/>
        </w:rPr>
        <w:t> </w:t>
      </w:r>
      <w:r>
        <w:rPr/>
        <w:t>on</w:t>
      </w:r>
      <w:r>
        <w:rPr>
          <w:spacing w:val="-10"/>
        </w:rPr>
        <w:t> </w:t>
      </w:r>
      <w:r>
        <w:rPr/>
        <w:t>rails</w:t>
      </w:r>
      <w:r>
        <w:rPr>
          <w:spacing w:val="-11"/>
        </w:rPr>
        <w:t> </w:t>
      </w:r>
      <w:r>
        <w:rPr/>
        <w:t>affixed</w:t>
      </w:r>
      <w:r>
        <w:rPr>
          <w:spacing w:val="-10"/>
        </w:rPr>
        <w:t> </w:t>
      </w:r>
      <w:r>
        <w:rPr/>
        <w:t>to</w:t>
      </w:r>
      <w:r>
        <w:rPr>
          <w:spacing w:val="-10"/>
        </w:rPr>
        <w:t> </w:t>
      </w:r>
      <w:r>
        <w:rPr/>
        <w:t>the</w:t>
      </w:r>
      <w:r>
        <w:rPr>
          <w:spacing w:val="-11"/>
        </w:rPr>
        <w:t> </w:t>
      </w:r>
      <w:r>
        <w:rPr/>
        <w:t>facility</w:t>
      </w:r>
      <w:r>
        <w:rPr>
          <w:spacing w:val="-10"/>
        </w:rPr>
        <w:t> </w:t>
      </w:r>
      <w:r>
        <w:rPr/>
        <w:t>floor.</w:t>
      </w:r>
      <w:r>
        <w:rPr>
          <w:spacing w:val="40"/>
        </w:rPr>
        <w:t> </w:t>
      </w:r>
      <w:r>
        <w:rPr/>
        <w:t>This</w:t>
      </w:r>
      <w:r>
        <w:rPr>
          <w:spacing w:val="-10"/>
        </w:rPr>
        <w:t> </w:t>
      </w:r>
      <w:r>
        <w:rPr/>
        <w:t>lift</w:t>
      </w:r>
      <w:r>
        <w:rPr>
          <w:spacing w:val="-11"/>
        </w:rPr>
        <w:t> </w:t>
      </w:r>
      <w:r>
        <w:rPr/>
        <w:t>enabled</w:t>
      </w:r>
      <w:r>
        <w:rPr>
          <w:spacing w:val="-58"/>
        </w:rPr>
        <w:t> </w:t>
      </w:r>
      <w:r>
        <w:rPr/>
        <w:t>the</w:t>
      </w:r>
      <w:r>
        <w:rPr>
          <w:spacing w:val="-1"/>
        </w:rPr>
        <w:t> </w:t>
      </w:r>
      <w:r>
        <w:rPr/>
        <w:t>repositioning 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target both horizontally</w:t>
      </w:r>
      <w:r>
        <w:rPr>
          <w:spacing w:val="-1"/>
        </w:rPr>
        <w:t> </w:t>
      </w:r>
      <w:r>
        <w:rPr/>
        <w:t>and vertically.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18">
            <wp:simplePos x="0" y="0"/>
            <wp:positionH relativeFrom="page">
              <wp:posOffset>2017077</wp:posOffset>
            </wp:positionH>
            <wp:positionV relativeFrom="paragraph">
              <wp:posOffset>191127</wp:posOffset>
            </wp:positionV>
            <wp:extent cx="4206626" cy="3154680"/>
            <wp:effectExtent l="0" t="0" r="0" b="0"/>
            <wp:wrapTopAndBottom/>
            <wp:docPr id="55" name="image9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95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6626" cy="3154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96"/>
        <w:ind w:left="440" w:right="417" w:firstLine="0"/>
        <w:jc w:val="both"/>
        <w:rPr>
          <w:i/>
          <w:sz w:val="24"/>
        </w:rPr>
      </w:pPr>
      <w:bookmarkStart w:name="_bookmark55" w:id="257"/>
      <w:bookmarkEnd w:id="257"/>
      <w:r>
        <w:rPr/>
      </w:r>
      <w:r>
        <w:rPr>
          <w:i/>
          <w:sz w:val="24"/>
        </w:rPr>
        <w:t>Figure 5-3. A CLT specimen mounted on the steel frame-lift base in preparation for a test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shot.</w:t>
      </w:r>
    </w:p>
    <w:p>
      <w:pPr>
        <w:spacing w:after="0"/>
        <w:jc w:val="both"/>
        <w:rPr>
          <w:sz w:val="24"/>
        </w:rPr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40" w:right="417" w:firstLine="720"/>
        <w:jc w:val="both"/>
      </w:pPr>
      <w:r>
        <w:rPr/>
        <w:t>Behind the target, a measuring device was placed to assist in tracking the residual</w:t>
      </w:r>
      <w:r>
        <w:rPr>
          <w:spacing w:val="1"/>
        </w:rPr>
        <w:t> </w:t>
      </w:r>
      <w:r>
        <w:rPr>
          <w:spacing w:val="-1"/>
        </w:rPr>
        <w:t>velocities</w:t>
      </w:r>
      <w:r>
        <w:rPr>
          <w:spacing w:val="-13"/>
        </w:rPr>
        <w:t> </w:t>
      </w:r>
      <w:r>
        <w:rPr>
          <w:spacing w:val="-1"/>
        </w:rPr>
        <w:t>using</w:t>
      </w:r>
      <w:r>
        <w:rPr>
          <w:spacing w:val="-13"/>
        </w:rPr>
        <w:t> </w:t>
      </w:r>
      <w:r>
        <w:rPr>
          <w:spacing w:val="-1"/>
        </w:rPr>
        <w:t>high-speed</w:t>
      </w:r>
      <w:r>
        <w:rPr>
          <w:spacing w:val="-14"/>
        </w:rPr>
        <w:t> </w:t>
      </w:r>
      <w:r>
        <w:rPr/>
        <w:t>video,</w:t>
      </w:r>
      <w:r>
        <w:rPr>
          <w:spacing w:val="-14"/>
        </w:rPr>
        <w:t> </w:t>
      </w:r>
      <w:r>
        <w:rPr/>
        <w:t>as</w:t>
      </w:r>
      <w:r>
        <w:rPr>
          <w:spacing w:val="-15"/>
        </w:rPr>
        <w:t> </w:t>
      </w:r>
      <w:r>
        <w:rPr/>
        <w:t>shown</w:t>
      </w:r>
      <w:r>
        <w:rPr>
          <w:spacing w:val="-13"/>
        </w:rPr>
        <w:t> </w:t>
      </w:r>
      <w:r>
        <w:rPr/>
        <w:t>in</w:t>
      </w:r>
      <w:r>
        <w:rPr>
          <w:spacing w:val="-14"/>
        </w:rPr>
        <w:t> </w:t>
      </w:r>
      <w:hyperlink w:history="true" w:anchor="_bookmark56">
        <w:r>
          <w:rPr/>
          <w:t>Figure</w:t>
        </w:r>
        <w:r>
          <w:rPr>
            <w:spacing w:val="-12"/>
          </w:rPr>
          <w:t> </w:t>
        </w:r>
        <w:r>
          <w:rPr/>
          <w:t>5-4</w:t>
        </w:r>
      </w:hyperlink>
      <w:r>
        <w:rPr/>
        <w:t>.</w:t>
      </w:r>
      <w:r>
        <w:rPr>
          <w:spacing w:val="33"/>
        </w:rPr>
        <w:t> </w:t>
      </w:r>
      <w:r>
        <w:rPr/>
        <w:t>An</w:t>
      </w:r>
      <w:r>
        <w:rPr>
          <w:spacing w:val="-14"/>
        </w:rPr>
        <w:t> </w:t>
      </w:r>
      <w:r>
        <w:rPr/>
        <w:t>additional</w:t>
      </w:r>
      <w:r>
        <w:rPr>
          <w:spacing w:val="-14"/>
        </w:rPr>
        <w:t> </w:t>
      </w:r>
      <w:r>
        <w:rPr/>
        <w:t>set</w:t>
      </w:r>
      <w:r>
        <w:rPr>
          <w:spacing w:val="-12"/>
        </w:rPr>
        <w:t> </w:t>
      </w:r>
      <w:r>
        <w:rPr/>
        <w:t>of</w:t>
      </w:r>
      <w:r>
        <w:rPr>
          <w:spacing w:val="-14"/>
        </w:rPr>
        <w:t> </w:t>
      </w:r>
      <w:r>
        <w:rPr/>
        <w:t>two</w:t>
      </w:r>
      <w:r>
        <w:rPr>
          <w:spacing w:val="-13"/>
        </w:rPr>
        <w:t> </w:t>
      </w:r>
      <w:r>
        <w:rPr/>
        <w:t>infrared</w:t>
      </w:r>
      <w:r>
        <w:rPr>
          <w:spacing w:val="-58"/>
        </w:rPr>
        <w:t> </w:t>
      </w:r>
      <w:r>
        <w:rPr/>
        <w:t>photoelectric</w:t>
      </w:r>
      <w:r>
        <w:rPr>
          <w:spacing w:val="-3"/>
        </w:rPr>
        <w:t> </w:t>
      </w:r>
      <w:r>
        <w:rPr/>
        <w:t>velocity</w:t>
      </w:r>
      <w:r>
        <w:rPr>
          <w:spacing w:val="-3"/>
        </w:rPr>
        <w:t> </w:t>
      </w:r>
      <w:r>
        <w:rPr/>
        <w:t>screens</w:t>
      </w:r>
      <w:r>
        <w:rPr>
          <w:spacing w:val="-2"/>
        </w:rPr>
        <w:t> </w:t>
      </w:r>
      <w:r>
        <w:rPr/>
        <w:t>connected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/>
        <w:t>chronograph</w:t>
      </w:r>
      <w:r>
        <w:rPr>
          <w:spacing w:val="-3"/>
        </w:rPr>
        <w:t> </w:t>
      </w:r>
      <w:r>
        <w:rPr/>
        <w:t>were</w:t>
      </w:r>
      <w:r>
        <w:rPr>
          <w:spacing w:val="-2"/>
        </w:rPr>
        <w:t> </w:t>
      </w:r>
      <w:r>
        <w:rPr/>
        <w:t>also</w:t>
      </w:r>
      <w:r>
        <w:rPr>
          <w:spacing w:val="-4"/>
        </w:rPr>
        <w:t> </w:t>
      </w:r>
      <w:r>
        <w:rPr/>
        <w:t>used;</w:t>
      </w:r>
      <w:r>
        <w:rPr>
          <w:spacing w:val="-2"/>
        </w:rPr>
        <w:t> </w:t>
      </w:r>
      <w:r>
        <w:rPr/>
        <w:t>however,</w:t>
      </w:r>
      <w:r>
        <w:rPr>
          <w:spacing w:val="-3"/>
        </w:rPr>
        <w:t> </w:t>
      </w:r>
      <w:r>
        <w:rPr/>
        <w:t>wood</w:t>
      </w:r>
      <w:r>
        <w:rPr>
          <w:spacing w:val="-58"/>
        </w:rPr>
        <w:t> </w:t>
      </w:r>
      <w:r>
        <w:rPr/>
        <w:t>debris occasionally caused a misreading and thus analyzed high-speed video was the</w:t>
      </w:r>
      <w:r>
        <w:rPr>
          <w:spacing w:val="1"/>
        </w:rPr>
        <w:t> </w:t>
      </w:r>
      <w:r>
        <w:rPr/>
        <w:t>primary source of residual velocity data.</w:t>
      </w:r>
      <w:r>
        <w:rPr>
          <w:spacing w:val="1"/>
        </w:rPr>
        <w:t> </w:t>
      </w:r>
      <w:r>
        <w:rPr/>
        <w:t>With the video, the researcher could identify the</w:t>
      </w:r>
      <w:r>
        <w:rPr>
          <w:spacing w:val="-57"/>
        </w:rPr>
        <w:t> </w:t>
      </w:r>
      <w:r>
        <w:rPr/>
        <w:t>projectile</w:t>
      </w:r>
      <w:r>
        <w:rPr>
          <w:spacing w:val="-1"/>
        </w:rPr>
        <w:t> </w:t>
      </w:r>
      <w:r>
        <w:rPr/>
        <w:t>from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debris and ensure</w:t>
      </w:r>
      <w:r>
        <w:rPr>
          <w:spacing w:val="-2"/>
        </w:rPr>
        <w:t> </w:t>
      </w:r>
      <w:r>
        <w:rPr/>
        <w:t>the right</w:t>
      </w:r>
      <w:r>
        <w:rPr>
          <w:spacing w:val="-1"/>
        </w:rPr>
        <w:t> </w:t>
      </w:r>
      <w:r>
        <w:rPr/>
        <w:t>residual velocity was</w:t>
      </w:r>
      <w:r>
        <w:rPr>
          <w:spacing w:val="-1"/>
        </w:rPr>
        <w:t> </w:t>
      </w:r>
      <w:r>
        <w:rPr/>
        <w:t>captured.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119">
            <wp:simplePos x="0" y="0"/>
            <wp:positionH relativeFrom="page">
              <wp:posOffset>1724025</wp:posOffset>
            </wp:positionH>
            <wp:positionV relativeFrom="paragraph">
              <wp:posOffset>235153</wp:posOffset>
            </wp:positionV>
            <wp:extent cx="4833873" cy="2502027"/>
            <wp:effectExtent l="0" t="0" r="0" b="0"/>
            <wp:wrapTopAndBottom/>
            <wp:docPr id="57" name="image9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96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3873" cy="25020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11"/>
        <w:ind w:left="440" w:right="403" w:firstLine="0"/>
        <w:jc w:val="left"/>
        <w:rPr>
          <w:i/>
          <w:sz w:val="24"/>
        </w:rPr>
      </w:pPr>
      <w:bookmarkStart w:name="_bookmark56" w:id="258"/>
      <w:bookmarkEnd w:id="258"/>
      <w:r>
        <w:rPr/>
      </w:r>
      <w:r>
        <w:rPr>
          <w:i/>
          <w:sz w:val="24"/>
        </w:rPr>
        <w:t>Figure</w:t>
      </w:r>
      <w:r>
        <w:rPr>
          <w:i/>
          <w:spacing w:val="3"/>
          <w:sz w:val="24"/>
        </w:rPr>
        <w:t> </w:t>
      </w:r>
      <w:r>
        <w:rPr>
          <w:i/>
          <w:sz w:val="24"/>
        </w:rPr>
        <w:t>5-4.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Back</w:t>
      </w:r>
      <w:r>
        <w:rPr>
          <w:i/>
          <w:spacing w:val="4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4"/>
          <w:sz w:val="24"/>
        </w:rPr>
        <w:t> </w:t>
      </w:r>
      <w:r>
        <w:rPr>
          <w:i/>
          <w:sz w:val="24"/>
        </w:rPr>
        <w:t>mount</w:t>
      </w:r>
      <w:r>
        <w:rPr>
          <w:i/>
          <w:spacing w:val="3"/>
          <w:sz w:val="24"/>
        </w:rPr>
        <w:t> </w:t>
      </w:r>
      <w:r>
        <w:rPr>
          <w:i/>
          <w:sz w:val="24"/>
        </w:rPr>
        <w:t>set-up</w:t>
      </w:r>
      <w:r>
        <w:rPr>
          <w:i/>
          <w:spacing w:val="3"/>
          <w:sz w:val="24"/>
        </w:rPr>
        <w:t> </w:t>
      </w:r>
      <w:r>
        <w:rPr>
          <w:i/>
          <w:sz w:val="24"/>
        </w:rPr>
        <w:t>is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equipped</w:t>
      </w:r>
      <w:r>
        <w:rPr>
          <w:i/>
          <w:spacing w:val="3"/>
          <w:sz w:val="24"/>
        </w:rPr>
        <w:t> </w:t>
      </w:r>
      <w:r>
        <w:rPr>
          <w:i/>
          <w:sz w:val="24"/>
        </w:rPr>
        <w:t>with</w:t>
      </w:r>
      <w:r>
        <w:rPr>
          <w:i/>
          <w:spacing w:val="3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3"/>
          <w:sz w:val="24"/>
        </w:rPr>
        <w:t> </w:t>
      </w:r>
      <w:r>
        <w:rPr>
          <w:i/>
          <w:sz w:val="24"/>
        </w:rPr>
        <w:t>ruler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help</w:t>
      </w:r>
      <w:r>
        <w:rPr>
          <w:i/>
          <w:spacing w:val="3"/>
          <w:sz w:val="24"/>
        </w:rPr>
        <w:t> </w:t>
      </w:r>
      <w:r>
        <w:rPr>
          <w:i/>
          <w:sz w:val="24"/>
        </w:rPr>
        <w:t>with</w:t>
      </w:r>
      <w:r>
        <w:rPr>
          <w:i/>
          <w:spacing w:val="3"/>
          <w:sz w:val="24"/>
        </w:rPr>
        <w:t> </w:t>
      </w:r>
      <w:r>
        <w:rPr>
          <w:i/>
          <w:sz w:val="24"/>
        </w:rPr>
        <w:t>acquiring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residual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velocity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from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high-speed video.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8"/>
        <w:rPr>
          <w:i/>
          <w:sz w:val="35"/>
        </w:rPr>
      </w:pPr>
    </w:p>
    <w:p>
      <w:pPr>
        <w:pStyle w:val="BodyText"/>
        <w:spacing w:line="480" w:lineRule="auto" w:before="1"/>
        <w:ind w:left="440" w:right="416" w:firstLine="720"/>
        <w:jc w:val="both"/>
      </w:pPr>
      <w:r>
        <w:rPr/>
        <w:t>One Phantom V710 and one Phantom V711 high-speed cameras were mounted on</w:t>
      </w:r>
      <w:r>
        <w:rPr>
          <w:spacing w:val="-57"/>
        </w:rPr>
        <w:t> </w:t>
      </w:r>
      <w:r>
        <w:rPr/>
        <w:t>tripods to capture the ballistic event from two perspectives.</w:t>
      </w:r>
      <w:r>
        <w:rPr>
          <w:spacing w:val="1"/>
        </w:rPr>
        <w:t> </w:t>
      </w:r>
      <w:r>
        <w:rPr/>
        <w:t>One was focused on the front</w:t>
      </w:r>
      <w:r>
        <w:rPr>
          <w:spacing w:val="-57"/>
        </w:rPr>
        <w:t> </w:t>
      </w:r>
      <w:r>
        <w:rPr/>
        <w:t>target</w:t>
      </w:r>
      <w:r>
        <w:rPr>
          <w:spacing w:val="-2"/>
        </w:rPr>
        <w:t> </w:t>
      </w:r>
      <w:r>
        <w:rPr/>
        <w:t>face</w:t>
      </w:r>
      <w:r>
        <w:rPr>
          <w:spacing w:val="-1"/>
        </w:rPr>
        <w:t> </w:t>
      </w:r>
      <w:r>
        <w:rPr/>
        <w:t>and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second</w:t>
      </w:r>
      <w:r>
        <w:rPr>
          <w:spacing w:val="-2"/>
        </w:rPr>
        <w:t> </w:t>
      </w:r>
      <w:r>
        <w:rPr/>
        <w:t>was</w:t>
      </w:r>
      <w:r>
        <w:rPr>
          <w:spacing w:val="-2"/>
        </w:rPr>
        <w:t> </w:t>
      </w:r>
      <w:r>
        <w:rPr/>
        <w:t>positioned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capture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back</w:t>
      </w:r>
      <w:r>
        <w:rPr>
          <w:spacing w:val="-4"/>
        </w:rPr>
        <w:t> </w:t>
      </w:r>
      <w:r>
        <w:rPr/>
        <w:t>face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behind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target</w:t>
      </w:r>
      <w:r>
        <w:rPr>
          <w:spacing w:val="-1"/>
        </w:rPr>
        <w:t> </w:t>
      </w:r>
      <w:r>
        <w:rPr/>
        <w:t>to</w:t>
      </w:r>
      <w:r>
        <w:rPr>
          <w:spacing w:val="-58"/>
        </w:rPr>
        <w:t> </w:t>
      </w:r>
      <w:r>
        <w:rPr/>
        <w:t>acquire the residual velocity. The cameras were set to an acoustic trigger and captured the</w:t>
      </w:r>
      <w:r>
        <w:rPr>
          <w:spacing w:val="-57"/>
        </w:rPr>
        <w:t> </w:t>
      </w:r>
      <w:r>
        <w:rPr/>
        <w:t>event</w:t>
      </w:r>
      <w:r>
        <w:rPr>
          <w:spacing w:val="-1"/>
        </w:rPr>
        <w:t> </w:t>
      </w:r>
      <w:r>
        <w:rPr/>
        <w:t>in 512</w:t>
      </w:r>
      <w:r>
        <w:rPr>
          <w:spacing w:val="-2"/>
        </w:rPr>
        <w:t> </w:t>
      </w:r>
      <w:r>
        <w:rPr/>
        <w:t>x 384 pixel</w:t>
      </w:r>
      <w:r>
        <w:rPr>
          <w:spacing w:val="-1"/>
        </w:rPr>
        <w:t> </w:t>
      </w:r>
      <w:r>
        <w:rPr/>
        <w:t>resolution at</w:t>
      </w:r>
      <w:r>
        <w:rPr>
          <w:spacing w:val="-1"/>
        </w:rPr>
        <w:t> </w:t>
      </w:r>
      <w:r>
        <w:rPr/>
        <w:t>14,035</w:t>
      </w:r>
      <w:r>
        <w:rPr>
          <w:spacing w:val="-1"/>
        </w:rPr>
        <w:t> </w:t>
      </w:r>
      <w:r>
        <w:rPr/>
        <w:t>frames per second.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40" w:right="417" w:firstLine="720"/>
        <w:jc w:val="both"/>
      </w:pPr>
      <w:r>
        <w:rPr>
          <w:spacing w:val="-1"/>
        </w:rPr>
        <w:t>The</w:t>
      </w:r>
      <w:r>
        <w:rPr>
          <w:spacing w:val="-13"/>
        </w:rPr>
        <w:t> </w:t>
      </w:r>
      <w:r>
        <w:rPr/>
        <w:t>projectile</w:t>
      </w:r>
      <w:r>
        <w:rPr>
          <w:spacing w:val="-13"/>
        </w:rPr>
        <w:t> </w:t>
      </w:r>
      <w:r>
        <w:rPr/>
        <w:t>for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majority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testing</w:t>
      </w:r>
      <w:r>
        <w:rPr>
          <w:spacing w:val="-13"/>
        </w:rPr>
        <w:t> </w:t>
      </w:r>
      <w:r>
        <w:rPr/>
        <w:t>was</w:t>
      </w:r>
      <w:r>
        <w:rPr>
          <w:spacing w:val="-13"/>
        </w:rPr>
        <w:t> </w:t>
      </w:r>
      <w:r>
        <w:rPr/>
        <w:t>a</w:t>
      </w:r>
      <w:r>
        <w:rPr>
          <w:spacing w:val="-13"/>
        </w:rPr>
        <w:t> </w:t>
      </w:r>
      <w:r>
        <w:rPr/>
        <w:t>0.5-inch</w:t>
      </w:r>
      <w:r>
        <w:rPr>
          <w:spacing w:val="-15"/>
        </w:rPr>
        <w:t> </w:t>
      </w:r>
      <w:r>
        <w:rPr/>
        <w:t>(12.7</w:t>
      </w:r>
      <w:r>
        <w:rPr>
          <w:spacing w:val="-15"/>
        </w:rPr>
        <w:t> </w:t>
      </w:r>
      <w:r>
        <w:rPr/>
        <w:t>mm)</w:t>
      </w:r>
      <w:r>
        <w:rPr>
          <w:spacing w:val="-13"/>
        </w:rPr>
        <w:t> </w:t>
      </w:r>
      <w:r>
        <w:rPr/>
        <w:t>rigid</w:t>
      </w:r>
      <w:r>
        <w:rPr>
          <w:spacing w:val="-13"/>
        </w:rPr>
        <w:t> </w:t>
      </w:r>
      <w:r>
        <w:rPr/>
        <w:t>steel</w:t>
      </w:r>
      <w:r>
        <w:rPr>
          <w:spacing w:val="-13"/>
        </w:rPr>
        <w:t> </w:t>
      </w:r>
      <w:r>
        <w:rPr/>
        <w:t>sphere</w:t>
      </w:r>
      <w:r>
        <w:rPr>
          <w:spacing w:val="-58"/>
        </w:rPr>
        <w:t> </w:t>
      </w:r>
      <w:r>
        <w:rPr/>
        <w:t>constructed of hardened impact-resistant S-2 tool steel.</w:t>
      </w:r>
      <w:r>
        <w:rPr>
          <w:spacing w:val="1"/>
        </w:rPr>
        <w:t> </w:t>
      </w:r>
      <w:r>
        <w:rPr/>
        <w:t>This projectile was selected as a</w:t>
      </w:r>
      <w:r>
        <w:rPr>
          <w:spacing w:val="1"/>
        </w:rPr>
        <w:t> </w:t>
      </w:r>
      <w:r>
        <w:rPr/>
        <w:t>benchmark for CLT due to the vast ERDC database for ballistic tests with other target</w:t>
      </w:r>
      <w:r>
        <w:rPr>
          <w:spacing w:val="1"/>
        </w:rPr>
        <w:t> </w:t>
      </w:r>
      <w:r>
        <w:rPr/>
        <w:t>materials. Additionally, use of the sphere projectile eliminated any security concerns with</w:t>
      </w:r>
      <w:r>
        <w:rPr>
          <w:spacing w:val="-57"/>
        </w:rPr>
        <w:t> </w:t>
      </w:r>
      <w:r>
        <w:rPr/>
        <w:t>collecting data as they are purely used in experimental testing and not a munition for</w:t>
      </w:r>
      <w:r>
        <w:rPr>
          <w:spacing w:val="1"/>
        </w:rPr>
        <w:t> </w:t>
      </w:r>
      <w:r>
        <w:rPr/>
        <w:t>military use outside of research. From a ballistic modeling perspective, the hardened steel</w:t>
      </w:r>
      <w:r>
        <w:rPr>
          <w:spacing w:val="-57"/>
        </w:rPr>
        <w:t> </w:t>
      </w:r>
      <w:r>
        <w:rPr/>
        <w:t>sphere may be a starting point for more in-depth ballistic testing as nose effects like</w:t>
      </w:r>
      <w:r>
        <w:rPr>
          <w:spacing w:val="1"/>
        </w:rPr>
        <w:t> </w:t>
      </w:r>
      <w:r>
        <w:rPr/>
        <w:t>fragmentation</w:t>
      </w:r>
      <w:r>
        <w:rPr>
          <w:spacing w:val="-1"/>
        </w:rPr>
        <w:t> </w:t>
      </w:r>
      <w:r>
        <w:rPr/>
        <w:t>and mushrooming of</w:t>
      </w:r>
      <w:r>
        <w:rPr>
          <w:spacing w:val="-1"/>
        </w:rPr>
        <w:t> </w:t>
      </w:r>
      <w:r>
        <w:rPr/>
        <w:t>the round are</w:t>
      </w:r>
      <w:r>
        <w:rPr>
          <w:spacing w:val="-1"/>
        </w:rPr>
        <w:t> </w:t>
      </w:r>
      <w:r>
        <w:rPr/>
        <w:t>atypical.</w:t>
      </w:r>
    </w:p>
    <w:p>
      <w:pPr>
        <w:pStyle w:val="BodyText"/>
        <w:spacing w:line="480" w:lineRule="auto" w:before="160"/>
        <w:ind w:left="440" w:right="416" w:firstLine="720"/>
        <w:jc w:val="both"/>
      </w:pPr>
      <w:r>
        <w:rPr/>
        <w:t>The</w:t>
      </w:r>
      <w:r>
        <w:rPr>
          <w:spacing w:val="-13"/>
        </w:rPr>
        <w:t> </w:t>
      </w:r>
      <w:r>
        <w:rPr/>
        <w:t>projectiles</w:t>
      </w:r>
      <w:r>
        <w:rPr>
          <w:spacing w:val="-13"/>
        </w:rPr>
        <w:t> </w:t>
      </w:r>
      <w:r>
        <w:rPr/>
        <w:t>were</w:t>
      </w:r>
      <w:r>
        <w:rPr>
          <w:spacing w:val="-13"/>
        </w:rPr>
        <w:t> </w:t>
      </w:r>
      <w:r>
        <w:rPr/>
        <w:t>mounted</w:t>
      </w:r>
      <w:r>
        <w:rPr>
          <w:spacing w:val="-13"/>
        </w:rPr>
        <w:t> </w:t>
      </w:r>
      <w:r>
        <w:rPr/>
        <w:t>by</w:t>
      </w:r>
      <w:r>
        <w:rPr>
          <w:spacing w:val="-13"/>
        </w:rPr>
        <w:t> </w:t>
      </w:r>
      <w:r>
        <w:rPr/>
        <w:t>hand</w:t>
      </w:r>
      <w:r>
        <w:rPr>
          <w:spacing w:val="-12"/>
        </w:rPr>
        <w:t> </w:t>
      </w:r>
      <w:r>
        <w:rPr/>
        <w:t>in</w:t>
      </w:r>
      <w:r>
        <w:rPr>
          <w:spacing w:val="-13"/>
        </w:rPr>
        <w:t> </w:t>
      </w:r>
      <w:r>
        <w:rPr/>
        <w:t>a</w:t>
      </w:r>
      <w:r>
        <w:rPr>
          <w:spacing w:val="-13"/>
        </w:rPr>
        <w:t> </w:t>
      </w:r>
      <w:r>
        <w:rPr/>
        <w:t>.50-caliber</w:t>
      </w:r>
      <w:r>
        <w:rPr>
          <w:spacing w:val="-13"/>
        </w:rPr>
        <w:t> </w:t>
      </w:r>
      <w:r>
        <w:rPr/>
        <w:t>cartridge</w:t>
      </w:r>
      <w:r>
        <w:rPr>
          <w:spacing w:val="-14"/>
        </w:rPr>
        <w:t> </w:t>
      </w:r>
      <w:r>
        <w:rPr/>
        <w:t>with</w:t>
      </w:r>
      <w:r>
        <w:rPr>
          <w:spacing w:val="-13"/>
        </w:rPr>
        <w:t> </w:t>
      </w:r>
      <w:r>
        <w:rPr/>
        <w:t>a</w:t>
      </w:r>
      <w:r>
        <w:rPr>
          <w:spacing w:val="-12"/>
        </w:rPr>
        <w:t> </w:t>
      </w:r>
      <w:r>
        <w:rPr/>
        <w:t>plastic</w:t>
      </w:r>
      <w:r>
        <w:rPr>
          <w:spacing w:val="-13"/>
        </w:rPr>
        <w:t> </w:t>
      </w:r>
      <w:r>
        <w:rPr/>
        <w:t>sabot.</w:t>
      </w:r>
      <w:r>
        <w:rPr>
          <w:spacing w:val="-58"/>
        </w:rPr>
        <w:t> </w:t>
      </w:r>
      <w:r>
        <w:rPr/>
        <w:t>The sabot holds the projectile in the cartridge without letting air or moisture into the</w:t>
      </w:r>
      <w:r>
        <w:rPr>
          <w:spacing w:val="1"/>
        </w:rPr>
        <w:t> </w:t>
      </w:r>
      <w:r>
        <w:rPr/>
        <w:t>cartridge interior where the powder burns and initiates the ballistic event.</w:t>
      </w:r>
      <w:r>
        <w:rPr>
          <w:spacing w:val="1"/>
        </w:rPr>
        <w:t> </w:t>
      </w:r>
      <w:r>
        <w:rPr/>
        <w:t>The sabot falls</w:t>
      </w:r>
      <w:r>
        <w:rPr>
          <w:spacing w:val="1"/>
        </w:rPr>
        <w:t> </w:t>
      </w:r>
      <w:r>
        <w:rPr/>
        <w:t>away from the projectile as it moves down range due to a pre-cut perforation and is</w:t>
      </w:r>
      <w:r>
        <w:rPr>
          <w:spacing w:val="1"/>
        </w:rPr>
        <w:t> </w:t>
      </w:r>
      <w:r>
        <w:rPr/>
        <w:t>removed from the experiment by a sabot-stripper in the set-up, which is shown in the far</w:t>
      </w:r>
      <w:r>
        <w:rPr>
          <w:spacing w:val="1"/>
        </w:rPr>
        <w:t> </w:t>
      </w:r>
      <w:r>
        <w:rPr/>
        <w:t>left of </w:t>
      </w:r>
      <w:hyperlink w:history="true" w:anchor="_bookmark54">
        <w:r>
          <w:rPr/>
          <w:t>Figure 5-2 </w:t>
        </w:r>
      </w:hyperlink>
      <w:r>
        <w:rPr/>
        <w:t>before the infrared screens.</w:t>
      </w:r>
      <w:r>
        <w:rPr>
          <w:spacing w:val="1"/>
        </w:rPr>
        <w:t> </w:t>
      </w:r>
      <w:r>
        <w:rPr/>
        <w:t>This device blocks the plastic sabot pieces</w:t>
      </w:r>
      <w:r>
        <w:rPr>
          <w:spacing w:val="1"/>
        </w:rPr>
        <w:t> </w:t>
      </w:r>
      <w:r>
        <w:rPr/>
        <w:t>from continuing in the direction of the velocity screens and the target. </w:t>
      </w:r>
      <w:hyperlink w:history="true" w:anchor="_bookmark57">
        <w:r>
          <w:rPr/>
          <w:t>Figure 5-5 </w:t>
        </w:r>
      </w:hyperlink>
      <w:r>
        <w:rPr/>
        <w:t>shows a</w:t>
      </w:r>
      <w:r>
        <w:rPr>
          <w:spacing w:val="-57"/>
        </w:rPr>
        <w:t> </w:t>
      </w:r>
      <w:r>
        <w:rPr/>
        <w:t>schematic of the ballistic test set-up from the sabot stripper forward. The projectile moves</w:t>
      </w:r>
      <w:r>
        <w:rPr>
          <w:spacing w:val="-57"/>
        </w:rPr>
        <w:t> </w:t>
      </w:r>
      <w:r>
        <w:rPr/>
        <w:t>from</w:t>
      </w:r>
      <w:r>
        <w:rPr>
          <w:spacing w:val="-3"/>
        </w:rPr>
        <w:t> </w:t>
      </w:r>
      <w:r>
        <w:rPr/>
        <w:t>right to</w:t>
      </w:r>
      <w:r>
        <w:rPr>
          <w:spacing w:val="-2"/>
        </w:rPr>
        <w:t> </w:t>
      </w:r>
      <w:r>
        <w:rPr/>
        <w:t>left in the</w:t>
      </w:r>
      <w:r>
        <w:rPr>
          <w:spacing w:val="-1"/>
        </w:rPr>
        <w:t> </w:t>
      </w:r>
      <w:r>
        <w:rPr/>
        <w:t>schematic as</w:t>
      </w:r>
      <w:r>
        <w:rPr>
          <w:spacing w:val="-1"/>
        </w:rPr>
        <w:t> </w:t>
      </w:r>
      <w:r>
        <w:rPr/>
        <w:t>indicated by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red</w:t>
      </w:r>
      <w:r>
        <w:rPr>
          <w:spacing w:val="-2"/>
        </w:rPr>
        <w:t> </w:t>
      </w:r>
      <w:r>
        <w:rPr/>
        <w:t>arrow.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ind w:left="440"/>
        <w:rPr>
          <w:sz w:val="20"/>
        </w:rPr>
      </w:pPr>
      <w:r>
        <w:rPr>
          <w:sz w:val="20"/>
        </w:rPr>
        <w:drawing>
          <wp:inline distT="0" distB="0" distL="0" distR="0">
            <wp:extent cx="5532775" cy="2954654"/>
            <wp:effectExtent l="0" t="0" r="0" b="0"/>
            <wp:docPr id="59" name="image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97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2775" cy="2954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sz w:val="27"/>
        </w:rPr>
      </w:pPr>
    </w:p>
    <w:p>
      <w:pPr>
        <w:spacing w:before="90"/>
        <w:ind w:left="21" w:right="0" w:firstLine="0"/>
        <w:jc w:val="center"/>
        <w:rPr>
          <w:i/>
          <w:sz w:val="24"/>
        </w:rPr>
      </w:pPr>
      <w:bookmarkStart w:name="_bookmark57" w:id="259"/>
      <w:bookmarkEnd w:id="259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5-5.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Schematic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ballistic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test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set-up.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Heading9"/>
        <w:numPr>
          <w:ilvl w:val="1"/>
          <w:numId w:val="21"/>
        </w:numPr>
        <w:tabs>
          <w:tab w:pos="800" w:val="left" w:leader="none"/>
        </w:tabs>
        <w:spacing w:line="240" w:lineRule="auto" w:before="150" w:after="0"/>
        <w:ind w:left="800" w:right="0" w:hanging="360"/>
        <w:jc w:val="both"/>
      </w:pPr>
      <w:bookmarkStart w:name="_TOC_250032" w:id="260"/>
      <w:bookmarkStart w:name="5.4 Ballistic testing series" w:id="261"/>
      <w:r>
        <w:rPr>
          <w:b w:val="0"/>
        </w:rPr>
      </w:r>
      <w:bookmarkEnd w:id="261"/>
      <w:bookmarkStart w:name="5.4 Ballistic testing series" w:id="262"/>
      <w:r>
        <w:rPr/>
        <w:t>B</w:t>
      </w:r>
      <w:r>
        <w:rPr/>
        <w:t>allistic</w:t>
      </w:r>
      <w:r>
        <w:rPr>
          <w:spacing w:val="-4"/>
        </w:rPr>
        <w:t> </w:t>
      </w:r>
      <w:r>
        <w:rPr/>
        <w:t>testing</w:t>
      </w:r>
      <w:r>
        <w:rPr>
          <w:spacing w:val="-3"/>
        </w:rPr>
        <w:t> </w:t>
      </w:r>
      <w:bookmarkEnd w:id="260"/>
      <w:r>
        <w:rPr/>
        <w:t>series</w:t>
      </w:r>
    </w:p>
    <w:p>
      <w:pPr>
        <w:pStyle w:val="BodyText"/>
        <w:spacing w:before="5"/>
        <w:rPr>
          <w:b/>
          <w:sz w:val="22"/>
        </w:rPr>
      </w:pPr>
    </w:p>
    <w:p>
      <w:pPr>
        <w:pStyle w:val="BodyText"/>
        <w:spacing w:line="480" w:lineRule="auto" w:before="1"/>
        <w:ind w:left="440" w:right="416" w:firstLine="720"/>
        <w:jc w:val="both"/>
      </w:pPr>
      <w:r>
        <w:rPr/>
        <w:t>The</w:t>
      </w:r>
      <w:r>
        <w:rPr>
          <w:spacing w:val="-12"/>
        </w:rPr>
        <w:t> </w:t>
      </w:r>
      <w:r>
        <w:rPr/>
        <w:t>test</w:t>
      </w:r>
      <w:r>
        <w:rPr>
          <w:spacing w:val="-11"/>
        </w:rPr>
        <w:t> </w:t>
      </w:r>
      <w:r>
        <w:rPr/>
        <w:t>specimens</w:t>
      </w:r>
      <w:r>
        <w:rPr>
          <w:spacing w:val="-12"/>
        </w:rPr>
        <w:t> </w:t>
      </w:r>
      <w:r>
        <w:rPr/>
        <w:t>were</w:t>
      </w:r>
      <w:r>
        <w:rPr>
          <w:spacing w:val="-11"/>
        </w:rPr>
        <w:t> </w:t>
      </w:r>
      <w:r>
        <w:rPr/>
        <w:t>comprised</w:t>
      </w:r>
      <w:r>
        <w:rPr>
          <w:spacing w:val="-11"/>
        </w:rPr>
        <w:t> </w:t>
      </w:r>
      <w:r>
        <w:rPr/>
        <w:t>of</w:t>
      </w:r>
      <w:r>
        <w:rPr>
          <w:spacing w:val="-13"/>
        </w:rPr>
        <w:t> </w:t>
      </w:r>
      <w:r>
        <w:rPr/>
        <w:t>two</w:t>
      </w:r>
      <w:r>
        <w:rPr>
          <w:spacing w:val="-11"/>
        </w:rPr>
        <w:t> </w:t>
      </w:r>
      <w:r>
        <w:rPr/>
        <w:t>different</w:t>
      </w:r>
      <w:r>
        <w:rPr>
          <w:spacing w:val="-12"/>
        </w:rPr>
        <w:t> </w:t>
      </w:r>
      <w:r>
        <w:rPr/>
        <w:t>types</w:t>
      </w:r>
      <w:r>
        <w:rPr>
          <w:spacing w:val="-12"/>
        </w:rPr>
        <w:t> </w:t>
      </w:r>
      <w:r>
        <w:rPr/>
        <w:t>of</w:t>
      </w:r>
      <w:r>
        <w:rPr>
          <w:spacing w:val="-12"/>
        </w:rPr>
        <w:t> </w:t>
      </w:r>
      <w:r>
        <w:rPr/>
        <w:t>softwood:</w:t>
      </w:r>
      <w:r>
        <w:rPr>
          <w:spacing w:val="-12"/>
        </w:rPr>
        <w:t> </w:t>
      </w:r>
      <w:r>
        <w:rPr/>
        <w:t>Spruce</w:t>
      </w:r>
      <w:r>
        <w:rPr>
          <w:spacing w:val="-11"/>
        </w:rPr>
        <w:t> </w:t>
      </w:r>
      <w:r>
        <w:rPr/>
        <w:t>Pine</w:t>
      </w:r>
      <w:r>
        <w:rPr>
          <w:spacing w:val="-58"/>
        </w:rPr>
        <w:t> </w:t>
      </w:r>
      <w:r>
        <w:rPr/>
        <w:t>Fir – South (SPF-S) and Southern Yellow Pine (SYP).</w:t>
      </w:r>
      <w:r>
        <w:rPr>
          <w:spacing w:val="1"/>
        </w:rPr>
        <w:t> </w:t>
      </w:r>
      <w:r>
        <w:rPr/>
        <w:t>These two softwood species were</w:t>
      </w:r>
      <w:r>
        <w:rPr>
          <w:spacing w:val="1"/>
        </w:rPr>
        <w:t> </w:t>
      </w:r>
      <w:r>
        <w:rPr/>
        <w:t>used</w:t>
      </w:r>
      <w:r>
        <w:rPr>
          <w:spacing w:val="-13"/>
        </w:rPr>
        <w:t> </w:t>
      </w:r>
      <w:r>
        <w:rPr/>
        <w:t>for</w:t>
      </w:r>
      <w:r>
        <w:rPr>
          <w:spacing w:val="-13"/>
        </w:rPr>
        <w:t> </w:t>
      </w:r>
      <w:r>
        <w:rPr/>
        <w:t>testing</w:t>
      </w:r>
      <w:r>
        <w:rPr>
          <w:spacing w:val="-13"/>
        </w:rPr>
        <w:t> </w:t>
      </w:r>
      <w:r>
        <w:rPr/>
        <w:t>due</w:t>
      </w:r>
      <w:r>
        <w:rPr>
          <w:spacing w:val="-13"/>
        </w:rPr>
        <w:t> </w:t>
      </w:r>
      <w:r>
        <w:rPr/>
        <w:t>to</w:t>
      </w:r>
      <w:r>
        <w:rPr>
          <w:spacing w:val="-13"/>
        </w:rPr>
        <w:t> </w:t>
      </w:r>
      <w:r>
        <w:rPr/>
        <w:t>availability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interest</w:t>
      </w:r>
      <w:r>
        <w:rPr>
          <w:spacing w:val="-13"/>
        </w:rPr>
        <w:t> </w:t>
      </w:r>
      <w:r>
        <w:rPr/>
        <w:t>in</w:t>
      </w:r>
      <w:r>
        <w:rPr>
          <w:spacing w:val="-14"/>
        </w:rPr>
        <w:t> </w:t>
      </w:r>
      <w:r>
        <w:rPr/>
        <w:t>the</w:t>
      </w:r>
      <w:r>
        <w:rPr>
          <w:spacing w:val="-12"/>
        </w:rPr>
        <w:t> </w:t>
      </w:r>
      <w:r>
        <w:rPr/>
        <w:t>incorporation</w:t>
      </w:r>
      <w:r>
        <w:rPr>
          <w:spacing w:val="-13"/>
        </w:rPr>
        <w:t> </w:t>
      </w:r>
      <w:r>
        <w:rPr/>
        <w:t>of</w:t>
      </w:r>
      <w:r>
        <w:rPr>
          <w:spacing w:val="-13"/>
        </w:rPr>
        <w:t> </w:t>
      </w:r>
      <w:r>
        <w:rPr/>
        <w:t>a</w:t>
      </w:r>
      <w:r>
        <w:rPr>
          <w:spacing w:val="-14"/>
        </w:rPr>
        <w:t> </w:t>
      </w:r>
      <w:r>
        <w:rPr/>
        <w:t>local</w:t>
      </w:r>
      <w:r>
        <w:rPr>
          <w:spacing w:val="-12"/>
        </w:rPr>
        <w:t> </w:t>
      </w:r>
      <w:r>
        <w:rPr/>
        <w:t>forest</w:t>
      </w:r>
      <w:r>
        <w:rPr>
          <w:spacing w:val="-13"/>
        </w:rPr>
        <w:t> </w:t>
      </w:r>
      <w:r>
        <w:rPr/>
        <w:t>product,</w:t>
      </w:r>
      <w:r>
        <w:rPr>
          <w:spacing w:val="-57"/>
        </w:rPr>
        <w:t> </w:t>
      </w:r>
      <w:r>
        <w:rPr/>
        <w:t>widely available in Georgia and the rest of the southeastern U.S.</w:t>
      </w:r>
      <w:r>
        <w:rPr>
          <w:spacing w:val="1"/>
        </w:rPr>
        <w:t> </w:t>
      </w:r>
      <w:r>
        <w:rPr/>
        <w:t>While both softwoods,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two</w:t>
      </w:r>
      <w:r>
        <w:rPr>
          <w:spacing w:val="-1"/>
        </w:rPr>
        <w:t> </w:t>
      </w:r>
      <w:r>
        <w:rPr/>
        <w:t>species</w:t>
      </w:r>
      <w:r>
        <w:rPr>
          <w:spacing w:val="-1"/>
        </w:rPr>
        <w:t> </w:t>
      </w:r>
      <w:r>
        <w:rPr/>
        <w:t>have</w:t>
      </w:r>
      <w:r>
        <w:rPr>
          <w:spacing w:val="-1"/>
        </w:rPr>
        <w:t> </w:t>
      </w:r>
      <w:r>
        <w:rPr/>
        <w:t>different densities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hardness</w:t>
      </w:r>
      <w:r>
        <w:rPr>
          <w:spacing w:val="-1"/>
        </w:rPr>
        <w:t> </w:t>
      </w:r>
      <w:r>
        <w:rPr/>
        <w:t>values as</w:t>
      </w:r>
      <w:r>
        <w:rPr>
          <w:spacing w:val="-2"/>
        </w:rPr>
        <w:t> </w:t>
      </w:r>
      <w:r>
        <w:rPr/>
        <w:t>discussed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Chapter 4.</w:t>
      </w:r>
    </w:p>
    <w:p>
      <w:pPr>
        <w:pStyle w:val="BodyText"/>
        <w:spacing w:line="480" w:lineRule="auto" w:before="161"/>
        <w:ind w:left="439" w:right="417" w:firstLine="720"/>
        <w:jc w:val="both"/>
      </w:pPr>
      <w:r>
        <w:rPr/>
        <w:t>The</w:t>
      </w:r>
      <w:r>
        <w:rPr>
          <w:spacing w:val="-7"/>
        </w:rPr>
        <w:t> </w:t>
      </w:r>
      <w:r>
        <w:rPr/>
        <w:t>SPF-S</w:t>
      </w:r>
      <w:r>
        <w:rPr>
          <w:spacing w:val="-8"/>
        </w:rPr>
        <w:t> </w:t>
      </w:r>
      <w:r>
        <w:rPr/>
        <w:t>was</w:t>
      </w:r>
      <w:r>
        <w:rPr>
          <w:spacing w:val="-7"/>
        </w:rPr>
        <w:t> </w:t>
      </w:r>
      <w:r>
        <w:rPr/>
        <w:t>manufactured</w:t>
      </w:r>
      <w:r>
        <w:rPr>
          <w:spacing w:val="-7"/>
        </w:rPr>
        <w:t> </w:t>
      </w:r>
      <w:r>
        <w:rPr/>
        <w:t>into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/>
        <w:t>V4</w:t>
      </w:r>
      <w:r>
        <w:rPr>
          <w:spacing w:val="-7"/>
        </w:rPr>
        <w:t> </w:t>
      </w:r>
      <w:r>
        <w:rPr/>
        <w:t>grade</w:t>
      </w:r>
      <w:r>
        <w:rPr>
          <w:spacing w:val="-7"/>
        </w:rPr>
        <w:t> </w:t>
      </w:r>
      <w:r>
        <w:rPr/>
        <w:t>CLT</w:t>
      </w:r>
      <w:r>
        <w:rPr>
          <w:spacing w:val="-8"/>
        </w:rPr>
        <w:t> </w:t>
      </w:r>
      <w:r>
        <w:rPr/>
        <w:t>by</w:t>
      </w:r>
      <w:r>
        <w:rPr>
          <w:spacing w:val="-6"/>
        </w:rPr>
        <w:t> </w:t>
      </w:r>
      <w:r>
        <w:rPr/>
        <w:t>the</w:t>
      </w:r>
      <w:r>
        <w:rPr>
          <w:spacing w:val="-8"/>
        </w:rPr>
        <w:t> </w:t>
      </w:r>
      <w:r>
        <w:rPr/>
        <w:t>manufacturer</w:t>
      </w:r>
      <w:r>
        <w:rPr>
          <w:spacing w:val="-7"/>
        </w:rPr>
        <w:t> </w:t>
      </w:r>
      <w:r>
        <w:rPr/>
        <w:t>SmartLam</w:t>
      </w:r>
      <w:r>
        <w:rPr>
          <w:spacing w:val="-58"/>
        </w:rPr>
        <w:t> </w:t>
      </w:r>
      <w:r>
        <w:rPr/>
        <w:t>to the APA standard specifications and came with a material product report outlining</w:t>
      </w:r>
      <w:r>
        <w:rPr>
          <w:spacing w:val="1"/>
        </w:rPr>
        <w:t> </w:t>
      </w:r>
      <w:r>
        <w:rPr/>
        <w:t>allowable</w:t>
      </w:r>
      <w:r>
        <w:rPr>
          <w:spacing w:val="1"/>
        </w:rPr>
        <w:t> </w:t>
      </w:r>
      <w:r>
        <w:rPr/>
        <w:t>design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both</w:t>
      </w:r>
      <w:r>
        <w:rPr>
          <w:spacing w:val="1"/>
        </w:rPr>
        <w:t> </w:t>
      </w:r>
      <w:r>
        <w:rPr/>
        <w:t>major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minor</w:t>
      </w:r>
      <w:r>
        <w:rPr>
          <w:spacing w:val="1"/>
        </w:rPr>
        <w:t> </w:t>
      </w:r>
      <w:r>
        <w:rPr/>
        <w:t>strength</w:t>
      </w:r>
      <w:r>
        <w:rPr>
          <w:spacing w:val="1"/>
        </w:rPr>
        <w:t> </w:t>
      </w:r>
      <w:r>
        <w:rPr/>
        <w:t>directions,</w:t>
      </w:r>
      <w:r>
        <w:rPr>
          <w:spacing w:val="1"/>
        </w:rPr>
        <w:t> </w:t>
      </w:r>
      <w:r>
        <w:rPr/>
        <w:t>including</w:t>
      </w:r>
      <w:r>
        <w:rPr>
          <w:spacing w:val="-57"/>
        </w:rPr>
        <w:t> </w:t>
      </w:r>
      <w:r>
        <w:rPr/>
        <w:t>strengths and stiffness.   The SYP specimens were manufactured at the Georgia Institute</w:t>
      </w:r>
      <w:r>
        <w:rPr>
          <w:spacing w:val="1"/>
        </w:rPr>
        <w:t> </w:t>
      </w:r>
      <w:r>
        <w:rPr/>
        <w:t>of Technology’s</w:t>
      </w:r>
      <w:r>
        <w:rPr>
          <w:spacing w:val="2"/>
        </w:rPr>
        <w:t> </w:t>
      </w:r>
      <w:r>
        <w:rPr/>
        <w:t>Digital</w:t>
      </w:r>
      <w:r>
        <w:rPr>
          <w:spacing w:val="3"/>
        </w:rPr>
        <w:t> </w:t>
      </w:r>
      <w:r>
        <w:rPr/>
        <w:t>Fabrication</w:t>
      </w:r>
      <w:r>
        <w:rPr>
          <w:spacing w:val="1"/>
        </w:rPr>
        <w:t> </w:t>
      </w:r>
      <w:r>
        <w:rPr/>
        <w:t>Laboratory.</w:t>
      </w:r>
      <w:r>
        <w:rPr>
          <w:spacing w:val="6"/>
        </w:rPr>
        <w:t> </w:t>
      </w:r>
      <w:r>
        <w:rPr/>
        <w:t>They</w:t>
      </w:r>
      <w:r>
        <w:rPr>
          <w:spacing w:val="2"/>
        </w:rPr>
        <w:t> </w:t>
      </w:r>
      <w:r>
        <w:rPr/>
        <w:t>were</w:t>
      </w:r>
      <w:r>
        <w:rPr>
          <w:spacing w:val="4"/>
        </w:rPr>
        <w:t> </w:t>
      </w:r>
      <w:r>
        <w:rPr/>
        <w:t>made</w:t>
      </w:r>
      <w:r>
        <w:rPr>
          <w:spacing w:val="4"/>
        </w:rPr>
        <w:t> </w:t>
      </w:r>
      <w:r>
        <w:rPr/>
        <w:t>in</w:t>
      </w:r>
      <w:r>
        <w:rPr>
          <w:spacing w:val="1"/>
        </w:rPr>
        <w:t> </w:t>
      </w:r>
      <w:r>
        <w:rPr/>
        <w:t>accordance</w:t>
      </w:r>
      <w:r>
        <w:rPr>
          <w:spacing w:val="2"/>
        </w:rPr>
        <w:t> </w:t>
      </w:r>
      <w:r>
        <w:rPr/>
        <w:t>with</w:t>
      </w:r>
      <w:r>
        <w:rPr>
          <w:spacing w:val="2"/>
        </w:rPr>
        <w:t> </w:t>
      </w:r>
      <w:r>
        <w:rPr/>
        <w:t>the</w:t>
      </w:r>
    </w:p>
    <w:p>
      <w:pPr>
        <w:spacing w:after="0" w:line="480" w:lineRule="auto"/>
        <w:jc w:val="both"/>
        <w:sectPr>
          <w:pgSz w:w="12240" w:h="15840"/>
          <w:pgMar w:header="0" w:footer="1064" w:top="1440" w:bottom="1260" w:left="1720" w:right="1020"/>
        </w:sectPr>
      </w:pPr>
    </w:p>
    <w:p>
      <w:pPr>
        <w:spacing w:line="480" w:lineRule="auto" w:before="78"/>
        <w:ind w:left="439" w:right="419" w:firstLine="0"/>
        <w:jc w:val="both"/>
        <w:rPr>
          <w:sz w:val="24"/>
        </w:rPr>
      </w:pPr>
      <w:r>
        <w:rPr>
          <w:sz w:val="24"/>
        </w:rPr>
        <w:t>guidelines and standards presented in the </w:t>
      </w:r>
      <w:r>
        <w:rPr>
          <w:i/>
          <w:sz w:val="24"/>
        </w:rPr>
        <w:t>CLT Handbook: US Edition </w:t>
      </w:r>
      <w:r>
        <w:rPr>
          <w:sz w:val="24"/>
        </w:rPr>
        <w:t>and </w:t>
      </w:r>
      <w:r>
        <w:rPr>
          <w:i/>
          <w:sz w:val="24"/>
        </w:rPr>
        <w:t>Standard for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Performance-Rated Cross-Laminated Timber ANSI/APA PRG 320-2012 </w:t>
      </w:r>
      <w:r>
        <w:rPr>
          <w:sz w:val="24"/>
        </w:rPr>
        <w:t>(PRG 320), as</w:t>
      </w:r>
      <w:r>
        <w:rPr>
          <w:spacing w:val="1"/>
          <w:sz w:val="24"/>
        </w:rPr>
        <w:t> </w:t>
      </w:r>
      <w:r>
        <w:rPr>
          <w:sz w:val="24"/>
        </w:rPr>
        <w:t>outlined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2"/>
          <w:sz w:val="24"/>
        </w:rPr>
        <w:t> </w:t>
      </w:r>
      <w:r>
        <w:rPr>
          <w:sz w:val="24"/>
        </w:rPr>
        <w:t>Chapter 4.</w:t>
      </w:r>
    </w:p>
    <w:p>
      <w:pPr>
        <w:pStyle w:val="BodyText"/>
        <w:spacing w:line="480" w:lineRule="auto" w:before="159"/>
        <w:ind w:left="440" w:right="417" w:firstLine="720"/>
        <w:jc w:val="both"/>
      </w:pPr>
      <w:r>
        <w:rPr/>
        <w:t>The SYP test specimens were not large enough for significant static strength and</w:t>
      </w:r>
      <w:r>
        <w:rPr>
          <w:spacing w:val="1"/>
        </w:rPr>
        <w:t> </w:t>
      </w:r>
      <w:r>
        <w:rPr/>
        <w:t>stiffness testing but based on the lumber used for construction, would be expected to</w:t>
      </w:r>
      <w:r>
        <w:rPr>
          <w:spacing w:val="1"/>
        </w:rPr>
        <w:t> </w:t>
      </w:r>
      <w:r>
        <w:rPr/>
        <w:t>roughly perform as well as the V3 CLT grade specifications in PRG 320 with layups on</w:t>
      </w:r>
      <w:r>
        <w:rPr>
          <w:spacing w:val="1"/>
        </w:rPr>
        <w:t> </w:t>
      </w:r>
      <w:r>
        <w:rPr/>
        <w:t>No.</w:t>
      </w:r>
      <w:r>
        <w:rPr>
          <w:spacing w:val="1"/>
        </w:rPr>
        <w:t> </w:t>
      </w:r>
      <w:r>
        <w:rPr/>
        <w:t>2</w:t>
      </w:r>
      <w:r>
        <w:rPr>
          <w:spacing w:val="1"/>
        </w:rPr>
        <w:t> </w:t>
      </w:r>
      <w:r>
        <w:rPr/>
        <w:t>Southern</w:t>
      </w:r>
      <w:r>
        <w:rPr>
          <w:spacing w:val="1"/>
        </w:rPr>
        <w:t> </w:t>
      </w:r>
      <w:r>
        <w:rPr/>
        <w:t>pine</w:t>
      </w:r>
      <w:r>
        <w:rPr>
          <w:spacing w:val="1"/>
        </w:rPr>
        <w:t> </w:t>
      </w:r>
      <w:r>
        <w:rPr/>
        <w:t>lumber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all</w:t>
      </w:r>
      <w:r>
        <w:rPr>
          <w:spacing w:val="1"/>
        </w:rPr>
        <w:t> </w:t>
      </w:r>
      <w:r>
        <w:rPr/>
        <w:t>parallel</w:t>
      </w:r>
      <w:r>
        <w:rPr>
          <w:spacing w:val="1"/>
        </w:rPr>
        <w:t> </w:t>
      </w:r>
      <w:r>
        <w:rPr/>
        <w:t>layers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No.</w:t>
      </w:r>
      <w:r>
        <w:rPr>
          <w:spacing w:val="1"/>
        </w:rPr>
        <w:t> </w:t>
      </w:r>
      <w:r>
        <w:rPr/>
        <w:t>3</w:t>
      </w:r>
      <w:r>
        <w:rPr>
          <w:spacing w:val="1"/>
        </w:rPr>
        <w:t> </w:t>
      </w:r>
      <w:r>
        <w:rPr/>
        <w:t>Southern</w:t>
      </w:r>
      <w:r>
        <w:rPr>
          <w:spacing w:val="1"/>
        </w:rPr>
        <w:t> </w:t>
      </w:r>
      <w:r>
        <w:rPr/>
        <w:t>pine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all</w:t>
      </w:r>
      <w:r>
        <w:rPr>
          <w:spacing w:val="1"/>
        </w:rPr>
        <w:t> </w:t>
      </w:r>
      <w:r>
        <w:rPr/>
        <w:t>perpendicular</w:t>
      </w:r>
      <w:r>
        <w:rPr>
          <w:spacing w:val="-9"/>
        </w:rPr>
        <w:t> </w:t>
      </w:r>
      <w:r>
        <w:rPr/>
        <w:t>layers.</w:t>
      </w:r>
      <w:r>
        <w:rPr>
          <w:spacing w:val="42"/>
        </w:rPr>
        <w:t> </w:t>
      </w:r>
      <w:r>
        <w:rPr/>
        <w:t>The</w:t>
      </w:r>
      <w:r>
        <w:rPr>
          <w:spacing w:val="-9"/>
        </w:rPr>
        <w:t> </w:t>
      </w:r>
      <w:r>
        <w:rPr/>
        <w:t>specimen</w:t>
      </w:r>
      <w:r>
        <w:rPr>
          <w:spacing w:val="-9"/>
        </w:rPr>
        <w:t> </w:t>
      </w:r>
      <w:r>
        <w:rPr/>
        <w:t>size</w:t>
      </w:r>
      <w:r>
        <w:rPr>
          <w:spacing w:val="-8"/>
        </w:rPr>
        <w:t> </w:t>
      </w:r>
      <w:r>
        <w:rPr/>
        <w:t>was</w:t>
      </w:r>
      <w:r>
        <w:rPr>
          <w:spacing w:val="-10"/>
        </w:rPr>
        <w:t> </w:t>
      </w:r>
      <w:r>
        <w:rPr/>
        <w:t>limited</w:t>
      </w:r>
      <w:r>
        <w:rPr>
          <w:spacing w:val="-10"/>
        </w:rPr>
        <w:t> </w:t>
      </w:r>
      <w:r>
        <w:rPr/>
        <w:t>by</w:t>
      </w:r>
      <w:r>
        <w:rPr>
          <w:spacing w:val="-9"/>
        </w:rPr>
        <w:t> </w:t>
      </w:r>
      <w:r>
        <w:rPr/>
        <w:t>press</w:t>
      </w:r>
      <w:r>
        <w:rPr>
          <w:spacing w:val="-10"/>
        </w:rPr>
        <w:t> </w:t>
      </w:r>
      <w:r>
        <w:rPr/>
        <w:t>capability,</w:t>
      </w:r>
      <w:r>
        <w:rPr>
          <w:spacing w:val="-9"/>
        </w:rPr>
        <w:t> </w:t>
      </w:r>
      <w:r>
        <w:rPr/>
        <w:t>as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largest</w:t>
      </w:r>
      <w:r>
        <w:rPr>
          <w:spacing w:val="-9"/>
        </w:rPr>
        <w:t> </w:t>
      </w:r>
      <w:r>
        <w:rPr/>
        <w:t>size</w:t>
      </w:r>
      <w:r>
        <w:rPr>
          <w:spacing w:val="-58"/>
        </w:rPr>
        <w:t> </w:t>
      </w:r>
      <w:r>
        <w:rPr/>
        <w:t>without bigger equipment that could be made was approximately 14-inches by 14-inches</w:t>
      </w:r>
      <w:r>
        <w:rPr>
          <w:spacing w:val="1"/>
        </w:rPr>
        <w:t> </w:t>
      </w:r>
      <w:r>
        <w:rPr/>
        <w:t>in size.</w:t>
      </w:r>
    </w:p>
    <w:p>
      <w:pPr>
        <w:pStyle w:val="BodyText"/>
        <w:spacing w:line="480" w:lineRule="auto" w:before="160"/>
        <w:ind w:left="439" w:right="416" w:firstLine="720"/>
        <w:jc w:val="both"/>
      </w:pPr>
      <w:r>
        <w:rPr/>
        <w:t>Two types of ballistic data were gathered depending on the effect of the shot.</w:t>
      </w:r>
      <w:r>
        <w:rPr>
          <w:spacing w:val="60"/>
        </w:rPr>
        <w:t> </w:t>
      </w:r>
      <w:r>
        <w:rPr/>
        <w:t>If</w:t>
      </w:r>
      <w:r>
        <w:rPr>
          <w:spacing w:val="1"/>
        </w:rPr>
        <w:t> </w:t>
      </w:r>
      <w:r>
        <w:rPr>
          <w:spacing w:val="-1"/>
          <w:position w:val="1"/>
        </w:rPr>
        <w:t>the</w:t>
      </w:r>
      <w:r>
        <w:rPr>
          <w:spacing w:val="-13"/>
          <w:position w:val="1"/>
        </w:rPr>
        <w:t> </w:t>
      </w:r>
      <w:r>
        <w:rPr>
          <w:spacing w:val="-1"/>
          <w:position w:val="1"/>
        </w:rPr>
        <w:t>projectile</w:t>
      </w:r>
      <w:r>
        <w:rPr>
          <w:spacing w:val="-13"/>
          <w:position w:val="1"/>
        </w:rPr>
        <w:t> </w:t>
      </w:r>
      <w:r>
        <w:rPr>
          <w:spacing w:val="-1"/>
          <w:position w:val="1"/>
        </w:rPr>
        <w:t>perforated</w:t>
      </w:r>
      <w:r>
        <w:rPr>
          <w:spacing w:val="-15"/>
          <w:position w:val="1"/>
        </w:rPr>
        <w:t> </w:t>
      </w:r>
      <w:r>
        <w:rPr>
          <w:position w:val="1"/>
        </w:rPr>
        <w:t>the</w:t>
      </w:r>
      <w:r>
        <w:rPr>
          <w:spacing w:val="-12"/>
          <w:position w:val="1"/>
        </w:rPr>
        <w:t> </w:t>
      </w:r>
      <w:r>
        <w:rPr>
          <w:position w:val="1"/>
        </w:rPr>
        <w:t>CLT</w:t>
      </w:r>
      <w:r>
        <w:rPr>
          <w:spacing w:val="-14"/>
          <w:position w:val="1"/>
        </w:rPr>
        <w:t> </w:t>
      </w:r>
      <w:r>
        <w:rPr>
          <w:position w:val="1"/>
        </w:rPr>
        <w:t>specimen,</w:t>
      </w:r>
      <w:r>
        <w:rPr>
          <w:spacing w:val="-14"/>
          <w:position w:val="1"/>
        </w:rPr>
        <w:t> </w:t>
      </w:r>
      <w:r>
        <w:rPr>
          <w:position w:val="1"/>
        </w:rPr>
        <w:t>then</w:t>
      </w:r>
      <w:r>
        <w:rPr>
          <w:spacing w:val="-15"/>
          <w:position w:val="1"/>
        </w:rPr>
        <w:t> </w:t>
      </w:r>
      <w:r>
        <w:rPr>
          <w:position w:val="1"/>
        </w:rPr>
        <w:t>a</w:t>
      </w:r>
      <w:r>
        <w:rPr>
          <w:spacing w:val="-12"/>
          <w:position w:val="1"/>
        </w:rPr>
        <w:t> </w:t>
      </w:r>
      <w:r>
        <w:rPr>
          <w:position w:val="1"/>
        </w:rPr>
        <w:t>residual</w:t>
      </w:r>
      <w:r>
        <w:rPr>
          <w:spacing w:val="-13"/>
          <w:position w:val="1"/>
        </w:rPr>
        <w:t> </w:t>
      </w:r>
      <w:r>
        <w:rPr>
          <w:position w:val="1"/>
        </w:rPr>
        <w:t>velocity</w:t>
      </w:r>
      <w:r>
        <w:rPr>
          <w:spacing w:val="-14"/>
          <w:position w:val="1"/>
        </w:rPr>
        <w:t> </w:t>
      </w:r>
      <w:r>
        <w:rPr>
          <w:position w:val="1"/>
        </w:rPr>
        <w:t>(</w:t>
      </w:r>
      <w:r>
        <w:rPr>
          <w:i/>
          <w:position w:val="1"/>
        </w:rPr>
        <w:t>v</w:t>
      </w:r>
      <w:r>
        <w:rPr>
          <w:i/>
          <w:sz w:val="16"/>
        </w:rPr>
        <w:t>r</w:t>
      </w:r>
      <w:r>
        <w:rPr>
          <w:position w:val="1"/>
        </w:rPr>
        <w:t>)</w:t>
      </w:r>
      <w:r>
        <w:rPr>
          <w:spacing w:val="-14"/>
          <w:position w:val="1"/>
        </w:rPr>
        <w:t> </w:t>
      </w:r>
      <w:r>
        <w:rPr>
          <w:position w:val="1"/>
        </w:rPr>
        <w:t>was</w:t>
      </w:r>
      <w:r>
        <w:rPr>
          <w:spacing w:val="-12"/>
          <w:position w:val="1"/>
        </w:rPr>
        <w:t> </w:t>
      </w:r>
      <w:r>
        <w:rPr>
          <w:position w:val="1"/>
        </w:rPr>
        <w:t>recorded</w:t>
      </w:r>
      <w:r>
        <w:rPr>
          <w:spacing w:val="-16"/>
          <w:position w:val="1"/>
        </w:rPr>
        <w:t> </w:t>
      </w:r>
      <w:r>
        <w:rPr>
          <w:position w:val="1"/>
        </w:rPr>
        <w:t>based</w:t>
      </w:r>
      <w:r>
        <w:rPr>
          <w:spacing w:val="-58"/>
          <w:position w:val="1"/>
        </w:rPr>
        <w:t> </w:t>
      </w:r>
      <w:r>
        <w:rPr/>
        <w:t>on the high-speed video capturing the round exiting the back face of the specimen.</w:t>
      </w:r>
      <w:r>
        <w:rPr>
          <w:spacing w:val="1"/>
        </w:rPr>
        <w:t> </w:t>
      </w:r>
      <w:r>
        <w:rPr/>
        <w:t>If the</w:t>
      </w:r>
      <w:r>
        <w:rPr>
          <w:spacing w:val="1"/>
        </w:rPr>
        <w:t> </w:t>
      </w:r>
      <w:r>
        <w:rPr/>
        <w:t>shot was a partial penetration and the projectile remained embedded in the specimen then</w:t>
      </w:r>
      <w:r>
        <w:rPr>
          <w:spacing w:val="1"/>
        </w:rPr>
        <w:t> </w:t>
      </w:r>
      <w:r>
        <w:rPr>
          <w:position w:val="1"/>
        </w:rPr>
        <w:t>the depth of penetration (</w:t>
      </w:r>
      <w:r>
        <w:rPr>
          <w:i/>
          <w:position w:val="1"/>
        </w:rPr>
        <w:t>T</w:t>
      </w:r>
      <w:r>
        <w:rPr>
          <w:i/>
          <w:sz w:val="16"/>
        </w:rPr>
        <w:t>w</w:t>
      </w:r>
      <w:r>
        <w:rPr>
          <w:position w:val="1"/>
        </w:rPr>
        <w:t>) was recorded. The breakdown of number of shots by species</w:t>
      </w:r>
      <w:r>
        <w:rPr>
          <w:spacing w:val="-57"/>
          <w:position w:val="1"/>
        </w:rPr>
        <w:t> </w:t>
      </w:r>
      <w:r>
        <w:rPr/>
        <w:t>type, munition, and type of data gathered is shown in </w:t>
      </w:r>
      <w:hyperlink w:history="true" w:anchor="_bookmark58">
        <w:r>
          <w:rPr/>
          <w:t>Table 5-4</w:t>
        </w:r>
      </w:hyperlink>
      <w:r>
        <w:rPr/>
        <w:t>.</w:t>
      </w:r>
      <w:r>
        <w:rPr>
          <w:spacing w:val="1"/>
        </w:rPr>
        <w:t> </w:t>
      </w:r>
      <w:r>
        <w:rPr/>
        <w:t>The specifications and</w:t>
      </w:r>
      <w:r>
        <w:rPr>
          <w:spacing w:val="1"/>
        </w:rPr>
        <w:t> </w:t>
      </w:r>
      <w:r>
        <w:rPr/>
        <w:t>results for each test including, dimensions, weight, moisture content, and striking velocity</w:t>
      </w:r>
      <w:r>
        <w:rPr>
          <w:spacing w:val="-57"/>
        </w:rPr>
        <w:t> </w:t>
      </w:r>
      <w:r>
        <w:rPr/>
        <w:t>are</w:t>
      </w:r>
      <w:r>
        <w:rPr>
          <w:spacing w:val="-12"/>
        </w:rPr>
        <w:t> </w:t>
      </w:r>
      <w:r>
        <w:rPr/>
        <w:t>documented</w:t>
      </w:r>
      <w:r>
        <w:rPr>
          <w:spacing w:val="-13"/>
        </w:rPr>
        <w:t> </w:t>
      </w:r>
      <w:r>
        <w:rPr/>
        <w:t>in</w:t>
      </w:r>
      <w:r>
        <w:rPr>
          <w:spacing w:val="-11"/>
        </w:rPr>
        <w:t> </w:t>
      </w:r>
      <w:r>
        <w:rPr/>
        <w:t>Appendix</w:t>
      </w:r>
      <w:r>
        <w:rPr>
          <w:spacing w:val="-12"/>
        </w:rPr>
        <w:t> </w:t>
      </w:r>
      <w:r>
        <w:rPr/>
        <w:t>A.</w:t>
      </w:r>
      <w:r>
        <w:rPr>
          <w:spacing w:val="38"/>
        </w:rPr>
        <w:t> </w:t>
      </w:r>
      <w:r>
        <w:rPr/>
        <w:t>Analysis</w:t>
      </w:r>
      <w:r>
        <w:rPr>
          <w:spacing w:val="-11"/>
        </w:rPr>
        <w:t> </w:t>
      </w:r>
      <w:r>
        <w:rPr/>
        <w:t>of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data</w:t>
      </w:r>
      <w:r>
        <w:rPr>
          <w:spacing w:val="-12"/>
        </w:rPr>
        <w:t> </w:t>
      </w:r>
      <w:r>
        <w:rPr/>
        <w:t>is</w:t>
      </w:r>
      <w:r>
        <w:rPr>
          <w:spacing w:val="-12"/>
        </w:rPr>
        <w:t> </w:t>
      </w:r>
      <w:r>
        <w:rPr/>
        <w:t>presented</w:t>
      </w:r>
      <w:r>
        <w:rPr>
          <w:spacing w:val="-12"/>
        </w:rPr>
        <w:t> </w:t>
      </w:r>
      <w:r>
        <w:rPr/>
        <w:t>in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following</w:t>
      </w:r>
      <w:r>
        <w:rPr>
          <w:spacing w:val="-12"/>
        </w:rPr>
        <w:t> </w:t>
      </w:r>
      <w:r>
        <w:rPr/>
        <w:t>sections.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spacing w:before="79"/>
        <w:ind w:left="440" w:right="0" w:firstLine="0"/>
        <w:jc w:val="left"/>
        <w:rPr>
          <w:i/>
          <w:sz w:val="24"/>
        </w:rPr>
      </w:pPr>
      <w:bookmarkStart w:name="_bookmark58" w:id="263"/>
      <w:bookmarkEnd w:id="263"/>
      <w:r>
        <w:rPr/>
      </w:r>
      <w:r>
        <w:rPr>
          <w:i/>
          <w:sz w:val="24"/>
        </w:rPr>
        <w:t>Table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5-4.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Breakdown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number 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ballistic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tests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by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munition,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species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data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gathered.</w:t>
      </w:r>
    </w:p>
    <w:p>
      <w:pPr>
        <w:pStyle w:val="BodyText"/>
        <w:spacing w:before="5" w:after="1"/>
        <w:rPr>
          <w:i/>
          <w:sz w:val="17"/>
        </w:rPr>
      </w:pPr>
    </w:p>
    <w:tbl>
      <w:tblPr>
        <w:tblW w:w="0" w:type="auto"/>
        <w:jc w:val="left"/>
        <w:tblInd w:w="4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65"/>
        <w:gridCol w:w="1350"/>
        <w:gridCol w:w="1080"/>
        <w:gridCol w:w="810"/>
        <w:gridCol w:w="1350"/>
        <w:gridCol w:w="1080"/>
        <w:gridCol w:w="810"/>
        <w:gridCol w:w="985"/>
      </w:tblGrid>
      <w:tr>
        <w:trPr>
          <w:trHeight w:val="289" w:hRule="atLeast"/>
        </w:trPr>
        <w:tc>
          <w:tcPr>
            <w:tcW w:w="1165" w:type="dxa"/>
            <w:vMerge w:val="restart"/>
            <w:shd w:val="clear" w:color="auto" w:fill="DADADA"/>
          </w:tcPr>
          <w:p>
            <w:pPr>
              <w:pStyle w:val="TableParagraph"/>
              <w:spacing w:before="11"/>
              <w:rPr>
                <w:i/>
                <w:sz w:val="27"/>
              </w:rPr>
            </w:pPr>
          </w:p>
          <w:p>
            <w:pPr>
              <w:pStyle w:val="TableParagraph"/>
              <w:ind w:left="159" w:right="143" w:firstLine="55"/>
              <w:rPr>
                <w:sz w:val="24"/>
              </w:rPr>
            </w:pPr>
            <w:r>
              <w:rPr>
                <w:sz w:val="24"/>
              </w:rPr>
              <w:t>Species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Wood</w:t>
            </w:r>
          </w:p>
        </w:tc>
        <w:tc>
          <w:tcPr>
            <w:tcW w:w="3240" w:type="dxa"/>
            <w:gridSpan w:val="3"/>
            <w:shd w:val="clear" w:color="auto" w:fill="DADADA"/>
          </w:tcPr>
          <w:p>
            <w:pPr>
              <w:pStyle w:val="TableParagraph"/>
              <w:spacing w:line="258" w:lineRule="exact" w:before="12"/>
              <w:ind w:left="999"/>
              <w:rPr>
                <w:sz w:val="24"/>
              </w:rPr>
            </w:pPr>
            <w:r>
              <w:rPr>
                <w:sz w:val="24"/>
              </w:rPr>
              <w:t>0.50-cal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FSP</w:t>
            </w:r>
          </w:p>
        </w:tc>
        <w:tc>
          <w:tcPr>
            <w:tcW w:w="3240" w:type="dxa"/>
            <w:gridSpan w:val="3"/>
            <w:shd w:val="clear" w:color="auto" w:fill="DADADA"/>
          </w:tcPr>
          <w:p>
            <w:pPr>
              <w:pStyle w:val="TableParagraph"/>
              <w:spacing w:line="258" w:lineRule="exact" w:before="12"/>
              <w:ind w:left="1073"/>
              <w:rPr>
                <w:sz w:val="24"/>
              </w:rPr>
            </w:pPr>
            <w:r>
              <w:rPr>
                <w:sz w:val="24"/>
              </w:rPr>
              <w:t>1/2"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sphere</w:t>
            </w:r>
          </w:p>
        </w:tc>
        <w:tc>
          <w:tcPr>
            <w:tcW w:w="985" w:type="dxa"/>
            <w:vMerge w:val="restart"/>
            <w:shd w:val="clear" w:color="auto" w:fill="DADADA"/>
          </w:tcPr>
          <w:p>
            <w:pPr>
              <w:pStyle w:val="TableParagraph"/>
              <w:spacing w:before="45"/>
              <w:ind w:left="126" w:right="112" w:hanging="2"/>
              <w:jc w:val="center"/>
              <w:rPr>
                <w:sz w:val="24"/>
              </w:rPr>
            </w:pPr>
            <w:r>
              <w:rPr>
                <w:sz w:val="24"/>
              </w:rPr>
              <w:t>Overall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Total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Species</w:t>
            </w:r>
          </w:p>
        </w:tc>
      </w:tr>
      <w:tr>
        <w:trPr>
          <w:trHeight w:val="899" w:hRule="atLeast"/>
        </w:trPr>
        <w:tc>
          <w:tcPr>
            <w:tcW w:w="1165" w:type="dxa"/>
            <w:vMerge/>
            <w:tcBorders>
              <w:top w:val="nil"/>
            </w:tcBorders>
            <w:shd w:val="clear" w:color="auto" w:fill="DADADA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50" w:type="dxa"/>
            <w:shd w:val="clear" w:color="auto" w:fill="DADADA"/>
          </w:tcPr>
          <w:p>
            <w:pPr>
              <w:pStyle w:val="TableParagraph"/>
              <w:spacing w:before="33"/>
              <w:ind w:left="127" w:right="116" w:firstLine="1"/>
              <w:jc w:val="center"/>
              <w:rPr>
                <w:sz w:val="24"/>
              </w:rPr>
            </w:pPr>
            <w:r>
              <w:rPr>
                <w:sz w:val="24"/>
              </w:rPr>
              <w:t>Depth 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Penetration</w:t>
            </w:r>
            <w:r>
              <w:rPr>
                <w:spacing w:val="-57"/>
                <w:sz w:val="24"/>
              </w:rPr>
              <w:t> </w:t>
            </w:r>
            <w:r>
              <w:rPr>
                <w:position w:val="1"/>
                <w:sz w:val="24"/>
              </w:rPr>
              <w:t>(T</w:t>
            </w:r>
            <w:r>
              <w:rPr>
                <w:sz w:val="16"/>
              </w:rPr>
              <w:t>w</w:t>
            </w:r>
            <w:r>
              <w:rPr>
                <w:position w:val="1"/>
                <w:sz w:val="24"/>
              </w:rPr>
              <w:t>)</w:t>
            </w:r>
          </w:p>
        </w:tc>
        <w:tc>
          <w:tcPr>
            <w:tcW w:w="1080" w:type="dxa"/>
            <w:shd w:val="clear" w:color="auto" w:fill="DADADA"/>
          </w:tcPr>
          <w:p>
            <w:pPr>
              <w:pStyle w:val="TableParagraph"/>
              <w:spacing w:before="33"/>
              <w:ind w:left="118" w:right="108"/>
              <w:jc w:val="center"/>
              <w:rPr>
                <w:sz w:val="24"/>
              </w:rPr>
            </w:pPr>
            <w:r>
              <w:rPr>
                <w:sz w:val="24"/>
              </w:rPr>
              <w:t>Residual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Velocity</w:t>
            </w:r>
            <w:r>
              <w:rPr>
                <w:spacing w:val="-57"/>
                <w:sz w:val="24"/>
              </w:rPr>
              <w:t> </w:t>
            </w:r>
            <w:r>
              <w:rPr>
                <w:position w:val="1"/>
                <w:sz w:val="24"/>
              </w:rPr>
              <w:t>(v</w:t>
            </w:r>
            <w:r>
              <w:rPr>
                <w:sz w:val="16"/>
              </w:rPr>
              <w:t>r</w:t>
            </w:r>
            <w:r>
              <w:rPr>
                <w:position w:val="1"/>
                <w:sz w:val="24"/>
              </w:rPr>
              <w:t>)</w:t>
            </w:r>
          </w:p>
        </w:tc>
        <w:tc>
          <w:tcPr>
            <w:tcW w:w="810" w:type="dxa"/>
            <w:shd w:val="clear" w:color="auto" w:fill="DADADA"/>
          </w:tcPr>
          <w:p>
            <w:pPr>
              <w:pStyle w:val="TableParagraph"/>
              <w:spacing w:before="171"/>
              <w:ind w:left="265" w:right="122" w:hanging="114"/>
              <w:rPr>
                <w:sz w:val="24"/>
              </w:rPr>
            </w:pPr>
            <w:r>
              <w:rPr>
                <w:sz w:val="24"/>
              </w:rPr>
              <w:t>Total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(n)</w:t>
            </w:r>
          </w:p>
        </w:tc>
        <w:tc>
          <w:tcPr>
            <w:tcW w:w="1350" w:type="dxa"/>
            <w:shd w:val="clear" w:color="auto" w:fill="DADADA"/>
          </w:tcPr>
          <w:p>
            <w:pPr>
              <w:pStyle w:val="TableParagraph"/>
              <w:spacing w:before="33"/>
              <w:ind w:left="127" w:right="116" w:firstLine="1"/>
              <w:jc w:val="center"/>
              <w:rPr>
                <w:sz w:val="24"/>
              </w:rPr>
            </w:pPr>
            <w:r>
              <w:rPr>
                <w:sz w:val="24"/>
              </w:rPr>
              <w:t>Depth 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Penetration</w:t>
            </w:r>
            <w:r>
              <w:rPr>
                <w:spacing w:val="-57"/>
                <w:sz w:val="24"/>
              </w:rPr>
              <w:t> </w:t>
            </w:r>
            <w:r>
              <w:rPr>
                <w:position w:val="1"/>
                <w:sz w:val="24"/>
              </w:rPr>
              <w:t>(T</w:t>
            </w:r>
            <w:r>
              <w:rPr>
                <w:sz w:val="16"/>
              </w:rPr>
              <w:t>w</w:t>
            </w:r>
            <w:r>
              <w:rPr>
                <w:position w:val="1"/>
                <w:sz w:val="24"/>
              </w:rPr>
              <w:t>)</w:t>
            </w:r>
          </w:p>
        </w:tc>
        <w:tc>
          <w:tcPr>
            <w:tcW w:w="1080" w:type="dxa"/>
            <w:shd w:val="clear" w:color="auto" w:fill="DADADA"/>
          </w:tcPr>
          <w:p>
            <w:pPr>
              <w:pStyle w:val="TableParagraph"/>
              <w:spacing w:before="33"/>
              <w:ind w:left="118" w:right="108"/>
              <w:jc w:val="center"/>
              <w:rPr>
                <w:sz w:val="24"/>
              </w:rPr>
            </w:pPr>
            <w:r>
              <w:rPr>
                <w:sz w:val="24"/>
              </w:rPr>
              <w:t>Residual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Velocity</w:t>
            </w:r>
            <w:r>
              <w:rPr>
                <w:spacing w:val="-57"/>
                <w:sz w:val="24"/>
              </w:rPr>
              <w:t> </w:t>
            </w:r>
            <w:r>
              <w:rPr>
                <w:position w:val="1"/>
                <w:sz w:val="24"/>
              </w:rPr>
              <w:t>(v</w:t>
            </w:r>
            <w:r>
              <w:rPr>
                <w:sz w:val="16"/>
              </w:rPr>
              <w:t>r</w:t>
            </w:r>
            <w:r>
              <w:rPr>
                <w:position w:val="1"/>
                <w:sz w:val="24"/>
              </w:rPr>
              <w:t>)</w:t>
            </w:r>
          </w:p>
        </w:tc>
        <w:tc>
          <w:tcPr>
            <w:tcW w:w="810" w:type="dxa"/>
            <w:shd w:val="clear" w:color="auto" w:fill="DADADA"/>
          </w:tcPr>
          <w:p>
            <w:pPr>
              <w:pStyle w:val="TableParagraph"/>
              <w:spacing w:before="171"/>
              <w:ind w:left="265" w:right="122" w:hanging="114"/>
              <w:rPr>
                <w:sz w:val="24"/>
              </w:rPr>
            </w:pPr>
            <w:r>
              <w:rPr>
                <w:sz w:val="24"/>
              </w:rPr>
              <w:t>Total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(n)</w:t>
            </w:r>
          </w:p>
        </w:tc>
        <w:tc>
          <w:tcPr>
            <w:tcW w:w="985" w:type="dxa"/>
            <w:vMerge/>
            <w:tcBorders>
              <w:top w:val="nil"/>
            </w:tcBorders>
            <w:shd w:val="clear" w:color="auto" w:fill="DADADA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827" w:hRule="atLeast"/>
        </w:trPr>
        <w:tc>
          <w:tcPr>
            <w:tcW w:w="1165" w:type="dxa"/>
          </w:tcPr>
          <w:p>
            <w:pPr>
              <w:pStyle w:val="TableParagraph"/>
              <w:ind w:left="350" w:right="95" w:hanging="161"/>
              <w:jc w:val="right"/>
              <w:rPr>
                <w:sz w:val="24"/>
              </w:rPr>
            </w:pPr>
            <w:r>
              <w:rPr>
                <w:sz w:val="24"/>
              </w:rPr>
              <w:t>Southern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Yellow</w:t>
            </w:r>
          </w:p>
          <w:p>
            <w:pPr>
              <w:pStyle w:val="TableParagraph"/>
              <w:spacing w:line="258" w:lineRule="exact"/>
              <w:ind w:right="96"/>
              <w:jc w:val="right"/>
              <w:rPr>
                <w:sz w:val="24"/>
              </w:rPr>
            </w:pPr>
            <w:r>
              <w:rPr>
                <w:sz w:val="24"/>
              </w:rPr>
              <w:t>Pine</w:t>
            </w:r>
          </w:p>
        </w:tc>
        <w:tc>
          <w:tcPr>
            <w:tcW w:w="1350" w:type="dxa"/>
          </w:tcPr>
          <w:p>
            <w:pPr>
              <w:pStyle w:val="TableParagraph"/>
              <w:spacing w:before="9"/>
              <w:rPr>
                <w:i/>
                <w:sz w:val="23"/>
              </w:rPr>
            </w:pPr>
          </w:p>
          <w:p>
            <w:pPr>
              <w:pStyle w:val="TableParagraph"/>
              <w:ind w:left="61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080" w:type="dxa"/>
          </w:tcPr>
          <w:p>
            <w:pPr>
              <w:pStyle w:val="TableParagraph"/>
              <w:spacing w:before="9"/>
              <w:rPr>
                <w:i/>
                <w:sz w:val="23"/>
              </w:rPr>
            </w:pPr>
          </w:p>
          <w:p>
            <w:pPr>
              <w:pStyle w:val="TableParagraph"/>
              <w:ind w:left="118" w:right="108"/>
              <w:jc w:val="center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810" w:type="dxa"/>
          </w:tcPr>
          <w:p>
            <w:pPr>
              <w:pStyle w:val="TableParagraph"/>
              <w:spacing w:before="9"/>
              <w:rPr>
                <w:i/>
                <w:sz w:val="23"/>
              </w:rPr>
            </w:pPr>
          </w:p>
          <w:p>
            <w:pPr>
              <w:pStyle w:val="TableParagraph"/>
              <w:ind w:right="273"/>
              <w:jc w:val="right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350" w:type="dxa"/>
          </w:tcPr>
          <w:p>
            <w:pPr>
              <w:pStyle w:val="TableParagraph"/>
              <w:spacing w:before="9"/>
              <w:rPr>
                <w:i/>
                <w:sz w:val="23"/>
              </w:rPr>
            </w:pPr>
          </w:p>
          <w:p>
            <w:pPr>
              <w:pStyle w:val="TableParagraph"/>
              <w:ind w:left="534" w:right="526"/>
              <w:jc w:val="center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  <w:tc>
          <w:tcPr>
            <w:tcW w:w="1080" w:type="dxa"/>
          </w:tcPr>
          <w:p>
            <w:pPr>
              <w:pStyle w:val="TableParagraph"/>
              <w:spacing w:before="9"/>
              <w:rPr>
                <w:i/>
                <w:sz w:val="23"/>
              </w:rPr>
            </w:pPr>
          </w:p>
          <w:p>
            <w:pPr>
              <w:pStyle w:val="TableParagraph"/>
              <w:ind w:left="420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810" w:type="dxa"/>
          </w:tcPr>
          <w:p>
            <w:pPr>
              <w:pStyle w:val="TableParagraph"/>
              <w:spacing w:before="9"/>
              <w:rPr>
                <w:i/>
                <w:sz w:val="23"/>
              </w:rPr>
            </w:pPr>
          </w:p>
          <w:p>
            <w:pPr>
              <w:pStyle w:val="TableParagraph"/>
              <w:ind w:right="273"/>
              <w:jc w:val="right"/>
              <w:rPr>
                <w:sz w:val="24"/>
              </w:rPr>
            </w:pPr>
            <w:r>
              <w:rPr>
                <w:sz w:val="24"/>
              </w:rPr>
              <w:t>54</w:t>
            </w:r>
          </w:p>
        </w:tc>
        <w:tc>
          <w:tcPr>
            <w:tcW w:w="985" w:type="dxa"/>
          </w:tcPr>
          <w:p>
            <w:pPr>
              <w:pStyle w:val="TableParagraph"/>
              <w:spacing w:before="9"/>
              <w:rPr>
                <w:i/>
                <w:sz w:val="23"/>
              </w:rPr>
            </w:pPr>
          </w:p>
          <w:p>
            <w:pPr>
              <w:pStyle w:val="TableParagraph"/>
              <w:ind w:left="292" w:right="283"/>
              <w:jc w:val="center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</w:tr>
      <w:tr>
        <w:trPr>
          <w:trHeight w:val="828" w:hRule="atLeast"/>
        </w:trPr>
        <w:tc>
          <w:tcPr>
            <w:tcW w:w="1165" w:type="dxa"/>
          </w:tcPr>
          <w:p>
            <w:pPr>
              <w:pStyle w:val="TableParagraph"/>
              <w:ind w:left="148" w:right="79" w:firstLine="241"/>
              <w:rPr>
                <w:sz w:val="24"/>
              </w:rPr>
            </w:pPr>
            <w:r>
              <w:rPr>
                <w:sz w:val="24"/>
              </w:rPr>
              <w:t>Spruce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Pine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Fir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-</w:t>
            </w:r>
          </w:p>
          <w:p>
            <w:pPr>
              <w:pStyle w:val="TableParagraph"/>
              <w:spacing w:line="258" w:lineRule="exact"/>
              <w:ind w:left="496"/>
              <w:rPr>
                <w:sz w:val="24"/>
              </w:rPr>
            </w:pPr>
            <w:r>
              <w:rPr>
                <w:sz w:val="24"/>
              </w:rPr>
              <w:t>South</w:t>
            </w:r>
          </w:p>
        </w:tc>
        <w:tc>
          <w:tcPr>
            <w:tcW w:w="1350" w:type="dxa"/>
          </w:tcPr>
          <w:p>
            <w:pPr>
              <w:pStyle w:val="TableParagraph"/>
              <w:spacing w:before="10"/>
              <w:rPr>
                <w:i/>
                <w:sz w:val="23"/>
              </w:rPr>
            </w:pPr>
          </w:p>
          <w:p>
            <w:pPr>
              <w:pStyle w:val="TableParagraph"/>
              <w:ind w:left="61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080" w:type="dxa"/>
          </w:tcPr>
          <w:p>
            <w:pPr>
              <w:pStyle w:val="TableParagraph"/>
              <w:spacing w:before="10"/>
              <w:rPr>
                <w:i/>
                <w:sz w:val="23"/>
              </w:rPr>
            </w:pPr>
          </w:p>
          <w:p>
            <w:pPr>
              <w:pStyle w:val="TableParagraph"/>
              <w:ind w:left="118" w:right="108"/>
              <w:jc w:val="center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810" w:type="dxa"/>
          </w:tcPr>
          <w:p>
            <w:pPr>
              <w:pStyle w:val="TableParagraph"/>
              <w:spacing w:before="10"/>
              <w:rPr>
                <w:i/>
                <w:sz w:val="23"/>
              </w:rPr>
            </w:pPr>
          </w:p>
          <w:p>
            <w:pPr>
              <w:pStyle w:val="TableParagraph"/>
              <w:ind w:right="273"/>
              <w:jc w:val="right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1350" w:type="dxa"/>
          </w:tcPr>
          <w:p>
            <w:pPr>
              <w:pStyle w:val="TableParagraph"/>
              <w:spacing w:before="10"/>
              <w:rPr>
                <w:i/>
                <w:sz w:val="23"/>
              </w:rPr>
            </w:pPr>
          </w:p>
          <w:p>
            <w:pPr>
              <w:pStyle w:val="TableParagraph"/>
              <w:ind w:left="534" w:right="526"/>
              <w:jc w:val="center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1080" w:type="dxa"/>
          </w:tcPr>
          <w:p>
            <w:pPr>
              <w:pStyle w:val="TableParagraph"/>
              <w:spacing w:before="10"/>
              <w:rPr>
                <w:i/>
                <w:sz w:val="23"/>
              </w:rPr>
            </w:pPr>
          </w:p>
          <w:p>
            <w:pPr>
              <w:pStyle w:val="TableParagraph"/>
              <w:ind w:left="420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  <w:tc>
          <w:tcPr>
            <w:tcW w:w="810" w:type="dxa"/>
          </w:tcPr>
          <w:p>
            <w:pPr>
              <w:pStyle w:val="TableParagraph"/>
              <w:spacing w:before="10"/>
              <w:rPr>
                <w:i/>
                <w:sz w:val="23"/>
              </w:rPr>
            </w:pPr>
          </w:p>
          <w:p>
            <w:pPr>
              <w:pStyle w:val="TableParagraph"/>
              <w:ind w:right="273"/>
              <w:jc w:val="right"/>
              <w:rPr>
                <w:sz w:val="24"/>
              </w:rPr>
            </w:pPr>
            <w:r>
              <w:rPr>
                <w:sz w:val="24"/>
              </w:rPr>
              <w:t>62</w:t>
            </w:r>
          </w:p>
        </w:tc>
        <w:tc>
          <w:tcPr>
            <w:tcW w:w="985" w:type="dxa"/>
          </w:tcPr>
          <w:p>
            <w:pPr>
              <w:pStyle w:val="TableParagraph"/>
              <w:spacing w:before="10"/>
              <w:rPr>
                <w:i/>
                <w:sz w:val="23"/>
              </w:rPr>
            </w:pPr>
          </w:p>
          <w:p>
            <w:pPr>
              <w:pStyle w:val="TableParagraph"/>
              <w:ind w:left="292" w:right="283"/>
              <w:jc w:val="center"/>
              <w:rPr>
                <w:sz w:val="24"/>
              </w:rPr>
            </w:pPr>
            <w:r>
              <w:rPr>
                <w:sz w:val="24"/>
              </w:rPr>
              <w:t>95</w:t>
            </w:r>
          </w:p>
        </w:tc>
      </w:tr>
      <w:tr>
        <w:trPr>
          <w:trHeight w:val="551" w:hRule="atLeast"/>
        </w:trPr>
        <w:tc>
          <w:tcPr>
            <w:tcW w:w="1165" w:type="dxa"/>
          </w:tcPr>
          <w:p>
            <w:pPr>
              <w:pStyle w:val="TableParagraph"/>
              <w:spacing w:line="276" w:lineRule="exact"/>
              <w:ind w:left="163" w:right="78" w:firstLine="86"/>
              <w:rPr>
                <w:sz w:val="24"/>
              </w:rPr>
            </w:pPr>
            <w:r>
              <w:rPr>
                <w:sz w:val="24"/>
              </w:rPr>
              <w:t>Total by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Munition</w:t>
            </w:r>
          </w:p>
        </w:tc>
        <w:tc>
          <w:tcPr>
            <w:tcW w:w="1350" w:type="dxa"/>
          </w:tcPr>
          <w:p>
            <w:pPr>
              <w:pStyle w:val="TableParagraph"/>
              <w:spacing w:before="135"/>
              <w:ind w:left="614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080" w:type="dxa"/>
          </w:tcPr>
          <w:p>
            <w:pPr>
              <w:pStyle w:val="TableParagraph"/>
              <w:spacing w:before="135"/>
              <w:ind w:left="118" w:right="108"/>
              <w:jc w:val="center"/>
              <w:rPr>
                <w:sz w:val="24"/>
              </w:rPr>
            </w:pPr>
            <w:r>
              <w:rPr>
                <w:sz w:val="24"/>
              </w:rPr>
              <w:t>41</w:t>
            </w:r>
          </w:p>
        </w:tc>
        <w:tc>
          <w:tcPr>
            <w:tcW w:w="810" w:type="dxa"/>
          </w:tcPr>
          <w:p>
            <w:pPr>
              <w:pStyle w:val="TableParagraph"/>
              <w:spacing w:before="135"/>
              <w:ind w:right="273"/>
              <w:jc w:val="right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  <w:tc>
          <w:tcPr>
            <w:tcW w:w="1350" w:type="dxa"/>
          </w:tcPr>
          <w:p>
            <w:pPr>
              <w:pStyle w:val="TableParagraph"/>
              <w:spacing w:before="135"/>
              <w:ind w:left="534" w:right="526"/>
              <w:jc w:val="center"/>
              <w:rPr>
                <w:sz w:val="24"/>
              </w:rPr>
            </w:pPr>
            <w:r>
              <w:rPr>
                <w:sz w:val="24"/>
              </w:rPr>
              <w:t>62</w:t>
            </w:r>
          </w:p>
        </w:tc>
        <w:tc>
          <w:tcPr>
            <w:tcW w:w="1080" w:type="dxa"/>
          </w:tcPr>
          <w:p>
            <w:pPr>
              <w:pStyle w:val="TableParagraph"/>
              <w:spacing w:before="135"/>
              <w:ind w:left="420"/>
              <w:rPr>
                <w:sz w:val="24"/>
              </w:rPr>
            </w:pPr>
            <w:r>
              <w:rPr>
                <w:sz w:val="24"/>
              </w:rPr>
              <w:t>54</w:t>
            </w:r>
          </w:p>
        </w:tc>
        <w:tc>
          <w:tcPr>
            <w:tcW w:w="810" w:type="dxa"/>
          </w:tcPr>
          <w:p>
            <w:pPr>
              <w:pStyle w:val="TableParagraph"/>
              <w:spacing w:before="135"/>
              <w:ind w:right="213"/>
              <w:jc w:val="right"/>
              <w:rPr>
                <w:sz w:val="24"/>
              </w:rPr>
            </w:pPr>
            <w:r>
              <w:rPr>
                <w:sz w:val="24"/>
              </w:rPr>
              <w:t>116</w:t>
            </w:r>
          </w:p>
        </w:tc>
        <w:tc>
          <w:tcPr>
            <w:tcW w:w="985" w:type="dxa"/>
          </w:tcPr>
          <w:p>
            <w:pPr>
              <w:pStyle w:val="TableParagraph"/>
              <w:spacing w:before="135"/>
              <w:ind w:left="292" w:right="283"/>
              <w:jc w:val="center"/>
              <w:rPr>
                <w:sz w:val="24"/>
              </w:rPr>
            </w:pPr>
            <w:r>
              <w:rPr>
                <w:sz w:val="24"/>
              </w:rPr>
              <w:t>165</w:t>
            </w:r>
          </w:p>
        </w:tc>
      </w:tr>
    </w:tbl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Heading9"/>
        <w:numPr>
          <w:ilvl w:val="1"/>
          <w:numId w:val="21"/>
        </w:numPr>
        <w:tabs>
          <w:tab w:pos="800" w:val="left" w:leader="none"/>
        </w:tabs>
        <w:spacing w:line="240" w:lineRule="auto" w:before="234" w:after="0"/>
        <w:ind w:left="800" w:right="0" w:hanging="360"/>
        <w:jc w:val="both"/>
      </w:pPr>
      <w:bookmarkStart w:name="_TOC_250031" w:id="264"/>
      <w:bookmarkStart w:name="5.5 Depth of penetration data analysis" w:id="265"/>
      <w:r>
        <w:rPr>
          <w:b w:val="0"/>
        </w:rPr>
      </w:r>
      <w:bookmarkEnd w:id="265"/>
      <w:bookmarkStart w:name="5.5 Depth of penetration data analysis" w:id="266"/>
      <w:r>
        <w:rPr/>
        <w:t>D</w:t>
      </w:r>
      <w:r>
        <w:rPr/>
        <w:t>epth</w:t>
      </w:r>
      <w:r>
        <w:rPr>
          <w:spacing w:val="-4"/>
        </w:rPr>
        <w:t> </w:t>
      </w:r>
      <w:r>
        <w:rPr/>
        <w:t>of</w:t>
      </w:r>
      <w:r>
        <w:rPr>
          <w:spacing w:val="-2"/>
        </w:rPr>
        <w:t> </w:t>
      </w:r>
      <w:r>
        <w:rPr/>
        <w:t>penetration</w:t>
      </w:r>
      <w:r>
        <w:rPr>
          <w:spacing w:val="-3"/>
        </w:rPr>
        <w:t> </w:t>
      </w:r>
      <w:r>
        <w:rPr/>
        <w:t>data</w:t>
      </w:r>
      <w:r>
        <w:rPr>
          <w:spacing w:val="-3"/>
        </w:rPr>
        <w:t> </w:t>
      </w:r>
      <w:bookmarkEnd w:id="264"/>
      <w:r>
        <w:rPr/>
        <w:t>analysis</w:t>
      </w:r>
    </w:p>
    <w:p>
      <w:pPr>
        <w:pStyle w:val="BodyText"/>
        <w:spacing w:before="7"/>
        <w:rPr>
          <w:b/>
          <w:sz w:val="22"/>
        </w:rPr>
      </w:pPr>
    </w:p>
    <w:p>
      <w:pPr>
        <w:pStyle w:val="ListParagraph"/>
        <w:numPr>
          <w:ilvl w:val="2"/>
          <w:numId w:val="21"/>
        </w:numPr>
        <w:tabs>
          <w:tab w:pos="980" w:val="left" w:leader="none"/>
        </w:tabs>
        <w:spacing w:line="240" w:lineRule="auto" w:before="0" w:after="0"/>
        <w:ind w:left="980" w:right="0" w:hanging="540"/>
        <w:jc w:val="both"/>
        <w:rPr>
          <w:i/>
          <w:sz w:val="24"/>
        </w:rPr>
      </w:pPr>
      <w:bookmarkStart w:name="5.5.1 Linear and quadratic regression" w:id="267"/>
      <w:bookmarkEnd w:id="267"/>
      <w:r>
        <w:rPr/>
      </w:r>
      <w:bookmarkStart w:name="5.5.1 Linear and quadratic regression" w:id="268"/>
      <w:bookmarkEnd w:id="268"/>
      <w:r>
        <w:rPr>
          <w:i/>
          <w:sz w:val="24"/>
        </w:rPr>
        <w:t>L</w:t>
      </w:r>
      <w:r>
        <w:rPr>
          <w:i/>
          <w:sz w:val="24"/>
        </w:rPr>
        <w:t>inear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quadratic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regression</w:t>
      </w:r>
    </w:p>
    <w:p>
      <w:pPr>
        <w:pStyle w:val="BodyText"/>
        <w:spacing w:before="7"/>
        <w:rPr>
          <w:i/>
          <w:sz w:val="22"/>
        </w:rPr>
      </w:pPr>
    </w:p>
    <w:p>
      <w:pPr>
        <w:pStyle w:val="BodyText"/>
        <w:spacing w:line="480" w:lineRule="auto"/>
        <w:ind w:left="439" w:right="416" w:firstLine="720"/>
        <w:jc w:val="both"/>
      </w:pPr>
      <w:r>
        <w:rPr/>
        <w:t>Data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70</w:t>
      </w:r>
      <w:r>
        <w:rPr>
          <w:spacing w:val="1"/>
        </w:rPr>
        <w:t> </w:t>
      </w:r>
      <w:r>
        <w:rPr/>
        <w:t>tests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analyzed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explore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relation</w:t>
      </w:r>
      <w:r>
        <w:rPr>
          <w:spacing w:val="1"/>
        </w:rPr>
        <w:t> </w:t>
      </w:r>
      <w:r>
        <w:rPr/>
        <w:t>between</w:t>
      </w:r>
      <w:r>
        <w:rPr>
          <w:spacing w:val="1"/>
        </w:rPr>
        <w:t> </w:t>
      </w:r>
      <w:r>
        <w:rPr/>
        <w:t>depth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penetration and striking velocity for both types of wood species.</w:t>
      </w:r>
      <w:r>
        <w:rPr>
          <w:spacing w:val="1"/>
        </w:rPr>
        <w:t> </w:t>
      </w:r>
      <w:r>
        <w:rPr/>
        <w:t>Two regression types</w:t>
      </w:r>
      <w:r>
        <w:rPr>
          <w:spacing w:val="1"/>
        </w:rPr>
        <w:t> </w:t>
      </w:r>
      <w:r>
        <w:rPr/>
        <w:t>were considered: linear and quadratic. For the SPF-S specimens the depth of penetration</w:t>
      </w:r>
      <w:r>
        <w:rPr>
          <w:spacing w:val="1"/>
        </w:rPr>
        <w:t> </w:t>
      </w:r>
      <w:r>
        <w:rPr/>
        <w:t>based on the striking velocity yielded a linear</w:t>
      </w:r>
      <w:r>
        <w:rPr>
          <w:spacing w:val="1"/>
        </w:rPr>
        <w:t> </w:t>
      </w:r>
      <w:r>
        <w:rPr/>
        <w:t>relationship with good correlation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determination (R</w:t>
      </w:r>
      <w:r>
        <w:rPr>
          <w:vertAlign w:val="superscript"/>
        </w:rPr>
        <w:t>2</w:t>
      </w:r>
      <w:r>
        <w:rPr>
          <w:vertAlign w:val="baseline"/>
        </w:rPr>
        <w:t> = 0.971).</w:t>
      </w:r>
      <w:r>
        <w:rPr>
          <w:spacing w:val="1"/>
          <w:vertAlign w:val="baseline"/>
        </w:rPr>
        <w:t> </w:t>
      </w:r>
      <w:r>
        <w:rPr>
          <w:vertAlign w:val="baseline"/>
        </w:rPr>
        <w:t>A polynomial regression yielded similar results to the linear</w:t>
      </w:r>
      <w:r>
        <w:rPr>
          <w:spacing w:val="1"/>
          <w:vertAlign w:val="baseline"/>
        </w:rPr>
        <w:t> </w:t>
      </w:r>
      <w:r>
        <w:rPr>
          <w:vertAlign w:val="baseline"/>
        </w:rPr>
        <w:t>regression and had similar goodness of fit (R</w:t>
      </w:r>
      <w:r>
        <w:rPr>
          <w:vertAlign w:val="superscript"/>
        </w:rPr>
        <w:t>2</w:t>
      </w:r>
      <w:r>
        <w:rPr>
          <w:vertAlign w:val="baseline"/>
        </w:rPr>
        <w:t> = 0.972).</w:t>
      </w:r>
      <w:r>
        <w:rPr>
          <w:spacing w:val="1"/>
          <w:vertAlign w:val="baseline"/>
        </w:rPr>
        <w:t> </w:t>
      </w:r>
      <w:hyperlink w:history="true" w:anchor="_bookmark59">
        <w:r>
          <w:rPr>
            <w:vertAlign w:val="baseline"/>
          </w:rPr>
          <w:t>Figure 5-6 </w:t>
        </w:r>
      </w:hyperlink>
      <w:r>
        <w:rPr>
          <w:vertAlign w:val="baseline"/>
        </w:rPr>
        <w:t>shows the data and</w:t>
      </w:r>
      <w:r>
        <w:rPr>
          <w:spacing w:val="1"/>
          <w:vertAlign w:val="baseline"/>
        </w:rPr>
        <w:t> </w:t>
      </w:r>
      <w:r>
        <w:rPr>
          <w:vertAlign w:val="baseline"/>
        </w:rPr>
        <w:t>lines</w:t>
      </w:r>
      <w:r>
        <w:rPr>
          <w:spacing w:val="-1"/>
          <w:vertAlign w:val="baseline"/>
        </w:rPr>
        <w:t> </w:t>
      </w:r>
      <w:r>
        <w:rPr>
          <w:vertAlign w:val="baseline"/>
        </w:rPr>
        <w:t>of</w:t>
      </w:r>
      <w:r>
        <w:rPr>
          <w:spacing w:val="-1"/>
          <w:vertAlign w:val="baseline"/>
        </w:rPr>
        <w:t> </w:t>
      </w:r>
      <w:r>
        <w:rPr>
          <w:vertAlign w:val="baseline"/>
        </w:rPr>
        <w:t>best</w:t>
      </w:r>
      <w:r>
        <w:rPr>
          <w:spacing w:val="-1"/>
          <w:vertAlign w:val="baseline"/>
        </w:rPr>
        <w:t> </w:t>
      </w:r>
      <w:r>
        <w:rPr>
          <w:vertAlign w:val="baseline"/>
        </w:rPr>
        <w:t>fit for linear</w:t>
      </w:r>
      <w:r>
        <w:rPr>
          <w:spacing w:val="-1"/>
          <w:vertAlign w:val="baseline"/>
        </w:rPr>
        <w:t> </w:t>
      </w:r>
      <w:r>
        <w:rPr>
          <w:vertAlign w:val="baseline"/>
        </w:rPr>
        <w:t>and quadratic</w:t>
      </w:r>
      <w:r>
        <w:rPr>
          <w:spacing w:val="-1"/>
          <w:vertAlign w:val="baseline"/>
        </w:rPr>
        <w:t> </w:t>
      </w:r>
      <w:r>
        <w:rPr>
          <w:vertAlign w:val="baseline"/>
        </w:rPr>
        <w:t>regressions.</w:t>
      </w:r>
    </w:p>
    <w:p>
      <w:pPr>
        <w:pStyle w:val="BodyText"/>
        <w:spacing w:before="9" w:after="1"/>
        <w:rPr>
          <w:sz w:val="14"/>
        </w:rPr>
      </w:pPr>
    </w:p>
    <w:tbl>
      <w:tblPr>
        <w:tblW w:w="0" w:type="auto"/>
        <w:jc w:val="left"/>
        <w:tblInd w:w="13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48"/>
        <w:gridCol w:w="4203"/>
      </w:tblGrid>
      <w:tr>
        <w:trPr>
          <w:trHeight w:val="288" w:hRule="atLeast"/>
        </w:trPr>
        <w:tc>
          <w:tcPr>
            <w:tcW w:w="2448" w:type="dxa"/>
          </w:tcPr>
          <w:p>
            <w:pPr>
              <w:pStyle w:val="TableParagraph"/>
              <w:spacing w:line="266" w:lineRule="exact"/>
              <w:ind w:right="105"/>
              <w:jc w:val="right"/>
              <w:rPr>
                <w:sz w:val="24"/>
              </w:rPr>
            </w:pPr>
            <w:r>
              <w:rPr>
                <w:sz w:val="24"/>
              </w:rPr>
              <w:t>Linear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Regression:</w:t>
            </w:r>
          </w:p>
        </w:tc>
        <w:tc>
          <w:tcPr>
            <w:tcW w:w="4203" w:type="dxa"/>
          </w:tcPr>
          <w:p>
            <w:pPr>
              <w:pStyle w:val="TableParagraph"/>
              <w:spacing w:line="268" w:lineRule="exact"/>
              <w:ind w:left="107"/>
              <w:rPr>
                <w:rFonts w:ascii="Cambria Math" w:hAnsi="Cambria Math" w:eastAsia="Cambria Math"/>
                <w:sz w:val="17"/>
              </w:rPr>
            </w:pPr>
            <w:r>
              <w:rPr>
                <w:rFonts w:ascii="Cambria Math" w:hAnsi="Cambria Math" w:eastAsia="Cambria Math"/>
                <w:w w:val="95"/>
                <w:sz w:val="24"/>
              </w:rPr>
              <w:t>𝑇</w:t>
            </w:r>
            <w:r>
              <w:rPr>
                <w:rFonts w:ascii="Cambria Math" w:hAnsi="Cambria Math" w:eastAsia="Cambria Math"/>
                <w:w w:val="95"/>
                <w:position w:val="-4"/>
                <w:sz w:val="17"/>
              </w:rPr>
              <w:t>𝑤𝑤</w:t>
            </w:r>
            <w:r>
              <w:rPr>
                <w:rFonts w:ascii="Cambria Math" w:hAnsi="Cambria Math" w:eastAsia="Cambria Math"/>
                <w:spacing w:val="3"/>
                <w:w w:val="95"/>
                <w:position w:val="-4"/>
                <w:sz w:val="17"/>
              </w:rPr>
              <w:t> </w:t>
            </w:r>
            <w:r>
              <w:rPr>
                <w:rFonts w:ascii="Cambria Math" w:hAnsi="Cambria Math" w:eastAsia="Cambria Math"/>
                <w:w w:val="95"/>
                <w:sz w:val="24"/>
              </w:rPr>
              <w:t>=</w:t>
            </w:r>
            <w:r>
              <w:rPr>
                <w:rFonts w:ascii="Cambria Math" w:hAnsi="Cambria Math" w:eastAsia="Cambria Math"/>
                <w:spacing w:val="10"/>
                <w:w w:val="95"/>
                <w:sz w:val="24"/>
              </w:rPr>
              <w:t> </w:t>
            </w:r>
            <w:r>
              <w:rPr>
                <w:rFonts w:ascii="Cambria Math" w:hAnsi="Cambria Math" w:eastAsia="Cambria Math"/>
                <w:w w:val="95"/>
                <w:sz w:val="24"/>
              </w:rPr>
              <w:t>−2.871</w:t>
            </w:r>
            <w:r>
              <w:rPr>
                <w:rFonts w:ascii="Cambria Math" w:hAnsi="Cambria Math" w:eastAsia="Cambria Math"/>
                <w:spacing w:val="-1"/>
                <w:w w:val="95"/>
                <w:sz w:val="24"/>
              </w:rPr>
              <w:t> </w:t>
            </w:r>
            <w:r>
              <w:rPr>
                <w:rFonts w:ascii="Cambria Math" w:hAnsi="Cambria Math" w:eastAsia="Cambria Math"/>
                <w:w w:val="95"/>
                <w:sz w:val="24"/>
              </w:rPr>
              <w:t>+</w:t>
            </w:r>
            <w:r>
              <w:rPr>
                <w:rFonts w:ascii="Cambria Math" w:hAnsi="Cambria Math" w:eastAsia="Cambria Math"/>
                <w:spacing w:val="-1"/>
                <w:w w:val="95"/>
                <w:sz w:val="24"/>
              </w:rPr>
              <w:t> </w:t>
            </w:r>
            <w:r>
              <w:rPr>
                <w:rFonts w:ascii="Cambria Math" w:hAnsi="Cambria Math" w:eastAsia="Cambria Math"/>
                <w:w w:val="95"/>
                <w:sz w:val="24"/>
              </w:rPr>
              <w:t>0.005189𝑣</w:t>
            </w:r>
            <w:r>
              <w:rPr>
                <w:rFonts w:ascii="Cambria Math" w:hAnsi="Cambria Math" w:eastAsia="Cambria Math"/>
                <w:w w:val="95"/>
                <w:position w:val="-4"/>
                <w:sz w:val="17"/>
              </w:rPr>
              <w:t>𝑠</w:t>
            </w:r>
          </w:p>
        </w:tc>
      </w:tr>
      <w:tr>
        <w:trPr>
          <w:trHeight w:val="303" w:hRule="atLeast"/>
        </w:trPr>
        <w:tc>
          <w:tcPr>
            <w:tcW w:w="2448" w:type="dxa"/>
          </w:tcPr>
          <w:p>
            <w:pPr>
              <w:pStyle w:val="TableParagraph"/>
              <w:spacing w:line="260" w:lineRule="exact"/>
              <w:ind w:right="105"/>
              <w:jc w:val="right"/>
              <w:rPr>
                <w:sz w:val="24"/>
              </w:rPr>
            </w:pPr>
            <w:r>
              <w:rPr>
                <w:sz w:val="24"/>
              </w:rPr>
              <w:t>Quadratic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Regression:</w:t>
            </w:r>
          </w:p>
        </w:tc>
        <w:tc>
          <w:tcPr>
            <w:tcW w:w="4203" w:type="dxa"/>
          </w:tcPr>
          <w:p>
            <w:pPr>
              <w:pStyle w:val="TableParagraph"/>
              <w:spacing w:line="203" w:lineRule="exact"/>
              <w:ind w:left="107"/>
              <w:rPr>
                <w:rFonts w:ascii="Cambria Math" w:hAnsi="Cambria Math" w:eastAsia="Cambria Math"/>
                <w:sz w:val="24"/>
              </w:rPr>
            </w:pPr>
            <w:r>
              <w:rPr>
                <w:rFonts w:ascii="Cambria Math" w:hAnsi="Cambria Math" w:eastAsia="Cambria Math"/>
                <w:sz w:val="24"/>
              </w:rPr>
              <w:t>𝑇</w:t>
            </w:r>
            <w:r>
              <w:rPr>
                <w:rFonts w:ascii="Cambria Math" w:hAnsi="Cambria Math" w:eastAsia="Cambria Math"/>
                <w:position w:val="-4"/>
                <w:sz w:val="17"/>
              </w:rPr>
              <w:t>𝑤𝑤</w:t>
            </w:r>
            <w:r>
              <w:rPr>
                <w:rFonts w:ascii="Cambria Math" w:hAnsi="Cambria Math" w:eastAsia="Cambria Math"/>
                <w:spacing w:val="29"/>
                <w:position w:val="-4"/>
                <w:sz w:val="17"/>
              </w:rPr>
              <w:t> </w:t>
            </w:r>
            <w:r>
              <w:rPr>
                <w:rFonts w:ascii="Cambria Math" w:hAnsi="Cambria Math" w:eastAsia="Cambria Math"/>
                <w:sz w:val="24"/>
              </w:rPr>
              <w:t>=</w:t>
            </w:r>
            <w:r>
              <w:rPr>
                <w:rFonts w:ascii="Cambria Math" w:hAnsi="Cambria Math" w:eastAsia="Cambria Math"/>
                <w:spacing w:val="3"/>
                <w:sz w:val="24"/>
              </w:rPr>
              <w:t> </w:t>
            </w:r>
            <w:r>
              <w:rPr>
                <w:rFonts w:ascii="Cambria Math" w:hAnsi="Cambria Math" w:eastAsia="Cambria Math"/>
                <w:sz w:val="24"/>
              </w:rPr>
              <w:t>3</w:t>
            </w:r>
            <w:r>
              <w:rPr>
                <w:rFonts w:ascii="Cambria Math" w:hAnsi="Cambria Math" w:eastAsia="Cambria Math"/>
                <w:spacing w:val="-8"/>
                <w:sz w:val="24"/>
              </w:rPr>
              <w:t> </w:t>
            </w:r>
            <w:r>
              <w:rPr>
                <w:rFonts w:ascii="Cambria Math" w:hAnsi="Cambria Math" w:eastAsia="Cambria Math"/>
                <w:sz w:val="24"/>
              </w:rPr>
              <w:t>∗</w:t>
            </w:r>
            <w:r>
              <w:rPr>
                <w:rFonts w:ascii="Cambria Math" w:hAnsi="Cambria Math" w:eastAsia="Cambria Math"/>
                <w:spacing w:val="-9"/>
                <w:sz w:val="24"/>
              </w:rPr>
              <w:t> </w:t>
            </w:r>
            <w:r>
              <w:rPr>
                <w:rFonts w:ascii="Cambria Math" w:hAnsi="Cambria Math" w:eastAsia="Cambria Math"/>
                <w:sz w:val="24"/>
              </w:rPr>
              <w:t>10</w:t>
            </w:r>
            <w:r>
              <w:rPr>
                <w:rFonts w:ascii="Cambria Math" w:hAnsi="Cambria Math" w:eastAsia="Cambria Math"/>
                <w:sz w:val="24"/>
                <w:vertAlign w:val="superscript"/>
              </w:rPr>
              <w:t>−7</w:t>
            </w:r>
            <w:r>
              <w:rPr>
                <w:rFonts w:ascii="Cambria Math" w:hAnsi="Cambria Math" w:eastAsia="Cambria Math"/>
                <w:sz w:val="24"/>
                <w:vertAlign w:val="baseline"/>
              </w:rPr>
              <w:t>𝑣</w:t>
            </w:r>
            <w:r>
              <w:rPr>
                <w:rFonts w:ascii="Cambria Math" w:hAnsi="Cambria Math" w:eastAsia="Cambria Math"/>
                <w:sz w:val="24"/>
                <w:vertAlign w:val="superscript"/>
              </w:rPr>
              <w:t>2</w:t>
            </w:r>
            <w:r>
              <w:rPr>
                <w:rFonts w:ascii="Cambria Math" w:hAnsi="Cambria Math" w:eastAsia="Cambria Math"/>
                <w:sz w:val="24"/>
                <w:vertAlign w:val="baseline"/>
              </w:rPr>
              <w:t> +</w:t>
            </w:r>
            <w:r>
              <w:rPr>
                <w:rFonts w:ascii="Cambria Math" w:hAnsi="Cambria Math" w:eastAsia="Cambria Math"/>
                <w:spacing w:val="-9"/>
                <w:sz w:val="24"/>
                <w:vertAlign w:val="baseline"/>
              </w:rPr>
              <w:t> </w:t>
            </w:r>
            <w:r>
              <w:rPr>
                <w:rFonts w:ascii="Cambria Math" w:hAnsi="Cambria Math" w:eastAsia="Cambria Math"/>
                <w:sz w:val="24"/>
                <w:vertAlign w:val="baseline"/>
              </w:rPr>
              <w:t>0.0042𝑣</w:t>
            </w:r>
            <w:r>
              <w:rPr>
                <w:rFonts w:ascii="Cambria Math" w:hAnsi="Cambria Math" w:eastAsia="Cambria Math"/>
                <w:spacing w:val="7"/>
                <w:sz w:val="24"/>
                <w:vertAlign w:val="baseline"/>
              </w:rPr>
              <w:t> </w:t>
            </w:r>
            <w:r>
              <w:rPr>
                <w:rFonts w:ascii="Cambria Math" w:hAnsi="Cambria Math" w:eastAsia="Cambria Math"/>
                <w:sz w:val="24"/>
                <w:vertAlign w:val="baseline"/>
              </w:rPr>
              <w:t>−</w:t>
            </w:r>
            <w:r>
              <w:rPr>
                <w:rFonts w:ascii="Cambria Math" w:hAnsi="Cambria Math" w:eastAsia="Cambria Math"/>
                <w:spacing w:val="-8"/>
                <w:sz w:val="24"/>
                <w:vertAlign w:val="baseline"/>
              </w:rPr>
              <w:t> </w:t>
            </w:r>
            <w:r>
              <w:rPr>
                <w:rFonts w:ascii="Cambria Math" w:hAnsi="Cambria Math" w:eastAsia="Cambria Math"/>
                <w:sz w:val="24"/>
                <w:vertAlign w:val="baseline"/>
              </w:rPr>
              <w:t>2.1348</w:t>
            </w:r>
          </w:p>
          <w:p>
            <w:pPr>
              <w:pStyle w:val="TableParagraph"/>
              <w:tabs>
                <w:tab w:pos="2907" w:val="left" w:leader="none"/>
              </w:tabs>
              <w:spacing w:line="80" w:lineRule="exact"/>
              <w:ind w:left="1653"/>
              <w:rPr>
                <w:rFonts w:ascii="Cambria Math" w:eastAsia="Cambria Math"/>
                <w:sz w:val="17"/>
              </w:rPr>
            </w:pPr>
            <w:r>
              <w:rPr>
                <w:rFonts w:ascii="Cambria Math" w:eastAsia="Cambria Math"/>
                <w:w w:val="105"/>
                <w:sz w:val="17"/>
              </w:rPr>
              <w:t>𝑠</w:t>
              <w:tab/>
              <w:t>𝑠</w:t>
            </w:r>
          </w:p>
        </w:tc>
      </w:tr>
    </w:tbl>
    <w:p>
      <w:pPr>
        <w:spacing w:after="0" w:line="80" w:lineRule="exact"/>
        <w:rPr>
          <w:rFonts w:ascii="Cambria Math" w:eastAsia="Cambria Math"/>
          <w:sz w:val="17"/>
        </w:rPr>
        <w:sectPr>
          <w:pgSz w:w="12240" w:h="15840"/>
          <w:pgMar w:header="0" w:footer="1064" w:top="1360" w:bottom="1260" w:left="1720" w:right="1020"/>
        </w:sectPr>
      </w:pPr>
    </w:p>
    <w:p>
      <w:pPr>
        <w:spacing w:before="72"/>
        <w:ind w:left="3239" w:right="0" w:firstLine="0"/>
        <w:jc w:val="left"/>
        <w:rPr>
          <w:sz w:val="21"/>
        </w:rPr>
      </w:pPr>
      <w:r>
        <w:rPr>
          <w:sz w:val="21"/>
        </w:rPr>
        <w:t>Striking</w:t>
      </w:r>
      <w:r>
        <w:rPr>
          <w:spacing w:val="11"/>
          <w:sz w:val="21"/>
        </w:rPr>
        <w:t> </w:t>
      </w:r>
      <w:r>
        <w:rPr>
          <w:sz w:val="21"/>
        </w:rPr>
        <w:t>Velocity</w:t>
      </w:r>
      <w:r>
        <w:rPr>
          <w:spacing w:val="11"/>
          <w:sz w:val="21"/>
        </w:rPr>
        <w:t> </w:t>
      </w:r>
      <w:r>
        <w:rPr>
          <w:sz w:val="21"/>
        </w:rPr>
        <w:t>(V</w:t>
      </w:r>
      <w:r>
        <w:rPr>
          <w:spacing w:val="-26"/>
          <w:sz w:val="21"/>
        </w:rPr>
        <w:t> </w:t>
      </w:r>
      <w:r>
        <w:rPr>
          <w:position w:val="-2"/>
          <w:sz w:val="21"/>
        </w:rPr>
        <w:t>s</w:t>
      </w:r>
      <w:r>
        <w:rPr>
          <w:sz w:val="21"/>
        </w:rPr>
        <w:t>)</w:t>
      </w:r>
      <w:r>
        <w:rPr>
          <w:spacing w:val="13"/>
          <w:sz w:val="21"/>
        </w:rPr>
        <w:t> </w:t>
      </w:r>
      <w:r>
        <w:rPr>
          <w:sz w:val="21"/>
        </w:rPr>
        <w:t>(m/s)</w:t>
      </w:r>
    </w:p>
    <w:p>
      <w:pPr>
        <w:tabs>
          <w:tab w:pos="1451" w:val="left" w:leader="none"/>
        </w:tabs>
        <w:spacing w:line="156" w:lineRule="exact" w:before="130"/>
        <w:ind w:left="1172" w:right="0" w:firstLine="0"/>
        <w:jc w:val="left"/>
        <w:rPr>
          <w:sz w:val="14"/>
        </w:rPr>
      </w:pPr>
      <w:r>
        <w:rPr>
          <w:w w:val="105"/>
          <w:sz w:val="14"/>
        </w:rPr>
        <w:t>0</w:t>
        <w:tab/>
        <w:t>60  </w:t>
      </w:r>
      <w:r>
        <w:rPr>
          <w:spacing w:val="21"/>
          <w:w w:val="105"/>
          <w:sz w:val="14"/>
        </w:rPr>
        <w:t> </w:t>
      </w:r>
      <w:r>
        <w:rPr>
          <w:w w:val="105"/>
          <w:sz w:val="14"/>
        </w:rPr>
        <w:t>120  </w:t>
      </w:r>
      <w:r>
        <w:rPr>
          <w:spacing w:val="22"/>
          <w:w w:val="105"/>
          <w:sz w:val="14"/>
        </w:rPr>
        <w:t> </w:t>
      </w:r>
      <w:r>
        <w:rPr>
          <w:w w:val="105"/>
          <w:sz w:val="14"/>
        </w:rPr>
        <w:t>180  </w:t>
      </w:r>
      <w:r>
        <w:rPr>
          <w:spacing w:val="22"/>
          <w:w w:val="105"/>
          <w:sz w:val="14"/>
        </w:rPr>
        <w:t> </w:t>
      </w:r>
      <w:r>
        <w:rPr>
          <w:w w:val="105"/>
          <w:sz w:val="14"/>
        </w:rPr>
        <w:t>240  </w:t>
      </w:r>
      <w:r>
        <w:rPr>
          <w:spacing w:val="18"/>
          <w:w w:val="105"/>
          <w:sz w:val="14"/>
        </w:rPr>
        <w:t> </w:t>
      </w:r>
      <w:r>
        <w:rPr>
          <w:w w:val="105"/>
          <w:sz w:val="14"/>
        </w:rPr>
        <w:t>300  </w:t>
      </w:r>
      <w:r>
        <w:rPr>
          <w:spacing w:val="22"/>
          <w:w w:val="105"/>
          <w:sz w:val="14"/>
        </w:rPr>
        <w:t> </w:t>
      </w:r>
      <w:r>
        <w:rPr>
          <w:w w:val="105"/>
          <w:sz w:val="14"/>
        </w:rPr>
        <w:t>360  </w:t>
      </w:r>
      <w:r>
        <w:rPr>
          <w:spacing w:val="18"/>
          <w:w w:val="105"/>
          <w:sz w:val="14"/>
        </w:rPr>
        <w:t> </w:t>
      </w:r>
      <w:r>
        <w:rPr>
          <w:w w:val="105"/>
          <w:sz w:val="14"/>
        </w:rPr>
        <w:t>420  </w:t>
      </w:r>
      <w:r>
        <w:rPr>
          <w:spacing w:val="22"/>
          <w:w w:val="105"/>
          <w:sz w:val="14"/>
        </w:rPr>
        <w:t> </w:t>
      </w:r>
      <w:r>
        <w:rPr>
          <w:w w:val="105"/>
          <w:sz w:val="14"/>
        </w:rPr>
        <w:t>480  </w:t>
      </w:r>
      <w:r>
        <w:rPr>
          <w:spacing w:val="22"/>
          <w:w w:val="105"/>
          <w:sz w:val="14"/>
        </w:rPr>
        <w:t> </w:t>
      </w:r>
      <w:r>
        <w:rPr>
          <w:w w:val="105"/>
          <w:sz w:val="14"/>
        </w:rPr>
        <w:t>540  </w:t>
      </w:r>
      <w:r>
        <w:rPr>
          <w:spacing w:val="17"/>
          <w:w w:val="105"/>
          <w:sz w:val="14"/>
        </w:rPr>
        <w:t> </w:t>
      </w:r>
      <w:r>
        <w:rPr>
          <w:w w:val="105"/>
          <w:sz w:val="14"/>
        </w:rPr>
        <w:t>600  </w:t>
      </w:r>
      <w:r>
        <w:rPr>
          <w:spacing w:val="22"/>
          <w:w w:val="105"/>
          <w:sz w:val="14"/>
        </w:rPr>
        <w:t> </w:t>
      </w:r>
      <w:r>
        <w:rPr>
          <w:w w:val="105"/>
          <w:sz w:val="14"/>
        </w:rPr>
        <w:t>660  </w:t>
      </w:r>
      <w:r>
        <w:rPr>
          <w:spacing w:val="18"/>
          <w:w w:val="105"/>
          <w:sz w:val="14"/>
        </w:rPr>
        <w:t> </w:t>
      </w:r>
      <w:r>
        <w:rPr>
          <w:w w:val="105"/>
          <w:sz w:val="14"/>
        </w:rPr>
        <w:t>720  </w:t>
      </w:r>
      <w:r>
        <w:rPr>
          <w:spacing w:val="22"/>
          <w:w w:val="105"/>
          <w:sz w:val="14"/>
        </w:rPr>
        <w:t> </w:t>
      </w:r>
      <w:r>
        <w:rPr>
          <w:w w:val="105"/>
          <w:sz w:val="14"/>
        </w:rPr>
        <w:t>780  </w:t>
      </w:r>
      <w:r>
        <w:rPr>
          <w:spacing w:val="22"/>
          <w:w w:val="105"/>
          <w:sz w:val="14"/>
        </w:rPr>
        <w:t> </w:t>
      </w:r>
      <w:r>
        <w:rPr>
          <w:w w:val="105"/>
          <w:sz w:val="14"/>
        </w:rPr>
        <w:t>840  </w:t>
      </w:r>
      <w:r>
        <w:rPr>
          <w:spacing w:val="18"/>
          <w:w w:val="105"/>
          <w:sz w:val="14"/>
        </w:rPr>
        <w:t> </w:t>
      </w:r>
      <w:r>
        <w:rPr>
          <w:w w:val="105"/>
          <w:sz w:val="14"/>
        </w:rPr>
        <w:t>900  </w:t>
      </w:r>
      <w:r>
        <w:rPr>
          <w:spacing w:val="18"/>
          <w:w w:val="105"/>
          <w:sz w:val="14"/>
        </w:rPr>
        <w:t> </w:t>
      </w:r>
      <w:r>
        <w:rPr>
          <w:w w:val="105"/>
          <w:sz w:val="14"/>
        </w:rPr>
        <w:t>960</w:t>
      </w:r>
      <w:r>
        <w:rPr>
          <w:spacing w:val="20"/>
          <w:w w:val="105"/>
          <w:sz w:val="14"/>
        </w:rPr>
        <w:t> </w:t>
      </w:r>
      <w:r>
        <w:rPr>
          <w:w w:val="105"/>
          <w:sz w:val="14"/>
        </w:rPr>
        <w:t>1020</w:t>
      </w:r>
      <w:r>
        <w:rPr>
          <w:spacing w:val="21"/>
          <w:w w:val="105"/>
          <w:sz w:val="14"/>
        </w:rPr>
        <w:t> </w:t>
      </w:r>
      <w:r>
        <w:rPr>
          <w:w w:val="105"/>
          <w:sz w:val="14"/>
        </w:rPr>
        <w:t>1080</w:t>
      </w:r>
      <w:r>
        <w:rPr>
          <w:spacing w:val="17"/>
          <w:w w:val="105"/>
          <w:sz w:val="14"/>
        </w:rPr>
        <w:t> </w:t>
      </w:r>
      <w:r>
        <w:rPr>
          <w:w w:val="105"/>
          <w:sz w:val="14"/>
        </w:rPr>
        <w:t>1140</w:t>
      </w:r>
      <w:r>
        <w:rPr>
          <w:spacing w:val="21"/>
          <w:w w:val="105"/>
          <w:sz w:val="14"/>
        </w:rPr>
        <w:t> </w:t>
      </w:r>
      <w:r>
        <w:rPr>
          <w:w w:val="105"/>
          <w:sz w:val="14"/>
        </w:rPr>
        <w:t>1200</w:t>
      </w:r>
    </w:p>
    <w:p>
      <w:pPr>
        <w:spacing w:line="156" w:lineRule="exact" w:before="0"/>
        <w:ind w:left="910" w:right="0" w:firstLine="0"/>
        <w:jc w:val="left"/>
        <w:rPr>
          <w:sz w:val="14"/>
        </w:rPr>
      </w:pPr>
      <w:r>
        <w:rPr/>
        <w:pict>
          <v:group style="position:absolute;margin-left:143.300980pt;margin-top:3.272968pt;width:358pt;height:156.8pt;mso-position-horizontal-relative:page;mso-position-vertical-relative:paragraph;z-index:15790080" coordorigin="2866,65" coordsize="7160,3136">
            <v:shape style="position:absolute;left:2866;top:65;width:7160;height:3136" type="#_x0000_t75" stroked="false">
              <v:imagedata r:id="rId108" o:title=""/>
            </v:shape>
            <v:shape style="position:absolute;left:2866;top:65;width:7160;height:3136" type="#_x0000_t202" filled="false" stroked="false">
              <v:textbox inset="0,0,0,0">
                <w:txbxContent>
                  <w:p>
                    <w:pPr>
                      <w:spacing w:line="240" w:lineRule="auto" w:before="9"/>
                      <w:rPr>
                        <w:sz w:val="17"/>
                      </w:rPr>
                    </w:pPr>
                  </w:p>
                  <w:p>
                    <w:pPr>
                      <w:spacing w:before="0"/>
                      <w:ind w:left="1596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Raw</w:t>
                    </w:r>
                    <w:r>
                      <w:rPr>
                        <w:spacing w:val="2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data</w:t>
                    </w:r>
                  </w:p>
                  <w:p>
                    <w:pPr>
                      <w:tabs>
                        <w:tab w:pos="1156" w:val="left" w:leader="none"/>
                      </w:tabs>
                      <w:spacing w:before="1"/>
                      <w:ind w:left="743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5"/>
                        <w:position w:val="3"/>
                        <w:sz w:val="14"/>
                        <w:u w:val="single" w:color="FF0000"/>
                      </w:rPr>
                      <w:t> </w:t>
                    </w:r>
                    <w:r>
                      <w:rPr>
                        <w:position w:val="3"/>
                        <w:sz w:val="14"/>
                        <w:u w:val="single" w:color="FF0000"/>
                      </w:rPr>
                      <w:tab/>
                    </w:r>
                    <w:r>
                      <w:rPr>
                        <w:position w:val="3"/>
                        <w:sz w:val="14"/>
                      </w:rPr>
                      <w:t>   </w:t>
                    </w:r>
                    <w:r>
                      <w:rPr>
                        <w:spacing w:val="1"/>
                        <w:position w:val="3"/>
                        <w:sz w:val="14"/>
                      </w:rPr>
                      <w:t> </w:t>
                    </w:r>
                    <w:r>
                      <w:rPr>
                        <w:w w:val="105"/>
                        <w:position w:val="3"/>
                        <w:sz w:val="14"/>
                        <w:u w:val="single" w:color="FF0000"/>
                      </w:rPr>
                      <w:t> </w:t>
                    </w:r>
                    <w:r>
                      <w:rPr>
                        <w:position w:val="3"/>
                        <w:sz w:val="14"/>
                        <w:u w:val="single" w:color="FF0000"/>
                      </w:rPr>
                      <w:t>   </w:t>
                    </w:r>
                    <w:r>
                      <w:rPr>
                        <w:spacing w:val="-9"/>
                        <w:position w:val="3"/>
                        <w:sz w:val="14"/>
                        <w:u w:val="single" w:color="FF0000"/>
                      </w:rPr>
                      <w:t> </w:t>
                    </w:r>
                    <w:r>
                      <w:rPr>
                        <w:position w:val="3"/>
                        <w:sz w:val="14"/>
                      </w:rPr>
                      <w:t>   </w:t>
                    </w:r>
                    <w:r>
                      <w:rPr>
                        <w:spacing w:val="-9"/>
                        <w:position w:val="3"/>
                        <w:sz w:val="14"/>
                      </w:rPr>
                      <w:t> </w:t>
                    </w:r>
                    <w:r>
                      <w:rPr>
                        <w:sz w:val="16"/>
                      </w:rPr>
                      <w:t>Linear</w:t>
                    </w:r>
                    <w:r>
                      <w:rPr>
                        <w:spacing w:val="2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regression</w:t>
                    </w:r>
                  </w:p>
                  <w:p>
                    <w:pPr>
                      <w:spacing w:before="1"/>
                      <w:ind w:left="1596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Quadratic</w:t>
                    </w:r>
                    <w:r>
                      <w:rPr>
                        <w:spacing w:val="1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regression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105"/>
          <w:sz w:val="14"/>
        </w:rPr>
        <w:t>14</w:t>
      </w:r>
    </w:p>
    <w:p>
      <w:pPr>
        <w:spacing w:before="64"/>
        <w:ind w:left="910" w:right="0" w:firstLine="0"/>
        <w:jc w:val="left"/>
        <w:rPr>
          <w:sz w:val="14"/>
        </w:rPr>
      </w:pPr>
      <w:r>
        <w:rPr/>
        <w:pict>
          <v:shape style="position:absolute;margin-left:106.327919pt;margin-top:5.987576pt;width:13.95pt;height:144.1pt;mso-position-horizontal-relative:page;mso-position-vertical-relative:paragraph;z-index:15790592" type="#_x0000_t202" filled="false" stroked="false">
            <v:textbox inset="0,0,0,0" style="layout-flow:vertical;mso-layout-flow-alt:bottom-to-top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sz w:val="21"/>
                    </w:rPr>
                  </w:pPr>
                  <w:r>
                    <w:rPr>
                      <w:sz w:val="21"/>
                    </w:rPr>
                    <w:t>Penetration</w:t>
                  </w:r>
                  <w:r>
                    <w:rPr>
                      <w:spacing w:val="12"/>
                      <w:sz w:val="21"/>
                    </w:rPr>
                    <w:t> </w:t>
                  </w:r>
                  <w:r>
                    <w:rPr>
                      <w:sz w:val="21"/>
                    </w:rPr>
                    <w:t>Depth</w:t>
                  </w:r>
                  <w:r>
                    <w:rPr>
                      <w:spacing w:val="17"/>
                      <w:sz w:val="21"/>
                    </w:rPr>
                    <w:t> </w:t>
                  </w:r>
                  <w:r>
                    <w:rPr>
                      <w:sz w:val="21"/>
                    </w:rPr>
                    <w:t>(T</w:t>
                  </w:r>
                  <w:r>
                    <w:rPr>
                      <w:spacing w:val="-29"/>
                      <w:sz w:val="21"/>
                    </w:rPr>
                    <w:t> </w:t>
                  </w:r>
                  <w:r>
                    <w:rPr>
                      <w:spacing w:val="13"/>
                      <w:sz w:val="21"/>
                    </w:rPr>
                    <w:t>w)</w:t>
                  </w:r>
                  <w:r>
                    <w:rPr>
                      <w:spacing w:val="15"/>
                      <w:sz w:val="21"/>
                    </w:rPr>
                    <w:t> </w:t>
                  </w:r>
                  <w:r>
                    <w:rPr>
                      <w:sz w:val="21"/>
                    </w:rPr>
                    <w:t>(inches)</w:t>
                  </w:r>
                </w:p>
              </w:txbxContent>
            </v:textbox>
            <w10:wrap type="none"/>
          </v:shape>
        </w:pict>
      </w:r>
      <w:r>
        <w:rPr>
          <w:w w:val="105"/>
          <w:sz w:val="14"/>
        </w:rPr>
        <w:t>13</w:t>
      </w:r>
    </w:p>
    <w:p>
      <w:pPr>
        <w:spacing w:before="61"/>
        <w:ind w:left="910" w:right="0" w:firstLine="0"/>
        <w:jc w:val="left"/>
        <w:rPr>
          <w:sz w:val="14"/>
        </w:rPr>
      </w:pPr>
      <w:r>
        <w:rPr>
          <w:w w:val="105"/>
          <w:sz w:val="14"/>
        </w:rPr>
        <w:t>12</w:t>
      </w:r>
    </w:p>
    <w:p>
      <w:pPr>
        <w:spacing w:before="60"/>
        <w:ind w:left="910" w:right="0" w:firstLine="0"/>
        <w:jc w:val="left"/>
        <w:rPr>
          <w:sz w:val="14"/>
        </w:rPr>
      </w:pPr>
      <w:r>
        <w:rPr>
          <w:w w:val="105"/>
          <w:sz w:val="14"/>
        </w:rPr>
        <w:t>11</w:t>
      </w:r>
    </w:p>
    <w:p>
      <w:pPr>
        <w:spacing w:before="65"/>
        <w:ind w:left="910" w:right="0" w:firstLine="0"/>
        <w:jc w:val="left"/>
        <w:rPr>
          <w:sz w:val="14"/>
        </w:rPr>
      </w:pPr>
      <w:r>
        <w:rPr>
          <w:w w:val="105"/>
          <w:sz w:val="14"/>
        </w:rPr>
        <w:t>10</w:t>
      </w:r>
    </w:p>
    <w:p>
      <w:pPr>
        <w:spacing w:before="60"/>
        <w:ind w:left="984" w:right="0" w:firstLine="0"/>
        <w:jc w:val="left"/>
        <w:rPr>
          <w:sz w:val="14"/>
        </w:rPr>
      </w:pPr>
      <w:r>
        <w:rPr>
          <w:w w:val="105"/>
          <w:sz w:val="14"/>
        </w:rPr>
        <w:t>9</w:t>
      </w:r>
    </w:p>
    <w:p>
      <w:pPr>
        <w:spacing w:before="61"/>
        <w:ind w:left="984" w:right="0" w:firstLine="0"/>
        <w:jc w:val="left"/>
        <w:rPr>
          <w:sz w:val="14"/>
        </w:rPr>
      </w:pPr>
      <w:r>
        <w:rPr>
          <w:w w:val="105"/>
          <w:sz w:val="14"/>
        </w:rPr>
        <w:t>8</w:t>
      </w:r>
    </w:p>
    <w:p>
      <w:pPr>
        <w:spacing w:before="64"/>
        <w:ind w:left="984" w:right="0" w:firstLine="0"/>
        <w:jc w:val="left"/>
        <w:rPr>
          <w:sz w:val="14"/>
        </w:rPr>
      </w:pPr>
      <w:r>
        <w:rPr>
          <w:w w:val="105"/>
          <w:sz w:val="14"/>
        </w:rPr>
        <w:t>7</w:t>
      </w:r>
    </w:p>
    <w:p>
      <w:pPr>
        <w:spacing w:before="61"/>
        <w:ind w:left="984" w:right="0" w:firstLine="0"/>
        <w:jc w:val="left"/>
        <w:rPr>
          <w:sz w:val="14"/>
        </w:rPr>
      </w:pPr>
      <w:r>
        <w:rPr>
          <w:w w:val="105"/>
          <w:sz w:val="14"/>
        </w:rPr>
        <w:t>6</w:t>
      </w:r>
    </w:p>
    <w:p>
      <w:pPr>
        <w:spacing w:before="61"/>
        <w:ind w:left="984" w:right="0" w:firstLine="0"/>
        <w:jc w:val="left"/>
        <w:rPr>
          <w:sz w:val="14"/>
        </w:rPr>
      </w:pPr>
      <w:r>
        <w:rPr>
          <w:w w:val="105"/>
          <w:sz w:val="14"/>
        </w:rPr>
        <w:t>5</w:t>
      </w:r>
    </w:p>
    <w:p>
      <w:pPr>
        <w:spacing w:before="64"/>
        <w:ind w:left="984" w:right="0" w:firstLine="0"/>
        <w:jc w:val="left"/>
        <w:rPr>
          <w:sz w:val="14"/>
        </w:rPr>
      </w:pPr>
      <w:r>
        <w:rPr>
          <w:w w:val="105"/>
          <w:sz w:val="14"/>
        </w:rPr>
        <w:t>4</w:t>
      </w:r>
    </w:p>
    <w:p>
      <w:pPr>
        <w:spacing w:before="61"/>
        <w:ind w:left="984" w:right="0" w:firstLine="0"/>
        <w:jc w:val="left"/>
        <w:rPr>
          <w:sz w:val="14"/>
        </w:rPr>
      </w:pPr>
      <w:r>
        <w:rPr>
          <w:w w:val="105"/>
          <w:sz w:val="14"/>
        </w:rPr>
        <w:t>3</w:t>
      </w:r>
    </w:p>
    <w:p>
      <w:pPr>
        <w:spacing w:before="61"/>
        <w:ind w:left="984" w:right="0" w:firstLine="0"/>
        <w:jc w:val="left"/>
        <w:rPr>
          <w:sz w:val="14"/>
        </w:rPr>
      </w:pPr>
      <w:r>
        <w:rPr>
          <w:w w:val="105"/>
          <w:sz w:val="14"/>
        </w:rPr>
        <w:t>2</w:t>
      </w:r>
    </w:p>
    <w:p>
      <w:pPr>
        <w:spacing w:before="64"/>
        <w:ind w:left="984" w:right="0" w:firstLine="0"/>
        <w:jc w:val="left"/>
        <w:rPr>
          <w:sz w:val="14"/>
        </w:rPr>
      </w:pPr>
      <w:r>
        <w:rPr>
          <w:w w:val="105"/>
          <w:sz w:val="14"/>
        </w:rPr>
        <w:t>1</w:t>
      </w:r>
    </w:p>
    <w:p>
      <w:pPr>
        <w:spacing w:line="157" w:lineRule="exact" w:before="61"/>
        <w:ind w:left="984" w:right="0" w:firstLine="0"/>
        <w:jc w:val="left"/>
        <w:rPr>
          <w:sz w:val="14"/>
        </w:rPr>
      </w:pPr>
      <w:r>
        <w:rPr>
          <w:w w:val="105"/>
          <w:sz w:val="14"/>
        </w:rPr>
        <w:t>0</w:t>
      </w:r>
    </w:p>
    <w:p>
      <w:pPr>
        <w:pStyle w:val="BodyText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spacing w:before="109"/>
        <w:ind w:left="20" w:right="0" w:firstLine="0"/>
        <w:jc w:val="left"/>
        <w:rPr>
          <w:sz w:val="14"/>
        </w:rPr>
      </w:pPr>
      <w:r>
        <w:rPr>
          <w:w w:val="105"/>
          <w:sz w:val="14"/>
        </w:rPr>
        <w:t>35</w:t>
      </w:r>
    </w:p>
    <w:p>
      <w:pPr>
        <w:spacing w:before="58"/>
        <w:ind w:left="20" w:right="0" w:firstLine="0"/>
        <w:jc w:val="left"/>
        <w:rPr>
          <w:sz w:val="14"/>
        </w:rPr>
      </w:pPr>
      <w:r>
        <w:rPr>
          <w:w w:val="105"/>
          <w:sz w:val="14"/>
        </w:rPr>
        <w:t>32.5</w:t>
      </w:r>
    </w:p>
    <w:p>
      <w:pPr>
        <w:spacing w:before="60"/>
        <w:ind w:left="20" w:right="0" w:firstLine="0"/>
        <w:jc w:val="left"/>
        <w:rPr>
          <w:sz w:val="14"/>
        </w:rPr>
      </w:pPr>
      <w:r>
        <w:rPr/>
        <w:pict>
          <v:shape style="position:absolute;margin-left:524.984619pt;margin-top:1.941317pt;width:13.95pt;height:129.1pt;mso-position-horizontal-relative:page;mso-position-vertical-relative:paragraph;z-index:15791104" type="#_x0000_t202" filled="false" stroked="false">
            <v:textbox inset="0,0,0,0" style="layout-flow:vertical;mso-layout-flow-alt:bottom-to-top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sz w:val="21"/>
                    </w:rPr>
                  </w:pPr>
                  <w:r>
                    <w:rPr>
                      <w:sz w:val="21"/>
                    </w:rPr>
                    <w:t>Penetration</w:t>
                  </w:r>
                  <w:r>
                    <w:rPr>
                      <w:spacing w:val="15"/>
                      <w:sz w:val="21"/>
                    </w:rPr>
                    <w:t> </w:t>
                  </w:r>
                  <w:r>
                    <w:rPr>
                      <w:sz w:val="21"/>
                    </w:rPr>
                    <w:t>Depth</w:t>
                  </w:r>
                  <w:r>
                    <w:rPr>
                      <w:spacing w:val="15"/>
                      <w:sz w:val="21"/>
                    </w:rPr>
                    <w:t> </w:t>
                  </w:r>
                  <w:r>
                    <w:rPr>
                      <w:sz w:val="21"/>
                    </w:rPr>
                    <w:t>(T</w:t>
                  </w:r>
                  <w:r>
                    <w:rPr>
                      <w:spacing w:val="-19"/>
                      <w:sz w:val="21"/>
                    </w:rPr>
                    <w:t> </w:t>
                  </w:r>
                  <w:r>
                    <w:rPr>
                      <w:sz w:val="21"/>
                    </w:rPr>
                    <w:t>w)</w:t>
                  </w:r>
                  <w:r>
                    <w:rPr>
                      <w:spacing w:val="14"/>
                      <w:sz w:val="21"/>
                    </w:rPr>
                    <w:t> </w:t>
                  </w:r>
                  <w:r>
                    <w:rPr>
                      <w:sz w:val="21"/>
                    </w:rPr>
                    <w:t>(cm)</w:t>
                  </w:r>
                </w:p>
              </w:txbxContent>
            </v:textbox>
            <w10:wrap type="none"/>
          </v:shape>
        </w:pict>
      </w:r>
      <w:r>
        <w:rPr>
          <w:w w:val="105"/>
          <w:sz w:val="14"/>
        </w:rPr>
        <w:t>30</w:t>
      </w:r>
    </w:p>
    <w:p>
      <w:pPr>
        <w:spacing w:before="58"/>
        <w:ind w:left="20" w:right="0" w:firstLine="0"/>
        <w:jc w:val="left"/>
        <w:rPr>
          <w:sz w:val="14"/>
        </w:rPr>
      </w:pPr>
      <w:r>
        <w:rPr>
          <w:w w:val="105"/>
          <w:sz w:val="14"/>
        </w:rPr>
        <w:t>27.5</w:t>
      </w:r>
    </w:p>
    <w:p>
      <w:pPr>
        <w:spacing w:before="57"/>
        <w:ind w:left="20" w:right="0" w:firstLine="0"/>
        <w:jc w:val="left"/>
        <w:rPr>
          <w:sz w:val="14"/>
        </w:rPr>
      </w:pPr>
      <w:r>
        <w:rPr>
          <w:w w:val="105"/>
          <w:sz w:val="14"/>
        </w:rPr>
        <w:t>25</w:t>
      </w:r>
    </w:p>
    <w:p>
      <w:pPr>
        <w:spacing w:before="58"/>
        <w:ind w:left="20" w:right="0" w:firstLine="0"/>
        <w:jc w:val="left"/>
        <w:rPr>
          <w:sz w:val="14"/>
        </w:rPr>
      </w:pPr>
      <w:r>
        <w:rPr>
          <w:w w:val="105"/>
          <w:sz w:val="14"/>
        </w:rPr>
        <w:t>22.5</w:t>
      </w:r>
    </w:p>
    <w:p>
      <w:pPr>
        <w:spacing w:before="61"/>
        <w:ind w:left="20" w:right="0" w:firstLine="0"/>
        <w:jc w:val="left"/>
        <w:rPr>
          <w:sz w:val="14"/>
        </w:rPr>
      </w:pPr>
      <w:r>
        <w:rPr>
          <w:w w:val="105"/>
          <w:sz w:val="14"/>
        </w:rPr>
        <w:t>20</w:t>
      </w:r>
    </w:p>
    <w:p>
      <w:pPr>
        <w:spacing w:before="57"/>
        <w:ind w:left="20" w:right="0" w:firstLine="0"/>
        <w:jc w:val="left"/>
        <w:rPr>
          <w:sz w:val="14"/>
        </w:rPr>
      </w:pPr>
      <w:r>
        <w:rPr>
          <w:w w:val="105"/>
          <w:sz w:val="14"/>
        </w:rPr>
        <w:t>17.5</w:t>
      </w:r>
    </w:p>
    <w:p>
      <w:pPr>
        <w:spacing w:before="58"/>
        <w:ind w:left="20" w:right="0" w:firstLine="0"/>
        <w:jc w:val="left"/>
        <w:rPr>
          <w:sz w:val="14"/>
        </w:rPr>
      </w:pPr>
      <w:r>
        <w:rPr>
          <w:w w:val="105"/>
          <w:sz w:val="14"/>
        </w:rPr>
        <w:t>15</w:t>
      </w:r>
    </w:p>
    <w:p>
      <w:pPr>
        <w:spacing w:before="60"/>
        <w:ind w:left="20" w:right="0" w:firstLine="0"/>
        <w:jc w:val="left"/>
        <w:rPr>
          <w:sz w:val="14"/>
        </w:rPr>
      </w:pPr>
      <w:r>
        <w:rPr>
          <w:w w:val="105"/>
          <w:sz w:val="14"/>
        </w:rPr>
        <w:t>12.5</w:t>
      </w:r>
    </w:p>
    <w:p>
      <w:pPr>
        <w:spacing w:before="58"/>
        <w:ind w:left="20" w:right="0" w:firstLine="0"/>
        <w:jc w:val="left"/>
        <w:rPr>
          <w:sz w:val="14"/>
        </w:rPr>
      </w:pPr>
      <w:r>
        <w:rPr>
          <w:w w:val="105"/>
          <w:sz w:val="14"/>
        </w:rPr>
        <w:t>10</w:t>
      </w:r>
    </w:p>
    <w:p>
      <w:pPr>
        <w:spacing w:before="57"/>
        <w:ind w:left="20" w:right="0" w:firstLine="0"/>
        <w:jc w:val="left"/>
        <w:rPr>
          <w:sz w:val="14"/>
        </w:rPr>
      </w:pPr>
      <w:r>
        <w:rPr>
          <w:w w:val="105"/>
          <w:sz w:val="14"/>
        </w:rPr>
        <w:t>7.5</w:t>
      </w:r>
    </w:p>
    <w:p>
      <w:pPr>
        <w:spacing w:before="61"/>
        <w:ind w:left="20" w:right="0" w:firstLine="0"/>
        <w:jc w:val="left"/>
        <w:rPr>
          <w:sz w:val="14"/>
        </w:rPr>
      </w:pPr>
      <w:r>
        <w:rPr>
          <w:w w:val="105"/>
          <w:sz w:val="14"/>
        </w:rPr>
        <w:t>5</w:t>
      </w:r>
    </w:p>
    <w:p>
      <w:pPr>
        <w:spacing w:before="58"/>
        <w:ind w:left="20" w:right="0" w:firstLine="0"/>
        <w:jc w:val="left"/>
        <w:rPr>
          <w:sz w:val="14"/>
        </w:rPr>
      </w:pPr>
      <w:r>
        <w:rPr>
          <w:w w:val="105"/>
          <w:sz w:val="14"/>
        </w:rPr>
        <w:t>2.5</w:t>
      </w:r>
    </w:p>
    <w:p>
      <w:pPr>
        <w:spacing w:before="57"/>
        <w:ind w:left="20" w:right="0" w:firstLine="0"/>
        <w:jc w:val="left"/>
        <w:rPr>
          <w:sz w:val="14"/>
        </w:rPr>
      </w:pPr>
      <w:r>
        <w:rPr>
          <w:w w:val="105"/>
          <w:sz w:val="14"/>
        </w:rPr>
        <w:t>0</w:t>
      </w:r>
    </w:p>
    <w:p>
      <w:pPr>
        <w:spacing w:after="0"/>
        <w:jc w:val="left"/>
        <w:rPr>
          <w:sz w:val="14"/>
        </w:rPr>
        <w:sectPr>
          <w:pgSz w:w="12240" w:h="15840"/>
          <w:pgMar w:header="0" w:footer="1064" w:top="1340" w:bottom="1260" w:left="1720" w:right="1020"/>
          <w:cols w:num="2" w:equalWidth="0">
            <w:col w:w="8286" w:space="40"/>
            <w:col w:w="1174"/>
          </w:cols>
        </w:sectPr>
      </w:pPr>
    </w:p>
    <w:p>
      <w:pPr>
        <w:tabs>
          <w:tab w:pos="694" w:val="left" w:leader="none"/>
          <w:tab w:pos="1407" w:val="left" w:leader="none"/>
          <w:tab w:pos="2049" w:val="left" w:leader="none"/>
          <w:tab w:pos="2765" w:val="left" w:leader="none"/>
          <w:tab w:pos="3477" w:val="left" w:leader="none"/>
          <w:tab w:pos="4193" w:val="left" w:leader="none"/>
          <w:tab w:pos="4909" w:val="left" w:leader="none"/>
          <w:tab w:pos="5622" w:val="left" w:leader="none"/>
          <w:tab w:pos="6338" w:val="left" w:leader="none"/>
          <w:tab w:pos="7050" w:val="left" w:leader="none"/>
        </w:tabs>
        <w:spacing w:before="1"/>
        <w:ind w:left="42" w:right="0" w:firstLine="0"/>
        <w:jc w:val="center"/>
        <w:rPr>
          <w:sz w:val="14"/>
        </w:rPr>
      </w:pPr>
      <w:r>
        <w:rPr>
          <w:w w:val="105"/>
          <w:sz w:val="14"/>
        </w:rPr>
        <w:t>0</w:t>
        <w:tab/>
        <w:t>400</w:t>
        <w:tab/>
        <w:t>800</w:t>
        <w:tab/>
        <w:t>1200</w:t>
        <w:tab/>
        <w:t>1600</w:t>
        <w:tab/>
        <w:t>2000</w:t>
        <w:tab/>
        <w:t>2400</w:t>
        <w:tab/>
        <w:t>2800</w:t>
        <w:tab/>
        <w:t>3200</w:t>
        <w:tab/>
        <w:t>3600</w:t>
        <w:tab/>
        <w:t>4000</w:t>
      </w:r>
    </w:p>
    <w:p>
      <w:pPr>
        <w:spacing w:before="130"/>
        <w:ind w:left="42" w:right="527" w:firstLine="0"/>
        <w:jc w:val="center"/>
        <w:rPr>
          <w:sz w:val="21"/>
        </w:rPr>
      </w:pPr>
      <w:r>
        <w:rPr>
          <w:sz w:val="21"/>
        </w:rPr>
        <w:t>Striking</w:t>
      </w:r>
      <w:r>
        <w:rPr>
          <w:spacing w:val="12"/>
          <w:sz w:val="21"/>
        </w:rPr>
        <w:t> </w:t>
      </w:r>
      <w:r>
        <w:rPr>
          <w:sz w:val="21"/>
        </w:rPr>
        <w:t>Velocity</w:t>
      </w:r>
      <w:r>
        <w:rPr>
          <w:spacing w:val="11"/>
          <w:sz w:val="21"/>
        </w:rPr>
        <w:t> </w:t>
      </w:r>
      <w:r>
        <w:rPr>
          <w:sz w:val="21"/>
        </w:rPr>
        <w:t>(Vs)</w:t>
      </w:r>
      <w:r>
        <w:rPr>
          <w:spacing w:val="15"/>
          <w:sz w:val="21"/>
        </w:rPr>
        <w:t> </w:t>
      </w:r>
      <w:r>
        <w:rPr>
          <w:sz w:val="21"/>
        </w:rPr>
        <w:t>(fps)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1"/>
        </w:rPr>
      </w:pPr>
    </w:p>
    <w:p>
      <w:pPr>
        <w:spacing w:before="0"/>
        <w:ind w:left="440" w:right="0" w:firstLine="0"/>
        <w:jc w:val="both"/>
        <w:rPr>
          <w:i/>
          <w:sz w:val="24"/>
        </w:rPr>
      </w:pPr>
      <w:bookmarkStart w:name="_bookmark59" w:id="269"/>
      <w:bookmarkEnd w:id="269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5-6.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Spruce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Pine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Fir-South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data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shown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with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linear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quadratic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regression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lines.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9"/>
        <w:rPr>
          <w:i/>
          <w:sz w:val="35"/>
        </w:rPr>
      </w:pPr>
    </w:p>
    <w:p>
      <w:pPr>
        <w:pStyle w:val="BodyText"/>
        <w:spacing w:line="480" w:lineRule="auto"/>
        <w:ind w:left="440" w:right="419"/>
        <w:jc w:val="both"/>
      </w:pPr>
      <w:r>
        <w:rPr/>
        <w:t>Similarly, </w:t>
      </w:r>
      <w:hyperlink w:history="true" w:anchor="_bookmark60">
        <w:r>
          <w:rPr/>
          <w:t>Figure 5-7 </w:t>
        </w:r>
      </w:hyperlink>
      <w:r>
        <w:rPr/>
        <w:t>shows the data and linear and quadratic regression lines for the SYP</w:t>
      </w:r>
      <w:r>
        <w:rPr>
          <w:spacing w:val="-57"/>
        </w:rPr>
        <w:t> </w:t>
      </w:r>
      <w:r>
        <w:rPr/>
        <w:t>specimen tests. The R</w:t>
      </w:r>
      <w:r>
        <w:rPr>
          <w:vertAlign w:val="superscript"/>
        </w:rPr>
        <w:t>2</w:t>
      </w:r>
      <w:r>
        <w:rPr>
          <w:vertAlign w:val="baseline"/>
        </w:rPr>
        <w:t> values for both the linear regression and quadratic regression were</w:t>
      </w:r>
      <w:r>
        <w:rPr>
          <w:spacing w:val="-57"/>
          <w:vertAlign w:val="baseline"/>
        </w:rPr>
        <w:t> </w:t>
      </w:r>
      <w:r>
        <w:rPr>
          <w:vertAlign w:val="baseline"/>
        </w:rPr>
        <w:t>0.929.</w:t>
      </w:r>
    </w:p>
    <w:p>
      <w:pPr>
        <w:pStyle w:val="BodyText"/>
        <w:spacing w:line="480" w:lineRule="auto" w:before="160"/>
        <w:ind w:left="440" w:right="417" w:firstLine="720"/>
        <w:jc w:val="both"/>
      </w:pPr>
      <w:r>
        <w:rPr/>
        <w:t>The values for both the linear and quadratic regression of the data were both high</w:t>
      </w:r>
      <w:r>
        <w:rPr>
          <w:spacing w:val="1"/>
        </w:rPr>
        <w:t> </w:t>
      </w:r>
      <w:r>
        <w:rPr/>
        <w:t>suggesting good correlation for linear and quadratic models.</w:t>
      </w:r>
      <w:r>
        <w:rPr>
          <w:spacing w:val="1"/>
        </w:rPr>
        <w:t> </w:t>
      </w:r>
      <w:r>
        <w:rPr/>
        <w:t>While striking velocity is a</w:t>
      </w:r>
      <w:r>
        <w:rPr>
          <w:spacing w:val="1"/>
        </w:rPr>
        <w:t> </w:t>
      </w:r>
      <w:r>
        <w:rPr/>
        <w:t>key component of the penetration event, past penetration research has shown it is not the</w:t>
      </w:r>
      <w:r>
        <w:rPr>
          <w:spacing w:val="1"/>
        </w:rPr>
        <w:t> </w:t>
      </w:r>
      <w:r>
        <w:rPr/>
        <w:t>only</w:t>
      </w:r>
      <w:r>
        <w:rPr>
          <w:spacing w:val="-11"/>
        </w:rPr>
        <w:t> </w:t>
      </w:r>
      <w:r>
        <w:rPr/>
        <w:t>variable</w:t>
      </w:r>
      <w:r>
        <w:rPr>
          <w:spacing w:val="-10"/>
        </w:rPr>
        <w:t> </w:t>
      </w:r>
      <w:r>
        <w:rPr/>
        <w:t>in</w:t>
      </w:r>
      <w:r>
        <w:rPr>
          <w:spacing w:val="-10"/>
        </w:rPr>
        <w:t> </w:t>
      </w:r>
      <w:r>
        <w:rPr/>
        <w:t>determining</w:t>
      </w:r>
      <w:r>
        <w:rPr>
          <w:spacing w:val="-10"/>
        </w:rPr>
        <w:t> </w:t>
      </w:r>
      <w:r>
        <w:rPr/>
        <w:t>how</w:t>
      </w:r>
      <w:r>
        <w:rPr>
          <w:spacing w:val="-10"/>
        </w:rPr>
        <w:t> </w:t>
      </w:r>
      <w:r>
        <w:rPr/>
        <w:t>far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round</w:t>
      </w:r>
      <w:r>
        <w:rPr>
          <w:spacing w:val="-10"/>
        </w:rPr>
        <w:t> </w:t>
      </w:r>
      <w:r>
        <w:rPr/>
        <w:t>penetrates</w:t>
      </w:r>
      <w:r>
        <w:rPr>
          <w:spacing w:val="-11"/>
        </w:rPr>
        <w:t> </w:t>
      </w:r>
      <w:r>
        <w:rPr/>
        <w:t>into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test</w:t>
      </w:r>
      <w:r>
        <w:rPr>
          <w:spacing w:val="-9"/>
        </w:rPr>
        <w:t> </w:t>
      </w:r>
      <w:r>
        <w:rPr/>
        <w:t>specimens</w:t>
      </w:r>
      <w:r>
        <w:rPr>
          <w:spacing w:val="-10"/>
        </w:rPr>
        <w:t> </w:t>
      </w:r>
      <w:r>
        <w:rPr/>
        <w:t>so</w:t>
      </w:r>
      <w:r>
        <w:rPr>
          <w:spacing w:val="-10"/>
        </w:rPr>
        <w:t> </w:t>
      </w:r>
      <w:r>
        <w:rPr/>
        <w:t>further</w:t>
      </w:r>
      <w:r>
        <w:rPr>
          <w:spacing w:val="-58"/>
        </w:rPr>
        <w:t> </w:t>
      </w:r>
      <w:r>
        <w:rPr/>
        <w:t>analysis</w:t>
      </w:r>
      <w:r>
        <w:rPr>
          <w:spacing w:val="-1"/>
        </w:rPr>
        <w:t> </w:t>
      </w:r>
      <w:r>
        <w:rPr/>
        <w:t>is warranted.</w:t>
      </w:r>
    </w:p>
    <w:p>
      <w:pPr>
        <w:pStyle w:val="BodyText"/>
        <w:spacing w:before="9"/>
        <w:rPr>
          <w:sz w:val="14"/>
        </w:rPr>
      </w:pPr>
    </w:p>
    <w:tbl>
      <w:tblPr>
        <w:tblW w:w="0" w:type="auto"/>
        <w:jc w:val="left"/>
        <w:tblInd w:w="13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48"/>
        <w:gridCol w:w="4203"/>
      </w:tblGrid>
      <w:tr>
        <w:trPr>
          <w:trHeight w:val="288" w:hRule="atLeast"/>
        </w:trPr>
        <w:tc>
          <w:tcPr>
            <w:tcW w:w="2448" w:type="dxa"/>
          </w:tcPr>
          <w:p>
            <w:pPr>
              <w:pStyle w:val="TableParagraph"/>
              <w:spacing w:line="266" w:lineRule="exact"/>
              <w:ind w:right="105"/>
              <w:jc w:val="right"/>
              <w:rPr>
                <w:sz w:val="24"/>
              </w:rPr>
            </w:pPr>
            <w:r>
              <w:rPr>
                <w:sz w:val="24"/>
              </w:rPr>
              <w:t>Linear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Regression:</w:t>
            </w:r>
          </w:p>
        </w:tc>
        <w:tc>
          <w:tcPr>
            <w:tcW w:w="4203" w:type="dxa"/>
          </w:tcPr>
          <w:p>
            <w:pPr>
              <w:pStyle w:val="TableParagraph"/>
              <w:spacing w:line="268" w:lineRule="exact"/>
              <w:ind w:left="107"/>
              <w:rPr>
                <w:rFonts w:ascii="Cambria Math" w:hAnsi="Cambria Math" w:eastAsia="Cambria Math"/>
                <w:sz w:val="17"/>
              </w:rPr>
            </w:pPr>
            <w:r>
              <w:rPr>
                <w:rFonts w:ascii="Cambria Math" w:hAnsi="Cambria Math" w:eastAsia="Cambria Math"/>
                <w:w w:val="95"/>
                <w:sz w:val="24"/>
              </w:rPr>
              <w:t>𝑇</w:t>
            </w:r>
            <w:r>
              <w:rPr>
                <w:rFonts w:ascii="Cambria Math" w:hAnsi="Cambria Math" w:eastAsia="Cambria Math"/>
                <w:w w:val="95"/>
                <w:position w:val="-4"/>
                <w:sz w:val="17"/>
              </w:rPr>
              <w:t>𝑤𝑤</w:t>
            </w:r>
            <w:r>
              <w:rPr>
                <w:rFonts w:ascii="Cambria Math" w:hAnsi="Cambria Math" w:eastAsia="Cambria Math"/>
                <w:spacing w:val="3"/>
                <w:w w:val="95"/>
                <w:position w:val="-4"/>
                <w:sz w:val="17"/>
              </w:rPr>
              <w:t> </w:t>
            </w:r>
            <w:r>
              <w:rPr>
                <w:rFonts w:ascii="Cambria Math" w:hAnsi="Cambria Math" w:eastAsia="Cambria Math"/>
                <w:w w:val="95"/>
                <w:sz w:val="24"/>
              </w:rPr>
              <w:t>=</w:t>
            </w:r>
            <w:r>
              <w:rPr>
                <w:rFonts w:ascii="Cambria Math" w:hAnsi="Cambria Math" w:eastAsia="Cambria Math"/>
                <w:spacing w:val="10"/>
                <w:w w:val="95"/>
                <w:sz w:val="24"/>
              </w:rPr>
              <w:t> </w:t>
            </w:r>
            <w:r>
              <w:rPr>
                <w:rFonts w:ascii="Cambria Math" w:hAnsi="Cambria Math" w:eastAsia="Cambria Math"/>
                <w:w w:val="95"/>
                <w:sz w:val="24"/>
              </w:rPr>
              <w:t>−3.307</w:t>
            </w:r>
            <w:r>
              <w:rPr>
                <w:rFonts w:ascii="Cambria Math" w:hAnsi="Cambria Math" w:eastAsia="Cambria Math"/>
                <w:spacing w:val="-1"/>
                <w:w w:val="95"/>
                <w:sz w:val="24"/>
              </w:rPr>
              <w:t> </w:t>
            </w:r>
            <w:r>
              <w:rPr>
                <w:rFonts w:ascii="Cambria Math" w:hAnsi="Cambria Math" w:eastAsia="Cambria Math"/>
                <w:w w:val="95"/>
                <w:sz w:val="24"/>
              </w:rPr>
              <w:t>+</w:t>
            </w:r>
            <w:r>
              <w:rPr>
                <w:rFonts w:ascii="Cambria Math" w:hAnsi="Cambria Math" w:eastAsia="Cambria Math"/>
                <w:spacing w:val="-1"/>
                <w:w w:val="95"/>
                <w:sz w:val="24"/>
              </w:rPr>
              <w:t> </w:t>
            </w:r>
            <w:r>
              <w:rPr>
                <w:rFonts w:ascii="Cambria Math" w:hAnsi="Cambria Math" w:eastAsia="Cambria Math"/>
                <w:w w:val="95"/>
                <w:sz w:val="24"/>
              </w:rPr>
              <w:t>0.004445𝑣</w:t>
            </w:r>
            <w:r>
              <w:rPr>
                <w:rFonts w:ascii="Cambria Math" w:hAnsi="Cambria Math" w:eastAsia="Cambria Math"/>
                <w:w w:val="95"/>
                <w:position w:val="-4"/>
                <w:sz w:val="17"/>
              </w:rPr>
              <w:t>𝑠</w:t>
            </w:r>
          </w:p>
        </w:tc>
      </w:tr>
      <w:tr>
        <w:trPr>
          <w:trHeight w:val="303" w:hRule="atLeast"/>
        </w:trPr>
        <w:tc>
          <w:tcPr>
            <w:tcW w:w="2448" w:type="dxa"/>
          </w:tcPr>
          <w:p>
            <w:pPr>
              <w:pStyle w:val="TableParagraph"/>
              <w:spacing w:line="260" w:lineRule="exact"/>
              <w:ind w:right="105"/>
              <w:jc w:val="right"/>
              <w:rPr>
                <w:sz w:val="24"/>
              </w:rPr>
            </w:pPr>
            <w:r>
              <w:rPr>
                <w:sz w:val="24"/>
              </w:rPr>
              <w:t>Quadratic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Regression:</w:t>
            </w:r>
          </w:p>
        </w:tc>
        <w:tc>
          <w:tcPr>
            <w:tcW w:w="4203" w:type="dxa"/>
          </w:tcPr>
          <w:p>
            <w:pPr>
              <w:pStyle w:val="TableParagraph"/>
              <w:spacing w:line="203" w:lineRule="exact"/>
              <w:ind w:left="107"/>
              <w:rPr>
                <w:rFonts w:ascii="Cambria Math" w:hAnsi="Cambria Math" w:eastAsia="Cambria Math"/>
                <w:sz w:val="24"/>
              </w:rPr>
            </w:pPr>
            <w:r>
              <w:rPr>
                <w:rFonts w:ascii="Cambria Math" w:hAnsi="Cambria Math" w:eastAsia="Cambria Math"/>
                <w:sz w:val="24"/>
              </w:rPr>
              <w:t>𝑇</w:t>
            </w:r>
            <w:r>
              <w:rPr>
                <w:rFonts w:ascii="Cambria Math" w:hAnsi="Cambria Math" w:eastAsia="Cambria Math"/>
                <w:position w:val="-4"/>
                <w:sz w:val="17"/>
              </w:rPr>
              <w:t>𝑤𝑤</w:t>
            </w:r>
            <w:r>
              <w:rPr>
                <w:rFonts w:ascii="Cambria Math" w:hAnsi="Cambria Math" w:eastAsia="Cambria Math"/>
                <w:spacing w:val="29"/>
                <w:position w:val="-4"/>
                <w:sz w:val="17"/>
              </w:rPr>
              <w:t> </w:t>
            </w:r>
            <w:r>
              <w:rPr>
                <w:rFonts w:ascii="Cambria Math" w:hAnsi="Cambria Math" w:eastAsia="Cambria Math"/>
                <w:sz w:val="24"/>
              </w:rPr>
              <w:t>=</w:t>
            </w:r>
            <w:r>
              <w:rPr>
                <w:rFonts w:ascii="Cambria Math" w:hAnsi="Cambria Math" w:eastAsia="Cambria Math"/>
                <w:spacing w:val="3"/>
                <w:sz w:val="24"/>
              </w:rPr>
              <w:t> </w:t>
            </w:r>
            <w:r>
              <w:rPr>
                <w:rFonts w:ascii="Cambria Math" w:hAnsi="Cambria Math" w:eastAsia="Cambria Math"/>
                <w:sz w:val="24"/>
              </w:rPr>
              <w:t>9</w:t>
            </w:r>
            <w:r>
              <w:rPr>
                <w:rFonts w:ascii="Cambria Math" w:hAnsi="Cambria Math" w:eastAsia="Cambria Math"/>
                <w:spacing w:val="-8"/>
                <w:sz w:val="24"/>
              </w:rPr>
              <w:t> </w:t>
            </w:r>
            <w:r>
              <w:rPr>
                <w:rFonts w:ascii="Cambria Math" w:hAnsi="Cambria Math" w:eastAsia="Cambria Math"/>
                <w:sz w:val="24"/>
              </w:rPr>
              <w:t>∗</w:t>
            </w:r>
            <w:r>
              <w:rPr>
                <w:rFonts w:ascii="Cambria Math" w:hAnsi="Cambria Math" w:eastAsia="Cambria Math"/>
                <w:spacing w:val="-9"/>
                <w:sz w:val="24"/>
              </w:rPr>
              <w:t> </w:t>
            </w:r>
            <w:r>
              <w:rPr>
                <w:rFonts w:ascii="Cambria Math" w:hAnsi="Cambria Math" w:eastAsia="Cambria Math"/>
                <w:sz w:val="24"/>
              </w:rPr>
              <w:t>10</w:t>
            </w:r>
            <w:r>
              <w:rPr>
                <w:rFonts w:ascii="Cambria Math" w:hAnsi="Cambria Math" w:eastAsia="Cambria Math"/>
                <w:sz w:val="24"/>
                <w:vertAlign w:val="superscript"/>
              </w:rPr>
              <w:t>−8</w:t>
            </w:r>
            <w:r>
              <w:rPr>
                <w:rFonts w:ascii="Cambria Math" w:hAnsi="Cambria Math" w:eastAsia="Cambria Math"/>
                <w:sz w:val="24"/>
                <w:vertAlign w:val="baseline"/>
              </w:rPr>
              <w:t>𝑣</w:t>
            </w:r>
            <w:r>
              <w:rPr>
                <w:rFonts w:ascii="Cambria Math" w:hAnsi="Cambria Math" w:eastAsia="Cambria Math"/>
                <w:sz w:val="24"/>
                <w:vertAlign w:val="superscript"/>
              </w:rPr>
              <w:t>2</w:t>
            </w:r>
            <w:r>
              <w:rPr>
                <w:rFonts w:ascii="Cambria Math" w:hAnsi="Cambria Math" w:eastAsia="Cambria Math"/>
                <w:sz w:val="24"/>
                <w:vertAlign w:val="baseline"/>
              </w:rPr>
              <w:t> +</w:t>
            </w:r>
            <w:r>
              <w:rPr>
                <w:rFonts w:ascii="Cambria Math" w:hAnsi="Cambria Math" w:eastAsia="Cambria Math"/>
                <w:spacing w:val="-9"/>
                <w:sz w:val="24"/>
                <w:vertAlign w:val="baseline"/>
              </w:rPr>
              <w:t> </w:t>
            </w:r>
            <w:r>
              <w:rPr>
                <w:rFonts w:ascii="Cambria Math" w:hAnsi="Cambria Math" w:eastAsia="Cambria Math"/>
                <w:sz w:val="24"/>
                <w:vertAlign w:val="baseline"/>
              </w:rPr>
              <w:t>0.0048𝑣</w:t>
            </w:r>
            <w:r>
              <w:rPr>
                <w:rFonts w:ascii="Cambria Math" w:hAnsi="Cambria Math" w:eastAsia="Cambria Math"/>
                <w:spacing w:val="7"/>
                <w:sz w:val="24"/>
                <w:vertAlign w:val="baseline"/>
              </w:rPr>
              <w:t> </w:t>
            </w:r>
            <w:r>
              <w:rPr>
                <w:rFonts w:ascii="Cambria Math" w:hAnsi="Cambria Math" w:eastAsia="Cambria Math"/>
                <w:sz w:val="24"/>
                <w:vertAlign w:val="baseline"/>
              </w:rPr>
              <w:t>−</w:t>
            </w:r>
            <w:r>
              <w:rPr>
                <w:rFonts w:ascii="Cambria Math" w:hAnsi="Cambria Math" w:eastAsia="Cambria Math"/>
                <w:spacing w:val="-8"/>
                <w:sz w:val="24"/>
                <w:vertAlign w:val="baseline"/>
              </w:rPr>
              <w:t> </w:t>
            </w:r>
            <w:r>
              <w:rPr>
                <w:rFonts w:ascii="Cambria Math" w:hAnsi="Cambria Math" w:eastAsia="Cambria Math"/>
                <w:sz w:val="24"/>
                <w:vertAlign w:val="baseline"/>
              </w:rPr>
              <w:t>3.6456</w:t>
            </w:r>
          </w:p>
          <w:p>
            <w:pPr>
              <w:pStyle w:val="TableParagraph"/>
              <w:tabs>
                <w:tab w:pos="2907" w:val="left" w:leader="none"/>
              </w:tabs>
              <w:spacing w:line="80" w:lineRule="exact"/>
              <w:ind w:left="1653"/>
              <w:rPr>
                <w:rFonts w:ascii="Cambria Math" w:eastAsia="Cambria Math"/>
                <w:sz w:val="17"/>
              </w:rPr>
            </w:pPr>
            <w:r>
              <w:rPr>
                <w:rFonts w:ascii="Cambria Math" w:eastAsia="Cambria Math"/>
                <w:w w:val="105"/>
                <w:sz w:val="17"/>
              </w:rPr>
              <w:t>𝑠</w:t>
              <w:tab/>
              <w:t>𝑠</w:t>
            </w:r>
          </w:p>
        </w:tc>
      </w:tr>
    </w:tbl>
    <w:p>
      <w:pPr>
        <w:spacing w:after="0" w:line="80" w:lineRule="exact"/>
        <w:rPr>
          <w:rFonts w:ascii="Cambria Math" w:eastAsia="Cambria Math"/>
          <w:sz w:val="17"/>
        </w:rPr>
        <w:sectPr>
          <w:type w:val="continuous"/>
          <w:pgSz w:w="12240" w:h="15840"/>
          <w:pgMar w:top="1380" w:bottom="280" w:left="1720" w:right="1020"/>
        </w:sectPr>
      </w:pPr>
    </w:p>
    <w:p>
      <w:pPr>
        <w:pStyle w:val="BodyText"/>
        <w:spacing w:before="69"/>
        <w:ind w:left="42" w:right="247"/>
        <w:jc w:val="center"/>
      </w:pPr>
      <w:r>
        <w:rPr>
          <w:w w:val="105"/>
        </w:rPr>
        <w:t>Striking</w:t>
      </w:r>
      <w:r>
        <w:rPr>
          <w:spacing w:val="-15"/>
          <w:w w:val="105"/>
        </w:rPr>
        <w:t> </w:t>
      </w:r>
      <w:r>
        <w:rPr>
          <w:w w:val="105"/>
        </w:rPr>
        <w:t>Velocity</w:t>
      </w:r>
      <w:r>
        <w:rPr>
          <w:spacing w:val="-15"/>
          <w:w w:val="105"/>
        </w:rPr>
        <w:t> </w:t>
      </w:r>
      <w:r>
        <w:rPr>
          <w:w w:val="105"/>
        </w:rPr>
        <w:t>(Vs)</w:t>
      </w:r>
      <w:r>
        <w:rPr>
          <w:spacing w:val="-15"/>
          <w:w w:val="105"/>
        </w:rPr>
        <w:t> </w:t>
      </w:r>
      <w:r>
        <w:rPr>
          <w:w w:val="105"/>
        </w:rPr>
        <w:t>(m/s)</w:t>
      </w:r>
    </w:p>
    <w:p>
      <w:pPr>
        <w:spacing w:line="192" w:lineRule="exact" w:before="118"/>
        <w:ind w:left="42" w:right="47" w:firstLine="0"/>
        <w:jc w:val="center"/>
        <w:rPr>
          <w:sz w:val="17"/>
        </w:rPr>
      </w:pPr>
      <w:r>
        <w:rPr>
          <w:spacing w:val="-1"/>
          <w:sz w:val="17"/>
        </w:rPr>
        <w:t>0</w:t>
      </w:r>
      <w:r>
        <w:rPr>
          <w:spacing w:val="98"/>
          <w:sz w:val="17"/>
        </w:rPr>
        <w:t> </w:t>
      </w:r>
      <w:r>
        <w:rPr>
          <w:spacing w:val="-1"/>
          <w:sz w:val="17"/>
        </w:rPr>
        <w:t>60</w:t>
      </w:r>
      <w:r>
        <w:rPr>
          <w:spacing w:val="49"/>
          <w:sz w:val="17"/>
        </w:rPr>
        <w:t> </w:t>
      </w:r>
      <w:r>
        <w:rPr>
          <w:spacing w:val="-1"/>
          <w:sz w:val="17"/>
        </w:rPr>
        <w:t>120</w:t>
      </w:r>
      <w:r>
        <w:rPr>
          <w:spacing w:val="31"/>
          <w:sz w:val="17"/>
        </w:rPr>
        <w:t> </w:t>
      </w:r>
      <w:r>
        <w:rPr>
          <w:spacing w:val="-1"/>
          <w:sz w:val="17"/>
        </w:rPr>
        <w:t>180</w:t>
      </w:r>
      <w:r>
        <w:rPr>
          <w:spacing w:val="26"/>
          <w:sz w:val="17"/>
        </w:rPr>
        <w:t> </w:t>
      </w:r>
      <w:r>
        <w:rPr>
          <w:spacing w:val="-1"/>
          <w:sz w:val="17"/>
        </w:rPr>
        <w:t>240</w:t>
      </w:r>
      <w:r>
        <w:rPr>
          <w:spacing w:val="31"/>
          <w:sz w:val="17"/>
        </w:rPr>
        <w:t> </w:t>
      </w:r>
      <w:r>
        <w:rPr>
          <w:spacing w:val="-1"/>
          <w:sz w:val="17"/>
        </w:rPr>
        <w:t>300</w:t>
      </w:r>
      <w:r>
        <w:rPr>
          <w:spacing w:val="27"/>
          <w:sz w:val="17"/>
        </w:rPr>
        <w:t> </w:t>
      </w:r>
      <w:r>
        <w:rPr>
          <w:spacing w:val="-1"/>
          <w:sz w:val="17"/>
        </w:rPr>
        <w:t>360</w:t>
      </w:r>
      <w:r>
        <w:rPr>
          <w:spacing w:val="30"/>
          <w:sz w:val="17"/>
        </w:rPr>
        <w:t> </w:t>
      </w:r>
      <w:r>
        <w:rPr>
          <w:spacing w:val="-1"/>
          <w:sz w:val="17"/>
        </w:rPr>
        <w:t>420</w:t>
      </w:r>
      <w:r>
        <w:rPr>
          <w:spacing w:val="27"/>
          <w:sz w:val="17"/>
        </w:rPr>
        <w:t> </w:t>
      </w:r>
      <w:r>
        <w:rPr>
          <w:spacing w:val="-1"/>
          <w:sz w:val="17"/>
        </w:rPr>
        <w:t>480</w:t>
      </w:r>
      <w:r>
        <w:rPr>
          <w:spacing w:val="27"/>
          <w:sz w:val="17"/>
        </w:rPr>
        <w:t> </w:t>
      </w:r>
      <w:r>
        <w:rPr>
          <w:spacing w:val="-1"/>
          <w:sz w:val="17"/>
        </w:rPr>
        <w:t>540</w:t>
      </w:r>
      <w:r>
        <w:rPr>
          <w:spacing w:val="30"/>
          <w:sz w:val="17"/>
        </w:rPr>
        <w:t> </w:t>
      </w:r>
      <w:r>
        <w:rPr>
          <w:spacing w:val="-1"/>
          <w:sz w:val="17"/>
        </w:rPr>
        <w:t>600</w:t>
      </w:r>
      <w:r>
        <w:rPr>
          <w:spacing w:val="27"/>
          <w:sz w:val="17"/>
        </w:rPr>
        <w:t> </w:t>
      </w:r>
      <w:r>
        <w:rPr>
          <w:spacing w:val="-1"/>
          <w:sz w:val="17"/>
        </w:rPr>
        <w:t>660</w:t>
      </w:r>
      <w:r>
        <w:rPr>
          <w:spacing w:val="30"/>
          <w:sz w:val="17"/>
        </w:rPr>
        <w:t> </w:t>
      </w:r>
      <w:r>
        <w:rPr>
          <w:sz w:val="17"/>
        </w:rPr>
        <w:t>720</w:t>
      </w:r>
      <w:r>
        <w:rPr>
          <w:spacing w:val="27"/>
          <w:sz w:val="17"/>
        </w:rPr>
        <w:t> </w:t>
      </w:r>
      <w:r>
        <w:rPr>
          <w:sz w:val="17"/>
        </w:rPr>
        <w:t>780</w:t>
      </w:r>
      <w:r>
        <w:rPr>
          <w:spacing w:val="27"/>
          <w:sz w:val="17"/>
        </w:rPr>
        <w:t> </w:t>
      </w:r>
      <w:r>
        <w:rPr>
          <w:sz w:val="17"/>
        </w:rPr>
        <w:t>840</w:t>
      </w:r>
      <w:r>
        <w:rPr>
          <w:spacing w:val="30"/>
          <w:sz w:val="17"/>
        </w:rPr>
        <w:t> </w:t>
      </w:r>
      <w:r>
        <w:rPr>
          <w:sz w:val="17"/>
        </w:rPr>
        <w:t>900</w:t>
      </w:r>
      <w:r>
        <w:rPr>
          <w:spacing w:val="27"/>
          <w:sz w:val="17"/>
        </w:rPr>
        <w:t> </w:t>
      </w:r>
      <w:r>
        <w:rPr>
          <w:sz w:val="17"/>
        </w:rPr>
        <w:t>960</w:t>
      </w:r>
      <w:r>
        <w:rPr>
          <w:spacing w:val="23"/>
          <w:sz w:val="17"/>
        </w:rPr>
        <w:t> </w:t>
      </w:r>
      <w:r>
        <w:rPr>
          <w:sz w:val="17"/>
        </w:rPr>
        <w:t>102010801140</w:t>
      </w:r>
      <w:r>
        <w:rPr>
          <w:spacing w:val="-24"/>
          <w:sz w:val="17"/>
        </w:rPr>
        <w:t> </w:t>
      </w:r>
      <w:r>
        <w:rPr>
          <w:sz w:val="17"/>
        </w:rPr>
        <w:t>1200</w:t>
      </w:r>
    </w:p>
    <w:p>
      <w:pPr>
        <w:tabs>
          <w:tab w:pos="6962" w:val="left" w:leader="none"/>
        </w:tabs>
        <w:spacing w:line="232" w:lineRule="exact" w:before="0"/>
        <w:ind w:left="0" w:right="40" w:firstLine="0"/>
        <w:jc w:val="center"/>
        <w:rPr>
          <w:sz w:val="17"/>
        </w:rPr>
      </w:pPr>
      <w:r>
        <w:rPr/>
        <w:pict>
          <v:group style="position:absolute;margin-left:153.688049pt;margin-top:4.34256pt;width:332.5pt;height:179.1pt;mso-position-horizontal-relative:page;mso-position-vertical-relative:paragraph;z-index:-34915328" coordorigin="3074,87" coordsize="6650,3582">
            <v:rect style="position:absolute;left:3081;top:94;width:6634;height:3567" filled="false" stroked="true" strokeweight=".773649pt" strokecolor="#000000">
              <v:stroke dashstyle="solid"/>
            </v:rect>
            <v:line style="position:absolute" from="3410,3661" to="3410,3561" stroked="true" strokeweight=".580232pt" strokecolor="#000000">
              <v:stroke dashstyle="solid"/>
            </v:line>
            <v:line style="position:absolute" from="3743,3661" to="3743,3561" stroked="true" strokeweight=".580232pt" strokecolor="#000000">
              <v:stroke dashstyle="solid"/>
            </v:line>
            <v:line style="position:absolute" from="4076,3661" to="4076,3561" stroked="true" strokeweight=".580232pt" strokecolor="#000000">
              <v:stroke dashstyle="solid"/>
            </v:line>
            <v:line style="position:absolute" from="5070,3661" to="5070,3561" stroked="true" strokeweight=".580232pt" strokecolor="#000000">
              <v:stroke dashstyle="solid"/>
            </v:line>
            <v:line style="position:absolute" from="5402,3661" to="5402,3561" stroked="true" strokeweight=".580232pt" strokecolor="#000000">
              <v:stroke dashstyle="solid"/>
            </v:line>
            <v:line style="position:absolute" from="5735,3661" to="5735,3561" stroked="true" strokeweight=".580232pt" strokecolor="#000000">
              <v:stroke dashstyle="solid"/>
            </v:line>
            <v:line style="position:absolute" from="6068,3661" to="6068,3561" stroked="true" strokeweight=".580232pt" strokecolor="#000000">
              <v:stroke dashstyle="solid"/>
            </v:line>
            <v:line style="position:absolute" from="6397,3661" to="6397,3561" stroked="true" strokeweight=".580232pt" strokecolor="#000000">
              <v:stroke dashstyle="solid"/>
            </v:line>
            <v:line style="position:absolute" from="6729,3661" to="6729,3561" stroked="true" strokeweight=".580232pt" strokecolor="#000000">
              <v:stroke dashstyle="solid"/>
            </v:line>
            <v:line style="position:absolute" from="7062,3661" to="7062,3561" stroked="true" strokeweight=".580232pt" strokecolor="#000000">
              <v:stroke dashstyle="solid"/>
            </v:line>
            <v:line style="position:absolute" from="7395,3661" to="7395,3561" stroked="true" strokeweight=".580232pt" strokecolor="#000000">
              <v:stroke dashstyle="solid"/>
            </v:line>
            <v:line style="position:absolute" from="7727,3661" to="7727,3561" stroked="true" strokeweight=".580232pt" strokecolor="#000000">
              <v:stroke dashstyle="solid"/>
            </v:line>
            <v:line style="position:absolute" from="8056,3661" to="8056,3561" stroked="true" strokeweight=".580232pt" strokecolor="#000000">
              <v:stroke dashstyle="solid"/>
            </v:line>
            <v:line style="position:absolute" from="8389,3661" to="8389,3561" stroked="true" strokeweight=".580232pt" strokecolor="#000000">
              <v:stroke dashstyle="solid"/>
            </v:line>
            <v:line style="position:absolute" from="8721,3661" to="8721,3561" stroked="true" strokeweight=".580232pt" strokecolor="#000000">
              <v:stroke dashstyle="solid"/>
            </v:line>
            <v:line style="position:absolute" from="9054,3661" to="9054,3561" stroked="true" strokeweight=".580232pt" strokecolor="#000000">
              <v:stroke dashstyle="solid"/>
            </v:line>
            <v:line style="position:absolute" from="9383,3661" to="9383,3561" stroked="true" strokeweight=".580232pt" strokecolor="#000000">
              <v:stroke dashstyle="solid"/>
            </v:line>
            <v:line style="position:absolute" from="3081,95" to="3081,195" stroked="true" strokeweight=".580232pt" strokecolor="#000000">
              <v:stroke dashstyle="solid"/>
            </v:line>
            <v:line style="position:absolute" from="3406,95" to="3406,195" stroked="true" strokeweight=".580232pt" strokecolor="#000000">
              <v:stroke dashstyle="solid"/>
            </v:line>
            <v:line style="position:absolute" from="3731,95" to="3731,195" stroked="true" strokeweight=".580232pt" strokecolor="#000000">
              <v:stroke dashstyle="solid"/>
            </v:line>
            <v:line style="position:absolute" from="4060,95" to="4060,195" stroked="true" strokeweight=".580232pt" strokecolor="#000000">
              <v:stroke dashstyle="solid"/>
            </v:line>
            <v:line style="position:absolute" from="4385,95" to="4385,195" stroked="true" strokeweight=".580232pt" strokecolor="#000000">
              <v:stroke dashstyle="solid"/>
            </v:line>
            <v:line style="position:absolute" from="4714,95" to="4714,195" stroked="true" strokeweight=".580232pt" strokecolor="#000000">
              <v:stroke dashstyle="solid"/>
            </v:line>
            <v:line style="position:absolute" from="5039,95" to="5039,195" stroked="true" strokeweight=".580232pt" strokecolor="#000000">
              <v:stroke dashstyle="solid"/>
            </v:line>
            <v:line style="position:absolute" from="5368,95" to="5368,195" stroked="true" strokeweight=".580232pt" strokecolor="#000000">
              <v:stroke dashstyle="solid"/>
            </v:line>
            <v:line style="position:absolute" from="5692,95" to="5692,195" stroked="true" strokeweight=".580232pt" strokecolor="#000000">
              <v:stroke dashstyle="solid"/>
            </v:line>
            <v:line style="position:absolute" from="6017,95" to="6017,195" stroked="true" strokeweight=".580232pt" strokecolor="#000000">
              <v:stroke dashstyle="solid"/>
            </v:line>
            <v:line style="position:absolute" from="6346,95" to="6346,195" stroked="true" strokeweight=".580232pt" strokecolor="#000000">
              <v:stroke dashstyle="solid"/>
            </v:line>
            <v:line style="position:absolute" from="6671,95" to="6671,195" stroked="true" strokeweight=".580232pt" strokecolor="#000000">
              <v:stroke dashstyle="solid"/>
            </v:line>
            <v:line style="position:absolute" from="7000,95" to="7000,195" stroked="true" strokeweight=".580232pt" strokecolor="#000000">
              <v:stroke dashstyle="solid"/>
            </v:line>
            <v:line style="position:absolute" from="7325,95" to="7325,195" stroked="true" strokeweight=".580232pt" strokecolor="#000000">
              <v:stroke dashstyle="solid"/>
            </v:line>
            <v:line style="position:absolute" from="7650,95" to="7650,195" stroked="true" strokeweight=".580232pt" strokecolor="#000000">
              <v:stroke dashstyle="solid"/>
            </v:line>
            <v:line style="position:absolute" from="7979,95" to="7979,195" stroked="true" strokeweight=".580232pt" strokecolor="#000000">
              <v:stroke dashstyle="solid"/>
            </v:line>
            <v:line style="position:absolute" from="8304,95" to="8304,195" stroked="true" strokeweight=".580232pt" strokecolor="#000000">
              <v:stroke dashstyle="solid"/>
            </v:line>
            <v:line style="position:absolute" from="8632,95" to="8632,195" stroked="true" strokeweight=".580232pt" strokecolor="#000000">
              <v:stroke dashstyle="solid"/>
            </v:line>
            <v:line style="position:absolute" from="9611,95" to="9611,195" stroked="true" strokeweight=".580232pt" strokecolor="#000000">
              <v:stroke dashstyle="solid"/>
            </v:line>
            <v:line style="position:absolute" from="3081,3386" to="3209,3386" stroked="true" strokeweight=".580238pt" strokecolor="#000000">
              <v:stroke dashstyle="solid"/>
            </v:line>
            <v:line style="position:absolute" from="3081,3112" to="3209,3112" stroked="true" strokeweight=".580238pt" strokecolor="#000000">
              <v:stroke dashstyle="solid"/>
            </v:line>
            <v:line style="position:absolute" from="3081,2837" to="3209,2837" stroked="true" strokeweight=".580238pt" strokecolor="#000000">
              <v:stroke dashstyle="solid"/>
            </v:line>
            <v:line style="position:absolute" from="3081,2566" to="3209,2566" stroked="true" strokeweight=".580238pt" strokecolor="#000000">
              <v:stroke dashstyle="solid"/>
            </v:line>
            <v:line style="position:absolute" from="3081,2292" to="3209,2292" stroked="true" strokeweight=".580238pt" strokecolor="#000000">
              <v:stroke dashstyle="solid"/>
            </v:line>
            <v:line style="position:absolute" from="3081,2017" to="3209,2017" stroked="true" strokeweight=".580238pt" strokecolor="#000000">
              <v:stroke dashstyle="solid"/>
            </v:line>
            <v:line style="position:absolute" from="3081,1742" to="3209,1742" stroked="true" strokeweight=".580238pt" strokecolor="#000000">
              <v:stroke dashstyle="solid"/>
            </v:line>
            <v:line style="position:absolute" from="3081,1468" to="3209,1468" stroked="true" strokeweight=".580238pt" strokecolor="#000000">
              <v:stroke dashstyle="solid"/>
            </v:line>
            <v:line style="position:absolute" from="3081,1193" to="3209,1193" stroked="true" strokeweight=".580238pt" strokecolor="#000000">
              <v:stroke dashstyle="solid"/>
            </v:line>
            <v:line style="position:absolute" from="3081,918" to="3209,918" stroked="true" strokeweight=".580238pt" strokecolor="#000000">
              <v:stroke dashstyle="solid"/>
            </v:line>
            <v:line style="position:absolute" from="3081,644" to="3209,644" stroked="true" strokeweight=".580238pt" strokecolor="#000000">
              <v:stroke dashstyle="solid"/>
            </v:line>
            <v:line style="position:absolute" from="3081,369" to="3209,369" stroked="true" strokeweight=".580238pt" strokecolor="#000000">
              <v:stroke dashstyle="solid"/>
            </v:line>
            <v:line style="position:absolute" from="9715,3661" to="9584,3661" stroked="true" strokeweight=".580238pt" strokecolor="#000000">
              <v:stroke dashstyle="solid"/>
            </v:line>
            <v:line style="position:absolute" from="9715,3390" to="9584,3390" stroked="true" strokeweight=".580238pt" strokecolor="#000000">
              <v:stroke dashstyle="solid"/>
            </v:line>
            <v:line style="position:absolute" from="9715,3123" to="9584,3123" stroked="true" strokeweight=".580238pt" strokecolor="#000000">
              <v:stroke dashstyle="solid"/>
            </v:line>
            <v:line style="position:absolute" from="9715,2853" to="9584,2853" stroked="true" strokeweight=".580238pt" strokecolor="#000000">
              <v:stroke dashstyle="solid"/>
            </v:line>
            <v:line style="position:absolute" from="9715,2582" to="9584,2582" stroked="true" strokeweight=".580238pt" strokecolor="#000000">
              <v:stroke dashstyle="solid"/>
            </v:line>
            <v:line style="position:absolute" from="9715,2311" to="9584,2311" stroked="true" strokeweight=".580238pt" strokecolor="#000000">
              <v:stroke dashstyle="solid"/>
            </v:line>
            <v:line style="position:absolute" from="9715,2040" to="9584,2040" stroked="true" strokeweight=".580238pt" strokecolor="#000000">
              <v:stroke dashstyle="solid"/>
            </v:line>
            <v:line style="position:absolute" from="9715,1773" to="9584,1773" stroked="true" strokeweight=".580238pt" strokecolor="#000000">
              <v:stroke dashstyle="solid"/>
            </v:line>
            <v:line style="position:absolute" from="9715,1503" to="9584,1503" stroked="true" strokeweight=".580238pt" strokecolor="#000000">
              <v:stroke dashstyle="solid"/>
            </v:line>
            <v:line style="position:absolute" from="9715,1232" to="9584,1232" stroked="true" strokeweight=".580238pt" strokecolor="#000000">
              <v:stroke dashstyle="solid"/>
            </v:line>
            <v:line style="position:absolute" from="9715,961" to="9584,961" stroked="true" strokeweight=".580238pt" strokecolor="#000000">
              <v:stroke dashstyle="solid"/>
            </v:line>
            <v:line style="position:absolute" from="9715,690" to="9584,690" stroked="true" strokeweight=".580238pt" strokecolor="#000000">
              <v:stroke dashstyle="solid"/>
            </v:line>
            <v:line style="position:absolute" from="9715,423" to="9584,423" stroked="true" strokeweight=".580238pt" strokecolor="#000000">
              <v:stroke dashstyle="solid"/>
            </v:line>
            <v:line style="position:absolute" from="9715,152" to="9584,152" stroked="true" strokeweight=".580238pt" strokecolor="#000000">
              <v:stroke dashstyle="solid"/>
            </v:line>
            <v:shape style="position:absolute;left:6454;top:1707;width:70;height:51" coordorigin="6454,1708" coordsize="70,51" path="m6524,1758l6454,1758,6489,1708,6524,1758xe" filled="true" fillcolor="#0000ff" stroked="false">
              <v:path arrowok="t"/>
              <v:fill type="solid"/>
            </v:shape>
            <v:shape style="position:absolute;left:6454;top:1707;width:70;height:51" coordorigin="6454,1708" coordsize="70,51" path="m6489,1708l6524,1758,6454,1758,6489,1708xe" filled="false" stroked="true" strokeweight=".773648pt" strokecolor="#0000ff">
              <v:path arrowok="t"/>
              <v:stroke dashstyle="solid"/>
            </v:shape>
            <v:shape style="position:absolute;left:6531;top:1603;width:70;height:55" coordorigin="6532,1603" coordsize="70,55" path="m6601,1657l6532,1657,6567,1603,6601,1657xe" filled="true" fillcolor="#0000ff" stroked="false">
              <v:path arrowok="t"/>
              <v:fill type="solid"/>
            </v:shape>
            <v:shape style="position:absolute;left:6531;top:1603;width:70;height:55" coordorigin="6532,1603" coordsize="70,55" path="m6567,1603l6601,1657,6532,1657,6567,1603xe" filled="false" stroked="true" strokeweight=".773648pt" strokecolor="#0000ff">
              <v:path arrowok="t"/>
              <v:stroke dashstyle="solid"/>
            </v:shape>
            <v:shape style="position:absolute;left:5881;top:2666;width:66;height:55" coordorigin="5882,2667" coordsize="66,55" path="m5948,2721l5882,2721,5913,2667,5948,2721xe" filled="true" fillcolor="#0000ff" stroked="false">
              <v:path arrowok="t"/>
              <v:fill type="solid"/>
            </v:shape>
            <v:shape style="position:absolute;left:5881;top:2666;width:66;height:55" coordorigin="5882,2667" coordsize="66,55" path="m5913,2667l5948,2721,5882,2721,5913,2667xe" filled="false" stroked="true" strokeweight=".773648pt" strokecolor="#0000ff">
              <v:path arrowok="t"/>
              <v:stroke dashstyle="solid"/>
            </v:shape>
            <v:shape style="position:absolute;left:5336;top:3146;width:70;height:55" coordorigin="5337,3147" coordsize="70,55" path="m5406,3201l5337,3201,5371,3147,5406,3201xe" filled="true" fillcolor="#0000ff" stroked="false">
              <v:path arrowok="t"/>
              <v:fill type="solid"/>
            </v:shape>
            <v:shape style="position:absolute;left:5336;top:3146;width:70;height:55" coordorigin="5337,3147" coordsize="70,55" path="m5371,3147l5406,3201,5337,3201,5371,3147xe" filled="false" stroked="true" strokeweight=".773648pt" strokecolor="#0000ff">
              <v:path arrowok="t"/>
              <v:stroke dashstyle="solid"/>
            </v:shape>
            <v:shape style="position:absolute;left:4133;top:3556;width:70;height:55" coordorigin="4134,3557" coordsize="70,55" path="m4203,3611l4134,3611,4168,3557,4203,3611xe" filled="true" fillcolor="#0000ff" stroked="false">
              <v:path arrowok="t"/>
              <v:fill type="solid"/>
            </v:shape>
            <v:shape style="position:absolute;left:4133;top:3556;width:70;height:55" coordorigin="4134,3557" coordsize="70,55" path="m4168,3557l4203,3611,4134,3611,4168,3557xe" filled="false" stroked="true" strokeweight=".773648pt" strokecolor="#0000ff">
              <v:path arrowok="t"/>
              <v:stroke dashstyle="solid"/>
            </v:shape>
            <v:shape style="position:absolute;left:4319;top:94;width:4973;height:3567" type="#_x0000_t75" stroked="false">
              <v:imagedata r:id="rId109" o:title=""/>
            </v:shape>
            <v:shape style="position:absolute;left:3561;top:426;width:70;height:55" coordorigin="3561,426" coordsize="70,55" path="m3631,480l3561,480,3596,426,3631,480xe" filled="true" fillcolor="#0000ff" stroked="false">
              <v:path arrowok="t"/>
              <v:fill type="solid"/>
            </v:shape>
            <v:shape style="position:absolute;left:3561;top:426;width:70;height:55" coordorigin="3561,426" coordsize="70,55" path="m3596,426l3631,480,3561,480,3596,426xe" filled="false" stroked="true" strokeweight=".773648pt" strokecolor="#0000ff">
              <v:path arrowok="t"/>
              <v:stroke dashstyle="solid"/>
            </v:shape>
            <v:shape style="position:absolute;left:3920;top:426;width:70;height:55" coordorigin="3921,426" coordsize="70,55" path="m3990,480l3921,480,3956,426,3990,480xe" filled="true" fillcolor="#0000ff" stroked="false">
              <v:path arrowok="t"/>
              <v:fill type="solid"/>
            </v:shape>
            <v:shape style="position:absolute;left:3920;top:426;width:70;height:55" coordorigin="3921,426" coordsize="70,55" path="m3956,426l3990,480,3921,480,3956,426xe" filled="false" stroked="true" strokeweight=".773648pt" strokecolor="#0000ff">
              <v:path arrowok="t"/>
              <v:stroke dashstyle="solid"/>
            </v:shape>
            <v:line style="position:absolute" from="3952,678" to="4107,678" stroked="true" strokeweight=".773651pt" strokecolor="#0000ff">
              <v:stroke dashstyle="solid"/>
            </v:line>
            <v:line style="position:absolute" from="3445,890" to="3476,890" stroked="true" strokeweight=".773651pt" strokecolor="#800080">
              <v:stroke dashstyle="solid"/>
            </v:line>
            <v:line style="position:absolute" from="3573,890" to="3604,890" stroked="true" strokeweight=".773651pt" strokecolor="#800080">
              <v:stroke dashstyle="solid"/>
            </v:line>
            <v:line style="position:absolute" from="3696,890" to="3731,890" stroked="true" strokeweight=".773651pt" strokecolor="#800080">
              <v:stroke dashstyle="solid"/>
            </v:line>
            <v:line style="position:absolute" from="3824,890" to="3855,890" stroked="true" strokeweight=".773651pt" strokecolor="#800080">
              <v:stroke dashstyle="solid"/>
            </v:line>
            <v:line style="position:absolute" from="3952,890" to="3983,890" stroked="true" strokeweight=".773651pt" strokecolor="#800080">
              <v:stroke dashstyle="solid"/>
            </v:line>
            <v:line style="position:absolute" from="4079,890" to="4106,890" stroked="true" strokeweight=".773651pt" strokecolor="#800080">
              <v:stroke dashstyle="solid"/>
            </v:line>
            <v:shape style="position:absolute;left:3445;top:524;width:400;height:206" type="#_x0000_t202" filled="false" stroked="false">
              <v:textbox inset="0,0,0,0">
                <w:txbxContent>
                  <w:p>
                    <w:pPr>
                      <w:tabs>
                        <w:tab w:pos="378" w:val="left" w:leader="none"/>
                      </w:tabs>
                      <w:spacing w:line="204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w w:val="103"/>
                        <w:sz w:val="18"/>
                        <w:u w:val="single" w:color="0000FF"/>
                      </w:rPr>
                      <w:t> </w:t>
                    </w:r>
                    <w:r>
                      <w:rPr>
                        <w:sz w:val="18"/>
                        <w:u w:val="single" w:color="0000FF"/>
                      </w:rPr>
                      <w:tab/>
                    </w:r>
                  </w:p>
                </w:txbxContent>
              </v:textbox>
              <w10:wrap type="none"/>
            </v:shape>
            <v:shape style="position:absolute;left:4238;top:365;width:1560;height:635" type="#_x0000_t202" filled="false" stroked="false">
              <v:textbox inset="0,0,0,0">
                <w:txbxContent>
                  <w:p>
                    <w:pPr>
                      <w:spacing w:line="204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w w:val="105"/>
                        <w:sz w:val="18"/>
                      </w:rPr>
                      <w:t>Raw</w:t>
                    </w:r>
                    <w:r>
                      <w:rPr>
                        <w:spacing w:val="-9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data</w:t>
                    </w:r>
                  </w:p>
                  <w:p>
                    <w:pPr>
                      <w:spacing w:line="252" w:lineRule="auto" w:before="1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w w:val="105"/>
                        <w:sz w:val="18"/>
                      </w:rPr>
                      <w:t>Linear regression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Quadratic</w:t>
                    </w:r>
                    <w:r>
                      <w:rPr>
                        <w:spacing w:val="1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regression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513.008606pt;margin-top:11.285791pt;width:15.75pt;height:160.450pt;mso-position-horizontal-relative:page;mso-position-vertical-relative:paragraph;z-index:15792640" type="#_x0000_t202" filled="false" stroked="false">
            <v:textbox inset="0,0,0,0" style="layout-flow:vertical;mso-layout-flow-alt:bottom-to-top">
              <w:txbxContent>
                <w:p>
                  <w:pPr>
                    <w:pStyle w:val="BodyText"/>
                    <w:spacing w:before="16"/>
                    <w:ind w:left="20"/>
                  </w:pPr>
                  <w:r>
                    <w:rPr>
                      <w:w w:val="105"/>
                    </w:rPr>
                    <w:t>Depth</w:t>
                  </w:r>
                  <w:r>
                    <w:rPr>
                      <w:spacing w:val="-12"/>
                      <w:w w:val="105"/>
                    </w:rPr>
                    <w:t> </w:t>
                  </w:r>
                  <w:r>
                    <w:rPr>
                      <w:w w:val="105"/>
                    </w:rPr>
                    <w:t>of</w:t>
                  </w:r>
                  <w:r>
                    <w:rPr>
                      <w:spacing w:val="-13"/>
                      <w:w w:val="105"/>
                    </w:rPr>
                    <w:t> </w:t>
                  </w:r>
                  <w:r>
                    <w:rPr>
                      <w:w w:val="105"/>
                    </w:rPr>
                    <w:t>Penetration</w:t>
                  </w:r>
                  <w:r>
                    <w:rPr>
                      <w:spacing w:val="-11"/>
                      <w:w w:val="105"/>
                    </w:rPr>
                    <w:t> </w:t>
                  </w:r>
                  <w:r>
                    <w:rPr>
                      <w:w w:val="105"/>
                    </w:rPr>
                    <w:t>(Tw)</w:t>
                  </w:r>
                  <w:r>
                    <w:rPr>
                      <w:spacing w:val="-9"/>
                      <w:w w:val="105"/>
                    </w:rPr>
                    <w:t> </w:t>
                  </w:r>
                  <w:r>
                    <w:rPr>
                      <w:w w:val="105"/>
                    </w:rPr>
                    <w:t>(cm)</w:t>
                  </w:r>
                </w:p>
              </w:txbxContent>
            </v:textbox>
            <w10:wrap type="none"/>
          </v:shape>
        </w:pict>
      </w:r>
      <w:r>
        <w:rPr>
          <w:position w:val="4"/>
          <w:sz w:val="17"/>
        </w:rPr>
        <w:t>13</w:t>
        <w:tab/>
      </w:r>
      <w:r>
        <w:rPr>
          <w:sz w:val="17"/>
        </w:rPr>
        <w:t>32.5</w:t>
      </w:r>
    </w:p>
    <w:p>
      <w:pPr>
        <w:tabs>
          <w:tab w:pos="8061" w:val="left" w:leader="none"/>
        </w:tabs>
        <w:spacing w:before="16"/>
        <w:ind w:left="1082" w:right="0" w:firstLine="0"/>
        <w:jc w:val="left"/>
        <w:rPr>
          <w:sz w:val="17"/>
        </w:rPr>
      </w:pPr>
      <w:r>
        <w:rPr/>
        <w:pict>
          <v:shape style="position:absolute;margin-left:116.321236pt;margin-top:4.302292pt;width:18.05pt;height:154.1pt;mso-position-horizontal-relative:page;mso-position-vertical-relative:paragraph;z-index:15792128" type="#_x0000_t202" filled="false" stroked="false">
            <v:textbox inset="0,0,0,0" style="layout-flow:vertical;mso-layout-flow-alt:bottom-to-top">
              <w:txbxContent>
                <w:p>
                  <w:pPr>
                    <w:pStyle w:val="BodyText"/>
                    <w:spacing w:before="16"/>
                    <w:ind w:left="20"/>
                  </w:pPr>
                  <w:r>
                    <w:rPr>
                      <w:w w:val="105"/>
                    </w:rPr>
                    <w:t>Depth</w:t>
                  </w:r>
                  <w:r>
                    <w:rPr>
                      <w:spacing w:val="-15"/>
                      <w:w w:val="105"/>
                    </w:rPr>
                    <w:t> </w:t>
                  </w:r>
                  <w:r>
                    <w:rPr>
                      <w:w w:val="105"/>
                    </w:rPr>
                    <w:t>of</w:t>
                  </w:r>
                  <w:r>
                    <w:rPr>
                      <w:spacing w:val="-15"/>
                      <w:w w:val="105"/>
                    </w:rPr>
                    <w:t> </w:t>
                  </w:r>
                  <w:r>
                    <w:rPr>
                      <w:w w:val="105"/>
                    </w:rPr>
                    <w:t>Penetration</w:t>
                  </w:r>
                  <w:r>
                    <w:rPr>
                      <w:spacing w:val="-14"/>
                      <w:w w:val="105"/>
                    </w:rPr>
                    <w:t> </w:t>
                  </w:r>
                  <w:r>
                    <w:rPr>
                      <w:w w:val="105"/>
                    </w:rPr>
                    <w:t>(T</w:t>
                  </w:r>
                  <w:r>
                    <w:rPr>
                      <w:w w:val="105"/>
                      <w:position w:val="-4"/>
                    </w:rPr>
                    <w:t>w</w:t>
                  </w:r>
                  <w:r>
                    <w:rPr>
                      <w:w w:val="105"/>
                    </w:rPr>
                    <w:t>)</w:t>
                  </w:r>
                  <w:r>
                    <w:rPr>
                      <w:spacing w:val="-15"/>
                      <w:w w:val="105"/>
                    </w:rPr>
                    <w:t> </w:t>
                  </w:r>
                  <w:r>
                    <w:rPr>
                      <w:w w:val="105"/>
                    </w:rPr>
                    <w:t>(in)</w:t>
                  </w:r>
                </w:p>
              </w:txbxContent>
            </v:textbox>
            <w10:wrap type="none"/>
          </v:shape>
        </w:pict>
      </w:r>
      <w:r>
        <w:rPr>
          <w:sz w:val="18"/>
        </w:rPr>
        <w:t>12</w:t>
        <w:tab/>
      </w:r>
      <w:r>
        <w:rPr>
          <w:position w:val="-4"/>
          <w:sz w:val="17"/>
        </w:rPr>
        <w:t>30</w:t>
      </w:r>
    </w:p>
    <w:p>
      <w:pPr>
        <w:tabs>
          <w:tab w:pos="8061" w:val="left" w:leader="none"/>
        </w:tabs>
        <w:spacing w:before="16"/>
        <w:ind w:left="1082" w:right="0" w:firstLine="0"/>
        <w:jc w:val="left"/>
        <w:rPr>
          <w:sz w:val="17"/>
        </w:rPr>
      </w:pPr>
      <w:r>
        <w:rPr>
          <w:position w:val="5"/>
          <w:sz w:val="18"/>
        </w:rPr>
        <w:t>11</w:t>
        <w:tab/>
      </w:r>
      <w:r>
        <w:rPr>
          <w:sz w:val="17"/>
        </w:rPr>
        <w:t>27.5</w:t>
      </w:r>
    </w:p>
    <w:p>
      <w:pPr>
        <w:tabs>
          <w:tab w:pos="8061" w:val="left" w:leader="none"/>
        </w:tabs>
        <w:spacing w:before="24"/>
        <w:ind w:left="1082" w:right="0" w:firstLine="0"/>
        <w:jc w:val="left"/>
        <w:rPr>
          <w:sz w:val="17"/>
        </w:rPr>
      </w:pPr>
      <w:r>
        <w:rPr>
          <w:sz w:val="18"/>
        </w:rPr>
        <w:t>10</w:t>
        <w:tab/>
      </w:r>
      <w:r>
        <w:rPr>
          <w:position w:val="-3"/>
          <w:sz w:val="17"/>
        </w:rPr>
        <w:t>25</w:t>
      </w:r>
    </w:p>
    <w:p>
      <w:pPr>
        <w:tabs>
          <w:tab w:pos="8061" w:val="left" w:leader="none"/>
        </w:tabs>
        <w:spacing w:before="28"/>
        <w:ind w:left="1175" w:right="0" w:firstLine="0"/>
        <w:jc w:val="left"/>
        <w:rPr>
          <w:sz w:val="17"/>
        </w:rPr>
      </w:pPr>
      <w:r>
        <w:rPr>
          <w:position w:val="4"/>
          <w:sz w:val="18"/>
        </w:rPr>
        <w:t>9</w:t>
        <w:tab/>
      </w:r>
      <w:r>
        <w:rPr>
          <w:sz w:val="17"/>
        </w:rPr>
        <w:t>22.5</w:t>
      </w:r>
    </w:p>
    <w:p>
      <w:pPr>
        <w:tabs>
          <w:tab w:pos="8061" w:val="left" w:leader="none"/>
        </w:tabs>
        <w:spacing w:before="32"/>
        <w:ind w:left="1175" w:right="0" w:firstLine="0"/>
        <w:jc w:val="left"/>
        <w:rPr>
          <w:sz w:val="17"/>
        </w:rPr>
      </w:pPr>
      <w:r>
        <w:rPr>
          <w:position w:val="3"/>
          <w:sz w:val="18"/>
        </w:rPr>
        <w:t>8</w:t>
        <w:tab/>
      </w:r>
      <w:r>
        <w:rPr>
          <w:sz w:val="17"/>
        </w:rPr>
        <w:t>20</w:t>
      </w:r>
    </w:p>
    <w:p>
      <w:pPr>
        <w:tabs>
          <w:tab w:pos="8061" w:val="left" w:leader="none"/>
        </w:tabs>
        <w:spacing w:before="36"/>
        <w:ind w:left="1175" w:right="0" w:firstLine="0"/>
        <w:jc w:val="left"/>
        <w:rPr>
          <w:sz w:val="17"/>
        </w:rPr>
      </w:pPr>
      <w:r>
        <w:rPr>
          <w:position w:val="3"/>
          <w:sz w:val="18"/>
        </w:rPr>
        <w:t>7</w:t>
        <w:tab/>
      </w:r>
      <w:r>
        <w:rPr>
          <w:sz w:val="17"/>
        </w:rPr>
        <w:t>17.5</w:t>
      </w:r>
    </w:p>
    <w:p>
      <w:pPr>
        <w:tabs>
          <w:tab w:pos="8061" w:val="left" w:leader="none"/>
        </w:tabs>
        <w:spacing w:before="36"/>
        <w:ind w:left="1175" w:right="0" w:firstLine="0"/>
        <w:jc w:val="left"/>
        <w:rPr>
          <w:sz w:val="17"/>
        </w:rPr>
      </w:pPr>
      <w:r>
        <w:rPr>
          <w:position w:val="3"/>
          <w:sz w:val="18"/>
        </w:rPr>
        <w:t>6</w:t>
        <w:tab/>
      </w:r>
      <w:r>
        <w:rPr>
          <w:sz w:val="17"/>
        </w:rPr>
        <w:t>15</w:t>
      </w:r>
    </w:p>
    <w:p>
      <w:pPr>
        <w:tabs>
          <w:tab w:pos="8061" w:val="left" w:leader="none"/>
        </w:tabs>
        <w:spacing w:before="46"/>
        <w:ind w:left="1175" w:right="0" w:firstLine="0"/>
        <w:jc w:val="left"/>
        <w:rPr>
          <w:sz w:val="17"/>
        </w:rPr>
      </w:pPr>
      <w:r>
        <w:rPr>
          <w:position w:val="2"/>
          <w:sz w:val="18"/>
        </w:rPr>
        <w:t>5</w:t>
        <w:tab/>
      </w:r>
      <w:r>
        <w:rPr>
          <w:sz w:val="17"/>
        </w:rPr>
        <w:t>12.5</w:t>
      </w:r>
    </w:p>
    <w:p>
      <w:pPr>
        <w:tabs>
          <w:tab w:pos="8061" w:val="left" w:leader="none"/>
        </w:tabs>
        <w:spacing w:before="46"/>
        <w:ind w:left="1175" w:right="0" w:firstLine="0"/>
        <w:jc w:val="left"/>
        <w:rPr>
          <w:sz w:val="17"/>
        </w:rPr>
      </w:pPr>
      <w:r>
        <w:rPr>
          <w:position w:val="2"/>
          <w:sz w:val="18"/>
        </w:rPr>
        <w:t>4</w:t>
        <w:tab/>
      </w:r>
      <w:r>
        <w:rPr>
          <w:sz w:val="17"/>
        </w:rPr>
        <w:t>10</w:t>
      </w:r>
    </w:p>
    <w:p>
      <w:pPr>
        <w:tabs>
          <w:tab w:pos="8061" w:val="left" w:leader="none"/>
        </w:tabs>
        <w:spacing w:before="52"/>
        <w:ind w:left="1175" w:right="0" w:firstLine="0"/>
        <w:jc w:val="left"/>
        <w:rPr>
          <w:sz w:val="17"/>
        </w:rPr>
      </w:pPr>
      <w:r>
        <w:rPr>
          <w:position w:val="1"/>
          <w:sz w:val="18"/>
        </w:rPr>
        <w:t>3</w:t>
        <w:tab/>
      </w:r>
      <w:r>
        <w:rPr>
          <w:sz w:val="17"/>
        </w:rPr>
        <w:t>7.5</w:t>
      </w:r>
    </w:p>
    <w:p>
      <w:pPr>
        <w:tabs>
          <w:tab w:pos="8061" w:val="left" w:leader="none"/>
        </w:tabs>
        <w:spacing w:before="56"/>
        <w:ind w:left="1175" w:right="0" w:firstLine="0"/>
        <w:jc w:val="left"/>
        <w:rPr>
          <w:sz w:val="17"/>
        </w:rPr>
      </w:pPr>
      <w:r>
        <w:rPr>
          <w:position w:val="1"/>
          <w:sz w:val="18"/>
        </w:rPr>
        <w:t>2</w:t>
        <w:tab/>
      </w:r>
      <w:r>
        <w:rPr>
          <w:sz w:val="17"/>
        </w:rPr>
        <w:t>5</w:t>
      </w:r>
    </w:p>
    <w:p>
      <w:pPr>
        <w:tabs>
          <w:tab w:pos="8061" w:val="left" w:leader="none"/>
        </w:tabs>
        <w:spacing w:before="66"/>
        <w:ind w:left="1175" w:right="0" w:firstLine="0"/>
        <w:jc w:val="left"/>
        <w:rPr>
          <w:sz w:val="17"/>
        </w:rPr>
      </w:pPr>
      <w:r>
        <w:rPr>
          <w:sz w:val="18"/>
        </w:rPr>
        <w:t>1</w:t>
        <w:tab/>
      </w:r>
      <w:r>
        <w:rPr>
          <w:sz w:val="17"/>
        </w:rPr>
        <w:t>2.5</w:t>
      </w:r>
    </w:p>
    <w:p>
      <w:pPr>
        <w:tabs>
          <w:tab w:pos="8061" w:val="left" w:leader="none"/>
        </w:tabs>
        <w:spacing w:line="207" w:lineRule="exact" w:before="64"/>
        <w:ind w:left="1175" w:right="0" w:firstLine="0"/>
        <w:jc w:val="left"/>
        <w:rPr>
          <w:sz w:val="17"/>
        </w:rPr>
      </w:pPr>
      <w:r>
        <w:rPr>
          <w:sz w:val="18"/>
        </w:rPr>
        <w:t>0</w:t>
        <w:tab/>
      </w:r>
      <w:r>
        <w:rPr>
          <w:sz w:val="17"/>
        </w:rPr>
        <w:t>0</w:t>
      </w:r>
    </w:p>
    <w:p>
      <w:pPr>
        <w:tabs>
          <w:tab w:pos="1872" w:val="left" w:leader="none"/>
          <w:tab w:pos="2537" w:val="left" w:leader="none"/>
          <w:tab w:pos="3140" w:val="left" w:leader="none"/>
          <w:tab w:pos="3802" w:val="left" w:leader="none"/>
          <w:tab w:pos="4467" w:val="left" w:leader="none"/>
          <w:tab w:pos="5129" w:val="left" w:leader="none"/>
          <w:tab w:pos="5794" w:val="left" w:leader="none"/>
          <w:tab w:pos="6459" w:val="left" w:leader="none"/>
          <w:tab w:pos="7121" w:val="left" w:leader="none"/>
          <w:tab w:pos="7786" w:val="left" w:leader="none"/>
        </w:tabs>
        <w:spacing w:before="0"/>
        <w:ind w:left="1330" w:right="0" w:firstLine="0"/>
        <w:jc w:val="left"/>
        <w:rPr>
          <w:sz w:val="17"/>
        </w:rPr>
      </w:pPr>
      <w:r>
        <w:rPr>
          <w:sz w:val="17"/>
        </w:rPr>
        <w:t>0</w:t>
        <w:tab/>
        <w:t>400</w:t>
        <w:tab/>
        <w:t>800</w:t>
        <w:tab/>
        <w:t>1200</w:t>
        <w:tab/>
        <w:t>1600</w:t>
        <w:tab/>
        <w:t>2000</w:t>
        <w:tab/>
        <w:t>2400</w:t>
        <w:tab/>
        <w:t>2800</w:t>
        <w:tab/>
        <w:t>3200</w:t>
        <w:tab/>
        <w:t>3600</w:t>
        <w:tab/>
        <w:t>4000</w:t>
      </w:r>
    </w:p>
    <w:p>
      <w:pPr>
        <w:pStyle w:val="BodyText"/>
        <w:spacing w:before="95"/>
        <w:ind w:left="42" w:right="224"/>
        <w:jc w:val="center"/>
      </w:pPr>
      <w:r>
        <w:rPr>
          <w:w w:val="105"/>
        </w:rPr>
        <w:t>Striking</w:t>
      </w:r>
      <w:r>
        <w:rPr>
          <w:spacing w:val="-15"/>
          <w:w w:val="105"/>
        </w:rPr>
        <w:t> </w:t>
      </w:r>
      <w:r>
        <w:rPr>
          <w:w w:val="105"/>
        </w:rPr>
        <w:t>Velocity</w:t>
      </w:r>
      <w:r>
        <w:rPr>
          <w:spacing w:val="-14"/>
          <w:w w:val="105"/>
        </w:rPr>
        <w:t> </w:t>
      </w:r>
      <w:r>
        <w:rPr>
          <w:w w:val="105"/>
        </w:rPr>
        <w:t>(Vs)</w:t>
      </w:r>
      <w:r>
        <w:rPr>
          <w:spacing w:val="-15"/>
          <w:w w:val="105"/>
        </w:rPr>
        <w:t> </w:t>
      </w:r>
      <w:r>
        <w:rPr>
          <w:w w:val="105"/>
        </w:rPr>
        <w:t>(fps)</w:t>
      </w:r>
    </w:p>
    <w:p>
      <w:pPr>
        <w:pStyle w:val="BodyText"/>
        <w:spacing w:before="5"/>
        <w:rPr>
          <w:sz w:val="12"/>
        </w:rPr>
      </w:pPr>
    </w:p>
    <w:p>
      <w:pPr>
        <w:spacing w:before="90"/>
        <w:ind w:left="479" w:right="0" w:firstLine="0"/>
        <w:jc w:val="left"/>
        <w:rPr>
          <w:i/>
          <w:sz w:val="24"/>
        </w:rPr>
      </w:pPr>
      <w:bookmarkStart w:name="_bookmark60" w:id="270"/>
      <w:bookmarkEnd w:id="270"/>
      <w:r>
        <w:rPr/>
      </w:r>
      <w:r>
        <w:rPr>
          <w:i/>
          <w:sz w:val="24"/>
        </w:rPr>
        <w:t>Figure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5-7.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Southern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Yellow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Pine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data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shown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with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linear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quadratic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regression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lines.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5"/>
        <w:rPr>
          <w:i/>
          <w:sz w:val="23"/>
        </w:rPr>
      </w:pPr>
    </w:p>
    <w:p>
      <w:pPr>
        <w:pStyle w:val="ListParagraph"/>
        <w:numPr>
          <w:ilvl w:val="2"/>
          <w:numId w:val="21"/>
        </w:numPr>
        <w:tabs>
          <w:tab w:pos="980" w:val="left" w:leader="none"/>
        </w:tabs>
        <w:spacing w:line="240" w:lineRule="auto" w:before="1" w:after="0"/>
        <w:ind w:left="980" w:right="0" w:hanging="540"/>
        <w:jc w:val="both"/>
        <w:rPr>
          <w:i/>
          <w:sz w:val="24"/>
        </w:rPr>
      </w:pPr>
      <w:bookmarkStart w:name="5.5.2 UFC equation for required wood thi" w:id="271"/>
      <w:bookmarkEnd w:id="271"/>
      <w:r>
        <w:rPr/>
      </w:r>
      <w:bookmarkStart w:name="5.5.2 UFC equation for required wood thi" w:id="272"/>
      <w:bookmarkEnd w:id="272"/>
      <w:r>
        <w:rPr>
          <w:i/>
          <w:sz w:val="24"/>
        </w:rPr>
        <w:t>U</w:t>
      </w:r>
      <w:r>
        <w:rPr>
          <w:i/>
          <w:sz w:val="24"/>
        </w:rPr>
        <w:t>FC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equation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required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wood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thickness</w:t>
      </w:r>
    </w:p>
    <w:p>
      <w:pPr>
        <w:pStyle w:val="BodyText"/>
        <w:spacing w:before="7"/>
        <w:rPr>
          <w:i/>
          <w:sz w:val="22"/>
        </w:rPr>
      </w:pPr>
    </w:p>
    <w:p>
      <w:pPr>
        <w:pStyle w:val="BodyText"/>
        <w:spacing w:line="480" w:lineRule="auto"/>
        <w:ind w:left="440" w:right="417" w:firstLine="720"/>
        <w:jc w:val="both"/>
      </w:pPr>
      <w:r>
        <w:rPr/>
        <w:t>Most UFC design manuals that focus on protection and hardening of structures</w:t>
      </w:r>
      <w:r>
        <w:rPr>
          <w:spacing w:val="1"/>
        </w:rPr>
        <w:t> </w:t>
      </w:r>
      <w:r>
        <w:rPr/>
        <w:t>against</w:t>
      </w:r>
      <w:r>
        <w:rPr>
          <w:spacing w:val="-8"/>
        </w:rPr>
        <w:t> </w:t>
      </w:r>
      <w:r>
        <w:rPr/>
        <w:t>ballistic</w:t>
      </w:r>
      <w:r>
        <w:rPr>
          <w:spacing w:val="-9"/>
        </w:rPr>
        <w:t> </w:t>
      </w:r>
      <w:r>
        <w:rPr/>
        <w:t>or</w:t>
      </w:r>
      <w:r>
        <w:rPr>
          <w:spacing w:val="-8"/>
        </w:rPr>
        <w:t> </w:t>
      </w:r>
      <w:r>
        <w:rPr/>
        <w:t>blast</w:t>
      </w:r>
      <w:r>
        <w:rPr>
          <w:spacing w:val="-9"/>
        </w:rPr>
        <w:t> </w:t>
      </w:r>
      <w:r>
        <w:rPr/>
        <w:t>threats</w:t>
      </w:r>
      <w:r>
        <w:rPr>
          <w:spacing w:val="-8"/>
        </w:rPr>
        <w:t> </w:t>
      </w:r>
      <w:r>
        <w:rPr/>
        <w:t>classify</w:t>
      </w:r>
      <w:r>
        <w:rPr>
          <w:spacing w:val="-8"/>
        </w:rPr>
        <w:t> </w:t>
      </w:r>
      <w:r>
        <w:rPr/>
        <w:t>wood</w:t>
      </w:r>
      <w:r>
        <w:rPr>
          <w:spacing w:val="-8"/>
        </w:rPr>
        <w:t> </w:t>
      </w:r>
      <w:r>
        <w:rPr/>
        <w:t>as</w:t>
      </w:r>
      <w:r>
        <w:rPr>
          <w:spacing w:val="-8"/>
        </w:rPr>
        <w:t> </w:t>
      </w:r>
      <w:r>
        <w:rPr/>
        <w:t>a</w:t>
      </w:r>
      <w:r>
        <w:rPr>
          <w:spacing w:val="-9"/>
        </w:rPr>
        <w:t> </w:t>
      </w:r>
      <w:r>
        <w:rPr/>
        <w:t>material</w:t>
      </w:r>
      <w:r>
        <w:rPr>
          <w:spacing w:val="-8"/>
        </w:rPr>
        <w:t> </w:t>
      </w:r>
      <w:r>
        <w:rPr/>
        <w:t>with</w:t>
      </w:r>
      <w:r>
        <w:rPr>
          <w:spacing w:val="-8"/>
        </w:rPr>
        <w:t> </w:t>
      </w:r>
      <w:r>
        <w:rPr/>
        <w:t>relatively</w:t>
      </w:r>
      <w:r>
        <w:rPr>
          <w:spacing w:val="-10"/>
        </w:rPr>
        <w:t> </w:t>
      </w:r>
      <w:r>
        <w:rPr/>
        <w:t>little</w:t>
      </w:r>
      <w:r>
        <w:rPr>
          <w:spacing w:val="-8"/>
        </w:rPr>
        <w:t> </w:t>
      </w:r>
      <w:r>
        <w:rPr/>
        <w:t>penetration</w:t>
      </w:r>
      <w:r>
        <w:rPr>
          <w:spacing w:val="-57"/>
        </w:rPr>
        <w:t> </w:t>
      </w:r>
      <w:r>
        <w:rPr/>
        <w:t>resistance.</w:t>
      </w:r>
      <w:r>
        <w:rPr>
          <w:spacing w:val="1"/>
        </w:rPr>
        <w:t> </w:t>
      </w:r>
      <w:r>
        <w:rPr/>
        <w:t>As such, wood is not typically used in protective design with the noteworthy</w:t>
      </w:r>
      <w:r>
        <w:rPr>
          <w:spacing w:val="1"/>
        </w:rPr>
        <w:t> </w:t>
      </w:r>
      <w:r>
        <w:rPr/>
        <w:t>exception of rapid construction of field fortifications in overseas military construction.</w:t>
      </w:r>
      <w:r>
        <w:rPr>
          <w:spacing w:val="1"/>
        </w:rPr>
        <w:t> </w:t>
      </w:r>
      <w:r>
        <w:rPr/>
        <w:t>This low penetration resistance conclusion is based on plywood and sawn dimensional</w:t>
      </w:r>
      <w:r>
        <w:rPr>
          <w:spacing w:val="1"/>
        </w:rPr>
        <w:t> </w:t>
      </w:r>
      <w:r>
        <w:rPr/>
        <w:t>lumber used in lightweight wood frame construction and not inclusive of newer mass</w:t>
      </w:r>
      <w:r>
        <w:rPr>
          <w:spacing w:val="1"/>
        </w:rPr>
        <w:t> </w:t>
      </w:r>
      <w:r>
        <w:rPr/>
        <w:t>timber</w:t>
      </w:r>
      <w:r>
        <w:rPr>
          <w:spacing w:val="-1"/>
        </w:rPr>
        <w:t> </w:t>
      </w:r>
      <w:r>
        <w:rPr/>
        <w:t>products like CLT.</w:t>
      </w:r>
    </w:p>
    <w:p>
      <w:pPr>
        <w:pStyle w:val="BodyText"/>
        <w:spacing w:line="480" w:lineRule="auto"/>
        <w:ind w:left="440" w:right="418" w:firstLine="720"/>
        <w:jc w:val="both"/>
      </w:pPr>
      <w:r>
        <w:rPr/>
        <w:t>The</w:t>
      </w:r>
      <w:r>
        <w:rPr>
          <w:spacing w:val="-14"/>
        </w:rPr>
        <w:t> </w:t>
      </w:r>
      <w:r>
        <w:rPr/>
        <w:t>current</w:t>
      </w:r>
      <w:r>
        <w:rPr>
          <w:spacing w:val="-15"/>
        </w:rPr>
        <w:t> </w:t>
      </w:r>
      <w:r>
        <w:rPr/>
        <w:t>design</w:t>
      </w:r>
      <w:r>
        <w:rPr>
          <w:spacing w:val="-15"/>
        </w:rPr>
        <w:t> </w:t>
      </w:r>
      <w:r>
        <w:rPr/>
        <w:t>guidance</w:t>
      </w:r>
      <w:r>
        <w:rPr>
          <w:spacing w:val="-14"/>
        </w:rPr>
        <w:t> </w:t>
      </w:r>
      <w:r>
        <w:rPr/>
        <w:t>issued</w:t>
      </w:r>
      <w:r>
        <w:rPr>
          <w:spacing w:val="-15"/>
        </w:rPr>
        <w:t> </w:t>
      </w:r>
      <w:r>
        <w:rPr/>
        <w:t>by</w:t>
      </w:r>
      <w:r>
        <w:rPr>
          <w:spacing w:val="-14"/>
        </w:rPr>
        <w:t> </w:t>
      </w:r>
      <w:r>
        <w:rPr>
          <w:i/>
        </w:rPr>
        <w:t>UFC</w:t>
      </w:r>
      <w:r>
        <w:rPr>
          <w:i/>
          <w:spacing w:val="-14"/>
        </w:rPr>
        <w:t> </w:t>
      </w:r>
      <w:r>
        <w:rPr>
          <w:i/>
        </w:rPr>
        <w:t>4-023-07</w:t>
      </w:r>
      <w:r>
        <w:rPr/>
        <w:t>,</w:t>
      </w:r>
      <w:r>
        <w:rPr>
          <w:spacing w:val="-15"/>
        </w:rPr>
        <w:t> </w:t>
      </w:r>
      <w:r>
        <w:rPr/>
        <w:t>offers</w:t>
      </w:r>
      <w:r>
        <w:rPr>
          <w:spacing w:val="-13"/>
        </w:rPr>
        <w:t> </w:t>
      </w:r>
      <w:r>
        <w:rPr/>
        <w:t>Equation</w:t>
      </w:r>
      <w:r>
        <w:rPr>
          <w:spacing w:val="-15"/>
        </w:rPr>
        <w:t> </w:t>
      </w:r>
      <w:r>
        <w:rPr/>
        <w:t>5.1,</w:t>
      </w:r>
      <w:r>
        <w:rPr>
          <w:spacing w:val="-15"/>
        </w:rPr>
        <w:t> </w:t>
      </w:r>
      <w:r>
        <w:rPr/>
        <w:t>the</w:t>
      </w:r>
      <w:r>
        <w:rPr>
          <w:spacing w:val="-13"/>
        </w:rPr>
        <w:t> </w:t>
      </w:r>
      <w:r>
        <w:rPr/>
        <w:t>UFC</w:t>
      </w:r>
      <w:r>
        <w:rPr>
          <w:spacing w:val="-58"/>
        </w:rPr>
        <w:t> </w:t>
      </w:r>
      <w:r>
        <w:rPr/>
        <w:t>equation</w:t>
      </w:r>
      <w:r>
        <w:rPr>
          <w:spacing w:val="-8"/>
        </w:rPr>
        <w:t> </w:t>
      </w:r>
      <w:r>
        <w:rPr/>
        <w:t>for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calculation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required</w:t>
      </w:r>
      <w:r>
        <w:rPr>
          <w:spacing w:val="-7"/>
        </w:rPr>
        <w:t> </w:t>
      </w:r>
      <w:r>
        <w:rPr/>
        <w:t>wood</w:t>
      </w:r>
      <w:r>
        <w:rPr>
          <w:spacing w:val="-7"/>
        </w:rPr>
        <w:t> </w:t>
      </w:r>
      <w:r>
        <w:rPr/>
        <w:t>thickness</w:t>
      </w:r>
      <w:r>
        <w:rPr>
          <w:spacing w:val="-7"/>
        </w:rPr>
        <w:t> </w:t>
      </w:r>
      <w:r>
        <w:rPr/>
        <w:t>in</w:t>
      </w:r>
      <w:r>
        <w:rPr>
          <w:spacing w:val="-7"/>
        </w:rPr>
        <w:t> </w:t>
      </w:r>
      <w:r>
        <w:rPr/>
        <w:t>terms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striking</w:t>
      </w:r>
      <w:r>
        <w:rPr>
          <w:spacing w:val="-7"/>
        </w:rPr>
        <w:t> </w:t>
      </w:r>
      <w:r>
        <w:rPr/>
        <w:t>velocity.</w:t>
      </w:r>
      <w:r>
        <w:rPr>
          <w:spacing w:val="-9"/>
        </w:rPr>
        <w:t> </w:t>
      </w:r>
      <w:r>
        <w:rPr/>
        <w:t>Using</w:t>
      </w:r>
      <w:r>
        <w:rPr>
          <w:spacing w:val="-58"/>
        </w:rPr>
        <w:t> </w:t>
      </w:r>
      <w:r>
        <w:rPr/>
        <w:t>the</w:t>
      </w:r>
      <w:r>
        <w:rPr>
          <w:spacing w:val="18"/>
        </w:rPr>
        <w:t> </w:t>
      </w:r>
      <w:r>
        <w:rPr/>
        <w:t>variables</w:t>
      </w:r>
      <w:r>
        <w:rPr>
          <w:spacing w:val="19"/>
        </w:rPr>
        <w:t> </w:t>
      </w:r>
      <w:r>
        <w:rPr/>
        <w:t>of</w:t>
      </w:r>
      <w:r>
        <w:rPr>
          <w:spacing w:val="18"/>
        </w:rPr>
        <w:t> </w:t>
      </w:r>
      <w:r>
        <w:rPr/>
        <w:t>the</w:t>
      </w:r>
      <w:r>
        <w:rPr>
          <w:spacing w:val="19"/>
        </w:rPr>
        <w:t> </w:t>
      </w:r>
      <w:r>
        <w:rPr/>
        <w:t>CLT</w:t>
      </w:r>
      <w:r>
        <w:rPr>
          <w:spacing w:val="19"/>
        </w:rPr>
        <w:t> </w:t>
      </w:r>
      <w:r>
        <w:rPr/>
        <w:t>ballistic</w:t>
      </w:r>
      <w:r>
        <w:rPr>
          <w:spacing w:val="18"/>
        </w:rPr>
        <w:t> </w:t>
      </w:r>
      <w:r>
        <w:rPr/>
        <w:t>test</w:t>
      </w:r>
      <w:r>
        <w:rPr>
          <w:spacing w:val="19"/>
        </w:rPr>
        <w:t> </w:t>
      </w:r>
      <w:r>
        <w:rPr/>
        <w:t>set-up,</w:t>
      </w:r>
      <w:r>
        <w:rPr>
          <w:spacing w:val="18"/>
        </w:rPr>
        <w:t> </w:t>
      </w:r>
      <w:r>
        <w:rPr/>
        <w:t>as</w:t>
      </w:r>
      <w:r>
        <w:rPr>
          <w:spacing w:val="18"/>
        </w:rPr>
        <w:t> </w:t>
      </w:r>
      <w:r>
        <w:rPr/>
        <w:t>outlined</w:t>
      </w:r>
      <w:r>
        <w:rPr>
          <w:spacing w:val="18"/>
        </w:rPr>
        <w:t> </w:t>
      </w:r>
      <w:r>
        <w:rPr/>
        <w:t>in</w:t>
      </w:r>
      <w:r>
        <w:rPr>
          <w:spacing w:val="18"/>
        </w:rPr>
        <w:t> </w:t>
      </w:r>
      <w:hyperlink w:history="true" w:anchor="_bookmark61">
        <w:r>
          <w:rPr/>
          <w:t>Table</w:t>
        </w:r>
        <w:r>
          <w:rPr>
            <w:spacing w:val="19"/>
          </w:rPr>
          <w:t> </w:t>
        </w:r>
        <w:r>
          <w:rPr/>
          <w:t>5-5,</w:t>
        </w:r>
        <w:r>
          <w:rPr>
            <w:spacing w:val="18"/>
          </w:rPr>
          <w:t> </w:t>
        </w:r>
      </w:hyperlink>
      <w:r>
        <w:rPr/>
        <w:t>the</w:t>
      </w:r>
      <w:r>
        <w:rPr>
          <w:spacing w:val="19"/>
        </w:rPr>
        <w:t> </w:t>
      </w:r>
      <w:r>
        <w:rPr/>
        <w:t>equation</w:t>
      </w:r>
      <w:r>
        <w:rPr>
          <w:spacing w:val="18"/>
        </w:rPr>
        <w:t> </w:t>
      </w:r>
      <w:r>
        <w:rPr/>
        <w:t>was</w:t>
      </w:r>
    </w:p>
    <w:p>
      <w:pPr>
        <w:spacing w:after="0" w:line="480" w:lineRule="auto"/>
        <w:jc w:val="both"/>
        <w:sectPr>
          <w:pgSz w:w="12240" w:h="15840"/>
          <w:pgMar w:header="0" w:footer="1064" w:top="1340" w:bottom="1260" w:left="1720" w:right="1020"/>
        </w:sectPr>
      </w:pPr>
    </w:p>
    <w:p>
      <w:pPr>
        <w:pStyle w:val="BodyText"/>
        <w:spacing w:line="480" w:lineRule="auto" w:before="78"/>
        <w:ind w:left="440" w:right="403"/>
      </w:pPr>
      <w:r>
        <w:rPr/>
        <w:t>plotted</w:t>
      </w:r>
      <w:r>
        <w:rPr>
          <w:spacing w:val="4"/>
        </w:rPr>
        <w:t> </w:t>
      </w:r>
      <w:r>
        <w:rPr/>
        <w:t>and</w:t>
      </w:r>
      <w:r>
        <w:rPr>
          <w:spacing w:val="3"/>
        </w:rPr>
        <w:t> </w:t>
      </w:r>
      <w:r>
        <w:rPr/>
        <w:t>compared</w:t>
      </w:r>
      <w:r>
        <w:rPr>
          <w:spacing w:val="5"/>
        </w:rPr>
        <w:t> </w:t>
      </w:r>
      <w:r>
        <w:rPr/>
        <w:t>to</w:t>
      </w:r>
      <w:r>
        <w:rPr>
          <w:spacing w:val="5"/>
        </w:rPr>
        <w:t> </w:t>
      </w:r>
      <w:r>
        <w:rPr/>
        <w:t>the</w:t>
      </w:r>
      <w:r>
        <w:rPr>
          <w:spacing w:val="5"/>
        </w:rPr>
        <w:t> </w:t>
      </w:r>
      <w:r>
        <w:rPr/>
        <w:t>CLT</w:t>
      </w:r>
      <w:r>
        <w:rPr>
          <w:spacing w:val="4"/>
        </w:rPr>
        <w:t> </w:t>
      </w:r>
      <w:r>
        <w:rPr/>
        <w:t>ballistic</w:t>
      </w:r>
      <w:r>
        <w:rPr>
          <w:spacing w:val="5"/>
        </w:rPr>
        <w:t> </w:t>
      </w:r>
      <w:r>
        <w:rPr/>
        <w:t>test</w:t>
      </w:r>
      <w:r>
        <w:rPr>
          <w:spacing w:val="5"/>
        </w:rPr>
        <w:t> </w:t>
      </w:r>
      <w:r>
        <w:rPr/>
        <w:t>data</w:t>
      </w:r>
      <w:r>
        <w:rPr>
          <w:spacing w:val="4"/>
        </w:rPr>
        <w:t> </w:t>
      </w:r>
      <w:r>
        <w:rPr/>
        <w:t>for</w:t>
      </w:r>
      <w:r>
        <w:rPr>
          <w:spacing w:val="5"/>
        </w:rPr>
        <w:t> </w:t>
      </w:r>
      <w:r>
        <w:rPr/>
        <w:t>the</w:t>
      </w:r>
      <w:r>
        <w:rPr>
          <w:spacing w:val="5"/>
        </w:rPr>
        <w:t> </w:t>
      </w:r>
      <w:r>
        <w:rPr/>
        <w:t>½-inch</w:t>
      </w:r>
      <w:r>
        <w:rPr>
          <w:spacing w:val="5"/>
        </w:rPr>
        <w:t> </w:t>
      </w:r>
      <w:r>
        <w:rPr/>
        <w:t>sphere</w:t>
      </w:r>
      <w:r>
        <w:rPr>
          <w:spacing w:val="4"/>
        </w:rPr>
        <w:t> </w:t>
      </w:r>
      <w:r>
        <w:rPr/>
        <w:t>projectile.</w:t>
      </w:r>
      <w:r>
        <w:rPr>
          <w:spacing w:val="9"/>
        </w:rPr>
        <w:t> </w:t>
      </w:r>
      <w:r>
        <w:rPr/>
        <w:t>This</w:t>
      </w:r>
      <w:r>
        <w:rPr>
          <w:spacing w:val="-57"/>
        </w:rPr>
        <w:t> </w:t>
      </w:r>
      <w:r>
        <w:rPr/>
        <w:t>comparison</w:t>
      </w:r>
      <w:r>
        <w:rPr>
          <w:spacing w:val="-1"/>
        </w:rPr>
        <w:t> </w:t>
      </w:r>
      <w:r>
        <w:rPr/>
        <w:t>is shown in</w:t>
      </w:r>
      <w:r>
        <w:rPr>
          <w:spacing w:val="-2"/>
        </w:rPr>
        <w:t> </w:t>
      </w:r>
      <w:hyperlink w:history="true" w:anchor="_bookmark62">
        <w:r>
          <w:rPr/>
          <w:t>Figure 5-8</w:t>
        </w:r>
      </w:hyperlink>
      <w:r>
        <w:rPr/>
        <w:t>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1"/>
        <w:rPr>
          <w:sz w:val="33"/>
        </w:rPr>
      </w:pPr>
    </w:p>
    <w:p>
      <w:pPr>
        <w:spacing w:before="0"/>
        <w:ind w:left="719" w:right="0" w:firstLine="0"/>
        <w:jc w:val="left"/>
        <w:rPr>
          <w:i/>
          <w:sz w:val="24"/>
        </w:rPr>
      </w:pPr>
      <w:bookmarkStart w:name="_bookmark61" w:id="273"/>
      <w:bookmarkEnd w:id="273"/>
      <w:r>
        <w:rPr/>
      </w:r>
      <w:r>
        <w:rPr>
          <w:i/>
          <w:sz w:val="24"/>
        </w:rPr>
        <w:t>Table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5-5.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Values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used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UFC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equation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calculation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required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wood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thickness.</w:t>
      </w:r>
    </w:p>
    <w:p>
      <w:pPr>
        <w:pStyle w:val="BodyText"/>
        <w:spacing w:before="6"/>
        <w:rPr>
          <w:i/>
          <w:sz w:val="17"/>
        </w:rPr>
      </w:pPr>
    </w:p>
    <w:tbl>
      <w:tblPr>
        <w:tblW w:w="0" w:type="auto"/>
        <w:jc w:val="left"/>
        <w:tblInd w:w="7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60"/>
        <w:gridCol w:w="966"/>
        <w:gridCol w:w="6103"/>
      </w:tblGrid>
      <w:tr>
        <w:trPr>
          <w:trHeight w:val="289" w:hRule="atLeast"/>
        </w:trPr>
        <w:tc>
          <w:tcPr>
            <w:tcW w:w="960" w:type="dxa"/>
            <w:shd w:val="clear" w:color="auto" w:fill="DADADA"/>
          </w:tcPr>
          <w:p>
            <w:pPr>
              <w:pStyle w:val="TableParagraph"/>
              <w:spacing w:line="212" w:lineRule="exact" w:before="58"/>
              <w:ind w:left="116" w:right="104"/>
              <w:jc w:val="center"/>
              <w:rPr>
                <w:sz w:val="20"/>
              </w:rPr>
            </w:pPr>
            <w:r>
              <w:rPr>
                <w:sz w:val="20"/>
              </w:rPr>
              <w:t>Variable</w:t>
            </w:r>
          </w:p>
        </w:tc>
        <w:tc>
          <w:tcPr>
            <w:tcW w:w="7069" w:type="dxa"/>
            <w:gridSpan w:val="2"/>
            <w:shd w:val="clear" w:color="auto" w:fill="DADADA"/>
          </w:tcPr>
          <w:p>
            <w:pPr>
              <w:pStyle w:val="TableParagraph"/>
              <w:spacing w:line="212" w:lineRule="exact" w:before="58"/>
              <w:ind w:left="3069" w:right="3057"/>
              <w:jc w:val="center"/>
              <w:rPr>
                <w:sz w:val="20"/>
              </w:rPr>
            </w:pPr>
            <w:r>
              <w:rPr>
                <w:sz w:val="20"/>
              </w:rPr>
              <w:t>Value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used</w:t>
            </w:r>
          </w:p>
        </w:tc>
      </w:tr>
      <w:tr>
        <w:trPr>
          <w:trHeight w:val="290" w:hRule="atLeast"/>
        </w:trPr>
        <w:tc>
          <w:tcPr>
            <w:tcW w:w="960" w:type="dxa"/>
          </w:tcPr>
          <w:p>
            <w:pPr>
              <w:pStyle w:val="TableParagraph"/>
              <w:spacing w:line="212" w:lineRule="exact" w:before="58"/>
              <w:ind w:left="11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v</w:t>
            </w:r>
          </w:p>
        </w:tc>
        <w:tc>
          <w:tcPr>
            <w:tcW w:w="966" w:type="dxa"/>
          </w:tcPr>
          <w:p>
            <w:pPr>
              <w:pStyle w:val="TableParagraph"/>
              <w:spacing w:line="212" w:lineRule="exact" w:before="58"/>
              <w:ind w:left="88" w:right="77"/>
              <w:jc w:val="center"/>
              <w:rPr>
                <w:sz w:val="20"/>
              </w:rPr>
            </w:pPr>
            <w:r>
              <w:rPr>
                <w:sz w:val="20"/>
              </w:rPr>
              <w:t>varied</w:t>
            </w:r>
          </w:p>
        </w:tc>
        <w:tc>
          <w:tcPr>
            <w:tcW w:w="6103" w:type="dxa"/>
          </w:tcPr>
          <w:p>
            <w:pPr>
              <w:pStyle w:val="TableParagraph"/>
              <w:spacing w:line="212" w:lineRule="exact" w:before="58"/>
              <w:ind w:left="108"/>
              <w:rPr>
                <w:sz w:val="20"/>
              </w:rPr>
            </w:pPr>
            <w:r>
              <w:rPr>
                <w:sz w:val="20"/>
              </w:rPr>
              <w:t>striking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velocities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(x-axis)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(fps)</w:t>
            </w:r>
          </w:p>
        </w:tc>
      </w:tr>
      <w:tr>
        <w:trPr>
          <w:trHeight w:val="290" w:hRule="atLeast"/>
        </w:trPr>
        <w:tc>
          <w:tcPr>
            <w:tcW w:w="960" w:type="dxa"/>
          </w:tcPr>
          <w:p>
            <w:pPr>
              <w:pStyle w:val="TableParagraph"/>
              <w:spacing w:line="212" w:lineRule="exact" w:before="58"/>
              <w:ind w:left="12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w</w:t>
            </w:r>
          </w:p>
        </w:tc>
        <w:tc>
          <w:tcPr>
            <w:tcW w:w="966" w:type="dxa"/>
          </w:tcPr>
          <w:p>
            <w:pPr>
              <w:pStyle w:val="TableParagraph"/>
              <w:spacing w:line="212" w:lineRule="exact" w:before="58"/>
              <w:ind w:left="88" w:right="77"/>
              <w:jc w:val="center"/>
              <w:rPr>
                <w:sz w:val="20"/>
              </w:rPr>
            </w:pPr>
            <w:r>
              <w:rPr>
                <w:sz w:val="20"/>
              </w:rPr>
              <w:t>0.018371</w:t>
            </w:r>
          </w:p>
        </w:tc>
        <w:tc>
          <w:tcPr>
            <w:tcW w:w="6103" w:type="dxa"/>
          </w:tcPr>
          <w:p>
            <w:pPr>
              <w:pStyle w:val="TableParagraph"/>
              <w:spacing w:line="212" w:lineRule="exact" w:before="58"/>
              <w:ind w:left="108"/>
              <w:rPr>
                <w:sz w:val="20"/>
              </w:rPr>
            </w:pPr>
            <w:r>
              <w:rPr>
                <w:sz w:val="20"/>
              </w:rPr>
              <w:t>projectile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weight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(lb.)</w:t>
            </w:r>
          </w:p>
        </w:tc>
      </w:tr>
      <w:tr>
        <w:trPr>
          <w:trHeight w:val="320" w:hRule="atLeast"/>
        </w:trPr>
        <w:tc>
          <w:tcPr>
            <w:tcW w:w="960" w:type="dxa"/>
          </w:tcPr>
          <w:p>
            <w:pPr>
              <w:pStyle w:val="TableParagraph"/>
              <w:spacing w:line="212" w:lineRule="exact" w:before="88"/>
              <w:ind w:left="116" w:right="104"/>
              <w:jc w:val="center"/>
              <w:rPr>
                <w:sz w:val="20"/>
              </w:rPr>
            </w:pPr>
            <w:r>
              <w:rPr>
                <w:sz w:val="20"/>
              </w:rPr>
              <w:t>πD</w:t>
            </w:r>
            <w:r>
              <w:rPr>
                <w:sz w:val="20"/>
                <w:vertAlign w:val="superscript"/>
              </w:rPr>
              <w:t>2</w:t>
            </w:r>
            <w:r>
              <w:rPr>
                <w:sz w:val="20"/>
                <w:vertAlign w:val="baseline"/>
              </w:rPr>
              <w:t>/4</w:t>
            </w:r>
          </w:p>
        </w:tc>
        <w:tc>
          <w:tcPr>
            <w:tcW w:w="966" w:type="dxa"/>
          </w:tcPr>
          <w:p>
            <w:pPr>
              <w:pStyle w:val="TableParagraph"/>
              <w:spacing w:line="212" w:lineRule="exact" w:before="88"/>
              <w:ind w:left="88" w:right="76"/>
              <w:jc w:val="center"/>
              <w:rPr>
                <w:sz w:val="20"/>
              </w:rPr>
            </w:pPr>
            <w:r>
              <w:rPr>
                <w:sz w:val="20"/>
              </w:rPr>
              <w:t>0.19625</w:t>
            </w:r>
          </w:p>
        </w:tc>
        <w:tc>
          <w:tcPr>
            <w:tcW w:w="6103" w:type="dxa"/>
          </w:tcPr>
          <w:p>
            <w:pPr>
              <w:pStyle w:val="TableParagraph"/>
              <w:spacing w:line="212" w:lineRule="exact" w:before="88"/>
              <w:ind w:left="108"/>
              <w:rPr>
                <w:sz w:val="20"/>
              </w:rPr>
            </w:pPr>
            <w:r>
              <w:rPr>
                <w:sz w:val="20"/>
              </w:rPr>
              <w:t>cross-sectional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striking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area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based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diameter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projectile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(in</w:t>
            </w:r>
            <w:r>
              <w:rPr>
                <w:sz w:val="20"/>
                <w:vertAlign w:val="superscript"/>
              </w:rPr>
              <w:t>2</w:t>
            </w:r>
            <w:r>
              <w:rPr>
                <w:sz w:val="20"/>
                <w:vertAlign w:val="baseline"/>
              </w:rPr>
              <w:t>)</w:t>
            </w:r>
          </w:p>
        </w:tc>
      </w:tr>
      <w:tr>
        <w:trPr>
          <w:trHeight w:val="329" w:hRule="atLeast"/>
        </w:trPr>
        <w:tc>
          <w:tcPr>
            <w:tcW w:w="960" w:type="dxa"/>
          </w:tcPr>
          <w:p>
            <w:pPr>
              <w:pStyle w:val="TableParagraph"/>
              <w:spacing w:line="212" w:lineRule="exact" w:before="97"/>
              <w:ind w:left="114" w:right="104"/>
              <w:jc w:val="center"/>
              <w:rPr>
                <w:sz w:val="20"/>
              </w:rPr>
            </w:pPr>
            <w:r>
              <w:rPr>
                <w:sz w:val="20"/>
              </w:rPr>
              <w:t>ρ</w:t>
            </w:r>
            <w:r>
              <w:rPr>
                <w:sz w:val="20"/>
                <w:vertAlign w:val="subscript"/>
              </w:rPr>
              <w:t>1</w:t>
            </w:r>
          </w:p>
        </w:tc>
        <w:tc>
          <w:tcPr>
            <w:tcW w:w="966" w:type="dxa"/>
          </w:tcPr>
          <w:p>
            <w:pPr>
              <w:pStyle w:val="TableParagraph"/>
              <w:spacing w:line="212" w:lineRule="exact" w:before="97"/>
              <w:ind w:left="88" w:right="77"/>
              <w:jc w:val="center"/>
              <w:rPr>
                <w:sz w:val="20"/>
              </w:rPr>
            </w:pPr>
            <w:r>
              <w:rPr>
                <w:sz w:val="20"/>
              </w:rPr>
              <w:t>28.4</w:t>
            </w:r>
          </w:p>
        </w:tc>
        <w:tc>
          <w:tcPr>
            <w:tcW w:w="6103" w:type="dxa"/>
          </w:tcPr>
          <w:p>
            <w:pPr>
              <w:pStyle w:val="TableParagraph"/>
              <w:spacing w:line="212" w:lineRule="exact" w:before="97"/>
              <w:ind w:left="108"/>
              <w:rPr>
                <w:sz w:val="20"/>
              </w:rPr>
            </w:pPr>
            <w:r>
              <w:rPr>
                <w:sz w:val="20"/>
              </w:rPr>
              <w:t>Spruce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Pine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Fir-South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density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(lb./ft</w:t>
            </w:r>
            <w:r>
              <w:rPr>
                <w:sz w:val="20"/>
                <w:vertAlign w:val="superscript"/>
              </w:rPr>
              <w:t>3</w:t>
            </w:r>
            <w:r>
              <w:rPr>
                <w:sz w:val="20"/>
                <w:vertAlign w:val="baseline"/>
              </w:rPr>
              <w:t>)</w:t>
            </w:r>
          </w:p>
        </w:tc>
      </w:tr>
      <w:tr>
        <w:trPr>
          <w:trHeight w:val="330" w:hRule="atLeast"/>
        </w:trPr>
        <w:tc>
          <w:tcPr>
            <w:tcW w:w="960" w:type="dxa"/>
          </w:tcPr>
          <w:p>
            <w:pPr>
              <w:pStyle w:val="TableParagraph"/>
              <w:spacing w:line="212" w:lineRule="exact" w:before="98"/>
              <w:ind w:left="114" w:right="104"/>
              <w:jc w:val="center"/>
              <w:rPr>
                <w:sz w:val="20"/>
              </w:rPr>
            </w:pPr>
            <w:r>
              <w:rPr>
                <w:sz w:val="20"/>
              </w:rPr>
              <w:t>ρ</w:t>
            </w:r>
            <w:r>
              <w:rPr>
                <w:sz w:val="20"/>
                <w:vertAlign w:val="subscript"/>
              </w:rPr>
              <w:t>2</w:t>
            </w:r>
          </w:p>
        </w:tc>
        <w:tc>
          <w:tcPr>
            <w:tcW w:w="966" w:type="dxa"/>
          </w:tcPr>
          <w:p>
            <w:pPr>
              <w:pStyle w:val="TableParagraph"/>
              <w:spacing w:line="212" w:lineRule="exact" w:before="98"/>
              <w:ind w:left="88" w:right="77"/>
              <w:jc w:val="center"/>
              <w:rPr>
                <w:sz w:val="20"/>
              </w:rPr>
            </w:pPr>
            <w:r>
              <w:rPr>
                <w:sz w:val="20"/>
              </w:rPr>
              <w:t>34.2</w:t>
            </w:r>
          </w:p>
        </w:tc>
        <w:tc>
          <w:tcPr>
            <w:tcW w:w="6103" w:type="dxa"/>
          </w:tcPr>
          <w:p>
            <w:pPr>
              <w:pStyle w:val="TableParagraph"/>
              <w:spacing w:line="212" w:lineRule="exact" w:before="98"/>
              <w:ind w:left="108"/>
              <w:rPr>
                <w:sz w:val="20"/>
              </w:rPr>
            </w:pPr>
            <w:r>
              <w:rPr>
                <w:sz w:val="20"/>
              </w:rPr>
              <w:t>Southern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Yellow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Pine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density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(lb./ft</w:t>
            </w:r>
            <w:r>
              <w:rPr>
                <w:sz w:val="20"/>
                <w:vertAlign w:val="superscript"/>
              </w:rPr>
              <w:t>3</w:t>
            </w:r>
            <w:r>
              <w:rPr>
                <w:sz w:val="20"/>
                <w:vertAlign w:val="baseline"/>
              </w:rPr>
              <w:t>)</w:t>
            </w:r>
          </w:p>
        </w:tc>
      </w:tr>
      <w:tr>
        <w:trPr>
          <w:trHeight w:val="260" w:hRule="atLeast"/>
        </w:trPr>
        <w:tc>
          <w:tcPr>
            <w:tcW w:w="960" w:type="dxa"/>
          </w:tcPr>
          <w:p>
            <w:pPr>
              <w:pStyle w:val="TableParagraph"/>
              <w:spacing w:line="212" w:lineRule="exact" w:before="28"/>
              <w:ind w:left="12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H</w:t>
            </w:r>
          </w:p>
        </w:tc>
        <w:tc>
          <w:tcPr>
            <w:tcW w:w="966" w:type="dxa"/>
          </w:tcPr>
          <w:p>
            <w:pPr>
              <w:pStyle w:val="TableParagraph"/>
              <w:spacing w:line="212" w:lineRule="exact" w:before="28"/>
              <w:ind w:left="88" w:right="77"/>
              <w:jc w:val="center"/>
              <w:rPr>
                <w:sz w:val="20"/>
              </w:rPr>
            </w:pPr>
            <w:r>
              <w:rPr>
                <w:sz w:val="20"/>
              </w:rPr>
              <w:t>38.7</w:t>
            </w:r>
          </w:p>
        </w:tc>
        <w:tc>
          <w:tcPr>
            <w:tcW w:w="6103" w:type="dxa"/>
          </w:tcPr>
          <w:p>
            <w:pPr>
              <w:pStyle w:val="TableParagraph"/>
              <w:spacing w:line="212" w:lineRule="exact" w:before="28"/>
              <w:ind w:left="108"/>
              <w:rPr>
                <w:sz w:val="20"/>
              </w:rPr>
            </w:pPr>
            <w:r>
              <w:rPr>
                <w:sz w:val="20"/>
              </w:rPr>
              <w:t>wood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hardness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based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UFC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table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(lb.)</w:t>
            </w:r>
          </w:p>
        </w:tc>
      </w:tr>
    </w:tbl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5"/>
        <w:rPr>
          <w:i/>
          <w:sz w:val="29"/>
        </w:rPr>
      </w:pPr>
    </w:p>
    <w:p>
      <w:pPr>
        <w:spacing w:before="96"/>
        <w:ind w:left="3071" w:right="3365" w:firstLine="0"/>
        <w:jc w:val="center"/>
        <w:rPr>
          <w:sz w:val="23"/>
        </w:rPr>
      </w:pPr>
      <w:r>
        <w:rPr>
          <w:sz w:val="23"/>
        </w:rPr>
        <w:t>Striking</w:t>
      </w:r>
      <w:r>
        <w:rPr>
          <w:spacing w:val="1"/>
          <w:sz w:val="23"/>
        </w:rPr>
        <w:t> </w:t>
      </w:r>
      <w:r>
        <w:rPr>
          <w:sz w:val="23"/>
        </w:rPr>
        <w:t>Velocity,</w:t>
      </w:r>
      <w:r>
        <w:rPr>
          <w:spacing w:val="2"/>
          <w:sz w:val="23"/>
        </w:rPr>
        <w:t> </w:t>
      </w:r>
      <w:r>
        <w:rPr>
          <w:sz w:val="23"/>
        </w:rPr>
        <w:t>V</w:t>
      </w:r>
      <w:r>
        <w:rPr>
          <w:position w:val="-3"/>
          <w:sz w:val="23"/>
        </w:rPr>
        <w:t>s</w:t>
      </w:r>
      <w:r>
        <w:rPr>
          <w:spacing w:val="9"/>
          <w:position w:val="-3"/>
          <w:sz w:val="23"/>
        </w:rPr>
        <w:t> </w:t>
      </w:r>
      <w:r>
        <w:rPr>
          <w:sz w:val="23"/>
        </w:rPr>
        <w:t>(m/s)</w:t>
      </w:r>
    </w:p>
    <w:p>
      <w:pPr>
        <w:tabs>
          <w:tab w:pos="1917" w:val="left" w:leader="none"/>
          <w:tab w:pos="2784" w:val="left" w:leader="none"/>
          <w:tab w:pos="3655" w:val="left" w:leader="none"/>
          <w:tab w:pos="4527" w:val="left" w:leader="none"/>
          <w:tab w:pos="5394" w:val="left" w:leader="none"/>
          <w:tab w:pos="6265" w:val="left" w:leader="none"/>
          <w:tab w:pos="7070" w:val="left" w:leader="none"/>
          <w:tab w:pos="7938" w:val="left" w:leader="none"/>
        </w:tabs>
        <w:spacing w:line="164" w:lineRule="exact" w:before="143"/>
        <w:ind w:left="1175" w:right="0" w:firstLine="0"/>
        <w:jc w:val="left"/>
        <w:rPr>
          <w:sz w:val="17"/>
        </w:rPr>
      </w:pPr>
      <w:r>
        <w:rPr/>
        <w:pict>
          <v:shape style="position:absolute;margin-left:108.131714pt;margin-top:13.855946pt;width:18.05pt;height:181.45pt;mso-position-horizontal-relative:page;mso-position-vertical-relative:paragraph;z-index:15793664" type="#_x0000_t202" filled="false" stroked="false">
            <v:textbox inset="0,0,0,0" style="layout-flow:vertical;mso-layout-flow-alt:bottom-to-top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sz w:val="23"/>
                    </w:rPr>
                  </w:pPr>
                  <w:r>
                    <w:rPr>
                      <w:sz w:val="23"/>
                    </w:rPr>
                    <w:t>Required</w:t>
                  </w:r>
                  <w:r>
                    <w:rPr>
                      <w:spacing w:val="27"/>
                      <w:sz w:val="23"/>
                    </w:rPr>
                    <w:t> </w:t>
                  </w:r>
                  <w:r>
                    <w:rPr>
                      <w:sz w:val="23"/>
                    </w:rPr>
                    <w:t>Thickness</w:t>
                  </w:r>
                  <w:r>
                    <w:rPr>
                      <w:spacing w:val="29"/>
                      <w:sz w:val="23"/>
                    </w:rPr>
                    <w:t> </w:t>
                  </w:r>
                  <w:r>
                    <w:rPr>
                      <w:sz w:val="23"/>
                    </w:rPr>
                    <w:t>of</w:t>
                  </w:r>
                  <w:r>
                    <w:rPr>
                      <w:spacing w:val="26"/>
                      <w:sz w:val="23"/>
                    </w:rPr>
                    <w:t> </w:t>
                  </w:r>
                  <w:r>
                    <w:rPr>
                      <w:sz w:val="23"/>
                    </w:rPr>
                    <w:t>Wood,</w:t>
                  </w:r>
                  <w:r>
                    <w:rPr>
                      <w:spacing w:val="27"/>
                      <w:sz w:val="23"/>
                    </w:rPr>
                    <w:t> </w:t>
                  </w:r>
                  <w:r>
                    <w:rPr>
                      <w:sz w:val="23"/>
                    </w:rPr>
                    <w:t>T</w:t>
                  </w:r>
                  <w:r>
                    <w:rPr>
                      <w:position w:val="-5"/>
                      <w:sz w:val="23"/>
                    </w:rPr>
                    <w:t>w</w:t>
                  </w:r>
                  <w:r>
                    <w:rPr>
                      <w:sz w:val="23"/>
                    </w:rPr>
                    <w:t>(in)</w:t>
                  </w:r>
                </w:p>
              </w:txbxContent>
            </v:textbox>
            <w10:wrap type="none"/>
          </v:shape>
        </w:pict>
      </w:r>
      <w:r>
        <w:rPr>
          <w:w w:val="105"/>
          <w:sz w:val="17"/>
        </w:rPr>
        <w:t>0</w:t>
        <w:tab/>
        <w:t>150</w:t>
        <w:tab/>
        <w:t>300</w:t>
        <w:tab/>
        <w:t>450</w:t>
        <w:tab/>
        <w:t>600</w:t>
        <w:tab/>
        <w:t>750</w:t>
        <w:tab/>
        <w:t>900</w:t>
        <w:tab/>
        <w:t>1050</w:t>
        <w:tab/>
        <w:t>1200</w:t>
      </w:r>
    </w:p>
    <w:p>
      <w:pPr>
        <w:spacing w:line="164" w:lineRule="exact" w:before="0"/>
        <w:ind w:left="890" w:right="0" w:firstLine="0"/>
        <w:jc w:val="left"/>
        <w:rPr>
          <w:sz w:val="17"/>
        </w:rPr>
      </w:pPr>
      <w:r>
        <w:rPr/>
        <w:pict>
          <v:group style="position:absolute;margin-left:144.023804pt;margin-top:3.786577pt;width:354.25pt;height:177.05pt;mso-position-horizontal-relative:page;mso-position-vertical-relative:paragraph;z-index:-34913792" coordorigin="2880,76" coordsize="7085,3541">
            <v:rect style="position:absolute;left:2887;top:83;width:7070;height:3526" filled="false" stroked="true" strokeweight=".73829pt" strokecolor="#000000">
              <v:stroke dashstyle="solid"/>
            </v:rect>
            <v:line style="position:absolute" from="5538,3608" to="5538,3505" stroked="true" strokeweight=".55375pt" strokecolor="#000000">
              <v:stroke dashstyle="solid"/>
            </v:line>
            <v:line style="position:absolute" from="6421,3608" to="6421,3505" stroked="true" strokeweight=".55375pt" strokecolor="#000000">
              <v:stroke dashstyle="solid"/>
            </v:line>
            <v:line style="position:absolute" from="7307,3608" to="7307,3505" stroked="true" strokeweight=".55375pt" strokecolor="#000000">
              <v:stroke dashstyle="solid"/>
            </v:line>
            <v:line style="position:absolute" from="8189,3608" to="8189,3505" stroked="true" strokeweight=".55375pt" strokecolor="#000000">
              <v:stroke dashstyle="solid"/>
            </v:line>
            <v:line style="position:absolute" from="9071,3608" to="9071,3505" stroked="true" strokeweight=".55375pt" strokecolor="#000000">
              <v:stroke dashstyle="solid"/>
            </v:line>
            <v:line style="position:absolute" from="2888,83" to="2888,183" stroked="true" strokeweight=".55375pt" strokecolor="#000000">
              <v:stroke dashstyle="solid"/>
            </v:line>
            <v:line style="position:absolute" from="3755,83" to="3755,183" stroked="true" strokeweight=".55375pt" strokecolor="#000000">
              <v:stroke dashstyle="solid"/>
            </v:line>
            <v:line style="position:absolute" from="4627,83" to="4627,183" stroked="true" strokeweight=".55375pt" strokecolor="#000000">
              <v:stroke dashstyle="solid"/>
            </v:line>
            <v:line style="position:absolute" from="5498,83" to="5498,183" stroked="true" strokeweight=".55375pt" strokecolor="#000000">
              <v:stroke dashstyle="solid"/>
            </v:line>
            <v:line style="position:absolute" from="6365,83" to="6365,183" stroked="true" strokeweight=".55375pt" strokecolor="#000000">
              <v:stroke dashstyle="solid"/>
            </v:line>
            <v:line style="position:absolute" from="7237,83" to="7237,183" stroked="true" strokeweight=".55375pt" strokecolor="#000000">
              <v:stroke dashstyle="solid"/>
            </v:line>
            <v:line style="position:absolute" from="8104,83" to="8104,183" stroked="true" strokeweight=".55375pt" strokecolor="#000000">
              <v:stroke dashstyle="solid"/>
            </v:line>
            <v:line style="position:absolute" from="8975,83" to="8975,183" stroked="true" strokeweight=".55375pt" strokecolor="#000000">
              <v:stroke dashstyle="solid"/>
            </v:line>
            <v:line style="position:absolute" from="9843,83" to="9843,183" stroked="true" strokeweight=".55375pt" strokecolor="#000000">
              <v:stroke dashstyle="solid"/>
            </v:line>
            <v:line style="position:absolute" from="2888,2287" to="3028,2287" stroked="true" strokeweight=".55371pt" strokecolor="#000000">
              <v:stroke dashstyle="solid"/>
            </v:line>
            <v:line style="position:absolute" from="2888,1844" to="3028,1844" stroked="true" strokeweight=".55371pt" strokecolor="#000000">
              <v:stroke dashstyle="solid"/>
            </v:line>
            <v:line style="position:absolute" from="2888,1405" to="3028,1405" stroked="true" strokeweight=".55371pt" strokecolor="#000000">
              <v:stroke dashstyle="solid"/>
            </v:line>
            <v:line style="position:absolute" from="2888,965" to="3028,965" stroked="true" strokeweight=".55371pt" strokecolor="#000000">
              <v:stroke dashstyle="solid"/>
            </v:line>
            <v:line style="position:absolute" from="2888,522" to="3028,522" stroked="true" strokeweight=".55371pt" strokecolor="#000000">
              <v:stroke dashstyle="solid"/>
            </v:line>
            <v:line style="position:absolute" from="9957,3608" to="9817,3608" stroked="true" strokeweight=".55371pt" strokecolor="#000000">
              <v:stroke dashstyle="solid"/>
            </v:line>
            <v:line style="position:absolute" from="9957,3088" to="9817,3088" stroked="true" strokeweight=".55371pt" strokecolor="#000000">
              <v:stroke dashstyle="solid"/>
            </v:line>
            <v:line style="position:absolute" from="9957,2567" to="9817,2567" stroked="true" strokeweight=".55371pt" strokecolor="#000000">
              <v:stroke dashstyle="solid"/>
            </v:line>
            <v:line style="position:absolute" from="9957,2047" to="9817,2047" stroked="true" strokeweight=".55371pt" strokecolor="#000000">
              <v:stroke dashstyle="solid"/>
            </v:line>
            <v:line style="position:absolute" from="9957,1526" to="9817,1526" stroked="true" strokeweight=".55371pt" strokecolor="#000000">
              <v:stroke dashstyle="solid"/>
            </v:line>
            <v:shape style="position:absolute;left:2887;top:479;width:7070;height:3133" type="#_x0000_t75" stroked="false">
              <v:imagedata r:id="rId110" o:title=""/>
            </v:shape>
            <v:line style="position:absolute" from="3250,423" to="3958,423" stroked="true" strokeweight=".73828pt" strokecolor="#ff0000">
              <v:stroke dashstyle="solid"/>
            </v:line>
            <v:shape style="position:absolute;left:2880;top:75;width:7085;height:3541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i/>
                        <w:sz w:val="21"/>
                      </w:rPr>
                    </w:pPr>
                  </w:p>
                  <w:p>
                    <w:pPr>
                      <w:spacing w:line="261" w:lineRule="auto" w:before="0"/>
                      <w:ind w:left="1225" w:right="3967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pacing w:val="-1"/>
                        <w:w w:val="105"/>
                        <w:sz w:val="20"/>
                      </w:rPr>
                      <w:t>SPF-S</w:t>
                    </w:r>
                    <w:r>
                      <w:rPr>
                        <w:spacing w:val="-11"/>
                        <w:w w:val="105"/>
                        <w:sz w:val="20"/>
                      </w:rPr>
                      <w:t> </w:t>
                    </w:r>
                    <w:r>
                      <w:rPr>
                        <w:spacing w:val="-1"/>
                        <w:w w:val="105"/>
                        <w:sz w:val="20"/>
                      </w:rPr>
                      <w:t>(UFC</w:t>
                    </w:r>
                    <w:r>
                      <w:rPr>
                        <w:spacing w:val="-9"/>
                        <w:w w:val="105"/>
                        <w:sz w:val="20"/>
                      </w:rPr>
                      <w:t> </w:t>
                    </w:r>
                    <w:r>
                      <w:rPr>
                        <w:spacing w:val="-1"/>
                        <w:w w:val="105"/>
                        <w:sz w:val="20"/>
                      </w:rPr>
                      <w:t>equation)</w:t>
                    </w:r>
                    <w:r>
                      <w:rPr>
                        <w:spacing w:val="-49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SYP (UFC equation)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SPF-S</w:t>
                    </w:r>
                    <w:r>
                      <w:rPr>
                        <w:spacing w:val="-3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data</w:t>
                    </w:r>
                  </w:p>
                  <w:p>
                    <w:pPr>
                      <w:spacing w:before="1"/>
                      <w:ind w:left="1225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105"/>
                        <w:sz w:val="20"/>
                      </w:rPr>
                      <w:t>SYP</w:t>
                    </w:r>
                    <w:r>
                      <w:rPr>
                        <w:spacing w:val="-6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data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519.010071pt;margin-top:1.287493pt;width:18.05pt;height:185.9pt;mso-position-horizontal-relative:page;mso-position-vertical-relative:paragraph;z-index:15794176" type="#_x0000_t202" filled="false" stroked="false">
            <v:textbox inset="0,0,0,0" style="layout-flow:vertical;mso-layout-flow-alt:bottom-to-top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sz w:val="23"/>
                    </w:rPr>
                  </w:pPr>
                  <w:r>
                    <w:rPr>
                      <w:sz w:val="23"/>
                    </w:rPr>
                    <w:t>Required</w:t>
                  </w:r>
                  <w:r>
                    <w:rPr>
                      <w:spacing w:val="23"/>
                      <w:sz w:val="23"/>
                    </w:rPr>
                    <w:t> </w:t>
                  </w:r>
                  <w:r>
                    <w:rPr>
                      <w:sz w:val="23"/>
                    </w:rPr>
                    <w:t>Thickness</w:t>
                  </w:r>
                  <w:r>
                    <w:rPr>
                      <w:spacing w:val="26"/>
                      <w:sz w:val="23"/>
                    </w:rPr>
                    <w:t> </w:t>
                  </w:r>
                  <w:r>
                    <w:rPr>
                      <w:sz w:val="23"/>
                    </w:rPr>
                    <w:t>of</w:t>
                  </w:r>
                  <w:r>
                    <w:rPr>
                      <w:spacing w:val="22"/>
                      <w:sz w:val="23"/>
                    </w:rPr>
                    <w:t> </w:t>
                  </w:r>
                  <w:r>
                    <w:rPr>
                      <w:sz w:val="23"/>
                    </w:rPr>
                    <w:t>Wood,</w:t>
                  </w:r>
                  <w:r>
                    <w:rPr>
                      <w:spacing w:val="24"/>
                      <w:sz w:val="23"/>
                    </w:rPr>
                    <w:t> </w:t>
                  </w:r>
                  <w:r>
                    <w:rPr>
                      <w:sz w:val="23"/>
                    </w:rPr>
                    <w:t>T</w:t>
                  </w:r>
                  <w:r>
                    <w:rPr>
                      <w:position w:val="-5"/>
                      <w:sz w:val="23"/>
                    </w:rPr>
                    <w:t>w</w:t>
                  </w:r>
                  <w:r>
                    <w:rPr>
                      <w:sz w:val="23"/>
                    </w:rPr>
                    <w:t>(cm)</w:t>
                  </w:r>
                </w:p>
              </w:txbxContent>
            </v:textbox>
            <w10:wrap type="none"/>
          </v:shape>
        </w:pict>
      </w:r>
      <w:r>
        <w:rPr>
          <w:w w:val="105"/>
          <w:sz w:val="17"/>
        </w:rPr>
        <w:t>40</w:t>
      </w:r>
    </w:p>
    <w:p>
      <w:pPr>
        <w:pStyle w:val="BodyText"/>
        <w:spacing w:before="8"/>
        <w:rPr>
          <w:sz w:val="16"/>
        </w:rPr>
      </w:pPr>
    </w:p>
    <w:p>
      <w:pPr>
        <w:tabs>
          <w:tab w:pos="8307" w:val="left" w:leader="none"/>
        </w:tabs>
        <w:spacing w:before="0"/>
        <w:ind w:left="890" w:right="0" w:firstLine="0"/>
        <w:jc w:val="left"/>
        <w:rPr>
          <w:sz w:val="17"/>
        </w:rPr>
      </w:pPr>
      <w:r>
        <w:rPr>
          <w:w w:val="105"/>
          <w:position w:val="-5"/>
          <w:sz w:val="17"/>
        </w:rPr>
        <w:t>35</w:t>
        <w:tab/>
      </w:r>
      <w:r>
        <w:rPr>
          <w:w w:val="105"/>
          <w:sz w:val="17"/>
        </w:rPr>
        <w:t>90</w:t>
      </w:r>
    </w:p>
    <w:p>
      <w:pPr>
        <w:pStyle w:val="BodyText"/>
        <w:spacing w:before="9"/>
        <w:rPr>
          <w:sz w:val="20"/>
        </w:rPr>
      </w:pPr>
    </w:p>
    <w:p>
      <w:pPr>
        <w:tabs>
          <w:tab w:pos="8307" w:val="left" w:leader="none"/>
        </w:tabs>
        <w:spacing w:before="0"/>
        <w:ind w:left="890" w:right="0" w:firstLine="0"/>
        <w:jc w:val="left"/>
        <w:rPr>
          <w:sz w:val="17"/>
        </w:rPr>
      </w:pPr>
      <w:r>
        <w:rPr>
          <w:w w:val="105"/>
          <w:sz w:val="17"/>
        </w:rPr>
        <w:t>30</w:t>
        <w:tab/>
      </w:r>
      <w:r>
        <w:rPr>
          <w:w w:val="105"/>
          <w:position w:val="-2"/>
          <w:sz w:val="17"/>
        </w:rPr>
        <w:t>75</w:t>
      </w:r>
    </w:p>
    <w:p>
      <w:pPr>
        <w:pStyle w:val="BodyText"/>
        <w:spacing w:before="10"/>
        <w:rPr>
          <w:sz w:val="18"/>
        </w:rPr>
      </w:pPr>
    </w:p>
    <w:p>
      <w:pPr>
        <w:tabs>
          <w:tab w:pos="8307" w:val="left" w:leader="none"/>
        </w:tabs>
        <w:spacing w:before="1"/>
        <w:ind w:left="890" w:right="0" w:firstLine="0"/>
        <w:jc w:val="left"/>
        <w:rPr>
          <w:sz w:val="17"/>
        </w:rPr>
      </w:pPr>
      <w:r>
        <w:rPr>
          <w:w w:val="105"/>
          <w:sz w:val="17"/>
        </w:rPr>
        <w:t>25</w:t>
        <w:tab/>
      </w:r>
      <w:r>
        <w:rPr>
          <w:w w:val="105"/>
          <w:position w:val="-9"/>
          <w:sz w:val="17"/>
        </w:rPr>
        <w:t>60</w:t>
      </w:r>
    </w:p>
    <w:p>
      <w:pPr>
        <w:spacing w:line="190" w:lineRule="exact" w:before="143"/>
        <w:ind w:left="890" w:right="0" w:firstLine="0"/>
        <w:jc w:val="left"/>
        <w:rPr>
          <w:sz w:val="17"/>
        </w:rPr>
      </w:pPr>
      <w:r>
        <w:rPr>
          <w:w w:val="105"/>
          <w:sz w:val="17"/>
        </w:rPr>
        <w:t>20</w:t>
      </w:r>
    </w:p>
    <w:p>
      <w:pPr>
        <w:spacing w:line="190" w:lineRule="exact" w:before="0"/>
        <w:ind w:left="8307" w:right="0" w:firstLine="0"/>
        <w:jc w:val="left"/>
        <w:rPr>
          <w:sz w:val="17"/>
        </w:rPr>
      </w:pPr>
      <w:r>
        <w:rPr>
          <w:w w:val="105"/>
          <w:sz w:val="17"/>
        </w:rPr>
        <w:t>45</w:t>
      </w:r>
    </w:p>
    <w:p>
      <w:pPr>
        <w:spacing w:before="60"/>
        <w:ind w:left="890" w:right="0" w:firstLine="0"/>
        <w:jc w:val="left"/>
        <w:rPr>
          <w:sz w:val="17"/>
        </w:rPr>
      </w:pPr>
      <w:r>
        <w:rPr>
          <w:w w:val="105"/>
          <w:sz w:val="17"/>
        </w:rPr>
        <w:t>15</w:t>
      </w:r>
    </w:p>
    <w:p>
      <w:pPr>
        <w:spacing w:line="186" w:lineRule="exact" w:before="70"/>
        <w:ind w:left="8307" w:right="0" w:firstLine="0"/>
        <w:jc w:val="left"/>
        <w:rPr>
          <w:sz w:val="17"/>
        </w:rPr>
      </w:pPr>
      <w:r>
        <w:rPr>
          <w:w w:val="105"/>
          <w:sz w:val="17"/>
        </w:rPr>
        <w:t>30</w:t>
      </w:r>
    </w:p>
    <w:p>
      <w:pPr>
        <w:spacing w:line="186" w:lineRule="exact" w:before="0"/>
        <w:ind w:left="890" w:right="0" w:firstLine="0"/>
        <w:jc w:val="left"/>
        <w:rPr>
          <w:sz w:val="17"/>
        </w:rPr>
      </w:pPr>
      <w:r>
        <w:rPr>
          <w:w w:val="105"/>
          <w:sz w:val="17"/>
        </w:rPr>
        <w:t>10</w:t>
      </w:r>
    </w:p>
    <w:p>
      <w:pPr>
        <w:tabs>
          <w:tab w:pos="8307" w:val="left" w:leader="none"/>
        </w:tabs>
        <w:spacing w:before="148"/>
        <w:ind w:left="979" w:right="0" w:firstLine="0"/>
        <w:jc w:val="left"/>
        <w:rPr>
          <w:sz w:val="17"/>
        </w:rPr>
      </w:pPr>
      <w:r>
        <w:rPr>
          <w:w w:val="105"/>
          <w:position w:val="-9"/>
          <w:sz w:val="17"/>
        </w:rPr>
        <w:t>5</w:t>
        <w:tab/>
      </w:r>
      <w:r>
        <w:rPr>
          <w:w w:val="105"/>
          <w:sz w:val="17"/>
        </w:rPr>
        <w:t>15</w:t>
      </w:r>
    </w:p>
    <w:p>
      <w:pPr>
        <w:pStyle w:val="BodyText"/>
        <w:spacing w:before="3"/>
        <w:rPr>
          <w:sz w:val="11"/>
        </w:rPr>
      </w:pPr>
    </w:p>
    <w:p>
      <w:pPr>
        <w:tabs>
          <w:tab w:pos="7327" w:val="left" w:leader="none"/>
        </w:tabs>
        <w:spacing w:before="104"/>
        <w:ind w:left="0" w:right="122" w:firstLine="0"/>
        <w:jc w:val="center"/>
        <w:rPr>
          <w:sz w:val="17"/>
        </w:rPr>
      </w:pPr>
      <w:r>
        <w:rPr>
          <w:w w:val="105"/>
          <w:sz w:val="17"/>
        </w:rPr>
        <w:t>0</w:t>
        <w:tab/>
      </w:r>
      <w:r>
        <w:rPr>
          <w:w w:val="105"/>
          <w:position w:val="1"/>
          <w:sz w:val="17"/>
        </w:rPr>
        <w:t>0</w:t>
      </w:r>
    </w:p>
    <w:p>
      <w:pPr>
        <w:tabs>
          <w:tab w:pos="756" w:val="left" w:leader="none"/>
          <w:tab w:pos="1576" w:val="left" w:leader="none"/>
          <w:tab w:pos="2458" w:val="left" w:leader="none"/>
          <w:tab w:pos="3340" w:val="left" w:leader="none"/>
          <w:tab w:pos="4226" w:val="left" w:leader="none"/>
          <w:tab w:pos="5109" w:val="left" w:leader="none"/>
          <w:tab w:pos="5991" w:val="left" w:leader="none"/>
          <w:tab w:pos="6877" w:val="left" w:leader="none"/>
        </w:tabs>
        <w:spacing w:before="4"/>
        <w:ind w:left="0" w:right="33" w:firstLine="0"/>
        <w:jc w:val="center"/>
        <w:rPr>
          <w:sz w:val="17"/>
        </w:rPr>
      </w:pPr>
      <w:r>
        <w:rPr>
          <w:w w:val="105"/>
          <w:sz w:val="17"/>
        </w:rPr>
        <w:t>0</w:t>
        <w:tab/>
        <w:t>500</w:t>
        <w:tab/>
        <w:t>1000</w:t>
        <w:tab/>
        <w:t>1500</w:t>
        <w:tab/>
        <w:t>2000</w:t>
        <w:tab/>
        <w:t>2500</w:t>
        <w:tab/>
        <w:t>3000</w:t>
        <w:tab/>
        <w:t>3500</w:t>
        <w:tab/>
        <w:t>4000</w:t>
      </w:r>
    </w:p>
    <w:p>
      <w:pPr>
        <w:spacing w:before="114"/>
        <w:ind w:left="42" w:right="269" w:firstLine="0"/>
        <w:jc w:val="center"/>
        <w:rPr>
          <w:sz w:val="23"/>
        </w:rPr>
      </w:pPr>
      <w:r>
        <w:rPr>
          <w:sz w:val="23"/>
        </w:rPr>
        <w:t>Striking</w:t>
      </w:r>
      <w:r>
        <w:rPr>
          <w:spacing w:val="7"/>
          <w:sz w:val="23"/>
        </w:rPr>
        <w:t> </w:t>
      </w:r>
      <w:r>
        <w:rPr>
          <w:sz w:val="23"/>
        </w:rPr>
        <w:t>Velocity,</w:t>
      </w:r>
      <w:r>
        <w:rPr>
          <w:spacing w:val="8"/>
          <w:sz w:val="23"/>
        </w:rPr>
        <w:t> </w:t>
      </w:r>
      <w:r>
        <w:rPr>
          <w:sz w:val="23"/>
        </w:rPr>
        <w:t>V</w:t>
      </w:r>
      <w:r>
        <w:rPr>
          <w:position w:val="-3"/>
          <w:sz w:val="23"/>
        </w:rPr>
        <w:t>s</w:t>
      </w:r>
      <w:r>
        <w:rPr>
          <w:spacing w:val="16"/>
          <w:position w:val="-3"/>
          <w:sz w:val="23"/>
        </w:rPr>
        <w:t> </w:t>
      </w:r>
      <w:r>
        <w:rPr>
          <w:sz w:val="23"/>
        </w:rPr>
        <w:t>(fps)</w:t>
      </w:r>
    </w:p>
    <w:p>
      <w:pPr>
        <w:pStyle w:val="BodyText"/>
        <w:rPr>
          <w:sz w:val="12"/>
        </w:rPr>
      </w:pPr>
    </w:p>
    <w:p>
      <w:pPr>
        <w:spacing w:before="90"/>
        <w:ind w:left="773" w:right="0" w:firstLine="0"/>
        <w:jc w:val="left"/>
        <w:rPr>
          <w:i/>
          <w:sz w:val="24"/>
        </w:rPr>
      </w:pPr>
      <w:bookmarkStart w:name="_bookmark62" w:id="274"/>
      <w:bookmarkEnd w:id="274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5-8.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UFC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equation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required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wood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thickness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compared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CLT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test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data.</w:t>
      </w:r>
    </w:p>
    <w:p>
      <w:pPr>
        <w:spacing w:after="0"/>
        <w:jc w:val="left"/>
        <w:rPr>
          <w:sz w:val="24"/>
        </w:rPr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40" w:right="417" w:firstLine="720"/>
        <w:jc w:val="both"/>
      </w:pPr>
      <w:r>
        <w:rPr/>
        <w:t>Clearly, the data from the CLT testing does not align well with the projected</w:t>
      </w:r>
      <w:r>
        <w:rPr>
          <w:spacing w:val="1"/>
        </w:rPr>
        <w:t> </w:t>
      </w:r>
      <w:r>
        <w:rPr/>
        <w:t>thickness of wood required based on the UFC equation.</w:t>
      </w:r>
      <w:r>
        <w:rPr>
          <w:spacing w:val="1"/>
        </w:rPr>
        <w:t> </w:t>
      </w:r>
      <w:r>
        <w:rPr/>
        <w:t>It is important to note that</w:t>
      </w:r>
      <w:r>
        <w:rPr>
          <w:spacing w:val="1"/>
        </w:rPr>
        <w:t> </w:t>
      </w:r>
      <w:r>
        <w:rPr/>
        <w:t>empirical models developed from ballistic studies can often predict response accurately</w:t>
      </w:r>
      <w:r>
        <w:rPr>
          <w:spacing w:val="1"/>
        </w:rPr>
        <w:t> </w:t>
      </w:r>
      <w:r>
        <w:rPr/>
        <w:t>within</w:t>
      </w:r>
      <w:r>
        <w:rPr>
          <w:spacing w:val="-9"/>
        </w:rPr>
        <w:t> </w:t>
      </w:r>
      <w:r>
        <w:rPr/>
        <w:t>some</w:t>
      </w:r>
      <w:r>
        <w:rPr>
          <w:spacing w:val="-7"/>
        </w:rPr>
        <w:t> </w:t>
      </w:r>
      <w:r>
        <w:rPr/>
        <w:t>specified</w:t>
      </w:r>
      <w:r>
        <w:rPr>
          <w:spacing w:val="-9"/>
        </w:rPr>
        <w:t> </w:t>
      </w:r>
      <w:r>
        <w:rPr/>
        <w:t>range,</w:t>
      </w:r>
      <w:r>
        <w:rPr>
          <w:spacing w:val="-9"/>
        </w:rPr>
        <w:t> </w:t>
      </w:r>
      <w:r>
        <w:rPr/>
        <w:t>but</w:t>
      </w:r>
      <w:r>
        <w:rPr>
          <w:spacing w:val="-8"/>
        </w:rPr>
        <w:t> </w:t>
      </w:r>
      <w:r>
        <w:rPr/>
        <w:t>that</w:t>
      </w:r>
      <w:r>
        <w:rPr>
          <w:spacing w:val="-9"/>
        </w:rPr>
        <w:t> </w:t>
      </w:r>
      <w:r>
        <w:rPr/>
        <w:t>those</w:t>
      </w:r>
      <w:r>
        <w:rPr>
          <w:spacing w:val="-8"/>
        </w:rPr>
        <w:t> </w:t>
      </w:r>
      <w:r>
        <w:rPr/>
        <w:t>models</w:t>
      </w:r>
      <w:r>
        <w:rPr>
          <w:spacing w:val="-8"/>
        </w:rPr>
        <w:t> </w:t>
      </w:r>
      <w:r>
        <w:rPr/>
        <w:t>should</w:t>
      </w:r>
      <w:r>
        <w:rPr>
          <w:spacing w:val="-9"/>
        </w:rPr>
        <w:t> </w:t>
      </w:r>
      <w:r>
        <w:rPr/>
        <w:t>often</w:t>
      </w:r>
      <w:r>
        <w:rPr>
          <w:spacing w:val="-9"/>
        </w:rPr>
        <w:t> </w:t>
      </w:r>
      <w:r>
        <w:rPr/>
        <w:t>not</w:t>
      </w:r>
      <w:r>
        <w:rPr>
          <w:spacing w:val="-8"/>
        </w:rPr>
        <w:t> </w:t>
      </w:r>
      <w:r>
        <w:rPr/>
        <w:t>be</w:t>
      </w:r>
      <w:r>
        <w:rPr>
          <w:spacing w:val="-8"/>
        </w:rPr>
        <w:t> </w:t>
      </w:r>
      <w:r>
        <w:rPr/>
        <w:t>extrapolated</w:t>
      </w:r>
      <w:r>
        <w:rPr>
          <w:spacing w:val="-9"/>
        </w:rPr>
        <w:t> </w:t>
      </w:r>
      <w:r>
        <w:rPr/>
        <w:t>for</w:t>
      </w:r>
      <w:r>
        <w:rPr>
          <w:spacing w:val="-8"/>
        </w:rPr>
        <w:t> </w:t>
      </w:r>
      <w:r>
        <w:rPr/>
        <w:t>use</w:t>
      </w:r>
      <w:r>
        <w:rPr>
          <w:spacing w:val="-58"/>
        </w:rPr>
        <w:t> </w:t>
      </w:r>
      <w:r>
        <w:rPr/>
        <w:t>in conditions other than those from the test scenario used to develop the model without</w:t>
      </w:r>
      <w:r>
        <w:rPr>
          <w:spacing w:val="1"/>
        </w:rPr>
        <w:t> </w:t>
      </w:r>
      <w:r>
        <w:rPr/>
        <w:t>recalibration.</w:t>
      </w:r>
      <w:r>
        <w:rPr>
          <w:spacing w:val="36"/>
        </w:rPr>
        <w:t> </w:t>
      </w:r>
      <w:r>
        <w:rPr/>
        <w:t>The</w:t>
      </w:r>
      <w:r>
        <w:rPr>
          <w:spacing w:val="-12"/>
        </w:rPr>
        <w:t> </w:t>
      </w:r>
      <w:r>
        <w:rPr/>
        <w:t>stark</w:t>
      </w:r>
      <w:r>
        <w:rPr>
          <w:spacing w:val="-12"/>
        </w:rPr>
        <w:t> </w:t>
      </w:r>
      <w:r>
        <w:rPr/>
        <w:t>difference</w:t>
      </w:r>
      <w:r>
        <w:rPr>
          <w:spacing w:val="-12"/>
        </w:rPr>
        <w:t> </w:t>
      </w:r>
      <w:r>
        <w:rPr/>
        <w:t>between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UFC</w:t>
      </w:r>
      <w:r>
        <w:rPr>
          <w:spacing w:val="-13"/>
        </w:rPr>
        <w:t> </w:t>
      </w:r>
      <w:r>
        <w:rPr/>
        <w:t>equation</w:t>
      </w:r>
      <w:r>
        <w:rPr>
          <w:spacing w:val="-12"/>
        </w:rPr>
        <w:t> </w:t>
      </w:r>
      <w:r>
        <w:rPr/>
        <w:t>and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CLT</w:t>
      </w:r>
      <w:r>
        <w:rPr>
          <w:spacing w:val="-11"/>
        </w:rPr>
        <w:t> </w:t>
      </w:r>
      <w:r>
        <w:rPr/>
        <w:t>data</w:t>
      </w:r>
      <w:r>
        <w:rPr>
          <w:spacing w:val="-12"/>
        </w:rPr>
        <w:t> </w:t>
      </w:r>
      <w:r>
        <w:rPr/>
        <w:t>is</w:t>
      </w:r>
      <w:r>
        <w:rPr>
          <w:spacing w:val="-12"/>
        </w:rPr>
        <w:t> </w:t>
      </w:r>
      <w:r>
        <w:rPr/>
        <w:t>a</w:t>
      </w:r>
      <w:r>
        <w:rPr>
          <w:spacing w:val="-12"/>
        </w:rPr>
        <w:t> </w:t>
      </w:r>
      <w:r>
        <w:rPr/>
        <w:t>perfect</w:t>
      </w:r>
      <w:r>
        <w:rPr>
          <w:spacing w:val="-58"/>
        </w:rPr>
        <w:t> </w:t>
      </w:r>
      <w:r>
        <w:rPr/>
        <w:t>example of this.</w:t>
      </w:r>
      <w:r>
        <w:rPr>
          <w:spacing w:val="1"/>
        </w:rPr>
        <w:t> </w:t>
      </w:r>
      <w:r>
        <w:rPr/>
        <w:t>The differences are likely caused by a lack of calibration in addition to</w:t>
      </w:r>
      <w:r>
        <w:rPr>
          <w:spacing w:val="1"/>
        </w:rPr>
        <w:t> </w:t>
      </w:r>
      <w:r>
        <w:rPr/>
        <w:t>the difference between CLT and sawn wood without laminated layers.</w:t>
      </w:r>
      <w:r>
        <w:rPr>
          <w:spacing w:val="1"/>
        </w:rPr>
        <w:t> </w:t>
      </w:r>
      <w:r>
        <w:rPr/>
        <w:t>Like all empirical</w:t>
      </w:r>
      <w:r>
        <w:rPr>
          <w:spacing w:val="1"/>
        </w:rPr>
        <w:t> </w:t>
      </w:r>
      <w:r>
        <w:rPr/>
        <w:t>models for ballistic penetration, this equation should be presented to users with the caveat</w:t>
      </w:r>
      <w:r>
        <w:rPr>
          <w:spacing w:val="-57"/>
        </w:rPr>
        <w:t> </w:t>
      </w:r>
      <w:r>
        <w:rPr/>
        <w:t>of</w:t>
      </w:r>
      <w:r>
        <w:rPr>
          <w:spacing w:val="-12"/>
        </w:rPr>
        <w:t> </w:t>
      </w:r>
      <w:r>
        <w:rPr/>
        <w:t>what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test</w:t>
      </w:r>
      <w:r>
        <w:rPr>
          <w:spacing w:val="-10"/>
        </w:rPr>
        <w:t> </w:t>
      </w:r>
      <w:r>
        <w:rPr/>
        <w:t>conditions</w:t>
      </w:r>
      <w:r>
        <w:rPr>
          <w:spacing w:val="-10"/>
        </w:rPr>
        <w:t> </w:t>
      </w:r>
      <w:r>
        <w:rPr/>
        <w:t>were</w:t>
      </w:r>
      <w:r>
        <w:rPr>
          <w:spacing w:val="-10"/>
        </w:rPr>
        <w:t> </w:t>
      </w:r>
      <w:r>
        <w:rPr/>
        <w:t>that</w:t>
      </w:r>
      <w:r>
        <w:rPr>
          <w:spacing w:val="-10"/>
        </w:rPr>
        <w:t> </w:t>
      </w:r>
      <w:r>
        <w:rPr/>
        <w:t>produced</w:t>
      </w:r>
      <w:r>
        <w:rPr>
          <w:spacing w:val="-10"/>
        </w:rPr>
        <w:t> </w:t>
      </w:r>
      <w:r>
        <w:rPr/>
        <w:t>the</w:t>
      </w:r>
      <w:r>
        <w:rPr>
          <w:spacing w:val="-11"/>
        </w:rPr>
        <w:t> </w:t>
      </w:r>
      <w:r>
        <w:rPr/>
        <w:t>equation.</w:t>
      </w:r>
      <w:r>
        <w:rPr>
          <w:spacing w:val="39"/>
        </w:rPr>
        <w:t> </w:t>
      </w:r>
      <w:r>
        <w:rPr/>
        <w:t>This</w:t>
      </w:r>
      <w:r>
        <w:rPr>
          <w:spacing w:val="-10"/>
        </w:rPr>
        <w:t> </w:t>
      </w:r>
      <w:r>
        <w:rPr/>
        <w:t>would</w:t>
      </w:r>
      <w:r>
        <w:rPr>
          <w:spacing w:val="-10"/>
        </w:rPr>
        <w:t> </w:t>
      </w:r>
      <w:r>
        <w:rPr/>
        <w:t>allow</w:t>
      </w:r>
      <w:r>
        <w:rPr>
          <w:spacing w:val="-10"/>
        </w:rPr>
        <w:t> </w:t>
      </w:r>
      <w:r>
        <w:rPr/>
        <w:t>for</w:t>
      </w:r>
      <w:r>
        <w:rPr>
          <w:spacing w:val="-10"/>
        </w:rPr>
        <w:t> </w:t>
      </w:r>
      <w:r>
        <w:rPr/>
        <w:t>an</w:t>
      </w:r>
      <w:r>
        <w:rPr>
          <w:spacing w:val="-10"/>
        </w:rPr>
        <w:t> </w:t>
      </w:r>
      <w:r>
        <w:rPr/>
        <w:t>easier</w:t>
      </w:r>
      <w:r>
        <w:rPr>
          <w:spacing w:val="-58"/>
        </w:rPr>
        <w:t> </w:t>
      </w:r>
      <w:r>
        <w:rPr/>
        <w:t>factoring or recalibration of the model. The lack of a good fit between the existing UFC</w:t>
      </w:r>
      <w:r>
        <w:rPr>
          <w:spacing w:val="1"/>
        </w:rPr>
        <w:t> </w:t>
      </w:r>
      <w:r>
        <w:rPr/>
        <w:t>equation and the data from the CLT ballistic testing initiated an exploration into other</w:t>
      </w:r>
      <w:r>
        <w:rPr>
          <w:spacing w:val="1"/>
        </w:rPr>
        <w:t> </w:t>
      </w:r>
      <w:r>
        <w:rPr/>
        <w:t>potential</w:t>
      </w:r>
      <w:r>
        <w:rPr>
          <w:spacing w:val="-10"/>
        </w:rPr>
        <w:t> </w:t>
      </w:r>
      <w:r>
        <w:rPr/>
        <w:t>empirical</w:t>
      </w:r>
      <w:r>
        <w:rPr>
          <w:spacing w:val="-9"/>
        </w:rPr>
        <w:t> </w:t>
      </w:r>
      <w:r>
        <w:rPr/>
        <w:t>models,</w:t>
      </w:r>
      <w:r>
        <w:rPr>
          <w:spacing w:val="-10"/>
        </w:rPr>
        <w:t> </w:t>
      </w:r>
      <w:r>
        <w:rPr/>
        <w:t>which</w:t>
      </w:r>
      <w:r>
        <w:rPr>
          <w:spacing w:val="-11"/>
        </w:rPr>
        <w:t> </w:t>
      </w:r>
      <w:r>
        <w:rPr/>
        <w:t>could</w:t>
      </w:r>
      <w:r>
        <w:rPr>
          <w:spacing w:val="-10"/>
        </w:rPr>
        <w:t> </w:t>
      </w:r>
      <w:r>
        <w:rPr/>
        <w:t>better</w:t>
      </w:r>
      <w:r>
        <w:rPr>
          <w:spacing w:val="-9"/>
        </w:rPr>
        <w:t> </w:t>
      </w:r>
      <w:r>
        <w:rPr/>
        <w:t>predict</w:t>
      </w:r>
      <w:r>
        <w:rPr>
          <w:spacing w:val="-12"/>
        </w:rPr>
        <w:t> </w:t>
      </w:r>
      <w:r>
        <w:rPr/>
        <w:t>the</w:t>
      </w:r>
      <w:r>
        <w:rPr>
          <w:spacing w:val="-10"/>
        </w:rPr>
        <w:t> </w:t>
      </w:r>
      <w:r>
        <w:rPr/>
        <w:t>thickness</w:t>
      </w:r>
      <w:r>
        <w:rPr>
          <w:spacing w:val="-10"/>
        </w:rPr>
        <w:t> </w:t>
      </w:r>
      <w:r>
        <w:rPr/>
        <w:t>of</w:t>
      </w:r>
      <w:r>
        <w:rPr>
          <w:spacing w:val="-11"/>
        </w:rPr>
        <w:t> </w:t>
      </w:r>
      <w:r>
        <w:rPr/>
        <w:t>CLT</w:t>
      </w:r>
      <w:r>
        <w:rPr>
          <w:spacing w:val="-11"/>
        </w:rPr>
        <w:t> </w:t>
      </w:r>
      <w:r>
        <w:rPr/>
        <w:t>required</w:t>
      </w:r>
      <w:r>
        <w:rPr>
          <w:spacing w:val="-10"/>
        </w:rPr>
        <w:t> </w:t>
      </w:r>
      <w:r>
        <w:rPr/>
        <w:t>based</w:t>
      </w:r>
      <w:r>
        <w:rPr>
          <w:spacing w:val="-58"/>
        </w:rPr>
        <w:t> </w:t>
      </w:r>
      <w:r>
        <w:rPr/>
        <w:t>on</w:t>
      </w:r>
      <w:r>
        <w:rPr>
          <w:spacing w:val="-13"/>
        </w:rPr>
        <w:t> </w:t>
      </w:r>
      <w:r>
        <w:rPr/>
        <w:t>striking</w:t>
      </w:r>
      <w:r>
        <w:rPr>
          <w:spacing w:val="-13"/>
        </w:rPr>
        <w:t> </w:t>
      </w:r>
      <w:r>
        <w:rPr/>
        <w:t>velocity</w:t>
      </w:r>
      <w:r>
        <w:rPr>
          <w:spacing w:val="-12"/>
        </w:rPr>
        <w:t> </w:t>
      </w:r>
      <w:r>
        <w:rPr/>
        <w:t>of</w:t>
      </w:r>
      <w:r>
        <w:rPr>
          <w:spacing w:val="-14"/>
        </w:rPr>
        <w:t> </w:t>
      </w:r>
      <w:r>
        <w:rPr/>
        <w:t>the</w:t>
      </w:r>
      <w:r>
        <w:rPr>
          <w:spacing w:val="-12"/>
        </w:rPr>
        <w:t> </w:t>
      </w:r>
      <w:r>
        <w:rPr/>
        <w:t>projectile.</w:t>
      </w:r>
      <w:r>
        <w:rPr>
          <w:spacing w:val="34"/>
        </w:rPr>
        <w:t> </w:t>
      </w:r>
      <w:r>
        <w:rPr/>
        <w:t>A</w:t>
      </w:r>
      <w:r>
        <w:rPr>
          <w:spacing w:val="-13"/>
        </w:rPr>
        <w:t> </w:t>
      </w:r>
      <w:r>
        <w:rPr/>
        <w:t>summary</w:t>
      </w:r>
      <w:r>
        <w:rPr>
          <w:spacing w:val="-12"/>
        </w:rPr>
        <w:t> </w:t>
      </w:r>
      <w:r>
        <w:rPr/>
        <w:t>of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models</w:t>
      </w:r>
      <w:r>
        <w:rPr>
          <w:spacing w:val="-13"/>
        </w:rPr>
        <w:t> </w:t>
      </w:r>
      <w:r>
        <w:rPr/>
        <w:t>considered</w:t>
      </w:r>
      <w:r>
        <w:rPr>
          <w:spacing w:val="-14"/>
        </w:rPr>
        <w:t> </w:t>
      </w:r>
      <w:r>
        <w:rPr/>
        <w:t>in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following</w:t>
      </w:r>
      <w:r>
        <w:rPr>
          <w:spacing w:val="-58"/>
        </w:rPr>
        <w:t> </w:t>
      </w:r>
      <w:r>
        <w:rPr/>
        <w:t>sections</w:t>
      </w:r>
      <w:r>
        <w:rPr>
          <w:spacing w:val="-1"/>
        </w:rPr>
        <w:t> </w:t>
      </w:r>
      <w:r>
        <w:rPr/>
        <w:t>is provided</w:t>
      </w:r>
      <w:r>
        <w:rPr>
          <w:spacing w:val="-2"/>
        </w:rPr>
        <w:t> </w:t>
      </w:r>
      <w:r>
        <w:rPr/>
        <w:t>in </w:t>
      </w:r>
      <w:hyperlink w:history="true" w:anchor="_bookmark63">
        <w:r>
          <w:rPr/>
          <w:t>Table 5-6</w:t>
        </w:r>
      </w:hyperlink>
      <w:r>
        <w:rPr/>
        <w:t>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spacing w:before="79"/>
        <w:ind w:left="19" w:right="0" w:firstLine="0"/>
        <w:jc w:val="center"/>
        <w:rPr>
          <w:i/>
          <w:sz w:val="24"/>
        </w:rPr>
      </w:pPr>
      <w:bookmarkStart w:name="_bookmark63" w:id="275"/>
      <w:bookmarkEnd w:id="275"/>
      <w:r>
        <w:rPr/>
      </w:r>
      <w:r>
        <w:rPr>
          <w:i/>
          <w:sz w:val="24"/>
        </w:rPr>
        <w:t>Table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5-6.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Summary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models.</w:t>
      </w:r>
    </w:p>
    <w:p>
      <w:pPr>
        <w:pStyle w:val="BodyText"/>
        <w:spacing w:before="5" w:after="1"/>
        <w:rPr>
          <w:i/>
          <w:sz w:val="17"/>
        </w:rPr>
      </w:pPr>
    </w:p>
    <w:tbl>
      <w:tblPr>
        <w:tblW w:w="0" w:type="auto"/>
        <w:jc w:val="left"/>
        <w:tblInd w:w="217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60"/>
        <w:gridCol w:w="960"/>
        <w:gridCol w:w="960"/>
        <w:gridCol w:w="1121"/>
      </w:tblGrid>
      <w:tr>
        <w:trPr>
          <w:trHeight w:val="314" w:hRule="atLeast"/>
        </w:trPr>
        <w:tc>
          <w:tcPr>
            <w:tcW w:w="2160" w:type="dxa"/>
            <w:shd w:val="clear" w:color="auto" w:fill="C0C0C0"/>
          </w:tcPr>
          <w:p>
            <w:pPr>
              <w:pStyle w:val="TableParagraph"/>
              <w:spacing w:before="30"/>
              <w:ind w:left="759" w:right="74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Model</w:t>
            </w:r>
          </w:p>
        </w:tc>
        <w:tc>
          <w:tcPr>
            <w:tcW w:w="960" w:type="dxa"/>
            <w:shd w:val="clear" w:color="auto" w:fill="C0C0C0"/>
          </w:tcPr>
          <w:p>
            <w:pPr>
              <w:pStyle w:val="TableParagraph"/>
              <w:spacing w:before="30"/>
              <w:ind w:left="117" w:right="9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Section</w:t>
            </w:r>
          </w:p>
        </w:tc>
        <w:tc>
          <w:tcPr>
            <w:tcW w:w="960" w:type="dxa"/>
            <w:shd w:val="clear" w:color="auto" w:fill="C0C0C0"/>
          </w:tcPr>
          <w:p>
            <w:pPr>
              <w:pStyle w:val="TableParagraph"/>
              <w:spacing w:line="233" w:lineRule="exact" w:before="61"/>
              <w:ind w:left="115" w:right="9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Data</w:t>
            </w:r>
          </w:p>
        </w:tc>
        <w:tc>
          <w:tcPr>
            <w:tcW w:w="1121" w:type="dxa"/>
            <w:shd w:val="clear" w:color="auto" w:fill="C0C0C0"/>
          </w:tcPr>
          <w:p>
            <w:pPr>
              <w:pStyle w:val="TableParagraph"/>
              <w:spacing w:line="233" w:lineRule="exact" w:before="61"/>
              <w:ind w:left="301" w:right="283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Type</w:t>
            </w:r>
          </w:p>
        </w:tc>
      </w:tr>
      <w:tr>
        <w:trPr>
          <w:trHeight w:val="326" w:hRule="atLeast"/>
        </w:trPr>
        <w:tc>
          <w:tcPr>
            <w:tcW w:w="2160" w:type="dxa"/>
            <w:vMerge w:val="restart"/>
            <w:tcBorders>
              <w:right w:val="single" w:sz="4" w:space="0" w:color="000000"/>
            </w:tcBorders>
          </w:tcPr>
          <w:p>
            <w:pPr>
              <w:pStyle w:val="TableParagraph"/>
              <w:spacing w:before="4"/>
              <w:rPr>
                <w:i/>
                <w:sz w:val="30"/>
              </w:rPr>
            </w:pPr>
          </w:p>
          <w:p>
            <w:pPr>
              <w:pStyle w:val="TableParagraph"/>
              <w:spacing w:before="1"/>
              <w:ind w:left="180"/>
              <w:rPr>
                <w:sz w:val="22"/>
              </w:rPr>
            </w:pPr>
            <w:r>
              <w:rPr>
                <w:sz w:val="22"/>
              </w:rPr>
              <w:t>Revised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UFC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model</w:t>
            </w:r>
          </w:p>
        </w:tc>
        <w:tc>
          <w:tcPr>
            <w:tcW w:w="960" w:type="dxa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rPr>
                <w:i/>
                <w:sz w:val="30"/>
              </w:rPr>
            </w:pPr>
          </w:p>
          <w:p>
            <w:pPr>
              <w:pStyle w:val="TableParagraph"/>
              <w:spacing w:before="1"/>
              <w:ind w:left="263"/>
              <w:rPr>
                <w:sz w:val="22"/>
              </w:rPr>
            </w:pPr>
            <w:r>
              <w:rPr>
                <w:sz w:val="22"/>
              </w:rPr>
              <w:t>5.5.3</w:t>
            </w:r>
          </w:p>
        </w:tc>
        <w:tc>
          <w:tcPr>
            <w:tcW w:w="960" w:type="dxa"/>
            <w:tcBorders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45"/>
              <w:ind w:left="116" w:right="98"/>
              <w:jc w:val="center"/>
              <w:rPr>
                <w:sz w:val="22"/>
              </w:rPr>
            </w:pPr>
            <w:r>
              <w:rPr>
                <w:sz w:val="22"/>
              </w:rPr>
              <w:t>All</w:t>
            </w:r>
          </w:p>
        </w:tc>
        <w:tc>
          <w:tcPr>
            <w:tcW w:w="1121" w:type="dxa"/>
            <w:vMerge w:val="restart"/>
            <w:tcBorders>
              <w:left w:val="single" w:sz="4" w:space="0" w:color="000000"/>
            </w:tcBorders>
          </w:tcPr>
          <w:p>
            <w:pPr>
              <w:pStyle w:val="TableParagraph"/>
              <w:spacing w:before="4"/>
              <w:rPr>
                <w:i/>
                <w:sz w:val="30"/>
              </w:rPr>
            </w:pPr>
          </w:p>
          <w:p>
            <w:pPr>
              <w:pStyle w:val="TableParagraph"/>
              <w:spacing w:before="1"/>
              <w:ind w:left="160"/>
              <w:rPr>
                <w:sz w:val="22"/>
              </w:rPr>
            </w:pPr>
            <w:r>
              <w:rPr>
                <w:sz w:val="22"/>
              </w:rPr>
              <w:t>Curve-fit</w:t>
            </w:r>
          </w:p>
        </w:tc>
      </w:tr>
      <w:tr>
        <w:trPr>
          <w:trHeight w:val="307" w:hRule="atLeast"/>
        </w:trPr>
        <w:tc>
          <w:tcPr>
            <w:tcW w:w="2160" w:type="dxa"/>
            <w:vMerge/>
            <w:tcBorders>
              <w:top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60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6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19"/>
              <w:ind w:left="116" w:right="99"/>
              <w:jc w:val="center"/>
              <w:rPr>
                <w:sz w:val="22"/>
              </w:rPr>
            </w:pPr>
            <w:r>
              <w:rPr>
                <w:sz w:val="22"/>
              </w:rPr>
              <w:t>SPF-S</w:t>
            </w:r>
          </w:p>
        </w:tc>
        <w:tc>
          <w:tcPr>
            <w:tcW w:w="1121" w:type="dxa"/>
            <w:vMerge/>
            <w:tcBorders>
              <w:top w:val="nil"/>
              <w:lef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80" w:hRule="atLeast"/>
        </w:trPr>
        <w:tc>
          <w:tcPr>
            <w:tcW w:w="2160" w:type="dxa"/>
            <w:vMerge/>
            <w:tcBorders>
              <w:top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60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60" w:type="dxa"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26"/>
              <w:ind w:left="116" w:right="98"/>
              <w:jc w:val="center"/>
              <w:rPr>
                <w:sz w:val="22"/>
              </w:rPr>
            </w:pPr>
            <w:r>
              <w:rPr>
                <w:sz w:val="22"/>
              </w:rPr>
              <w:t>SYP</w:t>
            </w:r>
          </w:p>
        </w:tc>
        <w:tc>
          <w:tcPr>
            <w:tcW w:w="1121" w:type="dxa"/>
            <w:vMerge/>
            <w:tcBorders>
              <w:top w:val="nil"/>
              <w:lef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208" w:hRule="atLeast"/>
        </w:trPr>
        <w:tc>
          <w:tcPr>
            <w:tcW w:w="2160" w:type="dxa"/>
            <w:tcBorders>
              <w:right w:val="single" w:sz="4" w:space="0" w:color="000000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201"/>
              <w:ind w:left="168" w:right="155"/>
              <w:jc w:val="center"/>
              <w:rPr>
                <w:sz w:val="22"/>
              </w:rPr>
            </w:pPr>
            <w:r>
              <w:rPr>
                <w:sz w:val="22"/>
              </w:rPr>
              <w:t>Euler-Robbins</w:t>
            </w:r>
          </w:p>
        </w:tc>
        <w:tc>
          <w:tcPr>
            <w:tcW w:w="96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201"/>
              <w:ind w:left="116" w:right="97"/>
              <w:jc w:val="center"/>
              <w:rPr>
                <w:sz w:val="22"/>
              </w:rPr>
            </w:pPr>
            <w:r>
              <w:rPr>
                <w:sz w:val="22"/>
              </w:rPr>
              <w:t>5.5.4.1</w:t>
            </w:r>
          </w:p>
        </w:tc>
        <w:tc>
          <w:tcPr>
            <w:tcW w:w="96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201"/>
              <w:ind w:left="116" w:right="98"/>
              <w:jc w:val="center"/>
              <w:rPr>
                <w:sz w:val="22"/>
              </w:rPr>
            </w:pPr>
            <w:r>
              <w:rPr>
                <w:sz w:val="22"/>
              </w:rPr>
              <w:t>All</w:t>
            </w:r>
          </w:p>
        </w:tc>
        <w:tc>
          <w:tcPr>
            <w:tcW w:w="1121" w:type="dxa"/>
            <w:tcBorders>
              <w:left w:val="single" w:sz="4" w:space="0" w:color="000000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201"/>
              <w:ind w:left="85" w:right="65"/>
              <w:jc w:val="center"/>
              <w:rPr>
                <w:sz w:val="22"/>
              </w:rPr>
            </w:pPr>
            <w:r>
              <w:rPr>
                <w:sz w:val="22"/>
              </w:rPr>
              <w:t>Classical</w:t>
            </w:r>
          </w:p>
        </w:tc>
      </w:tr>
      <w:tr>
        <w:trPr>
          <w:trHeight w:val="1209" w:hRule="atLeast"/>
        </w:trPr>
        <w:tc>
          <w:tcPr>
            <w:tcW w:w="2160" w:type="dxa"/>
            <w:tcBorders>
              <w:right w:val="single" w:sz="4" w:space="0" w:color="000000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201"/>
              <w:ind w:left="167" w:right="155"/>
              <w:jc w:val="center"/>
              <w:rPr>
                <w:sz w:val="22"/>
              </w:rPr>
            </w:pPr>
            <w:r>
              <w:rPr>
                <w:sz w:val="22"/>
              </w:rPr>
              <w:t>Poncelet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(base)</w:t>
            </w:r>
          </w:p>
        </w:tc>
        <w:tc>
          <w:tcPr>
            <w:tcW w:w="96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201"/>
              <w:ind w:left="116" w:right="96"/>
              <w:jc w:val="center"/>
              <w:rPr>
                <w:sz w:val="22"/>
              </w:rPr>
            </w:pPr>
            <w:r>
              <w:rPr>
                <w:sz w:val="22"/>
              </w:rPr>
              <w:t>5.5.4.2</w:t>
            </w:r>
          </w:p>
        </w:tc>
        <w:tc>
          <w:tcPr>
            <w:tcW w:w="96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201"/>
              <w:ind w:left="116" w:right="97"/>
              <w:jc w:val="center"/>
              <w:rPr>
                <w:sz w:val="22"/>
              </w:rPr>
            </w:pPr>
            <w:r>
              <w:rPr>
                <w:sz w:val="22"/>
              </w:rPr>
              <w:t>All</w:t>
            </w:r>
          </w:p>
        </w:tc>
        <w:tc>
          <w:tcPr>
            <w:tcW w:w="1121" w:type="dxa"/>
            <w:tcBorders>
              <w:left w:val="single" w:sz="4" w:space="0" w:color="000000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201"/>
              <w:ind w:left="85" w:right="65"/>
              <w:jc w:val="center"/>
              <w:rPr>
                <w:sz w:val="22"/>
              </w:rPr>
            </w:pPr>
            <w:r>
              <w:rPr>
                <w:sz w:val="22"/>
              </w:rPr>
              <w:t>Classical</w:t>
            </w:r>
          </w:p>
        </w:tc>
      </w:tr>
      <w:tr>
        <w:trPr>
          <w:trHeight w:val="1208" w:hRule="atLeast"/>
        </w:trPr>
        <w:tc>
          <w:tcPr>
            <w:tcW w:w="2160" w:type="dxa"/>
            <w:tcBorders>
              <w:right w:val="single" w:sz="4" w:space="0" w:color="000000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200"/>
              <w:ind w:left="170" w:right="155"/>
              <w:jc w:val="center"/>
              <w:rPr>
                <w:sz w:val="22"/>
              </w:rPr>
            </w:pPr>
            <w:r>
              <w:rPr>
                <w:sz w:val="22"/>
              </w:rPr>
              <w:t>Poncelet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(Variant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1)</w:t>
            </w:r>
          </w:p>
        </w:tc>
        <w:tc>
          <w:tcPr>
            <w:tcW w:w="96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200"/>
              <w:ind w:left="116" w:right="97"/>
              <w:jc w:val="center"/>
              <w:rPr>
                <w:sz w:val="22"/>
              </w:rPr>
            </w:pPr>
            <w:r>
              <w:rPr>
                <w:sz w:val="22"/>
              </w:rPr>
              <w:t>5.5.4.2</w:t>
            </w:r>
          </w:p>
        </w:tc>
        <w:tc>
          <w:tcPr>
            <w:tcW w:w="96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200"/>
              <w:ind w:left="116" w:right="98"/>
              <w:jc w:val="center"/>
              <w:rPr>
                <w:sz w:val="22"/>
              </w:rPr>
            </w:pPr>
            <w:r>
              <w:rPr>
                <w:sz w:val="22"/>
              </w:rPr>
              <w:t>All</w:t>
            </w:r>
          </w:p>
        </w:tc>
        <w:tc>
          <w:tcPr>
            <w:tcW w:w="1121" w:type="dxa"/>
            <w:tcBorders>
              <w:left w:val="single" w:sz="4" w:space="0" w:color="000000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200"/>
              <w:ind w:left="85" w:right="65"/>
              <w:jc w:val="center"/>
              <w:rPr>
                <w:sz w:val="22"/>
              </w:rPr>
            </w:pPr>
            <w:r>
              <w:rPr>
                <w:sz w:val="22"/>
              </w:rPr>
              <w:t>Classical</w:t>
            </w:r>
          </w:p>
        </w:tc>
      </w:tr>
      <w:tr>
        <w:trPr>
          <w:trHeight w:val="1208" w:hRule="atLeast"/>
        </w:trPr>
        <w:tc>
          <w:tcPr>
            <w:tcW w:w="2160" w:type="dxa"/>
            <w:tcBorders>
              <w:right w:val="single" w:sz="4" w:space="0" w:color="000000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201"/>
              <w:ind w:left="170" w:right="155"/>
              <w:jc w:val="center"/>
              <w:rPr>
                <w:sz w:val="22"/>
              </w:rPr>
            </w:pPr>
            <w:r>
              <w:rPr>
                <w:sz w:val="22"/>
              </w:rPr>
              <w:t>Poncelet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(Variant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2)</w:t>
            </w:r>
          </w:p>
        </w:tc>
        <w:tc>
          <w:tcPr>
            <w:tcW w:w="96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201"/>
              <w:ind w:left="116" w:right="97"/>
              <w:jc w:val="center"/>
              <w:rPr>
                <w:sz w:val="22"/>
              </w:rPr>
            </w:pPr>
            <w:r>
              <w:rPr>
                <w:sz w:val="22"/>
              </w:rPr>
              <w:t>5.5.4.2</w:t>
            </w:r>
          </w:p>
        </w:tc>
        <w:tc>
          <w:tcPr>
            <w:tcW w:w="96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201"/>
              <w:ind w:left="116" w:right="98"/>
              <w:jc w:val="center"/>
              <w:rPr>
                <w:sz w:val="22"/>
              </w:rPr>
            </w:pPr>
            <w:r>
              <w:rPr>
                <w:sz w:val="22"/>
              </w:rPr>
              <w:t>All</w:t>
            </w:r>
          </w:p>
        </w:tc>
        <w:tc>
          <w:tcPr>
            <w:tcW w:w="1121" w:type="dxa"/>
            <w:tcBorders>
              <w:left w:val="single" w:sz="4" w:space="0" w:color="000000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201"/>
              <w:ind w:left="85" w:right="65"/>
              <w:jc w:val="center"/>
              <w:rPr>
                <w:sz w:val="22"/>
              </w:rPr>
            </w:pPr>
            <w:r>
              <w:rPr>
                <w:sz w:val="22"/>
              </w:rPr>
              <w:t>Classical</w:t>
            </w:r>
          </w:p>
        </w:tc>
      </w:tr>
      <w:tr>
        <w:trPr>
          <w:trHeight w:val="1208" w:hRule="atLeast"/>
        </w:trPr>
        <w:tc>
          <w:tcPr>
            <w:tcW w:w="2160" w:type="dxa"/>
            <w:tcBorders>
              <w:right w:val="single" w:sz="4" w:space="0" w:color="000000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201"/>
              <w:ind w:left="166" w:right="155"/>
              <w:jc w:val="center"/>
              <w:rPr>
                <w:sz w:val="22"/>
              </w:rPr>
            </w:pPr>
            <w:r>
              <w:rPr>
                <w:sz w:val="22"/>
              </w:rPr>
              <w:t>Resal</w:t>
            </w:r>
          </w:p>
        </w:tc>
        <w:tc>
          <w:tcPr>
            <w:tcW w:w="96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201"/>
              <w:ind w:left="116" w:right="97"/>
              <w:jc w:val="center"/>
              <w:rPr>
                <w:sz w:val="22"/>
              </w:rPr>
            </w:pPr>
            <w:r>
              <w:rPr>
                <w:sz w:val="22"/>
              </w:rPr>
              <w:t>5.5.4.3</w:t>
            </w:r>
          </w:p>
        </w:tc>
        <w:tc>
          <w:tcPr>
            <w:tcW w:w="96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201"/>
              <w:ind w:left="116" w:right="98"/>
              <w:jc w:val="center"/>
              <w:rPr>
                <w:sz w:val="22"/>
              </w:rPr>
            </w:pPr>
            <w:r>
              <w:rPr>
                <w:sz w:val="22"/>
              </w:rPr>
              <w:t>All</w:t>
            </w:r>
          </w:p>
        </w:tc>
        <w:tc>
          <w:tcPr>
            <w:tcW w:w="1121" w:type="dxa"/>
            <w:tcBorders>
              <w:left w:val="single" w:sz="4" w:space="0" w:color="000000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201"/>
              <w:ind w:left="84" w:right="65"/>
              <w:jc w:val="center"/>
              <w:rPr>
                <w:sz w:val="22"/>
              </w:rPr>
            </w:pPr>
            <w:r>
              <w:rPr>
                <w:sz w:val="22"/>
              </w:rPr>
              <w:t>Classical</w:t>
            </w:r>
          </w:p>
        </w:tc>
      </w:tr>
      <w:tr>
        <w:trPr>
          <w:trHeight w:val="327" w:hRule="atLeast"/>
        </w:trPr>
        <w:tc>
          <w:tcPr>
            <w:tcW w:w="2160" w:type="dxa"/>
            <w:vMerge w:val="restart"/>
            <w:tcBorders>
              <w:right w:val="single" w:sz="4" w:space="0" w:color="000000"/>
            </w:tcBorders>
          </w:tcPr>
          <w:p>
            <w:pPr>
              <w:pStyle w:val="TableParagraph"/>
              <w:spacing w:before="4"/>
              <w:rPr>
                <w:i/>
                <w:sz w:val="30"/>
              </w:rPr>
            </w:pPr>
          </w:p>
          <w:p>
            <w:pPr>
              <w:pStyle w:val="TableParagraph"/>
              <w:spacing w:before="1"/>
              <w:ind w:left="303"/>
              <w:rPr>
                <w:sz w:val="22"/>
              </w:rPr>
            </w:pPr>
            <w:r>
              <w:rPr>
                <w:sz w:val="22"/>
              </w:rPr>
              <w:t>Force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Law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model</w:t>
            </w:r>
          </w:p>
        </w:tc>
        <w:tc>
          <w:tcPr>
            <w:tcW w:w="960" w:type="dxa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rPr>
                <w:i/>
                <w:sz w:val="30"/>
              </w:rPr>
            </w:pPr>
          </w:p>
          <w:p>
            <w:pPr>
              <w:pStyle w:val="TableParagraph"/>
              <w:spacing w:before="1"/>
              <w:ind w:left="263"/>
              <w:rPr>
                <w:sz w:val="22"/>
              </w:rPr>
            </w:pPr>
            <w:r>
              <w:rPr>
                <w:sz w:val="22"/>
              </w:rPr>
              <w:t>5.5.5</w:t>
            </w:r>
          </w:p>
        </w:tc>
        <w:tc>
          <w:tcPr>
            <w:tcW w:w="960" w:type="dxa"/>
            <w:tcBorders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46"/>
              <w:ind w:left="116" w:right="98"/>
              <w:jc w:val="center"/>
              <w:rPr>
                <w:sz w:val="22"/>
              </w:rPr>
            </w:pPr>
            <w:r>
              <w:rPr>
                <w:sz w:val="22"/>
              </w:rPr>
              <w:t>All</w:t>
            </w:r>
          </w:p>
        </w:tc>
        <w:tc>
          <w:tcPr>
            <w:tcW w:w="1121" w:type="dxa"/>
            <w:vMerge w:val="restart"/>
            <w:tcBorders>
              <w:left w:val="single" w:sz="4" w:space="0" w:color="000000"/>
            </w:tcBorders>
          </w:tcPr>
          <w:p>
            <w:pPr>
              <w:pStyle w:val="TableParagraph"/>
              <w:spacing w:before="5"/>
              <w:rPr>
                <w:i/>
                <w:sz w:val="19"/>
              </w:rPr>
            </w:pPr>
          </w:p>
          <w:p>
            <w:pPr>
              <w:pStyle w:val="TableParagraph"/>
              <w:ind w:left="314" w:right="149" w:hanging="123"/>
              <w:rPr>
                <w:sz w:val="22"/>
              </w:rPr>
            </w:pPr>
            <w:r>
              <w:rPr>
                <w:sz w:val="22"/>
              </w:rPr>
              <w:t>Physics-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based</w:t>
            </w:r>
          </w:p>
        </w:tc>
      </w:tr>
      <w:tr>
        <w:trPr>
          <w:trHeight w:val="307" w:hRule="atLeast"/>
        </w:trPr>
        <w:tc>
          <w:tcPr>
            <w:tcW w:w="2160" w:type="dxa"/>
            <w:vMerge/>
            <w:tcBorders>
              <w:top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60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6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18"/>
              <w:ind w:left="116" w:right="99"/>
              <w:jc w:val="center"/>
              <w:rPr>
                <w:sz w:val="22"/>
              </w:rPr>
            </w:pPr>
            <w:r>
              <w:rPr>
                <w:sz w:val="22"/>
              </w:rPr>
              <w:t>SPF-S</w:t>
            </w:r>
          </w:p>
        </w:tc>
        <w:tc>
          <w:tcPr>
            <w:tcW w:w="1121" w:type="dxa"/>
            <w:vMerge/>
            <w:tcBorders>
              <w:top w:val="nil"/>
              <w:lef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80" w:hRule="atLeast"/>
        </w:trPr>
        <w:tc>
          <w:tcPr>
            <w:tcW w:w="2160" w:type="dxa"/>
            <w:vMerge/>
            <w:tcBorders>
              <w:top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60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60" w:type="dxa"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26"/>
              <w:ind w:left="116" w:right="98"/>
              <w:jc w:val="center"/>
              <w:rPr>
                <w:sz w:val="22"/>
              </w:rPr>
            </w:pPr>
            <w:r>
              <w:rPr>
                <w:sz w:val="22"/>
              </w:rPr>
              <w:t>SYP</w:t>
            </w:r>
          </w:p>
        </w:tc>
        <w:tc>
          <w:tcPr>
            <w:tcW w:w="1121" w:type="dxa"/>
            <w:vMerge/>
            <w:tcBorders>
              <w:top w:val="nil"/>
              <w:lef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208" w:hRule="atLeast"/>
        </w:trPr>
        <w:tc>
          <w:tcPr>
            <w:tcW w:w="2160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4"/>
              <w:rPr>
                <w:i/>
                <w:sz w:val="30"/>
              </w:rPr>
            </w:pPr>
          </w:p>
          <w:p>
            <w:pPr>
              <w:pStyle w:val="TableParagraph"/>
              <w:spacing w:before="1"/>
              <w:ind w:left="804" w:right="371" w:hanging="401"/>
              <w:rPr>
                <w:sz w:val="22"/>
              </w:rPr>
            </w:pPr>
            <w:r>
              <w:rPr>
                <w:sz w:val="22"/>
              </w:rPr>
              <w:t>General THOR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model</w:t>
            </w:r>
          </w:p>
        </w:tc>
        <w:tc>
          <w:tcPr>
            <w:tcW w:w="96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200"/>
              <w:ind w:left="116" w:right="98"/>
              <w:jc w:val="center"/>
              <w:rPr>
                <w:sz w:val="22"/>
              </w:rPr>
            </w:pPr>
            <w:r>
              <w:rPr>
                <w:sz w:val="22"/>
              </w:rPr>
              <w:t>5.5.6</w:t>
            </w:r>
          </w:p>
        </w:tc>
        <w:tc>
          <w:tcPr>
            <w:tcW w:w="96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200"/>
              <w:ind w:left="116" w:right="98"/>
              <w:jc w:val="center"/>
              <w:rPr>
                <w:sz w:val="22"/>
              </w:rPr>
            </w:pPr>
            <w:r>
              <w:rPr>
                <w:sz w:val="22"/>
              </w:rPr>
              <w:t>All</w:t>
            </w:r>
          </w:p>
        </w:tc>
        <w:tc>
          <w:tcPr>
            <w:tcW w:w="1121" w:type="dxa"/>
            <w:tcBorders>
              <w:left w:val="single" w:sz="4" w:space="0" w:color="000000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200"/>
              <w:ind w:left="86" w:right="65"/>
              <w:jc w:val="center"/>
              <w:rPr>
                <w:sz w:val="22"/>
              </w:rPr>
            </w:pPr>
            <w:r>
              <w:rPr>
                <w:sz w:val="22"/>
              </w:rPr>
              <w:t>Curve-fit</w:t>
            </w:r>
          </w:p>
        </w:tc>
      </w:tr>
      <w:tr>
        <w:trPr>
          <w:trHeight w:val="326" w:hRule="atLeast"/>
        </w:trPr>
        <w:tc>
          <w:tcPr>
            <w:tcW w:w="2160" w:type="dxa"/>
            <w:vMerge w:val="restart"/>
            <w:tcBorders>
              <w:right w:val="single" w:sz="4" w:space="0" w:color="000000"/>
            </w:tcBorders>
          </w:tcPr>
          <w:p>
            <w:pPr>
              <w:pStyle w:val="TableParagraph"/>
              <w:spacing w:before="4"/>
              <w:rPr>
                <w:i/>
                <w:sz w:val="30"/>
              </w:rPr>
            </w:pPr>
          </w:p>
          <w:p>
            <w:pPr>
              <w:pStyle w:val="TableParagraph"/>
              <w:spacing w:before="1"/>
              <w:ind w:left="241"/>
              <w:rPr>
                <w:sz w:val="22"/>
              </w:rPr>
            </w:pPr>
            <w:r>
              <w:rPr>
                <w:sz w:val="22"/>
              </w:rPr>
              <w:t>CLT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THOR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model</w:t>
            </w:r>
          </w:p>
        </w:tc>
        <w:tc>
          <w:tcPr>
            <w:tcW w:w="960" w:type="dxa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rPr>
                <w:i/>
                <w:sz w:val="30"/>
              </w:rPr>
            </w:pPr>
          </w:p>
          <w:p>
            <w:pPr>
              <w:pStyle w:val="TableParagraph"/>
              <w:spacing w:before="1"/>
              <w:ind w:left="263"/>
              <w:rPr>
                <w:sz w:val="22"/>
              </w:rPr>
            </w:pPr>
            <w:r>
              <w:rPr>
                <w:sz w:val="22"/>
              </w:rPr>
              <w:t>5.5.7</w:t>
            </w:r>
          </w:p>
        </w:tc>
        <w:tc>
          <w:tcPr>
            <w:tcW w:w="960" w:type="dxa"/>
            <w:tcBorders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45"/>
              <w:ind w:left="116" w:right="98"/>
              <w:jc w:val="center"/>
              <w:rPr>
                <w:sz w:val="22"/>
              </w:rPr>
            </w:pPr>
            <w:r>
              <w:rPr>
                <w:sz w:val="22"/>
              </w:rPr>
              <w:t>All</w:t>
            </w:r>
          </w:p>
        </w:tc>
        <w:tc>
          <w:tcPr>
            <w:tcW w:w="1121" w:type="dxa"/>
            <w:vMerge w:val="restart"/>
            <w:tcBorders>
              <w:left w:val="single" w:sz="4" w:space="0" w:color="000000"/>
            </w:tcBorders>
          </w:tcPr>
          <w:p>
            <w:pPr>
              <w:pStyle w:val="TableParagraph"/>
              <w:spacing w:before="4"/>
              <w:rPr>
                <w:i/>
                <w:sz w:val="30"/>
              </w:rPr>
            </w:pPr>
          </w:p>
          <w:p>
            <w:pPr>
              <w:pStyle w:val="TableParagraph"/>
              <w:spacing w:before="1"/>
              <w:ind w:left="160"/>
              <w:rPr>
                <w:sz w:val="22"/>
              </w:rPr>
            </w:pPr>
            <w:r>
              <w:rPr>
                <w:sz w:val="22"/>
              </w:rPr>
              <w:t>Curve-fit</w:t>
            </w:r>
          </w:p>
        </w:tc>
      </w:tr>
      <w:tr>
        <w:trPr>
          <w:trHeight w:val="307" w:hRule="atLeast"/>
        </w:trPr>
        <w:tc>
          <w:tcPr>
            <w:tcW w:w="2160" w:type="dxa"/>
            <w:vMerge/>
            <w:tcBorders>
              <w:top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60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6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19"/>
              <w:ind w:left="116" w:right="99"/>
              <w:jc w:val="center"/>
              <w:rPr>
                <w:sz w:val="22"/>
              </w:rPr>
            </w:pPr>
            <w:r>
              <w:rPr>
                <w:sz w:val="22"/>
              </w:rPr>
              <w:t>SPF-S</w:t>
            </w:r>
          </w:p>
        </w:tc>
        <w:tc>
          <w:tcPr>
            <w:tcW w:w="1121" w:type="dxa"/>
            <w:vMerge/>
            <w:tcBorders>
              <w:top w:val="nil"/>
              <w:lef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81" w:hRule="atLeast"/>
        </w:trPr>
        <w:tc>
          <w:tcPr>
            <w:tcW w:w="2160" w:type="dxa"/>
            <w:vMerge/>
            <w:tcBorders>
              <w:top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60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60" w:type="dxa"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5" w:lineRule="exact" w:before="26"/>
              <w:ind w:left="116" w:right="98"/>
              <w:jc w:val="center"/>
              <w:rPr>
                <w:sz w:val="22"/>
              </w:rPr>
            </w:pPr>
            <w:r>
              <w:rPr>
                <w:sz w:val="22"/>
              </w:rPr>
              <w:t>SYP</w:t>
            </w:r>
          </w:p>
        </w:tc>
        <w:tc>
          <w:tcPr>
            <w:tcW w:w="1121" w:type="dxa"/>
            <w:vMerge/>
            <w:tcBorders>
              <w:top w:val="nil"/>
              <w:lef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pgSz w:w="12240" w:h="15840"/>
          <w:pgMar w:header="0" w:footer="1064" w:top="1360" w:bottom="1260" w:left="1720" w:right="1020"/>
        </w:sectPr>
      </w:pPr>
    </w:p>
    <w:p>
      <w:pPr>
        <w:pStyle w:val="ListParagraph"/>
        <w:numPr>
          <w:ilvl w:val="2"/>
          <w:numId w:val="21"/>
        </w:numPr>
        <w:tabs>
          <w:tab w:pos="980" w:val="left" w:leader="none"/>
        </w:tabs>
        <w:spacing w:line="240" w:lineRule="auto" w:before="60" w:after="0"/>
        <w:ind w:left="980" w:right="0" w:hanging="540"/>
        <w:jc w:val="both"/>
        <w:rPr>
          <w:i/>
          <w:sz w:val="24"/>
        </w:rPr>
      </w:pPr>
      <w:bookmarkStart w:name="5.5.3 Recalibration of the UFC equation:" w:id="276"/>
      <w:bookmarkEnd w:id="276"/>
      <w:r>
        <w:rPr/>
      </w:r>
      <w:bookmarkStart w:name="5.5.3 Recalibration of the UFC equation:" w:id="277"/>
      <w:bookmarkEnd w:id="277"/>
      <w:r>
        <w:rPr>
          <w:i/>
          <w:sz w:val="24"/>
        </w:rPr>
        <w:t>R</w:t>
      </w:r>
      <w:r>
        <w:rPr>
          <w:i/>
          <w:sz w:val="24"/>
        </w:rPr>
        <w:t>ecalibration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UFC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equation: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curve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fitting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model</w:t>
      </w:r>
    </w:p>
    <w:p>
      <w:pPr>
        <w:pStyle w:val="BodyText"/>
        <w:spacing w:before="6"/>
        <w:rPr>
          <w:i/>
          <w:sz w:val="22"/>
        </w:rPr>
      </w:pPr>
    </w:p>
    <w:p>
      <w:pPr>
        <w:pStyle w:val="BodyText"/>
        <w:spacing w:line="480" w:lineRule="auto"/>
        <w:ind w:left="439" w:right="416" w:firstLine="720"/>
        <w:jc w:val="both"/>
      </w:pPr>
      <w:r>
        <w:rPr/>
        <w:pict>
          <v:rect style="position:absolute;margin-left:280.980011pt;margin-top:366.823151pt;width:21.42pt;height:.78pt;mso-position-horizontal-relative:page;mso-position-vertical-relative:paragraph;z-index:-34912256" filled="true" fillcolor="#000000" stroked="false">
            <v:fill type="solid"/>
            <w10:wrap type="none"/>
          </v:rect>
        </w:pict>
      </w:r>
      <w:r>
        <w:rPr/>
        <w:pict>
          <v:rect style="position:absolute;margin-left:266.100006pt;margin-top:350.744141pt;width:64.56pt;height:.779pt;mso-position-horizontal-relative:page;mso-position-vertical-relative:paragraph;z-index:-34911744" filled="true" fillcolor="#000000" stroked="false">
            <v:fill type="solid"/>
            <w10:wrap type="none"/>
          </v:rect>
        </w:pict>
      </w:r>
      <w:r>
        <w:rPr/>
        <w:t>While the UFC equation did not fit the experimental data well, it did incorporate</w:t>
      </w:r>
      <w:r>
        <w:rPr>
          <w:spacing w:val="1"/>
        </w:rPr>
        <w:t> </w:t>
      </w:r>
      <w:r>
        <w:rPr/>
        <w:t>variables both measurable and relevant to a ballistic penetration event. Using multivariate</w:t>
      </w:r>
      <w:r>
        <w:rPr>
          <w:spacing w:val="-57"/>
        </w:rPr>
        <w:t> </w:t>
      </w:r>
      <w:r>
        <w:rPr/>
        <w:t>analysis and the test data, the UFC equation was recalibrated to determine the constants</w:t>
      </w:r>
      <w:r>
        <w:rPr>
          <w:spacing w:val="1"/>
        </w:rPr>
        <w:t> </w:t>
      </w:r>
      <w:r>
        <w:rPr/>
        <w:t>and exponential parameters for a better fitting curve.</w:t>
      </w:r>
      <w:r>
        <w:rPr>
          <w:spacing w:val="1"/>
        </w:rPr>
        <w:t> </w:t>
      </w:r>
      <w:r>
        <w:rPr/>
        <w:t>Variables were set to logical units</w:t>
      </w:r>
      <w:r>
        <w:rPr>
          <w:spacing w:val="1"/>
        </w:rPr>
        <w:t> </w:t>
      </w:r>
      <w:r>
        <w:rPr>
          <w:spacing w:val="-1"/>
        </w:rPr>
        <w:t>such</w:t>
      </w:r>
      <w:r>
        <w:rPr>
          <w:spacing w:val="-14"/>
        </w:rPr>
        <w:t> </w:t>
      </w:r>
      <w:r>
        <w:rPr>
          <w:spacing w:val="-1"/>
        </w:rPr>
        <w:t>as</w:t>
      </w:r>
      <w:r>
        <w:rPr>
          <w:spacing w:val="-13"/>
        </w:rPr>
        <w:t> </w:t>
      </w:r>
      <w:r>
        <w:rPr>
          <w:spacing w:val="-1"/>
        </w:rPr>
        <w:t>grains</w:t>
      </w:r>
      <w:r>
        <w:rPr>
          <w:spacing w:val="-13"/>
        </w:rPr>
        <w:t> </w:t>
      </w:r>
      <w:r>
        <w:rPr>
          <w:spacing w:val="-1"/>
        </w:rPr>
        <w:t>for</w:t>
      </w:r>
      <w:r>
        <w:rPr>
          <w:spacing w:val="-13"/>
        </w:rPr>
        <w:t> </w:t>
      </w:r>
      <w:r>
        <w:rPr>
          <w:spacing w:val="-1"/>
        </w:rPr>
        <w:t>the</w:t>
      </w:r>
      <w:r>
        <w:rPr>
          <w:spacing w:val="-13"/>
        </w:rPr>
        <w:t> </w:t>
      </w:r>
      <w:r>
        <w:rPr/>
        <w:t>projectile</w:t>
      </w:r>
      <w:r>
        <w:rPr>
          <w:spacing w:val="-13"/>
        </w:rPr>
        <w:t> </w:t>
      </w:r>
      <w:r>
        <w:rPr/>
        <w:t>weight,</w:t>
      </w:r>
      <w:r>
        <w:rPr>
          <w:spacing w:val="-14"/>
        </w:rPr>
        <w:t> </w:t>
      </w:r>
      <w:r>
        <w:rPr/>
        <w:t>a</w:t>
      </w:r>
      <w:r>
        <w:rPr>
          <w:spacing w:val="-13"/>
        </w:rPr>
        <w:t> </w:t>
      </w:r>
      <w:r>
        <w:rPr/>
        <w:t>commonly</w:t>
      </w:r>
      <w:r>
        <w:rPr>
          <w:spacing w:val="-14"/>
        </w:rPr>
        <w:t> </w:t>
      </w:r>
      <w:r>
        <w:rPr/>
        <w:t>used</w:t>
      </w:r>
      <w:r>
        <w:rPr>
          <w:spacing w:val="-14"/>
        </w:rPr>
        <w:t> </w:t>
      </w:r>
      <w:r>
        <w:rPr/>
        <w:t>measure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weight</w:t>
      </w:r>
      <w:r>
        <w:rPr>
          <w:spacing w:val="-13"/>
        </w:rPr>
        <w:t> </w:t>
      </w:r>
      <w:r>
        <w:rPr/>
        <w:t>for</w:t>
      </w:r>
      <w:r>
        <w:rPr>
          <w:spacing w:val="-13"/>
        </w:rPr>
        <w:t> </w:t>
      </w:r>
      <w:r>
        <w:rPr/>
        <w:t>projectiles.</w:t>
      </w:r>
      <w:r>
        <w:rPr>
          <w:spacing w:val="-57"/>
        </w:rPr>
        <w:t> </w:t>
      </w:r>
      <w:r>
        <w:rPr/>
        <w:t>A</w:t>
      </w:r>
      <w:r>
        <w:rPr>
          <w:spacing w:val="-10"/>
        </w:rPr>
        <w:t> </w:t>
      </w:r>
      <w:r>
        <w:rPr/>
        <w:t>generic</w:t>
      </w:r>
      <w:r>
        <w:rPr>
          <w:spacing w:val="-10"/>
        </w:rPr>
        <w:t> </w:t>
      </w:r>
      <w:r>
        <w:rPr/>
        <w:t>version</w:t>
      </w:r>
      <w:r>
        <w:rPr>
          <w:spacing w:val="-10"/>
        </w:rPr>
        <w:t> </w:t>
      </w:r>
      <w:r>
        <w:rPr/>
        <w:t>of</w:t>
      </w:r>
      <w:r>
        <w:rPr>
          <w:spacing w:val="-10"/>
        </w:rPr>
        <w:t> </w:t>
      </w:r>
      <w:r>
        <w:rPr/>
        <w:t>the</w:t>
      </w:r>
      <w:r>
        <w:rPr>
          <w:spacing w:val="-11"/>
        </w:rPr>
        <w:t> </w:t>
      </w:r>
      <w:r>
        <w:rPr/>
        <w:t>UFC</w:t>
      </w:r>
      <w:r>
        <w:rPr>
          <w:spacing w:val="-10"/>
        </w:rPr>
        <w:t> </w:t>
      </w:r>
      <w:r>
        <w:rPr/>
        <w:t>equation</w:t>
      </w:r>
      <w:r>
        <w:rPr>
          <w:spacing w:val="-9"/>
        </w:rPr>
        <w:t> </w:t>
      </w:r>
      <w:r>
        <w:rPr/>
        <w:t>with</w:t>
      </w:r>
      <w:r>
        <w:rPr>
          <w:spacing w:val="-10"/>
        </w:rPr>
        <w:t> </w:t>
      </w:r>
      <w:r>
        <w:rPr/>
        <w:t>unsolved</w:t>
      </w:r>
      <w:r>
        <w:rPr>
          <w:spacing w:val="-10"/>
        </w:rPr>
        <w:t> </w:t>
      </w:r>
      <w:r>
        <w:rPr/>
        <w:t>parameters</w:t>
      </w:r>
      <w:r>
        <w:rPr>
          <w:spacing w:val="-10"/>
        </w:rPr>
        <w:t> </w:t>
      </w:r>
      <w:r>
        <w:rPr/>
        <w:t>is</w:t>
      </w:r>
      <w:r>
        <w:rPr>
          <w:spacing w:val="-10"/>
        </w:rPr>
        <w:t> </w:t>
      </w:r>
      <w:r>
        <w:rPr/>
        <w:t>shown</w:t>
      </w:r>
      <w:r>
        <w:rPr>
          <w:spacing w:val="-10"/>
        </w:rPr>
        <w:t> </w:t>
      </w:r>
      <w:r>
        <w:rPr/>
        <w:t>in</w:t>
      </w:r>
      <w:r>
        <w:rPr>
          <w:spacing w:val="-10"/>
        </w:rPr>
        <w:t> </w:t>
      </w:r>
      <w:r>
        <w:rPr/>
        <w:t>Equation</w:t>
      </w:r>
      <w:r>
        <w:rPr>
          <w:spacing w:val="-10"/>
        </w:rPr>
        <w:t> </w:t>
      </w:r>
      <w:r>
        <w:rPr/>
        <w:t>5.3.</w:t>
      </w:r>
      <w:r>
        <w:rPr>
          <w:spacing w:val="-58"/>
        </w:rPr>
        <w:t> </w:t>
      </w:r>
      <w:r>
        <w:rPr/>
        <w:t>To construct this curve fit to the data, the computer software Mathcad was used to</w:t>
      </w:r>
      <w:r>
        <w:rPr>
          <w:spacing w:val="1"/>
        </w:rPr>
        <w:t> </w:t>
      </w:r>
      <w:r>
        <w:rPr/>
        <w:t>determine</w:t>
      </w:r>
      <w:r>
        <w:rPr>
          <w:spacing w:val="-9"/>
        </w:rPr>
        <w:t> </w:t>
      </w:r>
      <w:r>
        <w:rPr/>
        <w:t>a</w:t>
      </w:r>
      <w:r>
        <w:rPr>
          <w:spacing w:val="-8"/>
        </w:rPr>
        <w:t> </w:t>
      </w:r>
      <w:r>
        <w:rPr/>
        <w:t>nonlinear</w:t>
      </w:r>
      <w:r>
        <w:rPr>
          <w:spacing w:val="-8"/>
        </w:rPr>
        <w:t> </w:t>
      </w:r>
      <w:r>
        <w:rPr/>
        <w:t>least</w:t>
      </w:r>
      <w:r>
        <w:rPr>
          <w:spacing w:val="-8"/>
        </w:rPr>
        <w:t> </w:t>
      </w:r>
      <w:r>
        <w:rPr/>
        <w:t>squares</w:t>
      </w:r>
      <w:r>
        <w:rPr>
          <w:spacing w:val="-8"/>
        </w:rPr>
        <w:t> </w:t>
      </w:r>
      <w:r>
        <w:rPr/>
        <w:t>curve</w:t>
      </w:r>
      <w:r>
        <w:rPr>
          <w:spacing w:val="-8"/>
        </w:rPr>
        <w:t> </w:t>
      </w:r>
      <w:r>
        <w:rPr/>
        <w:t>fit.</w:t>
      </w:r>
      <w:r>
        <w:rPr>
          <w:spacing w:val="43"/>
        </w:rPr>
        <w:t> </w:t>
      </w:r>
      <w:r>
        <w:rPr/>
        <w:t>Using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experimental</w:t>
      </w:r>
      <w:r>
        <w:rPr>
          <w:spacing w:val="-8"/>
        </w:rPr>
        <w:t> </w:t>
      </w:r>
      <w:r>
        <w:rPr/>
        <w:t>data</w:t>
      </w:r>
      <w:r>
        <w:rPr>
          <w:spacing w:val="-10"/>
        </w:rPr>
        <w:t> </w:t>
      </w:r>
      <w:r>
        <w:rPr/>
        <w:t>and</w:t>
      </w:r>
      <w:r>
        <w:rPr>
          <w:spacing w:val="-9"/>
        </w:rPr>
        <w:t> </w:t>
      </w:r>
      <w:r>
        <w:rPr/>
        <w:t>initial</w:t>
      </w:r>
      <w:r>
        <w:rPr>
          <w:spacing w:val="-8"/>
        </w:rPr>
        <w:t> </w:t>
      </w:r>
      <w:r>
        <w:rPr/>
        <w:t>guess</w:t>
      </w:r>
      <w:r>
        <w:rPr>
          <w:spacing w:val="-58"/>
        </w:rPr>
        <w:t> </w:t>
      </w:r>
      <w:r>
        <w:rPr/>
        <w:t>values for the equation parameters, which were based on the original UFC equation, the</w:t>
      </w:r>
      <w:r>
        <w:rPr>
          <w:spacing w:val="1"/>
        </w:rPr>
        <w:t> </w:t>
      </w:r>
      <w:r>
        <w:rPr/>
        <w:t>program</w:t>
      </w:r>
      <w:r>
        <w:rPr>
          <w:spacing w:val="-7"/>
        </w:rPr>
        <w:t> </w:t>
      </w:r>
      <w:r>
        <w:rPr/>
        <w:t>was</w:t>
      </w:r>
      <w:r>
        <w:rPr>
          <w:spacing w:val="-4"/>
        </w:rPr>
        <w:t> </w:t>
      </w:r>
      <w:r>
        <w:rPr/>
        <w:t>solved</w:t>
      </w:r>
      <w:r>
        <w:rPr>
          <w:spacing w:val="-5"/>
        </w:rPr>
        <w:t> </w:t>
      </w:r>
      <w:r>
        <w:rPr/>
        <w:t>for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residuals</w:t>
      </w:r>
      <w:r>
        <w:rPr>
          <w:spacing w:val="-5"/>
        </w:rPr>
        <w:t> </w:t>
      </w:r>
      <w:r>
        <w:rPr/>
        <w:t>between</w:t>
      </w:r>
      <w:r>
        <w:rPr>
          <w:spacing w:val="-4"/>
        </w:rPr>
        <w:t> </w:t>
      </w:r>
      <w:r>
        <w:rPr/>
        <w:t>the</w:t>
      </w:r>
      <w:r>
        <w:rPr>
          <w:spacing w:val="-6"/>
        </w:rPr>
        <w:t> </w:t>
      </w:r>
      <w:r>
        <w:rPr/>
        <w:t>input</w:t>
      </w:r>
      <w:r>
        <w:rPr>
          <w:spacing w:val="-4"/>
        </w:rPr>
        <w:t> </w:t>
      </w:r>
      <w:r>
        <w:rPr/>
        <w:t>data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curve</w:t>
      </w:r>
      <w:r>
        <w:rPr>
          <w:spacing w:val="-5"/>
        </w:rPr>
        <w:t> </w:t>
      </w:r>
      <w:r>
        <w:rPr/>
        <w:t>fitting</w:t>
      </w:r>
      <w:r>
        <w:rPr>
          <w:spacing w:val="-5"/>
        </w:rPr>
        <w:t> </w:t>
      </w:r>
      <w:r>
        <w:rPr/>
        <w:t>function,</w:t>
      </w:r>
      <w:r>
        <w:rPr>
          <w:spacing w:val="-57"/>
        </w:rPr>
        <w:t> </w:t>
      </w:r>
      <w:r>
        <w:rPr/>
        <w:t>as</w:t>
      </w:r>
      <w:r>
        <w:rPr>
          <w:spacing w:val="-1"/>
        </w:rPr>
        <w:t> </w:t>
      </w:r>
      <w:r>
        <w:rPr/>
        <w:t>shown in</w:t>
      </w:r>
      <w:r>
        <w:rPr>
          <w:spacing w:val="-2"/>
        </w:rPr>
        <w:t> </w:t>
      </w:r>
      <w:r>
        <w:rPr/>
        <w:t>Equation 5.3.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3"/>
        </w:rPr>
      </w:pPr>
    </w:p>
    <w:tbl>
      <w:tblPr>
        <w:tblW w:w="0" w:type="auto"/>
        <w:jc w:val="left"/>
        <w:tblInd w:w="24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22"/>
        <w:gridCol w:w="523"/>
        <w:gridCol w:w="3225"/>
      </w:tblGrid>
      <w:tr>
        <w:trPr>
          <w:trHeight w:val="898" w:hRule="atLeast"/>
        </w:trPr>
        <w:tc>
          <w:tcPr>
            <w:tcW w:w="2522" w:type="dxa"/>
          </w:tcPr>
          <w:p>
            <w:pPr>
              <w:pStyle w:val="TableParagraph"/>
              <w:spacing w:line="224" w:lineRule="exact"/>
              <w:ind w:left="1130" w:right="60"/>
              <w:jc w:val="center"/>
              <w:rPr>
                <w:rFonts w:ascii="Cambria Math" w:eastAsia="Cambria Math"/>
                <w:sz w:val="24"/>
              </w:rPr>
            </w:pPr>
            <w:r>
              <w:rPr>
                <w:rFonts w:ascii="Cambria Math" w:eastAsia="Cambria Math"/>
                <w:spacing w:val="9"/>
                <w:w w:val="105"/>
                <w:position w:val="1"/>
                <w:sz w:val="24"/>
              </w:rPr>
              <w:t>(</w:t>
            </w:r>
            <w:r>
              <w:rPr>
                <w:rFonts w:ascii="Cambria Math" w:eastAsia="Cambria Math"/>
                <w:spacing w:val="9"/>
                <w:w w:val="105"/>
                <w:sz w:val="24"/>
              </w:rPr>
              <w:t>𝑣</w:t>
            </w:r>
            <w:r>
              <w:rPr>
                <w:rFonts w:ascii="Cambria Math" w:eastAsia="Cambria Math"/>
                <w:spacing w:val="9"/>
                <w:w w:val="105"/>
                <w:sz w:val="24"/>
                <w:vertAlign w:val="superscript"/>
              </w:rPr>
              <w:t>𝑎</w:t>
            </w:r>
            <w:r>
              <w:rPr>
                <w:rFonts w:ascii="Cambria Math" w:eastAsia="Cambria Math"/>
                <w:spacing w:val="9"/>
                <w:w w:val="105"/>
                <w:sz w:val="24"/>
                <w:vertAlign w:val="baseline"/>
              </w:rPr>
              <w:t>𝑤</w:t>
            </w:r>
            <w:r>
              <w:rPr>
                <w:rFonts w:ascii="Cambria Math" w:eastAsia="Cambria Math"/>
                <w:spacing w:val="9"/>
                <w:w w:val="105"/>
                <w:sz w:val="24"/>
                <w:vertAlign w:val="superscript"/>
              </w:rPr>
              <w:t>𝑏</w:t>
            </w:r>
            <w:r>
              <w:rPr>
                <w:rFonts w:ascii="Cambria Math" w:eastAsia="Cambria Math"/>
                <w:spacing w:val="9"/>
                <w:w w:val="105"/>
                <w:position w:val="1"/>
                <w:sz w:val="24"/>
                <w:vertAlign w:val="baseline"/>
              </w:rPr>
              <w:t>)</w:t>
            </w:r>
          </w:p>
          <w:p>
            <w:pPr>
              <w:pStyle w:val="TableParagraph"/>
              <w:tabs>
                <w:tab w:pos="1446" w:val="left" w:leader="none"/>
                <w:tab w:pos="2441" w:val="left" w:leader="none"/>
              </w:tabs>
              <w:spacing w:line="168" w:lineRule="auto"/>
              <w:ind w:left="200" w:right="-29"/>
              <w:rPr>
                <w:rFonts w:ascii="Cambria Math" w:hAnsi="Cambria Math" w:cs="Cambria Math" w:eastAsia="Cambria Math"/>
                <w:sz w:val="24"/>
                <w:szCs w:val="24"/>
              </w:rPr>
            </w:pPr>
            <w:r>
              <w:rPr>
                <w:rFonts w:ascii="Cambria Math" w:hAnsi="Cambria Math" w:cs="Cambria Math" w:eastAsia="Cambria Math"/>
                <w:w w:val="75"/>
                <w:sz w:val="24"/>
                <w:szCs w:val="24"/>
              </w:rPr>
              <w:t>𝑇</w:t>
            </w:r>
            <w:r>
              <w:rPr>
                <w:rFonts w:ascii="Cambria Math" w:hAnsi="Cambria Math" w:cs="Cambria Math" w:eastAsia="Cambria Math"/>
                <w:w w:val="75"/>
                <w:sz w:val="24"/>
                <w:szCs w:val="24"/>
                <w:vertAlign w:val="subscript"/>
              </w:rPr>
              <w:t>𝑤𝑤</w:t>
            </w:r>
            <w:r>
              <w:rPr>
                <w:rFonts w:ascii="Cambria Math" w:hAnsi="Cambria Math" w:cs="Cambria Math" w:eastAsia="Cambria Math"/>
                <w:spacing w:val="36"/>
                <w:w w:val="75"/>
                <w:sz w:val="24"/>
                <w:szCs w:val="24"/>
                <w:vertAlign w:val="baseline"/>
              </w:rPr>
              <w:t> </w:t>
            </w:r>
            <w:r>
              <w:rPr>
                <w:rFonts w:ascii="Cambria Math" w:hAnsi="Cambria Math" w:cs="Cambria Math" w:eastAsia="Cambria Math"/>
                <w:w w:val="75"/>
                <w:sz w:val="24"/>
                <w:szCs w:val="24"/>
                <w:vertAlign w:val="baseline"/>
              </w:rPr>
              <w:t>=</w:t>
            </w:r>
            <w:r>
              <w:rPr>
                <w:rFonts w:ascii="Cambria Math" w:hAnsi="Cambria Math" w:cs="Cambria Math" w:eastAsia="Cambria Math"/>
                <w:spacing w:val="22"/>
                <w:w w:val="75"/>
                <w:sz w:val="24"/>
                <w:szCs w:val="24"/>
                <w:vertAlign w:val="baseline"/>
              </w:rPr>
              <w:t> </w:t>
            </w:r>
            <w:r>
              <w:rPr>
                <w:rFonts w:ascii="Cambria Math" w:hAnsi="Cambria Math" w:cs="Cambria Math" w:eastAsia="Cambria Math"/>
                <w:w w:val="75"/>
                <w:sz w:val="24"/>
                <w:szCs w:val="24"/>
                <w:vertAlign w:val="baseline"/>
              </w:rPr>
              <w:t>𝐶</w:t>
            </w:r>
            <w:r>
              <w:rPr>
                <w:rFonts w:ascii="Cambria Math" w:hAnsi="Cambria Math" w:cs="Cambria Math" w:eastAsia="Cambria Math"/>
                <w:w w:val="75"/>
                <w:sz w:val="24"/>
                <w:szCs w:val="24"/>
                <w:vertAlign w:val="subscript"/>
              </w:rPr>
              <w:t>1</w:t>
            </w:r>
            <w:r>
              <w:rPr>
                <w:rFonts w:ascii="Cambria Math" w:hAnsi="Cambria Math" w:cs="Cambria Math" w:eastAsia="Cambria Math"/>
                <w:spacing w:val="9"/>
                <w:w w:val="75"/>
                <w:sz w:val="24"/>
                <w:szCs w:val="24"/>
                <w:vertAlign w:val="baseline"/>
              </w:rPr>
              <w:t> </w:t>
            </w:r>
            <w:r>
              <w:rPr>
                <w:rFonts w:ascii="Cambria Math" w:hAnsi="Cambria Math" w:cs="Cambria Math" w:eastAsia="Cambria Math"/>
                <w:w w:val="75"/>
                <w:sz w:val="24"/>
                <w:szCs w:val="24"/>
                <w:vertAlign w:val="baseline"/>
              </w:rPr>
              <w:t>�</w:t>
              <w:tab/>
            </w:r>
            <w:r>
              <w:rPr>
                <w:rFonts w:ascii="Cambria Math" w:hAnsi="Cambria Math" w:cs="Cambria Math" w:eastAsia="Cambria Math"/>
                <w:position w:val="-17"/>
                <w:sz w:val="24"/>
                <w:szCs w:val="24"/>
                <w:vertAlign w:val="baseline"/>
              </w:rPr>
              <w:t>𝜋𝐷</w:t>
            </w:r>
            <w:r>
              <w:rPr>
                <w:rFonts w:ascii="Cambria Math" w:hAnsi="Cambria Math" w:cs="Cambria Math" w:eastAsia="Cambria Math"/>
                <w:position w:val="-10"/>
                <w:sz w:val="17"/>
                <w:szCs w:val="17"/>
                <w:vertAlign w:val="baseline"/>
              </w:rPr>
              <w:t>2  </w:t>
            </w:r>
            <w:r>
              <w:rPr>
                <w:rFonts w:ascii="Cambria Math" w:hAnsi="Cambria Math" w:cs="Cambria Math" w:eastAsia="Cambria Math"/>
                <w:spacing w:val="23"/>
                <w:position w:val="-10"/>
                <w:sz w:val="17"/>
                <w:szCs w:val="17"/>
                <w:vertAlign w:val="baseline"/>
              </w:rPr>
              <w:t> </w:t>
            </w:r>
            <w:r>
              <w:rPr>
                <w:rFonts w:ascii="Cambria Math" w:hAnsi="Cambria Math" w:cs="Cambria Math" w:eastAsia="Cambria Math"/>
                <w:position w:val="-4"/>
                <w:sz w:val="17"/>
                <w:szCs w:val="17"/>
                <w:vertAlign w:val="baseline"/>
              </w:rPr>
              <w:t>𝑐</w:t>
              <w:tab/>
            </w:r>
            <w:r>
              <w:rPr>
                <w:rFonts w:ascii="Cambria Math" w:hAnsi="Cambria Math" w:cs="Cambria Math" w:eastAsia="Cambria Math"/>
                <w:spacing w:val="-5"/>
                <w:w w:val="45"/>
                <w:sz w:val="24"/>
                <w:szCs w:val="24"/>
                <w:vertAlign w:val="baseline"/>
              </w:rPr>
              <w:t>�</w:t>
            </w:r>
          </w:p>
          <w:p>
            <w:pPr>
              <w:pStyle w:val="TableParagraph"/>
              <w:spacing w:line="165" w:lineRule="auto"/>
              <w:ind w:left="1130" w:right="76"/>
              <w:jc w:val="center"/>
              <w:rPr>
                <w:rFonts w:ascii="Cambria Math" w:hAnsi="Cambria Math" w:cs="Cambria Math" w:eastAsia="Cambria Math"/>
                <w:sz w:val="24"/>
                <w:szCs w:val="24"/>
              </w:rPr>
            </w:pPr>
            <w:r>
              <w:rPr>
                <w:rFonts w:ascii="Cambria Math" w:hAnsi="Cambria Math" w:cs="Cambria Math" w:eastAsia="Cambria Math"/>
                <w:w w:val="80"/>
                <w:sz w:val="24"/>
                <w:szCs w:val="24"/>
              </w:rPr>
              <w:t>𝜌</w:t>
            </w:r>
            <w:r>
              <w:rPr>
                <w:rFonts w:ascii="Cambria Math" w:hAnsi="Cambria Math" w:cs="Cambria Math" w:eastAsia="Cambria Math"/>
                <w:spacing w:val="-1"/>
                <w:w w:val="80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w w:val="80"/>
                <w:sz w:val="24"/>
                <w:szCs w:val="24"/>
              </w:rPr>
              <w:t>�</w:t>
            </w:r>
            <w:r>
              <w:rPr>
                <w:rFonts w:ascii="Cambria Math" w:hAnsi="Cambria Math" w:cs="Cambria Math" w:eastAsia="Cambria Math"/>
                <w:spacing w:val="89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w w:val="80"/>
                <w:position w:val="-11"/>
                <w:sz w:val="24"/>
                <w:szCs w:val="24"/>
              </w:rPr>
              <w:t>4</w:t>
            </w:r>
            <w:r>
              <w:rPr>
                <w:rFonts w:ascii="Cambria Math" w:hAnsi="Cambria Math" w:cs="Cambria Math" w:eastAsia="Cambria Math"/>
                <w:spacing w:val="90"/>
                <w:position w:val="-11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w w:val="80"/>
                <w:sz w:val="24"/>
                <w:szCs w:val="24"/>
              </w:rPr>
              <w:t>�</w:t>
            </w:r>
            <w:r>
              <w:rPr>
                <w:rFonts w:ascii="Cambria Math" w:hAnsi="Cambria Math" w:cs="Cambria Math" w:eastAsia="Cambria Math"/>
                <w:spacing w:val="84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w w:val="80"/>
                <w:sz w:val="24"/>
                <w:szCs w:val="24"/>
              </w:rPr>
              <w:t>𝐻</w:t>
            </w:r>
            <w:r>
              <w:rPr>
                <w:rFonts w:ascii="Cambria Math" w:hAnsi="Cambria Math" w:cs="Cambria Math" w:eastAsia="Cambria Math"/>
                <w:w w:val="80"/>
                <w:sz w:val="24"/>
                <w:szCs w:val="24"/>
                <w:vertAlign w:val="superscript"/>
              </w:rPr>
              <w:t>𝑑</w:t>
            </w:r>
          </w:p>
        </w:tc>
        <w:tc>
          <w:tcPr>
            <w:tcW w:w="52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225" w:type="dxa"/>
          </w:tcPr>
          <w:p>
            <w:pPr>
              <w:pStyle w:val="TableParagraph"/>
              <w:spacing w:before="198"/>
              <w:ind w:right="198"/>
              <w:jc w:val="right"/>
              <w:rPr>
                <w:sz w:val="24"/>
              </w:rPr>
            </w:pPr>
            <w:r>
              <w:rPr>
                <w:sz w:val="24"/>
              </w:rPr>
              <w:t>(5.3)</w:t>
            </w:r>
          </w:p>
        </w:tc>
      </w:tr>
      <w:tr>
        <w:trPr>
          <w:trHeight w:val="530" w:hRule="atLeast"/>
        </w:trPr>
        <w:tc>
          <w:tcPr>
            <w:tcW w:w="2522" w:type="dxa"/>
          </w:tcPr>
          <w:p>
            <w:pPr>
              <w:pStyle w:val="TableParagraph"/>
              <w:spacing w:before="8"/>
              <w:rPr>
                <w:sz w:val="21"/>
              </w:rPr>
            </w:pPr>
          </w:p>
          <w:p>
            <w:pPr>
              <w:pStyle w:val="TableParagraph"/>
              <w:spacing w:line="261" w:lineRule="exact"/>
              <w:ind w:left="1556"/>
              <w:rPr>
                <w:sz w:val="24"/>
              </w:rPr>
            </w:pPr>
            <w:r>
              <w:rPr>
                <w:sz w:val="24"/>
              </w:rPr>
              <w:t>where</w:t>
            </w:r>
          </w:p>
        </w:tc>
        <w:tc>
          <w:tcPr>
            <w:tcW w:w="523" w:type="dxa"/>
          </w:tcPr>
          <w:p>
            <w:pPr>
              <w:pStyle w:val="TableParagraph"/>
              <w:spacing w:before="111"/>
              <w:ind w:left="-21" w:right="106"/>
              <w:jc w:val="right"/>
              <w:rPr>
                <w:sz w:val="24"/>
              </w:rPr>
            </w:pPr>
            <w:r>
              <w:rPr>
                <w:i/>
                <w:position w:val="1"/>
                <w:sz w:val="24"/>
              </w:rPr>
              <w:t>T</w:t>
            </w:r>
            <w:r>
              <w:rPr>
                <w:i/>
                <w:sz w:val="16"/>
              </w:rPr>
              <w:t>w</w:t>
            </w:r>
            <w:r>
              <w:rPr>
                <w:i/>
                <w:spacing w:val="6"/>
                <w:sz w:val="16"/>
              </w:rPr>
              <w:t> </w:t>
            </w:r>
            <w:r>
              <w:rPr>
                <w:position w:val="1"/>
                <w:sz w:val="24"/>
              </w:rPr>
              <w:t>=</w:t>
            </w:r>
          </w:p>
        </w:tc>
        <w:tc>
          <w:tcPr>
            <w:tcW w:w="3225" w:type="dxa"/>
          </w:tcPr>
          <w:p>
            <w:pPr>
              <w:pStyle w:val="TableParagraph"/>
              <w:spacing w:line="250" w:lineRule="exact"/>
              <w:ind w:left="108"/>
              <w:rPr>
                <w:sz w:val="24"/>
              </w:rPr>
            </w:pPr>
            <w:r>
              <w:rPr>
                <w:sz w:val="24"/>
              </w:rPr>
              <w:t>thickness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wood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necessary</w:t>
            </w:r>
          </w:p>
          <w:p>
            <w:pPr>
              <w:pStyle w:val="TableParagraph"/>
              <w:spacing w:line="261" w:lineRule="exact"/>
              <w:ind w:left="108"/>
              <w:rPr>
                <w:sz w:val="24"/>
              </w:rPr>
            </w:pPr>
            <w:r>
              <w:rPr>
                <w:sz w:val="24"/>
              </w:rPr>
              <w:t>to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prevent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perforation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(in.)</w:t>
            </w:r>
          </w:p>
        </w:tc>
      </w:tr>
      <w:tr>
        <w:trPr>
          <w:trHeight w:val="551" w:hRule="atLeast"/>
        </w:trPr>
        <w:tc>
          <w:tcPr>
            <w:tcW w:w="252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23" w:type="dxa"/>
          </w:tcPr>
          <w:p>
            <w:pPr>
              <w:pStyle w:val="TableParagraph"/>
              <w:spacing w:before="133"/>
              <w:ind w:left="-21" w:right="106"/>
              <w:jc w:val="right"/>
              <w:rPr>
                <w:sz w:val="24"/>
              </w:rPr>
            </w:pPr>
            <w:r>
              <w:rPr>
                <w:i/>
                <w:sz w:val="24"/>
              </w:rPr>
              <w:t>v </w:t>
            </w:r>
            <w:r>
              <w:rPr>
                <w:sz w:val="24"/>
              </w:rPr>
              <w:t>=</w:t>
            </w:r>
          </w:p>
        </w:tc>
        <w:tc>
          <w:tcPr>
            <w:tcW w:w="3225" w:type="dxa"/>
          </w:tcPr>
          <w:p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sz w:val="24"/>
              </w:rPr>
              <w:t>projectile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striking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velocity</w:t>
            </w:r>
          </w:p>
          <w:p>
            <w:pPr>
              <w:pStyle w:val="TableParagraph"/>
              <w:spacing w:line="261" w:lineRule="exact"/>
              <w:ind w:left="108"/>
              <w:rPr>
                <w:sz w:val="24"/>
              </w:rPr>
            </w:pPr>
            <w:r>
              <w:rPr>
                <w:sz w:val="24"/>
              </w:rPr>
              <w:t>(fps)</w:t>
            </w:r>
          </w:p>
        </w:tc>
      </w:tr>
      <w:tr>
        <w:trPr>
          <w:trHeight w:val="276" w:hRule="atLeast"/>
        </w:trPr>
        <w:tc>
          <w:tcPr>
            <w:tcW w:w="252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23" w:type="dxa"/>
          </w:tcPr>
          <w:p>
            <w:pPr>
              <w:pStyle w:val="TableParagraph"/>
              <w:spacing w:line="256" w:lineRule="exact"/>
              <w:ind w:left="-21" w:right="106"/>
              <w:jc w:val="right"/>
              <w:rPr>
                <w:sz w:val="24"/>
              </w:rPr>
            </w:pPr>
            <w:r>
              <w:rPr>
                <w:i/>
                <w:sz w:val="24"/>
              </w:rPr>
              <w:t>w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sz w:val="24"/>
              </w:rPr>
              <w:t>=</w:t>
            </w:r>
          </w:p>
        </w:tc>
        <w:tc>
          <w:tcPr>
            <w:tcW w:w="3225" w:type="dxa"/>
          </w:tcPr>
          <w:p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projectile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weight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(grains)</w:t>
            </w:r>
          </w:p>
        </w:tc>
      </w:tr>
      <w:tr>
        <w:trPr>
          <w:trHeight w:val="266" w:hRule="atLeast"/>
        </w:trPr>
        <w:tc>
          <w:tcPr>
            <w:tcW w:w="2522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523" w:type="dxa"/>
          </w:tcPr>
          <w:p>
            <w:pPr>
              <w:pStyle w:val="TableParagraph"/>
              <w:spacing w:line="247" w:lineRule="exact"/>
              <w:ind w:left="-21" w:right="106"/>
              <w:jc w:val="right"/>
              <w:rPr>
                <w:sz w:val="24"/>
              </w:rPr>
            </w:pPr>
            <w:r>
              <w:rPr>
                <w:i/>
                <w:sz w:val="24"/>
              </w:rPr>
              <w:t>D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sz w:val="24"/>
              </w:rPr>
              <w:t>=</w:t>
            </w:r>
          </w:p>
        </w:tc>
        <w:tc>
          <w:tcPr>
            <w:tcW w:w="3225" w:type="dxa"/>
          </w:tcPr>
          <w:p>
            <w:pPr>
              <w:pStyle w:val="TableParagraph"/>
              <w:spacing w:line="247" w:lineRule="exact"/>
              <w:ind w:left="108"/>
              <w:rPr>
                <w:sz w:val="24"/>
              </w:rPr>
            </w:pPr>
            <w:r>
              <w:rPr>
                <w:sz w:val="24"/>
              </w:rPr>
              <w:t>projectile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(in.)</w:t>
            </w:r>
          </w:p>
        </w:tc>
      </w:tr>
      <w:tr>
        <w:trPr>
          <w:trHeight w:val="285" w:hRule="atLeast"/>
        </w:trPr>
        <w:tc>
          <w:tcPr>
            <w:tcW w:w="252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23" w:type="dxa"/>
          </w:tcPr>
          <w:p>
            <w:pPr>
              <w:pStyle w:val="TableParagraph"/>
              <w:spacing w:line="261" w:lineRule="exact" w:before="4"/>
              <w:ind w:left="-21" w:right="106"/>
              <w:jc w:val="right"/>
              <w:rPr>
                <w:sz w:val="24"/>
              </w:rPr>
            </w:pPr>
            <w:r>
              <w:rPr>
                <w:i/>
                <w:sz w:val="24"/>
              </w:rPr>
              <w:t>ρ </w:t>
            </w:r>
            <w:r>
              <w:rPr>
                <w:sz w:val="24"/>
              </w:rPr>
              <w:t>=</w:t>
            </w:r>
          </w:p>
        </w:tc>
        <w:tc>
          <w:tcPr>
            <w:tcW w:w="3225" w:type="dxa"/>
          </w:tcPr>
          <w:p>
            <w:pPr>
              <w:pStyle w:val="TableParagraph"/>
              <w:spacing w:line="261" w:lineRule="exact" w:before="4"/>
              <w:ind w:left="108"/>
              <w:rPr>
                <w:sz w:val="24"/>
              </w:rPr>
            </w:pPr>
            <w:r>
              <w:rPr>
                <w:sz w:val="24"/>
              </w:rPr>
              <w:t>wood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density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(lb./ft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z w:val="24"/>
                <w:vertAlign w:val="baseline"/>
              </w:rPr>
              <w:t>)</w:t>
            </w:r>
          </w:p>
        </w:tc>
      </w:tr>
      <w:tr>
        <w:trPr>
          <w:trHeight w:val="275" w:hRule="atLeast"/>
        </w:trPr>
        <w:tc>
          <w:tcPr>
            <w:tcW w:w="252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23" w:type="dxa"/>
          </w:tcPr>
          <w:p>
            <w:pPr>
              <w:pStyle w:val="TableParagraph"/>
              <w:spacing w:line="255" w:lineRule="exact"/>
              <w:ind w:left="-21" w:right="106"/>
              <w:jc w:val="right"/>
              <w:rPr>
                <w:sz w:val="24"/>
              </w:rPr>
            </w:pPr>
            <w:r>
              <w:rPr>
                <w:i/>
                <w:sz w:val="24"/>
              </w:rPr>
              <w:t>H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sz w:val="24"/>
              </w:rPr>
              <w:t>=</w:t>
            </w:r>
          </w:p>
        </w:tc>
        <w:tc>
          <w:tcPr>
            <w:tcW w:w="3225" w:type="dxa"/>
          </w:tcPr>
          <w:p>
            <w:pPr>
              <w:pStyle w:val="TableParagraph"/>
              <w:spacing w:line="255" w:lineRule="exact"/>
              <w:ind w:left="108"/>
              <w:rPr>
                <w:sz w:val="24"/>
              </w:rPr>
            </w:pPr>
            <w:r>
              <w:rPr>
                <w:sz w:val="24"/>
              </w:rPr>
              <w:t>wood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hardness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(lb.)</w:t>
            </w:r>
          </w:p>
        </w:tc>
      </w:tr>
      <w:tr>
        <w:trPr>
          <w:trHeight w:val="270" w:hRule="atLeast"/>
        </w:trPr>
        <w:tc>
          <w:tcPr>
            <w:tcW w:w="3045" w:type="dxa"/>
            <w:gridSpan w:val="2"/>
          </w:tcPr>
          <w:p>
            <w:pPr>
              <w:pStyle w:val="TableParagraph"/>
              <w:spacing w:line="250" w:lineRule="exact"/>
              <w:ind w:left="1148"/>
              <w:rPr>
                <w:sz w:val="24"/>
              </w:rPr>
            </w:pPr>
            <w:r>
              <w:rPr>
                <w:position w:val="1"/>
                <w:sz w:val="24"/>
              </w:rPr>
              <w:t>and</w:t>
            </w:r>
            <w:r>
              <w:rPr>
                <w:spacing w:val="-1"/>
                <w:position w:val="1"/>
                <w:sz w:val="24"/>
              </w:rPr>
              <w:t> </w:t>
            </w:r>
            <w:r>
              <w:rPr>
                <w:i/>
                <w:position w:val="1"/>
                <w:sz w:val="24"/>
              </w:rPr>
              <w:t>C</w:t>
            </w:r>
            <w:r>
              <w:rPr>
                <w:i/>
                <w:sz w:val="16"/>
              </w:rPr>
              <w:t>1</w:t>
            </w:r>
            <w:r>
              <w:rPr>
                <w:i/>
                <w:position w:val="1"/>
                <w:sz w:val="24"/>
              </w:rPr>
              <w:t>, a, b, c, d </w:t>
            </w:r>
            <w:r>
              <w:rPr>
                <w:position w:val="1"/>
                <w:sz w:val="24"/>
              </w:rPr>
              <w:t>=</w:t>
            </w:r>
          </w:p>
        </w:tc>
        <w:tc>
          <w:tcPr>
            <w:tcW w:w="3225" w:type="dxa"/>
          </w:tcPr>
          <w:p>
            <w:pPr>
              <w:pStyle w:val="TableParagraph"/>
              <w:spacing w:line="250" w:lineRule="exact"/>
              <w:ind w:left="108"/>
              <w:rPr>
                <w:sz w:val="24"/>
              </w:rPr>
            </w:pPr>
            <w:r>
              <w:rPr>
                <w:sz w:val="24"/>
              </w:rPr>
              <w:t>parameters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fit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data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2"/>
        </w:rPr>
      </w:pPr>
    </w:p>
    <w:p>
      <w:pPr>
        <w:pStyle w:val="BodyText"/>
        <w:spacing w:line="480" w:lineRule="auto" w:before="90"/>
        <w:ind w:left="439" w:right="403" w:firstLine="720"/>
      </w:pPr>
      <w:r>
        <w:rPr/>
        <w:t>Within</w:t>
      </w:r>
      <w:r>
        <w:rPr>
          <w:spacing w:val="16"/>
        </w:rPr>
        <w:t> </w:t>
      </w:r>
      <w:r>
        <w:rPr/>
        <w:t>Mathcad,</w:t>
      </w:r>
      <w:r>
        <w:rPr>
          <w:spacing w:val="16"/>
        </w:rPr>
        <w:t> </w:t>
      </w:r>
      <w:r>
        <w:rPr/>
        <w:t>the</w:t>
      </w:r>
      <w:r>
        <w:rPr>
          <w:spacing w:val="17"/>
        </w:rPr>
        <w:t> </w:t>
      </w:r>
      <w:r>
        <w:rPr/>
        <w:t>function</w:t>
      </w:r>
      <w:r>
        <w:rPr>
          <w:spacing w:val="16"/>
        </w:rPr>
        <w:t> </w:t>
      </w:r>
      <w:r>
        <w:rPr/>
        <w:t>‘minerr’</w:t>
      </w:r>
      <w:r>
        <w:rPr>
          <w:spacing w:val="16"/>
        </w:rPr>
        <w:t> </w:t>
      </w:r>
      <w:r>
        <w:rPr/>
        <w:t>used</w:t>
      </w:r>
      <w:r>
        <w:rPr>
          <w:spacing w:val="17"/>
        </w:rPr>
        <w:t> </w:t>
      </w:r>
      <w:r>
        <w:rPr/>
        <w:t>the</w:t>
      </w:r>
      <w:r>
        <w:rPr>
          <w:spacing w:val="16"/>
        </w:rPr>
        <w:t> </w:t>
      </w:r>
      <w:r>
        <w:rPr/>
        <w:t>Levenberg-Marquardt</w:t>
      </w:r>
      <w:r>
        <w:rPr>
          <w:spacing w:val="15"/>
        </w:rPr>
        <w:t> </w:t>
      </w:r>
      <w:r>
        <w:rPr/>
        <w:t>method</w:t>
      </w:r>
      <w:r>
        <w:rPr>
          <w:spacing w:val="17"/>
        </w:rPr>
        <w:t> </w:t>
      </w:r>
      <w:r>
        <w:rPr/>
        <w:t>to</w:t>
      </w:r>
      <w:r>
        <w:rPr>
          <w:spacing w:val="-57"/>
        </w:rPr>
        <w:t> </w:t>
      </w:r>
      <w:r>
        <w:rPr>
          <w:spacing w:val="-1"/>
        </w:rPr>
        <w:t>sum</w:t>
      </w:r>
      <w:r>
        <w:rPr>
          <w:spacing w:val="-14"/>
        </w:rPr>
        <w:t> </w:t>
      </w:r>
      <w:r>
        <w:rPr>
          <w:spacing w:val="-1"/>
        </w:rPr>
        <w:t>and</w:t>
      </w:r>
      <w:r>
        <w:rPr>
          <w:spacing w:val="-14"/>
        </w:rPr>
        <w:t> </w:t>
      </w:r>
      <w:r>
        <w:rPr>
          <w:spacing w:val="-1"/>
        </w:rPr>
        <w:t>square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residuals,</w:t>
      </w:r>
      <w:r>
        <w:rPr>
          <w:spacing w:val="-14"/>
        </w:rPr>
        <w:t> </w:t>
      </w:r>
      <w:r>
        <w:rPr/>
        <w:t>solving</w:t>
      </w:r>
      <w:r>
        <w:rPr>
          <w:spacing w:val="-15"/>
        </w:rPr>
        <w:t> </w:t>
      </w:r>
      <w:r>
        <w:rPr/>
        <w:t>for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parameters</w:t>
      </w:r>
      <w:r>
        <w:rPr>
          <w:spacing w:val="-13"/>
        </w:rPr>
        <w:t> </w:t>
      </w:r>
      <w:r>
        <w:rPr/>
        <w:t>that</w:t>
      </w:r>
      <w:r>
        <w:rPr>
          <w:spacing w:val="-13"/>
        </w:rPr>
        <w:t> </w:t>
      </w:r>
      <w:r>
        <w:rPr/>
        <w:t>minimized</w:t>
      </w:r>
      <w:r>
        <w:rPr>
          <w:spacing w:val="-14"/>
        </w:rPr>
        <w:t> </w:t>
      </w:r>
      <w:r>
        <w:rPr/>
        <w:t>the</w:t>
      </w:r>
      <w:r>
        <w:rPr>
          <w:spacing w:val="-13"/>
        </w:rPr>
        <w:t> </w:t>
      </w:r>
      <w:r>
        <w:rPr/>
        <w:t>residual</w:t>
      </w:r>
      <w:r>
        <w:rPr>
          <w:spacing w:val="-13"/>
        </w:rPr>
        <w:t> </w:t>
      </w:r>
      <w:r>
        <w:rPr/>
        <w:t>values.</w:t>
      </w:r>
    </w:p>
    <w:p>
      <w:pPr>
        <w:spacing w:after="0" w:line="480" w:lineRule="auto"/>
        <w:sectPr>
          <w:pgSz w:w="12240" w:h="15840"/>
          <w:pgMar w:header="0" w:footer="1064" w:top="1380" w:bottom="1260" w:left="1720" w:right="1020"/>
        </w:sectPr>
      </w:pPr>
    </w:p>
    <w:p>
      <w:pPr>
        <w:pStyle w:val="BodyText"/>
        <w:spacing w:line="480" w:lineRule="auto" w:before="78"/>
        <w:ind w:left="439" w:right="417"/>
        <w:jc w:val="both"/>
      </w:pPr>
      <w:r>
        <w:rPr/>
        <w:t>The Levenberg-Marquardt method is a common algorithm used for solving least squares</w:t>
      </w:r>
      <w:r>
        <w:rPr>
          <w:spacing w:val="1"/>
        </w:rPr>
        <w:t> </w:t>
      </w:r>
      <w:r>
        <w:rPr/>
        <w:t>of nonlinear functions and works well for curving fitting.</w:t>
      </w:r>
      <w:r>
        <w:rPr>
          <w:spacing w:val="1"/>
        </w:rPr>
        <w:t> </w:t>
      </w:r>
      <w:r>
        <w:rPr/>
        <w:t>The Levenberg-Marquardt</w:t>
      </w:r>
      <w:r>
        <w:rPr>
          <w:spacing w:val="1"/>
        </w:rPr>
        <w:t> </w:t>
      </w:r>
      <w:r>
        <w:rPr/>
        <w:t>method enables interpolation between the Gauss-Newton algorithm and the method of</w:t>
      </w:r>
      <w:r>
        <w:rPr>
          <w:spacing w:val="1"/>
        </w:rPr>
        <w:t> </w:t>
      </w:r>
      <w:r>
        <w:rPr/>
        <w:t>gradient descent for solving systems of nonlinear equations [82].</w:t>
      </w:r>
      <w:r>
        <w:rPr>
          <w:spacing w:val="1"/>
        </w:rPr>
        <w:t> </w:t>
      </w:r>
      <w:r>
        <w:rPr/>
        <w:t>It effectively takes the</w:t>
      </w:r>
      <w:r>
        <w:rPr>
          <w:spacing w:val="1"/>
        </w:rPr>
        <w:t> </w:t>
      </w:r>
      <w:r>
        <w:rPr>
          <w:position w:val="1"/>
        </w:rPr>
        <w:t>empirical data, in this case the thickness of wood penetrated (</w:t>
      </w:r>
      <w:r>
        <w:rPr>
          <w:i/>
          <w:position w:val="1"/>
        </w:rPr>
        <w:t>T</w:t>
      </w:r>
      <w:r>
        <w:rPr>
          <w:i/>
          <w:sz w:val="16"/>
        </w:rPr>
        <w:t>w</w:t>
      </w:r>
      <w:r>
        <w:rPr>
          <w:position w:val="1"/>
        </w:rPr>
        <w:t>) and all the independent</w:t>
      </w:r>
      <w:r>
        <w:rPr>
          <w:spacing w:val="1"/>
          <w:position w:val="1"/>
        </w:rPr>
        <w:t> </w:t>
      </w:r>
      <w:r>
        <w:rPr/>
        <w:t>variables including the striking velocity, wood density, wood hardness, projectile weight</w:t>
      </w:r>
      <w:r>
        <w:rPr>
          <w:spacing w:val="1"/>
        </w:rPr>
        <w:t> </w:t>
      </w:r>
      <w:r>
        <w:rPr>
          <w:position w:val="1"/>
        </w:rPr>
        <w:t>and</w:t>
      </w:r>
      <w:r>
        <w:rPr>
          <w:spacing w:val="-5"/>
          <w:position w:val="1"/>
        </w:rPr>
        <w:t> </w:t>
      </w:r>
      <w:r>
        <w:rPr>
          <w:position w:val="1"/>
        </w:rPr>
        <w:t>diameter,</w:t>
      </w:r>
      <w:r>
        <w:rPr>
          <w:spacing w:val="-4"/>
          <w:position w:val="1"/>
        </w:rPr>
        <w:t> </w:t>
      </w:r>
      <w:r>
        <w:rPr>
          <w:position w:val="1"/>
        </w:rPr>
        <w:t>and</w:t>
      </w:r>
      <w:r>
        <w:rPr>
          <w:spacing w:val="-5"/>
          <w:position w:val="1"/>
        </w:rPr>
        <w:t> </w:t>
      </w:r>
      <w:r>
        <w:rPr>
          <w:position w:val="1"/>
        </w:rPr>
        <w:t>then</w:t>
      </w:r>
      <w:r>
        <w:rPr>
          <w:spacing w:val="-5"/>
          <w:position w:val="1"/>
        </w:rPr>
        <w:t> </w:t>
      </w:r>
      <w:r>
        <w:rPr>
          <w:position w:val="1"/>
        </w:rPr>
        <w:t>solves</w:t>
      </w:r>
      <w:r>
        <w:rPr>
          <w:spacing w:val="-4"/>
          <w:position w:val="1"/>
        </w:rPr>
        <w:t> </w:t>
      </w:r>
      <w:r>
        <w:rPr>
          <w:position w:val="1"/>
        </w:rPr>
        <w:t>for</w:t>
      </w:r>
      <w:r>
        <w:rPr>
          <w:spacing w:val="-5"/>
          <w:position w:val="1"/>
        </w:rPr>
        <w:t> </w:t>
      </w:r>
      <w:r>
        <w:rPr>
          <w:position w:val="1"/>
        </w:rPr>
        <w:t>the</w:t>
      </w:r>
      <w:r>
        <w:rPr>
          <w:spacing w:val="-5"/>
          <w:position w:val="1"/>
        </w:rPr>
        <w:t> </w:t>
      </w:r>
      <w:r>
        <w:rPr>
          <w:position w:val="1"/>
        </w:rPr>
        <w:t>parameters</w:t>
      </w:r>
      <w:r>
        <w:rPr>
          <w:spacing w:val="-6"/>
          <w:position w:val="1"/>
        </w:rPr>
        <w:t> </w:t>
      </w:r>
      <w:r>
        <w:rPr>
          <w:position w:val="1"/>
        </w:rPr>
        <w:t>in</w:t>
      </w:r>
      <w:r>
        <w:rPr>
          <w:spacing w:val="-4"/>
          <w:position w:val="1"/>
        </w:rPr>
        <w:t> </w:t>
      </w:r>
      <w:r>
        <w:rPr>
          <w:position w:val="1"/>
        </w:rPr>
        <w:t>the</w:t>
      </w:r>
      <w:r>
        <w:rPr>
          <w:spacing w:val="-4"/>
          <w:position w:val="1"/>
        </w:rPr>
        <w:t> </w:t>
      </w:r>
      <w:r>
        <w:rPr>
          <w:position w:val="1"/>
        </w:rPr>
        <w:t>proposed</w:t>
      </w:r>
      <w:r>
        <w:rPr>
          <w:spacing w:val="-4"/>
          <w:position w:val="1"/>
        </w:rPr>
        <w:t> </w:t>
      </w:r>
      <w:r>
        <w:rPr>
          <w:position w:val="1"/>
        </w:rPr>
        <w:t>equation,</w:t>
      </w:r>
      <w:r>
        <w:rPr>
          <w:spacing w:val="-4"/>
          <w:position w:val="1"/>
        </w:rPr>
        <w:t> </w:t>
      </w:r>
      <w:r>
        <w:rPr>
          <w:position w:val="1"/>
        </w:rPr>
        <w:t>in</w:t>
      </w:r>
      <w:r>
        <w:rPr>
          <w:spacing w:val="-5"/>
          <w:position w:val="1"/>
        </w:rPr>
        <w:t> </w:t>
      </w:r>
      <w:r>
        <w:rPr>
          <w:position w:val="1"/>
        </w:rPr>
        <w:t>this</w:t>
      </w:r>
      <w:r>
        <w:rPr>
          <w:spacing w:val="-5"/>
          <w:position w:val="1"/>
        </w:rPr>
        <w:t> </w:t>
      </w:r>
      <w:r>
        <w:rPr>
          <w:position w:val="1"/>
        </w:rPr>
        <w:t>case,</w:t>
      </w:r>
      <w:r>
        <w:rPr>
          <w:spacing w:val="-4"/>
          <w:position w:val="1"/>
        </w:rPr>
        <w:t> </w:t>
      </w:r>
      <w:r>
        <w:rPr>
          <w:i/>
          <w:position w:val="1"/>
        </w:rPr>
        <w:t>C</w:t>
      </w:r>
      <w:r>
        <w:rPr>
          <w:i/>
          <w:sz w:val="16"/>
        </w:rPr>
        <w:t>1</w:t>
      </w:r>
      <w:r>
        <w:rPr>
          <w:i/>
          <w:position w:val="1"/>
        </w:rPr>
        <w:t>,</w:t>
      </w:r>
      <w:r>
        <w:rPr>
          <w:i/>
          <w:spacing w:val="-58"/>
          <w:position w:val="1"/>
        </w:rPr>
        <w:t> </w:t>
      </w:r>
      <w:r>
        <w:rPr>
          <w:i/>
        </w:rPr>
        <w:t>a, b, c, </w:t>
      </w:r>
      <w:r>
        <w:rPr/>
        <w:t>and </w:t>
      </w:r>
      <w:r>
        <w:rPr>
          <w:i/>
        </w:rPr>
        <w:t>d. </w:t>
      </w:r>
      <w:r>
        <w:rPr/>
        <w:t>It does this through an iterative process to minimize the difference between</w:t>
      </w:r>
      <w:r>
        <w:rPr>
          <w:spacing w:val="1"/>
        </w:rPr>
        <w:t> </w:t>
      </w:r>
      <w:r>
        <w:rPr/>
        <w:t>the equation and the actual data. The newly solved for parameters were the optimal fit for</w:t>
      </w:r>
      <w:r>
        <w:rPr>
          <w:spacing w:val="-57"/>
        </w:rPr>
        <w:t> </w:t>
      </w:r>
      <w:r>
        <w:rPr/>
        <w:t>the nonlinear model function.</w:t>
      </w:r>
      <w:r>
        <w:rPr>
          <w:spacing w:val="1"/>
        </w:rPr>
        <w:t> </w:t>
      </w:r>
      <w:r>
        <w:rPr/>
        <w:t>The Mathcad code for this procedure can be seen in the</w:t>
      </w:r>
      <w:r>
        <w:rPr>
          <w:spacing w:val="1"/>
        </w:rPr>
        <w:t> </w:t>
      </w:r>
      <w:r>
        <w:rPr/>
        <w:t>screenshot</w:t>
      </w:r>
      <w:r>
        <w:rPr>
          <w:spacing w:val="-1"/>
        </w:rPr>
        <w:t> </w:t>
      </w:r>
      <w:r>
        <w:rPr/>
        <w:t>captured</w:t>
      </w:r>
      <w:r>
        <w:rPr>
          <w:spacing w:val="-2"/>
        </w:rPr>
        <w:t> </w:t>
      </w:r>
      <w:r>
        <w:rPr/>
        <w:t>in </w:t>
      </w:r>
      <w:hyperlink w:history="true" w:anchor="_bookmark64">
        <w:r>
          <w:rPr/>
          <w:t>Figure 5-9</w:t>
        </w:r>
      </w:hyperlink>
      <w:r>
        <w:rPr/>
        <w:t>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ind w:left="1802"/>
        <w:rPr>
          <w:sz w:val="20"/>
        </w:rPr>
      </w:pPr>
      <w:r>
        <w:rPr>
          <w:sz w:val="20"/>
        </w:rPr>
        <w:drawing>
          <wp:inline distT="0" distB="0" distL="0" distR="0">
            <wp:extent cx="3770549" cy="4290536"/>
            <wp:effectExtent l="0" t="0" r="0" b="0"/>
            <wp:docPr id="61" name="image1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101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0549" cy="4290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"/>
        <w:rPr>
          <w:sz w:val="18"/>
        </w:rPr>
      </w:pPr>
    </w:p>
    <w:p>
      <w:pPr>
        <w:spacing w:before="90"/>
        <w:ind w:left="440" w:right="403" w:firstLine="0"/>
        <w:jc w:val="left"/>
        <w:rPr>
          <w:i/>
          <w:sz w:val="24"/>
        </w:rPr>
      </w:pPr>
      <w:bookmarkStart w:name="_bookmark64" w:id="278"/>
      <w:bookmarkEnd w:id="278"/>
      <w:r>
        <w:rPr/>
      </w:r>
      <w:r>
        <w:rPr>
          <w:i/>
          <w:sz w:val="24"/>
        </w:rPr>
        <w:t>Figure</w:t>
      </w:r>
      <w:r>
        <w:rPr>
          <w:i/>
          <w:spacing w:val="4"/>
          <w:sz w:val="24"/>
        </w:rPr>
        <w:t> </w:t>
      </w:r>
      <w:r>
        <w:rPr>
          <w:i/>
          <w:sz w:val="24"/>
        </w:rPr>
        <w:t>5-9.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Mathcad</w:t>
      </w:r>
      <w:r>
        <w:rPr>
          <w:i/>
          <w:spacing w:val="3"/>
          <w:sz w:val="24"/>
        </w:rPr>
        <w:t> </w:t>
      </w:r>
      <w:r>
        <w:rPr>
          <w:i/>
          <w:sz w:val="24"/>
        </w:rPr>
        <w:t>software</w:t>
      </w:r>
      <w:r>
        <w:rPr>
          <w:i/>
          <w:spacing w:val="4"/>
          <w:sz w:val="24"/>
        </w:rPr>
        <w:t> </w:t>
      </w:r>
      <w:r>
        <w:rPr>
          <w:i/>
          <w:sz w:val="24"/>
        </w:rPr>
        <w:t>aids</w:t>
      </w:r>
      <w:r>
        <w:rPr>
          <w:i/>
          <w:spacing w:val="4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3"/>
          <w:sz w:val="24"/>
        </w:rPr>
        <w:t> </w:t>
      </w:r>
      <w:r>
        <w:rPr>
          <w:i/>
          <w:sz w:val="24"/>
        </w:rPr>
        <w:t>use</w:t>
      </w:r>
      <w:r>
        <w:rPr>
          <w:i/>
          <w:spacing w:val="5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4"/>
          <w:sz w:val="24"/>
        </w:rPr>
        <w:t> </w:t>
      </w:r>
      <w:r>
        <w:rPr>
          <w:i/>
          <w:sz w:val="24"/>
        </w:rPr>
        <w:t>Levenberg-Marquardt</w:t>
      </w:r>
      <w:r>
        <w:rPr>
          <w:i/>
          <w:spacing w:val="4"/>
          <w:sz w:val="24"/>
        </w:rPr>
        <w:t> </w:t>
      </w:r>
      <w:r>
        <w:rPr>
          <w:i/>
          <w:sz w:val="24"/>
        </w:rPr>
        <w:t>algorithm</w:t>
      </w:r>
      <w:r>
        <w:rPr>
          <w:i/>
          <w:spacing w:val="3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3"/>
          <w:sz w:val="24"/>
        </w:rPr>
        <w:t> </w:t>
      </w:r>
      <w:r>
        <w:rPr>
          <w:i/>
          <w:sz w:val="24"/>
        </w:rPr>
        <w:t>solve</w:t>
      </w:r>
      <w:r>
        <w:rPr>
          <w:i/>
          <w:spacing w:val="4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parameters.</w:t>
      </w:r>
    </w:p>
    <w:p>
      <w:pPr>
        <w:pStyle w:val="BodyText"/>
        <w:rPr>
          <w:i/>
          <w:sz w:val="26"/>
        </w:rPr>
      </w:pPr>
    </w:p>
    <w:p>
      <w:pPr>
        <w:pStyle w:val="BodyText"/>
        <w:spacing w:before="1"/>
        <w:rPr>
          <w:i/>
          <w:sz w:val="38"/>
        </w:rPr>
      </w:pPr>
    </w:p>
    <w:p>
      <w:pPr>
        <w:pStyle w:val="BodyText"/>
        <w:spacing w:line="480" w:lineRule="auto"/>
        <w:ind w:left="440" w:right="416" w:firstLine="780"/>
        <w:jc w:val="both"/>
      </w:pPr>
      <w:r>
        <w:rPr/>
        <w:t>The goodness of fit of the new parameters can be assessed by the mean squared</w:t>
      </w:r>
      <w:r>
        <w:rPr>
          <w:spacing w:val="1"/>
        </w:rPr>
        <w:t> </w:t>
      </w:r>
      <w:r>
        <w:rPr/>
        <w:t>error (MSE), calculated as shown in Equation 5.4. The MSE examines how close the</w:t>
      </w:r>
      <w:r>
        <w:rPr>
          <w:spacing w:val="1"/>
        </w:rPr>
        <w:t> </w:t>
      </w:r>
      <w:r>
        <w:rPr/>
        <w:t>modeled function with the optimized parameters fits to the set of data points.</w:t>
      </w:r>
      <w:r>
        <w:rPr>
          <w:spacing w:val="1"/>
        </w:rPr>
        <w:t> </w:t>
      </w:r>
      <w:r>
        <w:rPr/>
        <w:t>It takes the</w:t>
      </w:r>
      <w:r>
        <w:rPr>
          <w:spacing w:val="1"/>
        </w:rPr>
        <w:t> </w:t>
      </w:r>
      <w:r>
        <w:rPr/>
        <w:t>distance between the function and the data points, or the errors, and squares them.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squaring</w:t>
      </w:r>
      <w:r>
        <w:rPr>
          <w:spacing w:val="-8"/>
        </w:rPr>
        <w:t> </w:t>
      </w:r>
      <w:r>
        <w:rPr/>
        <w:t>step</w:t>
      </w:r>
      <w:r>
        <w:rPr>
          <w:spacing w:val="-7"/>
        </w:rPr>
        <w:t> </w:t>
      </w:r>
      <w:r>
        <w:rPr/>
        <w:t>removes</w:t>
      </w:r>
      <w:r>
        <w:rPr>
          <w:spacing w:val="-7"/>
        </w:rPr>
        <w:t> </w:t>
      </w:r>
      <w:r>
        <w:rPr/>
        <w:t>any</w:t>
      </w:r>
      <w:r>
        <w:rPr>
          <w:spacing w:val="-7"/>
        </w:rPr>
        <w:t> </w:t>
      </w:r>
      <w:r>
        <w:rPr/>
        <w:t>negative</w:t>
      </w:r>
      <w:r>
        <w:rPr>
          <w:spacing w:val="-8"/>
        </w:rPr>
        <w:t> </w:t>
      </w:r>
      <w:r>
        <w:rPr/>
        <w:t>signs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gives</w:t>
      </w:r>
      <w:r>
        <w:rPr>
          <w:spacing w:val="-7"/>
        </w:rPr>
        <w:t> </w:t>
      </w:r>
      <w:r>
        <w:rPr/>
        <w:t>more</w:t>
      </w:r>
      <w:r>
        <w:rPr>
          <w:spacing w:val="-7"/>
        </w:rPr>
        <w:t> </w:t>
      </w:r>
      <w:r>
        <w:rPr/>
        <w:t>weight</w:t>
      </w:r>
      <w:r>
        <w:rPr>
          <w:spacing w:val="-7"/>
        </w:rPr>
        <w:t> </w:t>
      </w:r>
      <w:r>
        <w:rPr/>
        <w:t>to</w:t>
      </w:r>
      <w:r>
        <w:rPr>
          <w:spacing w:val="-9"/>
        </w:rPr>
        <w:t> </w:t>
      </w:r>
      <w:r>
        <w:rPr/>
        <w:t>larger</w:t>
      </w:r>
      <w:r>
        <w:rPr>
          <w:spacing w:val="-8"/>
        </w:rPr>
        <w:t> </w:t>
      </w:r>
      <w:r>
        <w:rPr/>
        <w:t>errors.</w:t>
      </w:r>
      <w:r>
        <w:rPr>
          <w:spacing w:val="46"/>
        </w:rPr>
        <w:t> </w:t>
      </w:r>
      <w:r>
        <w:rPr/>
        <w:t>Then</w:t>
      </w:r>
      <w:r>
        <w:rPr>
          <w:spacing w:val="-7"/>
        </w:rPr>
        <w:t> </w:t>
      </w:r>
      <w:r>
        <w:rPr/>
        <w:t>the</w:t>
      </w:r>
      <w:r>
        <w:rPr>
          <w:spacing w:val="-58"/>
        </w:rPr>
        <w:t> </w:t>
      </w:r>
      <w:r>
        <w:rPr/>
        <w:t>mean is found to provide the average of the set of errors.</w:t>
      </w:r>
      <w:r>
        <w:rPr>
          <w:spacing w:val="1"/>
        </w:rPr>
        <w:t> </w:t>
      </w:r>
      <w:r>
        <w:rPr/>
        <w:t>The smaller the mean squared</w:t>
      </w:r>
      <w:r>
        <w:rPr>
          <w:spacing w:val="1"/>
        </w:rPr>
        <w:t> </w:t>
      </w:r>
      <w:r>
        <w:rPr/>
        <w:t>error, the closer the function is to fitting the data.</w:t>
      </w:r>
      <w:r>
        <w:rPr>
          <w:spacing w:val="1"/>
        </w:rPr>
        <w:t> </w:t>
      </w:r>
      <w:r>
        <w:rPr/>
        <w:t>A perfect fitting model would have a</w:t>
      </w:r>
      <w:r>
        <w:rPr>
          <w:spacing w:val="1"/>
        </w:rPr>
        <w:t> </w:t>
      </w:r>
      <w:r>
        <w:rPr/>
        <w:t>mean</w:t>
      </w:r>
      <w:r>
        <w:rPr>
          <w:spacing w:val="18"/>
        </w:rPr>
        <w:t> </w:t>
      </w:r>
      <w:r>
        <w:rPr/>
        <w:t>squared</w:t>
      </w:r>
      <w:r>
        <w:rPr>
          <w:spacing w:val="19"/>
        </w:rPr>
        <w:t> </w:t>
      </w:r>
      <w:r>
        <w:rPr/>
        <w:t>error</w:t>
      </w:r>
      <w:r>
        <w:rPr>
          <w:spacing w:val="19"/>
        </w:rPr>
        <w:t> </w:t>
      </w:r>
      <w:r>
        <w:rPr/>
        <w:t>of</w:t>
      </w:r>
      <w:r>
        <w:rPr>
          <w:spacing w:val="18"/>
        </w:rPr>
        <w:t> </w:t>
      </w:r>
      <w:r>
        <w:rPr/>
        <w:t>zero.</w:t>
      </w:r>
      <w:r>
        <w:rPr>
          <w:spacing w:val="39"/>
        </w:rPr>
        <w:t> </w:t>
      </w:r>
      <w:r>
        <w:rPr/>
        <w:t>With</w:t>
      </w:r>
      <w:r>
        <w:rPr>
          <w:spacing w:val="19"/>
        </w:rPr>
        <w:t> </w:t>
      </w:r>
      <w:r>
        <w:rPr/>
        <w:t>some</w:t>
      </w:r>
      <w:r>
        <w:rPr>
          <w:spacing w:val="19"/>
        </w:rPr>
        <w:t> </w:t>
      </w:r>
      <w:r>
        <w:rPr/>
        <w:t>data</w:t>
      </w:r>
      <w:r>
        <w:rPr>
          <w:spacing w:val="19"/>
        </w:rPr>
        <w:t> </w:t>
      </w:r>
      <w:r>
        <w:rPr/>
        <w:t>sets,</w:t>
      </w:r>
      <w:r>
        <w:rPr>
          <w:spacing w:val="19"/>
        </w:rPr>
        <w:t> </w:t>
      </w:r>
      <w:r>
        <w:rPr/>
        <w:t>obtaining</w:t>
      </w:r>
      <w:r>
        <w:rPr>
          <w:spacing w:val="18"/>
        </w:rPr>
        <w:t> </w:t>
      </w:r>
      <w:r>
        <w:rPr/>
        <w:t>a</w:t>
      </w:r>
      <w:r>
        <w:rPr>
          <w:spacing w:val="18"/>
        </w:rPr>
        <w:t> </w:t>
      </w:r>
      <w:r>
        <w:rPr/>
        <w:t>small</w:t>
      </w:r>
      <w:r>
        <w:rPr>
          <w:spacing w:val="19"/>
        </w:rPr>
        <w:t> </w:t>
      </w:r>
      <w:r>
        <w:rPr/>
        <w:t>value</w:t>
      </w:r>
      <w:r>
        <w:rPr>
          <w:spacing w:val="19"/>
        </w:rPr>
        <w:t> </w:t>
      </w:r>
      <w:r>
        <w:rPr/>
        <w:t>for</w:t>
      </w:r>
      <w:r>
        <w:rPr>
          <w:spacing w:val="19"/>
        </w:rPr>
        <w:t> </w:t>
      </w:r>
      <w:r>
        <w:rPr/>
        <w:t>the</w:t>
      </w:r>
      <w:r>
        <w:rPr>
          <w:spacing w:val="19"/>
        </w:rPr>
        <w:t> </w:t>
      </w:r>
      <w:r>
        <w:rPr/>
        <w:t>mean</w:t>
      </w:r>
    </w:p>
    <w:p>
      <w:pPr>
        <w:spacing w:after="0" w:line="480" w:lineRule="auto"/>
        <w:jc w:val="both"/>
        <w:sectPr>
          <w:pgSz w:w="12240" w:h="15840"/>
          <w:pgMar w:header="0" w:footer="1064" w:top="1500" w:bottom="1260" w:left="1720" w:right="1020"/>
        </w:sectPr>
      </w:pPr>
    </w:p>
    <w:p>
      <w:pPr>
        <w:pStyle w:val="BodyText"/>
        <w:spacing w:line="480" w:lineRule="auto" w:before="78"/>
        <w:ind w:left="440" w:right="417"/>
        <w:jc w:val="both"/>
      </w:pPr>
      <w:r>
        <w:rPr>
          <w:spacing w:val="-1"/>
        </w:rPr>
        <w:t>squared</w:t>
      </w:r>
      <w:r>
        <w:rPr>
          <w:spacing w:val="-14"/>
        </w:rPr>
        <w:t> </w:t>
      </w:r>
      <w:r>
        <w:rPr>
          <w:spacing w:val="-1"/>
        </w:rPr>
        <w:t>error</w:t>
      </w:r>
      <w:r>
        <w:rPr>
          <w:spacing w:val="-12"/>
        </w:rPr>
        <w:t> </w:t>
      </w:r>
      <w:r>
        <w:rPr>
          <w:spacing w:val="-1"/>
        </w:rPr>
        <w:t>may</w:t>
      </w:r>
      <w:r>
        <w:rPr>
          <w:spacing w:val="-14"/>
        </w:rPr>
        <w:t> </w:t>
      </w:r>
      <w:r>
        <w:rPr>
          <w:spacing w:val="-1"/>
        </w:rPr>
        <w:t>be</w:t>
      </w:r>
      <w:r>
        <w:rPr>
          <w:spacing w:val="-12"/>
        </w:rPr>
        <w:t> </w:t>
      </w:r>
      <w:r>
        <w:rPr>
          <w:spacing w:val="-1"/>
        </w:rPr>
        <w:t>difficult</w:t>
      </w:r>
      <w:r>
        <w:rPr>
          <w:spacing w:val="-13"/>
        </w:rPr>
        <w:t> </w:t>
      </w:r>
      <w:r>
        <w:rPr/>
        <w:t>as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data</w:t>
      </w:r>
      <w:r>
        <w:rPr>
          <w:spacing w:val="-12"/>
        </w:rPr>
        <w:t> </w:t>
      </w:r>
      <w:r>
        <w:rPr/>
        <w:t>may</w:t>
      </w:r>
      <w:r>
        <w:rPr>
          <w:spacing w:val="-14"/>
        </w:rPr>
        <w:t> </w:t>
      </w:r>
      <w:r>
        <w:rPr/>
        <w:t>be</w:t>
      </w:r>
      <w:r>
        <w:rPr>
          <w:spacing w:val="-12"/>
        </w:rPr>
        <w:t> </w:t>
      </w:r>
      <w:r>
        <w:rPr/>
        <w:t>widely</w:t>
      </w:r>
      <w:r>
        <w:rPr>
          <w:spacing w:val="-14"/>
        </w:rPr>
        <w:t> </w:t>
      </w:r>
      <w:r>
        <w:rPr/>
        <w:t>scattered</w:t>
      </w:r>
      <w:r>
        <w:rPr>
          <w:spacing w:val="-13"/>
        </w:rPr>
        <w:t> </w:t>
      </w:r>
      <w:r>
        <w:rPr/>
        <w:t>about</w:t>
      </w:r>
      <w:r>
        <w:rPr>
          <w:spacing w:val="-14"/>
        </w:rPr>
        <w:t> </w:t>
      </w:r>
      <w:r>
        <w:rPr/>
        <w:t>the</w:t>
      </w:r>
      <w:r>
        <w:rPr>
          <w:spacing w:val="-12"/>
        </w:rPr>
        <w:t> </w:t>
      </w:r>
      <w:r>
        <w:rPr/>
        <w:t>fitting</w:t>
      </w:r>
      <w:r>
        <w:rPr>
          <w:spacing w:val="-14"/>
        </w:rPr>
        <w:t> </w:t>
      </w:r>
      <w:r>
        <w:rPr/>
        <w:t>function.</w:t>
      </w:r>
      <w:r>
        <w:rPr>
          <w:spacing w:val="-58"/>
        </w:rPr>
        <w:t> </w:t>
      </w:r>
      <w:r>
        <w:rPr/>
        <w:t>In this case, models could be compared for best fit by finding the smallest mean squared</w:t>
      </w:r>
      <w:r>
        <w:rPr>
          <w:spacing w:val="1"/>
        </w:rPr>
        <w:t> </w:t>
      </w:r>
      <w:r>
        <w:rPr/>
        <w:t>error.</w:t>
      </w:r>
    </w:p>
    <w:p>
      <w:pPr>
        <w:pStyle w:val="BodyText"/>
        <w:rPr>
          <w:sz w:val="26"/>
        </w:rPr>
      </w:pPr>
    </w:p>
    <w:p>
      <w:pPr>
        <w:pStyle w:val="BodyText"/>
        <w:spacing w:before="6"/>
        <w:rPr>
          <w:sz w:val="30"/>
        </w:rPr>
      </w:pPr>
    </w:p>
    <w:p>
      <w:pPr>
        <w:pStyle w:val="BodyText"/>
        <w:ind w:left="1222"/>
        <w:rPr>
          <w:rFonts w:ascii="Cambria Math" w:eastAsia="Cambria Math"/>
        </w:rPr>
      </w:pPr>
      <w:r>
        <w:rPr/>
        <w:pict>
          <v:rect style="position:absolute;margin-left:187.259995pt;margin-top:7.623368pt;width:7.079pt;height:.779pt;mso-position-horizontal-relative:page;mso-position-vertical-relative:paragraph;z-index:15795712" filled="true" fillcolor="#000000" stroked="false">
            <v:fill type="solid"/>
            <w10:wrap type="none"/>
          </v:rect>
        </w:pict>
      </w:r>
      <w:r>
        <w:rPr/>
        <w:pict>
          <v:shape style="position:absolute;margin-left:164.960007pt;margin-top:-12.010991pt;width:379.2pt;height:99.4pt;mso-position-horizontal-relative:page;mso-position-vertical-relative:paragraph;z-index:1579622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176"/>
                    <w:gridCol w:w="4408"/>
                  </w:tblGrid>
                  <w:tr>
                    <w:trPr>
                      <w:trHeight w:val="792" w:hRule="atLeast"/>
                    </w:trPr>
                    <w:tc>
                      <w:tcPr>
                        <w:tcW w:w="3176" w:type="dxa"/>
                      </w:tcPr>
                      <w:p>
                        <w:pPr>
                          <w:pStyle w:val="TableParagraph"/>
                          <w:spacing w:line="104" w:lineRule="exact"/>
                          <w:ind w:left="729"/>
                          <w:rPr>
                            <w:rFonts w:ascii="Cambria Math" w:eastAsia="Cambria Math"/>
                            <w:sz w:val="17"/>
                          </w:rPr>
                        </w:pPr>
                        <w:r>
                          <w:rPr>
                            <w:rFonts w:ascii="Cambria Math" w:eastAsia="Cambria Math"/>
                            <w:w w:val="115"/>
                            <w:sz w:val="17"/>
                          </w:rPr>
                          <w:t>𝑛</w:t>
                        </w:r>
                      </w:p>
                      <w:p>
                        <w:pPr>
                          <w:pStyle w:val="TableParagraph"/>
                          <w:tabs>
                            <w:tab w:pos="1837" w:val="left" w:leader="none"/>
                          </w:tabs>
                          <w:spacing w:line="187" w:lineRule="exact"/>
                          <w:ind w:right="788"/>
                          <w:jc w:val="right"/>
                          <w:rPr>
                            <w:rFonts w:ascii="Cambria Math"/>
                            <w:sz w:val="24"/>
                          </w:rPr>
                        </w:pPr>
                        <w:r>
                          <w:rPr>
                            <w:rFonts w:ascii="Cambria Math"/>
                            <w:w w:val="105"/>
                            <w:sz w:val="24"/>
                          </w:rPr>
                          <w:t>1</w:t>
                          <w:tab/>
                        </w:r>
                        <w:r>
                          <w:rPr>
                            <w:rFonts w:ascii="Cambria Math"/>
                            <w:w w:val="105"/>
                            <w:sz w:val="24"/>
                            <w:vertAlign w:val="subscript"/>
                          </w:rPr>
                          <w:t>2</w:t>
                        </w:r>
                      </w:p>
                      <w:p>
                        <w:pPr>
                          <w:pStyle w:val="TableParagraph"/>
                          <w:tabs>
                            <w:tab w:pos="627" w:val="left" w:leader="none"/>
                          </w:tabs>
                          <w:spacing w:line="188" w:lineRule="exact"/>
                          <w:ind w:left="-26" w:right="887"/>
                          <w:jc w:val="right"/>
                          <w:rPr>
                            <w:rFonts w:ascii="Cambria Math" w:hAnsi="Cambria Math" w:cs="Cambria Math" w:eastAsia="Cambria Math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ambria Math" w:hAnsi="Cambria Math" w:cs="Cambria Math" w:eastAsia="Cambria Math"/>
                            <w:sz w:val="24"/>
                            <w:szCs w:val="24"/>
                          </w:rPr>
                          <w:t>𝐸</w:t>
                        </w:r>
                        <w:r>
                          <w:rPr>
                            <w:rFonts w:ascii="Cambria Math" w:hAnsi="Cambria Math" w:cs="Cambria Math" w:eastAsia="Cambria Math"/>
                            <w:spacing w:val="22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Cambria Math" w:hAnsi="Cambria Math" w:cs="Cambria Math" w:eastAsia="Cambria Math"/>
                            <w:sz w:val="24"/>
                            <w:szCs w:val="24"/>
                          </w:rPr>
                          <w:t>=</w:t>
                          <w:tab/>
                        </w:r>
                        <w:r>
                          <w:rPr>
                            <w:rFonts w:ascii="Cambria Math" w:hAnsi="Cambria Math" w:cs="Cambria Math" w:eastAsia="Cambria Math"/>
                            <w:spacing w:val="1"/>
                            <w:w w:val="132"/>
                            <w:sz w:val="24"/>
                            <w:szCs w:val="24"/>
                          </w:rPr>
                          <w:t>�</w:t>
                        </w:r>
                        <w:r>
                          <w:rPr>
                            <w:rFonts w:ascii="Cambria Math" w:hAnsi="Cambria Math" w:cs="Cambria Math" w:eastAsia="Cambria Math"/>
                            <w:w w:val="44"/>
                            <w:sz w:val="24"/>
                            <w:szCs w:val="24"/>
                          </w:rPr>
                          <w:t>�</w:t>
                        </w:r>
                        <w:r>
                          <w:rPr>
                            <w:rFonts w:ascii="Cambria Math" w:hAnsi="Cambria Math" w:cs="Cambria Math" w:eastAsia="Cambria Math"/>
                            <w:spacing w:val="-26"/>
                            <w:sz w:val="24"/>
                            <w:szCs w:val="24"/>
                          </w:rPr>
                          <w:t>𝑇</w:t>
                        </w:r>
                        <w:r>
                          <w:rPr>
                            <w:rFonts w:ascii="Cambria Math" w:hAnsi="Cambria Math" w:cs="Cambria Math" w:eastAsia="Cambria Math"/>
                            <w:w w:val="55"/>
                            <w:position w:val="-4"/>
                            <w:sz w:val="17"/>
                            <w:szCs w:val="17"/>
                          </w:rPr>
                          <w:t>𝑤</w:t>
                        </w:r>
                        <w:r>
                          <w:rPr>
                            <w:rFonts w:ascii="Cambria Math" w:hAnsi="Cambria Math" w:cs="Cambria Math" w:eastAsia="Cambria Math"/>
                            <w:spacing w:val="3"/>
                            <w:w w:val="55"/>
                            <w:position w:val="-4"/>
                            <w:sz w:val="17"/>
                            <w:szCs w:val="17"/>
                          </w:rPr>
                          <w:t>𝑤</w:t>
                        </w:r>
                        <w:r>
                          <w:rPr>
                            <w:rFonts w:ascii="Cambria Math" w:hAnsi="Cambria Math" w:cs="Cambria Math" w:eastAsia="Cambria Math"/>
                            <w:w w:val="100"/>
                            <w:position w:val="-4"/>
                            <w:sz w:val="17"/>
                            <w:szCs w:val="17"/>
                          </w:rPr>
                          <w:t>_</w:t>
                        </w:r>
                        <w:r>
                          <w:rPr>
                            <w:rFonts w:ascii="Cambria Math" w:hAnsi="Cambria Math" w:cs="Cambria Math" w:eastAsia="Cambria Math"/>
                            <w:w w:val="54"/>
                            <w:position w:val="-4"/>
                            <w:sz w:val="17"/>
                            <w:szCs w:val="17"/>
                          </w:rPr>
                          <w:t>𝑓</w:t>
                        </w:r>
                        <w:r>
                          <w:rPr>
                            <w:rFonts w:ascii="Cambria Math" w:hAnsi="Cambria Math" w:cs="Cambria Math" w:eastAsia="Cambria Math"/>
                            <w:spacing w:val="-1"/>
                            <w:w w:val="54"/>
                            <w:position w:val="-4"/>
                            <w:sz w:val="17"/>
                            <w:szCs w:val="17"/>
                          </w:rPr>
                          <w:t>𝑓</w:t>
                        </w:r>
                        <w:r>
                          <w:rPr>
                            <w:rFonts w:ascii="Cambria Math" w:hAnsi="Cambria Math" w:cs="Cambria Math" w:eastAsia="Cambria Math"/>
                            <w:w w:val="28"/>
                            <w:position w:val="-4"/>
                            <w:sz w:val="17"/>
                            <w:szCs w:val="17"/>
                          </w:rPr>
                          <w:t>𝑔𝑔</w:t>
                        </w:r>
                        <w:r>
                          <w:rPr>
                            <w:rFonts w:ascii="Cambria Math" w:hAnsi="Cambria Math" w:cs="Cambria Math" w:eastAsia="Cambria Math"/>
                            <w:w w:val="111"/>
                            <w:position w:val="-4"/>
                            <w:sz w:val="17"/>
                            <w:szCs w:val="17"/>
                          </w:rPr>
                          <w:t>𝑡</w:t>
                        </w:r>
                        <w:r>
                          <w:rPr>
                            <w:rFonts w:ascii="Cambria Math" w:hAnsi="Cambria Math" w:cs="Cambria Math" w:eastAsia="Cambria Math"/>
                            <w:position w:val="-4"/>
                            <w:sz w:val="17"/>
                            <w:szCs w:val="17"/>
                          </w:rPr>
                          <w:t> </w:t>
                        </w:r>
                        <w:r>
                          <w:rPr>
                            <w:rFonts w:ascii="Cambria Math" w:hAnsi="Cambria Math" w:cs="Cambria Math" w:eastAsia="Cambria Math"/>
                            <w:spacing w:val="-9"/>
                            <w:position w:val="-4"/>
                            <w:sz w:val="17"/>
                            <w:szCs w:val="17"/>
                          </w:rPr>
                          <w:t> </w:t>
                        </w:r>
                        <w:r>
                          <w:rPr>
                            <w:rFonts w:ascii="Cambria Math" w:hAnsi="Cambria Math" w:cs="Cambria Math" w:eastAsia="Cambria Math"/>
                            <w:sz w:val="24"/>
                            <w:szCs w:val="24"/>
                          </w:rPr>
                          <w:t>− </w:t>
                        </w:r>
                        <w:r>
                          <w:rPr>
                            <w:rFonts w:ascii="Cambria Math" w:hAnsi="Cambria Math" w:cs="Cambria Math" w:eastAsia="Cambria Math"/>
                            <w:spacing w:val="-35"/>
                            <w:sz w:val="24"/>
                            <w:szCs w:val="24"/>
                          </w:rPr>
                          <w:t>𝑇</w:t>
                        </w:r>
                        <w:r>
                          <w:rPr>
                            <w:rFonts w:ascii="Cambria Math" w:hAnsi="Cambria Math" w:cs="Cambria Math" w:eastAsia="Cambria Math"/>
                            <w:spacing w:val="-2"/>
                            <w:w w:val="55"/>
                            <w:position w:val="-4"/>
                            <w:sz w:val="17"/>
                            <w:szCs w:val="17"/>
                          </w:rPr>
                          <w:t>𝑤</w:t>
                        </w:r>
                        <w:r>
                          <w:rPr>
                            <w:rFonts w:ascii="Cambria Math" w:hAnsi="Cambria Math" w:cs="Cambria Math" w:eastAsia="Cambria Math"/>
                            <w:spacing w:val="12"/>
                            <w:w w:val="55"/>
                            <w:position w:val="-4"/>
                            <w:sz w:val="17"/>
                            <w:szCs w:val="17"/>
                          </w:rPr>
                          <w:t>𝑤</w:t>
                        </w:r>
                        <w:r>
                          <w:rPr>
                            <w:rFonts w:ascii="Cambria Math" w:hAnsi="Cambria Math" w:cs="Cambria Math" w:eastAsia="Cambria Math"/>
                            <w:spacing w:val="-2"/>
                            <w:w w:val="44"/>
                            <w:sz w:val="24"/>
                            <w:szCs w:val="24"/>
                          </w:rPr>
                          <w:t>�</w:t>
                        </w:r>
                      </w:p>
                      <w:p>
                        <w:pPr>
                          <w:pStyle w:val="TableParagraph"/>
                          <w:spacing w:line="169" w:lineRule="exact"/>
                          <w:ind w:left="445"/>
                          <w:rPr>
                            <w:rFonts w:ascii="Cambria Math" w:eastAsia="Cambria Math"/>
                            <w:sz w:val="24"/>
                          </w:rPr>
                        </w:pPr>
                        <w:r>
                          <w:rPr>
                            <w:rFonts w:ascii="Cambria Math" w:eastAsia="Cambria Math"/>
                            <w:sz w:val="24"/>
                          </w:rPr>
                          <w:t>𝑛</w:t>
                        </w:r>
                      </w:p>
                      <w:p>
                        <w:pPr>
                          <w:pStyle w:val="TableParagraph"/>
                          <w:spacing w:line="125" w:lineRule="exact"/>
                          <w:ind w:left="641"/>
                          <w:rPr>
                            <w:rFonts w:ascii="Cambria Math" w:eastAsia="Cambria Math"/>
                            <w:sz w:val="17"/>
                          </w:rPr>
                        </w:pPr>
                        <w:r>
                          <w:rPr>
                            <w:rFonts w:ascii="Cambria Math" w:eastAsia="Cambria Math"/>
                            <w:w w:val="28"/>
                            <w:sz w:val="17"/>
                          </w:rPr>
                          <w:t>𝑔</w:t>
                        </w:r>
                        <w:r>
                          <w:rPr>
                            <w:rFonts w:ascii="Cambria Math" w:eastAsia="Cambria Math"/>
                            <w:spacing w:val="7"/>
                            <w:w w:val="28"/>
                            <w:sz w:val="17"/>
                          </w:rPr>
                          <w:t>𝑔</w:t>
                        </w:r>
                        <w:r>
                          <w:rPr>
                            <w:rFonts w:ascii="Cambria Math" w:eastAsia="Cambria Math"/>
                            <w:spacing w:val="-1"/>
                            <w:w w:val="97"/>
                            <w:sz w:val="17"/>
                          </w:rPr>
                          <w:t>=</w:t>
                        </w:r>
                        <w:r>
                          <w:rPr>
                            <w:rFonts w:ascii="Cambria Math" w:eastAsia="Cambria Math"/>
                            <w:w w:val="104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4408" w:type="dxa"/>
                      </w:tcPr>
                      <w:p>
                        <w:pPr>
                          <w:pStyle w:val="TableParagraph"/>
                          <w:spacing w:line="266" w:lineRule="exact"/>
                          <w:ind w:right="198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(5.4)</w:t>
                        </w:r>
                      </w:p>
                    </w:tc>
                  </w:tr>
                  <w:tr>
                    <w:trPr>
                      <w:trHeight w:val="1195" w:hRule="atLeast"/>
                    </w:trPr>
                    <w:tc>
                      <w:tcPr>
                        <w:tcW w:w="3176" w:type="dxa"/>
                      </w:tcPr>
                      <w:p>
                        <w:pPr>
                          <w:pStyle w:val="TableParagraph"/>
                          <w:spacing w:before="222"/>
                          <w:ind w:right="106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where</w:t>
                        </w:r>
                      </w:p>
                    </w:tc>
                    <w:tc>
                      <w:tcPr>
                        <w:tcW w:w="4408" w:type="dxa"/>
                      </w:tcPr>
                      <w:p>
                        <w:pPr>
                          <w:pStyle w:val="TableParagraph"/>
                          <w:spacing w:line="106" w:lineRule="exact"/>
                          <w:ind w:right="1069"/>
                          <w:jc w:val="center"/>
                          <w:rPr>
                            <w:rFonts w:ascii="Cambria Math"/>
                            <w:sz w:val="17"/>
                          </w:rPr>
                        </w:pPr>
                        <w:r>
                          <w:rPr>
                            <w:rFonts w:ascii="Cambria Math"/>
                            <w:w w:val="104"/>
                            <w:sz w:val="17"/>
                          </w:rPr>
                          <w:t>2</w:t>
                        </w:r>
                      </w:p>
                      <w:p>
                        <w:pPr>
                          <w:pStyle w:val="TableParagraph"/>
                          <w:spacing w:line="265" w:lineRule="exact"/>
                          <w:ind w:left="108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Cambria Math" w:hAnsi="Cambria Math" w:cs="Cambria Math" w:eastAsia="Cambria Math"/>
                            <w:position w:val="1"/>
                            <w:sz w:val="24"/>
                            <w:szCs w:val="24"/>
                          </w:rPr>
                          <w:t>∑</w:t>
                        </w:r>
                        <w:r>
                          <w:rPr>
                            <w:rFonts w:ascii="Cambria Math" w:hAnsi="Cambria Math" w:cs="Cambria Math" w:eastAsia="Cambria Math"/>
                            <w:w w:val="44"/>
                            <w:sz w:val="24"/>
                            <w:szCs w:val="24"/>
                          </w:rPr>
                          <w:t>�</w:t>
                        </w:r>
                        <w:r>
                          <w:rPr>
                            <w:rFonts w:ascii="Cambria Math" w:hAnsi="Cambria Math" w:cs="Cambria Math" w:eastAsia="Cambria Math"/>
                            <w:spacing w:val="-26"/>
                            <w:sz w:val="24"/>
                            <w:szCs w:val="24"/>
                          </w:rPr>
                          <w:t>𝑇</w:t>
                        </w:r>
                        <w:r>
                          <w:rPr>
                            <w:rFonts w:ascii="Cambria Math" w:hAnsi="Cambria Math" w:cs="Cambria Math" w:eastAsia="Cambria Math"/>
                            <w:w w:val="55"/>
                            <w:position w:val="-4"/>
                            <w:sz w:val="17"/>
                            <w:szCs w:val="17"/>
                          </w:rPr>
                          <w:t>𝑤</w:t>
                        </w:r>
                        <w:r>
                          <w:rPr>
                            <w:rFonts w:ascii="Cambria Math" w:hAnsi="Cambria Math" w:cs="Cambria Math" w:eastAsia="Cambria Math"/>
                            <w:spacing w:val="3"/>
                            <w:w w:val="55"/>
                            <w:position w:val="-4"/>
                            <w:sz w:val="17"/>
                            <w:szCs w:val="17"/>
                          </w:rPr>
                          <w:t>𝑤</w:t>
                        </w:r>
                        <w:r>
                          <w:rPr>
                            <w:rFonts w:ascii="Cambria Math" w:hAnsi="Cambria Math" w:cs="Cambria Math" w:eastAsia="Cambria Math"/>
                            <w:w w:val="100"/>
                            <w:position w:val="-4"/>
                            <w:sz w:val="17"/>
                            <w:szCs w:val="17"/>
                          </w:rPr>
                          <w:t>_</w:t>
                        </w:r>
                        <w:r>
                          <w:rPr>
                            <w:rFonts w:ascii="Cambria Math" w:hAnsi="Cambria Math" w:cs="Cambria Math" w:eastAsia="Cambria Math"/>
                            <w:w w:val="54"/>
                            <w:position w:val="-4"/>
                            <w:sz w:val="17"/>
                            <w:szCs w:val="17"/>
                          </w:rPr>
                          <w:t>𝑓</w:t>
                        </w:r>
                        <w:r>
                          <w:rPr>
                            <w:rFonts w:ascii="Cambria Math" w:hAnsi="Cambria Math" w:cs="Cambria Math" w:eastAsia="Cambria Math"/>
                            <w:spacing w:val="-1"/>
                            <w:w w:val="54"/>
                            <w:position w:val="-4"/>
                            <w:sz w:val="17"/>
                            <w:szCs w:val="17"/>
                          </w:rPr>
                          <w:t>𝑓</w:t>
                        </w:r>
                        <w:r>
                          <w:rPr>
                            <w:rFonts w:ascii="Cambria Math" w:hAnsi="Cambria Math" w:cs="Cambria Math" w:eastAsia="Cambria Math"/>
                            <w:w w:val="28"/>
                            <w:position w:val="-4"/>
                            <w:sz w:val="17"/>
                            <w:szCs w:val="17"/>
                          </w:rPr>
                          <w:t>𝑔𝑔</w:t>
                        </w:r>
                        <w:r>
                          <w:rPr>
                            <w:rFonts w:ascii="Cambria Math" w:hAnsi="Cambria Math" w:cs="Cambria Math" w:eastAsia="Cambria Math"/>
                            <w:w w:val="111"/>
                            <w:position w:val="-4"/>
                            <w:sz w:val="17"/>
                            <w:szCs w:val="17"/>
                          </w:rPr>
                          <w:t>𝑡</w:t>
                        </w:r>
                        <w:r>
                          <w:rPr>
                            <w:rFonts w:ascii="Cambria Math" w:hAnsi="Cambria Math" w:cs="Cambria Math" w:eastAsia="Cambria Math"/>
                            <w:position w:val="-4"/>
                            <w:sz w:val="17"/>
                            <w:szCs w:val="17"/>
                          </w:rPr>
                          <w:t> </w:t>
                        </w:r>
                        <w:r>
                          <w:rPr>
                            <w:rFonts w:ascii="Cambria Math" w:hAnsi="Cambria Math" w:cs="Cambria Math" w:eastAsia="Cambria Math"/>
                            <w:spacing w:val="-9"/>
                            <w:position w:val="-4"/>
                            <w:sz w:val="17"/>
                            <w:szCs w:val="17"/>
                          </w:rPr>
                          <w:t> </w:t>
                        </w:r>
                        <w:r>
                          <w:rPr>
                            <w:rFonts w:ascii="Cambria Math" w:hAnsi="Cambria Math" w:cs="Cambria Math" w:eastAsia="Cambria Math"/>
                            <w:sz w:val="24"/>
                            <w:szCs w:val="24"/>
                          </w:rPr>
                          <w:t>− </w:t>
                        </w:r>
                        <w:r>
                          <w:rPr>
                            <w:rFonts w:ascii="Cambria Math" w:hAnsi="Cambria Math" w:cs="Cambria Math" w:eastAsia="Cambria Math"/>
                            <w:spacing w:val="-33"/>
                            <w:sz w:val="24"/>
                            <w:szCs w:val="24"/>
                          </w:rPr>
                          <w:t>𝑇</w:t>
                        </w:r>
                        <w:r>
                          <w:rPr>
                            <w:rFonts w:ascii="Cambria Math" w:hAnsi="Cambria Math" w:cs="Cambria Math" w:eastAsia="Cambria Math"/>
                            <w:w w:val="55"/>
                            <w:position w:val="-4"/>
                            <w:sz w:val="17"/>
                            <w:szCs w:val="17"/>
                          </w:rPr>
                          <w:t>𝑤</w:t>
                        </w:r>
                        <w:r>
                          <w:rPr>
                            <w:rFonts w:ascii="Cambria Math" w:hAnsi="Cambria Math" w:cs="Cambria Math" w:eastAsia="Cambria Math"/>
                            <w:spacing w:val="14"/>
                            <w:w w:val="55"/>
                            <w:position w:val="-4"/>
                            <w:sz w:val="17"/>
                            <w:szCs w:val="17"/>
                          </w:rPr>
                          <w:t>𝑤</w:t>
                        </w:r>
                        <w:r>
                          <w:rPr>
                            <w:rFonts w:ascii="Cambria Math" w:hAnsi="Cambria Math" w:cs="Cambria Math" w:eastAsia="Cambria Math"/>
                            <w:w w:val="44"/>
                            <w:sz w:val="24"/>
                            <w:szCs w:val="24"/>
                          </w:rPr>
                          <w:t>�</w:t>
                        </w:r>
                        <w:r>
                          <w:rPr>
                            <w:rFonts w:ascii="Cambria Math" w:hAnsi="Cambria Math" w:cs="Cambria Math" w:eastAsia="Cambria Math"/>
                            <w:sz w:val="24"/>
                            <w:szCs w:val="24"/>
                          </w:rPr>
                          <w:t>  </w:t>
                        </w:r>
                        <w:r>
                          <w:rPr>
                            <w:rFonts w:ascii="Cambria Math" w:hAnsi="Cambria Math" w:cs="Cambria Math" w:eastAsia="Cambria Math"/>
                            <w:spacing w:val="8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w w:val="99"/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sz w:val="24"/>
                            <w:szCs w:val="24"/>
                          </w:rPr>
                          <w:t> the </w:t>
                        </w:r>
                        <w:r>
                          <w:rPr>
                            <w:w w:val="99"/>
                            <w:sz w:val="24"/>
                            <w:szCs w:val="24"/>
                          </w:rPr>
                          <w:t>su</w:t>
                        </w:r>
                        <w:r>
                          <w:rPr>
                            <w:sz w:val="24"/>
                            <w:szCs w:val="24"/>
                          </w:rPr>
                          <w:t>m</w:t>
                        </w:r>
                        <w:r>
                          <w:rPr>
                            <w:spacing w:val="-2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sz w:val="24"/>
                            <w:szCs w:val="24"/>
                          </w:rPr>
                          <w:t>of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w w:val="99"/>
                            <w:sz w:val="24"/>
                            <w:szCs w:val="24"/>
                          </w:rPr>
                          <w:t>sq</w:t>
                        </w:r>
                        <w:r>
                          <w:rPr>
                            <w:sz w:val="24"/>
                            <w:szCs w:val="24"/>
                          </w:rPr>
                          <w:t>uar</w:t>
                        </w:r>
                        <w:r>
                          <w:rPr>
                            <w:w w:val="99"/>
                            <w:sz w:val="24"/>
                            <w:szCs w:val="24"/>
                          </w:rPr>
                          <w:t>es</w:t>
                        </w:r>
                      </w:p>
                      <w:p>
                        <w:pPr>
                          <w:pStyle w:val="TableParagraph"/>
                          <w:ind w:left="108" w:right="393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minimized by the method (Sum Squared</w:t>
                        </w:r>
                        <w:r>
                          <w:rPr>
                            <w:spacing w:val="-58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Error)</w:t>
                        </w:r>
                      </w:p>
                      <w:p>
                        <w:pPr>
                          <w:pStyle w:val="TableParagraph"/>
                          <w:spacing w:line="256" w:lineRule="exact"/>
                          <w:ind w:left="108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and</w:t>
                        </w:r>
                        <w:r>
                          <w:rPr>
                            <w:spacing w:val="-1"/>
                            <w:sz w:val="24"/>
                          </w:rPr>
                          <w:t> </w:t>
                        </w:r>
                        <w:r>
                          <w:rPr>
                            <w:i/>
                            <w:sz w:val="24"/>
                          </w:rPr>
                          <w:t>n</w:t>
                        </w:r>
                        <w:r>
                          <w:rPr>
                            <w:i/>
                            <w:spacing w:val="-1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is the</w:t>
                        </w:r>
                        <w:r>
                          <w:rPr>
                            <w:spacing w:val="-1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length of</w:t>
                        </w:r>
                        <w:r>
                          <w:rPr>
                            <w:spacing w:val="-2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the</w:t>
                        </w:r>
                        <w:r>
                          <w:rPr>
                            <w:spacing w:val="-1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data</w:t>
                        </w:r>
                        <w:r>
                          <w:rPr>
                            <w:spacing w:val="-1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set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Cambria Math" w:eastAsia="Cambria Math"/>
        </w:rPr>
        <w:t>𝑀𝑆</w:t>
      </w:r>
    </w:p>
    <w:p>
      <w:pPr>
        <w:pStyle w:val="BodyText"/>
        <w:rPr>
          <w:rFonts w:ascii="Cambria Math"/>
        </w:rPr>
      </w:pPr>
    </w:p>
    <w:p>
      <w:pPr>
        <w:pStyle w:val="BodyText"/>
        <w:rPr>
          <w:rFonts w:ascii="Cambria Math"/>
        </w:rPr>
      </w:pPr>
    </w:p>
    <w:p>
      <w:pPr>
        <w:pStyle w:val="BodyText"/>
        <w:rPr>
          <w:rFonts w:ascii="Cambria Math"/>
        </w:rPr>
      </w:pPr>
    </w:p>
    <w:p>
      <w:pPr>
        <w:pStyle w:val="BodyText"/>
        <w:rPr>
          <w:rFonts w:ascii="Cambria Math"/>
        </w:rPr>
      </w:pPr>
    </w:p>
    <w:p>
      <w:pPr>
        <w:pStyle w:val="BodyText"/>
        <w:rPr>
          <w:rFonts w:ascii="Cambria Math"/>
        </w:rPr>
      </w:pPr>
    </w:p>
    <w:p>
      <w:pPr>
        <w:pStyle w:val="BodyText"/>
        <w:spacing w:before="6"/>
        <w:rPr>
          <w:rFonts w:ascii="Cambria Math"/>
          <w:sz w:val="25"/>
        </w:rPr>
      </w:pPr>
    </w:p>
    <w:p>
      <w:pPr>
        <w:pStyle w:val="BodyText"/>
        <w:spacing w:line="480" w:lineRule="auto"/>
        <w:ind w:left="440" w:right="417" w:firstLine="720"/>
        <w:jc w:val="both"/>
      </w:pPr>
      <w:r>
        <w:rPr/>
        <w:t>With a large number of parameters, multiple combinations of parameter values</w:t>
      </w:r>
      <w:r>
        <w:rPr>
          <w:spacing w:val="1"/>
        </w:rPr>
        <w:t> </w:t>
      </w:r>
      <w:r>
        <w:rPr/>
        <w:t>yield equations that fit the data relatively well.</w:t>
      </w:r>
      <w:r>
        <w:rPr>
          <w:spacing w:val="1"/>
        </w:rPr>
        <w:t> </w:t>
      </w:r>
      <w:r>
        <w:rPr/>
        <w:t>In this case, there are five parameters: one</w:t>
      </w:r>
      <w:r>
        <w:rPr>
          <w:spacing w:val="-57"/>
        </w:rPr>
        <w:t> </w:t>
      </w:r>
      <w:r>
        <w:rPr/>
        <w:t>constant and four exponential parameters for four of the five variables. Each combination</w:t>
      </w:r>
      <w:r>
        <w:rPr>
          <w:spacing w:val="-57"/>
        </w:rPr>
        <w:t> </w:t>
      </w:r>
      <w:r>
        <w:rPr/>
        <w:t>of parameters creates nearly the same curve.</w:t>
      </w:r>
      <w:r>
        <w:rPr>
          <w:spacing w:val="1"/>
        </w:rPr>
        <w:t> </w:t>
      </w:r>
      <w:r>
        <w:rPr/>
        <w:t>Some conditions were set with the initial</w:t>
      </w:r>
      <w:r>
        <w:rPr>
          <w:spacing w:val="1"/>
        </w:rPr>
        <w:t> </w:t>
      </w:r>
      <w:r>
        <w:rPr/>
        <w:t>guess based on the physical representation of the equation and desire to find values close</w:t>
      </w:r>
      <w:r>
        <w:rPr>
          <w:spacing w:val="1"/>
        </w:rPr>
        <w:t> </w:t>
      </w:r>
      <w:r>
        <w:rPr/>
        <w:t>to</w:t>
      </w:r>
      <w:r>
        <w:rPr>
          <w:spacing w:val="-11"/>
        </w:rPr>
        <w:t> </w:t>
      </w:r>
      <w:r>
        <w:rPr/>
        <w:t>the</w:t>
      </w:r>
      <w:r>
        <w:rPr>
          <w:spacing w:val="-10"/>
        </w:rPr>
        <w:t> </w:t>
      </w:r>
      <w:r>
        <w:rPr/>
        <w:t>UFC</w:t>
      </w:r>
      <w:r>
        <w:rPr>
          <w:spacing w:val="-11"/>
        </w:rPr>
        <w:t> </w:t>
      </w:r>
      <w:r>
        <w:rPr/>
        <w:t>parameters</w:t>
      </w:r>
      <w:r>
        <w:rPr>
          <w:spacing w:val="-10"/>
        </w:rPr>
        <w:t> </w:t>
      </w:r>
      <w:r>
        <w:rPr/>
        <w:t>as</w:t>
      </w:r>
      <w:r>
        <w:rPr>
          <w:spacing w:val="-12"/>
        </w:rPr>
        <w:t> </w:t>
      </w:r>
      <w:r>
        <w:rPr/>
        <w:t>much</w:t>
      </w:r>
      <w:r>
        <w:rPr>
          <w:spacing w:val="-10"/>
        </w:rPr>
        <w:t> </w:t>
      </w:r>
      <w:r>
        <w:rPr/>
        <w:t>as</w:t>
      </w:r>
      <w:r>
        <w:rPr>
          <w:spacing w:val="-11"/>
        </w:rPr>
        <w:t> </w:t>
      </w:r>
      <w:r>
        <w:rPr/>
        <w:t>possible.</w:t>
      </w:r>
      <w:r>
        <w:rPr>
          <w:spacing w:val="40"/>
        </w:rPr>
        <w:t> </w:t>
      </w:r>
      <w:r>
        <w:rPr/>
        <w:t>For</w:t>
      </w:r>
      <w:r>
        <w:rPr>
          <w:spacing w:val="-9"/>
        </w:rPr>
        <w:t> </w:t>
      </w:r>
      <w:r>
        <w:rPr/>
        <w:t>example,</w:t>
      </w:r>
      <w:r>
        <w:rPr>
          <w:spacing w:val="-11"/>
        </w:rPr>
        <w:t> </w:t>
      </w:r>
      <w:r>
        <w:rPr/>
        <w:t>negative</w:t>
      </w:r>
      <w:r>
        <w:rPr>
          <w:spacing w:val="-10"/>
        </w:rPr>
        <w:t> </w:t>
      </w:r>
      <w:r>
        <w:rPr/>
        <w:t>exponential</w:t>
      </w:r>
      <w:r>
        <w:rPr>
          <w:spacing w:val="-10"/>
        </w:rPr>
        <w:t> </w:t>
      </w:r>
      <w:r>
        <w:rPr/>
        <w:t>parameters</w:t>
      </w:r>
      <w:r>
        <w:rPr>
          <w:spacing w:val="-58"/>
        </w:rPr>
        <w:t> </w:t>
      </w:r>
      <w:r>
        <w:rPr/>
        <w:t>would</w:t>
      </w:r>
      <w:r>
        <w:rPr>
          <w:spacing w:val="-4"/>
        </w:rPr>
        <w:t> </w:t>
      </w:r>
      <w:r>
        <w:rPr/>
        <w:t>have</w:t>
      </w:r>
      <w:r>
        <w:rPr>
          <w:spacing w:val="-4"/>
        </w:rPr>
        <w:t> </w:t>
      </w:r>
      <w:r>
        <w:rPr/>
        <w:t>changed</w:t>
      </w:r>
      <w:r>
        <w:rPr>
          <w:spacing w:val="-3"/>
        </w:rPr>
        <w:t> </w:t>
      </w:r>
      <w:r>
        <w:rPr/>
        <w:t>how</w:t>
      </w:r>
      <w:r>
        <w:rPr>
          <w:spacing w:val="-3"/>
        </w:rPr>
        <w:t> </w:t>
      </w:r>
      <w:r>
        <w:rPr/>
        <w:t>an</w:t>
      </w:r>
      <w:r>
        <w:rPr>
          <w:spacing w:val="-3"/>
        </w:rPr>
        <w:t> </w:t>
      </w:r>
      <w:r>
        <w:rPr/>
        <w:t>independent</w:t>
      </w:r>
      <w:r>
        <w:rPr>
          <w:spacing w:val="-3"/>
        </w:rPr>
        <w:t> </w:t>
      </w:r>
      <w:r>
        <w:rPr/>
        <w:t>variable</w:t>
      </w:r>
      <w:r>
        <w:rPr>
          <w:spacing w:val="-2"/>
        </w:rPr>
        <w:t> </w:t>
      </w:r>
      <w:r>
        <w:rPr/>
        <w:t>affects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/>
        <w:t>dependent</w:t>
      </w:r>
      <w:r>
        <w:rPr>
          <w:spacing w:val="-3"/>
        </w:rPr>
        <w:t> </w:t>
      </w:r>
      <w:r>
        <w:rPr/>
        <w:t>variable</w:t>
      </w:r>
      <w:r>
        <w:rPr>
          <w:spacing w:val="-2"/>
        </w:rPr>
        <w:t> </w:t>
      </w:r>
      <w:r>
        <w:rPr/>
        <w:t>such</w:t>
      </w:r>
      <w:r>
        <w:rPr>
          <w:spacing w:val="-4"/>
        </w:rPr>
        <w:t> </w:t>
      </w:r>
      <w:r>
        <w:rPr/>
        <w:t>as</w:t>
      </w:r>
      <w:r>
        <w:rPr>
          <w:spacing w:val="-2"/>
        </w:rPr>
        <w:t> </w:t>
      </w:r>
      <w:r>
        <w:rPr/>
        <w:t>a</w:t>
      </w:r>
      <w:r>
        <w:rPr>
          <w:spacing w:val="-58"/>
        </w:rPr>
        <w:t> </w:t>
      </w:r>
      <w:r>
        <w:rPr/>
        <w:t>negative parameter</w:t>
      </w:r>
      <w:r>
        <w:rPr>
          <w:spacing w:val="1"/>
        </w:rPr>
        <w:t> </w:t>
      </w:r>
      <w:r>
        <w:rPr/>
        <w:t>for the weight of the projectile.</w:t>
      </w:r>
      <w:r>
        <w:rPr>
          <w:spacing w:val="1"/>
        </w:rPr>
        <w:t> </w:t>
      </w:r>
      <w:r>
        <w:rPr/>
        <w:t>With a positive parameter, the</w:t>
      </w:r>
      <w:r>
        <w:rPr>
          <w:spacing w:val="1"/>
        </w:rPr>
        <w:t> </w:t>
      </w:r>
      <w:r>
        <w:rPr/>
        <w:t>projectile</w:t>
      </w:r>
      <w:r>
        <w:rPr>
          <w:spacing w:val="-7"/>
        </w:rPr>
        <w:t> </w:t>
      </w:r>
      <w:r>
        <w:rPr/>
        <w:t>weight</w:t>
      </w:r>
      <w:r>
        <w:rPr>
          <w:spacing w:val="-6"/>
        </w:rPr>
        <w:t> </w:t>
      </w:r>
      <w:r>
        <w:rPr/>
        <w:t>variable</w:t>
      </w:r>
      <w:r>
        <w:rPr>
          <w:spacing w:val="-7"/>
        </w:rPr>
        <w:t> </w:t>
      </w:r>
      <w:r>
        <w:rPr/>
        <w:t>stays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numerator</w:t>
      </w:r>
      <w:r>
        <w:rPr>
          <w:spacing w:val="-7"/>
        </w:rPr>
        <w:t> </w:t>
      </w:r>
      <w:r>
        <w:rPr/>
        <w:t>and</w:t>
      </w:r>
      <w:r>
        <w:rPr>
          <w:spacing w:val="-6"/>
        </w:rPr>
        <w:t> </w:t>
      </w:r>
      <w:r>
        <w:rPr/>
        <w:t>logically</w:t>
      </w:r>
      <w:r>
        <w:rPr>
          <w:spacing w:val="-7"/>
        </w:rPr>
        <w:t> </w:t>
      </w:r>
      <w:r>
        <w:rPr/>
        <w:t>fits</w:t>
      </w:r>
      <w:r>
        <w:rPr>
          <w:spacing w:val="-6"/>
        </w:rPr>
        <w:t> </w:t>
      </w:r>
      <w:r>
        <w:rPr/>
        <w:t>with</w:t>
      </w:r>
      <w:r>
        <w:rPr>
          <w:spacing w:val="-6"/>
        </w:rPr>
        <w:t> </w:t>
      </w:r>
      <w:r>
        <w:rPr/>
        <w:t>a</w:t>
      </w:r>
      <w:r>
        <w:rPr>
          <w:spacing w:val="-7"/>
        </w:rPr>
        <w:t> </w:t>
      </w:r>
      <w:r>
        <w:rPr/>
        <w:t>heavier</w:t>
      </w:r>
      <w:r>
        <w:rPr>
          <w:spacing w:val="-6"/>
        </w:rPr>
        <w:t> </w:t>
      </w:r>
      <w:r>
        <w:rPr/>
        <w:t>projectile</w:t>
      </w:r>
      <w:r>
        <w:rPr>
          <w:spacing w:val="-58"/>
        </w:rPr>
        <w:t> </w:t>
      </w:r>
      <w:r>
        <w:rPr/>
        <w:t>requiring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larger</w:t>
      </w:r>
      <w:r>
        <w:rPr>
          <w:spacing w:val="-2"/>
        </w:rPr>
        <w:t> </w:t>
      </w:r>
      <w:r>
        <w:rPr/>
        <w:t>thickness,</w:t>
      </w:r>
      <w:r>
        <w:rPr>
          <w:spacing w:val="-1"/>
        </w:rPr>
        <w:t> </w:t>
      </w:r>
      <w:r>
        <w:rPr/>
        <w:t>whereas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</w:t>
      </w:r>
      <w:r>
        <w:rPr/>
        <w:t>negative</w:t>
      </w:r>
      <w:r>
        <w:rPr>
          <w:spacing w:val="-1"/>
        </w:rPr>
        <w:t> </w:t>
      </w:r>
      <w:r>
        <w:rPr/>
        <w:t>parameter</w:t>
      </w:r>
      <w:r>
        <w:rPr>
          <w:spacing w:val="-1"/>
        </w:rPr>
        <w:t> </w:t>
      </w:r>
      <w:r>
        <w:rPr/>
        <w:t>would</w:t>
      </w:r>
      <w:r>
        <w:rPr>
          <w:spacing w:val="-1"/>
        </w:rPr>
        <w:t> </w:t>
      </w:r>
      <w:r>
        <w:rPr/>
        <w:t>flip</w:t>
      </w:r>
      <w:r>
        <w:rPr>
          <w:spacing w:val="-1"/>
        </w:rPr>
        <w:t> </w:t>
      </w:r>
      <w:r>
        <w:rPr/>
        <w:t>that</w:t>
      </w:r>
      <w:r>
        <w:rPr>
          <w:spacing w:val="-2"/>
        </w:rPr>
        <w:t> </w:t>
      </w:r>
      <w:r>
        <w:rPr/>
        <w:t>relationship.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 w:before="1"/>
        <w:ind w:left="439" w:right="417" w:firstLine="720"/>
        <w:jc w:val="both"/>
      </w:pPr>
      <w:r>
        <w:rPr/>
        <w:t>Through the recalibration of the UFC equation, a new equation with the same</w:t>
      </w:r>
      <w:r>
        <w:rPr>
          <w:spacing w:val="1"/>
        </w:rPr>
        <w:t> </w:t>
      </w:r>
      <w:r>
        <w:rPr/>
        <w:t>variables was developed from both SPF-S and SYP test data as shown in </w:t>
      </w:r>
      <w:hyperlink w:history="true" w:anchor="_bookmark65">
        <w:r>
          <w:rPr/>
          <w:t>Figure 5-10</w:t>
        </w:r>
      </w:hyperlink>
      <w:r>
        <w:rPr/>
        <w:t>. For</w:t>
      </w:r>
      <w:r>
        <w:rPr>
          <w:spacing w:val="-57"/>
        </w:rPr>
        <w:t> </w:t>
      </w:r>
      <w:r>
        <w:rPr/>
        <w:t>this empirical model, the parameters where calibrated using the actual density of each</w:t>
      </w:r>
      <w:r>
        <w:rPr>
          <w:spacing w:val="1"/>
        </w:rPr>
        <w:t> </w:t>
      </w:r>
      <w:r>
        <w:rPr/>
        <w:t>tested specimen.</w:t>
      </w:r>
      <w:r>
        <w:rPr>
          <w:spacing w:val="1"/>
        </w:rPr>
        <w:t> </w:t>
      </w:r>
      <w:r>
        <w:rPr/>
        <w:t>For the hardness values in the input data, a reference value was used for</w:t>
      </w:r>
      <w:r>
        <w:rPr>
          <w:spacing w:val="-57"/>
        </w:rPr>
        <w:t> </w:t>
      </w:r>
      <w:r>
        <w:rPr/>
        <w:t>each</w:t>
      </w:r>
      <w:r>
        <w:rPr>
          <w:spacing w:val="36"/>
        </w:rPr>
        <w:t> </w:t>
      </w:r>
      <w:r>
        <w:rPr/>
        <w:t>of</w:t>
      </w:r>
      <w:r>
        <w:rPr>
          <w:spacing w:val="34"/>
        </w:rPr>
        <w:t> </w:t>
      </w:r>
      <w:r>
        <w:rPr/>
        <w:t>the</w:t>
      </w:r>
      <w:r>
        <w:rPr>
          <w:spacing w:val="35"/>
        </w:rPr>
        <w:t> </w:t>
      </w:r>
      <w:r>
        <w:rPr/>
        <w:t>two</w:t>
      </w:r>
      <w:r>
        <w:rPr>
          <w:spacing w:val="36"/>
        </w:rPr>
        <w:t> </w:t>
      </w:r>
      <w:r>
        <w:rPr/>
        <w:t>species</w:t>
      </w:r>
      <w:r>
        <w:rPr>
          <w:spacing w:val="35"/>
        </w:rPr>
        <w:t> </w:t>
      </w:r>
      <w:r>
        <w:rPr/>
        <w:t>based</w:t>
      </w:r>
      <w:r>
        <w:rPr>
          <w:spacing w:val="35"/>
        </w:rPr>
        <w:t> </w:t>
      </w:r>
      <w:r>
        <w:rPr/>
        <w:t>on</w:t>
      </w:r>
      <w:r>
        <w:rPr>
          <w:spacing w:val="34"/>
        </w:rPr>
        <w:t> </w:t>
      </w:r>
      <w:r>
        <w:rPr/>
        <w:t>recognized</w:t>
      </w:r>
      <w:r>
        <w:rPr>
          <w:spacing w:val="35"/>
        </w:rPr>
        <w:t> </w:t>
      </w:r>
      <w:r>
        <w:rPr/>
        <w:t>hardness</w:t>
      </w:r>
      <w:r>
        <w:rPr>
          <w:spacing w:val="35"/>
        </w:rPr>
        <w:t> </w:t>
      </w:r>
      <w:r>
        <w:rPr/>
        <w:t>values</w:t>
      </w:r>
      <w:r>
        <w:rPr>
          <w:spacing w:val="36"/>
        </w:rPr>
        <w:t> </w:t>
      </w:r>
      <w:r>
        <w:rPr/>
        <w:t>from</w:t>
      </w:r>
      <w:r>
        <w:rPr>
          <w:spacing w:val="34"/>
        </w:rPr>
        <w:t> </w:t>
      </w:r>
      <w:r>
        <w:rPr/>
        <w:t>the</w:t>
      </w:r>
      <w:r>
        <w:rPr>
          <w:spacing w:val="36"/>
        </w:rPr>
        <w:t> </w:t>
      </w:r>
      <w:r>
        <w:rPr/>
        <w:t>Forest</w:t>
      </w:r>
      <w:r>
        <w:rPr>
          <w:spacing w:val="36"/>
        </w:rPr>
        <w:t> </w:t>
      </w:r>
      <w:r>
        <w:rPr/>
        <w:t>Product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spacing w:line="480" w:lineRule="auto" w:before="78"/>
        <w:ind w:left="440" w:right="418" w:firstLine="0"/>
        <w:jc w:val="left"/>
        <w:rPr>
          <w:sz w:val="24"/>
        </w:rPr>
      </w:pPr>
      <w:r>
        <w:rPr>
          <w:sz w:val="24"/>
        </w:rPr>
        <w:t>Laboratory’s</w:t>
      </w:r>
      <w:r>
        <w:rPr>
          <w:spacing w:val="-8"/>
          <w:sz w:val="24"/>
        </w:rPr>
        <w:t> </w:t>
      </w:r>
      <w:r>
        <w:rPr>
          <w:i/>
          <w:sz w:val="24"/>
        </w:rPr>
        <w:t>Wood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handbook: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Wood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as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an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engineering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material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[96].</w:t>
      </w:r>
      <w:r>
        <w:rPr>
          <w:i/>
          <w:spacing w:val="43"/>
          <w:sz w:val="24"/>
        </w:rPr>
        <w:t> </w:t>
      </w:r>
      <w:r>
        <w:rPr>
          <w:sz w:val="24"/>
        </w:rPr>
        <w:t>Hardness</w:t>
      </w:r>
      <w:r>
        <w:rPr>
          <w:spacing w:val="-7"/>
          <w:sz w:val="24"/>
        </w:rPr>
        <w:t> </w:t>
      </w:r>
      <w:r>
        <w:rPr>
          <w:sz w:val="24"/>
        </w:rPr>
        <w:t>values</w:t>
      </w:r>
      <w:r>
        <w:rPr>
          <w:spacing w:val="-8"/>
          <w:sz w:val="24"/>
        </w:rPr>
        <w:t> </w:t>
      </w:r>
      <w:r>
        <w:rPr>
          <w:sz w:val="24"/>
        </w:rPr>
        <w:t>of</w:t>
      </w:r>
      <w:r>
        <w:rPr>
          <w:spacing w:val="-57"/>
          <w:sz w:val="24"/>
        </w:rPr>
        <w:t> </w:t>
      </w:r>
      <w:r>
        <w:rPr>
          <w:sz w:val="24"/>
        </w:rPr>
        <w:t>475-lb</w:t>
      </w:r>
      <w:r>
        <w:rPr>
          <w:spacing w:val="-1"/>
          <w:sz w:val="24"/>
        </w:rPr>
        <w:t> </w:t>
      </w:r>
      <w:r>
        <w:rPr>
          <w:sz w:val="24"/>
        </w:rPr>
        <w:t>and 750-lb were</w:t>
      </w:r>
      <w:r>
        <w:rPr>
          <w:spacing w:val="-1"/>
          <w:sz w:val="24"/>
        </w:rPr>
        <w:t> </w:t>
      </w:r>
      <w:r>
        <w:rPr>
          <w:sz w:val="24"/>
        </w:rPr>
        <w:t>used for SPF-S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SYP,</w:t>
      </w:r>
      <w:r>
        <w:rPr>
          <w:spacing w:val="1"/>
          <w:sz w:val="24"/>
        </w:rPr>
        <w:t> </w:t>
      </w:r>
      <w:r>
        <w:rPr>
          <w:sz w:val="24"/>
        </w:rPr>
        <w:t>respectively.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2240" w:h="15840"/>
          <w:pgMar w:header="0" w:footer="1064" w:top="1360" w:bottom="1260" w:left="1720" w:right="1020"/>
        </w:sectPr>
      </w:pPr>
    </w:p>
    <w:p>
      <w:pPr>
        <w:spacing w:before="267"/>
        <w:ind w:left="3127" w:right="0" w:firstLine="0"/>
        <w:jc w:val="left"/>
        <w:rPr>
          <w:sz w:val="25"/>
        </w:rPr>
      </w:pPr>
      <w:r>
        <w:rPr>
          <w:sz w:val="25"/>
        </w:rPr>
        <w:t>Striking</w:t>
      </w:r>
      <w:r>
        <w:rPr>
          <w:spacing w:val="-10"/>
          <w:sz w:val="25"/>
        </w:rPr>
        <w:t> </w:t>
      </w:r>
      <w:r>
        <w:rPr>
          <w:sz w:val="25"/>
        </w:rPr>
        <w:t>Velocity</w:t>
      </w:r>
      <w:r>
        <w:rPr>
          <w:spacing w:val="-5"/>
          <w:sz w:val="25"/>
        </w:rPr>
        <w:t> </w:t>
      </w:r>
      <w:r>
        <w:rPr>
          <w:sz w:val="25"/>
        </w:rPr>
        <w:t>(V</w:t>
      </w:r>
      <w:r>
        <w:rPr>
          <w:position w:val="-3"/>
          <w:sz w:val="25"/>
        </w:rPr>
        <w:t>s</w:t>
      </w:r>
      <w:r>
        <w:rPr>
          <w:sz w:val="25"/>
        </w:rPr>
        <w:t>)</w:t>
      </w:r>
      <w:r>
        <w:rPr>
          <w:spacing w:val="-6"/>
          <w:sz w:val="25"/>
        </w:rPr>
        <w:t> </w:t>
      </w:r>
      <w:r>
        <w:rPr>
          <w:sz w:val="25"/>
        </w:rPr>
        <w:t>(m/s)</w:t>
      </w:r>
    </w:p>
    <w:p>
      <w:pPr>
        <w:spacing w:line="170" w:lineRule="exact" w:before="120"/>
        <w:ind w:left="1386" w:right="0" w:firstLine="0"/>
        <w:jc w:val="left"/>
        <w:rPr>
          <w:sz w:val="17"/>
        </w:rPr>
      </w:pPr>
      <w:r>
        <w:rPr/>
        <w:pict>
          <v:shape style="position:absolute;margin-left:106.011635pt;margin-top:6.195793pt;width:15.95pt;height:179.1pt;mso-position-horizontal-relative:page;mso-position-vertical-relative:paragraph;z-index:15797248" type="#_x0000_t202" filled="false" stroked="false">
            <v:textbox inset="0,0,0,0" style="layout-flow:vertical;mso-layout-flow-alt:bottom-to-top">
              <w:txbxContent>
                <w:p>
                  <w:pPr>
                    <w:spacing w:before="10"/>
                    <w:ind w:left="20" w:right="0" w:firstLine="0"/>
                    <w:jc w:val="left"/>
                    <w:rPr>
                      <w:sz w:val="25"/>
                    </w:rPr>
                  </w:pPr>
                  <w:r>
                    <w:rPr>
                      <w:sz w:val="25"/>
                    </w:rPr>
                    <w:t>Depth</w:t>
                  </w:r>
                  <w:r>
                    <w:rPr>
                      <w:spacing w:val="4"/>
                      <w:sz w:val="25"/>
                    </w:rPr>
                    <w:t> </w:t>
                  </w:r>
                  <w:r>
                    <w:rPr>
                      <w:sz w:val="25"/>
                    </w:rPr>
                    <w:t>of</w:t>
                  </w:r>
                  <w:r>
                    <w:rPr>
                      <w:spacing w:val="3"/>
                      <w:sz w:val="25"/>
                    </w:rPr>
                    <w:t> </w:t>
                  </w:r>
                  <w:r>
                    <w:rPr>
                      <w:sz w:val="25"/>
                    </w:rPr>
                    <w:t>Penetration</w:t>
                  </w:r>
                  <w:r>
                    <w:rPr>
                      <w:spacing w:val="4"/>
                      <w:sz w:val="25"/>
                    </w:rPr>
                    <w:t> </w:t>
                  </w:r>
                  <w:r>
                    <w:rPr>
                      <w:sz w:val="25"/>
                    </w:rPr>
                    <w:t>(Tw)</w:t>
                  </w:r>
                  <w:r>
                    <w:rPr>
                      <w:spacing w:val="3"/>
                      <w:sz w:val="25"/>
                    </w:rPr>
                    <w:t> </w:t>
                  </w:r>
                  <w:r>
                    <w:rPr>
                      <w:sz w:val="25"/>
                    </w:rPr>
                    <w:t>(inches)</w:t>
                  </w:r>
                </w:p>
              </w:txbxContent>
            </v:textbox>
            <w10:wrap type="none"/>
          </v:shape>
        </w:pict>
      </w:r>
      <w:r>
        <w:rPr>
          <w:sz w:val="17"/>
        </w:rPr>
        <w:t>180  </w:t>
      </w:r>
      <w:r>
        <w:rPr>
          <w:spacing w:val="10"/>
          <w:sz w:val="17"/>
        </w:rPr>
        <w:t> </w:t>
      </w:r>
      <w:r>
        <w:rPr>
          <w:sz w:val="17"/>
        </w:rPr>
        <w:t>240  </w:t>
      </w:r>
      <w:r>
        <w:rPr>
          <w:spacing w:val="11"/>
          <w:sz w:val="17"/>
        </w:rPr>
        <w:t> </w:t>
      </w:r>
      <w:r>
        <w:rPr>
          <w:sz w:val="17"/>
        </w:rPr>
        <w:t>300  </w:t>
      </w:r>
      <w:r>
        <w:rPr>
          <w:spacing w:val="11"/>
          <w:sz w:val="17"/>
        </w:rPr>
        <w:t> </w:t>
      </w:r>
      <w:r>
        <w:rPr>
          <w:sz w:val="17"/>
        </w:rPr>
        <w:t>360  </w:t>
      </w:r>
      <w:r>
        <w:rPr>
          <w:spacing w:val="10"/>
          <w:sz w:val="17"/>
        </w:rPr>
        <w:t> </w:t>
      </w:r>
      <w:r>
        <w:rPr>
          <w:sz w:val="17"/>
        </w:rPr>
        <w:t>420  </w:t>
      </w:r>
      <w:r>
        <w:rPr>
          <w:spacing w:val="11"/>
          <w:sz w:val="17"/>
        </w:rPr>
        <w:t> </w:t>
      </w:r>
      <w:r>
        <w:rPr>
          <w:sz w:val="17"/>
        </w:rPr>
        <w:t>480  </w:t>
      </w:r>
      <w:r>
        <w:rPr>
          <w:spacing w:val="6"/>
          <w:sz w:val="17"/>
        </w:rPr>
        <w:t> </w:t>
      </w:r>
      <w:r>
        <w:rPr>
          <w:sz w:val="17"/>
        </w:rPr>
        <w:t>540  </w:t>
      </w:r>
      <w:r>
        <w:rPr>
          <w:spacing w:val="11"/>
          <w:sz w:val="17"/>
        </w:rPr>
        <w:t> </w:t>
      </w:r>
      <w:r>
        <w:rPr>
          <w:sz w:val="17"/>
        </w:rPr>
        <w:t>600  </w:t>
      </w:r>
      <w:r>
        <w:rPr>
          <w:spacing w:val="11"/>
          <w:sz w:val="17"/>
        </w:rPr>
        <w:t> </w:t>
      </w:r>
      <w:r>
        <w:rPr>
          <w:sz w:val="17"/>
        </w:rPr>
        <w:t>660  </w:t>
      </w:r>
      <w:r>
        <w:rPr>
          <w:spacing w:val="10"/>
          <w:sz w:val="17"/>
        </w:rPr>
        <w:t> </w:t>
      </w:r>
      <w:r>
        <w:rPr>
          <w:sz w:val="17"/>
        </w:rPr>
        <w:t>720  </w:t>
      </w:r>
      <w:r>
        <w:rPr>
          <w:spacing w:val="11"/>
          <w:sz w:val="17"/>
        </w:rPr>
        <w:t> </w:t>
      </w:r>
      <w:r>
        <w:rPr>
          <w:sz w:val="17"/>
        </w:rPr>
        <w:t>780  </w:t>
      </w:r>
      <w:r>
        <w:rPr>
          <w:spacing w:val="11"/>
          <w:sz w:val="17"/>
        </w:rPr>
        <w:t> </w:t>
      </w:r>
      <w:r>
        <w:rPr>
          <w:sz w:val="17"/>
        </w:rPr>
        <w:t>840  </w:t>
      </w:r>
      <w:r>
        <w:rPr>
          <w:spacing w:val="6"/>
          <w:sz w:val="17"/>
        </w:rPr>
        <w:t> </w:t>
      </w:r>
      <w:r>
        <w:rPr>
          <w:sz w:val="17"/>
        </w:rPr>
        <w:t>900  </w:t>
      </w:r>
      <w:r>
        <w:rPr>
          <w:spacing w:val="11"/>
          <w:sz w:val="17"/>
        </w:rPr>
        <w:t> </w:t>
      </w:r>
      <w:r>
        <w:rPr>
          <w:sz w:val="17"/>
        </w:rPr>
        <w:t>960</w:t>
      </w:r>
      <w:r>
        <w:rPr>
          <w:spacing w:val="26"/>
          <w:sz w:val="17"/>
        </w:rPr>
        <w:t> </w:t>
      </w:r>
      <w:r>
        <w:rPr>
          <w:sz w:val="17"/>
        </w:rPr>
        <w:t>1020</w:t>
      </w:r>
      <w:r>
        <w:rPr>
          <w:spacing w:val="5"/>
          <w:sz w:val="17"/>
        </w:rPr>
        <w:t> </w:t>
      </w:r>
      <w:r>
        <w:rPr>
          <w:sz w:val="17"/>
        </w:rPr>
        <w:t>1080</w:t>
      </w:r>
      <w:r>
        <w:rPr>
          <w:spacing w:val="6"/>
          <w:sz w:val="17"/>
        </w:rPr>
        <w:t> </w:t>
      </w:r>
      <w:r>
        <w:rPr>
          <w:sz w:val="17"/>
        </w:rPr>
        <w:t>1140</w:t>
      </w:r>
      <w:r>
        <w:rPr>
          <w:spacing w:val="6"/>
          <w:sz w:val="17"/>
        </w:rPr>
        <w:t> </w:t>
      </w:r>
      <w:r>
        <w:rPr>
          <w:sz w:val="17"/>
        </w:rPr>
        <w:t>1200</w:t>
      </w:r>
    </w:p>
    <w:p>
      <w:pPr>
        <w:spacing w:line="170" w:lineRule="exact" w:before="0"/>
        <w:ind w:left="883" w:right="0" w:firstLine="0"/>
        <w:jc w:val="left"/>
        <w:rPr>
          <w:sz w:val="17"/>
        </w:rPr>
      </w:pPr>
      <w:r>
        <w:rPr/>
        <w:pict>
          <v:group style="position:absolute;margin-left:141.396133pt;margin-top:3.737539pt;width:359.35pt;height:151.3pt;mso-position-horizontal-relative:page;mso-position-vertical-relative:paragraph;z-index:15796736" coordorigin="2828,75" coordsize="7187,3026">
            <v:rect style="position:absolute;left:2835;top:82;width:7171;height:3010" filled="false" stroked="true" strokeweight=".785801pt" strokecolor="#000000">
              <v:stroke dashstyle="solid"/>
            </v:rect>
            <v:line style="position:absolute" from="3629,3092" to="3629,3006" stroked="true" strokeweight=".589359pt" strokecolor="#000000">
              <v:stroke dashstyle="solid"/>
            </v:line>
            <v:line style="position:absolute" from="4030,3092" to="4030,3006" stroked="true" strokeweight=".589359pt" strokecolor="#000000">
              <v:stroke dashstyle="solid"/>
            </v:line>
            <v:line style="position:absolute" from="4427,3092" to="4427,3006" stroked="true" strokeweight=".589359pt" strokecolor="#000000">
              <v:stroke dashstyle="solid"/>
            </v:line>
            <v:line style="position:absolute" from="4828,3092" to="4828,3006" stroked="true" strokeweight=".589359pt" strokecolor="#000000">
              <v:stroke dashstyle="solid"/>
            </v:line>
            <v:line style="position:absolute" from="5225,3092" to="5225,3006" stroked="true" strokeweight=".589359pt" strokecolor="#000000">
              <v:stroke dashstyle="solid"/>
            </v:line>
            <v:line style="position:absolute" from="5621,3092" to="5621,3006" stroked="true" strokeweight=".589359pt" strokecolor="#000000">
              <v:stroke dashstyle="solid"/>
            </v:line>
            <v:line style="position:absolute" from="6022,3092" to="6022,3006" stroked="true" strokeweight=".589359pt" strokecolor="#000000">
              <v:stroke dashstyle="solid"/>
            </v:line>
            <v:line style="position:absolute" from="6419,3092" to="6419,3006" stroked="true" strokeweight=".589359pt" strokecolor="#000000">
              <v:stroke dashstyle="solid"/>
            </v:line>
            <v:line style="position:absolute" from="6820,3092" to="6820,3006" stroked="true" strokeweight=".589359pt" strokecolor="#000000">
              <v:stroke dashstyle="solid"/>
            </v:line>
            <v:line style="position:absolute" from="7217,3092" to="7217,3006" stroked="true" strokeweight=".589359pt" strokecolor="#000000">
              <v:stroke dashstyle="solid"/>
            </v:line>
            <v:line style="position:absolute" from="7617,3092" to="7617,3006" stroked="true" strokeweight=".589359pt" strokecolor="#000000">
              <v:stroke dashstyle="solid"/>
            </v:line>
            <v:line style="position:absolute" from="8014,3092" to="8014,3006" stroked="true" strokeweight=".589359pt" strokecolor="#000000">
              <v:stroke dashstyle="solid"/>
            </v:line>
            <v:line style="position:absolute" from="8411,3092" to="8411,3006" stroked="true" strokeweight=".589359pt" strokecolor="#000000">
              <v:stroke dashstyle="solid"/>
            </v:line>
            <v:line style="position:absolute" from="8812,3092" to="8812,3006" stroked="true" strokeweight=".589359pt" strokecolor="#000000">
              <v:stroke dashstyle="solid"/>
            </v:line>
            <v:line style="position:absolute" from="9209,3092" to="9209,3006" stroked="true" strokeweight=".589359pt" strokecolor="#000000">
              <v:stroke dashstyle="solid"/>
            </v:line>
            <v:line style="position:absolute" from="9609,3092" to="9609,3006" stroked="true" strokeweight=".589359pt" strokecolor="#000000">
              <v:stroke dashstyle="solid"/>
            </v:line>
            <v:line style="position:absolute" from="3606,83" to="3606,169" stroked="true" strokeweight=".589359pt" strokecolor="#000000">
              <v:stroke dashstyle="solid"/>
            </v:line>
            <v:line style="position:absolute" from="3999,83" to="3999,169" stroked="true" strokeweight=".589359pt" strokecolor="#000000">
              <v:stroke dashstyle="solid"/>
            </v:line>
            <v:line style="position:absolute" from="4392,83" to="4392,169" stroked="true" strokeweight=".589359pt" strokecolor="#000000">
              <v:stroke dashstyle="solid"/>
            </v:line>
            <v:line style="position:absolute" from="4781,83" to="4781,169" stroked="true" strokeweight=".589359pt" strokecolor="#000000">
              <v:stroke dashstyle="solid"/>
            </v:line>
            <v:line style="position:absolute" from="5174,83" to="5174,169" stroked="true" strokeweight=".589359pt" strokecolor="#000000">
              <v:stroke dashstyle="solid"/>
            </v:line>
            <v:line style="position:absolute" from="5566,83" to="5566,169" stroked="true" strokeweight=".589359pt" strokecolor="#000000">
              <v:stroke dashstyle="solid"/>
            </v:line>
            <v:line style="position:absolute" from="5959,83" to="5959,169" stroked="true" strokeweight=".589359pt" strokecolor="#000000">
              <v:stroke dashstyle="solid"/>
            </v:line>
            <v:line style="position:absolute" from="6352,83" to="6352,169" stroked="true" strokeweight=".589359pt" strokecolor="#000000">
              <v:stroke dashstyle="solid"/>
            </v:line>
            <v:line style="position:absolute" from="6745,83" to="6745,169" stroked="true" strokeweight=".589359pt" strokecolor="#000000">
              <v:stroke dashstyle="solid"/>
            </v:line>
            <v:line style="position:absolute" from="7134,83" to="7134,169" stroked="true" strokeweight=".589359pt" strokecolor="#000000">
              <v:stroke dashstyle="solid"/>
            </v:line>
            <v:line style="position:absolute" from="7527,83" to="7527,169" stroked="true" strokeweight=".589359pt" strokecolor="#000000">
              <v:stroke dashstyle="solid"/>
            </v:line>
            <v:line style="position:absolute" from="8706,83" to="8706,169" stroked="true" strokeweight=".589359pt" strokecolor="#000000">
              <v:stroke dashstyle="solid"/>
            </v:line>
            <v:line style="position:absolute" from="9099,83" to="9099,169" stroked="true" strokeweight=".589359pt" strokecolor="#000000">
              <v:stroke dashstyle="solid"/>
            </v:line>
            <v:line style="position:absolute" from="9881,83" to="9881,169" stroked="true" strokeweight=".589359pt" strokecolor="#000000">
              <v:stroke dashstyle="solid"/>
            </v:line>
            <v:line style="position:absolute" from="2836,2660" to="2977,2660" stroked="true" strokeweight=".589349pt" strokecolor="#000000">
              <v:stroke dashstyle="solid"/>
            </v:line>
            <v:line style="position:absolute" from="2836,2448" to="2977,2448" stroked="true" strokeweight=".589349pt" strokecolor="#000000">
              <v:stroke dashstyle="solid"/>
            </v:line>
            <v:line style="position:absolute" from="2836,2232" to="2977,2232" stroked="true" strokeweight=".589349pt" strokecolor="#000000">
              <v:stroke dashstyle="solid"/>
            </v:line>
            <v:line style="position:absolute" from="2836,2016" to="2977,2016" stroked="true" strokeweight=".589349pt" strokecolor="#000000">
              <v:stroke dashstyle="solid"/>
            </v:line>
            <v:line style="position:absolute" from="2836,1803" to="2977,1803" stroked="true" strokeweight=".589349pt" strokecolor="#000000">
              <v:stroke dashstyle="solid"/>
            </v:line>
            <v:line style="position:absolute" from="2836,1587" to="2977,1587" stroked="true" strokeweight=".589349pt" strokecolor="#000000">
              <v:stroke dashstyle="solid"/>
            </v:line>
            <v:line style="position:absolute" from="2836,1371" to="2977,1371" stroked="true" strokeweight=".589349pt" strokecolor="#000000">
              <v:stroke dashstyle="solid"/>
            </v:line>
            <v:line style="position:absolute" from="2836,1155" to="2977,1155" stroked="true" strokeweight=".589349pt" strokecolor="#000000">
              <v:stroke dashstyle="solid"/>
            </v:line>
            <v:line style="position:absolute" from="2836,943" to="2977,943" stroked="true" strokeweight=".589349pt" strokecolor="#000000">
              <v:stroke dashstyle="solid"/>
            </v:line>
            <v:line style="position:absolute" from="2836,727" to="2977,727" stroked="true" strokeweight=".589349pt" strokecolor="#000000">
              <v:stroke dashstyle="solid"/>
            </v:line>
            <v:line style="position:absolute" from="2836,511" to="2977,511" stroked="true" strokeweight=".589349pt" strokecolor="#000000">
              <v:stroke dashstyle="solid"/>
            </v:line>
            <v:line style="position:absolute" from="2836,295" to="2977,295" stroked="true" strokeweight=".589349pt" strokecolor="#000000">
              <v:stroke dashstyle="solid"/>
            </v:line>
            <v:line style="position:absolute" from="10006,3092" to="9865,3092" stroked="true" strokeweight=".589349pt" strokecolor="#000000">
              <v:stroke dashstyle="solid"/>
            </v:line>
            <v:line style="position:absolute" from="10006,2880" to="9865,2880" stroked="true" strokeweight=".589349pt" strokecolor="#000000">
              <v:stroke dashstyle="solid"/>
            </v:line>
            <v:line style="position:absolute" from="10006,2668" to="9865,2668" stroked="true" strokeweight=".589349pt" strokecolor="#000000">
              <v:stroke dashstyle="solid"/>
            </v:line>
            <v:line style="position:absolute" from="10006,2456" to="9865,2456" stroked="true" strokeweight=".589349pt" strokecolor="#000000">
              <v:stroke dashstyle="solid"/>
            </v:line>
            <v:line style="position:absolute" from="10006,2244" to="9865,2244" stroked="true" strokeweight=".589349pt" strokecolor="#000000">
              <v:stroke dashstyle="solid"/>
            </v:line>
            <v:line style="position:absolute" from="10006,2035" to="9865,2035" stroked="true" strokeweight=".589349pt" strokecolor="#000000">
              <v:stroke dashstyle="solid"/>
            </v:line>
            <v:line style="position:absolute" from="10006,1823" to="9865,1823" stroked="true" strokeweight=".589349pt" strokecolor="#000000">
              <v:stroke dashstyle="solid"/>
            </v:line>
            <v:line style="position:absolute" from="10006,1611" to="9865,1611" stroked="true" strokeweight=".589349pt" strokecolor="#000000">
              <v:stroke dashstyle="solid"/>
            </v:line>
            <v:line style="position:absolute" from="10006,1399" to="9865,1399" stroked="true" strokeweight=".589349pt" strokecolor="#000000">
              <v:stroke dashstyle="solid"/>
            </v:line>
            <v:line style="position:absolute" from="10006,1187" to="9865,1187" stroked="true" strokeweight=".589349pt" strokecolor="#000000">
              <v:stroke dashstyle="solid"/>
            </v:line>
            <v:line style="position:absolute" from="10006,974" to="9865,974" stroked="true" strokeweight=".589349pt" strokecolor="#000000">
              <v:stroke dashstyle="solid"/>
            </v:line>
            <v:line style="position:absolute" from="10006,762" to="9865,762" stroked="true" strokeweight=".589349pt" strokecolor="#000000">
              <v:stroke dashstyle="solid"/>
            </v:line>
            <v:line style="position:absolute" from="10006,550" to="9865,550" stroked="true" strokeweight=".589349pt" strokecolor="#000000">
              <v:stroke dashstyle="solid"/>
            </v:line>
            <v:line style="position:absolute" from="10006,342" to="9865,342" stroked="true" strokeweight=".589349pt" strokecolor="#000000">
              <v:stroke dashstyle="solid"/>
            </v:line>
            <v:line style="position:absolute" from="10006,130" to="9865,130" stroked="true" strokeweight=".589349pt" strokecolor="#000000">
              <v:stroke dashstyle="solid"/>
            </v:line>
            <v:shape style="position:absolute;left:7468;top:1072;width:75;height:48" coordorigin="7468,1073" coordsize="75,48" path="m7543,1120l7468,1120,7503,1073,7543,1120xe" filled="true" fillcolor="#0000ff" stroked="false">
              <v:path arrowok="t"/>
              <v:fill type="solid"/>
            </v:shape>
            <v:shape style="position:absolute;left:7468;top:1072;width:75;height:48" coordorigin="7468,1073" coordsize="75,48" path="m7503,1073l7543,1120,7468,1120,7503,1073xe" filled="false" stroked="true" strokeweight=".785803pt" strokecolor="#0000ff">
              <v:path arrowok="t"/>
              <v:stroke dashstyle="solid"/>
            </v:shape>
            <v:shape style="position:absolute;left:6297;top:2039;width:79;height:48" coordorigin="6297,2039" coordsize="79,48" path="m6376,2086l6297,2086,6337,2039,6376,2086xe" filled="true" fillcolor="#0000ff" stroked="false">
              <v:path arrowok="t"/>
              <v:fill type="solid"/>
            </v:shape>
            <v:shape style="position:absolute;left:6297;top:2039;width:79;height:48" coordorigin="6297,2039" coordsize="79,48" path="m6337,2039l6376,2086,6297,2086,6337,2039xe" filled="false" stroked="true" strokeweight=".785802pt" strokecolor="#0000ff">
              <v:path arrowok="t"/>
              <v:stroke dashstyle="solid"/>
            </v:shape>
            <v:shape style="position:absolute;left:4749;top:2683;width:79;height:48" coordorigin="4749,2684" coordsize="79,48" path="m4828,2731l4749,2731,4789,2684,4828,2731xe" filled="true" fillcolor="#0000ff" stroked="false">
              <v:path arrowok="t"/>
              <v:fill type="solid"/>
            </v:shape>
            <v:shape style="position:absolute;left:4749;top:2683;width:79;height:48" coordorigin="4749,2684" coordsize="79,48" path="m4789,2684l4828,2731,4749,2731,4789,2684xe" filled="false" stroked="true" strokeweight=".785802pt" strokecolor="#0000ff">
              <v:path arrowok="t"/>
              <v:stroke dashstyle="solid"/>
            </v:shape>
            <v:shape style="position:absolute;left:3653;top:2982;width:75;height:44" coordorigin="3653,2982" coordsize="75,44" path="m3728,3025l3653,3025,3692,2982,3728,3025xe" filled="true" fillcolor="#0000ff" stroked="false">
              <v:path arrowok="t"/>
              <v:fill type="solid"/>
            </v:shape>
            <v:shape style="position:absolute;left:3653;top:2982;width:75;height:44" coordorigin="3653,2982" coordsize="75,44" path="m3692,2982l3728,3025,3653,3025,3692,2982xe" filled="false" stroked="true" strokeweight=".785802pt" strokecolor="#0000ff">
              <v:path arrowok="t"/>
              <v:stroke dashstyle="solid"/>
            </v:shape>
            <v:shape style="position:absolute;left:2835;top:82;width:6876;height:3010" type="#_x0000_t75" stroked="false">
              <v:imagedata r:id="rId112" o:title=""/>
            </v:shape>
            <v:shape style="position:absolute;left:2827;top:74;width:7187;height:3026" type="#_x0000_t202" filled="false" stroked="false">
              <v:textbox inset="0,0,0,0">
                <w:txbxContent>
                  <w:p>
                    <w:pPr>
                      <w:spacing w:line="232" w:lineRule="auto" w:before="119"/>
                      <w:ind w:left="699" w:right="5634" w:firstLine="0"/>
                      <w:jc w:val="left"/>
                      <w:rPr>
                        <w:sz w:val="19"/>
                      </w:rPr>
                    </w:pPr>
                    <w:r>
                      <w:rPr>
                        <w:spacing w:val="-2"/>
                        <w:sz w:val="19"/>
                      </w:rPr>
                      <w:t>SPF-S </w:t>
                    </w:r>
                    <w:r>
                      <w:rPr>
                        <w:spacing w:val="-1"/>
                        <w:sz w:val="19"/>
                      </w:rPr>
                      <w:t>data</w:t>
                    </w:r>
                    <w:r>
                      <w:rPr>
                        <w:spacing w:val="-45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SYP</w:t>
                    </w:r>
                    <w:r>
                      <w:rPr>
                        <w:spacing w:val="-6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data</w:t>
                    </w:r>
                  </w:p>
                  <w:p>
                    <w:pPr>
                      <w:spacing w:line="232" w:lineRule="auto" w:before="4"/>
                      <w:ind w:left="699" w:right="3937" w:firstLine="0"/>
                      <w:jc w:val="left"/>
                      <w:rPr>
                        <w:sz w:val="19"/>
                      </w:rPr>
                    </w:pPr>
                    <w:r>
                      <w:rPr>
                        <w:sz w:val="19"/>
                      </w:rPr>
                      <w:t>Revised UFC Wood Eqn (SYP)</w:t>
                    </w:r>
                    <w:r>
                      <w:rPr>
                        <w:spacing w:val="1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Revised</w:t>
                    </w:r>
                    <w:r>
                      <w:rPr>
                        <w:spacing w:val="-6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UFC</w:t>
                    </w:r>
                    <w:r>
                      <w:rPr>
                        <w:spacing w:val="-6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Wood</w:t>
                    </w:r>
                    <w:r>
                      <w:rPr>
                        <w:spacing w:val="-6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Eqn</w:t>
                    </w:r>
                    <w:r>
                      <w:rPr>
                        <w:spacing w:val="-6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(SPF-S)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17"/>
        </w:rPr>
        <w:t>14</w:t>
      </w:r>
    </w:p>
    <w:p>
      <w:pPr>
        <w:spacing w:before="21"/>
        <w:ind w:left="883" w:right="0" w:firstLine="0"/>
        <w:jc w:val="left"/>
        <w:rPr>
          <w:sz w:val="17"/>
        </w:rPr>
      </w:pPr>
      <w:r>
        <w:rPr>
          <w:sz w:val="17"/>
        </w:rPr>
        <w:t>13</w:t>
      </w:r>
    </w:p>
    <w:p>
      <w:pPr>
        <w:spacing w:before="16"/>
        <w:ind w:left="883" w:right="0" w:firstLine="0"/>
        <w:jc w:val="left"/>
        <w:rPr>
          <w:sz w:val="17"/>
        </w:rPr>
      </w:pPr>
      <w:r>
        <w:rPr>
          <w:sz w:val="17"/>
        </w:rPr>
        <w:t>12</w:t>
      </w:r>
    </w:p>
    <w:p>
      <w:pPr>
        <w:spacing w:before="21"/>
        <w:ind w:left="883" w:right="0" w:firstLine="0"/>
        <w:jc w:val="left"/>
        <w:rPr>
          <w:sz w:val="17"/>
        </w:rPr>
      </w:pPr>
      <w:r>
        <w:rPr>
          <w:sz w:val="17"/>
        </w:rPr>
        <w:t>11</w:t>
      </w:r>
    </w:p>
    <w:p>
      <w:pPr>
        <w:spacing w:before="21"/>
        <w:ind w:left="883" w:right="0" w:firstLine="0"/>
        <w:jc w:val="left"/>
        <w:rPr>
          <w:sz w:val="17"/>
        </w:rPr>
      </w:pPr>
      <w:r>
        <w:rPr>
          <w:sz w:val="17"/>
        </w:rPr>
        <w:t>10</w:t>
      </w:r>
    </w:p>
    <w:p>
      <w:pPr>
        <w:spacing w:before="20"/>
        <w:ind w:left="970" w:right="0" w:firstLine="0"/>
        <w:jc w:val="left"/>
        <w:rPr>
          <w:sz w:val="17"/>
        </w:rPr>
      </w:pPr>
      <w:r>
        <w:rPr>
          <w:w w:val="101"/>
          <w:sz w:val="17"/>
        </w:rPr>
        <w:t>9</w:t>
      </w:r>
    </w:p>
    <w:p>
      <w:pPr>
        <w:spacing w:before="17"/>
        <w:ind w:left="970" w:right="0" w:firstLine="0"/>
        <w:jc w:val="left"/>
        <w:rPr>
          <w:sz w:val="17"/>
        </w:rPr>
      </w:pPr>
      <w:r>
        <w:rPr>
          <w:w w:val="101"/>
          <w:sz w:val="17"/>
        </w:rPr>
        <w:t>8</w:t>
      </w:r>
    </w:p>
    <w:p>
      <w:pPr>
        <w:spacing w:before="21"/>
        <w:ind w:left="970" w:right="0" w:firstLine="0"/>
        <w:jc w:val="left"/>
        <w:rPr>
          <w:sz w:val="17"/>
        </w:rPr>
      </w:pPr>
      <w:r>
        <w:rPr>
          <w:w w:val="101"/>
          <w:sz w:val="17"/>
        </w:rPr>
        <w:t>7</w:t>
      </w:r>
    </w:p>
    <w:p>
      <w:pPr>
        <w:spacing w:before="20"/>
        <w:ind w:left="970" w:right="0" w:firstLine="0"/>
        <w:jc w:val="left"/>
        <w:rPr>
          <w:sz w:val="17"/>
        </w:rPr>
      </w:pPr>
      <w:r>
        <w:rPr>
          <w:w w:val="101"/>
          <w:sz w:val="17"/>
        </w:rPr>
        <w:t>6</w:t>
      </w:r>
    </w:p>
    <w:p>
      <w:pPr>
        <w:spacing w:before="21"/>
        <w:ind w:left="970" w:right="0" w:firstLine="0"/>
        <w:jc w:val="left"/>
        <w:rPr>
          <w:sz w:val="17"/>
        </w:rPr>
      </w:pPr>
      <w:r>
        <w:rPr>
          <w:w w:val="101"/>
          <w:sz w:val="17"/>
        </w:rPr>
        <w:t>5</w:t>
      </w:r>
    </w:p>
    <w:p>
      <w:pPr>
        <w:spacing w:before="16"/>
        <w:ind w:left="970" w:right="0" w:firstLine="0"/>
        <w:jc w:val="left"/>
        <w:rPr>
          <w:sz w:val="17"/>
        </w:rPr>
      </w:pPr>
      <w:r>
        <w:rPr>
          <w:w w:val="101"/>
          <w:sz w:val="17"/>
        </w:rPr>
        <w:t>4</w:t>
      </w:r>
    </w:p>
    <w:p>
      <w:pPr>
        <w:spacing w:before="21"/>
        <w:ind w:left="970" w:right="0" w:firstLine="0"/>
        <w:jc w:val="left"/>
        <w:rPr>
          <w:sz w:val="17"/>
        </w:rPr>
      </w:pPr>
      <w:r>
        <w:rPr>
          <w:w w:val="101"/>
          <w:sz w:val="17"/>
        </w:rPr>
        <w:t>3</w:t>
      </w:r>
    </w:p>
    <w:p>
      <w:pPr>
        <w:spacing w:before="21"/>
        <w:ind w:left="970" w:right="0" w:firstLine="0"/>
        <w:jc w:val="left"/>
        <w:rPr>
          <w:sz w:val="17"/>
        </w:rPr>
      </w:pPr>
      <w:r>
        <w:rPr>
          <w:w w:val="101"/>
          <w:sz w:val="17"/>
        </w:rPr>
        <w:t>2</w:t>
      </w:r>
    </w:p>
    <w:p>
      <w:pPr>
        <w:spacing w:before="20"/>
        <w:ind w:left="970" w:right="0" w:firstLine="0"/>
        <w:jc w:val="left"/>
        <w:rPr>
          <w:sz w:val="17"/>
        </w:rPr>
      </w:pPr>
      <w:r>
        <w:rPr>
          <w:w w:val="101"/>
          <w:sz w:val="17"/>
        </w:rPr>
        <w:t>1</w:t>
      </w:r>
    </w:p>
    <w:p>
      <w:pPr>
        <w:spacing w:line="174" w:lineRule="exact" w:before="17"/>
        <w:ind w:left="970" w:right="0" w:firstLine="0"/>
        <w:jc w:val="left"/>
        <w:rPr>
          <w:sz w:val="17"/>
        </w:rPr>
      </w:pPr>
      <w:r>
        <w:rPr>
          <w:w w:val="101"/>
          <w:sz w:val="17"/>
        </w:rPr>
        <w:t>0</w:t>
      </w:r>
    </w:p>
    <w:p>
      <w:pPr>
        <w:pStyle w:val="BodyText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6"/>
        <w:rPr>
          <w:sz w:val="23"/>
        </w:rPr>
      </w:pPr>
    </w:p>
    <w:p>
      <w:pPr>
        <w:spacing w:before="0"/>
        <w:ind w:left="-37" w:right="0" w:firstLine="0"/>
        <w:jc w:val="left"/>
        <w:rPr>
          <w:sz w:val="17"/>
        </w:rPr>
      </w:pPr>
      <w:r>
        <w:rPr>
          <w:sz w:val="17"/>
        </w:rPr>
        <w:t>35</w:t>
      </w:r>
    </w:p>
    <w:p>
      <w:pPr>
        <w:spacing w:before="17"/>
        <w:ind w:left="-37" w:right="0" w:firstLine="0"/>
        <w:jc w:val="left"/>
        <w:rPr>
          <w:sz w:val="17"/>
        </w:rPr>
      </w:pPr>
      <w:r>
        <w:rPr/>
        <w:pict>
          <v:shape style="position:absolute;margin-left:523.27179pt;margin-top:-12.705633pt;width:15.95pt;height:163.15pt;mso-position-horizontal-relative:page;mso-position-vertical-relative:paragraph;z-index:15797760" type="#_x0000_t202" filled="false" stroked="false">
            <v:textbox inset="0,0,0,0" style="layout-flow:vertical;mso-layout-flow-alt:bottom-to-top">
              <w:txbxContent>
                <w:p>
                  <w:pPr>
                    <w:spacing w:before="10"/>
                    <w:ind w:left="20" w:right="0" w:firstLine="0"/>
                    <w:jc w:val="left"/>
                    <w:rPr>
                      <w:sz w:val="25"/>
                    </w:rPr>
                  </w:pPr>
                  <w:r>
                    <w:rPr>
                      <w:sz w:val="25"/>
                    </w:rPr>
                    <w:t>Dept</w:t>
                  </w:r>
                  <w:hyperlink w:history="true" w:anchor="_bookmark67">
                    <w:r>
                      <w:rPr>
                        <w:sz w:val="25"/>
                      </w:rPr>
                      <w:t>h</w:t>
                    </w:r>
                    <w:r>
                      <w:rPr>
                        <w:spacing w:val="2"/>
                        <w:sz w:val="25"/>
                      </w:rPr>
                      <w:t> </w:t>
                    </w:r>
                    <w:r>
                      <w:rPr>
                        <w:sz w:val="25"/>
                      </w:rPr>
                      <w:t>of</w:t>
                    </w:r>
                    <w:r>
                      <w:rPr>
                        <w:spacing w:val="2"/>
                        <w:sz w:val="25"/>
                      </w:rPr>
                      <w:t> </w:t>
                    </w:r>
                    <w:r>
                      <w:rPr>
                        <w:sz w:val="25"/>
                      </w:rPr>
                      <w:t>Penetr</w:t>
                    </w:r>
                  </w:hyperlink>
                  <w:r>
                    <w:rPr>
                      <w:sz w:val="25"/>
                    </w:rPr>
                    <w:t>ation</w:t>
                  </w:r>
                  <w:r>
                    <w:rPr>
                      <w:spacing w:val="3"/>
                      <w:sz w:val="25"/>
                    </w:rPr>
                    <w:t> </w:t>
                  </w:r>
                  <w:r>
                    <w:rPr>
                      <w:sz w:val="25"/>
                    </w:rPr>
                    <w:t>(T</w:t>
                  </w:r>
                  <w:r>
                    <w:rPr>
                      <w:spacing w:val="-40"/>
                      <w:sz w:val="25"/>
                    </w:rPr>
                    <w:t> </w:t>
                  </w:r>
                  <w:r>
                    <w:rPr>
                      <w:sz w:val="25"/>
                    </w:rPr>
                    <w:t>w)</w:t>
                  </w:r>
                  <w:r>
                    <w:rPr>
                      <w:spacing w:val="2"/>
                      <w:sz w:val="25"/>
                    </w:rPr>
                    <w:t> </w:t>
                  </w:r>
                  <w:r>
                    <w:rPr>
                      <w:sz w:val="25"/>
                    </w:rPr>
                    <w:t>(cm)</w:t>
                  </w:r>
                </w:p>
              </w:txbxContent>
            </v:textbox>
            <w10:wrap type="none"/>
          </v:shape>
        </w:pict>
      </w:r>
      <w:r>
        <w:rPr>
          <w:sz w:val="17"/>
        </w:rPr>
        <w:t>32.5</w:t>
      </w:r>
    </w:p>
    <w:p>
      <w:pPr>
        <w:spacing w:before="16"/>
        <w:ind w:left="-37" w:right="0" w:firstLine="0"/>
        <w:jc w:val="left"/>
        <w:rPr>
          <w:sz w:val="17"/>
        </w:rPr>
      </w:pPr>
      <w:r>
        <w:rPr>
          <w:sz w:val="17"/>
        </w:rPr>
        <w:t>30</w:t>
      </w:r>
    </w:p>
    <w:p>
      <w:pPr>
        <w:spacing w:before="17"/>
        <w:ind w:left="-37" w:right="0" w:firstLine="0"/>
        <w:jc w:val="left"/>
        <w:rPr>
          <w:sz w:val="17"/>
        </w:rPr>
      </w:pPr>
      <w:r>
        <w:rPr>
          <w:sz w:val="17"/>
        </w:rPr>
        <w:t>27.5</w:t>
      </w:r>
    </w:p>
    <w:p>
      <w:pPr>
        <w:spacing w:before="17"/>
        <w:ind w:left="-37" w:right="0" w:firstLine="0"/>
        <w:jc w:val="left"/>
        <w:rPr>
          <w:sz w:val="17"/>
        </w:rPr>
      </w:pPr>
      <w:r>
        <w:rPr>
          <w:sz w:val="17"/>
        </w:rPr>
        <w:t>25</w:t>
      </w:r>
    </w:p>
    <w:p>
      <w:pPr>
        <w:spacing w:before="12"/>
        <w:ind w:left="-37" w:right="0" w:firstLine="0"/>
        <w:jc w:val="left"/>
        <w:rPr>
          <w:sz w:val="17"/>
        </w:rPr>
      </w:pPr>
      <w:r>
        <w:rPr>
          <w:sz w:val="17"/>
        </w:rPr>
        <w:t>22.5</w:t>
      </w:r>
    </w:p>
    <w:p>
      <w:pPr>
        <w:spacing w:before="17"/>
        <w:ind w:left="-37" w:right="0" w:firstLine="0"/>
        <w:jc w:val="left"/>
        <w:rPr>
          <w:sz w:val="17"/>
        </w:rPr>
      </w:pPr>
      <w:r>
        <w:rPr>
          <w:sz w:val="17"/>
        </w:rPr>
        <w:t>20</w:t>
      </w:r>
    </w:p>
    <w:p>
      <w:pPr>
        <w:spacing w:before="17"/>
        <w:ind w:left="-37" w:right="0" w:firstLine="0"/>
        <w:jc w:val="left"/>
        <w:rPr>
          <w:sz w:val="17"/>
        </w:rPr>
      </w:pPr>
      <w:r>
        <w:rPr>
          <w:sz w:val="17"/>
        </w:rPr>
        <w:t>17.5</w:t>
      </w:r>
    </w:p>
    <w:p>
      <w:pPr>
        <w:spacing w:before="16"/>
        <w:ind w:left="-37" w:right="0" w:firstLine="0"/>
        <w:jc w:val="left"/>
        <w:rPr>
          <w:sz w:val="17"/>
        </w:rPr>
      </w:pPr>
      <w:r>
        <w:rPr>
          <w:sz w:val="17"/>
        </w:rPr>
        <w:t>15</w:t>
      </w:r>
    </w:p>
    <w:p>
      <w:pPr>
        <w:spacing w:before="17"/>
        <w:ind w:left="-37" w:right="0" w:firstLine="0"/>
        <w:jc w:val="left"/>
        <w:rPr>
          <w:sz w:val="17"/>
        </w:rPr>
      </w:pPr>
      <w:r>
        <w:rPr>
          <w:sz w:val="17"/>
        </w:rPr>
        <w:t>12.5</w:t>
      </w:r>
    </w:p>
    <w:p>
      <w:pPr>
        <w:spacing w:before="17"/>
        <w:ind w:left="-37" w:right="0" w:firstLine="0"/>
        <w:jc w:val="left"/>
        <w:rPr>
          <w:sz w:val="17"/>
        </w:rPr>
      </w:pPr>
      <w:r>
        <w:rPr>
          <w:sz w:val="17"/>
        </w:rPr>
        <w:t>10</w:t>
      </w:r>
    </w:p>
    <w:p>
      <w:pPr>
        <w:spacing w:before="17"/>
        <w:ind w:left="-37" w:right="0" w:firstLine="0"/>
        <w:jc w:val="left"/>
        <w:rPr>
          <w:sz w:val="17"/>
        </w:rPr>
      </w:pPr>
      <w:r>
        <w:rPr>
          <w:sz w:val="17"/>
        </w:rPr>
        <w:t>7.5</w:t>
      </w:r>
    </w:p>
    <w:p>
      <w:pPr>
        <w:spacing w:before="16"/>
        <w:ind w:left="-37" w:right="0" w:firstLine="0"/>
        <w:jc w:val="left"/>
        <w:rPr>
          <w:sz w:val="17"/>
        </w:rPr>
      </w:pPr>
      <w:r>
        <w:rPr>
          <w:w w:val="101"/>
          <w:sz w:val="17"/>
        </w:rPr>
        <w:t>5</w:t>
      </w:r>
    </w:p>
    <w:p>
      <w:pPr>
        <w:spacing w:before="13"/>
        <w:ind w:left="-37" w:right="0" w:firstLine="0"/>
        <w:jc w:val="left"/>
        <w:rPr>
          <w:sz w:val="17"/>
        </w:rPr>
      </w:pPr>
      <w:r>
        <w:rPr>
          <w:sz w:val="17"/>
        </w:rPr>
        <w:t>2.5</w:t>
      </w:r>
    </w:p>
    <w:p>
      <w:pPr>
        <w:spacing w:line="189" w:lineRule="exact" w:before="17"/>
        <w:ind w:left="-37" w:right="0" w:firstLine="0"/>
        <w:jc w:val="left"/>
        <w:rPr>
          <w:sz w:val="17"/>
        </w:rPr>
      </w:pPr>
      <w:r>
        <w:rPr>
          <w:w w:val="101"/>
          <w:sz w:val="17"/>
        </w:rPr>
        <w:t>0</w:t>
      </w:r>
    </w:p>
    <w:p>
      <w:pPr>
        <w:spacing w:after="0" w:line="189" w:lineRule="exact"/>
        <w:jc w:val="left"/>
        <w:rPr>
          <w:sz w:val="17"/>
        </w:rPr>
        <w:sectPr>
          <w:type w:val="continuous"/>
          <w:pgSz w:w="12240" w:h="15840"/>
          <w:pgMar w:top="1380" w:bottom="280" w:left="1720" w:right="1020"/>
          <w:cols w:num="2" w:equalWidth="0">
            <w:col w:w="8338" w:space="40"/>
            <w:col w:w="1122"/>
          </w:cols>
        </w:sectPr>
      </w:pPr>
    </w:p>
    <w:p>
      <w:pPr>
        <w:tabs>
          <w:tab w:pos="1807" w:val="left" w:leader="none"/>
          <w:tab w:pos="2538" w:val="left" w:leader="none"/>
          <w:tab w:pos="3335" w:val="left" w:leader="none"/>
          <w:tab w:pos="4129" w:val="left" w:leader="none"/>
          <w:tab w:pos="4926" w:val="left" w:leader="none"/>
          <w:tab w:pos="5724" w:val="left" w:leader="none"/>
          <w:tab w:pos="6522" w:val="left" w:leader="none"/>
          <w:tab w:pos="7319" w:val="left" w:leader="none"/>
          <w:tab w:pos="8117" w:val="left" w:leader="none"/>
        </w:tabs>
        <w:spacing w:line="191" w:lineRule="exact" w:before="0"/>
        <w:ind w:left="1009" w:right="0" w:firstLine="0"/>
        <w:jc w:val="left"/>
        <w:rPr>
          <w:sz w:val="17"/>
        </w:rPr>
      </w:pPr>
      <w:r>
        <w:rPr>
          <w:sz w:val="17"/>
        </w:rPr>
        <w:t>400</w:t>
        <w:tab/>
        <w:t>800</w:t>
        <w:tab/>
        <w:t>1200</w:t>
        <w:tab/>
        <w:t>1600</w:t>
        <w:tab/>
        <w:t>2000</w:t>
        <w:tab/>
        <w:t>2400</w:t>
        <w:tab/>
        <w:t>2800</w:t>
        <w:tab/>
        <w:t>3200</w:t>
        <w:tab/>
        <w:t>3600</w:t>
        <w:tab/>
        <w:t>4000</w:t>
      </w:r>
    </w:p>
    <w:p>
      <w:pPr>
        <w:pStyle w:val="Heading8"/>
        <w:spacing w:before="134"/>
        <w:ind w:left="3146" w:right="3365"/>
        <w:jc w:val="center"/>
      </w:pPr>
      <w:r>
        <w:rPr/>
        <w:t>Striking</w:t>
      </w:r>
      <w:r>
        <w:rPr>
          <w:spacing w:val="-6"/>
        </w:rPr>
        <w:t> </w:t>
      </w:r>
      <w:r>
        <w:rPr/>
        <w:t>Velocity</w:t>
      </w:r>
      <w:r>
        <w:rPr>
          <w:spacing w:val="-6"/>
        </w:rPr>
        <w:t> </w:t>
      </w:r>
      <w:r>
        <w:rPr/>
        <w:t>(V</w:t>
      </w:r>
      <w:r>
        <w:rPr>
          <w:position w:val="-3"/>
        </w:rPr>
        <w:t>s</w:t>
      </w:r>
      <w:r>
        <w:rPr/>
        <w:t>)</w:t>
      </w:r>
      <w:r>
        <w:rPr>
          <w:spacing w:val="-7"/>
        </w:rPr>
        <w:t> </w:t>
      </w:r>
      <w:r>
        <w:rPr/>
        <w:t>(fps)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1"/>
        </w:rPr>
      </w:pPr>
    </w:p>
    <w:p>
      <w:pPr>
        <w:spacing w:before="0"/>
        <w:ind w:left="19" w:right="0" w:firstLine="0"/>
        <w:jc w:val="center"/>
        <w:rPr>
          <w:i/>
          <w:sz w:val="24"/>
        </w:rPr>
      </w:pPr>
      <w:bookmarkStart w:name="_bookmark65" w:id="279"/>
      <w:bookmarkEnd w:id="279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5-10.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Revised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UFC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Equation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recalibrated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CLT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data.</w:t>
      </w:r>
    </w:p>
    <w:p>
      <w:pPr>
        <w:pStyle w:val="BodyText"/>
        <w:rPr>
          <w:i/>
          <w:sz w:val="26"/>
        </w:rPr>
      </w:pPr>
    </w:p>
    <w:p>
      <w:pPr>
        <w:pStyle w:val="BodyText"/>
        <w:spacing w:before="1"/>
        <w:rPr>
          <w:i/>
          <w:sz w:val="31"/>
        </w:rPr>
      </w:pPr>
    </w:p>
    <w:p>
      <w:pPr>
        <w:pStyle w:val="BodyText"/>
        <w:spacing w:line="480" w:lineRule="auto"/>
        <w:ind w:left="439" w:right="403" w:firstLine="720"/>
      </w:pPr>
      <w:r>
        <w:rPr/>
        <w:t>Representative densities were used for each species as varying the densities is not</w:t>
      </w:r>
      <w:r>
        <w:rPr>
          <w:spacing w:val="-57"/>
        </w:rPr>
        <w:t> </w:t>
      </w:r>
      <w:r>
        <w:rPr/>
        <w:t>possible to represent in the two-dimensional curve.</w:t>
      </w:r>
      <w:r>
        <w:rPr>
          <w:spacing w:val="1"/>
        </w:rPr>
        <w:t> </w:t>
      </w:r>
      <w:r>
        <w:rPr/>
        <w:t>Mean densities of 28.003 pcf and</w:t>
      </w:r>
      <w:r>
        <w:rPr>
          <w:spacing w:val="1"/>
        </w:rPr>
        <w:t> </w:t>
      </w:r>
      <w:r>
        <w:rPr/>
        <w:t>34.621 pcf were used for SPF-S and SYP, respectively.</w:t>
      </w:r>
      <w:r>
        <w:rPr>
          <w:spacing w:val="1"/>
        </w:rPr>
        <w:t> </w:t>
      </w:r>
      <w:r>
        <w:rPr/>
        <w:t>The MSE for the curve fit model</w:t>
      </w:r>
      <w:r>
        <w:rPr>
          <w:spacing w:val="-58"/>
        </w:rPr>
        <w:t> </w:t>
      </w:r>
      <w:r>
        <w:rPr/>
        <w:t>based</w:t>
      </w:r>
      <w:r>
        <w:rPr>
          <w:spacing w:val="-1"/>
        </w:rPr>
        <w:t> </w:t>
      </w:r>
      <w:r>
        <w:rPr/>
        <w:t>on the</w:t>
      </w:r>
      <w:r>
        <w:rPr>
          <w:spacing w:val="-1"/>
        </w:rPr>
        <w:t> </w:t>
      </w:r>
      <w:r>
        <w:rPr/>
        <w:t>UFC</w:t>
      </w:r>
      <w:r>
        <w:rPr>
          <w:spacing w:val="-1"/>
        </w:rPr>
        <w:t> </w:t>
      </w:r>
      <w:r>
        <w:rPr/>
        <w:t>equation was 0.330.</w:t>
      </w:r>
    </w:p>
    <w:p>
      <w:pPr>
        <w:pStyle w:val="BodyText"/>
        <w:spacing w:line="480" w:lineRule="auto" w:before="160"/>
        <w:ind w:left="439" w:right="417" w:firstLine="720"/>
        <w:jc w:val="both"/>
      </w:pPr>
      <w:r>
        <w:rPr/>
        <w:t>The</w:t>
      </w:r>
      <w:r>
        <w:rPr>
          <w:spacing w:val="1"/>
        </w:rPr>
        <w:t> </w:t>
      </w:r>
      <w:r>
        <w:rPr/>
        <w:t>same</w:t>
      </w:r>
      <w:r>
        <w:rPr>
          <w:spacing w:val="1"/>
        </w:rPr>
        <w:t> </w:t>
      </w:r>
      <w:r>
        <w:rPr/>
        <w:t>procedure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finding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best</w:t>
      </w:r>
      <w:r>
        <w:rPr>
          <w:spacing w:val="1"/>
        </w:rPr>
        <w:t> </w:t>
      </w:r>
      <w:r>
        <w:rPr/>
        <w:t>fitting</w:t>
      </w:r>
      <w:r>
        <w:rPr>
          <w:spacing w:val="1"/>
        </w:rPr>
        <w:t> </w:t>
      </w:r>
      <w:r>
        <w:rPr/>
        <w:t>model</w:t>
      </w:r>
      <w:r>
        <w:rPr>
          <w:spacing w:val="1"/>
        </w:rPr>
        <w:t> </w:t>
      </w:r>
      <w:r>
        <w:rPr/>
        <w:t>parameters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>
          <w:spacing w:val="-1"/>
        </w:rPr>
        <w:t>Levenberg-Marquardt</w:t>
      </w:r>
      <w:r>
        <w:rPr>
          <w:spacing w:val="-14"/>
        </w:rPr>
        <w:t> </w:t>
      </w:r>
      <w:r>
        <w:rPr>
          <w:spacing w:val="-1"/>
        </w:rPr>
        <w:t>method</w:t>
      </w:r>
      <w:r>
        <w:rPr>
          <w:spacing w:val="-14"/>
        </w:rPr>
        <w:t> </w:t>
      </w:r>
      <w:r>
        <w:rPr/>
        <w:t>for</w:t>
      </w:r>
      <w:r>
        <w:rPr>
          <w:spacing w:val="-12"/>
        </w:rPr>
        <w:t> </w:t>
      </w:r>
      <w:r>
        <w:rPr/>
        <w:t>finding</w:t>
      </w:r>
      <w:r>
        <w:rPr>
          <w:spacing w:val="-14"/>
        </w:rPr>
        <w:t> </w:t>
      </w:r>
      <w:r>
        <w:rPr/>
        <w:t>nonlinear</w:t>
      </w:r>
      <w:r>
        <w:rPr>
          <w:spacing w:val="-13"/>
        </w:rPr>
        <w:t> </w:t>
      </w:r>
      <w:r>
        <w:rPr/>
        <w:t>least</w:t>
      </w:r>
      <w:r>
        <w:rPr>
          <w:spacing w:val="-13"/>
        </w:rPr>
        <w:t> </w:t>
      </w:r>
      <w:r>
        <w:rPr/>
        <w:t>squares,</w:t>
      </w:r>
      <w:r>
        <w:rPr>
          <w:spacing w:val="-14"/>
        </w:rPr>
        <w:t> </w:t>
      </w:r>
      <w:r>
        <w:rPr/>
        <w:t>was</w:t>
      </w:r>
      <w:r>
        <w:rPr>
          <w:spacing w:val="-13"/>
        </w:rPr>
        <w:t> </w:t>
      </w:r>
      <w:r>
        <w:rPr/>
        <w:t>used</w:t>
      </w:r>
      <w:r>
        <w:rPr>
          <w:spacing w:val="-13"/>
        </w:rPr>
        <w:t> </w:t>
      </w:r>
      <w:r>
        <w:rPr/>
        <w:t>in</w:t>
      </w:r>
      <w:r>
        <w:rPr>
          <w:spacing w:val="-15"/>
        </w:rPr>
        <w:t> </w:t>
      </w:r>
      <w:r>
        <w:rPr/>
        <w:t>investigating</w:t>
      </w:r>
      <w:r>
        <w:rPr>
          <w:spacing w:val="-58"/>
        </w:rPr>
        <w:t> </w:t>
      </w:r>
      <w:r>
        <w:rPr/>
        <w:t>a</w:t>
      </w:r>
      <w:r>
        <w:rPr>
          <w:spacing w:val="-11"/>
        </w:rPr>
        <w:t> </w:t>
      </w:r>
      <w:r>
        <w:rPr/>
        <w:t>recalibrated</w:t>
      </w:r>
      <w:r>
        <w:rPr>
          <w:spacing w:val="-10"/>
        </w:rPr>
        <w:t> </w:t>
      </w:r>
      <w:r>
        <w:rPr/>
        <w:t>version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0"/>
        </w:rPr>
        <w:t> </w:t>
      </w:r>
      <w:r>
        <w:rPr/>
        <w:t>UFC</w:t>
      </w:r>
      <w:r>
        <w:rPr>
          <w:spacing w:val="-10"/>
        </w:rPr>
        <w:t> </w:t>
      </w:r>
      <w:r>
        <w:rPr/>
        <w:t>equation</w:t>
      </w:r>
      <w:r>
        <w:rPr>
          <w:spacing w:val="-10"/>
        </w:rPr>
        <w:t> </w:t>
      </w:r>
      <w:r>
        <w:rPr/>
        <w:t>examining</w:t>
      </w:r>
      <w:r>
        <w:rPr>
          <w:spacing w:val="-11"/>
        </w:rPr>
        <w:t> </w:t>
      </w:r>
      <w:r>
        <w:rPr/>
        <w:t>one</w:t>
      </w:r>
      <w:r>
        <w:rPr>
          <w:spacing w:val="-10"/>
        </w:rPr>
        <w:t> </w:t>
      </w:r>
      <w:r>
        <w:rPr/>
        <w:t>species</w:t>
      </w:r>
      <w:r>
        <w:rPr>
          <w:spacing w:val="-10"/>
        </w:rPr>
        <w:t> </w:t>
      </w:r>
      <w:r>
        <w:rPr/>
        <w:t>data</w:t>
      </w:r>
      <w:r>
        <w:rPr>
          <w:spacing w:val="-10"/>
        </w:rPr>
        <w:t> </w:t>
      </w:r>
      <w:r>
        <w:rPr/>
        <w:t>at</w:t>
      </w:r>
      <w:r>
        <w:rPr>
          <w:spacing w:val="-10"/>
        </w:rPr>
        <w:t> </w:t>
      </w:r>
      <w:r>
        <w:rPr/>
        <w:t>a</w:t>
      </w:r>
      <w:r>
        <w:rPr>
          <w:spacing w:val="-11"/>
        </w:rPr>
        <w:t> </w:t>
      </w:r>
      <w:r>
        <w:rPr/>
        <w:t>time.</w:t>
      </w:r>
      <w:r>
        <w:rPr>
          <w:spacing w:val="40"/>
        </w:rPr>
        <w:t> </w:t>
      </w:r>
      <w:r>
        <w:rPr/>
        <w:t>The</w:t>
      </w:r>
      <w:r>
        <w:rPr>
          <w:spacing w:val="-10"/>
        </w:rPr>
        <w:t> </w:t>
      </w:r>
      <w:r>
        <w:rPr/>
        <w:t>same</w:t>
      </w:r>
      <w:r>
        <w:rPr>
          <w:spacing w:val="-57"/>
        </w:rPr>
        <w:t> </w:t>
      </w:r>
      <w:r>
        <w:rPr/>
        <w:t>hardness values were used as the two species revised UFC model and the model was</w:t>
      </w:r>
      <w:r>
        <w:rPr>
          <w:spacing w:val="1"/>
        </w:rPr>
        <w:t> </w:t>
      </w:r>
      <w:r>
        <w:rPr>
          <w:spacing w:val="-1"/>
        </w:rPr>
        <w:t>calibrated</w:t>
      </w:r>
      <w:r>
        <w:rPr>
          <w:spacing w:val="-14"/>
        </w:rPr>
        <w:t> </w:t>
      </w:r>
      <w:r>
        <w:rPr>
          <w:spacing w:val="-1"/>
        </w:rPr>
        <w:t>with</w:t>
      </w:r>
      <w:r>
        <w:rPr>
          <w:spacing w:val="-14"/>
        </w:rPr>
        <w:t> </w:t>
      </w:r>
      <w:r>
        <w:rPr>
          <w:spacing w:val="-1"/>
        </w:rPr>
        <w:t>actual</w:t>
      </w:r>
      <w:r>
        <w:rPr>
          <w:spacing w:val="-13"/>
        </w:rPr>
        <w:t> </w:t>
      </w:r>
      <w:r>
        <w:rPr>
          <w:spacing w:val="-1"/>
        </w:rPr>
        <w:t>density</w:t>
      </w:r>
      <w:r>
        <w:rPr>
          <w:spacing w:val="-14"/>
        </w:rPr>
        <w:t> </w:t>
      </w:r>
      <w:r>
        <w:rPr/>
        <w:t>data</w:t>
      </w:r>
      <w:r>
        <w:rPr>
          <w:spacing w:val="-15"/>
        </w:rPr>
        <w:t> </w:t>
      </w:r>
      <w:r>
        <w:rPr/>
        <w:t>but</w:t>
      </w:r>
      <w:r>
        <w:rPr>
          <w:spacing w:val="-13"/>
        </w:rPr>
        <w:t> </w:t>
      </w:r>
      <w:r>
        <w:rPr/>
        <w:t>plotted</w:t>
      </w:r>
      <w:r>
        <w:rPr>
          <w:spacing w:val="-15"/>
        </w:rPr>
        <w:t> </w:t>
      </w:r>
      <w:r>
        <w:rPr/>
        <w:t>using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average</w:t>
      </w:r>
      <w:r>
        <w:rPr>
          <w:spacing w:val="-13"/>
        </w:rPr>
        <w:t> </w:t>
      </w:r>
      <w:r>
        <w:rPr/>
        <w:t>density.</w:t>
      </w:r>
      <w:r>
        <w:rPr>
          <w:spacing w:val="32"/>
        </w:rPr>
        <w:t> </w:t>
      </w:r>
      <w:hyperlink w:history="true" w:anchor="_bookmark67">
        <w:r>
          <w:rPr/>
          <w:t>Figure</w:t>
        </w:r>
        <w:r>
          <w:rPr>
            <w:spacing w:val="-13"/>
          </w:rPr>
          <w:t> </w:t>
        </w:r>
        <w:r>
          <w:rPr/>
          <w:t>5-11</w:t>
        </w:r>
        <w:r>
          <w:rPr>
            <w:spacing w:val="-15"/>
          </w:rPr>
          <w:t> </w:t>
        </w:r>
      </w:hyperlink>
      <w:r>
        <w:rPr/>
        <w:t>shows</w:t>
      </w:r>
    </w:p>
    <w:p>
      <w:pPr>
        <w:spacing w:after="0" w:line="480" w:lineRule="auto"/>
        <w:jc w:val="both"/>
        <w:sectPr>
          <w:type w:val="continuous"/>
          <w:pgSz w:w="12240" w:h="15840"/>
          <w:pgMar w:top="1380" w:bottom="280" w:left="1720" w:right="1020"/>
        </w:sectPr>
      </w:pPr>
    </w:p>
    <w:p>
      <w:pPr>
        <w:pStyle w:val="BodyText"/>
        <w:spacing w:line="480" w:lineRule="auto" w:before="78"/>
        <w:ind w:left="439" w:right="418"/>
        <w:jc w:val="both"/>
      </w:pPr>
      <w:r>
        <w:rPr/>
        <w:t>the plot of the SPF-S only revised UFC equation, and </w:t>
      </w:r>
      <w:hyperlink w:history="true" w:anchor="_bookmark68">
        <w:r>
          <w:rPr/>
          <w:t>Figure 5-12 </w:t>
        </w:r>
      </w:hyperlink>
      <w:r>
        <w:rPr/>
        <w:t>shows the plot of the</w:t>
      </w:r>
      <w:r>
        <w:rPr>
          <w:spacing w:val="1"/>
        </w:rPr>
        <w:t> </w:t>
      </w:r>
      <w:r>
        <w:rPr/>
        <w:t>SYP only revised UFC equation.</w:t>
      </w:r>
      <w:r>
        <w:rPr>
          <w:spacing w:val="1"/>
        </w:rPr>
        <w:t> </w:t>
      </w:r>
      <w:hyperlink w:history="true" w:anchor="_bookmark66">
        <w:r>
          <w:rPr/>
          <w:t>Table 5-7 </w:t>
        </w:r>
      </w:hyperlink>
      <w:r>
        <w:rPr/>
        <w:t>shows the difference in the calibrated model</w:t>
      </w:r>
      <w:r>
        <w:rPr>
          <w:spacing w:val="1"/>
        </w:rPr>
        <w:t> </w:t>
      </w:r>
      <w:r>
        <w:rPr/>
        <w:t>parameters</w:t>
      </w:r>
      <w:r>
        <w:rPr>
          <w:spacing w:val="-1"/>
        </w:rPr>
        <w:t> </w:t>
      </w:r>
      <w:r>
        <w:rPr/>
        <w:t>and the MSE</w:t>
      </w:r>
      <w:r>
        <w:rPr>
          <w:spacing w:val="-1"/>
        </w:rPr>
        <w:t> </w:t>
      </w:r>
      <w:r>
        <w:rPr/>
        <w:t>for each version 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model.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spacing w:before="208"/>
        <w:ind w:left="440" w:right="0" w:firstLine="0"/>
        <w:jc w:val="both"/>
        <w:rPr>
          <w:i/>
          <w:sz w:val="24"/>
        </w:rPr>
      </w:pPr>
      <w:bookmarkStart w:name="_bookmark66" w:id="280"/>
      <w:bookmarkEnd w:id="280"/>
      <w:r>
        <w:rPr/>
      </w:r>
      <w:r>
        <w:rPr>
          <w:i/>
          <w:spacing w:val="-1"/>
          <w:sz w:val="24"/>
        </w:rPr>
        <w:t>Table</w:t>
      </w:r>
      <w:r>
        <w:rPr>
          <w:i/>
          <w:spacing w:val="-13"/>
          <w:sz w:val="24"/>
        </w:rPr>
        <w:t> </w:t>
      </w:r>
      <w:r>
        <w:rPr>
          <w:i/>
          <w:spacing w:val="-1"/>
          <w:sz w:val="24"/>
        </w:rPr>
        <w:t>5-7.</w:t>
      </w:r>
      <w:r>
        <w:rPr>
          <w:i/>
          <w:spacing w:val="-15"/>
          <w:sz w:val="24"/>
        </w:rPr>
        <w:t> </w:t>
      </w:r>
      <w:r>
        <w:rPr>
          <w:i/>
          <w:spacing w:val="-1"/>
          <w:sz w:val="24"/>
        </w:rPr>
        <w:t>Calibrated</w:t>
      </w:r>
      <w:r>
        <w:rPr>
          <w:i/>
          <w:spacing w:val="-14"/>
          <w:sz w:val="24"/>
        </w:rPr>
        <w:t> </w:t>
      </w:r>
      <w:r>
        <w:rPr>
          <w:i/>
          <w:sz w:val="24"/>
        </w:rPr>
        <w:t>model</w:t>
      </w:r>
      <w:r>
        <w:rPr>
          <w:i/>
          <w:spacing w:val="-12"/>
          <w:sz w:val="24"/>
        </w:rPr>
        <w:t> </w:t>
      </w:r>
      <w:r>
        <w:rPr>
          <w:i/>
          <w:sz w:val="24"/>
        </w:rPr>
        <w:t>parameters</w:t>
      </w:r>
      <w:r>
        <w:rPr>
          <w:i/>
          <w:spacing w:val="-13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5"/>
          <w:sz w:val="24"/>
        </w:rPr>
        <w:t> </w:t>
      </w:r>
      <w:r>
        <w:rPr>
          <w:i/>
          <w:sz w:val="24"/>
        </w:rPr>
        <w:t>MSE</w:t>
      </w:r>
      <w:r>
        <w:rPr>
          <w:i/>
          <w:spacing w:val="-15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14"/>
          <w:sz w:val="24"/>
        </w:rPr>
        <w:t> </w:t>
      </w:r>
      <w:r>
        <w:rPr>
          <w:i/>
          <w:sz w:val="24"/>
        </w:rPr>
        <w:t>different</w:t>
      </w:r>
      <w:r>
        <w:rPr>
          <w:i/>
          <w:spacing w:val="-14"/>
          <w:sz w:val="24"/>
        </w:rPr>
        <w:t> </w:t>
      </w:r>
      <w:r>
        <w:rPr>
          <w:i/>
          <w:sz w:val="24"/>
        </w:rPr>
        <w:t>revisions</w:t>
      </w:r>
      <w:r>
        <w:rPr>
          <w:i/>
          <w:spacing w:val="-15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6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2"/>
          <w:sz w:val="24"/>
        </w:rPr>
        <w:t> </w:t>
      </w:r>
      <w:r>
        <w:rPr>
          <w:i/>
          <w:sz w:val="24"/>
        </w:rPr>
        <w:t>UFC</w:t>
      </w:r>
      <w:r>
        <w:rPr>
          <w:i/>
          <w:spacing w:val="-14"/>
          <w:sz w:val="24"/>
        </w:rPr>
        <w:t> </w:t>
      </w:r>
      <w:r>
        <w:rPr>
          <w:i/>
          <w:sz w:val="24"/>
        </w:rPr>
        <w:t>model.</w:t>
      </w:r>
    </w:p>
    <w:p>
      <w:pPr>
        <w:pStyle w:val="BodyText"/>
        <w:spacing w:before="4" w:after="1"/>
        <w:rPr>
          <w:i/>
          <w:sz w:val="17"/>
        </w:rPr>
      </w:pPr>
    </w:p>
    <w:tbl>
      <w:tblPr>
        <w:tblW w:w="0" w:type="auto"/>
        <w:jc w:val="left"/>
        <w:tblInd w:w="8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23"/>
        <w:gridCol w:w="1099"/>
        <w:gridCol w:w="821"/>
        <w:gridCol w:w="913"/>
        <w:gridCol w:w="1369"/>
        <w:gridCol w:w="915"/>
        <w:gridCol w:w="959"/>
      </w:tblGrid>
      <w:tr>
        <w:trPr>
          <w:trHeight w:val="290" w:hRule="atLeast"/>
        </w:trPr>
        <w:tc>
          <w:tcPr>
            <w:tcW w:w="1823" w:type="dxa"/>
            <w:vMerge w:val="restart"/>
            <w:shd w:val="clear" w:color="auto" w:fill="DADADA"/>
          </w:tcPr>
          <w:p>
            <w:pPr>
              <w:pStyle w:val="TableParagraph"/>
              <w:rPr>
                <w:i/>
                <w:sz w:val="32"/>
              </w:rPr>
            </w:pPr>
          </w:p>
          <w:p>
            <w:pPr>
              <w:pStyle w:val="TableParagraph"/>
              <w:spacing w:line="212" w:lineRule="exact"/>
              <w:ind w:left="585"/>
              <w:rPr>
                <w:sz w:val="20"/>
              </w:rPr>
            </w:pPr>
            <w:r>
              <w:rPr>
                <w:sz w:val="20"/>
              </w:rPr>
              <w:t>Data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set</w:t>
            </w:r>
          </w:p>
        </w:tc>
        <w:tc>
          <w:tcPr>
            <w:tcW w:w="5117" w:type="dxa"/>
            <w:gridSpan w:val="5"/>
            <w:shd w:val="clear" w:color="auto" w:fill="DADADA"/>
          </w:tcPr>
          <w:p>
            <w:pPr>
              <w:pStyle w:val="TableParagraph"/>
              <w:spacing w:line="212" w:lineRule="exact" w:before="58"/>
              <w:ind w:left="1815" w:right="1807"/>
              <w:jc w:val="center"/>
              <w:rPr>
                <w:sz w:val="20"/>
              </w:rPr>
            </w:pPr>
            <w:r>
              <w:rPr>
                <w:sz w:val="20"/>
              </w:rPr>
              <w:t>Model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parameters</w:t>
            </w:r>
          </w:p>
        </w:tc>
        <w:tc>
          <w:tcPr>
            <w:tcW w:w="959" w:type="dxa"/>
            <w:shd w:val="clear" w:color="auto" w:fill="DADAD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300" w:hRule="atLeast"/>
        </w:trPr>
        <w:tc>
          <w:tcPr>
            <w:tcW w:w="1823" w:type="dxa"/>
            <w:vMerge/>
            <w:tcBorders>
              <w:top w:val="nil"/>
            </w:tcBorders>
            <w:shd w:val="clear" w:color="auto" w:fill="DADADA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99" w:type="dxa"/>
            <w:shd w:val="clear" w:color="auto" w:fill="DADADA"/>
          </w:tcPr>
          <w:p>
            <w:pPr>
              <w:pStyle w:val="TableParagraph"/>
              <w:spacing w:line="212" w:lineRule="exact" w:before="68"/>
              <w:ind w:left="152" w:right="147"/>
              <w:jc w:val="center"/>
              <w:rPr>
                <w:sz w:val="20"/>
              </w:rPr>
            </w:pPr>
            <w:r>
              <w:rPr>
                <w:sz w:val="20"/>
              </w:rPr>
              <w:t>C</w:t>
            </w:r>
            <w:r>
              <w:rPr>
                <w:sz w:val="20"/>
                <w:vertAlign w:val="subscript"/>
              </w:rPr>
              <w:t>1</w:t>
            </w:r>
          </w:p>
        </w:tc>
        <w:tc>
          <w:tcPr>
            <w:tcW w:w="821" w:type="dxa"/>
            <w:shd w:val="clear" w:color="auto" w:fill="DADADA"/>
          </w:tcPr>
          <w:p>
            <w:pPr>
              <w:pStyle w:val="TableParagraph"/>
              <w:spacing w:line="212" w:lineRule="exact" w:before="68"/>
              <w:ind w:left="7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a</w:t>
            </w:r>
          </w:p>
        </w:tc>
        <w:tc>
          <w:tcPr>
            <w:tcW w:w="913" w:type="dxa"/>
            <w:shd w:val="clear" w:color="auto" w:fill="DADADA"/>
          </w:tcPr>
          <w:p>
            <w:pPr>
              <w:pStyle w:val="TableParagraph"/>
              <w:spacing w:line="212" w:lineRule="exact" w:before="68"/>
              <w:ind w:left="10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b</w:t>
            </w:r>
          </w:p>
        </w:tc>
        <w:tc>
          <w:tcPr>
            <w:tcW w:w="1369" w:type="dxa"/>
            <w:shd w:val="clear" w:color="auto" w:fill="DADADA"/>
          </w:tcPr>
          <w:p>
            <w:pPr>
              <w:pStyle w:val="TableParagraph"/>
              <w:spacing w:line="212" w:lineRule="exact" w:before="68"/>
              <w:ind w:left="8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c</w:t>
            </w:r>
          </w:p>
        </w:tc>
        <w:tc>
          <w:tcPr>
            <w:tcW w:w="915" w:type="dxa"/>
            <w:shd w:val="clear" w:color="auto" w:fill="DADADA"/>
          </w:tcPr>
          <w:p>
            <w:pPr>
              <w:pStyle w:val="TableParagraph"/>
              <w:spacing w:line="212" w:lineRule="exact" w:before="68"/>
              <w:ind w:left="8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d</w:t>
            </w:r>
          </w:p>
        </w:tc>
        <w:tc>
          <w:tcPr>
            <w:tcW w:w="959" w:type="dxa"/>
            <w:shd w:val="clear" w:color="auto" w:fill="DADADA"/>
          </w:tcPr>
          <w:p>
            <w:pPr>
              <w:pStyle w:val="TableParagraph"/>
              <w:spacing w:line="212" w:lineRule="exact" w:before="68"/>
              <w:ind w:right="261"/>
              <w:jc w:val="right"/>
              <w:rPr>
                <w:sz w:val="20"/>
              </w:rPr>
            </w:pPr>
            <w:r>
              <w:rPr>
                <w:sz w:val="20"/>
              </w:rPr>
              <w:t>MSE</w:t>
            </w:r>
          </w:p>
        </w:tc>
      </w:tr>
      <w:tr>
        <w:trPr>
          <w:trHeight w:val="321" w:hRule="atLeast"/>
        </w:trPr>
        <w:tc>
          <w:tcPr>
            <w:tcW w:w="1823" w:type="dxa"/>
            <w:tcBorders>
              <w:bottom w:val="nil"/>
            </w:tcBorders>
          </w:tcPr>
          <w:p>
            <w:pPr>
              <w:pStyle w:val="TableParagraph"/>
              <w:spacing w:before="58"/>
              <w:ind w:right="100"/>
              <w:jc w:val="right"/>
              <w:rPr>
                <w:sz w:val="20"/>
              </w:rPr>
            </w:pPr>
            <w:r>
              <w:rPr>
                <w:sz w:val="20"/>
              </w:rPr>
              <w:t>SPF-S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SYP</w:t>
            </w:r>
          </w:p>
        </w:tc>
        <w:tc>
          <w:tcPr>
            <w:tcW w:w="1099" w:type="dxa"/>
            <w:tcBorders>
              <w:bottom w:val="nil"/>
            </w:tcBorders>
          </w:tcPr>
          <w:p>
            <w:pPr>
              <w:pStyle w:val="TableParagraph"/>
              <w:spacing w:before="58"/>
              <w:ind w:left="152" w:right="144"/>
              <w:jc w:val="center"/>
              <w:rPr>
                <w:sz w:val="20"/>
              </w:rPr>
            </w:pPr>
            <w:r>
              <w:rPr>
                <w:sz w:val="20"/>
              </w:rPr>
              <w:t>6.91E-06</w:t>
            </w:r>
          </w:p>
        </w:tc>
        <w:tc>
          <w:tcPr>
            <w:tcW w:w="821" w:type="dxa"/>
            <w:tcBorders>
              <w:bottom w:val="nil"/>
            </w:tcBorders>
          </w:tcPr>
          <w:p>
            <w:pPr>
              <w:pStyle w:val="TableParagraph"/>
              <w:spacing w:before="58"/>
              <w:ind w:left="113" w:right="107"/>
              <w:jc w:val="center"/>
              <w:rPr>
                <w:sz w:val="20"/>
              </w:rPr>
            </w:pPr>
            <w:r>
              <w:rPr>
                <w:sz w:val="20"/>
              </w:rPr>
              <w:t>1.4951</w:t>
            </w:r>
          </w:p>
        </w:tc>
        <w:tc>
          <w:tcPr>
            <w:tcW w:w="913" w:type="dxa"/>
            <w:tcBorders>
              <w:bottom w:val="nil"/>
            </w:tcBorders>
          </w:tcPr>
          <w:p>
            <w:pPr>
              <w:pStyle w:val="TableParagraph"/>
              <w:spacing w:before="58"/>
              <w:ind w:left="127" w:right="117"/>
              <w:jc w:val="center"/>
              <w:rPr>
                <w:sz w:val="20"/>
              </w:rPr>
            </w:pPr>
            <w:r>
              <w:rPr>
                <w:sz w:val="20"/>
              </w:rPr>
              <w:t>1.4339</w:t>
            </w:r>
          </w:p>
        </w:tc>
        <w:tc>
          <w:tcPr>
            <w:tcW w:w="1369" w:type="dxa"/>
            <w:tcBorders>
              <w:bottom w:val="nil"/>
            </w:tcBorders>
          </w:tcPr>
          <w:p>
            <w:pPr>
              <w:pStyle w:val="TableParagraph"/>
              <w:spacing w:before="58"/>
              <w:ind w:left="97" w:right="89"/>
              <w:jc w:val="center"/>
              <w:rPr>
                <w:sz w:val="20"/>
              </w:rPr>
            </w:pPr>
            <w:r>
              <w:rPr>
                <w:sz w:val="20"/>
              </w:rPr>
              <w:t>0.2009</w:t>
            </w:r>
          </w:p>
        </w:tc>
        <w:tc>
          <w:tcPr>
            <w:tcW w:w="915" w:type="dxa"/>
            <w:tcBorders>
              <w:bottom w:val="nil"/>
            </w:tcBorders>
          </w:tcPr>
          <w:p>
            <w:pPr>
              <w:pStyle w:val="TableParagraph"/>
              <w:spacing w:before="58"/>
              <w:ind w:left="162" w:right="153"/>
              <w:jc w:val="center"/>
              <w:rPr>
                <w:sz w:val="20"/>
              </w:rPr>
            </w:pPr>
            <w:r>
              <w:rPr>
                <w:sz w:val="20"/>
              </w:rPr>
              <w:t>0.2374</w:t>
            </w:r>
          </w:p>
        </w:tc>
        <w:tc>
          <w:tcPr>
            <w:tcW w:w="959" w:type="dxa"/>
            <w:tcBorders>
              <w:bottom w:val="nil"/>
            </w:tcBorders>
          </w:tcPr>
          <w:p>
            <w:pPr>
              <w:pStyle w:val="TableParagraph"/>
              <w:spacing w:before="58"/>
              <w:ind w:right="241"/>
              <w:jc w:val="right"/>
              <w:rPr>
                <w:sz w:val="20"/>
              </w:rPr>
            </w:pPr>
            <w:r>
              <w:rPr>
                <w:sz w:val="20"/>
              </w:rPr>
              <w:t>0.330</w:t>
            </w:r>
          </w:p>
        </w:tc>
      </w:tr>
      <w:tr>
        <w:trPr>
          <w:trHeight w:val="289" w:hRule="atLeast"/>
        </w:trPr>
        <w:tc>
          <w:tcPr>
            <w:tcW w:w="1823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25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SPF-S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only</w:t>
            </w:r>
          </w:p>
        </w:tc>
        <w:tc>
          <w:tcPr>
            <w:tcW w:w="109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25"/>
              <w:ind w:left="152" w:right="147"/>
              <w:jc w:val="center"/>
              <w:rPr>
                <w:sz w:val="20"/>
              </w:rPr>
            </w:pPr>
            <w:r>
              <w:rPr>
                <w:sz w:val="20"/>
              </w:rPr>
              <w:t>417.5111</w:t>
            </w:r>
          </w:p>
        </w:tc>
        <w:tc>
          <w:tcPr>
            <w:tcW w:w="821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25"/>
              <w:ind w:left="113" w:right="107"/>
              <w:jc w:val="center"/>
              <w:rPr>
                <w:sz w:val="20"/>
              </w:rPr>
            </w:pPr>
            <w:r>
              <w:rPr>
                <w:sz w:val="20"/>
              </w:rPr>
              <w:t>1.5262</w:t>
            </w:r>
          </w:p>
        </w:tc>
        <w:tc>
          <w:tcPr>
            <w:tcW w:w="913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25"/>
              <w:ind w:left="128" w:right="117"/>
              <w:jc w:val="center"/>
              <w:rPr>
                <w:sz w:val="20"/>
              </w:rPr>
            </w:pPr>
            <w:r>
              <w:rPr>
                <w:sz w:val="20"/>
              </w:rPr>
              <w:t>-0.0001</w:t>
            </w:r>
          </w:p>
        </w:tc>
        <w:tc>
          <w:tcPr>
            <w:tcW w:w="136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25"/>
              <w:ind w:left="98" w:right="89"/>
              <w:jc w:val="center"/>
              <w:rPr>
                <w:sz w:val="20"/>
              </w:rPr>
            </w:pPr>
            <w:r>
              <w:rPr>
                <w:sz w:val="20"/>
              </w:rPr>
              <w:t>-4.2606E-06</w:t>
            </w:r>
          </w:p>
        </w:tc>
        <w:tc>
          <w:tcPr>
            <w:tcW w:w="915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25"/>
              <w:ind w:left="162" w:right="153"/>
              <w:jc w:val="center"/>
              <w:rPr>
                <w:sz w:val="20"/>
              </w:rPr>
            </w:pPr>
            <w:r>
              <w:rPr>
                <w:sz w:val="20"/>
              </w:rPr>
              <w:t>2.0001</w:t>
            </w:r>
          </w:p>
        </w:tc>
        <w:tc>
          <w:tcPr>
            <w:tcW w:w="95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25"/>
              <w:ind w:right="241"/>
              <w:jc w:val="right"/>
              <w:rPr>
                <w:sz w:val="20"/>
              </w:rPr>
            </w:pPr>
            <w:r>
              <w:rPr>
                <w:sz w:val="20"/>
              </w:rPr>
              <w:t>0.403</w:t>
            </w:r>
          </w:p>
        </w:tc>
      </w:tr>
      <w:tr>
        <w:trPr>
          <w:trHeight w:val="258" w:hRule="atLeast"/>
        </w:trPr>
        <w:tc>
          <w:tcPr>
            <w:tcW w:w="1823" w:type="dxa"/>
            <w:tcBorders>
              <w:top w:val="nil"/>
            </w:tcBorders>
          </w:tcPr>
          <w:p>
            <w:pPr>
              <w:pStyle w:val="TableParagraph"/>
              <w:spacing w:line="212" w:lineRule="exact" w:before="26"/>
              <w:ind w:right="98"/>
              <w:jc w:val="right"/>
              <w:rPr>
                <w:sz w:val="20"/>
              </w:rPr>
            </w:pPr>
            <w:r>
              <w:rPr>
                <w:sz w:val="20"/>
              </w:rPr>
              <w:t>SYP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only</w:t>
            </w:r>
          </w:p>
        </w:tc>
        <w:tc>
          <w:tcPr>
            <w:tcW w:w="1099" w:type="dxa"/>
            <w:tcBorders>
              <w:top w:val="nil"/>
            </w:tcBorders>
          </w:tcPr>
          <w:p>
            <w:pPr>
              <w:pStyle w:val="TableParagraph"/>
              <w:spacing w:line="212" w:lineRule="exact" w:before="26"/>
              <w:ind w:left="152" w:right="144"/>
              <w:jc w:val="center"/>
              <w:rPr>
                <w:sz w:val="20"/>
              </w:rPr>
            </w:pPr>
            <w:r>
              <w:rPr>
                <w:sz w:val="20"/>
              </w:rPr>
              <w:t>1.90E-05</w:t>
            </w:r>
          </w:p>
        </w:tc>
        <w:tc>
          <w:tcPr>
            <w:tcW w:w="821" w:type="dxa"/>
            <w:tcBorders>
              <w:top w:val="nil"/>
            </w:tcBorders>
          </w:tcPr>
          <w:p>
            <w:pPr>
              <w:pStyle w:val="TableParagraph"/>
              <w:spacing w:line="212" w:lineRule="exact" w:before="26"/>
              <w:ind w:left="113" w:right="107"/>
              <w:jc w:val="center"/>
              <w:rPr>
                <w:sz w:val="20"/>
              </w:rPr>
            </w:pPr>
            <w:r>
              <w:rPr>
                <w:sz w:val="20"/>
              </w:rPr>
              <w:t>1.4473</w:t>
            </w:r>
          </w:p>
        </w:tc>
        <w:tc>
          <w:tcPr>
            <w:tcW w:w="913" w:type="dxa"/>
            <w:tcBorders>
              <w:top w:val="nil"/>
            </w:tcBorders>
          </w:tcPr>
          <w:p>
            <w:pPr>
              <w:pStyle w:val="TableParagraph"/>
              <w:spacing w:line="212" w:lineRule="exact" w:before="26"/>
              <w:ind w:left="127" w:right="117"/>
              <w:jc w:val="center"/>
              <w:rPr>
                <w:sz w:val="20"/>
              </w:rPr>
            </w:pPr>
            <w:r>
              <w:rPr>
                <w:sz w:val="20"/>
              </w:rPr>
              <w:t>1.4873</w:t>
            </w:r>
          </w:p>
        </w:tc>
        <w:tc>
          <w:tcPr>
            <w:tcW w:w="1369" w:type="dxa"/>
            <w:tcBorders>
              <w:top w:val="nil"/>
            </w:tcBorders>
          </w:tcPr>
          <w:p>
            <w:pPr>
              <w:pStyle w:val="TableParagraph"/>
              <w:spacing w:line="212" w:lineRule="exact" w:before="26"/>
              <w:ind w:left="97" w:right="89"/>
              <w:jc w:val="center"/>
              <w:rPr>
                <w:sz w:val="20"/>
              </w:rPr>
            </w:pPr>
            <w:r>
              <w:rPr>
                <w:sz w:val="20"/>
              </w:rPr>
              <w:t>0.7713</w:t>
            </w:r>
          </w:p>
        </w:tc>
        <w:tc>
          <w:tcPr>
            <w:tcW w:w="915" w:type="dxa"/>
            <w:tcBorders>
              <w:top w:val="nil"/>
            </w:tcBorders>
          </w:tcPr>
          <w:p>
            <w:pPr>
              <w:pStyle w:val="TableParagraph"/>
              <w:spacing w:line="212" w:lineRule="exact" w:before="26"/>
              <w:ind w:left="162" w:right="153"/>
              <w:jc w:val="center"/>
              <w:rPr>
                <w:sz w:val="20"/>
              </w:rPr>
            </w:pPr>
            <w:r>
              <w:rPr>
                <w:sz w:val="20"/>
              </w:rPr>
              <w:t>0.5138</w:t>
            </w:r>
          </w:p>
        </w:tc>
        <w:tc>
          <w:tcPr>
            <w:tcW w:w="959" w:type="dxa"/>
            <w:tcBorders>
              <w:top w:val="nil"/>
            </w:tcBorders>
          </w:tcPr>
          <w:p>
            <w:pPr>
              <w:pStyle w:val="TableParagraph"/>
              <w:spacing w:line="212" w:lineRule="exact" w:before="26"/>
              <w:ind w:right="241"/>
              <w:jc w:val="right"/>
              <w:rPr>
                <w:sz w:val="20"/>
              </w:rPr>
            </w:pPr>
            <w:r>
              <w:rPr>
                <w:sz w:val="20"/>
              </w:rPr>
              <w:t>0.250</w:t>
            </w:r>
          </w:p>
        </w:tc>
      </w:tr>
    </w:tbl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spacing w:after="0"/>
        <w:rPr>
          <w:sz w:val="20"/>
        </w:rPr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rPr>
          <w:i/>
          <w:sz w:val="23"/>
        </w:rPr>
      </w:pPr>
    </w:p>
    <w:p>
      <w:pPr>
        <w:spacing w:before="0"/>
        <w:ind w:left="3465" w:right="0" w:firstLine="0"/>
        <w:jc w:val="left"/>
        <w:rPr>
          <w:sz w:val="22"/>
        </w:rPr>
      </w:pPr>
      <w:r>
        <w:rPr>
          <w:sz w:val="22"/>
        </w:rPr>
        <w:t>Striking</w:t>
      </w:r>
      <w:r>
        <w:rPr>
          <w:spacing w:val="-6"/>
          <w:sz w:val="22"/>
        </w:rPr>
        <w:t> </w:t>
      </w:r>
      <w:r>
        <w:rPr>
          <w:sz w:val="22"/>
        </w:rPr>
        <w:t>Velocity</w:t>
      </w:r>
      <w:r>
        <w:rPr>
          <w:spacing w:val="2"/>
          <w:sz w:val="22"/>
        </w:rPr>
        <w:t> </w:t>
      </w:r>
      <w:r>
        <w:rPr>
          <w:sz w:val="22"/>
        </w:rPr>
        <w:t>(V</w:t>
      </w:r>
      <w:r>
        <w:rPr>
          <w:position w:val="-4"/>
          <w:sz w:val="16"/>
        </w:rPr>
        <w:t>s</w:t>
      </w:r>
      <w:r>
        <w:rPr>
          <w:sz w:val="22"/>
        </w:rPr>
        <w:t>) (m/s)</w:t>
      </w:r>
    </w:p>
    <w:p>
      <w:pPr>
        <w:spacing w:line="154" w:lineRule="exact" w:before="79"/>
        <w:ind w:left="1488" w:right="0" w:firstLine="0"/>
        <w:jc w:val="left"/>
        <w:rPr>
          <w:sz w:val="15"/>
        </w:rPr>
      </w:pPr>
      <w:r>
        <w:rPr>
          <w:sz w:val="15"/>
        </w:rPr>
        <w:t>180   </w:t>
      </w:r>
      <w:r>
        <w:rPr>
          <w:spacing w:val="6"/>
          <w:sz w:val="15"/>
        </w:rPr>
        <w:t> </w:t>
      </w:r>
      <w:r>
        <w:rPr>
          <w:sz w:val="15"/>
        </w:rPr>
        <w:t>240   </w:t>
      </w:r>
      <w:r>
        <w:rPr>
          <w:spacing w:val="6"/>
          <w:sz w:val="15"/>
        </w:rPr>
        <w:t> </w:t>
      </w:r>
      <w:r>
        <w:rPr>
          <w:sz w:val="15"/>
        </w:rPr>
        <w:t>300   </w:t>
      </w:r>
      <w:r>
        <w:rPr>
          <w:spacing w:val="6"/>
          <w:sz w:val="15"/>
        </w:rPr>
        <w:t> </w:t>
      </w:r>
      <w:r>
        <w:rPr>
          <w:sz w:val="15"/>
        </w:rPr>
        <w:t>360   </w:t>
      </w:r>
      <w:r>
        <w:rPr>
          <w:spacing w:val="6"/>
          <w:sz w:val="15"/>
        </w:rPr>
        <w:t> </w:t>
      </w:r>
      <w:r>
        <w:rPr>
          <w:sz w:val="15"/>
        </w:rPr>
        <w:t>420   </w:t>
      </w:r>
      <w:r>
        <w:rPr>
          <w:spacing w:val="6"/>
          <w:sz w:val="15"/>
        </w:rPr>
        <w:t> </w:t>
      </w:r>
      <w:r>
        <w:rPr>
          <w:sz w:val="15"/>
        </w:rPr>
        <w:t>480   </w:t>
      </w:r>
      <w:r>
        <w:rPr>
          <w:spacing w:val="2"/>
          <w:sz w:val="15"/>
        </w:rPr>
        <w:t> </w:t>
      </w:r>
      <w:r>
        <w:rPr>
          <w:sz w:val="15"/>
        </w:rPr>
        <w:t>540   </w:t>
      </w:r>
      <w:r>
        <w:rPr>
          <w:spacing w:val="10"/>
          <w:sz w:val="15"/>
        </w:rPr>
        <w:t> </w:t>
      </w:r>
      <w:r>
        <w:rPr>
          <w:sz w:val="15"/>
        </w:rPr>
        <w:t>600   </w:t>
      </w:r>
      <w:r>
        <w:rPr>
          <w:spacing w:val="2"/>
          <w:sz w:val="15"/>
        </w:rPr>
        <w:t> </w:t>
      </w:r>
      <w:r>
        <w:rPr>
          <w:sz w:val="15"/>
        </w:rPr>
        <w:t>660   </w:t>
      </w:r>
      <w:r>
        <w:rPr>
          <w:spacing w:val="6"/>
          <w:sz w:val="15"/>
        </w:rPr>
        <w:t> </w:t>
      </w:r>
      <w:r>
        <w:rPr>
          <w:sz w:val="15"/>
        </w:rPr>
        <w:t>720   </w:t>
      </w:r>
      <w:r>
        <w:rPr>
          <w:spacing w:val="6"/>
          <w:sz w:val="15"/>
        </w:rPr>
        <w:t> </w:t>
      </w:r>
      <w:r>
        <w:rPr>
          <w:sz w:val="15"/>
        </w:rPr>
        <w:t>780   </w:t>
      </w:r>
      <w:r>
        <w:rPr>
          <w:spacing w:val="6"/>
          <w:sz w:val="15"/>
        </w:rPr>
        <w:t> </w:t>
      </w:r>
      <w:r>
        <w:rPr>
          <w:sz w:val="15"/>
        </w:rPr>
        <w:t>840   </w:t>
      </w:r>
      <w:r>
        <w:rPr>
          <w:spacing w:val="6"/>
          <w:sz w:val="15"/>
        </w:rPr>
        <w:t> </w:t>
      </w:r>
      <w:r>
        <w:rPr>
          <w:sz w:val="15"/>
        </w:rPr>
        <w:t>900   </w:t>
      </w:r>
      <w:r>
        <w:rPr>
          <w:spacing w:val="6"/>
          <w:sz w:val="15"/>
        </w:rPr>
        <w:t> </w:t>
      </w:r>
      <w:r>
        <w:rPr>
          <w:sz w:val="15"/>
        </w:rPr>
        <w:t>960</w:t>
      </w:r>
      <w:r>
        <w:rPr>
          <w:spacing w:val="53"/>
          <w:sz w:val="15"/>
        </w:rPr>
        <w:t> </w:t>
      </w:r>
      <w:r>
        <w:rPr>
          <w:sz w:val="15"/>
        </w:rPr>
        <w:t>1020</w:t>
      </w:r>
      <w:r>
        <w:rPr>
          <w:spacing w:val="39"/>
          <w:sz w:val="15"/>
        </w:rPr>
        <w:t> </w:t>
      </w:r>
      <w:r>
        <w:rPr>
          <w:sz w:val="15"/>
        </w:rPr>
        <w:t>1080</w:t>
      </w:r>
      <w:r>
        <w:rPr>
          <w:spacing w:val="38"/>
          <w:sz w:val="15"/>
        </w:rPr>
        <w:t> </w:t>
      </w:r>
      <w:r>
        <w:rPr>
          <w:sz w:val="15"/>
        </w:rPr>
        <w:t>1140</w:t>
      </w:r>
      <w:r>
        <w:rPr>
          <w:spacing w:val="39"/>
          <w:sz w:val="15"/>
        </w:rPr>
        <w:t> </w:t>
      </w:r>
      <w:r>
        <w:rPr>
          <w:sz w:val="15"/>
        </w:rPr>
        <w:t>1200</w:t>
      </w:r>
    </w:p>
    <w:p>
      <w:pPr>
        <w:spacing w:line="154" w:lineRule="exact" w:before="0"/>
        <w:ind w:left="933" w:right="0" w:firstLine="0"/>
        <w:jc w:val="left"/>
        <w:rPr>
          <w:sz w:val="15"/>
        </w:rPr>
      </w:pPr>
      <w:r>
        <w:rPr/>
        <w:pict>
          <v:group style="position:absolute;margin-left:147.849579pt;margin-top:3.123984pt;width:348.65pt;height:151.8pt;mso-position-horizontal-relative:page;mso-position-vertical-relative:paragraph;z-index:15798272" coordorigin="2957,62" coordsize="6973,3036">
            <v:shape style="position:absolute;left:2957;top:62;width:6973;height:3036" type="#_x0000_t75" stroked="false">
              <v:imagedata r:id="rId113" o:title=""/>
            </v:shape>
            <v:shape style="position:absolute;left:2957;top:62;width:6973;height:3036" type="#_x0000_t202" filled="false" stroked="false">
              <v:textbox inset="0,0,0,0">
                <w:txbxContent>
                  <w:p>
                    <w:pPr>
                      <w:spacing w:line="218" w:lineRule="exact" w:before="162"/>
                      <w:ind w:left="761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w w:val="105"/>
                        <w:sz w:val="19"/>
                      </w:rPr>
                      <w:t>Raw</w:t>
                    </w:r>
                    <w:r>
                      <w:rPr>
                        <w:spacing w:val="-8"/>
                        <w:w w:val="105"/>
                        <w:sz w:val="19"/>
                      </w:rPr>
                      <w:t> </w:t>
                    </w:r>
                    <w:r>
                      <w:rPr>
                        <w:w w:val="105"/>
                        <w:sz w:val="19"/>
                      </w:rPr>
                      <w:t>Data</w:t>
                    </w:r>
                  </w:p>
                  <w:p>
                    <w:pPr>
                      <w:tabs>
                        <w:tab w:pos="698" w:val="left" w:leader="none"/>
                      </w:tabs>
                      <w:spacing w:line="218" w:lineRule="exact" w:before="0"/>
                      <w:ind w:left="272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w w:val="102"/>
                        <w:position w:val="6"/>
                        <w:sz w:val="15"/>
                        <w:u w:val="single" w:color="FF0000"/>
                      </w:rPr>
                      <w:t> </w:t>
                    </w:r>
                    <w:r>
                      <w:rPr>
                        <w:position w:val="6"/>
                        <w:sz w:val="15"/>
                        <w:u w:val="single" w:color="FF0000"/>
                      </w:rPr>
                      <w:tab/>
                    </w:r>
                    <w:r>
                      <w:rPr>
                        <w:position w:val="6"/>
                        <w:sz w:val="15"/>
                      </w:rPr>
                      <w:t> </w:t>
                    </w:r>
                    <w:r>
                      <w:rPr>
                        <w:spacing w:val="-13"/>
                        <w:position w:val="6"/>
                        <w:sz w:val="15"/>
                      </w:rPr>
                      <w:t> </w:t>
                    </w:r>
                    <w:r>
                      <w:rPr>
                        <w:sz w:val="19"/>
                      </w:rPr>
                      <w:t>UFC</w:t>
                    </w:r>
                    <w:r>
                      <w:rPr>
                        <w:spacing w:val="16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equation</w:t>
                    </w:r>
                    <w:r>
                      <w:rPr>
                        <w:spacing w:val="13"/>
                        <w:sz w:val="19"/>
                      </w:rPr>
                      <w:t> </w:t>
                    </w:r>
                    <w:r>
                      <w:rPr>
                        <w:sz w:val="19"/>
                      </w:rPr>
                      <w:t>calibrated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12.088348pt;margin-top:1.225157pt;width:16.45pt;height:157pt;mso-position-horizontal-relative:page;mso-position-vertical-relative:paragraph;z-index:15798784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22"/>
                    </w:rPr>
                  </w:pPr>
                  <w:r>
                    <w:rPr>
                      <w:sz w:val="22"/>
                    </w:rPr>
                    <w:t>Depth</w:t>
                  </w:r>
                  <w:r>
                    <w:rPr>
                      <w:spacing w:val="6"/>
                      <w:sz w:val="22"/>
                    </w:rPr>
                    <w:t> </w:t>
                  </w:r>
                  <w:r>
                    <w:rPr>
                      <w:sz w:val="22"/>
                    </w:rPr>
                    <w:t>of</w:t>
                  </w:r>
                  <w:r>
                    <w:rPr>
                      <w:spacing w:val="6"/>
                      <w:sz w:val="22"/>
                    </w:rPr>
                    <w:t> </w:t>
                  </w:r>
                  <w:r>
                    <w:rPr>
                      <w:sz w:val="22"/>
                    </w:rPr>
                    <w:t>Penetration</w:t>
                  </w:r>
                  <w:r>
                    <w:rPr>
                      <w:spacing w:val="7"/>
                      <w:sz w:val="22"/>
                    </w:rPr>
                    <w:t> </w:t>
                  </w:r>
                  <w:r>
                    <w:rPr>
                      <w:sz w:val="22"/>
                    </w:rPr>
                    <w:t>(T</w:t>
                  </w:r>
                  <w:r>
                    <w:rPr>
                      <w:position w:val="-4"/>
                      <w:sz w:val="17"/>
                    </w:rPr>
                    <w:t>w</w:t>
                  </w:r>
                  <w:r>
                    <w:rPr>
                      <w:sz w:val="22"/>
                    </w:rPr>
                    <w:t>)</w:t>
                  </w:r>
                  <w:r>
                    <w:rPr>
                      <w:spacing w:val="6"/>
                      <w:sz w:val="22"/>
                    </w:rPr>
                    <w:t> </w:t>
                  </w:r>
                  <w:r>
                    <w:rPr>
                      <w:sz w:val="22"/>
                    </w:rPr>
                    <w:t>(inches)</w:t>
                  </w:r>
                </w:p>
              </w:txbxContent>
            </v:textbox>
            <w10:wrap type="none"/>
          </v:shape>
        </w:pict>
      </w:r>
      <w:r>
        <w:rPr>
          <w:sz w:val="15"/>
        </w:rPr>
        <w:t>14</w:t>
      </w:r>
    </w:p>
    <w:p>
      <w:pPr>
        <w:spacing w:before="44"/>
        <w:ind w:left="933" w:right="0" w:firstLine="0"/>
        <w:jc w:val="left"/>
        <w:rPr>
          <w:sz w:val="15"/>
        </w:rPr>
      </w:pPr>
      <w:r>
        <w:rPr>
          <w:sz w:val="15"/>
        </w:rPr>
        <w:t>13</w:t>
      </w:r>
    </w:p>
    <w:p>
      <w:pPr>
        <w:spacing w:before="44"/>
        <w:ind w:left="933" w:right="0" w:firstLine="0"/>
        <w:jc w:val="left"/>
        <w:rPr>
          <w:sz w:val="15"/>
        </w:rPr>
      </w:pPr>
      <w:r>
        <w:rPr>
          <w:sz w:val="15"/>
        </w:rPr>
        <w:t>12</w:t>
      </w:r>
    </w:p>
    <w:p>
      <w:pPr>
        <w:spacing w:before="41"/>
        <w:ind w:left="933" w:right="0" w:firstLine="0"/>
        <w:jc w:val="left"/>
        <w:rPr>
          <w:sz w:val="15"/>
        </w:rPr>
      </w:pPr>
      <w:r>
        <w:rPr>
          <w:sz w:val="15"/>
        </w:rPr>
        <w:t>11</w:t>
      </w:r>
    </w:p>
    <w:p>
      <w:pPr>
        <w:spacing w:before="44"/>
        <w:ind w:left="933" w:right="0" w:firstLine="0"/>
        <w:jc w:val="left"/>
        <w:rPr>
          <w:sz w:val="15"/>
        </w:rPr>
      </w:pPr>
      <w:r>
        <w:rPr>
          <w:sz w:val="15"/>
        </w:rPr>
        <w:t>10</w:t>
      </w:r>
    </w:p>
    <w:p>
      <w:pPr>
        <w:spacing w:before="44"/>
        <w:ind w:left="1009" w:right="0" w:firstLine="0"/>
        <w:jc w:val="left"/>
        <w:rPr>
          <w:sz w:val="15"/>
        </w:rPr>
      </w:pPr>
      <w:r>
        <w:rPr>
          <w:w w:val="102"/>
          <w:sz w:val="15"/>
        </w:rPr>
        <w:t>9</w:t>
      </w:r>
    </w:p>
    <w:p>
      <w:pPr>
        <w:spacing w:before="44"/>
        <w:ind w:left="1009" w:right="0" w:firstLine="0"/>
        <w:jc w:val="left"/>
        <w:rPr>
          <w:sz w:val="15"/>
        </w:rPr>
      </w:pPr>
      <w:r>
        <w:rPr>
          <w:w w:val="102"/>
          <w:sz w:val="15"/>
        </w:rPr>
        <w:t>8</w:t>
      </w:r>
    </w:p>
    <w:p>
      <w:pPr>
        <w:spacing w:before="44"/>
        <w:ind w:left="1009" w:right="0" w:firstLine="0"/>
        <w:jc w:val="left"/>
        <w:rPr>
          <w:sz w:val="15"/>
        </w:rPr>
      </w:pPr>
      <w:r>
        <w:rPr>
          <w:w w:val="102"/>
          <w:sz w:val="15"/>
        </w:rPr>
        <w:t>7</w:t>
      </w:r>
    </w:p>
    <w:p>
      <w:pPr>
        <w:spacing w:before="44"/>
        <w:ind w:left="1009" w:right="0" w:firstLine="0"/>
        <w:jc w:val="left"/>
        <w:rPr>
          <w:sz w:val="15"/>
        </w:rPr>
      </w:pPr>
      <w:r>
        <w:rPr>
          <w:w w:val="102"/>
          <w:sz w:val="15"/>
        </w:rPr>
        <w:t>6</w:t>
      </w:r>
    </w:p>
    <w:p>
      <w:pPr>
        <w:spacing w:before="41"/>
        <w:ind w:left="1009" w:right="0" w:firstLine="0"/>
        <w:jc w:val="left"/>
        <w:rPr>
          <w:sz w:val="15"/>
        </w:rPr>
      </w:pPr>
      <w:r>
        <w:rPr>
          <w:w w:val="102"/>
          <w:sz w:val="15"/>
        </w:rPr>
        <w:t>5</w:t>
      </w:r>
    </w:p>
    <w:p>
      <w:pPr>
        <w:spacing w:before="44"/>
        <w:ind w:left="1009" w:right="0" w:firstLine="0"/>
        <w:jc w:val="left"/>
        <w:rPr>
          <w:sz w:val="15"/>
        </w:rPr>
      </w:pPr>
      <w:r>
        <w:rPr>
          <w:w w:val="102"/>
          <w:sz w:val="15"/>
        </w:rPr>
        <w:t>4</w:t>
      </w:r>
    </w:p>
    <w:p>
      <w:pPr>
        <w:spacing w:before="44"/>
        <w:ind w:left="1009" w:right="0" w:firstLine="0"/>
        <w:jc w:val="left"/>
        <w:rPr>
          <w:sz w:val="15"/>
        </w:rPr>
      </w:pPr>
      <w:r>
        <w:rPr>
          <w:w w:val="102"/>
          <w:sz w:val="15"/>
        </w:rPr>
        <w:t>3</w:t>
      </w:r>
    </w:p>
    <w:p>
      <w:pPr>
        <w:spacing w:before="44"/>
        <w:ind w:left="1009" w:right="0" w:firstLine="0"/>
        <w:jc w:val="left"/>
        <w:rPr>
          <w:sz w:val="15"/>
        </w:rPr>
      </w:pPr>
      <w:r>
        <w:rPr>
          <w:w w:val="102"/>
          <w:sz w:val="15"/>
        </w:rPr>
        <w:t>2</w:t>
      </w:r>
    </w:p>
    <w:p>
      <w:pPr>
        <w:spacing w:before="40"/>
        <w:ind w:left="1009" w:right="0" w:firstLine="0"/>
        <w:jc w:val="left"/>
        <w:rPr>
          <w:sz w:val="15"/>
        </w:rPr>
      </w:pPr>
      <w:r>
        <w:rPr>
          <w:w w:val="102"/>
          <w:sz w:val="15"/>
        </w:rPr>
        <w:t>1</w:t>
      </w:r>
    </w:p>
    <w:p>
      <w:pPr>
        <w:spacing w:line="146" w:lineRule="exact" w:before="44"/>
        <w:ind w:left="1010" w:right="0" w:firstLine="0"/>
        <w:jc w:val="left"/>
        <w:rPr>
          <w:sz w:val="15"/>
        </w:rPr>
      </w:pPr>
      <w:r>
        <w:rPr>
          <w:w w:val="102"/>
          <w:sz w:val="15"/>
        </w:rPr>
        <w:t>0</w:t>
      </w:r>
    </w:p>
    <w:p>
      <w:pPr>
        <w:pStyle w:val="BodyText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11"/>
        <w:rPr>
          <w:sz w:val="21"/>
        </w:rPr>
      </w:pPr>
    </w:p>
    <w:p>
      <w:pPr>
        <w:spacing w:before="0"/>
        <w:ind w:left="33" w:right="0" w:firstLine="0"/>
        <w:jc w:val="left"/>
        <w:rPr>
          <w:sz w:val="15"/>
        </w:rPr>
      </w:pPr>
      <w:r>
        <w:rPr>
          <w:sz w:val="15"/>
        </w:rPr>
        <w:t>35</w:t>
      </w:r>
    </w:p>
    <w:p>
      <w:pPr>
        <w:spacing w:before="41"/>
        <w:ind w:left="33" w:right="0" w:firstLine="0"/>
        <w:jc w:val="left"/>
        <w:rPr>
          <w:sz w:val="15"/>
        </w:rPr>
      </w:pPr>
      <w:r>
        <w:rPr/>
        <w:pict>
          <v:shape style="position:absolute;margin-left:516.595337pt;margin-top:-2.803727pt;width:16.45pt;height:142.15pt;mso-position-horizontal-relative:page;mso-position-vertical-relative:paragraph;z-index:15799296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22"/>
                    </w:rPr>
                  </w:pPr>
                  <w:r>
                    <w:rPr>
                      <w:sz w:val="22"/>
                    </w:rPr>
                    <w:t>Depth</w:t>
                  </w:r>
                  <w:r>
                    <w:rPr>
                      <w:spacing w:val="6"/>
                      <w:sz w:val="22"/>
                    </w:rPr>
                    <w:t> </w:t>
                  </w:r>
                  <w:r>
                    <w:rPr>
                      <w:sz w:val="22"/>
                    </w:rPr>
                    <w:t>of</w:t>
                  </w:r>
                  <w:r>
                    <w:rPr>
                      <w:spacing w:val="5"/>
                      <w:sz w:val="22"/>
                    </w:rPr>
                    <w:t> </w:t>
                  </w:r>
                  <w:r>
                    <w:rPr>
                      <w:sz w:val="22"/>
                    </w:rPr>
                    <w:t>Penetration</w:t>
                  </w:r>
                  <w:r>
                    <w:rPr>
                      <w:spacing w:val="6"/>
                      <w:sz w:val="22"/>
                    </w:rPr>
                    <w:t> </w:t>
                  </w:r>
                  <w:r>
                    <w:rPr>
                      <w:sz w:val="22"/>
                    </w:rPr>
                    <w:t>(T</w:t>
                  </w:r>
                  <w:r>
                    <w:rPr>
                      <w:position w:val="-4"/>
                      <w:sz w:val="17"/>
                    </w:rPr>
                    <w:t>w</w:t>
                  </w:r>
                  <w:r>
                    <w:rPr>
                      <w:sz w:val="22"/>
                    </w:rPr>
                    <w:t>)</w:t>
                  </w:r>
                  <w:r>
                    <w:rPr>
                      <w:spacing w:val="5"/>
                      <w:sz w:val="22"/>
                    </w:rPr>
                    <w:t> </w:t>
                  </w:r>
                  <w:r>
                    <w:rPr>
                      <w:sz w:val="22"/>
                    </w:rPr>
                    <w:t>(cm)</w:t>
                  </w:r>
                </w:p>
              </w:txbxContent>
            </v:textbox>
            <w10:wrap type="none"/>
          </v:shape>
        </w:pict>
      </w:r>
      <w:r>
        <w:rPr>
          <w:sz w:val="15"/>
        </w:rPr>
        <w:t>32.5</w:t>
      </w:r>
    </w:p>
    <w:p>
      <w:pPr>
        <w:spacing w:before="37"/>
        <w:ind w:left="33" w:right="0" w:firstLine="0"/>
        <w:jc w:val="left"/>
        <w:rPr>
          <w:sz w:val="15"/>
        </w:rPr>
      </w:pPr>
      <w:r>
        <w:rPr>
          <w:sz w:val="15"/>
        </w:rPr>
        <w:t>30</w:t>
      </w:r>
    </w:p>
    <w:p>
      <w:pPr>
        <w:spacing w:before="40"/>
        <w:ind w:left="33" w:right="0" w:firstLine="0"/>
        <w:jc w:val="left"/>
        <w:rPr>
          <w:sz w:val="15"/>
        </w:rPr>
      </w:pPr>
      <w:r>
        <w:rPr>
          <w:sz w:val="15"/>
        </w:rPr>
        <w:t>27.5</w:t>
      </w:r>
    </w:p>
    <w:p>
      <w:pPr>
        <w:spacing w:before="41"/>
        <w:ind w:left="33" w:right="0" w:firstLine="0"/>
        <w:jc w:val="left"/>
        <w:rPr>
          <w:sz w:val="15"/>
        </w:rPr>
      </w:pPr>
      <w:r>
        <w:rPr>
          <w:sz w:val="15"/>
        </w:rPr>
        <w:t>25</w:t>
      </w:r>
    </w:p>
    <w:p>
      <w:pPr>
        <w:spacing w:before="41"/>
        <w:ind w:left="33" w:right="0" w:firstLine="0"/>
        <w:jc w:val="left"/>
        <w:rPr>
          <w:sz w:val="15"/>
        </w:rPr>
      </w:pPr>
      <w:r>
        <w:rPr>
          <w:sz w:val="15"/>
        </w:rPr>
        <w:t>22.5</w:t>
      </w:r>
    </w:p>
    <w:p>
      <w:pPr>
        <w:spacing w:before="40"/>
        <w:ind w:left="33" w:right="0" w:firstLine="0"/>
        <w:jc w:val="left"/>
        <w:rPr>
          <w:sz w:val="15"/>
        </w:rPr>
      </w:pPr>
      <w:r>
        <w:rPr>
          <w:sz w:val="15"/>
        </w:rPr>
        <w:t>20</w:t>
      </w:r>
    </w:p>
    <w:p>
      <w:pPr>
        <w:spacing w:before="41"/>
        <w:ind w:left="33" w:right="0" w:firstLine="0"/>
        <w:jc w:val="left"/>
        <w:rPr>
          <w:sz w:val="15"/>
        </w:rPr>
      </w:pPr>
      <w:r>
        <w:rPr>
          <w:sz w:val="15"/>
        </w:rPr>
        <w:t>17.5</w:t>
      </w:r>
    </w:p>
    <w:p>
      <w:pPr>
        <w:spacing w:before="37"/>
        <w:ind w:left="33" w:right="0" w:firstLine="0"/>
        <w:jc w:val="left"/>
        <w:rPr>
          <w:sz w:val="15"/>
        </w:rPr>
      </w:pPr>
      <w:r>
        <w:rPr>
          <w:sz w:val="15"/>
        </w:rPr>
        <w:t>15</w:t>
      </w:r>
    </w:p>
    <w:p>
      <w:pPr>
        <w:spacing w:before="40"/>
        <w:ind w:left="33" w:right="0" w:firstLine="0"/>
        <w:jc w:val="left"/>
        <w:rPr>
          <w:sz w:val="15"/>
        </w:rPr>
      </w:pPr>
      <w:r>
        <w:rPr>
          <w:sz w:val="15"/>
        </w:rPr>
        <w:t>12.5</w:t>
      </w:r>
    </w:p>
    <w:p>
      <w:pPr>
        <w:spacing w:before="41"/>
        <w:ind w:left="33" w:right="0" w:firstLine="0"/>
        <w:jc w:val="left"/>
        <w:rPr>
          <w:sz w:val="15"/>
        </w:rPr>
      </w:pPr>
      <w:r>
        <w:rPr>
          <w:sz w:val="15"/>
        </w:rPr>
        <w:t>10</w:t>
      </w:r>
    </w:p>
    <w:p>
      <w:pPr>
        <w:spacing w:before="41"/>
        <w:ind w:left="33" w:right="0" w:firstLine="0"/>
        <w:jc w:val="left"/>
        <w:rPr>
          <w:sz w:val="15"/>
        </w:rPr>
      </w:pPr>
      <w:r>
        <w:rPr>
          <w:sz w:val="15"/>
        </w:rPr>
        <w:t>7.5</w:t>
      </w:r>
    </w:p>
    <w:p>
      <w:pPr>
        <w:spacing w:before="40"/>
        <w:ind w:left="33" w:right="0" w:firstLine="0"/>
        <w:jc w:val="left"/>
        <w:rPr>
          <w:sz w:val="15"/>
        </w:rPr>
      </w:pPr>
      <w:r>
        <w:rPr>
          <w:w w:val="102"/>
          <w:sz w:val="15"/>
        </w:rPr>
        <w:t>5</w:t>
      </w:r>
    </w:p>
    <w:p>
      <w:pPr>
        <w:spacing w:before="41"/>
        <w:ind w:left="33" w:right="0" w:firstLine="0"/>
        <w:jc w:val="left"/>
        <w:rPr>
          <w:sz w:val="15"/>
        </w:rPr>
      </w:pPr>
      <w:r>
        <w:rPr>
          <w:sz w:val="15"/>
        </w:rPr>
        <w:t>2.5</w:t>
      </w:r>
    </w:p>
    <w:p>
      <w:pPr>
        <w:spacing w:line="160" w:lineRule="exact" w:before="37"/>
        <w:ind w:left="33" w:right="0" w:firstLine="0"/>
        <w:jc w:val="left"/>
        <w:rPr>
          <w:sz w:val="15"/>
        </w:rPr>
      </w:pPr>
      <w:r>
        <w:rPr>
          <w:w w:val="102"/>
          <w:sz w:val="15"/>
        </w:rPr>
        <w:t>0</w:t>
      </w:r>
    </w:p>
    <w:p>
      <w:pPr>
        <w:spacing w:after="0" w:line="160" w:lineRule="exact"/>
        <w:jc w:val="left"/>
        <w:rPr>
          <w:sz w:val="15"/>
        </w:rPr>
        <w:sectPr>
          <w:type w:val="continuous"/>
          <w:pgSz w:w="12240" w:h="15840"/>
          <w:pgMar w:top="1380" w:bottom="280" w:left="1720" w:right="1020"/>
          <w:cols w:num="2" w:equalWidth="0">
            <w:col w:w="8203" w:space="40"/>
            <w:col w:w="1257"/>
          </w:cols>
        </w:sectPr>
      </w:pPr>
    </w:p>
    <w:p>
      <w:pPr>
        <w:tabs>
          <w:tab w:pos="775" w:val="left" w:leader="none"/>
          <w:tab w:pos="1484" w:val="left" w:leader="none"/>
          <w:tab w:pos="2256" w:val="left" w:leader="none"/>
          <w:tab w:pos="3031" w:val="left" w:leader="none"/>
          <w:tab w:pos="3803" w:val="left" w:leader="none"/>
          <w:tab w:pos="4575" w:val="left" w:leader="none"/>
          <w:tab w:pos="5351" w:val="left" w:leader="none"/>
          <w:tab w:pos="6123" w:val="left" w:leader="none"/>
          <w:tab w:pos="6898" w:val="left" w:leader="none"/>
        </w:tabs>
        <w:spacing w:line="170" w:lineRule="exact" w:before="0"/>
        <w:ind w:left="0" w:right="55" w:firstLine="0"/>
        <w:jc w:val="center"/>
        <w:rPr>
          <w:sz w:val="15"/>
        </w:rPr>
      </w:pPr>
      <w:r>
        <w:rPr>
          <w:sz w:val="15"/>
        </w:rPr>
        <w:t>400</w:t>
        <w:tab/>
        <w:t>800</w:t>
        <w:tab/>
        <w:t>1200</w:t>
        <w:tab/>
        <w:t>1600</w:t>
        <w:tab/>
        <w:t>2000</w:t>
        <w:tab/>
        <w:t>2400</w:t>
        <w:tab/>
        <w:t>2800</w:t>
        <w:tab/>
        <w:t>3200</w:t>
        <w:tab/>
        <w:t>3600</w:t>
        <w:tab/>
        <w:t>4000</w:t>
      </w:r>
    </w:p>
    <w:p>
      <w:pPr>
        <w:spacing w:before="70"/>
        <w:ind w:left="42" w:right="235" w:firstLine="0"/>
        <w:jc w:val="center"/>
        <w:rPr>
          <w:sz w:val="22"/>
        </w:rPr>
      </w:pPr>
      <w:r>
        <w:rPr>
          <w:sz w:val="22"/>
        </w:rPr>
        <w:t>Striking</w:t>
      </w:r>
      <w:r>
        <w:rPr>
          <w:spacing w:val="-6"/>
          <w:sz w:val="22"/>
        </w:rPr>
        <w:t> </w:t>
      </w:r>
      <w:r>
        <w:rPr>
          <w:sz w:val="22"/>
        </w:rPr>
        <w:t>Velocity (V</w:t>
      </w:r>
      <w:r>
        <w:rPr>
          <w:position w:val="-4"/>
          <w:sz w:val="16"/>
        </w:rPr>
        <w:t>s</w:t>
      </w:r>
      <w:r>
        <w:rPr>
          <w:sz w:val="22"/>
        </w:rPr>
        <w:t>) (fps)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2"/>
        </w:rPr>
      </w:pPr>
    </w:p>
    <w:p>
      <w:pPr>
        <w:spacing w:before="0"/>
        <w:ind w:left="977" w:right="0" w:firstLine="0"/>
        <w:jc w:val="left"/>
        <w:rPr>
          <w:i/>
          <w:sz w:val="24"/>
        </w:rPr>
      </w:pPr>
      <w:bookmarkStart w:name="_bookmark67" w:id="281"/>
      <w:bookmarkEnd w:id="281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5-11.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SPF-S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only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revised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UFC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equation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model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shown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with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SPF-S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data.</w:t>
      </w:r>
    </w:p>
    <w:p>
      <w:pPr>
        <w:spacing w:after="0"/>
        <w:jc w:val="left"/>
        <w:rPr>
          <w:sz w:val="24"/>
        </w:rPr>
        <w:sectPr>
          <w:type w:val="continuous"/>
          <w:pgSz w:w="12240" w:h="15840"/>
          <w:pgMar w:top="1380" w:bottom="280" w:left="1720" w:right="1020"/>
        </w:sectPr>
      </w:pPr>
    </w:p>
    <w:p>
      <w:pPr>
        <w:spacing w:before="60"/>
        <w:ind w:left="42" w:right="153" w:firstLine="0"/>
        <w:jc w:val="center"/>
        <w:rPr>
          <w:sz w:val="28"/>
        </w:rPr>
      </w:pPr>
      <w:r>
        <w:rPr>
          <w:sz w:val="28"/>
        </w:rPr>
        <w:t>Striking</w:t>
      </w:r>
      <w:r>
        <w:rPr>
          <w:spacing w:val="-9"/>
          <w:sz w:val="28"/>
        </w:rPr>
        <w:t> </w:t>
      </w:r>
      <w:r>
        <w:rPr>
          <w:sz w:val="28"/>
        </w:rPr>
        <w:t>Velocity</w:t>
      </w:r>
      <w:r>
        <w:rPr>
          <w:spacing w:val="-8"/>
          <w:sz w:val="28"/>
        </w:rPr>
        <w:t> </w:t>
      </w:r>
      <w:r>
        <w:rPr>
          <w:sz w:val="28"/>
        </w:rPr>
        <w:t>(m/s)</w:t>
      </w:r>
    </w:p>
    <w:p>
      <w:pPr>
        <w:spacing w:line="147" w:lineRule="exact" w:before="225"/>
        <w:ind w:left="150" w:right="0" w:firstLine="0"/>
        <w:jc w:val="center"/>
        <w:rPr>
          <w:sz w:val="17"/>
        </w:rPr>
      </w:pPr>
      <w:r>
        <w:rPr/>
        <w:pict>
          <v:shape style="position:absolute;margin-left:105.895477pt;margin-top:13.298977pt;width:17.45pt;height:166.35pt;mso-position-horizontal-relative:page;mso-position-vertical-relative:paragraph;z-index:15800320" type="#_x0000_t202" filled="false" stroked="false">
            <v:textbox inset="0,0,0,0" style="layout-flow:vertical;mso-layout-flow-alt:bottom-to-top">
              <w:txbxContent>
                <w:p>
                  <w:pPr>
                    <w:spacing w:before="6"/>
                    <w:ind w:left="20" w:right="0" w:firstLine="0"/>
                    <w:jc w:val="left"/>
                    <w:rPr>
                      <w:sz w:val="28"/>
                    </w:rPr>
                  </w:pPr>
                  <w:r>
                    <w:rPr>
                      <w:sz w:val="28"/>
                    </w:rPr>
                    <w:t>Depth</w:t>
                  </w:r>
                  <w:r>
                    <w:rPr>
                      <w:spacing w:val="-9"/>
                      <w:sz w:val="28"/>
                    </w:rPr>
                    <w:t> </w:t>
                  </w:r>
                  <w:r>
                    <w:rPr>
                      <w:sz w:val="28"/>
                    </w:rPr>
                    <w:t>of</w:t>
                  </w:r>
                  <w:r>
                    <w:rPr>
                      <w:spacing w:val="-9"/>
                      <w:sz w:val="28"/>
                    </w:rPr>
                    <w:t> </w:t>
                  </w:r>
                  <w:r>
                    <w:rPr>
                      <w:sz w:val="28"/>
                    </w:rPr>
                    <w:t>Penetration</w:t>
                  </w:r>
                  <w:r>
                    <w:rPr>
                      <w:spacing w:val="-9"/>
                      <w:sz w:val="28"/>
                    </w:rPr>
                    <w:t> </w:t>
                  </w:r>
                  <w:r>
                    <w:rPr>
                      <w:sz w:val="28"/>
                    </w:rPr>
                    <w:t>(inches)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21.803894pt;margin-top:17.466564pt;width:17.45pt;height:147.6pt;mso-position-horizontal-relative:page;mso-position-vertical-relative:paragraph;z-index:15800832" type="#_x0000_t202" filled="false" stroked="false">
            <v:textbox inset="0,0,0,0" style="layout-flow:vertical;mso-layout-flow-alt:bottom-to-top">
              <w:txbxContent>
                <w:p>
                  <w:pPr>
                    <w:spacing w:before="6"/>
                    <w:ind w:left="20" w:right="0" w:firstLine="0"/>
                    <w:jc w:val="left"/>
                    <w:rPr>
                      <w:sz w:val="28"/>
                    </w:rPr>
                  </w:pPr>
                  <w:r>
                    <w:rPr>
                      <w:sz w:val="28"/>
                    </w:rPr>
                    <w:t>Depth</w:t>
                  </w:r>
                  <w:r>
                    <w:rPr>
                      <w:spacing w:val="-9"/>
                      <w:sz w:val="28"/>
                    </w:rPr>
                    <w:t> </w:t>
                  </w:r>
                  <w:r>
                    <w:rPr>
                      <w:sz w:val="28"/>
                    </w:rPr>
                    <w:t>of</w:t>
                  </w:r>
                  <w:r>
                    <w:rPr>
                      <w:spacing w:val="-9"/>
                      <w:sz w:val="28"/>
                    </w:rPr>
                    <w:t> </w:t>
                  </w:r>
                  <w:r>
                    <w:rPr>
                      <w:sz w:val="28"/>
                    </w:rPr>
                    <w:t>Penetration</w:t>
                  </w:r>
                  <w:r>
                    <w:rPr>
                      <w:spacing w:val="-9"/>
                      <w:sz w:val="28"/>
                    </w:rPr>
                    <w:t> </w:t>
                  </w:r>
                  <w:r>
                    <w:rPr>
                      <w:sz w:val="28"/>
                    </w:rPr>
                    <w:t>(cm)</w:t>
                  </w:r>
                </w:p>
              </w:txbxContent>
            </v:textbox>
            <w10:wrap type="none"/>
          </v:shape>
        </w:pict>
      </w:r>
      <w:r>
        <w:rPr>
          <w:sz w:val="17"/>
        </w:rPr>
        <w:t>180</w:t>
      </w:r>
      <w:r>
        <w:rPr>
          <w:spacing w:val="37"/>
          <w:sz w:val="17"/>
        </w:rPr>
        <w:t> </w:t>
      </w:r>
      <w:r>
        <w:rPr>
          <w:sz w:val="17"/>
        </w:rPr>
        <w:t>240</w:t>
      </w:r>
      <w:r>
        <w:rPr>
          <w:spacing w:val="77"/>
          <w:sz w:val="17"/>
        </w:rPr>
        <w:t> </w:t>
      </w:r>
      <w:r>
        <w:rPr>
          <w:sz w:val="17"/>
        </w:rPr>
        <w:t>300</w:t>
      </w:r>
      <w:r>
        <w:rPr>
          <w:spacing w:val="78"/>
          <w:sz w:val="17"/>
        </w:rPr>
        <w:t> </w:t>
      </w:r>
      <w:r>
        <w:rPr>
          <w:sz w:val="17"/>
        </w:rPr>
        <w:t>360</w:t>
      </w:r>
      <w:r>
        <w:rPr>
          <w:spacing w:val="82"/>
          <w:sz w:val="17"/>
        </w:rPr>
        <w:t> </w:t>
      </w:r>
      <w:r>
        <w:rPr>
          <w:sz w:val="17"/>
        </w:rPr>
        <w:t>420</w:t>
      </w:r>
      <w:r>
        <w:rPr>
          <w:spacing w:val="78"/>
          <w:sz w:val="17"/>
        </w:rPr>
        <w:t> </w:t>
      </w:r>
      <w:r>
        <w:rPr>
          <w:sz w:val="17"/>
        </w:rPr>
        <w:t>480</w:t>
      </w:r>
      <w:r>
        <w:rPr>
          <w:spacing w:val="78"/>
          <w:sz w:val="17"/>
        </w:rPr>
        <w:t> </w:t>
      </w:r>
      <w:r>
        <w:rPr>
          <w:sz w:val="17"/>
        </w:rPr>
        <w:t>540</w:t>
      </w:r>
      <w:r>
        <w:rPr>
          <w:spacing w:val="78"/>
          <w:sz w:val="17"/>
        </w:rPr>
        <w:t> </w:t>
      </w:r>
      <w:r>
        <w:rPr>
          <w:sz w:val="17"/>
        </w:rPr>
        <w:t>600</w:t>
      </w:r>
      <w:r>
        <w:rPr>
          <w:spacing w:val="82"/>
          <w:sz w:val="17"/>
        </w:rPr>
        <w:t> </w:t>
      </w:r>
      <w:r>
        <w:rPr>
          <w:sz w:val="17"/>
        </w:rPr>
        <w:t>660</w:t>
      </w:r>
      <w:r>
        <w:rPr>
          <w:spacing w:val="78"/>
          <w:sz w:val="17"/>
        </w:rPr>
        <w:t> </w:t>
      </w:r>
      <w:r>
        <w:rPr>
          <w:sz w:val="17"/>
        </w:rPr>
        <w:t>720</w:t>
      </w:r>
      <w:r>
        <w:rPr>
          <w:spacing w:val="77"/>
          <w:sz w:val="17"/>
        </w:rPr>
        <w:t> </w:t>
      </w:r>
      <w:r>
        <w:rPr>
          <w:sz w:val="17"/>
        </w:rPr>
        <w:t>780</w:t>
      </w:r>
      <w:r>
        <w:rPr>
          <w:spacing w:val="83"/>
          <w:sz w:val="17"/>
        </w:rPr>
        <w:t> </w:t>
      </w:r>
      <w:r>
        <w:rPr>
          <w:sz w:val="17"/>
        </w:rPr>
        <w:t>840</w:t>
      </w:r>
      <w:r>
        <w:rPr>
          <w:spacing w:val="77"/>
          <w:sz w:val="17"/>
        </w:rPr>
        <w:t> </w:t>
      </w:r>
      <w:r>
        <w:rPr>
          <w:sz w:val="17"/>
        </w:rPr>
        <w:t>900</w:t>
      </w:r>
      <w:r>
        <w:rPr>
          <w:spacing w:val="78"/>
          <w:sz w:val="17"/>
        </w:rPr>
        <w:t> </w:t>
      </w:r>
      <w:r>
        <w:rPr>
          <w:sz w:val="17"/>
        </w:rPr>
        <w:t>960</w:t>
      </w:r>
      <w:r>
        <w:rPr>
          <w:spacing w:val="13"/>
          <w:sz w:val="17"/>
        </w:rPr>
        <w:t> </w:t>
      </w:r>
      <w:r>
        <w:rPr>
          <w:sz w:val="17"/>
        </w:rPr>
        <w:t>1020</w:t>
      </w:r>
      <w:r>
        <w:rPr>
          <w:spacing w:val="-15"/>
          <w:sz w:val="17"/>
        </w:rPr>
        <w:t> </w:t>
      </w:r>
      <w:r>
        <w:rPr>
          <w:sz w:val="17"/>
        </w:rPr>
        <w:t>1080</w:t>
      </w:r>
      <w:r>
        <w:rPr>
          <w:spacing w:val="-16"/>
          <w:sz w:val="17"/>
        </w:rPr>
        <w:t> </w:t>
      </w:r>
      <w:r>
        <w:rPr>
          <w:sz w:val="17"/>
        </w:rPr>
        <w:t>1140</w:t>
      </w:r>
      <w:r>
        <w:rPr>
          <w:spacing w:val="-11"/>
          <w:sz w:val="17"/>
        </w:rPr>
        <w:t> </w:t>
      </w:r>
      <w:r>
        <w:rPr>
          <w:sz w:val="17"/>
        </w:rPr>
        <w:t>1200</w:t>
      </w:r>
    </w:p>
    <w:p>
      <w:pPr>
        <w:tabs>
          <w:tab w:pos="8227" w:val="left" w:leader="none"/>
        </w:tabs>
        <w:spacing w:line="163" w:lineRule="auto" w:before="0"/>
        <w:ind w:left="940" w:right="0" w:firstLine="0"/>
        <w:jc w:val="left"/>
        <w:rPr>
          <w:sz w:val="19"/>
        </w:rPr>
      </w:pPr>
      <w:r>
        <w:rPr/>
        <w:pict>
          <v:group style="position:absolute;margin-left:148.885208pt;margin-top:3.692812pt;width:344.15pt;height:145.550pt;mso-position-horizontal-relative:page;mso-position-vertical-relative:paragraph;z-index:-34907136" coordorigin="2978,74" coordsize="6883,2911">
            <v:shape style="position:absolute;left:2977;top:73;width:6883;height:2911" type="#_x0000_t75" stroked="false">
              <v:imagedata r:id="rId114" o:title=""/>
            </v:shape>
            <v:shape style="position:absolute;left:3412;top:292;width:1704;height:298" type="#_x0000_t202" filled="false" stroked="false">
              <v:textbox inset="0,0,0,0">
                <w:txbxContent>
                  <w:p>
                    <w:pPr>
                      <w:tabs>
                        <w:tab w:pos="726" w:val="left" w:leader="none"/>
                      </w:tabs>
                      <w:spacing w:line="231" w:lineRule="exact" w:before="0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w w:val="100"/>
                        <w:position w:val="-6"/>
                        <w:sz w:val="19"/>
                        <w:u w:val="single" w:color="0000FF"/>
                      </w:rPr>
                      <w:t> </w:t>
                    </w:r>
                    <w:r>
                      <w:rPr>
                        <w:position w:val="-6"/>
                        <w:sz w:val="19"/>
                        <w:u w:val="single" w:color="0000FF"/>
                      </w:rPr>
                      <w:tab/>
                    </w:r>
                    <w:r>
                      <w:rPr>
                        <w:position w:val="-6"/>
                        <w:sz w:val="19"/>
                      </w:rPr>
                      <w:t>  </w:t>
                    </w:r>
                    <w:r>
                      <w:rPr>
                        <w:spacing w:val="-12"/>
                        <w:position w:val="-6"/>
                        <w:sz w:val="19"/>
                      </w:rPr>
                      <w:t> </w:t>
                    </w:r>
                    <w:r>
                      <w:rPr>
                        <w:sz w:val="21"/>
                      </w:rPr>
                      <w:t>Raw</w:t>
                    </w:r>
                    <w:r>
                      <w:rPr>
                        <w:spacing w:val="-7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Data</w:t>
                    </w:r>
                  </w:p>
                </w:txbxContent>
              </v:textbox>
              <w10:wrap type="none"/>
            </v:shape>
            <v:shape style="position:absolute;left:4269;top:501;width:2070;height:232" type="#_x0000_t202" filled="false" stroked="false">
              <v:textbox inset="0,0,0,0">
                <w:txbxContent>
                  <w:p>
                    <w:pPr>
                      <w:spacing w:line="231" w:lineRule="exact" w:before="0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UFC</w:t>
                    </w:r>
                    <w:r>
                      <w:rPr>
                        <w:spacing w:val="-12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equation</w:t>
                    </w:r>
                    <w:r>
                      <w:rPr>
                        <w:spacing w:val="-7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calibrated</w:t>
                    </w:r>
                  </w:p>
                </w:txbxContent>
              </v:textbox>
              <w10:wrap type="none"/>
            </v:shape>
            <v:shape style="position:absolute;left:2999;top:2648;width:377;height:212" type="#_x0000_t202" filled="false" stroked="false">
              <v:textbox inset="0,0,0,0">
                <w:txbxContent>
                  <w:p>
                    <w:pPr>
                      <w:spacing w:line="212" w:lineRule="exact" w:before="0"/>
                      <w:ind w:left="0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w w:val="100"/>
                        <w:sz w:val="19"/>
                        <w:u w:val="thick" w:color="0000FF"/>
                      </w:rPr>
                      <w:t> </w:t>
                    </w:r>
                    <w:r>
                      <w:rPr>
                        <w:sz w:val="19"/>
                        <w:u w:val="thick" w:color="0000FF"/>
                      </w:rPr>
                      <w:t>  </w:t>
                    </w:r>
                    <w:r>
                      <w:rPr>
                        <w:spacing w:val="-8"/>
                        <w:sz w:val="19"/>
                        <w:u w:val="thick" w:color="0000FF"/>
                      </w:rPr>
                      <w:t> </w:t>
                    </w:r>
                    <w:r>
                      <w:rPr>
                        <w:w w:val="100"/>
                        <w:sz w:val="19"/>
                        <w:u w:val="thick" w:color="0000FF"/>
                      </w:rPr>
                      <w:t> </w:t>
                    </w:r>
                    <w:r>
                      <w:rPr>
                        <w:spacing w:val="-21"/>
                        <w:sz w:val="19"/>
                        <w:u w:val="thick" w:color="0000FF"/>
                      </w:rPr>
                      <w:t> 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19"/>
        </w:rPr>
        <w:t>14</w:t>
        <w:tab/>
      </w:r>
      <w:r>
        <w:rPr>
          <w:position w:val="-3"/>
          <w:sz w:val="19"/>
        </w:rPr>
        <w:t>35</w:t>
      </w:r>
    </w:p>
    <w:p>
      <w:pPr>
        <w:tabs>
          <w:tab w:pos="8227" w:val="left" w:leader="none"/>
        </w:tabs>
        <w:spacing w:line="206" w:lineRule="exact" w:before="0"/>
        <w:ind w:left="940" w:right="0" w:firstLine="0"/>
        <w:jc w:val="left"/>
        <w:rPr>
          <w:sz w:val="19"/>
        </w:rPr>
      </w:pPr>
      <w:r>
        <w:rPr>
          <w:position w:val="4"/>
          <w:sz w:val="19"/>
        </w:rPr>
        <w:t>13</w:t>
        <w:tab/>
      </w:r>
      <w:r>
        <w:rPr>
          <w:sz w:val="19"/>
        </w:rPr>
        <w:t>32.5</w:t>
      </w:r>
    </w:p>
    <w:p>
      <w:pPr>
        <w:tabs>
          <w:tab w:pos="8227" w:val="left" w:leader="none"/>
        </w:tabs>
        <w:spacing w:line="207" w:lineRule="exact" w:before="0"/>
        <w:ind w:left="940" w:right="0" w:firstLine="0"/>
        <w:jc w:val="left"/>
        <w:rPr>
          <w:sz w:val="19"/>
        </w:rPr>
      </w:pPr>
      <w:r>
        <w:rPr>
          <w:sz w:val="19"/>
        </w:rPr>
        <w:t>12</w:t>
        <w:tab/>
      </w:r>
      <w:r>
        <w:rPr>
          <w:position w:val="-3"/>
          <w:sz w:val="19"/>
        </w:rPr>
        <w:t>30</w:t>
      </w:r>
    </w:p>
    <w:p>
      <w:pPr>
        <w:tabs>
          <w:tab w:pos="8227" w:val="left" w:leader="none"/>
        </w:tabs>
        <w:spacing w:line="202" w:lineRule="exact" w:before="0"/>
        <w:ind w:left="940" w:right="0" w:firstLine="0"/>
        <w:jc w:val="left"/>
        <w:rPr>
          <w:sz w:val="19"/>
        </w:rPr>
      </w:pPr>
      <w:r>
        <w:rPr>
          <w:position w:val="3"/>
          <w:sz w:val="19"/>
        </w:rPr>
        <w:t>11</w:t>
        <w:tab/>
      </w:r>
      <w:r>
        <w:rPr>
          <w:sz w:val="19"/>
        </w:rPr>
        <w:t>27.5</w:t>
      </w:r>
    </w:p>
    <w:p>
      <w:pPr>
        <w:tabs>
          <w:tab w:pos="8227" w:val="left" w:leader="none"/>
        </w:tabs>
        <w:spacing w:line="204" w:lineRule="exact" w:before="0"/>
        <w:ind w:left="940" w:right="0" w:firstLine="0"/>
        <w:jc w:val="left"/>
        <w:rPr>
          <w:sz w:val="19"/>
        </w:rPr>
      </w:pPr>
      <w:r>
        <w:rPr>
          <w:sz w:val="19"/>
        </w:rPr>
        <w:t>10</w:t>
        <w:tab/>
      </w:r>
      <w:r>
        <w:rPr>
          <w:position w:val="-2"/>
          <w:sz w:val="19"/>
        </w:rPr>
        <w:t>25</w:t>
      </w:r>
    </w:p>
    <w:p>
      <w:pPr>
        <w:tabs>
          <w:tab w:pos="8227" w:val="left" w:leader="none"/>
        </w:tabs>
        <w:spacing w:line="205" w:lineRule="exact" w:before="0"/>
        <w:ind w:left="1035" w:right="0" w:firstLine="0"/>
        <w:jc w:val="left"/>
        <w:rPr>
          <w:sz w:val="19"/>
        </w:rPr>
      </w:pPr>
      <w:r>
        <w:rPr>
          <w:position w:val="3"/>
          <w:sz w:val="19"/>
        </w:rPr>
        <w:t>9</w:t>
        <w:tab/>
      </w:r>
      <w:r>
        <w:rPr>
          <w:sz w:val="19"/>
        </w:rPr>
        <w:t>22.5</w:t>
      </w:r>
    </w:p>
    <w:p>
      <w:pPr>
        <w:tabs>
          <w:tab w:pos="8227" w:val="left" w:leader="none"/>
        </w:tabs>
        <w:spacing w:line="207" w:lineRule="exact" w:before="0"/>
        <w:ind w:left="1035" w:right="0" w:firstLine="0"/>
        <w:jc w:val="left"/>
        <w:rPr>
          <w:sz w:val="19"/>
        </w:rPr>
      </w:pPr>
      <w:r>
        <w:rPr>
          <w:position w:val="3"/>
          <w:sz w:val="19"/>
        </w:rPr>
        <w:t>8</w:t>
        <w:tab/>
      </w:r>
      <w:r>
        <w:rPr>
          <w:sz w:val="19"/>
        </w:rPr>
        <w:t>20</w:t>
      </w:r>
    </w:p>
    <w:p>
      <w:pPr>
        <w:tabs>
          <w:tab w:pos="8227" w:val="left" w:leader="none"/>
        </w:tabs>
        <w:spacing w:line="202" w:lineRule="exact" w:before="0"/>
        <w:ind w:left="1035" w:right="0" w:firstLine="0"/>
        <w:jc w:val="left"/>
        <w:rPr>
          <w:sz w:val="19"/>
        </w:rPr>
      </w:pPr>
      <w:r>
        <w:rPr>
          <w:position w:val="2"/>
          <w:sz w:val="19"/>
        </w:rPr>
        <w:t>7</w:t>
        <w:tab/>
      </w:r>
      <w:r>
        <w:rPr>
          <w:sz w:val="19"/>
        </w:rPr>
        <w:t>17.5</w:t>
      </w:r>
    </w:p>
    <w:p>
      <w:pPr>
        <w:tabs>
          <w:tab w:pos="8227" w:val="left" w:leader="none"/>
        </w:tabs>
        <w:spacing w:line="204" w:lineRule="exact" w:before="0"/>
        <w:ind w:left="1035" w:right="0" w:firstLine="0"/>
        <w:jc w:val="left"/>
        <w:rPr>
          <w:sz w:val="19"/>
        </w:rPr>
      </w:pPr>
      <w:r>
        <w:rPr>
          <w:position w:val="2"/>
          <w:sz w:val="19"/>
        </w:rPr>
        <w:t>6</w:t>
        <w:tab/>
      </w:r>
      <w:r>
        <w:rPr>
          <w:sz w:val="19"/>
        </w:rPr>
        <w:t>15</w:t>
      </w:r>
    </w:p>
    <w:p>
      <w:pPr>
        <w:tabs>
          <w:tab w:pos="8227" w:val="left" w:leader="none"/>
        </w:tabs>
        <w:spacing w:line="209" w:lineRule="exact" w:before="0"/>
        <w:ind w:left="1035" w:right="0" w:firstLine="0"/>
        <w:jc w:val="left"/>
        <w:rPr>
          <w:sz w:val="19"/>
        </w:rPr>
      </w:pPr>
      <w:r>
        <w:rPr>
          <w:position w:val="2"/>
          <w:sz w:val="19"/>
        </w:rPr>
        <w:t>5</w:t>
        <w:tab/>
      </w:r>
      <w:r>
        <w:rPr>
          <w:sz w:val="19"/>
        </w:rPr>
        <w:t>12.5</w:t>
      </w:r>
    </w:p>
    <w:p>
      <w:pPr>
        <w:tabs>
          <w:tab w:pos="8227" w:val="left" w:leader="none"/>
        </w:tabs>
        <w:spacing w:line="202" w:lineRule="exact" w:before="0"/>
        <w:ind w:left="1035" w:right="0" w:firstLine="0"/>
        <w:jc w:val="left"/>
        <w:rPr>
          <w:sz w:val="19"/>
        </w:rPr>
      </w:pPr>
      <w:r>
        <w:rPr>
          <w:position w:val="1"/>
          <w:sz w:val="19"/>
        </w:rPr>
        <w:t>4</w:t>
        <w:tab/>
      </w:r>
      <w:r>
        <w:rPr>
          <w:sz w:val="19"/>
        </w:rPr>
        <w:t>10</w:t>
      </w:r>
    </w:p>
    <w:p>
      <w:pPr>
        <w:tabs>
          <w:tab w:pos="8227" w:val="left" w:leader="none"/>
        </w:tabs>
        <w:spacing w:line="207" w:lineRule="exact" w:before="0"/>
        <w:ind w:left="1035" w:right="0" w:firstLine="0"/>
        <w:jc w:val="left"/>
        <w:rPr>
          <w:sz w:val="19"/>
        </w:rPr>
      </w:pPr>
      <w:r>
        <w:rPr>
          <w:position w:val="1"/>
          <w:sz w:val="19"/>
        </w:rPr>
        <w:t>3</w:t>
        <w:tab/>
      </w:r>
      <w:r>
        <w:rPr>
          <w:sz w:val="19"/>
        </w:rPr>
        <w:t>7.5</w:t>
      </w:r>
    </w:p>
    <w:p>
      <w:pPr>
        <w:tabs>
          <w:tab w:pos="8227" w:val="left" w:leader="none"/>
        </w:tabs>
        <w:spacing w:line="204" w:lineRule="exact" w:before="0"/>
        <w:ind w:left="1035" w:right="0" w:firstLine="0"/>
        <w:jc w:val="left"/>
        <w:rPr>
          <w:sz w:val="19"/>
        </w:rPr>
      </w:pPr>
      <w:r>
        <w:rPr>
          <w:sz w:val="19"/>
        </w:rPr>
        <w:t>2</w:t>
        <w:tab/>
        <w:t>5</w:t>
      </w:r>
    </w:p>
    <w:p>
      <w:pPr>
        <w:tabs>
          <w:tab w:pos="8227" w:val="left" w:leader="none"/>
        </w:tabs>
        <w:spacing w:line="204" w:lineRule="exact" w:before="0"/>
        <w:ind w:left="1035" w:right="0" w:firstLine="0"/>
        <w:jc w:val="left"/>
        <w:rPr>
          <w:sz w:val="19"/>
        </w:rPr>
      </w:pPr>
      <w:r>
        <w:rPr>
          <w:sz w:val="19"/>
        </w:rPr>
        <w:t>1</w:t>
        <w:tab/>
        <w:t>2.5</w:t>
      </w:r>
    </w:p>
    <w:p>
      <w:pPr>
        <w:tabs>
          <w:tab w:pos="8227" w:val="left" w:leader="none"/>
        </w:tabs>
        <w:spacing w:line="174" w:lineRule="exact" w:before="0"/>
        <w:ind w:left="1035" w:right="0" w:firstLine="0"/>
        <w:jc w:val="left"/>
        <w:rPr>
          <w:sz w:val="19"/>
        </w:rPr>
      </w:pPr>
      <w:r>
        <w:rPr>
          <w:sz w:val="19"/>
        </w:rPr>
        <w:t>0</w:t>
        <w:tab/>
        <w:t>0</w:t>
      </w:r>
    </w:p>
    <w:p>
      <w:pPr>
        <w:tabs>
          <w:tab w:pos="761" w:val="left" w:leader="none"/>
          <w:tab w:pos="1461" w:val="left" w:leader="none"/>
          <w:tab w:pos="2227" w:val="left" w:leader="none"/>
          <w:tab w:pos="2988" w:val="left" w:leader="none"/>
          <w:tab w:pos="3750" w:val="left" w:leader="none"/>
          <w:tab w:pos="4511" w:val="left" w:leader="none"/>
          <w:tab w:pos="5277" w:val="left" w:leader="none"/>
          <w:tab w:pos="6038" w:val="left" w:leader="none"/>
          <w:tab w:pos="6799" w:val="left" w:leader="none"/>
        </w:tabs>
        <w:spacing w:line="206" w:lineRule="exact" w:before="0"/>
        <w:ind w:left="0" w:right="95" w:firstLine="0"/>
        <w:jc w:val="center"/>
        <w:rPr>
          <w:sz w:val="19"/>
        </w:rPr>
      </w:pPr>
      <w:r>
        <w:rPr>
          <w:sz w:val="19"/>
        </w:rPr>
        <w:t>400</w:t>
        <w:tab/>
        <w:t>800</w:t>
        <w:tab/>
        <w:t>1200</w:t>
        <w:tab/>
        <w:t>1600</w:t>
        <w:tab/>
        <w:t>2000</w:t>
        <w:tab/>
        <w:t>2400</w:t>
        <w:tab/>
        <w:t>2800</w:t>
        <w:tab/>
        <w:t>3200</w:t>
        <w:tab/>
        <w:t>3600</w:t>
        <w:tab/>
        <w:t>4000</w:t>
      </w:r>
    </w:p>
    <w:p>
      <w:pPr>
        <w:pStyle w:val="Heading5"/>
        <w:spacing w:before="132"/>
        <w:ind w:left="42" w:right="144"/>
        <w:jc w:val="center"/>
      </w:pPr>
      <w:r>
        <w:rPr/>
        <w:t>Striking</w:t>
      </w:r>
      <w:r>
        <w:rPr>
          <w:spacing w:val="-8"/>
        </w:rPr>
        <w:t> </w:t>
      </w:r>
      <w:r>
        <w:rPr/>
        <w:t>Velocity</w:t>
      </w:r>
      <w:r>
        <w:rPr>
          <w:spacing w:val="-8"/>
        </w:rPr>
        <w:t> </w:t>
      </w:r>
      <w:r>
        <w:rPr/>
        <w:t>(fps)</w:t>
      </w:r>
    </w:p>
    <w:p>
      <w:pPr>
        <w:spacing w:before="246"/>
        <w:ind w:left="19" w:right="0" w:firstLine="0"/>
        <w:jc w:val="center"/>
        <w:rPr>
          <w:i/>
          <w:sz w:val="24"/>
        </w:rPr>
      </w:pPr>
      <w:bookmarkStart w:name="_bookmark68" w:id="282"/>
      <w:bookmarkEnd w:id="282"/>
      <w:r>
        <w:rPr/>
      </w:r>
      <w:r>
        <w:rPr>
          <w:i/>
          <w:sz w:val="24"/>
        </w:rPr>
        <w:t>Figure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5-12.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SYP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only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revised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UFC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equation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model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shown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with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SYP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data.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3"/>
        <w:rPr>
          <w:i/>
          <w:sz w:val="33"/>
        </w:rPr>
      </w:pPr>
    </w:p>
    <w:p>
      <w:pPr>
        <w:pStyle w:val="BodyText"/>
        <w:spacing w:line="480" w:lineRule="auto"/>
        <w:ind w:left="440" w:right="416" w:firstLine="720"/>
        <w:jc w:val="both"/>
      </w:pPr>
      <w:r>
        <w:rPr/>
        <w:t>It is interesting to note that the MSE is better for the SYP data only model and</w:t>
      </w:r>
      <w:r>
        <w:rPr>
          <w:spacing w:val="1"/>
        </w:rPr>
        <w:t> </w:t>
      </w:r>
      <w:r>
        <w:rPr/>
        <w:t>slightly</w:t>
      </w:r>
      <w:r>
        <w:rPr>
          <w:spacing w:val="-5"/>
        </w:rPr>
        <w:t> </w:t>
      </w:r>
      <w:r>
        <w:rPr/>
        <w:t>worse</w:t>
      </w:r>
      <w:r>
        <w:rPr>
          <w:spacing w:val="-5"/>
        </w:rPr>
        <w:t> </w:t>
      </w:r>
      <w:r>
        <w:rPr/>
        <w:t>for</w:t>
      </w:r>
      <w:r>
        <w:rPr>
          <w:spacing w:val="-3"/>
        </w:rPr>
        <w:t> </w:t>
      </w:r>
      <w:r>
        <w:rPr/>
        <w:t>the</w:t>
      </w:r>
      <w:r>
        <w:rPr>
          <w:spacing w:val="-5"/>
        </w:rPr>
        <w:t> </w:t>
      </w:r>
      <w:r>
        <w:rPr/>
        <w:t>SPF-S</w:t>
      </w:r>
      <w:r>
        <w:rPr>
          <w:spacing w:val="-5"/>
        </w:rPr>
        <w:t> </w:t>
      </w:r>
      <w:r>
        <w:rPr/>
        <w:t>data</w:t>
      </w:r>
      <w:r>
        <w:rPr>
          <w:spacing w:val="-4"/>
        </w:rPr>
        <w:t> </w:t>
      </w:r>
      <w:r>
        <w:rPr/>
        <w:t>only</w:t>
      </w:r>
      <w:r>
        <w:rPr>
          <w:spacing w:val="-5"/>
        </w:rPr>
        <w:t> </w:t>
      </w:r>
      <w:r>
        <w:rPr/>
        <w:t>model</w:t>
      </w:r>
      <w:r>
        <w:rPr>
          <w:spacing w:val="-3"/>
        </w:rPr>
        <w:t> </w:t>
      </w:r>
      <w:r>
        <w:rPr/>
        <w:t>compared</w:t>
      </w:r>
      <w:r>
        <w:rPr>
          <w:spacing w:val="-5"/>
        </w:rPr>
        <w:t> </w:t>
      </w:r>
      <w:r>
        <w:rPr/>
        <w:t>to</w:t>
      </w:r>
      <w:r>
        <w:rPr>
          <w:spacing w:val="-6"/>
        </w:rPr>
        <w:t> </w:t>
      </w:r>
      <w:r>
        <w:rPr/>
        <w:t>the</w:t>
      </w:r>
      <w:r>
        <w:rPr>
          <w:spacing w:val="-4"/>
        </w:rPr>
        <w:t> </w:t>
      </w:r>
      <w:r>
        <w:rPr/>
        <w:t>original</w:t>
      </w:r>
      <w:r>
        <w:rPr>
          <w:spacing w:val="-6"/>
        </w:rPr>
        <w:t> </w:t>
      </w:r>
      <w:r>
        <w:rPr/>
        <w:t>revised</w:t>
      </w:r>
      <w:r>
        <w:rPr>
          <w:spacing w:val="-4"/>
        </w:rPr>
        <w:t> </w:t>
      </w:r>
      <w:r>
        <w:rPr/>
        <w:t>UFC</w:t>
      </w:r>
      <w:r>
        <w:rPr>
          <w:spacing w:val="-5"/>
        </w:rPr>
        <w:t> </w:t>
      </w:r>
      <w:r>
        <w:rPr/>
        <w:t>model</w:t>
      </w:r>
      <w:r>
        <w:rPr>
          <w:spacing w:val="-58"/>
        </w:rPr>
        <w:t> </w:t>
      </w:r>
      <w:r>
        <w:rPr/>
        <w:t>with both data sets. The model parameters vary significantly. Again, it is possible to vary</w:t>
      </w:r>
      <w:r>
        <w:rPr>
          <w:spacing w:val="1"/>
        </w:rPr>
        <w:t> </w:t>
      </w:r>
      <w:r>
        <w:rPr/>
        <w:t>the</w:t>
      </w:r>
      <w:r>
        <w:rPr>
          <w:spacing w:val="57"/>
        </w:rPr>
        <w:t> </w:t>
      </w:r>
      <w:r>
        <w:rPr/>
        <w:t>values</w:t>
      </w:r>
      <w:r>
        <w:rPr>
          <w:spacing w:val="56"/>
        </w:rPr>
        <w:t> </w:t>
      </w:r>
      <w:r>
        <w:rPr/>
        <w:t>of</w:t>
      </w:r>
      <w:r>
        <w:rPr>
          <w:spacing w:val="57"/>
        </w:rPr>
        <w:t> </w:t>
      </w:r>
      <w:r>
        <w:rPr/>
        <w:t>the</w:t>
      </w:r>
      <w:r>
        <w:rPr>
          <w:spacing w:val="58"/>
        </w:rPr>
        <w:t> </w:t>
      </w:r>
      <w:r>
        <w:rPr/>
        <w:t>parameters</w:t>
      </w:r>
      <w:r>
        <w:rPr>
          <w:spacing w:val="58"/>
        </w:rPr>
        <w:t> </w:t>
      </w:r>
      <w:r>
        <w:rPr/>
        <w:t>with</w:t>
      </w:r>
      <w:r>
        <w:rPr>
          <w:spacing w:val="57"/>
        </w:rPr>
        <w:t> </w:t>
      </w:r>
      <w:r>
        <w:rPr/>
        <w:t>different</w:t>
      </w:r>
      <w:r>
        <w:rPr>
          <w:spacing w:val="57"/>
        </w:rPr>
        <w:t> </w:t>
      </w:r>
      <w:r>
        <w:rPr/>
        <w:t>initial</w:t>
      </w:r>
      <w:r>
        <w:rPr>
          <w:spacing w:val="58"/>
        </w:rPr>
        <w:t> </w:t>
      </w:r>
      <w:r>
        <w:rPr/>
        <w:t>guesses</w:t>
      </w:r>
      <w:r>
        <w:rPr>
          <w:spacing w:val="58"/>
        </w:rPr>
        <w:t> </w:t>
      </w:r>
      <w:r>
        <w:rPr/>
        <w:t>or</w:t>
      </w:r>
      <w:r>
        <w:rPr>
          <w:spacing w:val="58"/>
        </w:rPr>
        <w:t> </w:t>
      </w:r>
      <w:r>
        <w:rPr/>
        <w:t>get</w:t>
      </w:r>
      <w:r>
        <w:rPr>
          <w:spacing w:val="58"/>
        </w:rPr>
        <w:t> </w:t>
      </w:r>
      <w:r>
        <w:rPr/>
        <w:t>limitations</w:t>
      </w:r>
      <w:r>
        <w:rPr>
          <w:spacing w:val="58"/>
        </w:rPr>
        <w:t> </w:t>
      </w:r>
      <w:r>
        <w:rPr/>
        <w:t>for</w:t>
      </w:r>
      <w:r>
        <w:rPr>
          <w:spacing w:val="57"/>
        </w:rPr>
        <w:t> </w:t>
      </w:r>
      <w:r>
        <w:rPr/>
        <w:t>the</w:t>
      </w:r>
      <w:r>
        <w:rPr>
          <w:spacing w:val="-57"/>
        </w:rPr>
        <w:t> </w:t>
      </w:r>
      <w:r>
        <w:rPr/>
        <w:t>parameters while maintaining the same MSE and curve.</w:t>
      </w:r>
      <w:r>
        <w:rPr>
          <w:spacing w:val="1"/>
        </w:rPr>
        <w:t> </w:t>
      </w:r>
      <w:r>
        <w:rPr/>
        <w:t>The one parameter that does not</w:t>
      </w:r>
      <w:r>
        <w:rPr>
          <w:spacing w:val="1"/>
        </w:rPr>
        <w:t> </w:t>
      </w:r>
      <w:r>
        <w:rPr/>
        <w:t>change is the one associated with the striking velocity, </w:t>
      </w:r>
      <w:r>
        <w:rPr>
          <w:i/>
        </w:rPr>
        <w:t>a</w:t>
      </w:r>
      <w:r>
        <w:rPr/>
        <w:t>, and this is likely because the</w:t>
      </w:r>
      <w:r>
        <w:rPr>
          <w:spacing w:val="1"/>
        </w:rPr>
        <w:t> </w:t>
      </w:r>
      <w:r>
        <w:rPr/>
        <w:t>striking</w:t>
      </w:r>
      <w:r>
        <w:rPr>
          <w:spacing w:val="-1"/>
        </w:rPr>
        <w:t> </w:t>
      </w:r>
      <w:r>
        <w:rPr/>
        <w:t>velocity data varies across a</w:t>
      </w:r>
      <w:r>
        <w:rPr>
          <w:spacing w:val="-1"/>
        </w:rPr>
        <w:t> </w:t>
      </w:r>
      <w:r>
        <w:rPr/>
        <w:t>range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values.</w:t>
      </w:r>
    </w:p>
    <w:p>
      <w:pPr>
        <w:pStyle w:val="BodyText"/>
        <w:spacing w:line="480" w:lineRule="auto" w:before="160"/>
        <w:ind w:left="440" w:right="419" w:firstLine="720"/>
        <w:jc w:val="both"/>
      </w:pPr>
      <w:r>
        <w:rPr/>
        <w:t>The other parameters are associated with the projectile weight, projectile diameter</w:t>
      </w:r>
      <w:r>
        <w:rPr>
          <w:spacing w:val="-57"/>
        </w:rPr>
        <w:t> </w:t>
      </w:r>
      <w:r>
        <w:rPr/>
        <w:t>and wood hardness, as well as the constant.</w:t>
      </w:r>
      <w:r>
        <w:rPr>
          <w:spacing w:val="1"/>
        </w:rPr>
        <w:t> </w:t>
      </w:r>
      <w:r>
        <w:rPr/>
        <w:t>These values do not change in the set of</w:t>
      </w:r>
      <w:r>
        <w:rPr>
          <w:spacing w:val="1"/>
        </w:rPr>
        <w:t> </w:t>
      </w:r>
      <w:r>
        <w:rPr/>
        <w:t>experiments and thus they are all acting as constants in the model.</w:t>
      </w:r>
      <w:r>
        <w:rPr>
          <w:spacing w:val="1"/>
        </w:rPr>
        <w:t> </w:t>
      </w:r>
      <w:r>
        <w:rPr/>
        <w:t>With the two species</w:t>
      </w:r>
      <w:r>
        <w:rPr>
          <w:spacing w:val="1"/>
        </w:rPr>
        <w:t> </w:t>
      </w:r>
      <w:r>
        <w:rPr/>
        <w:t>data</w:t>
      </w:r>
      <w:r>
        <w:rPr>
          <w:spacing w:val="10"/>
        </w:rPr>
        <w:t> </w:t>
      </w:r>
      <w:r>
        <w:rPr/>
        <w:t>set,</w:t>
      </w:r>
      <w:r>
        <w:rPr>
          <w:spacing w:val="9"/>
        </w:rPr>
        <w:t> </w:t>
      </w:r>
      <w:r>
        <w:rPr/>
        <w:t>the</w:t>
      </w:r>
      <w:r>
        <w:rPr>
          <w:spacing w:val="8"/>
        </w:rPr>
        <w:t> </w:t>
      </w:r>
      <w:r>
        <w:rPr/>
        <w:t>hardness</w:t>
      </w:r>
      <w:r>
        <w:rPr>
          <w:spacing w:val="11"/>
        </w:rPr>
        <w:t> </w:t>
      </w:r>
      <w:r>
        <w:rPr/>
        <w:t>value</w:t>
      </w:r>
      <w:r>
        <w:rPr>
          <w:spacing w:val="10"/>
        </w:rPr>
        <w:t> </w:t>
      </w:r>
      <w:r>
        <w:rPr/>
        <w:t>varies</w:t>
      </w:r>
      <w:r>
        <w:rPr>
          <w:spacing w:val="8"/>
        </w:rPr>
        <w:t> </w:t>
      </w:r>
      <w:r>
        <w:rPr/>
        <w:t>in</w:t>
      </w:r>
      <w:r>
        <w:rPr>
          <w:spacing w:val="8"/>
        </w:rPr>
        <w:t> </w:t>
      </w:r>
      <w:r>
        <w:rPr/>
        <w:t>addition</w:t>
      </w:r>
      <w:r>
        <w:rPr>
          <w:spacing w:val="10"/>
        </w:rPr>
        <w:t> </w:t>
      </w:r>
      <w:r>
        <w:rPr/>
        <w:t>to</w:t>
      </w:r>
      <w:r>
        <w:rPr>
          <w:spacing w:val="8"/>
        </w:rPr>
        <w:t> </w:t>
      </w:r>
      <w:r>
        <w:rPr/>
        <w:t>the</w:t>
      </w:r>
      <w:r>
        <w:rPr>
          <w:spacing w:val="10"/>
        </w:rPr>
        <w:t> </w:t>
      </w:r>
      <w:r>
        <w:rPr/>
        <w:t>velocity</w:t>
      </w:r>
      <w:r>
        <w:rPr>
          <w:spacing w:val="8"/>
        </w:rPr>
        <w:t> </w:t>
      </w:r>
      <w:r>
        <w:rPr/>
        <w:t>and</w:t>
      </w:r>
      <w:r>
        <w:rPr>
          <w:spacing w:val="10"/>
        </w:rPr>
        <w:t> </w:t>
      </w:r>
      <w:r>
        <w:rPr/>
        <w:t>the</w:t>
      </w:r>
      <w:r>
        <w:rPr>
          <w:spacing w:val="10"/>
        </w:rPr>
        <w:t> </w:t>
      </w:r>
      <w:r>
        <w:rPr/>
        <w:t>parameters</w:t>
      </w:r>
      <w:r>
        <w:rPr>
          <w:spacing w:val="10"/>
        </w:rPr>
        <w:t> </w:t>
      </w:r>
      <w:r>
        <w:rPr/>
        <w:t>for</w:t>
      </w:r>
      <w:r>
        <w:rPr>
          <w:spacing w:val="10"/>
        </w:rPr>
        <w:t> </w:t>
      </w:r>
      <w:r>
        <w:rPr/>
        <w:t>both</w:t>
      </w:r>
    </w:p>
    <w:p>
      <w:pPr>
        <w:pStyle w:val="BodyText"/>
        <w:ind w:left="440"/>
        <w:jc w:val="both"/>
      </w:pPr>
      <w:r>
        <w:rPr/>
        <w:t>hardness</w:t>
      </w:r>
      <w:r>
        <w:rPr>
          <w:spacing w:val="36"/>
        </w:rPr>
        <w:t> </w:t>
      </w:r>
      <w:r>
        <w:rPr/>
        <w:t>and</w:t>
      </w:r>
      <w:r>
        <w:rPr>
          <w:spacing w:val="36"/>
        </w:rPr>
        <w:t> </w:t>
      </w:r>
      <w:r>
        <w:rPr/>
        <w:t>velocity,</w:t>
      </w:r>
      <w:r>
        <w:rPr>
          <w:spacing w:val="35"/>
        </w:rPr>
        <w:t> </w:t>
      </w:r>
      <w:r>
        <w:rPr>
          <w:i/>
        </w:rPr>
        <w:t>a</w:t>
      </w:r>
      <w:r>
        <w:rPr>
          <w:i/>
          <w:spacing w:val="37"/>
        </w:rPr>
        <w:t> </w:t>
      </w:r>
      <w:r>
        <w:rPr/>
        <w:t>and</w:t>
      </w:r>
      <w:r>
        <w:rPr>
          <w:spacing w:val="37"/>
        </w:rPr>
        <w:t> </w:t>
      </w:r>
      <w:r>
        <w:rPr>
          <w:i/>
        </w:rPr>
        <w:t>d</w:t>
      </w:r>
      <w:r>
        <w:rPr/>
        <w:t>,</w:t>
      </w:r>
      <w:r>
        <w:rPr>
          <w:spacing w:val="37"/>
        </w:rPr>
        <w:t> </w:t>
      </w:r>
      <w:r>
        <w:rPr/>
        <w:t>do</w:t>
      </w:r>
      <w:r>
        <w:rPr>
          <w:spacing w:val="36"/>
        </w:rPr>
        <w:t> </w:t>
      </w:r>
      <w:r>
        <w:rPr/>
        <w:t>not</w:t>
      </w:r>
      <w:r>
        <w:rPr>
          <w:spacing w:val="37"/>
        </w:rPr>
        <w:t> </w:t>
      </w:r>
      <w:r>
        <w:rPr/>
        <w:t>change</w:t>
      </w:r>
      <w:r>
        <w:rPr>
          <w:spacing w:val="36"/>
        </w:rPr>
        <w:t> </w:t>
      </w:r>
      <w:r>
        <w:rPr/>
        <w:t>like</w:t>
      </w:r>
      <w:r>
        <w:rPr>
          <w:spacing w:val="36"/>
        </w:rPr>
        <w:t> </w:t>
      </w:r>
      <w:r>
        <w:rPr/>
        <w:t>the</w:t>
      </w:r>
      <w:r>
        <w:rPr>
          <w:spacing w:val="37"/>
        </w:rPr>
        <w:t> </w:t>
      </w:r>
      <w:r>
        <w:rPr/>
        <w:t>other</w:t>
      </w:r>
      <w:r>
        <w:rPr>
          <w:spacing w:val="37"/>
        </w:rPr>
        <w:t> </w:t>
      </w:r>
      <w:r>
        <w:rPr/>
        <w:t>variables</w:t>
      </w:r>
      <w:r>
        <w:rPr>
          <w:spacing w:val="37"/>
        </w:rPr>
        <w:t> </w:t>
      </w:r>
      <w:r>
        <w:rPr/>
        <w:t>do</w:t>
      </w:r>
      <w:r>
        <w:rPr>
          <w:spacing w:val="37"/>
        </w:rPr>
        <w:t> </w:t>
      </w:r>
      <w:r>
        <w:rPr/>
        <w:t>with</w:t>
      </w:r>
      <w:r>
        <w:rPr>
          <w:spacing w:val="36"/>
        </w:rPr>
        <w:t> </w:t>
      </w:r>
      <w:r>
        <w:rPr/>
        <w:t>varied</w:t>
      </w:r>
    </w:p>
    <w:p>
      <w:pPr>
        <w:spacing w:after="0"/>
        <w:jc w:val="both"/>
        <w:sectPr>
          <w:pgSz w:w="12240" w:h="15840"/>
          <w:pgMar w:header="0" w:footer="1064" w:top="1340" w:bottom="1260" w:left="1720" w:right="1020"/>
        </w:sectPr>
      </w:pPr>
    </w:p>
    <w:p>
      <w:pPr>
        <w:pStyle w:val="BodyText"/>
        <w:spacing w:line="480" w:lineRule="auto" w:before="78"/>
        <w:ind w:left="440" w:right="419"/>
        <w:jc w:val="both"/>
      </w:pPr>
      <w:r>
        <w:rPr/>
        <w:t>guesses.</w:t>
      </w:r>
      <w:r>
        <w:rPr>
          <w:spacing w:val="1"/>
        </w:rPr>
        <w:t> </w:t>
      </w:r>
      <w:r>
        <w:rPr/>
        <w:t>In order for the model to calibrate a single value to the parameter, the variable</w:t>
      </w:r>
      <w:r>
        <w:rPr>
          <w:spacing w:val="1"/>
        </w:rPr>
        <w:t> </w:t>
      </w:r>
      <w:r>
        <w:rPr/>
        <w:t>needs to vary in the data set, otherwise the variable is simply a part of the constant in the</w:t>
      </w:r>
      <w:r>
        <w:rPr>
          <w:spacing w:val="1"/>
        </w:rPr>
        <w:t> </w:t>
      </w:r>
      <w:r>
        <w:rPr/>
        <w:t>model.</w:t>
      </w:r>
    </w:p>
    <w:p>
      <w:pPr>
        <w:pStyle w:val="ListParagraph"/>
        <w:numPr>
          <w:ilvl w:val="2"/>
          <w:numId w:val="21"/>
        </w:numPr>
        <w:tabs>
          <w:tab w:pos="980" w:val="left" w:leader="none"/>
        </w:tabs>
        <w:spacing w:line="240" w:lineRule="auto" w:before="161" w:after="0"/>
        <w:ind w:left="980" w:right="0" w:hanging="540"/>
        <w:jc w:val="both"/>
        <w:rPr>
          <w:i/>
          <w:sz w:val="24"/>
        </w:rPr>
      </w:pPr>
      <w:bookmarkStart w:name="5.5.4 Classical penetration models: phys" w:id="283"/>
      <w:bookmarkEnd w:id="283"/>
      <w:r>
        <w:rPr/>
      </w:r>
      <w:bookmarkStart w:name="5.5.4 Classical penetration models: phys" w:id="284"/>
      <w:bookmarkEnd w:id="284"/>
      <w:r>
        <w:rPr>
          <w:i/>
          <w:sz w:val="24"/>
        </w:rPr>
        <w:t>C</w:t>
      </w:r>
      <w:r>
        <w:rPr>
          <w:i/>
          <w:sz w:val="24"/>
        </w:rPr>
        <w:t>lassical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penetration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models: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physics-based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curve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fitting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models</w:t>
      </w:r>
    </w:p>
    <w:p>
      <w:pPr>
        <w:pStyle w:val="BodyText"/>
        <w:spacing w:before="7"/>
        <w:rPr>
          <w:i/>
          <w:sz w:val="22"/>
        </w:rPr>
      </w:pPr>
    </w:p>
    <w:p>
      <w:pPr>
        <w:pStyle w:val="BodyText"/>
        <w:spacing w:line="480" w:lineRule="auto"/>
        <w:ind w:left="440" w:right="417" w:firstLine="720"/>
        <w:jc w:val="both"/>
      </w:pPr>
      <w:r>
        <w:rPr/>
        <w:t>This research effort also explored the use of several physics-based models that are</w:t>
      </w:r>
      <w:r>
        <w:rPr>
          <w:spacing w:val="-57"/>
        </w:rPr>
        <w:t> </w:t>
      </w:r>
      <w:r>
        <w:rPr/>
        <w:t>based</w:t>
      </w:r>
      <w:r>
        <w:rPr>
          <w:spacing w:val="-8"/>
        </w:rPr>
        <w:t> </w:t>
      </w:r>
      <w:r>
        <w:rPr/>
        <w:t>on</w:t>
      </w:r>
      <w:r>
        <w:rPr>
          <w:spacing w:val="-7"/>
        </w:rPr>
        <w:t> </w:t>
      </w:r>
      <w:r>
        <w:rPr/>
        <w:t>classical</w:t>
      </w:r>
      <w:r>
        <w:rPr>
          <w:spacing w:val="-7"/>
        </w:rPr>
        <w:t> </w:t>
      </w:r>
      <w:r>
        <w:rPr/>
        <w:t>penetration</w:t>
      </w:r>
      <w:r>
        <w:rPr>
          <w:spacing w:val="-8"/>
        </w:rPr>
        <w:t> </w:t>
      </w:r>
      <w:r>
        <w:rPr/>
        <w:t>equations.</w:t>
      </w:r>
      <w:r>
        <w:rPr>
          <w:spacing w:val="46"/>
        </w:rPr>
        <w:t> </w:t>
      </w:r>
      <w:r>
        <w:rPr/>
        <w:t>These</w:t>
      </w:r>
      <w:r>
        <w:rPr>
          <w:spacing w:val="-7"/>
        </w:rPr>
        <w:t> </w:t>
      </w:r>
      <w:r>
        <w:rPr/>
        <w:t>models</w:t>
      </w:r>
      <w:r>
        <w:rPr>
          <w:spacing w:val="-8"/>
        </w:rPr>
        <w:t> </w:t>
      </w:r>
      <w:r>
        <w:rPr/>
        <w:t>are</w:t>
      </w:r>
      <w:r>
        <w:rPr>
          <w:spacing w:val="-7"/>
        </w:rPr>
        <w:t> </w:t>
      </w:r>
      <w:r>
        <w:rPr/>
        <w:t>applied</w:t>
      </w:r>
      <w:r>
        <w:rPr>
          <w:spacing w:val="-7"/>
        </w:rPr>
        <w:t> </w:t>
      </w:r>
      <w:r>
        <w:rPr/>
        <w:t>to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CLT</w:t>
      </w:r>
      <w:r>
        <w:rPr>
          <w:spacing w:val="-8"/>
        </w:rPr>
        <w:t> </w:t>
      </w:r>
      <w:r>
        <w:rPr/>
        <w:t>penetration</w:t>
      </w:r>
      <w:r>
        <w:rPr>
          <w:spacing w:val="-58"/>
        </w:rPr>
        <w:t> </w:t>
      </w:r>
      <w:r>
        <w:rPr/>
        <w:t>data and examined for goodness of fit.</w:t>
      </w:r>
      <w:r>
        <w:rPr>
          <w:spacing w:val="1"/>
        </w:rPr>
        <w:t> </w:t>
      </w:r>
      <w:r>
        <w:rPr/>
        <w:t>Each of the classical models assessed included</w:t>
      </w:r>
      <w:r>
        <w:rPr>
          <w:spacing w:val="1"/>
        </w:rPr>
        <w:t> </w:t>
      </w:r>
      <w:r>
        <w:rPr/>
        <w:t>striking</w:t>
      </w:r>
      <w:r>
        <w:rPr>
          <w:spacing w:val="-10"/>
        </w:rPr>
        <w:t> </w:t>
      </w:r>
      <w:r>
        <w:rPr/>
        <w:t>velocity</w:t>
      </w:r>
      <w:r>
        <w:rPr>
          <w:spacing w:val="-10"/>
        </w:rPr>
        <w:t> </w:t>
      </w:r>
      <w:r>
        <w:rPr/>
        <w:t>and</w:t>
      </w:r>
      <w:r>
        <w:rPr>
          <w:spacing w:val="-10"/>
        </w:rPr>
        <w:t> </w:t>
      </w:r>
      <w:r>
        <w:rPr/>
        <w:t>constants</w:t>
      </w:r>
      <w:r>
        <w:rPr>
          <w:spacing w:val="-8"/>
        </w:rPr>
        <w:t> </w:t>
      </w:r>
      <w:r>
        <w:rPr/>
        <w:t>calibrated</w:t>
      </w:r>
      <w:r>
        <w:rPr>
          <w:spacing w:val="-10"/>
        </w:rPr>
        <w:t> </w:t>
      </w:r>
      <w:r>
        <w:rPr/>
        <w:t>to</w:t>
      </w:r>
      <w:r>
        <w:rPr>
          <w:spacing w:val="-10"/>
        </w:rPr>
        <w:t> </w:t>
      </w:r>
      <w:r>
        <w:rPr/>
        <w:t>the</w:t>
      </w:r>
      <w:r>
        <w:rPr>
          <w:spacing w:val="-8"/>
        </w:rPr>
        <w:t> </w:t>
      </w:r>
      <w:r>
        <w:rPr/>
        <w:t>particular</w:t>
      </w:r>
      <w:r>
        <w:rPr>
          <w:spacing w:val="-9"/>
        </w:rPr>
        <w:t> </w:t>
      </w:r>
      <w:r>
        <w:rPr/>
        <w:t>experimental</w:t>
      </w:r>
      <w:r>
        <w:rPr>
          <w:spacing w:val="-9"/>
        </w:rPr>
        <w:t> </w:t>
      </w:r>
      <w:r>
        <w:rPr/>
        <w:t>set-up.</w:t>
      </w:r>
      <w:r>
        <w:rPr>
          <w:spacing w:val="42"/>
        </w:rPr>
        <w:t> </w:t>
      </w:r>
      <w:r>
        <w:rPr/>
        <w:t>The</w:t>
      </w:r>
      <w:r>
        <w:rPr>
          <w:spacing w:val="-9"/>
        </w:rPr>
        <w:t> </w:t>
      </w:r>
      <w:r>
        <w:rPr/>
        <w:t>classic</w:t>
      </w:r>
      <w:r>
        <w:rPr>
          <w:spacing w:val="-57"/>
        </w:rPr>
        <w:t> </w:t>
      </w:r>
      <w:r>
        <w:rPr>
          <w:spacing w:val="-1"/>
        </w:rPr>
        <w:t>models</w:t>
      </w:r>
      <w:r>
        <w:rPr>
          <w:spacing w:val="-13"/>
        </w:rPr>
        <w:t> </w:t>
      </w:r>
      <w:r>
        <w:rPr/>
        <w:t>explored</w:t>
      </w:r>
      <w:r>
        <w:rPr>
          <w:spacing w:val="-15"/>
        </w:rPr>
        <w:t> </w:t>
      </w:r>
      <w:r>
        <w:rPr/>
        <w:t>in</w:t>
      </w:r>
      <w:r>
        <w:rPr>
          <w:spacing w:val="-15"/>
        </w:rPr>
        <w:t> </w:t>
      </w:r>
      <w:r>
        <w:rPr/>
        <w:t>this</w:t>
      </w:r>
      <w:r>
        <w:rPr>
          <w:spacing w:val="-14"/>
        </w:rPr>
        <w:t> </w:t>
      </w:r>
      <w:r>
        <w:rPr/>
        <w:t>research</w:t>
      </w:r>
      <w:r>
        <w:rPr>
          <w:spacing w:val="-13"/>
        </w:rPr>
        <w:t> </w:t>
      </w:r>
      <w:r>
        <w:rPr/>
        <w:t>include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Euler-Robbins</w:t>
      </w:r>
      <w:r>
        <w:rPr>
          <w:spacing w:val="-14"/>
        </w:rPr>
        <w:t> </w:t>
      </w:r>
      <w:r>
        <w:rPr/>
        <w:t>model,</w:t>
      </w:r>
      <w:r>
        <w:rPr>
          <w:spacing w:val="-15"/>
        </w:rPr>
        <w:t> </w:t>
      </w:r>
      <w:r>
        <w:rPr/>
        <w:t>the</w:t>
      </w:r>
      <w:r>
        <w:rPr>
          <w:spacing w:val="-13"/>
        </w:rPr>
        <w:t> </w:t>
      </w:r>
      <w:r>
        <w:rPr/>
        <w:t>Poncelet</w:t>
      </w:r>
      <w:r>
        <w:rPr>
          <w:spacing w:val="-13"/>
        </w:rPr>
        <w:t> </w:t>
      </w:r>
      <w:r>
        <w:rPr/>
        <w:t>model</w:t>
      </w:r>
      <w:r>
        <w:rPr>
          <w:spacing w:val="-13"/>
        </w:rPr>
        <w:t> </w:t>
      </w:r>
      <w:r>
        <w:rPr/>
        <w:t>with</w:t>
      </w:r>
      <w:r>
        <w:rPr>
          <w:spacing w:val="-58"/>
        </w:rPr>
        <w:t> </w:t>
      </w:r>
      <w:r>
        <w:rPr/>
        <w:t>three</w:t>
      </w:r>
      <w:r>
        <w:rPr>
          <w:spacing w:val="-2"/>
        </w:rPr>
        <w:t> </w:t>
      </w:r>
      <w:r>
        <w:rPr/>
        <w:t>total variations,</w:t>
      </w:r>
      <w:r>
        <w:rPr>
          <w:spacing w:val="-2"/>
        </w:rPr>
        <w:t> </w:t>
      </w:r>
      <w:r>
        <w:rPr/>
        <w:t>and the Resal</w:t>
      </w:r>
      <w:r>
        <w:rPr>
          <w:spacing w:val="-1"/>
        </w:rPr>
        <w:t> </w:t>
      </w:r>
      <w:r>
        <w:rPr/>
        <w:t>model.</w:t>
      </w:r>
    </w:p>
    <w:p>
      <w:pPr>
        <w:pStyle w:val="BodyText"/>
        <w:spacing w:line="480" w:lineRule="auto" w:before="161"/>
        <w:ind w:left="440" w:right="417" w:firstLine="720"/>
        <w:jc w:val="both"/>
      </w:pPr>
      <w:r>
        <w:rPr/>
        <w:pict>
          <v:rect style="position:absolute;margin-left:240.960007pt;margin-top:164.813126pt;width:11.22pt;height:.78pt;mso-position-horizontal-relative:page;mso-position-vertical-relative:paragraph;z-index:-34905600" filled="true" fillcolor="#000000" stroked="false">
            <v:fill type="solid"/>
            <w10:wrap type="none"/>
          </v:rect>
        </w:pict>
      </w:r>
      <w:r>
        <w:rPr/>
        <w:pict>
          <v:rect style="position:absolute;margin-left:276.720001pt;margin-top:164.813126pt;width:10.679pt;height:.78pt;mso-position-horizontal-relative:page;mso-position-vertical-relative:paragraph;z-index:-34905088" filled="true" fillcolor="#000000" stroked="false">
            <v:fill type="solid"/>
            <w10:wrap type="none"/>
          </v:rect>
        </w:pict>
      </w:r>
      <w:r>
        <w:rPr/>
        <w:pict>
          <v:rect style="position:absolute;margin-left:337.5pt;margin-top:164.813126pt;width:17.580pt;height:.78pt;mso-position-horizontal-relative:page;mso-position-vertical-relative:paragraph;z-index:-34904576" filled="true" fillcolor="#000000" stroked="false">
            <v:fill type="solid"/>
            <w10:wrap type="none"/>
          </v:rect>
        </w:pict>
      </w:r>
      <w:r>
        <w:rPr/>
        <w:t>The equations for these models were developed with the assumptions of a rigid</w:t>
      </w:r>
      <w:r>
        <w:rPr>
          <w:spacing w:val="1"/>
        </w:rPr>
        <w:t> </w:t>
      </w:r>
      <w:r>
        <w:rPr/>
        <w:t>penetrating projectile and a process governed by deceleration.</w:t>
      </w:r>
      <w:r>
        <w:rPr>
          <w:spacing w:val="1"/>
        </w:rPr>
        <w:t> </w:t>
      </w:r>
      <w:r>
        <w:rPr/>
        <w:t>The mass of the projectile</w:t>
      </w:r>
      <w:r>
        <w:rPr>
          <w:spacing w:val="1"/>
        </w:rPr>
        <w:t> </w:t>
      </w:r>
      <w:r>
        <w:rPr/>
        <w:t>was</w:t>
      </w:r>
      <w:r>
        <w:rPr>
          <w:spacing w:val="-7"/>
        </w:rPr>
        <w:t> </w:t>
      </w:r>
      <w:r>
        <w:rPr/>
        <w:t>assumed</w:t>
      </w:r>
      <w:r>
        <w:rPr>
          <w:spacing w:val="-7"/>
        </w:rPr>
        <w:t> </w:t>
      </w:r>
      <w:r>
        <w:rPr/>
        <w:t>to</w:t>
      </w:r>
      <w:r>
        <w:rPr>
          <w:spacing w:val="-6"/>
        </w:rPr>
        <w:t> </w:t>
      </w:r>
      <w:r>
        <w:rPr/>
        <w:t>not</w:t>
      </w:r>
      <w:r>
        <w:rPr>
          <w:spacing w:val="-7"/>
        </w:rPr>
        <w:t> </w:t>
      </w:r>
      <w:r>
        <w:rPr/>
        <w:t>change</w:t>
      </w:r>
      <w:r>
        <w:rPr>
          <w:spacing w:val="-7"/>
        </w:rPr>
        <w:t> </w:t>
      </w:r>
      <w:r>
        <w:rPr/>
        <w:t>during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penetration</w:t>
      </w:r>
      <w:r>
        <w:rPr>
          <w:spacing w:val="-7"/>
        </w:rPr>
        <w:t> </w:t>
      </w:r>
      <w:r>
        <w:rPr/>
        <w:t>event</w:t>
      </w:r>
      <w:r>
        <w:rPr>
          <w:spacing w:val="-6"/>
        </w:rPr>
        <w:t> </w:t>
      </w:r>
      <w:r>
        <w:rPr/>
        <w:t>so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acceleration</w:t>
      </w:r>
      <w:r>
        <w:rPr>
          <w:spacing w:val="-6"/>
        </w:rPr>
        <w:t> </w:t>
      </w:r>
      <w:r>
        <w:rPr/>
        <w:t>was</w:t>
      </w:r>
      <w:r>
        <w:rPr>
          <w:spacing w:val="-7"/>
        </w:rPr>
        <w:t> </w:t>
      </w:r>
      <w:r>
        <w:rPr/>
        <w:t>simply</w:t>
      </w:r>
      <w:r>
        <w:rPr>
          <w:spacing w:val="-7"/>
        </w:rPr>
        <w:t> </w:t>
      </w:r>
      <w:r>
        <w:rPr/>
        <w:t>the</w:t>
      </w:r>
      <w:r>
        <w:rPr>
          <w:spacing w:val="-57"/>
        </w:rPr>
        <w:t> </w:t>
      </w:r>
      <w:r>
        <w:rPr/>
        <w:t>change in velocity with respect to the change in time, which can be transformed as</w:t>
      </w:r>
      <w:r>
        <w:rPr>
          <w:spacing w:val="1"/>
        </w:rPr>
        <w:t> </w:t>
      </w:r>
      <w:r>
        <w:rPr/>
        <w:t>demonstrated</w:t>
      </w:r>
      <w:r>
        <w:rPr>
          <w:spacing w:val="-1"/>
        </w:rPr>
        <w:t> </w:t>
      </w:r>
      <w:r>
        <w:rPr/>
        <w:t>in Equation 5.5.</w:t>
      </w:r>
    </w:p>
    <w:p>
      <w:pPr>
        <w:pStyle w:val="BodyText"/>
        <w:spacing w:before="9"/>
        <w:rPr>
          <w:sz w:val="14"/>
        </w:rPr>
      </w:pPr>
    </w:p>
    <w:tbl>
      <w:tblPr>
        <w:tblW w:w="0" w:type="auto"/>
        <w:jc w:val="left"/>
        <w:tblInd w:w="245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25"/>
        <w:gridCol w:w="2770"/>
        <w:gridCol w:w="2041"/>
      </w:tblGrid>
      <w:tr>
        <w:trPr>
          <w:trHeight w:val="584" w:hRule="atLeast"/>
        </w:trPr>
        <w:tc>
          <w:tcPr>
            <w:tcW w:w="4495" w:type="dxa"/>
            <w:gridSpan w:val="2"/>
          </w:tcPr>
          <w:p>
            <w:pPr>
              <w:pStyle w:val="TableParagraph"/>
              <w:spacing w:line="288" w:lineRule="exact"/>
              <w:ind w:left="200"/>
              <w:rPr>
                <w:rFonts w:ascii="Cambria Math" w:hAnsi="Cambria Math" w:eastAsia="Cambria Math"/>
                <w:sz w:val="24"/>
              </w:rPr>
            </w:pPr>
            <w:r>
              <w:rPr>
                <w:rFonts w:ascii="Cambria Math" w:hAnsi="Cambria Math" w:eastAsia="Cambria Math"/>
                <w:sz w:val="24"/>
              </w:rPr>
              <w:t>𝑎</w:t>
            </w:r>
            <w:r>
              <w:rPr>
                <w:rFonts w:ascii="Cambria Math" w:hAnsi="Cambria Math" w:eastAsia="Cambria Math"/>
                <w:spacing w:val="22"/>
                <w:sz w:val="24"/>
              </w:rPr>
              <w:t> </w:t>
            </w:r>
            <w:r>
              <w:rPr>
                <w:rFonts w:ascii="Cambria Math" w:hAnsi="Cambria Math" w:eastAsia="Cambria Math"/>
                <w:sz w:val="24"/>
              </w:rPr>
              <w:t>=</w:t>
            </w:r>
            <w:r>
              <w:rPr>
                <w:rFonts w:ascii="Cambria Math" w:hAnsi="Cambria Math" w:eastAsia="Cambria Math"/>
                <w:spacing w:val="15"/>
                <w:sz w:val="24"/>
              </w:rPr>
              <w:t> </w:t>
            </w:r>
            <w:r>
              <w:rPr>
                <w:rFonts w:ascii="Cambria Math" w:hAnsi="Cambria Math" w:eastAsia="Cambria Math"/>
                <w:position w:val="14"/>
                <w:sz w:val="17"/>
              </w:rPr>
              <w:t>𝑑𝑉</w:t>
            </w:r>
            <w:r>
              <w:rPr>
                <w:rFonts w:ascii="Cambria Math" w:hAnsi="Cambria Math" w:eastAsia="Cambria Math"/>
                <w:spacing w:val="37"/>
                <w:position w:val="14"/>
                <w:sz w:val="17"/>
              </w:rPr>
              <w:t> </w:t>
            </w:r>
            <w:r>
              <w:rPr>
                <w:rFonts w:ascii="Cambria Math" w:hAnsi="Cambria Math" w:eastAsia="Cambria Math"/>
                <w:sz w:val="24"/>
              </w:rPr>
              <w:t>=</w:t>
            </w:r>
            <w:r>
              <w:rPr>
                <w:rFonts w:ascii="Cambria Math" w:hAnsi="Cambria Math" w:eastAsia="Cambria Math"/>
                <w:spacing w:val="16"/>
                <w:sz w:val="24"/>
              </w:rPr>
              <w:t> </w:t>
            </w:r>
            <w:r>
              <w:rPr>
                <w:rFonts w:ascii="Cambria Math" w:hAnsi="Cambria Math" w:eastAsia="Cambria Math"/>
                <w:sz w:val="24"/>
              </w:rPr>
              <w:t>𝑣</w:t>
            </w:r>
            <w:r>
              <w:rPr>
                <w:rFonts w:ascii="Cambria Math" w:hAnsi="Cambria Math" w:eastAsia="Cambria Math"/>
                <w:spacing w:val="-2"/>
                <w:sz w:val="24"/>
              </w:rPr>
              <w:t> </w:t>
            </w:r>
            <w:r>
              <w:rPr>
                <w:rFonts w:ascii="Cambria Math" w:hAnsi="Cambria Math" w:eastAsia="Cambria Math"/>
                <w:position w:val="14"/>
                <w:sz w:val="17"/>
              </w:rPr>
              <w:t>𝑑𝑣  </w:t>
            </w:r>
            <w:r>
              <w:rPr>
                <w:rFonts w:ascii="Cambria Math" w:hAnsi="Cambria Math" w:eastAsia="Cambria Math"/>
                <w:spacing w:val="18"/>
                <w:position w:val="14"/>
                <w:sz w:val="17"/>
              </w:rPr>
              <w:t> </w:t>
            </w:r>
            <w:r>
              <w:rPr>
                <w:rFonts w:ascii="Wingdings" w:hAnsi="Wingdings" w:eastAsia="Wingdings"/>
                <w:sz w:val="24"/>
              </w:rPr>
              <w:t></w:t>
            </w:r>
            <w:r>
              <w:rPr>
                <w:spacing w:val="3"/>
                <w:sz w:val="24"/>
              </w:rPr>
              <w:t> </w:t>
            </w:r>
            <w:r>
              <w:rPr>
                <w:rFonts w:ascii="Cambria Math" w:hAnsi="Cambria Math" w:eastAsia="Cambria Math"/>
                <w:sz w:val="24"/>
              </w:rPr>
              <w:t>𝑑𝑥</w:t>
            </w:r>
            <w:r>
              <w:rPr>
                <w:rFonts w:ascii="Cambria Math" w:hAnsi="Cambria Math" w:eastAsia="Cambria Math"/>
                <w:spacing w:val="24"/>
                <w:sz w:val="24"/>
              </w:rPr>
              <w:t> </w:t>
            </w:r>
            <w:r>
              <w:rPr>
                <w:rFonts w:ascii="Cambria Math" w:hAnsi="Cambria Math" w:eastAsia="Cambria Math"/>
                <w:sz w:val="24"/>
              </w:rPr>
              <w:t>=  </w:t>
            </w:r>
            <w:r>
              <w:rPr>
                <w:rFonts w:ascii="Cambria Math" w:hAnsi="Cambria Math" w:eastAsia="Cambria Math"/>
                <w:spacing w:val="41"/>
                <w:sz w:val="24"/>
              </w:rPr>
              <w:t> </w:t>
            </w:r>
            <w:r>
              <w:rPr>
                <w:rFonts w:ascii="Cambria Math" w:hAnsi="Cambria Math" w:eastAsia="Cambria Math"/>
                <w:position w:val="14"/>
                <w:sz w:val="17"/>
              </w:rPr>
              <w:t>𝑣   </w:t>
            </w:r>
            <w:r>
              <w:rPr>
                <w:rFonts w:ascii="Cambria Math" w:hAnsi="Cambria Math" w:eastAsia="Cambria Math"/>
                <w:spacing w:val="21"/>
                <w:position w:val="14"/>
                <w:sz w:val="17"/>
              </w:rPr>
              <w:t> </w:t>
            </w:r>
            <w:r>
              <w:rPr>
                <w:rFonts w:ascii="Cambria Math" w:hAnsi="Cambria Math" w:eastAsia="Cambria Math"/>
                <w:sz w:val="24"/>
              </w:rPr>
              <w:t>𝑑𝑣</w:t>
            </w:r>
          </w:p>
          <w:p>
            <w:pPr>
              <w:pStyle w:val="TableParagraph"/>
              <w:tabs>
                <w:tab w:pos="1367" w:val="left" w:leader="none"/>
                <w:tab w:pos="2583" w:val="left" w:leader="none"/>
              </w:tabs>
              <w:spacing w:line="152" w:lineRule="exact"/>
              <w:ind w:left="670"/>
              <w:rPr>
                <w:rFonts w:ascii="Cambria Math" w:eastAsia="Cambria Math"/>
                <w:sz w:val="17"/>
              </w:rPr>
            </w:pPr>
            <w:r>
              <w:rPr>
                <w:rFonts w:ascii="Cambria Math" w:eastAsia="Cambria Math"/>
                <w:w w:val="110"/>
                <w:sz w:val="17"/>
              </w:rPr>
              <w:t>𝑑𝑡</w:t>
              <w:tab/>
              <w:t>𝑑𝑥</w:t>
              <w:tab/>
              <w:t>𝑎(𝑣)</w:t>
            </w:r>
          </w:p>
        </w:tc>
        <w:tc>
          <w:tcPr>
            <w:tcW w:w="2041" w:type="dxa"/>
          </w:tcPr>
          <w:p>
            <w:pPr>
              <w:pStyle w:val="TableParagraph"/>
              <w:spacing w:line="266" w:lineRule="exact"/>
              <w:ind w:right="197"/>
              <w:jc w:val="right"/>
              <w:rPr>
                <w:sz w:val="24"/>
              </w:rPr>
            </w:pPr>
            <w:r>
              <w:rPr>
                <w:sz w:val="24"/>
              </w:rPr>
              <w:t>(5.5)</w:t>
            </w:r>
          </w:p>
        </w:tc>
      </w:tr>
      <w:tr>
        <w:trPr>
          <w:trHeight w:val="425" w:hRule="atLeast"/>
        </w:trPr>
        <w:tc>
          <w:tcPr>
            <w:tcW w:w="1725" w:type="dxa"/>
          </w:tcPr>
          <w:p>
            <w:pPr>
              <w:pStyle w:val="TableParagraph"/>
              <w:spacing w:line="271" w:lineRule="exact" w:before="134"/>
              <w:ind w:left="1030"/>
              <w:rPr>
                <w:sz w:val="24"/>
              </w:rPr>
            </w:pPr>
            <w:r>
              <w:rPr>
                <w:sz w:val="24"/>
              </w:rPr>
              <w:t>where</w:t>
            </w:r>
          </w:p>
        </w:tc>
        <w:tc>
          <w:tcPr>
            <w:tcW w:w="2770" w:type="dxa"/>
          </w:tcPr>
          <w:p>
            <w:pPr>
              <w:pStyle w:val="TableParagraph"/>
              <w:spacing w:line="271" w:lineRule="exact" w:before="134"/>
              <w:ind w:left="108"/>
              <w:rPr>
                <w:sz w:val="24"/>
              </w:rPr>
            </w:pPr>
            <w:r>
              <w:rPr>
                <w:i/>
                <w:sz w:val="24"/>
              </w:rPr>
              <w:t>a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sz w:val="24"/>
              </w:rPr>
              <w:t>=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acceleration</w:t>
            </w:r>
          </w:p>
        </w:tc>
        <w:tc>
          <w:tcPr>
            <w:tcW w:w="2041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286" w:hRule="atLeast"/>
        </w:trPr>
        <w:tc>
          <w:tcPr>
            <w:tcW w:w="172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770" w:type="dxa"/>
          </w:tcPr>
          <w:p>
            <w:pPr>
              <w:pStyle w:val="TableParagraph"/>
              <w:spacing w:line="261" w:lineRule="exact" w:before="5"/>
              <w:ind w:left="108"/>
              <w:rPr>
                <w:sz w:val="24"/>
              </w:rPr>
            </w:pPr>
            <w:r>
              <w:rPr>
                <w:i/>
                <w:sz w:val="24"/>
              </w:rPr>
              <w:t>v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sz w:val="24"/>
              </w:rPr>
              <w:t>= velocity</w:t>
            </w:r>
          </w:p>
        </w:tc>
        <w:tc>
          <w:tcPr>
            <w:tcW w:w="2041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70" w:hRule="atLeast"/>
        </w:trPr>
        <w:tc>
          <w:tcPr>
            <w:tcW w:w="172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770" w:type="dxa"/>
          </w:tcPr>
          <w:p>
            <w:pPr>
              <w:pStyle w:val="TableParagraph"/>
              <w:spacing w:line="251" w:lineRule="exact"/>
              <w:ind w:left="108"/>
              <w:rPr>
                <w:sz w:val="24"/>
              </w:rPr>
            </w:pPr>
            <w:r>
              <w:rPr>
                <w:i/>
                <w:sz w:val="24"/>
              </w:rPr>
              <w:t>x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sz w:val="24"/>
              </w:rPr>
              <w:t>=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displacement</w:t>
            </w:r>
          </w:p>
        </w:tc>
        <w:tc>
          <w:tcPr>
            <w:tcW w:w="2041" w:type="dxa"/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line="480" w:lineRule="auto" w:before="90"/>
        <w:ind w:left="440" w:right="417"/>
        <w:jc w:val="both"/>
      </w:pPr>
      <w:r>
        <w:rPr/>
        <w:t>The depth of penetration, </w:t>
      </w:r>
      <w:r>
        <w:rPr>
          <w:i/>
        </w:rPr>
        <w:t>P</w:t>
      </w:r>
      <w:r>
        <w:rPr/>
        <w:t>, can then be obtained by integrating between boundaries as</w:t>
      </w:r>
      <w:r>
        <w:rPr>
          <w:spacing w:val="1"/>
        </w:rPr>
        <w:t> </w:t>
      </w:r>
      <w:r>
        <w:rPr/>
        <w:t>shown in Equation 5.6.</w:t>
      </w:r>
      <w:r>
        <w:rPr>
          <w:spacing w:val="1"/>
        </w:rPr>
        <w:t> </w:t>
      </w:r>
      <w:r>
        <w:rPr/>
        <w:t>The general expression for the deceleration in terms of velocity</w:t>
      </w:r>
      <w:r>
        <w:rPr>
          <w:spacing w:val="1"/>
        </w:rPr>
        <w:t> </w:t>
      </w:r>
      <w:r>
        <w:rPr/>
        <w:t>can</w:t>
      </w:r>
      <w:r>
        <w:rPr>
          <w:spacing w:val="51"/>
        </w:rPr>
        <w:t> </w:t>
      </w:r>
      <w:r>
        <w:rPr/>
        <w:t>be</w:t>
      </w:r>
      <w:r>
        <w:rPr>
          <w:spacing w:val="52"/>
        </w:rPr>
        <w:t> </w:t>
      </w:r>
      <w:r>
        <w:rPr/>
        <w:t>expressed</w:t>
      </w:r>
      <w:r>
        <w:rPr>
          <w:spacing w:val="51"/>
        </w:rPr>
        <w:t> </w:t>
      </w:r>
      <w:r>
        <w:rPr/>
        <w:t>as</w:t>
      </w:r>
      <w:r>
        <w:rPr>
          <w:spacing w:val="53"/>
        </w:rPr>
        <w:t> </w:t>
      </w:r>
      <w:r>
        <w:rPr/>
        <w:t>Equation</w:t>
      </w:r>
      <w:r>
        <w:rPr>
          <w:spacing w:val="51"/>
        </w:rPr>
        <w:t> </w:t>
      </w:r>
      <w:r>
        <w:rPr/>
        <w:t>5.7,</w:t>
      </w:r>
      <w:r>
        <w:rPr>
          <w:spacing w:val="50"/>
        </w:rPr>
        <w:t> </w:t>
      </w:r>
      <w:r>
        <w:rPr/>
        <w:t>where</w:t>
      </w:r>
      <w:r>
        <w:rPr>
          <w:spacing w:val="52"/>
        </w:rPr>
        <w:t> </w:t>
      </w:r>
      <w:r>
        <w:rPr/>
        <w:t>the</w:t>
      </w:r>
      <w:r>
        <w:rPr>
          <w:spacing w:val="53"/>
        </w:rPr>
        <w:t> </w:t>
      </w:r>
      <w:r>
        <w:rPr/>
        <w:t>constants,</w:t>
      </w:r>
      <w:r>
        <w:rPr>
          <w:spacing w:val="51"/>
        </w:rPr>
        <w:t> </w:t>
      </w:r>
      <w:r>
        <w:rPr>
          <w:i/>
        </w:rPr>
        <w:t>A</w:t>
      </w:r>
      <w:r>
        <w:rPr/>
        <w:t>,</w:t>
      </w:r>
      <w:r>
        <w:rPr>
          <w:spacing w:val="50"/>
        </w:rPr>
        <w:t> </w:t>
      </w:r>
      <w:r>
        <w:rPr>
          <w:i/>
        </w:rPr>
        <w:t>B</w:t>
      </w:r>
      <w:r>
        <w:rPr/>
        <w:t>,</w:t>
      </w:r>
      <w:r>
        <w:rPr>
          <w:spacing w:val="52"/>
        </w:rPr>
        <w:t> </w:t>
      </w:r>
      <w:r>
        <w:rPr/>
        <w:t>and</w:t>
      </w:r>
      <w:r>
        <w:rPr>
          <w:spacing w:val="51"/>
        </w:rPr>
        <w:t> </w:t>
      </w:r>
      <w:r>
        <w:rPr>
          <w:i/>
        </w:rPr>
        <w:t>C</w:t>
      </w:r>
      <w:r>
        <w:rPr>
          <w:i/>
          <w:spacing w:val="52"/>
        </w:rPr>
        <w:t> </w:t>
      </w:r>
      <w:r>
        <w:rPr/>
        <w:t>are</w:t>
      </w:r>
      <w:r>
        <w:rPr>
          <w:spacing w:val="52"/>
        </w:rPr>
        <w:t> </w:t>
      </w:r>
      <w:r>
        <w:rPr/>
        <w:t>determined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40" w:right="403"/>
      </w:pPr>
      <w:r>
        <w:rPr/>
        <w:pict>
          <v:rect style="position:absolute;margin-left:276.059998pt;margin-top:84.164146pt;width:23.82pt;height:.779pt;mso-position-horizontal-relative:page;mso-position-vertical-relative:paragraph;z-index:-34904064" filled="true" fillcolor="#000000" stroked="false">
            <v:fill type="solid"/>
            <w10:wrap type="none"/>
          </v:rect>
        </w:pict>
      </w:r>
      <w:r>
        <w:rPr/>
        <w:pict>
          <v:rect style="position:absolute;margin-left:174.360001pt;margin-top:303.181pt;width:13.86pt;height:.779pt;mso-position-horizontal-relative:page;mso-position-vertical-relative:page;z-index:-34903552" filled="true" fillcolor="#000000" stroked="false">
            <v:fill type="solid"/>
            <w10:wrap type="none"/>
          </v:rect>
        </w:pict>
      </w:r>
      <w:r>
        <w:rPr/>
        <w:t>empirically</w:t>
      </w:r>
      <w:r>
        <w:rPr>
          <w:spacing w:val="26"/>
        </w:rPr>
        <w:t> </w:t>
      </w:r>
      <w:r>
        <w:rPr/>
        <w:t>from</w:t>
      </w:r>
      <w:r>
        <w:rPr>
          <w:spacing w:val="27"/>
        </w:rPr>
        <w:t> </w:t>
      </w:r>
      <w:r>
        <w:rPr/>
        <w:t>experimentally</w:t>
      </w:r>
      <w:r>
        <w:rPr>
          <w:spacing w:val="28"/>
        </w:rPr>
        <w:t> </w:t>
      </w:r>
      <w:r>
        <w:rPr/>
        <w:t>testing.</w:t>
      </w:r>
      <w:r>
        <w:rPr>
          <w:spacing w:val="58"/>
        </w:rPr>
        <w:t> </w:t>
      </w:r>
      <w:r>
        <w:rPr/>
        <w:t>The</w:t>
      </w:r>
      <w:r>
        <w:rPr>
          <w:spacing w:val="29"/>
        </w:rPr>
        <w:t> </w:t>
      </w:r>
      <w:r>
        <w:rPr/>
        <w:t>classical</w:t>
      </w:r>
      <w:r>
        <w:rPr>
          <w:spacing w:val="28"/>
        </w:rPr>
        <w:t> </w:t>
      </w:r>
      <w:r>
        <w:rPr/>
        <w:t>penetration</w:t>
      </w:r>
      <w:r>
        <w:rPr>
          <w:spacing w:val="29"/>
        </w:rPr>
        <w:t> </w:t>
      </w:r>
      <w:r>
        <w:rPr/>
        <w:t>models</w:t>
      </w:r>
      <w:r>
        <w:rPr>
          <w:spacing w:val="28"/>
        </w:rPr>
        <w:t> </w:t>
      </w:r>
      <w:r>
        <w:rPr/>
        <w:t>all</w:t>
      </w:r>
      <w:r>
        <w:rPr>
          <w:spacing w:val="29"/>
        </w:rPr>
        <w:t> </w:t>
      </w:r>
      <w:r>
        <w:rPr/>
        <w:t>involved</w:t>
      </w:r>
      <w:r>
        <w:rPr>
          <w:spacing w:val="-57"/>
        </w:rPr>
        <w:t> </w:t>
      </w:r>
      <w:r>
        <w:rPr/>
        <w:t>variations</w:t>
      </w:r>
      <w:r>
        <w:rPr>
          <w:spacing w:val="-1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general</w:t>
      </w:r>
      <w:r>
        <w:rPr>
          <w:spacing w:val="-1"/>
        </w:rPr>
        <w:t> </w:t>
      </w:r>
      <w:r>
        <w:rPr/>
        <w:t>expression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deceleration in</w:t>
      </w:r>
      <w:r>
        <w:rPr>
          <w:spacing w:val="-1"/>
        </w:rPr>
        <w:t> </w:t>
      </w:r>
      <w:r>
        <w:rPr/>
        <w:t>terms of</w:t>
      </w:r>
      <w:r>
        <w:rPr>
          <w:spacing w:val="-2"/>
        </w:rPr>
        <w:t> </w:t>
      </w:r>
      <w:r>
        <w:rPr/>
        <w:t>penetration velocity.</w:t>
      </w:r>
    </w:p>
    <w:p>
      <w:pPr>
        <w:pStyle w:val="BodyText"/>
        <w:spacing w:before="8" w:after="1"/>
        <w:rPr>
          <w:sz w:val="14"/>
        </w:rPr>
      </w:pPr>
    </w:p>
    <w:tbl>
      <w:tblPr>
        <w:tblW w:w="0" w:type="auto"/>
        <w:jc w:val="left"/>
        <w:tblInd w:w="28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48"/>
        <w:gridCol w:w="765"/>
        <w:gridCol w:w="3273"/>
      </w:tblGrid>
      <w:tr>
        <w:trPr>
          <w:trHeight w:val="830" w:hRule="atLeast"/>
        </w:trPr>
        <w:tc>
          <w:tcPr>
            <w:tcW w:w="2248" w:type="dxa"/>
          </w:tcPr>
          <w:p>
            <w:pPr>
              <w:pStyle w:val="TableParagraph"/>
              <w:tabs>
                <w:tab w:pos="1169" w:val="left" w:leader="none"/>
              </w:tabs>
              <w:spacing w:line="141" w:lineRule="auto" w:before="29"/>
              <w:ind w:left="861"/>
              <w:rPr>
                <w:rFonts w:ascii="Cambria Math" w:eastAsia="Cambria Math"/>
                <w:sz w:val="24"/>
              </w:rPr>
            </w:pPr>
            <w:r>
              <w:rPr>
                <w:rFonts w:ascii="Cambria Math" w:eastAsia="Cambria Math"/>
                <w:sz w:val="17"/>
              </w:rPr>
              <w:t>0</w:t>
              <w:tab/>
            </w:r>
            <w:r>
              <w:rPr>
                <w:rFonts w:ascii="Cambria Math" w:eastAsia="Cambria Math"/>
                <w:position w:val="-8"/>
                <w:sz w:val="24"/>
              </w:rPr>
              <w:t>𝑣</w:t>
            </w:r>
          </w:p>
          <w:p>
            <w:pPr>
              <w:pStyle w:val="TableParagraph"/>
              <w:tabs>
                <w:tab w:pos="1516" w:val="left" w:leader="none"/>
              </w:tabs>
              <w:spacing w:line="181" w:lineRule="exact"/>
              <w:ind w:left="200"/>
              <w:rPr>
                <w:rFonts w:ascii="Cambria Math" w:hAnsi="Cambria Math" w:cs="Cambria Math" w:eastAsia="Cambria Math"/>
                <w:sz w:val="24"/>
                <w:szCs w:val="24"/>
              </w:rPr>
            </w:pPr>
            <w:r>
              <w:rPr>
                <w:rFonts w:ascii="Cambria Math" w:hAnsi="Cambria Math" w:cs="Cambria Math" w:eastAsia="Cambria Math"/>
                <w:sz w:val="24"/>
                <w:szCs w:val="24"/>
              </w:rPr>
              <w:t>𝑃</w:t>
            </w:r>
            <w:r>
              <w:rPr>
                <w:rFonts w:ascii="Cambria Math" w:hAnsi="Cambria Math" w:cs="Cambria Math" w:eastAsia="Cambria Math"/>
                <w:spacing w:val="7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sz w:val="24"/>
                <w:szCs w:val="24"/>
              </w:rPr>
              <w:t>=</w:t>
            </w:r>
            <w:r>
              <w:rPr>
                <w:rFonts w:ascii="Cambria Math" w:hAnsi="Cambria Math" w:cs="Cambria Math" w:eastAsia="Cambria Math"/>
                <w:spacing w:val="2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sz w:val="24"/>
                <w:szCs w:val="24"/>
              </w:rPr>
              <w:t>�</w:t>
              <w:tab/>
              <w:t>𝑑𝑣</w:t>
            </w:r>
          </w:p>
          <w:p>
            <w:pPr>
              <w:pStyle w:val="TableParagraph"/>
              <w:spacing w:line="175" w:lineRule="auto"/>
              <w:ind w:left="745" w:right="745"/>
              <w:jc w:val="center"/>
              <w:rPr>
                <w:rFonts w:ascii="Cambria Math" w:eastAsia="Cambria Math"/>
                <w:sz w:val="24"/>
              </w:rPr>
            </w:pPr>
            <w:r>
              <w:rPr>
                <w:rFonts w:ascii="Cambria Math" w:eastAsia="Cambria Math"/>
                <w:w w:val="105"/>
                <w:position w:val="-6"/>
                <w:sz w:val="17"/>
              </w:rPr>
              <w:t>𝑉</w:t>
            </w:r>
            <w:r>
              <w:rPr>
                <w:rFonts w:ascii="Cambria Math" w:eastAsia="Cambria Math"/>
                <w:w w:val="105"/>
                <w:position w:val="-9"/>
                <w:sz w:val="14"/>
              </w:rPr>
              <w:t>𝑠</w:t>
            </w:r>
            <w:r>
              <w:rPr>
                <w:rFonts w:ascii="Cambria Math" w:eastAsia="Cambria Math"/>
                <w:spacing w:val="19"/>
                <w:w w:val="105"/>
                <w:position w:val="-9"/>
                <w:sz w:val="14"/>
              </w:rPr>
              <w:t> </w:t>
            </w:r>
            <w:r>
              <w:rPr>
                <w:rFonts w:ascii="Cambria Math" w:eastAsia="Cambria Math"/>
                <w:w w:val="105"/>
                <w:sz w:val="24"/>
              </w:rPr>
              <w:t>𝑎(𝑣)</w:t>
            </w:r>
          </w:p>
        </w:tc>
        <w:tc>
          <w:tcPr>
            <w:tcW w:w="76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273" w:type="dxa"/>
          </w:tcPr>
          <w:p>
            <w:pPr>
              <w:pStyle w:val="TableParagraph"/>
              <w:spacing w:line="266" w:lineRule="exact"/>
              <w:ind w:right="196"/>
              <w:jc w:val="right"/>
              <w:rPr>
                <w:sz w:val="24"/>
              </w:rPr>
            </w:pPr>
            <w:r>
              <w:rPr>
                <w:sz w:val="24"/>
              </w:rPr>
              <w:t>(5.6)</w:t>
            </w:r>
          </w:p>
        </w:tc>
      </w:tr>
      <w:tr>
        <w:trPr>
          <w:trHeight w:val="676" w:hRule="atLeast"/>
        </w:trPr>
        <w:tc>
          <w:tcPr>
            <w:tcW w:w="2248" w:type="dxa"/>
          </w:tcPr>
          <w:p>
            <w:pPr>
              <w:pStyle w:val="TableParagraph"/>
              <w:spacing w:before="119"/>
              <w:ind w:left="1372"/>
              <w:rPr>
                <w:sz w:val="24"/>
              </w:rPr>
            </w:pPr>
            <w:r>
              <w:rPr>
                <w:sz w:val="24"/>
              </w:rPr>
              <w:t>where</w:t>
            </w:r>
          </w:p>
        </w:tc>
        <w:tc>
          <w:tcPr>
            <w:tcW w:w="765" w:type="dxa"/>
          </w:tcPr>
          <w:p>
            <w:pPr>
              <w:pStyle w:val="TableParagraph"/>
              <w:spacing w:before="120"/>
              <w:ind w:right="105"/>
              <w:jc w:val="right"/>
              <w:rPr>
                <w:i/>
                <w:sz w:val="24"/>
              </w:rPr>
            </w:pPr>
            <w:r>
              <w:rPr>
                <w:i/>
                <w:sz w:val="24"/>
              </w:rPr>
              <w:t>P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=</w:t>
            </w:r>
          </w:p>
        </w:tc>
        <w:tc>
          <w:tcPr>
            <w:tcW w:w="3273" w:type="dxa"/>
          </w:tcPr>
          <w:p>
            <w:pPr>
              <w:pStyle w:val="TableParagraph"/>
              <w:spacing w:line="286" w:lineRule="exact" w:before="84"/>
              <w:ind w:left="108" w:right="439"/>
              <w:rPr>
                <w:sz w:val="24"/>
              </w:rPr>
            </w:pPr>
            <w:r>
              <w:rPr>
                <w:sz w:val="24"/>
              </w:rPr>
              <w:t>depth of penetration, known</w:t>
            </w:r>
            <w:r>
              <w:rPr>
                <w:spacing w:val="-57"/>
                <w:sz w:val="24"/>
              </w:rPr>
              <w:t> </w:t>
            </w:r>
            <w:r>
              <w:rPr>
                <w:position w:val="1"/>
                <w:sz w:val="24"/>
              </w:rPr>
              <w:t>as</w:t>
            </w:r>
            <w:r>
              <w:rPr>
                <w:spacing w:val="-1"/>
                <w:position w:val="1"/>
                <w:sz w:val="24"/>
              </w:rPr>
              <w:t> </w:t>
            </w:r>
            <w:r>
              <w:rPr>
                <w:position w:val="1"/>
                <w:sz w:val="24"/>
              </w:rPr>
              <w:t>T</w:t>
            </w:r>
            <w:r>
              <w:rPr>
                <w:sz w:val="16"/>
              </w:rPr>
              <w:t>w</w:t>
            </w:r>
            <w:r>
              <w:rPr>
                <w:spacing w:val="19"/>
                <w:sz w:val="16"/>
              </w:rPr>
              <w:t> </w:t>
            </w:r>
            <w:r>
              <w:rPr>
                <w:position w:val="1"/>
                <w:sz w:val="24"/>
              </w:rPr>
              <w:t>in</w:t>
            </w:r>
            <w:r>
              <w:rPr>
                <w:spacing w:val="-1"/>
                <w:position w:val="1"/>
                <w:sz w:val="24"/>
              </w:rPr>
              <w:t> </w:t>
            </w:r>
            <w:r>
              <w:rPr>
                <w:position w:val="1"/>
                <w:sz w:val="24"/>
              </w:rPr>
              <w:t>the</w:t>
            </w:r>
            <w:r>
              <w:rPr>
                <w:spacing w:val="-1"/>
                <w:position w:val="1"/>
                <w:sz w:val="24"/>
              </w:rPr>
              <w:t> </w:t>
            </w:r>
            <w:r>
              <w:rPr>
                <w:position w:val="1"/>
                <w:sz w:val="24"/>
              </w:rPr>
              <w:t>UFC</w:t>
            </w:r>
            <w:r>
              <w:rPr>
                <w:spacing w:val="-2"/>
                <w:position w:val="1"/>
                <w:sz w:val="24"/>
              </w:rPr>
              <w:t> </w:t>
            </w:r>
            <w:r>
              <w:rPr>
                <w:position w:val="1"/>
                <w:sz w:val="24"/>
              </w:rPr>
              <w:t>equation</w:t>
            </w:r>
          </w:p>
        </w:tc>
      </w:tr>
      <w:tr>
        <w:trPr>
          <w:trHeight w:val="276" w:hRule="atLeast"/>
        </w:trPr>
        <w:tc>
          <w:tcPr>
            <w:tcW w:w="224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765" w:type="dxa"/>
          </w:tcPr>
          <w:p>
            <w:pPr>
              <w:pStyle w:val="TableParagraph"/>
              <w:spacing w:line="257" w:lineRule="exact"/>
              <w:ind w:right="105"/>
              <w:jc w:val="right"/>
              <w:rPr>
                <w:i/>
                <w:sz w:val="24"/>
              </w:rPr>
            </w:pPr>
            <w:r>
              <w:rPr>
                <w:i/>
                <w:sz w:val="24"/>
              </w:rPr>
              <w:t>v =</w:t>
            </w:r>
          </w:p>
        </w:tc>
        <w:tc>
          <w:tcPr>
            <w:tcW w:w="3273" w:type="dxa"/>
          </w:tcPr>
          <w:p>
            <w:pPr>
              <w:pStyle w:val="TableParagraph"/>
              <w:spacing w:line="257" w:lineRule="exact"/>
              <w:ind w:left="108"/>
              <w:rPr>
                <w:sz w:val="24"/>
              </w:rPr>
            </w:pPr>
            <w:r>
              <w:rPr>
                <w:sz w:val="24"/>
              </w:rPr>
              <w:t>velocity</w:t>
            </w:r>
          </w:p>
        </w:tc>
      </w:tr>
      <w:tr>
        <w:trPr>
          <w:trHeight w:val="276" w:hRule="atLeast"/>
        </w:trPr>
        <w:tc>
          <w:tcPr>
            <w:tcW w:w="224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765" w:type="dxa"/>
          </w:tcPr>
          <w:p>
            <w:pPr>
              <w:pStyle w:val="TableParagraph"/>
              <w:spacing w:line="256" w:lineRule="exact"/>
              <w:ind w:right="105"/>
              <w:jc w:val="right"/>
              <w:rPr>
                <w:i/>
                <w:sz w:val="24"/>
              </w:rPr>
            </w:pPr>
            <w:r>
              <w:rPr>
                <w:i/>
                <w:position w:val="1"/>
                <w:sz w:val="24"/>
              </w:rPr>
              <w:t>v</w:t>
            </w:r>
            <w:r>
              <w:rPr>
                <w:i/>
                <w:sz w:val="16"/>
              </w:rPr>
              <w:t>s</w:t>
            </w:r>
            <w:r>
              <w:rPr>
                <w:i/>
                <w:spacing w:val="-2"/>
                <w:sz w:val="16"/>
              </w:rPr>
              <w:t> </w:t>
            </w:r>
            <w:r>
              <w:rPr>
                <w:i/>
                <w:position w:val="1"/>
                <w:sz w:val="24"/>
              </w:rPr>
              <w:t>=</w:t>
            </w:r>
          </w:p>
        </w:tc>
        <w:tc>
          <w:tcPr>
            <w:tcW w:w="3273" w:type="dxa"/>
          </w:tcPr>
          <w:p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striking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velocity</w:t>
            </w:r>
          </w:p>
        </w:tc>
      </w:tr>
      <w:tr>
        <w:trPr>
          <w:trHeight w:val="271" w:hRule="atLeast"/>
        </w:trPr>
        <w:tc>
          <w:tcPr>
            <w:tcW w:w="224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765" w:type="dxa"/>
          </w:tcPr>
          <w:p>
            <w:pPr>
              <w:pStyle w:val="TableParagraph"/>
              <w:spacing w:line="251" w:lineRule="exact"/>
              <w:ind w:right="105"/>
              <w:jc w:val="right"/>
              <w:rPr>
                <w:i/>
                <w:sz w:val="24"/>
              </w:rPr>
            </w:pPr>
            <w:r>
              <w:rPr>
                <w:i/>
                <w:sz w:val="24"/>
              </w:rPr>
              <w:t>a =</w:t>
            </w:r>
          </w:p>
        </w:tc>
        <w:tc>
          <w:tcPr>
            <w:tcW w:w="3273" w:type="dxa"/>
          </w:tcPr>
          <w:p>
            <w:pPr>
              <w:pStyle w:val="TableParagraph"/>
              <w:spacing w:line="251" w:lineRule="exact"/>
              <w:ind w:left="108"/>
              <w:rPr>
                <w:sz w:val="24"/>
              </w:rPr>
            </w:pPr>
            <w:r>
              <w:rPr>
                <w:sz w:val="24"/>
              </w:rPr>
              <w:t>deceleration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2"/>
        </w:rPr>
      </w:pPr>
    </w:p>
    <w:tbl>
      <w:tblPr>
        <w:tblW w:w="0" w:type="auto"/>
        <w:jc w:val="left"/>
        <w:tblInd w:w="11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926"/>
        <w:gridCol w:w="1204"/>
        <w:gridCol w:w="1891"/>
      </w:tblGrid>
      <w:tr>
        <w:trPr>
          <w:trHeight w:val="709" w:hRule="atLeast"/>
        </w:trPr>
        <w:tc>
          <w:tcPr>
            <w:tcW w:w="4926" w:type="dxa"/>
          </w:tcPr>
          <w:p>
            <w:pPr>
              <w:pStyle w:val="TableParagraph"/>
              <w:spacing w:line="193" w:lineRule="exact"/>
              <w:ind w:left="624"/>
              <w:rPr>
                <w:rFonts w:ascii="Cambria Math" w:eastAsia="Cambria Math"/>
                <w:sz w:val="24"/>
              </w:rPr>
            </w:pPr>
            <w:r>
              <w:rPr>
                <w:rFonts w:ascii="Cambria Math" w:eastAsia="Cambria Math"/>
                <w:sz w:val="24"/>
              </w:rPr>
              <w:t>𝑑𝑣</w:t>
            </w:r>
          </w:p>
          <w:p>
            <w:pPr>
              <w:pStyle w:val="TableParagraph"/>
              <w:tabs>
                <w:tab w:pos="967" w:val="left" w:leader="none"/>
              </w:tabs>
              <w:spacing w:line="176" w:lineRule="exact"/>
              <w:ind w:left="200"/>
              <w:rPr>
                <w:rFonts w:ascii="Cambria Math" w:hAnsi="Cambria Math" w:eastAsia="Cambria Math"/>
                <w:sz w:val="24"/>
              </w:rPr>
            </w:pPr>
            <w:r>
              <w:rPr>
                <w:rFonts w:ascii="Cambria Math" w:hAnsi="Cambria Math" w:eastAsia="Cambria Math"/>
                <w:sz w:val="24"/>
              </w:rPr>
              <w:t>−𝑚</w:t>
              <w:tab/>
              <w:t>=</w:t>
            </w:r>
            <w:r>
              <w:rPr>
                <w:rFonts w:ascii="Cambria Math" w:hAnsi="Cambria Math" w:eastAsia="Cambria Math"/>
                <w:spacing w:val="17"/>
                <w:sz w:val="24"/>
              </w:rPr>
              <w:t> </w:t>
            </w:r>
            <w:r>
              <w:rPr>
                <w:rFonts w:ascii="Cambria Math" w:hAnsi="Cambria Math" w:eastAsia="Cambria Math"/>
                <w:sz w:val="24"/>
              </w:rPr>
              <w:t>𝑎</w:t>
            </w:r>
            <w:r>
              <w:rPr>
                <w:rFonts w:ascii="Cambria Math" w:hAnsi="Cambria Math" w:eastAsia="Cambria Math"/>
                <w:position w:val="1"/>
                <w:sz w:val="24"/>
              </w:rPr>
              <w:t>(</w:t>
            </w:r>
            <w:r>
              <w:rPr>
                <w:rFonts w:ascii="Cambria Math" w:hAnsi="Cambria Math" w:eastAsia="Cambria Math"/>
                <w:sz w:val="24"/>
              </w:rPr>
              <w:t>𝑣</w:t>
            </w:r>
            <w:r>
              <w:rPr>
                <w:rFonts w:ascii="Cambria Math" w:hAnsi="Cambria Math" w:eastAsia="Cambria Math"/>
                <w:position w:val="1"/>
                <w:sz w:val="24"/>
              </w:rPr>
              <w:t>)</w:t>
            </w:r>
            <w:r>
              <w:rPr>
                <w:rFonts w:ascii="Cambria Math" w:hAnsi="Cambria Math" w:eastAsia="Cambria Math"/>
                <w:spacing w:val="18"/>
                <w:position w:val="1"/>
                <w:sz w:val="24"/>
              </w:rPr>
              <w:t> </w:t>
            </w:r>
            <w:r>
              <w:rPr>
                <w:rFonts w:ascii="Cambria Math" w:hAnsi="Cambria Math" w:eastAsia="Cambria Math"/>
                <w:sz w:val="24"/>
              </w:rPr>
              <w:t>=</w:t>
            </w:r>
            <w:r>
              <w:rPr>
                <w:rFonts w:ascii="Cambria Math" w:hAnsi="Cambria Math" w:eastAsia="Cambria Math"/>
                <w:spacing w:val="18"/>
                <w:sz w:val="24"/>
              </w:rPr>
              <w:t> </w:t>
            </w:r>
            <w:r>
              <w:rPr>
                <w:rFonts w:ascii="Cambria Math" w:hAnsi="Cambria Math" w:eastAsia="Cambria Math"/>
                <w:sz w:val="24"/>
              </w:rPr>
              <w:t>𝐴𝑣</w:t>
            </w:r>
            <w:r>
              <w:rPr>
                <w:rFonts w:ascii="Cambria Math" w:hAnsi="Cambria Math" w:eastAsia="Cambria Math"/>
                <w:sz w:val="24"/>
                <w:vertAlign w:val="superscript"/>
              </w:rPr>
              <w:t>2</w:t>
            </w:r>
            <w:r>
              <w:rPr>
                <w:rFonts w:ascii="Cambria Math" w:hAnsi="Cambria Math" w:eastAsia="Cambria Math"/>
                <w:spacing w:val="14"/>
                <w:sz w:val="24"/>
                <w:vertAlign w:val="baseline"/>
              </w:rPr>
              <w:t> </w:t>
            </w:r>
            <w:r>
              <w:rPr>
                <w:rFonts w:ascii="Cambria Math" w:hAnsi="Cambria Math" w:eastAsia="Cambria Math"/>
                <w:sz w:val="24"/>
                <w:vertAlign w:val="baseline"/>
              </w:rPr>
              <w:t>+</w:t>
            </w:r>
            <w:r>
              <w:rPr>
                <w:rFonts w:ascii="Cambria Math" w:hAnsi="Cambria Math" w:eastAsia="Cambria Math"/>
                <w:spacing w:val="4"/>
                <w:sz w:val="24"/>
                <w:vertAlign w:val="baseline"/>
              </w:rPr>
              <w:t> </w:t>
            </w:r>
            <w:r>
              <w:rPr>
                <w:rFonts w:ascii="Cambria Math" w:hAnsi="Cambria Math" w:eastAsia="Cambria Math"/>
                <w:sz w:val="24"/>
                <w:vertAlign w:val="baseline"/>
              </w:rPr>
              <w:t>𝐵𝑣</w:t>
            </w:r>
            <w:r>
              <w:rPr>
                <w:rFonts w:ascii="Cambria Math" w:hAnsi="Cambria Math" w:eastAsia="Cambria Math"/>
                <w:spacing w:val="11"/>
                <w:sz w:val="24"/>
                <w:vertAlign w:val="baseline"/>
              </w:rPr>
              <w:t> </w:t>
            </w:r>
            <w:r>
              <w:rPr>
                <w:rFonts w:ascii="Cambria Math" w:hAnsi="Cambria Math" w:eastAsia="Cambria Math"/>
                <w:sz w:val="24"/>
                <w:vertAlign w:val="baseline"/>
              </w:rPr>
              <w:t>+</w:t>
            </w:r>
            <w:r>
              <w:rPr>
                <w:rFonts w:ascii="Cambria Math" w:hAnsi="Cambria Math" w:eastAsia="Cambria Math"/>
                <w:spacing w:val="4"/>
                <w:sz w:val="24"/>
                <w:vertAlign w:val="baseline"/>
              </w:rPr>
              <w:t> </w:t>
            </w:r>
            <w:r>
              <w:rPr>
                <w:rFonts w:ascii="Cambria Math" w:hAnsi="Cambria Math" w:eastAsia="Cambria Math"/>
                <w:sz w:val="24"/>
                <w:vertAlign w:val="baseline"/>
              </w:rPr>
              <w:t>𝐶</w:t>
            </w:r>
          </w:p>
          <w:p>
            <w:pPr>
              <w:pStyle w:val="TableParagraph"/>
              <w:spacing w:line="221" w:lineRule="exact"/>
              <w:ind w:left="642"/>
              <w:rPr>
                <w:rFonts w:ascii="Cambria Math" w:eastAsia="Cambria Math"/>
                <w:sz w:val="24"/>
              </w:rPr>
            </w:pPr>
            <w:r>
              <w:rPr>
                <w:rFonts w:ascii="Cambria Math" w:eastAsia="Cambria Math"/>
                <w:sz w:val="24"/>
              </w:rPr>
              <w:t>𝑑𝑡</w:t>
            </w:r>
          </w:p>
        </w:tc>
        <w:tc>
          <w:tcPr>
            <w:tcW w:w="120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891" w:type="dxa"/>
          </w:tcPr>
          <w:p>
            <w:pPr>
              <w:pStyle w:val="TableParagraph"/>
              <w:spacing w:line="266" w:lineRule="exact"/>
              <w:ind w:left="1230"/>
              <w:rPr>
                <w:sz w:val="24"/>
              </w:rPr>
            </w:pPr>
            <w:r>
              <w:rPr>
                <w:sz w:val="24"/>
              </w:rPr>
              <w:t>(5.7)</w:t>
            </w:r>
          </w:p>
        </w:tc>
      </w:tr>
      <w:tr>
        <w:trPr>
          <w:trHeight w:val="391" w:hRule="atLeast"/>
        </w:trPr>
        <w:tc>
          <w:tcPr>
            <w:tcW w:w="4926" w:type="dxa"/>
          </w:tcPr>
          <w:p>
            <w:pPr>
              <w:pStyle w:val="TableParagraph"/>
              <w:spacing w:line="262" w:lineRule="exact" w:before="109"/>
              <w:ind w:right="699"/>
              <w:jc w:val="right"/>
              <w:rPr>
                <w:sz w:val="24"/>
              </w:rPr>
            </w:pPr>
            <w:r>
              <w:rPr>
                <w:sz w:val="24"/>
              </w:rPr>
              <w:t>where</w:t>
            </w:r>
          </w:p>
        </w:tc>
        <w:tc>
          <w:tcPr>
            <w:tcW w:w="1204" w:type="dxa"/>
          </w:tcPr>
          <w:p>
            <w:pPr>
              <w:pStyle w:val="TableParagraph"/>
              <w:spacing w:line="260" w:lineRule="exact" w:before="110"/>
              <w:ind w:right="105"/>
              <w:jc w:val="right"/>
              <w:rPr>
                <w:i/>
                <w:sz w:val="24"/>
              </w:rPr>
            </w:pPr>
            <w:r>
              <w:rPr>
                <w:i/>
                <w:sz w:val="24"/>
              </w:rPr>
              <w:t>m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=</w:t>
            </w:r>
          </w:p>
        </w:tc>
        <w:tc>
          <w:tcPr>
            <w:tcW w:w="1891" w:type="dxa"/>
          </w:tcPr>
          <w:p>
            <w:pPr>
              <w:pStyle w:val="TableParagraph"/>
              <w:spacing w:line="262" w:lineRule="exact" w:before="109"/>
              <w:ind w:left="107"/>
              <w:rPr>
                <w:sz w:val="24"/>
              </w:rPr>
            </w:pPr>
            <w:r>
              <w:rPr>
                <w:sz w:val="24"/>
              </w:rPr>
              <w:t>mass</w:t>
            </w:r>
          </w:p>
        </w:tc>
      </w:tr>
      <w:tr>
        <w:trPr>
          <w:trHeight w:val="275" w:hRule="atLeast"/>
        </w:trPr>
        <w:tc>
          <w:tcPr>
            <w:tcW w:w="492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04" w:type="dxa"/>
          </w:tcPr>
          <w:p>
            <w:pPr>
              <w:pStyle w:val="TableParagraph"/>
              <w:spacing w:line="255" w:lineRule="exact"/>
              <w:ind w:right="105"/>
              <w:jc w:val="right"/>
              <w:rPr>
                <w:i/>
                <w:sz w:val="24"/>
              </w:rPr>
            </w:pPr>
            <w:r>
              <w:rPr>
                <w:i/>
                <w:sz w:val="24"/>
              </w:rPr>
              <w:t>v =</w:t>
            </w:r>
          </w:p>
        </w:tc>
        <w:tc>
          <w:tcPr>
            <w:tcW w:w="1891" w:type="dxa"/>
          </w:tcPr>
          <w:p>
            <w:pPr>
              <w:pStyle w:val="TableParagraph"/>
              <w:spacing w:line="255" w:lineRule="exact"/>
              <w:ind w:left="107"/>
              <w:rPr>
                <w:sz w:val="24"/>
              </w:rPr>
            </w:pPr>
            <w:r>
              <w:rPr>
                <w:sz w:val="24"/>
              </w:rPr>
              <w:t>velocity</w:t>
            </w:r>
          </w:p>
        </w:tc>
      </w:tr>
      <w:tr>
        <w:trPr>
          <w:trHeight w:val="275" w:hRule="atLeast"/>
        </w:trPr>
        <w:tc>
          <w:tcPr>
            <w:tcW w:w="492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04" w:type="dxa"/>
          </w:tcPr>
          <w:p>
            <w:pPr>
              <w:pStyle w:val="TableParagraph"/>
              <w:spacing w:line="255" w:lineRule="exact"/>
              <w:ind w:right="105"/>
              <w:jc w:val="right"/>
              <w:rPr>
                <w:i/>
                <w:sz w:val="24"/>
              </w:rPr>
            </w:pPr>
            <w:r>
              <w:rPr>
                <w:i/>
                <w:sz w:val="24"/>
              </w:rPr>
              <w:t>t =</w:t>
            </w:r>
          </w:p>
        </w:tc>
        <w:tc>
          <w:tcPr>
            <w:tcW w:w="1891" w:type="dxa"/>
          </w:tcPr>
          <w:p>
            <w:pPr>
              <w:pStyle w:val="TableParagraph"/>
              <w:spacing w:line="255" w:lineRule="exact"/>
              <w:ind w:left="107"/>
              <w:rPr>
                <w:sz w:val="24"/>
              </w:rPr>
            </w:pPr>
            <w:r>
              <w:rPr>
                <w:sz w:val="24"/>
              </w:rPr>
              <w:t>time</w:t>
            </w:r>
          </w:p>
        </w:tc>
      </w:tr>
      <w:tr>
        <w:trPr>
          <w:trHeight w:val="276" w:hRule="atLeast"/>
        </w:trPr>
        <w:tc>
          <w:tcPr>
            <w:tcW w:w="492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04" w:type="dxa"/>
          </w:tcPr>
          <w:p>
            <w:pPr>
              <w:pStyle w:val="TableParagraph"/>
              <w:spacing w:line="256" w:lineRule="exact"/>
              <w:ind w:right="105"/>
              <w:jc w:val="right"/>
              <w:rPr>
                <w:i/>
                <w:sz w:val="24"/>
              </w:rPr>
            </w:pPr>
            <w:r>
              <w:rPr>
                <w:i/>
                <w:sz w:val="24"/>
              </w:rPr>
              <w:t>a =</w:t>
            </w:r>
          </w:p>
        </w:tc>
        <w:tc>
          <w:tcPr>
            <w:tcW w:w="1891" w:type="dxa"/>
          </w:tcPr>
          <w:p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deceleration</w:t>
            </w:r>
          </w:p>
        </w:tc>
      </w:tr>
      <w:tr>
        <w:trPr>
          <w:trHeight w:val="271" w:hRule="atLeast"/>
        </w:trPr>
        <w:tc>
          <w:tcPr>
            <w:tcW w:w="492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04" w:type="dxa"/>
          </w:tcPr>
          <w:p>
            <w:pPr>
              <w:pStyle w:val="TableParagraph"/>
              <w:spacing w:line="251" w:lineRule="exact"/>
              <w:ind w:right="106"/>
              <w:jc w:val="right"/>
              <w:rPr>
                <w:i/>
                <w:sz w:val="24"/>
              </w:rPr>
            </w:pPr>
            <w:r>
              <w:rPr>
                <w:i/>
                <w:sz w:val="24"/>
              </w:rPr>
              <w:t>A,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B, C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=</w:t>
            </w:r>
          </w:p>
        </w:tc>
        <w:tc>
          <w:tcPr>
            <w:tcW w:w="1891" w:type="dxa"/>
          </w:tcPr>
          <w:p>
            <w:pPr>
              <w:pStyle w:val="TableParagraph"/>
              <w:spacing w:line="251" w:lineRule="exact"/>
              <w:ind w:left="107"/>
              <w:rPr>
                <w:sz w:val="24"/>
              </w:rPr>
            </w:pPr>
            <w:r>
              <w:rPr>
                <w:sz w:val="24"/>
              </w:rPr>
              <w:t>constants</w:t>
            </w:r>
          </w:p>
        </w:tc>
      </w:tr>
    </w:tbl>
    <w:p>
      <w:pPr>
        <w:pStyle w:val="BodyText"/>
        <w:spacing w:before="1"/>
        <w:rPr>
          <w:sz w:val="25"/>
        </w:rPr>
      </w:pPr>
    </w:p>
    <w:p>
      <w:pPr>
        <w:pStyle w:val="ListParagraph"/>
        <w:numPr>
          <w:ilvl w:val="3"/>
          <w:numId w:val="21"/>
        </w:numPr>
        <w:tabs>
          <w:tab w:pos="1160" w:val="left" w:leader="none"/>
        </w:tabs>
        <w:spacing w:line="240" w:lineRule="auto" w:before="90" w:after="0"/>
        <w:ind w:left="1160" w:right="0" w:hanging="720"/>
        <w:jc w:val="left"/>
        <w:rPr>
          <w:i/>
          <w:sz w:val="24"/>
        </w:rPr>
      </w:pPr>
      <w:bookmarkStart w:name="5.5.4.1 Euler-Robbins model" w:id="285"/>
      <w:bookmarkEnd w:id="285"/>
      <w:r>
        <w:rPr/>
      </w:r>
      <w:bookmarkStart w:name="5.5.4.1 Euler-Robbins model" w:id="286"/>
      <w:bookmarkEnd w:id="286"/>
      <w:r>
        <w:rPr>
          <w:i/>
          <w:sz w:val="24"/>
          <w:u w:val="single"/>
        </w:rPr>
        <w:t>E</w:t>
      </w:r>
      <w:r>
        <w:rPr>
          <w:i/>
          <w:sz w:val="24"/>
          <w:u w:val="single"/>
        </w:rPr>
        <w:t>uler-Robbins</w:t>
      </w:r>
      <w:r>
        <w:rPr>
          <w:i/>
          <w:spacing w:val="-6"/>
          <w:sz w:val="24"/>
          <w:u w:val="single"/>
        </w:rPr>
        <w:t> </w:t>
      </w:r>
      <w:r>
        <w:rPr>
          <w:i/>
          <w:sz w:val="24"/>
          <w:u w:val="single"/>
        </w:rPr>
        <w:t>model</w:t>
      </w:r>
    </w:p>
    <w:p>
      <w:pPr>
        <w:pStyle w:val="BodyText"/>
        <w:spacing w:before="9"/>
        <w:rPr>
          <w:i/>
          <w:sz w:val="14"/>
        </w:rPr>
      </w:pPr>
    </w:p>
    <w:p>
      <w:pPr>
        <w:pStyle w:val="BodyText"/>
        <w:spacing w:line="480" w:lineRule="auto" w:before="90"/>
        <w:ind w:left="439" w:right="417" w:firstLine="720"/>
        <w:jc w:val="both"/>
      </w:pPr>
      <w:r>
        <w:rPr/>
        <w:t>The</w:t>
      </w:r>
      <w:r>
        <w:rPr>
          <w:spacing w:val="-13"/>
        </w:rPr>
        <w:t> </w:t>
      </w:r>
      <w:r>
        <w:rPr/>
        <w:t>Euler-Robbins</w:t>
      </w:r>
      <w:r>
        <w:rPr>
          <w:spacing w:val="-13"/>
        </w:rPr>
        <w:t> </w:t>
      </w:r>
      <w:r>
        <w:rPr/>
        <w:t>model</w:t>
      </w:r>
      <w:r>
        <w:rPr>
          <w:spacing w:val="-13"/>
        </w:rPr>
        <w:t> </w:t>
      </w:r>
      <w:r>
        <w:rPr/>
        <w:t>assumes</w:t>
      </w:r>
      <w:r>
        <w:rPr>
          <w:spacing w:val="-13"/>
        </w:rPr>
        <w:t> </w:t>
      </w:r>
      <w:r>
        <w:rPr/>
        <w:t>that</w:t>
      </w:r>
      <w:r>
        <w:rPr>
          <w:spacing w:val="-13"/>
        </w:rPr>
        <w:t> </w:t>
      </w:r>
      <w:r>
        <w:rPr/>
        <w:t>deceleration</w:t>
      </w:r>
      <w:r>
        <w:rPr>
          <w:spacing w:val="-13"/>
        </w:rPr>
        <w:t> </w:t>
      </w:r>
      <w:r>
        <w:rPr/>
        <w:t>is</w:t>
      </w:r>
      <w:r>
        <w:rPr>
          <w:spacing w:val="-14"/>
        </w:rPr>
        <w:t> </w:t>
      </w:r>
      <w:r>
        <w:rPr/>
        <w:t>constant</w:t>
      </w:r>
      <w:r>
        <w:rPr>
          <w:spacing w:val="-13"/>
        </w:rPr>
        <w:t> </w:t>
      </w:r>
      <w:r>
        <w:rPr/>
        <w:t>with</w:t>
      </w:r>
      <w:r>
        <w:rPr>
          <w:spacing w:val="-14"/>
        </w:rPr>
        <w:t> </w:t>
      </w:r>
      <w:r>
        <w:rPr/>
        <w:t>respect</w:t>
      </w:r>
      <w:r>
        <w:rPr>
          <w:spacing w:val="-14"/>
        </w:rPr>
        <w:t> </w:t>
      </w:r>
      <w:r>
        <w:rPr/>
        <w:t>to</w:t>
      </w:r>
      <w:r>
        <w:rPr>
          <w:spacing w:val="-13"/>
        </w:rPr>
        <w:t> </w:t>
      </w:r>
      <w:r>
        <w:rPr/>
        <w:t>time</w:t>
      </w:r>
      <w:r>
        <w:rPr>
          <w:spacing w:val="-57"/>
        </w:rPr>
        <w:t> </w:t>
      </w:r>
      <w:r>
        <w:rPr/>
        <w:t>[95].</w:t>
      </w:r>
      <w:r>
        <w:rPr>
          <w:spacing w:val="1"/>
        </w:rPr>
        <w:t> </w:t>
      </w:r>
      <w:r>
        <w:rPr/>
        <w:t>As was used with the UFC equation, the Levenberg-Marquardt method for finding</w:t>
      </w:r>
      <w:r>
        <w:rPr>
          <w:spacing w:val="1"/>
        </w:rPr>
        <w:t> </w:t>
      </w:r>
      <w:r>
        <w:rPr/>
        <w:t>nonlinear least squares was used for determining the model parameters in the Euler-</w:t>
      </w:r>
      <w:r>
        <w:rPr>
          <w:spacing w:val="1"/>
        </w:rPr>
        <w:t> </w:t>
      </w:r>
      <w:r>
        <w:rPr/>
        <w:t>Robbins model for the CLT experimental data.</w:t>
      </w:r>
      <w:r>
        <w:rPr>
          <w:spacing w:val="1"/>
        </w:rPr>
        <w:t> </w:t>
      </w:r>
      <w:r>
        <w:rPr/>
        <w:t>In the Euler-Robbins model, there was</w:t>
      </w:r>
      <w:r>
        <w:rPr>
          <w:spacing w:val="1"/>
        </w:rPr>
        <w:t> </w:t>
      </w:r>
      <w:r>
        <w:rPr>
          <w:spacing w:val="-1"/>
        </w:rPr>
        <w:t>only</w:t>
      </w:r>
      <w:r>
        <w:rPr>
          <w:spacing w:val="-14"/>
        </w:rPr>
        <w:t> </w:t>
      </w:r>
      <w:r>
        <w:rPr>
          <w:spacing w:val="-1"/>
        </w:rPr>
        <w:t>one</w:t>
      </w:r>
      <w:r>
        <w:rPr>
          <w:spacing w:val="-13"/>
        </w:rPr>
        <w:t> </w:t>
      </w:r>
      <w:r>
        <w:rPr>
          <w:spacing w:val="-1"/>
        </w:rPr>
        <w:t>constant</w:t>
      </w:r>
      <w:r>
        <w:rPr>
          <w:spacing w:val="-13"/>
        </w:rPr>
        <w:t> </w:t>
      </w:r>
      <w:r>
        <w:rPr/>
        <w:t>to</w:t>
      </w:r>
      <w:r>
        <w:rPr>
          <w:spacing w:val="-14"/>
        </w:rPr>
        <w:t> </w:t>
      </w:r>
      <w:r>
        <w:rPr/>
        <w:t>calibrate.</w:t>
      </w:r>
      <w:r>
        <w:rPr>
          <w:spacing w:val="33"/>
        </w:rPr>
        <w:t> </w:t>
      </w:r>
      <w:hyperlink w:history="true" w:anchor="_bookmark69">
        <w:r>
          <w:rPr/>
          <w:t>Figure</w:t>
        </w:r>
        <w:r>
          <w:rPr>
            <w:spacing w:val="-14"/>
          </w:rPr>
          <w:t> </w:t>
        </w:r>
        <w:r>
          <w:rPr/>
          <w:t>5-13</w:t>
        </w:r>
        <w:r>
          <w:rPr>
            <w:spacing w:val="-14"/>
          </w:rPr>
          <w:t> </w:t>
        </w:r>
      </w:hyperlink>
      <w:r>
        <w:rPr/>
        <w:t>shows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curve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the</w:t>
      </w:r>
      <w:r>
        <w:rPr>
          <w:spacing w:val="-13"/>
        </w:rPr>
        <w:t> </w:t>
      </w:r>
      <w:r>
        <w:rPr/>
        <w:t>calibrated</w:t>
      </w:r>
      <w:r>
        <w:rPr>
          <w:spacing w:val="-15"/>
        </w:rPr>
        <w:t> </w:t>
      </w:r>
      <w:r>
        <w:rPr/>
        <w:t>Euler-Robbins</w:t>
      </w:r>
      <w:r>
        <w:rPr>
          <w:spacing w:val="-57"/>
        </w:rPr>
        <w:t> </w:t>
      </w:r>
      <w:r>
        <w:rPr/>
        <w:t>model with the CLT data of both species tested.</w:t>
      </w:r>
      <w:r>
        <w:rPr>
          <w:spacing w:val="1"/>
        </w:rPr>
        <w:t> </w:t>
      </w:r>
      <w:r>
        <w:rPr/>
        <w:t>This model included no material factors</w:t>
      </w:r>
      <w:r>
        <w:rPr>
          <w:spacing w:val="1"/>
        </w:rPr>
        <w:t> </w:t>
      </w:r>
      <w:r>
        <w:rPr/>
        <w:t>or</w:t>
      </w:r>
      <w:r>
        <w:rPr>
          <w:spacing w:val="-1"/>
        </w:rPr>
        <w:t> </w:t>
      </w:r>
      <w:r>
        <w:rPr/>
        <w:t>projectile</w:t>
      </w:r>
      <w:r>
        <w:rPr>
          <w:spacing w:val="-1"/>
        </w:rPr>
        <w:t> </w:t>
      </w:r>
      <w:r>
        <w:rPr/>
        <w:t>factors other</w:t>
      </w:r>
      <w:r>
        <w:rPr>
          <w:spacing w:val="-2"/>
        </w:rPr>
        <w:t> </w:t>
      </w:r>
      <w:r>
        <w:rPr/>
        <w:t>than striking velocity.</w:t>
      </w:r>
      <w:r>
        <w:rPr>
          <w:spacing w:val="57"/>
        </w:rPr>
        <w:t> </w:t>
      </w:r>
      <w:r>
        <w:rPr/>
        <w:t>The MSE</w:t>
      </w:r>
      <w:r>
        <w:rPr>
          <w:spacing w:val="-2"/>
        </w:rPr>
        <w:t> </w:t>
      </w:r>
      <w:r>
        <w:rPr/>
        <w:t>was 3.111.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spacing w:before="71"/>
        <w:ind w:left="3655" w:right="0" w:firstLine="0"/>
        <w:jc w:val="left"/>
        <w:rPr>
          <w:sz w:val="20"/>
        </w:rPr>
      </w:pPr>
      <w:r>
        <w:rPr>
          <w:w w:val="95"/>
          <w:sz w:val="20"/>
        </w:rPr>
        <w:t>Striking</w:t>
      </w:r>
      <w:r>
        <w:rPr>
          <w:spacing w:val="8"/>
          <w:w w:val="95"/>
          <w:sz w:val="20"/>
        </w:rPr>
        <w:t> </w:t>
      </w:r>
      <w:r>
        <w:rPr>
          <w:w w:val="95"/>
          <w:sz w:val="20"/>
        </w:rPr>
        <w:t>Velocity</w:t>
      </w:r>
      <w:r>
        <w:rPr>
          <w:spacing w:val="12"/>
          <w:w w:val="95"/>
          <w:sz w:val="20"/>
        </w:rPr>
        <w:t> </w:t>
      </w:r>
      <w:r>
        <w:rPr>
          <w:w w:val="95"/>
          <w:sz w:val="20"/>
        </w:rPr>
        <w:t>(V</w:t>
      </w:r>
      <w:r>
        <w:rPr>
          <w:w w:val="95"/>
          <w:position w:val="-3"/>
          <w:sz w:val="20"/>
        </w:rPr>
        <w:t>s</w:t>
      </w:r>
      <w:r>
        <w:rPr>
          <w:spacing w:val="-13"/>
          <w:w w:val="95"/>
          <w:position w:val="-3"/>
          <w:sz w:val="20"/>
        </w:rPr>
        <w:t> </w:t>
      </w:r>
      <w:r>
        <w:rPr>
          <w:w w:val="95"/>
          <w:sz w:val="20"/>
        </w:rPr>
        <w:t>)</w:t>
      </w:r>
      <w:r>
        <w:rPr>
          <w:spacing w:val="15"/>
          <w:w w:val="95"/>
          <w:sz w:val="20"/>
        </w:rPr>
        <w:t> </w:t>
      </w:r>
      <w:r>
        <w:rPr>
          <w:w w:val="95"/>
          <w:sz w:val="20"/>
        </w:rPr>
        <w:t>(fps)</w:t>
      </w:r>
    </w:p>
    <w:p>
      <w:pPr>
        <w:spacing w:line="146" w:lineRule="exact" w:before="90"/>
        <w:ind w:left="1301" w:right="0" w:firstLine="0"/>
        <w:jc w:val="left"/>
        <w:rPr>
          <w:sz w:val="13"/>
        </w:rPr>
      </w:pPr>
      <w:r>
        <w:rPr>
          <w:w w:val="105"/>
          <w:sz w:val="13"/>
        </w:rPr>
        <w:t>180    </w:t>
      </w:r>
      <w:r>
        <w:rPr>
          <w:spacing w:val="27"/>
          <w:w w:val="105"/>
          <w:sz w:val="13"/>
        </w:rPr>
        <w:t> </w:t>
      </w:r>
      <w:r>
        <w:rPr>
          <w:w w:val="105"/>
          <w:sz w:val="13"/>
        </w:rPr>
        <w:t>240    </w:t>
      </w:r>
      <w:r>
        <w:rPr>
          <w:spacing w:val="24"/>
          <w:w w:val="105"/>
          <w:sz w:val="13"/>
        </w:rPr>
        <w:t> </w:t>
      </w:r>
      <w:r>
        <w:rPr>
          <w:w w:val="105"/>
          <w:sz w:val="13"/>
        </w:rPr>
        <w:t>300    </w:t>
      </w:r>
      <w:r>
        <w:rPr>
          <w:spacing w:val="24"/>
          <w:w w:val="105"/>
          <w:sz w:val="13"/>
        </w:rPr>
        <w:t> </w:t>
      </w:r>
      <w:r>
        <w:rPr>
          <w:w w:val="105"/>
          <w:sz w:val="13"/>
        </w:rPr>
        <w:t>360    </w:t>
      </w:r>
      <w:r>
        <w:rPr>
          <w:spacing w:val="27"/>
          <w:w w:val="105"/>
          <w:sz w:val="13"/>
        </w:rPr>
        <w:t> </w:t>
      </w:r>
      <w:r>
        <w:rPr>
          <w:w w:val="105"/>
          <w:sz w:val="13"/>
        </w:rPr>
        <w:t>420    </w:t>
      </w:r>
      <w:r>
        <w:rPr>
          <w:spacing w:val="25"/>
          <w:w w:val="105"/>
          <w:sz w:val="13"/>
        </w:rPr>
        <w:t> </w:t>
      </w:r>
      <w:r>
        <w:rPr>
          <w:w w:val="105"/>
          <w:sz w:val="13"/>
        </w:rPr>
        <w:t>480    </w:t>
      </w:r>
      <w:r>
        <w:rPr>
          <w:spacing w:val="24"/>
          <w:w w:val="105"/>
          <w:sz w:val="13"/>
        </w:rPr>
        <w:t> </w:t>
      </w:r>
      <w:r>
        <w:rPr>
          <w:w w:val="105"/>
          <w:sz w:val="13"/>
        </w:rPr>
        <w:t>540    </w:t>
      </w:r>
      <w:r>
        <w:rPr>
          <w:spacing w:val="27"/>
          <w:w w:val="105"/>
          <w:sz w:val="13"/>
        </w:rPr>
        <w:t> </w:t>
      </w:r>
      <w:r>
        <w:rPr>
          <w:w w:val="105"/>
          <w:sz w:val="13"/>
        </w:rPr>
        <w:t>600    </w:t>
      </w:r>
      <w:r>
        <w:rPr>
          <w:spacing w:val="24"/>
          <w:w w:val="105"/>
          <w:sz w:val="13"/>
        </w:rPr>
        <w:t> </w:t>
      </w:r>
      <w:r>
        <w:rPr>
          <w:w w:val="105"/>
          <w:sz w:val="13"/>
        </w:rPr>
        <w:t>660    </w:t>
      </w:r>
      <w:r>
        <w:rPr>
          <w:spacing w:val="25"/>
          <w:w w:val="105"/>
          <w:sz w:val="13"/>
        </w:rPr>
        <w:t> </w:t>
      </w:r>
      <w:r>
        <w:rPr>
          <w:w w:val="105"/>
          <w:sz w:val="13"/>
        </w:rPr>
        <w:t>720    </w:t>
      </w:r>
      <w:r>
        <w:rPr>
          <w:spacing w:val="24"/>
          <w:w w:val="105"/>
          <w:sz w:val="13"/>
        </w:rPr>
        <w:t> </w:t>
      </w:r>
      <w:r>
        <w:rPr>
          <w:w w:val="105"/>
          <w:sz w:val="13"/>
        </w:rPr>
        <w:t>780    </w:t>
      </w:r>
      <w:r>
        <w:rPr>
          <w:spacing w:val="27"/>
          <w:w w:val="105"/>
          <w:sz w:val="13"/>
        </w:rPr>
        <w:t> </w:t>
      </w:r>
      <w:r>
        <w:rPr>
          <w:w w:val="105"/>
          <w:sz w:val="13"/>
        </w:rPr>
        <w:t>840    </w:t>
      </w:r>
      <w:r>
        <w:rPr>
          <w:spacing w:val="24"/>
          <w:w w:val="105"/>
          <w:sz w:val="13"/>
        </w:rPr>
        <w:t> </w:t>
      </w:r>
      <w:r>
        <w:rPr>
          <w:w w:val="105"/>
          <w:sz w:val="13"/>
        </w:rPr>
        <w:t>900    </w:t>
      </w:r>
      <w:r>
        <w:rPr>
          <w:spacing w:val="25"/>
          <w:w w:val="105"/>
          <w:sz w:val="13"/>
        </w:rPr>
        <w:t> </w:t>
      </w:r>
      <w:r>
        <w:rPr>
          <w:w w:val="105"/>
          <w:sz w:val="13"/>
        </w:rPr>
        <w:t>960  </w:t>
      </w:r>
      <w:r>
        <w:rPr>
          <w:spacing w:val="24"/>
          <w:w w:val="105"/>
          <w:sz w:val="13"/>
        </w:rPr>
        <w:t> </w:t>
      </w:r>
      <w:r>
        <w:rPr>
          <w:w w:val="105"/>
          <w:sz w:val="13"/>
        </w:rPr>
        <w:t>1020  </w:t>
      </w:r>
      <w:r>
        <w:rPr>
          <w:spacing w:val="21"/>
          <w:w w:val="105"/>
          <w:sz w:val="13"/>
        </w:rPr>
        <w:t> </w:t>
      </w:r>
      <w:r>
        <w:rPr>
          <w:w w:val="105"/>
          <w:sz w:val="13"/>
        </w:rPr>
        <w:t>1080  </w:t>
      </w:r>
      <w:r>
        <w:rPr>
          <w:spacing w:val="21"/>
          <w:w w:val="105"/>
          <w:sz w:val="13"/>
        </w:rPr>
        <w:t> </w:t>
      </w:r>
      <w:r>
        <w:rPr>
          <w:w w:val="105"/>
          <w:sz w:val="13"/>
        </w:rPr>
        <w:t>1140  </w:t>
      </w:r>
      <w:r>
        <w:rPr>
          <w:spacing w:val="24"/>
          <w:w w:val="105"/>
          <w:sz w:val="13"/>
        </w:rPr>
        <w:t> </w:t>
      </w:r>
      <w:r>
        <w:rPr>
          <w:w w:val="105"/>
          <w:sz w:val="13"/>
        </w:rPr>
        <w:t>1200</w:t>
      </w:r>
    </w:p>
    <w:p>
      <w:pPr>
        <w:spacing w:line="146" w:lineRule="exact" w:before="0"/>
        <w:ind w:left="781" w:right="0" w:firstLine="0"/>
        <w:jc w:val="left"/>
        <w:rPr>
          <w:sz w:val="13"/>
        </w:rPr>
      </w:pPr>
      <w:r>
        <w:rPr/>
        <w:pict>
          <v:group style="position:absolute;margin-left:136.526428pt;margin-top:3.41955pt;width:367.4pt;height:155.8pt;mso-position-horizontal-relative:page;mso-position-vertical-relative:paragraph;z-index:15803904" coordorigin="2731,68" coordsize="7348,3116">
            <v:rect style="position:absolute;left:2739;top:77;width:7329;height:3097" filled="false" stroked="true" strokeweight=".929991pt" strokecolor="#000000">
              <v:stroke dashstyle="solid"/>
            </v:rect>
            <v:line style="position:absolute" from="3146,3175" to="3146,3085" stroked="true" strokeweight=".775027pt" strokecolor="#000000">
              <v:stroke dashstyle="solid"/>
            </v:line>
            <v:line style="position:absolute" from="3555,3175" to="3555,3085" stroked="true" strokeweight=".775027pt" strokecolor="#000000">
              <v:stroke dashstyle="solid"/>
            </v:line>
            <v:line style="position:absolute" from="3961,3175" to="3961,3085" stroked="true" strokeweight=".775027pt" strokecolor="#000000">
              <v:stroke dashstyle="solid"/>
            </v:line>
            <v:line style="position:absolute" from="4367,3175" to="4367,3085" stroked="true" strokeweight=".775027pt" strokecolor="#000000">
              <v:stroke dashstyle="solid"/>
            </v:line>
            <v:line style="position:absolute" from="4777,3175" to="4777,3085" stroked="true" strokeweight=".775027pt" strokecolor="#000000">
              <v:stroke dashstyle="solid"/>
            </v:line>
            <v:line style="position:absolute" from="5183,3175" to="5183,3085" stroked="true" strokeweight=".775027pt" strokecolor="#000000">
              <v:stroke dashstyle="solid"/>
            </v:line>
            <v:line style="position:absolute" from="5589,3175" to="5589,3085" stroked="true" strokeweight=".775027pt" strokecolor="#000000">
              <v:stroke dashstyle="solid"/>
            </v:line>
            <v:line style="position:absolute" from="5998,3175" to="5998,3085" stroked="true" strokeweight=".775027pt" strokecolor="#000000">
              <v:stroke dashstyle="solid"/>
            </v:line>
            <v:line style="position:absolute" from="6404,3175" to="6404,3085" stroked="true" strokeweight=".775027pt" strokecolor="#000000">
              <v:stroke dashstyle="solid"/>
            </v:line>
            <v:line style="position:absolute" from="6810,3175" to="6810,3085" stroked="true" strokeweight=".775027pt" strokecolor="#000000">
              <v:stroke dashstyle="solid"/>
            </v:line>
            <v:line style="position:absolute" from="7219,3175" to="7219,3085" stroked="true" strokeweight=".775027pt" strokecolor="#000000">
              <v:stroke dashstyle="solid"/>
            </v:line>
            <v:line style="position:absolute" from="7626,3175" to="7626,3085" stroked="true" strokeweight=".775027pt" strokecolor="#000000">
              <v:stroke dashstyle="solid"/>
            </v:line>
            <v:line style="position:absolute" from="8032,3175" to="8032,3085" stroked="true" strokeweight=".775027pt" strokecolor="#000000">
              <v:stroke dashstyle="solid"/>
            </v:line>
            <v:line style="position:absolute" from="8441,3175" to="8441,3085" stroked="true" strokeweight=".775027pt" strokecolor="#000000">
              <v:stroke dashstyle="solid"/>
            </v:line>
            <v:line style="position:absolute" from="8847,3175" to="8847,3085" stroked="true" strokeweight=".775027pt" strokecolor="#000000">
              <v:stroke dashstyle="solid"/>
            </v:line>
            <v:line style="position:absolute" from="9253,3174" to="9253,3085" stroked="true" strokeweight=".775027pt" strokecolor="#000000">
              <v:stroke dashstyle="solid"/>
            </v:line>
            <v:line style="position:absolute" from="9662,3174" to="9662,3085" stroked="true" strokeweight=".775027pt" strokecolor="#000000">
              <v:stroke dashstyle="solid"/>
            </v:line>
            <v:line style="position:absolute" from="3127,78" to="3127,168" stroked="true" strokeweight=".775027pt" strokecolor="#000000">
              <v:stroke dashstyle="solid"/>
            </v:line>
            <v:line style="position:absolute" from="3527,78" to="3527,168" stroked="true" strokeweight=".775027pt" strokecolor="#000000">
              <v:stroke dashstyle="solid"/>
            </v:line>
            <v:line style="position:absolute" from="3930,78" to="3930,168" stroked="true" strokeweight=".775027pt" strokecolor="#000000">
              <v:stroke dashstyle="solid"/>
            </v:line>
            <v:line style="position:absolute" from="4330,78" to="4330,168" stroked="true" strokeweight=".775027pt" strokecolor="#000000">
              <v:stroke dashstyle="solid"/>
            </v:line>
            <v:line style="position:absolute" from="4730,78" to="4730,168" stroked="true" strokeweight=".775027pt" strokecolor="#000000">
              <v:stroke dashstyle="solid"/>
            </v:line>
            <v:line style="position:absolute" from="5130,78" to="5130,168" stroked="true" strokeweight=".775027pt" strokecolor="#000000">
              <v:stroke dashstyle="solid"/>
            </v:line>
            <v:line style="position:absolute" from="5533,78" to="5533,168" stroked="true" strokeweight=".775027pt" strokecolor="#000000">
              <v:stroke dashstyle="solid"/>
            </v:line>
            <v:line style="position:absolute" from="5933,78" to="5933,168" stroked="true" strokeweight=".775027pt" strokecolor="#000000">
              <v:stroke dashstyle="solid"/>
            </v:line>
            <v:line style="position:absolute" from="6333,78" to="6333,168" stroked="true" strokeweight=".775027pt" strokecolor="#000000">
              <v:stroke dashstyle="solid"/>
            </v:line>
            <v:line style="position:absolute" from="6736,78" to="6736,168" stroked="true" strokeweight=".775027pt" strokecolor="#000000">
              <v:stroke dashstyle="solid"/>
            </v:line>
            <v:line style="position:absolute" from="7136,78" to="7136,168" stroked="true" strokeweight=".775027pt" strokecolor="#000000">
              <v:stroke dashstyle="solid"/>
            </v:line>
            <v:line style="position:absolute" from="7536,78" to="7536,168" stroked="true" strokeweight=".775027pt" strokecolor="#000000">
              <v:stroke dashstyle="solid"/>
            </v:line>
            <v:line style="position:absolute" from="7936,78" to="7936,168" stroked="true" strokeweight=".775027pt" strokecolor="#000000">
              <v:stroke dashstyle="solid"/>
            </v:line>
            <v:line style="position:absolute" from="8339,78" to="8339,168" stroked="true" strokeweight=".775027pt" strokecolor="#000000">
              <v:stroke dashstyle="solid"/>
            </v:line>
            <v:line style="position:absolute" from="8739,78" to="8739,168" stroked="true" strokeweight=".775027pt" strokecolor="#000000">
              <v:stroke dashstyle="solid"/>
            </v:line>
            <v:line style="position:absolute" from="9138,78" to="9138,167" stroked="true" strokeweight=".775027pt" strokecolor="#000000">
              <v:stroke dashstyle="solid"/>
            </v:line>
            <v:line style="position:absolute" from="9538,78" to="9538,167" stroked="true" strokeweight=".775027pt" strokecolor="#000000">
              <v:stroke dashstyle="solid"/>
            </v:line>
            <v:line style="position:absolute" from="9941,78" to="9941,167" stroked="true" strokeweight=".775027pt" strokecolor="#000000">
              <v:stroke dashstyle="solid"/>
            </v:line>
            <v:line style="position:absolute" from="2740,2954" to="2886,2954" stroked="true" strokeweight=".774987pt" strokecolor="#000000">
              <v:stroke dashstyle="solid"/>
            </v:line>
            <v:line style="position:absolute" from="2740,2731" to="2886,2731" stroked="true" strokeweight=".774987pt" strokecolor="#000000">
              <v:stroke dashstyle="solid"/>
            </v:line>
            <v:line style="position:absolute" from="2740,2511" to="2886,2511" stroked="true" strokeweight=".774987pt" strokecolor="#000000">
              <v:stroke dashstyle="solid"/>
            </v:line>
            <v:line style="position:absolute" from="2740,2291" to="2886,2291" stroked="true" strokeweight=".774987pt" strokecolor="#000000">
              <v:stroke dashstyle="solid"/>
            </v:line>
            <v:line style="position:absolute" from="2740,2068" to="2886,2068" stroked="true" strokeweight=".774987pt" strokecolor="#000000">
              <v:stroke dashstyle="solid"/>
            </v:line>
            <v:line style="position:absolute" from="2740,1848" to="2886,1848" stroked="true" strokeweight=".774987pt" strokecolor="#000000">
              <v:stroke dashstyle="solid"/>
            </v:line>
            <v:line style="position:absolute" from="2740,1628" to="2886,1628" stroked="true" strokeweight=".774987pt" strokecolor="#000000">
              <v:stroke dashstyle="solid"/>
            </v:line>
            <v:line style="position:absolute" from="2740,1404" to="2886,1404" stroked="true" strokeweight=".774987pt" strokecolor="#000000">
              <v:stroke dashstyle="solid"/>
            </v:line>
            <v:line style="position:absolute" from="2740,1184" to="2886,1184" stroked="true" strokeweight=".774987pt" strokecolor="#000000">
              <v:stroke dashstyle="solid"/>
            </v:line>
            <v:line style="position:absolute" from="2740,961" to="2886,961" stroked="true" strokeweight=".774987pt" strokecolor="#000000">
              <v:stroke dashstyle="solid"/>
            </v:line>
            <v:line style="position:absolute" from="2740,741" to="2886,741" stroked="true" strokeweight=".774987pt" strokecolor="#000000">
              <v:stroke dashstyle="solid"/>
            </v:line>
            <v:line style="position:absolute" from="2740,521" to="2886,521" stroked="true" strokeweight=".774987pt" strokecolor="#000000">
              <v:stroke dashstyle="solid"/>
            </v:line>
            <v:line style="position:absolute" from="2740,298" to="2886,298" stroked="true" strokeweight=".774987pt" strokecolor="#000000">
              <v:stroke dashstyle="solid"/>
            </v:line>
            <v:line style="position:absolute" from="10069,3174" to="9923,3174" stroked="true" strokeweight=".774987pt" strokecolor="#000000">
              <v:stroke dashstyle="solid"/>
            </v:line>
            <v:line style="position:absolute" from="10069,2957" to="9923,2957" stroked="true" strokeweight=".774987pt" strokecolor="#000000">
              <v:stroke dashstyle="solid"/>
            </v:line>
            <v:line style="position:absolute" from="10069,2740" to="9923,2740" stroked="true" strokeweight=".774987pt" strokecolor="#000000">
              <v:stroke dashstyle="solid"/>
            </v:line>
            <v:line style="position:absolute" from="10069,2520" to="9923,2520" stroked="true" strokeweight=".774987pt" strokecolor="#000000">
              <v:stroke dashstyle="solid"/>
            </v:line>
            <v:line style="position:absolute" from="10069,2303" to="9923,2303" stroked="true" strokeweight=".774987pt" strokecolor="#000000">
              <v:stroke dashstyle="solid"/>
            </v:line>
            <v:line style="position:absolute" from="10069,2086" to="9923,2086" stroked="true" strokeweight=".774987pt" strokecolor="#000000">
              <v:stroke dashstyle="solid"/>
            </v:line>
            <v:line style="position:absolute" from="10069,1869" to="9923,1869" stroked="true" strokeweight=".774987pt" strokecolor="#000000">
              <v:stroke dashstyle="solid"/>
            </v:line>
            <v:line style="position:absolute" from="10069,1649" to="9923,1649" stroked="true" strokeweight=".774987pt" strokecolor="#000000">
              <v:stroke dashstyle="solid"/>
            </v:line>
            <v:line style="position:absolute" from="10069,1432" to="9923,1432" stroked="true" strokeweight=".774987pt" strokecolor="#000000">
              <v:stroke dashstyle="solid"/>
            </v:line>
            <v:line style="position:absolute" from="10069,1215" to="9923,1215" stroked="true" strokeweight=".774987pt" strokecolor="#000000">
              <v:stroke dashstyle="solid"/>
            </v:line>
            <v:line style="position:absolute" from="10069,998" to="9923,998" stroked="true" strokeweight=".774987pt" strokecolor="#000000">
              <v:stroke dashstyle="solid"/>
            </v:line>
            <v:line style="position:absolute" from="10069,778" to="9923,778" stroked="true" strokeweight=".774987pt" strokecolor="#000000">
              <v:stroke dashstyle="solid"/>
            </v:line>
            <v:line style="position:absolute" from="10069,561" to="9923,561" stroked="true" strokeweight=".774987pt" strokecolor="#000000">
              <v:stroke dashstyle="solid"/>
            </v:line>
            <v:line style="position:absolute" from="10069,344" to="9923,344" stroked="true" strokeweight=".774987pt" strokecolor="#000000">
              <v:stroke dashstyle="solid"/>
            </v:line>
            <v:line style="position:absolute" from="10069,127" to="9923,127" stroked="true" strokeweight=".774987pt" strokecolor="#000000">
              <v:stroke dashstyle="solid"/>
            </v:line>
            <v:shape style="position:absolute;left:4541;top:2266;width:78;height:50" coordorigin="4541,2266" coordsize="78,50" path="m4581,2316l4541,2291,4581,2266,4619,2291,4581,2316xe" filled="true" fillcolor="#ff0000" stroked="false">
              <v:path arrowok="t"/>
              <v:fill type="solid"/>
            </v:shape>
            <v:shape style="position:absolute;left:4541;top:2266;width:78;height:50" coordorigin="4541,2266" coordsize="78,50" path="m4581,2266l4619,2291,4581,2316,4541,2291,4581,2266xe" filled="false" stroked="true" strokeweight=".929998pt" strokecolor="#ff0000">
              <v:path arrowok="t"/>
              <v:stroke dashstyle="solid"/>
            </v:shape>
            <v:shape style="position:absolute;left:4711;top:2018;width:81;height:47" coordorigin="4712,2018" coordsize="81,47" path="m4752,2065l4712,2040,4752,2018,4792,2040,4752,2065xe" filled="true" fillcolor="#ff0000" stroked="false">
              <v:path arrowok="t"/>
              <v:fill type="solid"/>
            </v:shape>
            <v:shape style="position:absolute;left:4711;top:2018;width:81;height:47" coordorigin="4712,2018" coordsize="81,47" path="m4752,2018l4792,2040,4752,2065,4712,2040,4752,2018xe" filled="false" stroked="true" strokeweight=".929996pt" strokecolor="#ff0000">
              <v:path arrowok="t"/>
              <v:stroke dashstyle="solid"/>
            </v:shape>
            <v:shape style="position:absolute;left:4699;top:2070;width:81;height:50" coordorigin="4699,2071" coordsize="81,50" path="m4739,2120l4699,2096,4739,2071,4780,2096,4739,2120xe" filled="true" fillcolor="#ff0000" stroked="false">
              <v:path arrowok="t"/>
              <v:fill type="solid"/>
            </v:shape>
            <v:shape style="position:absolute;left:4699;top:2070;width:81;height:50" coordorigin="4699,2071" coordsize="81,50" path="m4739,2071l4780,2096,4739,2120,4699,2096,4739,2071xe" filled="false" stroked="true" strokeweight=".929997pt" strokecolor="#ff0000">
              <v:path arrowok="t"/>
              <v:stroke dashstyle="solid"/>
            </v:shape>
            <v:shape style="position:absolute;left:4748;top:2430;width:81;height:50" coordorigin="4749,2430" coordsize="81,50" path="m4789,2480l4749,2455,4789,2430,4829,2455,4789,2480xe" filled="true" fillcolor="#ff0000" stroked="false">
              <v:path arrowok="t"/>
              <v:fill type="solid"/>
            </v:shape>
            <v:shape style="position:absolute;left:4748;top:2430;width:81;height:50" coordorigin="4749,2430" coordsize="81,50" path="m4789,2430l4829,2455,4789,2480,4749,2455,4789,2430xe" filled="false" stroked="true" strokeweight=".929997pt" strokecolor="#ff0000">
              <v:path arrowok="t"/>
              <v:stroke dashstyle="solid"/>
            </v:shape>
            <v:shape style="position:absolute;left:4547;top:2374;width:81;height:50" coordorigin="4547,2375" coordsize="81,50" path="m4588,2424l4547,2399,4588,2375,4628,2399,4588,2424xe" filled="true" fillcolor="#ff0000" stroked="false">
              <v:path arrowok="t"/>
              <v:fill type="solid"/>
            </v:shape>
            <v:shape style="position:absolute;left:4547;top:2374;width:81;height:50" coordorigin="4547,2375" coordsize="81,50" path="m4588,2375l4628,2399,4588,2424,4547,2399,4588,2375xe" filled="false" stroked="true" strokeweight=".929997pt" strokecolor="#ff0000">
              <v:path arrowok="t"/>
              <v:stroke dashstyle="solid"/>
            </v:shape>
            <v:shape style="position:absolute;left:4754;top:2070;width:78;height:50" coordorigin="4755,2071" coordsize="78,50" path="m4795,2120l4755,2096,4795,2071,4832,2096,4795,2120xe" filled="true" fillcolor="#ff0000" stroked="false">
              <v:path arrowok="t"/>
              <v:fill type="solid"/>
            </v:shape>
            <v:shape style="position:absolute;left:4754;top:2070;width:78;height:50" coordorigin="4755,2071" coordsize="78,50" path="m4795,2071l4832,2096,4795,2120,4755,2096,4795,2071xe" filled="false" stroked="true" strokeweight=".929998pt" strokecolor="#ff0000">
              <v:path arrowok="t"/>
              <v:stroke dashstyle="solid"/>
            </v:shape>
            <v:shape style="position:absolute;left:4773;top:1990;width:78;height:47" coordorigin="4774,1990" coordsize="78,47" path="m4811,2037l4774,2015,4811,1990,4851,2015,4811,2037xe" filled="true" fillcolor="#ff0000" stroked="false">
              <v:path arrowok="t"/>
              <v:fill type="solid"/>
            </v:shape>
            <v:shape style="position:absolute;left:4773;top:1990;width:78;height:47" coordorigin="4774,1990" coordsize="78,47" path="m4811,1990l4851,2015,4811,2037,4774,2015,4811,1990xe" filled="false" stroked="true" strokeweight=".929997pt" strokecolor="#ff0000">
              <v:path arrowok="t"/>
              <v:stroke dashstyle="solid"/>
            </v:shape>
            <v:shape style="position:absolute;left:3890;top:2873;width:81;height:50" coordorigin="3890,2874" coordsize="81,50" path="m3930,2923l3890,2898,3930,2874,3971,2898,3930,2923xe" filled="true" fillcolor="#ff0000" stroked="false">
              <v:path arrowok="t"/>
              <v:fill type="solid"/>
            </v:shape>
            <v:shape style="position:absolute;left:3890;top:2873;width:81;height:50" coordorigin="3890,2874" coordsize="81,50" path="m3930,2874l3971,2898,3930,2923,3890,2898,3930,2874xe" filled="false" stroked="true" strokeweight=".929997pt" strokecolor="#ff0000">
              <v:path arrowok="t"/>
              <v:stroke dashstyle="solid"/>
            </v:shape>
            <v:shape style="position:absolute;left:4379;top:2349;width:81;height:47" coordorigin="4380,2350" coordsize="81,47" path="m4420,2396l4380,2371,4420,2350,4460,2371,4420,2396xe" filled="true" fillcolor="#ff0000" stroked="false">
              <v:path arrowok="t"/>
              <v:fill type="solid"/>
            </v:shape>
            <v:shape style="position:absolute;left:4379;top:2349;width:81;height:47" coordorigin="4380,2350" coordsize="81,47" path="m4420,2350l4460,2371,4420,2396,4380,2371,4420,2350xe" filled="false" stroked="true" strokeweight=".929996pt" strokecolor="#ff0000">
              <v:path arrowok="t"/>
              <v:stroke dashstyle="solid"/>
            </v:shape>
            <v:shape style="position:absolute;left:4234;top:2514;width:78;height:50" coordorigin="4234,2514" coordsize="78,50" path="m4271,2564l4234,2539,4271,2514,4312,2539,4271,2564xe" filled="true" fillcolor="#ff0000" stroked="false">
              <v:path arrowok="t"/>
              <v:fill type="solid"/>
            </v:shape>
            <v:shape style="position:absolute;left:4234;top:2514;width:78;height:50" coordorigin="4234,2514" coordsize="78,50" path="m4271,2514l4312,2539,4271,2564,4234,2539,4271,2514xe" filled="false" stroked="true" strokeweight=".929998pt" strokecolor="#ff0000">
              <v:path arrowok="t"/>
              <v:stroke dashstyle="solid"/>
            </v:shape>
            <v:shape style="position:absolute;left:3893;top:2762;width:81;height:50" coordorigin="3893,2762" coordsize="81,50" path="m3933,2812l3893,2787,3933,2762,3974,2787,3933,2812xe" filled="true" fillcolor="#ff0000" stroked="false">
              <v:path arrowok="t"/>
              <v:fill type="solid"/>
            </v:shape>
            <v:shape style="position:absolute;left:3893;top:2762;width:81;height:50" coordorigin="3893,2762" coordsize="81,50" path="m3933,2762l3974,2787,3933,2812,3893,2787,3933,2762xe" filled="false" stroked="true" strokeweight=".929997pt" strokecolor="#ff0000">
              <v:path arrowok="t"/>
              <v:stroke dashstyle="solid"/>
            </v:shape>
            <v:shape style="position:absolute;left:3592;top:2817;width:78;height:50" coordorigin="3592,2818" coordsize="78,50" path="m3633,2867l3592,2843,3633,2818,3670,2843,3633,2867xe" filled="true" fillcolor="#ff0000" stroked="false">
              <v:path arrowok="t"/>
              <v:fill type="solid"/>
            </v:shape>
            <v:shape style="position:absolute;left:3592;top:2817;width:78;height:50" coordorigin="3592,2818" coordsize="78,50" path="m3633,2818l3670,2843,3633,2867,3592,2843,3633,2818xe" filled="false" stroked="true" strokeweight=".929998pt" strokecolor="#ff0000">
              <v:path arrowok="t"/>
              <v:stroke dashstyle="solid"/>
            </v:shape>
            <v:shape style="position:absolute;left:2916;top:3065;width:81;height:50" coordorigin="2917,3066" coordsize="81,50" path="m2957,3115l2917,3091,2957,3066,2997,3091,2957,3115xe" filled="true" fillcolor="#ff0000" stroked="false">
              <v:path arrowok="t"/>
              <v:fill type="solid"/>
            </v:shape>
            <v:shape style="position:absolute;left:2916;top:3065;width:81;height:50" coordorigin="2917,3066" coordsize="81,50" path="m2957,3066l2997,3091,2957,3115,2917,3091,2957,3066xe" filled="false" stroked="true" strokeweight=".929997pt" strokecolor="#ff0000">
              <v:path arrowok="t"/>
              <v:stroke dashstyle="solid"/>
            </v:shape>
            <v:shape style="position:absolute;left:3155;top:2985;width:81;height:50" coordorigin="3155,2985" coordsize="81,50" path="m3196,3035l3155,3010,3196,2985,3236,3010,3196,3035xe" filled="true" fillcolor="#ff0000" stroked="false">
              <v:path arrowok="t"/>
              <v:fill type="solid"/>
            </v:shape>
            <v:shape style="position:absolute;left:3155;top:2985;width:81;height:50" coordorigin="3155,2985" coordsize="81,50" path="m3196,2985l3236,3010,3196,3035,3155,3010,3196,2985xe" filled="false" stroked="true" strokeweight=".929997pt" strokecolor="#ff0000">
              <v:path arrowok="t"/>
              <v:stroke dashstyle="solid"/>
            </v:shape>
            <v:shape style="position:absolute;left:3164;top:3065;width:81;height:50" coordorigin="3165,3066" coordsize="81,50" path="m3205,3115l3165,3091,3205,3066,3245,3091,3205,3115xe" filled="true" fillcolor="#ff0000" stroked="false">
              <v:path arrowok="t"/>
              <v:fill type="solid"/>
            </v:shape>
            <v:shape style="position:absolute;left:3164;top:3065;width:81;height:50" coordorigin="3165,3066" coordsize="81,50" path="m3205,3066l3245,3091,3205,3115,3165,3091,3205,3066xe" filled="false" stroked="true" strokeweight=".929997pt" strokecolor="#ff0000">
              <v:path arrowok="t"/>
              <v:stroke dashstyle="solid"/>
            </v:shape>
            <v:shape style="position:absolute;left:3235;top:2985;width:81;height:50" coordorigin="3236,2985" coordsize="81,50" path="m3276,3035l3236,3010,3276,2985,3317,3010,3276,3035xe" filled="true" fillcolor="#ff0000" stroked="false">
              <v:path arrowok="t"/>
              <v:fill type="solid"/>
            </v:shape>
            <v:shape style="position:absolute;left:3235;top:2985;width:81;height:50" coordorigin="3236,2985" coordsize="81,50" path="m3276,2985l3317,3010,3276,3035,3236,3010,3276,2985xe" filled="false" stroked="true" strokeweight=".929997pt" strokecolor="#ff0000">
              <v:path arrowok="t"/>
              <v:stroke dashstyle="solid"/>
            </v:shape>
            <v:shape style="position:absolute;left:7529;top:384;width:81;height:50" coordorigin="7530,384" coordsize="81,50" path="m7570,434l7530,409,7570,384,7610,409,7570,434xe" filled="true" fillcolor="#ff0000" stroked="false">
              <v:path arrowok="t"/>
              <v:fill type="solid"/>
            </v:shape>
            <v:shape style="position:absolute;left:7529;top:384;width:81;height:50" coordorigin="7530,384" coordsize="81,50" path="m7570,384l7610,409,7570,434,7530,409,7570,384xe" filled="false" stroked="true" strokeweight=".929997pt" strokecolor="#ff0000">
              <v:path arrowok="t"/>
              <v:stroke dashstyle="solid"/>
            </v:shape>
            <v:shape style="position:absolute;left:7182;top:716;width:81;height:50" coordorigin="7182,716" coordsize="81,50" path="m7223,766l7182,741,7223,716,7263,741,7223,766xe" filled="true" fillcolor="#ff0000" stroked="false">
              <v:path arrowok="t"/>
              <v:fill type="solid"/>
            </v:shape>
            <v:shape style="position:absolute;left:7182;top:716;width:81;height:50" coordorigin="7182,716" coordsize="81,50" path="m7223,716l7263,741,7223,766,7182,741,7223,716xe" filled="false" stroked="true" strokeweight=".929997pt" strokecolor="#ff0000">
              <v:path arrowok="t"/>
              <v:stroke dashstyle="solid"/>
            </v:shape>
            <v:shape style="position:absolute;left:6627;top:1103;width:81;height:50" coordorigin="6627,1104" coordsize="81,50" path="m6668,1153l6627,1128,6668,1104,6708,1128,6668,1153xe" filled="true" fillcolor="#ff0000" stroked="false">
              <v:path arrowok="t"/>
              <v:fill type="solid"/>
            </v:shape>
            <v:shape style="position:absolute;left:6627;top:1103;width:81;height:50" coordorigin="6627,1104" coordsize="81,50" path="m6668,1104l6708,1128,6668,1153,6627,1128,6668,1104xe" filled="false" stroked="true" strokeweight=".929997pt" strokecolor="#ff0000">
              <v:path arrowok="t"/>
              <v:stroke dashstyle="solid"/>
            </v:shape>
            <v:shape style="position:absolute;left:6847;top:1019;width:81;height:50" coordorigin="6848,1020" coordsize="81,50" path="m6888,1069l6848,1045,6888,1020,6928,1045,6888,1069xe" filled="true" fillcolor="#ff0000" stroked="false">
              <v:path arrowok="t"/>
              <v:fill type="solid"/>
            </v:shape>
            <v:shape style="position:absolute;left:6847;top:1019;width:81;height:50" coordorigin="6848,1020" coordsize="81,50" path="m6888,1020l6928,1045,6888,1069,6848,1045,6888,1020xe" filled="false" stroked="true" strokeweight=".929997pt" strokecolor="#ff0000">
              <v:path arrowok="t"/>
              <v:stroke dashstyle="solid"/>
            </v:shape>
            <v:shape style="position:absolute;left:6515;top:1435;width:81;height:50" coordorigin="6516,1435" coordsize="81,50" path="m6556,1485l6516,1460,6556,1435,6596,1460,6556,1485xe" filled="true" fillcolor="#ff0000" stroked="false">
              <v:path arrowok="t"/>
              <v:fill type="solid"/>
            </v:shape>
            <v:shape style="position:absolute;left:6515;top:1435;width:81;height:50" coordorigin="6516,1435" coordsize="81,50" path="m6556,1435l6596,1460,6556,1485,6516,1460,6556,1435xe" filled="false" stroked="true" strokeweight=".929997pt" strokecolor="#ff0000">
              <v:path arrowok="t"/>
              <v:stroke dashstyle="solid"/>
            </v:shape>
            <v:shape style="position:absolute;left:7067;top:855;width:81;height:50" coordorigin="7068,856" coordsize="81,50" path="m7108,905l7068,880,7108,856,7148,880,7108,905xe" filled="true" fillcolor="#ff0000" stroked="false">
              <v:path arrowok="t"/>
              <v:fill type="solid"/>
            </v:shape>
            <v:shape style="position:absolute;left:7067;top:855;width:81;height:50" coordorigin="7068,856" coordsize="81,50" path="m7108,856l7148,880,7108,905,7068,880,7108,856xe" filled="false" stroked="true" strokeweight=".929997pt" strokecolor="#ff0000">
              <v:path arrowok="t"/>
              <v:stroke dashstyle="solid"/>
            </v:shape>
            <v:shape style="position:absolute;left:5920;top:1546;width:81;height:50" coordorigin="5921,1547" coordsize="81,50" path="m5961,1596l5921,1572,5961,1547,6001,1572,5961,1596xe" filled="true" fillcolor="#ff0000" stroked="false">
              <v:path arrowok="t"/>
              <v:fill type="solid"/>
            </v:shape>
            <v:shape style="position:absolute;left:5920;top:1546;width:81;height:50" coordorigin="5921,1547" coordsize="81,50" path="m5961,1547l6001,1572,5961,1596,5921,1572,5961,1547xe" filled="false" stroked="true" strokeweight=".929997pt" strokecolor="#ff0000">
              <v:path arrowok="t"/>
              <v:stroke dashstyle="solid"/>
            </v:shape>
            <v:shape style="position:absolute;left:7185;top:604;width:78;height:50" coordorigin="7185,604" coordsize="78,50" path="m7226,654l7185,629,7226,604,7263,629,7226,654xe" filled="true" fillcolor="#ff0000" stroked="false">
              <v:path arrowok="t"/>
              <v:fill type="solid"/>
            </v:shape>
            <v:shape style="position:absolute;left:7185;top:604;width:78;height:50" coordorigin="7185,604" coordsize="78,50" path="m7226,604l7263,629,7226,654,7185,629,7226,604xe" filled="false" stroked="true" strokeweight=".929998pt" strokecolor="#ff0000">
              <v:path arrowok="t"/>
              <v:stroke dashstyle="solid"/>
            </v:shape>
            <v:shape style="position:absolute;left:7300;top:716;width:81;height:50" coordorigin="7300,716" coordsize="81,50" path="m7340,766l7300,741,7340,716,7381,741,7340,766xe" filled="true" fillcolor="#ff0000" stroked="false">
              <v:path arrowok="t"/>
              <v:fill type="solid"/>
            </v:shape>
            <v:shape style="position:absolute;left:7300;top:716;width:81;height:50" coordorigin="7300,716" coordsize="81,50" path="m7340,716l7381,741,7340,766,7300,741,7340,716xe" filled="false" stroked="true" strokeweight=".929997pt" strokecolor="#ff0000">
              <v:path arrowok="t"/>
              <v:stroke dashstyle="solid"/>
            </v:shape>
            <v:shape style="position:absolute;left:6630;top:1463;width:81;height:50" coordorigin="6631,1463" coordsize="81,50" path="m6671,1513l6631,1488,6671,1463,6711,1488,6671,1513xe" filled="true" fillcolor="#ff0000" stroked="false">
              <v:path arrowok="t"/>
              <v:fill type="solid"/>
            </v:shape>
            <v:shape style="position:absolute;left:6630;top:1463;width:81;height:50" coordorigin="6631,1463" coordsize="81,50" path="m6671,1463l6711,1488,6671,1513,6631,1488,6671,1463xe" filled="false" stroked="true" strokeweight=".929997pt" strokecolor="#ff0000">
              <v:path arrowok="t"/>
              <v:stroke dashstyle="solid"/>
            </v:shape>
            <v:shape style="position:absolute;left:4826;top:2182;width:81;height:50" coordorigin="4826,2182" coordsize="81,50" path="m4867,2232l4826,2207,4867,2182,4907,2207,4867,2232xe" filled="true" fillcolor="#ff0000" stroked="false">
              <v:path arrowok="t"/>
              <v:fill type="solid"/>
            </v:shape>
            <v:shape style="position:absolute;left:4826;top:2182;width:81;height:50" coordorigin="4826,2182" coordsize="81,50" path="m4867,2182l4907,2207,4867,2232,4826,2207,4867,2182xe" filled="false" stroked="true" strokeweight=".929997pt" strokecolor="#ff0000">
              <v:path arrowok="t"/>
              <v:stroke dashstyle="solid"/>
            </v:shape>
            <v:shape style="position:absolute;left:4897;top:2154;width:78;height:50" coordorigin="4898,2154" coordsize="78,50" path="m4935,2204l4898,2179,4935,2154,4975,2179,4935,2204xe" filled="true" fillcolor="#ff0000" stroked="false">
              <v:path arrowok="t"/>
              <v:fill type="solid"/>
            </v:shape>
            <v:shape style="position:absolute;left:4897;top:2154;width:78;height:50" coordorigin="4898,2154" coordsize="78,50" path="m4935,2154l4975,2179,4935,2204,4898,2179,4935,2154xe" filled="false" stroked="true" strokeweight=".929998pt" strokecolor="#ff0000">
              <v:path arrowok="t"/>
              <v:stroke dashstyle="solid"/>
            </v:shape>
            <v:shape style="position:absolute;left:5467;top:1649;width:214;height:121" type="#_x0000_t75" stroked="false">
              <v:imagedata r:id="rId115" o:title=""/>
            </v:shape>
            <v:shape style="position:absolute;left:6339;top:1243;width:81;height:47" coordorigin="6339,1243" coordsize="81,47" path="m6379,1290l6339,1268,6379,1243,6420,1268,6379,1290xe" filled="true" fillcolor="#ff0000" stroked="false">
              <v:path arrowok="t"/>
              <v:fill type="solid"/>
            </v:shape>
            <v:shape style="position:absolute;left:6339;top:1243;width:81;height:47" coordorigin="6339,1243" coordsize="81,47" path="m6379,1243l6420,1268,6379,1290,6339,1268,6379,1243xe" filled="false" stroked="true" strokeweight=".929996pt" strokecolor="#ff0000">
              <v:path arrowok="t"/>
              <v:stroke dashstyle="solid"/>
            </v:shape>
            <v:shape style="position:absolute;left:6100;top:1491;width:81;height:50" coordorigin="6100,1491" coordsize="81,50" path="m6141,1541l6100,1516,6141,1491,6181,1516,6141,1541xe" filled="true" fillcolor="#ff0000" stroked="false">
              <v:path arrowok="t"/>
              <v:fill type="solid"/>
            </v:shape>
            <v:shape style="position:absolute;left:6100;top:1491;width:81;height:50" coordorigin="6100,1491" coordsize="81,50" path="m6141,1491l6181,1516,6141,1541,6100,1516,6141,1491xe" filled="false" stroked="true" strokeweight=".929997pt" strokecolor="#ff0000">
              <v:path arrowok="t"/>
              <v:stroke dashstyle="solid"/>
            </v:shape>
            <v:shape style="position:absolute;left:5204;top:1962;width:81;height:47" coordorigin="5204,1962" coordsize="81,47" path="m5245,2009l5204,1987,5245,1962,5285,1987,5245,2009xe" filled="true" fillcolor="#ff0000" stroked="false">
              <v:path arrowok="t"/>
              <v:fill type="solid"/>
            </v:shape>
            <v:shape style="position:absolute;left:5204;top:1962;width:81;height:47" coordorigin="5204,1962" coordsize="81,47" path="m5245,1962l5285,1987,5245,2009,5204,1987,5245,1962xe" filled="false" stroked="true" strokeweight=".929996pt" strokecolor="#ff0000">
              <v:path arrowok="t"/>
              <v:stroke dashstyle="solid"/>
            </v:shape>
            <v:shape style="position:absolute;left:5322;top:1766;width:81;height:50" coordorigin="5322,1767" coordsize="81,50" path="m5363,1817l5322,1792,5363,1767,5403,1792,5363,1817xe" filled="true" fillcolor="#ff0000" stroked="false">
              <v:path arrowok="t"/>
              <v:fill type="solid"/>
            </v:shape>
            <v:shape style="position:absolute;left:5322;top:1766;width:81;height:50" coordorigin="5322,1767" coordsize="81,50" path="m5363,1767l5403,1792,5363,1817,5322,1792,5363,1767xe" filled="false" stroked="true" strokeweight=".929997pt" strokecolor="#ff0000">
              <v:path arrowok="t"/>
              <v:stroke dashstyle="solid"/>
            </v:shape>
            <v:shape style="position:absolute;left:5049;top:1934;width:81;height:50" coordorigin="5049,1934" coordsize="81,50" path="m5090,1984l5049,1959,5090,1934,5130,1959,5090,1984xe" filled="true" fillcolor="#ff0000" stroked="false">
              <v:path arrowok="t"/>
              <v:fill type="solid"/>
            </v:shape>
            <v:shape style="position:absolute;left:5049;top:1934;width:81;height:50" coordorigin="5049,1934" coordsize="81,50" path="m5090,1934l5130,1959,5090,1984,5049,1959,5090,1934xe" filled="false" stroked="true" strokeweight=".929997pt" strokecolor="#ff0000">
              <v:path arrowok="t"/>
              <v:stroke dashstyle="solid"/>
            </v:shape>
            <v:shape style="position:absolute;left:6748;top:1261;width:78;height:50" coordorigin="6748,1262" coordsize="78,50" path="m6826,1311l6748,1311,6789,1262,6826,1311xe" filled="true" fillcolor="#0000ff" stroked="false">
              <v:path arrowok="t"/>
              <v:fill type="solid"/>
            </v:shape>
            <v:shape style="position:absolute;left:6748;top:1261;width:78;height:50" coordorigin="6748,1262" coordsize="78,50" path="m6789,1262l6826,1311,6748,1311,6789,1262xe" filled="false" stroked="true" strokeweight=".929998pt" strokecolor="#0000ff">
              <v:path arrowok="t"/>
              <v:stroke dashstyle="solid"/>
            </v:shape>
            <v:shape style="position:absolute;left:6549;top:1373;width:78;height:47" coordorigin="6550,1373" coordsize="78,47" path="m6627,1420l6550,1420,6590,1373,6627,1420xe" filled="true" fillcolor="#0000ff" stroked="false">
              <v:path arrowok="t"/>
              <v:fill type="solid"/>
            </v:shape>
            <v:shape style="position:absolute;left:6549;top:1373;width:78;height:47" coordorigin="6550,1373" coordsize="78,47" path="m6590,1373l6627,1420,6550,1420,6590,1373xe" filled="false" stroked="true" strokeweight=".929997pt" strokecolor="#0000ff">
              <v:path arrowok="t"/>
              <v:stroke dashstyle="solid"/>
            </v:shape>
            <v:shape style="position:absolute;left:6931;top:1115;width:199;height:121" type="#_x0000_t75" stroked="false">
              <v:imagedata r:id="rId116" o:title=""/>
            </v:shape>
            <v:shape style="position:absolute;left:7789;top:877;width:78;height:47" coordorigin="7790,877" coordsize="78,47" path="m7867,924l7790,924,7830,877,7867,924xe" filled="true" fillcolor="#0000ff" stroked="false">
              <v:path arrowok="t"/>
              <v:fill type="solid"/>
            </v:shape>
            <v:shape style="position:absolute;left:7789;top:877;width:78;height:47" coordorigin="7790,877" coordsize="78,47" path="m7830,877l7867,924,7790,924,7830,877xe" filled="false" stroked="true" strokeweight=".929997pt" strokecolor="#0000ff">
              <v:path arrowok="t"/>
              <v:stroke dashstyle="solid"/>
            </v:shape>
            <v:shape style="position:absolute;left:7473;top:1097;width:78;height:47" coordorigin="7474,1097" coordsize="78,47" path="m7551,1144l7474,1144,7511,1097,7551,1144xe" filled="true" fillcolor="#0000ff" stroked="false">
              <v:path arrowok="t"/>
              <v:fill type="solid"/>
            </v:shape>
            <v:shape style="position:absolute;left:7473;top:1097;width:78;height:47" coordorigin="7474,1097" coordsize="78,47" path="m7511,1097l7551,1144,7474,1144,7511,1097xe" filled="false" stroked="true" strokeweight=".929997pt" strokecolor="#0000ff">
              <v:path arrowok="t"/>
              <v:stroke dashstyle="solid"/>
            </v:shape>
            <v:shape style="position:absolute;left:6732;top:1261;width:78;height:50" coordorigin="6733,1262" coordsize="78,50" path="m6810,1311l6733,1311,6770,1262,6810,1311xe" filled="true" fillcolor="#0000ff" stroked="false">
              <v:path arrowok="t"/>
              <v:fill type="solid"/>
            </v:shape>
            <v:shape style="position:absolute;left:6732;top:1261;width:78;height:50" coordorigin="6733,1262" coordsize="78,50" path="m6770,1262l6810,1311,6733,1311,6770,1262xe" filled="false" stroked="true" strokeweight=".929998pt" strokecolor="#0000ff">
              <v:path arrowok="t"/>
              <v:stroke dashstyle="solid"/>
            </v:shape>
            <v:shape style="position:absolute;left:6072;top:1593;width:78;height:50" coordorigin="6073,1593" coordsize="78,50" path="m6150,1643l6073,1643,6113,1593,6150,1643xe" filled="true" fillcolor="#0000ff" stroked="false">
              <v:path arrowok="t"/>
              <v:fill type="solid"/>
            </v:shape>
            <v:shape style="position:absolute;left:6072;top:1593;width:78;height:50" coordorigin="6073,1593" coordsize="78,50" path="m6113,1593l6150,1643,6073,1643,6113,1593xe" filled="false" stroked="true" strokeweight=".929998pt" strokecolor="#0000ff">
              <v:path arrowok="t"/>
              <v:stroke dashstyle="solid"/>
            </v:shape>
            <v:shape style="position:absolute;left:6165;top:1512;width:75;height:47" coordorigin="6166,1513" coordsize="75,47" path="m6240,1559l6166,1559,6203,1513,6240,1559xe" filled="true" fillcolor="#0000ff" stroked="false">
              <v:path arrowok="t"/>
              <v:fill type="solid"/>
            </v:shape>
            <v:shape style="position:absolute;left:6165;top:1512;width:75;height:47" coordorigin="6166,1513" coordsize="75,47" path="m6203,1513l6240,1559,6166,1559,6203,1513xe" filled="false" stroked="true" strokeweight=".929997pt" strokecolor="#0000ff">
              <v:path arrowok="t"/>
              <v:stroke dashstyle="solid"/>
            </v:shape>
            <v:shape style="position:absolute;left:6280;top:2092;width:78;height:47" coordorigin="6280,2092" coordsize="78,47" path="m6358,2139l6280,2139,6317,2092,6358,2139xe" filled="true" fillcolor="#0000ff" stroked="false">
              <v:path arrowok="t"/>
              <v:fill type="solid"/>
            </v:shape>
            <v:shape style="position:absolute;left:6280;top:2092;width:78;height:47" coordorigin="6280,2092" coordsize="78,47" path="m6317,2092l6358,2139,6280,2139,6317,2092xe" filled="false" stroked="true" strokeweight=".929997pt" strokecolor="#0000ff">
              <v:path arrowok="t"/>
              <v:stroke dashstyle="solid"/>
            </v:shape>
            <v:shape style="position:absolute;left:6066;top:2148;width:78;height:47" coordorigin="6066,2148" coordsize="78,47" path="m6144,2195l6066,2195,6104,2148,6144,2195xe" filled="true" fillcolor="#0000ff" stroked="false">
              <v:path arrowok="t"/>
              <v:fill type="solid"/>
            </v:shape>
            <v:shape style="position:absolute;left:6066;top:2148;width:78;height:47" coordorigin="6066,2148" coordsize="78,47" path="m6104,2148l6144,2195,6066,2195,6104,2148xe" filled="false" stroked="true" strokeweight=".929997pt" strokecolor="#0000ff">
              <v:path arrowok="t"/>
              <v:stroke dashstyle="solid"/>
            </v:shape>
            <v:shape style="position:absolute;left:5957;top:2120;width:78;height:47" coordorigin="5958,2120" coordsize="78,47" path="m6035,2167l5958,2167,5995,2120,6035,2167xe" filled="true" fillcolor="#0000ff" stroked="false">
              <v:path arrowok="t"/>
              <v:fill type="solid"/>
            </v:shape>
            <v:shape style="position:absolute;left:5957;top:2120;width:78;height:47" coordorigin="5958,2120" coordsize="78,47" path="m5995,2120l6035,2167,5958,2167,5995,2120xe" filled="false" stroked="true" strokeweight=".929997pt" strokecolor="#0000ff">
              <v:path arrowok="t"/>
              <v:stroke dashstyle="solid"/>
            </v:shape>
            <v:shape style="position:absolute;left:5365;top:2368;width:78;height:47" coordorigin="5366,2368" coordsize="78,47" path="m5443,2415l5366,2415,5403,2368,5443,2415xe" filled="true" fillcolor="#0000ff" stroked="false">
              <v:path arrowok="t"/>
              <v:fill type="solid"/>
            </v:shape>
            <v:shape style="position:absolute;left:5365;top:2368;width:78;height:47" coordorigin="5366,2368" coordsize="78,47" path="m5403,2368l5443,2415,5366,2415,5403,2368xe" filled="false" stroked="true" strokeweight=".929997pt" strokecolor="#0000ff">
              <v:path arrowok="t"/>
              <v:stroke dashstyle="solid"/>
            </v:shape>
            <v:shape style="position:absolute;left:5089;top:2479;width:78;height:47" coordorigin="5090,2480" coordsize="78,47" path="m5167,2526l5090,2526,5127,2480,5167,2526xe" filled="true" fillcolor="#0000ff" stroked="false">
              <v:path arrowok="t"/>
              <v:fill type="solid"/>
            </v:shape>
            <v:shape style="position:absolute;left:5089;top:2479;width:78;height:47" coordorigin="5090,2480" coordsize="78,47" path="m5127,2480l5167,2526,5090,2526,5127,2480xe" filled="false" stroked="true" strokeweight=".929997pt" strokecolor="#0000ff">
              <v:path arrowok="t"/>
              <v:stroke dashstyle="solid"/>
            </v:shape>
            <v:shape style="position:absolute;left:4699;top:2755;width:78;height:47" coordorigin="4699,2756" coordsize="78,47" path="m4777,2802l4699,2802,4736,2756,4777,2802xe" filled="true" fillcolor="#0000ff" stroked="false">
              <v:path arrowok="t"/>
              <v:fill type="solid"/>
            </v:shape>
            <v:shape style="position:absolute;left:4699;top:2755;width:78;height:47" coordorigin="4699,2756" coordsize="78,47" path="m4736,2756l4777,2802,4699,2802,4736,2756xe" filled="false" stroked="true" strokeweight=".929997pt" strokecolor="#0000ff">
              <v:path arrowok="t"/>
              <v:stroke dashstyle="solid"/>
            </v:shape>
            <v:shape style="position:absolute;left:4010;top:2783;width:78;height:47" coordorigin="4011,2784" coordsize="78,47" path="m4088,2830l4011,2830,4051,2784,4088,2830xe" filled="true" fillcolor="#0000ff" stroked="false">
              <v:path arrowok="t"/>
              <v:fill type="solid"/>
            </v:shape>
            <v:shape style="position:absolute;left:4010;top:2783;width:78;height:47" coordorigin="4011,2784" coordsize="78,47" path="m4051,2784l4088,2830,4011,2830,4051,2784xe" filled="false" stroked="true" strokeweight=".929997pt" strokecolor="#0000ff">
              <v:path arrowok="t"/>
              <v:stroke dashstyle="solid"/>
            </v:shape>
            <v:shape style="position:absolute;left:3576;top:3059;width:78;height:47" coordorigin="3577,3060" coordsize="78,47" path="m3654,3106l3577,3106,3614,3060,3654,3106xe" filled="true" fillcolor="#0000ff" stroked="false">
              <v:path arrowok="t"/>
              <v:fill type="solid"/>
            </v:shape>
            <v:shape style="position:absolute;left:3576;top:3059;width:78;height:47" coordorigin="3577,3060" coordsize="78,47" path="m3614,3060l3654,3106,3577,3106,3614,3060xe" filled="false" stroked="true" strokeweight=".929997pt" strokecolor="#0000ff">
              <v:path arrowok="t"/>
              <v:stroke dashstyle="solid"/>
            </v:shape>
            <v:shape style="position:absolute;left:3220;top:3087;width:78;height:50" coordorigin="3220,3087" coordsize="78,50" path="m3298,3137l3220,3137,3261,3087,3298,3137xe" filled="true" fillcolor="#0000ff" stroked="false">
              <v:path arrowok="t"/>
              <v:fill type="solid"/>
            </v:shape>
            <v:shape style="position:absolute;left:3220;top:3087;width:78;height:50" coordorigin="3220,3087" coordsize="78,50" path="m3261,3087l3298,3137,3220,3137,3261,3087xe" filled="false" stroked="true" strokeweight=".929998pt" strokecolor="#0000ff">
              <v:path arrowok="t"/>
              <v:stroke dashstyle="solid"/>
            </v:shape>
            <v:shape style="position:absolute;left:7867;top:1013;width:78;height:47" coordorigin="7867,1014" coordsize="78,47" path="m7945,1060l7867,1060,7908,1014,7945,1060xe" filled="true" fillcolor="#0000ff" stroked="false">
              <v:path arrowok="t"/>
              <v:fill type="solid"/>
            </v:shape>
            <v:shape style="position:absolute;left:7867;top:1013;width:78;height:47" coordorigin="7867,1014" coordsize="78,47" path="m7908,1014l7945,1060,7867,1060,7908,1014xe" filled="false" stroked="true" strokeweight=".929997pt" strokecolor="#0000ff">
              <v:path arrowok="t"/>
              <v:stroke dashstyle="solid"/>
            </v:shape>
            <v:shape style="position:absolute;left:8285;top:793;width:78;height:47" coordorigin="8286,794" coordsize="78,47" path="m8363,840l8286,840,8323,794,8363,840xe" filled="true" fillcolor="#0000ff" stroked="false">
              <v:path arrowok="t"/>
              <v:fill type="solid"/>
            </v:shape>
            <v:shape style="position:absolute;left:8285;top:793;width:78;height:47" coordorigin="8286,794" coordsize="78,47" path="m8323,794l8363,840,8286,840,8323,794xe" filled="false" stroked="true" strokeweight=".929997pt" strokecolor="#0000ff">
              <v:path arrowok="t"/>
              <v:stroke dashstyle="solid"/>
            </v:shape>
            <v:shape style="position:absolute;left:8837;top:542;width:78;height:50" coordorigin="8838,542" coordsize="78,50" path="m8915,592l8838,592,8878,542,8915,592xe" filled="true" fillcolor="#0000ff" stroked="false">
              <v:path arrowok="t"/>
              <v:fill type="solid"/>
            </v:shape>
            <v:shape style="position:absolute;left:8837;top:542;width:78;height:50" coordorigin="8838,542" coordsize="78,50" path="m8878,542l8915,592,8838,592,8878,542xe" filled="false" stroked="true" strokeweight=".929998pt" strokecolor="#0000ff">
              <v:path arrowok="t"/>
              <v:stroke dashstyle="solid"/>
            </v:shape>
            <v:shape style="position:absolute;left:9383;top:433;width:78;height:47" coordorigin="9383,434" coordsize="78,47" path="m9461,480l9383,480,9424,434,9461,480xe" filled="true" fillcolor="#0000ff" stroked="false">
              <v:path arrowok="t"/>
              <v:fill type="solid"/>
            </v:shape>
            <v:shape style="position:absolute;left:9383;top:433;width:78;height:47" coordorigin="9383,434" coordsize="78,47" path="m9424,434l9461,480,9383,480,9424,434xe" filled="false" stroked="true" strokeweight=".929997pt" strokecolor="#0000ff">
              <v:path arrowok="t"/>
              <v:stroke dashstyle="solid"/>
            </v:shape>
            <v:shape style="position:absolute;left:7231;top:1456;width:78;height:47" coordorigin="7232,1457" coordsize="78,47" path="m7309,1503l7232,1503,7269,1457,7309,1503xe" filled="true" fillcolor="#0000ff" stroked="false">
              <v:path arrowok="t"/>
              <v:fill type="solid"/>
            </v:shape>
            <v:shape style="position:absolute;left:7231;top:1456;width:78;height:47" coordorigin="7232,1457" coordsize="78,47" path="m7269,1457l7309,1503,7232,1503,7269,1457xe" filled="false" stroked="true" strokeweight=".929997pt" strokecolor="#0000ff">
              <v:path arrowok="t"/>
              <v:stroke dashstyle="solid"/>
            </v:shape>
            <v:shape style="position:absolute;left:6748;top:1704;width:78;height:47" coordorigin="6748,1705" coordsize="78,47" path="m6826,1751l6748,1751,6789,1705,6826,1751xe" filled="true" fillcolor="#0000ff" stroked="false">
              <v:path arrowok="t"/>
              <v:fill type="solid"/>
            </v:shape>
            <v:shape style="position:absolute;left:6748;top:1704;width:78;height:47" coordorigin="6748,1705" coordsize="78,47" path="m6789,1705l6826,1751,6748,1751,6789,1705xe" filled="false" stroked="true" strokeweight=".929997pt" strokecolor="#0000ff">
              <v:path arrowok="t"/>
              <v:stroke dashstyle="solid"/>
            </v:shape>
            <v:shape style="position:absolute;left:6714;top:1704;width:78;height:47" coordorigin="6714,1705" coordsize="78,47" path="m6792,1751l6714,1751,6755,1705,6792,1751xe" filled="true" fillcolor="#0000ff" stroked="false">
              <v:path arrowok="t"/>
              <v:fill type="solid"/>
            </v:shape>
            <v:shape style="position:absolute;left:6714;top:1704;width:78;height:47" coordorigin="6714,1705" coordsize="78,47" path="m6755,1705l6792,1751,6714,1751,6755,1705xe" filled="false" stroked="true" strokeweight=".929997pt" strokecolor="#0000ff">
              <v:path arrowok="t"/>
              <v:stroke dashstyle="solid"/>
            </v:shape>
            <v:shape style="position:absolute;left:7111;top:1373;width:78;height:47" coordorigin="7111,1373" coordsize="78,47" path="m7189,1420l7111,1420,7148,1373,7189,1420xe" filled="true" fillcolor="#0000ff" stroked="false">
              <v:path arrowok="t"/>
              <v:fill type="solid"/>
            </v:shape>
            <v:shape style="position:absolute;left:7111;top:1373;width:78;height:47" coordorigin="7111,1373" coordsize="78,47" path="m7148,1373l7189,1420,7111,1420,7148,1373xe" filled="false" stroked="true" strokeweight=".929997pt" strokecolor="#0000ff">
              <v:path arrowok="t"/>
              <v:stroke dashstyle="solid"/>
            </v:shape>
            <v:shape style="position:absolute;left:7851;top:1097;width:78;height:47" coordorigin="7852,1097" coordsize="78,47" path="m7929,1144l7852,1144,7889,1097,7929,1144xe" filled="true" fillcolor="#0000ff" stroked="false">
              <v:path arrowok="t"/>
              <v:fill type="solid"/>
            </v:shape>
            <v:shape style="position:absolute;left:7851;top:1097;width:78;height:47" coordorigin="7852,1097" coordsize="78,47" path="m7889,1097l7929,1144,7852,1144,7889,1097xe" filled="false" stroked="true" strokeweight=".929997pt" strokecolor="#0000ff">
              <v:path arrowok="t"/>
              <v:stroke dashstyle="solid"/>
            </v:shape>
            <v:line style="position:absolute" from="2757,3120" to="2757,3129" stroked="true" strokeweight=".155005pt" strokecolor="#800080">
              <v:stroke dashstyle="solid"/>
            </v:line>
            <v:line style="position:absolute" from="2758,3125" to="2780,3125" stroked="true" strokeweight=".464992pt" strokecolor="#800080">
              <v:stroke dashstyle="solid"/>
            </v:line>
            <v:line style="position:absolute" from="2776,3123" to="2807,3123" stroked="true" strokeweight=".619990pt" strokecolor="#800080">
              <v:stroke dashstyle="solid"/>
            </v:line>
            <v:line style="position:absolute" from="2802,3122" to="2820,3118" stroked="true" strokeweight=".464993pt" strokecolor="#800080">
              <v:stroke dashstyle="solid"/>
            </v:line>
            <v:line style="position:absolute" from="2816,3117" to="2847,3117" stroked="true" strokeweight=".619990pt" strokecolor="#800080">
              <v:stroke dashstyle="solid"/>
            </v:line>
            <v:line style="position:absolute" from="2842,3115" to="2861,3112" stroked="true" strokeweight=".464993pt" strokecolor="#800080">
              <v:stroke dashstyle="solid"/>
            </v:line>
            <v:shape style="position:absolute;left:2856;top:3107;width:53;height:4" coordorigin="2856,3108" coordsize="53,4" path="m2856,3111l2887,3111m2878,3108l2909,3108e" filled="false" stroked="true" strokeweight=".619990pt" strokecolor="#800080">
              <v:path arrowok="t"/>
              <v:stroke dashstyle="solid"/>
            </v:shape>
            <v:line style="position:absolute" from="2904,3106" to="2923,3103" stroked="true" strokeweight=".464993pt" strokecolor="#800080">
              <v:stroke dashstyle="solid"/>
            </v:line>
            <v:line style="position:absolute" from="2918,3101" to="2949,3101" stroked="true" strokeweight=".619990pt" strokecolor="#800080">
              <v:stroke dashstyle="solid"/>
            </v:line>
            <v:line style="position:absolute" from="2944,3100" to="2963,3100" stroked="true" strokeweight=".464992pt" strokecolor="#800080">
              <v:stroke dashstyle="solid"/>
            </v:line>
            <v:line style="position:absolute" from="2958,3098" to="2989,3098" stroked="true" strokeweight=".619990pt" strokecolor="#800080">
              <v:stroke dashstyle="solid"/>
            </v:line>
            <v:line style="position:absolute" from="2985,3097" to="3003,3094" stroked="true" strokeweight=".464993pt" strokecolor="#800080">
              <v:stroke dashstyle="solid"/>
            </v:line>
            <v:line style="position:absolute" from="2999,3092" to="3030,3092" stroked="true" strokeweight=".619990pt" strokecolor="#800080">
              <v:stroke dashstyle="solid"/>
            </v:line>
            <v:line style="position:absolute" from="3025,3091" to="3044,3087" stroked="true" strokeweight=".464993pt" strokecolor="#800080">
              <v:stroke dashstyle="solid"/>
            </v:line>
            <v:line style="position:absolute" from="3044,3087" to="3065,3081" stroked="true" strokeweight=".464994pt" strokecolor="#800080">
              <v:stroke dashstyle="solid"/>
            </v:line>
            <v:line style="position:absolute" from="3065,3081" to="3084,3078" stroked="true" strokeweight=".464993pt" strokecolor="#800080">
              <v:stroke dashstyle="solid"/>
            </v:line>
            <v:shape style="position:absolute;left:3079;top:3073;width:53;height:4" coordorigin="3079,3074" coordsize="53,4" path="m3079,3077l3110,3077m3101,3074l3132,3074e" filled="false" stroked="true" strokeweight=".619990pt" strokecolor="#800080">
              <v:path arrowok="t"/>
              <v:stroke dashstyle="solid"/>
            </v:shape>
            <v:line style="position:absolute" from="3127,3072" to="3146,3069" stroked="true" strokeweight=".464993pt" strokecolor="#800080">
              <v:stroke dashstyle="solid"/>
            </v:line>
            <v:line style="position:absolute" from="3141,3067" to="3172,3067" stroked="true" strokeweight=".619990pt" strokecolor="#800080">
              <v:stroke dashstyle="solid"/>
            </v:line>
            <v:line style="position:absolute" from="3168,3066" to="3180,3063" stroked="true" strokeweight=".464993pt" strokecolor="#800080">
              <v:stroke dashstyle="solid"/>
            </v:line>
            <v:line style="position:absolute" from="3323,3038" to="3329,3035" stroked="true" strokeweight=".464997pt" strokecolor="#800080">
              <v:stroke dashstyle="solid"/>
            </v:line>
            <v:line style="position:absolute" from="3324,3033" to="3355,3033" stroked="true" strokeweight=".619990pt" strokecolor="#800080">
              <v:stroke dashstyle="solid"/>
            </v:line>
            <v:line style="position:absolute" from="3351,3032" to="3369,3029" stroked="true" strokeweight=".464993pt" strokecolor="#800080">
              <v:stroke dashstyle="solid"/>
            </v:line>
            <v:line style="position:absolute" from="3369,3029" to="3391,3022" stroked="true" strokeweight=".464994pt" strokecolor="#800080">
              <v:stroke dashstyle="solid"/>
            </v:line>
            <v:line style="position:absolute" from="3386,3021" to="3417,3021" stroked="true" strokeweight=".619990pt" strokecolor="#800080">
              <v:stroke dashstyle="solid"/>
            </v:line>
            <v:line style="position:absolute" from="3413,3019" to="3431,3013" stroked="true" strokeweight=".464994pt" strokecolor="#800080">
              <v:stroke dashstyle="solid"/>
            </v:line>
            <v:line style="position:absolute" from="3427,3011" to="3458,3011" stroked="true" strokeweight=".619990pt" strokecolor="#800080">
              <v:stroke dashstyle="solid"/>
            </v:line>
            <v:line style="position:absolute" from="3453,3010" to="3472,3007" stroked="true" strokeweight=".464993pt" strokecolor="#800080">
              <v:stroke dashstyle="solid"/>
            </v:line>
            <v:line style="position:absolute" from="3472,3007" to="3493,3001" stroked="true" strokeweight=".464994pt" strokecolor="#800080">
              <v:stroke dashstyle="solid"/>
            </v:line>
            <v:line style="position:absolute" from="3493,3001" to="3512,2998" stroked="true" strokeweight=".464993pt" strokecolor="#800080">
              <v:stroke dashstyle="solid"/>
            </v:line>
            <v:line style="position:absolute" from="3512,2998" to="3534,2991" stroked="true" strokeweight=".464994pt" strokecolor="#800080">
              <v:stroke dashstyle="solid"/>
            </v:line>
            <v:line style="position:absolute" from="3529,2990" to="3560,2990" stroked="true" strokeweight=".619990pt" strokecolor="#800080">
              <v:stroke dashstyle="solid"/>
            </v:line>
            <v:line style="position:absolute" from="3555,2988" to="3574,2982" stroked="true" strokeweight=".464994pt" strokecolor="#800080">
              <v:stroke dashstyle="solid"/>
            </v:line>
            <v:line style="position:absolute" from="3569,2980" to="3600,2980" stroked="true" strokeweight=".619990pt" strokecolor="#800080">
              <v:stroke dashstyle="solid"/>
            </v:line>
            <v:line style="position:absolute" from="3596,2979" to="3614,2973" stroked="true" strokeweight=".464994pt" strokecolor="#800080">
              <v:stroke dashstyle="solid"/>
            </v:line>
            <v:line style="position:absolute" from="3614,2973" to="3636,2967" stroked="true" strokeweight=".464994pt" strokecolor="#800080">
              <v:stroke dashstyle="solid"/>
            </v:line>
            <v:line style="position:absolute" from="3631,2965" to="3662,2965" stroked="true" strokeweight=".619990pt" strokecolor="#800080">
              <v:stroke dashstyle="solid"/>
            </v:line>
            <v:line style="position:absolute" from="3658,2963" to="3676,2957" stroked="true" strokeweight=".464994pt" strokecolor="#800080">
              <v:stroke dashstyle="solid"/>
            </v:line>
            <v:line style="position:absolute" from="3671,2956" to="3702,2956" stroked="true" strokeweight=".619990pt" strokecolor="#800080">
              <v:stroke dashstyle="solid"/>
            </v:line>
            <v:line style="position:absolute" from="3698,2954" to="3716,2948" stroked="true" strokeweight=".464994pt" strokecolor="#800080">
              <v:stroke dashstyle="solid"/>
            </v:line>
            <v:line style="position:absolute" from="3716,2948" to="3738,2942" stroked="true" strokeweight=".464994pt" strokecolor="#800080">
              <v:stroke dashstyle="solid"/>
            </v:line>
            <v:line style="position:absolute" from="3738,2942" to="3751,2939" stroked="true" strokeweight=".464993pt" strokecolor="#800080">
              <v:stroke dashstyle="solid"/>
            </v:line>
            <v:line style="position:absolute" from="3893,2901" to="3899,2898" stroked="true" strokeweight=".464997pt" strokecolor="#800080">
              <v:stroke dashstyle="solid"/>
            </v:line>
            <v:line style="position:absolute" from="3899,2898" to="3921,2892" stroked="true" strokeweight=".464994pt" strokecolor="#800080">
              <v:stroke dashstyle="solid"/>
            </v:line>
            <v:line style="position:absolute" from="3921,2892" to="3940,2886" stroked="true" strokeweight=".464994pt" strokecolor="#800080">
              <v:stroke dashstyle="solid"/>
            </v:line>
            <v:line style="position:absolute" from="3935,2884" to="3966,2884" stroked="true" strokeweight=".619990pt" strokecolor="#800080">
              <v:stroke dashstyle="solid"/>
            </v:line>
            <v:line style="position:absolute" from="3961,2883" to="3983,2877" stroked="true" strokeweight=".464994pt" strokecolor="#800080">
              <v:stroke dashstyle="solid"/>
            </v:line>
            <v:line style="position:absolute" from="3983,2877" to="4002,2870" stroked="true" strokeweight=".464994pt" strokecolor="#800080">
              <v:stroke dashstyle="solid"/>
            </v:line>
            <v:line style="position:absolute" from="4002,2870" to="4023,2864" stroked="true" strokeweight=".464994pt" strokecolor="#800080">
              <v:stroke dashstyle="solid"/>
            </v:line>
            <v:line style="position:absolute" from="4023,2864" to="4042,2858" stroked="true" strokeweight=".464994pt" strokecolor="#800080">
              <v:stroke dashstyle="solid"/>
            </v:line>
            <v:line style="position:absolute" from="4042,2858" to="4064,2852" stroked="true" strokeweight=".464994pt" strokecolor="#800080">
              <v:stroke dashstyle="solid"/>
            </v:line>
            <v:line style="position:absolute" from="4064,2852" to="4082,2846" stroked="true" strokeweight=".464994pt" strokecolor="#800080">
              <v:stroke dashstyle="solid"/>
            </v:line>
            <v:line style="position:absolute" from="4082,2846" to="4104,2839" stroked="true" strokeweight=".464994pt" strokecolor="#800080">
              <v:stroke dashstyle="solid"/>
            </v:line>
            <v:line style="position:absolute" from="4104,2839" to="4123,2833" stroked="true" strokeweight=".464994pt" strokecolor="#800080">
              <v:stroke dashstyle="solid"/>
            </v:line>
            <v:line style="position:absolute" from="4123,2833" to="4144,2827" stroked="true" strokeweight=".464994pt" strokecolor="#800080">
              <v:stroke dashstyle="solid"/>
            </v:line>
            <v:line style="position:absolute" from="4144,2827" to="4166,2821" stroked="true" strokeweight=".464994pt" strokecolor="#800080">
              <v:stroke dashstyle="solid"/>
            </v:line>
            <v:line style="position:absolute" from="4166,2821" to="4185,2815" stroked="true" strokeweight=".464994pt" strokecolor="#800080">
              <v:stroke dashstyle="solid"/>
            </v:line>
            <v:line style="position:absolute" from="4185,2815" to="4206,2808" stroked="true" strokeweight=".464994pt" strokecolor="#800080">
              <v:stroke dashstyle="solid"/>
            </v:line>
            <v:line style="position:absolute" from="4206,2808" to="4225,2799" stroked="true" strokeweight=".464997pt" strokecolor="#800080">
              <v:stroke dashstyle="solid"/>
            </v:line>
            <v:line style="position:absolute" from="4225,2799" to="4247,2793" stroked="true" strokeweight=".464994pt" strokecolor="#800080">
              <v:stroke dashstyle="solid"/>
            </v:line>
            <v:line style="position:absolute" from="4247,2793" to="4265,2787" stroked="true" strokeweight=".464994pt" strokecolor="#800080">
              <v:stroke dashstyle="solid"/>
            </v:line>
            <v:line style="position:absolute" from="4265,2787" to="4287,2781" stroked="true" strokeweight=".464994pt" strokecolor="#800080">
              <v:stroke dashstyle="solid"/>
            </v:line>
            <v:line style="position:absolute" from="4287,2781" to="4309,2774" stroked="true" strokeweight=".464994pt" strokecolor="#800080">
              <v:stroke dashstyle="solid"/>
            </v:line>
            <v:line style="position:absolute" from="4309,2774" to="4318,2771" stroked="true" strokeweight=".464994pt" strokecolor="#800080">
              <v:stroke dashstyle="solid"/>
            </v:line>
            <v:shape style="position:absolute;left:4455;top:2549;width:438;height:177" type="#_x0000_t75" stroked="false">
              <v:imagedata r:id="rId117" o:title=""/>
            </v:shape>
            <v:line style="position:absolute" from="5031,2492" to="5040,2489" stroked="true" strokeweight=".464994pt" strokecolor="#800080">
              <v:stroke dashstyle="solid"/>
            </v:line>
            <v:line style="position:absolute" from="5040,2489" to="5062,2480" stroked="true" strokeweight=".464996pt" strokecolor="#800080">
              <v:stroke dashstyle="solid"/>
            </v:line>
            <v:line style="position:absolute" from="5062,2480" to="5080,2470" stroked="true" strokeweight=".464997pt" strokecolor="#800080">
              <v:stroke dashstyle="solid"/>
            </v:line>
            <v:line style="position:absolute" from="5080,2470" to="5102,2461" stroked="true" strokeweight=".464996pt" strokecolor="#800080">
              <v:stroke dashstyle="solid"/>
            </v:line>
            <v:line style="position:absolute" from="5102,2461" to="5121,2452" stroked="true" strokeweight=".464997pt" strokecolor="#800080">
              <v:stroke dashstyle="solid"/>
            </v:line>
            <v:line style="position:absolute" from="5121,2452" to="5142,2443" stroked="true" strokeweight=".464996pt" strokecolor="#800080">
              <v:stroke dashstyle="solid"/>
            </v:line>
            <v:line style="position:absolute" from="5142,2443" to="5161,2433" stroked="true" strokeweight=".464997pt" strokecolor="#800080">
              <v:stroke dashstyle="solid"/>
            </v:line>
            <v:line style="position:absolute" from="5161,2433" to="5183,2424" stroked="true" strokeweight=".464996pt" strokecolor="#800080">
              <v:stroke dashstyle="solid"/>
            </v:line>
            <v:line style="position:absolute" from="5183,2424" to="5204,2415" stroked="true" strokeweight=".464996pt" strokecolor="#800080">
              <v:stroke dashstyle="solid"/>
            </v:line>
            <v:line style="position:absolute" from="5204,2415" to="5223,2405" stroked="true" strokeweight=".464997pt" strokecolor="#800080">
              <v:stroke dashstyle="solid"/>
            </v:line>
            <v:line style="position:absolute" from="5223,2405" to="5245,2396" stroked="true" strokeweight=".464996pt" strokecolor="#800080">
              <v:stroke dashstyle="solid"/>
            </v:line>
            <v:line style="position:absolute" from="5245,2396" to="5263,2387" stroked="true" strokeweight=".464997pt" strokecolor="#800080">
              <v:stroke dashstyle="solid"/>
            </v:line>
            <v:line style="position:absolute" from="5263,2387" to="5285,2377" stroked="true" strokeweight=".464996pt" strokecolor="#800080">
              <v:stroke dashstyle="solid"/>
            </v:line>
            <v:line style="position:absolute" from="5285,2377" to="5304,2368" stroked="true" strokeweight=".464997pt" strokecolor="#800080">
              <v:stroke dashstyle="solid"/>
            </v:line>
            <v:line style="position:absolute" from="5304,2368" to="5325,2359" stroked="true" strokeweight=".464996pt" strokecolor="#800080">
              <v:stroke dashstyle="solid"/>
            </v:line>
            <v:line style="position:absolute" from="5325,2359" to="5344,2346" stroked="true" strokeweight=".464999pt" strokecolor="#800080">
              <v:stroke dashstyle="solid"/>
            </v:line>
            <v:line style="position:absolute" from="5344,2346" to="5366,2337" stroked="true" strokeweight=".464996pt" strokecolor="#800080">
              <v:stroke dashstyle="solid"/>
            </v:line>
            <v:line style="position:absolute" from="5366,2337" to="5387,2328" stroked="true" strokeweight=".464996pt" strokecolor="#800080">
              <v:stroke dashstyle="solid"/>
            </v:line>
            <v:line style="position:absolute" from="5387,2328" to="5406,2319" stroked="true" strokeweight=".464997pt" strokecolor="#800080">
              <v:stroke dashstyle="solid"/>
            </v:line>
            <v:line style="position:absolute" from="5406,2319" to="5428,2309" stroked="true" strokeweight=".464996pt" strokecolor="#800080">
              <v:stroke dashstyle="solid"/>
            </v:line>
            <v:line style="position:absolute" from="5428,2309" to="5446,2297" stroked="true" strokeweight=".464999pt" strokecolor="#800080">
              <v:stroke dashstyle="solid"/>
            </v:line>
            <v:line style="position:absolute" from="5446,2297" to="5456,2294" stroked="true" strokeweight=".464994pt" strokecolor="#800080">
              <v:stroke dashstyle="solid"/>
            </v:line>
            <v:shape style="position:absolute;left:5593;top:1982;width:435;height:245" type="#_x0000_t75" stroked="false">
              <v:imagedata r:id="rId118" o:title=""/>
            </v:shape>
            <v:shape style="position:absolute;left:6160;top:1638;width:425;height:270" type="#_x0000_t75" stroked="false">
              <v:imagedata r:id="rId119" o:title=""/>
            </v:shape>
            <v:line style="position:absolute" from="6711,1556" to="6730,1544" stroked="true" strokeweight=".464999pt" strokecolor="#800080">
              <v:stroke dashstyle="solid"/>
            </v:line>
            <v:line style="position:absolute" from="6730,1544" to="6751,1528" stroked="true" strokeweight=".465pt" strokecolor="#800080">
              <v:stroke dashstyle="solid"/>
            </v:line>
            <v:line style="position:absolute" from="6751,1528" to="6770,1516" stroked="true" strokeweight=".464999pt" strokecolor="#800080">
              <v:stroke dashstyle="solid"/>
            </v:line>
            <v:line style="position:absolute" from="6770,1516" to="6792,1500" stroked="true" strokeweight=".465pt" strokecolor="#800080">
              <v:stroke dashstyle="solid"/>
            </v:line>
            <v:line style="position:absolute" from="6792,1500" to="6810,1488" stroked="true" strokeweight=".464999pt" strokecolor="#800080">
              <v:stroke dashstyle="solid"/>
            </v:line>
            <v:line style="position:absolute" from="6810,1488" to="6832,1472" stroked="true" strokeweight=".465pt" strokecolor="#800080">
              <v:stroke dashstyle="solid"/>
            </v:line>
            <v:line style="position:absolute" from="6832,1472" to="6851,1460" stroked="true" strokeweight=".464999pt" strokecolor="#800080">
              <v:stroke dashstyle="solid"/>
            </v:line>
            <v:line style="position:absolute" from="6851,1460" to="6872,1444" stroked="true" strokeweight=".465pt" strokecolor="#800080">
              <v:stroke dashstyle="solid"/>
            </v:line>
            <v:line style="position:absolute" from="6872,1444" to="6894,1432" stroked="true" strokeweight=".464998pt" strokecolor="#800080">
              <v:stroke dashstyle="solid"/>
            </v:line>
            <v:line style="position:absolute" from="6894,1432" to="6913,1416" stroked="true" strokeweight=".465002pt" strokecolor="#800080">
              <v:stroke dashstyle="solid"/>
            </v:line>
            <v:line style="position:absolute" from="6913,1416" to="6934,1401" stroked="true" strokeweight=".465pt" strokecolor="#800080">
              <v:stroke dashstyle="solid"/>
            </v:line>
            <v:line style="position:absolute" from="6934,1401" to="6953,1389" stroked="true" strokeweight=".464999pt" strokecolor="#800080">
              <v:stroke dashstyle="solid"/>
            </v:line>
            <v:line style="position:absolute" from="6953,1389" to="6975,1373" stroked="true" strokeweight=".465pt" strokecolor="#800080">
              <v:stroke dashstyle="solid"/>
            </v:line>
            <v:line style="position:absolute" from="6975,1373" to="6993,1358" stroked="true" strokeweight=".465002pt" strokecolor="#800080">
              <v:stroke dashstyle="solid"/>
            </v:line>
            <v:line style="position:absolute" from="6993,1358" to="7015,1345" stroked="true" strokeweight=".464998pt" strokecolor="#800080">
              <v:stroke dashstyle="solid"/>
            </v:line>
            <v:line style="position:absolute" from="7015,1345" to="7037,1330" stroked="true" strokeweight=".465pt" strokecolor="#800080">
              <v:stroke dashstyle="solid"/>
            </v:line>
            <v:line style="position:absolute" from="7037,1330" to="7055,1314" stroked="true" strokeweight=".465002pt" strokecolor="#800080">
              <v:stroke dashstyle="solid"/>
            </v:line>
            <v:line style="position:absolute" from="7055,1314" to="7077,1299" stroked="true" strokeweight=".465pt" strokecolor="#800080">
              <v:stroke dashstyle="solid"/>
            </v:line>
            <v:line style="position:absolute" from="7077,1299" to="7083,1296" stroked="true" strokeweight=".464997pt" strokecolor="#800080">
              <v:stroke dashstyle="solid"/>
            </v:line>
            <v:shape style="position:absolute;left:7196;top:943;width:348;height:270" type="#_x0000_t75" stroked="false">
              <v:imagedata r:id="rId120" o:title=""/>
            </v:shape>
            <v:shape style="position:absolute;left:7642;top:593;width:323;height:273" type="#_x0000_t75" stroked="false">
              <v:imagedata r:id="rId121" o:title=""/>
            </v:shape>
            <v:shape style="position:absolute;left:8058;top:246;width:304;height:270" type="#_x0000_t75" stroked="false">
              <v:imagedata r:id="rId122" o:title=""/>
            </v:shape>
            <v:line style="position:absolute" from="8450,164" to="8460,158" stroked="true" strokeweight=".464999pt" strokecolor="#800080">
              <v:stroke dashstyle="solid"/>
            </v:line>
            <v:line style="position:absolute" from="8460,158" to="8481,136" stroked="true" strokeweight=".465004pt" strokecolor="#800080">
              <v:stroke dashstyle="solid"/>
            </v:line>
            <v:line style="position:absolute" from="8481,136" to="8500,117" stroked="true" strokeweight=".465004pt" strokecolor="#800080">
              <v:stroke dashstyle="solid"/>
            </v:line>
            <v:line style="position:absolute" from="8500,117" to="8522,99" stroked="true" strokeweight=".465002pt" strokecolor="#800080">
              <v:stroke dashstyle="solid"/>
            </v:line>
            <v:line style="position:absolute" from="8522,99" to="8537,86" stroked="true" strokeweight=".465001pt" strokecolor="#800080">
              <v:stroke dashstyle="solid"/>
            </v:line>
            <v:shape style="position:absolute;left:3192;top:408;width:81;height:50" coordorigin="3193,409" coordsize="81,50" path="m3233,458l3193,434,3233,409,3273,434,3233,458xe" filled="true" fillcolor="#ff0000" stroked="false">
              <v:path arrowok="t"/>
              <v:fill type="solid"/>
            </v:shape>
            <v:shape style="position:absolute;left:3192;top:408;width:81;height:50" coordorigin="3193,409" coordsize="81,50" path="m3233,409l3273,434,3233,458,3193,434,3233,409xe" filled="false" stroked="true" strokeweight=".929997pt" strokecolor="#ff0000">
              <v:path arrowok="t"/>
              <v:stroke dashstyle="solid"/>
            </v:shape>
            <v:shape style="position:absolute;left:3195;top:622;width:78;height:47" coordorigin="3196,623" coordsize="78,47" path="m3273,669l3196,669,3233,623,3273,669xe" filled="true" fillcolor="#0000ff" stroked="false">
              <v:path arrowok="t"/>
              <v:fill type="solid"/>
            </v:shape>
            <v:shape style="position:absolute;left:3195;top:622;width:78;height:47" coordorigin="3196,623" coordsize="78,47" path="m3233,623l3273,669,3196,669,3233,623xe" filled="false" stroked="true" strokeweight=".929997pt" strokecolor="#0000ff">
              <v:path arrowok="t"/>
              <v:stroke dashstyle="solid"/>
            </v:shape>
            <v:shape style="position:absolute;left:3127;top:659;width:225;height:152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w w:val="104"/>
                        <w:sz w:val="13"/>
                        <w:u w:val="single" w:color="800080"/>
                      </w:rPr>
                      <w:t> </w:t>
                    </w:r>
                    <w:r>
                      <w:rPr>
                        <w:spacing w:val="8"/>
                        <w:sz w:val="13"/>
                        <w:u w:val="single" w:color="800080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3558;top:347;width:800;height:413" type="#_x0000_t202" filled="false" stroked="false">
              <v:textbox inset="0,0,0,0">
                <w:txbxContent>
                  <w:p>
                    <w:pPr>
                      <w:spacing w:line="271" w:lineRule="auto" w:before="0"/>
                      <w:ind w:left="0" w:right="0" w:hanging="1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SPF-S</w:t>
                    </w:r>
                    <w:r>
                      <w:rPr>
                        <w:spacing w:val="1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data</w:t>
                    </w:r>
                    <w:r>
                      <w:rPr>
                        <w:spacing w:val="-40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SYP</w:t>
                    </w:r>
                    <w:r>
                      <w:rPr>
                        <w:spacing w:val="3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data</w:t>
                    </w:r>
                  </w:p>
                </w:txbxContent>
              </v:textbox>
              <w10:wrap type="none"/>
            </v:shape>
            <v:shape style="position:absolute;left:3558;top:790;width:2462;height:212" type="#_x0000_t202" filled="false" stroked="false">
              <v:textbox inset="0,0,0,0">
                <w:txbxContent>
                  <w:p>
                    <w:pPr>
                      <w:spacing w:line="207" w:lineRule="exact" w:before="0"/>
                      <w:ind w:left="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Euler-Robbins</w:t>
                    </w:r>
                    <w:r>
                      <w:rPr>
                        <w:spacing w:val="1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model</w:t>
                    </w:r>
                    <w:r>
                      <w:rPr>
                        <w:spacing w:val="2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(T</w:t>
                    </w:r>
                    <w:r>
                      <w:rPr>
                        <w:position w:val="-1"/>
                        <w:sz w:val="15"/>
                      </w:rPr>
                      <w:t>w</w:t>
                    </w:r>
                    <w:r>
                      <w:rPr>
                        <w:spacing w:val="-15"/>
                        <w:position w:val="-1"/>
                        <w:sz w:val="15"/>
                      </w:rPr>
                      <w:t> </w:t>
                    </w:r>
                    <w:r>
                      <w:rPr>
                        <w:position w:val="0"/>
                        <w:sz w:val="17"/>
                      </w:rPr>
                      <w:t>=V</w:t>
                    </w:r>
                    <w:r>
                      <w:rPr>
                        <w:position w:val="-1"/>
                        <w:sz w:val="15"/>
                      </w:rPr>
                      <w:t>s</w:t>
                    </w:r>
                    <w:r>
                      <w:rPr>
                        <w:spacing w:val="21"/>
                        <w:position w:val="-1"/>
                        <w:sz w:val="15"/>
                      </w:rPr>
                      <w:t> </w:t>
                    </w:r>
                    <w:r>
                      <w:rPr>
                        <w:sz w:val="17"/>
                      </w:rPr>
                      <w:t>/2C)</w:t>
                    </w:r>
                  </w:p>
                </w:txbxContent>
              </v:textbox>
              <w10:wrap type="none"/>
            </v:shape>
            <v:shape style="position:absolute;left:5629;top:697;width:95;height:165" type="#_x0000_t202" filled="false" stroked="false">
              <v:textbox inset="0,0,0,0">
                <w:txbxContent>
                  <w:p>
                    <w:pPr>
                      <w:spacing w:line="165" w:lineRule="exact" w:before="0"/>
                      <w:ind w:left="0" w:right="0" w:firstLine="0"/>
                      <w:jc w:val="left"/>
                      <w:rPr>
                        <w:sz w:val="15"/>
                      </w:rPr>
                    </w:pPr>
                    <w:r>
                      <w:rPr>
                        <w:w w:val="99"/>
                        <w:sz w:val="15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06.379387pt;margin-top:6.842671pt;width:16.1pt;height:142.050pt;mso-position-horizontal-relative:page;mso-position-vertical-relative:paragraph;z-index:15804416" type="#_x0000_t202" filled="false" stroked="false">
            <v:textbox inset="0,0,0,0" style="layout-flow:vertical;mso-layout-flow-alt:bottom-to-top">
              <w:txbxContent>
                <w:p>
                  <w:pPr>
                    <w:spacing w:before="10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Depth</w:t>
                  </w:r>
                  <w:r>
                    <w:rPr>
                      <w:spacing w:val="-6"/>
                      <w:sz w:val="20"/>
                    </w:rPr>
                    <w:t> </w:t>
                  </w:r>
                  <w:r>
                    <w:rPr>
                      <w:sz w:val="20"/>
                    </w:rPr>
                    <w:t>of</w:t>
                  </w:r>
                  <w:r>
                    <w:rPr>
                      <w:spacing w:val="-6"/>
                      <w:sz w:val="20"/>
                    </w:rPr>
                    <w:t> </w:t>
                  </w:r>
                  <w:r>
                    <w:rPr>
                      <w:sz w:val="20"/>
                    </w:rPr>
                    <w:t>Penetration</w:t>
                  </w:r>
                  <w:r>
                    <w:rPr>
                      <w:spacing w:val="-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(T</w:t>
                  </w:r>
                  <w:r>
                    <w:rPr>
                      <w:position w:val="-5"/>
                      <w:sz w:val="20"/>
                    </w:rPr>
                    <w:t>w</w:t>
                  </w:r>
                  <w:r>
                    <w:rPr>
                      <w:sz w:val="20"/>
                    </w:rPr>
                    <w:t>)</w:t>
                  </w:r>
                  <w:r>
                    <w:rPr>
                      <w:spacing w:val="-3"/>
                      <w:sz w:val="20"/>
                    </w:rPr>
                    <w:t> </w:t>
                  </w:r>
                  <w:r>
                    <w:rPr>
                      <w:sz w:val="20"/>
                    </w:rPr>
                    <w:t>(inches)</w:t>
                  </w:r>
                </w:p>
              </w:txbxContent>
            </v:textbox>
            <w10:wrap type="none"/>
          </v:shape>
        </w:pict>
      </w:r>
      <w:r>
        <w:rPr>
          <w:w w:val="105"/>
          <w:sz w:val="13"/>
        </w:rPr>
        <w:t>14</w:t>
      </w:r>
    </w:p>
    <w:p>
      <w:pPr>
        <w:spacing w:before="73"/>
        <w:ind w:left="781" w:right="0" w:firstLine="0"/>
        <w:jc w:val="left"/>
        <w:rPr>
          <w:sz w:val="13"/>
        </w:rPr>
      </w:pPr>
      <w:r>
        <w:rPr>
          <w:w w:val="105"/>
          <w:sz w:val="13"/>
        </w:rPr>
        <w:t>13</w:t>
      </w:r>
    </w:p>
    <w:p>
      <w:pPr>
        <w:spacing w:before="71"/>
        <w:ind w:left="781" w:right="0" w:firstLine="0"/>
        <w:jc w:val="left"/>
        <w:rPr>
          <w:sz w:val="13"/>
        </w:rPr>
      </w:pPr>
      <w:r>
        <w:rPr>
          <w:w w:val="105"/>
          <w:sz w:val="13"/>
        </w:rPr>
        <w:t>12</w:t>
      </w:r>
    </w:p>
    <w:p>
      <w:pPr>
        <w:spacing w:before="71"/>
        <w:ind w:left="781" w:right="0" w:firstLine="0"/>
        <w:jc w:val="left"/>
        <w:rPr>
          <w:sz w:val="13"/>
        </w:rPr>
      </w:pPr>
      <w:r>
        <w:rPr>
          <w:w w:val="105"/>
          <w:sz w:val="13"/>
        </w:rPr>
        <w:t>11</w:t>
      </w:r>
    </w:p>
    <w:p>
      <w:pPr>
        <w:spacing w:before="73"/>
        <w:ind w:left="781" w:right="0" w:firstLine="0"/>
        <w:jc w:val="left"/>
        <w:rPr>
          <w:sz w:val="13"/>
        </w:rPr>
      </w:pPr>
      <w:r>
        <w:rPr>
          <w:w w:val="105"/>
          <w:sz w:val="13"/>
        </w:rPr>
        <w:t>10</w:t>
      </w:r>
    </w:p>
    <w:p>
      <w:pPr>
        <w:spacing w:before="71"/>
        <w:ind w:left="849" w:right="0" w:firstLine="0"/>
        <w:jc w:val="left"/>
        <w:rPr>
          <w:sz w:val="13"/>
        </w:rPr>
      </w:pPr>
      <w:r>
        <w:rPr>
          <w:w w:val="104"/>
          <w:sz w:val="13"/>
        </w:rPr>
        <w:t>9</w:t>
      </w:r>
    </w:p>
    <w:p>
      <w:pPr>
        <w:spacing w:before="71"/>
        <w:ind w:left="849" w:right="0" w:firstLine="0"/>
        <w:jc w:val="left"/>
        <w:rPr>
          <w:sz w:val="13"/>
        </w:rPr>
      </w:pPr>
      <w:r>
        <w:rPr>
          <w:w w:val="104"/>
          <w:sz w:val="13"/>
        </w:rPr>
        <w:t>8</w:t>
      </w:r>
    </w:p>
    <w:p>
      <w:pPr>
        <w:spacing w:before="73"/>
        <w:ind w:left="849" w:right="0" w:firstLine="0"/>
        <w:jc w:val="left"/>
        <w:rPr>
          <w:sz w:val="13"/>
        </w:rPr>
      </w:pPr>
      <w:r>
        <w:rPr>
          <w:w w:val="104"/>
          <w:sz w:val="13"/>
        </w:rPr>
        <w:t>7</w:t>
      </w:r>
    </w:p>
    <w:p>
      <w:pPr>
        <w:spacing w:before="71"/>
        <w:ind w:left="849" w:right="0" w:firstLine="0"/>
        <w:jc w:val="left"/>
        <w:rPr>
          <w:sz w:val="13"/>
        </w:rPr>
      </w:pPr>
      <w:r>
        <w:rPr>
          <w:w w:val="104"/>
          <w:sz w:val="13"/>
        </w:rPr>
        <w:t>6</w:t>
      </w:r>
    </w:p>
    <w:p>
      <w:pPr>
        <w:spacing w:before="74"/>
        <w:ind w:left="849" w:right="0" w:firstLine="0"/>
        <w:jc w:val="left"/>
        <w:rPr>
          <w:sz w:val="13"/>
        </w:rPr>
      </w:pPr>
      <w:r>
        <w:rPr>
          <w:w w:val="104"/>
          <w:sz w:val="13"/>
        </w:rPr>
        <w:t>5</w:t>
      </w:r>
    </w:p>
    <w:p>
      <w:pPr>
        <w:spacing w:before="70"/>
        <w:ind w:left="849" w:right="0" w:firstLine="0"/>
        <w:jc w:val="left"/>
        <w:rPr>
          <w:sz w:val="13"/>
        </w:rPr>
      </w:pPr>
      <w:r>
        <w:rPr>
          <w:w w:val="104"/>
          <w:sz w:val="13"/>
        </w:rPr>
        <w:t>4</w:t>
      </w:r>
    </w:p>
    <w:p>
      <w:pPr>
        <w:spacing w:before="71"/>
        <w:ind w:left="849" w:right="0" w:firstLine="0"/>
        <w:jc w:val="left"/>
        <w:rPr>
          <w:sz w:val="13"/>
        </w:rPr>
      </w:pPr>
      <w:r>
        <w:rPr>
          <w:w w:val="104"/>
          <w:sz w:val="13"/>
        </w:rPr>
        <w:t>3</w:t>
      </w:r>
    </w:p>
    <w:p>
      <w:pPr>
        <w:spacing w:before="74"/>
        <w:ind w:left="849" w:right="0" w:firstLine="0"/>
        <w:jc w:val="left"/>
        <w:rPr>
          <w:sz w:val="13"/>
        </w:rPr>
      </w:pPr>
      <w:r>
        <w:rPr>
          <w:w w:val="104"/>
          <w:sz w:val="13"/>
        </w:rPr>
        <w:t>2</w:t>
      </w:r>
    </w:p>
    <w:p>
      <w:pPr>
        <w:spacing w:before="70"/>
        <w:ind w:left="849" w:right="0" w:firstLine="0"/>
        <w:jc w:val="left"/>
        <w:rPr>
          <w:sz w:val="13"/>
        </w:rPr>
      </w:pPr>
      <w:r>
        <w:rPr>
          <w:w w:val="104"/>
          <w:sz w:val="13"/>
        </w:rPr>
        <w:t>1</w:t>
      </w:r>
    </w:p>
    <w:p>
      <w:pPr>
        <w:spacing w:before="71"/>
        <w:ind w:left="849" w:right="0" w:firstLine="0"/>
        <w:jc w:val="left"/>
        <w:rPr>
          <w:sz w:val="13"/>
        </w:rPr>
      </w:pPr>
      <w:r>
        <w:rPr>
          <w:w w:val="104"/>
          <w:sz w:val="13"/>
        </w:rPr>
        <w:t>0</w:t>
      </w:r>
    </w:p>
    <w:p>
      <w:pPr>
        <w:pStyle w:val="BodyText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1"/>
        <w:rPr>
          <w:sz w:val="11"/>
        </w:rPr>
      </w:pPr>
    </w:p>
    <w:p>
      <w:pPr>
        <w:spacing w:before="0"/>
        <w:ind w:left="65" w:right="0" w:firstLine="0"/>
        <w:jc w:val="left"/>
        <w:rPr>
          <w:sz w:val="13"/>
        </w:rPr>
      </w:pPr>
      <w:r>
        <w:rPr>
          <w:w w:val="105"/>
          <w:sz w:val="13"/>
        </w:rPr>
        <w:t>35</w:t>
      </w:r>
    </w:p>
    <w:p>
      <w:pPr>
        <w:spacing w:before="68"/>
        <w:ind w:left="65" w:right="0" w:firstLine="0"/>
        <w:jc w:val="left"/>
        <w:rPr>
          <w:sz w:val="13"/>
        </w:rPr>
      </w:pPr>
      <w:r>
        <w:rPr/>
        <w:pict>
          <v:shape style="position:absolute;margin-left:523.339539pt;margin-top:7.025442pt;width:16.1pt;height:128.5500pt;mso-position-horizontal-relative:page;mso-position-vertical-relative:paragraph;z-index:15804928" type="#_x0000_t202" filled="false" stroked="false">
            <v:textbox inset="0,0,0,0" style="layout-flow:vertical;mso-layout-flow-alt:bottom-to-top">
              <w:txbxContent>
                <w:p>
                  <w:pPr>
                    <w:spacing w:before="10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Depth</w:t>
                  </w:r>
                  <w:r>
                    <w:rPr>
                      <w:spacing w:val="-6"/>
                      <w:sz w:val="20"/>
                    </w:rPr>
                    <w:t> </w:t>
                  </w:r>
                  <w:r>
                    <w:rPr>
                      <w:sz w:val="20"/>
                    </w:rPr>
                    <w:t>of</w:t>
                  </w:r>
                  <w:r>
                    <w:rPr>
                      <w:spacing w:val="-6"/>
                      <w:sz w:val="20"/>
                    </w:rPr>
                    <w:t> </w:t>
                  </w:r>
                  <w:r>
                    <w:rPr>
                      <w:sz w:val="20"/>
                    </w:rPr>
                    <w:t>Penetration</w:t>
                  </w:r>
                  <w:r>
                    <w:rPr>
                      <w:spacing w:val="-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(T</w:t>
                  </w:r>
                  <w:r>
                    <w:rPr>
                      <w:position w:val="-5"/>
                      <w:sz w:val="20"/>
                    </w:rPr>
                    <w:t>w</w:t>
                  </w:r>
                  <w:r>
                    <w:rPr>
                      <w:sz w:val="20"/>
                    </w:rPr>
                    <w:t>)</w:t>
                  </w:r>
                  <w:r>
                    <w:rPr>
                      <w:spacing w:val="-6"/>
                      <w:sz w:val="20"/>
                    </w:rPr>
                    <w:t> </w:t>
                  </w:r>
                  <w:r>
                    <w:rPr>
                      <w:sz w:val="20"/>
                    </w:rPr>
                    <w:t>(cm)</w:t>
                  </w:r>
                </w:p>
              </w:txbxContent>
            </v:textbox>
            <w10:wrap type="none"/>
          </v:shape>
        </w:pict>
      </w:r>
      <w:r>
        <w:rPr>
          <w:w w:val="105"/>
          <w:sz w:val="13"/>
        </w:rPr>
        <w:t>32.5</w:t>
      </w:r>
    </w:p>
    <w:p>
      <w:pPr>
        <w:spacing w:before="70"/>
        <w:ind w:left="65" w:right="0" w:firstLine="0"/>
        <w:jc w:val="left"/>
        <w:rPr>
          <w:sz w:val="13"/>
        </w:rPr>
      </w:pPr>
      <w:r>
        <w:rPr>
          <w:w w:val="105"/>
          <w:sz w:val="13"/>
        </w:rPr>
        <w:t>30</w:t>
      </w:r>
    </w:p>
    <w:p>
      <w:pPr>
        <w:spacing w:before="68"/>
        <w:ind w:left="65" w:right="0" w:firstLine="0"/>
        <w:jc w:val="left"/>
        <w:rPr>
          <w:sz w:val="13"/>
        </w:rPr>
      </w:pPr>
      <w:r>
        <w:rPr>
          <w:w w:val="105"/>
          <w:sz w:val="13"/>
        </w:rPr>
        <w:t>27.5</w:t>
      </w:r>
    </w:p>
    <w:p>
      <w:pPr>
        <w:spacing w:before="67"/>
        <w:ind w:left="65" w:right="0" w:firstLine="0"/>
        <w:jc w:val="left"/>
        <w:rPr>
          <w:sz w:val="13"/>
        </w:rPr>
      </w:pPr>
      <w:r>
        <w:rPr>
          <w:w w:val="105"/>
          <w:sz w:val="13"/>
        </w:rPr>
        <w:t>25</w:t>
      </w:r>
    </w:p>
    <w:p>
      <w:pPr>
        <w:spacing w:before="68"/>
        <w:ind w:left="65" w:right="0" w:firstLine="0"/>
        <w:jc w:val="left"/>
        <w:rPr>
          <w:sz w:val="13"/>
        </w:rPr>
      </w:pPr>
      <w:r>
        <w:rPr>
          <w:w w:val="105"/>
          <w:sz w:val="13"/>
        </w:rPr>
        <w:t>22.5</w:t>
      </w:r>
    </w:p>
    <w:p>
      <w:pPr>
        <w:spacing w:before="67"/>
        <w:ind w:left="65" w:right="0" w:firstLine="0"/>
        <w:jc w:val="left"/>
        <w:rPr>
          <w:sz w:val="13"/>
        </w:rPr>
      </w:pPr>
      <w:r>
        <w:rPr>
          <w:w w:val="105"/>
          <w:sz w:val="13"/>
        </w:rPr>
        <w:t>20</w:t>
      </w:r>
    </w:p>
    <w:p>
      <w:pPr>
        <w:spacing w:before="71"/>
        <w:ind w:left="65" w:right="0" w:firstLine="0"/>
        <w:jc w:val="left"/>
        <w:rPr>
          <w:sz w:val="13"/>
        </w:rPr>
      </w:pPr>
      <w:r>
        <w:rPr>
          <w:w w:val="105"/>
          <w:sz w:val="13"/>
        </w:rPr>
        <w:t>17.5</w:t>
      </w:r>
    </w:p>
    <w:p>
      <w:pPr>
        <w:spacing w:before="67"/>
        <w:ind w:left="65" w:right="0" w:firstLine="0"/>
        <w:jc w:val="left"/>
        <w:rPr>
          <w:sz w:val="13"/>
        </w:rPr>
      </w:pPr>
      <w:r>
        <w:rPr>
          <w:w w:val="105"/>
          <w:sz w:val="13"/>
        </w:rPr>
        <w:t>15</w:t>
      </w:r>
    </w:p>
    <w:p>
      <w:pPr>
        <w:spacing w:before="68"/>
        <w:ind w:left="65" w:right="0" w:firstLine="0"/>
        <w:jc w:val="left"/>
        <w:rPr>
          <w:sz w:val="13"/>
        </w:rPr>
      </w:pPr>
      <w:r>
        <w:rPr>
          <w:w w:val="105"/>
          <w:sz w:val="13"/>
        </w:rPr>
        <w:t>12.5</w:t>
      </w:r>
    </w:p>
    <w:p>
      <w:pPr>
        <w:spacing w:before="67"/>
        <w:ind w:left="65" w:right="0" w:firstLine="0"/>
        <w:jc w:val="left"/>
        <w:rPr>
          <w:sz w:val="13"/>
        </w:rPr>
      </w:pPr>
      <w:r>
        <w:rPr>
          <w:w w:val="105"/>
          <w:sz w:val="13"/>
        </w:rPr>
        <w:t>10</w:t>
      </w:r>
    </w:p>
    <w:p>
      <w:pPr>
        <w:spacing w:before="71"/>
        <w:ind w:left="65" w:right="0" w:firstLine="0"/>
        <w:jc w:val="left"/>
        <w:rPr>
          <w:sz w:val="13"/>
        </w:rPr>
      </w:pPr>
      <w:r>
        <w:rPr>
          <w:w w:val="105"/>
          <w:sz w:val="13"/>
        </w:rPr>
        <w:t>7.5</w:t>
      </w:r>
    </w:p>
    <w:p>
      <w:pPr>
        <w:spacing w:before="67"/>
        <w:ind w:left="65" w:right="0" w:firstLine="0"/>
        <w:jc w:val="left"/>
        <w:rPr>
          <w:sz w:val="13"/>
        </w:rPr>
      </w:pPr>
      <w:r>
        <w:rPr>
          <w:w w:val="104"/>
          <w:sz w:val="13"/>
        </w:rPr>
        <w:t>5</w:t>
      </w:r>
    </w:p>
    <w:p>
      <w:pPr>
        <w:spacing w:before="68"/>
        <w:ind w:left="65" w:right="0" w:firstLine="0"/>
        <w:jc w:val="left"/>
        <w:rPr>
          <w:sz w:val="13"/>
        </w:rPr>
      </w:pPr>
      <w:r>
        <w:rPr>
          <w:w w:val="105"/>
          <w:sz w:val="13"/>
        </w:rPr>
        <w:t>2.5</w:t>
      </w:r>
    </w:p>
    <w:p>
      <w:pPr>
        <w:spacing w:before="67"/>
        <w:ind w:left="65" w:right="0" w:firstLine="0"/>
        <w:jc w:val="left"/>
        <w:rPr>
          <w:sz w:val="13"/>
        </w:rPr>
      </w:pPr>
      <w:r>
        <w:rPr>
          <w:w w:val="104"/>
          <w:sz w:val="13"/>
        </w:rPr>
        <w:t>0</w:t>
      </w:r>
    </w:p>
    <w:p>
      <w:pPr>
        <w:spacing w:after="0"/>
        <w:jc w:val="left"/>
        <w:rPr>
          <w:sz w:val="13"/>
        </w:rPr>
        <w:sectPr>
          <w:pgSz w:w="12240" w:h="15840"/>
          <w:pgMar w:header="0" w:footer="1064" w:top="1340" w:bottom="1260" w:left="1720" w:right="1020"/>
          <w:cols w:num="2" w:equalWidth="0">
            <w:col w:w="8324" w:space="40"/>
            <w:col w:w="1136"/>
          </w:cols>
        </w:sectPr>
      </w:pPr>
    </w:p>
    <w:p>
      <w:pPr>
        <w:tabs>
          <w:tab w:pos="1742" w:val="left" w:leader="none"/>
          <w:tab w:pos="2489" w:val="left" w:leader="none"/>
          <w:tab w:pos="3304" w:val="left" w:leader="none"/>
          <w:tab w:pos="4119" w:val="left" w:leader="none"/>
          <w:tab w:pos="4932" w:val="left" w:leader="none"/>
          <w:tab w:pos="5747" w:val="left" w:leader="none"/>
          <w:tab w:pos="6562" w:val="left" w:leader="none"/>
          <w:tab w:pos="7374" w:val="left" w:leader="none"/>
          <w:tab w:pos="8190" w:val="left" w:leader="none"/>
        </w:tabs>
        <w:spacing w:before="15"/>
        <w:ind w:left="926" w:right="0" w:firstLine="0"/>
        <w:jc w:val="left"/>
        <w:rPr>
          <w:sz w:val="13"/>
        </w:rPr>
      </w:pPr>
      <w:r>
        <w:rPr>
          <w:w w:val="105"/>
          <w:sz w:val="13"/>
        </w:rPr>
        <w:t>400</w:t>
        <w:tab/>
        <w:t>800</w:t>
        <w:tab/>
        <w:t>1200</w:t>
        <w:tab/>
        <w:t>1600</w:t>
        <w:tab/>
        <w:t>2000</w:t>
        <w:tab/>
        <w:t>2400</w:t>
        <w:tab/>
        <w:t>2800</w:t>
        <w:tab/>
        <w:t>3200</w:t>
        <w:tab/>
        <w:t>3600</w:t>
        <w:tab/>
        <w:t>4000</w:t>
      </w:r>
    </w:p>
    <w:p>
      <w:pPr>
        <w:spacing w:before="89"/>
        <w:ind w:left="42" w:right="49" w:firstLine="0"/>
        <w:jc w:val="center"/>
        <w:rPr>
          <w:sz w:val="20"/>
        </w:rPr>
      </w:pPr>
      <w:r>
        <w:rPr>
          <w:w w:val="95"/>
          <w:sz w:val="20"/>
        </w:rPr>
        <w:t>Striking</w:t>
      </w:r>
      <w:r>
        <w:rPr>
          <w:spacing w:val="12"/>
          <w:w w:val="95"/>
          <w:sz w:val="20"/>
        </w:rPr>
        <w:t> </w:t>
      </w:r>
      <w:r>
        <w:rPr>
          <w:w w:val="95"/>
          <w:sz w:val="20"/>
        </w:rPr>
        <w:t>Velocity</w:t>
      </w:r>
      <w:r>
        <w:rPr>
          <w:spacing w:val="12"/>
          <w:w w:val="95"/>
          <w:sz w:val="20"/>
        </w:rPr>
        <w:t> </w:t>
      </w:r>
      <w:r>
        <w:rPr>
          <w:w w:val="95"/>
          <w:sz w:val="20"/>
        </w:rPr>
        <w:t>(V</w:t>
      </w:r>
      <w:r>
        <w:rPr>
          <w:w w:val="95"/>
          <w:position w:val="-2"/>
          <w:sz w:val="20"/>
        </w:rPr>
        <w:t>s</w:t>
      </w:r>
      <w:r>
        <w:rPr>
          <w:spacing w:val="-13"/>
          <w:w w:val="95"/>
          <w:position w:val="-2"/>
          <w:sz w:val="20"/>
        </w:rPr>
        <w:t> </w:t>
      </w:r>
      <w:r>
        <w:rPr>
          <w:w w:val="95"/>
          <w:sz w:val="20"/>
        </w:rPr>
        <w:t>)</w:t>
      </w:r>
      <w:r>
        <w:rPr>
          <w:spacing w:val="11"/>
          <w:w w:val="95"/>
          <w:sz w:val="20"/>
        </w:rPr>
        <w:t> </w:t>
      </w:r>
      <w:r>
        <w:rPr>
          <w:w w:val="95"/>
          <w:sz w:val="20"/>
        </w:rPr>
        <w:t>(fps)</w:t>
      </w:r>
    </w:p>
    <w:p>
      <w:pPr>
        <w:pStyle w:val="BodyText"/>
        <w:spacing w:before="7"/>
        <w:rPr>
          <w:sz w:val="19"/>
        </w:rPr>
      </w:pPr>
    </w:p>
    <w:p>
      <w:pPr>
        <w:spacing w:before="0"/>
        <w:ind w:left="19" w:right="0" w:firstLine="0"/>
        <w:jc w:val="center"/>
        <w:rPr>
          <w:i/>
          <w:sz w:val="24"/>
        </w:rPr>
      </w:pPr>
      <w:bookmarkStart w:name="_bookmark69" w:id="287"/>
      <w:bookmarkEnd w:id="287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5-13.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Euler-Robbins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model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calibrated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with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CLT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data.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5"/>
        <w:rPr>
          <w:i/>
          <w:sz w:val="23"/>
        </w:rPr>
      </w:pPr>
    </w:p>
    <w:p>
      <w:pPr>
        <w:pStyle w:val="ListParagraph"/>
        <w:numPr>
          <w:ilvl w:val="3"/>
          <w:numId w:val="21"/>
        </w:numPr>
        <w:tabs>
          <w:tab w:pos="1160" w:val="left" w:leader="none"/>
        </w:tabs>
        <w:spacing w:line="240" w:lineRule="auto" w:before="1" w:after="0"/>
        <w:ind w:left="1160" w:right="0" w:hanging="720"/>
        <w:jc w:val="left"/>
        <w:rPr>
          <w:i/>
          <w:sz w:val="24"/>
        </w:rPr>
      </w:pPr>
      <w:bookmarkStart w:name="5.5.4.2 Poncelet models" w:id="288"/>
      <w:bookmarkEnd w:id="288"/>
      <w:r>
        <w:rPr/>
      </w:r>
      <w:bookmarkStart w:name="5.5.4.2 Poncelet models" w:id="289"/>
      <w:bookmarkEnd w:id="289"/>
      <w:r>
        <w:rPr>
          <w:i/>
          <w:sz w:val="24"/>
          <w:u w:val="single"/>
        </w:rPr>
        <w:t>P</w:t>
      </w:r>
      <w:r>
        <w:rPr>
          <w:i/>
          <w:sz w:val="24"/>
          <w:u w:val="single"/>
        </w:rPr>
        <w:t>oncelet</w:t>
      </w:r>
      <w:r>
        <w:rPr>
          <w:i/>
          <w:spacing w:val="-4"/>
          <w:sz w:val="24"/>
          <w:u w:val="single"/>
        </w:rPr>
        <w:t> </w:t>
      </w:r>
      <w:r>
        <w:rPr>
          <w:i/>
          <w:sz w:val="24"/>
          <w:u w:val="single"/>
        </w:rPr>
        <w:t>models</w:t>
      </w:r>
    </w:p>
    <w:p>
      <w:pPr>
        <w:pStyle w:val="BodyText"/>
        <w:spacing w:before="9"/>
        <w:rPr>
          <w:i/>
          <w:sz w:val="14"/>
        </w:rPr>
      </w:pPr>
    </w:p>
    <w:p>
      <w:pPr>
        <w:pStyle w:val="BodyText"/>
        <w:spacing w:line="480" w:lineRule="auto" w:before="90"/>
        <w:ind w:left="440" w:right="416" w:firstLine="720"/>
        <w:jc w:val="both"/>
      </w:pPr>
      <w:r>
        <w:rPr/>
        <w:t>Poncelet</w:t>
      </w:r>
      <w:r>
        <w:rPr>
          <w:spacing w:val="-12"/>
        </w:rPr>
        <w:t> </w:t>
      </w:r>
      <w:r>
        <w:rPr/>
        <w:t>completed</w:t>
      </w:r>
      <w:r>
        <w:rPr>
          <w:spacing w:val="-11"/>
        </w:rPr>
        <w:t> </w:t>
      </w:r>
      <w:r>
        <w:rPr/>
        <w:t>notable</w:t>
      </w:r>
      <w:r>
        <w:rPr>
          <w:spacing w:val="-12"/>
        </w:rPr>
        <w:t> </w:t>
      </w:r>
      <w:r>
        <w:rPr/>
        <w:t>work</w:t>
      </w:r>
      <w:r>
        <w:rPr>
          <w:spacing w:val="-11"/>
        </w:rPr>
        <w:t> </w:t>
      </w:r>
      <w:r>
        <w:rPr/>
        <w:t>in</w:t>
      </w:r>
      <w:r>
        <w:rPr>
          <w:spacing w:val="-12"/>
        </w:rPr>
        <w:t> </w:t>
      </w:r>
      <w:r>
        <w:rPr/>
        <w:t>projectile</w:t>
      </w:r>
      <w:r>
        <w:rPr>
          <w:spacing w:val="-12"/>
        </w:rPr>
        <w:t> </w:t>
      </w:r>
      <w:r>
        <w:rPr/>
        <w:t>geometry</w:t>
      </w:r>
      <w:r>
        <w:rPr>
          <w:spacing w:val="-11"/>
        </w:rPr>
        <w:t> </w:t>
      </w:r>
      <w:r>
        <w:rPr/>
        <w:t>and</w:t>
      </w:r>
      <w:r>
        <w:rPr>
          <w:spacing w:val="-12"/>
        </w:rPr>
        <w:t> </w:t>
      </w:r>
      <w:r>
        <w:rPr/>
        <w:t>penetration</w:t>
      </w:r>
      <w:r>
        <w:rPr>
          <w:spacing w:val="-12"/>
        </w:rPr>
        <w:t> </w:t>
      </w:r>
      <w:r>
        <w:rPr/>
        <w:t>mechanics</w:t>
      </w:r>
      <w:r>
        <w:rPr>
          <w:spacing w:val="-58"/>
        </w:rPr>
        <w:t> </w:t>
      </w:r>
      <w:r>
        <w:rPr/>
        <w:t>[95].</w:t>
      </w:r>
      <w:r>
        <w:rPr>
          <w:spacing w:val="1"/>
        </w:rPr>
        <w:t> </w:t>
      </w:r>
      <w:r>
        <w:rPr/>
        <w:t>He incorporated kinetic energy and drag terms into the deceleration of a rigid</w:t>
      </w:r>
      <w:r>
        <w:rPr>
          <w:spacing w:val="1"/>
        </w:rPr>
        <w:t> </w:t>
      </w:r>
      <w:r>
        <w:rPr/>
        <w:t>projectile.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base</w:t>
      </w:r>
      <w:r>
        <w:rPr>
          <w:spacing w:val="1"/>
        </w:rPr>
        <w:t> </w:t>
      </w:r>
      <w:r>
        <w:rPr/>
        <w:t>version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Poncelet</w:t>
      </w:r>
      <w:r>
        <w:rPr>
          <w:spacing w:val="1"/>
        </w:rPr>
        <w:t> </w:t>
      </w:r>
      <w:r>
        <w:rPr/>
        <w:t>equation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also examined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two</w:t>
      </w:r>
      <w:r>
        <w:rPr>
          <w:spacing w:val="1"/>
        </w:rPr>
        <w:t> </w:t>
      </w:r>
      <w:r>
        <w:rPr/>
        <w:t>adjustments, called variant 1 and variant 2 for comparison in this research.</w:t>
      </w:r>
      <w:r>
        <w:rPr>
          <w:spacing w:val="1"/>
        </w:rPr>
        <w:t> </w:t>
      </w:r>
      <w:r>
        <w:rPr/>
        <w:t>In variant 1,</w:t>
      </w:r>
      <w:r>
        <w:rPr>
          <w:spacing w:val="1"/>
        </w:rPr>
        <w:t> </w:t>
      </w:r>
      <w:r>
        <w:rPr/>
        <w:t>the</w:t>
      </w:r>
      <w:r>
        <w:rPr>
          <w:spacing w:val="-6"/>
        </w:rPr>
        <w:t> </w:t>
      </w:r>
      <w:r>
        <w:rPr/>
        <w:t>projectile</w:t>
      </w:r>
      <w:r>
        <w:rPr>
          <w:spacing w:val="-4"/>
        </w:rPr>
        <w:t> </w:t>
      </w:r>
      <w:r>
        <w:rPr/>
        <w:t>mass</w:t>
      </w:r>
      <w:r>
        <w:rPr>
          <w:spacing w:val="-5"/>
        </w:rPr>
        <w:t> </w:t>
      </w:r>
      <w:r>
        <w:rPr/>
        <w:t>and</w:t>
      </w:r>
      <w:r>
        <w:rPr>
          <w:spacing w:val="-6"/>
        </w:rPr>
        <w:t> </w:t>
      </w:r>
      <w:r>
        <w:rPr/>
        <w:t>area</w:t>
      </w:r>
      <w:r>
        <w:rPr>
          <w:spacing w:val="-5"/>
        </w:rPr>
        <w:t> </w:t>
      </w:r>
      <w:r>
        <w:rPr/>
        <w:t>were</w:t>
      </w:r>
      <w:r>
        <w:rPr>
          <w:spacing w:val="-5"/>
        </w:rPr>
        <w:t> </w:t>
      </w:r>
      <w:r>
        <w:rPr/>
        <w:t>incorporated</w:t>
      </w:r>
      <w:r>
        <w:rPr>
          <w:spacing w:val="-5"/>
        </w:rPr>
        <w:t> </w:t>
      </w:r>
      <w:r>
        <w:rPr/>
        <w:t>based</w:t>
      </w:r>
      <w:r>
        <w:rPr>
          <w:spacing w:val="-6"/>
        </w:rPr>
        <w:t> </w:t>
      </w:r>
      <w:r>
        <w:rPr/>
        <w:t>on</w:t>
      </w:r>
      <w:r>
        <w:rPr>
          <w:spacing w:val="-5"/>
        </w:rPr>
        <w:t> </w:t>
      </w:r>
      <w:r>
        <w:rPr/>
        <w:t>variations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5"/>
        </w:rPr>
        <w:t> </w:t>
      </w:r>
      <w:r>
        <w:rPr/>
        <w:t>original</w:t>
      </w:r>
      <w:r>
        <w:rPr>
          <w:spacing w:val="-5"/>
        </w:rPr>
        <w:t> </w:t>
      </w:r>
      <w:r>
        <w:rPr/>
        <w:t>Poncelet</w:t>
      </w:r>
      <w:r>
        <w:rPr>
          <w:spacing w:val="-58"/>
        </w:rPr>
        <w:t> </w:t>
      </w:r>
      <w:r>
        <w:rPr/>
        <w:t>equation. With this version, two constants were calibrated to the data. A second variation,</w:t>
      </w:r>
      <w:r>
        <w:rPr>
          <w:spacing w:val="-57"/>
        </w:rPr>
        <w:t> </w:t>
      </w:r>
      <w:r>
        <w:rPr/>
        <w:t>labeled</w:t>
      </w:r>
      <w:r>
        <w:rPr>
          <w:spacing w:val="1"/>
        </w:rPr>
        <w:t> </w:t>
      </w:r>
      <w:r>
        <w:rPr/>
        <w:t>variant</w:t>
      </w:r>
      <w:r>
        <w:rPr>
          <w:spacing w:val="1"/>
        </w:rPr>
        <w:t> </w:t>
      </w:r>
      <w:r>
        <w:rPr/>
        <w:t>2,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hybrid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original</w:t>
      </w:r>
      <w:r>
        <w:rPr>
          <w:spacing w:val="1"/>
        </w:rPr>
        <w:t> </w:t>
      </w:r>
      <w:r>
        <w:rPr/>
        <w:t>Poncelet</w:t>
      </w:r>
      <w:r>
        <w:rPr>
          <w:spacing w:val="1"/>
        </w:rPr>
        <w:t> </w:t>
      </w:r>
      <w:r>
        <w:rPr/>
        <w:t>equation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variant</w:t>
      </w:r>
      <w:r>
        <w:rPr>
          <w:spacing w:val="1"/>
        </w:rPr>
        <w:t> </w:t>
      </w:r>
      <w:r>
        <w:rPr/>
        <w:t>1</w:t>
      </w:r>
      <w:r>
        <w:rPr>
          <w:spacing w:val="1"/>
        </w:rPr>
        <w:t> </w:t>
      </w:r>
      <w:r>
        <w:rPr/>
        <w:t>incorporating</w:t>
      </w:r>
      <w:r>
        <w:rPr>
          <w:spacing w:val="-10"/>
        </w:rPr>
        <w:t> </w:t>
      </w:r>
      <w:r>
        <w:rPr/>
        <w:t>the</w:t>
      </w:r>
      <w:r>
        <w:rPr>
          <w:spacing w:val="-9"/>
        </w:rPr>
        <w:t> </w:t>
      </w:r>
      <w:r>
        <w:rPr/>
        <w:t>projectile</w:t>
      </w:r>
      <w:r>
        <w:rPr>
          <w:spacing w:val="-9"/>
        </w:rPr>
        <w:t> </w:t>
      </w:r>
      <w:r>
        <w:rPr/>
        <w:t>factors,</w:t>
      </w:r>
      <w:r>
        <w:rPr>
          <w:spacing w:val="-12"/>
        </w:rPr>
        <w:t> </w:t>
      </w:r>
      <w:r>
        <w:rPr/>
        <w:t>while</w:t>
      </w:r>
      <w:r>
        <w:rPr>
          <w:spacing w:val="-9"/>
        </w:rPr>
        <w:t> </w:t>
      </w:r>
      <w:r>
        <w:rPr/>
        <w:t>also</w:t>
      </w:r>
      <w:r>
        <w:rPr>
          <w:spacing w:val="-10"/>
        </w:rPr>
        <w:t> </w:t>
      </w:r>
      <w:r>
        <w:rPr/>
        <w:t>keeping</w:t>
      </w:r>
      <w:r>
        <w:rPr>
          <w:spacing w:val="-10"/>
        </w:rPr>
        <w:t> </w:t>
      </w:r>
      <w:r>
        <w:rPr/>
        <w:t>just</w:t>
      </w:r>
      <w:r>
        <w:rPr>
          <w:spacing w:val="-10"/>
        </w:rPr>
        <w:t> </w:t>
      </w:r>
      <w:r>
        <w:rPr/>
        <w:t>one</w:t>
      </w:r>
      <w:r>
        <w:rPr>
          <w:spacing w:val="-9"/>
        </w:rPr>
        <w:t> </w:t>
      </w:r>
      <w:r>
        <w:rPr/>
        <w:t>calibrating</w:t>
      </w:r>
      <w:r>
        <w:rPr>
          <w:spacing w:val="-10"/>
        </w:rPr>
        <w:t> </w:t>
      </w:r>
      <w:r>
        <w:rPr/>
        <w:t>constant.</w:t>
      </w:r>
      <w:r>
        <w:rPr>
          <w:spacing w:val="41"/>
        </w:rPr>
        <w:t> </w:t>
      </w:r>
      <w:hyperlink w:history="true" w:anchor="_bookmark70">
        <w:r>
          <w:rPr/>
          <w:t>Table</w:t>
        </w:r>
      </w:hyperlink>
      <w:r>
        <w:rPr>
          <w:spacing w:val="-57"/>
        </w:rPr>
        <w:t> </w:t>
      </w:r>
      <w:hyperlink w:history="true" w:anchor="_bookmark70">
        <w:r>
          <w:rPr/>
          <w:t>5-8 </w:t>
        </w:r>
      </w:hyperlink>
      <w:r>
        <w:rPr/>
        <w:t>shows the equations, constants, factors included, and the MSE for each of the three</w:t>
      </w:r>
      <w:r>
        <w:rPr>
          <w:spacing w:val="1"/>
        </w:rPr>
        <w:t> </w:t>
      </w:r>
      <w:r>
        <w:rPr/>
        <w:t>Poncelet models calibrated.</w:t>
      </w:r>
      <w:r>
        <w:rPr>
          <w:spacing w:val="1"/>
        </w:rPr>
        <w:t> </w:t>
      </w:r>
      <w:r>
        <w:rPr/>
        <w:t>The base model fit better than the Euler-Robbins model with</w:t>
      </w:r>
      <w:r>
        <w:rPr>
          <w:spacing w:val="-57"/>
        </w:rPr>
        <w:t> </w:t>
      </w:r>
      <w:r>
        <w:rPr/>
        <w:t>an</w:t>
      </w:r>
      <w:r>
        <w:rPr>
          <w:spacing w:val="-5"/>
        </w:rPr>
        <w:t> </w:t>
      </w:r>
      <w:r>
        <w:rPr/>
        <w:t>MSE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/>
        <w:t>1.345</w:t>
      </w:r>
      <w:r>
        <w:rPr>
          <w:spacing w:val="-4"/>
        </w:rPr>
        <w:t> </w:t>
      </w:r>
      <w:r>
        <w:rPr/>
        <w:t>but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two</w:t>
      </w:r>
      <w:r>
        <w:rPr>
          <w:spacing w:val="-5"/>
        </w:rPr>
        <w:t> </w:t>
      </w:r>
      <w:r>
        <w:rPr/>
        <w:t>variations</w:t>
      </w:r>
      <w:r>
        <w:rPr>
          <w:spacing w:val="-4"/>
        </w:rPr>
        <w:t> </w:t>
      </w:r>
      <w:r>
        <w:rPr/>
        <w:t>both</w:t>
      </w:r>
      <w:r>
        <w:rPr>
          <w:spacing w:val="-5"/>
        </w:rPr>
        <w:t> </w:t>
      </w:r>
      <w:r>
        <w:rPr/>
        <w:t>had</w:t>
      </w:r>
      <w:r>
        <w:rPr>
          <w:spacing w:val="-5"/>
        </w:rPr>
        <w:t> </w:t>
      </w:r>
      <w:r>
        <w:rPr/>
        <w:t>higher</w:t>
      </w:r>
      <w:r>
        <w:rPr>
          <w:spacing w:val="-4"/>
        </w:rPr>
        <w:t> </w:t>
      </w:r>
      <w:r>
        <w:rPr/>
        <w:t>MSE</w:t>
      </w:r>
      <w:r>
        <w:rPr>
          <w:spacing w:val="-5"/>
        </w:rPr>
        <w:t> </w:t>
      </w:r>
      <w:r>
        <w:rPr/>
        <w:t>values</w:t>
      </w:r>
      <w:r>
        <w:rPr>
          <w:spacing w:val="-4"/>
        </w:rPr>
        <w:t> </w:t>
      </w:r>
      <w:r>
        <w:rPr/>
        <w:t>closer</w:t>
      </w:r>
      <w:r>
        <w:rPr>
          <w:spacing w:val="-5"/>
        </w:rPr>
        <w:t> </w:t>
      </w:r>
      <w:r>
        <w:rPr/>
        <w:t>to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fit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57"/>
        </w:rPr>
        <w:t> </w:t>
      </w:r>
      <w:r>
        <w:rPr/>
        <w:t>Euler-Robbins</w:t>
      </w:r>
      <w:r>
        <w:rPr>
          <w:spacing w:val="-1"/>
        </w:rPr>
        <w:t> </w:t>
      </w:r>
      <w:r>
        <w:rPr/>
        <w:t>model with 3.356</w:t>
      </w:r>
      <w:r>
        <w:rPr>
          <w:spacing w:val="-1"/>
        </w:rPr>
        <w:t> </w:t>
      </w:r>
      <w:r>
        <w:rPr/>
        <w:t>for variant 1</w:t>
      </w:r>
      <w:r>
        <w:rPr>
          <w:spacing w:val="-1"/>
        </w:rPr>
        <w:t> </w:t>
      </w:r>
      <w:r>
        <w:rPr/>
        <w:t>and 3.000 for variant</w:t>
      </w:r>
      <w:r>
        <w:rPr>
          <w:spacing w:val="-1"/>
        </w:rPr>
        <w:t> </w:t>
      </w:r>
      <w:r>
        <w:rPr/>
        <w:t>2.</w:t>
      </w:r>
    </w:p>
    <w:p>
      <w:pPr>
        <w:spacing w:after="0" w:line="480" w:lineRule="auto"/>
        <w:jc w:val="both"/>
        <w:sectPr>
          <w:type w:val="continuous"/>
          <w:pgSz w:w="12240" w:h="15840"/>
          <w:pgMar w:top="1380" w:bottom="280" w:left="1720" w:right="1020"/>
        </w:sectPr>
      </w:pPr>
    </w:p>
    <w:p>
      <w:pPr>
        <w:spacing w:before="79"/>
        <w:ind w:left="19" w:right="0" w:firstLine="0"/>
        <w:jc w:val="center"/>
        <w:rPr>
          <w:i/>
          <w:sz w:val="24"/>
        </w:rPr>
      </w:pPr>
      <w:r>
        <w:rPr/>
        <w:pict>
          <v:rect style="position:absolute;margin-left:255.899994pt;margin-top:107.072151pt;width:12.361pt;height:.661pt;mso-position-horizontal-relative:page;mso-position-vertical-relative:paragraph;z-index:-34901504" filled="true" fillcolor="#000000" stroked="false">
            <v:fill type="solid"/>
            <w10:wrap type="none"/>
          </v:rect>
        </w:pict>
      </w:r>
      <w:r>
        <w:rPr/>
        <w:pict>
          <v:rect style="position:absolute;margin-left:303.119995pt;margin-top:107.072151pt;width:17.34pt;height:.661pt;mso-position-horizontal-relative:page;mso-position-vertical-relative:paragraph;z-index:-34900992" filled="true" fillcolor="#000000" stroked="false">
            <v:fill type="solid"/>
            <w10:wrap type="none"/>
          </v:rect>
        </w:pict>
      </w:r>
      <w:r>
        <w:rPr/>
        <w:pict>
          <v:rect style="position:absolute;margin-left:258.119995pt;margin-top:234.419998pt;width:23.22pt;height:.72pt;mso-position-horizontal-relative:page;mso-position-vertical-relative:page;z-index:-34900480" filled="true" fillcolor="#000000" stroked="false">
            <v:fill type="solid"/>
            <w10:wrap type="none"/>
          </v:rect>
        </w:pict>
      </w:r>
      <w:bookmarkStart w:name="_bookmark70" w:id="290"/>
      <w:bookmarkEnd w:id="290"/>
      <w:r>
        <w:rPr/>
      </w:r>
      <w:r>
        <w:rPr>
          <w:i/>
          <w:sz w:val="24"/>
        </w:rPr>
        <w:t>Table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5-8.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Variations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Poncelet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equations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calibrated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CLT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data.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3"/>
        <w:rPr>
          <w:i/>
          <w:sz w:val="17"/>
        </w:rPr>
      </w:pPr>
    </w:p>
    <w:tbl>
      <w:tblPr>
        <w:tblW w:w="0" w:type="auto"/>
        <w:jc w:val="left"/>
        <w:tblInd w:w="54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14"/>
        <w:gridCol w:w="3237"/>
        <w:gridCol w:w="1081"/>
        <w:gridCol w:w="1711"/>
        <w:gridCol w:w="721"/>
      </w:tblGrid>
      <w:tr>
        <w:trPr>
          <w:trHeight w:val="340" w:hRule="atLeast"/>
        </w:trPr>
        <w:tc>
          <w:tcPr>
            <w:tcW w:w="1714" w:type="dxa"/>
            <w:tcBorders>
              <w:right w:val="single" w:sz="4" w:space="0" w:color="000000"/>
            </w:tcBorders>
            <w:shd w:val="clear" w:color="auto" w:fill="C0C0C0"/>
          </w:tcPr>
          <w:p>
            <w:pPr>
              <w:pStyle w:val="TableParagraph"/>
              <w:spacing w:line="210" w:lineRule="exact" w:before="110"/>
              <w:ind w:left="117" w:right="10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Model</w:t>
            </w:r>
          </w:p>
        </w:tc>
        <w:tc>
          <w:tcPr>
            <w:tcW w:w="3237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0C0C0"/>
          </w:tcPr>
          <w:p>
            <w:pPr>
              <w:pStyle w:val="TableParagraph"/>
              <w:spacing w:line="210" w:lineRule="exact" w:before="110"/>
              <w:ind w:left="1105" w:right="108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Equation</w:t>
            </w:r>
          </w:p>
        </w:tc>
        <w:tc>
          <w:tcPr>
            <w:tcW w:w="1081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0C0C0"/>
          </w:tcPr>
          <w:p>
            <w:pPr>
              <w:pStyle w:val="TableParagraph"/>
              <w:spacing w:line="210" w:lineRule="exact" w:before="110"/>
              <w:ind w:left="95" w:right="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Constants</w:t>
            </w:r>
          </w:p>
        </w:tc>
        <w:tc>
          <w:tcPr>
            <w:tcW w:w="1711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0C0C0"/>
          </w:tcPr>
          <w:p>
            <w:pPr>
              <w:pStyle w:val="TableParagraph"/>
              <w:spacing w:line="210" w:lineRule="exact" w:before="110"/>
              <w:ind w:left="114" w:right="10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Factors</w:t>
            </w:r>
            <w:r>
              <w:rPr>
                <w:b/>
                <w:spacing w:val="-5"/>
                <w:sz w:val="20"/>
              </w:rPr>
              <w:t> </w:t>
            </w:r>
            <w:r>
              <w:rPr>
                <w:b/>
                <w:sz w:val="20"/>
              </w:rPr>
              <w:t>Included</w:t>
            </w:r>
          </w:p>
        </w:tc>
        <w:tc>
          <w:tcPr>
            <w:tcW w:w="721" w:type="dxa"/>
            <w:tcBorders>
              <w:left w:val="single" w:sz="4" w:space="0" w:color="000000"/>
            </w:tcBorders>
            <w:shd w:val="clear" w:color="auto" w:fill="C0C0C0"/>
          </w:tcPr>
          <w:p>
            <w:pPr>
              <w:pStyle w:val="TableParagraph"/>
              <w:spacing w:before="55"/>
              <w:ind w:left="116" w:right="9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MSE</w:t>
            </w:r>
          </w:p>
        </w:tc>
      </w:tr>
      <w:tr>
        <w:trPr>
          <w:trHeight w:val="1478" w:hRule="atLeast"/>
        </w:trPr>
        <w:tc>
          <w:tcPr>
            <w:tcW w:w="1714" w:type="dxa"/>
            <w:tcBorders>
              <w:right w:val="single" w:sz="4" w:space="0" w:color="000000"/>
            </w:tcBorders>
          </w:tcPr>
          <w:p>
            <w:pPr>
              <w:pStyle w:val="TableParagraph"/>
              <w:rPr>
                <w:i/>
                <w:sz w:val="22"/>
              </w:rPr>
            </w:pPr>
          </w:p>
          <w:p>
            <w:pPr>
              <w:pStyle w:val="TableParagraph"/>
              <w:rPr>
                <w:i/>
                <w:sz w:val="32"/>
              </w:rPr>
            </w:pPr>
          </w:p>
          <w:p>
            <w:pPr>
              <w:pStyle w:val="TableParagraph"/>
              <w:ind w:left="115" w:right="103"/>
              <w:jc w:val="center"/>
              <w:rPr>
                <w:sz w:val="20"/>
              </w:rPr>
            </w:pPr>
            <w:r>
              <w:rPr>
                <w:sz w:val="20"/>
              </w:rPr>
              <w:t>Poncelet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(base)</w:t>
            </w:r>
          </w:p>
        </w:tc>
        <w:tc>
          <w:tcPr>
            <w:tcW w:w="323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i/>
                <w:sz w:val="22"/>
              </w:rPr>
            </w:pPr>
          </w:p>
          <w:p>
            <w:pPr>
              <w:pStyle w:val="TableParagraph"/>
              <w:spacing w:before="10"/>
              <w:rPr>
                <w:i/>
                <w:sz w:val="18"/>
              </w:rPr>
            </w:pPr>
          </w:p>
          <w:p>
            <w:pPr>
              <w:pStyle w:val="TableParagraph"/>
              <w:tabs>
                <w:tab w:pos="2102" w:val="left" w:leader="none"/>
              </w:tabs>
              <w:spacing w:line="193" w:lineRule="exact" w:before="1"/>
              <w:ind w:left="1227"/>
              <w:rPr>
                <w:rFonts w:ascii="Cambria Math" w:eastAsia="Cambria Math"/>
                <w:sz w:val="20"/>
              </w:rPr>
            </w:pPr>
            <w:r>
              <w:rPr>
                <w:rFonts w:ascii="Cambria Math" w:eastAsia="Cambria Math"/>
                <w:sz w:val="20"/>
              </w:rPr>
              <w:t>1</w:t>
              <w:tab/>
              <w:t>𝐵𝑣</w:t>
            </w:r>
            <w:r>
              <w:rPr>
                <w:rFonts w:ascii="Cambria Math" w:eastAsia="Cambria Math"/>
                <w:sz w:val="20"/>
                <w:vertAlign w:val="superscript"/>
              </w:rPr>
              <w:t>2</w:t>
            </w:r>
          </w:p>
          <w:p>
            <w:pPr>
              <w:pStyle w:val="TableParagraph"/>
              <w:tabs>
                <w:tab w:pos="1439" w:val="left" w:leader="none"/>
                <w:tab w:pos="2336" w:val="left" w:leader="none"/>
              </w:tabs>
              <w:spacing w:line="143" w:lineRule="exact"/>
              <w:ind w:left="604"/>
              <w:rPr>
                <w:rFonts w:ascii="Cambria Math" w:hAnsi="Cambria Math" w:cs="Cambria Math" w:eastAsia="Cambria Math"/>
                <w:sz w:val="20"/>
                <w:szCs w:val="20"/>
              </w:rPr>
            </w:pPr>
            <w:r>
              <w:rPr>
                <w:rFonts w:ascii="Cambria Math" w:hAnsi="Cambria Math" w:cs="Cambria Math" w:eastAsia="Cambria Math"/>
                <w:sz w:val="20"/>
                <w:szCs w:val="20"/>
              </w:rPr>
              <w:t>𝑇</w:t>
            </w:r>
            <w:r>
              <w:rPr>
                <w:rFonts w:ascii="Cambria Math" w:hAnsi="Cambria Math" w:cs="Cambria Math" w:eastAsia="Cambria Math"/>
                <w:spacing w:val="80"/>
                <w:sz w:val="20"/>
                <w:szCs w:val="20"/>
              </w:rPr>
              <w:t> </w:t>
            </w:r>
            <w:r>
              <w:rPr>
                <w:rFonts w:ascii="Cambria Math" w:hAnsi="Cambria Math" w:cs="Cambria Math" w:eastAsia="Cambria Math"/>
                <w:sz w:val="20"/>
                <w:szCs w:val="20"/>
              </w:rPr>
              <w:t>= </w:t>
            </w:r>
            <w:r>
              <w:rPr>
                <w:rFonts w:ascii="Cambria Math" w:hAnsi="Cambria Math" w:cs="Cambria Math" w:eastAsia="Cambria Math"/>
                <w:w w:val="70"/>
                <w:sz w:val="20"/>
                <w:szCs w:val="20"/>
              </w:rPr>
              <w:t>�</w:t>
              <w:tab/>
            </w:r>
            <w:r>
              <w:rPr>
                <w:rFonts w:ascii="Cambria Math" w:hAnsi="Cambria Math" w:cs="Cambria Math" w:eastAsia="Cambria Math"/>
                <w:w w:val="85"/>
                <w:sz w:val="20"/>
                <w:szCs w:val="20"/>
              </w:rPr>
              <w:t>ln</w:t>
            </w:r>
            <w:r>
              <w:rPr>
                <w:rFonts w:ascii="Cambria Math" w:hAnsi="Cambria Math" w:cs="Cambria Math" w:eastAsia="Cambria Math"/>
                <w:spacing w:val="-3"/>
                <w:w w:val="85"/>
                <w:sz w:val="20"/>
                <w:szCs w:val="20"/>
              </w:rPr>
              <w:t> </w:t>
            </w:r>
            <w:r>
              <w:rPr>
                <w:rFonts w:ascii="Cambria Math" w:hAnsi="Cambria Math" w:cs="Cambria Math" w:eastAsia="Cambria Math"/>
                <w:w w:val="85"/>
                <w:sz w:val="20"/>
                <w:szCs w:val="20"/>
              </w:rPr>
              <w:t>�1</w:t>
            </w:r>
            <w:r>
              <w:rPr>
                <w:rFonts w:ascii="Cambria Math" w:hAnsi="Cambria Math" w:cs="Cambria Math" w:eastAsia="Cambria Math"/>
                <w:spacing w:val="7"/>
                <w:w w:val="85"/>
                <w:sz w:val="20"/>
                <w:szCs w:val="20"/>
              </w:rPr>
              <w:t> </w:t>
            </w:r>
            <w:r>
              <w:rPr>
                <w:rFonts w:ascii="Cambria Math" w:hAnsi="Cambria Math" w:cs="Cambria Math" w:eastAsia="Cambria Math"/>
                <w:w w:val="85"/>
                <w:sz w:val="20"/>
                <w:szCs w:val="20"/>
              </w:rPr>
              <w:t>+</w:t>
              <w:tab/>
            </w:r>
            <w:r>
              <w:rPr>
                <w:rFonts w:ascii="Cambria Math" w:hAnsi="Cambria Math" w:cs="Cambria Math" w:eastAsia="Cambria Math"/>
                <w:w w:val="60"/>
                <w:sz w:val="20"/>
                <w:szCs w:val="20"/>
                <w:vertAlign w:val="superscript"/>
              </w:rPr>
              <w:t>𝑠</w:t>
            </w:r>
            <w:r>
              <w:rPr>
                <w:rFonts w:ascii="Cambria Math" w:hAnsi="Cambria Math" w:cs="Cambria Math" w:eastAsia="Cambria Math"/>
                <w:spacing w:val="13"/>
                <w:w w:val="60"/>
                <w:sz w:val="20"/>
                <w:szCs w:val="20"/>
                <w:vertAlign w:val="baseline"/>
              </w:rPr>
              <w:t> </w:t>
            </w:r>
            <w:r>
              <w:rPr>
                <w:rFonts w:ascii="Cambria Math" w:hAnsi="Cambria Math" w:cs="Cambria Math" w:eastAsia="Cambria Math"/>
                <w:w w:val="60"/>
                <w:sz w:val="20"/>
                <w:szCs w:val="20"/>
                <w:vertAlign w:val="baseline"/>
              </w:rPr>
              <w:t>��</w:t>
            </w:r>
          </w:p>
          <w:p>
            <w:pPr>
              <w:pStyle w:val="TableParagraph"/>
              <w:tabs>
                <w:tab w:pos="1158" w:val="left" w:leader="none"/>
                <w:tab w:pos="2212" w:val="left" w:leader="none"/>
              </w:tabs>
              <w:spacing w:line="184" w:lineRule="exact"/>
              <w:ind w:left="695"/>
              <w:rPr>
                <w:rFonts w:ascii="Cambria Math" w:eastAsia="Cambria Math"/>
                <w:sz w:val="20"/>
              </w:rPr>
            </w:pPr>
            <w:r>
              <w:rPr>
                <w:rFonts w:ascii="Cambria Math" w:eastAsia="Cambria Math"/>
                <w:w w:val="90"/>
                <w:sz w:val="20"/>
                <w:vertAlign w:val="superscript"/>
              </w:rPr>
              <w:t>𝑤𝑤</w:t>
            </w:r>
            <w:r>
              <w:rPr>
                <w:rFonts w:ascii="Cambria Math" w:eastAsia="Cambria Math"/>
                <w:w w:val="90"/>
                <w:sz w:val="20"/>
                <w:vertAlign w:val="baseline"/>
              </w:rPr>
              <w:tab/>
            </w:r>
            <w:r>
              <w:rPr>
                <w:rFonts w:ascii="Cambria Math" w:eastAsia="Cambria Math"/>
                <w:sz w:val="20"/>
                <w:vertAlign w:val="baseline"/>
              </w:rPr>
              <w:t>2𝐵</w:t>
              <w:tab/>
              <w:t>𝐶</w:t>
            </w:r>
          </w:p>
        </w:tc>
        <w:tc>
          <w:tcPr>
            <w:tcW w:w="108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i/>
                <w:sz w:val="22"/>
              </w:rPr>
            </w:pPr>
          </w:p>
          <w:p>
            <w:pPr>
              <w:pStyle w:val="TableParagraph"/>
              <w:rPr>
                <w:i/>
                <w:sz w:val="32"/>
              </w:rPr>
            </w:pPr>
          </w:p>
          <w:p>
            <w:pPr>
              <w:pStyle w:val="TableParagraph"/>
              <w:ind w:left="95" w:right="79"/>
              <w:jc w:val="center"/>
              <w:rPr>
                <w:sz w:val="20"/>
              </w:rPr>
            </w:pPr>
            <w:r>
              <w:rPr>
                <w:sz w:val="20"/>
              </w:rPr>
              <w:t>B,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C</w:t>
            </w:r>
          </w:p>
        </w:tc>
        <w:tc>
          <w:tcPr>
            <w:tcW w:w="171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i/>
                <w:sz w:val="22"/>
              </w:rPr>
            </w:pPr>
          </w:p>
          <w:p>
            <w:pPr>
              <w:pStyle w:val="TableParagraph"/>
              <w:spacing w:before="1"/>
              <w:rPr>
                <w:i/>
                <w:sz w:val="22"/>
              </w:rPr>
            </w:pPr>
          </w:p>
          <w:p>
            <w:pPr>
              <w:pStyle w:val="TableParagraph"/>
              <w:ind w:left="410" w:right="115" w:hanging="270"/>
              <w:rPr>
                <w:sz w:val="20"/>
              </w:rPr>
            </w:pPr>
            <w:r>
              <w:rPr>
                <w:sz w:val="20"/>
              </w:rPr>
              <w:t>Striking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Velocity,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2 constants</w:t>
            </w:r>
          </w:p>
        </w:tc>
        <w:tc>
          <w:tcPr>
            <w:tcW w:w="721" w:type="dxa"/>
            <w:tcBorders>
              <w:left w:val="single" w:sz="4" w:space="0" w:color="000000"/>
            </w:tcBorders>
          </w:tcPr>
          <w:p>
            <w:pPr>
              <w:pStyle w:val="TableParagraph"/>
              <w:rPr>
                <w:i/>
                <w:sz w:val="22"/>
              </w:rPr>
            </w:pPr>
          </w:p>
          <w:p>
            <w:pPr>
              <w:pStyle w:val="TableParagraph"/>
              <w:rPr>
                <w:i/>
                <w:sz w:val="32"/>
              </w:rPr>
            </w:pPr>
          </w:p>
          <w:p>
            <w:pPr>
              <w:pStyle w:val="TableParagraph"/>
              <w:ind w:left="116" w:right="100"/>
              <w:jc w:val="center"/>
              <w:rPr>
                <w:sz w:val="20"/>
              </w:rPr>
            </w:pPr>
            <w:r>
              <w:rPr>
                <w:sz w:val="20"/>
              </w:rPr>
              <w:t>1.345</w:t>
            </w:r>
          </w:p>
        </w:tc>
      </w:tr>
      <w:tr>
        <w:trPr>
          <w:trHeight w:val="500" w:hRule="atLeast"/>
        </w:trPr>
        <w:tc>
          <w:tcPr>
            <w:tcW w:w="1714" w:type="dxa"/>
            <w:tcBorders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237" w:type="dxa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2008" w:val="left" w:leader="none"/>
              </w:tabs>
              <w:spacing w:line="199" w:lineRule="exact" w:before="131"/>
              <w:ind w:left="1373"/>
              <w:rPr>
                <w:rFonts w:ascii="Cambria Math" w:eastAsia="Cambria Math"/>
                <w:sz w:val="22"/>
              </w:rPr>
            </w:pPr>
            <w:r>
              <w:rPr>
                <w:rFonts w:ascii="Cambria Math" w:eastAsia="Cambria Math"/>
                <w:sz w:val="22"/>
              </w:rPr>
              <w:t>1</w:t>
              <w:tab/>
            </w:r>
            <w:r>
              <w:rPr>
                <w:rFonts w:ascii="Cambria Math" w:eastAsia="Cambria Math"/>
                <w:spacing w:val="-101"/>
                <w:sz w:val="22"/>
              </w:rPr>
              <w:t>𝑐</w:t>
            </w:r>
            <w:r>
              <w:rPr>
                <w:rFonts w:ascii="Cambria Math" w:eastAsia="Cambria Math"/>
                <w:spacing w:val="58"/>
                <w:position w:val="-4"/>
                <w:sz w:val="22"/>
                <w:u w:val="single"/>
              </w:rPr>
              <w:t> </w:t>
            </w:r>
            <w:r>
              <w:rPr>
                <w:rFonts w:ascii="Cambria Math" w:eastAsia="Cambria Math"/>
                <w:position w:val="-4"/>
                <w:sz w:val="16"/>
              </w:rPr>
              <w:t>0</w:t>
            </w:r>
            <w:r>
              <w:rPr>
                <w:rFonts w:ascii="Cambria Math" w:eastAsia="Cambria Math"/>
                <w:spacing w:val="29"/>
                <w:position w:val="-4"/>
                <w:sz w:val="16"/>
              </w:rPr>
              <w:t> </w:t>
            </w:r>
            <w:r>
              <w:rPr>
                <w:rFonts w:ascii="Cambria Math" w:eastAsia="Cambria Math"/>
                <w:sz w:val="22"/>
              </w:rPr>
              <w:t>+</w:t>
            </w:r>
            <w:r>
              <w:rPr>
                <w:rFonts w:ascii="Cambria Math" w:eastAsia="Cambria Math"/>
                <w:spacing w:val="7"/>
                <w:sz w:val="22"/>
              </w:rPr>
              <w:t> </w:t>
            </w:r>
            <w:r>
              <w:rPr>
                <w:rFonts w:ascii="Cambria Math" w:eastAsia="Cambria Math"/>
                <w:sz w:val="22"/>
              </w:rPr>
              <w:t>𝑐</w:t>
            </w:r>
            <w:r>
              <w:rPr>
                <w:rFonts w:ascii="Cambria Math" w:eastAsia="Cambria Math"/>
                <w:position w:val="-4"/>
                <w:sz w:val="16"/>
                <w:u w:val="single"/>
              </w:rPr>
              <w:t>1</w:t>
            </w:r>
            <w:r>
              <w:rPr>
                <w:rFonts w:ascii="Cambria Math" w:eastAsia="Cambria Math"/>
                <w:sz w:val="22"/>
              </w:rPr>
              <w:t>𝑣</w:t>
            </w:r>
            <w:r>
              <w:rPr>
                <w:rFonts w:ascii="Cambria Math" w:eastAsia="Cambria Math"/>
                <w:sz w:val="22"/>
                <w:vertAlign w:val="superscript"/>
              </w:rPr>
              <w:t>2</w:t>
            </w:r>
          </w:p>
          <w:p>
            <w:pPr>
              <w:pStyle w:val="TableParagraph"/>
              <w:tabs>
                <w:tab w:pos="1704" w:val="left" w:leader="none"/>
                <w:tab w:pos="2767" w:val="left" w:leader="none"/>
              </w:tabs>
              <w:spacing w:line="170" w:lineRule="exact"/>
              <w:ind w:left="587"/>
              <w:rPr>
                <w:rFonts w:ascii="Cambria Math" w:hAnsi="Cambria Math" w:cs="Cambria Math" w:eastAsia="Cambria Math"/>
                <w:sz w:val="22"/>
                <w:szCs w:val="22"/>
              </w:rPr>
            </w:pPr>
            <w:r>
              <w:rPr>
                <w:rFonts w:ascii="Cambria Math" w:hAnsi="Cambria Math" w:cs="Cambria Math" w:eastAsia="Cambria Math"/>
                <w:sz w:val="22"/>
                <w:szCs w:val="22"/>
              </w:rPr>
              <w:t>𝑇  </w:t>
            </w:r>
            <w:r>
              <w:rPr>
                <w:rFonts w:ascii="Cambria Math" w:hAnsi="Cambria Math" w:cs="Cambria Math" w:eastAsia="Cambria Math"/>
                <w:spacing w:val="3"/>
                <w:sz w:val="22"/>
                <w:szCs w:val="22"/>
              </w:rPr>
              <w:t> </w:t>
            </w:r>
            <w:r>
              <w:rPr>
                <w:rFonts w:ascii="Cambria Math" w:hAnsi="Cambria Math" w:cs="Cambria Math" w:eastAsia="Cambria Math"/>
                <w:sz w:val="22"/>
                <w:szCs w:val="22"/>
              </w:rPr>
              <w:t>=</w:t>
            </w:r>
            <w:r>
              <w:rPr>
                <w:rFonts w:ascii="Cambria Math" w:hAnsi="Cambria Math" w:cs="Cambria Math" w:eastAsia="Cambria Math"/>
                <w:spacing w:val="4"/>
                <w:sz w:val="22"/>
                <w:szCs w:val="22"/>
              </w:rPr>
              <w:t> </w:t>
            </w:r>
            <w:r>
              <w:rPr>
                <w:rFonts w:ascii="Cambria Math" w:hAnsi="Cambria Math" w:cs="Cambria Math" w:eastAsia="Cambria Math"/>
                <w:w w:val="65"/>
                <w:sz w:val="22"/>
                <w:szCs w:val="22"/>
              </w:rPr>
              <w:t>�</w:t>
              <w:tab/>
              <w:t>ln</w:t>
            </w:r>
            <w:r>
              <w:rPr>
                <w:rFonts w:ascii="Cambria Math" w:hAnsi="Cambria Math" w:cs="Cambria Math" w:eastAsia="Cambria Math"/>
                <w:spacing w:val="6"/>
                <w:w w:val="65"/>
                <w:sz w:val="22"/>
                <w:szCs w:val="22"/>
              </w:rPr>
              <w:t> </w:t>
            </w:r>
            <w:r>
              <w:rPr>
                <w:rFonts w:ascii="Cambria Math" w:hAnsi="Cambria Math" w:cs="Cambria Math" w:eastAsia="Cambria Math"/>
                <w:w w:val="65"/>
                <w:sz w:val="22"/>
                <w:szCs w:val="22"/>
              </w:rPr>
              <w:t>�</w:t>
              <w:tab/>
            </w:r>
            <w:r>
              <w:rPr>
                <w:rFonts w:ascii="Cambria Math" w:hAnsi="Cambria Math" w:cs="Cambria Math" w:eastAsia="Cambria Math"/>
                <w:w w:val="55"/>
                <w:position w:val="12"/>
                <w:sz w:val="16"/>
                <w:szCs w:val="16"/>
                <w:u w:val="single"/>
              </w:rPr>
              <w:t>𝑠</w:t>
            </w:r>
            <w:r>
              <w:rPr>
                <w:rFonts w:ascii="Cambria Math" w:hAnsi="Cambria Math" w:cs="Cambria Math" w:eastAsia="Cambria Math"/>
                <w:spacing w:val="15"/>
                <w:w w:val="55"/>
                <w:position w:val="12"/>
                <w:sz w:val="16"/>
                <w:szCs w:val="16"/>
              </w:rPr>
              <w:t> </w:t>
            </w:r>
            <w:r>
              <w:rPr>
                <w:rFonts w:ascii="Cambria Math" w:hAnsi="Cambria Math" w:cs="Cambria Math" w:eastAsia="Cambria Math"/>
                <w:w w:val="55"/>
                <w:sz w:val="22"/>
                <w:szCs w:val="22"/>
              </w:rPr>
              <w:t>��</w:t>
            </w:r>
          </w:p>
          <w:p>
            <w:pPr>
              <w:pStyle w:val="TableParagraph"/>
              <w:tabs>
                <w:tab w:pos="1202" w:val="left" w:leader="none"/>
                <w:tab w:pos="2352" w:val="left" w:leader="none"/>
              </w:tabs>
              <w:spacing w:line="213" w:lineRule="exact"/>
              <w:ind w:left="688"/>
              <w:rPr>
                <w:rFonts w:ascii="Cambria Math" w:eastAsia="Cambria Math"/>
                <w:sz w:val="16"/>
              </w:rPr>
            </w:pPr>
            <w:r>
              <w:rPr>
                <w:rFonts w:ascii="Cambria Math" w:eastAsia="Cambria Math"/>
                <w:w w:val="95"/>
                <w:sz w:val="22"/>
                <w:vertAlign w:val="superscript"/>
              </w:rPr>
              <w:t>𝑤𝑤</w:t>
            </w:r>
            <w:r>
              <w:rPr>
                <w:rFonts w:ascii="Cambria Math" w:eastAsia="Cambria Math"/>
                <w:w w:val="95"/>
                <w:sz w:val="22"/>
                <w:vertAlign w:val="baseline"/>
              </w:rPr>
              <w:tab/>
            </w:r>
            <w:r>
              <w:rPr>
                <w:rFonts w:ascii="Cambria Math" w:eastAsia="Cambria Math"/>
                <w:sz w:val="22"/>
                <w:vertAlign w:val="baseline"/>
              </w:rPr>
              <w:t>2𝑐</w:t>
            </w:r>
            <w:r>
              <w:rPr>
                <w:rFonts w:ascii="Cambria Math" w:eastAsia="Cambria Math"/>
                <w:position w:val="-4"/>
                <w:sz w:val="16"/>
                <w:vertAlign w:val="baseline"/>
              </w:rPr>
              <w:t>1</w:t>
            </w:r>
            <w:r>
              <w:rPr>
                <w:rFonts w:ascii="Cambria Math" w:eastAsia="Cambria Math"/>
                <w:sz w:val="22"/>
                <w:vertAlign w:val="baseline"/>
              </w:rPr>
              <w:t>𝐵</w:t>
              <w:tab/>
              <w:t>𝑐</w:t>
            </w:r>
            <w:r>
              <w:rPr>
                <w:rFonts w:ascii="Cambria Math" w:eastAsia="Cambria Math"/>
                <w:position w:val="-4"/>
                <w:sz w:val="16"/>
                <w:vertAlign w:val="baseline"/>
              </w:rPr>
              <w:t>0</w:t>
            </w:r>
          </w:p>
          <w:p>
            <w:pPr>
              <w:pStyle w:val="TableParagraph"/>
              <w:spacing w:line="206" w:lineRule="exact"/>
              <w:ind w:left="2182"/>
              <w:rPr>
                <w:rFonts w:ascii="Cambria Math" w:eastAsia="Cambria Math"/>
                <w:sz w:val="16"/>
              </w:rPr>
            </w:pPr>
            <w:r>
              <w:rPr>
                <w:rFonts w:ascii="Cambria Math" w:eastAsia="Cambria Math"/>
                <w:w w:val="105"/>
                <w:position w:val="5"/>
                <w:sz w:val="22"/>
                <w:u w:val="single"/>
              </w:rPr>
              <w:t>𝐴</w:t>
            </w:r>
            <w:r>
              <w:rPr>
                <w:rFonts w:ascii="Cambria Math" w:eastAsia="Cambria Math"/>
                <w:w w:val="105"/>
                <w:sz w:val="16"/>
                <w:u w:val="single"/>
              </w:rPr>
              <w:t>𝑐𝑠</w:t>
            </w:r>
          </w:p>
          <w:p>
            <w:pPr>
              <w:pStyle w:val="TableParagraph"/>
              <w:spacing w:line="141" w:lineRule="exact"/>
              <w:ind w:left="1140" w:right="1088"/>
              <w:jc w:val="center"/>
              <w:rPr>
                <w:rFonts w:ascii="Cambria Math" w:eastAsia="Cambria Math"/>
                <w:sz w:val="22"/>
              </w:rPr>
            </w:pPr>
            <w:r>
              <w:rPr>
                <w:sz w:val="22"/>
              </w:rPr>
              <w:t>where</w:t>
            </w:r>
            <w:r>
              <w:rPr>
                <w:spacing w:val="-8"/>
                <w:sz w:val="22"/>
              </w:rPr>
              <w:t> </w:t>
            </w:r>
            <w:r>
              <w:rPr>
                <w:rFonts w:ascii="Cambria Math" w:eastAsia="Cambria Math"/>
                <w:sz w:val="22"/>
              </w:rPr>
              <w:t>𝐵</w:t>
            </w:r>
            <w:r>
              <w:rPr>
                <w:rFonts w:ascii="Cambria Math" w:eastAsia="Cambria Math"/>
                <w:spacing w:val="17"/>
                <w:sz w:val="22"/>
              </w:rPr>
              <w:t> </w:t>
            </w:r>
            <w:r>
              <w:rPr>
                <w:rFonts w:ascii="Cambria Math" w:eastAsia="Cambria Math"/>
                <w:sz w:val="22"/>
              </w:rPr>
              <w:t>=</w:t>
            </w:r>
          </w:p>
          <w:p>
            <w:pPr>
              <w:pStyle w:val="TableParagraph"/>
              <w:spacing w:line="203" w:lineRule="exact"/>
              <w:ind w:left="2242"/>
              <w:rPr>
                <w:rFonts w:ascii="Cambria Math" w:eastAsia="Cambria Math"/>
                <w:sz w:val="22"/>
              </w:rPr>
            </w:pPr>
            <w:r>
              <w:rPr>
                <w:rFonts w:ascii="Cambria Math" w:eastAsia="Cambria Math"/>
                <w:sz w:val="22"/>
              </w:rPr>
              <w:t>𝑚</w:t>
            </w:r>
          </w:p>
        </w:tc>
        <w:tc>
          <w:tcPr>
            <w:tcW w:w="1081" w:type="dxa"/>
            <w:tcBorders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711" w:type="dxa"/>
            <w:tcBorders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line="204" w:lineRule="exact"/>
              <w:ind w:left="113" w:right="101"/>
              <w:jc w:val="center"/>
              <w:rPr>
                <w:sz w:val="20"/>
              </w:rPr>
            </w:pPr>
            <w:r>
              <w:rPr>
                <w:sz w:val="20"/>
              </w:rPr>
              <w:t>Striking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Velocity,</w:t>
            </w:r>
          </w:p>
        </w:tc>
        <w:tc>
          <w:tcPr>
            <w:tcW w:w="721" w:type="dxa"/>
            <w:tcBorders>
              <w:left w:val="single" w:sz="4" w:space="0" w:color="000000"/>
              <w:bottom w:val="nil"/>
            </w:tcBorders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40" w:hRule="atLeast"/>
        </w:trPr>
        <w:tc>
          <w:tcPr>
            <w:tcW w:w="1714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101"/>
              <w:ind w:left="117" w:right="103"/>
              <w:jc w:val="center"/>
              <w:rPr>
                <w:sz w:val="20"/>
              </w:rPr>
            </w:pPr>
            <w:r>
              <w:rPr>
                <w:sz w:val="20"/>
              </w:rPr>
              <w:t>Poncelet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variant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1</w:t>
            </w:r>
          </w:p>
        </w:tc>
        <w:tc>
          <w:tcPr>
            <w:tcW w:w="3237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81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101"/>
              <w:ind w:left="95" w:right="79"/>
              <w:jc w:val="center"/>
              <w:rPr>
                <w:sz w:val="20"/>
              </w:rPr>
            </w:pPr>
            <w:r>
              <w:rPr>
                <w:sz w:val="20"/>
              </w:rPr>
              <w:t>c</w:t>
            </w:r>
            <w:r>
              <w:rPr>
                <w:sz w:val="20"/>
                <w:vertAlign w:val="subscript"/>
              </w:rPr>
              <w:t>0</w:t>
            </w:r>
            <w:r>
              <w:rPr>
                <w:sz w:val="20"/>
                <w:vertAlign w:val="baseline"/>
              </w:rPr>
              <w:t>,</w:t>
            </w:r>
            <w:r>
              <w:rPr>
                <w:spacing w:val="-1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c</w:t>
            </w:r>
            <w:r>
              <w:rPr>
                <w:sz w:val="20"/>
                <w:vertAlign w:val="subscript"/>
              </w:rPr>
              <w:t>1</w:t>
            </w:r>
          </w:p>
        </w:tc>
        <w:tc>
          <w:tcPr>
            <w:tcW w:w="1711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16" w:lineRule="exact"/>
              <w:ind w:left="118"/>
              <w:rPr>
                <w:sz w:val="20"/>
              </w:rPr>
            </w:pPr>
            <w:r>
              <w:rPr>
                <w:sz w:val="20"/>
              </w:rPr>
              <w:t>projectile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area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and</w:t>
            </w:r>
          </w:p>
          <w:p>
            <w:pPr>
              <w:pStyle w:val="TableParagraph"/>
              <w:spacing w:line="204" w:lineRule="exact"/>
              <w:ind w:left="157"/>
              <w:rPr>
                <w:sz w:val="20"/>
              </w:rPr>
            </w:pPr>
            <w:r>
              <w:rPr>
                <w:sz w:val="20"/>
              </w:rPr>
              <w:t>projectile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weight,</w:t>
            </w:r>
          </w:p>
        </w:tc>
        <w:tc>
          <w:tcPr>
            <w:tcW w:w="721" w:type="dxa"/>
            <w:tcBorders>
              <w:top w:val="nil"/>
              <w:left w:val="single" w:sz="4" w:space="0" w:color="000000"/>
              <w:bottom w:val="nil"/>
            </w:tcBorders>
          </w:tcPr>
          <w:p>
            <w:pPr>
              <w:pStyle w:val="TableParagraph"/>
              <w:spacing w:before="101"/>
              <w:ind w:left="116" w:right="100"/>
              <w:jc w:val="center"/>
              <w:rPr>
                <w:sz w:val="20"/>
              </w:rPr>
            </w:pPr>
            <w:r>
              <w:rPr>
                <w:sz w:val="20"/>
              </w:rPr>
              <w:t>3.356</w:t>
            </w:r>
          </w:p>
        </w:tc>
      </w:tr>
      <w:tr>
        <w:trPr>
          <w:trHeight w:val="496" w:hRule="atLeast"/>
        </w:trPr>
        <w:tc>
          <w:tcPr>
            <w:tcW w:w="1714" w:type="dxa"/>
            <w:tcBorders>
              <w:top w:val="nil"/>
              <w:right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237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81" w:type="dxa"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711" w:type="dxa"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16" w:lineRule="exact"/>
              <w:ind w:left="114" w:right="99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constants</w:t>
            </w:r>
          </w:p>
        </w:tc>
        <w:tc>
          <w:tcPr>
            <w:tcW w:w="721" w:type="dxa"/>
            <w:tcBorders>
              <w:top w:val="nil"/>
              <w:left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517" w:hRule="atLeast"/>
        </w:trPr>
        <w:tc>
          <w:tcPr>
            <w:tcW w:w="1714" w:type="dxa"/>
            <w:tcBorders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237" w:type="dxa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2386" w:val="left" w:leader="none"/>
              </w:tabs>
              <w:spacing w:line="181" w:lineRule="exact" w:before="226"/>
              <w:ind w:left="1422"/>
              <w:rPr>
                <w:rFonts w:ascii="Cambria Math" w:eastAsia="Cambria Math"/>
                <w:sz w:val="22"/>
              </w:rPr>
            </w:pPr>
            <w:r>
              <w:rPr>
                <w:rFonts w:ascii="Cambria Math" w:eastAsia="Cambria Math"/>
                <w:w w:val="105"/>
                <w:sz w:val="22"/>
              </w:rPr>
              <w:t>1</w:t>
              <w:tab/>
            </w:r>
            <w:r>
              <w:rPr>
                <w:rFonts w:ascii="Cambria Math" w:eastAsia="Cambria Math"/>
                <w:spacing w:val="-145"/>
                <w:sz w:val="22"/>
              </w:rPr>
              <w:t>𝐵</w:t>
            </w:r>
            <w:r>
              <w:rPr>
                <w:rFonts w:ascii="Cambria Math" w:eastAsia="Cambria Math"/>
                <w:spacing w:val="119"/>
                <w:position w:val="-4"/>
                <w:sz w:val="22"/>
                <w:u w:val="single"/>
              </w:rPr>
              <w:t> </w:t>
            </w:r>
            <w:r>
              <w:rPr>
                <w:rFonts w:ascii="Cambria Math" w:eastAsia="Cambria Math"/>
                <w:sz w:val="22"/>
              </w:rPr>
              <w:t>𝑣</w:t>
            </w:r>
            <w:r>
              <w:rPr>
                <w:rFonts w:ascii="Cambria Math" w:eastAsia="Cambria Math"/>
                <w:sz w:val="22"/>
                <w:vertAlign w:val="superscript"/>
              </w:rPr>
              <w:t>2</w:t>
            </w:r>
          </w:p>
          <w:p>
            <w:pPr>
              <w:pStyle w:val="TableParagraph"/>
              <w:tabs>
                <w:tab w:pos="1656" w:val="left" w:leader="none"/>
                <w:tab w:pos="2642" w:val="left" w:leader="none"/>
              </w:tabs>
              <w:spacing w:line="189" w:lineRule="exact"/>
              <w:ind w:left="732"/>
              <w:rPr>
                <w:rFonts w:ascii="Cambria Math" w:hAnsi="Cambria Math" w:cs="Cambria Math" w:eastAsia="Cambria Math"/>
                <w:sz w:val="22"/>
                <w:szCs w:val="22"/>
              </w:rPr>
            </w:pPr>
            <w:r>
              <w:rPr>
                <w:rFonts w:ascii="Cambria Math" w:hAnsi="Cambria Math" w:cs="Cambria Math" w:eastAsia="Cambria Math"/>
                <w:sz w:val="22"/>
                <w:szCs w:val="22"/>
              </w:rPr>
              <w:t>𝑇</w:t>
            </w:r>
            <w:r>
              <w:rPr>
                <w:rFonts w:ascii="Cambria Math" w:hAnsi="Cambria Math" w:cs="Cambria Math" w:eastAsia="Cambria Math"/>
                <w:spacing w:val="96"/>
                <w:sz w:val="22"/>
                <w:szCs w:val="22"/>
              </w:rPr>
              <w:t> </w:t>
            </w:r>
            <w:r>
              <w:rPr>
                <w:rFonts w:ascii="Cambria Math" w:hAnsi="Cambria Math" w:cs="Cambria Math" w:eastAsia="Cambria Math"/>
                <w:sz w:val="22"/>
                <w:szCs w:val="22"/>
              </w:rPr>
              <w:t>=</w:t>
            </w:r>
            <w:r>
              <w:rPr>
                <w:rFonts w:ascii="Cambria Math" w:hAnsi="Cambria Math" w:cs="Cambria Math" w:eastAsia="Cambria Math"/>
                <w:spacing w:val="2"/>
                <w:sz w:val="22"/>
                <w:szCs w:val="22"/>
              </w:rPr>
              <w:t> </w:t>
            </w:r>
            <w:r>
              <w:rPr>
                <w:rFonts w:ascii="Cambria Math" w:hAnsi="Cambria Math" w:cs="Cambria Math" w:eastAsia="Cambria Math"/>
                <w:w w:val="70"/>
                <w:sz w:val="22"/>
                <w:szCs w:val="22"/>
              </w:rPr>
              <w:t>�</w:t>
              <w:tab/>
            </w:r>
            <w:r>
              <w:rPr>
                <w:rFonts w:ascii="Cambria Math" w:hAnsi="Cambria Math" w:cs="Cambria Math" w:eastAsia="Cambria Math"/>
                <w:w w:val="85"/>
                <w:sz w:val="22"/>
                <w:szCs w:val="22"/>
              </w:rPr>
              <w:t>ln</w:t>
            </w:r>
            <w:r>
              <w:rPr>
                <w:rFonts w:ascii="Cambria Math" w:hAnsi="Cambria Math" w:cs="Cambria Math" w:eastAsia="Cambria Math"/>
                <w:spacing w:val="-4"/>
                <w:w w:val="85"/>
                <w:sz w:val="22"/>
                <w:szCs w:val="22"/>
              </w:rPr>
              <w:t> </w:t>
            </w:r>
            <w:r>
              <w:rPr>
                <w:rFonts w:ascii="Cambria Math" w:hAnsi="Cambria Math" w:cs="Cambria Math" w:eastAsia="Cambria Math"/>
                <w:w w:val="85"/>
                <w:sz w:val="22"/>
                <w:szCs w:val="22"/>
              </w:rPr>
              <w:t>�1</w:t>
            </w:r>
            <w:r>
              <w:rPr>
                <w:rFonts w:ascii="Cambria Math" w:hAnsi="Cambria Math" w:cs="Cambria Math" w:eastAsia="Cambria Math"/>
                <w:spacing w:val="9"/>
                <w:w w:val="85"/>
                <w:sz w:val="22"/>
                <w:szCs w:val="22"/>
              </w:rPr>
              <w:t> </w:t>
            </w:r>
            <w:r>
              <w:rPr>
                <w:rFonts w:ascii="Cambria Math" w:hAnsi="Cambria Math" w:cs="Cambria Math" w:eastAsia="Cambria Math"/>
                <w:w w:val="85"/>
                <w:sz w:val="22"/>
                <w:szCs w:val="22"/>
              </w:rPr>
              <w:t>+</w:t>
              <w:tab/>
            </w:r>
            <w:r>
              <w:rPr>
                <w:rFonts w:ascii="Cambria Math" w:hAnsi="Cambria Math" w:cs="Cambria Math" w:eastAsia="Cambria Math"/>
                <w:w w:val="60"/>
                <w:position w:val="12"/>
                <w:sz w:val="16"/>
                <w:szCs w:val="16"/>
                <w:u w:val="single"/>
              </w:rPr>
              <w:t>𝑠</w:t>
            </w:r>
            <w:r>
              <w:rPr>
                <w:rFonts w:ascii="Cambria Math" w:hAnsi="Cambria Math" w:cs="Cambria Math" w:eastAsia="Cambria Math"/>
                <w:spacing w:val="20"/>
                <w:w w:val="60"/>
                <w:position w:val="12"/>
                <w:sz w:val="16"/>
                <w:szCs w:val="16"/>
              </w:rPr>
              <w:t> </w:t>
            </w:r>
            <w:r>
              <w:rPr>
                <w:rFonts w:ascii="Cambria Math" w:hAnsi="Cambria Math" w:cs="Cambria Math" w:eastAsia="Cambria Math"/>
                <w:w w:val="60"/>
                <w:sz w:val="22"/>
                <w:szCs w:val="22"/>
              </w:rPr>
              <w:t>��</w:t>
            </w:r>
          </w:p>
          <w:p>
            <w:pPr>
              <w:pStyle w:val="TableParagraph"/>
              <w:tabs>
                <w:tab w:pos="1348" w:val="left" w:leader="none"/>
                <w:tab w:pos="2471" w:val="left" w:leader="none"/>
              </w:tabs>
              <w:spacing w:line="216" w:lineRule="exact"/>
              <w:ind w:left="833"/>
              <w:rPr>
                <w:rFonts w:ascii="Cambria Math" w:eastAsia="Cambria Math"/>
                <w:sz w:val="16"/>
              </w:rPr>
            </w:pPr>
            <w:r>
              <w:rPr>
                <w:rFonts w:ascii="Cambria Math" w:eastAsia="Cambria Math"/>
                <w:w w:val="95"/>
                <w:sz w:val="22"/>
                <w:vertAlign w:val="superscript"/>
              </w:rPr>
              <w:t>𝑤𝑤</w:t>
            </w:r>
            <w:r>
              <w:rPr>
                <w:rFonts w:ascii="Cambria Math" w:eastAsia="Cambria Math"/>
                <w:w w:val="95"/>
                <w:sz w:val="22"/>
                <w:vertAlign w:val="baseline"/>
              </w:rPr>
              <w:tab/>
            </w:r>
            <w:r>
              <w:rPr>
                <w:rFonts w:ascii="Cambria Math" w:eastAsia="Cambria Math"/>
                <w:sz w:val="22"/>
                <w:vertAlign w:val="baseline"/>
              </w:rPr>
              <w:t>2𝐵</w:t>
              <w:tab/>
              <w:t>𝐶</w:t>
            </w:r>
            <w:r>
              <w:rPr>
                <w:rFonts w:ascii="Cambria Math" w:eastAsia="Cambria Math"/>
                <w:position w:val="-4"/>
                <w:sz w:val="16"/>
                <w:vertAlign w:val="baseline"/>
              </w:rPr>
              <w:t>1</w:t>
            </w:r>
          </w:p>
          <w:p>
            <w:pPr>
              <w:pStyle w:val="TableParagraph"/>
              <w:spacing w:line="349" w:lineRule="exact"/>
              <w:ind w:left="1189"/>
              <w:rPr>
                <w:rFonts w:ascii="Cambria Math" w:eastAsia="Cambria Math"/>
                <w:sz w:val="16"/>
              </w:rPr>
            </w:pPr>
            <w:r>
              <w:rPr>
                <w:sz w:val="22"/>
              </w:rPr>
              <w:t>where</w:t>
            </w:r>
            <w:r>
              <w:rPr>
                <w:spacing w:val="-7"/>
                <w:sz w:val="22"/>
              </w:rPr>
              <w:t> </w:t>
            </w:r>
            <w:r>
              <w:rPr>
                <w:rFonts w:ascii="Cambria Math" w:eastAsia="Cambria Math"/>
                <w:sz w:val="22"/>
              </w:rPr>
              <w:t>𝐵</w:t>
            </w:r>
            <w:r>
              <w:rPr>
                <w:rFonts w:ascii="Cambria Math" w:eastAsia="Cambria Math"/>
                <w:spacing w:val="20"/>
                <w:sz w:val="22"/>
              </w:rPr>
              <w:t> </w:t>
            </w:r>
            <w:r>
              <w:rPr>
                <w:rFonts w:ascii="Cambria Math" w:eastAsia="Cambria Math"/>
                <w:sz w:val="22"/>
              </w:rPr>
              <w:t>=</w:t>
            </w:r>
            <w:r>
              <w:rPr>
                <w:rFonts w:ascii="Cambria Math" w:eastAsia="Cambria Math"/>
                <w:spacing w:val="14"/>
                <w:sz w:val="22"/>
              </w:rPr>
              <w:t> </w:t>
            </w:r>
            <w:r>
              <w:rPr>
                <w:rFonts w:ascii="Cambria Math" w:eastAsia="Cambria Math"/>
                <w:spacing w:val="-140"/>
                <w:position w:val="17"/>
                <w:sz w:val="22"/>
              </w:rPr>
              <w:t>𝐴</w:t>
            </w:r>
            <w:r>
              <w:rPr>
                <w:rFonts w:ascii="Cambria Math" w:eastAsia="Cambria Math"/>
                <w:spacing w:val="92"/>
                <w:position w:val="12"/>
                <w:sz w:val="22"/>
                <w:u w:val="single"/>
              </w:rPr>
              <w:t> </w:t>
            </w:r>
            <w:r>
              <w:rPr>
                <w:rFonts w:ascii="Cambria Math" w:eastAsia="Cambria Math"/>
                <w:position w:val="12"/>
                <w:sz w:val="16"/>
                <w:u w:val="single"/>
              </w:rPr>
              <w:t>𝑐𝑠</w:t>
            </w:r>
          </w:p>
          <w:p>
            <w:pPr>
              <w:pStyle w:val="TableParagraph"/>
              <w:spacing w:line="203" w:lineRule="exact"/>
              <w:ind w:right="767"/>
              <w:jc w:val="right"/>
              <w:rPr>
                <w:rFonts w:ascii="Cambria Math" w:eastAsia="Cambria Math"/>
                <w:sz w:val="22"/>
              </w:rPr>
            </w:pPr>
            <w:r>
              <w:rPr>
                <w:rFonts w:ascii="Cambria Math" w:eastAsia="Cambria Math"/>
                <w:sz w:val="22"/>
              </w:rPr>
              <w:t>𝑚</w:t>
            </w:r>
          </w:p>
        </w:tc>
        <w:tc>
          <w:tcPr>
            <w:tcW w:w="1081" w:type="dxa"/>
            <w:tcBorders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711" w:type="dxa"/>
            <w:tcBorders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5"/>
              <w:rPr>
                <w:i/>
                <w:sz w:val="25"/>
              </w:rPr>
            </w:pPr>
          </w:p>
          <w:p>
            <w:pPr>
              <w:pStyle w:val="TableParagraph"/>
              <w:spacing w:line="204" w:lineRule="exact"/>
              <w:ind w:left="113" w:right="101"/>
              <w:jc w:val="center"/>
              <w:rPr>
                <w:sz w:val="20"/>
              </w:rPr>
            </w:pPr>
            <w:r>
              <w:rPr>
                <w:sz w:val="20"/>
              </w:rPr>
              <w:t>Striking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Velocity,</w:t>
            </w:r>
          </w:p>
        </w:tc>
        <w:tc>
          <w:tcPr>
            <w:tcW w:w="721" w:type="dxa"/>
            <w:tcBorders>
              <w:left w:val="single" w:sz="4" w:space="0" w:color="000000"/>
              <w:bottom w:val="nil"/>
            </w:tcBorders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39" w:hRule="atLeast"/>
        </w:trPr>
        <w:tc>
          <w:tcPr>
            <w:tcW w:w="1714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100"/>
              <w:ind w:left="117" w:right="103"/>
              <w:jc w:val="center"/>
              <w:rPr>
                <w:sz w:val="20"/>
              </w:rPr>
            </w:pPr>
            <w:r>
              <w:rPr>
                <w:sz w:val="20"/>
              </w:rPr>
              <w:t>Poncelet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variant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2</w:t>
            </w:r>
          </w:p>
        </w:tc>
        <w:tc>
          <w:tcPr>
            <w:tcW w:w="3237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81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100"/>
              <w:ind w:left="94" w:right="79"/>
              <w:jc w:val="center"/>
              <w:rPr>
                <w:sz w:val="20"/>
              </w:rPr>
            </w:pPr>
            <w:r>
              <w:rPr>
                <w:sz w:val="20"/>
              </w:rPr>
              <w:t>C</w:t>
            </w:r>
            <w:r>
              <w:rPr>
                <w:sz w:val="20"/>
                <w:vertAlign w:val="subscript"/>
              </w:rPr>
              <w:t>1</w:t>
            </w:r>
          </w:p>
        </w:tc>
        <w:tc>
          <w:tcPr>
            <w:tcW w:w="1711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16" w:lineRule="exact"/>
              <w:ind w:left="263"/>
              <w:rPr>
                <w:sz w:val="20"/>
              </w:rPr>
            </w:pPr>
            <w:r>
              <w:rPr>
                <w:sz w:val="20"/>
              </w:rPr>
              <w:t>projectile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area,</w:t>
            </w:r>
          </w:p>
          <w:p>
            <w:pPr>
              <w:pStyle w:val="TableParagraph"/>
              <w:spacing w:line="204" w:lineRule="exact"/>
              <w:ind w:left="157"/>
              <w:rPr>
                <w:sz w:val="20"/>
              </w:rPr>
            </w:pPr>
            <w:r>
              <w:rPr>
                <w:sz w:val="20"/>
              </w:rPr>
              <w:t>projectile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weight,</w:t>
            </w:r>
          </w:p>
        </w:tc>
        <w:tc>
          <w:tcPr>
            <w:tcW w:w="721" w:type="dxa"/>
            <w:tcBorders>
              <w:top w:val="nil"/>
              <w:left w:val="single" w:sz="4" w:space="0" w:color="000000"/>
              <w:bottom w:val="nil"/>
            </w:tcBorders>
          </w:tcPr>
          <w:p>
            <w:pPr>
              <w:pStyle w:val="TableParagraph"/>
              <w:spacing w:before="100"/>
              <w:ind w:left="116" w:right="100"/>
              <w:jc w:val="center"/>
              <w:rPr>
                <w:sz w:val="20"/>
              </w:rPr>
            </w:pPr>
            <w:r>
              <w:rPr>
                <w:sz w:val="20"/>
              </w:rPr>
              <w:t>3.000</w:t>
            </w:r>
          </w:p>
        </w:tc>
      </w:tr>
      <w:tr>
        <w:trPr>
          <w:trHeight w:val="513" w:hRule="atLeast"/>
        </w:trPr>
        <w:tc>
          <w:tcPr>
            <w:tcW w:w="1714" w:type="dxa"/>
            <w:tcBorders>
              <w:top w:val="nil"/>
              <w:right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237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81" w:type="dxa"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711" w:type="dxa"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16" w:lineRule="exact"/>
              <w:ind w:left="114" w:right="99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constant</w:t>
            </w:r>
          </w:p>
        </w:tc>
        <w:tc>
          <w:tcPr>
            <w:tcW w:w="721" w:type="dxa"/>
            <w:tcBorders>
              <w:top w:val="nil"/>
              <w:left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</w:tr>
    </w:tbl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line="480" w:lineRule="auto" w:before="90"/>
        <w:ind w:left="439" w:right="417" w:firstLine="720"/>
        <w:jc w:val="both"/>
      </w:pPr>
      <w:r>
        <w:rPr/>
        <w:pict>
          <v:rect style="position:absolute;margin-left:265.380005pt;margin-top:-72.916878pt;width:13.62pt;height:.72pt;mso-position-horizontal-relative:page;mso-position-vertical-relative:paragraph;z-index:-34899968" filled="true" fillcolor="#000000" stroked="false">
            <v:fill type="solid"/>
            <w10:wrap type="none"/>
          </v:rect>
        </w:pict>
      </w:r>
      <w:hyperlink w:history="true" w:anchor="_bookmark71">
        <w:r>
          <w:rPr>
            <w:spacing w:val="-1"/>
          </w:rPr>
          <w:t>Figure</w:t>
        </w:r>
        <w:r>
          <w:rPr>
            <w:spacing w:val="-13"/>
          </w:rPr>
          <w:t> </w:t>
        </w:r>
        <w:r>
          <w:rPr/>
          <w:t>5-14</w:t>
        </w:r>
        <w:r>
          <w:rPr>
            <w:spacing w:val="-15"/>
          </w:rPr>
          <w:t> </w:t>
        </w:r>
      </w:hyperlink>
      <w:r>
        <w:rPr/>
        <w:t>shows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plotted</w:t>
      </w:r>
      <w:r>
        <w:rPr>
          <w:spacing w:val="-13"/>
        </w:rPr>
        <w:t> </w:t>
      </w:r>
      <w:r>
        <w:rPr/>
        <w:t>equation</w:t>
      </w:r>
      <w:r>
        <w:rPr>
          <w:spacing w:val="-12"/>
        </w:rPr>
        <w:t> </w:t>
      </w:r>
      <w:r>
        <w:rPr/>
        <w:t>of</w:t>
      </w:r>
      <w:r>
        <w:rPr>
          <w:spacing w:val="-14"/>
        </w:rPr>
        <w:t> </w:t>
      </w:r>
      <w:r>
        <w:rPr/>
        <w:t>the</w:t>
      </w:r>
      <w:r>
        <w:rPr>
          <w:spacing w:val="-13"/>
        </w:rPr>
        <w:t> </w:t>
      </w:r>
      <w:r>
        <w:rPr/>
        <w:t>Poncelet</w:t>
      </w:r>
      <w:r>
        <w:rPr>
          <w:spacing w:val="-13"/>
        </w:rPr>
        <w:t> </w:t>
      </w:r>
      <w:r>
        <w:rPr/>
        <w:t>model</w:t>
      </w:r>
      <w:r>
        <w:rPr>
          <w:spacing w:val="-13"/>
        </w:rPr>
        <w:t> </w:t>
      </w:r>
      <w:r>
        <w:rPr/>
        <w:t>with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experimental</w:t>
      </w:r>
      <w:r>
        <w:rPr>
          <w:spacing w:val="-58"/>
        </w:rPr>
        <w:t> </w:t>
      </w:r>
      <w:r>
        <w:rPr/>
        <w:t>data.</w:t>
      </w:r>
      <w:r>
        <w:rPr>
          <w:spacing w:val="1"/>
        </w:rPr>
        <w:t> </w:t>
      </w:r>
      <w:r>
        <w:rPr/>
        <w:t>Since the data that the model was calibrated to include both SPF-S and SYP, the</w:t>
      </w:r>
      <w:r>
        <w:rPr>
          <w:spacing w:val="1"/>
        </w:rPr>
        <w:t> </w:t>
      </w:r>
      <w:r>
        <w:rPr/>
        <w:t>equation</w:t>
      </w:r>
      <w:r>
        <w:rPr>
          <w:spacing w:val="-15"/>
        </w:rPr>
        <w:t> </w:t>
      </w:r>
      <w:r>
        <w:rPr/>
        <w:t>plots</w:t>
      </w:r>
      <w:r>
        <w:rPr>
          <w:spacing w:val="-13"/>
        </w:rPr>
        <w:t> </w:t>
      </w:r>
      <w:r>
        <w:rPr/>
        <w:t>as</w:t>
      </w:r>
      <w:r>
        <w:rPr>
          <w:spacing w:val="-14"/>
        </w:rPr>
        <w:t> </w:t>
      </w:r>
      <w:r>
        <w:rPr/>
        <w:t>a</w:t>
      </w:r>
      <w:r>
        <w:rPr>
          <w:spacing w:val="-14"/>
        </w:rPr>
        <w:t> </w:t>
      </w:r>
      <w:r>
        <w:rPr/>
        <w:t>line</w:t>
      </w:r>
      <w:r>
        <w:rPr>
          <w:spacing w:val="-14"/>
        </w:rPr>
        <w:t> </w:t>
      </w:r>
      <w:r>
        <w:rPr/>
        <w:t>between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two</w:t>
      </w:r>
      <w:r>
        <w:rPr>
          <w:spacing w:val="-13"/>
        </w:rPr>
        <w:t> </w:t>
      </w:r>
      <w:r>
        <w:rPr/>
        <w:t>data</w:t>
      </w:r>
      <w:r>
        <w:rPr>
          <w:spacing w:val="-13"/>
        </w:rPr>
        <w:t> </w:t>
      </w:r>
      <w:r>
        <w:rPr/>
        <w:t>sets.</w:t>
      </w:r>
      <w:r>
        <w:rPr>
          <w:spacing w:val="32"/>
        </w:rPr>
        <w:t> </w:t>
      </w:r>
      <w:r>
        <w:rPr/>
        <w:t>This</w:t>
      </w:r>
      <w:r>
        <w:rPr>
          <w:spacing w:val="-13"/>
        </w:rPr>
        <w:t> </w:t>
      </w:r>
      <w:r>
        <w:rPr/>
        <w:t>model</w:t>
      </w:r>
      <w:r>
        <w:rPr>
          <w:spacing w:val="-14"/>
        </w:rPr>
        <w:t> </w:t>
      </w:r>
      <w:r>
        <w:rPr/>
        <w:t>does</w:t>
      </w:r>
      <w:r>
        <w:rPr>
          <w:spacing w:val="-13"/>
        </w:rPr>
        <w:t> </w:t>
      </w:r>
      <w:r>
        <w:rPr/>
        <w:t>not</w:t>
      </w:r>
      <w:r>
        <w:rPr>
          <w:spacing w:val="-14"/>
        </w:rPr>
        <w:t> </w:t>
      </w:r>
      <w:r>
        <w:rPr/>
        <w:t>include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different</w:t>
      </w:r>
      <w:r>
        <w:rPr>
          <w:spacing w:val="-58"/>
        </w:rPr>
        <w:t> </w:t>
      </w:r>
      <w:r>
        <w:rPr/>
        <w:t>density or hardness values, or any target material factors.</w:t>
      </w:r>
      <w:r>
        <w:rPr>
          <w:spacing w:val="1"/>
        </w:rPr>
        <w:t> </w:t>
      </w:r>
      <w:r>
        <w:rPr/>
        <w:t>Variant 1 and variant 2 include</w:t>
      </w:r>
      <w:r>
        <w:rPr>
          <w:spacing w:val="1"/>
        </w:rPr>
        <w:t> </w:t>
      </w:r>
      <w:r>
        <w:rPr>
          <w:position w:val="1"/>
        </w:rPr>
        <w:t>the</w:t>
      </w:r>
      <w:r>
        <w:rPr>
          <w:spacing w:val="-3"/>
          <w:position w:val="1"/>
        </w:rPr>
        <w:t> </w:t>
      </w:r>
      <w:r>
        <w:rPr>
          <w:position w:val="1"/>
        </w:rPr>
        <w:t>projectile</w:t>
      </w:r>
      <w:r>
        <w:rPr>
          <w:spacing w:val="-2"/>
          <w:position w:val="1"/>
        </w:rPr>
        <w:t> </w:t>
      </w:r>
      <w:r>
        <w:rPr>
          <w:position w:val="1"/>
        </w:rPr>
        <w:t>cross-sectional</w:t>
      </w:r>
      <w:r>
        <w:rPr>
          <w:spacing w:val="-2"/>
          <w:position w:val="1"/>
        </w:rPr>
        <w:t> </w:t>
      </w:r>
      <w:r>
        <w:rPr>
          <w:position w:val="1"/>
        </w:rPr>
        <w:t>striking</w:t>
      </w:r>
      <w:r>
        <w:rPr>
          <w:spacing w:val="-4"/>
          <w:position w:val="1"/>
        </w:rPr>
        <w:t> </w:t>
      </w:r>
      <w:r>
        <w:rPr>
          <w:position w:val="1"/>
        </w:rPr>
        <w:t>area,</w:t>
      </w:r>
      <w:r>
        <w:rPr>
          <w:spacing w:val="-3"/>
          <w:position w:val="1"/>
        </w:rPr>
        <w:t> </w:t>
      </w:r>
      <w:r>
        <w:rPr>
          <w:i/>
          <w:position w:val="1"/>
        </w:rPr>
        <w:t>A</w:t>
      </w:r>
      <w:r>
        <w:rPr>
          <w:i/>
          <w:sz w:val="16"/>
        </w:rPr>
        <w:t>cs</w:t>
      </w:r>
      <w:r>
        <w:rPr>
          <w:position w:val="1"/>
        </w:rPr>
        <w:t>,</w:t>
      </w:r>
      <w:r>
        <w:rPr>
          <w:spacing w:val="-3"/>
          <w:position w:val="1"/>
        </w:rPr>
        <w:t> </w:t>
      </w:r>
      <w:r>
        <w:rPr>
          <w:position w:val="1"/>
        </w:rPr>
        <w:t>and</w:t>
      </w:r>
      <w:r>
        <w:rPr>
          <w:spacing w:val="-4"/>
          <w:position w:val="1"/>
        </w:rPr>
        <w:t> </w:t>
      </w:r>
      <w:r>
        <w:rPr>
          <w:position w:val="1"/>
        </w:rPr>
        <w:t>projectile</w:t>
      </w:r>
      <w:r>
        <w:rPr>
          <w:spacing w:val="-2"/>
          <w:position w:val="1"/>
        </w:rPr>
        <w:t> </w:t>
      </w:r>
      <w:r>
        <w:rPr>
          <w:position w:val="1"/>
        </w:rPr>
        <w:t>mass,</w:t>
      </w:r>
      <w:r>
        <w:rPr>
          <w:spacing w:val="-1"/>
          <w:position w:val="1"/>
        </w:rPr>
        <w:t> </w:t>
      </w:r>
      <w:r>
        <w:rPr>
          <w:i/>
          <w:position w:val="1"/>
        </w:rPr>
        <w:t>m</w:t>
      </w:r>
      <w:r>
        <w:rPr>
          <w:position w:val="1"/>
        </w:rPr>
        <w:t>,</w:t>
      </w:r>
      <w:r>
        <w:rPr>
          <w:spacing w:val="-3"/>
          <w:position w:val="1"/>
        </w:rPr>
        <w:t> </w:t>
      </w:r>
      <w:r>
        <w:rPr>
          <w:position w:val="1"/>
        </w:rPr>
        <w:t>through</w:t>
      </w:r>
      <w:r>
        <w:rPr>
          <w:spacing w:val="-3"/>
          <w:position w:val="1"/>
        </w:rPr>
        <w:t> </w:t>
      </w:r>
      <w:r>
        <w:rPr>
          <w:position w:val="1"/>
        </w:rPr>
        <w:t>the</w:t>
      </w:r>
      <w:r>
        <w:rPr>
          <w:spacing w:val="-2"/>
          <w:position w:val="1"/>
        </w:rPr>
        <w:t> </w:t>
      </w:r>
      <w:r>
        <w:rPr>
          <w:position w:val="1"/>
        </w:rPr>
        <w:t>term</w:t>
      </w:r>
      <w:r>
        <w:rPr>
          <w:spacing w:val="-4"/>
          <w:position w:val="1"/>
        </w:rPr>
        <w:t> </w:t>
      </w:r>
      <w:r>
        <w:rPr>
          <w:i/>
          <w:position w:val="1"/>
        </w:rPr>
        <w:t>B.</w:t>
      </w:r>
      <w:r>
        <w:rPr>
          <w:i/>
          <w:spacing w:val="-57"/>
          <w:position w:val="1"/>
        </w:rPr>
        <w:t> </w:t>
      </w:r>
      <w:hyperlink w:history="true" w:anchor="_bookmark72">
        <w:r>
          <w:rPr/>
          <w:t>Figure 5-15 </w:t>
        </w:r>
      </w:hyperlink>
      <w:r>
        <w:rPr/>
        <w:t>and </w:t>
      </w:r>
      <w:hyperlink w:history="true" w:anchor="_bookmark73">
        <w:r>
          <w:rPr/>
          <w:t>Figure 5-16 </w:t>
        </w:r>
      </w:hyperlink>
      <w:r>
        <w:rPr/>
        <w:t>show the two variants and </w:t>
      </w:r>
      <w:hyperlink w:history="true" w:anchor="_bookmark74">
        <w:r>
          <w:rPr/>
          <w:t>Figure 5-17 </w:t>
        </w:r>
      </w:hyperlink>
      <w:r>
        <w:rPr/>
        <w:t>shows a graphical</w:t>
      </w:r>
      <w:r>
        <w:rPr>
          <w:spacing w:val="1"/>
        </w:rPr>
        <w:t> </w:t>
      </w:r>
      <w:r>
        <w:rPr/>
        <w:t>comparison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all three versions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 Poncelet equation</w:t>
      </w:r>
      <w:r>
        <w:rPr>
          <w:spacing w:val="-1"/>
        </w:rPr>
        <w:t> </w:t>
      </w:r>
      <w:r>
        <w:rPr/>
        <w:t>model.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spacing w:before="75"/>
        <w:ind w:left="3678" w:right="0" w:firstLine="0"/>
        <w:jc w:val="left"/>
        <w:rPr>
          <w:sz w:val="22"/>
        </w:rPr>
      </w:pPr>
      <w:r>
        <w:rPr>
          <w:sz w:val="22"/>
        </w:rPr>
        <w:t>Striking</w:t>
      </w:r>
      <w:r>
        <w:rPr>
          <w:spacing w:val="-3"/>
          <w:sz w:val="22"/>
        </w:rPr>
        <w:t> </w:t>
      </w:r>
      <w:r>
        <w:rPr>
          <w:sz w:val="22"/>
        </w:rPr>
        <w:t>Velocity</w:t>
      </w:r>
      <w:r>
        <w:rPr>
          <w:spacing w:val="-2"/>
          <w:sz w:val="22"/>
        </w:rPr>
        <w:t> </w:t>
      </w:r>
      <w:r>
        <w:rPr>
          <w:sz w:val="22"/>
        </w:rPr>
        <w:t>(V</w:t>
      </w:r>
      <w:r>
        <w:rPr>
          <w:position w:val="-4"/>
          <w:sz w:val="22"/>
        </w:rPr>
        <w:t>s</w:t>
      </w:r>
      <w:r>
        <w:rPr>
          <w:sz w:val="22"/>
        </w:rPr>
        <w:t>) (fps)</w:t>
      </w:r>
    </w:p>
    <w:p>
      <w:pPr>
        <w:spacing w:before="58"/>
        <w:ind w:left="1407" w:right="0" w:firstLine="0"/>
        <w:jc w:val="left"/>
        <w:rPr>
          <w:sz w:val="15"/>
        </w:rPr>
      </w:pPr>
      <w:r>
        <w:rPr>
          <w:sz w:val="15"/>
        </w:rPr>
        <w:t>180   </w:t>
      </w:r>
      <w:r>
        <w:rPr>
          <w:spacing w:val="16"/>
          <w:sz w:val="15"/>
        </w:rPr>
        <w:t> </w:t>
      </w:r>
      <w:r>
        <w:rPr>
          <w:sz w:val="15"/>
        </w:rPr>
        <w:t>240   </w:t>
      </w:r>
      <w:r>
        <w:rPr>
          <w:spacing w:val="12"/>
          <w:sz w:val="15"/>
        </w:rPr>
        <w:t> </w:t>
      </w:r>
      <w:r>
        <w:rPr>
          <w:sz w:val="15"/>
        </w:rPr>
        <w:t>300   </w:t>
      </w:r>
      <w:r>
        <w:rPr>
          <w:spacing w:val="15"/>
          <w:sz w:val="15"/>
        </w:rPr>
        <w:t> </w:t>
      </w:r>
      <w:r>
        <w:rPr>
          <w:sz w:val="15"/>
        </w:rPr>
        <w:t>360   </w:t>
      </w:r>
      <w:r>
        <w:rPr>
          <w:spacing w:val="16"/>
          <w:sz w:val="15"/>
        </w:rPr>
        <w:t> </w:t>
      </w:r>
      <w:r>
        <w:rPr>
          <w:sz w:val="15"/>
        </w:rPr>
        <w:t>420   </w:t>
      </w:r>
      <w:r>
        <w:rPr>
          <w:spacing w:val="16"/>
          <w:sz w:val="15"/>
        </w:rPr>
        <w:t> </w:t>
      </w:r>
      <w:r>
        <w:rPr>
          <w:sz w:val="15"/>
        </w:rPr>
        <w:t>480   </w:t>
      </w:r>
      <w:r>
        <w:rPr>
          <w:spacing w:val="17"/>
          <w:sz w:val="15"/>
        </w:rPr>
        <w:t> </w:t>
      </w:r>
      <w:r>
        <w:rPr>
          <w:sz w:val="15"/>
        </w:rPr>
        <w:t>540   </w:t>
      </w:r>
      <w:r>
        <w:rPr>
          <w:spacing w:val="16"/>
          <w:sz w:val="15"/>
        </w:rPr>
        <w:t> </w:t>
      </w:r>
      <w:r>
        <w:rPr>
          <w:sz w:val="15"/>
        </w:rPr>
        <w:t>600   </w:t>
      </w:r>
      <w:r>
        <w:rPr>
          <w:spacing w:val="16"/>
          <w:sz w:val="15"/>
        </w:rPr>
        <w:t> </w:t>
      </w:r>
      <w:r>
        <w:rPr>
          <w:sz w:val="15"/>
        </w:rPr>
        <w:t>660   </w:t>
      </w:r>
      <w:r>
        <w:rPr>
          <w:spacing w:val="16"/>
          <w:sz w:val="15"/>
        </w:rPr>
        <w:t> </w:t>
      </w:r>
      <w:r>
        <w:rPr>
          <w:sz w:val="15"/>
        </w:rPr>
        <w:t>720   </w:t>
      </w:r>
      <w:r>
        <w:rPr>
          <w:spacing w:val="12"/>
          <w:sz w:val="15"/>
        </w:rPr>
        <w:t> </w:t>
      </w:r>
      <w:r>
        <w:rPr>
          <w:sz w:val="15"/>
        </w:rPr>
        <w:t>780   </w:t>
      </w:r>
      <w:r>
        <w:rPr>
          <w:spacing w:val="16"/>
          <w:sz w:val="15"/>
        </w:rPr>
        <w:t> </w:t>
      </w:r>
      <w:r>
        <w:rPr>
          <w:sz w:val="15"/>
        </w:rPr>
        <w:t>840   </w:t>
      </w:r>
      <w:r>
        <w:rPr>
          <w:spacing w:val="16"/>
          <w:sz w:val="15"/>
        </w:rPr>
        <w:t> </w:t>
      </w:r>
      <w:r>
        <w:rPr>
          <w:sz w:val="15"/>
        </w:rPr>
        <w:t>900   </w:t>
      </w:r>
      <w:r>
        <w:rPr>
          <w:spacing w:val="16"/>
          <w:sz w:val="15"/>
        </w:rPr>
        <w:t> </w:t>
      </w:r>
      <w:r>
        <w:rPr>
          <w:sz w:val="15"/>
        </w:rPr>
        <w:t>960</w:t>
      </w:r>
      <w:r>
        <w:rPr>
          <w:spacing w:val="60"/>
          <w:sz w:val="15"/>
        </w:rPr>
        <w:t> </w:t>
      </w:r>
      <w:r>
        <w:rPr>
          <w:sz w:val="15"/>
        </w:rPr>
        <w:t>1020</w:t>
      </w:r>
      <w:r>
        <w:rPr>
          <w:spacing w:val="48"/>
          <w:sz w:val="15"/>
        </w:rPr>
        <w:t> </w:t>
      </w:r>
      <w:r>
        <w:rPr>
          <w:sz w:val="15"/>
        </w:rPr>
        <w:t>1080</w:t>
      </w:r>
      <w:r>
        <w:rPr>
          <w:spacing w:val="45"/>
          <w:sz w:val="15"/>
        </w:rPr>
        <w:t> </w:t>
      </w:r>
      <w:r>
        <w:rPr>
          <w:sz w:val="15"/>
        </w:rPr>
        <w:t>1140</w:t>
      </w:r>
      <w:r>
        <w:rPr>
          <w:spacing w:val="49"/>
          <w:sz w:val="15"/>
        </w:rPr>
        <w:t> </w:t>
      </w:r>
      <w:r>
        <w:rPr>
          <w:sz w:val="15"/>
        </w:rPr>
        <w:t>1200</w:t>
      </w:r>
    </w:p>
    <w:p>
      <w:pPr>
        <w:spacing w:before="47"/>
        <w:ind w:left="899" w:right="0" w:firstLine="0"/>
        <w:jc w:val="left"/>
        <w:rPr>
          <w:sz w:val="15"/>
        </w:rPr>
      </w:pPr>
      <w:r>
        <w:rPr/>
        <w:pict>
          <v:group style="position:absolute;margin-left:143.482544pt;margin-top:5.703927pt;width:357.6pt;height:189.75pt;mso-position-horizontal-relative:page;mso-position-vertical-relative:paragraph;z-index:-34899456" coordorigin="2870,114" coordsize="7152,3795">
            <v:shape style="position:absolute;left:2869;top:114;width:7152;height:3795" type="#_x0000_t75" stroked="false">
              <v:imagedata r:id="rId123" o:title=""/>
            </v:shape>
            <v:shape style="position:absolute;left:2869;top:114;width:7152;height:3795" type="#_x0000_t202" filled="false" stroked="false">
              <v:textbox inset="0,0,0,0">
                <w:txbxContent>
                  <w:p>
                    <w:pPr>
                      <w:spacing w:line="240" w:lineRule="auto" w:before="3"/>
                      <w:rPr>
                        <w:i/>
                        <w:sz w:val="15"/>
                      </w:rPr>
                    </w:pPr>
                  </w:p>
                  <w:p>
                    <w:pPr>
                      <w:spacing w:line="220" w:lineRule="atLeast" w:before="0"/>
                      <w:ind w:left="660" w:right="5736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pacing w:val="-2"/>
                        <w:w w:val="105"/>
                        <w:sz w:val="16"/>
                      </w:rPr>
                      <w:t>SPF-S </w:t>
                    </w:r>
                    <w:r>
                      <w:rPr>
                        <w:spacing w:val="-1"/>
                        <w:w w:val="105"/>
                        <w:sz w:val="16"/>
                      </w:rPr>
                      <w:t>data</w:t>
                    </w:r>
                    <w:r>
                      <w:rPr>
                        <w:spacing w:val="-39"/>
                        <w:w w:val="105"/>
                        <w:sz w:val="16"/>
                      </w:rPr>
                      <w:t> </w:t>
                    </w:r>
                    <w:r>
                      <w:rPr>
                        <w:w w:val="105"/>
                        <w:sz w:val="16"/>
                      </w:rPr>
                      <w:t>SYP</w:t>
                    </w:r>
                    <w:r>
                      <w:rPr>
                        <w:spacing w:val="-2"/>
                        <w:w w:val="105"/>
                        <w:sz w:val="16"/>
                      </w:rPr>
                      <w:t> </w:t>
                    </w:r>
                    <w:r>
                      <w:rPr>
                        <w:w w:val="105"/>
                        <w:sz w:val="16"/>
                      </w:rPr>
                      <w:t>data</w:t>
                    </w:r>
                  </w:p>
                  <w:p>
                    <w:pPr>
                      <w:spacing w:line="240" w:lineRule="auto" w:before="0"/>
                      <w:ind w:left="66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pacing w:val="-1"/>
                        <w:w w:val="105"/>
                        <w:sz w:val="16"/>
                      </w:rPr>
                      <w:t>Poncelet</w:t>
                    </w:r>
                    <w:r>
                      <w:rPr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spacing w:val="-1"/>
                        <w:w w:val="105"/>
                        <w:sz w:val="16"/>
                      </w:rPr>
                      <w:t>(base)</w:t>
                    </w:r>
                    <w:r>
                      <w:rPr>
                        <w:spacing w:val="-8"/>
                        <w:w w:val="105"/>
                        <w:sz w:val="16"/>
                      </w:rPr>
                      <w:t> </w:t>
                    </w:r>
                    <w:r>
                      <w:rPr>
                        <w:spacing w:val="-1"/>
                        <w:w w:val="105"/>
                        <w:sz w:val="16"/>
                      </w:rPr>
                      <w:t>model</w:t>
                    </w:r>
                    <w:r>
                      <w:rPr>
                        <w:spacing w:val="-8"/>
                        <w:w w:val="105"/>
                        <w:sz w:val="16"/>
                      </w:rPr>
                      <w:t> </w:t>
                    </w:r>
                    <w:r>
                      <w:rPr>
                        <w:spacing w:val="-1"/>
                        <w:w w:val="105"/>
                        <w:sz w:val="16"/>
                      </w:rPr>
                      <w:t>(T</w:t>
                    </w:r>
                    <w:r>
                      <w:rPr>
                        <w:spacing w:val="-1"/>
                        <w:w w:val="105"/>
                        <w:position w:val="-3"/>
                        <w:sz w:val="14"/>
                      </w:rPr>
                      <w:t>w</w:t>
                    </w:r>
                    <w:r>
                      <w:rPr>
                        <w:spacing w:val="-4"/>
                        <w:w w:val="105"/>
                        <w:position w:val="-3"/>
                        <w:sz w:val="14"/>
                      </w:rPr>
                      <w:t> </w:t>
                    </w:r>
                    <w:r>
                      <w:rPr>
                        <w:spacing w:val="-1"/>
                        <w:w w:val="105"/>
                        <w:sz w:val="16"/>
                      </w:rPr>
                      <w:t>=1/2B</w:t>
                    </w:r>
                    <w:r>
                      <w:rPr>
                        <w:spacing w:val="-8"/>
                        <w:w w:val="105"/>
                        <w:sz w:val="16"/>
                      </w:rPr>
                      <w:t> </w:t>
                    </w:r>
                    <w:r>
                      <w:rPr>
                        <w:spacing w:val="-1"/>
                        <w:w w:val="105"/>
                        <w:sz w:val="16"/>
                      </w:rPr>
                      <w:t>ln(1+BV</w:t>
                    </w:r>
                    <w:r>
                      <w:rPr>
                        <w:spacing w:val="-1"/>
                        <w:w w:val="105"/>
                        <w:position w:val="-3"/>
                        <w:sz w:val="14"/>
                      </w:rPr>
                      <w:t>s</w:t>
                    </w:r>
                    <w:r>
                      <w:rPr>
                        <w:spacing w:val="-1"/>
                        <w:w w:val="105"/>
                        <w:position w:val="9"/>
                        <w:sz w:val="14"/>
                      </w:rPr>
                      <w:t>2</w:t>
                    </w:r>
                    <w:r>
                      <w:rPr>
                        <w:spacing w:val="-1"/>
                        <w:w w:val="105"/>
                        <w:sz w:val="16"/>
                      </w:rPr>
                      <w:t>/C))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15"/>
        </w:rPr>
        <w:t>14</w:t>
      </w:r>
    </w:p>
    <w:p>
      <w:pPr>
        <w:spacing w:before="99"/>
        <w:ind w:left="899" w:right="0" w:firstLine="0"/>
        <w:jc w:val="left"/>
        <w:rPr>
          <w:sz w:val="15"/>
        </w:rPr>
      </w:pPr>
      <w:r>
        <w:rPr/>
        <w:pict>
          <v:shape style="position:absolute;margin-left:106.129639pt;margin-top:3.926529pt;width:17.3pt;height:159.15pt;mso-position-horizontal-relative:page;mso-position-vertical-relative:paragraph;z-index:15809024" type="#_x0000_t202" filled="false" stroked="false">
            <v:textbox inset="0,0,0,0" style="layout-flow:vertical;mso-layout-flow-alt:bottom-to-top">
              <w:txbxContent>
                <w:p>
                  <w:pPr>
                    <w:spacing w:before="13"/>
                    <w:ind w:left="20" w:right="0" w:firstLine="0"/>
                    <w:jc w:val="left"/>
                    <w:rPr>
                      <w:sz w:val="22"/>
                    </w:rPr>
                  </w:pPr>
                  <w:r>
                    <w:rPr>
                      <w:sz w:val="22"/>
                    </w:rPr>
                    <w:t>Depth</w:t>
                  </w:r>
                  <w:r>
                    <w:rPr>
                      <w:spacing w:val="9"/>
                      <w:sz w:val="22"/>
                    </w:rPr>
                    <w:t> </w:t>
                  </w:r>
                  <w:r>
                    <w:rPr>
                      <w:sz w:val="22"/>
                    </w:rPr>
                    <w:t>of</w:t>
                  </w:r>
                  <w:r>
                    <w:rPr>
                      <w:spacing w:val="8"/>
                      <w:sz w:val="22"/>
                    </w:rPr>
                    <w:t> </w:t>
                  </w:r>
                  <w:r>
                    <w:rPr>
                      <w:sz w:val="22"/>
                    </w:rPr>
                    <w:t>Penetration</w:t>
                  </w:r>
                  <w:r>
                    <w:rPr>
                      <w:spacing w:val="9"/>
                      <w:sz w:val="22"/>
                    </w:rPr>
                    <w:t> </w:t>
                  </w:r>
                  <w:r>
                    <w:rPr>
                      <w:sz w:val="22"/>
                    </w:rPr>
                    <w:t>(T</w:t>
                  </w:r>
                  <w:r>
                    <w:rPr>
                      <w:position w:val="-5"/>
                      <w:sz w:val="22"/>
                    </w:rPr>
                    <w:t>w</w:t>
                  </w:r>
                  <w:r>
                    <w:rPr>
                      <w:sz w:val="22"/>
                    </w:rPr>
                    <w:t>)</w:t>
                  </w:r>
                  <w:r>
                    <w:rPr>
                      <w:spacing w:val="8"/>
                      <w:sz w:val="22"/>
                    </w:rPr>
                    <w:t> </w:t>
                  </w:r>
                  <w:r>
                    <w:rPr>
                      <w:sz w:val="22"/>
                    </w:rPr>
                    <w:t>(inches)</w:t>
                  </w:r>
                </w:p>
              </w:txbxContent>
            </v:textbox>
            <w10:wrap type="none"/>
          </v:shape>
        </w:pict>
      </w:r>
      <w:r>
        <w:rPr>
          <w:sz w:val="15"/>
        </w:rPr>
        <w:t>13</w:t>
      </w:r>
    </w:p>
    <w:p>
      <w:pPr>
        <w:spacing w:before="95"/>
        <w:ind w:left="899" w:right="0" w:firstLine="0"/>
        <w:jc w:val="left"/>
        <w:rPr>
          <w:sz w:val="15"/>
        </w:rPr>
      </w:pPr>
      <w:r>
        <w:rPr>
          <w:sz w:val="15"/>
        </w:rPr>
        <w:t>12</w:t>
      </w:r>
    </w:p>
    <w:p>
      <w:pPr>
        <w:spacing w:before="99"/>
        <w:ind w:left="899" w:right="0" w:firstLine="0"/>
        <w:jc w:val="left"/>
        <w:rPr>
          <w:sz w:val="15"/>
        </w:rPr>
      </w:pPr>
      <w:r>
        <w:rPr>
          <w:sz w:val="15"/>
        </w:rPr>
        <w:t>11</w:t>
      </w:r>
    </w:p>
    <w:p>
      <w:pPr>
        <w:spacing w:before="95"/>
        <w:ind w:left="899" w:right="0" w:firstLine="0"/>
        <w:jc w:val="left"/>
        <w:rPr>
          <w:sz w:val="15"/>
        </w:rPr>
      </w:pPr>
      <w:r>
        <w:rPr>
          <w:sz w:val="15"/>
        </w:rPr>
        <w:t>10</w:t>
      </w:r>
    </w:p>
    <w:p>
      <w:pPr>
        <w:spacing w:before="99"/>
        <w:ind w:left="975" w:right="0" w:firstLine="0"/>
        <w:jc w:val="left"/>
        <w:rPr>
          <w:sz w:val="15"/>
        </w:rPr>
      </w:pPr>
      <w:r>
        <w:rPr>
          <w:w w:val="102"/>
          <w:sz w:val="15"/>
        </w:rPr>
        <w:t>9</w:t>
      </w:r>
    </w:p>
    <w:p>
      <w:pPr>
        <w:spacing w:before="95"/>
        <w:ind w:left="975" w:right="0" w:firstLine="0"/>
        <w:jc w:val="left"/>
        <w:rPr>
          <w:sz w:val="15"/>
        </w:rPr>
      </w:pPr>
      <w:r>
        <w:rPr>
          <w:w w:val="102"/>
          <w:sz w:val="15"/>
        </w:rPr>
        <w:t>8</w:t>
      </w:r>
    </w:p>
    <w:p>
      <w:pPr>
        <w:spacing w:before="99"/>
        <w:ind w:left="975" w:right="0" w:firstLine="0"/>
        <w:jc w:val="left"/>
        <w:rPr>
          <w:sz w:val="15"/>
        </w:rPr>
      </w:pPr>
      <w:r>
        <w:rPr>
          <w:w w:val="102"/>
          <w:sz w:val="15"/>
        </w:rPr>
        <w:t>7</w:t>
      </w:r>
    </w:p>
    <w:p>
      <w:pPr>
        <w:spacing w:before="95"/>
        <w:ind w:left="975" w:right="0" w:firstLine="0"/>
        <w:jc w:val="left"/>
        <w:rPr>
          <w:sz w:val="15"/>
        </w:rPr>
      </w:pPr>
      <w:r>
        <w:rPr>
          <w:w w:val="102"/>
          <w:sz w:val="15"/>
        </w:rPr>
        <w:t>6</w:t>
      </w:r>
    </w:p>
    <w:p>
      <w:pPr>
        <w:spacing w:before="99"/>
        <w:ind w:left="975" w:right="0" w:firstLine="0"/>
        <w:jc w:val="left"/>
        <w:rPr>
          <w:sz w:val="15"/>
        </w:rPr>
      </w:pPr>
      <w:r>
        <w:rPr>
          <w:w w:val="102"/>
          <w:sz w:val="15"/>
        </w:rPr>
        <w:t>5</w:t>
      </w:r>
    </w:p>
    <w:p>
      <w:pPr>
        <w:spacing w:before="96"/>
        <w:ind w:left="975" w:right="0" w:firstLine="0"/>
        <w:jc w:val="left"/>
        <w:rPr>
          <w:sz w:val="15"/>
        </w:rPr>
      </w:pPr>
      <w:r>
        <w:rPr>
          <w:w w:val="102"/>
          <w:sz w:val="15"/>
        </w:rPr>
        <w:t>4</w:t>
      </w:r>
    </w:p>
    <w:p>
      <w:pPr>
        <w:spacing w:before="98"/>
        <w:ind w:left="975" w:right="0" w:firstLine="0"/>
        <w:jc w:val="left"/>
        <w:rPr>
          <w:sz w:val="15"/>
        </w:rPr>
      </w:pPr>
      <w:r>
        <w:rPr>
          <w:w w:val="102"/>
          <w:sz w:val="15"/>
        </w:rPr>
        <w:t>3</w:t>
      </w:r>
    </w:p>
    <w:p>
      <w:pPr>
        <w:spacing w:before="96"/>
        <w:ind w:left="975" w:right="0" w:firstLine="0"/>
        <w:jc w:val="left"/>
        <w:rPr>
          <w:sz w:val="15"/>
        </w:rPr>
      </w:pPr>
      <w:r>
        <w:rPr>
          <w:w w:val="102"/>
          <w:sz w:val="15"/>
        </w:rPr>
        <w:t>2</w:t>
      </w:r>
    </w:p>
    <w:p>
      <w:pPr>
        <w:spacing w:before="99"/>
        <w:ind w:left="975" w:right="0" w:firstLine="0"/>
        <w:jc w:val="left"/>
        <w:rPr>
          <w:sz w:val="15"/>
        </w:rPr>
      </w:pPr>
      <w:r>
        <w:rPr>
          <w:w w:val="102"/>
          <w:sz w:val="15"/>
        </w:rPr>
        <w:t>1</w:t>
      </w:r>
    </w:p>
    <w:p>
      <w:pPr>
        <w:pStyle w:val="BodyText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spacing w:before="135"/>
        <w:ind w:left="33" w:right="0" w:firstLine="0"/>
        <w:jc w:val="left"/>
        <w:rPr>
          <w:sz w:val="15"/>
        </w:rPr>
      </w:pPr>
      <w:r>
        <w:rPr>
          <w:sz w:val="15"/>
        </w:rPr>
        <w:t>35</w:t>
      </w:r>
    </w:p>
    <w:p>
      <w:pPr>
        <w:spacing w:before="95"/>
        <w:ind w:left="33" w:right="0" w:firstLine="0"/>
        <w:jc w:val="left"/>
        <w:rPr>
          <w:sz w:val="15"/>
        </w:rPr>
      </w:pPr>
      <w:r>
        <w:rPr/>
        <w:pict>
          <v:shape style="position:absolute;margin-left:521.946533pt;margin-top:11.073695pt;width:17.3pt;height:143.65pt;mso-position-horizontal-relative:page;mso-position-vertical-relative:paragraph;z-index:15810048" type="#_x0000_t202" filled="false" stroked="false">
            <v:textbox inset="0,0,0,0" style="layout-flow:vertical;mso-layout-flow-alt:bottom-to-top">
              <w:txbxContent>
                <w:p>
                  <w:pPr>
                    <w:spacing w:before="13"/>
                    <w:ind w:left="20" w:right="0" w:firstLine="0"/>
                    <w:jc w:val="left"/>
                    <w:rPr>
                      <w:sz w:val="22"/>
                    </w:rPr>
                  </w:pPr>
                  <w:r>
                    <w:rPr>
                      <w:sz w:val="22"/>
                    </w:rPr>
                    <w:t>Depth</w:t>
                  </w:r>
                  <w:r>
                    <w:rPr>
                      <w:spacing w:val="5"/>
                      <w:sz w:val="22"/>
                    </w:rPr>
                    <w:t> </w:t>
                  </w:r>
                  <w:r>
                    <w:rPr>
                      <w:sz w:val="22"/>
                    </w:rPr>
                    <w:t>of</w:t>
                  </w:r>
                  <w:r>
                    <w:rPr>
                      <w:spacing w:val="4"/>
                      <w:sz w:val="22"/>
                    </w:rPr>
                    <w:t> </w:t>
                  </w:r>
                  <w:r>
                    <w:rPr>
                      <w:sz w:val="22"/>
                    </w:rPr>
                    <w:t>Penetration</w:t>
                  </w:r>
                  <w:r>
                    <w:rPr>
                      <w:spacing w:val="5"/>
                      <w:sz w:val="22"/>
                    </w:rPr>
                    <w:t> </w:t>
                  </w:r>
                  <w:r>
                    <w:rPr>
                      <w:sz w:val="22"/>
                    </w:rPr>
                    <w:t>(T</w:t>
                  </w:r>
                  <w:r>
                    <w:rPr>
                      <w:position w:val="-5"/>
                      <w:sz w:val="22"/>
                    </w:rPr>
                    <w:t>w</w:t>
                  </w:r>
                  <w:r>
                    <w:rPr>
                      <w:sz w:val="22"/>
                    </w:rPr>
                    <w:t>)</w:t>
                  </w:r>
                  <w:r>
                    <w:rPr>
                      <w:spacing w:val="5"/>
                      <w:sz w:val="22"/>
                    </w:rPr>
                    <w:t> </w:t>
                  </w:r>
                  <w:r>
                    <w:rPr>
                      <w:sz w:val="22"/>
                    </w:rPr>
                    <w:t>(cm)</w:t>
                  </w:r>
                </w:p>
              </w:txbxContent>
            </v:textbox>
            <w10:wrap type="none"/>
          </v:shape>
        </w:pict>
      </w:r>
      <w:r>
        <w:rPr>
          <w:sz w:val="15"/>
        </w:rPr>
        <w:t>32.5</w:t>
      </w:r>
    </w:p>
    <w:p>
      <w:pPr>
        <w:spacing w:before="92"/>
        <w:ind w:left="33" w:right="0" w:firstLine="0"/>
        <w:jc w:val="left"/>
        <w:rPr>
          <w:sz w:val="15"/>
        </w:rPr>
      </w:pPr>
      <w:r>
        <w:rPr>
          <w:sz w:val="15"/>
        </w:rPr>
        <w:t>30</w:t>
      </w:r>
    </w:p>
    <w:p>
      <w:pPr>
        <w:spacing w:before="92"/>
        <w:ind w:left="33" w:right="0" w:firstLine="0"/>
        <w:jc w:val="left"/>
        <w:rPr>
          <w:sz w:val="15"/>
        </w:rPr>
      </w:pPr>
      <w:r>
        <w:rPr>
          <w:sz w:val="15"/>
        </w:rPr>
        <w:t>27.5</w:t>
      </w:r>
    </w:p>
    <w:p>
      <w:pPr>
        <w:spacing w:before="95"/>
        <w:ind w:left="33" w:right="0" w:firstLine="0"/>
        <w:jc w:val="left"/>
        <w:rPr>
          <w:sz w:val="15"/>
        </w:rPr>
      </w:pPr>
      <w:r>
        <w:rPr>
          <w:sz w:val="15"/>
        </w:rPr>
        <w:t>25</w:t>
      </w:r>
    </w:p>
    <w:p>
      <w:pPr>
        <w:spacing w:before="92"/>
        <w:ind w:left="33" w:right="0" w:firstLine="0"/>
        <w:jc w:val="left"/>
        <w:rPr>
          <w:sz w:val="15"/>
        </w:rPr>
      </w:pPr>
      <w:r>
        <w:rPr>
          <w:sz w:val="15"/>
        </w:rPr>
        <w:t>22.5</w:t>
      </w:r>
    </w:p>
    <w:p>
      <w:pPr>
        <w:spacing w:before="92"/>
        <w:ind w:left="33" w:right="0" w:firstLine="0"/>
        <w:jc w:val="left"/>
        <w:rPr>
          <w:sz w:val="15"/>
        </w:rPr>
      </w:pPr>
      <w:r>
        <w:rPr>
          <w:sz w:val="15"/>
        </w:rPr>
        <w:t>20</w:t>
      </w:r>
    </w:p>
    <w:p>
      <w:pPr>
        <w:spacing w:before="92"/>
        <w:ind w:left="33" w:right="0" w:firstLine="0"/>
        <w:jc w:val="left"/>
        <w:rPr>
          <w:sz w:val="15"/>
        </w:rPr>
      </w:pPr>
      <w:r>
        <w:rPr>
          <w:sz w:val="15"/>
        </w:rPr>
        <w:t>17.5</w:t>
      </w:r>
    </w:p>
    <w:p>
      <w:pPr>
        <w:spacing w:before="95"/>
        <w:ind w:left="33" w:right="0" w:firstLine="0"/>
        <w:jc w:val="left"/>
        <w:rPr>
          <w:sz w:val="15"/>
        </w:rPr>
      </w:pPr>
      <w:r>
        <w:rPr>
          <w:sz w:val="15"/>
        </w:rPr>
        <w:t>15</w:t>
      </w:r>
    </w:p>
    <w:p>
      <w:pPr>
        <w:spacing w:before="92"/>
        <w:ind w:left="33" w:right="0" w:firstLine="0"/>
        <w:jc w:val="left"/>
        <w:rPr>
          <w:sz w:val="15"/>
        </w:rPr>
      </w:pPr>
      <w:r>
        <w:rPr>
          <w:sz w:val="15"/>
        </w:rPr>
        <w:t>12.5</w:t>
      </w:r>
    </w:p>
    <w:p>
      <w:pPr>
        <w:spacing w:before="92"/>
        <w:ind w:left="33" w:right="0" w:firstLine="0"/>
        <w:jc w:val="left"/>
        <w:rPr>
          <w:sz w:val="15"/>
        </w:rPr>
      </w:pPr>
      <w:r>
        <w:rPr>
          <w:sz w:val="15"/>
        </w:rPr>
        <w:t>10</w:t>
      </w:r>
    </w:p>
    <w:p>
      <w:pPr>
        <w:spacing w:before="92"/>
        <w:ind w:left="33" w:right="0" w:firstLine="0"/>
        <w:jc w:val="left"/>
        <w:rPr>
          <w:sz w:val="15"/>
        </w:rPr>
      </w:pPr>
      <w:r>
        <w:rPr>
          <w:sz w:val="15"/>
        </w:rPr>
        <w:t>7.5</w:t>
      </w:r>
    </w:p>
    <w:p>
      <w:pPr>
        <w:spacing w:before="95"/>
        <w:ind w:left="33" w:right="0" w:firstLine="0"/>
        <w:jc w:val="left"/>
        <w:rPr>
          <w:sz w:val="15"/>
        </w:rPr>
      </w:pPr>
      <w:r>
        <w:rPr>
          <w:w w:val="102"/>
          <w:sz w:val="15"/>
        </w:rPr>
        <w:t>5</w:t>
      </w:r>
    </w:p>
    <w:p>
      <w:pPr>
        <w:spacing w:before="92"/>
        <w:ind w:left="33" w:right="0" w:firstLine="0"/>
        <w:jc w:val="left"/>
        <w:rPr>
          <w:sz w:val="15"/>
        </w:rPr>
      </w:pPr>
      <w:r>
        <w:rPr>
          <w:sz w:val="15"/>
        </w:rPr>
        <w:t>2.5</w:t>
      </w:r>
    </w:p>
    <w:p>
      <w:pPr>
        <w:spacing w:after="0"/>
        <w:jc w:val="left"/>
        <w:rPr>
          <w:sz w:val="15"/>
        </w:rPr>
        <w:sectPr>
          <w:pgSz w:w="12240" w:h="15840"/>
          <w:pgMar w:header="0" w:footer="1064" w:top="1340" w:bottom="1260" w:left="1720" w:right="1020"/>
          <w:cols w:num="2" w:equalWidth="0">
            <w:col w:w="8281" w:space="40"/>
            <w:col w:w="1179"/>
          </w:cols>
        </w:sectPr>
      </w:pPr>
    </w:p>
    <w:tbl>
      <w:tblPr>
        <w:tblW w:w="0" w:type="auto"/>
        <w:jc w:val="left"/>
        <w:tblInd w:w="93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23"/>
        <w:gridCol w:w="781"/>
        <w:gridCol w:w="787"/>
        <w:gridCol w:w="785"/>
        <w:gridCol w:w="796"/>
        <w:gridCol w:w="788"/>
        <w:gridCol w:w="818"/>
        <w:gridCol w:w="788"/>
        <w:gridCol w:w="791"/>
        <w:gridCol w:w="601"/>
      </w:tblGrid>
      <w:tr>
        <w:trPr>
          <w:trHeight w:val="249" w:hRule="atLeast"/>
        </w:trPr>
        <w:tc>
          <w:tcPr>
            <w:tcW w:w="623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155" w:lineRule="exact" w:before="74"/>
              <w:ind w:left="50"/>
              <w:rPr>
                <w:sz w:val="15"/>
              </w:rPr>
            </w:pPr>
            <w:r>
              <w:rPr>
                <w:w w:val="102"/>
                <w:sz w:val="15"/>
              </w:rPr>
              <w:t>0</w:t>
            </w:r>
          </w:p>
        </w:tc>
        <w:tc>
          <w:tcPr>
            <w:tcW w:w="781" w:type="dxa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787" w:type="dxa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785" w:type="dxa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796" w:type="dxa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788" w:type="dxa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818" w:type="dxa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788" w:type="dxa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791" w:type="dxa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601" w:type="dxa"/>
            <w:tcBorders>
              <w:left w:val="single" w:sz="8" w:space="0" w:color="000000"/>
            </w:tcBorders>
          </w:tcPr>
          <w:p>
            <w:pPr>
              <w:pStyle w:val="TableParagraph"/>
              <w:spacing w:before="46"/>
              <w:ind w:right="52"/>
              <w:jc w:val="right"/>
              <w:rPr>
                <w:sz w:val="15"/>
              </w:rPr>
            </w:pPr>
            <w:r>
              <w:rPr>
                <w:w w:val="102"/>
                <w:sz w:val="15"/>
              </w:rPr>
              <w:t>0</w:t>
            </w:r>
          </w:p>
        </w:tc>
      </w:tr>
      <w:tr>
        <w:trPr>
          <w:trHeight w:val="221" w:hRule="atLeast"/>
        </w:trPr>
        <w:tc>
          <w:tcPr>
            <w:tcW w:w="623" w:type="dxa"/>
          </w:tcPr>
          <w:p>
            <w:pPr>
              <w:pStyle w:val="TableParagraph"/>
              <w:spacing w:line="171" w:lineRule="exact"/>
              <w:ind w:left="147"/>
              <w:rPr>
                <w:sz w:val="15"/>
              </w:rPr>
            </w:pPr>
            <w:r>
              <w:rPr>
                <w:sz w:val="15"/>
              </w:rPr>
              <w:t>400</w:t>
            </w:r>
          </w:p>
        </w:tc>
        <w:tc>
          <w:tcPr>
            <w:tcW w:w="781" w:type="dxa"/>
          </w:tcPr>
          <w:p>
            <w:pPr>
              <w:pStyle w:val="TableParagraph"/>
              <w:spacing w:line="171" w:lineRule="exact"/>
              <w:ind w:left="317"/>
              <w:rPr>
                <w:sz w:val="15"/>
              </w:rPr>
            </w:pPr>
            <w:r>
              <w:rPr>
                <w:sz w:val="15"/>
              </w:rPr>
              <w:t>800</w:t>
            </w:r>
          </w:p>
        </w:tc>
        <w:tc>
          <w:tcPr>
            <w:tcW w:w="787" w:type="dxa"/>
          </w:tcPr>
          <w:p>
            <w:pPr>
              <w:pStyle w:val="TableParagraph"/>
              <w:spacing w:line="171" w:lineRule="exact"/>
              <w:ind w:left="263"/>
              <w:rPr>
                <w:sz w:val="15"/>
              </w:rPr>
            </w:pPr>
            <w:r>
              <w:rPr>
                <w:sz w:val="15"/>
              </w:rPr>
              <w:t>1200</w:t>
            </w:r>
          </w:p>
        </w:tc>
        <w:tc>
          <w:tcPr>
            <w:tcW w:w="785" w:type="dxa"/>
          </w:tcPr>
          <w:p>
            <w:pPr>
              <w:pStyle w:val="TableParagraph"/>
              <w:spacing w:line="171" w:lineRule="exact"/>
              <w:ind w:left="269"/>
              <w:rPr>
                <w:sz w:val="15"/>
              </w:rPr>
            </w:pPr>
            <w:r>
              <w:rPr>
                <w:sz w:val="15"/>
              </w:rPr>
              <w:t>1600</w:t>
            </w:r>
          </w:p>
        </w:tc>
        <w:tc>
          <w:tcPr>
            <w:tcW w:w="796" w:type="dxa"/>
          </w:tcPr>
          <w:p>
            <w:pPr>
              <w:pStyle w:val="TableParagraph"/>
              <w:spacing w:line="171" w:lineRule="exact"/>
              <w:ind w:left="273"/>
              <w:rPr>
                <w:sz w:val="15"/>
              </w:rPr>
            </w:pPr>
            <w:r>
              <w:rPr>
                <w:sz w:val="15"/>
              </w:rPr>
              <w:t>2000</w:t>
            </w:r>
          </w:p>
        </w:tc>
        <w:tc>
          <w:tcPr>
            <w:tcW w:w="788" w:type="dxa"/>
          </w:tcPr>
          <w:p>
            <w:pPr>
              <w:pStyle w:val="TableParagraph"/>
              <w:spacing w:line="171" w:lineRule="exact"/>
              <w:ind w:left="270"/>
              <w:rPr>
                <w:sz w:val="15"/>
              </w:rPr>
            </w:pPr>
            <w:r>
              <w:rPr>
                <w:sz w:val="15"/>
              </w:rPr>
              <w:t>2400</w:t>
            </w:r>
          </w:p>
        </w:tc>
        <w:tc>
          <w:tcPr>
            <w:tcW w:w="818" w:type="dxa"/>
          </w:tcPr>
          <w:p>
            <w:pPr>
              <w:pStyle w:val="TableParagraph"/>
              <w:spacing w:line="171" w:lineRule="exact"/>
              <w:ind w:left="275"/>
              <w:rPr>
                <w:sz w:val="15"/>
              </w:rPr>
            </w:pPr>
            <w:r>
              <w:rPr>
                <w:sz w:val="15"/>
              </w:rPr>
              <w:t>2800</w:t>
            </w:r>
          </w:p>
        </w:tc>
        <w:tc>
          <w:tcPr>
            <w:tcW w:w="788" w:type="dxa"/>
          </w:tcPr>
          <w:p>
            <w:pPr>
              <w:pStyle w:val="TableParagraph"/>
              <w:spacing w:line="171" w:lineRule="exact"/>
              <w:ind w:left="251"/>
              <w:rPr>
                <w:sz w:val="15"/>
              </w:rPr>
            </w:pPr>
            <w:r>
              <w:rPr>
                <w:sz w:val="15"/>
              </w:rPr>
              <w:t>3200</w:t>
            </w:r>
          </w:p>
        </w:tc>
        <w:tc>
          <w:tcPr>
            <w:tcW w:w="791" w:type="dxa"/>
          </w:tcPr>
          <w:p>
            <w:pPr>
              <w:pStyle w:val="TableParagraph"/>
              <w:spacing w:line="171" w:lineRule="exact"/>
              <w:ind w:left="256"/>
              <w:rPr>
                <w:sz w:val="15"/>
              </w:rPr>
            </w:pPr>
            <w:r>
              <w:rPr>
                <w:sz w:val="15"/>
              </w:rPr>
              <w:t>3600</w:t>
            </w:r>
          </w:p>
        </w:tc>
        <w:tc>
          <w:tcPr>
            <w:tcW w:w="601" w:type="dxa"/>
          </w:tcPr>
          <w:p>
            <w:pPr>
              <w:pStyle w:val="TableParagraph"/>
              <w:spacing w:line="171" w:lineRule="exact"/>
              <w:ind w:right="34"/>
              <w:jc w:val="right"/>
              <w:rPr>
                <w:sz w:val="15"/>
              </w:rPr>
            </w:pPr>
            <w:r>
              <w:rPr>
                <w:sz w:val="15"/>
              </w:rPr>
              <w:t>4000</w:t>
            </w:r>
          </w:p>
        </w:tc>
      </w:tr>
    </w:tbl>
    <w:p>
      <w:pPr>
        <w:spacing w:before="94"/>
        <w:ind w:left="341" w:right="0" w:firstLine="0"/>
        <w:jc w:val="center"/>
        <w:rPr>
          <w:sz w:val="22"/>
        </w:rPr>
      </w:pPr>
      <w:r>
        <w:rPr>
          <w:sz w:val="22"/>
        </w:rPr>
        <w:t>Striking</w:t>
      </w:r>
      <w:r>
        <w:rPr>
          <w:spacing w:val="-2"/>
          <w:sz w:val="22"/>
        </w:rPr>
        <w:t> </w:t>
      </w:r>
      <w:r>
        <w:rPr>
          <w:sz w:val="22"/>
        </w:rPr>
        <w:t>Velocity</w:t>
      </w:r>
      <w:r>
        <w:rPr>
          <w:spacing w:val="-1"/>
          <w:sz w:val="22"/>
        </w:rPr>
        <w:t> </w:t>
      </w:r>
      <w:r>
        <w:rPr>
          <w:sz w:val="22"/>
        </w:rPr>
        <w:t>(V</w:t>
      </w:r>
      <w:r>
        <w:rPr>
          <w:position w:val="-4"/>
          <w:sz w:val="22"/>
        </w:rPr>
        <w:t>s</w:t>
      </w:r>
      <w:r>
        <w:rPr>
          <w:sz w:val="22"/>
        </w:rPr>
        <w:t>)</w:t>
      </w:r>
      <w:r>
        <w:rPr>
          <w:spacing w:val="-2"/>
          <w:sz w:val="22"/>
        </w:rPr>
        <w:t> </w:t>
      </w:r>
      <w:r>
        <w:rPr>
          <w:sz w:val="22"/>
        </w:rPr>
        <w:t>(fps)</w:t>
      </w:r>
    </w:p>
    <w:p>
      <w:pPr>
        <w:spacing w:before="212"/>
        <w:ind w:left="18" w:right="0" w:firstLine="0"/>
        <w:jc w:val="center"/>
        <w:rPr>
          <w:i/>
          <w:sz w:val="24"/>
        </w:rPr>
      </w:pPr>
      <w:bookmarkStart w:name="_bookmark71" w:id="291"/>
      <w:bookmarkEnd w:id="291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5-14.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Poncelet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equation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calibrated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CLT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data.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3"/>
        <w:rPr>
          <w:i/>
          <w:sz w:val="29"/>
        </w:rPr>
      </w:pPr>
    </w:p>
    <w:p>
      <w:pPr>
        <w:spacing w:after="0"/>
        <w:rPr>
          <w:sz w:val="29"/>
        </w:rPr>
        <w:sectPr>
          <w:type w:val="continuous"/>
          <w:pgSz w:w="12240" w:h="15840"/>
          <w:pgMar w:top="1380" w:bottom="280" w:left="1720" w:right="1020"/>
        </w:sectPr>
      </w:pPr>
    </w:p>
    <w:p>
      <w:pPr>
        <w:pStyle w:val="BodyText"/>
        <w:spacing w:before="89"/>
        <w:ind w:left="3487"/>
      </w:pPr>
      <w:r>
        <w:rPr>
          <w:spacing w:val="-1"/>
        </w:rPr>
        <w:t>Striking</w:t>
      </w:r>
      <w:r>
        <w:rPr>
          <w:spacing w:val="-14"/>
        </w:rPr>
        <w:t> </w:t>
      </w:r>
      <w:r>
        <w:rPr>
          <w:spacing w:val="-1"/>
        </w:rPr>
        <w:t>Velocity</w:t>
      </w:r>
      <w:r>
        <w:rPr>
          <w:spacing w:val="-7"/>
        </w:rPr>
        <w:t> </w:t>
      </w:r>
      <w:r>
        <w:rPr>
          <w:spacing w:val="-1"/>
        </w:rPr>
        <w:t>(V</w:t>
      </w:r>
      <w:r>
        <w:rPr>
          <w:spacing w:val="-1"/>
          <w:position w:val="-5"/>
          <w:sz w:val="17"/>
        </w:rPr>
        <w:t>s</w:t>
      </w:r>
      <w:r>
        <w:rPr>
          <w:spacing w:val="-1"/>
        </w:rPr>
        <w:t>)</w:t>
      </w:r>
      <w:r>
        <w:rPr>
          <w:spacing w:val="-8"/>
        </w:rPr>
        <w:t> </w:t>
      </w:r>
      <w:r>
        <w:rPr/>
        <w:t>(m/s)</w:t>
      </w:r>
    </w:p>
    <w:p>
      <w:pPr>
        <w:spacing w:line="169" w:lineRule="exact" w:before="67"/>
        <w:ind w:left="1462" w:right="0" w:firstLine="0"/>
        <w:jc w:val="left"/>
        <w:rPr>
          <w:sz w:val="16"/>
        </w:rPr>
      </w:pPr>
      <w:r>
        <w:rPr>
          <w:w w:val="105"/>
          <w:sz w:val="16"/>
        </w:rPr>
        <w:t>180  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240  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300  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360  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420  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480  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540  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600  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660  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720  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780  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840  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900  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960</w:t>
      </w:r>
      <w:r>
        <w:rPr>
          <w:spacing w:val="21"/>
          <w:w w:val="105"/>
          <w:sz w:val="16"/>
        </w:rPr>
        <w:t> </w:t>
      </w:r>
      <w:r>
        <w:rPr>
          <w:w w:val="105"/>
          <w:sz w:val="16"/>
        </w:rPr>
        <w:t>1020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1080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1140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1200</w:t>
      </w:r>
    </w:p>
    <w:p>
      <w:pPr>
        <w:spacing w:line="169" w:lineRule="exact" w:before="0"/>
        <w:ind w:left="981" w:right="0" w:firstLine="0"/>
        <w:jc w:val="left"/>
        <w:rPr>
          <w:sz w:val="16"/>
        </w:rPr>
      </w:pPr>
      <w:r>
        <w:rPr/>
        <w:pict>
          <v:group style="position:absolute;margin-left:146.802002pt;margin-top:3.147495pt;width:352.35pt;height:170.35pt;mso-position-horizontal-relative:page;mso-position-vertical-relative:paragraph;z-index:15808000" coordorigin="2936,63" coordsize="7047,3407">
            <v:shape style="position:absolute;left:2936;top:62;width:7047;height:3407" type="#_x0000_t75" stroked="false">
              <v:imagedata r:id="rId124" o:title=""/>
            </v:shape>
            <v:shape style="position:absolute;left:2936;top:62;width:7047;height:3407" type="#_x0000_t202" filled="false" stroked="false">
              <v:textbox inset="0,0,0,0">
                <w:txbxContent>
                  <w:p>
                    <w:pPr>
                      <w:spacing w:line="276" w:lineRule="auto" w:before="160"/>
                      <w:ind w:left="742" w:right="5489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pacing w:val="-1"/>
                        <w:sz w:val="18"/>
                      </w:rPr>
                      <w:t>SPF-S data</w:t>
                    </w:r>
                    <w:r>
                      <w:rPr>
                        <w:spacing w:val="-4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SYP</w:t>
                    </w:r>
                    <w:r>
                      <w:rPr>
                        <w:spacing w:val="-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data</w:t>
                    </w:r>
                  </w:p>
                  <w:p>
                    <w:pPr>
                      <w:spacing w:before="5"/>
                      <w:ind w:left="742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Variant1</w:t>
                    </w:r>
                    <w:r>
                      <w:rPr>
                        <w:spacing w:val="-6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of</w:t>
                    </w:r>
                    <w:r>
                      <w:rPr>
                        <w:spacing w:val="-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Poncelet</w:t>
                    </w:r>
                    <w:r>
                      <w:rPr>
                        <w:spacing w:val="-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model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06.439056pt;margin-top:1.536715pt;width:18.4pt;height:169.95pt;mso-position-horizontal-relative:page;mso-position-vertical-relative:paragraph;z-index:15808512" type="#_x0000_t202" filled="false" stroked="false">
            <v:textbox inset="0,0,0,0" style="layout-flow:vertical;mso-layout-flow-alt:bottom-to-top">
              <w:txbxContent>
                <w:p>
                  <w:pPr>
                    <w:pStyle w:val="BodyText"/>
                    <w:spacing w:before="8"/>
                    <w:ind w:left="20"/>
                  </w:pPr>
                  <w:r>
                    <w:rPr/>
                    <w:t>Depth</w:t>
                  </w:r>
                  <w:r>
                    <w:rPr>
                      <w:spacing w:val="-6"/>
                    </w:rPr>
                    <w:t> </w:t>
                  </w:r>
                  <w:r>
                    <w:rPr/>
                    <w:t>of</w:t>
                  </w:r>
                  <w:r>
                    <w:rPr>
                      <w:spacing w:val="-7"/>
                    </w:rPr>
                    <w:t> </w:t>
                  </w:r>
                  <w:r>
                    <w:rPr/>
                    <w:t>Penetration</w:t>
                  </w:r>
                  <w:r>
                    <w:rPr>
                      <w:spacing w:val="-5"/>
                    </w:rPr>
                    <w:t> </w:t>
                  </w:r>
                  <w:r>
                    <w:rPr/>
                    <w:t>(T</w:t>
                  </w:r>
                  <w:r>
                    <w:rPr>
                      <w:position w:val="-5"/>
                    </w:rPr>
                    <w:t>w</w:t>
                  </w:r>
                  <w:r>
                    <w:rPr/>
                    <w:t>)</w:t>
                  </w:r>
                  <w:r>
                    <w:rPr>
                      <w:spacing w:val="-7"/>
                    </w:rPr>
                    <w:t> </w:t>
                  </w:r>
                  <w:r>
                    <w:rPr/>
                    <w:t>(inches)</w:t>
                  </w:r>
                </w:p>
              </w:txbxContent>
            </v:textbox>
            <w10:wrap type="none"/>
          </v:shape>
        </w:pict>
      </w:r>
      <w:r>
        <w:rPr>
          <w:w w:val="105"/>
          <w:sz w:val="16"/>
        </w:rPr>
        <w:t>14</w:t>
      </w:r>
    </w:p>
    <w:p>
      <w:pPr>
        <w:spacing w:before="59"/>
        <w:ind w:left="981" w:right="0" w:firstLine="0"/>
        <w:jc w:val="left"/>
        <w:rPr>
          <w:sz w:val="16"/>
        </w:rPr>
      </w:pPr>
      <w:r>
        <w:rPr>
          <w:w w:val="105"/>
          <w:sz w:val="16"/>
        </w:rPr>
        <w:t>13</w:t>
      </w:r>
    </w:p>
    <w:p>
      <w:pPr>
        <w:spacing w:before="55"/>
        <w:ind w:left="981" w:right="0" w:firstLine="0"/>
        <w:jc w:val="left"/>
        <w:rPr>
          <w:sz w:val="16"/>
        </w:rPr>
      </w:pPr>
      <w:r>
        <w:rPr>
          <w:w w:val="105"/>
          <w:sz w:val="16"/>
        </w:rPr>
        <w:t>12</w:t>
      </w:r>
    </w:p>
    <w:p>
      <w:pPr>
        <w:spacing w:before="58"/>
        <w:ind w:left="981" w:right="0" w:firstLine="0"/>
        <w:jc w:val="left"/>
        <w:rPr>
          <w:sz w:val="16"/>
        </w:rPr>
      </w:pPr>
      <w:r>
        <w:rPr>
          <w:w w:val="105"/>
          <w:sz w:val="16"/>
        </w:rPr>
        <w:t>11</w:t>
      </w:r>
    </w:p>
    <w:p>
      <w:pPr>
        <w:spacing w:before="59"/>
        <w:ind w:left="981" w:right="0" w:firstLine="0"/>
        <w:jc w:val="left"/>
        <w:rPr>
          <w:sz w:val="16"/>
        </w:rPr>
      </w:pPr>
      <w:r>
        <w:rPr>
          <w:w w:val="105"/>
          <w:sz w:val="16"/>
        </w:rPr>
        <w:t>10</w:t>
      </w:r>
    </w:p>
    <w:p>
      <w:pPr>
        <w:spacing w:before="58"/>
        <w:ind w:left="1018" w:right="0" w:firstLine="0"/>
        <w:jc w:val="left"/>
        <w:rPr>
          <w:sz w:val="16"/>
        </w:rPr>
      </w:pPr>
      <w:r>
        <w:rPr>
          <w:w w:val="102"/>
          <w:sz w:val="16"/>
        </w:rPr>
        <w:t>9</w:t>
      </w:r>
    </w:p>
    <w:p>
      <w:pPr>
        <w:spacing w:before="55"/>
        <w:ind w:left="1018" w:right="0" w:firstLine="0"/>
        <w:jc w:val="left"/>
        <w:rPr>
          <w:sz w:val="16"/>
        </w:rPr>
      </w:pPr>
      <w:r>
        <w:rPr>
          <w:w w:val="102"/>
          <w:sz w:val="16"/>
        </w:rPr>
        <w:t>8</w:t>
      </w:r>
    </w:p>
    <w:p>
      <w:pPr>
        <w:spacing w:before="58"/>
        <w:ind w:left="1018" w:right="0" w:firstLine="0"/>
        <w:jc w:val="left"/>
        <w:rPr>
          <w:sz w:val="16"/>
        </w:rPr>
      </w:pPr>
      <w:r>
        <w:rPr>
          <w:w w:val="102"/>
          <w:sz w:val="16"/>
        </w:rPr>
        <w:t>7</w:t>
      </w:r>
    </w:p>
    <w:p>
      <w:pPr>
        <w:spacing w:before="59"/>
        <w:ind w:left="1018" w:right="0" w:firstLine="0"/>
        <w:jc w:val="left"/>
        <w:rPr>
          <w:sz w:val="16"/>
        </w:rPr>
      </w:pPr>
      <w:r>
        <w:rPr>
          <w:w w:val="102"/>
          <w:sz w:val="16"/>
        </w:rPr>
        <w:t>6</w:t>
      </w:r>
    </w:p>
    <w:p>
      <w:pPr>
        <w:spacing w:before="58"/>
        <w:ind w:left="1018" w:right="0" w:firstLine="0"/>
        <w:jc w:val="left"/>
        <w:rPr>
          <w:sz w:val="16"/>
        </w:rPr>
      </w:pPr>
      <w:r>
        <w:rPr>
          <w:w w:val="102"/>
          <w:sz w:val="16"/>
        </w:rPr>
        <w:t>5</w:t>
      </w:r>
    </w:p>
    <w:p>
      <w:pPr>
        <w:spacing w:before="55"/>
        <w:ind w:left="1018" w:right="0" w:firstLine="0"/>
        <w:jc w:val="left"/>
        <w:rPr>
          <w:sz w:val="16"/>
        </w:rPr>
      </w:pPr>
      <w:r>
        <w:rPr>
          <w:w w:val="102"/>
          <w:sz w:val="16"/>
        </w:rPr>
        <w:t>4</w:t>
      </w:r>
    </w:p>
    <w:p>
      <w:pPr>
        <w:spacing w:before="59"/>
        <w:ind w:left="1018" w:right="0" w:firstLine="0"/>
        <w:jc w:val="left"/>
        <w:rPr>
          <w:sz w:val="16"/>
        </w:rPr>
      </w:pPr>
      <w:r>
        <w:rPr>
          <w:w w:val="102"/>
          <w:sz w:val="16"/>
        </w:rPr>
        <w:t>3</w:t>
      </w:r>
    </w:p>
    <w:p>
      <w:pPr>
        <w:spacing w:before="58"/>
        <w:ind w:left="1018" w:right="0" w:firstLine="0"/>
        <w:jc w:val="left"/>
        <w:rPr>
          <w:sz w:val="16"/>
        </w:rPr>
      </w:pPr>
      <w:r>
        <w:rPr>
          <w:w w:val="102"/>
          <w:sz w:val="16"/>
        </w:rPr>
        <w:t>2</w:t>
      </w:r>
    </w:p>
    <w:p>
      <w:pPr>
        <w:spacing w:before="59"/>
        <w:ind w:left="1018" w:right="0" w:firstLine="0"/>
        <w:jc w:val="left"/>
        <w:rPr>
          <w:sz w:val="16"/>
        </w:rPr>
      </w:pPr>
      <w:r>
        <w:rPr>
          <w:w w:val="102"/>
          <w:sz w:val="16"/>
        </w:rPr>
        <w:t>1</w:t>
      </w:r>
    </w:p>
    <w:p>
      <w:pPr>
        <w:spacing w:line="152" w:lineRule="exact" w:before="55"/>
        <w:ind w:left="1018" w:right="0" w:firstLine="0"/>
        <w:jc w:val="left"/>
        <w:rPr>
          <w:sz w:val="16"/>
        </w:rPr>
      </w:pPr>
      <w:r>
        <w:rPr>
          <w:w w:val="102"/>
          <w:sz w:val="16"/>
        </w:rPr>
        <w:t>0</w:t>
      </w:r>
    </w:p>
    <w:p>
      <w:pPr>
        <w:pStyle w:val="BodyText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rPr>
          <w:sz w:val="18"/>
        </w:rPr>
      </w:pPr>
    </w:p>
    <w:p>
      <w:pPr>
        <w:pStyle w:val="BodyText"/>
        <w:spacing w:before="7"/>
      </w:pPr>
    </w:p>
    <w:p>
      <w:pPr>
        <w:spacing w:before="0"/>
        <w:ind w:left="53" w:right="0" w:firstLine="0"/>
        <w:jc w:val="left"/>
        <w:rPr>
          <w:sz w:val="16"/>
        </w:rPr>
      </w:pPr>
      <w:r>
        <w:rPr>
          <w:w w:val="105"/>
          <w:sz w:val="16"/>
        </w:rPr>
        <w:t>35</w:t>
      </w:r>
    </w:p>
    <w:p>
      <w:pPr>
        <w:spacing w:before="55"/>
        <w:ind w:left="53" w:right="0" w:firstLine="0"/>
        <w:jc w:val="left"/>
        <w:rPr>
          <w:sz w:val="16"/>
        </w:rPr>
      </w:pPr>
      <w:r>
        <w:rPr/>
        <w:pict>
          <v:shape style="position:absolute;margin-left:520.904053pt;margin-top:-2.162784pt;width:18.25pt;height:154.85pt;mso-position-horizontal-relative:page;mso-position-vertical-relative:paragraph;z-index:15809536" type="#_x0000_t202" filled="false" stroked="false">
            <v:textbox inset="0,0,0,0" style="layout-flow:vertical;mso-layout-flow-alt:bottom-to-top">
              <w:txbxContent>
                <w:p>
                  <w:pPr>
                    <w:pStyle w:val="BodyText"/>
                    <w:spacing w:before="8"/>
                    <w:ind w:left="20"/>
                  </w:pPr>
                  <w:r>
                    <w:rPr/>
                    <w:t>Depth</w:t>
                  </w:r>
                  <w:r>
                    <w:rPr>
                      <w:spacing w:val="-2"/>
                    </w:rPr>
                    <w:t> </w:t>
                  </w:r>
                  <w:r>
                    <w:rPr/>
                    <w:t>of</w:t>
                  </w:r>
                  <w:r>
                    <w:rPr>
                      <w:spacing w:val="-2"/>
                    </w:rPr>
                    <w:t> </w:t>
                  </w:r>
                  <w:r>
                    <w:rPr/>
                    <w:t>Penetration</w:t>
                  </w:r>
                  <w:r>
                    <w:rPr>
                      <w:spacing w:val="-2"/>
                    </w:rPr>
                    <w:t> </w:t>
                  </w:r>
                  <w:r>
                    <w:rPr/>
                    <w:t>(T</w:t>
                  </w:r>
                  <w:r>
                    <w:rPr>
                      <w:position w:val="-5"/>
                    </w:rPr>
                    <w:t>w</w:t>
                  </w:r>
                  <w:r>
                    <w:rPr/>
                    <w:t>)</w:t>
                  </w:r>
                  <w:r>
                    <w:rPr>
                      <w:spacing w:val="-2"/>
                    </w:rPr>
                    <w:t> </w:t>
                  </w:r>
                  <w:r>
                    <w:rPr/>
                    <w:t>(cm)</w:t>
                  </w:r>
                </w:p>
              </w:txbxContent>
            </v:textbox>
            <w10:wrap type="none"/>
          </v:shape>
        </w:pict>
      </w:r>
      <w:r>
        <w:rPr>
          <w:w w:val="105"/>
          <w:sz w:val="16"/>
        </w:rPr>
        <w:t>32.5</w:t>
      </w:r>
    </w:p>
    <w:p>
      <w:pPr>
        <w:spacing w:before="55"/>
        <w:ind w:left="53" w:right="0" w:firstLine="0"/>
        <w:jc w:val="left"/>
        <w:rPr>
          <w:sz w:val="16"/>
        </w:rPr>
      </w:pPr>
      <w:r>
        <w:rPr>
          <w:w w:val="105"/>
          <w:sz w:val="16"/>
        </w:rPr>
        <w:t>30</w:t>
      </w:r>
    </w:p>
    <w:p>
      <w:pPr>
        <w:spacing w:before="51"/>
        <w:ind w:left="53" w:right="0" w:firstLine="0"/>
        <w:jc w:val="left"/>
        <w:rPr>
          <w:sz w:val="16"/>
        </w:rPr>
      </w:pPr>
      <w:r>
        <w:rPr>
          <w:w w:val="105"/>
          <w:sz w:val="16"/>
        </w:rPr>
        <w:t>27.5</w:t>
      </w:r>
    </w:p>
    <w:p>
      <w:pPr>
        <w:spacing w:before="55"/>
        <w:ind w:left="53" w:right="0" w:firstLine="0"/>
        <w:jc w:val="left"/>
        <w:rPr>
          <w:sz w:val="16"/>
        </w:rPr>
      </w:pPr>
      <w:r>
        <w:rPr>
          <w:w w:val="105"/>
          <w:sz w:val="16"/>
        </w:rPr>
        <w:t>25</w:t>
      </w:r>
    </w:p>
    <w:p>
      <w:pPr>
        <w:spacing w:before="55"/>
        <w:ind w:left="53" w:right="0" w:firstLine="0"/>
        <w:jc w:val="left"/>
        <w:rPr>
          <w:sz w:val="16"/>
        </w:rPr>
      </w:pPr>
      <w:r>
        <w:rPr>
          <w:w w:val="105"/>
          <w:sz w:val="16"/>
        </w:rPr>
        <w:t>22.5</w:t>
      </w:r>
    </w:p>
    <w:p>
      <w:pPr>
        <w:spacing w:before="51"/>
        <w:ind w:left="53" w:right="0" w:firstLine="0"/>
        <w:jc w:val="left"/>
        <w:rPr>
          <w:sz w:val="16"/>
        </w:rPr>
      </w:pPr>
      <w:r>
        <w:rPr>
          <w:w w:val="105"/>
          <w:sz w:val="16"/>
        </w:rPr>
        <w:t>20</w:t>
      </w:r>
    </w:p>
    <w:p>
      <w:pPr>
        <w:spacing w:before="54"/>
        <w:ind w:left="53" w:right="0" w:firstLine="0"/>
        <w:jc w:val="left"/>
        <w:rPr>
          <w:sz w:val="16"/>
        </w:rPr>
      </w:pPr>
      <w:r>
        <w:rPr>
          <w:w w:val="105"/>
          <w:sz w:val="16"/>
        </w:rPr>
        <w:t>17.5</w:t>
      </w:r>
    </w:p>
    <w:p>
      <w:pPr>
        <w:spacing w:before="55"/>
        <w:ind w:left="53" w:right="0" w:firstLine="0"/>
        <w:jc w:val="left"/>
        <w:rPr>
          <w:sz w:val="16"/>
        </w:rPr>
      </w:pPr>
      <w:r>
        <w:rPr>
          <w:w w:val="105"/>
          <w:sz w:val="16"/>
        </w:rPr>
        <w:t>15</w:t>
      </w:r>
    </w:p>
    <w:p>
      <w:pPr>
        <w:spacing w:before="55"/>
        <w:ind w:left="53" w:right="0" w:firstLine="0"/>
        <w:jc w:val="left"/>
        <w:rPr>
          <w:sz w:val="16"/>
        </w:rPr>
      </w:pPr>
      <w:r>
        <w:rPr>
          <w:w w:val="105"/>
          <w:sz w:val="16"/>
        </w:rPr>
        <w:t>12.5</w:t>
      </w:r>
    </w:p>
    <w:p>
      <w:pPr>
        <w:spacing w:before="51"/>
        <w:ind w:left="53" w:right="0" w:firstLine="0"/>
        <w:jc w:val="left"/>
        <w:rPr>
          <w:sz w:val="16"/>
        </w:rPr>
      </w:pPr>
      <w:r>
        <w:rPr>
          <w:w w:val="105"/>
          <w:sz w:val="16"/>
        </w:rPr>
        <w:t>10</w:t>
      </w:r>
    </w:p>
    <w:p>
      <w:pPr>
        <w:spacing w:before="55"/>
        <w:ind w:left="53" w:right="0" w:firstLine="0"/>
        <w:jc w:val="left"/>
        <w:rPr>
          <w:sz w:val="16"/>
        </w:rPr>
      </w:pPr>
      <w:r>
        <w:rPr>
          <w:w w:val="105"/>
          <w:sz w:val="16"/>
        </w:rPr>
        <w:t>7.5</w:t>
      </w:r>
    </w:p>
    <w:p>
      <w:pPr>
        <w:spacing w:before="55"/>
        <w:ind w:left="53" w:right="0" w:firstLine="0"/>
        <w:jc w:val="left"/>
        <w:rPr>
          <w:sz w:val="16"/>
        </w:rPr>
      </w:pPr>
      <w:r>
        <w:rPr>
          <w:w w:val="102"/>
          <w:sz w:val="16"/>
        </w:rPr>
        <w:t>5</w:t>
      </w:r>
    </w:p>
    <w:p>
      <w:pPr>
        <w:spacing w:before="54"/>
        <w:ind w:left="53" w:right="0" w:firstLine="0"/>
        <w:jc w:val="left"/>
        <w:rPr>
          <w:sz w:val="16"/>
        </w:rPr>
      </w:pPr>
      <w:r>
        <w:rPr>
          <w:w w:val="105"/>
          <w:sz w:val="16"/>
        </w:rPr>
        <w:t>2.5</w:t>
      </w:r>
    </w:p>
    <w:p>
      <w:pPr>
        <w:spacing w:line="167" w:lineRule="exact" w:before="21"/>
        <w:ind w:left="53" w:right="0" w:firstLine="0"/>
        <w:jc w:val="left"/>
        <w:rPr>
          <w:sz w:val="16"/>
        </w:rPr>
      </w:pPr>
      <w:r>
        <w:rPr>
          <w:w w:val="102"/>
          <w:sz w:val="16"/>
        </w:rPr>
        <w:t>0</w:t>
      </w:r>
    </w:p>
    <w:p>
      <w:pPr>
        <w:spacing w:after="0" w:line="167" w:lineRule="exact"/>
        <w:jc w:val="left"/>
        <w:rPr>
          <w:sz w:val="16"/>
        </w:rPr>
        <w:sectPr>
          <w:type w:val="continuous"/>
          <w:pgSz w:w="12240" w:h="15840"/>
          <w:pgMar w:top="1380" w:bottom="280" w:left="1720" w:right="1020"/>
          <w:cols w:num="2" w:equalWidth="0">
            <w:col w:w="8252" w:space="40"/>
            <w:col w:w="1208"/>
          </w:cols>
        </w:sectPr>
      </w:pPr>
    </w:p>
    <w:p>
      <w:pPr>
        <w:tabs>
          <w:tab w:pos="836" w:val="left" w:leader="none"/>
          <w:tab w:pos="1545" w:val="left" w:leader="none"/>
          <w:tab w:pos="2329" w:val="left" w:leader="none"/>
          <w:tab w:pos="3108" w:val="left" w:leader="none"/>
          <w:tab w:pos="3888" w:val="left" w:leader="none"/>
          <w:tab w:pos="4668" w:val="left" w:leader="none"/>
          <w:tab w:pos="5451" w:val="left" w:leader="none"/>
          <w:tab w:pos="6231" w:val="left" w:leader="none"/>
          <w:tab w:pos="7011" w:val="left" w:leader="none"/>
        </w:tabs>
        <w:spacing w:line="181" w:lineRule="exact" w:before="0"/>
        <w:ind w:left="57" w:right="0" w:firstLine="0"/>
        <w:jc w:val="center"/>
        <w:rPr>
          <w:sz w:val="16"/>
        </w:rPr>
      </w:pPr>
      <w:r>
        <w:rPr>
          <w:w w:val="105"/>
          <w:sz w:val="16"/>
        </w:rPr>
        <w:t>400</w:t>
        <w:tab/>
        <w:t>800</w:t>
        <w:tab/>
        <w:t>1200</w:t>
        <w:tab/>
        <w:t>1600</w:t>
        <w:tab/>
        <w:t>2000</w:t>
        <w:tab/>
        <w:t>2400</w:t>
        <w:tab/>
        <w:t>2800</w:t>
        <w:tab/>
        <w:t>3200</w:t>
        <w:tab/>
        <w:t>3600</w:t>
        <w:tab/>
        <w:t>4000</w:t>
      </w:r>
    </w:p>
    <w:p>
      <w:pPr>
        <w:pStyle w:val="BodyText"/>
        <w:spacing w:before="133"/>
        <w:ind w:left="218"/>
        <w:jc w:val="center"/>
      </w:pPr>
      <w:r>
        <w:rPr>
          <w:spacing w:val="-1"/>
        </w:rPr>
        <w:t>Striking</w:t>
      </w:r>
      <w:r>
        <w:rPr>
          <w:spacing w:val="-14"/>
        </w:rPr>
        <w:t> </w:t>
      </w:r>
      <w:r>
        <w:rPr>
          <w:spacing w:val="-1"/>
        </w:rPr>
        <w:t>Velocity</w:t>
      </w:r>
      <w:r>
        <w:rPr>
          <w:spacing w:val="-8"/>
        </w:rPr>
        <w:t> </w:t>
      </w:r>
      <w:r>
        <w:rPr>
          <w:spacing w:val="-1"/>
        </w:rPr>
        <w:t>(V</w:t>
      </w:r>
      <w:r>
        <w:rPr>
          <w:spacing w:val="-1"/>
          <w:position w:val="-5"/>
          <w:sz w:val="17"/>
        </w:rPr>
        <w:t>s</w:t>
      </w:r>
      <w:r>
        <w:rPr>
          <w:spacing w:val="-1"/>
        </w:rPr>
        <w:t>)</w:t>
      </w:r>
      <w:r>
        <w:rPr>
          <w:spacing w:val="-8"/>
        </w:rPr>
        <w:t> </w:t>
      </w:r>
      <w:r>
        <w:rPr/>
        <w:t>(fps)</w:t>
      </w:r>
    </w:p>
    <w:p>
      <w:pPr>
        <w:spacing w:before="251"/>
        <w:ind w:left="19" w:right="0" w:firstLine="0"/>
        <w:jc w:val="center"/>
        <w:rPr>
          <w:i/>
          <w:sz w:val="24"/>
        </w:rPr>
      </w:pPr>
      <w:bookmarkStart w:name="_bookmark72" w:id="292"/>
      <w:bookmarkEnd w:id="292"/>
      <w:r>
        <w:rPr/>
      </w:r>
      <w:r>
        <w:rPr>
          <w:i/>
          <w:sz w:val="24"/>
        </w:rPr>
        <w:t>Figure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5-15.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Variant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1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Poncelet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equation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calibrated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CLT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data.</w:t>
      </w:r>
    </w:p>
    <w:p>
      <w:pPr>
        <w:spacing w:after="0"/>
        <w:jc w:val="center"/>
        <w:rPr>
          <w:sz w:val="24"/>
        </w:rPr>
        <w:sectPr>
          <w:type w:val="continuous"/>
          <w:pgSz w:w="12240" w:h="15840"/>
          <w:pgMar w:top="1380" w:bottom="280" w:left="1720" w:right="1020"/>
        </w:sectPr>
      </w:pPr>
    </w:p>
    <w:p>
      <w:pPr>
        <w:pStyle w:val="BodyText"/>
        <w:spacing w:before="83"/>
        <w:ind w:left="3398"/>
      </w:pPr>
      <w:r>
        <w:rPr/>
        <w:t>Striking</w:t>
      </w:r>
      <w:r>
        <w:rPr>
          <w:spacing w:val="-6"/>
        </w:rPr>
        <w:t> </w:t>
      </w:r>
      <w:r>
        <w:rPr/>
        <w:t>Velocity</w:t>
      </w:r>
      <w:r>
        <w:rPr>
          <w:spacing w:val="4"/>
        </w:rPr>
        <w:t> </w:t>
      </w:r>
      <w:r>
        <w:rPr/>
        <w:t>(V</w:t>
      </w:r>
      <w:r>
        <w:rPr>
          <w:position w:val="-5"/>
          <w:sz w:val="18"/>
        </w:rPr>
        <w:t>s</w:t>
      </w:r>
      <w:r>
        <w:rPr/>
        <w:t>)</w:t>
      </w:r>
      <w:r>
        <w:rPr>
          <w:spacing w:val="1"/>
        </w:rPr>
        <w:t> </w:t>
      </w:r>
      <w:r>
        <w:rPr/>
        <w:t>(m/s)</w:t>
      </w:r>
    </w:p>
    <w:p>
      <w:pPr>
        <w:spacing w:line="186" w:lineRule="exact" w:before="44"/>
        <w:ind w:left="1396" w:right="0" w:firstLine="0"/>
        <w:jc w:val="left"/>
        <w:rPr>
          <w:sz w:val="17"/>
        </w:rPr>
      </w:pPr>
      <w:r>
        <w:rPr>
          <w:sz w:val="17"/>
        </w:rPr>
        <w:t>180  </w:t>
      </w:r>
      <w:r>
        <w:rPr>
          <w:spacing w:val="1"/>
          <w:sz w:val="17"/>
        </w:rPr>
        <w:t> </w:t>
      </w:r>
      <w:r>
        <w:rPr>
          <w:sz w:val="17"/>
        </w:rPr>
        <w:t>240</w:t>
      </w:r>
      <w:r>
        <w:rPr>
          <w:spacing w:val="83"/>
          <w:sz w:val="17"/>
        </w:rPr>
        <w:t> </w:t>
      </w:r>
      <w:r>
        <w:rPr>
          <w:sz w:val="17"/>
        </w:rPr>
        <w:t>300  </w:t>
      </w:r>
      <w:r>
        <w:rPr>
          <w:spacing w:val="2"/>
          <w:sz w:val="17"/>
        </w:rPr>
        <w:t> </w:t>
      </w:r>
      <w:r>
        <w:rPr>
          <w:sz w:val="17"/>
        </w:rPr>
        <w:t>360</w:t>
      </w:r>
      <w:r>
        <w:rPr>
          <w:spacing w:val="83"/>
          <w:sz w:val="17"/>
        </w:rPr>
        <w:t> </w:t>
      </w:r>
      <w:r>
        <w:rPr>
          <w:sz w:val="17"/>
        </w:rPr>
        <w:t>420  </w:t>
      </w:r>
      <w:r>
        <w:rPr>
          <w:spacing w:val="1"/>
          <w:sz w:val="17"/>
        </w:rPr>
        <w:t> </w:t>
      </w:r>
      <w:r>
        <w:rPr>
          <w:sz w:val="17"/>
        </w:rPr>
        <w:t>480</w:t>
      </w:r>
      <w:r>
        <w:rPr>
          <w:spacing w:val="83"/>
          <w:sz w:val="17"/>
        </w:rPr>
        <w:t> </w:t>
      </w:r>
      <w:r>
        <w:rPr>
          <w:sz w:val="17"/>
        </w:rPr>
        <w:t>540  </w:t>
      </w:r>
      <w:r>
        <w:rPr>
          <w:spacing w:val="2"/>
          <w:sz w:val="17"/>
        </w:rPr>
        <w:t> </w:t>
      </w:r>
      <w:r>
        <w:rPr>
          <w:sz w:val="17"/>
        </w:rPr>
        <w:t>600</w:t>
      </w:r>
      <w:r>
        <w:rPr>
          <w:spacing w:val="83"/>
          <w:sz w:val="17"/>
        </w:rPr>
        <w:t> </w:t>
      </w:r>
      <w:r>
        <w:rPr>
          <w:sz w:val="17"/>
        </w:rPr>
        <w:t>660  </w:t>
      </w:r>
      <w:r>
        <w:rPr>
          <w:spacing w:val="1"/>
          <w:sz w:val="17"/>
        </w:rPr>
        <w:t> </w:t>
      </w:r>
      <w:r>
        <w:rPr>
          <w:sz w:val="17"/>
        </w:rPr>
        <w:t>720</w:t>
      </w:r>
      <w:r>
        <w:rPr>
          <w:spacing w:val="83"/>
          <w:sz w:val="17"/>
        </w:rPr>
        <w:t> </w:t>
      </w:r>
      <w:r>
        <w:rPr>
          <w:sz w:val="17"/>
        </w:rPr>
        <w:t>780  </w:t>
      </w:r>
      <w:r>
        <w:rPr>
          <w:spacing w:val="2"/>
          <w:sz w:val="17"/>
        </w:rPr>
        <w:t> </w:t>
      </w:r>
      <w:r>
        <w:rPr>
          <w:sz w:val="17"/>
        </w:rPr>
        <w:t>840</w:t>
      </w:r>
      <w:r>
        <w:rPr>
          <w:spacing w:val="83"/>
          <w:sz w:val="17"/>
        </w:rPr>
        <w:t> </w:t>
      </w:r>
      <w:r>
        <w:rPr>
          <w:sz w:val="17"/>
        </w:rPr>
        <w:t>900</w:t>
      </w:r>
      <w:r>
        <w:rPr>
          <w:spacing w:val="82"/>
          <w:sz w:val="17"/>
        </w:rPr>
        <w:t> </w:t>
      </w:r>
      <w:r>
        <w:rPr>
          <w:sz w:val="17"/>
        </w:rPr>
        <w:t>960</w:t>
      </w:r>
      <w:r>
        <w:rPr>
          <w:spacing w:val="24"/>
          <w:sz w:val="17"/>
        </w:rPr>
        <w:t> </w:t>
      </w:r>
      <w:r>
        <w:rPr>
          <w:sz w:val="17"/>
        </w:rPr>
        <w:t>1020</w:t>
      </w:r>
      <w:r>
        <w:rPr>
          <w:spacing w:val="1"/>
          <w:sz w:val="17"/>
        </w:rPr>
        <w:t> </w:t>
      </w:r>
      <w:r>
        <w:rPr>
          <w:sz w:val="17"/>
        </w:rPr>
        <w:t>1080</w:t>
      </w:r>
      <w:r>
        <w:rPr>
          <w:spacing w:val="6"/>
          <w:sz w:val="17"/>
        </w:rPr>
        <w:t> </w:t>
      </w:r>
      <w:r>
        <w:rPr>
          <w:sz w:val="17"/>
        </w:rPr>
        <w:t>1140</w:t>
      </w:r>
      <w:r>
        <w:rPr>
          <w:spacing w:val="1"/>
          <w:sz w:val="17"/>
        </w:rPr>
        <w:t> </w:t>
      </w:r>
      <w:r>
        <w:rPr>
          <w:sz w:val="17"/>
        </w:rPr>
        <w:t>1200</w:t>
      </w:r>
    </w:p>
    <w:p>
      <w:pPr>
        <w:spacing w:line="186" w:lineRule="exact" w:before="0"/>
        <w:ind w:left="900" w:right="0" w:firstLine="0"/>
        <w:jc w:val="left"/>
        <w:rPr>
          <w:sz w:val="17"/>
        </w:rPr>
      </w:pPr>
      <w:r>
        <w:rPr/>
        <w:pict>
          <v:group style="position:absolute;margin-left:143.429947pt;margin-top:4.384911pt;width:352.4pt;height:191.95pt;mso-position-horizontal-relative:page;mso-position-vertical-relative:paragraph;z-index:15810560" coordorigin="2869,88" coordsize="7048,3839">
            <v:rect style="position:absolute;left:2880;top:99;width:7025;height:3816" filled="false" stroked="true" strokeweight="1.145846pt" strokecolor="#000000">
              <v:stroke dashstyle="solid"/>
            </v:rect>
            <v:line style="position:absolute" from="3270,3915" to="3270,3804" stroked="true" strokeweight=".954892pt" strokecolor="#000000">
              <v:stroke dashstyle="solid"/>
            </v:line>
            <v:line style="position:absolute" from="3659,3915" to="3659,3804" stroked="true" strokeweight=".954892pt" strokecolor="#000000">
              <v:stroke dashstyle="solid"/>
            </v:line>
            <v:line style="position:absolute" from="4049,3915" to="4049,3804" stroked="true" strokeweight=".954892pt" strokecolor="#000000">
              <v:stroke dashstyle="solid"/>
            </v:line>
            <v:line style="position:absolute" from="4438,3915" to="4438,3804" stroked="true" strokeweight=".954892pt" strokecolor="#000000">
              <v:stroke dashstyle="solid"/>
            </v:line>
            <v:line style="position:absolute" from="4828,3915" to="4828,3804" stroked="true" strokeweight=".954892pt" strokecolor="#000000">
              <v:stroke dashstyle="solid"/>
            </v:line>
            <v:line style="position:absolute" from="5221,3915" to="5221,3804" stroked="true" strokeweight=".954892pt" strokecolor="#000000">
              <v:stroke dashstyle="solid"/>
            </v:line>
            <v:line style="position:absolute" from="5611,3915" to="5611,3804" stroked="true" strokeweight=".954892pt" strokecolor="#000000">
              <v:stroke dashstyle="solid"/>
            </v:line>
            <v:line style="position:absolute" from="6001,3915" to="6001,3804" stroked="true" strokeweight=".954892pt" strokecolor="#000000">
              <v:stroke dashstyle="solid"/>
            </v:line>
            <v:line style="position:absolute" from="6390,3915" to="6390,3804" stroked="true" strokeweight=".954892pt" strokecolor="#000000">
              <v:stroke dashstyle="solid"/>
            </v:line>
            <v:line style="position:absolute" from="6780,3915" to="6780,3804" stroked="true" strokeweight=".954892pt" strokecolor="#000000">
              <v:stroke dashstyle="solid"/>
            </v:line>
            <v:line style="position:absolute" from="7169,3915" to="7169,3804" stroked="true" strokeweight=".954892pt" strokecolor="#000000">
              <v:stroke dashstyle="solid"/>
            </v:line>
            <v:line style="position:absolute" from="7563,3915" to="7563,3804" stroked="true" strokeweight=".954892pt" strokecolor="#000000">
              <v:stroke dashstyle="solid"/>
            </v:line>
            <v:line style="position:absolute" from="7952,3915" to="7952,3804" stroked="true" strokeweight=".954892pt" strokecolor="#000000">
              <v:stroke dashstyle="solid"/>
            </v:line>
            <v:line style="position:absolute" from="8342,3915" to="8342,3804" stroked="true" strokeweight=".954892pt" strokecolor="#000000">
              <v:stroke dashstyle="solid"/>
            </v:line>
            <v:line style="position:absolute" from="8732,3915" to="8732,3804" stroked="true" strokeweight=".954892pt" strokecolor="#000000">
              <v:stroke dashstyle="solid"/>
            </v:line>
            <v:line style="position:absolute" from="9121,3915" to="9121,3804" stroked="true" strokeweight=".954892pt" strokecolor="#000000">
              <v:stroke dashstyle="solid"/>
            </v:line>
            <v:line style="position:absolute" from="9511,3915" to="9511,3804" stroked="true" strokeweight=".954892pt" strokecolor="#000000">
              <v:stroke dashstyle="solid"/>
            </v:line>
            <v:line style="position:absolute" from="3251,99" to="3251,210" stroked="true" strokeweight=".954892pt" strokecolor="#000000">
              <v:stroke dashstyle="solid"/>
            </v:line>
            <v:line style="position:absolute" from="3636,99" to="3636,210" stroked="true" strokeweight=".954892pt" strokecolor="#000000">
              <v:stroke dashstyle="solid"/>
            </v:line>
            <v:line style="position:absolute" from="4018,99" to="4018,210" stroked="true" strokeweight=".954892pt" strokecolor="#000000">
              <v:stroke dashstyle="solid"/>
            </v:line>
            <v:line style="position:absolute" from="4404,99" to="4404,210" stroked="true" strokeweight=".954892pt" strokecolor="#000000">
              <v:stroke dashstyle="solid"/>
            </v:line>
            <v:line style="position:absolute" from="4786,99" to="4786,210" stroked="true" strokeweight=".954892pt" strokecolor="#000000">
              <v:stroke dashstyle="solid"/>
            </v:line>
            <v:line style="position:absolute" from="5172,99" to="5172,210" stroked="true" strokeweight=".954892pt" strokecolor="#000000">
              <v:stroke dashstyle="solid"/>
            </v:line>
            <v:line style="position:absolute" from="5554,99" to="5554,210" stroked="true" strokeweight=".954892pt" strokecolor="#000000">
              <v:stroke dashstyle="solid"/>
            </v:line>
            <v:line style="position:absolute" from="5940,99" to="5940,210" stroked="true" strokeweight=".954892pt" strokecolor="#000000">
              <v:stroke dashstyle="solid"/>
            </v:line>
            <v:line style="position:absolute" from="6322,99" to="6322,210" stroked="true" strokeweight=".954892pt" strokecolor="#000000">
              <v:stroke dashstyle="solid"/>
            </v:line>
            <v:line style="position:absolute" from="6707,99" to="6707,210" stroked="true" strokeweight=".954892pt" strokecolor="#000000">
              <v:stroke dashstyle="solid"/>
            </v:line>
            <v:line style="position:absolute" from="7089,99" to="7089,210" stroked="true" strokeweight=".954892pt" strokecolor="#000000">
              <v:stroke dashstyle="solid"/>
            </v:line>
            <v:line style="position:absolute" from="7475,99" to="7475,210" stroked="true" strokeweight=".954892pt" strokecolor="#000000">
              <v:stroke dashstyle="solid"/>
            </v:line>
            <v:line style="position:absolute" from="7861,99" to="7861,210" stroked="true" strokeweight=".954892pt" strokecolor="#000000">
              <v:stroke dashstyle="solid"/>
            </v:line>
            <v:line style="position:absolute" from="8243,99" to="8243,210" stroked="true" strokeweight=".954892pt" strokecolor="#000000">
              <v:stroke dashstyle="solid"/>
            </v:line>
            <v:line style="position:absolute" from="8629,99" to="8629,210" stroked="true" strokeweight=".954892pt" strokecolor="#000000">
              <v:stroke dashstyle="solid"/>
            </v:line>
            <v:line style="position:absolute" from="9010,99" to="9010,210" stroked="true" strokeweight=".954892pt" strokecolor="#000000">
              <v:stroke dashstyle="solid"/>
            </v:line>
            <v:line style="position:absolute" from="9396,99" to="9396,210" stroked="true" strokeweight=".954892pt" strokecolor="#000000">
              <v:stroke dashstyle="solid"/>
            </v:line>
            <v:line style="position:absolute" from="9778,99" to="9778,210" stroked="true" strokeweight=".954892pt" strokecolor="#000000">
              <v:stroke dashstyle="solid"/>
            </v:line>
            <v:line style="position:absolute" from="2880,3644" to="3018,3644" stroked="true" strokeweight=".954866pt" strokecolor="#000000">
              <v:stroke dashstyle="solid"/>
            </v:line>
            <v:line style="position:absolute" from="2880,3369" to="3018,3369" stroked="true" strokeweight=".954866pt" strokecolor="#000000">
              <v:stroke dashstyle="solid"/>
            </v:line>
            <v:line style="position:absolute" from="2880,3097" to="3018,3097" stroked="true" strokeweight=".954866pt" strokecolor="#000000">
              <v:stroke dashstyle="solid"/>
            </v:line>
            <v:line style="position:absolute" from="2880,2826" to="3018,2826" stroked="true" strokeweight=".954866pt" strokecolor="#000000">
              <v:stroke dashstyle="solid"/>
            </v:line>
            <v:line style="position:absolute" from="2880,2551" to="3018,2551" stroked="true" strokeweight=".954866pt" strokecolor="#000000">
              <v:stroke dashstyle="solid"/>
            </v:line>
            <v:line style="position:absolute" from="2880,2280" to="3018,2280" stroked="true" strokeweight=".954866pt" strokecolor="#000000">
              <v:stroke dashstyle="solid"/>
            </v:line>
            <v:line style="position:absolute" from="2880,2009" to="3018,2009" stroked="true" strokeweight=".954866pt" strokecolor="#000000">
              <v:stroke dashstyle="solid"/>
            </v:line>
            <v:line style="position:absolute" from="2880,1734" to="3018,1734" stroked="true" strokeweight=".954866pt" strokecolor="#000000">
              <v:stroke dashstyle="solid"/>
            </v:line>
            <v:line style="position:absolute" from="2880,1463" to="3018,1463" stroked="true" strokeweight=".954866pt" strokecolor="#000000">
              <v:stroke dashstyle="solid"/>
            </v:line>
            <v:line style="position:absolute" from="2880,1188" to="3018,1188" stroked="true" strokeweight=".954866pt" strokecolor="#000000">
              <v:stroke dashstyle="solid"/>
            </v:line>
            <v:line style="position:absolute" from="2880,916" to="3018,916" stroked="true" strokeweight=".954866pt" strokecolor="#000000">
              <v:stroke dashstyle="solid"/>
            </v:line>
            <v:line style="position:absolute" from="2880,645" to="3018,645" stroked="true" strokeweight=".954866pt" strokecolor="#000000">
              <v:stroke dashstyle="solid"/>
            </v:line>
            <v:line style="position:absolute" from="2880,370" to="3018,370" stroked="true" strokeweight=".954866pt" strokecolor="#000000">
              <v:stroke dashstyle="solid"/>
            </v:line>
            <v:line style="position:absolute" from="9904,3915" to="9763,3915" stroked="true" strokeweight=".954866pt" strokecolor="#000000">
              <v:stroke dashstyle="solid"/>
            </v:line>
            <v:line style="position:absolute" from="9904,3647" to="9763,3647" stroked="true" strokeweight=".954866pt" strokecolor="#000000">
              <v:stroke dashstyle="solid"/>
            </v:line>
            <v:line style="position:absolute" from="9904,3380" to="9763,3380" stroked="true" strokeweight=".954866pt" strokecolor="#000000">
              <v:stroke dashstyle="solid"/>
            </v:line>
            <v:line style="position:absolute" from="9904,3109" to="9763,3109" stroked="true" strokeweight=".954866pt" strokecolor="#000000">
              <v:stroke dashstyle="solid"/>
            </v:line>
            <v:line style="position:absolute" from="9904,2841" to="9763,2841" stroked="true" strokeweight=".954866pt" strokecolor="#000000">
              <v:stroke dashstyle="solid"/>
            </v:line>
            <v:line style="position:absolute" from="9904,2574" to="9763,2574" stroked="true" strokeweight=".954866pt" strokecolor="#000000">
              <v:stroke dashstyle="solid"/>
            </v:line>
            <v:line style="position:absolute" from="9904,2307" to="9763,2307" stroked="true" strokeweight=".954866pt" strokecolor="#000000">
              <v:stroke dashstyle="solid"/>
            </v:line>
            <v:line style="position:absolute" from="9904,2036" to="9763,2036" stroked="true" strokeweight=".954866pt" strokecolor="#000000">
              <v:stroke dashstyle="solid"/>
            </v:line>
            <v:line style="position:absolute" from="9904,1768" to="9763,1768" stroked="true" strokeweight=".954866pt" strokecolor="#000000">
              <v:stroke dashstyle="solid"/>
            </v:line>
            <v:line style="position:absolute" from="9904,1501" to="9763,1501" stroked="true" strokeweight=".954866pt" strokecolor="#000000">
              <v:stroke dashstyle="solid"/>
            </v:line>
            <v:line style="position:absolute" from="9904,1233" to="9763,1233" stroked="true" strokeweight=".954866pt" strokecolor="#000000">
              <v:stroke dashstyle="solid"/>
            </v:line>
            <v:line style="position:absolute" from="9904,962" to="9763,962" stroked="true" strokeweight=".954866pt" strokecolor="#000000">
              <v:stroke dashstyle="solid"/>
            </v:line>
            <v:line style="position:absolute" from="9904,695" to="9763,695" stroked="true" strokeweight=".954866pt" strokecolor="#000000">
              <v:stroke dashstyle="solid"/>
            </v:line>
            <v:line style="position:absolute" from="9904,428" to="9763,428" stroked="true" strokeweight=".954866pt" strokecolor="#000000">
              <v:stroke dashstyle="solid"/>
            </v:line>
            <v:line style="position:absolute" from="9904,160" to="9763,160" stroked="true" strokeweight=".954866pt" strokecolor="#000000">
              <v:stroke dashstyle="solid"/>
            </v:line>
            <v:shape style="position:absolute;left:4602;top:2795;width:77;height:62" coordorigin="4603,2796" coordsize="77,62" path="m4641,2857l4603,2826,4641,2796,4679,2826,4641,2857xe" filled="true" fillcolor="#ff0000" stroked="false">
              <v:path arrowok="t"/>
              <v:fill type="solid"/>
            </v:shape>
            <v:shape style="position:absolute;left:4602;top:2795;width:77;height:62" coordorigin="4603,2796" coordsize="77,62" path="m4641,2796l4679,2826,4641,2857,4603,2826,4641,2796xe" filled="false" stroked="true" strokeweight="1.145851pt" strokecolor="#ff0000">
              <v:path arrowok="t"/>
              <v:stroke dashstyle="solid"/>
            </v:shape>
            <v:shape style="position:absolute;left:4766;top:2490;width:77;height:58" coordorigin="4767,2490" coordsize="77,58" path="m4805,2547l4767,2517,4805,2490,4843,2517,4805,2547xe" filled="true" fillcolor="#ff0000" stroked="false">
              <v:path arrowok="t"/>
              <v:fill type="solid"/>
            </v:shape>
            <v:shape style="position:absolute;left:4766;top:2490;width:77;height:58" coordorigin="4767,2490" coordsize="77,58" path="m4805,2490l4843,2517,4805,2547,4767,2517,4805,2490xe" filled="false" stroked="true" strokeweight="1.14585pt" strokecolor="#ff0000">
              <v:path arrowok="t"/>
              <v:stroke dashstyle="solid"/>
            </v:shape>
            <v:shape style="position:absolute;left:4755;top:2555;width:77;height:62" coordorigin="4756,2555" coordsize="77,62" path="m4794,2616l4756,2586,4794,2555,4832,2586,4794,2616xe" filled="true" fillcolor="#ff0000" stroked="false">
              <v:path arrowok="t"/>
              <v:fill type="solid"/>
            </v:shape>
            <v:shape style="position:absolute;left:4755;top:2555;width:77;height:62" coordorigin="4756,2555" coordsize="77,62" path="m4794,2555l4832,2586,4794,2616,4756,2586,4794,2555xe" filled="false" stroked="true" strokeweight="1.145851pt" strokecolor="#ff0000">
              <v:path arrowok="t"/>
              <v:stroke dashstyle="solid"/>
            </v:shape>
            <v:shape style="position:absolute;left:4805;top:2998;width:77;height:62" coordorigin="4805,2998" coordsize="77,62" path="m4843,3059l4805,3029,4843,2998,4882,3029,4843,3059xe" filled="true" fillcolor="#ff0000" stroked="false">
              <v:path arrowok="t"/>
              <v:fill type="solid"/>
            </v:shape>
            <v:shape style="position:absolute;left:4805;top:2998;width:77;height:62" coordorigin="4805,2998" coordsize="77,62" path="m4843,2998l4882,3029,4843,3059,4805,3029,4843,2998xe" filled="false" stroked="true" strokeweight="1.145851pt" strokecolor="#ff0000">
              <v:path arrowok="t"/>
              <v:stroke dashstyle="solid"/>
            </v:shape>
            <v:shape style="position:absolute;left:4610;top:2929;width:77;height:62" coordorigin="4610,2929" coordsize="77,62" path="m4649,2990l4610,2960,4649,2929,4687,2960,4649,2990xe" filled="true" fillcolor="#ff0000" stroked="false">
              <v:path arrowok="t"/>
              <v:fill type="solid"/>
            </v:shape>
            <v:shape style="position:absolute;left:4610;top:2929;width:77;height:62" coordorigin="4610,2929" coordsize="77,62" path="m4649,2929l4687,2960,4649,2990,4610,2960,4649,2929xe" filled="false" stroked="true" strokeweight="1.145851pt" strokecolor="#ff0000">
              <v:path arrowok="t"/>
              <v:stroke dashstyle="solid"/>
            </v:shape>
            <v:shape style="position:absolute;left:4808;top:2555;width:77;height:62" coordorigin="4809,2555" coordsize="77,62" path="m4847,2616l4809,2586,4847,2555,4885,2586,4847,2616xe" filled="true" fillcolor="#ff0000" stroked="false">
              <v:path arrowok="t"/>
              <v:fill type="solid"/>
            </v:shape>
            <v:shape style="position:absolute;left:4809;top:2555;width:77;height:62" coordorigin="4809,2555" coordsize="77,62" path="m4847,2555l4885,2586,4847,2616,4809,2586,4847,2555xe" filled="false" stroked="true" strokeweight="1.145851pt" strokecolor="#ff0000">
              <v:path arrowok="t"/>
              <v:stroke dashstyle="solid"/>
            </v:shape>
            <v:shape style="position:absolute;left:4828;top:2455;width:77;height:58" coordorigin="4828,2456" coordsize="77,58" path="m4866,2513l4828,2486,4866,2456,4904,2486,4866,2513xe" filled="true" fillcolor="#ff0000" stroked="false">
              <v:path arrowok="t"/>
              <v:fill type="solid"/>
            </v:shape>
            <v:shape style="position:absolute;left:4828;top:2455;width:77;height:58" coordorigin="4828,2456" coordsize="77,58" path="m4866,2456l4904,2486,4866,2513,4828,2486,4866,2456xe" filled="false" stroked="true" strokeweight="1.14585pt" strokecolor="#ff0000">
              <v:path arrowok="t"/>
              <v:stroke dashstyle="solid"/>
            </v:shape>
            <v:shape style="position:absolute;left:3983;top:3544;width:77;height:62" coordorigin="3984,3544" coordsize="77,62" path="m4022,3605l3984,3575,4022,3544,4060,3575,4022,3605xe" filled="true" fillcolor="#ff0000" stroked="false">
              <v:path arrowok="t"/>
              <v:fill type="solid"/>
            </v:shape>
            <v:shape style="position:absolute;left:3983;top:3544;width:77;height:62" coordorigin="3984,3544" coordsize="77,62" path="m4022,3544l4060,3575,4022,3605,3984,3575,4022,3544xe" filled="false" stroked="true" strokeweight="1.145851pt" strokecolor="#ff0000">
              <v:path arrowok="t"/>
              <v:stroke dashstyle="solid"/>
            </v:shape>
            <v:shape style="position:absolute;left:4453;top:2898;width:77;height:58" coordorigin="4454,2899" coordsize="77,58" path="m4492,2956l4454,2925,4492,2899,4530,2925,4492,2956xe" filled="true" fillcolor="#ff0000" stroked="false">
              <v:path arrowok="t"/>
              <v:fill type="solid"/>
            </v:shape>
            <v:shape style="position:absolute;left:4453;top:2898;width:77;height:58" coordorigin="4454,2899" coordsize="77,58" path="m4492,2899l4530,2925,4492,2956,4454,2925,4492,2899xe" filled="false" stroked="true" strokeweight="1.14585pt" strokecolor="#ff0000">
              <v:path arrowok="t"/>
              <v:stroke dashstyle="solid"/>
            </v:shape>
            <v:shape style="position:absolute;left:4308;top:3101;width:77;height:62" coordorigin="4309,3101" coordsize="77,62" path="m4347,3162l4309,3132,4347,3101,4385,3132,4347,3162xe" filled="true" fillcolor="#ff0000" stroked="false">
              <v:path arrowok="t"/>
              <v:fill type="solid"/>
            </v:shape>
            <v:shape style="position:absolute;left:4308;top:3101;width:77;height:62" coordorigin="4309,3101" coordsize="77,62" path="m4347,3101l4385,3132,4347,3162,4309,3132,4347,3101xe" filled="false" stroked="true" strokeweight="1.145851pt" strokecolor="#ff0000">
              <v:path arrowok="t"/>
              <v:stroke dashstyle="solid"/>
            </v:shape>
            <v:shape style="position:absolute;left:3983;top:3406;width:77;height:62" coordorigin="3984,3407" coordsize="77,62" path="m4022,3468l3984,3437,4022,3407,4060,3437,4022,3468xe" filled="true" fillcolor="#ff0000" stroked="false">
              <v:path arrowok="t"/>
              <v:fill type="solid"/>
            </v:shape>
            <v:shape style="position:absolute;left:3983;top:3406;width:77;height:62" coordorigin="3984,3407" coordsize="77,62" path="m4022,3407l4060,3437,4022,3468,3984,3437,4022,3407xe" filled="false" stroked="true" strokeweight="1.145851pt" strokecolor="#ff0000">
              <v:path arrowok="t"/>
              <v:stroke dashstyle="solid"/>
            </v:shape>
            <v:shape style="position:absolute;left:3693;top:3475;width:77;height:62" coordorigin="3694,3475" coordsize="77,62" path="m3732,3537l3694,3506,3732,3475,3770,3506,3732,3537xe" filled="true" fillcolor="#ff0000" stroked="false">
              <v:path arrowok="t"/>
              <v:fill type="solid"/>
            </v:shape>
            <v:shape style="position:absolute;left:3693;top:3475;width:77;height:62" coordorigin="3694,3475" coordsize="77,62" path="m3732,3475l3770,3506,3732,3537,3694,3506,3732,3475xe" filled="false" stroked="true" strokeweight="1.145851pt" strokecolor="#ff0000">
              <v:path arrowok="t"/>
              <v:stroke dashstyle="solid"/>
            </v:shape>
            <v:shape style="position:absolute;left:3048;top:3781;width:77;height:62" coordorigin="3048,3781" coordsize="77,62" path="m3086,3842l3048,3812,3086,3781,3125,3812,3086,3842xe" filled="true" fillcolor="#ff0000" stroked="false">
              <v:path arrowok="t"/>
              <v:fill type="solid"/>
            </v:shape>
            <v:shape style="position:absolute;left:3048;top:3781;width:77;height:62" coordorigin="3048,3781" coordsize="77,62" path="m3086,3781l3125,3812,3086,3842,3048,3812,3086,3781xe" filled="false" stroked="true" strokeweight="1.145851pt" strokecolor="#ff0000">
              <v:path arrowok="t"/>
              <v:stroke dashstyle="solid"/>
            </v:shape>
            <v:shape style="position:absolute;left:3277;top:3681;width:77;height:62" coordorigin="3277,3682" coordsize="77,62" path="m3316,3743l3277,3712,3316,3682,3354,3712,3316,3743xe" filled="true" fillcolor="#ff0000" stroked="false">
              <v:path arrowok="t"/>
              <v:fill type="solid"/>
            </v:shape>
            <v:shape style="position:absolute;left:3277;top:3681;width:77;height:62" coordorigin="3277,3682" coordsize="77,62" path="m3316,3682l3354,3712,3316,3743,3277,3712,3316,3682xe" filled="false" stroked="true" strokeweight="1.145851pt" strokecolor="#ff0000">
              <v:path arrowok="t"/>
              <v:stroke dashstyle="solid"/>
            </v:shape>
            <v:shape style="position:absolute;left:3288;top:3781;width:77;height:62" coordorigin="3289,3781" coordsize="77,62" path="m3327,3842l3289,3812,3327,3781,3365,3812,3327,3842xe" filled="true" fillcolor="#ff0000" stroked="false">
              <v:path arrowok="t"/>
              <v:fill type="solid"/>
            </v:shape>
            <v:shape style="position:absolute;left:3288;top:3781;width:77;height:62" coordorigin="3289,3781" coordsize="77,62" path="m3327,3781l3365,3812,3327,3842,3289,3812,3327,3781xe" filled="false" stroked="true" strokeweight="1.145851pt" strokecolor="#ff0000">
              <v:path arrowok="t"/>
              <v:stroke dashstyle="solid"/>
            </v:shape>
            <v:shape style="position:absolute;left:3357;top:3681;width:77;height:62" coordorigin="3358,3682" coordsize="77,62" path="m3396,3743l3358,3712,3396,3682,3434,3712,3396,3743xe" filled="true" fillcolor="#ff0000" stroked="false">
              <v:path arrowok="t"/>
              <v:fill type="solid"/>
            </v:shape>
            <v:shape style="position:absolute;left:3357;top:3681;width:77;height:62" coordorigin="3358,3682" coordsize="77,62" path="m3396,3682l3434,3712,3396,3743,3358,3712,3396,3682xe" filled="false" stroked="true" strokeweight="1.145851pt" strokecolor="#ff0000">
              <v:path arrowok="t"/>
              <v:stroke dashstyle="solid"/>
            </v:shape>
            <v:shape style="position:absolute;left:7467;top:477;width:77;height:62" coordorigin="7467,477" coordsize="77,62" path="m7506,538l7467,508,7506,477,7544,508,7506,538xe" filled="true" fillcolor="#ff0000" stroked="false">
              <v:path arrowok="t"/>
              <v:fill type="solid"/>
            </v:shape>
            <v:shape style="position:absolute;left:7467;top:477;width:77;height:62" coordorigin="7467,477" coordsize="77,62" path="m7506,477l7544,508,7506,538,7467,508,7506,477xe" filled="false" stroked="true" strokeweight="1.145851pt" strokecolor="#ff0000">
              <v:path arrowok="t"/>
              <v:stroke dashstyle="solid"/>
            </v:shape>
            <v:shape style="position:absolute;left:7135;top:885;width:77;height:62" coordorigin="7135,886" coordsize="77,62" path="m7173,947l7135,916,7173,886,7211,916,7173,947xe" filled="true" fillcolor="#ff0000" stroked="false">
              <v:path arrowok="t"/>
              <v:fill type="solid"/>
            </v:shape>
            <v:shape style="position:absolute;left:7135;top:885;width:77;height:62" coordorigin="7135,886" coordsize="77,62" path="m7173,886l7211,916,7173,947,7135,916,7173,886xe" filled="false" stroked="true" strokeweight="1.145851pt" strokecolor="#ff0000">
              <v:path arrowok="t"/>
              <v:stroke dashstyle="solid"/>
            </v:shape>
            <v:shape style="position:absolute;left:6604;top:1363;width:77;height:62" coordorigin="6604,1363" coordsize="77,62" path="m6642,1424l6604,1394,6642,1363,6681,1394,6642,1424xe" filled="true" fillcolor="#ff0000" stroked="false">
              <v:path arrowok="t"/>
              <v:fill type="solid"/>
            </v:shape>
            <v:shape style="position:absolute;left:6604;top:1363;width:77;height:62" coordorigin="6604,1363" coordsize="77,62" path="m6642,1363l6681,1394,6642,1424,6604,1394,6642,1363xe" filled="false" stroked="true" strokeweight="1.145851pt" strokecolor="#ff0000">
              <v:path arrowok="t"/>
              <v:stroke dashstyle="solid"/>
            </v:shape>
            <v:shape style="position:absolute;left:6818;top:1260;width:77;height:62" coordorigin="6818,1260" coordsize="77,62" path="m6856,1321l6818,1291,6856,1260,6894,1291,6856,1321xe" filled="true" fillcolor="#ff0000" stroked="false">
              <v:path arrowok="t"/>
              <v:fill type="solid"/>
            </v:shape>
            <v:shape style="position:absolute;left:6818;top:1260;width:77;height:62" coordorigin="6818,1260" coordsize="77,62" path="m6856,1260l6894,1291,6856,1321,6818,1291,6856,1260xe" filled="false" stroked="true" strokeweight="1.145851pt" strokecolor="#ff0000">
              <v:path arrowok="t"/>
              <v:stroke dashstyle="solid"/>
            </v:shape>
            <v:shape style="position:absolute;left:6497;top:1772;width:77;height:62" coordorigin="6497,1772" coordsize="77,62" path="m6535,1833l6497,1803,6535,1772,6574,1803,6535,1833xe" filled="true" fillcolor="#ff0000" stroked="false">
              <v:path arrowok="t"/>
              <v:fill type="solid"/>
            </v:shape>
            <v:shape style="position:absolute;left:6497;top:1772;width:77;height:62" coordorigin="6497,1772" coordsize="77,62" path="m6535,1772l6574,1803,6535,1833,6497,1803,6535,1772xe" filled="false" stroked="true" strokeweight="1.145851pt" strokecolor="#ff0000">
              <v:path arrowok="t"/>
              <v:stroke dashstyle="solid"/>
            </v:shape>
            <v:shape style="position:absolute;left:7028;top:1057;width:77;height:62" coordorigin="7028,1058" coordsize="77,62" path="m7066,1119l7028,1088,7066,1058,7105,1088,7066,1119xe" filled="true" fillcolor="#ff0000" stroked="false">
              <v:path arrowok="t"/>
              <v:fill type="solid"/>
            </v:shape>
            <v:shape style="position:absolute;left:7028;top:1057;width:77;height:62" coordorigin="7028,1058" coordsize="77,62" path="m7066,1058l7105,1088,7066,1119,7028,1088,7066,1058xe" filled="false" stroked="true" strokeweight="1.145851pt" strokecolor="#ff0000">
              <v:path arrowok="t"/>
              <v:stroke dashstyle="solid"/>
            </v:shape>
            <v:shape style="position:absolute;left:5928;top:1909;width:77;height:62" coordorigin="5928,1910" coordsize="77,62" path="m5966,1971l5928,1940,5966,1910,6005,1940,5966,1971xe" filled="true" fillcolor="#ff0000" stroked="false">
              <v:path arrowok="t"/>
              <v:fill type="solid"/>
            </v:shape>
            <v:shape style="position:absolute;left:5928;top:1909;width:77;height:62" coordorigin="5928,1910" coordsize="77,62" path="m5966,1910l6005,1940,5966,1971,5928,1940,5966,1910xe" filled="false" stroked="true" strokeweight="1.145851pt" strokecolor="#ff0000">
              <v:path arrowok="t"/>
              <v:stroke dashstyle="solid"/>
            </v:shape>
            <v:shape style="position:absolute;left:7138;top:748;width:77;height:62" coordorigin="7139,748" coordsize="77,62" path="m7177,810l7139,779,7177,748,7215,779,7177,810xe" filled="true" fillcolor="#ff0000" stroked="false">
              <v:path arrowok="t"/>
              <v:fill type="solid"/>
            </v:shape>
            <v:shape style="position:absolute;left:7138;top:748;width:77;height:62" coordorigin="7139,748" coordsize="77,62" path="m7177,748l7215,779,7177,810,7139,779,7177,748xe" filled="false" stroked="true" strokeweight="1.145851pt" strokecolor="#ff0000">
              <v:path arrowok="t"/>
              <v:stroke dashstyle="solid"/>
            </v:shape>
            <v:shape style="position:absolute;left:7249;top:885;width:77;height:62" coordorigin="7250,886" coordsize="77,62" path="m7288,947l7250,916,7288,886,7326,916,7288,947xe" filled="true" fillcolor="#ff0000" stroked="false">
              <v:path arrowok="t"/>
              <v:fill type="solid"/>
            </v:shape>
            <v:shape style="position:absolute;left:7249;top:885;width:77;height:62" coordorigin="7250,886" coordsize="77,62" path="m7288,886l7326,916,7288,947,7250,916,7288,886xe" filled="false" stroked="true" strokeweight="1.145851pt" strokecolor="#ff0000">
              <v:path arrowok="t"/>
              <v:stroke dashstyle="solid"/>
            </v:shape>
            <v:shape style="position:absolute;left:6608;top:1806;width:77;height:62" coordorigin="6608,1806" coordsize="77,62" path="m6646,1867l6608,1837,6646,1806,6684,1837,6646,1867xe" filled="true" fillcolor="#ff0000" stroked="false">
              <v:path arrowok="t"/>
              <v:fill type="solid"/>
            </v:shape>
            <v:shape style="position:absolute;left:6608;top:1806;width:77;height:62" coordorigin="6608,1806" coordsize="77,62" path="m6646,1806l6684,1837,6646,1868,6608,1837,6646,1806xe" filled="false" stroked="true" strokeweight="1.145851pt" strokecolor="#ff0000">
              <v:path arrowok="t"/>
              <v:stroke dashstyle="solid"/>
            </v:shape>
            <v:shape style="position:absolute;left:4877;top:2692;width:77;height:62" coordorigin="4878,2693" coordsize="77,62" path="m4916,2754l4878,2723,4916,2693,4954,2723,4916,2754xe" filled="true" fillcolor="#ff0000" stroked="false">
              <v:path arrowok="t"/>
              <v:fill type="solid"/>
            </v:shape>
            <v:shape style="position:absolute;left:4877;top:2692;width:77;height:62" coordorigin="4878,2693" coordsize="77,62" path="m4916,2693l4954,2723,4916,2754,4878,2723,4916,2693xe" filled="false" stroked="true" strokeweight="1.145851pt" strokecolor="#ff0000">
              <v:path arrowok="t"/>
              <v:stroke dashstyle="solid"/>
            </v:shape>
            <v:shape style="position:absolute;left:4946;top:2658;width:77;height:62" coordorigin="4946,2658" coordsize="77,62" path="m4985,2719l4946,2689,4985,2658,5023,2689,4985,2719xe" filled="true" fillcolor="#ff0000" stroked="false">
              <v:path arrowok="t"/>
              <v:fill type="solid"/>
            </v:shape>
            <v:shape style="position:absolute;left:4946;top:2658;width:77;height:62" coordorigin="4946,2658" coordsize="77,62" path="m4985,2658l5023,2689,4985,2719,4946,2689,4985,2658xe" filled="false" stroked="true" strokeweight="1.145851pt" strokecolor="#ff0000">
              <v:path arrowok="t"/>
              <v:stroke dashstyle="solid"/>
            </v:shape>
            <v:shape style="position:absolute;left:5492;top:2035;width:211;height:149" type="#_x0000_t75" stroked="false">
              <v:imagedata r:id="rId125" o:title=""/>
            </v:shape>
            <v:shape style="position:absolute;left:6329;top:1535;width:77;height:58" coordorigin="6329,1535" coordsize="77,58" path="m6367,1592l6329,1566,6367,1535,6406,1566,6367,1592xe" filled="true" fillcolor="#ff0000" stroked="false">
              <v:path arrowok="t"/>
              <v:fill type="solid"/>
            </v:shape>
            <v:shape style="position:absolute;left:6329;top:1535;width:77;height:58" coordorigin="6329,1535" coordsize="77,58" path="m6367,1535l6406,1566,6367,1592,6329,1566,6367,1535xe" filled="false" stroked="true" strokeweight="1.14585pt" strokecolor="#ff0000">
              <v:path arrowok="t"/>
              <v:stroke dashstyle="solid"/>
            </v:shape>
            <v:shape style="position:absolute;left:6100;top:1840;width:77;height:62" coordorigin="6100,1841" coordsize="77,62" path="m6138,1902l6100,1871,6138,1841,6176,1871,6138,1902xe" filled="true" fillcolor="#ff0000" stroked="false">
              <v:path arrowok="t"/>
              <v:fill type="solid"/>
            </v:shape>
            <v:shape style="position:absolute;left:6100;top:1840;width:77;height:62" coordorigin="6100,1841" coordsize="77,62" path="m6138,1841l6176,1871,6138,1902,6100,1871,6138,1841xe" filled="false" stroked="true" strokeweight="1.145851pt" strokecolor="#ff0000">
              <v:path arrowok="t"/>
              <v:stroke dashstyle="solid"/>
            </v:shape>
            <v:shape style="position:absolute;left:5240;top:2421;width:77;height:58" coordorigin="5241,2421" coordsize="77,58" path="m5279,2479l5241,2452,5279,2421,5317,2452,5279,2479xe" filled="true" fillcolor="#ff0000" stroked="false">
              <v:path arrowok="t"/>
              <v:fill type="solid"/>
            </v:shape>
            <v:shape style="position:absolute;left:5240;top:2421;width:77;height:58" coordorigin="5241,2421" coordsize="77,58" path="m5279,2421l5317,2452,5279,2479,5241,2452,5279,2421xe" filled="false" stroked="true" strokeweight="1.14585pt" strokecolor="#ff0000">
              <v:path arrowok="t"/>
              <v:stroke dashstyle="solid"/>
            </v:shape>
            <v:shape style="position:absolute;left:5355;top:2180;width:77;height:62" coordorigin="5355,2181" coordsize="77,62" path="m5393,2242l5355,2211,5393,2181,5432,2211,5393,2242xe" filled="true" fillcolor="#ff0000" stroked="false">
              <v:path arrowok="t"/>
              <v:fill type="solid"/>
            </v:shape>
            <v:shape style="position:absolute;left:5355;top:2180;width:77;height:62" coordorigin="5355,2181" coordsize="77,62" path="m5393,2181l5432,2211,5393,2242,5355,2211,5393,2181xe" filled="false" stroked="true" strokeweight="1.145851pt" strokecolor="#ff0000">
              <v:path arrowok="t"/>
              <v:stroke dashstyle="solid"/>
            </v:shape>
            <v:shape style="position:absolute;left:5095;top:2386;width:77;height:62" coordorigin="5095,2387" coordsize="77,62" path="m5134,2448l5095,2418,5134,2387,5172,2418,5134,2448xe" filled="true" fillcolor="#ff0000" stroked="false">
              <v:path arrowok="t"/>
              <v:fill type="solid"/>
            </v:shape>
            <v:shape style="position:absolute;left:5095;top:2386;width:77;height:62" coordorigin="5095,2387" coordsize="77,62" path="m5134,2387l5172,2418,5134,2448,5095,2418,5134,2387xe" filled="false" stroked="true" strokeweight="1.145851pt" strokecolor="#ff0000">
              <v:path arrowok="t"/>
              <v:stroke dashstyle="solid"/>
            </v:shape>
            <v:shape style="position:absolute;left:6718;top:1558;width:77;height:62" coordorigin="6719,1558" coordsize="77,62" path="m6795,1619l6719,1619,6757,1558,6795,1619xe" filled="true" fillcolor="#0000ff" stroked="false">
              <v:path arrowok="t"/>
              <v:fill type="solid"/>
            </v:shape>
            <v:shape style="position:absolute;left:6718;top:1558;width:77;height:62" coordorigin="6719,1558" coordsize="77,62" path="m6757,1558l6795,1619,6719,1619,6757,1558xe" filled="false" stroked="true" strokeweight="1.145851pt" strokecolor="#0000ff">
              <v:path arrowok="t"/>
              <v:stroke dashstyle="solid"/>
            </v:shape>
            <v:shape style="position:absolute;left:6531;top:1695;width:73;height:58" coordorigin="6532,1696" coordsize="73,58" path="m6604,1753l6532,1753,6570,1696,6604,1753xe" filled="true" fillcolor="#0000ff" stroked="false">
              <v:path arrowok="t"/>
              <v:fill type="solid"/>
            </v:shape>
            <v:shape style="position:absolute;left:6531;top:1695;width:73;height:58" coordorigin="6532,1696" coordsize="73,58" path="m6570,1696l6604,1753,6532,1753,6570,1696xe" filled="false" stroked="true" strokeweight="1.145851pt" strokecolor="#0000ff">
              <v:path arrowok="t"/>
              <v:stroke dashstyle="solid"/>
            </v:shape>
            <v:shape style="position:absolute;left:6905;top:1458;width:73;height:58" coordorigin="6906,1459" coordsize="73,58" path="m6979,1516l6906,1516,6944,1459,6979,1516xe" filled="true" fillcolor="#0000ff" stroked="false">
              <v:path arrowok="t"/>
              <v:fill type="solid"/>
            </v:shape>
            <v:shape style="position:absolute;left:6905;top:1458;width:73;height:58" coordorigin="6906,1459" coordsize="73,58" path="m6944,1459l6979,1516,6906,1516,6944,1459xe" filled="false" stroked="true" strokeweight="1.145851pt" strokecolor="#0000ff">
              <v:path arrowok="t"/>
              <v:stroke dashstyle="solid"/>
            </v:shape>
            <v:shape style="position:absolute;left:7005;top:1390;width:73;height:58" coordorigin="7005,1390" coordsize="73,58" path="m7078,1447l7005,1447,7040,1390,7078,1447xe" filled="true" fillcolor="#0000ff" stroked="false">
              <v:path arrowok="t"/>
              <v:fill type="solid"/>
            </v:shape>
            <v:shape style="position:absolute;left:7005;top:1390;width:73;height:58" coordorigin="7005,1390" coordsize="73,58" path="m7040,1390l7078,1447,7005,1447,7040,1390xe" filled="false" stroked="true" strokeweight="1.145851pt" strokecolor="#0000ff">
              <v:path arrowok="t"/>
              <v:stroke dashstyle="solid"/>
            </v:shape>
            <v:shape style="position:absolute;left:7719;top:1084;width:73;height:58" coordorigin="7720,1085" coordsize="73,58" path="m7792,1142l7720,1142,7758,1085,7792,1142xe" filled="true" fillcolor="#0000ff" stroked="false">
              <v:path arrowok="t"/>
              <v:fill type="solid"/>
            </v:shape>
            <v:shape style="position:absolute;left:7719;top:1084;width:73;height:58" coordorigin="7720,1085" coordsize="73,58" path="m7758,1085l7792,1142,7720,1142,7758,1085xe" filled="false" stroked="true" strokeweight="1.145851pt" strokecolor="#0000ff">
              <v:path arrowok="t"/>
              <v:stroke dashstyle="solid"/>
            </v:shape>
            <v:shape style="position:absolute;left:7413;top:1355;width:77;height:58" coordorigin="7414,1356" coordsize="77,58" path="m7490,1413l7414,1413,7452,1356,7490,1413xe" filled="true" fillcolor="#0000ff" stroked="false">
              <v:path arrowok="t"/>
              <v:fill type="solid"/>
            </v:shape>
            <v:shape style="position:absolute;left:7413;top:1355;width:77;height:58" coordorigin="7414,1356" coordsize="77,58" path="m7452,1356l7490,1413,7414,1413,7452,1356xe" filled="false" stroked="true" strokeweight="1.14585pt" strokecolor="#0000ff">
              <v:path arrowok="t"/>
              <v:stroke dashstyle="solid"/>
            </v:shape>
            <v:shape style="position:absolute;left:6703;top:1558;width:77;height:62" coordorigin="6703,1558" coordsize="77,62" path="m6780,1619l6703,1619,6742,1558,6780,1619xe" filled="true" fillcolor="#0000ff" stroked="false">
              <v:path arrowok="t"/>
              <v:fill type="solid"/>
            </v:shape>
            <v:shape style="position:absolute;left:6703;top:1558;width:77;height:62" coordorigin="6703,1558" coordsize="77,62" path="m6742,1558l6780,1619,6703,1619,6742,1558xe" filled="false" stroked="true" strokeweight="1.145851pt" strokecolor="#0000ff">
              <v:path arrowok="t"/>
              <v:stroke dashstyle="solid"/>
            </v:shape>
            <v:shape style="position:absolute;left:6073;top:1966;width:73;height:62" coordorigin="6073,1967" coordsize="73,62" path="m6146,2028l6073,2028,6111,1967,6146,2028xe" filled="true" fillcolor="#0000ff" stroked="false">
              <v:path arrowok="t"/>
              <v:fill type="solid"/>
            </v:shape>
            <v:shape style="position:absolute;left:6073;top:1966;width:73;height:62" coordorigin="6073,1967" coordsize="73,62" path="m6111,1967l6146,2028,6073,2028,6111,1967xe" filled="false" stroked="true" strokeweight="1.145852pt" strokecolor="#0000ff">
              <v:path arrowok="t"/>
              <v:stroke dashstyle="solid"/>
            </v:shape>
            <v:shape style="position:absolute;left:6161;top:1867;width:73;height:58" coordorigin="6161,1867" coordsize="73,58" path="m6234,1925l6161,1925,6199,1867,6234,1925xe" filled="true" fillcolor="#0000ff" stroked="false">
              <v:path arrowok="t"/>
              <v:fill type="solid"/>
            </v:shape>
            <v:shape style="position:absolute;left:6161;top:1867;width:73;height:58" coordorigin="6161,1868" coordsize="73,58" path="m6199,1868l6234,1925,6161,1925,6199,1868xe" filled="false" stroked="true" strokeweight="1.145851pt" strokecolor="#0000ff">
              <v:path arrowok="t"/>
              <v:stroke dashstyle="solid"/>
            </v:shape>
            <v:shape style="position:absolute;left:6271;top:2581;width:73;height:58" coordorigin="6272,2582" coordsize="73,58" path="m6344,2639l6272,2639,6310,2582,6344,2639xe" filled="true" fillcolor="#0000ff" stroked="false">
              <v:path arrowok="t"/>
              <v:fill type="solid"/>
            </v:shape>
            <v:shape style="position:absolute;left:6271;top:2581;width:73;height:58" coordorigin="6272,2582" coordsize="73,58" path="m6310,2582l6344,2639,6272,2639,6310,2582xe" filled="false" stroked="true" strokeweight="1.145851pt" strokecolor="#0000ff">
              <v:path arrowok="t"/>
              <v:stroke dashstyle="solid"/>
            </v:shape>
            <v:shape style="position:absolute;left:5951;top:2604;width:203;height:115" type="#_x0000_t75" stroked="false">
              <v:imagedata r:id="rId126" o:title=""/>
            </v:shape>
            <v:shape style="position:absolute;left:5397;top:2921;width:73;height:58" coordorigin="5397,2922" coordsize="73,58" path="m5470,2979l5397,2979,5432,2922,5470,2979xe" filled="true" fillcolor="#0000ff" stroked="false">
              <v:path arrowok="t"/>
              <v:fill type="solid"/>
            </v:shape>
            <v:shape style="position:absolute;left:5397;top:2921;width:73;height:58" coordorigin="5397,2922" coordsize="73,58" path="m5432,2922l5470,2979,5397,2979,5432,2922xe" filled="false" stroked="true" strokeweight="1.145851pt" strokecolor="#0000ff">
              <v:path arrowok="t"/>
              <v:stroke dashstyle="solid"/>
            </v:shape>
            <v:shape style="position:absolute;left:5129;top:3059;width:77;height:58" coordorigin="5130,3059" coordsize="77,58" path="m5206,3116l5130,3116,5168,3059,5206,3116xe" filled="true" fillcolor="#0000ff" stroked="false">
              <v:path arrowok="t"/>
              <v:fill type="solid"/>
            </v:shape>
            <v:shape style="position:absolute;left:5129;top:3059;width:77;height:58" coordorigin="5130,3059" coordsize="77,58" path="m5168,3059l5206,3116,5130,3116,5168,3059xe" filled="false" stroked="true" strokeweight="1.14585pt" strokecolor="#0000ff">
              <v:path arrowok="t"/>
              <v:stroke dashstyle="solid"/>
            </v:shape>
            <v:shape style="position:absolute;left:4755;top:3399;width:73;height:58" coordorigin="4756,3399" coordsize="73,58" path="m4828,3456l4756,3456,4794,3399,4828,3456xe" filled="true" fillcolor="#0000ff" stroked="false">
              <v:path arrowok="t"/>
              <v:fill type="solid"/>
            </v:shape>
            <v:shape style="position:absolute;left:4755;top:3399;width:73;height:58" coordorigin="4756,3399" coordsize="73,58" path="m4794,3399l4828,3456,4756,3456,4794,3399xe" filled="false" stroked="true" strokeweight="1.145851pt" strokecolor="#0000ff">
              <v:path arrowok="t"/>
              <v:stroke dashstyle="solid"/>
            </v:shape>
            <v:shape style="position:absolute;left:4098;top:3433;width:73;height:58" coordorigin="4099,3433" coordsize="73,58" path="m4171,3491l4099,3491,4137,3433,4171,3491xe" filled="true" fillcolor="#0000ff" stroked="false">
              <v:path arrowok="t"/>
              <v:fill type="solid"/>
            </v:shape>
            <v:shape style="position:absolute;left:4098;top:3433;width:73;height:58" coordorigin="4099,3433" coordsize="73,58" path="m4137,3433l4171,3491,4099,3491,4137,3433xe" filled="false" stroked="true" strokeweight="1.145851pt" strokecolor="#0000ff">
              <v:path arrowok="t"/>
              <v:stroke dashstyle="solid"/>
            </v:shape>
            <v:shape style="position:absolute;left:3682;top:3773;width:73;height:58" coordorigin="3682,3773" coordsize="73,58" path="m3755,3831l3682,3831,3717,3773,3755,3831xe" filled="true" fillcolor="#0000ff" stroked="false">
              <v:path arrowok="t"/>
              <v:fill type="solid"/>
            </v:shape>
            <v:shape style="position:absolute;left:3682;top:3773;width:73;height:58" coordorigin="3682,3773" coordsize="73,58" path="m3717,3773l3755,3831,3682,3831,3717,3773xe" filled="false" stroked="true" strokeweight="1.145851pt" strokecolor="#0000ff">
              <v:path arrowok="t"/>
              <v:stroke dashstyle="solid"/>
            </v:shape>
            <v:shape style="position:absolute;left:3342;top:3807;width:73;height:62" coordorigin="3342,3808" coordsize="73,62" path="m3415,3869l3342,3869,3377,3808,3415,3869xe" filled="true" fillcolor="#0000ff" stroked="false">
              <v:path arrowok="t"/>
              <v:fill type="solid"/>
            </v:shape>
            <v:shape style="position:absolute;left:3342;top:3807;width:73;height:62" coordorigin="3342,3808" coordsize="73,62" path="m3377,3808l3415,3869,3342,3869,3377,3808xe" filled="false" stroked="true" strokeweight="1.145852pt" strokecolor="#0000ff">
              <v:path arrowok="t"/>
              <v:stroke dashstyle="solid"/>
            </v:shape>
            <v:shape style="position:absolute;left:7792;top:1252;width:77;height:58" coordorigin="7792,1253" coordsize="77,58" path="m7868,1310l7792,1310,7830,1253,7868,1310xe" filled="true" fillcolor="#0000ff" stroked="false">
              <v:path arrowok="t"/>
              <v:fill type="solid"/>
            </v:shape>
            <v:shape style="position:absolute;left:7792;top:1252;width:77;height:58" coordorigin="7792,1253" coordsize="77,58" path="m7830,1253l7868,1310,7792,1310,7830,1253xe" filled="false" stroked="true" strokeweight="1.14585pt" strokecolor="#0000ff">
              <v:path arrowok="t"/>
              <v:stroke dashstyle="solid"/>
            </v:shape>
            <v:shape style="position:absolute;left:8193;top:981;width:77;height:58" coordorigin="8193,981" coordsize="77,58" path="m8270,1039l8193,1039,8231,981,8270,1039xe" filled="true" fillcolor="#0000ff" stroked="false">
              <v:path arrowok="t"/>
              <v:fill type="solid"/>
            </v:shape>
            <v:shape style="position:absolute;left:8193;top:981;width:77;height:58" coordorigin="8193,981" coordsize="77,58" path="m8231,981l8270,1039,8193,1039,8231,981xe" filled="false" stroked="true" strokeweight="1.14585pt" strokecolor="#0000ff">
              <v:path arrowok="t"/>
              <v:stroke dashstyle="solid"/>
            </v:shape>
            <v:shape style="position:absolute;left:8724;top:672;width:73;height:62" coordorigin="8724,672" coordsize="73,62" path="m8797,733l8724,733,8762,672,8797,733xe" filled="true" fillcolor="#0000ff" stroked="false">
              <v:path arrowok="t"/>
              <v:fill type="solid"/>
            </v:shape>
            <v:shape style="position:absolute;left:8724;top:672;width:73;height:62" coordorigin="8724,672" coordsize="73,62" path="m8762,672l8797,733,8724,733,8762,672xe" filled="false" stroked="true" strokeweight="1.145852pt" strokecolor="#0000ff">
              <v:path arrowok="t"/>
              <v:stroke dashstyle="solid"/>
            </v:shape>
            <v:shape style="position:absolute;left:9247;top:538;width:73;height:58" coordorigin="9247,538" coordsize="73,58" path="m9320,596l9247,596,9286,538,9320,596xe" filled="true" fillcolor="#0000ff" stroked="false">
              <v:path arrowok="t"/>
              <v:fill type="solid"/>
            </v:shape>
            <v:shape style="position:absolute;left:9247;top:538;width:73;height:58" coordorigin="9247,538" coordsize="73,58" path="m9286,538l9320,596,9247,596,9286,538xe" filled="false" stroked="true" strokeweight="1.145851pt" strokecolor="#0000ff">
              <v:path arrowok="t"/>
              <v:stroke dashstyle="solid"/>
            </v:shape>
            <v:shape style="position:absolute;left:7180;top:1798;width:77;height:58" coordorigin="7181,1799" coordsize="77,58" path="m7257,1856l7181,1856,7219,1799,7257,1856xe" filled="true" fillcolor="#0000ff" stroked="false">
              <v:path arrowok="t"/>
              <v:fill type="solid"/>
            </v:shape>
            <v:shape style="position:absolute;left:7180;top:1798;width:77;height:58" coordorigin="7181,1799" coordsize="77,58" path="m7219,1799l7257,1856,7181,1856,7219,1799xe" filled="false" stroked="true" strokeweight="1.14585pt" strokecolor="#0000ff">
              <v:path arrowok="t"/>
              <v:stroke dashstyle="solid"/>
            </v:shape>
            <v:shape style="position:absolute;left:6718;top:2104;width:77;height:58" coordorigin="6719,2104" coordsize="77,58" path="m6795,2162l6719,2162,6757,2104,6795,2162xe" filled="true" fillcolor="#0000ff" stroked="false">
              <v:path arrowok="t"/>
              <v:fill type="solid"/>
            </v:shape>
            <v:shape style="position:absolute;left:6718;top:2104;width:77;height:58" coordorigin="6719,2104" coordsize="77,58" path="m6757,2104l6795,2162,6719,2162,6757,2104xe" filled="false" stroked="true" strokeweight="1.14585pt" strokecolor="#0000ff">
              <v:path arrowok="t"/>
              <v:stroke dashstyle="solid"/>
            </v:shape>
            <v:shape style="position:absolute;left:6688;top:2104;width:77;height:58" coordorigin="6688,2104" coordsize="77,58" path="m6765,2162l6688,2162,6726,2104,6765,2162xe" filled="true" fillcolor="#0000ff" stroked="false">
              <v:path arrowok="t"/>
              <v:fill type="solid"/>
            </v:shape>
            <v:shape style="position:absolute;left:6688;top:2104;width:77;height:58" coordorigin="6688,2104" coordsize="77,58" path="m6726,2104l6765,2162,6688,2162,6726,2104xe" filled="false" stroked="true" strokeweight="1.14585pt" strokecolor="#0000ff">
              <v:path arrowok="t"/>
              <v:stroke dashstyle="solid"/>
            </v:shape>
            <v:shape style="position:absolute;left:7066;top:1695;width:77;height:58" coordorigin="7066,1696" coordsize="77,58" path="m7143,1753l7066,1753,7105,1696,7143,1753xe" filled="true" fillcolor="#0000ff" stroked="false">
              <v:path arrowok="t"/>
              <v:fill type="solid"/>
            </v:shape>
            <v:shape style="position:absolute;left:7066;top:1695;width:77;height:58" coordorigin="7066,1696" coordsize="77,58" path="m7105,1696l7143,1753,7066,1753,7105,1696xe" filled="false" stroked="true" strokeweight="1.14585pt" strokecolor="#0000ff">
              <v:path arrowok="t"/>
              <v:stroke dashstyle="solid"/>
            </v:shape>
            <v:shape style="position:absolute;left:7776;top:1355;width:77;height:58" coordorigin="7777,1356" coordsize="77,58" path="m7853,1413l7777,1413,7815,1356,7853,1413xe" filled="true" fillcolor="#0000ff" stroked="false">
              <v:path arrowok="t"/>
              <v:fill type="solid"/>
            </v:shape>
            <v:shape style="position:absolute;left:7776;top:1355;width:77;height:58" coordorigin="7777,1356" coordsize="77,58" path="m7815,1356l7853,1413,7777,1413,7815,1356xe" filled="false" stroked="true" strokeweight="1.14585pt" strokecolor="#0000ff">
              <v:path arrowok="t"/>
              <v:stroke dashstyle="solid"/>
            </v:shape>
            <v:line style="position:absolute" from="2897,3848" to="2897,3859" stroked="true" strokeweight=".190978pt" strokecolor="#00ff00">
              <v:stroke dashstyle="solid"/>
            </v:line>
            <v:line style="position:absolute" from="2899,3854" to="2918,3850" stroked="true" strokeweight=".57292pt" strokecolor="#00ff00">
              <v:stroke dashstyle="solid"/>
            </v:line>
            <v:line style="position:absolute" from="2918,3850" to="2937,3846" stroked="true" strokeweight=".57292pt" strokecolor="#00ff00">
              <v:stroke dashstyle="solid"/>
            </v:line>
            <v:line style="position:absolute" from="2937,3846" to="2957,3842" stroked="true" strokeweight=".57292pt" strokecolor="#00ff00">
              <v:stroke dashstyle="solid"/>
            </v:line>
            <v:line style="position:absolute" from="2957,3842" to="2976,3842" stroked="true" strokeweight=".572919pt" strokecolor="#00ff00">
              <v:stroke dashstyle="solid"/>
            </v:line>
            <v:line style="position:absolute" from="2976,3842" to="2995,3838" stroked="true" strokeweight=".57292pt" strokecolor="#00ff00">
              <v:stroke dashstyle="solid"/>
            </v:line>
            <v:line style="position:absolute" from="2995,3838" to="3018,3835" stroked="true" strokeweight=".57292pt" strokecolor="#00ff00">
              <v:stroke dashstyle="solid"/>
            </v:line>
            <v:line style="position:absolute" from="3018,3835" to="3037,3831" stroked="true" strokeweight=".57292pt" strokecolor="#00ff00">
              <v:stroke dashstyle="solid"/>
            </v:line>
            <v:line style="position:absolute" from="3037,3831" to="3056,3827" stroked="true" strokeweight=".57292pt" strokecolor="#00ff00">
              <v:stroke dashstyle="solid"/>
            </v:line>
            <v:line style="position:absolute" from="3056,3827" to="3075,3823" stroked="true" strokeweight=".57292pt" strokecolor="#00ff00">
              <v:stroke dashstyle="solid"/>
            </v:line>
            <v:line style="position:absolute" from="3075,3823" to="3094,3819" stroked="true" strokeweight=".57292pt" strokecolor="#00ff00">
              <v:stroke dashstyle="solid"/>
            </v:line>
            <v:line style="position:absolute" from="3094,3819" to="3113,3815" stroked="true" strokeweight=".57292pt" strokecolor="#00ff00">
              <v:stroke dashstyle="solid"/>
            </v:line>
            <v:line style="position:absolute" from="3113,3815" to="3132,3812" stroked="true" strokeweight=".57292pt" strokecolor="#00ff00">
              <v:stroke dashstyle="solid"/>
            </v:line>
            <v:line style="position:absolute" from="3132,3812" to="3151,3808" stroked="true" strokeweight=".57292pt" strokecolor="#00ff00">
              <v:stroke dashstyle="solid"/>
            </v:line>
            <v:line style="position:absolute" from="3151,3808" to="3167,3804" stroked="true" strokeweight=".57292pt" strokecolor="#00ff00">
              <v:stroke dashstyle="solid"/>
            </v:line>
            <v:shape style="position:absolute;left:3269;top:3777;width:20;height:8" coordorigin="3270,3777" coordsize="20,8" path="m3270,3785l3270,3785m3270,3785l3289,3777e" filled="false" stroked="true" strokeweight=".572927pt" strokecolor="#00ff00">
              <v:path arrowok="t"/>
              <v:stroke dashstyle="solid"/>
            </v:shape>
            <v:line style="position:absolute" from="3289,3777" to="3308,3773" stroked="true" strokeweight=".57292pt" strokecolor="#00ff00">
              <v:stroke dashstyle="solid"/>
            </v:line>
            <v:line style="position:absolute" from="3308,3773" to="3327,3770" stroked="true" strokeweight=".57292pt" strokecolor="#00ff00">
              <v:stroke dashstyle="solid"/>
            </v:line>
            <v:line style="position:absolute" from="3327,3770" to="3335,3766" stroked="true" strokeweight=".572922pt" strokecolor="#00ff00">
              <v:stroke dashstyle="solid"/>
            </v:line>
            <v:line style="position:absolute" from="3438,3743" to="3445,3739" stroked="true" strokeweight=".572922pt" strokecolor="#00ff00">
              <v:stroke dashstyle="solid"/>
            </v:line>
            <v:line style="position:absolute" from="3445,3739" to="3465,3735" stroked="true" strokeweight=".57292pt" strokecolor="#00ff00">
              <v:stroke dashstyle="solid"/>
            </v:line>
            <v:line style="position:absolute" from="3465,3735" to="3484,3731" stroked="true" strokeweight=".57292pt" strokecolor="#00ff00">
              <v:stroke dashstyle="solid"/>
            </v:line>
            <v:line style="position:absolute" from="3484,3731" to="3503,3724" stroked="true" strokeweight=".572921pt" strokecolor="#00ff00">
              <v:stroke dashstyle="solid"/>
            </v:line>
            <v:line style="position:absolute" from="3503,3724" to="3522,3720" stroked="true" strokeweight=".57292pt" strokecolor="#00ff00">
              <v:stroke dashstyle="solid"/>
            </v:line>
            <v:line style="position:absolute" from="3522,3720" to="3541,3716" stroked="true" strokeweight=".57292pt" strokecolor="#00ff00">
              <v:stroke dashstyle="solid"/>
            </v:line>
            <v:line style="position:absolute" from="3541,3716" to="3560,3708" stroked="true" strokeweight=".572921pt" strokecolor="#00ff00">
              <v:stroke dashstyle="solid"/>
            </v:line>
            <v:line style="position:absolute" from="3560,3708" to="3583,3705" stroked="true" strokeweight=".57292pt" strokecolor="#00ff00">
              <v:stroke dashstyle="solid"/>
            </v:line>
            <v:line style="position:absolute" from="3583,3705" to="3602,3697" stroked="true" strokeweight=".572921pt" strokecolor="#00ff00">
              <v:stroke dashstyle="solid"/>
            </v:line>
            <v:line style="position:absolute" from="3602,3697" to="3621,3693" stroked="true" strokeweight=".57292pt" strokecolor="#00ff00">
              <v:stroke dashstyle="solid"/>
            </v:line>
            <v:line style="position:absolute" from="3621,3693" to="3640,3686" stroked="true" strokeweight=".572921pt" strokecolor="#00ff00">
              <v:stroke dashstyle="solid"/>
            </v:line>
            <v:line style="position:absolute" from="3640,3686" to="3659,3682" stroked="true" strokeweight=".57292pt" strokecolor="#00ff00">
              <v:stroke dashstyle="solid"/>
            </v:line>
            <v:line style="position:absolute" from="3659,3682" to="3678,3674" stroked="true" strokeweight=".572921pt" strokecolor="#00ff00">
              <v:stroke dashstyle="solid"/>
            </v:line>
            <v:line style="position:absolute" from="3678,3674" to="3698,3670" stroked="true" strokeweight=".57292pt" strokecolor="#00ff00">
              <v:stroke dashstyle="solid"/>
            </v:line>
            <v:line style="position:absolute" from="3698,3670" to="3709,3663" stroked="true" strokeweight=".572924pt" strokecolor="#00ff00">
              <v:stroke dashstyle="solid"/>
            </v:line>
            <v:line style="position:absolute" from="3814,3626" to="3814,3638" stroked="true" strokeweight=".190978pt" strokecolor="#00ff00">
              <v:stroke dashstyle="solid"/>
            </v:line>
            <v:line style="position:absolute" from="3816,3632" to="3835,3624" stroked="true" strokeweight=".572921pt" strokecolor="#00ff00">
              <v:stroke dashstyle="solid"/>
            </v:line>
            <v:line style="position:absolute" from="3835,3624" to="3854,3617" stroked="true" strokeweight=".572921pt" strokecolor="#00ff00">
              <v:stroke dashstyle="solid"/>
            </v:line>
            <v:line style="position:absolute" from="3854,3617" to="3873,3613" stroked="true" strokeweight=".57292pt" strokecolor="#00ff00">
              <v:stroke dashstyle="solid"/>
            </v:line>
            <v:line style="position:absolute" from="3873,3613" to="3881,3609" stroked="true" strokeweight=".572922pt" strokecolor="#00ff00">
              <v:stroke dashstyle="solid"/>
            </v:line>
            <v:line style="position:absolute" from="3984,3575" to="3992,3571" stroked="true" strokeweight=".572922pt" strokecolor="#00ff00">
              <v:stroke dashstyle="solid"/>
            </v:line>
            <v:line style="position:absolute" from="3992,3571" to="4011,3563" stroked="true" strokeweight=".572921pt" strokecolor="#00ff00">
              <v:stroke dashstyle="solid"/>
            </v:line>
            <v:line style="position:absolute" from="4011,3563" to="4030,3556" stroked="true" strokeweight=".572921pt" strokecolor="#00ff00">
              <v:stroke dashstyle="solid"/>
            </v:line>
            <v:line style="position:absolute" from="4030,3556" to="4049,3548" stroked="true" strokeweight=".572921pt" strokecolor="#00ff00">
              <v:stroke dashstyle="solid"/>
            </v:line>
            <v:line style="position:absolute" from="4049,3548" to="4068,3540" stroked="true" strokeweight=".572921pt" strokecolor="#00ff00">
              <v:stroke dashstyle="solid"/>
            </v:line>
            <v:line style="position:absolute" from="4068,3540" to="4087,3533" stroked="true" strokeweight=".572921pt" strokecolor="#00ff00">
              <v:stroke dashstyle="solid"/>
            </v:line>
            <v:line style="position:absolute" from="4087,3533" to="4106,3525" stroked="true" strokeweight=".572921pt" strokecolor="#00ff00">
              <v:stroke dashstyle="solid"/>
            </v:line>
            <v:line style="position:absolute" from="4106,3525" to="4129,3518" stroked="true" strokeweight=".572921pt" strokecolor="#00ff00">
              <v:stroke dashstyle="solid"/>
            </v:line>
            <v:line style="position:absolute" from="4129,3518" to="4148,3510" stroked="true" strokeweight=".572921pt" strokecolor="#00ff00">
              <v:stroke dashstyle="solid"/>
            </v:line>
            <v:line style="position:absolute" from="4148,3510" to="4167,3502" stroked="true" strokeweight=".572921pt" strokecolor="#00ff00">
              <v:stroke dashstyle="solid"/>
            </v:line>
            <v:line style="position:absolute" from="4167,3502" to="4186,3495" stroked="true" strokeweight=".572921pt" strokecolor="#00ff00">
              <v:stroke dashstyle="solid"/>
            </v:line>
            <v:line style="position:absolute" from="4186,3495" to="4206,3487" stroked="true" strokeweight=".572921pt" strokecolor="#00ff00">
              <v:stroke dashstyle="solid"/>
            </v:line>
            <v:line style="position:absolute" from="4206,3487" to="4225,3479" stroked="true" strokeweight=".572921pt" strokecolor="#00ff00">
              <v:stroke dashstyle="solid"/>
            </v:line>
            <v:line style="position:absolute" from="4225,3479" to="4244,3472" stroked="true" strokeweight=".572921pt" strokecolor="#00ff00">
              <v:stroke dashstyle="solid"/>
            </v:line>
            <v:line style="position:absolute" from="4244,3472" to="4255,3468" stroked="true" strokeweight=".572921pt" strokecolor="#00ff00">
              <v:stroke dashstyle="solid"/>
            </v:line>
            <v:line style="position:absolute" from="4360,3416" to="4360,3428" stroked="true" strokeweight=".190978pt" strokecolor="#00ff00">
              <v:stroke dashstyle="solid"/>
            </v:line>
            <v:line style="position:absolute" from="4362,3422" to="4381,3414" stroked="true" strokeweight=".572921pt" strokecolor="#00ff00">
              <v:stroke dashstyle="solid"/>
            </v:line>
            <v:line style="position:absolute" from="4381,3414" to="4400,3407" stroked="true" strokeweight=".572921pt" strokecolor="#00ff00">
              <v:stroke dashstyle="solid"/>
            </v:line>
            <v:line style="position:absolute" from="4400,3407" to="4419,3395" stroked="true" strokeweight=".572924pt" strokecolor="#00ff00">
              <v:stroke dashstyle="solid"/>
            </v:line>
            <v:line style="position:absolute" from="4419,3395" to="4427,3395" stroked="true" strokeweight=".572919pt" strokecolor="#00ff00">
              <v:stroke dashstyle="solid"/>
            </v:line>
            <v:shape style="position:absolute;left:4520;top:3206;width:287;height:146" type="#_x0000_t75" stroked="false">
              <v:imagedata r:id="rId127" o:title=""/>
            </v:shape>
            <v:line style="position:absolute" from="4906,3153" to="4906,3164" stroked="true" strokeweight=".190978pt" strokecolor="#00ff00">
              <v:stroke dashstyle="solid"/>
            </v:line>
            <v:line style="position:absolute" from="4908,3158" to="4927,3147" stroked="true" strokeweight=".572924pt" strokecolor="#00ff00">
              <v:stroke dashstyle="solid"/>
            </v:line>
            <v:line style="position:absolute" from="4927,3147" to="4947,3136" stroked="true" strokeweight=".572924pt" strokecolor="#00ff00">
              <v:stroke dashstyle="solid"/>
            </v:line>
            <v:line style="position:absolute" from="4947,3136" to="4966,3124" stroked="true" strokeweight=".572924pt" strokecolor="#00ff00">
              <v:stroke dashstyle="solid"/>
            </v:line>
            <v:line style="position:absolute" from="4968,3118" to="4968,3130" stroked="true" strokeweight=".190978pt" strokecolor="#00ff00">
              <v:stroke dashstyle="solid"/>
            </v:line>
            <v:line style="position:absolute" from="5073,3067" to="5084,3059" stroked="true" strokeweight=".572924pt" strokecolor="#00ff00">
              <v:stroke dashstyle="solid"/>
            </v:line>
            <v:line style="position:absolute" from="5084,3059" to="5103,3048" stroked="true" strokeweight=".572924pt" strokecolor="#00ff00">
              <v:stroke dashstyle="solid"/>
            </v:line>
            <v:line style="position:absolute" from="5103,3048" to="5122,3036" stroked="true" strokeweight=".572924pt" strokecolor="#00ff00">
              <v:stroke dashstyle="solid"/>
            </v:line>
            <v:line style="position:absolute" from="5122,3036" to="5141,3025" stroked="true" strokeweight=".572924pt" strokecolor="#00ff00">
              <v:stroke dashstyle="solid"/>
            </v:line>
            <v:line style="position:absolute" from="5141,3025" to="5160,3013" stroked="true" strokeweight=".572924pt" strokecolor="#00ff00">
              <v:stroke dashstyle="solid"/>
            </v:line>
            <v:line style="position:absolute" from="5160,3013" to="5179,3002" stroked="true" strokeweight=".572924pt" strokecolor="#00ff00">
              <v:stroke dashstyle="solid"/>
            </v:line>
            <v:line style="position:absolute" from="5179,3002" to="5202,2990" stroked="true" strokeweight=".572922pt" strokecolor="#00ff00">
              <v:stroke dashstyle="solid"/>
            </v:line>
            <v:line style="position:absolute" from="5202,2990" to="5222,2979" stroked="true" strokeweight=".572924pt" strokecolor="#00ff00">
              <v:stroke dashstyle="solid"/>
            </v:line>
            <v:line style="position:absolute" from="5222,2979" to="5241,2968" stroked="true" strokeweight=".572924pt" strokecolor="#00ff00">
              <v:stroke dashstyle="solid"/>
            </v:line>
            <v:line style="position:absolute" from="5241,2968" to="5260,2956" stroked="true" strokeweight=".572924pt" strokecolor="#00ff00">
              <v:stroke dashstyle="solid"/>
            </v:line>
            <v:line style="position:absolute" from="5260,2956" to="5279,2945" stroked="true" strokeweight=".572924pt" strokecolor="#00ff00">
              <v:stroke dashstyle="solid"/>
            </v:line>
            <v:line style="position:absolute" from="5279,2945" to="5298,2933" stroked="true" strokeweight=".572924pt" strokecolor="#00ff00">
              <v:stroke dashstyle="solid"/>
            </v:line>
            <v:line style="position:absolute" from="5298,2933" to="5317,2922" stroked="true" strokeweight=".572924pt" strokecolor="#00ff00">
              <v:stroke dashstyle="solid"/>
            </v:line>
            <v:line style="position:absolute" from="5317,2922" to="5336,2910" stroked="true" strokeweight=".572924pt" strokecolor="#00ff00">
              <v:stroke dashstyle="solid"/>
            </v:line>
            <v:line style="position:absolute" from="5336,2910" to="5344,2903" stroked="true" strokeweight=".572927pt" strokecolor="#00ff00">
              <v:stroke dashstyle="solid"/>
            </v:line>
            <v:line style="position:absolute" from="5447,2838" to="5455,2834" stroked="true" strokeweight=".572922pt" strokecolor="#00ff00">
              <v:stroke dashstyle="solid"/>
            </v:line>
            <v:line style="position:absolute" from="5455,2834" to="5474,2822" stroked="true" strokeweight=".572924pt" strokecolor="#00ff00">
              <v:stroke dashstyle="solid"/>
            </v:line>
            <v:line style="position:absolute" from="5474,2822" to="5493,2811" stroked="true" strokeweight=".572924pt" strokecolor="#00ff00">
              <v:stroke dashstyle="solid"/>
            </v:line>
            <v:line style="position:absolute" from="5493,2811" to="5512,2796" stroked="true" strokeweight=".572926pt" strokecolor="#00ff00">
              <v:stroke dashstyle="solid"/>
            </v:line>
            <v:line style="position:absolute" from="5514,2790" to="5514,2801" stroked="true" strokeweight=".190978pt" strokecolor="#00ff00">
              <v:stroke dashstyle="solid"/>
            </v:line>
            <v:shape style="position:absolute;left:5613;top:2534;width:283;height:199" type="#_x0000_t75" stroked="false">
              <v:imagedata r:id="rId128" o:title=""/>
            </v:shape>
            <v:line style="position:absolute" from="5993,2463" to="6001,2460" stroked="true" strokeweight=".572922pt" strokecolor="#00ff00">
              <v:stroke dashstyle="solid"/>
            </v:line>
            <v:line style="position:absolute" from="6001,2460" to="6020,2444" stroked="true" strokeweight=".572926pt" strokecolor="#00ff00">
              <v:stroke dashstyle="solid"/>
            </v:line>
            <v:line style="position:absolute" from="6020,2444" to="6039,2429" stroked="true" strokeweight=".572926pt" strokecolor="#00ff00">
              <v:stroke dashstyle="solid"/>
            </v:line>
            <v:line style="position:absolute" from="6039,2429" to="6058,2414" stroked="true" strokeweight=".572926pt" strokecolor="#00ff00">
              <v:stroke dashstyle="solid"/>
            </v:line>
            <v:line style="position:absolute" from="6060,2408" to="6060,2419" stroked="true" strokeweight=".190978pt" strokecolor="#00ff00">
              <v:stroke dashstyle="solid"/>
            </v:line>
            <v:shape style="position:absolute;left:6155;top:2113;width:283;height:226" type="#_x0000_t75" stroked="false">
              <v:imagedata r:id="rId129" o:title=""/>
            </v:shape>
            <v:line style="position:absolute" from="6528,2039" to="6547,2024" stroked="true" strokeweight=".572926pt" strokecolor="#00ff00">
              <v:stroke dashstyle="solid"/>
            </v:line>
            <v:line style="position:absolute" from="6547,2024" to="6566,2009" stroked="true" strokeweight=".572926pt" strokecolor="#00ff00">
              <v:stroke dashstyle="solid"/>
            </v:line>
            <v:line style="position:absolute" from="6566,2009" to="6585,1994" stroked="true" strokeweight=".572926pt" strokecolor="#00ff00">
              <v:stroke dashstyle="solid"/>
            </v:line>
            <v:line style="position:absolute" from="6585,1994" to="6593,1986" stroked="true" strokeweight=".572927pt" strokecolor="#00ff00">
              <v:stroke dashstyle="solid"/>
            </v:line>
            <v:line style="position:absolute" from="6684,1906" to="6704,1890" stroked="true" strokeweight=".572926pt" strokecolor="#00ff00">
              <v:stroke dashstyle="solid"/>
            </v:line>
            <v:line style="position:absolute" from="6704,1890" to="6723,1875" stroked="true" strokeweight=".572926pt" strokecolor="#00ff00">
              <v:stroke dashstyle="solid"/>
            </v:line>
            <v:line style="position:absolute" from="6723,1875" to="6742,1856" stroked="true" strokeweight=".572927pt" strokecolor="#00ff00">
              <v:stroke dashstyle="solid"/>
            </v:line>
            <v:line style="position:absolute" from="6742,1856" to="6761,1841" stroked="true" strokeweight=".572926pt" strokecolor="#00ff00">
              <v:stroke dashstyle="solid"/>
            </v:line>
            <v:line style="position:absolute" from="6761,1841" to="6780,1822" stroked="true" strokeweight=".572927pt" strokecolor="#00ff00">
              <v:stroke dashstyle="solid"/>
            </v:line>
            <v:line style="position:absolute" from="6780,1822" to="6799,1806" stroked="true" strokeweight=".572926pt" strokecolor="#00ff00">
              <v:stroke dashstyle="solid"/>
            </v:line>
            <v:line style="position:absolute" from="6799,1806" to="6818,1787" stroked="true" strokeweight=".572927pt" strokecolor="#00ff00">
              <v:stroke dashstyle="solid"/>
            </v:line>
            <v:line style="position:absolute" from="6818,1787" to="6841,1772" stroked="true" strokeweight=".572924pt" strokecolor="#00ff00">
              <v:stroke dashstyle="solid"/>
            </v:line>
            <v:line style="position:absolute" from="6841,1772" to="6860,1753" stroked="true" strokeweight=".572927pt" strokecolor="#00ff00">
              <v:stroke dashstyle="solid"/>
            </v:line>
            <v:line style="position:absolute" from="6860,1753" to="6879,1738" stroked="true" strokeweight=".572926pt" strokecolor="#00ff00">
              <v:stroke dashstyle="solid"/>
            </v:line>
            <v:line style="position:absolute" from="6879,1738" to="6898,1719" stroked="true" strokeweight=".572927pt" strokecolor="#00ff00">
              <v:stroke dashstyle="solid"/>
            </v:line>
            <v:line style="position:absolute" from="6898,1719" to="6917,1703" stroked="true" strokeweight=".572926pt" strokecolor="#00ff00">
              <v:stroke dashstyle="solid"/>
            </v:line>
            <v:line style="position:absolute" from="6917,1703" to="6929,1692" stroked="true" strokeweight=".572927pt" strokecolor="#00ff00">
              <v:stroke dashstyle="solid"/>
            </v:line>
            <v:line style="position:absolute" from="7015,1606" to="7015,1617" stroked="true" strokeweight=".190978pt" strokecolor="#00ff00">
              <v:stroke dashstyle="solid"/>
            </v:line>
            <v:line style="position:absolute" from="7017,1612" to="7036,1592" stroked="true" strokeweight=".572927pt" strokecolor="#00ff00">
              <v:stroke dashstyle="solid"/>
            </v:line>
            <v:line style="position:absolute" from="7036,1592" to="7055,1577" stroked="true" strokeweight=".572926pt" strokecolor="#00ff00">
              <v:stroke dashstyle="solid"/>
            </v:line>
            <v:line style="position:absolute" from="7055,1577" to="7070,1558" stroked="true" strokeweight=".572929pt" strokecolor="#00ff00">
              <v:stroke dashstyle="solid"/>
            </v:line>
            <v:shape style="position:absolute;left:7152;top:1258;width:233;height:226" type="#_x0000_t75" stroked="false">
              <v:imagedata r:id="rId130" o:title=""/>
            </v:shape>
            <v:line style="position:absolute" from="7460,1184" to="7464,1180" stroked="true" strokeweight=".572927pt" strokecolor="#00ff00">
              <v:stroke dashstyle="solid"/>
            </v:line>
            <v:line style="position:absolute" from="7464,1180" to="7483,1161" stroked="true" strokeweight=".572927pt" strokecolor="#00ff00">
              <v:stroke dashstyle="solid"/>
            </v:line>
            <v:line style="position:absolute" from="7483,1161" to="7502,1138" stroked="true" strokeweight=".572929pt" strokecolor="#00ff00">
              <v:stroke dashstyle="solid"/>
            </v:line>
            <v:line style="position:absolute" from="7502,1138" to="7513,1130" stroked="true" strokeweight=".572924pt" strokecolor="#00ff00">
              <v:stroke dashstyle="solid"/>
            </v:line>
            <v:shape style="position:absolute;left:7583;top:830;width:218;height:226" type="#_x0000_t75" stroked="false">
              <v:imagedata r:id="rId131" o:title=""/>
            </v:shape>
            <v:line style="position:absolute" from="7867,754" to="7878,754" stroked="true" strokeweight=".190973pt" strokecolor="#00ff00">
              <v:stroke dashstyle="solid"/>
            </v:line>
            <v:line style="position:absolute" from="7872,752" to="7891,733" stroked="true" strokeweight=".572927pt" strokecolor="#00ff00">
              <v:stroke dashstyle="solid"/>
            </v:line>
            <v:line style="position:absolute" from="7891,733" to="7914,710" stroked="true" strokeweight=".572927pt" strokecolor="#00ff00">
              <v:stroke dashstyle="solid"/>
            </v:line>
            <v:line style="position:absolute" from="7914,710" to="7922,703" stroked="true" strokeweight=".572927pt" strokecolor="#00ff00">
              <v:stroke dashstyle="solid"/>
            </v:line>
            <v:shape style="position:absolute;left:7988;top:402;width:203;height:226" type="#_x0000_t75" stroked="false">
              <v:imagedata r:id="rId132" o:title=""/>
            </v:shape>
            <v:line style="position:absolute" from="8258,328" to="8262,321" stroked="true" strokeweight=".572932pt" strokecolor="#00ff00">
              <v:stroke dashstyle="solid"/>
            </v:line>
            <v:line style="position:absolute" from="8262,321" to="8285,298" stroked="true" strokeweight=".572927pt" strokecolor="#00ff00">
              <v:stroke dashstyle="solid"/>
            </v:line>
            <v:line style="position:absolute" from="8285,298" to="8304,275" stroked="true" strokeweight=".572929pt" strokecolor="#00ff00">
              <v:stroke dashstyle="solid"/>
            </v:line>
            <v:line style="position:absolute" from="8304,275" to="8304,275" stroked="true" strokeweight=".572919pt" strokecolor="#00ff00">
              <v:stroke dashstyle="solid"/>
            </v:line>
            <v:line style="position:absolute" from="8373,195" to="8380,183" stroked="true" strokeweight=".572930pt" strokecolor="#00ff00">
              <v:stroke dashstyle="solid"/>
            </v:line>
            <v:line style="position:absolute" from="8380,183" to="8399,160" stroked="true" strokeweight=".572929pt" strokecolor="#00ff00">
              <v:stroke dashstyle="solid"/>
            </v:line>
            <v:line style="position:absolute" from="8399,160" to="8418,137" stroked="true" strokeweight=".572929pt" strokecolor="#00ff00">
              <v:stroke dashstyle="solid"/>
            </v:line>
            <v:line style="position:absolute" from="8418,137" to="8438,114" stroked="true" strokeweight=".572929pt" strokecolor="#00ff00">
              <v:stroke dashstyle="solid"/>
            </v:line>
            <v:line style="position:absolute" from="8438,114" to="8445,111" stroked="true" strokeweight=".572922pt" strokecolor="#00ff00">
              <v:stroke dashstyle="solid"/>
            </v:line>
            <v:shape style="position:absolute;left:3384;top:370;width:77;height:62" coordorigin="3384,370" coordsize="77,62" path="m3422,431l3384,401,3422,370,3461,401,3422,431xe" filled="true" fillcolor="#ff0000" stroked="false">
              <v:path arrowok="t"/>
              <v:fill type="solid"/>
            </v:shape>
            <v:shape style="position:absolute;left:3384;top:370;width:77;height:62" coordorigin="3384,370" coordsize="77,62" path="m3422,370l3461,401,3422,431,3384,401,3422,370xe" filled="false" stroked="true" strokeweight="1.145851pt" strokecolor="#ff0000">
              <v:path arrowok="t"/>
              <v:stroke dashstyle="solid"/>
            </v:shape>
            <v:shape style="position:absolute;left:3384;top:633;width:73;height:58" coordorigin="3384,634" coordsize="73,58" path="m3457,691l3384,691,3422,634,3457,691xe" filled="true" fillcolor="#0000ff" stroked="false">
              <v:path arrowok="t"/>
              <v:fill type="solid"/>
            </v:shape>
            <v:shape style="position:absolute;left:3384;top:633;width:73;height:58" coordorigin="3384,634" coordsize="73,58" path="m3423,634l3457,691,3384,691,3423,634xe" filled="false" stroked="true" strokeweight="1.145851pt" strokecolor="#0000ff">
              <v:path arrowok="t"/>
              <v:stroke dashstyle="solid"/>
            </v:shape>
            <v:line style="position:absolute" from="3232,943" to="3300,943" stroked="true" strokeweight=".572919pt" strokecolor="#00ff00">
              <v:stroke dashstyle="solid"/>
            </v:line>
            <v:shape style="position:absolute;left:2868;top:87;width:7048;height:3839" type="#_x0000_t202" filled="false" stroked="false">
              <v:textbox inset="0,0,0,0">
                <w:txbxContent>
                  <w:p>
                    <w:pPr>
                      <w:spacing w:line="240" w:lineRule="auto" w:before="3"/>
                      <w:rPr>
                        <w:i/>
                        <w:sz w:val="17"/>
                      </w:rPr>
                    </w:pPr>
                  </w:p>
                  <w:p>
                    <w:pPr>
                      <w:spacing w:line="314" w:lineRule="auto" w:before="0"/>
                      <w:ind w:left="802" w:right="542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SPF-S data</w:t>
                    </w:r>
                    <w:r>
                      <w:rPr>
                        <w:spacing w:val="-4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SYP</w:t>
                    </w:r>
                    <w:r>
                      <w:rPr>
                        <w:spacing w:val="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data</w:t>
                    </w:r>
                  </w:p>
                  <w:p>
                    <w:pPr>
                      <w:spacing w:before="4"/>
                      <w:ind w:left="534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w w:val="98"/>
                        <w:position w:val="3"/>
                        <w:sz w:val="17"/>
                        <w:u w:val="single" w:color="00FF00"/>
                      </w:rPr>
                      <w:t> </w:t>
                    </w:r>
                    <w:r>
                      <w:rPr>
                        <w:position w:val="3"/>
                        <w:sz w:val="17"/>
                        <w:u w:val="single" w:color="00FF00"/>
                      </w:rPr>
                      <w:t>   </w:t>
                    </w:r>
                    <w:r>
                      <w:rPr>
                        <w:spacing w:val="-18"/>
                        <w:position w:val="3"/>
                        <w:sz w:val="17"/>
                        <w:u w:val="single" w:color="00FF00"/>
                      </w:rPr>
                      <w:t> </w:t>
                    </w:r>
                    <w:r>
                      <w:rPr>
                        <w:position w:val="3"/>
                        <w:sz w:val="17"/>
                      </w:rPr>
                      <w:t> </w:t>
                    </w:r>
                    <w:r>
                      <w:rPr>
                        <w:spacing w:val="-13"/>
                        <w:position w:val="3"/>
                        <w:sz w:val="17"/>
                      </w:rPr>
                      <w:t> </w:t>
                    </w:r>
                    <w:r>
                      <w:rPr>
                        <w:sz w:val="18"/>
                      </w:rPr>
                      <w:t>Variant2</w:t>
                    </w:r>
                    <w:r>
                      <w:rPr>
                        <w:spacing w:val="6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of</w:t>
                    </w:r>
                    <w:r>
                      <w:rPr>
                        <w:spacing w:val="7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Poncelet</w:t>
                    </w:r>
                    <w:r>
                      <w:rPr>
                        <w:spacing w:val="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model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09.388481pt;margin-top:10.19914pt;width:17.8pt;height:171.45pt;mso-position-horizontal-relative:page;mso-position-vertical-relative:paragraph;z-index:15812096" type="#_x0000_t202" filled="false" stroked="false">
            <v:textbox inset="0,0,0,0" style="layout-flow:vertical;mso-layout-flow-alt:bottom-to-top">
              <w:txbxContent>
                <w:p>
                  <w:pPr>
                    <w:pStyle w:val="BodyText"/>
                    <w:spacing w:before="13"/>
                    <w:ind w:left="20"/>
                  </w:pPr>
                  <w:r>
                    <w:rPr/>
                    <w:t>Depth</w:t>
                  </w:r>
                  <w:r>
                    <w:rPr>
                      <w:spacing w:val="11"/>
                    </w:rPr>
                    <w:t> </w:t>
                  </w:r>
                  <w:r>
                    <w:rPr/>
                    <w:t>of</w:t>
                  </w:r>
                  <w:r>
                    <w:rPr>
                      <w:spacing w:val="9"/>
                    </w:rPr>
                    <w:t> </w:t>
                  </w:r>
                  <w:r>
                    <w:rPr/>
                    <w:t>Penetration</w:t>
                  </w:r>
                  <w:r>
                    <w:rPr>
                      <w:spacing w:val="12"/>
                    </w:rPr>
                    <w:t> </w:t>
                  </w:r>
                  <w:r>
                    <w:rPr/>
                    <w:t>(T</w:t>
                  </w:r>
                  <w:r>
                    <w:rPr>
                      <w:position w:val="-5"/>
                      <w:sz w:val="18"/>
                    </w:rPr>
                    <w:t>w</w:t>
                  </w:r>
                  <w:r>
                    <w:rPr/>
                    <w:t>)</w:t>
                  </w:r>
                  <w:r>
                    <w:rPr>
                      <w:spacing w:val="9"/>
                    </w:rPr>
                    <w:t> </w:t>
                  </w:r>
                  <w:r>
                    <w:rPr/>
                    <w:t>(inches)</w:t>
                  </w:r>
                </w:p>
              </w:txbxContent>
            </v:textbox>
            <w10:wrap type="none"/>
          </v:shape>
        </w:pict>
      </w:r>
      <w:r>
        <w:rPr>
          <w:sz w:val="17"/>
        </w:rPr>
        <w:t>14</w:t>
      </w:r>
    </w:p>
    <w:p>
      <w:pPr>
        <w:spacing w:before="79"/>
        <w:ind w:left="900" w:right="0" w:firstLine="0"/>
        <w:jc w:val="left"/>
        <w:rPr>
          <w:sz w:val="17"/>
        </w:rPr>
      </w:pPr>
      <w:r>
        <w:rPr>
          <w:sz w:val="17"/>
        </w:rPr>
        <w:t>13</w:t>
      </w:r>
    </w:p>
    <w:p>
      <w:pPr>
        <w:spacing w:before="76"/>
        <w:ind w:left="900" w:right="0" w:firstLine="0"/>
        <w:jc w:val="left"/>
        <w:rPr>
          <w:sz w:val="17"/>
        </w:rPr>
      </w:pPr>
      <w:r>
        <w:rPr>
          <w:sz w:val="17"/>
        </w:rPr>
        <w:t>12</w:t>
      </w:r>
    </w:p>
    <w:p>
      <w:pPr>
        <w:spacing w:before="76"/>
        <w:ind w:left="900" w:right="0" w:firstLine="0"/>
        <w:jc w:val="left"/>
        <w:rPr>
          <w:sz w:val="17"/>
        </w:rPr>
      </w:pPr>
      <w:r>
        <w:rPr>
          <w:sz w:val="17"/>
        </w:rPr>
        <w:t>11</w:t>
      </w:r>
    </w:p>
    <w:p>
      <w:pPr>
        <w:spacing w:before="79"/>
        <w:ind w:left="900" w:right="0" w:firstLine="0"/>
        <w:jc w:val="left"/>
        <w:rPr>
          <w:sz w:val="17"/>
        </w:rPr>
      </w:pPr>
      <w:r>
        <w:rPr>
          <w:sz w:val="17"/>
        </w:rPr>
        <w:t>10</w:t>
      </w:r>
    </w:p>
    <w:p>
      <w:pPr>
        <w:spacing w:before="76"/>
        <w:ind w:left="984" w:right="0" w:firstLine="0"/>
        <w:jc w:val="left"/>
        <w:rPr>
          <w:sz w:val="17"/>
        </w:rPr>
      </w:pPr>
      <w:r>
        <w:rPr>
          <w:w w:val="98"/>
          <w:sz w:val="17"/>
        </w:rPr>
        <w:t>9</w:t>
      </w:r>
    </w:p>
    <w:p>
      <w:pPr>
        <w:spacing w:before="76"/>
        <w:ind w:left="984" w:right="0" w:firstLine="0"/>
        <w:jc w:val="left"/>
        <w:rPr>
          <w:sz w:val="17"/>
        </w:rPr>
      </w:pPr>
      <w:r>
        <w:rPr>
          <w:w w:val="98"/>
          <w:sz w:val="17"/>
        </w:rPr>
        <w:t>8</w:t>
      </w:r>
    </w:p>
    <w:p>
      <w:pPr>
        <w:spacing w:before="79"/>
        <w:ind w:left="984" w:right="0" w:firstLine="0"/>
        <w:jc w:val="left"/>
        <w:rPr>
          <w:sz w:val="17"/>
        </w:rPr>
      </w:pPr>
      <w:r>
        <w:rPr>
          <w:w w:val="98"/>
          <w:sz w:val="17"/>
        </w:rPr>
        <w:t>7</w:t>
      </w:r>
    </w:p>
    <w:p>
      <w:pPr>
        <w:spacing w:before="76"/>
        <w:ind w:left="984" w:right="0" w:firstLine="0"/>
        <w:jc w:val="left"/>
        <w:rPr>
          <w:sz w:val="17"/>
        </w:rPr>
      </w:pPr>
      <w:r>
        <w:rPr>
          <w:w w:val="98"/>
          <w:sz w:val="17"/>
        </w:rPr>
        <w:t>6</w:t>
      </w:r>
    </w:p>
    <w:p>
      <w:pPr>
        <w:spacing w:before="79"/>
        <w:ind w:left="984" w:right="0" w:firstLine="0"/>
        <w:jc w:val="left"/>
        <w:rPr>
          <w:sz w:val="17"/>
        </w:rPr>
      </w:pPr>
      <w:r>
        <w:rPr>
          <w:w w:val="98"/>
          <w:sz w:val="17"/>
        </w:rPr>
        <w:t>5</w:t>
      </w:r>
    </w:p>
    <w:p>
      <w:pPr>
        <w:spacing w:before="76"/>
        <w:ind w:left="984" w:right="0" w:firstLine="0"/>
        <w:jc w:val="left"/>
        <w:rPr>
          <w:sz w:val="17"/>
        </w:rPr>
      </w:pPr>
      <w:r>
        <w:rPr>
          <w:w w:val="98"/>
          <w:sz w:val="17"/>
        </w:rPr>
        <w:t>4</w:t>
      </w:r>
    </w:p>
    <w:p>
      <w:pPr>
        <w:spacing w:before="76"/>
        <w:ind w:left="984" w:right="0" w:firstLine="0"/>
        <w:jc w:val="left"/>
        <w:rPr>
          <w:sz w:val="17"/>
        </w:rPr>
      </w:pPr>
      <w:r>
        <w:rPr>
          <w:w w:val="98"/>
          <w:sz w:val="17"/>
        </w:rPr>
        <w:t>3</w:t>
      </w:r>
    </w:p>
    <w:p>
      <w:pPr>
        <w:spacing w:before="79"/>
        <w:ind w:left="984" w:right="0" w:firstLine="0"/>
        <w:jc w:val="left"/>
        <w:rPr>
          <w:sz w:val="17"/>
        </w:rPr>
      </w:pPr>
      <w:r>
        <w:rPr>
          <w:w w:val="98"/>
          <w:sz w:val="17"/>
        </w:rPr>
        <w:t>2</w:t>
      </w:r>
    </w:p>
    <w:p>
      <w:pPr>
        <w:spacing w:before="76"/>
        <w:ind w:left="984" w:right="0" w:firstLine="0"/>
        <w:jc w:val="left"/>
        <w:rPr>
          <w:sz w:val="17"/>
        </w:rPr>
      </w:pPr>
      <w:r>
        <w:rPr>
          <w:w w:val="98"/>
          <w:sz w:val="17"/>
        </w:rPr>
        <w:t>1</w:t>
      </w:r>
    </w:p>
    <w:p>
      <w:pPr>
        <w:spacing w:before="76"/>
        <w:ind w:left="984" w:right="0" w:firstLine="0"/>
        <w:jc w:val="left"/>
        <w:rPr>
          <w:sz w:val="17"/>
        </w:rPr>
      </w:pPr>
      <w:r>
        <w:rPr>
          <w:w w:val="98"/>
          <w:sz w:val="17"/>
        </w:rPr>
        <w:t>0</w:t>
      </w:r>
    </w:p>
    <w:p>
      <w:pPr>
        <w:pStyle w:val="BodyText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rPr>
          <w:sz w:val="18"/>
        </w:rPr>
      </w:pPr>
    </w:p>
    <w:p>
      <w:pPr>
        <w:pStyle w:val="BodyText"/>
        <w:spacing w:before="4"/>
        <w:rPr>
          <w:sz w:val="22"/>
        </w:rPr>
      </w:pPr>
    </w:p>
    <w:p>
      <w:pPr>
        <w:spacing w:before="0"/>
        <w:ind w:left="13" w:right="0" w:firstLine="0"/>
        <w:jc w:val="left"/>
        <w:rPr>
          <w:sz w:val="17"/>
        </w:rPr>
      </w:pPr>
      <w:r>
        <w:rPr>
          <w:sz w:val="17"/>
        </w:rPr>
        <w:t>35</w:t>
      </w:r>
    </w:p>
    <w:p>
      <w:pPr>
        <w:spacing w:before="72"/>
        <w:ind w:left="13" w:right="0" w:firstLine="0"/>
        <w:jc w:val="left"/>
        <w:rPr>
          <w:sz w:val="17"/>
        </w:rPr>
      </w:pPr>
      <w:r>
        <w:rPr/>
        <w:pict>
          <v:shape style="position:absolute;margin-left:517.317749pt;margin-top:12.772905pt;width:17.8pt;height:155.25pt;mso-position-horizontal-relative:page;mso-position-vertical-relative:paragraph;z-index:15812608" type="#_x0000_t202" filled="false" stroked="false">
            <v:textbox inset="0,0,0,0" style="layout-flow:vertical;mso-layout-flow-alt:bottom-to-top">
              <w:txbxContent>
                <w:p>
                  <w:pPr>
                    <w:pStyle w:val="BodyText"/>
                    <w:spacing w:before="13"/>
                    <w:ind w:left="20"/>
                  </w:pPr>
                  <w:r>
                    <w:rPr/>
                    <w:t>Depth</w:t>
                  </w:r>
                  <w:r>
                    <w:rPr>
                      <w:spacing w:val="10"/>
                    </w:rPr>
                    <w:t> </w:t>
                  </w:r>
                  <w:r>
                    <w:rPr/>
                    <w:t>of</w:t>
                  </w:r>
                  <w:r>
                    <w:rPr>
                      <w:spacing w:val="8"/>
                    </w:rPr>
                    <w:t> </w:t>
                  </w:r>
                  <w:r>
                    <w:rPr/>
                    <w:t>Penetration</w:t>
                  </w:r>
                  <w:r>
                    <w:rPr>
                      <w:spacing w:val="11"/>
                    </w:rPr>
                    <w:t> </w:t>
                  </w:r>
                  <w:r>
                    <w:rPr/>
                    <w:t>(T</w:t>
                  </w:r>
                  <w:r>
                    <w:rPr>
                      <w:position w:val="-5"/>
                      <w:sz w:val="18"/>
                    </w:rPr>
                    <w:t>w</w:t>
                  </w:r>
                  <w:r>
                    <w:rPr/>
                    <w:t>)</w:t>
                  </w:r>
                  <w:r>
                    <w:rPr>
                      <w:spacing w:val="8"/>
                    </w:rPr>
                    <w:t> </w:t>
                  </w:r>
                  <w:r>
                    <w:rPr/>
                    <w:t>(cm)</w:t>
                  </w:r>
                </w:p>
              </w:txbxContent>
            </v:textbox>
            <w10:wrap type="none"/>
          </v:shape>
        </w:pict>
      </w:r>
      <w:r>
        <w:rPr>
          <w:sz w:val="17"/>
        </w:rPr>
        <w:t>32.5</w:t>
      </w:r>
    </w:p>
    <w:p>
      <w:pPr>
        <w:spacing w:before="76"/>
        <w:ind w:left="13" w:right="0" w:firstLine="0"/>
        <w:jc w:val="left"/>
        <w:rPr>
          <w:sz w:val="17"/>
        </w:rPr>
      </w:pPr>
      <w:r>
        <w:rPr>
          <w:sz w:val="17"/>
        </w:rPr>
        <w:t>30</w:t>
      </w:r>
    </w:p>
    <w:p>
      <w:pPr>
        <w:spacing w:before="72"/>
        <w:ind w:left="13" w:right="0" w:firstLine="0"/>
        <w:jc w:val="left"/>
        <w:rPr>
          <w:sz w:val="17"/>
        </w:rPr>
      </w:pPr>
      <w:r>
        <w:rPr>
          <w:sz w:val="17"/>
        </w:rPr>
        <w:t>27.5</w:t>
      </w:r>
    </w:p>
    <w:p>
      <w:pPr>
        <w:spacing w:before="72"/>
        <w:ind w:left="13" w:right="0" w:firstLine="0"/>
        <w:jc w:val="left"/>
        <w:rPr>
          <w:sz w:val="17"/>
        </w:rPr>
      </w:pPr>
      <w:r>
        <w:rPr>
          <w:sz w:val="17"/>
        </w:rPr>
        <w:t>25</w:t>
      </w:r>
    </w:p>
    <w:p>
      <w:pPr>
        <w:spacing w:before="72"/>
        <w:ind w:left="13" w:right="0" w:firstLine="0"/>
        <w:jc w:val="left"/>
        <w:rPr>
          <w:sz w:val="17"/>
        </w:rPr>
      </w:pPr>
      <w:r>
        <w:rPr>
          <w:sz w:val="17"/>
        </w:rPr>
        <w:t>22.5</w:t>
      </w:r>
    </w:p>
    <w:p>
      <w:pPr>
        <w:spacing w:before="71"/>
        <w:ind w:left="13" w:right="0" w:firstLine="0"/>
        <w:jc w:val="left"/>
        <w:rPr>
          <w:sz w:val="17"/>
        </w:rPr>
      </w:pPr>
      <w:r>
        <w:rPr>
          <w:sz w:val="17"/>
        </w:rPr>
        <w:t>20</w:t>
      </w:r>
    </w:p>
    <w:p>
      <w:pPr>
        <w:spacing w:before="76"/>
        <w:ind w:left="13" w:right="0" w:firstLine="0"/>
        <w:jc w:val="left"/>
        <w:rPr>
          <w:sz w:val="17"/>
        </w:rPr>
      </w:pPr>
      <w:r>
        <w:rPr>
          <w:sz w:val="17"/>
        </w:rPr>
        <w:t>17.5</w:t>
      </w:r>
    </w:p>
    <w:p>
      <w:pPr>
        <w:spacing w:before="72"/>
        <w:ind w:left="13" w:right="0" w:firstLine="0"/>
        <w:jc w:val="left"/>
        <w:rPr>
          <w:sz w:val="17"/>
        </w:rPr>
      </w:pPr>
      <w:r>
        <w:rPr>
          <w:sz w:val="17"/>
        </w:rPr>
        <w:t>15</w:t>
      </w:r>
    </w:p>
    <w:p>
      <w:pPr>
        <w:spacing w:before="72"/>
        <w:ind w:left="13" w:right="0" w:firstLine="0"/>
        <w:jc w:val="left"/>
        <w:rPr>
          <w:sz w:val="17"/>
        </w:rPr>
      </w:pPr>
      <w:r>
        <w:rPr>
          <w:sz w:val="17"/>
        </w:rPr>
        <w:t>12.5</w:t>
      </w:r>
    </w:p>
    <w:p>
      <w:pPr>
        <w:spacing w:before="72"/>
        <w:ind w:left="13" w:right="0" w:firstLine="0"/>
        <w:jc w:val="left"/>
        <w:rPr>
          <w:sz w:val="17"/>
        </w:rPr>
      </w:pPr>
      <w:r>
        <w:rPr>
          <w:sz w:val="17"/>
        </w:rPr>
        <w:t>10</w:t>
      </w:r>
    </w:p>
    <w:p>
      <w:pPr>
        <w:spacing w:before="76"/>
        <w:ind w:left="13" w:right="0" w:firstLine="0"/>
        <w:jc w:val="left"/>
        <w:rPr>
          <w:sz w:val="17"/>
        </w:rPr>
      </w:pPr>
      <w:r>
        <w:rPr>
          <w:sz w:val="17"/>
        </w:rPr>
        <w:t>7.5</w:t>
      </w:r>
    </w:p>
    <w:p>
      <w:pPr>
        <w:spacing w:before="71"/>
        <w:ind w:left="13" w:right="0" w:firstLine="0"/>
        <w:jc w:val="left"/>
        <w:rPr>
          <w:sz w:val="17"/>
        </w:rPr>
      </w:pPr>
      <w:r>
        <w:rPr>
          <w:w w:val="98"/>
          <w:sz w:val="17"/>
        </w:rPr>
        <w:t>5</w:t>
      </w:r>
    </w:p>
    <w:p>
      <w:pPr>
        <w:spacing w:before="72"/>
        <w:ind w:left="13" w:right="0" w:firstLine="0"/>
        <w:jc w:val="left"/>
        <w:rPr>
          <w:sz w:val="17"/>
        </w:rPr>
      </w:pPr>
      <w:r>
        <w:rPr>
          <w:sz w:val="17"/>
        </w:rPr>
        <w:t>2.5</w:t>
      </w:r>
    </w:p>
    <w:p>
      <w:pPr>
        <w:spacing w:before="72"/>
        <w:ind w:left="13" w:right="0" w:firstLine="0"/>
        <w:jc w:val="left"/>
        <w:rPr>
          <w:sz w:val="17"/>
        </w:rPr>
      </w:pPr>
      <w:r>
        <w:rPr>
          <w:w w:val="98"/>
          <w:sz w:val="17"/>
        </w:rPr>
        <w:t>0</w:t>
      </w:r>
    </w:p>
    <w:p>
      <w:pPr>
        <w:spacing w:after="0"/>
        <w:jc w:val="left"/>
        <w:rPr>
          <w:sz w:val="17"/>
        </w:rPr>
        <w:sectPr>
          <w:pgSz w:w="12240" w:h="15840"/>
          <w:pgMar w:header="0" w:footer="1064" w:top="1320" w:bottom="1260" w:left="1720" w:right="1020"/>
          <w:cols w:num="2" w:equalWidth="0">
            <w:col w:w="8200" w:space="40"/>
            <w:col w:w="1260"/>
          </w:cols>
        </w:sectPr>
      </w:pPr>
    </w:p>
    <w:p>
      <w:pPr>
        <w:tabs>
          <w:tab w:pos="779" w:val="left" w:leader="none"/>
          <w:tab w:pos="1493" w:val="left" w:leader="none"/>
          <w:tab w:pos="2276" w:val="left" w:leader="none"/>
          <w:tab w:pos="3055" w:val="left" w:leader="none"/>
          <w:tab w:pos="3834" w:val="left" w:leader="none"/>
          <w:tab w:pos="4617" w:val="left" w:leader="none"/>
          <w:tab w:pos="5396" w:val="left" w:leader="none"/>
          <w:tab w:pos="6176" w:val="left" w:leader="none"/>
          <w:tab w:pos="6959" w:val="left" w:leader="none"/>
        </w:tabs>
        <w:spacing w:line="185" w:lineRule="exact" w:before="7"/>
        <w:ind w:left="0" w:right="88" w:firstLine="0"/>
        <w:jc w:val="center"/>
        <w:rPr>
          <w:sz w:val="17"/>
        </w:rPr>
      </w:pPr>
      <w:r>
        <w:rPr>
          <w:sz w:val="17"/>
        </w:rPr>
        <w:t>400</w:t>
        <w:tab/>
        <w:t>800</w:t>
        <w:tab/>
        <w:t>1200</w:t>
        <w:tab/>
        <w:t>1600</w:t>
        <w:tab/>
        <w:t>2000</w:t>
        <w:tab/>
        <w:t>2400</w:t>
        <w:tab/>
        <w:t>2800</w:t>
        <w:tab/>
        <w:t>3200</w:t>
        <w:tab/>
        <w:t>3600</w:t>
        <w:tab/>
        <w:t>4000</w:t>
      </w:r>
    </w:p>
    <w:p>
      <w:pPr>
        <w:pStyle w:val="BodyText"/>
        <w:spacing w:line="313" w:lineRule="exact"/>
        <w:ind w:left="3221" w:right="3365"/>
        <w:jc w:val="center"/>
      </w:pPr>
      <w:r>
        <w:rPr/>
        <w:t>Striking</w:t>
      </w:r>
      <w:r>
        <w:rPr>
          <w:spacing w:val="-6"/>
        </w:rPr>
        <w:t> </w:t>
      </w:r>
      <w:r>
        <w:rPr/>
        <w:t>Velocity</w:t>
      </w:r>
      <w:r>
        <w:rPr>
          <w:spacing w:val="2"/>
        </w:rPr>
        <w:t> </w:t>
      </w:r>
      <w:r>
        <w:rPr/>
        <w:t>(V</w:t>
      </w:r>
      <w:r>
        <w:rPr>
          <w:position w:val="-5"/>
          <w:sz w:val="18"/>
        </w:rPr>
        <w:t>s</w:t>
      </w:r>
      <w:r>
        <w:rPr/>
        <w:t>)</w:t>
      </w:r>
      <w:r>
        <w:rPr>
          <w:spacing w:val="1"/>
        </w:rPr>
        <w:t> </w:t>
      </w:r>
      <w:r>
        <w:rPr/>
        <w:t>(fps)</w:t>
      </w:r>
    </w:p>
    <w:p>
      <w:pPr>
        <w:spacing w:before="235"/>
        <w:ind w:left="19" w:right="0" w:firstLine="0"/>
        <w:jc w:val="center"/>
        <w:rPr>
          <w:i/>
          <w:sz w:val="24"/>
        </w:rPr>
      </w:pPr>
      <w:bookmarkStart w:name="_bookmark73" w:id="293"/>
      <w:bookmarkEnd w:id="293"/>
      <w:r>
        <w:rPr/>
      </w:r>
      <w:r>
        <w:rPr>
          <w:i/>
          <w:sz w:val="24"/>
        </w:rPr>
        <w:t>Figure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5-16.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Variant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2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Poncelet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equation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calibrated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CLT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data.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spacing w:after="0"/>
        <w:rPr>
          <w:sz w:val="20"/>
        </w:rPr>
        <w:sectPr>
          <w:type w:val="continuous"/>
          <w:pgSz w:w="12240" w:h="15840"/>
          <w:pgMar w:top="1380" w:bottom="280" w:left="1720" w:right="1020"/>
        </w:sectPr>
      </w:pPr>
    </w:p>
    <w:p>
      <w:pPr>
        <w:pStyle w:val="Heading8"/>
        <w:spacing w:before="206"/>
        <w:ind w:left="3505"/>
      </w:pPr>
      <w:r>
        <w:rPr>
          <w:spacing w:val="-2"/>
        </w:rPr>
        <w:t>Striking</w:t>
      </w:r>
      <w:r>
        <w:rPr>
          <w:spacing w:val="-13"/>
        </w:rPr>
        <w:t> </w:t>
      </w:r>
      <w:r>
        <w:rPr>
          <w:spacing w:val="-2"/>
        </w:rPr>
        <w:t>Velocity</w:t>
      </w:r>
      <w:r>
        <w:rPr>
          <w:spacing w:val="-4"/>
        </w:rPr>
        <w:t> </w:t>
      </w:r>
      <w:r>
        <w:rPr>
          <w:spacing w:val="-1"/>
        </w:rPr>
        <w:t>(V</w:t>
      </w:r>
      <w:r>
        <w:rPr>
          <w:spacing w:val="-1"/>
          <w:position w:val="-5"/>
          <w:sz w:val="18"/>
        </w:rPr>
        <w:t>s</w:t>
      </w:r>
      <w:r>
        <w:rPr>
          <w:spacing w:val="-1"/>
        </w:rPr>
        <w:t>)</w:t>
      </w:r>
      <w:r>
        <w:rPr>
          <w:spacing w:val="-6"/>
        </w:rPr>
        <w:t> </w:t>
      </w:r>
      <w:r>
        <w:rPr>
          <w:spacing w:val="-1"/>
        </w:rPr>
        <w:t>(m/s)</w:t>
      </w:r>
    </w:p>
    <w:p>
      <w:pPr>
        <w:spacing w:line="187" w:lineRule="exact" w:before="33"/>
        <w:ind w:left="1381" w:right="0" w:firstLine="0"/>
        <w:jc w:val="left"/>
        <w:rPr>
          <w:sz w:val="17"/>
        </w:rPr>
      </w:pPr>
      <w:r>
        <w:rPr>
          <w:sz w:val="17"/>
        </w:rPr>
        <w:t>180  </w:t>
      </w:r>
      <w:r>
        <w:rPr>
          <w:spacing w:val="8"/>
          <w:sz w:val="17"/>
        </w:rPr>
        <w:t> </w:t>
      </w:r>
      <w:r>
        <w:rPr>
          <w:sz w:val="17"/>
        </w:rPr>
        <w:t>240  </w:t>
      </w:r>
      <w:r>
        <w:rPr>
          <w:spacing w:val="5"/>
          <w:sz w:val="17"/>
        </w:rPr>
        <w:t> </w:t>
      </w:r>
      <w:r>
        <w:rPr>
          <w:sz w:val="17"/>
        </w:rPr>
        <w:t>300  </w:t>
      </w:r>
      <w:r>
        <w:rPr>
          <w:spacing w:val="8"/>
          <w:sz w:val="17"/>
        </w:rPr>
        <w:t> </w:t>
      </w:r>
      <w:r>
        <w:rPr>
          <w:sz w:val="17"/>
        </w:rPr>
        <w:t>360  </w:t>
      </w:r>
      <w:r>
        <w:rPr>
          <w:spacing w:val="5"/>
          <w:sz w:val="17"/>
        </w:rPr>
        <w:t> </w:t>
      </w:r>
      <w:r>
        <w:rPr>
          <w:sz w:val="17"/>
        </w:rPr>
        <w:t>420  </w:t>
      </w:r>
      <w:r>
        <w:rPr>
          <w:spacing w:val="9"/>
          <w:sz w:val="17"/>
        </w:rPr>
        <w:t> </w:t>
      </w:r>
      <w:r>
        <w:rPr>
          <w:sz w:val="17"/>
        </w:rPr>
        <w:t>480  </w:t>
      </w:r>
      <w:r>
        <w:rPr>
          <w:spacing w:val="4"/>
          <w:sz w:val="17"/>
        </w:rPr>
        <w:t> </w:t>
      </w:r>
      <w:r>
        <w:rPr>
          <w:sz w:val="17"/>
        </w:rPr>
        <w:t>540  </w:t>
      </w:r>
      <w:r>
        <w:rPr>
          <w:spacing w:val="9"/>
          <w:sz w:val="17"/>
        </w:rPr>
        <w:t> </w:t>
      </w:r>
      <w:r>
        <w:rPr>
          <w:sz w:val="17"/>
        </w:rPr>
        <w:t>600  </w:t>
      </w:r>
      <w:r>
        <w:rPr>
          <w:spacing w:val="5"/>
          <w:sz w:val="17"/>
        </w:rPr>
        <w:t> </w:t>
      </w:r>
      <w:r>
        <w:rPr>
          <w:sz w:val="17"/>
        </w:rPr>
        <w:t>660  </w:t>
      </w:r>
      <w:r>
        <w:rPr>
          <w:spacing w:val="8"/>
          <w:sz w:val="17"/>
        </w:rPr>
        <w:t> </w:t>
      </w:r>
      <w:r>
        <w:rPr>
          <w:sz w:val="17"/>
        </w:rPr>
        <w:t>720  </w:t>
      </w:r>
      <w:r>
        <w:rPr>
          <w:spacing w:val="5"/>
          <w:sz w:val="17"/>
        </w:rPr>
        <w:t> </w:t>
      </w:r>
      <w:r>
        <w:rPr>
          <w:sz w:val="17"/>
        </w:rPr>
        <w:t>780  </w:t>
      </w:r>
      <w:r>
        <w:rPr>
          <w:spacing w:val="9"/>
          <w:sz w:val="17"/>
        </w:rPr>
        <w:t> </w:t>
      </w:r>
      <w:r>
        <w:rPr>
          <w:sz w:val="17"/>
        </w:rPr>
        <w:t>840  </w:t>
      </w:r>
      <w:r>
        <w:rPr>
          <w:spacing w:val="4"/>
          <w:sz w:val="17"/>
        </w:rPr>
        <w:t> </w:t>
      </w:r>
      <w:r>
        <w:rPr>
          <w:sz w:val="17"/>
        </w:rPr>
        <w:t>900  </w:t>
      </w:r>
      <w:r>
        <w:rPr>
          <w:spacing w:val="5"/>
          <w:sz w:val="17"/>
        </w:rPr>
        <w:t> </w:t>
      </w:r>
      <w:r>
        <w:rPr>
          <w:sz w:val="17"/>
        </w:rPr>
        <w:t>960</w:t>
      </w:r>
      <w:r>
        <w:rPr>
          <w:spacing w:val="27"/>
          <w:sz w:val="17"/>
        </w:rPr>
        <w:t> </w:t>
      </w:r>
      <w:r>
        <w:rPr>
          <w:sz w:val="17"/>
        </w:rPr>
        <w:t>1020</w:t>
      </w:r>
      <w:r>
        <w:rPr>
          <w:spacing w:val="4"/>
          <w:sz w:val="17"/>
        </w:rPr>
        <w:t> </w:t>
      </w:r>
      <w:r>
        <w:rPr>
          <w:sz w:val="17"/>
        </w:rPr>
        <w:t>1080</w:t>
      </w:r>
      <w:r>
        <w:rPr>
          <w:spacing w:val="7"/>
          <w:sz w:val="17"/>
        </w:rPr>
        <w:t> </w:t>
      </w:r>
      <w:r>
        <w:rPr>
          <w:sz w:val="17"/>
        </w:rPr>
        <w:t>1140</w:t>
      </w:r>
      <w:r>
        <w:rPr>
          <w:spacing w:val="4"/>
          <w:sz w:val="17"/>
        </w:rPr>
        <w:t> </w:t>
      </w:r>
      <w:r>
        <w:rPr>
          <w:sz w:val="17"/>
        </w:rPr>
        <w:t>1200</w:t>
      </w:r>
    </w:p>
    <w:p>
      <w:pPr>
        <w:spacing w:line="187" w:lineRule="exact" w:before="0"/>
        <w:ind w:left="815" w:right="0" w:firstLine="0"/>
        <w:jc w:val="left"/>
        <w:rPr>
          <w:sz w:val="17"/>
        </w:rPr>
      </w:pPr>
      <w:r>
        <w:rPr/>
        <w:pict>
          <v:group style="position:absolute;margin-left:142.489471pt;margin-top:3.628663pt;width:357.6pt;height:194.8pt;mso-position-horizontal-relative:page;mso-position-vertical-relative:paragraph;z-index:15811072" coordorigin="2850,73" coordsize="7152,3896">
            <v:rect style="position:absolute;left:2861;top:84;width:7129;height:3873" filled="false" stroked="true" strokeweight="1.162831pt" strokecolor="#000000">
              <v:stroke dashstyle="solid"/>
            </v:rect>
            <v:line style="position:absolute" from="4048,3956" to="4048,3844" stroked="true" strokeweight=".969066pt" strokecolor="#000000">
              <v:stroke dashstyle="solid"/>
            </v:line>
            <v:line style="position:absolute" from="4443,3956" to="4443,3844" stroked="true" strokeweight=".969066pt" strokecolor="#000000">
              <v:stroke dashstyle="solid"/>
            </v:line>
            <v:line style="position:absolute" from="4838,3956" to="4838,3844" stroked="true" strokeweight=".969066pt" strokecolor="#000000">
              <v:stroke dashstyle="solid"/>
            </v:line>
            <v:line style="position:absolute" from="5238,3956" to="5238,3844" stroked="true" strokeweight=".969066pt" strokecolor="#000000">
              <v:stroke dashstyle="solid"/>
            </v:line>
            <v:line style="position:absolute" from="5633,3956" to="5633,3844" stroked="true" strokeweight=".969066pt" strokecolor="#000000">
              <v:stroke dashstyle="solid"/>
            </v:line>
            <v:line style="position:absolute" from="6028,3956" to="6028,3844" stroked="true" strokeweight=".969066pt" strokecolor="#000000">
              <v:stroke dashstyle="solid"/>
            </v:line>
            <v:line style="position:absolute" from="6424,3956" to="6424,3844" stroked="true" strokeweight=".969066pt" strokecolor="#000000">
              <v:stroke dashstyle="solid"/>
            </v:line>
            <v:line style="position:absolute" from="6819,3956" to="6819,3844" stroked="true" strokeweight=".969066pt" strokecolor="#000000">
              <v:stroke dashstyle="solid"/>
            </v:line>
            <v:line style="position:absolute" from="7214,3956" to="7214,3844" stroked="true" strokeweight=".969066pt" strokecolor="#000000">
              <v:stroke dashstyle="solid"/>
            </v:line>
            <v:line style="position:absolute" from="7614,3956" to="7614,3844" stroked="true" strokeweight=".969066pt" strokecolor="#000000">
              <v:stroke dashstyle="solid"/>
            </v:line>
            <v:line style="position:absolute" from="8009,3956" to="8009,3844" stroked="true" strokeweight=".969066pt" strokecolor="#000000">
              <v:stroke dashstyle="solid"/>
            </v:line>
            <v:line style="position:absolute" from="8404,3956" to="8404,3844" stroked="true" strokeweight=".969066pt" strokecolor="#000000">
              <v:stroke dashstyle="solid"/>
            </v:line>
            <v:line style="position:absolute" from="8800,3956" to="8800,3844" stroked="true" strokeweight=".969066pt" strokecolor="#000000">
              <v:stroke dashstyle="solid"/>
            </v:line>
            <v:line style="position:absolute" from="9195,3956" to="9195,3844" stroked="true" strokeweight=".969066pt" strokecolor="#000000">
              <v:stroke dashstyle="solid"/>
            </v:line>
            <v:line style="position:absolute" from="9591,3956" to="9591,3844" stroked="true" strokeweight=".969066pt" strokecolor="#000000">
              <v:stroke dashstyle="solid"/>
            </v:line>
            <v:line style="position:absolute" from="3237,84" to="3237,197" stroked="true" strokeweight=".969066pt" strokecolor="#000000">
              <v:stroke dashstyle="solid"/>
            </v:line>
            <v:line style="position:absolute" from="3629,84" to="3629,197" stroked="true" strokeweight=".969066pt" strokecolor="#000000">
              <v:stroke dashstyle="solid"/>
            </v:line>
            <v:line style="position:absolute" from="4017,84" to="4017,197" stroked="true" strokeweight=".969066pt" strokecolor="#000000">
              <v:stroke dashstyle="solid"/>
            </v:line>
            <v:line style="position:absolute" from="4408,84" to="4408,197" stroked="true" strokeweight=".969066pt" strokecolor="#000000">
              <v:stroke dashstyle="solid"/>
            </v:line>
            <v:line style="position:absolute" from="4796,84" to="4796,197" stroked="true" strokeweight=".969066pt" strokecolor="#000000">
              <v:stroke dashstyle="solid"/>
            </v:line>
            <v:line style="position:absolute" from="5187,84" to="5187,197" stroked="true" strokeweight=".969066pt" strokecolor="#000000">
              <v:stroke dashstyle="solid"/>
            </v:line>
            <v:line style="position:absolute" from="5575,84" to="5575,197" stroked="true" strokeweight=".969066pt" strokecolor="#000000">
              <v:stroke dashstyle="solid"/>
            </v:line>
            <v:line style="position:absolute" from="5966,84" to="5966,197" stroked="true" strokeweight=".969066pt" strokecolor="#000000">
              <v:stroke dashstyle="solid"/>
            </v:line>
            <v:line style="position:absolute" from="6354,84" to="6354,197" stroked="true" strokeweight=".969066pt" strokecolor="#000000">
              <v:stroke dashstyle="solid"/>
            </v:line>
            <v:line style="position:absolute" from="6745,84" to="6745,197" stroked="true" strokeweight=".969066pt" strokecolor="#000000">
              <v:stroke dashstyle="solid"/>
            </v:line>
            <v:line style="position:absolute" from="7133,84" to="7133,197" stroked="true" strokeweight=".969066pt" strokecolor="#000000">
              <v:stroke dashstyle="solid"/>
            </v:line>
            <v:line style="position:absolute" from="7525,84" to="7525,197" stroked="true" strokeweight=".969066pt" strokecolor="#000000">
              <v:stroke dashstyle="solid"/>
            </v:line>
            <v:line style="position:absolute" from="7916,84" to="7916,197" stroked="true" strokeweight=".969066pt" strokecolor="#000000">
              <v:stroke dashstyle="solid"/>
            </v:line>
            <v:line style="position:absolute" from="8695,84" to="8695,197" stroked="true" strokeweight=".969066pt" strokecolor="#000000">
              <v:stroke dashstyle="solid"/>
            </v:line>
            <v:line style="position:absolute" from="9083,84" to="9083,197" stroked="true" strokeweight=".969066pt" strokecolor="#000000">
              <v:stroke dashstyle="solid"/>
            </v:line>
            <v:line style="position:absolute" from="2861,3402" to="3001,3402" stroked="true" strokeweight=".969014pt" strokecolor="#000000">
              <v:stroke dashstyle="solid"/>
            </v:line>
            <v:line style="position:absolute" from="2861,2852" to="3001,2852" stroked="true" strokeweight=".969014pt" strokecolor="#000000">
              <v:stroke dashstyle="solid"/>
            </v:line>
            <v:line style="position:absolute" from="2861,2573" to="3001,2573" stroked="true" strokeweight=".969014pt" strokecolor="#000000">
              <v:stroke dashstyle="solid"/>
            </v:line>
            <v:line style="position:absolute" from="2861,2297" to="3001,2297" stroked="true" strokeweight=".969014pt" strokecolor="#000000">
              <v:stroke dashstyle="solid"/>
            </v:line>
            <v:line style="position:absolute" from="2861,2022" to="3001,2022" stroked="true" strokeweight=".969014pt" strokecolor="#000000">
              <v:stroke dashstyle="solid"/>
            </v:line>
            <v:line style="position:absolute" from="2861,1743" to="3001,1743" stroked="true" strokeweight=".969014pt" strokecolor="#000000">
              <v:stroke dashstyle="solid"/>
            </v:line>
            <v:line style="position:absolute" from="2861,1468" to="3001,1468" stroked="true" strokeweight=".969014pt" strokecolor="#000000">
              <v:stroke dashstyle="solid"/>
            </v:line>
            <v:line style="position:absolute" from="2861,1189" to="3001,1189" stroked="true" strokeweight=".969014pt" strokecolor="#000000">
              <v:stroke dashstyle="solid"/>
            </v:line>
            <v:line style="position:absolute" from="2861,914" to="3001,914" stroked="true" strokeweight=".969014pt" strokecolor="#000000">
              <v:stroke dashstyle="solid"/>
            </v:line>
            <v:line style="position:absolute" from="2861,638" to="3001,638" stroked="true" strokeweight=".969014pt" strokecolor="#000000">
              <v:stroke dashstyle="solid"/>
            </v:line>
            <v:line style="position:absolute" from="2861,359" to="3001,359" stroked="true" strokeweight=".969014pt" strokecolor="#000000">
              <v:stroke dashstyle="solid"/>
            </v:line>
            <v:line style="position:absolute" from="9990,3956" to="9846,3956" stroked="true" strokeweight=".969014pt" strokecolor="#000000">
              <v:stroke dashstyle="solid"/>
            </v:line>
            <v:line style="position:absolute" from="9990,3685" to="9846,3685" stroked="true" strokeweight=".969014pt" strokecolor="#000000">
              <v:stroke dashstyle="solid"/>
            </v:line>
            <v:line style="position:absolute" from="9990,3414" to="9846,3414" stroked="true" strokeweight=".969014pt" strokecolor="#000000">
              <v:stroke dashstyle="solid"/>
            </v:line>
            <v:line style="position:absolute" from="9990,3139" to="9846,3139" stroked="true" strokeweight=".969014pt" strokecolor="#000000">
              <v:stroke dashstyle="solid"/>
            </v:line>
            <v:line style="position:absolute" from="9990,2867" to="9846,2867" stroked="true" strokeweight=".969014pt" strokecolor="#000000">
              <v:stroke dashstyle="solid"/>
            </v:line>
            <v:line style="position:absolute" from="9990,2596" to="9846,2596" stroked="true" strokeweight=".969014pt" strokecolor="#000000">
              <v:stroke dashstyle="solid"/>
            </v:line>
            <v:line style="position:absolute" from="9990,2325" to="9846,2325" stroked="true" strokeweight=".969014pt" strokecolor="#000000">
              <v:stroke dashstyle="solid"/>
            </v:line>
            <v:line style="position:absolute" from="9990,2049" to="9846,2049" stroked="true" strokeweight=".969014pt" strokecolor="#000000">
              <v:stroke dashstyle="solid"/>
            </v:line>
            <v:line style="position:absolute" from="9990,1778" to="9846,1778" stroked="true" strokeweight=".969014pt" strokecolor="#000000">
              <v:stroke dashstyle="solid"/>
            </v:line>
            <v:line style="position:absolute" from="9990,1507" to="9846,1507" stroked="true" strokeweight=".969014pt" strokecolor="#000000">
              <v:stroke dashstyle="solid"/>
            </v:line>
            <v:line style="position:absolute" from="9990,1235" to="9846,1235" stroked="true" strokeweight=".969014pt" strokecolor="#000000">
              <v:stroke dashstyle="solid"/>
            </v:line>
            <v:line style="position:absolute" from="9990,689" to="9846,689" stroked="true" strokeweight=".969014pt" strokecolor="#000000">
              <v:stroke dashstyle="solid"/>
            </v:line>
            <v:line style="position:absolute" from="9990,418" to="9846,418" stroked="true" strokeweight=".969014pt" strokecolor="#000000">
              <v:stroke dashstyle="solid"/>
            </v:line>
            <v:shape style="position:absolute;left:7516;top:467;width:78;height:63" coordorigin="7517,468" coordsize="78,63" path="m7556,530l7517,499,7556,468,7594,499,7556,530xe" filled="true" fillcolor="#ff0000" stroked="false">
              <v:path arrowok="t"/>
              <v:fill type="solid"/>
            </v:shape>
            <v:shape style="position:absolute;left:7516;top:467;width:78;height:63" coordorigin="7517,468" coordsize="78,63" path="m7556,468l7594,499,7556,530,7517,499,7556,468xe" filled="false" stroked="true" strokeweight="1.162841pt" strokecolor="#ff0000">
              <v:path arrowok="t"/>
              <v:stroke dashstyle="solid"/>
            </v:shape>
            <v:shape style="position:absolute;left:7179;top:882;width:78;height:63" coordorigin="7180,883" coordsize="78,63" path="m7218,945l7180,914,7218,883,7257,914,7218,945xe" filled="true" fillcolor="#ff0000" stroked="false">
              <v:path arrowok="t"/>
              <v:fill type="solid"/>
            </v:shape>
            <v:shape style="position:absolute;left:7179;top:882;width:78;height:63" coordorigin="7180,883" coordsize="78,63" path="m7218,883l7257,914,7218,945,7180,914,7218,883xe" filled="false" stroked="true" strokeweight="1.162841pt" strokecolor="#ff0000">
              <v:path arrowok="t"/>
              <v:stroke dashstyle="solid"/>
            </v:shape>
            <v:shape style="position:absolute;left:6640;top:1367;width:78;height:63" coordorigin="6641,1367" coordsize="78,63" path="m6679,1429l6641,1398,6679,1367,6718,1398,6679,1429xe" filled="true" fillcolor="#ff0000" stroked="false">
              <v:path arrowok="t"/>
              <v:fill type="solid"/>
            </v:shape>
            <v:shape style="position:absolute;left:6640;top:1367;width:78;height:63" coordorigin="6641,1367" coordsize="78,63" path="m6679,1367l6718,1398,6679,1429,6641,1398,6679,1367xe" filled="false" stroked="true" strokeweight="1.162841pt" strokecolor="#ff0000">
              <v:path arrowok="t"/>
              <v:stroke dashstyle="solid"/>
            </v:shape>
            <v:shape style="position:absolute;left:7070;top:1057;width:78;height:63" coordorigin="7071,1057" coordsize="78,63" path="m7110,1119l7071,1088,7110,1057,7149,1088,7110,1119xe" filled="true" fillcolor="#ff0000" stroked="false">
              <v:path arrowok="t"/>
              <v:fill type="solid"/>
            </v:shape>
            <v:shape style="position:absolute;left:7070;top:1057;width:78;height:63" coordorigin="7071,1057" coordsize="78,63" path="m7110,1057l7149,1088,7110,1119,7071,1088,7110,1057xe" filled="false" stroked="true" strokeweight="1.162841pt" strokecolor="#ff0000">
              <v:path arrowok="t"/>
              <v:stroke dashstyle="solid"/>
            </v:shape>
            <v:shape style="position:absolute;left:7183;top:743;width:78;height:63" coordorigin="7183,743" coordsize="78,63" path="m7222,805l7183,774,7222,743,7261,774,7222,805xe" filled="true" fillcolor="#ff0000" stroked="false">
              <v:path arrowok="t"/>
              <v:fill type="solid"/>
            </v:shape>
            <v:shape style="position:absolute;left:7183;top:743;width:78;height:63" coordorigin="7183,743" coordsize="78,63" path="m7222,743l7261,774,7222,805,7183,774,7222,743xe" filled="false" stroked="true" strokeweight="1.162841pt" strokecolor="#ff0000">
              <v:path arrowok="t"/>
              <v:stroke dashstyle="solid"/>
            </v:shape>
            <v:shape style="position:absolute;left:7295;top:882;width:78;height:63" coordorigin="7296,883" coordsize="78,63" path="m7335,945l7296,914,7335,883,7373,914,7335,945xe" filled="true" fillcolor="#ff0000" stroked="false">
              <v:path arrowok="t"/>
              <v:fill type="solid"/>
            </v:shape>
            <v:shape style="position:absolute;left:7295;top:882;width:78;height:63" coordorigin="7296,883" coordsize="78,63" path="m7335,883l7373,914,7335,945,7296,914,7335,883xe" filled="false" stroked="true" strokeweight="1.162841pt" strokecolor="#ff0000">
              <v:path arrowok="t"/>
              <v:stroke dashstyle="solid"/>
            </v:shape>
            <v:shape style="position:absolute;left:6361;top:1541;width:78;height:59" coordorigin="6362,1542" coordsize="78,59" path="m6400,1600l6362,1573,6400,1542,6439,1573,6400,1600xe" filled="true" fillcolor="#ff0000" stroked="false">
              <v:path arrowok="t"/>
              <v:fill type="solid"/>
            </v:shape>
            <v:shape style="position:absolute;left:6361;top:1541;width:78;height:59" coordorigin="6362,1542" coordsize="78,59" path="m6400,1542l6439,1573,6400,1600,6362,1573,6400,1542xe" filled="false" stroked="true" strokeweight="1.162839pt" strokecolor="#ff0000">
              <v:path arrowok="t"/>
              <v:stroke dashstyle="solid"/>
            </v:shape>
            <v:shape style="position:absolute;left:6303;top:2603;width:74;height:59" coordorigin="6303,2604" coordsize="74,59" path="m6377,2662l6303,2662,6342,2604,6377,2662xe" filled="true" fillcolor="#0000ff" stroked="false">
              <v:path arrowok="t"/>
              <v:fill type="solid"/>
            </v:shape>
            <v:shape style="position:absolute;left:6303;top:2603;width:74;height:59" coordorigin="6303,2604" coordsize="74,59" path="m6342,2604l6377,2662,6303,2662,6342,2604xe" filled="false" stroked="true" strokeweight="1.162841pt" strokecolor="#0000ff">
              <v:path arrowok="t"/>
              <v:stroke dashstyle="solid"/>
            </v:shape>
            <v:shape style="position:absolute;left:9323;top:529;width:74;height:59" coordorigin="9323,530" coordsize="74,59" path="m9397,588l9323,588,9362,530,9397,588xe" filled="true" fillcolor="#0000ff" stroked="false">
              <v:path arrowok="t"/>
              <v:fill type="solid"/>
            </v:shape>
            <v:shape style="position:absolute;left:9323;top:529;width:74;height:59" coordorigin="9323,530" coordsize="74,59" path="m9362,530l9397,588,9323,588,9362,530xe" filled="false" stroked="true" strokeweight="1.162841pt" strokecolor="#0000ff">
              <v:path arrowok="t"/>
              <v:stroke dashstyle="solid"/>
            </v:shape>
            <v:shape style="position:absolute;left:2861;top:84;width:7129;height:3873" type="#_x0000_t75" stroked="false">
              <v:imagedata r:id="rId133" o:title=""/>
            </v:shape>
            <v:shape style="position:absolute;left:2849;top:72;width:7152;height:3896" type="#_x0000_t202" filled="false" stroked="false">
              <v:textbox inset="0,0,0,0">
                <w:txbxContent>
                  <w:p>
                    <w:pPr>
                      <w:spacing w:line="240" w:lineRule="auto" w:before="8"/>
                      <w:rPr>
                        <w:i/>
                        <w:sz w:val="17"/>
                      </w:rPr>
                    </w:pPr>
                  </w:p>
                  <w:p>
                    <w:pPr>
                      <w:spacing w:line="319" w:lineRule="auto" w:before="0"/>
                      <w:ind w:left="705" w:right="5607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pacing w:val="-3"/>
                        <w:w w:val="105"/>
                        <w:sz w:val="18"/>
                      </w:rPr>
                      <w:t>SPF-S </w:t>
                    </w:r>
                    <w:r>
                      <w:rPr>
                        <w:spacing w:val="-2"/>
                        <w:w w:val="105"/>
                        <w:sz w:val="18"/>
                      </w:rPr>
                      <w:t>data</w:t>
                    </w:r>
                    <w:r>
                      <w:rPr>
                        <w:spacing w:val="-45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SYP</w:t>
                    </w:r>
                    <w:r>
                      <w:rPr>
                        <w:spacing w:val="-7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data</w:t>
                    </w:r>
                  </w:p>
                  <w:p>
                    <w:pPr>
                      <w:spacing w:line="319" w:lineRule="auto" w:before="4"/>
                      <w:ind w:left="705" w:right="4378" w:firstLine="0"/>
                      <w:jc w:val="left"/>
                      <w:rPr>
                        <w:sz w:val="18"/>
                      </w:rPr>
                    </w:pPr>
                    <w:r>
                      <w:rPr>
                        <w:w w:val="105"/>
                        <w:sz w:val="18"/>
                      </w:rPr>
                      <w:t>Poncelet (base) model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spacing w:val="-1"/>
                        <w:w w:val="105"/>
                        <w:sz w:val="18"/>
                      </w:rPr>
                      <w:t>Variant1</w:t>
                    </w:r>
                    <w:r>
                      <w:rPr>
                        <w:spacing w:val="-10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of</w:t>
                    </w:r>
                    <w:r>
                      <w:rPr>
                        <w:spacing w:val="-10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Poncelet</w:t>
                    </w:r>
                    <w:r>
                      <w:rPr>
                        <w:spacing w:val="-7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model</w:t>
                    </w:r>
                    <w:r>
                      <w:rPr>
                        <w:spacing w:val="-44"/>
                        <w:w w:val="105"/>
                        <w:sz w:val="18"/>
                      </w:rPr>
                      <w:t> </w:t>
                    </w:r>
                    <w:r>
                      <w:rPr>
                        <w:spacing w:val="-1"/>
                        <w:w w:val="105"/>
                        <w:sz w:val="18"/>
                      </w:rPr>
                      <w:t>Variant2</w:t>
                    </w:r>
                    <w:r>
                      <w:rPr>
                        <w:spacing w:val="-10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of</w:t>
                    </w:r>
                    <w:r>
                      <w:rPr>
                        <w:spacing w:val="-10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Poncelet</w:t>
                    </w:r>
                    <w:r>
                      <w:rPr>
                        <w:spacing w:val="-7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model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06.397827pt;margin-top:7.22226pt;width:18.05pt;height:173.8pt;mso-position-horizontal-relative:page;mso-position-vertical-relative:paragraph;z-index:15811584" type="#_x0000_t202" filled="false" stroked="false">
            <v:textbox inset="0,0,0,0" style="layout-flow:vertical;mso-layout-flow-alt:bottom-to-top">
              <w:txbxContent>
                <w:p>
                  <w:pPr>
                    <w:spacing w:before="7"/>
                    <w:ind w:left="20" w:right="0" w:firstLine="0"/>
                    <w:jc w:val="left"/>
                    <w:rPr>
                      <w:sz w:val="25"/>
                    </w:rPr>
                  </w:pPr>
                  <w:r>
                    <w:rPr>
                      <w:sz w:val="25"/>
                    </w:rPr>
                    <w:t>Depth</w:t>
                  </w:r>
                  <w:r>
                    <w:rPr>
                      <w:spacing w:val="-11"/>
                      <w:sz w:val="25"/>
                    </w:rPr>
                    <w:t> </w:t>
                  </w:r>
                  <w:r>
                    <w:rPr>
                      <w:sz w:val="25"/>
                    </w:rPr>
                    <w:t>of</w:t>
                  </w:r>
                  <w:r>
                    <w:rPr>
                      <w:spacing w:val="-11"/>
                      <w:sz w:val="25"/>
                    </w:rPr>
                    <w:t> </w:t>
                  </w:r>
                  <w:r>
                    <w:rPr>
                      <w:sz w:val="25"/>
                    </w:rPr>
                    <w:t>Penetration</w:t>
                  </w:r>
                  <w:r>
                    <w:rPr>
                      <w:spacing w:val="-10"/>
                      <w:sz w:val="25"/>
                    </w:rPr>
                    <w:t> </w:t>
                  </w:r>
                  <w:r>
                    <w:rPr>
                      <w:sz w:val="25"/>
                    </w:rPr>
                    <w:t>(T</w:t>
                  </w:r>
                  <w:r>
                    <w:rPr>
                      <w:position w:val="-5"/>
                      <w:sz w:val="19"/>
                    </w:rPr>
                    <w:t>w</w:t>
                  </w:r>
                  <w:r>
                    <w:rPr>
                      <w:sz w:val="25"/>
                    </w:rPr>
                    <w:t>)</w:t>
                  </w:r>
                  <w:r>
                    <w:rPr>
                      <w:spacing w:val="-11"/>
                      <w:sz w:val="25"/>
                    </w:rPr>
                    <w:t> </w:t>
                  </w:r>
                  <w:r>
                    <w:rPr>
                      <w:sz w:val="25"/>
                    </w:rPr>
                    <w:t>(inches)</w:t>
                  </w:r>
                </w:p>
              </w:txbxContent>
            </v:textbox>
            <w10:wrap type="none"/>
          </v:shape>
        </w:pict>
      </w:r>
      <w:r>
        <w:rPr>
          <w:sz w:val="17"/>
        </w:rPr>
        <w:t>14</w:t>
      </w:r>
    </w:p>
    <w:p>
      <w:pPr>
        <w:spacing w:before="84"/>
        <w:ind w:left="815" w:right="0" w:firstLine="0"/>
        <w:jc w:val="left"/>
        <w:rPr>
          <w:sz w:val="17"/>
        </w:rPr>
      </w:pPr>
      <w:r>
        <w:rPr>
          <w:sz w:val="17"/>
        </w:rPr>
        <w:t>13</w:t>
      </w:r>
    </w:p>
    <w:p>
      <w:pPr>
        <w:spacing w:before="80"/>
        <w:ind w:left="815" w:right="0" w:firstLine="0"/>
        <w:jc w:val="left"/>
        <w:rPr>
          <w:sz w:val="17"/>
        </w:rPr>
      </w:pPr>
      <w:r>
        <w:rPr>
          <w:sz w:val="17"/>
        </w:rPr>
        <w:t>12</w:t>
      </w:r>
    </w:p>
    <w:p>
      <w:pPr>
        <w:spacing w:before="79"/>
        <w:ind w:left="815" w:right="0" w:firstLine="0"/>
        <w:jc w:val="left"/>
        <w:rPr>
          <w:sz w:val="17"/>
        </w:rPr>
      </w:pPr>
      <w:r>
        <w:rPr>
          <w:sz w:val="17"/>
        </w:rPr>
        <w:t>11</w:t>
      </w:r>
    </w:p>
    <w:p>
      <w:pPr>
        <w:spacing w:before="84"/>
        <w:ind w:left="815" w:right="0" w:firstLine="0"/>
        <w:jc w:val="left"/>
        <w:rPr>
          <w:sz w:val="17"/>
        </w:rPr>
      </w:pPr>
      <w:r>
        <w:rPr>
          <w:sz w:val="17"/>
        </w:rPr>
        <w:t>10</w:t>
      </w:r>
    </w:p>
    <w:p>
      <w:pPr>
        <w:spacing w:before="80"/>
        <w:ind w:left="901" w:right="0" w:firstLine="0"/>
        <w:jc w:val="left"/>
        <w:rPr>
          <w:sz w:val="17"/>
        </w:rPr>
      </w:pPr>
      <w:r>
        <w:rPr>
          <w:w w:val="100"/>
          <w:sz w:val="17"/>
        </w:rPr>
        <w:t>9</w:t>
      </w:r>
    </w:p>
    <w:p>
      <w:pPr>
        <w:spacing w:before="79"/>
        <w:ind w:left="901" w:right="0" w:firstLine="0"/>
        <w:jc w:val="left"/>
        <w:rPr>
          <w:sz w:val="17"/>
        </w:rPr>
      </w:pPr>
      <w:r>
        <w:rPr>
          <w:w w:val="100"/>
          <w:sz w:val="17"/>
        </w:rPr>
        <w:t>8</w:t>
      </w:r>
    </w:p>
    <w:p>
      <w:pPr>
        <w:spacing w:before="84"/>
        <w:ind w:left="901" w:right="0" w:firstLine="0"/>
        <w:jc w:val="left"/>
        <w:rPr>
          <w:sz w:val="17"/>
        </w:rPr>
      </w:pPr>
      <w:r>
        <w:rPr>
          <w:w w:val="100"/>
          <w:sz w:val="17"/>
        </w:rPr>
        <w:t>7</w:t>
      </w:r>
    </w:p>
    <w:p>
      <w:pPr>
        <w:spacing w:before="80"/>
        <w:ind w:left="901" w:right="0" w:firstLine="0"/>
        <w:jc w:val="left"/>
        <w:rPr>
          <w:sz w:val="17"/>
        </w:rPr>
      </w:pPr>
      <w:r>
        <w:rPr>
          <w:w w:val="100"/>
          <w:sz w:val="17"/>
        </w:rPr>
        <w:t>6</w:t>
      </w:r>
    </w:p>
    <w:p>
      <w:pPr>
        <w:spacing w:before="83"/>
        <w:ind w:left="901" w:right="0" w:firstLine="0"/>
        <w:jc w:val="left"/>
        <w:rPr>
          <w:sz w:val="17"/>
        </w:rPr>
      </w:pPr>
      <w:r>
        <w:rPr>
          <w:w w:val="100"/>
          <w:sz w:val="17"/>
        </w:rPr>
        <w:t>5</w:t>
      </w:r>
    </w:p>
    <w:p>
      <w:pPr>
        <w:spacing w:before="80"/>
        <w:ind w:left="901" w:right="0" w:firstLine="0"/>
        <w:jc w:val="left"/>
        <w:rPr>
          <w:sz w:val="17"/>
        </w:rPr>
      </w:pPr>
      <w:r>
        <w:rPr>
          <w:w w:val="100"/>
          <w:sz w:val="17"/>
        </w:rPr>
        <w:t>4</w:t>
      </w:r>
    </w:p>
    <w:p>
      <w:pPr>
        <w:spacing w:before="80"/>
        <w:ind w:left="901" w:right="0" w:firstLine="0"/>
        <w:jc w:val="left"/>
        <w:rPr>
          <w:sz w:val="17"/>
        </w:rPr>
      </w:pPr>
      <w:r>
        <w:rPr>
          <w:w w:val="100"/>
          <w:sz w:val="17"/>
        </w:rPr>
        <w:t>3</w:t>
      </w:r>
    </w:p>
    <w:p>
      <w:pPr>
        <w:spacing w:before="83"/>
        <w:ind w:left="901" w:right="0" w:firstLine="0"/>
        <w:jc w:val="left"/>
        <w:rPr>
          <w:sz w:val="17"/>
        </w:rPr>
      </w:pPr>
      <w:r>
        <w:rPr>
          <w:w w:val="100"/>
          <w:sz w:val="17"/>
        </w:rPr>
        <w:t>2</w:t>
      </w:r>
    </w:p>
    <w:p>
      <w:pPr>
        <w:spacing w:before="80"/>
        <w:ind w:left="901" w:right="0" w:firstLine="0"/>
        <w:jc w:val="left"/>
        <w:rPr>
          <w:sz w:val="17"/>
        </w:rPr>
      </w:pPr>
      <w:r>
        <w:rPr>
          <w:w w:val="100"/>
          <w:sz w:val="17"/>
        </w:rPr>
        <w:t>1</w:t>
      </w:r>
    </w:p>
    <w:p>
      <w:pPr>
        <w:spacing w:line="150" w:lineRule="exact" w:before="80"/>
        <w:ind w:left="901" w:right="0" w:firstLine="0"/>
        <w:jc w:val="left"/>
        <w:rPr>
          <w:sz w:val="17"/>
        </w:rPr>
      </w:pPr>
      <w:r>
        <w:rPr>
          <w:w w:val="100"/>
          <w:sz w:val="17"/>
        </w:rPr>
        <w:t>0</w:t>
      </w:r>
    </w:p>
    <w:p>
      <w:pPr>
        <w:pStyle w:val="BodyText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3"/>
        <w:rPr>
          <w:sz w:val="15"/>
        </w:rPr>
      </w:pPr>
    </w:p>
    <w:p>
      <w:pPr>
        <w:spacing w:before="0"/>
        <w:ind w:left="-2" w:right="0" w:firstLine="0"/>
        <w:jc w:val="left"/>
        <w:rPr>
          <w:sz w:val="17"/>
        </w:rPr>
      </w:pPr>
      <w:r>
        <w:rPr>
          <w:sz w:val="17"/>
        </w:rPr>
        <w:t>35</w:t>
      </w:r>
    </w:p>
    <w:p>
      <w:pPr>
        <w:spacing w:before="76"/>
        <w:ind w:left="-2" w:right="0" w:firstLine="0"/>
        <w:jc w:val="left"/>
        <w:rPr>
          <w:sz w:val="17"/>
        </w:rPr>
      </w:pPr>
      <w:r>
        <w:rPr/>
        <w:pict>
          <v:shape style="position:absolute;margin-left:520.381348pt;margin-top:9.131937pt;width:18.05pt;height:157.5pt;mso-position-horizontal-relative:page;mso-position-vertical-relative:paragraph;z-index:15813120" type="#_x0000_t202" filled="false" stroked="false">
            <v:textbox inset="0,0,0,0" style="layout-flow:vertical;mso-layout-flow-alt:bottom-to-top">
              <w:txbxContent>
                <w:p>
                  <w:pPr>
                    <w:spacing w:before="7"/>
                    <w:ind w:left="20" w:right="0" w:firstLine="0"/>
                    <w:jc w:val="left"/>
                    <w:rPr>
                      <w:sz w:val="25"/>
                    </w:rPr>
                  </w:pPr>
                  <w:r>
                    <w:rPr>
                      <w:sz w:val="25"/>
                    </w:rPr>
                    <w:t>Depth</w:t>
                  </w:r>
                  <w:r>
                    <w:rPr>
                      <w:spacing w:val="-9"/>
                      <w:sz w:val="25"/>
                    </w:rPr>
                    <w:t> </w:t>
                  </w:r>
                  <w:r>
                    <w:rPr>
                      <w:sz w:val="25"/>
                    </w:rPr>
                    <w:t>of</w:t>
                  </w:r>
                  <w:r>
                    <w:rPr>
                      <w:spacing w:val="-9"/>
                      <w:sz w:val="25"/>
                    </w:rPr>
                    <w:t> </w:t>
                  </w:r>
                  <w:r>
                    <w:rPr>
                      <w:sz w:val="25"/>
                    </w:rPr>
                    <w:t>Penetration</w:t>
                  </w:r>
                  <w:r>
                    <w:rPr>
                      <w:spacing w:val="-8"/>
                      <w:sz w:val="25"/>
                    </w:rPr>
                    <w:t> </w:t>
                  </w:r>
                  <w:r>
                    <w:rPr>
                      <w:sz w:val="25"/>
                    </w:rPr>
                    <w:t>(T</w:t>
                  </w:r>
                  <w:r>
                    <w:rPr>
                      <w:position w:val="-5"/>
                      <w:sz w:val="19"/>
                    </w:rPr>
                    <w:t>w</w:t>
                  </w:r>
                  <w:r>
                    <w:rPr>
                      <w:sz w:val="25"/>
                    </w:rPr>
                    <w:t>)</w:t>
                  </w:r>
                  <w:r>
                    <w:rPr>
                      <w:spacing w:val="-9"/>
                      <w:sz w:val="25"/>
                    </w:rPr>
                    <w:t> </w:t>
                  </w:r>
                  <w:r>
                    <w:rPr>
                      <w:sz w:val="25"/>
                    </w:rPr>
                    <w:t>(cm)</w:t>
                  </w:r>
                </w:p>
              </w:txbxContent>
            </v:textbox>
            <w10:wrap type="none"/>
          </v:shape>
        </w:pict>
      </w:r>
      <w:r>
        <w:rPr>
          <w:sz w:val="17"/>
        </w:rPr>
        <w:t>32.5</w:t>
      </w:r>
    </w:p>
    <w:p>
      <w:pPr>
        <w:spacing w:before="80"/>
        <w:ind w:left="-2" w:right="0" w:firstLine="0"/>
        <w:jc w:val="left"/>
        <w:rPr>
          <w:sz w:val="17"/>
        </w:rPr>
      </w:pPr>
      <w:r>
        <w:rPr>
          <w:sz w:val="17"/>
        </w:rPr>
        <w:t>30</w:t>
      </w:r>
    </w:p>
    <w:p>
      <w:pPr>
        <w:spacing w:before="76"/>
        <w:ind w:left="-2" w:right="0" w:firstLine="0"/>
        <w:jc w:val="left"/>
        <w:rPr>
          <w:sz w:val="17"/>
        </w:rPr>
      </w:pPr>
      <w:r>
        <w:rPr>
          <w:sz w:val="17"/>
        </w:rPr>
        <w:t>27.5</w:t>
      </w:r>
    </w:p>
    <w:p>
      <w:pPr>
        <w:spacing w:before="75"/>
        <w:ind w:left="-2" w:right="0" w:firstLine="0"/>
        <w:jc w:val="left"/>
        <w:rPr>
          <w:sz w:val="17"/>
        </w:rPr>
      </w:pPr>
      <w:r>
        <w:rPr>
          <w:sz w:val="17"/>
        </w:rPr>
        <w:t>25</w:t>
      </w:r>
    </w:p>
    <w:p>
      <w:pPr>
        <w:spacing w:before="76"/>
        <w:ind w:left="-2" w:right="0" w:firstLine="0"/>
        <w:jc w:val="left"/>
        <w:rPr>
          <w:sz w:val="17"/>
        </w:rPr>
      </w:pPr>
      <w:r>
        <w:rPr>
          <w:sz w:val="17"/>
        </w:rPr>
        <w:t>22.5</w:t>
      </w:r>
    </w:p>
    <w:p>
      <w:pPr>
        <w:spacing w:before="76"/>
        <w:ind w:left="-2" w:right="0" w:firstLine="0"/>
        <w:jc w:val="left"/>
        <w:rPr>
          <w:sz w:val="17"/>
        </w:rPr>
      </w:pPr>
      <w:r>
        <w:rPr>
          <w:sz w:val="17"/>
        </w:rPr>
        <w:t>20</w:t>
      </w:r>
    </w:p>
    <w:p>
      <w:pPr>
        <w:spacing w:before="80"/>
        <w:ind w:left="-2" w:right="0" w:firstLine="0"/>
        <w:jc w:val="left"/>
        <w:rPr>
          <w:sz w:val="17"/>
        </w:rPr>
      </w:pPr>
      <w:r>
        <w:rPr>
          <w:sz w:val="17"/>
        </w:rPr>
        <w:t>17.5</w:t>
      </w:r>
    </w:p>
    <w:p>
      <w:pPr>
        <w:spacing w:before="76"/>
        <w:ind w:left="-2" w:right="0" w:firstLine="0"/>
        <w:jc w:val="left"/>
        <w:rPr>
          <w:sz w:val="17"/>
        </w:rPr>
      </w:pPr>
      <w:r>
        <w:rPr>
          <w:sz w:val="17"/>
        </w:rPr>
        <w:t>15</w:t>
      </w:r>
    </w:p>
    <w:p>
      <w:pPr>
        <w:spacing w:before="75"/>
        <w:ind w:left="-2" w:right="0" w:firstLine="0"/>
        <w:jc w:val="left"/>
        <w:rPr>
          <w:sz w:val="17"/>
        </w:rPr>
      </w:pPr>
      <w:r>
        <w:rPr>
          <w:sz w:val="17"/>
        </w:rPr>
        <w:t>12.5</w:t>
      </w:r>
    </w:p>
    <w:p>
      <w:pPr>
        <w:spacing w:before="76"/>
        <w:ind w:left="-2" w:right="0" w:firstLine="0"/>
        <w:jc w:val="left"/>
        <w:rPr>
          <w:sz w:val="17"/>
        </w:rPr>
      </w:pPr>
      <w:r>
        <w:rPr>
          <w:sz w:val="17"/>
        </w:rPr>
        <w:t>10</w:t>
      </w:r>
    </w:p>
    <w:p>
      <w:pPr>
        <w:spacing w:before="80"/>
        <w:ind w:left="-2" w:right="0" w:firstLine="0"/>
        <w:jc w:val="left"/>
        <w:rPr>
          <w:sz w:val="17"/>
        </w:rPr>
      </w:pPr>
      <w:r>
        <w:rPr>
          <w:sz w:val="17"/>
        </w:rPr>
        <w:t>7.5</w:t>
      </w:r>
    </w:p>
    <w:p>
      <w:pPr>
        <w:spacing w:before="76"/>
        <w:ind w:left="-2" w:right="0" w:firstLine="0"/>
        <w:jc w:val="left"/>
        <w:rPr>
          <w:sz w:val="17"/>
        </w:rPr>
      </w:pPr>
      <w:r>
        <w:rPr>
          <w:w w:val="100"/>
          <w:sz w:val="17"/>
        </w:rPr>
        <w:t>5</w:t>
      </w:r>
    </w:p>
    <w:p>
      <w:pPr>
        <w:spacing w:before="76"/>
        <w:ind w:left="-2" w:right="0" w:firstLine="0"/>
        <w:jc w:val="left"/>
        <w:rPr>
          <w:sz w:val="17"/>
        </w:rPr>
      </w:pPr>
      <w:r>
        <w:rPr>
          <w:sz w:val="17"/>
        </w:rPr>
        <w:t>2.5</w:t>
      </w:r>
    </w:p>
    <w:p>
      <w:pPr>
        <w:spacing w:line="166" w:lineRule="exact" w:before="76"/>
        <w:ind w:left="-2" w:right="0" w:firstLine="0"/>
        <w:jc w:val="left"/>
        <w:rPr>
          <w:sz w:val="17"/>
        </w:rPr>
      </w:pPr>
      <w:r>
        <w:rPr>
          <w:w w:val="100"/>
          <w:sz w:val="17"/>
        </w:rPr>
        <w:t>0</w:t>
      </w:r>
    </w:p>
    <w:p>
      <w:pPr>
        <w:spacing w:after="0" w:line="166" w:lineRule="exact"/>
        <w:jc w:val="left"/>
        <w:rPr>
          <w:sz w:val="17"/>
        </w:rPr>
        <w:sectPr>
          <w:type w:val="continuous"/>
          <w:pgSz w:w="12240" w:h="15840"/>
          <w:pgMar w:top="1380" w:bottom="280" w:left="1720" w:right="1020"/>
          <w:cols w:num="2" w:equalWidth="0">
            <w:col w:w="8286" w:space="40"/>
            <w:col w:w="1174"/>
          </w:cols>
        </w:sectPr>
      </w:pPr>
    </w:p>
    <w:p>
      <w:pPr>
        <w:tabs>
          <w:tab w:pos="1796" w:val="left" w:leader="none"/>
          <w:tab w:pos="2521" w:val="left" w:leader="none"/>
          <w:tab w:pos="3315" w:val="left" w:leader="none"/>
          <w:tab w:pos="4106" w:val="left" w:leader="none"/>
          <w:tab w:pos="4897" w:val="left" w:leader="none"/>
          <w:tab w:pos="5692" w:val="left" w:leader="none"/>
          <w:tab w:pos="6482" w:val="left" w:leader="none"/>
          <w:tab w:pos="7273" w:val="left" w:leader="none"/>
          <w:tab w:pos="8068" w:val="left" w:leader="none"/>
        </w:tabs>
        <w:spacing w:line="189" w:lineRule="exact" w:before="0"/>
        <w:ind w:left="1005" w:right="0" w:firstLine="0"/>
        <w:jc w:val="left"/>
        <w:rPr>
          <w:sz w:val="17"/>
        </w:rPr>
      </w:pPr>
      <w:r>
        <w:rPr>
          <w:sz w:val="17"/>
        </w:rPr>
        <w:t>400</w:t>
        <w:tab/>
        <w:t>800</w:t>
        <w:tab/>
        <w:t>1200</w:t>
        <w:tab/>
        <w:t>1600</w:t>
        <w:tab/>
        <w:t>2000</w:t>
        <w:tab/>
        <w:t>2400</w:t>
        <w:tab/>
        <w:t>2800</w:t>
        <w:tab/>
        <w:t>3200</w:t>
        <w:tab/>
        <w:t>3600</w:t>
        <w:tab/>
        <w:t>4000</w:t>
      </w:r>
    </w:p>
    <w:p>
      <w:pPr>
        <w:pStyle w:val="Heading8"/>
        <w:spacing w:before="51"/>
        <w:ind w:left="105"/>
        <w:jc w:val="center"/>
      </w:pPr>
      <w:r>
        <w:rPr>
          <w:spacing w:val="-2"/>
        </w:rPr>
        <w:t>Striking</w:t>
      </w:r>
      <w:r>
        <w:rPr>
          <w:spacing w:val="-13"/>
        </w:rPr>
        <w:t> </w:t>
      </w:r>
      <w:r>
        <w:rPr>
          <w:spacing w:val="-2"/>
        </w:rPr>
        <w:t>Velocity</w:t>
      </w:r>
      <w:r>
        <w:rPr>
          <w:spacing w:val="-5"/>
        </w:rPr>
        <w:t> </w:t>
      </w:r>
      <w:r>
        <w:rPr>
          <w:spacing w:val="-1"/>
        </w:rPr>
        <w:t>(V</w:t>
      </w:r>
      <w:r>
        <w:rPr>
          <w:spacing w:val="-1"/>
          <w:position w:val="-5"/>
          <w:sz w:val="18"/>
        </w:rPr>
        <w:t>s</w:t>
      </w:r>
      <w:r>
        <w:rPr>
          <w:spacing w:val="-1"/>
        </w:rPr>
        <w:t>)</w:t>
      </w:r>
      <w:r>
        <w:rPr>
          <w:spacing w:val="-6"/>
        </w:rPr>
        <w:t> </w:t>
      </w:r>
      <w:r>
        <w:rPr>
          <w:spacing w:val="-1"/>
        </w:rPr>
        <w:t>(fps)</w:t>
      </w:r>
    </w:p>
    <w:p>
      <w:pPr>
        <w:spacing w:before="241"/>
        <w:ind w:left="439" w:right="418" w:firstLine="0"/>
        <w:jc w:val="left"/>
        <w:rPr>
          <w:i/>
          <w:sz w:val="24"/>
        </w:rPr>
      </w:pPr>
      <w:bookmarkStart w:name="_bookmark74" w:id="294"/>
      <w:bookmarkEnd w:id="294"/>
      <w:r>
        <w:rPr/>
      </w:r>
      <w:r>
        <w:rPr>
          <w:i/>
          <w:sz w:val="24"/>
        </w:rPr>
        <w:t>Figure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5-17.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comparison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variations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Poncelet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equation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models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calibrated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CLT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data.</w:t>
      </w:r>
    </w:p>
    <w:p>
      <w:pPr>
        <w:spacing w:after="0"/>
        <w:jc w:val="left"/>
        <w:rPr>
          <w:sz w:val="24"/>
        </w:rPr>
        <w:sectPr>
          <w:type w:val="continuous"/>
          <w:pgSz w:w="12240" w:h="15840"/>
          <w:pgMar w:top="1380" w:bottom="280" w:left="1720" w:right="1020"/>
        </w:sectPr>
      </w:pPr>
    </w:p>
    <w:p>
      <w:pPr>
        <w:pStyle w:val="BodyText"/>
        <w:spacing w:line="480" w:lineRule="auto" w:before="78"/>
        <w:ind w:left="440" w:right="419" w:firstLine="720"/>
        <w:jc w:val="both"/>
      </w:pPr>
      <w:r>
        <w:rPr/>
        <w:t>The</w:t>
      </w:r>
      <w:r>
        <w:rPr>
          <w:spacing w:val="1"/>
        </w:rPr>
        <w:t> </w:t>
      </w:r>
      <w:r>
        <w:rPr/>
        <w:t>comparison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three</w:t>
      </w:r>
      <w:r>
        <w:rPr>
          <w:spacing w:val="1"/>
        </w:rPr>
        <w:t> </w:t>
      </w:r>
      <w:r>
        <w:rPr/>
        <w:t>variations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Poncelet</w:t>
      </w:r>
      <w:r>
        <w:rPr>
          <w:spacing w:val="1"/>
        </w:rPr>
        <w:t> </w:t>
      </w:r>
      <w:r>
        <w:rPr/>
        <w:t>equation</w:t>
      </w:r>
      <w:r>
        <w:rPr>
          <w:spacing w:val="1"/>
        </w:rPr>
        <w:t> </w:t>
      </w:r>
      <w:r>
        <w:rPr/>
        <w:t>show</w:t>
      </w:r>
      <w:r>
        <w:rPr>
          <w:spacing w:val="1"/>
        </w:rPr>
        <w:t> </w:t>
      </w:r>
      <w:r>
        <w:rPr/>
        <w:t>how</w:t>
      </w:r>
      <w:r>
        <w:rPr>
          <w:spacing w:val="1"/>
        </w:rPr>
        <w:t> </w:t>
      </w:r>
      <w:r>
        <w:rPr/>
        <w:t>relatively small changes to the calibrated equation can vary the shape and fit of the model</w:t>
      </w:r>
      <w:r>
        <w:rPr>
          <w:spacing w:val="-57"/>
        </w:rPr>
        <w:t> </w:t>
      </w:r>
      <w:r>
        <w:rPr/>
        <w:t>significantly.</w:t>
      </w:r>
    </w:p>
    <w:p>
      <w:pPr>
        <w:pStyle w:val="ListParagraph"/>
        <w:numPr>
          <w:ilvl w:val="3"/>
          <w:numId w:val="21"/>
        </w:numPr>
        <w:tabs>
          <w:tab w:pos="1160" w:val="left" w:leader="none"/>
        </w:tabs>
        <w:spacing w:line="240" w:lineRule="auto" w:before="161" w:after="0"/>
        <w:ind w:left="1160" w:right="0" w:hanging="720"/>
        <w:jc w:val="both"/>
        <w:rPr>
          <w:i/>
          <w:sz w:val="24"/>
        </w:rPr>
      </w:pPr>
      <w:bookmarkStart w:name="5.5.4.3 Resal model" w:id="295"/>
      <w:bookmarkEnd w:id="295"/>
      <w:r>
        <w:rPr/>
      </w:r>
      <w:bookmarkStart w:name="5.5.4.3 Resal model" w:id="296"/>
      <w:bookmarkEnd w:id="296"/>
      <w:r>
        <w:rPr>
          <w:i/>
          <w:sz w:val="24"/>
          <w:u w:val="single"/>
        </w:rPr>
        <w:t>R</w:t>
      </w:r>
      <w:r>
        <w:rPr>
          <w:i/>
          <w:sz w:val="24"/>
          <w:u w:val="single"/>
        </w:rPr>
        <w:t>esal</w:t>
      </w:r>
      <w:r>
        <w:rPr>
          <w:i/>
          <w:spacing w:val="-3"/>
          <w:sz w:val="24"/>
          <w:u w:val="single"/>
        </w:rPr>
        <w:t> </w:t>
      </w:r>
      <w:r>
        <w:rPr>
          <w:i/>
          <w:sz w:val="24"/>
          <w:u w:val="single"/>
        </w:rPr>
        <w:t>model</w:t>
      </w:r>
    </w:p>
    <w:p>
      <w:pPr>
        <w:pStyle w:val="BodyText"/>
        <w:spacing w:before="9"/>
        <w:rPr>
          <w:i/>
          <w:sz w:val="14"/>
        </w:rPr>
      </w:pPr>
    </w:p>
    <w:p>
      <w:pPr>
        <w:pStyle w:val="BodyText"/>
        <w:spacing w:line="480" w:lineRule="auto" w:before="90"/>
        <w:ind w:left="440" w:right="417" w:firstLine="720"/>
        <w:jc w:val="both"/>
      </w:pPr>
      <w:r>
        <w:rPr/>
        <w:t>The</w:t>
      </w:r>
      <w:r>
        <w:rPr>
          <w:spacing w:val="-6"/>
        </w:rPr>
        <w:t> </w:t>
      </w:r>
      <w:r>
        <w:rPr/>
        <w:t>last</w:t>
      </w:r>
      <w:r>
        <w:rPr>
          <w:spacing w:val="-5"/>
        </w:rPr>
        <w:t> </w:t>
      </w:r>
      <w:r>
        <w:rPr/>
        <w:t>classical</w:t>
      </w:r>
      <w:r>
        <w:rPr>
          <w:spacing w:val="-5"/>
        </w:rPr>
        <w:t> </w:t>
      </w:r>
      <w:r>
        <w:rPr/>
        <w:t>model</w:t>
      </w:r>
      <w:r>
        <w:rPr>
          <w:spacing w:val="-5"/>
        </w:rPr>
        <w:t> </w:t>
      </w:r>
      <w:r>
        <w:rPr/>
        <w:t>investigated</w:t>
      </w:r>
      <w:r>
        <w:rPr>
          <w:spacing w:val="-8"/>
        </w:rPr>
        <w:t> </w:t>
      </w:r>
      <w:r>
        <w:rPr/>
        <w:t>for</w:t>
      </w:r>
      <w:r>
        <w:rPr>
          <w:spacing w:val="-5"/>
        </w:rPr>
        <w:t> </w:t>
      </w:r>
      <w:r>
        <w:rPr/>
        <w:t>this</w:t>
      </w:r>
      <w:r>
        <w:rPr>
          <w:spacing w:val="-6"/>
        </w:rPr>
        <w:t> </w:t>
      </w:r>
      <w:r>
        <w:rPr/>
        <w:t>work</w:t>
      </w:r>
      <w:r>
        <w:rPr>
          <w:spacing w:val="-5"/>
        </w:rPr>
        <w:t> </w:t>
      </w:r>
      <w:r>
        <w:rPr/>
        <w:t>was</w:t>
      </w:r>
      <w:r>
        <w:rPr>
          <w:spacing w:val="-5"/>
        </w:rPr>
        <w:t> </w:t>
      </w:r>
      <w:r>
        <w:rPr/>
        <w:t>based</w:t>
      </w:r>
      <w:r>
        <w:rPr>
          <w:spacing w:val="-7"/>
        </w:rPr>
        <w:t> </w:t>
      </w:r>
      <w:r>
        <w:rPr/>
        <w:t>on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work</w:t>
      </w:r>
      <w:r>
        <w:rPr>
          <w:spacing w:val="-6"/>
        </w:rPr>
        <w:t> </w:t>
      </w:r>
      <w:r>
        <w:rPr/>
        <w:t>of</w:t>
      </w:r>
      <w:r>
        <w:rPr>
          <w:spacing w:val="-5"/>
        </w:rPr>
        <w:t> </w:t>
      </w:r>
      <w:r>
        <w:rPr/>
        <w:t>Resal.</w:t>
      </w:r>
      <w:r>
        <w:rPr>
          <w:spacing w:val="-58"/>
        </w:rPr>
        <w:t> </w:t>
      </w:r>
      <w:r>
        <w:rPr>
          <w:spacing w:val="-1"/>
        </w:rPr>
        <w:t>His</w:t>
      </w:r>
      <w:r>
        <w:rPr>
          <w:spacing w:val="-12"/>
        </w:rPr>
        <w:t> </w:t>
      </w:r>
      <w:r>
        <w:rPr>
          <w:spacing w:val="-1"/>
        </w:rPr>
        <w:t>equation</w:t>
      </w:r>
      <w:r>
        <w:rPr>
          <w:spacing w:val="-13"/>
        </w:rPr>
        <w:t> </w:t>
      </w:r>
      <w:r>
        <w:rPr>
          <w:spacing w:val="-1"/>
        </w:rPr>
        <w:t>was</w:t>
      </w:r>
      <w:r>
        <w:rPr>
          <w:spacing w:val="-12"/>
        </w:rPr>
        <w:t> </w:t>
      </w:r>
      <w:r>
        <w:rPr>
          <w:spacing w:val="-1"/>
        </w:rPr>
        <w:t>similar</w:t>
      </w:r>
      <w:r>
        <w:rPr>
          <w:spacing w:val="-12"/>
        </w:rPr>
        <w:t> </w:t>
      </w:r>
      <w:r>
        <w:rPr>
          <w:spacing w:val="-1"/>
        </w:rPr>
        <w:t>to</w:t>
      </w:r>
      <w:r>
        <w:rPr>
          <w:spacing w:val="-11"/>
        </w:rPr>
        <w:t> </w:t>
      </w:r>
      <w:r>
        <w:rPr>
          <w:spacing w:val="-1"/>
        </w:rPr>
        <w:t>Poncelet’s</w:t>
      </w:r>
      <w:r>
        <w:rPr>
          <w:spacing w:val="-12"/>
        </w:rPr>
        <w:t> </w:t>
      </w:r>
      <w:r>
        <w:rPr/>
        <w:t>except</w:t>
      </w:r>
      <w:r>
        <w:rPr>
          <w:spacing w:val="-12"/>
        </w:rPr>
        <w:t> </w:t>
      </w:r>
      <w:r>
        <w:rPr/>
        <w:t>that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two</w:t>
      </w:r>
      <w:r>
        <w:rPr>
          <w:spacing w:val="-11"/>
        </w:rPr>
        <w:t> </w:t>
      </w:r>
      <w:r>
        <w:rPr/>
        <w:t>engineers</w:t>
      </w:r>
      <w:r>
        <w:rPr>
          <w:spacing w:val="-11"/>
        </w:rPr>
        <w:t> </w:t>
      </w:r>
      <w:r>
        <w:rPr/>
        <w:t>differed</w:t>
      </w:r>
      <w:r>
        <w:rPr>
          <w:spacing w:val="-12"/>
        </w:rPr>
        <w:t> </w:t>
      </w:r>
      <w:r>
        <w:rPr/>
        <w:t>in</w:t>
      </w:r>
      <w:r>
        <w:rPr>
          <w:spacing w:val="-11"/>
        </w:rPr>
        <w:t> </w:t>
      </w:r>
      <w:r>
        <w:rPr/>
        <w:t>their</w:t>
      </w:r>
      <w:r>
        <w:rPr>
          <w:spacing w:val="-11"/>
        </w:rPr>
        <w:t> </w:t>
      </w:r>
      <w:r>
        <w:rPr/>
        <w:t>beliefs</w:t>
      </w:r>
      <w:r>
        <w:rPr>
          <w:spacing w:val="-58"/>
        </w:rPr>
        <w:t> </w:t>
      </w:r>
      <w:r>
        <w:rPr/>
        <w:t>on which coefficients were zero in the deceleration calculation.</w:t>
      </w:r>
      <w:r>
        <w:rPr>
          <w:spacing w:val="1"/>
        </w:rPr>
        <w:t> </w:t>
      </w:r>
      <w:r>
        <w:rPr/>
        <w:t>Equation 5.7 previously</w:t>
      </w:r>
      <w:r>
        <w:rPr>
          <w:spacing w:val="1"/>
        </w:rPr>
        <w:t> </w:t>
      </w:r>
      <w:r>
        <w:rPr/>
        <w:t>showed the general version of the deceleration.</w:t>
      </w:r>
      <w:r>
        <w:rPr>
          <w:spacing w:val="1"/>
        </w:rPr>
        <w:t> </w:t>
      </w:r>
      <w:r>
        <w:rPr/>
        <w:t>Resal believed the value for </w:t>
      </w:r>
      <w:r>
        <w:rPr>
          <w:i/>
        </w:rPr>
        <w:t>C </w:t>
      </w:r>
      <w:r>
        <w:rPr/>
        <w:t>in the</w:t>
      </w:r>
      <w:r>
        <w:rPr>
          <w:spacing w:val="1"/>
        </w:rPr>
        <w:t> </w:t>
      </w:r>
      <w:r>
        <w:rPr/>
        <w:t>equation</w:t>
      </w:r>
      <w:r>
        <w:rPr>
          <w:spacing w:val="-1"/>
        </w:rPr>
        <w:t> </w:t>
      </w:r>
      <w:r>
        <w:rPr/>
        <w:t>was</w:t>
      </w:r>
      <w:r>
        <w:rPr>
          <w:spacing w:val="-1"/>
        </w:rPr>
        <w:t> </w:t>
      </w:r>
      <w:r>
        <w:rPr/>
        <w:t>zero</w:t>
      </w:r>
      <w:r>
        <w:rPr>
          <w:spacing w:val="-1"/>
        </w:rPr>
        <w:t> </w:t>
      </w:r>
      <w:r>
        <w:rPr/>
        <w:t>but</w:t>
      </w:r>
      <w:r>
        <w:rPr>
          <w:spacing w:val="-2"/>
        </w:rPr>
        <w:t> </w:t>
      </w:r>
      <w:r>
        <w:rPr/>
        <w:t>that</w:t>
      </w:r>
      <w:r>
        <w:rPr>
          <w:spacing w:val="-1"/>
        </w:rPr>
        <w:t> </w:t>
      </w:r>
      <w:r>
        <w:rPr>
          <w:i/>
        </w:rPr>
        <w:t>A</w:t>
      </w:r>
      <w:r>
        <w:rPr>
          <w:i/>
          <w:spacing w:val="-1"/>
        </w:rPr>
        <w:t> </w:t>
      </w:r>
      <w:r>
        <w:rPr/>
        <w:t>and </w:t>
      </w:r>
      <w:r>
        <w:rPr>
          <w:i/>
        </w:rPr>
        <w:t>B</w:t>
      </w:r>
      <w:r>
        <w:rPr>
          <w:i/>
          <w:spacing w:val="-2"/>
        </w:rPr>
        <w:t> </w:t>
      </w:r>
      <w:r>
        <w:rPr/>
        <w:t>both</w:t>
      </w:r>
      <w:r>
        <w:rPr>
          <w:spacing w:val="-1"/>
        </w:rPr>
        <w:t> </w:t>
      </w:r>
      <w:r>
        <w:rPr/>
        <w:t>had</w:t>
      </w:r>
      <w:r>
        <w:rPr>
          <w:spacing w:val="-1"/>
        </w:rPr>
        <w:t> </w:t>
      </w:r>
      <w:r>
        <w:rPr/>
        <w:t>values</w:t>
      </w:r>
      <w:r>
        <w:rPr>
          <w:spacing w:val="-1"/>
        </w:rPr>
        <w:t> </w:t>
      </w:r>
      <w:r>
        <w:rPr/>
        <w:t>while</w:t>
      </w:r>
      <w:r>
        <w:rPr>
          <w:spacing w:val="-1"/>
        </w:rPr>
        <w:t> </w:t>
      </w:r>
      <w:r>
        <w:rPr/>
        <w:t>Poncelet believed</w:t>
      </w:r>
      <w:r>
        <w:rPr>
          <w:spacing w:val="-1"/>
        </w:rPr>
        <w:t> </w:t>
      </w:r>
      <w:r>
        <w:rPr>
          <w:i/>
        </w:rPr>
        <w:t>B</w:t>
      </w:r>
      <w:r>
        <w:rPr>
          <w:i/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be</w:t>
      </w:r>
      <w:r>
        <w:rPr>
          <w:spacing w:val="-1"/>
        </w:rPr>
        <w:t> </w:t>
      </w:r>
      <w:r>
        <w:rPr/>
        <w:t>zero.</w:t>
      </w:r>
    </w:p>
    <w:p>
      <w:pPr>
        <w:pStyle w:val="BodyText"/>
        <w:spacing w:line="480" w:lineRule="auto" w:before="161"/>
        <w:ind w:left="440" w:right="417" w:firstLine="720"/>
        <w:jc w:val="both"/>
      </w:pPr>
      <w:r>
        <w:rPr/>
        <w:t>The Resal model incorporated two constants but no material variables about the</w:t>
      </w:r>
      <w:r>
        <w:rPr>
          <w:spacing w:val="1"/>
        </w:rPr>
        <w:t> </w:t>
      </w:r>
      <w:r>
        <w:rPr/>
        <w:t>target material or the projectile besides the striking velocity.</w:t>
      </w:r>
      <w:r>
        <w:rPr>
          <w:spacing w:val="1"/>
        </w:rPr>
        <w:t> </w:t>
      </w:r>
      <w:hyperlink w:history="true" w:anchor="_bookmark75">
        <w:r>
          <w:rPr/>
          <w:t>Figure 5-18</w:t>
        </w:r>
      </w:hyperlink>
      <w:r>
        <w:rPr/>
        <w:t> shows the curve</w:t>
      </w:r>
      <w:r>
        <w:rPr>
          <w:spacing w:val="-57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Resal</w:t>
      </w:r>
      <w:r>
        <w:rPr>
          <w:spacing w:val="-12"/>
        </w:rPr>
        <w:t> </w:t>
      </w:r>
      <w:r>
        <w:rPr/>
        <w:t>model</w:t>
      </w:r>
      <w:r>
        <w:rPr>
          <w:spacing w:val="-11"/>
        </w:rPr>
        <w:t> </w:t>
      </w:r>
      <w:r>
        <w:rPr/>
        <w:t>calibrated</w:t>
      </w:r>
      <w:r>
        <w:rPr>
          <w:spacing w:val="-12"/>
        </w:rPr>
        <w:t> </w:t>
      </w:r>
      <w:r>
        <w:rPr/>
        <w:t>to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CLT</w:t>
      </w:r>
      <w:r>
        <w:rPr>
          <w:spacing w:val="-11"/>
        </w:rPr>
        <w:t> </w:t>
      </w:r>
      <w:r>
        <w:rPr/>
        <w:t>data.</w:t>
      </w:r>
      <w:r>
        <w:rPr>
          <w:spacing w:val="38"/>
        </w:rPr>
        <w:t> </w:t>
      </w:r>
      <w:r>
        <w:rPr/>
        <w:t>The</w:t>
      </w:r>
      <w:r>
        <w:rPr>
          <w:spacing w:val="-11"/>
        </w:rPr>
        <w:t> </w:t>
      </w:r>
      <w:r>
        <w:rPr/>
        <w:t>MSE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this</w:t>
      </w:r>
      <w:r>
        <w:rPr>
          <w:spacing w:val="-11"/>
        </w:rPr>
        <w:t> </w:t>
      </w:r>
      <w:r>
        <w:rPr/>
        <w:t>model</w:t>
      </w:r>
      <w:r>
        <w:rPr>
          <w:spacing w:val="-11"/>
        </w:rPr>
        <w:t> </w:t>
      </w:r>
      <w:r>
        <w:rPr/>
        <w:t>was</w:t>
      </w:r>
      <w:r>
        <w:rPr>
          <w:spacing w:val="-11"/>
        </w:rPr>
        <w:t> </w:t>
      </w:r>
      <w:r>
        <w:rPr/>
        <w:t>1.345,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same</w:t>
      </w:r>
      <w:r>
        <w:rPr>
          <w:spacing w:val="-58"/>
        </w:rPr>
        <w:t> </w:t>
      </w:r>
      <w:r>
        <w:rPr/>
        <w:t>as</w:t>
      </w:r>
      <w:r>
        <w:rPr>
          <w:spacing w:val="-1"/>
        </w:rPr>
        <w:t> </w:t>
      </w:r>
      <w:r>
        <w:rPr/>
        <w:t>the value</w:t>
      </w:r>
      <w:r>
        <w:rPr>
          <w:spacing w:val="-1"/>
        </w:rPr>
        <w:t> </w:t>
      </w:r>
      <w:r>
        <w:rPr/>
        <w:t>for the base</w:t>
      </w:r>
      <w:r>
        <w:rPr>
          <w:spacing w:val="-1"/>
        </w:rPr>
        <w:t> </w:t>
      </w:r>
      <w:r>
        <w:rPr/>
        <w:t>Poncelet model.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316" w:lineRule="exact" w:before="72"/>
        <w:ind w:left="3524"/>
      </w:pPr>
      <w:r>
        <w:rPr/>
        <w:t>Striking</w:t>
      </w:r>
      <w:r>
        <w:rPr>
          <w:spacing w:val="1"/>
        </w:rPr>
        <w:t> </w:t>
      </w:r>
      <w:r>
        <w:rPr/>
        <w:t>Velocity</w:t>
      </w:r>
      <w:r>
        <w:rPr>
          <w:spacing w:val="10"/>
        </w:rPr>
        <w:t> </w:t>
      </w:r>
      <w:r>
        <w:rPr/>
        <w:t>(V</w:t>
      </w:r>
      <w:r>
        <w:rPr>
          <w:position w:val="-5"/>
          <w:sz w:val="18"/>
        </w:rPr>
        <w:t>s</w:t>
      </w:r>
      <w:r>
        <w:rPr/>
        <w:t>)</w:t>
      </w:r>
      <w:r>
        <w:rPr>
          <w:spacing w:val="8"/>
        </w:rPr>
        <w:t> </w:t>
      </w:r>
      <w:r>
        <w:rPr/>
        <w:t>(m/s)</w:t>
      </w:r>
    </w:p>
    <w:p>
      <w:pPr>
        <w:spacing w:line="189" w:lineRule="exact" w:before="0"/>
        <w:ind w:left="1300" w:right="0" w:firstLine="0"/>
        <w:jc w:val="left"/>
        <w:rPr>
          <w:sz w:val="17"/>
        </w:rPr>
      </w:pPr>
      <w:r>
        <w:rPr>
          <w:sz w:val="17"/>
        </w:rPr>
        <w:t>180  </w:t>
      </w:r>
      <w:r>
        <w:rPr>
          <w:spacing w:val="6"/>
          <w:sz w:val="17"/>
        </w:rPr>
        <w:t> </w:t>
      </w:r>
      <w:r>
        <w:rPr>
          <w:sz w:val="17"/>
        </w:rPr>
        <w:t>240  </w:t>
      </w:r>
      <w:r>
        <w:rPr>
          <w:spacing w:val="3"/>
          <w:sz w:val="17"/>
        </w:rPr>
        <w:t> </w:t>
      </w:r>
      <w:r>
        <w:rPr>
          <w:sz w:val="17"/>
        </w:rPr>
        <w:t>300  </w:t>
      </w:r>
      <w:r>
        <w:rPr>
          <w:spacing w:val="7"/>
          <w:sz w:val="17"/>
        </w:rPr>
        <w:t> </w:t>
      </w:r>
      <w:r>
        <w:rPr>
          <w:sz w:val="17"/>
        </w:rPr>
        <w:t>360  </w:t>
      </w:r>
      <w:r>
        <w:rPr>
          <w:spacing w:val="3"/>
          <w:sz w:val="17"/>
        </w:rPr>
        <w:t> </w:t>
      </w:r>
      <w:r>
        <w:rPr>
          <w:sz w:val="17"/>
        </w:rPr>
        <w:t>420  </w:t>
      </w:r>
      <w:r>
        <w:rPr>
          <w:spacing w:val="6"/>
          <w:sz w:val="17"/>
        </w:rPr>
        <w:t> </w:t>
      </w:r>
      <w:r>
        <w:rPr>
          <w:sz w:val="17"/>
        </w:rPr>
        <w:t>480  </w:t>
      </w:r>
      <w:r>
        <w:rPr>
          <w:spacing w:val="3"/>
          <w:sz w:val="17"/>
        </w:rPr>
        <w:t> </w:t>
      </w:r>
      <w:r>
        <w:rPr>
          <w:sz w:val="17"/>
        </w:rPr>
        <w:t>540  </w:t>
      </w:r>
      <w:r>
        <w:rPr>
          <w:spacing w:val="7"/>
          <w:sz w:val="17"/>
        </w:rPr>
        <w:t> </w:t>
      </w:r>
      <w:r>
        <w:rPr>
          <w:sz w:val="17"/>
        </w:rPr>
        <w:t>600  </w:t>
      </w:r>
      <w:r>
        <w:rPr>
          <w:spacing w:val="3"/>
          <w:sz w:val="17"/>
        </w:rPr>
        <w:t> </w:t>
      </w:r>
      <w:r>
        <w:rPr>
          <w:sz w:val="17"/>
        </w:rPr>
        <w:t>660  </w:t>
      </w:r>
      <w:r>
        <w:rPr>
          <w:spacing w:val="6"/>
          <w:sz w:val="17"/>
        </w:rPr>
        <w:t> </w:t>
      </w:r>
      <w:r>
        <w:rPr>
          <w:sz w:val="17"/>
        </w:rPr>
        <w:t>720  </w:t>
      </w:r>
      <w:r>
        <w:rPr>
          <w:spacing w:val="3"/>
          <w:sz w:val="17"/>
        </w:rPr>
        <w:t> </w:t>
      </w:r>
      <w:r>
        <w:rPr>
          <w:sz w:val="17"/>
        </w:rPr>
        <w:t>780  </w:t>
      </w:r>
      <w:r>
        <w:rPr>
          <w:spacing w:val="7"/>
          <w:sz w:val="17"/>
        </w:rPr>
        <w:t> </w:t>
      </w:r>
      <w:r>
        <w:rPr>
          <w:sz w:val="17"/>
        </w:rPr>
        <w:t>840  </w:t>
      </w:r>
      <w:r>
        <w:rPr>
          <w:spacing w:val="3"/>
          <w:sz w:val="17"/>
        </w:rPr>
        <w:t> </w:t>
      </w:r>
      <w:r>
        <w:rPr>
          <w:sz w:val="17"/>
        </w:rPr>
        <w:t>900  </w:t>
      </w:r>
      <w:r>
        <w:rPr>
          <w:spacing w:val="3"/>
          <w:sz w:val="17"/>
        </w:rPr>
        <w:t> </w:t>
      </w:r>
      <w:r>
        <w:rPr>
          <w:sz w:val="17"/>
        </w:rPr>
        <w:t>960</w:t>
      </w:r>
      <w:r>
        <w:rPr>
          <w:spacing w:val="26"/>
          <w:sz w:val="17"/>
        </w:rPr>
        <w:t> </w:t>
      </w:r>
      <w:r>
        <w:rPr>
          <w:sz w:val="17"/>
        </w:rPr>
        <w:t>1020</w:t>
      </w:r>
      <w:r>
        <w:rPr>
          <w:spacing w:val="3"/>
          <w:sz w:val="17"/>
        </w:rPr>
        <w:t> </w:t>
      </w:r>
      <w:r>
        <w:rPr>
          <w:sz w:val="17"/>
        </w:rPr>
        <w:t>1080</w:t>
      </w:r>
      <w:r>
        <w:rPr>
          <w:spacing w:val="7"/>
          <w:sz w:val="17"/>
        </w:rPr>
        <w:t> </w:t>
      </w:r>
      <w:r>
        <w:rPr>
          <w:sz w:val="17"/>
        </w:rPr>
        <w:t>1140</w:t>
      </w:r>
      <w:r>
        <w:rPr>
          <w:spacing w:val="3"/>
          <w:sz w:val="17"/>
        </w:rPr>
        <w:t> </w:t>
      </w:r>
      <w:r>
        <w:rPr>
          <w:sz w:val="17"/>
        </w:rPr>
        <w:t>1200</w:t>
      </w:r>
    </w:p>
    <w:p>
      <w:pPr>
        <w:spacing w:before="13"/>
        <w:ind w:left="783" w:right="0" w:firstLine="0"/>
        <w:jc w:val="left"/>
        <w:rPr>
          <w:sz w:val="17"/>
        </w:rPr>
      </w:pPr>
      <w:r>
        <w:rPr/>
        <w:pict>
          <v:group style="position:absolute;margin-left:137.717651pt;margin-top:5.501677pt;width:356.15pt;height:194pt;mso-position-horizontal-relative:page;mso-position-vertical-relative:paragraph;z-index:15813632" coordorigin="2754,110" coordsize="7123,3880">
            <v:rect style="position:absolute;left:2765;top:121;width:7100;height:3857" filled="false" stroked="true" strokeweight="1.158111pt" strokecolor="#000000">
              <v:stroke dashstyle="solid"/>
            </v:rect>
            <v:line style="position:absolute" from="3160,3978" to="3160,3866" stroked="true" strokeweight=".965158pt" strokecolor="#000000">
              <v:stroke dashstyle="solid"/>
            </v:line>
            <v:line style="position:absolute" from="3554,3978" to="3554,3866" stroked="true" strokeweight=".965158pt" strokecolor="#000000">
              <v:stroke dashstyle="solid"/>
            </v:line>
            <v:line style="position:absolute" from="3947,3978" to="3947,3866" stroked="true" strokeweight=".965158pt" strokecolor="#000000">
              <v:stroke dashstyle="solid"/>
            </v:line>
            <v:line style="position:absolute" from="4341,3978" to="4341,3866" stroked="true" strokeweight=".965158pt" strokecolor="#000000">
              <v:stroke dashstyle="solid"/>
            </v:line>
            <v:line style="position:absolute" from="4735,3978" to="4735,3866" stroked="true" strokeweight=".965158pt" strokecolor="#000000">
              <v:stroke dashstyle="solid"/>
            </v:line>
            <v:line style="position:absolute" from="5133,3978" to="5133,3866" stroked="true" strokeweight=".965158pt" strokecolor="#000000">
              <v:stroke dashstyle="solid"/>
            </v:line>
            <v:line style="position:absolute" from="5526,3978" to="5526,3866" stroked="true" strokeweight=".965158pt" strokecolor="#000000">
              <v:stroke dashstyle="solid"/>
            </v:line>
            <v:line style="position:absolute" from="5920,3978" to="5920,3866" stroked="true" strokeweight=".965158pt" strokecolor="#000000">
              <v:stroke dashstyle="solid"/>
            </v:line>
            <v:line style="position:absolute" from="6314,3978" to="6314,3866" stroked="true" strokeweight=".965158pt" strokecolor="#000000">
              <v:stroke dashstyle="solid"/>
            </v:line>
            <v:line style="position:absolute" from="6708,3978" to="6708,3866" stroked="true" strokeweight=".965158pt" strokecolor="#000000">
              <v:stroke dashstyle="solid"/>
            </v:line>
            <v:line style="position:absolute" from="7101,3978" to="7101,3866" stroked="true" strokeweight=".965158pt" strokecolor="#000000">
              <v:stroke dashstyle="solid"/>
            </v:line>
            <v:line style="position:absolute" from="7499,3978" to="7499,3866" stroked="true" strokeweight=".965158pt" strokecolor="#000000">
              <v:stroke dashstyle="solid"/>
            </v:line>
            <v:line style="position:absolute" from="7893,3978" to="7893,3866" stroked="true" strokeweight=".965158pt" strokecolor="#000000">
              <v:stroke dashstyle="solid"/>
            </v:line>
            <v:line style="position:absolute" from="8287,3978" to="8287,3866" stroked="true" strokeweight=".965158pt" strokecolor="#000000">
              <v:stroke dashstyle="solid"/>
            </v:line>
            <v:line style="position:absolute" from="8680,3978" to="8680,3866" stroked="true" strokeweight=".965158pt" strokecolor="#000000">
              <v:stroke dashstyle="solid"/>
            </v:line>
            <v:line style="position:absolute" from="9074,3978" to="9074,3866" stroked="true" strokeweight=".965158pt" strokecolor="#000000">
              <v:stroke dashstyle="solid"/>
            </v:line>
            <v:line style="position:absolute" from="9468,3978" to="9468,3866" stroked="true" strokeweight=".965158pt" strokecolor="#000000">
              <v:stroke dashstyle="solid"/>
            </v:line>
            <v:line style="position:absolute" from="3140,122" to="3140,234" stroked="true" strokeweight=".965158pt" strokecolor="#000000">
              <v:stroke dashstyle="solid"/>
            </v:line>
            <v:line style="position:absolute" from="3530,122" to="3530,234" stroked="true" strokeweight=".965158pt" strokecolor="#000000">
              <v:stroke dashstyle="solid"/>
            </v:line>
            <v:line style="position:absolute" from="3916,122" to="3916,234" stroked="true" strokeweight=".965158pt" strokecolor="#000000">
              <v:stroke dashstyle="solid"/>
            </v:line>
            <v:line style="position:absolute" from="4306,122" to="4306,234" stroked="true" strokeweight=".965158pt" strokecolor="#000000">
              <v:stroke dashstyle="solid"/>
            </v:line>
            <v:line style="position:absolute" from="4692,122" to="4692,233" stroked="true" strokeweight=".965158pt" strokecolor="#000000">
              <v:stroke dashstyle="solid"/>
            </v:line>
            <v:line style="position:absolute" from="5082,122" to="5082,233" stroked="true" strokeweight=".965158pt" strokecolor="#000000">
              <v:stroke dashstyle="solid"/>
            </v:line>
            <v:line style="position:absolute" from="5468,122" to="5468,233" stroked="true" strokeweight=".965158pt" strokecolor="#000000">
              <v:stroke dashstyle="solid"/>
            </v:line>
            <v:line style="position:absolute" from="5858,122" to="5858,233" stroked="true" strokeweight=".965158pt" strokecolor="#000000">
              <v:stroke dashstyle="solid"/>
            </v:line>
            <v:line style="position:absolute" from="6244,122" to="6244,233" stroked="true" strokeweight=".965158pt" strokecolor="#000000">
              <v:stroke dashstyle="solid"/>
            </v:line>
            <v:line style="position:absolute" from="6634,122" to="6634,233" stroked="true" strokeweight=".965158pt" strokecolor="#000000">
              <v:stroke dashstyle="solid"/>
            </v:line>
            <v:line style="position:absolute" from="7020,122" to="7020,233" stroked="true" strokeweight=".965158pt" strokecolor="#000000">
              <v:stroke dashstyle="solid"/>
            </v:line>
            <v:line style="position:absolute" from="7410,122" to="7410,233" stroked="true" strokeweight=".965158pt" strokecolor="#000000">
              <v:stroke dashstyle="solid"/>
            </v:line>
            <v:line style="position:absolute" from="7800,122" to="7800,233" stroked="true" strokeweight=".965158pt" strokecolor="#000000">
              <v:stroke dashstyle="solid"/>
            </v:line>
            <v:line style="position:absolute" from="8186,122" to="8186,233" stroked="true" strokeweight=".965158pt" strokecolor="#000000">
              <v:stroke dashstyle="solid"/>
            </v:line>
            <v:line style="position:absolute" from="8576,122" to="8576,233" stroked="true" strokeweight=".965158pt" strokecolor="#000000">
              <v:stroke dashstyle="solid"/>
            </v:line>
            <v:line style="position:absolute" from="8962,122" to="8962,233" stroked="true" strokeweight=".965158pt" strokecolor="#000000">
              <v:stroke dashstyle="solid"/>
            </v:line>
            <v:line style="position:absolute" from="9352,121" to="9352,233" stroked="true" strokeweight=".965158pt" strokecolor="#000000">
              <v:stroke dashstyle="solid"/>
            </v:line>
            <v:line style="position:absolute" from="9738,121" to="9738,233" stroked="true" strokeweight=".965158pt" strokecolor="#000000">
              <v:stroke dashstyle="solid"/>
            </v:line>
            <v:line style="position:absolute" from="2766,3704" to="2905,3704" stroked="true" strokeweight=".965073pt" strokecolor="#000000">
              <v:stroke dashstyle="solid"/>
            </v:line>
            <v:line style="position:absolute" from="2766,3426" to="2905,3426" stroked="true" strokeweight=".965073pt" strokecolor="#000000">
              <v:stroke dashstyle="solid"/>
            </v:line>
            <v:line style="position:absolute" from="2766,3152" to="2905,3152" stroked="true" strokeweight=".965073pt" strokecolor="#000000">
              <v:stroke dashstyle="solid"/>
            </v:line>
            <v:line style="position:absolute" from="2766,2878" to="2905,2878" stroked="true" strokeweight=".965073pt" strokecolor="#000000">
              <v:stroke dashstyle="solid"/>
            </v:line>
            <v:line style="position:absolute" from="2766,2600" to="2905,2600" stroked="true" strokeweight=".965073pt" strokecolor="#000000">
              <v:stroke dashstyle="solid"/>
            </v:line>
            <v:line style="position:absolute" from="2766,2326" to="2905,2326" stroked="true" strokeweight=".965073pt" strokecolor="#000000">
              <v:stroke dashstyle="solid"/>
            </v:line>
            <v:line style="position:absolute" from="2766,2052" to="2905,2052" stroked="true" strokeweight=".965073pt" strokecolor="#000000">
              <v:stroke dashstyle="solid"/>
            </v:line>
            <v:line style="position:absolute" from="2766,1774" to="2905,1774" stroked="true" strokeweight=".965073pt" strokecolor="#000000">
              <v:stroke dashstyle="solid"/>
            </v:line>
            <v:line style="position:absolute" from="2766,1500" to="2905,1500" stroked="true" strokeweight=".965073pt" strokecolor="#000000">
              <v:stroke dashstyle="solid"/>
            </v:line>
            <v:line style="position:absolute" from="2766,1222" to="2905,1222" stroked="true" strokeweight=".965073pt" strokecolor="#000000">
              <v:stroke dashstyle="solid"/>
            </v:line>
            <v:line style="position:absolute" from="2766,948" to="2905,948" stroked="true" strokeweight=".965073pt" strokecolor="#000000">
              <v:stroke dashstyle="solid"/>
            </v:line>
            <v:line style="position:absolute" from="2766,673" to="2905,673" stroked="true" strokeweight=".965073pt" strokecolor="#000000">
              <v:stroke dashstyle="solid"/>
            </v:line>
            <v:line style="position:absolute" from="2766,396" to="2905,396" stroked="true" strokeweight=".965073pt" strokecolor="#000000">
              <v:stroke dashstyle="solid"/>
            </v:line>
            <v:line style="position:absolute" from="9866,3978" to="9723,3978" stroked="true" strokeweight=".965073pt" strokecolor="#000000">
              <v:stroke dashstyle="solid"/>
            </v:line>
            <v:line style="position:absolute" from="9866,3708" to="9723,3708" stroked="true" strokeweight=".965073pt" strokecolor="#000000">
              <v:stroke dashstyle="solid"/>
            </v:line>
            <v:line style="position:absolute" from="9866,3437" to="9723,3437" stroked="true" strokeweight=".965073pt" strokecolor="#000000">
              <v:stroke dashstyle="solid"/>
            </v:line>
            <v:line style="position:absolute" from="9866,3163" to="9723,3163" stroked="true" strokeweight=".965073pt" strokecolor="#000000">
              <v:stroke dashstyle="solid"/>
            </v:line>
            <v:line style="position:absolute" from="9866,2893" to="9723,2893" stroked="true" strokeweight=".965073pt" strokecolor="#000000">
              <v:stroke dashstyle="solid"/>
            </v:line>
            <v:line style="position:absolute" from="9866,2623" to="9723,2623" stroked="true" strokeweight=".965073pt" strokecolor="#000000">
              <v:stroke dashstyle="solid"/>
            </v:line>
            <v:line style="position:absolute" from="9866,2353" to="9723,2353" stroked="true" strokeweight=".965073pt" strokecolor="#000000">
              <v:stroke dashstyle="solid"/>
            </v:line>
            <v:line style="position:absolute" from="9866,2079" to="9723,2079" stroked="true" strokeweight=".965073pt" strokecolor="#000000">
              <v:stroke dashstyle="solid"/>
            </v:line>
            <v:line style="position:absolute" from="9866,1808" to="9723,1808" stroked="true" strokeweight=".965073pt" strokecolor="#000000">
              <v:stroke dashstyle="solid"/>
            </v:line>
            <v:line style="position:absolute" from="9866,1538" to="9723,1538" stroked="true" strokeweight=".965073pt" strokecolor="#000000">
              <v:stroke dashstyle="solid"/>
            </v:line>
            <v:line style="position:absolute" from="9866,1268" to="9723,1268" stroked="true" strokeweight=".965073pt" strokecolor="#000000">
              <v:stroke dashstyle="solid"/>
            </v:line>
            <v:line style="position:absolute" from="9866,994" to="9723,994" stroked="true" strokeweight=".965073pt" strokecolor="#000000">
              <v:stroke dashstyle="solid"/>
            </v:line>
            <v:line style="position:absolute" from="9866,724" to="9723,724" stroked="true" strokeweight=".965073pt" strokecolor="#000000">
              <v:stroke dashstyle="solid"/>
            </v:line>
            <v:line style="position:absolute" from="9866,453" to="9723,453" stroked="true" strokeweight=".965073pt" strokecolor="#000000">
              <v:stroke dashstyle="solid"/>
            </v:line>
            <v:line style="position:absolute" from="9866,183" to="9723,183" stroked="true" strokeweight=".965073pt" strokecolor="#000000">
              <v:stroke dashstyle="solid"/>
            </v:line>
            <v:shape style="position:absolute;left:4507;top:2846;width:78;height:62" coordorigin="4507,2847" coordsize="78,62" path="m4546,2909l4507,2878,4546,2847,4584,2878,4546,2909xe" filled="true" fillcolor="#ff0000" stroked="false">
              <v:path arrowok="t"/>
              <v:fill type="solid"/>
            </v:shape>
            <v:shape style="position:absolute;left:4507;top:2846;width:78;height:62" coordorigin="4507,2847" coordsize="78,62" path="m4546,2847l4584,2878,4546,2909,4507,2878,4546,2847xe" filled="false" stroked="true" strokeweight="1.158127pt" strokecolor="#ff0000">
              <v:path arrowok="t"/>
              <v:stroke dashstyle="solid"/>
            </v:shape>
            <v:shape style="position:absolute;left:4673;top:2537;width:78;height:58" coordorigin="4673,2538" coordsize="78,58" path="m4712,2596l4673,2565,4712,2538,4750,2565,4712,2596xe" filled="true" fillcolor="#ff0000" stroked="false">
              <v:path arrowok="t"/>
              <v:fill type="solid"/>
            </v:shape>
            <v:shape style="position:absolute;left:4673;top:2537;width:78;height:58" coordorigin="4673,2538" coordsize="78,58" path="m4712,2538l4750,2565,4712,2596,4673,2565,4712,2538xe" filled="false" stroked="true" strokeweight="1.158124pt" strokecolor="#ff0000">
              <v:path arrowok="t"/>
              <v:stroke dashstyle="solid"/>
            </v:shape>
            <v:shape style="position:absolute;left:4661;top:2603;width:78;height:62" coordorigin="4662,2604" coordsize="78,62" path="m4700,2665l4662,2634,4700,2604,4739,2634,4700,2665xe" filled="true" fillcolor="#ff0000" stroked="false">
              <v:path arrowok="t"/>
              <v:fill type="solid"/>
            </v:shape>
            <v:shape style="position:absolute;left:4661;top:2603;width:78;height:62" coordorigin="4662,2604" coordsize="78,62" path="m4700,2604l4739,2634,4700,2665,4662,2634,4700,2604xe" filled="false" stroked="true" strokeweight="1.158127pt" strokecolor="#ff0000">
              <v:path arrowok="t"/>
              <v:stroke dashstyle="solid"/>
            </v:shape>
            <v:shape style="position:absolute;left:4711;top:3051;width:78;height:62" coordorigin="4712,3051" coordsize="78,62" path="m4750,3113l4712,3082,4750,3051,4789,3082,4750,3113xe" filled="true" fillcolor="#ff0000" stroked="false">
              <v:path arrowok="t"/>
              <v:fill type="solid"/>
            </v:shape>
            <v:shape style="position:absolute;left:4711;top:3051;width:78;height:62" coordorigin="4712,3051" coordsize="78,62" path="m4750,3051l4789,3082,4750,3113,4712,3082,4750,3051xe" filled="false" stroked="true" strokeweight="1.158127pt" strokecolor="#ff0000">
              <v:path arrowok="t"/>
              <v:stroke dashstyle="solid"/>
            </v:shape>
            <v:shape style="position:absolute;left:4514;top:2981;width:78;height:62" coordorigin="4515,2982" coordsize="78,62" path="m4553,3044l4515,3013,4553,2982,4592,3013,4553,3044xe" filled="true" fillcolor="#ff0000" stroked="false">
              <v:path arrowok="t"/>
              <v:fill type="solid"/>
            </v:shape>
            <v:shape style="position:absolute;left:4514;top:2981;width:78;height:62" coordorigin="4515,2982" coordsize="78,62" path="m4553,2982l4592,3013,4553,3044,4515,3013,4553,2982xe" filled="false" stroked="true" strokeweight="1.158127pt" strokecolor="#ff0000">
              <v:path arrowok="t"/>
              <v:stroke dashstyle="solid"/>
            </v:shape>
            <v:shape style="position:absolute;left:4715;top:2603;width:78;height:62" coordorigin="4716,2604" coordsize="78,62" path="m4754,2665l4716,2634,4754,2604,4793,2634,4754,2665xe" filled="true" fillcolor="#ff0000" stroked="false">
              <v:path arrowok="t"/>
              <v:fill type="solid"/>
            </v:shape>
            <v:shape style="position:absolute;left:4715;top:2603;width:78;height:62" coordorigin="4716,2604" coordsize="78,62" path="m4754,2604l4793,2634,4754,2665,4716,2634,4754,2604xe" filled="false" stroked="true" strokeweight="1.158127pt" strokecolor="#ff0000">
              <v:path arrowok="t"/>
              <v:stroke dashstyle="solid"/>
            </v:shape>
            <v:shape style="position:absolute;left:4734;top:2503;width:78;height:58" coordorigin="4735,2503" coordsize="78,58" path="m4774,2561l4735,2534,4774,2503,4812,2534,4774,2561xe" filled="true" fillcolor="#ff0000" stroked="false">
              <v:path arrowok="t"/>
              <v:fill type="solid"/>
            </v:shape>
            <v:shape style="position:absolute;left:4734;top:2503;width:78;height:58" coordorigin="4735,2503" coordsize="78,58" path="m4774,2503l4812,2534,4774,2561,4735,2534,4774,2503xe" filled="false" stroked="true" strokeweight="1.158124pt" strokecolor="#ff0000">
              <v:path arrowok="t"/>
              <v:stroke dashstyle="solid"/>
            </v:shape>
            <v:shape style="position:absolute;left:3881;top:3603;width:78;height:62" coordorigin="3882,3603" coordsize="78,62" path="m3920,3665l3882,3634,3920,3603,3959,3634,3920,3665xe" filled="true" fillcolor="#ff0000" stroked="false">
              <v:path arrowok="t"/>
              <v:fill type="solid"/>
            </v:shape>
            <v:shape style="position:absolute;left:3881;top:3603;width:78;height:62" coordorigin="3882,3603" coordsize="78,62" path="m3920,3603l3959,3634,3920,3665,3882,3634,3920,3603xe" filled="false" stroked="true" strokeweight="1.158127pt" strokecolor="#ff0000">
              <v:path arrowok="t"/>
              <v:stroke dashstyle="solid"/>
            </v:shape>
            <v:shape style="position:absolute;left:4356;top:2950;width:78;height:58" coordorigin="4357,2951" coordsize="78,58" path="m4395,3009l4357,2978,4395,2951,4434,2978,4395,3009xe" filled="true" fillcolor="#ff0000" stroked="false">
              <v:path arrowok="t"/>
              <v:fill type="solid"/>
            </v:shape>
            <v:shape style="position:absolute;left:4356;top:2950;width:78;height:58" coordorigin="4357,2951" coordsize="78,58" path="m4395,2951l4434,2978,4395,3009,4357,2978,4395,2951xe" filled="false" stroked="true" strokeweight="1.158124pt" strokecolor="#ff0000">
              <v:path arrowok="t"/>
              <v:stroke dashstyle="solid"/>
            </v:shape>
            <v:shape style="position:absolute;left:4209;top:3155;width:78;height:62" coordorigin="4210,3156" coordsize="78,62" path="m4248,3217l4210,3186,4248,3156,4287,3186,4248,3217xe" filled="true" fillcolor="#ff0000" stroked="false">
              <v:path arrowok="t"/>
              <v:fill type="solid"/>
            </v:shape>
            <v:shape style="position:absolute;left:4209;top:3155;width:78;height:62" coordorigin="4210,3156" coordsize="78,62" path="m4248,3156l4287,3186,4248,3217,4210,3186,4248,3156xe" filled="false" stroked="true" strokeweight="1.158127pt" strokecolor="#ff0000">
              <v:path arrowok="t"/>
              <v:stroke dashstyle="solid"/>
            </v:shape>
            <v:shape style="position:absolute;left:3881;top:3464;width:78;height:62" coordorigin="3882,3464" coordsize="78,62" path="m3920,3526l3882,3495,3920,3464,3959,3495,3920,3526xe" filled="true" fillcolor="#ff0000" stroked="false">
              <v:path arrowok="t"/>
              <v:fill type="solid"/>
            </v:shape>
            <v:shape style="position:absolute;left:3881;top:3464;width:78;height:62" coordorigin="3882,3464" coordsize="78,62" path="m3920,3464l3959,3495,3920,3526,3882,3495,3920,3464xe" filled="false" stroked="true" strokeweight="1.158127pt" strokecolor="#ff0000">
              <v:path arrowok="t"/>
              <v:stroke dashstyle="solid"/>
            </v:shape>
            <v:shape style="position:absolute;left:3588;top:3533;width:78;height:62" coordorigin="3588,3534" coordsize="78,62" path="m3627,3596l3588,3565,3627,3534,3666,3565,3627,3596xe" filled="true" fillcolor="#ff0000" stroked="false">
              <v:path arrowok="t"/>
              <v:fill type="solid"/>
            </v:shape>
            <v:shape style="position:absolute;left:3588;top:3533;width:78;height:62" coordorigin="3588,3534" coordsize="78,62" path="m3627,3534l3666,3565,3627,3596,3588,3565,3627,3534xe" filled="false" stroked="true" strokeweight="1.158127pt" strokecolor="#ff0000">
              <v:path arrowok="t"/>
              <v:stroke dashstyle="solid"/>
            </v:shape>
            <v:shape style="position:absolute;left:2935;top:3842;width:78;height:62" coordorigin="2936,3843" coordsize="78,62" path="m2974,3904l2936,3874,2974,3843,3013,3874,2974,3904xe" filled="true" fillcolor="#ff0000" stroked="false">
              <v:path arrowok="t"/>
              <v:fill type="solid"/>
            </v:shape>
            <v:shape style="position:absolute;left:2935;top:3842;width:78;height:62" coordorigin="2936,3843" coordsize="78,62" path="m2974,3843l3013,3874,2974,3904,2936,3874,2974,3843xe" filled="false" stroked="true" strokeweight="1.158127pt" strokecolor="#ff0000">
              <v:path arrowok="t"/>
              <v:stroke dashstyle="solid"/>
            </v:shape>
            <v:shape style="position:absolute;left:3167;top:3742;width:78;height:62" coordorigin="3168,3742" coordsize="78,62" path="m3206,3804l3168,3773,3206,3742,3245,3773,3206,3804xe" filled="true" fillcolor="#ff0000" stroked="false">
              <v:path arrowok="t"/>
              <v:fill type="solid"/>
            </v:shape>
            <v:shape style="position:absolute;left:3167;top:3742;width:78;height:62" coordorigin="3168,3742" coordsize="78,62" path="m3206,3742l3245,3773,3206,3804,3168,3773,3206,3742xe" filled="false" stroked="true" strokeweight="1.158127pt" strokecolor="#ff0000">
              <v:path arrowok="t"/>
              <v:stroke dashstyle="solid"/>
            </v:shape>
            <v:shape style="position:absolute;left:3179;top:3842;width:78;height:62" coordorigin="3179,3843" coordsize="78,62" path="m3218,3904l3179,3874,3218,3843,3256,3874,3218,3904xe" filled="true" fillcolor="#ff0000" stroked="false">
              <v:path arrowok="t"/>
              <v:fill type="solid"/>
            </v:shape>
            <v:shape style="position:absolute;left:3179;top:3842;width:78;height:62" coordorigin="3179,3843" coordsize="78,62" path="m3218,3843l3256,3874,3218,3904,3179,3874,3218,3843xe" filled="false" stroked="true" strokeweight="1.158127pt" strokecolor="#ff0000">
              <v:path arrowok="t"/>
              <v:stroke dashstyle="solid"/>
            </v:shape>
            <v:shape style="position:absolute;left:3248;top:3742;width:78;height:62" coordorigin="3249,3742" coordsize="78,62" path="m3287,3804l3249,3773,3287,3742,3326,3773,3287,3804xe" filled="true" fillcolor="#ff0000" stroked="false">
              <v:path arrowok="t"/>
              <v:fill type="solid"/>
            </v:shape>
            <v:shape style="position:absolute;left:3248;top:3742;width:78;height:62" coordorigin="3249,3742" coordsize="78,62" path="m3287,3742l3326,3773,3287,3804,3249,3773,3287,3742xe" filled="false" stroked="true" strokeweight="1.158127pt" strokecolor="#ff0000">
              <v:path arrowok="t"/>
              <v:stroke dashstyle="solid"/>
            </v:shape>
            <v:shape style="position:absolute;left:7402;top:503;width:78;height:62" coordorigin="7403,504" coordsize="78,62" path="m7441,565l7403,534,7441,504,7480,534,7441,565xe" filled="true" fillcolor="#ff0000" stroked="false">
              <v:path arrowok="t"/>
              <v:fill type="solid"/>
            </v:shape>
            <v:shape style="position:absolute;left:7402;top:503;width:78;height:62" coordorigin="7403,504" coordsize="78,62" path="m7441,504l7480,534,7441,565,7403,534,7441,504xe" filled="false" stroked="true" strokeweight="1.158127pt" strokecolor="#ff0000">
              <v:path arrowok="t"/>
              <v:stroke dashstyle="solid"/>
            </v:shape>
            <v:shape style="position:absolute;left:7066;top:916;width:78;height:62" coordorigin="7067,917" coordsize="78,62" path="m7105,978l7067,947,7105,917,7144,947,7105,978xe" filled="true" fillcolor="#ff0000" stroked="false">
              <v:path arrowok="t"/>
              <v:fill type="solid"/>
            </v:shape>
            <v:shape style="position:absolute;left:7066;top:916;width:78;height:62" coordorigin="7067,917" coordsize="78,62" path="m7105,917l7144,947,7105,978,7067,947,7105,917xe" filled="false" stroked="true" strokeweight="1.158127pt" strokecolor="#ff0000">
              <v:path arrowok="t"/>
              <v:stroke dashstyle="solid"/>
            </v:shape>
            <v:shape style="position:absolute;left:6530;top:1399;width:78;height:62" coordorigin="6530,1399" coordsize="78,62" path="m6569,1461l6530,1430,6569,1399,6607,1430,6569,1461xe" filled="true" fillcolor="#ff0000" stroked="false">
              <v:path arrowok="t"/>
              <v:fill type="solid"/>
            </v:shape>
            <v:shape style="position:absolute;left:6530;top:1399;width:78;height:62" coordorigin="6530,1399" coordsize="78,62" path="m6569,1399l6607,1430,6569,1461,6530,1430,6569,1399xe" filled="false" stroked="true" strokeweight="1.158127pt" strokecolor="#ff0000">
              <v:path arrowok="t"/>
              <v:stroke dashstyle="solid"/>
            </v:shape>
            <v:shape style="position:absolute;left:6746;top:1294;width:78;height:62" coordorigin="6746,1295" coordsize="78,62" path="m6785,1357l6746,1326,6785,1295,6824,1326,6785,1357xe" filled="true" fillcolor="#ff0000" stroked="false">
              <v:path arrowok="t"/>
              <v:fill type="solid"/>
            </v:shape>
            <v:shape style="position:absolute;left:6746;top:1294;width:78;height:62" coordorigin="6746,1295" coordsize="78,62" path="m6785,1295l6824,1326,6785,1357,6746,1326,6785,1295xe" filled="false" stroked="true" strokeweight="1.158127pt" strokecolor="#ff0000">
              <v:path arrowok="t"/>
              <v:stroke dashstyle="solid"/>
            </v:shape>
            <v:shape style="position:absolute;left:6422;top:1812;width:78;height:62" coordorigin="6422,1812" coordsize="78,62" path="m6461,1874l6422,1843,6461,1812,6499,1843,6461,1874xe" filled="true" fillcolor="#ff0000" stroked="false">
              <v:path arrowok="t"/>
              <v:fill type="solid"/>
            </v:shape>
            <v:shape style="position:absolute;left:6422;top:1812;width:78;height:62" coordorigin="6422,1812" coordsize="78,62" path="m6461,1812l6499,1843,6461,1874,6422,1843,6461,1812xe" filled="false" stroked="true" strokeweight="1.158127pt" strokecolor="#ff0000">
              <v:path arrowok="t"/>
              <v:stroke dashstyle="solid"/>
            </v:shape>
            <v:shape style="position:absolute;left:6958;top:1090;width:78;height:62" coordorigin="6959,1090" coordsize="78,62" path="m6997,1152l6959,1121,6997,1090,7036,1121,6997,1152xe" filled="true" fillcolor="#ff0000" stroked="false">
              <v:path arrowok="t"/>
              <v:fill type="solid"/>
            </v:shape>
            <v:shape style="position:absolute;left:6958;top:1090;width:78;height:62" coordorigin="6959,1090" coordsize="78,62" path="m6997,1090l7036,1121,6997,1152,6959,1121,6997,1090xe" filled="false" stroked="true" strokeweight="1.158127pt" strokecolor="#ff0000">
              <v:path arrowok="t"/>
              <v:stroke dashstyle="solid"/>
            </v:shape>
            <v:shape style="position:absolute;left:5846;top:1951;width:78;height:62" coordorigin="5847,1951" coordsize="78,62" path="m5885,2013l5847,1982,5885,1951,5924,1982,5885,2013xe" filled="true" fillcolor="#ff0000" stroked="false">
              <v:path arrowok="t"/>
              <v:fill type="solid"/>
            </v:shape>
            <v:shape style="position:absolute;left:5846;top:1951;width:78;height:62" coordorigin="5847,1951" coordsize="78,62" path="m5885,1951l5924,1982,5885,2013,5847,1982,5885,1951xe" filled="false" stroked="true" strokeweight="1.158127pt" strokecolor="#ff0000">
              <v:path arrowok="t"/>
              <v:stroke dashstyle="solid"/>
            </v:shape>
            <v:shape style="position:absolute;left:7070;top:777;width:78;height:62" coordorigin="7071,778" coordsize="78,62" path="m7109,839l7071,809,7109,778,7148,809,7109,839xe" filled="true" fillcolor="#ff0000" stroked="false">
              <v:path arrowok="t"/>
              <v:fill type="solid"/>
            </v:shape>
            <v:shape style="position:absolute;left:7070;top:777;width:78;height:62" coordorigin="7071,778" coordsize="78,62" path="m7109,778l7148,809,7109,839,7071,809,7109,778xe" filled="false" stroked="true" strokeweight="1.158127pt" strokecolor="#ff0000">
              <v:path arrowok="t"/>
              <v:stroke dashstyle="solid"/>
            </v:shape>
            <v:shape style="position:absolute;left:7182;top:916;width:78;height:62" coordorigin="7183,917" coordsize="78,62" path="m7221,978l7183,947,7221,917,7260,947,7221,978xe" filled="true" fillcolor="#ff0000" stroked="false">
              <v:path arrowok="t"/>
              <v:fill type="solid"/>
            </v:shape>
            <v:shape style="position:absolute;left:7182;top:916;width:78;height:62" coordorigin="7183,917" coordsize="78,62" path="m7221,917l7260,947,7221,978,7183,947,7221,917xe" filled="false" stroked="true" strokeweight="1.158127pt" strokecolor="#ff0000">
              <v:path arrowok="t"/>
              <v:stroke dashstyle="solid"/>
            </v:shape>
            <v:shape style="position:absolute;left:6533;top:1846;width:78;height:62" coordorigin="6534,1847" coordsize="78,62" path="m6573,1909l6534,1878,6573,1847,6611,1878,6573,1909xe" filled="true" fillcolor="#ff0000" stroked="false">
              <v:path arrowok="t"/>
              <v:fill type="solid"/>
            </v:shape>
            <v:shape style="position:absolute;left:6533;top:1846;width:78;height:62" coordorigin="6534,1847" coordsize="78,62" path="m6573,1847l6611,1878,6573,1909,6534,1878,6573,1847xe" filled="false" stroked="true" strokeweight="1.158127pt" strokecolor="#ff0000">
              <v:path arrowok="t"/>
              <v:stroke dashstyle="solid"/>
            </v:shape>
            <v:shape style="position:absolute;left:4785;top:2742;width:78;height:62" coordorigin="4785,2743" coordsize="78,62" path="m4824,2804l4785,2773,4824,2743,4862,2773,4824,2804xe" filled="true" fillcolor="#ff0000" stroked="false">
              <v:path arrowok="t"/>
              <v:fill type="solid"/>
            </v:shape>
            <v:shape style="position:absolute;left:4785;top:2742;width:78;height:62" coordorigin="4785,2743" coordsize="78,62" path="m4824,2743l4862,2773,4824,2804,4785,2773,4824,2743xe" filled="false" stroked="true" strokeweight="1.158127pt" strokecolor="#ff0000">
              <v:path arrowok="t"/>
              <v:stroke dashstyle="solid"/>
            </v:shape>
            <v:shape style="position:absolute;left:4854;top:2707;width:78;height:62" coordorigin="4855,2708" coordsize="78,62" path="m4893,2770l4855,2739,4893,2708,4932,2739,4893,2770xe" filled="true" fillcolor="#ff0000" stroked="false">
              <v:path arrowok="t"/>
              <v:fill type="solid"/>
            </v:shape>
            <v:shape style="position:absolute;left:4854;top:2707;width:78;height:62" coordorigin="4855,2708" coordsize="78,62" path="m4893,2708l4932,2739,4893,2770,4855,2739,4893,2708xe" filled="false" stroked="true" strokeweight="1.158127pt" strokecolor="#ff0000">
              <v:path arrowok="t"/>
              <v:stroke dashstyle="solid"/>
            </v:shape>
            <v:shape style="position:absolute;left:5406;top:2078;width:213;height:151" type="#_x0000_t75" stroked="false">
              <v:imagedata r:id="rId125" o:title=""/>
            </v:shape>
            <v:shape style="position:absolute;left:6252;top:1572;width:78;height:58" coordorigin="6252,1573" coordsize="78,58" path="m6291,1631l6252,1604,6291,1573,6329,1604,6291,1631xe" filled="true" fillcolor="#ff0000" stroked="false">
              <v:path arrowok="t"/>
              <v:fill type="solid"/>
            </v:shape>
            <v:shape style="position:absolute;left:6252;top:1572;width:78;height:58" coordorigin="6252,1573" coordsize="78,58" path="m6291,1573l6329,1604,6291,1631,6252,1604,6291,1573xe" filled="false" stroked="true" strokeweight="1.158124pt" strokecolor="#ff0000">
              <v:path arrowok="t"/>
              <v:stroke dashstyle="solid"/>
            </v:shape>
            <v:shape style="position:absolute;left:6020;top:1881;width:78;height:62" coordorigin="6021,1882" coordsize="78,62" path="m6059,1943l6021,1913,6059,1882,6098,1913,6059,1943xe" filled="true" fillcolor="#ff0000" stroked="false">
              <v:path arrowok="t"/>
              <v:fill type="solid"/>
            </v:shape>
            <v:shape style="position:absolute;left:6020;top:1881;width:78;height:62" coordorigin="6021,1882" coordsize="78,62" path="m6059,1882l6098,1913,6059,1943,6021,1913,6059,1882xe" filled="false" stroked="true" strokeweight="1.158127pt" strokecolor="#ff0000">
              <v:path arrowok="t"/>
              <v:stroke dashstyle="solid"/>
            </v:shape>
            <v:shape style="position:absolute;left:5151;top:2468;width:78;height:58" coordorigin="5152,2468" coordsize="78,58" path="m5190,2526l5152,2499,5190,2468,5229,2499,5190,2526xe" filled="true" fillcolor="#ff0000" stroked="false">
              <v:path arrowok="t"/>
              <v:fill type="solid"/>
            </v:shape>
            <v:shape style="position:absolute;left:5151;top:2468;width:78;height:58" coordorigin="5152,2468" coordsize="78,58" path="m5190,2468l5229,2499,5190,2526,5152,2499,5190,2468xe" filled="false" stroked="true" strokeweight="1.158124pt" strokecolor="#ff0000">
              <v:path arrowok="t"/>
              <v:stroke dashstyle="solid"/>
            </v:shape>
            <v:shape style="position:absolute;left:5267;top:2225;width:78;height:62" coordorigin="5268,2225" coordsize="78,62" path="m5306,2287l5268,2256,5306,2225,5345,2256,5306,2287xe" filled="true" fillcolor="#ff0000" stroked="false">
              <v:path arrowok="t"/>
              <v:fill type="solid"/>
            </v:shape>
            <v:shape style="position:absolute;left:5267;top:2225;width:78;height:62" coordorigin="5268,2225" coordsize="78,62" path="m5306,2225l5345,2256,5306,2287,5268,2256,5306,2225xe" filled="false" stroked="true" strokeweight="1.158127pt" strokecolor="#ff0000">
              <v:path arrowok="t"/>
              <v:stroke dashstyle="solid"/>
            </v:shape>
            <v:shape style="position:absolute;left:5005;top:2433;width:78;height:62" coordorigin="5005,2434" coordsize="78,62" path="m5044,2495l5005,2465,5044,2434,5082,2465,5044,2495xe" filled="true" fillcolor="#ff0000" stroked="false">
              <v:path arrowok="t"/>
              <v:fill type="solid"/>
            </v:shape>
            <v:shape style="position:absolute;left:5005;top:2433;width:78;height:62" coordorigin="5005,2434" coordsize="78,62" path="m5044,2434l5082,2465,5044,2495,5005,2465,5044,2434xe" filled="false" stroked="true" strokeweight="1.158127pt" strokecolor="#ff0000">
              <v:path arrowok="t"/>
              <v:stroke dashstyle="solid"/>
            </v:shape>
            <v:shape style="position:absolute;left:6645;top:1595;width:78;height:62" coordorigin="6646,1596" coordsize="78,62" path="m6723,1658l6646,1658,6685,1596,6723,1658xe" filled="true" fillcolor="#0000ff" stroked="false">
              <v:path arrowok="t"/>
              <v:fill type="solid"/>
            </v:shape>
            <v:shape style="position:absolute;left:6645;top:1595;width:78;height:62" coordorigin="6646,1596" coordsize="78,62" path="m6685,1596l6723,1658,6646,1658,6685,1596xe" filled="false" stroked="true" strokeweight="1.158127pt" strokecolor="#0000ff">
              <v:path arrowok="t"/>
              <v:stroke dashstyle="solid"/>
            </v:shape>
            <v:shape style="position:absolute;left:6456;top:1734;width:74;height:58" coordorigin="6457,1735" coordsize="74,58" path="m6530,1793l6457,1793,6495,1735,6530,1793xe" filled="true" fillcolor="#0000ff" stroked="false">
              <v:path arrowok="t"/>
              <v:fill type="solid"/>
            </v:shape>
            <v:shape style="position:absolute;left:6456;top:1734;width:74;height:58" coordorigin="6457,1735" coordsize="74,58" path="m6495,1735l6530,1793,6457,1793,6495,1735xe" filled="false" stroked="true" strokeweight="1.158127pt" strokecolor="#0000ff">
              <v:path arrowok="t"/>
              <v:stroke dashstyle="solid"/>
            </v:shape>
            <v:shape style="position:absolute;left:6835;top:1495;width:74;height:58" coordorigin="6835,1496" coordsize="74,58" path="m6908,1554l6835,1554,6874,1496,6908,1554xe" filled="true" fillcolor="#0000ff" stroked="false">
              <v:path arrowok="t"/>
              <v:fill type="solid"/>
            </v:shape>
            <v:shape style="position:absolute;left:6835;top:1495;width:74;height:58" coordorigin="6835,1496" coordsize="74,58" path="m6874,1496l6908,1554,6835,1554,6874,1496xe" filled="false" stroked="true" strokeweight="1.158127pt" strokecolor="#0000ff">
              <v:path arrowok="t"/>
              <v:stroke dashstyle="solid"/>
            </v:shape>
            <v:shape style="position:absolute;left:6935;top:1426;width:74;height:58" coordorigin="6935,1426" coordsize="74,58" path="m7009,1484l6935,1484,6970,1426,7009,1484xe" filled="true" fillcolor="#0000ff" stroked="false">
              <v:path arrowok="t"/>
              <v:fill type="solid"/>
            </v:shape>
            <v:shape style="position:absolute;left:6935;top:1426;width:74;height:58" coordorigin="6935,1426" coordsize="74,58" path="m6970,1426l7009,1484,6935,1484,6970,1426xe" filled="false" stroked="true" strokeweight="1.158127pt" strokecolor="#0000ff">
              <v:path arrowok="t"/>
              <v:stroke dashstyle="solid"/>
            </v:shape>
            <v:shape style="position:absolute;left:7657;top:1117;width:74;height:58" coordorigin="7657,1117" coordsize="74,58" path="m7731,1175l7657,1175,7696,1117,7731,1175xe" filled="true" fillcolor="#0000ff" stroked="false">
              <v:path arrowok="t"/>
              <v:fill type="solid"/>
            </v:shape>
            <v:shape style="position:absolute;left:7657;top:1117;width:74;height:58" coordorigin="7657,1117" coordsize="74,58" path="m7696,1117l7731,1175,7657,1175,7696,1117xe" filled="false" stroked="true" strokeweight="1.158127pt" strokecolor="#0000ff">
              <v:path arrowok="t"/>
              <v:stroke dashstyle="solid"/>
            </v:shape>
            <v:shape style="position:absolute;left:7348;top:1391;width:78;height:58" coordorigin="7349,1391" coordsize="78,58" path="m7426,1449l7349,1449,7387,1391,7426,1449xe" filled="true" fillcolor="#0000ff" stroked="false">
              <v:path arrowok="t"/>
              <v:fill type="solid"/>
            </v:shape>
            <v:shape style="position:absolute;left:7348;top:1391;width:78;height:58" coordorigin="7349,1391" coordsize="78,58" path="m7387,1391l7426,1449,7349,1449,7387,1391xe" filled="false" stroked="true" strokeweight="1.158124pt" strokecolor="#0000ff">
              <v:path arrowok="t"/>
              <v:stroke dashstyle="solid"/>
            </v:shape>
            <v:shape style="position:absolute;left:6630;top:1595;width:78;height:62" coordorigin="6630,1596" coordsize="78,62" path="m6708,1658l6630,1658,6669,1596,6708,1658xe" filled="true" fillcolor="#0000ff" stroked="false">
              <v:path arrowok="t"/>
              <v:fill type="solid"/>
            </v:shape>
            <v:shape style="position:absolute;left:6630;top:1595;width:78;height:62" coordorigin="6630,1596" coordsize="78,62" path="m6669,1596l6708,1658,6630,1658,6669,1596xe" filled="false" stroked="true" strokeweight="1.158127pt" strokecolor="#0000ff">
              <v:path arrowok="t"/>
              <v:stroke dashstyle="solid"/>
            </v:shape>
            <v:shape style="position:absolute;left:5993;top:2009;width:74;height:62" coordorigin="5993,2009" coordsize="74,62" path="m6067,2071l5993,2071,6032,2009,6067,2071xe" filled="true" fillcolor="#0000ff" stroked="false">
              <v:path arrowok="t"/>
              <v:fill type="solid"/>
            </v:shape>
            <v:shape style="position:absolute;left:5993;top:2009;width:74;height:62" coordorigin="5993,2009" coordsize="74,62" path="m6032,2009l6067,2071,5993,2071,6032,2009xe" filled="false" stroked="true" strokeweight="1.158130pt" strokecolor="#0000ff">
              <v:path arrowok="t"/>
              <v:stroke dashstyle="solid"/>
            </v:shape>
            <v:shape style="position:absolute;left:6082;top:1908;width:74;height:58" coordorigin="6082,1909" coordsize="74,58" path="m6156,1967l6082,1967,6121,1909,6156,1967xe" filled="true" fillcolor="#0000ff" stroked="false">
              <v:path arrowok="t"/>
              <v:fill type="solid"/>
            </v:shape>
            <v:shape style="position:absolute;left:6082;top:1908;width:74;height:58" coordorigin="6082,1909" coordsize="74,58" path="m6121,1909l6156,1967,6082,1967,6121,1909xe" filled="false" stroked="true" strokeweight="1.158127pt" strokecolor="#0000ff">
              <v:path arrowok="t"/>
              <v:stroke dashstyle="solid"/>
            </v:shape>
            <v:shape style="position:absolute;left:6194;top:2630;width:74;height:58" coordorigin="6194,2631" coordsize="74,58" path="m6268,2688l6194,2688,6233,2631,6268,2688xe" filled="true" fillcolor="#0000ff" stroked="false">
              <v:path arrowok="t"/>
              <v:fill type="solid"/>
            </v:shape>
            <v:shape style="position:absolute;left:6194;top:2630;width:74;height:58" coordorigin="6194,2631" coordsize="74,58" path="m6233,2631l6268,2688,6194,2688,6233,2631xe" filled="false" stroked="true" strokeweight="1.158127pt" strokecolor="#0000ff">
              <v:path arrowok="t"/>
              <v:stroke dashstyle="solid"/>
            </v:shape>
            <v:shape style="position:absolute;left:5869;top:2653;width:205;height:116" type="#_x0000_t75" stroked="false">
              <v:imagedata r:id="rId134" o:title=""/>
            </v:shape>
            <v:shape style="position:absolute;left:5310;top:2974;width:74;height:58" coordorigin="5310,2974" coordsize="74,58" path="m5384,3032l5310,3032,5345,2974,5384,3032xe" filled="true" fillcolor="#0000ff" stroked="false">
              <v:path arrowok="t"/>
              <v:fill type="solid"/>
            </v:shape>
            <v:shape style="position:absolute;left:5310;top:2974;width:74;height:58" coordorigin="5310,2974" coordsize="74,58" path="m5345,2974l5384,3032,5310,3032,5345,2974xe" filled="false" stroked="true" strokeweight="1.158127pt" strokecolor="#0000ff">
              <v:path arrowok="t"/>
              <v:stroke dashstyle="solid"/>
            </v:shape>
            <v:shape style="position:absolute;left:5039;top:3113;width:78;height:58" coordorigin="5040,3113" coordsize="78,58" path="m5117,3171l5040,3171,5079,3113,5117,3171xe" filled="true" fillcolor="#0000ff" stroked="false">
              <v:path arrowok="t"/>
              <v:fill type="solid"/>
            </v:shape>
            <v:shape style="position:absolute;left:5039;top:3113;width:78;height:58" coordorigin="5040,3113" coordsize="78,58" path="m5079,3113l5117,3171,5040,3171,5079,3113xe" filled="false" stroked="true" strokeweight="1.158124pt" strokecolor="#0000ff">
              <v:path arrowok="t"/>
              <v:stroke dashstyle="solid"/>
            </v:shape>
            <v:shape style="position:absolute;left:4661;top:3456;width:74;height:58" coordorigin="4662,3457" coordsize="74,58" path="m4735,3515l4662,3515,4700,3457,4735,3515xe" filled="true" fillcolor="#0000ff" stroked="false">
              <v:path arrowok="t"/>
              <v:fill type="solid"/>
            </v:shape>
            <v:shape style="position:absolute;left:4661;top:3456;width:74;height:58" coordorigin="4662,3457" coordsize="74,58" path="m4700,3457l4735,3515,4662,3515,4700,3457xe" filled="false" stroked="true" strokeweight="1.158127pt" strokecolor="#0000ff">
              <v:path arrowok="t"/>
              <v:stroke dashstyle="solid"/>
            </v:shape>
            <v:shape style="position:absolute;left:3997;top:3491;width:74;height:58" coordorigin="3998,3491" coordsize="74,58" path="m4071,3549l3998,3549,4036,3491,4071,3549xe" filled="true" fillcolor="#0000ff" stroked="false">
              <v:path arrowok="t"/>
              <v:fill type="solid"/>
            </v:shape>
            <v:shape style="position:absolute;left:3997;top:3491;width:74;height:58" coordorigin="3998,3491" coordsize="74,58" path="m4036,3491l4071,3549,3998,3549,4036,3491xe" filled="false" stroked="true" strokeweight="1.158127pt" strokecolor="#0000ff">
              <v:path arrowok="t"/>
              <v:stroke dashstyle="solid"/>
            </v:shape>
            <v:shape style="position:absolute;left:3576;top:3834;width:74;height:58" coordorigin="3577,3835" coordsize="74,58" path="m3650,3893l3577,3893,3611,3835,3650,3893xe" filled="true" fillcolor="#0000ff" stroked="false">
              <v:path arrowok="t"/>
              <v:fill type="solid"/>
            </v:shape>
            <v:shape style="position:absolute;left:3576;top:3834;width:74;height:58" coordorigin="3577,3835" coordsize="74,58" path="m3611,3835l3650,3893,3577,3893,3611,3835xe" filled="false" stroked="true" strokeweight="1.158127pt" strokecolor="#0000ff">
              <v:path arrowok="t"/>
              <v:stroke dashstyle="solid"/>
            </v:shape>
            <v:shape style="position:absolute;left:3233;top:3869;width:74;height:62" coordorigin="3233,3870" coordsize="74,62" path="m3306,3931l3233,3931,3268,3870,3306,3931xe" filled="true" fillcolor="#0000ff" stroked="false">
              <v:path arrowok="t"/>
              <v:fill type="solid"/>
            </v:shape>
            <v:shape style="position:absolute;left:3233;top:3869;width:74;height:62" coordorigin="3233,3870" coordsize="74,62" path="m3268,3870l3306,3931,3233,3931,3268,3870xe" filled="false" stroked="true" strokeweight="1.158130pt" strokecolor="#0000ff">
              <v:path arrowok="t"/>
              <v:stroke dashstyle="solid"/>
            </v:shape>
            <v:shape style="position:absolute;left:7730;top:1287;width:78;height:58" coordorigin="7731,1287" coordsize="78,58" path="m7808,1345l7731,1345,7769,1287,7808,1345xe" filled="true" fillcolor="#0000ff" stroked="false">
              <v:path arrowok="t"/>
              <v:fill type="solid"/>
            </v:shape>
            <v:shape style="position:absolute;left:7730;top:1287;width:78;height:58" coordorigin="7731,1287" coordsize="78,58" path="m7769,1287l7808,1345,7731,1345,7769,1287xe" filled="false" stroked="true" strokeweight="1.158124pt" strokecolor="#0000ff">
              <v:path arrowok="t"/>
              <v:stroke dashstyle="solid"/>
            </v:shape>
            <v:shape style="position:absolute;left:8136;top:1013;width:78;height:58" coordorigin="8136,1013" coordsize="78,58" path="m8213,1071l8136,1071,8175,1013,8213,1071xe" filled="true" fillcolor="#0000ff" stroked="false">
              <v:path arrowok="t"/>
              <v:fill type="solid"/>
            </v:shape>
            <v:shape style="position:absolute;left:8136;top:1013;width:78;height:58" coordorigin="8136,1013" coordsize="78,58" path="m8175,1013l8213,1071,8136,1071,8175,1013xe" filled="false" stroked="true" strokeweight="1.158124pt" strokecolor="#0000ff">
              <v:path arrowok="t"/>
              <v:stroke dashstyle="solid"/>
            </v:shape>
            <v:shape style="position:absolute;left:8672;top:700;width:74;height:62" coordorigin="8673,700" coordsize="74,62" path="m8746,762l8673,762,8711,700,8746,762xe" filled="true" fillcolor="#0000ff" stroked="false">
              <v:path arrowok="t"/>
              <v:fill type="solid"/>
            </v:shape>
            <v:shape style="position:absolute;left:8672;top:700;width:74;height:62" coordorigin="8673,700" coordsize="74,62" path="m8711,700l8746,762,8673,762,8711,700xe" filled="false" stroked="true" strokeweight="1.158130pt" strokecolor="#0000ff">
              <v:path arrowok="t"/>
              <v:stroke dashstyle="solid"/>
            </v:shape>
            <v:shape style="position:absolute;left:9201;top:565;width:74;height:58" coordorigin="9202,565" coordsize="74,58" path="m9275,623l9202,623,9240,565,9275,623xe" filled="true" fillcolor="#0000ff" stroked="false">
              <v:path arrowok="t"/>
              <v:fill type="solid"/>
            </v:shape>
            <v:shape style="position:absolute;left:9201;top:565;width:74;height:58" coordorigin="9202,565" coordsize="74,58" path="m9240,565l9275,623,9202,623,9240,565xe" filled="false" stroked="true" strokeweight="1.158127pt" strokecolor="#0000ff">
              <v:path arrowok="t"/>
              <v:stroke dashstyle="solid"/>
            </v:shape>
            <v:shape style="position:absolute;left:7113;top:1839;width:78;height:58" coordorigin="7113,1839" coordsize="78,58" path="m7190,1897l7113,1897,7152,1839,7190,1897xe" filled="true" fillcolor="#0000ff" stroked="false">
              <v:path arrowok="t"/>
              <v:fill type="solid"/>
            </v:shape>
            <v:shape style="position:absolute;left:7113;top:1839;width:78;height:58" coordorigin="7113,1839" coordsize="78,58" path="m7152,1839l7190,1897,7113,1897,7152,1839xe" filled="false" stroked="true" strokeweight="1.158124pt" strokecolor="#0000ff">
              <v:path arrowok="t"/>
              <v:stroke dashstyle="solid"/>
            </v:shape>
            <v:shape style="position:absolute;left:6645;top:2147;width:78;height:58" coordorigin="6646,2148" coordsize="78,58" path="m6723,2206l6646,2206,6685,2148,6723,2206xe" filled="true" fillcolor="#0000ff" stroked="false">
              <v:path arrowok="t"/>
              <v:fill type="solid"/>
            </v:shape>
            <v:shape style="position:absolute;left:6645;top:2147;width:78;height:58" coordorigin="6646,2148" coordsize="78,58" path="m6685,2148l6723,2206,6646,2206,6685,2148xe" filled="false" stroked="true" strokeweight="1.158124pt" strokecolor="#0000ff">
              <v:path arrowok="t"/>
              <v:stroke dashstyle="solid"/>
            </v:shape>
            <v:shape style="position:absolute;left:6615;top:2147;width:78;height:58" coordorigin="6615,2148" coordsize="78,58" path="m6692,2206l6615,2206,6654,2148,6692,2206xe" filled="true" fillcolor="#0000ff" stroked="false">
              <v:path arrowok="t"/>
              <v:fill type="solid"/>
            </v:shape>
            <v:shape style="position:absolute;left:6615;top:2147;width:78;height:58" coordorigin="6615,2148" coordsize="78,58" path="m6654,2148l6692,2206,6615,2206,6654,2148xe" filled="false" stroked="true" strokeweight="1.158124pt" strokecolor="#0000ff">
              <v:path arrowok="t"/>
              <v:stroke dashstyle="solid"/>
            </v:shape>
            <v:shape style="position:absolute;left:6997;top:1734;width:78;height:58" coordorigin="6997,1735" coordsize="78,58" path="m7074,1793l6997,1793,7036,1735,7074,1793xe" filled="true" fillcolor="#0000ff" stroked="false">
              <v:path arrowok="t"/>
              <v:fill type="solid"/>
            </v:shape>
            <v:shape style="position:absolute;left:6997;top:1734;width:78;height:58" coordorigin="6997,1735" coordsize="78,58" path="m7036,1735l7074,1793,6997,1793,7036,1735xe" filled="false" stroked="true" strokeweight="1.158124pt" strokecolor="#0000ff">
              <v:path arrowok="t"/>
              <v:stroke dashstyle="solid"/>
            </v:shape>
            <v:shape style="position:absolute;left:7715;top:1391;width:78;height:58" coordorigin="7715,1391" coordsize="78,58" path="m7793,1449l7715,1449,7754,1391,7793,1449xe" filled="true" fillcolor="#0000ff" stroked="false">
              <v:path arrowok="t"/>
              <v:fill type="solid"/>
            </v:shape>
            <v:shape style="position:absolute;left:7715;top:1391;width:78;height:58" coordorigin="7715,1391" coordsize="78,58" path="m7754,1391l7793,1449,7715,1449,7754,1391xe" filled="false" stroked="true" strokeweight="1.158124pt" strokecolor="#0000ff">
              <v:path arrowok="t"/>
              <v:stroke dashstyle="solid"/>
            </v:shape>
            <v:line style="position:absolute" from="2781,3661" to="2785,3657" stroked="true" strokeweight=".579069pt" strokecolor="#ff6600">
              <v:stroke dashstyle="solid"/>
            </v:line>
            <v:line style="position:absolute" from="2785,3657" to="2805,3650" stroked="true" strokeweight=".579051pt" strokecolor="#ff6600">
              <v:stroke dashstyle="solid"/>
            </v:line>
            <v:line style="position:absolute" from="2805,3650" to="2824,3642" stroked="true" strokeweight=".579051pt" strokecolor="#ff6600">
              <v:stroke dashstyle="solid"/>
            </v:line>
            <v:line style="position:absolute" from="2824,3642" to="2843,3634" stroked="true" strokeweight=".579051pt" strokecolor="#ff6600">
              <v:stroke dashstyle="solid"/>
            </v:line>
            <v:line style="position:absolute" from="2843,3634" to="2863,3626" stroked="true" strokeweight=".579051pt" strokecolor="#ff6600">
              <v:stroke dashstyle="solid"/>
            </v:line>
            <v:line style="position:absolute" from="2863,3626" to="2882,3619" stroked="true" strokeweight=".579051pt" strokecolor="#ff6600">
              <v:stroke dashstyle="solid"/>
            </v:line>
            <v:line style="position:absolute" from="2882,3619" to="2905,3611" stroked="true" strokeweight=".579049pt" strokecolor="#ff6600">
              <v:stroke dashstyle="solid"/>
            </v:line>
            <v:line style="position:absolute" from="2905,3611" to="2924,3603" stroked="true" strokeweight=".579051pt" strokecolor="#ff6600">
              <v:stroke dashstyle="solid"/>
            </v:line>
            <v:line style="position:absolute" from="2924,3603" to="2944,3596" stroked="true" strokeweight=".579051pt" strokecolor="#ff6600">
              <v:stroke dashstyle="solid"/>
            </v:line>
            <v:line style="position:absolute" from="2944,3596" to="2963,3588" stroked="true" strokeweight=".579051pt" strokecolor="#ff6600">
              <v:stroke dashstyle="solid"/>
            </v:line>
            <v:line style="position:absolute" from="2963,3588" to="2982,3576" stroked="true" strokeweight=".579057pt" strokecolor="#ff6600">
              <v:stroke dashstyle="solid"/>
            </v:line>
            <v:line style="position:absolute" from="2982,3576" to="3001,3569" stroked="true" strokeweight=".579051pt" strokecolor="#ff6600">
              <v:stroke dashstyle="solid"/>
            </v:line>
            <v:line style="position:absolute" from="3001,3569" to="3021,3561" stroked="true" strokeweight=".579051pt" strokecolor="#ff6600">
              <v:stroke dashstyle="solid"/>
            </v:line>
            <v:line style="position:absolute" from="3021,3561" to="3040,3553" stroked="true" strokeweight=".579051pt" strokecolor="#ff6600">
              <v:stroke dashstyle="solid"/>
            </v:line>
            <v:line style="position:absolute" from="3040,3553" to="3056,3549" stroked="true" strokeweight=".579047pt" strokecolor="#ff6600">
              <v:stroke dashstyle="solid"/>
            </v:line>
            <v:line style="position:absolute" from="3154,3505" to="3166,3505" stroked="true" strokeweight=".193015pt" strokecolor="#ff6600">
              <v:stroke dashstyle="solid"/>
            </v:line>
            <v:line style="position:absolute" from="3160,3503" to="3179,3495" stroked="true" strokeweight=".579051pt" strokecolor="#ff6600">
              <v:stroke dashstyle="solid"/>
            </v:line>
            <v:line style="position:absolute" from="3179,3495" to="3198,3487" stroked="true" strokeweight=".579051pt" strokecolor="#ff6600">
              <v:stroke dashstyle="solid"/>
            </v:line>
            <v:line style="position:absolute" from="3198,3487" to="3218,3480" stroked="true" strokeweight=".579051pt" strokecolor="#ff6600">
              <v:stroke dashstyle="solid"/>
            </v:line>
            <v:line style="position:absolute" from="3218,3480" to="3225,3476" stroked="true" strokeweight=".579054pt" strokecolor="#ff6600">
              <v:stroke dashstyle="solid"/>
            </v:line>
            <v:shape style="position:absolute;left:3323;top:3307;width:286;height:132" type="#_x0000_t75" stroked="false">
              <v:imagedata r:id="rId135" o:title=""/>
            </v:shape>
            <v:line style="position:absolute" from="3708,3271" to="3712,3267" stroked="true" strokeweight=".579069pt" strokecolor="#ff6600">
              <v:stroke dashstyle="solid"/>
            </v:line>
            <v:line style="position:absolute" from="3712,3267" to="3731,3260" stroked="true" strokeweight=".579051pt" strokecolor="#ff6600">
              <v:stroke dashstyle="solid"/>
            </v:line>
            <v:line style="position:absolute" from="3731,3260" to="3750,3252" stroked="true" strokeweight=".579051pt" strokecolor="#ff6600">
              <v:stroke dashstyle="solid"/>
            </v:line>
            <v:line style="position:absolute" from="3750,3252" to="3770,3244" stroked="true" strokeweight=".579051pt" strokecolor="#ff6600">
              <v:stroke dashstyle="solid"/>
            </v:line>
            <v:line style="position:absolute" from="3770,3244" to="3777,3240" stroked="true" strokeweight=".579054pt" strokecolor="#ff6600">
              <v:stroke dashstyle="solid"/>
            </v:line>
            <v:shape style="position:absolute;left:3875;top:3064;width:286;height:136" type="#_x0000_t75" stroked="false">
              <v:imagedata r:id="rId136" o:title=""/>
            </v:shape>
            <v:line style="position:absolute" from="4260,3024" to="4264,3020" stroked="true" strokeweight=".579069pt" strokecolor="#ff6600">
              <v:stroke dashstyle="solid"/>
            </v:line>
            <v:line style="position:absolute" from="4264,3020" to="4283,3013" stroked="true" strokeweight=".579051pt" strokecolor="#ff6600">
              <v:stroke dashstyle="solid"/>
            </v:line>
            <v:line style="position:absolute" from="4283,3013" to="4303,3005" stroked="true" strokeweight=".579051pt" strokecolor="#ff6600">
              <v:stroke dashstyle="solid"/>
            </v:line>
            <v:line style="position:absolute" from="4303,3005" to="4322,2993" stroked="true" strokeweight=".579057pt" strokecolor="#ff6600">
              <v:stroke dashstyle="solid"/>
            </v:line>
            <v:line style="position:absolute" from="4322,2993" to="4330,2993" stroked="true" strokeweight=".579044pt" strokecolor="#ff6600">
              <v:stroke dashstyle="solid"/>
            </v:line>
            <v:line style="position:absolute" from="4430,2943" to="4442,2939" stroked="true" strokeweight=".579049pt" strokecolor="#ff6600">
              <v:stroke dashstyle="solid"/>
            </v:line>
            <v:line style="position:absolute" from="4442,2939" to="4461,2932" stroked="true" strokeweight=".579051pt" strokecolor="#ff6600">
              <v:stroke dashstyle="solid"/>
            </v:line>
            <v:line style="position:absolute" from="4461,2932" to="4480,2924" stroked="true" strokeweight=".579051pt" strokecolor="#ff6600">
              <v:stroke dashstyle="solid"/>
            </v:line>
            <v:line style="position:absolute" from="4480,2924" to="4499,2912" stroked="true" strokeweight=".579057pt" strokecolor="#ff6600">
              <v:stroke dashstyle="solid"/>
            </v:line>
            <v:line style="position:absolute" from="4499,2912" to="4519,2905" stroked="true" strokeweight=".579051pt" strokecolor="#ff6600">
              <v:stroke dashstyle="solid"/>
            </v:line>
            <v:line style="position:absolute" from="4519,2905" to="4538,2897" stroked="true" strokeweight=".579051pt" strokecolor="#ff6600">
              <v:stroke dashstyle="solid"/>
            </v:line>
            <v:line style="position:absolute" from="4538,2897" to="4557,2885" stroked="true" strokeweight=".579057pt" strokecolor="#ff6600">
              <v:stroke dashstyle="solid"/>
            </v:line>
            <v:line style="position:absolute" from="4557,2885" to="4580,2877" stroked="true" strokeweight=".579049pt" strokecolor="#ff6600">
              <v:stroke dashstyle="solid"/>
            </v:line>
            <v:line style="position:absolute" from="4580,2877" to="4600,2866" stroked="true" strokeweight=".579057pt" strokecolor="#ff6600">
              <v:stroke dashstyle="solid"/>
            </v:line>
            <v:line style="position:absolute" from="4600,2866" to="4619,2858" stroked="true" strokeweight=".579051pt" strokecolor="#ff6600">
              <v:stroke dashstyle="solid"/>
            </v:line>
            <v:line style="position:absolute" from="4619,2858" to="4638,2850" stroked="true" strokeweight=".579051pt" strokecolor="#ff6600">
              <v:stroke dashstyle="solid"/>
            </v:line>
            <v:line style="position:absolute" from="4638,2850" to="4658,2839" stroked="true" strokeweight=".579057pt" strokecolor="#ff6600">
              <v:stroke dashstyle="solid"/>
            </v:line>
            <v:line style="position:absolute" from="4658,2839" to="4677,2831" stroked="true" strokeweight=".579051pt" strokecolor="#ff6600">
              <v:stroke dashstyle="solid"/>
            </v:line>
            <v:line style="position:absolute" from="4677,2831" to="4696,2820" stroked="true" strokeweight=".579057pt" strokecolor="#ff6600">
              <v:stroke dashstyle="solid"/>
            </v:line>
            <v:line style="position:absolute" from="4696,2820" to="4708,2816" stroked="true" strokeweight=".579049pt" strokecolor="#ff6600">
              <v:stroke dashstyle="solid"/>
            </v:line>
            <v:line style="position:absolute" from="4814,2760" to="4814,2771" stroked="true" strokeweight=".193032pt" strokecolor="#ff6600">
              <v:stroke dashstyle="solid"/>
            </v:line>
            <v:line style="position:absolute" from="4816,2766" to="4835,2754" stroked="true" strokeweight=".579057pt" strokecolor="#ff6600">
              <v:stroke dashstyle="solid"/>
            </v:line>
            <v:line style="position:absolute" from="4835,2754" to="4855,2746" stroked="true" strokeweight=".579051pt" strokecolor="#ff6600">
              <v:stroke dashstyle="solid"/>
            </v:line>
            <v:line style="position:absolute" from="4855,2746" to="4874,2735" stroked="true" strokeweight=".579057pt" strokecolor="#ff6600">
              <v:stroke dashstyle="solid"/>
            </v:line>
            <v:line style="position:absolute" from="4876,2729" to="4876,2740" stroked="true" strokeweight=".193032pt" strokecolor="#ff6600">
              <v:stroke dashstyle="solid"/>
            </v:line>
            <v:line style="position:absolute" from="4982,2684" to="4994,2681" stroked="true" strokeweight=".579049pt" strokecolor="#ff6600">
              <v:stroke dashstyle="solid"/>
            </v:line>
            <v:line style="position:absolute" from="4994,2681" to="5013,2669" stroked="true" strokeweight=".579057pt" strokecolor="#ff6600">
              <v:stroke dashstyle="solid"/>
            </v:line>
            <v:line style="position:absolute" from="5013,2669" to="5032,2661" stroked="true" strokeweight=".579051pt" strokecolor="#ff6600">
              <v:stroke dashstyle="solid"/>
            </v:line>
            <v:line style="position:absolute" from="5032,2661" to="5051,2650" stroked="true" strokeweight=".579057pt" strokecolor="#ff6600">
              <v:stroke dashstyle="solid"/>
            </v:line>
            <v:line style="position:absolute" from="5051,2650" to="5071,2642" stroked="true" strokeweight=".579051pt" strokecolor="#ff6600">
              <v:stroke dashstyle="solid"/>
            </v:line>
            <v:line style="position:absolute" from="5071,2642" to="5090,2630" stroked="true" strokeweight=".579057pt" strokecolor="#ff6600">
              <v:stroke dashstyle="solid"/>
            </v:line>
            <v:line style="position:absolute" from="5090,2630" to="5113,2623" stroked="true" strokeweight=".579049pt" strokecolor="#ff6600">
              <v:stroke dashstyle="solid"/>
            </v:line>
            <v:line style="position:absolute" from="5113,2623" to="5133,2611" stroked="true" strokeweight=".579057pt" strokecolor="#ff6600">
              <v:stroke dashstyle="solid"/>
            </v:line>
            <v:line style="position:absolute" from="5133,2611" to="5152,2603" stroked="true" strokeweight=".579051pt" strokecolor="#ff6600">
              <v:stroke dashstyle="solid"/>
            </v:line>
            <v:line style="position:absolute" from="5152,2603" to="5171,2592" stroked="true" strokeweight=".579057pt" strokecolor="#ff6600">
              <v:stroke dashstyle="solid"/>
            </v:line>
            <v:line style="position:absolute" from="5171,2592" to="5190,2584" stroked="true" strokeweight=".579051pt" strokecolor="#ff6600">
              <v:stroke dashstyle="solid"/>
            </v:line>
            <v:line style="position:absolute" from="5190,2584" to="5210,2572" stroked="true" strokeweight=".579057pt" strokecolor="#ff6600">
              <v:stroke dashstyle="solid"/>
            </v:line>
            <v:line style="position:absolute" from="5210,2572" to="5229,2565" stroked="true" strokeweight=".579051pt" strokecolor="#ff6600">
              <v:stroke dashstyle="solid"/>
            </v:line>
            <v:line style="position:absolute" from="5229,2565" to="5248,2553" stroked="true" strokeweight=".579057pt" strokecolor="#ff6600">
              <v:stroke dashstyle="solid"/>
            </v:line>
            <v:line style="position:absolute" from="5248,2553" to="5256,2549" stroked="true" strokeweight=".579054pt" strokecolor="#ff6600">
              <v:stroke dashstyle="solid"/>
            </v:line>
            <v:line style="position:absolute" from="5360,2499" to="5368,2495" stroked="true" strokeweight=".579054pt" strokecolor="#ff6600">
              <v:stroke dashstyle="solid"/>
            </v:line>
            <v:line style="position:absolute" from="5368,2495" to="5387,2484" stroked="true" strokeweight=".579057pt" strokecolor="#ff6600">
              <v:stroke dashstyle="solid"/>
            </v:line>
            <v:line style="position:absolute" from="5387,2484" to="5407,2476" stroked="true" strokeweight=".579051pt" strokecolor="#ff6600">
              <v:stroke dashstyle="solid"/>
            </v:line>
            <v:line style="position:absolute" from="5407,2476" to="5426,2464" stroked="true" strokeweight=".579057pt" strokecolor="#ff6600">
              <v:stroke dashstyle="solid"/>
            </v:line>
            <v:line style="position:absolute" from="5428,2459" to="5428,2470" stroked="true" strokeweight=".193032pt" strokecolor="#ff6600">
              <v:stroke dashstyle="solid"/>
            </v:line>
            <v:shape style="position:absolute;left:5528;top:2261;width:286;height:155" type="#_x0000_t75" stroked="false">
              <v:imagedata r:id="rId137" o:title=""/>
            </v:shape>
            <v:line style="position:absolute" from="5912,2213" to="5920,2210" stroked="true" strokeweight=".579054pt" strokecolor="#ff6600">
              <v:stroke dashstyle="solid"/>
            </v:line>
            <v:line style="position:absolute" from="5920,2210" to="5939,2198" stroked="true" strokeweight=".579057pt" strokecolor="#ff6600">
              <v:stroke dashstyle="solid"/>
            </v:line>
            <v:line style="position:absolute" from="5939,2198" to="5959,2190" stroked="true" strokeweight=".579051pt" strokecolor="#ff6600">
              <v:stroke dashstyle="solid"/>
            </v:line>
            <v:line style="position:absolute" from="5959,2190" to="5978,2179" stroked="true" strokeweight=".579057pt" strokecolor="#ff6600">
              <v:stroke dashstyle="solid"/>
            </v:line>
            <v:line style="position:absolute" from="5980,2173" to="5980,2185" stroked="true" strokeweight=".193032pt" strokecolor="#ff6600">
              <v:stroke dashstyle="solid"/>
            </v:line>
            <v:line style="position:absolute" from="6082,2121" to="6098,2117" stroked="true" strokeweight=".579047pt" strokecolor="#ff6600">
              <v:stroke dashstyle="solid"/>
            </v:line>
            <v:line style="position:absolute" from="6098,2117" to="6117,2105" stroked="true" strokeweight=".579057pt" strokecolor="#ff6600">
              <v:stroke dashstyle="solid"/>
            </v:line>
            <v:line style="position:absolute" from="6117,2105" to="6136,2094" stroked="true" strokeweight=".579057pt" strokecolor="#ff6600">
              <v:stroke dashstyle="solid"/>
            </v:line>
            <v:line style="position:absolute" from="6136,2094" to="6156,2082" stroked="true" strokeweight=".579057pt" strokecolor="#ff6600">
              <v:stroke dashstyle="solid"/>
            </v:line>
            <v:line style="position:absolute" from="6156,2082" to="6175,2074" stroked="true" strokeweight=".579051pt" strokecolor="#ff6600">
              <v:stroke dashstyle="solid"/>
            </v:line>
            <v:line style="position:absolute" from="6175,2074" to="6194,2063" stroked="true" strokeweight=".579057pt" strokecolor="#ff6600">
              <v:stroke dashstyle="solid"/>
            </v:line>
            <v:line style="position:absolute" from="6194,2063" to="6217,2051" stroked="true" strokeweight=".579054pt" strokecolor="#ff6600">
              <v:stroke dashstyle="solid"/>
            </v:line>
            <v:line style="position:absolute" from="6217,2051" to="6237,2040" stroked="true" strokeweight=".579057pt" strokecolor="#ff6600">
              <v:stroke dashstyle="solid"/>
            </v:line>
            <v:line style="position:absolute" from="6237,2040" to="6256,2032" stroked="true" strokeweight=".579051pt" strokecolor="#ff6600">
              <v:stroke dashstyle="solid"/>
            </v:line>
            <v:line style="position:absolute" from="6256,2032" to="6275,2020" stroked="true" strokeweight=".579057pt" strokecolor="#ff6600">
              <v:stroke dashstyle="solid"/>
            </v:line>
            <v:line style="position:absolute" from="6275,2020" to="6295,2009" stroked="true" strokeweight=".579057pt" strokecolor="#ff6600">
              <v:stroke dashstyle="solid"/>
            </v:line>
            <v:line style="position:absolute" from="6295,2009" to="6314,1997" stroked="true" strokeweight=".579057pt" strokecolor="#ff6600">
              <v:stroke dashstyle="solid"/>
            </v:line>
            <v:line style="position:absolute" from="6314,1997" to="6333,1986" stroked="true" strokeweight=".579057pt" strokecolor="#ff6600">
              <v:stroke dashstyle="solid"/>
            </v:line>
            <v:line style="position:absolute" from="6333,1986" to="6353,1978" stroked="true" strokeweight=".579051pt" strokecolor="#ff6600">
              <v:stroke dashstyle="solid"/>
            </v:line>
            <v:line style="position:absolute" from="6353,1978" to="6360,1974" stroked="true" strokeweight=".579054pt" strokecolor="#ff6600">
              <v:stroke dashstyle="solid"/>
            </v:line>
            <v:line style="position:absolute" from="6464,1916" to="6472,1908" stroked="true" strokeweight=".579069pt" strokecolor="#ff6600">
              <v:stroke dashstyle="solid"/>
            </v:line>
            <v:line style="position:absolute" from="6472,1908" to="6492,1901" stroked="true" strokeweight=".579051pt" strokecolor="#ff6600">
              <v:stroke dashstyle="solid"/>
            </v:line>
            <v:line style="position:absolute" from="6492,1901" to="6511,1889" stroked="true" strokeweight=".579057pt" strokecolor="#ff6600">
              <v:stroke dashstyle="solid"/>
            </v:line>
            <v:line style="position:absolute" from="6511,1889" to="6530,1878" stroked="true" strokeweight=".579057pt" strokecolor="#ff6600">
              <v:stroke dashstyle="solid"/>
            </v:line>
            <v:line style="position:absolute" from="6530,1878" to="6530,1878" stroked="true" strokeweight=".579044pt" strokecolor="#ff6600">
              <v:stroke dashstyle="solid"/>
            </v:line>
            <v:line style="position:absolute" from="6634,1820" to="6650,1812" stroked="true" strokeweight=".579054pt" strokecolor="#ff6600">
              <v:stroke dashstyle="solid"/>
            </v:line>
            <v:line style="position:absolute" from="6650,1812" to="6669,1800" stroked="true" strokeweight=".579057pt" strokecolor="#ff6600">
              <v:stroke dashstyle="solid"/>
            </v:line>
            <v:line style="position:absolute" from="6669,1800" to="6688,1789" stroked="true" strokeweight=".579057pt" strokecolor="#ff6600">
              <v:stroke dashstyle="solid"/>
            </v:line>
            <v:line style="position:absolute" from="6688,1789" to="6708,1777" stroked="true" strokeweight=".579057pt" strokecolor="#ff6600">
              <v:stroke dashstyle="solid"/>
            </v:line>
            <v:line style="position:absolute" from="6708,1777" to="6727,1766" stroked="true" strokeweight=".579057pt" strokecolor="#ff6600">
              <v:stroke dashstyle="solid"/>
            </v:line>
            <v:line style="position:absolute" from="6727,1766" to="6746,1754" stroked="true" strokeweight=".579057pt" strokecolor="#ff6600">
              <v:stroke dashstyle="solid"/>
            </v:line>
            <v:line style="position:absolute" from="6746,1754" to="6769,1742" stroked="true" strokeweight=".579054pt" strokecolor="#ff6600">
              <v:stroke dashstyle="solid"/>
            </v:line>
            <v:line style="position:absolute" from="6769,1742" to="6789,1731" stroked="true" strokeweight=".579057pt" strokecolor="#ff6600">
              <v:stroke dashstyle="solid"/>
            </v:line>
            <v:line style="position:absolute" from="6789,1731" to="6808,1719" stroked="true" strokeweight=".579057pt" strokecolor="#ff6600">
              <v:stroke dashstyle="solid"/>
            </v:line>
            <v:line style="position:absolute" from="6808,1719" to="6827,1708" stroked="true" strokeweight=".579057pt" strokecolor="#ff6600">
              <v:stroke dashstyle="solid"/>
            </v:line>
            <v:line style="position:absolute" from="6827,1708" to="6847,1696" stroked="true" strokeweight=".579057pt" strokecolor="#ff6600">
              <v:stroke dashstyle="solid"/>
            </v:line>
            <v:line style="position:absolute" from="6847,1696" to="6866,1685" stroked="true" strokeweight=".579057pt" strokecolor="#ff6600">
              <v:stroke dashstyle="solid"/>
            </v:line>
            <v:line style="position:absolute" from="6866,1685" to="6885,1677" stroked="true" strokeweight=".579051pt" strokecolor="#ff6600">
              <v:stroke dashstyle="solid"/>
            </v:line>
            <v:line style="position:absolute" from="6885,1677" to="6905,1665" stroked="true" strokeweight=".579057pt" strokecolor="#ff6600">
              <v:stroke dashstyle="solid"/>
            </v:line>
            <v:line style="position:absolute" from="6905,1665" to="6908,1661" stroked="true" strokeweight=".579069pt" strokecolor="#ff6600">
              <v:stroke dashstyle="solid"/>
            </v:line>
            <v:line style="position:absolute" from="7013,1600" to="7024,1592" stroked="true" strokeweight=".579059pt" strokecolor="#ff6600">
              <v:stroke dashstyle="solid"/>
            </v:line>
            <v:line style="position:absolute" from="7024,1592" to="7044,1580" stroked="true" strokeweight=".579057pt" strokecolor="#ff6600">
              <v:stroke dashstyle="solid"/>
            </v:line>
            <v:line style="position:absolute" from="7044,1580" to="7063,1569" stroked="true" strokeweight=".579057pt" strokecolor="#ff6600">
              <v:stroke dashstyle="solid"/>
            </v:line>
            <v:line style="position:absolute" from="7063,1569" to="7082,1561" stroked="true" strokeweight=".579051pt" strokecolor="#ff6600">
              <v:stroke dashstyle="solid"/>
            </v:line>
            <v:line style="position:absolute" from="7186,1499" to="7202,1488" stroked="true" strokeweight=".579062pt" strokecolor="#ff6600">
              <v:stroke dashstyle="solid"/>
            </v:line>
            <v:line style="position:absolute" from="7202,1488" to="7221,1476" stroked="true" strokeweight=".579057pt" strokecolor="#ff6600">
              <v:stroke dashstyle="solid"/>
            </v:line>
            <v:line style="position:absolute" from="7221,1476" to="7240,1465" stroked="true" strokeweight=".579057pt" strokecolor="#ff6600">
              <v:stroke dashstyle="solid"/>
            </v:line>
            <v:line style="position:absolute" from="7240,1465" to="7260,1453" stroked="true" strokeweight=".579057pt" strokecolor="#ff6600">
              <v:stroke dashstyle="solid"/>
            </v:line>
            <v:line style="position:absolute" from="7260,1453" to="7279,1441" stroked="true" strokeweight=".579057pt" strokecolor="#ff6600">
              <v:stroke dashstyle="solid"/>
            </v:line>
            <v:line style="position:absolute" from="7279,1441" to="7302,1430" stroked="true" strokeweight=".579054pt" strokecolor="#ff6600">
              <v:stroke dashstyle="solid"/>
            </v:line>
            <v:line style="position:absolute" from="7302,1430" to="7322,1418" stroked="true" strokeweight=".579057pt" strokecolor="#ff6600">
              <v:stroke dashstyle="solid"/>
            </v:line>
            <v:line style="position:absolute" from="7322,1418" to="7341,1403" stroked="true" strokeweight=".579064pt" strokecolor="#ff6600">
              <v:stroke dashstyle="solid"/>
            </v:line>
            <v:line style="position:absolute" from="7341,1403" to="7360,1391" stroked="true" strokeweight=".579057pt" strokecolor="#ff6600">
              <v:stroke dashstyle="solid"/>
            </v:line>
            <v:line style="position:absolute" from="7360,1391" to="7379,1380" stroked="true" strokeweight=".579057pt" strokecolor="#ff6600">
              <v:stroke dashstyle="solid"/>
            </v:line>
            <v:line style="position:absolute" from="7379,1380" to="7399,1368" stroked="true" strokeweight=".579057pt" strokecolor="#ff6600">
              <v:stroke dashstyle="solid"/>
            </v:line>
            <v:line style="position:absolute" from="7399,1368" to="7418,1356" stroked="true" strokeweight=".579057pt" strokecolor="#ff6600">
              <v:stroke dashstyle="solid"/>
            </v:line>
            <v:line style="position:absolute" from="7418,1356" to="7437,1345" stroked="true" strokeweight=".579057pt" strokecolor="#ff6600">
              <v:stroke dashstyle="solid"/>
            </v:line>
            <v:line style="position:absolute" from="7437,1345" to="7457,1333" stroked="true" strokeweight=".579057pt" strokecolor="#ff6600">
              <v:stroke dashstyle="solid"/>
            </v:line>
            <v:line style="position:absolute" from="7457,1333" to="7461,1329" stroked="true" strokeweight=".579069pt" strokecolor="#ff6600">
              <v:stroke dashstyle="solid"/>
            </v:line>
            <v:line style="position:absolute" from="7565,1268" to="7576,1260" stroked="true" strokeweight=".579059pt" strokecolor="#ff6600">
              <v:stroke dashstyle="solid"/>
            </v:line>
            <v:line style="position:absolute" from="7576,1260" to="7596,1244" stroked="true" strokeweight=".579064pt" strokecolor="#ff6600">
              <v:stroke dashstyle="solid"/>
            </v:line>
            <v:line style="position:absolute" from="7596,1244" to="7615,1233" stroked="true" strokeweight=".579057pt" strokecolor="#ff6600">
              <v:stroke dashstyle="solid"/>
            </v:line>
            <v:line style="position:absolute" from="7615,1233" to="7634,1221" stroked="true" strokeweight=".579057pt" strokecolor="#ff6600">
              <v:stroke dashstyle="solid"/>
            </v:line>
            <v:line style="position:absolute" from="7735,1156" to="7754,1144" stroked="true" strokeweight=".579057pt" strokecolor="#ff6600">
              <v:stroke dashstyle="solid"/>
            </v:line>
            <v:line style="position:absolute" from="7754,1144" to="7773,1132" stroked="true" strokeweight=".579057pt" strokecolor="#ff6600">
              <v:stroke dashstyle="solid"/>
            </v:line>
            <v:line style="position:absolute" from="7773,1132" to="7793,1121" stroked="true" strokeweight=".579057pt" strokecolor="#ff6600">
              <v:stroke dashstyle="solid"/>
            </v:line>
            <v:line style="position:absolute" from="7793,1121" to="7812,1109" stroked="true" strokeweight=".579057pt" strokecolor="#ff6600">
              <v:stroke dashstyle="solid"/>
            </v:line>
            <v:line style="position:absolute" from="7812,1109" to="7831,1094" stroked="true" strokeweight=".579064pt" strokecolor="#ff6600">
              <v:stroke dashstyle="solid"/>
            </v:line>
            <v:line style="position:absolute" from="7831,1094" to="7854,1082" stroked="true" strokeweight=".579054pt" strokecolor="#ff6600">
              <v:stroke dashstyle="solid"/>
            </v:line>
            <v:line style="position:absolute" from="7854,1082" to="7874,1071" stroked="true" strokeweight=".579057pt" strokecolor="#ff6600">
              <v:stroke dashstyle="solid"/>
            </v:line>
            <v:line style="position:absolute" from="7874,1071" to="7893,1055" stroked="true" strokeweight=".579064pt" strokecolor="#ff6600">
              <v:stroke dashstyle="solid"/>
            </v:line>
            <v:line style="position:absolute" from="7893,1055" to="7912,1044" stroked="true" strokeweight=".579057pt" strokecolor="#ff6600">
              <v:stroke dashstyle="solid"/>
            </v:line>
            <v:line style="position:absolute" from="7912,1044" to="7932,1032" stroked="true" strokeweight=".579057pt" strokecolor="#ff6600">
              <v:stroke dashstyle="solid"/>
            </v:line>
            <v:line style="position:absolute" from="7932,1032" to="7951,1017" stroked="true" strokeweight=".579064pt" strokecolor="#ff6600">
              <v:stroke dashstyle="solid"/>
            </v:line>
            <v:line style="position:absolute" from="7951,1017" to="7970,1005" stroked="true" strokeweight=".579057pt" strokecolor="#ff6600">
              <v:stroke dashstyle="solid"/>
            </v:line>
            <v:line style="position:absolute" from="7970,1005" to="7989,994" stroked="true" strokeweight=".579057pt" strokecolor="#ff6600">
              <v:stroke dashstyle="solid"/>
            </v:line>
            <v:line style="position:absolute" from="7989,994" to="8009,978" stroked="true" strokeweight=".579064pt" strokecolor="#ff6600">
              <v:stroke dashstyle="solid"/>
            </v:line>
            <v:line style="position:absolute" from="8011,972" to="8011,984" stroked="true" strokeweight=".193032pt" strokecolor="#ff6600">
              <v:stroke dashstyle="solid"/>
            </v:line>
            <v:line style="position:absolute" from="8117,909" to="8128,901" stroked="true" strokeweight=".579059pt" strokecolor="#ff6600">
              <v:stroke dashstyle="solid"/>
            </v:line>
            <v:line style="position:absolute" from="8128,901" to="8148,889" stroked="true" strokeweight=".579057pt" strokecolor="#ff6600">
              <v:stroke dashstyle="solid"/>
            </v:line>
            <v:line style="position:absolute" from="8148,889" to="8167,874" stroked="true" strokeweight=".579064pt" strokecolor="#ff6600">
              <v:stroke dashstyle="solid"/>
            </v:line>
            <v:line style="position:absolute" from="8167,874" to="8182,862" stroked="true" strokeweight=".579062pt" strokecolor="#ff6600">
              <v:stroke dashstyle="solid"/>
            </v:line>
            <v:shape style="position:absolute;left:8280;top:597;width:286;height:201" type="#_x0000_t75" stroked="false">
              <v:imagedata r:id="rId138" o:title=""/>
            </v:shape>
            <v:line style="position:absolute" from="8665,530" to="8680,519" stroked="true" strokeweight=".579062pt" strokecolor="#ff6600">
              <v:stroke dashstyle="solid"/>
            </v:line>
            <v:line style="position:absolute" from="8680,519" to="8700,503" stroked="true" strokeweight=".579064pt" strokecolor="#ff6600">
              <v:stroke dashstyle="solid"/>
            </v:line>
            <v:line style="position:absolute" from="8700,503" to="8719,492" stroked="true" strokeweight=".579057pt" strokecolor="#ff6600">
              <v:stroke dashstyle="solid"/>
            </v:line>
            <v:line style="position:absolute" from="8719,492" to="8735,480" stroked="true" strokeweight=".579062pt" strokecolor="#ff6600">
              <v:stroke dashstyle="solid"/>
            </v:line>
            <v:shape style="position:absolute;left:8832;top:192;width:286;height:217" type="#_x0000_t75" stroked="false">
              <v:imagedata r:id="rId139" o:title=""/>
            </v:shape>
            <v:shape style="position:absolute;left:3074;top:348;width:78;height:62" coordorigin="3075,349" coordsize="78,62" path="m3113,411l3075,380,3113,349,3152,380,3113,411xe" filled="true" fillcolor="#ff0000" stroked="false">
              <v:path arrowok="t"/>
              <v:fill type="solid"/>
            </v:shape>
            <v:shape style="position:absolute;left:3074;top:348;width:78;height:62" coordorigin="3075,349" coordsize="78,62" path="m3113,349l3152,380,3113,411,3075,380,3113,349xe" filled="false" stroked="true" strokeweight="1.158127pt" strokecolor="#ff0000">
              <v:path arrowok="t"/>
              <v:stroke dashstyle="solid"/>
            </v:shape>
            <v:shape style="position:absolute;left:3074;top:615;width:74;height:58" coordorigin="3075,615" coordsize="74,58" path="m3148,673l3075,673,3113,615,3148,673xe" filled="true" fillcolor="#0000ff" stroked="false">
              <v:path arrowok="t"/>
              <v:fill type="solid"/>
            </v:shape>
            <v:shape style="position:absolute;left:3074;top:615;width:74;height:58" coordorigin="3075,615" coordsize="74,58" path="m3113,615l3148,673,3075,673,3113,615xe" filled="false" stroked="true" strokeweight="1.158127pt" strokecolor="#0000ff">
              <v:path arrowok="t"/>
              <v:stroke dashstyle="solid"/>
            </v:shape>
            <v:line style="position:absolute" from="2920,928" to="2990,928" stroked="true" strokeweight=".579044pt" strokecolor="#ff6600">
              <v:stroke dashstyle="solid"/>
            </v:line>
            <v:line style="position:absolute" from="3094,928" to="3291,928" stroked="true" strokeweight=".579044pt" strokecolor="#ff6600">
              <v:stroke dashstyle="solid"/>
            </v:line>
            <v:shape style="position:absolute;left:2754;top:110;width:7123;height:3880" type="#_x0000_t202" filled="false" stroked="false">
              <v:textbox inset="0,0,0,0">
                <w:txbxContent>
                  <w:p>
                    <w:pPr>
                      <w:spacing w:line="319" w:lineRule="auto" w:before="155"/>
                      <w:ind w:left="625" w:right="5409" w:firstLine="0"/>
                      <w:jc w:val="left"/>
                      <w:rPr>
                        <w:sz w:val="18"/>
                      </w:rPr>
                    </w:pPr>
                    <w:r>
                      <w:rPr>
                        <w:w w:val="105"/>
                        <w:sz w:val="18"/>
                      </w:rPr>
                      <w:t>SPF-S data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SYP data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Resal</w:t>
                    </w:r>
                    <w:r>
                      <w:rPr>
                        <w:spacing w:val="7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model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06.409286pt;margin-top:9.046735pt;width:17.95pt;height:173.1pt;mso-position-horizontal-relative:page;mso-position-vertical-relative:paragraph;z-index:15814144" type="#_x0000_t202" filled="false" stroked="false">
            <v:textbox inset="0,0,0,0" style="layout-flow:vertical;mso-layout-flow-alt:bottom-to-top">
              <w:txbxContent>
                <w:p>
                  <w:pPr>
                    <w:pStyle w:val="BodyText"/>
                    <w:spacing w:before="16"/>
                    <w:ind w:left="20"/>
                  </w:pPr>
                  <w:r>
                    <w:rPr/>
                    <w:t>Depth</w:t>
                  </w:r>
                  <w:r>
                    <w:rPr>
                      <w:spacing w:val="16"/>
                    </w:rPr>
                    <w:t> </w:t>
                  </w:r>
                  <w:r>
                    <w:rPr/>
                    <w:t>of</w:t>
                  </w:r>
                  <w:r>
                    <w:rPr>
                      <w:spacing w:val="15"/>
                    </w:rPr>
                    <w:t> </w:t>
                  </w:r>
                  <w:r>
                    <w:rPr/>
                    <w:t>Penetration</w:t>
                  </w:r>
                  <w:r>
                    <w:rPr>
                      <w:spacing w:val="16"/>
                    </w:rPr>
                    <w:t> </w:t>
                  </w:r>
                  <w:r>
                    <w:rPr/>
                    <w:t>(T</w:t>
                  </w:r>
                  <w:r>
                    <w:rPr>
                      <w:position w:val="-5"/>
                      <w:sz w:val="19"/>
                    </w:rPr>
                    <w:t>w</w:t>
                  </w:r>
                  <w:r>
                    <w:rPr/>
                    <w:t>)</w:t>
                  </w:r>
                  <w:r>
                    <w:rPr>
                      <w:spacing w:val="15"/>
                    </w:rPr>
                    <w:t> </w:t>
                  </w:r>
                  <w:r>
                    <w:rPr/>
                    <w:t>(inches)</w:t>
                  </w:r>
                </w:p>
              </w:txbxContent>
            </v:textbox>
            <w10:wrap type="none"/>
          </v:shape>
        </w:pict>
      </w:r>
      <w:r>
        <w:rPr>
          <w:sz w:val="17"/>
        </w:rPr>
        <w:t>14</w:t>
      </w:r>
    </w:p>
    <w:p>
      <w:pPr>
        <w:spacing w:before="82"/>
        <w:ind w:left="783" w:right="0" w:firstLine="0"/>
        <w:jc w:val="left"/>
        <w:rPr>
          <w:sz w:val="17"/>
        </w:rPr>
      </w:pPr>
      <w:r>
        <w:rPr>
          <w:sz w:val="17"/>
        </w:rPr>
        <w:t>13</w:t>
      </w:r>
    </w:p>
    <w:p>
      <w:pPr>
        <w:spacing w:before="79"/>
        <w:ind w:left="783" w:right="0" w:firstLine="0"/>
        <w:jc w:val="left"/>
        <w:rPr>
          <w:sz w:val="17"/>
        </w:rPr>
      </w:pPr>
      <w:r>
        <w:rPr>
          <w:sz w:val="17"/>
        </w:rPr>
        <w:t>12</w:t>
      </w:r>
    </w:p>
    <w:p>
      <w:pPr>
        <w:spacing w:before="78"/>
        <w:ind w:left="783" w:right="0" w:firstLine="0"/>
        <w:jc w:val="left"/>
        <w:rPr>
          <w:sz w:val="17"/>
        </w:rPr>
      </w:pPr>
      <w:r>
        <w:rPr>
          <w:sz w:val="17"/>
        </w:rPr>
        <w:t>11</w:t>
      </w:r>
    </w:p>
    <w:p>
      <w:pPr>
        <w:spacing w:before="83"/>
        <w:ind w:left="783" w:right="0" w:firstLine="0"/>
        <w:jc w:val="left"/>
        <w:rPr>
          <w:sz w:val="17"/>
        </w:rPr>
      </w:pPr>
      <w:r>
        <w:rPr>
          <w:sz w:val="17"/>
        </w:rPr>
        <w:t>10</w:t>
      </w:r>
    </w:p>
    <w:p>
      <w:pPr>
        <w:spacing w:before="78"/>
        <w:ind w:left="868" w:right="0" w:firstLine="0"/>
        <w:jc w:val="left"/>
        <w:rPr>
          <w:sz w:val="17"/>
        </w:rPr>
      </w:pPr>
      <w:r>
        <w:rPr>
          <w:w w:val="100"/>
          <w:sz w:val="17"/>
        </w:rPr>
        <w:t>9</w:t>
      </w:r>
    </w:p>
    <w:p>
      <w:pPr>
        <w:spacing w:before="79"/>
        <w:ind w:left="868" w:right="0" w:firstLine="0"/>
        <w:jc w:val="left"/>
        <w:rPr>
          <w:sz w:val="17"/>
        </w:rPr>
      </w:pPr>
      <w:r>
        <w:rPr>
          <w:w w:val="100"/>
          <w:sz w:val="17"/>
        </w:rPr>
        <w:t>8</w:t>
      </w:r>
    </w:p>
    <w:p>
      <w:pPr>
        <w:spacing w:before="83"/>
        <w:ind w:left="868" w:right="0" w:firstLine="0"/>
        <w:jc w:val="left"/>
        <w:rPr>
          <w:sz w:val="17"/>
        </w:rPr>
      </w:pPr>
      <w:r>
        <w:rPr>
          <w:w w:val="100"/>
          <w:sz w:val="17"/>
        </w:rPr>
        <w:t>7</w:t>
      </w:r>
    </w:p>
    <w:p>
      <w:pPr>
        <w:spacing w:before="78"/>
        <w:ind w:left="868" w:right="0" w:firstLine="0"/>
        <w:jc w:val="left"/>
        <w:rPr>
          <w:sz w:val="17"/>
        </w:rPr>
      </w:pPr>
      <w:r>
        <w:rPr>
          <w:w w:val="100"/>
          <w:sz w:val="17"/>
        </w:rPr>
        <w:t>6</w:t>
      </w:r>
    </w:p>
    <w:p>
      <w:pPr>
        <w:spacing w:before="83"/>
        <w:ind w:left="868" w:right="0" w:firstLine="0"/>
        <w:jc w:val="left"/>
        <w:rPr>
          <w:sz w:val="17"/>
        </w:rPr>
      </w:pPr>
      <w:r>
        <w:rPr>
          <w:w w:val="100"/>
          <w:sz w:val="17"/>
        </w:rPr>
        <w:t>5</w:t>
      </w:r>
    </w:p>
    <w:p>
      <w:pPr>
        <w:spacing w:before="78"/>
        <w:ind w:left="868" w:right="0" w:firstLine="0"/>
        <w:jc w:val="left"/>
        <w:rPr>
          <w:sz w:val="17"/>
        </w:rPr>
      </w:pPr>
      <w:r>
        <w:rPr>
          <w:w w:val="100"/>
          <w:sz w:val="17"/>
        </w:rPr>
        <w:t>4</w:t>
      </w:r>
    </w:p>
    <w:p>
      <w:pPr>
        <w:spacing w:before="79"/>
        <w:ind w:left="868" w:right="0" w:firstLine="0"/>
        <w:jc w:val="left"/>
        <w:rPr>
          <w:sz w:val="17"/>
        </w:rPr>
      </w:pPr>
      <w:r>
        <w:rPr>
          <w:w w:val="100"/>
          <w:sz w:val="17"/>
        </w:rPr>
        <w:t>3</w:t>
      </w:r>
    </w:p>
    <w:p>
      <w:pPr>
        <w:spacing w:before="82"/>
        <w:ind w:left="868" w:right="0" w:firstLine="0"/>
        <w:jc w:val="left"/>
        <w:rPr>
          <w:sz w:val="17"/>
        </w:rPr>
      </w:pPr>
      <w:r>
        <w:rPr>
          <w:w w:val="100"/>
          <w:sz w:val="17"/>
        </w:rPr>
        <w:t>2</w:t>
      </w:r>
    </w:p>
    <w:p>
      <w:pPr>
        <w:spacing w:before="79"/>
        <w:ind w:left="868" w:right="0" w:firstLine="0"/>
        <w:jc w:val="left"/>
        <w:rPr>
          <w:sz w:val="17"/>
        </w:rPr>
      </w:pPr>
      <w:r>
        <w:rPr>
          <w:w w:val="100"/>
          <w:sz w:val="17"/>
        </w:rPr>
        <w:t>1</w:t>
      </w:r>
    </w:p>
    <w:p>
      <w:pPr>
        <w:spacing w:before="78"/>
        <w:ind w:left="868" w:right="0" w:firstLine="0"/>
        <w:jc w:val="left"/>
        <w:rPr>
          <w:sz w:val="17"/>
        </w:rPr>
      </w:pPr>
      <w:r>
        <w:rPr>
          <w:w w:val="100"/>
          <w:sz w:val="17"/>
        </w:rPr>
        <w:t>0</w:t>
      </w:r>
    </w:p>
    <w:p>
      <w:pPr>
        <w:pStyle w:val="BodyText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rPr>
          <w:sz w:val="18"/>
        </w:rPr>
      </w:pPr>
    </w:p>
    <w:p>
      <w:pPr>
        <w:pStyle w:val="BodyText"/>
        <w:spacing w:before="11"/>
        <w:rPr>
          <w:sz w:val="21"/>
        </w:rPr>
      </w:pPr>
    </w:p>
    <w:p>
      <w:pPr>
        <w:spacing w:before="0"/>
        <w:ind w:left="29" w:right="0" w:firstLine="0"/>
        <w:jc w:val="left"/>
        <w:rPr>
          <w:sz w:val="17"/>
        </w:rPr>
      </w:pPr>
      <w:r>
        <w:rPr>
          <w:sz w:val="17"/>
        </w:rPr>
        <w:t>35</w:t>
      </w:r>
    </w:p>
    <w:p>
      <w:pPr>
        <w:spacing w:before="75"/>
        <w:ind w:left="29" w:right="0" w:firstLine="0"/>
        <w:jc w:val="left"/>
        <w:rPr>
          <w:sz w:val="17"/>
        </w:rPr>
      </w:pPr>
      <w:r>
        <w:rPr/>
        <w:pict>
          <v:shape style="position:absolute;margin-left:520.268311pt;margin-top:8.295671pt;width:18pt;height:156.9pt;mso-position-horizontal-relative:page;mso-position-vertical-relative:paragraph;z-index:15814656" type="#_x0000_t202" filled="false" stroked="false">
            <v:textbox inset="0,0,0,0" style="layout-flow:vertical;mso-layout-flow-alt:bottom-to-top">
              <w:txbxContent>
                <w:p>
                  <w:pPr>
                    <w:pStyle w:val="BodyText"/>
                    <w:spacing w:before="16"/>
                    <w:ind w:left="20"/>
                  </w:pPr>
                  <w:r>
                    <w:rPr>
                      <w:spacing w:val="-1"/>
                      <w:w w:val="105"/>
                    </w:rPr>
                    <w:t>Depth</w:t>
                  </w:r>
                  <w:r>
                    <w:rPr>
                      <w:spacing w:val="-14"/>
                      <w:w w:val="105"/>
                    </w:rPr>
                    <w:t> </w:t>
                  </w:r>
                  <w:r>
                    <w:rPr>
                      <w:spacing w:val="-1"/>
                      <w:w w:val="105"/>
                    </w:rPr>
                    <w:t>of</w:t>
                  </w:r>
                  <w:r>
                    <w:rPr>
                      <w:spacing w:val="-14"/>
                      <w:w w:val="105"/>
                    </w:rPr>
                    <w:t> </w:t>
                  </w:r>
                  <w:r>
                    <w:rPr>
                      <w:spacing w:val="-1"/>
                      <w:w w:val="105"/>
                    </w:rPr>
                    <w:t>Penetration</w:t>
                  </w:r>
                  <w:r>
                    <w:rPr>
                      <w:spacing w:val="-13"/>
                      <w:w w:val="105"/>
                    </w:rPr>
                    <w:t> </w:t>
                  </w:r>
                  <w:r>
                    <w:rPr>
                      <w:spacing w:val="-1"/>
                      <w:w w:val="105"/>
                    </w:rPr>
                    <w:t>(T</w:t>
                  </w:r>
                  <w:r>
                    <w:rPr>
                      <w:spacing w:val="-1"/>
                      <w:w w:val="105"/>
                      <w:position w:val="-5"/>
                      <w:sz w:val="19"/>
                    </w:rPr>
                    <w:t>w</w:t>
                  </w:r>
                  <w:r>
                    <w:rPr>
                      <w:spacing w:val="-1"/>
                      <w:w w:val="105"/>
                    </w:rPr>
                    <w:t>)</w:t>
                  </w:r>
                  <w:r>
                    <w:rPr>
                      <w:spacing w:val="-14"/>
                      <w:w w:val="105"/>
                    </w:rPr>
                    <w:t> </w:t>
                  </w:r>
                  <w:r>
                    <w:rPr>
                      <w:w w:val="105"/>
                    </w:rPr>
                    <w:t>(cm)</w:t>
                  </w:r>
                </w:p>
              </w:txbxContent>
            </v:textbox>
            <w10:wrap type="none"/>
          </v:shape>
        </w:pict>
      </w:r>
      <w:r>
        <w:rPr>
          <w:sz w:val="17"/>
        </w:rPr>
        <w:t>32.5</w:t>
      </w:r>
    </w:p>
    <w:p>
      <w:pPr>
        <w:spacing w:before="78"/>
        <w:ind w:left="29" w:right="0" w:firstLine="0"/>
        <w:jc w:val="left"/>
        <w:rPr>
          <w:sz w:val="17"/>
        </w:rPr>
      </w:pPr>
      <w:r>
        <w:rPr>
          <w:sz w:val="17"/>
        </w:rPr>
        <w:t>30</w:t>
      </w:r>
    </w:p>
    <w:p>
      <w:pPr>
        <w:spacing w:before="75"/>
        <w:ind w:left="29" w:right="0" w:firstLine="0"/>
        <w:jc w:val="left"/>
        <w:rPr>
          <w:sz w:val="17"/>
        </w:rPr>
      </w:pPr>
      <w:r>
        <w:rPr>
          <w:sz w:val="17"/>
        </w:rPr>
        <w:t>27.5</w:t>
      </w:r>
    </w:p>
    <w:p>
      <w:pPr>
        <w:spacing w:before="75"/>
        <w:ind w:left="29" w:right="0" w:firstLine="0"/>
        <w:jc w:val="left"/>
        <w:rPr>
          <w:sz w:val="17"/>
        </w:rPr>
      </w:pPr>
      <w:r>
        <w:rPr>
          <w:sz w:val="17"/>
        </w:rPr>
        <w:t>25</w:t>
      </w:r>
    </w:p>
    <w:p>
      <w:pPr>
        <w:spacing w:before="75"/>
        <w:ind w:left="29" w:right="0" w:firstLine="0"/>
        <w:jc w:val="left"/>
        <w:rPr>
          <w:sz w:val="17"/>
        </w:rPr>
      </w:pPr>
      <w:r>
        <w:rPr>
          <w:sz w:val="17"/>
        </w:rPr>
        <w:t>22.5</w:t>
      </w:r>
    </w:p>
    <w:p>
      <w:pPr>
        <w:spacing w:before="74"/>
        <w:ind w:left="29" w:right="0" w:firstLine="0"/>
        <w:jc w:val="left"/>
        <w:rPr>
          <w:sz w:val="17"/>
        </w:rPr>
      </w:pPr>
      <w:r>
        <w:rPr>
          <w:sz w:val="17"/>
        </w:rPr>
        <w:t>20</w:t>
      </w:r>
    </w:p>
    <w:p>
      <w:pPr>
        <w:spacing w:before="79"/>
        <w:ind w:left="29" w:right="0" w:firstLine="0"/>
        <w:jc w:val="left"/>
        <w:rPr>
          <w:sz w:val="17"/>
        </w:rPr>
      </w:pPr>
      <w:r>
        <w:rPr>
          <w:sz w:val="17"/>
        </w:rPr>
        <w:t>17.5</w:t>
      </w:r>
    </w:p>
    <w:p>
      <w:pPr>
        <w:spacing w:before="75"/>
        <w:ind w:left="29" w:right="0" w:firstLine="0"/>
        <w:jc w:val="left"/>
        <w:rPr>
          <w:sz w:val="17"/>
        </w:rPr>
      </w:pPr>
      <w:r>
        <w:rPr>
          <w:sz w:val="17"/>
        </w:rPr>
        <w:t>15</w:t>
      </w:r>
    </w:p>
    <w:p>
      <w:pPr>
        <w:spacing w:before="74"/>
        <w:ind w:left="29" w:right="0" w:firstLine="0"/>
        <w:jc w:val="left"/>
        <w:rPr>
          <w:sz w:val="17"/>
        </w:rPr>
      </w:pPr>
      <w:r>
        <w:rPr>
          <w:sz w:val="17"/>
        </w:rPr>
        <w:t>12.5</w:t>
      </w:r>
    </w:p>
    <w:p>
      <w:pPr>
        <w:spacing w:before="75"/>
        <w:ind w:left="29" w:right="0" w:firstLine="0"/>
        <w:jc w:val="left"/>
        <w:rPr>
          <w:sz w:val="17"/>
        </w:rPr>
      </w:pPr>
      <w:r>
        <w:rPr>
          <w:sz w:val="17"/>
        </w:rPr>
        <w:t>10</w:t>
      </w:r>
    </w:p>
    <w:p>
      <w:pPr>
        <w:spacing w:before="79"/>
        <w:ind w:left="29" w:right="0" w:firstLine="0"/>
        <w:jc w:val="left"/>
        <w:rPr>
          <w:sz w:val="17"/>
        </w:rPr>
      </w:pPr>
      <w:r>
        <w:rPr>
          <w:sz w:val="17"/>
        </w:rPr>
        <w:t>7.5</w:t>
      </w:r>
    </w:p>
    <w:p>
      <w:pPr>
        <w:spacing w:before="75"/>
        <w:ind w:left="29" w:right="0" w:firstLine="0"/>
        <w:jc w:val="left"/>
        <w:rPr>
          <w:sz w:val="17"/>
        </w:rPr>
      </w:pPr>
      <w:r>
        <w:rPr>
          <w:w w:val="100"/>
          <w:sz w:val="17"/>
        </w:rPr>
        <w:t>5</w:t>
      </w:r>
    </w:p>
    <w:p>
      <w:pPr>
        <w:spacing w:before="74"/>
        <w:ind w:left="29" w:right="0" w:firstLine="0"/>
        <w:jc w:val="left"/>
        <w:rPr>
          <w:sz w:val="17"/>
        </w:rPr>
      </w:pPr>
      <w:r>
        <w:rPr>
          <w:sz w:val="17"/>
        </w:rPr>
        <w:t>2.5</w:t>
      </w:r>
    </w:p>
    <w:p>
      <w:pPr>
        <w:spacing w:before="75"/>
        <w:ind w:left="29" w:right="0" w:firstLine="0"/>
        <w:jc w:val="left"/>
        <w:rPr>
          <w:sz w:val="17"/>
        </w:rPr>
      </w:pPr>
      <w:r>
        <w:rPr>
          <w:w w:val="100"/>
          <w:sz w:val="17"/>
        </w:rPr>
        <w:t>0</w:t>
      </w:r>
    </w:p>
    <w:p>
      <w:pPr>
        <w:spacing w:after="0"/>
        <w:jc w:val="left"/>
        <w:rPr>
          <w:sz w:val="17"/>
        </w:rPr>
        <w:sectPr>
          <w:pgSz w:w="12240" w:h="15840"/>
          <w:pgMar w:header="0" w:footer="1064" w:top="1340" w:bottom="1260" w:left="1720" w:right="1020"/>
          <w:cols w:num="2" w:equalWidth="0">
            <w:col w:w="8177" w:space="40"/>
            <w:col w:w="1283"/>
          </w:cols>
        </w:sectPr>
      </w:pPr>
    </w:p>
    <w:p>
      <w:pPr>
        <w:tabs>
          <w:tab w:pos="1713" w:val="left" w:leader="none"/>
          <w:tab w:pos="2435" w:val="left" w:leader="none"/>
          <w:tab w:pos="3227" w:val="left" w:leader="none"/>
          <w:tab w:pos="4014" w:val="left" w:leader="none"/>
          <w:tab w:pos="4802" w:val="left" w:leader="none"/>
          <w:tab w:pos="5593" w:val="left" w:leader="none"/>
          <w:tab w:pos="6381" w:val="left" w:leader="none"/>
          <w:tab w:pos="7168" w:val="left" w:leader="none"/>
          <w:tab w:pos="7960" w:val="left" w:leader="none"/>
        </w:tabs>
        <w:spacing w:line="179" w:lineRule="exact" w:before="40"/>
        <w:ind w:left="926" w:right="0" w:firstLine="0"/>
        <w:jc w:val="left"/>
        <w:rPr>
          <w:sz w:val="17"/>
        </w:rPr>
      </w:pPr>
      <w:r>
        <w:rPr>
          <w:sz w:val="17"/>
        </w:rPr>
        <w:t>400</w:t>
        <w:tab/>
        <w:t>800</w:t>
        <w:tab/>
        <w:t>1200</w:t>
        <w:tab/>
        <w:t>1600</w:t>
        <w:tab/>
        <w:t>2000</w:t>
        <w:tab/>
        <w:t>2400</w:t>
        <w:tab/>
        <w:t>2800</w:t>
        <w:tab/>
        <w:t>3200</w:t>
        <w:tab/>
        <w:t>3600</w:t>
        <w:tab/>
        <w:t>4000</w:t>
      </w:r>
    </w:p>
    <w:p>
      <w:pPr>
        <w:pStyle w:val="BodyText"/>
        <w:spacing w:line="306" w:lineRule="exact"/>
        <w:ind w:left="132"/>
        <w:jc w:val="center"/>
      </w:pPr>
      <w:r>
        <w:rPr/>
        <w:t>Striking Velocity</w:t>
      </w:r>
      <w:r>
        <w:rPr>
          <w:spacing w:val="9"/>
        </w:rPr>
        <w:t> </w:t>
      </w:r>
      <w:r>
        <w:rPr/>
        <w:t>(V</w:t>
      </w:r>
      <w:r>
        <w:rPr>
          <w:position w:val="-5"/>
          <w:sz w:val="18"/>
        </w:rPr>
        <w:t>s</w:t>
      </w:r>
      <w:r>
        <w:rPr/>
        <w:t>)</w:t>
      </w:r>
      <w:r>
        <w:rPr>
          <w:spacing w:val="8"/>
        </w:rPr>
        <w:t> </w:t>
      </w:r>
      <w:r>
        <w:rPr/>
        <w:t>(fps)</w:t>
      </w:r>
    </w:p>
    <w:p>
      <w:pPr>
        <w:spacing w:before="242"/>
        <w:ind w:left="18" w:right="0" w:firstLine="0"/>
        <w:jc w:val="center"/>
        <w:rPr>
          <w:i/>
          <w:sz w:val="24"/>
        </w:rPr>
      </w:pPr>
      <w:bookmarkStart w:name="_bookmark75" w:id="297"/>
      <w:bookmarkEnd w:id="297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5-18.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Resal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equation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calibrated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CLT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data.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ListParagraph"/>
        <w:numPr>
          <w:ilvl w:val="3"/>
          <w:numId w:val="21"/>
        </w:numPr>
        <w:tabs>
          <w:tab w:pos="1160" w:val="left" w:leader="none"/>
        </w:tabs>
        <w:spacing w:line="240" w:lineRule="auto" w:before="171" w:after="0"/>
        <w:ind w:left="1160" w:right="0" w:hanging="720"/>
        <w:jc w:val="left"/>
        <w:rPr>
          <w:i/>
          <w:sz w:val="24"/>
        </w:rPr>
      </w:pPr>
      <w:bookmarkStart w:name="5.5.4.4 Classical model comparison" w:id="298"/>
      <w:bookmarkEnd w:id="298"/>
      <w:r>
        <w:rPr/>
      </w:r>
      <w:bookmarkStart w:name="5.5.4.4 Classical model comparison" w:id="299"/>
      <w:bookmarkEnd w:id="299"/>
      <w:r>
        <w:rPr>
          <w:i/>
          <w:sz w:val="24"/>
          <w:u w:val="single"/>
        </w:rPr>
        <w:t>C</w:t>
      </w:r>
      <w:r>
        <w:rPr>
          <w:i/>
          <w:sz w:val="24"/>
          <w:u w:val="single"/>
        </w:rPr>
        <w:t>lassical</w:t>
      </w:r>
      <w:r>
        <w:rPr>
          <w:i/>
          <w:spacing w:val="-3"/>
          <w:sz w:val="24"/>
          <w:u w:val="single"/>
        </w:rPr>
        <w:t> </w:t>
      </w:r>
      <w:r>
        <w:rPr>
          <w:i/>
          <w:sz w:val="24"/>
          <w:u w:val="single"/>
        </w:rPr>
        <w:t>model</w:t>
      </w:r>
      <w:r>
        <w:rPr>
          <w:i/>
          <w:spacing w:val="-3"/>
          <w:sz w:val="24"/>
          <w:u w:val="single"/>
        </w:rPr>
        <w:t> </w:t>
      </w:r>
      <w:r>
        <w:rPr>
          <w:i/>
          <w:sz w:val="24"/>
          <w:u w:val="single"/>
        </w:rPr>
        <w:t>comparison</w:t>
      </w:r>
    </w:p>
    <w:p>
      <w:pPr>
        <w:pStyle w:val="BodyText"/>
        <w:spacing w:before="9"/>
        <w:rPr>
          <w:i/>
          <w:sz w:val="14"/>
        </w:rPr>
      </w:pPr>
    </w:p>
    <w:p>
      <w:pPr>
        <w:pStyle w:val="BodyText"/>
        <w:spacing w:line="480" w:lineRule="auto" w:before="90"/>
        <w:ind w:left="439" w:right="417" w:firstLine="720"/>
        <w:jc w:val="both"/>
      </w:pPr>
      <w:r>
        <w:rPr/>
        <w:t>All three classic penetration models take the physics of the deceleration into</w:t>
      </w:r>
      <w:r>
        <w:rPr>
          <w:spacing w:val="1"/>
        </w:rPr>
        <w:t> </w:t>
      </w:r>
      <w:r>
        <w:rPr/>
        <w:t>account</w:t>
      </w:r>
      <w:r>
        <w:rPr>
          <w:spacing w:val="-11"/>
        </w:rPr>
        <w:t> </w:t>
      </w:r>
      <w:r>
        <w:rPr/>
        <w:t>when</w:t>
      </w:r>
      <w:r>
        <w:rPr>
          <w:spacing w:val="-11"/>
        </w:rPr>
        <w:t> </w:t>
      </w:r>
      <w:r>
        <w:rPr/>
        <w:t>solving</w:t>
      </w:r>
      <w:r>
        <w:rPr>
          <w:spacing w:val="-11"/>
        </w:rPr>
        <w:t> </w:t>
      </w:r>
      <w:r>
        <w:rPr/>
        <w:t>for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depth</w:t>
      </w:r>
      <w:r>
        <w:rPr>
          <w:spacing w:val="-11"/>
        </w:rPr>
        <w:t> </w:t>
      </w:r>
      <w:r>
        <w:rPr/>
        <w:t>of</w:t>
      </w:r>
      <w:r>
        <w:rPr>
          <w:spacing w:val="-13"/>
        </w:rPr>
        <w:t> </w:t>
      </w:r>
      <w:r>
        <w:rPr/>
        <w:t>penetration.</w:t>
      </w:r>
      <w:r>
        <w:rPr>
          <w:spacing w:val="-12"/>
        </w:rPr>
        <w:t> </w:t>
      </w:r>
      <w:hyperlink w:history="true" w:anchor="_bookmark76">
        <w:r>
          <w:rPr/>
          <w:t>Table</w:t>
        </w:r>
        <w:r>
          <w:rPr>
            <w:spacing w:val="-11"/>
          </w:rPr>
          <w:t> </w:t>
        </w:r>
        <w:r>
          <w:rPr/>
          <w:t>5-9</w:t>
        </w:r>
        <w:r>
          <w:rPr>
            <w:spacing w:val="-11"/>
          </w:rPr>
          <w:t> </w:t>
        </w:r>
      </w:hyperlink>
      <w:r>
        <w:rPr/>
        <w:t>shows</w:t>
      </w:r>
      <w:r>
        <w:rPr>
          <w:spacing w:val="-10"/>
        </w:rPr>
        <w:t> </w:t>
      </w:r>
      <w:r>
        <w:rPr/>
        <w:t>the</w:t>
      </w:r>
      <w:r>
        <w:rPr>
          <w:spacing w:val="-11"/>
        </w:rPr>
        <w:t> </w:t>
      </w:r>
      <w:r>
        <w:rPr/>
        <w:t>different</w:t>
      </w:r>
      <w:r>
        <w:rPr>
          <w:spacing w:val="-12"/>
        </w:rPr>
        <w:t> </w:t>
      </w:r>
      <w:r>
        <w:rPr/>
        <w:t>equations,</w:t>
      </w:r>
      <w:r>
        <w:rPr>
          <w:spacing w:val="-58"/>
        </w:rPr>
        <w:t> </w:t>
      </w:r>
      <w:r>
        <w:rPr/>
        <w:t>constants, included factors, and the MSE for each of the classic models calibrated to the</w:t>
      </w:r>
      <w:r>
        <w:rPr>
          <w:spacing w:val="1"/>
        </w:rPr>
        <w:t> </w:t>
      </w:r>
      <w:r>
        <w:rPr/>
        <w:t>CLT data.</w:t>
      </w:r>
      <w:r>
        <w:rPr>
          <w:spacing w:val="1"/>
        </w:rPr>
        <w:t> </w:t>
      </w:r>
      <w:r>
        <w:rPr/>
        <w:t>While the shape of the curves varied, there were similarities such as a concave</w:t>
      </w:r>
      <w:r>
        <w:rPr>
          <w:spacing w:val="-57"/>
        </w:rPr>
        <w:t> </w:t>
      </w:r>
      <w:r>
        <w:rPr/>
        <w:t>upward shape. </w:t>
      </w:r>
      <w:hyperlink w:history="true" w:anchor="_bookmark77">
        <w:r>
          <w:rPr/>
          <w:t>Figure 5-19 </w:t>
        </w:r>
      </w:hyperlink>
      <w:r>
        <w:rPr/>
        <w:t>presents a graphical comparison of the three classical physics-</w:t>
      </w:r>
      <w:r>
        <w:rPr>
          <w:spacing w:val="-57"/>
        </w:rPr>
        <w:t> </w:t>
      </w:r>
      <w:r>
        <w:rPr/>
        <w:t>based</w:t>
      </w:r>
      <w:r>
        <w:rPr>
          <w:spacing w:val="-1"/>
        </w:rPr>
        <w:t> </w:t>
      </w:r>
      <w:r>
        <w:rPr/>
        <w:t>curves.</w:t>
      </w:r>
    </w:p>
    <w:p>
      <w:pPr>
        <w:spacing w:after="0" w:line="480" w:lineRule="auto"/>
        <w:jc w:val="both"/>
        <w:sectPr>
          <w:type w:val="continuous"/>
          <w:pgSz w:w="12240" w:h="15840"/>
          <w:pgMar w:top="1380" w:bottom="280" w:left="1720" w:right="1020"/>
        </w:sectPr>
      </w:pPr>
    </w:p>
    <w:p>
      <w:pPr>
        <w:pStyle w:val="BodyText"/>
        <w:spacing w:before="10"/>
        <w:rPr>
          <w:sz w:val="10"/>
        </w:rPr>
      </w:pPr>
    </w:p>
    <w:p>
      <w:pPr>
        <w:spacing w:before="90"/>
        <w:ind w:left="19" w:right="0" w:firstLine="0"/>
        <w:jc w:val="center"/>
        <w:rPr>
          <w:i/>
          <w:sz w:val="24"/>
        </w:rPr>
      </w:pPr>
      <w:r>
        <w:rPr/>
        <w:pict>
          <v:rect style="position:absolute;margin-left:249.899994pt;margin-top:143.443100pt;width:13.62pt;height:.72pt;mso-position-horizontal-relative:page;mso-position-vertical-relative:paragraph;z-index:-34891776" filled="true" fillcolor="#000000" stroked="false">
            <v:fill type="solid"/>
            <w10:wrap type="none"/>
          </v:rect>
        </w:pict>
      </w:r>
      <w:bookmarkStart w:name="_bookmark76" w:id="300"/>
      <w:bookmarkEnd w:id="300"/>
      <w:r>
        <w:rPr/>
      </w:r>
      <w:r>
        <w:rPr>
          <w:i/>
          <w:sz w:val="24"/>
        </w:rPr>
        <w:t>Table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5-9.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comparison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three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classic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penetration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models.</w:t>
      </w:r>
    </w:p>
    <w:p>
      <w:pPr>
        <w:pStyle w:val="BodyText"/>
        <w:spacing w:before="5" w:after="1"/>
        <w:rPr>
          <w:i/>
          <w:sz w:val="17"/>
        </w:rPr>
      </w:pPr>
    </w:p>
    <w:tbl>
      <w:tblPr>
        <w:tblW w:w="0" w:type="auto"/>
        <w:jc w:val="left"/>
        <w:tblInd w:w="96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40"/>
        <w:gridCol w:w="2790"/>
        <w:gridCol w:w="1072"/>
        <w:gridCol w:w="1740"/>
        <w:gridCol w:w="666"/>
      </w:tblGrid>
      <w:tr>
        <w:trPr>
          <w:trHeight w:val="299" w:hRule="atLeast"/>
        </w:trPr>
        <w:tc>
          <w:tcPr>
            <w:tcW w:w="1340" w:type="dxa"/>
            <w:tcBorders>
              <w:right w:val="single" w:sz="4" w:space="0" w:color="000000"/>
            </w:tcBorders>
            <w:shd w:val="clear" w:color="auto" w:fill="C0C0C0"/>
          </w:tcPr>
          <w:p>
            <w:pPr>
              <w:pStyle w:val="TableParagraph"/>
              <w:spacing w:before="35"/>
              <w:ind w:left="376" w:right="36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Model</w:t>
            </w:r>
          </w:p>
        </w:tc>
        <w:tc>
          <w:tcPr>
            <w:tcW w:w="2790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0C0C0"/>
          </w:tcPr>
          <w:p>
            <w:pPr>
              <w:pStyle w:val="TableParagraph"/>
              <w:spacing w:before="35"/>
              <w:ind w:left="133" w:right="1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Equation</w:t>
            </w:r>
          </w:p>
        </w:tc>
        <w:tc>
          <w:tcPr>
            <w:tcW w:w="107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0C0C0"/>
          </w:tcPr>
          <w:p>
            <w:pPr>
              <w:pStyle w:val="TableParagraph"/>
              <w:spacing w:before="35"/>
              <w:ind w:left="93" w:right="7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Constants</w:t>
            </w:r>
          </w:p>
        </w:tc>
        <w:tc>
          <w:tcPr>
            <w:tcW w:w="1740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0C0C0"/>
          </w:tcPr>
          <w:p>
            <w:pPr>
              <w:pStyle w:val="TableParagraph"/>
              <w:spacing w:before="35"/>
              <w:ind w:left="149"/>
              <w:rPr>
                <w:b/>
                <w:sz w:val="20"/>
              </w:rPr>
            </w:pPr>
            <w:r>
              <w:rPr>
                <w:b/>
                <w:sz w:val="20"/>
              </w:rPr>
              <w:t>Factors</w:t>
            </w:r>
            <w:r>
              <w:rPr>
                <w:b/>
                <w:spacing w:val="-5"/>
                <w:sz w:val="20"/>
              </w:rPr>
              <w:t> </w:t>
            </w:r>
            <w:r>
              <w:rPr>
                <w:b/>
                <w:sz w:val="20"/>
              </w:rPr>
              <w:t>Included</w:t>
            </w:r>
          </w:p>
        </w:tc>
        <w:tc>
          <w:tcPr>
            <w:tcW w:w="666" w:type="dxa"/>
            <w:tcBorders>
              <w:left w:val="single" w:sz="4" w:space="0" w:color="000000"/>
            </w:tcBorders>
            <w:shd w:val="clear" w:color="auto" w:fill="C0C0C0"/>
          </w:tcPr>
          <w:p>
            <w:pPr>
              <w:pStyle w:val="TableParagraph"/>
              <w:spacing w:before="35"/>
              <w:ind w:left="101" w:right="7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MSE</w:t>
            </w:r>
          </w:p>
        </w:tc>
      </w:tr>
      <w:tr>
        <w:trPr>
          <w:trHeight w:val="1296" w:hRule="atLeast"/>
        </w:trPr>
        <w:tc>
          <w:tcPr>
            <w:tcW w:w="1340" w:type="dxa"/>
            <w:tcBorders>
              <w:right w:val="single" w:sz="4" w:space="0" w:color="000000"/>
            </w:tcBorders>
          </w:tcPr>
          <w:p>
            <w:pPr>
              <w:pStyle w:val="TableParagraph"/>
              <w:rPr>
                <w:i/>
                <w:sz w:val="22"/>
              </w:rPr>
            </w:pPr>
          </w:p>
          <w:p>
            <w:pPr>
              <w:pStyle w:val="TableParagraph"/>
              <w:spacing w:before="163"/>
              <w:ind w:left="335" w:right="303" w:firstLine="83"/>
              <w:rPr>
                <w:sz w:val="20"/>
              </w:rPr>
            </w:pPr>
            <w:r>
              <w:rPr>
                <w:sz w:val="20"/>
              </w:rPr>
              <w:t>Euler-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Robbins</w:t>
            </w:r>
          </w:p>
        </w:tc>
        <w:tc>
          <w:tcPr>
            <w:tcW w:w="279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0"/>
              <w:rPr>
                <w:i/>
                <w:sz w:val="26"/>
              </w:rPr>
            </w:pPr>
          </w:p>
          <w:p>
            <w:pPr>
              <w:pStyle w:val="TableParagraph"/>
              <w:spacing w:line="204" w:lineRule="exact"/>
              <w:ind w:left="540" w:right="125"/>
              <w:jc w:val="center"/>
              <w:rPr>
                <w:rFonts w:ascii="Cambria Math" w:eastAsia="Cambria Math"/>
                <w:sz w:val="16"/>
              </w:rPr>
            </w:pPr>
            <w:r>
              <w:rPr>
                <w:rFonts w:ascii="Cambria Math" w:eastAsia="Cambria Math"/>
                <w:position w:val="-7"/>
                <w:sz w:val="22"/>
                <w:u w:val="single"/>
              </w:rPr>
              <w:t>𝑣</w:t>
            </w:r>
            <w:r>
              <w:rPr>
                <w:rFonts w:ascii="Cambria Math" w:eastAsia="Cambria Math"/>
                <w:sz w:val="16"/>
              </w:rPr>
              <w:t>2</w:t>
            </w:r>
          </w:p>
          <w:p>
            <w:pPr>
              <w:pStyle w:val="TableParagraph"/>
              <w:spacing w:line="189" w:lineRule="exact"/>
              <w:ind w:left="22" w:right="125"/>
              <w:jc w:val="center"/>
              <w:rPr>
                <w:rFonts w:ascii="Cambria Math" w:hAnsi="Cambria Math" w:cs="Cambria Math" w:eastAsia="Cambria Math"/>
                <w:sz w:val="22"/>
                <w:szCs w:val="22"/>
              </w:rPr>
            </w:pPr>
            <w:r>
              <w:rPr>
                <w:rFonts w:ascii="Cambria Math" w:hAnsi="Cambria Math" w:cs="Cambria Math" w:eastAsia="Cambria Math"/>
                <w:sz w:val="22"/>
                <w:szCs w:val="22"/>
              </w:rPr>
              <w:t>𝑇</w:t>
            </w:r>
            <w:r>
              <w:rPr>
                <w:rFonts w:ascii="Cambria Math" w:hAnsi="Cambria Math" w:cs="Cambria Math" w:eastAsia="Cambria Math"/>
                <w:spacing w:val="78"/>
                <w:sz w:val="22"/>
                <w:szCs w:val="22"/>
              </w:rPr>
              <w:t> </w:t>
            </w:r>
            <w:r>
              <w:rPr>
                <w:rFonts w:ascii="Cambria Math" w:hAnsi="Cambria Math" w:cs="Cambria Math" w:eastAsia="Cambria Math"/>
                <w:sz w:val="22"/>
                <w:szCs w:val="22"/>
              </w:rPr>
              <w:t>=</w:t>
            </w:r>
            <w:r>
              <w:rPr>
                <w:rFonts w:ascii="Cambria Math" w:hAnsi="Cambria Math" w:cs="Cambria Math" w:eastAsia="Cambria Math"/>
                <w:spacing w:val="-4"/>
                <w:sz w:val="22"/>
                <w:szCs w:val="22"/>
              </w:rPr>
              <w:t> </w:t>
            </w:r>
            <w:r>
              <w:rPr>
                <w:rFonts w:ascii="Cambria Math" w:hAnsi="Cambria Math" w:cs="Cambria Math" w:eastAsia="Cambria Math"/>
                <w:w w:val="70"/>
                <w:sz w:val="22"/>
                <w:szCs w:val="22"/>
              </w:rPr>
              <w:t>�</w:t>
            </w:r>
            <w:r>
              <w:rPr>
                <w:rFonts w:ascii="Cambria Math" w:hAnsi="Cambria Math" w:cs="Cambria Math" w:eastAsia="Cambria Math"/>
                <w:spacing w:val="65"/>
                <w:sz w:val="22"/>
                <w:szCs w:val="22"/>
              </w:rPr>
              <w:t> </w:t>
            </w:r>
            <w:r>
              <w:rPr>
                <w:rFonts w:ascii="Cambria Math" w:hAnsi="Cambria Math" w:cs="Cambria Math" w:eastAsia="Cambria Math"/>
                <w:position w:val="12"/>
                <w:sz w:val="16"/>
                <w:szCs w:val="16"/>
                <w:u w:val="single"/>
              </w:rPr>
              <w:t>𝑠</w:t>
            </w:r>
            <w:r>
              <w:rPr>
                <w:rFonts w:ascii="Cambria Math" w:hAnsi="Cambria Math" w:cs="Cambria Math" w:eastAsia="Cambria Math"/>
                <w:spacing w:val="38"/>
                <w:position w:val="12"/>
                <w:sz w:val="16"/>
                <w:szCs w:val="16"/>
                <w:u w:val="single"/>
              </w:rPr>
              <w:t> </w:t>
            </w:r>
            <w:r>
              <w:rPr>
                <w:rFonts w:ascii="Cambria Math" w:hAnsi="Cambria Math" w:cs="Cambria Math" w:eastAsia="Cambria Math"/>
                <w:w w:val="70"/>
                <w:sz w:val="22"/>
                <w:szCs w:val="22"/>
              </w:rPr>
              <w:t>�</w:t>
            </w:r>
          </w:p>
          <w:p>
            <w:pPr>
              <w:pStyle w:val="TableParagraph"/>
              <w:tabs>
                <w:tab w:pos="514" w:val="left" w:leader="none"/>
              </w:tabs>
              <w:spacing w:line="239" w:lineRule="exact"/>
              <w:ind w:right="98"/>
              <w:jc w:val="center"/>
              <w:rPr>
                <w:rFonts w:ascii="Cambria Math" w:eastAsia="Cambria Math"/>
                <w:sz w:val="16"/>
              </w:rPr>
            </w:pPr>
            <w:r>
              <w:rPr>
                <w:rFonts w:ascii="Cambria Math" w:eastAsia="Cambria Math"/>
                <w:w w:val="95"/>
                <w:sz w:val="22"/>
                <w:vertAlign w:val="superscript"/>
              </w:rPr>
              <w:t>𝑤𝑤</w:t>
            </w:r>
            <w:r>
              <w:rPr>
                <w:rFonts w:ascii="Cambria Math" w:eastAsia="Cambria Math"/>
                <w:w w:val="95"/>
                <w:sz w:val="22"/>
                <w:vertAlign w:val="baseline"/>
              </w:rPr>
              <w:tab/>
              <w:t>2𝐶</w:t>
            </w:r>
            <w:r>
              <w:rPr>
                <w:rFonts w:ascii="Cambria Math" w:eastAsia="Cambria Math"/>
                <w:w w:val="95"/>
                <w:position w:val="-4"/>
                <w:sz w:val="16"/>
                <w:vertAlign w:val="baseline"/>
              </w:rPr>
              <w:t>1</w:t>
            </w:r>
          </w:p>
        </w:tc>
        <w:tc>
          <w:tcPr>
            <w:tcW w:w="1072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i/>
                <w:sz w:val="22"/>
              </w:rPr>
            </w:pPr>
          </w:p>
          <w:p>
            <w:pPr>
              <w:pStyle w:val="TableParagraph"/>
              <w:spacing w:before="2"/>
              <w:rPr>
                <w:i/>
                <w:sz w:val="24"/>
              </w:rPr>
            </w:pPr>
          </w:p>
          <w:p>
            <w:pPr>
              <w:pStyle w:val="TableParagraph"/>
              <w:ind w:left="91" w:right="72"/>
              <w:jc w:val="center"/>
              <w:rPr>
                <w:sz w:val="20"/>
              </w:rPr>
            </w:pPr>
            <w:r>
              <w:rPr>
                <w:sz w:val="20"/>
              </w:rPr>
              <w:t>C</w:t>
            </w:r>
            <w:r>
              <w:rPr>
                <w:sz w:val="20"/>
                <w:vertAlign w:val="subscript"/>
              </w:rPr>
              <w:t>1</w:t>
            </w:r>
          </w:p>
        </w:tc>
        <w:tc>
          <w:tcPr>
            <w:tcW w:w="1740" w:type="dxa"/>
            <w:tcBorders>
              <w:left w:val="single" w:sz="4" w:space="0" w:color="000000"/>
            </w:tcBorders>
          </w:tcPr>
          <w:p>
            <w:pPr>
              <w:pStyle w:val="TableParagraph"/>
              <w:rPr>
                <w:i/>
                <w:sz w:val="22"/>
              </w:rPr>
            </w:pPr>
          </w:p>
          <w:p>
            <w:pPr>
              <w:pStyle w:val="TableParagraph"/>
              <w:spacing w:before="163"/>
              <w:ind w:left="466" w:right="114" w:hanging="309"/>
              <w:rPr>
                <w:sz w:val="20"/>
              </w:rPr>
            </w:pPr>
            <w:r>
              <w:rPr>
                <w:sz w:val="20"/>
              </w:rPr>
              <w:t>Striking Velocity,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1 constant</w:t>
            </w:r>
          </w:p>
        </w:tc>
        <w:tc>
          <w:tcPr>
            <w:tcW w:w="666" w:type="dxa"/>
          </w:tcPr>
          <w:p>
            <w:pPr>
              <w:pStyle w:val="TableParagraph"/>
              <w:rPr>
                <w:i/>
                <w:sz w:val="22"/>
              </w:rPr>
            </w:pPr>
          </w:p>
          <w:p>
            <w:pPr>
              <w:pStyle w:val="TableParagraph"/>
              <w:spacing w:before="2"/>
              <w:rPr>
                <w:i/>
                <w:sz w:val="24"/>
              </w:rPr>
            </w:pPr>
          </w:p>
          <w:p>
            <w:pPr>
              <w:pStyle w:val="TableParagraph"/>
              <w:ind w:left="87" w:right="68"/>
              <w:jc w:val="center"/>
              <w:rPr>
                <w:sz w:val="20"/>
              </w:rPr>
            </w:pPr>
            <w:r>
              <w:rPr>
                <w:sz w:val="20"/>
              </w:rPr>
              <w:t>3.111</w:t>
            </w:r>
          </w:p>
        </w:tc>
      </w:tr>
      <w:tr>
        <w:trPr>
          <w:trHeight w:val="1255" w:hRule="atLeast"/>
        </w:trPr>
        <w:tc>
          <w:tcPr>
            <w:tcW w:w="1340" w:type="dxa"/>
            <w:tcBorders>
              <w:right w:val="single" w:sz="4" w:space="0" w:color="000000"/>
            </w:tcBorders>
          </w:tcPr>
          <w:p>
            <w:pPr>
              <w:pStyle w:val="TableParagraph"/>
              <w:rPr>
                <w:i/>
                <w:sz w:val="22"/>
              </w:rPr>
            </w:pPr>
          </w:p>
          <w:p>
            <w:pPr>
              <w:pStyle w:val="TableParagraph"/>
              <w:spacing w:before="143"/>
              <w:ind w:left="425" w:right="292" w:hanging="101"/>
              <w:rPr>
                <w:sz w:val="20"/>
              </w:rPr>
            </w:pPr>
            <w:r>
              <w:rPr>
                <w:sz w:val="20"/>
              </w:rPr>
              <w:t>Poncelet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(base)</w:t>
            </w:r>
          </w:p>
        </w:tc>
        <w:tc>
          <w:tcPr>
            <w:tcW w:w="279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rPr>
                <w:i/>
                <w:sz w:val="29"/>
              </w:rPr>
            </w:pPr>
          </w:p>
          <w:p>
            <w:pPr>
              <w:pStyle w:val="TableParagraph"/>
              <w:tabs>
                <w:tab w:pos="2024" w:val="left" w:leader="none"/>
              </w:tabs>
              <w:spacing w:line="181" w:lineRule="exact" w:before="1"/>
              <w:ind w:left="1061"/>
              <w:rPr>
                <w:rFonts w:ascii="Cambria Math" w:eastAsia="Cambria Math"/>
                <w:sz w:val="22"/>
              </w:rPr>
            </w:pPr>
            <w:r>
              <w:rPr>
                <w:rFonts w:ascii="Cambria Math" w:eastAsia="Cambria Math"/>
                <w:w w:val="105"/>
                <w:sz w:val="22"/>
              </w:rPr>
              <w:t>1</w:t>
              <w:tab/>
            </w:r>
            <w:r>
              <w:rPr>
                <w:rFonts w:ascii="Cambria Math" w:eastAsia="Cambria Math"/>
                <w:spacing w:val="-145"/>
                <w:sz w:val="22"/>
              </w:rPr>
              <w:t>𝐵</w:t>
            </w:r>
            <w:r>
              <w:rPr>
                <w:rFonts w:ascii="Cambria Math" w:eastAsia="Cambria Math"/>
                <w:spacing w:val="120"/>
                <w:position w:val="-4"/>
                <w:sz w:val="22"/>
                <w:u w:val="single"/>
              </w:rPr>
              <w:t> </w:t>
            </w:r>
            <w:r>
              <w:rPr>
                <w:rFonts w:ascii="Cambria Math" w:eastAsia="Cambria Math"/>
                <w:sz w:val="22"/>
              </w:rPr>
              <w:t>𝑣</w:t>
            </w:r>
            <w:r>
              <w:rPr>
                <w:rFonts w:ascii="Cambria Math" w:eastAsia="Cambria Math"/>
                <w:sz w:val="22"/>
                <w:vertAlign w:val="superscript"/>
              </w:rPr>
              <w:t>2</w:t>
            </w:r>
          </w:p>
          <w:p>
            <w:pPr>
              <w:pStyle w:val="TableParagraph"/>
              <w:tabs>
                <w:tab w:pos="1296" w:val="left" w:leader="none"/>
                <w:tab w:pos="2282" w:val="left" w:leader="none"/>
              </w:tabs>
              <w:spacing w:line="189" w:lineRule="exact"/>
              <w:ind w:left="371"/>
              <w:rPr>
                <w:rFonts w:ascii="Cambria Math" w:hAnsi="Cambria Math" w:cs="Cambria Math" w:eastAsia="Cambria Math"/>
                <w:sz w:val="22"/>
                <w:szCs w:val="22"/>
              </w:rPr>
            </w:pPr>
            <w:r>
              <w:rPr>
                <w:rFonts w:ascii="Cambria Math" w:hAnsi="Cambria Math" w:cs="Cambria Math" w:eastAsia="Cambria Math"/>
                <w:sz w:val="22"/>
                <w:szCs w:val="22"/>
              </w:rPr>
              <w:t>𝑇</w:t>
            </w:r>
            <w:r>
              <w:rPr>
                <w:rFonts w:ascii="Cambria Math" w:hAnsi="Cambria Math" w:cs="Cambria Math" w:eastAsia="Cambria Math"/>
                <w:spacing w:val="96"/>
                <w:sz w:val="22"/>
                <w:szCs w:val="22"/>
              </w:rPr>
              <w:t> </w:t>
            </w:r>
            <w:r>
              <w:rPr>
                <w:rFonts w:ascii="Cambria Math" w:hAnsi="Cambria Math" w:cs="Cambria Math" w:eastAsia="Cambria Math"/>
                <w:sz w:val="22"/>
                <w:szCs w:val="22"/>
              </w:rPr>
              <w:t>=</w:t>
            </w:r>
            <w:r>
              <w:rPr>
                <w:rFonts w:ascii="Cambria Math" w:hAnsi="Cambria Math" w:cs="Cambria Math" w:eastAsia="Cambria Math"/>
                <w:spacing w:val="2"/>
                <w:sz w:val="22"/>
                <w:szCs w:val="22"/>
              </w:rPr>
              <w:t> </w:t>
            </w:r>
            <w:r>
              <w:rPr>
                <w:rFonts w:ascii="Cambria Math" w:hAnsi="Cambria Math" w:cs="Cambria Math" w:eastAsia="Cambria Math"/>
                <w:w w:val="70"/>
                <w:sz w:val="22"/>
                <w:szCs w:val="22"/>
              </w:rPr>
              <w:t>�</w:t>
              <w:tab/>
            </w:r>
            <w:r>
              <w:rPr>
                <w:rFonts w:ascii="Cambria Math" w:hAnsi="Cambria Math" w:cs="Cambria Math" w:eastAsia="Cambria Math"/>
                <w:w w:val="85"/>
                <w:sz w:val="22"/>
                <w:szCs w:val="22"/>
              </w:rPr>
              <w:t>ln</w:t>
            </w:r>
            <w:r>
              <w:rPr>
                <w:rFonts w:ascii="Cambria Math" w:hAnsi="Cambria Math" w:cs="Cambria Math" w:eastAsia="Cambria Math"/>
                <w:spacing w:val="-5"/>
                <w:w w:val="85"/>
                <w:sz w:val="22"/>
                <w:szCs w:val="22"/>
              </w:rPr>
              <w:t> </w:t>
            </w:r>
            <w:r>
              <w:rPr>
                <w:rFonts w:ascii="Cambria Math" w:hAnsi="Cambria Math" w:cs="Cambria Math" w:eastAsia="Cambria Math"/>
                <w:w w:val="85"/>
                <w:sz w:val="22"/>
                <w:szCs w:val="22"/>
              </w:rPr>
              <w:t>�1</w:t>
            </w:r>
            <w:r>
              <w:rPr>
                <w:rFonts w:ascii="Cambria Math" w:hAnsi="Cambria Math" w:cs="Cambria Math" w:eastAsia="Cambria Math"/>
                <w:spacing w:val="10"/>
                <w:w w:val="85"/>
                <w:sz w:val="22"/>
                <w:szCs w:val="22"/>
              </w:rPr>
              <w:t> </w:t>
            </w:r>
            <w:r>
              <w:rPr>
                <w:rFonts w:ascii="Cambria Math" w:hAnsi="Cambria Math" w:cs="Cambria Math" w:eastAsia="Cambria Math"/>
                <w:w w:val="85"/>
                <w:sz w:val="22"/>
                <w:szCs w:val="22"/>
              </w:rPr>
              <w:t>+</w:t>
              <w:tab/>
            </w:r>
            <w:r>
              <w:rPr>
                <w:rFonts w:ascii="Cambria Math" w:hAnsi="Cambria Math" w:cs="Cambria Math" w:eastAsia="Cambria Math"/>
                <w:w w:val="60"/>
                <w:position w:val="12"/>
                <w:sz w:val="16"/>
                <w:szCs w:val="16"/>
                <w:u w:val="single"/>
              </w:rPr>
              <w:t>𝑠</w:t>
            </w:r>
            <w:r>
              <w:rPr>
                <w:rFonts w:ascii="Cambria Math" w:hAnsi="Cambria Math" w:cs="Cambria Math" w:eastAsia="Cambria Math"/>
                <w:spacing w:val="20"/>
                <w:w w:val="60"/>
                <w:position w:val="12"/>
                <w:sz w:val="16"/>
                <w:szCs w:val="16"/>
              </w:rPr>
              <w:t> </w:t>
            </w:r>
            <w:r>
              <w:rPr>
                <w:rFonts w:ascii="Cambria Math" w:hAnsi="Cambria Math" w:cs="Cambria Math" w:eastAsia="Cambria Math"/>
                <w:w w:val="60"/>
                <w:sz w:val="22"/>
                <w:szCs w:val="22"/>
              </w:rPr>
              <w:t>��</w:t>
            </w:r>
          </w:p>
          <w:p>
            <w:pPr>
              <w:pStyle w:val="TableParagraph"/>
              <w:tabs>
                <w:tab w:pos="986" w:val="left" w:leader="none"/>
                <w:tab w:pos="2145" w:val="left" w:leader="none"/>
              </w:tabs>
              <w:spacing w:line="203" w:lineRule="exact"/>
              <w:ind w:left="471"/>
              <w:rPr>
                <w:rFonts w:ascii="Cambria Math" w:eastAsia="Cambria Math"/>
                <w:sz w:val="22"/>
              </w:rPr>
            </w:pPr>
            <w:r>
              <w:rPr>
                <w:rFonts w:ascii="Cambria Math" w:eastAsia="Cambria Math"/>
                <w:w w:val="95"/>
                <w:sz w:val="22"/>
                <w:vertAlign w:val="superscript"/>
              </w:rPr>
              <w:t>𝑤𝑤</w:t>
            </w:r>
            <w:r>
              <w:rPr>
                <w:rFonts w:ascii="Cambria Math" w:eastAsia="Cambria Math"/>
                <w:w w:val="95"/>
                <w:sz w:val="22"/>
                <w:vertAlign w:val="baseline"/>
              </w:rPr>
              <w:tab/>
            </w:r>
            <w:r>
              <w:rPr>
                <w:rFonts w:ascii="Cambria Math" w:eastAsia="Cambria Math"/>
                <w:sz w:val="22"/>
                <w:vertAlign w:val="baseline"/>
              </w:rPr>
              <w:t>2𝐵</w:t>
              <w:tab/>
              <w:t>𝐶</w:t>
            </w:r>
          </w:p>
        </w:tc>
        <w:tc>
          <w:tcPr>
            <w:tcW w:w="1072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i/>
                <w:sz w:val="22"/>
              </w:rPr>
            </w:pPr>
          </w:p>
          <w:p>
            <w:pPr>
              <w:pStyle w:val="TableParagraph"/>
              <w:spacing w:before="5"/>
              <w:rPr>
                <w:i/>
                <w:sz w:val="22"/>
              </w:rPr>
            </w:pPr>
          </w:p>
          <w:p>
            <w:pPr>
              <w:pStyle w:val="TableParagraph"/>
              <w:ind w:left="90" w:right="72"/>
              <w:jc w:val="center"/>
              <w:rPr>
                <w:sz w:val="20"/>
              </w:rPr>
            </w:pPr>
            <w:r>
              <w:rPr>
                <w:sz w:val="20"/>
              </w:rPr>
              <w:t>B,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C</w:t>
            </w:r>
          </w:p>
        </w:tc>
        <w:tc>
          <w:tcPr>
            <w:tcW w:w="1740" w:type="dxa"/>
            <w:tcBorders>
              <w:left w:val="single" w:sz="4" w:space="0" w:color="000000"/>
            </w:tcBorders>
          </w:tcPr>
          <w:p>
            <w:pPr>
              <w:pStyle w:val="TableParagraph"/>
              <w:rPr>
                <w:i/>
                <w:sz w:val="22"/>
              </w:rPr>
            </w:pPr>
          </w:p>
          <w:p>
            <w:pPr>
              <w:pStyle w:val="TableParagraph"/>
              <w:spacing w:before="143"/>
              <w:ind w:left="426" w:right="114" w:hanging="269"/>
              <w:rPr>
                <w:sz w:val="20"/>
              </w:rPr>
            </w:pPr>
            <w:r>
              <w:rPr>
                <w:sz w:val="20"/>
              </w:rPr>
              <w:t>Striking Velocity,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2 constants</w:t>
            </w:r>
          </w:p>
        </w:tc>
        <w:tc>
          <w:tcPr>
            <w:tcW w:w="666" w:type="dxa"/>
          </w:tcPr>
          <w:p>
            <w:pPr>
              <w:pStyle w:val="TableParagraph"/>
              <w:rPr>
                <w:i/>
                <w:sz w:val="22"/>
              </w:rPr>
            </w:pPr>
          </w:p>
          <w:p>
            <w:pPr>
              <w:pStyle w:val="TableParagraph"/>
              <w:spacing w:before="5"/>
              <w:rPr>
                <w:i/>
                <w:sz w:val="22"/>
              </w:rPr>
            </w:pPr>
          </w:p>
          <w:p>
            <w:pPr>
              <w:pStyle w:val="TableParagraph"/>
              <w:ind w:left="87" w:right="68"/>
              <w:jc w:val="center"/>
              <w:rPr>
                <w:sz w:val="20"/>
              </w:rPr>
            </w:pPr>
            <w:r>
              <w:rPr>
                <w:sz w:val="20"/>
              </w:rPr>
              <w:t>1.345</w:t>
            </w:r>
          </w:p>
        </w:tc>
      </w:tr>
      <w:tr>
        <w:trPr>
          <w:trHeight w:val="1256" w:hRule="atLeast"/>
        </w:trPr>
        <w:tc>
          <w:tcPr>
            <w:tcW w:w="1340" w:type="dxa"/>
            <w:tcBorders>
              <w:right w:val="single" w:sz="4" w:space="0" w:color="000000"/>
            </w:tcBorders>
          </w:tcPr>
          <w:p>
            <w:pPr>
              <w:pStyle w:val="TableParagraph"/>
              <w:rPr>
                <w:i/>
                <w:sz w:val="22"/>
              </w:rPr>
            </w:pPr>
          </w:p>
          <w:p>
            <w:pPr>
              <w:pStyle w:val="TableParagraph"/>
              <w:spacing w:before="5"/>
              <w:rPr>
                <w:i/>
                <w:sz w:val="22"/>
              </w:rPr>
            </w:pPr>
          </w:p>
          <w:p>
            <w:pPr>
              <w:pStyle w:val="TableParagraph"/>
              <w:ind w:left="376" w:right="363"/>
              <w:jc w:val="center"/>
              <w:rPr>
                <w:sz w:val="20"/>
              </w:rPr>
            </w:pPr>
            <w:r>
              <w:rPr>
                <w:sz w:val="20"/>
              </w:rPr>
              <w:t>Resal</w:t>
            </w:r>
          </w:p>
        </w:tc>
        <w:tc>
          <w:tcPr>
            <w:tcW w:w="279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i/>
                <w:sz w:val="33"/>
              </w:rPr>
            </w:pPr>
          </w:p>
          <w:p>
            <w:pPr>
              <w:pStyle w:val="TableParagraph"/>
              <w:tabs>
                <w:tab w:pos="1894" w:val="left" w:leader="none"/>
              </w:tabs>
              <w:spacing w:line="231" w:lineRule="exact"/>
              <w:ind w:left="1009"/>
              <w:rPr>
                <w:rFonts w:ascii="Cambria Math" w:eastAsia="Cambria Math"/>
                <w:sz w:val="16"/>
              </w:rPr>
            </w:pPr>
            <w:r>
              <w:rPr>
                <w:rFonts w:ascii="Cambria Math" w:eastAsia="Cambria Math"/>
                <w:sz w:val="22"/>
              </w:rPr>
              <w:t>1</w:t>
              <w:tab/>
              <w:t>𝐵𝑣</w:t>
            </w:r>
            <w:r>
              <w:rPr>
                <w:rFonts w:ascii="Cambria Math" w:eastAsia="Cambria Math"/>
                <w:position w:val="-4"/>
                <w:sz w:val="16"/>
              </w:rPr>
              <w:t>𝑠</w:t>
            </w:r>
          </w:p>
          <w:p>
            <w:pPr>
              <w:pStyle w:val="TableParagraph"/>
              <w:spacing w:line="165" w:lineRule="auto"/>
              <w:ind w:left="464"/>
              <w:rPr>
                <w:rFonts w:ascii="Cambria Math" w:hAnsi="Cambria Math" w:cs="Cambria Math" w:eastAsia="Cambria Math"/>
                <w:sz w:val="22"/>
                <w:szCs w:val="22"/>
              </w:rPr>
            </w:pPr>
            <w:r>
              <w:rPr>
                <w:rFonts w:ascii="Cambria Math" w:hAnsi="Cambria Math" w:cs="Cambria Math" w:eastAsia="Cambria Math"/>
                <w:spacing w:val="-30"/>
                <w:w w:val="99"/>
                <w:sz w:val="22"/>
                <w:szCs w:val="22"/>
              </w:rPr>
              <w:t>𝑇</w:t>
            </w:r>
            <w:r>
              <w:rPr>
                <w:rFonts w:ascii="Cambria Math" w:hAnsi="Cambria Math" w:cs="Cambria Math" w:eastAsia="Cambria Math"/>
                <w:w w:val="55"/>
                <w:position w:val="-4"/>
                <w:sz w:val="16"/>
                <w:szCs w:val="16"/>
              </w:rPr>
              <w:t>𝑤𝑤</w:t>
            </w:r>
            <w:r>
              <w:rPr>
                <w:rFonts w:ascii="Cambria Math" w:hAnsi="Cambria Math" w:cs="Cambria Math" w:eastAsia="Cambria Math"/>
                <w:position w:val="-4"/>
                <w:sz w:val="16"/>
                <w:szCs w:val="16"/>
              </w:rPr>
              <w:t> </w:t>
            </w:r>
            <w:r>
              <w:rPr>
                <w:rFonts w:ascii="Cambria Math" w:hAnsi="Cambria Math" w:cs="Cambria Math" w:eastAsia="Cambria Math"/>
                <w:spacing w:val="4"/>
                <w:position w:val="-4"/>
                <w:sz w:val="16"/>
                <w:szCs w:val="16"/>
              </w:rPr>
              <w:t> </w:t>
            </w:r>
            <w:r>
              <w:rPr>
                <w:rFonts w:ascii="Cambria Math" w:hAnsi="Cambria Math" w:cs="Cambria Math" w:eastAsia="Cambria Math"/>
                <w:w w:val="99"/>
                <w:sz w:val="22"/>
                <w:szCs w:val="22"/>
              </w:rPr>
              <w:t>=</w:t>
            </w:r>
            <w:r>
              <w:rPr>
                <w:rFonts w:ascii="Cambria Math" w:hAnsi="Cambria Math" w:cs="Cambria Math" w:eastAsia="Cambria Math"/>
                <w:spacing w:val="13"/>
                <w:sz w:val="22"/>
                <w:szCs w:val="22"/>
              </w:rPr>
              <w:t> </w:t>
            </w:r>
            <w:r>
              <w:rPr>
                <w:rFonts w:ascii="Cambria Math" w:hAnsi="Cambria Math" w:cs="Cambria Math" w:eastAsia="Cambria Math"/>
                <w:w w:val="99"/>
                <w:position w:val="-14"/>
                <w:sz w:val="22"/>
                <w:szCs w:val="22"/>
              </w:rPr>
              <w:t>𝐵</w:t>
            </w:r>
            <w:r>
              <w:rPr>
                <w:rFonts w:ascii="Cambria Math" w:hAnsi="Cambria Math" w:cs="Cambria Math" w:eastAsia="Cambria Math"/>
                <w:spacing w:val="-6"/>
                <w:position w:val="-14"/>
                <w:sz w:val="22"/>
                <w:szCs w:val="22"/>
              </w:rPr>
              <w:t> </w:t>
            </w:r>
            <w:r>
              <w:rPr>
                <w:rFonts w:ascii="Cambria Math" w:hAnsi="Cambria Math" w:cs="Cambria Math" w:eastAsia="Cambria Math"/>
                <w:w w:val="99"/>
                <w:sz w:val="22"/>
                <w:szCs w:val="22"/>
              </w:rPr>
              <w:t>ln</w:t>
            </w:r>
            <w:r>
              <w:rPr>
                <w:rFonts w:ascii="Cambria Math" w:hAnsi="Cambria Math" w:cs="Cambria Math" w:eastAsia="Cambria Math"/>
                <w:spacing w:val="-13"/>
                <w:sz w:val="22"/>
                <w:szCs w:val="22"/>
              </w:rPr>
              <w:t> </w:t>
            </w:r>
            <w:r>
              <w:rPr>
                <w:rFonts w:ascii="Cambria Math" w:hAnsi="Cambria Math" w:cs="Cambria Math" w:eastAsia="Cambria Math"/>
                <w:spacing w:val="-1"/>
                <w:w w:val="49"/>
                <w:sz w:val="22"/>
                <w:szCs w:val="22"/>
              </w:rPr>
              <w:t>�</w:t>
            </w:r>
            <w:r>
              <w:rPr>
                <w:rFonts w:ascii="Cambria Math" w:hAnsi="Cambria Math" w:cs="Cambria Math" w:eastAsia="Cambria Math"/>
                <w:w w:val="99"/>
                <w:sz w:val="22"/>
                <w:szCs w:val="22"/>
              </w:rPr>
              <w:t>1</w:t>
            </w:r>
            <w:r>
              <w:rPr>
                <w:rFonts w:ascii="Cambria Math" w:hAnsi="Cambria Math" w:cs="Cambria Math" w:eastAsia="Cambria Math"/>
                <w:spacing w:val="1"/>
                <w:sz w:val="22"/>
                <w:szCs w:val="22"/>
              </w:rPr>
              <w:t> </w:t>
            </w:r>
            <w:r>
              <w:rPr>
                <w:rFonts w:ascii="Cambria Math" w:hAnsi="Cambria Math" w:cs="Cambria Math" w:eastAsia="Cambria Math"/>
                <w:w w:val="99"/>
                <w:sz w:val="22"/>
                <w:szCs w:val="22"/>
              </w:rPr>
              <w:t>+</w:t>
            </w:r>
            <w:r>
              <w:rPr>
                <w:rFonts w:ascii="Cambria Math" w:hAnsi="Cambria Math" w:cs="Cambria Math" w:eastAsia="Cambria Math"/>
                <w:sz w:val="22"/>
                <w:szCs w:val="22"/>
              </w:rPr>
              <w:t>  </w:t>
            </w:r>
            <w:r>
              <w:rPr>
                <w:rFonts w:ascii="Cambria Math" w:hAnsi="Cambria Math" w:cs="Cambria Math" w:eastAsia="Cambria Math"/>
                <w:spacing w:val="7"/>
                <w:sz w:val="22"/>
                <w:szCs w:val="22"/>
              </w:rPr>
              <w:t> </w:t>
            </w:r>
            <w:r>
              <w:rPr>
                <w:rFonts w:ascii="Cambria Math" w:hAnsi="Cambria Math" w:cs="Cambria Math" w:eastAsia="Cambria Math"/>
                <w:w w:val="99"/>
                <w:position w:val="-14"/>
                <w:sz w:val="22"/>
                <w:szCs w:val="22"/>
              </w:rPr>
              <w:t>𝐶</w:t>
            </w:r>
            <w:r>
              <w:rPr>
                <w:rFonts w:ascii="Cambria Math" w:hAnsi="Cambria Math" w:cs="Cambria Math" w:eastAsia="Cambria Math"/>
                <w:position w:val="-14"/>
                <w:sz w:val="22"/>
                <w:szCs w:val="22"/>
              </w:rPr>
              <w:t> </w:t>
            </w:r>
            <w:r>
              <w:rPr>
                <w:rFonts w:ascii="Cambria Math" w:hAnsi="Cambria Math" w:cs="Cambria Math" w:eastAsia="Cambria Math"/>
                <w:spacing w:val="15"/>
                <w:position w:val="-14"/>
                <w:sz w:val="22"/>
                <w:szCs w:val="22"/>
              </w:rPr>
              <w:t> </w:t>
            </w:r>
            <w:r>
              <w:rPr>
                <w:rFonts w:ascii="Cambria Math" w:hAnsi="Cambria Math" w:cs="Cambria Math" w:eastAsia="Cambria Math"/>
                <w:w w:val="49"/>
                <w:sz w:val="22"/>
                <w:szCs w:val="22"/>
              </w:rPr>
              <w:t>�</w:t>
            </w:r>
          </w:p>
        </w:tc>
        <w:tc>
          <w:tcPr>
            <w:tcW w:w="1072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i/>
                <w:sz w:val="22"/>
              </w:rPr>
            </w:pPr>
          </w:p>
          <w:p>
            <w:pPr>
              <w:pStyle w:val="TableParagraph"/>
              <w:spacing w:before="5"/>
              <w:rPr>
                <w:i/>
                <w:sz w:val="22"/>
              </w:rPr>
            </w:pPr>
          </w:p>
          <w:p>
            <w:pPr>
              <w:pStyle w:val="TableParagraph"/>
              <w:ind w:left="90" w:right="72"/>
              <w:jc w:val="center"/>
              <w:rPr>
                <w:sz w:val="20"/>
              </w:rPr>
            </w:pPr>
            <w:r>
              <w:rPr>
                <w:sz w:val="20"/>
              </w:rPr>
              <w:t>B,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C</w:t>
            </w:r>
          </w:p>
        </w:tc>
        <w:tc>
          <w:tcPr>
            <w:tcW w:w="1740" w:type="dxa"/>
            <w:tcBorders>
              <w:left w:val="single" w:sz="4" w:space="0" w:color="000000"/>
            </w:tcBorders>
          </w:tcPr>
          <w:p>
            <w:pPr>
              <w:pStyle w:val="TableParagraph"/>
              <w:rPr>
                <w:i/>
                <w:sz w:val="22"/>
              </w:rPr>
            </w:pPr>
          </w:p>
          <w:p>
            <w:pPr>
              <w:pStyle w:val="TableParagraph"/>
              <w:spacing w:before="143"/>
              <w:ind w:left="426" w:right="114" w:hanging="269"/>
              <w:rPr>
                <w:sz w:val="20"/>
              </w:rPr>
            </w:pPr>
            <w:r>
              <w:rPr>
                <w:sz w:val="20"/>
              </w:rPr>
              <w:t>Striking Velocity,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2 constants</w:t>
            </w:r>
          </w:p>
        </w:tc>
        <w:tc>
          <w:tcPr>
            <w:tcW w:w="666" w:type="dxa"/>
          </w:tcPr>
          <w:p>
            <w:pPr>
              <w:pStyle w:val="TableParagraph"/>
              <w:rPr>
                <w:i/>
                <w:sz w:val="22"/>
              </w:rPr>
            </w:pPr>
          </w:p>
          <w:p>
            <w:pPr>
              <w:pStyle w:val="TableParagraph"/>
              <w:spacing w:before="5"/>
              <w:rPr>
                <w:i/>
                <w:sz w:val="22"/>
              </w:rPr>
            </w:pPr>
          </w:p>
          <w:p>
            <w:pPr>
              <w:pStyle w:val="TableParagraph"/>
              <w:ind w:left="87" w:right="68"/>
              <w:jc w:val="center"/>
              <w:rPr>
                <w:sz w:val="20"/>
              </w:rPr>
            </w:pPr>
            <w:r>
              <w:rPr>
                <w:sz w:val="20"/>
              </w:rPr>
              <w:t>1.345</w:t>
            </w:r>
          </w:p>
        </w:tc>
      </w:tr>
    </w:tbl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169"/>
        <w:ind w:left="440" w:right="418" w:firstLine="720"/>
        <w:jc w:val="both"/>
      </w:pPr>
      <w:r>
        <w:rPr/>
        <w:pict>
          <v:rect style="position:absolute;margin-left:250.380005pt;margin-top:-74.426888pt;width:7.5pt;height:.72pt;mso-position-horizontal-relative:page;mso-position-vertical-relative:paragraph;z-index:-34891264" filled="true" fillcolor="#000000" stroked="false">
            <v:fill type="solid"/>
            <w10:wrap type="none"/>
          </v:rect>
        </w:pict>
      </w:r>
      <w:r>
        <w:rPr/>
        <w:pict>
          <v:rect style="position:absolute;margin-left:295.320007pt;margin-top:-74.426888pt;width:17.34pt;height:.72pt;mso-position-horizontal-relative:page;mso-position-vertical-relative:paragraph;z-index:-34890752" filled="true" fillcolor="#000000" stroked="false">
            <v:fill type="solid"/>
            <w10:wrap type="none"/>
          </v:rect>
        </w:pict>
      </w:r>
      <w:r>
        <w:rPr/>
        <w:t>It is interesting to note that the Poncelet and Resal models trend along the same</w:t>
      </w:r>
      <w:r>
        <w:rPr>
          <w:spacing w:val="1"/>
        </w:rPr>
        <w:t> </w:t>
      </w:r>
      <w:r>
        <w:rPr/>
        <w:t>values for required depth of penetration for the striking velocity range of 1,600 to 3,200</w:t>
      </w:r>
      <w:r>
        <w:rPr>
          <w:spacing w:val="1"/>
        </w:rPr>
        <w:t> </w:t>
      </w:r>
      <w:r>
        <w:rPr/>
        <w:t>fps</w:t>
      </w:r>
      <w:r>
        <w:rPr>
          <w:spacing w:val="-9"/>
        </w:rPr>
        <w:t> </w:t>
      </w:r>
      <w:r>
        <w:rPr/>
        <w:t>(480</w:t>
      </w:r>
      <w:r>
        <w:rPr>
          <w:spacing w:val="-9"/>
        </w:rPr>
        <w:t> </w:t>
      </w:r>
      <w:r>
        <w:rPr/>
        <w:t>to</w:t>
      </w:r>
      <w:r>
        <w:rPr>
          <w:spacing w:val="-9"/>
        </w:rPr>
        <w:t> </w:t>
      </w:r>
      <w:r>
        <w:rPr/>
        <w:t>960</w:t>
      </w:r>
      <w:r>
        <w:rPr>
          <w:spacing w:val="-9"/>
        </w:rPr>
        <w:t> </w:t>
      </w:r>
      <w:r>
        <w:rPr/>
        <w:t>m/s).</w:t>
      </w:r>
      <w:r>
        <w:rPr>
          <w:spacing w:val="42"/>
        </w:rPr>
        <w:t> </w:t>
      </w:r>
      <w:r>
        <w:rPr/>
        <w:t>Additionally,</w:t>
      </w:r>
      <w:r>
        <w:rPr>
          <w:spacing w:val="-10"/>
        </w:rPr>
        <w:t> </w:t>
      </w:r>
      <w:r>
        <w:rPr/>
        <w:t>within</w:t>
      </w:r>
      <w:r>
        <w:rPr>
          <w:spacing w:val="-10"/>
        </w:rPr>
        <w:t> </w:t>
      </w:r>
      <w:r>
        <w:rPr/>
        <w:t>this</w:t>
      </w:r>
      <w:r>
        <w:rPr>
          <w:spacing w:val="-9"/>
        </w:rPr>
        <w:t> </w:t>
      </w:r>
      <w:r>
        <w:rPr/>
        <w:t>range,</w:t>
      </w:r>
      <w:r>
        <w:rPr>
          <w:spacing w:val="-9"/>
        </w:rPr>
        <w:t> </w:t>
      </w:r>
      <w:r>
        <w:rPr/>
        <w:t>at</w:t>
      </w:r>
      <w:r>
        <w:rPr>
          <w:spacing w:val="-9"/>
        </w:rPr>
        <w:t> </w:t>
      </w:r>
      <w:r>
        <w:rPr/>
        <w:t>approximately</w:t>
      </w:r>
      <w:r>
        <w:rPr>
          <w:spacing w:val="-9"/>
        </w:rPr>
        <w:t> </w:t>
      </w:r>
      <w:r>
        <w:rPr/>
        <w:t>2,600</w:t>
      </w:r>
      <w:r>
        <w:rPr>
          <w:spacing w:val="-10"/>
        </w:rPr>
        <w:t> </w:t>
      </w:r>
      <w:r>
        <w:rPr/>
        <w:t>fps</w:t>
      </w:r>
      <w:r>
        <w:rPr>
          <w:spacing w:val="-8"/>
        </w:rPr>
        <w:t> </w:t>
      </w:r>
      <w:r>
        <w:rPr/>
        <w:t>(780</w:t>
      </w:r>
      <w:r>
        <w:rPr>
          <w:spacing w:val="-10"/>
        </w:rPr>
        <w:t> </w:t>
      </w:r>
      <w:r>
        <w:rPr/>
        <w:t>m/s)</w:t>
      </w:r>
      <w:r>
        <w:rPr>
          <w:spacing w:val="-58"/>
        </w:rPr>
        <w:t> </w:t>
      </w:r>
      <w:r>
        <w:rPr/>
        <w:t>the Euler-Robbins model predicts the same value for depth of penetration as the other two</w:t>
      </w:r>
      <w:r>
        <w:rPr>
          <w:spacing w:val="-57"/>
        </w:rPr>
        <w:t> </w:t>
      </w:r>
      <w:r>
        <w:rPr/>
        <w:t>models.</w:t>
      </w:r>
    </w:p>
    <w:p>
      <w:pPr>
        <w:spacing w:after="0" w:line="480" w:lineRule="auto"/>
        <w:jc w:val="both"/>
        <w:sectPr>
          <w:pgSz w:w="12240" w:h="15840"/>
          <w:pgMar w:header="0" w:footer="1064" w:top="1500" w:bottom="1260" w:left="1720" w:right="1020"/>
        </w:sectPr>
      </w:pPr>
    </w:p>
    <w:p>
      <w:pPr>
        <w:pStyle w:val="BodyText"/>
        <w:spacing w:line="317" w:lineRule="exact" w:before="68"/>
        <w:ind w:left="3528"/>
      </w:pPr>
      <w:r>
        <w:rPr/>
        <w:t>Striking</w:t>
      </w:r>
      <w:r>
        <w:rPr>
          <w:spacing w:val="-11"/>
        </w:rPr>
        <w:t> </w:t>
      </w:r>
      <w:r>
        <w:rPr/>
        <w:t>Velocity</w:t>
      </w:r>
      <w:r>
        <w:rPr>
          <w:spacing w:val="-4"/>
        </w:rPr>
        <w:t> </w:t>
      </w:r>
      <w:r>
        <w:rPr/>
        <w:t>(V</w:t>
      </w:r>
      <w:r>
        <w:rPr>
          <w:position w:val="-5"/>
          <w:sz w:val="17"/>
        </w:rPr>
        <w:t>s</w:t>
      </w:r>
      <w:r>
        <w:rPr/>
        <w:t>)</w:t>
      </w:r>
      <w:r>
        <w:rPr>
          <w:spacing w:val="-5"/>
        </w:rPr>
        <w:t> </w:t>
      </w:r>
      <w:r>
        <w:rPr/>
        <w:t>(m/s)</w:t>
      </w:r>
    </w:p>
    <w:p>
      <w:pPr>
        <w:spacing w:line="180" w:lineRule="exact" w:before="0"/>
        <w:ind w:left="1353" w:right="0" w:firstLine="0"/>
        <w:jc w:val="left"/>
        <w:rPr>
          <w:sz w:val="16"/>
        </w:rPr>
      </w:pPr>
      <w:r>
        <w:rPr>
          <w:w w:val="105"/>
          <w:sz w:val="16"/>
        </w:rPr>
        <w:t>180  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240 </w:t>
      </w:r>
      <w:r>
        <w:rPr>
          <w:spacing w:val="40"/>
          <w:w w:val="105"/>
          <w:sz w:val="16"/>
        </w:rPr>
        <w:t> </w:t>
      </w:r>
      <w:r>
        <w:rPr>
          <w:w w:val="105"/>
          <w:sz w:val="16"/>
        </w:rPr>
        <w:t>300  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360 </w:t>
      </w:r>
      <w:r>
        <w:rPr>
          <w:spacing w:val="40"/>
          <w:w w:val="105"/>
          <w:sz w:val="16"/>
        </w:rPr>
        <w:t> </w:t>
      </w:r>
      <w:r>
        <w:rPr>
          <w:w w:val="105"/>
          <w:sz w:val="16"/>
        </w:rPr>
        <w:t>420  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480 </w:t>
      </w:r>
      <w:r>
        <w:rPr>
          <w:spacing w:val="40"/>
          <w:w w:val="105"/>
          <w:sz w:val="16"/>
        </w:rPr>
        <w:t> </w:t>
      </w:r>
      <w:r>
        <w:rPr>
          <w:w w:val="105"/>
          <w:sz w:val="16"/>
        </w:rPr>
        <w:t>540  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600 </w:t>
      </w:r>
      <w:r>
        <w:rPr>
          <w:spacing w:val="40"/>
          <w:w w:val="105"/>
          <w:sz w:val="16"/>
        </w:rPr>
        <w:t> </w:t>
      </w:r>
      <w:r>
        <w:rPr>
          <w:w w:val="105"/>
          <w:sz w:val="16"/>
        </w:rPr>
        <w:t>660  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720 </w:t>
      </w:r>
      <w:r>
        <w:rPr>
          <w:spacing w:val="40"/>
          <w:w w:val="105"/>
          <w:sz w:val="16"/>
        </w:rPr>
        <w:t> </w:t>
      </w:r>
      <w:r>
        <w:rPr>
          <w:w w:val="105"/>
          <w:sz w:val="16"/>
        </w:rPr>
        <w:t>780  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840 </w:t>
      </w:r>
      <w:r>
        <w:rPr>
          <w:spacing w:val="40"/>
          <w:w w:val="105"/>
          <w:sz w:val="16"/>
        </w:rPr>
        <w:t> </w:t>
      </w:r>
      <w:r>
        <w:rPr>
          <w:w w:val="105"/>
          <w:sz w:val="16"/>
        </w:rPr>
        <w:t>900 </w:t>
      </w:r>
      <w:r>
        <w:rPr>
          <w:spacing w:val="40"/>
          <w:w w:val="105"/>
          <w:sz w:val="16"/>
        </w:rPr>
        <w:t> </w:t>
      </w:r>
      <w:r>
        <w:rPr>
          <w:w w:val="105"/>
          <w:sz w:val="16"/>
        </w:rPr>
        <w:t>960</w:t>
      </w:r>
      <w:r>
        <w:rPr>
          <w:spacing w:val="23"/>
          <w:w w:val="105"/>
          <w:sz w:val="16"/>
        </w:rPr>
        <w:t> </w:t>
      </w:r>
      <w:r>
        <w:rPr>
          <w:w w:val="105"/>
          <w:sz w:val="16"/>
        </w:rPr>
        <w:t>1020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1080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1140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1200</w:t>
      </w:r>
    </w:p>
    <w:p>
      <w:pPr>
        <w:spacing w:before="35"/>
        <w:ind w:left="786" w:right="0" w:firstLine="0"/>
        <w:jc w:val="left"/>
        <w:rPr>
          <w:sz w:val="16"/>
        </w:rPr>
      </w:pPr>
      <w:r>
        <w:rPr/>
        <w:pict>
          <v:group style="position:absolute;margin-left:140.632309pt;margin-top:5.440511pt;width:348.4pt;height:189.8pt;mso-position-horizontal-relative:page;mso-position-vertical-relative:paragraph;z-index:15816704" coordorigin="2813,109" coordsize="6968,3796">
            <v:rect style="position:absolute;left:2823;top:120;width:6945;height:3773" filled="false" stroked="true" strokeweight="1.132865pt" strokecolor="#000000">
              <v:stroke dashstyle="solid"/>
            </v:rect>
            <v:line style="position:absolute" from="3980,3893" to="3980,3783" stroked="true" strokeweight=".944062pt" strokecolor="#000000">
              <v:stroke dashstyle="solid"/>
            </v:line>
            <v:line style="position:absolute" from="4365,3893" to="4365,3783" stroked="true" strokeweight=".944062pt" strokecolor="#000000">
              <v:stroke dashstyle="solid"/>
            </v:line>
            <v:line style="position:absolute" from="4750,3893" to="4750,3783" stroked="true" strokeweight=".944062pt" strokecolor="#000000">
              <v:stroke dashstyle="solid"/>
            </v:line>
            <v:line style="position:absolute" from="5139,3893" to="5139,3783" stroked="true" strokeweight=".944062pt" strokecolor="#000000">
              <v:stroke dashstyle="solid"/>
            </v:line>
            <v:line style="position:absolute" from="5524,3893" to="5524,3783" stroked="true" strokeweight=".944062pt" strokecolor="#000000">
              <v:stroke dashstyle="solid"/>
            </v:line>
            <v:line style="position:absolute" from="5909,3893" to="5909,3783" stroked="true" strokeweight=".944062pt" strokecolor="#000000">
              <v:stroke dashstyle="solid"/>
            </v:line>
            <v:line style="position:absolute" from="6294,3893" to="6294,3783" stroked="true" strokeweight=".944062pt" strokecolor="#000000">
              <v:stroke dashstyle="solid"/>
            </v:line>
            <v:line style="position:absolute" from="6680,3893" to="6680,3783" stroked="true" strokeweight=".944062pt" strokecolor="#000000">
              <v:stroke dashstyle="solid"/>
            </v:line>
            <v:line style="position:absolute" from="7065,3893" to="7065,3783" stroked="true" strokeweight=".944062pt" strokecolor="#000000">
              <v:stroke dashstyle="solid"/>
            </v:line>
            <v:line style="position:absolute" from="7454,3893" to="7454,3783" stroked="true" strokeweight=".944062pt" strokecolor="#000000">
              <v:stroke dashstyle="solid"/>
            </v:line>
            <v:line style="position:absolute" from="7839,3893" to="7839,3783" stroked="true" strokeweight=".944062pt" strokecolor="#000000">
              <v:stroke dashstyle="solid"/>
            </v:line>
            <v:line style="position:absolute" from="8224,3893" to="8224,3783" stroked="true" strokeweight=".944062pt" strokecolor="#000000">
              <v:stroke dashstyle="solid"/>
            </v:line>
            <v:line style="position:absolute" from="8609,3893" to="8609,3783" stroked="true" strokeweight=".944062pt" strokecolor="#000000">
              <v:stroke dashstyle="solid"/>
            </v:line>
            <v:line style="position:absolute" from="8994,3893" to="8994,3783" stroked="true" strokeweight=".944062pt" strokecolor="#000000">
              <v:stroke dashstyle="solid"/>
            </v:line>
            <v:line style="position:absolute" from="9380,3893" to="9380,3783" stroked="true" strokeweight=".944062pt" strokecolor="#000000">
              <v:stroke dashstyle="solid"/>
            </v:line>
            <v:line style="position:absolute" from="3190,120" to="3190,230" stroked="true" strokeweight=".944062pt" strokecolor="#000000">
              <v:stroke dashstyle="solid"/>
            </v:line>
            <v:line style="position:absolute" from="3572,120" to="3572,230" stroked="true" strokeweight=".944062pt" strokecolor="#000000">
              <v:stroke dashstyle="solid"/>
            </v:line>
            <v:line style="position:absolute" from="3949,120" to="3949,230" stroked="true" strokeweight=".944062pt" strokecolor="#000000">
              <v:stroke dashstyle="solid"/>
            </v:line>
            <v:line style="position:absolute" from="4331,120" to="4331,230" stroked="true" strokeweight=".944062pt" strokecolor="#000000">
              <v:stroke dashstyle="solid"/>
            </v:line>
            <v:line style="position:absolute" from="4708,120" to="4708,230" stroked="true" strokeweight=".944062pt" strokecolor="#000000">
              <v:stroke dashstyle="solid"/>
            </v:line>
            <v:line style="position:absolute" from="5090,120" to="5090,230" stroked="true" strokeweight=".944062pt" strokecolor="#000000">
              <v:stroke dashstyle="solid"/>
            </v:line>
            <v:line style="position:absolute" from="5467,120" to="5467,230" stroked="true" strokeweight=".944062pt" strokecolor="#000000">
              <v:stroke dashstyle="solid"/>
            </v:line>
            <v:line style="position:absolute" from="5849,120" to="5849,230" stroked="true" strokeweight=".944062pt" strokecolor="#000000">
              <v:stroke dashstyle="solid"/>
            </v:line>
            <v:line style="position:absolute" from="6226,120" to="6226,230" stroked="true" strokeweight=".944062pt" strokecolor="#000000">
              <v:stroke dashstyle="solid"/>
            </v:line>
            <v:line style="position:absolute" from="6608,120" to="6608,230" stroked="true" strokeweight=".944062pt" strokecolor="#000000">
              <v:stroke dashstyle="solid"/>
            </v:line>
            <v:line style="position:absolute" from="6985,120" to="6985,230" stroked="true" strokeweight=".944062pt" strokecolor="#000000">
              <v:stroke dashstyle="solid"/>
            </v:line>
            <v:line style="position:absolute" from="7367,120" to="7367,230" stroked="true" strokeweight=".944062pt" strokecolor="#000000">
              <v:stroke dashstyle="solid"/>
            </v:line>
            <v:line style="position:absolute" from="7748,120" to="7748,230" stroked="true" strokeweight=".944062pt" strokecolor="#000000">
              <v:stroke dashstyle="solid"/>
            </v:line>
            <v:line style="position:absolute" from="8507,120" to="8507,230" stroked="true" strokeweight=".944062pt" strokecolor="#000000">
              <v:stroke dashstyle="solid"/>
            </v:line>
            <v:line style="position:absolute" from="2824,3353" to="2960,3353" stroked="true" strokeweight=".944052pt" strokecolor="#000000">
              <v:stroke dashstyle="solid"/>
            </v:line>
            <v:line style="position:absolute" from="2824,3084" to="2960,3084" stroked="true" strokeweight=".944052pt" strokecolor="#000000">
              <v:stroke dashstyle="solid"/>
            </v:line>
            <v:line style="position:absolute" from="2824,2816" to="2960,2816" stroked="true" strokeweight=".944052pt" strokecolor="#000000">
              <v:stroke dashstyle="solid"/>
            </v:line>
            <v:line style="position:absolute" from="2824,2544" to="2960,2544" stroked="true" strokeweight=".944052pt" strokecolor="#000000">
              <v:stroke dashstyle="solid"/>
            </v:line>
            <v:line style="position:absolute" from="2824,2276" to="2960,2276" stroked="true" strokeweight=".944052pt" strokecolor="#000000">
              <v:stroke dashstyle="solid"/>
            </v:line>
            <v:line style="position:absolute" from="2824,2008" to="2960,2008" stroked="true" strokeweight=".944052pt" strokecolor="#000000">
              <v:stroke dashstyle="solid"/>
            </v:line>
            <v:line style="position:absolute" from="2824,1736" to="2960,1736" stroked="true" strokeweight=".944052pt" strokecolor="#000000">
              <v:stroke dashstyle="solid"/>
            </v:line>
            <v:line style="position:absolute" from="2824,1468" to="2960,1468" stroked="true" strokeweight=".944052pt" strokecolor="#000000">
              <v:stroke dashstyle="solid"/>
            </v:line>
            <v:line style="position:absolute" from="2824,1196" to="2960,1196" stroked="true" strokeweight=".944052pt" strokecolor="#000000">
              <v:stroke dashstyle="solid"/>
            </v:line>
            <v:line style="position:absolute" from="2824,928" to="2960,928" stroked="true" strokeweight=".944052pt" strokecolor="#000000">
              <v:stroke dashstyle="solid"/>
            </v:line>
            <v:line style="position:absolute" from="2824,660" to="2960,660" stroked="true" strokeweight=".944052pt" strokecolor="#000000">
              <v:stroke dashstyle="solid"/>
            </v:line>
            <v:line style="position:absolute" from="2824,388" to="2960,388" stroked="true" strokeweight=".944052pt" strokecolor="#000000">
              <v:stroke dashstyle="solid"/>
            </v:line>
            <v:line style="position:absolute" from="9768,3893" to="9629,3893" stroked="true" strokeweight=".944052pt" strokecolor="#000000">
              <v:stroke dashstyle="solid"/>
            </v:line>
            <v:line style="position:absolute" from="9768,3628" to="9629,3628" stroked="true" strokeweight=".944052pt" strokecolor="#000000">
              <v:stroke dashstyle="solid"/>
            </v:line>
            <v:line style="position:absolute" from="9768,3364" to="9629,3364" stroked="true" strokeweight=".944052pt" strokecolor="#000000">
              <v:stroke dashstyle="solid"/>
            </v:line>
            <v:line style="position:absolute" from="9768,3096" to="9629,3096" stroked="true" strokeweight=".944052pt" strokecolor="#000000">
              <v:stroke dashstyle="solid"/>
            </v:line>
            <v:line style="position:absolute" from="9768,2831" to="9629,2831" stroked="true" strokeweight=".944052pt" strokecolor="#000000">
              <v:stroke dashstyle="solid"/>
            </v:line>
            <v:line style="position:absolute" from="9768,2567" to="9629,2567" stroked="true" strokeweight=".944052pt" strokecolor="#000000">
              <v:stroke dashstyle="solid"/>
            </v:line>
            <v:line style="position:absolute" from="9768,2303" to="9629,2303" stroked="true" strokeweight=".944052pt" strokecolor="#000000">
              <v:stroke dashstyle="solid"/>
            </v:line>
            <v:line style="position:absolute" from="9768,2035" to="9629,2035" stroked="true" strokeweight=".944052pt" strokecolor="#000000">
              <v:stroke dashstyle="solid"/>
            </v:line>
            <v:line style="position:absolute" from="9768,1770" to="9629,1770" stroked="true" strokeweight=".944052pt" strokecolor="#000000">
              <v:stroke dashstyle="solid"/>
            </v:line>
            <v:line style="position:absolute" from="9768,1506" to="9629,1506" stroked="true" strokeweight=".944052pt" strokecolor="#000000">
              <v:stroke dashstyle="solid"/>
            </v:line>
            <v:line style="position:absolute" from="9768,1242" to="9629,1242" stroked="true" strokeweight=".944052pt" strokecolor="#000000">
              <v:stroke dashstyle="solid"/>
            </v:line>
            <v:line style="position:absolute" from="9768,974" to="9629,974" stroked="true" strokeweight=".944052pt" strokecolor="#000000">
              <v:stroke dashstyle="solid"/>
            </v:line>
            <v:line style="position:absolute" from="9768,709" to="9629,709" stroked="true" strokeweight=".944052pt" strokecolor="#000000">
              <v:stroke dashstyle="solid"/>
            </v:line>
            <v:line style="position:absolute" from="9768,445" to="9629,445" stroked="true" strokeweight=".944052pt" strokecolor="#000000">
              <v:stroke dashstyle="solid"/>
            </v:line>
            <v:shape style="position:absolute;left:7359;top:493;width:76;height:61" coordorigin="7359,494" coordsize="76,61" path="m7397,554l7359,524,7397,494,7435,524,7397,554xe" filled="true" fillcolor="#ff0000" stroked="false">
              <v:path arrowok="t"/>
              <v:fill type="solid"/>
            </v:shape>
            <v:shape style="position:absolute;left:7359;top:493;width:76;height:61" coordorigin="7359,494" coordsize="76,61" path="m7397,494l7435,524,7397,554,7359,524,7397,494xe" filled="false" stroked="true" strokeweight="1.132867pt" strokecolor="#ff0000">
              <v:path arrowok="t"/>
              <v:stroke dashstyle="solid"/>
            </v:shape>
            <v:shape style="position:absolute;left:6505;top:1370;width:76;height:61" coordorigin="6506,1370" coordsize="76,61" path="m6544,1430l6506,1400,6544,1370,6581,1400,6544,1430xe" filled="true" fillcolor="#ff0000" stroked="false">
              <v:path arrowok="t"/>
              <v:fill type="solid"/>
            </v:shape>
            <v:shape style="position:absolute;left:6505;top:1370;width:76;height:61" coordorigin="6506,1370" coordsize="76,61" path="m6544,1370l6581,1400,6544,1430,6506,1400,6544,1370xe" filled="false" stroked="true" strokeweight="1.132867pt" strokecolor="#ff0000">
              <v:path arrowok="t"/>
              <v:stroke dashstyle="solid"/>
            </v:shape>
            <v:shape style="position:absolute;left:6233;top:1539;width:76;height:57" coordorigin="6234,1540" coordsize="76,57" path="m6272,1597l6234,1570,6272,1540,6309,1570,6272,1597xe" filled="true" fillcolor="#ff0000" stroked="false">
              <v:path arrowok="t"/>
              <v:fill type="solid"/>
            </v:shape>
            <v:shape style="position:absolute;left:6233;top:1539;width:76;height:57" coordorigin="6234,1540" coordsize="76,57" path="m6272,1540l6309,1570,6272,1597,6234,1570,6272,1540xe" filled="false" stroked="true" strokeweight="1.132867pt" strokecolor="#ff0000">
              <v:path arrowok="t"/>
              <v:stroke dashstyle="solid"/>
            </v:shape>
            <v:shape style="position:absolute;left:6177;top:2574;width:72;height:57" coordorigin="6177,2575" coordsize="72,57" path="m6249,2631l6177,2631,6215,2575,6249,2631xe" filled="true" fillcolor="#0000ff" stroked="false">
              <v:path arrowok="t"/>
              <v:fill type="solid"/>
            </v:shape>
            <v:shape style="position:absolute;left:6177;top:2574;width:72;height:57" coordorigin="6177,2575" coordsize="72,57" path="m6215,2575l6249,2631,6177,2631,6215,2575xe" filled="false" stroked="true" strokeweight="1.132867pt" strokecolor="#0000ff">
              <v:path arrowok="t"/>
              <v:stroke dashstyle="solid"/>
            </v:shape>
            <v:shape style="position:absolute;left:9118;top:554;width:72;height:57" coordorigin="9119,554" coordsize="72,57" path="m9191,611l9119,611,9157,554,9191,611xe" filled="true" fillcolor="#0000ff" stroked="false">
              <v:path arrowok="t"/>
              <v:fill type="solid"/>
            </v:shape>
            <v:shape style="position:absolute;left:9118;top:554;width:72;height:57" coordorigin="9119,554" coordsize="72,57" path="m9157,554l9191,611,9119,611,9157,554xe" filled="false" stroked="true" strokeweight="1.132867pt" strokecolor="#0000ff">
              <v:path arrowok="t"/>
              <v:stroke dashstyle="solid"/>
            </v:shape>
            <v:shape style="position:absolute;left:6619;top:2102;width:76;height:57" coordorigin="6619,2103" coordsize="76,57" path="m6695,2159l6619,2159,6657,2103,6695,2159xe" filled="true" fillcolor="#0000ff" stroked="false">
              <v:path arrowok="t"/>
              <v:fill type="solid"/>
            </v:shape>
            <v:shape style="position:absolute;left:6619;top:2102;width:76;height:57" coordorigin="6619,2103" coordsize="76,57" path="m6657,2103l6695,2159,6619,2159,6657,2103xe" filled="false" stroked="true" strokeweight="1.132867pt" strokecolor="#0000ff">
              <v:path arrowok="t"/>
              <v:stroke dashstyle="solid"/>
            </v:shape>
            <v:shape style="position:absolute;left:6588;top:2102;width:76;height:57" coordorigin="6589,2103" coordsize="76,57" path="m6664,2159l6589,2159,6627,2103,6664,2159xe" filled="true" fillcolor="#0000ff" stroked="false">
              <v:path arrowok="t"/>
              <v:fill type="solid"/>
            </v:shape>
            <v:shape style="position:absolute;left:6588;top:2102;width:76;height:57" coordorigin="6589,2103" coordsize="76,57" path="m6627,2103l6664,2159,6589,2159,6627,2103xe" filled="false" stroked="true" strokeweight="1.132867pt" strokecolor="#0000ff">
              <v:path arrowok="t"/>
              <v:stroke dashstyle="solid"/>
            </v:shape>
            <v:shape style="position:absolute;left:2823;top:120;width:6945;height:3773" type="#_x0000_t75" stroked="false">
              <v:imagedata r:id="rId140" o:title=""/>
            </v:shape>
            <v:shape style="position:absolute;left:2812;top:108;width:6968;height:3796" type="#_x0000_t202" filled="false" stroked="false">
              <v:textbox inset="0,0,0,0">
                <w:txbxContent>
                  <w:p>
                    <w:pPr>
                      <w:spacing w:line="240" w:lineRule="auto" w:before="10"/>
                      <w:rPr>
                        <w:sz w:val="16"/>
                      </w:rPr>
                    </w:pPr>
                  </w:p>
                  <w:p>
                    <w:pPr>
                      <w:spacing w:line="312" w:lineRule="auto" w:before="0"/>
                      <w:ind w:left="657" w:right="5485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SPF-S data</w:t>
                    </w:r>
                    <w:r>
                      <w:rPr>
                        <w:spacing w:val="-4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SYP</w:t>
                    </w:r>
                    <w:r>
                      <w:rPr>
                        <w:spacing w:val="-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data</w:t>
                    </w:r>
                  </w:p>
                  <w:p>
                    <w:pPr>
                      <w:spacing w:line="312" w:lineRule="auto" w:before="2"/>
                      <w:ind w:left="657" w:right="4685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Euler-Robbins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model</w:t>
                    </w:r>
                    <w:r>
                      <w:rPr>
                        <w:spacing w:val="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Poncelet</w:t>
                    </w:r>
                    <w:r>
                      <w:rPr>
                        <w:spacing w:val="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(base)</w:t>
                    </w:r>
                    <w:r>
                      <w:rPr>
                        <w:spacing w:val="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model</w:t>
                    </w:r>
                    <w:r>
                      <w:rPr>
                        <w:spacing w:val="-4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Resal</w:t>
                    </w:r>
                    <w:r>
                      <w:rPr>
                        <w:spacing w:val="-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model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11.49369pt;margin-top:8.912837pt;width:17.650pt;height:169.35pt;mso-position-horizontal-relative:page;mso-position-vertical-relative:paragraph;z-index:-34889728" type="#_x0000_t202" filled="false" stroked="false">
            <v:textbox inset="0,0,0,0" style="layout-flow:vertical;mso-layout-flow-alt:bottom-to-top">
              <w:txbxContent>
                <w:p>
                  <w:pPr>
                    <w:pStyle w:val="BodyText"/>
                    <w:spacing w:before="11"/>
                    <w:ind w:left="20"/>
                  </w:pPr>
                  <w:r>
                    <w:rPr/>
                    <w:t>Depth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of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Penetration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(T</w:t>
                  </w:r>
                  <w:r>
                    <w:rPr>
                      <w:position w:val="-5"/>
                      <w:sz w:val="18"/>
                    </w:rPr>
                    <w:t>w</w:t>
                  </w:r>
                  <w:r>
                    <w:rPr/>
                    <w:t>)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(inches)</w:t>
                  </w:r>
                </w:p>
              </w:txbxContent>
            </v:textbox>
            <w10:wrap type="none"/>
          </v:shape>
        </w:pict>
      </w:r>
      <w:r>
        <w:rPr>
          <w:w w:val="105"/>
          <w:sz w:val="16"/>
        </w:rPr>
        <w:t>14</w:t>
      </w:r>
    </w:p>
    <w:p>
      <w:pPr>
        <w:spacing w:before="88"/>
        <w:ind w:left="786" w:right="0" w:firstLine="0"/>
        <w:jc w:val="left"/>
        <w:rPr>
          <w:sz w:val="16"/>
        </w:rPr>
      </w:pPr>
      <w:r>
        <w:rPr>
          <w:w w:val="105"/>
          <w:sz w:val="16"/>
        </w:rPr>
        <w:t>13</w:t>
      </w:r>
    </w:p>
    <w:p>
      <w:pPr>
        <w:spacing w:before="84"/>
        <w:ind w:left="786" w:right="0" w:firstLine="0"/>
        <w:jc w:val="left"/>
        <w:rPr>
          <w:sz w:val="16"/>
        </w:rPr>
      </w:pPr>
      <w:r>
        <w:rPr>
          <w:w w:val="105"/>
          <w:sz w:val="16"/>
        </w:rPr>
        <w:t>12</w:t>
      </w:r>
    </w:p>
    <w:p>
      <w:pPr>
        <w:spacing w:before="84"/>
        <w:ind w:left="786" w:right="0" w:firstLine="0"/>
        <w:jc w:val="left"/>
        <w:rPr>
          <w:sz w:val="16"/>
        </w:rPr>
      </w:pPr>
      <w:r>
        <w:rPr>
          <w:w w:val="105"/>
          <w:sz w:val="16"/>
        </w:rPr>
        <w:t>11</w:t>
      </w:r>
    </w:p>
    <w:p>
      <w:pPr>
        <w:spacing w:before="88"/>
        <w:ind w:left="786" w:right="0" w:firstLine="0"/>
        <w:jc w:val="left"/>
        <w:rPr>
          <w:sz w:val="16"/>
        </w:rPr>
      </w:pPr>
      <w:r>
        <w:rPr>
          <w:w w:val="105"/>
          <w:sz w:val="16"/>
        </w:rPr>
        <w:t>10</w:t>
      </w:r>
    </w:p>
    <w:p>
      <w:pPr>
        <w:spacing w:before="84"/>
        <w:ind w:left="869" w:right="0" w:firstLine="0"/>
        <w:jc w:val="left"/>
        <w:rPr>
          <w:sz w:val="16"/>
        </w:rPr>
      </w:pPr>
      <w:r>
        <w:rPr>
          <w:w w:val="103"/>
          <w:sz w:val="16"/>
        </w:rPr>
        <w:t>9</w:t>
      </w:r>
    </w:p>
    <w:p>
      <w:pPr>
        <w:spacing w:before="84"/>
        <w:ind w:left="869" w:right="0" w:firstLine="0"/>
        <w:jc w:val="left"/>
        <w:rPr>
          <w:sz w:val="16"/>
        </w:rPr>
      </w:pPr>
      <w:r>
        <w:rPr>
          <w:w w:val="103"/>
          <w:sz w:val="16"/>
        </w:rPr>
        <w:t>8</w:t>
      </w:r>
    </w:p>
    <w:p>
      <w:pPr>
        <w:spacing w:before="88"/>
        <w:ind w:left="869" w:right="0" w:firstLine="0"/>
        <w:jc w:val="left"/>
        <w:rPr>
          <w:sz w:val="16"/>
        </w:rPr>
      </w:pPr>
      <w:r>
        <w:rPr>
          <w:w w:val="103"/>
          <w:sz w:val="16"/>
        </w:rPr>
        <w:t>7</w:t>
      </w:r>
    </w:p>
    <w:p>
      <w:pPr>
        <w:spacing w:before="85"/>
        <w:ind w:left="869" w:right="0" w:firstLine="0"/>
        <w:jc w:val="left"/>
        <w:rPr>
          <w:sz w:val="16"/>
        </w:rPr>
      </w:pPr>
      <w:r>
        <w:rPr>
          <w:w w:val="103"/>
          <w:sz w:val="16"/>
        </w:rPr>
        <w:t>6</w:t>
      </w:r>
    </w:p>
    <w:p>
      <w:pPr>
        <w:spacing w:before="87"/>
        <w:ind w:left="869" w:right="0" w:firstLine="0"/>
        <w:jc w:val="left"/>
        <w:rPr>
          <w:sz w:val="16"/>
        </w:rPr>
      </w:pPr>
      <w:r>
        <w:rPr>
          <w:w w:val="103"/>
          <w:sz w:val="16"/>
        </w:rPr>
        <w:t>5</w:t>
      </w:r>
    </w:p>
    <w:p>
      <w:pPr>
        <w:spacing w:before="85"/>
        <w:ind w:left="869" w:right="0" w:firstLine="0"/>
        <w:jc w:val="left"/>
        <w:rPr>
          <w:sz w:val="16"/>
        </w:rPr>
      </w:pPr>
      <w:r>
        <w:rPr>
          <w:w w:val="103"/>
          <w:sz w:val="16"/>
        </w:rPr>
        <w:t>4</w:t>
      </w:r>
    </w:p>
    <w:p>
      <w:pPr>
        <w:spacing w:before="84"/>
        <w:ind w:left="869" w:right="0" w:firstLine="0"/>
        <w:jc w:val="left"/>
        <w:rPr>
          <w:sz w:val="16"/>
        </w:rPr>
      </w:pPr>
      <w:r>
        <w:rPr>
          <w:w w:val="103"/>
          <w:sz w:val="16"/>
        </w:rPr>
        <w:t>3</w:t>
      </w:r>
    </w:p>
    <w:p>
      <w:pPr>
        <w:spacing w:before="88"/>
        <w:ind w:left="869" w:right="0" w:firstLine="0"/>
        <w:jc w:val="left"/>
        <w:rPr>
          <w:sz w:val="16"/>
        </w:rPr>
      </w:pPr>
      <w:r>
        <w:rPr>
          <w:w w:val="103"/>
          <w:sz w:val="16"/>
        </w:rPr>
        <w:t>2</w:t>
      </w:r>
    </w:p>
    <w:p>
      <w:pPr>
        <w:spacing w:before="84"/>
        <w:ind w:left="869" w:right="0" w:firstLine="0"/>
        <w:jc w:val="left"/>
        <w:rPr>
          <w:sz w:val="16"/>
        </w:rPr>
      </w:pPr>
      <w:r>
        <w:rPr>
          <w:w w:val="103"/>
          <w:sz w:val="16"/>
        </w:rPr>
        <w:t>1</w:t>
      </w:r>
    </w:p>
    <w:p>
      <w:pPr>
        <w:spacing w:before="84"/>
        <w:ind w:left="869" w:right="0" w:firstLine="0"/>
        <w:jc w:val="left"/>
        <w:rPr>
          <w:sz w:val="16"/>
        </w:rPr>
      </w:pPr>
      <w:r>
        <w:rPr>
          <w:w w:val="103"/>
          <w:sz w:val="16"/>
        </w:rPr>
        <w:t>0</w:t>
      </w:r>
    </w:p>
    <w:p>
      <w:pPr>
        <w:pStyle w:val="BodyText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rPr>
          <w:sz w:val="18"/>
        </w:rPr>
      </w:pPr>
    </w:p>
    <w:p>
      <w:pPr>
        <w:pStyle w:val="BodyText"/>
        <w:spacing w:before="5"/>
        <w:rPr>
          <w:sz w:val="21"/>
        </w:rPr>
      </w:pPr>
    </w:p>
    <w:p>
      <w:pPr>
        <w:spacing w:before="0"/>
        <w:ind w:left="27" w:right="0" w:firstLine="0"/>
        <w:jc w:val="left"/>
        <w:rPr>
          <w:sz w:val="16"/>
        </w:rPr>
      </w:pPr>
      <w:r>
        <w:rPr>
          <w:w w:val="105"/>
          <w:sz w:val="16"/>
        </w:rPr>
        <w:t>35</w:t>
      </w:r>
    </w:p>
    <w:p>
      <w:pPr>
        <w:spacing w:before="80"/>
        <w:ind w:left="27" w:right="0" w:firstLine="0"/>
        <w:jc w:val="left"/>
        <w:rPr>
          <w:sz w:val="16"/>
        </w:rPr>
      </w:pPr>
      <w:r>
        <w:rPr/>
        <w:pict>
          <v:shape style="position:absolute;margin-left:514.796814pt;margin-top:8.149126pt;width:17.650pt;height:153.5pt;mso-position-horizontal-relative:page;mso-position-vertical-relative:paragraph;z-index:15817728" type="#_x0000_t202" filled="false" stroked="false">
            <v:textbox inset="0,0,0,0" style="layout-flow:vertical;mso-layout-flow-alt:bottom-to-top">
              <w:txbxContent>
                <w:p>
                  <w:pPr>
                    <w:pStyle w:val="BodyText"/>
                    <w:spacing w:before="11"/>
                    <w:ind w:left="20"/>
                  </w:pPr>
                  <w:r>
                    <w:rPr/>
                    <w:t>Depth</w:t>
                  </w:r>
                  <w:r>
                    <w:rPr>
                      <w:spacing w:val="2"/>
                    </w:rPr>
                    <w:t> </w:t>
                  </w:r>
                  <w:r>
                    <w:rPr/>
                    <w:t>of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Penetration</w:t>
                  </w:r>
                  <w:r>
                    <w:rPr>
                      <w:spacing w:val="3"/>
                    </w:rPr>
                    <w:t> </w:t>
                  </w:r>
                  <w:r>
                    <w:rPr/>
                    <w:t>(T</w:t>
                  </w:r>
                  <w:r>
                    <w:rPr>
                      <w:position w:val="-5"/>
                      <w:sz w:val="18"/>
                    </w:rPr>
                    <w:t>w</w:t>
                  </w:r>
                  <w:r>
                    <w:rPr/>
                    <w:t>)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(cm)</w:t>
                  </w:r>
                </w:p>
              </w:txbxContent>
            </v:textbox>
            <w10:wrap type="none"/>
          </v:shape>
        </w:pict>
      </w:r>
      <w:r>
        <w:rPr>
          <w:w w:val="105"/>
          <w:sz w:val="16"/>
        </w:rPr>
        <w:t>32.5</w:t>
      </w:r>
    </w:p>
    <w:p>
      <w:pPr>
        <w:spacing w:before="84"/>
        <w:ind w:left="27" w:right="0" w:firstLine="0"/>
        <w:jc w:val="left"/>
        <w:rPr>
          <w:sz w:val="16"/>
        </w:rPr>
      </w:pPr>
      <w:r>
        <w:rPr>
          <w:w w:val="105"/>
          <w:sz w:val="16"/>
        </w:rPr>
        <w:t>30</w:t>
      </w:r>
    </w:p>
    <w:p>
      <w:pPr>
        <w:spacing w:before="81"/>
        <w:ind w:left="27" w:right="0" w:firstLine="0"/>
        <w:jc w:val="left"/>
        <w:rPr>
          <w:sz w:val="16"/>
        </w:rPr>
      </w:pPr>
      <w:r>
        <w:rPr>
          <w:w w:val="105"/>
          <w:sz w:val="16"/>
        </w:rPr>
        <w:t>27.5</w:t>
      </w:r>
    </w:p>
    <w:p>
      <w:pPr>
        <w:spacing w:before="80"/>
        <w:ind w:left="27" w:right="0" w:firstLine="0"/>
        <w:jc w:val="left"/>
        <w:rPr>
          <w:sz w:val="16"/>
        </w:rPr>
      </w:pPr>
      <w:r>
        <w:rPr>
          <w:w w:val="105"/>
          <w:sz w:val="16"/>
        </w:rPr>
        <w:t>25</w:t>
      </w:r>
    </w:p>
    <w:p>
      <w:pPr>
        <w:spacing w:before="80"/>
        <w:ind w:left="27" w:right="0" w:firstLine="0"/>
        <w:jc w:val="left"/>
        <w:rPr>
          <w:sz w:val="16"/>
        </w:rPr>
      </w:pPr>
      <w:r>
        <w:rPr>
          <w:w w:val="105"/>
          <w:sz w:val="16"/>
        </w:rPr>
        <w:t>22.5</w:t>
      </w:r>
    </w:p>
    <w:p>
      <w:pPr>
        <w:spacing w:before="81"/>
        <w:ind w:left="27" w:right="0" w:firstLine="0"/>
        <w:jc w:val="left"/>
        <w:rPr>
          <w:sz w:val="16"/>
        </w:rPr>
      </w:pPr>
      <w:r>
        <w:rPr>
          <w:w w:val="105"/>
          <w:sz w:val="16"/>
        </w:rPr>
        <w:t>20</w:t>
      </w:r>
    </w:p>
    <w:p>
      <w:pPr>
        <w:spacing w:before="84"/>
        <w:ind w:left="27" w:right="0" w:firstLine="0"/>
        <w:jc w:val="left"/>
        <w:rPr>
          <w:sz w:val="16"/>
        </w:rPr>
      </w:pPr>
      <w:r>
        <w:rPr>
          <w:w w:val="105"/>
          <w:sz w:val="16"/>
        </w:rPr>
        <w:t>17.5</w:t>
      </w:r>
    </w:p>
    <w:p>
      <w:pPr>
        <w:spacing w:before="80"/>
        <w:ind w:left="27" w:right="0" w:firstLine="0"/>
        <w:jc w:val="left"/>
        <w:rPr>
          <w:sz w:val="16"/>
        </w:rPr>
      </w:pPr>
      <w:r>
        <w:rPr>
          <w:w w:val="105"/>
          <w:sz w:val="16"/>
        </w:rPr>
        <w:t>15</w:t>
      </w:r>
    </w:p>
    <w:p>
      <w:pPr>
        <w:spacing w:before="80"/>
        <w:ind w:left="27" w:right="0" w:firstLine="0"/>
        <w:jc w:val="left"/>
        <w:rPr>
          <w:sz w:val="16"/>
        </w:rPr>
      </w:pPr>
      <w:r>
        <w:rPr>
          <w:w w:val="105"/>
          <w:sz w:val="16"/>
        </w:rPr>
        <w:t>12.5</w:t>
      </w:r>
    </w:p>
    <w:p>
      <w:pPr>
        <w:spacing w:before="81"/>
        <w:ind w:left="27" w:right="0" w:firstLine="0"/>
        <w:jc w:val="left"/>
        <w:rPr>
          <w:sz w:val="16"/>
        </w:rPr>
      </w:pPr>
      <w:r>
        <w:rPr>
          <w:w w:val="105"/>
          <w:sz w:val="16"/>
        </w:rPr>
        <w:t>10</w:t>
      </w:r>
    </w:p>
    <w:p>
      <w:pPr>
        <w:spacing w:before="84"/>
        <w:ind w:left="27" w:right="0" w:firstLine="0"/>
        <w:jc w:val="left"/>
        <w:rPr>
          <w:sz w:val="16"/>
        </w:rPr>
      </w:pPr>
      <w:r>
        <w:rPr>
          <w:w w:val="105"/>
          <w:sz w:val="16"/>
        </w:rPr>
        <w:t>7.5</w:t>
      </w:r>
    </w:p>
    <w:p>
      <w:pPr>
        <w:spacing w:before="80"/>
        <w:ind w:left="27" w:right="0" w:firstLine="0"/>
        <w:jc w:val="left"/>
        <w:rPr>
          <w:sz w:val="16"/>
        </w:rPr>
      </w:pPr>
      <w:r>
        <w:rPr>
          <w:w w:val="103"/>
          <w:sz w:val="16"/>
        </w:rPr>
        <w:t>5</w:t>
      </w:r>
    </w:p>
    <w:p>
      <w:pPr>
        <w:spacing w:before="81"/>
        <w:ind w:left="27" w:right="0" w:firstLine="0"/>
        <w:jc w:val="left"/>
        <w:rPr>
          <w:sz w:val="16"/>
        </w:rPr>
      </w:pPr>
      <w:r>
        <w:rPr>
          <w:w w:val="105"/>
          <w:sz w:val="16"/>
        </w:rPr>
        <w:t>2.5</w:t>
      </w:r>
    </w:p>
    <w:p>
      <w:pPr>
        <w:spacing w:before="80"/>
        <w:ind w:left="27" w:right="0" w:firstLine="0"/>
        <w:jc w:val="left"/>
        <w:rPr>
          <w:sz w:val="16"/>
        </w:rPr>
      </w:pPr>
      <w:r>
        <w:rPr>
          <w:w w:val="103"/>
          <w:sz w:val="16"/>
        </w:rPr>
        <w:t>0</w:t>
      </w:r>
    </w:p>
    <w:p>
      <w:pPr>
        <w:spacing w:after="0"/>
        <w:jc w:val="left"/>
        <w:rPr>
          <w:sz w:val="16"/>
        </w:rPr>
        <w:sectPr>
          <w:pgSz w:w="12240" w:h="15840"/>
          <w:pgMar w:header="0" w:footer="1064" w:top="1340" w:bottom="1260" w:left="1720" w:right="1020"/>
          <w:cols w:num="2" w:equalWidth="0">
            <w:col w:w="8079" w:space="40"/>
            <w:col w:w="1381"/>
          </w:cols>
        </w:sectPr>
      </w:pPr>
    </w:p>
    <w:p>
      <w:pPr>
        <w:tabs>
          <w:tab w:pos="1757" w:val="left" w:leader="none"/>
          <w:tab w:pos="2463" w:val="left" w:leader="none"/>
          <w:tab w:pos="3237" w:val="left" w:leader="none"/>
          <w:tab w:pos="4007" w:val="left" w:leader="none"/>
          <w:tab w:pos="4778" w:val="left" w:leader="none"/>
          <w:tab w:pos="5552" w:val="left" w:leader="none"/>
          <w:tab w:pos="6322" w:val="left" w:leader="none"/>
          <w:tab w:pos="7093" w:val="left" w:leader="none"/>
          <w:tab w:pos="7867" w:val="left" w:leader="none"/>
        </w:tabs>
        <w:spacing w:before="1"/>
        <w:ind w:left="986" w:right="0" w:firstLine="0"/>
        <w:jc w:val="left"/>
        <w:rPr>
          <w:sz w:val="16"/>
        </w:rPr>
      </w:pPr>
      <w:r>
        <w:rPr>
          <w:w w:val="105"/>
          <w:sz w:val="16"/>
        </w:rPr>
        <w:t>400</w:t>
        <w:tab/>
        <w:t>800</w:t>
        <w:tab/>
        <w:t>1200</w:t>
        <w:tab/>
        <w:t>1600</w:t>
        <w:tab/>
        <w:t>2000</w:t>
        <w:tab/>
        <w:t>2400</w:t>
        <w:tab/>
        <w:t>2800</w:t>
        <w:tab/>
        <w:t>3200</w:t>
        <w:tab/>
        <w:t>3600</w:t>
        <w:tab/>
        <w:t>4000</w:t>
      </w:r>
    </w:p>
    <w:p>
      <w:pPr>
        <w:pStyle w:val="BodyText"/>
        <w:spacing w:before="9"/>
        <w:ind w:left="84"/>
        <w:jc w:val="center"/>
      </w:pPr>
      <w:r>
        <w:rPr/>
        <w:t>Striking</w:t>
      </w:r>
      <w:r>
        <w:rPr>
          <w:spacing w:val="-11"/>
        </w:rPr>
        <w:t> </w:t>
      </w:r>
      <w:r>
        <w:rPr/>
        <w:t>Velocity</w:t>
      </w:r>
      <w:r>
        <w:rPr>
          <w:spacing w:val="-5"/>
        </w:rPr>
        <w:t> </w:t>
      </w:r>
      <w:r>
        <w:rPr/>
        <w:t>(V</w:t>
      </w:r>
      <w:r>
        <w:rPr>
          <w:position w:val="-5"/>
          <w:sz w:val="17"/>
        </w:rPr>
        <w:t>s</w:t>
      </w:r>
      <w:r>
        <w:rPr/>
        <w:t>)</w:t>
      </w:r>
      <w:r>
        <w:rPr>
          <w:spacing w:val="-5"/>
        </w:rPr>
        <w:t> </w:t>
      </w:r>
      <w:r>
        <w:rPr/>
        <w:t>(fps)</w:t>
      </w:r>
    </w:p>
    <w:p>
      <w:pPr>
        <w:spacing w:before="239"/>
        <w:ind w:left="18" w:right="0" w:firstLine="0"/>
        <w:jc w:val="center"/>
        <w:rPr>
          <w:i/>
          <w:sz w:val="24"/>
        </w:rPr>
      </w:pPr>
      <w:bookmarkStart w:name="_bookmark77" w:id="301"/>
      <w:bookmarkEnd w:id="301"/>
      <w:r>
        <w:rPr/>
      </w:r>
      <w:r>
        <w:rPr>
          <w:i/>
          <w:sz w:val="24"/>
        </w:rPr>
        <w:t>Figure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5-19.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comparison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three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classic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penetration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models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calibrated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CLT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data.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ListParagraph"/>
        <w:numPr>
          <w:ilvl w:val="2"/>
          <w:numId w:val="21"/>
        </w:numPr>
        <w:tabs>
          <w:tab w:pos="980" w:val="left" w:leader="none"/>
        </w:tabs>
        <w:spacing w:line="240" w:lineRule="auto" w:before="173" w:after="0"/>
        <w:ind w:left="980" w:right="0" w:hanging="540"/>
        <w:jc w:val="both"/>
        <w:rPr>
          <w:i/>
          <w:sz w:val="24"/>
        </w:rPr>
      </w:pPr>
      <w:bookmarkStart w:name="5.5.5 Force Law Model" w:id="302"/>
      <w:bookmarkEnd w:id="302"/>
      <w:r>
        <w:rPr/>
      </w:r>
      <w:bookmarkStart w:name="5.5.5 Force Law Model" w:id="303"/>
      <w:bookmarkEnd w:id="303"/>
      <w:r>
        <w:rPr>
          <w:i/>
          <w:sz w:val="24"/>
        </w:rPr>
        <w:t>F</w:t>
      </w:r>
      <w:r>
        <w:rPr>
          <w:i/>
          <w:sz w:val="24"/>
        </w:rPr>
        <w:t>orce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Law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Model</w:t>
      </w:r>
    </w:p>
    <w:p>
      <w:pPr>
        <w:pStyle w:val="BodyText"/>
        <w:spacing w:before="6"/>
        <w:rPr>
          <w:i/>
          <w:sz w:val="22"/>
        </w:rPr>
      </w:pPr>
    </w:p>
    <w:p>
      <w:pPr>
        <w:pStyle w:val="BodyText"/>
        <w:spacing w:line="480" w:lineRule="auto"/>
        <w:ind w:left="440" w:right="417" w:firstLine="720"/>
        <w:jc w:val="both"/>
      </w:pPr>
      <w:r>
        <w:rPr/>
        <w:t>Based on the classical equations with variations on the deceleration equation, an</w:t>
      </w:r>
      <w:r>
        <w:rPr>
          <w:spacing w:val="1"/>
        </w:rPr>
        <w:t> </w:t>
      </w:r>
      <w:r>
        <w:rPr/>
        <w:t>additional</w:t>
      </w:r>
      <w:r>
        <w:rPr>
          <w:spacing w:val="-12"/>
        </w:rPr>
        <w:t> </w:t>
      </w:r>
      <w:r>
        <w:rPr/>
        <w:t>physics-based</w:t>
      </w:r>
      <w:r>
        <w:rPr>
          <w:spacing w:val="-11"/>
        </w:rPr>
        <w:t> </w:t>
      </w:r>
      <w:r>
        <w:rPr/>
        <w:t>model</w:t>
      </w:r>
      <w:r>
        <w:rPr>
          <w:spacing w:val="-11"/>
        </w:rPr>
        <w:t> </w:t>
      </w:r>
      <w:r>
        <w:rPr/>
        <w:t>was</w:t>
      </w:r>
      <w:r>
        <w:rPr>
          <w:spacing w:val="-10"/>
        </w:rPr>
        <w:t> </w:t>
      </w:r>
      <w:r>
        <w:rPr/>
        <w:t>developed</w:t>
      </w:r>
      <w:r>
        <w:rPr>
          <w:spacing w:val="-11"/>
        </w:rPr>
        <w:t> </w:t>
      </w:r>
      <w:r>
        <w:rPr/>
        <w:t>and</w:t>
      </w:r>
      <w:r>
        <w:rPr>
          <w:spacing w:val="-11"/>
        </w:rPr>
        <w:t> </w:t>
      </w:r>
      <w:r>
        <w:rPr/>
        <w:t>calibrated</w:t>
      </w:r>
      <w:r>
        <w:rPr>
          <w:spacing w:val="-11"/>
        </w:rPr>
        <w:t> </w:t>
      </w:r>
      <w:r>
        <w:rPr/>
        <w:t>to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CLT</w:t>
      </w:r>
      <w:r>
        <w:rPr>
          <w:spacing w:val="-10"/>
        </w:rPr>
        <w:t> </w:t>
      </w:r>
      <w:r>
        <w:rPr/>
        <w:t>data.</w:t>
      </w:r>
      <w:r>
        <w:rPr>
          <w:spacing w:val="38"/>
        </w:rPr>
        <w:t> </w:t>
      </w:r>
      <w:r>
        <w:rPr/>
        <w:t>This</w:t>
      </w:r>
      <w:r>
        <w:rPr>
          <w:spacing w:val="-11"/>
        </w:rPr>
        <w:t> </w:t>
      </w:r>
      <w:r>
        <w:rPr/>
        <w:t>model</w:t>
      </w:r>
      <w:r>
        <w:rPr>
          <w:spacing w:val="-58"/>
        </w:rPr>
        <w:t> </w:t>
      </w:r>
      <w:r>
        <w:rPr/>
        <w:t>was based on the concept of a resisting force of the target specimen reducing the velocity</w:t>
      </w:r>
      <w:r>
        <w:rPr>
          <w:spacing w:val="1"/>
        </w:rPr>
        <w:t> </w:t>
      </w:r>
      <w:r>
        <w:rPr/>
        <w:t>of the projectile. This resisting force acts as an external force on the projectile compelling</w:t>
      </w:r>
      <w:r>
        <w:rPr>
          <w:spacing w:val="-57"/>
        </w:rPr>
        <w:t> </w:t>
      </w:r>
      <w:r>
        <w:rPr/>
        <w:t>it</w:t>
      </w:r>
      <w:r>
        <w:rPr>
          <w:spacing w:val="-13"/>
        </w:rPr>
        <w:t> </w:t>
      </w:r>
      <w:r>
        <w:rPr/>
        <w:t>to</w:t>
      </w:r>
      <w:r>
        <w:rPr>
          <w:spacing w:val="-13"/>
        </w:rPr>
        <w:t> </w:t>
      </w:r>
      <w:r>
        <w:rPr/>
        <w:t>reduce</w:t>
      </w:r>
      <w:r>
        <w:rPr>
          <w:spacing w:val="-13"/>
        </w:rPr>
        <w:t> </w:t>
      </w:r>
      <w:r>
        <w:rPr/>
        <w:t>its</w:t>
      </w:r>
      <w:r>
        <w:rPr>
          <w:spacing w:val="-13"/>
        </w:rPr>
        <w:t> </w:t>
      </w:r>
      <w:r>
        <w:rPr/>
        <w:t>velocity</w:t>
      </w:r>
      <w:r>
        <w:rPr>
          <w:spacing w:val="-13"/>
        </w:rPr>
        <w:t> </w:t>
      </w:r>
      <w:r>
        <w:rPr/>
        <w:t>or</w:t>
      </w:r>
      <w:r>
        <w:rPr>
          <w:spacing w:val="-13"/>
        </w:rPr>
        <w:t> </w:t>
      </w:r>
      <w:r>
        <w:rPr/>
        <w:t>even</w:t>
      </w:r>
      <w:r>
        <w:rPr>
          <w:spacing w:val="-13"/>
        </w:rPr>
        <w:t> </w:t>
      </w:r>
      <w:r>
        <w:rPr/>
        <w:t>stop</w:t>
      </w:r>
      <w:r>
        <w:rPr>
          <w:spacing w:val="-13"/>
        </w:rPr>
        <w:t> </w:t>
      </w:r>
      <w:r>
        <w:rPr/>
        <w:t>completely.</w:t>
      </w:r>
      <w:r>
        <w:rPr>
          <w:spacing w:val="32"/>
        </w:rPr>
        <w:t> </w:t>
      </w:r>
      <w:r>
        <w:rPr/>
        <w:t>The</w:t>
      </w:r>
      <w:r>
        <w:rPr>
          <w:spacing w:val="-13"/>
        </w:rPr>
        <w:t> </w:t>
      </w:r>
      <w:r>
        <w:rPr/>
        <w:t>resisting</w:t>
      </w:r>
      <w:r>
        <w:rPr>
          <w:spacing w:val="-13"/>
        </w:rPr>
        <w:t> </w:t>
      </w:r>
      <w:r>
        <w:rPr/>
        <w:t>force</w:t>
      </w:r>
      <w:r>
        <w:rPr>
          <w:spacing w:val="-12"/>
        </w:rPr>
        <w:t> </w:t>
      </w:r>
      <w:r>
        <w:rPr/>
        <w:t>is</w:t>
      </w:r>
      <w:r>
        <w:rPr>
          <w:spacing w:val="-13"/>
        </w:rPr>
        <w:t> </w:t>
      </w:r>
      <w:r>
        <w:rPr/>
        <w:t>included</w:t>
      </w:r>
      <w:r>
        <w:rPr>
          <w:spacing w:val="-13"/>
        </w:rPr>
        <w:t> </w:t>
      </w:r>
      <w:r>
        <w:rPr/>
        <w:t>as</w:t>
      </w:r>
      <w:r>
        <w:rPr>
          <w:spacing w:val="-13"/>
        </w:rPr>
        <w:t> </w:t>
      </w:r>
      <w:r>
        <w:rPr/>
        <w:t>a</w:t>
      </w:r>
      <w:r>
        <w:rPr>
          <w:spacing w:val="-13"/>
        </w:rPr>
        <w:t> </w:t>
      </w:r>
      <w:r>
        <w:rPr/>
        <w:t>general</w:t>
      </w:r>
      <w:r>
        <w:rPr>
          <w:spacing w:val="-58"/>
        </w:rPr>
        <w:t> </w:t>
      </w:r>
      <w:r>
        <w:rPr>
          <w:position w:val="1"/>
        </w:rPr>
        <w:t>quadratic</w:t>
      </w:r>
      <w:r>
        <w:rPr>
          <w:spacing w:val="-1"/>
          <w:position w:val="1"/>
        </w:rPr>
        <w:t> </w:t>
      </w:r>
      <w:r>
        <w:rPr>
          <w:position w:val="1"/>
        </w:rPr>
        <w:t>form</w:t>
      </w:r>
      <w:r>
        <w:rPr>
          <w:spacing w:val="-3"/>
          <w:position w:val="1"/>
        </w:rPr>
        <w:t> </w:t>
      </w:r>
      <w:r>
        <w:rPr>
          <w:position w:val="1"/>
        </w:rPr>
        <w:t>and</w:t>
      </w:r>
      <w:r>
        <w:rPr>
          <w:spacing w:val="-1"/>
          <w:position w:val="1"/>
        </w:rPr>
        <w:t> </w:t>
      </w:r>
      <w:r>
        <w:rPr>
          <w:position w:val="1"/>
        </w:rPr>
        <w:t>the</w:t>
      </w:r>
      <w:r>
        <w:rPr>
          <w:spacing w:val="-1"/>
          <w:position w:val="1"/>
        </w:rPr>
        <w:t> </w:t>
      </w:r>
      <w:r>
        <w:rPr>
          <w:position w:val="1"/>
        </w:rPr>
        <w:t>residual</w:t>
      </w:r>
      <w:r>
        <w:rPr>
          <w:spacing w:val="-1"/>
          <w:position w:val="1"/>
        </w:rPr>
        <w:t> </w:t>
      </w:r>
      <w:r>
        <w:rPr>
          <w:position w:val="1"/>
        </w:rPr>
        <w:t>velocity</w:t>
      </w:r>
      <w:r>
        <w:rPr>
          <w:spacing w:val="-3"/>
          <w:position w:val="1"/>
        </w:rPr>
        <w:t> </w:t>
      </w:r>
      <w:r>
        <w:rPr>
          <w:position w:val="1"/>
        </w:rPr>
        <w:t>(v</w:t>
      </w:r>
      <w:r>
        <w:rPr>
          <w:sz w:val="16"/>
        </w:rPr>
        <w:t>r</w:t>
      </w:r>
      <w:r>
        <w:rPr>
          <w:position w:val="1"/>
        </w:rPr>
        <w:t>)</w:t>
      </w:r>
      <w:r>
        <w:rPr>
          <w:spacing w:val="-1"/>
          <w:position w:val="1"/>
        </w:rPr>
        <w:t> </w:t>
      </w:r>
      <w:r>
        <w:rPr>
          <w:position w:val="1"/>
        </w:rPr>
        <w:t>can</w:t>
      </w:r>
      <w:r>
        <w:rPr>
          <w:spacing w:val="-3"/>
          <w:position w:val="1"/>
        </w:rPr>
        <w:t> </w:t>
      </w:r>
      <w:r>
        <w:rPr>
          <w:position w:val="1"/>
        </w:rPr>
        <w:t>be</w:t>
      </w:r>
      <w:r>
        <w:rPr>
          <w:spacing w:val="-1"/>
          <w:position w:val="1"/>
        </w:rPr>
        <w:t> </w:t>
      </w:r>
      <w:r>
        <w:rPr>
          <w:position w:val="1"/>
        </w:rPr>
        <w:t>calculated as</w:t>
      </w:r>
      <w:r>
        <w:rPr>
          <w:spacing w:val="-1"/>
          <w:position w:val="1"/>
        </w:rPr>
        <w:t> </w:t>
      </w:r>
      <w:r>
        <w:rPr>
          <w:position w:val="1"/>
        </w:rPr>
        <w:t>shown</w:t>
      </w:r>
      <w:r>
        <w:rPr>
          <w:spacing w:val="-1"/>
          <w:position w:val="1"/>
        </w:rPr>
        <w:t> </w:t>
      </w:r>
      <w:r>
        <w:rPr>
          <w:position w:val="1"/>
        </w:rPr>
        <w:t>in</w:t>
      </w:r>
      <w:r>
        <w:rPr>
          <w:spacing w:val="-1"/>
          <w:position w:val="1"/>
        </w:rPr>
        <w:t> </w:t>
      </w:r>
      <w:r>
        <w:rPr>
          <w:position w:val="1"/>
        </w:rPr>
        <w:t>Equation</w:t>
      </w:r>
      <w:r>
        <w:rPr>
          <w:spacing w:val="-1"/>
          <w:position w:val="1"/>
        </w:rPr>
        <w:t> </w:t>
      </w:r>
      <w:r>
        <w:rPr>
          <w:position w:val="1"/>
        </w:rPr>
        <w:t>5.8.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5"/>
        </w:rPr>
      </w:pPr>
    </w:p>
    <w:tbl>
      <w:tblPr>
        <w:tblW w:w="0" w:type="auto"/>
        <w:jc w:val="left"/>
        <w:tblInd w:w="12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827"/>
        <w:gridCol w:w="889"/>
        <w:gridCol w:w="3238"/>
      </w:tblGrid>
      <w:tr>
        <w:trPr>
          <w:trHeight w:val="400" w:hRule="atLeast"/>
        </w:trPr>
        <w:tc>
          <w:tcPr>
            <w:tcW w:w="3827" w:type="dxa"/>
          </w:tcPr>
          <w:p>
            <w:pPr>
              <w:pStyle w:val="TableParagraph"/>
              <w:spacing w:line="311" w:lineRule="exact"/>
              <w:ind w:left="200"/>
              <w:rPr>
                <w:rFonts w:ascii="Cambria Math" w:hAnsi="Cambria Math" w:eastAsia="Cambria Math"/>
                <w:sz w:val="24"/>
              </w:rPr>
            </w:pPr>
            <w:r>
              <w:rPr>
                <w:rFonts w:ascii="Cambria Math" w:hAnsi="Cambria Math" w:eastAsia="Cambria Math"/>
                <w:sz w:val="24"/>
              </w:rPr>
              <w:t>𝑣</w:t>
            </w:r>
            <w:r>
              <w:rPr>
                <w:rFonts w:ascii="Cambria Math" w:hAnsi="Cambria Math" w:eastAsia="Cambria Math"/>
                <w:position w:val="-4"/>
                <w:sz w:val="17"/>
              </w:rPr>
              <w:t>𝑟</w:t>
            </w:r>
            <w:r>
              <w:rPr>
                <w:rFonts w:ascii="Cambria Math" w:hAnsi="Cambria Math" w:eastAsia="Cambria Math"/>
                <w:spacing w:val="8"/>
                <w:position w:val="-4"/>
                <w:sz w:val="17"/>
              </w:rPr>
              <w:t> </w:t>
            </w:r>
            <w:r>
              <w:rPr>
                <w:rFonts w:ascii="Cambria Math" w:hAnsi="Cambria Math" w:eastAsia="Cambria Math"/>
                <w:sz w:val="24"/>
              </w:rPr>
              <w:t>=</w:t>
            </w:r>
            <w:r>
              <w:rPr>
                <w:rFonts w:ascii="Cambria Math" w:hAnsi="Cambria Math" w:eastAsia="Cambria Math"/>
                <w:spacing w:val="14"/>
                <w:sz w:val="24"/>
              </w:rPr>
              <w:t> </w:t>
            </w:r>
            <w:r>
              <w:rPr>
                <w:rFonts w:ascii="Cambria Math" w:hAnsi="Cambria Math" w:eastAsia="Cambria Math"/>
                <w:sz w:val="24"/>
              </w:rPr>
              <w:t>𝑣</w:t>
            </w:r>
            <w:r>
              <w:rPr>
                <w:rFonts w:ascii="Cambria Math" w:hAnsi="Cambria Math" w:eastAsia="Cambria Math"/>
                <w:position w:val="-4"/>
                <w:sz w:val="17"/>
              </w:rPr>
              <w:t>𝑠</w:t>
            </w:r>
            <w:r>
              <w:rPr>
                <w:rFonts w:ascii="Cambria Math" w:hAnsi="Cambria Math" w:eastAsia="Cambria Math"/>
                <w:spacing w:val="30"/>
                <w:position w:val="-4"/>
                <w:sz w:val="17"/>
              </w:rPr>
              <w:t> </w:t>
            </w:r>
            <w:r>
              <w:rPr>
                <w:rFonts w:ascii="Cambria Math" w:hAnsi="Cambria Math" w:eastAsia="Cambria Math"/>
                <w:sz w:val="24"/>
              </w:rPr>
              <w:t>−</w:t>
            </w:r>
            <w:r>
              <w:rPr>
                <w:rFonts w:ascii="Cambria Math" w:hAnsi="Cambria Math" w:eastAsia="Cambria Math"/>
                <w:spacing w:val="1"/>
                <w:sz w:val="24"/>
              </w:rPr>
              <w:t> </w:t>
            </w:r>
            <w:r>
              <w:rPr>
                <w:rFonts w:ascii="Cambria Math" w:hAnsi="Cambria Math" w:eastAsia="Cambria Math"/>
                <w:sz w:val="24"/>
              </w:rPr>
              <w:t>𝑎𝑥</w:t>
            </w:r>
            <w:r>
              <w:rPr>
                <w:rFonts w:ascii="Cambria Math" w:hAnsi="Cambria Math" w:eastAsia="Cambria Math"/>
                <w:sz w:val="24"/>
                <w:vertAlign w:val="superscript"/>
              </w:rPr>
              <w:t>2</w:t>
            </w:r>
            <w:r>
              <w:rPr>
                <w:rFonts w:ascii="Cambria Math" w:hAnsi="Cambria Math" w:eastAsia="Cambria Math"/>
                <w:spacing w:val="11"/>
                <w:sz w:val="24"/>
                <w:vertAlign w:val="baseline"/>
              </w:rPr>
              <w:t> </w:t>
            </w:r>
            <w:r>
              <w:rPr>
                <w:rFonts w:ascii="Cambria Math" w:hAnsi="Cambria Math" w:eastAsia="Cambria Math"/>
                <w:sz w:val="24"/>
                <w:vertAlign w:val="baseline"/>
              </w:rPr>
              <w:t>−</w:t>
            </w:r>
            <w:r>
              <w:rPr>
                <w:rFonts w:ascii="Cambria Math" w:hAnsi="Cambria Math" w:eastAsia="Cambria Math"/>
                <w:spacing w:val="1"/>
                <w:sz w:val="24"/>
                <w:vertAlign w:val="baseline"/>
              </w:rPr>
              <w:t> </w:t>
            </w:r>
            <w:r>
              <w:rPr>
                <w:rFonts w:ascii="Cambria Math" w:hAnsi="Cambria Math" w:eastAsia="Cambria Math"/>
                <w:sz w:val="24"/>
                <w:vertAlign w:val="baseline"/>
              </w:rPr>
              <w:t>𝑏𝑥</w:t>
            </w:r>
            <w:r>
              <w:rPr>
                <w:rFonts w:ascii="Cambria Math" w:hAnsi="Cambria Math" w:eastAsia="Cambria Math"/>
                <w:spacing w:val="9"/>
                <w:sz w:val="24"/>
                <w:vertAlign w:val="baseline"/>
              </w:rPr>
              <w:t> </w:t>
            </w:r>
            <w:r>
              <w:rPr>
                <w:rFonts w:ascii="Cambria Math" w:hAnsi="Cambria Math" w:eastAsia="Cambria Math"/>
                <w:sz w:val="24"/>
                <w:vertAlign w:val="baseline"/>
              </w:rPr>
              <w:t>− 𝑐</w:t>
            </w:r>
          </w:p>
        </w:tc>
        <w:tc>
          <w:tcPr>
            <w:tcW w:w="889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238" w:type="dxa"/>
          </w:tcPr>
          <w:p>
            <w:pPr>
              <w:pStyle w:val="TableParagraph"/>
              <w:spacing w:line="266" w:lineRule="exact"/>
              <w:ind w:right="198"/>
              <w:jc w:val="right"/>
              <w:rPr>
                <w:sz w:val="24"/>
              </w:rPr>
            </w:pPr>
            <w:r>
              <w:rPr>
                <w:sz w:val="24"/>
              </w:rPr>
              <w:t>(5.8)</w:t>
            </w:r>
          </w:p>
        </w:tc>
      </w:tr>
      <w:tr>
        <w:trPr>
          <w:trHeight w:val="395" w:hRule="atLeast"/>
        </w:trPr>
        <w:tc>
          <w:tcPr>
            <w:tcW w:w="3827" w:type="dxa"/>
          </w:tcPr>
          <w:p>
            <w:pPr>
              <w:pStyle w:val="TableParagraph"/>
              <w:spacing w:line="262" w:lineRule="exact" w:before="113"/>
              <w:ind w:right="387"/>
              <w:jc w:val="right"/>
              <w:rPr>
                <w:sz w:val="24"/>
              </w:rPr>
            </w:pPr>
            <w:r>
              <w:rPr>
                <w:sz w:val="24"/>
              </w:rPr>
              <w:t>where</w:t>
            </w:r>
          </w:p>
        </w:tc>
        <w:tc>
          <w:tcPr>
            <w:tcW w:w="889" w:type="dxa"/>
          </w:tcPr>
          <w:p>
            <w:pPr>
              <w:pStyle w:val="TableParagraph"/>
              <w:spacing w:line="261" w:lineRule="exact" w:before="114"/>
              <w:ind w:right="106"/>
              <w:jc w:val="right"/>
              <w:rPr>
                <w:i/>
                <w:sz w:val="24"/>
              </w:rPr>
            </w:pPr>
            <w:r>
              <w:rPr>
                <w:i/>
                <w:position w:val="1"/>
                <w:sz w:val="24"/>
              </w:rPr>
              <w:t>v</w:t>
            </w:r>
            <w:r>
              <w:rPr>
                <w:i/>
                <w:sz w:val="16"/>
              </w:rPr>
              <w:t>r</w:t>
            </w:r>
            <w:r>
              <w:rPr>
                <w:i/>
                <w:spacing w:val="19"/>
                <w:sz w:val="16"/>
              </w:rPr>
              <w:t> </w:t>
            </w:r>
            <w:r>
              <w:rPr>
                <w:i/>
                <w:position w:val="1"/>
                <w:sz w:val="24"/>
              </w:rPr>
              <w:t>=</w:t>
            </w:r>
          </w:p>
        </w:tc>
        <w:tc>
          <w:tcPr>
            <w:tcW w:w="3238" w:type="dxa"/>
          </w:tcPr>
          <w:p>
            <w:pPr>
              <w:pStyle w:val="TableParagraph"/>
              <w:spacing w:line="262" w:lineRule="exact" w:before="113"/>
              <w:ind w:left="107"/>
              <w:rPr>
                <w:sz w:val="24"/>
              </w:rPr>
            </w:pPr>
            <w:r>
              <w:rPr>
                <w:sz w:val="24"/>
              </w:rPr>
              <w:t>residual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velocity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(fps)</w:t>
            </w:r>
          </w:p>
        </w:tc>
      </w:tr>
      <w:tr>
        <w:trPr>
          <w:trHeight w:val="275" w:hRule="atLeast"/>
        </w:trPr>
        <w:tc>
          <w:tcPr>
            <w:tcW w:w="382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889" w:type="dxa"/>
          </w:tcPr>
          <w:p>
            <w:pPr>
              <w:pStyle w:val="TableParagraph"/>
              <w:spacing w:line="256" w:lineRule="exact"/>
              <w:ind w:right="106"/>
              <w:jc w:val="right"/>
              <w:rPr>
                <w:i/>
                <w:sz w:val="24"/>
              </w:rPr>
            </w:pPr>
            <w:r>
              <w:rPr>
                <w:i/>
                <w:position w:val="1"/>
                <w:sz w:val="24"/>
              </w:rPr>
              <w:t>v</w:t>
            </w:r>
            <w:r>
              <w:rPr>
                <w:i/>
                <w:sz w:val="16"/>
              </w:rPr>
              <w:t>s</w:t>
            </w:r>
            <w:r>
              <w:rPr>
                <w:i/>
                <w:spacing w:val="-2"/>
                <w:sz w:val="16"/>
              </w:rPr>
              <w:t> </w:t>
            </w:r>
            <w:r>
              <w:rPr>
                <w:i/>
                <w:position w:val="1"/>
                <w:sz w:val="24"/>
              </w:rPr>
              <w:t>=</w:t>
            </w:r>
          </w:p>
        </w:tc>
        <w:tc>
          <w:tcPr>
            <w:tcW w:w="3238" w:type="dxa"/>
          </w:tcPr>
          <w:p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striking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velocity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(fps)</w:t>
            </w:r>
          </w:p>
        </w:tc>
      </w:tr>
      <w:tr>
        <w:trPr>
          <w:trHeight w:val="276" w:hRule="atLeast"/>
        </w:trPr>
        <w:tc>
          <w:tcPr>
            <w:tcW w:w="382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889" w:type="dxa"/>
          </w:tcPr>
          <w:p>
            <w:pPr>
              <w:pStyle w:val="TableParagraph"/>
              <w:spacing w:line="256" w:lineRule="exact"/>
              <w:ind w:right="106"/>
              <w:jc w:val="right"/>
              <w:rPr>
                <w:i/>
                <w:sz w:val="24"/>
              </w:rPr>
            </w:pPr>
            <w:r>
              <w:rPr>
                <w:i/>
                <w:sz w:val="24"/>
              </w:rPr>
              <w:t>x =</w:t>
            </w:r>
          </w:p>
        </w:tc>
        <w:tc>
          <w:tcPr>
            <w:tcW w:w="3238" w:type="dxa"/>
          </w:tcPr>
          <w:p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distance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traveled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target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(in)</w:t>
            </w:r>
          </w:p>
        </w:tc>
      </w:tr>
      <w:tr>
        <w:trPr>
          <w:trHeight w:val="271" w:hRule="atLeast"/>
        </w:trPr>
        <w:tc>
          <w:tcPr>
            <w:tcW w:w="382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889" w:type="dxa"/>
          </w:tcPr>
          <w:p>
            <w:pPr>
              <w:pStyle w:val="TableParagraph"/>
              <w:spacing w:line="251" w:lineRule="exact"/>
              <w:ind w:right="106"/>
              <w:jc w:val="right"/>
              <w:rPr>
                <w:i/>
                <w:sz w:val="24"/>
              </w:rPr>
            </w:pPr>
            <w:r>
              <w:rPr>
                <w:i/>
                <w:sz w:val="24"/>
              </w:rPr>
              <w:t>a,b,c =</w:t>
            </w:r>
          </w:p>
        </w:tc>
        <w:tc>
          <w:tcPr>
            <w:tcW w:w="3238" w:type="dxa"/>
          </w:tcPr>
          <w:p>
            <w:pPr>
              <w:pStyle w:val="TableParagraph"/>
              <w:spacing w:line="251" w:lineRule="exact"/>
              <w:ind w:left="107"/>
              <w:rPr>
                <w:sz w:val="24"/>
              </w:rPr>
            </w:pPr>
            <w:r>
              <w:rPr>
                <w:sz w:val="24"/>
              </w:rPr>
              <w:t>model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constants</w:t>
            </w:r>
          </w:p>
        </w:tc>
      </w:tr>
    </w:tbl>
    <w:p>
      <w:pPr>
        <w:spacing w:after="0" w:line="251" w:lineRule="exact"/>
        <w:rPr>
          <w:sz w:val="24"/>
        </w:rPr>
        <w:sectPr>
          <w:type w:val="continuous"/>
          <w:pgSz w:w="12240" w:h="15840"/>
          <w:pgMar w:top="1380" w:bottom="280" w:left="1720" w:right="1020"/>
        </w:sectPr>
      </w:pPr>
    </w:p>
    <w:p>
      <w:pPr>
        <w:pStyle w:val="BodyText"/>
        <w:spacing w:line="480" w:lineRule="auto" w:before="78"/>
        <w:ind w:left="440" w:right="403"/>
      </w:pPr>
      <w:r>
        <w:rPr/>
        <w:pict>
          <v:shape style="position:absolute;margin-left:178.919998pt;margin-top:82.093147pt;width:357.35pt;height:82.5pt;mso-position-horizontal-relative:page;mso-position-vertical-relative:paragraph;z-index:1582028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79"/>
                    <w:gridCol w:w="1686"/>
                    <w:gridCol w:w="1509"/>
                    <w:gridCol w:w="1142"/>
                    <w:gridCol w:w="2629"/>
                  </w:tblGrid>
                  <w:tr>
                    <w:trPr>
                      <w:trHeight w:val="536" w:hRule="atLeast"/>
                    </w:trPr>
                    <w:tc>
                      <w:tcPr>
                        <w:tcW w:w="179" w:type="dxa"/>
                        <w:tcBorders>
                          <w:bottom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line="267" w:lineRule="exact"/>
                          <w:rPr>
                            <w:rFonts w:ascii="Cambria Math" w:hAnsi="Cambria Math" w:cs="Cambria Math" w:eastAsia="Cambria Math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ambria Math" w:hAnsi="Cambria Math" w:cs="Cambria Math" w:eastAsia="Cambria Math"/>
                            <w:w w:val="74"/>
                            <w:sz w:val="24"/>
                            <w:szCs w:val="24"/>
                          </w:rPr>
                          <w:t>�</w:t>
                        </w:r>
                      </w:p>
                    </w:tc>
                    <w:tc>
                      <w:tcPr>
                        <w:tcW w:w="1686" w:type="dxa"/>
                        <w:tcBorders>
                          <w:top w:val="single" w:sz="8" w:space="0" w:color="000000"/>
                          <w:bottom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line="282" w:lineRule="exact"/>
                          <w:ind w:left="-1"/>
                          <w:rPr>
                            <w:rFonts w:ascii="Cambria Math" w:hAnsi="Cambria Math" w:eastAsia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 w:eastAsia="Cambria Math"/>
                            <w:sz w:val="24"/>
                          </w:rPr>
                          <w:t>𝑏</w:t>
                        </w:r>
                        <w:r>
                          <w:rPr>
                            <w:rFonts w:ascii="Cambria Math" w:hAnsi="Cambria Math" w:eastAsia="Cambria Math"/>
                            <w:sz w:val="24"/>
                            <w:vertAlign w:val="superscript"/>
                          </w:rPr>
                          <w:t>2</w:t>
                        </w:r>
                        <w:r>
                          <w:rPr>
                            <w:rFonts w:ascii="Cambria Math" w:hAnsi="Cambria Math" w:eastAsia="Cambria Math"/>
                            <w:spacing w:val="14"/>
                            <w:sz w:val="24"/>
                            <w:vertAlign w:val="baseline"/>
                          </w:rPr>
                          <w:t> </w:t>
                        </w:r>
                        <w:r>
                          <w:rPr>
                            <w:rFonts w:ascii="Cambria Math" w:hAnsi="Cambria Math" w:eastAsia="Cambria Math"/>
                            <w:sz w:val="24"/>
                            <w:vertAlign w:val="baseline"/>
                          </w:rPr>
                          <w:t>+</w:t>
                        </w:r>
                        <w:r>
                          <w:rPr>
                            <w:rFonts w:ascii="Cambria Math" w:hAnsi="Cambria Math" w:eastAsia="Cambria Math"/>
                            <w:spacing w:val="3"/>
                            <w:sz w:val="24"/>
                            <w:vertAlign w:val="baseline"/>
                          </w:rPr>
                          <w:t> </w:t>
                        </w:r>
                        <w:r>
                          <w:rPr>
                            <w:rFonts w:ascii="Cambria Math" w:hAnsi="Cambria Math" w:eastAsia="Cambria Math"/>
                            <w:sz w:val="24"/>
                            <w:vertAlign w:val="baseline"/>
                          </w:rPr>
                          <w:t>4𝑣</w:t>
                        </w:r>
                        <w:r>
                          <w:rPr>
                            <w:rFonts w:ascii="Cambria Math" w:hAnsi="Cambria Math" w:eastAsia="Cambria Math"/>
                            <w:position w:val="-4"/>
                            <w:sz w:val="17"/>
                            <w:vertAlign w:val="baseline"/>
                          </w:rPr>
                          <w:t>𝑠</w:t>
                        </w:r>
                        <w:r>
                          <w:rPr>
                            <w:rFonts w:ascii="Cambria Math" w:hAnsi="Cambria Math" w:eastAsia="Cambria Math"/>
                            <w:sz w:val="24"/>
                            <w:vertAlign w:val="baseline"/>
                          </w:rPr>
                          <w:t>𝑎</w:t>
                        </w:r>
                        <w:r>
                          <w:rPr>
                            <w:rFonts w:ascii="Cambria Math" w:hAnsi="Cambria Math" w:eastAsia="Cambria Math"/>
                            <w:spacing w:val="11"/>
                            <w:sz w:val="24"/>
                            <w:vertAlign w:val="baseline"/>
                          </w:rPr>
                          <w:t> </w:t>
                        </w:r>
                        <w:r>
                          <w:rPr>
                            <w:rFonts w:ascii="Cambria Math" w:hAnsi="Cambria Math" w:eastAsia="Cambria Math"/>
                            <w:sz w:val="24"/>
                            <w:vertAlign w:val="baseline"/>
                          </w:rPr>
                          <w:t>−</w:t>
                        </w:r>
                        <w:r>
                          <w:rPr>
                            <w:rFonts w:ascii="Cambria Math" w:hAnsi="Cambria Math" w:eastAsia="Cambria Math"/>
                            <w:spacing w:val="4"/>
                            <w:sz w:val="24"/>
                            <w:vertAlign w:val="baseline"/>
                          </w:rPr>
                          <w:t> </w:t>
                        </w:r>
                        <w:r>
                          <w:rPr>
                            <w:rFonts w:ascii="Cambria Math" w:hAnsi="Cambria Math" w:eastAsia="Cambria Math"/>
                            <w:sz w:val="24"/>
                            <w:vertAlign w:val="baseline"/>
                          </w:rPr>
                          <w:t>4𝑎𝑐</w:t>
                        </w:r>
                      </w:p>
                      <w:p>
                        <w:pPr>
                          <w:pStyle w:val="TableParagraph"/>
                          <w:spacing w:line="219" w:lineRule="exact"/>
                          <w:ind w:right="178"/>
                          <w:jc w:val="center"/>
                          <w:rPr>
                            <w:rFonts w:ascii="Cambria Math"/>
                            <w:sz w:val="24"/>
                          </w:rPr>
                        </w:pPr>
                        <w:r>
                          <w:rPr>
                            <w:rFonts w:ascii="Cambria Math"/>
                            <w:sz w:val="24"/>
                          </w:rPr>
                          <w:t>2</w:t>
                        </w:r>
                      </w:p>
                    </w:tc>
                    <w:tc>
                      <w:tcPr>
                        <w:tcW w:w="1509" w:type="dxa"/>
                        <w:tcBorders>
                          <w:bottom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line="139" w:lineRule="auto" w:before="40"/>
                          <w:ind w:left="53"/>
                          <w:rPr>
                            <w:rFonts w:ascii="Cambria Math" w:hAnsi="Cambria Math" w:eastAsia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 w:eastAsia="Cambria Math"/>
                            <w:position w:val="-13"/>
                            <w:sz w:val="24"/>
                          </w:rPr>
                          <w:t>−</w:t>
                        </w:r>
                        <w:r>
                          <w:rPr>
                            <w:rFonts w:ascii="Cambria Math" w:hAnsi="Cambria Math" w:eastAsia="Cambria Math"/>
                            <w:spacing w:val="-1"/>
                            <w:position w:val="-13"/>
                            <w:sz w:val="24"/>
                          </w:rPr>
                          <w:t> </w:t>
                        </w:r>
                        <w:r>
                          <w:rPr>
                            <w:rFonts w:ascii="Cambria Math" w:hAnsi="Cambria Math" w:eastAsia="Cambria Math"/>
                            <w:sz w:val="24"/>
                            <w:u w:val="single"/>
                          </w:rPr>
                          <w:t>𝑏</w:t>
                        </w:r>
                      </w:p>
                      <w:p>
                        <w:pPr>
                          <w:pStyle w:val="TableParagraph"/>
                          <w:spacing w:line="155" w:lineRule="exact"/>
                          <w:ind w:left="285"/>
                          <w:rPr>
                            <w:rFonts w:ascii="Cambria Math"/>
                            <w:sz w:val="24"/>
                          </w:rPr>
                        </w:pPr>
                        <w:r>
                          <w:rPr>
                            <w:rFonts w:ascii="Cambria Math"/>
                            <w:sz w:val="24"/>
                          </w:rPr>
                          <w:t>2</w:t>
                        </w:r>
                      </w:p>
                    </w:tc>
                    <w:tc>
                      <w:tcPr>
                        <w:tcW w:w="114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2629" w:type="dxa"/>
                      </w:tcPr>
                      <w:p>
                        <w:pPr>
                          <w:pStyle w:val="TableParagraph"/>
                          <w:spacing w:line="206" w:lineRule="exact"/>
                          <w:ind w:right="38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(5.9)</w:t>
                        </w:r>
                      </w:p>
                    </w:tc>
                  </w:tr>
                  <w:tr>
                    <w:trPr>
                      <w:trHeight w:val="1082" w:hRule="atLeast"/>
                    </w:trPr>
                    <w:tc>
                      <w:tcPr>
                        <w:tcW w:w="179" w:type="dxa"/>
                        <w:tcBorders>
                          <w:top w:val="single" w:sz="8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1686" w:type="dxa"/>
                        <w:tcBorders>
                          <w:top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line="272" w:lineRule="exact"/>
                          <w:ind w:left="873" w:right="638"/>
                          <w:jc w:val="center"/>
                          <w:rPr>
                            <w:rFonts w:ascii="Cambria Math" w:eastAsia="Cambria Math"/>
                            <w:sz w:val="24"/>
                          </w:rPr>
                        </w:pPr>
                        <w:r>
                          <w:rPr>
                            <w:rFonts w:ascii="Cambria Math" w:eastAsia="Cambria Math"/>
                            <w:sz w:val="24"/>
                          </w:rPr>
                          <w:t>𝑎</w:t>
                        </w:r>
                      </w:p>
                    </w:tc>
                    <w:tc>
                      <w:tcPr>
                        <w:tcW w:w="1509" w:type="dxa"/>
                        <w:tcBorders>
                          <w:top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219"/>
                          <w:ind w:left="697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where</w:t>
                        </w:r>
                      </w:p>
                    </w:tc>
                    <w:tc>
                      <w:tcPr>
                        <w:tcW w:w="1142" w:type="dxa"/>
                      </w:tcPr>
                      <w:p>
                        <w:pPr>
                          <w:pStyle w:val="TableParagraph"/>
                          <w:spacing w:before="204"/>
                          <w:ind w:left="706" w:right="105" w:hanging="42"/>
                          <w:jc w:val="right"/>
                          <w:rPr>
                            <w:i/>
                            <w:sz w:val="24"/>
                          </w:rPr>
                        </w:pPr>
                        <w:r>
                          <w:rPr>
                            <w:i/>
                            <w:spacing w:val="-3"/>
                            <w:position w:val="1"/>
                            <w:sz w:val="24"/>
                          </w:rPr>
                          <w:t>v</w:t>
                        </w:r>
                        <w:r>
                          <w:rPr>
                            <w:i/>
                            <w:spacing w:val="-3"/>
                            <w:sz w:val="16"/>
                          </w:rPr>
                          <w:t>s </w:t>
                        </w:r>
                        <w:r>
                          <w:rPr>
                            <w:i/>
                            <w:spacing w:val="-2"/>
                            <w:position w:val="1"/>
                            <w:sz w:val="24"/>
                          </w:rPr>
                          <w:t>=</w:t>
                        </w:r>
                        <w:r>
                          <w:rPr>
                            <w:i/>
                            <w:spacing w:val="-57"/>
                            <w:position w:val="1"/>
                            <w:sz w:val="24"/>
                          </w:rPr>
                          <w:t> </w:t>
                        </w:r>
                        <w:r>
                          <w:rPr>
                            <w:i/>
                            <w:spacing w:val="-3"/>
                            <w:sz w:val="24"/>
                          </w:rPr>
                          <w:t>x</w:t>
                        </w:r>
                        <w:r>
                          <w:rPr>
                            <w:i/>
                            <w:spacing w:val="-12"/>
                            <w:sz w:val="24"/>
                          </w:rPr>
                          <w:t> </w:t>
                        </w:r>
                        <w:r>
                          <w:rPr>
                            <w:i/>
                            <w:spacing w:val="-3"/>
                            <w:sz w:val="24"/>
                          </w:rPr>
                          <w:t>=</w:t>
                        </w:r>
                      </w:p>
                      <w:p>
                        <w:pPr>
                          <w:pStyle w:val="TableParagraph"/>
                          <w:ind w:right="105"/>
                          <w:jc w:val="right"/>
                          <w:rPr>
                            <w:i/>
                            <w:sz w:val="24"/>
                          </w:rPr>
                        </w:pPr>
                        <w:r>
                          <w:rPr>
                            <w:i/>
                            <w:sz w:val="24"/>
                          </w:rPr>
                          <w:t>a, b, c =</w:t>
                        </w:r>
                      </w:p>
                    </w:tc>
                    <w:tc>
                      <w:tcPr>
                        <w:tcW w:w="2629" w:type="dxa"/>
                      </w:tcPr>
                      <w:p>
                        <w:pPr>
                          <w:pStyle w:val="TableParagraph"/>
                          <w:spacing w:before="203"/>
                          <w:ind w:left="108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striking</w:t>
                        </w:r>
                        <w:r>
                          <w:rPr>
                            <w:spacing w:val="-3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velocity</w:t>
                        </w:r>
                      </w:p>
                      <w:p>
                        <w:pPr>
                          <w:pStyle w:val="TableParagraph"/>
                          <w:ind w:left="108" w:right="28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distance traveled in target</w:t>
                        </w:r>
                        <w:r>
                          <w:rPr>
                            <w:spacing w:val="-58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constants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/>
        <w:t>When</w:t>
      </w:r>
      <w:r>
        <w:rPr>
          <w:spacing w:val="32"/>
        </w:rPr>
        <w:t> </w:t>
      </w:r>
      <w:r>
        <w:rPr/>
        <w:t>the</w:t>
      </w:r>
      <w:r>
        <w:rPr>
          <w:spacing w:val="32"/>
        </w:rPr>
        <w:t> </w:t>
      </w:r>
      <w:r>
        <w:rPr/>
        <w:t>CLT</w:t>
      </w:r>
      <w:r>
        <w:rPr>
          <w:spacing w:val="32"/>
        </w:rPr>
        <w:t> </w:t>
      </w:r>
      <w:r>
        <w:rPr/>
        <w:t>specimen</w:t>
      </w:r>
      <w:r>
        <w:rPr>
          <w:spacing w:val="32"/>
        </w:rPr>
        <w:t> </w:t>
      </w:r>
      <w:r>
        <w:rPr/>
        <w:t>stopped</w:t>
      </w:r>
      <w:r>
        <w:rPr>
          <w:spacing w:val="32"/>
        </w:rPr>
        <w:t> </w:t>
      </w:r>
      <w:r>
        <w:rPr/>
        <w:t>the</w:t>
      </w:r>
      <w:r>
        <w:rPr>
          <w:spacing w:val="32"/>
        </w:rPr>
        <w:t> </w:t>
      </w:r>
      <w:r>
        <w:rPr/>
        <w:t>projectile</w:t>
      </w:r>
      <w:r>
        <w:rPr>
          <w:spacing w:val="31"/>
        </w:rPr>
        <w:t> </w:t>
      </w:r>
      <w:r>
        <w:rPr/>
        <w:t>and</w:t>
      </w:r>
      <w:r>
        <w:rPr>
          <w:spacing w:val="32"/>
        </w:rPr>
        <w:t> </w:t>
      </w:r>
      <w:r>
        <w:rPr/>
        <w:t>the</w:t>
      </w:r>
      <w:r>
        <w:rPr>
          <w:spacing w:val="32"/>
        </w:rPr>
        <w:t> </w:t>
      </w:r>
      <w:r>
        <w:rPr/>
        <w:t>residual</w:t>
      </w:r>
      <w:r>
        <w:rPr>
          <w:spacing w:val="33"/>
        </w:rPr>
        <w:t> </w:t>
      </w:r>
      <w:r>
        <w:rPr/>
        <w:t>velocity</w:t>
      </w:r>
      <w:r>
        <w:rPr>
          <w:spacing w:val="32"/>
        </w:rPr>
        <w:t> </w:t>
      </w:r>
      <w:r>
        <w:rPr/>
        <w:t>was</w:t>
      </w:r>
      <w:r>
        <w:rPr>
          <w:spacing w:val="32"/>
        </w:rPr>
        <w:t> </w:t>
      </w:r>
      <w:r>
        <w:rPr/>
        <w:t>zero</w:t>
      </w:r>
      <w:r>
        <w:rPr>
          <w:spacing w:val="31"/>
        </w:rPr>
        <w:t> </w:t>
      </w:r>
      <w:r>
        <w:rPr/>
        <w:t>the</w:t>
      </w:r>
      <w:r>
        <w:rPr>
          <w:spacing w:val="-57"/>
        </w:rPr>
        <w:t> </w:t>
      </w:r>
      <w:r>
        <w:rPr/>
        <w:t>equation</w:t>
      </w:r>
      <w:r>
        <w:rPr>
          <w:spacing w:val="-3"/>
        </w:rPr>
        <w:t> </w:t>
      </w:r>
      <w:r>
        <w:rPr/>
        <w:t>can</w:t>
      </w:r>
      <w:r>
        <w:rPr>
          <w:spacing w:val="-2"/>
        </w:rPr>
        <w:t> </w:t>
      </w:r>
      <w:r>
        <w:rPr/>
        <w:t>be</w:t>
      </w:r>
      <w:r>
        <w:rPr>
          <w:spacing w:val="-1"/>
        </w:rPr>
        <w:t> </w:t>
      </w:r>
      <w:r>
        <w:rPr/>
        <w:t>rewritten</w:t>
      </w:r>
      <w:r>
        <w:rPr>
          <w:spacing w:val="-2"/>
        </w:rPr>
        <w:t> </w:t>
      </w:r>
      <w:r>
        <w:rPr/>
        <w:t>and solved</w:t>
      </w:r>
      <w:r>
        <w:rPr>
          <w:spacing w:val="-3"/>
        </w:rPr>
        <w:t> </w:t>
      </w:r>
      <w:r>
        <w:rPr/>
        <w:t>for the distance,</w:t>
      </w:r>
      <w:r>
        <w:rPr>
          <w:spacing w:val="-1"/>
        </w:rPr>
        <w:t> </w:t>
      </w:r>
      <w:r>
        <w:rPr>
          <w:i/>
        </w:rPr>
        <w:t>x, </w:t>
      </w:r>
      <w:r>
        <w:rPr/>
        <w:t>as shown</w:t>
      </w:r>
      <w:r>
        <w:rPr>
          <w:spacing w:val="-1"/>
        </w:rPr>
        <w:t> </w:t>
      </w:r>
      <w:r>
        <w:rPr/>
        <w:t>in Equation 5.9.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3"/>
        </w:rPr>
      </w:pPr>
      <w:r>
        <w:rPr/>
        <w:pict>
          <v:rect style="position:absolute;margin-left:178.919998pt;margin-top:15.326641pt;width:93.24pt;height:.78pt;mso-position-horizontal-relative:page;mso-position-vertical-relative:paragraph;z-index:-1563904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BodyText"/>
        <w:spacing w:before="29"/>
        <w:ind w:left="1410"/>
        <w:rPr>
          <w:rFonts w:ascii="Cambria Math" w:eastAsia="Cambria Math"/>
        </w:rPr>
      </w:pPr>
      <w:r>
        <w:rPr>
          <w:rFonts w:ascii="Cambria Math" w:eastAsia="Cambria Math"/>
        </w:rPr>
        <w:t>𝑥</w:t>
      </w:r>
      <w:r>
        <w:rPr>
          <w:rFonts w:ascii="Cambria Math" w:eastAsia="Cambria Math"/>
          <w:spacing w:val="21"/>
        </w:rPr>
        <w:t> </w:t>
      </w:r>
      <w:r>
        <w:rPr>
          <w:rFonts w:ascii="Cambria Math" w:eastAsia="Cambria Math"/>
        </w:rPr>
        <w:t>=</w:t>
      </w:r>
    </w:p>
    <w:p>
      <w:pPr>
        <w:pStyle w:val="BodyText"/>
        <w:rPr>
          <w:rFonts w:ascii="Cambria Math"/>
        </w:rPr>
      </w:pPr>
    </w:p>
    <w:p>
      <w:pPr>
        <w:pStyle w:val="BodyText"/>
        <w:rPr>
          <w:rFonts w:ascii="Cambria Math"/>
        </w:rPr>
      </w:pPr>
    </w:p>
    <w:p>
      <w:pPr>
        <w:pStyle w:val="BodyText"/>
        <w:rPr>
          <w:rFonts w:ascii="Cambria Math"/>
        </w:rPr>
      </w:pPr>
    </w:p>
    <w:p>
      <w:pPr>
        <w:pStyle w:val="BodyText"/>
        <w:spacing w:before="4"/>
        <w:rPr>
          <w:rFonts w:ascii="Cambria Math"/>
          <w:sz w:val="28"/>
        </w:rPr>
      </w:pPr>
    </w:p>
    <w:p>
      <w:pPr>
        <w:pStyle w:val="BodyText"/>
        <w:ind w:left="440"/>
      </w:pPr>
      <w:r>
        <w:rPr/>
        <w:t>If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depth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penetration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considered</w:t>
      </w:r>
      <w:r>
        <w:rPr>
          <w:spacing w:val="-1"/>
        </w:rPr>
        <w:t> </w:t>
      </w:r>
      <w:r>
        <w:rPr>
          <w:i/>
        </w:rPr>
        <w:t>x </w:t>
      </w:r>
      <w:r>
        <w:rPr/>
        <w:t>is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distance</w:t>
      </w:r>
      <w:r>
        <w:rPr>
          <w:spacing w:val="-2"/>
        </w:rPr>
        <w:t> </w:t>
      </w:r>
      <w:r>
        <w:rPr/>
        <w:t>traveled in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target.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218"/>
        <w:ind w:left="439" w:right="416" w:firstLine="720"/>
        <w:jc w:val="both"/>
      </w:pPr>
      <w:r>
        <w:rPr/>
        <w:t>Equation</w:t>
      </w:r>
      <w:r>
        <w:rPr>
          <w:spacing w:val="1"/>
        </w:rPr>
        <w:t> </w:t>
      </w:r>
      <w:r>
        <w:rPr/>
        <w:t>5.9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calibrated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CLT</w:t>
      </w:r>
      <w:r>
        <w:rPr>
          <w:spacing w:val="1"/>
        </w:rPr>
        <w:t> </w:t>
      </w:r>
      <w:r>
        <w:rPr/>
        <w:t>ballistic</w:t>
      </w:r>
      <w:r>
        <w:rPr>
          <w:spacing w:val="1"/>
        </w:rPr>
        <w:t> </w:t>
      </w:r>
      <w:r>
        <w:rPr/>
        <w:t>data,</w:t>
      </w:r>
      <w:r>
        <w:rPr>
          <w:spacing w:val="1"/>
        </w:rPr>
        <w:t> </w:t>
      </w:r>
      <w:r>
        <w:rPr/>
        <w:t>creating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empirical,</w:t>
      </w:r>
      <w:r>
        <w:rPr>
          <w:spacing w:val="-58"/>
        </w:rPr>
        <w:t> </w:t>
      </w:r>
      <w:r>
        <w:rPr/>
        <w:t>physics-based</w:t>
      </w:r>
      <w:r>
        <w:rPr>
          <w:spacing w:val="-7"/>
        </w:rPr>
        <w:t> </w:t>
      </w:r>
      <w:r>
        <w:rPr/>
        <w:t>model.</w:t>
      </w:r>
      <w:r>
        <w:rPr>
          <w:spacing w:val="-7"/>
        </w:rPr>
        <w:t> </w:t>
      </w:r>
      <w:r>
        <w:rPr/>
        <w:t>Using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Levenberg-Marquardt</w:t>
      </w:r>
      <w:r>
        <w:rPr>
          <w:spacing w:val="-7"/>
        </w:rPr>
        <w:t> </w:t>
      </w:r>
      <w:r>
        <w:rPr/>
        <w:t>method,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parameters</w:t>
      </w:r>
      <w:r>
        <w:rPr>
          <w:spacing w:val="-7"/>
        </w:rPr>
        <w:t> </w:t>
      </w:r>
      <w:r>
        <w:rPr/>
        <w:t>were</w:t>
      </w:r>
      <w:r>
        <w:rPr>
          <w:spacing w:val="-7"/>
        </w:rPr>
        <w:t> </w:t>
      </w:r>
      <w:r>
        <w:rPr/>
        <w:t>found</w:t>
      </w:r>
      <w:r>
        <w:rPr>
          <w:spacing w:val="-58"/>
        </w:rPr>
        <w:t> </w:t>
      </w:r>
      <w:r>
        <w:rPr/>
        <w:t>for the force law model.</w:t>
      </w:r>
      <w:r>
        <w:rPr>
          <w:spacing w:val="1"/>
        </w:rPr>
        <w:t> </w:t>
      </w:r>
      <w:r>
        <w:rPr/>
        <w:t>This model considered no material factors for the target or the</w:t>
      </w:r>
      <w:r>
        <w:rPr>
          <w:spacing w:val="1"/>
        </w:rPr>
        <w:t> </w:t>
      </w:r>
      <w:r>
        <w:rPr/>
        <w:t>projectile other than striking velocity.</w:t>
      </w:r>
      <w:r>
        <w:rPr>
          <w:spacing w:val="1"/>
        </w:rPr>
        <w:t> </w:t>
      </w:r>
      <w:hyperlink w:history="true" w:anchor="_bookmark78">
        <w:r>
          <w:rPr/>
          <w:t>Figure 5-20 </w:t>
        </w:r>
      </w:hyperlink>
      <w:r>
        <w:rPr/>
        <w:t>shows the curve of the model fit to the</w:t>
      </w:r>
      <w:r>
        <w:rPr>
          <w:spacing w:val="-57"/>
        </w:rPr>
        <w:t> </w:t>
      </w:r>
      <w:r>
        <w:rPr/>
        <w:t>CLT</w:t>
      </w:r>
      <w:r>
        <w:rPr>
          <w:spacing w:val="-2"/>
        </w:rPr>
        <w:t> </w:t>
      </w:r>
      <w:r>
        <w:rPr/>
        <w:t>data.</w:t>
      </w:r>
    </w:p>
    <w:p>
      <w:pPr>
        <w:pStyle w:val="BodyText"/>
        <w:spacing w:before="1"/>
        <w:rPr>
          <w:sz w:val="10"/>
        </w:rPr>
      </w:pPr>
    </w:p>
    <w:p>
      <w:pPr>
        <w:spacing w:after="0"/>
        <w:rPr>
          <w:sz w:val="10"/>
        </w:rPr>
        <w:sectPr>
          <w:pgSz w:w="12240" w:h="15840"/>
          <w:pgMar w:header="0" w:footer="1064" w:top="1360" w:bottom="1260" w:left="1720" w:right="1020"/>
        </w:sectPr>
      </w:pPr>
    </w:p>
    <w:p>
      <w:pPr>
        <w:spacing w:line="290" w:lineRule="exact" w:before="97"/>
        <w:ind w:left="3666" w:right="0" w:firstLine="0"/>
        <w:jc w:val="left"/>
        <w:rPr>
          <w:sz w:val="22"/>
        </w:rPr>
      </w:pPr>
      <w:r>
        <w:rPr>
          <w:sz w:val="22"/>
        </w:rPr>
        <w:t>Striking</w:t>
      </w:r>
      <w:r>
        <w:rPr>
          <w:spacing w:val="1"/>
          <w:sz w:val="22"/>
        </w:rPr>
        <w:t> </w:t>
      </w:r>
      <w:r>
        <w:rPr>
          <w:sz w:val="22"/>
        </w:rPr>
        <w:t>Velocity</w:t>
      </w:r>
      <w:r>
        <w:rPr>
          <w:spacing w:val="9"/>
          <w:sz w:val="22"/>
        </w:rPr>
        <w:t> </w:t>
      </w:r>
      <w:r>
        <w:rPr>
          <w:sz w:val="22"/>
        </w:rPr>
        <w:t>(V</w:t>
      </w:r>
      <w:r>
        <w:rPr>
          <w:position w:val="-4"/>
          <w:sz w:val="17"/>
        </w:rPr>
        <w:t>s</w:t>
      </w:r>
      <w:r>
        <w:rPr>
          <w:sz w:val="22"/>
        </w:rPr>
        <w:t>)</w:t>
      </w:r>
      <w:r>
        <w:rPr>
          <w:spacing w:val="8"/>
          <w:sz w:val="22"/>
        </w:rPr>
        <w:t> </w:t>
      </w:r>
      <w:r>
        <w:rPr>
          <w:sz w:val="22"/>
        </w:rPr>
        <w:t>(m/s)</w:t>
      </w:r>
    </w:p>
    <w:p>
      <w:pPr>
        <w:spacing w:line="171" w:lineRule="exact" w:before="0"/>
        <w:ind w:left="1625" w:right="0" w:firstLine="0"/>
        <w:jc w:val="left"/>
        <w:rPr>
          <w:sz w:val="15"/>
        </w:rPr>
      </w:pPr>
      <w:r>
        <w:rPr>
          <w:w w:val="105"/>
          <w:sz w:val="15"/>
        </w:rPr>
        <w:t>180  </w:t>
      </w:r>
      <w:r>
        <w:rPr>
          <w:spacing w:val="1"/>
          <w:w w:val="105"/>
          <w:sz w:val="15"/>
        </w:rPr>
        <w:t> </w:t>
      </w:r>
      <w:r>
        <w:rPr>
          <w:w w:val="105"/>
          <w:sz w:val="15"/>
        </w:rPr>
        <w:t>240 </w:t>
      </w:r>
      <w:r>
        <w:rPr>
          <w:spacing w:val="38"/>
          <w:w w:val="105"/>
          <w:sz w:val="15"/>
        </w:rPr>
        <w:t> </w:t>
      </w:r>
      <w:r>
        <w:rPr>
          <w:w w:val="105"/>
          <w:sz w:val="15"/>
        </w:rPr>
        <w:t>300  </w:t>
      </w:r>
      <w:r>
        <w:rPr>
          <w:spacing w:val="1"/>
          <w:w w:val="105"/>
          <w:sz w:val="15"/>
        </w:rPr>
        <w:t> </w:t>
      </w:r>
      <w:r>
        <w:rPr>
          <w:w w:val="105"/>
          <w:sz w:val="15"/>
        </w:rPr>
        <w:t>360 </w:t>
      </w:r>
      <w:r>
        <w:rPr>
          <w:spacing w:val="38"/>
          <w:w w:val="105"/>
          <w:sz w:val="15"/>
        </w:rPr>
        <w:t> </w:t>
      </w:r>
      <w:r>
        <w:rPr>
          <w:w w:val="105"/>
          <w:sz w:val="15"/>
        </w:rPr>
        <w:t>420  </w:t>
      </w:r>
      <w:r>
        <w:rPr>
          <w:spacing w:val="2"/>
          <w:w w:val="105"/>
          <w:sz w:val="15"/>
        </w:rPr>
        <w:t> </w:t>
      </w:r>
      <w:r>
        <w:rPr>
          <w:w w:val="105"/>
          <w:sz w:val="15"/>
        </w:rPr>
        <w:t>480 </w:t>
      </w:r>
      <w:r>
        <w:rPr>
          <w:spacing w:val="38"/>
          <w:w w:val="105"/>
          <w:sz w:val="15"/>
        </w:rPr>
        <w:t> </w:t>
      </w:r>
      <w:r>
        <w:rPr>
          <w:w w:val="105"/>
          <w:sz w:val="15"/>
        </w:rPr>
        <w:t>540  </w:t>
      </w:r>
      <w:r>
        <w:rPr>
          <w:spacing w:val="1"/>
          <w:w w:val="105"/>
          <w:sz w:val="15"/>
        </w:rPr>
        <w:t> </w:t>
      </w:r>
      <w:r>
        <w:rPr>
          <w:w w:val="105"/>
          <w:sz w:val="15"/>
        </w:rPr>
        <w:t>600 </w:t>
      </w:r>
      <w:r>
        <w:rPr>
          <w:spacing w:val="38"/>
          <w:w w:val="105"/>
          <w:sz w:val="15"/>
        </w:rPr>
        <w:t> </w:t>
      </w:r>
      <w:r>
        <w:rPr>
          <w:w w:val="105"/>
          <w:sz w:val="15"/>
        </w:rPr>
        <w:t>660  </w:t>
      </w:r>
      <w:r>
        <w:rPr>
          <w:spacing w:val="2"/>
          <w:w w:val="105"/>
          <w:sz w:val="15"/>
        </w:rPr>
        <w:t> </w:t>
      </w:r>
      <w:r>
        <w:rPr>
          <w:w w:val="105"/>
          <w:sz w:val="15"/>
        </w:rPr>
        <w:t>720 </w:t>
      </w:r>
      <w:r>
        <w:rPr>
          <w:spacing w:val="38"/>
          <w:w w:val="105"/>
          <w:sz w:val="15"/>
        </w:rPr>
        <w:t> </w:t>
      </w:r>
      <w:r>
        <w:rPr>
          <w:w w:val="105"/>
          <w:sz w:val="15"/>
        </w:rPr>
        <w:t>780  </w:t>
      </w:r>
      <w:r>
        <w:rPr>
          <w:spacing w:val="1"/>
          <w:w w:val="105"/>
          <w:sz w:val="15"/>
        </w:rPr>
        <w:t> </w:t>
      </w:r>
      <w:r>
        <w:rPr>
          <w:w w:val="105"/>
          <w:sz w:val="15"/>
        </w:rPr>
        <w:t>840 </w:t>
      </w:r>
      <w:r>
        <w:rPr>
          <w:spacing w:val="38"/>
          <w:w w:val="105"/>
          <w:sz w:val="15"/>
        </w:rPr>
        <w:t> </w:t>
      </w:r>
      <w:r>
        <w:rPr>
          <w:w w:val="105"/>
          <w:sz w:val="15"/>
        </w:rPr>
        <w:t>900 </w:t>
      </w:r>
      <w:r>
        <w:rPr>
          <w:spacing w:val="38"/>
          <w:w w:val="105"/>
          <w:sz w:val="15"/>
        </w:rPr>
        <w:t> </w:t>
      </w:r>
      <w:r>
        <w:rPr>
          <w:w w:val="105"/>
          <w:sz w:val="15"/>
        </w:rPr>
        <w:t>960</w:t>
      </w:r>
      <w:r>
        <w:rPr>
          <w:spacing w:val="22"/>
          <w:w w:val="105"/>
          <w:sz w:val="15"/>
        </w:rPr>
        <w:t> </w:t>
      </w:r>
      <w:r>
        <w:rPr>
          <w:w w:val="105"/>
          <w:sz w:val="15"/>
        </w:rPr>
        <w:t>1020</w:t>
      </w:r>
      <w:r>
        <w:rPr>
          <w:spacing w:val="2"/>
          <w:w w:val="105"/>
          <w:sz w:val="15"/>
        </w:rPr>
        <w:t> </w:t>
      </w:r>
      <w:r>
        <w:rPr>
          <w:w w:val="105"/>
          <w:sz w:val="15"/>
        </w:rPr>
        <w:t>1080</w:t>
      </w:r>
      <w:r>
        <w:rPr>
          <w:spacing w:val="4"/>
          <w:w w:val="105"/>
          <w:sz w:val="15"/>
        </w:rPr>
        <w:t> </w:t>
      </w:r>
      <w:r>
        <w:rPr>
          <w:w w:val="105"/>
          <w:sz w:val="15"/>
        </w:rPr>
        <w:t>1140</w:t>
      </w:r>
      <w:r>
        <w:rPr>
          <w:spacing w:val="2"/>
          <w:w w:val="105"/>
          <w:sz w:val="15"/>
        </w:rPr>
        <w:t> </w:t>
      </w:r>
      <w:r>
        <w:rPr>
          <w:w w:val="105"/>
          <w:sz w:val="15"/>
        </w:rPr>
        <w:t>120</w:t>
      </w:r>
    </w:p>
    <w:p>
      <w:pPr>
        <w:spacing w:before="33"/>
        <w:ind w:left="1150" w:right="0" w:firstLine="0"/>
        <w:jc w:val="left"/>
        <w:rPr>
          <w:sz w:val="15"/>
        </w:rPr>
      </w:pPr>
      <w:r>
        <w:rPr/>
        <w:pict>
          <v:group style="position:absolute;margin-left:154.874634pt;margin-top:4.75953pt;width:326.95pt;height:178.1pt;mso-position-horizontal-relative:page;mso-position-vertical-relative:paragraph;z-index:15818752" coordorigin="3097,95" coordsize="6539,3562">
            <v:rect style="position:absolute;left:3108;top:105;width:6518;height:3541" filled="false" stroked="true" strokeweight="1.063201pt" strokecolor="#000000">
              <v:stroke dashstyle="solid"/>
            </v:rect>
            <v:line style="position:absolute" from="3470,3646" to="3470,3544" stroked="true" strokeweight=".885959pt" strokecolor="#000000">
              <v:stroke dashstyle="solid"/>
            </v:line>
            <v:line style="position:absolute" from="3831,3646" to="3831,3544" stroked="true" strokeweight=".885959pt" strokecolor="#000000">
              <v:stroke dashstyle="solid"/>
            </v:line>
            <v:line style="position:absolute" from="4193,3646" to="4193,3544" stroked="true" strokeweight=".885959pt" strokecolor="#000000">
              <v:stroke dashstyle="solid"/>
            </v:line>
            <v:line style="position:absolute" from="4554,3646" to="4554,3544" stroked="true" strokeweight=".885959pt" strokecolor="#000000">
              <v:stroke dashstyle="solid"/>
            </v:line>
            <v:line style="position:absolute" from="4915,3646" to="4915,3544" stroked="true" strokeweight=".885959pt" strokecolor="#000000">
              <v:stroke dashstyle="solid"/>
            </v:line>
            <v:line style="position:absolute" from="5280,3646" to="5280,3544" stroked="true" strokeweight=".885959pt" strokecolor="#000000">
              <v:stroke dashstyle="solid"/>
            </v:line>
            <v:line style="position:absolute" from="5642,3646" to="5642,3544" stroked="true" strokeweight=".885959pt" strokecolor="#000000">
              <v:stroke dashstyle="solid"/>
            </v:line>
            <v:line style="position:absolute" from="6003,3646" to="6003,3544" stroked="true" strokeweight=".885959pt" strokecolor="#000000">
              <v:stroke dashstyle="solid"/>
            </v:line>
            <v:line style="position:absolute" from="6365,3646" to="6365,3544" stroked="true" strokeweight=".885959pt" strokecolor="#000000">
              <v:stroke dashstyle="solid"/>
            </v:line>
            <v:line style="position:absolute" from="6726,3646" to="6726,3544" stroked="true" strokeweight=".885959pt" strokecolor="#000000">
              <v:stroke dashstyle="solid"/>
            </v:line>
            <v:line style="position:absolute" from="7088,3646" to="7088,3544" stroked="true" strokeweight=".885959pt" strokecolor="#000000">
              <v:stroke dashstyle="solid"/>
            </v:line>
            <v:line style="position:absolute" from="7453,3646" to="7453,3544" stroked="true" strokeweight=".885959pt" strokecolor="#000000">
              <v:stroke dashstyle="solid"/>
            </v:line>
            <v:line style="position:absolute" from="7814,3646" to="7814,3544" stroked="true" strokeweight=".885959pt" strokecolor="#000000">
              <v:stroke dashstyle="solid"/>
            </v:line>
            <v:line style="position:absolute" from="8176,3646" to="8176,3544" stroked="true" strokeweight=".885959pt" strokecolor="#000000">
              <v:stroke dashstyle="solid"/>
            </v:line>
            <v:line style="position:absolute" from="8537,3646" to="8537,3544" stroked="true" strokeweight=".885959pt" strokecolor="#000000">
              <v:stroke dashstyle="solid"/>
            </v:line>
            <v:line style="position:absolute" from="8899,3646" to="8899,3544" stroked="true" strokeweight=".885959pt" strokecolor="#000000">
              <v:stroke dashstyle="solid"/>
            </v:line>
            <v:line style="position:absolute" from="9260,3646" to="9260,3544" stroked="true" strokeweight=".885959pt" strokecolor="#000000">
              <v:stroke dashstyle="solid"/>
            </v:line>
            <v:line style="position:absolute" from="3452,106" to="3452,209" stroked="true" strokeweight=".885959pt" strokecolor="#000000">
              <v:stroke dashstyle="solid"/>
            </v:line>
            <v:line style="position:absolute" from="3810,106" to="3810,209" stroked="true" strokeweight=".885959pt" strokecolor="#000000">
              <v:stroke dashstyle="solid"/>
            </v:line>
            <v:line style="position:absolute" from="4164,106" to="4164,209" stroked="true" strokeweight=".885959pt" strokecolor="#000000">
              <v:stroke dashstyle="solid"/>
            </v:line>
            <v:line style="position:absolute" from="4522,106" to="4522,209" stroked="true" strokeweight=".885959pt" strokecolor="#000000">
              <v:stroke dashstyle="solid"/>
            </v:line>
            <v:line style="position:absolute" from="4877,106" to="4877,209" stroked="true" strokeweight=".885959pt" strokecolor="#000000">
              <v:stroke dashstyle="solid"/>
            </v:line>
            <v:line style="position:absolute" from="5234,106" to="5234,209" stroked="true" strokeweight=".885959pt" strokecolor="#000000">
              <v:stroke dashstyle="solid"/>
            </v:line>
            <v:line style="position:absolute" from="5589,106" to="5589,209" stroked="true" strokeweight=".885959pt" strokecolor="#000000">
              <v:stroke dashstyle="solid"/>
            </v:line>
            <v:line style="position:absolute" from="5947,106" to="5947,209" stroked="true" strokeweight=".885959pt" strokecolor="#000000">
              <v:stroke dashstyle="solid"/>
            </v:line>
            <v:line style="position:absolute" from="6301,106" to="6301,209" stroked="true" strokeweight=".885959pt" strokecolor="#000000">
              <v:stroke dashstyle="solid"/>
            </v:line>
            <v:line style="position:absolute" from="6659,106" to="6659,209" stroked="true" strokeweight=".885959pt" strokecolor="#000000">
              <v:stroke dashstyle="solid"/>
            </v:line>
            <v:line style="position:absolute" from="7013,106" to="7013,209" stroked="true" strokeweight=".885959pt" strokecolor="#000000">
              <v:stroke dashstyle="solid"/>
            </v:line>
            <v:line style="position:absolute" from="7371,106" to="7371,209" stroked="true" strokeweight=".885959pt" strokecolor="#000000">
              <v:stroke dashstyle="solid"/>
            </v:line>
            <v:line style="position:absolute" from="7729,106" to="7729,209" stroked="true" strokeweight=".885959pt" strokecolor="#000000">
              <v:stroke dashstyle="solid"/>
            </v:line>
            <v:line style="position:absolute" from="8084,106" to="8084,209" stroked="true" strokeweight=".885959pt" strokecolor="#000000">
              <v:stroke dashstyle="solid"/>
            </v:line>
            <v:line style="position:absolute" from="8442,106" to="8442,209" stroked="true" strokeweight=".885959pt" strokecolor="#000000">
              <v:stroke dashstyle="solid"/>
            </v:line>
            <v:line style="position:absolute" from="8796,106" to="8796,209" stroked="true" strokeweight=".885959pt" strokecolor="#000000">
              <v:stroke dashstyle="solid"/>
            </v:line>
            <v:line style="position:absolute" from="9154,106" to="9154,209" stroked="true" strokeweight=".885959pt" strokecolor="#000000">
              <v:stroke dashstyle="solid"/>
            </v:line>
            <v:line style="position:absolute" from="9508,106" to="9508,209" stroked="true" strokeweight=".885959pt" strokecolor="#000000">
              <v:stroke dashstyle="solid"/>
            </v:line>
            <v:line style="position:absolute" from="3108,3395" to="3236,3395" stroked="true" strokeweight=".886013pt" strokecolor="#000000">
              <v:stroke dashstyle="solid"/>
            </v:line>
            <v:line style="position:absolute" from="3108,3140" to="3236,3140" stroked="true" strokeweight=".886013pt" strokecolor="#000000">
              <v:stroke dashstyle="solid"/>
            </v:line>
            <v:line style="position:absolute" from="3108,2888" to="3236,2888" stroked="true" strokeweight=".886013pt" strokecolor="#000000">
              <v:stroke dashstyle="solid"/>
            </v:line>
            <v:line style="position:absolute" from="3108,2636" to="3236,2636" stroked="true" strokeweight=".886013pt" strokecolor="#000000">
              <v:stroke dashstyle="solid"/>
            </v:line>
            <v:line style="position:absolute" from="3108,2381" to="3236,2381" stroked="true" strokeweight=".886013pt" strokecolor="#000000">
              <v:stroke dashstyle="solid"/>
            </v:line>
            <v:line style="position:absolute" from="3108,2129" to="3236,2129" stroked="true" strokeweight=".886013pt" strokecolor="#000000">
              <v:stroke dashstyle="solid"/>
            </v:line>
            <v:line style="position:absolute" from="3108,1878" to="3236,1878" stroked="true" strokeweight=".886013pt" strokecolor="#000000">
              <v:stroke dashstyle="solid"/>
            </v:line>
            <v:line style="position:absolute" from="3108,1623" to="3236,1623" stroked="true" strokeweight=".886013pt" strokecolor="#000000">
              <v:stroke dashstyle="solid"/>
            </v:line>
            <v:line style="position:absolute" from="3108,1371" to="3236,1371" stroked="true" strokeweight=".886013pt" strokecolor="#000000">
              <v:stroke dashstyle="solid"/>
            </v:line>
            <v:line style="position:absolute" from="3108,1116" to="3236,1116" stroked="true" strokeweight=".886013pt" strokecolor="#000000">
              <v:stroke dashstyle="solid"/>
            </v:line>
            <v:line style="position:absolute" from="3108,864" to="3236,864" stroked="true" strokeweight=".886013pt" strokecolor="#000000">
              <v:stroke dashstyle="solid"/>
            </v:line>
            <v:line style="position:absolute" from="3108,613" to="3236,613" stroked="true" strokeweight=".886013pt" strokecolor="#000000">
              <v:stroke dashstyle="solid"/>
            </v:line>
            <v:line style="position:absolute" from="3108,357" to="3236,357" stroked="true" strokeweight=".886013pt" strokecolor="#000000">
              <v:stroke dashstyle="solid"/>
            </v:line>
            <v:line style="position:absolute" from="9625,3646" to="9494,3646" stroked="true" strokeweight=".886013pt" strokecolor="#000000">
              <v:stroke dashstyle="solid"/>
            </v:line>
            <v:line style="position:absolute" from="9625,3398" to="9494,3398" stroked="true" strokeweight=".886013pt" strokecolor="#000000">
              <v:stroke dashstyle="solid"/>
            </v:line>
            <v:line style="position:absolute" from="9625,3150" to="9494,3150" stroked="true" strokeweight=".886013pt" strokecolor="#000000">
              <v:stroke dashstyle="solid"/>
            </v:line>
            <v:line style="position:absolute" from="9625,2899" to="9494,2899" stroked="true" strokeweight=".886013pt" strokecolor="#000000">
              <v:stroke dashstyle="solid"/>
            </v:line>
            <v:line style="position:absolute" from="9625,2650" to="9494,2650" stroked="true" strokeweight=".886013pt" strokecolor="#000000">
              <v:stroke dashstyle="solid"/>
            </v:line>
            <v:line style="position:absolute" from="9625,2402" to="9494,2402" stroked="true" strokeweight=".886013pt" strokecolor="#000000">
              <v:stroke dashstyle="solid"/>
            </v:line>
            <v:line style="position:absolute" from="9625,2154" to="9494,2154" stroked="true" strokeweight=".886013pt" strokecolor="#000000">
              <v:stroke dashstyle="solid"/>
            </v:line>
            <v:line style="position:absolute" from="9625,1903" to="9494,1903" stroked="true" strokeweight=".886013pt" strokecolor="#000000">
              <v:stroke dashstyle="solid"/>
            </v:line>
            <v:line style="position:absolute" from="9625,1655" to="9494,1655" stroked="true" strokeweight=".886013pt" strokecolor="#000000">
              <v:stroke dashstyle="solid"/>
            </v:line>
            <v:line style="position:absolute" from="9625,1406" to="9494,1406" stroked="true" strokeweight=".886013pt" strokecolor="#000000">
              <v:stroke dashstyle="solid"/>
            </v:line>
            <v:line style="position:absolute" from="9625,1158" to="9494,1158" stroked="true" strokeweight=".886013pt" strokecolor="#000000">
              <v:stroke dashstyle="solid"/>
            </v:line>
            <v:line style="position:absolute" from="9625,907" to="9494,907" stroked="true" strokeweight=".886013pt" strokecolor="#000000">
              <v:stroke dashstyle="solid"/>
            </v:line>
            <v:line style="position:absolute" from="9625,659" to="9494,659" stroked="true" strokeweight=".886013pt" strokecolor="#000000">
              <v:stroke dashstyle="solid"/>
            </v:line>
            <v:line style="position:absolute" from="9625,411" to="9494,411" stroked="true" strokeweight=".886013pt" strokecolor="#000000">
              <v:stroke dashstyle="solid"/>
            </v:line>
            <v:line style="position:absolute" from="9625,163" to="9494,163" stroked="true" strokeweight=".886013pt" strokecolor="#000000">
              <v:stroke dashstyle="solid"/>
            </v:line>
            <v:shape style="position:absolute;left:4706;top:2607;width:71;height:57" coordorigin="4706,2608" coordsize="71,57" path="m4742,2665l4706,2636,4742,2608,4777,2636,4742,2665xe" filled="true" fillcolor="#ff0000" stroked="false">
              <v:path arrowok="t"/>
              <v:fill type="solid"/>
            </v:shape>
            <v:shape style="position:absolute;left:4706;top:2607;width:71;height:57" coordorigin="4706,2608" coordsize="71,57" path="m4742,2608l4777,2636,4742,2665,4706,2636,4742,2608xe" filled="false" stroked="true" strokeweight="1.063190pt" strokecolor="#ff0000">
              <v:path arrowok="t"/>
              <v:stroke dashstyle="solid"/>
            </v:shape>
            <v:shape style="position:absolute;left:4858;top:2324;width:71;height:54" coordorigin="4859,2324" coordsize="71,54" path="m4894,2378l4859,2349,4894,2324,4930,2349,4894,2378xe" filled="true" fillcolor="#ff0000" stroked="false">
              <v:path arrowok="t"/>
              <v:fill type="solid"/>
            </v:shape>
            <v:shape style="position:absolute;left:4858;top:2324;width:71;height:54" coordorigin="4859,2324" coordsize="71,54" path="m4894,2324l4930,2349,4894,2378,4859,2349,4894,2324xe" filled="false" stroked="true" strokeweight="1.063192pt" strokecolor="#ff0000">
              <v:path arrowok="t"/>
              <v:stroke dashstyle="solid"/>
            </v:shape>
            <v:shape style="position:absolute;left:4848;top:2384;width:71;height:57" coordorigin="4848,2385" coordsize="71,57" path="m4884,2441l4848,2413,4884,2385,4919,2413,4884,2441xe" filled="true" fillcolor="#ff0000" stroked="false">
              <v:path arrowok="t"/>
              <v:fill type="solid"/>
            </v:shape>
            <v:shape style="position:absolute;left:4848;top:2384;width:71;height:57" coordorigin="4848,2385" coordsize="71,57" path="m4884,2385l4919,2413,4884,2441,4848,2413,4884,2385xe" filled="false" stroked="true" strokeweight="1.063190pt" strokecolor="#ff0000">
              <v:path arrowok="t"/>
              <v:stroke dashstyle="solid"/>
            </v:shape>
            <v:shape style="position:absolute;left:4894;top:2795;width:71;height:57" coordorigin="4894,2796" coordsize="71,57" path="m4930,2852l4894,2824,4930,2796,4965,2824,4930,2852xe" filled="true" fillcolor="#ff0000" stroked="false">
              <v:path arrowok="t"/>
              <v:fill type="solid"/>
            </v:shape>
            <v:shape style="position:absolute;left:4894;top:2795;width:71;height:57" coordorigin="4894,2796" coordsize="71,57" path="m4930,2796l4965,2824,4930,2852,4894,2824,4930,2796xe" filled="false" stroked="true" strokeweight="1.063190pt" strokecolor="#ff0000">
              <v:path arrowok="t"/>
              <v:stroke dashstyle="solid"/>
            </v:shape>
            <v:shape style="position:absolute;left:4713;top:2731;width:71;height:57" coordorigin="4713,2732" coordsize="71,57" path="m4749,2789l4713,2760,4749,2732,4784,2760,4749,2789xe" filled="true" fillcolor="#ff0000" stroked="false">
              <v:path arrowok="t"/>
              <v:fill type="solid"/>
            </v:shape>
            <v:shape style="position:absolute;left:4713;top:2731;width:71;height:57" coordorigin="4713,2732" coordsize="71,57" path="m4749,2732l4784,2760,4749,2789,4713,2760,4749,2732xe" filled="false" stroked="true" strokeweight="1.063190pt" strokecolor="#ff0000">
              <v:path arrowok="t"/>
              <v:stroke dashstyle="solid"/>
            </v:shape>
            <v:shape style="position:absolute;left:4897;top:2384;width:71;height:57" coordorigin="4898,2385" coordsize="71,57" path="m4933,2441l4898,2413,4933,2385,4969,2413,4933,2441xe" filled="true" fillcolor="#ff0000" stroked="false">
              <v:path arrowok="t"/>
              <v:fill type="solid"/>
            </v:shape>
            <v:shape style="position:absolute;left:4897;top:2384;width:71;height:57" coordorigin="4898,2385" coordsize="71,57" path="m4933,2385l4969,2413,4933,2441,4898,2413,4933,2385xe" filled="false" stroked="true" strokeweight="1.063190pt" strokecolor="#ff0000">
              <v:path arrowok="t"/>
              <v:stroke dashstyle="solid"/>
            </v:shape>
            <v:shape style="position:absolute;left:4915;top:2292;width:71;height:54" coordorigin="4915,2293" coordsize="71,54" path="m4951,2346l4915,2321,4951,2293,4986,2321,4951,2346xe" filled="true" fillcolor="#ff0000" stroked="false">
              <v:path arrowok="t"/>
              <v:fill type="solid"/>
            </v:shape>
            <v:shape style="position:absolute;left:4915;top:2292;width:71;height:54" coordorigin="4915,2293" coordsize="71,54" path="m4951,2293l4986,2321,4951,2346,4915,2321,4951,2293xe" filled="false" stroked="true" strokeweight="1.063192pt" strokecolor="#ff0000">
              <v:path arrowok="t"/>
              <v:stroke dashstyle="solid"/>
            </v:shape>
            <v:shape style="position:absolute;left:4132;top:3302;width:71;height:57" coordorigin="4132,3303" coordsize="71,57" path="m4168,3359l4132,3331,4168,3303,4203,3331,4168,3359xe" filled="true" fillcolor="#ff0000" stroked="false">
              <v:path arrowok="t"/>
              <v:fill type="solid"/>
            </v:shape>
            <v:shape style="position:absolute;left:4132;top:3302;width:71;height:57" coordorigin="4132,3303" coordsize="71,57" path="m4168,3303l4203,3331,4168,3359,4132,3331,4168,3303xe" filled="false" stroked="true" strokeweight="1.063190pt" strokecolor="#ff0000">
              <v:path arrowok="t"/>
              <v:stroke dashstyle="solid"/>
            </v:shape>
            <v:shape style="position:absolute;left:4568;top:2703;width:71;height:54" coordorigin="4568,2704" coordsize="71,54" path="m4604,2757l4568,2728,4604,2704,4639,2728,4604,2757xe" filled="true" fillcolor="#ff0000" stroked="false">
              <v:path arrowok="t"/>
              <v:fill type="solid"/>
            </v:shape>
            <v:shape style="position:absolute;left:4568;top:2703;width:71;height:54" coordorigin="4568,2704" coordsize="71,54" path="m4604,2704l4639,2728,4604,2757,4568,2728,4604,2704xe" filled="false" stroked="true" strokeweight="1.063192pt" strokecolor="#ff0000">
              <v:path arrowok="t"/>
              <v:stroke dashstyle="solid"/>
            </v:shape>
            <v:shape style="position:absolute;left:4433;top:2891;width:71;height:57" coordorigin="4434,2891" coordsize="71,57" path="m4469,2948l4434,2920,4469,2891,4504,2920,4469,2948xe" filled="true" fillcolor="#ff0000" stroked="false">
              <v:path arrowok="t"/>
              <v:fill type="solid"/>
            </v:shape>
            <v:shape style="position:absolute;left:4433;top:2891;width:71;height:57" coordorigin="4434,2891" coordsize="71,57" path="m4469,2891l4504,2920,4469,2948,4434,2920,4469,2891xe" filled="false" stroked="true" strokeweight="1.063190pt" strokecolor="#ff0000">
              <v:path arrowok="t"/>
              <v:stroke dashstyle="solid"/>
            </v:shape>
            <v:shape style="position:absolute;left:4132;top:3174;width:71;height:57" coordorigin="4132,3175" coordsize="71,57" path="m4168,3232l4132,3203,4168,3175,4203,3203,4168,3232xe" filled="true" fillcolor="#ff0000" stroked="false">
              <v:path arrowok="t"/>
              <v:fill type="solid"/>
            </v:shape>
            <v:shape style="position:absolute;left:4132;top:3174;width:71;height:57" coordorigin="4132,3175" coordsize="71,57" path="m4168,3175l4203,3203,4168,3232,4132,3203,4168,3175xe" filled="false" stroked="true" strokeweight="1.063190pt" strokecolor="#ff0000">
              <v:path arrowok="t"/>
              <v:stroke dashstyle="solid"/>
            </v:shape>
            <v:shape style="position:absolute;left:3862;top:3238;width:71;height:57" coordorigin="3863,3239" coordsize="71,57" path="m3898,3295l3863,3267,3898,3239,3934,3267,3898,3295xe" filled="true" fillcolor="#ff0000" stroked="false">
              <v:path arrowok="t"/>
              <v:fill type="solid"/>
            </v:shape>
            <v:shape style="position:absolute;left:3862;top:3238;width:71;height:57" coordorigin="3863,3239" coordsize="71,57" path="m3898,3239l3934,3267,3898,3295,3863,3267,3898,3239xe" filled="false" stroked="true" strokeweight="1.063190pt" strokecolor="#ff0000">
              <v:path arrowok="t"/>
              <v:stroke dashstyle="solid"/>
            </v:shape>
            <v:shape style="position:absolute;left:3264;top:3522;width:71;height:57" coordorigin="3264,3522" coordsize="71,57" path="m3299,3579l3264,3551,3299,3522,3335,3551,3299,3579xe" filled="true" fillcolor="#ff0000" stroked="false">
              <v:path arrowok="t"/>
              <v:fill type="solid"/>
            </v:shape>
            <v:shape style="position:absolute;left:3264;top:3522;width:71;height:57" coordorigin="3264,3522" coordsize="71,57" path="m3299,3522l3335,3551,3299,3579,3264,3551,3299,3522xe" filled="false" stroked="true" strokeweight="1.063190pt" strokecolor="#ff0000">
              <v:path arrowok="t"/>
              <v:stroke dashstyle="solid"/>
            </v:shape>
            <v:shape style="position:absolute;left:3476;top:3430;width:71;height:57" coordorigin="3477,3430" coordsize="71,57" path="m3512,3487l3477,3458,3512,3430,3548,3458,3512,3487xe" filled="true" fillcolor="#ff0000" stroked="false">
              <v:path arrowok="t"/>
              <v:fill type="solid"/>
            </v:shape>
            <v:shape style="position:absolute;left:3476;top:3430;width:71;height:57" coordorigin="3477,3430" coordsize="71,57" path="m3512,3430l3548,3458,3512,3487,3477,3458,3512,3430xe" filled="false" stroked="true" strokeweight="1.063190pt" strokecolor="#ff0000">
              <v:path arrowok="t"/>
              <v:stroke dashstyle="solid"/>
            </v:shape>
            <v:shape style="position:absolute;left:3487;top:3522;width:71;height:57" coordorigin="3487,3522" coordsize="71,57" path="m3523,3579l3487,3551,3523,3522,3558,3551,3523,3579xe" filled="true" fillcolor="#ff0000" stroked="false">
              <v:path arrowok="t"/>
              <v:fill type="solid"/>
            </v:shape>
            <v:shape style="position:absolute;left:3487;top:3522;width:71;height:57" coordorigin="3487,3522" coordsize="71,57" path="m3523,3522l3558,3551,3523,3579,3487,3551,3523,3522xe" filled="false" stroked="true" strokeweight="1.063190pt" strokecolor="#ff0000">
              <v:path arrowok="t"/>
              <v:stroke dashstyle="solid"/>
            </v:shape>
            <v:shape style="position:absolute;left:3551;top:3430;width:71;height:57" coordorigin="3551,3430" coordsize="71,57" path="m3587,3487l3551,3458,3587,3430,3622,3458,3587,3487xe" filled="true" fillcolor="#ff0000" stroked="false">
              <v:path arrowok="t"/>
              <v:fill type="solid"/>
            </v:shape>
            <v:shape style="position:absolute;left:3551;top:3430;width:71;height:57" coordorigin="3551,3430" coordsize="71,57" path="m3587,3430l3622,3458,3587,3487,3551,3458,3587,3430xe" filled="false" stroked="true" strokeweight="1.063190pt" strokecolor="#ff0000">
              <v:path arrowok="t"/>
              <v:stroke dashstyle="solid"/>
            </v:shape>
            <v:shape style="position:absolute;left:7364;top:456;width:71;height:57" coordorigin="7364,457" coordsize="71,57" path="m7400,513l7364,485,7400,457,7435,485,7400,513xe" filled="true" fillcolor="#ff0000" stroked="false">
              <v:path arrowok="t"/>
              <v:fill type="solid"/>
            </v:shape>
            <v:shape style="position:absolute;left:7364;top:456;width:71;height:57" coordorigin="7364,457" coordsize="71,57" path="m7400,457l7435,485,7400,513,7364,485,7400,457xe" filled="false" stroked="true" strokeweight="1.063190pt" strokecolor="#ff0000">
              <v:path arrowok="t"/>
              <v:stroke dashstyle="solid"/>
            </v:shape>
            <v:shape style="position:absolute;left:7055;top:835;width:71;height:57" coordorigin="7056,836" coordsize="71,57" path="m7091,893l7056,864,7091,836,7127,864,7091,893xe" filled="true" fillcolor="#ff0000" stroked="false">
              <v:path arrowok="t"/>
              <v:fill type="solid"/>
            </v:shape>
            <v:shape style="position:absolute;left:7055;top:835;width:71;height:57" coordorigin="7056,836" coordsize="71,57" path="m7091,836l7127,864,7091,893,7056,864,7091,836xe" filled="false" stroked="true" strokeweight="1.063190pt" strokecolor="#ff0000">
              <v:path arrowok="t"/>
              <v:stroke dashstyle="solid"/>
            </v:shape>
            <v:shape style="position:absolute;left:6563;top:1278;width:71;height:57" coordorigin="6563,1279" coordsize="71,57" path="m6599,1336l6563,1307,6599,1279,6634,1307,6599,1336xe" filled="true" fillcolor="#ff0000" stroked="false">
              <v:path arrowok="t"/>
              <v:fill type="solid"/>
            </v:shape>
            <v:shape style="position:absolute;left:6563;top:1278;width:71;height:57" coordorigin="6563,1279" coordsize="71,57" path="m6599,1279l6634,1307,6599,1336,6563,1307,6599,1279xe" filled="false" stroked="true" strokeweight="1.063190pt" strokecolor="#ff0000">
              <v:path arrowok="t"/>
              <v:stroke dashstyle="solid"/>
            </v:shape>
            <v:shape style="position:absolute;left:6761;top:1183;width:71;height:57" coordorigin="6762,1183" coordsize="71,57" path="m6797,1240l6762,1212,6797,1183,6833,1212,6797,1240xe" filled="true" fillcolor="#ff0000" stroked="false">
              <v:path arrowok="t"/>
              <v:fill type="solid"/>
            </v:shape>
            <v:shape style="position:absolute;left:6761;top:1183;width:71;height:57" coordorigin="6762,1183" coordsize="71,57" path="m6797,1183l6833,1212,6797,1240,6762,1212,6797,1183xe" filled="false" stroked="true" strokeweight="1.063190pt" strokecolor="#ff0000">
              <v:path arrowok="t"/>
              <v:stroke dashstyle="solid"/>
            </v:shape>
            <v:shape style="position:absolute;left:6464;top:1658;width:71;height:57" coordorigin="6464,1658" coordsize="71,57" path="m6500,1715l6464,1686,6500,1658,6535,1686,6500,1715xe" filled="true" fillcolor="#ff0000" stroked="false">
              <v:path arrowok="t"/>
              <v:fill type="solid"/>
            </v:shape>
            <v:shape style="position:absolute;left:6464;top:1658;width:71;height:57" coordorigin="6464,1658" coordsize="71,57" path="m6500,1658l6535,1686,6500,1715,6464,1686,6500,1658xe" filled="false" stroked="true" strokeweight="1.063190pt" strokecolor="#ff0000">
              <v:path arrowok="t"/>
              <v:stroke dashstyle="solid"/>
            </v:shape>
            <v:shape style="position:absolute;left:6956;top:995;width:71;height:57" coordorigin="6957,995" coordsize="71,57" path="m6992,1052l6957,1024,6992,995,7028,1024,6992,1052xe" filled="true" fillcolor="#ff0000" stroked="false">
              <v:path arrowok="t"/>
              <v:fill type="solid"/>
            </v:shape>
            <v:shape style="position:absolute;left:6956;top:995;width:71;height:57" coordorigin="6957,995" coordsize="71,57" path="m6992,995l7028,1024,6992,1052,6957,1024,6992,995xe" filled="false" stroked="true" strokeweight="1.063190pt" strokecolor="#ff0000">
              <v:path arrowok="t"/>
              <v:stroke dashstyle="solid"/>
            </v:shape>
            <v:shape style="position:absolute;left:5936;top:1785;width:71;height:57" coordorigin="5936,1786" coordsize="71,57" path="m5972,1842l5936,1814,5972,1786,6007,1814,5972,1842xe" filled="true" fillcolor="#ff0000" stroked="false">
              <v:path arrowok="t"/>
              <v:fill type="solid"/>
            </v:shape>
            <v:shape style="position:absolute;left:5936;top:1785;width:71;height:57" coordorigin="5936,1786" coordsize="71,57" path="m5972,1786l6007,1814,5972,1842,5936,1814,5972,1786xe" filled="false" stroked="true" strokeweight="1.063190pt" strokecolor="#ff0000">
              <v:path arrowok="t"/>
              <v:stroke dashstyle="solid"/>
            </v:shape>
            <v:shape style="position:absolute;left:7059;top:708;width:71;height:57" coordorigin="7060,708" coordsize="71,57" path="m7095,765l7060,737,7095,708,7130,737,7095,765xe" filled="true" fillcolor="#ff0000" stroked="false">
              <v:path arrowok="t"/>
              <v:fill type="solid"/>
            </v:shape>
            <v:shape style="position:absolute;left:7059;top:708;width:71;height:57" coordorigin="7060,708" coordsize="71,57" path="m7095,708l7130,737,7095,765,7060,737,7095,708xe" filled="false" stroked="true" strokeweight="1.063190pt" strokecolor="#ff0000">
              <v:path arrowok="t"/>
              <v:stroke dashstyle="solid"/>
            </v:shape>
            <v:shape style="position:absolute;left:7162;top:835;width:71;height:57" coordorigin="7162,836" coordsize="71,57" path="m7198,893l7162,864,7198,836,7233,864,7198,893xe" filled="true" fillcolor="#ff0000" stroked="false">
              <v:path arrowok="t"/>
              <v:fill type="solid"/>
            </v:shape>
            <v:shape style="position:absolute;left:7162;top:835;width:71;height:57" coordorigin="7162,836" coordsize="71,57" path="m7198,836l7233,864,7198,893,7162,864,7198,836xe" filled="false" stroked="true" strokeweight="1.063190pt" strokecolor="#ff0000">
              <v:path arrowok="t"/>
              <v:stroke dashstyle="solid"/>
            </v:shape>
            <v:shape style="position:absolute;left:6566;top:1690;width:71;height:57" coordorigin="6567,1690" coordsize="71,57" path="m6602,1747l6567,1718,6602,1690,6638,1718,6602,1747xe" filled="true" fillcolor="#ff0000" stroked="false">
              <v:path arrowok="t"/>
              <v:fill type="solid"/>
            </v:shape>
            <v:shape style="position:absolute;left:6566;top:1690;width:71;height:57" coordorigin="6567,1690" coordsize="71,57" path="m6602,1690l6638,1718,6602,1747,6567,1718,6602,1690xe" filled="false" stroked="true" strokeweight="1.063190pt" strokecolor="#ff0000">
              <v:path arrowok="t"/>
              <v:stroke dashstyle="solid"/>
            </v:shape>
            <v:shape style="position:absolute;left:4961;top:2512;width:71;height:57" coordorigin="4962,2512" coordsize="71,57" path="m4997,2569l4962,2541,4997,2512,5032,2541,4997,2569xe" filled="true" fillcolor="#ff0000" stroked="false">
              <v:path arrowok="t"/>
              <v:fill type="solid"/>
            </v:shape>
            <v:shape style="position:absolute;left:4961;top:2512;width:71;height:57" coordorigin="4962,2512" coordsize="71,57" path="m4997,2512l5032,2541,4997,2569,4962,2541,4997,2512xe" filled="false" stroked="true" strokeweight="1.063190pt" strokecolor="#ff0000">
              <v:path arrowok="t"/>
              <v:stroke dashstyle="solid"/>
            </v:shape>
            <v:shape style="position:absolute;left:5025;top:2480;width:71;height:57" coordorigin="5025,2480" coordsize="71,57" path="m5061,2537l5025,2509,5061,2480,5096,2509,5061,2537xe" filled="true" fillcolor="#ff0000" stroked="false">
              <v:path arrowok="t"/>
              <v:fill type="solid"/>
            </v:shape>
            <v:shape style="position:absolute;left:5025;top:2480;width:71;height:57" coordorigin="5025,2480" coordsize="71,57" path="m5061,2480l5096,2509,5061,2537,5025,2509,5061,2480xe" filled="false" stroked="true" strokeweight="1.063190pt" strokecolor="#ff0000">
              <v:path arrowok="t"/>
              <v:stroke dashstyle="solid"/>
            </v:shape>
            <v:shape style="position:absolute;left:5532;top:1902;width:195;height:139" type="#_x0000_t75" stroked="false">
              <v:imagedata r:id="rId141" o:title=""/>
            </v:shape>
            <v:shape style="position:absolute;left:6308;top:1438;width:71;height:54" coordorigin="6308,1438" coordsize="71,54" path="m6344,1492l6308,1467,6344,1438,6379,1467,6344,1492xe" filled="true" fillcolor="#ff0000" stroked="false">
              <v:path arrowok="t"/>
              <v:fill type="solid"/>
            </v:shape>
            <v:shape style="position:absolute;left:6308;top:1438;width:71;height:54" coordorigin="6308,1438" coordsize="71,54" path="m6344,1438l6379,1467,6344,1492,6308,1467,6344,1438xe" filled="false" stroked="true" strokeweight="1.063192pt" strokecolor="#ff0000">
              <v:path arrowok="t"/>
              <v:stroke dashstyle="solid"/>
            </v:shape>
            <v:shape style="position:absolute;left:6095;top:1721;width:71;height:57" coordorigin="6096,1722" coordsize="71,57" path="m6131,1779l6096,1750,6131,1722,6166,1750,6131,1779xe" filled="true" fillcolor="#ff0000" stroked="false">
              <v:path arrowok="t"/>
              <v:fill type="solid"/>
            </v:shape>
            <v:shape style="position:absolute;left:6095;top:1721;width:71;height:57" coordorigin="6096,1722" coordsize="71,57" path="m6131,1722l6166,1750,6131,1779,6096,1750,6131,1722xe" filled="false" stroked="true" strokeweight="1.063190pt" strokecolor="#ff0000">
              <v:path arrowok="t"/>
              <v:stroke dashstyle="solid"/>
            </v:shape>
            <v:shape style="position:absolute;left:5298;top:2260;width:71;height:54" coordorigin="5298,2261" coordsize="71,54" path="m5334,2314l5298,2289,5334,2261,5369,2289,5334,2314xe" filled="true" fillcolor="#ff0000" stroked="false">
              <v:path arrowok="t"/>
              <v:fill type="solid"/>
            </v:shape>
            <v:shape style="position:absolute;left:5298;top:2260;width:71;height:54" coordorigin="5298,2261" coordsize="71,54" path="m5334,2261l5369,2289,5334,2314,5298,2289,5334,2261xe" filled="false" stroked="true" strokeweight="1.063192pt" strokecolor="#ff0000">
              <v:path arrowok="t"/>
              <v:stroke dashstyle="solid"/>
            </v:shape>
            <v:shape style="position:absolute;left:5404;top:2037;width:71;height:57" coordorigin="5405,2037" coordsize="71,57" path="m5440,2094l5405,2066,5440,2037,5475,2066,5440,2094xe" filled="true" fillcolor="#ff0000" stroked="false">
              <v:path arrowok="t"/>
              <v:fill type="solid"/>
            </v:shape>
            <v:shape style="position:absolute;left:5404;top:2037;width:71;height:57" coordorigin="5405,2037" coordsize="71,57" path="m5440,2037l5475,2066,5440,2094,5405,2066,5440,2037xe" filled="false" stroked="true" strokeweight="1.063190pt" strokecolor="#ff0000">
              <v:path arrowok="t"/>
              <v:stroke dashstyle="solid"/>
            </v:shape>
            <v:shape style="position:absolute;left:5163;top:2228;width:71;height:57" coordorigin="5164,2229" coordsize="71,57" path="m5199,2285l5164,2257,5199,2229,5234,2257,5199,2285xe" filled="true" fillcolor="#ff0000" stroked="false">
              <v:path arrowok="t"/>
              <v:fill type="solid"/>
            </v:shape>
            <v:shape style="position:absolute;left:5163;top:2228;width:71;height:57" coordorigin="5164,2229" coordsize="71,57" path="m5199,2229l5234,2257,5199,2285,5164,2257,5199,2229xe" filled="false" stroked="true" strokeweight="1.063190pt" strokecolor="#ff0000">
              <v:path arrowok="t"/>
              <v:stroke dashstyle="solid"/>
            </v:shape>
            <v:shape style="position:absolute;left:6669;top:1459;width:71;height:57" coordorigin="6670,1460" coordsize="71,57" path="m6741,1516l6670,1516,6705,1460,6741,1516xe" filled="true" fillcolor="#0000ff" stroked="false">
              <v:path arrowok="t"/>
              <v:fill type="solid"/>
            </v:shape>
            <v:shape style="position:absolute;left:6669;top:1459;width:71;height:57" coordorigin="6670,1460" coordsize="71,57" path="m6705,1460l6741,1516,6670,1516,6705,1460xe" filled="false" stroked="true" strokeweight="1.063190pt" strokecolor="#0000ff">
              <v:path arrowok="t"/>
              <v:stroke dashstyle="solid"/>
            </v:shape>
            <v:shape style="position:absolute;left:6496;top:1587;width:68;height:54" coordorigin="6496,1587" coordsize="68,54" path="m6563,1640l6496,1640,6531,1587,6563,1640xe" filled="true" fillcolor="#0000ff" stroked="false">
              <v:path arrowok="t"/>
              <v:fill type="solid"/>
            </v:shape>
            <v:shape style="position:absolute;left:6496;top:1587;width:68;height:54" coordorigin="6496,1587" coordsize="68,54" path="m6531,1587l6563,1640,6496,1640,6531,1587xe" filled="false" stroked="true" strokeweight="1.063191pt" strokecolor="#0000ff">
              <v:path arrowok="t"/>
              <v:stroke dashstyle="solid"/>
            </v:shape>
            <v:shape style="position:absolute;left:6843;top:1367;width:68;height:54" coordorigin="6843,1368" coordsize="68,54" path="m6911,1421l6843,1421,6879,1368,6911,1421xe" filled="true" fillcolor="#0000ff" stroked="false">
              <v:path arrowok="t"/>
              <v:fill type="solid"/>
            </v:shape>
            <v:shape style="position:absolute;left:6843;top:1367;width:68;height:54" coordorigin="6843,1368" coordsize="68,54" path="m6879,1368l6911,1421,6843,1421,6879,1368xe" filled="false" stroked="true" strokeweight="1.063191pt" strokecolor="#0000ff">
              <v:path arrowok="t"/>
              <v:stroke dashstyle="solid"/>
            </v:shape>
            <v:shape style="position:absolute;left:6935;top:1303;width:68;height:54" coordorigin="6935,1304" coordsize="68,54" path="m7003,1357l6935,1357,6967,1304,7003,1357xe" filled="true" fillcolor="#0000ff" stroked="false">
              <v:path arrowok="t"/>
              <v:fill type="solid"/>
            </v:shape>
            <v:shape style="position:absolute;left:6935;top:1303;width:68;height:54" coordorigin="6935,1304" coordsize="68,54" path="m6967,1304l7003,1357,6935,1357,6967,1304xe" filled="false" stroked="true" strokeweight="1.063191pt" strokecolor="#0000ff">
              <v:path arrowok="t"/>
              <v:stroke dashstyle="solid"/>
            </v:shape>
            <v:shape style="position:absolute;left:7598;top:1020;width:68;height:54" coordorigin="7598,1020" coordsize="68,54" path="m7666,1073l7598,1073,7634,1020,7666,1073xe" filled="true" fillcolor="#0000ff" stroked="false">
              <v:path arrowok="t"/>
              <v:fill type="solid"/>
            </v:shape>
            <v:shape style="position:absolute;left:7598;top:1020;width:68;height:54" coordorigin="7598,1020" coordsize="68,54" path="m7634,1020l7666,1073,7598,1073,7634,1020xe" filled="false" stroked="true" strokeweight="1.063191pt" strokecolor="#0000ff">
              <v:path arrowok="t"/>
              <v:stroke dashstyle="solid"/>
            </v:shape>
            <v:shape style="position:absolute;left:7314;top:1271;width:71;height:54" coordorigin="7315,1272" coordsize="71,54" path="m7386,1325l7315,1325,7350,1272,7386,1325xe" filled="true" fillcolor="#0000ff" stroked="false">
              <v:path arrowok="t"/>
              <v:fill type="solid"/>
            </v:shape>
            <v:shape style="position:absolute;left:7314;top:1271;width:71;height:54" coordorigin="7315,1272" coordsize="71,54" path="m7350,1272l7386,1325,7315,1325,7350,1272xe" filled="false" stroked="true" strokeweight="1.063192pt" strokecolor="#0000ff">
              <v:path arrowok="t"/>
              <v:stroke dashstyle="solid"/>
            </v:shape>
            <v:shape style="position:absolute;left:6655;top:1459;width:71;height:57" coordorigin="6656,1460" coordsize="71,57" path="m6726,1516l6656,1516,6691,1460,6726,1516xe" filled="true" fillcolor="#0000ff" stroked="false">
              <v:path arrowok="t"/>
              <v:fill type="solid"/>
            </v:shape>
            <v:shape style="position:absolute;left:6655;top:1459;width:71;height:57" coordorigin="6656,1460" coordsize="71,57" path="m6691,1460l6726,1516,6656,1516,6691,1460xe" filled="false" stroked="true" strokeweight="1.063190pt" strokecolor="#0000ff">
              <v:path arrowok="t"/>
              <v:stroke dashstyle="solid"/>
            </v:shape>
            <v:shape style="position:absolute;left:6070;top:1838;width:68;height:57" coordorigin="6071,1839" coordsize="68,57" path="m6138,1896l6071,1896,6106,1839,6138,1896xe" filled="true" fillcolor="#0000ff" stroked="false">
              <v:path arrowok="t"/>
              <v:fill type="solid"/>
            </v:shape>
            <v:shape style="position:absolute;left:6070;top:1838;width:68;height:57" coordorigin="6071,1839" coordsize="68,57" path="m6106,1839l6138,1896,6071,1896,6106,1839xe" filled="false" stroked="true" strokeweight="1.063189pt" strokecolor="#0000ff">
              <v:path arrowok="t"/>
              <v:stroke dashstyle="solid"/>
            </v:shape>
            <v:shape style="position:absolute;left:6152;top:1746;width:68;height:54" coordorigin="6152,1747" coordsize="68,54" path="m6220,1800l6152,1800,6188,1747,6220,1800xe" filled="true" fillcolor="#0000ff" stroked="false">
              <v:path arrowok="t"/>
              <v:fill type="solid"/>
            </v:shape>
            <v:shape style="position:absolute;left:6152;top:1746;width:68;height:54" coordorigin="6152,1747" coordsize="68,54" path="m6188,1747l6220,1800,6152,1800,6188,1747xe" filled="false" stroked="true" strokeweight="1.063191pt" strokecolor="#0000ff">
              <v:path arrowok="t"/>
              <v:stroke dashstyle="solid"/>
            </v:shape>
            <v:shape style="position:absolute;left:6255;top:2409;width:68;height:54" coordorigin="6255,2409" coordsize="68,54" path="m6322,2463l6255,2463,6290,2409,6322,2463xe" filled="true" fillcolor="#0000ff" stroked="false">
              <v:path arrowok="t"/>
              <v:fill type="solid"/>
            </v:shape>
            <v:shape style="position:absolute;left:6255;top:2409;width:68;height:54" coordorigin="6255,2409" coordsize="68,54" path="m6290,2409l6322,2463,6255,2463,6290,2409xe" filled="false" stroked="true" strokeweight="1.063191pt" strokecolor="#0000ff">
              <v:path arrowok="t"/>
              <v:stroke dashstyle="solid"/>
            </v:shape>
            <v:shape style="position:absolute;left:5957;top:2430;width:188;height:107" type="#_x0000_t75" stroked="false">
              <v:imagedata r:id="rId142" o:title=""/>
            </v:shape>
            <v:shape style="position:absolute;left:5443;top:2724;width:68;height:54" coordorigin="5444,2725" coordsize="68,54" path="m5511,2778l5444,2778,5475,2725,5511,2778xe" filled="true" fillcolor="#0000ff" stroked="false">
              <v:path arrowok="t"/>
              <v:fill type="solid"/>
            </v:shape>
            <v:shape style="position:absolute;left:5443;top:2724;width:68;height:54" coordorigin="5444,2725" coordsize="68,54" path="m5475,2725l5511,2778,5444,2778,5475,2725xe" filled="false" stroked="true" strokeweight="1.063191pt" strokecolor="#0000ff">
              <v:path arrowok="t"/>
              <v:stroke dashstyle="solid"/>
            </v:shape>
            <v:shape style="position:absolute;left:5195;top:2852;width:71;height:54" coordorigin="5195,2852" coordsize="71,54" path="m5266,2906l5195,2906,5231,2852,5266,2906xe" filled="true" fillcolor="#0000ff" stroked="false">
              <v:path arrowok="t"/>
              <v:fill type="solid"/>
            </v:shape>
            <v:shape style="position:absolute;left:5195;top:2852;width:71;height:54" coordorigin="5195,2852" coordsize="71,54" path="m5231,2852l5266,2906,5195,2906,5231,2852xe" filled="false" stroked="true" strokeweight="1.063192pt" strokecolor="#0000ff">
              <v:path arrowok="t"/>
              <v:stroke dashstyle="solid"/>
            </v:shape>
            <v:shape style="position:absolute;left:4848;top:3167;width:68;height:54" coordorigin="4848,3168" coordsize="68,54" path="m4915,3221l4848,3221,4884,3168,4915,3221xe" filled="true" fillcolor="#0000ff" stroked="false">
              <v:path arrowok="t"/>
              <v:fill type="solid"/>
            </v:shape>
            <v:shape style="position:absolute;left:4848;top:3167;width:68;height:54" coordorigin="4848,3168" coordsize="68,54" path="m4884,3168l4915,3221,4848,3221,4884,3168xe" filled="false" stroked="true" strokeweight="1.063191pt" strokecolor="#0000ff">
              <v:path arrowok="t"/>
              <v:stroke dashstyle="solid"/>
            </v:shape>
            <v:shape style="position:absolute;left:4238;top:3199;width:68;height:54" coordorigin="4239,3200" coordsize="68,54" path="m4306,3253l4239,3253,4274,3200,4306,3253xe" filled="true" fillcolor="#0000ff" stroked="false">
              <v:path arrowok="t"/>
              <v:fill type="solid"/>
            </v:shape>
            <v:shape style="position:absolute;left:4238;top:3199;width:68;height:54" coordorigin="4239,3200" coordsize="68,54" path="m4274,3200l4306,3253,4239,3253,4274,3200xe" filled="false" stroked="true" strokeweight="1.063191pt" strokecolor="#0000ff">
              <v:path arrowok="t"/>
              <v:stroke dashstyle="solid"/>
            </v:shape>
            <v:shape style="position:absolute;left:3852;top:3515;width:68;height:54" coordorigin="3852,3515" coordsize="68,54" path="m3920,3568l3852,3568,3884,3515,3920,3568xe" filled="true" fillcolor="#0000ff" stroked="false">
              <v:path arrowok="t"/>
              <v:fill type="solid"/>
            </v:shape>
            <v:shape style="position:absolute;left:3852;top:3515;width:68;height:54" coordorigin="3852,3515" coordsize="68,54" path="m3884,3515l3920,3568,3852,3568,3884,3515xe" filled="false" stroked="true" strokeweight="1.063191pt" strokecolor="#0000ff">
              <v:path arrowok="t"/>
              <v:stroke dashstyle="solid"/>
            </v:shape>
            <v:shape style="position:absolute;left:3536;top:3547;width:68;height:57" coordorigin="3537,3547" coordsize="68,57" path="m3604,3604l3537,3604,3569,3547,3604,3604xe" filled="true" fillcolor="#0000ff" stroked="false">
              <v:path arrowok="t"/>
              <v:fill type="solid"/>
            </v:shape>
            <v:shape style="position:absolute;left:3536;top:3547;width:68;height:57" coordorigin="3537,3547" coordsize="68,57" path="m3569,3547l3604,3604,3537,3604,3569,3547xe" filled="false" stroked="true" strokeweight="1.063189pt" strokecolor="#0000ff">
              <v:path arrowok="t"/>
              <v:stroke dashstyle="solid"/>
            </v:shape>
            <v:shape style="position:absolute;left:7665;top:1176;width:71;height:54" coordorigin="7666,1176" coordsize="71,54" path="m7736,1229l7666,1229,7701,1176,7736,1229xe" filled="true" fillcolor="#0000ff" stroked="false">
              <v:path arrowok="t"/>
              <v:fill type="solid"/>
            </v:shape>
            <v:shape style="position:absolute;left:7665;top:1176;width:71;height:54" coordorigin="7666,1176" coordsize="71,54" path="m7701,1176l7736,1229,7666,1229,7701,1176xe" filled="false" stroked="true" strokeweight="1.063192pt" strokecolor="#0000ff">
              <v:path arrowok="t"/>
              <v:stroke dashstyle="solid"/>
            </v:shape>
            <v:shape style="position:absolute;left:8037;top:924;width:71;height:54" coordorigin="8038,925" coordsize="71,54" path="m8108,978l8038,978,8073,925,8108,978xe" filled="true" fillcolor="#0000ff" stroked="false">
              <v:path arrowok="t"/>
              <v:fill type="solid"/>
            </v:shape>
            <v:shape style="position:absolute;left:8037;top:924;width:71;height:54" coordorigin="8038,924" coordsize="71,54" path="m8073,924l8108,978,8038,978,8073,924xe" filled="false" stroked="true" strokeweight="1.063192pt" strokecolor="#0000ff">
              <v:path arrowok="t"/>
              <v:stroke dashstyle="solid"/>
            </v:shape>
            <v:shape style="position:absolute;left:8530;top:637;width:68;height:57" coordorigin="8530,637" coordsize="68,57" path="m8598,694l8530,694,8566,637,8598,694xe" filled="true" fillcolor="#0000ff" stroked="false">
              <v:path arrowok="t"/>
              <v:fill type="solid"/>
            </v:shape>
            <v:shape style="position:absolute;left:8530;top:637;width:68;height:57" coordorigin="8530,637" coordsize="68,57" path="m8566,637l8598,694,8530,694,8566,637xe" filled="false" stroked="true" strokeweight="1.063189pt" strokecolor="#0000ff">
              <v:path arrowok="t"/>
              <v:stroke dashstyle="solid"/>
            </v:shape>
            <v:shape style="position:absolute;left:9015;top:513;width:68;height:54" coordorigin="9016,513" coordsize="68,54" path="m9083,567l9016,567,9051,513,9083,567xe" filled="true" fillcolor="#0000ff" stroked="false">
              <v:path arrowok="t"/>
              <v:fill type="solid"/>
            </v:shape>
            <v:shape style="position:absolute;left:9015;top:513;width:68;height:54" coordorigin="9016,513" coordsize="68,54" path="m9051,513l9083,567,9016,567,9051,513xe" filled="false" stroked="true" strokeweight="1.063191pt" strokecolor="#0000ff">
              <v:path arrowok="t"/>
              <v:stroke dashstyle="solid"/>
            </v:shape>
            <v:shape style="position:absolute;left:7098;top:1682;width:71;height:54" coordorigin="7098,1683" coordsize="71,54" path="m7169,1736l7098,1736,7134,1683,7169,1736xe" filled="true" fillcolor="#0000ff" stroked="false">
              <v:path arrowok="t"/>
              <v:fill type="solid"/>
            </v:shape>
            <v:shape style="position:absolute;left:7098;top:1682;width:71;height:54" coordorigin="7098,1683" coordsize="71,54" path="m7134,1683l7169,1736,7098,1736,7134,1683xe" filled="false" stroked="true" strokeweight="1.063192pt" strokecolor="#0000ff">
              <v:path arrowok="t"/>
              <v:stroke dashstyle="solid"/>
            </v:shape>
            <v:shape style="position:absolute;left:6669;top:1966;width:71;height:54" coordorigin="6670,1966" coordsize="71,54" path="m6741,2020l6670,2020,6705,1966,6741,2020xe" filled="true" fillcolor="#0000ff" stroked="false">
              <v:path arrowok="t"/>
              <v:fill type="solid"/>
            </v:shape>
            <v:shape style="position:absolute;left:6669;top:1966;width:71;height:54" coordorigin="6670,1966" coordsize="71,54" path="m6705,1966l6741,2020,6670,2020,6705,1966xe" filled="false" stroked="true" strokeweight="1.063192pt" strokecolor="#0000ff">
              <v:path arrowok="t"/>
              <v:stroke dashstyle="solid"/>
            </v:shape>
            <v:shape style="position:absolute;left:6641;top:1966;width:71;height:54" coordorigin="6641,1966" coordsize="71,54" path="m6712,2020l6641,2020,6677,1966,6712,2020xe" filled="true" fillcolor="#0000ff" stroked="false">
              <v:path arrowok="t"/>
              <v:fill type="solid"/>
            </v:shape>
            <v:shape style="position:absolute;left:6641;top:1966;width:71;height:54" coordorigin="6641,1966" coordsize="71,54" path="m6677,1966l6712,2020,6641,2020,6677,1966xe" filled="false" stroked="true" strokeweight="1.063192pt" strokecolor="#0000ff">
              <v:path arrowok="t"/>
              <v:stroke dashstyle="solid"/>
            </v:shape>
            <v:shape style="position:absolute;left:6992;top:1587;width:71;height:54" coordorigin="6992,1587" coordsize="71,54" path="m7063,1640l6992,1640,7028,1587,7063,1640xe" filled="true" fillcolor="#0000ff" stroked="false">
              <v:path arrowok="t"/>
              <v:fill type="solid"/>
            </v:shape>
            <v:shape style="position:absolute;left:6992;top:1587;width:71;height:54" coordorigin="6992,1587" coordsize="71,54" path="m7028,1587l7063,1640,6992,1640,7028,1587xe" filled="false" stroked="true" strokeweight="1.063192pt" strokecolor="#0000ff">
              <v:path arrowok="t"/>
              <v:stroke dashstyle="solid"/>
            </v:shape>
            <v:shape style="position:absolute;left:7651;top:1271;width:71;height:54" coordorigin="7651,1272" coordsize="71,54" path="m7722,1325l7651,1325,7687,1272,7722,1325xe" filled="true" fillcolor="#0000ff" stroked="false">
              <v:path arrowok="t"/>
              <v:fill type="solid"/>
            </v:shape>
            <v:shape style="position:absolute;left:7651;top:1271;width:71;height:54" coordorigin="7651,1272" coordsize="71,54" path="m7687,1272l7722,1325,7651,1325,7687,1272xe" filled="false" stroked="true" strokeweight="1.063192pt" strokecolor="#0000ff">
              <v:path arrowok="t"/>
              <v:stroke dashstyle="solid"/>
            </v:shape>
            <v:line style="position:absolute" from="3438,3636" to="3452,3625" stroked="true" strokeweight=".531596pt" strokecolor="#00ff00">
              <v:stroke dashstyle="solid"/>
            </v:line>
            <v:line style="position:absolute" from="3452,3625" to="3470,3614" stroked="true" strokeweight=".531599pt" strokecolor="#00ff00">
              <v:stroke dashstyle="solid"/>
            </v:line>
            <v:line style="position:absolute" from="3470,3614" to="3487,3600" stroked="true" strokeweight=".531595pt" strokecolor="#00ff00">
              <v:stroke dashstyle="solid"/>
            </v:line>
            <v:line style="position:absolute" from="3487,3600" to="3505,3586" stroked="true" strokeweight=".531595pt" strokecolor="#00ff00">
              <v:stroke dashstyle="solid"/>
            </v:line>
            <v:line style="position:absolute" from="3505,3586" to="3523,3572" stroked="true" strokeweight=".531595pt" strokecolor="#00ff00">
              <v:stroke dashstyle="solid"/>
            </v:line>
            <v:line style="position:absolute" from="3523,3572" to="3540,3561" stroked="true" strokeweight=".531599pt" strokecolor="#00ff00">
              <v:stroke dashstyle="solid"/>
            </v:line>
            <v:line style="position:absolute" from="3540,3561" to="3558,3547" stroked="true" strokeweight=".531595pt" strokecolor="#00ff00">
              <v:stroke dashstyle="solid"/>
            </v:line>
            <v:line style="position:absolute" from="3558,3547" to="3576,3533" stroked="true" strokeweight=".531595pt" strokecolor="#00ff00">
              <v:stroke dashstyle="solid"/>
            </v:line>
            <v:line style="position:absolute" from="3576,3533" to="3597,3522" stroked="true" strokeweight=".531601pt" strokecolor="#00ff00">
              <v:stroke dashstyle="solid"/>
            </v:line>
            <v:line style="position:absolute" from="3597,3522" to="3615,3508" stroked="true" strokeweight=".531595pt" strokecolor="#00ff00">
              <v:stroke dashstyle="solid"/>
            </v:line>
            <v:line style="position:absolute" from="3615,3508" to="3633,3494" stroked="true" strokeweight=".531595pt" strokecolor="#00ff00">
              <v:stroke dashstyle="solid"/>
            </v:line>
            <v:line style="position:absolute" from="3633,3494" to="3650,3483" stroked="true" strokeweight=".531599pt" strokecolor="#00ff00">
              <v:stroke dashstyle="solid"/>
            </v:line>
            <v:line style="position:absolute" from="3650,3483" to="3668,3469" stroked="true" strokeweight=".531595pt" strokecolor="#00ff00">
              <v:stroke dashstyle="solid"/>
            </v:line>
            <v:line style="position:absolute" from="3668,3469" to="3686,3455" stroked="true" strokeweight=".531595pt" strokecolor="#00ff00">
              <v:stroke dashstyle="solid"/>
            </v:line>
            <v:line style="position:absolute" from="3688,3450" to="3688,3460" stroked="true" strokeweight=".177192pt" strokecolor="#00ff00">
              <v:stroke dashstyle="solid"/>
            </v:line>
            <v:line style="position:absolute" from="3785,3388" to="3796,3381" stroked="true" strokeweight=".531598pt" strokecolor="#00ff00">
              <v:stroke dashstyle="solid"/>
            </v:line>
            <v:line style="position:absolute" from="3796,3381" to="3813,3366" stroked="true" strokeweight=".531595pt" strokecolor="#00ff00">
              <v:stroke dashstyle="solid"/>
            </v:line>
            <v:line style="position:absolute" from="3813,3366" to="3831,3356" stroked="true" strokeweight=".531599pt" strokecolor="#00ff00">
              <v:stroke dashstyle="solid"/>
            </v:line>
            <v:line style="position:absolute" from="3831,3356" to="3849,3342" stroked="true" strokeweight=".531595pt" strokecolor="#00ff00">
              <v:stroke dashstyle="solid"/>
            </v:line>
            <v:line style="position:absolute" from="3944,3274" to="3959,3267" stroked="true" strokeweight=".531601pt" strokecolor="#00ff00">
              <v:stroke dashstyle="solid"/>
            </v:line>
            <v:line style="position:absolute" from="3959,3267" to="3976,3253" stroked="true" strokeweight=".531595pt" strokecolor="#00ff00">
              <v:stroke dashstyle="solid"/>
            </v:line>
            <v:line style="position:absolute" from="3976,3253" to="3994,3239" stroked="true" strokeweight=".531595pt" strokecolor="#00ff00">
              <v:stroke dashstyle="solid"/>
            </v:line>
            <v:line style="position:absolute" from="3994,3239" to="4012,3228" stroked="true" strokeweight=".531599pt" strokecolor="#00ff00">
              <v:stroke dashstyle="solid"/>
            </v:line>
            <v:line style="position:absolute" from="4012,3228" to="4030,3214" stroked="true" strokeweight=".531595pt" strokecolor="#00ff00">
              <v:stroke dashstyle="solid"/>
            </v:line>
            <v:line style="position:absolute" from="4030,3214" to="4047,3203" stroked="true" strokeweight=".531599pt" strokecolor="#00ff00">
              <v:stroke dashstyle="solid"/>
            </v:line>
            <v:line style="position:absolute" from="4047,3203" to="4065,3189" stroked="true" strokeweight=".531595pt" strokecolor="#00ff00">
              <v:stroke dashstyle="solid"/>
            </v:line>
            <v:line style="position:absolute" from="4065,3189" to="4083,3179" stroked="true" strokeweight=".531599pt" strokecolor="#00ff00">
              <v:stroke dashstyle="solid"/>
            </v:line>
            <v:line style="position:absolute" from="4083,3179" to="4104,3164" stroked="true" strokeweight=".531598pt" strokecolor="#00ff00">
              <v:stroke dashstyle="solid"/>
            </v:line>
            <v:line style="position:absolute" from="4104,3164" to="4122,3154" stroked="true" strokeweight=".531599pt" strokecolor="#00ff00">
              <v:stroke dashstyle="solid"/>
            </v:line>
            <v:line style="position:absolute" from="4122,3154" to="4139,3140" stroked="true" strokeweight=".531595pt" strokecolor="#00ff00">
              <v:stroke dashstyle="solid"/>
            </v:line>
            <v:line style="position:absolute" from="4139,3140" to="4157,3129" stroked="true" strokeweight=".531599pt" strokecolor="#00ff00">
              <v:stroke dashstyle="solid"/>
            </v:line>
            <v:line style="position:absolute" from="4157,3129" to="4175,3115" stroked="true" strokeweight=".531595pt" strokecolor="#00ff00">
              <v:stroke dashstyle="solid"/>
            </v:line>
            <v:line style="position:absolute" from="4175,3115" to="4193,3104" stroked="true" strokeweight=".531599pt" strokecolor="#00ff00">
              <v:stroke dashstyle="solid"/>
            </v:line>
            <v:line style="position:absolute" from="4193,3104" to="4196,3101" stroked="true" strokeweight=".531592pt" strokecolor="#00ff00">
              <v:stroke dashstyle="solid"/>
            </v:line>
            <v:line style="position:absolute" from="4292,3037" to="4302,3030" stroked="true" strokeweight=".531598pt" strokecolor="#00ff00">
              <v:stroke dashstyle="solid"/>
            </v:line>
            <v:line style="position:absolute" from="4302,3030" to="4320,3019" stroked="true" strokeweight=".531599pt" strokecolor="#00ff00">
              <v:stroke dashstyle="solid"/>
            </v:line>
            <v:line style="position:absolute" from="4320,3019" to="4338,3005" stroked="true" strokeweight=".531595pt" strokecolor="#00ff00">
              <v:stroke dashstyle="solid"/>
            </v:line>
            <v:line style="position:absolute" from="4338,3005" to="4356,2994" stroked="true" strokeweight=".531599pt" strokecolor="#00ff00">
              <v:stroke dashstyle="solid"/>
            </v:line>
            <v:line style="position:absolute" from="4448,2930" to="4465,2923" stroked="true" strokeweight=".531603pt" strokecolor="#00ff00">
              <v:stroke dashstyle="solid"/>
            </v:line>
            <v:line style="position:absolute" from="4465,2923" to="4483,2909" stroked="true" strokeweight=".531595pt" strokecolor="#00ff00">
              <v:stroke dashstyle="solid"/>
            </v:line>
            <v:line style="position:absolute" from="4483,2909" to="4501,2899" stroked="true" strokeweight=".531599pt" strokecolor="#00ff00">
              <v:stroke dashstyle="solid"/>
            </v:line>
            <v:line style="position:absolute" from="4501,2899" to="4519,2884" stroked="true" strokeweight=".531595pt" strokecolor="#00ff00">
              <v:stroke dashstyle="solid"/>
            </v:line>
            <v:line style="position:absolute" from="4519,2884" to="4536,2874" stroked="true" strokeweight=".531599pt" strokecolor="#00ff00">
              <v:stroke dashstyle="solid"/>
            </v:line>
            <v:line style="position:absolute" from="4536,2874" to="4554,2863" stroked="true" strokeweight=".531599pt" strokecolor="#00ff00">
              <v:stroke dashstyle="solid"/>
            </v:line>
            <v:line style="position:absolute" from="4554,2863" to="4572,2849" stroked="true" strokeweight=".531595pt" strokecolor="#00ff00">
              <v:stroke dashstyle="solid"/>
            </v:line>
            <v:line style="position:absolute" from="4572,2849" to="4593,2838" stroked="true" strokeweight=".531601pt" strokecolor="#00ff00">
              <v:stroke dashstyle="solid"/>
            </v:line>
            <v:line style="position:absolute" from="4593,2838" to="4611,2828" stroked="true" strokeweight=".531599pt" strokecolor="#00ff00">
              <v:stroke dashstyle="solid"/>
            </v:line>
            <v:line style="position:absolute" from="4611,2828" to="4628,2813" stroked="true" strokeweight=".531595pt" strokecolor="#00ff00">
              <v:stroke dashstyle="solid"/>
            </v:line>
            <v:line style="position:absolute" from="4628,2813" to="4646,2803" stroked="true" strokeweight=".531599pt" strokecolor="#00ff00">
              <v:stroke dashstyle="solid"/>
            </v:line>
            <v:line style="position:absolute" from="4646,2803" to="4664,2792" stroked="true" strokeweight=".531599pt" strokecolor="#00ff00">
              <v:stroke dashstyle="solid"/>
            </v:line>
            <v:line style="position:absolute" from="4664,2792" to="4682,2778" stroked="true" strokeweight=".531595pt" strokecolor="#00ff00">
              <v:stroke dashstyle="solid"/>
            </v:line>
            <v:line style="position:absolute" from="4682,2778" to="4699,2767" stroked="true" strokeweight=".531599pt" strokecolor="#00ff00">
              <v:stroke dashstyle="solid"/>
            </v:line>
            <v:line style="position:absolute" from="4701,2762" to="4701,2773" stroked="true" strokeweight=".177192pt" strokecolor="#00ff00">
              <v:stroke dashstyle="solid"/>
            </v:line>
            <v:line style="position:absolute" from="4799,2704" to="4809,2697" stroked="true" strokeweight=".531598pt" strokecolor="#00ff00">
              <v:stroke dashstyle="solid"/>
            </v:line>
            <v:line style="position:absolute" from="4809,2697" to="4827,2686" stroked="true" strokeweight=".531599pt" strokecolor="#00ff00">
              <v:stroke dashstyle="solid"/>
            </v:line>
            <v:line style="position:absolute" from="4827,2686" to="4845,2675" stroked="true" strokeweight=".531599pt" strokecolor="#00ff00">
              <v:stroke dashstyle="solid"/>
            </v:line>
            <v:line style="position:absolute" from="4845,2675" to="4859,2665" stroked="true" strokeweight=".531596pt" strokecolor="#00ff00">
              <v:stroke dashstyle="solid"/>
            </v:line>
            <v:line style="position:absolute" from="4954,2604" to="4972,2594" stroked="true" strokeweight=".531599pt" strokecolor="#00ff00">
              <v:stroke dashstyle="solid"/>
            </v:line>
            <v:line style="position:absolute" from="4972,2594" to="4990,2583" stroked="true" strokeweight=".531599pt" strokecolor="#00ff00">
              <v:stroke dashstyle="solid"/>
            </v:line>
            <v:line style="position:absolute" from="4990,2583" to="5008,2569" stroked="true" strokeweight=".531595pt" strokecolor="#00ff00">
              <v:stroke dashstyle="solid"/>
            </v:line>
            <v:line style="position:absolute" from="5008,2569" to="5025,2558" stroked="true" strokeweight=".531599pt" strokecolor="#00ff00">
              <v:stroke dashstyle="solid"/>
            </v:line>
            <v:line style="position:absolute" from="5025,2558" to="5043,2548" stroked="true" strokeweight=".531599pt" strokecolor="#00ff00">
              <v:stroke dashstyle="solid"/>
            </v:line>
            <v:line style="position:absolute" from="5043,2548" to="5061,2537" stroked="true" strokeweight=".531599pt" strokecolor="#00ff00">
              <v:stroke dashstyle="solid"/>
            </v:line>
            <v:line style="position:absolute" from="5061,2537" to="5079,2523" stroked="true" strokeweight=".531595pt" strokecolor="#00ff00">
              <v:stroke dashstyle="solid"/>
            </v:line>
            <v:line style="position:absolute" from="5079,2523" to="5100,2512" stroked="true" strokeweight=".531601pt" strokecolor="#00ff00">
              <v:stroke dashstyle="solid"/>
            </v:line>
            <v:line style="position:absolute" from="5100,2512" to="5117,2502" stroked="true" strokeweight=".531599pt" strokecolor="#00ff00">
              <v:stroke dashstyle="solid"/>
            </v:line>
            <v:line style="position:absolute" from="5117,2502" to="5135,2491" stroked="true" strokeweight=".531599pt" strokecolor="#00ff00">
              <v:stroke dashstyle="solid"/>
            </v:line>
            <v:line style="position:absolute" from="5135,2491" to="5153,2480" stroked="true" strokeweight=".531599pt" strokecolor="#00ff00">
              <v:stroke dashstyle="solid"/>
            </v:line>
            <v:line style="position:absolute" from="5153,2480" to="5171,2466" stroked="true" strokeweight=".531595pt" strokecolor="#00ff00">
              <v:stroke dashstyle="solid"/>
            </v:line>
            <v:line style="position:absolute" from="5171,2466" to="5188,2456" stroked="true" strokeweight=".531599pt" strokecolor="#00ff00">
              <v:stroke dashstyle="solid"/>
            </v:line>
            <v:line style="position:absolute" from="5188,2456" to="5206,2445" stroked="true" strokeweight=".531599pt" strokecolor="#00ff00">
              <v:stroke dashstyle="solid"/>
            </v:line>
            <v:line style="position:absolute" from="5206,2445" to="5206,2445" stroked="true" strokeweight=".531608pt" strokecolor="#00ff00">
              <v:stroke dashstyle="solid"/>
            </v:line>
            <v:line style="position:absolute" from="5302,2385" to="5316,2378" stroked="true" strokeweight=".531601pt" strokecolor="#00ff00">
              <v:stroke dashstyle="solid"/>
            </v:line>
            <v:line style="position:absolute" from="5316,2378" to="5334,2367" stroked="true" strokeweight=".531599pt" strokecolor="#00ff00">
              <v:stroke dashstyle="solid"/>
            </v:line>
            <v:line style="position:absolute" from="5334,2367" to="5351,2356" stroked="true" strokeweight=".531599pt" strokecolor="#00ff00">
              <v:stroke dashstyle="solid"/>
            </v:line>
            <v:line style="position:absolute" from="5351,2356" to="5366,2346" stroked="true" strokeweight=".531596pt" strokecolor="#00ff00">
              <v:stroke dashstyle="solid"/>
            </v:line>
            <v:shape style="position:absolute;left:5455;top:2131;width:263;height:164" type="#_x0000_t75" stroked="false">
              <v:imagedata r:id="rId143" o:title=""/>
            </v:shape>
            <v:line style="position:absolute" from="5809,2080" to="5823,2069" stroked="true" strokeweight=".531596pt" strokecolor="#00ff00">
              <v:stroke dashstyle="solid"/>
            </v:line>
            <v:line style="position:absolute" from="5823,2069" to="5840,2059" stroked="true" strokeweight=".531599pt" strokecolor="#00ff00">
              <v:stroke dashstyle="solid"/>
            </v:line>
            <v:line style="position:absolute" from="5840,2059" to="5858,2048" stroked="true" strokeweight=".531599pt" strokecolor="#00ff00">
              <v:stroke dashstyle="solid"/>
            </v:line>
            <v:line style="position:absolute" from="5858,2048" to="5872,2041" stroked="true" strokeweight=".531601pt" strokecolor="#00ff00">
              <v:stroke dashstyle="solid"/>
            </v:line>
            <v:line style="position:absolute" from="5966,1979" to="5966,1989" stroked="true" strokeweight=".177192pt" strokecolor="#00ff00">
              <v:stroke dashstyle="solid"/>
            </v:line>
            <v:line style="position:absolute" from="5968,1984" to="5986,1974" stroked="true" strokeweight=".531599pt" strokecolor="#00ff00">
              <v:stroke dashstyle="solid"/>
            </v:line>
            <v:line style="position:absolute" from="5986,1974" to="6003,1963" stroked="true" strokeweight=".531599pt" strokecolor="#00ff00">
              <v:stroke dashstyle="solid"/>
            </v:line>
            <v:line style="position:absolute" from="6003,1963" to="6021,1952" stroked="true" strokeweight=".531599pt" strokecolor="#00ff00">
              <v:stroke dashstyle="solid"/>
            </v:line>
            <v:line style="position:absolute" from="6021,1952" to="6039,1942" stroked="true" strokeweight=".531599pt" strokecolor="#00ff00">
              <v:stroke dashstyle="solid"/>
            </v:line>
            <v:line style="position:absolute" from="6039,1942" to="6057,1931" stroked="true" strokeweight=".531599pt" strokecolor="#00ff00">
              <v:stroke dashstyle="solid"/>
            </v:line>
            <v:line style="position:absolute" from="6057,1931" to="6074,1920" stroked="true" strokeweight=".531599pt" strokecolor="#00ff00">
              <v:stroke dashstyle="solid"/>
            </v:line>
            <v:line style="position:absolute" from="6074,1920" to="6092,1910" stroked="true" strokeweight=".531599pt" strokecolor="#00ff00">
              <v:stroke dashstyle="solid"/>
            </v:line>
            <v:line style="position:absolute" from="6092,1910" to="6113,1899" stroked="true" strokeweight=".531601pt" strokecolor="#00ff00">
              <v:stroke dashstyle="solid"/>
            </v:line>
            <v:line style="position:absolute" from="6113,1899" to="6131,1888" stroked="true" strokeweight=".531599pt" strokecolor="#00ff00">
              <v:stroke dashstyle="solid"/>
            </v:line>
            <v:line style="position:absolute" from="6131,1888" to="6149,1878" stroked="true" strokeweight=".531599pt" strokecolor="#00ff00">
              <v:stroke dashstyle="solid"/>
            </v:line>
            <v:line style="position:absolute" from="6149,1878" to="6166,1867" stroked="true" strokeweight=".531599pt" strokecolor="#00ff00">
              <v:stroke dashstyle="solid"/>
            </v:line>
            <v:line style="position:absolute" from="6166,1867" to="6184,1857" stroked="true" strokeweight=".531599pt" strokecolor="#00ff00">
              <v:stroke dashstyle="solid"/>
            </v:line>
            <v:line style="position:absolute" from="6184,1857" to="6202,1846" stroked="true" strokeweight=".531599pt" strokecolor="#00ff00">
              <v:stroke dashstyle="solid"/>
            </v:line>
            <v:line style="position:absolute" from="6202,1846" to="6220,1839" stroked="true" strokeweight=".531603pt" strokecolor="#00ff00">
              <v:stroke dashstyle="solid"/>
            </v:line>
            <v:line style="position:absolute" from="6315,1782" to="6329,1775" stroked="true" strokeweight=".531601pt" strokecolor="#00ff00">
              <v:stroke dashstyle="solid"/>
            </v:line>
            <v:line style="position:absolute" from="6329,1775" to="6347,1764" stroked="true" strokeweight=".531599pt" strokecolor="#00ff00">
              <v:stroke dashstyle="solid"/>
            </v:line>
            <v:line style="position:absolute" from="6347,1764" to="6365,1754" stroked="true" strokeweight=".531599pt" strokecolor="#00ff00">
              <v:stroke dashstyle="solid"/>
            </v:line>
            <v:line style="position:absolute" from="6365,1754" to="6376,1747" stroked="true" strokeweight=".531598pt" strokecolor="#00ff00">
              <v:stroke dashstyle="solid"/>
            </v:line>
            <v:line style="position:absolute" from="6471,1694" to="6475,1690" stroked="true" strokeweight=".531592pt" strokecolor="#00ff00">
              <v:stroke dashstyle="solid"/>
            </v:line>
            <v:line style="position:absolute" from="6475,1690" to="6493,1679" stroked="true" strokeweight=".531599pt" strokecolor="#00ff00">
              <v:stroke dashstyle="solid"/>
            </v:line>
            <v:line style="position:absolute" from="6493,1679" to="6510,1672" stroked="true" strokeweight=".531603pt" strokecolor="#00ff00">
              <v:stroke dashstyle="solid"/>
            </v:line>
            <v:line style="position:absolute" from="6510,1672" to="6528,1662" stroked="true" strokeweight=".531599pt" strokecolor="#00ff00">
              <v:stroke dashstyle="solid"/>
            </v:line>
            <v:line style="position:absolute" from="6528,1662" to="6546,1651" stroked="true" strokeweight=".531599pt" strokecolor="#00ff00">
              <v:stroke dashstyle="solid"/>
            </v:line>
            <v:line style="position:absolute" from="6546,1651" to="6563,1640" stroked="true" strokeweight=".531599pt" strokecolor="#00ff00">
              <v:stroke dashstyle="solid"/>
            </v:line>
            <v:line style="position:absolute" from="6563,1640" to="6581,1630" stroked="true" strokeweight=".531599pt" strokecolor="#00ff00">
              <v:stroke dashstyle="solid"/>
            </v:line>
            <v:line style="position:absolute" from="6581,1630" to="6602,1619" stroked="true" strokeweight=".531601pt" strokecolor="#00ff00">
              <v:stroke dashstyle="solid"/>
            </v:line>
            <v:line style="position:absolute" from="6602,1619" to="6620,1608" stroked="true" strokeweight=".531599pt" strokecolor="#00ff00">
              <v:stroke dashstyle="solid"/>
            </v:line>
            <v:line style="position:absolute" from="6620,1608" to="6638,1598" stroked="true" strokeweight=".531599pt" strokecolor="#00ff00">
              <v:stroke dashstyle="solid"/>
            </v:line>
            <v:line style="position:absolute" from="6638,1598" to="6656,1591" stroked="true" strokeweight=".531603pt" strokecolor="#00ff00">
              <v:stroke dashstyle="solid"/>
            </v:line>
            <v:line style="position:absolute" from="6656,1591" to="6673,1580" stroked="true" strokeweight=".531599pt" strokecolor="#00ff00">
              <v:stroke dashstyle="solid"/>
            </v:line>
            <v:line style="position:absolute" from="6673,1580" to="6691,1570" stroked="true" strokeweight=".531599pt" strokecolor="#00ff00">
              <v:stroke dashstyle="solid"/>
            </v:line>
            <v:line style="position:absolute" from="6691,1570" to="6709,1559" stroked="true" strokeweight=".531599pt" strokecolor="#00ff00">
              <v:stroke dashstyle="solid"/>
            </v:line>
            <v:line style="position:absolute" from="6709,1559" to="6723,1552" stroked="true" strokeweight=".531601pt" strokecolor="#00ff00">
              <v:stroke dashstyle="solid"/>
            </v:line>
            <v:line style="position:absolute" from="6819,1499" to="6836,1488" stroked="true" strokeweight=".531599pt" strokecolor="#00ff00">
              <v:stroke dashstyle="solid"/>
            </v:line>
            <v:line style="position:absolute" from="6836,1488" to="6854,1477" stroked="true" strokeweight=".531599pt" strokecolor="#00ff00">
              <v:stroke dashstyle="solid"/>
            </v:line>
            <v:line style="position:absolute" from="6854,1477" to="6872,1467" stroked="true" strokeweight=".531599pt" strokecolor="#00ff00">
              <v:stroke dashstyle="solid"/>
            </v:line>
            <v:line style="position:absolute" from="6872,1467" to="6882,1463" stroked="true" strokeweight=".531605pt" strokecolor="#00ff00">
              <v:stroke dashstyle="solid"/>
            </v:line>
            <v:line style="position:absolute" from="6978,1410" to="6982,1406" stroked="true" strokeweight=".531592pt" strokecolor="#00ff00">
              <v:stroke dashstyle="solid"/>
            </v:line>
            <v:line style="position:absolute" from="6982,1406" to="6999,1396" stroked="true" strokeweight=".531599pt" strokecolor="#00ff00">
              <v:stroke dashstyle="solid"/>
            </v:line>
            <v:line style="position:absolute" from="6999,1396" to="7017,1389" stroked="true" strokeweight=".531603pt" strokecolor="#00ff00">
              <v:stroke dashstyle="solid"/>
            </v:line>
            <v:line style="position:absolute" from="7017,1389" to="7035,1378" stroked="true" strokeweight=".531599pt" strokecolor="#00ff00">
              <v:stroke dashstyle="solid"/>
            </v:line>
            <v:line style="position:absolute" from="7035,1378" to="7052,1368" stroked="true" strokeweight=".531599pt" strokecolor="#00ff00">
              <v:stroke dashstyle="solid"/>
            </v:line>
            <v:line style="position:absolute" from="7052,1368" to="7070,1357" stroked="true" strokeweight=".531599pt" strokecolor="#00ff00">
              <v:stroke dashstyle="solid"/>
            </v:line>
            <v:line style="position:absolute" from="7070,1357" to="7088,1346" stroked="true" strokeweight=".531599pt" strokecolor="#00ff00">
              <v:stroke dashstyle="solid"/>
            </v:line>
            <v:line style="position:absolute" from="7088,1346" to="7109,1339" stroked="true" strokeweight=".531605pt" strokecolor="#00ff00">
              <v:stroke dashstyle="solid"/>
            </v:line>
            <v:line style="position:absolute" from="7109,1339" to="7127,1329" stroked="true" strokeweight=".531599pt" strokecolor="#00ff00">
              <v:stroke dashstyle="solid"/>
            </v:line>
            <v:line style="position:absolute" from="7127,1329" to="7145,1318" stroked="true" strokeweight=".531599pt" strokecolor="#00ff00">
              <v:stroke dashstyle="solid"/>
            </v:line>
            <v:line style="position:absolute" from="7145,1318" to="7162,1307" stroked="true" strokeweight=".531599pt" strokecolor="#00ff00">
              <v:stroke dashstyle="solid"/>
            </v:line>
            <v:line style="position:absolute" from="7162,1307" to="7180,1300" stroked="true" strokeweight=".531603pt" strokecolor="#00ff00">
              <v:stroke dashstyle="solid"/>
            </v:line>
            <v:line style="position:absolute" from="7180,1300" to="7198,1290" stroked="true" strokeweight=".531599pt" strokecolor="#00ff00">
              <v:stroke dashstyle="solid"/>
            </v:line>
            <v:line style="position:absolute" from="7198,1290" to="7215,1279" stroked="true" strokeweight=".531599pt" strokecolor="#00ff00">
              <v:stroke dashstyle="solid"/>
            </v:line>
            <v:line style="position:absolute" from="7215,1279" to="7230,1272" stroked="true" strokeweight=".531601pt" strokecolor="#00ff00">
              <v:stroke dashstyle="solid"/>
            </v:line>
            <v:shape style="position:absolute;left:7325;top:1211;width:18;height:8" coordorigin="7325,1212" coordsize="18,8" path="m7325,1219l7325,1219m7325,1219l7343,1212e" filled="false" stroked="true" strokeweight=".531592pt" strokecolor="#00ff00">
              <v:path arrowok="t"/>
              <v:stroke dashstyle="solid"/>
            </v:shape>
            <v:line style="position:absolute" from="7343,1212" to="7361,1201" stroked="true" strokeweight=".531599pt" strokecolor="#00ff00">
              <v:stroke dashstyle="solid"/>
            </v:line>
            <v:line style="position:absolute" from="7361,1201" to="7378,1190" stroked="true" strokeweight=".531599pt" strokecolor="#00ff00">
              <v:stroke dashstyle="solid"/>
            </v:line>
            <v:line style="position:absolute" from="7378,1190" to="7389,1187" stroked="true" strokeweight=".531605pt" strokecolor="#00ff00">
              <v:stroke dashstyle="solid"/>
            </v:line>
            <v:line style="position:absolute" from="7481,1134" to="7488,1134" stroked="true" strokeweight=".531608pt" strokecolor="#00ff00">
              <v:stroke dashstyle="solid"/>
            </v:line>
            <v:line style="position:absolute" from="7488,1134" to="7506,1123" stroked="true" strokeweight=".531599pt" strokecolor="#00ff00">
              <v:stroke dashstyle="solid"/>
            </v:line>
            <v:line style="position:absolute" from="7506,1123" to="7524,1112" stroked="true" strokeweight=".531599pt" strokecolor="#00ff00">
              <v:stroke dashstyle="solid"/>
            </v:line>
            <v:line style="position:absolute" from="7524,1112" to="7541,1102" stroked="true" strokeweight=".531599pt" strokecolor="#00ff00">
              <v:stroke dashstyle="solid"/>
            </v:line>
            <v:line style="position:absolute" from="7541,1102" to="7559,1095" stroked="true" strokeweight=".531603pt" strokecolor="#00ff00">
              <v:stroke dashstyle="solid"/>
            </v:line>
            <v:line style="position:absolute" from="7559,1095" to="7577,1084" stroked="true" strokeweight=".531599pt" strokecolor="#00ff00">
              <v:stroke dashstyle="solid"/>
            </v:line>
            <v:line style="position:absolute" from="7577,1084" to="7595,1073" stroked="true" strokeweight=".531599pt" strokecolor="#00ff00">
              <v:stroke dashstyle="solid"/>
            </v:line>
            <v:line style="position:absolute" from="7595,1073" to="7616,1066" stroked="true" strokeweight=".531605pt" strokecolor="#00ff00">
              <v:stroke dashstyle="solid"/>
            </v:line>
            <v:line style="position:absolute" from="7616,1066" to="7634,1056" stroked="true" strokeweight=".531599pt" strokecolor="#00ff00">
              <v:stroke dashstyle="solid"/>
            </v:line>
            <v:line style="position:absolute" from="7634,1056" to="7651,1045" stroked="true" strokeweight=".531599pt" strokecolor="#00ff00">
              <v:stroke dashstyle="solid"/>
            </v:line>
            <v:line style="position:absolute" from="7651,1045" to="7669,1038" stroked="true" strokeweight=".531603pt" strokecolor="#00ff00">
              <v:stroke dashstyle="solid"/>
            </v:line>
            <v:line style="position:absolute" from="7669,1038" to="7687,1027" stroked="true" strokeweight=".531599pt" strokecolor="#00ff00">
              <v:stroke dashstyle="solid"/>
            </v:line>
            <v:line style="position:absolute" from="7687,1027" to="7705,1017" stroked="true" strokeweight=".531599pt" strokecolor="#00ff00">
              <v:stroke dashstyle="solid"/>
            </v:line>
            <v:line style="position:absolute" from="7705,1017" to="7722,1006" stroked="true" strokeweight=".531599pt" strokecolor="#00ff00">
              <v:stroke dashstyle="solid"/>
            </v:line>
            <v:line style="position:absolute" from="7722,1006" to="7736,1002" stroked="true" strokeweight=".531606pt" strokecolor="#00ff00">
              <v:stroke dashstyle="solid"/>
            </v:line>
            <v:shape style="position:absolute;left:7832;top:942;width:18;height:8" coordorigin="7832,942" coordsize="18,8" path="m7832,949l7832,949m7832,949l7850,942e" filled="false" stroked="true" strokeweight=".531592pt" strokecolor="#00ff00">
              <v:path arrowok="t"/>
              <v:stroke dashstyle="solid"/>
            </v:shape>
            <v:line style="position:absolute" from="7850,942" to="7868,932" stroked="true" strokeweight=".531599pt" strokecolor="#00ff00">
              <v:stroke dashstyle="solid"/>
            </v:line>
            <v:line style="position:absolute" from="7868,932" to="7885,921" stroked="true" strokeweight=".531599pt" strokecolor="#00ff00">
              <v:stroke dashstyle="solid"/>
            </v:line>
            <v:line style="position:absolute" from="7885,921" to="7892,917" stroked="true" strokeweight=".531601pt" strokecolor="#00ff00">
              <v:stroke dashstyle="solid"/>
            </v:line>
            <v:shape style="position:absolute;left:7982;top:731;width:263;height:142" type="#_x0000_t75" stroked="false">
              <v:imagedata r:id="rId144" o:title=""/>
            </v:shape>
            <v:line style="position:absolute" from="8335,691" to="8339,687" stroked="true" strokeweight=".531592pt" strokecolor="#00ff00">
              <v:stroke dashstyle="solid"/>
            </v:line>
            <v:line style="position:absolute" from="8339,687" to="8357,680" stroked="true" strokeweight=".531603pt" strokecolor="#00ff00">
              <v:stroke dashstyle="solid"/>
            </v:line>
            <v:line style="position:absolute" from="8357,680" to="8374,669" stroked="true" strokeweight=".531599pt" strokecolor="#00ff00">
              <v:stroke dashstyle="solid"/>
            </v:line>
            <v:line style="position:absolute" from="8374,669" to="8392,659" stroked="true" strokeweight=".531599pt" strokecolor="#00ff00">
              <v:stroke dashstyle="solid"/>
            </v:line>
            <v:line style="position:absolute" from="8392,659" to="8399,659" stroked="true" strokeweight=".531608pt" strokecolor="#00ff00">
              <v:stroke dashstyle="solid"/>
            </v:line>
            <v:line style="position:absolute" from="8495,609" to="8502,606" stroked="true" strokeweight=".531601pt" strokecolor="#00ff00">
              <v:stroke dashstyle="solid"/>
            </v:line>
            <v:line style="position:absolute" from="8502,606" to="8520,595" stroked="true" strokeweight=".531599pt" strokecolor="#00ff00">
              <v:stroke dashstyle="solid"/>
            </v:line>
            <v:line style="position:absolute" from="8520,595" to="8537,588" stroked="true" strokeweight=".531603pt" strokecolor="#00ff00">
              <v:stroke dashstyle="solid"/>
            </v:line>
            <v:line style="position:absolute" from="8537,588" to="8555,577" stroked="true" strokeweight=".531599pt" strokecolor="#00ff00">
              <v:stroke dashstyle="solid"/>
            </v:line>
            <v:line style="position:absolute" from="8555,577" to="8573,570" stroked="true" strokeweight=".531603pt" strokecolor="#00ff00">
              <v:stroke dashstyle="solid"/>
            </v:line>
            <v:line style="position:absolute" from="8573,570" to="8590,559" stroked="true" strokeweight=".531599pt" strokecolor="#00ff00">
              <v:stroke dashstyle="solid"/>
            </v:line>
            <v:line style="position:absolute" from="8590,559" to="8608,549" stroked="true" strokeweight=".531599pt" strokecolor="#00ff00">
              <v:stroke dashstyle="solid"/>
            </v:line>
            <v:line style="position:absolute" from="8608,549" to="8629,542" stroked="true" strokeweight=".531605pt" strokecolor="#00ff00">
              <v:stroke dashstyle="solid"/>
            </v:line>
            <v:line style="position:absolute" from="8629,542" to="8647,531" stroked="true" strokeweight=".531599pt" strokecolor="#00ff00">
              <v:stroke dashstyle="solid"/>
            </v:line>
            <v:line style="position:absolute" from="8647,531" to="8665,524" stroked="true" strokeweight=".531603pt" strokecolor="#00ff00">
              <v:stroke dashstyle="solid"/>
            </v:line>
            <v:line style="position:absolute" from="8665,524" to="8683,513" stroked="true" strokeweight=".531599pt" strokecolor="#00ff00">
              <v:stroke dashstyle="solid"/>
            </v:line>
            <v:line style="position:absolute" from="8683,513" to="8700,506" stroked="true" strokeweight=".531603pt" strokecolor="#00ff00">
              <v:stroke dashstyle="solid"/>
            </v:line>
            <v:line style="position:absolute" from="8700,506" to="8718,496" stroked="true" strokeweight=".531599pt" strokecolor="#00ff00">
              <v:stroke dashstyle="solid"/>
            </v:line>
            <v:line style="position:absolute" from="8718,496" to="8736,489" stroked="true" strokeweight=".531603pt" strokecolor="#00ff00">
              <v:stroke dashstyle="solid"/>
            </v:line>
            <v:line style="position:absolute" from="8736,489" to="8746,481" stroked="true" strokeweight=".531598pt" strokecolor="#00ff00">
              <v:stroke dashstyle="solid"/>
            </v:line>
            <v:line style="position:absolute" from="8842,435" to="8846,432" stroked="true" strokeweight=".531592pt" strokecolor="#00ff00">
              <v:stroke dashstyle="solid"/>
            </v:line>
            <v:line style="position:absolute" from="8846,432" to="8863,425" stroked="true" strokeweight=".531603pt" strokecolor="#00ff00">
              <v:stroke dashstyle="solid"/>
            </v:line>
            <v:line style="position:absolute" from="8863,425" to="8881,414" stroked="true" strokeweight=".531599pt" strokecolor="#00ff00">
              <v:stroke dashstyle="solid"/>
            </v:line>
            <v:line style="position:absolute" from="8881,414" to="8899,407" stroked="true" strokeweight=".531603pt" strokecolor="#00ff00">
              <v:stroke dashstyle="solid"/>
            </v:line>
            <v:line style="position:absolute" from="8899,407" to="8906,404" stroked="true" strokeweight=".531601pt" strokecolor="#00ff00">
              <v:stroke dashstyle="solid"/>
            </v:line>
            <v:shape style="position:absolute;left:8992;top:228;width:266;height:135" type="#_x0000_t75" stroked="false">
              <v:imagedata r:id="rId145" o:title=""/>
            </v:shape>
            <v:line style="position:absolute" from="9345,187" to="9352,184" stroked="true" strokeweight=".531601pt" strokecolor="#00ff00">
              <v:stroke dashstyle="solid"/>
            </v:line>
            <v:line style="position:absolute" from="9352,184" to="9370,173" stroked="true" strokeweight=".531599pt" strokecolor="#00ff00">
              <v:stroke dashstyle="solid"/>
            </v:line>
            <v:line style="position:absolute" from="9370,173" to="9388,166" stroked="true" strokeweight=".531603pt" strokecolor="#00ff00">
              <v:stroke dashstyle="solid"/>
            </v:line>
            <v:line style="position:absolute" from="9388,166" to="9406,155" stroked="true" strokeweight=".531599pt" strokecolor="#00ff00">
              <v:stroke dashstyle="solid"/>
            </v:line>
            <v:line style="position:absolute" from="9407,150" to="9407,161" stroked="true" strokeweight=".177192pt" strokecolor="#00ff00">
              <v:stroke dashstyle="solid"/>
            </v:line>
            <v:shape style="position:absolute;left:3434;top:357;width:71;height:57" coordorigin="3434,357" coordsize="71,57" path="m3470,414l3434,386,3470,357,3505,386,3470,414xe" filled="true" fillcolor="#ff0000" stroked="false">
              <v:path arrowok="t"/>
              <v:fill type="solid"/>
            </v:shape>
            <v:shape style="position:absolute;left:3434;top:357;width:71;height:57" coordorigin="3434,357" coordsize="71,57" path="m3470,357l3505,386,3470,414,3434,386,3470,357xe" filled="false" stroked="true" strokeweight="1.063190pt" strokecolor="#ff0000">
              <v:path arrowok="t"/>
              <v:stroke dashstyle="solid"/>
            </v:shape>
            <v:shape style="position:absolute;left:3434;top:601;width:68;height:54" coordorigin="3434,602" coordsize="68,54" path="m3502,655l3434,655,3470,602,3502,655xe" filled="true" fillcolor="#0000ff" stroked="false">
              <v:path arrowok="t"/>
              <v:fill type="solid"/>
            </v:shape>
            <v:shape style="position:absolute;left:3434;top:601;width:68;height:54" coordorigin="3434,602" coordsize="68,54" path="m3470,602l3502,655,3434,655,3470,602xe" filled="false" stroked="true" strokeweight="1.063191pt" strokecolor="#0000ff">
              <v:path arrowok="t"/>
              <v:stroke dashstyle="solid"/>
            </v:shape>
            <v:line style="position:absolute" from="3292,889" to="3356,889" stroked="true" strokeweight=".531608pt" strokecolor="#00ff00">
              <v:stroke dashstyle="solid"/>
            </v:line>
            <v:line style="position:absolute" from="3452,889" to="3633,889" stroked="true" strokeweight=".531608pt" strokecolor="#00ff00">
              <v:stroke dashstyle="solid"/>
            </v:line>
            <v:shape style="position:absolute;left:3097;top:95;width:6539;height:3562" type="#_x0000_t202" filled="false" stroked="false">
              <v:textbox inset="0,0,0,0">
                <w:txbxContent>
                  <w:p>
                    <w:pPr>
                      <w:spacing w:line="240" w:lineRule="auto" w:before="6"/>
                      <w:rPr>
                        <w:i/>
                        <w:sz w:val="14"/>
                      </w:rPr>
                    </w:pPr>
                  </w:p>
                  <w:p>
                    <w:pPr>
                      <w:spacing w:line="309" w:lineRule="auto" w:before="0"/>
                      <w:ind w:left="588" w:right="518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pacing w:val="-1"/>
                        <w:sz w:val="17"/>
                      </w:rPr>
                      <w:t>SPF-S data</w:t>
                    </w:r>
                    <w:r>
                      <w:rPr>
                        <w:spacing w:val="-40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SYP</w:t>
                    </w:r>
                    <w:r>
                      <w:rPr>
                        <w:spacing w:val="-3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data</w:t>
                    </w:r>
                  </w:p>
                  <w:p>
                    <w:pPr>
                      <w:spacing w:before="3"/>
                      <w:ind w:left="588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Force</w:t>
                    </w:r>
                    <w:r>
                      <w:rPr>
                        <w:spacing w:val="1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Law</w:t>
                    </w:r>
                    <w:r>
                      <w:rPr>
                        <w:spacing w:val="-4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model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23.395309pt;margin-top:8.324630pt;width:16.650pt;height:159.050pt;mso-position-horizontal-relative:page;mso-position-vertical-relative:paragraph;z-index:15819264" type="#_x0000_t202" filled="false" stroked="false">
            <v:textbox inset="0,0,0,0" style="layout-flow:vertical;mso-layout-flow-alt:bottom-to-top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sz w:val="22"/>
                    </w:rPr>
                  </w:pPr>
                  <w:r>
                    <w:rPr>
                      <w:spacing w:val="-1"/>
                      <w:w w:val="105"/>
                      <w:sz w:val="22"/>
                    </w:rPr>
                    <w:t>Depth</w:t>
                  </w:r>
                  <w:r>
                    <w:rPr>
                      <w:spacing w:val="-13"/>
                      <w:w w:val="105"/>
                      <w:sz w:val="22"/>
                    </w:rPr>
                    <w:t> </w:t>
                  </w:r>
                  <w:r>
                    <w:rPr>
                      <w:spacing w:val="-1"/>
                      <w:w w:val="105"/>
                      <w:sz w:val="22"/>
                    </w:rPr>
                    <w:t>of</w:t>
                  </w:r>
                  <w:r>
                    <w:rPr>
                      <w:spacing w:val="-13"/>
                      <w:w w:val="105"/>
                      <w:sz w:val="22"/>
                    </w:rPr>
                    <w:t> </w:t>
                  </w:r>
                  <w:r>
                    <w:rPr>
                      <w:spacing w:val="-1"/>
                      <w:w w:val="105"/>
                      <w:sz w:val="22"/>
                    </w:rPr>
                    <w:t>Penetration</w:t>
                  </w:r>
                  <w:r>
                    <w:rPr>
                      <w:spacing w:val="-13"/>
                      <w:w w:val="105"/>
                      <w:sz w:val="22"/>
                    </w:rPr>
                    <w:t> </w:t>
                  </w:r>
                  <w:r>
                    <w:rPr>
                      <w:spacing w:val="-1"/>
                      <w:w w:val="105"/>
                      <w:sz w:val="22"/>
                    </w:rPr>
                    <w:t>(T</w:t>
                  </w:r>
                  <w:r>
                    <w:rPr>
                      <w:spacing w:val="-1"/>
                      <w:w w:val="105"/>
                      <w:position w:val="-4"/>
                      <w:sz w:val="17"/>
                    </w:rPr>
                    <w:t>w</w:t>
                  </w:r>
                  <w:r>
                    <w:rPr>
                      <w:spacing w:val="-1"/>
                      <w:w w:val="105"/>
                      <w:sz w:val="22"/>
                    </w:rPr>
                    <w:t>)</w:t>
                  </w:r>
                  <w:r>
                    <w:rPr>
                      <w:spacing w:val="-13"/>
                      <w:w w:val="105"/>
                      <w:sz w:val="22"/>
                    </w:rPr>
                    <w:t> </w:t>
                  </w:r>
                  <w:r>
                    <w:rPr>
                      <w:w w:val="105"/>
                      <w:sz w:val="22"/>
                    </w:rPr>
                    <w:t>(inches)</w:t>
                  </w:r>
                </w:p>
              </w:txbxContent>
            </v:textbox>
            <w10:wrap type="none"/>
          </v:shape>
        </w:pict>
      </w:r>
      <w:r>
        <w:rPr>
          <w:w w:val="105"/>
          <w:sz w:val="15"/>
        </w:rPr>
        <w:t>14</w:t>
      </w:r>
    </w:p>
    <w:p>
      <w:pPr>
        <w:spacing w:before="83"/>
        <w:ind w:left="1150" w:right="0" w:firstLine="0"/>
        <w:jc w:val="left"/>
        <w:rPr>
          <w:sz w:val="15"/>
        </w:rPr>
      </w:pPr>
      <w:r>
        <w:rPr>
          <w:w w:val="105"/>
          <w:sz w:val="15"/>
        </w:rPr>
        <w:t>13</w:t>
      </w:r>
    </w:p>
    <w:p>
      <w:pPr>
        <w:spacing w:before="79"/>
        <w:ind w:left="1150" w:right="0" w:firstLine="0"/>
        <w:jc w:val="left"/>
        <w:rPr>
          <w:sz w:val="15"/>
        </w:rPr>
      </w:pPr>
      <w:r>
        <w:rPr>
          <w:w w:val="105"/>
          <w:sz w:val="15"/>
        </w:rPr>
        <w:t>12</w:t>
      </w:r>
    </w:p>
    <w:p>
      <w:pPr>
        <w:spacing w:before="79"/>
        <w:ind w:left="1150" w:right="0" w:firstLine="0"/>
        <w:jc w:val="left"/>
        <w:rPr>
          <w:sz w:val="15"/>
        </w:rPr>
      </w:pPr>
      <w:r>
        <w:rPr>
          <w:w w:val="105"/>
          <w:sz w:val="15"/>
        </w:rPr>
        <w:t>11</w:t>
      </w:r>
    </w:p>
    <w:p>
      <w:pPr>
        <w:spacing w:before="83"/>
        <w:ind w:left="1150" w:right="0" w:firstLine="0"/>
        <w:jc w:val="left"/>
        <w:rPr>
          <w:sz w:val="15"/>
        </w:rPr>
      </w:pPr>
      <w:r>
        <w:rPr>
          <w:w w:val="105"/>
          <w:sz w:val="15"/>
        </w:rPr>
        <w:t>10</w:t>
      </w:r>
    </w:p>
    <w:p>
      <w:pPr>
        <w:spacing w:before="79"/>
        <w:ind w:left="1228" w:right="0" w:firstLine="0"/>
        <w:jc w:val="left"/>
        <w:rPr>
          <w:sz w:val="15"/>
        </w:rPr>
      </w:pPr>
      <w:r>
        <w:rPr>
          <w:w w:val="103"/>
          <w:sz w:val="15"/>
        </w:rPr>
        <w:t>9</w:t>
      </w:r>
    </w:p>
    <w:p>
      <w:pPr>
        <w:spacing w:before="79"/>
        <w:ind w:left="1228" w:right="0" w:firstLine="0"/>
        <w:jc w:val="left"/>
        <w:rPr>
          <w:sz w:val="15"/>
        </w:rPr>
      </w:pPr>
      <w:r>
        <w:rPr>
          <w:w w:val="103"/>
          <w:sz w:val="15"/>
        </w:rPr>
        <w:t>8</w:t>
      </w:r>
    </w:p>
    <w:p>
      <w:pPr>
        <w:spacing w:before="83"/>
        <w:ind w:left="1228" w:right="0" w:firstLine="0"/>
        <w:jc w:val="left"/>
        <w:rPr>
          <w:sz w:val="15"/>
        </w:rPr>
      </w:pPr>
      <w:r>
        <w:rPr>
          <w:w w:val="103"/>
          <w:sz w:val="15"/>
        </w:rPr>
        <w:t>7</w:t>
      </w:r>
    </w:p>
    <w:p>
      <w:pPr>
        <w:spacing w:before="79"/>
        <w:ind w:left="1228" w:right="0" w:firstLine="0"/>
        <w:jc w:val="left"/>
        <w:rPr>
          <w:sz w:val="15"/>
        </w:rPr>
      </w:pPr>
      <w:r>
        <w:rPr>
          <w:w w:val="103"/>
          <w:sz w:val="15"/>
        </w:rPr>
        <w:t>6</w:t>
      </w:r>
    </w:p>
    <w:p>
      <w:pPr>
        <w:spacing w:before="83"/>
        <w:ind w:left="1228" w:right="0" w:firstLine="0"/>
        <w:jc w:val="left"/>
        <w:rPr>
          <w:sz w:val="15"/>
        </w:rPr>
      </w:pPr>
      <w:r>
        <w:rPr>
          <w:w w:val="103"/>
          <w:sz w:val="15"/>
        </w:rPr>
        <w:t>5</w:t>
      </w:r>
    </w:p>
    <w:p>
      <w:pPr>
        <w:spacing w:before="79"/>
        <w:ind w:left="1228" w:right="0" w:firstLine="0"/>
        <w:jc w:val="left"/>
        <w:rPr>
          <w:sz w:val="15"/>
        </w:rPr>
      </w:pPr>
      <w:r>
        <w:rPr>
          <w:w w:val="103"/>
          <w:sz w:val="15"/>
        </w:rPr>
        <w:t>4</w:t>
      </w:r>
    </w:p>
    <w:p>
      <w:pPr>
        <w:spacing w:before="79"/>
        <w:ind w:left="1228" w:right="0" w:firstLine="0"/>
        <w:jc w:val="left"/>
        <w:rPr>
          <w:sz w:val="15"/>
        </w:rPr>
      </w:pPr>
      <w:r>
        <w:rPr>
          <w:w w:val="103"/>
          <w:sz w:val="15"/>
        </w:rPr>
        <w:t>3</w:t>
      </w:r>
    </w:p>
    <w:p>
      <w:pPr>
        <w:spacing w:before="83"/>
        <w:ind w:left="1228" w:right="0" w:firstLine="0"/>
        <w:jc w:val="left"/>
        <w:rPr>
          <w:sz w:val="15"/>
        </w:rPr>
      </w:pPr>
      <w:r>
        <w:rPr>
          <w:w w:val="103"/>
          <w:sz w:val="15"/>
        </w:rPr>
        <w:t>2</w:t>
      </w:r>
    </w:p>
    <w:p>
      <w:pPr>
        <w:spacing w:before="79"/>
        <w:ind w:left="1228" w:right="0" w:firstLine="0"/>
        <w:jc w:val="left"/>
        <w:rPr>
          <w:sz w:val="15"/>
        </w:rPr>
      </w:pPr>
      <w:r>
        <w:rPr>
          <w:w w:val="103"/>
          <w:sz w:val="15"/>
        </w:rPr>
        <w:t>1</w:t>
      </w:r>
    </w:p>
    <w:p>
      <w:pPr>
        <w:spacing w:before="79"/>
        <w:ind w:left="1228" w:right="0" w:firstLine="0"/>
        <w:jc w:val="left"/>
        <w:rPr>
          <w:sz w:val="15"/>
        </w:rPr>
      </w:pPr>
      <w:r>
        <w:rPr>
          <w:w w:val="103"/>
          <w:sz w:val="15"/>
        </w:rPr>
        <w:t>0</w:t>
      </w:r>
    </w:p>
    <w:p>
      <w:pPr>
        <w:pStyle w:val="BodyText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spacing w:before="96"/>
        <w:ind w:left="105" w:right="0" w:firstLine="0"/>
        <w:jc w:val="left"/>
        <w:rPr>
          <w:sz w:val="15"/>
        </w:rPr>
      </w:pPr>
      <w:r>
        <w:rPr>
          <w:w w:val="105"/>
          <w:sz w:val="15"/>
        </w:rPr>
        <w:t>35</w:t>
      </w:r>
    </w:p>
    <w:p>
      <w:pPr>
        <w:spacing w:before="75"/>
        <w:ind w:left="105" w:right="0" w:firstLine="0"/>
        <w:jc w:val="left"/>
        <w:rPr>
          <w:sz w:val="15"/>
        </w:rPr>
      </w:pPr>
      <w:r>
        <w:rPr/>
        <w:pict>
          <v:shape style="position:absolute;margin-left:506.1297pt;margin-top:7.600321pt;width:16.650pt;height:144.2pt;mso-position-horizontal-relative:page;mso-position-vertical-relative:paragraph;z-index:15819776" type="#_x0000_t202" filled="false" stroked="false">
            <v:textbox inset="0,0,0,0" style="layout-flow:vertical;mso-layout-flow-alt:bottom-to-top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sz w:val="22"/>
                    </w:rPr>
                  </w:pPr>
                  <w:r>
                    <w:rPr>
                      <w:spacing w:val="-1"/>
                      <w:w w:val="105"/>
                      <w:sz w:val="22"/>
                    </w:rPr>
                    <w:t>Depth</w:t>
                  </w:r>
                  <w:r>
                    <w:rPr>
                      <w:spacing w:val="-11"/>
                      <w:w w:val="105"/>
                      <w:sz w:val="22"/>
                    </w:rPr>
                    <w:t> </w:t>
                  </w:r>
                  <w:r>
                    <w:rPr>
                      <w:spacing w:val="-1"/>
                      <w:w w:val="105"/>
                      <w:sz w:val="22"/>
                    </w:rPr>
                    <w:t>of</w:t>
                  </w:r>
                  <w:r>
                    <w:rPr>
                      <w:spacing w:val="-12"/>
                      <w:w w:val="105"/>
                      <w:sz w:val="22"/>
                    </w:rPr>
                    <w:t> </w:t>
                  </w:r>
                  <w:r>
                    <w:rPr>
                      <w:spacing w:val="-1"/>
                      <w:w w:val="105"/>
                      <w:sz w:val="22"/>
                    </w:rPr>
                    <w:t>Penetration</w:t>
                  </w:r>
                  <w:r>
                    <w:rPr>
                      <w:spacing w:val="-11"/>
                      <w:w w:val="105"/>
                      <w:sz w:val="22"/>
                    </w:rPr>
                    <w:t> </w:t>
                  </w:r>
                  <w:r>
                    <w:rPr>
                      <w:w w:val="105"/>
                      <w:sz w:val="22"/>
                    </w:rPr>
                    <w:t>(T</w:t>
                  </w:r>
                  <w:r>
                    <w:rPr>
                      <w:w w:val="105"/>
                      <w:position w:val="-4"/>
                      <w:sz w:val="17"/>
                    </w:rPr>
                    <w:t>w</w:t>
                  </w:r>
                  <w:r>
                    <w:rPr>
                      <w:w w:val="105"/>
                      <w:sz w:val="22"/>
                    </w:rPr>
                    <w:t>)</w:t>
                  </w:r>
                  <w:r>
                    <w:rPr>
                      <w:spacing w:val="-12"/>
                      <w:w w:val="105"/>
                      <w:sz w:val="22"/>
                    </w:rPr>
                    <w:t> </w:t>
                  </w:r>
                  <w:r>
                    <w:rPr>
                      <w:w w:val="105"/>
                      <w:sz w:val="22"/>
                    </w:rPr>
                    <w:t>(cm)</w:t>
                  </w:r>
                </w:p>
              </w:txbxContent>
            </v:textbox>
            <w10:wrap type="none"/>
          </v:shape>
        </w:pict>
      </w:r>
      <w:r>
        <w:rPr>
          <w:w w:val="105"/>
          <w:sz w:val="15"/>
        </w:rPr>
        <w:t>32</w:t>
      </w:r>
    </w:p>
    <w:p>
      <w:pPr>
        <w:spacing w:before="80"/>
        <w:ind w:left="105" w:right="0" w:firstLine="0"/>
        <w:jc w:val="left"/>
        <w:rPr>
          <w:sz w:val="15"/>
        </w:rPr>
      </w:pPr>
      <w:r>
        <w:rPr>
          <w:w w:val="105"/>
          <w:sz w:val="15"/>
        </w:rPr>
        <w:t>30</w:t>
      </w:r>
    </w:p>
    <w:p>
      <w:pPr>
        <w:spacing w:before="75"/>
        <w:ind w:left="105" w:right="0" w:firstLine="0"/>
        <w:jc w:val="left"/>
        <w:rPr>
          <w:sz w:val="15"/>
        </w:rPr>
      </w:pPr>
      <w:r>
        <w:rPr>
          <w:w w:val="105"/>
          <w:sz w:val="15"/>
        </w:rPr>
        <w:t>27</w:t>
      </w:r>
    </w:p>
    <w:p>
      <w:pPr>
        <w:spacing w:before="76"/>
        <w:ind w:left="105" w:right="0" w:firstLine="0"/>
        <w:jc w:val="left"/>
        <w:rPr>
          <w:sz w:val="15"/>
        </w:rPr>
      </w:pPr>
      <w:r>
        <w:rPr>
          <w:w w:val="105"/>
          <w:sz w:val="15"/>
        </w:rPr>
        <w:t>25</w:t>
      </w:r>
    </w:p>
    <w:p>
      <w:pPr>
        <w:spacing w:before="75"/>
        <w:ind w:left="105" w:right="0" w:firstLine="0"/>
        <w:jc w:val="left"/>
        <w:rPr>
          <w:sz w:val="15"/>
        </w:rPr>
      </w:pPr>
      <w:r>
        <w:rPr>
          <w:w w:val="105"/>
          <w:sz w:val="15"/>
        </w:rPr>
        <w:t>22</w:t>
      </w:r>
    </w:p>
    <w:p>
      <w:pPr>
        <w:spacing w:before="76"/>
        <w:ind w:left="105" w:right="0" w:firstLine="0"/>
        <w:jc w:val="left"/>
        <w:rPr>
          <w:sz w:val="15"/>
        </w:rPr>
      </w:pPr>
      <w:r>
        <w:rPr>
          <w:w w:val="105"/>
          <w:sz w:val="15"/>
        </w:rPr>
        <w:t>20</w:t>
      </w:r>
    </w:p>
    <w:p>
      <w:pPr>
        <w:spacing w:before="79"/>
        <w:ind w:left="105" w:right="0" w:firstLine="0"/>
        <w:jc w:val="left"/>
        <w:rPr>
          <w:sz w:val="15"/>
        </w:rPr>
      </w:pPr>
      <w:r>
        <w:rPr>
          <w:w w:val="105"/>
          <w:sz w:val="15"/>
        </w:rPr>
        <w:t>17</w:t>
      </w:r>
    </w:p>
    <w:p>
      <w:pPr>
        <w:spacing w:before="76"/>
        <w:ind w:left="105" w:right="0" w:firstLine="0"/>
        <w:jc w:val="left"/>
        <w:rPr>
          <w:sz w:val="15"/>
        </w:rPr>
      </w:pPr>
      <w:r>
        <w:rPr>
          <w:w w:val="105"/>
          <w:sz w:val="15"/>
        </w:rPr>
        <w:t>15</w:t>
      </w:r>
    </w:p>
    <w:p>
      <w:pPr>
        <w:spacing w:before="75"/>
        <w:ind w:left="105" w:right="0" w:firstLine="0"/>
        <w:jc w:val="left"/>
        <w:rPr>
          <w:sz w:val="15"/>
        </w:rPr>
      </w:pPr>
      <w:r>
        <w:rPr>
          <w:w w:val="105"/>
          <w:sz w:val="15"/>
        </w:rPr>
        <w:t>12</w:t>
      </w:r>
    </w:p>
    <w:p>
      <w:pPr>
        <w:spacing w:before="76"/>
        <w:ind w:left="105" w:right="0" w:firstLine="0"/>
        <w:jc w:val="left"/>
        <w:rPr>
          <w:sz w:val="15"/>
        </w:rPr>
      </w:pPr>
      <w:r>
        <w:rPr>
          <w:w w:val="105"/>
          <w:sz w:val="15"/>
        </w:rPr>
        <w:t>10</w:t>
      </w:r>
    </w:p>
    <w:p>
      <w:pPr>
        <w:spacing w:before="79"/>
        <w:ind w:left="105" w:right="0" w:firstLine="0"/>
        <w:jc w:val="left"/>
        <w:rPr>
          <w:sz w:val="15"/>
        </w:rPr>
      </w:pPr>
      <w:r>
        <w:rPr>
          <w:w w:val="105"/>
          <w:sz w:val="15"/>
        </w:rPr>
        <w:t>7.5</w:t>
      </w:r>
    </w:p>
    <w:p>
      <w:pPr>
        <w:spacing w:before="76"/>
        <w:ind w:left="105" w:right="0" w:firstLine="0"/>
        <w:jc w:val="left"/>
        <w:rPr>
          <w:sz w:val="15"/>
        </w:rPr>
      </w:pPr>
      <w:r>
        <w:rPr>
          <w:w w:val="103"/>
          <w:sz w:val="15"/>
        </w:rPr>
        <w:t>5</w:t>
      </w:r>
    </w:p>
    <w:p>
      <w:pPr>
        <w:spacing w:before="76"/>
        <w:ind w:left="105" w:right="0" w:firstLine="0"/>
        <w:jc w:val="left"/>
        <w:rPr>
          <w:sz w:val="15"/>
        </w:rPr>
      </w:pPr>
      <w:r>
        <w:rPr>
          <w:w w:val="105"/>
          <w:sz w:val="15"/>
        </w:rPr>
        <w:t>2.5</w:t>
      </w:r>
    </w:p>
    <w:p>
      <w:pPr>
        <w:spacing w:before="75"/>
        <w:ind w:left="105" w:right="0" w:firstLine="0"/>
        <w:jc w:val="left"/>
        <w:rPr>
          <w:sz w:val="15"/>
        </w:rPr>
      </w:pPr>
      <w:r>
        <w:rPr>
          <w:w w:val="103"/>
          <w:sz w:val="15"/>
        </w:rPr>
        <w:t>0</w:t>
      </w:r>
    </w:p>
    <w:p>
      <w:pPr>
        <w:spacing w:after="0"/>
        <w:jc w:val="left"/>
        <w:rPr>
          <w:sz w:val="15"/>
        </w:rPr>
        <w:sectPr>
          <w:type w:val="continuous"/>
          <w:pgSz w:w="12240" w:h="15840"/>
          <w:pgMar w:top="1380" w:bottom="280" w:left="1720" w:right="1020"/>
          <w:cols w:num="2" w:equalWidth="0">
            <w:col w:w="7856" w:space="40"/>
            <w:col w:w="1604"/>
          </w:cols>
        </w:sectPr>
      </w:pPr>
    </w:p>
    <w:p>
      <w:pPr>
        <w:tabs>
          <w:tab w:pos="722" w:val="left" w:leader="none"/>
          <w:tab w:pos="1385" w:val="left" w:leader="none"/>
          <w:tab w:pos="2111" w:val="left" w:leader="none"/>
          <w:tab w:pos="2834" w:val="left" w:leader="none"/>
          <w:tab w:pos="3557" w:val="left" w:leader="none"/>
          <w:tab w:pos="4284" w:val="left" w:leader="none"/>
          <w:tab w:pos="5007" w:val="left" w:leader="none"/>
          <w:tab w:pos="5729" w:val="left" w:leader="none"/>
          <w:tab w:pos="6456" w:val="left" w:leader="none"/>
        </w:tabs>
        <w:spacing w:before="1"/>
        <w:ind w:left="0" w:right="165" w:firstLine="0"/>
        <w:jc w:val="center"/>
        <w:rPr>
          <w:sz w:val="15"/>
        </w:rPr>
      </w:pPr>
      <w:r>
        <w:rPr>
          <w:w w:val="105"/>
          <w:sz w:val="15"/>
        </w:rPr>
        <w:t>400</w:t>
        <w:tab/>
        <w:t>800</w:t>
        <w:tab/>
        <w:t>1200</w:t>
        <w:tab/>
        <w:t>1600</w:t>
        <w:tab/>
        <w:t>2000</w:t>
        <w:tab/>
        <w:t>2400</w:t>
        <w:tab/>
        <w:t>2800</w:t>
        <w:tab/>
        <w:t>3200</w:t>
        <w:tab/>
        <w:t>3600</w:t>
        <w:tab/>
        <w:t>4000</w:t>
      </w:r>
    </w:p>
    <w:p>
      <w:pPr>
        <w:spacing w:before="56"/>
        <w:ind w:left="3244" w:right="3263" w:firstLine="0"/>
        <w:jc w:val="center"/>
        <w:rPr>
          <w:sz w:val="22"/>
        </w:rPr>
      </w:pPr>
      <w:r>
        <w:rPr>
          <w:sz w:val="22"/>
        </w:rPr>
        <w:t>Striking Velocity</w:t>
      </w:r>
      <w:r>
        <w:rPr>
          <w:spacing w:val="8"/>
          <w:sz w:val="22"/>
        </w:rPr>
        <w:t> </w:t>
      </w:r>
      <w:r>
        <w:rPr>
          <w:sz w:val="22"/>
        </w:rPr>
        <w:t>(V</w:t>
      </w:r>
      <w:r>
        <w:rPr>
          <w:position w:val="-4"/>
          <w:sz w:val="17"/>
        </w:rPr>
        <w:t>s</w:t>
      </w:r>
      <w:r>
        <w:rPr>
          <w:sz w:val="22"/>
        </w:rPr>
        <w:t>)</w:t>
      </w:r>
      <w:r>
        <w:rPr>
          <w:spacing w:val="7"/>
          <w:sz w:val="22"/>
        </w:rPr>
        <w:t> </w:t>
      </w:r>
      <w:r>
        <w:rPr>
          <w:sz w:val="22"/>
        </w:rPr>
        <w:t>(fps)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1"/>
        </w:rPr>
      </w:pPr>
    </w:p>
    <w:p>
      <w:pPr>
        <w:spacing w:before="0"/>
        <w:ind w:left="19" w:right="0" w:firstLine="0"/>
        <w:jc w:val="center"/>
        <w:rPr>
          <w:i/>
          <w:sz w:val="24"/>
        </w:rPr>
      </w:pPr>
      <w:bookmarkStart w:name="_bookmark78" w:id="304"/>
      <w:bookmarkEnd w:id="304"/>
      <w:r>
        <w:rPr/>
      </w:r>
      <w:r>
        <w:rPr>
          <w:i/>
          <w:sz w:val="24"/>
        </w:rPr>
        <w:t>Figure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5-20.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force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law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model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shown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calibrated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CLT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data.</w:t>
      </w:r>
    </w:p>
    <w:p>
      <w:pPr>
        <w:spacing w:after="0"/>
        <w:jc w:val="center"/>
        <w:rPr>
          <w:sz w:val="24"/>
        </w:rPr>
        <w:sectPr>
          <w:type w:val="continuous"/>
          <w:pgSz w:w="12240" w:h="15840"/>
          <w:pgMar w:top="1380" w:bottom="280" w:left="1720" w:right="1020"/>
        </w:sectPr>
      </w:pPr>
    </w:p>
    <w:p>
      <w:pPr>
        <w:pStyle w:val="BodyText"/>
        <w:spacing w:line="480" w:lineRule="auto" w:before="78"/>
        <w:ind w:left="440" w:right="417" w:firstLine="720"/>
        <w:jc w:val="both"/>
      </w:pPr>
      <w:r>
        <w:rPr/>
        <w:t>It is interesting that the shape of the curve is concave downward, the opposite of</w:t>
      </w:r>
      <w:r>
        <w:rPr>
          <w:spacing w:val="1"/>
        </w:rPr>
        <w:t> </w:t>
      </w:r>
      <w:r>
        <w:rPr/>
        <w:t>the</w:t>
      </w:r>
      <w:r>
        <w:rPr>
          <w:spacing w:val="-2"/>
        </w:rPr>
        <w:t> </w:t>
      </w:r>
      <w:r>
        <w:rPr/>
        <w:t>other</w:t>
      </w:r>
      <w:r>
        <w:rPr>
          <w:spacing w:val="-1"/>
        </w:rPr>
        <w:t> </w:t>
      </w:r>
      <w:r>
        <w:rPr/>
        <w:t>model</w:t>
      </w:r>
      <w:r>
        <w:rPr>
          <w:spacing w:val="-1"/>
        </w:rPr>
        <w:t> </w:t>
      </w:r>
      <w:r>
        <w:rPr/>
        <w:t>curve</w:t>
      </w:r>
      <w:r>
        <w:rPr>
          <w:spacing w:val="-1"/>
        </w:rPr>
        <w:t> </w:t>
      </w:r>
      <w:r>
        <w:rPr/>
        <w:t>shapes.</w:t>
      </w:r>
      <w:r>
        <w:rPr>
          <w:spacing w:val="57"/>
        </w:rPr>
        <w:t> </w:t>
      </w:r>
      <w:r>
        <w:rPr/>
        <w:t>However,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fit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this</w:t>
      </w:r>
      <w:r>
        <w:rPr>
          <w:spacing w:val="-1"/>
        </w:rPr>
        <w:t> </w:t>
      </w:r>
      <w:r>
        <w:rPr/>
        <w:t>model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data</w:t>
      </w:r>
      <w:r>
        <w:rPr>
          <w:spacing w:val="-2"/>
        </w:rPr>
        <w:t> </w:t>
      </w:r>
      <w:r>
        <w:rPr/>
        <w:t>is</w:t>
      </w:r>
      <w:r>
        <w:rPr>
          <w:spacing w:val="-2"/>
        </w:rPr>
        <w:t> </w:t>
      </w:r>
      <w:r>
        <w:rPr/>
        <w:t>generally</w:t>
      </w:r>
      <w:r>
        <w:rPr>
          <w:spacing w:val="-1"/>
        </w:rPr>
        <w:t> </w:t>
      </w:r>
      <w:r>
        <w:rPr/>
        <w:t>good</w:t>
      </w:r>
      <w:r>
        <w:rPr>
          <w:spacing w:val="-58"/>
        </w:rPr>
        <w:t> </w:t>
      </w:r>
      <w:r>
        <w:rPr/>
        <w:t>with</w:t>
      </w:r>
      <w:r>
        <w:rPr>
          <w:spacing w:val="-5"/>
        </w:rPr>
        <w:t> </w:t>
      </w:r>
      <w:r>
        <w:rPr/>
        <w:t>an</w:t>
      </w:r>
      <w:r>
        <w:rPr>
          <w:spacing w:val="-5"/>
        </w:rPr>
        <w:t> </w:t>
      </w:r>
      <w:r>
        <w:rPr/>
        <w:t>MSE</w:t>
      </w:r>
      <w:r>
        <w:rPr>
          <w:spacing w:val="-4"/>
        </w:rPr>
        <w:t> </w:t>
      </w:r>
      <w:r>
        <w:rPr/>
        <w:t>value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1.322.</w:t>
      </w:r>
      <w:r>
        <w:rPr>
          <w:spacing w:val="51"/>
        </w:rPr>
        <w:t> </w:t>
      </w:r>
      <w:r>
        <w:rPr/>
        <w:t>Since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model</w:t>
      </w:r>
      <w:r>
        <w:rPr>
          <w:spacing w:val="-5"/>
        </w:rPr>
        <w:t> </w:t>
      </w:r>
      <w:r>
        <w:rPr/>
        <w:t>was</w:t>
      </w:r>
      <w:r>
        <w:rPr>
          <w:spacing w:val="-4"/>
        </w:rPr>
        <w:t> </w:t>
      </w:r>
      <w:r>
        <w:rPr/>
        <w:t>fit</w:t>
      </w:r>
      <w:r>
        <w:rPr>
          <w:spacing w:val="-5"/>
        </w:rPr>
        <w:t> </w:t>
      </w:r>
      <w:r>
        <w:rPr/>
        <w:t>to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data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/>
        <w:t>both</w:t>
      </w:r>
      <w:r>
        <w:rPr>
          <w:spacing w:val="-4"/>
        </w:rPr>
        <w:t> </w:t>
      </w:r>
      <w:r>
        <w:rPr/>
        <w:t>species,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curve</w:t>
      </w:r>
      <w:r>
        <w:rPr>
          <w:spacing w:val="-57"/>
        </w:rPr>
        <w:t> </w:t>
      </w:r>
      <w:r>
        <w:rPr/>
        <w:t>generally lies between the two sets of data points.</w:t>
      </w:r>
      <w:r>
        <w:rPr>
          <w:spacing w:val="1"/>
        </w:rPr>
        <w:t> </w:t>
      </w:r>
      <w:r>
        <w:rPr/>
        <w:t>This model was further investigated</w:t>
      </w:r>
      <w:r>
        <w:rPr>
          <w:spacing w:val="1"/>
        </w:rPr>
        <w:t> </w:t>
      </w:r>
      <w:r>
        <w:rPr/>
        <w:t>with the data of each species independently, similar to the revised UFC equation.</w:t>
      </w:r>
      <w:r>
        <w:rPr>
          <w:spacing w:val="1"/>
        </w:rPr>
        <w:t> </w:t>
      </w:r>
      <w:hyperlink w:history="true" w:anchor="_bookmark79">
        <w:r>
          <w:rPr/>
          <w:t>Figure</w:t>
        </w:r>
      </w:hyperlink>
      <w:r>
        <w:rPr>
          <w:spacing w:val="1"/>
        </w:rPr>
        <w:t> </w:t>
      </w:r>
      <w:hyperlink w:history="true" w:anchor="_bookmark79">
        <w:r>
          <w:rPr/>
          <w:t>5-21 </w:t>
        </w:r>
      </w:hyperlink>
      <w:r>
        <w:rPr/>
        <w:t>shows the force law model fitted to the SPF-S data.</w:t>
      </w:r>
      <w:r>
        <w:rPr>
          <w:spacing w:val="1"/>
        </w:rPr>
        <w:t> </w:t>
      </w:r>
      <w:r>
        <w:rPr/>
        <w:t>The shape of the curve is again</w:t>
      </w:r>
      <w:r>
        <w:rPr>
          <w:spacing w:val="1"/>
        </w:rPr>
        <w:t> </w:t>
      </w:r>
      <w:r>
        <w:rPr/>
        <w:t>concave</w:t>
      </w:r>
      <w:r>
        <w:rPr>
          <w:spacing w:val="-1"/>
        </w:rPr>
        <w:t> </w:t>
      </w:r>
      <w:r>
        <w:rPr/>
        <w:t>upward.  </w:t>
      </w:r>
      <w:hyperlink w:history="true" w:anchor="_bookmark80">
        <w:r>
          <w:rPr/>
          <w:t>Figure</w:t>
        </w:r>
        <w:r>
          <w:rPr>
            <w:spacing w:val="-1"/>
          </w:rPr>
          <w:t> </w:t>
        </w:r>
        <w:r>
          <w:rPr/>
          <w:t>5-22</w:t>
        </w:r>
      </w:hyperlink>
      <w:r>
        <w:rPr/>
        <w:t> shows the model</w:t>
      </w:r>
      <w:r>
        <w:rPr>
          <w:spacing w:val="-1"/>
        </w:rPr>
        <w:t> </w:t>
      </w:r>
      <w:r>
        <w:rPr/>
        <w:t>fitted to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SYP</w:t>
      </w:r>
      <w:r>
        <w:rPr>
          <w:spacing w:val="-2"/>
        </w:rPr>
        <w:t> </w:t>
      </w:r>
      <w:r>
        <w:rPr/>
        <w:t>data.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5"/>
        </w:rPr>
      </w:pPr>
    </w:p>
    <w:p>
      <w:pPr>
        <w:spacing w:after="0"/>
        <w:rPr>
          <w:sz w:val="15"/>
        </w:rPr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316" w:lineRule="exact" w:before="97"/>
        <w:ind w:left="3555"/>
      </w:pPr>
      <w:r>
        <w:rPr/>
        <w:t>Striking</w:t>
      </w:r>
      <w:r>
        <w:rPr>
          <w:spacing w:val="2"/>
        </w:rPr>
        <w:t> </w:t>
      </w:r>
      <w:r>
        <w:rPr/>
        <w:t>Velocity</w:t>
      </w:r>
      <w:r>
        <w:rPr>
          <w:spacing w:val="12"/>
        </w:rPr>
        <w:t> </w:t>
      </w:r>
      <w:r>
        <w:rPr/>
        <w:t>(V</w:t>
      </w:r>
      <w:r>
        <w:rPr>
          <w:position w:val="-5"/>
          <w:sz w:val="18"/>
        </w:rPr>
        <w:t>s</w:t>
      </w:r>
      <w:r>
        <w:rPr/>
        <w:t>)</w:t>
      </w:r>
      <w:r>
        <w:rPr>
          <w:spacing w:val="9"/>
        </w:rPr>
        <w:t> </w:t>
      </w:r>
      <w:r>
        <w:rPr/>
        <w:t>(m/s)</w:t>
      </w:r>
    </w:p>
    <w:p>
      <w:pPr>
        <w:spacing w:line="172" w:lineRule="exact" w:before="0"/>
        <w:ind w:left="1328" w:right="0" w:firstLine="0"/>
        <w:jc w:val="left"/>
        <w:rPr>
          <w:sz w:val="17"/>
        </w:rPr>
      </w:pPr>
      <w:r>
        <w:rPr>
          <w:sz w:val="17"/>
        </w:rPr>
        <w:t>180  </w:t>
      </w:r>
      <w:r>
        <w:rPr>
          <w:spacing w:val="7"/>
          <w:sz w:val="17"/>
        </w:rPr>
        <w:t> </w:t>
      </w:r>
      <w:r>
        <w:rPr>
          <w:sz w:val="17"/>
        </w:rPr>
        <w:t>240  </w:t>
      </w:r>
      <w:r>
        <w:rPr>
          <w:spacing w:val="3"/>
          <w:sz w:val="17"/>
        </w:rPr>
        <w:t> </w:t>
      </w:r>
      <w:r>
        <w:rPr>
          <w:sz w:val="17"/>
        </w:rPr>
        <w:t>300  </w:t>
      </w:r>
      <w:r>
        <w:rPr>
          <w:spacing w:val="8"/>
          <w:sz w:val="17"/>
        </w:rPr>
        <w:t> </w:t>
      </w:r>
      <w:r>
        <w:rPr>
          <w:sz w:val="17"/>
        </w:rPr>
        <w:t>360  </w:t>
      </w:r>
      <w:r>
        <w:rPr>
          <w:spacing w:val="3"/>
          <w:sz w:val="17"/>
        </w:rPr>
        <w:t> </w:t>
      </w:r>
      <w:r>
        <w:rPr>
          <w:sz w:val="17"/>
        </w:rPr>
        <w:t>420  </w:t>
      </w:r>
      <w:r>
        <w:rPr>
          <w:spacing w:val="8"/>
          <w:sz w:val="17"/>
        </w:rPr>
        <w:t> </w:t>
      </w:r>
      <w:r>
        <w:rPr>
          <w:sz w:val="17"/>
        </w:rPr>
        <w:t>480  </w:t>
      </w:r>
      <w:r>
        <w:rPr>
          <w:spacing w:val="3"/>
          <w:sz w:val="17"/>
        </w:rPr>
        <w:t> </w:t>
      </w:r>
      <w:r>
        <w:rPr>
          <w:sz w:val="17"/>
        </w:rPr>
        <w:t>540  </w:t>
      </w:r>
      <w:r>
        <w:rPr>
          <w:spacing w:val="8"/>
          <w:sz w:val="17"/>
        </w:rPr>
        <w:t> </w:t>
      </w:r>
      <w:r>
        <w:rPr>
          <w:sz w:val="17"/>
        </w:rPr>
        <w:t>600  </w:t>
      </w:r>
      <w:r>
        <w:rPr>
          <w:spacing w:val="3"/>
          <w:sz w:val="17"/>
        </w:rPr>
        <w:t> </w:t>
      </w:r>
      <w:r>
        <w:rPr>
          <w:sz w:val="17"/>
        </w:rPr>
        <w:t>660  </w:t>
      </w:r>
      <w:r>
        <w:rPr>
          <w:spacing w:val="8"/>
          <w:sz w:val="17"/>
        </w:rPr>
        <w:t> </w:t>
      </w:r>
      <w:r>
        <w:rPr>
          <w:sz w:val="17"/>
        </w:rPr>
        <w:t>720  </w:t>
      </w:r>
      <w:r>
        <w:rPr>
          <w:spacing w:val="3"/>
          <w:sz w:val="17"/>
        </w:rPr>
        <w:t> </w:t>
      </w:r>
      <w:r>
        <w:rPr>
          <w:sz w:val="17"/>
        </w:rPr>
        <w:t>780  </w:t>
      </w:r>
      <w:r>
        <w:rPr>
          <w:spacing w:val="7"/>
          <w:sz w:val="17"/>
        </w:rPr>
        <w:t> </w:t>
      </w:r>
      <w:r>
        <w:rPr>
          <w:sz w:val="17"/>
        </w:rPr>
        <w:t>840  </w:t>
      </w:r>
      <w:r>
        <w:rPr>
          <w:spacing w:val="4"/>
          <w:sz w:val="17"/>
        </w:rPr>
        <w:t> </w:t>
      </w:r>
      <w:r>
        <w:rPr>
          <w:sz w:val="17"/>
        </w:rPr>
        <w:t>900  </w:t>
      </w:r>
      <w:r>
        <w:rPr>
          <w:spacing w:val="3"/>
          <w:sz w:val="17"/>
        </w:rPr>
        <w:t> </w:t>
      </w:r>
      <w:r>
        <w:rPr>
          <w:sz w:val="17"/>
        </w:rPr>
        <w:t>960</w:t>
      </w:r>
      <w:r>
        <w:rPr>
          <w:spacing w:val="27"/>
          <w:sz w:val="17"/>
        </w:rPr>
        <w:t> </w:t>
      </w:r>
      <w:r>
        <w:rPr>
          <w:sz w:val="17"/>
        </w:rPr>
        <w:t>1020</w:t>
      </w:r>
      <w:r>
        <w:rPr>
          <w:spacing w:val="3"/>
          <w:sz w:val="17"/>
        </w:rPr>
        <w:t> </w:t>
      </w:r>
      <w:r>
        <w:rPr>
          <w:sz w:val="17"/>
        </w:rPr>
        <w:t>1080</w:t>
      </w:r>
      <w:r>
        <w:rPr>
          <w:spacing w:val="7"/>
          <w:sz w:val="17"/>
        </w:rPr>
        <w:t> </w:t>
      </w:r>
      <w:r>
        <w:rPr>
          <w:sz w:val="17"/>
        </w:rPr>
        <w:t>1140</w:t>
      </w:r>
      <w:r>
        <w:rPr>
          <w:spacing w:val="3"/>
          <w:sz w:val="17"/>
        </w:rPr>
        <w:t> </w:t>
      </w:r>
      <w:r>
        <w:rPr>
          <w:sz w:val="17"/>
        </w:rPr>
        <w:t>1200</w:t>
      </w:r>
    </w:p>
    <w:p>
      <w:pPr>
        <w:spacing w:line="179" w:lineRule="exact" w:before="0"/>
        <w:ind w:left="857" w:right="0" w:firstLine="0"/>
        <w:jc w:val="left"/>
        <w:rPr>
          <w:sz w:val="17"/>
        </w:rPr>
      </w:pPr>
      <w:r>
        <w:rPr/>
        <w:pict>
          <v:group style="position:absolute;margin-left:141.245682pt;margin-top:3.636078pt;width:356.65pt;height:194.25pt;mso-position-horizontal-relative:page;mso-position-vertical-relative:paragraph;z-index:15820800" coordorigin="2825,73" coordsize="7133,3885">
            <v:shape style="position:absolute;left:2824;top:72;width:7133;height:3885" type="#_x0000_t75" stroked="false">
              <v:imagedata r:id="rId146" o:title=""/>
            </v:shape>
            <v:shape style="position:absolute;left:2824;top:72;width:7133;height:3885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i/>
                        <w:sz w:val="19"/>
                      </w:rPr>
                    </w:pPr>
                  </w:p>
                  <w:p>
                    <w:pPr>
                      <w:spacing w:line="319" w:lineRule="auto" w:before="0"/>
                      <w:ind w:left="719" w:right="5578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pacing w:val="-3"/>
                        <w:w w:val="105"/>
                        <w:sz w:val="18"/>
                      </w:rPr>
                      <w:t>SPF-S data</w:t>
                    </w:r>
                    <w:r>
                      <w:rPr>
                        <w:spacing w:val="-45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SYP</w:t>
                    </w:r>
                    <w:r>
                      <w:rPr>
                        <w:spacing w:val="-7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data</w:t>
                    </w:r>
                  </w:p>
                  <w:p>
                    <w:pPr>
                      <w:spacing w:before="2"/>
                      <w:ind w:left="719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pacing w:val="-1"/>
                        <w:w w:val="105"/>
                        <w:sz w:val="18"/>
                      </w:rPr>
                      <w:t>Force</w:t>
                    </w:r>
                    <w:r>
                      <w:rPr>
                        <w:spacing w:val="-7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Law</w:t>
                    </w:r>
                    <w:r>
                      <w:rPr>
                        <w:spacing w:val="-1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model</w:t>
                    </w:r>
                    <w:r>
                      <w:rPr>
                        <w:spacing w:val="-9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(SPF-S</w:t>
                    </w:r>
                    <w:r>
                      <w:rPr>
                        <w:spacing w:val="-8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data</w:t>
                    </w:r>
                    <w:r>
                      <w:rPr>
                        <w:spacing w:val="-6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only)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06.221382pt;margin-top:7.614277pt;width:17.95pt;height:173.3pt;mso-position-horizontal-relative:page;mso-position-vertical-relative:paragraph;z-index:15821312" type="#_x0000_t202" filled="false" stroked="false">
            <v:textbox inset="0,0,0,0" style="layout-flow:vertical;mso-layout-flow-alt:bottom-to-top">
              <w:txbxContent>
                <w:p>
                  <w:pPr>
                    <w:pStyle w:val="BodyText"/>
                    <w:spacing w:before="16"/>
                    <w:ind w:left="20"/>
                  </w:pPr>
                  <w:r>
                    <w:rPr>
                      <w:spacing w:val="-1"/>
                      <w:w w:val="105"/>
                    </w:rPr>
                    <w:t>Depth</w:t>
                  </w:r>
                  <w:r>
                    <w:rPr>
                      <w:spacing w:val="-14"/>
                      <w:w w:val="105"/>
                    </w:rPr>
                    <w:t> </w:t>
                  </w:r>
                  <w:r>
                    <w:rPr>
                      <w:spacing w:val="-1"/>
                      <w:w w:val="105"/>
                    </w:rPr>
                    <w:t>of</w:t>
                  </w:r>
                  <w:r>
                    <w:rPr>
                      <w:spacing w:val="-14"/>
                      <w:w w:val="105"/>
                    </w:rPr>
                    <w:t> </w:t>
                  </w:r>
                  <w:r>
                    <w:rPr>
                      <w:spacing w:val="-1"/>
                      <w:w w:val="105"/>
                    </w:rPr>
                    <w:t>Penetration</w:t>
                  </w:r>
                  <w:r>
                    <w:rPr>
                      <w:spacing w:val="-13"/>
                      <w:w w:val="105"/>
                    </w:rPr>
                    <w:t> </w:t>
                  </w:r>
                  <w:r>
                    <w:rPr>
                      <w:spacing w:val="-1"/>
                      <w:w w:val="105"/>
                    </w:rPr>
                    <w:t>(T</w:t>
                  </w:r>
                  <w:r>
                    <w:rPr>
                      <w:spacing w:val="-1"/>
                      <w:w w:val="105"/>
                      <w:position w:val="-5"/>
                      <w:sz w:val="18"/>
                    </w:rPr>
                    <w:t>w</w:t>
                  </w:r>
                  <w:r>
                    <w:rPr>
                      <w:spacing w:val="-1"/>
                      <w:w w:val="105"/>
                    </w:rPr>
                    <w:t>)</w:t>
                  </w:r>
                  <w:r>
                    <w:rPr>
                      <w:spacing w:val="-14"/>
                      <w:w w:val="105"/>
                    </w:rPr>
                    <w:t> </w:t>
                  </w:r>
                  <w:r>
                    <w:rPr>
                      <w:w w:val="105"/>
                    </w:rPr>
                    <w:t>(inches)</w:t>
                  </w:r>
                </w:p>
              </w:txbxContent>
            </v:textbox>
            <w10:wrap type="none"/>
          </v:shape>
        </w:pict>
      </w:r>
      <w:r>
        <w:rPr>
          <w:sz w:val="17"/>
        </w:rPr>
        <w:t>14</w:t>
      </w:r>
    </w:p>
    <w:p>
      <w:pPr>
        <w:spacing w:before="82"/>
        <w:ind w:left="857" w:right="0" w:firstLine="0"/>
        <w:jc w:val="left"/>
        <w:rPr>
          <w:sz w:val="17"/>
        </w:rPr>
      </w:pPr>
      <w:r>
        <w:rPr>
          <w:sz w:val="17"/>
        </w:rPr>
        <w:t>13</w:t>
      </w:r>
    </w:p>
    <w:p>
      <w:pPr>
        <w:spacing w:before="79"/>
        <w:ind w:left="857" w:right="0" w:firstLine="0"/>
        <w:jc w:val="left"/>
        <w:rPr>
          <w:sz w:val="17"/>
        </w:rPr>
      </w:pPr>
      <w:r>
        <w:rPr>
          <w:sz w:val="17"/>
        </w:rPr>
        <w:t>12</w:t>
      </w:r>
    </w:p>
    <w:p>
      <w:pPr>
        <w:spacing w:before="79"/>
        <w:ind w:left="857" w:right="0" w:firstLine="0"/>
        <w:jc w:val="left"/>
        <w:rPr>
          <w:sz w:val="17"/>
        </w:rPr>
      </w:pPr>
      <w:r>
        <w:rPr>
          <w:sz w:val="17"/>
        </w:rPr>
        <w:t>11</w:t>
      </w:r>
    </w:p>
    <w:p>
      <w:pPr>
        <w:spacing w:before="83"/>
        <w:ind w:left="857" w:right="0" w:firstLine="0"/>
        <w:jc w:val="left"/>
        <w:rPr>
          <w:sz w:val="17"/>
        </w:rPr>
      </w:pPr>
      <w:r>
        <w:rPr>
          <w:sz w:val="17"/>
        </w:rPr>
        <w:t>10</w:t>
      </w:r>
    </w:p>
    <w:p>
      <w:pPr>
        <w:spacing w:before="79"/>
        <w:ind w:left="942" w:right="0" w:firstLine="0"/>
        <w:jc w:val="left"/>
        <w:rPr>
          <w:sz w:val="17"/>
        </w:rPr>
      </w:pPr>
      <w:r>
        <w:rPr>
          <w:w w:val="100"/>
          <w:sz w:val="17"/>
        </w:rPr>
        <w:t>9</w:t>
      </w:r>
    </w:p>
    <w:p>
      <w:pPr>
        <w:spacing w:before="79"/>
        <w:ind w:left="942" w:right="0" w:firstLine="0"/>
        <w:jc w:val="left"/>
        <w:rPr>
          <w:sz w:val="17"/>
        </w:rPr>
      </w:pPr>
      <w:r>
        <w:rPr>
          <w:w w:val="100"/>
          <w:sz w:val="17"/>
        </w:rPr>
        <w:t>8</w:t>
      </w:r>
    </w:p>
    <w:p>
      <w:pPr>
        <w:spacing w:before="83"/>
        <w:ind w:left="942" w:right="0" w:firstLine="0"/>
        <w:jc w:val="left"/>
        <w:rPr>
          <w:sz w:val="17"/>
        </w:rPr>
      </w:pPr>
      <w:r>
        <w:rPr>
          <w:w w:val="100"/>
          <w:sz w:val="17"/>
        </w:rPr>
        <w:t>7</w:t>
      </w:r>
    </w:p>
    <w:p>
      <w:pPr>
        <w:spacing w:before="79"/>
        <w:ind w:left="942" w:right="0" w:firstLine="0"/>
        <w:jc w:val="left"/>
        <w:rPr>
          <w:sz w:val="17"/>
        </w:rPr>
      </w:pPr>
      <w:r>
        <w:rPr>
          <w:w w:val="100"/>
          <w:sz w:val="17"/>
        </w:rPr>
        <w:t>6</w:t>
      </w:r>
    </w:p>
    <w:p>
      <w:pPr>
        <w:spacing w:before="83"/>
        <w:ind w:left="942" w:right="0" w:firstLine="0"/>
        <w:jc w:val="left"/>
        <w:rPr>
          <w:sz w:val="17"/>
        </w:rPr>
      </w:pPr>
      <w:r>
        <w:rPr>
          <w:w w:val="100"/>
          <w:sz w:val="17"/>
        </w:rPr>
        <w:t>5</w:t>
      </w:r>
    </w:p>
    <w:p>
      <w:pPr>
        <w:spacing w:before="79"/>
        <w:ind w:left="942" w:right="0" w:firstLine="0"/>
        <w:jc w:val="left"/>
        <w:rPr>
          <w:sz w:val="17"/>
        </w:rPr>
      </w:pPr>
      <w:r>
        <w:rPr>
          <w:w w:val="100"/>
          <w:sz w:val="17"/>
        </w:rPr>
        <w:t>4</w:t>
      </w:r>
    </w:p>
    <w:p>
      <w:pPr>
        <w:spacing w:before="79"/>
        <w:ind w:left="942" w:right="0" w:firstLine="0"/>
        <w:jc w:val="left"/>
        <w:rPr>
          <w:sz w:val="17"/>
        </w:rPr>
      </w:pPr>
      <w:r>
        <w:rPr>
          <w:w w:val="100"/>
          <w:sz w:val="17"/>
        </w:rPr>
        <w:t>3</w:t>
      </w:r>
    </w:p>
    <w:p>
      <w:pPr>
        <w:spacing w:before="82"/>
        <w:ind w:left="942" w:right="0" w:firstLine="0"/>
        <w:jc w:val="left"/>
        <w:rPr>
          <w:sz w:val="17"/>
        </w:rPr>
      </w:pPr>
      <w:r>
        <w:rPr>
          <w:w w:val="100"/>
          <w:sz w:val="17"/>
        </w:rPr>
        <w:t>2</w:t>
      </w:r>
    </w:p>
    <w:p>
      <w:pPr>
        <w:spacing w:before="79"/>
        <w:ind w:left="942" w:right="0" w:firstLine="0"/>
        <w:jc w:val="left"/>
        <w:rPr>
          <w:sz w:val="17"/>
        </w:rPr>
      </w:pPr>
      <w:r>
        <w:rPr>
          <w:w w:val="100"/>
          <w:sz w:val="17"/>
        </w:rPr>
        <w:t>1</w:t>
      </w:r>
    </w:p>
    <w:p>
      <w:pPr>
        <w:spacing w:before="80"/>
        <w:ind w:left="942" w:right="0" w:firstLine="0"/>
        <w:jc w:val="left"/>
        <w:rPr>
          <w:sz w:val="17"/>
        </w:rPr>
      </w:pPr>
      <w:r>
        <w:rPr>
          <w:w w:val="100"/>
          <w:sz w:val="17"/>
        </w:rPr>
        <w:t>0</w:t>
      </w:r>
    </w:p>
    <w:p>
      <w:pPr>
        <w:pStyle w:val="BodyText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rPr>
          <w:sz w:val="18"/>
        </w:rPr>
      </w:pPr>
    </w:p>
    <w:p>
      <w:pPr>
        <w:pStyle w:val="BodyText"/>
        <w:spacing w:before="8"/>
        <w:rPr>
          <w:sz w:val="18"/>
        </w:rPr>
      </w:pPr>
    </w:p>
    <w:p>
      <w:pPr>
        <w:spacing w:before="0"/>
        <w:ind w:left="29" w:right="0" w:firstLine="0"/>
        <w:jc w:val="left"/>
        <w:rPr>
          <w:sz w:val="17"/>
        </w:rPr>
      </w:pPr>
      <w:r>
        <w:rPr>
          <w:sz w:val="17"/>
        </w:rPr>
        <w:t>35</w:t>
      </w:r>
    </w:p>
    <w:p>
      <w:pPr>
        <w:spacing w:before="75"/>
        <w:ind w:left="29" w:right="0" w:firstLine="0"/>
        <w:jc w:val="left"/>
        <w:rPr>
          <w:sz w:val="17"/>
        </w:rPr>
      </w:pPr>
      <w:r>
        <w:rPr/>
        <w:pict>
          <v:shape style="position:absolute;margin-left:521.405273pt;margin-top:8.335176pt;width:17.95pt;height:157.1pt;mso-position-horizontal-relative:page;mso-position-vertical-relative:paragraph;z-index:15821824" type="#_x0000_t202" filled="false" stroked="false">
            <v:textbox inset="0,0,0,0" style="layout-flow:vertical;mso-layout-flow-alt:bottom-to-top">
              <w:txbxContent>
                <w:p>
                  <w:pPr>
                    <w:pStyle w:val="BodyText"/>
                    <w:spacing w:before="16"/>
                    <w:ind w:left="20"/>
                  </w:pPr>
                  <w:r>
                    <w:rPr>
                      <w:spacing w:val="-1"/>
                      <w:w w:val="105"/>
                    </w:rPr>
                    <w:t>Depth</w:t>
                  </w:r>
                  <w:r>
                    <w:rPr>
                      <w:spacing w:val="-15"/>
                      <w:w w:val="105"/>
                    </w:rPr>
                    <w:t> </w:t>
                  </w:r>
                  <w:r>
                    <w:rPr>
                      <w:w w:val="105"/>
                    </w:rPr>
                    <w:t>of</w:t>
                  </w:r>
                  <w:r>
                    <w:rPr>
                      <w:spacing w:val="-15"/>
                      <w:w w:val="105"/>
                    </w:rPr>
                    <w:t> </w:t>
                  </w:r>
                  <w:r>
                    <w:rPr>
                      <w:w w:val="105"/>
                    </w:rPr>
                    <w:t>Penetration</w:t>
                  </w:r>
                  <w:r>
                    <w:rPr>
                      <w:spacing w:val="-14"/>
                      <w:w w:val="105"/>
                    </w:rPr>
                    <w:t> </w:t>
                  </w:r>
                  <w:r>
                    <w:rPr>
                      <w:w w:val="105"/>
                    </w:rPr>
                    <w:t>(T</w:t>
                  </w:r>
                  <w:r>
                    <w:rPr>
                      <w:w w:val="105"/>
                      <w:position w:val="-5"/>
                      <w:sz w:val="18"/>
                    </w:rPr>
                    <w:t>w</w:t>
                  </w:r>
                  <w:r>
                    <w:rPr>
                      <w:w w:val="105"/>
                    </w:rPr>
                    <w:t>)</w:t>
                  </w:r>
                  <w:r>
                    <w:rPr>
                      <w:spacing w:val="-15"/>
                      <w:w w:val="105"/>
                    </w:rPr>
                    <w:t> </w:t>
                  </w:r>
                  <w:r>
                    <w:rPr>
                      <w:w w:val="105"/>
                    </w:rPr>
                    <w:t>(cm)</w:t>
                  </w:r>
                </w:p>
              </w:txbxContent>
            </v:textbox>
            <w10:wrap type="none"/>
          </v:shape>
        </w:pict>
      </w:r>
      <w:r>
        <w:rPr>
          <w:sz w:val="17"/>
        </w:rPr>
        <w:t>32.5</w:t>
      </w:r>
    </w:p>
    <w:p>
      <w:pPr>
        <w:spacing w:before="79"/>
        <w:ind w:left="29" w:right="0" w:firstLine="0"/>
        <w:jc w:val="left"/>
        <w:rPr>
          <w:sz w:val="17"/>
        </w:rPr>
      </w:pPr>
      <w:r>
        <w:rPr>
          <w:sz w:val="17"/>
        </w:rPr>
        <w:t>30</w:t>
      </w:r>
    </w:p>
    <w:p>
      <w:pPr>
        <w:spacing w:before="75"/>
        <w:ind w:left="29" w:right="0" w:firstLine="0"/>
        <w:jc w:val="left"/>
        <w:rPr>
          <w:sz w:val="17"/>
        </w:rPr>
      </w:pPr>
      <w:r>
        <w:rPr>
          <w:sz w:val="17"/>
        </w:rPr>
        <w:t>27.5</w:t>
      </w:r>
    </w:p>
    <w:p>
      <w:pPr>
        <w:spacing w:before="76"/>
        <w:ind w:left="29" w:right="0" w:firstLine="0"/>
        <w:jc w:val="left"/>
        <w:rPr>
          <w:sz w:val="17"/>
        </w:rPr>
      </w:pPr>
      <w:r>
        <w:rPr>
          <w:sz w:val="17"/>
        </w:rPr>
        <w:t>25</w:t>
      </w:r>
    </w:p>
    <w:p>
      <w:pPr>
        <w:spacing w:before="75"/>
        <w:ind w:left="29" w:right="0" w:firstLine="0"/>
        <w:jc w:val="left"/>
        <w:rPr>
          <w:sz w:val="17"/>
        </w:rPr>
      </w:pPr>
      <w:r>
        <w:rPr>
          <w:sz w:val="17"/>
        </w:rPr>
        <w:t>22.5</w:t>
      </w:r>
    </w:p>
    <w:p>
      <w:pPr>
        <w:spacing w:before="75"/>
        <w:ind w:left="29" w:right="0" w:firstLine="0"/>
        <w:jc w:val="left"/>
        <w:rPr>
          <w:sz w:val="17"/>
        </w:rPr>
      </w:pPr>
      <w:r>
        <w:rPr>
          <w:sz w:val="17"/>
        </w:rPr>
        <w:t>20</w:t>
      </w:r>
    </w:p>
    <w:p>
      <w:pPr>
        <w:spacing w:before="79"/>
        <w:ind w:left="29" w:right="0" w:firstLine="0"/>
        <w:jc w:val="left"/>
        <w:rPr>
          <w:sz w:val="17"/>
        </w:rPr>
      </w:pPr>
      <w:r>
        <w:rPr>
          <w:sz w:val="17"/>
        </w:rPr>
        <w:t>17.5</w:t>
      </w:r>
    </w:p>
    <w:p>
      <w:pPr>
        <w:spacing w:before="75"/>
        <w:ind w:left="29" w:right="0" w:firstLine="0"/>
        <w:jc w:val="left"/>
        <w:rPr>
          <w:sz w:val="17"/>
        </w:rPr>
      </w:pPr>
      <w:r>
        <w:rPr>
          <w:sz w:val="17"/>
        </w:rPr>
        <w:t>15</w:t>
      </w:r>
    </w:p>
    <w:p>
      <w:pPr>
        <w:spacing w:before="75"/>
        <w:ind w:left="29" w:right="0" w:firstLine="0"/>
        <w:jc w:val="left"/>
        <w:rPr>
          <w:sz w:val="17"/>
        </w:rPr>
      </w:pPr>
      <w:r>
        <w:rPr>
          <w:sz w:val="17"/>
        </w:rPr>
        <w:t>12.5</w:t>
      </w:r>
    </w:p>
    <w:p>
      <w:pPr>
        <w:spacing w:before="75"/>
        <w:ind w:left="29" w:right="0" w:firstLine="0"/>
        <w:jc w:val="left"/>
        <w:rPr>
          <w:sz w:val="17"/>
        </w:rPr>
      </w:pPr>
      <w:r>
        <w:rPr>
          <w:sz w:val="17"/>
        </w:rPr>
        <w:t>10</w:t>
      </w:r>
    </w:p>
    <w:p>
      <w:pPr>
        <w:spacing w:before="79"/>
        <w:ind w:left="29" w:right="0" w:firstLine="0"/>
        <w:jc w:val="left"/>
        <w:rPr>
          <w:sz w:val="17"/>
        </w:rPr>
      </w:pPr>
      <w:r>
        <w:rPr>
          <w:sz w:val="17"/>
        </w:rPr>
        <w:t>7.5</w:t>
      </w:r>
    </w:p>
    <w:p>
      <w:pPr>
        <w:spacing w:before="75"/>
        <w:ind w:left="29" w:right="0" w:firstLine="0"/>
        <w:jc w:val="left"/>
        <w:rPr>
          <w:sz w:val="17"/>
        </w:rPr>
      </w:pPr>
      <w:r>
        <w:rPr>
          <w:w w:val="100"/>
          <w:sz w:val="17"/>
        </w:rPr>
        <w:t>5</w:t>
      </w:r>
    </w:p>
    <w:p>
      <w:pPr>
        <w:spacing w:before="75"/>
        <w:ind w:left="29" w:right="0" w:firstLine="0"/>
        <w:jc w:val="left"/>
        <w:rPr>
          <w:sz w:val="17"/>
        </w:rPr>
      </w:pPr>
      <w:r>
        <w:rPr>
          <w:sz w:val="17"/>
        </w:rPr>
        <w:t>2.5</w:t>
      </w:r>
    </w:p>
    <w:p>
      <w:pPr>
        <w:spacing w:before="75"/>
        <w:ind w:left="29" w:right="0" w:firstLine="0"/>
        <w:jc w:val="left"/>
        <w:rPr>
          <w:sz w:val="17"/>
        </w:rPr>
      </w:pPr>
      <w:r>
        <w:rPr>
          <w:w w:val="100"/>
          <w:sz w:val="17"/>
        </w:rPr>
        <w:t>0</w:t>
      </w:r>
    </w:p>
    <w:p>
      <w:pPr>
        <w:spacing w:after="0"/>
        <w:jc w:val="left"/>
        <w:rPr>
          <w:sz w:val="17"/>
        </w:rPr>
        <w:sectPr>
          <w:type w:val="continuous"/>
          <w:pgSz w:w="12240" w:h="15840"/>
          <w:pgMar w:top="1380" w:bottom="280" w:left="1720" w:right="1020"/>
          <w:cols w:num="2" w:equalWidth="0">
            <w:col w:w="8214" w:space="40"/>
            <w:col w:w="1246"/>
          </w:cols>
        </w:sectPr>
      </w:pPr>
    </w:p>
    <w:p>
      <w:pPr>
        <w:tabs>
          <w:tab w:pos="1773" w:val="left" w:leader="none"/>
          <w:tab w:pos="2496" w:val="left" w:leader="none"/>
          <w:tab w:pos="3288" w:val="left" w:leader="none"/>
          <w:tab w:pos="4077" w:val="left" w:leader="none"/>
          <w:tab w:pos="4866" w:val="left" w:leader="none"/>
          <w:tab w:pos="5658" w:val="left" w:leader="none"/>
          <w:tab w:pos="6447" w:val="left" w:leader="none"/>
          <w:tab w:pos="7235" w:val="left" w:leader="none"/>
          <w:tab w:pos="8028" w:val="left" w:leader="none"/>
        </w:tabs>
        <w:spacing w:before="9"/>
        <w:ind w:left="985" w:right="0" w:firstLine="0"/>
        <w:jc w:val="left"/>
        <w:rPr>
          <w:sz w:val="17"/>
        </w:rPr>
      </w:pPr>
      <w:r>
        <w:rPr>
          <w:sz w:val="17"/>
        </w:rPr>
        <w:t>400</w:t>
        <w:tab/>
        <w:t>800</w:t>
        <w:tab/>
        <w:t>1200</w:t>
        <w:tab/>
        <w:t>1600</w:t>
        <w:tab/>
        <w:t>2000</w:t>
        <w:tab/>
        <w:t>2400</w:t>
        <w:tab/>
        <w:t>2800</w:t>
        <w:tab/>
        <w:t>3200</w:t>
        <w:tab/>
        <w:t>3600</w:t>
        <w:tab/>
        <w:t>4000</w:t>
      </w:r>
    </w:p>
    <w:p>
      <w:pPr>
        <w:pStyle w:val="BodyText"/>
        <w:spacing w:before="13"/>
        <w:ind w:left="260"/>
        <w:jc w:val="center"/>
      </w:pPr>
      <w:r>
        <w:rPr/>
        <w:t>Striking</w:t>
      </w:r>
      <w:r>
        <w:rPr>
          <w:spacing w:val="1"/>
        </w:rPr>
        <w:t> </w:t>
      </w:r>
      <w:r>
        <w:rPr/>
        <w:t>Velocity</w:t>
      </w:r>
      <w:r>
        <w:rPr>
          <w:spacing w:val="10"/>
        </w:rPr>
        <w:t> </w:t>
      </w:r>
      <w:r>
        <w:rPr/>
        <w:t>(V</w:t>
      </w:r>
      <w:r>
        <w:rPr>
          <w:position w:val="-5"/>
          <w:sz w:val="18"/>
        </w:rPr>
        <w:t>s</w:t>
      </w:r>
      <w:r>
        <w:rPr/>
        <w:t>)</w:t>
      </w:r>
      <w:r>
        <w:rPr>
          <w:spacing w:val="9"/>
        </w:rPr>
        <w:t> </w:t>
      </w:r>
      <w:r>
        <w:rPr/>
        <w:t>(fps)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1"/>
        </w:rPr>
      </w:pPr>
    </w:p>
    <w:p>
      <w:pPr>
        <w:spacing w:before="1"/>
        <w:ind w:left="19" w:right="0" w:firstLine="0"/>
        <w:jc w:val="center"/>
        <w:rPr>
          <w:i/>
          <w:sz w:val="24"/>
        </w:rPr>
      </w:pPr>
      <w:bookmarkStart w:name="_bookmark79" w:id="305"/>
      <w:bookmarkEnd w:id="305"/>
      <w:r>
        <w:rPr/>
      </w:r>
      <w:r>
        <w:rPr>
          <w:i/>
          <w:sz w:val="24"/>
        </w:rPr>
        <w:t>Figure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5-21.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The force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law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model calibrated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SPF-S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data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only.</w:t>
      </w:r>
    </w:p>
    <w:p>
      <w:pPr>
        <w:spacing w:after="0"/>
        <w:jc w:val="center"/>
        <w:rPr>
          <w:sz w:val="24"/>
        </w:rPr>
        <w:sectPr>
          <w:type w:val="continuous"/>
          <w:pgSz w:w="12240" w:h="15840"/>
          <w:pgMar w:top="1380" w:bottom="280" w:left="1720" w:right="1020"/>
        </w:sectPr>
      </w:pPr>
    </w:p>
    <w:p>
      <w:pPr>
        <w:pStyle w:val="BodyText"/>
        <w:spacing w:line="316" w:lineRule="exact" w:before="77"/>
        <w:ind w:left="3571"/>
      </w:pPr>
      <w:r>
        <w:rPr/>
        <w:t>Striking</w:t>
      </w:r>
      <w:r>
        <w:rPr>
          <w:spacing w:val="3"/>
        </w:rPr>
        <w:t> </w:t>
      </w:r>
      <w:r>
        <w:rPr/>
        <w:t>Velocity</w:t>
      </w:r>
      <w:r>
        <w:rPr>
          <w:spacing w:val="11"/>
        </w:rPr>
        <w:t> </w:t>
      </w:r>
      <w:r>
        <w:rPr/>
        <w:t>(V</w:t>
      </w:r>
      <w:r>
        <w:rPr>
          <w:position w:val="-5"/>
          <w:sz w:val="18"/>
        </w:rPr>
        <w:t>s</w:t>
      </w:r>
      <w:r>
        <w:rPr/>
        <w:t>)</w:t>
      </w:r>
      <w:r>
        <w:rPr>
          <w:spacing w:val="11"/>
        </w:rPr>
        <w:t> </w:t>
      </w:r>
      <w:r>
        <w:rPr/>
        <w:t>(m/s)</w:t>
      </w:r>
    </w:p>
    <w:p>
      <w:pPr>
        <w:spacing w:line="172" w:lineRule="exact" w:before="0"/>
        <w:ind w:left="1341" w:right="0" w:firstLine="0"/>
        <w:jc w:val="left"/>
        <w:rPr>
          <w:sz w:val="17"/>
        </w:rPr>
      </w:pPr>
      <w:r>
        <w:rPr>
          <w:sz w:val="17"/>
        </w:rPr>
        <w:t>180  </w:t>
      </w:r>
      <w:r>
        <w:rPr>
          <w:spacing w:val="8"/>
          <w:sz w:val="17"/>
        </w:rPr>
        <w:t> </w:t>
      </w:r>
      <w:r>
        <w:rPr>
          <w:sz w:val="17"/>
        </w:rPr>
        <w:t>240  </w:t>
      </w:r>
      <w:r>
        <w:rPr>
          <w:spacing w:val="5"/>
          <w:sz w:val="17"/>
        </w:rPr>
        <w:t> </w:t>
      </w:r>
      <w:r>
        <w:rPr>
          <w:sz w:val="17"/>
        </w:rPr>
        <w:t>300  </w:t>
      </w:r>
      <w:r>
        <w:rPr>
          <w:spacing w:val="8"/>
          <w:sz w:val="17"/>
        </w:rPr>
        <w:t> </w:t>
      </w:r>
      <w:r>
        <w:rPr>
          <w:sz w:val="17"/>
        </w:rPr>
        <w:t>360  </w:t>
      </w:r>
      <w:r>
        <w:rPr>
          <w:spacing w:val="5"/>
          <w:sz w:val="17"/>
        </w:rPr>
        <w:t> </w:t>
      </w:r>
      <w:r>
        <w:rPr>
          <w:sz w:val="17"/>
        </w:rPr>
        <w:t>420  </w:t>
      </w:r>
      <w:r>
        <w:rPr>
          <w:spacing w:val="8"/>
          <w:sz w:val="17"/>
        </w:rPr>
        <w:t> </w:t>
      </w:r>
      <w:r>
        <w:rPr>
          <w:sz w:val="17"/>
        </w:rPr>
        <w:t>480  </w:t>
      </w:r>
      <w:r>
        <w:rPr>
          <w:spacing w:val="5"/>
          <w:sz w:val="17"/>
        </w:rPr>
        <w:t> </w:t>
      </w:r>
      <w:r>
        <w:rPr>
          <w:sz w:val="17"/>
        </w:rPr>
        <w:t>540  </w:t>
      </w:r>
      <w:r>
        <w:rPr>
          <w:spacing w:val="8"/>
          <w:sz w:val="17"/>
        </w:rPr>
        <w:t> </w:t>
      </w:r>
      <w:r>
        <w:rPr>
          <w:sz w:val="17"/>
        </w:rPr>
        <w:t>600  </w:t>
      </w:r>
      <w:r>
        <w:rPr>
          <w:spacing w:val="5"/>
          <w:sz w:val="17"/>
        </w:rPr>
        <w:t> </w:t>
      </w:r>
      <w:r>
        <w:rPr>
          <w:sz w:val="17"/>
        </w:rPr>
        <w:t>660  </w:t>
      </w:r>
      <w:r>
        <w:rPr>
          <w:spacing w:val="8"/>
          <w:sz w:val="17"/>
        </w:rPr>
        <w:t> </w:t>
      </w:r>
      <w:r>
        <w:rPr>
          <w:sz w:val="17"/>
        </w:rPr>
        <w:t>720  </w:t>
      </w:r>
      <w:r>
        <w:rPr>
          <w:spacing w:val="5"/>
          <w:sz w:val="17"/>
        </w:rPr>
        <w:t> </w:t>
      </w:r>
      <w:r>
        <w:rPr>
          <w:sz w:val="17"/>
        </w:rPr>
        <w:t>780  </w:t>
      </w:r>
      <w:r>
        <w:rPr>
          <w:spacing w:val="8"/>
          <w:sz w:val="17"/>
        </w:rPr>
        <w:t> </w:t>
      </w:r>
      <w:r>
        <w:rPr>
          <w:sz w:val="17"/>
        </w:rPr>
        <w:t>840  </w:t>
      </w:r>
      <w:r>
        <w:rPr>
          <w:spacing w:val="5"/>
          <w:sz w:val="17"/>
        </w:rPr>
        <w:t> </w:t>
      </w:r>
      <w:r>
        <w:rPr>
          <w:sz w:val="17"/>
        </w:rPr>
        <w:t>900  </w:t>
      </w:r>
      <w:r>
        <w:rPr>
          <w:spacing w:val="5"/>
          <w:sz w:val="17"/>
        </w:rPr>
        <w:t> </w:t>
      </w:r>
      <w:r>
        <w:rPr>
          <w:sz w:val="17"/>
        </w:rPr>
        <w:t>960</w:t>
      </w:r>
      <w:r>
        <w:rPr>
          <w:spacing w:val="27"/>
          <w:sz w:val="17"/>
        </w:rPr>
        <w:t> </w:t>
      </w:r>
      <w:r>
        <w:rPr>
          <w:sz w:val="17"/>
        </w:rPr>
        <w:t>1020</w:t>
      </w:r>
      <w:r>
        <w:rPr>
          <w:spacing w:val="4"/>
          <w:sz w:val="17"/>
        </w:rPr>
        <w:t> </w:t>
      </w:r>
      <w:r>
        <w:rPr>
          <w:sz w:val="17"/>
        </w:rPr>
        <w:t>1080</w:t>
      </w:r>
      <w:r>
        <w:rPr>
          <w:spacing w:val="8"/>
          <w:sz w:val="17"/>
        </w:rPr>
        <w:t> </w:t>
      </w:r>
      <w:r>
        <w:rPr>
          <w:sz w:val="17"/>
        </w:rPr>
        <w:t>1140</w:t>
      </w:r>
      <w:r>
        <w:rPr>
          <w:spacing w:val="4"/>
          <w:sz w:val="17"/>
        </w:rPr>
        <w:t> </w:t>
      </w:r>
      <w:r>
        <w:rPr>
          <w:sz w:val="17"/>
        </w:rPr>
        <w:t>1200</w:t>
      </w:r>
    </w:p>
    <w:p>
      <w:pPr>
        <w:spacing w:line="179" w:lineRule="exact" w:before="0"/>
        <w:ind w:left="853" w:right="0" w:firstLine="0"/>
        <w:jc w:val="left"/>
        <w:rPr>
          <w:sz w:val="17"/>
        </w:rPr>
      </w:pPr>
      <w:r>
        <w:rPr/>
        <w:pict>
          <v:group style="position:absolute;margin-left:139.543411pt;margin-top:4.408404pt;width:357.1pt;height:194.55pt;mso-position-horizontal-relative:page;mso-position-vertical-relative:paragraph;z-index:15822336" coordorigin="2791,88" coordsize="7142,3891">
            <v:shape style="position:absolute;left:2790;top:88;width:7142;height:3891" type="#_x0000_t75" stroked="false">
              <v:imagedata r:id="rId147" o:title=""/>
            </v:shape>
            <v:shape style="position:absolute;left:2790;top:88;width:7142;height:3891" type="#_x0000_t202" filled="false" stroked="false">
              <v:textbox inset="0,0,0,0">
                <w:txbxContent>
                  <w:p>
                    <w:pPr>
                      <w:spacing w:line="240" w:lineRule="auto" w:before="8"/>
                      <w:rPr>
                        <w:i/>
                        <w:sz w:val="17"/>
                      </w:rPr>
                    </w:pPr>
                  </w:p>
                  <w:p>
                    <w:pPr>
                      <w:spacing w:line="319" w:lineRule="auto" w:before="0"/>
                      <w:ind w:left="627" w:right="5675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pacing w:val="-3"/>
                        <w:w w:val="105"/>
                        <w:sz w:val="18"/>
                      </w:rPr>
                      <w:t>SPF-S </w:t>
                    </w:r>
                    <w:r>
                      <w:rPr>
                        <w:spacing w:val="-2"/>
                        <w:w w:val="105"/>
                        <w:sz w:val="18"/>
                      </w:rPr>
                      <w:t>data</w:t>
                    </w:r>
                    <w:r>
                      <w:rPr>
                        <w:spacing w:val="-45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SYP</w:t>
                    </w:r>
                    <w:r>
                      <w:rPr>
                        <w:spacing w:val="-7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data</w:t>
                    </w:r>
                  </w:p>
                  <w:p>
                    <w:pPr>
                      <w:spacing w:line="206" w:lineRule="exact" w:before="0"/>
                      <w:ind w:left="627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w w:val="105"/>
                        <w:sz w:val="18"/>
                      </w:rPr>
                      <w:t>Force</w:t>
                    </w:r>
                    <w:r>
                      <w:rPr>
                        <w:spacing w:val="-7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Law</w:t>
                    </w:r>
                    <w:r>
                      <w:rPr>
                        <w:spacing w:val="-9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model</w:t>
                    </w:r>
                    <w:r>
                      <w:rPr>
                        <w:spacing w:val="-7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(SYP</w:t>
                    </w:r>
                    <w:r>
                      <w:rPr>
                        <w:spacing w:val="-8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data</w:t>
                    </w:r>
                    <w:r>
                      <w:rPr>
                        <w:spacing w:val="-7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only)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06.014282pt;margin-top:7.621037pt;width:18pt;height:173.55pt;mso-position-horizontal-relative:page;mso-position-vertical-relative:paragraph;z-index:15822848" type="#_x0000_t202" filled="false" stroked="false">
            <v:textbox inset="0,0,0,0" style="layout-flow:vertical;mso-layout-flow-alt:bottom-to-top">
              <w:txbxContent>
                <w:p>
                  <w:pPr>
                    <w:pStyle w:val="BodyText"/>
                    <w:spacing w:before="16"/>
                    <w:ind w:left="20"/>
                  </w:pPr>
                  <w:r>
                    <w:rPr>
                      <w:spacing w:val="-1"/>
                      <w:w w:val="105"/>
                    </w:rPr>
                    <w:t>Depth</w:t>
                  </w:r>
                  <w:r>
                    <w:rPr>
                      <w:spacing w:val="-14"/>
                      <w:w w:val="105"/>
                    </w:rPr>
                    <w:t> </w:t>
                  </w:r>
                  <w:r>
                    <w:rPr>
                      <w:spacing w:val="-1"/>
                      <w:w w:val="105"/>
                    </w:rPr>
                    <w:t>of</w:t>
                  </w:r>
                  <w:r>
                    <w:rPr>
                      <w:spacing w:val="-13"/>
                      <w:w w:val="105"/>
                    </w:rPr>
                    <w:t> </w:t>
                  </w:r>
                  <w:r>
                    <w:rPr>
                      <w:spacing w:val="-1"/>
                      <w:w w:val="105"/>
                    </w:rPr>
                    <w:t>Penetration</w:t>
                  </w:r>
                  <w:r>
                    <w:rPr>
                      <w:spacing w:val="-14"/>
                      <w:w w:val="105"/>
                    </w:rPr>
                    <w:t> </w:t>
                  </w:r>
                  <w:r>
                    <w:rPr>
                      <w:w w:val="105"/>
                    </w:rPr>
                    <w:t>(T</w:t>
                  </w:r>
                  <w:r>
                    <w:rPr>
                      <w:w w:val="105"/>
                      <w:position w:val="-5"/>
                      <w:sz w:val="18"/>
                    </w:rPr>
                    <w:t>w</w:t>
                  </w:r>
                  <w:r>
                    <w:rPr>
                      <w:w w:val="105"/>
                    </w:rPr>
                    <w:t>)</w:t>
                  </w:r>
                  <w:r>
                    <w:rPr>
                      <w:spacing w:val="-13"/>
                      <w:w w:val="105"/>
                    </w:rPr>
                    <w:t> </w:t>
                  </w:r>
                  <w:r>
                    <w:rPr>
                      <w:w w:val="105"/>
                    </w:rPr>
                    <w:t>(inches)</w:t>
                  </w:r>
                </w:p>
              </w:txbxContent>
            </v:textbox>
            <w10:wrap type="none"/>
          </v:shape>
        </w:pict>
      </w:r>
      <w:r>
        <w:rPr>
          <w:sz w:val="17"/>
        </w:rPr>
        <w:t>14</w:t>
      </w:r>
    </w:p>
    <w:p>
      <w:pPr>
        <w:spacing w:before="83"/>
        <w:ind w:left="853" w:right="0" w:firstLine="0"/>
        <w:jc w:val="left"/>
        <w:rPr>
          <w:sz w:val="17"/>
        </w:rPr>
      </w:pPr>
      <w:r>
        <w:rPr>
          <w:sz w:val="17"/>
        </w:rPr>
        <w:t>13</w:t>
      </w:r>
    </w:p>
    <w:p>
      <w:pPr>
        <w:spacing w:before="79"/>
        <w:ind w:left="853" w:right="0" w:firstLine="0"/>
        <w:jc w:val="left"/>
        <w:rPr>
          <w:sz w:val="17"/>
        </w:rPr>
      </w:pPr>
      <w:r>
        <w:rPr>
          <w:sz w:val="17"/>
        </w:rPr>
        <w:t>12</w:t>
      </w:r>
    </w:p>
    <w:p>
      <w:pPr>
        <w:spacing w:before="80"/>
        <w:ind w:left="853" w:right="0" w:firstLine="0"/>
        <w:jc w:val="left"/>
        <w:rPr>
          <w:sz w:val="17"/>
        </w:rPr>
      </w:pPr>
      <w:r>
        <w:rPr>
          <w:sz w:val="17"/>
        </w:rPr>
        <w:t>11</w:t>
      </w:r>
    </w:p>
    <w:p>
      <w:pPr>
        <w:spacing w:before="83"/>
        <w:ind w:left="853" w:right="0" w:firstLine="0"/>
        <w:jc w:val="left"/>
        <w:rPr>
          <w:sz w:val="17"/>
        </w:rPr>
      </w:pPr>
      <w:r>
        <w:rPr>
          <w:sz w:val="17"/>
        </w:rPr>
        <w:t>10</w:t>
      </w:r>
    </w:p>
    <w:p>
      <w:pPr>
        <w:spacing w:before="79"/>
        <w:ind w:left="939" w:right="0" w:firstLine="0"/>
        <w:jc w:val="left"/>
        <w:rPr>
          <w:sz w:val="17"/>
        </w:rPr>
      </w:pPr>
      <w:r>
        <w:rPr>
          <w:w w:val="100"/>
          <w:sz w:val="17"/>
        </w:rPr>
        <w:t>9</w:t>
      </w:r>
    </w:p>
    <w:p>
      <w:pPr>
        <w:spacing w:before="80"/>
        <w:ind w:left="939" w:right="0" w:firstLine="0"/>
        <w:jc w:val="left"/>
        <w:rPr>
          <w:sz w:val="17"/>
        </w:rPr>
      </w:pPr>
      <w:r>
        <w:rPr>
          <w:w w:val="100"/>
          <w:sz w:val="17"/>
        </w:rPr>
        <w:t>8</w:t>
      </w:r>
    </w:p>
    <w:p>
      <w:pPr>
        <w:spacing w:before="83"/>
        <w:ind w:left="939" w:right="0" w:firstLine="0"/>
        <w:jc w:val="left"/>
        <w:rPr>
          <w:sz w:val="17"/>
        </w:rPr>
      </w:pPr>
      <w:r>
        <w:rPr>
          <w:w w:val="100"/>
          <w:sz w:val="17"/>
        </w:rPr>
        <w:t>7</w:t>
      </w:r>
    </w:p>
    <w:p>
      <w:pPr>
        <w:spacing w:before="79"/>
        <w:ind w:left="939" w:right="0" w:firstLine="0"/>
        <w:jc w:val="left"/>
        <w:rPr>
          <w:sz w:val="17"/>
        </w:rPr>
      </w:pPr>
      <w:r>
        <w:rPr>
          <w:w w:val="100"/>
          <w:sz w:val="17"/>
        </w:rPr>
        <w:t>6</w:t>
      </w:r>
    </w:p>
    <w:p>
      <w:pPr>
        <w:spacing w:before="83"/>
        <w:ind w:left="939" w:right="0" w:firstLine="0"/>
        <w:jc w:val="left"/>
        <w:rPr>
          <w:sz w:val="17"/>
        </w:rPr>
      </w:pPr>
      <w:r>
        <w:rPr>
          <w:w w:val="100"/>
          <w:sz w:val="17"/>
        </w:rPr>
        <w:t>5</w:t>
      </w:r>
    </w:p>
    <w:p>
      <w:pPr>
        <w:spacing w:before="80"/>
        <w:ind w:left="939" w:right="0" w:firstLine="0"/>
        <w:jc w:val="left"/>
        <w:rPr>
          <w:sz w:val="17"/>
        </w:rPr>
      </w:pPr>
      <w:r>
        <w:rPr>
          <w:w w:val="100"/>
          <w:sz w:val="17"/>
        </w:rPr>
        <w:t>4</w:t>
      </w:r>
    </w:p>
    <w:p>
      <w:pPr>
        <w:spacing w:before="79"/>
        <w:ind w:left="939" w:right="0" w:firstLine="0"/>
        <w:jc w:val="left"/>
        <w:rPr>
          <w:sz w:val="17"/>
        </w:rPr>
      </w:pPr>
      <w:r>
        <w:rPr>
          <w:w w:val="100"/>
          <w:sz w:val="17"/>
        </w:rPr>
        <w:t>3</w:t>
      </w:r>
    </w:p>
    <w:p>
      <w:pPr>
        <w:spacing w:before="83"/>
        <w:ind w:left="939" w:right="0" w:firstLine="0"/>
        <w:jc w:val="left"/>
        <w:rPr>
          <w:sz w:val="17"/>
        </w:rPr>
      </w:pPr>
      <w:r>
        <w:rPr>
          <w:w w:val="100"/>
          <w:sz w:val="17"/>
        </w:rPr>
        <w:t>2</w:t>
      </w:r>
    </w:p>
    <w:p>
      <w:pPr>
        <w:spacing w:before="80"/>
        <w:ind w:left="939" w:right="0" w:firstLine="0"/>
        <w:jc w:val="left"/>
        <w:rPr>
          <w:sz w:val="17"/>
        </w:rPr>
      </w:pPr>
      <w:r>
        <w:rPr>
          <w:w w:val="100"/>
          <w:sz w:val="17"/>
        </w:rPr>
        <w:t>1</w:t>
      </w:r>
    </w:p>
    <w:p>
      <w:pPr>
        <w:spacing w:line="154" w:lineRule="exact" w:before="79"/>
        <w:ind w:left="939" w:right="0" w:firstLine="0"/>
        <w:jc w:val="left"/>
        <w:rPr>
          <w:sz w:val="17"/>
        </w:rPr>
      </w:pPr>
      <w:r>
        <w:rPr>
          <w:w w:val="100"/>
          <w:sz w:val="17"/>
        </w:rPr>
        <w:t>0</w:t>
      </w:r>
    </w:p>
    <w:p>
      <w:pPr>
        <w:pStyle w:val="BodyText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rPr>
          <w:sz w:val="18"/>
        </w:rPr>
      </w:pPr>
    </w:p>
    <w:p>
      <w:pPr>
        <w:pStyle w:val="BodyText"/>
        <w:spacing w:before="1"/>
        <w:rPr>
          <w:sz w:val="17"/>
        </w:rPr>
      </w:pPr>
    </w:p>
    <w:p>
      <w:pPr>
        <w:spacing w:before="0"/>
        <w:ind w:left="-32" w:right="0" w:firstLine="0"/>
        <w:jc w:val="left"/>
        <w:rPr>
          <w:sz w:val="17"/>
        </w:rPr>
      </w:pPr>
      <w:r>
        <w:rPr>
          <w:sz w:val="17"/>
        </w:rPr>
        <w:t>35</w:t>
      </w:r>
    </w:p>
    <w:p>
      <w:pPr>
        <w:spacing w:before="75"/>
        <w:ind w:left="-32" w:right="0" w:firstLine="0"/>
        <w:jc w:val="left"/>
        <w:rPr>
          <w:sz w:val="17"/>
        </w:rPr>
      </w:pPr>
      <w:r>
        <w:rPr/>
        <w:pict>
          <v:shape style="position:absolute;margin-left:521.750549pt;margin-top:8.318089pt;width:18pt;height:157.3pt;mso-position-horizontal-relative:page;mso-position-vertical-relative:paragraph;z-index:15823360" type="#_x0000_t202" filled="false" stroked="false">
            <v:textbox inset="0,0,0,0" style="layout-flow:vertical;mso-layout-flow-alt:bottom-to-top">
              <w:txbxContent>
                <w:p>
                  <w:pPr>
                    <w:pStyle w:val="BodyText"/>
                    <w:spacing w:before="17"/>
                    <w:ind w:left="20"/>
                  </w:pPr>
                  <w:r>
                    <w:rPr>
                      <w:w w:val="105"/>
                    </w:rPr>
                    <w:t>Depth</w:t>
                  </w:r>
                  <w:r>
                    <w:rPr>
                      <w:spacing w:val="-15"/>
                      <w:w w:val="105"/>
                    </w:rPr>
                    <w:t> </w:t>
                  </w:r>
                  <w:r>
                    <w:rPr>
                      <w:w w:val="105"/>
                    </w:rPr>
                    <w:t>of</w:t>
                  </w:r>
                  <w:r>
                    <w:rPr>
                      <w:spacing w:val="-15"/>
                      <w:w w:val="105"/>
                    </w:rPr>
                    <w:t> </w:t>
                  </w:r>
                  <w:r>
                    <w:rPr>
                      <w:w w:val="105"/>
                    </w:rPr>
                    <w:t>Penetration</w:t>
                  </w:r>
                  <w:r>
                    <w:rPr>
                      <w:spacing w:val="-15"/>
                      <w:w w:val="105"/>
                    </w:rPr>
                    <w:t> </w:t>
                  </w:r>
                  <w:r>
                    <w:rPr>
                      <w:w w:val="105"/>
                    </w:rPr>
                    <w:t>(T</w:t>
                  </w:r>
                  <w:r>
                    <w:rPr>
                      <w:w w:val="105"/>
                      <w:position w:val="-5"/>
                      <w:sz w:val="18"/>
                    </w:rPr>
                    <w:t>w</w:t>
                  </w:r>
                  <w:r>
                    <w:rPr>
                      <w:w w:val="105"/>
                    </w:rPr>
                    <w:t>)</w:t>
                  </w:r>
                  <w:r>
                    <w:rPr>
                      <w:spacing w:val="-15"/>
                      <w:w w:val="105"/>
                    </w:rPr>
                    <w:t> </w:t>
                  </w:r>
                  <w:r>
                    <w:rPr>
                      <w:w w:val="105"/>
                    </w:rPr>
                    <w:t>(cm)</w:t>
                  </w:r>
                </w:p>
              </w:txbxContent>
            </v:textbox>
            <w10:wrap type="none"/>
          </v:shape>
        </w:pict>
      </w:r>
      <w:r>
        <w:rPr>
          <w:sz w:val="17"/>
        </w:rPr>
        <w:t>32.5</w:t>
      </w:r>
    </w:p>
    <w:p>
      <w:pPr>
        <w:spacing w:before="80"/>
        <w:ind w:left="-32" w:right="0" w:firstLine="0"/>
        <w:jc w:val="left"/>
        <w:rPr>
          <w:sz w:val="17"/>
        </w:rPr>
      </w:pPr>
      <w:r>
        <w:rPr>
          <w:sz w:val="17"/>
        </w:rPr>
        <w:t>30</w:t>
      </w:r>
    </w:p>
    <w:p>
      <w:pPr>
        <w:spacing w:before="75"/>
        <w:ind w:left="-32" w:right="0" w:firstLine="0"/>
        <w:jc w:val="left"/>
        <w:rPr>
          <w:sz w:val="17"/>
        </w:rPr>
      </w:pPr>
      <w:r>
        <w:rPr>
          <w:sz w:val="17"/>
        </w:rPr>
        <w:t>27.5</w:t>
      </w:r>
    </w:p>
    <w:p>
      <w:pPr>
        <w:spacing w:before="76"/>
        <w:ind w:left="-32" w:right="0" w:firstLine="0"/>
        <w:jc w:val="left"/>
        <w:rPr>
          <w:sz w:val="17"/>
        </w:rPr>
      </w:pPr>
      <w:r>
        <w:rPr>
          <w:sz w:val="17"/>
        </w:rPr>
        <w:t>25</w:t>
      </w:r>
    </w:p>
    <w:p>
      <w:pPr>
        <w:spacing w:before="75"/>
        <w:ind w:left="-32" w:right="0" w:firstLine="0"/>
        <w:jc w:val="left"/>
        <w:rPr>
          <w:sz w:val="17"/>
        </w:rPr>
      </w:pPr>
      <w:r>
        <w:rPr>
          <w:sz w:val="17"/>
        </w:rPr>
        <w:t>22.5</w:t>
      </w:r>
    </w:p>
    <w:p>
      <w:pPr>
        <w:spacing w:before="76"/>
        <w:ind w:left="-32" w:right="0" w:firstLine="0"/>
        <w:jc w:val="left"/>
        <w:rPr>
          <w:sz w:val="17"/>
        </w:rPr>
      </w:pPr>
      <w:r>
        <w:rPr>
          <w:sz w:val="17"/>
        </w:rPr>
        <w:t>20</w:t>
      </w:r>
    </w:p>
    <w:p>
      <w:pPr>
        <w:spacing w:before="79"/>
        <w:ind w:left="-32" w:right="0" w:firstLine="0"/>
        <w:jc w:val="left"/>
        <w:rPr>
          <w:sz w:val="17"/>
        </w:rPr>
      </w:pPr>
      <w:r>
        <w:rPr>
          <w:sz w:val="17"/>
        </w:rPr>
        <w:t>17.5</w:t>
      </w:r>
    </w:p>
    <w:p>
      <w:pPr>
        <w:spacing w:before="76"/>
        <w:ind w:left="-32" w:right="0" w:firstLine="0"/>
        <w:jc w:val="left"/>
        <w:rPr>
          <w:sz w:val="17"/>
        </w:rPr>
      </w:pPr>
      <w:r>
        <w:rPr>
          <w:sz w:val="17"/>
        </w:rPr>
        <w:t>15</w:t>
      </w:r>
    </w:p>
    <w:p>
      <w:pPr>
        <w:spacing w:before="75"/>
        <w:ind w:left="-32" w:right="0" w:firstLine="0"/>
        <w:jc w:val="left"/>
        <w:rPr>
          <w:sz w:val="17"/>
        </w:rPr>
      </w:pPr>
      <w:r>
        <w:rPr>
          <w:sz w:val="17"/>
        </w:rPr>
        <w:t>12.5</w:t>
      </w:r>
    </w:p>
    <w:p>
      <w:pPr>
        <w:spacing w:before="76"/>
        <w:ind w:left="-32" w:right="0" w:firstLine="0"/>
        <w:jc w:val="left"/>
        <w:rPr>
          <w:sz w:val="17"/>
        </w:rPr>
      </w:pPr>
      <w:r>
        <w:rPr>
          <w:sz w:val="17"/>
        </w:rPr>
        <w:t>10</w:t>
      </w:r>
    </w:p>
    <w:p>
      <w:pPr>
        <w:spacing w:before="79"/>
        <w:ind w:left="-32" w:right="0" w:firstLine="0"/>
        <w:jc w:val="left"/>
        <w:rPr>
          <w:sz w:val="17"/>
        </w:rPr>
      </w:pPr>
      <w:r>
        <w:rPr>
          <w:sz w:val="17"/>
        </w:rPr>
        <w:t>7.5</w:t>
      </w:r>
    </w:p>
    <w:p>
      <w:pPr>
        <w:spacing w:before="75"/>
        <w:ind w:left="-32" w:right="0" w:firstLine="0"/>
        <w:jc w:val="left"/>
        <w:rPr>
          <w:sz w:val="17"/>
        </w:rPr>
      </w:pPr>
      <w:r>
        <w:rPr>
          <w:w w:val="100"/>
          <w:sz w:val="17"/>
        </w:rPr>
        <w:t>5</w:t>
      </w:r>
    </w:p>
    <w:p>
      <w:pPr>
        <w:spacing w:before="76"/>
        <w:ind w:left="-32" w:right="0" w:firstLine="0"/>
        <w:jc w:val="left"/>
        <w:rPr>
          <w:sz w:val="17"/>
        </w:rPr>
      </w:pPr>
      <w:r>
        <w:rPr>
          <w:sz w:val="17"/>
        </w:rPr>
        <w:t>2.5</w:t>
      </w:r>
    </w:p>
    <w:p>
      <w:pPr>
        <w:spacing w:line="170" w:lineRule="exact" w:before="60"/>
        <w:ind w:left="-29" w:right="0" w:firstLine="0"/>
        <w:jc w:val="left"/>
        <w:rPr>
          <w:sz w:val="17"/>
        </w:rPr>
      </w:pPr>
      <w:r>
        <w:rPr>
          <w:w w:val="100"/>
          <w:sz w:val="17"/>
        </w:rPr>
        <w:t>0</w:t>
      </w:r>
    </w:p>
    <w:p>
      <w:pPr>
        <w:spacing w:after="0" w:line="170" w:lineRule="exact"/>
        <w:jc w:val="left"/>
        <w:rPr>
          <w:sz w:val="17"/>
        </w:rPr>
        <w:sectPr>
          <w:pgSz w:w="12240" w:h="15840"/>
          <w:pgMar w:header="0" w:footer="1064" w:top="1340" w:bottom="1260" w:left="1720" w:right="1020"/>
          <w:cols w:num="2" w:equalWidth="0">
            <w:col w:w="8236" w:space="40"/>
            <w:col w:w="1224"/>
          </w:cols>
        </w:sectPr>
      </w:pPr>
    </w:p>
    <w:p>
      <w:pPr>
        <w:tabs>
          <w:tab w:pos="1771" w:val="left" w:leader="none"/>
          <w:tab w:pos="2495" w:val="left" w:leader="none"/>
          <w:tab w:pos="3288" w:val="left" w:leader="none"/>
          <w:tab w:pos="4078" w:val="left" w:leader="none"/>
          <w:tab w:pos="4867" w:val="left" w:leader="none"/>
          <w:tab w:pos="5661" w:val="left" w:leader="none"/>
          <w:tab w:pos="6450" w:val="left" w:leader="none"/>
          <w:tab w:pos="7240" w:val="left" w:leader="none"/>
        </w:tabs>
        <w:spacing w:before="4"/>
        <w:ind w:left="981" w:right="0" w:firstLine="0"/>
        <w:jc w:val="left"/>
        <w:rPr>
          <w:sz w:val="17"/>
        </w:rPr>
      </w:pPr>
      <w:r>
        <w:rPr>
          <w:sz w:val="17"/>
        </w:rPr>
        <w:t>400</w:t>
        <w:tab/>
        <w:t>800</w:t>
        <w:tab/>
        <w:t>1200</w:t>
        <w:tab/>
        <w:t>1600</w:t>
        <w:tab/>
        <w:t>2000</w:t>
        <w:tab/>
        <w:t>2400</w:t>
        <w:tab/>
        <w:t>2800</w:t>
        <w:tab/>
        <w:t>3200</w:t>
        <w:tab/>
        <w:t>3600</w:t>
      </w:r>
    </w:p>
    <w:p>
      <w:pPr>
        <w:pStyle w:val="BodyText"/>
        <w:spacing w:before="88"/>
        <w:ind w:left="1511"/>
        <w:jc w:val="center"/>
      </w:pPr>
      <w:r>
        <w:rPr/>
        <w:t>Striking</w:t>
      </w:r>
      <w:r>
        <w:rPr>
          <w:spacing w:val="2"/>
        </w:rPr>
        <w:t> </w:t>
      </w:r>
      <w:r>
        <w:rPr/>
        <w:t>Velocity</w:t>
      </w:r>
      <w:r>
        <w:rPr>
          <w:spacing w:val="11"/>
        </w:rPr>
        <w:t> </w:t>
      </w:r>
      <w:r>
        <w:rPr/>
        <w:t>(V</w:t>
      </w:r>
      <w:r>
        <w:rPr>
          <w:position w:val="-5"/>
          <w:sz w:val="18"/>
        </w:rPr>
        <w:t>s</w:t>
      </w:r>
      <w:r>
        <w:rPr/>
        <w:t>)</w:t>
      </w:r>
      <w:r>
        <w:rPr>
          <w:spacing w:val="9"/>
        </w:rPr>
        <w:t> </w:t>
      </w:r>
      <w:r>
        <w:rPr/>
        <w:t>(fps)</w:t>
      </w:r>
    </w:p>
    <w:p>
      <w:pPr>
        <w:spacing w:before="221"/>
        <w:ind w:left="1577" w:right="0" w:firstLine="0"/>
        <w:jc w:val="center"/>
        <w:rPr>
          <w:i/>
          <w:sz w:val="24"/>
        </w:rPr>
      </w:pPr>
      <w:bookmarkStart w:name="_bookmark80" w:id="306"/>
      <w:bookmarkEnd w:id="306"/>
      <w:r>
        <w:rPr/>
      </w:r>
      <w:r>
        <w:rPr>
          <w:i/>
          <w:sz w:val="24"/>
        </w:rPr>
        <w:t>Figure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5-22.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The force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law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model calibrated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SYP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data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only.</w:t>
      </w:r>
    </w:p>
    <w:p>
      <w:pPr>
        <w:spacing w:line="188" w:lineRule="exact" w:before="0"/>
        <w:ind w:left="54" w:right="0" w:firstLine="0"/>
        <w:jc w:val="left"/>
        <w:rPr>
          <w:sz w:val="17"/>
        </w:rPr>
      </w:pPr>
      <w:r>
        <w:rPr/>
        <w:br w:type="column"/>
      </w:r>
      <w:r>
        <w:rPr>
          <w:sz w:val="17"/>
        </w:rPr>
        <w:t>4000</w:t>
      </w:r>
    </w:p>
    <w:p>
      <w:pPr>
        <w:spacing w:after="0" w:line="188" w:lineRule="exact"/>
        <w:jc w:val="left"/>
        <w:rPr>
          <w:sz w:val="17"/>
        </w:rPr>
        <w:sectPr>
          <w:type w:val="continuous"/>
          <w:pgSz w:w="12240" w:h="15840"/>
          <w:pgMar w:top="1380" w:bottom="280" w:left="1720" w:right="1020"/>
          <w:cols w:num="2" w:equalWidth="0">
            <w:col w:w="7944" w:space="40"/>
            <w:col w:w="151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7"/>
        </w:rPr>
      </w:pPr>
    </w:p>
    <w:p>
      <w:pPr>
        <w:pStyle w:val="BodyText"/>
        <w:spacing w:line="480" w:lineRule="auto" w:before="90"/>
        <w:ind w:left="439" w:right="417" w:firstLine="720"/>
        <w:jc w:val="both"/>
      </w:pPr>
      <w:r>
        <w:rPr/>
        <w:t>The models fit to the independent species data sets have lower values of MSE.</w:t>
      </w:r>
      <w:r>
        <w:rPr>
          <w:spacing w:val="1"/>
        </w:rPr>
        <w:t> </w:t>
      </w:r>
      <w:hyperlink w:history="true" w:anchor="_bookmark81">
        <w:r>
          <w:rPr>
            <w:spacing w:val="-1"/>
          </w:rPr>
          <w:t>Table</w:t>
        </w:r>
        <w:r>
          <w:rPr>
            <w:spacing w:val="-13"/>
          </w:rPr>
          <w:t> </w:t>
        </w:r>
        <w:r>
          <w:rPr/>
          <w:t>5-10</w:t>
        </w:r>
        <w:r>
          <w:rPr>
            <w:spacing w:val="-15"/>
          </w:rPr>
          <w:t> </w:t>
        </w:r>
      </w:hyperlink>
      <w:r>
        <w:rPr/>
        <w:t>shows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model</w:t>
      </w:r>
      <w:r>
        <w:rPr>
          <w:spacing w:val="-13"/>
        </w:rPr>
        <w:t> </w:t>
      </w:r>
      <w:r>
        <w:rPr/>
        <w:t>parameters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best</w:t>
      </w:r>
      <w:r>
        <w:rPr>
          <w:spacing w:val="-13"/>
        </w:rPr>
        <w:t> </w:t>
      </w:r>
      <w:r>
        <w:rPr/>
        <w:t>fit</w:t>
      </w:r>
      <w:r>
        <w:rPr>
          <w:spacing w:val="-14"/>
        </w:rPr>
        <w:t> </w:t>
      </w:r>
      <w:r>
        <w:rPr/>
        <w:t>and</w:t>
      </w:r>
      <w:r>
        <w:rPr>
          <w:spacing w:val="-13"/>
        </w:rPr>
        <w:t> </w:t>
      </w:r>
      <w:r>
        <w:rPr/>
        <w:t>MSE</w:t>
      </w:r>
      <w:r>
        <w:rPr>
          <w:spacing w:val="-14"/>
        </w:rPr>
        <w:t> </w:t>
      </w:r>
      <w:r>
        <w:rPr/>
        <w:t>for</w:t>
      </w:r>
      <w:r>
        <w:rPr>
          <w:spacing w:val="-13"/>
        </w:rPr>
        <w:t> </w:t>
      </w:r>
      <w:r>
        <w:rPr/>
        <w:t>all</w:t>
      </w:r>
      <w:r>
        <w:rPr>
          <w:spacing w:val="-14"/>
        </w:rPr>
        <w:t> </w:t>
      </w:r>
      <w:r>
        <w:rPr/>
        <w:t>three</w:t>
      </w:r>
      <w:r>
        <w:rPr>
          <w:spacing w:val="-13"/>
        </w:rPr>
        <w:t> </w:t>
      </w:r>
      <w:r>
        <w:rPr/>
        <w:t>data</w:t>
      </w:r>
      <w:r>
        <w:rPr>
          <w:spacing w:val="-12"/>
        </w:rPr>
        <w:t> </w:t>
      </w:r>
      <w:r>
        <w:rPr/>
        <w:t>sets</w:t>
      </w:r>
      <w:r>
        <w:rPr>
          <w:spacing w:val="-13"/>
        </w:rPr>
        <w:t> </w:t>
      </w:r>
      <w:r>
        <w:rPr/>
        <w:t>calibrated</w:t>
      </w:r>
      <w:r>
        <w:rPr>
          <w:spacing w:val="-58"/>
        </w:rPr>
        <w:t> </w:t>
      </w:r>
      <w:r>
        <w:rPr/>
        <w:t>to the force law model. The negative value for the </w:t>
      </w:r>
      <w:r>
        <w:rPr>
          <w:i/>
        </w:rPr>
        <w:t>a </w:t>
      </w:r>
      <w:r>
        <w:rPr/>
        <w:t>parameter in the SPF-S only model is</w:t>
      </w:r>
      <w:r>
        <w:rPr>
          <w:spacing w:val="-57"/>
        </w:rPr>
        <w:t> </w:t>
      </w:r>
      <w:r>
        <w:rPr/>
        <w:t>the reason for the curve direction.</w:t>
      </w:r>
      <w:r>
        <w:rPr>
          <w:spacing w:val="1"/>
        </w:rPr>
        <w:t> </w:t>
      </w:r>
      <w:hyperlink w:history="true" w:anchor="_bookmark82">
        <w:r>
          <w:rPr/>
          <w:t>Figure 5-23 </w:t>
        </w:r>
      </w:hyperlink>
      <w:r>
        <w:rPr/>
        <w:t>shows all three versions of the force law</w:t>
      </w:r>
      <w:r>
        <w:rPr>
          <w:spacing w:val="1"/>
        </w:rPr>
        <w:t> </w:t>
      </w:r>
      <w:r>
        <w:rPr/>
        <w:t>model</w:t>
      </w:r>
      <w:r>
        <w:rPr>
          <w:spacing w:val="-1"/>
        </w:rPr>
        <w:t> </w:t>
      </w:r>
      <w:r>
        <w:rPr/>
        <w:t>curve</w:t>
      </w:r>
      <w:r>
        <w:rPr>
          <w:spacing w:val="-1"/>
        </w:rPr>
        <w:t> </w:t>
      </w:r>
      <w:r>
        <w:rPr/>
        <w:t>and the data.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0"/>
        <w:rPr>
          <w:sz w:val="33"/>
        </w:rPr>
      </w:pPr>
    </w:p>
    <w:p>
      <w:pPr>
        <w:spacing w:before="0"/>
        <w:ind w:left="439" w:right="403" w:firstLine="0"/>
        <w:jc w:val="left"/>
        <w:rPr>
          <w:i/>
          <w:sz w:val="24"/>
        </w:rPr>
      </w:pPr>
      <w:bookmarkStart w:name="_bookmark81" w:id="307"/>
      <w:bookmarkEnd w:id="307"/>
      <w:r>
        <w:rPr/>
      </w:r>
      <w:r>
        <w:rPr>
          <w:i/>
          <w:sz w:val="24"/>
        </w:rPr>
        <w:t>Table</w:t>
      </w:r>
      <w:r>
        <w:rPr>
          <w:i/>
          <w:spacing w:val="7"/>
          <w:sz w:val="24"/>
        </w:rPr>
        <w:t> </w:t>
      </w:r>
      <w:r>
        <w:rPr>
          <w:i/>
          <w:sz w:val="24"/>
        </w:rPr>
        <w:t>5-10.</w:t>
      </w:r>
      <w:r>
        <w:rPr>
          <w:i/>
          <w:spacing w:val="6"/>
          <w:sz w:val="24"/>
        </w:rPr>
        <w:t> </w:t>
      </w:r>
      <w:r>
        <w:rPr>
          <w:i/>
          <w:sz w:val="24"/>
        </w:rPr>
        <w:t>Calibrated</w:t>
      </w:r>
      <w:r>
        <w:rPr>
          <w:i/>
          <w:spacing w:val="6"/>
          <w:sz w:val="24"/>
        </w:rPr>
        <w:t> </w:t>
      </w:r>
      <w:r>
        <w:rPr>
          <w:i/>
          <w:sz w:val="24"/>
        </w:rPr>
        <w:t>model</w:t>
      </w:r>
      <w:r>
        <w:rPr>
          <w:i/>
          <w:spacing w:val="7"/>
          <w:sz w:val="24"/>
        </w:rPr>
        <w:t> </w:t>
      </w:r>
      <w:r>
        <w:rPr>
          <w:i/>
          <w:sz w:val="24"/>
        </w:rPr>
        <w:t>parameters</w:t>
      </w:r>
      <w:r>
        <w:rPr>
          <w:i/>
          <w:spacing w:val="7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6"/>
          <w:sz w:val="24"/>
        </w:rPr>
        <w:t> </w:t>
      </w:r>
      <w:r>
        <w:rPr>
          <w:i/>
          <w:sz w:val="24"/>
        </w:rPr>
        <w:t>MSE</w:t>
      </w:r>
      <w:r>
        <w:rPr>
          <w:i/>
          <w:spacing w:val="8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7"/>
          <w:sz w:val="24"/>
        </w:rPr>
        <w:t> </w:t>
      </w:r>
      <w:r>
        <w:rPr>
          <w:i/>
          <w:sz w:val="24"/>
        </w:rPr>
        <w:t>different</w:t>
      </w:r>
      <w:r>
        <w:rPr>
          <w:i/>
          <w:spacing w:val="7"/>
          <w:sz w:val="24"/>
        </w:rPr>
        <w:t> </w:t>
      </w:r>
      <w:r>
        <w:rPr>
          <w:i/>
          <w:sz w:val="24"/>
        </w:rPr>
        <w:t>calibrations</w:t>
      </w:r>
      <w:r>
        <w:rPr>
          <w:i/>
          <w:spacing w:val="7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6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6"/>
          <w:sz w:val="24"/>
        </w:rPr>
        <w:t> </w:t>
      </w:r>
      <w:r>
        <w:rPr>
          <w:i/>
          <w:sz w:val="24"/>
        </w:rPr>
        <w:t>force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law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model.</w:t>
      </w:r>
    </w:p>
    <w:p>
      <w:pPr>
        <w:pStyle w:val="BodyText"/>
        <w:spacing w:before="6"/>
        <w:rPr>
          <w:i/>
          <w:sz w:val="17"/>
        </w:rPr>
      </w:pPr>
    </w:p>
    <w:tbl>
      <w:tblPr>
        <w:tblW w:w="0" w:type="auto"/>
        <w:jc w:val="left"/>
        <w:tblInd w:w="17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23"/>
        <w:gridCol w:w="841"/>
        <w:gridCol w:w="1019"/>
        <w:gridCol w:w="1015"/>
        <w:gridCol w:w="1283"/>
      </w:tblGrid>
      <w:tr>
        <w:trPr>
          <w:trHeight w:val="289" w:hRule="atLeast"/>
        </w:trPr>
        <w:tc>
          <w:tcPr>
            <w:tcW w:w="1823" w:type="dxa"/>
            <w:vMerge w:val="restart"/>
            <w:shd w:val="clear" w:color="auto" w:fill="DADADA"/>
          </w:tcPr>
          <w:p>
            <w:pPr>
              <w:pStyle w:val="TableParagraph"/>
              <w:spacing w:before="1"/>
              <w:rPr>
                <w:i/>
                <w:sz w:val="31"/>
              </w:rPr>
            </w:pPr>
          </w:p>
          <w:p>
            <w:pPr>
              <w:pStyle w:val="TableParagraph"/>
              <w:spacing w:line="212" w:lineRule="exact"/>
              <w:ind w:left="585"/>
              <w:rPr>
                <w:sz w:val="20"/>
              </w:rPr>
            </w:pPr>
            <w:r>
              <w:rPr>
                <w:sz w:val="20"/>
              </w:rPr>
              <w:t>Data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set</w:t>
            </w:r>
          </w:p>
        </w:tc>
        <w:tc>
          <w:tcPr>
            <w:tcW w:w="2875" w:type="dxa"/>
            <w:gridSpan w:val="3"/>
            <w:shd w:val="clear" w:color="auto" w:fill="DADADA"/>
          </w:tcPr>
          <w:p>
            <w:pPr>
              <w:pStyle w:val="TableParagraph"/>
              <w:spacing w:line="212" w:lineRule="exact" w:before="58"/>
              <w:ind w:left="712"/>
              <w:rPr>
                <w:sz w:val="20"/>
              </w:rPr>
            </w:pPr>
            <w:r>
              <w:rPr>
                <w:sz w:val="20"/>
              </w:rPr>
              <w:t>Model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parameters</w:t>
            </w:r>
          </w:p>
        </w:tc>
        <w:tc>
          <w:tcPr>
            <w:tcW w:w="1283" w:type="dxa"/>
            <w:vMerge w:val="restart"/>
            <w:shd w:val="clear" w:color="auto" w:fill="DADADA"/>
          </w:tcPr>
          <w:p>
            <w:pPr>
              <w:pStyle w:val="TableParagraph"/>
              <w:spacing w:before="1"/>
              <w:rPr>
                <w:i/>
                <w:sz w:val="31"/>
              </w:rPr>
            </w:pPr>
          </w:p>
          <w:p>
            <w:pPr>
              <w:pStyle w:val="TableParagraph"/>
              <w:spacing w:line="212" w:lineRule="exact"/>
              <w:ind w:left="416" w:right="405"/>
              <w:jc w:val="center"/>
              <w:rPr>
                <w:sz w:val="20"/>
              </w:rPr>
            </w:pPr>
            <w:r>
              <w:rPr>
                <w:sz w:val="20"/>
              </w:rPr>
              <w:t>MSE</w:t>
            </w:r>
          </w:p>
        </w:tc>
      </w:tr>
      <w:tr>
        <w:trPr>
          <w:trHeight w:val="290" w:hRule="atLeast"/>
        </w:trPr>
        <w:tc>
          <w:tcPr>
            <w:tcW w:w="1823" w:type="dxa"/>
            <w:vMerge/>
            <w:tcBorders>
              <w:top w:val="nil"/>
            </w:tcBorders>
            <w:shd w:val="clear" w:color="auto" w:fill="DADADA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41" w:type="dxa"/>
            <w:shd w:val="clear" w:color="auto" w:fill="DADADA"/>
          </w:tcPr>
          <w:p>
            <w:pPr>
              <w:pStyle w:val="TableParagraph"/>
              <w:spacing w:line="212" w:lineRule="exact" w:before="58"/>
              <w:ind w:left="5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a</w:t>
            </w:r>
          </w:p>
        </w:tc>
        <w:tc>
          <w:tcPr>
            <w:tcW w:w="1019" w:type="dxa"/>
            <w:shd w:val="clear" w:color="auto" w:fill="DADADA"/>
          </w:tcPr>
          <w:p>
            <w:pPr>
              <w:pStyle w:val="TableParagraph"/>
              <w:spacing w:line="212" w:lineRule="exact" w:before="58"/>
              <w:ind w:left="7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b</w:t>
            </w:r>
          </w:p>
        </w:tc>
        <w:tc>
          <w:tcPr>
            <w:tcW w:w="1015" w:type="dxa"/>
            <w:shd w:val="clear" w:color="auto" w:fill="DADADA"/>
          </w:tcPr>
          <w:p>
            <w:pPr>
              <w:pStyle w:val="TableParagraph"/>
              <w:spacing w:line="212" w:lineRule="exact" w:before="58"/>
              <w:ind w:left="11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c</w:t>
            </w:r>
          </w:p>
        </w:tc>
        <w:tc>
          <w:tcPr>
            <w:tcW w:w="1283" w:type="dxa"/>
            <w:vMerge/>
            <w:tcBorders>
              <w:top w:val="nil"/>
            </w:tcBorders>
            <w:shd w:val="clear" w:color="auto" w:fill="DADADA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22" w:hRule="atLeast"/>
        </w:trPr>
        <w:tc>
          <w:tcPr>
            <w:tcW w:w="1823" w:type="dxa"/>
            <w:tcBorders>
              <w:bottom w:val="nil"/>
            </w:tcBorders>
          </w:tcPr>
          <w:p>
            <w:pPr>
              <w:pStyle w:val="TableParagraph"/>
              <w:spacing w:before="58"/>
              <w:ind w:right="100"/>
              <w:jc w:val="right"/>
              <w:rPr>
                <w:sz w:val="20"/>
              </w:rPr>
            </w:pPr>
            <w:r>
              <w:rPr>
                <w:sz w:val="20"/>
              </w:rPr>
              <w:t>SPF-S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SYP</w:t>
            </w:r>
          </w:p>
        </w:tc>
        <w:tc>
          <w:tcPr>
            <w:tcW w:w="841" w:type="dxa"/>
            <w:tcBorders>
              <w:bottom w:val="nil"/>
            </w:tcBorders>
          </w:tcPr>
          <w:p>
            <w:pPr>
              <w:pStyle w:val="TableParagraph"/>
              <w:spacing w:before="58"/>
              <w:ind w:left="89" w:right="84"/>
              <w:jc w:val="center"/>
              <w:rPr>
                <w:sz w:val="20"/>
              </w:rPr>
            </w:pPr>
            <w:r>
              <w:rPr>
                <w:sz w:val="20"/>
              </w:rPr>
              <w:t>3.5586</w:t>
            </w:r>
          </w:p>
        </w:tc>
        <w:tc>
          <w:tcPr>
            <w:tcW w:w="1019" w:type="dxa"/>
            <w:tcBorders>
              <w:bottom w:val="nil"/>
            </w:tcBorders>
          </w:tcPr>
          <w:p>
            <w:pPr>
              <w:pStyle w:val="TableParagraph"/>
              <w:spacing w:before="58"/>
              <w:ind w:left="112" w:right="106"/>
              <w:jc w:val="center"/>
              <w:rPr>
                <w:sz w:val="20"/>
              </w:rPr>
            </w:pPr>
            <w:r>
              <w:rPr>
                <w:sz w:val="20"/>
              </w:rPr>
              <w:t>190.4839</w:t>
            </w:r>
          </w:p>
        </w:tc>
        <w:tc>
          <w:tcPr>
            <w:tcW w:w="1015" w:type="dxa"/>
            <w:tcBorders>
              <w:bottom w:val="nil"/>
            </w:tcBorders>
          </w:tcPr>
          <w:p>
            <w:pPr>
              <w:pStyle w:val="TableParagraph"/>
              <w:spacing w:before="58"/>
              <w:ind w:left="112" w:right="102"/>
              <w:jc w:val="center"/>
              <w:rPr>
                <w:sz w:val="20"/>
              </w:rPr>
            </w:pPr>
            <w:r>
              <w:rPr>
                <w:sz w:val="20"/>
              </w:rPr>
              <w:t>574.7253</w:t>
            </w:r>
          </w:p>
        </w:tc>
        <w:tc>
          <w:tcPr>
            <w:tcW w:w="1283" w:type="dxa"/>
            <w:tcBorders>
              <w:bottom w:val="nil"/>
            </w:tcBorders>
          </w:tcPr>
          <w:p>
            <w:pPr>
              <w:pStyle w:val="TableParagraph"/>
              <w:spacing w:before="58"/>
              <w:ind w:right="403"/>
              <w:jc w:val="right"/>
              <w:rPr>
                <w:sz w:val="20"/>
              </w:rPr>
            </w:pPr>
            <w:r>
              <w:rPr>
                <w:sz w:val="20"/>
              </w:rPr>
              <w:t>1.322</w:t>
            </w:r>
          </w:p>
        </w:tc>
      </w:tr>
      <w:tr>
        <w:trPr>
          <w:trHeight w:val="289" w:hRule="atLeast"/>
        </w:trPr>
        <w:tc>
          <w:tcPr>
            <w:tcW w:w="1823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26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SPF-S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only</w:t>
            </w:r>
          </w:p>
        </w:tc>
        <w:tc>
          <w:tcPr>
            <w:tcW w:w="841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26"/>
              <w:ind w:left="90" w:right="84"/>
              <w:jc w:val="center"/>
              <w:rPr>
                <w:sz w:val="20"/>
              </w:rPr>
            </w:pPr>
            <w:r>
              <w:rPr>
                <w:sz w:val="20"/>
              </w:rPr>
              <w:t>-2.7972</w:t>
            </w:r>
          </w:p>
        </w:tc>
        <w:tc>
          <w:tcPr>
            <w:tcW w:w="101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26"/>
              <w:ind w:left="112" w:right="106"/>
              <w:jc w:val="center"/>
              <w:rPr>
                <w:sz w:val="20"/>
              </w:rPr>
            </w:pPr>
            <w:r>
              <w:rPr>
                <w:sz w:val="20"/>
              </w:rPr>
              <w:t>226.0455</w:t>
            </w:r>
          </w:p>
        </w:tc>
        <w:tc>
          <w:tcPr>
            <w:tcW w:w="1015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26"/>
              <w:ind w:left="112" w:right="102"/>
              <w:jc w:val="center"/>
              <w:rPr>
                <w:sz w:val="20"/>
              </w:rPr>
            </w:pPr>
            <w:r>
              <w:rPr>
                <w:sz w:val="20"/>
              </w:rPr>
              <w:t>485.5625</w:t>
            </w:r>
          </w:p>
        </w:tc>
        <w:tc>
          <w:tcPr>
            <w:tcW w:w="1283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26"/>
              <w:ind w:right="403"/>
              <w:jc w:val="right"/>
              <w:rPr>
                <w:sz w:val="20"/>
              </w:rPr>
            </w:pPr>
            <w:r>
              <w:rPr>
                <w:sz w:val="20"/>
              </w:rPr>
              <w:t>0.333</w:t>
            </w:r>
          </w:p>
        </w:tc>
      </w:tr>
      <w:tr>
        <w:trPr>
          <w:trHeight w:val="258" w:hRule="atLeast"/>
        </w:trPr>
        <w:tc>
          <w:tcPr>
            <w:tcW w:w="1823" w:type="dxa"/>
            <w:tcBorders>
              <w:top w:val="nil"/>
            </w:tcBorders>
          </w:tcPr>
          <w:p>
            <w:pPr>
              <w:pStyle w:val="TableParagraph"/>
              <w:spacing w:line="213" w:lineRule="exact" w:before="25"/>
              <w:ind w:right="98"/>
              <w:jc w:val="right"/>
              <w:rPr>
                <w:sz w:val="20"/>
              </w:rPr>
            </w:pPr>
            <w:r>
              <w:rPr>
                <w:sz w:val="20"/>
              </w:rPr>
              <w:t>SYP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only</w:t>
            </w:r>
          </w:p>
        </w:tc>
        <w:tc>
          <w:tcPr>
            <w:tcW w:w="841" w:type="dxa"/>
            <w:tcBorders>
              <w:top w:val="nil"/>
            </w:tcBorders>
          </w:tcPr>
          <w:p>
            <w:pPr>
              <w:pStyle w:val="TableParagraph"/>
              <w:spacing w:line="213" w:lineRule="exact" w:before="25"/>
              <w:ind w:left="89" w:right="84"/>
              <w:jc w:val="center"/>
              <w:rPr>
                <w:sz w:val="20"/>
              </w:rPr>
            </w:pPr>
            <w:r>
              <w:rPr>
                <w:sz w:val="20"/>
              </w:rPr>
              <w:t>0.7293</w:t>
            </w:r>
          </w:p>
        </w:tc>
        <w:tc>
          <w:tcPr>
            <w:tcW w:w="1019" w:type="dxa"/>
            <w:tcBorders>
              <w:top w:val="nil"/>
            </w:tcBorders>
          </w:tcPr>
          <w:p>
            <w:pPr>
              <w:pStyle w:val="TableParagraph"/>
              <w:spacing w:line="213" w:lineRule="exact" w:before="25"/>
              <w:ind w:left="112" w:right="106"/>
              <w:jc w:val="center"/>
              <w:rPr>
                <w:sz w:val="20"/>
              </w:rPr>
            </w:pPr>
            <w:r>
              <w:rPr>
                <w:sz w:val="20"/>
              </w:rPr>
              <w:t>216.1392</w:t>
            </w:r>
          </w:p>
        </w:tc>
        <w:tc>
          <w:tcPr>
            <w:tcW w:w="1015" w:type="dxa"/>
            <w:tcBorders>
              <w:top w:val="nil"/>
            </w:tcBorders>
          </w:tcPr>
          <w:p>
            <w:pPr>
              <w:pStyle w:val="TableParagraph"/>
              <w:spacing w:line="213" w:lineRule="exact" w:before="25"/>
              <w:ind w:left="112" w:right="102"/>
              <w:jc w:val="center"/>
              <w:rPr>
                <w:sz w:val="20"/>
              </w:rPr>
            </w:pPr>
            <w:r>
              <w:rPr>
                <w:sz w:val="20"/>
              </w:rPr>
              <w:t>762.7897</w:t>
            </w:r>
          </w:p>
        </w:tc>
        <w:tc>
          <w:tcPr>
            <w:tcW w:w="1283" w:type="dxa"/>
            <w:tcBorders>
              <w:top w:val="nil"/>
            </w:tcBorders>
          </w:tcPr>
          <w:p>
            <w:pPr>
              <w:pStyle w:val="TableParagraph"/>
              <w:spacing w:line="213" w:lineRule="exact" w:before="25"/>
              <w:ind w:right="403"/>
              <w:jc w:val="right"/>
              <w:rPr>
                <w:sz w:val="20"/>
              </w:rPr>
            </w:pPr>
            <w:r>
              <w:rPr>
                <w:sz w:val="20"/>
              </w:rPr>
              <w:t>0.839</w:t>
            </w:r>
          </w:p>
        </w:tc>
      </w:tr>
    </w:tbl>
    <w:p>
      <w:pPr>
        <w:spacing w:after="0" w:line="213" w:lineRule="exact"/>
        <w:jc w:val="right"/>
        <w:rPr>
          <w:sz w:val="20"/>
        </w:rPr>
        <w:sectPr>
          <w:type w:val="continuous"/>
          <w:pgSz w:w="12240" w:h="15840"/>
          <w:pgMar w:top="1380" w:bottom="280" w:left="1720" w:right="1020"/>
        </w:sectPr>
      </w:pPr>
    </w:p>
    <w:p>
      <w:pPr>
        <w:pStyle w:val="BodyText"/>
        <w:spacing w:line="316" w:lineRule="exact" w:before="69"/>
        <w:ind w:left="3339"/>
      </w:pPr>
      <w:r>
        <w:rPr/>
        <w:t>Striking</w:t>
      </w:r>
      <w:r>
        <w:rPr>
          <w:spacing w:val="2"/>
        </w:rPr>
        <w:t> </w:t>
      </w:r>
      <w:r>
        <w:rPr/>
        <w:t>Velocity</w:t>
      </w:r>
      <w:r>
        <w:rPr>
          <w:spacing w:val="11"/>
        </w:rPr>
        <w:t> </w:t>
      </w:r>
      <w:r>
        <w:rPr/>
        <w:t>(V</w:t>
      </w:r>
      <w:r>
        <w:rPr>
          <w:position w:val="-5"/>
          <w:sz w:val="18"/>
        </w:rPr>
        <w:t>s</w:t>
      </w:r>
      <w:r>
        <w:rPr/>
        <w:t>)</w:t>
      </w:r>
      <w:r>
        <w:rPr>
          <w:spacing w:val="10"/>
        </w:rPr>
        <w:t> </w:t>
      </w:r>
      <w:r>
        <w:rPr/>
        <w:t>(m/s)</w:t>
      </w:r>
    </w:p>
    <w:p>
      <w:pPr>
        <w:spacing w:line="164" w:lineRule="exact" w:before="0"/>
        <w:ind w:left="1297" w:right="0" w:firstLine="0"/>
        <w:jc w:val="left"/>
        <w:rPr>
          <w:sz w:val="17"/>
        </w:rPr>
      </w:pPr>
      <w:r>
        <w:rPr>
          <w:sz w:val="17"/>
        </w:rPr>
        <w:t>180  </w:t>
      </w:r>
      <w:r>
        <w:rPr>
          <w:spacing w:val="7"/>
          <w:sz w:val="17"/>
        </w:rPr>
        <w:t> </w:t>
      </w:r>
      <w:r>
        <w:rPr>
          <w:sz w:val="17"/>
        </w:rPr>
        <w:t>240  </w:t>
      </w:r>
      <w:r>
        <w:rPr>
          <w:spacing w:val="3"/>
          <w:sz w:val="17"/>
        </w:rPr>
        <w:t> </w:t>
      </w:r>
      <w:r>
        <w:rPr>
          <w:sz w:val="17"/>
        </w:rPr>
        <w:t>300  </w:t>
      </w:r>
      <w:r>
        <w:rPr>
          <w:spacing w:val="8"/>
          <w:sz w:val="17"/>
        </w:rPr>
        <w:t> </w:t>
      </w:r>
      <w:r>
        <w:rPr>
          <w:sz w:val="17"/>
        </w:rPr>
        <w:t>360  </w:t>
      </w:r>
      <w:r>
        <w:rPr>
          <w:spacing w:val="3"/>
          <w:sz w:val="17"/>
        </w:rPr>
        <w:t> </w:t>
      </w:r>
      <w:r>
        <w:rPr>
          <w:sz w:val="17"/>
        </w:rPr>
        <w:t>420  </w:t>
      </w:r>
      <w:r>
        <w:rPr>
          <w:spacing w:val="8"/>
          <w:sz w:val="17"/>
        </w:rPr>
        <w:t> </w:t>
      </w:r>
      <w:r>
        <w:rPr>
          <w:sz w:val="17"/>
        </w:rPr>
        <w:t>480  </w:t>
      </w:r>
      <w:r>
        <w:rPr>
          <w:spacing w:val="3"/>
          <w:sz w:val="17"/>
        </w:rPr>
        <w:t> </w:t>
      </w:r>
      <w:r>
        <w:rPr>
          <w:sz w:val="17"/>
        </w:rPr>
        <w:t>540  </w:t>
      </w:r>
      <w:r>
        <w:rPr>
          <w:spacing w:val="8"/>
          <w:sz w:val="17"/>
        </w:rPr>
        <w:t> </w:t>
      </w:r>
      <w:r>
        <w:rPr>
          <w:sz w:val="17"/>
        </w:rPr>
        <w:t>600  </w:t>
      </w:r>
      <w:r>
        <w:rPr>
          <w:spacing w:val="3"/>
          <w:sz w:val="17"/>
        </w:rPr>
        <w:t> </w:t>
      </w:r>
      <w:r>
        <w:rPr>
          <w:sz w:val="17"/>
        </w:rPr>
        <w:t>660  </w:t>
      </w:r>
      <w:r>
        <w:rPr>
          <w:spacing w:val="7"/>
          <w:sz w:val="17"/>
        </w:rPr>
        <w:t> </w:t>
      </w:r>
      <w:r>
        <w:rPr>
          <w:sz w:val="17"/>
        </w:rPr>
        <w:t>720  </w:t>
      </w:r>
      <w:r>
        <w:rPr>
          <w:spacing w:val="4"/>
          <w:sz w:val="17"/>
        </w:rPr>
        <w:t> </w:t>
      </w:r>
      <w:r>
        <w:rPr>
          <w:sz w:val="17"/>
        </w:rPr>
        <w:t>780  </w:t>
      </w:r>
      <w:r>
        <w:rPr>
          <w:spacing w:val="7"/>
          <w:sz w:val="17"/>
        </w:rPr>
        <w:t> </w:t>
      </w:r>
      <w:r>
        <w:rPr>
          <w:sz w:val="17"/>
        </w:rPr>
        <w:t>840  </w:t>
      </w:r>
      <w:r>
        <w:rPr>
          <w:spacing w:val="4"/>
          <w:sz w:val="17"/>
        </w:rPr>
        <w:t> </w:t>
      </w:r>
      <w:r>
        <w:rPr>
          <w:sz w:val="17"/>
        </w:rPr>
        <w:t>900  </w:t>
      </w:r>
      <w:r>
        <w:rPr>
          <w:spacing w:val="3"/>
          <w:sz w:val="17"/>
        </w:rPr>
        <w:t> </w:t>
      </w:r>
      <w:r>
        <w:rPr>
          <w:sz w:val="17"/>
        </w:rPr>
        <w:t>960</w:t>
      </w:r>
      <w:r>
        <w:rPr>
          <w:spacing w:val="27"/>
          <w:sz w:val="17"/>
        </w:rPr>
        <w:t> </w:t>
      </w:r>
      <w:r>
        <w:rPr>
          <w:sz w:val="17"/>
        </w:rPr>
        <w:t>1020</w:t>
      </w:r>
      <w:r>
        <w:rPr>
          <w:spacing w:val="3"/>
          <w:sz w:val="17"/>
        </w:rPr>
        <w:t> </w:t>
      </w:r>
      <w:r>
        <w:rPr>
          <w:sz w:val="17"/>
        </w:rPr>
        <w:t>1080</w:t>
      </w:r>
      <w:r>
        <w:rPr>
          <w:spacing w:val="7"/>
          <w:sz w:val="17"/>
        </w:rPr>
        <w:t> </w:t>
      </w:r>
      <w:r>
        <w:rPr>
          <w:sz w:val="17"/>
        </w:rPr>
        <w:t>1140</w:t>
      </w:r>
      <w:r>
        <w:rPr>
          <w:spacing w:val="3"/>
          <w:sz w:val="17"/>
        </w:rPr>
        <w:t> </w:t>
      </w:r>
      <w:r>
        <w:rPr>
          <w:sz w:val="17"/>
        </w:rPr>
        <w:t>1200</w:t>
      </w:r>
    </w:p>
    <w:p>
      <w:pPr>
        <w:spacing w:line="171" w:lineRule="exact" w:before="0"/>
        <w:ind w:left="857" w:right="0" w:firstLine="0"/>
        <w:jc w:val="left"/>
        <w:rPr>
          <w:sz w:val="17"/>
        </w:rPr>
      </w:pPr>
      <w:r>
        <w:rPr/>
        <w:pict>
          <v:group style="position:absolute;margin-left:138.926193pt;margin-top:4.02273pt;width:356.65pt;height:194.25pt;mso-position-horizontal-relative:page;mso-position-vertical-relative:paragraph;z-index:15823872" coordorigin="2779,80" coordsize="7133,3885">
            <v:shape style="position:absolute;left:2778;top:80;width:7133;height:3885" type="#_x0000_t75" stroked="false">
              <v:imagedata r:id="rId148" o:title=""/>
            </v:shape>
            <v:shape style="position:absolute;left:2778;top:80;width:7133;height:3885" type="#_x0000_t202" filled="false" stroked="false">
              <v:textbox inset="0,0,0,0">
                <w:txbxContent>
                  <w:p>
                    <w:pPr>
                      <w:spacing w:line="319" w:lineRule="auto" w:before="172"/>
                      <w:ind w:left="657" w:right="564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pacing w:val="-3"/>
                        <w:w w:val="105"/>
                        <w:sz w:val="18"/>
                      </w:rPr>
                      <w:t>SPF-S data</w:t>
                    </w:r>
                    <w:r>
                      <w:rPr>
                        <w:spacing w:val="-45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SYP</w:t>
                    </w:r>
                    <w:r>
                      <w:rPr>
                        <w:spacing w:val="-7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data</w:t>
                    </w:r>
                  </w:p>
                  <w:p>
                    <w:pPr>
                      <w:spacing w:before="2"/>
                      <w:ind w:left="657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w w:val="105"/>
                        <w:sz w:val="18"/>
                      </w:rPr>
                      <w:t>Force</w:t>
                    </w:r>
                    <w:r>
                      <w:rPr>
                        <w:spacing w:val="-7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Law</w:t>
                    </w:r>
                    <w:r>
                      <w:rPr>
                        <w:spacing w:val="-1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model</w:t>
                    </w:r>
                  </w:p>
                  <w:p>
                    <w:pPr>
                      <w:spacing w:line="319" w:lineRule="auto" w:before="68"/>
                      <w:ind w:left="657" w:right="3775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pacing w:val="-1"/>
                        <w:w w:val="105"/>
                        <w:sz w:val="18"/>
                      </w:rPr>
                      <w:t>Force</w:t>
                    </w:r>
                    <w:r>
                      <w:rPr>
                        <w:spacing w:val="-5"/>
                        <w:w w:val="105"/>
                        <w:sz w:val="18"/>
                      </w:rPr>
                      <w:t> </w:t>
                    </w:r>
                    <w:r>
                      <w:rPr>
                        <w:spacing w:val="-1"/>
                        <w:w w:val="105"/>
                        <w:sz w:val="18"/>
                      </w:rPr>
                      <w:t>Law</w:t>
                    </w:r>
                    <w:r>
                      <w:rPr>
                        <w:spacing w:val="-10"/>
                        <w:w w:val="105"/>
                        <w:sz w:val="18"/>
                      </w:rPr>
                      <w:t> </w:t>
                    </w:r>
                    <w:r>
                      <w:rPr>
                        <w:spacing w:val="-1"/>
                        <w:w w:val="105"/>
                        <w:sz w:val="18"/>
                      </w:rPr>
                      <w:t>model</w:t>
                    </w:r>
                    <w:r>
                      <w:rPr>
                        <w:spacing w:val="-8"/>
                        <w:w w:val="105"/>
                        <w:sz w:val="18"/>
                      </w:rPr>
                      <w:t> </w:t>
                    </w:r>
                    <w:r>
                      <w:rPr>
                        <w:spacing w:val="-1"/>
                        <w:w w:val="105"/>
                        <w:sz w:val="18"/>
                      </w:rPr>
                      <w:t>(SPF-S</w:t>
                    </w:r>
                    <w:r>
                      <w:rPr>
                        <w:spacing w:val="-7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data</w:t>
                    </w:r>
                    <w:r>
                      <w:rPr>
                        <w:spacing w:val="-5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only)</w:t>
                    </w:r>
                    <w:r>
                      <w:rPr>
                        <w:spacing w:val="-44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Force</w:t>
                    </w:r>
                    <w:r>
                      <w:rPr>
                        <w:spacing w:val="-5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Law</w:t>
                    </w:r>
                    <w:r>
                      <w:rPr>
                        <w:spacing w:val="-9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model</w:t>
                    </w:r>
                    <w:r>
                      <w:rPr>
                        <w:spacing w:val="-8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(SYP</w:t>
                    </w:r>
                    <w:r>
                      <w:rPr>
                        <w:spacing w:val="-9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data</w:t>
                    </w:r>
                    <w:r>
                      <w:rPr>
                        <w:spacing w:val="-4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only)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06.220383pt;margin-top:10.306717pt;width:17.95pt;height:173.35pt;mso-position-horizontal-relative:page;mso-position-vertical-relative:paragraph;z-index:15824384" type="#_x0000_t202" filled="false" stroked="false">
            <v:textbox inset="0,0,0,0" style="layout-flow:vertical;mso-layout-flow-alt:bottom-to-top">
              <w:txbxContent>
                <w:p>
                  <w:pPr>
                    <w:pStyle w:val="BodyText"/>
                    <w:spacing w:before="16"/>
                    <w:ind w:left="20"/>
                  </w:pPr>
                  <w:r>
                    <w:rPr>
                      <w:spacing w:val="-1"/>
                      <w:w w:val="105"/>
                    </w:rPr>
                    <w:t>Depth</w:t>
                  </w:r>
                  <w:r>
                    <w:rPr>
                      <w:spacing w:val="-14"/>
                      <w:w w:val="105"/>
                    </w:rPr>
                    <w:t> </w:t>
                  </w:r>
                  <w:r>
                    <w:rPr>
                      <w:spacing w:val="-1"/>
                      <w:w w:val="105"/>
                    </w:rPr>
                    <w:t>of</w:t>
                  </w:r>
                  <w:r>
                    <w:rPr>
                      <w:spacing w:val="-14"/>
                      <w:w w:val="105"/>
                    </w:rPr>
                    <w:t> </w:t>
                  </w:r>
                  <w:r>
                    <w:rPr>
                      <w:spacing w:val="-1"/>
                      <w:w w:val="105"/>
                    </w:rPr>
                    <w:t>Penetration</w:t>
                  </w:r>
                  <w:r>
                    <w:rPr>
                      <w:spacing w:val="-13"/>
                      <w:w w:val="105"/>
                    </w:rPr>
                    <w:t> </w:t>
                  </w:r>
                  <w:r>
                    <w:rPr>
                      <w:spacing w:val="-1"/>
                      <w:w w:val="105"/>
                    </w:rPr>
                    <w:t>(T</w:t>
                  </w:r>
                  <w:r>
                    <w:rPr>
                      <w:spacing w:val="-1"/>
                      <w:w w:val="105"/>
                      <w:position w:val="-5"/>
                      <w:sz w:val="18"/>
                    </w:rPr>
                    <w:t>w</w:t>
                  </w:r>
                  <w:r>
                    <w:rPr>
                      <w:spacing w:val="-1"/>
                      <w:w w:val="105"/>
                    </w:rPr>
                    <w:t>)</w:t>
                  </w:r>
                  <w:r>
                    <w:rPr>
                      <w:spacing w:val="-14"/>
                      <w:w w:val="105"/>
                    </w:rPr>
                    <w:t> </w:t>
                  </w:r>
                  <w:r>
                    <w:rPr>
                      <w:w w:val="105"/>
                    </w:rPr>
                    <w:t>(inches)</w:t>
                  </w:r>
                </w:p>
              </w:txbxContent>
            </v:textbox>
            <w10:wrap type="none"/>
          </v:shape>
        </w:pict>
      </w:r>
      <w:r>
        <w:rPr>
          <w:sz w:val="17"/>
        </w:rPr>
        <w:t>14</w:t>
      </w:r>
    </w:p>
    <w:p>
      <w:pPr>
        <w:spacing w:before="83"/>
        <w:ind w:left="857" w:right="0" w:firstLine="0"/>
        <w:jc w:val="left"/>
        <w:rPr>
          <w:sz w:val="17"/>
        </w:rPr>
      </w:pPr>
      <w:r>
        <w:rPr>
          <w:sz w:val="17"/>
        </w:rPr>
        <w:t>13</w:t>
      </w:r>
    </w:p>
    <w:p>
      <w:pPr>
        <w:spacing w:before="79"/>
        <w:ind w:left="857" w:right="0" w:firstLine="0"/>
        <w:jc w:val="left"/>
        <w:rPr>
          <w:sz w:val="17"/>
        </w:rPr>
      </w:pPr>
      <w:r>
        <w:rPr>
          <w:sz w:val="17"/>
        </w:rPr>
        <w:t>12</w:t>
      </w:r>
    </w:p>
    <w:p>
      <w:pPr>
        <w:spacing w:before="79"/>
        <w:ind w:left="857" w:right="0" w:firstLine="0"/>
        <w:jc w:val="left"/>
        <w:rPr>
          <w:sz w:val="17"/>
        </w:rPr>
      </w:pPr>
      <w:r>
        <w:rPr>
          <w:sz w:val="17"/>
        </w:rPr>
        <w:t>11</w:t>
      </w:r>
    </w:p>
    <w:p>
      <w:pPr>
        <w:spacing w:before="83"/>
        <w:ind w:left="857" w:right="0" w:firstLine="0"/>
        <w:jc w:val="left"/>
        <w:rPr>
          <w:sz w:val="17"/>
        </w:rPr>
      </w:pPr>
      <w:r>
        <w:rPr>
          <w:sz w:val="17"/>
        </w:rPr>
        <w:t>10</w:t>
      </w:r>
    </w:p>
    <w:p>
      <w:pPr>
        <w:spacing w:before="79"/>
        <w:ind w:left="942" w:right="0" w:firstLine="0"/>
        <w:jc w:val="left"/>
        <w:rPr>
          <w:sz w:val="17"/>
        </w:rPr>
      </w:pPr>
      <w:r>
        <w:rPr>
          <w:w w:val="100"/>
          <w:sz w:val="17"/>
        </w:rPr>
        <w:t>9</w:t>
      </w:r>
    </w:p>
    <w:p>
      <w:pPr>
        <w:spacing w:before="79"/>
        <w:ind w:left="942" w:right="0" w:firstLine="0"/>
        <w:jc w:val="left"/>
        <w:rPr>
          <w:sz w:val="17"/>
        </w:rPr>
      </w:pPr>
      <w:r>
        <w:rPr>
          <w:w w:val="100"/>
          <w:sz w:val="17"/>
        </w:rPr>
        <w:t>8</w:t>
      </w:r>
    </w:p>
    <w:p>
      <w:pPr>
        <w:spacing w:before="82"/>
        <w:ind w:left="942" w:right="0" w:firstLine="0"/>
        <w:jc w:val="left"/>
        <w:rPr>
          <w:sz w:val="17"/>
        </w:rPr>
      </w:pPr>
      <w:r>
        <w:rPr>
          <w:w w:val="100"/>
          <w:sz w:val="17"/>
        </w:rPr>
        <w:t>7</w:t>
      </w:r>
    </w:p>
    <w:p>
      <w:pPr>
        <w:spacing w:before="79"/>
        <w:ind w:left="942" w:right="0" w:firstLine="0"/>
        <w:jc w:val="left"/>
        <w:rPr>
          <w:sz w:val="17"/>
        </w:rPr>
      </w:pPr>
      <w:r>
        <w:rPr>
          <w:w w:val="100"/>
          <w:sz w:val="17"/>
        </w:rPr>
        <w:t>6</w:t>
      </w:r>
    </w:p>
    <w:p>
      <w:pPr>
        <w:spacing w:before="83"/>
        <w:ind w:left="942" w:right="0" w:firstLine="0"/>
        <w:jc w:val="left"/>
        <w:rPr>
          <w:sz w:val="17"/>
        </w:rPr>
      </w:pPr>
      <w:r>
        <w:rPr>
          <w:w w:val="100"/>
          <w:sz w:val="17"/>
        </w:rPr>
        <w:t>5</w:t>
      </w:r>
    </w:p>
    <w:p>
      <w:pPr>
        <w:spacing w:before="79"/>
        <w:ind w:left="942" w:right="0" w:firstLine="0"/>
        <w:jc w:val="left"/>
        <w:rPr>
          <w:sz w:val="17"/>
        </w:rPr>
      </w:pPr>
      <w:r>
        <w:rPr>
          <w:w w:val="100"/>
          <w:sz w:val="17"/>
        </w:rPr>
        <w:t>4</w:t>
      </w:r>
    </w:p>
    <w:p>
      <w:pPr>
        <w:spacing w:before="79"/>
        <w:ind w:left="942" w:right="0" w:firstLine="0"/>
        <w:jc w:val="left"/>
        <w:rPr>
          <w:sz w:val="17"/>
        </w:rPr>
      </w:pPr>
      <w:r>
        <w:rPr>
          <w:w w:val="100"/>
          <w:sz w:val="17"/>
        </w:rPr>
        <w:t>3</w:t>
      </w:r>
    </w:p>
    <w:p>
      <w:pPr>
        <w:spacing w:before="83"/>
        <w:ind w:left="942" w:right="0" w:firstLine="0"/>
        <w:jc w:val="left"/>
        <w:rPr>
          <w:sz w:val="17"/>
        </w:rPr>
      </w:pPr>
      <w:r>
        <w:rPr>
          <w:w w:val="100"/>
          <w:sz w:val="17"/>
        </w:rPr>
        <w:t>2</w:t>
      </w:r>
    </w:p>
    <w:p>
      <w:pPr>
        <w:spacing w:before="79"/>
        <w:ind w:left="942" w:right="0" w:firstLine="0"/>
        <w:jc w:val="left"/>
        <w:rPr>
          <w:sz w:val="17"/>
        </w:rPr>
      </w:pPr>
      <w:r>
        <w:rPr>
          <w:w w:val="100"/>
          <w:sz w:val="17"/>
        </w:rPr>
        <w:t>1</w:t>
      </w:r>
    </w:p>
    <w:p>
      <w:pPr>
        <w:spacing w:line="166" w:lineRule="exact" w:before="79"/>
        <w:ind w:left="942" w:right="0" w:firstLine="0"/>
        <w:jc w:val="left"/>
        <w:rPr>
          <w:sz w:val="17"/>
        </w:rPr>
      </w:pPr>
      <w:r>
        <w:rPr>
          <w:w w:val="100"/>
          <w:sz w:val="17"/>
        </w:rPr>
        <w:t>0</w:t>
      </w:r>
    </w:p>
    <w:p>
      <w:pPr>
        <w:pStyle w:val="BodyText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rPr>
          <w:sz w:val="18"/>
        </w:rPr>
      </w:pPr>
    </w:p>
    <w:p>
      <w:pPr>
        <w:pStyle w:val="BodyText"/>
        <w:rPr>
          <w:sz w:val="15"/>
        </w:rPr>
      </w:pPr>
    </w:p>
    <w:p>
      <w:pPr>
        <w:spacing w:before="0"/>
        <w:ind w:left="14" w:right="0" w:firstLine="0"/>
        <w:jc w:val="left"/>
        <w:rPr>
          <w:sz w:val="17"/>
        </w:rPr>
      </w:pPr>
      <w:r>
        <w:rPr>
          <w:sz w:val="17"/>
        </w:rPr>
        <w:t>35</w:t>
      </w:r>
    </w:p>
    <w:p>
      <w:pPr>
        <w:spacing w:before="75"/>
        <w:ind w:left="14" w:right="0" w:firstLine="0"/>
        <w:jc w:val="left"/>
        <w:rPr>
          <w:sz w:val="17"/>
        </w:rPr>
      </w:pPr>
      <w:r>
        <w:rPr/>
        <w:pict>
          <v:shape style="position:absolute;margin-left:521.404358pt;margin-top:8.321289pt;width:17.95pt;height:157.1pt;mso-position-horizontal-relative:page;mso-position-vertical-relative:paragraph;z-index:15824896" type="#_x0000_t202" filled="false" stroked="false">
            <v:textbox inset="0,0,0,0" style="layout-flow:vertical;mso-layout-flow-alt:bottom-to-top">
              <w:txbxContent>
                <w:p>
                  <w:pPr>
                    <w:pStyle w:val="BodyText"/>
                    <w:spacing w:before="16"/>
                    <w:ind w:left="20"/>
                  </w:pPr>
                  <w:r>
                    <w:rPr>
                      <w:spacing w:val="-1"/>
                      <w:w w:val="105"/>
                    </w:rPr>
                    <w:t>Depth</w:t>
                  </w:r>
                  <w:r>
                    <w:rPr>
                      <w:spacing w:val="-15"/>
                      <w:w w:val="105"/>
                    </w:rPr>
                    <w:t> </w:t>
                  </w:r>
                  <w:r>
                    <w:rPr>
                      <w:w w:val="105"/>
                    </w:rPr>
                    <w:t>of</w:t>
                  </w:r>
                  <w:r>
                    <w:rPr>
                      <w:spacing w:val="-15"/>
                      <w:w w:val="105"/>
                    </w:rPr>
                    <w:t> </w:t>
                  </w:r>
                  <w:r>
                    <w:rPr>
                      <w:w w:val="105"/>
                    </w:rPr>
                    <w:t>Penetration</w:t>
                  </w:r>
                  <w:r>
                    <w:rPr>
                      <w:spacing w:val="-15"/>
                      <w:w w:val="105"/>
                    </w:rPr>
                    <w:t> </w:t>
                  </w:r>
                  <w:r>
                    <w:rPr>
                      <w:w w:val="105"/>
                    </w:rPr>
                    <w:t>(T</w:t>
                  </w:r>
                  <w:r>
                    <w:rPr>
                      <w:w w:val="105"/>
                      <w:position w:val="-5"/>
                      <w:sz w:val="18"/>
                    </w:rPr>
                    <w:t>w</w:t>
                  </w:r>
                  <w:r>
                    <w:rPr>
                      <w:w w:val="105"/>
                    </w:rPr>
                    <w:t>)</w:t>
                  </w:r>
                  <w:r>
                    <w:rPr>
                      <w:spacing w:val="-15"/>
                      <w:w w:val="105"/>
                    </w:rPr>
                    <w:t> </w:t>
                  </w:r>
                  <w:r>
                    <w:rPr>
                      <w:w w:val="105"/>
                    </w:rPr>
                    <w:t>(cm)</w:t>
                  </w:r>
                </w:p>
              </w:txbxContent>
            </v:textbox>
            <w10:wrap type="none"/>
          </v:shape>
        </w:pict>
      </w:r>
      <w:r>
        <w:rPr>
          <w:sz w:val="17"/>
        </w:rPr>
        <w:t>32.5</w:t>
      </w:r>
    </w:p>
    <w:p>
      <w:pPr>
        <w:spacing w:before="79"/>
        <w:ind w:left="14" w:right="0" w:firstLine="0"/>
        <w:jc w:val="left"/>
        <w:rPr>
          <w:sz w:val="17"/>
        </w:rPr>
      </w:pPr>
      <w:r>
        <w:rPr>
          <w:sz w:val="17"/>
        </w:rPr>
        <w:t>30</w:t>
      </w:r>
    </w:p>
    <w:p>
      <w:pPr>
        <w:spacing w:before="75"/>
        <w:ind w:left="14" w:right="0" w:firstLine="0"/>
        <w:jc w:val="left"/>
        <w:rPr>
          <w:sz w:val="17"/>
        </w:rPr>
      </w:pPr>
      <w:r>
        <w:rPr>
          <w:sz w:val="17"/>
        </w:rPr>
        <w:t>27.5</w:t>
      </w:r>
    </w:p>
    <w:p>
      <w:pPr>
        <w:spacing w:before="75"/>
        <w:ind w:left="14" w:right="0" w:firstLine="0"/>
        <w:jc w:val="left"/>
        <w:rPr>
          <w:sz w:val="17"/>
        </w:rPr>
      </w:pPr>
      <w:r>
        <w:rPr>
          <w:sz w:val="17"/>
        </w:rPr>
        <w:t>25</w:t>
      </w:r>
    </w:p>
    <w:p>
      <w:pPr>
        <w:spacing w:before="75"/>
        <w:ind w:left="14" w:right="0" w:firstLine="0"/>
        <w:jc w:val="left"/>
        <w:rPr>
          <w:sz w:val="17"/>
        </w:rPr>
      </w:pPr>
      <w:r>
        <w:rPr>
          <w:sz w:val="17"/>
        </w:rPr>
        <w:t>22.5</w:t>
      </w:r>
    </w:p>
    <w:p>
      <w:pPr>
        <w:spacing w:before="75"/>
        <w:ind w:left="14" w:right="0" w:firstLine="0"/>
        <w:jc w:val="left"/>
        <w:rPr>
          <w:sz w:val="17"/>
        </w:rPr>
      </w:pPr>
      <w:r>
        <w:rPr>
          <w:sz w:val="17"/>
        </w:rPr>
        <w:t>20</w:t>
      </w:r>
    </w:p>
    <w:p>
      <w:pPr>
        <w:spacing w:before="79"/>
        <w:ind w:left="14" w:right="0" w:firstLine="0"/>
        <w:jc w:val="left"/>
        <w:rPr>
          <w:sz w:val="17"/>
        </w:rPr>
      </w:pPr>
      <w:r>
        <w:rPr>
          <w:sz w:val="17"/>
        </w:rPr>
        <w:t>17.5</w:t>
      </w:r>
    </w:p>
    <w:p>
      <w:pPr>
        <w:spacing w:before="76"/>
        <w:ind w:left="14" w:right="0" w:firstLine="0"/>
        <w:jc w:val="left"/>
        <w:rPr>
          <w:sz w:val="17"/>
        </w:rPr>
      </w:pPr>
      <w:r>
        <w:rPr>
          <w:sz w:val="17"/>
        </w:rPr>
        <w:t>15</w:t>
      </w:r>
    </w:p>
    <w:p>
      <w:pPr>
        <w:spacing w:before="75"/>
        <w:ind w:left="14" w:right="0" w:firstLine="0"/>
        <w:jc w:val="left"/>
        <w:rPr>
          <w:sz w:val="17"/>
        </w:rPr>
      </w:pPr>
      <w:r>
        <w:rPr>
          <w:sz w:val="17"/>
        </w:rPr>
        <w:t>12.5</w:t>
      </w:r>
    </w:p>
    <w:p>
      <w:pPr>
        <w:spacing w:before="75"/>
        <w:ind w:left="14" w:right="0" w:firstLine="0"/>
        <w:jc w:val="left"/>
        <w:rPr>
          <w:sz w:val="17"/>
        </w:rPr>
      </w:pPr>
      <w:r>
        <w:rPr>
          <w:sz w:val="17"/>
        </w:rPr>
        <w:t>10</w:t>
      </w:r>
    </w:p>
    <w:p>
      <w:pPr>
        <w:spacing w:before="79"/>
        <w:ind w:left="14" w:right="0" w:firstLine="0"/>
        <w:jc w:val="left"/>
        <w:rPr>
          <w:sz w:val="17"/>
        </w:rPr>
      </w:pPr>
      <w:r>
        <w:rPr>
          <w:sz w:val="17"/>
        </w:rPr>
        <w:t>7.5</w:t>
      </w:r>
    </w:p>
    <w:p>
      <w:pPr>
        <w:spacing w:before="75"/>
        <w:ind w:left="14" w:right="0" w:firstLine="0"/>
        <w:jc w:val="left"/>
        <w:rPr>
          <w:sz w:val="17"/>
        </w:rPr>
      </w:pPr>
      <w:r>
        <w:rPr>
          <w:w w:val="100"/>
          <w:sz w:val="17"/>
        </w:rPr>
        <w:t>5</w:t>
      </w:r>
    </w:p>
    <w:p>
      <w:pPr>
        <w:spacing w:before="75"/>
        <w:ind w:left="14" w:right="0" w:firstLine="0"/>
        <w:jc w:val="left"/>
        <w:rPr>
          <w:sz w:val="17"/>
        </w:rPr>
      </w:pPr>
      <w:r>
        <w:rPr>
          <w:sz w:val="17"/>
        </w:rPr>
        <w:t>2.5</w:t>
      </w:r>
    </w:p>
    <w:p>
      <w:pPr>
        <w:spacing w:line="181" w:lineRule="exact" w:before="59"/>
        <w:ind w:left="18" w:right="0" w:firstLine="0"/>
        <w:jc w:val="left"/>
        <w:rPr>
          <w:sz w:val="17"/>
        </w:rPr>
      </w:pPr>
      <w:r>
        <w:rPr>
          <w:w w:val="100"/>
          <w:sz w:val="17"/>
        </w:rPr>
        <w:t>0</w:t>
      </w:r>
    </w:p>
    <w:p>
      <w:pPr>
        <w:spacing w:after="0" w:line="181" w:lineRule="exact"/>
        <w:jc w:val="left"/>
        <w:rPr>
          <w:sz w:val="17"/>
        </w:rPr>
        <w:sectPr>
          <w:pgSz w:w="12240" w:h="15840"/>
          <w:pgMar w:header="0" w:footer="1064" w:top="1340" w:bottom="1260" w:left="1720" w:right="1020"/>
          <w:cols w:num="2" w:equalWidth="0">
            <w:col w:w="8183" w:space="40"/>
            <w:col w:w="1277"/>
          </w:cols>
        </w:sectPr>
      </w:pPr>
    </w:p>
    <w:p>
      <w:pPr>
        <w:tabs>
          <w:tab w:pos="1727" w:val="left" w:leader="none"/>
          <w:tab w:pos="2450" w:val="left" w:leader="none"/>
          <w:tab w:pos="3242" w:val="left" w:leader="none"/>
          <w:tab w:pos="4031" w:val="left" w:leader="none"/>
          <w:tab w:pos="4819" w:val="left" w:leader="none"/>
          <w:tab w:pos="5612" w:val="left" w:leader="none"/>
          <w:tab w:pos="6400" w:val="left" w:leader="none"/>
          <w:tab w:pos="7189" w:val="left" w:leader="none"/>
        </w:tabs>
        <w:spacing w:line="189" w:lineRule="exact" w:before="0"/>
        <w:ind w:left="938" w:right="0" w:firstLine="0"/>
        <w:jc w:val="left"/>
        <w:rPr>
          <w:sz w:val="17"/>
        </w:rPr>
      </w:pPr>
      <w:r>
        <w:rPr>
          <w:sz w:val="17"/>
        </w:rPr>
        <w:t>400</w:t>
        <w:tab/>
        <w:t>800</w:t>
        <w:tab/>
        <w:t>1200</w:t>
        <w:tab/>
        <w:t>1600</w:t>
        <w:tab/>
        <w:t>2000</w:t>
        <w:tab/>
        <w:t>2400</w:t>
        <w:tab/>
        <w:t>2800</w:t>
        <w:tab/>
        <w:t>3200</w:t>
        <w:tab/>
        <w:t>3600</w:t>
      </w:r>
    </w:p>
    <w:p>
      <w:pPr>
        <w:pStyle w:val="BodyText"/>
        <w:spacing w:before="60"/>
        <w:ind w:left="1504"/>
        <w:jc w:val="center"/>
      </w:pPr>
      <w:r>
        <w:rPr/>
        <w:t>Striking</w:t>
      </w:r>
      <w:r>
        <w:rPr>
          <w:spacing w:val="1"/>
        </w:rPr>
        <w:t> </w:t>
      </w:r>
      <w:r>
        <w:rPr/>
        <w:t>Velocity</w:t>
      </w:r>
      <w:r>
        <w:rPr>
          <w:spacing w:val="10"/>
        </w:rPr>
        <w:t> </w:t>
      </w:r>
      <w:r>
        <w:rPr/>
        <w:t>(V</w:t>
      </w:r>
      <w:r>
        <w:rPr>
          <w:position w:val="-5"/>
          <w:sz w:val="18"/>
        </w:rPr>
        <w:t>s</w:t>
      </w:r>
      <w:r>
        <w:rPr/>
        <w:t>)</w:t>
      </w:r>
      <w:r>
        <w:rPr>
          <w:spacing w:val="9"/>
        </w:rPr>
        <w:t> </w:t>
      </w:r>
      <w:r>
        <w:rPr/>
        <w:t>(fps)</w:t>
      </w:r>
    </w:p>
    <w:p>
      <w:pPr>
        <w:spacing w:before="213"/>
        <w:ind w:left="1573" w:right="0" w:firstLine="0"/>
        <w:jc w:val="center"/>
        <w:rPr>
          <w:i/>
          <w:sz w:val="24"/>
        </w:rPr>
      </w:pPr>
      <w:bookmarkStart w:name="_bookmark82" w:id="308"/>
      <w:bookmarkEnd w:id="308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5-23.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force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law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model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calibrated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different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data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sets.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6"/>
        <w:rPr>
          <w:i/>
          <w:sz w:val="23"/>
        </w:rPr>
      </w:pPr>
    </w:p>
    <w:p>
      <w:pPr>
        <w:pStyle w:val="ListParagraph"/>
        <w:numPr>
          <w:ilvl w:val="2"/>
          <w:numId w:val="21"/>
        </w:numPr>
        <w:tabs>
          <w:tab w:pos="980" w:val="left" w:leader="none"/>
        </w:tabs>
        <w:spacing w:line="240" w:lineRule="auto" w:before="0" w:after="0"/>
        <w:ind w:left="980" w:right="0" w:hanging="540"/>
        <w:jc w:val="left"/>
        <w:rPr>
          <w:i/>
          <w:sz w:val="24"/>
        </w:rPr>
      </w:pPr>
      <w:bookmarkStart w:name="5.5.6 General THOR model" w:id="309"/>
      <w:bookmarkEnd w:id="309"/>
      <w:r>
        <w:rPr/>
      </w:r>
      <w:bookmarkStart w:name="5.5.6 General THOR model" w:id="310"/>
      <w:bookmarkEnd w:id="310"/>
      <w:r>
        <w:rPr>
          <w:i/>
          <w:sz w:val="24"/>
        </w:rPr>
        <w:t>G</w:t>
      </w:r>
      <w:r>
        <w:rPr>
          <w:i/>
          <w:sz w:val="24"/>
        </w:rPr>
        <w:t>eneral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THOR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model</w:t>
      </w:r>
    </w:p>
    <w:p>
      <w:pPr>
        <w:spacing w:line="193" w:lineRule="exact" w:before="0"/>
        <w:ind w:left="14" w:right="0" w:firstLine="0"/>
        <w:jc w:val="left"/>
        <w:rPr>
          <w:sz w:val="17"/>
        </w:rPr>
      </w:pPr>
      <w:r>
        <w:rPr/>
        <w:br w:type="column"/>
      </w:r>
      <w:r>
        <w:rPr>
          <w:sz w:val="17"/>
        </w:rPr>
        <w:t>4000</w:t>
      </w:r>
    </w:p>
    <w:p>
      <w:pPr>
        <w:spacing w:after="0" w:line="193" w:lineRule="exact"/>
        <w:jc w:val="left"/>
        <w:rPr>
          <w:sz w:val="17"/>
        </w:rPr>
        <w:sectPr>
          <w:type w:val="continuous"/>
          <w:pgSz w:w="12240" w:h="15840"/>
          <w:pgMar w:top="1380" w:bottom="280" w:left="1720" w:right="1020"/>
          <w:cols w:num="2" w:equalWidth="0">
            <w:col w:w="7948" w:space="40"/>
            <w:col w:w="1512"/>
          </w:cols>
        </w:sectPr>
      </w:pPr>
    </w:p>
    <w:p>
      <w:pPr>
        <w:pStyle w:val="BodyText"/>
        <w:spacing w:before="9"/>
        <w:rPr>
          <w:sz w:val="14"/>
        </w:rPr>
      </w:pPr>
    </w:p>
    <w:p>
      <w:pPr>
        <w:pStyle w:val="BodyText"/>
        <w:spacing w:line="480" w:lineRule="auto" w:before="90"/>
        <w:ind w:left="440" w:right="419" w:firstLine="720"/>
        <w:jc w:val="both"/>
      </w:pPr>
      <w:r>
        <w:rPr/>
        <w:t>The previously discussed, the THOR reports define a general THOR equation for</w:t>
      </w:r>
      <w:r>
        <w:rPr>
          <w:spacing w:val="1"/>
        </w:rPr>
        <w:t> </w:t>
      </w:r>
      <w:r>
        <w:rPr/>
        <w:t>penetration calculations of empirical models based on testing [2].</w:t>
      </w:r>
      <w:r>
        <w:rPr>
          <w:spacing w:val="1"/>
        </w:rPr>
        <w:t> </w:t>
      </w:r>
      <w:r>
        <w:rPr/>
        <w:t>The general THOR</w:t>
      </w:r>
      <w:r>
        <w:rPr>
          <w:spacing w:val="1"/>
        </w:rPr>
        <w:t> </w:t>
      </w:r>
      <w:r>
        <w:rPr/>
        <w:t>equation</w:t>
      </w:r>
      <w:r>
        <w:rPr>
          <w:spacing w:val="-3"/>
        </w:rPr>
        <w:t> </w:t>
      </w:r>
      <w:r>
        <w:rPr/>
        <w:t>is shown in Equation 5.10.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5"/>
        </w:rPr>
      </w:pPr>
    </w:p>
    <w:tbl>
      <w:tblPr>
        <w:tblW w:w="0" w:type="auto"/>
        <w:jc w:val="left"/>
        <w:tblInd w:w="109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529"/>
        <w:gridCol w:w="663"/>
        <w:gridCol w:w="899"/>
        <w:gridCol w:w="1977"/>
      </w:tblGrid>
      <w:tr>
        <w:trPr>
          <w:trHeight w:val="333" w:hRule="atLeast"/>
        </w:trPr>
        <w:tc>
          <w:tcPr>
            <w:tcW w:w="4529" w:type="dxa"/>
          </w:tcPr>
          <w:p>
            <w:pPr>
              <w:pStyle w:val="TableParagraph"/>
              <w:spacing w:line="208" w:lineRule="exact" w:before="34"/>
              <w:ind w:right="717"/>
              <w:jc w:val="center"/>
              <w:rPr>
                <w:rFonts w:ascii="Cambria Math" w:hAnsi="Cambria Math" w:eastAsia="Cambria Math"/>
                <w:sz w:val="24"/>
              </w:rPr>
            </w:pPr>
            <w:r>
              <w:rPr>
                <w:rFonts w:ascii="Cambria Math" w:hAnsi="Cambria Math" w:eastAsia="Cambria Math"/>
                <w:w w:val="90"/>
                <w:sz w:val="24"/>
              </w:rPr>
              <w:t>𝑣</w:t>
            </w:r>
            <w:r>
              <w:rPr>
                <w:rFonts w:ascii="Cambria Math" w:hAnsi="Cambria Math" w:eastAsia="Cambria Math"/>
                <w:spacing w:val="110"/>
                <w:sz w:val="24"/>
              </w:rPr>
              <w:t> </w:t>
            </w:r>
            <w:r>
              <w:rPr>
                <w:rFonts w:ascii="Cambria Math" w:hAnsi="Cambria Math" w:eastAsia="Cambria Math"/>
                <w:w w:val="90"/>
                <w:sz w:val="24"/>
              </w:rPr>
              <w:t>=</w:t>
            </w:r>
            <w:r>
              <w:rPr>
                <w:rFonts w:ascii="Cambria Math" w:hAnsi="Cambria Math" w:eastAsia="Cambria Math"/>
                <w:spacing w:val="40"/>
                <w:w w:val="90"/>
                <w:sz w:val="24"/>
              </w:rPr>
              <w:t> </w:t>
            </w:r>
            <w:r>
              <w:rPr>
                <w:rFonts w:ascii="Cambria Math" w:hAnsi="Cambria Math" w:eastAsia="Cambria Math"/>
                <w:w w:val="90"/>
                <w:sz w:val="24"/>
              </w:rPr>
              <w:t>𝑣</w:t>
            </w:r>
            <w:r>
              <w:rPr>
                <w:rFonts w:ascii="Cambria Math" w:hAnsi="Cambria Math" w:eastAsia="Cambria Math"/>
                <w:spacing w:val="127"/>
                <w:sz w:val="24"/>
              </w:rPr>
              <w:t> </w:t>
            </w:r>
            <w:r>
              <w:rPr>
                <w:rFonts w:ascii="Cambria Math" w:hAnsi="Cambria Math" w:eastAsia="Cambria Math"/>
                <w:w w:val="90"/>
                <w:sz w:val="24"/>
              </w:rPr>
              <w:t>−</w:t>
            </w:r>
            <w:r>
              <w:rPr>
                <w:rFonts w:ascii="Cambria Math" w:hAnsi="Cambria Math" w:eastAsia="Cambria Math"/>
                <w:spacing w:val="23"/>
                <w:w w:val="90"/>
                <w:sz w:val="24"/>
              </w:rPr>
              <w:t> </w:t>
            </w:r>
            <w:r>
              <w:rPr>
                <w:rFonts w:ascii="Cambria Math" w:hAnsi="Cambria Math" w:eastAsia="Cambria Math"/>
                <w:w w:val="90"/>
                <w:sz w:val="24"/>
              </w:rPr>
              <w:t>10</w:t>
            </w:r>
            <w:r>
              <w:rPr>
                <w:rFonts w:ascii="Cambria Math" w:hAnsi="Cambria Math" w:eastAsia="Cambria Math"/>
                <w:w w:val="90"/>
                <w:sz w:val="24"/>
                <w:vertAlign w:val="superscript"/>
              </w:rPr>
              <w:t>𝑐</w:t>
            </w:r>
            <w:r>
              <w:rPr>
                <w:rFonts w:ascii="Cambria Math" w:hAnsi="Cambria Math" w:eastAsia="Cambria Math"/>
                <w:w w:val="90"/>
                <w:position w:val="1"/>
                <w:sz w:val="24"/>
                <w:vertAlign w:val="baseline"/>
              </w:rPr>
              <w:t>(</w:t>
            </w:r>
            <w:r>
              <w:rPr>
                <w:rFonts w:ascii="Cambria Math" w:hAnsi="Cambria Math" w:eastAsia="Cambria Math"/>
                <w:w w:val="90"/>
                <w:sz w:val="24"/>
                <w:vertAlign w:val="baseline"/>
              </w:rPr>
              <w:t>𝑒𝐴</w:t>
            </w:r>
            <w:r>
              <w:rPr>
                <w:rFonts w:ascii="Cambria Math" w:hAnsi="Cambria Math" w:eastAsia="Cambria Math"/>
                <w:w w:val="90"/>
                <w:position w:val="1"/>
                <w:sz w:val="24"/>
                <w:vertAlign w:val="baseline"/>
              </w:rPr>
              <w:t>)</w:t>
            </w:r>
            <w:r>
              <w:rPr>
                <w:rFonts w:ascii="Cambria Math" w:hAnsi="Cambria Math" w:eastAsia="Cambria Math"/>
                <w:w w:val="90"/>
                <w:position w:val="1"/>
                <w:sz w:val="24"/>
                <w:vertAlign w:val="superscript"/>
              </w:rPr>
              <w:t>𝛼</w:t>
            </w:r>
            <w:r>
              <w:rPr>
                <w:rFonts w:ascii="Cambria Math" w:hAnsi="Cambria Math" w:eastAsia="Cambria Math"/>
                <w:w w:val="90"/>
                <w:sz w:val="24"/>
                <w:vertAlign w:val="baseline"/>
              </w:rPr>
              <w:t>𝑚</w:t>
            </w:r>
            <w:r>
              <w:rPr>
                <w:rFonts w:ascii="Cambria Math" w:hAnsi="Cambria Math" w:eastAsia="Cambria Math"/>
                <w:w w:val="90"/>
                <w:sz w:val="24"/>
                <w:vertAlign w:val="superscript"/>
              </w:rPr>
              <w:t>𝛽</w:t>
            </w:r>
            <w:r>
              <w:rPr>
                <w:rFonts w:ascii="Cambria Math" w:hAnsi="Cambria Math" w:eastAsia="Cambria Math"/>
                <w:w w:val="90"/>
                <w:position w:val="1"/>
                <w:sz w:val="24"/>
                <w:vertAlign w:val="baseline"/>
              </w:rPr>
              <w:t>(</w:t>
            </w:r>
            <w:r>
              <w:rPr>
                <w:rFonts w:ascii="Cambria Math" w:hAnsi="Cambria Math" w:eastAsia="Cambria Math"/>
                <w:w w:val="90"/>
                <w:sz w:val="24"/>
                <w:vertAlign w:val="baseline"/>
              </w:rPr>
              <w:t>sec</w:t>
            </w:r>
            <w:r>
              <w:rPr>
                <w:rFonts w:ascii="Cambria Math" w:hAnsi="Cambria Math" w:eastAsia="Cambria Math"/>
                <w:spacing w:val="4"/>
                <w:w w:val="90"/>
                <w:sz w:val="24"/>
                <w:vertAlign w:val="baseline"/>
              </w:rPr>
              <w:t> </w:t>
            </w:r>
            <w:r>
              <w:rPr>
                <w:rFonts w:ascii="Cambria Math" w:hAnsi="Cambria Math" w:eastAsia="Cambria Math"/>
                <w:w w:val="90"/>
                <w:sz w:val="24"/>
                <w:vertAlign w:val="baseline"/>
              </w:rPr>
              <w:t>𝜃𝜃</w:t>
            </w:r>
            <w:r>
              <w:rPr>
                <w:rFonts w:ascii="Cambria Math" w:hAnsi="Cambria Math" w:eastAsia="Cambria Math"/>
                <w:w w:val="90"/>
                <w:position w:val="1"/>
                <w:sz w:val="24"/>
                <w:vertAlign w:val="baseline"/>
              </w:rPr>
              <w:t>)</w:t>
            </w:r>
            <w:r>
              <w:rPr>
                <w:rFonts w:ascii="Cambria Math" w:hAnsi="Cambria Math" w:eastAsia="Cambria Math"/>
                <w:w w:val="90"/>
                <w:position w:val="1"/>
                <w:sz w:val="24"/>
                <w:vertAlign w:val="superscript"/>
              </w:rPr>
              <w:t>𝛾𝛾</w:t>
            </w:r>
            <w:r>
              <w:rPr>
                <w:rFonts w:ascii="Cambria Math" w:hAnsi="Cambria Math" w:eastAsia="Cambria Math"/>
                <w:w w:val="90"/>
                <w:sz w:val="24"/>
                <w:vertAlign w:val="baseline"/>
              </w:rPr>
              <w:t>𝑣</w:t>
            </w:r>
            <w:r>
              <w:rPr>
                <w:rFonts w:ascii="Cambria Math" w:hAnsi="Cambria Math" w:eastAsia="Cambria Math"/>
                <w:w w:val="90"/>
                <w:sz w:val="24"/>
                <w:vertAlign w:val="superscript"/>
              </w:rPr>
              <w:t>𝜆𝜆</w:t>
            </w:r>
          </w:p>
          <w:p>
            <w:pPr>
              <w:pStyle w:val="TableParagraph"/>
              <w:tabs>
                <w:tab w:pos="533" w:val="left" w:leader="none"/>
                <w:tab w:pos="2085" w:val="left" w:leader="none"/>
                <w:tab w:pos="3160" w:val="left" w:leader="none"/>
              </w:tabs>
              <w:spacing w:line="70" w:lineRule="exact"/>
              <w:ind w:right="650"/>
              <w:jc w:val="center"/>
              <w:rPr>
                <w:rFonts w:ascii="Cambria Math" w:eastAsia="Cambria Math"/>
                <w:sz w:val="17"/>
              </w:rPr>
            </w:pPr>
            <w:r>
              <w:rPr>
                <w:rFonts w:ascii="Cambria Math" w:eastAsia="Cambria Math"/>
                <w:w w:val="105"/>
                <w:position w:val="1"/>
                <w:sz w:val="17"/>
              </w:rPr>
              <w:t>𝑟</w:t>
              <w:tab/>
              <w:t>𝑠</w:t>
              <w:tab/>
            </w:r>
            <w:r>
              <w:rPr>
                <w:rFonts w:ascii="Cambria Math" w:eastAsia="Cambria Math"/>
                <w:w w:val="105"/>
                <w:sz w:val="17"/>
              </w:rPr>
              <w:t>𝑠</w:t>
              <w:tab/>
            </w:r>
            <w:r>
              <w:rPr>
                <w:rFonts w:ascii="Cambria Math" w:eastAsia="Cambria Math"/>
                <w:w w:val="105"/>
                <w:position w:val="1"/>
                <w:sz w:val="17"/>
              </w:rPr>
              <w:t>𝑠</w:t>
            </w:r>
          </w:p>
        </w:tc>
        <w:tc>
          <w:tcPr>
            <w:tcW w:w="66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99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977" w:type="dxa"/>
          </w:tcPr>
          <w:p>
            <w:pPr>
              <w:pStyle w:val="TableParagraph"/>
              <w:spacing w:line="266" w:lineRule="exact"/>
              <w:ind w:left="1199"/>
              <w:rPr>
                <w:sz w:val="24"/>
              </w:rPr>
            </w:pPr>
            <w:r>
              <w:rPr>
                <w:sz w:val="24"/>
              </w:rPr>
              <w:t>(5.10)</w:t>
            </w:r>
          </w:p>
        </w:tc>
      </w:tr>
      <w:tr>
        <w:trPr>
          <w:trHeight w:val="278" w:hRule="atLeast"/>
        </w:trPr>
        <w:tc>
          <w:tcPr>
            <w:tcW w:w="4529" w:type="dxa"/>
          </w:tcPr>
          <w:p>
            <w:pPr>
              <w:pStyle w:val="TableParagraph"/>
              <w:spacing w:line="259" w:lineRule="exact"/>
              <w:ind w:right="162"/>
              <w:jc w:val="right"/>
              <w:rPr>
                <w:sz w:val="24"/>
              </w:rPr>
            </w:pPr>
            <w:r>
              <w:rPr>
                <w:sz w:val="24"/>
              </w:rPr>
              <w:t>where</w:t>
            </w:r>
          </w:p>
        </w:tc>
        <w:tc>
          <w:tcPr>
            <w:tcW w:w="663" w:type="dxa"/>
          </w:tcPr>
          <w:p>
            <w:pPr>
              <w:pStyle w:val="TableParagraph"/>
              <w:spacing w:line="259" w:lineRule="exact"/>
              <w:ind w:left="143" w:right="85"/>
              <w:jc w:val="center"/>
              <w:rPr>
                <w:i/>
                <w:sz w:val="24"/>
              </w:rPr>
            </w:pPr>
            <w:r>
              <w:rPr>
                <w:i/>
                <w:position w:val="1"/>
                <w:sz w:val="24"/>
              </w:rPr>
              <w:t>v</w:t>
            </w:r>
            <w:r>
              <w:rPr>
                <w:i/>
                <w:sz w:val="16"/>
              </w:rPr>
              <w:t>r</w:t>
            </w:r>
            <w:r>
              <w:rPr>
                <w:i/>
                <w:spacing w:val="19"/>
                <w:sz w:val="16"/>
              </w:rPr>
              <w:t> </w:t>
            </w:r>
            <w:r>
              <w:rPr>
                <w:i/>
                <w:position w:val="1"/>
                <w:sz w:val="24"/>
              </w:rPr>
              <w:t>=</w:t>
            </w:r>
          </w:p>
        </w:tc>
        <w:tc>
          <w:tcPr>
            <w:tcW w:w="2876" w:type="dxa"/>
            <w:gridSpan w:val="2"/>
          </w:tcPr>
          <w:p>
            <w:pPr>
              <w:pStyle w:val="TableParagraph"/>
              <w:spacing w:line="259" w:lineRule="exact"/>
              <w:ind w:left="109"/>
              <w:rPr>
                <w:sz w:val="24"/>
              </w:rPr>
            </w:pPr>
            <w:r>
              <w:rPr>
                <w:sz w:val="24"/>
              </w:rPr>
              <w:t>residual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velocity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(fps)</w:t>
            </w:r>
          </w:p>
        </w:tc>
      </w:tr>
      <w:tr>
        <w:trPr>
          <w:trHeight w:val="276" w:hRule="atLeast"/>
        </w:trPr>
        <w:tc>
          <w:tcPr>
            <w:tcW w:w="452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663" w:type="dxa"/>
          </w:tcPr>
          <w:p>
            <w:pPr>
              <w:pStyle w:val="TableParagraph"/>
              <w:spacing w:line="256" w:lineRule="exact"/>
              <w:ind w:left="143" w:right="85"/>
              <w:jc w:val="center"/>
              <w:rPr>
                <w:i/>
                <w:sz w:val="24"/>
              </w:rPr>
            </w:pPr>
            <w:r>
              <w:rPr>
                <w:i/>
                <w:position w:val="1"/>
                <w:sz w:val="24"/>
              </w:rPr>
              <w:t>v</w:t>
            </w:r>
            <w:r>
              <w:rPr>
                <w:i/>
                <w:sz w:val="16"/>
              </w:rPr>
              <w:t>s</w:t>
            </w:r>
            <w:r>
              <w:rPr>
                <w:i/>
                <w:spacing w:val="19"/>
                <w:sz w:val="16"/>
              </w:rPr>
              <w:t> </w:t>
            </w:r>
            <w:r>
              <w:rPr>
                <w:i/>
                <w:position w:val="1"/>
                <w:sz w:val="24"/>
              </w:rPr>
              <w:t>=</w:t>
            </w:r>
          </w:p>
        </w:tc>
        <w:tc>
          <w:tcPr>
            <w:tcW w:w="2876" w:type="dxa"/>
            <w:gridSpan w:val="2"/>
          </w:tcPr>
          <w:p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striking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velocity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(fps)</w:t>
            </w:r>
          </w:p>
        </w:tc>
      </w:tr>
      <w:tr>
        <w:trPr>
          <w:trHeight w:val="540" w:hRule="atLeast"/>
        </w:trPr>
        <w:tc>
          <w:tcPr>
            <w:tcW w:w="4529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63" w:type="dxa"/>
          </w:tcPr>
          <w:p>
            <w:pPr>
              <w:pStyle w:val="TableParagraph"/>
              <w:spacing w:line="271" w:lineRule="exact"/>
              <w:ind w:left="145" w:right="25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e =</w:t>
            </w:r>
          </w:p>
        </w:tc>
        <w:tc>
          <w:tcPr>
            <w:tcW w:w="2876" w:type="dxa"/>
            <w:gridSpan w:val="2"/>
          </w:tcPr>
          <w:p>
            <w:pPr>
              <w:pStyle w:val="TableParagraph"/>
              <w:spacing w:line="266" w:lineRule="exact"/>
              <w:ind w:left="109" w:right="223"/>
              <w:rPr>
                <w:sz w:val="24"/>
              </w:rPr>
            </w:pPr>
            <w:r>
              <w:rPr>
                <w:position w:val="1"/>
                <w:sz w:val="24"/>
              </w:rPr>
              <w:t>target</w:t>
            </w:r>
            <w:r>
              <w:rPr>
                <w:spacing w:val="-3"/>
                <w:position w:val="1"/>
                <w:sz w:val="24"/>
              </w:rPr>
              <w:t> </w:t>
            </w:r>
            <w:r>
              <w:rPr>
                <w:position w:val="1"/>
                <w:sz w:val="24"/>
              </w:rPr>
              <w:t>thickness</w:t>
            </w:r>
            <w:r>
              <w:rPr>
                <w:spacing w:val="-2"/>
                <w:position w:val="1"/>
                <w:sz w:val="24"/>
              </w:rPr>
              <w:t> </w:t>
            </w:r>
            <w:r>
              <w:rPr>
                <w:position w:val="1"/>
                <w:sz w:val="24"/>
              </w:rPr>
              <w:t>(in),</w:t>
            </w:r>
            <w:r>
              <w:rPr>
                <w:spacing w:val="-3"/>
                <w:position w:val="1"/>
                <w:sz w:val="24"/>
              </w:rPr>
              <w:t> </w:t>
            </w:r>
            <w:r>
              <w:rPr>
                <w:position w:val="1"/>
                <w:sz w:val="24"/>
              </w:rPr>
              <w:t>T</w:t>
            </w:r>
            <w:r>
              <w:rPr>
                <w:sz w:val="16"/>
              </w:rPr>
              <w:t>w</w:t>
            </w:r>
            <w:r>
              <w:rPr>
                <w:spacing w:val="17"/>
                <w:sz w:val="16"/>
              </w:rPr>
              <w:t> </w:t>
            </w:r>
            <w:r>
              <w:rPr>
                <w:position w:val="1"/>
                <w:sz w:val="24"/>
              </w:rPr>
              <w:t>in</w:t>
            </w:r>
            <w:r>
              <w:rPr>
                <w:spacing w:val="-57"/>
                <w:position w:val="1"/>
                <w:sz w:val="24"/>
              </w:rPr>
              <w:t> </w:t>
            </w:r>
            <w:r>
              <w:rPr>
                <w:sz w:val="24"/>
              </w:rPr>
              <w:t>this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research</w:t>
            </w:r>
          </w:p>
        </w:tc>
      </w:tr>
      <w:tr>
        <w:trPr>
          <w:trHeight w:val="287" w:hRule="atLeast"/>
        </w:trPr>
        <w:tc>
          <w:tcPr>
            <w:tcW w:w="452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663" w:type="dxa"/>
          </w:tcPr>
          <w:p>
            <w:pPr>
              <w:pStyle w:val="TableParagraph"/>
              <w:spacing w:line="260" w:lineRule="exact" w:before="7"/>
              <w:ind w:left="145" w:right="65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A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=</w:t>
            </w:r>
          </w:p>
        </w:tc>
        <w:tc>
          <w:tcPr>
            <w:tcW w:w="2876" w:type="dxa"/>
            <w:gridSpan w:val="2"/>
          </w:tcPr>
          <w:p>
            <w:pPr>
              <w:pStyle w:val="TableParagraph"/>
              <w:spacing w:line="262" w:lineRule="exact" w:before="6"/>
              <w:ind w:left="109"/>
              <w:rPr>
                <w:sz w:val="24"/>
              </w:rPr>
            </w:pPr>
            <w:r>
              <w:rPr>
                <w:sz w:val="24"/>
              </w:rPr>
              <w:t>average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impact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area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(in</w:t>
            </w:r>
            <w:r>
              <w:rPr>
                <w:sz w:val="24"/>
                <w:vertAlign w:val="superscript"/>
              </w:rPr>
              <w:t>2</w:t>
            </w:r>
            <w:r>
              <w:rPr>
                <w:sz w:val="24"/>
                <w:vertAlign w:val="baseline"/>
              </w:rPr>
              <w:t>)</w:t>
            </w:r>
          </w:p>
        </w:tc>
      </w:tr>
      <w:tr>
        <w:trPr>
          <w:trHeight w:val="551" w:hRule="atLeast"/>
        </w:trPr>
        <w:tc>
          <w:tcPr>
            <w:tcW w:w="4529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63" w:type="dxa"/>
          </w:tcPr>
          <w:p>
            <w:pPr>
              <w:pStyle w:val="TableParagraph"/>
              <w:spacing w:line="271" w:lineRule="exact"/>
              <w:ind w:left="80" w:right="85"/>
              <w:jc w:val="center"/>
              <w:rPr>
                <w:i/>
                <w:sz w:val="24"/>
              </w:rPr>
            </w:pPr>
            <w:r>
              <w:rPr>
                <w:i/>
                <w:position w:val="1"/>
                <w:sz w:val="24"/>
              </w:rPr>
              <w:t>m</w:t>
            </w:r>
            <w:r>
              <w:rPr>
                <w:i/>
                <w:sz w:val="16"/>
              </w:rPr>
              <w:t>s</w:t>
            </w:r>
            <w:r>
              <w:rPr>
                <w:i/>
                <w:spacing w:val="19"/>
                <w:sz w:val="16"/>
              </w:rPr>
              <w:t> </w:t>
            </w:r>
            <w:r>
              <w:rPr>
                <w:i/>
                <w:position w:val="1"/>
                <w:sz w:val="24"/>
              </w:rPr>
              <w:t>=</w:t>
            </w:r>
          </w:p>
        </w:tc>
        <w:tc>
          <w:tcPr>
            <w:tcW w:w="2876" w:type="dxa"/>
            <w:gridSpan w:val="2"/>
          </w:tcPr>
          <w:p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weight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original</w:t>
            </w:r>
          </w:p>
          <w:p>
            <w:pPr>
              <w:pStyle w:val="TableParagraph"/>
              <w:spacing w:line="261" w:lineRule="exact"/>
              <w:ind w:left="109"/>
              <w:rPr>
                <w:sz w:val="24"/>
              </w:rPr>
            </w:pPr>
            <w:r>
              <w:rPr>
                <w:sz w:val="24"/>
              </w:rPr>
              <w:t>projectile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(grains)</w:t>
            </w:r>
          </w:p>
        </w:tc>
      </w:tr>
      <w:tr>
        <w:trPr>
          <w:trHeight w:val="276" w:hRule="atLeast"/>
        </w:trPr>
        <w:tc>
          <w:tcPr>
            <w:tcW w:w="452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663" w:type="dxa"/>
          </w:tcPr>
          <w:p>
            <w:pPr>
              <w:pStyle w:val="TableParagraph"/>
              <w:spacing w:line="257" w:lineRule="exact"/>
              <w:ind w:left="145" w:right="36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θ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=</w:t>
            </w:r>
          </w:p>
        </w:tc>
        <w:tc>
          <w:tcPr>
            <w:tcW w:w="2876" w:type="dxa"/>
            <w:gridSpan w:val="2"/>
          </w:tcPr>
          <w:p>
            <w:pPr>
              <w:pStyle w:val="TableParagraph"/>
              <w:spacing w:line="257" w:lineRule="exact"/>
              <w:ind w:left="109"/>
              <w:rPr>
                <w:sz w:val="24"/>
              </w:rPr>
            </w:pPr>
            <w:r>
              <w:rPr>
                <w:sz w:val="24"/>
              </w:rPr>
              <w:t>angle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obliquity</w:t>
            </w:r>
          </w:p>
        </w:tc>
      </w:tr>
      <w:tr>
        <w:trPr>
          <w:trHeight w:val="271" w:hRule="atLeast"/>
        </w:trPr>
        <w:tc>
          <w:tcPr>
            <w:tcW w:w="452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562" w:type="dxa"/>
            <w:gridSpan w:val="2"/>
          </w:tcPr>
          <w:p>
            <w:pPr>
              <w:pStyle w:val="TableParagraph"/>
              <w:spacing w:line="251" w:lineRule="exact"/>
              <w:ind w:left="203"/>
              <w:rPr>
                <w:i/>
                <w:sz w:val="24"/>
              </w:rPr>
            </w:pPr>
            <w:r>
              <w:rPr>
                <w:i/>
                <w:sz w:val="24"/>
              </w:rPr>
              <w:t>c, α, β, γ, λ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=</w:t>
            </w:r>
          </w:p>
        </w:tc>
        <w:tc>
          <w:tcPr>
            <w:tcW w:w="1977" w:type="dxa"/>
          </w:tcPr>
          <w:p>
            <w:pPr>
              <w:pStyle w:val="TableParagraph"/>
              <w:spacing w:line="251" w:lineRule="exact"/>
              <w:ind w:left="110"/>
              <w:rPr>
                <w:sz w:val="24"/>
              </w:rPr>
            </w:pPr>
            <w:r>
              <w:rPr>
                <w:sz w:val="24"/>
              </w:rPr>
              <w:t>constants</w:t>
            </w:r>
          </w:p>
        </w:tc>
      </w:tr>
    </w:tbl>
    <w:p>
      <w:pPr>
        <w:pStyle w:val="BodyText"/>
        <w:spacing w:before="11"/>
        <w:rPr>
          <w:sz w:val="12"/>
        </w:rPr>
      </w:pPr>
    </w:p>
    <w:p>
      <w:pPr>
        <w:pStyle w:val="BodyText"/>
        <w:spacing w:line="480" w:lineRule="auto" w:before="83"/>
        <w:ind w:left="440" w:right="403"/>
      </w:pPr>
      <w:r>
        <w:rPr/>
        <w:t>The</w:t>
      </w:r>
      <w:r>
        <w:rPr>
          <w:spacing w:val="-12"/>
        </w:rPr>
        <w:t> </w:t>
      </w:r>
      <w:r>
        <w:rPr/>
        <w:t>projectiles</w:t>
      </w:r>
      <w:r>
        <w:rPr>
          <w:spacing w:val="-11"/>
        </w:rPr>
        <w:t> </w:t>
      </w:r>
      <w:r>
        <w:rPr/>
        <w:t>used</w:t>
      </w:r>
      <w:r>
        <w:rPr>
          <w:spacing w:val="-12"/>
        </w:rPr>
        <w:t> </w:t>
      </w:r>
      <w:r>
        <w:rPr/>
        <w:t>in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THOR</w:t>
      </w:r>
      <w:r>
        <w:rPr>
          <w:spacing w:val="-13"/>
        </w:rPr>
        <w:t> </w:t>
      </w:r>
      <w:r>
        <w:rPr/>
        <w:t>research</w:t>
      </w:r>
      <w:r>
        <w:rPr>
          <w:spacing w:val="-11"/>
        </w:rPr>
        <w:t> </w:t>
      </w:r>
      <w:r>
        <w:rPr/>
        <w:t>were</w:t>
      </w:r>
      <w:r>
        <w:rPr>
          <w:spacing w:val="-12"/>
        </w:rPr>
        <w:t> </w:t>
      </w:r>
      <w:r>
        <w:rPr/>
        <w:t>steel</w:t>
      </w:r>
      <w:r>
        <w:rPr>
          <w:spacing w:val="-12"/>
        </w:rPr>
        <w:t> </w:t>
      </w:r>
      <w:r>
        <w:rPr/>
        <w:t>fragments</w:t>
      </w:r>
      <w:r>
        <w:rPr>
          <w:spacing w:val="-11"/>
        </w:rPr>
        <w:t> </w:t>
      </w:r>
      <w:r>
        <w:rPr/>
        <w:t>and</w:t>
      </w:r>
      <w:r>
        <w:rPr>
          <w:spacing w:val="-11"/>
        </w:rPr>
        <w:t> </w:t>
      </w:r>
      <w:r>
        <w:rPr/>
        <w:t>experimental</w:t>
      </w:r>
      <w:r>
        <w:rPr>
          <w:spacing w:val="-12"/>
        </w:rPr>
        <w:t> </w:t>
      </w:r>
      <w:r>
        <w:rPr/>
        <w:t>data</w:t>
      </w:r>
      <w:r>
        <w:rPr>
          <w:spacing w:val="-11"/>
        </w:rPr>
        <w:t> </w:t>
      </w:r>
      <w:r>
        <w:rPr/>
        <w:t>was</w:t>
      </w:r>
      <w:r>
        <w:rPr>
          <w:spacing w:val="-57"/>
        </w:rPr>
        <w:t> </w:t>
      </w:r>
      <w:r>
        <w:rPr/>
        <w:t>characterized</w:t>
      </w:r>
      <w:r>
        <w:rPr>
          <w:spacing w:val="-7"/>
        </w:rPr>
        <w:t> </w:t>
      </w:r>
      <w:r>
        <w:rPr/>
        <w:t>by</w:t>
      </w:r>
      <w:r>
        <w:rPr>
          <w:spacing w:val="-7"/>
        </w:rPr>
        <w:t> </w:t>
      </w:r>
      <w:r>
        <w:rPr/>
        <w:t>fragment</w:t>
      </w:r>
      <w:r>
        <w:rPr>
          <w:spacing w:val="-7"/>
        </w:rPr>
        <w:t> </w:t>
      </w:r>
      <w:r>
        <w:rPr/>
        <w:t>size,</w:t>
      </w:r>
      <w:r>
        <w:rPr>
          <w:spacing w:val="-6"/>
        </w:rPr>
        <w:t> </w:t>
      </w:r>
      <w:r>
        <w:rPr/>
        <w:t>striking</w:t>
      </w:r>
      <w:r>
        <w:rPr>
          <w:spacing w:val="-7"/>
        </w:rPr>
        <w:t> </w:t>
      </w:r>
      <w:r>
        <w:rPr/>
        <w:t>velocity</w:t>
      </w:r>
      <w:r>
        <w:rPr>
          <w:spacing w:val="-9"/>
        </w:rPr>
        <w:t> </w:t>
      </w:r>
      <w:r>
        <w:rPr/>
        <w:t>and</w:t>
      </w:r>
      <w:r>
        <w:rPr>
          <w:spacing w:val="-6"/>
        </w:rPr>
        <w:t> </w:t>
      </w:r>
      <w:r>
        <w:rPr/>
        <w:t>angle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obliquities.</w:t>
      </w:r>
      <w:r>
        <w:rPr>
          <w:spacing w:val="45"/>
        </w:rPr>
        <w:t> </w:t>
      </w:r>
      <w:r>
        <w:rPr/>
        <w:t>The</w:t>
      </w:r>
      <w:r>
        <w:rPr>
          <w:spacing w:val="-7"/>
        </w:rPr>
        <w:t> </w:t>
      </w:r>
      <w:r>
        <w:rPr/>
        <w:t>intent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</w:p>
    <w:p>
      <w:pPr>
        <w:spacing w:after="0" w:line="480" w:lineRule="auto"/>
        <w:sectPr>
          <w:type w:val="continuous"/>
          <w:pgSz w:w="12240" w:h="15840"/>
          <w:pgMar w:top="1380" w:bottom="280" w:left="1720" w:right="1020"/>
        </w:sectPr>
      </w:pPr>
    </w:p>
    <w:p>
      <w:pPr>
        <w:pStyle w:val="BodyText"/>
        <w:spacing w:line="480" w:lineRule="auto" w:before="78"/>
        <w:ind w:left="440" w:right="417"/>
        <w:jc w:val="both"/>
      </w:pPr>
      <w:r>
        <w:rPr/>
        <w:t>empirical</w:t>
      </w:r>
      <w:r>
        <w:rPr>
          <w:spacing w:val="-5"/>
        </w:rPr>
        <w:t> </w:t>
      </w:r>
      <w:r>
        <w:rPr/>
        <w:t>formulas</w:t>
      </w:r>
      <w:r>
        <w:rPr>
          <w:spacing w:val="-5"/>
        </w:rPr>
        <w:t> </w:t>
      </w:r>
      <w:r>
        <w:rPr/>
        <w:t>was</w:t>
      </w:r>
      <w:r>
        <w:rPr>
          <w:spacing w:val="-5"/>
        </w:rPr>
        <w:t> </w:t>
      </w:r>
      <w:r>
        <w:rPr/>
        <w:t>to</w:t>
      </w:r>
      <w:r>
        <w:rPr>
          <w:spacing w:val="-5"/>
        </w:rPr>
        <w:t> </w:t>
      </w:r>
      <w:r>
        <w:rPr/>
        <w:t>fit</w:t>
      </w:r>
      <w:r>
        <w:rPr>
          <w:spacing w:val="-5"/>
        </w:rPr>
        <w:t> </w:t>
      </w:r>
      <w:r>
        <w:rPr/>
        <w:t>them</w:t>
      </w:r>
      <w:r>
        <w:rPr>
          <w:spacing w:val="-7"/>
        </w:rPr>
        <w:t> </w:t>
      </w:r>
      <w:r>
        <w:rPr/>
        <w:t>to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data</w:t>
      </w:r>
      <w:r>
        <w:rPr>
          <w:spacing w:val="-5"/>
        </w:rPr>
        <w:t> </w:t>
      </w:r>
      <w:r>
        <w:rPr/>
        <w:t>for</w:t>
      </w:r>
      <w:r>
        <w:rPr>
          <w:spacing w:val="-5"/>
        </w:rPr>
        <w:t> </w:t>
      </w:r>
      <w:r>
        <w:rPr/>
        <w:t>each</w:t>
      </w:r>
      <w:r>
        <w:rPr>
          <w:spacing w:val="-5"/>
        </w:rPr>
        <w:t> </w:t>
      </w:r>
      <w:r>
        <w:rPr/>
        <w:t>target</w:t>
      </w:r>
      <w:r>
        <w:rPr>
          <w:spacing w:val="-6"/>
        </w:rPr>
        <w:t> </w:t>
      </w:r>
      <w:r>
        <w:rPr/>
        <w:t>material,</w:t>
      </w:r>
      <w:r>
        <w:rPr>
          <w:spacing w:val="-5"/>
        </w:rPr>
        <w:t> </w:t>
      </w:r>
      <w:r>
        <w:rPr/>
        <w:t>which</w:t>
      </w:r>
      <w:r>
        <w:rPr>
          <w:spacing w:val="-5"/>
        </w:rPr>
        <w:t> </w:t>
      </w:r>
      <w:r>
        <w:rPr/>
        <w:t>allowed</w:t>
      </w:r>
      <w:r>
        <w:rPr>
          <w:spacing w:val="-5"/>
        </w:rPr>
        <w:t> </w:t>
      </w:r>
      <w:r>
        <w:rPr/>
        <w:t>for</w:t>
      </w:r>
      <w:r>
        <w:rPr>
          <w:spacing w:val="-5"/>
        </w:rPr>
        <w:t> </w:t>
      </w:r>
      <w:r>
        <w:rPr/>
        <w:t>a</w:t>
      </w:r>
      <w:r>
        <w:rPr>
          <w:spacing w:val="-58"/>
        </w:rPr>
        <w:t> </w:t>
      </w:r>
      <w:r>
        <w:rPr/>
        <w:t>comparison</w:t>
      </w:r>
      <w:r>
        <w:rPr>
          <w:spacing w:val="-10"/>
        </w:rPr>
        <w:t> </w:t>
      </w:r>
      <w:r>
        <w:rPr/>
        <w:t>of</w:t>
      </w:r>
      <w:r>
        <w:rPr>
          <w:spacing w:val="-9"/>
        </w:rPr>
        <w:t> </w:t>
      </w:r>
      <w:r>
        <w:rPr/>
        <w:t>resistance</w:t>
      </w:r>
      <w:r>
        <w:rPr>
          <w:spacing w:val="-11"/>
        </w:rPr>
        <w:t> </w:t>
      </w:r>
      <w:r>
        <w:rPr/>
        <w:t>of</w:t>
      </w:r>
      <w:r>
        <w:rPr>
          <w:spacing w:val="-8"/>
        </w:rPr>
        <w:t> </w:t>
      </w:r>
      <w:r>
        <w:rPr/>
        <w:t>materials</w:t>
      </w:r>
      <w:r>
        <w:rPr>
          <w:spacing w:val="-10"/>
        </w:rPr>
        <w:t> </w:t>
      </w:r>
      <w:r>
        <w:rPr/>
        <w:t>to</w:t>
      </w:r>
      <w:r>
        <w:rPr>
          <w:spacing w:val="-10"/>
        </w:rPr>
        <w:t> </w:t>
      </w:r>
      <w:r>
        <w:rPr/>
        <w:t>perforation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calibration</w:t>
      </w:r>
      <w:r>
        <w:rPr>
          <w:spacing w:val="-9"/>
        </w:rPr>
        <w:t> </w:t>
      </w:r>
      <w:r>
        <w:rPr/>
        <w:t>of</w:t>
      </w:r>
      <w:r>
        <w:rPr>
          <w:spacing w:val="-10"/>
        </w:rPr>
        <w:t> </w:t>
      </w:r>
      <w:r>
        <w:rPr/>
        <w:t>material</w:t>
      </w:r>
      <w:r>
        <w:rPr>
          <w:spacing w:val="-9"/>
        </w:rPr>
        <w:t> </w:t>
      </w:r>
      <w:r>
        <w:rPr/>
        <w:t>resistance</w:t>
      </w:r>
      <w:r>
        <w:rPr>
          <w:spacing w:val="-58"/>
        </w:rPr>
        <w:t> </w:t>
      </w:r>
      <w:r>
        <w:rPr/>
        <w:t>and</w:t>
      </w:r>
      <w:r>
        <w:rPr>
          <w:spacing w:val="-1"/>
        </w:rPr>
        <w:t> </w:t>
      </w:r>
      <w:r>
        <w:rPr/>
        <w:t>thickness a projectile</w:t>
      </w:r>
      <w:r>
        <w:rPr>
          <w:spacing w:val="-1"/>
        </w:rPr>
        <w:t> </w:t>
      </w:r>
      <w:r>
        <w:rPr/>
        <w:t>could penetrate.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/>
        <w:ind w:left="440" w:right="417" w:firstLine="720"/>
        <w:jc w:val="both"/>
      </w:pPr>
      <w:r>
        <w:rPr/>
        <w:pict>
          <v:rect style="position:absolute;margin-left:223.320007pt;margin-top:259.843109pt;width:7.74pt;height:.78pt;mso-position-horizontal-relative:page;mso-position-vertical-relative:paragraph;z-index:-34881536" filled="true" fillcolor="#000000" stroked="false">
            <v:fill type="solid"/>
            <w10:wrap type="none"/>
          </v:rect>
        </w:pict>
      </w:r>
      <w:r>
        <w:rPr>
          <w:spacing w:val="-1"/>
        </w:rPr>
        <w:t>The</w:t>
      </w:r>
      <w:r>
        <w:rPr>
          <w:spacing w:val="-13"/>
        </w:rPr>
        <w:t> </w:t>
      </w:r>
      <w:r>
        <w:rPr>
          <w:spacing w:val="-1"/>
        </w:rPr>
        <w:t>general</w:t>
      </w:r>
      <w:r>
        <w:rPr>
          <w:spacing w:val="-14"/>
        </w:rPr>
        <w:t> </w:t>
      </w:r>
      <w:r>
        <w:rPr>
          <w:spacing w:val="-1"/>
        </w:rPr>
        <w:t>THOR</w:t>
      </w:r>
      <w:r>
        <w:rPr>
          <w:spacing w:val="-14"/>
        </w:rPr>
        <w:t> </w:t>
      </w:r>
      <w:r>
        <w:rPr>
          <w:spacing w:val="-1"/>
        </w:rPr>
        <w:t>equation</w:t>
      </w:r>
      <w:r>
        <w:rPr>
          <w:spacing w:val="-14"/>
        </w:rPr>
        <w:t> </w:t>
      </w:r>
      <w:r>
        <w:rPr/>
        <w:t>shown</w:t>
      </w:r>
      <w:r>
        <w:rPr>
          <w:spacing w:val="-13"/>
        </w:rPr>
        <w:t> </w:t>
      </w:r>
      <w:r>
        <w:rPr/>
        <w:t>in</w:t>
      </w:r>
      <w:r>
        <w:rPr>
          <w:spacing w:val="-15"/>
        </w:rPr>
        <w:t> </w:t>
      </w:r>
      <w:r>
        <w:rPr/>
        <w:t>Equation</w:t>
      </w:r>
      <w:r>
        <w:rPr>
          <w:spacing w:val="-15"/>
        </w:rPr>
        <w:t> </w:t>
      </w:r>
      <w:r>
        <w:rPr/>
        <w:t>5.10</w:t>
      </w:r>
      <w:r>
        <w:rPr>
          <w:spacing w:val="-14"/>
        </w:rPr>
        <w:t> </w:t>
      </w:r>
      <w:r>
        <w:rPr/>
        <w:t>can</w:t>
      </w:r>
      <w:r>
        <w:rPr>
          <w:spacing w:val="-14"/>
        </w:rPr>
        <w:t> </w:t>
      </w:r>
      <w:r>
        <w:rPr/>
        <w:t>be</w:t>
      </w:r>
      <w:r>
        <w:rPr>
          <w:spacing w:val="-12"/>
        </w:rPr>
        <w:t> </w:t>
      </w:r>
      <w:r>
        <w:rPr/>
        <w:t>rewritten</w:t>
      </w:r>
      <w:r>
        <w:rPr>
          <w:spacing w:val="-14"/>
        </w:rPr>
        <w:t> </w:t>
      </w:r>
      <w:r>
        <w:rPr/>
        <w:t>for</w:t>
      </w:r>
      <w:r>
        <w:rPr>
          <w:spacing w:val="-13"/>
        </w:rPr>
        <w:t> </w:t>
      </w:r>
      <w:r>
        <w:rPr/>
        <w:t>conditions</w:t>
      </w:r>
      <w:r>
        <w:rPr>
          <w:spacing w:val="-57"/>
        </w:rPr>
        <w:t> </w:t>
      </w:r>
      <w:r>
        <w:rPr/>
        <w:t>when the residual velocity is zero as there is no perforation.</w:t>
      </w:r>
      <w:r>
        <w:rPr>
          <w:spacing w:val="1"/>
        </w:rPr>
        <w:t> </w:t>
      </w:r>
      <w:r>
        <w:rPr/>
        <w:t>The scope of this research is</w:t>
      </w:r>
      <w:r>
        <w:rPr>
          <w:spacing w:val="1"/>
        </w:rPr>
        <w:t> </w:t>
      </w:r>
      <w:r>
        <w:rPr/>
        <w:t>limited to normal impacts, an angle of obliquity of zero, which simplifies the formula and</w:t>
      </w:r>
      <w:r>
        <w:rPr>
          <w:spacing w:val="-57"/>
        </w:rPr>
        <w:t> </w:t>
      </w:r>
      <w:r>
        <w:rPr/>
        <w:t>allows for exclusion of that variable, </w:t>
      </w:r>
      <w:r>
        <w:rPr>
          <w:i/>
        </w:rPr>
        <w:t>θ</w:t>
      </w:r>
      <w:r>
        <w:rPr/>
        <w:t>, and its associated parameter, </w:t>
      </w:r>
      <w:r>
        <w:rPr>
          <w:i/>
        </w:rPr>
        <w:t>γ</w:t>
      </w:r>
      <w:r>
        <w:rPr/>
        <w:t>. Next, the equation</w:t>
      </w:r>
      <w:r>
        <w:rPr>
          <w:spacing w:val="-57"/>
        </w:rPr>
        <w:t> </w:t>
      </w:r>
      <w:r>
        <w:rPr/>
        <w:t>can</w:t>
      </w:r>
      <w:r>
        <w:rPr>
          <w:spacing w:val="-9"/>
        </w:rPr>
        <w:t> </w:t>
      </w:r>
      <w:r>
        <w:rPr/>
        <w:t>be</w:t>
      </w:r>
      <w:r>
        <w:rPr>
          <w:spacing w:val="-8"/>
        </w:rPr>
        <w:t> </w:t>
      </w:r>
      <w:r>
        <w:rPr/>
        <w:t>rearranged</w:t>
      </w:r>
      <w:r>
        <w:rPr>
          <w:spacing w:val="-9"/>
        </w:rPr>
        <w:t> </w:t>
      </w:r>
      <w:r>
        <w:rPr/>
        <w:t>to</w:t>
      </w:r>
      <w:r>
        <w:rPr>
          <w:spacing w:val="-9"/>
        </w:rPr>
        <w:t> </w:t>
      </w:r>
      <w:r>
        <w:rPr/>
        <w:t>solve</w:t>
      </w:r>
      <w:r>
        <w:rPr>
          <w:spacing w:val="-8"/>
        </w:rPr>
        <w:t> </w:t>
      </w:r>
      <w:r>
        <w:rPr/>
        <w:t>for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thickness</w:t>
      </w:r>
      <w:r>
        <w:rPr>
          <w:spacing w:val="-8"/>
        </w:rPr>
        <w:t> </w:t>
      </w:r>
      <w:r>
        <w:rPr/>
        <w:t>at</w:t>
      </w:r>
      <w:r>
        <w:rPr>
          <w:spacing w:val="-8"/>
        </w:rPr>
        <w:t> </w:t>
      </w:r>
      <w:r>
        <w:rPr/>
        <w:t>which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residual</w:t>
      </w:r>
      <w:r>
        <w:rPr>
          <w:spacing w:val="-8"/>
        </w:rPr>
        <w:t> </w:t>
      </w:r>
      <w:r>
        <w:rPr/>
        <w:t>velocity</w:t>
      </w:r>
      <w:r>
        <w:rPr>
          <w:spacing w:val="-9"/>
        </w:rPr>
        <w:t> </w:t>
      </w:r>
      <w:r>
        <w:rPr/>
        <w:t>is</w:t>
      </w:r>
      <w:r>
        <w:rPr>
          <w:spacing w:val="-10"/>
        </w:rPr>
        <w:t> </w:t>
      </w:r>
      <w:r>
        <w:rPr/>
        <w:t>zero,</w:t>
      </w:r>
      <w:r>
        <w:rPr>
          <w:spacing w:val="-9"/>
        </w:rPr>
        <w:t> </w:t>
      </w:r>
      <w:r>
        <w:rPr/>
        <w:t>as</w:t>
      </w:r>
      <w:r>
        <w:rPr>
          <w:spacing w:val="-8"/>
        </w:rPr>
        <w:t> </w:t>
      </w:r>
      <w:r>
        <w:rPr/>
        <w:t>shown</w:t>
      </w:r>
      <w:r>
        <w:rPr>
          <w:spacing w:val="-58"/>
        </w:rPr>
        <w:t> </w:t>
      </w:r>
      <w:r>
        <w:rPr/>
        <w:t>in Equation 5.11.</w:t>
      </w:r>
      <w:r>
        <w:rPr>
          <w:spacing w:val="1"/>
        </w:rPr>
        <w:t> </w:t>
      </w:r>
      <w:r>
        <w:rPr/>
        <w:t>By using the same nonlinear least square fitting method as the previous</w:t>
      </w:r>
      <w:r>
        <w:rPr>
          <w:spacing w:val="-57"/>
        </w:rPr>
        <w:t> </w:t>
      </w:r>
      <w:r>
        <w:rPr/>
        <w:t>models and the experimental data from the CLT tests, the equation parameters can be</w:t>
      </w:r>
      <w:r>
        <w:rPr>
          <w:spacing w:val="1"/>
        </w:rPr>
        <w:t> </w:t>
      </w:r>
      <w:r>
        <w:rPr/>
        <w:t>calibrated</w:t>
      </w:r>
      <w:r>
        <w:rPr>
          <w:spacing w:val="-1"/>
        </w:rPr>
        <w:t> </w:t>
      </w:r>
      <w:r>
        <w:rPr/>
        <w:t>for the material.</w:t>
      </w:r>
    </w:p>
    <w:p>
      <w:pPr>
        <w:pStyle w:val="BodyText"/>
        <w:rPr>
          <w:sz w:val="20"/>
        </w:rPr>
      </w:pPr>
    </w:p>
    <w:p>
      <w:pPr>
        <w:pStyle w:val="BodyText"/>
        <w:spacing w:before="7" w:after="1"/>
        <w:rPr>
          <w:sz w:val="15"/>
        </w:rPr>
      </w:pPr>
    </w:p>
    <w:tbl>
      <w:tblPr>
        <w:tblW w:w="0" w:type="auto"/>
        <w:jc w:val="left"/>
        <w:tblInd w:w="197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841"/>
        <w:gridCol w:w="834"/>
        <w:gridCol w:w="2518"/>
      </w:tblGrid>
      <w:tr>
        <w:trPr>
          <w:trHeight w:val="676" w:hRule="atLeast"/>
        </w:trPr>
        <w:tc>
          <w:tcPr>
            <w:tcW w:w="3841" w:type="dxa"/>
          </w:tcPr>
          <w:p>
            <w:pPr>
              <w:pStyle w:val="TableParagraph"/>
              <w:spacing w:line="231" w:lineRule="exact" w:before="37"/>
              <w:ind w:left="786"/>
              <w:rPr>
                <w:rFonts w:ascii="Cambria Math" w:eastAsia="Cambria Math"/>
                <w:sz w:val="24"/>
              </w:rPr>
            </w:pPr>
            <w:r>
              <w:rPr>
                <w:rFonts w:ascii="Cambria Math" w:eastAsia="Cambria Math"/>
                <w:w w:val="95"/>
                <w:sz w:val="24"/>
              </w:rPr>
              <w:t>1</w:t>
            </w:r>
            <w:r>
              <w:rPr>
                <w:rFonts w:ascii="Cambria Math" w:eastAsia="Cambria Math"/>
                <w:spacing w:val="51"/>
                <w:sz w:val="24"/>
              </w:rPr>
              <w:t> </w:t>
            </w:r>
            <w:r>
              <w:rPr>
                <w:rFonts w:ascii="Cambria Math" w:eastAsia="Cambria Math"/>
                <w:spacing w:val="51"/>
                <w:position w:val="-5"/>
                <w:sz w:val="24"/>
                <w:u w:val="single"/>
              </w:rPr>
              <w:t>  </w:t>
            </w:r>
            <w:r>
              <w:rPr>
                <w:rFonts w:ascii="Cambria Math" w:eastAsia="Cambria Math"/>
                <w:spacing w:val="51"/>
                <w:position w:val="-5"/>
                <w:sz w:val="24"/>
                <w:u w:val="single"/>
              </w:rPr>
              <w:t> </w:t>
            </w:r>
            <w:r>
              <w:rPr>
                <w:rFonts w:ascii="Cambria Math" w:eastAsia="Cambria Math"/>
                <w:w w:val="95"/>
                <w:sz w:val="24"/>
              </w:rPr>
              <w:t>𝑣</w:t>
            </w:r>
            <w:r>
              <w:rPr>
                <w:rFonts w:ascii="Cambria Math" w:eastAsia="Cambria Math"/>
                <w:w w:val="95"/>
                <w:sz w:val="24"/>
                <w:vertAlign w:val="superscript"/>
              </w:rPr>
              <w:t>𝑓𝑓</w:t>
            </w:r>
          </w:p>
          <w:p>
            <w:pPr>
              <w:pStyle w:val="TableParagraph"/>
              <w:tabs>
                <w:tab w:pos="970" w:val="left" w:leader="none"/>
                <w:tab w:pos="1445" w:val="left" w:leader="none"/>
                <w:tab w:pos="1817" w:val="left" w:leader="none"/>
              </w:tabs>
              <w:spacing w:line="171" w:lineRule="exact"/>
              <w:ind w:left="200"/>
              <w:rPr>
                <w:rFonts w:ascii="Cambria Math" w:hAnsi="Cambria Math" w:cs="Cambria Math" w:eastAsia="Cambria Math"/>
                <w:sz w:val="24"/>
                <w:szCs w:val="24"/>
              </w:rPr>
            </w:pPr>
            <w:r>
              <w:rPr>
                <w:rFonts w:ascii="Cambria Math" w:hAnsi="Cambria Math" w:cs="Cambria Math" w:eastAsia="Cambria Math"/>
                <w:sz w:val="24"/>
                <w:szCs w:val="24"/>
              </w:rPr>
              <w:t>𝑇  </w:t>
            </w:r>
            <w:r>
              <w:rPr>
                <w:rFonts w:ascii="Cambria Math" w:hAnsi="Cambria Math" w:cs="Cambria Math" w:eastAsia="Cambria Math"/>
                <w:spacing w:val="27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sz w:val="24"/>
                <w:szCs w:val="24"/>
              </w:rPr>
              <w:t>=</w:t>
              <w:tab/>
            </w:r>
            <w:r>
              <w:rPr>
                <w:rFonts w:ascii="Cambria Math" w:hAnsi="Cambria Math" w:cs="Cambria Math" w:eastAsia="Cambria Math"/>
                <w:w w:val="85"/>
                <w:sz w:val="24"/>
                <w:szCs w:val="24"/>
              </w:rPr>
              <w:t>�</w:t>
              <w:tab/>
            </w:r>
            <w:r>
              <w:rPr>
                <w:rFonts w:ascii="Cambria Math" w:hAnsi="Cambria Math" w:cs="Cambria Math" w:eastAsia="Cambria Math"/>
                <w:sz w:val="24"/>
                <w:szCs w:val="24"/>
                <w:u w:val="single"/>
                <w:vertAlign w:val="superscript"/>
              </w:rPr>
              <w:t>𝑠</w:t>
            </w:r>
            <w:r>
              <w:rPr>
                <w:rFonts w:ascii="Cambria Math" w:hAnsi="Cambria Math" w:cs="Cambria Math" w:eastAsia="Cambria Math"/>
                <w:sz w:val="24"/>
                <w:szCs w:val="24"/>
                <w:u w:val="single"/>
                <w:vertAlign w:val="baseline"/>
              </w:rPr>
              <w:tab/>
            </w:r>
            <w:r>
              <w:rPr>
                <w:rFonts w:ascii="Cambria Math" w:hAnsi="Cambria Math" w:cs="Cambria Math" w:eastAsia="Cambria Math"/>
                <w:w w:val="85"/>
                <w:sz w:val="24"/>
                <w:szCs w:val="24"/>
                <w:vertAlign w:val="baseline"/>
              </w:rPr>
              <w:t>�</w:t>
            </w:r>
          </w:p>
          <w:p>
            <w:pPr>
              <w:pStyle w:val="TableParagraph"/>
              <w:tabs>
                <w:tab w:pos="775" w:val="left" w:leader="none"/>
              </w:tabs>
              <w:spacing w:line="217" w:lineRule="exact"/>
              <w:ind w:left="310"/>
              <w:rPr>
                <w:rFonts w:ascii="Cambria Math" w:hAnsi="Cambria Math" w:eastAsia="Cambria Math"/>
                <w:sz w:val="24"/>
              </w:rPr>
            </w:pPr>
            <w:r>
              <w:rPr>
                <w:rFonts w:ascii="Cambria Math" w:hAnsi="Cambria Math" w:eastAsia="Cambria Math"/>
                <w:w w:val="59"/>
                <w:sz w:val="24"/>
                <w:vertAlign w:val="superscript"/>
              </w:rPr>
              <w:t>𝑤𝑤</w:t>
            </w:r>
            <w:r>
              <w:rPr>
                <w:rFonts w:ascii="Cambria Math" w:hAnsi="Cambria Math" w:eastAsia="Cambria Math"/>
                <w:sz w:val="24"/>
                <w:vertAlign w:val="baseline"/>
              </w:rPr>
              <w:tab/>
              <w:t>𝐴  </w:t>
            </w:r>
            <w:r>
              <w:rPr>
                <w:rFonts w:ascii="Cambria Math" w:hAnsi="Cambria Math" w:eastAsia="Cambria Math"/>
                <w:spacing w:val="21"/>
                <w:sz w:val="24"/>
                <w:vertAlign w:val="baseline"/>
              </w:rPr>
              <w:t> </w:t>
            </w:r>
            <w:r>
              <w:rPr>
                <w:rFonts w:ascii="Cambria Math" w:hAnsi="Cambria Math" w:eastAsia="Cambria Math"/>
                <w:sz w:val="24"/>
                <w:vertAlign w:val="baseline"/>
              </w:rPr>
              <w:t>1</w:t>
            </w:r>
            <w:r>
              <w:rPr>
                <w:rFonts w:ascii="Cambria Math" w:hAnsi="Cambria Math" w:eastAsia="Cambria Math"/>
                <w:spacing w:val="6"/>
                <w:sz w:val="24"/>
                <w:vertAlign w:val="baseline"/>
              </w:rPr>
              <w:t>0</w:t>
            </w:r>
            <w:r>
              <w:rPr>
                <w:rFonts w:ascii="Cambria Math" w:hAnsi="Cambria Math" w:eastAsia="Cambria Math"/>
                <w:w w:val="57"/>
                <w:sz w:val="24"/>
                <w:vertAlign w:val="superscript"/>
              </w:rPr>
              <w:t>𝑔</w:t>
            </w:r>
            <w:r>
              <w:rPr>
                <w:rFonts w:ascii="Cambria Math" w:hAnsi="Cambria Math" w:eastAsia="Cambria Math"/>
                <w:spacing w:val="12"/>
                <w:w w:val="57"/>
                <w:sz w:val="24"/>
                <w:vertAlign w:val="superscript"/>
              </w:rPr>
              <w:t>𝑔</w:t>
            </w:r>
            <w:r>
              <w:rPr>
                <w:rFonts w:ascii="Cambria Math" w:hAnsi="Cambria Math" w:eastAsia="Cambria Math"/>
                <w:spacing w:val="14"/>
                <w:sz w:val="24"/>
                <w:vertAlign w:val="baseline"/>
              </w:rPr>
              <w:t>𝑤</w:t>
            </w:r>
            <w:r>
              <w:rPr>
                <w:rFonts w:ascii="Cambria Math" w:hAnsi="Cambria Math" w:eastAsia="Cambria Math"/>
                <w:w w:val="119"/>
                <w:sz w:val="24"/>
                <w:vertAlign w:val="superscript"/>
              </w:rPr>
              <w:t>ℎ</w:t>
            </w:r>
          </w:p>
        </w:tc>
        <w:tc>
          <w:tcPr>
            <w:tcW w:w="83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518" w:type="dxa"/>
          </w:tcPr>
          <w:p>
            <w:pPr>
              <w:pStyle w:val="TableParagraph"/>
              <w:spacing w:line="266" w:lineRule="exact"/>
              <w:ind w:right="198"/>
              <w:jc w:val="right"/>
              <w:rPr>
                <w:sz w:val="24"/>
              </w:rPr>
            </w:pPr>
            <w:r>
              <w:rPr>
                <w:sz w:val="24"/>
              </w:rPr>
              <w:t>(5.11)</w:t>
            </w:r>
          </w:p>
        </w:tc>
      </w:tr>
      <w:tr>
        <w:trPr>
          <w:trHeight w:val="287" w:hRule="atLeast"/>
        </w:trPr>
        <w:tc>
          <w:tcPr>
            <w:tcW w:w="3841" w:type="dxa"/>
          </w:tcPr>
          <w:p>
            <w:pPr>
              <w:pStyle w:val="TableParagraph"/>
              <w:spacing w:line="262" w:lineRule="exact" w:before="5"/>
              <w:ind w:right="262"/>
              <w:jc w:val="right"/>
              <w:rPr>
                <w:sz w:val="24"/>
              </w:rPr>
            </w:pPr>
            <w:r>
              <w:rPr>
                <w:sz w:val="24"/>
              </w:rPr>
              <w:t>where</w:t>
            </w:r>
          </w:p>
        </w:tc>
        <w:tc>
          <w:tcPr>
            <w:tcW w:w="834" w:type="dxa"/>
          </w:tcPr>
          <w:p>
            <w:pPr>
              <w:pStyle w:val="TableParagraph"/>
              <w:spacing w:line="261" w:lineRule="exact" w:before="6"/>
              <w:ind w:right="106"/>
              <w:jc w:val="right"/>
              <w:rPr>
                <w:i/>
                <w:sz w:val="24"/>
              </w:rPr>
            </w:pPr>
            <w:r>
              <w:rPr>
                <w:i/>
                <w:position w:val="1"/>
                <w:sz w:val="24"/>
              </w:rPr>
              <w:t>T</w:t>
            </w:r>
            <w:r>
              <w:rPr>
                <w:i/>
                <w:sz w:val="16"/>
              </w:rPr>
              <w:t>w</w:t>
            </w:r>
            <w:r>
              <w:rPr>
                <w:i/>
                <w:spacing w:val="19"/>
                <w:sz w:val="16"/>
              </w:rPr>
              <w:t> </w:t>
            </w:r>
            <w:r>
              <w:rPr>
                <w:i/>
                <w:position w:val="1"/>
                <w:sz w:val="24"/>
              </w:rPr>
              <w:t>=</w:t>
            </w:r>
          </w:p>
        </w:tc>
        <w:tc>
          <w:tcPr>
            <w:tcW w:w="2518" w:type="dxa"/>
          </w:tcPr>
          <w:p>
            <w:pPr>
              <w:pStyle w:val="TableParagraph"/>
              <w:spacing w:line="262" w:lineRule="exact" w:before="5"/>
              <w:ind w:left="107"/>
              <w:rPr>
                <w:sz w:val="24"/>
              </w:rPr>
            </w:pPr>
            <w:r>
              <w:rPr>
                <w:sz w:val="24"/>
              </w:rPr>
              <w:t>thickness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required</w:t>
            </w:r>
          </w:p>
        </w:tc>
      </w:tr>
      <w:tr>
        <w:trPr>
          <w:trHeight w:val="275" w:hRule="atLeast"/>
        </w:trPr>
        <w:tc>
          <w:tcPr>
            <w:tcW w:w="3841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834" w:type="dxa"/>
          </w:tcPr>
          <w:p>
            <w:pPr>
              <w:pStyle w:val="TableParagraph"/>
              <w:spacing w:line="256" w:lineRule="exact"/>
              <w:ind w:right="106"/>
              <w:jc w:val="right"/>
              <w:rPr>
                <w:i/>
                <w:sz w:val="24"/>
              </w:rPr>
            </w:pPr>
            <w:r>
              <w:rPr>
                <w:i/>
                <w:sz w:val="24"/>
              </w:rPr>
              <w:t>A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=</w:t>
            </w:r>
          </w:p>
        </w:tc>
        <w:tc>
          <w:tcPr>
            <w:tcW w:w="2518" w:type="dxa"/>
          </w:tcPr>
          <w:p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projectile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impact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area</w:t>
            </w:r>
          </w:p>
        </w:tc>
      </w:tr>
      <w:tr>
        <w:trPr>
          <w:trHeight w:val="276" w:hRule="atLeast"/>
        </w:trPr>
        <w:tc>
          <w:tcPr>
            <w:tcW w:w="3841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834" w:type="dxa"/>
          </w:tcPr>
          <w:p>
            <w:pPr>
              <w:pStyle w:val="TableParagraph"/>
              <w:spacing w:line="256" w:lineRule="exact"/>
              <w:ind w:right="106"/>
              <w:jc w:val="right"/>
              <w:rPr>
                <w:i/>
                <w:sz w:val="24"/>
              </w:rPr>
            </w:pPr>
            <w:r>
              <w:rPr>
                <w:i/>
                <w:position w:val="1"/>
                <w:sz w:val="24"/>
              </w:rPr>
              <w:t>v</w:t>
            </w:r>
            <w:r>
              <w:rPr>
                <w:i/>
                <w:sz w:val="16"/>
              </w:rPr>
              <w:t>s</w:t>
            </w:r>
            <w:r>
              <w:rPr>
                <w:i/>
                <w:spacing w:val="19"/>
                <w:sz w:val="16"/>
              </w:rPr>
              <w:t> </w:t>
            </w:r>
            <w:r>
              <w:rPr>
                <w:i/>
                <w:position w:val="1"/>
                <w:sz w:val="24"/>
              </w:rPr>
              <w:t>=</w:t>
            </w:r>
          </w:p>
        </w:tc>
        <w:tc>
          <w:tcPr>
            <w:tcW w:w="2518" w:type="dxa"/>
          </w:tcPr>
          <w:p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striking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velocity</w:t>
            </w:r>
          </w:p>
        </w:tc>
      </w:tr>
      <w:tr>
        <w:trPr>
          <w:trHeight w:val="276" w:hRule="atLeast"/>
        </w:trPr>
        <w:tc>
          <w:tcPr>
            <w:tcW w:w="3841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834" w:type="dxa"/>
          </w:tcPr>
          <w:p>
            <w:pPr>
              <w:pStyle w:val="TableParagraph"/>
              <w:spacing w:line="256" w:lineRule="exact"/>
              <w:ind w:right="106"/>
              <w:jc w:val="right"/>
              <w:rPr>
                <w:i/>
                <w:sz w:val="24"/>
              </w:rPr>
            </w:pPr>
            <w:r>
              <w:rPr>
                <w:i/>
                <w:sz w:val="24"/>
              </w:rPr>
              <w:t>w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=</w:t>
            </w:r>
          </w:p>
        </w:tc>
        <w:tc>
          <w:tcPr>
            <w:tcW w:w="2518" w:type="dxa"/>
          </w:tcPr>
          <w:p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projectile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weight</w:t>
            </w:r>
          </w:p>
        </w:tc>
      </w:tr>
      <w:tr>
        <w:trPr>
          <w:trHeight w:val="271" w:hRule="atLeast"/>
        </w:trPr>
        <w:tc>
          <w:tcPr>
            <w:tcW w:w="3841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834" w:type="dxa"/>
          </w:tcPr>
          <w:p>
            <w:pPr>
              <w:pStyle w:val="TableParagraph"/>
              <w:spacing w:line="251" w:lineRule="exact"/>
              <w:ind w:right="106"/>
              <w:jc w:val="right"/>
              <w:rPr>
                <w:i/>
                <w:sz w:val="24"/>
              </w:rPr>
            </w:pPr>
            <w:r>
              <w:rPr>
                <w:i/>
                <w:sz w:val="24"/>
              </w:rPr>
              <w:t>f,g,h =</w:t>
            </w:r>
          </w:p>
        </w:tc>
        <w:tc>
          <w:tcPr>
            <w:tcW w:w="2518" w:type="dxa"/>
          </w:tcPr>
          <w:p>
            <w:pPr>
              <w:pStyle w:val="TableParagraph"/>
              <w:spacing w:line="251" w:lineRule="exact"/>
              <w:ind w:left="107"/>
              <w:rPr>
                <w:sz w:val="24"/>
              </w:rPr>
            </w:pPr>
            <w:r>
              <w:rPr>
                <w:sz w:val="24"/>
              </w:rPr>
              <w:t>constants</w:t>
            </w:r>
          </w:p>
        </w:tc>
      </w:tr>
    </w:tbl>
    <w:p>
      <w:pPr>
        <w:pStyle w:val="BodyText"/>
        <w:spacing w:before="11"/>
        <w:rPr>
          <w:sz w:val="12"/>
        </w:rPr>
      </w:pPr>
    </w:p>
    <w:p>
      <w:pPr>
        <w:pStyle w:val="BodyText"/>
        <w:spacing w:line="480" w:lineRule="auto" w:before="90"/>
        <w:ind w:left="440" w:right="403"/>
      </w:pPr>
      <w:hyperlink w:history="true" w:anchor="_bookmark83">
        <w:r>
          <w:rPr/>
          <w:t>Figure</w:t>
        </w:r>
        <w:r>
          <w:rPr>
            <w:spacing w:val="-10"/>
          </w:rPr>
          <w:t> </w:t>
        </w:r>
        <w:r>
          <w:rPr/>
          <w:t>5-24</w:t>
        </w:r>
        <w:r>
          <w:rPr>
            <w:spacing w:val="-11"/>
          </w:rPr>
          <w:t> </w:t>
        </w:r>
      </w:hyperlink>
      <w:r>
        <w:rPr/>
        <w:t>shows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general</w:t>
      </w:r>
      <w:r>
        <w:rPr>
          <w:spacing w:val="-9"/>
        </w:rPr>
        <w:t> </w:t>
      </w:r>
      <w:r>
        <w:rPr/>
        <w:t>THOR</w:t>
      </w:r>
      <w:r>
        <w:rPr>
          <w:spacing w:val="-9"/>
        </w:rPr>
        <w:t> </w:t>
      </w:r>
      <w:r>
        <w:rPr/>
        <w:t>model</w:t>
      </w:r>
      <w:r>
        <w:rPr>
          <w:spacing w:val="-9"/>
        </w:rPr>
        <w:t> </w:t>
      </w:r>
      <w:r>
        <w:rPr/>
        <w:t>calibrated</w:t>
      </w:r>
      <w:r>
        <w:rPr>
          <w:spacing w:val="-11"/>
        </w:rPr>
        <w:t> </w:t>
      </w:r>
      <w:r>
        <w:rPr/>
        <w:t>to</w:t>
      </w:r>
      <w:r>
        <w:rPr>
          <w:spacing w:val="-10"/>
        </w:rPr>
        <w:t> </w:t>
      </w:r>
      <w:r>
        <w:rPr/>
        <w:t>the</w:t>
      </w:r>
      <w:r>
        <w:rPr>
          <w:spacing w:val="-11"/>
        </w:rPr>
        <w:t> </w:t>
      </w:r>
      <w:r>
        <w:rPr/>
        <w:t>CLT</w:t>
      </w:r>
      <w:r>
        <w:rPr>
          <w:spacing w:val="-10"/>
        </w:rPr>
        <w:t> </w:t>
      </w:r>
      <w:r>
        <w:rPr/>
        <w:t>data.</w:t>
      </w:r>
      <w:r>
        <w:rPr>
          <w:spacing w:val="41"/>
        </w:rPr>
        <w:t> </w:t>
      </w:r>
      <w:r>
        <w:rPr/>
        <w:t>This</w:t>
      </w:r>
      <w:r>
        <w:rPr>
          <w:spacing w:val="-10"/>
        </w:rPr>
        <w:t> </w:t>
      </w:r>
      <w:r>
        <w:rPr/>
        <w:t>model,</w:t>
      </w:r>
      <w:r>
        <w:rPr>
          <w:spacing w:val="-10"/>
        </w:rPr>
        <w:t> </w:t>
      </w:r>
      <w:r>
        <w:rPr/>
        <w:t>using</w:t>
      </w:r>
      <w:r>
        <w:rPr>
          <w:spacing w:val="-57"/>
        </w:rPr>
        <w:t> </w:t>
      </w:r>
      <w:r>
        <w:rPr/>
        <w:t>both</w:t>
      </w:r>
      <w:r>
        <w:rPr>
          <w:spacing w:val="-1"/>
        </w:rPr>
        <w:t> </w:t>
      </w:r>
      <w:r>
        <w:rPr/>
        <w:t>species</w:t>
      </w:r>
      <w:r>
        <w:rPr>
          <w:spacing w:val="-1"/>
        </w:rPr>
        <w:t> </w:t>
      </w:r>
      <w:r>
        <w:rPr/>
        <w:t>data sets, had a MSE</w:t>
      </w:r>
      <w:r>
        <w:rPr>
          <w:spacing w:val="-1"/>
        </w:rPr>
        <w:t> </w:t>
      </w:r>
      <w:r>
        <w:rPr/>
        <w:t>value of</w:t>
      </w:r>
      <w:r>
        <w:rPr>
          <w:spacing w:val="-1"/>
        </w:rPr>
        <w:t> </w:t>
      </w:r>
      <w:r>
        <w:rPr/>
        <w:t>1.532.</w:t>
      </w:r>
    </w:p>
    <w:p>
      <w:pPr>
        <w:spacing w:after="0" w:line="480" w:lineRule="auto"/>
        <w:sectPr>
          <w:pgSz w:w="12240" w:h="15840"/>
          <w:pgMar w:header="0" w:footer="1064" w:top="1360" w:bottom="1260" w:left="1720" w:right="1020"/>
        </w:sectPr>
      </w:pPr>
    </w:p>
    <w:p>
      <w:pPr>
        <w:pStyle w:val="Heading8"/>
        <w:spacing w:line="327" w:lineRule="exact" w:before="66"/>
        <w:ind w:left="3417"/>
      </w:pPr>
      <w:r>
        <w:rPr/>
        <w:t>Striking</w:t>
      </w:r>
      <w:r>
        <w:rPr>
          <w:spacing w:val="-15"/>
        </w:rPr>
        <w:t> </w:t>
      </w:r>
      <w:r>
        <w:rPr/>
        <w:t>Velocity</w:t>
      </w:r>
      <w:r>
        <w:rPr>
          <w:spacing w:val="-7"/>
        </w:rPr>
        <w:t> </w:t>
      </w:r>
      <w:r>
        <w:rPr/>
        <w:t>(V</w:t>
      </w:r>
      <w:r>
        <w:rPr>
          <w:position w:val="-5"/>
          <w:sz w:val="18"/>
        </w:rPr>
        <w:t>s</w:t>
      </w:r>
      <w:r>
        <w:rPr/>
        <w:t>)</w:t>
      </w:r>
      <w:r>
        <w:rPr>
          <w:spacing w:val="-9"/>
        </w:rPr>
        <w:t> </w:t>
      </w:r>
      <w:r>
        <w:rPr/>
        <w:t>(m/s)</w:t>
      </w:r>
    </w:p>
    <w:p>
      <w:pPr>
        <w:spacing w:line="174" w:lineRule="exact" w:before="0"/>
        <w:ind w:left="1351" w:right="0" w:firstLine="0"/>
        <w:jc w:val="left"/>
        <w:rPr>
          <w:sz w:val="17"/>
        </w:rPr>
      </w:pPr>
      <w:r>
        <w:rPr>
          <w:sz w:val="17"/>
        </w:rPr>
        <w:t>180  </w:t>
      </w:r>
      <w:r>
        <w:rPr>
          <w:spacing w:val="13"/>
          <w:sz w:val="17"/>
        </w:rPr>
        <w:t> </w:t>
      </w:r>
      <w:r>
        <w:rPr>
          <w:sz w:val="17"/>
        </w:rPr>
        <w:t>240  </w:t>
      </w:r>
      <w:r>
        <w:rPr>
          <w:spacing w:val="10"/>
          <w:sz w:val="17"/>
        </w:rPr>
        <w:t> </w:t>
      </w:r>
      <w:r>
        <w:rPr>
          <w:sz w:val="17"/>
        </w:rPr>
        <w:t>300  </w:t>
      </w:r>
      <w:r>
        <w:rPr>
          <w:spacing w:val="14"/>
          <w:sz w:val="17"/>
        </w:rPr>
        <w:t> </w:t>
      </w:r>
      <w:r>
        <w:rPr>
          <w:sz w:val="17"/>
        </w:rPr>
        <w:t>360  </w:t>
      </w:r>
      <w:r>
        <w:rPr>
          <w:spacing w:val="9"/>
          <w:sz w:val="17"/>
        </w:rPr>
        <w:t> </w:t>
      </w:r>
      <w:r>
        <w:rPr>
          <w:sz w:val="17"/>
        </w:rPr>
        <w:t>420  </w:t>
      </w:r>
      <w:r>
        <w:rPr>
          <w:spacing w:val="14"/>
          <w:sz w:val="17"/>
        </w:rPr>
        <w:t> </w:t>
      </w:r>
      <w:r>
        <w:rPr>
          <w:sz w:val="17"/>
        </w:rPr>
        <w:t>480  </w:t>
      </w:r>
      <w:r>
        <w:rPr>
          <w:spacing w:val="10"/>
          <w:sz w:val="17"/>
        </w:rPr>
        <w:t> </w:t>
      </w:r>
      <w:r>
        <w:rPr>
          <w:sz w:val="17"/>
        </w:rPr>
        <w:t>540  </w:t>
      </w:r>
      <w:r>
        <w:rPr>
          <w:spacing w:val="14"/>
          <w:sz w:val="17"/>
        </w:rPr>
        <w:t> </w:t>
      </w:r>
      <w:r>
        <w:rPr>
          <w:sz w:val="17"/>
        </w:rPr>
        <w:t>600  </w:t>
      </w:r>
      <w:r>
        <w:rPr>
          <w:spacing w:val="9"/>
          <w:sz w:val="17"/>
        </w:rPr>
        <w:t> </w:t>
      </w:r>
      <w:r>
        <w:rPr>
          <w:sz w:val="17"/>
        </w:rPr>
        <w:t>660  </w:t>
      </w:r>
      <w:r>
        <w:rPr>
          <w:spacing w:val="14"/>
          <w:sz w:val="17"/>
        </w:rPr>
        <w:t> </w:t>
      </w:r>
      <w:r>
        <w:rPr>
          <w:sz w:val="17"/>
        </w:rPr>
        <w:t>720  </w:t>
      </w:r>
      <w:r>
        <w:rPr>
          <w:spacing w:val="10"/>
          <w:sz w:val="17"/>
        </w:rPr>
        <w:t> </w:t>
      </w:r>
      <w:r>
        <w:rPr>
          <w:sz w:val="17"/>
        </w:rPr>
        <w:t>780  </w:t>
      </w:r>
      <w:r>
        <w:rPr>
          <w:spacing w:val="13"/>
          <w:sz w:val="17"/>
        </w:rPr>
        <w:t> </w:t>
      </w:r>
      <w:r>
        <w:rPr>
          <w:sz w:val="17"/>
        </w:rPr>
        <w:t>840  </w:t>
      </w:r>
      <w:r>
        <w:rPr>
          <w:spacing w:val="10"/>
          <w:sz w:val="17"/>
        </w:rPr>
        <w:t> </w:t>
      </w:r>
      <w:r>
        <w:rPr>
          <w:sz w:val="17"/>
        </w:rPr>
        <w:t>900  </w:t>
      </w:r>
      <w:r>
        <w:rPr>
          <w:spacing w:val="10"/>
          <w:sz w:val="17"/>
        </w:rPr>
        <w:t> </w:t>
      </w:r>
      <w:r>
        <w:rPr>
          <w:sz w:val="17"/>
        </w:rPr>
        <w:t>960</w:t>
      </w:r>
      <w:r>
        <w:rPr>
          <w:spacing w:val="30"/>
          <w:sz w:val="17"/>
        </w:rPr>
        <w:t> </w:t>
      </w:r>
      <w:r>
        <w:rPr>
          <w:sz w:val="17"/>
        </w:rPr>
        <w:t>1020</w:t>
      </w:r>
      <w:r>
        <w:rPr>
          <w:spacing w:val="5"/>
          <w:sz w:val="17"/>
        </w:rPr>
        <w:t> </w:t>
      </w:r>
      <w:r>
        <w:rPr>
          <w:sz w:val="17"/>
        </w:rPr>
        <w:t>1080</w:t>
      </w:r>
      <w:r>
        <w:rPr>
          <w:spacing w:val="10"/>
          <w:sz w:val="17"/>
        </w:rPr>
        <w:t> </w:t>
      </w:r>
      <w:r>
        <w:rPr>
          <w:sz w:val="17"/>
        </w:rPr>
        <w:t>1140</w:t>
      </w:r>
      <w:r>
        <w:rPr>
          <w:spacing w:val="6"/>
          <w:sz w:val="17"/>
        </w:rPr>
        <w:t> </w:t>
      </w:r>
      <w:r>
        <w:rPr>
          <w:sz w:val="17"/>
        </w:rPr>
        <w:t>1200</w:t>
      </w:r>
    </w:p>
    <w:p>
      <w:pPr>
        <w:spacing w:line="180" w:lineRule="exact" w:before="0"/>
        <w:ind w:left="858" w:right="0" w:firstLine="0"/>
        <w:jc w:val="left"/>
        <w:rPr>
          <w:sz w:val="17"/>
        </w:rPr>
      </w:pPr>
      <w:r>
        <w:rPr/>
        <w:pict>
          <v:group style="position:absolute;margin-left:139.886292pt;margin-top:5.207546pt;width:361pt;height:196.65pt;mso-position-horizontal-relative:page;mso-position-vertical-relative:paragraph;z-index:15825920" coordorigin="2798,104" coordsize="7220,3933">
            <v:rect style="position:absolute;left:2809;top:115;width:7197;height:3910" filled="false" stroked="true" strokeweight="1.17391pt" strokecolor="#000000">
              <v:stroke dashstyle="solid"/>
            </v:rect>
            <v:line style="position:absolute" from="3209,4025" to="3209,3912" stroked="true" strokeweight=".978251pt" strokecolor="#000000">
              <v:stroke dashstyle="solid"/>
            </v:line>
            <v:line style="position:absolute" from="3608,4025" to="3608,3912" stroked="true" strokeweight=".978251pt" strokecolor="#000000">
              <v:stroke dashstyle="solid"/>
            </v:line>
            <v:line style="position:absolute" from="4007,4025" to="4007,3912" stroked="true" strokeweight=".978251pt" strokecolor="#000000">
              <v:stroke dashstyle="solid"/>
            </v:line>
            <v:line style="position:absolute" from="4406,4025" to="4406,3912" stroked="true" strokeweight=".978251pt" strokecolor="#000000">
              <v:stroke dashstyle="solid"/>
            </v:line>
            <v:line style="position:absolute" from="4805,4025" to="4805,3912" stroked="true" strokeweight=".978251pt" strokecolor="#000000">
              <v:stroke dashstyle="solid"/>
            </v:line>
            <v:line style="position:absolute" from="5208,4025" to="5208,3912" stroked="true" strokeweight=".978251pt" strokecolor="#000000">
              <v:stroke dashstyle="solid"/>
            </v:line>
            <v:line style="position:absolute" from="5607,4025" to="5607,3912" stroked="true" strokeweight=".978251pt" strokecolor="#000000">
              <v:stroke dashstyle="solid"/>
            </v:line>
            <v:line style="position:absolute" from="6006,4025" to="6006,3912" stroked="true" strokeweight=".978251pt" strokecolor="#000000">
              <v:stroke dashstyle="solid"/>
            </v:line>
            <v:line style="position:absolute" from="6406,4025" to="6406,3912" stroked="true" strokeweight=".978251pt" strokecolor="#000000">
              <v:stroke dashstyle="solid"/>
            </v:line>
            <v:line style="position:absolute" from="6805,4025" to="6805,3912" stroked="true" strokeweight=".978251pt" strokecolor="#000000">
              <v:stroke dashstyle="solid"/>
            </v:line>
            <v:line style="position:absolute" from="7204,4025" to="7204,3912" stroked="true" strokeweight=".978251pt" strokecolor="#000000">
              <v:stroke dashstyle="solid"/>
            </v:line>
            <v:line style="position:absolute" from="7607,4025" to="7607,3912" stroked="true" strokeweight=".978251pt" strokecolor="#000000">
              <v:stroke dashstyle="solid"/>
            </v:line>
            <v:line style="position:absolute" from="8006,4025" to="8006,3912" stroked="true" strokeweight=".978251pt" strokecolor="#000000">
              <v:stroke dashstyle="solid"/>
            </v:line>
            <v:line style="position:absolute" from="8405,4025" to="8405,3912" stroked="true" strokeweight=".978251pt" strokecolor="#000000">
              <v:stroke dashstyle="solid"/>
            </v:line>
            <v:line style="position:absolute" from="8804,4025" to="8804,3912" stroked="true" strokeweight=".978251pt" strokecolor="#000000">
              <v:stroke dashstyle="solid"/>
            </v:line>
            <v:line style="position:absolute" from="9203,4025" to="9203,3912" stroked="true" strokeweight=".978251pt" strokecolor="#000000">
              <v:stroke dashstyle="solid"/>
            </v:line>
            <v:line style="position:absolute" from="9602,4025" to="9602,3912" stroked="true" strokeweight=".978251pt" strokecolor="#000000">
              <v:stroke dashstyle="solid"/>
            </v:line>
            <v:line style="position:absolute" from="3189,116" to="3189,229" stroked="true" strokeweight=".978251pt" strokecolor="#000000">
              <v:stroke dashstyle="solid"/>
            </v:line>
            <v:line style="position:absolute" from="3584,116" to="3584,229" stroked="true" strokeweight=".978251pt" strokecolor="#000000">
              <v:stroke dashstyle="solid"/>
            </v:line>
            <v:line style="position:absolute" from="3976,116" to="3976,229" stroked="true" strokeweight=".978251pt" strokecolor="#000000">
              <v:stroke dashstyle="solid"/>
            </v:line>
            <v:line style="position:absolute" from="4371,116" to="4371,229" stroked="true" strokeweight=".978251pt" strokecolor="#000000">
              <v:stroke dashstyle="solid"/>
            </v:line>
            <v:line style="position:absolute" from="4762,116" to="4762,229" stroked="true" strokeweight=".978251pt" strokecolor="#000000">
              <v:stroke dashstyle="solid"/>
            </v:line>
            <v:line style="position:absolute" from="5157,116" to="5157,229" stroked="true" strokeweight=".978251pt" strokecolor="#000000">
              <v:stroke dashstyle="solid"/>
            </v:line>
            <v:line style="position:absolute" from="5549,116" to="5549,229" stroked="true" strokeweight=".978251pt" strokecolor="#000000">
              <v:stroke dashstyle="solid"/>
            </v:line>
            <v:line style="position:absolute" from="5944,116" to="5944,229" stroked="true" strokeweight=".978251pt" strokecolor="#000000">
              <v:stroke dashstyle="solid"/>
            </v:line>
            <v:line style="position:absolute" from="6335,116" to="6335,229" stroked="true" strokeweight=".978251pt" strokecolor="#000000">
              <v:stroke dashstyle="solid"/>
            </v:line>
            <v:line style="position:absolute" from="6730,116" to="6730,229" stroked="true" strokeweight=".978251pt" strokecolor="#000000">
              <v:stroke dashstyle="solid"/>
            </v:line>
            <v:line style="position:absolute" from="7122,116" to="7122,229" stroked="true" strokeweight=".978251pt" strokecolor="#000000">
              <v:stroke dashstyle="solid"/>
            </v:line>
            <v:line style="position:absolute" from="7517,116" to="7517,229" stroked="true" strokeweight=".978251pt" strokecolor="#000000">
              <v:stroke dashstyle="solid"/>
            </v:line>
            <v:line style="position:absolute" from="7912,116" to="7912,229" stroked="true" strokeweight=".978251pt" strokecolor="#000000">
              <v:stroke dashstyle="solid"/>
            </v:line>
            <v:line style="position:absolute" from="8303,116" to="8303,229" stroked="true" strokeweight=".978251pt" strokecolor="#000000">
              <v:stroke dashstyle="solid"/>
            </v:line>
            <v:line style="position:absolute" from="8699,116" to="8699,229" stroked="true" strokeweight=".978251pt" strokecolor="#000000">
              <v:stroke dashstyle="solid"/>
            </v:line>
            <v:line style="position:absolute" from="9090,116" to="9090,229" stroked="true" strokeweight=".978251pt" strokecolor="#000000">
              <v:stroke dashstyle="solid"/>
            </v:line>
            <v:line style="position:absolute" from="9485,116" to="9485,229" stroked="true" strokeweight=".978251pt" strokecolor="#000000">
              <v:stroke dashstyle="solid"/>
            </v:line>
            <v:line style="position:absolute" from="9876,116" to="9876,229" stroked="true" strokeweight=".978251pt" strokecolor="#000000">
              <v:stroke dashstyle="solid"/>
            </v:line>
            <v:line style="position:absolute" from="2809,3747" to="2950,3747" stroked="true" strokeweight=".978261pt" strokecolor="#000000">
              <v:stroke dashstyle="solid"/>
            </v:line>
            <v:line style="position:absolute" from="2809,3465" to="2950,3465" stroked="true" strokeweight=".978261pt" strokecolor="#000000">
              <v:stroke dashstyle="solid"/>
            </v:line>
            <v:line style="position:absolute" from="2809,3188" to="2950,3188" stroked="true" strokeweight=".978261pt" strokecolor="#000000">
              <v:stroke dashstyle="solid"/>
            </v:line>
            <v:line style="position:absolute" from="2809,2910" to="2950,2910" stroked="true" strokeweight=".978261pt" strokecolor="#000000">
              <v:stroke dashstyle="solid"/>
            </v:line>
            <v:line style="position:absolute" from="2809,2628" to="2950,2628" stroked="true" strokeweight=".978261pt" strokecolor="#000000">
              <v:stroke dashstyle="solid"/>
            </v:line>
            <v:line style="position:absolute" from="2809,2350" to="2950,2350" stroked="true" strokeweight=".978261pt" strokecolor="#000000">
              <v:stroke dashstyle="solid"/>
            </v:line>
            <v:line style="position:absolute" from="2809,2072" to="2950,2072" stroked="true" strokeweight=".978261pt" strokecolor="#000000">
              <v:stroke dashstyle="solid"/>
            </v:line>
            <v:line style="position:absolute" from="2809,1791" to="2950,1791" stroked="true" strokeweight=".978261pt" strokecolor="#000000">
              <v:stroke dashstyle="solid"/>
            </v:line>
            <v:line style="position:absolute" from="2809,1513" to="2950,1513" stroked="true" strokeweight=".978261pt" strokecolor="#000000">
              <v:stroke dashstyle="solid"/>
            </v:line>
            <v:line style="position:absolute" from="2809,1231" to="2950,1231" stroked="true" strokeweight=".978261pt" strokecolor="#000000">
              <v:stroke dashstyle="solid"/>
            </v:line>
            <v:line style="position:absolute" from="2809,953" to="2950,953" stroked="true" strokeweight=".978261pt" strokecolor="#000000">
              <v:stroke dashstyle="solid"/>
            </v:line>
            <v:line style="position:absolute" from="2809,675" to="2950,675" stroked="true" strokeweight=".978261pt" strokecolor="#000000">
              <v:stroke dashstyle="solid"/>
            </v:line>
            <v:line style="position:absolute" from="2809,394" to="2950,394" stroked="true" strokeweight=".978261pt" strokecolor="#000000">
              <v:stroke dashstyle="solid"/>
            </v:line>
            <v:line style="position:absolute" from="10005,4025" to="9861,4025" stroked="true" strokeweight=".978261pt" strokecolor="#000000">
              <v:stroke dashstyle="solid"/>
            </v:line>
            <v:line style="position:absolute" from="10005,3751" to="9861,3751" stroked="true" strokeweight=".978261pt" strokecolor="#000000">
              <v:stroke dashstyle="solid"/>
            </v:line>
            <v:line style="position:absolute" from="10005,3477" to="9861,3477" stroked="true" strokeweight=".978261pt" strokecolor="#000000">
              <v:stroke dashstyle="solid"/>
            </v:line>
            <v:line style="position:absolute" from="10005,3199" to="9861,3199" stroked="true" strokeweight=".978261pt" strokecolor="#000000">
              <v:stroke dashstyle="solid"/>
            </v:line>
            <v:line style="position:absolute" from="10005,2925" to="9861,2925" stroked="true" strokeweight=".978261pt" strokecolor="#000000">
              <v:stroke dashstyle="solid"/>
            </v:line>
            <v:line style="position:absolute" from="10005,2652" to="9861,2652" stroked="true" strokeweight=".978261pt" strokecolor="#000000">
              <v:stroke dashstyle="solid"/>
            </v:line>
            <v:line style="position:absolute" from="10005,2378" to="9861,2378" stroked="true" strokeweight=".978261pt" strokecolor="#000000">
              <v:stroke dashstyle="solid"/>
            </v:line>
            <v:line style="position:absolute" from="10005,2100" to="9861,2100" stroked="true" strokeweight=".978261pt" strokecolor="#000000">
              <v:stroke dashstyle="solid"/>
            </v:line>
            <v:line style="position:absolute" from="10005,1826" to="9861,1826" stroked="true" strokeweight=".978261pt" strokecolor="#000000">
              <v:stroke dashstyle="solid"/>
            </v:line>
            <v:line style="position:absolute" from="10005,1552" to="9861,1552" stroked="true" strokeweight=".978261pt" strokecolor="#000000">
              <v:stroke dashstyle="solid"/>
            </v:line>
            <v:line style="position:absolute" from="10005,1278" to="9861,1278" stroked="true" strokeweight=".978261pt" strokecolor="#000000">
              <v:stroke dashstyle="solid"/>
            </v:line>
            <v:line style="position:absolute" from="10005,1000" to="9861,1000" stroked="true" strokeweight=".978261pt" strokecolor="#000000">
              <v:stroke dashstyle="solid"/>
            </v:line>
            <v:line style="position:absolute" from="10005,726" to="9861,726" stroked="true" strokeweight=".978261pt" strokecolor="#000000">
              <v:stroke dashstyle="solid"/>
            </v:line>
            <v:line style="position:absolute" from="10005,452" to="9861,452" stroked="true" strokeweight=".978261pt" strokecolor="#000000">
              <v:stroke dashstyle="solid"/>
            </v:line>
            <v:line style="position:absolute" from="10005,179" to="9861,179" stroked="true" strokeweight=".978261pt" strokecolor="#000000">
              <v:stroke dashstyle="solid"/>
            </v:line>
            <v:shape style="position:absolute;left:4574;top:2878;width:79;height:63" coordorigin="4574,2879" coordsize="79,63" path="m4613,2941l4574,2910,4613,2879,4652,2910,4613,2941xe" filled="true" fillcolor="#ff0000" stroked="false">
              <v:path arrowok="t"/>
              <v:fill type="solid"/>
            </v:shape>
            <v:shape style="position:absolute;left:4574;top:2878;width:79;height:63" coordorigin="4574,2879" coordsize="79,63" path="m4613,2879l4652,2910,4613,2941,4574,2910,4613,2879xe" filled="false" stroked="true" strokeweight="1.173908pt" strokecolor="#ff0000">
              <v:path arrowok="t"/>
              <v:stroke dashstyle="solid"/>
            </v:shape>
            <v:shape style="position:absolute;left:4742;top:2565;width:79;height:59" coordorigin="4742,2565" coordsize="79,59" path="m4782,2624l4742,2593,4782,2565,4821,2593,4782,2624xe" filled="true" fillcolor="#ff0000" stroked="false">
              <v:path arrowok="t"/>
              <v:fill type="solid"/>
            </v:shape>
            <v:shape style="position:absolute;left:4742;top:2565;width:79;height:59" coordorigin="4742,2565" coordsize="79,59" path="m4782,2565l4821,2593,4782,2624,4742,2593,4782,2565xe" filled="false" stroked="true" strokeweight="1.173909pt" strokecolor="#ff0000">
              <v:path arrowok="t"/>
              <v:stroke dashstyle="solid"/>
            </v:shape>
            <v:shape style="position:absolute;left:4730;top:2631;width:79;height:63" coordorigin="4731,2632" coordsize="79,63" path="m4770,2695l4731,2663,4770,2632,4809,2663,4770,2695xe" filled="true" fillcolor="#ff0000" stroked="false">
              <v:path arrowok="t"/>
              <v:fill type="solid"/>
            </v:shape>
            <v:shape style="position:absolute;left:4730;top:2631;width:79;height:63" coordorigin="4731,2632" coordsize="79,63" path="m4770,2632l4809,2663,4770,2695,4731,2663,4770,2632xe" filled="false" stroked="true" strokeweight="1.173908pt" strokecolor="#ff0000">
              <v:path arrowok="t"/>
              <v:stroke dashstyle="solid"/>
            </v:shape>
            <v:shape style="position:absolute;left:4781;top:3085;width:79;height:63" coordorigin="4782,3086" coordsize="79,63" path="m4821,3149l4782,3117,4821,3086,4860,3117,4821,3149xe" filled="true" fillcolor="#ff0000" stroked="false">
              <v:path arrowok="t"/>
              <v:fill type="solid"/>
            </v:shape>
            <v:shape style="position:absolute;left:4781;top:3085;width:79;height:63" coordorigin="4782,3086" coordsize="79,63" path="m4821,3086l4860,3117,4821,3149,4782,3117,4821,3086xe" filled="false" stroked="true" strokeweight="1.173908pt" strokecolor="#ff0000">
              <v:path arrowok="t"/>
              <v:stroke dashstyle="solid"/>
            </v:shape>
            <v:shape style="position:absolute;left:4582;top:3015;width:79;height:63" coordorigin="4582,3015" coordsize="79,63" path="m4621,3078l4582,3047,4621,3015,4660,3047,4621,3078xe" filled="true" fillcolor="#ff0000" stroked="false">
              <v:path arrowok="t"/>
              <v:fill type="solid"/>
            </v:shape>
            <v:shape style="position:absolute;left:4582;top:3015;width:79;height:63" coordorigin="4582,3015" coordsize="79,63" path="m4621,3015l4660,3047,4621,3078,4582,3047,4621,3015xe" filled="false" stroked="true" strokeweight="1.173908pt" strokecolor="#ff0000">
              <v:path arrowok="t"/>
              <v:stroke dashstyle="solid"/>
            </v:shape>
            <v:shape style="position:absolute;left:4785;top:2631;width:79;height:63" coordorigin="4786,2632" coordsize="79,63" path="m4825,2695l4786,2663,4825,2632,4864,2663,4825,2695xe" filled="true" fillcolor="#ff0000" stroked="false">
              <v:path arrowok="t"/>
              <v:fill type="solid"/>
            </v:shape>
            <v:shape style="position:absolute;left:4785;top:2631;width:79;height:63" coordorigin="4786,2632" coordsize="79,63" path="m4825,2632l4864,2663,4825,2695,4786,2663,4825,2632xe" filled="false" stroked="true" strokeweight="1.173908pt" strokecolor="#ff0000">
              <v:path arrowok="t"/>
              <v:stroke dashstyle="solid"/>
            </v:shape>
            <v:shape style="position:absolute;left:4805;top:2530;width:79;height:59" coordorigin="4805,2530" coordsize="79,59" path="m4844,2589l4805,2562,4844,2530,4883,2562,4844,2589xe" filled="true" fillcolor="#ff0000" stroked="false">
              <v:path arrowok="t"/>
              <v:fill type="solid"/>
            </v:shape>
            <v:shape style="position:absolute;left:4805;top:2530;width:79;height:59" coordorigin="4805,2530" coordsize="79,59" path="m4844,2530l4883,2562,4844,2589,4805,2562,4844,2530xe" filled="false" stroked="true" strokeweight="1.173909pt" strokecolor="#ff0000">
              <v:path arrowok="t"/>
              <v:stroke dashstyle="solid"/>
            </v:shape>
            <v:shape style="position:absolute;left:3940;top:3645;width:79;height:63" coordorigin="3940,3645" coordsize="79,63" path="m3979,3708l3940,3677,3979,3645,4019,3677,3979,3708xe" filled="true" fillcolor="#ff0000" stroked="false">
              <v:path arrowok="t"/>
              <v:fill type="solid"/>
            </v:shape>
            <v:shape style="position:absolute;left:3940;top:3645;width:79;height:63" coordorigin="3940,3645" coordsize="79,63" path="m3979,3645l4019,3677,3979,3708,3940,3677,3979,3645xe" filled="false" stroked="true" strokeweight="1.173908pt" strokecolor="#ff0000">
              <v:path arrowok="t"/>
              <v:stroke dashstyle="solid"/>
            </v:shape>
            <v:shape style="position:absolute;left:4421;top:2984;width:79;height:59" coordorigin="4422,2984" coordsize="79,59" path="m4461,3043l4422,3012,4461,2984,4500,3012,4461,3043xe" filled="true" fillcolor="#ff0000" stroked="false">
              <v:path arrowok="t"/>
              <v:fill type="solid"/>
            </v:shape>
            <v:shape style="position:absolute;left:4421;top:2984;width:79;height:59" coordorigin="4422,2984" coordsize="79,59" path="m4461,2984l4500,3012,4461,3043,4422,3012,4461,2984xe" filled="false" stroked="true" strokeweight="1.173909pt" strokecolor="#ff0000">
              <v:path arrowok="t"/>
              <v:stroke dashstyle="solid"/>
            </v:shape>
            <v:shape style="position:absolute;left:4272;top:3191;width:79;height:63" coordorigin="4273,3192" coordsize="79,63" path="m4312,3254l4273,3223,4312,3192,4351,3223,4312,3254xe" filled="true" fillcolor="#ff0000" stroked="false">
              <v:path arrowok="t"/>
              <v:fill type="solid"/>
            </v:shape>
            <v:shape style="position:absolute;left:4272;top:3191;width:79;height:63" coordorigin="4273,3192" coordsize="79,63" path="m4312,3192l4351,3223,4312,3254,4273,3223,4312,3192xe" filled="false" stroked="true" strokeweight="1.173908pt" strokecolor="#ff0000">
              <v:path arrowok="t"/>
              <v:stroke dashstyle="solid"/>
            </v:shape>
            <v:shape style="position:absolute;left:3940;top:3504;width:79;height:63" coordorigin="3940,3505" coordsize="79,63" path="m3979,3567l3940,3536,3979,3505,4019,3536,3979,3567xe" filled="true" fillcolor="#ff0000" stroked="false">
              <v:path arrowok="t"/>
              <v:fill type="solid"/>
            </v:shape>
            <v:shape style="position:absolute;left:3940;top:3504;width:79;height:63" coordorigin="3940,3505" coordsize="79,63" path="m3979,3505l4019,3536,3979,3567,3940,3536,3979,3505xe" filled="false" stroked="true" strokeweight="1.173908pt" strokecolor="#ff0000">
              <v:path arrowok="t"/>
              <v:stroke dashstyle="solid"/>
            </v:shape>
            <v:shape style="position:absolute;left:3642;top:3575;width:79;height:63" coordorigin="3643,3575" coordsize="79,63" path="m3682,3638l3643,3606,3682,3575,3721,3606,3682,3638xe" filled="true" fillcolor="#ff0000" stroked="false">
              <v:path arrowok="t"/>
              <v:fill type="solid"/>
            </v:shape>
            <v:shape style="position:absolute;left:3642;top:3575;width:79;height:63" coordorigin="3643,3575" coordsize="79,63" path="m3682,3575l3721,3606,3682,3638,3643,3606,3682,3575xe" filled="false" stroked="true" strokeweight="1.173908pt" strokecolor="#ff0000">
              <v:path arrowok="t"/>
              <v:stroke dashstyle="solid"/>
            </v:shape>
            <v:shape style="position:absolute;left:2981;top:3888;width:79;height:63" coordorigin="2982,3888" coordsize="79,63" path="m3021,3951l2982,3919,3021,3888,3060,3919,3021,3951xe" filled="true" fillcolor="#ff0000" stroked="false">
              <v:path arrowok="t"/>
              <v:fill type="solid"/>
            </v:shape>
            <v:shape style="position:absolute;left:2981;top:3888;width:79;height:63" coordorigin="2982,3888" coordsize="79,63" path="m3021,3888l3060,3919,3021,3951,2982,3919,3021,3888xe" filled="false" stroked="true" strokeweight="1.173908pt" strokecolor="#ff0000">
              <v:path arrowok="t"/>
              <v:stroke dashstyle="solid"/>
            </v:shape>
            <v:shape style="position:absolute;left:3216;top:3786;width:79;height:63" coordorigin="3216,3786" coordsize="79,63" path="m3256,3849l3216,3818,3256,3786,3295,3818,3256,3849xe" filled="true" fillcolor="#ff0000" stroked="false">
              <v:path arrowok="t"/>
              <v:fill type="solid"/>
            </v:shape>
            <v:shape style="position:absolute;left:3216;top:3786;width:79;height:63" coordorigin="3216,3786" coordsize="79,63" path="m3256,3786l3295,3818,3256,3849,3216,3818,3256,3786xe" filled="false" stroked="true" strokeweight="1.173908pt" strokecolor="#ff0000">
              <v:path arrowok="t"/>
              <v:stroke dashstyle="solid"/>
            </v:shape>
            <v:shape style="position:absolute;left:3228;top:3888;width:79;height:63" coordorigin="3228,3888" coordsize="79,63" path="m3267,3951l3228,3919,3267,3888,3306,3919,3267,3951xe" filled="true" fillcolor="#ff0000" stroked="false">
              <v:path arrowok="t"/>
              <v:fill type="solid"/>
            </v:shape>
            <v:shape style="position:absolute;left:3228;top:3888;width:79;height:63" coordorigin="3228,3888" coordsize="79,63" path="m3267,3888l3306,3919,3267,3951,3228,3919,3267,3888xe" filled="false" stroked="true" strokeweight="1.173908pt" strokecolor="#ff0000">
              <v:path arrowok="t"/>
              <v:stroke dashstyle="solid"/>
            </v:shape>
            <v:shape style="position:absolute;left:3298;top:3786;width:79;height:63" coordorigin="3299,3786" coordsize="79,63" path="m3338,3849l3299,3818,3338,3786,3377,3818,3338,3849xe" filled="true" fillcolor="#ff0000" stroked="false">
              <v:path arrowok="t"/>
              <v:fill type="solid"/>
            </v:shape>
            <v:shape style="position:absolute;left:3298;top:3786;width:79;height:63" coordorigin="3299,3786" coordsize="79,63" path="m3338,3786l3377,3818,3338,3849,3299,3818,3338,3786xe" filled="false" stroked="true" strokeweight="1.173908pt" strokecolor="#ff0000">
              <v:path arrowok="t"/>
              <v:stroke dashstyle="solid"/>
            </v:shape>
            <v:shape style="position:absolute;left:7508;top:503;width:79;height:63" coordorigin="7509,503" coordsize="79,63" path="m7548,566l7509,535,7548,503,7587,535,7548,566xe" filled="true" fillcolor="#ff0000" stroked="false">
              <v:path arrowok="t"/>
              <v:fill type="solid"/>
            </v:shape>
            <v:shape style="position:absolute;left:7508;top:503;width:79;height:63" coordorigin="7509,503" coordsize="79,63" path="m7548,503l7587,535,7548,566,7509,535,7548,503xe" filled="false" stroked="true" strokeweight="1.173908pt" strokecolor="#ff0000">
              <v:path arrowok="t"/>
              <v:stroke dashstyle="solid"/>
            </v:shape>
            <v:shape style="position:absolute;left:7168;top:921;width:79;height:63" coordorigin="7169,922" coordsize="79,63" path="m7208,985l7169,953,7208,922,7247,953,7208,985xe" filled="true" fillcolor="#ff0000" stroked="false">
              <v:path arrowok="t"/>
              <v:fill type="solid"/>
            </v:shape>
            <v:shape style="position:absolute;left:7168;top:921;width:79;height:63" coordorigin="7169,922" coordsize="79,63" path="m7208,922l7247,953,7208,985,7169,953,7208,922xe" filled="false" stroked="true" strokeweight="1.173908pt" strokecolor="#ff0000">
              <v:path arrowok="t"/>
              <v:stroke dashstyle="solid"/>
            </v:shape>
            <v:shape style="position:absolute;left:6624;top:1411;width:79;height:63" coordorigin="6625,1411" coordsize="79,63" path="m6664,1474l6625,1442,6664,1411,6703,1442,6664,1474xe" filled="true" fillcolor="#ff0000" stroked="false">
              <v:path arrowok="t"/>
              <v:fill type="solid"/>
            </v:shape>
            <v:shape style="position:absolute;left:6624;top:1411;width:79;height:63" coordorigin="6625,1411" coordsize="79,63" path="m6664,1411l6703,1442,6664,1474,6625,1442,6664,1411xe" filled="false" stroked="true" strokeweight="1.173908pt" strokecolor="#ff0000">
              <v:path arrowok="t"/>
              <v:stroke dashstyle="solid"/>
            </v:shape>
            <v:shape style="position:absolute;left:6843;top:1305;width:79;height:63" coordorigin="6844,1305" coordsize="79,63" path="m6883,1368l6844,1337,6883,1305,6922,1337,6883,1368xe" filled="true" fillcolor="#ff0000" stroked="false">
              <v:path arrowok="t"/>
              <v:fill type="solid"/>
            </v:shape>
            <v:shape style="position:absolute;left:6843;top:1305;width:79;height:63" coordorigin="6844,1305" coordsize="79,63" path="m6883,1305l6922,1337,6883,1368,6844,1337,6883,1305xe" filled="false" stroked="true" strokeweight="1.173908pt" strokecolor="#ff0000">
              <v:path arrowok="t"/>
              <v:stroke dashstyle="solid"/>
            </v:shape>
            <v:shape style="position:absolute;left:6515;top:1829;width:79;height:63" coordorigin="6515,1830" coordsize="79,63" path="m6554,1892l6515,1861,6554,1830,6593,1861,6554,1892xe" filled="true" fillcolor="#ff0000" stroked="false">
              <v:path arrowok="t"/>
              <v:fill type="solid"/>
            </v:shape>
            <v:shape style="position:absolute;left:6515;top:1829;width:79;height:63" coordorigin="6515,1830" coordsize="79,63" path="m6554,1830l6593,1861,6554,1892,6515,1861,6554,1830xe" filled="false" stroked="true" strokeweight="1.173908pt" strokecolor="#ff0000">
              <v:path arrowok="t"/>
              <v:stroke dashstyle="solid"/>
            </v:shape>
            <v:shape style="position:absolute;left:7058;top:1098;width:79;height:63" coordorigin="7059,1098" coordsize="79,63" path="m7098,1161l7059,1129,7098,1098,7137,1129,7098,1161xe" filled="true" fillcolor="#ff0000" stroked="false">
              <v:path arrowok="t"/>
              <v:fill type="solid"/>
            </v:shape>
            <v:shape style="position:absolute;left:7058;top:1098;width:79;height:63" coordorigin="7059,1098" coordsize="79,63" path="m7098,1098l7137,1129,7098,1161,7059,1129,7098,1098xe" filled="false" stroked="true" strokeweight="1.173908pt" strokecolor="#ff0000">
              <v:path arrowok="t"/>
              <v:stroke dashstyle="solid"/>
            </v:shape>
            <v:shape style="position:absolute;left:5932;top:1970;width:79;height:63" coordorigin="5932,1971" coordsize="79,63" path="m5971,2033l5932,2002,5971,1971,6010,2002,5971,2033xe" filled="true" fillcolor="#ff0000" stroked="false">
              <v:path arrowok="t"/>
              <v:fill type="solid"/>
            </v:shape>
            <v:shape style="position:absolute;left:5932;top:1970;width:79;height:63" coordorigin="5932,1971" coordsize="79,63" path="m5971,1971l6010,2002,5971,2033,5932,2002,5971,1971xe" filled="false" stroked="true" strokeweight="1.173908pt" strokecolor="#ff0000">
              <v:path arrowok="t"/>
              <v:stroke dashstyle="solid"/>
            </v:shape>
            <v:shape style="position:absolute;left:7172;top:781;width:79;height:63" coordorigin="7172,781" coordsize="79,63" path="m7212,844l7172,812,7212,781,7251,812,7212,844xe" filled="true" fillcolor="#ff0000" stroked="false">
              <v:path arrowok="t"/>
              <v:fill type="solid"/>
            </v:shape>
            <v:shape style="position:absolute;left:7172;top:781;width:79;height:63" coordorigin="7172,781" coordsize="79,63" path="m7212,781l7251,812,7212,844,7172,812,7212,781xe" filled="false" stroked="true" strokeweight="1.173908pt" strokecolor="#ff0000">
              <v:path arrowok="t"/>
              <v:stroke dashstyle="solid"/>
            </v:shape>
            <v:shape style="position:absolute;left:7285;top:921;width:79;height:63" coordorigin="7286,922" coordsize="79,63" path="m7325,985l7286,953,7325,922,7364,953,7325,985xe" filled="true" fillcolor="#ff0000" stroked="false">
              <v:path arrowok="t"/>
              <v:fill type="solid"/>
            </v:shape>
            <v:shape style="position:absolute;left:7285;top:921;width:79;height:63" coordorigin="7286,922" coordsize="79,63" path="m7325,922l7364,953,7325,985,7286,953,7325,922xe" filled="false" stroked="true" strokeweight="1.173908pt" strokecolor="#ff0000">
              <v:path arrowok="t"/>
              <v:stroke dashstyle="solid"/>
            </v:shape>
            <v:shape style="position:absolute;left:6628;top:1865;width:79;height:63" coordorigin="6629,1865" coordsize="79,63" path="m6668,1928l6629,1896,6668,1865,6707,1896,6668,1928xe" filled="true" fillcolor="#ff0000" stroked="false">
              <v:path arrowok="t"/>
              <v:fill type="solid"/>
            </v:shape>
            <v:shape style="position:absolute;left:6628;top:1865;width:79;height:63" coordorigin="6629,1865" coordsize="79,63" path="m6668,1865l6707,1896,6668,1928,6629,1896,6668,1865xe" filled="false" stroked="true" strokeweight="1.173908pt" strokecolor="#ff0000">
              <v:path arrowok="t"/>
              <v:stroke dashstyle="solid"/>
            </v:shape>
            <v:shape style="position:absolute;left:4855;top:2772;width:79;height:63" coordorigin="4856,2773" coordsize="79,63" path="m4895,2835l4856,2804,4895,2773,4934,2804,4895,2835xe" filled="true" fillcolor="#ff0000" stroked="false">
              <v:path arrowok="t"/>
              <v:fill type="solid"/>
            </v:shape>
            <v:shape style="position:absolute;left:4855;top:2772;width:79;height:63" coordorigin="4856,2773" coordsize="79,63" path="m4895,2773l4934,2804,4895,2835,4856,2804,4895,2773xe" filled="false" stroked="true" strokeweight="1.173908pt" strokecolor="#ff0000">
              <v:path arrowok="t"/>
              <v:stroke dashstyle="solid"/>
            </v:shape>
            <v:shape style="position:absolute;left:4926;top:2737;width:79;height:63" coordorigin="4926,2738" coordsize="79,63" path="m4966,2800l4926,2769,4966,2738,5005,2769,4966,2800xe" filled="true" fillcolor="#ff0000" stroked="false">
              <v:path arrowok="t"/>
              <v:fill type="solid"/>
            </v:shape>
            <v:shape style="position:absolute;left:4926;top:2737;width:79;height:63" coordorigin="4926,2738" coordsize="79,63" path="m4966,2738l5005,2769,4966,2800,4926,2769,4966,2738xe" filled="false" stroked="true" strokeweight="1.173908pt" strokecolor="#ff0000">
              <v:path arrowok="t"/>
              <v:stroke dashstyle="solid"/>
            </v:shape>
            <v:shape style="position:absolute;left:5485;top:2099;width:216;height:153" type="#_x0000_t75" stroked="false">
              <v:imagedata r:id="rId149" o:title=""/>
            </v:shape>
            <v:shape style="position:absolute;left:6342;top:1587;width:79;height:59" coordorigin="6343,1587" coordsize="79,59" path="m6382,1646l6343,1619,6382,1587,6421,1619,6382,1646xe" filled="true" fillcolor="#ff0000" stroked="false">
              <v:path arrowok="t"/>
              <v:fill type="solid"/>
            </v:shape>
            <v:shape style="position:absolute;left:6342;top:1587;width:79;height:59" coordorigin="6343,1587" coordsize="79,59" path="m6382,1587l6421,1619,6382,1646,6343,1619,6382,1587xe" filled="false" stroked="true" strokeweight="1.173909pt" strokecolor="#ff0000">
              <v:path arrowok="t"/>
              <v:stroke dashstyle="solid"/>
            </v:shape>
            <v:shape style="position:absolute;left:6108;top:1900;width:79;height:63" coordorigin="6108,1900" coordsize="79,63" path="m6147,1963l6108,1932,6147,1900,6186,1932,6147,1963xe" filled="true" fillcolor="#ff0000" stroked="false">
              <v:path arrowok="t"/>
              <v:fill type="solid"/>
            </v:shape>
            <v:shape style="position:absolute;left:6108;top:1900;width:79;height:63" coordorigin="6108,1900" coordsize="79,63" path="m6147,1900l6186,1932,6147,1963,6108,1932,6147,1900xe" filled="false" stroked="true" strokeweight="1.173908pt" strokecolor="#ff0000">
              <v:path arrowok="t"/>
              <v:stroke dashstyle="solid"/>
            </v:shape>
            <v:shape style="position:absolute;left:5227;top:2495;width:79;height:59" coordorigin="5228,2495" coordsize="79,59" path="m5267,2554l5228,2526,5267,2495,5306,2526,5267,2554xe" filled="true" fillcolor="#ff0000" stroked="false">
              <v:path arrowok="t"/>
              <v:fill type="solid"/>
            </v:shape>
            <v:shape style="position:absolute;left:5227;top:2495;width:79;height:59" coordorigin="5228,2495" coordsize="79,59" path="m5267,2495l5306,2526,5267,2554,5228,2526,5267,2495xe" filled="false" stroked="true" strokeweight="1.173909pt" strokecolor="#ff0000">
              <v:path arrowok="t"/>
              <v:stroke dashstyle="solid"/>
            </v:shape>
            <v:shape style="position:absolute;left:5345;top:2248;width:79;height:63" coordorigin="5345,2249" coordsize="79,63" path="m5384,2311l5345,2280,5384,2249,5423,2280,5384,2311xe" filled="true" fillcolor="#ff0000" stroked="false">
              <v:path arrowok="t"/>
              <v:fill type="solid"/>
            </v:shape>
            <v:shape style="position:absolute;left:5345;top:2248;width:79;height:63" coordorigin="5345,2249" coordsize="79,63" path="m5384,2249l5423,2280,5384,2311,5345,2280,5384,2249xe" filled="false" stroked="true" strokeweight="1.173908pt" strokecolor="#ff0000">
              <v:path arrowok="t"/>
              <v:stroke dashstyle="solid"/>
            </v:shape>
            <v:shape style="position:absolute;left:5079;top:2459;width:79;height:63" coordorigin="5079,2460" coordsize="79,63" path="m5118,2522l5079,2491,5118,2460,5157,2491,5118,2522xe" filled="true" fillcolor="#ff0000" stroked="false">
              <v:path arrowok="t"/>
              <v:fill type="solid"/>
            </v:shape>
            <v:shape style="position:absolute;left:5079;top:2459;width:79;height:63" coordorigin="5079,2460" coordsize="79,63" path="m5118,2460l5157,2491,5118,2522,5079,2491,5118,2460xe" filled="false" stroked="true" strokeweight="1.173908pt" strokecolor="#ff0000">
              <v:path arrowok="t"/>
              <v:stroke dashstyle="solid"/>
            </v:shape>
            <v:shape style="position:absolute;left:6742;top:1610;width:79;height:63" coordorigin="6742,1611" coordsize="79,63" path="m6820,1673l6742,1673,6781,1611,6820,1673xe" filled="true" fillcolor="#0000ff" stroked="false">
              <v:path arrowok="t"/>
              <v:fill type="solid"/>
            </v:shape>
            <v:shape style="position:absolute;left:6742;top:1610;width:79;height:63" coordorigin="6742,1611" coordsize="79,63" path="m6781,1611l6820,1673,6742,1673,6781,1611xe" filled="false" stroked="true" strokeweight="1.173908pt" strokecolor="#0000ff">
              <v:path arrowok="t"/>
              <v:stroke dashstyle="solid"/>
            </v:shape>
            <v:shape style="position:absolute;left:6550;top:1751;width:75;height:59" coordorigin="6550,1752" coordsize="75,59" path="m6625,1810l6550,1810,6589,1752,6625,1810xe" filled="true" fillcolor="#0000ff" stroked="false">
              <v:path arrowok="t"/>
              <v:fill type="solid"/>
            </v:shape>
            <v:shape style="position:absolute;left:6550;top:1751;width:75;height:59" coordorigin="6550,1752" coordsize="75,59" path="m6589,1752l6625,1810,6550,1810,6589,1752xe" filled="false" stroked="true" strokeweight="1.173908pt" strokecolor="#0000ff">
              <v:path arrowok="t"/>
              <v:stroke dashstyle="solid"/>
            </v:shape>
            <v:shape style="position:absolute;left:6933;top:1508;width:75;height:59" coordorigin="6934,1509" coordsize="75,59" path="m7008,1568l6934,1568,6973,1509,7008,1568xe" filled="true" fillcolor="#0000ff" stroked="false">
              <v:path arrowok="t"/>
              <v:fill type="solid"/>
            </v:shape>
            <v:shape style="position:absolute;left:6933;top:1508;width:75;height:59" coordorigin="6934,1509" coordsize="75,59" path="m6973,1509l7008,1568,6934,1568,6973,1509xe" filled="false" stroked="true" strokeweight="1.173908pt" strokecolor="#0000ff">
              <v:path arrowok="t"/>
              <v:stroke dashstyle="solid"/>
            </v:shape>
            <v:shape style="position:absolute;left:7035;top:1438;width:75;height:59" coordorigin="7036,1438" coordsize="75,59" path="m7110,1497l7036,1497,7071,1438,7110,1497xe" filled="true" fillcolor="#0000ff" stroked="false">
              <v:path arrowok="t"/>
              <v:fill type="solid"/>
            </v:shape>
            <v:shape style="position:absolute;left:7035;top:1438;width:75;height:59" coordorigin="7036,1439" coordsize="75,59" path="m7071,1439l7110,1497,7036,1497,7071,1439xe" filled="false" stroked="true" strokeweight="1.173908pt" strokecolor="#0000ff">
              <v:path arrowok="t"/>
              <v:stroke dashstyle="solid"/>
            </v:shape>
            <v:shape style="position:absolute;left:7767;top:1125;width:75;height:59" coordorigin="7767,1125" coordsize="75,59" path="m7842,1184l7767,1184,7806,1125,7842,1184xe" filled="true" fillcolor="#0000ff" stroked="false">
              <v:path arrowok="t"/>
              <v:fill type="solid"/>
            </v:shape>
            <v:shape style="position:absolute;left:7767;top:1125;width:75;height:59" coordorigin="7767,1125" coordsize="75,59" path="m7806,1125l7842,1184,7767,1184,7806,1125xe" filled="false" stroked="true" strokeweight="1.173908pt" strokecolor="#0000ff">
              <v:path arrowok="t"/>
              <v:stroke dashstyle="solid"/>
            </v:shape>
            <v:shape style="position:absolute;left:7454;top:1403;width:79;height:59" coordorigin="7454,1403" coordsize="79,59" path="m7532,1462l7454,1462,7493,1403,7532,1462xe" filled="true" fillcolor="#0000ff" stroked="false">
              <v:path arrowok="t"/>
              <v:fill type="solid"/>
            </v:shape>
            <v:shape style="position:absolute;left:7454;top:1403;width:79;height:59" coordorigin="7454,1403" coordsize="79,59" path="m7493,1403l7532,1462,7454,1462,7493,1403xe" filled="false" stroked="true" strokeweight="1.173909pt" strokecolor="#0000ff">
              <v:path arrowok="t"/>
              <v:stroke dashstyle="solid"/>
            </v:shape>
            <v:shape style="position:absolute;left:6726;top:1610;width:79;height:63" coordorigin="6726,1611" coordsize="79,63" path="m6805,1673l6726,1673,6766,1611,6805,1673xe" filled="true" fillcolor="#0000ff" stroked="false">
              <v:path arrowok="t"/>
              <v:fill type="solid"/>
            </v:shape>
            <v:shape style="position:absolute;left:6726;top:1610;width:79;height:63" coordorigin="6726,1611" coordsize="79,63" path="m6766,1611l6805,1673,6726,1673,6766,1611xe" filled="false" stroked="true" strokeweight="1.173908pt" strokecolor="#0000ff">
              <v:path arrowok="t"/>
              <v:stroke dashstyle="solid"/>
            </v:shape>
            <v:shape style="position:absolute;left:6080;top:2029;width:75;height:63" coordorigin="6081,2029" coordsize="75,63" path="m6155,2092l6081,2092,6120,2029,6155,2092xe" filled="true" fillcolor="#0000ff" stroked="false">
              <v:path arrowok="t"/>
              <v:fill type="solid"/>
            </v:shape>
            <v:shape style="position:absolute;left:6080;top:2029;width:75;height:63" coordorigin="6081,2029" coordsize="75,63" path="m6120,2029l6155,2092,6081,2092,6120,2029xe" filled="false" stroked="true" strokeweight="1.173908pt" strokecolor="#0000ff">
              <v:path arrowok="t"/>
              <v:stroke dashstyle="solid"/>
            </v:shape>
            <v:shape style="position:absolute;left:6170;top:1927;width:75;height:59" coordorigin="6171,1928" coordsize="75,59" path="m6245,1986l6171,1986,6210,1928,6245,1986xe" filled="true" fillcolor="#0000ff" stroked="false">
              <v:path arrowok="t"/>
              <v:fill type="solid"/>
            </v:shape>
            <v:shape style="position:absolute;left:6170;top:1927;width:75;height:59" coordorigin="6171,1928" coordsize="75,59" path="m6210,1928l6245,1986,6171,1986,6210,1928xe" filled="false" stroked="true" strokeweight="1.173908pt" strokecolor="#0000ff">
              <v:path arrowok="t"/>
              <v:stroke dashstyle="solid"/>
            </v:shape>
            <v:shape style="position:absolute;left:6284;top:2659;width:75;height:59" coordorigin="6284,2659" coordsize="75,59" path="m6359,2718l6284,2718,6323,2659,6359,2718xe" filled="true" fillcolor="#0000ff" stroked="false">
              <v:path arrowok="t"/>
              <v:fill type="solid"/>
            </v:shape>
            <v:shape style="position:absolute;left:6284;top:2659;width:75;height:59" coordorigin="6284,2659" coordsize="75,59" path="m6323,2659l6359,2718,6284,2718,6323,2659xe" filled="false" stroked="true" strokeweight="1.173908pt" strokecolor="#0000ff">
              <v:path arrowok="t"/>
              <v:stroke dashstyle="solid"/>
            </v:shape>
            <v:shape style="position:absolute;left:5955;top:2682;width:208;height:118" type="#_x0000_t75" stroked="false">
              <v:imagedata r:id="rId150" o:title=""/>
            </v:shape>
            <v:shape style="position:absolute;left:5388;top:3007;width:75;height:59" coordorigin="5388,3008" coordsize="75,59" path="m5462,3066l5388,3066,5423,3008,5462,3066xe" filled="true" fillcolor="#0000ff" stroked="false">
              <v:path arrowok="t"/>
              <v:fill type="solid"/>
            </v:shape>
            <v:shape style="position:absolute;left:5388;top:3007;width:75;height:59" coordorigin="5388,3008" coordsize="75,59" path="m5423,3008l5462,3066,5388,3066,5423,3008xe" filled="false" stroked="true" strokeweight="1.173908pt" strokecolor="#0000ff">
              <v:path arrowok="t"/>
              <v:stroke dashstyle="solid"/>
            </v:shape>
            <v:shape style="position:absolute;left:5114;top:3148;width:79;height:59" coordorigin="5114,3148" coordsize="79,59" path="m5192,3207l5114,3207,5153,3148,5192,3207xe" filled="true" fillcolor="#0000ff" stroked="false">
              <v:path arrowok="t"/>
              <v:fill type="solid"/>
            </v:shape>
            <v:shape style="position:absolute;left:5114;top:3148;width:79;height:59" coordorigin="5114,3149" coordsize="79,59" path="m5153,3149l5192,3207,5114,3207,5153,3149xe" filled="false" stroked="true" strokeweight="1.173909pt" strokecolor="#0000ff">
              <v:path arrowok="t"/>
              <v:stroke dashstyle="solid"/>
            </v:shape>
            <v:shape style="position:absolute;left:4730;top:3496;width:75;height:59" coordorigin="4731,3497" coordsize="75,59" path="m4805,3555l4731,3555,4770,3497,4805,3555xe" filled="true" fillcolor="#0000ff" stroked="false">
              <v:path arrowok="t"/>
              <v:fill type="solid"/>
            </v:shape>
            <v:shape style="position:absolute;left:4730;top:3496;width:75;height:59" coordorigin="4731,3497" coordsize="75,59" path="m4770,3497l4805,3555,4731,3555,4770,3497xe" filled="false" stroked="true" strokeweight="1.173908pt" strokecolor="#0000ff">
              <v:path arrowok="t"/>
              <v:stroke dashstyle="solid"/>
            </v:shape>
            <v:shape style="position:absolute;left:4057;top:3531;width:75;height:59" coordorigin="4058,3532" coordsize="75,59" path="m4132,3591l4058,3591,4097,3532,4132,3591xe" filled="true" fillcolor="#0000ff" stroked="false">
              <v:path arrowok="t"/>
              <v:fill type="solid"/>
            </v:shape>
            <v:shape style="position:absolute;left:4057;top:3531;width:75;height:59" coordorigin="4058,3532" coordsize="75,59" path="m4097,3532l4132,3591,4058,3591,4097,3532xe" filled="false" stroked="true" strokeweight="1.173908pt" strokecolor="#0000ff">
              <v:path arrowok="t"/>
              <v:stroke dashstyle="solid"/>
            </v:shape>
            <v:shape style="position:absolute;left:3631;top:3880;width:75;height:59" coordorigin="3631,3880" coordsize="75,59" path="m3706,3939l3631,3939,3666,3880,3706,3939xe" filled="true" fillcolor="#0000ff" stroked="false">
              <v:path arrowok="t"/>
              <v:fill type="solid"/>
            </v:shape>
            <v:shape style="position:absolute;left:3631;top:3880;width:75;height:59" coordorigin="3631,3880" coordsize="75,59" path="m3666,3880l3706,3939,3631,3939,3666,3880xe" filled="false" stroked="true" strokeweight="1.173908pt" strokecolor="#0000ff">
              <v:path arrowok="t"/>
              <v:stroke dashstyle="solid"/>
            </v:shape>
            <v:shape style="position:absolute;left:3282;top:3915;width:75;height:63" coordorigin="3283,3915" coordsize="75,63" path="m3357,3978l3283,3978,3318,3915,3357,3978xe" filled="true" fillcolor="#0000ff" stroked="false">
              <v:path arrowok="t"/>
              <v:fill type="solid"/>
            </v:shape>
            <v:shape style="position:absolute;left:3282;top:3915;width:75;height:63" coordorigin="3283,3915" coordsize="75,63" path="m3318,3915l3357,3978,3283,3978,3318,3915xe" filled="false" stroked="true" strokeweight="1.173908pt" strokecolor="#0000ff">
              <v:path arrowok="t"/>
              <v:stroke dashstyle="solid"/>
            </v:shape>
            <v:shape style="position:absolute;left:7841;top:1297;width:79;height:59" coordorigin="7842,1298" coordsize="79,59" path="m7920,1356l7842,1356,7881,1298,7920,1356xe" filled="true" fillcolor="#0000ff" stroked="false">
              <v:path arrowok="t"/>
              <v:fill type="solid"/>
            </v:shape>
            <v:shape style="position:absolute;left:7841;top:1297;width:79;height:59" coordorigin="7842,1298" coordsize="79,59" path="m7881,1298l7920,1356,7842,1356,7881,1298xe" filled="false" stroked="true" strokeweight="1.173909pt" strokecolor="#0000ff">
              <v:path arrowok="t"/>
              <v:stroke dashstyle="solid"/>
            </v:shape>
            <v:shape style="position:absolute;left:8252;top:1019;width:79;height:59" coordorigin="8252,1020" coordsize="79,59" path="m8331,1079l8252,1079,8292,1020,8331,1079xe" filled="true" fillcolor="#0000ff" stroked="false">
              <v:path arrowok="t"/>
              <v:fill type="solid"/>
            </v:shape>
            <v:shape style="position:absolute;left:8252;top:1019;width:79;height:59" coordorigin="8252,1020" coordsize="79,59" path="m8292,1020l8331,1079,8252,1079,8292,1020xe" filled="false" stroked="true" strokeweight="1.173909pt" strokecolor="#0000ff">
              <v:path arrowok="t"/>
              <v:stroke dashstyle="solid"/>
            </v:shape>
            <v:shape style="position:absolute;left:8796;top:702;width:75;height:63" coordorigin="8796,703" coordsize="75,63" path="m8871,765l8796,765,8835,703,8871,765xe" filled="true" fillcolor="#0000ff" stroked="false">
              <v:path arrowok="t"/>
              <v:fill type="solid"/>
            </v:shape>
            <v:shape style="position:absolute;left:8796;top:702;width:75;height:63" coordorigin="8796,703" coordsize="75,63" path="m8835,703l8871,765,8796,765,8835,703xe" filled="false" stroked="true" strokeweight="1.173908pt" strokecolor="#0000ff">
              <v:path arrowok="t"/>
              <v:stroke dashstyle="solid"/>
            </v:shape>
            <v:shape style="position:absolute;left:9332;top:565;width:75;height:59" coordorigin="9332,566" coordsize="75,59" path="m9407,625l9332,625,9372,566,9407,625xe" filled="true" fillcolor="#0000ff" stroked="false">
              <v:path arrowok="t"/>
              <v:fill type="solid"/>
            </v:shape>
            <v:shape style="position:absolute;left:9332;top:565;width:75;height:59" coordorigin="9332,566" coordsize="75,59" path="m9372,566l9407,625,9332,625,9372,566xe" filled="false" stroked="true" strokeweight="1.173908pt" strokecolor="#0000ff">
              <v:path arrowok="t"/>
              <v:stroke dashstyle="solid"/>
            </v:shape>
            <v:shape style="position:absolute;left:7215;top:1857;width:79;height:59" coordorigin="7216,1857" coordsize="79,59" path="m7294,1916l7216,1916,7255,1857,7294,1916xe" filled="true" fillcolor="#0000ff" stroked="false">
              <v:path arrowok="t"/>
              <v:fill type="solid"/>
            </v:shape>
            <v:shape style="position:absolute;left:7215;top:1857;width:79;height:59" coordorigin="7216,1857" coordsize="79,59" path="m7255,1857l7294,1916,7216,1916,7255,1857xe" filled="false" stroked="true" strokeweight="1.173909pt" strokecolor="#0000ff">
              <v:path arrowok="t"/>
              <v:stroke dashstyle="solid"/>
            </v:shape>
            <v:shape style="position:absolute;left:6742;top:2170;width:79;height:59" coordorigin="6742,2170" coordsize="79,59" path="m6820,2229l6742,2229,6781,2170,6820,2229xe" filled="true" fillcolor="#0000ff" stroked="false">
              <v:path arrowok="t"/>
              <v:fill type="solid"/>
            </v:shape>
            <v:shape style="position:absolute;left:6742;top:2170;width:79;height:59" coordorigin="6742,2170" coordsize="79,59" path="m6781,2170l6820,2229,6742,2229,6781,2170xe" filled="false" stroked="true" strokeweight="1.173909pt" strokecolor="#0000ff">
              <v:path arrowok="t"/>
              <v:stroke dashstyle="solid"/>
            </v:shape>
            <v:shape style="position:absolute;left:6710;top:2170;width:79;height:59" coordorigin="6711,2170" coordsize="79,59" path="m6789,2229l6711,2229,6750,2170,6789,2229xe" filled="true" fillcolor="#0000ff" stroked="false">
              <v:path arrowok="t"/>
              <v:fill type="solid"/>
            </v:shape>
            <v:shape style="position:absolute;left:6710;top:2170;width:79;height:59" coordorigin="6711,2170" coordsize="79,59" path="m6750,2170l6789,2229,6711,2229,6750,2170xe" filled="false" stroked="true" strokeweight="1.173909pt" strokecolor="#0000ff">
              <v:path arrowok="t"/>
              <v:stroke dashstyle="solid"/>
            </v:shape>
            <v:shape style="position:absolute;left:7098;top:1751;width:79;height:59" coordorigin="7098,1752" coordsize="79,59" path="m7176,1810l7098,1810,7137,1752,7176,1810xe" filled="true" fillcolor="#0000ff" stroked="false">
              <v:path arrowok="t"/>
              <v:fill type="solid"/>
            </v:shape>
            <v:shape style="position:absolute;left:7098;top:1751;width:79;height:59" coordorigin="7098,1752" coordsize="79,59" path="m7137,1752l7176,1810,7098,1810,7137,1752xe" filled="false" stroked="true" strokeweight="1.173909pt" strokecolor="#0000ff">
              <v:path arrowok="t"/>
              <v:stroke dashstyle="solid"/>
            </v:shape>
            <v:shape style="position:absolute;left:7825;top:1403;width:79;height:59" coordorigin="7826,1403" coordsize="79,59" path="m7904,1462l7826,1462,7865,1403,7904,1462xe" filled="true" fillcolor="#0000ff" stroked="false">
              <v:path arrowok="t"/>
              <v:fill type="solid"/>
            </v:shape>
            <v:shape style="position:absolute;left:7825;top:1403;width:79;height:59" coordorigin="7826,1403" coordsize="79,59" path="m7865,1403l7904,1462,7826,1462,7865,1403xe" filled="false" stroked="true" strokeweight="1.173909pt" strokecolor="#0000ff">
              <v:path arrowok="t"/>
              <v:stroke dashstyle="solid"/>
            </v:shape>
            <v:line style="position:absolute" from="2827,3796" to="2827,3808" stroked="true" strokeweight=".19565pt" strokecolor="#666699">
              <v:stroke dashstyle="solid"/>
            </v:line>
            <v:line style="position:absolute" from="2829,3802" to="2849,3794" stroked="true" strokeweight=".586956pt" strokecolor="#666699">
              <v:stroke dashstyle="solid"/>
            </v:line>
            <v:line style="position:absolute" from="2849,3794" to="2868,3786" stroked="true" strokeweight=".586956pt" strokecolor="#666699">
              <v:stroke dashstyle="solid"/>
            </v:line>
            <v:line style="position:absolute" from="2868,3786" to="2888,3779" stroked="true" strokeweight=".586956pt" strokecolor="#666699">
              <v:stroke dashstyle="solid"/>
            </v:line>
            <v:line style="position:absolute" from="2888,3779" to="2907,3771" stroked="true" strokeweight=".586956pt" strokecolor="#666699">
              <v:stroke dashstyle="solid"/>
            </v:line>
            <v:line style="position:absolute" from="2907,3771" to="2927,3763" stroked="true" strokeweight=".586956pt" strokecolor="#666699">
              <v:stroke dashstyle="solid"/>
            </v:line>
            <v:line style="position:absolute" from="2927,3763" to="2950,3755" stroked="true" strokeweight=".586956pt" strokecolor="#666699">
              <v:stroke dashstyle="solid"/>
            </v:line>
            <v:line style="position:absolute" from="2950,3755" to="2970,3751" stroked="true" strokeweight=".586956pt" strokecolor="#666699">
              <v:stroke dashstyle="solid"/>
            </v:line>
            <v:line style="position:absolute" from="2970,3751" to="2989,3743" stroked="true" strokeweight=".586956pt" strokecolor="#666699">
              <v:stroke dashstyle="solid"/>
            </v:line>
            <v:line style="position:absolute" from="2989,3743" to="3009,3735" stroked="true" strokeweight=".586956pt" strokecolor="#666699">
              <v:stroke dashstyle="solid"/>
            </v:line>
            <v:line style="position:absolute" from="3009,3735" to="3029,3728" stroked="true" strokeweight=".586956pt" strokecolor="#666699">
              <v:stroke dashstyle="solid"/>
            </v:line>
            <v:line style="position:absolute" from="3029,3728" to="3048,3720" stroked="true" strokeweight=".586956pt" strokecolor="#666699">
              <v:stroke dashstyle="solid"/>
            </v:line>
            <v:line style="position:absolute" from="3048,3720" to="3068,3712" stroked="true" strokeweight=".586956pt" strokecolor="#666699">
              <v:stroke dashstyle="solid"/>
            </v:line>
            <v:line style="position:absolute" from="3068,3712" to="3087,3704" stroked="true" strokeweight=".586956pt" strokecolor="#666699">
              <v:stroke dashstyle="solid"/>
            </v:line>
            <v:line style="position:absolute" from="3087,3704" to="3107,3696" stroked="true" strokeweight=".586956pt" strokecolor="#666699">
              <v:stroke dashstyle="solid"/>
            </v:line>
            <v:line style="position:absolute" from="3107,3696" to="3126,3689" stroked="true" strokeweight=".586956pt" strokecolor="#666699">
              <v:stroke dashstyle="solid"/>
            </v:line>
            <v:line style="position:absolute" from="3126,3689" to="3146,3681" stroked="true" strokeweight=".586956pt" strokecolor="#666699">
              <v:stroke dashstyle="solid"/>
            </v:line>
            <v:line style="position:absolute" from="3146,3681" to="3169,3673" stroked="true" strokeweight=".586956pt" strokecolor="#666699">
              <v:stroke dashstyle="solid"/>
            </v:line>
            <v:line style="position:absolute" from="3169,3673" to="3189,3665" stroked="true" strokeweight=".586956pt" strokecolor="#666699">
              <v:stroke dashstyle="solid"/>
            </v:line>
            <v:line style="position:absolute" from="3189,3665" to="3209,3657" stroked="true" strokeweight=".586956pt" strokecolor="#666699">
              <v:stroke dashstyle="solid"/>
            </v:line>
            <v:line style="position:absolute" from="3209,3657" to="3228,3645" stroked="true" strokeweight=".586955pt" strokecolor="#666699">
              <v:stroke dashstyle="solid"/>
            </v:line>
            <v:line style="position:absolute" from="3228,3645" to="3240,3642" stroked="true" strokeweight=".586956pt" strokecolor="#666699">
              <v:stroke dashstyle="solid"/>
            </v:line>
            <v:shape style="position:absolute;left:3380;top:3396;width:425;height:192" type="#_x0000_t75" stroked="false">
              <v:imagedata r:id="rId151" o:title=""/>
            </v:shape>
            <v:line style="position:absolute" from="3940,3336" to="3948,3332" stroked="true" strokeweight=".586955pt" strokecolor="#666699">
              <v:stroke dashstyle="solid"/>
            </v:line>
            <v:line style="position:absolute" from="3948,3332" to="3968,3325" stroked="true" strokeweight=".586956pt" strokecolor="#666699">
              <v:stroke dashstyle="solid"/>
            </v:line>
            <v:line style="position:absolute" from="3968,3325" to="3987,3313" stroked="true" strokeweight=".586955pt" strokecolor="#666699">
              <v:stroke dashstyle="solid"/>
            </v:line>
            <v:line style="position:absolute" from="3987,3313" to="4007,3305" stroked="true" strokeweight=".586956pt" strokecolor="#666699">
              <v:stroke dashstyle="solid"/>
            </v:line>
            <v:line style="position:absolute" from="4007,3305" to="4026,3297" stroked="true" strokeweight=".586956pt" strokecolor="#666699">
              <v:stroke dashstyle="solid"/>
            </v:line>
            <v:line style="position:absolute" from="4026,3297" to="4046,3285" stroked="true" strokeweight=".586955pt" strokecolor="#666699">
              <v:stroke dashstyle="solid"/>
            </v:line>
            <v:line style="position:absolute" from="4046,3285" to="4066,3278" stroked="true" strokeweight=".586956pt" strokecolor="#666699">
              <v:stroke dashstyle="solid"/>
            </v:line>
            <v:line style="position:absolute" from="4066,3278" to="4089,3266" stroked="true" strokeweight=".586955pt" strokecolor="#666699">
              <v:stroke dashstyle="solid"/>
            </v:line>
            <v:line style="position:absolute" from="4089,3266" to="4109,3258" stroked="true" strokeweight=".586956pt" strokecolor="#666699">
              <v:stroke dashstyle="solid"/>
            </v:line>
            <v:line style="position:absolute" from="4109,3258" to="4128,3246" stroked="true" strokeweight=".586955pt" strokecolor="#666699">
              <v:stroke dashstyle="solid"/>
            </v:line>
            <v:line style="position:absolute" from="4128,3246" to="4148,3239" stroked="true" strokeweight=".586956pt" strokecolor="#666699">
              <v:stroke dashstyle="solid"/>
            </v:line>
            <v:line style="position:absolute" from="4148,3239" to="4167,3231" stroked="true" strokeweight=".586956pt" strokecolor="#666699">
              <v:stroke dashstyle="solid"/>
            </v:line>
            <v:line style="position:absolute" from="4167,3231" to="4187,3219" stroked="true" strokeweight=".586955pt" strokecolor="#666699">
              <v:stroke dashstyle="solid"/>
            </v:line>
            <v:line style="position:absolute" from="4187,3219" to="4206,3211" stroked="true" strokeweight=".586956pt" strokecolor="#666699">
              <v:stroke dashstyle="solid"/>
            </v:line>
            <v:line style="position:absolute" from="4206,3211" to="4226,3199" stroked="true" strokeweight=".586955pt" strokecolor="#666699">
              <v:stroke dashstyle="solid"/>
            </v:line>
            <v:line style="position:absolute" from="4226,3199" to="4246,3192" stroked="true" strokeweight=".586956pt" strokecolor="#666699">
              <v:stroke dashstyle="solid"/>
            </v:line>
            <v:line style="position:absolute" from="4246,3192" to="4269,3180" stroked="true" strokeweight=".586955pt" strokecolor="#666699">
              <v:stroke dashstyle="solid"/>
            </v:line>
            <v:line style="position:absolute" from="4269,3180" to="4289,3172" stroked="true" strokeweight=".586956pt" strokecolor="#666699">
              <v:stroke dashstyle="solid"/>
            </v:line>
            <v:line style="position:absolute" from="4289,3172" to="4308,3160" stroked="true" strokeweight=".586955pt" strokecolor="#666699">
              <v:stroke dashstyle="solid"/>
            </v:line>
            <v:line style="position:absolute" from="4308,3160" to="4328,3152" stroked="true" strokeweight=".586956pt" strokecolor="#666699">
              <v:stroke dashstyle="solid"/>
            </v:line>
            <v:line style="position:absolute" from="4328,3152" to="4347,3141" stroked="true" strokeweight=".586955pt" strokecolor="#666699">
              <v:stroke dashstyle="solid"/>
            </v:line>
            <v:line style="position:absolute" from="4347,3141" to="4359,3137" stroked="true" strokeweight=".586956pt" strokecolor="#666699">
              <v:stroke dashstyle="solid"/>
            </v:line>
            <v:line style="position:absolute" from="4496,3066" to="4508,3062" stroked="true" strokeweight=".586956pt" strokecolor="#666699">
              <v:stroke dashstyle="solid"/>
            </v:line>
            <v:line style="position:absolute" from="4508,3062" to="4527,3051" stroked="true" strokeweight=".586955pt" strokecolor="#666699">
              <v:stroke dashstyle="solid"/>
            </v:line>
            <v:line style="position:absolute" from="4527,3051" to="4547,3039" stroked="true" strokeweight=".586955pt" strokecolor="#666699">
              <v:stroke dashstyle="solid"/>
            </v:line>
            <v:line style="position:absolute" from="4547,3039" to="4566,3031" stroked="true" strokeweight=".586956pt" strokecolor="#666699">
              <v:stroke dashstyle="solid"/>
            </v:line>
            <v:line style="position:absolute" from="4566,3031" to="4586,3019" stroked="true" strokeweight=".586955pt" strokecolor="#666699">
              <v:stroke dashstyle="solid"/>
            </v:line>
            <v:line style="position:absolute" from="4586,3019" to="4606,3012" stroked="true" strokeweight=".586956pt" strokecolor="#666699">
              <v:stroke dashstyle="solid"/>
            </v:line>
            <v:line style="position:absolute" from="4606,3012" to="4625,3000" stroked="true" strokeweight=".586955pt" strokecolor="#666699">
              <v:stroke dashstyle="solid"/>
            </v:line>
            <v:line style="position:absolute" from="4625,3000" to="4649,2988" stroked="true" strokeweight=".586955pt" strokecolor="#666699">
              <v:stroke dashstyle="solid"/>
            </v:line>
            <v:line style="position:absolute" from="4649,2988" to="4668,2980" stroked="true" strokeweight=".586956pt" strokecolor="#666699">
              <v:stroke dashstyle="solid"/>
            </v:line>
            <v:line style="position:absolute" from="4668,2980" to="4688,2969" stroked="true" strokeweight=".586955pt" strokecolor="#666699">
              <v:stroke dashstyle="solid"/>
            </v:line>
            <v:line style="position:absolute" from="4688,2969" to="4707,2961" stroked="true" strokeweight=".586956pt" strokecolor="#666699">
              <v:stroke dashstyle="solid"/>
            </v:line>
            <v:line style="position:absolute" from="4707,2961" to="4727,2949" stroked="true" strokeweight=".586955pt" strokecolor="#666699">
              <v:stroke dashstyle="solid"/>
            </v:line>
            <v:line style="position:absolute" from="4727,2949" to="4746,2937" stroked="true" strokeweight=".586955pt" strokecolor="#666699">
              <v:stroke dashstyle="solid"/>
            </v:line>
            <v:line style="position:absolute" from="4746,2937" to="4766,2929" stroked="true" strokeweight=".586956pt" strokecolor="#666699">
              <v:stroke dashstyle="solid"/>
            </v:line>
            <v:line style="position:absolute" from="4766,2929" to="4786,2918" stroked="true" strokeweight=".586955pt" strokecolor="#666699">
              <v:stroke dashstyle="solid"/>
            </v:line>
            <v:line style="position:absolute" from="4786,2918" to="4805,2906" stroked="true" strokeweight=".586955pt" strokecolor="#666699">
              <v:stroke dashstyle="solid"/>
            </v:line>
            <v:line style="position:absolute" from="4805,2906" to="4829,2898" stroked="true" strokeweight=".586956pt" strokecolor="#666699">
              <v:stroke dashstyle="solid"/>
            </v:line>
            <v:line style="position:absolute" from="4829,2898" to="4848,2886" stroked="true" strokeweight=".586955pt" strokecolor="#666699">
              <v:stroke dashstyle="solid"/>
            </v:line>
            <v:line style="position:absolute" from="4848,2886" to="4868,2875" stroked="true" strokeweight=".586955pt" strokecolor="#666699">
              <v:stroke dashstyle="solid"/>
            </v:line>
            <v:line style="position:absolute" from="4868,2875" to="4887,2867" stroked="true" strokeweight=".586956pt" strokecolor="#666699">
              <v:stroke dashstyle="solid"/>
            </v:line>
            <v:line style="position:absolute" from="4887,2867" to="4907,2855" stroked="true" strokeweight=".586955pt" strokecolor="#666699">
              <v:stroke dashstyle="solid"/>
            </v:line>
            <v:line style="position:absolute" from="4907,2855" to="4915,2851" stroked="true" strokeweight=".586955pt" strokecolor="#666699">
              <v:stroke dashstyle="solid"/>
            </v:line>
            <v:shape style="position:absolute;left:5049;top:2540;width:431;height:243" type="#_x0000_t75" stroked="false">
              <v:imagedata r:id="rId152" o:title=""/>
            </v:shape>
            <v:shape style="position:absolute;left:5609;top:2223;width:431;height:251" type="#_x0000_t75" stroked="false">
              <v:imagedata r:id="rId153" o:title=""/>
            </v:shape>
            <v:line style="position:absolute" from="6171,2147" to="6186,2139" stroked="true" strokeweight=".586955pt" strokecolor="#666699">
              <v:stroke dashstyle="solid"/>
            </v:line>
            <v:line style="position:absolute" from="6186,2139" to="6206,2127" stroked="true" strokeweight=".586955pt" strokecolor="#666699">
              <v:stroke dashstyle="solid"/>
            </v:line>
            <v:line style="position:absolute" from="6206,2127" to="6226,2115" stroked="true" strokeweight=".586955pt" strokecolor="#666699">
              <v:stroke dashstyle="solid"/>
            </v:line>
            <v:line style="position:absolute" from="6226,2115" to="6245,2104" stroked="true" strokeweight=".586955pt" strokecolor="#666699">
              <v:stroke dashstyle="solid"/>
            </v:line>
            <v:line style="position:absolute" from="6245,2104" to="6265,2092" stroked="true" strokeweight=".586955pt" strokecolor="#666699">
              <v:stroke dashstyle="solid"/>
            </v:line>
            <v:line style="position:absolute" from="6265,2092" to="6284,2080" stroked="true" strokeweight=".586955pt" strokecolor="#666699">
              <v:stroke dashstyle="solid"/>
            </v:line>
            <v:line style="position:absolute" from="6284,2080" to="6308,2069" stroked="true" strokeweight=".586955pt" strokecolor="#666699">
              <v:stroke dashstyle="solid"/>
            </v:line>
            <v:line style="position:absolute" from="6308,2069" to="6327,2057" stroked="true" strokeweight=".586955pt" strokecolor="#666699">
              <v:stroke dashstyle="solid"/>
            </v:line>
            <v:line style="position:absolute" from="6327,2057" to="6347,2045" stroked="true" strokeweight=".586955pt" strokecolor="#666699">
              <v:stroke dashstyle="solid"/>
            </v:line>
            <v:line style="position:absolute" from="6347,2045" to="6366,2033" stroked="true" strokeweight=".586955pt" strokecolor="#666699">
              <v:stroke dashstyle="solid"/>
            </v:line>
            <v:line style="position:absolute" from="6366,2033" to="6386,2022" stroked="true" strokeweight=".586955pt" strokecolor="#666699">
              <v:stroke dashstyle="solid"/>
            </v:line>
            <v:line style="position:absolute" from="6386,2022" to="6406,2010" stroked="true" strokeweight=".586955pt" strokecolor="#666699">
              <v:stroke dashstyle="solid"/>
            </v:line>
            <v:line style="position:absolute" from="6406,2010" to="6425,1998" stroked="true" strokeweight=".586955pt" strokecolor="#666699">
              <v:stroke dashstyle="solid"/>
            </v:line>
            <v:line style="position:absolute" from="6425,1998" to="6445,1986" stroked="true" strokeweight=".586955pt" strokecolor="#666699">
              <v:stroke dashstyle="solid"/>
            </v:line>
            <v:line style="position:absolute" from="6445,1986" to="6464,1971" stroked="true" strokeweight=".586954pt" strokecolor="#666699">
              <v:stroke dashstyle="solid"/>
            </v:line>
            <v:line style="position:absolute" from="6464,1971" to="6488,1959" stroked="true" strokeweight=".586955pt" strokecolor="#666699">
              <v:stroke dashstyle="solid"/>
            </v:line>
            <v:line style="position:absolute" from="6488,1959" to="6507,1947" stroked="true" strokeweight=".586955pt" strokecolor="#666699">
              <v:stroke dashstyle="solid"/>
            </v:line>
            <v:line style="position:absolute" from="6507,1947" to="6527,1935" stroked="true" strokeweight=".586955pt" strokecolor="#666699">
              <v:stroke dashstyle="solid"/>
            </v:line>
            <v:line style="position:absolute" from="6527,1935" to="6546,1924" stroked="true" strokeweight=".586955pt" strokecolor="#666699">
              <v:stroke dashstyle="solid"/>
            </v:line>
            <v:line style="position:absolute" from="6546,1924" to="6566,1912" stroked="true" strokeweight=".586955pt" strokecolor="#666699">
              <v:stroke dashstyle="solid"/>
            </v:line>
            <v:line style="position:absolute" from="6566,1912" to="6586,1900" stroked="true" strokeweight=".586955pt" strokecolor="#666699">
              <v:stroke dashstyle="solid"/>
            </v:line>
            <v:line style="position:absolute" from="6586,1900" to="6589,1896" stroked="true" strokeweight=".586953pt" strokecolor="#666699">
              <v:stroke dashstyle="solid"/>
            </v:line>
            <v:line style="position:absolute" from="6730,1810" to="6746,1802" stroked="true" strokeweight=".586955pt" strokecolor="#666699">
              <v:stroke dashstyle="solid"/>
            </v:line>
            <v:line style="position:absolute" from="6746,1802" to="6766,1791" stroked="true" strokeweight=".586955pt" strokecolor="#666699">
              <v:stroke dashstyle="solid"/>
            </v:line>
            <v:line style="position:absolute" from="6766,1791" to="6785,1779" stroked="true" strokeweight=".586955pt" strokecolor="#666699">
              <v:stroke dashstyle="solid"/>
            </v:line>
            <v:line style="position:absolute" from="6785,1779" to="6805,1767" stroked="true" strokeweight=".586955pt" strokecolor="#666699">
              <v:stroke dashstyle="solid"/>
            </v:line>
            <v:line style="position:absolute" from="6805,1767" to="6824,1752" stroked="true" strokeweight=".586954pt" strokecolor="#666699">
              <v:stroke dashstyle="solid"/>
            </v:line>
            <v:line style="position:absolute" from="6824,1752" to="6844,1740" stroked="true" strokeweight=".586955pt" strokecolor="#666699">
              <v:stroke dashstyle="solid"/>
            </v:line>
            <v:line style="position:absolute" from="6844,1740" to="6867,1728" stroked="true" strokeweight=".586955pt" strokecolor="#666699">
              <v:stroke dashstyle="solid"/>
            </v:line>
            <v:line style="position:absolute" from="6867,1728" to="6887,1716" stroked="true" strokeweight=".586955pt" strokecolor="#666699">
              <v:stroke dashstyle="solid"/>
            </v:line>
            <v:line style="position:absolute" from="6887,1716" to="6906,1705" stroked="true" strokeweight=".586955pt" strokecolor="#666699">
              <v:stroke dashstyle="solid"/>
            </v:line>
            <v:line style="position:absolute" from="6906,1705" to="6926,1693" stroked="true" strokeweight=".586955pt" strokecolor="#666699">
              <v:stroke dashstyle="solid"/>
            </v:line>
            <v:line style="position:absolute" from="6926,1693" to="6946,1681" stroked="true" strokeweight=".586955pt" strokecolor="#666699">
              <v:stroke dashstyle="solid"/>
            </v:line>
            <v:line style="position:absolute" from="6946,1681" to="6965,1665" stroked="true" strokeweight=".586954pt" strokecolor="#666699">
              <v:stroke dashstyle="solid"/>
            </v:line>
            <v:line style="position:absolute" from="6965,1665" to="6985,1654" stroked="true" strokeweight=".586955pt" strokecolor="#666699">
              <v:stroke dashstyle="solid"/>
            </v:line>
            <v:line style="position:absolute" from="6985,1654" to="7004,1642" stroked="true" strokeweight=".586955pt" strokecolor="#666699">
              <v:stroke dashstyle="solid"/>
            </v:line>
            <v:line style="position:absolute" from="7004,1642" to="7024,1630" stroked="true" strokeweight=".586955pt" strokecolor="#666699">
              <v:stroke dashstyle="solid"/>
            </v:line>
            <v:line style="position:absolute" from="7024,1630" to="7047,1619" stroked="true" strokeweight=".586955pt" strokecolor="#666699">
              <v:stroke dashstyle="solid"/>
            </v:line>
            <v:line style="position:absolute" from="7047,1619" to="7067,1603" stroked="true" strokeweight=".586954pt" strokecolor="#666699">
              <v:stroke dashstyle="solid"/>
            </v:line>
            <v:line style="position:absolute" from="7067,1603" to="7086,1591" stroked="true" strokeweight=".586955pt" strokecolor="#666699">
              <v:stroke dashstyle="solid"/>
            </v:line>
            <v:line style="position:absolute" from="7086,1591" to="7106,1579" stroked="true" strokeweight=".586955pt" strokecolor="#666699">
              <v:stroke dashstyle="solid"/>
            </v:line>
            <v:line style="position:absolute" from="7106,1579" to="7126,1568" stroked="true" strokeweight=".586955pt" strokecolor="#666699">
              <v:stroke dashstyle="solid"/>
            </v:line>
            <v:line style="position:absolute" from="7126,1568" to="7145,1556" stroked="true" strokeweight=".586955pt" strokecolor="#666699">
              <v:stroke dashstyle="solid"/>
            </v:line>
            <v:line style="position:absolute" from="7145,1556" to="7149,1552" stroked="true" strokeweight=".586953pt" strokecolor="#666699">
              <v:stroke dashstyle="solid"/>
            </v:line>
            <v:line style="position:absolute" from="7290,1462" to="7306,1454" stroked="true" strokeweight=".586955pt" strokecolor="#666699">
              <v:stroke dashstyle="solid"/>
            </v:line>
            <v:line style="position:absolute" from="7306,1454" to="7325,1442" stroked="true" strokeweight=".586955pt" strokecolor="#666699">
              <v:stroke dashstyle="solid"/>
            </v:line>
            <v:line style="position:absolute" from="7325,1442" to="7345,1427" stroked="true" strokeweight=".586954pt" strokecolor="#666699">
              <v:stroke dashstyle="solid"/>
            </v:line>
            <v:line style="position:absolute" from="7345,1427" to="7364,1415" stroked="true" strokeweight=".586955pt" strokecolor="#666699">
              <v:stroke dashstyle="solid"/>
            </v:line>
            <v:line style="position:absolute" from="7364,1415" to="7384,1403" stroked="true" strokeweight=".586955pt" strokecolor="#666699">
              <v:stroke dashstyle="solid"/>
            </v:line>
            <v:line style="position:absolute" from="7384,1403" to="7407,1392" stroked="true" strokeweight=".586955pt" strokecolor="#666699">
              <v:stroke dashstyle="solid"/>
            </v:line>
            <v:line style="position:absolute" from="7407,1392" to="7427,1376" stroked="true" strokeweight=".586954pt" strokecolor="#666699">
              <v:stroke dashstyle="solid"/>
            </v:line>
            <v:line style="position:absolute" from="7427,1376" to="7446,1364" stroked="true" strokeweight=".586955pt" strokecolor="#666699">
              <v:stroke dashstyle="solid"/>
            </v:line>
            <v:line style="position:absolute" from="7446,1364" to="7466,1352" stroked="true" strokeweight=".586955pt" strokecolor="#666699">
              <v:stroke dashstyle="solid"/>
            </v:line>
            <v:line style="position:absolute" from="7466,1352" to="7486,1337" stroked="true" strokeweight=".586954pt" strokecolor="#666699">
              <v:stroke dashstyle="solid"/>
            </v:line>
            <v:line style="position:absolute" from="7486,1337" to="7505,1325" stroked="true" strokeweight=".586955pt" strokecolor="#666699">
              <v:stroke dashstyle="solid"/>
            </v:line>
            <v:line style="position:absolute" from="7505,1325" to="7525,1313" stroked="true" strokeweight=".586955pt" strokecolor="#666699">
              <v:stroke dashstyle="solid"/>
            </v:line>
            <v:line style="position:absolute" from="7525,1313" to="7544,1302" stroked="true" strokeweight=".586955pt" strokecolor="#666699">
              <v:stroke dashstyle="solid"/>
            </v:line>
            <v:line style="position:absolute" from="7544,1302" to="7564,1286" stroked="true" strokeweight=".586954pt" strokecolor="#666699">
              <v:stroke dashstyle="solid"/>
            </v:line>
            <v:line style="position:absolute" from="7564,1286" to="7583,1274" stroked="true" strokeweight=".586955pt" strokecolor="#666699">
              <v:stroke dashstyle="solid"/>
            </v:line>
            <v:line style="position:absolute" from="7583,1274" to="7607,1262" stroked="true" strokeweight=".586955pt" strokecolor="#666699">
              <v:stroke dashstyle="solid"/>
            </v:line>
            <v:line style="position:absolute" from="7607,1262" to="7626,1251" stroked="true" strokeweight=".586955pt" strokecolor="#666699">
              <v:stroke dashstyle="solid"/>
            </v:line>
            <v:line style="position:absolute" from="7626,1251" to="7646,1235" stroked="true" strokeweight=".586954pt" strokecolor="#666699">
              <v:stroke dashstyle="solid"/>
            </v:line>
            <v:line style="position:absolute" from="7646,1235" to="7666,1223" stroked="true" strokeweight=".586955pt" strokecolor="#666699">
              <v:stroke dashstyle="solid"/>
            </v:line>
            <v:line style="position:absolute" from="7666,1223" to="7685,1212" stroked="true" strokeweight=".586955pt" strokecolor="#666699">
              <v:stroke dashstyle="solid"/>
            </v:line>
            <v:line style="position:absolute" from="7685,1212" to="7705,1196" stroked="true" strokeweight=".586954pt" strokecolor="#666699">
              <v:stroke dashstyle="solid"/>
            </v:line>
            <v:line style="position:absolute" from="7707,1190" to="7707,1202" stroked="true" strokeweight=".19565pt" strokecolor="#666699">
              <v:stroke dashstyle="solid"/>
            </v:line>
            <v:line style="position:absolute" from="7845,1106" to="7865,1094" stroked="true" strokeweight=".586955pt" strokecolor="#666699">
              <v:stroke dashstyle="solid"/>
            </v:line>
            <v:line style="position:absolute" from="7865,1094" to="7885,1079" stroked="true" strokeweight=".586954pt" strokecolor="#666699">
              <v:stroke dashstyle="solid"/>
            </v:line>
            <v:line style="position:absolute" from="7885,1079" to="7904,1067" stroked="true" strokeweight=".586955pt" strokecolor="#666699">
              <v:stroke dashstyle="solid"/>
            </v:line>
            <v:line style="position:absolute" from="7904,1067" to="7924,1055" stroked="true" strokeweight=".586955pt" strokecolor="#666699">
              <v:stroke dashstyle="solid"/>
            </v:line>
            <v:line style="position:absolute" from="7924,1055" to="7943,1039" stroked="true" strokeweight=".586954pt" strokecolor="#666699">
              <v:stroke dashstyle="solid"/>
            </v:line>
            <v:line style="position:absolute" from="7943,1039" to="7967,1028" stroked="true" strokeweight=".586955pt" strokecolor="#666699">
              <v:stroke dashstyle="solid"/>
            </v:line>
            <v:line style="position:absolute" from="7967,1028" to="7986,1016" stroked="true" strokeweight=".586955pt" strokecolor="#666699">
              <v:stroke dashstyle="solid"/>
            </v:line>
            <v:line style="position:absolute" from="7986,1016" to="8006,1000" stroked="true" strokeweight=".586954pt" strokecolor="#666699">
              <v:stroke dashstyle="solid"/>
            </v:line>
            <v:line style="position:absolute" from="8006,1000" to="8025,989" stroked="true" strokeweight=".586955pt" strokecolor="#666699">
              <v:stroke dashstyle="solid"/>
            </v:line>
            <v:line style="position:absolute" from="8025,989" to="8045,977" stroked="true" strokeweight=".586955pt" strokecolor="#666699">
              <v:stroke dashstyle="solid"/>
            </v:line>
            <v:line style="position:absolute" from="8045,977" to="8065,961" stroked="true" strokeweight=".586954pt" strokecolor="#666699">
              <v:stroke dashstyle="solid"/>
            </v:line>
            <v:line style="position:absolute" from="8065,961" to="8084,949" stroked="true" strokeweight=".586955pt" strokecolor="#666699">
              <v:stroke dashstyle="solid"/>
            </v:line>
            <v:line style="position:absolute" from="8084,949" to="8104,934" stroked="true" strokeweight=".586954pt" strokecolor="#666699">
              <v:stroke dashstyle="solid"/>
            </v:line>
            <v:line style="position:absolute" from="8104,934" to="8123,922" stroked="true" strokeweight=".586955pt" strokecolor="#666699">
              <v:stroke dashstyle="solid"/>
            </v:line>
            <v:line style="position:absolute" from="8123,922" to="8147,910" stroked="true" strokeweight=".586955pt" strokecolor="#666699">
              <v:stroke dashstyle="solid"/>
            </v:line>
            <v:line style="position:absolute" from="8147,910" to="8166,895" stroked="true" strokeweight=".586954pt" strokecolor="#666699">
              <v:stroke dashstyle="solid"/>
            </v:line>
            <v:line style="position:absolute" from="8166,895" to="8186,883" stroked="true" strokeweight=".586955pt" strokecolor="#666699">
              <v:stroke dashstyle="solid"/>
            </v:line>
            <v:line style="position:absolute" from="8186,883" to="8205,871" stroked="true" strokeweight=".586955pt" strokecolor="#666699">
              <v:stroke dashstyle="solid"/>
            </v:line>
            <v:line style="position:absolute" from="8205,871" to="8225,855" stroked="true" strokeweight=".586954pt" strokecolor="#666699">
              <v:stroke dashstyle="solid"/>
            </v:line>
            <v:line style="position:absolute" from="8225,855" to="8245,844" stroked="true" strokeweight=".586955pt" strokecolor="#666699">
              <v:stroke dashstyle="solid"/>
            </v:line>
            <v:line style="position:absolute" from="8245,844" to="8264,828" stroked="true" strokeweight=".586954pt" strokecolor="#666699">
              <v:stroke dashstyle="solid"/>
            </v:line>
            <v:line style="position:absolute" from="8264,828" to="8264,828" stroked="true" strokeweight=".586957pt" strokecolor="#666699">
              <v:stroke dashstyle="solid"/>
            </v:line>
            <v:shape style="position:absolute;left:8399;top:446;width:431;height:294" type="#_x0000_t75" stroked="false">
              <v:imagedata r:id="rId154" o:title=""/>
            </v:shape>
            <v:shape style="position:absolute;left:8964;top:342;width:20;height:12" coordorigin="8965,343" coordsize="20,12" path="m8965,355l8965,355m8965,355l8984,343e" filled="false" stroked="true" strokeweight=".586953pt" strokecolor="#666699">
              <v:path arrowok="t"/>
              <v:stroke dashstyle="solid"/>
            </v:shape>
            <v:line style="position:absolute" from="8984,343" to="9004,327" stroked="true" strokeweight=".586954pt" strokecolor="#666699">
              <v:stroke dashstyle="solid"/>
            </v:line>
            <v:line style="position:absolute" from="9004,327" to="9023,315" stroked="true" strokeweight=".586955pt" strokecolor="#666699">
              <v:stroke dashstyle="solid"/>
            </v:line>
            <v:line style="position:absolute" from="9023,315" to="9043,300" stroked="true" strokeweight=".586954pt" strokecolor="#666699">
              <v:stroke dashstyle="solid"/>
            </v:line>
            <v:line style="position:absolute" from="9043,300" to="9062,284" stroked="true" strokeweight=".586954pt" strokecolor="#666699">
              <v:stroke dashstyle="solid"/>
            </v:line>
            <v:line style="position:absolute" from="9062,284" to="9086,272" stroked="true" strokeweight=".586955pt" strokecolor="#666699">
              <v:stroke dashstyle="solid"/>
            </v:line>
            <v:line style="position:absolute" from="9086,272" to="9105,257" stroked="true" strokeweight=".586954pt" strokecolor="#666699">
              <v:stroke dashstyle="solid"/>
            </v:line>
            <v:line style="position:absolute" from="9105,257" to="9125,245" stroked="true" strokeweight=".586955pt" strokecolor="#666699">
              <v:stroke dashstyle="solid"/>
            </v:line>
            <v:line style="position:absolute" from="9125,245" to="9145,229" stroked="true" strokeweight=".586954pt" strokecolor="#666699">
              <v:stroke dashstyle="solid"/>
            </v:line>
            <v:line style="position:absolute" from="9145,229" to="9164,218" stroked="true" strokeweight=".586955pt" strokecolor="#666699">
              <v:stroke dashstyle="solid"/>
            </v:line>
            <v:line style="position:absolute" from="9164,218" to="9184,202" stroked="true" strokeweight=".586954pt" strokecolor="#666699">
              <v:stroke dashstyle="solid"/>
            </v:line>
            <v:line style="position:absolute" from="9184,202" to="9203,190" stroked="true" strokeweight=".586955pt" strokecolor="#666699">
              <v:stroke dashstyle="solid"/>
            </v:line>
            <v:line style="position:absolute" from="9203,190" to="9223,175" stroked="true" strokeweight=".586954pt" strokecolor="#666699">
              <v:stroke dashstyle="solid"/>
            </v:line>
            <v:line style="position:absolute" from="9223,175" to="9242,159" stroked="true" strokeweight=".586954pt" strokecolor="#666699">
              <v:stroke dashstyle="solid"/>
            </v:line>
            <v:line style="position:absolute" from="9242,159" to="9266,147" stroked="true" strokeweight=".586955pt" strokecolor="#666699">
              <v:stroke dashstyle="solid"/>
            </v:line>
            <v:line style="position:absolute" from="9266,147" to="9285,132" stroked="true" strokeweight=".586954pt" strokecolor="#666699">
              <v:stroke dashstyle="solid"/>
            </v:line>
            <v:line style="position:absolute" from="9285,132" to="9293,128" stroked="true" strokeweight=".586955pt" strokecolor="#666699">
              <v:stroke dashstyle="solid"/>
            </v:line>
            <v:shape style="position:absolute;left:3357;top:425;width:79;height:63" coordorigin="3357,425" coordsize="79,63" path="m3396,488l3357,456,3396,425,3436,456,3396,488xe" filled="true" fillcolor="#ff0000" stroked="false">
              <v:path arrowok="t"/>
              <v:fill type="solid"/>
            </v:shape>
            <v:shape style="position:absolute;left:3357;top:425;width:79;height:63" coordorigin="3357,425" coordsize="79,63" path="m3396,425l3436,456,3396,488,3357,456,3396,425xe" filled="false" stroked="true" strokeweight="1.173908pt" strokecolor="#ff0000">
              <v:path arrowok="t"/>
              <v:stroke dashstyle="solid"/>
            </v:shape>
            <v:shape style="position:absolute;left:3357;top:695;width:75;height:59" coordorigin="3357,695" coordsize="75,59" path="m3432,754l3357,754,3396,695,3432,754xe" filled="true" fillcolor="#0000ff" stroked="false">
              <v:path arrowok="t"/>
              <v:fill type="solid"/>
            </v:shape>
            <v:shape style="position:absolute;left:3357;top:695;width:75;height:59" coordorigin="3357,695" coordsize="75,59" path="m3396,695l3432,754,3357,754,3396,695xe" filled="false" stroked="true" strokeweight="1.173908pt" strokecolor="#0000ff">
              <v:path arrowok="t"/>
              <v:stroke dashstyle="solid"/>
            </v:shape>
            <v:shape style="position:absolute;left:2797;top:104;width:7220;height:3933" type="#_x0000_t202" filled="false" stroked="false">
              <v:textbox inset="0,0,0,0">
                <w:txbxContent>
                  <w:p>
                    <w:pPr>
                      <w:spacing w:line="240" w:lineRule="auto" w:before="4"/>
                      <w:rPr>
                        <w:sz w:val="19"/>
                      </w:rPr>
                    </w:pPr>
                  </w:p>
                  <w:p>
                    <w:pPr>
                      <w:spacing w:line="321" w:lineRule="auto" w:before="0"/>
                      <w:ind w:left="899" w:right="5471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pacing w:val="-2"/>
                        <w:w w:val="105"/>
                        <w:sz w:val="18"/>
                      </w:rPr>
                      <w:t>SPF-S </w:t>
                    </w:r>
                    <w:r>
                      <w:rPr>
                        <w:spacing w:val="-1"/>
                        <w:w w:val="105"/>
                        <w:sz w:val="18"/>
                      </w:rPr>
                      <w:t>data</w:t>
                    </w:r>
                    <w:r>
                      <w:rPr>
                        <w:spacing w:val="-45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SYP</w:t>
                    </w:r>
                    <w:r>
                      <w:rPr>
                        <w:spacing w:val="-4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data</w:t>
                    </w:r>
                  </w:p>
                  <w:p>
                    <w:pPr>
                      <w:spacing w:before="5"/>
                      <w:ind w:left="332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w w:val="101"/>
                        <w:position w:val="7"/>
                        <w:sz w:val="17"/>
                        <w:u w:val="single" w:color="666699"/>
                      </w:rPr>
                      <w:t> </w:t>
                    </w:r>
                    <w:r>
                      <w:rPr>
                        <w:position w:val="7"/>
                        <w:sz w:val="17"/>
                        <w:u w:val="single" w:color="666699"/>
                      </w:rPr>
                      <w:t>   </w:t>
                    </w:r>
                    <w:r>
                      <w:rPr>
                        <w:spacing w:val="-10"/>
                        <w:position w:val="7"/>
                        <w:sz w:val="17"/>
                        <w:u w:val="single" w:color="666699"/>
                      </w:rPr>
                      <w:t> </w:t>
                    </w:r>
                    <w:r>
                      <w:rPr>
                        <w:position w:val="7"/>
                        <w:sz w:val="17"/>
                      </w:rPr>
                      <w:t> </w:t>
                    </w:r>
                    <w:r>
                      <w:rPr>
                        <w:spacing w:val="-11"/>
                        <w:position w:val="7"/>
                        <w:sz w:val="17"/>
                      </w:rPr>
                      <w:t> </w:t>
                    </w:r>
                    <w:r>
                      <w:rPr>
                        <w:w w:val="101"/>
                        <w:position w:val="7"/>
                        <w:sz w:val="17"/>
                        <w:u w:val="single" w:color="666699"/>
                      </w:rPr>
                      <w:t> </w:t>
                    </w:r>
                    <w:r>
                      <w:rPr>
                        <w:position w:val="7"/>
                        <w:sz w:val="17"/>
                        <w:u w:val="single" w:color="666699"/>
                      </w:rPr>
                      <w:t>   </w:t>
                    </w:r>
                    <w:r>
                      <w:rPr>
                        <w:spacing w:val="-14"/>
                        <w:position w:val="7"/>
                        <w:sz w:val="17"/>
                        <w:u w:val="single" w:color="666699"/>
                      </w:rPr>
                      <w:t> </w:t>
                    </w:r>
                    <w:r>
                      <w:rPr>
                        <w:position w:val="7"/>
                        <w:sz w:val="17"/>
                      </w:rPr>
                      <w:t> </w:t>
                    </w:r>
                    <w:r>
                      <w:rPr>
                        <w:spacing w:val="5"/>
                        <w:position w:val="7"/>
                        <w:sz w:val="17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General</w:t>
                    </w:r>
                    <w:r>
                      <w:rPr>
                        <w:spacing w:val="40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THOR</w:t>
                    </w:r>
                    <w:r>
                      <w:rPr>
                        <w:spacing w:val="-5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equation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17"/>
        </w:rPr>
        <w:t>14</w:t>
      </w:r>
    </w:p>
    <w:p>
      <w:pPr>
        <w:spacing w:before="86"/>
        <w:ind w:left="858" w:right="0" w:firstLine="0"/>
        <w:jc w:val="left"/>
        <w:rPr>
          <w:sz w:val="17"/>
        </w:rPr>
      </w:pPr>
      <w:r>
        <w:rPr/>
        <w:pict>
          <v:shape style="position:absolute;margin-left:106.010635pt;margin-top:5.729726pt;width:18.150pt;height:175.4pt;mso-position-horizontal-relative:page;mso-position-vertical-relative:paragraph;z-index:15826432" type="#_x0000_t202" filled="false" stroked="false">
            <v:textbox inset="0,0,0,0" style="layout-flow:vertical;mso-layout-flow-alt:bottom-to-top">
              <w:txbxContent>
                <w:p>
                  <w:pPr>
                    <w:spacing w:before="9"/>
                    <w:ind w:left="20" w:right="0" w:firstLine="0"/>
                    <w:jc w:val="left"/>
                    <w:rPr>
                      <w:sz w:val="25"/>
                    </w:rPr>
                  </w:pPr>
                  <w:r>
                    <w:rPr>
                      <w:sz w:val="25"/>
                    </w:rPr>
                    <w:t>Depth</w:t>
                  </w:r>
                  <w:r>
                    <w:rPr>
                      <w:spacing w:val="-1"/>
                      <w:sz w:val="25"/>
                    </w:rPr>
                    <w:t> </w:t>
                  </w:r>
                  <w:r>
                    <w:rPr>
                      <w:sz w:val="25"/>
                    </w:rPr>
                    <w:t>of</w:t>
                  </w:r>
                  <w:r>
                    <w:rPr>
                      <w:spacing w:val="-2"/>
                      <w:sz w:val="25"/>
                    </w:rPr>
                    <w:t> </w:t>
                  </w:r>
                  <w:r>
                    <w:rPr>
                      <w:sz w:val="25"/>
                    </w:rPr>
                    <w:t>Penetration</w:t>
                  </w:r>
                  <w:r>
                    <w:rPr>
                      <w:spacing w:val="-1"/>
                      <w:sz w:val="25"/>
                    </w:rPr>
                    <w:t> </w:t>
                  </w:r>
                  <w:r>
                    <w:rPr>
                      <w:sz w:val="25"/>
                    </w:rPr>
                    <w:t>(T</w:t>
                  </w:r>
                  <w:r>
                    <w:rPr>
                      <w:position w:val="-5"/>
                      <w:sz w:val="18"/>
                    </w:rPr>
                    <w:t>w</w:t>
                  </w:r>
                  <w:r>
                    <w:rPr>
                      <w:sz w:val="25"/>
                    </w:rPr>
                    <w:t>)</w:t>
                  </w:r>
                  <w:r>
                    <w:rPr>
                      <w:spacing w:val="-2"/>
                      <w:sz w:val="25"/>
                    </w:rPr>
                    <w:t> </w:t>
                  </w:r>
                  <w:r>
                    <w:rPr>
                      <w:sz w:val="25"/>
                    </w:rPr>
                    <w:t>(inches)</w:t>
                  </w:r>
                </w:p>
              </w:txbxContent>
            </v:textbox>
            <w10:wrap type="none"/>
          </v:shape>
        </w:pict>
      </w:r>
      <w:r>
        <w:rPr>
          <w:sz w:val="17"/>
        </w:rPr>
        <w:t>13</w:t>
      </w:r>
    </w:p>
    <w:p>
      <w:pPr>
        <w:spacing w:before="83"/>
        <w:ind w:left="858" w:right="0" w:firstLine="0"/>
        <w:jc w:val="left"/>
        <w:rPr>
          <w:sz w:val="17"/>
        </w:rPr>
      </w:pPr>
      <w:r>
        <w:rPr>
          <w:sz w:val="17"/>
        </w:rPr>
        <w:t>12</w:t>
      </w:r>
    </w:p>
    <w:p>
      <w:pPr>
        <w:spacing w:before="82"/>
        <w:ind w:left="858" w:right="0" w:firstLine="0"/>
        <w:jc w:val="left"/>
        <w:rPr>
          <w:sz w:val="17"/>
        </w:rPr>
      </w:pPr>
      <w:r>
        <w:rPr>
          <w:sz w:val="17"/>
        </w:rPr>
        <w:t>11</w:t>
      </w:r>
    </w:p>
    <w:p>
      <w:pPr>
        <w:spacing w:before="86"/>
        <w:ind w:left="858" w:right="0" w:firstLine="0"/>
        <w:jc w:val="left"/>
        <w:rPr>
          <w:sz w:val="17"/>
        </w:rPr>
      </w:pPr>
      <w:r>
        <w:rPr>
          <w:sz w:val="17"/>
        </w:rPr>
        <w:t>10</w:t>
      </w:r>
    </w:p>
    <w:p>
      <w:pPr>
        <w:spacing w:before="83"/>
        <w:ind w:left="944" w:right="0" w:firstLine="0"/>
        <w:jc w:val="left"/>
        <w:rPr>
          <w:sz w:val="17"/>
        </w:rPr>
      </w:pPr>
      <w:r>
        <w:rPr>
          <w:w w:val="101"/>
          <w:sz w:val="17"/>
        </w:rPr>
        <w:t>9</w:t>
      </w:r>
    </w:p>
    <w:p>
      <w:pPr>
        <w:spacing w:before="82"/>
        <w:ind w:left="944" w:right="0" w:firstLine="0"/>
        <w:jc w:val="left"/>
        <w:rPr>
          <w:sz w:val="17"/>
        </w:rPr>
      </w:pPr>
      <w:r>
        <w:rPr>
          <w:w w:val="101"/>
          <w:sz w:val="17"/>
        </w:rPr>
        <w:t>8</w:t>
      </w:r>
    </w:p>
    <w:p>
      <w:pPr>
        <w:spacing w:before="86"/>
        <w:ind w:left="944" w:right="0" w:firstLine="0"/>
        <w:jc w:val="left"/>
        <w:rPr>
          <w:sz w:val="17"/>
        </w:rPr>
      </w:pPr>
      <w:r>
        <w:rPr>
          <w:w w:val="101"/>
          <w:sz w:val="17"/>
        </w:rPr>
        <w:t>7</w:t>
      </w:r>
    </w:p>
    <w:p>
      <w:pPr>
        <w:spacing w:before="83"/>
        <w:ind w:left="944" w:right="0" w:firstLine="0"/>
        <w:jc w:val="left"/>
        <w:rPr>
          <w:sz w:val="17"/>
        </w:rPr>
      </w:pPr>
      <w:r>
        <w:rPr>
          <w:w w:val="101"/>
          <w:sz w:val="17"/>
        </w:rPr>
        <w:t>6</w:t>
      </w:r>
    </w:p>
    <w:p>
      <w:pPr>
        <w:spacing w:before="86"/>
        <w:ind w:left="944" w:right="0" w:firstLine="0"/>
        <w:jc w:val="left"/>
        <w:rPr>
          <w:sz w:val="17"/>
        </w:rPr>
      </w:pPr>
      <w:r>
        <w:rPr>
          <w:w w:val="101"/>
          <w:sz w:val="17"/>
        </w:rPr>
        <w:t>5</w:t>
      </w:r>
    </w:p>
    <w:p>
      <w:pPr>
        <w:spacing w:before="82"/>
        <w:ind w:left="944" w:right="0" w:firstLine="0"/>
        <w:jc w:val="left"/>
        <w:rPr>
          <w:sz w:val="17"/>
        </w:rPr>
      </w:pPr>
      <w:r>
        <w:rPr>
          <w:w w:val="101"/>
          <w:sz w:val="17"/>
        </w:rPr>
        <w:t>4</w:t>
      </w:r>
    </w:p>
    <w:p>
      <w:pPr>
        <w:spacing w:before="83"/>
        <w:ind w:left="944" w:right="0" w:firstLine="0"/>
        <w:jc w:val="left"/>
        <w:rPr>
          <w:sz w:val="17"/>
        </w:rPr>
      </w:pPr>
      <w:r>
        <w:rPr>
          <w:w w:val="101"/>
          <w:sz w:val="17"/>
        </w:rPr>
        <w:t>3</w:t>
      </w:r>
    </w:p>
    <w:p>
      <w:pPr>
        <w:spacing w:before="86"/>
        <w:ind w:left="944" w:right="0" w:firstLine="0"/>
        <w:jc w:val="left"/>
        <w:rPr>
          <w:sz w:val="17"/>
        </w:rPr>
      </w:pPr>
      <w:r>
        <w:rPr>
          <w:w w:val="101"/>
          <w:sz w:val="17"/>
        </w:rPr>
        <w:t>2</w:t>
      </w:r>
    </w:p>
    <w:p>
      <w:pPr>
        <w:spacing w:before="82"/>
        <w:ind w:left="944" w:right="0" w:firstLine="0"/>
        <w:jc w:val="left"/>
        <w:rPr>
          <w:sz w:val="17"/>
        </w:rPr>
      </w:pPr>
      <w:r>
        <w:rPr>
          <w:w w:val="101"/>
          <w:sz w:val="17"/>
        </w:rPr>
        <w:t>1</w:t>
      </w:r>
    </w:p>
    <w:p>
      <w:pPr>
        <w:spacing w:line="150" w:lineRule="exact" w:before="83"/>
        <w:ind w:left="944" w:right="0" w:firstLine="0"/>
        <w:jc w:val="left"/>
        <w:rPr>
          <w:sz w:val="17"/>
        </w:rPr>
      </w:pPr>
      <w:r>
        <w:rPr>
          <w:w w:val="101"/>
          <w:sz w:val="17"/>
        </w:rPr>
        <w:t>0</w:t>
      </w:r>
    </w:p>
    <w:p>
      <w:pPr>
        <w:pStyle w:val="BodyText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rPr>
          <w:sz w:val="18"/>
        </w:rPr>
      </w:pPr>
    </w:p>
    <w:p>
      <w:pPr>
        <w:pStyle w:val="BodyText"/>
        <w:spacing w:before="4"/>
        <w:rPr>
          <w:sz w:val="17"/>
        </w:rPr>
      </w:pPr>
    </w:p>
    <w:p>
      <w:pPr>
        <w:spacing w:before="0"/>
        <w:ind w:left="-32" w:right="0" w:firstLine="0"/>
        <w:jc w:val="left"/>
        <w:rPr>
          <w:sz w:val="17"/>
        </w:rPr>
      </w:pPr>
      <w:r>
        <w:rPr>
          <w:sz w:val="17"/>
        </w:rPr>
        <w:t>35</w:t>
      </w:r>
    </w:p>
    <w:p>
      <w:pPr>
        <w:spacing w:before="79"/>
        <w:ind w:left="-32" w:right="0" w:firstLine="0"/>
        <w:jc w:val="left"/>
        <w:rPr>
          <w:sz w:val="17"/>
        </w:rPr>
      </w:pPr>
      <w:r>
        <w:rPr/>
        <w:pict>
          <v:shape style="position:absolute;margin-left:521.571411pt;margin-top:8.505861pt;width:18.150pt;height:159pt;mso-position-horizontal-relative:page;mso-position-vertical-relative:paragraph;z-index:15826944" type="#_x0000_t202" filled="false" stroked="false">
            <v:textbox inset="0,0,0,0" style="layout-flow:vertical;mso-layout-flow-alt:bottom-to-top">
              <w:txbxContent>
                <w:p>
                  <w:pPr>
                    <w:spacing w:before="10"/>
                    <w:ind w:left="20" w:right="0" w:firstLine="0"/>
                    <w:jc w:val="left"/>
                    <w:rPr>
                      <w:sz w:val="25"/>
                    </w:rPr>
                  </w:pPr>
                  <w:r>
                    <w:rPr>
                      <w:sz w:val="25"/>
                    </w:rPr>
                    <w:t>Depth of</w:t>
                  </w:r>
                  <w:r>
                    <w:rPr>
                      <w:spacing w:val="-1"/>
                      <w:sz w:val="25"/>
                    </w:rPr>
                    <w:t> </w:t>
                  </w:r>
                  <w:r>
                    <w:rPr>
                      <w:sz w:val="25"/>
                    </w:rPr>
                    <w:t>Penetration</w:t>
                  </w:r>
                  <w:r>
                    <w:rPr>
                      <w:spacing w:val="1"/>
                      <w:sz w:val="25"/>
                    </w:rPr>
                    <w:t> </w:t>
                  </w:r>
                  <w:r>
                    <w:rPr>
                      <w:sz w:val="25"/>
                    </w:rPr>
                    <w:t>(T</w:t>
                  </w:r>
                  <w:r>
                    <w:rPr>
                      <w:position w:val="-5"/>
                      <w:sz w:val="18"/>
                    </w:rPr>
                    <w:t>w</w:t>
                  </w:r>
                  <w:r>
                    <w:rPr>
                      <w:sz w:val="25"/>
                    </w:rPr>
                    <w:t>)</w:t>
                  </w:r>
                  <w:r>
                    <w:rPr>
                      <w:spacing w:val="-2"/>
                      <w:sz w:val="25"/>
                    </w:rPr>
                    <w:t> </w:t>
                  </w:r>
                  <w:r>
                    <w:rPr>
                      <w:sz w:val="25"/>
                    </w:rPr>
                    <w:t>(cm)</w:t>
                  </w:r>
                </w:p>
              </w:txbxContent>
            </v:textbox>
            <w10:wrap type="none"/>
          </v:shape>
        </w:pict>
      </w:r>
      <w:r>
        <w:rPr>
          <w:sz w:val="17"/>
        </w:rPr>
        <w:t>32.5</w:t>
      </w:r>
    </w:p>
    <w:p>
      <w:pPr>
        <w:spacing w:before="82"/>
        <w:ind w:left="-32" w:right="0" w:firstLine="0"/>
        <w:jc w:val="left"/>
        <w:rPr>
          <w:sz w:val="17"/>
        </w:rPr>
      </w:pPr>
      <w:r>
        <w:rPr>
          <w:sz w:val="17"/>
        </w:rPr>
        <w:t>30</w:t>
      </w:r>
    </w:p>
    <w:p>
      <w:pPr>
        <w:spacing w:before="79"/>
        <w:ind w:left="-32" w:right="0" w:firstLine="0"/>
        <w:jc w:val="left"/>
        <w:rPr>
          <w:sz w:val="17"/>
        </w:rPr>
      </w:pPr>
      <w:r>
        <w:rPr>
          <w:sz w:val="17"/>
        </w:rPr>
        <w:t>27.5</w:t>
      </w:r>
    </w:p>
    <w:p>
      <w:pPr>
        <w:spacing w:before="78"/>
        <w:ind w:left="-32" w:right="0" w:firstLine="0"/>
        <w:jc w:val="left"/>
        <w:rPr>
          <w:sz w:val="17"/>
        </w:rPr>
      </w:pPr>
      <w:r>
        <w:rPr>
          <w:sz w:val="17"/>
        </w:rPr>
        <w:t>25</w:t>
      </w:r>
    </w:p>
    <w:p>
      <w:pPr>
        <w:spacing w:before="78"/>
        <w:ind w:left="-32" w:right="0" w:firstLine="0"/>
        <w:jc w:val="left"/>
        <w:rPr>
          <w:sz w:val="17"/>
        </w:rPr>
      </w:pPr>
      <w:r>
        <w:rPr>
          <w:sz w:val="17"/>
        </w:rPr>
        <w:t>22.5</w:t>
      </w:r>
    </w:p>
    <w:p>
      <w:pPr>
        <w:spacing w:before="79"/>
        <w:ind w:left="-32" w:right="0" w:firstLine="0"/>
        <w:jc w:val="left"/>
        <w:rPr>
          <w:sz w:val="17"/>
        </w:rPr>
      </w:pPr>
      <w:r>
        <w:rPr>
          <w:sz w:val="17"/>
        </w:rPr>
        <w:t>20</w:t>
      </w:r>
    </w:p>
    <w:p>
      <w:pPr>
        <w:spacing w:before="82"/>
        <w:ind w:left="-32" w:right="0" w:firstLine="0"/>
        <w:jc w:val="left"/>
        <w:rPr>
          <w:sz w:val="17"/>
        </w:rPr>
      </w:pPr>
      <w:r>
        <w:rPr>
          <w:sz w:val="17"/>
        </w:rPr>
        <w:t>17.5</w:t>
      </w:r>
    </w:p>
    <w:p>
      <w:pPr>
        <w:spacing w:before="79"/>
        <w:ind w:left="-32" w:right="0" w:firstLine="0"/>
        <w:jc w:val="left"/>
        <w:rPr>
          <w:sz w:val="17"/>
        </w:rPr>
      </w:pPr>
      <w:r>
        <w:rPr>
          <w:sz w:val="17"/>
        </w:rPr>
        <w:t>15</w:t>
      </w:r>
    </w:p>
    <w:p>
      <w:pPr>
        <w:spacing w:before="78"/>
        <w:ind w:left="-32" w:right="0" w:firstLine="0"/>
        <w:jc w:val="left"/>
        <w:rPr>
          <w:sz w:val="17"/>
        </w:rPr>
      </w:pPr>
      <w:r>
        <w:rPr>
          <w:sz w:val="17"/>
        </w:rPr>
        <w:t>12.5</w:t>
      </w:r>
    </w:p>
    <w:p>
      <w:pPr>
        <w:spacing w:before="79"/>
        <w:ind w:left="-32" w:right="0" w:firstLine="0"/>
        <w:jc w:val="left"/>
        <w:rPr>
          <w:sz w:val="17"/>
        </w:rPr>
      </w:pPr>
      <w:r>
        <w:rPr>
          <w:sz w:val="17"/>
        </w:rPr>
        <w:t>10</w:t>
      </w:r>
    </w:p>
    <w:p>
      <w:pPr>
        <w:spacing w:before="82"/>
        <w:ind w:left="-32" w:right="0" w:firstLine="0"/>
        <w:jc w:val="left"/>
        <w:rPr>
          <w:sz w:val="17"/>
        </w:rPr>
      </w:pPr>
      <w:r>
        <w:rPr>
          <w:sz w:val="17"/>
        </w:rPr>
        <w:t>7.5</w:t>
      </w:r>
    </w:p>
    <w:p>
      <w:pPr>
        <w:spacing w:before="78"/>
        <w:ind w:left="-32" w:right="0" w:firstLine="0"/>
        <w:jc w:val="left"/>
        <w:rPr>
          <w:sz w:val="17"/>
        </w:rPr>
      </w:pPr>
      <w:r>
        <w:rPr>
          <w:w w:val="101"/>
          <w:sz w:val="17"/>
        </w:rPr>
        <w:t>5</w:t>
      </w:r>
    </w:p>
    <w:p>
      <w:pPr>
        <w:spacing w:before="79"/>
        <w:ind w:left="-32" w:right="0" w:firstLine="0"/>
        <w:jc w:val="left"/>
        <w:rPr>
          <w:sz w:val="17"/>
        </w:rPr>
      </w:pPr>
      <w:r>
        <w:rPr>
          <w:sz w:val="17"/>
        </w:rPr>
        <w:t>2.5</w:t>
      </w:r>
    </w:p>
    <w:p>
      <w:pPr>
        <w:spacing w:line="166" w:lineRule="exact" w:before="62"/>
        <w:ind w:left="-28" w:right="0" w:firstLine="0"/>
        <w:jc w:val="left"/>
        <w:rPr>
          <w:sz w:val="17"/>
        </w:rPr>
      </w:pPr>
      <w:r>
        <w:rPr>
          <w:w w:val="101"/>
          <w:sz w:val="17"/>
        </w:rPr>
        <w:t>0</w:t>
      </w:r>
    </w:p>
    <w:p>
      <w:pPr>
        <w:spacing w:after="0" w:line="166" w:lineRule="exact"/>
        <w:jc w:val="left"/>
        <w:rPr>
          <w:sz w:val="17"/>
        </w:rPr>
        <w:sectPr>
          <w:pgSz w:w="12240" w:h="15840"/>
          <w:pgMar w:header="0" w:footer="1064" w:top="1340" w:bottom="1260" w:left="1720" w:right="1020"/>
          <w:cols w:num="2" w:equalWidth="0">
            <w:col w:w="8321" w:space="40"/>
            <w:col w:w="1139"/>
          </w:cols>
        </w:sectPr>
      </w:pPr>
    </w:p>
    <w:p>
      <w:pPr>
        <w:tabs>
          <w:tab w:pos="1785" w:val="left" w:leader="none"/>
          <w:tab w:pos="2517" w:val="left" w:leader="none"/>
          <w:tab w:pos="3319" w:val="left" w:leader="none"/>
          <w:tab w:pos="4117" w:val="left" w:leader="none"/>
          <w:tab w:pos="4916" w:val="left" w:leader="none"/>
          <w:tab w:pos="5718" w:val="left" w:leader="none"/>
          <w:tab w:pos="6516" w:val="left" w:leader="none"/>
          <w:tab w:pos="7314" w:val="left" w:leader="none"/>
        </w:tabs>
        <w:spacing w:line="190" w:lineRule="exact" w:before="0"/>
        <w:ind w:left="987" w:right="0" w:firstLine="0"/>
        <w:jc w:val="left"/>
        <w:rPr>
          <w:sz w:val="17"/>
        </w:rPr>
      </w:pPr>
      <w:r>
        <w:rPr>
          <w:sz w:val="17"/>
        </w:rPr>
        <w:t>400</w:t>
        <w:tab/>
        <w:t>800</w:t>
        <w:tab/>
        <w:t>1200</w:t>
        <w:tab/>
        <w:t>1600</w:t>
        <w:tab/>
        <w:t>2000</w:t>
        <w:tab/>
        <w:t>2400</w:t>
        <w:tab/>
        <w:t>2800</w:t>
        <w:tab/>
        <w:t>3200</w:t>
        <w:tab/>
        <w:t>3600</w:t>
      </w:r>
    </w:p>
    <w:p>
      <w:pPr>
        <w:pStyle w:val="Heading8"/>
        <w:spacing w:before="54"/>
        <w:ind w:left="3464"/>
      </w:pPr>
      <w:r>
        <w:rPr/>
        <w:t>Striking</w:t>
      </w:r>
      <w:r>
        <w:rPr>
          <w:spacing w:val="-15"/>
        </w:rPr>
        <w:t> </w:t>
      </w:r>
      <w:r>
        <w:rPr/>
        <w:t>Velocity</w:t>
      </w:r>
      <w:r>
        <w:rPr>
          <w:spacing w:val="-8"/>
        </w:rPr>
        <w:t> </w:t>
      </w:r>
      <w:r>
        <w:rPr/>
        <w:t>(V</w:t>
      </w:r>
      <w:r>
        <w:rPr>
          <w:position w:val="-5"/>
          <w:sz w:val="18"/>
        </w:rPr>
        <w:t>s</w:t>
      </w:r>
      <w:r>
        <w:rPr/>
        <w:t>)</w:t>
      </w:r>
      <w:r>
        <w:rPr>
          <w:spacing w:val="-10"/>
        </w:rPr>
        <w:t> </w:t>
      </w:r>
      <w:r>
        <w:rPr/>
        <w:t>(fps)</w:t>
      </w:r>
    </w:p>
    <w:p>
      <w:pPr>
        <w:spacing w:before="224"/>
        <w:ind w:left="1413" w:right="0" w:firstLine="0"/>
        <w:jc w:val="left"/>
        <w:rPr>
          <w:i/>
          <w:sz w:val="24"/>
        </w:rPr>
      </w:pPr>
      <w:bookmarkStart w:name="_bookmark83" w:id="311"/>
      <w:bookmarkEnd w:id="311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5-24.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general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THOR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equation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calibrated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CLT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data.</w:t>
      </w:r>
    </w:p>
    <w:p>
      <w:pPr>
        <w:spacing w:line="194" w:lineRule="exact" w:before="0"/>
        <w:ind w:left="-9" w:right="0" w:firstLine="0"/>
        <w:jc w:val="left"/>
        <w:rPr>
          <w:sz w:val="17"/>
        </w:rPr>
      </w:pPr>
      <w:r>
        <w:rPr/>
        <w:br w:type="column"/>
      </w:r>
      <w:r>
        <w:rPr>
          <w:sz w:val="17"/>
        </w:rPr>
        <w:t>4000</w:t>
      </w:r>
    </w:p>
    <w:p>
      <w:pPr>
        <w:spacing w:after="0" w:line="194" w:lineRule="exact"/>
        <w:jc w:val="left"/>
        <w:rPr>
          <w:sz w:val="17"/>
        </w:rPr>
        <w:sectPr>
          <w:type w:val="continuous"/>
          <w:pgSz w:w="12240" w:h="15840"/>
          <w:pgMar w:top="1380" w:bottom="280" w:left="1720" w:right="1020"/>
          <w:cols w:num="2" w:equalWidth="0">
            <w:col w:w="8106" w:space="40"/>
            <w:col w:w="135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3"/>
        </w:rPr>
      </w:pPr>
    </w:p>
    <w:p>
      <w:pPr>
        <w:pStyle w:val="BodyText"/>
        <w:spacing w:line="480" w:lineRule="auto" w:before="90"/>
        <w:ind w:left="439" w:right="416" w:firstLine="720"/>
        <w:jc w:val="both"/>
      </w:pPr>
      <w:r>
        <w:rPr/>
        <w:t>The</w:t>
      </w:r>
      <w:r>
        <w:rPr>
          <w:spacing w:val="-10"/>
        </w:rPr>
        <w:t> </w:t>
      </w:r>
      <w:r>
        <w:rPr/>
        <w:t>THOR</w:t>
      </w:r>
      <w:r>
        <w:rPr>
          <w:spacing w:val="-10"/>
        </w:rPr>
        <w:t> </w:t>
      </w:r>
      <w:r>
        <w:rPr/>
        <w:t>reports</w:t>
      </w:r>
      <w:r>
        <w:rPr>
          <w:spacing w:val="-11"/>
        </w:rPr>
        <w:t> </w:t>
      </w:r>
      <w:r>
        <w:rPr/>
        <w:t>explained</w:t>
      </w:r>
      <w:r>
        <w:rPr>
          <w:spacing w:val="-10"/>
        </w:rPr>
        <w:t> </w:t>
      </w:r>
      <w:r>
        <w:rPr/>
        <w:t>how</w:t>
      </w:r>
      <w:r>
        <w:rPr>
          <w:spacing w:val="-10"/>
        </w:rPr>
        <w:t> </w:t>
      </w:r>
      <w:r>
        <w:rPr/>
        <w:t>for</w:t>
      </w:r>
      <w:r>
        <w:rPr>
          <w:spacing w:val="-9"/>
        </w:rPr>
        <w:t> </w:t>
      </w:r>
      <w:r>
        <w:rPr/>
        <w:t>fragments</w:t>
      </w:r>
      <w:r>
        <w:rPr>
          <w:spacing w:val="-10"/>
        </w:rPr>
        <w:t> </w:t>
      </w:r>
      <w:r>
        <w:rPr/>
        <w:t>of</w:t>
      </w:r>
      <w:r>
        <w:rPr>
          <w:spacing w:val="-11"/>
        </w:rPr>
        <w:t> </w:t>
      </w:r>
      <w:r>
        <w:rPr/>
        <w:t>a</w:t>
      </w:r>
      <w:r>
        <w:rPr>
          <w:spacing w:val="-10"/>
        </w:rPr>
        <w:t> </w:t>
      </w:r>
      <w:r>
        <w:rPr/>
        <w:t>given</w:t>
      </w:r>
      <w:r>
        <w:rPr>
          <w:spacing w:val="-10"/>
        </w:rPr>
        <w:t> </w:t>
      </w:r>
      <w:r>
        <w:rPr/>
        <w:t>shape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formula</w:t>
      </w:r>
      <w:r>
        <w:rPr>
          <w:spacing w:val="-10"/>
        </w:rPr>
        <w:t> </w:t>
      </w:r>
      <w:r>
        <w:rPr/>
        <w:t>could</w:t>
      </w:r>
      <w:r>
        <w:rPr>
          <w:spacing w:val="-58"/>
        </w:rPr>
        <w:t> </w:t>
      </w:r>
      <w:r>
        <w:rPr/>
        <w:t>be</w:t>
      </w:r>
      <w:r>
        <w:rPr>
          <w:spacing w:val="-6"/>
        </w:rPr>
        <w:t> </w:t>
      </w:r>
      <w:r>
        <w:rPr/>
        <w:t>simplified</w:t>
      </w:r>
      <w:r>
        <w:rPr>
          <w:spacing w:val="-6"/>
        </w:rPr>
        <w:t> </w:t>
      </w:r>
      <w:r>
        <w:rPr/>
        <w:t>with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removal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impact</w:t>
      </w:r>
      <w:r>
        <w:rPr>
          <w:spacing w:val="-5"/>
        </w:rPr>
        <w:t> </w:t>
      </w:r>
      <w:r>
        <w:rPr/>
        <w:t>area</w:t>
      </w:r>
      <w:r>
        <w:rPr>
          <w:spacing w:val="-7"/>
        </w:rPr>
        <w:t> </w:t>
      </w:r>
      <w:r>
        <w:rPr/>
        <w:t>term,</w:t>
      </w:r>
      <w:r>
        <w:rPr>
          <w:spacing w:val="-6"/>
        </w:rPr>
        <w:t> </w:t>
      </w:r>
      <w:r>
        <w:rPr>
          <w:i/>
        </w:rPr>
        <w:t>A</w:t>
      </w:r>
      <w:r>
        <w:rPr/>
        <w:t>.</w:t>
      </w:r>
      <w:r>
        <w:rPr>
          <w:spacing w:val="50"/>
        </w:rPr>
        <w:t> </w:t>
      </w:r>
      <w:r>
        <w:rPr/>
        <w:t>This</w:t>
      </w:r>
      <w:r>
        <w:rPr>
          <w:spacing w:val="-5"/>
        </w:rPr>
        <w:t> </w:t>
      </w:r>
      <w:r>
        <w:rPr/>
        <w:t>can</w:t>
      </w:r>
      <w:r>
        <w:rPr>
          <w:spacing w:val="-6"/>
        </w:rPr>
        <w:t> </w:t>
      </w:r>
      <w:r>
        <w:rPr/>
        <w:t>be</w:t>
      </w:r>
      <w:r>
        <w:rPr>
          <w:spacing w:val="-6"/>
        </w:rPr>
        <w:t> </w:t>
      </w:r>
      <w:r>
        <w:rPr/>
        <w:t>done</w:t>
      </w:r>
      <w:r>
        <w:rPr>
          <w:spacing w:val="-5"/>
        </w:rPr>
        <w:t> </w:t>
      </w:r>
      <w:r>
        <w:rPr/>
        <w:t>for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THOR</w:t>
      </w:r>
      <w:r>
        <w:rPr>
          <w:spacing w:val="-58"/>
        </w:rPr>
        <w:t> </w:t>
      </w:r>
      <w:r>
        <w:rPr/>
        <w:t>model calibrated to the CLT data as well.</w:t>
      </w:r>
      <w:r>
        <w:rPr>
          <w:spacing w:val="1"/>
        </w:rPr>
        <w:t> </w:t>
      </w:r>
      <w:r>
        <w:rPr/>
        <w:t>The curve and MSE for the simplified THOR</w:t>
      </w:r>
      <w:r>
        <w:rPr>
          <w:spacing w:val="1"/>
        </w:rPr>
        <w:t> </w:t>
      </w:r>
      <w:r>
        <w:rPr/>
        <w:t>model are the same as the values for the general THOR model.</w:t>
      </w:r>
      <w:r>
        <w:rPr>
          <w:spacing w:val="1"/>
        </w:rPr>
        <w:t> </w:t>
      </w:r>
      <w:r>
        <w:rPr/>
        <w:t>This is because the</w:t>
      </w:r>
      <w:r>
        <w:rPr>
          <w:spacing w:val="1"/>
        </w:rPr>
        <w:t> </w:t>
      </w:r>
      <w:r>
        <w:rPr/>
        <w:t>projectile</w:t>
      </w:r>
      <w:r>
        <w:rPr>
          <w:spacing w:val="-10"/>
        </w:rPr>
        <w:t> </w:t>
      </w:r>
      <w:r>
        <w:rPr/>
        <w:t>area</w:t>
      </w:r>
      <w:r>
        <w:rPr>
          <w:spacing w:val="-10"/>
        </w:rPr>
        <w:t> </w:t>
      </w:r>
      <w:r>
        <w:rPr/>
        <w:t>is</w:t>
      </w:r>
      <w:r>
        <w:rPr>
          <w:spacing w:val="-11"/>
        </w:rPr>
        <w:t> </w:t>
      </w:r>
      <w:r>
        <w:rPr/>
        <w:t>a</w:t>
      </w:r>
      <w:r>
        <w:rPr>
          <w:spacing w:val="-10"/>
        </w:rPr>
        <w:t> </w:t>
      </w:r>
      <w:r>
        <w:rPr/>
        <w:t>constant</w:t>
      </w:r>
      <w:r>
        <w:rPr>
          <w:spacing w:val="-9"/>
        </w:rPr>
        <w:t> </w:t>
      </w:r>
      <w:r>
        <w:rPr/>
        <w:t>for</w:t>
      </w:r>
      <w:r>
        <w:rPr>
          <w:spacing w:val="-9"/>
        </w:rPr>
        <w:t> </w:t>
      </w:r>
      <w:r>
        <w:rPr/>
        <w:t>the</w:t>
      </w:r>
      <w:r>
        <w:rPr>
          <w:spacing w:val="-11"/>
        </w:rPr>
        <w:t> </w:t>
      </w:r>
      <w:r>
        <w:rPr/>
        <w:t>given</w:t>
      </w:r>
      <w:r>
        <w:rPr>
          <w:spacing w:val="-9"/>
        </w:rPr>
        <w:t> </w:t>
      </w:r>
      <w:r>
        <w:rPr/>
        <w:t>data</w:t>
      </w:r>
      <w:r>
        <w:rPr>
          <w:spacing w:val="-11"/>
        </w:rPr>
        <w:t> </w:t>
      </w:r>
      <w:r>
        <w:rPr/>
        <w:t>set.</w:t>
      </w:r>
      <w:r>
        <w:rPr>
          <w:spacing w:val="40"/>
        </w:rPr>
        <w:t> </w:t>
      </w:r>
      <w:r>
        <w:rPr/>
        <w:t>As</w:t>
      </w:r>
      <w:r>
        <w:rPr>
          <w:spacing w:val="-10"/>
        </w:rPr>
        <w:t> </w:t>
      </w:r>
      <w:r>
        <w:rPr/>
        <w:t>discussed</w:t>
      </w:r>
      <w:r>
        <w:rPr>
          <w:spacing w:val="-10"/>
        </w:rPr>
        <w:t> </w:t>
      </w:r>
      <w:r>
        <w:rPr/>
        <w:t>previously</w:t>
      </w:r>
      <w:r>
        <w:rPr>
          <w:spacing w:val="-11"/>
        </w:rPr>
        <w:t> </w:t>
      </w:r>
      <w:r>
        <w:rPr/>
        <w:t>with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revised</w:t>
      </w:r>
      <w:r>
        <w:rPr>
          <w:spacing w:val="-58"/>
        </w:rPr>
        <w:t> </w:t>
      </w:r>
      <w:r>
        <w:rPr/>
        <w:t>UFC models, the calibrated parameters adjust based on the data.</w:t>
      </w:r>
      <w:r>
        <w:rPr>
          <w:spacing w:val="1"/>
        </w:rPr>
        <w:t> </w:t>
      </w:r>
      <w:r>
        <w:rPr/>
        <w:t>Since the weight of the</w:t>
      </w:r>
      <w:r>
        <w:rPr>
          <w:spacing w:val="1"/>
        </w:rPr>
        <w:t> </w:t>
      </w:r>
      <w:r>
        <w:rPr/>
        <w:t>projectile, </w:t>
      </w:r>
      <w:r>
        <w:rPr>
          <w:i/>
        </w:rPr>
        <w:t>w, </w:t>
      </w:r>
      <w:r>
        <w:rPr/>
        <w:t>is constant, the </w:t>
      </w:r>
      <w:r>
        <w:rPr>
          <w:i/>
        </w:rPr>
        <w:t>g </w:t>
      </w:r>
      <w:r>
        <w:rPr/>
        <w:t>and </w:t>
      </w:r>
      <w:r>
        <w:rPr>
          <w:i/>
        </w:rPr>
        <w:t>h </w:t>
      </w:r>
      <w:r>
        <w:rPr/>
        <w:t>parameters in the model equation simply adjust to</w:t>
      </w:r>
      <w:r>
        <w:rPr>
          <w:spacing w:val="1"/>
        </w:rPr>
        <w:t> </w:t>
      </w:r>
      <w:r>
        <w:rPr/>
        <w:t>keep the plotted curve fitting the data with the absence of the additional constant of </w:t>
      </w:r>
      <w:r>
        <w:rPr>
          <w:i/>
        </w:rPr>
        <w:t>A.</w:t>
      </w:r>
      <w:r>
        <w:rPr>
          <w:i/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comparison of the general THOR model to the classical penetration models and force law</w:t>
      </w:r>
      <w:r>
        <w:rPr>
          <w:spacing w:val="-57"/>
        </w:rPr>
        <w:t> </w:t>
      </w:r>
      <w:r>
        <w:rPr/>
        <w:t>model is shown in </w:t>
      </w:r>
      <w:hyperlink w:history="true" w:anchor="_bookmark84">
        <w:r>
          <w:rPr/>
          <w:t>Figure 5-25</w:t>
        </w:r>
      </w:hyperlink>
      <w:r>
        <w:rPr/>
        <w:t>.</w:t>
      </w:r>
      <w:r>
        <w:rPr>
          <w:spacing w:val="1"/>
        </w:rPr>
        <w:t> </w:t>
      </w:r>
      <w:r>
        <w:rPr/>
        <w:t>The yellow lines on the plot mark a range of striking</w:t>
      </w:r>
      <w:r>
        <w:rPr>
          <w:spacing w:val="1"/>
        </w:rPr>
        <w:t> </w:t>
      </w:r>
      <w:r>
        <w:rPr/>
        <w:t>velocities, approximately 1,400 fps to 3,100 fps (420 to 950 m/s) where all of the models</w:t>
      </w:r>
      <w:r>
        <w:rPr>
          <w:spacing w:val="1"/>
        </w:rPr>
        <w:t> </w:t>
      </w:r>
      <w:r>
        <w:rPr/>
        <w:t>except</w:t>
      </w:r>
      <w:r>
        <w:rPr>
          <w:spacing w:val="-2"/>
        </w:rPr>
        <w:t> </w:t>
      </w:r>
      <w:r>
        <w:rPr/>
        <w:t>the Euler-Robbins</w:t>
      </w:r>
      <w:r>
        <w:rPr>
          <w:spacing w:val="-1"/>
        </w:rPr>
        <w:t> </w:t>
      </w:r>
      <w:r>
        <w:rPr/>
        <w:t>models generally</w:t>
      </w:r>
      <w:r>
        <w:rPr>
          <w:spacing w:val="-1"/>
        </w:rPr>
        <w:t> </w:t>
      </w:r>
      <w:r>
        <w:rPr/>
        <w:t>track</w:t>
      </w:r>
      <w:r>
        <w:rPr>
          <w:spacing w:val="-3"/>
        </w:rPr>
        <w:t> </w:t>
      </w:r>
      <w:r>
        <w:rPr/>
        <w:t>along the</w:t>
      </w:r>
      <w:r>
        <w:rPr>
          <w:spacing w:val="-1"/>
        </w:rPr>
        <w:t> </w:t>
      </w:r>
      <w:r>
        <w:rPr/>
        <w:t>same</w:t>
      </w:r>
      <w:r>
        <w:rPr>
          <w:spacing w:val="-1"/>
        </w:rPr>
        <w:t> </w:t>
      </w:r>
      <w:r>
        <w:rPr/>
        <w:t>values.</w:t>
      </w:r>
    </w:p>
    <w:p>
      <w:pPr>
        <w:spacing w:after="0" w:line="480" w:lineRule="auto"/>
        <w:jc w:val="both"/>
        <w:sectPr>
          <w:type w:val="continuous"/>
          <w:pgSz w:w="12240" w:h="15840"/>
          <w:pgMar w:top="1380" w:bottom="280" w:left="1720" w:right="1020"/>
        </w:sectPr>
      </w:pPr>
    </w:p>
    <w:p>
      <w:pPr>
        <w:pStyle w:val="Heading5"/>
        <w:spacing w:before="75"/>
        <w:ind w:left="42" w:right="408"/>
        <w:jc w:val="center"/>
      </w:pPr>
      <w:r>
        <w:rPr/>
        <w:t>Striking</w:t>
      </w:r>
      <w:r>
        <w:rPr>
          <w:spacing w:val="-9"/>
        </w:rPr>
        <w:t> </w:t>
      </w:r>
      <w:r>
        <w:rPr/>
        <w:t>Velocity</w:t>
      </w:r>
      <w:r>
        <w:rPr>
          <w:spacing w:val="-1"/>
        </w:rPr>
        <w:t> </w:t>
      </w:r>
      <w:r>
        <w:rPr/>
        <w:t>(V</w:t>
      </w:r>
      <w:r>
        <w:rPr>
          <w:position w:val="-6"/>
          <w:sz w:val="21"/>
        </w:rPr>
        <w:t>s</w:t>
      </w:r>
      <w:r>
        <w:rPr/>
        <w:t>)</w:t>
      </w:r>
      <w:r>
        <w:rPr>
          <w:spacing w:val="-2"/>
        </w:rPr>
        <w:t> </w:t>
      </w:r>
      <w:r>
        <w:rPr/>
        <w:t>(m/s)</w:t>
      </w:r>
    </w:p>
    <w:p>
      <w:pPr>
        <w:spacing w:line="171" w:lineRule="exact" w:before="26"/>
        <w:ind w:left="175" w:right="0" w:firstLine="0"/>
        <w:jc w:val="center"/>
        <w:rPr>
          <w:sz w:val="19"/>
        </w:rPr>
      </w:pPr>
      <w:r>
        <w:rPr/>
        <w:pict>
          <v:shape style="position:absolute;margin-left:106.335281pt;margin-top:9.118442pt;width:20.3pt;height:198.35pt;mso-position-horizontal-relative:page;mso-position-vertical-relative:paragraph;z-index:15828992" type="#_x0000_t202" filled="false" stroked="false">
            <v:textbox inset="0,0,0,0" style="layout-flow:vertical;mso-layout-flow-alt:bottom-to-top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sz w:val="28"/>
                    </w:rPr>
                  </w:pPr>
                  <w:r>
                    <w:rPr>
                      <w:sz w:val="28"/>
                    </w:rPr>
                    <w:t>Depth</w:t>
                  </w:r>
                  <w:r>
                    <w:rPr>
                      <w:spacing w:val="7"/>
                      <w:sz w:val="28"/>
                    </w:rPr>
                    <w:t> </w:t>
                  </w:r>
                  <w:r>
                    <w:rPr>
                      <w:sz w:val="28"/>
                    </w:rPr>
                    <w:t>of</w:t>
                  </w:r>
                  <w:r>
                    <w:rPr>
                      <w:spacing w:val="6"/>
                      <w:sz w:val="28"/>
                    </w:rPr>
                    <w:t> </w:t>
                  </w:r>
                  <w:r>
                    <w:rPr>
                      <w:sz w:val="28"/>
                    </w:rPr>
                    <w:t>Penetration</w:t>
                  </w:r>
                  <w:r>
                    <w:rPr>
                      <w:spacing w:val="9"/>
                      <w:sz w:val="28"/>
                    </w:rPr>
                    <w:t> </w:t>
                  </w:r>
                  <w:r>
                    <w:rPr>
                      <w:sz w:val="28"/>
                    </w:rPr>
                    <w:t>(T</w:t>
                  </w:r>
                  <w:r>
                    <w:rPr>
                      <w:position w:val="-6"/>
                      <w:sz w:val="21"/>
                    </w:rPr>
                    <w:t>w</w:t>
                  </w:r>
                  <w:r>
                    <w:rPr>
                      <w:sz w:val="28"/>
                    </w:rPr>
                    <w:t>)</w:t>
                  </w:r>
                  <w:r>
                    <w:rPr>
                      <w:spacing w:val="6"/>
                      <w:sz w:val="28"/>
                    </w:rPr>
                    <w:t> </w:t>
                  </w:r>
                  <w:r>
                    <w:rPr>
                      <w:sz w:val="28"/>
                    </w:rPr>
                    <w:t>(inches)</w:t>
                  </w:r>
                </w:p>
              </w:txbxContent>
            </v:textbox>
            <w10:wrap type="none"/>
          </v:shape>
        </w:pict>
      </w:r>
      <w:r>
        <w:rPr>
          <w:sz w:val="19"/>
        </w:rPr>
        <w:t>180</w:t>
      </w:r>
      <w:r>
        <w:rPr>
          <w:spacing w:val="51"/>
          <w:sz w:val="19"/>
        </w:rPr>
        <w:t> </w:t>
      </w:r>
      <w:r>
        <w:rPr>
          <w:sz w:val="19"/>
        </w:rPr>
        <w:t>240</w:t>
      </w:r>
      <w:r>
        <w:rPr>
          <w:spacing w:val="56"/>
          <w:sz w:val="19"/>
        </w:rPr>
        <w:t> </w:t>
      </w:r>
      <w:r>
        <w:rPr>
          <w:sz w:val="19"/>
        </w:rPr>
        <w:t>300</w:t>
      </w:r>
      <w:r>
        <w:rPr>
          <w:spacing w:val="61"/>
          <w:sz w:val="19"/>
        </w:rPr>
        <w:t> </w:t>
      </w:r>
      <w:r>
        <w:rPr>
          <w:sz w:val="19"/>
        </w:rPr>
        <w:t>360</w:t>
      </w:r>
      <w:r>
        <w:rPr>
          <w:spacing w:val="41"/>
          <w:sz w:val="19"/>
        </w:rPr>
        <w:t> </w:t>
      </w:r>
      <w:r>
        <w:rPr>
          <w:sz w:val="19"/>
        </w:rPr>
        <w:t>420  480</w:t>
      </w:r>
      <w:r>
        <w:rPr>
          <w:spacing w:val="51"/>
          <w:sz w:val="19"/>
        </w:rPr>
        <w:t> </w:t>
      </w:r>
      <w:r>
        <w:rPr>
          <w:sz w:val="19"/>
        </w:rPr>
        <w:t>540</w:t>
      </w:r>
      <w:r>
        <w:rPr>
          <w:spacing w:val="51"/>
          <w:sz w:val="19"/>
        </w:rPr>
        <w:t> </w:t>
      </w:r>
      <w:r>
        <w:rPr>
          <w:sz w:val="19"/>
        </w:rPr>
        <w:t>600</w:t>
      </w:r>
      <w:r>
        <w:rPr>
          <w:spacing w:val="66"/>
          <w:sz w:val="19"/>
        </w:rPr>
        <w:t> </w:t>
      </w:r>
      <w:r>
        <w:rPr>
          <w:sz w:val="19"/>
        </w:rPr>
        <w:t>660</w:t>
      </w:r>
      <w:r>
        <w:rPr>
          <w:spacing w:val="56"/>
          <w:sz w:val="19"/>
        </w:rPr>
        <w:t> </w:t>
      </w:r>
      <w:r>
        <w:rPr>
          <w:sz w:val="19"/>
        </w:rPr>
        <w:t>720</w:t>
      </w:r>
      <w:r>
        <w:rPr>
          <w:spacing w:val="-3"/>
          <w:sz w:val="19"/>
        </w:rPr>
        <w:t> </w:t>
      </w:r>
      <w:r>
        <w:rPr>
          <w:sz w:val="19"/>
        </w:rPr>
        <w:t>780</w:t>
      </w:r>
      <w:r>
        <w:rPr>
          <w:spacing w:val="50"/>
          <w:sz w:val="19"/>
        </w:rPr>
        <w:t> </w:t>
      </w:r>
      <w:r>
        <w:rPr>
          <w:sz w:val="19"/>
        </w:rPr>
        <w:t>840  900</w:t>
      </w:r>
      <w:r>
        <w:rPr>
          <w:spacing w:val="31"/>
          <w:sz w:val="19"/>
        </w:rPr>
        <w:t> </w:t>
      </w:r>
      <w:r>
        <w:rPr>
          <w:sz w:val="19"/>
        </w:rPr>
        <w:t>960102010801140</w:t>
      </w:r>
      <w:r>
        <w:rPr>
          <w:spacing w:val="-28"/>
          <w:sz w:val="19"/>
        </w:rPr>
        <w:t> </w:t>
      </w:r>
      <w:r>
        <w:rPr>
          <w:sz w:val="19"/>
        </w:rPr>
        <w:t>1200</w:t>
      </w:r>
    </w:p>
    <w:p>
      <w:pPr>
        <w:tabs>
          <w:tab w:pos="8184" w:val="left" w:leader="none"/>
        </w:tabs>
        <w:spacing w:line="175" w:lineRule="auto" w:before="0"/>
        <w:ind w:left="887" w:right="0" w:firstLine="0"/>
        <w:jc w:val="left"/>
        <w:rPr>
          <w:sz w:val="19"/>
        </w:rPr>
      </w:pPr>
      <w:r>
        <w:rPr/>
        <w:pict>
          <v:group style="position:absolute;margin-left:143.450180pt;margin-top:4.128919pt;width:350.5pt;height:188.35pt;mso-position-horizontal-relative:page;mso-position-vertical-relative:paragraph;z-index:-34879488" coordorigin="2869,83" coordsize="7010,3767">
            <v:rect style="position:absolute;left:2877;top:92;width:6992;height:3749" filled="false" stroked="true" strokeweight=".886124pt" strokecolor="#000000">
              <v:stroke dashstyle="solid"/>
            </v:rect>
            <v:line style="position:absolute" from="4043,3841" to="4043,3734" stroked="true" strokeweight=".664591pt" strokecolor="#000000">
              <v:stroke dashstyle="solid"/>
            </v:line>
            <v:line style="position:absolute" from="4433,3841" to="4433,3734" stroked="true" strokeweight=".664591pt" strokecolor="#000000">
              <v:stroke dashstyle="solid"/>
            </v:line>
            <v:line style="position:absolute" from="4818,3841" to="4818,3734" stroked="true" strokeweight=".664591pt" strokecolor="#000000">
              <v:stroke dashstyle="solid"/>
            </v:line>
            <v:line style="position:absolute" from="5208,3841" to="5208,3734" stroked="true" strokeweight=".664591pt" strokecolor="#000000">
              <v:stroke dashstyle="solid"/>
            </v:line>
            <v:line style="position:absolute" from="5598,3841" to="5598,3734" stroked="true" strokeweight=".664591pt" strokecolor="#000000">
              <v:stroke dashstyle="solid"/>
            </v:line>
            <v:line style="position:absolute" from="5984,3841" to="5984,3734" stroked="true" strokeweight=".664591pt" strokecolor="#000000">
              <v:stroke dashstyle="solid"/>
            </v:line>
            <v:line style="position:absolute" from="6374,3841" to="6374,3734" stroked="true" strokeweight=".664591pt" strokecolor="#000000">
              <v:stroke dashstyle="solid"/>
            </v:line>
            <v:line style="position:absolute" from="6759,3841" to="6759,3734" stroked="true" strokeweight=".664591pt" strokecolor="#000000">
              <v:stroke dashstyle="solid"/>
            </v:line>
            <v:line style="position:absolute" from="7149,3841" to="7149,3734" stroked="true" strokeweight=".664591pt" strokecolor="#000000">
              <v:stroke dashstyle="solid"/>
            </v:line>
            <v:line style="position:absolute" from="7539,3841" to="7539,3734" stroked="true" strokeweight=".664591pt" strokecolor="#000000">
              <v:stroke dashstyle="solid"/>
            </v:line>
            <v:line style="position:absolute" from="7924,3841" to="7924,3734" stroked="true" strokeweight=".664591pt" strokecolor="#000000">
              <v:stroke dashstyle="solid"/>
            </v:line>
            <v:line style="position:absolute" from="8314,3841" to="8314,3734" stroked="true" strokeweight=".664591pt" strokecolor="#000000">
              <v:stroke dashstyle="solid"/>
            </v:line>
            <v:line style="position:absolute" from="8704,3841" to="8704,3734" stroked="true" strokeweight=".664591pt" strokecolor="#000000">
              <v:stroke dashstyle="solid"/>
            </v:line>
            <v:line style="position:absolute" from="9090,3841" to="9090,3734" stroked="true" strokeweight=".664591pt" strokecolor="#000000">
              <v:stroke dashstyle="solid"/>
            </v:line>
            <v:line style="position:absolute" from="9479,3841" to="9479,3734" stroked="true" strokeweight=".664591pt" strokecolor="#000000">
              <v:stroke dashstyle="solid"/>
            </v:line>
            <v:line style="position:absolute" from="3250,92" to="3250,203" stroked="true" strokeweight=".664591pt" strokecolor="#000000">
              <v:stroke dashstyle="solid"/>
            </v:line>
            <v:line style="position:absolute" from="3631,92" to="3631,203" stroked="true" strokeweight=".664591pt" strokecolor="#000000">
              <v:stroke dashstyle="solid"/>
            </v:line>
            <v:line style="position:absolute" from="4012,92" to="4012,203" stroked="true" strokeweight=".664591pt" strokecolor="#000000">
              <v:stroke dashstyle="solid"/>
            </v:line>
            <v:line style="position:absolute" from="4393,92" to="4393,203" stroked="true" strokeweight=".664591pt" strokecolor="#000000">
              <v:stroke dashstyle="solid"/>
            </v:line>
            <v:line style="position:absolute" from="4779,92" to="4779,203" stroked="true" strokeweight=".664591pt" strokecolor="#000000">
              <v:stroke dashstyle="solid"/>
            </v:line>
            <v:line style="position:absolute" from="5160,92" to="5160,203" stroked="true" strokeweight=".664591pt" strokecolor="#000000">
              <v:stroke dashstyle="solid"/>
            </v:line>
            <v:line style="position:absolute" from="5541,92" to="5541,203" stroked="true" strokeweight=".664591pt" strokecolor="#000000">
              <v:stroke dashstyle="solid"/>
            </v:line>
            <v:line style="position:absolute" from="5922,92" to="5922,203" stroked="true" strokeweight=".664591pt" strokecolor="#000000">
              <v:stroke dashstyle="solid"/>
            </v:line>
            <v:line style="position:absolute" from="6307,92" to="6307,203" stroked="true" strokeweight=".664591pt" strokecolor="#000000">
              <v:stroke dashstyle="solid"/>
            </v:line>
            <v:line style="position:absolute" from="6688,92" to="6688,203" stroked="true" strokeweight=".664591pt" strokecolor="#000000">
              <v:stroke dashstyle="solid"/>
            </v:line>
            <v:line style="position:absolute" from="7069,92" to="7069,203" stroked="true" strokeweight=".664591pt" strokecolor="#000000">
              <v:stroke dashstyle="solid"/>
            </v:line>
            <v:line style="position:absolute" from="7450,92" to="7450,203" stroked="true" strokeweight=".664591pt" strokecolor="#000000">
              <v:stroke dashstyle="solid"/>
            </v:line>
            <v:line style="position:absolute" from="7836,92" to="7836,203" stroked="true" strokeweight=".664591pt" strokecolor="#000000">
              <v:stroke dashstyle="solid"/>
            </v:line>
            <v:line style="position:absolute" from="8598,92" to="8598,203" stroked="true" strokeweight=".664591pt" strokecolor="#000000">
              <v:stroke dashstyle="solid"/>
            </v:line>
            <v:line style="position:absolute" from="2878,3309" to="3015,3309" stroked="true" strokeweight=".664594pt" strokecolor="#000000">
              <v:stroke dashstyle="solid"/>
            </v:line>
            <v:line style="position:absolute" from="2878,3039" to="3015,3039" stroked="true" strokeweight=".664594pt" strokecolor="#000000">
              <v:stroke dashstyle="solid"/>
            </v:line>
            <v:line style="position:absolute" from="2878,2773" to="3015,2773" stroked="true" strokeweight=".664594pt" strokecolor="#000000">
              <v:stroke dashstyle="solid"/>
            </v:line>
            <v:line style="position:absolute" from="2878,2502" to="3015,2502" stroked="true" strokeweight=".664594pt" strokecolor="#000000">
              <v:stroke dashstyle="solid"/>
            </v:line>
            <v:line style="position:absolute" from="2878,2237" to="3015,2237" stroked="true" strokeweight=".664594pt" strokecolor="#000000">
              <v:stroke dashstyle="solid"/>
            </v:line>
            <v:line style="position:absolute" from="2878,1966" to="3015,1966" stroked="true" strokeweight=".664594pt" strokecolor="#000000">
              <v:stroke dashstyle="solid"/>
            </v:line>
            <v:line style="position:absolute" from="2878,1701" to="3015,1701" stroked="true" strokeweight=".664594pt" strokecolor="#000000">
              <v:stroke dashstyle="solid"/>
            </v:line>
            <v:line style="position:absolute" from="2878,1430" to="3015,1430" stroked="true" strokeweight=".664594pt" strokecolor="#000000">
              <v:stroke dashstyle="solid"/>
            </v:line>
            <v:line style="position:absolute" from="2878,1164" to="3015,1164" stroked="true" strokeweight=".664594pt" strokecolor="#000000">
              <v:stroke dashstyle="solid"/>
            </v:line>
            <v:line style="position:absolute" from="2878,899" to="3015,899" stroked="true" strokeweight=".664594pt" strokecolor="#000000">
              <v:stroke dashstyle="solid"/>
            </v:line>
            <v:line style="position:absolute" from="2878,628" to="3015,628" stroked="true" strokeweight=".664594pt" strokecolor="#000000">
              <v:stroke dashstyle="solid"/>
            </v:line>
            <v:line style="position:absolute" from="2878,362" to="3015,362" stroked="true" strokeweight=".664594pt" strokecolor="#000000">
              <v:stroke dashstyle="solid"/>
            </v:line>
            <v:line style="position:absolute" from="9869,3841" to="9728,3841" stroked="true" strokeweight=".664594pt" strokecolor="#000000">
              <v:stroke dashstyle="solid"/>
            </v:line>
            <v:line style="position:absolute" from="9869,3579" to="9728,3579" stroked="true" strokeweight=".664594pt" strokecolor="#000000">
              <v:stroke dashstyle="solid"/>
            </v:line>
            <v:line style="position:absolute" from="9869,3313" to="9728,3313" stroked="true" strokeweight=".664594pt" strokecolor="#000000">
              <v:stroke dashstyle="solid"/>
            </v:line>
            <v:line style="position:absolute" from="9869,3052" to="9728,3052" stroked="true" strokeweight=".664594pt" strokecolor="#000000">
              <v:stroke dashstyle="solid"/>
            </v:line>
            <v:line style="position:absolute" from="9869,2786" to="9728,2786" stroked="true" strokeweight=".664594pt" strokecolor="#000000">
              <v:stroke dashstyle="solid"/>
            </v:line>
            <v:line style="position:absolute" from="9869,2525" to="9728,2525" stroked="true" strokeweight=".664594pt" strokecolor="#000000">
              <v:stroke dashstyle="solid"/>
            </v:line>
            <v:line style="position:absolute" from="9869,2263" to="9728,2263" stroked="true" strokeweight=".664594pt" strokecolor="#000000">
              <v:stroke dashstyle="solid"/>
            </v:line>
            <v:line style="position:absolute" from="9869,1997" to="9728,1997" stroked="true" strokeweight=".664594pt" strokecolor="#000000">
              <v:stroke dashstyle="solid"/>
            </v:line>
            <v:line style="position:absolute" from="9869,1736" to="9728,1736" stroked="true" strokeweight=".664594pt" strokecolor="#000000">
              <v:stroke dashstyle="solid"/>
            </v:line>
            <v:line style="position:absolute" from="9869,1470" to="9728,1470" stroked="true" strokeweight=".664594pt" strokecolor="#000000">
              <v:stroke dashstyle="solid"/>
            </v:line>
            <v:line style="position:absolute" from="9869,1209" to="9728,1209" stroked="true" strokeweight=".664594pt" strokecolor="#000000">
              <v:stroke dashstyle="solid"/>
            </v:line>
            <v:line style="position:absolute" from="9869,943" to="9728,943" stroked="true" strokeweight=".664594pt" strokecolor="#000000">
              <v:stroke dashstyle="solid"/>
            </v:line>
            <v:line style="position:absolute" from="9869,681" to="9728,681" stroked="true" strokeweight=".664594pt" strokecolor="#000000">
              <v:stroke dashstyle="solid"/>
            </v:line>
            <v:line style="position:absolute" from="9869,416" to="9728,416" stroked="true" strokeweight=".664594pt" strokecolor="#000000">
              <v:stroke dashstyle="solid"/>
            </v:line>
            <v:shape style="position:absolute;left:7445;top:464;width:76;height:63" coordorigin="7446,464" coordsize="76,63" path="m7486,526l7446,495,7486,464,7521,495,7486,526xe" filled="true" fillcolor="#ff0000" stroked="false">
              <v:path arrowok="t"/>
              <v:fill type="solid"/>
            </v:shape>
            <v:shape style="position:absolute;left:7445;top:464;width:76;height:63" coordorigin="7446,464" coordsize="76,63" path="m7486,464l7521,495,7486,526,7446,495,7486,464xe" filled="false" stroked="true" strokeweight=".886123pt" strokecolor="#ff0000">
              <v:path arrowok="t"/>
              <v:stroke dashstyle="solid"/>
            </v:shape>
            <v:shape style="position:absolute;left:6586;top:1337;width:76;height:58" coordorigin="6586,1337" coordsize="76,58" path="m6622,1395l6586,1364,6622,1337,6662,1364,6622,1395xe" filled="true" fillcolor="#ff0000" stroked="false">
              <v:path arrowok="t"/>
              <v:fill type="solid"/>
            </v:shape>
            <v:shape style="position:absolute;left:6586;top:1337;width:76;height:58" coordorigin="6586,1337" coordsize="76,58" path="m6622,1337l6662,1364,6622,1395,6586,1364,6622,1337xe" filled="false" stroked="true" strokeweight=".886123pt" strokecolor="#ff0000">
              <v:path arrowok="t"/>
              <v:stroke dashstyle="solid"/>
            </v:shape>
            <v:shape style="position:absolute;left:6311;top:1501;width:76;height:63" coordorigin="6312,1501" coordsize="76,63" path="m6351,1563l6312,1532,6351,1501,6387,1532,6351,1563xe" filled="true" fillcolor="#ff0000" stroked="false">
              <v:path arrowok="t"/>
              <v:fill type="solid"/>
            </v:shape>
            <v:shape style="position:absolute;left:6311;top:1501;width:76;height:63" coordorigin="6312,1501" coordsize="76,63" path="m6351,1501l6387,1532,6351,1563,6312,1532,6351,1501xe" filled="false" stroked="true" strokeweight=".886123pt" strokecolor="#ff0000">
              <v:path arrowok="t"/>
              <v:stroke dashstyle="solid"/>
            </v:shape>
            <v:shape style="position:absolute;left:6254;top:2533;width:76;height:58" coordorigin="6254,2533" coordsize="76,58" path="m6329,2591l6254,2591,6289,2533,6329,2591xe" filled="true" fillcolor="#0000ff" stroked="false">
              <v:path arrowok="t"/>
              <v:fill type="solid"/>
            </v:shape>
            <v:shape style="position:absolute;left:6254;top:2533;width:76;height:58" coordorigin="6254,2533" coordsize="76,58" path="m6289,2533l6329,2591,6254,2591,6289,2533xe" filled="false" stroked="true" strokeweight=".886123pt" strokecolor="#0000ff">
              <v:path arrowok="t"/>
              <v:stroke dashstyle="solid"/>
            </v:shape>
            <v:shape style="position:absolute;left:9213;top:521;width:76;height:58" coordorigin="9214,522" coordsize="76,58" path="m9289,580l9214,580,9254,522,9289,580xe" filled="true" fillcolor="#0000ff" stroked="false">
              <v:path arrowok="t"/>
              <v:fill type="solid"/>
            </v:shape>
            <v:shape style="position:absolute;left:9213;top:521;width:76;height:58" coordorigin="9214,522" coordsize="76,58" path="m9254,522l9289,580,9214,580,9254,522xe" filled="false" stroked="true" strokeweight=".886123pt" strokecolor="#0000ff">
              <v:path arrowok="t"/>
              <v:stroke dashstyle="solid"/>
            </v:shape>
            <v:shape style="position:absolute;left:6701;top:2063;width:76;height:58" coordorigin="6701,2064" coordsize="76,58" path="m6777,2121l6701,2121,6737,2064,6777,2121xe" filled="true" fillcolor="#0000ff" stroked="false">
              <v:path arrowok="t"/>
              <v:fill type="solid"/>
            </v:shape>
            <v:shape style="position:absolute;left:6701;top:2063;width:76;height:58" coordorigin="6701,2064" coordsize="76,58" path="m6737,2064l6777,2121,6701,2121,6737,2064xe" filled="false" stroked="true" strokeweight=".886123pt" strokecolor="#0000ff">
              <v:path arrowok="t"/>
              <v:stroke dashstyle="solid"/>
            </v:shape>
            <v:shape style="position:absolute;left:6670;top:2063;width:76;height:58" coordorigin="6670,2064" coordsize="76,58" path="m6746,2121l6670,2121,6706,2064,6746,2121xe" filled="true" fillcolor="#0000ff" stroked="false">
              <v:path arrowok="t"/>
              <v:fill type="solid"/>
            </v:shape>
            <v:shape style="position:absolute;left:6670;top:2063;width:76;height:58" coordorigin="6670,2064" coordsize="76,58" path="m6706,2064l6746,2121,6670,2121,6706,2064xe" filled="false" stroked="true" strokeweight=".886123pt" strokecolor="#0000ff">
              <v:path arrowok="t"/>
              <v:stroke dashstyle="solid"/>
            </v:shape>
            <v:shape style="position:absolute;left:2877;top:92;width:6992;height:3749" type="#_x0000_t75" stroked="false">
              <v:imagedata r:id="rId155" o:title=""/>
            </v:shape>
            <v:rect style="position:absolute;left:2877;top:91;width:6992;height:3749" filled="false" stroked="true" strokeweight=".886124pt" strokecolor="#000000">
              <v:stroke dashstyle="solid"/>
            </v:rect>
            <v:shape style="position:absolute;left:3196;top:295;width:76;height:63" coordorigin="3197,295" coordsize="76,63" path="m3237,357l3197,326,3237,295,3272,326,3237,357xe" filled="true" fillcolor="#ff0000" stroked="false">
              <v:path arrowok="t"/>
              <v:fill type="solid"/>
            </v:shape>
            <v:shape style="position:absolute;left:3196;top:295;width:76;height:63" coordorigin="3197,295" coordsize="76,63" path="m3237,295l3272,326,3237,357,3197,326,3237,295xe" filled="false" stroked="true" strokeweight=".886123pt" strokecolor="#ff0000">
              <v:path arrowok="t"/>
              <v:stroke dashstyle="solid"/>
            </v:shape>
            <v:shape style="position:absolute;left:3196;top:556;width:76;height:58" coordorigin="3197,557" coordsize="76,58" path="m3272,614l3197,614,3237,557,3272,614xe" filled="true" fillcolor="#0000ff" stroked="false">
              <v:path arrowok="t"/>
              <v:fill type="solid"/>
            </v:shape>
            <v:shape style="position:absolute;left:3196;top:556;width:76;height:58" coordorigin="3197,557" coordsize="76,58" path="m3237,557l3272,614,3197,614,3237,557xe" filled="false" stroked="true" strokeweight=".886123pt" strokecolor="#0000ff">
              <v:path arrowok="t"/>
              <v:stroke dashstyle="solid"/>
            </v:shape>
            <v:line style="position:absolute" from="3126,862" to="3325,862" stroked="true" strokeweight=".443062pt" strokecolor="#800080">
              <v:stroke dashstyle="solid"/>
            </v:line>
            <v:line style="position:absolute" from="3126,1128" to="3325,1128" stroked="true" strokeweight=".443062pt" strokecolor="#33cccc">
              <v:stroke dashstyle="solid"/>
            </v:line>
            <v:line style="position:absolute" from="3126,1394" to="3325,1394" stroked="true" strokeweight=".443062pt" strokecolor="#ff6600">
              <v:stroke dashstyle="solid"/>
            </v:line>
            <v:line style="position:absolute" from="3126,1660" to="3325,1660" stroked="true" strokeweight=".443062pt" strokecolor="#00ff00">
              <v:stroke dashstyle="solid"/>
            </v:line>
            <v:line style="position:absolute" from="3126,1930" to="3325,1930" stroked="true" strokeweight=".443062pt" strokecolor="#666699">
              <v:stroke dashstyle="solid"/>
            </v:line>
            <v:shape style="position:absolute;left:2869;top:82;width:7010;height:3767" type="#_x0000_t202" filled="false" stroked="false">
              <v:textbox inset="0,0,0,0">
                <w:txbxContent>
                  <w:p>
                    <w:pPr>
                      <w:spacing w:line="268" w:lineRule="auto" w:before="132"/>
                      <w:ind w:left="571" w:right="5479" w:firstLine="0"/>
                      <w:jc w:val="lef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SPF-S data</w:t>
                    </w:r>
                    <w:r>
                      <w:rPr>
                        <w:spacing w:val="-50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SYP</w:t>
                    </w:r>
                    <w:r>
                      <w:rPr>
                        <w:spacing w:val="1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data</w:t>
                    </w:r>
                  </w:p>
                  <w:p>
                    <w:pPr>
                      <w:spacing w:line="201" w:lineRule="exact" w:before="0"/>
                      <w:ind w:left="553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Euler-Robbins</w:t>
                    </w:r>
                    <w:r>
                      <w:rPr>
                        <w:spacing w:val="8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model</w:t>
                    </w:r>
                  </w:p>
                  <w:p>
                    <w:pPr>
                      <w:spacing w:line="264" w:lineRule="auto" w:before="24"/>
                      <w:ind w:left="553" w:right="4561" w:firstLine="0"/>
                      <w:jc w:val="lef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Poncelet</w:t>
                    </w:r>
                    <w:r>
                      <w:rPr>
                        <w:spacing w:val="6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(base)</w:t>
                    </w:r>
                    <w:r>
                      <w:rPr>
                        <w:spacing w:val="4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model</w:t>
                    </w:r>
                    <w:r>
                      <w:rPr>
                        <w:spacing w:val="-49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Resal</w:t>
                    </w:r>
                    <w:r>
                      <w:rPr>
                        <w:spacing w:val="-1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model</w:t>
                    </w:r>
                  </w:p>
                  <w:p>
                    <w:pPr>
                      <w:spacing w:before="5"/>
                      <w:ind w:left="553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Force</w:t>
                    </w:r>
                    <w:r>
                      <w:rPr>
                        <w:spacing w:val="4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Law</w:t>
                    </w:r>
                    <w:r>
                      <w:rPr>
                        <w:spacing w:val="3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model</w:t>
                    </w:r>
                  </w:p>
                  <w:p>
                    <w:pPr>
                      <w:spacing w:line="201" w:lineRule="auto" w:before="55"/>
                      <w:ind w:left="571" w:right="4561" w:hanging="18"/>
                      <w:jc w:val="lef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General</w:t>
                    </w:r>
                    <w:r>
                      <w:rPr>
                        <w:spacing w:val="1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THOR</w:t>
                    </w:r>
                    <w:r>
                      <w:rPr>
                        <w:spacing w:val="-50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Equation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519.266479pt;margin-top:8.60638pt;width:20.3pt;height:179.75pt;mso-position-horizontal-relative:page;mso-position-vertical-relative:paragraph;z-index:15829504" type="#_x0000_t202" filled="false" stroked="false">
            <v:textbox inset="0,0,0,0" style="layout-flow:vertical;mso-layout-flow-alt:bottom-to-top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sz w:val="28"/>
                    </w:rPr>
                  </w:pPr>
                  <w:r>
                    <w:rPr>
                      <w:sz w:val="28"/>
                    </w:rPr>
                    <w:t>Depth</w:t>
                  </w:r>
                  <w:r>
                    <w:rPr>
                      <w:spacing w:val="7"/>
                      <w:sz w:val="28"/>
                    </w:rPr>
                    <w:t> </w:t>
                  </w:r>
                  <w:r>
                    <w:rPr>
                      <w:sz w:val="28"/>
                    </w:rPr>
                    <w:t>of</w:t>
                  </w:r>
                  <w:r>
                    <w:rPr>
                      <w:spacing w:val="7"/>
                      <w:sz w:val="28"/>
                    </w:rPr>
                    <w:t> </w:t>
                  </w:r>
                  <w:r>
                    <w:rPr>
                      <w:sz w:val="28"/>
                    </w:rPr>
                    <w:t>Penetration</w:t>
                  </w:r>
                  <w:r>
                    <w:rPr>
                      <w:spacing w:val="8"/>
                      <w:sz w:val="28"/>
                    </w:rPr>
                    <w:t> </w:t>
                  </w:r>
                  <w:r>
                    <w:rPr>
                      <w:sz w:val="28"/>
                    </w:rPr>
                    <w:t>(T</w:t>
                  </w:r>
                  <w:r>
                    <w:rPr>
                      <w:position w:val="-6"/>
                      <w:sz w:val="21"/>
                    </w:rPr>
                    <w:t>w</w:t>
                  </w:r>
                  <w:r>
                    <w:rPr>
                      <w:sz w:val="28"/>
                    </w:rPr>
                    <w:t>)</w:t>
                  </w:r>
                  <w:r>
                    <w:rPr>
                      <w:spacing w:val="7"/>
                      <w:sz w:val="28"/>
                    </w:rPr>
                    <w:t> </w:t>
                  </w:r>
                  <w:r>
                    <w:rPr>
                      <w:sz w:val="28"/>
                    </w:rPr>
                    <w:t>(cm)</w:t>
                  </w:r>
                </w:p>
              </w:txbxContent>
            </v:textbox>
            <w10:wrap type="none"/>
          </v:shape>
        </w:pict>
      </w:r>
      <w:r>
        <w:rPr>
          <w:w w:val="105"/>
          <w:sz w:val="19"/>
        </w:rPr>
        <w:t>14</w:t>
        <w:tab/>
      </w:r>
      <w:r>
        <w:rPr>
          <w:w w:val="105"/>
          <w:position w:val="-6"/>
          <w:sz w:val="19"/>
        </w:rPr>
        <w:t>35</w:t>
      </w:r>
    </w:p>
    <w:p>
      <w:pPr>
        <w:tabs>
          <w:tab w:pos="8198" w:val="left" w:leader="none"/>
        </w:tabs>
        <w:spacing w:before="2"/>
        <w:ind w:left="887" w:right="0" w:firstLine="0"/>
        <w:jc w:val="left"/>
        <w:rPr>
          <w:sz w:val="19"/>
        </w:rPr>
      </w:pPr>
      <w:r>
        <w:rPr>
          <w:w w:val="105"/>
          <w:position w:val="4"/>
          <w:sz w:val="19"/>
        </w:rPr>
        <w:t>13</w:t>
        <w:tab/>
      </w:r>
      <w:r>
        <w:rPr>
          <w:w w:val="105"/>
          <w:sz w:val="19"/>
        </w:rPr>
        <w:t>32.5</w:t>
      </w:r>
    </w:p>
    <w:p>
      <w:pPr>
        <w:tabs>
          <w:tab w:pos="8193" w:val="left" w:leader="none"/>
        </w:tabs>
        <w:spacing w:before="25"/>
        <w:ind w:left="887" w:right="0" w:firstLine="0"/>
        <w:jc w:val="left"/>
        <w:rPr>
          <w:sz w:val="19"/>
        </w:rPr>
      </w:pPr>
      <w:r>
        <w:rPr/>
        <w:pict>
          <v:line style="position:absolute;mso-position-horizontal-relative:page;mso-position-vertical-relative:paragraph;z-index:-34878464" from="390.799902pt,63.642847pt" to="389.899902pt,4.792847pt" stroked="true" strokeweight="3pt" strokecolor="#ffc000">
            <v:stroke dashstyle="solid"/>
            <w10:wrap type="none"/>
          </v:line>
        </w:pict>
      </w:r>
      <w:r>
        <w:rPr>
          <w:w w:val="105"/>
          <w:sz w:val="19"/>
        </w:rPr>
        <w:t>12</w:t>
        <w:tab/>
      </w:r>
      <w:r>
        <w:rPr>
          <w:w w:val="105"/>
          <w:position w:val="-3"/>
          <w:sz w:val="19"/>
        </w:rPr>
        <w:t>30</w:t>
      </w:r>
    </w:p>
    <w:p>
      <w:pPr>
        <w:tabs>
          <w:tab w:pos="8211" w:val="left" w:leader="none"/>
        </w:tabs>
        <w:spacing w:line="257" w:lineRule="exact" w:before="7"/>
        <w:ind w:left="887" w:right="0" w:firstLine="0"/>
        <w:jc w:val="left"/>
        <w:rPr>
          <w:sz w:val="19"/>
        </w:rPr>
      </w:pPr>
      <w:r>
        <w:rPr>
          <w:w w:val="105"/>
          <w:position w:val="5"/>
          <w:sz w:val="19"/>
        </w:rPr>
        <w:t>11</w:t>
        <w:tab/>
      </w:r>
      <w:r>
        <w:rPr>
          <w:w w:val="105"/>
          <w:sz w:val="19"/>
        </w:rPr>
        <w:t>27.5</w:t>
      </w:r>
    </w:p>
    <w:p>
      <w:pPr>
        <w:tabs>
          <w:tab w:pos="8193" w:val="left" w:leader="none"/>
        </w:tabs>
        <w:spacing w:line="223" w:lineRule="auto" w:before="0"/>
        <w:ind w:left="887" w:right="0" w:firstLine="0"/>
        <w:jc w:val="left"/>
        <w:rPr>
          <w:sz w:val="19"/>
        </w:rPr>
      </w:pPr>
      <w:r>
        <w:rPr>
          <w:w w:val="105"/>
          <w:sz w:val="19"/>
        </w:rPr>
        <w:t>10</w:t>
        <w:tab/>
      </w:r>
      <w:r>
        <w:rPr>
          <w:w w:val="105"/>
          <w:position w:val="-4"/>
          <w:sz w:val="19"/>
        </w:rPr>
        <w:t>25</w:t>
      </w:r>
    </w:p>
    <w:p>
      <w:pPr>
        <w:tabs>
          <w:tab w:pos="8211" w:val="left" w:leader="none"/>
        </w:tabs>
        <w:spacing w:before="1"/>
        <w:ind w:left="967" w:right="0" w:firstLine="0"/>
        <w:jc w:val="left"/>
        <w:rPr>
          <w:sz w:val="19"/>
        </w:rPr>
      </w:pPr>
      <w:r>
        <w:rPr>
          <w:w w:val="105"/>
          <w:position w:val="4"/>
          <w:sz w:val="19"/>
        </w:rPr>
        <w:t>9</w:t>
        <w:tab/>
      </w:r>
      <w:r>
        <w:rPr>
          <w:w w:val="105"/>
          <w:sz w:val="19"/>
        </w:rPr>
        <w:t>22.5</w:t>
      </w:r>
    </w:p>
    <w:p>
      <w:pPr>
        <w:tabs>
          <w:tab w:pos="8206" w:val="left" w:leader="none"/>
        </w:tabs>
        <w:spacing w:line="253" w:lineRule="exact" w:before="16"/>
        <w:ind w:left="967" w:right="0" w:firstLine="0"/>
        <w:jc w:val="left"/>
        <w:rPr>
          <w:sz w:val="19"/>
        </w:rPr>
      </w:pPr>
      <w:r>
        <w:rPr>
          <w:w w:val="105"/>
          <w:position w:val="4"/>
          <w:sz w:val="19"/>
        </w:rPr>
        <w:t>8</w:t>
        <w:tab/>
      </w:r>
      <w:r>
        <w:rPr>
          <w:w w:val="105"/>
          <w:sz w:val="19"/>
        </w:rPr>
        <w:t>20</w:t>
      </w:r>
    </w:p>
    <w:p>
      <w:pPr>
        <w:tabs>
          <w:tab w:pos="8206" w:val="left" w:leader="none"/>
        </w:tabs>
        <w:spacing w:line="253" w:lineRule="exact" w:before="0"/>
        <w:ind w:left="967" w:right="0" w:firstLine="0"/>
        <w:jc w:val="left"/>
        <w:rPr>
          <w:sz w:val="19"/>
        </w:rPr>
      </w:pPr>
      <w:r>
        <w:rPr>
          <w:w w:val="105"/>
          <w:position w:val="4"/>
          <w:sz w:val="19"/>
        </w:rPr>
        <w:t>7</w:t>
        <w:tab/>
      </w:r>
      <w:r>
        <w:rPr>
          <w:w w:val="105"/>
          <w:sz w:val="19"/>
        </w:rPr>
        <w:t>17.5</w:t>
      </w:r>
    </w:p>
    <w:p>
      <w:pPr>
        <w:tabs>
          <w:tab w:pos="8206" w:val="left" w:leader="none"/>
        </w:tabs>
        <w:spacing w:before="21"/>
        <w:ind w:left="967" w:right="0" w:firstLine="0"/>
        <w:jc w:val="left"/>
        <w:rPr>
          <w:sz w:val="19"/>
        </w:rPr>
      </w:pPr>
      <w:r>
        <w:rPr/>
        <w:pict>
          <v:line style="position:absolute;mso-position-horizontal-relative:page;mso-position-vertical-relative:paragraph;z-index:-34878976" from="243.100098pt,76.806262pt" to="243.100098pt,2.006262pt" stroked="true" strokeweight="3pt" strokecolor="#ffc000">
            <v:stroke dashstyle="solid"/>
            <w10:wrap type="none"/>
          </v:line>
        </w:pict>
      </w:r>
      <w:r>
        <w:rPr>
          <w:w w:val="105"/>
          <w:position w:val="3"/>
          <w:sz w:val="19"/>
        </w:rPr>
        <w:t>6</w:t>
        <w:tab/>
      </w:r>
      <w:r>
        <w:rPr>
          <w:w w:val="105"/>
          <w:sz w:val="19"/>
        </w:rPr>
        <w:t>15</w:t>
      </w:r>
    </w:p>
    <w:p>
      <w:pPr>
        <w:tabs>
          <w:tab w:pos="8206" w:val="left" w:leader="none"/>
        </w:tabs>
        <w:spacing w:before="12"/>
        <w:ind w:left="967" w:right="0" w:firstLine="0"/>
        <w:jc w:val="left"/>
        <w:rPr>
          <w:sz w:val="19"/>
        </w:rPr>
      </w:pPr>
      <w:r>
        <w:rPr>
          <w:w w:val="105"/>
          <w:position w:val="4"/>
          <w:sz w:val="19"/>
        </w:rPr>
        <w:t>5</w:t>
        <w:tab/>
      </w:r>
      <w:r>
        <w:rPr>
          <w:w w:val="105"/>
          <w:sz w:val="19"/>
        </w:rPr>
        <w:t>12.5</w:t>
      </w:r>
    </w:p>
    <w:p>
      <w:pPr>
        <w:tabs>
          <w:tab w:pos="8206" w:val="left" w:leader="none"/>
        </w:tabs>
        <w:spacing w:before="22"/>
        <w:ind w:left="967" w:right="0" w:firstLine="0"/>
        <w:jc w:val="left"/>
        <w:rPr>
          <w:sz w:val="19"/>
        </w:rPr>
      </w:pPr>
      <w:r>
        <w:rPr>
          <w:w w:val="105"/>
          <w:position w:val="3"/>
          <w:sz w:val="19"/>
        </w:rPr>
        <w:t>4</w:t>
        <w:tab/>
      </w:r>
      <w:r>
        <w:rPr>
          <w:w w:val="105"/>
          <w:sz w:val="19"/>
        </w:rPr>
        <w:t>10</w:t>
      </w:r>
    </w:p>
    <w:p>
      <w:pPr>
        <w:tabs>
          <w:tab w:pos="8206" w:val="left" w:leader="none"/>
        </w:tabs>
        <w:spacing w:before="13"/>
        <w:ind w:left="967" w:right="0" w:firstLine="0"/>
        <w:jc w:val="left"/>
        <w:rPr>
          <w:sz w:val="19"/>
        </w:rPr>
      </w:pPr>
      <w:r>
        <w:rPr>
          <w:w w:val="105"/>
          <w:position w:val="3"/>
          <w:sz w:val="19"/>
        </w:rPr>
        <w:t>3</w:t>
        <w:tab/>
      </w:r>
      <w:r>
        <w:rPr>
          <w:w w:val="105"/>
          <w:sz w:val="19"/>
        </w:rPr>
        <w:t>7.5</w:t>
      </w:r>
    </w:p>
    <w:p>
      <w:pPr>
        <w:tabs>
          <w:tab w:pos="8206" w:val="left" w:leader="none"/>
        </w:tabs>
        <w:spacing w:before="21"/>
        <w:ind w:left="967" w:right="0" w:firstLine="0"/>
        <w:jc w:val="left"/>
        <w:rPr>
          <w:sz w:val="19"/>
        </w:rPr>
      </w:pPr>
      <w:r>
        <w:rPr>
          <w:w w:val="105"/>
          <w:sz w:val="19"/>
        </w:rPr>
        <w:t>2</w:t>
        <w:tab/>
      </w:r>
      <w:r>
        <w:rPr>
          <w:w w:val="105"/>
          <w:position w:val="-3"/>
          <w:sz w:val="19"/>
        </w:rPr>
        <w:t>5</w:t>
      </w:r>
    </w:p>
    <w:p>
      <w:pPr>
        <w:tabs>
          <w:tab w:pos="8206" w:val="left" w:leader="none"/>
        </w:tabs>
        <w:spacing w:before="3"/>
        <w:ind w:left="967" w:right="0" w:firstLine="0"/>
        <w:jc w:val="left"/>
        <w:rPr>
          <w:sz w:val="19"/>
        </w:rPr>
      </w:pPr>
      <w:r>
        <w:rPr>
          <w:w w:val="105"/>
          <w:sz w:val="19"/>
        </w:rPr>
        <w:t>1</w:t>
        <w:tab/>
        <w:t>2.5</w:t>
      </w:r>
    </w:p>
    <w:p>
      <w:pPr>
        <w:tabs>
          <w:tab w:pos="8207" w:val="left" w:leader="none"/>
        </w:tabs>
        <w:spacing w:line="221" w:lineRule="exact" w:before="3"/>
        <w:ind w:left="967" w:right="0" w:firstLine="0"/>
        <w:jc w:val="left"/>
        <w:rPr>
          <w:sz w:val="19"/>
        </w:rPr>
      </w:pPr>
      <w:r>
        <w:rPr>
          <w:w w:val="105"/>
          <w:position w:val="-3"/>
          <w:sz w:val="19"/>
        </w:rPr>
        <w:t>0</w:t>
        <w:tab/>
      </w:r>
      <w:r>
        <w:rPr>
          <w:w w:val="105"/>
          <w:sz w:val="19"/>
        </w:rPr>
        <w:t>0</w:t>
      </w:r>
    </w:p>
    <w:p>
      <w:pPr>
        <w:tabs>
          <w:tab w:pos="1826" w:val="left" w:leader="none"/>
          <w:tab w:pos="2575" w:val="left" w:leader="none"/>
          <w:tab w:pos="3350" w:val="left" w:leader="none"/>
          <w:tab w:pos="4108" w:val="left" w:leader="none"/>
          <w:tab w:pos="4879" w:val="left" w:leader="none"/>
          <w:tab w:pos="5641" w:val="left" w:leader="none"/>
          <w:tab w:pos="6447" w:val="left" w:leader="none"/>
          <w:tab w:pos="7214" w:val="left" w:leader="none"/>
          <w:tab w:pos="7994" w:val="left" w:leader="none"/>
        </w:tabs>
        <w:spacing w:line="215" w:lineRule="exact" w:before="0"/>
        <w:ind w:left="1020" w:right="0" w:firstLine="0"/>
        <w:jc w:val="left"/>
        <w:rPr>
          <w:sz w:val="19"/>
        </w:rPr>
      </w:pPr>
      <w:r>
        <w:rPr>
          <w:w w:val="105"/>
          <w:sz w:val="19"/>
        </w:rPr>
        <w:t>400</w:t>
        <w:tab/>
        <w:t>800</w:t>
        <w:tab/>
        <w:t>1200</w:t>
        <w:tab/>
        <w:t>1600</w:t>
        <w:tab/>
        <w:t>2000</w:t>
        <w:tab/>
        <w:t>2400</w:t>
        <w:tab/>
        <w:t>2800</w:t>
        <w:tab/>
        <w:t>3200</w:t>
        <w:tab/>
        <w:t>3600</w:t>
        <w:tab/>
        <w:t>4000</w:t>
      </w:r>
    </w:p>
    <w:p>
      <w:pPr>
        <w:pStyle w:val="Heading5"/>
        <w:spacing w:before="56"/>
        <w:ind w:left="42" w:right="439"/>
        <w:jc w:val="center"/>
      </w:pPr>
      <w:r>
        <w:rPr/>
        <w:t>Striking</w:t>
      </w:r>
      <w:r>
        <w:rPr>
          <w:spacing w:val="-10"/>
        </w:rPr>
        <w:t> </w:t>
      </w:r>
      <w:r>
        <w:rPr/>
        <w:t>Velocity</w:t>
      </w:r>
      <w:r>
        <w:rPr>
          <w:spacing w:val="-2"/>
        </w:rPr>
        <w:t> </w:t>
      </w:r>
      <w:r>
        <w:rPr/>
        <w:t>(V</w:t>
      </w:r>
      <w:r>
        <w:rPr>
          <w:position w:val="-6"/>
          <w:sz w:val="21"/>
        </w:rPr>
        <w:t>s</w:t>
      </w:r>
      <w:r>
        <w:rPr/>
        <w:t>)</w:t>
      </w:r>
      <w:r>
        <w:rPr>
          <w:spacing w:val="-2"/>
        </w:rPr>
        <w:t> </w:t>
      </w:r>
      <w:r>
        <w:rPr/>
        <w:t>(fps)</w:t>
      </w:r>
    </w:p>
    <w:p>
      <w:pPr>
        <w:spacing w:before="44"/>
        <w:ind w:left="19" w:right="0" w:firstLine="0"/>
        <w:jc w:val="center"/>
        <w:rPr>
          <w:i/>
          <w:sz w:val="24"/>
        </w:rPr>
      </w:pPr>
      <w:bookmarkStart w:name="_bookmark84" w:id="312"/>
      <w:bookmarkEnd w:id="312"/>
      <w:r>
        <w:rPr/>
      </w:r>
      <w:r>
        <w:rPr>
          <w:i/>
          <w:sz w:val="24"/>
        </w:rPr>
        <w:t>Figure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5-25.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general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THOR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model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compared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previous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models.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10"/>
        <w:rPr>
          <w:i/>
          <w:sz w:val="35"/>
        </w:rPr>
      </w:pPr>
    </w:p>
    <w:p>
      <w:pPr>
        <w:pStyle w:val="ListParagraph"/>
        <w:numPr>
          <w:ilvl w:val="2"/>
          <w:numId w:val="21"/>
        </w:numPr>
        <w:tabs>
          <w:tab w:pos="980" w:val="left" w:leader="none"/>
        </w:tabs>
        <w:spacing w:line="240" w:lineRule="auto" w:before="0" w:after="0"/>
        <w:ind w:left="980" w:right="0" w:hanging="540"/>
        <w:jc w:val="left"/>
        <w:rPr>
          <w:i/>
          <w:sz w:val="24"/>
        </w:rPr>
      </w:pPr>
      <w:bookmarkStart w:name="5.5.7 CLT THOR-based Model" w:id="313"/>
      <w:bookmarkEnd w:id="313"/>
      <w:r>
        <w:rPr/>
      </w:r>
      <w:bookmarkStart w:name="5.5.7 CLT THOR-based Model" w:id="314"/>
      <w:bookmarkEnd w:id="314"/>
      <w:r>
        <w:rPr>
          <w:i/>
          <w:sz w:val="24"/>
        </w:rPr>
        <w:t>C</w:t>
      </w:r>
      <w:r>
        <w:rPr>
          <w:i/>
          <w:sz w:val="24"/>
        </w:rPr>
        <w:t>LT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THOR-based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Model</w:t>
      </w:r>
    </w:p>
    <w:p>
      <w:pPr>
        <w:pStyle w:val="BodyText"/>
        <w:spacing w:before="7"/>
        <w:rPr>
          <w:i/>
          <w:sz w:val="22"/>
        </w:rPr>
      </w:pPr>
    </w:p>
    <w:p>
      <w:pPr>
        <w:pStyle w:val="BodyText"/>
        <w:spacing w:line="480" w:lineRule="auto"/>
        <w:ind w:left="439" w:right="417" w:firstLine="720"/>
        <w:jc w:val="both"/>
      </w:pPr>
      <w:r>
        <w:rPr/>
        <w:t>Since the general THOR equation is an empirical formula that is curve fit to data,</w:t>
      </w:r>
      <w:r>
        <w:rPr>
          <w:spacing w:val="1"/>
        </w:rPr>
        <w:t> </w:t>
      </w:r>
      <w:r>
        <w:rPr/>
        <w:t>it is possible to include additional variables of interest with little difficulty. This led to the</w:t>
      </w:r>
      <w:r>
        <w:rPr>
          <w:spacing w:val="-57"/>
        </w:rPr>
        <w:t> </w:t>
      </w:r>
      <w:r>
        <w:rPr/>
        <w:t>development of a new CLT model based on the general THOR equation but with the</w:t>
      </w:r>
      <w:r>
        <w:rPr>
          <w:spacing w:val="1"/>
        </w:rPr>
        <w:t> </w:t>
      </w:r>
      <w:r>
        <w:rPr/>
        <w:t>addition of the target density and a strength parameter, wood hardness.</w:t>
      </w:r>
      <w:r>
        <w:rPr>
          <w:spacing w:val="1"/>
        </w:rPr>
        <w:t> </w:t>
      </w:r>
      <w:r>
        <w:rPr/>
        <w:t>Using the same</w:t>
      </w:r>
      <w:r>
        <w:rPr>
          <w:spacing w:val="1"/>
        </w:rPr>
        <w:t> </w:t>
      </w:r>
      <w:r>
        <w:rPr/>
        <w:t>procedure as the previously examined model, the revised THOR equation was fit to the</w:t>
      </w:r>
      <w:r>
        <w:rPr>
          <w:spacing w:val="1"/>
        </w:rPr>
        <w:t> </w:t>
      </w:r>
      <w:r>
        <w:rPr/>
        <w:t>data. Since it was observed in previous models and documented in the THOR reports that</w:t>
      </w:r>
      <w:r>
        <w:rPr>
          <w:spacing w:val="-57"/>
        </w:rPr>
        <w:t> </w:t>
      </w:r>
      <w:r>
        <w:rPr/>
        <w:t>unchanging variables could effectively be excluded from the curve-fitting model for</w:t>
      </w:r>
      <w:r>
        <w:rPr>
          <w:spacing w:val="1"/>
        </w:rPr>
        <w:t> </w:t>
      </w:r>
      <w:r>
        <w:rPr/>
        <w:t>simplification, the variable for projectile weight was removed.</w:t>
      </w:r>
      <w:r>
        <w:rPr>
          <w:spacing w:val="1"/>
        </w:rPr>
        <w:t> </w:t>
      </w:r>
      <w:r>
        <w:rPr/>
        <w:t>Removal of the projectile</w:t>
      </w:r>
      <w:r>
        <w:rPr>
          <w:spacing w:val="1"/>
        </w:rPr>
        <w:t> </w:t>
      </w:r>
      <w:r>
        <w:rPr/>
        <w:t>weight from the equation simply adjusted the equation’s resulting constant. Because the</w:t>
      </w:r>
      <w:r>
        <w:rPr>
          <w:spacing w:val="1"/>
        </w:rPr>
        <w:t> </w:t>
      </w:r>
      <w:r>
        <w:rPr/>
        <w:t>same projectile weight was used in all tests, inclusion in the model simply acts as an</w:t>
      </w:r>
      <w:r>
        <w:rPr>
          <w:spacing w:val="1"/>
        </w:rPr>
        <w:t> </w:t>
      </w:r>
      <w:r>
        <w:rPr/>
        <w:t>additional</w:t>
      </w:r>
      <w:r>
        <w:rPr>
          <w:spacing w:val="-1"/>
        </w:rPr>
        <w:t> </w:t>
      </w:r>
      <w:r>
        <w:rPr/>
        <w:t>constant</w:t>
      </w:r>
      <w:r>
        <w:rPr>
          <w:spacing w:val="-1"/>
        </w:rPr>
        <w:t> </w:t>
      </w:r>
      <w:r>
        <w:rPr/>
        <w:t>instead of</w:t>
      </w:r>
      <w:r>
        <w:rPr>
          <w:spacing w:val="-1"/>
        </w:rPr>
        <w:t> </w:t>
      </w:r>
      <w:r>
        <w:rPr/>
        <w:t>a calibrating parameter.</w:t>
      </w:r>
    </w:p>
    <w:p>
      <w:pPr>
        <w:spacing w:after="0" w:line="480" w:lineRule="auto"/>
        <w:jc w:val="both"/>
        <w:sectPr>
          <w:pgSz w:w="12240" w:h="15840"/>
          <w:pgMar w:header="0" w:footer="1064" w:top="1320" w:bottom="1260" w:left="1720" w:right="1020"/>
        </w:sectPr>
      </w:pPr>
    </w:p>
    <w:p>
      <w:pPr>
        <w:pStyle w:val="BodyText"/>
        <w:spacing w:line="480" w:lineRule="auto" w:before="78"/>
        <w:ind w:left="439" w:right="417" w:firstLine="720"/>
        <w:jc w:val="both"/>
      </w:pPr>
      <w:r>
        <w:rPr/>
        <w:pict>
          <v:rect style="position:absolute;margin-left:263.279999pt;margin-top:205.304153pt;width:46.68pt;height:.779pt;mso-position-horizontal-relative:page;mso-position-vertical-relative:paragraph;z-index:-34876928" filled="true" fillcolor="#000000" stroked="false">
            <v:fill type="solid"/>
            <w10:wrap type="none"/>
          </v:rect>
        </w:pict>
      </w:r>
      <w:r>
        <w:rPr/>
        <w:t>Equation</w:t>
      </w:r>
      <w:r>
        <w:rPr>
          <w:spacing w:val="1"/>
        </w:rPr>
        <w:t> </w:t>
      </w:r>
      <w:r>
        <w:rPr/>
        <w:t>5.12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CLT</w:t>
      </w:r>
      <w:r>
        <w:rPr>
          <w:spacing w:val="1"/>
        </w:rPr>
        <w:t> </w:t>
      </w:r>
      <w:r>
        <w:rPr/>
        <w:t>THOR-based</w:t>
      </w:r>
      <w:r>
        <w:rPr>
          <w:spacing w:val="1"/>
        </w:rPr>
        <w:t> </w:t>
      </w:r>
      <w:r>
        <w:rPr/>
        <w:t>equation</w:t>
      </w:r>
      <w:r>
        <w:rPr>
          <w:spacing w:val="1"/>
        </w:rPr>
        <w:t> </w:t>
      </w:r>
      <w:r>
        <w:rPr/>
        <w:t>developed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CLT</w:t>
      </w:r>
      <w:r>
        <w:rPr>
          <w:spacing w:val="1"/>
        </w:rPr>
        <w:t> </w:t>
      </w:r>
      <w:r>
        <w:rPr/>
        <w:t>experiments.</w:t>
      </w:r>
      <w:r>
        <w:rPr>
          <w:spacing w:val="1"/>
        </w:rPr>
        <w:t> </w:t>
      </w:r>
      <w:r>
        <w:rPr/>
        <w:t>The equation includes the striking velocity of the projectile but no other</w:t>
      </w:r>
      <w:r>
        <w:rPr>
          <w:spacing w:val="1"/>
        </w:rPr>
        <w:t> </w:t>
      </w:r>
      <w:r>
        <w:rPr/>
        <w:t>projectile variables since the same projectile was used for the entire data set.</w:t>
      </w:r>
      <w:r>
        <w:rPr>
          <w:spacing w:val="1"/>
        </w:rPr>
        <w:t> </w:t>
      </w:r>
      <w:r>
        <w:rPr/>
        <w:t>It also</w:t>
      </w:r>
      <w:r>
        <w:rPr>
          <w:spacing w:val="1"/>
        </w:rPr>
        <w:t> </w:t>
      </w:r>
      <w:r>
        <w:rPr/>
        <w:t>includes the density and hardness values of the CLT specimens.</w:t>
      </w:r>
      <w:r>
        <w:rPr>
          <w:spacing w:val="1"/>
        </w:rPr>
        <w:t> </w:t>
      </w:r>
      <w:r>
        <w:rPr/>
        <w:t>Similar to the UFC</w:t>
      </w:r>
      <w:r>
        <w:rPr>
          <w:spacing w:val="1"/>
        </w:rPr>
        <w:t> </w:t>
      </w:r>
      <w:r>
        <w:rPr/>
        <w:t>recalibration, the hardness values are reference hardness values and the densities are the</w:t>
      </w:r>
      <w:r>
        <w:rPr>
          <w:spacing w:val="1"/>
        </w:rPr>
        <w:t> </w:t>
      </w:r>
      <w:r>
        <w:rPr/>
        <w:t>actual</w:t>
      </w:r>
      <w:r>
        <w:rPr>
          <w:spacing w:val="-1"/>
        </w:rPr>
        <w:t> </w:t>
      </w:r>
      <w:r>
        <w:rPr/>
        <w:t>density of</w:t>
      </w:r>
      <w:r>
        <w:rPr>
          <w:spacing w:val="-1"/>
        </w:rPr>
        <w:t> </w:t>
      </w:r>
      <w:r>
        <w:rPr/>
        <w:t>each individual specimen.</w:t>
      </w:r>
    </w:p>
    <w:p>
      <w:pPr>
        <w:pStyle w:val="BodyText"/>
        <w:rPr>
          <w:sz w:val="20"/>
        </w:rPr>
      </w:pPr>
    </w:p>
    <w:p>
      <w:pPr>
        <w:pStyle w:val="BodyText"/>
        <w:spacing w:before="10" w:after="1"/>
        <w:rPr>
          <w:sz w:val="13"/>
        </w:rPr>
      </w:pPr>
    </w:p>
    <w:tbl>
      <w:tblPr>
        <w:tblW w:w="0" w:type="auto"/>
        <w:jc w:val="left"/>
        <w:tblInd w:w="238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73"/>
        <w:gridCol w:w="1184"/>
        <w:gridCol w:w="2428"/>
      </w:tblGrid>
      <w:tr>
        <w:trPr>
          <w:trHeight w:val="738" w:hRule="atLeast"/>
        </w:trPr>
        <w:tc>
          <w:tcPr>
            <w:tcW w:w="3173" w:type="dxa"/>
          </w:tcPr>
          <w:p>
            <w:pPr>
              <w:pStyle w:val="TableParagraph"/>
              <w:spacing w:line="139" w:lineRule="auto" w:before="14"/>
              <w:ind w:left="1447" w:right="1367"/>
              <w:jc w:val="center"/>
              <w:rPr>
                <w:rFonts w:ascii="Cambria Math" w:eastAsia="Cambria Math"/>
                <w:sz w:val="17"/>
              </w:rPr>
            </w:pPr>
            <w:r>
              <w:rPr>
                <w:rFonts w:ascii="Cambria Math" w:eastAsia="Cambria Math"/>
                <w:w w:val="105"/>
                <w:position w:val="-8"/>
                <w:sz w:val="24"/>
              </w:rPr>
              <w:t>𝑣</w:t>
            </w:r>
            <w:r>
              <w:rPr>
                <w:rFonts w:ascii="Cambria Math" w:eastAsia="Cambria Math"/>
                <w:w w:val="105"/>
                <w:position w:val="-13"/>
                <w:sz w:val="17"/>
              </w:rPr>
              <w:t>𝑠</w:t>
            </w:r>
            <w:r>
              <w:rPr>
                <w:rFonts w:ascii="Cambria Math" w:eastAsia="Cambria Math"/>
                <w:w w:val="105"/>
                <w:sz w:val="17"/>
              </w:rPr>
              <w:t>𝑎</w:t>
            </w:r>
          </w:p>
          <w:p>
            <w:pPr>
              <w:pStyle w:val="TableParagraph"/>
              <w:spacing w:line="175" w:lineRule="auto"/>
              <w:ind w:left="200"/>
              <w:rPr>
                <w:rFonts w:ascii="Cambria Math" w:hAnsi="Cambria Math" w:cs="Cambria Math" w:eastAsia="Cambria Math"/>
                <w:sz w:val="24"/>
                <w:szCs w:val="24"/>
              </w:rPr>
            </w:pPr>
            <w:r>
              <w:rPr>
                <w:rFonts w:ascii="Cambria Math" w:hAnsi="Cambria Math" w:cs="Cambria Math" w:eastAsia="Cambria Math"/>
                <w:spacing w:val="-33"/>
                <w:sz w:val="24"/>
                <w:szCs w:val="24"/>
              </w:rPr>
              <w:t>𝑇</w:t>
            </w:r>
            <w:r>
              <w:rPr>
                <w:rFonts w:ascii="Cambria Math" w:hAnsi="Cambria Math" w:cs="Cambria Math" w:eastAsia="Cambria Math"/>
                <w:w w:val="59"/>
                <w:sz w:val="24"/>
                <w:szCs w:val="24"/>
                <w:vertAlign w:val="subscript"/>
              </w:rPr>
              <w:t>𝑤𝑤</w:t>
            </w:r>
            <w:r>
              <w:rPr>
                <w:rFonts w:ascii="Cambria Math" w:hAnsi="Cambria Math" w:cs="Cambria Math" w:eastAsia="Cambria Math"/>
                <w:sz w:val="24"/>
                <w:szCs w:val="24"/>
                <w:vertAlign w:val="baseline"/>
              </w:rPr>
              <w:t> </w:t>
            </w:r>
            <w:r>
              <w:rPr>
                <w:rFonts w:ascii="Cambria Math" w:hAnsi="Cambria Math" w:cs="Cambria Math" w:eastAsia="Cambria Math"/>
                <w:spacing w:val="-26"/>
                <w:sz w:val="24"/>
                <w:szCs w:val="24"/>
                <w:vertAlign w:val="baseline"/>
              </w:rPr>
              <w:t> </w:t>
            </w:r>
            <w:r>
              <w:rPr>
                <w:rFonts w:ascii="Cambria Math" w:hAnsi="Cambria Math" w:cs="Cambria Math" w:eastAsia="Cambria Math"/>
                <w:sz w:val="24"/>
                <w:szCs w:val="24"/>
                <w:vertAlign w:val="baseline"/>
              </w:rPr>
              <w:t>=</w:t>
            </w:r>
            <w:r>
              <w:rPr>
                <w:rFonts w:ascii="Cambria Math" w:hAnsi="Cambria Math" w:cs="Cambria Math" w:eastAsia="Cambria Math"/>
                <w:spacing w:val="13"/>
                <w:sz w:val="24"/>
                <w:szCs w:val="24"/>
                <w:vertAlign w:val="baseline"/>
              </w:rPr>
              <w:t> </w:t>
            </w:r>
            <w:r>
              <w:rPr>
                <w:rFonts w:ascii="Cambria Math" w:hAnsi="Cambria Math" w:cs="Cambria Math" w:eastAsia="Cambria Math"/>
                <w:spacing w:val="-21"/>
                <w:sz w:val="24"/>
                <w:szCs w:val="24"/>
                <w:vertAlign w:val="baseline"/>
              </w:rPr>
              <w:t>𝐶</w:t>
            </w:r>
            <w:r>
              <w:rPr>
                <w:rFonts w:ascii="Cambria Math" w:hAnsi="Cambria Math" w:cs="Cambria Math" w:eastAsia="Cambria Math"/>
                <w:w w:val="111"/>
                <w:sz w:val="24"/>
                <w:szCs w:val="24"/>
                <w:vertAlign w:val="subscript"/>
              </w:rPr>
              <w:t>1</w:t>
            </w:r>
            <w:r>
              <w:rPr>
                <w:rFonts w:ascii="Cambria Math" w:hAnsi="Cambria Math" w:cs="Cambria Math" w:eastAsia="Cambria Math"/>
                <w:spacing w:val="-2"/>
                <w:sz w:val="24"/>
                <w:szCs w:val="24"/>
                <w:vertAlign w:val="baseline"/>
              </w:rPr>
              <w:t> </w:t>
            </w:r>
            <w:r>
              <w:rPr>
                <w:rFonts w:ascii="Cambria Math" w:hAnsi="Cambria Math" w:cs="Cambria Math" w:eastAsia="Cambria Math"/>
                <w:w w:val="49"/>
                <w:sz w:val="24"/>
                <w:szCs w:val="24"/>
                <w:vertAlign w:val="baseline"/>
              </w:rPr>
              <w:t>�</w:t>
            </w:r>
            <w:r>
              <w:rPr>
                <w:rFonts w:ascii="Cambria Math" w:hAnsi="Cambria Math" w:cs="Cambria Math" w:eastAsia="Cambria Math"/>
                <w:position w:val="-15"/>
                <w:sz w:val="24"/>
                <w:szCs w:val="24"/>
                <w:vertAlign w:val="baseline"/>
              </w:rPr>
              <w:t>10</w:t>
            </w:r>
            <w:r>
              <w:rPr>
                <w:rFonts w:ascii="Cambria Math" w:hAnsi="Cambria Math" w:cs="Cambria Math" w:eastAsia="Cambria Math"/>
                <w:spacing w:val="14"/>
                <w:w w:val="110"/>
                <w:position w:val="-8"/>
                <w:sz w:val="17"/>
                <w:szCs w:val="17"/>
                <w:vertAlign w:val="baseline"/>
              </w:rPr>
              <w:t>𝑐</w:t>
            </w:r>
            <w:r>
              <w:rPr>
                <w:rFonts w:ascii="Cambria Math" w:hAnsi="Cambria Math" w:cs="Cambria Math" w:eastAsia="Cambria Math"/>
                <w:spacing w:val="4"/>
                <w:position w:val="-15"/>
                <w:sz w:val="24"/>
                <w:szCs w:val="24"/>
                <w:vertAlign w:val="baseline"/>
              </w:rPr>
              <w:t>𝜌</w:t>
            </w:r>
            <w:r>
              <w:rPr>
                <w:rFonts w:ascii="Cambria Math" w:hAnsi="Cambria Math" w:cs="Cambria Math" w:eastAsia="Cambria Math"/>
                <w:spacing w:val="15"/>
                <w:w w:val="110"/>
                <w:position w:val="-8"/>
                <w:sz w:val="17"/>
                <w:szCs w:val="17"/>
                <w:vertAlign w:val="baseline"/>
              </w:rPr>
              <w:t>𝑑</w:t>
            </w:r>
            <w:r>
              <w:rPr>
                <w:rFonts w:ascii="Cambria Math" w:hAnsi="Cambria Math" w:cs="Cambria Math" w:eastAsia="Cambria Math"/>
                <w:spacing w:val="10"/>
                <w:position w:val="-15"/>
                <w:sz w:val="24"/>
                <w:szCs w:val="24"/>
                <w:vertAlign w:val="baseline"/>
              </w:rPr>
              <w:t>𝐻</w:t>
            </w:r>
            <w:r>
              <w:rPr>
                <w:rFonts w:ascii="Cambria Math" w:hAnsi="Cambria Math" w:cs="Cambria Math" w:eastAsia="Cambria Math"/>
                <w:w w:val="54"/>
                <w:position w:val="-8"/>
                <w:sz w:val="17"/>
                <w:szCs w:val="17"/>
                <w:vertAlign w:val="baseline"/>
              </w:rPr>
              <w:t>𝑓</w:t>
            </w:r>
            <w:r>
              <w:rPr>
                <w:rFonts w:ascii="Cambria Math" w:hAnsi="Cambria Math" w:cs="Cambria Math" w:eastAsia="Cambria Math"/>
                <w:spacing w:val="14"/>
                <w:w w:val="54"/>
                <w:position w:val="-8"/>
                <w:sz w:val="17"/>
                <w:szCs w:val="17"/>
                <w:vertAlign w:val="baseline"/>
              </w:rPr>
              <w:t>𝑓</w:t>
            </w:r>
            <w:r>
              <w:rPr>
                <w:rFonts w:ascii="Cambria Math" w:hAnsi="Cambria Math" w:cs="Cambria Math" w:eastAsia="Cambria Math"/>
                <w:w w:val="49"/>
                <w:sz w:val="24"/>
                <w:szCs w:val="24"/>
                <w:vertAlign w:val="baseline"/>
              </w:rPr>
              <w:t>�</w:t>
            </w:r>
          </w:p>
        </w:tc>
        <w:tc>
          <w:tcPr>
            <w:tcW w:w="118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428" w:type="dxa"/>
          </w:tcPr>
          <w:p>
            <w:pPr>
              <w:pStyle w:val="TableParagraph"/>
              <w:spacing w:before="9"/>
              <w:ind w:right="198"/>
              <w:jc w:val="right"/>
              <w:rPr>
                <w:sz w:val="24"/>
              </w:rPr>
            </w:pPr>
            <w:r>
              <w:rPr>
                <w:sz w:val="24"/>
              </w:rPr>
              <w:t>(5.12)</w:t>
            </w:r>
          </w:p>
        </w:tc>
      </w:tr>
      <w:tr>
        <w:trPr>
          <w:trHeight w:val="669" w:hRule="atLeast"/>
        </w:trPr>
        <w:tc>
          <w:tcPr>
            <w:tcW w:w="3173" w:type="dxa"/>
          </w:tcPr>
          <w:p>
            <w:pPr>
              <w:pStyle w:val="TableParagraph"/>
              <w:spacing w:before="112"/>
              <w:ind w:left="1952"/>
              <w:rPr>
                <w:sz w:val="24"/>
              </w:rPr>
            </w:pPr>
            <w:r>
              <w:rPr>
                <w:sz w:val="24"/>
              </w:rPr>
              <w:t>where</w:t>
            </w:r>
          </w:p>
        </w:tc>
        <w:tc>
          <w:tcPr>
            <w:tcW w:w="1184" w:type="dxa"/>
          </w:tcPr>
          <w:p>
            <w:pPr>
              <w:pStyle w:val="TableParagraph"/>
              <w:spacing w:before="113"/>
              <w:ind w:right="106"/>
              <w:jc w:val="right"/>
              <w:rPr>
                <w:i/>
                <w:sz w:val="24"/>
              </w:rPr>
            </w:pPr>
            <w:r>
              <w:rPr>
                <w:i/>
                <w:position w:val="1"/>
                <w:sz w:val="24"/>
              </w:rPr>
              <w:t>T</w:t>
            </w:r>
            <w:r>
              <w:rPr>
                <w:i/>
                <w:sz w:val="16"/>
              </w:rPr>
              <w:t>w</w:t>
            </w:r>
            <w:r>
              <w:rPr>
                <w:i/>
                <w:spacing w:val="-2"/>
                <w:sz w:val="16"/>
              </w:rPr>
              <w:t> </w:t>
            </w:r>
            <w:r>
              <w:rPr>
                <w:i/>
                <w:position w:val="1"/>
                <w:sz w:val="24"/>
              </w:rPr>
              <w:t>=</w:t>
            </w:r>
          </w:p>
        </w:tc>
        <w:tc>
          <w:tcPr>
            <w:tcW w:w="2428" w:type="dxa"/>
          </w:tcPr>
          <w:p>
            <w:pPr>
              <w:pStyle w:val="TableParagraph"/>
              <w:spacing w:line="270" w:lineRule="atLeast" w:before="97"/>
              <w:ind w:left="107" w:right="301"/>
              <w:rPr>
                <w:sz w:val="24"/>
              </w:rPr>
            </w:pPr>
            <w:r>
              <w:rPr>
                <w:sz w:val="24"/>
              </w:rPr>
              <w:t>thickness required to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stop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perforation</w:t>
            </w:r>
          </w:p>
        </w:tc>
      </w:tr>
      <w:tr>
        <w:trPr>
          <w:trHeight w:val="276" w:hRule="atLeast"/>
        </w:trPr>
        <w:tc>
          <w:tcPr>
            <w:tcW w:w="317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84" w:type="dxa"/>
          </w:tcPr>
          <w:p>
            <w:pPr>
              <w:pStyle w:val="TableParagraph"/>
              <w:spacing w:line="257" w:lineRule="exact"/>
              <w:ind w:right="106"/>
              <w:jc w:val="right"/>
              <w:rPr>
                <w:i/>
                <w:sz w:val="24"/>
              </w:rPr>
            </w:pPr>
            <w:r>
              <w:rPr>
                <w:i/>
                <w:position w:val="1"/>
                <w:sz w:val="24"/>
              </w:rPr>
              <w:t>v</w:t>
            </w:r>
            <w:r>
              <w:rPr>
                <w:i/>
                <w:sz w:val="16"/>
              </w:rPr>
              <w:t>s</w:t>
            </w:r>
            <w:r>
              <w:rPr>
                <w:i/>
                <w:spacing w:val="19"/>
                <w:sz w:val="16"/>
              </w:rPr>
              <w:t> </w:t>
            </w:r>
            <w:r>
              <w:rPr>
                <w:i/>
                <w:position w:val="1"/>
                <w:sz w:val="24"/>
              </w:rPr>
              <w:t>=</w:t>
            </w:r>
          </w:p>
        </w:tc>
        <w:tc>
          <w:tcPr>
            <w:tcW w:w="2428" w:type="dxa"/>
          </w:tcPr>
          <w:p>
            <w:pPr>
              <w:pStyle w:val="TableParagraph"/>
              <w:spacing w:line="257" w:lineRule="exact"/>
              <w:ind w:left="107"/>
              <w:rPr>
                <w:sz w:val="24"/>
              </w:rPr>
            </w:pPr>
            <w:r>
              <w:rPr>
                <w:sz w:val="24"/>
              </w:rPr>
              <w:t>striking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velocity</w:t>
            </w:r>
          </w:p>
        </w:tc>
      </w:tr>
      <w:tr>
        <w:trPr>
          <w:trHeight w:val="276" w:hRule="atLeast"/>
        </w:trPr>
        <w:tc>
          <w:tcPr>
            <w:tcW w:w="317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84" w:type="dxa"/>
          </w:tcPr>
          <w:p>
            <w:pPr>
              <w:pStyle w:val="TableParagraph"/>
              <w:spacing w:line="256" w:lineRule="exact"/>
              <w:ind w:right="106"/>
              <w:jc w:val="right"/>
              <w:rPr>
                <w:i/>
                <w:sz w:val="24"/>
              </w:rPr>
            </w:pPr>
            <w:r>
              <w:rPr>
                <w:i/>
                <w:sz w:val="24"/>
              </w:rPr>
              <w:t>ρ =</w:t>
            </w:r>
          </w:p>
        </w:tc>
        <w:tc>
          <w:tcPr>
            <w:tcW w:w="2428" w:type="dxa"/>
          </w:tcPr>
          <w:p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density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wood</w:t>
            </w:r>
          </w:p>
        </w:tc>
      </w:tr>
      <w:tr>
        <w:trPr>
          <w:trHeight w:val="275" w:hRule="atLeast"/>
        </w:trPr>
        <w:tc>
          <w:tcPr>
            <w:tcW w:w="317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84" w:type="dxa"/>
          </w:tcPr>
          <w:p>
            <w:pPr>
              <w:pStyle w:val="TableParagraph"/>
              <w:spacing w:line="255" w:lineRule="exact"/>
              <w:ind w:right="106"/>
              <w:jc w:val="right"/>
              <w:rPr>
                <w:i/>
                <w:sz w:val="24"/>
              </w:rPr>
            </w:pPr>
            <w:r>
              <w:rPr>
                <w:i/>
                <w:sz w:val="24"/>
              </w:rPr>
              <w:t>H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=</w:t>
            </w:r>
          </w:p>
        </w:tc>
        <w:tc>
          <w:tcPr>
            <w:tcW w:w="2428" w:type="dxa"/>
          </w:tcPr>
          <w:p>
            <w:pPr>
              <w:pStyle w:val="TableParagraph"/>
              <w:spacing w:line="255" w:lineRule="exact"/>
              <w:ind w:left="107"/>
              <w:rPr>
                <w:sz w:val="24"/>
              </w:rPr>
            </w:pPr>
            <w:r>
              <w:rPr>
                <w:sz w:val="24"/>
              </w:rPr>
              <w:t>hardness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wood</w:t>
            </w:r>
          </w:p>
        </w:tc>
      </w:tr>
      <w:tr>
        <w:trPr>
          <w:trHeight w:val="270" w:hRule="atLeast"/>
        </w:trPr>
        <w:tc>
          <w:tcPr>
            <w:tcW w:w="4357" w:type="dxa"/>
            <w:gridSpan w:val="2"/>
          </w:tcPr>
          <w:p>
            <w:pPr>
              <w:pStyle w:val="TableParagraph"/>
              <w:spacing w:line="251" w:lineRule="exact"/>
              <w:ind w:left="2894"/>
              <w:rPr>
                <w:i/>
                <w:sz w:val="24"/>
              </w:rPr>
            </w:pPr>
            <w:r>
              <w:rPr>
                <w:i/>
                <w:position w:val="1"/>
                <w:sz w:val="24"/>
              </w:rPr>
              <w:t>C</w:t>
            </w:r>
            <w:r>
              <w:rPr>
                <w:i/>
                <w:sz w:val="16"/>
              </w:rPr>
              <w:t>1</w:t>
            </w:r>
            <w:r>
              <w:rPr>
                <w:i/>
                <w:position w:val="1"/>
                <w:sz w:val="24"/>
              </w:rPr>
              <w:t>,</w:t>
            </w:r>
            <w:r>
              <w:rPr>
                <w:i/>
                <w:spacing w:val="-1"/>
                <w:position w:val="1"/>
                <w:sz w:val="24"/>
              </w:rPr>
              <w:t> </w:t>
            </w:r>
            <w:r>
              <w:rPr>
                <w:i/>
                <w:position w:val="1"/>
                <w:sz w:val="24"/>
              </w:rPr>
              <w:t>a, c, d, f</w:t>
            </w:r>
            <w:r>
              <w:rPr>
                <w:i/>
                <w:spacing w:val="-1"/>
                <w:position w:val="1"/>
                <w:sz w:val="24"/>
              </w:rPr>
              <w:t> </w:t>
            </w:r>
            <w:r>
              <w:rPr>
                <w:i/>
                <w:position w:val="1"/>
                <w:sz w:val="24"/>
              </w:rPr>
              <w:t>=</w:t>
            </w:r>
          </w:p>
        </w:tc>
        <w:tc>
          <w:tcPr>
            <w:tcW w:w="2428" w:type="dxa"/>
          </w:tcPr>
          <w:p>
            <w:pPr>
              <w:pStyle w:val="TableParagraph"/>
              <w:spacing w:line="251" w:lineRule="exact"/>
              <w:ind w:left="107"/>
              <w:rPr>
                <w:sz w:val="24"/>
              </w:rPr>
            </w:pPr>
            <w:r>
              <w:rPr>
                <w:sz w:val="24"/>
              </w:rPr>
              <w:t>constants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480" w:lineRule="auto" w:before="90"/>
        <w:ind w:left="439" w:right="417" w:firstLine="720"/>
        <w:jc w:val="both"/>
      </w:pPr>
      <w:r>
        <w:rPr/>
        <w:t>The curve shown in </w:t>
      </w:r>
      <w:hyperlink w:history="true" w:anchor="_bookmark85">
        <w:r>
          <w:rPr/>
          <w:t>Figure 5-26</w:t>
        </w:r>
      </w:hyperlink>
      <w:r>
        <w:rPr/>
        <w:t> is based on an average wood density for each</w:t>
      </w:r>
      <w:r>
        <w:rPr>
          <w:spacing w:val="1"/>
        </w:rPr>
        <w:t> </w:t>
      </w:r>
      <w:r>
        <w:rPr/>
        <w:t>species.</w:t>
      </w:r>
      <w:r>
        <w:rPr>
          <w:spacing w:val="39"/>
        </w:rPr>
        <w:t> </w:t>
      </w:r>
      <w:hyperlink w:history="true" w:anchor="_bookmark85">
        <w:r>
          <w:rPr/>
          <w:t>Figure</w:t>
        </w:r>
        <w:r>
          <w:rPr>
            <w:spacing w:val="-10"/>
          </w:rPr>
          <w:t> </w:t>
        </w:r>
        <w:r>
          <w:rPr/>
          <w:t>5-26</w:t>
        </w:r>
        <w:r>
          <w:rPr>
            <w:spacing w:val="-11"/>
          </w:rPr>
          <w:t> </w:t>
        </w:r>
      </w:hyperlink>
      <w:r>
        <w:rPr/>
        <w:t>shows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general</w:t>
      </w:r>
      <w:r>
        <w:rPr>
          <w:spacing w:val="-9"/>
        </w:rPr>
        <w:t> </w:t>
      </w:r>
      <w:r>
        <w:rPr/>
        <w:t>THOR</w:t>
      </w:r>
      <w:r>
        <w:rPr>
          <w:spacing w:val="-10"/>
        </w:rPr>
        <w:t> </w:t>
      </w:r>
      <w:r>
        <w:rPr/>
        <w:t>curve</w:t>
      </w:r>
      <w:r>
        <w:rPr>
          <w:spacing w:val="-10"/>
        </w:rPr>
        <w:t> </w:t>
      </w:r>
      <w:r>
        <w:rPr/>
        <w:t>in</w:t>
      </w:r>
      <w:r>
        <w:rPr>
          <w:spacing w:val="-12"/>
        </w:rPr>
        <w:t> </w:t>
      </w:r>
      <w:r>
        <w:rPr/>
        <w:t>addition</w:t>
      </w:r>
      <w:r>
        <w:rPr>
          <w:spacing w:val="-10"/>
        </w:rPr>
        <w:t> </w:t>
      </w:r>
      <w:r>
        <w:rPr/>
        <w:t>to</w:t>
      </w:r>
      <w:r>
        <w:rPr>
          <w:spacing w:val="-10"/>
        </w:rPr>
        <w:t> </w:t>
      </w:r>
      <w:r>
        <w:rPr/>
        <w:t>a</w:t>
      </w:r>
      <w:r>
        <w:rPr>
          <w:spacing w:val="-10"/>
        </w:rPr>
        <w:t> </w:t>
      </w:r>
      <w:r>
        <w:rPr/>
        <w:t>curve</w:t>
      </w:r>
      <w:r>
        <w:rPr>
          <w:spacing w:val="-11"/>
        </w:rPr>
        <w:t> </w:t>
      </w:r>
      <w:r>
        <w:rPr/>
        <w:t>for</w:t>
      </w:r>
      <w:r>
        <w:rPr>
          <w:spacing w:val="-9"/>
        </w:rPr>
        <w:t> </w:t>
      </w:r>
      <w:r>
        <w:rPr/>
        <w:t>each</w:t>
      </w:r>
      <w:r>
        <w:rPr>
          <w:spacing w:val="-10"/>
        </w:rPr>
        <w:t> </w:t>
      </w:r>
      <w:r>
        <w:rPr/>
        <w:t>species</w:t>
      </w:r>
      <w:r>
        <w:rPr>
          <w:spacing w:val="-58"/>
        </w:rPr>
        <w:t> </w:t>
      </w:r>
      <w:r>
        <w:rPr/>
        <w:t>of</w:t>
      </w:r>
      <w:r>
        <w:rPr>
          <w:spacing w:val="-10"/>
        </w:rPr>
        <w:t> </w:t>
      </w:r>
      <w:r>
        <w:rPr/>
        <w:t>CLT</w:t>
      </w:r>
      <w:r>
        <w:rPr>
          <w:spacing w:val="-8"/>
        </w:rPr>
        <w:t> </w:t>
      </w:r>
      <w:r>
        <w:rPr/>
        <w:t>specimens</w:t>
      </w:r>
      <w:r>
        <w:rPr>
          <w:spacing w:val="-8"/>
        </w:rPr>
        <w:t> </w:t>
      </w:r>
      <w:r>
        <w:rPr/>
        <w:t>included</w:t>
      </w:r>
      <w:r>
        <w:rPr>
          <w:spacing w:val="-9"/>
        </w:rPr>
        <w:t> </w:t>
      </w:r>
      <w:r>
        <w:rPr/>
        <w:t>in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experiments.</w:t>
      </w:r>
      <w:r>
        <w:rPr>
          <w:spacing w:val="43"/>
        </w:rPr>
        <w:t> </w:t>
      </w:r>
      <w:r>
        <w:rPr/>
        <w:t>For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THOR-based</w:t>
      </w:r>
      <w:r>
        <w:rPr>
          <w:spacing w:val="-9"/>
        </w:rPr>
        <w:t> </w:t>
      </w:r>
      <w:r>
        <w:rPr/>
        <w:t>CLT</w:t>
      </w:r>
      <w:r>
        <w:rPr>
          <w:spacing w:val="-8"/>
        </w:rPr>
        <w:t> </w:t>
      </w:r>
      <w:r>
        <w:rPr/>
        <w:t>model</w:t>
      </w:r>
      <w:r>
        <w:rPr>
          <w:spacing w:val="-8"/>
        </w:rPr>
        <w:t> </w:t>
      </w:r>
      <w:r>
        <w:rPr/>
        <w:t>fit</w:t>
      </w:r>
      <w:r>
        <w:rPr>
          <w:spacing w:val="-8"/>
        </w:rPr>
        <w:t> </w:t>
      </w:r>
      <w:r>
        <w:rPr/>
        <w:t>to</w:t>
      </w:r>
      <w:r>
        <w:rPr>
          <w:spacing w:val="-8"/>
        </w:rPr>
        <w:t> </w:t>
      </w:r>
      <w:r>
        <w:rPr/>
        <w:t>the</w:t>
      </w:r>
      <w:r>
        <w:rPr>
          <w:spacing w:val="-58"/>
        </w:rPr>
        <w:t> </w:t>
      </w:r>
      <w:r>
        <w:rPr/>
        <w:t>CLT</w:t>
      </w:r>
      <w:r>
        <w:rPr>
          <w:spacing w:val="-2"/>
        </w:rPr>
        <w:t> </w:t>
      </w:r>
      <w:r>
        <w:rPr/>
        <w:t>data the MSE</w:t>
      </w:r>
      <w:r>
        <w:rPr>
          <w:spacing w:val="-1"/>
        </w:rPr>
        <w:t> </w:t>
      </w:r>
      <w:r>
        <w:rPr/>
        <w:t>is 0.303.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Heading7"/>
        <w:spacing w:before="62"/>
        <w:ind w:left="42" w:right="445"/>
        <w:jc w:val="center"/>
      </w:pPr>
      <w:r>
        <w:rPr/>
        <w:t>Striking</w:t>
      </w:r>
      <w:r>
        <w:rPr>
          <w:spacing w:val="-10"/>
        </w:rPr>
        <w:t> </w:t>
      </w:r>
      <w:r>
        <w:rPr/>
        <w:t>Velocity</w:t>
      </w:r>
      <w:r>
        <w:rPr>
          <w:spacing w:val="-3"/>
        </w:rPr>
        <w:t> </w:t>
      </w:r>
      <w:r>
        <w:rPr/>
        <w:t>(V</w:t>
      </w:r>
      <w:r>
        <w:rPr>
          <w:position w:val="-5"/>
          <w:sz w:val="19"/>
        </w:rPr>
        <w:t>s</w:t>
      </w:r>
      <w:r>
        <w:rPr/>
        <w:t>)</w:t>
      </w:r>
      <w:r>
        <w:rPr>
          <w:spacing w:val="-3"/>
        </w:rPr>
        <w:t> </w:t>
      </w:r>
      <w:r>
        <w:rPr/>
        <w:t>(m/s)</w:t>
      </w:r>
    </w:p>
    <w:p>
      <w:pPr>
        <w:spacing w:line="173" w:lineRule="exact" w:before="76"/>
        <w:ind w:left="81" w:right="0" w:firstLine="0"/>
        <w:jc w:val="center"/>
        <w:rPr>
          <w:sz w:val="18"/>
        </w:rPr>
      </w:pPr>
      <w:r>
        <w:rPr/>
        <w:pict>
          <v:shape style="position:absolute;margin-left:105.963905pt;margin-top:11.14663pt;width:18.95pt;height:183.75pt;mso-position-horizontal-relative:page;mso-position-vertical-relative:paragraph;z-index:15831040" type="#_x0000_t202" filled="false" stroked="false">
            <v:textbox inset="0,0,0,0" style="layout-flow:vertical;mso-layout-flow-alt:bottom-to-top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sz w:val="26"/>
                    </w:rPr>
                  </w:pPr>
                  <w:r>
                    <w:rPr>
                      <w:sz w:val="26"/>
                    </w:rPr>
                    <w:t>Depth</w:t>
                  </w:r>
                  <w:r>
                    <w:rPr>
                      <w:spacing w:val="5"/>
                      <w:sz w:val="26"/>
                    </w:rPr>
                    <w:t> </w:t>
                  </w:r>
                  <w:r>
                    <w:rPr>
                      <w:sz w:val="26"/>
                    </w:rPr>
                    <w:t>of</w:t>
                  </w:r>
                  <w:r>
                    <w:rPr>
                      <w:spacing w:val="4"/>
                      <w:sz w:val="26"/>
                    </w:rPr>
                    <w:t> </w:t>
                  </w:r>
                  <w:r>
                    <w:rPr>
                      <w:sz w:val="26"/>
                    </w:rPr>
                    <w:t>Penetration</w:t>
                  </w:r>
                  <w:r>
                    <w:rPr>
                      <w:spacing w:val="5"/>
                      <w:sz w:val="26"/>
                    </w:rPr>
                    <w:t> </w:t>
                  </w:r>
                  <w:r>
                    <w:rPr>
                      <w:sz w:val="26"/>
                    </w:rPr>
                    <w:t>(T</w:t>
                  </w:r>
                  <w:r>
                    <w:rPr>
                      <w:position w:val="-5"/>
                      <w:sz w:val="19"/>
                    </w:rPr>
                    <w:t>w</w:t>
                  </w:r>
                  <w:r>
                    <w:rPr>
                      <w:sz w:val="26"/>
                    </w:rPr>
                    <w:t>)</w:t>
                  </w:r>
                  <w:r>
                    <w:rPr>
                      <w:spacing w:val="4"/>
                      <w:sz w:val="26"/>
                    </w:rPr>
                    <w:t> </w:t>
                  </w:r>
                  <w:r>
                    <w:rPr>
                      <w:sz w:val="26"/>
                    </w:rPr>
                    <w:t>(inches)</w:t>
                  </w:r>
                </w:p>
              </w:txbxContent>
            </v:textbox>
            <w10:wrap type="none"/>
          </v:shape>
        </w:pict>
      </w:r>
      <w:r>
        <w:rPr>
          <w:sz w:val="18"/>
        </w:rPr>
        <w:t>180</w:t>
      </w:r>
      <w:r>
        <w:rPr>
          <w:spacing w:val="48"/>
          <w:sz w:val="18"/>
        </w:rPr>
        <w:t> </w:t>
      </w:r>
      <w:r>
        <w:rPr>
          <w:sz w:val="18"/>
        </w:rPr>
        <w:t>240</w:t>
      </w:r>
      <w:r>
        <w:rPr>
          <w:spacing w:val="33"/>
          <w:sz w:val="18"/>
        </w:rPr>
        <w:t> </w:t>
      </w:r>
      <w:r>
        <w:rPr>
          <w:sz w:val="18"/>
        </w:rPr>
        <w:t>300  </w:t>
      </w:r>
      <w:r>
        <w:rPr>
          <w:spacing w:val="15"/>
          <w:sz w:val="18"/>
        </w:rPr>
        <w:t> </w:t>
      </w:r>
      <w:r>
        <w:rPr>
          <w:sz w:val="18"/>
        </w:rPr>
        <w:t>360</w:t>
      </w:r>
      <w:r>
        <w:rPr>
          <w:spacing w:val="88"/>
          <w:sz w:val="18"/>
        </w:rPr>
        <w:t> </w:t>
      </w:r>
      <w:r>
        <w:rPr>
          <w:sz w:val="18"/>
        </w:rPr>
        <w:t>420</w:t>
      </w:r>
      <w:r>
        <w:rPr>
          <w:spacing w:val="67"/>
          <w:sz w:val="18"/>
        </w:rPr>
        <w:t> </w:t>
      </w:r>
      <w:r>
        <w:rPr>
          <w:sz w:val="18"/>
        </w:rPr>
        <w:t>480  </w:t>
      </w:r>
      <w:r>
        <w:rPr>
          <w:spacing w:val="3"/>
          <w:sz w:val="18"/>
        </w:rPr>
        <w:t> </w:t>
      </w:r>
      <w:r>
        <w:rPr>
          <w:sz w:val="18"/>
        </w:rPr>
        <w:t>540</w:t>
      </w:r>
      <w:r>
        <w:rPr>
          <w:spacing w:val="71"/>
          <w:sz w:val="18"/>
        </w:rPr>
        <w:t> </w:t>
      </w:r>
      <w:r>
        <w:rPr>
          <w:sz w:val="18"/>
        </w:rPr>
        <w:t>600  </w:t>
      </w:r>
      <w:r>
        <w:rPr>
          <w:spacing w:val="3"/>
          <w:sz w:val="18"/>
        </w:rPr>
        <w:t> </w:t>
      </w:r>
      <w:r>
        <w:rPr>
          <w:sz w:val="18"/>
        </w:rPr>
        <w:t>660</w:t>
      </w:r>
      <w:r>
        <w:rPr>
          <w:spacing w:val="51"/>
          <w:sz w:val="18"/>
        </w:rPr>
        <w:t> </w:t>
      </w:r>
      <w:r>
        <w:rPr>
          <w:sz w:val="18"/>
        </w:rPr>
        <w:t>720  </w:t>
      </w:r>
      <w:r>
        <w:rPr>
          <w:spacing w:val="10"/>
          <w:sz w:val="18"/>
        </w:rPr>
        <w:t> </w:t>
      </w:r>
      <w:r>
        <w:rPr>
          <w:sz w:val="18"/>
        </w:rPr>
        <w:t>780</w:t>
      </w:r>
      <w:r>
        <w:rPr>
          <w:spacing w:val="43"/>
          <w:sz w:val="18"/>
        </w:rPr>
        <w:t> </w:t>
      </w:r>
      <w:r>
        <w:rPr>
          <w:sz w:val="18"/>
        </w:rPr>
        <w:t>840</w:t>
      </w:r>
      <w:r>
        <w:rPr>
          <w:spacing w:val="75"/>
          <w:sz w:val="18"/>
        </w:rPr>
        <w:t> </w:t>
      </w:r>
      <w:r>
        <w:rPr>
          <w:sz w:val="18"/>
        </w:rPr>
        <w:t>900</w:t>
      </w:r>
      <w:r>
        <w:rPr>
          <w:spacing w:val="71"/>
          <w:sz w:val="18"/>
        </w:rPr>
        <w:t> </w:t>
      </w:r>
      <w:r>
        <w:rPr>
          <w:sz w:val="18"/>
        </w:rPr>
        <w:t>960</w:t>
      </w:r>
      <w:r>
        <w:rPr>
          <w:spacing w:val="30"/>
          <w:sz w:val="18"/>
        </w:rPr>
        <w:t> </w:t>
      </w:r>
      <w:r>
        <w:rPr>
          <w:sz w:val="18"/>
        </w:rPr>
        <w:t>10201080</w:t>
      </w:r>
      <w:r>
        <w:rPr>
          <w:spacing w:val="1"/>
          <w:sz w:val="18"/>
        </w:rPr>
        <w:t> </w:t>
      </w:r>
      <w:r>
        <w:rPr>
          <w:sz w:val="18"/>
        </w:rPr>
        <w:t>11401200</w:t>
      </w:r>
    </w:p>
    <w:p>
      <w:pPr>
        <w:tabs>
          <w:tab w:pos="8210" w:val="left" w:leader="none"/>
        </w:tabs>
        <w:spacing w:line="189" w:lineRule="auto" w:before="0"/>
        <w:ind w:left="809" w:right="0" w:firstLine="0"/>
        <w:jc w:val="left"/>
        <w:rPr>
          <w:sz w:val="18"/>
        </w:rPr>
      </w:pPr>
      <w:r>
        <w:rPr/>
        <w:pict>
          <v:group style="position:absolute;margin-left:138.764786pt;margin-top:4.457861pt;width:356.75pt;height:174.35pt;mso-position-horizontal-relative:page;mso-position-vertical-relative:paragraph;z-index:-34876416" coordorigin="2775,89" coordsize="7135,3487">
            <v:rect style="position:absolute;left:2783;top:97;width:7119;height:3470" filled="false" stroked="true" strokeweight=".820355pt" strokecolor="#000000">
              <v:stroke dashstyle="solid"/>
            </v:rect>
            <v:line style="position:absolute" from="3571,3567" to="3571,3469" stroked="true" strokeweight=".615392pt" strokecolor="#000000">
              <v:stroke dashstyle="solid"/>
            </v:line>
            <v:line style="position:absolute" from="3969,3567" to="3969,3469" stroked="true" strokeweight=".615392pt" strokecolor="#000000">
              <v:stroke dashstyle="solid"/>
            </v:line>
            <v:line style="position:absolute" from="4363,3567" to="4363,3469" stroked="true" strokeweight=".615392pt" strokecolor="#000000">
              <v:stroke dashstyle="solid"/>
            </v:line>
            <v:line style="position:absolute" from="4761,3567" to="4761,3469" stroked="true" strokeweight=".615392pt" strokecolor="#000000">
              <v:stroke dashstyle="solid"/>
            </v:line>
            <v:line style="position:absolute" from="5155,3567" to="5155,3469" stroked="true" strokeweight=".615392pt" strokecolor="#000000">
              <v:stroke dashstyle="solid"/>
            </v:line>
            <v:line style="position:absolute" from="5549,3567" to="5549,3469" stroked="true" strokeweight=".615392pt" strokecolor="#000000">
              <v:stroke dashstyle="solid"/>
            </v:line>
            <v:line style="position:absolute" from="5947,3567" to="5947,3469" stroked="true" strokeweight=".615392pt" strokecolor="#000000">
              <v:stroke dashstyle="solid"/>
            </v:line>
            <v:line style="position:absolute" from="6340,3567" to="6340,3469" stroked="true" strokeweight=".615392pt" strokecolor="#000000">
              <v:stroke dashstyle="solid"/>
            </v:line>
            <v:line style="position:absolute" from="6738,3567" to="6738,3469" stroked="true" strokeweight=".615392pt" strokecolor="#000000">
              <v:stroke dashstyle="solid"/>
            </v:line>
            <v:line style="position:absolute" from="7132,3567" to="7132,3469" stroked="true" strokeweight=".615392pt" strokecolor="#000000">
              <v:stroke dashstyle="solid"/>
            </v:line>
            <v:line style="position:absolute" from="7526,3567" to="7526,3469" stroked="true" strokeweight=".615392pt" strokecolor="#000000">
              <v:stroke dashstyle="solid"/>
            </v:line>
            <v:line style="position:absolute" from="7924,3567" to="7924,3469" stroked="true" strokeweight=".615392pt" strokecolor="#000000">
              <v:stroke dashstyle="solid"/>
            </v:line>
            <v:line style="position:absolute" from="8318,3567" to="8318,3469" stroked="true" strokeweight=".615392pt" strokecolor="#000000">
              <v:stroke dashstyle="solid"/>
            </v:line>
            <v:line style="position:absolute" from="8716,3567" to="8716,3469" stroked="true" strokeweight=".615392pt" strokecolor="#000000">
              <v:stroke dashstyle="solid"/>
            </v:line>
            <v:line style="position:absolute" from="9110,3567" to="9110,3469" stroked="true" strokeweight=".615392pt" strokecolor="#000000">
              <v:stroke dashstyle="solid"/>
            </v:line>
            <v:line style="position:absolute" from="9504,3567" to="9504,3469" stroked="true" strokeweight=".615392pt" strokecolor="#000000">
              <v:stroke dashstyle="solid"/>
            </v:line>
            <v:line style="position:absolute" from="3157,97" to="3157,200" stroked="true" strokeweight=".615392pt" strokecolor="#000000">
              <v:stroke dashstyle="solid"/>
            </v:line>
            <v:line style="position:absolute" from="3547,97" to="3547,200" stroked="true" strokeweight=".615392pt" strokecolor="#000000">
              <v:stroke dashstyle="solid"/>
            </v:line>
            <v:line style="position:absolute" from="3936,97" to="3936,200" stroked="true" strokeweight=".615392pt" strokecolor="#000000">
              <v:stroke dashstyle="solid"/>
            </v:line>
            <v:line style="position:absolute" from="4326,97" to="4326,200" stroked="true" strokeweight=".615392pt" strokecolor="#000000">
              <v:stroke dashstyle="solid"/>
            </v:line>
            <v:line style="position:absolute" from="4716,97" to="4716,200" stroked="true" strokeweight=".615392pt" strokecolor="#000000">
              <v:stroke dashstyle="solid"/>
            </v:line>
            <v:line style="position:absolute" from="5106,97" to="5106,200" stroked="true" strokeweight=".615392pt" strokecolor="#000000">
              <v:stroke dashstyle="solid"/>
            </v:line>
            <v:line style="position:absolute" from="5495,97" to="5495,200" stroked="true" strokeweight=".615392pt" strokecolor="#000000">
              <v:stroke dashstyle="solid"/>
            </v:line>
            <v:line style="position:absolute" from="5885,97" to="5885,200" stroked="true" strokeweight=".615392pt" strokecolor="#000000">
              <v:stroke dashstyle="solid"/>
            </v:line>
            <v:line style="position:absolute" from="6275,97" to="6275,200" stroked="true" strokeweight=".615392pt" strokecolor="#000000">
              <v:stroke dashstyle="solid"/>
            </v:line>
            <v:line style="position:absolute" from="6660,97" to="6660,200" stroked="true" strokeweight=".615392pt" strokecolor="#000000">
              <v:stroke dashstyle="solid"/>
            </v:line>
            <v:line style="position:absolute" from="7050,97" to="7050,200" stroked="true" strokeweight=".615392pt" strokecolor="#000000">
              <v:stroke dashstyle="solid"/>
            </v:line>
            <v:line style="position:absolute" from="7440,97" to="7440,200" stroked="true" strokeweight=".615392pt" strokecolor="#000000">
              <v:stroke dashstyle="solid"/>
            </v:line>
            <v:line style="position:absolute" from="8609,97" to="8609,200" stroked="true" strokeweight=".615392pt" strokecolor="#000000">
              <v:stroke dashstyle="solid"/>
            </v:line>
            <v:line style="position:absolute" from="2784,3075" to="2911,3075" stroked="true" strokeweight=".615236pt" strokecolor="#000000">
              <v:stroke dashstyle="solid"/>
            </v:line>
            <v:line style="position:absolute" from="2784,2825" to="2911,2825" stroked="true" strokeweight=".615236pt" strokecolor="#000000">
              <v:stroke dashstyle="solid"/>
            </v:line>
            <v:line style="position:absolute" from="2784,2579" to="2911,2579" stroked="true" strokeweight=".615236pt" strokecolor="#000000">
              <v:stroke dashstyle="solid"/>
            </v:line>
            <v:line style="position:absolute" from="2784,2329" to="2911,2329" stroked="true" strokeweight=".615236pt" strokecolor="#000000">
              <v:stroke dashstyle="solid"/>
            </v:line>
            <v:line style="position:absolute" from="2784,2083" to="2911,2083" stroked="true" strokeweight=".615236pt" strokecolor="#000000">
              <v:stroke dashstyle="solid"/>
            </v:line>
            <v:line style="position:absolute" from="2784,1832" to="2911,1832" stroked="true" strokeweight=".615236pt" strokecolor="#000000">
              <v:stroke dashstyle="solid"/>
            </v:line>
            <v:line style="position:absolute" from="2784,1586" to="2911,1586" stroked="true" strokeweight=".615236pt" strokecolor="#000000">
              <v:stroke dashstyle="solid"/>
            </v:line>
            <v:line style="position:absolute" from="2784,1336" to="2911,1336" stroked="true" strokeweight=".615236pt" strokecolor="#000000">
              <v:stroke dashstyle="solid"/>
            </v:line>
            <v:line style="position:absolute" from="2784,1090" to="2911,1090" stroked="true" strokeweight=".615236pt" strokecolor="#000000">
              <v:stroke dashstyle="solid"/>
            </v:line>
            <v:line style="position:absolute" from="2784,844" to="2911,844" stroked="true" strokeweight=".615236pt" strokecolor="#000000">
              <v:stroke dashstyle="solid"/>
            </v:line>
            <v:line style="position:absolute" from="2784,594" to="2911,594" stroked="true" strokeweight=".615236pt" strokecolor="#000000">
              <v:stroke dashstyle="solid"/>
            </v:line>
            <v:line style="position:absolute" from="2784,348" to="2911,348" stroked="true" strokeweight=".615236pt" strokecolor="#000000">
              <v:stroke dashstyle="solid"/>
            </v:line>
            <v:line style="position:absolute" from="9902,3321" to="9774,3321" stroked="true" strokeweight=".615236pt" strokecolor="#000000">
              <v:stroke dashstyle="solid"/>
            </v:line>
            <v:line style="position:absolute" from="9902,3075" to="9774,3075" stroked="true" strokeweight=".615236pt" strokecolor="#000000">
              <v:stroke dashstyle="solid"/>
            </v:line>
            <v:line style="position:absolute" from="9902,2825" to="9774,2825" stroked="true" strokeweight=".615236pt" strokecolor="#000000">
              <v:stroke dashstyle="solid"/>
            </v:line>
            <v:line style="position:absolute" from="9902,2579" to="9774,2579" stroked="true" strokeweight=".615236pt" strokecolor="#000000">
              <v:stroke dashstyle="solid"/>
            </v:line>
            <v:line style="position:absolute" from="9902,2329" to="9774,2329" stroked="true" strokeweight=".615236pt" strokecolor="#000000">
              <v:stroke dashstyle="solid"/>
            </v:line>
            <v:line style="position:absolute" from="9902,2083" to="9774,2083" stroked="true" strokeweight=".615236pt" strokecolor="#000000">
              <v:stroke dashstyle="solid"/>
            </v:line>
            <v:line style="position:absolute" from="9902,1832" to="9774,1832" stroked="true" strokeweight=".615236pt" strokecolor="#000000">
              <v:stroke dashstyle="solid"/>
            </v:line>
            <v:line style="position:absolute" from="9902,1586" to="9774,1586" stroked="true" strokeweight=".615236pt" strokecolor="#000000">
              <v:stroke dashstyle="solid"/>
            </v:line>
            <v:line style="position:absolute" from="9902,1336" to="9774,1336" stroked="true" strokeweight=".615236pt" strokecolor="#000000">
              <v:stroke dashstyle="solid"/>
            </v:line>
            <v:line style="position:absolute" from="9902,1090" to="9774,1090" stroked="true" strokeweight=".615236pt" strokecolor="#000000">
              <v:stroke dashstyle="solid"/>
            </v:line>
            <v:line style="position:absolute" from="9902,844" to="9774,844" stroked="true" strokeweight=".615236pt" strokecolor="#000000">
              <v:stroke dashstyle="solid"/>
            </v:line>
            <v:line style="position:absolute" from="9902,594" to="9774,594" stroked="true" strokeweight=".615236pt" strokecolor="#000000">
              <v:stroke dashstyle="solid"/>
            </v:line>
            <v:line style="position:absolute" from="9902,348" to="9774,348" stroked="true" strokeweight=".615236pt" strokecolor="#000000">
              <v:stroke dashstyle="solid"/>
            </v:line>
            <v:shape style="position:absolute;left:6225;top:2357;width:66;height:54" coordorigin="6226,2357" coordsize="66,54" path="m6291,2411l6226,2411,6258,2357,6291,2411xe" filled="true" fillcolor="#0000ff" stroked="false">
              <v:path arrowok="t"/>
              <v:fill type="solid"/>
            </v:shape>
            <v:shape style="position:absolute;left:6225;top:2357;width:66;height:54" coordorigin="6226,2357" coordsize="66,54" path="m6258,2357l6291,2411,6226,2411,6258,2357xe" filled="false" stroked="true" strokeweight=".820397pt" strokecolor="#0000ff">
              <v:path arrowok="t"/>
              <v:stroke dashstyle="solid"/>
            </v:shape>
            <v:shape style="position:absolute;left:4687;top:3099;width:70;height:54" coordorigin="4687,3100" coordsize="70,54" path="m4757,3153l4687,3153,4724,3100,4757,3153xe" filled="true" fillcolor="#0000ff" stroked="false">
              <v:path arrowok="t"/>
              <v:fill type="solid"/>
            </v:shape>
            <v:shape style="position:absolute;left:4687;top:3099;width:70;height:54" coordorigin="4687,3100" coordsize="70,54" path="m4724,3100l4757,3153,4687,3153,4724,3100xe" filled="false" stroked="true" strokeweight=".820391pt" strokecolor="#0000ff">
              <v:path arrowok="t"/>
              <v:stroke dashstyle="solid"/>
            </v:shape>
            <v:shape style="position:absolute;left:3595;top:3440;width:70;height:54" coordorigin="3596,3440" coordsize="70,54" path="m3666,3493l3596,3493,3633,3440,3666,3493xe" filled="true" fillcolor="#0000ff" stroked="false">
              <v:path arrowok="t"/>
              <v:fill type="solid"/>
            </v:shape>
            <v:shape style="position:absolute;left:3595;top:3440;width:70;height:54" coordorigin="3596,3440" coordsize="70,54" path="m3633,3440l3666,3493,3596,3493,3633,3440xe" filled="false" stroked="true" strokeweight=".820391pt" strokecolor="#0000ff">
              <v:path arrowok="t"/>
              <v:stroke dashstyle="solid"/>
            </v:shape>
            <v:shape style="position:absolute;left:2783;top:97;width:7002;height:3470" type="#_x0000_t75" stroked="false">
              <v:imagedata r:id="rId156" o:title=""/>
            </v:shape>
            <v:shape style="position:absolute;left:2775;top:89;width:7135;height:3487" type="#_x0000_t202" filled="false" stroked="false">
              <v:textbox inset="0,0,0,0">
                <w:txbxContent>
                  <w:p>
                    <w:pPr>
                      <w:spacing w:line="271" w:lineRule="auto" w:before="196"/>
                      <w:ind w:left="668" w:right="5574" w:firstLine="0"/>
                      <w:jc w:val="left"/>
                      <w:rPr>
                        <w:sz w:val="19"/>
                      </w:rPr>
                    </w:pPr>
                    <w:r>
                      <w:rPr>
                        <w:spacing w:val="-2"/>
                        <w:w w:val="105"/>
                        <w:sz w:val="19"/>
                      </w:rPr>
                      <w:t>SPF-S data</w:t>
                    </w:r>
                    <w:r>
                      <w:rPr>
                        <w:spacing w:val="-47"/>
                        <w:w w:val="105"/>
                        <w:sz w:val="19"/>
                      </w:rPr>
                      <w:t> </w:t>
                    </w:r>
                    <w:r>
                      <w:rPr>
                        <w:w w:val="105"/>
                        <w:sz w:val="19"/>
                      </w:rPr>
                      <w:t>SYP</w:t>
                    </w:r>
                  </w:p>
                  <w:p>
                    <w:pPr>
                      <w:spacing w:line="273" w:lineRule="auto" w:before="0"/>
                      <w:ind w:left="668" w:right="4471" w:firstLine="0"/>
                      <w:jc w:val="left"/>
                      <w:rPr>
                        <w:sz w:val="19"/>
                      </w:rPr>
                    </w:pPr>
                    <w:r>
                      <w:rPr>
                        <w:spacing w:val="-1"/>
                        <w:w w:val="105"/>
                        <w:sz w:val="19"/>
                      </w:rPr>
                      <w:t>General</w:t>
                    </w:r>
                    <w:r>
                      <w:rPr>
                        <w:spacing w:val="31"/>
                        <w:w w:val="105"/>
                        <w:sz w:val="19"/>
                      </w:rPr>
                      <w:t> </w:t>
                    </w:r>
                    <w:r>
                      <w:rPr>
                        <w:w w:val="105"/>
                        <w:sz w:val="19"/>
                      </w:rPr>
                      <w:t>THOR</w:t>
                    </w:r>
                    <w:r>
                      <w:rPr>
                        <w:spacing w:val="-10"/>
                        <w:w w:val="105"/>
                        <w:sz w:val="19"/>
                      </w:rPr>
                      <w:t> </w:t>
                    </w:r>
                    <w:r>
                      <w:rPr>
                        <w:w w:val="105"/>
                        <w:sz w:val="19"/>
                      </w:rPr>
                      <w:t>equation</w:t>
                    </w:r>
                    <w:r>
                      <w:rPr>
                        <w:spacing w:val="-47"/>
                        <w:w w:val="105"/>
                        <w:sz w:val="19"/>
                      </w:rPr>
                      <w:t> </w:t>
                    </w:r>
                    <w:r>
                      <w:rPr>
                        <w:w w:val="105"/>
                        <w:sz w:val="19"/>
                      </w:rPr>
                      <w:t>THOR CLT - SPF-S</w:t>
                    </w:r>
                    <w:r>
                      <w:rPr>
                        <w:spacing w:val="1"/>
                        <w:w w:val="105"/>
                        <w:sz w:val="19"/>
                      </w:rPr>
                      <w:t> </w:t>
                    </w:r>
                    <w:r>
                      <w:rPr>
                        <w:w w:val="105"/>
                        <w:sz w:val="19"/>
                      </w:rPr>
                      <w:t>THOR</w:t>
                    </w:r>
                    <w:r>
                      <w:rPr>
                        <w:spacing w:val="-3"/>
                        <w:w w:val="105"/>
                        <w:sz w:val="19"/>
                      </w:rPr>
                      <w:t> </w:t>
                    </w:r>
                    <w:r>
                      <w:rPr>
                        <w:w w:val="105"/>
                        <w:sz w:val="19"/>
                      </w:rPr>
                      <w:t>CLT</w:t>
                    </w:r>
                    <w:r>
                      <w:rPr>
                        <w:spacing w:val="-4"/>
                        <w:w w:val="105"/>
                        <w:sz w:val="19"/>
                      </w:rPr>
                      <w:t> </w:t>
                    </w:r>
                    <w:r>
                      <w:rPr>
                        <w:w w:val="105"/>
                        <w:sz w:val="19"/>
                      </w:rPr>
                      <w:t>-</w:t>
                    </w:r>
                    <w:r>
                      <w:rPr>
                        <w:spacing w:val="-3"/>
                        <w:w w:val="105"/>
                        <w:sz w:val="19"/>
                      </w:rPr>
                      <w:t> </w:t>
                    </w:r>
                    <w:r>
                      <w:rPr>
                        <w:w w:val="105"/>
                        <w:sz w:val="19"/>
                      </w:rPr>
                      <w:t>SYP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520.322449pt;margin-top:6.880592pt;width:18.95pt;height:166.6pt;mso-position-horizontal-relative:page;mso-position-vertical-relative:paragraph;z-index:15831552" type="#_x0000_t202" filled="false" stroked="false">
            <v:textbox inset="0,0,0,0" style="layout-flow:vertical;mso-layout-flow-alt:bottom-to-top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sz w:val="26"/>
                    </w:rPr>
                  </w:pPr>
                  <w:r>
                    <w:rPr>
                      <w:sz w:val="26"/>
                    </w:rPr>
                    <w:t>Depth</w:t>
                  </w:r>
                  <w:r>
                    <w:rPr>
                      <w:spacing w:val="5"/>
                      <w:sz w:val="26"/>
                    </w:rPr>
                    <w:t> </w:t>
                  </w:r>
                  <w:r>
                    <w:rPr>
                      <w:sz w:val="26"/>
                    </w:rPr>
                    <w:t>of</w:t>
                  </w:r>
                  <w:r>
                    <w:rPr>
                      <w:spacing w:val="5"/>
                      <w:sz w:val="26"/>
                    </w:rPr>
                    <w:t> </w:t>
                  </w:r>
                  <w:r>
                    <w:rPr>
                      <w:sz w:val="26"/>
                    </w:rPr>
                    <w:t>Penetration</w:t>
                  </w:r>
                  <w:r>
                    <w:rPr>
                      <w:spacing w:val="5"/>
                      <w:sz w:val="26"/>
                    </w:rPr>
                    <w:t> </w:t>
                  </w:r>
                  <w:r>
                    <w:rPr>
                      <w:sz w:val="26"/>
                    </w:rPr>
                    <w:t>(T</w:t>
                  </w:r>
                  <w:r>
                    <w:rPr>
                      <w:position w:val="-5"/>
                      <w:sz w:val="19"/>
                    </w:rPr>
                    <w:t>w</w:t>
                  </w:r>
                  <w:r>
                    <w:rPr>
                      <w:sz w:val="26"/>
                    </w:rPr>
                    <w:t>)</w:t>
                  </w:r>
                  <w:r>
                    <w:rPr>
                      <w:spacing w:val="5"/>
                      <w:sz w:val="26"/>
                    </w:rPr>
                    <w:t> </w:t>
                  </w:r>
                  <w:r>
                    <w:rPr>
                      <w:sz w:val="26"/>
                    </w:rPr>
                    <w:t>(cm)</w:t>
                  </w:r>
                </w:p>
              </w:txbxContent>
            </v:textbox>
            <w10:wrap type="none"/>
          </v:shape>
        </w:pict>
      </w:r>
      <w:r>
        <w:rPr>
          <w:sz w:val="18"/>
        </w:rPr>
        <w:t>14</w:t>
        <w:tab/>
      </w:r>
      <w:r>
        <w:rPr>
          <w:position w:val="-3"/>
          <w:sz w:val="18"/>
        </w:rPr>
        <w:t>35</w:t>
      </w:r>
    </w:p>
    <w:p>
      <w:pPr>
        <w:tabs>
          <w:tab w:pos="8222" w:val="left" w:leader="none"/>
        </w:tabs>
        <w:spacing w:before="11"/>
        <w:ind w:left="809" w:right="0" w:firstLine="0"/>
        <w:jc w:val="left"/>
        <w:rPr>
          <w:sz w:val="18"/>
        </w:rPr>
      </w:pPr>
      <w:r>
        <w:rPr>
          <w:position w:val="2"/>
          <w:sz w:val="18"/>
        </w:rPr>
        <w:t>13</w:t>
        <w:tab/>
      </w:r>
      <w:r>
        <w:rPr>
          <w:sz w:val="18"/>
        </w:rPr>
        <w:t>32.5</w:t>
      </w:r>
    </w:p>
    <w:p>
      <w:pPr>
        <w:tabs>
          <w:tab w:pos="8218" w:val="left" w:leader="none"/>
        </w:tabs>
        <w:spacing w:line="244" w:lineRule="exact" w:before="19"/>
        <w:ind w:left="809" w:right="0" w:firstLine="0"/>
        <w:jc w:val="left"/>
        <w:rPr>
          <w:sz w:val="18"/>
        </w:rPr>
      </w:pPr>
      <w:r>
        <w:rPr>
          <w:sz w:val="18"/>
        </w:rPr>
        <w:t>12</w:t>
        <w:tab/>
      </w:r>
      <w:r>
        <w:rPr>
          <w:position w:val="-3"/>
          <w:sz w:val="18"/>
        </w:rPr>
        <w:t>30</w:t>
      </w:r>
    </w:p>
    <w:p>
      <w:pPr>
        <w:tabs>
          <w:tab w:pos="8234" w:val="left" w:leader="none"/>
        </w:tabs>
        <w:spacing w:line="253" w:lineRule="exact" w:before="0"/>
        <w:ind w:left="809" w:right="0" w:firstLine="0"/>
        <w:jc w:val="left"/>
        <w:rPr>
          <w:sz w:val="18"/>
        </w:rPr>
      </w:pPr>
      <w:r>
        <w:rPr>
          <w:position w:val="5"/>
          <w:sz w:val="18"/>
        </w:rPr>
        <w:t>11</w:t>
        <w:tab/>
      </w:r>
      <w:r>
        <w:rPr>
          <w:sz w:val="18"/>
        </w:rPr>
        <w:t>27.5</w:t>
      </w:r>
    </w:p>
    <w:p>
      <w:pPr>
        <w:tabs>
          <w:tab w:pos="8218" w:val="left" w:leader="none"/>
        </w:tabs>
        <w:spacing w:line="226" w:lineRule="exact" w:before="0"/>
        <w:ind w:left="809" w:right="0" w:firstLine="0"/>
        <w:jc w:val="left"/>
        <w:rPr>
          <w:sz w:val="18"/>
        </w:rPr>
      </w:pPr>
      <w:r>
        <w:rPr>
          <w:sz w:val="18"/>
        </w:rPr>
        <w:t>10</w:t>
        <w:tab/>
      </w:r>
      <w:r>
        <w:rPr>
          <w:position w:val="-1"/>
          <w:sz w:val="18"/>
        </w:rPr>
        <w:t>25</w:t>
      </w:r>
    </w:p>
    <w:p>
      <w:pPr>
        <w:tabs>
          <w:tab w:pos="8234" w:val="left" w:leader="none"/>
        </w:tabs>
        <w:spacing w:before="21"/>
        <w:ind w:left="928" w:right="0" w:firstLine="0"/>
        <w:jc w:val="left"/>
        <w:rPr>
          <w:sz w:val="18"/>
        </w:rPr>
      </w:pPr>
      <w:r>
        <w:rPr>
          <w:position w:val="1"/>
          <w:sz w:val="18"/>
        </w:rPr>
        <w:t>9</w:t>
        <w:tab/>
      </w:r>
      <w:r>
        <w:rPr>
          <w:sz w:val="18"/>
        </w:rPr>
        <w:t>22.5</w:t>
      </w:r>
    </w:p>
    <w:p>
      <w:pPr>
        <w:tabs>
          <w:tab w:pos="8230" w:val="left" w:leader="none"/>
        </w:tabs>
        <w:spacing w:before="27"/>
        <w:ind w:left="928" w:right="0" w:firstLine="0"/>
        <w:jc w:val="left"/>
        <w:rPr>
          <w:sz w:val="18"/>
        </w:rPr>
      </w:pPr>
      <w:r>
        <w:rPr>
          <w:position w:val="2"/>
          <w:sz w:val="18"/>
        </w:rPr>
        <w:t>8</w:t>
        <w:tab/>
      </w:r>
      <w:r>
        <w:rPr>
          <w:sz w:val="18"/>
        </w:rPr>
        <w:t>20</w:t>
      </w:r>
    </w:p>
    <w:p>
      <w:pPr>
        <w:tabs>
          <w:tab w:pos="8230" w:val="left" w:leader="none"/>
        </w:tabs>
        <w:spacing w:before="23"/>
        <w:ind w:left="928" w:right="0" w:firstLine="0"/>
        <w:jc w:val="left"/>
        <w:rPr>
          <w:sz w:val="18"/>
        </w:rPr>
      </w:pPr>
      <w:r>
        <w:rPr>
          <w:sz w:val="18"/>
        </w:rPr>
        <w:t>7</w:t>
        <w:tab/>
        <w:t>17.5</w:t>
      </w:r>
    </w:p>
    <w:p>
      <w:pPr>
        <w:tabs>
          <w:tab w:pos="8230" w:val="left" w:leader="none"/>
        </w:tabs>
        <w:spacing w:before="43"/>
        <w:ind w:left="928" w:right="0" w:firstLine="0"/>
        <w:jc w:val="left"/>
        <w:rPr>
          <w:sz w:val="18"/>
        </w:rPr>
      </w:pPr>
      <w:r>
        <w:rPr>
          <w:sz w:val="18"/>
        </w:rPr>
        <w:t>6</w:t>
        <w:tab/>
        <w:t>15</w:t>
      </w:r>
    </w:p>
    <w:p>
      <w:pPr>
        <w:tabs>
          <w:tab w:pos="8230" w:val="left" w:leader="none"/>
        </w:tabs>
        <w:spacing w:before="43"/>
        <w:ind w:left="928" w:right="0" w:firstLine="0"/>
        <w:jc w:val="left"/>
        <w:rPr>
          <w:sz w:val="18"/>
        </w:rPr>
      </w:pPr>
      <w:r>
        <w:rPr>
          <w:sz w:val="18"/>
        </w:rPr>
        <w:t>5</w:t>
        <w:tab/>
        <w:t>12.5</w:t>
      </w:r>
    </w:p>
    <w:p>
      <w:pPr>
        <w:tabs>
          <w:tab w:pos="8230" w:val="left" w:leader="none"/>
        </w:tabs>
        <w:spacing w:before="33"/>
        <w:ind w:left="928" w:right="0" w:firstLine="0"/>
        <w:jc w:val="left"/>
        <w:rPr>
          <w:sz w:val="18"/>
        </w:rPr>
      </w:pPr>
      <w:r>
        <w:rPr>
          <w:position w:val="1"/>
          <w:sz w:val="18"/>
        </w:rPr>
        <w:t>4</w:t>
        <w:tab/>
      </w:r>
      <w:r>
        <w:rPr>
          <w:sz w:val="18"/>
        </w:rPr>
        <w:t>10</w:t>
      </w:r>
    </w:p>
    <w:p>
      <w:pPr>
        <w:tabs>
          <w:tab w:pos="8230" w:val="left" w:leader="none"/>
        </w:tabs>
        <w:spacing w:before="36"/>
        <w:ind w:left="928" w:right="0" w:firstLine="0"/>
        <w:jc w:val="left"/>
        <w:rPr>
          <w:sz w:val="18"/>
        </w:rPr>
      </w:pPr>
      <w:r>
        <w:rPr>
          <w:sz w:val="18"/>
        </w:rPr>
        <w:t>3</w:t>
        <w:tab/>
        <w:t>7.5</w:t>
      </w:r>
    </w:p>
    <w:p>
      <w:pPr>
        <w:tabs>
          <w:tab w:pos="8230" w:val="left" w:leader="none"/>
        </w:tabs>
        <w:spacing w:line="222" w:lineRule="exact" w:before="35"/>
        <w:ind w:left="928" w:right="0" w:firstLine="0"/>
        <w:jc w:val="left"/>
        <w:rPr>
          <w:sz w:val="18"/>
        </w:rPr>
      </w:pPr>
      <w:r>
        <w:rPr>
          <w:position w:val="2"/>
          <w:sz w:val="18"/>
        </w:rPr>
        <w:t>2</w:t>
        <w:tab/>
      </w:r>
      <w:r>
        <w:rPr>
          <w:sz w:val="18"/>
        </w:rPr>
        <w:t>5</w:t>
      </w:r>
    </w:p>
    <w:p>
      <w:pPr>
        <w:tabs>
          <w:tab w:pos="8230" w:val="left" w:leader="none"/>
        </w:tabs>
        <w:spacing w:line="223" w:lineRule="exact" w:before="0"/>
        <w:ind w:left="928" w:right="0" w:firstLine="0"/>
        <w:jc w:val="left"/>
        <w:rPr>
          <w:sz w:val="18"/>
        </w:rPr>
      </w:pPr>
      <w:r>
        <w:rPr>
          <w:position w:val="-3"/>
          <w:sz w:val="18"/>
        </w:rPr>
        <w:t>1</w:t>
        <w:tab/>
      </w:r>
      <w:r>
        <w:rPr>
          <w:sz w:val="18"/>
        </w:rPr>
        <w:t>2.5</w:t>
      </w:r>
    </w:p>
    <w:p>
      <w:pPr>
        <w:tabs>
          <w:tab w:pos="8230" w:val="left" w:leader="none"/>
        </w:tabs>
        <w:spacing w:line="211" w:lineRule="auto" w:before="0"/>
        <w:ind w:left="928" w:right="0" w:firstLine="0"/>
        <w:jc w:val="left"/>
        <w:rPr>
          <w:sz w:val="18"/>
        </w:rPr>
      </w:pPr>
      <w:r>
        <w:rPr>
          <w:position w:val="-6"/>
          <w:sz w:val="18"/>
        </w:rPr>
        <w:t>0</w:t>
        <w:tab/>
      </w:r>
      <w:r>
        <w:rPr>
          <w:sz w:val="18"/>
        </w:rPr>
        <w:t>0</w:t>
      </w:r>
    </w:p>
    <w:p>
      <w:pPr>
        <w:tabs>
          <w:tab w:pos="1674" w:val="left" w:leader="none"/>
          <w:tab w:pos="2404" w:val="left" w:leader="none"/>
          <w:tab w:pos="3196" w:val="left" w:leader="none"/>
          <w:tab w:pos="3988" w:val="left" w:leader="none"/>
          <w:tab w:pos="4776" w:val="left" w:leader="none"/>
          <w:tab w:pos="5568" w:val="left" w:leader="none"/>
          <w:tab w:pos="6359" w:val="left" w:leader="none"/>
          <w:tab w:pos="7151" w:val="left" w:leader="none"/>
          <w:tab w:pos="7943" w:val="left" w:leader="none"/>
        </w:tabs>
        <w:spacing w:before="30"/>
        <w:ind w:left="882" w:right="0" w:firstLine="0"/>
        <w:jc w:val="left"/>
        <w:rPr>
          <w:sz w:val="18"/>
        </w:rPr>
      </w:pPr>
      <w:r>
        <w:rPr>
          <w:sz w:val="18"/>
        </w:rPr>
        <w:t>400</w:t>
        <w:tab/>
        <w:t>800</w:t>
        <w:tab/>
        <w:t>1200</w:t>
        <w:tab/>
        <w:t>1600</w:t>
        <w:tab/>
        <w:t>2000</w:t>
        <w:tab/>
        <w:t>2400</w:t>
        <w:tab/>
        <w:t>2800</w:t>
        <w:tab/>
        <w:t>3200</w:t>
        <w:tab/>
        <w:t>3600</w:t>
        <w:tab/>
        <w:t>4000</w:t>
      </w:r>
    </w:p>
    <w:p>
      <w:pPr>
        <w:pStyle w:val="Heading7"/>
        <w:spacing w:before="145"/>
        <w:ind w:left="42" w:right="187"/>
        <w:jc w:val="center"/>
      </w:pPr>
      <w:r>
        <w:rPr/>
        <w:t>Striking</w:t>
      </w:r>
      <w:r>
        <w:rPr>
          <w:spacing w:val="-11"/>
        </w:rPr>
        <w:t> </w:t>
      </w:r>
      <w:r>
        <w:rPr/>
        <w:t>Velocity</w:t>
      </w:r>
      <w:r>
        <w:rPr>
          <w:spacing w:val="-3"/>
        </w:rPr>
        <w:t> </w:t>
      </w:r>
      <w:r>
        <w:rPr/>
        <w:t>(V</w:t>
      </w:r>
      <w:r>
        <w:rPr>
          <w:position w:val="-5"/>
          <w:sz w:val="19"/>
        </w:rPr>
        <w:t>s</w:t>
      </w:r>
      <w:r>
        <w:rPr/>
        <w:t>)</w:t>
      </w:r>
      <w:r>
        <w:rPr>
          <w:spacing w:val="-4"/>
        </w:rPr>
        <w:t> </w:t>
      </w:r>
      <w:r>
        <w:rPr/>
        <w:t>(fps)</w:t>
      </w:r>
    </w:p>
    <w:p>
      <w:pPr>
        <w:spacing w:before="224"/>
        <w:ind w:left="1085" w:right="0" w:firstLine="0"/>
        <w:jc w:val="left"/>
        <w:rPr>
          <w:i/>
          <w:sz w:val="24"/>
        </w:rPr>
      </w:pPr>
      <w:bookmarkStart w:name="_bookmark85" w:id="315"/>
      <w:bookmarkEnd w:id="315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5-26.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new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THOR-based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model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CLT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calibrated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CLT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data.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180"/>
        <w:ind w:left="439" w:right="417" w:firstLine="720"/>
        <w:jc w:val="both"/>
      </w:pPr>
      <w:r>
        <w:rPr/>
        <w:t>As examined with the revised UFC equation and the force law model, the THOR</w:t>
      </w:r>
      <w:r>
        <w:rPr>
          <w:spacing w:val="1"/>
        </w:rPr>
        <w:t> </w:t>
      </w:r>
      <w:r>
        <w:rPr/>
        <w:t>wood model was also investigated with single species data sets.</w:t>
      </w:r>
      <w:r>
        <w:rPr>
          <w:spacing w:val="1"/>
        </w:rPr>
        <w:t> </w:t>
      </w:r>
      <w:hyperlink w:history="true" w:anchor="_bookmark86">
        <w:r>
          <w:rPr/>
          <w:t>Figure 5-27 </w:t>
        </w:r>
      </w:hyperlink>
      <w:r>
        <w:rPr/>
        <w:t>shows the</w:t>
      </w:r>
      <w:r>
        <w:rPr>
          <w:spacing w:val="1"/>
        </w:rPr>
        <w:t> </w:t>
      </w:r>
      <w:r>
        <w:rPr/>
        <w:t>SPF-S only THOR wood model.</w:t>
      </w:r>
      <w:r>
        <w:rPr>
          <w:spacing w:val="1"/>
        </w:rPr>
        <w:t> </w:t>
      </w:r>
      <w:r>
        <w:rPr/>
        <w:t>The MSE for this calibration was 0.402, slightly worse</w:t>
      </w:r>
      <w:r>
        <w:rPr>
          <w:spacing w:val="1"/>
        </w:rPr>
        <w:t> </w:t>
      </w:r>
      <w:r>
        <w:rPr/>
        <w:t>than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model</w:t>
      </w:r>
      <w:r>
        <w:rPr>
          <w:spacing w:val="-6"/>
        </w:rPr>
        <w:t> </w:t>
      </w:r>
      <w:r>
        <w:rPr/>
        <w:t>incorporating</w:t>
      </w:r>
      <w:r>
        <w:rPr>
          <w:spacing w:val="-6"/>
        </w:rPr>
        <w:t> </w:t>
      </w:r>
      <w:r>
        <w:rPr/>
        <w:t>both</w:t>
      </w:r>
      <w:r>
        <w:rPr>
          <w:spacing w:val="-6"/>
        </w:rPr>
        <w:t> </w:t>
      </w:r>
      <w:r>
        <w:rPr/>
        <w:t>data</w:t>
      </w:r>
      <w:r>
        <w:rPr>
          <w:spacing w:val="-6"/>
        </w:rPr>
        <w:t> </w:t>
      </w:r>
      <w:r>
        <w:rPr/>
        <w:t>sets.</w:t>
      </w:r>
      <w:r>
        <w:rPr>
          <w:spacing w:val="-6"/>
        </w:rPr>
        <w:t> </w:t>
      </w:r>
      <w:hyperlink w:history="true" w:anchor="_bookmark87">
        <w:r>
          <w:rPr/>
          <w:t>Figure</w:t>
        </w:r>
        <w:r>
          <w:rPr>
            <w:spacing w:val="-7"/>
          </w:rPr>
          <w:t> </w:t>
        </w:r>
        <w:r>
          <w:rPr/>
          <w:t>5-28</w:t>
        </w:r>
        <w:r>
          <w:rPr>
            <w:spacing w:val="-6"/>
          </w:rPr>
          <w:t> </w:t>
        </w:r>
      </w:hyperlink>
      <w:r>
        <w:rPr/>
        <w:t>shows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SYP</w:t>
      </w:r>
      <w:r>
        <w:rPr>
          <w:spacing w:val="-4"/>
        </w:rPr>
        <w:t> </w:t>
      </w:r>
      <w:r>
        <w:rPr/>
        <w:t>only</w:t>
      </w:r>
      <w:r>
        <w:rPr>
          <w:spacing w:val="-6"/>
        </w:rPr>
        <w:t> </w:t>
      </w:r>
      <w:r>
        <w:rPr/>
        <w:t>THOR</w:t>
      </w:r>
      <w:r>
        <w:rPr>
          <w:spacing w:val="-4"/>
        </w:rPr>
        <w:t> </w:t>
      </w:r>
      <w:r>
        <w:rPr/>
        <w:t>wood</w:t>
      </w:r>
      <w:r>
        <w:rPr>
          <w:spacing w:val="-58"/>
        </w:rPr>
        <w:t> </w:t>
      </w:r>
      <w:r>
        <w:rPr/>
        <w:t>model.</w:t>
      </w:r>
      <w:r>
        <w:rPr>
          <w:spacing w:val="1"/>
        </w:rPr>
        <w:t> </w:t>
      </w:r>
      <w:r>
        <w:rPr/>
        <w:t>The MSE for this calibration was 0.190, slightly better than the models for both</w:t>
      </w:r>
      <w:r>
        <w:rPr>
          <w:spacing w:val="1"/>
        </w:rPr>
        <w:t> </w:t>
      </w:r>
      <w:r>
        <w:rPr/>
        <w:t>species data.</w:t>
      </w:r>
      <w:r>
        <w:rPr>
          <w:spacing w:val="1"/>
        </w:rPr>
        <w:t> </w:t>
      </w:r>
      <w:r>
        <w:rPr/>
        <w:t>It should be noted that the THOR-based wood model looks very similar to</w:t>
      </w:r>
      <w:r>
        <w:rPr>
          <w:spacing w:val="1"/>
        </w:rPr>
        <w:t> </w:t>
      </w:r>
      <w:r>
        <w:rPr/>
        <w:t>the UFC wood equation.</w:t>
      </w:r>
      <w:r>
        <w:rPr>
          <w:spacing w:val="1"/>
        </w:rPr>
        <w:t> </w:t>
      </w:r>
      <w:r>
        <w:rPr/>
        <w:t>This makes sense since the equation was based on the THOR</w:t>
      </w:r>
      <w:r>
        <w:rPr>
          <w:spacing w:val="1"/>
        </w:rPr>
        <w:t> </w:t>
      </w:r>
      <w:r>
        <w:rPr/>
        <w:t>reports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methodology.</w:t>
      </w:r>
    </w:p>
    <w:p>
      <w:pPr>
        <w:spacing w:after="0" w:line="480" w:lineRule="auto"/>
        <w:jc w:val="both"/>
        <w:sectPr>
          <w:pgSz w:w="12240" w:h="15840"/>
          <w:pgMar w:header="0" w:footer="1064" w:top="1340" w:bottom="1260" w:left="1720" w:right="1020"/>
        </w:sectPr>
      </w:pPr>
    </w:p>
    <w:p>
      <w:pPr>
        <w:pStyle w:val="Heading7"/>
        <w:spacing w:before="60"/>
        <w:ind w:left="3177"/>
      </w:pPr>
      <w:r>
        <w:rPr/>
        <w:t>Striking</w:t>
      </w:r>
      <w:r>
        <w:rPr>
          <w:spacing w:val="-15"/>
        </w:rPr>
        <w:t> </w:t>
      </w:r>
      <w:r>
        <w:rPr/>
        <w:t>Velocity</w:t>
      </w:r>
      <w:r>
        <w:rPr>
          <w:spacing w:val="-7"/>
        </w:rPr>
        <w:t> </w:t>
      </w:r>
      <w:r>
        <w:rPr/>
        <w:t>(V</w:t>
      </w:r>
      <w:r>
        <w:rPr>
          <w:position w:val="-8"/>
          <w:sz w:val="19"/>
        </w:rPr>
        <w:t>s</w:t>
      </w:r>
      <w:r>
        <w:rPr/>
        <w:t>)</w:t>
      </w:r>
      <w:r>
        <w:rPr>
          <w:spacing w:val="-9"/>
        </w:rPr>
        <w:t> </w:t>
      </w:r>
      <w:r>
        <w:rPr/>
        <w:t>(m/s)</w:t>
      </w:r>
    </w:p>
    <w:p>
      <w:pPr>
        <w:spacing w:line="181" w:lineRule="exact" w:before="76"/>
        <w:ind w:left="1311" w:right="0" w:firstLine="0"/>
        <w:jc w:val="left"/>
        <w:rPr>
          <w:sz w:val="18"/>
        </w:rPr>
      </w:pPr>
      <w:r>
        <w:rPr/>
        <w:pict>
          <v:shape style="position:absolute;margin-left:106.183548pt;margin-top:11.946587pt;width:18.8pt;height:182.55pt;mso-position-horizontal-relative:page;mso-position-vertical-relative:paragraph;z-index:15833600" type="#_x0000_t202" filled="false" stroked="false">
            <v:textbox inset="0,0,0,0" style="layout-flow:vertical;mso-layout-flow-alt:bottom-to-top">
              <w:txbxContent>
                <w:p>
                  <w:pPr>
                    <w:spacing w:before="9"/>
                    <w:ind w:left="20" w:right="0" w:firstLine="0"/>
                    <w:jc w:val="left"/>
                    <w:rPr>
                      <w:sz w:val="26"/>
                    </w:rPr>
                  </w:pPr>
                  <w:r>
                    <w:rPr>
                      <w:sz w:val="26"/>
                    </w:rPr>
                    <w:t>Depth</w:t>
                  </w:r>
                  <w:r>
                    <w:rPr>
                      <w:spacing w:val="-1"/>
                      <w:sz w:val="26"/>
                    </w:rPr>
                    <w:t> </w:t>
                  </w:r>
                  <w:r>
                    <w:rPr>
                      <w:sz w:val="26"/>
                    </w:rPr>
                    <w:t>of</w:t>
                  </w:r>
                  <w:r>
                    <w:rPr>
                      <w:spacing w:val="-2"/>
                      <w:sz w:val="26"/>
                    </w:rPr>
                    <w:t> </w:t>
                  </w:r>
                  <w:r>
                    <w:rPr>
                      <w:sz w:val="26"/>
                    </w:rPr>
                    <w:t>Penetration</w:t>
                  </w:r>
                  <w:r>
                    <w:rPr>
                      <w:spacing w:val="-1"/>
                      <w:sz w:val="26"/>
                    </w:rPr>
                    <w:t> </w:t>
                  </w:r>
                  <w:r>
                    <w:rPr>
                      <w:sz w:val="26"/>
                    </w:rPr>
                    <w:t>(T</w:t>
                  </w:r>
                  <w:r>
                    <w:rPr>
                      <w:position w:val="-5"/>
                      <w:sz w:val="19"/>
                    </w:rPr>
                    <w:t>w</w:t>
                  </w:r>
                  <w:r>
                    <w:rPr>
                      <w:sz w:val="26"/>
                    </w:rPr>
                    <w:t>)</w:t>
                  </w:r>
                  <w:r>
                    <w:rPr>
                      <w:spacing w:val="-2"/>
                      <w:sz w:val="26"/>
                    </w:rPr>
                    <w:t> </w:t>
                  </w:r>
                  <w:r>
                    <w:rPr>
                      <w:sz w:val="26"/>
                    </w:rPr>
                    <w:t>(inches)</w:t>
                  </w:r>
                </w:p>
              </w:txbxContent>
            </v:textbox>
            <w10:wrap type="none"/>
          </v:shape>
        </w:pict>
      </w:r>
      <w:r>
        <w:rPr>
          <w:sz w:val="18"/>
        </w:rPr>
        <w:t>180</w:t>
      </w:r>
      <w:r>
        <w:rPr>
          <w:spacing w:val="87"/>
          <w:sz w:val="18"/>
        </w:rPr>
        <w:t> </w:t>
      </w:r>
      <w:r>
        <w:rPr>
          <w:sz w:val="18"/>
        </w:rPr>
        <w:t>240</w:t>
      </w:r>
      <w:r>
        <w:rPr>
          <w:spacing w:val="32"/>
          <w:sz w:val="18"/>
        </w:rPr>
        <w:t> </w:t>
      </w:r>
      <w:r>
        <w:rPr>
          <w:sz w:val="18"/>
        </w:rPr>
        <w:t>300  </w:t>
      </w:r>
      <w:r>
        <w:rPr>
          <w:spacing w:val="9"/>
          <w:sz w:val="18"/>
        </w:rPr>
        <w:t> </w:t>
      </w:r>
      <w:r>
        <w:rPr>
          <w:sz w:val="18"/>
        </w:rPr>
        <w:t>360</w:t>
      </w:r>
      <w:r>
        <w:rPr>
          <w:spacing w:val="84"/>
          <w:sz w:val="18"/>
        </w:rPr>
        <w:t> </w:t>
      </w:r>
      <w:r>
        <w:rPr>
          <w:sz w:val="18"/>
        </w:rPr>
        <w:t>420</w:t>
      </w:r>
      <w:r>
        <w:rPr>
          <w:spacing w:val="64"/>
          <w:sz w:val="18"/>
        </w:rPr>
        <w:t> </w:t>
      </w:r>
      <w:r>
        <w:rPr>
          <w:sz w:val="18"/>
        </w:rPr>
        <w:t>480</w:t>
      </w:r>
      <w:r>
        <w:rPr>
          <w:spacing w:val="88"/>
          <w:sz w:val="18"/>
        </w:rPr>
        <w:t> </w:t>
      </w:r>
      <w:r>
        <w:rPr>
          <w:sz w:val="18"/>
        </w:rPr>
        <w:t>540</w:t>
      </w:r>
      <w:r>
        <w:rPr>
          <w:spacing w:val="68"/>
          <w:sz w:val="18"/>
        </w:rPr>
        <w:t> </w:t>
      </w:r>
      <w:r>
        <w:rPr>
          <w:sz w:val="18"/>
        </w:rPr>
        <w:t>600</w:t>
      </w:r>
      <w:r>
        <w:rPr>
          <w:spacing w:val="87"/>
          <w:sz w:val="18"/>
        </w:rPr>
        <w:t> </w:t>
      </w:r>
      <w:r>
        <w:rPr>
          <w:sz w:val="18"/>
        </w:rPr>
        <w:t>660</w:t>
      </w:r>
      <w:r>
        <w:rPr>
          <w:spacing w:val="47"/>
          <w:sz w:val="18"/>
        </w:rPr>
        <w:t> </w:t>
      </w:r>
      <w:r>
        <w:rPr>
          <w:sz w:val="18"/>
        </w:rPr>
        <w:t>720  </w:t>
      </w:r>
      <w:r>
        <w:rPr>
          <w:spacing w:val="6"/>
          <w:sz w:val="18"/>
        </w:rPr>
        <w:t> </w:t>
      </w:r>
      <w:r>
        <w:rPr>
          <w:sz w:val="18"/>
        </w:rPr>
        <w:t>780</w:t>
      </w:r>
      <w:r>
        <w:rPr>
          <w:spacing w:val="39"/>
          <w:sz w:val="18"/>
        </w:rPr>
        <w:t> </w:t>
      </w:r>
      <w:r>
        <w:rPr>
          <w:sz w:val="18"/>
        </w:rPr>
        <w:t>840</w:t>
      </w:r>
      <w:r>
        <w:rPr>
          <w:spacing w:val="72"/>
          <w:sz w:val="18"/>
        </w:rPr>
        <w:t> </w:t>
      </w:r>
      <w:r>
        <w:rPr>
          <w:sz w:val="18"/>
        </w:rPr>
        <w:t>900</w:t>
      </w:r>
      <w:r>
        <w:rPr>
          <w:spacing w:val="68"/>
          <w:sz w:val="18"/>
        </w:rPr>
        <w:t> </w:t>
      </w:r>
      <w:r>
        <w:rPr>
          <w:sz w:val="18"/>
        </w:rPr>
        <w:t>960</w:t>
      </w:r>
      <w:r>
        <w:rPr>
          <w:spacing w:val="27"/>
          <w:sz w:val="18"/>
        </w:rPr>
        <w:t> </w:t>
      </w:r>
      <w:r>
        <w:rPr>
          <w:sz w:val="18"/>
        </w:rPr>
        <w:t>10201080</w:t>
      </w:r>
      <w:r>
        <w:rPr>
          <w:spacing w:val="-1"/>
          <w:sz w:val="18"/>
        </w:rPr>
        <w:t> </w:t>
      </w:r>
      <w:r>
        <w:rPr>
          <w:sz w:val="18"/>
        </w:rPr>
        <w:t>11401200</w:t>
      </w:r>
    </w:p>
    <w:p>
      <w:pPr>
        <w:spacing w:line="181" w:lineRule="exact" w:before="0"/>
        <w:ind w:left="0" w:right="7191" w:firstLine="0"/>
        <w:jc w:val="right"/>
        <w:rPr>
          <w:sz w:val="18"/>
        </w:rPr>
      </w:pPr>
      <w:r>
        <w:rPr/>
        <w:pict>
          <v:group style="position:absolute;margin-left:140.383987pt;margin-top:4.477448pt;width:354.2pt;height:173.15pt;mso-position-horizontal-relative:page;mso-position-vertical-relative:paragraph;z-index:15832064" coordorigin="2808,90" coordsize="7084,3463">
            <v:rect style="position:absolute;left:2815;top:97;width:7068;height:3447" filled="false" stroked="true" strokeweight=".814691pt" strokecolor="#000000">
              <v:stroke dashstyle="solid"/>
            </v:rect>
            <v:line style="position:absolute" from="3207,3544" to="3207,3446" stroked="true" strokeweight=".611019pt" strokecolor="#000000">
              <v:stroke dashstyle="solid"/>
            </v:line>
            <v:line style="position:absolute" from="3598,3544" to="3598,3446" stroked="true" strokeweight=".611019pt" strokecolor="#000000">
              <v:stroke dashstyle="solid"/>
            </v:line>
            <v:line style="position:absolute" from="3993,3544" to="3993,3446" stroked="true" strokeweight=".611019pt" strokecolor="#000000">
              <v:stroke dashstyle="solid"/>
            </v:line>
            <v:line style="position:absolute" from="4384,3544" to="4384,3446" stroked="true" strokeweight=".611019pt" strokecolor="#000000">
              <v:stroke dashstyle="solid"/>
            </v:line>
            <v:line style="position:absolute" from="4779,3544" to="4779,3446" stroked="true" strokeweight=".611019pt" strokecolor="#000000">
              <v:stroke dashstyle="solid"/>
            </v:line>
            <v:line style="position:absolute" from="5170,3544" to="5170,3446" stroked="true" strokeweight=".611019pt" strokecolor="#000000">
              <v:stroke dashstyle="solid"/>
            </v:line>
            <v:line style="position:absolute" from="5561,3544" to="5561,3446" stroked="true" strokeweight=".611019pt" strokecolor="#000000">
              <v:stroke dashstyle="solid"/>
            </v:line>
            <v:line style="position:absolute" from="5956,3544" to="5956,3446" stroked="true" strokeweight=".611019pt" strokecolor="#000000">
              <v:stroke dashstyle="solid"/>
            </v:line>
            <v:line style="position:absolute" from="6348,3544" to="6348,3446" stroked="true" strokeweight=".611019pt" strokecolor="#000000">
              <v:stroke dashstyle="solid"/>
            </v:line>
            <v:line style="position:absolute" from="6743,3544" to="6743,3446" stroked="true" strokeweight=".611019pt" strokecolor="#000000">
              <v:stroke dashstyle="solid"/>
            </v:line>
            <v:line style="position:absolute" from="7134,3544" to="7134,3446" stroked="true" strokeweight=".611019pt" strokecolor="#000000">
              <v:stroke dashstyle="solid"/>
            </v:line>
            <v:line style="position:absolute" from="7525,3544" to="7525,3446" stroked="true" strokeweight=".611019pt" strokecolor="#000000">
              <v:stroke dashstyle="solid"/>
            </v:line>
            <v:line style="position:absolute" from="7920,3544" to="7920,3446" stroked="true" strokeweight=".611019pt" strokecolor="#000000">
              <v:stroke dashstyle="solid"/>
            </v:line>
            <v:line style="position:absolute" from="8311,3544" to="8311,3446" stroked="true" strokeweight=".611019pt" strokecolor="#000000">
              <v:stroke dashstyle="solid"/>
            </v:line>
            <v:line style="position:absolute" from="8706,3544" to="8706,3446" stroked="true" strokeweight=".611019pt" strokecolor="#000000">
              <v:stroke dashstyle="solid"/>
            </v:line>
            <v:line style="position:absolute" from="9097,3544" to="9097,3446" stroked="true" strokeweight=".611019pt" strokecolor="#000000">
              <v:stroke dashstyle="solid"/>
            </v:line>
            <v:line style="position:absolute" from="9488,3544" to="9488,3446" stroked="true" strokeweight=".611019pt" strokecolor="#000000">
              <v:stroke dashstyle="solid"/>
            </v:line>
            <v:line style="position:absolute" from="3187,98" to="3187,200" stroked="true" strokeweight=".611019pt" strokecolor="#000000">
              <v:stroke dashstyle="solid"/>
            </v:line>
            <v:line style="position:absolute" from="3573,98" to="3573,200" stroked="true" strokeweight=".611019pt" strokecolor="#000000">
              <v:stroke dashstyle="solid"/>
            </v:line>
            <v:line style="position:absolute" from="3960,98" to="3960,200" stroked="true" strokeweight=".611019pt" strokecolor="#000000">
              <v:stroke dashstyle="solid"/>
            </v:line>
            <v:line style="position:absolute" from="4347,98" to="4347,200" stroked="true" strokeweight=".611019pt" strokecolor="#000000">
              <v:stroke dashstyle="solid"/>
            </v:line>
            <v:line style="position:absolute" from="4734,98" to="4734,200" stroked="true" strokeweight=".611019pt" strokecolor="#000000">
              <v:stroke dashstyle="solid"/>
            </v:line>
            <v:line style="position:absolute" from="5121,98" to="5121,200" stroked="true" strokeweight=".611019pt" strokecolor="#000000">
              <v:stroke dashstyle="solid"/>
            </v:line>
            <v:line style="position:absolute" from="5508,98" to="5508,200" stroked="true" strokeweight=".611019pt" strokecolor="#000000">
              <v:stroke dashstyle="solid"/>
            </v:line>
            <v:line style="position:absolute" from="5895,98" to="5895,200" stroked="true" strokeweight=".611019pt" strokecolor="#000000">
              <v:stroke dashstyle="solid"/>
            </v:line>
            <v:line style="position:absolute" from="6282,98" to="6282,200" stroked="true" strokeweight=".611019pt" strokecolor="#000000">
              <v:stroke dashstyle="solid"/>
            </v:line>
            <v:line style="position:absolute" from="6665,98" to="6665,199" stroked="true" strokeweight=".611019pt" strokecolor="#000000">
              <v:stroke dashstyle="solid"/>
            </v:line>
            <v:line style="position:absolute" from="7052,98" to="7052,199" stroked="true" strokeweight=".611019pt" strokecolor="#000000">
              <v:stroke dashstyle="solid"/>
            </v:line>
            <v:line style="position:absolute" from="7439,98" to="7439,199" stroked="true" strokeweight=".611019pt" strokecolor="#000000">
              <v:stroke dashstyle="solid"/>
            </v:line>
            <v:line style="position:absolute" from="7826,98" to="7826,199" stroked="true" strokeweight=".611019pt" strokecolor="#000000">
              <v:stroke dashstyle="solid"/>
            </v:line>
            <v:line style="position:absolute" from="8213,98" to="8213,199" stroked="true" strokeweight=".611019pt" strokecolor="#000000">
              <v:stroke dashstyle="solid"/>
            </v:line>
            <v:line style="position:absolute" from="8600,98" to="8600,199" stroked="true" strokeweight=".611019pt" strokecolor="#000000">
              <v:stroke dashstyle="solid"/>
            </v:line>
            <v:line style="position:absolute" from="8987,98" to="8987,199" stroked="true" strokeweight=".611019pt" strokecolor="#000000">
              <v:stroke dashstyle="solid"/>
            </v:line>
            <v:line style="position:absolute" from="9374,98" to="9374,199" stroked="true" strokeweight=".611019pt" strokecolor="#000000">
              <v:stroke dashstyle="solid"/>
            </v:line>
            <v:line style="position:absolute" from="9761,98" to="9761,199" stroked="true" strokeweight=".611019pt" strokecolor="#000000">
              <v:stroke dashstyle="solid"/>
            </v:line>
            <v:line style="position:absolute" from="2816,3299" to="2942,3299" stroked="true" strokeweight=".611018pt" strokecolor="#000000">
              <v:stroke dashstyle="solid"/>
            </v:line>
            <v:line style="position:absolute" from="2816,3055" to="2942,3055" stroked="true" strokeweight=".611018pt" strokecolor="#000000">
              <v:stroke dashstyle="solid"/>
            </v:line>
            <v:line style="position:absolute" from="2816,2806" to="2942,2806" stroked="true" strokeweight=".611018pt" strokecolor="#000000">
              <v:stroke dashstyle="solid"/>
            </v:line>
            <v:line style="position:absolute" from="2816,2562" to="2942,2562" stroked="true" strokeweight=".611018pt" strokecolor="#000000">
              <v:stroke dashstyle="solid"/>
            </v:line>
            <v:line style="position:absolute" from="2816,2314" to="2942,2314" stroked="true" strokeweight=".611018pt" strokecolor="#000000">
              <v:stroke dashstyle="solid"/>
            </v:line>
            <v:line style="position:absolute" from="2816,2069" to="2942,2069" stroked="true" strokeweight=".611018pt" strokecolor="#000000">
              <v:stroke dashstyle="solid"/>
            </v:line>
            <v:line style="position:absolute" from="2816,1821" to="2942,1821" stroked="true" strokeweight=".611018pt" strokecolor="#000000">
              <v:stroke dashstyle="solid"/>
            </v:line>
            <v:line style="position:absolute" from="2816,1576" to="2942,1576" stroked="true" strokeweight=".611018pt" strokecolor="#000000">
              <v:stroke dashstyle="solid"/>
            </v:line>
            <v:line style="position:absolute" from="2816,1328" to="2942,1328" stroked="true" strokeweight=".611018pt" strokecolor="#000000">
              <v:stroke dashstyle="solid"/>
            </v:line>
            <v:line style="position:absolute" from="2816,1083" to="2942,1083" stroked="true" strokeweight=".611018pt" strokecolor="#000000">
              <v:stroke dashstyle="solid"/>
            </v:line>
            <v:line style="position:absolute" from="2816,839" to="2942,839" stroked="true" strokeweight=".611018pt" strokecolor="#000000">
              <v:stroke dashstyle="solid"/>
            </v:line>
            <v:line style="position:absolute" from="2816,591" to="2942,591" stroked="true" strokeweight=".611018pt" strokecolor="#000000">
              <v:stroke dashstyle="solid"/>
            </v:line>
            <v:line style="position:absolute" from="2816,346" to="2942,346" stroked="true" strokeweight=".611018pt" strokecolor="#000000">
              <v:stroke dashstyle="solid"/>
            </v:line>
            <v:line style="position:absolute" from="9883,3299" to="9757,3299" stroked="true" strokeweight=".611018pt" strokecolor="#000000">
              <v:stroke dashstyle="solid"/>
            </v:line>
            <v:line style="position:absolute" from="9883,3055" to="9757,3055" stroked="true" strokeweight=".611018pt" strokecolor="#000000">
              <v:stroke dashstyle="solid"/>
            </v:line>
            <v:line style="position:absolute" from="9883,2806" to="9757,2806" stroked="true" strokeweight=".611018pt" strokecolor="#000000">
              <v:stroke dashstyle="solid"/>
            </v:line>
            <v:line style="position:absolute" from="9883,2562" to="9757,2562" stroked="true" strokeweight=".611018pt" strokecolor="#000000">
              <v:stroke dashstyle="solid"/>
            </v:line>
            <v:line style="position:absolute" from="9883,2314" to="9757,2314" stroked="true" strokeweight=".611018pt" strokecolor="#000000">
              <v:stroke dashstyle="solid"/>
            </v:line>
            <v:line style="position:absolute" from="9883,2069" to="9757,2069" stroked="true" strokeweight=".611018pt" strokecolor="#000000">
              <v:stroke dashstyle="solid"/>
            </v:line>
            <v:line style="position:absolute" from="9883,1821" to="9757,1821" stroked="true" strokeweight=".611018pt" strokecolor="#000000">
              <v:stroke dashstyle="solid"/>
            </v:line>
            <v:line style="position:absolute" from="9883,1576" to="9757,1576" stroked="true" strokeweight=".611018pt" strokecolor="#000000">
              <v:stroke dashstyle="solid"/>
            </v:line>
            <v:line style="position:absolute" from="9883,1328" to="9757,1328" stroked="true" strokeweight=".611018pt" strokecolor="#000000">
              <v:stroke dashstyle="solid"/>
            </v:line>
            <v:line style="position:absolute" from="9883,1083" to="9757,1083" stroked="true" strokeweight=".611018pt" strokecolor="#000000">
              <v:stroke dashstyle="solid"/>
            </v:line>
            <v:line style="position:absolute" from="9883,839" to="9757,839" stroked="true" strokeweight=".611018pt" strokecolor="#000000">
              <v:stroke dashstyle="solid"/>
            </v:line>
            <v:line style="position:absolute" from="9883,591" to="9757,591" stroked="true" strokeweight=".611018pt" strokecolor="#000000">
              <v:stroke dashstyle="solid"/>
            </v:line>
            <v:line style="position:absolute" from="9883,346" to="9757,346" stroked="true" strokeweight=".611018pt" strokecolor="#000000">
              <v:stroke dashstyle="solid"/>
            </v:line>
            <v:shape style="position:absolute;left:4555;top:2533;width:70;height:53" coordorigin="4555,2534" coordsize="70,53" path="m4588,2587l4555,2562,4588,2534,4624,2562,4588,2587xe" filled="true" fillcolor="#ff0000" stroked="false">
              <v:path arrowok="t"/>
              <v:fill type="solid"/>
            </v:shape>
            <v:shape style="position:absolute;left:4555;top:2533;width:70;height:53" coordorigin="4555,2534" coordsize="70,53" path="m4588,2534l4624,2562,4588,2587,4555,2562,4588,2534xe" filled="false" stroked="true" strokeweight=".814691pt" strokecolor="#ff0000">
              <v:path arrowok="t"/>
              <v:stroke dashstyle="solid"/>
            </v:shape>
            <v:shape style="position:absolute;left:4718;top:2256;width:74;height:53" coordorigin="4718,2257" coordsize="74,53" path="m4755,2310l4718,2285,4755,2257,4791,2285,4755,2310xe" filled="true" fillcolor="#ff0000" stroked="false">
              <v:path arrowok="t"/>
              <v:fill type="solid"/>
            </v:shape>
            <v:shape style="position:absolute;left:4718;top:2256;width:74;height:53" coordorigin="4718,2257" coordsize="74,53" path="m4755,2257l4791,2285,4755,2310,4718,2285,4755,2257xe" filled="false" stroked="true" strokeweight=".814691pt" strokecolor="#ff0000">
              <v:path arrowok="t"/>
              <v:stroke dashstyle="solid"/>
            </v:shape>
            <v:shape style="position:absolute;left:4705;top:2317;width:74;height:53" coordorigin="4706,2318" coordsize="74,53" path="m4743,2371l4706,2346,4743,2318,4779,2346,4743,2371xe" filled="true" fillcolor="#ff0000" stroked="false">
              <v:path arrowok="t"/>
              <v:fill type="solid"/>
            </v:shape>
            <v:shape style="position:absolute;left:4705;top:2317;width:74;height:53" coordorigin="4706,2318" coordsize="74,53" path="m4743,2318l4779,2346,4743,2371,4706,2346,4743,2318xe" filled="false" stroked="true" strokeweight=".814691pt" strokecolor="#ff0000">
              <v:path arrowok="t"/>
              <v:stroke dashstyle="solid"/>
            </v:shape>
            <v:shape style="position:absolute;left:4754;top:2716;width:74;height:58" coordorigin="4755,2717" coordsize="74,58" path="m4791,2774l4755,2745,4791,2717,4828,2745,4791,2774xe" filled="true" fillcolor="#ff0000" stroked="false">
              <v:path arrowok="t"/>
              <v:fill type="solid"/>
            </v:shape>
            <v:shape style="position:absolute;left:4754;top:2716;width:74;height:58" coordorigin="4755,2717" coordsize="74,58" path="m4791,2717l4828,2745,4791,2774,4755,2745,4791,2717xe" filled="false" stroked="true" strokeweight=".814691pt" strokecolor="#ff0000">
              <v:path arrowok="t"/>
              <v:stroke dashstyle="solid"/>
            </v:shape>
            <v:shape style="position:absolute;left:4559;top:2655;width:70;height:58" coordorigin="4559,2656" coordsize="70,58" path="m4596,2713l4559,2684,4596,2656,4629,2684,4596,2713xe" filled="true" fillcolor="#ff0000" stroked="false">
              <v:path arrowok="t"/>
              <v:fill type="solid"/>
            </v:shape>
            <v:shape style="position:absolute;left:4559;top:2655;width:70;height:58" coordorigin="4559,2656" coordsize="70,58" path="m4596,2656l4629,2684,4596,2713,4559,2684,4596,2656xe" filled="false" stroked="true" strokeweight=".814691pt" strokecolor="#ff0000">
              <v:path arrowok="t"/>
              <v:stroke dashstyle="solid"/>
            </v:shape>
            <v:shape style="position:absolute;left:4758;top:2317;width:74;height:53" coordorigin="4759,2318" coordsize="74,53" path="m4796,2371l4759,2346,4796,2318,4832,2346,4796,2371xe" filled="true" fillcolor="#ff0000" stroked="false">
              <v:path arrowok="t"/>
              <v:fill type="solid"/>
            </v:shape>
            <v:shape style="position:absolute;left:4758;top:2317;width:74;height:53" coordorigin="4759,2318" coordsize="74,53" path="m4796,2318l4832,2346,4796,2371,4759,2346,4796,2318xe" filled="false" stroked="true" strokeweight=".814691pt" strokecolor="#ff0000">
              <v:path arrowok="t"/>
              <v:stroke dashstyle="solid"/>
            </v:shape>
            <v:shape style="position:absolute;left:4779;top:2223;width:70;height:58" coordorigin="4779,2224" coordsize="70,58" path="m4812,2281l4779,2252,4812,2224,4848,2252,4812,2281xe" filled="true" fillcolor="#ff0000" stroked="false">
              <v:path arrowok="t"/>
              <v:fill type="solid"/>
            </v:shape>
            <v:shape style="position:absolute;left:4779;top:2223;width:70;height:58" coordorigin="4779,2224" coordsize="70,58" path="m4812,2224l4848,2252,4812,2281,4779,2252,4812,2224xe" filled="false" stroked="true" strokeweight=".814691pt" strokecolor="#ff0000">
              <v:path arrowok="t"/>
              <v:stroke dashstyle="solid"/>
            </v:shape>
            <v:shape style="position:absolute;left:3927;top:3209;width:70;height:58" coordorigin="3928,3210" coordsize="70,58" path="m3965,3267l3928,3238,3965,3210,3997,3238,3965,3267xe" filled="true" fillcolor="#ff0000" stroked="false">
              <v:path arrowok="t"/>
              <v:fill type="solid"/>
            </v:shape>
            <v:shape style="position:absolute;left:3927;top:3209;width:70;height:58" coordorigin="3928,3210" coordsize="70,58" path="m3965,3210l3997,3238,3965,3267,3928,3238,3965,3210xe" filled="false" stroked="true" strokeweight=".814691pt" strokecolor="#ff0000">
              <v:path arrowok="t"/>
              <v:stroke dashstyle="solid"/>
            </v:shape>
            <v:shape style="position:absolute;left:4400;top:2627;width:70;height:53" coordorigin="4400,2627" coordsize="70,53" path="m4437,2680l4400,2652,4437,2627,4470,2652,4437,2680xe" filled="true" fillcolor="#ff0000" stroked="false">
              <v:path arrowok="t"/>
              <v:fill type="solid"/>
            </v:shape>
            <v:shape style="position:absolute;left:4400;top:2627;width:70;height:53" coordorigin="4400,2627" coordsize="70,53" path="m4437,2627l4470,2652,4437,2680,4400,2652,4437,2627xe" filled="false" stroked="true" strokeweight=".814691pt" strokecolor="#ff0000">
              <v:path arrowok="t"/>
              <v:stroke dashstyle="solid"/>
            </v:shape>
            <v:shape style="position:absolute;left:4257;top:2810;width:70;height:53" coordorigin="4258,2811" coordsize="70,53" path="m4294,2863l4258,2839,4294,2811,4327,2839,4294,2863xe" filled="true" fillcolor="#ff0000" stroked="false">
              <v:path arrowok="t"/>
              <v:fill type="solid"/>
            </v:shape>
            <v:shape style="position:absolute;left:4257;top:2810;width:70;height:53" coordorigin="4258,2811" coordsize="70,53" path="m4294,2811l4327,2839,4294,2863,4258,2839,4294,2811xe" filled="false" stroked="true" strokeweight=".814691pt" strokecolor="#ff0000">
              <v:path arrowok="t"/>
              <v:stroke dashstyle="solid"/>
            </v:shape>
            <v:shape style="position:absolute;left:3927;top:3087;width:74;height:53" coordorigin="3928,3088" coordsize="74,53" path="m3965,3140l3928,3116,3965,3088,4001,3116,3965,3140xe" filled="true" fillcolor="#ff0000" stroked="false">
              <v:path arrowok="t"/>
              <v:fill type="solid"/>
            </v:shape>
            <v:shape style="position:absolute;left:3927;top:3087;width:74;height:53" coordorigin="3928,3088" coordsize="74,53" path="m3965,3088l4001,3116,3965,3140,3928,3116,3965,3088xe" filled="false" stroked="true" strokeweight=".814691pt" strokecolor="#ff0000">
              <v:path arrowok="t"/>
              <v:stroke dashstyle="solid"/>
            </v:shape>
            <v:shape style="position:absolute;left:3638;top:3148;width:70;height:53" coordorigin="3639,3149" coordsize="70,53" path="m3675,3202l3639,3177,3675,3149,3708,3177,3675,3202xe" filled="true" fillcolor="#ff0000" stroked="false">
              <v:path arrowok="t"/>
              <v:fill type="solid"/>
            </v:shape>
            <v:shape style="position:absolute;left:3638;top:3148;width:70;height:53" coordorigin="3639,3149" coordsize="70,53" path="m3675,3149l3708,3177,3675,3202,3639,3177,3675,3149xe" filled="false" stroked="true" strokeweight=".814691pt" strokecolor="#ff0000">
              <v:path arrowok="t"/>
              <v:stroke dashstyle="solid"/>
            </v:shape>
            <v:shape style="position:absolute;left:2990;top:3425;width:70;height:53" coordorigin="2991,3426" coordsize="70,53" path="m3024,3479l2991,3454,3024,3426,3060,3454,3024,3479xe" filled="true" fillcolor="#ff0000" stroked="false">
              <v:path arrowok="t"/>
              <v:fill type="solid"/>
            </v:shape>
            <v:shape style="position:absolute;left:2990;top:3425;width:70;height:53" coordorigin="2991,3426" coordsize="70,53" path="m3024,3426l3060,3454,3024,3479,2991,3454,3024,3426xe" filled="false" stroked="true" strokeweight=".814691pt" strokecolor="#ff0000">
              <v:path arrowok="t"/>
              <v:stroke dashstyle="solid"/>
            </v:shape>
            <v:shape style="position:absolute;left:3219;top:3336;width:70;height:53" coordorigin="3219,3336" coordsize="70,53" path="m3256,3389l3219,3360,3256,3336,3288,3360,3256,3389xe" filled="true" fillcolor="#ff0000" stroked="false">
              <v:path arrowok="t"/>
              <v:fill type="solid"/>
            </v:shape>
            <v:shape style="position:absolute;left:3219;top:3336;width:70;height:53" coordorigin="3219,3336" coordsize="70,53" path="m3256,3336l3288,3360,3256,3389,3219,3360,3256,3336xe" filled="false" stroked="true" strokeweight=".814691pt" strokecolor="#ff0000">
              <v:path arrowok="t"/>
              <v:stroke dashstyle="solid"/>
            </v:shape>
            <v:shape style="position:absolute;left:3227;top:3425;width:74;height:53" coordorigin="3227,3426" coordsize="74,53" path="m3264,3479l3227,3454,3264,3426,3301,3454,3264,3479xe" filled="true" fillcolor="#ff0000" stroked="false">
              <v:path arrowok="t"/>
              <v:fill type="solid"/>
            </v:shape>
            <v:shape style="position:absolute;left:3227;top:3425;width:74;height:53" coordorigin="3227,3426" coordsize="74,53" path="m3264,3426l3301,3454,3264,3479,3227,3454,3264,3426xe" filled="false" stroked="true" strokeweight=".814691pt" strokecolor="#ff0000">
              <v:path arrowok="t"/>
              <v:stroke dashstyle="solid"/>
            </v:shape>
            <v:shape style="position:absolute;left:3296;top:3336;width:74;height:53" coordorigin="3296,3336" coordsize="74,53" path="m3333,3389l3296,3360,3333,3336,3370,3360,3333,3389xe" filled="true" fillcolor="#ff0000" stroked="false">
              <v:path arrowok="t"/>
              <v:fill type="solid"/>
            </v:shape>
            <v:shape style="position:absolute;left:3296;top:3336;width:74;height:53" coordorigin="3296,3336" coordsize="74,53" path="m3333,3336l3370,3360,3333,3389,3296,3360,3333,3336xe" filled="false" stroked="true" strokeweight=".814691pt" strokecolor="#ff0000">
              <v:path arrowok="t"/>
              <v:stroke dashstyle="solid"/>
            </v:shape>
            <v:shape style="position:absolute;left:7435;top:439;width:74;height:58" coordorigin="7435,440" coordsize="74,58" path="m7472,497l7435,468,7472,440,7508,468,7472,497xe" filled="true" fillcolor="#ff0000" stroked="false">
              <v:path arrowok="t"/>
              <v:fill type="solid"/>
            </v:shape>
            <v:shape style="position:absolute;left:7435;top:439;width:74;height:58" coordorigin="7435,440" coordsize="74,58" path="m7472,440l7508,468,7472,497,7435,468,7472,440xe" filled="false" stroked="true" strokeweight=".814691pt" strokecolor="#ff0000">
              <v:path arrowok="t"/>
              <v:stroke dashstyle="solid"/>
            </v:shape>
            <v:shape style="position:absolute;left:7101;top:810;width:74;height:53" coordorigin="7101,810" coordsize="74,53" path="m7138,863l7101,839,7138,810,7174,839,7138,863xe" filled="true" fillcolor="#ff0000" stroked="false">
              <v:path arrowok="t"/>
              <v:fill type="solid"/>
            </v:shape>
            <v:shape style="position:absolute;left:7101;top:810;width:74;height:53" coordorigin="7101,810" coordsize="74,53" path="m7138,810l7174,839,7138,863,7101,839,7138,810xe" filled="false" stroked="true" strokeweight=".814691pt" strokecolor="#ff0000">
              <v:path arrowok="t"/>
              <v:stroke dashstyle="solid"/>
            </v:shape>
            <v:shape style="position:absolute;left:6567;top:1242;width:70;height:53" coordorigin="6567,1242" coordsize="70,53" path="m6600,1295l6567,1267,6600,1242,6637,1267,6600,1295xe" filled="true" fillcolor="#ff0000" stroked="false">
              <v:path arrowok="t"/>
              <v:fill type="solid"/>
            </v:shape>
            <v:shape style="position:absolute;left:6567;top:1242;width:70;height:53" coordorigin="6567,1242" coordsize="70,53" path="m6600,1242l6637,1267,6600,1295,6567,1267,6600,1242xe" filled="false" stroked="true" strokeweight=".814691pt" strokecolor="#ff0000">
              <v:path arrowok="t"/>
              <v:stroke dashstyle="solid"/>
            </v:shape>
            <v:shape style="position:absolute;left:6779;top:1148;width:74;height:53" coordorigin="6779,1149" coordsize="74,53" path="m6816,1202l6779,1177,6816,1149,6853,1177,6816,1202xe" filled="true" fillcolor="#ff0000" stroked="false">
              <v:path arrowok="t"/>
              <v:fill type="solid"/>
            </v:shape>
            <v:shape style="position:absolute;left:6779;top:1148;width:74;height:53" coordorigin="6779,1149" coordsize="74,53" path="m6816,1149l6853,1177,6816,1202,6779,1177,6816,1149xe" filled="false" stroked="true" strokeweight=".814691pt" strokecolor="#ff0000">
              <v:path arrowok="t"/>
              <v:stroke dashstyle="solid"/>
            </v:shape>
            <v:shape style="position:absolute;left:6461;top:1608;width:70;height:58" coordorigin="6462,1609" coordsize="70,58" path="m6494,1666l6462,1637,6494,1609,6531,1637,6494,1666xe" filled="true" fillcolor="#ff0000" stroked="false">
              <v:path arrowok="t"/>
              <v:fill type="solid"/>
            </v:shape>
            <v:shape style="position:absolute;left:6461;top:1608;width:70;height:58" coordorigin="6462,1609" coordsize="70,58" path="m6494,1609l6531,1637,6494,1666,6462,1637,6494,1609xe" filled="false" stroked="true" strokeweight=".814691pt" strokecolor="#ff0000">
              <v:path arrowok="t"/>
              <v:stroke dashstyle="solid"/>
            </v:shape>
            <v:shape style="position:absolute;left:6991;top:965;width:74;height:53" coordorigin="6991,965" coordsize="74,53" path="m7028,1018l6991,990,7028,965,7064,990,7028,1018xe" filled="true" fillcolor="#ff0000" stroked="false">
              <v:path arrowok="t"/>
              <v:fill type="solid"/>
            </v:shape>
            <v:shape style="position:absolute;left:6991;top:965;width:74;height:53" coordorigin="6991,965" coordsize="74,53" path="m7028,965l7064,990,7028,1018,6991,990,7028,965xe" filled="false" stroked="true" strokeweight=".814691pt" strokecolor="#ff0000">
              <v:path arrowok="t"/>
              <v:stroke dashstyle="solid"/>
            </v:shape>
            <v:shape style="position:absolute;left:5887;top:1735;width:70;height:53" coordorigin="5887,1735" coordsize="70,53" path="m5920,1788l5887,1760,5920,1735,5956,1760,5920,1788xe" filled="true" fillcolor="#ff0000" stroked="false">
              <v:path arrowok="t"/>
              <v:fill type="solid"/>
            </v:shape>
            <v:shape style="position:absolute;left:5887;top:1735;width:70;height:53" coordorigin="5887,1735" coordsize="70,53" path="m5920,1735l5956,1760,5920,1788,5887,1760,5920,1735xe" filled="false" stroked="true" strokeweight=".814691pt" strokecolor="#ff0000">
              <v:path arrowok="t"/>
              <v:stroke dashstyle="solid"/>
            </v:shape>
            <v:shape style="position:absolute;left:7105;top:688;width:70;height:53" coordorigin="7105,688" coordsize="70,53" path="m7142,741l7105,713,7142,688,7174,713,7142,741xe" filled="true" fillcolor="#ff0000" stroked="false">
              <v:path arrowok="t"/>
              <v:fill type="solid"/>
            </v:shape>
            <v:shape style="position:absolute;left:7105;top:688;width:70;height:53" coordorigin="7105,688" coordsize="70,53" path="m7142,688l7174,713,7142,741,7105,713,7142,688xe" filled="false" stroked="true" strokeweight=".814691pt" strokecolor="#ff0000">
              <v:path arrowok="t"/>
              <v:stroke dashstyle="solid"/>
            </v:shape>
            <v:shape style="position:absolute;left:7215;top:810;width:74;height:53" coordorigin="7215,810" coordsize="74,53" path="m7252,863l7215,839,7252,810,7288,839,7252,863xe" filled="true" fillcolor="#ff0000" stroked="false">
              <v:path arrowok="t"/>
              <v:fill type="solid"/>
            </v:shape>
            <v:shape style="position:absolute;left:7215;top:810;width:74;height:53" coordorigin="7215,810" coordsize="74,53" path="m7252,810l7288,839,7252,863,7215,839,7252,810xe" filled="false" stroked="true" strokeweight=".814691pt" strokecolor="#ff0000">
              <v:path arrowok="t"/>
              <v:stroke dashstyle="solid"/>
            </v:shape>
            <v:shape style="position:absolute;left:6571;top:1641;width:70;height:53" coordorigin="6572,1641" coordsize="70,53" path="m6604,1694l6572,1670,6604,1641,6641,1670,6604,1694xe" filled="true" fillcolor="#ff0000" stroked="false">
              <v:path arrowok="t"/>
              <v:fill type="solid"/>
            </v:shape>
            <v:shape style="position:absolute;left:6571;top:1641;width:70;height:53" coordorigin="6572,1641" coordsize="70,53" path="m6604,1641l6641,1670,6604,1694,6572,1670,6604,1641xe" filled="false" stroked="true" strokeweight=".814691pt" strokecolor="#ff0000">
              <v:path arrowok="t"/>
              <v:stroke dashstyle="solid"/>
            </v:shape>
            <v:shape style="position:absolute;left:4832;top:2439;width:70;height:58" coordorigin="4832,2440" coordsize="70,58" path="m4865,2497l4832,2468,4865,2440,4901,2468,4865,2497xe" filled="true" fillcolor="#ff0000" stroked="false">
              <v:path arrowok="t"/>
              <v:fill type="solid"/>
            </v:shape>
            <v:shape style="position:absolute;left:4832;top:2439;width:70;height:58" coordorigin="4832,2440" coordsize="70,58" path="m4865,2440l4901,2468,4865,2497,4832,2468,4865,2440xe" filled="false" stroked="true" strokeweight=".814691pt" strokecolor="#ff0000">
              <v:path arrowok="t"/>
              <v:stroke dashstyle="solid"/>
            </v:shape>
            <v:shape style="position:absolute;left:4897;top:2411;width:70;height:53" coordorigin="4897,2411" coordsize="70,53" path="m4934,2464l4897,2436,4934,2411,4967,2436,4934,2464xe" filled="true" fillcolor="#ff0000" stroked="false">
              <v:path arrowok="t"/>
              <v:fill type="solid"/>
            </v:shape>
            <v:shape style="position:absolute;left:4897;top:2411;width:70;height:53" coordorigin="4897,2411" coordsize="70,53" path="m4934,2411l4967,2436,4934,2464,4897,2436,4934,2411xe" filled="false" stroked="true" strokeweight=".814691pt" strokecolor="#ff0000">
              <v:path arrowok="t"/>
              <v:stroke dashstyle="solid"/>
            </v:shape>
            <v:shape style="position:absolute;left:5459;top:1918;width:70;height:53" coordorigin="5459,1918" coordsize="70,53" path="m5496,1971l5459,1947,5496,1918,5529,1947,5496,1971xe" filled="true" fillcolor="#ff0000" stroked="false">
              <v:path arrowok="t"/>
              <v:fill type="solid"/>
            </v:shape>
            <v:shape style="position:absolute;left:5459;top:1918;width:70;height:53" coordorigin="5459,1918" coordsize="70,53" path="m5496,1918l5529,1947,5496,1971,5459,1947,5496,1918xe" filled="false" stroked="true" strokeweight=".814691pt" strokecolor="#ff0000">
              <v:path arrowok="t"/>
              <v:stroke dashstyle="solid"/>
            </v:shape>
            <v:shape style="position:absolute;left:5569;top:1857;width:70;height:53" coordorigin="5569,1857" coordsize="70,53" path="m5606,1910l5569,1882,5606,1857,5639,1882,5606,1910xe" filled="true" fillcolor="#ff0000" stroked="false">
              <v:path arrowok="t"/>
              <v:fill type="solid"/>
            </v:shape>
            <v:shape style="position:absolute;left:5569;top:1857;width:70;height:53" coordorigin="5569,1857" coordsize="70,53" path="m5606,1857l5639,1882,5606,1910,5569,1882,5606,1857xe" filled="false" stroked="true" strokeweight=".814691pt" strokecolor="#ff0000">
              <v:path arrowok="t"/>
              <v:stroke dashstyle="solid"/>
            </v:shape>
            <v:shape style="position:absolute;left:6290;top:1392;width:70;height:58" coordorigin="6290,1393" coordsize="70,58" path="m6327,1450l6290,1421,6327,1393,6360,1421,6327,1450xe" filled="true" fillcolor="#ff0000" stroked="false">
              <v:path arrowok="t"/>
              <v:fill type="solid"/>
            </v:shape>
            <v:shape style="position:absolute;left:6290;top:1392;width:70;height:58" coordorigin="6290,1393" coordsize="70,58" path="m6327,1393l6360,1421,6327,1450,6290,1421,6327,1393xe" filled="false" stroked="true" strokeweight=".814691pt" strokecolor="#ff0000">
              <v:path arrowok="t"/>
              <v:stroke dashstyle="solid"/>
            </v:shape>
            <v:shape style="position:absolute;left:6062;top:1669;width:70;height:58" coordorigin="6062,1670" coordsize="70,58" path="m6095,1727l6062,1698,6095,1670,6132,1698,6095,1727xe" filled="true" fillcolor="#ff0000" stroked="false">
              <v:path arrowok="t"/>
              <v:fill type="solid"/>
            </v:shape>
            <v:shape style="position:absolute;left:6062;top:1669;width:70;height:58" coordorigin="6062,1670" coordsize="70,58" path="m6095,1670l6132,1698,6095,1727,6062,1698,6095,1670xe" filled="false" stroked="true" strokeweight=".814691pt" strokecolor="#ff0000">
              <v:path arrowok="t"/>
              <v:stroke dashstyle="solid"/>
            </v:shape>
            <v:shape style="position:absolute;left:5194;top:2195;width:74;height:53" coordorigin="5195,2195" coordsize="74,53" path="m5231,2248l5195,2224,5231,2195,5268,2224,5231,2248xe" filled="true" fillcolor="#ff0000" stroked="false">
              <v:path arrowok="t"/>
              <v:fill type="solid"/>
            </v:shape>
            <v:shape style="position:absolute;left:5194;top:2195;width:74;height:53" coordorigin="5195,2195" coordsize="74,53" path="m5231,2195l5268,2224,5231,2248,5195,2224,5231,2195xe" filled="false" stroked="true" strokeweight=".814691pt" strokecolor="#ff0000">
              <v:path arrowok="t"/>
              <v:stroke dashstyle="solid"/>
            </v:shape>
            <v:shape style="position:absolute;left:5308;top:1979;width:74;height:53" coordorigin="5309,1980" coordsize="74,53" path="m5345,2032l5309,2008,5345,1980,5382,2008,5345,2032xe" filled="true" fillcolor="#ff0000" stroked="false">
              <v:path arrowok="t"/>
              <v:fill type="solid"/>
            </v:shape>
            <v:shape style="position:absolute;left:5308;top:1979;width:74;height:53" coordorigin="5309,1980" coordsize="74,53" path="m5345,1980l5382,2008,5345,2032,5309,2008,5345,1980xe" filled="false" stroked="true" strokeweight=".814691pt" strokecolor="#ff0000">
              <v:path arrowok="t"/>
              <v:stroke dashstyle="solid"/>
            </v:shape>
            <v:shape style="position:absolute;left:5048;top:2162;width:70;height:58" coordorigin="5048,2163" coordsize="70,58" path="m5081,2220l5048,2191,5081,2163,5117,2191,5081,2220xe" filled="true" fillcolor="#ff0000" stroked="false">
              <v:path arrowok="t"/>
              <v:fill type="solid"/>
            </v:shape>
            <v:shape style="position:absolute;left:5048;top:2162;width:70;height:58" coordorigin="5048,2163" coordsize="70,58" path="m5081,2163l5117,2191,5081,2220,5048,2191,5081,2163xe" filled="false" stroked="true" strokeweight=".814691pt" strokecolor="#ff0000">
              <v:path arrowok="t"/>
              <v:stroke dashstyle="solid"/>
            </v:shape>
            <v:line style="position:absolute" from="2828,3381" to="2832,3381" stroked="true" strokeweight=".407345pt" strokecolor="#ff0000">
              <v:stroke dashstyle="solid"/>
            </v:line>
            <v:line style="position:absolute" from="2832,3381" to="2852,3373" stroked="true" strokeweight=".407345pt" strokecolor="#ff0000">
              <v:stroke dashstyle="solid"/>
            </v:line>
            <v:line style="position:absolute" from="2852,3373" to="2873,3369" stroked="true" strokeweight=".407345pt" strokecolor="#ff0000">
              <v:stroke dashstyle="solid"/>
            </v:line>
            <v:line style="position:absolute" from="2873,3369" to="2893,3360" stroked="true" strokeweight=".407345pt" strokecolor="#ff0000">
              <v:stroke dashstyle="solid"/>
            </v:line>
            <v:line style="position:absolute" from="2893,3360" to="2914,3356" stroked="true" strokeweight=".407345pt" strokecolor="#ff0000">
              <v:stroke dashstyle="solid"/>
            </v:line>
            <v:line style="position:absolute" from="2914,3356" to="2934,3348" stroked="true" strokeweight=".407345pt" strokecolor="#ff0000">
              <v:stroke dashstyle="solid"/>
            </v:line>
            <v:line style="position:absolute" from="2934,3348" to="2950,3340" stroked="true" strokeweight=".407345pt" strokecolor="#ff0000">
              <v:stroke dashstyle="solid"/>
            </v:line>
            <v:line style="position:absolute" from="2950,3340" to="2971,3336" stroked="true" strokeweight=".407345pt" strokecolor="#ff0000">
              <v:stroke dashstyle="solid"/>
            </v:line>
            <v:line style="position:absolute" from="2971,3336" to="2991,3328" stroked="true" strokeweight=".407345pt" strokecolor="#ff0000">
              <v:stroke dashstyle="solid"/>
            </v:line>
            <v:line style="position:absolute" from="2991,3328" to="3011,3324" stroked="true" strokeweight=".407345pt" strokecolor="#ff0000">
              <v:stroke dashstyle="solid"/>
            </v:line>
            <v:line style="position:absolute" from="3011,3324" to="3032,3316" stroked="true" strokeweight=".407345pt" strokecolor="#ff0000">
              <v:stroke dashstyle="solid"/>
            </v:line>
            <v:line style="position:absolute" from="3032,3316" to="3048,3307" stroked="true" strokeweight=".407345pt" strokecolor="#ff0000">
              <v:stroke dashstyle="solid"/>
            </v:line>
            <v:line style="position:absolute" from="3048,3307" to="3068,3299" stroked="true" strokeweight=".407345pt" strokecolor="#ff0000">
              <v:stroke dashstyle="solid"/>
            </v:line>
            <v:line style="position:absolute" from="3068,3299" to="3089,3295" stroked="true" strokeweight=".407345pt" strokecolor="#ff0000">
              <v:stroke dashstyle="solid"/>
            </v:line>
            <v:line style="position:absolute" from="3089,3295" to="3109,3287" stroked="true" strokeweight=".407345pt" strokecolor="#ff0000">
              <v:stroke dashstyle="solid"/>
            </v:line>
            <v:line style="position:absolute" from="3109,3287" to="3129,3279" stroked="true" strokeweight=".407345pt" strokecolor="#ff0000">
              <v:stroke dashstyle="solid"/>
            </v:line>
            <v:line style="position:absolute" from="3129,3279" to="3150,3275" stroked="true" strokeweight=".407345pt" strokecolor="#ff0000">
              <v:stroke dashstyle="solid"/>
            </v:line>
            <v:line style="position:absolute" from="3150,3275" to="3166,3267" stroked="true" strokeweight=".407345pt" strokecolor="#ff0000">
              <v:stroke dashstyle="solid"/>
            </v:line>
            <v:line style="position:absolute" from="3166,3267" to="3187,3259" stroked="true" strokeweight=".407345pt" strokecolor="#ff0000">
              <v:stroke dashstyle="solid"/>
            </v:line>
            <v:line style="position:absolute" from="3187,3259" to="3203,3254" stroked="true" strokeweight=".407345pt" strokecolor="#ff0000">
              <v:stroke dashstyle="solid"/>
            </v:line>
            <v:shape style="position:absolute;left:3320;top:3046;width:383;height:163" type="#_x0000_t75" stroked="false">
              <v:imagedata r:id="rId157" o:title=""/>
            </v:shape>
            <v:shape style="position:absolute;left:3821;top:2810;width:379;height:188" type="#_x0000_t75" stroked="false">
              <v:imagedata r:id="rId158" o:title=""/>
            </v:shape>
            <v:line style="position:absolute" from="4323,2749" to="4327,2749" stroked="true" strokeweight=".407345pt" strokecolor="#ff0000">
              <v:stroke dashstyle="solid"/>
            </v:line>
            <v:line style="position:absolute" from="4327,2749" to="4347,2737" stroked="true" strokeweight=".407346pt" strokecolor="#ff0000">
              <v:stroke dashstyle="solid"/>
            </v:line>
            <v:line style="position:absolute" from="4347,2737" to="4364,2729" stroked="true" strokeweight=".407345pt" strokecolor="#ff0000">
              <v:stroke dashstyle="solid"/>
            </v:line>
            <v:line style="position:absolute" from="4364,2729" to="4384,2717" stroked="true" strokeweight=".407346pt" strokecolor="#ff0000">
              <v:stroke dashstyle="solid"/>
            </v:line>
            <v:line style="position:absolute" from="4384,2717" to="4404,2709" stroked="true" strokeweight=".407345pt" strokecolor="#ff0000">
              <v:stroke dashstyle="solid"/>
            </v:line>
            <v:line style="position:absolute" from="4404,2709" to="4425,2696" stroked="true" strokeweight=".407346pt" strokecolor="#ff0000">
              <v:stroke dashstyle="solid"/>
            </v:line>
            <v:line style="position:absolute" from="4425,2696" to="4445,2688" stroked="true" strokeweight=".407345pt" strokecolor="#ff0000">
              <v:stroke dashstyle="solid"/>
            </v:line>
            <v:line style="position:absolute" from="4445,2688" to="4461,2676" stroked="true" strokeweight=".407346pt" strokecolor="#ff0000">
              <v:stroke dashstyle="solid"/>
            </v:line>
            <v:line style="position:absolute" from="4461,2676" to="4482,2668" stroked="true" strokeweight=".407345pt" strokecolor="#ff0000">
              <v:stroke dashstyle="solid"/>
            </v:line>
            <v:line style="position:absolute" from="4482,2668" to="4502,2656" stroked="true" strokeweight=".407346pt" strokecolor="#ff0000">
              <v:stroke dashstyle="solid"/>
            </v:line>
            <v:line style="position:absolute" from="4502,2656" to="4523,2643" stroked="true" strokeweight=".407346pt" strokecolor="#ff0000">
              <v:stroke dashstyle="solid"/>
            </v:line>
            <v:line style="position:absolute" from="4523,2643" to="4543,2635" stroked="true" strokeweight=".407345pt" strokecolor="#ff0000">
              <v:stroke dashstyle="solid"/>
            </v:line>
            <v:line style="position:absolute" from="4543,2635" to="4563,2623" stroked="true" strokeweight=".407346pt" strokecolor="#ff0000">
              <v:stroke dashstyle="solid"/>
            </v:line>
            <v:line style="position:absolute" from="4563,2623" to="4580,2615" stroked="true" strokeweight=".407345pt" strokecolor="#ff0000">
              <v:stroke dashstyle="solid"/>
            </v:line>
            <v:line style="position:absolute" from="4580,2615" to="4600,2603" stroked="true" strokeweight=".407346pt" strokecolor="#ff0000">
              <v:stroke dashstyle="solid"/>
            </v:line>
            <v:line style="position:absolute" from="4600,2603" to="4620,2590" stroked="true" strokeweight=".407346pt" strokecolor="#ff0000">
              <v:stroke dashstyle="solid"/>
            </v:line>
            <v:line style="position:absolute" from="4620,2590" to="4641,2582" stroked="true" strokeweight=".407345pt" strokecolor="#ff0000">
              <v:stroke dashstyle="solid"/>
            </v:line>
            <v:line style="position:absolute" from="4641,2582" to="4661,2570" stroked="true" strokeweight=".407346pt" strokecolor="#ff0000">
              <v:stroke dashstyle="solid"/>
            </v:line>
            <v:line style="position:absolute" from="4661,2570" to="4677,2558" stroked="true" strokeweight=".407346pt" strokecolor="#ff0000">
              <v:stroke dashstyle="solid"/>
            </v:line>
            <v:line style="position:absolute" from="4677,2558" to="4698,2550" stroked="true" strokeweight=".407345pt" strokecolor="#ff0000">
              <v:stroke dashstyle="solid"/>
            </v:line>
            <v:line style="position:absolute" from="4820,2480" to="4836,2472" stroked="true" strokeweight=".407345pt" strokecolor="#ff0000">
              <v:stroke dashstyle="solid"/>
            </v:line>
            <v:line style="position:absolute" from="4836,2472" to="4857,2460" stroked="true" strokeweight=".407346pt" strokecolor="#ff0000">
              <v:stroke dashstyle="solid"/>
            </v:line>
            <v:line style="position:absolute" from="4857,2460" to="4877,2448" stroked="true" strokeweight=".407346pt" strokecolor="#ff0000">
              <v:stroke dashstyle="solid"/>
            </v:line>
            <v:line style="position:absolute" from="4877,2448" to="4897,2436" stroked="true" strokeweight=".407346pt" strokecolor="#ff0000">
              <v:stroke dashstyle="solid"/>
            </v:line>
            <v:line style="position:absolute" from="4897,2436" to="4914,2427" stroked="true" strokeweight=".407345pt" strokecolor="#ff0000">
              <v:stroke dashstyle="solid"/>
            </v:line>
            <v:line style="position:absolute" from="4914,2427" to="4934,2415" stroked="true" strokeweight=".407346pt" strokecolor="#ff0000">
              <v:stroke dashstyle="solid"/>
            </v:line>
            <v:line style="position:absolute" from="4934,2415" to="4954,2403" stroked="true" strokeweight=".407346pt" strokecolor="#ff0000">
              <v:stroke dashstyle="solid"/>
            </v:line>
            <v:line style="position:absolute" from="4954,2403" to="4975,2391" stroked="true" strokeweight=".407346pt" strokecolor="#ff0000">
              <v:stroke dashstyle="solid"/>
            </v:line>
            <v:line style="position:absolute" from="4975,2391" to="4995,2379" stroked="true" strokeweight=".407346pt" strokecolor="#ff0000">
              <v:stroke dashstyle="solid"/>
            </v:line>
            <v:line style="position:absolute" from="4995,2379" to="5011,2366" stroked="true" strokeweight=".407346pt" strokecolor="#ff0000">
              <v:stroke dashstyle="solid"/>
            </v:line>
            <v:line style="position:absolute" from="5011,2366" to="5032,2358" stroked="true" strokeweight=".407345pt" strokecolor="#ff0000">
              <v:stroke dashstyle="solid"/>
            </v:line>
            <v:line style="position:absolute" from="5032,2358" to="5052,2346" stroked="true" strokeweight=".407346pt" strokecolor="#ff0000">
              <v:stroke dashstyle="solid"/>
            </v:line>
            <v:line style="position:absolute" from="5052,2346" to="5073,2334" stroked="true" strokeweight=".407346pt" strokecolor="#ff0000">
              <v:stroke dashstyle="solid"/>
            </v:line>
            <v:line style="position:absolute" from="5073,2334" to="5093,2322" stroked="true" strokeweight=".407346pt" strokecolor="#ff0000">
              <v:stroke dashstyle="solid"/>
            </v:line>
            <v:line style="position:absolute" from="5093,2322" to="5113,2309" stroked="true" strokeweight=".407346pt" strokecolor="#ff0000">
              <v:stroke dashstyle="solid"/>
            </v:line>
            <v:line style="position:absolute" from="5113,2309" to="5130,2297" stroked="true" strokeweight=".407346pt" strokecolor="#ff0000">
              <v:stroke dashstyle="solid"/>
            </v:line>
            <v:line style="position:absolute" from="5130,2297" to="5150,2285" stroked="true" strokeweight=".407346pt" strokecolor="#ff0000">
              <v:stroke dashstyle="solid"/>
            </v:line>
            <v:line style="position:absolute" from="5150,2285" to="5170,2273" stroked="true" strokeweight=".407346pt" strokecolor="#ff0000">
              <v:stroke dashstyle="solid"/>
            </v:line>
            <v:line style="position:absolute" from="5170,2273" to="5191,2265" stroked="true" strokeweight=".407345pt" strokecolor="#ff0000">
              <v:stroke dashstyle="solid"/>
            </v:line>
            <v:line style="position:absolute" from="5191,2265" to="5195,2260" stroked="true" strokeweight=".407346pt" strokecolor="#ff0000">
              <v:stroke dashstyle="solid"/>
            </v:line>
            <v:line style="position:absolute" from="5321,2183" to="5329,2179" stroked="true" strokeweight=".407345pt" strokecolor="#ff0000">
              <v:stroke dashstyle="solid"/>
            </v:line>
            <v:line style="position:absolute" from="5329,2179" to="5345,2167" stroked="true" strokeweight=".407346pt" strokecolor="#ff0000">
              <v:stroke dashstyle="solid"/>
            </v:line>
            <v:line style="position:absolute" from="5345,2167" to="5366,2155" stroked="true" strokeweight=".407346pt" strokecolor="#ff0000">
              <v:stroke dashstyle="solid"/>
            </v:line>
            <v:line style="position:absolute" from="5366,2155" to="5386,2142" stroked="true" strokeweight=".407346pt" strokecolor="#ff0000">
              <v:stroke dashstyle="solid"/>
            </v:line>
            <v:line style="position:absolute" from="5386,2142" to="5407,2130" stroked="true" strokeweight=".407346pt" strokecolor="#ff0000">
              <v:stroke dashstyle="solid"/>
            </v:line>
            <v:line style="position:absolute" from="5407,2130" to="5427,2118" stroked="true" strokeweight=".407346pt" strokecolor="#ff0000">
              <v:stroke dashstyle="solid"/>
            </v:line>
            <v:line style="position:absolute" from="5427,2118" to="5447,2106" stroked="true" strokeweight=".407346pt" strokecolor="#ff0000">
              <v:stroke dashstyle="solid"/>
            </v:line>
            <v:line style="position:absolute" from="5447,2106" to="5464,2093" stroked="true" strokeweight=".407346pt" strokecolor="#ff0000">
              <v:stroke dashstyle="solid"/>
            </v:line>
            <v:line style="position:absolute" from="5464,2093" to="5484,2081" stroked="true" strokeweight=".407346pt" strokecolor="#ff0000">
              <v:stroke dashstyle="solid"/>
            </v:line>
            <v:line style="position:absolute" from="5484,2081" to="5504,2069" stroked="true" strokeweight=".407346pt" strokecolor="#ff0000">
              <v:stroke dashstyle="solid"/>
            </v:line>
            <v:line style="position:absolute" from="5504,2069" to="5525,2057" stroked="true" strokeweight=".407346pt" strokecolor="#ff0000">
              <v:stroke dashstyle="solid"/>
            </v:line>
            <v:line style="position:absolute" from="5525,2057" to="5545,2045" stroked="true" strokeweight=".407346pt" strokecolor="#ff0000">
              <v:stroke dashstyle="solid"/>
            </v:line>
            <v:line style="position:absolute" from="5545,2045" to="5561,2032" stroked="true" strokeweight=".407346pt" strokecolor="#ff0000">
              <v:stroke dashstyle="solid"/>
            </v:line>
            <v:line style="position:absolute" from="5561,2032" to="5582,2016" stroked="true" strokeweight=".407346pt" strokecolor="#ff0000">
              <v:stroke dashstyle="solid"/>
            </v:line>
            <v:line style="position:absolute" from="5582,2016" to="5602,2004" stroked="true" strokeweight=".407346pt" strokecolor="#ff0000">
              <v:stroke dashstyle="solid"/>
            </v:line>
            <v:line style="position:absolute" from="5602,2004" to="5622,1992" stroked="true" strokeweight=".407346pt" strokecolor="#ff0000">
              <v:stroke dashstyle="solid"/>
            </v:line>
            <v:line style="position:absolute" from="5622,1992" to="5643,1979" stroked="true" strokeweight=".407346pt" strokecolor="#ff0000">
              <v:stroke dashstyle="solid"/>
            </v:line>
            <v:line style="position:absolute" from="5643,1979" to="5663,1967" stroked="true" strokeweight=".407346pt" strokecolor="#ff0000">
              <v:stroke dashstyle="solid"/>
            </v:line>
            <v:line style="position:absolute" from="5663,1967" to="5679,1955" stroked="true" strokeweight=".407346pt" strokecolor="#ff0000">
              <v:stroke dashstyle="solid"/>
            </v:line>
            <v:line style="position:absolute" from="5679,1955" to="5696,1947" stroked="true" strokeweight=".407345pt" strokecolor="#ff0000">
              <v:stroke dashstyle="solid"/>
            </v:line>
            <v:line style="position:absolute" from="5818,1865" to="5838,1853" stroked="true" strokeweight=".407346pt" strokecolor="#ff0000">
              <v:stroke dashstyle="solid"/>
            </v:line>
            <v:line style="position:absolute" from="5838,1853" to="5859,1837" stroked="true" strokeweight=".407346pt" strokecolor="#ff0000">
              <v:stroke dashstyle="solid"/>
            </v:line>
            <v:line style="position:absolute" from="5859,1837" to="5879,1825" stroked="true" strokeweight=".407346pt" strokecolor="#ff0000">
              <v:stroke dashstyle="solid"/>
            </v:line>
            <v:line style="position:absolute" from="5879,1825" to="5895,1812" stroked="true" strokeweight=".407346pt" strokecolor="#ff0000">
              <v:stroke dashstyle="solid"/>
            </v:line>
            <v:line style="position:absolute" from="5895,1812" to="5916,1800" stroked="true" strokeweight=".407346pt" strokecolor="#ff0000">
              <v:stroke dashstyle="solid"/>
            </v:line>
            <v:line style="position:absolute" from="5916,1800" to="5936,1784" stroked="true" strokeweight=".407346pt" strokecolor="#ff0000">
              <v:stroke dashstyle="solid"/>
            </v:line>
            <v:line style="position:absolute" from="5936,1784" to="5956,1772" stroked="true" strokeweight=".407346pt" strokecolor="#ff0000">
              <v:stroke dashstyle="solid"/>
            </v:line>
            <v:line style="position:absolute" from="5956,1772" to="5977,1759" stroked="true" strokeweight=".407346pt" strokecolor="#ff0000">
              <v:stroke dashstyle="solid"/>
            </v:line>
            <v:line style="position:absolute" from="5977,1759" to="5997,1747" stroked="true" strokeweight=".407346pt" strokecolor="#ff0000">
              <v:stroke dashstyle="solid"/>
            </v:line>
            <v:line style="position:absolute" from="5997,1747" to="6013,1731" stroked="true" strokeweight=".407346pt" strokecolor="#ff0000">
              <v:stroke dashstyle="solid"/>
            </v:line>
            <v:line style="position:absolute" from="6013,1731" to="6034,1719" stroked="true" strokeweight=".407346pt" strokecolor="#ff0000">
              <v:stroke dashstyle="solid"/>
            </v:line>
            <v:line style="position:absolute" from="6034,1719" to="6054,1706" stroked="true" strokeweight=".407346pt" strokecolor="#ff0000">
              <v:stroke dashstyle="solid"/>
            </v:line>
            <v:line style="position:absolute" from="6054,1706" to="6075,1694" stroked="true" strokeweight=".407346pt" strokecolor="#ff0000">
              <v:stroke dashstyle="solid"/>
            </v:line>
            <v:line style="position:absolute" from="6075,1694" to="6095,1678" stroked="true" strokeweight=".407346pt" strokecolor="#ff0000">
              <v:stroke dashstyle="solid"/>
            </v:line>
            <v:line style="position:absolute" from="6095,1678" to="6111,1666" stroked="true" strokeweight=".407346pt" strokecolor="#ff0000">
              <v:stroke dashstyle="solid"/>
            </v:line>
            <v:line style="position:absolute" from="6111,1666" to="6132,1653" stroked="true" strokeweight=".407346pt" strokecolor="#ff0000">
              <v:stroke dashstyle="solid"/>
            </v:line>
            <v:line style="position:absolute" from="6132,1653" to="6152,1637" stroked="true" strokeweight=".407346pt" strokecolor="#ff0000">
              <v:stroke dashstyle="solid"/>
            </v:line>
            <v:line style="position:absolute" from="6152,1637" to="6172,1625" stroked="true" strokeweight=".407346pt" strokecolor="#ff0000">
              <v:stroke dashstyle="solid"/>
            </v:line>
            <v:line style="position:absolute" from="6172,1625" to="6193,1613" stroked="true" strokeweight=".407346pt" strokecolor="#ff0000">
              <v:stroke dashstyle="solid"/>
            </v:line>
            <v:line style="position:absolute" from="6189,1611" to="6197,1611" stroked="true" strokeweight=".203673pt" strokecolor="#ff0000">
              <v:stroke dashstyle="solid"/>
            </v:line>
            <v:line style="position:absolute" from="6319,1523" to="6327,1515" stroked="true" strokeweight=".407346pt" strokecolor="#ff0000">
              <v:stroke dashstyle="solid"/>
            </v:line>
            <v:line style="position:absolute" from="6327,1515" to="6347,1503" stroked="true" strokeweight=".407346pt" strokecolor="#ff0000">
              <v:stroke dashstyle="solid"/>
            </v:line>
            <v:line style="position:absolute" from="6347,1503" to="6368,1486" stroked="true" strokeweight=".407346pt" strokecolor="#ff0000">
              <v:stroke dashstyle="solid"/>
            </v:line>
            <v:line style="position:absolute" from="6368,1486" to="6388,1474" stroked="true" strokeweight=".407346pt" strokecolor="#ff0000">
              <v:stroke dashstyle="solid"/>
            </v:line>
            <v:line style="position:absolute" from="6388,1474" to="6409,1458" stroked="true" strokeweight=".407346pt" strokecolor="#ff0000">
              <v:stroke dashstyle="solid"/>
            </v:line>
            <v:line style="position:absolute" from="6409,1458" to="6429,1446" stroked="true" strokeweight=".407346pt" strokecolor="#ff0000">
              <v:stroke dashstyle="solid"/>
            </v:line>
            <v:line style="position:absolute" from="6429,1446" to="6445,1429" stroked="true" strokeweight=".407346pt" strokecolor="#ff0000">
              <v:stroke dashstyle="solid"/>
            </v:line>
            <v:line style="position:absolute" from="6445,1429" to="6466,1417" stroked="true" strokeweight=".407346pt" strokecolor="#ff0000">
              <v:stroke dashstyle="solid"/>
            </v:line>
            <v:line style="position:absolute" from="6466,1417" to="6486,1405" stroked="true" strokeweight=".407346pt" strokecolor="#ff0000">
              <v:stroke dashstyle="solid"/>
            </v:line>
            <v:line style="position:absolute" from="6486,1405" to="6506,1389" stroked="true" strokeweight=".407346pt" strokecolor="#ff0000">
              <v:stroke dashstyle="solid"/>
            </v:line>
            <v:line style="position:absolute" from="6506,1389" to="6527,1376" stroked="true" strokeweight=".407346pt" strokecolor="#ff0000">
              <v:stroke dashstyle="solid"/>
            </v:line>
            <v:line style="position:absolute" from="6527,1376" to="6543,1360" stroked="true" strokeweight=".407346pt" strokecolor="#ff0000">
              <v:stroke dashstyle="solid"/>
            </v:line>
            <v:line style="position:absolute" from="6543,1360" to="6563,1348" stroked="true" strokeweight=".407346pt" strokecolor="#ff0000">
              <v:stroke dashstyle="solid"/>
            </v:line>
            <v:line style="position:absolute" from="6563,1348" to="6584,1332" stroked="true" strokeweight=".407346pt" strokecolor="#ff0000">
              <v:stroke dashstyle="solid"/>
            </v:line>
            <v:line style="position:absolute" from="6584,1332" to="6604,1319" stroked="true" strokeweight=".407346pt" strokecolor="#ff0000">
              <v:stroke dashstyle="solid"/>
            </v:line>
            <v:line style="position:absolute" from="6604,1319" to="6624,1303" stroked="true" strokeweight=".407346pt" strokecolor="#ff0000">
              <v:stroke dashstyle="solid"/>
            </v:line>
            <v:line style="position:absolute" from="6624,1303" to="6645,1291" stroked="true" strokeweight=".407346pt" strokecolor="#ff0000">
              <v:stroke dashstyle="solid"/>
            </v:line>
            <v:line style="position:absolute" from="6645,1291" to="6661,1275" stroked="true" strokeweight=".407346pt" strokecolor="#ff0000">
              <v:stroke dashstyle="solid"/>
            </v:line>
            <v:line style="position:absolute" from="6661,1275" to="6682,1262" stroked="true" strokeweight=".407346pt" strokecolor="#ff0000">
              <v:stroke dashstyle="solid"/>
            </v:line>
            <v:line style="position:absolute" from="6682,1262" to="6690,1254" stroked="true" strokeweight=".407346pt" strokecolor="#ff0000">
              <v:stroke dashstyle="solid"/>
            </v:line>
            <v:line style="position:absolute" from="6816,1161" to="6820,1161" stroked="true" strokeweight=".407345pt" strokecolor="#ff0000">
              <v:stroke dashstyle="solid"/>
            </v:line>
            <v:line style="position:absolute" from="6820,1161" to="6840,1144" stroked="true" strokeweight=".407346pt" strokecolor="#ff0000">
              <v:stroke dashstyle="solid"/>
            </v:line>
            <v:line style="position:absolute" from="6840,1144" to="6861,1132" stroked="true" strokeweight=".407346pt" strokecolor="#ff0000">
              <v:stroke dashstyle="solid"/>
            </v:line>
            <v:line style="position:absolute" from="6861,1132" to="6877,1116" stroked="true" strokeweight=".407346pt" strokecolor="#ff0000">
              <v:stroke dashstyle="solid"/>
            </v:line>
            <v:line style="position:absolute" from="6877,1116" to="6897,1099" stroked="true" strokeweight=".407346pt" strokecolor="#ff0000">
              <v:stroke dashstyle="solid"/>
            </v:line>
            <v:line style="position:absolute" from="6897,1099" to="6918,1087" stroked="true" strokeweight=".407346pt" strokecolor="#ff0000">
              <v:stroke dashstyle="solid"/>
            </v:line>
            <v:line style="position:absolute" from="6918,1087" to="6938,1071" stroked="true" strokeweight=".407346pt" strokecolor="#ff0000">
              <v:stroke dashstyle="solid"/>
            </v:line>
            <v:line style="position:absolute" from="6938,1071" to="6959,1055" stroked="true" strokeweight=".407346pt" strokecolor="#ff0000">
              <v:stroke dashstyle="solid"/>
            </v:line>
            <v:line style="position:absolute" from="6959,1055" to="6975,1042" stroked="true" strokeweight=".407346pt" strokecolor="#ff0000">
              <v:stroke dashstyle="solid"/>
            </v:line>
            <v:line style="position:absolute" from="6975,1042" to="6995,1026" stroked="true" strokeweight=".407346pt" strokecolor="#ff0000">
              <v:stroke dashstyle="solid"/>
            </v:line>
            <v:line style="position:absolute" from="6995,1026" to="7016,1014" stroked="true" strokeweight=".407346pt" strokecolor="#ff0000">
              <v:stroke dashstyle="solid"/>
            </v:line>
            <v:line style="position:absolute" from="7016,1014" to="7036,998" stroked="true" strokeweight=".407346pt" strokecolor="#ff0000">
              <v:stroke dashstyle="solid"/>
            </v:line>
            <v:line style="position:absolute" from="7036,998" to="7056,981" stroked="true" strokeweight=".407346pt" strokecolor="#ff0000">
              <v:stroke dashstyle="solid"/>
            </v:line>
            <v:line style="position:absolute" from="7056,981" to="7077,969" stroked="true" strokeweight=".407346pt" strokecolor="#ff0000">
              <v:stroke dashstyle="solid"/>
            </v:line>
            <v:line style="position:absolute" from="7077,969" to="7093,953" stroked="true" strokeweight=".407346pt" strokecolor="#ff0000">
              <v:stroke dashstyle="solid"/>
            </v:line>
            <v:line style="position:absolute" from="7093,953" to="7113,936" stroked="true" strokeweight=".407346pt" strokecolor="#ff0000">
              <v:stroke dashstyle="solid"/>
            </v:line>
            <v:line style="position:absolute" from="7113,936" to="7134,924" stroked="true" strokeweight=".407346pt" strokecolor="#ff0000">
              <v:stroke dashstyle="solid"/>
            </v:line>
            <v:line style="position:absolute" from="7134,924" to="7154,908" stroked="true" strokeweight=".407346pt" strokecolor="#ff0000">
              <v:stroke dashstyle="solid"/>
            </v:line>
            <v:line style="position:absolute" from="7154,908" to="7174,892" stroked="true" strokeweight=".407346pt" strokecolor="#ff0000">
              <v:stroke dashstyle="solid"/>
            </v:line>
            <v:line style="position:absolute" from="7174,892" to="7191,879" stroked="true" strokeweight=".407346pt" strokecolor="#ff0000">
              <v:stroke dashstyle="solid"/>
            </v:line>
            <v:line style="position:absolute" from="7313,782" to="7329,769" stroked="true" strokeweight=".407346pt" strokecolor="#ff0000">
              <v:stroke dashstyle="solid"/>
            </v:line>
            <v:line style="position:absolute" from="7329,769" to="7350,753" stroked="true" strokeweight=".407346pt" strokecolor="#ff0000">
              <v:stroke dashstyle="solid"/>
            </v:line>
            <v:line style="position:absolute" from="7350,753" to="7370,741" stroked="true" strokeweight=".407346pt" strokecolor="#ff0000">
              <v:stroke dashstyle="solid"/>
            </v:line>
            <v:line style="position:absolute" from="7370,741" to="7390,725" stroked="true" strokeweight=".407346pt" strokecolor="#ff0000">
              <v:stroke dashstyle="solid"/>
            </v:line>
            <v:line style="position:absolute" from="7390,725" to="7411,708" stroked="true" strokeweight=".407346pt" strokecolor="#ff0000">
              <v:stroke dashstyle="solid"/>
            </v:line>
            <v:line style="position:absolute" from="7411,708" to="7427,692" stroked="true" strokeweight=".407346pt" strokecolor="#ff0000">
              <v:stroke dashstyle="solid"/>
            </v:line>
            <v:line style="position:absolute" from="7427,692" to="7447,676" stroked="true" strokeweight=".407346pt" strokecolor="#ff0000">
              <v:stroke dashstyle="solid"/>
            </v:line>
            <v:line style="position:absolute" from="7447,676" to="7468,664" stroked="true" strokeweight=".407346pt" strokecolor="#ff0000">
              <v:stroke dashstyle="solid"/>
            </v:line>
            <v:line style="position:absolute" from="7468,664" to="7488,647" stroked="true" strokeweight=".407346pt" strokecolor="#ff0000">
              <v:stroke dashstyle="solid"/>
            </v:line>
            <v:line style="position:absolute" from="7488,647" to="7508,631" stroked="true" strokeweight=".407346pt" strokecolor="#ff0000">
              <v:stroke dashstyle="solid"/>
            </v:line>
            <v:line style="position:absolute" from="7508,631" to="7525,615" stroked="true" strokeweight=".407346pt" strokecolor="#ff0000">
              <v:stroke dashstyle="solid"/>
            </v:line>
            <v:line style="position:absolute" from="7525,615" to="7545,598" stroked="true" strokeweight=".407346pt" strokecolor="#ff0000">
              <v:stroke dashstyle="solid"/>
            </v:line>
            <v:line style="position:absolute" from="7545,598" to="7565,582" stroked="true" strokeweight=".407346pt" strokecolor="#ff0000">
              <v:stroke dashstyle="solid"/>
            </v:line>
            <v:line style="position:absolute" from="7565,582" to="7586,570" stroked="true" strokeweight=".407346pt" strokecolor="#ff0000">
              <v:stroke dashstyle="solid"/>
            </v:line>
            <v:line style="position:absolute" from="7586,570" to="7606,554" stroked="true" strokeweight=".407346pt" strokecolor="#ff0000">
              <v:stroke dashstyle="solid"/>
            </v:line>
            <v:line style="position:absolute" from="7606,554" to="7627,537" stroked="true" strokeweight=".407346pt" strokecolor="#ff0000">
              <v:stroke dashstyle="solid"/>
            </v:line>
            <v:line style="position:absolute" from="7627,537" to="7643,521" stroked="true" strokeweight=".407346pt" strokecolor="#ff0000">
              <v:stroke dashstyle="solid"/>
            </v:line>
            <v:line style="position:absolute" from="7643,521" to="7663,505" stroked="true" strokeweight=".407346pt" strokecolor="#ff0000">
              <v:stroke dashstyle="solid"/>
            </v:line>
            <v:line style="position:absolute" from="7663,505" to="7680,492" stroked="true" strokeweight=".407346pt" strokecolor="#ff0000">
              <v:stroke dashstyle="solid"/>
            </v:line>
            <v:shape style="position:absolute;left:7797;top:105;width:355;height:294" type="#_x0000_t75" stroked="false">
              <v:imagedata r:id="rId159" o:title=""/>
            </v:shape>
            <v:shape style="position:absolute;left:3186;top:353;width:70;height:53" coordorigin="3186,354" coordsize="70,53" path="m3219,407l3186,378,3219,354,3256,378,3219,407xe" filled="true" fillcolor="#ff0000" stroked="false">
              <v:path arrowok="t"/>
              <v:fill type="solid"/>
            </v:shape>
            <v:shape style="position:absolute;left:3186;top:353;width:70;height:53" coordorigin="3186,354" coordsize="70,53" path="m3219,354l3256,378,3219,407,3186,378,3219,354xe" filled="false" stroked="true" strokeweight=".814691pt" strokecolor="#ff0000">
              <v:path arrowok="t"/>
              <v:stroke dashstyle="solid"/>
            </v:shape>
            <v:shape style="position:absolute;left:2807;top:89;width:7084;height:3463" type="#_x0000_t202" filled="false" stroked="false">
              <v:textbox inset="0,0,0,0">
                <w:txbxContent>
                  <w:p>
                    <w:pPr>
                      <w:spacing w:line="254" w:lineRule="exact" w:before="155"/>
                      <w:ind w:left="696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sz w:val="23"/>
                      </w:rPr>
                      <w:t>SPF-S</w:t>
                    </w:r>
                    <w:r>
                      <w:rPr>
                        <w:spacing w:val="-5"/>
                        <w:sz w:val="23"/>
                      </w:rPr>
                      <w:t> </w:t>
                    </w:r>
                    <w:r>
                      <w:rPr>
                        <w:sz w:val="23"/>
                      </w:rPr>
                      <w:t>data</w:t>
                    </w:r>
                  </w:p>
                  <w:p>
                    <w:pPr>
                      <w:spacing w:line="254" w:lineRule="exact" w:before="0"/>
                      <w:ind w:left="329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w w:val="99"/>
                        <w:position w:val="7"/>
                        <w:sz w:val="18"/>
                        <w:u w:val="single" w:color="FF0000"/>
                      </w:rPr>
                      <w:t> </w:t>
                    </w:r>
                    <w:r>
                      <w:rPr>
                        <w:position w:val="7"/>
                        <w:sz w:val="18"/>
                        <w:u w:val="single" w:color="FF0000"/>
                      </w:rPr>
                      <w:t>  </w:t>
                    </w:r>
                    <w:r>
                      <w:rPr>
                        <w:spacing w:val="-1"/>
                        <w:position w:val="7"/>
                        <w:sz w:val="18"/>
                        <w:u w:val="single" w:color="FF0000"/>
                      </w:rPr>
                      <w:t> </w:t>
                    </w:r>
                    <w:r>
                      <w:rPr>
                        <w:position w:val="7"/>
                        <w:sz w:val="18"/>
                      </w:rPr>
                      <w:t>   </w:t>
                    </w:r>
                    <w:r>
                      <w:rPr>
                        <w:spacing w:val="7"/>
                        <w:position w:val="7"/>
                        <w:sz w:val="18"/>
                      </w:rPr>
                      <w:t> </w:t>
                    </w:r>
                    <w:r>
                      <w:rPr>
                        <w:sz w:val="23"/>
                      </w:rPr>
                      <w:t>THOR</w:t>
                    </w:r>
                    <w:r>
                      <w:rPr>
                        <w:spacing w:val="-4"/>
                        <w:sz w:val="23"/>
                      </w:rPr>
                      <w:t> </w:t>
                    </w:r>
                    <w:r>
                      <w:rPr>
                        <w:sz w:val="23"/>
                      </w:rPr>
                      <w:t>CLT</w:t>
                    </w:r>
                    <w:r>
                      <w:rPr>
                        <w:spacing w:val="-7"/>
                        <w:sz w:val="23"/>
                      </w:rPr>
                      <w:t> </w:t>
                    </w:r>
                    <w:r>
                      <w:rPr>
                        <w:sz w:val="23"/>
                      </w:rPr>
                      <w:t>-</w:t>
                    </w:r>
                    <w:r>
                      <w:rPr>
                        <w:spacing w:val="-5"/>
                        <w:sz w:val="23"/>
                      </w:rPr>
                      <w:t> </w:t>
                    </w:r>
                    <w:r>
                      <w:rPr>
                        <w:sz w:val="23"/>
                      </w:rPr>
                      <w:t>SPF-S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18"/>
        </w:rPr>
        <w:t>14</w:t>
      </w:r>
    </w:p>
    <w:p>
      <w:pPr>
        <w:spacing w:before="37"/>
        <w:ind w:left="0" w:right="7191" w:firstLine="0"/>
        <w:jc w:val="right"/>
        <w:rPr>
          <w:sz w:val="18"/>
        </w:rPr>
      </w:pPr>
      <w:r>
        <w:rPr>
          <w:sz w:val="18"/>
        </w:rPr>
        <w:t>13</w:t>
      </w:r>
    </w:p>
    <w:p>
      <w:pPr>
        <w:spacing w:before="42"/>
        <w:ind w:left="0" w:right="7191" w:firstLine="0"/>
        <w:jc w:val="right"/>
        <w:rPr>
          <w:sz w:val="18"/>
        </w:rPr>
      </w:pPr>
      <w:r>
        <w:rPr>
          <w:sz w:val="18"/>
        </w:rPr>
        <w:t>12</w:t>
      </w:r>
    </w:p>
    <w:p>
      <w:pPr>
        <w:spacing w:before="37"/>
        <w:ind w:left="0" w:right="7191" w:firstLine="0"/>
        <w:jc w:val="right"/>
        <w:rPr>
          <w:sz w:val="18"/>
        </w:rPr>
      </w:pPr>
      <w:r>
        <w:rPr>
          <w:sz w:val="18"/>
        </w:rPr>
        <w:t>11</w:t>
      </w:r>
    </w:p>
    <w:p>
      <w:pPr>
        <w:spacing w:before="42"/>
        <w:ind w:left="0" w:right="7191" w:firstLine="0"/>
        <w:jc w:val="right"/>
        <w:rPr>
          <w:sz w:val="18"/>
        </w:rPr>
      </w:pPr>
      <w:r>
        <w:rPr>
          <w:sz w:val="18"/>
        </w:rPr>
        <w:t>10</w:t>
      </w:r>
    </w:p>
    <w:p>
      <w:pPr>
        <w:spacing w:before="37"/>
        <w:ind w:left="0" w:right="7162" w:firstLine="0"/>
        <w:jc w:val="right"/>
        <w:rPr>
          <w:sz w:val="18"/>
        </w:rPr>
      </w:pPr>
      <w:r>
        <w:rPr>
          <w:w w:val="99"/>
          <w:sz w:val="18"/>
        </w:rPr>
        <w:t>9</w:t>
      </w:r>
    </w:p>
    <w:p>
      <w:pPr>
        <w:spacing w:before="42"/>
        <w:ind w:left="0" w:right="7162" w:firstLine="0"/>
        <w:jc w:val="right"/>
        <w:rPr>
          <w:sz w:val="18"/>
        </w:rPr>
      </w:pPr>
      <w:r>
        <w:rPr>
          <w:w w:val="99"/>
          <w:sz w:val="18"/>
        </w:rPr>
        <w:t>8</w:t>
      </w:r>
    </w:p>
    <w:p>
      <w:pPr>
        <w:spacing w:before="37"/>
        <w:ind w:left="0" w:right="7162" w:firstLine="0"/>
        <w:jc w:val="right"/>
        <w:rPr>
          <w:sz w:val="18"/>
        </w:rPr>
      </w:pPr>
      <w:r>
        <w:rPr>
          <w:w w:val="99"/>
          <w:sz w:val="18"/>
        </w:rPr>
        <w:t>7</w:t>
      </w:r>
    </w:p>
    <w:p>
      <w:pPr>
        <w:spacing w:before="42"/>
        <w:ind w:left="0" w:right="7162" w:firstLine="0"/>
        <w:jc w:val="right"/>
        <w:rPr>
          <w:sz w:val="18"/>
        </w:rPr>
      </w:pPr>
      <w:r>
        <w:rPr>
          <w:w w:val="99"/>
          <w:sz w:val="18"/>
        </w:rPr>
        <w:t>6</w:t>
      </w:r>
    </w:p>
    <w:p>
      <w:pPr>
        <w:spacing w:before="37"/>
        <w:ind w:left="0" w:right="7162" w:firstLine="0"/>
        <w:jc w:val="right"/>
        <w:rPr>
          <w:sz w:val="18"/>
        </w:rPr>
      </w:pPr>
      <w:r>
        <w:rPr>
          <w:w w:val="99"/>
          <w:sz w:val="18"/>
        </w:rPr>
        <w:t>5</w:t>
      </w:r>
    </w:p>
    <w:p>
      <w:pPr>
        <w:spacing w:before="37"/>
        <w:ind w:left="0" w:right="7162" w:firstLine="0"/>
        <w:jc w:val="right"/>
        <w:rPr>
          <w:sz w:val="18"/>
        </w:rPr>
      </w:pPr>
      <w:r>
        <w:rPr>
          <w:w w:val="99"/>
          <w:sz w:val="18"/>
        </w:rPr>
        <w:t>4</w:t>
      </w:r>
    </w:p>
    <w:p>
      <w:pPr>
        <w:spacing w:before="42"/>
        <w:ind w:left="0" w:right="7162" w:firstLine="0"/>
        <w:jc w:val="right"/>
        <w:rPr>
          <w:sz w:val="18"/>
        </w:rPr>
      </w:pPr>
      <w:r>
        <w:rPr>
          <w:w w:val="99"/>
          <w:sz w:val="18"/>
        </w:rPr>
        <w:t>3</w:t>
      </w:r>
    </w:p>
    <w:p>
      <w:pPr>
        <w:spacing w:before="37"/>
        <w:ind w:left="0" w:right="7162" w:firstLine="0"/>
        <w:jc w:val="right"/>
        <w:rPr>
          <w:sz w:val="18"/>
        </w:rPr>
      </w:pPr>
      <w:r>
        <w:rPr>
          <w:w w:val="99"/>
          <w:sz w:val="18"/>
        </w:rPr>
        <w:t>2</w:t>
      </w:r>
    </w:p>
    <w:p>
      <w:pPr>
        <w:spacing w:before="42"/>
        <w:ind w:left="0" w:right="7162" w:firstLine="0"/>
        <w:jc w:val="right"/>
        <w:rPr>
          <w:sz w:val="18"/>
        </w:rPr>
      </w:pPr>
      <w:r>
        <w:rPr>
          <w:w w:val="99"/>
          <w:sz w:val="18"/>
        </w:rPr>
        <w:t>1</w:t>
      </w:r>
    </w:p>
    <w:p>
      <w:pPr>
        <w:spacing w:line="188" w:lineRule="exact" w:before="37"/>
        <w:ind w:left="0" w:right="7162" w:firstLine="0"/>
        <w:jc w:val="right"/>
        <w:rPr>
          <w:sz w:val="18"/>
        </w:rPr>
      </w:pPr>
      <w:r>
        <w:rPr>
          <w:w w:val="99"/>
          <w:sz w:val="18"/>
        </w:rPr>
        <w:t>0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2"/>
        </w:rPr>
      </w:pPr>
    </w:p>
    <w:p>
      <w:pPr>
        <w:spacing w:before="0"/>
        <w:ind w:left="1" w:right="0" w:firstLine="0"/>
        <w:jc w:val="left"/>
        <w:rPr>
          <w:sz w:val="18"/>
        </w:rPr>
      </w:pPr>
      <w:r>
        <w:rPr>
          <w:sz w:val="18"/>
        </w:rPr>
        <w:t>35</w:t>
      </w:r>
    </w:p>
    <w:p>
      <w:pPr>
        <w:spacing w:before="22"/>
        <w:ind w:left="13" w:right="0" w:firstLine="0"/>
        <w:jc w:val="left"/>
        <w:rPr>
          <w:sz w:val="18"/>
        </w:rPr>
      </w:pPr>
      <w:r>
        <w:rPr/>
        <w:pict>
          <v:shape style="position:absolute;margin-left:520.864136pt;margin-top:-4.198295pt;width:18.8pt;height:165.45pt;mso-position-horizontal-relative:page;mso-position-vertical-relative:paragraph;z-index:15834624" type="#_x0000_t202" filled="false" stroked="false">
            <v:textbox inset="0,0,0,0" style="layout-flow:vertical;mso-layout-flow-alt:bottom-to-top">
              <w:txbxContent>
                <w:p>
                  <w:pPr>
                    <w:spacing w:before="9"/>
                    <w:ind w:left="20" w:right="0" w:firstLine="0"/>
                    <w:jc w:val="left"/>
                    <w:rPr>
                      <w:sz w:val="26"/>
                    </w:rPr>
                  </w:pPr>
                  <w:r>
                    <w:rPr>
                      <w:sz w:val="26"/>
                    </w:rPr>
                    <w:t>Depth of</w:t>
                  </w:r>
                  <w:r>
                    <w:rPr>
                      <w:spacing w:val="-1"/>
                      <w:sz w:val="26"/>
                    </w:rPr>
                    <w:t> </w:t>
                  </w:r>
                  <w:r>
                    <w:rPr>
                      <w:sz w:val="26"/>
                    </w:rPr>
                    <w:t>Penetration</w:t>
                  </w:r>
                  <w:r>
                    <w:rPr>
                      <w:spacing w:val="1"/>
                      <w:sz w:val="26"/>
                    </w:rPr>
                    <w:t> </w:t>
                  </w:r>
                  <w:r>
                    <w:rPr>
                      <w:sz w:val="26"/>
                    </w:rPr>
                    <w:t>(T</w:t>
                  </w:r>
                  <w:r>
                    <w:rPr>
                      <w:position w:val="-5"/>
                      <w:sz w:val="19"/>
                    </w:rPr>
                    <w:t>w</w:t>
                  </w:r>
                  <w:r>
                    <w:rPr>
                      <w:sz w:val="26"/>
                    </w:rPr>
                    <w:t>)</w:t>
                  </w:r>
                  <w:r>
                    <w:rPr>
                      <w:spacing w:val="-1"/>
                      <w:sz w:val="26"/>
                    </w:rPr>
                    <w:t> </w:t>
                  </w:r>
                  <w:r>
                    <w:rPr>
                      <w:sz w:val="26"/>
                    </w:rPr>
                    <w:t>(cm)</w:t>
                  </w:r>
                </w:p>
              </w:txbxContent>
            </v:textbox>
            <w10:wrap type="none"/>
          </v:shape>
        </w:pict>
      </w:r>
      <w:r>
        <w:rPr>
          <w:sz w:val="18"/>
        </w:rPr>
        <w:t>32.5</w:t>
      </w:r>
    </w:p>
    <w:p>
      <w:pPr>
        <w:spacing w:before="57"/>
        <w:ind w:left="9" w:right="0" w:firstLine="0"/>
        <w:jc w:val="left"/>
        <w:rPr>
          <w:sz w:val="18"/>
        </w:rPr>
      </w:pPr>
      <w:r>
        <w:rPr>
          <w:sz w:val="18"/>
        </w:rPr>
        <w:t>30</w:t>
      </w:r>
    </w:p>
    <w:p>
      <w:pPr>
        <w:spacing w:before="42"/>
        <w:ind w:left="25" w:right="0" w:firstLine="0"/>
        <w:jc w:val="left"/>
        <w:rPr>
          <w:sz w:val="18"/>
        </w:rPr>
      </w:pPr>
      <w:r>
        <w:rPr>
          <w:sz w:val="18"/>
        </w:rPr>
        <w:t>27.5</w:t>
      </w:r>
    </w:p>
    <w:p>
      <w:pPr>
        <w:spacing w:before="17"/>
        <w:ind w:left="9" w:right="0" w:firstLine="0"/>
        <w:jc w:val="left"/>
        <w:rPr>
          <w:sz w:val="18"/>
        </w:rPr>
      </w:pPr>
      <w:r>
        <w:rPr>
          <w:sz w:val="18"/>
        </w:rPr>
        <w:t>25</w:t>
      </w:r>
    </w:p>
    <w:p>
      <w:pPr>
        <w:spacing w:before="29"/>
        <w:ind w:left="25" w:right="0" w:firstLine="0"/>
        <w:jc w:val="left"/>
        <w:rPr>
          <w:sz w:val="18"/>
        </w:rPr>
      </w:pPr>
      <w:r>
        <w:rPr>
          <w:sz w:val="18"/>
        </w:rPr>
        <w:t>22.5</w:t>
      </w:r>
    </w:p>
    <w:p>
      <w:pPr>
        <w:spacing w:before="46"/>
        <w:ind w:left="21" w:right="0" w:firstLine="0"/>
        <w:jc w:val="left"/>
        <w:rPr>
          <w:sz w:val="18"/>
        </w:rPr>
      </w:pPr>
      <w:r>
        <w:rPr>
          <w:sz w:val="18"/>
        </w:rPr>
        <w:t>20</w:t>
      </w:r>
    </w:p>
    <w:p>
      <w:pPr>
        <w:spacing w:before="21"/>
        <w:ind w:left="21" w:right="0" w:firstLine="0"/>
        <w:jc w:val="left"/>
        <w:rPr>
          <w:sz w:val="18"/>
        </w:rPr>
      </w:pPr>
      <w:r>
        <w:rPr>
          <w:sz w:val="18"/>
        </w:rPr>
        <w:t>17.5</w:t>
      </w:r>
    </w:p>
    <w:p>
      <w:pPr>
        <w:spacing w:before="41"/>
        <w:ind w:left="21" w:right="0" w:firstLine="0"/>
        <w:jc w:val="left"/>
        <w:rPr>
          <w:sz w:val="18"/>
        </w:rPr>
      </w:pPr>
      <w:r>
        <w:rPr>
          <w:sz w:val="18"/>
        </w:rPr>
        <w:t>15</w:t>
      </w:r>
    </w:p>
    <w:p>
      <w:pPr>
        <w:spacing w:before="42"/>
        <w:ind w:left="21" w:right="0" w:firstLine="0"/>
        <w:jc w:val="left"/>
        <w:rPr>
          <w:sz w:val="18"/>
        </w:rPr>
      </w:pPr>
      <w:r>
        <w:rPr>
          <w:sz w:val="18"/>
        </w:rPr>
        <w:t>12.5</w:t>
      </w:r>
    </w:p>
    <w:p>
      <w:pPr>
        <w:spacing w:before="41"/>
        <w:ind w:left="21" w:right="0" w:firstLine="0"/>
        <w:jc w:val="left"/>
        <w:rPr>
          <w:sz w:val="18"/>
        </w:rPr>
      </w:pPr>
      <w:r>
        <w:rPr>
          <w:sz w:val="18"/>
        </w:rPr>
        <w:t>10</w:t>
      </w:r>
    </w:p>
    <w:p>
      <w:pPr>
        <w:spacing w:before="34"/>
        <w:ind w:left="21" w:right="0" w:firstLine="0"/>
        <w:jc w:val="left"/>
        <w:rPr>
          <w:sz w:val="18"/>
        </w:rPr>
      </w:pPr>
      <w:r>
        <w:rPr>
          <w:sz w:val="18"/>
        </w:rPr>
        <w:t>7.5</w:t>
      </w:r>
    </w:p>
    <w:p>
      <w:pPr>
        <w:spacing w:line="201" w:lineRule="exact" w:before="53"/>
        <w:ind w:left="21" w:right="0" w:firstLine="0"/>
        <w:jc w:val="left"/>
        <w:rPr>
          <w:sz w:val="18"/>
        </w:rPr>
      </w:pPr>
      <w:r>
        <w:rPr>
          <w:w w:val="99"/>
          <w:sz w:val="18"/>
        </w:rPr>
        <w:t>5</w:t>
      </w:r>
    </w:p>
    <w:p>
      <w:pPr>
        <w:spacing w:line="201" w:lineRule="exact" w:before="0"/>
        <w:ind w:left="21" w:right="0" w:firstLine="0"/>
        <w:jc w:val="left"/>
        <w:rPr>
          <w:sz w:val="18"/>
        </w:rPr>
      </w:pPr>
      <w:r>
        <w:rPr>
          <w:sz w:val="18"/>
        </w:rPr>
        <w:t>2.5</w:t>
      </w:r>
    </w:p>
    <w:p>
      <w:pPr>
        <w:spacing w:before="1"/>
        <w:ind w:left="21" w:right="0" w:firstLine="0"/>
        <w:jc w:val="left"/>
        <w:rPr>
          <w:sz w:val="18"/>
        </w:rPr>
      </w:pPr>
      <w:r>
        <w:rPr>
          <w:w w:val="99"/>
          <w:sz w:val="18"/>
        </w:rPr>
        <w:t>0</w:t>
      </w:r>
    </w:p>
    <w:p>
      <w:pPr>
        <w:spacing w:after="0"/>
        <w:jc w:val="left"/>
        <w:rPr>
          <w:sz w:val="18"/>
        </w:rPr>
        <w:sectPr>
          <w:pgSz w:w="12240" w:h="15840"/>
          <w:pgMar w:header="0" w:footer="1064" w:top="1340" w:bottom="1260" w:left="1720" w:right="1020"/>
          <w:cols w:num="2" w:equalWidth="0">
            <w:col w:w="8184" w:space="40"/>
            <w:col w:w="1276"/>
          </w:cols>
        </w:sectPr>
      </w:pPr>
    </w:p>
    <w:p>
      <w:pPr>
        <w:tabs>
          <w:tab w:pos="1767" w:val="left" w:leader="none"/>
          <w:tab w:pos="2492" w:val="left" w:leader="none"/>
          <w:tab w:pos="3278" w:val="left" w:leader="none"/>
          <w:tab w:pos="4064" w:val="left" w:leader="none"/>
          <w:tab w:pos="4847" w:val="left" w:leader="none"/>
          <w:tab w:pos="5633" w:val="left" w:leader="none"/>
          <w:tab w:pos="6419" w:val="left" w:leader="none"/>
          <w:tab w:pos="7205" w:val="left" w:leader="none"/>
          <w:tab w:pos="7991" w:val="left" w:leader="none"/>
        </w:tabs>
        <w:spacing w:line="199" w:lineRule="exact" w:before="0"/>
        <w:ind w:left="981" w:right="0" w:firstLine="0"/>
        <w:jc w:val="left"/>
        <w:rPr>
          <w:sz w:val="18"/>
        </w:rPr>
      </w:pPr>
      <w:r>
        <w:rPr>
          <w:sz w:val="18"/>
        </w:rPr>
        <w:t>400</w:t>
        <w:tab/>
        <w:t>800</w:t>
        <w:tab/>
        <w:t>1200</w:t>
        <w:tab/>
        <w:t>1600</w:t>
        <w:tab/>
        <w:t>2000</w:t>
        <w:tab/>
        <w:t>2400</w:t>
        <w:tab/>
        <w:t>2800</w:t>
        <w:tab/>
        <w:t>3200</w:t>
        <w:tab/>
        <w:t>3600</w:t>
        <w:tab/>
        <w:t>4000</w:t>
      </w:r>
    </w:p>
    <w:p>
      <w:pPr>
        <w:pStyle w:val="Heading7"/>
        <w:spacing w:before="141"/>
        <w:ind w:left="42" w:right="43"/>
        <w:jc w:val="center"/>
      </w:pPr>
      <w:r>
        <w:rPr/>
        <w:t>Striking</w:t>
      </w:r>
      <w:r>
        <w:rPr>
          <w:spacing w:val="-15"/>
        </w:rPr>
        <w:t> </w:t>
      </w:r>
      <w:r>
        <w:rPr/>
        <w:t>Velocity</w:t>
      </w:r>
      <w:r>
        <w:rPr>
          <w:spacing w:val="-8"/>
        </w:rPr>
        <w:t> </w:t>
      </w:r>
      <w:r>
        <w:rPr/>
        <w:t>(V</w:t>
      </w:r>
      <w:r>
        <w:rPr>
          <w:position w:val="-5"/>
          <w:sz w:val="19"/>
        </w:rPr>
        <w:t>s</w:t>
      </w:r>
      <w:r>
        <w:rPr/>
        <w:t>)</w:t>
      </w:r>
      <w:r>
        <w:rPr>
          <w:spacing w:val="-9"/>
        </w:rPr>
        <w:t> </w:t>
      </w:r>
      <w:r>
        <w:rPr/>
        <w:t>(fps)</w:t>
      </w:r>
    </w:p>
    <w:p>
      <w:pPr>
        <w:spacing w:before="224"/>
        <w:ind w:left="19" w:right="0" w:firstLine="0"/>
        <w:jc w:val="center"/>
        <w:rPr>
          <w:i/>
          <w:sz w:val="24"/>
        </w:rPr>
      </w:pPr>
      <w:bookmarkStart w:name="_bookmark86" w:id="316"/>
      <w:bookmarkEnd w:id="316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5-27.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THOR-based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CLT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model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recalibrated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SPF-S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data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only.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6"/>
        <w:rPr>
          <w:i/>
          <w:sz w:val="16"/>
        </w:rPr>
      </w:pPr>
    </w:p>
    <w:p>
      <w:pPr>
        <w:spacing w:after="0"/>
        <w:rPr>
          <w:sz w:val="16"/>
        </w:rPr>
        <w:sectPr>
          <w:type w:val="continuous"/>
          <w:pgSz w:w="12240" w:h="15840"/>
          <w:pgMar w:top="1380" w:bottom="280" w:left="1720" w:right="1020"/>
        </w:sectPr>
      </w:pPr>
    </w:p>
    <w:p>
      <w:pPr>
        <w:pStyle w:val="Heading7"/>
        <w:spacing w:before="90"/>
        <w:ind w:left="3164"/>
      </w:pPr>
      <w:r>
        <w:rPr/>
        <w:t>Striking</w:t>
      </w:r>
      <w:r>
        <w:rPr>
          <w:spacing w:val="-13"/>
        </w:rPr>
        <w:t> </w:t>
      </w:r>
      <w:r>
        <w:rPr/>
        <w:t>Velocity</w:t>
      </w:r>
      <w:r>
        <w:rPr>
          <w:spacing w:val="-5"/>
        </w:rPr>
        <w:t> </w:t>
      </w:r>
      <w:r>
        <w:rPr/>
        <w:t>(V</w:t>
      </w:r>
      <w:r>
        <w:rPr>
          <w:position w:val="-8"/>
          <w:sz w:val="19"/>
        </w:rPr>
        <w:t>s</w:t>
      </w:r>
      <w:r>
        <w:rPr/>
        <w:t>)</w:t>
      </w:r>
      <w:r>
        <w:rPr>
          <w:spacing w:val="-7"/>
        </w:rPr>
        <w:t> </w:t>
      </w:r>
      <w:r>
        <w:rPr/>
        <w:t>(m/s)</w:t>
      </w:r>
    </w:p>
    <w:p>
      <w:pPr>
        <w:spacing w:line="195" w:lineRule="exact" w:before="72"/>
        <w:ind w:left="1289" w:right="0" w:firstLine="0"/>
        <w:jc w:val="left"/>
        <w:rPr>
          <w:sz w:val="18"/>
        </w:rPr>
      </w:pPr>
      <w:r>
        <w:rPr/>
        <w:pict>
          <v:shape style="position:absolute;margin-left:105.9627pt;margin-top:12.994792pt;width:18.850pt;height:183pt;mso-position-horizontal-relative:page;mso-position-vertical-relative:paragraph;z-index:15833088" type="#_x0000_t202" filled="false" stroked="false">
            <v:textbox inset="0,0,0,0" style="layout-flow:vertical;mso-layout-flow-alt:bottom-to-top">
              <w:txbxContent>
                <w:p>
                  <w:pPr>
                    <w:spacing w:before="10"/>
                    <w:ind w:left="20" w:right="0" w:firstLine="0"/>
                    <w:jc w:val="left"/>
                    <w:rPr>
                      <w:sz w:val="26"/>
                    </w:rPr>
                  </w:pPr>
                  <w:r>
                    <w:rPr>
                      <w:sz w:val="26"/>
                    </w:rPr>
                    <w:t>Depth</w:t>
                  </w:r>
                  <w:r>
                    <w:rPr>
                      <w:spacing w:val="1"/>
                      <w:sz w:val="26"/>
                    </w:rPr>
                    <w:t> </w:t>
                  </w:r>
                  <w:r>
                    <w:rPr>
                      <w:sz w:val="26"/>
                    </w:rPr>
                    <w:t>of</w:t>
                  </w:r>
                  <w:r>
                    <w:rPr>
                      <w:spacing w:val="1"/>
                      <w:sz w:val="26"/>
                    </w:rPr>
                    <w:t> </w:t>
                  </w:r>
                  <w:r>
                    <w:rPr>
                      <w:sz w:val="26"/>
                    </w:rPr>
                    <w:t>Penetration</w:t>
                  </w:r>
                  <w:r>
                    <w:rPr>
                      <w:spacing w:val="2"/>
                      <w:sz w:val="26"/>
                    </w:rPr>
                    <w:t> </w:t>
                  </w:r>
                  <w:r>
                    <w:rPr>
                      <w:sz w:val="26"/>
                    </w:rPr>
                    <w:t>(T</w:t>
                  </w:r>
                  <w:r>
                    <w:rPr>
                      <w:position w:val="-5"/>
                      <w:sz w:val="19"/>
                    </w:rPr>
                    <w:t>w</w:t>
                  </w:r>
                  <w:r>
                    <w:rPr>
                      <w:sz w:val="26"/>
                    </w:rPr>
                    <w:t>)</w:t>
                  </w:r>
                  <w:r>
                    <w:rPr>
                      <w:spacing w:val="1"/>
                      <w:sz w:val="26"/>
                    </w:rPr>
                    <w:t> </w:t>
                  </w:r>
                  <w:r>
                    <w:rPr>
                      <w:sz w:val="26"/>
                    </w:rPr>
                    <w:t>(inches)</w:t>
                  </w:r>
                </w:p>
              </w:txbxContent>
            </v:textbox>
            <w10:wrap type="none"/>
          </v:shape>
        </w:pict>
      </w:r>
      <w:r>
        <w:rPr>
          <w:sz w:val="18"/>
        </w:rPr>
        <w:t>180   240</w:t>
      </w:r>
      <w:r>
        <w:rPr>
          <w:spacing w:val="37"/>
          <w:sz w:val="18"/>
        </w:rPr>
        <w:t> </w:t>
      </w:r>
      <w:r>
        <w:rPr>
          <w:sz w:val="18"/>
        </w:rPr>
        <w:t>300  </w:t>
      </w:r>
      <w:r>
        <w:rPr>
          <w:spacing w:val="8"/>
          <w:sz w:val="18"/>
        </w:rPr>
        <w:t> </w:t>
      </w:r>
      <w:r>
        <w:rPr>
          <w:sz w:val="18"/>
        </w:rPr>
        <w:t>360</w:t>
      </w:r>
      <w:r>
        <w:rPr>
          <w:spacing w:val="86"/>
          <w:sz w:val="18"/>
        </w:rPr>
        <w:t> </w:t>
      </w:r>
      <w:r>
        <w:rPr>
          <w:sz w:val="18"/>
        </w:rPr>
        <w:t>420</w:t>
      </w:r>
      <w:r>
        <w:rPr>
          <w:spacing w:val="66"/>
          <w:sz w:val="18"/>
        </w:rPr>
        <w:t> </w:t>
      </w:r>
      <w:r>
        <w:rPr>
          <w:sz w:val="18"/>
        </w:rPr>
        <w:t>480   540</w:t>
      </w:r>
      <w:r>
        <w:rPr>
          <w:spacing w:val="70"/>
          <w:sz w:val="18"/>
        </w:rPr>
        <w:t> </w:t>
      </w:r>
      <w:r>
        <w:rPr>
          <w:sz w:val="18"/>
        </w:rPr>
        <w:t>600  </w:t>
      </w:r>
      <w:r>
        <w:rPr>
          <w:spacing w:val="1"/>
          <w:sz w:val="18"/>
        </w:rPr>
        <w:t> </w:t>
      </w:r>
      <w:r>
        <w:rPr>
          <w:sz w:val="18"/>
        </w:rPr>
        <w:t>660</w:t>
      </w:r>
      <w:r>
        <w:rPr>
          <w:spacing w:val="50"/>
          <w:sz w:val="18"/>
        </w:rPr>
        <w:t> </w:t>
      </w:r>
      <w:r>
        <w:rPr>
          <w:sz w:val="18"/>
        </w:rPr>
        <w:t>720  </w:t>
      </w:r>
      <w:r>
        <w:rPr>
          <w:spacing w:val="8"/>
          <w:sz w:val="18"/>
        </w:rPr>
        <w:t> </w:t>
      </w:r>
      <w:r>
        <w:rPr>
          <w:sz w:val="18"/>
        </w:rPr>
        <w:t>780</w:t>
      </w:r>
      <w:r>
        <w:rPr>
          <w:spacing w:val="41"/>
          <w:sz w:val="18"/>
        </w:rPr>
        <w:t> </w:t>
      </w:r>
      <w:r>
        <w:rPr>
          <w:sz w:val="18"/>
        </w:rPr>
        <w:t>840</w:t>
      </w:r>
      <w:r>
        <w:rPr>
          <w:spacing w:val="74"/>
          <w:sz w:val="18"/>
        </w:rPr>
        <w:t> </w:t>
      </w:r>
      <w:r>
        <w:rPr>
          <w:sz w:val="18"/>
        </w:rPr>
        <w:t>900</w:t>
      </w:r>
      <w:r>
        <w:rPr>
          <w:spacing w:val="66"/>
          <w:sz w:val="18"/>
        </w:rPr>
        <w:t> </w:t>
      </w:r>
      <w:r>
        <w:rPr>
          <w:sz w:val="18"/>
        </w:rPr>
        <w:t>960</w:t>
      </w:r>
      <w:r>
        <w:rPr>
          <w:spacing w:val="33"/>
          <w:sz w:val="18"/>
        </w:rPr>
        <w:t> </w:t>
      </w:r>
      <w:r>
        <w:rPr>
          <w:sz w:val="18"/>
        </w:rPr>
        <w:t>10201080</w:t>
      </w:r>
      <w:r>
        <w:rPr>
          <w:spacing w:val="-1"/>
          <w:sz w:val="18"/>
        </w:rPr>
        <w:t> </w:t>
      </w:r>
      <w:r>
        <w:rPr>
          <w:sz w:val="18"/>
        </w:rPr>
        <w:t>11401200</w:t>
      </w:r>
    </w:p>
    <w:p>
      <w:pPr>
        <w:spacing w:line="195" w:lineRule="exact" w:before="0"/>
        <w:ind w:left="0" w:right="7191" w:firstLine="0"/>
        <w:jc w:val="right"/>
        <w:rPr>
          <w:sz w:val="18"/>
        </w:rPr>
      </w:pPr>
      <w:r>
        <w:rPr/>
        <w:pict>
          <v:group style="position:absolute;margin-left:139.241318pt;margin-top:3.946496pt;width:355.2pt;height:173.6pt;mso-position-horizontal-relative:page;mso-position-vertical-relative:paragraph;z-index:15832576" coordorigin="2785,79" coordsize="7104,3472">
            <v:rect style="position:absolute;left:2793;top:87;width:7088;height:3456" filled="false" stroked="true" strokeweight=".816876pt" strokecolor="#000000">
              <v:stroke dashstyle="solid"/>
            </v:rect>
            <v:line style="position:absolute" from="3185,3542" to="3185,3444" stroked="true" strokeweight=".612766pt" strokecolor="#000000">
              <v:stroke dashstyle="solid"/>
            </v:line>
            <v:line style="position:absolute" from="3577,3542" to="3577,3444" stroked="true" strokeweight=".612766pt" strokecolor="#000000">
              <v:stroke dashstyle="solid"/>
            </v:line>
            <v:line style="position:absolute" from="3974,3542" to="3974,3444" stroked="true" strokeweight=".612766pt" strokecolor="#000000">
              <v:stroke dashstyle="solid"/>
            </v:line>
            <v:line style="position:absolute" from="4366,3542" to="4366,3444" stroked="true" strokeweight=".612766pt" strokecolor="#000000">
              <v:stroke dashstyle="solid"/>
            </v:line>
            <v:line style="position:absolute" from="4762,3542" to="4762,3444" stroked="true" strokeweight=".612766pt" strokecolor="#000000">
              <v:stroke dashstyle="solid"/>
            </v:line>
            <v:line style="position:absolute" from="5154,3542" to="5154,3444" stroked="true" strokeweight=".612766pt" strokecolor="#000000">
              <v:stroke dashstyle="solid"/>
            </v:line>
            <v:line style="position:absolute" from="5546,3542" to="5546,3444" stroked="true" strokeweight=".612766pt" strokecolor="#000000">
              <v:stroke dashstyle="solid"/>
            </v:line>
            <v:line style="position:absolute" from="5943,3542" to="5943,3444" stroked="true" strokeweight=".612766pt" strokecolor="#000000">
              <v:stroke dashstyle="solid"/>
            </v:line>
            <v:line style="position:absolute" from="6335,3542" to="6335,3444" stroked="true" strokeweight=".612766pt" strokecolor="#000000">
              <v:stroke dashstyle="solid"/>
            </v:line>
            <v:line style="position:absolute" from="6731,3542" to="6731,3444" stroked="true" strokeweight=".612766pt" strokecolor="#000000">
              <v:stroke dashstyle="solid"/>
            </v:line>
            <v:line style="position:absolute" from="7123,3542" to="7123,3444" stroked="true" strokeweight=".612766pt" strokecolor="#000000">
              <v:stroke dashstyle="solid"/>
            </v:line>
            <v:line style="position:absolute" from="7515,3542" to="7515,3444" stroked="true" strokeweight=".612766pt" strokecolor="#000000">
              <v:stroke dashstyle="solid"/>
            </v:line>
            <v:line style="position:absolute" from="7912,3542" to="7912,3444" stroked="true" strokeweight=".612766pt" strokecolor="#000000">
              <v:stroke dashstyle="solid"/>
            </v:line>
            <v:line style="position:absolute" from="8304,3542" to="8304,3444" stroked="true" strokeweight=".612766pt" strokecolor="#000000">
              <v:stroke dashstyle="solid"/>
            </v:line>
            <v:line style="position:absolute" from="8700,3542" to="8700,3444" stroked="true" strokeweight=".612766pt" strokecolor="#000000">
              <v:stroke dashstyle="solid"/>
            </v:line>
            <v:line style="position:absolute" from="9092,3542" to="9092,3444" stroked="true" strokeweight=".612766pt" strokecolor="#000000">
              <v:stroke dashstyle="solid"/>
            </v:line>
            <v:line style="position:absolute" from="9484,3542" to="9484,3444" stroked="true" strokeweight=".612766pt" strokecolor="#000000">
              <v:stroke dashstyle="solid"/>
            </v:line>
            <v:line style="position:absolute" from="3165,87" to="3165,189" stroked="true" strokeweight=".612766pt" strokecolor="#000000">
              <v:stroke dashstyle="solid"/>
            </v:line>
            <v:line style="position:absolute" from="3553,87" to="3553,189" stroked="true" strokeweight=".612766pt" strokecolor="#000000">
              <v:stroke dashstyle="solid"/>
            </v:line>
            <v:line style="position:absolute" from="3941,87" to="3941,189" stroked="true" strokeweight=".612766pt" strokecolor="#000000">
              <v:stroke dashstyle="solid"/>
            </v:line>
            <v:line style="position:absolute" from="4329,87" to="4329,189" stroked="true" strokeweight=".612766pt" strokecolor="#000000">
              <v:stroke dashstyle="solid"/>
            </v:line>
            <v:line style="position:absolute" from="4717,87" to="4717,189" stroked="true" strokeweight=".612766pt" strokecolor="#000000">
              <v:stroke dashstyle="solid"/>
            </v:line>
            <v:line style="position:absolute" from="5105,87" to="5105,189" stroked="true" strokeweight=".612766pt" strokecolor="#000000">
              <v:stroke dashstyle="solid"/>
            </v:line>
            <v:line style="position:absolute" from="5493,87" to="5493,189" stroked="true" strokeweight=".612766pt" strokecolor="#000000">
              <v:stroke dashstyle="solid"/>
            </v:line>
            <v:line style="position:absolute" from="5881,87" to="5881,189" stroked="true" strokeweight=".612766pt" strokecolor="#000000">
              <v:stroke dashstyle="solid"/>
            </v:line>
            <v:line style="position:absolute" from="6269,87" to="6269,189" stroked="true" strokeweight=".612766pt" strokecolor="#000000">
              <v:stroke dashstyle="solid"/>
            </v:line>
            <v:line style="position:absolute" from="6653,87" to="6653,189" stroked="true" strokeweight=".612766pt" strokecolor="#000000">
              <v:stroke dashstyle="solid"/>
            </v:line>
            <v:line style="position:absolute" from="7042,87" to="7042,189" stroked="true" strokeweight=".612766pt" strokecolor="#000000">
              <v:stroke dashstyle="solid"/>
            </v:line>
            <v:line style="position:absolute" from="7430,87" to="7430,189" stroked="true" strokeweight=".612766pt" strokecolor="#000000">
              <v:stroke dashstyle="solid"/>
            </v:line>
            <v:line style="position:absolute" from="7818,87" to="7818,189" stroked="true" strokeweight=".612766pt" strokecolor="#000000">
              <v:stroke dashstyle="solid"/>
            </v:line>
            <v:line style="position:absolute" from="8206,87" to="8206,189" stroked="true" strokeweight=".612766pt" strokecolor="#000000">
              <v:stroke dashstyle="solid"/>
            </v:line>
            <v:line style="position:absolute" from="8594,87" to="8594,189" stroked="true" strokeweight=".612766pt" strokecolor="#000000">
              <v:stroke dashstyle="solid"/>
            </v:line>
            <v:line style="position:absolute" from="8982,87" to="8982,189" stroked="true" strokeweight=".612766pt" strokecolor="#000000">
              <v:stroke dashstyle="solid"/>
            </v:line>
            <v:line style="position:absolute" from="9370,87" to="9370,189" stroked="true" strokeweight=".612766pt" strokecolor="#000000">
              <v:stroke dashstyle="solid"/>
            </v:line>
            <v:line style="position:absolute" from="9758,87" to="9758,189" stroked="true" strokeweight=".612766pt" strokecolor="#000000">
              <v:stroke dashstyle="solid"/>
            </v:line>
            <v:line style="position:absolute" from="2793,3297" to="2920,3297" stroked="true" strokeweight=".612631pt" strokecolor="#000000">
              <v:stroke dashstyle="solid"/>
            </v:line>
            <v:line style="position:absolute" from="2793,3052" to="2920,3052" stroked="true" strokeweight=".612631pt" strokecolor="#000000">
              <v:stroke dashstyle="solid"/>
            </v:line>
            <v:line style="position:absolute" from="2793,2803" to="2920,2803" stroked="true" strokeweight=".612631pt" strokecolor="#000000">
              <v:stroke dashstyle="solid"/>
            </v:line>
            <v:line style="position:absolute" from="2793,2558" to="2920,2558" stroked="true" strokeweight=".612631pt" strokecolor="#000000">
              <v:stroke dashstyle="solid"/>
            </v:line>
            <v:line style="position:absolute" from="2793,2309" to="2920,2309" stroked="true" strokeweight=".612631pt" strokecolor="#000000">
              <v:stroke dashstyle="solid"/>
            </v:line>
            <v:line style="position:absolute" from="2793,2064" to="2920,2064" stroked="true" strokeweight=".612631pt" strokecolor="#000000">
              <v:stroke dashstyle="solid"/>
            </v:line>
            <v:line style="position:absolute" from="2793,1815" to="2920,1815" stroked="true" strokeweight=".612631pt" strokecolor="#000000">
              <v:stroke dashstyle="solid"/>
            </v:line>
            <v:line style="position:absolute" from="2793,1570" to="2920,1570" stroked="true" strokeweight=".612631pt" strokecolor="#000000">
              <v:stroke dashstyle="solid"/>
            </v:line>
            <v:line style="position:absolute" from="2793,1321" to="2920,1321" stroked="true" strokeweight=".612631pt" strokecolor="#000000">
              <v:stroke dashstyle="solid"/>
            </v:line>
            <v:line style="position:absolute" from="2793,1075" to="2920,1075" stroked="true" strokeweight=".612631pt" strokecolor="#000000">
              <v:stroke dashstyle="solid"/>
            </v:line>
            <v:line style="position:absolute" from="2793,830" to="2920,830" stroked="true" strokeweight=".612631pt" strokecolor="#000000">
              <v:stroke dashstyle="solid"/>
            </v:line>
            <v:line style="position:absolute" from="2793,581" to="2920,581" stroked="true" strokeweight=".612631pt" strokecolor="#000000">
              <v:stroke dashstyle="solid"/>
            </v:line>
            <v:line style="position:absolute" from="2793,336" to="2920,336" stroked="true" strokeweight=".612631pt" strokecolor="#000000">
              <v:stroke dashstyle="solid"/>
            </v:line>
            <v:line style="position:absolute" from="9881,3297" to="9754,3297" stroked="true" strokeweight=".612631pt" strokecolor="#000000">
              <v:stroke dashstyle="solid"/>
            </v:line>
            <v:line style="position:absolute" from="9881,3052" to="9754,3052" stroked="true" strokeweight=".612631pt" strokecolor="#000000">
              <v:stroke dashstyle="solid"/>
            </v:line>
            <v:line style="position:absolute" from="9881,2803" to="9754,2803" stroked="true" strokeweight=".612631pt" strokecolor="#000000">
              <v:stroke dashstyle="solid"/>
            </v:line>
            <v:line style="position:absolute" from="9881,2558" to="9754,2558" stroked="true" strokeweight=".612631pt" strokecolor="#000000">
              <v:stroke dashstyle="solid"/>
            </v:line>
            <v:line style="position:absolute" from="9881,2309" to="9754,2309" stroked="true" strokeweight=".612631pt" strokecolor="#000000">
              <v:stroke dashstyle="solid"/>
            </v:line>
            <v:line style="position:absolute" from="9881,2064" to="9754,2064" stroked="true" strokeweight=".612631pt" strokecolor="#000000">
              <v:stroke dashstyle="solid"/>
            </v:line>
            <v:line style="position:absolute" from="9881,1815" to="9754,1815" stroked="true" strokeweight=".612631pt" strokecolor="#000000">
              <v:stroke dashstyle="solid"/>
            </v:line>
            <v:line style="position:absolute" from="9881,1570" to="9754,1570" stroked="true" strokeweight=".612631pt" strokecolor="#000000">
              <v:stroke dashstyle="solid"/>
            </v:line>
            <v:line style="position:absolute" from="9881,1321" to="9754,1321" stroked="true" strokeweight=".612631pt" strokecolor="#000000">
              <v:stroke dashstyle="solid"/>
            </v:line>
            <v:line style="position:absolute" from="9881,1075" to="9754,1075" stroked="true" strokeweight=".612631pt" strokecolor="#000000">
              <v:stroke dashstyle="solid"/>
            </v:line>
            <v:line style="position:absolute" from="9881,830" to="9754,830" stroked="true" strokeweight=".612631pt" strokecolor="#000000">
              <v:stroke dashstyle="solid"/>
            </v:line>
            <v:line style="position:absolute" from="9881,581" to="9754,581" stroked="true" strokeweight=".612631pt" strokecolor="#000000">
              <v:stroke dashstyle="solid"/>
            </v:line>
            <v:line style="position:absolute" from="9881,336" to="9754,336" stroked="true" strokeweight=".612631pt" strokecolor="#000000">
              <v:stroke dashstyle="solid"/>
            </v:line>
            <v:shape style="position:absolute;left:6673;top:1410;width:66;height:54" coordorigin="6674,1410" coordsize="66,54" path="m6739,1463l6674,1463,6707,1410,6739,1463xe" filled="true" fillcolor="#0000ff" stroked="false">
              <v:path arrowok="t"/>
              <v:fill type="solid"/>
            </v:shape>
            <v:shape style="position:absolute;left:6673;top:1410;width:66;height:54" coordorigin="6674,1410" coordsize="66,54" path="m6707,1410l6739,1463,6674,1463,6707,1410xe" filled="false" stroked="true" strokeweight=".816913pt" strokecolor="#0000ff">
              <v:path arrowok="t"/>
              <v:stroke dashstyle="solid"/>
            </v:shape>
            <v:shape style="position:absolute;left:6481;top:1532;width:66;height:54" coordorigin="6482,1533" coordsize="66,54" path="m6547,1586l6482,1586,6515,1533,6547,1586xe" filled="true" fillcolor="#0000ff" stroked="false">
              <v:path arrowok="t"/>
              <v:fill type="solid"/>
            </v:shape>
            <v:shape style="position:absolute;left:6481;top:1532;width:66;height:54" coordorigin="6482,1533" coordsize="66,54" path="m6515,1533l6547,1586,6482,1586,6515,1533xe" filled="false" stroked="true" strokeweight=".816913pt" strokecolor="#0000ff">
              <v:path arrowok="t"/>
              <v:stroke dashstyle="solid"/>
            </v:shape>
            <v:shape style="position:absolute;left:6849;top:1247;width:184;height:131" type="#_x0000_t75" stroked="false">
              <v:imagedata r:id="rId160" o:title=""/>
            </v:shape>
            <v:shape style="position:absolute;left:7678;top:977;width:70;height:54" coordorigin="7679,977" coordsize="70,54" path="m7748,1031l7679,1031,7716,977,7748,1031xe" filled="true" fillcolor="#0000ff" stroked="false">
              <v:path arrowok="t"/>
              <v:fill type="solid"/>
            </v:shape>
            <v:shape style="position:absolute;left:7678;top:977;width:70;height:54" coordorigin="7679,977" coordsize="70,54" path="m7716,977l7748,1031,7679,1031,7716,977xe" filled="false" stroked="true" strokeweight=".816908pt" strokecolor="#0000ff">
              <v:path arrowok="t"/>
              <v:stroke dashstyle="solid"/>
            </v:shape>
            <v:shape style="position:absolute;left:7372;top:1226;width:70;height:54" coordorigin="7372,1227" coordsize="70,54" path="m7442,1280l7372,1280,7409,1227,7442,1280xe" filled="true" fillcolor="#0000ff" stroked="false">
              <v:path arrowok="t"/>
              <v:fill type="solid"/>
            </v:shape>
            <v:shape style="position:absolute;left:7372;top:1226;width:70;height:54" coordorigin="7372,1227" coordsize="70,54" path="m7409,1227l7442,1280,7372,1280,7409,1227xe" filled="false" stroked="true" strokeweight=".816908pt" strokecolor="#0000ff">
              <v:path arrowok="t"/>
              <v:stroke dashstyle="solid"/>
            </v:shape>
            <v:shape style="position:absolute;left:6657;top:1410;width:66;height:54" coordorigin="6658,1410" coordsize="66,54" path="m6723,1463l6658,1463,6690,1410,6723,1463xe" filled="true" fillcolor="#0000ff" stroked="false">
              <v:path arrowok="t"/>
              <v:fill type="solid"/>
            </v:shape>
            <v:shape style="position:absolute;left:6657;top:1410;width:66;height:54" coordorigin="6658,1410" coordsize="66,54" path="m6690,1410l6723,1463,6658,1463,6690,1410xe" filled="false" stroked="true" strokeweight=".816913pt" strokecolor="#0000ff">
              <v:path arrowok="t"/>
              <v:stroke dashstyle="solid"/>
            </v:shape>
            <v:shape style="position:absolute;left:6012;top:1679;width:172;height:164" type="#_x0000_t75" stroked="false">
              <v:imagedata r:id="rId161" o:title=""/>
            </v:shape>
            <v:shape style="position:absolute;left:6220;top:2337;width:66;height:54" coordorigin="6220,2337" coordsize="66,54" path="m6286,2391l6220,2391,6253,2337,6286,2391xe" filled="true" fillcolor="#0000ff" stroked="false">
              <v:path arrowok="t"/>
              <v:fill type="solid"/>
            </v:shape>
            <v:shape style="position:absolute;left:6220;top:2337;width:66;height:54" coordorigin="6220,2337" coordsize="66,54" path="m6253,2337l6286,2391,6220,2391,6253,2337xe" filled="false" stroked="true" strokeweight=".816913pt" strokecolor="#0000ff">
              <v:path arrowok="t"/>
              <v:stroke dashstyle="solid"/>
            </v:shape>
            <v:shape style="position:absolute;left:6012;top:2398;width:70;height:54" coordorigin="6012,2399" coordsize="70,54" path="m6082,2452l6012,2452,6045,2399,6082,2452xe" filled="true" fillcolor="#0000ff" stroked="false">
              <v:path arrowok="t"/>
              <v:fill type="solid"/>
            </v:shape>
            <v:shape style="position:absolute;left:6012;top:2398;width:70;height:54" coordorigin="6012,2399" coordsize="70,54" path="m6045,2399l6082,2452,6012,2452,6045,2399xe" filled="false" stroked="true" strokeweight=".816908pt" strokecolor="#0000ff">
              <v:path arrowok="t"/>
              <v:stroke dashstyle="solid"/>
            </v:shape>
            <v:shape style="position:absolute;left:5905;top:2366;width:70;height:54" coordorigin="5906,2366" coordsize="70,54" path="m5975,2419l5906,2419,5939,2366,5975,2419xe" filled="true" fillcolor="#0000ff" stroked="false">
              <v:path arrowok="t"/>
              <v:fill type="solid"/>
            </v:shape>
            <v:shape style="position:absolute;left:5905;top:2366;width:70;height:54" coordorigin="5906,2366" coordsize="70,54" path="m5939,2366l5975,2419,5906,2419,5939,2366xe" filled="false" stroked="true" strokeweight=".816908pt" strokecolor="#0000ff">
              <v:path arrowok="t"/>
              <v:stroke dashstyle="solid"/>
            </v:shape>
            <v:shape style="position:absolute;left:5333;top:2643;width:70;height:54" coordorigin="5334,2644" coordsize="70,54" path="m5403,2697l5334,2697,5371,2644,5403,2697xe" filled="true" fillcolor="#0000ff" stroked="false">
              <v:path arrowok="t"/>
              <v:fill type="solid"/>
            </v:shape>
            <v:shape style="position:absolute;left:5333;top:2643;width:70;height:54" coordorigin="5334,2644" coordsize="70,54" path="m5371,2644l5403,2697,5334,2697,5371,2644xe" filled="false" stroked="true" strokeweight=".816908pt" strokecolor="#0000ff">
              <v:path arrowok="t"/>
              <v:stroke dashstyle="solid"/>
            </v:shape>
            <v:shape style="position:absolute;left:5068;top:2770;width:66;height:50" coordorigin="5068,2770" coordsize="66,50" path="m5134,2819l5068,2819,5101,2770,5134,2819xe" filled="true" fillcolor="#0000ff" stroked="false">
              <v:path arrowok="t"/>
              <v:fill type="solid"/>
            </v:shape>
            <v:shape style="position:absolute;left:5068;top:2770;width:66;height:50" coordorigin="5068,2770" coordsize="66,50" path="m5101,2770l5134,2819,5068,2819,5101,2770xe" filled="false" stroked="true" strokeweight=".816906pt" strokecolor="#0000ff">
              <v:path arrowok="t"/>
              <v:stroke dashstyle="solid"/>
            </v:shape>
            <v:shape style="position:absolute;left:4688;top:3076;width:70;height:54" coordorigin="4688,3077" coordsize="70,54" path="m4758,3130l4688,3130,4725,3077,4758,3130xe" filled="true" fillcolor="#0000ff" stroked="false">
              <v:path arrowok="t"/>
              <v:fill type="solid"/>
            </v:shape>
            <v:shape style="position:absolute;left:4688;top:3076;width:70;height:54" coordorigin="4688,3077" coordsize="70,54" path="m4725,3077l4758,3130,4688,3130,4725,3077xe" filled="false" stroked="true" strokeweight=".816908pt" strokecolor="#0000ff">
              <v:path arrowok="t"/>
              <v:stroke dashstyle="solid"/>
            </v:shape>
            <v:shape style="position:absolute;left:4026;top:3109;width:66;height:54" coordorigin="4027,3109" coordsize="66,54" path="m4092,3163l4027,3163,4059,3109,4092,3163xe" filled="true" fillcolor="#0000ff" stroked="false">
              <v:path arrowok="t"/>
              <v:fill type="solid"/>
            </v:shape>
            <v:shape style="position:absolute;left:4026;top:3109;width:66;height:54" coordorigin="4027,3109" coordsize="66,54" path="m4059,3109l4092,3163,4027,3163,4059,3109xe" filled="false" stroked="true" strokeweight=".816913pt" strokecolor="#0000ff">
              <v:path arrowok="t"/>
              <v:stroke dashstyle="solid"/>
            </v:shape>
            <v:shape style="position:absolute;left:3601;top:3415;width:70;height:54" coordorigin="3602,3416" coordsize="70,54" path="m3671,3469l3602,3469,3639,3416,3671,3469xe" filled="true" fillcolor="#0000ff" stroked="false">
              <v:path arrowok="t"/>
              <v:fill type="solid"/>
            </v:shape>
            <v:shape style="position:absolute;left:3601;top:3415;width:70;height:54" coordorigin="3602,3416" coordsize="70,54" path="m3639,3416l3671,3469,3602,3469,3639,3416xe" filled="false" stroked="true" strokeweight=".816908pt" strokecolor="#0000ff">
              <v:path arrowok="t"/>
              <v:stroke dashstyle="solid"/>
            </v:shape>
            <v:shape style="position:absolute;left:3262;top:3448;width:66;height:54" coordorigin="3263,3448" coordsize="66,54" path="m3328,3501l3263,3501,3295,3448,3328,3501xe" filled="true" fillcolor="#0000ff" stroked="false">
              <v:path arrowok="t"/>
              <v:fill type="solid"/>
            </v:shape>
            <v:shape style="position:absolute;left:3262;top:3448;width:66;height:54" coordorigin="3263,3448" coordsize="66,54" path="m3295,3448l3328,3501,3263,3501,3295,3448xe" filled="false" stroked="true" strokeweight=".816913pt" strokecolor="#0000ff">
              <v:path arrowok="t"/>
              <v:stroke dashstyle="solid"/>
            </v:shape>
            <v:shape style="position:absolute;left:7756;top:1132;width:66;height:54" coordorigin="7756,1133" coordsize="66,54" path="m7822,1186l7756,1186,7789,1133,7822,1186xe" filled="true" fillcolor="#0000ff" stroked="false">
              <v:path arrowok="t"/>
              <v:fill type="solid"/>
            </v:shape>
            <v:shape style="position:absolute;left:7756;top:1132;width:66;height:54" coordorigin="7756,1133" coordsize="66,54" path="m7789,1133l7822,1186,7756,1186,7789,1133xe" filled="false" stroked="true" strokeweight=".816913pt" strokecolor="#0000ff">
              <v:path arrowok="t"/>
              <v:stroke dashstyle="solid"/>
            </v:shape>
            <v:shape style="position:absolute;left:8160;top:887;width:66;height:54" coordorigin="8161,888" coordsize="66,54" path="m8226,941l8161,941,8194,888,8226,941xe" filled="true" fillcolor="#0000ff" stroked="false">
              <v:path arrowok="t"/>
              <v:fill type="solid"/>
            </v:shape>
            <v:shape style="position:absolute;left:8160;top:887;width:66;height:54" coordorigin="8161,888" coordsize="66,54" path="m8194,888l8226,941,8161,941,8194,888xe" filled="false" stroked="true" strokeweight=".816913pt" strokecolor="#0000ff">
              <v:path arrowok="t"/>
              <v:stroke dashstyle="solid"/>
            </v:shape>
            <v:shape style="position:absolute;left:8695;top:609;width:66;height:54" coordorigin="8696,610" coordsize="66,54" path="m8761,663l8696,663,8729,610,8761,663xe" filled="true" fillcolor="#0000ff" stroked="false">
              <v:path arrowok="t"/>
              <v:fill type="solid"/>
            </v:shape>
            <v:shape style="position:absolute;left:8695;top:609;width:66;height:54" coordorigin="8696,610" coordsize="66,54" path="m8729,610l8761,663,8696,663,8729,610xe" filled="false" stroked="true" strokeweight=".816913pt" strokecolor="#0000ff">
              <v:path arrowok="t"/>
              <v:stroke dashstyle="solid"/>
            </v:shape>
            <v:shape style="position:absolute;left:9222;top:483;width:66;height:54" coordorigin="9223,483" coordsize="66,54" path="m9288,536l9223,536,9256,483,9288,536xe" filled="true" fillcolor="#0000ff" stroked="false">
              <v:path arrowok="t"/>
              <v:fill type="solid"/>
            </v:shape>
            <v:shape style="position:absolute;left:9222;top:483;width:66;height:54" coordorigin="9223,483" coordsize="66,54" path="m9256,483l9288,536,9223,536,9256,483xe" filled="false" stroked="true" strokeweight=".816913pt" strokecolor="#0000ff">
              <v:path arrowok="t"/>
              <v:stroke dashstyle="solid"/>
            </v:shape>
            <v:shape style="position:absolute;left:7139;top:1626;width:66;height:54" coordorigin="7140,1627" coordsize="66,54" path="m7205,1680l7140,1680,7172,1627,7205,1680xe" filled="true" fillcolor="#0000ff" stroked="false">
              <v:path arrowok="t"/>
              <v:fill type="solid"/>
            </v:shape>
            <v:shape style="position:absolute;left:7139;top:1626;width:66;height:54" coordorigin="7140,1627" coordsize="66,54" path="m7172,1627l7205,1680,7140,1680,7172,1627xe" filled="false" stroked="true" strokeweight=".816913pt" strokecolor="#0000ff">
              <v:path arrowok="t"/>
              <v:stroke dashstyle="solid"/>
            </v:shape>
            <v:shape style="position:absolute;left:6673;top:1904;width:66;height:54" coordorigin="6674,1905" coordsize="66,54" path="m6739,1958l6674,1958,6707,1905,6739,1958xe" filled="true" fillcolor="#0000ff" stroked="false">
              <v:path arrowok="t"/>
              <v:fill type="solid"/>
            </v:shape>
            <v:shape style="position:absolute;left:6673;top:1904;width:66;height:54" coordorigin="6674,1905" coordsize="66,54" path="m6707,1905l6739,1958,6674,1958,6707,1905xe" filled="false" stroked="true" strokeweight=".816913pt" strokecolor="#0000ff">
              <v:path arrowok="t"/>
              <v:stroke dashstyle="solid"/>
            </v:shape>
            <v:shape style="position:absolute;left:6641;top:1904;width:70;height:54" coordorigin="6641,1905" coordsize="70,54" path="m6711,1958l6641,1958,6674,1905,6711,1958xe" filled="true" fillcolor="#0000ff" stroked="false">
              <v:path arrowok="t"/>
              <v:fill type="solid"/>
            </v:shape>
            <v:shape style="position:absolute;left:6641;top:1904;width:70;height:54" coordorigin="6641,1905" coordsize="70,54" path="m6674,1905l6711,1958,6641,1958,6674,1905xe" filled="false" stroked="true" strokeweight=".816908pt" strokecolor="#0000ff">
              <v:path arrowok="t"/>
              <v:stroke dashstyle="solid"/>
            </v:shape>
            <v:shape style="position:absolute;left:7021;top:1532;width:70;height:54" coordorigin="7021,1533" coordsize="70,54" path="m7091,1586l7021,1586,7058,1533,7091,1586xe" filled="true" fillcolor="#0000ff" stroked="false">
              <v:path arrowok="t"/>
              <v:fill type="solid"/>
            </v:shape>
            <v:shape style="position:absolute;left:7021;top:1532;width:70;height:54" coordorigin="7021,1533" coordsize="70,54" path="m7058,1533l7091,1586,7021,1586,7058,1533xe" filled="false" stroked="true" strokeweight=".816908pt" strokecolor="#0000ff">
              <v:path arrowok="t"/>
              <v:stroke dashstyle="solid"/>
            </v:shape>
            <v:shape style="position:absolute;left:7740;top:1226;width:66;height:54" coordorigin="7740,1227" coordsize="66,54" path="m7805,1280l7740,1280,7773,1227,7805,1280xe" filled="true" fillcolor="#0000ff" stroked="false">
              <v:path arrowok="t"/>
              <v:fill type="solid"/>
            </v:shape>
            <v:shape style="position:absolute;left:7740;top:1226;width:66;height:54" coordorigin="7740,1227" coordsize="66,54" path="m7773,1227l7805,1280,7740,1280,7773,1227xe" filled="false" stroked="true" strokeweight=".816913pt" strokecolor="#0000ff">
              <v:path arrowok="t"/>
              <v:stroke dashstyle="solid"/>
            </v:shape>
            <v:shape style="position:absolute;left:2801;top:3329;width:384;height:103" type="#_x0000_t75" stroked="false">
              <v:imagedata r:id="rId162" o:title=""/>
            </v:shape>
            <v:shape style="position:absolute;left:3299;top:3187;width:384;height:119" type="#_x0000_t75" stroked="false">
              <v:imagedata r:id="rId163" o:title=""/>
            </v:shape>
            <v:line style="position:absolute" from="3806,3150" to="3814,3146" stroked="true" strokeweight=".408439pt" strokecolor="#0000ff">
              <v:stroke dashstyle="solid"/>
            </v:line>
            <v:line style="position:absolute" from="3814,3146" to="3835,3142" stroked="true" strokeweight=".408424pt" strokecolor="#0000ff">
              <v:stroke dashstyle="solid"/>
            </v:line>
            <v:line style="position:absolute" from="3835,3142" to="3855,3134" stroked="true" strokeweight=".408433pt" strokecolor="#0000ff">
              <v:stroke dashstyle="solid"/>
            </v:line>
            <v:line style="position:absolute" from="3855,3134" to="3876,3126" stroked="true" strokeweight=".408433pt" strokecolor="#0000ff">
              <v:stroke dashstyle="solid"/>
            </v:line>
            <v:line style="position:absolute" from="3876,3126" to="3896,3122" stroked="true" strokeweight=".408424pt" strokecolor="#0000ff">
              <v:stroke dashstyle="solid"/>
            </v:line>
            <v:line style="position:absolute" from="3896,3122" to="3912,3113" stroked="true" strokeweight=".408439pt" strokecolor="#0000ff">
              <v:stroke dashstyle="solid"/>
            </v:line>
            <v:line style="position:absolute" from="3912,3113" to="3933,3105" stroked="true" strokeweight=".408433pt" strokecolor="#0000ff">
              <v:stroke dashstyle="solid"/>
            </v:line>
            <v:line style="position:absolute" from="3933,3105" to="3953,3101" stroked="true" strokeweight=".408424pt" strokecolor="#0000ff">
              <v:stroke dashstyle="solid"/>
            </v:line>
            <v:line style="position:absolute" from="3953,3101" to="3974,3093" stroked="true" strokeweight=".408433pt" strokecolor="#0000ff">
              <v:stroke dashstyle="solid"/>
            </v:line>
            <v:line style="position:absolute" from="3974,3093" to="3994,3085" stroked="true" strokeweight=".408433pt" strokecolor="#0000ff">
              <v:stroke dashstyle="solid"/>
            </v:line>
            <v:line style="position:absolute" from="3994,3085" to="4010,3081" stroked="true" strokeweight=".408426pt" strokecolor="#0000ff">
              <v:stroke dashstyle="solid"/>
            </v:line>
            <v:line style="position:absolute" from="4010,3081" to="4031,3073" stroked="true" strokeweight=".408433pt" strokecolor="#0000ff">
              <v:stroke dashstyle="solid"/>
            </v:line>
            <v:line style="position:absolute" from="4031,3073" to="4051,3069" stroked="true" strokeweight=".408424pt" strokecolor="#0000ff">
              <v:stroke dashstyle="solid"/>
            </v:line>
            <v:line style="position:absolute" from="4051,3069" to="4072,3060" stroked="true" strokeweight=".408433pt" strokecolor="#0000ff">
              <v:stroke dashstyle="solid"/>
            </v:line>
            <v:line style="position:absolute" from="4072,3060" to="4092,3052" stroked="true" strokeweight=".408433pt" strokecolor="#0000ff">
              <v:stroke dashstyle="solid"/>
            </v:line>
            <v:line style="position:absolute" from="4092,3052" to="4112,3044" stroked="true" strokeweight=".408433pt" strokecolor="#0000ff">
              <v:stroke dashstyle="solid"/>
            </v:line>
            <v:line style="position:absolute" from="4112,3044" to="4129,3040" stroked="true" strokeweight=".408426pt" strokecolor="#0000ff">
              <v:stroke dashstyle="solid"/>
            </v:line>
            <v:line style="position:absolute" from="4129,3040" to="4149,3032" stroked="true" strokeweight=".408433pt" strokecolor="#0000ff">
              <v:stroke dashstyle="solid"/>
            </v:line>
            <v:line style="position:absolute" from="4149,3032" to="4170,3024" stroked="true" strokeweight=".408433pt" strokecolor="#0000ff">
              <v:stroke dashstyle="solid"/>
            </v:line>
            <v:line style="position:absolute" from="4170,3024" to="4178,3020" stroked="true" strokeweight=".408439pt" strokecolor="#0000ff">
              <v:stroke dashstyle="solid"/>
            </v:line>
            <v:shape style="position:absolute;left:4304;top:2827;width:380;height:152" type="#_x0000_t75" stroked="false">
              <v:imagedata r:id="rId164" o:title=""/>
            </v:shape>
            <v:shape style="position:absolute;left:4798;top:2619;width:384;height:168" type="#_x0000_t75" stroked="false">
              <v:imagedata r:id="rId165" o:title=""/>
            </v:shape>
            <v:shape style="position:absolute;left:5301;top:2394;width:384;height:180" type="#_x0000_t75" stroked="false">
              <v:imagedata r:id="rId166" o:title=""/>
            </v:shape>
            <v:line style="position:absolute" from="5804,2342" to="5824,2333" stroked="true" strokeweight=".408433pt" strokecolor="#0000ff">
              <v:stroke dashstyle="solid"/>
            </v:line>
            <v:line style="position:absolute" from="5824,2333" to="5845,2325" stroked="true" strokeweight=".408433pt" strokecolor="#0000ff">
              <v:stroke dashstyle="solid"/>
            </v:line>
            <v:line style="position:absolute" from="5845,2325" to="5865,2313" stroked="true" strokeweight=".408444pt" strokecolor="#0000ff">
              <v:stroke dashstyle="solid"/>
            </v:line>
            <v:line style="position:absolute" from="5865,2313" to="5881,2305" stroked="true" strokeweight=".408439pt" strokecolor="#0000ff">
              <v:stroke dashstyle="solid"/>
            </v:line>
            <v:line style="position:absolute" from="5881,2305" to="5902,2297" stroked="true" strokeweight=".408433pt" strokecolor="#0000ff">
              <v:stroke dashstyle="solid"/>
            </v:line>
            <v:line style="position:absolute" from="5902,2297" to="5922,2284" stroked="true" strokeweight=".408444pt" strokecolor="#0000ff">
              <v:stroke dashstyle="solid"/>
            </v:line>
            <v:line style="position:absolute" from="5922,2284" to="5943,2276" stroked="true" strokeweight=".408433pt" strokecolor="#0000ff">
              <v:stroke dashstyle="solid"/>
            </v:line>
            <v:line style="position:absolute" from="5943,2276" to="5963,2268" stroked="true" strokeweight=".408433pt" strokecolor="#0000ff">
              <v:stroke dashstyle="solid"/>
            </v:line>
            <v:line style="position:absolute" from="5963,2268" to="5983,2256" stroked="true" strokeweight=".408444pt" strokecolor="#0000ff">
              <v:stroke dashstyle="solid"/>
            </v:line>
            <v:line style="position:absolute" from="5983,2256" to="6000,2248" stroked="true" strokeweight=".408439pt" strokecolor="#0000ff">
              <v:stroke dashstyle="solid"/>
            </v:line>
            <v:line style="position:absolute" from="6000,2248" to="6020,2239" stroked="true" strokeweight=".408433pt" strokecolor="#0000ff">
              <v:stroke dashstyle="solid"/>
            </v:line>
            <v:line style="position:absolute" from="6020,2239" to="6041,2227" stroked="true" strokeweight=".408444pt" strokecolor="#0000ff">
              <v:stroke dashstyle="solid"/>
            </v:line>
            <v:line style="position:absolute" from="6041,2227" to="6061,2219" stroked="true" strokeweight=".408433pt" strokecolor="#0000ff">
              <v:stroke dashstyle="solid"/>
            </v:line>
            <v:line style="position:absolute" from="6061,2219" to="6082,2211" stroked="true" strokeweight=".408433pt" strokecolor="#0000ff">
              <v:stroke dashstyle="solid"/>
            </v:line>
            <v:line style="position:absolute" from="6082,2211" to="6098,2199" stroked="true" strokeweight=".408453pt" strokecolor="#0000ff">
              <v:stroke dashstyle="solid"/>
            </v:line>
            <v:line style="position:absolute" from="6098,2199" to="6118,2190" stroked="true" strokeweight=".408433pt" strokecolor="#0000ff">
              <v:stroke dashstyle="solid"/>
            </v:line>
            <v:line style="position:absolute" from="6118,2190" to="6139,2182" stroked="true" strokeweight=".408433pt" strokecolor="#0000ff">
              <v:stroke dashstyle="solid"/>
            </v:line>
            <v:line style="position:absolute" from="6139,2182" to="6159,2170" stroked="true" strokeweight=".408444pt" strokecolor="#0000ff">
              <v:stroke dashstyle="solid"/>
            </v:line>
            <v:line style="position:absolute" from="6159,2170" to="6180,2162" stroked="true" strokeweight=".408433pt" strokecolor="#0000ff">
              <v:stroke dashstyle="solid"/>
            </v:line>
            <v:line style="position:absolute" from="6180,2162" to="6180,2162" stroked="true" strokeweight=".408421pt" strokecolor="#0000ff">
              <v:stroke dashstyle="solid"/>
            </v:line>
            <v:line style="position:absolute" from="6306,2097" to="6314,2092" stroked="true" strokeweight=".408439pt" strokecolor="#0000ff">
              <v:stroke dashstyle="solid"/>
            </v:line>
            <v:line style="position:absolute" from="6314,2092" to="6335,2084" stroked="true" strokeweight=".408433pt" strokecolor="#0000ff">
              <v:stroke dashstyle="solid"/>
            </v:line>
            <v:line style="position:absolute" from="6335,2084" to="6355,2072" stroked="true" strokeweight=".408444pt" strokecolor="#0000ff">
              <v:stroke dashstyle="solid"/>
            </v:line>
            <v:line style="position:absolute" from="6355,2072" to="6376,2064" stroked="true" strokeweight=".408433pt" strokecolor="#0000ff">
              <v:stroke dashstyle="solid"/>
            </v:line>
            <v:line style="position:absolute" from="6376,2064" to="6396,2052" stroked="true" strokeweight=".408444pt" strokecolor="#0000ff">
              <v:stroke dashstyle="solid"/>
            </v:line>
            <v:line style="position:absolute" from="6396,2052" to="6416,2043" stroked="true" strokeweight=".408433pt" strokecolor="#0000ff">
              <v:stroke dashstyle="solid"/>
            </v:line>
            <v:line style="position:absolute" from="6416,2043" to="6433,2031" stroked="true" strokeweight=".408453pt" strokecolor="#0000ff">
              <v:stroke dashstyle="solid"/>
            </v:line>
            <v:line style="position:absolute" from="6433,2031" to="6453,2023" stroked="true" strokeweight=".408433pt" strokecolor="#0000ff">
              <v:stroke dashstyle="solid"/>
            </v:line>
            <v:line style="position:absolute" from="6453,2023" to="6474,2011" stroked="true" strokeweight=".408444pt" strokecolor="#0000ff">
              <v:stroke dashstyle="solid"/>
            </v:line>
            <v:line style="position:absolute" from="6474,2011" to="6494,2003" stroked="true" strokeweight=".408433pt" strokecolor="#0000ff">
              <v:stroke dashstyle="solid"/>
            </v:line>
            <v:line style="position:absolute" from="6494,2003" to="6515,1990" stroked="true" strokeweight=".408444pt" strokecolor="#0000ff">
              <v:stroke dashstyle="solid"/>
            </v:line>
            <v:line style="position:absolute" from="6515,1990" to="6531,1982" stroked="true" strokeweight=".408439pt" strokecolor="#0000ff">
              <v:stroke dashstyle="solid"/>
            </v:line>
            <v:line style="position:absolute" from="6531,1982" to="6551,1974" stroked="true" strokeweight=".408433pt" strokecolor="#0000ff">
              <v:stroke dashstyle="solid"/>
            </v:line>
            <v:line style="position:absolute" from="6551,1974" to="6572,1962" stroked="true" strokeweight=".408444pt" strokecolor="#0000ff">
              <v:stroke dashstyle="solid"/>
            </v:line>
            <v:line style="position:absolute" from="6572,1962" to="6592,1954" stroked="true" strokeweight=".408433pt" strokecolor="#0000ff">
              <v:stroke dashstyle="solid"/>
            </v:line>
            <v:line style="position:absolute" from="6592,1954" to="6613,1941" stroked="true" strokeweight=".408444pt" strokecolor="#0000ff">
              <v:stroke dashstyle="solid"/>
            </v:line>
            <v:line style="position:absolute" from="6613,1941" to="6633,1933" stroked="true" strokeweight=".408433pt" strokecolor="#0000ff">
              <v:stroke dashstyle="solid"/>
            </v:line>
            <v:line style="position:absolute" from="6633,1933" to="6649,1921" stroked="true" strokeweight=".408453pt" strokecolor="#0000ff">
              <v:stroke dashstyle="solid"/>
            </v:line>
            <v:line style="position:absolute" from="6649,1921" to="6670,1913" stroked="true" strokeweight=".408433pt" strokecolor="#0000ff">
              <v:stroke dashstyle="solid"/>
            </v:line>
            <v:line style="position:absolute" from="6670,1913" to="6678,1905" stroked="true" strokeweight=".408466pt" strokecolor="#0000ff">
              <v:stroke dashstyle="solid"/>
            </v:line>
            <v:line style="position:absolute" from="6805,1839" to="6809,1839" stroked="true" strokeweight=".408421pt" strokecolor="#0000ff">
              <v:stroke dashstyle="solid"/>
            </v:line>
            <v:line style="position:absolute" from="6809,1839" to="6829,1827" stroked="true" strokeweight=".408444pt" strokecolor="#0000ff">
              <v:stroke dashstyle="solid"/>
            </v:line>
            <v:line style="position:absolute" from="6829,1827" to="6850,1819" stroked="true" strokeweight=".408433pt" strokecolor="#0000ff">
              <v:stroke dashstyle="solid"/>
            </v:line>
            <v:line style="position:absolute" from="6850,1819" to="6866,1807" stroked="true" strokeweight=".408453pt" strokecolor="#0000ff">
              <v:stroke dashstyle="solid"/>
            </v:line>
            <v:line style="position:absolute" from="6866,1807" to="6886,1798" stroked="true" strokeweight=".408433pt" strokecolor="#0000ff">
              <v:stroke dashstyle="solid"/>
            </v:line>
            <v:line style="position:absolute" from="6886,1798" to="6907,1786" stroked="true" strokeweight=".408444pt" strokecolor="#0000ff">
              <v:stroke dashstyle="solid"/>
            </v:line>
            <v:line style="position:absolute" from="6907,1786" to="6927,1774" stroked="true" strokeweight=".408444pt" strokecolor="#0000ff">
              <v:stroke dashstyle="solid"/>
            </v:line>
            <v:line style="position:absolute" from="6927,1774" to="6948,1766" stroked="true" strokeweight=".408433pt" strokecolor="#0000ff">
              <v:stroke dashstyle="solid"/>
            </v:line>
            <v:line style="position:absolute" from="6948,1766" to="6964,1753" stroked="true" strokeweight=".408453pt" strokecolor="#0000ff">
              <v:stroke dashstyle="solid"/>
            </v:line>
            <v:line style="position:absolute" from="6964,1753" to="6984,1745" stroked="true" strokeweight=".408433pt" strokecolor="#0000ff">
              <v:stroke dashstyle="solid"/>
            </v:line>
            <v:line style="position:absolute" from="6984,1745" to="7005,1733" stroked="true" strokeweight=".408444pt" strokecolor="#0000ff">
              <v:stroke dashstyle="solid"/>
            </v:line>
            <v:line style="position:absolute" from="7005,1733" to="7025,1721" stroked="true" strokeweight=".408444pt" strokecolor="#0000ff">
              <v:stroke dashstyle="solid"/>
            </v:line>
            <v:line style="position:absolute" from="7025,1721" to="7046,1713" stroked="true" strokeweight=".408433pt" strokecolor="#0000ff">
              <v:stroke dashstyle="solid"/>
            </v:line>
            <v:line style="position:absolute" from="7046,1713" to="7066,1700" stroked="true" strokeweight=".408444pt" strokecolor="#0000ff">
              <v:stroke dashstyle="solid"/>
            </v:line>
            <v:line style="position:absolute" from="7066,1700" to="7082,1692" stroked="true" strokeweight=".408439pt" strokecolor="#0000ff">
              <v:stroke dashstyle="solid"/>
            </v:line>
            <v:line style="position:absolute" from="7082,1692" to="7103,1680" stroked="true" strokeweight=".408444pt" strokecolor="#0000ff">
              <v:stroke dashstyle="solid"/>
            </v:line>
            <v:line style="position:absolute" from="7103,1680" to="7123,1668" stroked="true" strokeweight=".408444pt" strokecolor="#0000ff">
              <v:stroke dashstyle="solid"/>
            </v:line>
            <v:line style="position:absolute" from="7123,1668" to="7144,1660" stroked="true" strokeweight=".408433pt" strokecolor="#0000ff">
              <v:stroke dashstyle="solid"/>
            </v:line>
            <v:line style="position:absolute" from="7144,1660" to="7164,1647" stroked="true" strokeweight=".408444pt" strokecolor="#0000ff">
              <v:stroke dashstyle="solid"/>
            </v:line>
            <v:line style="position:absolute" from="7164,1647" to="7180,1639" stroked="true" strokeweight=".408439pt" strokecolor="#0000ff">
              <v:stroke dashstyle="solid"/>
            </v:line>
            <v:shape style="position:absolute;left:7298;top:1353;width:384;height:221" type="#_x0000_t75" stroked="false">
              <v:imagedata r:id="rId167" o:title=""/>
            </v:shape>
            <v:line style="position:absolute" from="7805,1284" to="7814,1280" stroked="true" strokeweight=".408439pt" strokecolor="#0000ff">
              <v:stroke dashstyle="solid"/>
            </v:line>
            <v:line style="position:absolute" from="7814,1280" to="7834,1267" stroked="true" strokeweight=".408444pt" strokecolor="#0000ff">
              <v:stroke dashstyle="solid"/>
            </v:line>
            <v:line style="position:absolute" from="7834,1267" to="7850,1255" stroked="true" strokeweight=".408453pt" strokecolor="#0000ff">
              <v:stroke dashstyle="solid"/>
            </v:line>
            <v:line style="position:absolute" from="7850,1255" to="7871,1247" stroked="true" strokeweight=".408433pt" strokecolor="#0000ff">
              <v:stroke dashstyle="solid"/>
            </v:line>
            <v:line style="position:absolute" from="7871,1247" to="7891,1235" stroked="true" strokeweight=".408444pt" strokecolor="#0000ff">
              <v:stroke dashstyle="solid"/>
            </v:line>
            <v:line style="position:absolute" from="7891,1235" to="7912,1223" stroked="true" strokeweight=".408444pt" strokecolor="#0000ff">
              <v:stroke dashstyle="solid"/>
            </v:line>
            <v:line style="position:absolute" from="7912,1223" to="7932,1210" stroked="true" strokeweight=".408444pt" strokecolor="#0000ff">
              <v:stroke dashstyle="solid"/>
            </v:line>
            <v:line style="position:absolute" from="7932,1210" to="7952,1198" stroked="true" strokeweight=".408444pt" strokecolor="#0000ff">
              <v:stroke dashstyle="solid"/>
            </v:line>
            <v:line style="position:absolute" from="7952,1198" to="7969,1186" stroked="true" strokeweight=".408453pt" strokecolor="#0000ff">
              <v:stroke dashstyle="solid"/>
            </v:line>
            <v:line style="position:absolute" from="7969,1186" to="7989,1178" stroked="true" strokeweight=".408433pt" strokecolor="#0000ff">
              <v:stroke dashstyle="solid"/>
            </v:line>
            <v:line style="position:absolute" from="7989,1178" to="8010,1165" stroked="true" strokeweight=".408444pt" strokecolor="#0000ff">
              <v:stroke dashstyle="solid"/>
            </v:line>
            <v:line style="position:absolute" from="8010,1165" to="8030,1153" stroked="true" strokeweight=".408444pt" strokecolor="#0000ff">
              <v:stroke dashstyle="solid"/>
            </v:line>
            <v:line style="position:absolute" from="8030,1153" to="8051,1141" stroked="true" strokeweight=".408444pt" strokecolor="#0000ff">
              <v:stroke dashstyle="solid"/>
            </v:line>
            <v:line style="position:absolute" from="8051,1141" to="8067,1129" stroked="true" strokeweight=".408453pt" strokecolor="#0000ff">
              <v:stroke dashstyle="solid"/>
            </v:line>
            <v:line style="position:absolute" from="8067,1129" to="8087,1116" stroked="true" strokeweight=".408444pt" strokecolor="#0000ff">
              <v:stroke dashstyle="solid"/>
            </v:line>
            <v:line style="position:absolute" from="8087,1116" to="8108,1104" stroked="true" strokeweight=".408444pt" strokecolor="#0000ff">
              <v:stroke dashstyle="solid"/>
            </v:line>
            <v:line style="position:absolute" from="8108,1104" to="8128,1096" stroked="true" strokeweight=".408433pt" strokecolor="#0000ff">
              <v:stroke dashstyle="solid"/>
            </v:line>
            <v:line style="position:absolute" from="8128,1096" to="8149,1084" stroked="true" strokeweight=".408444pt" strokecolor="#0000ff">
              <v:stroke dashstyle="solid"/>
            </v:line>
            <v:line style="position:absolute" from="8149,1084" to="8169,1071" stroked="true" strokeweight=".408444pt" strokecolor="#0000ff">
              <v:stroke dashstyle="solid"/>
            </v:line>
            <v:line style="position:absolute" from="8169,1071" to="8181,1063" stroked="true" strokeweight=".408448pt" strokecolor="#0000ff">
              <v:stroke dashstyle="solid"/>
            </v:line>
            <v:shape style="position:absolute;left:8299;top:752;width:384;height:237" type="#_x0000_t75" stroked="false">
              <v:imagedata r:id="rId168" o:title=""/>
            </v:shape>
            <v:shape style="position:absolute;left:8802;top:434;width:380;height:250" type="#_x0000_t75" stroked="false">
              <v:imagedata r:id="rId169" o:title=""/>
            </v:shape>
            <v:shape style="position:absolute;left:9300;top:107;width:384;height:258" type="#_x0000_t75" stroked="false">
              <v:imagedata r:id="rId170" o:title=""/>
            </v:shape>
            <v:shape style="position:absolute;left:3132;top:401;width:70;height:54" coordorigin="3132,402" coordsize="70,54" path="m3202,455l3132,455,3165,402,3202,455xe" filled="true" fillcolor="#0000ff" stroked="false">
              <v:path arrowok="t"/>
              <v:fill type="solid"/>
            </v:shape>
            <v:shape style="position:absolute;left:3132;top:401;width:70;height:54" coordorigin="3132,402" coordsize="70,54" path="m3165,402l3202,455,3132,455,3165,402xe" filled="false" stroked="true" strokeweight=".816908pt" strokecolor="#0000ff">
              <v:path arrowok="t"/>
              <v:stroke dashstyle="solid"/>
            </v:shape>
            <v:shape style="position:absolute;left:2784;top:78;width:7104;height:3472" type="#_x0000_t202" filled="false" stroked="false">
              <v:textbox inset="0,0,0,0">
                <w:txbxContent>
                  <w:p>
                    <w:pPr>
                      <w:spacing w:line="240" w:lineRule="auto" w:before="3"/>
                      <w:rPr>
                        <w:i/>
                        <w:sz w:val="19"/>
                      </w:rPr>
                    </w:pPr>
                  </w:p>
                  <w:p>
                    <w:pPr>
                      <w:spacing w:line="255" w:lineRule="exact" w:before="1"/>
                      <w:ind w:left="665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sz w:val="23"/>
                      </w:rPr>
                      <w:t>SYP</w:t>
                    </w:r>
                  </w:p>
                  <w:p>
                    <w:pPr>
                      <w:spacing w:line="255" w:lineRule="exact" w:before="0"/>
                      <w:ind w:left="298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w w:val="99"/>
                        <w:position w:val="11"/>
                        <w:sz w:val="18"/>
                        <w:u w:val="single" w:color="0000FF"/>
                      </w:rPr>
                      <w:t> </w:t>
                    </w:r>
                    <w:r>
                      <w:rPr>
                        <w:position w:val="11"/>
                        <w:sz w:val="18"/>
                        <w:u w:val="single" w:color="0000FF"/>
                      </w:rPr>
                      <w:t>  </w:t>
                    </w:r>
                    <w:r>
                      <w:rPr>
                        <w:spacing w:val="-1"/>
                        <w:position w:val="11"/>
                        <w:sz w:val="18"/>
                        <w:u w:val="single" w:color="0000FF"/>
                      </w:rPr>
                      <w:t> </w:t>
                    </w:r>
                    <w:r>
                      <w:rPr>
                        <w:position w:val="11"/>
                        <w:sz w:val="18"/>
                      </w:rPr>
                      <w:t>   </w:t>
                    </w:r>
                    <w:r>
                      <w:rPr>
                        <w:spacing w:val="7"/>
                        <w:position w:val="11"/>
                        <w:sz w:val="18"/>
                      </w:rPr>
                      <w:t> </w:t>
                    </w:r>
                    <w:r>
                      <w:rPr>
                        <w:sz w:val="23"/>
                      </w:rPr>
                      <w:t>THOR</w:t>
                    </w:r>
                    <w:r>
                      <w:rPr>
                        <w:spacing w:val="-2"/>
                        <w:sz w:val="23"/>
                      </w:rPr>
                      <w:t> </w:t>
                    </w:r>
                    <w:r>
                      <w:rPr>
                        <w:sz w:val="23"/>
                      </w:rPr>
                      <w:t>CLT</w:t>
                    </w:r>
                    <w:r>
                      <w:rPr>
                        <w:spacing w:val="-6"/>
                        <w:sz w:val="23"/>
                      </w:rPr>
                      <w:t> </w:t>
                    </w:r>
                    <w:r>
                      <w:rPr>
                        <w:sz w:val="23"/>
                      </w:rPr>
                      <w:t>-</w:t>
                    </w:r>
                    <w:r>
                      <w:rPr>
                        <w:spacing w:val="-3"/>
                        <w:sz w:val="23"/>
                      </w:rPr>
                      <w:t> </w:t>
                    </w:r>
                    <w:r>
                      <w:rPr>
                        <w:sz w:val="23"/>
                      </w:rPr>
                      <w:t>SYP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18"/>
        </w:rPr>
        <w:t>14</w:t>
      </w:r>
    </w:p>
    <w:p>
      <w:pPr>
        <w:spacing w:before="39"/>
        <w:ind w:left="0" w:right="7191" w:firstLine="0"/>
        <w:jc w:val="right"/>
        <w:rPr>
          <w:sz w:val="18"/>
        </w:rPr>
      </w:pPr>
      <w:r>
        <w:rPr>
          <w:sz w:val="18"/>
        </w:rPr>
        <w:t>13</w:t>
      </w:r>
    </w:p>
    <w:p>
      <w:pPr>
        <w:spacing w:before="42"/>
        <w:ind w:left="0" w:right="7191" w:firstLine="0"/>
        <w:jc w:val="right"/>
        <w:rPr>
          <w:sz w:val="18"/>
        </w:rPr>
      </w:pPr>
      <w:r>
        <w:rPr>
          <w:sz w:val="18"/>
        </w:rPr>
        <w:t>12</w:t>
      </w:r>
    </w:p>
    <w:p>
      <w:pPr>
        <w:spacing w:before="38"/>
        <w:ind w:left="0" w:right="7191" w:firstLine="0"/>
        <w:jc w:val="right"/>
        <w:rPr>
          <w:sz w:val="18"/>
        </w:rPr>
      </w:pPr>
      <w:r>
        <w:rPr>
          <w:sz w:val="18"/>
        </w:rPr>
        <w:t>11</w:t>
      </w:r>
    </w:p>
    <w:p>
      <w:pPr>
        <w:spacing w:before="38"/>
        <w:ind w:left="0" w:right="7191" w:firstLine="0"/>
        <w:jc w:val="right"/>
        <w:rPr>
          <w:sz w:val="18"/>
        </w:rPr>
      </w:pPr>
      <w:r>
        <w:rPr>
          <w:sz w:val="18"/>
        </w:rPr>
        <w:t>10</w:t>
      </w:r>
    </w:p>
    <w:p>
      <w:pPr>
        <w:spacing w:before="42"/>
        <w:ind w:left="0" w:right="7163" w:firstLine="0"/>
        <w:jc w:val="right"/>
        <w:rPr>
          <w:sz w:val="18"/>
        </w:rPr>
      </w:pPr>
      <w:r>
        <w:rPr>
          <w:w w:val="99"/>
          <w:sz w:val="18"/>
        </w:rPr>
        <w:t>9</w:t>
      </w:r>
    </w:p>
    <w:p>
      <w:pPr>
        <w:spacing w:before="38"/>
        <w:ind w:left="0" w:right="7163" w:firstLine="0"/>
        <w:jc w:val="right"/>
        <w:rPr>
          <w:sz w:val="18"/>
        </w:rPr>
      </w:pPr>
      <w:r>
        <w:rPr>
          <w:w w:val="99"/>
          <w:sz w:val="18"/>
        </w:rPr>
        <w:t>8</w:t>
      </w:r>
    </w:p>
    <w:p>
      <w:pPr>
        <w:spacing w:before="42"/>
        <w:ind w:left="0" w:right="7163" w:firstLine="0"/>
        <w:jc w:val="right"/>
        <w:rPr>
          <w:sz w:val="18"/>
        </w:rPr>
      </w:pPr>
      <w:r>
        <w:rPr>
          <w:w w:val="99"/>
          <w:sz w:val="18"/>
        </w:rPr>
        <w:t>7</w:t>
      </w:r>
    </w:p>
    <w:p>
      <w:pPr>
        <w:spacing w:before="38"/>
        <w:ind w:left="0" w:right="7163" w:firstLine="0"/>
        <w:jc w:val="right"/>
        <w:rPr>
          <w:sz w:val="18"/>
        </w:rPr>
      </w:pPr>
      <w:r>
        <w:rPr>
          <w:w w:val="99"/>
          <w:sz w:val="18"/>
        </w:rPr>
        <w:t>6</w:t>
      </w:r>
    </w:p>
    <w:p>
      <w:pPr>
        <w:spacing w:before="43"/>
        <w:ind w:left="0" w:right="7163" w:firstLine="0"/>
        <w:jc w:val="right"/>
        <w:rPr>
          <w:sz w:val="18"/>
        </w:rPr>
      </w:pPr>
      <w:r>
        <w:rPr>
          <w:w w:val="99"/>
          <w:sz w:val="18"/>
        </w:rPr>
        <w:t>5</w:t>
      </w:r>
    </w:p>
    <w:p>
      <w:pPr>
        <w:spacing w:before="38"/>
        <w:ind w:left="0" w:right="7163" w:firstLine="0"/>
        <w:jc w:val="right"/>
        <w:rPr>
          <w:sz w:val="18"/>
        </w:rPr>
      </w:pPr>
      <w:r>
        <w:rPr>
          <w:w w:val="99"/>
          <w:sz w:val="18"/>
        </w:rPr>
        <w:t>4</w:t>
      </w:r>
    </w:p>
    <w:p>
      <w:pPr>
        <w:spacing w:before="42"/>
        <w:ind w:left="0" w:right="7163" w:firstLine="0"/>
        <w:jc w:val="right"/>
        <w:rPr>
          <w:sz w:val="18"/>
        </w:rPr>
      </w:pPr>
      <w:r>
        <w:rPr>
          <w:w w:val="99"/>
          <w:sz w:val="18"/>
        </w:rPr>
        <w:t>3</w:t>
      </w:r>
    </w:p>
    <w:p>
      <w:pPr>
        <w:spacing w:before="38"/>
        <w:ind w:left="0" w:right="7163" w:firstLine="0"/>
        <w:jc w:val="right"/>
        <w:rPr>
          <w:sz w:val="18"/>
        </w:rPr>
      </w:pPr>
      <w:r>
        <w:rPr>
          <w:w w:val="99"/>
          <w:sz w:val="18"/>
        </w:rPr>
        <w:t>2</w:t>
      </w:r>
    </w:p>
    <w:p>
      <w:pPr>
        <w:spacing w:before="38"/>
        <w:ind w:left="0" w:right="7163" w:firstLine="0"/>
        <w:jc w:val="right"/>
        <w:rPr>
          <w:sz w:val="18"/>
        </w:rPr>
      </w:pPr>
      <w:r>
        <w:rPr>
          <w:w w:val="99"/>
          <w:sz w:val="18"/>
        </w:rPr>
        <w:t>1</w:t>
      </w:r>
    </w:p>
    <w:p>
      <w:pPr>
        <w:spacing w:line="167" w:lineRule="exact" w:before="42"/>
        <w:ind w:left="0" w:right="7163" w:firstLine="0"/>
        <w:jc w:val="right"/>
        <w:rPr>
          <w:sz w:val="18"/>
        </w:rPr>
      </w:pPr>
      <w:r>
        <w:rPr>
          <w:w w:val="99"/>
          <w:sz w:val="18"/>
        </w:rPr>
        <w:t>0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</w:pPr>
    </w:p>
    <w:p>
      <w:pPr>
        <w:spacing w:before="1"/>
        <w:ind w:left="-4" w:right="0" w:firstLine="0"/>
        <w:jc w:val="left"/>
        <w:rPr>
          <w:sz w:val="18"/>
        </w:rPr>
      </w:pPr>
      <w:r>
        <w:rPr>
          <w:sz w:val="18"/>
        </w:rPr>
        <w:t>35</w:t>
      </w:r>
    </w:p>
    <w:p>
      <w:pPr>
        <w:spacing w:before="21"/>
        <w:ind w:left="9" w:right="0" w:firstLine="0"/>
        <w:jc w:val="left"/>
        <w:rPr>
          <w:sz w:val="18"/>
        </w:rPr>
      </w:pPr>
      <w:r>
        <w:rPr/>
        <w:pict>
          <v:shape style="position:absolute;margin-left:520.799072pt;margin-top:-4.477538pt;width:18.850pt;height:166.1pt;mso-position-horizontal-relative:page;mso-position-vertical-relative:paragraph;z-index:15834112" type="#_x0000_t202" filled="false" stroked="false">
            <v:textbox inset="0,0,0,0" style="layout-flow:vertical;mso-layout-flow-alt:bottom-to-top">
              <w:txbxContent>
                <w:p>
                  <w:pPr>
                    <w:spacing w:before="10"/>
                    <w:ind w:left="20" w:right="0" w:firstLine="0"/>
                    <w:jc w:val="left"/>
                    <w:rPr>
                      <w:sz w:val="26"/>
                    </w:rPr>
                  </w:pPr>
                  <w:r>
                    <w:rPr>
                      <w:sz w:val="26"/>
                    </w:rPr>
                    <w:t>Depth</w:t>
                  </w:r>
                  <w:r>
                    <w:rPr>
                      <w:spacing w:val="1"/>
                      <w:sz w:val="26"/>
                    </w:rPr>
                    <w:t> </w:t>
                  </w:r>
                  <w:r>
                    <w:rPr>
                      <w:sz w:val="26"/>
                    </w:rPr>
                    <w:t>of</w:t>
                  </w:r>
                  <w:r>
                    <w:rPr>
                      <w:spacing w:val="5"/>
                      <w:sz w:val="26"/>
                    </w:rPr>
                    <w:t> </w:t>
                  </w:r>
                  <w:r>
                    <w:rPr>
                      <w:sz w:val="26"/>
                    </w:rPr>
                    <w:t>Penetration</w:t>
                  </w:r>
                  <w:r>
                    <w:rPr>
                      <w:spacing w:val="2"/>
                      <w:sz w:val="26"/>
                    </w:rPr>
                    <w:t> </w:t>
                  </w:r>
                  <w:r>
                    <w:rPr>
                      <w:sz w:val="26"/>
                    </w:rPr>
                    <w:t>(T</w:t>
                  </w:r>
                  <w:r>
                    <w:rPr>
                      <w:position w:val="-5"/>
                      <w:sz w:val="19"/>
                    </w:rPr>
                    <w:t>w</w:t>
                  </w:r>
                  <w:r>
                    <w:rPr>
                      <w:sz w:val="26"/>
                    </w:rPr>
                    <w:t>)</w:t>
                  </w:r>
                  <w:r>
                    <w:rPr>
                      <w:spacing w:val="5"/>
                      <w:sz w:val="26"/>
                    </w:rPr>
                    <w:t> </w:t>
                  </w:r>
                  <w:r>
                    <w:rPr>
                      <w:sz w:val="26"/>
                    </w:rPr>
                    <w:t>(cm)</w:t>
                  </w:r>
                </w:p>
              </w:txbxContent>
            </v:textbox>
            <w10:wrap type="none"/>
          </v:shape>
        </w:pict>
      </w:r>
      <w:r>
        <w:rPr>
          <w:sz w:val="18"/>
        </w:rPr>
        <w:t>32.5</w:t>
      </w:r>
    </w:p>
    <w:p>
      <w:pPr>
        <w:spacing w:before="55"/>
        <w:ind w:left="4" w:right="0" w:firstLine="0"/>
        <w:jc w:val="left"/>
        <w:rPr>
          <w:sz w:val="18"/>
        </w:rPr>
      </w:pPr>
      <w:r>
        <w:rPr>
          <w:sz w:val="18"/>
        </w:rPr>
        <w:t>30</w:t>
      </w:r>
    </w:p>
    <w:p>
      <w:pPr>
        <w:spacing w:before="46"/>
        <w:ind w:left="21" w:right="0" w:firstLine="0"/>
        <w:jc w:val="left"/>
        <w:rPr>
          <w:sz w:val="18"/>
        </w:rPr>
      </w:pPr>
      <w:r>
        <w:rPr>
          <w:sz w:val="18"/>
        </w:rPr>
        <w:t>27.5</w:t>
      </w:r>
    </w:p>
    <w:p>
      <w:pPr>
        <w:spacing w:before="18"/>
        <w:ind w:left="4" w:right="0" w:firstLine="0"/>
        <w:jc w:val="left"/>
        <w:rPr>
          <w:sz w:val="18"/>
        </w:rPr>
      </w:pPr>
      <w:r>
        <w:rPr>
          <w:sz w:val="18"/>
        </w:rPr>
        <w:t>25</w:t>
      </w:r>
    </w:p>
    <w:p>
      <w:pPr>
        <w:spacing w:before="30"/>
        <w:ind w:left="21" w:right="0" w:firstLine="0"/>
        <w:jc w:val="left"/>
        <w:rPr>
          <w:sz w:val="18"/>
        </w:rPr>
      </w:pPr>
      <w:r>
        <w:rPr>
          <w:sz w:val="18"/>
        </w:rPr>
        <w:t>22.5</w:t>
      </w:r>
    </w:p>
    <w:p>
      <w:pPr>
        <w:spacing w:before="42"/>
        <w:ind w:left="17" w:right="0" w:firstLine="0"/>
        <w:jc w:val="left"/>
        <w:rPr>
          <w:sz w:val="18"/>
        </w:rPr>
      </w:pPr>
      <w:r>
        <w:rPr>
          <w:sz w:val="18"/>
        </w:rPr>
        <w:t>20</w:t>
      </w:r>
    </w:p>
    <w:p>
      <w:pPr>
        <w:spacing w:before="25"/>
        <w:ind w:left="17" w:right="0" w:firstLine="0"/>
        <w:jc w:val="left"/>
        <w:rPr>
          <w:sz w:val="18"/>
        </w:rPr>
      </w:pPr>
      <w:r>
        <w:rPr>
          <w:sz w:val="18"/>
        </w:rPr>
        <w:t>17.5</w:t>
      </w:r>
    </w:p>
    <w:p>
      <w:pPr>
        <w:spacing w:before="43"/>
        <w:ind w:left="17" w:right="0" w:firstLine="0"/>
        <w:jc w:val="left"/>
        <w:rPr>
          <w:sz w:val="18"/>
        </w:rPr>
      </w:pPr>
      <w:r>
        <w:rPr>
          <w:sz w:val="18"/>
        </w:rPr>
        <w:t>15</w:t>
      </w:r>
    </w:p>
    <w:p>
      <w:pPr>
        <w:spacing w:before="42"/>
        <w:ind w:left="17" w:right="0" w:firstLine="0"/>
        <w:jc w:val="left"/>
        <w:rPr>
          <w:sz w:val="18"/>
        </w:rPr>
      </w:pPr>
      <w:r>
        <w:rPr>
          <w:sz w:val="18"/>
        </w:rPr>
        <w:t>12.5</w:t>
      </w:r>
    </w:p>
    <w:p>
      <w:pPr>
        <w:spacing w:before="42"/>
        <w:ind w:left="17" w:right="0" w:firstLine="0"/>
        <w:jc w:val="left"/>
        <w:rPr>
          <w:sz w:val="18"/>
        </w:rPr>
      </w:pPr>
      <w:r>
        <w:rPr>
          <w:sz w:val="18"/>
        </w:rPr>
        <w:t>10</w:t>
      </w:r>
    </w:p>
    <w:p>
      <w:pPr>
        <w:spacing w:before="34"/>
        <w:ind w:left="17" w:right="0" w:firstLine="0"/>
        <w:jc w:val="left"/>
        <w:rPr>
          <w:sz w:val="18"/>
        </w:rPr>
      </w:pPr>
      <w:r>
        <w:rPr>
          <w:sz w:val="18"/>
        </w:rPr>
        <w:t>7.5</w:t>
      </w:r>
    </w:p>
    <w:p>
      <w:pPr>
        <w:spacing w:line="202" w:lineRule="exact" w:before="54"/>
        <w:ind w:left="17" w:right="0" w:firstLine="0"/>
        <w:jc w:val="left"/>
        <w:rPr>
          <w:sz w:val="18"/>
        </w:rPr>
      </w:pPr>
      <w:r>
        <w:rPr>
          <w:w w:val="99"/>
          <w:sz w:val="18"/>
        </w:rPr>
        <w:t>5</w:t>
      </w:r>
    </w:p>
    <w:p>
      <w:pPr>
        <w:spacing w:line="202" w:lineRule="exact" w:before="0"/>
        <w:ind w:left="17" w:right="0" w:firstLine="0"/>
        <w:jc w:val="left"/>
        <w:rPr>
          <w:sz w:val="18"/>
        </w:rPr>
      </w:pPr>
      <w:r>
        <w:rPr>
          <w:sz w:val="18"/>
        </w:rPr>
        <w:t>2.5</w:t>
      </w:r>
    </w:p>
    <w:p>
      <w:pPr>
        <w:spacing w:before="2"/>
        <w:ind w:left="17" w:right="0" w:firstLine="0"/>
        <w:jc w:val="left"/>
        <w:rPr>
          <w:sz w:val="18"/>
        </w:rPr>
      </w:pPr>
      <w:r>
        <w:rPr>
          <w:w w:val="99"/>
          <w:sz w:val="18"/>
        </w:rPr>
        <w:t>0</w:t>
      </w:r>
    </w:p>
    <w:p>
      <w:pPr>
        <w:spacing w:after="0"/>
        <w:jc w:val="left"/>
        <w:rPr>
          <w:sz w:val="18"/>
        </w:rPr>
        <w:sectPr>
          <w:type w:val="continuous"/>
          <w:pgSz w:w="12240" w:h="15840"/>
          <w:pgMar w:top="1380" w:bottom="280" w:left="1720" w:right="1020"/>
          <w:cols w:num="2" w:equalWidth="0">
            <w:col w:w="8186" w:space="40"/>
            <w:col w:w="1274"/>
          </w:cols>
        </w:sectPr>
      </w:pPr>
    </w:p>
    <w:p>
      <w:pPr>
        <w:tabs>
          <w:tab w:pos="1710" w:val="left" w:leader="none"/>
          <w:tab w:pos="2437" w:val="left" w:leader="none"/>
          <w:tab w:pos="3225" w:val="left" w:leader="none"/>
          <w:tab w:pos="4013" w:val="left" w:leader="none"/>
          <w:tab w:pos="4802" w:val="left" w:leader="none"/>
          <w:tab w:pos="5586" w:val="left" w:leader="none"/>
          <w:tab w:pos="6375" w:val="left" w:leader="none"/>
          <w:tab w:pos="7163" w:val="left" w:leader="none"/>
          <w:tab w:pos="7951" w:val="left" w:leader="none"/>
        </w:tabs>
        <w:spacing w:line="199" w:lineRule="exact" w:before="0"/>
        <w:ind w:left="921" w:right="0" w:firstLine="0"/>
        <w:jc w:val="left"/>
        <w:rPr>
          <w:sz w:val="18"/>
        </w:rPr>
      </w:pPr>
      <w:r>
        <w:rPr>
          <w:sz w:val="18"/>
        </w:rPr>
        <w:t>400</w:t>
        <w:tab/>
        <w:t>800</w:t>
        <w:tab/>
        <w:t>1200</w:t>
        <w:tab/>
        <w:t>1600</w:t>
        <w:tab/>
        <w:t>2000</w:t>
        <w:tab/>
        <w:t>2400</w:t>
        <w:tab/>
        <w:t>2800</w:t>
        <w:tab/>
        <w:t>3200</w:t>
        <w:tab/>
        <w:t>3600</w:t>
        <w:tab/>
        <w:t>4000</w:t>
      </w:r>
    </w:p>
    <w:p>
      <w:pPr>
        <w:pStyle w:val="Heading7"/>
        <w:spacing w:before="143"/>
        <w:ind w:left="3244" w:right="3343"/>
        <w:jc w:val="center"/>
      </w:pPr>
      <w:r>
        <w:rPr/>
        <w:t>Striking</w:t>
      </w:r>
      <w:r>
        <w:rPr>
          <w:spacing w:val="-13"/>
        </w:rPr>
        <w:t> </w:t>
      </w:r>
      <w:r>
        <w:rPr/>
        <w:t>Velocity</w:t>
      </w:r>
      <w:r>
        <w:rPr>
          <w:spacing w:val="-6"/>
        </w:rPr>
        <w:t> </w:t>
      </w:r>
      <w:r>
        <w:rPr/>
        <w:t>(V</w:t>
      </w:r>
      <w:r>
        <w:rPr>
          <w:position w:val="-5"/>
          <w:sz w:val="19"/>
        </w:rPr>
        <w:t>s</w:t>
      </w:r>
      <w:r>
        <w:rPr/>
        <w:t>)</w:t>
      </w:r>
      <w:r>
        <w:rPr>
          <w:spacing w:val="-6"/>
        </w:rPr>
        <w:t> </w:t>
      </w:r>
      <w:r>
        <w:rPr/>
        <w:t>(fps)</w:t>
      </w:r>
    </w:p>
    <w:p>
      <w:pPr>
        <w:spacing w:before="218"/>
        <w:ind w:left="1050" w:right="0" w:firstLine="0"/>
        <w:jc w:val="left"/>
        <w:rPr>
          <w:i/>
          <w:sz w:val="24"/>
        </w:rPr>
      </w:pPr>
      <w:bookmarkStart w:name="_bookmark87" w:id="317"/>
      <w:bookmarkEnd w:id="317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5-28.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THOR-based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CLT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model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recalibrated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SYP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data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only.</w:t>
      </w:r>
    </w:p>
    <w:p>
      <w:pPr>
        <w:spacing w:after="0"/>
        <w:jc w:val="left"/>
        <w:rPr>
          <w:sz w:val="24"/>
        </w:rPr>
        <w:sectPr>
          <w:type w:val="continuous"/>
          <w:pgSz w:w="12240" w:h="15840"/>
          <w:pgMar w:top="1380" w:bottom="280" w:left="1720" w:right="1020"/>
        </w:sectPr>
      </w:pPr>
    </w:p>
    <w:p>
      <w:pPr>
        <w:pStyle w:val="ListParagraph"/>
        <w:numPr>
          <w:ilvl w:val="2"/>
          <w:numId w:val="21"/>
        </w:numPr>
        <w:tabs>
          <w:tab w:pos="980" w:val="left" w:leader="none"/>
        </w:tabs>
        <w:spacing w:line="240" w:lineRule="auto" w:before="79" w:after="0"/>
        <w:ind w:left="980" w:right="0" w:hanging="540"/>
        <w:jc w:val="both"/>
        <w:rPr>
          <w:i/>
          <w:sz w:val="24"/>
        </w:rPr>
      </w:pPr>
      <w:bookmarkStart w:name="5.5.8 Empirical model comparison and rec" w:id="318"/>
      <w:bookmarkEnd w:id="318"/>
      <w:r>
        <w:rPr/>
      </w:r>
      <w:bookmarkStart w:name="5.5.8 Empirical model comparison and rec" w:id="319"/>
      <w:bookmarkEnd w:id="319"/>
      <w:r>
        <w:rPr>
          <w:i/>
          <w:sz w:val="24"/>
        </w:rPr>
        <w:t>E</w:t>
      </w:r>
      <w:r>
        <w:rPr>
          <w:i/>
          <w:sz w:val="24"/>
        </w:rPr>
        <w:t>mpirical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model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comparison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recommendations</w:t>
      </w:r>
    </w:p>
    <w:p>
      <w:pPr>
        <w:pStyle w:val="BodyText"/>
        <w:spacing w:before="7"/>
        <w:rPr>
          <w:i/>
          <w:sz w:val="22"/>
        </w:rPr>
      </w:pPr>
    </w:p>
    <w:p>
      <w:pPr>
        <w:pStyle w:val="BodyText"/>
        <w:spacing w:line="480" w:lineRule="auto"/>
        <w:ind w:left="439" w:right="416" w:firstLine="1440"/>
        <w:jc w:val="both"/>
      </w:pPr>
      <w:r>
        <w:rPr/>
        <w:t>When</w:t>
      </w:r>
      <w:r>
        <w:rPr>
          <w:spacing w:val="-4"/>
        </w:rPr>
        <w:t> </w:t>
      </w:r>
      <w:r>
        <w:rPr/>
        <w:t>investigating</w:t>
      </w:r>
      <w:r>
        <w:rPr>
          <w:spacing w:val="-4"/>
        </w:rPr>
        <w:t> </w:t>
      </w:r>
      <w:r>
        <w:rPr/>
        <w:t>a</w:t>
      </w:r>
      <w:r>
        <w:rPr>
          <w:spacing w:val="-3"/>
        </w:rPr>
        <w:t> </w:t>
      </w:r>
      <w:r>
        <w:rPr/>
        <w:t>new</w:t>
      </w:r>
      <w:r>
        <w:rPr>
          <w:spacing w:val="-3"/>
        </w:rPr>
        <w:t> </w:t>
      </w:r>
      <w:r>
        <w:rPr/>
        <w:t>material</w:t>
      </w:r>
      <w:r>
        <w:rPr>
          <w:spacing w:val="-3"/>
        </w:rPr>
        <w:t> </w:t>
      </w:r>
      <w:r>
        <w:rPr/>
        <w:t>for</w:t>
      </w:r>
      <w:r>
        <w:rPr>
          <w:spacing w:val="-3"/>
        </w:rPr>
        <w:t> </w:t>
      </w:r>
      <w:r>
        <w:rPr/>
        <w:t>ballistic</w:t>
      </w:r>
      <w:r>
        <w:rPr>
          <w:spacing w:val="-3"/>
        </w:rPr>
        <w:t> </w:t>
      </w:r>
      <w:r>
        <w:rPr/>
        <w:t>penetration</w:t>
      </w:r>
      <w:r>
        <w:rPr>
          <w:spacing w:val="-5"/>
        </w:rPr>
        <w:t> </w:t>
      </w:r>
      <w:r>
        <w:rPr/>
        <w:t>resistance,</w:t>
      </w:r>
      <w:r>
        <w:rPr>
          <w:spacing w:val="-4"/>
        </w:rPr>
        <w:t> </w:t>
      </w:r>
      <w:r>
        <w:rPr/>
        <w:t>such</w:t>
      </w:r>
      <w:r>
        <w:rPr>
          <w:spacing w:val="-57"/>
        </w:rPr>
        <w:t> </w:t>
      </w:r>
      <w:r>
        <w:rPr/>
        <w:t>as CLT, experimental testing is a critical first step.</w:t>
      </w:r>
      <w:r>
        <w:rPr>
          <w:spacing w:val="1"/>
        </w:rPr>
        <w:t> </w:t>
      </w:r>
      <w:r>
        <w:rPr/>
        <w:t>Testing helps build a database of</w:t>
      </w:r>
      <w:r>
        <w:rPr>
          <w:spacing w:val="1"/>
        </w:rPr>
        <w:t> </w:t>
      </w:r>
      <w:r>
        <w:rPr/>
        <w:t>parameters and responses, which can be used to develop empirical models either through</w:t>
      </w:r>
      <w:r>
        <w:rPr>
          <w:spacing w:val="1"/>
        </w:rPr>
        <w:t> </w:t>
      </w:r>
      <w:r>
        <w:rPr/>
        <w:t>curve-fitting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applying</w:t>
      </w:r>
      <w:r>
        <w:rPr>
          <w:spacing w:val="1"/>
        </w:rPr>
        <w:t> </w:t>
      </w:r>
      <w:r>
        <w:rPr/>
        <w:t>physics-based</w:t>
      </w:r>
      <w:r>
        <w:rPr>
          <w:spacing w:val="1"/>
        </w:rPr>
        <w:t> </w:t>
      </w:r>
      <w:r>
        <w:rPr/>
        <w:t>methods.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models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turn</w:t>
      </w:r>
      <w:r>
        <w:rPr>
          <w:spacing w:val="1"/>
        </w:rPr>
        <w:t> </w:t>
      </w:r>
      <w:r>
        <w:rPr/>
        <w:t>guide</w:t>
      </w:r>
      <w:r>
        <w:rPr>
          <w:spacing w:val="1"/>
        </w:rPr>
        <w:t> </w:t>
      </w:r>
      <w:r>
        <w:rPr/>
        <w:t>additional useful testing to help create addition models, eventually ideally leading to</w:t>
      </w:r>
      <w:r>
        <w:rPr>
          <w:spacing w:val="1"/>
        </w:rPr>
        <w:t> </w:t>
      </w:r>
      <w:r>
        <w:rPr/>
        <w:t>analytical models [126].</w:t>
      </w:r>
      <w:r>
        <w:rPr>
          <w:spacing w:val="1"/>
        </w:rPr>
        <w:t> </w:t>
      </w:r>
      <w:hyperlink w:history="true" w:anchor="_bookmark88">
        <w:r>
          <w:rPr/>
          <w:t>The classical penetration mechanics models of Euler-Robbins,</w:t>
        </w:r>
      </w:hyperlink>
      <w:r>
        <w:rPr>
          <w:spacing w:val="1"/>
        </w:rPr>
        <w:t> </w:t>
      </w:r>
      <w:hyperlink w:history="true" w:anchor="_bookmark88">
        <w:r>
          <w:rPr/>
          <w:t>Poncelet</w:t>
        </w:r>
        <w:r>
          <w:rPr>
            <w:spacing w:val="-12"/>
          </w:rPr>
          <w:t> </w:t>
        </w:r>
        <w:r>
          <w:rPr/>
          <w:t>and</w:t>
        </w:r>
        <w:r>
          <w:rPr>
            <w:spacing w:val="-13"/>
          </w:rPr>
          <w:t> </w:t>
        </w:r>
        <w:r>
          <w:rPr/>
          <w:t>Resal,</w:t>
        </w:r>
        <w:r>
          <w:rPr>
            <w:spacing w:val="-12"/>
          </w:rPr>
          <w:t> </w:t>
        </w:r>
        <w:r>
          <w:rPr/>
          <w:t>along</w:t>
        </w:r>
        <w:r>
          <w:rPr>
            <w:spacing w:val="-14"/>
          </w:rPr>
          <w:t> </w:t>
        </w:r>
        <w:r>
          <w:rPr/>
          <w:t>with</w:t>
        </w:r>
        <w:r>
          <w:rPr>
            <w:spacing w:val="-12"/>
          </w:rPr>
          <w:t> </w:t>
        </w:r>
        <w:r>
          <w:rPr/>
          <w:t>the</w:t>
        </w:r>
        <w:r>
          <w:rPr>
            <w:spacing w:val="-12"/>
          </w:rPr>
          <w:t> </w:t>
        </w:r>
        <w:r>
          <w:rPr/>
          <w:t>force</w:t>
        </w:r>
        <w:r>
          <w:rPr>
            <w:spacing w:val="-12"/>
          </w:rPr>
          <w:t> </w:t>
        </w:r>
        <w:r>
          <w:rPr/>
          <w:t>law</w:t>
        </w:r>
        <w:r>
          <w:rPr>
            <w:spacing w:val="-13"/>
          </w:rPr>
          <w:t> </w:t>
        </w:r>
        <w:r>
          <w:rPr/>
          <w:t>model</w:t>
        </w:r>
        <w:r>
          <w:rPr>
            <w:spacing w:val="-12"/>
          </w:rPr>
          <w:t> </w:t>
        </w:r>
        <w:r>
          <w:rPr/>
          <w:t>are</w:t>
        </w:r>
        <w:r>
          <w:rPr>
            <w:spacing w:val="-12"/>
          </w:rPr>
          <w:t> </w:t>
        </w:r>
        <w:r>
          <w:rPr/>
          <w:t>all</w:t>
        </w:r>
        <w:r>
          <w:rPr>
            <w:spacing w:val="-11"/>
          </w:rPr>
          <w:t> </w:t>
        </w:r>
        <w:r>
          <w:rPr/>
          <w:t>physics-based</w:t>
        </w:r>
        <w:r>
          <w:rPr>
            <w:spacing w:val="-12"/>
          </w:rPr>
          <w:t> </w:t>
        </w:r>
        <w:r>
          <w:rPr/>
          <w:t>empirical</w:t>
        </w:r>
        <w:r>
          <w:rPr>
            <w:spacing w:val="-12"/>
          </w:rPr>
          <w:t> </w:t>
        </w:r>
        <w:r>
          <w:rPr/>
          <w:t>models.</w:t>
        </w:r>
      </w:hyperlink>
      <w:r>
        <w:rPr>
          <w:spacing w:val="-58"/>
        </w:rPr>
        <w:t> </w:t>
      </w:r>
      <w:hyperlink w:history="true" w:anchor="_bookmark88">
        <w:r>
          <w:rPr/>
          <w:t>The force law model demonstrated the best fitting model both with the combined species</w:t>
        </w:r>
      </w:hyperlink>
      <w:r>
        <w:rPr>
          <w:spacing w:val="1"/>
        </w:rPr>
        <w:t> </w:t>
      </w:r>
      <w:hyperlink w:history="true" w:anchor="_bookmark88">
        <w:r>
          <w:rPr/>
          <w:t>data set and the individual species fit independently.</w:t>
        </w:r>
        <w:r>
          <w:rPr>
            <w:spacing w:val="1"/>
          </w:rPr>
          <w:t> </w:t>
        </w:r>
        <w:r>
          <w:rPr/>
          <w:t>The THOR models and the UFC</w:t>
        </w:r>
      </w:hyperlink>
      <w:r>
        <w:rPr>
          <w:spacing w:val="1"/>
        </w:rPr>
        <w:t> </w:t>
      </w:r>
      <w:hyperlink w:history="true" w:anchor="_bookmark88">
        <w:r>
          <w:rPr/>
          <w:t>model are curve-fitting empirical models.</w:t>
        </w:r>
        <w:r>
          <w:rPr>
            <w:spacing w:val="1"/>
          </w:rPr>
          <w:t> </w:t>
        </w:r>
        <w:r>
          <w:rPr/>
          <w:t>The THOR-based CLT model had a slightly</w:t>
        </w:r>
      </w:hyperlink>
      <w:r>
        <w:rPr>
          <w:spacing w:val="1"/>
        </w:rPr>
        <w:t> </w:t>
      </w:r>
      <w:hyperlink w:history="true" w:anchor="_bookmark88">
        <w:r>
          <w:rPr/>
          <w:t>better fit than the revised UFC equation, and both of those wood-specific models fit better</w:t>
        </w:r>
      </w:hyperlink>
      <w:r>
        <w:rPr>
          <w:spacing w:val="-58"/>
        </w:rPr>
        <w:t> </w:t>
      </w:r>
      <w:hyperlink w:history="true" w:anchor="_bookmark88">
        <w:r>
          <w:rPr/>
          <w:t>than the more general THOR model as they both incorporate specific wood characteristic</w:t>
        </w:r>
      </w:hyperlink>
      <w:r>
        <w:rPr>
          <w:spacing w:val="1"/>
        </w:rPr>
        <w:t> </w:t>
      </w:r>
      <w:hyperlink w:history="true" w:anchor="_bookmark88">
        <w:r>
          <w:rPr/>
          <w:t>variables.</w:t>
        </w:r>
      </w:hyperlink>
    </w:p>
    <w:p>
      <w:pPr>
        <w:pStyle w:val="BodyText"/>
        <w:spacing w:line="480" w:lineRule="auto" w:before="160"/>
        <w:ind w:left="440" w:right="417" w:firstLine="720"/>
        <w:jc w:val="both"/>
      </w:pPr>
      <w:hyperlink w:history="true" w:anchor="_bookmark88">
        <w:r>
          <w:rPr/>
          <w:t>Based on this dataset, it is recommended that the THOR CLT model be used for</w:t>
        </w:r>
      </w:hyperlink>
      <w:r>
        <w:rPr>
          <w:spacing w:val="1"/>
        </w:rPr>
        <w:t> </w:t>
      </w:r>
      <w:hyperlink w:history="true" w:anchor="_bookmark88">
        <w:r>
          <w:rPr/>
          <w:t>velocity ranges of 400 to 3,000 fps (120 to 910 m/s) given CLT of a thickness of 4-in. or</w:t>
        </w:r>
      </w:hyperlink>
      <w:r>
        <w:rPr>
          <w:spacing w:val="1"/>
        </w:rPr>
        <w:t> </w:t>
      </w:r>
      <w:hyperlink w:history="true" w:anchor="_bookmark88">
        <w:r>
          <w:rPr/>
          <w:t>thicker</w:t>
        </w:r>
        <w:r>
          <w:rPr>
            <w:spacing w:val="1"/>
          </w:rPr>
          <w:t> </w:t>
        </w:r>
        <w:r>
          <w:rPr/>
          <w:t>and</w:t>
        </w:r>
        <w:r>
          <w:rPr>
            <w:spacing w:val="1"/>
          </w:rPr>
          <w:t> </w:t>
        </w:r>
        <w:r>
          <w:rPr/>
          <w:t>a</w:t>
        </w:r>
        <w:r>
          <w:rPr>
            <w:spacing w:val="1"/>
          </w:rPr>
          <w:t> </w:t>
        </w:r>
        <w:r>
          <w:rPr/>
          <w:t>0.50-in.</w:t>
        </w:r>
        <w:r>
          <w:rPr>
            <w:spacing w:val="1"/>
          </w:rPr>
          <w:t> </w:t>
        </w:r>
        <w:r>
          <w:rPr/>
          <w:t>sphere</w:t>
        </w:r>
        <w:r>
          <w:rPr>
            <w:spacing w:val="1"/>
          </w:rPr>
          <w:t> </w:t>
        </w:r>
        <w:r>
          <w:rPr/>
          <w:t>projectile.</w:t>
        </w:r>
        <w:r>
          <w:rPr>
            <w:spacing w:val="1"/>
          </w:rPr>
          <w:t> </w:t>
        </w:r>
        <w:r>
          <w:rPr/>
          <w:t>Different</w:t>
        </w:r>
        <w:r>
          <w:rPr>
            <w:spacing w:val="1"/>
          </w:rPr>
          <w:t> </w:t>
        </w:r>
        <w:r>
          <w:rPr/>
          <w:t>weight,</w:t>
        </w:r>
        <w:r>
          <w:rPr>
            <w:spacing w:val="1"/>
          </w:rPr>
          <w:t> </w:t>
        </w:r>
        <w:r>
          <w:rPr/>
          <w:t>diameter,</w:t>
        </w:r>
        <w:r>
          <w:rPr>
            <w:spacing w:val="1"/>
          </w:rPr>
          <w:t> </w:t>
        </w:r>
        <w:r>
          <w:rPr/>
          <w:t>or</w:t>
        </w:r>
        <w:r>
          <w:rPr>
            <w:spacing w:val="1"/>
          </w:rPr>
          <w:t> </w:t>
        </w:r>
        <w:r>
          <w:rPr/>
          <w:t>nose</w:t>
        </w:r>
        <w:r>
          <w:rPr>
            <w:spacing w:val="1"/>
          </w:rPr>
          <w:t> </w:t>
        </w:r>
        <w:r>
          <w:rPr/>
          <w:t>shape</w:t>
        </w:r>
      </w:hyperlink>
      <w:r>
        <w:rPr>
          <w:spacing w:val="1"/>
        </w:rPr>
        <w:t> </w:t>
      </w:r>
      <w:hyperlink w:history="true" w:anchor="_bookmark88">
        <w:r>
          <w:rPr/>
          <w:t>projectiles could use a similar model but it would require recalibration of the model</w:t>
        </w:r>
      </w:hyperlink>
      <w:r>
        <w:rPr>
          <w:spacing w:val="1"/>
        </w:rPr>
        <w:t> </w:t>
      </w:r>
      <w:hyperlink w:history="true" w:anchor="_bookmark88">
        <w:r>
          <w:rPr/>
          <w:t>parameters.</w:t>
        </w:r>
        <w:r>
          <w:rPr>
            <w:spacing w:val="1"/>
          </w:rPr>
          <w:t> </w:t>
        </w:r>
        <w:r>
          <w:rPr/>
          <w:t>Additionally, for design purposes, a factor of safety should be implemented</w:t>
        </w:r>
      </w:hyperlink>
      <w:r>
        <w:rPr>
          <w:spacing w:val="1"/>
        </w:rPr>
        <w:t> </w:t>
      </w:r>
      <w:hyperlink w:history="true" w:anchor="_bookmark88">
        <w:r>
          <w:rPr/>
          <w:t>when determining how thick a CLT panel should be used against a specific munition as</w:t>
        </w:r>
      </w:hyperlink>
      <w:r>
        <w:rPr>
          <w:spacing w:val="1"/>
        </w:rPr>
        <w:t> </w:t>
      </w:r>
      <w:hyperlink w:history="true" w:anchor="_bookmark88">
        <w:r>
          <w:rPr/>
          <w:t>there is variability in both the velocity of ballistic projectiles and in the wood material.</w:t>
        </w:r>
      </w:hyperlink>
      <w:r>
        <w:rPr>
          <w:spacing w:val="1"/>
        </w:rPr>
        <w:t> </w:t>
      </w:r>
      <w:hyperlink w:history="true" w:anchor="_bookmark88">
        <w:r>
          <w:rPr/>
          <w:t>Table 5-11 </w:t>
        </w:r>
      </w:hyperlink>
      <w:r>
        <w:rPr/>
        <w:t>lists the equation, constants, factors and MSE for the models investigated and</w:t>
      </w:r>
      <w:r>
        <w:rPr>
          <w:spacing w:val="1"/>
        </w:rPr>
        <w:t> </w:t>
      </w:r>
      <w:r>
        <w:rPr/>
        <w:t>calibrated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this research.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40" w:right="418" w:firstLine="720"/>
        <w:jc w:val="both"/>
      </w:pPr>
      <w:bookmarkStart w:name="_bookmark88" w:id="320"/>
      <w:bookmarkEnd w:id="320"/>
      <w:r>
        <w:rPr/>
      </w:r>
      <w:r>
        <w:rPr/>
        <w:t>The</w:t>
      </w:r>
      <w:r>
        <w:rPr>
          <w:spacing w:val="-5"/>
        </w:rPr>
        <w:t> </w:t>
      </w:r>
      <w:r>
        <w:rPr/>
        <w:t>classical</w:t>
      </w:r>
      <w:r>
        <w:rPr>
          <w:spacing w:val="-4"/>
        </w:rPr>
        <w:t> </w:t>
      </w:r>
      <w:r>
        <w:rPr/>
        <w:t>penetration</w:t>
      </w:r>
      <w:r>
        <w:rPr>
          <w:spacing w:val="-4"/>
        </w:rPr>
        <w:t> </w:t>
      </w:r>
      <w:r>
        <w:rPr/>
        <w:t>mechanics</w:t>
      </w:r>
      <w:r>
        <w:rPr>
          <w:spacing w:val="-5"/>
        </w:rPr>
        <w:t> </w:t>
      </w:r>
      <w:r>
        <w:rPr/>
        <w:t>models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Euler-Robbins,</w:t>
      </w:r>
      <w:r>
        <w:rPr>
          <w:spacing w:val="-5"/>
        </w:rPr>
        <w:t> </w:t>
      </w:r>
      <w:r>
        <w:rPr/>
        <w:t>Poncelet</w:t>
      </w:r>
      <w:r>
        <w:rPr>
          <w:spacing w:val="-3"/>
        </w:rPr>
        <w:t> </w:t>
      </w:r>
      <w:r>
        <w:rPr/>
        <w:t>and</w:t>
      </w:r>
      <w:r>
        <w:rPr>
          <w:spacing w:val="-5"/>
        </w:rPr>
        <w:t> </w:t>
      </w:r>
      <w:r>
        <w:rPr/>
        <w:t>Resal,</w:t>
      </w:r>
      <w:r>
        <w:rPr>
          <w:spacing w:val="-58"/>
        </w:rPr>
        <w:t> </w:t>
      </w:r>
      <w:r>
        <w:rPr/>
        <w:t>along with the force law model are all physics-based empirical models.</w:t>
      </w:r>
      <w:r>
        <w:rPr>
          <w:spacing w:val="1"/>
        </w:rPr>
        <w:t> </w:t>
      </w:r>
      <w:r>
        <w:rPr/>
        <w:t>The force law</w:t>
      </w:r>
      <w:r>
        <w:rPr>
          <w:spacing w:val="1"/>
        </w:rPr>
        <w:t> </w:t>
      </w:r>
      <w:r>
        <w:rPr/>
        <w:t>model</w:t>
      </w:r>
      <w:r>
        <w:rPr>
          <w:spacing w:val="-6"/>
        </w:rPr>
        <w:t> </w:t>
      </w:r>
      <w:r>
        <w:rPr/>
        <w:t>demonstrated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best</w:t>
      </w:r>
      <w:r>
        <w:rPr>
          <w:spacing w:val="-5"/>
        </w:rPr>
        <w:t> </w:t>
      </w:r>
      <w:r>
        <w:rPr/>
        <w:t>fitting</w:t>
      </w:r>
      <w:r>
        <w:rPr>
          <w:spacing w:val="-6"/>
        </w:rPr>
        <w:t> </w:t>
      </w:r>
      <w:r>
        <w:rPr/>
        <w:t>model</w:t>
      </w:r>
      <w:r>
        <w:rPr>
          <w:spacing w:val="-5"/>
        </w:rPr>
        <w:t> </w:t>
      </w:r>
      <w:r>
        <w:rPr/>
        <w:t>both</w:t>
      </w:r>
      <w:r>
        <w:rPr>
          <w:spacing w:val="-6"/>
        </w:rPr>
        <w:t> </w:t>
      </w:r>
      <w:r>
        <w:rPr/>
        <w:t>with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combined</w:t>
      </w:r>
      <w:r>
        <w:rPr>
          <w:spacing w:val="-5"/>
        </w:rPr>
        <w:t> </w:t>
      </w:r>
      <w:r>
        <w:rPr/>
        <w:t>species</w:t>
      </w:r>
      <w:r>
        <w:rPr>
          <w:spacing w:val="-5"/>
        </w:rPr>
        <w:t> </w:t>
      </w:r>
      <w:r>
        <w:rPr/>
        <w:t>data</w:t>
      </w:r>
      <w:r>
        <w:rPr>
          <w:spacing w:val="-5"/>
        </w:rPr>
        <w:t> </w:t>
      </w:r>
      <w:r>
        <w:rPr/>
        <w:t>set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/>
        <w:t>the</w:t>
      </w:r>
      <w:r>
        <w:rPr>
          <w:spacing w:val="-58"/>
        </w:rPr>
        <w:t> </w:t>
      </w:r>
      <w:r>
        <w:rPr/>
        <w:t>individual species fit independently.</w:t>
      </w:r>
      <w:r>
        <w:rPr>
          <w:spacing w:val="1"/>
        </w:rPr>
        <w:t> </w:t>
      </w:r>
      <w:r>
        <w:rPr/>
        <w:t>The THOR models and the UFC model are curve-</w:t>
      </w:r>
      <w:r>
        <w:rPr>
          <w:spacing w:val="1"/>
        </w:rPr>
        <w:t> </w:t>
      </w:r>
      <w:r>
        <w:rPr/>
        <w:t>fitting empirical models.</w:t>
      </w:r>
      <w:r>
        <w:rPr>
          <w:spacing w:val="1"/>
        </w:rPr>
        <w:t> </w:t>
      </w:r>
      <w:r>
        <w:rPr/>
        <w:t>The THOR-based CLT model had a slightly better fit than the</w:t>
      </w:r>
      <w:r>
        <w:rPr>
          <w:spacing w:val="1"/>
        </w:rPr>
        <w:t> </w:t>
      </w:r>
      <w:r>
        <w:rPr/>
        <w:t>revised UFC equation, and both of those wood-specific models fit better than the more</w:t>
      </w:r>
      <w:r>
        <w:rPr>
          <w:spacing w:val="1"/>
        </w:rPr>
        <w:t> </w:t>
      </w:r>
      <w:r>
        <w:rPr/>
        <w:t>general</w:t>
      </w:r>
      <w:r>
        <w:rPr>
          <w:spacing w:val="-2"/>
        </w:rPr>
        <w:t> </w:t>
      </w:r>
      <w:r>
        <w:rPr/>
        <w:t>THOR</w:t>
      </w:r>
      <w:r>
        <w:rPr>
          <w:spacing w:val="-1"/>
        </w:rPr>
        <w:t> </w:t>
      </w:r>
      <w:r>
        <w:rPr/>
        <w:t>model</w:t>
      </w:r>
      <w:r>
        <w:rPr>
          <w:spacing w:val="-1"/>
        </w:rPr>
        <w:t> </w:t>
      </w:r>
      <w:r>
        <w:rPr/>
        <w:t>as</w:t>
      </w:r>
      <w:r>
        <w:rPr>
          <w:spacing w:val="-1"/>
        </w:rPr>
        <w:t> </w:t>
      </w:r>
      <w:r>
        <w:rPr/>
        <w:t>they</w:t>
      </w:r>
      <w:r>
        <w:rPr>
          <w:spacing w:val="-1"/>
        </w:rPr>
        <w:t> </w:t>
      </w:r>
      <w:r>
        <w:rPr/>
        <w:t>both</w:t>
      </w:r>
      <w:r>
        <w:rPr>
          <w:spacing w:val="-3"/>
        </w:rPr>
        <w:t> </w:t>
      </w:r>
      <w:r>
        <w:rPr/>
        <w:t>incorporate</w:t>
      </w:r>
      <w:r>
        <w:rPr>
          <w:spacing w:val="-1"/>
        </w:rPr>
        <w:t> </w:t>
      </w:r>
      <w:r>
        <w:rPr/>
        <w:t>specific</w:t>
      </w:r>
      <w:r>
        <w:rPr>
          <w:spacing w:val="-1"/>
        </w:rPr>
        <w:t> </w:t>
      </w:r>
      <w:r>
        <w:rPr/>
        <w:t>wood</w:t>
      </w:r>
      <w:r>
        <w:rPr>
          <w:spacing w:val="-1"/>
        </w:rPr>
        <w:t> </w:t>
      </w:r>
      <w:r>
        <w:rPr/>
        <w:t>characteristic</w:t>
      </w:r>
      <w:r>
        <w:rPr>
          <w:spacing w:val="-1"/>
        </w:rPr>
        <w:t> </w:t>
      </w:r>
      <w:r>
        <w:rPr/>
        <w:t>variables.</w:t>
      </w:r>
    </w:p>
    <w:p>
      <w:pPr>
        <w:pStyle w:val="BodyText"/>
        <w:spacing w:line="480" w:lineRule="auto" w:before="160"/>
        <w:ind w:left="439" w:right="417" w:firstLine="720"/>
        <w:jc w:val="both"/>
      </w:pPr>
      <w:r>
        <w:rPr/>
        <w:t>Based on this dataset, it is recommended that the THOR CLT model be used for</w:t>
      </w:r>
      <w:r>
        <w:rPr>
          <w:spacing w:val="1"/>
        </w:rPr>
        <w:t> </w:t>
      </w:r>
      <w:r>
        <w:rPr/>
        <w:t>velocity ranges of 400 to 3,000 fps (120 to 910 m/s) given CLT of a thickness of 4-in. or</w:t>
      </w:r>
      <w:r>
        <w:rPr>
          <w:spacing w:val="1"/>
        </w:rPr>
        <w:t> </w:t>
      </w:r>
      <w:r>
        <w:rPr/>
        <w:t>thicker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0.50-in.</w:t>
      </w:r>
      <w:r>
        <w:rPr>
          <w:spacing w:val="1"/>
        </w:rPr>
        <w:t> </w:t>
      </w:r>
      <w:r>
        <w:rPr/>
        <w:t>sphere</w:t>
      </w:r>
      <w:r>
        <w:rPr>
          <w:spacing w:val="1"/>
        </w:rPr>
        <w:t> </w:t>
      </w:r>
      <w:r>
        <w:rPr/>
        <w:t>projectile.</w:t>
      </w:r>
      <w:r>
        <w:rPr>
          <w:spacing w:val="1"/>
        </w:rPr>
        <w:t> </w:t>
      </w:r>
      <w:r>
        <w:rPr/>
        <w:t>Different</w:t>
      </w:r>
      <w:r>
        <w:rPr>
          <w:spacing w:val="1"/>
        </w:rPr>
        <w:t> </w:t>
      </w:r>
      <w:r>
        <w:rPr/>
        <w:t>weight,</w:t>
      </w:r>
      <w:r>
        <w:rPr>
          <w:spacing w:val="1"/>
        </w:rPr>
        <w:t> </w:t>
      </w:r>
      <w:r>
        <w:rPr/>
        <w:t>diameter,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nose</w:t>
      </w:r>
      <w:r>
        <w:rPr>
          <w:spacing w:val="1"/>
        </w:rPr>
        <w:t> </w:t>
      </w:r>
      <w:r>
        <w:rPr/>
        <w:t>shape</w:t>
      </w:r>
      <w:r>
        <w:rPr>
          <w:spacing w:val="1"/>
        </w:rPr>
        <w:t> </w:t>
      </w:r>
      <w:r>
        <w:rPr/>
        <w:t>projectiles could use a similar model but it would require recalibration of the model</w:t>
      </w:r>
      <w:r>
        <w:rPr>
          <w:spacing w:val="1"/>
        </w:rPr>
        <w:t> </w:t>
      </w:r>
      <w:r>
        <w:rPr/>
        <w:t>parameters.</w:t>
      </w:r>
      <w:r>
        <w:rPr>
          <w:spacing w:val="1"/>
        </w:rPr>
        <w:t> </w:t>
      </w:r>
      <w:r>
        <w:rPr/>
        <w:t>Additionally, for design purposes, a factor of safety should be implemented</w:t>
      </w:r>
      <w:r>
        <w:rPr>
          <w:spacing w:val="1"/>
        </w:rPr>
        <w:t> </w:t>
      </w:r>
      <w:r>
        <w:rPr/>
        <w:t>when determining how thick a CLT panel should be used against a specific munition, as</w:t>
      </w:r>
      <w:r>
        <w:rPr>
          <w:spacing w:val="1"/>
        </w:rPr>
        <w:t> </w:t>
      </w:r>
      <w:r>
        <w:rPr/>
        <w:t>there</w:t>
      </w:r>
      <w:r>
        <w:rPr>
          <w:spacing w:val="-2"/>
        </w:rPr>
        <w:t> </w:t>
      </w:r>
      <w:r>
        <w:rPr/>
        <w:t>is</w:t>
      </w:r>
      <w:r>
        <w:rPr>
          <w:spacing w:val="-1"/>
        </w:rPr>
        <w:t> </w:t>
      </w:r>
      <w:r>
        <w:rPr/>
        <w:t>variability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both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velocity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ballistic</w:t>
      </w:r>
      <w:r>
        <w:rPr>
          <w:spacing w:val="-2"/>
        </w:rPr>
        <w:t> </w:t>
      </w:r>
      <w:r>
        <w:rPr/>
        <w:t>projectiles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in the</w:t>
      </w:r>
      <w:r>
        <w:rPr>
          <w:spacing w:val="-1"/>
        </w:rPr>
        <w:t> </w:t>
      </w:r>
      <w:r>
        <w:rPr/>
        <w:t>wood material.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spacing w:before="79"/>
        <w:ind w:left="18" w:right="0" w:firstLine="0"/>
        <w:jc w:val="center"/>
        <w:rPr>
          <w:i/>
          <w:sz w:val="24"/>
        </w:rPr>
      </w:pPr>
      <w:r>
        <w:rPr/>
        <w:pict>
          <v:rect style="position:absolute;margin-left:247.440002pt;margin-top:277.619995pt;width:7.501pt;height:.72pt;mso-position-horizontal-relative:page;mso-position-vertical-relative:page;z-index:-34871296" filled="true" fillcolor="#000000" stroked="false">
            <v:fill type="solid"/>
            <w10:wrap type="none"/>
          </v:rect>
        </w:pict>
      </w:r>
      <w:r>
        <w:rPr/>
        <w:pict>
          <v:rect style="position:absolute;margin-left:292.380005pt;margin-top:277.619995pt;width:18.48pt;height:.72pt;mso-position-horizontal-relative:page;mso-position-vertical-relative:page;z-index:-34870784" filled="true" fillcolor="#000000" stroked="false">
            <v:fill type="solid"/>
            <w10:wrap type="none"/>
          </v:rect>
        </w:pict>
      </w:r>
      <w:r>
        <w:rPr/>
        <w:pict>
          <v:rect style="position:absolute;margin-left:244.080002pt;margin-top:216.539993pt;width:13.62pt;height:.72pt;mso-position-horizontal-relative:page;mso-position-vertical-relative:page;z-index:-34870272" filled="true" fillcolor="#000000" stroked="false">
            <v:fill type="solid"/>
            <w10:wrap type="none"/>
          </v:rect>
        </w:pict>
      </w:r>
      <w:r>
        <w:rPr/>
        <w:pict>
          <v:rect style="position:absolute;margin-left:229.320007pt;margin-top:338.940002pt;width:85.68pt;height:.72pt;mso-position-horizontal-relative:page;mso-position-vertical-relative:page;z-index:-34869760" filled="true" fillcolor="#000000" stroked="false">
            <v:fill type="solid"/>
            <w10:wrap type="none"/>
          </v:rect>
        </w:pict>
      </w:r>
      <w:r>
        <w:rPr/>
        <w:pict>
          <v:rect style="position:absolute;margin-left:229.320007pt;margin-top:349.380005pt;width:105pt;height:.72pt;mso-position-horizontal-relative:page;mso-position-vertical-relative:page;z-index:-34869248" filled="true" fillcolor="#000000" stroked="false">
            <v:fill type="solid"/>
            <w10:wrap type="none"/>
          </v:rect>
        </w:pict>
      </w:r>
      <w:r>
        <w:rPr/>
        <w:pict>
          <v:rect style="position:absolute;margin-left:251.820007pt;margin-top:419.040009pt;width:7.08pt;height:.72pt;mso-position-horizontal-relative:page;mso-position-vertical-relative:page;z-index:-34868736" filled="true" fillcolor="#000000" stroked="false">
            <v:fill type="solid"/>
            <w10:wrap type="none"/>
          </v:rect>
        </w:pict>
      </w:r>
      <w:r>
        <w:rPr/>
        <w:pict>
          <v:rect style="position:absolute;margin-left:266.160004pt;margin-top:419.040009pt;width:32.82pt;height:.72pt;mso-position-horizontal-relative:page;mso-position-vertical-relative:page;z-index:-34868224" filled="true" fillcolor="#000000" stroked="false">
            <v:fill type="solid"/>
            <w10:wrap type="none"/>
          </v:rect>
        </w:pict>
      </w:r>
      <w:r>
        <w:rPr/>
        <w:pict>
          <v:rect style="position:absolute;margin-left:268.320007pt;margin-top:500.820007pt;width:43.141pt;height:.72pt;mso-position-horizontal-relative:page;mso-position-vertical-relative:page;z-index:-34867712" filled="true" fillcolor="#000000" stroked="false">
            <v:fill type="solid"/>
            <w10:wrap type="none"/>
          </v:rect>
        </w:pict>
      </w:r>
      <w:r>
        <w:rPr/>
        <w:pict>
          <v:rect style="position:absolute;margin-left:264.299988pt;margin-top:617.039978pt;width:19.8pt;height:.72pt;mso-position-horizontal-relative:page;mso-position-vertical-relative:page;z-index:-34867200" filled="true" fillcolor="#000000" stroked="false">
            <v:fill type="solid"/>
            <w10:wrap type="none"/>
          </v:rect>
        </w:pict>
      </w:r>
      <w:r>
        <w:rPr/>
        <w:pict>
          <v:rect style="position:absolute;margin-left:250.679993pt;margin-top:602.159973pt;width:59.58pt;height:.72pt;mso-position-horizontal-relative:page;mso-position-vertical-relative:page;z-index:-34866688" filled="true" fillcolor="#000000" stroked="false">
            <v:fill type="solid"/>
            <w10:wrap type="none"/>
          </v:rect>
        </w:pict>
      </w:r>
      <w:r>
        <w:rPr>
          <w:i/>
          <w:sz w:val="24"/>
        </w:rPr>
        <w:t>Table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5-11.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Comparison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all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models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calibrated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CLT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data.</w:t>
      </w:r>
    </w:p>
    <w:p>
      <w:pPr>
        <w:pStyle w:val="BodyText"/>
        <w:spacing w:before="5" w:after="1"/>
        <w:rPr>
          <w:i/>
          <w:sz w:val="17"/>
        </w:rPr>
      </w:pPr>
    </w:p>
    <w:tbl>
      <w:tblPr>
        <w:tblW w:w="0" w:type="auto"/>
        <w:jc w:val="left"/>
        <w:tblInd w:w="4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19"/>
        <w:gridCol w:w="3058"/>
        <w:gridCol w:w="1170"/>
        <w:gridCol w:w="1530"/>
        <w:gridCol w:w="1217"/>
      </w:tblGrid>
      <w:tr>
        <w:trPr>
          <w:trHeight w:val="500" w:hRule="atLeast"/>
        </w:trPr>
        <w:tc>
          <w:tcPr>
            <w:tcW w:w="1619" w:type="dxa"/>
            <w:tcBorders>
              <w:right w:val="single" w:sz="4" w:space="0" w:color="000000"/>
            </w:tcBorders>
            <w:shd w:val="clear" w:color="auto" w:fill="C0C0C0"/>
          </w:tcPr>
          <w:p>
            <w:pPr>
              <w:pStyle w:val="TableParagraph"/>
              <w:spacing w:before="126"/>
              <w:ind w:left="95" w:right="8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Model</w:t>
            </w:r>
          </w:p>
        </w:tc>
        <w:tc>
          <w:tcPr>
            <w:tcW w:w="305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0C0C0"/>
          </w:tcPr>
          <w:p>
            <w:pPr>
              <w:pStyle w:val="TableParagraph"/>
              <w:spacing w:before="126"/>
              <w:ind w:left="1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Equation</w:t>
            </w:r>
          </w:p>
        </w:tc>
        <w:tc>
          <w:tcPr>
            <w:tcW w:w="1170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0C0C0"/>
          </w:tcPr>
          <w:p>
            <w:pPr>
              <w:pStyle w:val="TableParagraph"/>
              <w:spacing w:before="126"/>
              <w:ind w:left="97" w:right="8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Constants</w:t>
            </w:r>
          </w:p>
        </w:tc>
        <w:tc>
          <w:tcPr>
            <w:tcW w:w="1530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0C0C0"/>
          </w:tcPr>
          <w:p>
            <w:pPr>
              <w:pStyle w:val="TableParagraph"/>
              <w:spacing w:line="254" w:lineRule="exact"/>
              <w:ind w:left="353" w:right="323" w:firstLine="61"/>
              <w:rPr>
                <w:b/>
                <w:sz w:val="22"/>
              </w:rPr>
            </w:pPr>
            <w:r>
              <w:rPr>
                <w:b/>
                <w:sz w:val="22"/>
              </w:rPr>
              <w:t>Factors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pacing w:val="-1"/>
                <w:sz w:val="22"/>
              </w:rPr>
              <w:t>Included</w:t>
            </w:r>
          </w:p>
        </w:tc>
        <w:tc>
          <w:tcPr>
            <w:tcW w:w="1217" w:type="dxa"/>
            <w:tcBorders>
              <w:left w:val="single" w:sz="4" w:space="0" w:color="000000"/>
            </w:tcBorders>
            <w:shd w:val="clear" w:color="auto" w:fill="C0C0C0"/>
          </w:tcPr>
          <w:p>
            <w:pPr>
              <w:pStyle w:val="TableParagraph"/>
              <w:spacing w:before="126"/>
              <w:ind w:left="144" w:right="123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MSE</w:t>
            </w:r>
          </w:p>
        </w:tc>
      </w:tr>
      <w:tr>
        <w:trPr>
          <w:trHeight w:val="1238" w:hRule="atLeast"/>
        </w:trPr>
        <w:tc>
          <w:tcPr>
            <w:tcW w:w="1619" w:type="dxa"/>
            <w:tcBorders>
              <w:right w:val="single" w:sz="4" w:space="0" w:color="000000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9"/>
              <w:rPr>
                <w:i/>
                <w:sz w:val="18"/>
              </w:rPr>
            </w:pPr>
          </w:p>
          <w:p>
            <w:pPr>
              <w:pStyle w:val="TableParagraph"/>
              <w:ind w:left="96" w:right="82"/>
              <w:jc w:val="center"/>
              <w:rPr>
                <w:sz w:val="22"/>
              </w:rPr>
            </w:pPr>
            <w:r>
              <w:rPr>
                <w:sz w:val="22"/>
              </w:rPr>
              <w:t>Euler-Robbins</w:t>
            </w:r>
          </w:p>
        </w:tc>
        <w:tc>
          <w:tcPr>
            <w:tcW w:w="3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rPr>
                <w:i/>
                <w:sz w:val="23"/>
              </w:rPr>
            </w:pPr>
          </w:p>
          <w:p>
            <w:pPr>
              <w:pStyle w:val="TableParagraph"/>
              <w:spacing w:line="204" w:lineRule="exact"/>
              <w:ind w:left="601"/>
              <w:jc w:val="center"/>
              <w:rPr>
                <w:rFonts w:ascii="Cambria Math" w:eastAsia="Cambria Math"/>
                <w:sz w:val="16"/>
              </w:rPr>
            </w:pPr>
            <w:r>
              <w:rPr>
                <w:spacing w:val="11"/>
                <w:w w:val="99"/>
                <w:position w:val="-12"/>
                <w:sz w:val="16"/>
                <w:u w:val="single"/>
              </w:rPr>
              <w:t> </w:t>
            </w:r>
            <w:r>
              <w:rPr>
                <w:rFonts w:ascii="Cambria Math" w:eastAsia="Cambria Math"/>
                <w:position w:val="-7"/>
                <w:sz w:val="22"/>
              </w:rPr>
              <w:t>𝑣</w:t>
            </w:r>
            <w:r>
              <w:rPr>
                <w:rFonts w:ascii="Cambria Math" w:eastAsia="Cambria Math"/>
                <w:sz w:val="16"/>
              </w:rPr>
              <w:t>2</w:t>
            </w:r>
          </w:p>
          <w:p>
            <w:pPr>
              <w:pStyle w:val="TableParagraph"/>
              <w:spacing w:line="189" w:lineRule="exact"/>
              <w:ind w:left="130"/>
              <w:jc w:val="center"/>
              <w:rPr>
                <w:rFonts w:ascii="Cambria Math" w:hAnsi="Cambria Math" w:cs="Cambria Math" w:eastAsia="Cambria Math"/>
                <w:sz w:val="22"/>
                <w:szCs w:val="22"/>
              </w:rPr>
            </w:pPr>
            <w:r>
              <w:rPr>
                <w:rFonts w:ascii="Cambria Math" w:hAnsi="Cambria Math" w:cs="Cambria Math" w:eastAsia="Cambria Math"/>
                <w:sz w:val="22"/>
                <w:szCs w:val="22"/>
              </w:rPr>
              <w:t>𝑇</w:t>
            </w:r>
            <w:r>
              <w:rPr>
                <w:rFonts w:ascii="Cambria Math" w:hAnsi="Cambria Math" w:cs="Cambria Math" w:eastAsia="Cambria Math"/>
                <w:spacing w:val="78"/>
                <w:sz w:val="22"/>
                <w:szCs w:val="22"/>
              </w:rPr>
              <w:t> </w:t>
            </w:r>
            <w:r>
              <w:rPr>
                <w:rFonts w:ascii="Cambria Math" w:hAnsi="Cambria Math" w:cs="Cambria Math" w:eastAsia="Cambria Math"/>
                <w:sz w:val="22"/>
                <w:szCs w:val="22"/>
              </w:rPr>
              <w:t>=</w:t>
            </w:r>
            <w:r>
              <w:rPr>
                <w:rFonts w:ascii="Cambria Math" w:hAnsi="Cambria Math" w:cs="Cambria Math" w:eastAsia="Cambria Math"/>
                <w:spacing w:val="-4"/>
                <w:sz w:val="22"/>
                <w:szCs w:val="22"/>
              </w:rPr>
              <w:t> </w:t>
            </w:r>
            <w:r>
              <w:rPr>
                <w:rFonts w:ascii="Cambria Math" w:hAnsi="Cambria Math" w:cs="Cambria Math" w:eastAsia="Cambria Math"/>
                <w:w w:val="70"/>
                <w:sz w:val="22"/>
                <w:szCs w:val="22"/>
              </w:rPr>
              <w:t>�</w:t>
            </w:r>
            <w:r>
              <w:rPr>
                <w:rFonts w:ascii="Cambria Math" w:hAnsi="Cambria Math" w:cs="Cambria Math" w:eastAsia="Cambria Math"/>
                <w:spacing w:val="66"/>
                <w:sz w:val="22"/>
                <w:szCs w:val="22"/>
              </w:rPr>
              <w:t> </w:t>
            </w:r>
            <w:r>
              <w:rPr>
                <w:rFonts w:ascii="Cambria Math" w:hAnsi="Cambria Math" w:cs="Cambria Math" w:eastAsia="Cambria Math"/>
                <w:position w:val="12"/>
                <w:sz w:val="16"/>
                <w:szCs w:val="16"/>
                <w:u w:val="single"/>
              </w:rPr>
              <w:t>𝑠</w:t>
            </w:r>
            <w:r>
              <w:rPr>
                <w:rFonts w:ascii="Cambria Math" w:hAnsi="Cambria Math" w:cs="Cambria Math" w:eastAsia="Cambria Math"/>
                <w:spacing w:val="38"/>
                <w:position w:val="12"/>
                <w:sz w:val="16"/>
                <w:szCs w:val="16"/>
                <w:u w:val="single"/>
              </w:rPr>
              <w:t> </w:t>
            </w:r>
            <w:r>
              <w:rPr>
                <w:rFonts w:ascii="Cambria Math" w:hAnsi="Cambria Math" w:cs="Cambria Math" w:eastAsia="Cambria Math"/>
                <w:w w:val="70"/>
                <w:sz w:val="22"/>
                <w:szCs w:val="22"/>
              </w:rPr>
              <w:t>�</w:t>
            </w:r>
          </w:p>
          <w:p>
            <w:pPr>
              <w:pStyle w:val="TableParagraph"/>
              <w:tabs>
                <w:tab w:pos="651" w:val="left" w:leader="none"/>
              </w:tabs>
              <w:spacing w:line="239" w:lineRule="exact"/>
              <w:ind w:left="135"/>
              <w:jc w:val="center"/>
              <w:rPr>
                <w:rFonts w:ascii="Cambria Math" w:eastAsia="Cambria Math"/>
                <w:sz w:val="16"/>
              </w:rPr>
            </w:pPr>
            <w:r>
              <w:rPr>
                <w:rFonts w:ascii="Cambria Math" w:eastAsia="Cambria Math"/>
                <w:w w:val="95"/>
                <w:sz w:val="22"/>
                <w:vertAlign w:val="superscript"/>
              </w:rPr>
              <w:t>𝑤𝑤</w:t>
            </w:r>
            <w:r>
              <w:rPr>
                <w:rFonts w:ascii="Cambria Math" w:eastAsia="Cambria Math"/>
                <w:w w:val="95"/>
                <w:sz w:val="22"/>
                <w:vertAlign w:val="baseline"/>
              </w:rPr>
              <w:tab/>
              <w:t>2𝐶</w:t>
            </w:r>
            <w:r>
              <w:rPr>
                <w:rFonts w:ascii="Cambria Math" w:eastAsia="Cambria Math"/>
                <w:w w:val="95"/>
                <w:position w:val="-4"/>
                <w:sz w:val="16"/>
                <w:vertAlign w:val="baseline"/>
              </w:rPr>
              <w:t>1</w:t>
            </w:r>
          </w:p>
        </w:tc>
        <w:tc>
          <w:tcPr>
            <w:tcW w:w="117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9"/>
              <w:rPr>
                <w:i/>
                <w:sz w:val="18"/>
              </w:rPr>
            </w:pPr>
          </w:p>
          <w:p>
            <w:pPr>
              <w:pStyle w:val="TableParagraph"/>
              <w:ind w:left="97" w:right="81"/>
              <w:jc w:val="center"/>
              <w:rPr>
                <w:sz w:val="22"/>
              </w:rPr>
            </w:pPr>
            <w:r>
              <w:rPr>
                <w:sz w:val="22"/>
              </w:rPr>
              <w:t>C1</w:t>
            </w:r>
          </w:p>
        </w:tc>
        <w:tc>
          <w:tcPr>
            <w:tcW w:w="153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i/>
                <w:sz w:val="20"/>
              </w:rPr>
            </w:pPr>
          </w:p>
          <w:p>
            <w:pPr>
              <w:pStyle w:val="TableParagraph"/>
              <w:ind w:left="319" w:right="299" w:firstLine="112"/>
              <w:jc w:val="both"/>
              <w:rPr>
                <w:sz w:val="22"/>
              </w:rPr>
            </w:pPr>
            <w:r>
              <w:rPr>
                <w:sz w:val="22"/>
              </w:rPr>
              <w:t>striking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velocity,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1</w:t>
            </w:r>
            <w:r>
              <w:rPr>
                <w:spacing w:val="-12"/>
                <w:sz w:val="22"/>
              </w:rPr>
              <w:t> </w:t>
            </w:r>
            <w:r>
              <w:rPr>
                <w:sz w:val="22"/>
              </w:rPr>
              <w:t>constant</w:t>
            </w:r>
          </w:p>
        </w:tc>
        <w:tc>
          <w:tcPr>
            <w:tcW w:w="1217" w:type="dxa"/>
            <w:tcBorders>
              <w:left w:val="single" w:sz="4" w:space="0" w:color="000000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9"/>
              <w:rPr>
                <w:i/>
                <w:sz w:val="18"/>
              </w:rPr>
            </w:pPr>
          </w:p>
          <w:p>
            <w:pPr>
              <w:pStyle w:val="TableParagraph"/>
              <w:ind w:left="146" w:right="123"/>
              <w:jc w:val="center"/>
              <w:rPr>
                <w:sz w:val="22"/>
              </w:rPr>
            </w:pPr>
            <w:r>
              <w:rPr>
                <w:sz w:val="22"/>
              </w:rPr>
              <w:t>3.111</w:t>
            </w:r>
          </w:p>
        </w:tc>
      </w:tr>
      <w:tr>
        <w:trPr>
          <w:trHeight w:val="1245" w:hRule="atLeast"/>
        </w:trPr>
        <w:tc>
          <w:tcPr>
            <w:tcW w:w="1619" w:type="dxa"/>
            <w:tcBorders>
              <w:right w:val="single" w:sz="4" w:space="0" w:color="000000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5"/>
              <w:rPr>
                <w:i/>
                <w:sz w:val="19"/>
              </w:rPr>
            </w:pPr>
          </w:p>
          <w:p>
            <w:pPr>
              <w:pStyle w:val="TableParagraph"/>
              <w:ind w:left="95" w:right="82"/>
              <w:jc w:val="center"/>
              <w:rPr>
                <w:sz w:val="22"/>
              </w:rPr>
            </w:pPr>
            <w:r>
              <w:rPr>
                <w:sz w:val="22"/>
              </w:rPr>
              <w:t>Poncelet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(base)</w:t>
            </w:r>
          </w:p>
        </w:tc>
        <w:tc>
          <w:tcPr>
            <w:tcW w:w="3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"/>
              <w:rPr>
                <w:i/>
                <w:sz w:val="26"/>
              </w:rPr>
            </w:pPr>
          </w:p>
          <w:p>
            <w:pPr>
              <w:pStyle w:val="TableParagraph"/>
              <w:tabs>
                <w:tab w:pos="2122" w:val="left" w:leader="none"/>
              </w:tabs>
              <w:spacing w:line="212" w:lineRule="exact" w:before="1"/>
              <w:ind w:left="1158"/>
              <w:rPr>
                <w:rFonts w:ascii="Cambria Math" w:eastAsia="Cambria Math"/>
                <w:sz w:val="22"/>
              </w:rPr>
            </w:pPr>
            <w:r>
              <w:rPr>
                <w:rFonts w:ascii="Cambria Math" w:eastAsia="Cambria Math"/>
                <w:w w:val="105"/>
                <w:sz w:val="22"/>
              </w:rPr>
              <w:t>1</w:t>
              <w:tab/>
            </w:r>
            <w:r>
              <w:rPr>
                <w:rFonts w:ascii="Cambria Math" w:eastAsia="Cambria Math"/>
                <w:spacing w:val="-145"/>
                <w:sz w:val="22"/>
              </w:rPr>
              <w:t>𝐵</w:t>
            </w:r>
            <w:r>
              <w:rPr>
                <w:rFonts w:ascii="Cambria Math" w:eastAsia="Cambria Math"/>
                <w:spacing w:val="119"/>
                <w:position w:val="-4"/>
                <w:sz w:val="22"/>
                <w:u w:val="single"/>
              </w:rPr>
              <w:t> </w:t>
            </w:r>
            <w:r>
              <w:rPr>
                <w:rFonts w:ascii="Cambria Math" w:eastAsia="Cambria Math"/>
                <w:sz w:val="22"/>
              </w:rPr>
              <w:t>𝑣</w:t>
            </w:r>
            <w:r>
              <w:rPr>
                <w:rFonts w:ascii="Cambria Math" w:eastAsia="Cambria Math"/>
                <w:sz w:val="22"/>
                <w:vertAlign w:val="superscript"/>
              </w:rPr>
              <w:t>2</w:t>
            </w:r>
          </w:p>
          <w:p>
            <w:pPr>
              <w:pStyle w:val="TableParagraph"/>
              <w:tabs>
                <w:tab w:pos="1392" w:val="left" w:leader="none"/>
                <w:tab w:pos="2389" w:val="left" w:leader="none"/>
              </w:tabs>
              <w:spacing w:line="157" w:lineRule="exact"/>
              <w:ind w:left="468"/>
              <w:rPr>
                <w:rFonts w:ascii="Cambria Math" w:hAnsi="Cambria Math" w:cs="Cambria Math" w:eastAsia="Cambria Math"/>
                <w:sz w:val="22"/>
                <w:szCs w:val="22"/>
              </w:rPr>
            </w:pPr>
            <w:r>
              <w:rPr>
                <w:rFonts w:ascii="Cambria Math" w:hAnsi="Cambria Math" w:cs="Cambria Math" w:eastAsia="Cambria Math"/>
                <w:sz w:val="22"/>
                <w:szCs w:val="22"/>
              </w:rPr>
              <w:t>𝑇</w:t>
            </w:r>
            <w:r>
              <w:rPr>
                <w:rFonts w:ascii="Cambria Math" w:hAnsi="Cambria Math" w:cs="Cambria Math" w:eastAsia="Cambria Math"/>
                <w:spacing w:val="92"/>
                <w:sz w:val="22"/>
                <w:szCs w:val="22"/>
              </w:rPr>
              <w:t> </w:t>
            </w:r>
            <w:r>
              <w:rPr>
                <w:rFonts w:ascii="Cambria Math" w:hAnsi="Cambria Math" w:cs="Cambria Math" w:eastAsia="Cambria Math"/>
                <w:sz w:val="22"/>
                <w:szCs w:val="22"/>
              </w:rPr>
              <w:t>=</w:t>
            </w:r>
            <w:r>
              <w:rPr>
                <w:rFonts w:ascii="Cambria Math" w:hAnsi="Cambria Math" w:cs="Cambria Math" w:eastAsia="Cambria Math"/>
                <w:spacing w:val="1"/>
                <w:sz w:val="22"/>
                <w:szCs w:val="22"/>
              </w:rPr>
              <w:t> </w:t>
            </w:r>
            <w:r>
              <w:rPr>
                <w:rFonts w:ascii="Cambria Math" w:hAnsi="Cambria Math" w:cs="Cambria Math" w:eastAsia="Cambria Math"/>
                <w:w w:val="70"/>
                <w:sz w:val="22"/>
                <w:szCs w:val="22"/>
              </w:rPr>
              <w:t>�</w:t>
              <w:tab/>
            </w:r>
            <w:r>
              <w:rPr>
                <w:rFonts w:ascii="Cambria Math" w:hAnsi="Cambria Math" w:cs="Cambria Math" w:eastAsia="Cambria Math"/>
                <w:w w:val="85"/>
                <w:sz w:val="22"/>
                <w:szCs w:val="22"/>
              </w:rPr>
              <w:t>ln</w:t>
            </w:r>
            <w:r>
              <w:rPr>
                <w:rFonts w:ascii="Cambria Math" w:hAnsi="Cambria Math" w:cs="Cambria Math" w:eastAsia="Cambria Math"/>
                <w:spacing w:val="-3"/>
                <w:w w:val="85"/>
                <w:sz w:val="22"/>
                <w:szCs w:val="22"/>
              </w:rPr>
              <w:t> </w:t>
            </w:r>
            <w:r>
              <w:rPr>
                <w:rFonts w:ascii="Cambria Math" w:hAnsi="Cambria Math" w:cs="Cambria Math" w:eastAsia="Cambria Math"/>
                <w:w w:val="85"/>
                <w:sz w:val="22"/>
                <w:szCs w:val="22"/>
              </w:rPr>
              <w:t>�1</w:t>
            </w:r>
            <w:r>
              <w:rPr>
                <w:rFonts w:ascii="Cambria Math" w:hAnsi="Cambria Math" w:cs="Cambria Math" w:eastAsia="Cambria Math"/>
                <w:spacing w:val="9"/>
                <w:w w:val="85"/>
                <w:sz w:val="22"/>
                <w:szCs w:val="22"/>
              </w:rPr>
              <w:t> </w:t>
            </w:r>
            <w:r>
              <w:rPr>
                <w:rFonts w:ascii="Cambria Math" w:hAnsi="Cambria Math" w:cs="Cambria Math" w:eastAsia="Cambria Math"/>
                <w:w w:val="85"/>
                <w:sz w:val="22"/>
                <w:szCs w:val="22"/>
              </w:rPr>
              <w:t>+</w:t>
              <w:tab/>
            </w:r>
            <w:r>
              <w:rPr>
                <w:rFonts w:ascii="Cambria Math" w:hAnsi="Cambria Math" w:cs="Cambria Math" w:eastAsia="Cambria Math"/>
                <w:w w:val="55"/>
                <w:sz w:val="22"/>
                <w:szCs w:val="22"/>
                <w:u w:val="single"/>
                <w:vertAlign w:val="superscript"/>
              </w:rPr>
              <w:t>0</w:t>
            </w:r>
            <w:r>
              <w:rPr>
                <w:rFonts w:ascii="Cambria Math" w:hAnsi="Cambria Math" w:cs="Cambria Math" w:eastAsia="Cambria Math"/>
                <w:spacing w:val="2"/>
                <w:w w:val="55"/>
                <w:sz w:val="22"/>
                <w:szCs w:val="22"/>
                <w:vertAlign w:val="baseline"/>
              </w:rPr>
              <w:t> </w:t>
            </w:r>
            <w:r>
              <w:rPr>
                <w:rFonts w:ascii="Cambria Math" w:hAnsi="Cambria Math" w:cs="Cambria Math" w:eastAsia="Cambria Math"/>
                <w:w w:val="55"/>
                <w:sz w:val="22"/>
                <w:szCs w:val="22"/>
                <w:vertAlign w:val="baseline"/>
              </w:rPr>
              <w:t>��</w:t>
            </w:r>
          </w:p>
          <w:p>
            <w:pPr>
              <w:pStyle w:val="TableParagraph"/>
              <w:tabs>
                <w:tab w:pos="1084" w:val="left" w:leader="none"/>
                <w:tab w:pos="2243" w:val="left" w:leader="none"/>
              </w:tabs>
              <w:spacing w:line="203" w:lineRule="exact"/>
              <w:ind w:left="569"/>
              <w:rPr>
                <w:rFonts w:ascii="Cambria Math" w:eastAsia="Cambria Math"/>
                <w:sz w:val="22"/>
              </w:rPr>
            </w:pPr>
            <w:r>
              <w:rPr>
                <w:rFonts w:ascii="Cambria Math" w:eastAsia="Cambria Math"/>
                <w:w w:val="95"/>
                <w:sz w:val="22"/>
                <w:vertAlign w:val="superscript"/>
              </w:rPr>
              <w:t>𝑤𝑤</w:t>
            </w:r>
            <w:r>
              <w:rPr>
                <w:rFonts w:ascii="Cambria Math" w:eastAsia="Cambria Math"/>
                <w:w w:val="95"/>
                <w:sz w:val="22"/>
                <w:vertAlign w:val="baseline"/>
              </w:rPr>
              <w:tab/>
            </w:r>
            <w:r>
              <w:rPr>
                <w:rFonts w:ascii="Cambria Math" w:eastAsia="Cambria Math"/>
                <w:sz w:val="22"/>
                <w:vertAlign w:val="baseline"/>
              </w:rPr>
              <w:t>2𝐵</w:t>
              <w:tab/>
              <w:t>𝐶</w:t>
            </w:r>
          </w:p>
        </w:tc>
        <w:tc>
          <w:tcPr>
            <w:tcW w:w="117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5"/>
              <w:rPr>
                <w:i/>
                <w:sz w:val="19"/>
              </w:rPr>
            </w:pPr>
          </w:p>
          <w:p>
            <w:pPr>
              <w:pStyle w:val="TableParagraph"/>
              <w:ind w:left="97" w:right="81"/>
              <w:jc w:val="center"/>
              <w:rPr>
                <w:sz w:val="22"/>
              </w:rPr>
            </w:pPr>
            <w:r>
              <w:rPr>
                <w:sz w:val="22"/>
              </w:rPr>
              <w:t>B,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</w:t>
            </w:r>
          </w:p>
        </w:tc>
        <w:tc>
          <w:tcPr>
            <w:tcW w:w="153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"/>
              <w:rPr>
                <w:i/>
                <w:sz w:val="21"/>
              </w:rPr>
            </w:pPr>
          </w:p>
          <w:p>
            <w:pPr>
              <w:pStyle w:val="TableParagraph"/>
              <w:ind w:left="386" w:right="366" w:hanging="1"/>
              <w:jc w:val="center"/>
              <w:rPr>
                <w:sz w:val="22"/>
              </w:rPr>
            </w:pPr>
            <w:r>
              <w:rPr>
                <w:sz w:val="22"/>
              </w:rPr>
              <w:t>striking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velocity,</w:t>
            </w:r>
          </w:p>
          <w:p>
            <w:pPr>
              <w:pStyle w:val="TableParagraph"/>
              <w:ind w:left="174" w:right="157"/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constants</w:t>
            </w:r>
          </w:p>
        </w:tc>
        <w:tc>
          <w:tcPr>
            <w:tcW w:w="1217" w:type="dxa"/>
            <w:tcBorders>
              <w:left w:val="single" w:sz="4" w:space="0" w:color="000000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5"/>
              <w:rPr>
                <w:i/>
                <w:sz w:val="19"/>
              </w:rPr>
            </w:pPr>
          </w:p>
          <w:p>
            <w:pPr>
              <w:pStyle w:val="TableParagraph"/>
              <w:ind w:left="147" w:right="123"/>
              <w:jc w:val="center"/>
              <w:rPr>
                <w:sz w:val="22"/>
              </w:rPr>
            </w:pPr>
            <w:r>
              <w:rPr>
                <w:sz w:val="22"/>
              </w:rPr>
              <w:t>1.345</w:t>
            </w:r>
          </w:p>
        </w:tc>
      </w:tr>
      <w:tr>
        <w:trPr>
          <w:trHeight w:val="1250" w:hRule="atLeast"/>
        </w:trPr>
        <w:tc>
          <w:tcPr>
            <w:tcW w:w="1619" w:type="dxa"/>
            <w:tcBorders>
              <w:right w:val="single" w:sz="4" w:space="0" w:color="000000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5"/>
              <w:rPr>
                <w:i/>
                <w:sz w:val="19"/>
              </w:rPr>
            </w:pPr>
          </w:p>
          <w:p>
            <w:pPr>
              <w:pStyle w:val="TableParagraph"/>
              <w:ind w:left="94" w:right="82"/>
              <w:jc w:val="center"/>
              <w:rPr>
                <w:sz w:val="22"/>
              </w:rPr>
            </w:pPr>
            <w:r>
              <w:rPr>
                <w:sz w:val="22"/>
              </w:rPr>
              <w:t>Resal</w:t>
            </w:r>
          </w:p>
        </w:tc>
        <w:tc>
          <w:tcPr>
            <w:tcW w:w="305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73" w:lineRule="exact" w:before="255"/>
              <w:ind w:left="620"/>
              <w:rPr>
                <w:rFonts w:ascii="Cambria Math" w:hAnsi="Cambria Math" w:cs="Cambria Math" w:eastAsia="Cambria Math"/>
                <w:sz w:val="22"/>
                <w:szCs w:val="22"/>
              </w:rPr>
            </w:pPr>
            <w:r>
              <w:rPr>
                <w:rFonts w:ascii="Cambria Math" w:hAnsi="Cambria Math" w:cs="Cambria Math" w:eastAsia="Cambria Math"/>
                <w:w w:val="99"/>
                <w:sz w:val="22"/>
                <w:szCs w:val="22"/>
              </w:rPr>
              <w:t>𝑇</w:t>
            </w:r>
            <w:r>
              <w:rPr>
                <w:rFonts w:ascii="Cambria Math" w:hAnsi="Cambria Math" w:cs="Cambria Math" w:eastAsia="Cambria Math"/>
                <w:sz w:val="22"/>
                <w:szCs w:val="22"/>
              </w:rPr>
              <w:t>   </w:t>
            </w:r>
            <w:r>
              <w:rPr>
                <w:rFonts w:ascii="Cambria Math" w:hAnsi="Cambria Math" w:cs="Cambria Math" w:eastAsia="Cambria Math"/>
                <w:spacing w:val="-19"/>
                <w:sz w:val="22"/>
                <w:szCs w:val="22"/>
              </w:rPr>
              <w:t> </w:t>
            </w:r>
            <w:r>
              <w:rPr>
                <w:rFonts w:ascii="Cambria Math" w:hAnsi="Cambria Math" w:cs="Cambria Math" w:eastAsia="Cambria Math"/>
                <w:w w:val="99"/>
                <w:sz w:val="22"/>
                <w:szCs w:val="22"/>
              </w:rPr>
              <w:t>=</w:t>
            </w:r>
            <w:r>
              <w:rPr>
                <w:rFonts w:ascii="Cambria Math" w:hAnsi="Cambria Math" w:cs="Cambria Math" w:eastAsia="Cambria Math"/>
                <w:sz w:val="22"/>
                <w:szCs w:val="22"/>
              </w:rPr>
              <w:t> </w:t>
            </w:r>
            <w:r>
              <w:rPr>
                <w:rFonts w:ascii="Cambria Math" w:hAnsi="Cambria Math" w:cs="Cambria Math" w:eastAsia="Cambria Math"/>
                <w:spacing w:val="-23"/>
                <w:sz w:val="22"/>
                <w:szCs w:val="22"/>
              </w:rPr>
              <w:t> </w:t>
            </w:r>
            <w:r>
              <w:rPr>
                <w:rFonts w:ascii="Cambria Math" w:hAnsi="Cambria Math" w:cs="Cambria Math" w:eastAsia="Cambria Math"/>
                <w:w w:val="99"/>
                <w:position w:val="17"/>
                <w:sz w:val="22"/>
                <w:szCs w:val="22"/>
              </w:rPr>
              <w:t>1</w:t>
            </w:r>
            <w:r>
              <w:rPr>
                <w:rFonts w:ascii="Cambria Math" w:hAnsi="Cambria Math" w:cs="Cambria Math" w:eastAsia="Cambria Math"/>
                <w:spacing w:val="3"/>
                <w:position w:val="17"/>
                <w:sz w:val="22"/>
                <w:szCs w:val="22"/>
              </w:rPr>
              <w:t> </w:t>
            </w:r>
            <w:r>
              <w:rPr>
                <w:rFonts w:ascii="Cambria Math" w:hAnsi="Cambria Math" w:cs="Cambria Math" w:eastAsia="Cambria Math"/>
                <w:w w:val="99"/>
                <w:sz w:val="22"/>
                <w:szCs w:val="22"/>
              </w:rPr>
              <w:t>ln</w:t>
            </w:r>
            <w:r>
              <w:rPr>
                <w:rFonts w:ascii="Cambria Math" w:hAnsi="Cambria Math" w:cs="Cambria Math" w:eastAsia="Cambria Math"/>
                <w:spacing w:val="-13"/>
                <w:sz w:val="22"/>
                <w:szCs w:val="22"/>
              </w:rPr>
              <w:t> </w:t>
            </w:r>
            <w:r>
              <w:rPr>
                <w:rFonts w:ascii="Cambria Math" w:hAnsi="Cambria Math" w:cs="Cambria Math" w:eastAsia="Cambria Math"/>
                <w:spacing w:val="-1"/>
                <w:w w:val="49"/>
                <w:sz w:val="22"/>
                <w:szCs w:val="22"/>
              </w:rPr>
              <w:t>�</w:t>
            </w:r>
            <w:r>
              <w:rPr>
                <w:rFonts w:ascii="Cambria Math" w:hAnsi="Cambria Math" w:cs="Cambria Math" w:eastAsia="Cambria Math"/>
                <w:w w:val="99"/>
                <w:sz w:val="22"/>
                <w:szCs w:val="22"/>
              </w:rPr>
              <w:t>1</w:t>
            </w:r>
            <w:r>
              <w:rPr>
                <w:rFonts w:ascii="Cambria Math" w:hAnsi="Cambria Math" w:cs="Cambria Math" w:eastAsia="Cambria Math"/>
                <w:spacing w:val="1"/>
                <w:sz w:val="22"/>
                <w:szCs w:val="22"/>
              </w:rPr>
              <w:t> </w:t>
            </w:r>
            <w:r>
              <w:rPr>
                <w:rFonts w:ascii="Cambria Math" w:hAnsi="Cambria Math" w:cs="Cambria Math" w:eastAsia="Cambria Math"/>
                <w:w w:val="99"/>
                <w:sz w:val="22"/>
                <w:szCs w:val="22"/>
              </w:rPr>
              <w:t>+</w:t>
            </w:r>
            <w:r>
              <w:rPr>
                <w:rFonts w:ascii="Cambria Math" w:hAnsi="Cambria Math" w:cs="Cambria Math" w:eastAsia="Cambria Math"/>
                <w:spacing w:val="1"/>
                <w:sz w:val="22"/>
                <w:szCs w:val="22"/>
              </w:rPr>
              <w:t> </w:t>
            </w:r>
            <w:r>
              <w:rPr>
                <w:rFonts w:ascii="Cambria Math" w:hAnsi="Cambria Math" w:cs="Cambria Math" w:eastAsia="Cambria Math"/>
                <w:spacing w:val="5"/>
                <w:w w:val="99"/>
                <w:position w:val="17"/>
                <w:sz w:val="22"/>
                <w:szCs w:val="22"/>
              </w:rPr>
              <w:t>𝐵</w:t>
            </w:r>
            <w:r>
              <w:rPr>
                <w:rFonts w:ascii="Cambria Math" w:hAnsi="Cambria Math" w:cs="Cambria Math" w:eastAsia="Cambria Math"/>
                <w:spacing w:val="-2"/>
                <w:w w:val="99"/>
                <w:position w:val="17"/>
                <w:sz w:val="22"/>
                <w:szCs w:val="22"/>
              </w:rPr>
              <w:t>𝑣</w:t>
            </w:r>
            <w:r>
              <w:rPr>
                <w:rFonts w:ascii="Cambria Math" w:hAnsi="Cambria Math" w:cs="Cambria Math" w:eastAsia="Cambria Math"/>
                <w:spacing w:val="9"/>
                <w:w w:val="104"/>
                <w:position w:val="12"/>
                <w:sz w:val="16"/>
                <w:szCs w:val="16"/>
              </w:rPr>
              <w:t>0</w:t>
            </w:r>
            <w:r>
              <w:rPr>
                <w:rFonts w:ascii="Cambria Math" w:hAnsi="Cambria Math" w:cs="Cambria Math" w:eastAsia="Cambria Math"/>
                <w:w w:val="49"/>
                <w:sz w:val="22"/>
                <w:szCs w:val="22"/>
              </w:rPr>
              <w:t>�</w:t>
            </w:r>
          </w:p>
          <w:p>
            <w:pPr>
              <w:pStyle w:val="TableParagraph"/>
              <w:tabs>
                <w:tab w:pos="1151" w:val="left" w:leader="none"/>
                <w:tab w:pos="2164" w:val="left" w:leader="none"/>
              </w:tabs>
              <w:spacing w:line="203" w:lineRule="exact"/>
              <w:ind w:left="720"/>
              <w:rPr>
                <w:rFonts w:ascii="Cambria Math" w:eastAsia="Cambria Math"/>
                <w:sz w:val="22"/>
              </w:rPr>
            </w:pPr>
            <w:r>
              <w:rPr>
                <w:rFonts w:ascii="Cambria Math" w:eastAsia="Cambria Math"/>
                <w:w w:val="90"/>
                <w:sz w:val="22"/>
                <w:vertAlign w:val="superscript"/>
              </w:rPr>
              <w:t>𝑤𝑤</w:t>
            </w:r>
            <w:r>
              <w:rPr>
                <w:rFonts w:ascii="Cambria Math" w:eastAsia="Cambria Math"/>
                <w:w w:val="90"/>
                <w:sz w:val="22"/>
                <w:vertAlign w:val="baseline"/>
              </w:rPr>
              <w:tab/>
            </w:r>
            <w:r>
              <w:rPr>
                <w:rFonts w:ascii="Cambria Math" w:eastAsia="Cambria Math"/>
                <w:w w:val="95"/>
                <w:sz w:val="22"/>
                <w:vertAlign w:val="baseline"/>
              </w:rPr>
              <w:t>𝐵</w:t>
              <w:tab/>
              <w:t>𝐶</w:t>
            </w:r>
          </w:p>
        </w:tc>
        <w:tc>
          <w:tcPr>
            <w:tcW w:w="117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5"/>
              <w:rPr>
                <w:i/>
                <w:sz w:val="19"/>
              </w:rPr>
            </w:pPr>
          </w:p>
          <w:p>
            <w:pPr>
              <w:pStyle w:val="TableParagraph"/>
              <w:ind w:left="97" w:right="81"/>
              <w:jc w:val="center"/>
              <w:rPr>
                <w:sz w:val="22"/>
              </w:rPr>
            </w:pPr>
            <w:r>
              <w:rPr>
                <w:sz w:val="22"/>
              </w:rPr>
              <w:t>B,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</w:t>
            </w:r>
          </w:p>
        </w:tc>
        <w:tc>
          <w:tcPr>
            <w:tcW w:w="153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"/>
              <w:rPr>
                <w:i/>
                <w:sz w:val="21"/>
              </w:rPr>
            </w:pPr>
          </w:p>
          <w:p>
            <w:pPr>
              <w:pStyle w:val="TableParagraph"/>
              <w:ind w:left="174" w:right="154"/>
              <w:jc w:val="center"/>
              <w:rPr>
                <w:sz w:val="22"/>
              </w:rPr>
            </w:pPr>
            <w:r>
              <w:rPr>
                <w:sz w:val="22"/>
              </w:rPr>
              <w:t>striking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velocity, 2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constants</w:t>
            </w:r>
          </w:p>
        </w:tc>
        <w:tc>
          <w:tcPr>
            <w:tcW w:w="1217" w:type="dxa"/>
            <w:tcBorders>
              <w:left w:val="single" w:sz="4" w:space="0" w:color="000000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5"/>
              <w:rPr>
                <w:i/>
                <w:sz w:val="19"/>
              </w:rPr>
            </w:pPr>
          </w:p>
          <w:p>
            <w:pPr>
              <w:pStyle w:val="TableParagraph"/>
              <w:ind w:left="147" w:right="123"/>
              <w:jc w:val="center"/>
              <w:rPr>
                <w:sz w:val="22"/>
              </w:rPr>
            </w:pPr>
            <w:r>
              <w:rPr>
                <w:sz w:val="22"/>
              </w:rPr>
              <w:t>1.345</w:t>
            </w:r>
          </w:p>
        </w:tc>
      </w:tr>
      <w:tr>
        <w:trPr>
          <w:trHeight w:val="485" w:hRule="atLeast"/>
        </w:trPr>
        <w:tc>
          <w:tcPr>
            <w:tcW w:w="1619" w:type="dxa"/>
            <w:vMerge w:val="restart"/>
            <w:tcBorders>
              <w:right w:val="single" w:sz="4" w:space="0" w:color="000000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0"/>
              <w:rPr>
                <w:i/>
                <w:sz w:val="20"/>
              </w:rPr>
            </w:pPr>
          </w:p>
          <w:p>
            <w:pPr>
              <w:pStyle w:val="TableParagraph"/>
              <w:ind w:left="534" w:right="302" w:hanging="199"/>
              <w:rPr>
                <w:sz w:val="22"/>
              </w:rPr>
            </w:pPr>
            <w:r>
              <w:rPr>
                <w:sz w:val="22"/>
              </w:rPr>
              <w:t>Force Law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model</w:t>
            </w:r>
          </w:p>
        </w:tc>
        <w:tc>
          <w:tcPr>
            <w:tcW w:w="3058" w:type="dxa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rPr>
                <w:i/>
                <w:sz w:val="20"/>
              </w:rPr>
            </w:pPr>
          </w:p>
          <w:p>
            <w:pPr>
              <w:pStyle w:val="TableParagraph"/>
              <w:spacing w:line="20" w:lineRule="exact"/>
              <w:ind w:left="952"/>
              <w:rPr>
                <w:sz w:val="2"/>
              </w:rPr>
            </w:pPr>
            <w:r>
              <w:rPr>
                <w:sz w:val="2"/>
              </w:rPr>
              <w:pict>
                <v:group style="width:77.55pt;height:.75pt;mso-position-horizontal-relative:char;mso-position-vertical-relative:line" coordorigin="0,0" coordsize="1551,15">
                  <v:rect style="position:absolute;left:0;top:0;width:1551;height:15" filled="true" fillcolor="#000000" stroked="false">
                    <v:fill type="solid"/>
                  </v:rect>
                </v:group>
              </w:pict>
            </w:r>
            <w:r>
              <w:rPr>
                <w:sz w:val="2"/>
              </w:rPr>
            </w:r>
          </w:p>
          <w:p>
            <w:pPr>
              <w:pStyle w:val="TableParagraph"/>
              <w:tabs>
                <w:tab w:pos="2765" w:val="left" w:leader="none"/>
              </w:tabs>
              <w:spacing w:line="193" w:lineRule="exact"/>
              <w:ind w:left="789"/>
              <w:rPr>
                <w:rFonts w:ascii="Cambria Math" w:hAnsi="Cambria Math" w:cs="Cambria Math" w:eastAsia="Cambria Math"/>
                <w:sz w:val="22"/>
                <w:szCs w:val="22"/>
              </w:rPr>
            </w:pPr>
            <w:r>
              <w:rPr>
                <w:rFonts w:ascii="Cambria Math" w:hAnsi="Cambria Math" w:cs="Cambria Math" w:eastAsia="Cambria Math"/>
                <w:position w:val="2"/>
                <w:sz w:val="22"/>
                <w:szCs w:val="22"/>
              </w:rPr>
              <w:t>�𝑏</w:t>
            </w:r>
            <w:r>
              <w:rPr>
                <w:rFonts w:ascii="Cambria Math" w:hAnsi="Cambria Math" w:cs="Cambria Math" w:eastAsia="Cambria Math"/>
                <w:position w:val="2"/>
                <w:sz w:val="22"/>
                <w:szCs w:val="22"/>
                <w:vertAlign w:val="superscript"/>
              </w:rPr>
              <w:t>2</w:t>
            </w:r>
            <w:r>
              <w:rPr>
                <w:rFonts w:ascii="Cambria Math" w:hAnsi="Cambria Math" w:cs="Cambria Math" w:eastAsia="Cambria Math"/>
                <w:spacing w:val="4"/>
                <w:position w:val="2"/>
                <w:sz w:val="22"/>
                <w:szCs w:val="22"/>
                <w:vertAlign w:val="baseline"/>
              </w:rPr>
              <w:t> </w:t>
            </w:r>
            <w:r>
              <w:rPr>
                <w:rFonts w:ascii="Cambria Math" w:hAnsi="Cambria Math" w:cs="Cambria Math" w:eastAsia="Cambria Math"/>
                <w:position w:val="2"/>
                <w:sz w:val="22"/>
                <w:szCs w:val="22"/>
                <w:vertAlign w:val="baseline"/>
              </w:rPr>
              <w:t>+</w:t>
            </w:r>
            <w:r>
              <w:rPr>
                <w:rFonts w:ascii="Cambria Math" w:hAnsi="Cambria Math" w:cs="Cambria Math" w:eastAsia="Cambria Math"/>
                <w:spacing w:val="-3"/>
                <w:position w:val="2"/>
                <w:sz w:val="22"/>
                <w:szCs w:val="22"/>
                <w:vertAlign w:val="baseline"/>
              </w:rPr>
              <w:t> </w:t>
            </w:r>
            <w:r>
              <w:rPr>
                <w:rFonts w:ascii="Cambria Math" w:hAnsi="Cambria Math" w:cs="Cambria Math" w:eastAsia="Cambria Math"/>
                <w:position w:val="2"/>
                <w:sz w:val="22"/>
                <w:szCs w:val="22"/>
                <w:vertAlign w:val="baseline"/>
              </w:rPr>
              <w:t>4𝑣</w:t>
            </w:r>
            <w:r>
              <w:rPr>
                <w:rFonts w:ascii="Cambria Math" w:hAnsi="Cambria Math" w:cs="Cambria Math" w:eastAsia="Cambria Math"/>
                <w:position w:val="2"/>
                <w:sz w:val="22"/>
                <w:szCs w:val="22"/>
                <w:vertAlign w:val="subscript"/>
              </w:rPr>
              <w:t>𝑠</w:t>
            </w:r>
            <w:r>
              <w:rPr>
                <w:rFonts w:ascii="Cambria Math" w:hAnsi="Cambria Math" w:cs="Cambria Math" w:eastAsia="Cambria Math"/>
                <w:position w:val="2"/>
                <w:sz w:val="22"/>
                <w:szCs w:val="22"/>
                <w:vertAlign w:val="baseline"/>
              </w:rPr>
              <w:t>𝑎</w:t>
            </w:r>
            <w:r>
              <w:rPr>
                <w:rFonts w:ascii="Cambria Math" w:hAnsi="Cambria Math" w:cs="Cambria Math" w:eastAsia="Cambria Math"/>
                <w:spacing w:val="1"/>
                <w:position w:val="2"/>
                <w:sz w:val="22"/>
                <w:szCs w:val="22"/>
                <w:vertAlign w:val="baseline"/>
              </w:rPr>
              <w:t> </w:t>
            </w:r>
            <w:r>
              <w:rPr>
                <w:rFonts w:ascii="Cambria Math" w:hAnsi="Cambria Math" w:cs="Cambria Math" w:eastAsia="Cambria Math"/>
                <w:position w:val="2"/>
                <w:sz w:val="22"/>
                <w:szCs w:val="22"/>
                <w:vertAlign w:val="baseline"/>
              </w:rPr>
              <w:t>−</w:t>
            </w:r>
            <w:r>
              <w:rPr>
                <w:rFonts w:ascii="Cambria Math" w:hAnsi="Cambria Math" w:cs="Cambria Math" w:eastAsia="Cambria Math"/>
                <w:spacing w:val="-5"/>
                <w:position w:val="2"/>
                <w:sz w:val="22"/>
                <w:szCs w:val="22"/>
                <w:vertAlign w:val="baseline"/>
              </w:rPr>
              <w:t> </w:t>
            </w:r>
            <w:r>
              <w:rPr>
                <w:rFonts w:ascii="Cambria Math" w:hAnsi="Cambria Math" w:cs="Cambria Math" w:eastAsia="Cambria Math"/>
                <w:position w:val="2"/>
                <w:sz w:val="22"/>
                <w:szCs w:val="22"/>
                <w:vertAlign w:val="baseline"/>
              </w:rPr>
              <w:t>4𝑎𝑐</w:t>
              <w:tab/>
            </w:r>
            <w:r>
              <w:rPr>
                <w:rFonts w:ascii="Cambria Math" w:hAnsi="Cambria Math" w:cs="Cambria Math" w:eastAsia="Cambria Math"/>
                <w:sz w:val="22"/>
                <w:szCs w:val="22"/>
                <w:u w:val="single"/>
                <w:vertAlign w:val="baseline"/>
              </w:rPr>
              <w:t>𝑏</w:t>
            </w:r>
          </w:p>
          <w:p>
            <w:pPr>
              <w:pStyle w:val="TableParagraph"/>
              <w:tabs>
                <w:tab w:pos="1584" w:val="left" w:leader="none"/>
                <w:tab w:pos="2551" w:val="left" w:leader="none"/>
              </w:tabs>
              <w:spacing w:line="110" w:lineRule="auto"/>
              <w:ind w:left="257"/>
              <w:rPr>
                <w:rFonts w:ascii="Cambria Math" w:hAnsi="Cambria Math" w:eastAsia="Cambria Math"/>
                <w:sz w:val="22"/>
              </w:rPr>
            </w:pPr>
            <w:r>
              <w:rPr>
                <w:rFonts w:ascii="Cambria Math" w:hAnsi="Cambria Math" w:eastAsia="Cambria Math"/>
                <w:position w:val="-9"/>
                <w:sz w:val="22"/>
              </w:rPr>
              <w:t>𝑇  </w:t>
            </w:r>
            <w:r>
              <w:rPr>
                <w:rFonts w:ascii="Cambria Math" w:hAnsi="Cambria Math" w:eastAsia="Cambria Math"/>
                <w:spacing w:val="29"/>
                <w:position w:val="-9"/>
                <w:sz w:val="22"/>
              </w:rPr>
              <w:t> </w:t>
            </w:r>
            <w:r>
              <w:rPr>
                <w:rFonts w:ascii="Cambria Math" w:hAnsi="Cambria Math" w:eastAsia="Cambria Math"/>
                <w:position w:val="-9"/>
                <w:sz w:val="22"/>
              </w:rPr>
              <w:t>=</w:t>
              <w:tab/>
            </w:r>
            <w:r>
              <w:rPr>
                <w:rFonts w:ascii="Cambria Math" w:hAnsi="Cambria Math" w:eastAsia="Cambria Math"/>
                <w:sz w:val="22"/>
              </w:rPr>
              <w:t>2</w:t>
              <w:tab/>
            </w:r>
            <w:r>
              <w:rPr>
                <w:rFonts w:ascii="Cambria Math" w:hAnsi="Cambria Math" w:eastAsia="Cambria Math"/>
                <w:position w:val="11"/>
                <w:sz w:val="22"/>
              </w:rPr>
              <w:t>− </w:t>
            </w:r>
            <w:r>
              <w:rPr>
                <w:rFonts w:ascii="Cambria Math" w:hAnsi="Cambria Math" w:eastAsia="Cambria Math"/>
                <w:sz w:val="22"/>
              </w:rPr>
              <w:t>2</w:t>
            </w:r>
          </w:p>
          <w:p>
            <w:pPr>
              <w:pStyle w:val="TableParagraph"/>
              <w:tabs>
                <w:tab w:pos="1774" w:val="left" w:leader="none"/>
              </w:tabs>
              <w:spacing w:line="81" w:lineRule="auto"/>
              <w:ind w:left="358"/>
              <w:rPr>
                <w:rFonts w:ascii="Cambria Math" w:eastAsia="Cambria Math"/>
                <w:sz w:val="22"/>
              </w:rPr>
            </w:pPr>
            <w:r>
              <w:rPr>
                <w:rFonts w:ascii="Cambria Math" w:eastAsia="Cambria Math"/>
                <w:w w:val="85"/>
                <w:sz w:val="16"/>
              </w:rPr>
              <w:t>𝑤𝑤</w:t>
              <w:tab/>
            </w:r>
            <w:r>
              <w:rPr>
                <w:rFonts w:ascii="Cambria Math" w:eastAsia="Cambria Math"/>
                <w:w w:val="90"/>
                <w:position w:val="-9"/>
                <w:sz w:val="22"/>
              </w:rPr>
              <w:t>𝑎</w:t>
            </w:r>
          </w:p>
        </w:tc>
        <w:tc>
          <w:tcPr>
            <w:tcW w:w="1170" w:type="dxa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0"/>
              <w:rPr>
                <w:i/>
                <w:sz w:val="31"/>
              </w:rPr>
            </w:pPr>
          </w:p>
          <w:p>
            <w:pPr>
              <w:pStyle w:val="TableParagraph"/>
              <w:ind w:left="380"/>
              <w:rPr>
                <w:sz w:val="22"/>
              </w:rPr>
            </w:pPr>
            <w:r>
              <w:rPr>
                <w:sz w:val="22"/>
              </w:rPr>
              <w:t>a,b,c</w:t>
            </w:r>
          </w:p>
        </w:tc>
        <w:tc>
          <w:tcPr>
            <w:tcW w:w="1530" w:type="dxa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rPr>
                <w:i/>
                <w:sz w:val="33"/>
              </w:rPr>
            </w:pPr>
          </w:p>
          <w:p>
            <w:pPr>
              <w:pStyle w:val="TableParagraph"/>
              <w:ind w:left="174" w:right="155"/>
              <w:jc w:val="center"/>
              <w:rPr>
                <w:sz w:val="22"/>
              </w:rPr>
            </w:pPr>
            <w:r>
              <w:rPr>
                <w:sz w:val="22"/>
              </w:rPr>
              <w:t>striking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velocity, 3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constants</w:t>
            </w:r>
          </w:p>
        </w:tc>
        <w:tc>
          <w:tcPr>
            <w:tcW w:w="1217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17"/>
              <w:ind w:left="147" w:right="123"/>
              <w:jc w:val="center"/>
              <w:rPr>
                <w:sz w:val="22"/>
              </w:rPr>
            </w:pPr>
            <w:r>
              <w:rPr>
                <w:sz w:val="22"/>
              </w:rPr>
              <w:t>All: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1.322</w:t>
            </w:r>
          </w:p>
        </w:tc>
      </w:tr>
      <w:tr>
        <w:trPr>
          <w:trHeight w:val="505" w:hRule="atLeast"/>
        </w:trPr>
        <w:tc>
          <w:tcPr>
            <w:tcW w:w="1619" w:type="dxa"/>
            <w:vMerge/>
            <w:tcBorders>
              <w:top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58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70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30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0" w:lineRule="atLeast"/>
              <w:ind w:left="365" w:right="263" w:hanging="65"/>
              <w:rPr>
                <w:sz w:val="22"/>
              </w:rPr>
            </w:pPr>
            <w:r>
              <w:rPr>
                <w:sz w:val="22"/>
              </w:rPr>
              <w:t>SPF-S: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0.333</w:t>
            </w:r>
          </w:p>
        </w:tc>
      </w:tr>
      <w:tr>
        <w:trPr>
          <w:trHeight w:val="511" w:hRule="atLeast"/>
        </w:trPr>
        <w:tc>
          <w:tcPr>
            <w:tcW w:w="1619" w:type="dxa"/>
            <w:vMerge/>
            <w:tcBorders>
              <w:top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58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70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30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0" w:lineRule="atLeast"/>
              <w:ind w:left="365" w:right="327" w:firstLine="14"/>
              <w:rPr>
                <w:sz w:val="22"/>
              </w:rPr>
            </w:pPr>
            <w:r>
              <w:rPr>
                <w:sz w:val="22"/>
              </w:rPr>
              <w:t>SYP: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0.839</w:t>
            </w:r>
          </w:p>
        </w:tc>
      </w:tr>
      <w:tr>
        <w:trPr>
          <w:trHeight w:val="1517" w:hRule="atLeast"/>
        </w:trPr>
        <w:tc>
          <w:tcPr>
            <w:tcW w:w="1619" w:type="dxa"/>
            <w:tcBorders>
              <w:right w:val="single" w:sz="4" w:space="0" w:color="000000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0"/>
              <w:rPr>
                <w:i/>
                <w:sz w:val="19"/>
              </w:rPr>
            </w:pPr>
          </w:p>
          <w:p>
            <w:pPr>
              <w:pStyle w:val="TableParagraph"/>
              <w:ind w:left="534" w:right="100" w:hanging="401"/>
              <w:rPr>
                <w:sz w:val="22"/>
              </w:rPr>
            </w:pPr>
            <w:r>
              <w:rPr>
                <w:sz w:val="22"/>
              </w:rPr>
              <w:t>General THOR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model</w:t>
            </w:r>
          </w:p>
        </w:tc>
        <w:tc>
          <w:tcPr>
            <w:tcW w:w="305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i/>
                <w:sz w:val="22"/>
              </w:rPr>
            </w:pPr>
          </w:p>
          <w:p>
            <w:pPr>
              <w:pStyle w:val="TableParagraph"/>
              <w:tabs>
                <w:tab w:pos="1791" w:val="left" w:leader="none"/>
              </w:tabs>
              <w:spacing w:line="211" w:lineRule="exact"/>
              <w:ind w:left="1248"/>
              <w:rPr>
                <w:rFonts w:ascii="Cambria Math" w:eastAsia="Cambria Math"/>
                <w:sz w:val="22"/>
              </w:rPr>
            </w:pPr>
            <w:r>
              <w:rPr>
                <w:rFonts w:ascii="Cambria Math" w:eastAsia="Cambria Math"/>
                <w:sz w:val="22"/>
              </w:rPr>
              <w:t>1</w:t>
              <w:tab/>
              <w:t>𝑣</w:t>
            </w:r>
          </w:p>
          <w:p>
            <w:pPr>
              <w:pStyle w:val="TableParagraph"/>
              <w:spacing w:line="361" w:lineRule="exact"/>
              <w:ind w:left="707"/>
              <w:rPr>
                <w:rFonts w:ascii="Cambria Math" w:hAnsi="Cambria Math" w:cs="Cambria Math" w:eastAsia="Cambria Math"/>
                <w:sz w:val="22"/>
                <w:szCs w:val="22"/>
              </w:rPr>
            </w:pPr>
            <w:r>
              <w:rPr>
                <w:rFonts w:ascii="Cambria Math" w:hAnsi="Cambria Math" w:cs="Cambria Math" w:eastAsia="Cambria Math"/>
                <w:spacing w:val="-30"/>
                <w:w w:val="99"/>
                <w:position w:val="15"/>
                <w:sz w:val="22"/>
                <w:szCs w:val="22"/>
              </w:rPr>
              <w:t>𝑇</w:t>
            </w:r>
            <w:r>
              <w:rPr>
                <w:rFonts w:ascii="Cambria Math" w:hAnsi="Cambria Math" w:cs="Cambria Math" w:eastAsia="Cambria Math"/>
                <w:w w:val="55"/>
                <w:position w:val="10"/>
                <w:sz w:val="16"/>
                <w:szCs w:val="16"/>
              </w:rPr>
              <w:t>𝑤𝑤</w:t>
            </w:r>
            <w:r>
              <w:rPr>
                <w:rFonts w:ascii="Cambria Math" w:hAnsi="Cambria Math" w:cs="Cambria Math" w:eastAsia="Cambria Math"/>
                <w:position w:val="10"/>
                <w:sz w:val="16"/>
                <w:szCs w:val="16"/>
              </w:rPr>
              <w:t> </w:t>
            </w:r>
            <w:r>
              <w:rPr>
                <w:rFonts w:ascii="Cambria Math" w:hAnsi="Cambria Math" w:cs="Cambria Math" w:eastAsia="Cambria Math"/>
                <w:spacing w:val="4"/>
                <w:position w:val="10"/>
                <w:sz w:val="16"/>
                <w:szCs w:val="16"/>
              </w:rPr>
              <w:t> </w:t>
            </w:r>
            <w:r>
              <w:rPr>
                <w:rFonts w:ascii="Cambria Math" w:hAnsi="Cambria Math" w:cs="Cambria Math" w:eastAsia="Cambria Math"/>
                <w:w w:val="99"/>
                <w:position w:val="15"/>
                <w:sz w:val="22"/>
                <w:szCs w:val="22"/>
              </w:rPr>
              <w:t>=</w:t>
            </w:r>
            <w:r>
              <w:rPr>
                <w:rFonts w:ascii="Cambria Math" w:hAnsi="Cambria Math" w:cs="Cambria Math" w:eastAsia="Cambria Math"/>
                <w:spacing w:val="13"/>
                <w:position w:val="15"/>
                <w:sz w:val="22"/>
                <w:szCs w:val="22"/>
              </w:rPr>
              <w:t> </w:t>
            </w:r>
            <w:r>
              <w:rPr>
                <w:rFonts w:ascii="Cambria Math" w:hAnsi="Cambria Math" w:cs="Cambria Math" w:eastAsia="Cambria Math"/>
                <w:w w:val="99"/>
                <w:sz w:val="22"/>
                <w:szCs w:val="22"/>
              </w:rPr>
              <w:t>𝐴</w:t>
            </w:r>
            <w:r>
              <w:rPr>
                <w:rFonts w:ascii="Cambria Math" w:hAnsi="Cambria Math" w:cs="Cambria Math" w:eastAsia="Cambria Math"/>
                <w:spacing w:val="-9"/>
                <w:sz w:val="22"/>
                <w:szCs w:val="22"/>
              </w:rPr>
              <w:t> </w:t>
            </w:r>
            <w:r>
              <w:rPr>
                <w:rFonts w:ascii="Cambria Math" w:hAnsi="Cambria Math" w:cs="Cambria Math" w:eastAsia="Cambria Math"/>
                <w:w w:val="48"/>
                <w:position w:val="15"/>
                <w:sz w:val="22"/>
                <w:szCs w:val="22"/>
              </w:rPr>
              <w:t>�</w:t>
            </w:r>
            <w:r>
              <w:rPr>
                <w:rFonts w:ascii="Cambria Math" w:hAnsi="Cambria Math" w:cs="Cambria Math" w:eastAsia="Cambria Math"/>
                <w:spacing w:val="-1"/>
                <w:w w:val="99"/>
                <w:sz w:val="22"/>
                <w:szCs w:val="22"/>
              </w:rPr>
              <w:t>1</w:t>
            </w:r>
            <w:r>
              <w:rPr>
                <w:rFonts w:ascii="Cambria Math" w:hAnsi="Cambria Math" w:cs="Cambria Math" w:eastAsia="Cambria Math"/>
                <w:spacing w:val="5"/>
                <w:w w:val="99"/>
                <w:sz w:val="22"/>
                <w:szCs w:val="22"/>
              </w:rPr>
              <w:t>0</w:t>
            </w:r>
            <w:r>
              <w:rPr>
                <w:rFonts w:ascii="Cambria Math" w:hAnsi="Cambria Math" w:cs="Cambria Math" w:eastAsia="Cambria Math"/>
                <w:w w:val="61"/>
                <w:sz w:val="22"/>
                <w:szCs w:val="22"/>
                <w:vertAlign w:val="superscript"/>
              </w:rPr>
              <w:t>𝑔</w:t>
            </w:r>
            <w:r>
              <w:rPr>
                <w:rFonts w:ascii="Cambria Math" w:hAnsi="Cambria Math" w:cs="Cambria Math" w:eastAsia="Cambria Math"/>
                <w:spacing w:val="13"/>
                <w:w w:val="61"/>
                <w:sz w:val="22"/>
                <w:szCs w:val="22"/>
                <w:vertAlign w:val="superscript"/>
              </w:rPr>
              <w:t>𝑔</w:t>
            </w:r>
            <w:r>
              <w:rPr>
                <w:rFonts w:ascii="Cambria Math" w:hAnsi="Cambria Math" w:cs="Cambria Math" w:eastAsia="Cambria Math"/>
                <w:spacing w:val="12"/>
                <w:w w:val="99"/>
                <w:sz w:val="22"/>
                <w:szCs w:val="22"/>
                <w:vertAlign w:val="baseline"/>
              </w:rPr>
              <w:t>𝑤</w:t>
            </w:r>
            <w:r>
              <w:rPr>
                <w:rFonts w:ascii="Cambria Math" w:hAnsi="Cambria Math" w:cs="Cambria Math" w:eastAsia="Cambria Math"/>
                <w:spacing w:val="14"/>
                <w:w w:val="127"/>
                <w:sz w:val="22"/>
                <w:szCs w:val="22"/>
                <w:vertAlign w:val="superscript"/>
              </w:rPr>
              <w:t>ℎ</w:t>
            </w:r>
            <w:r>
              <w:rPr>
                <w:rFonts w:ascii="Cambria Math" w:hAnsi="Cambria Math" w:cs="Cambria Math" w:eastAsia="Cambria Math"/>
                <w:w w:val="48"/>
                <w:position w:val="15"/>
                <w:sz w:val="22"/>
                <w:szCs w:val="22"/>
                <w:vertAlign w:val="baseline"/>
              </w:rPr>
              <w:t>�</w:t>
            </w:r>
          </w:p>
        </w:tc>
        <w:tc>
          <w:tcPr>
            <w:tcW w:w="117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9"/>
              <w:rPr>
                <w:i/>
                <w:sz w:val="30"/>
              </w:rPr>
            </w:pPr>
          </w:p>
          <w:p>
            <w:pPr>
              <w:pStyle w:val="TableParagraph"/>
              <w:ind w:left="97" w:right="80"/>
              <w:jc w:val="center"/>
              <w:rPr>
                <w:sz w:val="22"/>
              </w:rPr>
            </w:pPr>
            <w:r>
              <w:rPr>
                <w:sz w:val="22"/>
              </w:rPr>
              <w:t>f,g,h</w:t>
            </w:r>
          </w:p>
        </w:tc>
        <w:tc>
          <w:tcPr>
            <w:tcW w:w="153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15" w:right="95" w:hanging="1"/>
              <w:jc w:val="center"/>
              <w:rPr>
                <w:sz w:val="22"/>
              </w:rPr>
            </w:pPr>
            <w:r>
              <w:rPr>
                <w:sz w:val="22"/>
              </w:rPr>
              <w:t>striking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velocity,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projectile area,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projectile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weight,</w:t>
            </w:r>
          </w:p>
          <w:p>
            <w:pPr>
              <w:pStyle w:val="TableParagraph"/>
              <w:spacing w:line="234" w:lineRule="exact"/>
              <w:ind w:left="174" w:right="102"/>
              <w:jc w:val="center"/>
              <w:rPr>
                <w:sz w:val="22"/>
              </w:rPr>
            </w:pPr>
            <w:r>
              <w:rPr>
                <w:sz w:val="22"/>
              </w:rPr>
              <w:t>3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constants</w:t>
            </w:r>
          </w:p>
        </w:tc>
        <w:tc>
          <w:tcPr>
            <w:tcW w:w="1217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9"/>
              <w:rPr>
                <w:i/>
                <w:sz w:val="30"/>
              </w:rPr>
            </w:pPr>
          </w:p>
          <w:p>
            <w:pPr>
              <w:pStyle w:val="TableParagraph"/>
              <w:ind w:left="146" w:right="123"/>
              <w:jc w:val="center"/>
              <w:rPr>
                <w:sz w:val="22"/>
              </w:rPr>
            </w:pPr>
            <w:r>
              <w:rPr>
                <w:sz w:val="22"/>
              </w:rPr>
              <w:t>1.532</w:t>
            </w:r>
          </w:p>
        </w:tc>
      </w:tr>
      <w:tr>
        <w:trPr>
          <w:trHeight w:val="485" w:hRule="atLeast"/>
        </w:trPr>
        <w:tc>
          <w:tcPr>
            <w:tcW w:w="1619" w:type="dxa"/>
            <w:vMerge w:val="restart"/>
            <w:tcBorders>
              <w:right w:val="single" w:sz="4" w:space="0" w:color="000000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0"/>
              <w:rPr>
                <w:i/>
                <w:sz w:val="30"/>
              </w:rPr>
            </w:pPr>
          </w:p>
          <w:p>
            <w:pPr>
              <w:pStyle w:val="TableParagraph"/>
              <w:spacing w:line="253" w:lineRule="exact" w:before="1"/>
              <w:ind w:left="96" w:right="82"/>
              <w:jc w:val="center"/>
              <w:rPr>
                <w:sz w:val="22"/>
              </w:rPr>
            </w:pPr>
            <w:r>
              <w:rPr>
                <w:sz w:val="22"/>
              </w:rPr>
              <w:t>CLT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THOR</w:t>
            </w:r>
          </w:p>
          <w:p>
            <w:pPr>
              <w:pStyle w:val="TableParagraph"/>
              <w:spacing w:line="253" w:lineRule="exact"/>
              <w:ind w:left="97" w:right="82"/>
              <w:jc w:val="center"/>
              <w:rPr>
                <w:sz w:val="22"/>
              </w:rPr>
            </w:pPr>
            <w:r>
              <w:rPr>
                <w:sz w:val="22"/>
              </w:rPr>
              <w:t>model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(revised)</w:t>
            </w:r>
          </w:p>
        </w:tc>
        <w:tc>
          <w:tcPr>
            <w:tcW w:w="3058" w:type="dxa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rPr>
                <w:i/>
                <w:sz w:val="31"/>
              </w:rPr>
            </w:pPr>
          </w:p>
          <w:p>
            <w:pPr>
              <w:pStyle w:val="TableParagraph"/>
              <w:spacing w:line="146" w:lineRule="auto"/>
              <w:ind w:left="1845"/>
              <w:rPr>
                <w:rFonts w:ascii="Cambria Math" w:eastAsia="Cambria Math"/>
                <w:sz w:val="16"/>
              </w:rPr>
            </w:pPr>
            <w:r>
              <w:rPr>
                <w:rFonts w:ascii="Cambria Math" w:eastAsia="Cambria Math"/>
                <w:w w:val="105"/>
                <w:position w:val="-7"/>
                <w:sz w:val="22"/>
              </w:rPr>
              <w:t>𝑣</w:t>
            </w:r>
            <w:r>
              <w:rPr>
                <w:rFonts w:ascii="Cambria Math" w:eastAsia="Cambria Math"/>
                <w:w w:val="105"/>
                <w:position w:val="-12"/>
                <w:sz w:val="16"/>
              </w:rPr>
              <w:t>𝑠</w:t>
            </w:r>
            <w:r>
              <w:rPr>
                <w:rFonts w:ascii="Cambria Math" w:eastAsia="Cambria Math"/>
                <w:w w:val="105"/>
                <w:sz w:val="16"/>
              </w:rPr>
              <w:t>𝑎</w:t>
            </w:r>
          </w:p>
          <w:p>
            <w:pPr>
              <w:pStyle w:val="TableParagraph"/>
              <w:spacing w:line="165" w:lineRule="auto"/>
              <w:ind w:left="659"/>
              <w:rPr>
                <w:rFonts w:ascii="Cambria Math" w:hAnsi="Cambria Math" w:cs="Cambria Math" w:eastAsia="Cambria Math"/>
                <w:sz w:val="22"/>
                <w:szCs w:val="22"/>
              </w:rPr>
            </w:pPr>
            <w:r>
              <w:rPr>
                <w:rFonts w:ascii="Cambria Math" w:hAnsi="Cambria Math" w:cs="Cambria Math" w:eastAsia="Cambria Math"/>
                <w:spacing w:val="-30"/>
                <w:w w:val="99"/>
                <w:sz w:val="22"/>
                <w:szCs w:val="22"/>
              </w:rPr>
              <w:t>𝑇</w:t>
            </w:r>
            <w:r>
              <w:rPr>
                <w:rFonts w:ascii="Cambria Math" w:hAnsi="Cambria Math" w:cs="Cambria Math" w:eastAsia="Cambria Math"/>
                <w:w w:val="55"/>
                <w:position w:val="-4"/>
                <w:sz w:val="16"/>
                <w:szCs w:val="16"/>
              </w:rPr>
              <w:t>𝑤𝑤</w:t>
            </w:r>
            <w:r>
              <w:rPr>
                <w:rFonts w:ascii="Cambria Math" w:hAnsi="Cambria Math" w:cs="Cambria Math" w:eastAsia="Cambria Math"/>
                <w:position w:val="-4"/>
                <w:sz w:val="16"/>
                <w:szCs w:val="16"/>
              </w:rPr>
              <w:t> </w:t>
            </w:r>
            <w:r>
              <w:rPr>
                <w:rFonts w:ascii="Cambria Math" w:hAnsi="Cambria Math" w:cs="Cambria Math" w:eastAsia="Cambria Math"/>
                <w:spacing w:val="4"/>
                <w:position w:val="-4"/>
                <w:sz w:val="16"/>
                <w:szCs w:val="16"/>
              </w:rPr>
              <w:t> </w:t>
            </w:r>
            <w:r>
              <w:rPr>
                <w:rFonts w:ascii="Cambria Math" w:hAnsi="Cambria Math" w:cs="Cambria Math" w:eastAsia="Cambria Math"/>
                <w:w w:val="99"/>
                <w:sz w:val="22"/>
                <w:szCs w:val="22"/>
              </w:rPr>
              <w:t>=</w:t>
            </w:r>
            <w:r>
              <w:rPr>
                <w:rFonts w:ascii="Cambria Math" w:hAnsi="Cambria Math" w:cs="Cambria Math" w:eastAsia="Cambria Math"/>
                <w:spacing w:val="13"/>
                <w:sz w:val="22"/>
                <w:szCs w:val="22"/>
              </w:rPr>
              <w:t> </w:t>
            </w:r>
            <w:r>
              <w:rPr>
                <w:rFonts w:ascii="Cambria Math" w:hAnsi="Cambria Math" w:cs="Cambria Math" w:eastAsia="Cambria Math"/>
                <w:spacing w:val="-19"/>
                <w:w w:val="99"/>
                <w:sz w:val="22"/>
                <w:szCs w:val="22"/>
              </w:rPr>
              <w:t>𝐶</w:t>
            </w:r>
            <w:r>
              <w:rPr>
                <w:rFonts w:ascii="Cambria Math" w:hAnsi="Cambria Math" w:cs="Cambria Math" w:eastAsia="Cambria Math"/>
                <w:w w:val="104"/>
                <w:position w:val="-4"/>
                <w:sz w:val="16"/>
                <w:szCs w:val="16"/>
              </w:rPr>
              <w:t>1</w:t>
            </w:r>
            <w:r>
              <w:rPr>
                <w:rFonts w:ascii="Cambria Math" w:hAnsi="Cambria Math" w:cs="Cambria Math" w:eastAsia="Cambria Math"/>
                <w:spacing w:val="11"/>
                <w:position w:val="-4"/>
                <w:sz w:val="16"/>
                <w:szCs w:val="16"/>
              </w:rPr>
              <w:t> </w:t>
            </w:r>
            <w:r>
              <w:rPr>
                <w:rFonts w:ascii="Cambria Math" w:hAnsi="Cambria Math" w:cs="Cambria Math" w:eastAsia="Cambria Math"/>
                <w:w w:val="57"/>
                <w:sz w:val="22"/>
                <w:szCs w:val="22"/>
              </w:rPr>
              <w:t>�</w:t>
            </w:r>
            <w:r>
              <w:rPr>
                <w:rFonts w:ascii="Cambria Math" w:hAnsi="Cambria Math" w:cs="Cambria Math" w:eastAsia="Cambria Math"/>
                <w:spacing w:val="-1"/>
                <w:w w:val="99"/>
                <w:position w:val="-14"/>
                <w:sz w:val="22"/>
                <w:szCs w:val="22"/>
              </w:rPr>
              <w:t>10</w:t>
            </w:r>
            <w:r>
              <w:rPr>
                <w:rFonts w:ascii="Cambria Math" w:hAnsi="Cambria Math" w:cs="Cambria Math" w:eastAsia="Cambria Math"/>
                <w:spacing w:val="15"/>
                <w:w w:val="109"/>
                <w:position w:val="-7"/>
                <w:sz w:val="16"/>
                <w:szCs w:val="16"/>
              </w:rPr>
              <w:t>𝑐</w:t>
            </w:r>
            <w:r>
              <w:rPr>
                <w:rFonts w:ascii="Cambria Math" w:hAnsi="Cambria Math" w:cs="Cambria Math" w:eastAsia="Cambria Math"/>
                <w:spacing w:val="4"/>
                <w:w w:val="99"/>
                <w:position w:val="-14"/>
                <w:sz w:val="22"/>
                <w:szCs w:val="22"/>
              </w:rPr>
              <w:t>𝜌</w:t>
            </w:r>
            <w:r>
              <w:rPr>
                <w:rFonts w:ascii="Cambria Math" w:hAnsi="Cambria Math" w:cs="Cambria Math" w:eastAsia="Cambria Math"/>
                <w:spacing w:val="14"/>
                <w:w w:val="110"/>
                <w:position w:val="-7"/>
                <w:sz w:val="16"/>
                <w:szCs w:val="16"/>
              </w:rPr>
              <w:t>𝑑</w:t>
            </w:r>
            <w:r>
              <w:rPr>
                <w:rFonts w:ascii="Cambria Math" w:hAnsi="Cambria Math" w:cs="Cambria Math" w:eastAsia="Cambria Math"/>
                <w:spacing w:val="9"/>
                <w:w w:val="99"/>
                <w:position w:val="-14"/>
                <w:sz w:val="22"/>
                <w:szCs w:val="22"/>
              </w:rPr>
              <w:t>𝐻</w:t>
            </w:r>
            <w:r>
              <w:rPr>
                <w:rFonts w:ascii="Cambria Math" w:hAnsi="Cambria Math" w:cs="Cambria Math" w:eastAsia="Cambria Math"/>
                <w:w w:val="54"/>
                <w:position w:val="-7"/>
                <w:sz w:val="16"/>
                <w:szCs w:val="16"/>
              </w:rPr>
              <w:t>𝑓𝑓</w:t>
            </w:r>
            <w:r>
              <w:rPr>
                <w:rFonts w:ascii="Cambria Math" w:hAnsi="Cambria Math" w:cs="Cambria Math" w:eastAsia="Cambria Math"/>
                <w:spacing w:val="-21"/>
                <w:position w:val="-7"/>
                <w:sz w:val="16"/>
                <w:szCs w:val="16"/>
              </w:rPr>
              <w:t> </w:t>
            </w:r>
            <w:r>
              <w:rPr>
                <w:rFonts w:ascii="Cambria Math" w:hAnsi="Cambria Math" w:cs="Cambria Math" w:eastAsia="Cambria Math"/>
                <w:w w:val="57"/>
                <w:sz w:val="22"/>
                <w:szCs w:val="22"/>
              </w:rPr>
              <w:t>�</w:t>
            </w:r>
          </w:p>
        </w:tc>
        <w:tc>
          <w:tcPr>
            <w:tcW w:w="1170" w:type="dxa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206"/>
              <w:ind w:left="181"/>
              <w:rPr>
                <w:sz w:val="22"/>
              </w:rPr>
            </w:pPr>
            <w:r>
              <w:rPr>
                <w:sz w:val="22"/>
              </w:rPr>
              <w:t>C</w:t>
            </w:r>
            <w:r>
              <w:rPr>
                <w:sz w:val="22"/>
                <w:vertAlign w:val="subscript"/>
              </w:rPr>
              <w:t>1</w:t>
            </w:r>
            <w:r>
              <w:rPr>
                <w:sz w:val="22"/>
                <w:vertAlign w:val="baseline"/>
              </w:rPr>
              <w:t>,a,c,d,f</w:t>
            </w:r>
          </w:p>
        </w:tc>
        <w:tc>
          <w:tcPr>
            <w:tcW w:w="1530" w:type="dxa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45" w:right="125" w:hanging="1"/>
              <w:jc w:val="center"/>
              <w:rPr>
                <w:sz w:val="22"/>
              </w:rPr>
            </w:pPr>
            <w:r>
              <w:rPr>
                <w:sz w:val="22"/>
              </w:rPr>
              <w:t>striking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velocity,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projectile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weight, target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density, target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hardness,</w:t>
            </w:r>
          </w:p>
          <w:p>
            <w:pPr>
              <w:pStyle w:val="TableParagraph"/>
              <w:spacing w:line="233" w:lineRule="exact"/>
              <w:ind w:left="174" w:right="157"/>
              <w:jc w:val="center"/>
              <w:rPr>
                <w:sz w:val="22"/>
              </w:rPr>
            </w:pPr>
            <w:r>
              <w:rPr>
                <w:sz w:val="22"/>
              </w:rPr>
              <w:t>5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constants</w:t>
            </w:r>
          </w:p>
        </w:tc>
        <w:tc>
          <w:tcPr>
            <w:tcW w:w="1217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17"/>
              <w:ind w:left="147" w:right="123"/>
              <w:jc w:val="center"/>
              <w:rPr>
                <w:sz w:val="22"/>
              </w:rPr>
            </w:pPr>
            <w:r>
              <w:rPr>
                <w:sz w:val="22"/>
              </w:rPr>
              <w:t>All: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0.303</w:t>
            </w:r>
          </w:p>
        </w:tc>
      </w:tr>
      <w:tr>
        <w:trPr>
          <w:trHeight w:val="505" w:hRule="atLeast"/>
        </w:trPr>
        <w:tc>
          <w:tcPr>
            <w:tcW w:w="1619" w:type="dxa"/>
            <w:vMerge/>
            <w:tcBorders>
              <w:top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58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70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30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2" w:lineRule="exact"/>
              <w:ind w:left="365" w:right="258" w:hanging="65"/>
              <w:rPr>
                <w:sz w:val="22"/>
              </w:rPr>
            </w:pPr>
            <w:r>
              <w:rPr>
                <w:sz w:val="22"/>
              </w:rPr>
              <w:t>SPF-S: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0.402</w:t>
            </w:r>
          </w:p>
        </w:tc>
      </w:tr>
      <w:tr>
        <w:trPr>
          <w:trHeight w:val="739" w:hRule="atLeast"/>
        </w:trPr>
        <w:tc>
          <w:tcPr>
            <w:tcW w:w="1619" w:type="dxa"/>
            <w:vMerge/>
            <w:tcBorders>
              <w:top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58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70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30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17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before="118"/>
              <w:ind w:left="365" w:right="322" w:firstLine="14"/>
              <w:rPr>
                <w:sz w:val="22"/>
              </w:rPr>
            </w:pPr>
            <w:r>
              <w:rPr>
                <w:sz w:val="22"/>
              </w:rPr>
              <w:t>SYP: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0.190</w:t>
            </w:r>
          </w:p>
        </w:tc>
      </w:tr>
      <w:tr>
        <w:trPr>
          <w:trHeight w:val="565" w:hRule="atLeast"/>
        </w:trPr>
        <w:tc>
          <w:tcPr>
            <w:tcW w:w="1619" w:type="dxa"/>
            <w:vMerge w:val="restart"/>
            <w:tcBorders>
              <w:right w:val="single" w:sz="4" w:space="0" w:color="000000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1"/>
              <w:rPr>
                <w:i/>
                <w:sz w:val="28"/>
              </w:rPr>
            </w:pPr>
          </w:p>
          <w:p>
            <w:pPr>
              <w:pStyle w:val="TableParagraph"/>
              <w:ind w:left="534" w:right="180" w:hanging="322"/>
              <w:rPr>
                <w:sz w:val="22"/>
              </w:rPr>
            </w:pPr>
            <w:r>
              <w:rPr>
                <w:sz w:val="22"/>
              </w:rPr>
              <w:t>Revised UFC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model</w:t>
            </w:r>
          </w:p>
        </w:tc>
        <w:tc>
          <w:tcPr>
            <w:tcW w:w="3058" w:type="dxa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rPr>
                <w:i/>
                <w:sz w:val="27"/>
              </w:rPr>
            </w:pPr>
          </w:p>
          <w:p>
            <w:pPr>
              <w:pStyle w:val="TableParagraph"/>
              <w:spacing w:line="213" w:lineRule="exact" w:before="1"/>
              <w:ind w:left="576"/>
              <w:jc w:val="center"/>
              <w:rPr>
                <w:rFonts w:ascii="Cambria Math" w:hAnsi="Cambria Math" w:cs="Cambria Math" w:eastAsia="Cambria Math"/>
                <w:sz w:val="22"/>
                <w:szCs w:val="22"/>
              </w:rPr>
            </w:pPr>
            <w:r>
              <w:rPr>
                <w:rFonts w:ascii="Cambria Math" w:hAnsi="Cambria Math" w:cs="Cambria Math" w:eastAsia="Cambria Math"/>
                <w:spacing w:val="-1"/>
                <w:w w:val="44"/>
                <w:sz w:val="22"/>
                <w:szCs w:val="22"/>
              </w:rPr>
              <w:t>�</w:t>
            </w:r>
            <w:r>
              <w:rPr>
                <w:rFonts w:ascii="Cambria Math" w:hAnsi="Cambria Math" w:cs="Cambria Math" w:eastAsia="Cambria Math"/>
                <w:spacing w:val="12"/>
                <w:w w:val="99"/>
                <w:sz w:val="22"/>
                <w:szCs w:val="22"/>
              </w:rPr>
              <w:t>𝑣</w:t>
            </w:r>
            <w:r>
              <w:rPr>
                <w:rFonts w:ascii="Cambria Math" w:hAnsi="Cambria Math" w:cs="Cambria Math" w:eastAsia="Cambria Math"/>
                <w:spacing w:val="14"/>
                <w:w w:val="127"/>
                <w:sz w:val="22"/>
                <w:szCs w:val="22"/>
                <w:vertAlign w:val="superscript"/>
              </w:rPr>
              <w:t>𝑎</w:t>
            </w:r>
            <w:r>
              <w:rPr>
                <w:rFonts w:ascii="Cambria Math" w:hAnsi="Cambria Math" w:cs="Cambria Math" w:eastAsia="Cambria Math"/>
                <w:spacing w:val="12"/>
                <w:w w:val="99"/>
                <w:sz w:val="22"/>
                <w:szCs w:val="22"/>
                <w:vertAlign w:val="baseline"/>
              </w:rPr>
              <w:t>𝑤</w:t>
            </w:r>
            <w:r>
              <w:rPr>
                <w:rFonts w:ascii="Cambria Math" w:hAnsi="Cambria Math" w:cs="Cambria Math" w:eastAsia="Cambria Math"/>
                <w:spacing w:val="14"/>
                <w:w w:val="126"/>
                <w:sz w:val="22"/>
                <w:szCs w:val="22"/>
                <w:vertAlign w:val="superscript"/>
              </w:rPr>
              <w:t>𝑏</w:t>
            </w:r>
            <w:r>
              <w:rPr>
                <w:rFonts w:ascii="Cambria Math" w:hAnsi="Cambria Math" w:cs="Cambria Math" w:eastAsia="Cambria Math"/>
                <w:w w:val="44"/>
                <w:sz w:val="22"/>
                <w:szCs w:val="22"/>
                <w:vertAlign w:val="baseline"/>
              </w:rPr>
              <w:t>�</w:t>
            </w:r>
          </w:p>
          <w:p>
            <w:pPr>
              <w:pStyle w:val="TableParagraph"/>
              <w:tabs>
                <w:tab w:pos="1992" w:val="left" w:leader="none"/>
                <w:tab w:pos="2407" w:val="left" w:leader="none"/>
              </w:tabs>
              <w:spacing w:line="185" w:lineRule="exact"/>
              <w:ind w:left="340"/>
              <w:rPr>
                <w:rFonts w:ascii="Cambria Math" w:hAnsi="Cambria Math" w:cs="Cambria Math" w:eastAsia="Cambria Math"/>
                <w:sz w:val="22"/>
                <w:szCs w:val="22"/>
              </w:rPr>
            </w:pPr>
            <w:r>
              <w:rPr>
                <w:rFonts w:ascii="Cambria Math" w:hAnsi="Cambria Math" w:cs="Cambria Math" w:eastAsia="Cambria Math"/>
                <w:w w:val="80"/>
                <w:sz w:val="22"/>
                <w:szCs w:val="22"/>
              </w:rPr>
              <w:t>𝑇</w:t>
            </w:r>
            <w:r>
              <w:rPr>
                <w:rFonts w:ascii="Cambria Math" w:hAnsi="Cambria Math" w:cs="Cambria Math" w:eastAsia="Cambria Math"/>
                <w:w w:val="80"/>
                <w:position w:val="-4"/>
                <w:sz w:val="16"/>
                <w:szCs w:val="16"/>
              </w:rPr>
              <w:t>𝑤𝑤</w:t>
            </w:r>
            <w:r>
              <w:rPr>
                <w:rFonts w:ascii="Cambria Math" w:hAnsi="Cambria Math" w:cs="Cambria Math" w:eastAsia="Cambria Math"/>
                <w:spacing w:val="22"/>
                <w:w w:val="80"/>
                <w:position w:val="-4"/>
                <w:sz w:val="16"/>
                <w:szCs w:val="16"/>
              </w:rPr>
              <w:t> </w:t>
            </w:r>
            <w:r>
              <w:rPr>
                <w:rFonts w:ascii="Cambria Math" w:hAnsi="Cambria Math" w:cs="Cambria Math" w:eastAsia="Cambria Math"/>
                <w:w w:val="85"/>
                <w:sz w:val="22"/>
                <w:szCs w:val="22"/>
              </w:rPr>
              <w:t>= 𝐶</w:t>
            </w:r>
            <w:r>
              <w:rPr>
                <w:rFonts w:ascii="Cambria Math" w:hAnsi="Cambria Math" w:cs="Cambria Math" w:eastAsia="Cambria Math"/>
                <w:w w:val="85"/>
                <w:position w:val="-4"/>
                <w:sz w:val="16"/>
                <w:szCs w:val="16"/>
              </w:rPr>
              <w:t>1</w:t>
            </w:r>
            <w:r>
              <w:rPr>
                <w:rFonts w:ascii="Cambria Math" w:hAnsi="Cambria Math" w:cs="Cambria Math" w:eastAsia="Cambria Math"/>
                <w:spacing w:val="1"/>
                <w:w w:val="85"/>
                <w:position w:val="-4"/>
                <w:sz w:val="16"/>
                <w:szCs w:val="16"/>
              </w:rPr>
              <w:t> </w:t>
            </w:r>
            <w:r>
              <w:rPr>
                <w:rFonts w:ascii="Cambria Math" w:hAnsi="Cambria Math" w:cs="Cambria Math" w:eastAsia="Cambria Math"/>
                <w:w w:val="80"/>
                <w:sz w:val="22"/>
                <w:szCs w:val="22"/>
              </w:rPr>
              <w:t>�</w:t>
              <w:tab/>
            </w:r>
            <w:r>
              <w:rPr>
                <w:rFonts w:ascii="Cambria Math" w:hAnsi="Cambria Math" w:cs="Cambria Math" w:eastAsia="Cambria Math"/>
                <w:w w:val="95"/>
                <w:position w:val="-4"/>
                <w:sz w:val="16"/>
                <w:szCs w:val="16"/>
              </w:rPr>
              <w:t>𝑐</w:t>
              <w:tab/>
            </w:r>
            <w:r>
              <w:rPr>
                <w:rFonts w:ascii="Cambria Math" w:hAnsi="Cambria Math" w:cs="Cambria Math" w:eastAsia="Cambria Math"/>
                <w:w w:val="80"/>
                <w:sz w:val="22"/>
                <w:szCs w:val="22"/>
              </w:rPr>
              <w:t>�</w:t>
            </w:r>
          </w:p>
          <w:p>
            <w:pPr>
              <w:pStyle w:val="TableParagraph"/>
              <w:spacing w:line="253" w:lineRule="exact"/>
              <w:ind w:left="560"/>
              <w:jc w:val="center"/>
              <w:rPr>
                <w:rFonts w:ascii="Cambria Math" w:hAnsi="Cambria Math" w:cs="Cambria Math" w:eastAsia="Cambria Math"/>
                <w:sz w:val="22"/>
                <w:szCs w:val="22"/>
              </w:rPr>
            </w:pPr>
            <w:r>
              <w:rPr>
                <w:rFonts w:ascii="Cambria Math" w:hAnsi="Cambria Math" w:cs="Cambria Math" w:eastAsia="Cambria Math"/>
                <w:w w:val="99"/>
                <w:sz w:val="22"/>
                <w:szCs w:val="22"/>
              </w:rPr>
              <w:t>𝜌</w:t>
            </w:r>
            <w:r>
              <w:rPr>
                <w:rFonts w:ascii="Cambria Math" w:hAnsi="Cambria Math" w:cs="Cambria Math" w:eastAsia="Cambria Math"/>
                <w:spacing w:val="-10"/>
                <w:sz w:val="22"/>
                <w:szCs w:val="22"/>
              </w:rPr>
              <w:t> </w:t>
            </w:r>
            <w:r>
              <w:rPr>
                <w:rFonts w:ascii="Cambria Math" w:hAnsi="Cambria Math" w:cs="Cambria Math" w:eastAsia="Cambria Math"/>
                <w:w w:val="49"/>
                <w:sz w:val="22"/>
                <w:szCs w:val="22"/>
              </w:rPr>
              <w:t>�</w:t>
            </w:r>
            <w:r>
              <w:rPr>
                <w:rFonts w:ascii="Cambria Math" w:hAnsi="Cambria Math" w:cs="Cambria Math" w:eastAsia="Cambria Math"/>
                <w:spacing w:val="4"/>
                <w:w w:val="99"/>
                <w:position w:val="13"/>
                <w:sz w:val="22"/>
                <w:szCs w:val="22"/>
              </w:rPr>
              <w:t>𝜋</w:t>
            </w:r>
            <w:r>
              <w:rPr>
                <w:rFonts w:ascii="Cambria Math" w:hAnsi="Cambria Math" w:cs="Cambria Math" w:eastAsia="Cambria Math"/>
                <w:spacing w:val="6"/>
                <w:w w:val="99"/>
                <w:position w:val="13"/>
                <w:sz w:val="22"/>
                <w:szCs w:val="22"/>
              </w:rPr>
              <w:t>𝐷</w:t>
            </w:r>
            <w:r>
              <w:rPr>
                <w:rFonts w:ascii="Cambria Math" w:hAnsi="Cambria Math" w:cs="Cambria Math" w:eastAsia="Cambria Math"/>
                <w:spacing w:val="10"/>
                <w:w w:val="104"/>
                <w:position w:val="19"/>
                <w:sz w:val="16"/>
                <w:szCs w:val="16"/>
              </w:rPr>
              <w:t>2</w:t>
            </w:r>
            <w:r>
              <w:rPr>
                <w:rFonts w:ascii="Cambria Math" w:hAnsi="Cambria Math" w:cs="Cambria Math" w:eastAsia="Cambria Math"/>
                <w:w w:val="49"/>
                <w:sz w:val="22"/>
                <w:szCs w:val="22"/>
              </w:rPr>
              <w:t>�</w:t>
            </w:r>
            <w:r>
              <w:rPr>
                <w:rFonts w:ascii="Cambria Math" w:hAnsi="Cambria Math" w:cs="Cambria Math" w:eastAsia="Cambria Math"/>
                <w:sz w:val="22"/>
                <w:szCs w:val="22"/>
              </w:rPr>
              <w:t>  </w:t>
            </w:r>
            <w:r>
              <w:rPr>
                <w:rFonts w:ascii="Cambria Math" w:hAnsi="Cambria Math" w:cs="Cambria Math" w:eastAsia="Cambria Math"/>
                <w:spacing w:val="-14"/>
                <w:sz w:val="22"/>
                <w:szCs w:val="22"/>
              </w:rPr>
              <w:t> </w:t>
            </w:r>
            <w:r>
              <w:rPr>
                <w:rFonts w:ascii="Cambria Math" w:hAnsi="Cambria Math" w:cs="Cambria Math" w:eastAsia="Cambria Math"/>
                <w:spacing w:val="5"/>
                <w:w w:val="99"/>
                <w:sz w:val="22"/>
                <w:szCs w:val="22"/>
              </w:rPr>
              <w:t>𝐻</w:t>
            </w:r>
            <w:r>
              <w:rPr>
                <w:rFonts w:ascii="Cambria Math" w:hAnsi="Cambria Math" w:cs="Cambria Math" w:eastAsia="Cambria Math"/>
                <w:w w:val="125"/>
                <w:sz w:val="22"/>
                <w:szCs w:val="22"/>
                <w:vertAlign w:val="superscript"/>
              </w:rPr>
              <w:t>𝑑</w:t>
            </w:r>
          </w:p>
          <w:p>
            <w:pPr>
              <w:pStyle w:val="TableParagraph"/>
              <w:spacing w:line="185" w:lineRule="exact"/>
              <w:ind w:left="324"/>
              <w:jc w:val="center"/>
              <w:rPr>
                <w:rFonts w:ascii="Cambria Math"/>
                <w:sz w:val="22"/>
              </w:rPr>
            </w:pPr>
            <w:r>
              <w:rPr>
                <w:rFonts w:ascii="Cambria Math"/>
                <w:w w:val="99"/>
                <w:sz w:val="22"/>
              </w:rPr>
              <w:t>4</w:t>
            </w:r>
          </w:p>
        </w:tc>
        <w:tc>
          <w:tcPr>
            <w:tcW w:w="1170" w:type="dxa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83"/>
              <w:ind w:left="162"/>
              <w:rPr>
                <w:sz w:val="22"/>
              </w:rPr>
            </w:pPr>
            <w:r>
              <w:rPr>
                <w:sz w:val="22"/>
              </w:rPr>
              <w:t>a,b,c,d,C</w:t>
            </w:r>
            <w:r>
              <w:rPr>
                <w:sz w:val="22"/>
                <w:vertAlign w:val="subscript"/>
              </w:rPr>
              <w:t>1</w:t>
            </w:r>
          </w:p>
        </w:tc>
        <w:tc>
          <w:tcPr>
            <w:tcW w:w="1530" w:type="dxa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15" w:right="95" w:hanging="1"/>
              <w:jc w:val="center"/>
              <w:rPr>
                <w:sz w:val="22"/>
              </w:rPr>
            </w:pPr>
            <w:r>
              <w:rPr>
                <w:sz w:val="22"/>
              </w:rPr>
              <w:t>striking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velocity,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projectile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weight,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projectile area,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target density,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target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hardness,</w:t>
            </w:r>
          </w:p>
          <w:p>
            <w:pPr>
              <w:pStyle w:val="TableParagraph"/>
              <w:spacing w:line="235" w:lineRule="exact"/>
              <w:ind w:left="174" w:right="157"/>
              <w:jc w:val="center"/>
              <w:rPr>
                <w:sz w:val="22"/>
              </w:rPr>
            </w:pPr>
            <w:r>
              <w:rPr>
                <w:sz w:val="22"/>
              </w:rPr>
              <w:t>5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constants</w:t>
            </w:r>
          </w:p>
        </w:tc>
        <w:tc>
          <w:tcPr>
            <w:tcW w:w="1217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58"/>
              <w:ind w:left="147" w:right="123"/>
              <w:jc w:val="center"/>
              <w:rPr>
                <w:sz w:val="22"/>
              </w:rPr>
            </w:pPr>
            <w:r>
              <w:rPr>
                <w:sz w:val="22"/>
              </w:rPr>
              <w:t>All: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0.330</w:t>
            </w:r>
          </w:p>
        </w:tc>
      </w:tr>
      <w:tr>
        <w:trPr>
          <w:trHeight w:val="570" w:hRule="atLeast"/>
        </w:trPr>
        <w:tc>
          <w:tcPr>
            <w:tcW w:w="1619" w:type="dxa"/>
            <w:vMerge/>
            <w:tcBorders>
              <w:top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58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70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30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35"/>
              <w:ind w:left="365" w:right="258" w:hanging="65"/>
              <w:rPr>
                <w:sz w:val="22"/>
              </w:rPr>
            </w:pPr>
            <w:r>
              <w:rPr>
                <w:sz w:val="22"/>
              </w:rPr>
              <w:t>SPF-S: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0.403</w:t>
            </w:r>
          </w:p>
        </w:tc>
      </w:tr>
      <w:tr>
        <w:trPr>
          <w:trHeight w:val="1102" w:hRule="atLeast"/>
        </w:trPr>
        <w:tc>
          <w:tcPr>
            <w:tcW w:w="1619" w:type="dxa"/>
            <w:vMerge/>
            <w:tcBorders>
              <w:top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58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70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30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17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before="10"/>
              <w:rPr>
                <w:i/>
                <w:sz w:val="25"/>
              </w:rPr>
            </w:pPr>
          </w:p>
          <w:p>
            <w:pPr>
              <w:pStyle w:val="TableParagraph"/>
              <w:ind w:left="365" w:right="322" w:firstLine="14"/>
              <w:rPr>
                <w:sz w:val="22"/>
              </w:rPr>
            </w:pPr>
            <w:r>
              <w:rPr>
                <w:sz w:val="22"/>
              </w:rPr>
              <w:t>SYP: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0.250</w:t>
            </w:r>
          </w:p>
        </w:tc>
      </w:tr>
    </w:tbl>
    <w:p>
      <w:pPr>
        <w:spacing w:after="0"/>
        <w:rPr>
          <w:sz w:val="22"/>
        </w:rPr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40" w:right="417" w:firstLine="720"/>
        <w:jc w:val="both"/>
      </w:pPr>
      <w:r>
        <w:rPr/>
        <w:t>It is important to note that while the curves developed with these models appear to</w:t>
      </w:r>
      <w:r>
        <w:rPr>
          <w:spacing w:val="-57"/>
        </w:rPr>
        <w:t> </w:t>
      </w:r>
      <w:r>
        <w:rPr/>
        <w:t>continue</w:t>
      </w:r>
      <w:r>
        <w:rPr>
          <w:spacing w:val="-9"/>
        </w:rPr>
        <w:t> </w:t>
      </w:r>
      <w:r>
        <w:rPr/>
        <w:t>on</w:t>
      </w:r>
      <w:r>
        <w:rPr>
          <w:spacing w:val="-10"/>
        </w:rPr>
        <w:t> </w:t>
      </w:r>
      <w:r>
        <w:rPr/>
        <w:t>to</w:t>
      </w:r>
      <w:r>
        <w:rPr>
          <w:spacing w:val="-9"/>
        </w:rPr>
        <w:t> </w:t>
      </w:r>
      <w:r>
        <w:rPr/>
        <w:t>predict</w:t>
      </w:r>
      <w:r>
        <w:rPr>
          <w:spacing w:val="-8"/>
        </w:rPr>
        <w:t> </w:t>
      </w:r>
      <w:r>
        <w:rPr/>
        <w:t>more</w:t>
      </w:r>
      <w:r>
        <w:rPr>
          <w:spacing w:val="-8"/>
        </w:rPr>
        <w:t> </w:t>
      </w:r>
      <w:r>
        <w:rPr/>
        <w:t>wood</w:t>
      </w:r>
      <w:r>
        <w:rPr>
          <w:spacing w:val="-9"/>
        </w:rPr>
        <w:t> </w:t>
      </w:r>
      <w:r>
        <w:rPr/>
        <w:t>thickness</w:t>
      </w:r>
      <w:r>
        <w:rPr>
          <w:spacing w:val="-8"/>
        </w:rPr>
        <w:t> </w:t>
      </w:r>
      <w:r>
        <w:rPr/>
        <w:t>required</w:t>
      </w:r>
      <w:r>
        <w:rPr>
          <w:spacing w:val="-9"/>
        </w:rPr>
        <w:t> </w:t>
      </w:r>
      <w:r>
        <w:rPr/>
        <w:t>at</w:t>
      </w:r>
      <w:r>
        <w:rPr>
          <w:spacing w:val="-8"/>
        </w:rPr>
        <w:t> </w:t>
      </w:r>
      <w:r>
        <w:rPr/>
        <w:t>high</w:t>
      </w:r>
      <w:r>
        <w:rPr>
          <w:spacing w:val="-9"/>
        </w:rPr>
        <w:t> </w:t>
      </w:r>
      <w:r>
        <w:rPr/>
        <w:t>velocities,</w:t>
      </w:r>
      <w:r>
        <w:rPr>
          <w:spacing w:val="-9"/>
        </w:rPr>
        <w:t> </w:t>
      </w:r>
      <w:r>
        <w:rPr/>
        <w:t>these</w:t>
      </w:r>
      <w:r>
        <w:rPr>
          <w:spacing w:val="-8"/>
        </w:rPr>
        <w:t> </w:t>
      </w:r>
      <w:r>
        <w:rPr/>
        <w:t>models</w:t>
      </w:r>
      <w:r>
        <w:rPr>
          <w:spacing w:val="-8"/>
        </w:rPr>
        <w:t> </w:t>
      </w:r>
      <w:r>
        <w:rPr/>
        <w:t>likely</w:t>
      </w:r>
      <w:r>
        <w:rPr>
          <w:spacing w:val="-58"/>
        </w:rPr>
        <w:t> </w:t>
      </w:r>
      <w:r>
        <w:rPr/>
        <w:t>do not apply in the hypervelocity range.</w:t>
      </w:r>
      <w:r>
        <w:rPr>
          <w:spacing w:val="1"/>
        </w:rPr>
        <w:t> </w:t>
      </w:r>
      <w:r>
        <w:rPr/>
        <w:t>For this research, the velocity ranges evaluated</w:t>
      </w:r>
      <w:r>
        <w:rPr>
          <w:spacing w:val="1"/>
        </w:rPr>
        <w:t> </w:t>
      </w:r>
      <w:r>
        <w:rPr/>
        <w:t>are</w:t>
      </w:r>
      <w:r>
        <w:rPr>
          <w:spacing w:val="-3"/>
        </w:rPr>
        <w:t> </w:t>
      </w:r>
      <w:r>
        <w:rPr/>
        <w:t>limited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intermediate</w:t>
      </w:r>
      <w:r>
        <w:rPr>
          <w:spacing w:val="-2"/>
        </w:rPr>
        <w:t> </w:t>
      </w:r>
      <w:r>
        <w:rPr/>
        <w:t>velocity</w:t>
      </w:r>
      <w:r>
        <w:rPr>
          <w:spacing w:val="-3"/>
        </w:rPr>
        <w:t> </w:t>
      </w:r>
      <w:r>
        <w:rPr/>
        <w:t>range,</w:t>
      </w:r>
      <w:r>
        <w:rPr>
          <w:spacing w:val="-3"/>
        </w:rPr>
        <w:t> </w:t>
      </w:r>
      <w:r>
        <w:rPr/>
        <w:t>such</w:t>
      </w:r>
      <w:r>
        <w:rPr>
          <w:spacing w:val="-4"/>
        </w:rPr>
        <w:t> </w:t>
      </w:r>
      <w:r>
        <w:rPr/>
        <w:t>as</w:t>
      </w:r>
      <w:r>
        <w:rPr>
          <w:spacing w:val="-2"/>
        </w:rPr>
        <w:t> </w:t>
      </w:r>
      <w:r>
        <w:rPr/>
        <w:t>those</w:t>
      </w:r>
      <w:r>
        <w:rPr>
          <w:spacing w:val="-2"/>
        </w:rPr>
        <w:t> </w:t>
      </w:r>
      <w:r>
        <w:rPr/>
        <w:t>seen</w:t>
      </w:r>
      <w:r>
        <w:rPr>
          <w:spacing w:val="-3"/>
        </w:rPr>
        <w:t> </w:t>
      </w:r>
      <w:r>
        <w:rPr/>
        <w:t>with</w:t>
      </w:r>
      <w:r>
        <w:rPr>
          <w:spacing w:val="-3"/>
        </w:rPr>
        <w:t> </w:t>
      </w:r>
      <w:r>
        <w:rPr/>
        <w:t>munitions</w:t>
      </w:r>
      <w:r>
        <w:rPr>
          <w:spacing w:val="-2"/>
        </w:rPr>
        <w:t> </w:t>
      </w:r>
      <w:r>
        <w:rPr/>
        <w:t>projected</w:t>
      </w:r>
      <w:r>
        <w:rPr>
          <w:spacing w:val="-58"/>
        </w:rPr>
        <w:t> </w:t>
      </w:r>
      <w:r>
        <w:rPr/>
        <w:t>from</w:t>
      </w:r>
      <w:r>
        <w:rPr>
          <w:spacing w:val="1"/>
        </w:rPr>
        <w:t> </w:t>
      </w:r>
      <w:r>
        <w:rPr/>
        <w:t>conventional</w:t>
      </w:r>
      <w:r>
        <w:rPr>
          <w:spacing w:val="1"/>
        </w:rPr>
        <w:t> </w:t>
      </w:r>
      <w:r>
        <w:rPr/>
        <w:t>weapons</w:t>
      </w:r>
      <w:r>
        <w:rPr>
          <w:spacing w:val="1"/>
        </w:rPr>
        <w:t> </w:t>
      </w:r>
      <w:r>
        <w:rPr/>
        <w:t>systems.</w:t>
      </w:r>
      <w:r>
        <w:rPr>
          <w:spacing w:val="1"/>
        </w:rPr>
        <w:t> </w:t>
      </w:r>
      <w:r>
        <w:rPr/>
        <w:t>Further</w:t>
      </w:r>
      <w:r>
        <w:rPr>
          <w:spacing w:val="1"/>
        </w:rPr>
        <w:t> </w:t>
      </w:r>
      <w:r>
        <w:rPr/>
        <w:t>evaluation</w:t>
      </w:r>
      <w:r>
        <w:rPr>
          <w:spacing w:val="1"/>
        </w:rPr>
        <w:t> </w:t>
      </w:r>
      <w:r>
        <w:rPr/>
        <w:t>would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needed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hypervelocity</w:t>
      </w:r>
      <w:r>
        <w:rPr>
          <w:spacing w:val="-1"/>
        </w:rPr>
        <w:t> </w:t>
      </w:r>
      <w:r>
        <w:rPr/>
        <w:t>ranges and</w:t>
      </w:r>
      <w:r>
        <w:rPr>
          <w:spacing w:val="-3"/>
        </w:rPr>
        <w:t> </w:t>
      </w:r>
      <w:r>
        <w:rPr/>
        <w:t>it is</w:t>
      </w:r>
      <w:r>
        <w:rPr>
          <w:spacing w:val="-1"/>
        </w:rPr>
        <w:t> </w:t>
      </w:r>
      <w:r>
        <w:rPr/>
        <w:t>likely</w:t>
      </w:r>
      <w:r>
        <w:rPr>
          <w:spacing w:val="-1"/>
        </w:rPr>
        <w:t> </w:t>
      </w:r>
      <w:r>
        <w:rPr/>
        <w:t>that an upper</w:t>
      </w:r>
      <w:r>
        <w:rPr>
          <w:spacing w:val="-2"/>
        </w:rPr>
        <w:t> </w:t>
      </w:r>
      <w:r>
        <w:rPr/>
        <w:t>bound exists for</w:t>
      </w:r>
      <w:r>
        <w:rPr>
          <w:spacing w:val="-1"/>
        </w:rPr>
        <w:t> </w:t>
      </w:r>
      <w:r>
        <w:rPr/>
        <w:t>these</w:t>
      </w:r>
      <w:r>
        <w:rPr>
          <w:spacing w:val="-1"/>
        </w:rPr>
        <w:t> </w:t>
      </w:r>
      <w:r>
        <w:rPr/>
        <w:t>models.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/>
        <w:ind w:left="440" w:right="417" w:firstLine="720"/>
        <w:jc w:val="both"/>
      </w:pPr>
      <w:r>
        <w:rPr/>
        <w:t>Additionally, none of these models incorporate factors for the nose shape of the</w:t>
      </w:r>
      <w:r>
        <w:rPr>
          <w:spacing w:val="1"/>
        </w:rPr>
        <w:t> </w:t>
      </w:r>
      <w:r>
        <w:rPr/>
        <w:t>projectile.</w:t>
      </w:r>
      <w:r>
        <w:rPr>
          <w:spacing w:val="1"/>
        </w:rPr>
        <w:t> </w:t>
      </w:r>
      <w:r>
        <w:rPr/>
        <w:t>This is a known impacting factor in the ability of the projectile to penetrate for</w:t>
      </w:r>
      <w:r>
        <w:rPr>
          <w:spacing w:val="-57"/>
        </w:rPr>
        <w:t> </w:t>
      </w:r>
      <w:r>
        <w:rPr>
          <w:spacing w:val="-1"/>
        </w:rPr>
        <w:t>munitions</w:t>
      </w:r>
      <w:r>
        <w:rPr>
          <w:spacing w:val="-13"/>
        </w:rPr>
        <w:t> </w:t>
      </w:r>
      <w:r>
        <w:rPr>
          <w:spacing w:val="-1"/>
        </w:rPr>
        <w:t>and</w:t>
      </w:r>
      <w:r>
        <w:rPr>
          <w:spacing w:val="-14"/>
        </w:rPr>
        <w:t> </w:t>
      </w:r>
      <w:r>
        <w:rPr/>
        <w:t>weapons</w:t>
      </w:r>
      <w:r>
        <w:rPr>
          <w:spacing w:val="-12"/>
        </w:rPr>
        <w:t> </w:t>
      </w:r>
      <w:r>
        <w:rPr/>
        <w:t>design.</w:t>
      </w:r>
      <w:r>
        <w:rPr>
          <w:spacing w:val="33"/>
        </w:rPr>
        <w:t> </w:t>
      </w:r>
      <w:r>
        <w:rPr/>
        <w:t>Subsequently</w:t>
      </w:r>
      <w:r>
        <w:rPr>
          <w:spacing w:val="-14"/>
        </w:rPr>
        <w:t> </w:t>
      </w:r>
      <w:r>
        <w:rPr/>
        <w:t>ballistic</w:t>
      </w:r>
      <w:r>
        <w:rPr>
          <w:spacing w:val="-13"/>
        </w:rPr>
        <w:t> </w:t>
      </w:r>
      <w:r>
        <w:rPr/>
        <w:t>testing</w:t>
      </w:r>
      <w:r>
        <w:rPr>
          <w:spacing w:val="-14"/>
        </w:rPr>
        <w:t> </w:t>
      </w:r>
      <w:r>
        <w:rPr/>
        <w:t>with</w:t>
      </w:r>
      <w:r>
        <w:rPr>
          <w:spacing w:val="-14"/>
        </w:rPr>
        <w:t> </w:t>
      </w:r>
      <w:r>
        <w:rPr/>
        <w:t>rounds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different</w:t>
      </w:r>
      <w:r>
        <w:rPr>
          <w:spacing w:val="-13"/>
        </w:rPr>
        <w:t> </w:t>
      </w:r>
      <w:r>
        <w:rPr/>
        <w:t>nose</w:t>
      </w:r>
      <w:r>
        <w:rPr>
          <w:spacing w:val="-58"/>
        </w:rPr>
        <w:t> </w:t>
      </w:r>
      <w:r>
        <w:rPr/>
        <w:t>shape, such as ogive and spherical and blunt, would provide more insight on ballistic</w:t>
      </w:r>
      <w:r>
        <w:rPr>
          <w:spacing w:val="1"/>
        </w:rPr>
        <w:t> </w:t>
      </w:r>
      <w:r>
        <w:rPr/>
        <w:t>resistance</w:t>
      </w:r>
      <w:r>
        <w:rPr>
          <w:spacing w:val="-1"/>
        </w:rPr>
        <w:t> </w:t>
      </w:r>
      <w:r>
        <w:rPr/>
        <w:t>capability.</w:t>
      </w:r>
    </w:p>
    <w:p>
      <w:pPr>
        <w:pStyle w:val="Heading9"/>
        <w:numPr>
          <w:ilvl w:val="1"/>
          <w:numId w:val="21"/>
        </w:numPr>
        <w:tabs>
          <w:tab w:pos="800" w:val="left" w:leader="none"/>
        </w:tabs>
        <w:spacing w:line="240" w:lineRule="auto" w:before="162" w:after="0"/>
        <w:ind w:left="800" w:right="0" w:hanging="360"/>
        <w:jc w:val="both"/>
      </w:pPr>
      <w:bookmarkStart w:name="_TOC_250030" w:id="321"/>
      <w:bookmarkStart w:name="5.6 Residual velocity data analysis" w:id="322"/>
      <w:r>
        <w:rPr>
          <w:b w:val="0"/>
        </w:rPr>
      </w:r>
      <w:bookmarkEnd w:id="322"/>
      <w:bookmarkStart w:name="5.6 Residual velocity data analysis" w:id="323"/>
      <w:r>
        <w:rPr/>
        <w:t>R</w:t>
      </w:r>
      <w:r>
        <w:rPr/>
        <w:t>esidual</w:t>
      </w:r>
      <w:r>
        <w:rPr>
          <w:spacing w:val="-3"/>
        </w:rPr>
        <w:t> </w:t>
      </w:r>
      <w:r>
        <w:rPr/>
        <w:t>velocity</w:t>
      </w:r>
      <w:r>
        <w:rPr>
          <w:spacing w:val="-3"/>
        </w:rPr>
        <w:t> </w:t>
      </w:r>
      <w:r>
        <w:rPr/>
        <w:t>data</w:t>
      </w:r>
      <w:r>
        <w:rPr>
          <w:spacing w:val="-3"/>
        </w:rPr>
        <w:t> </w:t>
      </w:r>
      <w:bookmarkEnd w:id="321"/>
      <w:r>
        <w:rPr/>
        <w:t>analysis</w:t>
      </w:r>
    </w:p>
    <w:p>
      <w:pPr>
        <w:pStyle w:val="BodyText"/>
        <w:spacing w:before="7"/>
        <w:rPr>
          <w:b/>
          <w:sz w:val="22"/>
        </w:rPr>
      </w:pPr>
    </w:p>
    <w:p>
      <w:pPr>
        <w:pStyle w:val="ListParagraph"/>
        <w:numPr>
          <w:ilvl w:val="2"/>
          <w:numId w:val="21"/>
        </w:numPr>
        <w:tabs>
          <w:tab w:pos="980" w:val="left" w:leader="none"/>
        </w:tabs>
        <w:spacing w:line="240" w:lineRule="auto" w:before="1" w:after="0"/>
        <w:ind w:left="980" w:right="0" w:hanging="540"/>
        <w:jc w:val="both"/>
        <w:rPr>
          <w:i/>
          <w:sz w:val="24"/>
        </w:rPr>
      </w:pPr>
      <w:bookmarkStart w:name="5.6.1 Striking velocity range" w:id="324"/>
      <w:bookmarkEnd w:id="324"/>
      <w:r>
        <w:rPr/>
      </w:r>
      <w:bookmarkStart w:name="5.6.1 Striking velocity range" w:id="325"/>
      <w:bookmarkEnd w:id="325"/>
      <w:r>
        <w:rPr>
          <w:i/>
          <w:sz w:val="24"/>
        </w:rPr>
        <w:t>St</w:t>
      </w:r>
      <w:r>
        <w:rPr>
          <w:i/>
          <w:sz w:val="24"/>
        </w:rPr>
        <w:t>riking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velocity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range</w:t>
      </w:r>
    </w:p>
    <w:p>
      <w:pPr>
        <w:pStyle w:val="BodyText"/>
        <w:spacing w:before="7"/>
        <w:rPr>
          <w:i/>
          <w:sz w:val="22"/>
        </w:rPr>
      </w:pPr>
    </w:p>
    <w:p>
      <w:pPr>
        <w:pStyle w:val="BodyText"/>
        <w:spacing w:line="480" w:lineRule="auto"/>
        <w:ind w:left="440" w:right="417" w:firstLine="720"/>
        <w:jc w:val="both"/>
      </w:pPr>
      <w:r>
        <w:rPr/>
        <w:t>Ninety-five tests were conducted that resulted in complete penetrations and a</w:t>
      </w:r>
      <w:r>
        <w:rPr>
          <w:spacing w:val="1"/>
        </w:rPr>
        <w:t> </w:t>
      </w:r>
      <w:r>
        <w:rPr/>
        <w:t>corresponding residual velocity.</w:t>
      </w:r>
      <w:r>
        <w:rPr>
          <w:spacing w:val="1"/>
        </w:rPr>
        <w:t> </w:t>
      </w:r>
      <w:r>
        <w:rPr/>
        <w:t>The majority of the tests yielding residual velocity data</w:t>
      </w:r>
      <w:r>
        <w:rPr>
          <w:spacing w:val="1"/>
        </w:rPr>
        <w:t> </w:t>
      </w:r>
      <w:r>
        <w:rPr/>
        <w:t>also fell within a smaller band of striking velocities, as shown in </w:t>
      </w:r>
      <w:hyperlink w:history="true" w:anchor="_bookmark89">
        <w:r>
          <w:rPr/>
          <w:t>Figure 5-29</w:t>
        </w:r>
      </w:hyperlink>
      <w:r>
        <w:rPr/>
        <w:t>.</w:t>
      </w:r>
      <w:r>
        <w:rPr>
          <w:spacing w:val="1"/>
        </w:rPr>
        <w:t> </w:t>
      </w:r>
      <w:r>
        <w:rPr/>
        <w:t>Ballistics</w:t>
      </w:r>
      <w:r>
        <w:rPr>
          <w:spacing w:val="1"/>
        </w:rPr>
        <w:t> </w:t>
      </w:r>
      <w:r>
        <w:rPr/>
        <w:t>testing is inherently variable as even factory-produced munitions shoot at a range of</w:t>
      </w:r>
      <w:r>
        <w:rPr>
          <w:spacing w:val="1"/>
        </w:rPr>
        <w:t> </w:t>
      </w:r>
      <w:r>
        <w:rPr/>
        <w:t>velocities.</w:t>
      </w:r>
      <w:r>
        <w:rPr>
          <w:spacing w:val="1"/>
        </w:rPr>
        <w:t> </w:t>
      </w:r>
      <w:r>
        <w:rPr/>
        <w:t>The goal with these experiments was to shoot multiple shots and multiple</w:t>
      </w:r>
      <w:r>
        <w:rPr>
          <w:spacing w:val="1"/>
        </w:rPr>
        <w:t> </w:t>
      </w:r>
      <w:r>
        <w:rPr/>
        <w:t>specimens at the same approximate striking velocity for comparison. A small range in</w:t>
      </w:r>
      <w:r>
        <w:rPr>
          <w:spacing w:val="1"/>
        </w:rPr>
        <w:t> </w:t>
      </w:r>
      <w:r>
        <w:rPr/>
        <w:t>striking velocity allowed for examining the variability of residual velocity occurring with</w:t>
      </w:r>
      <w:r>
        <w:rPr>
          <w:spacing w:val="1"/>
        </w:rPr>
        <w:t> </w:t>
      </w:r>
      <w:r>
        <w:rPr/>
        <w:t>the non-homogenous wood target. In this case, the target striking velocity was 2,500 fps</w:t>
      </w:r>
      <w:r>
        <w:rPr>
          <w:spacing w:val="1"/>
        </w:rPr>
        <w:t> </w:t>
      </w:r>
      <w:r>
        <w:rPr/>
        <w:t>(762</w:t>
      </w:r>
      <w:r>
        <w:rPr>
          <w:spacing w:val="-1"/>
        </w:rPr>
        <w:t> </w:t>
      </w:r>
      <w:r>
        <w:rPr/>
        <w:t>m/s).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6"/>
        </w:rPr>
      </w:pPr>
    </w:p>
    <w:p>
      <w:pPr>
        <w:spacing w:before="1"/>
        <w:ind w:left="0" w:right="28" w:firstLine="0"/>
        <w:jc w:val="right"/>
        <w:rPr>
          <w:sz w:val="19"/>
        </w:rPr>
      </w:pPr>
      <w:r>
        <w:rPr>
          <w:sz w:val="19"/>
        </w:rPr>
        <w:t>1800</w:t>
      </w:r>
    </w:p>
    <w:p>
      <w:pPr>
        <w:spacing w:before="10"/>
        <w:ind w:left="0" w:right="28" w:firstLine="0"/>
        <w:jc w:val="right"/>
        <w:rPr>
          <w:sz w:val="19"/>
        </w:rPr>
      </w:pPr>
      <w:r>
        <w:rPr/>
        <w:pict>
          <v:shape style="position:absolute;margin-left:106.335373pt;margin-top:7.215009pt;width:19.9pt;height:152.1pt;mso-position-horizontal-relative:page;mso-position-vertical-relative:paragraph;z-index:15841280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27"/>
                    </w:rPr>
                  </w:pPr>
                  <w:r>
                    <w:rPr>
                      <w:sz w:val="27"/>
                    </w:rPr>
                    <w:t>Residual</w:t>
                  </w:r>
                  <w:r>
                    <w:rPr>
                      <w:spacing w:val="-1"/>
                      <w:sz w:val="27"/>
                    </w:rPr>
                    <w:t> </w:t>
                  </w:r>
                  <w:r>
                    <w:rPr>
                      <w:sz w:val="27"/>
                    </w:rPr>
                    <w:t>Velocity,</w:t>
                  </w:r>
                  <w:r>
                    <w:rPr>
                      <w:spacing w:val="-1"/>
                      <w:sz w:val="27"/>
                    </w:rPr>
                    <w:t> </w:t>
                  </w:r>
                  <w:r>
                    <w:rPr>
                      <w:sz w:val="27"/>
                    </w:rPr>
                    <w:t>V</w:t>
                  </w:r>
                  <w:r>
                    <w:rPr>
                      <w:position w:val="-5"/>
                      <w:sz w:val="21"/>
                    </w:rPr>
                    <w:t>R</w:t>
                  </w:r>
                  <w:r>
                    <w:rPr>
                      <w:spacing w:val="20"/>
                      <w:position w:val="-5"/>
                      <w:sz w:val="21"/>
                    </w:rPr>
                    <w:t> </w:t>
                  </w:r>
                  <w:r>
                    <w:rPr>
                      <w:sz w:val="27"/>
                    </w:rPr>
                    <w:t>(fps)</w:t>
                  </w:r>
                </w:p>
              </w:txbxContent>
            </v:textbox>
            <w10:wrap type="none"/>
          </v:shape>
        </w:pict>
      </w:r>
      <w:r>
        <w:rPr>
          <w:sz w:val="19"/>
        </w:rPr>
        <w:t>1700</w:t>
      </w:r>
    </w:p>
    <w:p>
      <w:pPr>
        <w:spacing w:before="11"/>
        <w:ind w:left="0" w:right="28" w:firstLine="0"/>
        <w:jc w:val="right"/>
        <w:rPr>
          <w:sz w:val="19"/>
        </w:rPr>
      </w:pPr>
      <w:r>
        <w:rPr>
          <w:sz w:val="19"/>
        </w:rPr>
        <w:t>1600</w:t>
      </w:r>
    </w:p>
    <w:p>
      <w:pPr>
        <w:spacing w:before="11"/>
        <w:ind w:left="0" w:right="28" w:firstLine="0"/>
        <w:jc w:val="right"/>
        <w:rPr>
          <w:sz w:val="19"/>
        </w:rPr>
      </w:pPr>
      <w:r>
        <w:rPr>
          <w:sz w:val="19"/>
        </w:rPr>
        <w:t>1500</w:t>
      </w:r>
    </w:p>
    <w:p>
      <w:pPr>
        <w:spacing w:before="6"/>
        <w:ind w:left="0" w:right="28" w:firstLine="0"/>
        <w:jc w:val="right"/>
        <w:rPr>
          <w:sz w:val="19"/>
        </w:rPr>
      </w:pPr>
      <w:r>
        <w:rPr>
          <w:sz w:val="19"/>
        </w:rPr>
        <w:t>1400</w:t>
      </w:r>
    </w:p>
    <w:p>
      <w:pPr>
        <w:spacing w:before="11"/>
        <w:ind w:left="0" w:right="28" w:firstLine="0"/>
        <w:jc w:val="right"/>
        <w:rPr>
          <w:sz w:val="19"/>
        </w:rPr>
      </w:pPr>
      <w:r>
        <w:rPr>
          <w:sz w:val="19"/>
        </w:rPr>
        <w:t>1300</w:t>
      </w:r>
    </w:p>
    <w:p>
      <w:pPr>
        <w:spacing w:before="10"/>
        <w:ind w:left="0" w:right="28" w:firstLine="0"/>
        <w:jc w:val="right"/>
        <w:rPr>
          <w:sz w:val="19"/>
        </w:rPr>
      </w:pPr>
      <w:r>
        <w:rPr>
          <w:sz w:val="19"/>
        </w:rPr>
        <w:t>1200</w:t>
      </w:r>
    </w:p>
    <w:p>
      <w:pPr>
        <w:spacing w:before="11"/>
        <w:ind w:left="0" w:right="28" w:firstLine="0"/>
        <w:jc w:val="right"/>
        <w:rPr>
          <w:sz w:val="19"/>
        </w:rPr>
      </w:pPr>
      <w:r>
        <w:rPr>
          <w:sz w:val="19"/>
        </w:rPr>
        <w:t>1100</w:t>
      </w:r>
    </w:p>
    <w:p>
      <w:pPr>
        <w:spacing w:before="11"/>
        <w:ind w:left="0" w:right="28" w:firstLine="0"/>
        <w:jc w:val="right"/>
        <w:rPr>
          <w:sz w:val="19"/>
        </w:rPr>
      </w:pPr>
      <w:r>
        <w:rPr>
          <w:sz w:val="19"/>
        </w:rPr>
        <w:t>1000</w:t>
      </w:r>
    </w:p>
    <w:p>
      <w:pPr>
        <w:spacing w:before="10"/>
        <w:ind w:left="0" w:right="0" w:firstLine="0"/>
        <w:jc w:val="right"/>
        <w:rPr>
          <w:sz w:val="19"/>
        </w:rPr>
      </w:pPr>
      <w:r>
        <w:rPr>
          <w:sz w:val="19"/>
        </w:rPr>
        <w:t>900</w:t>
      </w:r>
    </w:p>
    <w:p>
      <w:pPr>
        <w:spacing w:before="11"/>
        <w:ind w:left="0" w:right="0" w:firstLine="0"/>
        <w:jc w:val="right"/>
        <w:rPr>
          <w:sz w:val="19"/>
        </w:rPr>
      </w:pPr>
      <w:r>
        <w:rPr>
          <w:sz w:val="19"/>
        </w:rPr>
        <w:t>800</w:t>
      </w:r>
    </w:p>
    <w:p>
      <w:pPr>
        <w:spacing w:before="11"/>
        <w:ind w:left="0" w:right="0" w:firstLine="0"/>
        <w:jc w:val="right"/>
        <w:rPr>
          <w:sz w:val="19"/>
        </w:rPr>
      </w:pPr>
      <w:r>
        <w:rPr>
          <w:sz w:val="19"/>
        </w:rPr>
        <w:t>700</w:t>
      </w:r>
    </w:p>
    <w:p>
      <w:pPr>
        <w:spacing w:before="11"/>
        <w:ind w:left="0" w:right="0" w:firstLine="0"/>
        <w:jc w:val="right"/>
        <w:rPr>
          <w:sz w:val="19"/>
        </w:rPr>
      </w:pPr>
      <w:r>
        <w:rPr>
          <w:sz w:val="19"/>
        </w:rPr>
        <w:t>600</w:t>
      </w:r>
    </w:p>
    <w:p>
      <w:pPr>
        <w:spacing w:before="10"/>
        <w:ind w:left="0" w:right="0" w:firstLine="0"/>
        <w:jc w:val="right"/>
        <w:rPr>
          <w:sz w:val="19"/>
        </w:rPr>
      </w:pPr>
      <w:r>
        <w:rPr>
          <w:sz w:val="19"/>
        </w:rPr>
        <w:t>500</w:t>
      </w:r>
    </w:p>
    <w:p>
      <w:pPr>
        <w:spacing w:before="7"/>
        <w:ind w:left="0" w:right="0" w:firstLine="0"/>
        <w:jc w:val="right"/>
        <w:rPr>
          <w:sz w:val="19"/>
        </w:rPr>
      </w:pPr>
      <w:r>
        <w:rPr>
          <w:sz w:val="19"/>
        </w:rPr>
        <w:t>400</w:t>
      </w:r>
    </w:p>
    <w:p>
      <w:pPr>
        <w:spacing w:before="10"/>
        <w:ind w:left="0" w:right="0" w:firstLine="0"/>
        <w:jc w:val="right"/>
        <w:rPr>
          <w:sz w:val="19"/>
        </w:rPr>
      </w:pPr>
      <w:r>
        <w:rPr>
          <w:sz w:val="19"/>
        </w:rPr>
        <w:t>300</w:t>
      </w:r>
    </w:p>
    <w:p>
      <w:pPr>
        <w:spacing w:before="11"/>
        <w:ind w:left="0" w:right="0" w:firstLine="0"/>
        <w:jc w:val="right"/>
        <w:rPr>
          <w:sz w:val="19"/>
        </w:rPr>
      </w:pPr>
      <w:r>
        <w:rPr>
          <w:sz w:val="19"/>
        </w:rPr>
        <w:t>200</w:t>
      </w:r>
    </w:p>
    <w:p>
      <w:pPr>
        <w:spacing w:before="79"/>
        <w:ind w:left="1888" w:right="0" w:firstLine="0"/>
        <w:jc w:val="left"/>
        <w:rPr>
          <w:sz w:val="27"/>
        </w:rPr>
      </w:pPr>
      <w:r>
        <w:rPr/>
        <w:br w:type="column"/>
      </w:r>
      <w:r>
        <w:rPr>
          <w:sz w:val="27"/>
        </w:rPr>
        <w:t>Striking</w:t>
      </w:r>
      <w:r>
        <w:rPr>
          <w:spacing w:val="-5"/>
          <w:sz w:val="27"/>
        </w:rPr>
        <w:t> </w:t>
      </w:r>
      <w:r>
        <w:rPr>
          <w:sz w:val="27"/>
        </w:rPr>
        <w:t>Velocity,</w:t>
      </w:r>
      <w:r>
        <w:rPr>
          <w:spacing w:val="1"/>
          <w:sz w:val="27"/>
        </w:rPr>
        <w:t> </w:t>
      </w:r>
      <w:r>
        <w:rPr>
          <w:sz w:val="27"/>
        </w:rPr>
        <w:t>V</w:t>
      </w:r>
      <w:r>
        <w:rPr>
          <w:position w:val="-8"/>
          <w:sz w:val="24"/>
        </w:rPr>
        <w:t>s</w:t>
      </w:r>
      <w:r>
        <w:rPr>
          <w:spacing w:val="13"/>
          <w:position w:val="-8"/>
          <w:sz w:val="24"/>
        </w:rPr>
        <w:t> </w:t>
      </w:r>
      <w:r>
        <w:rPr>
          <w:sz w:val="27"/>
        </w:rPr>
        <w:t>(m/s)</w:t>
      </w:r>
    </w:p>
    <w:p>
      <w:pPr>
        <w:spacing w:before="92"/>
        <w:ind w:left="206" w:right="0" w:firstLine="0"/>
        <w:jc w:val="left"/>
        <w:rPr>
          <w:sz w:val="19"/>
        </w:rPr>
      </w:pPr>
      <w:r>
        <w:rPr>
          <w:sz w:val="19"/>
        </w:rPr>
        <w:t>180</w:t>
      </w:r>
      <w:r>
        <w:rPr>
          <w:spacing w:val="26"/>
          <w:sz w:val="19"/>
        </w:rPr>
        <w:t> </w:t>
      </w:r>
      <w:r>
        <w:rPr>
          <w:sz w:val="19"/>
        </w:rPr>
        <w:t>240</w:t>
      </w:r>
      <w:r>
        <w:rPr>
          <w:spacing w:val="27"/>
          <w:sz w:val="19"/>
        </w:rPr>
        <w:t> </w:t>
      </w:r>
      <w:r>
        <w:rPr>
          <w:sz w:val="19"/>
        </w:rPr>
        <w:t>300</w:t>
      </w:r>
      <w:r>
        <w:rPr>
          <w:spacing w:val="27"/>
          <w:sz w:val="19"/>
        </w:rPr>
        <w:t> </w:t>
      </w:r>
      <w:r>
        <w:rPr>
          <w:sz w:val="19"/>
        </w:rPr>
        <w:t>360</w:t>
      </w:r>
      <w:r>
        <w:rPr>
          <w:spacing w:val="27"/>
          <w:sz w:val="19"/>
        </w:rPr>
        <w:t> </w:t>
      </w:r>
      <w:r>
        <w:rPr>
          <w:sz w:val="19"/>
        </w:rPr>
        <w:t>420</w:t>
      </w:r>
      <w:r>
        <w:rPr>
          <w:spacing w:val="27"/>
          <w:sz w:val="19"/>
        </w:rPr>
        <w:t> </w:t>
      </w:r>
      <w:r>
        <w:rPr>
          <w:sz w:val="19"/>
        </w:rPr>
        <w:t>480</w:t>
      </w:r>
      <w:r>
        <w:rPr>
          <w:spacing w:val="26"/>
          <w:sz w:val="19"/>
        </w:rPr>
        <w:t> </w:t>
      </w:r>
      <w:r>
        <w:rPr>
          <w:sz w:val="19"/>
        </w:rPr>
        <w:t>540</w:t>
      </w:r>
      <w:r>
        <w:rPr>
          <w:spacing w:val="23"/>
          <w:sz w:val="19"/>
        </w:rPr>
        <w:t> </w:t>
      </w:r>
      <w:r>
        <w:rPr>
          <w:sz w:val="19"/>
        </w:rPr>
        <w:t>600</w:t>
      </w:r>
      <w:r>
        <w:rPr>
          <w:spacing w:val="27"/>
          <w:sz w:val="19"/>
        </w:rPr>
        <w:t> </w:t>
      </w:r>
      <w:r>
        <w:rPr>
          <w:sz w:val="19"/>
        </w:rPr>
        <w:t>660</w:t>
      </w:r>
      <w:r>
        <w:rPr>
          <w:spacing w:val="27"/>
          <w:sz w:val="19"/>
        </w:rPr>
        <w:t> </w:t>
      </w:r>
      <w:r>
        <w:rPr>
          <w:sz w:val="19"/>
        </w:rPr>
        <w:t>720</w:t>
      </w:r>
      <w:r>
        <w:rPr>
          <w:spacing w:val="27"/>
          <w:sz w:val="19"/>
        </w:rPr>
        <w:t> </w:t>
      </w:r>
      <w:r>
        <w:rPr>
          <w:sz w:val="19"/>
        </w:rPr>
        <w:t>780</w:t>
      </w:r>
      <w:r>
        <w:rPr>
          <w:spacing w:val="27"/>
          <w:sz w:val="19"/>
        </w:rPr>
        <w:t> </w:t>
      </w:r>
      <w:r>
        <w:rPr>
          <w:sz w:val="19"/>
        </w:rPr>
        <w:t>840</w:t>
      </w:r>
      <w:r>
        <w:rPr>
          <w:spacing w:val="27"/>
          <w:sz w:val="19"/>
        </w:rPr>
        <w:t> </w:t>
      </w:r>
      <w:r>
        <w:rPr>
          <w:sz w:val="19"/>
        </w:rPr>
        <w:t>900</w:t>
      </w:r>
      <w:r>
        <w:rPr>
          <w:spacing w:val="26"/>
          <w:sz w:val="19"/>
        </w:rPr>
        <w:t> </w:t>
      </w:r>
      <w:r>
        <w:rPr>
          <w:sz w:val="19"/>
        </w:rPr>
        <w:t>9601020108011401200</w:t>
      </w:r>
    </w:p>
    <w:p>
      <w:pPr>
        <w:pStyle w:val="BodyText"/>
        <w:spacing w:before="3"/>
        <w:rPr>
          <w:sz w:val="7"/>
        </w:rPr>
      </w:pPr>
    </w:p>
    <w:p>
      <w:pPr>
        <w:pStyle w:val="BodyText"/>
        <w:ind w:left="37" w:right="-58"/>
        <w:rPr>
          <w:sz w:val="20"/>
        </w:rPr>
      </w:pPr>
      <w:r>
        <w:rPr>
          <w:sz w:val="20"/>
        </w:rPr>
        <w:pict>
          <v:group style="width:332.55pt;height:183.8pt;mso-position-horizontal-relative:char;mso-position-vertical-relative:line" coordorigin="0,0" coordsize="6651,3676">
            <v:rect style="position:absolute;left:8;top:8;width:6634;height:3658" filled="false" stroked="true" strokeweight=".86478pt" strokecolor="#000000">
              <v:stroke dashstyle="solid"/>
            </v:rect>
            <v:line style="position:absolute" from="376,3667" to="376,3563" stroked="true" strokeweight=".648656pt" strokecolor="#000000">
              <v:stroke dashstyle="solid"/>
            </v:line>
            <v:line style="position:absolute" from="744,3667" to="744,3563" stroked="true" strokeweight=".648656pt" strokecolor="#000000">
              <v:stroke dashstyle="solid"/>
            </v:line>
            <v:line style="position:absolute" from="1116,3667" to="1116,3563" stroked="true" strokeweight=".648656pt" strokecolor="#000000">
              <v:stroke dashstyle="solid"/>
            </v:line>
            <v:line style="position:absolute" from="1483,3667" to="1483,3563" stroked="true" strokeweight=".648656pt" strokecolor="#000000">
              <v:stroke dashstyle="solid"/>
            </v:line>
            <v:line style="position:absolute" from="1851,3667" to="1851,3563" stroked="true" strokeweight=".648656pt" strokecolor="#000000">
              <v:stroke dashstyle="solid"/>
            </v:line>
            <v:line style="position:absolute" from="2218,3667" to="2218,3563" stroked="true" strokeweight=".648656pt" strokecolor="#000000">
              <v:stroke dashstyle="solid"/>
            </v:line>
            <v:line style="position:absolute" from="2590,3667" to="2590,3563" stroked="true" strokeweight=".648656pt" strokecolor="#000000">
              <v:stroke dashstyle="solid"/>
            </v:line>
            <v:line style="position:absolute" from="2958,3667" to="2958,3563" stroked="true" strokeweight=".648656pt" strokecolor="#000000">
              <v:stroke dashstyle="solid"/>
            </v:line>
            <v:line style="position:absolute" from="3325,3667" to="3325,3563" stroked="true" strokeweight=".648656pt" strokecolor="#000000">
              <v:stroke dashstyle="solid"/>
            </v:line>
            <v:line style="position:absolute" from="3693,3667" to="3693,3563" stroked="true" strokeweight=".648656pt" strokecolor="#000000">
              <v:stroke dashstyle="solid"/>
            </v:line>
            <v:line style="position:absolute" from="4061,3667" to="4061,3563" stroked="true" strokeweight=".648656pt" strokecolor="#000000">
              <v:stroke dashstyle="solid"/>
            </v:line>
            <v:line style="position:absolute" from="4432,3666" to="4432,3563" stroked="true" strokeweight=".648656pt" strokecolor="#000000">
              <v:stroke dashstyle="solid"/>
            </v:line>
            <v:line style="position:absolute" from="4800,3666" to="4800,3563" stroked="true" strokeweight=".648656pt" strokecolor="#000000">
              <v:stroke dashstyle="solid"/>
            </v:line>
            <v:line style="position:absolute" from="5168,3666" to="5168,3563" stroked="true" strokeweight=".648656pt" strokecolor="#000000">
              <v:stroke dashstyle="solid"/>
            </v:line>
            <v:line style="position:absolute" from="5535,3666" to="5535,3563" stroked="true" strokeweight=".648656pt" strokecolor="#000000">
              <v:stroke dashstyle="solid"/>
            </v:line>
            <v:line style="position:absolute" from="5907,3666" to="5907,3563" stroked="true" strokeweight=".648656pt" strokecolor="#000000">
              <v:stroke dashstyle="solid"/>
            </v:line>
            <v:line style="position:absolute" from="6275,3666" to="6275,3563" stroked="true" strokeweight=".648656pt" strokecolor="#000000">
              <v:stroke dashstyle="solid"/>
            </v:line>
            <v:line style="position:absolute" from="359,9" to="359,117" stroked="true" strokeweight=".648656pt" strokecolor="#000000">
              <v:stroke dashstyle="solid"/>
            </v:line>
            <v:line style="position:absolute" from="722,9" to="722,117" stroked="true" strokeweight=".648656pt" strokecolor="#000000">
              <v:stroke dashstyle="solid"/>
            </v:line>
            <v:line style="position:absolute" from="1085,9" to="1085,117" stroked="true" strokeweight=".648656pt" strokecolor="#000000">
              <v:stroke dashstyle="solid"/>
            </v:line>
            <v:line style="position:absolute" from="1449,9" to="1449,117" stroked="true" strokeweight=".648656pt" strokecolor="#000000">
              <v:stroke dashstyle="solid"/>
            </v:line>
            <v:line style="position:absolute" from="1812,9" to="1812,117" stroked="true" strokeweight=".648656pt" strokecolor="#000000">
              <v:stroke dashstyle="solid"/>
            </v:line>
            <v:line style="position:absolute" from="2175,9" to="2175,117" stroked="true" strokeweight=".648656pt" strokecolor="#000000">
              <v:stroke dashstyle="solid"/>
            </v:line>
            <v:line style="position:absolute" from="2534,9" to="2534,117" stroked="true" strokeweight=".648656pt" strokecolor="#000000">
              <v:stroke dashstyle="solid"/>
            </v:line>
            <v:line style="position:absolute" from="2897,9" to="2897,117" stroked="true" strokeweight=".648656pt" strokecolor="#000000">
              <v:stroke dashstyle="solid"/>
            </v:line>
            <v:line style="position:absolute" from="3261,9" to="3261,117" stroked="true" strokeweight=".648656pt" strokecolor="#000000">
              <v:stroke dashstyle="solid"/>
            </v:line>
            <v:line style="position:absolute" from="3624,9" to="3624,117" stroked="true" strokeweight=".648656pt" strokecolor="#000000">
              <v:stroke dashstyle="solid"/>
            </v:line>
            <v:line style="position:absolute" from="3987,9" to="3987,117" stroked="true" strokeweight=".648656pt" strokecolor="#000000">
              <v:stroke dashstyle="solid"/>
            </v:line>
            <v:line style="position:absolute" from="4350,9" to="4350,117" stroked="true" strokeweight=".648656pt" strokecolor="#000000">
              <v:stroke dashstyle="solid"/>
            </v:line>
            <v:line style="position:absolute" from="4714,9" to="4714,117" stroked="true" strokeweight=".648656pt" strokecolor="#000000">
              <v:stroke dashstyle="solid"/>
            </v:line>
            <v:line style="position:absolute" from="5077,9" to="5077,117" stroked="true" strokeweight=".648656pt" strokecolor="#000000">
              <v:stroke dashstyle="solid"/>
            </v:line>
            <v:line style="position:absolute" from="5440,8" to="5440,117" stroked="true" strokeweight=".648656pt" strokecolor="#000000">
              <v:stroke dashstyle="solid"/>
            </v:line>
            <v:line style="position:absolute" from="5799,8" to="5799,117" stroked="true" strokeweight=".648656pt" strokecolor="#000000">
              <v:stroke dashstyle="solid"/>
            </v:line>
            <v:line style="position:absolute" from="6162,8" to="6162,117" stroked="true" strokeweight=".648656pt" strokecolor="#000000">
              <v:stroke dashstyle="solid"/>
            </v:line>
            <v:line style="position:absolute" from="6525,8" to="6525,117" stroked="true" strokeweight=".648656pt" strokecolor="#000000">
              <v:stroke dashstyle="solid"/>
            </v:line>
            <v:line style="position:absolute" from="9,3442" to="143,3442" stroked="true" strokeweight=".648563pt" strokecolor="#000000">
              <v:stroke dashstyle="solid"/>
            </v:line>
            <v:line style="position:absolute" from="9,3212" to="143,3212" stroked="true" strokeweight=".648563pt" strokecolor="#000000">
              <v:stroke dashstyle="solid"/>
            </v:line>
            <v:line style="position:absolute" from="9,2983" to="143,2983" stroked="true" strokeweight=".648563pt" strokecolor="#000000">
              <v:stroke dashstyle="solid"/>
            </v:line>
            <v:line style="position:absolute" from="9,2754" to="143,2754" stroked="true" strokeweight=".648563pt" strokecolor="#000000">
              <v:stroke dashstyle="solid"/>
            </v:line>
            <v:line style="position:absolute" from="9,2525" to="143,2525" stroked="true" strokeweight=".648563pt" strokecolor="#000000">
              <v:stroke dashstyle="solid"/>
            </v:line>
            <v:line style="position:absolute" from="9,2296" to="143,2296" stroked="true" strokeweight=".648563pt" strokecolor="#000000">
              <v:stroke dashstyle="solid"/>
            </v:line>
            <v:line style="position:absolute" from="9,2067" to="143,2067" stroked="true" strokeweight=".648563pt" strokecolor="#000000">
              <v:stroke dashstyle="solid"/>
            </v:line>
            <v:line style="position:absolute" from="9,1837" to="143,1837" stroked="true" strokeweight=".648563pt" strokecolor="#000000">
              <v:stroke dashstyle="solid"/>
            </v:line>
            <v:line style="position:absolute" from="9,1608" to="143,1608" stroked="true" strokeweight=".648563pt" strokecolor="#000000">
              <v:stroke dashstyle="solid"/>
            </v:line>
            <v:line style="position:absolute" from="9,1383" to="143,1383" stroked="true" strokeweight=".648563pt" strokecolor="#000000">
              <v:stroke dashstyle="solid"/>
            </v:line>
            <v:line style="position:absolute" from="9,1154" to="143,1154" stroked="true" strokeweight=".648563pt" strokecolor="#000000">
              <v:stroke dashstyle="solid"/>
            </v:line>
            <v:line style="position:absolute" from="9,925" to="143,925" stroked="true" strokeweight=".648563pt" strokecolor="#000000">
              <v:stroke dashstyle="solid"/>
            </v:line>
            <v:line style="position:absolute" from="9,696" to="143,696" stroked="true" strokeweight=".648563pt" strokecolor="#000000">
              <v:stroke dashstyle="solid"/>
            </v:line>
            <v:line style="position:absolute" from="9,467" to="143,467" stroked="true" strokeweight=".648563pt" strokecolor="#000000">
              <v:stroke dashstyle="solid"/>
            </v:line>
            <v:line style="position:absolute" from="9,238" to="143,238" stroked="true" strokeweight=".648563pt" strokecolor="#000000">
              <v:stroke dashstyle="solid"/>
            </v:line>
            <v:line style="position:absolute" from="6642,3450" to="6508,3450" stroked="true" strokeweight=".648563pt" strokecolor="#000000">
              <v:stroke dashstyle="solid"/>
            </v:line>
            <v:line style="position:absolute" from="6642,3225" to="6508,3225" stroked="true" strokeweight=".648563pt" strokecolor="#000000">
              <v:stroke dashstyle="solid"/>
            </v:line>
            <v:line style="position:absolute" from="6642,3000" to="6508,3000" stroked="true" strokeweight=".648563pt" strokecolor="#000000">
              <v:stroke dashstyle="solid"/>
            </v:line>
            <v:line style="position:absolute" from="6642,2776" to="6508,2776" stroked="true" strokeweight=".648563pt" strokecolor="#000000">
              <v:stroke dashstyle="solid"/>
            </v:line>
            <v:line style="position:absolute" from="6642,2551" to="6508,2551" stroked="true" strokeweight=".648563pt" strokecolor="#000000">
              <v:stroke dashstyle="solid"/>
            </v:line>
            <v:line style="position:absolute" from="6642,2326" to="6508,2326" stroked="true" strokeweight=".648563pt" strokecolor="#000000">
              <v:stroke dashstyle="solid"/>
            </v:line>
            <v:line style="position:absolute" from="6642,2101" to="6508,2101" stroked="true" strokeweight=".648563pt" strokecolor="#000000">
              <v:stroke dashstyle="solid"/>
            </v:line>
            <v:line style="position:absolute" from="6642,1876" to="6508,1876" stroked="true" strokeweight=".648563pt" strokecolor="#000000">
              <v:stroke dashstyle="solid"/>
            </v:line>
            <v:line style="position:absolute" from="6642,1651" to="6508,1651" stroked="true" strokeweight=".648563pt" strokecolor="#000000">
              <v:stroke dashstyle="solid"/>
            </v:line>
            <v:line style="position:absolute" from="6642,1427" to="6508,1427" stroked="true" strokeweight=".648563pt" strokecolor="#000000">
              <v:stroke dashstyle="solid"/>
            </v:line>
            <v:line style="position:absolute" from="6642,1197" to="6508,1197" stroked="true" strokeweight=".648563pt" strokecolor="#000000">
              <v:stroke dashstyle="solid"/>
            </v:line>
            <v:line style="position:absolute" from="6642,973" to="6508,973" stroked="true" strokeweight=".648563pt" strokecolor="#000000">
              <v:stroke dashstyle="solid"/>
            </v:line>
            <v:line style="position:absolute" from="6642,748" to="6508,748" stroked="true" strokeweight=".648563pt" strokecolor="#000000">
              <v:stroke dashstyle="solid"/>
            </v:line>
            <v:line style="position:absolute" from="6642,523" to="6508,523" stroked="true" strokeweight=".648563pt" strokecolor="#000000">
              <v:stroke dashstyle="solid"/>
            </v:line>
            <v:line style="position:absolute" from="6642,298" to="6508,298" stroked="true" strokeweight=".648563pt" strokecolor="#000000">
              <v:stroke dashstyle="solid"/>
            </v:line>
            <v:line style="position:absolute" from="6642,73" to="6508,73" stroked="true" strokeweight=".648563pt" strokecolor="#000000">
              <v:stroke dashstyle="solid"/>
            </v:line>
            <v:shape style="position:absolute;left:2560;top:3052;width:78;height:61" coordorigin="2560,3052" coordsize="78,61" path="m2599,3113l2560,3083,2599,3052,2638,3083,2599,3113xe" filled="true" fillcolor="#ff0000" stroked="false">
              <v:path arrowok="t"/>
              <v:fill type="solid"/>
            </v:shape>
            <v:shape style="position:absolute;left:2560;top:3052;width:78;height:61" coordorigin="2560,3052" coordsize="78,61" path="m2599,3052l2638,3083,2599,3113,2560,3083,2599,3052xe" filled="false" stroked="true" strokeweight=".864798pt" strokecolor="#ff0000">
              <v:path arrowok="t"/>
              <v:stroke dashstyle="solid"/>
            </v:shape>
            <v:shape style="position:absolute;left:3031;top:1962;width:74;height:57" coordorigin="3031,1963" coordsize="74,57" path="m3066,2019l3031,1989,3066,1963,3105,1989,3066,2019xe" filled="true" fillcolor="#ff0000" stroked="false">
              <v:path arrowok="t"/>
              <v:fill type="solid"/>
            </v:shape>
            <v:shape style="position:absolute;left:3031;top:1962;width:74;height:57" coordorigin="3031,1963" coordsize="74,57" path="m3066,1963l3105,1989,3066,2019,3031,1989,3066,1963xe" filled="false" stroked="true" strokeweight=".864797pt" strokecolor="#ff0000">
              <v:path arrowok="t"/>
              <v:stroke dashstyle="solid"/>
            </v:shape>
            <v:shape style="position:absolute;left:3891;top:1309;width:74;height:61" coordorigin="3892,1310" coordsize="74,61" path="m3927,1370l3892,1340,3927,1310,3965,1340,3927,1370xe" filled="true" fillcolor="#ff0000" stroked="false">
              <v:path arrowok="t"/>
              <v:fill type="solid"/>
            </v:shape>
            <v:shape style="position:absolute;left:3891;top:1309;width:74;height:61" coordorigin="3892,1310" coordsize="74,61" path="m3927,1310l3965,1340,3927,1370,3892,1340,3927,1310xe" filled="false" stroked="true" strokeweight=".864801pt" strokecolor="#ff0000">
              <v:path arrowok="t"/>
              <v:stroke dashstyle="solid"/>
            </v:shape>
            <v:shape style="position:absolute;left:3606;top:1482;width:74;height:57" coordorigin="3607,1483" coordsize="74,57" path="m3645,1539l3607,1513,3645,1483,3680,1513,3645,1539xe" filled="true" fillcolor="#ff0000" stroked="false">
              <v:path arrowok="t"/>
              <v:fill type="solid"/>
            </v:shape>
            <v:shape style="position:absolute;left:3606;top:1482;width:74;height:57" coordorigin="3607,1483" coordsize="74,57" path="m3645,1483l3680,1513,3645,1539,3607,1513,3645,1483xe" filled="false" stroked="true" strokeweight=".864797pt" strokecolor="#ff0000">
              <v:path arrowok="t"/>
              <v:stroke dashstyle="solid"/>
            </v:shape>
            <v:shape style="position:absolute;left:3706;top:1621;width:74;height:61" coordorigin="3706,1621" coordsize="74,61" path="m3745,1682l3706,1651,3745,1621,3780,1651,3745,1682xe" filled="true" fillcolor="#ff0000" stroked="false">
              <v:path arrowok="t"/>
              <v:fill type="solid"/>
            </v:shape>
            <v:shape style="position:absolute;left:3706;top:1621;width:74;height:61" coordorigin="3706,1621" coordsize="74,61" path="m3745,1621l3780,1651,3745,1682,3706,1651,3745,1621xe" filled="false" stroked="true" strokeweight=".864801pt" strokecolor="#ff0000">
              <v:path arrowok="t"/>
              <v:stroke dashstyle="solid"/>
            </v:shape>
            <v:shape style="position:absolute;left:3883;top:1296;width:74;height:57" coordorigin="3883,1297" coordsize="74,57" path="m3918,1353l3883,1323,3918,1297,3957,1323,3918,1353xe" filled="true" fillcolor="#ff0000" stroked="false">
              <v:path arrowok="t"/>
              <v:fill type="solid"/>
            </v:shape>
            <v:shape style="position:absolute;left:3883;top:1296;width:74;height:57" coordorigin="3883,1297" coordsize="74,57" path="m3918,1297l3957,1323,3918,1353,3883,1323,3918,1297xe" filled="false" stroked="true" strokeweight=".864797pt" strokecolor="#ff0000">
              <v:path arrowok="t"/>
              <v:stroke dashstyle="solid"/>
            </v:shape>
            <v:shape style="position:absolute;left:3961;top:1422;width:74;height:61" coordorigin="3961,1422" coordsize="74,61" path="m3996,1483l3961,1452,3996,1422,4035,1452,3996,1483xe" filled="true" fillcolor="#ff0000" stroked="false">
              <v:path arrowok="t"/>
              <v:fill type="solid"/>
            </v:shape>
            <v:shape style="position:absolute;left:3961;top:1422;width:74;height:61" coordorigin="3961,1422" coordsize="74,61" path="m3996,1422l4035,1452,3996,1483,3961,1452,3996,1422xe" filled="false" stroked="true" strokeweight=".864801pt" strokecolor="#ff0000">
              <v:path arrowok="t"/>
              <v:stroke dashstyle="solid"/>
            </v:shape>
            <v:shape style="position:absolute;left:4082;top:1067;width:78;height:61" coordorigin="4082,1068" coordsize="78,61" path="m4121,1128l4082,1098,4121,1068,4160,1098,4121,1128xe" filled="true" fillcolor="#ff0000" stroked="false">
              <v:path arrowok="t"/>
              <v:fill type="solid"/>
            </v:shape>
            <v:shape style="position:absolute;left:4082;top:1067;width:78;height:61" coordorigin="4082,1068" coordsize="78,61" path="m4121,1068l4160,1098,4121,1128,4082,1098,4121,1068xe" filled="false" stroked="true" strokeweight=".864798pt" strokecolor="#ff0000">
              <v:path arrowok="t"/>
              <v:stroke dashstyle="solid"/>
            </v:shape>
            <v:shape style="position:absolute;left:2711;top:2805;width:78;height:61" coordorigin="2711,2806" coordsize="78,61" path="m2750,2866l2711,2836,2750,2806,2789,2836,2750,2866xe" filled="true" fillcolor="#ff0000" stroked="false">
              <v:path arrowok="t"/>
              <v:fill type="solid"/>
            </v:shape>
            <v:shape style="position:absolute;left:2711;top:2805;width:78;height:61" coordorigin="2711,2806" coordsize="78,61" path="m2750,2806l2789,2836,2750,2866,2711,2836,2750,2806xe" filled="false" stroked="true" strokeweight=".864798pt" strokecolor="#ff0000">
              <v:path arrowok="t"/>
              <v:stroke dashstyle="solid"/>
            </v:shape>
            <v:shape style="position:absolute;left:4073;top:1188;width:78;height:61" coordorigin="4074,1189" coordsize="78,61" path="m4113,1249l4074,1219,4113,1189,4151,1219,4113,1249xe" filled="true" fillcolor="#ff0000" stroked="false">
              <v:path arrowok="t"/>
              <v:fill type="solid"/>
            </v:shape>
            <v:shape style="position:absolute;left:4073;top:1188;width:78;height:61" coordorigin="4074,1189" coordsize="78,61" path="m4113,1189l4151,1219,4113,1249,4074,1219,4113,1189xe" filled="false" stroked="true" strokeweight=".864798pt" strokecolor="#ff0000">
              <v:path arrowok="t"/>
              <v:stroke dashstyle="solid"/>
            </v:shape>
            <v:shape style="position:absolute;left:3731;top:1102;width:74;height:61" coordorigin="3732,1102" coordsize="74,61" path="m3767,1163l3732,1132,3767,1102,3805,1132,3767,1163xe" filled="true" fillcolor="#ff0000" stroked="false">
              <v:path arrowok="t"/>
              <v:fill type="solid"/>
            </v:shape>
            <v:shape style="position:absolute;left:3731;top:1102;width:74;height:61" coordorigin="3732,1102" coordsize="74,61" path="m3767,1102l3805,1132,3767,1163,3732,1132,3767,1102xe" filled="false" stroked="true" strokeweight=".864801pt" strokecolor="#ff0000">
              <v:path arrowok="t"/>
              <v:stroke dashstyle="solid"/>
            </v:shape>
            <v:shape style="position:absolute;left:4038;top:1033;width:74;height:61" coordorigin="4039,1033" coordsize="74,61" path="m4074,1094l4039,1063,4074,1033,4113,1063,4074,1094xe" filled="true" fillcolor="#ff0000" stroked="false">
              <v:path arrowok="t"/>
              <v:fill type="solid"/>
            </v:shape>
            <v:shape style="position:absolute;left:4038;top:1033;width:74;height:61" coordorigin="4039,1033" coordsize="74,61" path="m4074,1033l4113,1063,4074,1094,4039,1063,4074,1033xe" filled="false" stroked="true" strokeweight=".864801pt" strokecolor="#ff0000">
              <v:path arrowok="t"/>
              <v:stroke dashstyle="solid"/>
            </v:shape>
            <v:shape style="position:absolute;left:3757;top:1469;width:74;height:57" coordorigin="3758,1470" coordsize="74,57" path="m3797,1526l3758,1500,3797,1470,3831,1500,3797,1526xe" filled="true" fillcolor="#ff0000" stroked="false">
              <v:path arrowok="t"/>
              <v:fill type="solid"/>
            </v:shape>
            <v:shape style="position:absolute;left:3757;top:1469;width:74;height:57" coordorigin="3758,1470" coordsize="74,57" path="m3797,1470l3831,1500,3797,1526,3758,1500,3797,1470xe" filled="false" stroked="true" strokeweight=".864797pt" strokecolor="#ff0000">
              <v:path arrowok="t"/>
              <v:stroke dashstyle="solid"/>
            </v:shape>
            <v:shape style="position:absolute;left:3636;top:1253;width:74;height:57" coordorigin="3637,1254" coordsize="74,57" path="m3676,1310l3637,1284,3676,1254,3710,1284,3676,1310xe" filled="true" fillcolor="#ff0000" stroked="false">
              <v:path arrowok="t"/>
              <v:fill type="solid"/>
            </v:shape>
            <v:shape style="position:absolute;left:3636;top:1253;width:74;height:57" coordorigin="3637,1254" coordsize="74,57" path="m3676,1254l3710,1284,3676,1310,3637,1284,3676,1254xe" filled="false" stroked="true" strokeweight=".864797pt" strokecolor="#ff0000">
              <v:path arrowok="t"/>
              <v:stroke dashstyle="solid"/>
            </v:shape>
            <v:shape style="position:absolute;left:3848;top:1478;width:74;height:61" coordorigin="3849,1478" coordsize="74,61" path="m3888,1539l3849,1509,3888,1478,3922,1509,3888,1539xe" filled="true" fillcolor="#ff0000" stroked="false">
              <v:path arrowok="t"/>
              <v:fill type="solid"/>
            </v:shape>
            <v:shape style="position:absolute;left:3848;top:1478;width:74;height:61" coordorigin="3849,1478" coordsize="74,61" path="m3888,1478l3922,1509,3888,1539,3849,1509,3888,1478xe" filled="false" stroked="true" strokeweight=".864801pt" strokecolor="#ff0000">
              <v:path arrowok="t"/>
              <v:stroke dashstyle="solid"/>
            </v:shape>
            <v:shape style="position:absolute;left:4531;top:315;width:74;height:61" coordorigin="4532,315" coordsize="74,61" path="m4567,376l4532,346,4567,315,4605,346,4567,376xe" filled="true" fillcolor="#ff0000" stroked="false">
              <v:path arrowok="t"/>
              <v:fill type="solid"/>
            </v:shape>
            <v:shape style="position:absolute;left:4531;top:315;width:74;height:61" coordorigin="4532,315" coordsize="74,61" path="m4567,315l4605,346,4567,376,4532,346,4567,315xe" filled="false" stroked="true" strokeweight=".864801pt" strokecolor="#ff0000">
              <v:path arrowok="t"/>
              <v:stroke dashstyle="solid"/>
            </v:shape>
            <v:shape style="position:absolute;left:3844;top:2399;width:74;height:57" coordorigin="3844,2399" coordsize="74,57" path="m3879,2456l3844,2425,3879,2399,3918,2425,3879,2456xe" filled="true" fillcolor="#ff0000" stroked="false">
              <v:path arrowok="t"/>
              <v:fill type="solid"/>
            </v:shape>
            <v:shape style="position:absolute;left:3844;top:2399;width:74;height:57" coordorigin="3844,2399" coordsize="74,57" path="m3879,2399l3918,2425,3879,2456,3844,2425,3879,2399xe" filled="false" stroked="true" strokeweight=".864797pt" strokecolor="#ff0000">
              <v:path arrowok="t"/>
              <v:stroke dashstyle="solid"/>
            </v:shape>
            <v:shape style="position:absolute;left:3922;top:1474;width:78;height:61" coordorigin="3922,1474" coordsize="78,61" path="m3961,1535l3922,1504,3961,1474,4000,1504,3961,1535xe" filled="true" fillcolor="#ff0000" stroked="false">
              <v:path arrowok="t"/>
              <v:fill type="solid"/>
            </v:shape>
            <v:shape style="position:absolute;left:3922;top:1474;width:78;height:61" coordorigin="3922,1474" coordsize="78,61" path="m3961,1474l4000,1504,3961,1535,3922,1504,3961,1474xe" filled="false" stroked="true" strokeweight=".864798pt" strokecolor="#ff0000">
              <v:path arrowok="t"/>
              <v:stroke dashstyle="solid"/>
            </v:shape>
            <v:shape style="position:absolute;left:3368;top:1776;width:74;height:57" coordorigin="3369,1777" coordsize="74,57" path="m3403,1833l3369,1803,3403,1777,3442,1803,3403,1833xe" filled="true" fillcolor="#ff0000" stroked="false">
              <v:path arrowok="t"/>
              <v:fill type="solid"/>
            </v:shape>
            <v:shape style="position:absolute;left:3368;top:1776;width:74;height:57" coordorigin="3369,1777" coordsize="74,57" path="m3403,1777l3442,1803,3403,1833,3369,1803,3403,1777xe" filled="false" stroked="true" strokeweight=".864797pt" strokecolor="#ff0000">
              <v:path arrowok="t"/>
              <v:stroke dashstyle="solid"/>
            </v:shape>
            <v:shape style="position:absolute;left:3891;top:756;width:74;height:57" coordorigin="3892,756" coordsize="74,57" path="m3927,813l3892,782,3927,756,3965,782,3927,813xe" filled="true" fillcolor="#ff0000" stroked="false">
              <v:path arrowok="t"/>
              <v:fill type="solid"/>
            </v:shape>
            <v:shape style="position:absolute;left:3891;top:756;width:74;height:57" coordorigin="3892,756" coordsize="74,57" path="m3927,756l3965,782,3927,813,3892,782,3927,756xe" filled="false" stroked="true" strokeweight=".864797pt" strokecolor="#ff0000">
              <v:path arrowok="t"/>
              <v:stroke dashstyle="solid"/>
            </v:shape>
            <v:shape style="position:absolute;left:3641;top:769;width:74;height:57" coordorigin="3641,769" coordsize="74,57" path="m3715,825l3641,825,3680,769,3715,825xe" filled="true" fillcolor="#0000ff" stroked="false">
              <v:path arrowok="t"/>
              <v:fill type="solid"/>
            </v:shape>
            <v:shape style="position:absolute;left:3641;top:769;width:74;height:57" coordorigin="3641,769" coordsize="74,57" path="m3680,769l3715,825,3641,825,3680,769xe" filled="false" stroked="true" strokeweight=".864797pt" strokecolor="#0000ff">
              <v:path arrowok="t"/>
              <v:stroke dashstyle="solid"/>
            </v:shape>
            <v:shape style="position:absolute;left:3658;top:994;width:74;height:57" coordorigin="3658,994" coordsize="74,57" path="m3732,1050l3658,1050,3693,994,3732,1050xe" filled="true" fillcolor="#0000ff" stroked="false">
              <v:path arrowok="t"/>
              <v:fill type="solid"/>
            </v:shape>
            <v:shape style="position:absolute;left:3658;top:994;width:74;height:57" coordorigin="3658,994" coordsize="74,57" path="m3693,994l3732,1050,3658,1050,3693,994xe" filled="false" stroked="true" strokeweight=".864797pt" strokecolor="#0000ff">
              <v:path arrowok="t"/>
              <v:stroke dashstyle="solid"/>
            </v:shape>
            <v:shape style="position:absolute;left:3757;top:648;width:70;height:57" coordorigin="3758,648" coordsize="70,57" path="m3827,704l3758,704,3792,648,3827,704xe" filled="true" fillcolor="#0000ff" stroked="false">
              <v:path arrowok="t"/>
              <v:fill type="solid"/>
            </v:shape>
            <v:shape style="position:absolute;left:3757;top:648;width:70;height:57" coordorigin="3758,648" coordsize="70,57" path="m3792,648l3827,704,3758,704,3792,648xe" filled="false" stroked="true" strokeweight=".864801pt" strokecolor="#0000ff">
              <v:path arrowok="t"/>
              <v:stroke dashstyle="solid"/>
            </v:shape>
            <v:shape style="position:absolute;left:3891;top:457;width:70;height:57" coordorigin="3892,458" coordsize="70,57" path="m3961,514l3892,514,3927,458,3961,514xe" filled="true" fillcolor="#0000ff" stroked="false">
              <v:path arrowok="t"/>
              <v:fill type="solid"/>
            </v:shape>
            <v:shape style="position:absolute;left:3891;top:457;width:70;height:57" coordorigin="3892,458" coordsize="70,57" path="m3927,458l3961,514,3892,514,3927,458xe" filled="false" stroked="true" strokeweight=".864801pt" strokecolor="#0000ff">
              <v:path arrowok="t"/>
              <v:stroke dashstyle="solid"/>
            </v:shape>
            <v:shape style="position:absolute;left:4021;top:310;width:74;height:57" coordorigin="4022,311" coordsize="74,57" path="m4095,367l4022,367,4056,311,4095,367xe" filled="true" fillcolor="#0000ff" stroked="false">
              <v:path arrowok="t"/>
              <v:fill type="solid"/>
            </v:shape>
            <v:shape style="position:absolute;left:4021;top:310;width:74;height:57" coordorigin="4022,311" coordsize="74,57" path="m4056,311l4095,367,4022,367,4056,311xe" filled="false" stroked="true" strokeweight=".864797pt" strokecolor="#0000ff">
              <v:path arrowok="t"/>
              <v:stroke dashstyle="solid"/>
            </v:shape>
            <v:shape style="position:absolute;left:3256;top:2269;width:74;height:57" coordorigin="3256,2270" coordsize="74,57" path="m3330,2326l3256,2326,3295,2270,3330,2326xe" filled="true" fillcolor="#0000ff" stroked="false">
              <v:path arrowok="t"/>
              <v:fill type="solid"/>
            </v:shape>
            <v:shape style="position:absolute;left:3256;top:2269;width:74;height:57" coordorigin="3256,2270" coordsize="74,57" path="m3295,2270l3330,2326,3256,2326,3295,2270xe" filled="false" stroked="true" strokeweight=".864797pt" strokecolor="#0000ff">
              <v:path arrowok="t"/>
              <v:stroke dashstyle="solid"/>
            </v:shape>
            <v:shape style="position:absolute;left:3710;top:1123;width:74;height:57" coordorigin="3710,1124" coordsize="74,57" path="m3784,1180l3710,1180,3745,1124,3784,1180xe" filled="true" fillcolor="#0000ff" stroked="false">
              <v:path arrowok="t"/>
              <v:fill type="solid"/>
            </v:shape>
            <v:shape style="position:absolute;left:3710;top:1123;width:74;height:57" coordorigin="3710,1124" coordsize="74,57" path="m3745,1124l3784,1180,3710,1180,3745,1124xe" filled="false" stroked="true" strokeweight=".864797pt" strokecolor="#0000ff">
              <v:path arrowok="t"/>
              <v:stroke dashstyle="solid"/>
            </v:shape>
            <v:shape style="position:absolute;left:3939;top:1361;width:70;height:57" coordorigin="3940,1362" coordsize="70,57" path="m4009,1418l3940,1418,3974,1362,4009,1418xe" filled="true" fillcolor="#0000ff" stroked="false">
              <v:path arrowok="t"/>
              <v:fill type="solid"/>
            </v:shape>
            <v:shape style="position:absolute;left:3939;top:1361;width:70;height:57" coordorigin="3940,1362" coordsize="70,57" path="m3974,1362l4009,1418,3940,1418,3974,1362xe" filled="false" stroked="true" strokeweight=".864801pt" strokecolor="#0000ff">
              <v:path arrowok="t"/>
              <v:stroke dashstyle="solid"/>
            </v:shape>
            <v:shape style="position:absolute;left:4389;top:1223;width:70;height:57" coordorigin="4389,1223" coordsize="70,57" path="m4458,1279l4389,1279,4424,1223,4458,1279xe" filled="true" fillcolor="#0000ff" stroked="false">
              <v:path arrowok="t"/>
              <v:fill type="solid"/>
            </v:shape>
            <v:shape style="position:absolute;left:4389;top:1223;width:70;height:57" coordorigin="4389,1223" coordsize="70,57" path="m4424,1223l4458,1279,4389,1279,4424,1223xe" filled="false" stroked="true" strokeweight=".864801pt" strokecolor="#0000ff">
              <v:path arrowok="t"/>
              <v:stroke dashstyle="solid"/>
            </v:shape>
            <v:shape style="position:absolute;left:3671;top:2464;width:74;height:57" coordorigin="3671,2464" coordsize="74,57" path="m3745,2520l3671,2520,3710,2464,3745,2520xe" filled="true" fillcolor="#0000ff" stroked="false">
              <v:path arrowok="t"/>
              <v:fill type="solid"/>
            </v:shape>
            <v:shape style="position:absolute;left:3671;top:2464;width:74;height:57" coordorigin="3671,2464" coordsize="74,57" path="m3710,2464l3745,2520,3671,2520,3710,2464xe" filled="false" stroked="true" strokeweight=".864797pt" strokecolor="#0000ff">
              <v:path arrowok="t"/>
              <v:stroke dashstyle="solid"/>
            </v:shape>
            <v:shape style="position:absolute;left:3675;top:2468;width:70;height:57" coordorigin="3676,2469" coordsize="70,57" path="m3745,2525l3676,2525,3710,2469,3745,2525xe" filled="true" fillcolor="#0000ff" stroked="false">
              <v:path arrowok="t"/>
              <v:fill type="solid"/>
            </v:shape>
            <v:shape style="position:absolute;left:3675;top:2468;width:70;height:57" coordorigin="3676,2468" coordsize="70,57" path="m3710,2468l3745,2525,3676,2525,3710,2468xe" filled="false" stroked="true" strokeweight=".864801pt" strokecolor="#0000ff">
              <v:path arrowok="t"/>
              <v:stroke dashstyle="solid"/>
            </v:shape>
            <v:shape style="position:absolute;left:3731;top:2382;width:74;height:57" coordorigin="3732,2382" coordsize="74,57" path="m3805,2438l3732,2438,3771,2382,3805,2438xe" filled="true" fillcolor="#0000ff" stroked="false">
              <v:path arrowok="t"/>
              <v:fill type="solid"/>
            </v:shape>
            <v:shape style="position:absolute;left:3731;top:2382;width:74;height:57" coordorigin="3732,2382" coordsize="74,57" path="m3771,2382l3805,2438,3732,2438,3771,2382xe" filled="false" stroked="true" strokeweight=".864797pt" strokecolor="#0000ff">
              <v:path arrowok="t"/>
              <v:stroke dashstyle="solid"/>
            </v:shape>
            <v:shape style="position:absolute;left:3783;top:2719;width:74;height:57" coordorigin="3784,2719" coordsize="74,57" path="m3857,2775l3784,2775,3823,2719,3857,2775xe" filled="true" fillcolor="#0000ff" stroked="false">
              <v:path arrowok="t"/>
              <v:fill type="solid"/>
            </v:shape>
            <v:shape style="position:absolute;left:3783;top:2719;width:74;height:57" coordorigin="3784,2719" coordsize="74,57" path="m3823,2719l3857,2775,3784,2775,3823,2719xe" filled="false" stroked="true" strokeweight=".864797pt" strokecolor="#0000ff">
              <v:path arrowok="t"/>
              <v:stroke dashstyle="solid"/>
            </v:shape>
            <v:shape style="position:absolute;left:3840;top:3359;width:70;height:57" coordorigin="3840,3359" coordsize="70,57" path="m3909,3415l3840,3415,3875,3359,3909,3415xe" filled="true" fillcolor="#0000ff" stroked="false">
              <v:path arrowok="t"/>
              <v:fill type="solid"/>
            </v:shape>
            <v:shape style="position:absolute;left:3840;top:3359;width:70;height:57" coordorigin="3840,3359" coordsize="70,57" path="m3875,3359l3909,3415,3840,3415,3875,3359xe" filled="false" stroked="true" strokeweight=".864801pt" strokecolor="#0000ff">
              <v:path arrowok="t"/>
              <v:stroke dashstyle="solid"/>
            </v:shape>
            <v:shape style="position:absolute;left:3866;top:1499;width:70;height:57" coordorigin="3866,1500" coordsize="70,57" path="m3935,1556l3866,1556,3901,1500,3935,1556xe" filled="true" fillcolor="#0000ff" stroked="false">
              <v:path arrowok="t"/>
              <v:fill type="solid"/>
            </v:shape>
            <v:shape style="position:absolute;left:3866;top:1499;width:70;height:57" coordorigin="3866,1500" coordsize="70,57" path="m3901,1500l3935,1556,3866,1556,3901,1500xe" filled="false" stroked="true" strokeweight=".864801pt" strokecolor="#0000ff">
              <v:path arrowok="t"/>
              <v:stroke dashstyle="solid"/>
            </v:shape>
            <v:shape style="position:absolute;left:3900;top:2429;width:74;height:57" coordorigin="3901,2430" coordsize="74,57" path="m3974,2486l3901,2486,3935,2430,3974,2486xe" filled="true" fillcolor="#0000ff" stroked="false">
              <v:path arrowok="t"/>
              <v:fill type="solid"/>
            </v:shape>
            <v:shape style="position:absolute;left:3900;top:2429;width:74;height:57" coordorigin="3901,2430" coordsize="74,57" path="m3935,2430l3974,2486,3901,2486,3935,2430xe" filled="false" stroked="true" strokeweight=".864797pt" strokecolor="#0000ff">
              <v:path arrowok="t"/>
              <v:stroke dashstyle="solid"/>
            </v:shape>
            <v:shape style="position:absolute;left:3952;top:3549;width:74;height:57" coordorigin="3953,3549" coordsize="74,57" path="m4026,3606l3953,3606,3991,3549,4026,3606xe" filled="true" fillcolor="#0000ff" stroked="false">
              <v:path arrowok="t"/>
              <v:fill type="solid"/>
            </v:shape>
            <v:shape style="position:absolute;left:3952;top:3549;width:74;height:57" coordorigin="3952,3549" coordsize="74,57" path="m3991,3549l4026,3606,3952,3606,3991,3549xe" filled="false" stroked="true" strokeweight=".864797pt" strokecolor="#0000ff">
              <v:path arrowok="t"/>
              <v:stroke dashstyle="solid"/>
            </v:shape>
            <v:shape style="position:absolute;left:3987;top:2187;width:74;height:57" coordorigin="3987,2187" coordsize="74,57" path="m4061,2244l3987,2244,4026,2187,4061,2244xe" filled="true" fillcolor="#0000ff" stroked="false">
              <v:path arrowok="t"/>
              <v:fill type="solid"/>
            </v:shape>
            <v:shape style="position:absolute;left:3987;top:2187;width:74;height:57" coordorigin="3987,2187" coordsize="74,57" path="m4026,2187l4061,2244,3987,2244,4026,2187xe" filled="false" stroked="true" strokeweight=".864797pt" strokecolor="#0000ff">
              <v:path arrowok="t"/>
              <v:stroke dashstyle="solid"/>
            </v:shape>
            <v:shape style="position:absolute;left:4017;top:1443;width:74;height:57" coordorigin="4017,1444" coordsize="74,57" path="m4091,1500l4017,1500,4052,1444,4091,1500xe" filled="true" fillcolor="#0000ff" stroked="false">
              <v:path arrowok="t"/>
              <v:fill type="solid"/>
            </v:shape>
            <v:shape style="position:absolute;left:4017;top:1443;width:74;height:57" coordorigin="4017,1444" coordsize="74,57" path="m4052,1444l4091,1500,4017,1500,4052,1444xe" filled="false" stroked="true" strokeweight=".864797pt" strokecolor="#0000ff">
              <v:path arrowok="t"/>
              <v:stroke dashstyle="solid"/>
            </v:shape>
            <v:shape style="position:absolute;left:4077;top:1763;width:74;height:57" coordorigin="4078,1764" coordsize="74,57" path="m4151,1820l4078,1820,4113,1764,4151,1820xe" filled="true" fillcolor="#0000ff" stroked="false">
              <v:path arrowok="t"/>
              <v:fill type="solid"/>
            </v:shape>
            <v:shape style="position:absolute;left:4077;top:1763;width:74;height:57" coordorigin="4078,1764" coordsize="74,57" path="m4113,1764l4151,1820,4078,1820,4113,1764xe" filled="false" stroked="true" strokeweight=".864797pt" strokecolor="#0000ff">
              <v:path arrowok="t"/>
              <v:stroke dashstyle="solid"/>
            </v:shape>
            <v:shape style="position:absolute;left:4151;top:2507;width:74;height:57" coordorigin="4151,2507" coordsize="74,57" path="m4225,2564l4151,2564,4190,2507,4225,2564xe" filled="true" fillcolor="#0000ff" stroked="false">
              <v:path arrowok="t"/>
              <v:fill type="solid"/>
            </v:shape>
            <v:shape style="position:absolute;left:4151;top:2507;width:74;height:57" coordorigin="4151,2507" coordsize="74,57" path="m4190,2507l4225,2564,4151,2564,4190,2507xe" filled="false" stroked="true" strokeweight=".864797pt" strokecolor="#0000ff">
              <v:path arrowok="t"/>
              <v:stroke dashstyle="solid"/>
            </v:shape>
            <v:shape style="position:absolute;left:4194;top:1288;width:74;height:57" coordorigin="4195,1288" coordsize="74,57" path="m4268,1344l4195,1344,4234,1288,4268,1344xe" filled="true" fillcolor="#0000ff" stroked="false">
              <v:path arrowok="t"/>
              <v:fill type="solid"/>
            </v:shape>
            <v:shape style="position:absolute;left:4194;top:1288;width:74;height:57" coordorigin="4195,1288" coordsize="74,57" path="m4234,1288l4268,1344,4195,1344,4234,1288xe" filled="false" stroked="true" strokeweight=".864797pt" strokecolor="#0000ff">
              <v:path arrowok="t"/>
              <v:stroke dashstyle="solid"/>
            </v:shape>
            <v:shape style="position:absolute;left:4255;top:1439;width:70;height:57" coordorigin="4255,1439" coordsize="70,57" path="m4324,1496l4255,1496,4290,1439,4324,1496xe" filled="true" fillcolor="#0000ff" stroked="false">
              <v:path arrowok="t"/>
              <v:fill type="solid"/>
            </v:shape>
            <v:shape style="position:absolute;left:4255;top:1439;width:70;height:57" coordorigin="4255,1439" coordsize="70,57" path="m4290,1439l4324,1496,4255,1496,4290,1439xe" filled="false" stroked="true" strokeweight=".864801pt" strokecolor="#0000ff">
              <v:path arrowok="t"/>
              <v:stroke dashstyle="solid"/>
            </v:shape>
            <v:shape style="position:absolute;left:4294;top:1815;width:74;height:57" coordorigin="4294,1816" coordsize="74,57" path="m4368,1872l4294,1872,4329,1816,4368,1872xe" filled="true" fillcolor="#0000ff" stroked="false">
              <v:path arrowok="t"/>
              <v:fill type="solid"/>
            </v:shape>
            <v:shape style="position:absolute;left:4294;top:1815;width:74;height:57" coordorigin="4294,1816" coordsize="74,57" path="m4329,1816l4368,1872,4294,1872,4329,1816xe" filled="false" stroked="true" strokeweight=".864797pt" strokecolor="#0000ff">
              <v:path arrowok="t"/>
              <v:stroke dashstyle="solid"/>
            </v:shape>
            <v:shape style="position:absolute;left:3710;top:1374;width:74;height:57" coordorigin="3710,1375" coordsize="74,57" path="m3784,1431l3710,1431,3749,1375,3784,1431xe" filled="true" fillcolor="#0000ff" stroked="false">
              <v:path arrowok="t"/>
              <v:fill type="solid"/>
            </v:shape>
            <v:shape style="position:absolute;left:3710;top:1374;width:74;height:57" coordorigin="3710,1375" coordsize="74,57" path="m3749,1375l3784,1431,3710,1431,3749,1375xe" filled="false" stroked="true" strokeweight=".864797pt" strokecolor="#0000ff">
              <v:path arrowok="t"/>
              <v:stroke dashstyle="solid"/>
            </v:shape>
            <v:shape style="position:absolute;left:3688;top:1097;width:70;height:57" coordorigin="3689,1098" coordsize="70,57" path="m3758,1154l3689,1154,3723,1098,3758,1154xe" filled="true" fillcolor="#0000ff" stroked="false">
              <v:path arrowok="t"/>
              <v:fill type="solid"/>
            </v:shape>
            <v:shape style="position:absolute;left:3688;top:1097;width:70;height:57" coordorigin="3689,1098" coordsize="70,57" path="m3723,1098l3758,1154,3689,1154,3723,1098xe" filled="false" stroked="true" strokeweight=".864801pt" strokecolor="#0000ff">
              <v:path arrowok="t"/>
              <v:stroke dashstyle="solid"/>
            </v:shape>
            <v:shape style="position:absolute;left:3922;top:687;width:74;height:57" coordorigin="3922,687" coordsize="74,57" path="m3996,743l3922,743,3961,687,3996,743xe" filled="true" fillcolor="#0000ff" stroked="false">
              <v:path arrowok="t"/>
              <v:fill type="solid"/>
            </v:shape>
            <v:shape style="position:absolute;left:3922;top:687;width:74;height:57" coordorigin="3922,687" coordsize="74,57" path="m3961,687l3996,743,3922,743,3961,687xe" filled="false" stroked="true" strokeweight=".864797pt" strokecolor="#0000ff">
              <v:path arrowok="t"/>
              <v:stroke dashstyle="solid"/>
            </v:shape>
            <v:shape style="position:absolute;left:3935;top:1054;width:70;height:57" coordorigin="3935,1055" coordsize="70,57" path="m4004,1111l3935,1111,3970,1055,4004,1111xe" filled="true" fillcolor="#0000ff" stroked="false">
              <v:path arrowok="t"/>
              <v:fill type="solid"/>
            </v:shape>
            <v:shape style="position:absolute;left:3935;top:1054;width:70;height:57" coordorigin="3935,1055" coordsize="70,57" path="m3970,1055l4004,1111,3935,1111,3970,1055xe" filled="false" stroked="true" strokeweight=".864801pt" strokecolor="#0000ff">
              <v:path arrowok="t"/>
              <v:stroke dashstyle="solid"/>
            </v:shape>
            <v:shape style="position:absolute;left:3913;top:972;width:70;height:57" coordorigin="3914,972" coordsize="70,57" path="m3983,1029l3914,1029,3948,972,3983,1029xe" filled="true" fillcolor="#0000ff" stroked="false">
              <v:path arrowok="t"/>
              <v:fill type="solid"/>
            </v:shape>
            <v:shape style="position:absolute;left:3913;top:972;width:70;height:57" coordorigin="3914,972" coordsize="70,57" path="m3948,972l3983,1029,3914,1029,3948,972xe" filled="false" stroked="true" strokeweight=".864801pt" strokecolor="#0000ff">
              <v:path arrowok="t"/>
              <v:stroke dashstyle="solid"/>
            </v:shape>
            <v:shape style="position:absolute;left:4203;top:1322;width:74;height:57" coordorigin="4203,1323" coordsize="74,57" path="m4277,1379l4203,1379,4242,1323,4277,1379xe" filled="true" fillcolor="#0000ff" stroked="false">
              <v:path arrowok="t"/>
              <v:fill type="solid"/>
            </v:shape>
            <v:shape style="position:absolute;left:4203;top:1322;width:74;height:57" coordorigin="4203,1323" coordsize="74,57" path="m4242,1323l4277,1379,4203,1379,4242,1323xe" filled="false" stroked="true" strokeweight=".864797pt" strokecolor="#0000ff">
              <v:path arrowok="t"/>
              <v:stroke dashstyle="solid"/>
            </v:shape>
            <v:shape style="position:absolute;left:4056;top:1742;width:70;height:57" coordorigin="4056,1742" coordsize="70,57" path="m4125,1798l4056,1798,4091,1742,4125,1798xe" filled="true" fillcolor="#0000ff" stroked="false">
              <v:path arrowok="t"/>
              <v:fill type="solid"/>
            </v:shape>
            <v:shape style="position:absolute;left:4056;top:1742;width:70;height:57" coordorigin="4056,1742" coordsize="70,57" path="m4091,1742l4125,1798,4056,1798,4091,1742xe" filled="false" stroked="true" strokeweight=".864801pt" strokecolor="#0000ff">
              <v:path arrowok="t"/>
              <v:stroke dashstyle="solid"/>
            </v:shape>
            <v:shape style="position:absolute;left:3818;top:2105;width:70;height:57" coordorigin="3818,2105" coordsize="70,57" path="m3888,2161l3818,2161,3853,2105,3888,2161xe" filled="true" fillcolor="#0000ff" stroked="false">
              <v:path arrowok="t"/>
              <v:fill type="solid"/>
            </v:shape>
            <v:shape style="position:absolute;left:3818;top:2105;width:70;height:57" coordorigin="3818,2105" coordsize="70,57" path="m3853,2105l3888,2161,3818,2161,3853,2105xe" filled="false" stroked="true" strokeweight=".864801pt" strokecolor="#0000ff">
              <v:path arrowok="t"/>
              <v:stroke dashstyle="solid"/>
            </v:shape>
            <v:shape style="position:absolute;left:3822;top:2113;width:74;height:57" coordorigin="3823,2114" coordsize="74,57" path="m3896,2170l3823,2170,3862,2114,3896,2170xe" filled="true" fillcolor="#0000ff" stroked="false">
              <v:path arrowok="t"/>
              <v:fill type="solid"/>
            </v:shape>
            <v:shape style="position:absolute;left:3822;top:2113;width:74;height:57" coordorigin="3823,2114" coordsize="74,57" path="m3862,2114l3896,2170,3823,2170,3862,2114xe" filled="false" stroked="true" strokeweight=".864797pt" strokecolor="#0000ff">
              <v:path arrowok="t"/>
              <v:stroke dashstyle="solid"/>
            </v:shape>
            <v:shape style="position:absolute;left:3697;top:2222;width:74;height:57" coordorigin="3697,2222" coordsize="74,57" path="m3771,2278l3697,2278,3732,2222,3771,2278xe" filled="true" fillcolor="#0000ff" stroked="false">
              <v:path arrowok="t"/>
              <v:fill type="solid"/>
            </v:shape>
            <v:shape style="position:absolute;left:3697;top:2222;width:74;height:57" coordorigin="3697,2222" coordsize="74,57" path="m3732,2222l3771,2278,3697,2278,3732,2222xe" filled="false" stroked="true" strokeweight=".864797pt" strokecolor="#0000ff">
              <v:path arrowok="t"/>
              <v:stroke dashstyle="solid"/>
            </v:shape>
            <v:shape style="position:absolute;left:3870;top:1659;width:74;height:57" coordorigin="3870,1660" coordsize="74,57" path="m3944,1716l3870,1716,3909,1660,3944,1716xe" filled="true" fillcolor="#0000ff" stroked="false">
              <v:path arrowok="t"/>
              <v:fill type="solid"/>
            </v:shape>
            <v:shape style="position:absolute;left:3870;top:1659;width:74;height:57" coordorigin="3870,1660" coordsize="74,57" path="m3909,1660l3944,1716,3870,1716,3909,1660xe" filled="false" stroked="true" strokeweight=".864797pt" strokecolor="#0000ff">
              <v:path arrowok="t"/>
              <v:stroke dashstyle="solid"/>
            </v:shape>
            <v:shape style="position:absolute;left:3706;top:1945;width:74;height:52" coordorigin="3706,1945" coordsize="74,52" path="m3780,1997l3706,1997,3741,1945,3780,1997xe" filled="true" fillcolor="#0000ff" stroked="false">
              <v:path arrowok="t"/>
              <v:fill type="solid"/>
            </v:shape>
            <v:shape style="position:absolute;left:3706;top:1945;width:74;height:52" coordorigin="3706,1945" coordsize="74,52" path="m3741,1945l3780,1997,3706,1997,3741,1945xe" filled="false" stroked="true" strokeweight=".864792pt" strokecolor="#0000ff">
              <v:path arrowok="t"/>
              <v:stroke dashstyle="solid"/>
            </v:shape>
            <v:shape style="position:absolute;left:3658;top:1798;width:74;height:57" coordorigin="3658,1798" coordsize="74,57" path="m3732,1854l3658,1854,3693,1798,3732,1854xe" filled="true" fillcolor="#0000ff" stroked="false">
              <v:path arrowok="t"/>
              <v:fill type="solid"/>
            </v:shape>
            <v:shape style="position:absolute;left:3658;top:1798;width:74;height:57" coordorigin="3658,1798" coordsize="74,57" path="m3693,1798l3732,1854,3658,1854,3693,1798xe" filled="false" stroked="true" strokeweight=".864797pt" strokecolor="#0000ff">
              <v:path arrowok="t"/>
              <v:stroke dashstyle="solid"/>
            </v:shape>
            <v:shape style="position:absolute;left:2771;top:3436;width:74;height:57" coordorigin="2772,3437" coordsize="74,57" path="m2845,3493l2772,3493,2807,3437,2845,3493xe" filled="true" fillcolor="#0000ff" stroked="false">
              <v:path arrowok="t"/>
              <v:fill type="solid"/>
            </v:shape>
            <v:shape style="position:absolute;left:2771;top:3436;width:74;height:57" coordorigin="2772,3437" coordsize="74,57" path="m2807,3437l2845,3493,2772,3493,2807,3437xe" filled="false" stroked="true" strokeweight=".864797pt" strokecolor="#0000ff">
              <v:path arrowok="t"/>
              <v:stroke dashstyle="solid"/>
            </v:shape>
            <v:shape style="position:absolute;left:3878;top:1928;width:70;height:57" coordorigin="3879,1928" coordsize="70,57" path="m3948,1984l3879,1984,3914,1928,3948,1984xe" filled="true" fillcolor="#0000ff" stroked="false">
              <v:path arrowok="t"/>
              <v:fill type="solid"/>
            </v:shape>
            <v:shape style="position:absolute;left:3878;top:1928;width:70;height:57" coordorigin="3879,1928" coordsize="70,57" path="m3914,1928l3948,1984,3879,1984,3914,1928xe" filled="false" stroked="true" strokeweight=".864801pt" strokecolor="#0000ff">
              <v:path arrowok="t"/>
              <v:stroke dashstyle="solid"/>
            </v:shape>
            <v:shape style="position:absolute;left:307;top:302;width:78;height:57" coordorigin="307,302" coordsize="78,57" path="m346,358l307,333,346,302,385,333,346,358xe" filled="true" fillcolor="#ff0000" stroked="false">
              <v:path arrowok="t"/>
              <v:fill type="solid"/>
            </v:shape>
            <v:shape style="position:absolute;left:307;top:302;width:78;height:57" coordorigin="307,302" coordsize="78,57" path="m346,302l385,333,346,358,307,333,346,302xe" filled="false" stroked="true" strokeweight=".864794pt" strokecolor="#ff0000">
              <v:path arrowok="t"/>
              <v:stroke dashstyle="solid"/>
            </v:shape>
            <v:shape style="position:absolute;left:311;top:553;width:70;height:57" coordorigin="311,553" coordsize="70,57" path="m381,609l311,609,346,553,381,609xe" filled="true" fillcolor="#0000ff" stroked="false">
              <v:path arrowok="t"/>
              <v:fill type="solid"/>
            </v:shape>
            <v:shape style="position:absolute;left:311;top:553;width:70;height:57" coordorigin="311,553" coordsize="70,57" path="m346,553l381,609,311,609,346,553xe" filled="false" stroked="true" strokeweight=".864801pt" strokecolor="#0000ff">
              <v:path arrowok="t"/>
              <v:stroke dashstyle="solid"/>
            </v:shape>
            <v:shape style="position:absolute;left:0;top:0;width:6651;height:3676" type="#_x0000_t202" filled="false" stroked="false">
              <v:textbox inset="0,0,0,0">
                <w:txbxContent>
                  <w:p>
                    <w:pPr>
                      <w:spacing w:line="225" w:lineRule="auto" w:before="204"/>
                      <w:ind w:left="579" w:right="4558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SPF-S raw data</w:t>
                    </w:r>
                    <w:r>
                      <w:rPr>
                        <w:spacing w:val="-5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SYP raw data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156"/>
        <w:ind w:left="46" w:right="0" w:firstLine="0"/>
        <w:jc w:val="left"/>
        <w:rPr>
          <w:sz w:val="19"/>
        </w:rPr>
      </w:pPr>
      <w:r>
        <w:rPr>
          <w:sz w:val="19"/>
        </w:rPr>
        <w:t>540</w:t>
      </w:r>
    </w:p>
    <w:p>
      <w:pPr>
        <w:spacing w:before="6"/>
        <w:ind w:left="46" w:right="0" w:firstLine="0"/>
        <w:jc w:val="left"/>
        <w:rPr>
          <w:sz w:val="19"/>
        </w:rPr>
      </w:pPr>
      <w:r>
        <w:rPr/>
        <w:pict>
          <v:shape style="position:absolute;margin-left:518.016052pt;margin-top:-.111827pt;width:19.9pt;height:155.35pt;mso-position-horizontal-relative:page;mso-position-vertical-relative:paragraph;z-index:15841792" type="#_x0000_t202" filled="false" stroked="false">
            <v:textbox inset="0,0,0,0" style="layout-flow:vertical;mso-layout-flow-alt:bottom-to-top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27"/>
                    </w:rPr>
                  </w:pPr>
                  <w:r>
                    <w:rPr>
                      <w:sz w:val="27"/>
                    </w:rPr>
                    <w:t>Residual Velocity, V</w:t>
                  </w:r>
                  <w:r>
                    <w:rPr>
                      <w:position w:val="-5"/>
                      <w:sz w:val="21"/>
                    </w:rPr>
                    <w:t>R</w:t>
                  </w:r>
                  <w:r>
                    <w:rPr>
                      <w:spacing w:val="21"/>
                      <w:position w:val="-5"/>
                      <w:sz w:val="21"/>
                    </w:rPr>
                    <w:t> </w:t>
                  </w:r>
                  <w:r>
                    <w:rPr>
                      <w:sz w:val="27"/>
                    </w:rPr>
                    <w:t>(m/s)</w:t>
                  </w:r>
                </w:p>
              </w:txbxContent>
            </v:textbox>
            <w10:wrap type="none"/>
          </v:shape>
        </w:pict>
      </w:r>
      <w:r>
        <w:rPr>
          <w:sz w:val="19"/>
        </w:rPr>
        <w:t>510</w:t>
      </w:r>
    </w:p>
    <w:p>
      <w:pPr>
        <w:spacing w:before="6"/>
        <w:ind w:left="46" w:right="0" w:firstLine="0"/>
        <w:jc w:val="left"/>
        <w:rPr>
          <w:sz w:val="19"/>
        </w:rPr>
      </w:pPr>
      <w:r>
        <w:rPr>
          <w:sz w:val="19"/>
        </w:rPr>
        <w:t>480</w:t>
      </w:r>
    </w:p>
    <w:p>
      <w:pPr>
        <w:spacing w:before="7"/>
        <w:ind w:left="46" w:right="0" w:firstLine="0"/>
        <w:jc w:val="left"/>
        <w:rPr>
          <w:sz w:val="19"/>
        </w:rPr>
      </w:pPr>
      <w:r>
        <w:rPr>
          <w:sz w:val="19"/>
        </w:rPr>
        <w:t>450</w:t>
      </w:r>
    </w:p>
    <w:p>
      <w:pPr>
        <w:spacing w:before="6"/>
        <w:ind w:left="46" w:right="0" w:firstLine="0"/>
        <w:jc w:val="left"/>
        <w:rPr>
          <w:sz w:val="19"/>
        </w:rPr>
      </w:pPr>
      <w:r>
        <w:rPr>
          <w:sz w:val="19"/>
        </w:rPr>
        <w:t>420</w:t>
      </w:r>
    </w:p>
    <w:p>
      <w:pPr>
        <w:spacing w:before="7"/>
        <w:ind w:left="46" w:right="0" w:firstLine="0"/>
        <w:jc w:val="left"/>
        <w:rPr>
          <w:sz w:val="19"/>
        </w:rPr>
      </w:pPr>
      <w:r>
        <w:rPr>
          <w:sz w:val="19"/>
        </w:rPr>
        <w:t>390</w:t>
      </w:r>
    </w:p>
    <w:p>
      <w:pPr>
        <w:spacing w:before="6"/>
        <w:ind w:left="46" w:right="0" w:firstLine="0"/>
        <w:jc w:val="left"/>
        <w:rPr>
          <w:sz w:val="19"/>
        </w:rPr>
      </w:pPr>
      <w:r>
        <w:rPr>
          <w:sz w:val="19"/>
        </w:rPr>
        <w:t>360</w:t>
      </w:r>
    </w:p>
    <w:p>
      <w:pPr>
        <w:spacing w:before="6"/>
        <w:ind w:left="46" w:right="0" w:firstLine="0"/>
        <w:jc w:val="left"/>
        <w:rPr>
          <w:sz w:val="19"/>
        </w:rPr>
      </w:pPr>
      <w:r>
        <w:rPr>
          <w:sz w:val="19"/>
        </w:rPr>
        <w:t>330</w:t>
      </w:r>
    </w:p>
    <w:p>
      <w:pPr>
        <w:spacing w:before="7"/>
        <w:ind w:left="46" w:right="0" w:firstLine="0"/>
        <w:jc w:val="left"/>
        <w:rPr>
          <w:sz w:val="19"/>
        </w:rPr>
      </w:pPr>
      <w:r>
        <w:rPr>
          <w:sz w:val="19"/>
        </w:rPr>
        <w:t>300</w:t>
      </w:r>
    </w:p>
    <w:p>
      <w:pPr>
        <w:spacing w:before="6"/>
        <w:ind w:left="46" w:right="0" w:firstLine="0"/>
        <w:jc w:val="left"/>
        <w:rPr>
          <w:sz w:val="19"/>
        </w:rPr>
      </w:pPr>
      <w:r>
        <w:rPr>
          <w:sz w:val="19"/>
        </w:rPr>
        <w:t>270</w:t>
      </w:r>
    </w:p>
    <w:p>
      <w:pPr>
        <w:spacing w:before="6"/>
        <w:ind w:left="46" w:right="0" w:firstLine="0"/>
        <w:jc w:val="left"/>
        <w:rPr>
          <w:sz w:val="19"/>
        </w:rPr>
      </w:pPr>
      <w:r>
        <w:rPr>
          <w:sz w:val="19"/>
        </w:rPr>
        <w:t>240</w:t>
      </w:r>
    </w:p>
    <w:p>
      <w:pPr>
        <w:spacing w:before="11"/>
        <w:ind w:left="46" w:right="0" w:firstLine="0"/>
        <w:jc w:val="left"/>
        <w:rPr>
          <w:sz w:val="19"/>
        </w:rPr>
      </w:pPr>
      <w:r>
        <w:rPr>
          <w:sz w:val="19"/>
        </w:rPr>
        <w:t>210</w:t>
      </w:r>
    </w:p>
    <w:p>
      <w:pPr>
        <w:spacing w:before="6"/>
        <w:ind w:left="46" w:right="0" w:firstLine="0"/>
        <w:jc w:val="left"/>
        <w:rPr>
          <w:sz w:val="19"/>
        </w:rPr>
      </w:pPr>
      <w:r>
        <w:rPr>
          <w:sz w:val="19"/>
        </w:rPr>
        <w:t>180</w:t>
      </w:r>
    </w:p>
    <w:p>
      <w:pPr>
        <w:spacing w:before="7"/>
        <w:ind w:left="46" w:right="0" w:firstLine="0"/>
        <w:jc w:val="left"/>
        <w:rPr>
          <w:sz w:val="19"/>
        </w:rPr>
      </w:pPr>
      <w:r>
        <w:rPr>
          <w:sz w:val="19"/>
        </w:rPr>
        <w:t>150</w:t>
      </w:r>
    </w:p>
    <w:p>
      <w:pPr>
        <w:spacing w:before="6"/>
        <w:ind w:left="46" w:right="0" w:firstLine="0"/>
        <w:jc w:val="left"/>
        <w:rPr>
          <w:sz w:val="19"/>
        </w:rPr>
      </w:pPr>
      <w:r>
        <w:rPr>
          <w:sz w:val="19"/>
        </w:rPr>
        <w:t>120</w:t>
      </w:r>
    </w:p>
    <w:p>
      <w:pPr>
        <w:spacing w:before="6"/>
        <w:ind w:left="46" w:right="0" w:firstLine="0"/>
        <w:jc w:val="left"/>
        <w:rPr>
          <w:sz w:val="19"/>
        </w:rPr>
      </w:pPr>
      <w:r>
        <w:rPr>
          <w:sz w:val="19"/>
        </w:rPr>
        <w:t>90</w:t>
      </w:r>
    </w:p>
    <w:p>
      <w:pPr>
        <w:spacing w:after="0"/>
        <w:jc w:val="left"/>
        <w:rPr>
          <w:sz w:val="19"/>
        </w:rPr>
        <w:sectPr>
          <w:pgSz w:w="12240" w:h="15840"/>
          <w:pgMar w:header="0" w:footer="1064" w:top="1320" w:bottom="1260" w:left="1720" w:right="1020"/>
          <w:cols w:num="3" w:equalWidth="0">
            <w:col w:w="1344" w:space="40"/>
            <w:col w:w="6694" w:space="39"/>
            <w:col w:w="1383"/>
          </w:cols>
        </w:sectPr>
      </w:pPr>
    </w:p>
    <w:p>
      <w:pPr>
        <w:tabs>
          <w:tab w:pos="741" w:val="left" w:leader="none"/>
          <w:tab w:pos="1416" w:val="left" w:leader="none"/>
          <w:tab w:pos="2151" w:val="left" w:leader="none"/>
          <w:tab w:pos="2890" w:val="left" w:leader="none"/>
          <w:tab w:pos="3626" w:val="left" w:leader="none"/>
          <w:tab w:pos="4361" w:val="left" w:leader="none"/>
          <w:tab w:pos="5100" w:val="left" w:leader="none"/>
          <w:tab w:pos="5835" w:val="left" w:leader="none"/>
          <w:tab w:pos="6575" w:val="left" w:leader="none"/>
        </w:tabs>
        <w:spacing w:before="6"/>
        <w:ind w:left="2" w:right="0" w:firstLine="0"/>
        <w:jc w:val="center"/>
        <w:rPr>
          <w:sz w:val="19"/>
        </w:rPr>
      </w:pPr>
      <w:r>
        <w:rPr>
          <w:sz w:val="19"/>
        </w:rPr>
        <w:t>400</w:t>
        <w:tab/>
        <w:t>800</w:t>
        <w:tab/>
        <w:t>1200</w:t>
        <w:tab/>
        <w:t>1600</w:t>
        <w:tab/>
        <w:t>2000</w:t>
        <w:tab/>
        <w:t>2400</w:t>
        <w:tab/>
        <w:t>2800</w:t>
        <w:tab/>
        <w:t>3200</w:t>
        <w:tab/>
        <w:t>3600</w:t>
        <w:tab/>
        <w:t>4000</w:t>
      </w:r>
    </w:p>
    <w:p>
      <w:pPr>
        <w:pStyle w:val="Heading6"/>
        <w:spacing w:before="178"/>
        <w:ind w:left="224"/>
        <w:jc w:val="center"/>
      </w:pPr>
      <w:r>
        <w:rPr/>
        <w:t>Striking</w:t>
      </w:r>
      <w:r>
        <w:rPr>
          <w:spacing w:val="-6"/>
        </w:rPr>
        <w:t> </w:t>
      </w:r>
      <w:r>
        <w:rPr/>
        <w:t>Velocity,</w:t>
      </w:r>
      <w:r>
        <w:rPr>
          <w:spacing w:val="-2"/>
        </w:rPr>
        <w:t> </w:t>
      </w:r>
      <w:r>
        <w:rPr/>
        <w:t>V</w:t>
      </w:r>
      <w:r>
        <w:rPr>
          <w:position w:val="-8"/>
          <w:sz w:val="24"/>
        </w:rPr>
        <w:t>s</w:t>
      </w:r>
      <w:r>
        <w:rPr>
          <w:spacing w:val="12"/>
          <w:position w:val="-8"/>
          <w:sz w:val="24"/>
        </w:rPr>
        <w:t> </w:t>
      </w:r>
      <w:r>
        <w:rPr/>
        <w:t>(fps)</w:t>
      </w:r>
    </w:p>
    <w:p>
      <w:pPr>
        <w:spacing w:before="235"/>
        <w:ind w:left="20" w:right="0" w:firstLine="0"/>
        <w:jc w:val="center"/>
        <w:rPr>
          <w:i/>
          <w:sz w:val="24"/>
        </w:rPr>
      </w:pPr>
      <w:bookmarkStart w:name="_bookmark89" w:id="326"/>
      <w:bookmarkEnd w:id="326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5-29.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Residual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velocity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based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striking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velocity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CLT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specimen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tests.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168"/>
        <w:ind w:left="440" w:right="416" w:firstLine="720"/>
        <w:jc w:val="both"/>
      </w:pPr>
      <w:r>
        <w:rPr/>
        <w:t>Residual velocity data was collected from both the SPF-S and SYP CLT types.</w:t>
      </w:r>
      <w:r>
        <w:rPr>
          <w:spacing w:val="1"/>
        </w:rPr>
        <w:t> </w:t>
      </w:r>
      <w:r>
        <w:rPr/>
        <w:t>Additionally, there were both 3-ply and 5-ply thick specimens for the SYP and 5-ply</w:t>
      </w:r>
      <w:r>
        <w:rPr>
          <w:spacing w:val="1"/>
        </w:rPr>
        <w:t> </w:t>
      </w:r>
      <w:r>
        <w:rPr/>
        <w:t>specimens for the SPF-S.</w:t>
      </w:r>
      <w:r>
        <w:rPr>
          <w:spacing w:val="60"/>
        </w:rPr>
        <w:t> </w:t>
      </w:r>
      <w:r>
        <w:rPr/>
        <w:t>Since most of the specimens were the same thickness and with</w:t>
      </w:r>
      <w:r>
        <w:rPr>
          <w:spacing w:val="1"/>
        </w:rPr>
        <w:t> </w:t>
      </w:r>
      <w:r>
        <w:rPr/>
        <w:t>a small range of striking velocities, attempts to calibrate a model to the residual data set</w:t>
      </w:r>
      <w:r>
        <w:rPr>
          <w:spacing w:val="1"/>
        </w:rPr>
        <w:t> </w:t>
      </w:r>
      <w:r>
        <w:rPr/>
        <w:t>resulted in nonsensical curves and high MSE values in the range of 5000.</w:t>
      </w:r>
      <w:r>
        <w:rPr>
          <w:spacing w:val="1"/>
        </w:rPr>
        <w:t> </w:t>
      </w:r>
      <w:r>
        <w:rPr/>
        <w:t>Ideally, for</w:t>
      </w:r>
      <w:r>
        <w:rPr>
          <w:spacing w:val="1"/>
        </w:rPr>
        <w:t> </w:t>
      </w:r>
      <w:r>
        <w:rPr/>
        <w:t>model calibration as completed with the depth of penetration data more specimens of</w:t>
      </w:r>
      <w:r>
        <w:rPr>
          <w:spacing w:val="1"/>
        </w:rPr>
        <w:t> </w:t>
      </w:r>
      <w:r>
        <w:rPr/>
        <w:t>different thickness, or ply numbers with residual velocity data are needed to fill out more</w:t>
      </w:r>
      <w:r>
        <w:rPr>
          <w:spacing w:val="1"/>
        </w:rPr>
        <w:t> </w:t>
      </w:r>
      <w:r>
        <w:rPr/>
        <w:t>of the curve in terms of different thicknesses of CLT reducing the velocity by different</w:t>
      </w:r>
      <w:r>
        <w:rPr>
          <w:spacing w:val="1"/>
        </w:rPr>
        <w:t> </w:t>
      </w:r>
      <w:r>
        <w:rPr/>
        <w:t>amounts.</w:t>
      </w:r>
    </w:p>
    <w:p>
      <w:pPr>
        <w:spacing w:after="0" w:line="480" w:lineRule="auto"/>
        <w:jc w:val="both"/>
        <w:sectPr>
          <w:type w:val="continuous"/>
          <w:pgSz w:w="12240" w:h="15840"/>
          <w:pgMar w:top="1380" w:bottom="280" w:left="1720" w:right="1020"/>
        </w:sectPr>
      </w:pPr>
    </w:p>
    <w:p>
      <w:pPr>
        <w:spacing w:before="79"/>
        <w:ind w:left="440" w:right="0" w:firstLine="0"/>
        <w:jc w:val="both"/>
        <w:rPr>
          <w:i/>
          <w:sz w:val="24"/>
        </w:rPr>
      </w:pPr>
      <w:bookmarkStart w:name="5.6.2 Residual data and expected velocit" w:id="327"/>
      <w:bookmarkEnd w:id="327"/>
      <w:r>
        <w:rPr/>
      </w:r>
      <w:r>
        <w:rPr>
          <w:i/>
          <w:sz w:val="24"/>
        </w:rPr>
        <w:t>5.6.2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Residual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data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expected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velocity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curves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from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force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law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model</w:t>
      </w:r>
    </w:p>
    <w:p>
      <w:pPr>
        <w:pStyle w:val="BodyText"/>
        <w:spacing w:before="7"/>
        <w:rPr>
          <w:i/>
          <w:sz w:val="22"/>
        </w:rPr>
      </w:pPr>
    </w:p>
    <w:p>
      <w:pPr>
        <w:pStyle w:val="BodyText"/>
        <w:spacing w:line="480" w:lineRule="auto"/>
        <w:ind w:left="440" w:right="417" w:firstLine="720"/>
        <w:jc w:val="both"/>
      </w:pPr>
      <w:r>
        <w:rPr/>
        <w:t>While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collected</w:t>
      </w:r>
      <w:r>
        <w:rPr>
          <w:spacing w:val="1"/>
        </w:rPr>
        <w:t> </w:t>
      </w:r>
      <w:r>
        <w:rPr/>
        <w:t>residual</w:t>
      </w:r>
      <w:r>
        <w:rPr>
          <w:spacing w:val="1"/>
        </w:rPr>
        <w:t> </w:t>
      </w:r>
      <w:r>
        <w:rPr/>
        <w:t>velocity</w:t>
      </w:r>
      <w:r>
        <w:rPr>
          <w:spacing w:val="1"/>
        </w:rPr>
        <w:t> </w:t>
      </w:r>
      <w:r>
        <w:rPr/>
        <w:t>would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allow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development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calibration of its own fitted model, the previously developed models could be used in</w:t>
      </w:r>
      <w:r>
        <w:rPr>
          <w:spacing w:val="1"/>
        </w:rPr>
        <w:t> </w:t>
      </w:r>
      <w:r>
        <w:rPr/>
        <w:t>combination with the residual data.</w:t>
      </w:r>
      <w:r>
        <w:rPr>
          <w:spacing w:val="1"/>
        </w:rPr>
        <w:t> </w:t>
      </w:r>
      <w:hyperlink w:history="true" w:anchor="_bookmark90">
        <w:r>
          <w:rPr/>
          <w:t>Figure 5-30 </w:t>
        </w:r>
      </w:hyperlink>
      <w:r>
        <w:rPr/>
        <w:t>shows a series of curves with each line</w:t>
      </w:r>
      <w:r>
        <w:rPr>
          <w:spacing w:val="1"/>
        </w:rPr>
        <w:t> </w:t>
      </w:r>
      <w:r>
        <w:rPr/>
        <w:t>corresponding to a different striking velocity, which is the velocity at a depth of zero, or</w:t>
      </w:r>
      <w:r>
        <w:rPr>
          <w:spacing w:val="1"/>
        </w:rPr>
        <w:t> </w:t>
      </w:r>
      <w:r>
        <w:rPr/>
        <w:t>the face of the target.</w:t>
      </w:r>
      <w:r>
        <w:rPr>
          <w:spacing w:val="1"/>
        </w:rPr>
        <w:t> </w:t>
      </w:r>
      <w:r>
        <w:rPr/>
        <w:t>As the projectile travels through the CLT specimen, the velocity</w:t>
      </w:r>
      <w:r>
        <w:rPr>
          <w:spacing w:val="1"/>
        </w:rPr>
        <w:t> </w:t>
      </w:r>
      <w:r>
        <w:rPr/>
        <w:t>decreases</w:t>
      </w:r>
      <w:r>
        <w:rPr>
          <w:spacing w:val="-1"/>
        </w:rPr>
        <w:t> </w:t>
      </w:r>
      <w:r>
        <w:rPr/>
        <w:t>until</w:t>
      </w:r>
      <w:r>
        <w:rPr>
          <w:spacing w:val="-2"/>
        </w:rPr>
        <w:t> </w:t>
      </w:r>
      <w:r>
        <w:rPr/>
        <w:t>it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stopped</w:t>
      </w:r>
      <w:r>
        <w:rPr>
          <w:spacing w:val="-1"/>
        </w:rPr>
        <w:t> </w:t>
      </w:r>
      <w:r>
        <w:rPr/>
        <w:t>or exits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back of</w:t>
      </w:r>
      <w:r>
        <w:rPr>
          <w:spacing w:val="-2"/>
        </w:rPr>
        <w:t> </w:t>
      </w:r>
      <w:r>
        <w:rPr/>
        <w:t>the target</w:t>
      </w:r>
      <w:r>
        <w:rPr>
          <w:spacing w:val="-1"/>
        </w:rPr>
        <w:t> </w:t>
      </w:r>
      <w:r>
        <w:rPr/>
        <w:t>at</w:t>
      </w:r>
      <w:r>
        <w:rPr>
          <w:spacing w:val="-1"/>
        </w:rPr>
        <w:t> </w:t>
      </w:r>
      <w:r>
        <w:rPr/>
        <w:t>some residual</w:t>
      </w:r>
      <w:r>
        <w:rPr>
          <w:spacing w:val="-1"/>
        </w:rPr>
        <w:t> </w:t>
      </w:r>
      <w:r>
        <w:rPr/>
        <w:t>velocity.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7"/>
        <w:rPr>
          <w:sz w:val="29"/>
        </w:rPr>
      </w:pPr>
    </w:p>
    <w:p>
      <w:pPr>
        <w:spacing w:before="0"/>
        <w:ind w:left="0" w:right="0" w:firstLine="0"/>
        <w:jc w:val="right"/>
        <w:rPr>
          <w:sz w:val="21"/>
        </w:rPr>
      </w:pPr>
      <w:r>
        <w:rPr>
          <w:sz w:val="21"/>
        </w:rPr>
        <w:t>2800</w:t>
      </w:r>
    </w:p>
    <w:p>
      <w:pPr>
        <w:spacing w:before="44"/>
        <w:ind w:left="0" w:right="0" w:firstLine="0"/>
        <w:jc w:val="right"/>
        <w:rPr>
          <w:sz w:val="21"/>
        </w:rPr>
      </w:pPr>
      <w:r>
        <w:rPr>
          <w:sz w:val="21"/>
        </w:rPr>
        <w:t>2600</w:t>
      </w:r>
    </w:p>
    <w:p>
      <w:pPr>
        <w:spacing w:before="43"/>
        <w:ind w:left="0" w:right="0" w:firstLine="0"/>
        <w:jc w:val="right"/>
        <w:rPr>
          <w:sz w:val="21"/>
        </w:rPr>
      </w:pPr>
      <w:r>
        <w:rPr>
          <w:sz w:val="21"/>
        </w:rPr>
        <w:t>2400</w:t>
      </w:r>
    </w:p>
    <w:p>
      <w:pPr>
        <w:spacing w:before="49"/>
        <w:ind w:left="0" w:right="0" w:firstLine="0"/>
        <w:jc w:val="right"/>
        <w:rPr>
          <w:sz w:val="21"/>
        </w:rPr>
      </w:pPr>
      <w:r>
        <w:rPr>
          <w:sz w:val="21"/>
        </w:rPr>
        <w:t>2200</w:t>
      </w:r>
    </w:p>
    <w:p>
      <w:pPr>
        <w:spacing w:before="43"/>
        <w:ind w:left="0" w:right="0" w:firstLine="0"/>
        <w:jc w:val="right"/>
        <w:rPr>
          <w:sz w:val="21"/>
        </w:rPr>
      </w:pPr>
      <w:r>
        <w:rPr/>
        <w:pict>
          <v:shape style="position:absolute;margin-left:106.268463pt;margin-top:9.421833pt;width:18.850pt;height:63.45pt;mso-position-horizontal-relative:page;mso-position-vertical-relative:paragraph;z-index:15842816" type="#_x0000_t202" filled="false" stroked="false">
            <v:textbox inset="0,0,0,0" style="layout-flow:vertical;mso-layout-flow-alt:bottom-to-top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sz w:val="30"/>
                    </w:rPr>
                  </w:pPr>
                  <w:r>
                    <w:rPr>
                      <w:sz w:val="30"/>
                    </w:rPr>
                    <w:t>V(x)</w:t>
                  </w:r>
                  <w:r>
                    <w:rPr>
                      <w:spacing w:val="12"/>
                      <w:sz w:val="30"/>
                    </w:rPr>
                    <w:t> </w:t>
                  </w:r>
                  <w:r>
                    <w:rPr>
                      <w:sz w:val="30"/>
                    </w:rPr>
                    <w:t>(fps)</w:t>
                  </w:r>
                </w:p>
              </w:txbxContent>
            </v:textbox>
            <w10:wrap type="none"/>
          </v:shape>
        </w:pict>
      </w:r>
      <w:r>
        <w:rPr>
          <w:sz w:val="21"/>
        </w:rPr>
        <w:t>2000</w:t>
      </w:r>
    </w:p>
    <w:p>
      <w:pPr>
        <w:spacing w:before="49"/>
        <w:ind w:left="0" w:right="0" w:firstLine="0"/>
        <w:jc w:val="right"/>
        <w:rPr>
          <w:sz w:val="21"/>
        </w:rPr>
      </w:pPr>
      <w:r>
        <w:rPr>
          <w:sz w:val="21"/>
        </w:rPr>
        <w:t>1800</w:t>
      </w:r>
    </w:p>
    <w:p>
      <w:pPr>
        <w:spacing w:before="44"/>
        <w:ind w:left="0" w:right="0" w:firstLine="0"/>
        <w:jc w:val="right"/>
        <w:rPr>
          <w:sz w:val="21"/>
        </w:rPr>
      </w:pPr>
      <w:r>
        <w:rPr>
          <w:sz w:val="21"/>
        </w:rPr>
        <w:t>1600</w:t>
      </w:r>
    </w:p>
    <w:p>
      <w:pPr>
        <w:spacing w:before="48"/>
        <w:ind w:left="0" w:right="0" w:firstLine="0"/>
        <w:jc w:val="right"/>
        <w:rPr>
          <w:sz w:val="21"/>
        </w:rPr>
      </w:pPr>
      <w:r>
        <w:rPr>
          <w:sz w:val="21"/>
        </w:rPr>
        <w:t>1400</w:t>
      </w:r>
    </w:p>
    <w:p>
      <w:pPr>
        <w:spacing w:before="44"/>
        <w:ind w:left="0" w:right="0" w:firstLine="0"/>
        <w:jc w:val="right"/>
        <w:rPr>
          <w:sz w:val="21"/>
        </w:rPr>
      </w:pPr>
      <w:r>
        <w:rPr>
          <w:sz w:val="21"/>
        </w:rPr>
        <w:t>1200</w:t>
      </w:r>
    </w:p>
    <w:p>
      <w:pPr>
        <w:spacing w:before="48"/>
        <w:ind w:left="0" w:right="0" w:firstLine="0"/>
        <w:jc w:val="right"/>
        <w:rPr>
          <w:sz w:val="21"/>
        </w:rPr>
      </w:pPr>
      <w:r>
        <w:rPr>
          <w:sz w:val="21"/>
        </w:rPr>
        <w:t>1000</w:t>
      </w:r>
    </w:p>
    <w:p>
      <w:pPr>
        <w:spacing w:before="44"/>
        <w:ind w:left="0" w:right="0" w:firstLine="0"/>
        <w:jc w:val="right"/>
        <w:rPr>
          <w:sz w:val="21"/>
        </w:rPr>
      </w:pPr>
      <w:r>
        <w:rPr>
          <w:sz w:val="21"/>
        </w:rPr>
        <w:t>800</w:t>
      </w:r>
    </w:p>
    <w:p>
      <w:pPr>
        <w:spacing w:before="48"/>
        <w:ind w:left="0" w:right="0" w:firstLine="0"/>
        <w:jc w:val="right"/>
        <w:rPr>
          <w:sz w:val="21"/>
        </w:rPr>
      </w:pPr>
      <w:r>
        <w:rPr>
          <w:sz w:val="21"/>
        </w:rPr>
        <w:t>600</w:t>
      </w:r>
    </w:p>
    <w:p>
      <w:pPr>
        <w:spacing w:before="44"/>
        <w:ind w:left="0" w:right="0" w:firstLine="0"/>
        <w:jc w:val="right"/>
        <w:rPr>
          <w:sz w:val="21"/>
        </w:rPr>
      </w:pPr>
      <w:r>
        <w:rPr>
          <w:sz w:val="21"/>
        </w:rPr>
        <w:t>400</w:t>
      </w:r>
    </w:p>
    <w:p>
      <w:pPr>
        <w:spacing w:before="48"/>
        <w:ind w:left="0" w:right="0" w:firstLine="0"/>
        <w:jc w:val="right"/>
        <w:rPr>
          <w:sz w:val="21"/>
        </w:rPr>
      </w:pPr>
      <w:r>
        <w:rPr>
          <w:sz w:val="21"/>
        </w:rPr>
        <w:t>200</w:t>
      </w:r>
    </w:p>
    <w:p>
      <w:pPr>
        <w:spacing w:before="44"/>
        <w:ind w:left="0" w:right="0" w:firstLine="0"/>
        <w:jc w:val="right"/>
        <w:rPr>
          <w:sz w:val="21"/>
        </w:rPr>
      </w:pPr>
      <w:r>
        <w:rPr>
          <w:w w:val="99"/>
          <w:sz w:val="21"/>
        </w:rPr>
        <w:t>0</w:t>
      </w:r>
    </w:p>
    <w:p>
      <w:pPr>
        <w:spacing w:line="340" w:lineRule="exact" w:before="268"/>
        <w:ind w:left="2348" w:right="2017" w:firstLine="0"/>
        <w:jc w:val="center"/>
        <w:rPr>
          <w:sz w:val="30"/>
        </w:rPr>
      </w:pPr>
      <w:r>
        <w:rPr/>
        <w:br w:type="column"/>
      </w:r>
      <w:r>
        <w:rPr>
          <w:sz w:val="30"/>
        </w:rPr>
        <w:t>Depth</w:t>
      </w:r>
      <w:r>
        <w:rPr>
          <w:spacing w:val="9"/>
          <w:sz w:val="30"/>
        </w:rPr>
        <w:t> </w:t>
      </w:r>
      <w:r>
        <w:rPr>
          <w:sz w:val="30"/>
        </w:rPr>
        <w:t>of</w:t>
      </w:r>
      <w:r>
        <w:rPr>
          <w:spacing w:val="7"/>
          <w:sz w:val="30"/>
        </w:rPr>
        <w:t> </w:t>
      </w:r>
      <w:r>
        <w:rPr>
          <w:sz w:val="30"/>
        </w:rPr>
        <w:t>CLT</w:t>
      </w:r>
      <w:r>
        <w:rPr>
          <w:spacing w:val="9"/>
          <w:sz w:val="30"/>
        </w:rPr>
        <w:t> </w:t>
      </w:r>
      <w:r>
        <w:rPr>
          <w:sz w:val="30"/>
        </w:rPr>
        <w:t>(cm)</w:t>
      </w:r>
    </w:p>
    <w:p>
      <w:pPr>
        <w:tabs>
          <w:tab w:pos="477" w:val="left" w:leader="none"/>
          <w:tab w:pos="1133" w:val="left" w:leader="none"/>
          <w:tab w:pos="1556" w:val="left" w:leader="none"/>
          <w:tab w:pos="2136" w:val="left" w:leader="none"/>
          <w:tab w:pos="2559" w:val="left" w:leader="none"/>
          <w:tab w:pos="3215" w:val="left" w:leader="none"/>
          <w:tab w:pos="3643" w:val="left" w:leader="none"/>
          <w:tab w:pos="4298" w:val="left" w:leader="none"/>
          <w:tab w:pos="4721" w:val="left" w:leader="none"/>
          <w:tab w:pos="5377" w:val="left" w:leader="none"/>
          <w:tab w:pos="5800" w:val="left" w:leader="none"/>
          <w:tab w:pos="6456" w:val="left" w:leader="none"/>
        </w:tabs>
        <w:spacing w:line="237" w:lineRule="exact" w:before="0"/>
        <w:ind w:left="50" w:right="0" w:firstLine="0"/>
        <w:jc w:val="left"/>
        <w:rPr>
          <w:sz w:val="21"/>
        </w:rPr>
      </w:pPr>
      <w:r>
        <w:rPr>
          <w:sz w:val="21"/>
        </w:rPr>
        <w:t>0</w:t>
        <w:tab/>
        <w:t>2.5</w:t>
        <w:tab/>
        <w:t>5</w:t>
        <w:tab/>
        <w:t>7.5</w:t>
        <w:tab/>
        <w:t>10</w:t>
        <w:tab/>
        <w:t>12.5</w:t>
        <w:tab/>
        <w:t>15</w:t>
        <w:tab/>
        <w:t>17.5</w:t>
        <w:tab/>
        <w:t>20</w:t>
        <w:tab/>
        <w:t>22.5</w:t>
        <w:tab/>
        <w:t>25</w:t>
        <w:tab/>
        <w:t>27.5</w:t>
        <w:tab/>
        <w:t>30</w:t>
      </w:r>
    </w:p>
    <w:p>
      <w:pPr>
        <w:pStyle w:val="BodyText"/>
        <w:spacing w:before="7"/>
        <w:rPr>
          <w:sz w:val="9"/>
        </w:rPr>
      </w:pPr>
    </w:p>
    <w:p>
      <w:pPr>
        <w:pStyle w:val="BodyText"/>
        <w:ind w:left="121" w:right="-15"/>
        <w:rPr>
          <w:sz w:val="20"/>
        </w:rPr>
      </w:pPr>
      <w:r>
        <w:rPr>
          <w:sz w:val="20"/>
        </w:rPr>
        <w:pict>
          <v:group style="width:330.35pt;height:202.25pt;mso-position-horizontal-relative:char;mso-position-vertical-relative:line" coordorigin="0,0" coordsize="6607,4045">
            <v:rect style="position:absolute;left:9;top:9;width:6588;height:4026" filled="false" stroked="true" strokeweight=".950488pt" strokecolor="#000000">
              <v:stroke dashstyle="solid"/>
            </v:rect>
            <v:line style="position:absolute" from="556,4035" to="556,3916" stroked="true" strokeweight=".712881pt" strokecolor="#000000">
              <v:stroke dashstyle="solid"/>
            </v:line>
            <v:line style="position:absolute" from="1107,4035" to="1107,3916" stroked="true" strokeweight=".712881pt" strokecolor="#000000">
              <v:stroke dashstyle="solid"/>
            </v:line>
            <v:line style="position:absolute" from="1654,4035" to="1654,3916" stroked="true" strokeweight=".712881pt" strokecolor="#000000">
              <v:stroke dashstyle="solid"/>
            </v:line>
            <v:line style="position:absolute" from="2205,4035" to="2205,3916" stroked="true" strokeweight=".712881pt" strokecolor="#000000">
              <v:stroke dashstyle="solid"/>
            </v:line>
            <v:line style="position:absolute" from="2752,4035" to="2752,3916" stroked="true" strokeweight=".712881pt" strokecolor="#000000">
              <v:stroke dashstyle="solid"/>
            </v:line>
            <v:line style="position:absolute" from="3303,4035" to="3303,3916" stroked="true" strokeweight=".712881pt" strokecolor="#000000">
              <v:stroke dashstyle="solid"/>
            </v:line>
            <v:line style="position:absolute" from="3850,4035" to="3850,3916" stroked="true" strokeweight=".712881pt" strokecolor="#000000">
              <v:stroke dashstyle="solid"/>
            </v:line>
            <v:line style="position:absolute" from="4401,4035" to="4401,3916" stroked="true" strokeweight=".712881pt" strokecolor="#000000">
              <v:stroke dashstyle="solid"/>
            </v:line>
            <v:line style="position:absolute" from="4947,4035" to="4947,3916" stroked="true" strokeweight=".712881pt" strokecolor="#000000">
              <v:stroke dashstyle="solid"/>
            </v:line>
            <v:line style="position:absolute" from="5499,4035" to="5499,3916" stroked="true" strokeweight=".712881pt" strokecolor="#000000">
              <v:stroke dashstyle="solid"/>
            </v:line>
            <v:line style="position:absolute" from="6045,4035" to="6045,3916" stroked="true" strokeweight=".712881pt" strokecolor="#000000">
              <v:stroke dashstyle="solid"/>
            </v:line>
            <v:line style="position:absolute" from="10,10" to="10,128" stroked="true" strokeweight=".712881pt" strokecolor="#000000">
              <v:stroke dashstyle="solid"/>
            </v:line>
            <v:line style="position:absolute" from="551,10" to="551,128" stroked="true" strokeweight=".712881pt" strokecolor="#000000">
              <v:stroke dashstyle="solid"/>
            </v:line>
            <v:line style="position:absolute" from="1088,10" to="1088,128" stroked="true" strokeweight=".712881pt" strokecolor="#000000">
              <v:stroke dashstyle="solid"/>
            </v:line>
            <v:line style="position:absolute" from="1630,10" to="1630,128" stroked="true" strokeweight=".712881pt" strokecolor="#000000">
              <v:stroke dashstyle="solid"/>
            </v:line>
            <v:line style="position:absolute" from="2172,10" to="2172,128" stroked="true" strokeweight=".712881pt" strokecolor="#000000">
              <v:stroke dashstyle="solid"/>
            </v:line>
            <v:line style="position:absolute" from="2709,10" to="2709,128" stroked="true" strokeweight=".712881pt" strokecolor="#000000">
              <v:stroke dashstyle="solid"/>
            </v:line>
            <v:line style="position:absolute" from="3251,10" to="3251,128" stroked="true" strokeweight=".712881pt" strokecolor="#000000">
              <v:stroke dashstyle="solid"/>
            </v:line>
            <v:line style="position:absolute" from="3793,10" to="3793,128" stroked="true" strokeweight=".712881pt" strokecolor="#000000">
              <v:stroke dashstyle="solid"/>
            </v:line>
            <v:line style="position:absolute" from="4330,10" to="4330,128" stroked="true" strokeweight=".712881pt" strokecolor="#000000">
              <v:stroke dashstyle="solid"/>
            </v:line>
            <v:line style="position:absolute" from="4871,10" to="4871,128" stroked="true" strokeweight=".712881pt" strokecolor="#000000">
              <v:stroke dashstyle="solid"/>
            </v:line>
            <v:line style="position:absolute" from="5413,10" to="5413,128" stroked="true" strokeweight=".712881pt" strokecolor="#000000">
              <v:stroke dashstyle="solid"/>
            </v:line>
            <v:line style="position:absolute" from="5950,10" to="5950,128" stroked="true" strokeweight=".712881pt" strokecolor="#000000">
              <v:stroke dashstyle="solid"/>
            </v:line>
            <v:line style="position:absolute" from="6492,10" to="6492,128" stroked="true" strokeweight=".712881pt" strokecolor="#000000">
              <v:stroke dashstyle="solid"/>
            </v:line>
            <v:line style="position:absolute" from="10,3745" to="157,3745" stroked="true" strokeweight=".712861pt" strokecolor="#000000">
              <v:stroke dashstyle="solid"/>
            </v:line>
            <v:line style="position:absolute" from="10,3460" to="157,3460" stroked="true" strokeweight=".712861pt" strokecolor="#000000">
              <v:stroke dashstyle="solid"/>
            </v:line>
            <v:line style="position:absolute" from="10,3170" to="157,3170" stroked="true" strokeweight=".712861pt" strokecolor="#000000">
              <v:stroke dashstyle="solid"/>
            </v:line>
            <v:line style="position:absolute" from="10,2885" to="157,2885" stroked="true" strokeweight=".712861pt" strokecolor="#000000">
              <v:stroke dashstyle="solid"/>
            </v:line>
            <v:line style="position:absolute" from="10,2595" to="157,2595" stroked="true" strokeweight=".712861pt" strokecolor="#000000">
              <v:stroke dashstyle="solid"/>
            </v:line>
            <v:line style="position:absolute" from="10,2310" to="157,2310" stroked="true" strokeweight=".712861pt" strokecolor="#000000">
              <v:stroke dashstyle="solid"/>
            </v:line>
            <v:line style="position:absolute" from="10,2020" to="157,2020" stroked="true" strokeweight=".712861pt" strokecolor="#000000">
              <v:stroke dashstyle="solid"/>
            </v:line>
            <v:line style="position:absolute" from="10,1735" to="157,1735" stroked="true" strokeweight=".712861pt" strokecolor="#000000">
              <v:stroke dashstyle="solid"/>
            </v:line>
            <v:line style="position:absolute" from="10,1450" to="157,1450" stroked="true" strokeweight=".712861pt" strokecolor="#000000">
              <v:stroke dashstyle="solid"/>
            </v:line>
            <v:line style="position:absolute" from="10,1160" to="157,1160" stroked="true" strokeweight=".712861pt" strokecolor="#000000">
              <v:stroke dashstyle="solid"/>
            </v:line>
            <v:line style="position:absolute" from="10,874" to="157,874" stroked="true" strokeweight=".712861pt" strokecolor="#000000">
              <v:stroke dashstyle="solid"/>
            </v:line>
            <v:line style="position:absolute" from="10,585" to="157,585" stroked="true" strokeweight=".712861pt" strokecolor="#000000">
              <v:stroke dashstyle="solid"/>
            </v:line>
            <v:line style="position:absolute" from="10,299" to="157,299" stroked="true" strokeweight=".712861pt" strokecolor="#000000">
              <v:stroke dashstyle="solid"/>
            </v:line>
            <v:line style="position:absolute" from="6597,4035" to="6444,4035" stroked="true" strokeweight=".712861pt" strokecolor="#000000">
              <v:stroke dashstyle="solid"/>
            </v:line>
            <v:line style="position:absolute" from="6597,3750" to="6444,3750" stroked="true" strokeweight=".712861pt" strokecolor="#000000">
              <v:stroke dashstyle="solid"/>
            </v:line>
            <v:line style="position:absolute" from="6597,3469" to="6444,3469" stroked="true" strokeweight=".712861pt" strokecolor="#000000">
              <v:stroke dashstyle="solid"/>
            </v:line>
            <v:line style="position:absolute" from="6597,3184" to="6444,3184" stroked="true" strokeweight=".712861pt" strokecolor="#000000">
              <v:stroke dashstyle="solid"/>
            </v:line>
            <v:line style="position:absolute" from="6597,2904" to="6444,2904" stroked="true" strokeweight=".712861pt" strokecolor="#000000">
              <v:stroke dashstyle="solid"/>
            </v:line>
            <v:line style="position:absolute" from="6597,2619" to="6444,2619" stroked="true" strokeweight=".712861pt" strokecolor="#000000">
              <v:stroke dashstyle="solid"/>
            </v:line>
            <v:line style="position:absolute" from="6597,2338" to="6444,2338" stroked="true" strokeweight=".712861pt" strokecolor="#000000">
              <v:stroke dashstyle="solid"/>
            </v:line>
            <v:line style="position:absolute" from="6597,2053" to="6444,2053" stroked="true" strokeweight=".712861pt" strokecolor="#000000">
              <v:stroke dashstyle="solid"/>
            </v:line>
            <v:line style="position:absolute" from="6597,1773" to="6444,1773" stroked="true" strokeweight=".712861pt" strokecolor="#000000">
              <v:stroke dashstyle="solid"/>
            </v:line>
            <v:line style="position:absolute" from="6597,1488" to="6444,1488" stroked="true" strokeweight=".712861pt" strokecolor="#000000">
              <v:stroke dashstyle="solid"/>
            </v:line>
            <v:line style="position:absolute" from="6597,1207" to="6444,1207" stroked="true" strokeweight=".712861pt" strokecolor="#000000">
              <v:stroke dashstyle="solid"/>
            </v:line>
            <v:line style="position:absolute" from="6597,922" to="6444,922" stroked="true" strokeweight=".712861pt" strokecolor="#000000">
              <v:stroke dashstyle="solid"/>
            </v:line>
            <v:line style="position:absolute" from="6597,642" to="6444,642" stroked="true" strokeweight=".712861pt" strokecolor="#000000">
              <v:stroke dashstyle="solid"/>
            </v:line>
            <v:line style="position:absolute" from="6597,356" to="6444,356" stroked="true" strokeweight=".712861pt" strokecolor="#000000">
              <v:stroke dashstyle="solid"/>
            </v:line>
            <v:line style="position:absolute" from="6597,71" to="6444,71" stroked="true" strokeweight=".712861pt" strokecolor="#000000">
              <v:stroke dashstyle="solid"/>
            </v:line>
            <v:line style="position:absolute" from="33,24" to="62,38" stroked="true" strokeweight=".475243pt" strokecolor="#303030">
              <v:stroke dashstyle="solid"/>
            </v:line>
            <v:line style="position:absolute" from="62,38" to="119,67" stroked="true" strokeweight=".475243pt" strokecolor="#303030">
              <v:stroke dashstyle="solid"/>
            </v:line>
            <v:line style="position:absolute" from="119,67" to="176,95" stroked="true" strokeweight=".475243pt" strokecolor="#303030">
              <v:stroke dashstyle="solid"/>
            </v:line>
            <v:line style="position:absolute" from="176,95" to="228,119" stroked="true" strokeweight=".475243pt" strokecolor="#303030">
              <v:stroke dashstyle="solid"/>
            </v:line>
            <v:line style="position:absolute" from="228,119" to="285,147" stroked="true" strokeweight=".475243pt" strokecolor="#303030">
              <v:stroke dashstyle="solid"/>
            </v:line>
            <v:line style="position:absolute" from="285,147" to="337,176" stroked="true" strokeweight=".475243pt" strokecolor="#303030">
              <v:stroke dashstyle="solid"/>
            </v:line>
            <v:line style="position:absolute" from="337,176" to="394,204" stroked="true" strokeweight=".475243pt" strokecolor="#303030">
              <v:stroke dashstyle="solid"/>
            </v:line>
            <v:line style="position:absolute" from="394,204" to="447,233" stroked="true" strokeweight=".475243pt" strokecolor="#303030">
              <v:stroke dashstyle="solid"/>
            </v:line>
            <v:line style="position:absolute" from="447,233" to="471,242" stroked="true" strokeweight=".475242pt" strokecolor="#303030">
              <v:stroke dashstyle="solid"/>
            </v:line>
            <v:shape style="position:absolute;left:613;top:313;width:447;height:243" type="#_x0000_t75" stroked="false">
              <v:imagedata r:id="rId171" o:title=""/>
            </v:shape>
            <v:shape style="position:absolute;left:1192;top:622;width:447;height:248" type="#_x0000_t75" stroked="false">
              <v:imagedata r:id="rId172" o:title=""/>
            </v:shape>
            <v:line style="position:absolute" from="1782,946" to="1820,970" stroked="true" strokeweight=".475244pt" strokecolor="#303030">
              <v:stroke dashstyle="solid"/>
            </v:line>
            <v:line style="position:absolute" from="1820,970" to="1877,998" stroked="true" strokeweight=".475243pt" strokecolor="#303030">
              <v:stroke dashstyle="solid"/>
            </v:line>
            <v:line style="position:absolute" from="1877,998" to="1930,1031" stroked="true" strokeweight=".475244pt" strokecolor="#303030">
              <v:stroke dashstyle="solid"/>
            </v:line>
            <v:line style="position:absolute" from="1930,1031" to="1987,1060" stroked="true" strokeweight=".475243pt" strokecolor="#303030">
              <v:stroke dashstyle="solid"/>
            </v:line>
            <v:line style="position:absolute" from="1987,1060" to="2039,1093" stroked="true" strokeweight=".475244pt" strokecolor="#303030">
              <v:stroke dashstyle="solid"/>
            </v:line>
            <v:line style="position:absolute" from="2039,1093" to="2096,1126" stroked="true" strokeweight=".475244pt" strokecolor="#303030">
              <v:stroke dashstyle="solid"/>
            </v:line>
            <v:line style="position:absolute" from="2096,1126" to="2148,1155" stroked="true" strokeweight=".475243pt" strokecolor="#303030">
              <v:stroke dashstyle="solid"/>
            </v:line>
            <v:line style="position:absolute" from="2148,1155" to="2205,1188" stroked="true" strokeweight=".475244pt" strokecolor="#303030">
              <v:stroke dashstyle="solid"/>
            </v:line>
            <v:line style="position:absolute" from="2205,1188" to="2219,1193" stroked="true" strokeweight=".475242pt" strokecolor="#303030">
              <v:stroke dashstyle="solid"/>
            </v:line>
            <v:line style="position:absolute" from="2362,1278" to="2367,1283" stroked="true" strokeweight=".475247pt" strokecolor="#303030">
              <v:stroke dashstyle="solid"/>
            </v:line>
            <v:line style="position:absolute" from="2367,1283" to="2424,1312" stroked="true" strokeweight=".475243pt" strokecolor="#303030">
              <v:stroke dashstyle="solid"/>
            </v:line>
            <v:line style="position:absolute" from="2424,1312" to="2481,1345" stroked="true" strokeweight=".475244pt" strokecolor="#303030">
              <v:stroke dashstyle="solid"/>
            </v:line>
            <v:line style="position:absolute" from="2481,1345" to="2533,1378" stroked="true" strokeweight=".475244pt" strokecolor="#303030">
              <v:stroke dashstyle="solid"/>
            </v:line>
            <v:line style="position:absolute" from="2533,1378" to="2590,1412" stroked="true" strokeweight=".475244pt" strokecolor="#303030">
              <v:stroke dashstyle="solid"/>
            </v:line>
            <v:line style="position:absolute" from="2590,1412" to="2642,1440" stroked="true" strokeweight=".475243pt" strokecolor="#303030">
              <v:stroke dashstyle="solid"/>
            </v:line>
            <v:line style="position:absolute" from="2642,1440" to="2699,1473" stroked="true" strokeweight=".475244pt" strokecolor="#303030">
              <v:stroke dashstyle="solid"/>
            </v:line>
            <v:line style="position:absolute" from="2699,1473" to="2752,1507" stroked="true" strokeweight=".475244pt" strokecolor="#303030">
              <v:stroke dashstyle="solid"/>
            </v:line>
            <v:line style="position:absolute" from="2752,1507" to="2799,1535" stroked="true" strokeweight=".475244pt" strokecolor="#303030">
              <v:stroke dashstyle="solid"/>
            </v:line>
            <v:line style="position:absolute" from="2947,1621" to="2975,1640" stroked="true" strokeweight=".475245pt" strokecolor="#303030">
              <v:stroke dashstyle="solid"/>
            </v:line>
            <v:line style="position:absolute" from="2975,1640" to="3027,1673" stroked="true" strokeweight=".475244pt" strokecolor="#303030">
              <v:stroke dashstyle="solid"/>
            </v:line>
            <v:line style="position:absolute" from="3027,1673" to="3084,1701" stroked="true" strokeweight=".475243pt" strokecolor="#303030">
              <v:stroke dashstyle="solid"/>
            </v:line>
            <v:line style="position:absolute" from="3084,1701" to="3137,1735" stroked="true" strokeweight=".475244pt" strokecolor="#303030">
              <v:stroke dashstyle="solid"/>
            </v:line>
            <v:line style="position:absolute" from="3137,1735" to="3194,1768" stroked="true" strokeweight=".475244pt" strokecolor="#303030">
              <v:stroke dashstyle="solid"/>
            </v:line>
            <v:line style="position:absolute" from="3194,1768" to="3246,1801" stroked="true" strokeweight=".475244pt" strokecolor="#303030">
              <v:stroke dashstyle="solid"/>
            </v:line>
            <v:line style="position:absolute" from="3246,1801" to="3303,1834" stroked="true" strokeweight=".475244pt" strokecolor="#303030">
              <v:stroke dashstyle="solid"/>
            </v:line>
            <v:line style="position:absolute" from="3303,1834" to="3355,1873" stroked="true" strokeweight=".475245pt" strokecolor="#303030">
              <v:stroke dashstyle="solid"/>
            </v:line>
            <v:line style="position:absolute" from="3355,1873" to="3384,1887" stroked="true" strokeweight=".475243pt" strokecolor="#303030">
              <v:stroke dashstyle="solid"/>
            </v:line>
            <v:line style="position:absolute" from="3526,1977" to="3579,2006" stroked="true" strokeweight=".475243pt" strokecolor="#303030">
              <v:stroke dashstyle="solid"/>
            </v:line>
            <v:line style="position:absolute" from="3579,2006" to="3631,2039" stroked="true" strokeweight=".475244pt" strokecolor="#303030">
              <v:stroke dashstyle="solid"/>
            </v:line>
            <v:line style="position:absolute" from="3631,2039" to="3688,2072" stroked="true" strokeweight=".475244pt" strokecolor="#303030">
              <v:stroke dashstyle="solid"/>
            </v:line>
            <v:line style="position:absolute" from="3688,2072" to="3740,2110" stroked="true" strokeweight=".475245pt" strokecolor="#303030">
              <v:stroke dashstyle="solid"/>
            </v:line>
            <v:line style="position:absolute" from="3740,2110" to="3797,2143" stroked="true" strokeweight=".475244pt" strokecolor="#303030">
              <v:stroke dashstyle="solid"/>
            </v:line>
            <v:line style="position:absolute" from="3797,2143" to="3850,2177" stroked="true" strokeweight=".475244pt" strokecolor="#303030">
              <v:stroke dashstyle="solid"/>
            </v:line>
            <v:line style="position:absolute" from="3850,2177" to="3907,2210" stroked="true" strokeweight=".475244pt" strokecolor="#303030">
              <v:stroke dashstyle="solid"/>
            </v:line>
            <v:line style="position:absolute" from="3907,2210" to="3959,2248" stroked="true" strokeweight=".475245pt" strokecolor="#303030">
              <v:stroke dashstyle="solid"/>
            </v:line>
            <v:line style="position:absolute" from="3959,2248" to="3964,2248" stroked="true" strokeweight=".47524pt" strokecolor="#303030">
              <v:stroke dashstyle="solid"/>
            </v:line>
            <v:line style="position:absolute" from="4111,2343" to="4125,2352" stroked="true" strokeweight=".475245pt" strokecolor="#303030">
              <v:stroke dashstyle="solid"/>
            </v:line>
            <v:line style="position:absolute" from="4125,2352" to="4182,2386" stroked="true" strokeweight=".475244pt" strokecolor="#303030">
              <v:stroke dashstyle="solid"/>
            </v:line>
            <v:line style="position:absolute" from="4182,2386" to="4235,2419" stroked="true" strokeweight=".475244pt" strokecolor="#303030">
              <v:stroke dashstyle="solid"/>
            </v:line>
            <v:line style="position:absolute" from="4235,2419" to="4292,2457" stroked="true" strokeweight=".475245pt" strokecolor="#303030">
              <v:stroke dashstyle="solid"/>
            </v:line>
            <v:line style="position:absolute" from="4292,2457" to="4344,2490" stroked="true" strokeweight=".475244pt" strokecolor="#303030">
              <v:stroke dashstyle="solid"/>
            </v:line>
            <v:line style="position:absolute" from="4344,2490" to="4401,2528" stroked="true" strokeweight=".475245pt" strokecolor="#303030">
              <v:stroke dashstyle="solid"/>
            </v:line>
            <v:line style="position:absolute" from="4401,2528" to="4453,2562" stroked="true" strokeweight=".475244pt" strokecolor="#303030">
              <v:stroke dashstyle="solid"/>
            </v:line>
            <v:line style="position:absolute" from="4453,2562" to="4510,2600" stroked="true" strokeweight=".475245pt" strokecolor="#303030">
              <v:stroke dashstyle="solid"/>
            </v:line>
            <v:line style="position:absolute" from="4696,2718" to="4729,2742" stroked="true" strokeweight=".475245pt" strokecolor="#303030">
              <v:stroke dashstyle="solid"/>
            </v:line>
            <v:line style="position:absolute" from="4729,2742" to="4786,2780" stroked="true" strokeweight=".475245pt" strokecolor="#303030">
              <v:stroke dashstyle="solid"/>
            </v:line>
            <v:line style="position:absolute" from="4786,2780" to="4838,2813" stroked="true" strokeweight=".475244pt" strokecolor="#303030">
              <v:stroke dashstyle="solid"/>
            </v:line>
            <v:line style="position:absolute" from="4838,2813" to="4895,2852" stroked="true" strokeweight=".475245pt" strokecolor="#303030">
              <v:stroke dashstyle="solid"/>
            </v:line>
            <v:line style="position:absolute" from="4895,2852" to="4947,2890" stroked="true" strokeweight=".475245pt" strokecolor="#303030">
              <v:stroke dashstyle="solid"/>
            </v:line>
            <v:line style="position:absolute" from="4947,2890" to="5004,2923" stroked="true" strokeweight=".475244pt" strokecolor="#303030">
              <v:stroke dashstyle="solid"/>
            </v:line>
            <v:line style="position:absolute" from="5004,2923" to="5057,2961" stroked="true" strokeweight=".475245pt" strokecolor="#303030">
              <v:stroke dashstyle="solid"/>
            </v:line>
            <v:line style="position:absolute" from="5057,2961" to="5114,2999" stroked="true" strokeweight=".475245pt" strokecolor="#303030">
              <v:stroke dashstyle="solid"/>
            </v:line>
            <v:line style="position:absolute" from="5114,2999" to="5133,3008" stroked="true" strokeweight=".475243pt" strokecolor="#303030">
              <v:stroke dashstyle="solid"/>
            </v:line>
            <v:line style="position:absolute" from="5275,3108" to="5280,3108" stroked="true" strokeweight=".47524pt" strokecolor="#303030">
              <v:stroke dashstyle="solid"/>
            </v:line>
            <v:line style="position:absolute" from="5280,3108" to="5332,3146" stroked="true" strokeweight=".475245pt" strokecolor="#303030">
              <v:stroke dashstyle="solid"/>
            </v:line>
            <v:line style="position:absolute" from="5332,3146" to="5389,3184" stroked="true" strokeweight=".475245pt" strokecolor="#303030">
              <v:stroke dashstyle="solid"/>
            </v:line>
            <v:line style="position:absolute" from="5389,3184" to="5442,3222" stroked="true" strokeweight=".475245pt" strokecolor="#303030">
              <v:stroke dashstyle="solid"/>
            </v:line>
            <v:line style="position:absolute" from="5442,3222" to="5499,3260" stroked="true" strokeweight=".475245pt" strokecolor="#303030">
              <v:stroke dashstyle="solid"/>
            </v:line>
            <v:line style="position:absolute" from="5499,3260" to="5551,3298" stroked="true" strokeweight=".475245pt" strokecolor="#303030">
              <v:stroke dashstyle="solid"/>
            </v:line>
            <v:line style="position:absolute" from="5551,3298" to="5608,3336" stroked="true" strokeweight=".475245pt" strokecolor="#303030">
              <v:stroke dashstyle="solid"/>
            </v:line>
            <v:line style="position:absolute" from="5608,3336" to="5660,3374" stroked="true" strokeweight=".475245pt" strokecolor="#303030">
              <v:stroke dashstyle="solid"/>
            </v:line>
            <v:line style="position:absolute" from="5660,3374" to="5713,3408" stroked="true" strokeweight=".475244pt" strokecolor="#303030">
              <v:stroke dashstyle="solid"/>
            </v:line>
            <v:line style="position:absolute" from="5860,3507" to="5879,3526" stroked="true" strokeweight=".475247pt" strokecolor="#303030">
              <v:stroke dashstyle="solid"/>
            </v:line>
            <v:line style="position:absolute" from="5879,3526" to="5936,3564" stroked="true" strokeweight=".475245pt" strokecolor="#303030">
              <v:stroke dashstyle="solid"/>
            </v:line>
            <v:line style="position:absolute" from="5936,3564" to="5993,3602" stroked="true" strokeweight=".475245pt" strokecolor="#303030">
              <v:stroke dashstyle="solid"/>
            </v:line>
            <v:line style="position:absolute" from="5993,3602" to="6045,3640" stroked="true" strokeweight=".475245pt" strokecolor="#303030">
              <v:stroke dashstyle="solid"/>
            </v:line>
            <v:line style="position:absolute" from="6045,3640" to="6102,3678" stroked="true" strokeweight=".475245pt" strokecolor="#303030">
              <v:stroke dashstyle="solid"/>
            </v:line>
            <v:line style="position:absolute" from="6102,3678" to="6155,3716" stroked="true" strokeweight=".475245pt" strokecolor="#303030">
              <v:stroke dashstyle="solid"/>
            </v:line>
            <v:line style="position:absolute" from="6155,3716" to="6212,3754" stroked="true" strokeweight=".475245pt" strokecolor="#303030">
              <v:stroke dashstyle="solid"/>
            </v:line>
            <v:line style="position:absolute" from="6212,3754" to="6264,3797" stroked="true" strokeweight=".475246pt" strokecolor="#303030">
              <v:stroke dashstyle="solid"/>
            </v:line>
            <v:line style="position:absolute" from="6264,3797" to="6297,3816" stroked="true" strokeweight=".475244pt" strokecolor="#303030">
              <v:stroke dashstyle="solid"/>
            </v:line>
            <v:line style="position:absolute" from="6440,3921" to="6487,3954" stroked="true" strokeweight=".475245pt" strokecolor="#303030">
              <v:stroke dashstyle="solid"/>
            </v:line>
            <v:line style="position:absolute" from="6487,3954" to="6540,3992" stroked="true" strokeweight=".475245pt" strokecolor="#303030">
              <v:stroke dashstyle="solid"/>
            </v:line>
            <v:line style="position:absolute" from="6540,3992" to="6578,4021" stroked="true" strokeweight=".475245pt" strokecolor="#303030">
              <v:stroke dashstyle="solid"/>
            </v:line>
            <v:line style="position:absolute" from="24,304" to="62,323" stroked="true" strokeweight=".475243pt" strokecolor="#00ff55">
              <v:stroke dashstyle="solid"/>
            </v:line>
            <v:line style="position:absolute" from="62,323" to="119,352" stroked="true" strokeweight=".475243pt" strokecolor="#00ff55">
              <v:stroke dashstyle="solid"/>
            </v:line>
            <v:line style="position:absolute" from="119,352" to="176,380" stroked="true" strokeweight=".475243pt" strokecolor="#00ff55">
              <v:stroke dashstyle="solid"/>
            </v:line>
            <v:line style="position:absolute" from="176,380" to="228,409" stroked="true" strokeweight=".475243pt" strokecolor="#00ff55">
              <v:stroke dashstyle="solid"/>
            </v:line>
            <v:line style="position:absolute" from="228,409" to="285,437" stroked="true" strokeweight=".475243pt" strokecolor="#00ff55">
              <v:stroke dashstyle="solid"/>
            </v:line>
            <v:line style="position:absolute" from="285,437" to="337,466" stroked="true" strokeweight=".475243pt" strokecolor="#00ff55">
              <v:stroke dashstyle="solid"/>
            </v:line>
            <v:line style="position:absolute" from="337,466" to="394,494" stroked="true" strokeweight=".475243pt" strokecolor="#00ff55">
              <v:stroke dashstyle="solid"/>
            </v:line>
            <v:line style="position:absolute" from="394,494" to="447,518" stroked="true" strokeweight=".475243pt" strokecolor="#00ff55">
              <v:stroke dashstyle="solid"/>
            </v:line>
            <v:line style="position:absolute" from="447,518" to="461,528" stroked="true" strokeweight=".475245pt" strokecolor="#00ff55">
              <v:stroke dashstyle="solid"/>
            </v:line>
            <v:shape style="position:absolute;left:608;top:598;width:442;height:238" type="#_x0000_t75" stroked="false">
              <v:imagedata r:id="rId173" o:title=""/>
            </v:shape>
            <v:shape style="position:absolute;left:1183;top:907;width:447;height:248" type="#_x0000_t75" stroked="false">
              <v:imagedata r:id="rId174" o:title=""/>
            </v:shape>
            <v:line style="position:absolute" from="1773,1231" to="1820,1255" stroked="true" strokeweight=".475243pt" strokecolor="#00ff55">
              <v:stroke dashstyle="solid"/>
            </v:line>
            <v:line style="position:absolute" from="1820,1255" to="1877,1288" stroked="true" strokeweight=".475244pt" strokecolor="#00ff55">
              <v:stroke dashstyle="solid"/>
            </v:line>
            <v:line style="position:absolute" from="1877,1288" to="1930,1316" stroked="true" strokeweight=".475243pt" strokecolor="#00ff55">
              <v:stroke dashstyle="solid"/>
            </v:line>
            <v:line style="position:absolute" from="1930,1316" to="1987,1350" stroked="true" strokeweight=".475244pt" strokecolor="#00ff55">
              <v:stroke dashstyle="solid"/>
            </v:line>
            <v:line style="position:absolute" from="1987,1350" to="2039,1378" stroked="true" strokeweight=".475243pt" strokecolor="#00ff55">
              <v:stroke dashstyle="solid"/>
            </v:line>
            <v:line style="position:absolute" from="2039,1378" to="2096,1412" stroked="true" strokeweight=".475244pt" strokecolor="#00ff55">
              <v:stroke dashstyle="solid"/>
            </v:line>
            <v:line style="position:absolute" from="2096,1412" to="2148,1445" stroked="true" strokeweight=".475244pt" strokecolor="#00ff55">
              <v:stroke dashstyle="solid"/>
            </v:line>
            <v:line style="position:absolute" from="2148,1445" to="2205,1473" stroked="true" strokeweight=".475243pt" strokecolor="#00ff55">
              <v:stroke dashstyle="solid"/>
            </v:line>
            <v:line style="position:absolute" from="2205,1473" to="2210,1478" stroked="true" strokeweight=".475247pt" strokecolor="#00ff55">
              <v:stroke dashstyle="solid"/>
            </v:line>
            <v:line style="position:absolute" from="2353,1559" to="2367,1568" stroked="true" strokeweight=".475245pt" strokecolor="#00ff55">
              <v:stroke dashstyle="solid"/>
            </v:line>
            <v:line style="position:absolute" from="2367,1568" to="2424,1602" stroked="true" strokeweight=".475244pt" strokecolor="#00ff55">
              <v:stroke dashstyle="solid"/>
            </v:line>
            <v:line style="position:absolute" from="2424,1602" to="2481,1635" stroked="true" strokeweight=".475244pt" strokecolor="#00ff55">
              <v:stroke dashstyle="solid"/>
            </v:line>
            <v:line style="position:absolute" from="2481,1635" to="2533,1663" stroked="true" strokeweight=".475243pt" strokecolor="#00ff55">
              <v:stroke dashstyle="solid"/>
            </v:line>
            <v:line style="position:absolute" from="2533,1663" to="2590,1697" stroked="true" strokeweight=".475244pt" strokecolor="#00ff55">
              <v:stroke dashstyle="solid"/>
            </v:line>
            <v:line style="position:absolute" from="2590,1697" to="2642,1730" stroked="true" strokeweight=".475244pt" strokecolor="#00ff55">
              <v:stroke dashstyle="solid"/>
            </v:line>
            <v:line style="position:absolute" from="2642,1730" to="2699,1763" stroked="true" strokeweight=".475244pt" strokecolor="#00ff55">
              <v:stroke dashstyle="solid"/>
            </v:line>
            <v:line style="position:absolute" from="2699,1763" to="2752,1796" stroked="true" strokeweight=".475244pt" strokecolor="#00ff55">
              <v:stroke dashstyle="solid"/>
            </v:line>
            <v:line style="position:absolute" from="2752,1796" to="2790,1815" stroked="true" strokeweight=".475243pt" strokecolor="#00ff55">
              <v:stroke dashstyle="solid"/>
            </v:line>
            <v:line style="position:absolute" from="2937,1906" to="2975,1925" stroked="true" strokeweight=".475243pt" strokecolor="#00ff55">
              <v:stroke dashstyle="solid"/>
            </v:line>
            <v:line style="position:absolute" from="2975,1925" to="3027,1958" stroked="true" strokeweight=".475244pt" strokecolor="#00ff55">
              <v:stroke dashstyle="solid"/>
            </v:line>
            <v:line style="position:absolute" from="3027,1958" to="3084,1991" stroked="true" strokeweight=".475244pt" strokecolor="#00ff55">
              <v:stroke dashstyle="solid"/>
            </v:line>
            <v:line style="position:absolute" from="3084,1991" to="3137,2025" stroked="true" strokeweight=".475244pt" strokecolor="#00ff55">
              <v:stroke dashstyle="solid"/>
            </v:line>
            <v:line style="position:absolute" from="3137,2025" to="3194,2058" stroked="true" strokeweight=".475244pt" strokecolor="#00ff55">
              <v:stroke dashstyle="solid"/>
            </v:line>
            <v:line style="position:absolute" from="3194,2058" to="3246,2091" stroked="true" strokeweight=".475244pt" strokecolor="#00ff55">
              <v:stroke dashstyle="solid"/>
            </v:line>
            <v:line style="position:absolute" from="3246,2091" to="3303,2124" stroked="true" strokeweight=".475244pt" strokecolor="#00ff55">
              <v:stroke dashstyle="solid"/>
            </v:line>
            <v:line style="position:absolute" from="3303,2124" to="3355,2158" stroked="true" strokeweight=".475244pt" strokecolor="#00ff55">
              <v:stroke dashstyle="solid"/>
            </v:line>
            <v:line style="position:absolute" from="3355,2158" to="3374,2167" stroked="true" strokeweight=".475243pt" strokecolor="#00ff55">
              <v:stroke dashstyle="solid"/>
            </v:line>
            <v:shape style="position:absolute;left:3521;top:2257;width:58;height:34" coordorigin="3522,2257" coordsize="58,34" path="m3522,2257l3522,2257m3522,2257l3579,2291e" filled="false" stroked="true" strokeweight=".475247pt" strokecolor="#00ff55">
              <v:path arrowok="t"/>
              <v:stroke dashstyle="solid"/>
            </v:shape>
            <v:line style="position:absolute" from="3579,2291" to="3631,2329" stroked="true" strokeweight=".475245pt" strokecolor="#00ff55">
              <v:stroke dashstyle="solid"/>
            </v:line>
            <v:line style="position:absolute" from="3631,2329" to="3688,2362" stroked="true" strokeweight=".475244pt" strokecolor="#00ff55">
              <v:stroke dashstyle="solid"/>
            </v:line>
            <v:line style="position:absolute" from="3688,2362" to="3740,2395" stroked="true" strokeweight=".475244pt" strokecolor="#00ff55">
              <v:stroke dashstyle="solid"/>
            </v:line>
            <v:line style="position:absolute" from="3740,2395" to="3797,2429" stroked="true" strokeweight=".475244pt" strokecolor="#00ff55">
              <v:stroke dashstyle="solid"/>
            </v:line>
            <v:line style="position:absolute" from="3797,2429" to="3850,2467" stroked="true" strokeweight=".475245pt" strokecolor="#00ff55">
              <v:stroke dashstyle="solid"/>
            </v:line>
            <v:line style="position:absolute" from="3850,2467" to="3907,2500" stroked="true" strokeweight=".475244pt" strokecolor="#00ff55">
              <v:stroke dashstyle="solid"/>
            </v:line>
            <v:line style="position:absolute" from="3907,2500" to="3954,2533" stroked="true" strokeweight=".475245pt" strokecolor="#00ff55">
              <v:stroke dashstyle="solid"/>
            </v:line>
            <v:line style="position:absolute" from="4101,2623" to="4125,2638" stroked="true" strokeweight=".475244pt" strokecolor="#00ff55">
              <v:stroke dashstyle="solid"/>
            </v:line>
            <v:line style="position:absolute" from="4125,2638" to="4182,2676" stroked="true" strokeweight=".475245pt" strokecolor="#00ff55">
              <v:stroke dashstyle="solid"/>
            </v:line>
            <v:line style="position:absolute" from="4182,2676" to="4235,2709" stroked="true" strokeweight=".475244pt" strokecolor="#00ff55">
              <v:stroke dashstyle="solid"/>
            </v:line>
            <v:line style="position:absolute" from="4235,2709" to="4292,2742" stroked="true" strokeweight=".475244pt" strokecolor="#00ff55">
              <v:stroke dashstyle="solid"/>
            </v:line>
            <v:line style="position:absolute" from="4292,2742" to="4344,2780" stroked="true" strokeweight=".475245pt" strokecolor="#00ff55">
              <v:stroke dashstyle="solid"/>
            </v:line>
            <v:line style="position:absolute" from="4344,2780" to="4401,2813" stroked="true" strokeweight=".475244pt" strokecolor="#00ff55">
              <v:stroke dashstyle="solid"/>
            </v:line>
            <v:line style="position:absolute" from="4401,2813" to="4453,2852" stroked="true" strokeweight=".475245pt" strokecolor="#00ff55">
              <v:stroke dashstyle="solid"/>
            </v:line>
            <v:line style="position:absolute" from="4453,2852" to="4510,2885" stroked="true" strokeweight=".475244pt" strokecolor="#00ff55">
              <v:stroke dashstyle="solid"/>
            </v:line>
            <v:line style="position:absolute" from="4510,2885" to="4539,2904" stroked="true" strokeweight=".475245pt" strokecolor="#00ff55">
              <v:stroke dashstyle="solid"/>
            </v:line>
            <v:line style="position:absolute" from="4686,2999" to="4729,3032" stroked="true" strokeweight=".475245pt" strokecolor="#00ff55">
              <v:stroke dashstyle="solid"/>
            </v:line>
            <v:line style="position:absolute" from="4729,3032" to="4786,3065" stroked="true" strokeweight=".475244pt" strokecolor="#00ff55">
              <v:stroke dashstyle="solid"/>
            </v:line>
            <v:line style="position:absolute" from="4786,3065" to="4838,3103" stroked="true" strokeweight=".475245pt" strokecolor="#00ff55">
              <v:stroke dashstyle="solid"/>
            </v:line>
            <v:line style="position:absolute" from="4838,3103" to="4895,3141" stroked="true" strokeweight=".475245pt" strokecolor="#00ff55">
              <v:stroke dashstyle="solid"/>
            </v:line>
            <v:line style="position:absolute" from="4895,3141" to="4947,3175" stroked="true" strokeweight=".475244pt" strokecolor="#00ff55">
              <v:stroke dashstyle="solid"/>
            </v:line>
            <v:line style="position:absolute" from="4947,3175" to="5004,3213" stroked="true" strokeweight=".475245pt" strokecolor="#00ff55">
              <v:stroke dashstyle="solid"/>
            </v:line>
            <v:line style="position:absolute" from="5004,3213" to="5057,3251" stroked="true" strokeweight=".475245pt" strokecolor="#00ff55">
              <v:stroke dashstyle="solid"/>
            </v:line>
            <v:line style="position:absolute" from="5057,3251" to="5114,3284" stroked="true" strokeweight=".475244pt" strokecolor="#00ff55">
              <v:stroke dashstyle="solid"/>
            </v:line>
            <v:line style="position:absolute" from="5114,3284" to="5123,3289" stroked="true" strokeweight=".475243pt" strokecolor="#00ff55">
              <v:stroke dashstyle="solid"/>
            </v:line>
            <v:line style="position:absolute" from="5266,3389" to="5280,3398" stroked="true" strokeweight=".475245pt" strokecolor="#00ff55">
              <v:stroke dashstyle="solid"/>
            </v:line>
            <v:line style="position:absolute" from="5280,3398" to="5332,3436" stroked="true" strokeweight=".475245pt" strokecolor="#00ff55">
              <v:stroke dashstyle="solid"/>
            </v:line>
            <v:line style="position:absolute" from="5332,3436" to="5389,3469" stroked="true" strokeweight=".475244pt" strokecolor="#00ff55">
              <v:stroke dashstyle="solid"/>
            </v:line>
            <v:line style="position:absolute" from="5389,3469" to="5442,3507" stroked="true" strokeweight=".475245pt" strokecolor="#00ff55">
              <v:stroke dashstyle="solid"/>
            </v:line>
            <v:line style="position:absolute" from="5442,3507" to="5499,3545" stroked="true" strokeweight=".475245pt" strokecolor="#00ff55">
              <v:stroke dashstyle="solid"/>
            </v:line>
            <v:line style="position:absolute" from="5499,3545" to="5551,3583" stroked="true" strokeweight=".475245pt" strokecolor="#00ff55">
              <v:stroke dashstyle="solid"/>
            </v:line>
            <v:line style="position:absolute" from="5551,3583" to="5608,3621" stroked="true" strokeweight=".475245pt" strokecolor="#00ff55">
              <v:stroke dashstyle="solid"/>
            </v:line>
            <v:line style="position:absolute" from="5608,3621" to="5660,3659" stroked="true" strokeweight=".475245pt" strokecolor="#00ff55">
              <v:stroke dashstyle="solid"/>
            </v:line>
            <v:line style="position:absolute" from="5660,3659" to="5703,3688" stroked="true" strokeweight=".475245pt" strokecolor="#00ff55">
              <v:stroke dashstyle="solid"/>
            </v:line>
            <v:line style="position:absolute" from="5850,3792" to="5879,3811" stroked="true" strokeweight=".475245pt" strokecolor="#00ff55">
              <v:stroke dashstyle="solid"/>
            </v:line>
            <v:line style="position:absolute" from="5879,3811" to="5936,3850" stroked="true" strokeweight=".475245pt" strokecolor="#00ff55">
              <v:stroke dashstyle="solid"/>
            </v:line>
            <v:line style="position:absolute" from="5936,3850" to="5993,3888" stroked="true" strokeweight=".475245pt" strokecolor="#00ff55">
              <v:stroke dashstyle="solid"/>
            </v:line>
            <v:line style="position:absolute" from="5993,3888" to="6045,3926" stroked="true" strokeweight=".475245pt" strokecolor="#00ff55">
              <v:stroke dashstyle="solid"/>
            </v:line>
            <v:line style="position:absolute" from="6045,3926" to="6102,3968" stroked="true" strokeweight=".475245pt" strokecolor="#00ff55">
              <v:stroke dashstyle="solid"/>
            </v:line>
            <v:line style="position:absolute" from="6102,3968" to="6155,4006" stroked="true" strokeweight=".475245pt" strokecolor="#00ff55">
              <v:stroke dashstyle="solid"/>
            </v:line>
            <v:line style="position:absolute" from="6155,4006" to="6178,4021" stroked="true" strokeweight=".475244pt" strokecolor="#00ff55">
              <v:stroke dashstyle="solid"/>
            </v:line>
            <v:line style="position:absolute" from="24,594" to="62,613" stroked="true" strokeweight=".475243pt" strokecolor="#800080">
              <v:stroke dashstyle="solid"/>
            </v:line>
            <v:line style="position:absolute" from="62,613" to="119,642" stroked="true" strokeweight=".475243pt" strokecolor="#800080">
              <v:stroke dashstyle="solid"/>
            </v:line>
            <v:line style="position:absolute" from="119,642" to="176,670" stroked="true" strokeweight=".475243pt" strokecolor="#800080">
              <v:stroke dashstyle="solid"/>
            </v:line>
            <v:line style="position:absolute" from="176,670" to="228,694" stroked="true" strokeweight=".475243pt" strokecolor="#800080">
              <v:stroke dashstyle="solid"/>
            </v:line>
            <v:line style="position:absolute" from="228,694" to="285,722" stroked="true" strokeweight=".475243pt" strokecolor="#800080">
              <v:stroke dashstyle="solid"/>
            </v:line>
            <v:line style="position:absolute" from="285,722" to="314,741" stroked="true" strokeweight=".475245pt" strokecolor="#800080">
              <v:stroke dashstyle="solid"/>
            </v:line>
            <v:line style="position:absolute" from="423,794" to="447,808" stroked="true" strokeweight=".475244pt" strokecolor="#800080">
              <v:stroke dashstyle="solid"/>
            </v:line>
            <v:line style="position:absolute" from="447,808" to="499,832" stroked="true" strokeweight=".475243pt" strokecolor="#800080">
              <v:stroke dashstyle="solid"/>
            </v:line>
            <v:shape style="position:absolute;left:603;top:884;width:300;height:162" type="#_x0000_t75" stroked="false">
              <v:imagedata r:id="rId175" o:title=""/>
            </v:shape>
            <v:line style="position:absolute" from="1008,1098" to="1050,1122" stroked="true" strokeweight=".475244pt" strokecolor="#800080">
              <v:stroke dashstyle="solid"/>
            </v:line>
            <v:line style="position:absolute" from="1050,1122" to="1079,1141" stroked="true" strokeweight=".475245pt" strokecolor="#800080">
              <v:stroke dashstyle="solid"/>
            </v:line>
            <v:shape style="position:absolute;left:1183;top:1192;width:305;height:167" type="#_x0000_t75" stroked="false">
              <v:imagedata r:id="rId176" o:title=""/>
            </v:shape>
            <v:line style="position:absolute" from="1592,1416" to="1602,1421" stroked="true" strokeweight=".475243pt" strokecolor="#800080">
              <v:stroke dashstyle="solid"/>
            </v:line>
            <v:line style="position:absolute" from="1602,1421" to="1654,1454" stroked="true" strokeweight=".475244pt" strokecolor="#800080">
              <v:stroke dashstyle="solid"/>
            </v:line>
            <v:line style="position:absolute" from="1654,1454" to="1663,1454" stroked="true" strokeweight=".47524pt" strokecolor="#800080">
              <v:stroke dashstyle="solid"/>
            </v:line>
            <v:line style="position:absolute" from="1773,1516" to="1820,1545" stroked="true" strokeweight=".475244pt" strokecolor="#800080">
              <v:stroke dashstyle="solid"/>
            </v:line>
            <v:line style="position:absolute" from="1820,1545" to="1877,1573" stroked="true" strokeweight=".475243pt" strokecolor="#800080">
              <v:stroke dashstyle="solid"/>
            </v:line>
            <v:line style="position:absolute" from="1877,1573" to="1930,1606" stroked="true" strokeweight=".475244pt" strokecolor="#800080">
              <v:stroke dashstyle="solid"/>
            </v:line>
            <v:line style="position:absolute" from="1930,1606" to="1987,1635" stroked="true" strokeweight=".475243pt" strokecolor="#800080">
              <v:stroke dashstyle="solid"/>
            </v:line>
            <v:line style="position:absolute" from="1987,1635" to="2039,1668" stroked="true" strokeweight=".475244pt" strokecolor="#800080">
              <v:stroke dashstyle="solid"/>
            </v:line>
            <v:line style="position:absolute" from="2039,1668" to="2063,1682" stroked="true" strokeweight=".475244pt" strokecolor="#800080">
              <v:stroke dashstyle="solid"/>
            </v:line>
            <v:line style="position:absolute" from="2172,1744" to="2205,1763" stroked="true" strokeweight=".475244pt" strokecolor="#800080">
              <v:stroke dashstyle="solid"/>
            </v:line>
            <v:line style="position:absolute" from="2205,1763" to="2243,1787" stroked="true" strokeweight=".475244pt" strokecolor="#800080">
              <v:stroke dashstyle="solid"/>
            </v:line>
            <v:line style="position:absolute" from="2353,1849" to="2367,1858" stroked="true" strokeweight=".475245pt" strokecolor="#800080">
              <v:stroke dashstyle="solid"/>
            </v:line>
            <v:line style="position:absolute" from="2367,1858" to="2424,1887" stroked="true" strokeweight=".475243pt" strokecolor="#800080">
              <v:stroke dashstyle="solid"/>
            </v:line>
            <v:line style="position:absolute" from="2424,1887" to="2481,1920" stroked="true" strokeweight=".475244pt" strokecolor="#800080">
              <v:stroke dashstyle="solid"/>
            </v:line>
            <v:line style="position:absolute" from="2481,1920" to="2533,1953" stroked="true" strokeweight=".475244pt" strokecolor="#800080">
              <v:stroke dashstyle="solid"/>
            </v:line>
            <v:line style="position:absolute" from="2533,1953" to="2590,1987" stroked="true" strokeweight=".475244pt" strokecolor="#800080">
              <v:stroke dashstyle="solid"/>
            </v:line>
            <v:line style="position:absolute" from="2590,1987" to="2642,2015" stroked="true" strokeweight=".475243pt" strokecolor="#800080">
              <v:stroke dashstyle="solid"/>
            </v:line>
            <v:line style="position:absolute" from="2642,2015" to="2647,2020" stroked="true" strokeweight=".475247pt" strokecolor="#800080">
              <v:stroke dashstyle="solid"/>
            </v:line>
            <v:line style="position:absolute" from="2756,2082" to="2809,2115" stroked="true" strokeweight=".475244pt" strokecolor="#800080">
              <v:stroke dashstyle="solid"/>
            </v:line>
            <v:line style="position:absolute" from="2809,2115" to="2828,2124" stroked="true" strokeweight=".475243pt" strokecolor="#800080">
              <v:stroke dashstyle="solid"/>
            </v:line>
            <v:line style="position:absolute" from="2937,2191" to="2975,2215" stroked="true" strokeweight=".475244pt" strokecolor="#800080">
              <v:stroke dashstyle="solid"/>
            </v:line>
            <v:line style="position:absolute" from="2975,2215" to="3027,2243" stroked="true" strokeweight=".475243pt" strokecolor="#800080">
              <v:stroke dashstyle="solid"/>
            </v:line>
            <v:line style="position:absolute" from="3027,2243" to="3084,2276" stroked="true" strokeweight=".475244pt" strokecolor="#800080">
              <v:stroke dashstyle="solid"/>
            </v:line>
            <v:line style="position:absolute" from="3084,2276" to="3137,2310" stroked="true" strokeweight=".475244pt" strokecolor="#800080">
              <v:stroke dashstyle="solid"/>
            </v:line>
            <v:line style="position:absolute" from="3137,2310" to="3194,2343" stroked="true" strokeweight=".475244pt" strokecolor="#800080">
              <v:stroke dashstyle="solid"/>
            </v:line>
            <v:line style="position:absolute" from="3194,2343" to="3227,2367" stroked="true" strokeweight=".475245pt" strokecolor="#800080">
              <v:stroke dashstyle="solid"/>
            </v:line>
            <v:line style="position:absolute" from="3336,2433" to="3355,2448" stroked="true" strokeweight=".475245pt" strokecolor="#800080">
              <v:stroke dashstyle="solid"/>
            </v:line>
            <v:line style="position:absolute" from="3355,2448" to="3412,2476" stroked="true" strokeweight=".475243pt" strokecolor="#800080">
              <v:stroke dashstyle="solid"/>
            </v:line>
            <v:shape style="position:absolute;left:3521;top:2547;width:58;height:34" coordorigin="3522,2547" coordsize="58,34" path="m3522,2547l3522,2547m3522,2547l3579,2581e" filled="false" stroked="true" strokeweight=".475247pt" strokecolor="#800080">
              <v:path arrowok="t"/>
              <v:stroke dashstyle="solid"/>
            </v:shape>
            <v:line style="position:absolute" from="3579,2581" to="3631,2614" stroked="true" strokeweight=".475244pt" strokecolor="#800080">
              <v:stroke dashstyle="solid"/>
            </v:line>
            <v:line style="position:absolute" from="3631,2614" to="3688,2647" stroked="true" strokeweight=".475244pt" strokecolor="#800080">
              <v:stroke dashstyle="solid"/>
            </v:line>
            <v:line style="position:absolute" from="3688,2647" to="3740,2685" stroked="true" strokeweight=".475245pt" strokecolor="#800080">
              <v:stroke dashstyle="solid"/>
            </v:line>
            <v:line style="position:absolute" from="3740,2685" to="3797,2718" stroked="true" strokeweight=".475244pt" strokecolor="#800080">
              <v:stroke dashstyle="solid"/>
            </v:line>
            <v:line style="position:absolute" from="3797,2718" to="3812,2728" stroked="true" strokeweight=".475245pt" strokecolor="#800080">
              <v:stroke dashstyle="solid"/>
            </v:line>
            <v:line style="position:absolute" from="3921,2794" to="3959,2823" stroked="true" strokeweight=".475245pt" strokecolor="#800080">
              <v:stroke dashstyle="solid"/>
            </v:line>
            <v:line style="position:absolute" from="3959,2823" to="3992,2842" stroked="true" strokeweight=".475244pt" strokecolor="#800080">
              <v:stroke dashstyle="solid"/>
            </v:line>
            <v:line style="position:absolute" from="4101,2913" to="4125,2928" stroked="true" strokeweight=".475244pt" strokecolor="#800080">
              <v:stroke dashstyle="solid"/>
            </v:line>
            <v:line style="position:absolute" from="4125,2928" to="4182,2961" stroked="true" strokeweight=".475244pt" strokecolor="#800080">
              <v:stroke dashstyle="solid"/>
            </v:line>
            <v:line style="position:absolute" from="4182,2961" to="4235,2994" stroked="true" strokeweight=".475244pt" strokecolor="#800080">
              <v:stroke dashstyle="solid"/>
            </v:line>
            <v:line style="position:absolute" from="4235,2994" to="4292,3032" stroked="true" strokeweight=".475245pt" strokecolor="#800080">
              <v:stroke dashstyle="solid"/>
            </v:line>
            <v:line style="position:absolute" from="4292,3032" to="4344,3065" stroked="true" strokeweight=".475244pt" strokecolor="#800080">
              <v:stroke dashstyle="solid"/>
            </v:line>
            <v:line style="position:absolute" from="4344,3065" to="4391,3099" stroked="true" strokeweight=".475245pt" strokecolor="#800080">
              <v:stroke dashstyle="solid"/>
            </v:line>
            <v:line style="position:absolute" from="4501,3170" to="4510,3175" stroked="true" strokeweight=".475243pt" strokecolor="#800080">
              <v:stroke dashstyle="solid"/>
            </v:line>
            <v:line style="position:absolute" from="4510,3175" to="4562,3208" stroked="true" strokeweight=".475244pt" strokecolor="#800080">
              <v:stroke dashstyle="solid"/>
            </v:line>
            <v:line style="position:absolute" from="4562,3208" to="4577,3217" stroked="true" strokeweight=".475245pt" strokecolor="#800080">
              <v:stroke dashstyle="solid"/>
            </v:line>
            <v:line style="position:absolute" from="4686,3289" to="4729,3317" stroked="true" strokeweight=".475245pt" strokecolor="#800080">
              <v:stroke dashstyle="solid"/>
            </v:line>
            <v:line style="position:absolute" from="4729,3317" to="4786,3355" stroked="true" strokeweight=".475245pt" strokecolor="#800080">
              <v:stroke dashstyle="solid"/>
            </v:line>
            <v:line style="position:absolute" from="4786,3355" to="4838,3389" stroked="true" strokeweight=".475244pt" strokecolor="#800080">
              <v:stroke dashstyle="solid"/>
            </v:line>
            <v:line style="position:absolute" from="4838,3389" to="4895,3427" stroked="true" strokeweight=".475245pt" strokecolor="#800080">
              <v:stroke dashstyle="solid"/>
            </v:line>
            <v:line style="position:absolute" from="4895,3427" to="4947,3465" stroked="true" strokeweight=".475245pt" strokecolor="#800080">
              <v:stroke dashstyle="solid"/>
            </v:line>
            <v:line style="position:absolute" from="4947,3465" to="4976,3479" stroked="true" strokeweight=".475243pt" strokecolor="#800080">
              <v:stroke dashstyle="solid"/>
            </v:line>
            <v:line style="position:absolute" from="5085,3555" to="5114,3574" stroked="true" strokeweight=".475245pt" strokecolor="#800080">
              <v:stroke dashstyle="solid"/>
            </v:line>
            <v:line style="position:absolute" from="5114,3574" to="5157,3602" stroked="true" strokeweight=".475245pt" strokecolor="#800080">
              <v:stroke dashstyle="solid"/>
            </v:line>
            <v:line style="position:absolute" from="5266,3678" to="5280,3683" stroked="true" strokeweight=".475242pt" strokecolor="#800080">
              <v:stroke dashstyle="solid"/>
            </v:line>
            <v:line style="position:absolute" from="5280,3683" to="5332,3721" stroked="true" strokeweight=".475245pt" strokecolor="#800080">
              <v:stroke dashstyle="solid"/>
            </v:line>
            <v:line style="position:absolute" from="5332,3721" to="5389,3759" stroked="true" strokeweight=".475245pt" strokecolor="#800080">
              <v:stroke dashstyle="solid"/>
            </v:line>
            <v:line style="position:absolute" from="5389,3759" to="5442,3797" stroked="true" strokeweight=".475245pt" strokecolor="#800080">
              <v:stroke dashstyle="solid"/>
            </v:line>
            <v:line style="position:absolute" from="5442,3797" to="5499,3835" stroked="true" strokeweight=".475245pt" strokecolor="#800080">
              <v:stroke dashstyle="solid"/>
            </v:line>
            <v:line style="position:absolute" from="5499,3835" to="5551,3873" stroked="true" strokeweight=".475245pt" strokecolor="#800080">
              <v:stroke dashstyle="solid"/>
            </v:line>
            <v:line style="position:absolute" from="5551,3873" to="5560,3873" stroked="true" strokeweight=".47524pt" strokecolor="#800080">
              <v:stroke dashstyle="solid"/>
            </v:line>
            <v:line style="position:absolute" from="5665,3949" to="5717,3987" stroked="true" strokeweight=".475245pt" strokecolor="#800080">
              <v:stroke dashstyle="solid"/>
            </v:line>
            <v:line style="position:absolute" from="5717,3987" to="5741,4002" stroked="true" strokeweight=".475244pt" strokecolor="#800080">
              <v:stroke dashstyle="solid"/>
            </v:line>
            <v:line style="position:absolute" from="24,879" to="62,898" stroked="true" strokeweight=".475243pt" strokecolor="#0000ff">
              <v:stroke dashstyle="solid"/>
            </v:line>
            <v:line style="position:absolute" from="62,898" to="119,927" stroked="true" strokeweight=".475243pt" strokecolor="#0000ff">
              <v:stroke dashstyle="solid"/>
            </v:line>
            <v:line style="position:absolute" from="119,927" to="176,955" stroked="true" strokeweight=".475243pt" strokecolor="#0000ff">
              <v:stroke dashstyle="solid"/>
            </v:line>
            <v:line style="position:absolute" from="176,955" to="228,984" stroked="true" strokeweight=".475243pt" strokecolor="#0000ff">
              <v:stroke dashstyle="solid"/>
            </v:line>
            <v:line style="position:absolute" from="228,984" to="285,1012" stroked="true" strokeweight=".475243pt" strokecolor="#0000ff">
              <v:stroke dashstyle="solid"/>
            </v:line>
            <v:line style="position:absolute" from="285,1012" to="314,1027" stroked="true" strokeweight=".475243pt" strokecolor="#0000ff">
              <v:stroke dashstyle="solid"/>
            </v:line>
            <v:line style="position:absolute" from="423,1084" to="447,1093" stroked="true" strokeweight=".475242pt" strokecolor="#0000ff">
              <v:stroke dashstyle="solid"/>
            </v:line>
            <v:line style="position:absolute" from="447,1093" to="499,1122" stroked="true" strokeweight=".475243pt" strokecolor="#0000ff">
              <v:stroke dashstyle="solid"/>
            </v:line>
            <v:shape style="position:absolute;left:608;top:1173;width:295;height:162" type="#_x0000_t75" stroked="false">
              <v:imagedata r:id="rId177" o:title=""/>
            </v:shape>
            <v:line style="position:absolute" from="1008,1388" to="1050,1412" stroked="true" strokeweight=".475244pt" strokecolor="#0000ff">
              <v:stroke dashstyle="solid"/>
            </v:line>
            <v:line style="position:absolute" from="1050,1412" to="1079,1426" stroked="true" strokeweight=".475243pt" strokecolor="#0000ff">
              <v:stroke dashstyle="solid"/>
            </v:line>
            <v:shape style="position:absolute;left:1183;top:1478;width:305;height:172" type="#_x0000_t75" stroked="false">
              <v:imagedata r:id="rId178" o:title=""/>
            </v:shape>
            <v:line style="position:absolute" from="1592,1706" to="1602,1711" stroked="true" strokeweight=".475243pt" strokecolor="#0000ff">
              <v:stroke dashstyle="solid"/>
            </v:line>
            <v:line style="position:absolute" from="1602,1711" to="1654,1739" stroked="true" strokeweight=".475243pt" strokecolor="#0000ff">
              <v:stroke dashstyle="solid"/>
            </v:line>
            <v:line style="position:absolute" from="1654,1739" to="1663,1744" stroked="true" strokeweight=".475243pt" strokecolor="#0000ff">
              <v:stroke dashstyle="solid"/>
            </v:line>
            <v:shape style="position:absolute;left:1767;top:1801;width:300;height:172" type="#_x0000_t75" stroked="false">
              <v:imagedata r:id="rId179" o:title=""/>
            </v:shape>
            <v:line style="position:absolute" from="2172,2029" to="2205,2048" stroked="true" strokeweight=".475244pt" strokecolor="#0000ff">
              <v:stroke dashstyle="solid"/>
            </v:line>
            <v:line style="position:absolute" from="2205,2048" to="2243,2072" stroked="true" strokeweight=".475244pt" strokecolor="#0000ff">
              <v:stroke dashstyle="solid"/>
            </v:line>
            <v:shape style="position:absolute;left:2347;top:2133;width:300;height:176" type="#_x0000_t75" stroked="false">
              <v:imagedata r:id="rId180" o:title=""/>
            </v:shape>
            <v:line style="position:absolute" from="2756,2372" to="2809,2400" stroked="true" strokeweight=".475243pt" strokecolor="#0000ff">
              <v:stroke dashstyle="solid"/>
            </v:line>
            <v:line style="position:absolute" from="2809,2400" to="2828,2414" stroked="true" strokeweight=".475245pt" strokecolor="#0000ff">
              <v:stroke dashstyle="solid"/>
            </v:line>
            <v:shape style="position:absolute;left:2932;top:2471;width:300;height:186" type="#_x0000_t75" stroked="false">
              <v:imagedata r:id="rId181" o:title=""/>
            </v:shape>
            <v:line style="position:absolute" from="3336,2718" to="3355,2733" stroked="true" strokeweight=".475245pt" strokecolor="#0000ff">
              <v:stroke dashstyle="solid"/>
            </v:line>
            <v:line style="position:absolute" from="3355,2733" to="3412,2766" stroked="true" strokeweight=".475244pt" strokecolor="#0000ff">
              <v:stroke dashstyle="solid"/>
            </v:line>
            <v:shape style="position:absolute;left:3516;top:2827;width:300;height:191" type="#_x0000_t75" stroked="false">
              <v:imagedata r:id="rId182" o:title=""/>
            </v:shape>
            <v:line style="position:absolute" from="3921,3084" to="3959,3108" stroked="true" strokeweight=".475244pt" strokecolor="#0000ff">
              <v:stroke dashstyle="solid"/>
            </v:line>
            <v:line style="position:absolute" from="3959,3108" to="3992,3127" stroked="true" strokeweight=".475244pt" strokecolor="#0000ff">
              <v:stroke dashstyle="solid"/>
            </v:line>
            <v:shape style="position:absolute;left:4096;top:3193;width:300;height:195" type="#_x0000_t75" stroked="false">
              <v:imagedata r:id="rId183" o:title=""/>
            </v:shape>
            <v:line style="position:absolute" from="4501,3455" to="4510,3460" stroked="true" strokeweight=".475243pt" strokecolor="#0000ff">
              <v:stroke dashstyle="solid"/>
            </v:line>
            <v:line style="position:absolute" from="4510,3460" to="4562,3498" stroked="true" strokeweight=".475245pt" strokecolor="#0000ff">
              <v:stroke dashstyle="solid"/>
            </v:line>
            <v:line style="position:absolute" from="4562,3498" to="4577,3503" stroked="true" strokeweight=".475242pt" strokecolor="#0000ff">
              <v:stroke dashstyle="solid"/>
            </v:line>
            <v:shape style="position:absolute;left:4681;top:3569;width:300;height:205" type="#_x0000_t75" stroked="false">
              <v:imagedata r:id="rId184" o:title=""/>
            </v:shape>
            <v:line style="position:absolute" from="5085,3840" to="5114,3859" stroked="true" strokeweight=".475245pt" strokecolor="#0000ff">
              <v:stroke dashstyle="solid"/>
            </v:line>
            <v:line style="position:absolute" from="5114,3859" to="5157,3892" stroked="true" strokeweight=".475245pt" strokecolor="#0000ff">
              <v:stroke dashstyle="solid"/>
            </v:line>
            <v:line style="position:absolute" from="5266,3964" to="5280,3973" stroked="true" strokeweight=".475245pt" strokecolor="#0000ff">
              <v:stroke dashstyle="solid"/>
            </v:line>
            <v:line style="position:absolute" from="5280,3973" to="5332,4011" stroked="true" strokeweight=".475245pt" strokecolor="#0000ff">
              <v:stroke dashstyle="solid"/>
            </v:line>
            <v:line style="position:absolute" from="5332,4011" to="5351,4021" stroked="true" strokeweight=".475243pt" strokecolor="#0000ff">
              <v:stroke dashstyle="solid"/>
            </v:line>
            <v:line style="position:absolute" from="24,1169" to="62,1188" stroked="true" strokeweight=".475243pt" strokecolor="#00ffff">
              <v:stroke dashstyle="solid"/>
            </v:line>
            <v:line style="position:absolute" from="62,1188" to="119,1217" stroked="true" strokeweight=".475243pt" strokecolor="#00ffff">
              <v:stroke dashstyle="solid"/>
            </v:line>
            <v:line style="position:absolute" from="119,1217" to="176,1240" stroked="true" strokeweight=".475242pt" strokecolor="#00ffff">
              <v:stroke dashstyle="solid"/>
            </v:line>
            <v:line style="position:absolute" from="176,1240" to="228,1269" stroked="true" strokeweight=".475243pt" strokecolor="#00ffff">
              <v:stroke dashstyle="solid"/>
            </v:line>
            <v:line style="position:absolute" from="228,1269" to="285,1297" stroked="true" strokeweight=".475243pt" strokecolor="#00ffff">
              <v:stroke dashstyle="solid"/>
            </v:line>
            <v:line style="position:absolute" from="285,1297" to="314,1316" stroked="true" strokeweight=".475245pt" strokecolor="#00ffff">
              <v:stroke dashstyle="solid"/>
            </v:line>
            <v:line style="position:absolute" from="423,1369" to="447,1383" stroked="true" strokeweight=".475244pt" strokecolor="#00ffff">
              <v:stroke dashstyle="solid"/>
            </v:line>
            <v:line style="position:absolute" from="447,1383" to="499,1407" stroked="true" strokeweight=".475243pt" strokecolor="#00ffff">
              <v:stroke dashstyle="solid"/>
            </v:line>
            <v:shape style="position:absolute;left:603;top:1459;width:300;height:162" type="#_x0000_t75" stroked="false">
              <v:imagedata r:id="rId185" o:title=""/>
            </v:shape>
            <v:line style="position:absolute" from="1008,1673" to="1050,1697" stroked="true" strokeweight=".475244pt" strokecolor="#00ffff">
              <v:stroke dashstyle="solid"/>
            </v:line>
            <v:line style="position:absolute" from="1050,1697" to="1079,1716" stroked="true" strokeweight=".475245pt" strokecolor="#00ffff">
              <v:stroke dashstyle="solid"/>
            </v:line>
            <v:shape style="position:absolute;left:1183;top:1767;width:305;height:167" type="#_x0000_t75" stroked="false">
              <v:imagedata r:id="rId186" o:title=""/>
            </v:shape>
            <v:line style="position:absolute" from="1592,1991" to="1602,1996" stroked="true" strokeweight=".475243pt" strokecolor="#00ffff">
              <v:stroke dashstyle="solid"/>
            </v:line>
            <v:line style="position:absolute" from="1602,1996" to="1654,2029" stroked="true" strokeweight=".475244pt" strokecolor="#00ffff">
              <v:stroke dashstyle="solid"/>
            </v:line>
            <v:line style="position:absolute" from="1654,2029" to="1663,2029" stroked="true" strokeweight=".47524pt" strokecolor="#00ffff">
              <v:stroke dashstyle="solid"/>
            </v:line>
            <v:shape style="position:absolute;left:1767;top:2086;width:300;height:176" type="#_x0000_t75" stroked="false">
              <v:imagedata r:id="rId187" o:title=""/>
            </v:shape>
            <v:line style="position:absolute" from="2172,2319" to="2205,2338" stroked="true" strokeweight=".475244pt" strokecolor="#00ffff">
              <v:stroke dashstyle="solid"/>
            </v:line>
            <v:line style="position:absolute" from="2205,2338" to="2243,2362" stroked="true" strokeweight=".475244pt" strokecolor="#00ffff">
              <v:stroke dashstyle="solid"/>
            </v:line>
            <v:shape style="position:absolute;left:2347;top:2419;width:305;height:181" type="#_x0000_t75" stroked="false">
              <v:imagedata r:id="rId188" o:title=""/>
            </v:shape>
            <v:line style="position:absolute" from="2756,2657" to="2809,2690" stroked="true" strokeweight=".475244pt" strokecolor="#00ffff">
              <v:stroke dashstyle="solid"/>
            </v:line>
            <v:line style="position:absolute" from="2809,2690" to="2828,2699" stroked="true" strokeweight=".475243pt" strokecolor="#00ffff">
              <v:stroke dashstyle="solid"/>
            </v:line>
            <v:shape style="position:absolute;left:2932;top:2761;width:300;height:186" type="#_x0000_t75" stroked="false">
              <v:imagedata r:id="rId189" o:title=""/>
            </v:shape>
            <v:line style="position:absolute" from="3336,3008" to="3355,3018" stroked="true" strokeweight=".475243pt" strokecolor="#00ffff">
              <v:stroke dashstyle="solid"/>
            </v:line>
            <v:line style="position:absolute" from="3355,3018" to="3412,3051" stroked="true" strokeweight=".475244pt" strokecolor="#00ffff">
              <v:stroke dashstyle="solid"/>
            </v:line>
            <v:shape style="position:absolute;left:3516;top:3117;width:300;height:191" type="#_x0000_t75" stroked="false">
              <v:imagedata r:id="rId190" o:title=""/>
            </v:shape>
            <v:line style="position:absolute" from="3921,3370" to="3959,3398" stroked="true" strokeweight=".475245pt" strokecolor="#00ffff">
              <v:stroke dashstyle="solid"/>
            </v:line>
            <v:line style="position:absolute" from="3959,3398" to="3992,3417" stroked="true" strokeweight=".475244pt" strokecolor="#00ffff">
              <v:stroke dashstyle="solid"/>
            </v:line>
            <v:shape style="position:absolute;left:4096;top:3478;width:300;height:200" type="#_x0000_t75" stroked="false">
              <v:imagedata r:id="rId191" o:title=""/>
            </v:shape>
            <v:line style="position:absolute" from="4501,3745" to="4510,3750" stroked="true" strokeweight=".475243pt" strokecolor="#00ffff">
              <v:stroke dashstyle="solid"/>
            </v:line>
            <v:line style="position:absolute" from="4510,3750" to="4562,3783" stroked="true" strokeweight=".475244pt" strokecolor="#00ffff">
              <v:stroke dashstyle="solid"/>
            </v:line>
            <v:line style="position:absolute" from="4562,3783" to="4577,3793" stroked="true" strokeweight=".475245pt" strokecolor="#00ffff">
              <v:stroke dashstyle="solid"/>
            </v:line>
            <v:line style="position:absolute" from="4686,3864" to="4729,3892" stroked="true" strokeweight=".475245pt" strokecolor="#00ffff">
              <v:stroke dashstyle="solid"/>
            </v:line>
            <v:line style="position:absolute" from="4729,3892" to="4786,3930" stroked="true" strokeweight=".475245pt" strokecolor="#00ffff">
              <v:stroke dashstyle="solid"/>
            </v:line>
            <v:line style="position:absolute" from="4786,3930" to="4838,3964" stroked="true" strokeweight=".475244pt" strokecolor="#00ffff">
              <v:stroke dashstyle="solid"/>
            </v:line>
            <v:line style="position:absolute" from="4838,3964" to="4895,4002" stroked="true" strokeweight=".475245pt" strokecolor="#00ffff">
              <v:stroke dashstyle="solid"/>
            </v:line>
            <v:line style="position:absolute" from="4895,4002" to="4924,4021" stroked="true" strokeweight=".475245pt" strokecolor="#00ffff">
              <v:stroke dashstyle="solid"/>
            </v:line>
            <v:line style="position:absolute" from="24,1454" to="62,1473" stroked="true" strokeweight=".475243pt" strokecolor="#ffcc00">
              <v:stroke dashstyle="solid"/>
            </v:line>
            <v:line style="position:absolute" from="62,1473" to="119,1502" stroked="true" strokeweight=".475243pt" strokecolor="#ffcc00">
              <v:stroke dashstyle="solid"/>
            </v:line>
            <v:line style="position:absolute" from="119,1502" to="176,1530" stroked="true" strokeweight=".475243pt" strokecolor="#ffcc00">
              <v:stroke dashstyle="solid"/>
            </v:line>
            <v:line style="position:absolute" from="176,1530" to="228,1559" stroked="true" strokeweight=".475243pt" strokecolor="#ffcc00">
              <v:stroke dashstyle="solid"/>
            </v:line>
            <v:line style="position:absolute" from="228,1559" to="285,1587" stroked="true" strokeweight=".475243pt" strokecolor="#ffcc00">
              <v:stroke dashstyle="solid"/>
            </v:line>
            <v:line style="position:absolute" from="285,1587" to="314,1602" stroked="true" strokeweight=".475243pt" strokecolor="#ffcc00">
              <v:stroke dashstyle="solid"/>
            </v:line>
            <v:line style="position:absolute" from="423,1659" to="447,1668" stroked="true" strokeweight=".475242pt" strokecolor="#ffcc00">
              <v:stroke dashstyle="solid"/>
            </v:line>
            <v:line style="position:absolute" from="447,1668" to="499,1697" stroked="true" strokeweight=".475243pt" strokecolor="#ffcc00">
              <v:stroke dashstyle="solid"/>
            </v:line>
            <v:shape style="position:absolute;left:608;top:1748;width:295;height:162" type="#_x0000_t75" stroked="false">
              <v:imagedata r:id="rId192" o:title=""/>
            </v:shape>
            <v:line style="position:absolute" from="1008,1963" to="1050,1987" stroked="true" strokeweight=".475244pt" strokecolor="#ffcc00">
              <v:stroke dashstyle="solid"/>
            </v:line>
            <v:line style="position:absolute" from="1050,1987" to="1079,2001" stroked="true" strokeweight=".475243pt" strokecolor="#ffcc00">
              <v:stroke dashstyle="solid"/>
            </v:line>
            <v:shape style="position:absolute;left:1183;top:2053;width:305;height:172" type="#_x0000_t75" stroked="false">
              <v:imagedata r:id="rId193" o:title=""/>
            </v:shape>
            <v:line style="position:absolute" from="1592,2276" to="1602,2286" stroked="true" strokeweight=".475247pt" strokecolor="#ffcc00">
              <v:stroke dashstyle="solid"/>
            </v:line>
            <v:line style="position:absolute" from="1602,2286" to="1654,2315" stroked="true" strokeweight=".475243pt" strokecolor="#ffcc00">
              <v:stroke dashstyle="solid"/>
            </v:line>
            <v:line style="position:absolute" from="1654,2315" to="1663,2319" stroked="true" strokeweight=".475243pt" strokecolor="#ffcc00">
              <v:stroke dashstyle="solid"/>
            </v:line>
            <v:shape style="position:absolute;left:1767;top:2376;width:300;height:172" type="#_x0000_t75" stroked="false">
              <v:imagedata r:id="rId194" o:title=""/>
            </v:shape>
            <v:line style="position:absolute" from="2172,2604" to="2205,2623" stroked="true" strokeweight=".475244pt" strokecolor="#ffcc00">
              <v:stroke dashstyle="solid"/>
            </v:line>
            <v:line style="position:absolute" from="2205,2623" to="2243,2647" stroked="true" strokeweight=".475244pt" strokecolor="#ffcc00">
              <v:stroke dashstyle="solid"/>
            </v:line>
            <v:shape style="position:absolute;left:2347;top:2704;width:300;height:181" type="#_x0000_t75" stroked="false">
              <v:imagedata r:id="rId195" o:title=""/>
            </v:shape>
            <v:line style="position:absolute" from="2756,2947" to="2809,2975" stroked="true" strokeweight=".475243pt" strokecolor="#ffcc00">
              <v:stroke dashstyle="solid"/>
            </v:line>
            <v:line style="position:absolute" from="2809,2975" to="2828,2989" stroked="true" strokeweight=".475245pt" strokecolor="#ffcc00">
              <v:stroke dashstyle="solid"/>
            </v:line>
            <v:shape style="position:absolute;left:2932;top:3046;width:300;height:186" type="#_x0000_t75" stroked="false">
              <v:imagedata r:id="rId196" o:title=""/>
            </v:shape>
            <v:line style="position:absolute" from="3336,3294" to="3355,3308" stroked="true" strokeweight=".475245pt" strokecolor="#ffcc00">
              <v:stroke dashstyle="solid"/>
            </v:line>
            <v:line style="position:absolute" from="3355,3308" to="3412,3341" stroked="true" strokeweight=".475244pt" strokecolor="#ffcc00">
              <v:stroke dashstyle="solid"/>
            </v:line>
            <v:shape style="position:absolute;left:3516;top:3402;width:300;height:191" type="#_x0000_t75" stroked="false">
              <v:imagedata r:id="rId197" o:title=""/>
            </v:shape>
            <v:line style="position:absolute" from="3921,3659" to="3959,3683" stroked="true" strokeweight=".475244pt" strokecolor="#ffcc00">
              <v:stroke dashstyle="solid"/>
            </v:line>
            <v:line style="position:absolute" from="3959,3683" to="3992,3702" stroked="true" strokeweight=".475244pt" strokecolor="#ffcc00">
              <v:stroke dashstyle="solid"/>
            </v:line>
            <v:line style="position:absolute" from="4101,3773" to="4125,3788" stroked="true" strokeweight=".475244pt" strokecolor="#ffcc00">
              <v:stroke dashstyle="solid"/>
            </v:line>
            <v:line style="position:absolute" from="4125,3788" to="4182,3821" stroked="true" strokeweight=".475244pt" strokecolor="#ffcc00">
              <v:stroke dashstyle="solid"/>
            </v:line>
            <v:line style="position:absolute" from="4182,3821" to="4235,3859" stroked="true" strokeweight=".475245pt" strokecolor="#ffcc00">
              <v:stroke dashstyle="solid"/>
            </v:line>
            <v:line style="position:absolute" from="4235,3859" to="4292,3892" stroked="true" strokeweight=".475244pt" strokecolor="#ffcc00">
              <v:stroke dashstyle="solid"/>
            </v:line>
            <v:line style="position:absolute" from="4292,3892" to="4344,3930" stroked="true" strokeweight=".475245pt" strokecolor="#ffcc00">
              <v:stroke dashstyle="solid"/>
            </v:line>
            <v:line style="position:absolute" from="4344,3930" to="4391,3959" stroked="true" strokeweight=".475244pt" strokecolor="#ffcc00">
              <v:stroke dashstyle="solid"/>
            </v:line>
            <v:line style="position:absolute" from="24,1744" to="62,1763" stroked="true" strokeweight=".475243pt" strokecolor="#ff9900">
              <v:stroke dashstyle="solid"/>
            </v:line>
            <v:line style="position:absolute" from="62,1763" to="119,1792" stroked="true" strokeweight=".475243pt" strokecolor="#ff9900">
              <v:stroke dashstyle="solid"/>
            </v:line>
            <v:line style="position:absolute" from="119,1792" to="176,1816" stroked="true" strokeweight=".475242pt" strokecolor="#ff9900">
              <v:stroke dashstyle="solid"/>
            </v:line>
            <v:line style="position:absolute" from="176,1816" to="228,1844" stroked="true" strokeweight=".475243pt" strokecolor="#ff9900">
              <v:stroke dashstyle="solid"/>
            </v:line>
            <v:line style="position:absolute" from="228,1844" to="285,1873" stroked="true" strokeweight=".475243pt" strokecolor="#ff9900">
              <v:stroke dashstyle="solid"/>
            </v:line>
            <v:line style="position:absolute" from="285,1873" to="314,1892" stroked="true" strokeweight=".475245pt" strokecolor="#ff9900">
              <v:stroke dashstyle="solid"/>
            </v:line>
            <v:line style="position:absolute" from="423,1944" to="447,1958" stroked="true" strokeweight=".475244pt" strokecolor="#ff9900">
              <v:stroke dashstyle="solid"/>
            </v:line>
            <v:line style="position:absolute" from="447,1958" to="499,1982" stroked="true" strokeweight=".475243pt" strokecolor="#ff9900">
              <v:stroke dashstyle="solid"/>
            </v:line>
            <v:shape style="position:absolute;left:603;top:2034;width:300;height:162" type="#_x0000_t75" stroked="false">
              <v:imagedata r:id="rId198" o:title=""/>
            </v:shape>
            <v:line style="position:absolute" from="1008,2248" to="1050,2272" stroked="true" strokeweight=".475244pt" strokecolor="#ff9900">
              <v:stroke dashstyle="solid"/>
            </v:line>
            <v:line style="position:absolute" from="1050,2272" to="1079,2286" stroked="true" strokeweight=".475243pt" strokecolor="#ff9900">
              <v:stroke dashstyle="solid"/>
            </v:line>
            <v:shape style="position:absolute;left:1183;top:2343;width:305;height:167" type="#_x0000_t75" stroked="false">
              <v:imagedata r:id="rId199" o:title=""/>
            </v:shape>
            <v:line style="position:absolute" from="1592,2566" to="1602,2571" stroked="true" strokeweight=".475243pt" strokecolor="#ff9900">
              <v:stroke dashstyle="solid"/>
            </v:line>
            <v:line style="position:absolute" from="1602,2571" to="1654,2600" stroked="true" strokeweight=".475243pt" strokecolor="#ff9900">
              <v:stroke dashstyle="solid"/>
            </v:line>
            <v:line style="position:absolute" from="1654,2600" to="1663,2604" stroked="true" strokeweight=".475243pt" strokecolor="#ff9900">
              <v:stroke dashstyle="solid"/>
            </v:line>
            <v:shape style="position:absolute;left:1767;top:2661;width:300;height:176" type="#_x0000_t75" stroked="false">
              <v:imagedata r:id="rId200" o:title=""/>
            </v:shape>
            <v:line style="position:absolute" from="2172,2894" to="2205,2913" stroked="true" strokeweight=".475244pt" strokecolor="#ff9900">
              <v:stroke dashstyle="solid"/>
            </v:line>
            <v:line style="position:absolute" from="2205,2913" to="2243,2937" stroked="true" strokeweight=".475244pt" strokecolor="#ff9900">
              <v:stroke dashstyle="solid"/>
            </v:line>
            <v:shape style="position:absolute;left:2347;top:2994;width:305;height:181" type="#_x0000_t75" stroked="false">
              <v:imagedata r:id="rId201" o:title=""/>
            </v:shape>
            <v:line style="position:absolute" from="2756,3232" to="2809,3265" stroked="true" strokeweight=".475244pt" strokecolor="#ff9900">
              <v:stroke dashstyle="solid"/>
            </v:line>
            <v:line style="position:absolute" from="2809,3265" to="2828,3275" stroked="true" strokeweight=".475243pt" strokecolor="#ff9900">
              <v:stroke dashstyle="solid"/>
            </v:line>
            <v:shape style="position:absolute;left:2932;top:3336;width:300;height:186" type="#_x0000_t75" stroked="false">
              <v:imagedata r:id="rId202" o:title=""/>
            </v:shape>
            <v:line style="position:absolute" from="3336,3583" to="3355,3593" stroked="true" strokeweight=".475243pt" strokecolor="#ff9900">
              <v:stroke dashstyle="solid"/>
            </v:line>
            <v:line style="position:absolute" from="3355,3593" to="3412,3626" stroked="true" strokeweight=".475244pt" strokecolor="#ff9900">
              <v:stroke dashstyle="solid"/>
            </v:line>
            <v:shape style="position:absolute;left:3516;top:3692;width:300;height:191" type="#_x0000_t75" stroked="false">
              <v:imagedata r:id="rId203" o:title=""/>
            </v:shape>
            <v:line style="position:absolute" from="3921,3945" to="3959,3973" stroked="true" strokeweight=".475245pt" strokecolor="#ff9900">
              <v:stroke dashstyle="solid"/>
            </v:line>
            <v:line style="position:absolute" from="3959,3973" to="3992,3992" stroked="true" strokeweight=".475244pt" strokecolor="#ff9900">
              <v:stroke dashstyle="solid"/>
            </v:line>
            <v:line style="position:absolute" from="24,2029" to="62,2048" stroked="true" strokeweight=".475243pt" strokecolor="#ff00ff">
              <v:stroke dashstyle="solid"/>
            </v:line>
            <v:line style="position:absolute" from="62,2048" to="119,2077" stroked="true" strokeweight=".475243pt" strokecolor="#ff00ff">
              <v:stroke dashstyle="solid"/>
            </v:line>
            <v:line style="position:absolute" from="119,2077" to="176,2105" stroked="true" strokeweight=".475243pt" strokecolor="#ff00ff">
              <v:stroke dashstyle="solid"/>
            </v:line>
            <v:line style="position:absolute" from="176,2105" to="228,2134" stroked="true" strokeweight=".475243pt" strokecolor="#ff00ff">
              <v:stroke dashstyle="solid"/>
            </v:line>
            <v:line style="position:absolute" from="228,2134" to="285,2162" stroked="true" strokeweight=".475243pt" strokecolor="#ff00ff">
              <v:stroke dashstyle="solid"/>
            </v:line>
            <v:line style="position:absolute" from="285,2162" to="314,2177" stroked="true" strokeweight=".475243pt" strokecolor="#ff00ff">
              <v:stroke dashstyle="solid"/>
            </v:line>
            <v:line style="position:absolute" from="423,2234" to="447,2243" stroked="true" strokeweight=".475242pt" strokecolor="#ff00ff">
              <v:stroke dashstyle="solid"/>
            </v:line>
            <v:line style="position:absolute" from="447,2243" to="499,2272" stroked="true" strokeweight=".475243pt" strokecolor="#ff00ff">
              <v:stroke dashstyle="solid"/>
            </v:line>
            <v:shape style="position:absolute;left:608;top:2324;width:295;height:162" type="#_x0000_t75" stroked="false">
              <v:imagedata r:id="rId204" o:title=""/>
            </v:shape>
            <v:line style="position:absolute" from="1008,2538" to="1050,2562" stroked="true" strokeweight=".475244pt" strokecolor="#ff00ff">
              <v:stroke dashstyle="solid"/>
            </v:line>
            <v:line style="position:absolute" from="1050,2562" to="1079,2576" stroked="true" strokeweight=".475243pt" strokecolor="#ff00ff">
              <v:stroke dashstyle="solid"/>
            </v:line>
            <v:shape style="position:absolute;left:1183;top:2628;width:305;height:172" type="#_x0000_t75" stroked="false">
              <v:imagedata r:id="rId205" o:title=""/>
            </v:shape>
            <v:line style="position:absolute" from="1592,2852" to="1602,2861" stroked="true" strokeweight=".475247pt" strokecolor="#ff00ff">
              <v:stroke dashstyle="solid"/>
            </v:line>
            <v:line style="position:absolute" from="1602,2861" to="1654,2890" stroked="true" strokeweight=".475243pt" strokecolor="#ff00ff">
              <v:stroke dashstyle="solid"/>
            </v:line>
            <v:line style="position:absolute" from="1654,2890" to="1663,2894" stroked="true" strokeweight=".475243pt" strokecolor="#ff00ff">
              <v:stroke dashstyle="solid"/>
            </v:line>
            <v:shape style="position:absolute;left:1767;top:2951;width:300;height:172" type="#_x0000_t75" stroked="false">
              <v:imagedata r:id="rId206" o:title=""/>
            </v:shape>
            <v:line style="position:absolute" from="2172,3179" to="2205,3198" stroked="true" strokeweight=".475244pt" strokecolor="#ff00ff">
              <v:stroke dashstyle="solid"/>
            </v:line>
            <v:line style="position:absolute" from="2205,3198" to="2243,3222" stroked="true" strokeweight=".475244pt" strokecolor="#ff00ff">
              <v:stroke dashstyle="solid"/>
            </v:line>
            <v:shape style="position:absolute;left:2347;top:3279;width:300;height:181" type="#_x0000_t75" stroked="false">
              <v:imagedata r:id="rId207" o:title=""/>
            </v:shape>
            <v:line style="position:absolute" from="2756,3522" to="2809,3550" stroked="true" strokeweight=".475243pt" strokecolor="#ff00ff">
              <v:stroke dashstyle="solid"/>
            </v:line>
            <v:line style="position:absolute" from="2809,3550" to="2828,3564" stroked="true" strokeweight=".475245pt" strokecolor="#ff00ff">
              <v:stroke dashstyle="solid"/>
            </v:line>
            <v:shape style="position:absolute;left:2932;top:3621;width:300;height:186" type="#_x0000_t75" stroked="false">
              <v:imagedata r:id="rId208" o:title=""/>
            </v:shape>
            <v:line style="position:absolute" from="3336,3869" to="3355,3883" stroked="true" strokeweight=".475245pt" strokecolor="#ff00ff">
              <v:stroke dashstyle="solid"/>
            </v:line>
            <v:line style="position:absolute" from="3355,3883" to="3412,3916" stroked="true" strokeweight=".475244pt" strokecolor="#ff00ff">
              <v:stroke dashstyle="solid"/>
            </v:line>
            <v:shape style="position:absolute;left:3521;top:3982;width:58;height:34" coordorigin="3522,3983" coordsize="58,34" path="m3522,3983l3522,3983m3522,3983l3579,4016e" filled="false" stroked="true" strokeweight=".475247pt" strokecolor="#ff00ff">
              <v:path arrowok="t"/>
              <v:stroke dashstyle="solid"/>
            </v:shape>
            <v:line style="position:absolute" from="3579,4016" to="3583,4021" stroked="true" strokeweight=".475247pt" strokecolor="#ff00ff">
              <v:stroke dashstyle="solid"/>
            </v:line>
            <v:line style="position:absolute" from="4168,399" to="4377,399" stroked="true" strokeweight=".47524pt" strokecolor="#303030">
              <v:stroke dashstyle="solid"/>
            </v:line>
            <v:line style="position:absolute" from="4168,627" to="4377,627" stroked="true" strokeweight=".47524pt" strokecolor="#00ff55">
              <v:stroke dashstyle="solid"/>
            </v:line>
            <v:line style="position:absolute" from="4168,879" to="4377,879" stroked="true" strokeweight=".47524pt" strokecolor="#800080">
              <v:stroke dashstyle="solid"/>
            </v:line>
            <v:line style="position:absolute" from="4168,1107" to="4377,1107" stroked="true" strokeweight=".47524pt" strokecolor="#0000ff">
              <v:stroke dashstyle="solid"/>
            </v:line>
            <v:line style="position:absolute" from="4163,1792" to="4377,1792" stroked="true" strokeweight=".47524pt" strokecolor="#ff9900">
              <v:stroke dashstyle="solid"/>
            </v:line>
            <v:line style="position:absolute" from="4206,1949" to="4415,1949" stroked="true" strokeweight=".47524pt" strokecolor="#ff00ff">
              <v:stroke dashstyle="solid"/>
            </v:line>
            <v:shape style="position:absolute;left:0;top:0;width:6607;height:4045" type="#_x0000_t202" filled="false" stroked="false">
              <v:textbox inset="0,0,0,0">
                <w:txbxContent>
                  <w:p>
                    <w:pPr>
                      <w:spacing w:line="256" w:lineRule="exact" w:before="8"/>
                      <w:ind w:left="0" w:right="1216" w:firstLine="0"/>
                      <w:jc w:val="right"/>
                      <w:rPr>
                        <w:sz w:val="23"/>
                      </w:rPr>
                    </w:pPr>
                    <w:r>
                      <w:rPr>
                        <w:sz w:val="23"/>
                      </w:rPr>
                      <w:t>V</w:t>
                    </w:r>
                    <w:r>
                      <w:rPr>
                        <w:position w:val="-2"/>
                        <w:sz w:val="23"/>
                      </w:rPr>
                      <w:t>s</w:t>
                    </w:r>
                  </w:p>
                  <w:p>
                    <w:pPr>
                      <w:spacing w:line="223" w:lineRule="exact" w:before="0"/>
                      <w:ind w:left="0" w:right="400" w:firstLine="0"/>
                      <w:jc w:val="right"/>
                      <w:rPr>
                        <w:sz w:val="23"/>
                      </w:rPr>
                    </w:pPr>
                    <w:r>
                      <w:rPr>
                        <w:sz w:val="23"/>
                      </w:rPr>
                      <w:t>2800</w:t>
                    </w:r>
                    <w:r>
                      <w:rPr>
                        <w:spacing w:val="-4"/>
                        <w:sz w:val="23"/>
                      </w:rPr>
                      <w:t> </w:t>
                    </w:r>
                    <w:r>
                      <w:rPr>
                        <w:sz w:val="23"/>
                      </w:rPr>
                      <w:t>fps</w:t>
                    </w:r>
                    <w:r>
                      <w:rPr>
                        <w:spacing w:val="-2"/>
                        <w:sz w:val="23"/>
                      </w:rPr>
                      <w:t> </w:t>
                    </w:r>
                    <w:r>
                      <w:rPr>
                        <w:sz w:val="23"/>
                      </w:rPr>
                      <w:t>(</w:t>
                    </w:r>
                    <w:r>
                      <w:rPr>
                        <w:position w:val="1"/>
                        <w:sz w:val="23"/>
                      </w:rPr>
                      <w:t>850m/s)</w:t>
                    </w:r>
                  </w:p>
                  <w:p>
                    <w:pPr>
                      <w:spacing w:line="242" w:lineRule="exact" w:before="0"/>
                      <w:ind w:left="0" w:right="409" w:firstLine="0"/>
                      <w:jc w:val="right"/>
                      <w:rPr>
                        <w:sz w:val="23"/>
                      </w:rPr>
                    </w:pPr>
                    <w:r>
                      <w:rPr>
                        <w:sz w:val="23"/>
                      </w:rPr>
                      <w:t>2600</w:t>
                    </w:r>
                    <w:r>
                      <w:rPr>
                        <w:spacing w:val="-9"/>
                        <w:sz w:val="23"/>
                      </w:rPr>
                      <w:t> </w:t>
                    </w:r>
                    <w:r>
                      <w:rPr>
                        <w:sz w:val="23"/>
                      </w:rPr>
                      <w:t>fps</w:t>
                    </w:r>
                    <w:r>
                      <w:rPr>
                        <w:spacing w:val="-6"/>
                        <w:sz w:val="23"/>
                      </w:rPr>
                      <w:t> </w:t>
                    </w:r>
                    <w:r>
                      <w:rPr>
                        <w:sz w:val="23"/>
                      </w:rPr>
                      <w:t>(790m/s)</w:t>
                    </w:r>
                  </w:p>
                  <w:p>
                    <w:pPr>
                      <w:spacing w:line="238" w:lineRule="exact" w:before="0"/>
                      <w:ind w:left="0" w:right="400" w:firstLine="0"/>
                      <w:jc w:val="right"/>
                      <w:rPr>
                        <w:sz w:val="23"/>
                      </w:rPr>
                    </w:pPr>
                    <w:r>
                      <w:rPr>
                        <w:sz w:val="23"/>
                      </w:rPr>
                      <w:t>2400</w:t>
                    </w:r>
                    <w:r>
                      <w:rPr>
                        <w:spacing w:val="-4"/>
                        <w:sz w:val="23"/>
                      </w:rPr>
                      <w:t> </w:t>
                    </w:r>
                    <w:r>
                      <w:rPr>
                        <w:sz w:val="23"/>
                      </w:rPr>
                      <w:t>fps</w:t>
                    </w:r>
                    <w:r>
                      <w:rPr>
                        <w:spacing w:val="-2"/>
                        <w:sz w:val="23"/>
                      </w:rPr>
                      <w:t> </w:t>
                    </w:r>
                    <w:r>
                      <w:rPr>
                        <w:sz w:val="23"/>
                      </w:rPr>
                      <w:t>(730m/s)</w:t>
                    </w:r>
                  </w:p>
                  <w:p>
                    <w:pPr>
                      <w:spacing w:line="228" w:lineRule="exact" w:before="0"/>
                      <w:ind w:left="0" w:right="395" w:firstLine="0"/>
                      <w:jc w:val="right"/>
                      <w:rPr>
                        <w:sz w:val="23"/>
                      </w:rPr>
                    </w:pPr>
                    <w:r>
                      <w:rPr>
                        <w:w w:val="99"/>
                        <w:sz w:val="23"/>
                        <w:u w:val="single" w:color="00FFFF"/>
                      </w:rPr>
                      <w:t> </w:t>
                    </w:r>
                    <w:r>
                      <w:rPr>
                        <w:sz w:val="23"/>
                        <w:u w:val="single" w:color="00FFFF"/>
                      </w:rPr>
                      <w:t>  </w:t>
                    </w:r>
                    <w:r>
                      <w:rPr>
                        <w:spacing w:val="-21"/>
                        <w:sz w:val="23"/>
                        <w:u w:val="single" w:color="00FFFF"/>
                      </w:rPr>
                      <w:t> </w:t>
                    </w:r>
                    <w:r>
                      <w:rPr>
                        <w:sz w:val="23"/>
                      </w:rPr>
                      <w:t> </w:t>
                    </w:r>
                    <w:r>
                      <w:rPr>
                        <w:spacing w:val="27"/>
                        <w:sz w:val="23"/>
                      </w:rPr>
                      <w:t> </w:t>
                    </w:r>
                    <w:r>
                      <w:rPr>
                        <w:sz w:val="23"/>
                      </w:rPr>
                      <w:t>2200</w:t>
                    </w:r>
                    <w:r>
                      <w:rPr>
                        <w:spacing w:val="-2"/>
                        <w:sz w:val="23"/>
                      </w:rPr>
                      <w:t> </w:t>
                    </w:r>
                    <w:r>
                      <w:rPr>
                        <w:sz w:val="23"/>
                      </w:rPr>
                      <w:t>fps</w:t>
                    </w:r>
                    <w:r>
                      <w:rPr>
                        <w:spacing w:val="1"/>
                        <w:sz w:val="23"/>
                      </w:rPr>
                      <w:t> </w:t>
                    </w:r>
                    <w:r>
                      <w:rPr>
                        <w:sz w:val="23"/>
                      </w:rPr>
                      <w:t>(670m/s)</w:t>
                    </w:r>
                  </w:p>
                  <w:p>
                    <w:pPr>
                      <w:spacing w:line="206" w:lineRule="auto" w:before="12"/>
                      <w:ind w:left="4519" w:right="395" w:hanging="352"/>
                      <w:jc w:val="right"/>
                      <w:rPr>
                        <w:sz w:val="23"/>
                      </w:rPr>
                    </w:pPr>
                    <w:r>
                      <w:rPr>
                        <w:w w:val="99"/>
                        <w:sz w:val="23"/>
                        <w:u w:val="single" w:color="FFCC00"/>
                      </w:rPr>
                      <w:t> </w:t>
                    </w:r>
                    <w:r>
                      <w:rPr>
                        <w:sz w:val="23"/>
                        <w:u w:val="single" w:color="FFCC00"/>
                      </w:rPr>
                      <w:t>  </w:t>
                    </w:r>
                    <w:r>
                      <w:rPr>
                        <w:spacing w:val="-21"/>
                        <w:sz w:val="23"/>
                        <w:u w:val="single" w:color="FFCC00"/>
                      </w:rPr>
                      <w:t> </w:t>
                    </w:r>
                    <w:r>
                      <w:rPr>
                        <w:sz w:val="23"/>
                      </w:rPr>
                      <w:t> </w:t>
                    </w:r>
                    <w:r>
                      <w:rPr>
                        <w:spacing w:val="27"/>
                        <w:sz w:val="23"/>
                      </w:rPr>
                      <w:t> </w:t>
                    </w:r>
                    <w:r>
                      <w:rPr>
                        <w:sz w:val="23"/>
                      </w:rPr>
                      <w:t>2000 fps (610m/s)</w:t>
                    </w:r>
                    <w:r>
                      <w:rPr>
                        <w:spacing w:val="-55"/>
                        <w:sz w:val="23"/>
                      </w:rPr>
                      <w:t> </w:t>
                    </w:r>
                    <w:r>
                      <w:rPr>
                        <w:sz w:val="23"/>
                      </w:rPr>
                      <w:t>1800</w:t>
                    </w:r>
                    <w:r>
                      <w:rPr>
                        <w:spacing w:val="-9"/>
                        <w:sz w:val="23"/>
                      </w:rPr>
                      <w:t> </w:t>
                    </w:r>
                    <w:r>
                      <w:rPr>
                        <w:sz w:val="23"/>
                      </w:rPr>
                      <w:t>fps</w:t>
                    </w:r>
                    <w:r>
                      <w:rPr>
                        <w:spacing w:val="-6"/>
                        <w:sz w:val="23"/>
                      </w:rPr>
                      <w:t> </w:t>
                    </w:r>
                    <w:r>
                      <w:rPr>
                        <w:sz w:val="23"/>
                      </w:rPr>
                      <w:t>(550m/s)</w:t>
                    </w:r>
                  </w:p>
                  <w:p>
                    <w:pPr>
                      <w:spacing w:line="220" w:lineRule="exact" w:before="0"/>
                      <w:ind w:left="0" w:right="395" w:firstLine="0"/>
                      <w:jc w:val="right"/>
                      <w:rPr>
                        <w:sz w:val="23"/>
                      </w:rPr>
                    </w:pPr>
                    <w:r>
                      <w:rPr>
                        <w:sz w:val="23"/>
                      </w:rPr>
                      <w:t>1600</w:t>
                    </w:r>
                    <w:r>
                      <w:rPr>
                        <w:spacing w:val="1"/>
                        <w:sz w:val="23"/>
                      </w:rPr>
                      <w:t> </w:t>
                    </w:r>
                    <w:r>
                      <w:rPr>
                        <w:sz w:val="23"/>
                      </w:rPr>
                      <w:t>fps</w:t>
                    </w:r>
                    <w:r>
                      <w:rPr>
                        <w:spacing w:val="-2"/>
                        <w:sz w:val="23"/>
                      </w:rPr>
                      <w:t> </w:t>
                    </w:r>
                    <w:r>
                      <w:rPr>
                        <w:sz w:val="23"/>
                      </w:rPr>
                      <w:t>(490m/s)</w:t>
                    </w:r>
                  </w:p>
                  <w:p>
                    <w:pPr>
                      <w:spacing w:line="249" w:lineRule="exact" w:before="0"/>
                      <w:ind w:left="0" w:right="395" w:firstLine="0"/>
                      <w:jc w:val="right"/>
                      <w:rPr>
                        <w:sz w:val="23"/>
                      </w:rPr>
                    </w:pPr>
                    <w:r>
                      <w:rPr>
                        <w:sz w:val="23"/>
                      </w:rPr>
                      <w:t>1400</w:t>
                    </w:r>
                    <w:r>
                      <w:rPr>
                        <w:spacing w:val="-2"/>
                        <w:sz w:val="23"/>
                      </w:rPr>
                      <w:t> </w:t>
                    </w:r>
                    <w:r>
                      <w:rPr>
                        <w:sz w:val="23"/>
                      </w:rPr>
                      <w:t>fps</w:t>
                    </w:r>
                    <w:r>
                      <w:rPr>
                        <w:spacing w:val="1"/>
                        <w:sz w:val="23"/>
                      </w:rPr>
                      <w:t> </w:t>
                    </w:r>
                    <w:r>
                      <w:rPr>
                        <w:sz w:val="23"/>
                      </w:rPr>
                      <w:t>(430m/s)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tabs>
          <w:tab w:pos="601" w:val="left" w:leader="none"/>
          <w:tab w:pos="1148" w:val="left" w:leader="none"/>
          <w:tab w:pos="1699" w:val="left" w:leader="none"/>
          <w:tab w:pos="2245" w:val="left" w:leader="none"/>
          <w:tab w:pos="2797" w:val="left" w:leader="none"/>
          <w:tab w:pos="3343" w:val="left" w:leader="none"/>
          <w:tab w:pos="3894" w:val="left" w:leader="none"/>
          <w:tab w:pos="4441" w:val="left" w:leader="none"/>
          <w:tab w:pos="4992" w:val="left" w:leader="none"/>
          <w:tab w:pos="5463" w:val="left" w:leader="none"/>
          <w:tab w:pos="6014" w:val="left" w:leader="none"/>
          <w:tab w:pos="6561" w:val="left" w:leader="none"/>
        </w:tabs>
        <w:spacing w:before="54"/>
        <w:ind w:left="50" w:right="0" w:firstLine="0"/>
        <w:jc w:val="left"/>
        <w:rPr>
          <w:sz w:val="21"/>
        </w:rPr>
      </w:pPr>
      <w:r>
        <w:rPr>
          <w:sz w:val="21"/>
        </w:rPr>
        <w:t>0</w:t>
        <w:tab/>
        <w:t>1</w:t>
        <w:tab/>
        <w:t>2</w:t>
        <w:tab/>
        <w:t>3</w:t>
        <w:tab/>
        <w:t>4</w:t>
        <w:tab/>
        <w:t>5</w:t>
        <w:tab/>
        <w:t>6</w:t>
        <w:tab/>
        <w:t>7</w:t>
        <w:tab/>
        <w:t>8</w:t>
        <w:tab/>
        <w:t>9</w:t>
        <w:tab/>
        <w:t>10</w:t>
        <w:tab/>
        <w:t>11</w:t>
        <w:tab/>
      </w:r>
      <w:r>
        <w:rPr>
          <w:spacing w:val="-4"/>
          <w:sz w:val="21"/>
        </w:rPr>
        <w:t>12</w:t>
      </w:r>
    </w:p>
    <w:p>
      <w:pPr>
        <w:pStyle w:val="Heading2"/>
        <w:spacing w:before="22"/>
        <w:ind w:left="1746"/>
      </w:pPr>
      <w:r>
        <w:rPr/>
        <w:t>Depth</w:t>
      </w:r>
      <w:r>
        <w:rPr>
          <w:spacing w:val="7"/>
        </w:rPr>
        <w:t> </w:t>
      </w:r>
      <w:r>
        <w:rPr/>
        <w:t>of</w:t>
      </w:r>
      <w:r>
        <w:rPr>
          <w:spacing w:val="6"/>
        </w:rPr>
        <w:t> </w:t>
      </w:r>
      <w:r>
        <w:rPr/>
        <w:t>CLT</w:t>
      </w:r>
      <w:r>
        <w:rPr>
          <w:spacing w:val="6"/>
        </w:rPr>
        <w:t> </w:t>
      </w:r>
      <w:r>
        <w:rPr/>
        <w:t>(inches)</w:t>
      </w:r>
    </w:p>
    <w:p>
      <w:pPr>
        <w:pStyle w:val="BodyText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spacing w:before="149"/>
        <w:ind w:left="26" w:right="0" w:firstLine="0"/>
        <w:jc w:val="left"/>
        <w:rPr>
          <w:sz w:val="21"/>
        </w:rPr>
      </w:pPr>
      <w:r>
        <w:rPr>
          <w:sz w:val="21"/>
        </w:rPr>
        <w:t>840</w:t>
      </w:r>
    </w:p>
    <w:p>
      <w:pPr>
        <w:spacing w:before="39"/>
        <w:ind w:left="26" w:right="0" w:firstLine="0"/>
        <w:jc w:val="left"/>
        <w:rPr>
          <w:sz w:val="21"/>
        </w:rPr>
      </w:pPr>
      <w:r>
        <w:rPr>
          <w:sz w:val="21"/>
        </w:rPr>
        <w:t>780</w:t>
      </w:r>
    </w:p>
    <w:p>
      <w:pPr>
        <w:spacing w:before="44"/>
        <w:ind w:left="26" w:right="0" w:firstLine="0"/>
        <w:jc w:val="left"/>
        <w:rPr>
          <w:sz w:val="21"/>
        </w:rPr>
      </w:pPr>
      <w:r>
        <w:rPr>
          <w:sz w:val="21"/>
        </w:rPr>
        <w:t>720</w:t>
      </w:r>
    </w:p>
    <w:p>
      <w:pPr>
        <w:spacing w:before="39"/>
        <w:ind w:left="26" w:right="0" w:firstLine="0"/>
        <w:jc w:val="left"/>
        <w:rPr>
          <w:sz w:val="21"/>
        </w:rPr>
      </w:pPr>
      <w:r>
        <w:rPr>
          <w:sz w:val="21"/>
        </w:rPr>
        <w:t>660</w:t>
      </w:r>
    </w:p>
    <w:p>
      <w:pPr>
        <w:spacing w:before="43"/>
        <w:ind w:left="26" w:right="0" w:firstLine="0"/>
        <w:jc w:val="left"/>
        <w:rPr>
          <w:sz w:val="21"/>
        </w:rPr>
      </w:pPr>
      <w:r>
        <w:rPr/>
        <w:pict>
          <v:shape style="position:absolute;margin-left:519.974426pt;margin-top:12.518254pt;width:18.850pt;height:66.75pt;mso-position-horizontal-relative:page;mso-position-vertical-relative:paragraph;z-index:15843328" type="#_x0000_t202" filled="false" stroked="false">
            <v:textbox inset="0,0,0,0" style="layout-flow:vertical;mso-layout-flow-alt:bottom-to-top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sz w:val="30"/>
                    </w:rPr>
                  </w:pPr>
                  <w:r>
                    <w:rPr>
                      <w:sz w:val="30"/>
                    </w:rPr>
                    <w:t>V(x)</w:t>
                  </w:r>
                  <w:r>
                    <w:rPr>
                      <w:spacing w:val="12"/>
                      <w:sz w:val="30"/>
                    </w:rPr>
                    <w:t> </w:t>
                  </w:r>
                  <w:r>
                    <w:rPr>
                      <w:sz w:val="30"/>
                    </w:rPr>
                    <w:t>(m/s)</w:t>
                  </w:r>
                </w:p>
              </w:txbxContent>
            </v:textbox>
            <w10:wrap type="none"/>
          </v:shape>
        </w:pict>
      </w:r>
      <w:r>
        <w:rPr>
          <w:sz w:val="21"/>
        </w:rPr>
        <w:t>600</w:t>
      </w:r>
    </w:p>
    <w:p>
      <w:pPr>
        <w:spacing w:before="39"/>
        <w:ind w:left="26" w:right="0" w:firstLine="0"/>
        <w:jc w:val="left"/>
        <w:rPr>
          <w:sz w:val="21"/>
        </w:rPr>
      </w:pPr>
      <w:r>
        <w:rPr>
          <w:sz w:val="21"/>
        </w:rPr>
        <w:t>540</w:t>
      </w:r>
    </w:p>
    <w:p>
      <w:pPr>
        <w:spacing w:before="44"/>
        <w:ind w:left="26" w:right="0" w:firstLine="0"/>
        <w:jc w:val="left"/>
        <w:rPr>
          <w:sz w:val="21"/>
        </w:rPr>
      </w:pPr>
      <w:r>
        <w:rPr>
          <w:sz w:val="21"/>
        </w:rPr>
        <w:t>480</w:t>
      </w:r>
    </w:p>
    <w:p>
      <w:pPr>
        <w:spacing w:before="44"/>
        <w:ind w:left="26" w:right="0" w:firstLine="0"/>
        <w:jc w:val="left"/>
        <w:rPr>
          <w:sz w:val="21"/>
        </w:rPr>
      </w:pPr>
      <w:r>
        <w:rPr>
          <w:sz w:val="21"/>
        </w:rPr>
        <w:t>420</w:t>
      </w:r>
    </w:p>
    <w:p>
      <w:pPr>
        <w:spacing w:before="39"/>
        <w:ind w:left="26" w:right="0" w:firstLine="0"/>
        <w:jc w:val="left"/>
        <w:rPr>
          <w:sz w:val="21"/>
        </w:rPr>
      </w:pPr>
      <w:r>
        <w:rPr>
          <w:sz w:val="21"/>
        </w:rPr>
        <w:t>360</w:t>
      </w:r>
    </w:p>
    <w:p>
      <w:pPr>
        <w:spacing w:before="43"/>
        <w:ind w:left="26" w:right="0" w:firstLine="0"/>
        <w:jc w:val="left"/>
        <w:rPr>
          <w:sz w:val="21"/>
        </w:rPr>
      </w:pPr>
      <w:r>
        <w:rPr>
          <w:sz w:val="21"/>
        </w:rPr>
        <w:t>300</w:t>
      </w:r>
    </w:p>
    <w:p>
      <w:pPr>
        <w:spacing w:before="39"/>
        <w:ind w:left="26" w:right="0" w:firstLine="0"/>
        <w:jc w:val="left"/>
        <w:rPr>
          <w:sz w:val="21"/>
        </w:rPr>
      </w:pPr>
      <w:r>
        <w:rPr>
          <w:sz w:val="21"/>
        </w:rPr>
        <w:t>240</w:t>
      </w:r>
    </w:p>
    <w:p>
      <w:pPr>
        <w:spacing w:before="44"/>
        <w:ind w:left="26" w:right="0" w:firstLine="0"/>
        <w:jc w:val="left"/>
        <w:rPr>
          <w:sz w:val="21"/>
        </w:rPr>
      </w:pPr>
      <w:r>
        <w:rPr>
          <w:sz w:val="21"/>
        </w:rPr>
        <w:t>180</w:t>
      </w:r>
    </w:p>
    <w:p>
      <w:pPr>
        <w:spacing w:before="39"/>
        <w:ind w:left="26" w:right="0" w:firstLine="0"/>
        <w:jc w:val="left"/>
        <w:rPr>
          <w:sz w:val="21"/>
        </w:rPr>
      </w:pPr>
      <w:r>
        <w:rPr>
          <w:sz w:val="21"/>
        </w:rPr>
        <w:t>120</w:t>
      </w:r>
    </w:p>
    <w:p>
      <w:pPr>
        <w:spacing w:before="43"/>
        <w:ind w:left="26" w:right="0" w:firstLine="0"/>
        <w:jc w:val="left"/>
        <w:rPr>
          <w:sz w:val="21"/>
        </w:rPr>
      </w:pPr>
      <w:r>
        <w:rPr>
          <w:sz w:val="21"/>
        </w:rPr>
        <w:t>60</w:t>
      </w:r>
    </w:p>
    <w:p>
      <w:pPr>
        <w:spacing w:before="39"/>
        <w:ind w:left="26" w:right="0" w:firstLine="0"/>
        <w:jc w:val="left"/>
        <w:rPr>
          <w:sz w:val="21"/>
        </w:rPr>
      </w:pPr>
      <w:r>
        <w:rPr>
          <w:w w:val="99"/>
          <w:sz w:val="21"/>
        </w:rPr>
        <w:t>0</w:t>
      </w:r>
    </w:p>
    <w:p>
      <w:pPr>
        <w:spacing w:after="0"/>
        <w:jc w:val="left"/>
        <w:rPr>
          <w:sz w:val="21"/>
        </w:rPr>
        <w:sectPr>
          <w:type w:val="continuous"/>
          <w:pgSz w:w="12240" w:h="15840"/>
          <w:pgMar w:top="1380" w:bottom="280" w:left="1720" w:right="1020"/>
          <w:cols w:num="3" w:equalWidth="0">
            <w:col w:w="1353" w:space="40"/>
            <w:col w:w="6771" w:space="39"/>
            <w:col w:w="1297"/>
          </w:cols>
        </w:sectPr>
      </w:pPr>
    </w:p>
    <w:p>
      <w:pPr>
        <w:pStyle w:val="BodyText"/>
        <w:spacing w:before="11"/>
        <w:rPr>
          <w:sz w:val="12"/>
        </w:rPr>
      </w:pPr>
    </w:p>
    <w:p>
      <w:pPr>
        <w:spacing w:before="90"/>
        <w:ind w:left="18" w:right="0" w:firstLine="0"/>
        <w:jc w:val="center"/>
        <w:rPr>
          <w:i/>
          <w:sz w:val="24"/>
        </w:rPr>
      </w:pPr>
      <w:bookmarkStart w:name="_bookmark90" w:id="328"/>
      <w:bookmarkEnd w:id="328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5-30.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Projectile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velocity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terms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depth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traveled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into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CLT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target.</w:t>
      </w:r>
    </w:p>
    <w:p>
      <w:pPr>
        <w:spacing w:after="0"/>
        <w:jc w:val="center"/>
        <w:rPr>
          <w:sz w:val="24"/>
        </w:rPr>
        <w:sectPr>
          <w:type w:val="continuous"/>
          <w:pgSz w:w="12240" w:h="15840"/>
          <w:pgMar w:top="1380" w:bottom="280" w:left="1720" w:right="1020"/>
        </w:sectPr>
      </w:pPr>
    </w:p>
    <w:p>
      <w:pPr>
        <w:pStyle w:val="BodyText"/>
        <w:spacing w:line="480" w:lineRule="auto" w:before="78"/>
        <w:ind w:left="439" w:right="417" w:firstLine="720"/>
        <w:jc w:val="both"/>
      </w:pPr>
      <w:r>
        <w:rPr/>
        <w:t>The</w:t>
      </w:r>
      <w:r>
        <w:rPr>
          <w:spacing w:val="-6"/>
        </w:rPr>
        <w:t> </w:t>
      </w:r>
      <w:r>
        <w:rPr/>
        <w:t>shape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5"/>
        </w:rPr>
        <w:t> </w:t>
      </w:r>
      <w:r>
        <w:rPr/>
        <w:t>curves</w:t>
      </w:r>
      <w:r>
        <w:rPr>
          <w:spacing w:val="-6"/>
        </w:rPr>
        <w:t> </w:t>
      </w:r>
      <w:r>
        <w:rPr/>
        <w:t>in</w:t>
      </w:r>
      <w:r>
        <w:rPr>
          <w:spacing w:val="-5"/>
        </w:rPr>
        <w:t> </w:t>
      </w:r>
      <w:hyperlink w:history="true" w:anchor="_bookmark90">
        <w:r>
          <w:rPr/>
          <w:t>Figure</w:t>
        </w:r>
        <w:r>
          <w:rPr>
            <w:spacing w:val="-6"/>
          </w:rPr>
          <w:t> </w:t>
        </w:r>
        <w:r>
          <w:rPr/>
          <w:t>5-30</w:t>
        </w:r>
        <w:r>
          <w:rPr>
            <w:spacing w:val="-5"/>
          </w:rPr>
          <w:t> </w:t>
        </w:r>
      </w:hyperlink>
      <w:r>
        <w:rPr/>
        <w:t>is</w:t>
      </w:r>
      <w:r>
        <w:rPr>
          <w:spacing w:val="-6"/>
        </w:rPr>
        <w:t> </w:t>
      </w:r>
      <w:r>
        <w:rPr/>
        <w:t>based</w:t>
      </w:r>
      <w:r>
        <w:rPr>
          <w:spacing w:val="-5"/>
        </w:rPr>
        <w:t> </w:t>
      </w:r>
      <w:r>
        <w:rPr/>
        <w:t>on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force</w:t>
      </w:r>
      <w:r>
        <w:rPr>
          <w:spacing w:val="-6"/>
        </w:rPr>
        <w:t> </w:t>
      </w:r>
      <w:r>
        <w:rPr/>
        <w:t>law</w:t>
      </w:r>
      <w:r>
        <w:rPr>
          <w:spacing w:val="-5"/>
        </w:rPr>
        <w:t> </w:t>
      </w:r>
      <w:r>
        <w:rPr/>
        <w:t>model</w:t>
      </w:r>
      <w:r>
        <w:rPr>
          <w:spacing w:val="-6"/>
        </w:rPr>
        <w:t> </w:t>
      </w:r>
      <w:r>
        <w:rPr/>
        <w:t>parameters,</w:t>
      </w:r>
      <w:r>
        <w:rPr>
          <w:spacing w:val="-57"/>
        </w:rPr>
        <w:t> </w:t>
      </w:r>
      <w:r>
        <w:rPr/>
        <w:t>which were calibrated with both SPF-S and SYP data. Since the force law model was also</w:t>
      </w:r>
      <w:r>
        <w:rPr>
          <w:spacing w:val="-57"/>
        </w:rPr>
        <w:t> </w:t>
      </w:r>
      <w:r>
        <w:rPr/>
        <w:t>calibrated</w:t>
      </w:r>
      <w:r>
        <w:rPr>
          <w:spacing w:val="-4"/>
        </w:rPr>
        <w:t> </w:t>
      </w:r>
      <w:r>
        <w:rPr/>
        <w:t>for</w:t>
      </w:r>
      <w:r>
        <w:rPr>
          <w:spacing w:val="-2"/>
        </w:rPr>
        <w:t> </w:t>
      </w:r>
      <w:r>
        <w:rPr/>
        <w:t>each</w:t>
      </w:r>
      <w:r>
        <w:rPr>
          <w:spacing w:val="-3"/>
        </w:rPr>
        <w:t> </w:t>
      </w:r>
      <w:r>
        <w:rPr/>
        <w:t>individual</w:t>
      </w:r>
      <w:r>
        <w:rPr>
          <w:spacing w:val="-2"/>
        </w:rPr>
        <w:t> </w:t>
      </w:r>
      <w:r>
        <w:rPr/>
        <w:t>species,</w:t>
      </w:r>
      <w:r>
        <w:rPr>
          <w:spacing w:val="-4"/>
        </w:rPr>
        <w:t> </w:t>
      </w:r>
      <w:r>
        <w:rPr/>
        <w:t>the</w:t>
      </w:r>
      <w:r>
        <w:rPr>
          <w:spacing w:val="-2"/>
        </w:rPr>
        <w:t> </w:t>
      </w:r>
      <w:r>
        <w:rPr/>
        <w:t>same</w:t>
      </w:r>
      <w:r>
        <w:rPr>
          <w:spacing w:val="-2"/>
        </w:rPr>
        <w:t> </w:t>
      </w:r>
      <w:r>
        <w:rPr/>
        <w:t>plot</w:t>
      </w:r>
      <w:r>
        <w:rPr>
          <w:spacing w:val="-2"/>
        </w:rPr>
        <w:t> </w:t>
      </w:r>
      <w:r>
        <w:rPr/>
        <w:t>can</w:t>
      </w:r>
      <w:r>
        <w:rPr>
          <w:spacing w:val="-3"/>
        </w:rPr>
        <w:t> </w:t>
      </w:r>
      <w:r>
        <w:rPr/>
        <w:t>be</w:t>
      </w:r>
      <w:r>
        <w:rPr>
          <w:spacing w:val="-1"/>
        </w:rPr>
        <w:t> </w:t>
      </w:r>
      <w:r>
        <w:rPr/>
        <w:t>made</w:t>
      </w:r>
      <w:r>
        <w:rPr>
          <w:spacing w:val="-2"/>
        </w:rPr>
        <w:t> </w:t>
      </w:r>
      <w:r>
        <w:rPr/>
        <w:t>for</w:t>
      </w:r>
      <w:r>
        <w:rPr>
          <w:spacing w:val="-1"/>
        </w:rPr>
        <w:t> </w:t>
      </w:r>
      <w:r>
        <w:rPr/>
        <w:t>made</w:t>
      </w:r>
      <w:r>
        <w:rPr>
          <w:spacing w:val="-1"/>
        </w:rPr>
        <w:t> </w:t>
      </w:r>
      <w:r>
        <w:rPr/>
        <w:t>for</w:t>
      </w:r>
      <w:r>
        <w:rPr>
          <w:spacing w:val="-2"/>
        </w:rPr>
        <w:t> </w:t>
      </w:r>
      <w:r>
        <w:rPr/>
        <w:t>both</w:t>
      </w:r>
      <w:r>
        <w:rPr>
          <w:spacing w:val="-3"/>
        </w:rPr>
        <w:t> </w:t>
      </w:r>
      <w:r>
        <w:rPr/>
        <w:t>SPF-S</w:t>
      </w:r>
      <w:r>
        <w:rPr>
          <w:spacing w:val="-58"/>
        </w:rPr>
        <w:t> </w:t>
      </w:r>
      <w:r>
        <w:rPr/>
        <w:t>and SYP.</w:t>
      </w:r>
      <w:r>
        <w:rPr>
          <w:spacing w:val="1"/>
        </w:rPr>
        <w:t> </w:t>
      </w:r>
      <w:r>
        <w:rPr/>
        <w:t>The residual data can then be added to these plots with two points for each test</w:t>
      </w:r>
      <w:r>
        <w:rPr>
          <w:spacing w:val="1"/>
        </w:rPr>
        <w:t> </w:t>
      </w:r>
      <w:r>
        <w:rPr/>
        <w:t>shot: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striking</w:t>
      </w:r>
      <w:r>
        <w:rPr>
          <w:spacing w:val="-2"/>
        </w:rPr>
        <w:t> </w:t>
      </w:r>
      <w:r>
        <w:rPr/>
        <w:t>velocity</w:t>
      </w:r>
      <w:r>
        <w:rPr>
          <w:spacing w:val="-3"/>
        </w:rPr>
        <w:t> </w:t>
      </w:r>
      <w:r>
        <w:rPr/>
        <w:t>at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depth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zero</w:t>
      </w:r>
      <w:r>
        <w:rPr>
          <w:spacing w:val="-3"/>
        </w:rPr>
        <w:t> </w:t>
      </w:r>
      <w:r>
        <w:rPr/>
        <w:t>and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residual</w:t>
      </w:r>
      <w:r>
        <w:rPr>
          <w:spacing w:val="-1"/>
        </w:rPr>
        <w:t> </w:t>
      </w:r>
      <w:r>
        <w:rPr/>
        <w:t>velocity</w:t>
      </w:r>
      <w:r>
        <w:rPr>
          <w:spacing w:val="-3"/>
        </w:rPr>
        <w:t> </w:t>
      </w:r>
      <w:r>
        <w:rPr/>
        <w:t>that</w:t>
      </w:r>
      <w:r>
        <w:rPr>
          <w:spacing w:val="-2"/>
        </w:rPr>
        <w:t> </w:t>
      </w:r>
      <w:r>
        <w:rPr/>
        <w:t>was</w:t>
      </w:r>
      <w:r>
        <w:rPr>
          <w:spacing w:val="-1"/>
        </w:rPr>
        <w:t> </w:t>
      </w:r>
      <w:r>
        <w:rPr/>
        <w:t>measured</w:t>
      </w:r>
      <w:r>
        <w:rPr>
          <w:spacing w:val="-2"/>
        </w:rPr>
        <w:t> </w:t>
      </w:r>
      <w:r>
        <w:rPr/>
        <w:t>at</w:t>
      </w:r>
      <w:r>
        <w:rPr>
          <w:spacing w:val="-58"/>
        </w:rPr>
        <w:t> </w:t>
      </w:r>
      <w:r>
        <w:rPr/>
        <w:t>a depth equal to the thickness of the specimen.</w:t>
      </w:r>
      <w:r>
        <w:rPr>
          <w:spacing w:val="1"/>
        </w:rPr>
        <w:t> </w:t>
      </w:r>
      <w:hyperlink w:history="true" w:anchor="_bookmark91">
        <w:r>
          <w:rPr/>
          <w:t>Figure 5-31 </w:t>
        </w:r>
      </w:hyperlink>
      <w:r>
        <w:rPr/>
        <w:t>shows the expected velocity</w:t>
      </w:r>
      <w:r>
        <w:rPr>
          <w:spacing w:val="1"/>
        </w:rPr>
        <w:t> </w:t>
      </w:r>
      <w:r>
        <w:rPr/>
        <w:t>curves with several residual data points plotted for SPF-S. The x-axis is adjusted to better</w:t>
      </w:r>
      <w:r>
        <w:rPr>
          <w:spacing w:val="-57"/>
        </w:rPr>
        <w:t> </w:t>
      </w:r>
      <w:r>
        <w:rPr/>
        <w:t>show</w:t>
      </w:r>
      <w:r>
        <w:rPr>
          <w:spacing w:val="-2"/>
        </w:rPr>
        <w:t> </w:t>
      </w:r>
      <w:r>
        <w:rPr/>
        <w:t>the data at zero or</w:t>
      </w:r>
      <w:r>
        <w:rPr>
          <w:spacing w:val="-1"/>
        </w:rPr>
        <w:t> </w:t>
      </w:r>
      <w:r>
        <w:rPr/>
        <w:t>the target</w:t>
      </w:r>
      <w:r>
        <w:rPr>
          <w:spacing w:val="-1"/>
        </w:rPr>
        <w:t> </w:t>
      </w:r>
      <w:r>
        <w:rPr/>
        <w:t>striking face.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spacing w:after="0"/>
        <w:rPr>
          <w:sz w:val="16"/>
        </w:rPr>
        <w:sectPr>
          <w:pgSz w:w="12240" w:h="15840"/>
          <w:pgMar w:header="0" w:footer="1064" w:top="1360" w:bottom="1260" w:left="1720" w:right="1020"/>
        </w:sectPr>
      </w:pPr>
    </w:p>
    <w:p>
      <w:pPr>
        <w:pStyle w:val="Heading7"/>
        <w:spacing w:before="96"/>
        <w:ind w:left="3821"/>
      </w:pPr>
      <w:r>
        <w:rPr>
          <w:w w:val="105"/>
        </w:rPr>
        <w:t>Depth</w:t>
      </w:r>
      <w:r>
        <w:rPr>
          <w:spacing w:val="-12"/>
          <w:w w:val="105"/>
        </w:rPr>
        <w:t> </w:t>
      </w:r>
      <w:r>
        <w:rPr>
          <w:w w:val="105"/>
        </w:rPr>
        <w:t>of</w:t>
      </w:r>
      <w:r>
        <w:rPr>
          <w:spacing w:val="-13"/>
          <w:w w:val="105"/>
        </w:rPr>
        <w:t> </w:t>
      </w:r>
      <w:r>
        <w:rPr>
          <w:w w:val="105"/>
        </w:rPr>
        <w:t>CLT</w:t>
      </w:r>
      <w:r>
        <w:rPr>
          <w:spacing w:val="-12"/>
          <w:w w:val="105"/>
        </w:rPr>
        <w:t> </w:t>
      </w:r>
      <w:r>
        <w:rPr>
          <w:w w:val="105"/>
        </w:rPr>
        <w:t>(cm)</w:t>
      </w:r>
    </w:p>
    <w:p>
      <w:pPr>
        <w:tabs>
          <w:tab w:pos="2011" w:val="left" w:leader="none"/>
          <w:tab w:pos="2412" w:val="left" w:leader="none"/>
          <w:tab w:pos="3027" w:val="left" w:leader="none"/>
          <w:tab w:pos="3428" w:val="left" w:leader="none"/>
          <w:tab w:pos="3967" w:val="left" w:leader="none"/>
          <w:tab w:pos="4369" w:val="left" w:leader="none"/>
          <w:tab w:pos="4983" w:val="left" w:leader="none"/>
          <w:tab w:pos="5384" w:val="left" w:leader="none"/>
          <w:tab w:pos="5999" w:val="left" w:leader="none"/>
          <w:tab w:pos="6400" w:val="left" w:leader="none"/>
          <w:tab w:pos="7010" w:val="left" w:leader="none"/>
          <w:tab w:pos="7412" w:val="left" w:leader="none"/>
          <w:tab w:pos="8026" w:val="left" w:leader="none"/>
        </w:tabs>
        <w:spacing w:before="69"/>
        <w:ind w:left="1351" w:right="0" w:firstLine="0"/>
        <w:jc w:val="left"/>
        <w:rPr>
          <w:sz w:val="18"/>
        </w:rPr>
      </w:pPr>
      <w:r>
        <w:rPr>
          <w:sz w:val="18"/>
        </w:rPr>
        <w:t>-2.5</w:t>
        <w:tab/>
        <w:t>0</w:t>
        <w:tab/>
        <w:t>2.5</w:t>
        <w:tab/>
        <w:t>5</w:t>
        <w:tab/>
        <w:t>7.5</w:t>
        <w:tab/>
        <w:t>10</w:t>
        <w:tab/>
        <w:t>12.5</w:t>
        <w:tab/>
        <w:t>15</w:t>
        <w:tab/>
        <w:t>17.5</w:t>
        <w:tab/>
        <w:t>20</w:t>
        <w:tab/>
        <w:t>22.5</w:t>
        <w:tab/>
        <w:t>25</w:t>
        <w:tab/>
        <w:t>27.5</w:t>
        <w:tab/>
        <w:t>30</w:t>
      </w:r>
    </w:p>
    <w:p>
      <w:pPr>
        <w:spacing w:before="6"/>
        <w:ind w:left="0" w:right="6865" w:firstLine="0"/>
        <w:jc w:val="right"/>
        <w:rPr>
          <w:sz w:val="18"/>
        </w:rPr>
      </w:pPr>
      <w:r>
        <w:rPr/>
        <w:pict>
          <v:group style="position:absolute;margin-left:161.300751pt;margin-top:4.313196pt;width:336.1pt;height:196.3pt;mso-position-horizontal-relative:page;mso-position-vertical-relative:paragraph;z-index:15843840" coordorigin="3226,86" coordsize="6722,3926">
            <v:rect style="position:absolute;left:3238;top:98;width:6697;height:3901" filled="false" stroked="true" strokeweight="1.254065pt" strokecolor="#000000">
              <v:stroke dashstyle="solid"/>
            </v:rect>
            <v:line style="position:absolute" from="3753,3999" to="3753,3882" stroked="true" strokeweight="1.044993pt" strokecolor="#000000">
              <v:stroke dashstyle="solid"/>
            </v:line>
            <v:line style="position:absolute" from="4271,3999" to="4271,3882" stroked="true" strokeweight="1.044993pt" strokecolor="#000000">
              <v:stroke dashstyle="solid"/>
            </v:line>
            <v:line style="position:absolute" from="4785,3999" to="4785,3882" stroked="true" strokeweight="1.044993pt" strokecolor="#000000">
              <v:stroke dashstyle="solid"/>
            </v:line>
            <v:line style="position:absolute" from="5299,3999" to="5299,3882" stroked="true" strokeweight="1.044993pt" strokecolor="#000000">
              <v:stroke dashstyle="solid"/>
            </v:line>
            <v:line style="position:absolute" from="5813,3999" to="5813,3882" stroked="true" strokeweight="1.044993pt" strokecolor="#000000">
              <v:stroke dashstyle="solid"/>
            </v:line>
            <v:line style="position:absolute" from="6332,3999" to="6332,3882" stroked="true" strokeweight="1.044993pt" strokecolor="#000000">
              <v:stroke dashstyle="solid"/>
            </v:line>
            <v:line style="position:absolute" from="6846,3999" to="6846,3882" stroked="true" strokeweight="1.044993pt" strokecolor="#000000">
              <v:stroke dashstyle="solid"/>
            </v:line>
            <v:line style="position:absolute" from="7360,3999" to="7360,3882" stroked="true" strokeweight="1.044993pt" strokecolor="#000000">
              <v:stroke dashstyle="solid"/>
            </v:line>
            <v:line style="position:absolute" from="7874,3999" to="7874,3882" stroked="true" strokeweight="1.044993pt" strokecolor="#000000">
              <v:stroke dashstyle="solid"/>
            </v:line>
            <v:line style="position:absolute" from="8392,3999" to="8392,3882" stroked="true" strokeweight="1.044993pt" strokecolor="#000000">
              <v:stroke dashstyle="solid"/>
            </v:line>
            <v:line style="position:absolute" from="8907,3999" to="8907,3882" stroked="true" strokeweight="1.044993pt" strokecolor="#000000">
              <v:stroke dashstyle="solid"/>
            </v:line>
            <v:line style="position:absolute" from="9421,3999" to="9421,3882" stroked="true" strokeweight="1.044993pt" strokecolor="#000000">
              <v:stroke dashstyle="solid"/>
            </v:line>
            <v:line style="position:absolute" from="3247,99" to="3247,220" stroked="true" strokeweight="1.044993pt" strokecolor="#000000">
              <v:stroke dashstyle="solid"/>
            </v:line>
            <v:line style="position:absolute" from="3753,99" to="3753,220" stroked="true" strokeweight="1.044993pt" strokecolor="#000000">
              <v:stroke dashstyle="solid"/>
            </v:line>
            <v:line style="position:absolute" from="4263,99" to="4263,220" stroked="true" strokeweight="1.044993pt" strokecolor="#000000">
              <v:stroke dashstyle="solid"/>
            </v:line>
            <v:line style="position:absolute" from="4768,99" to="4768,220" stroked="true" strokeweight="1.044993pt" strokecolor="#000000">
              <v:stroke dashstyle="solid"/>
            </v:line>
            <v:line style="position:absolute" from="5274,99" to="5274,220" stroked="true" strokeweight="1.044993pt" strokecolor="#000000">
              <v:stroke dashstyle="solid"/>
            </v:line>
            <v:line style="position:absolute" from="5784,99" to="5784,220" stroked="true" strokeweight="1.044993pt" strokecolor="#000000">
              <v:stroke dashstyle="solid"/>
            </v:line>
            <v:line style="position:absolute" from="6290,99" to="6290,220" stroked="true" strokeweight="1.044993pt" strokecolor="#000000">
              <v:stroke dashstyle="solid"/>
            </v:line>
            <v:line style="position:absolute" from="6796,99" to="6796,220" stroked="true" strokeweight="1.044993pt" strokecolor="#000000">
              <v:stroke dashstyle="solid"/>
            </v:line>
            <v:line style="position:absolute" from="7302,99" to="7302,220" stroked="true" strokeweight="1.044993pt" strokecolor="#000000">
              <v:stroke dashstyle="solid"/>
            </v:line>
            <v:line style="position:absolute" from="7811,99" to="7811,220" stroked="true" strokeweight="1.044993pt" strokecolor="#000000">
              <v:stroke dashstyle="solid"/>
            </v:line>
            <v:line style="position:absolute" from="8317,99" to="8317,220" stroked="true" strokeweight="1.044993pt" strokecolor="#000000">
              <v:stroke dashstyle="solid"/>
            </v:line>
            <v:line style="position:absolute" from="8823,99" to="8823,220" stroked="true" strokeweight="1.044993pt" strokecolor="#000000">
              <v:stroke dashstyle="solid"/>
            </v:line>
            <v:line style="position:absolute" from="9333,99" to="9333,220" stroked="true" strokeweight="1.044993pt" strokecolor="#000000">
              <v:stroke dashstyle="solid"/>
            </v:line>
            <v:line style="position:absolute" from="9839,99" to="9839,220" stroked="true" strokeweight="1.044993pt" strokecolor="#000000">
              <v:stroke dashstyle="solid"/>
            </v:line>
            <v:line style="position:absolute" from="3239,3723" to="3393,3723" stroked="true" strokeweight="1.045075pt" strokecolor="#000000">
              <v:stroke dashstyle="solid"/>
            </v:line>
            <v:line style="position:absolute" from="3239,3443" to="3393,3443" stroked="true" strokeweight="1.045075pt" strokecolor="#000000">
              <v:stroke dashstyle="solid"/>
            </v:line>
            <v:line style="position:absolute" from="3239,3163" to="3393,3163" stroked="true" strokeweight="1.045075pt" strokecolor="#000000">
              <v:stroke dashstyle="solid"/>
            </v:line>
            <v:line style="position:absolute" from="3239,2887" to="3393,2887" stroked="true" strokeweight="1.045075pt" strokecolor="#000000">
              <v:stroke dashstyle="solid"/>
            </v:line>
            <v:line style="position:absolute" from="3239,2607" to="3393,2607" stroked="true" strokeweight="1.045075pt" strokecolor="#000000">
              <v:stroke dashstyle="solid"/>
            </v:line>
            <v:line style="position:absolute" from="3239,2327" to="3393,2327" stroked="true" strokeweight="1.045075pt" strokecolor="#000000">
              <v:stroke dashstyle="solid"/>
            </v:line>
            <v:line style="position:absolute" from="3239,2051" to="3393,2051" stroked="true" strokeweight="1.045075pt" strokecolor="#000000">
              <v:stroke dashstyle="solid"/>
            </v:line>
            <v:line style="position:absolute" from="3239,1771" to="3393,1771" stroked="true" strokeweight="1.045075pt" strokecolor="#000000">
              <v:stroke dashstyle="solid"/>
            </v:line>
            <v:line style="position:absolute" from="3239,1495" to="3393,1495" stroked="true" strokeweight="1.045075pt" strokecolor="#000000">
              <v:stroke dashstyle="solid"/>
            </v:line>
            <v:line style="position:absolute" from="3239,1215" to="3393,1215" stroked="true" strokeweight="1.045075pt" strokecolor="#000000">
              <v:stroke dashstyle="solid"/>
            </v:line>
            <v:line style="position:absolute" from="3239,935" to="3393,935" stroked="true" strokeweight="1.045075pt" strokecolor="#000000">
              <v:stroke dashstyle="solid"/>
            </v:line>
            <v:line style="position:absolute" from="3239,659" to="3393,659" stroked="true" strokeweight="1.045075pt" strokecolor="#000000">
              <v:stroke dashstyle="solid"/>
            </v:line>
            <v:line style="position:absolute" from="3239,379" to="3393,379" stroked="true" strokeweight="1.045075pt" strokecolor="#000000">
              <v:stroke dashstyle="solid"/>
            </v:line>
            <v:line style="position:absolute" from="9935,3999" to="9784,3999" stroked="true" strokeweight="1.045075pt" strokecolor="#000000">
              <v:stroke dashstyle="solid"/>
            </v:line>
            <v:line style="position:absolute" from="9935,3727" to="9784,3727" stroked="true" strokeweight="1.045075pt" strokecolor="#000000">
              <v:stroke dashstyle="solid"/>
            </v:line>
            <v:line style="position:absolute" from="9935,3451" to="9784,3451" stroked="true" strokeweight="1.045075pt" strokecolor="#000000">
              <v:stroke dashstyle="solid"/>
            </v:line>
            <v:line style="position:absolute" from="9935,3180" to="9784,3180" stroked="true" strokeweight="1.045075pt" strokecolor="#000000">
              <v:stroke dashstyle="solid"/>
            </v:line>
            <v:line style="position:absolute" from="9935,2904" to="9784,2904" stroked="true" strokeweight="1.045075pt" strokecolor="#000000">
              <v:stroke dashstyle="solid"/>
            </v:line>
            <v:line style="position:absolute" from="9935,2628" to="9784,2628" stroked="true" strokeweight="1.045075pt" strokecolor="#000000">
              <v:stroke dashstyle="solid"/>
            </v:line>
            <v:line style="position:absolute" from="9935,162" to="9784,162" stroked="true" strokeweight="1.045075pt" strokecolor="#000000">
              <v:stroke dashstyle="solid"/>
            </v:line>
            <v:line style="position:absolute" from="3774,111" to="3807,132" stroked="true" strokeweight=".627031pt" strokecolor="#000000">
              <v:stroke dashstyle="solid"/>
            </v:line>
            <v:line style="position:absolute" from="3807,132" to="3857,162" stroked="true" strokeweight=".627033pt" strokecolor="#000000">
              <v:stroke dashstyle="solid"/>
            </v:line>
            <v:line style="position:absolute" from="3857,162" to="3907,195" stroked="true" strokeweight=".62703pt" strokecolor="#000000">
              <v:stroke dashstyle="solid"/>
            </v:line>
            <v:line style="position:absolute" from="3907,195" to="3962,224" stroked="true" strokeweight=".627034pt" strokecolor="#000000">
              <v:stroke dashstyle="solid"/>
            </v:line>
            <v:line style="position:absolute" from="3962,224" to="4012,258" stroked="true" strokeweight=".62703pt" strokecolor="#000000">
              <v:stroke dashstyle="solid"/>
            </v:line>
            <v:line style="position:absolute" from="4012,258" to="4062,287" stroked="true" strokeweight=".627033pt" strokecolor="#000000">
              <v:stroke dashstyle="solid"/>
            </v:line>
            <v:line style="position:absolute" from="4062,287" to="4116,320" stroked="true" strokeweight=".627031pt" strokecolor="#000000">
              <v:stroke dashstyle="solid"/>
            </v:line>
            <v:line style="position:absolute" from="4116,320" to="4167,350" stroked="true" strokeweight=".627033pt" strokecolor="#000000">
              <v:stroke dashstyle="solid"/>
            </v:line>
            <v:line style="position:absolute" from="4167,350" to="4217,379" stroked="true" strokeweight=".627033pt" strokecolor="#000000">
              <v:stroke dashstyle="solid"/>
            </v:line>
            <v:line style="position:absolute" from="4217,379" to="4221,383" stroked="true" strokeweight=".62702pt" strokecolor="#000000">
              <v:stroke dashstyle="solid"/>
            </v:line>
            <v:shape style="position:absolute;left:4371;top:470;width:55;height:34" coordorigin="4371,471" coordsize="55,34" path="m4371,471l4371,471m4371,471l4426,504e" filled="false" stroked="true" strokeweight=".62702pt" strokecolor="#000000">
              <v:path arrowok="t"/>
              <v:stroke dashstyle="solid"/>
            </v:shape>
            <v:line style="position:absolute" from="4426,504" to="4476,534" stroked="true" strokeweight=".627033pt" strokecolor="#000000">
              <v:stroke dashstyle="solid"/>
            </v:line>
            <v:line style="position:absolute" from="4476,534" to="4526,563" stroked="true" strokeweight=".627033pt" strokecolor="#000000">
              <v:stroke dashstyle="solid"/>
            </v:line>
            <v:line style="position:absolute" from="4526,563" to="4576,596" stroked="true" strokeweight=".62703pt" strokecolor="#000000">
              <v:stroke dashstyle="solid"/>
            </v:line>
            <v:line style="position:absolute" from="4576,596" to="4631,626" stroked="true" strokeweight=".627034pt" strokecolor="#000000">
              <v:stroke dashstyle="solid"/>
            </v:line>
            <v:line style="position:absolute" from="4631,626" to="4681,655" stroked="true" strokeweight=".627033pt" strokecolor="#000000">
              <v:stroke dashstyle="solid"/>
            </v:line>
            <v:line style="position:absolute" from="4681,655" to="4731,684" stroked="true" strokeweight=".627033pt" strokecolor="#000000">
              <v:stroke dashstyle="solid"/>
            </v:line>
            <v:line style="position:absolute" from="4731,684" to="4785,713" stroked="true" strokeweight=".627034pt" strokecolor="#000000">
              <v:stroke dashstyle="solid"/>
            </v:line>
            <v:line style="position:absolute" from="4785,713" to="4819,734" stroked="true" strokeweight=".627031pt" strokecolor="#000000">
              <v:stroke dashstyle="solid"/>
            </v:line>
            <v:line style="position:absolute" from="4969,822" to="4990,835" stroked="true" strokeweight=".627032pt" strokecolor="#000000">
              <v:stroke dashstyle="solid"/>
            </v:line>
            <v:line style="position:absolute" from="4990,835" to="5040,864" stroked="true" strokeweight=".627033pt" strokecolor="#000000">
              <v:stroke dashstyle="solid"/>
            </v:line>
            <v:line style="position:absolute" from="5040,864" to="5095,893" stroked="true" strokeweight=".627034pt" strokecolor="#000000">
              <v:stroke dashstyle="solid"/>
            </v:line>
            <v:line style="position:absolute" from="5095,893" to="5145,922" stroked="true" strokeweight=".627033pt" strokecolor="#000000">
              <v:stroke dashstyle="solid"/>
            </v:line>
            <v:line style="position:absolute" from="5145,922" to="5195,952" stroked="true" strokeweight=".627033pt" strokecolor="#000000">
              <v:stroke dashstyle="solid"/>
            </v:line>
            <v:line style="position:absolute" from="5195,952" to="5249,981" stroked="true" strokeweight=".627034pt" strokecolor="#000000">
              <v:stroke dashstyle="solid"/>
            </v:line>
            <v:line style="position:absolute" from="5249,981" to="5299,1010" stroked="true" strokeweight=".627033pt" strokecolor="#000000">
              <v:stroke dashstyle="solid"/>
            </v:line>
            <v:line style="position:absolute" from="5299,1010" to="5350,1039" stroked="true" strokeweight=".627033pt" strokecolor="#000000">
              <v:stroke dashstyle="solid"/>
            </v:line>
            <v:line style="position:absolute" from="5350,1039" to="5404,1069" stroked="true" strokeweight=".627034pt" strokecolor="#000000">
              <v:stroke dashstyle="solid"/>
            </v:line>
            <v:line style="position:absolute" from="5404,1069" to="5416,1077" stroked="true" strokeweight=".62703pt" strokecolor="#000000">
              <v:stroke dashstyle="solid"/>
            </v:line>
            <v:line style="position:absolute" from="5567,1161" to="5609,1181" stroked="true" strokeweight=".627035pt" strokecolor="#000000">
              <v:stroke dashstyle="solid"/>
            </v:line>
            <v:line style="position:absolute" from="5609,1181" to="5659,1211" stroked="true" strokeweight=".627033pt" strokecolor="#000000">
              <v:stroke dashstyle="solid"/>
            </v:line>
            <v:line style="position:absolute" from="5659,1211" to="5713,1240" stroked="true" strokeweight=".627034pt" strokecolor="#000000">
              <v:stroke dashstyle="solid"/>
            </v:line>
            <v:line style="position:absolute" from="5713,1240" to="5763,1269" stroked="true" strokeweight=".627033pt" strokecolor="#000000">
              <v:stroke dashstyle="solid"/>
            </v:line>
            <v:line style="position:absolute" from="5763,1269" to="5813,1299" stroked="true" strokeweight=".627033pt" strokecolor="#000000">
              <v:stroke dashstyle="solid"/>
            </v:line>
            <v:line style="position:absolute" from="5813,1299" to="5868,1324" stroked="true" strokeweight=".627036pt" strokecolor="#000000">
              <v:stroke dashstyle="solid"/>
            </v:line>
            <v:line style="position:absolute" from="5868,1324" to="5918,1353" stroked="true" strokeweight=".627033pt" strokecolor="#000000">
              <v:stroke dashstyle="solid"/>
            </v:line>
            <v:line style="position:absolute" from="5918,1353" to="5968,1382" stroked="true" strokeweight=".627033pt" strokecolor="#000000">
              <v:stroke dashstyle="solid"/>
            </v:line>
            <v:line style="position:absolute" from="5968,1382" to="6014,1407" stroked="true" strokeweight=".627034pt" strokecolor="#000000">
              <v:stroke dashstyle="solid"/>
            </v:line>
            <v:line style="position:absolute" from="6160,1487" to="6177,1495" stroked="true" strokeweight=".627035pt" strokecolor="#000000">
              <v:stroke dashstyle="solid"/>
            </v:line>
            <v:line style="position:absolute" from="6177,1495" to="6227,1520" stroked="true" strokeweight=".627035pt" strokecolor="#000000">
              <v:stroke dashstyle="solid"/>
            </v:line>
            <v:line style="position:absolute" from="6227,1520" to="6277,1549" stroked="true" strokeweight=".627033pt" strokecolor="#000000">
              <v:stroke dashstyle="solid"/>
            </v:line>
            <v:line style="position:absolute" from="6277,1549" to="6332,1579" stroked="true" strokeweight=".627034pt" strokecolor="#000000">
              <v:stroke dashstyle="solid"/>
            </v:line>
            <v:line style="position:absolute" from="6332,1579" to="6382,1604" stroked="true" strokeweight=".627035pt" strokecolor="#000000">
              <v:stroke dashstyle="solid"/>
            </v:line>
            <v:line style="position:absolute" from="6382,1604" to="6432,1633" stroked="true" strokeweight=".627033pt" strokecolor="#000000">
              <v:stroke dashstyle="solid"/>
            </v:line>
            <v:line style="position:absolute" from="6432,1633" to="6486,1658" stroked="true" strokeweight=".627036pt" strokecolor="#000000">
              <v:stroke dashstyle="solid"/>
            </v:line>
            <v:line style="position:absolute" from="6486,1658" to="6537,1687" stroked="true" strokeweight=".627033pt" strokecolor="#000000">
              <v:stroke dashstyle="solid"/>
            </v:line>
            <v:line style="position:absolute" from="6537,1687" to="6587,1712" stroked="true" strokeweight=".627035pt" strokecolor="#000000">
              <v:stroke dashstyle="solid"/>
            </v:line>
            <v:line style="position:absolute" from="6587,1712" to="6608,1725" stroked="true" strokeweight=".627032pt" strokecolor="#000000">
              <v:stroke dashstyle="solid"/>
            </v:line>
            <v:line style="position:absolute" from="6758,1804" to="6792,1821" stroked="true" strokeweight=".627035pt" strokecolor="#000000">
              <v:stroke dashstyle="solid"/>
            </v:line>
            <v:line style="position:absolute" from="6792,1821" to="6846,1850" stroked="true" strokeweight=".627034pt" strokecolor="#000000">
              <v:stroke dashstyle="solid"/>
            </v:line>
            <v:line style="position:absolute" from="6846,1850" to="6896,1875" stroked="true" strokeweight=".627035pt" strokecolor="#000000">
              <v:stroke dashstyle="solid"/>
            </v:line>
            <v:line style="position:absolute" from="6896,1875" to="6946,1905" stroked="true" strokeweight=".627033pt" strokecolor="#000000">
              <v:stroke dashstyle="solid"/>
            </v:line>
            <v:line style="position:absolute" from="6946,1905" to="7001,1930" stroked="true" strokeweight=".627036pt" strokecolor="#000000">
              <v:stroke dashstyle="solid"/>
            </v:line>
            <v:line style="position:absolute" from="7001,1930" to="7051,1955" stroked="true" strokeweight=".627035pt" strokecolor="#000000">
              <v:stroke dashstyle="solid"/>
            </v:line>
            <v:line style="position:absolute" from="7051,1955" to="7105,1984" stroked="true" strokeweight=".627034pt" strokecolor="#000000">
              <v:stroke dashstyle="solid"/>
            </v:line>
            <v:line style="position:absolute" from="7105,1984" to="7155,2009" stroked="true" strokeweight=".627035pt" strokecolor="#000000">
              <v:stroke dashstyle="solid"/>
            </v:line>
            <v:line style="position:absolute" from="7155,2009" to="7205,2034" stroked="true" strokeweight=".627035pt" strokecolor="#000000">
              <v:stroke dashstyle="solid"/>
            </v:line>
            <v:line style="position:absolute" from="7205,2034" to="7205,2034" stroked="true" strokeweight=".627045pt" strokecolor="#000000">
              <v:stroke dashstyle="solid"/>
            </v:line>
            <v:line style="position:absolute" from="7356,2110" to="7360,2114" stroked="true" strokeweight=".62702pt" strokecolor="#000000">
              <v:stroke dashstyle="solid"/>
            </v:line>
            <v:line style="position:absolute" from="7360,2114" to="7410,2139" stroked="true" strokeweight=".627035pt" strokecolor="#000000">
              <v:stroke dashstyle="solid"/>
            </v:line>
            <v:line style="position:absolute" from="7410,2139" to="7465,2164" stroked="true" strokeweight=".627036pt" strokecolor="#000000">
              <v:stroke dashstyle="solid"/>
            </v:line>
            <v:line style="position:absolute" from="7465,2164" to="7515,2193" stroked="true" strokeweight=".627033pt" strokecolor="#000000">
              <v:stroke dashstyle="solid"/>
            </v:line>
            <v:line style="position:absolute" from="7515,2193" to="7565,2218" stroked="true" strokeweight=".627035pt" strokecolor="#000000">
              <v:stroke dashstyle="solid"/>
            </v:line>
            <v:line style="position:absolute" from="7565,2218" to="7619,2243" stroked="true" strokeweight=".627036pt" strokecolor="#000000">
              <v:stroke dashstyle="solid"/>
            </v:line>
            <v:line style="position:absolute" from="7619,2243" to="7669,2268" stroked="true" strokeweight=".627035pt" strokecolor="#000000">
              <v:stroke dashstyle="solid"/>
            </v:line>
            <v:line style="position:absolute" from="7669,2268" to="7720,2293" stroked="true" strokeweight=".627035pt" strokecolor="#000000">
              <v:stroke dashstyle="solid"/>
            </v:line>
            <v:line style="position:absolute" from="7720,2293" to="7774,2319" stroked="true" strokeweight=".627036pt" strokecolor="#000000">
              <v:stroke dashstyle="solid"/>
            </v:line>
            <v:line style="position:absolute" from="7774,2319" to="7803,2335" stroked="true" strokeweight=".627033pt" strokecolor="#000000">
              <v:stroke dashstyle="solid"/>
            </v:line>
            <v:shape style="position:absolute;left:7947;top:2400;width:460;height:230" type="#_x0000_t75" stroked="false">
              <v:imagedata r:id="rId209" o:title=""/>
            </v:shape>
            <v:shape style="position:absolute;left:8540;top:2688;width:464;height:218" type="#_x0000_t75" stroked="false">
              <v:imagedata r:id="rId210" o:title=""/>
            </v:shape>
            <v:shape style="position:absolute;left:9138;top:2964;width:460;height:210" type="#_x0000_t75" stroked="false">
              <v:imagedata r:id="rId211" o:title=""/>
            </v:shape>
            <v:line style="position:absolute" from="9743,3234" to="9780,3251" stroked="true" strokeweight=".627037pt" strokecolor="#000000">
              <v:stroke dashstyle="solid"/>
            </v:line>
            <v:line style="position:absolute" from="9780,3251" to="9835,3272" stroked="true" strokeweight=".627039pt" strokecolor="#000000">
              <v:stroke dashstyle="solid"/>
            </v:line>
            <v:line style="position:absolute" from="9835,3272" to="9885,3297" stroked="true" strokeweight=".627035pt" strokecolor="#000000">
              <v:stroke dashstyle="solid"/>
            </v:line>
            <v:line style="position:absolute" from="9885,3297" to="9918,3309" stroked="true" strokeweight=".627039pt" strokecolor="#000000">
              <v:stroke dashstyle="solid"/>
            </v:line>
            <v:line style="position:absolute" from="3753,379" to="3807,408" stroked="true" strokeweight=".627034pt" strokecolor="#00ff00">
              <v:stroke dashstyle="solid"/>
            </v:line>
            <v:line style="position:absolute" from="3807,408" to="3857,442" stroked="true" strokeweight=".62703pt" strokecolor="#00ff00">
              <v:stroke dashstyle="solid"/>
            </v:line>
            <v:line style="position:absolute" from="3857,442" to="3907,471" stroked="true" strokeweight=".627033pt" strokecolor="#00ff00">
              <v:stroke dashstyle="solid"/>
            </v:line>
            <v:line style="position:absolute" from="3907,471" to="3962,504" stroked="true" strokeweight=".627031pt" strokecolor="#00ff00">
              <v:stroke dashstyle="solid"/>
            </v:line>
            <v:line style="position:absolute" from="3962,504" to="4012,534" stroked="true" strokeweight=".627033pt" strokecolor="#00ff00">
              <v:stroke dashstyle="solid"/>
            </v:line>
            <v:line style="position:absolute" from="4012,534" to="4062,567" stroked="true" strokeweight=".62703pt" strokecolor="#00ff00">
              <v:stroke dashstyle="solid"/>
            </v:line>
            <v:line style="position:absolute" from="4062,567" to="4116,596" stroked="true" strokeweight=".627034pt" strokecolor="#00ff00">
              <v:stroke dashstyle="solid"/>
            </v:line>
            <v:line style="position:absolute" from="4116,596" to="4167,630" stroked="true" strokeweight=".62703pt" strokecolor="#00ff00">
              <v:stroke dashstyle="solid"/>
            </v:line>
            <v:line style="position:absolute" from="4167,630" to="4200,651" stroked="true" strokeweight=".627031pt" strokecolor="#00ff00">
              <v:stroke dashstyle="solid"/>
            </v:line>
            <v:line style="position:absolute" from="4350,738" to="4371,751" stroked="true" strokeweight=".627032pt" strokecolor="#00ff00">
              <v:stroke dashstyle="solid"/>
            </v:line>
            <v:line style="position:absolute" from="4371,751" to="4426,780" stroked="true" strokeweight=".627034pt" strokecolor="#00ff00">
              <v:stroke dashstyle="solid"/>
            </v:line>
            <v:line style="position:absolute" from="4426,780" to="4476,814" stroked="true" strokeweight=".62703pt" strokecolor="#00ff00">
              <v:stroke dashstyle="solid"/>
            </v:line>
            <v:line style="position:absolute" from="4476,814" to="4526,843" stroked="true" strokeweight=".627033pt" strokecolor="#00ff00">
              <v:stroke dashstyle="solid"/>
            </v:line>
            <v:line style="position:absolute" from="4526,843" to="4576,872" stroked="true" strokeweight=".627033pt" strokecolor="#00ff00">
              <v:stroke dashstyle="solid"/>
            </v:line>
            <v:line style="position:absolute" from="4576,872" to="4631,901" stroked="true" strokeweight=".627034pt" strokecolor="#00ff00">
              <v:stroke dashstyle="solid"/>
            </v:line>
            <v:line style="position:absolute" from="4631,901" to="4681,935" stroked="true" strokeweight=".62703pt" strokecolor="#00ff00">
              <v:stroke dashstyle="solid"/>
            </v:line>
            <v:line style="position:absolute" from="4681,935" to="4731,964" stroked="true" strokeweight=".627033pt" strokecolor="#00ff00">
              <v:stroke dashstyle="solid"/>
            </v:line>
            <v:line style="position:absolute" from="4731,964" to="4785,993" stroked="true" strokeweight=".627034pt" strokecolor="#00ff00">
              <v:stroke dashstyle="solid"/>
            </v:line>
            <v:line style="position:absolute" from="4785,993" to="4798,1002" stroked="true" strokeweight=".62703pt" strokecolor="#00ff00">
              <v:stroke dashstyle="solid"/>
            </v:line>
            <v:line style="position:absolute" from="4948,1085" to="4990,1110" stroked="true" strokeweight=".627032pt" strokecolor="#00ff00">
              <v:stroke dashstyle="solid"/>
            </v:line>
            <v:line style="position:absolute" from="4990,1110" to="5040,1144" stroked="true" strokeweight=".62703pt" strokecolor="#00ff00">
              <v:stroke dashstyle="solid"/>
            </v:line>
            <v:line style="position:absolute" from="5040,1144" to="5095,1173" stroked="true" strokeweight=".627034pt" strokecolor="#00ff00">
              <v:stroke dashstyle="solid"/>
            </v:line>
            <v:line style="position:absolute" from="5095,1173" to="5145,1202" stroked="true" strokeweight=".627033pt" strokecolor="#00ff00">
              <v:stroke dashstyle="solid"/>
            </v:line>
            <v:line style="position:absolute" from="5145,1202" to="5195,1232" stroked="true" strokeweight=".627033pt" strokecolor="#00ff00">
              <v:stroke dashstyle="solid"/>
            </v:line>
            <v:line style="position:absolute" from="5195,1232" to="5249,1261" stroked="true" strokeweight=".627034pt" strokecolor="#00ff00">
              <v:stroke dashstyle="solid"/>
            </v:line>
            <v:line style="position:absolute" from="5249,1261" to="5299,1290" stroked="true" strokeweight=".627033pt" strokecolor="#00ff00">
              <v:stroke dashstyle="solid"/>
            </v:line>
            <v:line style="position:absolute" from="5299,1290" to="5350,1319" stroked="true" strokeweight=".627033pt" strokecolor="#00ff00">
              <v:stroke dashstyle="solid"/>
            </v:line>
            <v:line style="position:absolute" from="5350,1319" to="5395,1340" stroked="true" strokeweight=".627037pt" strokecolor="#00ff00">
              <v:stroke dashstyle="solid"/>
            </v:line>
            <v:line style="position:absolute" from="5546,1428" to="5559,1432" stroked="true" strokeweight=".627040pt" strokecolor="#00ff00">
              <v:stroke dashstyle="solid"/>
            </v:line>
            <v:line style="position:absolute" from="5559,1432" to="5609,1462" stroked="true" strokeweight=".627033pt" strokecolor="#00ff00">
              <v:stroke dashstyle="solid"/>
            </v:line>
            <v:line style="position:absolute" from="5609,1462" to="5659,1491" stroked="true" strokeweight=".627033pt" strokecolor="#00ff00">
              <v:stroke dashstyle="solid"/>
            </v:line>
            <v:line style="position:absolute" from="5659,1491" to="5713,1520" stroked="true" strokeweight=".627034pt" strokecolor="#00ff00">
              <v:stroke dashstyle="solid"/>
            </v:line>
            <v:line style="position:absolute" from="5713,1520" to="5763,1549" stroked="true" strokeweight=".627033pt" strokecolor="#00ff00">
              <v:stroke dashstyle="solid"/>
            </v:line>
            <v:line style="position:absolute" from="5763,1549" to="5813,1574" stroked="true" strokeweight=".627035pt" strokecolor="#00ff00">
              <v:stroke dashstyle="solid"/>
            </v:line>
            <v:line style="position:absolute" from="5813,1574" to="5868,1604" stroked="true" strokeweight=".627034pt" strokecolor="#00ff00">
              <v:stroke dashstyle="solid"/>
            </v:line>
            <v:line style="position:absolute" from="5868,1604" to="5918,1633" stroked="true" strokeweight=".627033pt" strokecolor="#00ff00">
              <v:stroke dashstyle="solid"/>
            </v:line>
            <v:line style="position:absolute" from="5918,1633" to="5968,1662" stroked="true" strokeweight=".627033pt" strokecolor="#00ff00">
              <v:stroke dashstyle="solid"/>
            </v:line>
            <v:line style="position:absolute" from="5968,1662" to="5993,1675" stroked="true" strokeweight=".627035pt" strokecolor="#00ff00">
              <v:stroke dashstyle="solid"/>
            </v:line>
            <v:line style="position:absolute" from="6140,1754" to="6177,1771" stroked="true" strokeweight=".627037pt" strokecolor="#00ff00">
              <v:stroke dashstyle="solid"/>
            </v:line>
            <v:line style="position:absolute" from="6177,1771" to="6227,1800" stroked="true" strokeweight=".627033pt" strokecolor="#00ff00">
              <v:stroke dashstyle="solid"/>
            </v:line>
            <v:line style="position:absolute" from="6227,1800" to="6277,1829" stroked="true" strokeweight=".627033pt" strokecolor="#00ff00">
              <v:stroke dashstyle="solid"/>
            </v:line>
            <v:line style="position:absolute" from="6277,1829" to="6332,1855" stroked="true" strokeweight=".627036pt" strokecolor="#00ff00">
              <v:stroke dashstyle="solid"/>
            </v:line>
            <v:line style="position:absolute" from="6332,1855" to="6382,1884" stroked="true" strokeweight=".627033pt" strokecolor="#00ff00">
              <v:stroke dashstyle="solid"/>
            </v:line>
            <v:line style="position:absolute" from="6382,1884" to="6432,1909" stroked="true" strokeweight=".627035pt" strokecolor="#00ff00">
              <v:stroke dashstyle="solid"/>
            </v:line>
            <v:line style="position:absolute" from="6432,1909" to="6486,1938" stroked="true" strokeweight=".627034pt" strokecolor="#00ff00">
              <v:stroke dashstyle="solid"/>
            </v:line>
            <v:line style="position:absolute" from="6486,1938" to="6537,1967" stroked="true" strokeweight=".627033pt" strokecolor="#00ff00">
              <v:stroke dashstyle="solid"/>
            </v:line>
            <v:line style="position:absolute" from="6537,1967" to="6587,1992" stroked="true" strokeweight=".627035pt" strokecolor="#00ff00">
              <v:stroke dashstyle="solid"/>
            </v:line>
            <v:line style="position:absolute" from="6589,1986" to="6589,1999" stroked="true" strokeweight=".208999pt" strokecolor="#00ff00">
              <v:stroke dashstyle="solid"/>
            </v:line>
            <v:line style="position:absolute" from="6737,2072" to="6741,2076" stroked="true" strokeweight=".62702pt" strokecolor="#00ff00">
              <v:stroke dashstyle="solid"/>
            </v:line>
            <v:line style="position:absolute" from="6741,2076" to="6792,2101" stroked="true" strokeweight=".627035pt" strokecolor="#00ff00">
              <v:stroke dashstyle="solid"/>
            </v:line>
            <v:line style="position:absolute" from="6792,2101" to="6846,2126" stroked="true" strokeweight=".627036pt" strokecolor="#00ff00">
              <v:stroke dashstyle="solid"/>
            </v:line>
            <v:line style="position:absolute" from="6846,2126" to="6896,2156" stroked="true" strokeweight=".627033pt" strokecolor="#00ff00">
              <v:stroke dashstyle="solid"/>
            </v:line>
            <v:line style="position:absolute" from="6896,2156" to="6946,2181" stroked="true" strokeweight=".627035pt" strokecolor="#00ff00">
              <v:stroke dashstyle="solid"/>
            </v:line>
            <v:line style="position:absolute" from="6946,2181" to="7001,2210" stroked="true" strokeweight=".627034pt" strokecolor="#00ff00">
              <v:stroke dashstyle="solid"/>
            </v:line>
            <v:line style="position:absolute" from="7001,2210" to="7051,2235" stroked="true" strokeweight=".627035pt" strokecolor="#00ff00">
              <v:stroke dashstyle="solid"/>
            </v:line>
            <v:line style="position:absolute" from="7051,2235" to="7105,2260" stroked="true" strokeweight=".627036pt" strokecolor="#00ff00">
              <v:stroke dashstyle="solid"/>
            </v:line>
            <v:line style="position:absolute" from="7105,2260" to="7155,2289" stroked="true" strokeweight=".627033pt" strokecolor="#00ff00">
              <v:stroke dashstyle="solid"/>
            </v:line>
            <v:line style="position:absolute" from="7155,2289" to="7185,2302" stroked="true" strokeweight=".627037pt" strokecolor="#00ff00">
              <v:stroke dashstyle="solid"/>
            </v:line>
            <v:line style="position:absolute" from="7335,2381" to="7360,2394" stroked="true" strokeweight=".627035pt" strokecolor="#00ff00">
              <v:stroke dashstyle="solid"/>
            </v:line>
            <v:line style="position:absolute" from="7360,2394" to="7410,2419" stroked="true" strokeweight=".627035pt" strokecolor="#00ff00">
              <v:stroke dashstyle="solid"/>
            </v:line>
            <v:line style="position:absolute" from="7410,2419" to="7465,2444" stroked="true" strokeweight=".627036pt" strokecolor="#00ff00">
              <v:stroke dashstyle="solid"/>
            </v:line>
            <v:line style="position:absolute" from="7465,2444" to="7515,2469" stroked="true" strokeweight=".627035pt" strokecolor="#00ff00">
              <v:stroke dashstyle="solid"/>
            </v:line>
            <v:line style="position:absolute" from="7515,2469" to="7565,2494" stroked="true" strokeweight=".627035pt" strokecolor="#00ff00">
              <v:stroke dashstyle="solid"/>
            </v:line>
            <v:line style="position:absolute" from="7565,2494" to="7619,2523" stroked="true" strokeweight=".627034pt" strokecolor="#00ff00">
              <v:stroke dashstyle="solid"/>
            </v:line>
            <v:line style="position:absolute" from="7619,2523" to="7669,2548" stroked="true" strokeweight=".627035pt" strokecolor="#00ff00">
              <v:stroke dashstyle="solid"/>
            </v:line>
            <v:line style="position:absolute" from="7669,2548" to="7720,2574" stroked="true" strokeweight=".627035pt" strokecolor="#00ff00">
              <v:stroke dashstyle="solid"/>
            </v:line>
            <v:line style="position:absolute" from="7720,2574" to="7774,2599" stroked="true" strokeweight=".627036pt" strokecolor="#00ff00">
              <v:stroke dashstyle="solid"/>
            </v:line>
            <v:line style="position:absolute" from="7774,2599" to="7782,2603" stroked="true" strokeweight=".627035pt" strokecolor="#00ff00">
              <v:stroke dashstyle="solid"/>
            </v:line>
            <v:shape style="position:absolute;left:7926;top:2671;width:460;height:226" type="#_x0000_t75" stroked="false">
              <v:imagedata r:id="rId212" o:title=""/>
            </v:shape>
            <v:shape style="position:absolute;left:8524;top:2956;width:460;height:222" type="#_x0000_t75" stroked="false">
              <v:imagedata r:id="rId213" o:title=""/>
            </v:shape>
            <v:shape style="position:absolute;left:9117;top:3231;width:460;height:214" type="#_x0000_t75" stroked="false">
              <v:imagedata r:id="rId214" o:title=""/>
            </v:shape>
            <v:line style="position:absolute" from="9722,3502" to="9730,3506" stroked="true" strokeweight=".627035pt" strokecolor="#00ff00">
              <v:stroke dashstyle="solid"/>
            </v:line>
            <v:line style="position:absolute" from="9730,3506" to="9780,3531" stroked="true" strokeweight=".627035pt" strokecolor="#00ff00">
              <v:stroke dashstyle="solid"/>
            </v:line>
            <v:line style="position:absolute" from="9780,3531" to="9835,3552" stroked="true" strokeweight=".627039pt" strokecolor="#00ff00">
              <v:stroke dashstyle="solid"/>
            </v:line>
            <v:line style="position:absolute" from="9835,3552" to="9885,3573" stroked="true" strokeweight=".627038pt" strokecolor="#00ff00">
              <v:stroke dashstyle="solid"/>
            </v:line>
            <v:line style="position:absolute" from="9885,3573" to="9918,3589" stroked="true" strokeweight=".627035pt" strokecolor="#00ff00">
              <v:stroke dashstyle="solid"/>
            </v:line>
            <v:line style="position:absolute" from="3753,659" to="3807,688" stroked="true" strokeweight=".627034pt" strokecolor="#800080">
              <v:stroke dashstyle="solid"/>
            </v:line>
            <v:line style="position:absolute" from="3807,688" to="3857,722" stroked="true" strokeweight=".62703pt" strokecolor="#800080">
              <v:stroke dashstyle="solid"/>
            </v:line>
            <v:line style="position:absolute" from="3857,722" to="3907,751" stroked="true" strokeweight=".627033pt" strokecolor="#800080">
              <v:stroke dashstyle="solid"/>
            </v:line>
            <v:line style="position:absolute" from="3907,751" to="3962,784" stroked="true" strokeweight=".627031pt" strokecolor="#800080">
              <v:stroke dashstyle="solid"/>
            </v:line>
            <v:line style="position:absolute" from="3962,784" to="4012,814" stroked="true" strokeweight=".627033pt" strokecolor="#800080">
              <v:stroke dashstyle="solid"/>
            </v:line>
            <v:line style="position:absolute" from="4012,814" to="4054,839" stroked="true" strokeweight=".627032pt" strokecolor="#800080">
              <v:stroke dashstyle="solid"/>
            </v:line>
            <v:shape style="position:absolute;left:4166;top:905;width:51;height:34" coordorigin="4167,906" coordsize="51,34" path="m4167,906l4167,906m4167,906l4217,939e" filled="false" stroked="true" strokeweight=".62702pt" strokecolor="#800080">
              <v:path arrowok="t"/>
              <v:stroke dashstyle="solid"/>
            </v:shape>
            <v:line style="position:absolute" from="4217,939" to="4238,952" stroked="true" strokeweight=".627032pt" strokecolor="#800080">
              <v:stroke dashstyle="solid"/>
            </v:line>
            <v:line style="position:absolute" from="4350,1018" to="4371,1031" stroked="true" strokeweight=".627032pt" strokecolor="#800080">
              <v:stroke dashstyle="solid"/>
            </v:line>
            <v:line style="position:absolute" from="4371,1031" to="4426,1060" stroked="true" strokeweight=".627034pt" strokecolor="#800080">
              <v:stroke dashstyle="solid"/>
            </v:line>
            <v:line style="position:absolute" from="4426,1060" to="4476,1090" stroked="true" strokeweight=".627033pt" strokecolor="#800080">
              <v:stroke dashstyle="solid"/>
            </v:line>
            <v:line style="position:absolute" from="4476,1090" to="4526,1123" stroked="true" strokeweight=".62703pt" strokecolor="#800080">
              <v:stroke dashstyle="solid"/>
            </v:line>
            <v:line style="position:absolute" from="4526,1123" to="4576,1152" stroked="true" strokeweight=".627033pt" strokecolor="#800080">
              <v:stroke dashstyle="solid"/>
            </v:line>
            <v:line style="position:absolute" from="4576,1152" to="4631,1181" stroked="true" strokeweight=".627034pt" strokecolor="#800080">
              <v:stroke dashstyle="solid"/>
            </v:line>
            <v:line style="position:absolute" from="4631,1181" to="4651,1194" stroked="true" strokeweight=".627032pt" strokecolor="#800080">
              <v:stroke dashstyle="solid"/>
            </v:line>
            <v:line style="position:absolute" from="4760,1257" to="4785,1273" stroked="true" strokeweight=".62703pt" strokecolor="#800080">
              <v:stroke dashstyle="solid"/>
            </v:line>
            <v:line style="position:absolute" from="4785,1273" to="4835,1303" stroked="true" strokeweight=".627033pt" strokecolor="#800080">
              <v:stroke dashstyle="solid"/>
            </v:line>
            <v:line style="position:absolute" from="4948,1365" to="4990,1391" stroked="true" strokeweight=".627032pt" strokecolor="#800080">
              <v:stroke dashstyle="solid"/>
            </v:line>
            <v:line style="position:absolute" from="4990,1391" to="5040,1420" stroked="true" strokeweight=".627033pt" strokecolor="#800080">
              <v:stroke dashstyle="solid"/>
            </v:line>
            <v:line style="position:absolute" from="5040,1420" to="5095,1449" stroked="true" strokeweight=".627034pt" strokecolor="#800080">
              <v:stroke dashstyle="solid"/>
            </v:line>
            <v:line style="position:absolute" from="5095,1449" to="5145,1478" stroked="true" strokeweight=".627033pt" strokecolor="#800080">
              <v:stroke dashstyle="solid"/>
            </v:line>
            <v:line style="position:absolute" from="5145,1478" to="5195,1508" stroked="true" strokeweight=".627033pt" strokecolor="#800080">
              <v:stroke dashstyle="solid"/>
            </v:line>
            <v:line style="position:absolute" from="5195,1508" to="5245,1537" stroked="true" strokeweight=".627033pt" strokecolor="#800080">
              <v:stroke dashstyle="solid"/>
            </v:line>
            <v:line style="position:absolute" from="5358,1600" to="5404,1625" stroked="true" strokeweight=".627034pt" strokecolor="#800080">
              <v:stroke dashstyle="solid"/>
            </v:line>
            <v:line style="position:absolute" from="5404,1625" to="5433,1641" stroked="true" strokeweight=".627033pt" strokecolor="#800080">
              <v:stroke dashstyle="solid"/>
            </v:line>
            <v:line style="position:absolute" from="5546,1704" to="5559,1712" stroked="true" strokeweight=".62703pt" strokecolor="#800080">
              <v:stroke dashstyle="solid"/>
            </v:line>
            <v:line style="position:absolute" from="5559,1712" to="5609,1742" stroked="true" strokeweight=".627033pt" strokecolor="#800080">
              <v:stroke dashstyle="solid"/>
            </v:line>
            <v:line style="position:absolute" from="5609,1742" to="5659,1771" stroked="true" strokeweight=".627033pt" strokecolor="#800080">
              <v:stroke dashstyle="solid"/>
            </v:line>
            <v:line style="position:absolute" from="5659,1771" to="5713,1796" stroked="true" strokeweight=".627036pt" strokecolor="#800080">
              <v:stroke dashstyle="solid"/>
            </v:line>
            <v:line style="position:absolute" from="5713,1796" to="5763,1825" stroked="true" strokeweight=".627033pt" strokecolor="#800080">
              <v:stroke dashstyle="solid"/>
            </v:line>
            <v:line style="position:absolute" from="5763,1825" to="5813,1855" stroked="true" strokeweight=".627033pt" strokecolor="#800080">
              <v:stroke dashstyle="solid"/>
            </v:line>
            <v:line style="position:absolute" from="5813,1855" to="5843,1871" stroked="true" strokeweight=".627033pt" strokecolor="#800080">
              <v:stroke dashstyle="solid"/>
            </v:line>
            <v:line style="position:absolute" from="5956,1930" to="5968,1938" stroked="true" strokeweight=".62703pt" strokecolor="#800080">
              <v:stroke dashstyle="solid"/>
            </v:line>
            <v:line style="position:absolute" from="5968,1938" to="6022,1967" stroked="true" strokeweight=".627034pt" strokecolor="#800080">
              <v:stroke dashstyle="solid"/>
            </v:line>
            <v:line style="position:absolute" from="6022,1967" to="6031,1972" stroked="true" strokeweight=".627035pt" strokecolor="#800080">
              <v:stroke dashstyle="solid"/>
            </v:line>
            <v:line style="position:absolute" from="6140,2034" to="6177,2051" stroked="true" strokeweight=".627037pt" strokecolor="#800080">
              <v:stroke dashstyle="solid"/>
            </v:line>
            <v:line style="position:absolute" from="6177,2051" to="6227,2080" stroked="true" strokeweight=".627033pt" strokecolor="#800080">
              <v:stroke dashstyle="solid"/>
            </v:line>
            <v:line style="position:absolute" from="6227,2080" to="6277,2105" stroked="true" strokeweight=".627035pt" strokecolor="#800080">
              <v:stroke dashstyle="solid"/>
            </v:line>
            <v:line style="position:absolute" from="6277,2105" to="6332,2135" stroked="true" strokeweight=".627034pt" strokecolor="#800080">
              <v:stroke dashstyle="solid"/>
            </v:line>
            <v:line style="position:absolute" from="6332,2135" to="6382,2164" stroked="true" strokeweight=".627033pt" strokecolor="#800080">
              <v:stroke dashstyle="solid"/>
            </v:line>
            <v:line style="position:absolute" from="6382,2164" to="6432,2189" stroked="true" strokeweight=".627035pt" strokecolor="#800080">
              <v:stroke dashstyle="solid"/>
            </v:line>
            <v:line style="position:absolute" from="6432,2189" to="6440,2193" stroked="true" strokeweight=".627035pt" strokecolor="#800080">
              <v:stroke dashstyle="solid"/>
            </v:line>
            <v:line style="position:absolute" from="6553,2252" to="6587,2273" stroked="true" strokeweight=".627031pt" strokecolor="#800080">
              <v:stroke dashstyle="solid"/>
            </v:line>
            <v:line style="position:absolute" from="6587,2273" to="6624,2293" stroked="true" strokeweight=".627033pt" strokecolor="#800080">
              <v:stroke dashstyle="solid"/>
            </v:line>
            <v:shape style="position:absolute;left:6735;top:2345;width:310;height:168" type="#_x0000_t75" stroked="false">
              <v:imagedata r:id="rId215" o:title=""/>
            </v:shape>
            <v:line style="position:absolute" from="7147,2561" to="7155,2565" stroked="true" strokeweight=".627035pt" strokecolor="#800080">
              <v:stroke dashstyle="solid"/>
            </v:line>
            <v:line style="position:absolute" from="7155,2565" to="7205,2590" stroked="true" strokeweight=".627035pt" strokecolor="#800080">
              <v:stroke dashstyle="solid"/>
            </v:line>
            <v:line style="position:absolute" from="7205,2590" to="7222,2603" stroked="true" strokeweight=".627027pt" strokecolor="#800080">
              <v:stroke dashstyle="solid"/>
            </v:line>
            <v:line style="position:absolute" from="7335,2657" to="7360,2670" stroked="true" strokeweight=".627035pt" strokecolor="#800080">
              <v:stroke dashstyle="solid"/>
            </v:line>
            <v:line style="position:absolute" from="7360,2670" to="7410,2699" stroked="true" strokeweight=".627033pt" strokecolor="#800080">
              <v:stroke dashstyle="solid"/>
            </v:line>
            <v:line style="position:absolute" from="7410,2699" to="7465,2724" stroked="true" strokeweight=".627036pt" strokecolor="#800080">
              <v:stroke dashstyle="solid"/>
            </v:line>
            <v:line style="position:absolute" from="7465,2724" to="7515,2749" stroked="true" strokeweight=".627035pt" strokecolor="#800080">
              <v:stroke dashstyle="solid"/>
            </v:line>
            <v:line style="position:absolute" from="7515,2749" to="7565,2774" stroked="true" strokeweight=".627035pt" strokecolor="#800080">
              <v:stroke dashstyle="solid"/>
            </v:line>
            <v:line style="position:absolute" from="7565,2774" to="7619,2799" stroked="true" strokeweight=".627036pt" strokecolor="#800080">
              <v:stroke dashstyle="solid"/>
            </v:line>
            <v:line style="position:absolute" from="7619,2799" to="7632,2808" stroked="true" strokeweight=".62703pt" strokecolor="#800080">
              <v:stroke dashstyle="solid"/>
            </v:line>
            <v:line style="position:absolute" from="7745,2862" to="7774,2875" stroked="true" strokeweight=".627037pt" strokecolor="#800080">
              <v:stroke dashstyle="solid"/>
            </v:line>
            <v:line style="position:absolute" from="7774,2875" to="7820,2900" stroked="true" strokeweight=".627034pt" strokecolor="#800080">
              <v:stroke dashstyle="solid"/>
            </v:line>
            <v:shape style="position:absolute;left:7926;top:2947;width:310;height:159" type="#_x0000_t75" stroked="false">
              <v:imagedata r:id="rId216" o:title=""/>
            </v:shape>
            <v:line style="position:absolute" from="8342,3150" to="8393,3175" stroked="true" strokeweight=".627035pt" strokecolor="#800080">
              <v:stroke dashstyle="solid"/>
            </v:line>
            <v:line style="position:absolute" from="8393,3175" to="8418,3188" stroked="true" strokeweight=".627035pt" strokecolor="#800080">
              <v:stroke dashstyle="solid"/>
            </v:line>
            <v:shape style="position:absolute;left:8524;top:3236;width:310;height:151" type="#_x0000_t75" stroked="false">
              <v:imagedata r:id="rId217" o:title=""/>
            </v:shape>
            <v:line style="position:absolute" from="8940,3430" to="8957,3439" stroked="true" strokeweight=".627035pt" strokecolor="#800080">
              <v:stroke dashstyle="solid"/>
            </v:line>
            <v:line style="position:absolute" from="8957,3439" to="9011,3464" stroked="true" strokeweight=".627036pt" strokecolor="#800080">
              <v:stroke dashstyle="solid"/>
            </v:line>
            <v:line style="position:absolute" from="9013,3458" to="9013,3470" stroked="true" strokeweight=".208999pt" strokecolor="#800080">
              <v:stroke dashstyle="solid"/>
            </v:line>
            <v:shape style="position:absolute;left:9117;top:3512;width:314;height:147" type="#_x0000_t75" stroked="false">
              <v:imagedata r:id="rId218" o:title=""/>
            </v:shape>
            <v:line style="position:absolute" from="9534,3702" to="9575,3719" stroked="true" strokeweight=".627038pt" strokecolor="#800080">
              <v:stroke dashstyle="solid"/>
            </v:line>
            <v:line style="position:absolute" from="9575,3719" to="9609,3731" stroked="true" strokeweight=".627039pt" strokecolor="#800080">
              <v:stroke dashstyle="solid"/>
            </v:line>
            <v:line style="position:absolute" from="9722,3782" to="9730,3786" stroked="true" strokeweight=".627035pt" strokecolor="#800080">
              <v:stroke dashstyle="solid"/>
            </v:line>
            <v:line style="position:absolute" from="9730,3786" to="9780,3807" stroked="true" strokeweight=".627038pt" strokecolor="#800080">
              <v:stroke dashstyle="solid"/>
            </v:line>
            <v:line style="position:absolute" from="9780,3807" to="9835,3832" stroked="true" strokeweight=".627036pt" strokecolor="#800080">
              <v:stroke dashstyle="solid"/>
            </v:line>
            <v:line style="position:absolute" from="9835,3832" to="9885,3853" stroked="true" strokeweight=".627038pt" strokecolor="#800080">
              <v:stroke dashstyle="solid"/>
            </v:line>
            <v:line style="position:absolute" from="9885,3853" to="9918,3869" stroked="true" strokeweight=".627035pt" strokecolor="#800080">
              <v:stroke dashstyle="solid"/>
            </v:line>
            <v:line style="position:absolute" from="3753,935" to="3807,968" stroked="true" strokeweight=".627031pt" strokecolor="#0000ff">
              <v:stroke dashstyle="solid"/>
            </v:line>
            <v:line style="position:absolute" from="3807,968" to="3857,998" stroked="true" strokeweight=".627033pt" strokecolor="#0000ff">
              <v:stroke dashstyle="solid"/>
            </v:line>
            <v:line style="position:absolute" from="3857,998" to="3907,1031" stroked="true" strokeweight=".62703pt" strokecolor="#0000ff">
              <v:stroke dashstyle="solid"/>
            </v:line>
            <v:line style="position:absolute" from="3907,1031" to="3962,1060" stroked="true" strokeweight=".627034pt" strokecolor="#0000ff">
              <v:stroke dashstyle="solid"/>
            </v:line>
            <v:line style="position:absolute" from="3962,1060" to="4012,1094" stroked="true" strokeweight=".62703pt" strokecolor="#0000ff">
              <v:stroke dashstyle="solid"/>
            </v:line>
            <v:line style="position:absolute" from="4012,1094" to="4054,1119" stroked="true" strokeweight=".627032pt" strokecolor="#0000ff">
              <v:stroke dashstyle="solid"/>
            </v:line>
            <v:shape style="position:absolute;left:4166;top:1185;width:51;height:30" coordorigin="4167,1186" coordsize="51,30" path="m4167,1186l4167,1186m4167,1186l4217,1215e" filled="false" stroked="true" strokeweight=".62702pt" strokecolor="#0000ff">
              <v:path arrowok="t"/>
              <v:stroke dashstyle="solid"/>
            </v:shape>
            <v:line style="position:absolute" from="4217,1215" to="4238,1227" stroked="true" strokeweight=".627032pt" strokecolor="#0000ff">
              <v:stroke dashstyle="solid"/>
            </v:line>
            <v:shape style="position:absolute;left:4344;top:1288;width:314;height:189" type="#_x0000_t75" stroked="false">
              <v:imagedata r:id="rId219" o:title=""/>
            </v:shape>
            <v:line style="position:absolute" from="4760,1537" to="4785,1549" stroked="true" strokeweight=".627035pt" strokecolor="#0000ff">
              <v:stroke dashstyle="solid"/>
            </v:line>
            <v:line style="position:absolute" from="4785,1549" to="4835,1579" stroked="true" strokeweight=".627033pt" strokecolor="#0000ff">
              <v:stroke dashstyle="solid"/>
            </v:line>
            <v:shape style="position:absolute;left:4941;top:1639;width:310;height:184" type="#_x0000_t75" stroked="false">
              <v:imagedata r:id="rId220" o:title=""/>
            </v:shape>
            <v:line style="position:absolute" from="5358,1880" to="5404,1905" stroked="true" strokeweight=".627034pt" strokecolor="#0000ff">
              <v:stroke dashstyle="solid"/>
            </v:line>
            <v:line style="position:absolute" from="5404,1905" to="5433,1921" stroked="true" strokeweight=".627033pt" strokecolor="#0000ff">
              <v:stroke dashstyle="solid"/>
            </v:line>
            <v:shape style="position:absolute;left:5539;top:1977;width:310;height:176" type="#_x0000_t75" stroked="false">
              <v:imagedata r:id="rId221" o:title=""/>
            </v:shape>
            <v:line style="position:absolute" from="5956,2210" to="5968,2218" stroked="true" strokeweight=".62703pt" strokecolor="#0000ff">
              <v:stroke dashstyle="solid"/>
            </v:line>
            <v:line style="position:absolute" from="5968,2218" to="6022,2247" stroked="true" strokeweight=".627034pt" strokecolor="#0000ff">
              <v:stroke dashstyle="solid"/>
            </v:line>
            <v:line style="position:absolute" from="6022,2247" to="6031,2252" stroked="true" strokeweight=".627035pt" strokecolor="#0000ff">
              <v:stroke dashstyle="solid"/>
            </v:line>
            <v:shape style="position:absolute;left:6133;top:2303;width:314;height:176" type="#_x0000_t75" stroked="false">
              <v:imagedata r:id="rId222" o:title=""/>
            </v:shape>
            <v:line style="position:absolute" from="6553,2532" to="6587,2548" stroked="true" strokeweight=".627035pt" strokecolor="#0000ff">
              <v:stroke dashstyle="solid"/>
            </v:line>
            <v:line style="position:absolute" from="6587,2548" to="6624,2569" stroked="true" strokeweight=".627033pt" strokecolor="#0000ff">
              <v:stroke dashstyle="solid"/>
            </v:line>
            <v:shape style="position:absolute;left:6731;top:2621;width:314;height:168" type="#_x0000_t75" stroked="false">
              <v:imagedata r:id="rId223" o:title=""/>
            </v:shape>
            <v:line style="position:absolute" from="7147,2841" to="7155,2845" stroked="true" strokeweight=".627035pt" strokecolor="#0000ff">
              <v:stroke dashstyle="solid"/>
            </v:line>
            <v:line style="position:absolute" from="7155,2845" to="7205,2870" stroked="true" strokeweight=".627035pt" strokecolor="#0000ff">
              <v:stroke dashstyle="solid"/>
            </v:line>
            <v:line style="position:absolute" from="7205,2870" to="7222,2879" stroked="true" strokeweight=".627035pt" strokecolor="#0000ff">
              <v:stroke dashstyle="solid"/>
            </v:line>
            <v:shape style="position:absolute;left:7328;top:2930;width:310;height:164" type="#_x0000_t75" stroked="false">
              <v:imagedata r:id="rId224" o:title=""/>
            </v:shape>
            <v:line style="position:absolute" from="7745,3142" to="7774,3155" stroked="true" strokeweight=".627037pt" strokecolor="#0000ff">
              <v:stroke dashstyle="solid"/>
            </v:line>
            <v:line style="position:absolute" from="7774,3155" to="7820,3180" stroked="true" strokeweight=".627034pt" strokecolor="#0000ff">
              <v:stroke dashstyle="solid"/>
            </v:line>
            <v:shape style="position:absolute;left:7926;top:3227;width:310;height:155" type="#_x0000_t75" stroked="false">
              <v:imagedata r:id="rId225" o:title=""/>
            </v:shape>
            <v:line style="position:absolute" from="8342,3430" to="8393,3456" stroked="true" strokeweight=".627035pt" strokecolor="#0000ff">
              <v:stroke dashstyle="solid"/>
            </v:line>
            <v:line style="position:absolute" from="8393,3456" to="8418,3468" stroked="true" strokeweight=".627035pt" strokecolor="#0000ff">
              <v:stroke dashstyle="solid"/>
            </v:line>
            <v:shape style="position:absolute;left:8524;top:3512;width:310;height:155" type="#_x0000_t75" stroked="false">
              <v:imagedata r:id="rId226" o:title=""/>
            </v:shape>
            <v:line style="position:absolute" from="8940,3711" to="8957,3719" stroked="true" strokeweight=".627035pt" strokecolor="#0000ff">
              <v:stroke dashstyle="solid"/>
            </v:line>
            <v:line style="position:absolute" from="8957,3719" to="9011,3744" stroked="true" strokeweight=".627036pt" strokecolor="#0000ff">
              <v:stroke dashstyle="solid"/>
            </v:line>
            <v:line style="position:absolute" from="9013,3738" to="9013,3750" stroked="true" strokeweight=".208999pt" strokecolor="#0000ff">
              <v:stroke dashstyle="solid"/>
            </v:line>
            <v:line style="position:absolute" from="9124,3794" to="9166,3811" stroked="true" strokeweight=".627038pt" strokecolor="#0000ff">
              <v:stroke dashstyle="solid"/>
            </v:line>
            <v:line style="position:absolute" from="9166,3811" to="9216,3836" stroked="true" strokeweight=".627035pt" strokecolor="#0000ff">
              <v:stroke dashstyle="solid"/>
            </v:line>
            <v:line style="position:absolute" from="9216,3836" to="9266,3861" stroked="true" strokeweight=".627035pt" strokecolor="#0000ff">
              <v:stroke dashstyle="solid"/>
            </v:line>
            <v:line style="position:absolute" from="9266,3861" to="9316,3882" stroked="true" strokeweight=".627038pt" strokecolor="#0000ff">
              <v:stroke dashstyle="solid"/>
            </v:line>
            <v:line style="position:absolute" from="9316,3882" to="9371,3907" stroked="true" strokeweight=".627036pt" strokecolor="#0000ff">
              <v:stroke dashstyle="solid"/>
            </v:line>
            <v:line style="position:absolute" from="9371,3907" to="9421,3928" stroked="true" strokeweight=".627038pt" strokecolor="#0000ff">
              <v:stroke dashstyle="solid"/>
            </v:line>
            <v:line style="position:absolute" from="9423,3922" to="9423,3934" stroked="true" strokeweight=".208999pt" strokecolor="#0000ff">
              <v:stroke dashstyle="solid"/>
            </v:line>
            <v:line style="position:absolute" from="9534,3978" to="9555,3986" stroked="true" strokeweight=".627038pt" strokecolor="#0000ff">
              <v:stroke dashstyle="solid"/>
            </v:line>
            <v:line style="position:absolute" from="3753,1215" to="3807,1244" stroked="true" strokeweight=".627034pt" strokecolor="#00ffff">
              <v:stroke dashstyle="solid"/>
            </v:line>
            <v:line style="position:absolute" from="3807,1244" to="3857,1278" stroked="true" strokeweight=".62703pt" strokecolor="#00ffff">
              <v:stroke dashstyle="solid"/>
            </v:line>
            <v:line style="position:absolute" from="3857,1278" to="3907,1307" stroked="true" strokeweight=".627033pt" strokecolor="#00ffff">
              <v:stroke dashstyle="solid"/>
            </v:line>
            <v:line style="position:absolute" from="3907,1307" to="3962,1340" stroked="true" strokeweight=".627031pt" strokecolor="#00ffff">
              <v:stroke dashstyle="solid"/>
            </v:line>
            <v:line style="position:absolute" from="3962,1340" to="4012,1370" stroked="true" strokeweight=".627033pt" strokecolor="#00ffff">
              <v:stroke dashstyle="solid"/>
            </v:line>
            <v:line style="position:absolute" from="4012,1370" to="4054,1395" stroked="true" strokeweight=".627032pt" strokecolor="#00ffff">
              <v:stroke dashstyle="solid"/>
            </v:line>
            <v:line style="position:absolute" from="4160,1464" to="4173,1464" stroked="true" strokeweight=".209015pt" strokecolor="#00ffff">
              <v:stroke dashstyle="solid"/>
            </v:line>
            <v:line style="position:absolute" from="4167,1466" to="4217,1495" stroked="true" strokeweight=".627033pt" strokecolor="#00ffff">
              <v:stroke dashstyle="solid"/>
            </v:line>
            <v:line style="position:absolute" from="4217,1495" to="4238,1508" stroked="true" strokeweight=".627032pt" strokecolor="#00ffff">
              <v:stroke dashstyle="solid"/>
            </v:line>
            <v:shape style="position:absolute;left:4344;top:1568;width:314;height:189" type="#_x0000_t75" stroked="false">
              <v:imagedata r:id="rId227" o:title=""/>
            </v:shape>
            <v:line style="position:absolute" from="4760,1817" to="4785,1829" stroked="true" strokeweight=".627035pt" strokecolor="#00ffff">
              <v:stroke dashstyle="solid"/>
            </v:line>
            <v:line style="position:absolute" from="4785,1829" to="4835,1859" stroked="true" strokeweight=".627033pt" strokecolor="#00ffff">
              <v:stroke dashstyle="solid"/>
            </v:line>
            <v:shape style="position:absolute;left:4941;top:1915;width:310;height:184" type="#_x0000_t75" stroked="false">
              <v:imagedata r:id="rId228" o:title=""/>
            </v:shape>
            <v:line style="position:absolute" from="5358,2156" to="5404,2181" stroked="true" strokeweight=".627034pt" strokecolor="#00ffff">
              <v:stroke dashstyle="solid"/>
            </v:line>
            <v:line style="position:absolute" from="5404,2181" to="5433,2197" stroked="true" strokeweight=".627033pt" strokecolor="#00ffff">
              <v:stroke dashstyle="solid"/>
            </v:line>
            <v:shape style="position:absolute;left:5539;top:2253;width:310;height:180" type="#_x0000_t75" stroked="false">
              <v:imagedata r:id="rId229" o:title=""/>
            </v:shape>
            <v:line style="position:absolute" from="5956,2490" to="5968,2498" stroked="true" strokeweight=".62703pt" strokecolor="#00ffff">
              <v:stroke dashstyle="solid"/>
            </v:line>
            <v:line style="position:absolute" from="5968,2498" to="6022,2523" stroked="true" strokeweight=".627036pt" strokecolor="#00ffff">
              <v:stroke dashstyle="solid"/>
            </v:line>
            <v:line style="position:absolute" from="6022,2523" to="6031,2528" stroked="true" strokeweight=".627035pt" strokecolor="#00ffff">
              <v:stroke dashstyle="solid"/>
            </v:line>
            <v:shape style="position:absolute;left:6133;top:2583;width:314;height:172" type="#_x0000_t75" stroked="false">
              <v:imagedata r:id="rId230" o:title=""/>
            </v:shape>
            <v:line style="position:absolute" from="6553,2812" to="6587,2829" stroked="true" strokeweight=".627035pt" strokecolor="#00ffff">
              <v:stroke dashstyle="solid"/>
            </v:line>
            <v:line style="position:absolute" from="6587,2829" to="6624,2849" stroked="true" strokeweight=".627033pt" strokecolor="#00ffff">
              <v:stroke dashstyle="solid"/>
            </v:line>
            <v:shape style="position:absolute;left:6735;top:2901;width:310;height:168" type="#_x0000_t75" stroked="false">
              <v:imagedata r:id="rId231" o:title=""/>
            </v:shape>
            <v:line style="position:absolute" from="7147,3121" to="7155,3121" stroked="true" strokeweight=".627045pt" strokecolor="#00ffff">
              <v:stroke dashstyle="solid"/>
            </v:line>
            <v:line style="position:absolute" from="7155,3121" to="7205,3150" stroked="true" strokeweight=".627033pt" strokecolor="#00ffff">
              <v:stroke dashstyle="solid"/>
            </v:line>
            <v:line style="position:absolute" from="7205,3150" to="7222,3159" stroked="true" strokeweight=".627035pt" strokecolor="#00ffff">
              <v:stroke dashstyle="solid"/>
            </v:line>
            <v:line style="position:absolute" from="7335,3213" to="7360,3230" stroked="true" strokeweight=".62703pt" strokecolor="#00ffff">
              <v:stroke dashstyle="solid"/>
            </v:line>
            <v:line style="position:absolute" from="7360,3230" to="7410,3255" stroked="true" strokeweight=".627035pt" strokecolor="#00ffff">
              <v:stroke dashstyle="solid"/>
            </v:line>
            <v:line style="position:absolute" from="7410,3255" to="7465,3280" stroked="true" strokeweight=".627036pt" strokecolor="#00ffff">
              <v:stroke dashstyle="solid"/>
            </v:line>
            <v:line style="position:absolute" from="7465,3280" to="7515,3305" stroked="true" strokeweight=".627035pt" strokecolor="#00ffff">
              <v:stroke dashstyle="solid"/>
            </v:line>
            <v:line style="position:absolute" from="7515,3305" to="7565,3330" stroked="true" strokeweight=".627035pt" strokecolor="#00ffff">
              <v:stroke dashstyle="solid"/>
            </v:line>
            <v:line style="position:absolute" from="7565,3330" to="7619,3355" stroked="true" strokeweight=".627036pt" strokecolor="#00ffff">
              <v:stroke dashstyle="solid"/>
            </v:line>
            <v:line style="position:absolute" from="7619,3355" to="7632,3364" stroked="true" strokeweight=".62703pt" strokecolor="#00ffff">
              <v:stroke dashstyle="solid"/>
            </v:line>
            <v:line style="position:absolute" from="7745,3422" to="7774,3435" stroked="true" strokeweight=".627037pt" strokecolor="#00ffff">
              <v:stroke dashstyle="solid"/>
            </v:line>
            <v:line style="position:absolute" from="7774,3435" to="7820,3456" stroked="true" strokeweight=".627037pt" strokecolor="#00ffff">
              <v:stroke dashstyle="solid"/>
            </v:line>
            <v:shape style="position:absolute;left:7926;top:3503;width:310;height:159" type="#_x0000_t75" stroked="false">
              <v:imagedata r:id="rId232" o:title=""/>
            </v:shape>
            <v:line style="position:absolute" from="8342,3711" to="8393,3731" stroked="true" strokeweight=".627038pt" strokecolor="#00ffff">
              <v:stroke dashstyle="solid"/>
            </v:line>
            <v:line style="position:absolute" from="8393,3731" to="8418,3744" stroked="true" strokeweight=".627035pt" strokecolor="#00ffff">
              <v:stroke dashstyle="solid"/>
            </v:line>
            <v:shape style="position:absolute;left:8524;top:3792;width:310;height:151" type="#_x0000_t75" stroked="false">
              <v:imagedata r:id="rId233" o:title=""/>
            </v:shape>
            <v:line style="position:absolute" from="3753,1495" to="3807,1524" stroked="true" strokeweight=".627034pt" strokecolor="#ffcc00">
              <v:stroke dashstyle="solid"/>
            </v:line>
            <v:line style="position:absolute" from="3807,1524" to="3857,1558" stroked="true" strokeweight=".62703pt" strokecolor="#ffcc00">
              <v:stroke dashstyle="solid"/>
            </v:line>
            <v:line style="position:absolute" from="3857,1558" to="3907,1587" stroked="true" strokeweight=".627033pt" strokecolor="#ffcc00">
              <v:stroke dashstyle="solid"/>
            </v:line>
            <v:line style="position:absolute" from="3907,1587" to="3962,1620" stroked="true" strokeweight=".627031pt" strokecolor="#ffcc00">
              <v:stroke dashstyle="solid"/>
            </v:line>
            <v:line style="position:absolute" from="3962,1620" to="4012,1650" stroked="true" strokeweight=".627033pt" strokecolor="#ffcc00">
              <v:stroke dashstyle="solid"/>
            </v:line>
            <v:line style="position:absolute" from="4012,1650" to="4054,1675" stroked="true" strokeweight=".627032pt" strokecolor="#ffcc00">
              <v:stroke dashstyle="solid"/>
            </v:line>
            <v:shape style="position:absolute;left:4166;top:1741;width:51;height:34" coordorigin="4167,1742" coordsize="51,34" path="m4167,1742l4167,1742m4167,1742l4217,1775e" filled="false" stroked="true" strokeweight=".62702pt" strokecolor="#ffcc00">
              <v:path arrowok="t"/>
              <v:stroke dashstyle="solid"/>
            </v:shape>
            <v:line style="position:absolute" from="4217,1775" to="4238,1788" stroked="true" strokeweight=".627032pt" strokecolor="#ffcc00">
              <v:stroke dashstyle="solid"/>
            </v:line>
            <v:shape style="position:absolute;left:4344;top:1848;width:314;height:189" type="#_x0000_t75" stroked="false">
              <v:imagedata r:id="rId234" o:title=""/>
            </v:shape>
            <v:line style="position:absolute" from="4760,2093" to="4785,2110" stroked="true" strokeweight=".62703pt" strokecolor="#ffcc00">
              <v:stroke dashstyle="solid"/>
            </v:line>
            <v:line style="position:absolute" from="4785,2110" to="4835,2139" stroked="true" strokeweight=".627033pt" strokecolor="#ffcc00">
              <v:stroke dashstyle="solid"/>
            </v:line>
            <v:shape style="position:absolute;left:4941;top:2195;width:310;height:184" type="#_x0000_t75" stroked="false">
              <v:imagedata r:id="rId235" o:title=""/>
            </v:shape>
            <v:line style="position:absolute" from="5358,2436" to="5404,2461" stroked="true" strokeweight=".627034pt" strokecolor="#ffcc00">
              <v:stroke dashstyle="solid"/>
            </v:line>
            <v:line style="position:absolute" from="5404,2461" to="5433,2477" stroked="true" strokeweight=".627033pt" strokecolor="#ffcc00">
              <v:stroke dashstyle="solid"/>
            </v:line>
            <v:shape style="position:absolute;left:5539;top:2533;width:310;height:180" type="#_x0000_t75" stroked="false">
              <v:imagedata r:id="rId236" o:title=""/>
            </v:shape>
            <v:line style="position:absolute" from="5956,2766" to="5968,2774" stroked="true" strokeweight=".62703pt" strokecolor="#ffcc00">
              <v:stroke dashstyle="solid"/>
            </v:line>
            <v:line style="position:absolute" from="5968,2774" to="6022,2803" stroked="true" strokeweight=".627034pt" strokecolor="#ffcc00">
              <v:stroke dashstyle="solid"/>
            </v:line>
            <v:line style="position:absolute" from="6022,2803" to="6031,2808" stroked="true" strokeweight=".627035pt" strokecolor="#ffcc00">
              <v:stroke dashstyle="solid"/>
            </v:line>
            <v:shape style="position:absolute;left:6133;top:2864;width:314;height:172" type="#_x0000_t75" stroked="false">
              <v:imagedata r:id="rId237" o:title=""/>
            </v:shape>
            <v:line style="position:absolute" from="6553,3088" to="6587,3109" stroked="true" strokeweight=".627031pt" strokecolor="#ffcc00">
              <v:stroke dashstyle="solid"/>
            </v:line>
            <v:line style="position:absolute" from="6587,3109" to="6624,3130" stroked="true" strokeweight=".627033pt" strokecolor="#ffcc00">
              <v:stroke dashstyle="solid"/>
            </v:line>
            <v:shape style="position:absolute;left:6735;top:3181;width:310;height:168" type="#_x0000_t75" stroked="false">
              <v:imagedata r:id="rId238" o:title=""/>
            </v:shape>
            <v:line style="position:absolute" from="7147,3397" to="7155,3401" stroked="true" strokeweight=".627035pt" strokecolor="#ffcc00">
              <v:stroke dashstyle="solid"/>
            </v:line>
            <v:line style="position:absolute" from="7155,3401" to="7205,3426" stroked="true" strokeweight=".627035pt" strokecolor="#ffcc00">
              <v:stroke dashstyle="solid"/>
            </v:line>
            <v:line style="position:absolute" from="7205,3426" to="7222,3439" stroked="true" strokeweight=".627027pt" strokecolor="#ffcc00">
              <v:stroke dashstyle="solid"/>
            </v:line>
            <v:shape style="position:absolute;left:7328;top:3486;width:310;height:164" type="#_x0000_t75" stroked="false">
              <v:imagedata r:id="rId239" o:title=""/>
            </v:shape>
            <v:line style="position:absolute" from="7745,3698" to="7774,3711" stroked="true" strokeweight=".627037pt" strokecolor="#ffcc00">
              <v:stroke dashstyle="solid"/>
            </v:line>
            <v:line style="position:absolute" from="7774,3711" to="7820,3736" stroked="true" strokeweight=".627034pt" strokecolor="#ffcc00">
              <v:stroke dashstyle="solid"/>
            </v:line>
            <v:shape style="position:absolute;left:7926;top:3783;width:310;height:159" type="#_x0000_t75" stroked="false">
              <v:imagedata r:id="rId240" o:title=""/>
            </v:shape>
            <v:shape style="position:absolute;left:3746;top:1764;width:314;height:197" type="#_x0000_t75" stroked="false">
              <v:imagedata r:id="rId241" o:title=""/>
            </v:shape>
            <v:shape style="position:absolute;left:4166;top:2021;width:51;height:30" coordorigin="4167,2022" coordsize="51,30" path="m4167,2022l4167,2022m4167,2022l4217,2051e" filled="false" stroked="true" strokeweight=".62702pt" strokecolor="#ff6600">
              <v:path arrowok="t"/>
              <v:stroke dashstyle="solid"/>
            </v:shape>
            <v:line style="position:absolute" from="4217,2051" to="4238,2064" stroked="true" strokeweight=".627032pt" strokecolor="#ff6600">
              <v:stroke dashstyle="solid"/>
            </v:line>
            <v:shape style="position:absolute;left:4344;top:2124;width:314;height:189" type="#_x0000_t75" stroked="false">
              <v:imagedata r:id="rId242" o:title=""/>
            </v:shape>
            <v:line style="position:absolute" from="4760,2373" to="4785,2385" stroked="true" strokeweight=".627035pt" strokecolor="#ff6600">
              <v:stroke dashstyle="solid"/>
            </v:line>
            <v:line style="position:absolute" from="4785,2385" to="4835,2415" stroked="true" strokeweight=".627033pt" strokecolor="#ff6600">
              <v:stroke dashstyle="solid"/>
            </v:line>
            <v:shape style="position:absolute;left:4941;top:2475;width:310;height:184" type="#_x0000_t75" stroked="false">
              <v:imagedata r:id="rId243" o:title=""/>
            </v:shape>
            <v:line style="position:absolute" from="5358,2716" to="5404,2741" stroked="true" strokeweight=".627034pt" strokecolor="#ff6600">
              <v:stroke dashstyle="solid"/>
            </v:line>
            <v:line style="position:absolute" from="5404,2741" to="5433,2757" stroked="true" strokeweight=".627033pt" strokecolor="#ff6600">
              <v:stroke dashstyle="solid"/>
            </v:line>
            <v:shape style="position:absolute;left:5539;top:2813;width:310;height:176" type="#_x0000_t75" stroked="false">
              <v:imagedata r:id="rId244" o:title=""/>
            </v:shape>
            <v:line style="position:absolute" from="5956,3046" to="5968,3054" stroked="true" strokeweight=".62703pt" strokecolor="#ff6600">
              <v:stroke dashstyle="solid"/>
            </v:line>
            <v:line style="position:absolute" from="5968,3054" to="6022,3084" stroked="true" strokeweight=".627034pt" strokecolor="#ff6600">
              <v:stroke dashstyle="solid"/>
            </v:line>
            <v:line style="position:absolute" from="6022,3084" to="6031,3088" stroked="true" strokeweight=".627035pt" strokecolor="#ff6600">
              <v:stroke dashstyle="solid"/>
            </v:line>
            <v:shape style="position:absolute;left:6133;top:3139;width:314;height:176" type="#_x0000_t75" stroked="false">
              <v:imagedata r:id="rId245" o:title=""/>
            </v:shape>
            <v:line style="position:absolute" from="6553,3368" to="6587,3385" stroked="true" strokeweight=".627035pt" strokecolor="#ff6600">
              <v:stroke dashstyle="solid"/>
            </v:line>
            <v:line style="position:absolute" from="6587,3385" to="6624,3405" stroked="true" strokeweight=".627033pt" strokecolor="#ff6600">
              <v:stroke dashstyle="solid"/>
            </v:line>
            <v:shape style="position:absolute;left:6731;top:3457;width:314;height:168" type="#_x0000_t75" stroked="false">
              <v:imagedata r:id="rId246" o:title=""/>
            </v:shape>
            <v:line style="position:absolute" from="7147,3677" to="7155,3681" stroked="true" strokeweight=".627035pt" strokecolor="#ff6600">
              <v:stroke dashstyle="solid"/>
            </v:line>
            <v:line style="position:absolute" from="7155,3681" to="7205,3706" stroked="true" strokeweight=".627035pt" strokecolor="#ff6600">
              <v:stroke dashstyle="solid"/>
            </v:line>
            <v:line style="position:absolute" from="7205,3706" to="7222,3715" stroked="true" strokeweight=".627035pt" strokecolor="#ff6600">
              <v:stroke dashstyle="solid"/>
            </v:line>
            <v:shape style="position:absolute;left:7328;top:3767;width:310;height:164" type="#_x0000_t75" stroked="false">
              <v:imagedata r:id="rId247" o:title=""/>
            </v:shape>
            <v:line style="position:absolute" from="7745,3978" to="7766,3986" stroked="true" strokeweight=".627038pt" strokecolor="#ff6600">
              <v:stroke dashstyle="solid"/>
            </v:line>
            <v:shape style="position:absolute;left:3746;top:2044;width:314;height:193" type="#_x0000_t75" stroked="false">
              <v:imagedata r:id="rId248" o:title=""/>
            </v:shape>
            <v:line style="position:absolute" from="4160,2300" to="4173,2300" stroked="true" strokeweight=".209015pt" strokecolor="#ff00ff">
              <v:stroke dashstyle="solid"/>
            </v:line>
            <v:line style="position:absolute" from="4167,2302" to="4217,2331" stroked="true" strokeweight=".627033pt" strokecolor="#ff00ff">
              <v:stroke dashstyle="solid"/>
            </v:line>
            <v:line style="position:absolute" from="4217,2331" to="4238,2344" stroked="true" strokeweight=".627032pt" strokecolor="#ff00ff">
              <v:stroke dashstyle="solid"/>
            </v:line>
            <v:shape style="position:absolute;left:4344;top:2404;width:314;height:189" type="#_x0000_t75" stroked="false">
              <v:imagedata r:id="rId249" o:title=""/>
            </v:shape>
            <v:line style="position:absolute" from="4760,2653" to="4785,2666" stroked="true" strokeweight=".627035pt" strokecolor="#ff00ff">
              <v:stroke dashstyle="solid"/>
            </v:line>
            <v:line style="position:absolute" from="4785,2666" to="4835,2695" stroked="true" strokeweight=".627033pt" strokecolor="#ff00ff">
              <v:stroke dashstyle="solid"/>
            </v:line>
            <v:shape style="position:absolute;left:4941;top:2751;width:310;height:184" type="#_x0000_t75" stroked="false">
              <v:imagedata r:id="rId250" o:title=""/>
            </v:shape>
            <v:line style="position:absolute" from="5358,2992" to="5404,3017" stroked="true" strokeweight=".627034pt" strokecolor="#ff00ff">
              <v:stroke dashstyle="solid"/>
            </v:line>
            <v:line style="position:absolute" from="5404,3017" to="5433,3033" stroked="true" strokeweight=".627033pt" strokecolor="#ff00ff">
              <v:stroke dashstyle="solid"/>
            </v:line>
            <v:shape style="position:absolute;left:5539;top:3089;width:310;height:180" type="#_x0000_t75" stroked="false">
              <v:imagedata r:id="rId251" o:title=""/>
            </v:shape>
            <v:line style="position:absolute" from="5956,3326" to="5968,3334" stroked="true" strokeweight=".62703pt" strokecolor="#ff00ff">
              <v:stroke dashstyle="solid"/>
            </v:line>
            <v:line style="position:absolute" from="5968,3334" to="6023,3359" stroked="true" strokeweight=".627036pt" strokecolor="#ff00ff">
              <v:stroke dashstyle="solid"/>
            </v:line>
            <v:line style="position:absolute" from="6023,3359" to="6031,3364" stroked="true" strokeweight=".627035pt" strokecolor="#ff00ff">
              <v:stroke dashstyle="solid"/>
            </v:line>
            <v:shape style="position:absolute;left:6133;top:3420;width:314;height:172" type="#_x0000_t75" stroked="false">
              <v:imagedata r:id="rId252" o:title=""/>
            </v:shape>
            <v:line style="position:absolute" from="6553,3648" to="6587,3665" stroked="true" strokeweight=".627035pt" strokecolor="#ff00ff">
              <v:stroke dashstyle="solid"/>
            </v:line>
            <v:line style="position:absolute" from="6587,3665" to="6624,3685" stroked="true" strokeweight=".627033pt" strokecolor="#ff00ff">
              <v:stroke dashstyle="solid"/>
            </v:line>
            <v:shape style="position:absolute;left:6735;top:3737;width:310;height:168" type="#_x0000_t75" stroked="false">
              <v:imagedata r:id="rId253" o:title=""/>
            </v:shape>
            <v:line style="position:absolute" from="7147,3957" to="7155,3957" stroked="true" strokeweight=".627045pt" strokecolor="#ff00ff">
              <v:stroke dashstyle="solid"/>
            </v:line>
            <v:line style="position:absolute" from="7155,3957" to="7205,3986" stroked="true" strokeweight=".627033pt" strokecolor="#ff00ff">
              <v:stroke dashstyle="solid"/>
            </v:line>
            <v:line style="position:absolute" from="7208,3980" to="7208,3993" stroked="true" strokeweight=".208999pt" strokecolor="#ff00ff">
              <v:stroke dashstyle="solid"/>
            </v:line>
            <v:shape style="position:absolute;left:3710;top:1453;width:84;height:63" coordorigin="3711,1453" coordsize="84,63" path="m3753,1516l3711,1487,3753,1453,3795,1487,3753,1516xe" filled="true" fillcolor="#ffcc00" stroked="false">
              <v:path arrowok="t"/>
              <v:fill type="solid"/>
            </v:shape>
            <v:shape style="position:absolute;left:3710;top:1453;width:84;height:63" coordorigin="3711,1453" coordsize="84,63" path="m3753,1453l3795,1487,3753,1516,3711,1487,3753,1453xe" filled="false" stroked="true" strokeweight="1.254055pt" strokecolor="#ffcc00">
              <v:path arrowok="t"/>
              <v:stroke dashstyle="solid"/>
            </v:shape>
            <v:shape style="position:absolute;left:7255;top:3334;width:84;height:63" coordorigin="7256,3334" coordsize="84,63" path="m7297,3397l7256,3364,7297,3334,7339,3364,7297,3397xe" filled="true" fillcolor="#ffcc00" stroked="false">
              <v:path arrowok="t"/>
              <v:fill type="solid"/>
            </v:shape>
            <v:shape style="position:absolute;left:7255;top:3334;width:84;height:63" coordorigin="7256,3334" coordsize="84,63" path="m7297,3334l7339,3364,7297,3397,7256,3364,7297,3334xe" filled="false" stroked="true" strokeweight="1.254055pt" strokecolor="#ffcc00">
              <v:path arrowok="t"/>
              <v:stroke dashstyle="solid"/>
            </v:shape>
            <v:shape style="position:absolute;left:3710;top:1097;width:84;height:67" coordorigin="3711,1098" coordsize="84,67" path="m3753,1165l3711,1131,3753,1098,3795,1131,3753,1165xe" filled="true" fillcolor="#00ffff" stroked="false">
              <v:path arrowok="t"/>
              <v:fill type="solid"/>
            </v:shape>
            <v:shape style="position:absolute;left:3710;top:1097;width:84;height:67" coordorigin="3711,1098" coordsize="84,67" path="m3753,1098l3795,1131,3753,1165,3711,1131,3753,1098xe" filled="false" stroked="true" strokeweight="1.254052pt" strokecolor="#00ffff">
              <v:path arrowok="t"/>
              <v:stroke dashstyle="solid"/>
            </v:shape>
            <v:shape style="position:absolute;left:7255;top:2665;width:84;height:67" coordorigin="7256,2666" coordsize="84,67" path="m7297,2732l7256,2699,7297,2666,7339,2699,7297,2732xe" filled="true" fillcolor="#00ffff" stroked="false">
              <v:path arrowok="t"/>
              <v:fill type="solid"/>
            </v:shape>
            <v:shape style="position:absolute;left:7255;top:2665;width:84;height:67" coordorigin="7256,2666" coordsize="84,67" path="m7297,2666l7339,2699,7297,2732,7256,2699,7297,2666xe" filled="false" stroked="true" strokeweight="1.254052pt" strokecolor="#00ffff">
              <v:path arrowok="t"/>
              <v:stroke dashstyle="solid"/>
            </v:shape>
            <v:shape style="position:absolute;left:3710;top:299;width:84;height:67" coordorigin="3711,299" coordsize="84,67" path="m3753,366l3711,333,3753,299,3795,333,3753,366xe" filled="true" fillcolor="#00ff00" stroked="false">
              <v:path arrowok="t"/>
              <v:fill type="solid"/>
            </v:shape>
            <v:shape style="position:absolute;left:3710;top:299;width:84;height:67" coordorigin="3711,299" coordsize="84,67" path="m3753,299l3795,333,3753,366,3711,333,3753,299xe" filled="false" stroked="true" strokeweight="1.881077pt" strokecolor="#00ff00">
              <v:path arrowok="t"/>
              <v:stroke dashstyle="solid"/>
            </v:shape>
            <v:shape style="position:absolute;left:7284;top:2122;width:84;height:67" coordorigin="7285,2122" coordsize="84,67" path="m7327,2189l7285,2156,7327,2122,7368,2156,7327,2189xe" filled="true" fillcolor="#00ff00" stroked="false">
              <v:path arrowok="t"/>
              <v:fill type="solid"/>
            </v:shape>
            <v:shape style="position:absolute;left:7284;top:2122;width:84;height:67" coordorigin="7285,2122" coordsize="84,67" path="m7327,2122l7368,2156,7327,2189,7285,2156,7327,2122xe" filled="false" stroked="true" strokeweight="1.881077pt" strokecolor="#00ff00">
              <v:path arrowok="t"/>
              <v:stroke dashstyle="solid"/>
            </v:shape>
            <v:shape style="position:absolute;left:3710;top:445;width:84;height:67" coordorigin="3711,446" coordsize="84,67" path="m3753,513l3711,479,3753,446,3795,479,3753,513xe" filled="true" fillcolor="#aaff00" stroked="false">
              <v:path arrowok="t"/>
              <v:fill type="solid"/>
            </v:shape>
            <v:shape style="position:absolute;left:3710;top:445;width:84;height:67" coordorigin="3711,446" coordsize="84,67" path="m3753,446l3795,479,3753,513,3711,479,3753,446xe" filled="false" stroked="true" strokeweight="1.881077pt" strokecolor="#aaff00">
              <v:path arrowok="t"/>
              <v:stroke dashstyle="solid"/>
            </v:shape>
            <v:shape style="position:absolute;left:7255;top:2272;width:84;height:63" coordorigin="7256,2273" coordsize="84,63" path="m7297,2335l7256,2302,7297,2273,7339,2302,7297,2335xe" filled="true" fillcolor="#aaff00" stroked="false">
              <v:path arrowok="t"/>
              <v:fill type="solid"/>
            </v:shape>
            <v:shape style="position:absolute;left:7255;top:2272;width:84;height:63" coordorigin="7256,2273" coordsize="84,63" path="m7297,2273l7339,2302,7297,2335,7256,2302,7297,2273xe" filled="false" stroked="true" strokeweight="1.881082pt" strokecolor="#aaff00">
              <v:path arrowok="t"/>
              <v:stroke dashstyle="solid"/>
            </v:shape>
            <v:shape style="position:absolute;left:3710;top:587;width:84;height:67" coordorigin="3711,588" coordsize="84,67" path="m3753,655l3711,621,3753,588,3795,621,3753,655xe" filled="true" fillcolor="#800080" stroked="false">
              <v:path arrowok="t"/>
              <v:fill type="solid"/>
            </v:shape>
            <v:shape style="position:absolute;left:3710;top:587;width:84;height:67" coordorigin="3711,588" coordsize="84,67" path="m3753,588l3795,621,3753,655,3711,621,3753,588xe" filled="false" stroked="true" strokeweight="1.881077pt" strokecolor="#800080">
              <v:path arrowok="t"/>
              <v:stroke dashstyle="solid"/>
            </v:shape>
            <v:shape style="position:absolute;left:7284;top:2460;width:84;height:67" coordorigin="7285,2461" coordsize="84,67" path="m7327,2528l7285,2494,7327,2461,7368,2494,7327,2528xe" filled="true" fillcolor="#800080" stroked="false">
              <v:path arrowok="t"/>
              <v:fill type="solid"/>
            </v:shape>
            <v:shape style="position:absolute;left:7284;top:2460;width:84;height:67" coordorigin="7285,2461" coordsize="84,67" path="m7327,2461l7368,2494,7327,2528,7285,2494,7327,2461xe" filled="false" stroked="true" strokeweight="1.881077pt" strokecolor="#800080">
              <v:path arrowok="t"/>
              <v:stroke dashstyle="solid"/>
            </v:shape>
            <v:shape style="position:absolute;left:3710;top:395;width:84;height:67" coordorigin="3711,396" coordsize="84,67" path="m3753,462l3711,429,3753,396,3795,429,3753,462xe" filled="true" fillcolor="#ccffcc" stroked="false">
              <v:path arrowok="t"/>
              <v:fill type="solid"/>
            </v:shape>
            <v:shape style="position:absolute;left:3710;top:395;width:84;height:67" coordorigin="3711,396" coordsize="84,67" path="m3753,396l3795,429,3753,462,3711,429,3753,396xe" filled="false" stroked="true" strokeweight="1.881077pt" strokecolor="#ccffcc">
              <v:path arrowok="t"/>
              <v:stroke dashstyle="solid"/>
            </v:shape>
            <v:shape style="position:absolute;left:7284;top:2339;width:84;height:67" coordorigin="7285,2339" coordsize="84,67" path="m7327,2406l7285,2373,7327,2339,7368,2373,7327,2406xe" filled="true" fillcolor="#ccffcc" stroked="false">
              <v:path arrowok="t"/>
              <v:fill type="solid"/>
            </v:shape>
            <v:shape style="position:absolute;left:7284;top:2339;width:84;height:67" coordorigin="7285,2339" coordsize="84,67" path="m7327,2339l7368,2373,7327,2406,7285,2373,7327,2339xe" filled="false" stroked="true" strokeweight="1.881077pt" strokecolor="#ccffcc">
              <v:path arrowok="t"/>
              <v:stroke dashstyle="solid"/>
            </v:shape>
            <v:shape style="position:absolute;left:3710;top:1336;width:84;height:67" coordorigin="3711,1336" coordsize="84,67" path="m3753,1403l3711,1370,3753,1336,3795,1370,3753,1403xe" filled="true" fillcolor="#ffff99" stroked="false">
              <v:path arrowok="t"/>
              <v:fill type="solid"/>
            </v:shape>
            <v:shape style="position:absolute;left:3710;top:1336;width:84;height:67" coordorigin="3711,1336" coordsize="84,67" path="m3753,1336l3795,1370,3753,1403,3711,1370,3753,1336xe" filled="false" stroked="true" strokeweight="1.881077pt" strokecolor="#ffff99">
              <v:path arrowok="t"/>
              <v:stroke dashstyle="solid"/>
            </v:shape>
            <v:shape style="position:absolute;left:7255;top:3183;width:84;height:63" coordorigin="7256,3184" coordsize="84,63" path="m7297,3247l7256,3213,7297,3184,7339,3213,7297,3247xe" filled="true" fillcolor="#ffff99" stroked="false">
              <v:path arrowok="t"/>
              <v:fill type="solid"/>
            </v:shape>
            <v:shape style="position:absolute;left:7255;top:3183;width:84;height:63" coordorigin="7256,3184" coordsize="84,63" path="m7297,3184l7339,3213,7297,3247,7256,3213,7297,3184xe" filled="false" stroked="true" strokeweight="1.881082pt" strokecolor="#ffff99">
              <v:path arrowok="t"/>
              <v:stroke dashstyle="solid"/>
            </v:shape>
            <v:line style="position:absolute" from="7920,998" to="8104,998" stroked="true" strokeweight=".41803pt" strokecolor="#800080">
              <v:stroke dashstyle="solid"/>
            </v:line>
            <v:line style="position:absolute" from="7920,1198" to="8104,1198" stroked="true" strokeweight=".41803pt" strokecolor="#0000ff">
              <v:stroke dashstyle="solid"/>
            </v:line>
            <v:line style="position:absolute" from="7920,1399" to="8104,1399" stroked="true" strokeweight=".41803pt" strokecolor="#00ffff">
              <v:stroke dashstyle="solid"/>
            </v:line>
            <v:line style="position:absolute" from="7916,1800" to="8104,1800" stroked="true" strokeweight=".41803pt" strokecolor="#ff9900">
              <v:stroke dashstyle="solid"/>
            </v:line>
            <v:shape style="position:absolute;left:7920;top:241;width:204;height:223" type="#_x0000_t202" filled="false" stroked="false">
              <v:textbox inset="0,0,0,0">
                <w:txbxContent>
                  <w:p>
                    <w:pPr>
                      <w:spacing w:line="222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100"/>
                        <w:sz w:val="20"/>
                        <w:u w:val="single" w:color="303030"/>
                      </w:rPr>
                      <w:t> </w:t>
                    </w:r>
                    <w:r>
                      <w:rPr>
                        <w:spacing w:val="-17"/>
                        <w:sz w:val="20"/>
                        <w:u w:val="single" w:color="303030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7920;top:434;width:1815;height:1665" type="#_x0000_t202" filled="false" stroked="false">
              <v:textbox inset="0,0,0,0">
                <w:txbxContent>
                  <w:p>
                    <w:pPr>
                      <w:spacing w:line="218" w:lineRule="auto" w:before="7"/>
                      <w:ind w:left="309" w:right="22" w:hanging="310"/>
                      <w:jc w:val="right"/>
                      <w:rPr>
                        <w:sz w:val="20"/>
                      </w:rPr>
                    </w:pPr>
                    <w:r>
                      <w:rPr>
                        <w:w w:val="100"/>
                        <w:sz w:val="20"/>
                        <w:u w:val="single" w:color="00FF55"/>
                      </w:rPr>
                      <w:t> </w:t>
                    </w:r>
                    <w:r>
                      <w:rPr>
                        <w:sz w:val="20"/>
                        <w:u w:val="single" w:color="00FF55"/>
                      </w:rPr>
                      <w:t>  </w:t>
                    </w:r>
                    <w:r>
                      <w:rPr>
                        <w:spacing w:val="-17"/>
                        <w:sz w:val="20"/>
                        <w:u w:val="single" w:color="00FF55"/>
                      </w:rPr>
                      <w:t> </w:t>
                    </w:r>
                    <w:r>
                      <w:rPr>
                        <w:sz w:val="20"/>
                      </w:rPr>
                      <w:t>  </w:t>
                    </w:r>
                    <w:r>
                      <w:rPr>
                        <w:spacing w:val="-25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2800 fps (</w:t>
                    </w:r>
                    <w:r>
                      <w:rPr>
                        <w:position w:val="1"/>
                        <w:sz w:val="20"/>
                      </w:rPr>
                      <w:t>850m/s)</w:t>
                    </w:r>
                    <w:r>
                      <w:rPr>
                        <w:spacing w:val="-47"/>
                        <w:position w:val="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2600 fps</w:t>
                    </w:r>
                    <w:r>
                      <w:rPr>
                        <w:spacing w:val="2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(790m/s)</w:t>
                    </w:r>
                  </w:p>
                  <w:p>
                    <w:pPr>
                      <w:spacing w:line="206" w:lineRule="exact" w:before="0"/>
                      <w:ind w:left="0" w:right="22" w:firstLine="0"/>
                      <w:jc w:val="righ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2400</w:t>
                    </w:r>
                    <w:r>
                      <w:rPr>
                        <w:spacing w:val="5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fps</w:t>
                    </w:r>
                    <w:r>
                      <w:rPr>
                        <w:spacing w:val="6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(730m/s)</w:t>
                    </w:r>
                  </w:p>
                  <w:p>
                    <w:pPr>
                      <w:spacing w:line="201" w:lineRule="exact" w:before="0"/>
                      <w:ind w:left="0" w:right="18" w:firstLine="0"/>
                      <w:jc w:val="righ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2200</w:t>
                    </w:r>
                    <w:r>
                      <w:rPr>
                        <w:spacing w:val="7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fps</w:t>
                    </w:r>
                    <w:r>
                      <w:rPr>
                        <w:spacing w:val="8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(670m/s)</w:t>
                    </w:r>
                  </w:p>
                  <w:p>
                    <w:pPr>
                      <w:spacing w:line="208" w:lineRule="auto" w:before="10"/>
                      <w:ind w:left="309" w:right="18" w:hanging="310"/>
                      <w:jc w:val="right"/>
                      <w:rPr>
                        <w:sz w:val="20"/>
                      </w:rPr>
                    </w:pPr>
                    <w:r>
                      <w:rPr>
                        <w:w w:val="100"/>
                        <w:sz w:val="20"/>
                        <w:u w:val="single" w:color="FFCC00"/>
                      </w:rPr>
                      <w:t> </w:t>
                    </w:r>
                    <w:r>
                      <w:rPr>
                        <w:sz w:val="20"/>
                        <w:u w:val="single" w:color="FFCC00"/>
                      </w:rPr>
                      <w:t>  </w:t>
                    </w:r>
                    <w:r>
                      <w:rPr>
                        <w:spacing w:val="-17"/>
                        <w:sz w:val="20"/>
                        <w:u w:val="single" w:color="FFCC00"/>
                      </w:rPr>
                      <w:t> </w:t>
                    </w:r>
                    <w:r>
                      <w:rPr>
                        <w:sz w:val="20"/>
                      </w:rPr>
                      <w:t>  </w:t>
                    </w:r>
                    <w:r>
                      <w:rPr>
                        <w:spacing w:val="-25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2000 fps</w:t>
                    </w:r>
                    <w:r>
                      <w:rPr>
                        <w:spacing w:val="2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(610m/s)</w:t>
                    </w:r>
                    <w:r>
                      <w:rPr>
                        <w:spacing w:val="-47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1800 fps</w:t>
                    </w:r>
                    <w:r>
                      <w:rPr>
                        <w:spacing w:val="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(550m/s)</w:t>
                    </w:r>
                  </w:p>
                  <w:p>
                    <w:pPr>
                      <w:spacing w:line="213" w:lineRule="auto" w:before="0"/>
                      <w:ind w:left="309" w:right="18" w:hanging="276"/>
                      <w:jc w:val="right"/>
                      <w:rPr>
                        <w:sz w:val="20"/>
                      </w:rPr>
                    </w:pPr>
                    <w:r>
                      <w:rPr>
                        <w:w w:val="100"/>
                        <w:sz w:val="20"/>
                        <w:u w:val="single" w:color="FF00FF"/>
                      </w:rPr>
                      <w:t> </w:t>
                    </w:r>
                    <w:r>
                      <w:rPr>
                        <w:sz w:val="20"/>
                        <w:u w:val="single" w:color="FF00FF"/>
                      </w:rPr>
                      <w:t>  </w:t>
                    </w:r>
                    <w:r>
                      <w:rPr>
                        <w:spacing w:val="-17"/>
                        <w:sz w:val="20"/>
                        <w:u w:val="single" w:color="FF00FF"/>
                      </w:rPr>
                      <w:t> </w:t>
                    </w:r>
                    <w:r>
                      <w:rPr>
                        <w:sz w:val="20"/>
                      </w:rPr>
                      <w:t> </w:t>
                    </w:r>
                    <w:r>
                      <w:rPr>
                        <w:spacing w:val="-9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1600</w:t>
                    </w:r>
                    <w:r>
                      <w:rPr>
                        <w:spacing w:val="2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fps</w:t>
                    </w:r>
                    <w:r>
                      <w:rPr>
                        <w:spacing w:val="-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(490m/s)</w:t>
                    </w:r>
                    <w:r>
                      <w:rPr>
                        <w:spacing w:val="-47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1400 fps</w:t>
                    </w:r>
                    <w:r>
                      <w:rPr>
                        <w:spacing w:val="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(430m/s)</w:t>
                    </w:r>
                  </w:p>
                </w:txbxContent>
              </v:textbox>
              <w10:wrap type="none"/>
            </v:shape>
            <v:shape style="position:absolute;left:8798;top:241;width:216;height:252" type="#_x0000_t202" filled="false" stroked="false">
              <v:textbox inset="0,0,0,0">
                <w:txbxContent>
                  <w:p>
                    <w:pPr>
                      <w:spacing w:line="252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pacing w:val="-7"/>
                        <w:sz w:val="20"/>
                      </w:rPr>
                      <w:t>V</w:t>
                    </w:r>
                    <w:r>
                      <w:rPr>
                        <w:spacing w:val="-7"/>
                        <w:position w:val="-2"/>
                        <w:sz w:val="20"/>
                      </w:rPr>
                      <w:t>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18"/>
        </w:rPr>
        <w:t>2800</w:t>
      </w:r>
    </w:p>
    <w:p>
      <w:pPr>
        <w:spacing w:before="69"/>
        <w:ind w:left="0" w:right="6865" w:firstLine="0"/>
        <w:jc w:val="right"/>
        <w:rPr>
          <w:sz w:val="18"/>
        </w:rPr>
      </w:pPr>
      <w:r>
        <w:rPr>
          <w:sz w:val="18"/>
        </w:rPr>
        <w:t>2600</w:t>
      </w:r>
    </w:p>
    <w:p>
      <w:pPr>
        <w:spacing w:before="73"/>
        <w:ind w:left="0" w:right="6865" w:firstLine="0"/>
        <w:jc w:val="right"/>
        <w:rPr>
          <w:sz w:val="18"/>
        </w:rPr>
      </w:pPr>
      <w:r>
        <w:rPr>
          <w:sz w:val="18"/>
        </w:rPr>
        <w:t>2400</w:t>
      </w:r>
    </w:p>
    <w:p>
      <w:pPr>
        <w:spacing w:before="73"/>
        <w:ind w:left="0" w:right="6865" w:firstLine="0"/>
        <w:jc w:val="right"/>
        <w:rPr>
          <w:sz w:val="18"/>
        </w:rPr>
      </w:pPr>
      <w:r>
        <w:rPr>
          <w:sz w:val="18"/>
        </w:rPr>
        <w:t>2200</w:t>
      </w:r>
    </w:p>
    <w:p>
      <w:pPr>
        <w:spacing w:before="69"/>
        <w:ind w:left="0" w:right="6865" w:firstLine="0"/>
        <w:jc w:val="right"/>
        <w:rPr>
          <w:sz w:val="18"/>
        </w:rPr>
      </w:pPr>
      <w:r>
        <w:rPr>
          <w:sz w:val="18"/>
        </w:rPr>
        <w:t>2000</w:t>
      </w:r>
    </w:p>
    <w:p>
      <w:pPr>
        <w:spacing w:before="73"/>
        <w:ind w:left="0" w:right="6865" w:firstLine="0"/>
        <w:jc w:val="right"/>
        <w:rPr>
          <w:sz w:val="18"/>
        </w:rPr>
      </w:pPr>
      <w:r>
        <w:rPr/>
        <w:pict>
          <v:shape style="position:absolute;margin-left:106.371857pt;margin-top:12.875213pt;width:16.850pt;height:56pt;mso-position-horizontal-relative:page;mso-position-vertical-relative:paragraph;z-index:15844352" type="#_x0000_t202" filled="false" stroked="false">
            <v:textbox inset="0,0,0,0" style="layout-flow:vertical;mso-layout-flow-alt:bottom-to-top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sz w:val="26"/>
                    </w:rPr>
                  </w:pPr>
                  <w:r>
                    <w:rPr>
                      <w:sz w:val="26"/>
                    </w:rPr>
                    <w:t>V(x)</w:t>
                  </w:r>
                  <w:r>
                    <w:rPr>
                      <w:spacing w:val="21"/>
                      <w:sz w:val="26"/>
                    </w:rPr>
                    <w:t> </w:t>
                  </w:r>
                  <w:r>
                    <w:rPr>
                      <w:sz w:val="26"/>
                    </w:rPr>
                    <w:t>(fps)</w:t>
                  </w:r>
                </w:p>
              </w:txbxContent>
            </v:textbox>
            <w10:wrap type="none"/>
          </v:shape>
        </w:pict>
      </w:r>
      <w:r>
        <w:rPr>
          <w:sz w:val="18"/>
        </w:rPr>
        <w:t>1800</w:t>
      </w:r>
    </w:p>
    <w:p>
      <w:pPr>
        <w:spacing w:before="73"/>
        <w:ind w:left="0" w:right="6865" w:firstLine="0"/>
        <w:jc w:val="right"/>
        <w:rPr>
          <w:sz w:val="18"/>
        </w:rPr>
      </w:pPr>
      <w:r>
        <w:rPr>
          <w:sz w:val="18"/>
        </w:rPr>
        <w:t>1600</w:t>
      </w:r>
    </w:p>
    <w:p>
      <w:pPr>
        <w:spacing w:before="69"/>
        <w:ind w:left="0" w:right="6865" w:firstLine="0"/>
        <w:jc w:val="right"/>
        <w:rPr>
          <w:sz w:val="18"/>
        </w:rPr>
      </w:pPr>
      <w:r>
        <w:rPr>
          <w:sz w:val="18"/>
        </w:rPr>
        <w:t>1400</w:t>
      </w:r>
    </w:p>
    <w:p>
      <w:pPr>
        <w:spacing w:before="73"/>
        <w:ind w:left="0" w:right="6865" w:firstLine="0"/>
        <w:jc w:val="right"/>
        <w:rPr>
          <w:sz w:val="18"/>
        </w:rPr>
      </w:pPr>
      <w:r>
        <w:rPr>
          <w:sz w:val="18"/>
        </w:rPr>
        <w:t>1200</w:t>
      </w:r>
    </w:p>
    <w:p>
      <w:pPr>
        <w:spacing w:before="73"/>
        <w:ind w:left="0" w:right="6865" w:firstLine="0"/>
        <w:jc w:val="right"/>
        <w:rPr>
          <w:sz w:val="18"/>
        </w:rPr>
      </w:pPr>
      <w:r>
        <w:rPr>
          <w:sz w:val="18"/>
        </w:rPr>
        <w:t>1000</w:t>
      </w:r>
    </w:p>
    <w:p>
      <w:pPr>
        <w:spacing w:before="69"/>
        <w:ind w:left="0" w:right="6865" w:firstLine="0"/>
        <w:jc w:val="right"/>
        <w:rPr>
          <w:sz w:val="18"/>
        </w:rPr>
      </w:pPr>
      <w:r>
        <w:rPr>
          <w:sz w:val="18"/>
        </w:rPr>
        <w:t>800</w:t>
      </w:r>
    </w:p>
    <w:p>
      <w:pPr>
        <w:spacing w:before="73"/>
        <w:ind w:left="0" w:right="6865" w:firstLine="0"/>
        <w:jc w:val="right"/>
        <w:rPr>
          <w:sz w:val="18"/>
        </w:rPr>
      </w:pPr>
      <w:r>
        <w:rPr>
          <w:sz w:val="18"/>
        </w:rPr>
        <w:t>600</w:t>
      </w:r>
    </w:p>
    <w:p>
      <w:pPr>
        <w:spacing w:before="69"/>
        <w:ind w:left="0" w:right="6865" w:firstLine="0"/>
        <w:jc w:val="right"/>
        <w:rPr>
          <w:sz w:val="18"/>
        </w:rPr>
      </w:pPr>
      <w:r>
        <w:rPr>
          <w:sz w:val="18"/>
        </w:rPr>
        <w:t>400</w:t>
      </w:r>
    </w:p>
    <w:p>
      <w:pPr>
        <w:spacing w:before="73"/>
        <w:ind w:left="0" w:right="6865" w:firstLine="0"/>
        <w:jc w:val="right"/>
        <w:rPr>
          <w:sz w:val="18"/>
        </w:rPr>
      </w:pPr>
      <w:r>
        <w:rPr>
          <w:sz w:val="18"/>
        </w:rPr>
        <w:t>200</w:t>
      </w:r>
    </w:p>
    <w:p>
      <w:pPr>
        <w:spacing w:before="73"/>
        <w:ind w:left="0" w:right="6865" w:firstLine="0"/>
        <w:jc w:val="right"/>
        <w:rPr>
          <w:sz w:val="18"/>
        </w:rPr>
      </w:pPr>
      <w:r>
        <w:rPr>
          <w:w w:val="102"/>
          <w:sz w:val="18"/>
        </w:rPr>
        <w:t>0</w:t>
      </w:r>
    </w:p>
    <w:p>
      <w:pPr>
        <w:tabs>
          <w:tab w:pos="1978" w:val="left" w:leader="none"/>
          <w:tab w:pos="2492" w:val="left" w:leader="none"/>
          <w:tab w:pos="3010" w:val="left" w:leader="none"/>
          <w:tab w:pos="3524" w:val="left" w:leader="none"/>
          <w:tab w:pos="4038" w:val="left" w:leader="none"/>
          <w:tab w:pos="4553" w:val="left" w:leader="none"/>
          <w:tab w:pos="5071" w:val="left" w:leader="none"/>
          <w:tab w:pos="5585" w:val="left" w:leader="none"/>
          <w:tab w:pos="6099" w:val="left" w:leader="none"/>
          <w:tab w:pos="6613" w:val="left" w:leader="none"/>
          <w:tab w:pos="7061" w:val="left" w:leader="none"/>
          <w:tab w:pos="7575" w:val="left" w:leader="none"/>
          <w:tab w:pos="8089" w:val="left" w:leader="none"/>
        </w:tabs>
        <w:spacing w:before="32"/>
        <w:ind w:left="1414" w:right="0" w:firstLine="0"/>
        <w:jc w:val="left"/>
        <w:rPr>
          <w:sz w:val="18"/>
        </w:rPr>
      </w:pPr>
      <w:r>
        <w:rPr>
          <w:sz w:val="18"/>
        </w:rPr>
        <w:t>-1</w:t>
        <w:tab/>
        <w:t>0</w:t>
        <w:tab/>
        <w:t>1</w:t>
        <w:tab/>
        <w:t>2</w:t>
        <w:tab/>
        <w:t>3</w:t>
        <w:tab/>
        <w:t>4</w:t>
        <w:tab/>
        <w:t>5</w:t>
        <w:tab/>
        <w:t>6</w:t>
        <w:tab/>
        <w:t>7</w:t>
        <w:tab/>
        <w:t>8</w:t>
        <w:tab/>
        <w:t>9</w:t>
        <w:tab/>
        <w:t>10</w:t>
        <w:tab/>
        <w:t>11</w:t>
        <w:tab/>
      </w:r>
      <w:r>
        <w:rPr>
          <w:spacing w:val="-2"/>
          <w:sz w:val="18"/>
        </w:rPr>
        <w:t>12</w:t>
      </w:r>
    </w:p>
    <w:p>
      <w:pPr>
        <w:pStyle w:val="Heading7"/>
        <w:spacing w:before="57"/>
        <w:ind w:left="3821"/>
      </w:pPr>
      <w:r>
        <w:rPr>
          <w:w w:val="105"/>
        </w:rPr>
        <w:t>Depth</w:t>
      </w:r>
      <w:r>
        <w:rPr>
          <w:spacing w:val="-15"/>
          <w:w w:val="105"/>
        </w:rPr>
        <w:t> </w:t>
      </w:r>
      <w:r>
        <w:rPr>
          <w:w w:val="105"/>
        </w:rPr>
        <w:t>of</w:t>
      </w:r>
      <w:r>
        <w:rPr>
          <w:spacing w:val="-15"/>
          <w:w w:val="105"/>
        </w:rPr>
        <w:t> </w:t>
      </w:r>
      <w:r>
        <w:rPr>
          <w:w w:val="105"/>
        </w:rPr>
        <w:t>CLT</w:t>
      </w:r>
      <w:r>
        <w:rPr>
          <w:spacing w:val="-14"/>
          <w:w w:val="105"/>
        </w:rPr>
        <w:t> </w:t>
      </w:r>
      <w:r>
        <w:rPr>
          <w:w w:val="105"/>
        </w:rPr>
        <w:t>(inches)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3"/>
        </w:rPr>
      </w:pPr>
    </w:p>
    <w:p>
      <w:pPr>
        <w:spacing w:before="0"/>
        <w:ind w:left="14" w:right="0" w:firstLine="0"/>
        <w:jc w:val="left"/>
        <w:rPr>
          <w:sz w:val="18"/>
        </w:rPr>
      </w:pPr>
      <w:r>
        <w:rPr>
          <w:sz w:val="18"/>
        </w:rPr>
        <w:t>840</w:t>
      </w:r>
    </w:p>
    <w:p>
      <w:pPr>
        <w:spacing w:before="69"/>
        <w:ind w:left="14" w:right="0" w:firstLine="0"/>
        <w:jc w:val="left"/>
        <w:rPr>
          <w:sz w:val="18"/>
        </w:rPr>
      </w:pPr>
      <w:r>
        <w:rPr>
          <w:sz w:val="18"/>
        </w:rPr>
        <w:t>780</w:t>
      </w:r>
    </w:p>
    <w:p>
      <w:pPr>
        <w:spacing w:before="69"/>
        <w:ind w:left="14" w:right="0" w:firstLine="0"/>
        <w:jc w:val="left"/>
        <w:rPr>
          <w:sz w:val="18"/>
        </w:rPr>
      </w:pPr>
      <w:r>
        <w:rPr>
          <w:sz w:val="18"/>
        </w:rPr>
        <w:t>720</w:t>
      </w:r>
    </w:p>
    <w:p>
      <w:pPr>
        <w:spacing w:before="65"/>
        <w:ind w:left="14" w:right="0" w:firstLine="0"/>
        <w:jc w:val="left"/>
        <w:rPr>
          <w:sz w:val="18"/>
        </w:rPr>
      </w:pPr>
      <w:r>
        <w:rPr>
          <w:sz w:val="18"/>
        </w:rPr>
        <w:t>660</w:t>
      </w:r>
    </w:p>
    <w:p>
      <w:pPr>
        <w:spacing w:before="69"/>
        <w:ind w:left="14" w:right="0" w:firstLine="0"/>
        <w:jc w:val="left"/>
        <w:rPr>
          <w:sz w:val="18"/>
        </w:rPr>
      </w:pPr>
      <w:r>
        <w:rPr>
          <w:sz w:val="18"/>
        </w:rPr>
        <w:t>600</w:t>
      </w:r>
    </w:p>
    <w:p>
      <w:pPr>
        <w:spacing w:before="64"/>
        <w:ind w:left="14" w:right="0" w:firstLine="0"/>
        <w:jc w:val="left"/>
        <w:rPr>
          <w:sz w:val="18"/>
        </w:rPr>
      </w:pPr>
      <w:r>
        <w:rPr/>
        <w:pict>
          <v:shape style="position:absolute;margin-left:522.482727pt;margin-top:7.5935pt;width:16.850pt;height:58.95pt;mso-position-horizontal-relative:page;mso-position-vertical-relative:paragraph;z-index:15844864" type="#_x0000_t202" filled="false" stroked="false">
            <v:textbox inset="0,0,0,0" style="layout-flow:vertical;mso-layout-flow-alt:bottom-to-top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sz w:val="26"/>
                    </w:rPr>
                  </w:pPr>
                  <w:r>
                    <w:rPr>
                      <w:spacing w:val="-1"/>
                      <w:w w:val="105"/>
                      <w:sz w:val="26"/>
                    </w:rPr>
                    <w:t>V(x)</w:t>
                  </w:r>
                  <w:r>
                    <w:rPr>
                      <w:spacing w:val="-14"/>
                      <w:w w:val="105"/>
                      <w:sz w:val="26"/>
                    </w:rPr>
                    <w:t> </w:t>
                  </w:r>
                  <w:r>
                    <w:rPr>
                      <w:spacing w:val="-1"/>
                      <w:w w:val="105"/>
                      <w:sz w:val="26"/>
                    </w:rPr>
                    <w:t>(m/s)</w:t>
                  </w:r>
                </w:p>
              </w:txbxContent>
            </v:textbox>
            <w10:wrap type="none"/>
          </v:shape>
        </w:pict>
      </w:r>
      <w:r>
        <w:rPr>
          <w:sz w:val="18"/>
        </w:rPr>
        <w:t>540</w:t>
      </w:r>
    </w:p>
    <w:p>
      <w:pPr>
        <w:spacing w:before="69"/>
        <w:ind w:left="14" w:right="0" w:firstLine="0"/>
        <w:jc w:val="left"/>
        <w:rPr>
          <w:sz w:val="18"/>
        </w:rPr>
      </w:pPr>
      <w:r>
        <w:rPr>
          <w:sz w:val="18"/>
        </w:rPr>
        <w:t>480</w:t>
      </w:r>
    </w:p>
    <w:p>
      <w:pPr>
        <w:spacing w:before="69"/>
        <w:ind w:left="14" w:right="0" w:firstLine="0"/>
        <w:jc w:val="left"/>
        <w:rPr>
          <w:sz w:val="18"/>
        </w:rPr>
      </w:pPr>
      <w:r>
        <w:rPr>
          <w:sz w:val="18"/>
        </w:rPr>
        <w:t>420</w:t>
      </w:r>
    </w:p>
    <w:p>
      <w:pPr>
        <w:spacing w:before="65"/>
        <w:ind w:left="14" w:right="0" w:firstLine="0"/>
        <w:jc w:val="left"/>
        <w:rPr>
          <w:sz w:val="18"/>
        </w:rPr>
      </w:pPr>
      <w:r>
        <w:rPr>
          <w:sz w:val="18"/>
        </w:rPr>
        <w:t>360</w:t>
      </w:r>
    </w:p>
    <w:p>
      <w:pPr>
        <w:spacing w:before="69"/>
        <w:ind w:left="14" w:right="0" w:firstLine="0"/>
        <w:jc w:val="left"/>
        <w:rPr>
          <w:sz w:val="18"/>
        </w:rPr>
      </w:pPr>
      <w:r>
        <w:rPr>
          <w:sz w:val="18"/>
        </w:rPr>
        <w:t>300</w:t>
      </w:r>
    </w:p>
    <w:p>
      <w:pPr>
        <w:spacing w:before="64"/>
        <w:ind w:left="14" w:right="0" w:firstLine="0"/>
        <w:jc w:val="left"/>
        <w:rPr>
          <w:sz w:val="18"/>
        </w:rPr>
      </w:pPr>
      <w:r>
        <w:rPr>
          <w:sz w:val="18"/>
        </w:rPr>
        <w:t>240</w:t>
      </w:r>
    </w:p>
    <w:p>
      <w:pPr>
        <w:spacing w:before="69"/>
        <w:ind w:left="14" w:right="0" w:firstLine="0"/>
        <w:jc w:val="left"/>
        <w:rPr>
          <w:sz w:val="18"/>
        </w:rPr>
      </w:pPr>
      <w:r>
        <w:rPr>
          <w:sz w:val="18"/>
        </w:rPr>
        <w:t>180</w:t>
      </w:r>
    </w:p>
    <w:p>
      <w:pPr>
        <w:spacing w:before="65"/>
        <w:ind w:left="14" w:right="0" w:firstLine="0"/>
        <w:jc w:val="left"/>
        <w:rPr>
          <w:sz w:val="18"/>
        </w:rPr>
      </w:pPr>
      <w:r>
        <w:rPr>
          <w:sz w:val="18"/>
        </w:rPr>
        <w:t>120</w:t>
      </w:r>
    </w:p>
    <w:p>
      <w:pPr>
        <w:spacing w:before="69"/>
        <w:ind w:left="14" w:right="0" w:firstLine="0"/>
        <w:jc w:val="left"/>
        <w:rPr>
          <w:sz w:val="18"/>
        </w:rPr>
      </w:pPr>
      <w:r>
        <w:rPr>
          <w:sz w:val="18"/>
        </w:rPr>
        <w:t>60</w:t>
      </w:r>
    </w:p>
    <w:p>
      <w:pPr>
        <w:spacing w:before="69"/>
        <w:ind w:left="14" w:right="0" w:firstLine="0"/>
        <w:jc w:val="left"/>
        <w:rPr>
          <w:sz w:val="18"/>
        </w:rPr>
      </w:pPr>
      <w:r>
        <w:rPr>
          <w:w w:val="102"/>
          <w:sz w:val="18"/>
        </w:rPr>
        <w:t>0</w:t>
      </w:r>
    </w:p>
    <w:p>
      <w:pPr>
        <w:spacing w:after="0"/>
        <w:jc w:val="left"/>
        <w:rPr>
          <w:sz w:val="18"/>
        </w:rPr>
        <w:sectPr>
          <w:type w:val="continuous"/>
          <w:pgSz w:w="12240" w:h="15840"/>
          <w:pgMar w:top="1380" w:bottom="280" w:left="1720" w:right="1020"/>
          <w:cols w:num="2" w:equalWidth="0">
            <w:col w:w="8274" w:space="40"/>
            <w:col w:w="1186"/>
          </w:cols>
        </w:sectPr>
      </w:pPr>
    </w:p>
    <w:p>
      <w:pPr>
        <w:pStyle w:val="BodyText"/>
        <w:spacing w:before="7"/>
        <w:rPr>
          <w:sz w:val="12"/>
        </w:rPr>
      </w:pPr>
    </w:p>
    <w:p>
      <w:pPr>
        <w:spacing w:before="90"/>
        <w:ind w:left="694" w:right="0" w:firstLine="0"/>
        <w:jc w:val="left"/>
        <w:rPr>
          <w:i/>
          <w:sz w:val="24"/>
        </w:rPr>
      </w:pPr>
      <w:bookmarkStart w:name="_bookmark91" w:id="329"/>
      <w:bookmarkEnd w:id="329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5-31.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Expected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velocity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depth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curves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SPF-S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with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residual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data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plotted.</w:t>
      </w:r>
    </w:p>
    <w:p>
      <w:pPr>
        <w:spacing w:after="0"/>
        <w:jc w:val="left"/>
        <w:rPr>
          <w:sz w:val="24"/>
        </w:rPr>
        <w:sectPr>
          <w:type w:val="continuous"/>
          <w:pgSz w:w="12240" w:h="15840"/>
          <w:pgMar w:top="1380" w:bottom="280" w:left="1720" w:right="1020"/>
        </w:sectPr>
      </w:pPr>
    </w:p>
    <w:p>
      <w:pPr>
        <w:pStyle w:val="BodyText"/>
        <w:spacing w:line="480" w:lineRule="auto" w:before="78"/>
        <w:ind w:left="440" w:right="417" w:firstLine="720"/>
        <w:jc w:val="both"/>
      </w:pPr>
      <w:r>
        <w:rPr/>
        <w:t>The color of the data point corresponds to the approximate striking velocity. Thus,</w:t>
      </w:r>
      <w:r>
        <w:rPr>
          <w:spacing w:val="-57"/>
        </w:rPr>
        <w:t> </w:t>
      </w:r>
      <w:r>
        <w:rPr/>
        <w:t>the data points should align to the matching colored line.</w:t>
      </w:r>
      <w:r>
        <w:rPr>
          <w:spacing w:val="1"/>
        </w:rPr>
        <w:t> </w:t>
      </w:r>
      <w:r>
        <w:rPr/>
        <w:t>If the striking velocity was in</w:t>
      </w:r>
      <w:r>
        <w:rPr>
          <w:spacing w:val="1"/>
        </w:rPr>
        <w:t> </w:t>
      </w:r>
      <w:r>
        <w:rPr/>
        <w:t>between two striking velocity curves the residual velocity data was colored in a different</w:t>
      </w:r>
      <w:r>
        <w:rPr>
          <w:spacing w:val="1"/>
        </w:rPr>
        <w:t> </w:t>
      </w:r>
      <w:r>
        <w:rPr/>
        <w:t>shade</w:t>
      </w:r>
      <w:r>
        <w:rPr>
          <w:spacing w:val="-10"/>
        </w:rPr>
        <w:t> </w:t>
      </w:r>
      <w:r>
        <w:rPr/>
        <w:t>of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color</w:t>
      </w:r>
      <w:r>
        <w:rPr>
          <w:spacing w:val="-10"/>
        </w:rPr>
        <w:t> </w:t>
      </w:r>
      <w:r>
        <w:rPr/>
        <w:t>to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closest</w:t>
      </w:r>
      <w:r>
        <w:rPr>
          <w:spacing w:val="-8"/>
        </w:rPr>
        <w:t> </w:t>
      </w:r>
      <w:r>
        <w:rPr/>
        <w:t>velocity</w:t>
      </w:r>
      <w:r>
        <w:rPr>
          <w:spacing w:val="-11"/>
        </w:rPr>
        <w:t> </w:t>
      </w:r>
      <w:r>
        <w:rPr/>
        <w:t>curve</w:t>
      </w:r>
      <w:r>
        <w:rPr>
          <w:spacing w:val="-11"/>
        </w:rPr>
        <w:t> </w:t>
      </w:r>
      <w:r>
        <w:rPr/>
        <w:t>line.</w:t>
      </w:r>
      <w:r>
        <w:rPr>
          <w:spacing w:val="42"/>
        </w:rPr>
        <w:t> </w:t>
      </w:r>
      <w:r>
        <w:rPr/>
        <w:t>For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SPF-S</w:t>
      </w:r>
      <w:r>
        <w:rPr>
          <w:spacing w:val="-9"/>
        </w:rPr>
        <w:t> </w:t>
      </w:r>
      <w:r>
        <w:rPr/>
        <w:t>curves,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residual</w:t>
      </w:r>
      <w:r>
        <w:rPr>
          <w:spacing w:val="-11"/>
        </w:rPr>
        <w:t> </w:t>
      </w:r>
      <w:r>
        <w:rPr/>
        <w:t>data</w:t>
      </w:r>
      <w:r>
        <w:rPr>
          <w:spacing w:val="-58"/>
        </w:rPr>
        <w:t> </w:t>
      </w:r>
      <w:r>
        <w:rPr/>
        <w:t>consistently</w:t>
      </w:r>
      <w:r>
        <w:rPr>
          <w:spacing w:val="1"/>
        </w:rPr>
        <w:t> </w:t>
      </w:r>
      <w:r>
        <w:rPr/>
        <w:t>plotted</w:t>
      </w:r>
      <w:r>
        <w:rPr>
          <w:spacing w:val="1"/>
        </w:rPr>
        <w:t> </w:t>
      </w:r>
      <w:r>
        <w:rPr/>
        <w:t>above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corresponding</w:t>
      </w:r>
      <w:r>
        <w:rPr>
          <w:spacing w:val="1"/>
        </w:rPr>
        <w:t> </w:t>
      </w:r>
      <w:r>
        <w:rPr/>
        <w:t>curve,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indicates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residual</w:t>
      </w:r>
      <w:r>
        <w:rPr>
          <w:spacing w:val="-57"/>
        </w:rPr>
        <w:t> </w:t>
      </w:r>
      <w:r>
        <w:rPr/>
        <w:t>velocity</w:t>
      </w:r>
      <w:r>
        <w:rPr>
          <w:spacing w:val="-2"/>
        </w:rPr>
        <w:t> </w:t>
      </w:r>
      <w:r>
        <w:rPr/>
        <w:t>was</w:t>
      </w:r>
      <w:r>
        <w:rPr>
          <w:spacing w:val="-1"/>
        </w:rPr>
        <w:t> </w:t>
      </w:r>
      <w:r>
        <w:rPr/>
        <w:t>faster than the modeled curve.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/>
        <w:ind w:left="440" w:right="418" w:firstLine="720"/>
        <w:jc w:val="both"/>
      </w:pPr>
      <w:hyperlink w:history="true" w:anchor="_bookmark92">
        <w:r>
          <w:rPr/>
          <w:t>Figure 5-32 </w:t>
        </w:r>
      </w:hyperlink>
      <w:r>
        <w:rPr/>
        <w:t>shows the expected velocity curves and plotted residual data for SYP.</w:t>
      </w:r>
      <w:r>
        <w:rPr>
          <w:spacing w:val="-57"/>
        </w:rPr>
        <w:t> </w:t>
      </w:r>
      <w:r>
        <w:rPr/>
        <w:t>For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SYP</w:t>
      </w:r>
      <w:r>
        <w:rPr>
          <w:spacing w:val="-2"/>
        </w:rPr>
        <w:t> </w:t>
      </w:r>
      <w:r>
        <w:rPr/>
        <w:t>curves,</w:t>
      </w:r>
      <w:r>
        <w:rPr>
          <w:spacing w:val="-3"/>
        </w:rPr>
        <w:t> </w:t>
      </w:r>
      <w:r>
        <w:rPr/>
        <w:t>five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residual</w:t>
      </w:r>
      <w:r>
        <w:rPr>
          <w:spacing w:val="-1"/>
        </w:rPr>
        <w:t> </w:t>
      </w:r>
      <w:r>
        <w:rPr/>
        <w:t>data</w:t>
      </w:r>
      <w:r>
        <w:rPr>
          <w:spacing w:val="-1"/>
        </w:rPr>
        <w:t> </w:t>
      </w:r>
      <w:r>
        <w:rPr/>
        <w:t>points</w:t>
      </w:r>
      <w:r>
        <w:rPr>
          <w:spacing w:val="-1"/>
        </w:rPr>
        <w:t> </w:t>
      </w:r>
      <w:r>
        <w:rPr/>
        <w:t>plot</w:t>
      </w:r>
      <w:r>
        <w:rPr>
          <w:spacing w:val="-1"/>
        </w:rPr>
        <w:t> </w:t>
      </w:r>
      <w:r>
        <w:rPr/>
        <w:t>below</w:t>
      </w:r>
      <w:r>
        <w:rPr>
          <w:spacing w:val="-2"/>
        </w:rPr>
        <w:t> </w:t>
      </w:r>
      <w:r>
        <w:rPr/>
        <w:t>or</w:t>
      </w:r>
      <w:r>
        <w:rPr>
          <w:spacing w:val="-1"/>
        </w:rPr>
        <w:t> </w:t>
      </w:r>
      <w:r>
        <w:rPr/>
        <w:t>on</w:t>
      </w:r>
      <w:r>
        <w:rPr>
          <w:spacing w:val="-1"/>
        </w:rPr>
        <w:t> </w:t>
      </w:r>
      <w:r>
        <w:rPr/>
        <w:t>the</w:t>
      </w:r>
      <w:r>
        <w:rPr>
          <w:spacing w:val="-4"/>
        </w:rPr>
        <w:t> </w:t>
      </w:r>
      <w:r>
        <w:rPr/>
        <w:t>expected</w:t>
      </w:r>
      <w:r>
        <w:rPr>
          <w:spacing w:val="-3"/>
        </w:rPr>
        <w:t> </w:t>
      </w:r>
      <w:r>
        <w:rPr/>
        <w:t>velocity</w:t>
      </w:r>
      <w:r>
        <w:rPr>
          <w:spacing w:val="-58"/>
        </w:rPr>
        <w:t> </w:t>
      </w:r>
      <w:r>
        <w:rPr/>
        <w:t>curves and two plot above.</w:t>
      </w:r>
      <w:r>
        <w:rPr>
          <w:spacing w:val="1"/>
        </w:rPr>
        <w:t> </w:t>
      </w:r>
      <w:r>
        <w:rPr/>
        <w:t>This indicates that the model performs better for the SYP</w:t>
      </w:r>
      <w:r>
        <w:rPr>
          <w:spacing w:val="1"/>
        </w:rPr>
        <w:t> </w:t>
      </w:r>
      <w:r>
        <w:rPr/>
        <w:t>species</w:t>
      </w:r>
      <w:r>
        <w:rPr>
          <w:spacing w:val="-2"/>
        </w:rPr>
        <w:t> </w:t>
      </w:r>
      <w:r>
        <w:rPr/>
        <w:t>than</w:t>
      </w:r>
      <w:r>
        <w:rPr>
          <w:spacing w:val="-2"/>
        </w:rPr>
        <w:t> </w:t>
      </w:r>
      <w:r>
        <w:rPr/>
        <w:t>the SPF-S</w:t>
      </w:r>
      <w:r>
        <w:rPr>
          <w:spacing w:val="-1"/>
        </w:rPr>
        <w:t> </w:t>
      </w:r>
      <w:r>
        <w:rPr/>
        <w:t>species</w:t>
      </w:r>
      <w:r>
        <w:rPr>
          <w:spacing w:val="-2"/>
        </w:rPr>
        <w:t> </w:t>
      </w:r>
      <w:r>
        <w:rPr/>
        <w:t>in terms of</w:t>
      </w:r>
      <w:r>
        <w:rPr>
          <w:spacing w:val="-1"/>
        </w:rPr>
        <w:t> </w:t>
      </w:r>
      <w:r>
        <w:rPr/>
        <w:t>predicting</w:t>
      </w:r>
      <w:r>
        <w:rPr>
          <w:spacing w:val="-1"/>
        </w:rPr>
        <w:t> </w:t>
      </w:r>
      <w:r>
        <w:rPr/>
        <w:t>residual</w:t>
      </w:r>
      <w:r>
        <w:rPr>
          <w:spacing w:val="-1"/>
        </w:rPr>
        <w:t> </w:t>
      </w:r>
      <w:r>
        <w:rPr/>
        <w:t>velocity.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5"/>
        </w:rPr>
      </w:pPr>
    </w:p>
    <w:p>
      <w:pPr>
        <w:spacing w:after="0"/>
        <w:rPr>
          <w:sz w:val="15"/>
        </w:rPr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170"/>
        <w:ind w:left="0" w:right="0" w:firstLine="0"/>
        <w:jc w:val="right"/>
        <w:rPr>
          <w:sz w:val="18"/>
        </w:rPr>
      </w:pPr>
      <w:r>
        <w:rPr>
          <w:sz w:val="18"/>
        </w:rPr>
        <w:t>2800</w:t>
      </w:r>
    </w:p>
    <w:p>
      <w:pPr>
        <w:spacing w:before="84"/>
        <w:ind w:left="0" w:right="0" w:firstLine="0"/>
        <w:jc w:val="right"/>
        <w:rPr>
          <w:sz w:val="18"/>
        </w:rPr>
      </w:pPr>
      <w:r>
        <w:rPr>
          <w:sz w:val="18"/>
        </w:rPr>
        <w:t>2600</w:t>
      </w:r>
    </w:p>
    <w:p>
      <w:pPr>
        <w:spacing w:before="89"/>
        <w:ind w:left="0" w:right="0" w:firstLine="0"/>
        <w:jc w:val="right"/>
        <w:rPr>
          <w:sz w:val="18"/>
        </w:rPr>
      </w:pPr>
      <w:r>
        <w:rPr>
          <w:sz w:val="18"/>
        </w:rPr>
        <w:t>2400</w:t>
      </w:r>
    </w:p>
    <w:p>
      <w:pPr>
        <w:spacing w:before="84"/>
        <w:ind w:left="0" w:right="0" w:firstLine="0"/>
        <w:jc w:val="right"/>
        <w:rPr>
          <w:sz w:val="18"/>
        </w:rPr>
      </w:pPr>
      <w:r>
        <w:rPr>
          <w:sz w:val="18"/>
        </w:rPr>
        <w:t>2200</w:t>
      </w:r>
    </w:p>
    <w:p>
      <w:pPr>
        <w:spacing w:before="84"/>
        <w:ind w:left="0" w:right="0" w:firstLine="0"/>
        <w:jc w:val="right"/>
        <w:rPr>
          <w:sz w:val="18"/>
        </w:rPr>
      </w:pPr>
      <w:r>
        <w:rPr>
          <w:sz w:val="18"/>
        </w:rPr>
        <w:t>2000</w:t>
      </w:r>
    </w:p>
    <w:p>
      <w:pPr>
        <w:spacing w:before="89"/>
        <w:ind w:left="0" w:right="0" w:firstLine="0"/>
        <w:jc w:val="right"/>
        <w:rPr>
          <w:sz w:val="18"/>
        </w:rPr>
      </w:pPr>
      <w:r>
        <w:rPr/>
        <w:pict>
          <v:shape style="position:absolute;margin-left:106.168106pt;margin-top:8.103092pt;width:16.55pt;height:55pt;mso-position-horizontal-relative:page;mso-position-vertical-relative:paragraph;z-index:15845888" type="#_x0000_t202" filled="false" stroked="false">
            <v:textbox inset="0,0,0,0" style="layout-flow:vertical;mso-layout-flow-alt:bottom-to-top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sz w:val="26"/>
                    </w:rPr>
                  </w:pPr>
                  <w:r>
                    <w:rPr>
                      <w:sz w:val="26"/>
                    </w:rPr>
                    <w:t>V(x)</w:t>
                  </w:r>
                  <w:r>
                    <w:rPr>
                      <w:spacing w:val="6"/>
                      <w:sz w:val="26"/>
                    </w:rPr>
                    <w:t> </w:t>
                  </w:r>
                  <w:r>
                    <w:rPr>
                      <w:sz w:val="26"/>
                    </w:rPr>
                    <w:t>(fps)</w:t>
                  </w:r>
                </w:p>
              </w:txbxContent>
            </v:textbox>
            <w10:wrap type="none"/>
          </v:shape>
        </w:pict>
      </w:r>
      <w:r>
        <w:rPr>
          <w:sz w:val="18"/>
        </w:rPr>
        <w:t>1800</w:t>
      </w:r>
    </w:p>
    <w:p>
      <w:pPr>
        <w:spacing w:before="84"/>
        <w:ind w:left="0" w:right="0" w:firstLine="0"/>
        <w:jc w:val="right"/>
        <w:rPr>
          <w:sz w:val="18"/>
        </w:rPr>
      </w:pPr>
      <w:r>
        <w:rPr>
          <w:sz w:val="18"/>
        </w:rPr>
        <w:t>1600</w:t>
      </w:r>
    </w:p>
    <w:p>
      <w:pPr>
        <w:spacing w:before="84"/>
        <w:ind w:left="0" w:right="0" w:firstLine="0"/>
        <w:jc w:val="right"/>
        <w:rPr>
          <w:sz w:val="18"/>
        </w:rPr>
      </w:pPr>
      <w:r>
        <w:rPr>
          <w:sz w:val="18"/>
        </w:rPr>
        <w:t>1400</w:t>
      </w:r>
    </w:p>
    <w:p>
      <w:pPr>
        <w:spacing w:before="89"/>
        <w:ind w:left="0" w:right="0" w:firstLine="0"/>
        <w:jc w:val="right"/>
        <w:rPr>
          <w:sz w:val="18"/>
        </w:rPr>
      </w:pPr>
      <w:r>
        <w:rPr>
          <w:sz w:val="18"/>
        </w:rPr>
        <w:t>1200</w:t>
      </w:r>
    </w:p>
    <w:p>
      <w:pPr>
        <w:spacing w:before="84"/>
        <w:ind w:left="0" w:right="0" w:firstLine="0"/>
        <w:jc w:val="right"/>
        <w:rPr>
          <w:sz w:val="18"/>
        </w:rPr>
      </w:pPr>
      <w:r>
        <w:rPr>
          <w:sz w:val="18"/>
        </w:rPr>
        <w:t>1000</w:t>
      </w:r>
    </w:p>
    <w:p>
      <w:pPr>
        <w:spacing w:before="88"/>
        <w:ind w:left="0" w:right="0" w:firstLine="0"/>
        <w:jc w:val="right"/>
        <w:rPr>
          <w:sz w:val="18"/>
        </w:rPr>
      </w:pPr>
      <w:r>
        <w:rPr>
          <w:sz w:val="18"/>
        </w:rPr>
        <w:t>800</w:t>
      </w:r>
    </w:p>
    <w:p>
      <w:pPr>
        <w:spacing w:before="85"/>
        <w:ind w:left="0" w:right="0" w:firstLine="0"/>
        <w:jc w:val="right"/>
        <w:rPr>
          <w:sz w:val="18"/>
        </w:rPr>
      </w:pPr>
      <w:r>
        <w:rPr>
          <w:sz w:val="18"/>
        </w:rPr>
        <w:t>600</w:t>
      </w:r>
    </w:p>
    <w:p>
      <w:pPr>
        <w:spacing w:before="84"/>
        <w:ind w:left="0" w:right="0" w:firstLine="0"/>
        <w:jc w:val="right"/>
        <w:rPr>
          <w:sz w:val="18"/>
        </w:rPr>
      </w:pPr>
      <w:r>
        <w:rPr>
          <w:sz w:val="18"/>
        </w:rPr>
        <w:t>400</w:t>
      </w:r>
    </w:p>
    <w:p>
      <w:pPr>
        <w:spacing w:before="88"/>
        <w:ind w:left="0" w:right="0" w:firstLine="0"/>
        <w:jc w:val="right"/>
        <w:rPr>
          <w:sz w:val="18"/>
        </w:rPr>
      </w:pPr>
      <w:r>
        <w:rPr>
          <w:sz w:val="18"/>
        </w:rPr>
        <w:t>200</w:t>
      </w:r>
    </w:p>
    <w:p>
      <w:pPr>
        <w:spacing w:before="85"/>
        <w:ind w:left="0" w:right="0" w:firstLine="0"/>
        <w:jc w:val="right"/>
        <w:rPr>
          <w:sz w:val="18"/>
        </w:rPr>
      </w:pPr>
      <w:r>
        <w:rPr>
          <w:w w:val="100"/>
          <w:sz w:val="18"/>
        </w:rPr>
        <w:t>0</w:t>
      </w:r>
    </w:p>
    <w:p>
      <w:pPr>
        <w:pStyle w:val="Heading7"/>
        <w:spacing w:before="92"/>
        <w:ind w:left="2499"/>
      </w:pPr>
      <w:r>
        <w:rPr/>
        <w:br w:type="column"/>
      </w:r>
      <w:r>
        <w:rPr/>
        <w:t>Depth</w:t>
      </w:r>
      <w:r>
        <w:rPr>
          <w:spacing w:val="5"/>
        </w:rPr>
        <w:t> </w:t>
      </w:r>
      <w:r>
        <w:rPr/>
        <w:t>of</w:t>
      </w:r>
      <w:r>
        <w:rPr>
          <w:spacing w:val="4"/>
        </w:rPr>
        <w:t> </w:t>
      </w:r>
      <w:r>
        <w:rPr/>
        <w:t>CLT</w:t>
      </w:r>
      <w:r>
        <w:rPr>
          <w:spacing w:val="5"/>
        </w:rPr>
        <w:t> </w:t>
      </w:r>
      <w:r>
        <w:rPr/>
        <w:t>(cm)</w:t>
      </w:r>
    </w:p>
    <w:p>
      <w:pPr>
        <w:tabs>
          <w:tab w:pos="558" w:val="left" w:leader="none"/>
          <w:tab w:pos="1018" w:val="left" w:leader="none"/>
          <w:tab w:pos="1584" w:val="left" w:leader="none"/>
          <w:tab w:pos="2027" w:val="left" w:leader="none"/>
          <w:tab w:pos="2560" w:val="left" w:leader="none"/>
          <w:tab w:pos="3004" w:val="left" w:leader="none"/>
          <w:tab w:pos="3607" w:val="left" w:leader="none"/>
          <w:tab w:pos="4033" w:val="left" w:leader="none"/>
          <w:tab w:pos="4632" w:val="left" w:leader="none"/>
          <w:tab w:pos="5043" w:val="left" w:leader="none"/>
          <w:tab w:pos="5646" w:val="left" w:leader="none"/>
          <w:tab w:pos="6056" w:val="left" w:leader="none"/>
          <w:tab w:pos="6659" w:val="left" w:leader="none"/>
        </w:tabs>
        <w:spacing w:before="63"/>
        <w:ind w:left="-40" w:right="0" w:firstLine="0"/>
        <w:jc w:val="left"/>
        <w:rPr>
          <w:sz w:val="18"/>
        </w:rPr>
      </w:pPr>
      <w:r>
        <w:rPr>
          <w:sz w:val="18"/>
        </w:rPr>
        <w:t>-2.5</w:t>
        <w:tab/>
        <w:t>0</w:t>
        <w:tab/>
        <w:t>2.5</w:t>
        <w:tab/>
        <w:t>5</w:t>
        <w:tab/>
        <w:t>7.5</w:t>
        <w:tab/>
        <w:t>10</w:t>
        <w:tab/>
        <w:t>12.5</w:t>
        <w:tab/>
        <w:t>15</w:t>
        <w:tab/>
        <w:t>17.5</w:t>
        <w:tab/>
        <w:t>20</w:t>
        <w:tab/>
        <w:t>22.5</w:t>
        <w:tab/>
        <w:t>25</w:t>
        <w:tab/>
        <w:t>27.5</w:t>
        <w:tab/>
        <w:t>30</w:t>
      </w:r>
    </w:p>
    <w:p>
      <w:pPr>
        <w:pStyle w:val="BodyText"/>
        <w:spacing w:before="5"/>
        <w:rPr>
          <w:sz w:val="2"/>
        </w:rPr>
      </w:pPr>
    </w:p>
    <w:p>
      <w:pPr>
        <w:pStyle w:val="BodyText"/>
        <w:ind w:left="57"/>
        <w:rPr>
          <w:sz w:val="20"/>
        </w:rPr>
      </w:pPr>
      <w:r>
        <w:rPr>
          <w:sz w:val="20"/>
        </w:rPr>
        <w:pict>
          <v:group style="width:340.95pt;height:208.35pt;mso-position-horizontal-relative:char;mso-position-vertical-relative:line" coordorigin="0,0" coordsize="6819,4167">
            <v:rect style="position:absolute;left:12;top:51;width:6794;height:4103" filled="false" stroked="true" strokeweight="1.230755pt" strokecolor="#000000">
              <v:stroke dashstyle="solid"/>
            </v:rect>
            <v:line style="position:absolute" from="537,4154" to="537,4035" stroked="true" strokeweight="1.025653pt" strokecolor="#000000">
              <v:stroke dashstyle="solid"/>
            </v:line>
            <v:line style="position:absolute" from="1058,4154" to="1058,4035" stroked="true" strokeweight="1.025653pt" strokecolor="#000000">
              <v:stroke dashstyle="solid"/>
            </v:line>
            <v:line style="position:absolute" from="1584,4154" to="1584,4035" stroked="true" strokeweight="1.025653pt" strokecolor="#000000">
              <v:stroke dashstyle="solid"/>
            </v:line>
            <v:line style="position:absolute" from="2105,4154" to="2105,4035" stroked="true" strokeweight="1.025653pt" strokecolor="#000000">
              <v:stroke dashstyle="solid"/>
            </v:line>
            <v:line style="position:absolute" from="2626,4154" to="2626,4035" stroked="true" strokeweight="1.025653pt" strokecolor="#000000">
              <v:stroke dashstyle="solid"/>
            </v:line>
            <v:line style="position:absolute" from="3147,4154" to="3147,4035" stroked="true" strokeweight="1.025653pt" strokecolor="#000000">
              <v:stroke dashstyle="solid"/>
            </v:line>
            <v:line style="position:absolute" from="3672,4154" to="3672,4035" stroked="true" strokeweight="1.025653pt" strokecolor="#000000">
              <v:stroke dashstyle="solid"/>
            </v:line>
            <v:line style="position:absolute" from="4193,4154" to="4193,4035" stroked="true" strokeweight="1.025653pt" strokecolor="#000000">
              <v:stroke dashstyle="solid"/>
            </v:line>
            <v:line style="position:absolute" from="4718,4154" to="4718,4035" stroked="true" strokeweight="1.025653pt" strokecolor="#000000">
              <v:stroke dashstyle="solid"/>
            </v:line>
            <v:line style="position:absolute" from="5239,4154" to="5239,4035" stroked="true" strokeweight="1.025653pt" strokecolor="#000000">
              <v:stroke dashstyle="solid"/>
            </v:line>
            <v:line style="position:absolute" from="5760,4154" to="5760,4035" stroked="true" strokeweight="1.025653pt" strokecolor="#000000">
              <v:stroke dashstyle="solid"/>
            </v:line>
            <v:line style="position:absolute" from="6285,4154" to="6285,4035" stroked="true" strokeweight="1.025653pt" strokecolor="#000000">
              <v:stroke dashstyle="solid"/>
            </v:line>
            <v:line style="position:absolute" from="21,51" to="21,170" stroked="true" strokeweight="1.025653pt" strokecolor="#000000">
              <v:stroke dashstyle="solid"/>
            </v:line>
            <v:line style="position:absolute" from="537,51" to="537,170" stroked="true" strokeweight="1.025653pt" strokecolor="#000000">
              <v:stroke dashstyle="solid"/>
            </v:line>
            <v:line style="position:absolute" from="1050,51" to="1050,170" stroked="true" strokeweight="1.025653pt" strokecolor="#000000">
              <v:stroke dashstyle="solid"/>
            </v:line>
            <v:line style="position:absolute" from="1563,51" to="1563,170" stroked="true" strokeweight="1.025653pt" strokecolor="#000000">
              <v:stroke dashstyle="solid"/>
            </v:line>
            <v:line style="position:absolute" from="2080,51" to="2080,170" stroked="true" strokeweight="1.025653pt" strokecolor="#000000">
              <v:stroke dashstyle="solid"/>
            </v:line>
            <v:line style="position:absolute" from="2593,51" to="2593,170" stroked="true" strokeweight="1.025653pt" strokecolor="#000000">
              <v:stroke dashstyle="solid"/>
            </v:line>
            <v:line style="position:absolute" from="3106,51" to="3106,170" stroked="true" strokeweight="1.025653pt" strokecolor="#000000">
              <v:stroke dashstyle="solid"/>
            </v:line>
            <v:line style="position:absolute" from="3623,51" to="3623,170" stroked="true" strokeweight="1.025653pt" strokecolor="#000000">
              <v:stroke dashstyle="solid"/>
            </v:line>
            <v:line style="position:absolute" from="4135,51" to="4135,170" stroked="true" strokeweight="1.025653pt" strokecolor="#000000">
              <v:stroke dashstyle="solid"/>
            </v:line>
            <v:line style="position:absolute" from="4648,51" to="4648,170" stroked="true" strokeweight="1.025653pt" strokecolor="#000000">
              <v:stroke dashstyle="solid"/>
            </v:line>
            <v:line style="position:absolute" from="5165,51" to="5165,170" stroked="true" strokeweight="1.025653pt" strokecolor="#000000">
              <v:stroke dashstyle="solid"/>
            </v:line>
            <v:line style="position:absolute" from="5678,51" to="5678,170" stroked="true" strokeweight="1.025653pt" strokecolor="#000000">
              <v:stroke dashstyle="solid"/>
            </v:line>
            <v:line style="position:absolute" from="6195,51" to="6195,170" stroked="true" strokeweight="1.025653pt" strokecolor="#000000">
              <v:stroke dashstyle="solid"/>
            </v:line>
            <v:line style="position:absolute" from="6708,51" to="6708,170" stroked="true" strokeweight="1.025653pt" strokecolor="#000000">
              <v:stroke dashstyle="solid"/>
            </v:line>
            <v:line style="position:absolute" from="12,3858" to="164,3858" stroked="true" strokeweight="1.02562pt" strokecolor="#000000">
              <v:stroke dashstyle="solid"/>
            </v:line>
            <v:line style="position:absolute" from="12,3567" to="164,3567" stroked="true" strokeweight="1.02562pt" strokecolor="#000000">
              <v:stroke dashstyle="solid"/>
            </v:line>
            <v:line style="position:absolute" from="12,3276" to="164,3276" stroked="true" strokeweight="1.02562pt" strokecolor="#000000">
              <v:stroke dashstyle="solid"/>
            </v:line>
            <v:line style="position:absolute" from="12,2980" to="164,2980" stroked="true" strokeweight="1.02562pt" strokecolor="#000000">
              <v:stroke dashstyle="solid"/>
            </v:line>
            <v:line style="position:absolute" from="12,2689" to="164,2689" stroked="true" strokeweight="1.02562pt" strokecolor="#000000">
              <v:stroke dashstyle="solid"/>
            </v:line>
            <v:line style="position:absolute" from="12,2394" to="164,2394" stroked="true" strokeweight="1.02562pt" strokecolor="#000000">
              <v:stroke dashstyle="solid"/>
            </v:line>
            <v:line style="position:absolute" from="12,2103" to="164,2103" stroked="true" strokeweight="1.02562pt" strokecolor="#000000">
              <v:stroke dashstyle="solid"/>
            </v:line>
            <v:line style="position:absolute" from="12,1811" to="164,1811" stroked="true" strokeweight="1.02562pt" strokecolor="#000000">
              <v:stroke dashstyle="solid"/>
            </v:line>
            <v:line style="position:absolute" from="12,1516" to="164,1516" stroked="true" strokeweight="1.02562pt" strokecolor="#000000">
              <v:stroke dashstyle="solid"/>
            </v:line>
            <v:line style="position:absolute" from="12,1225" to="164,1225" stroked="true" strokeweight="1.02562pt" strokecolor="#000000">
              <v:stroke dashstyle="solid"/>
            </v:line>
            <v:line style="position:absolute" from="12,933" to="164,933" stroked="true" strokeweight="1.02562pt" strokecolor="#000000">
              <v:stroke dashstyle="solid"/>
            </v:line>
            <v:line style="position:absolute" from="12,638" to="164,638" stroked="true" strokeweight="1.02562pt" strokecolor="#000000">
              <v:stroke dashstyle="solid"/>
            </v:line>
            <v:line style="position:absolute" from="12,347" to="164,347" stroked="true" strokeweight="1.02562pt" strokecolor="#000000">
              <v:stroke dashstyle="solid"/>
            </v:line>
            <v:line style="position:absolute" from="6806,4154" to="6654,4154" stroked="true" strokeweight="1.02562pt" strokecolor="#000000">
              <v:stroke dashstyle="solid"/>
            </v:line>
            <v:line style="position:absolute" from="6806,3862" to="6654,3862" stroked="true" strokeweight="1.02562pt" strokecolor="#000000">
              <v:stroke dashstyle="solid"/>
            </v:line>
            <v:line style="position:absolute" from="6806,3575" to="6654,3575" stroked="true" strokeweight="1.02562pt" strokecolor="#000000">
              <v:stroke dashstyle="solid"/>
            </v:line>
            <v:line style="position:absolute" from="6806,3288" to="6654,3288" stroked="true" strokeweight="1.02562pt" strokecolor="#000000">
              <v:stroke dashstyle="solid"/>
            </v:line>
            <v:line style="position:absolute" from="6806,3001" to="6654,3001" stroked="true" strokeweight="1.02562pt" strokecolor="#000000">
              <v:stroke dashstyle="solid"/>
            </v:line>
            <v:line style="position:absolute" from="6806,2710" to="6654,2710" stroked="true" strokeweight="1.02562pt" strokecolor="#000000">
              <v:stroke dashstyle="solid"/>
            </v:line>
            <v:line style="position:absolute" from="6806,2423" to="6654,2423" stroked="true" strokeweight="1.02562pt" strokecolor="#000000">
              <v:stroke dashstyle="solid"/>
            </v:line>
            <v:line style="position:absolute" from="6806,2135" to="6654,2135" stroked="true" strokeweight="1.02562pt" strokecolor="#000000">
              <v:stroke dashstyle="solid"/>
            </v:line>
            <v:line style="position:absolute" from="6806,1848" to="6654,1848" stroked="true" strokeweight="1.02562pt" strokecolor="#000000">
              <v:stroke dashstyle="solid"/>
            </v:line>
            <v:line style="position:absolute" from="6806,1557" to="6654,1557" stroked="true" strokeweight="1.02562pt" strokecolor="#000000">
              <v:stroke dashstyle="solid"/>
            </v:line>
            <v:line style="position:absolute" from="6806,1270" to="6654,1270" stroked="true" strokeweight="1.02562pt" strokecolor="#000000">
              <v:stroke dashstyle="solid"/>
            </v:line>
            <v:line style="position:absolute" from="6806,983" to="6654,983" stroked="true" strokeweight="1.02562pt" strokecolor="#000000">
              <v:stroke dashstyle="solid"/>
            </v:line>
            <v:line style="position:absolute" from="6806,695" to="6654,695" stroked="true" strokeweight="1.02562pt" strokecolor="#000000">
              <v:stroke dashstyle="solid"/>
            </v:line>
            <v:line style="position:absolute" from="6806,408" to="6654,408" stroked="true" strokeweight="1.02562pt" strokecolor="#000000">
              <v:stroke dashstyle="solid"/>
            </v:line>
            <v:line style="position:absolute" from="6806,117" to="6654,117" stroked="true" strokeweight="1.02562pt" strokecolor="#000000">
              <v:stroke dashstyle="solid"/>
            </v:line>
            <v:line style="position:absolute" from="558,68" to="587,84" stroked="true" strokeweight=".615377pt" strokecolor="#303030">
              <v:stroke dashstyle="solid"/>
            </v:line>
            <v:line style="position:absolute" from="587,84" to="640,117" stroked="true" strokeweight=".615378pt" strokecolor="#303030">
              <v:stroke dashstyle="solid"/>
            </v:line>
            <v:line style="position:absolute" from="640,117" to="693,150" stroked="true" strokeweight=".615378pt" strokecolor="#303030">
              <v:stroke dashstyle="solid"/>
            </v:line>
            <v:line style="position:absolute" from="693,150" to="747,178" stroked="true" strokeweight=".615377pt" strokecolor="#303030">
              <v:stroke dashstyle="solid"/>
            </v:line>
            <v:line style="position:absolute" from="747,178" to="796,211" stroked="true" strokeweight=".615378pt" strokecolor="#303030">
              <v:stroke dashstyle="solid"/>
            </v:line>
            <v:line style="position:absolute" from="796,211" to="849,244" stroked="true" strokeweight=".615378pt" strokecolor="#303030">
              <v:stroke dashstyle="solid"/>
            </v:line>
            <v:line style="position:absolute" from="849,244" to="903,277" stroked="true" strokeweight=".615378pt" strokecolor="#303030">
              <v:stroke dashstyle="solid"/>
            </v:line>
            <v:line style="position:absolute" from="903,277" to="956,306" stroked="true" strokeweight=".615377pt" strokecolor="#303030">
              <v:stroke dashstyle="solid"/>
            </v:line>
            <v:line style="position:absolute" from="956,306" to="997,334" stroked="true" strokeweight=".615379pt" strokecolor="#303030">
              <v:stroke dashstyle="solid"/>
            </v:line>
            <v:line style="position:absolute" from="1141,421" to="1165,433" stroked="true" strokeweight=".615376pt" strokecolor="#303030">
              <v:stroke dashstyle="solid"/>
            </v:line>
            <v:line style="position:absolute" from="1165,433" to="1214,466" stroked="true" strokeweight=".615378pt" strokecolor="#303030">
              <v:stroke dashstyle="solid"/>
            </v:line>
            <v:line style="position:absolute" from="1214,466" to="1268,498" stroked="true" strokeweight=".615378pt" strokecolor="#303030">
              <v:stroke dashstyle="solid"/>
            </v:line>
            <v:line style="position:absolute" from="1268,498" to="1321,531" stroked="true" strokeweight=".615378pt" strokecolor="#303030">
              <v:stroke dashstyle="solid"/>
            </v:line>
            <v:line style="position:absolute" from="1321,531" to="1374,564" stroked="true" strokeweight=".615378pt" strokecolor="#303030">
              <v:stroke dashstyle="solid"/>
            </v:line>
            <v:line style="position:absolute" from="1374,564" to="1424,593" stroked="true" strokeweight=".615377pt" strokecolor="#303030">
              <v:stroke dashstyle="solid"/>
            </v:line>
            <v:line style="position:absolute" from="1424,593" to="1477,626" stroked="true" strokeweight=".615378pt" strokecolor="#303030">
              <v:stroke dashstyle="solid"/>
            </v:line>
            <v:line style="position:absolute" from="1477,626" to="1530,658" stroked="true" strokeweight=".615378pt" strokecolor="#303030">
              <v:stroke dashstyle="solid"/>
            </v:line>
            <v:line style="position:absolute" from="1530,658" to="1584,691" stroked="true" strokeweight=".615378pt" strokecolor="#303030">
              <v:stroke dashstyle="solid"/>
            </v:line>
            <v:line style="position:absolute" from="1727,782" to="1740,786" stroked="true" strokeweight=".615374pt" strokecolor="#303030">
              <v:stroke dashstyle="solid"/>
            </v:line>
            <v:line style="position:absolute" from="1740,786" to="1789,818" stroked="true" strokeweight=".615378pt" strokecolor="#303030">
              <v:stroke dashstyle="solid"/>
            </v:line>
            <v:line style="position:absolute" from="1789,818" to="1842,851" stroked="true" strokeweight=".615378pt" strokecolor="#303030">
              <v:stroke dashstyle="solid"/>
            </v:line>
            <v:line style="position:absolute" from="1842,851" to="1895,884" stroked="true" strokeweight=".615378pt" strokecolor="#303030">
              <v:stroke dashstyle="solid"/>
            </v:line>
            <v:line style="position:absolute" from="1895,884" to="1949,917" stroked="true" strokeweight=".615378pt" strokecolor="#303030">
              <v:stroke dashstyle="solid"/>
            </v:line>
            <v:line style="position:absolute" from="1949,917" to="1998,946" stroked="true" strokeweight=".615377pt" strokecolor="#303030">
              <v:stroke dashstyle="solid"/>
            </v:line>
            <v:line style="position:absolute" from="1998,946" to="2051,978" stroked="true" strokeweight=".615378pt" strokecolor="#303030">
              <v:stroke dashstyle="solid"/>
            </v:line>
            <v:line style="position:absolute" from="2051,978" to="2105,1011" stroked="true" strokeweight=".615378pt" strokecolor="#303030">
              <v:stroke dashstyle="solid"/>
            </v:line>
            <v:line style="position:absolute" from="2105,1011" to="2158,1044" stroked="true" strokeweight=".615378pt" strokecolor="#303030">
              <v:stroke dashstyle="solid"/>
            </v:line>
            <v:line style="position:absolute" from="2158,1044" to="2166,1052" stroked="true" strokeweight=".615382pt" strokecolor="#303030">
              <v:stroke dashstyle="solid"/>
            </v:line>
            <v:line style="position:absolute" from="2314,1143" to="2363,1175" stroked="true" strokeweight=".615378pt" strokecolor="#303030">
              <v:stroke dashstyle="solid"/>
            </v:line>
            <v:line style="position:absolute" from="2363,1175" to="2416,1208" stroked="true" strokeweight=".615378pt" strokecolor="#303030">
              <v:stroke dashstyle="solid"/>
            </v:line>
            <v:line style="position:absolute" from="2416,1208" to="2470,1237" stroked="true" strokeweight=".615377pt" strokecolor="#303030">
              <v:stroke dashstyle="solid"/>
            </v:line>
            <v:line style="position:absolute" from="2470,1237" to="2523,1270" stroked="true" strokeweight=".615378pt" strokecolor="#303030">
              <v:stroke dashstyle="solid"/>
            </v:line>
            <v:line style="position:absolute" from="2523,1270" to="2572,1303" stroked="true" strokeweight=".615378pt" strokecolor="#303030">
              <v:stroke dashstyle="solid"/>
            </v:line>
            <v:line style="position:absolute" from="2572,1303" to="2626,1335" stroked="true" strokeweight=".615378pt" strokecolor="#303030">
              <v:stroke dashstyle="solid"/>
            </v:line>
            <v:line style="position:absolute" from="2626,1335" to="2679,1368" stroked="true" strokeweight=".615378pt" strokecolor="#303030">
              <v:stroke dashstyle="solid"/>
            </v:line>
            <v:line style="position:absolute" from="2679,1368" to="2732,1401" stroked="true" strokeweight=".615378pt" strokecolor="#303030">
              <v:stroke dashstyle="solid"/>
            </v:line>
            <v:line style="position:absolute" from="2732,1401" to="2753,1413" stroked="true" strokeweight=".615377pt" strokecolor="#303030">
              <v:stroke dashstyle="solid"/>
            </v:line>
            <v:line style="position:absolute" from="2901,1508" to="2942,1532" stroked="true" strokeweight=".615377pt" strokecolor="#303030">
              <v:stroke dashstyle="solid"/>
            </v:line>
            <v:line style="position:absolute" from="2942,1532" to="2991,1565" stroked="true" strokeweight=".615378pt" strokecolor="#303030">
              <v:stroke dashstyle="solid"/>
            </v:line>
            <v:line style="position:absolute" from="2991,1565" to="3044,1598" stroked="true" strokeweight=".615378pt" strokecolor="#303030">
              <v:stroke dashstyle="solid"/>
            </v:line>
            <v:line style="position:absolute" from="3044,1598" to="3097,1631" stroked="true" strokeweight=".615378pt" strokecolor="#303030">
              <v:stroke dashstyle="solid"/>
            </v:line>
            <v:line style="position:absolute" from="3097,1631" to="3147,1664" stroked="true" strokeweight=".615378pt" strokecolor="#303030">
              <v:stroke dashstyle="solid"/>
            </v:line>
            <v:line style="position:absolute" from="3147,1664" to="3200,1696" stroked="true" strokeweight=".615378pt" strokecolor="#303030">
              <v:stroke dashstyle="solid"/>
            </v:line>
            <v:line style="position:absolute" from="3200,1696" to="3253,1729" stroked="true" strokeweight=".615378pt" strokecolor="#303030">
              <v:stroke dashstyle="solid"/>
            </v:line>
            <v:line style="position:absolute" from="3253,1729" to="3307,1762" stroked="true" strokeweight=".615378pt" strokecolor="#303030">
              <v:stroke dashstyle="solid"/>
            </v:line>
            <v:line style="position:absolute" from="3307,1762" to="3340,1783" stroked="true" strokeweight=".615378pt" strokecolor="#303030">
              <v:stroke dashstyle="solid"/>
            </v:line>
            <v:line style="position:absolute" from="3483,1873" to="3516,1893" stroked="true" strokeweight=".615378pt" strokecolor="#303030">
              <v:stroke dashstyle="solid"/>
            </v:line>
            <v:line style="position:absolute" from="3516,1893" to="3565,1926" stroked="true" strokeweight=".615378pt" strokecolor="#303030">
              <v:stroke dashstyle="solid"/>
            </v:line>
            <v:line style="position:absolute" from="3565,1926" to="3619,1959" stroked="true" strokeweight=".615378pt" strokecolor="#303030">
              <v:stroke dashstyle="solid"/>
            </v:line>
            <v:line style="position:absolute" from="3619,1959" to="3672,1992" stroked="true" strokeweight=".615378pt" strokecolor="#303030">
              <v:stroke dashstyle="solid"/>
            </v:line>
            <v:line style="position:absolute" from="3672,1992" to="3725,2025" stroked="true" strokeweight=".615378pt" strokecolor="#303030">
              <v:stroke dashstyle="solid"/>
            </v:line>
            <v:line style="position:absolute" from="3725,2025" to="3774,2057" stroked="true" strokeweight=".615378pt" strokecolor="#303030">
              <v:stroke dashstyle="solid"/>
            </v:line>
            <v:line style="position:absolute" from="3774,2057" to="3828,2090" stroked="true" strokeweight=".615378pt" strokecolor="#303030">
              <v:stroke dashstyle="solid"/>
            </v:line>
            <v:line style="position:absolute" from="3828,2090" to="3881,2123" stroked="true" strokeweight=".615378pt" strokecolor="#303030">
              <v:stroke dashstyle="solid"/>
            </v:line>
            <v:line style="position:absolute" from="3881,2123" to="3922,2148" stroked="true" strokeweight=".615377pt" strokecolor="#303030">
              <v:stroke dashstyle="solid"/>
            </v:line>
            <v:line style="position:absolute" from="4070,2242" to="4090,2254" stroked="true" strokeweight=".615377pt" strokecolor="#303030">
              <v:stroke dashstyle="solid"/>
            </v:line>
            <v:line style="position:absolute" from="4090,2254" to="4140,2287" stroked="true" strokeweight=".615378pt" strokecolor="#303030">
              <v:stroke dashstyle="solid"/>
            </v:line>
            <v:line style="position:absolute" from="4140,2287" to="4193,2320" stroked="true" strokeweight=".615378pt" strokecolor="#303030">
              <v:stroke dashstyle="solid"/>
            </v:line>
            <v:line style="position:absolute" from="4193,2320" to="4246,2353" stroked="true" strokeweight=".615378pt" strokecolor="#303030">
              <v:stroke dashstyle="solid"/>
            </v:line>
            <v:line style="position:absolute" from="4246,2353" to="4300,2386" stroked="true" strokeweight=".615378pt" strokecolor="#303030">
              <v:stroke dashstyle="solid"/>
            </v:line>
            <v:line style="position:absolute" from="4300,2386" to="4349,2418" stroked="true" strokeweight=".615378pt" strokecolor="#303030">
              <v:stroke dashstyle="solid"/>
            </v:line>
            <v:line style="position:absolute" from="4349,2418" to="4402,2451" stroked="true" strokeweight=".615378pt" strokecolor="#303030">
              <v:stroke dashstyle="solid"/>
            </v:line>
            <v:line style="position:absolute" from="4402,2451" to="4455,2488" stroked="true" strokeweight=".615379pt" strokecolor="#303030">
              <v:stroke dashstyle="solid"/>
            </v:line>
            <v:line style="position:absolute" from="4455,2488" to="4509,2521" stroked="true" strokeweight=".615378pt" strokecolor="#303030">
              <v:stroke dashstyle="solid"/>
            </v:line>
            <v:line style="position:absolute" from="4509,2521" to="4509,2521" stroked="true" strokeweight=".615372pt" strokecolor="#303030">
              <v:stroke dashstyle="solid"/>
            </v:line>
            <v:line style="position:absolute" from="4656,2615" to="4665,2619" stroked="true" strokeweight=".615376pt" strokecolor="#303030">
              <v:stroke dashstyle="solid"/>
            </v:line>
            <v:line style="position:absolute" from="4665,2619" to="4718,2652" stroked="true" strokeweight=".615378pt" strokecolor="#303030">
              <v:stroke dashstyle="solid"/>
            </v:line>
            <v:line style="position:absolute" from="4718,2652" to="4767,2685" stroked="true" strokeweight=".615378pt" strokecolor="#303030">
              <v:stroke dashstyle="solid"/>
            </v:line>
            <v:line style="position:absolute" from="4767,2685" to="4821,2718" stroked="true" strokeweight=".615378pt" strokecolor="#303030">
              <v:stroke dashstyle="solid"/>
            </v:line>
            <v:line style="position:absolute" from="4821,2718" to="4874,2755" stroked="true" strokeweight=".615379pt" strokecolor="#303030">
              <v:stroke dashstyle="solid"/>
            </v:line>
            <v:line style="position:absolute" from="4874,2755" to="4927,2788" stroked="true" strokeweight=".615378pt" strokecolor="#303030">
              <v:stroke dashstyle="solid"/>
            </v:line>
            <v:line style="position:absolute" from="4927,2788" to="4976,2820" stroked="true" strokeweight=".615378pt" strokecolor="#303030">
              <v:stroke dashstyle="solid"/>
            </v:line>
            <v:line style="position:absolute" from="4976,2820" to="5030,2853" stroked="true" strokeweight=".615378pt" strokecolor="#303030">
              <v:stroke dashstyle="solid"/>
            </v:line>
            <v:line style="position:absolute" from="5030,2853" to="5083,2886" stroked="true" strokeweight=".615378pt" strokecolor="#303030">
              <v:stroke dashstyle="solid"/>
            </v:line>
            <v:line style="position:absolute" from="5083,2886" to="5095,2894" stroked="true" strokeweight=".615378pt" strokecolor="#303030">
              <v:stroke dashstyle="solid"/>
            </v:line>
            <v:line style="position:absolute" from="5239,2989" to="5292,3021" stroked="true" strokeweight=".615378pt" strokecolor="#303030">
              <v:stroke dashstyle="solid"/>
            </v:line>
            <v:line style="position:absolute" from="5292,3021" to="5342,3054" stroked="true" strokeweight=".615378pt" strokecolor="#303030">
              <v:stroke dashstyle="solid"/>
            </v:line>
            <v:line style="position:absolute" from="5342,3054" to="5395,3087" stroked="true" strokeweight=".615378pt" strokecolor="#303030">
              <v:stroke dashstyle="solid"/>
            </v:line>
            <v:line style="position:absolute" from="5395,3087" to="5448,3124" stroked="true" strokeweight=".615379pt" strokecolor="#303030">
              <v:stroke dashstyle="solid"/>
            </v:line>
            <v:line style="position:absolute" from="5448,3124" to="5502,3157" stroked="true" strokeweight=".615378pt" strokecolor="#303030">
              <v:stroke dashstyle="solid"/>
            </v:line>
            <v:line style="position:absolute" from="5502,3157" to="5551,3190" stroked="true" strokeweight=".615378pt" strokecolor="#303030">
              <v:stroke dashstyle="solid"/>
            </v:line>
            <v:line style="position:absolute" from="5551,3190" to="5604,3222" stroked="true" strokeweight=".615378pt" strokecolor="#303030">
              <v:stroke dashstyle="solid"/>
            </v:line>
            <v:line style="position:absolute" from="5604,3222" to="5658,3255" stroked="true" strokeweight=".615378pt" strokecolor="#303030">
              <v:stroke dashstyle="solid"/>
            </v:line>
            <v:line style="position:absolute" from="5658,3255" to="5682,3272" stroked="true" strokeweight=".615378pt" strokecolor="#303030">
              <v:stroke dashstyle="solid"/>
            </v:line>
            <v:line style="position:absolute" from="5826,3366" to="5867,3391" stroked="true" strokeweight=".615377pt" strokecolor="#303030">
              <v:stroke dashstyle="solid"/>
            </v:line>
            <v:line style="position:absolute" from="5867,3391" to="5916,3428" stroked="true" strokeweight=".615379pt" strokecolor="#303030">
              <v:stroke dashstyle="solid"/>
            </v:line>
            <v:line style="position:absolute" from="5916,3428" to="5969,3460" stroked="true" strokeweight=".615378pt" strokecolor="#303030">
              <v:stroke dashstyle="solid"/>
            </v:line>
            <v:line style="position:absolute" from="5969,3460" to="6023,3493" stroked="true" strokeweight=".615378pt" strokecolor="#303030">
              <v:stroke dashstyle="solid"/>
            </v:line>
            <v:line style="position:absolute" from="6023,3493" to="6076,3526" stroked="true" strokeweight=".615378pt" strokecolor="#303030">
              <v:stroke dashstyle="solid"/>
            </v:line>
            <v:line style="position:absolute" from="6076,3526" to="6125,3563" stroked="true" strokeweight=".615379pt" strokecolor="#303030">
              <v:stroke dashstyle="solid"/>
            </v:line>
            <v:line style="position:absolute" from="6125,3563" to="6179,3596" stroked="true" strokeweight=".615378pt" strokecolor="#303030">
              <v:stroke dashstyle="solid"/>
            </v:line>
            <v:line style="position:absolute" from="6179,3596" to="6232,3629" stroked="true" strokeweight=".615378pt" strokecolor="#303030">
              <v:stroke dashstyle="solid"/>
            </v:line>
            <v:line style="position:absolute" from="6232,3629" to="6265,3649" stroked="true" strokeweight=".615378pt" strokecolor="#303030">
              <v:stroke dashstyle="solid"/>
            </v:line>
            <v:line style="position:absolute" from="6412,3748" to="6441,3764" stroked="true" strokeweight=".615377pt" strokecolor="#303030">
              <v:stroke dashstyle="solid"/>
            </v:line>
            <v:line style="position:absolute" from="6441,3764" to="6490,3801" stroked="true" strokeweight=".615379pt" strokecolor="#303030">
              <v:stroke dashstyle="solid"/>
            </v:line>
            <v:line style="position:absolute" from="6490,3801" to="6544,3834" stroked="true" strokeweight=".615378pt" strokecolor="#303030">
              <v:stroke dashstyle="solid"/>
            </v:line>
            <v:line style="position:absolute" from="6544,3834" to="6597,3867" stroked="true" strokeweight=".615378pt" strokecolor="#303030">
              <v:stroke dashstyle="solid"/>
            </v:line>
            <v:line style="position:absolute" from="6597,3867" to="6650,3904" stroked="true" strokeweight=".615379pt" strokecolor="#303030">
              <v:stroke dashstyle="solid"/>
            </v:line>
            <v:line style="position:absolute" from="6650,3904" to="6700,3936" stroked="true" strokeweight=".615378pt" strokecolor="#303030">
              <v:stroke dashstyle="solid"/>
            </v:line>
            <v:line style="position:absolute" from="6700,3936" to="6753,3969" stroked="true" strokeweight=".615378pt" strokecolor="#303030">
              <v:stroke dashstyle="solid"/>
            </v:line>
            <v:line style="position:absolute" from="6753,3969" to="6790,3994" stroked="true" strokeweight=".615378pt" strokecolor="#303030">
              <v:stroke dashstyle="solid"/>
            </v:line>
            <v:line style="position:absolute" from="537,347" to="587,379" stroked="true" strokeweight=".615378pt" strokecolor="#00ff00">
              <v:stroke dashstyle="solid"/>
            </v:line>
            <v:line style="position:absolute" from="587,379" to="640,408" stroked="true" strokeweight=".615377pt" strokecolor="#00ff00">
              <v:stroke dashstyle="solid"/>
            </v:line>
            <v:line style="position:absolute" from="640,408" to="693,441" stroked="true" strokeweight=".615378pt" strokecolor="#00ff00">
              <v:stroke dashstyle="solid"/>
            </v:line>
            <v:line style="position:absolute" from="693,441" to="747,474" stroked="true" strokeweight=".615378pt" strokecolor="#00ff00">
              <v:stroke dashstyle="solid"/>
            </v:line>
            <v:line style="position:absolute" from="747,474" to="796,507" stroked="true" strokeweight=".615378pt" strokecolor="#00ff00">
              <v:stroke dashstyle="solid"/>
            </v:line>
            <v:line style="position:absolute" from="796,507" to="849,535" stroked="true" strokeweight=".615377pt" strokecolor="#00ff00">
              <v:stroke dashstyle="solid"/>
            </v:line>
            <v:line style="position:absolute" from="849,535" to="903,568" stroked="true" strokeweight=".615378pt" strokecolor="#00ff00">
              <v:stroke dashstyle="solid"/>
            </v:line>
            <v:line style="position:absolute" from="903,568" to="956,601" stroked="true" strokeweight=".615378pt" strokecolor="#00ff00">
              <v:stroke dashstyle="solid"/>
            </v:line>
            <v:line style="position:absolute" from="956,601" to="976,613" stroked="true" strokeweight=".615377pt" strokecolor="#00ff00">
              <v:stroke dashstyle="solid"/>
            </v:line>
            <v:line style="position:absolute" from="1124,704" to="1165,728" stroked="true" strokeweight=".615377pt" strokecolor="#00ff00">
              <v:stroke dashstyle="solid"/>
            </v:line>
            <v:line style="position:absolute" from="1165,728" to="1214,761" stroked="true" strokeweight=".615378pt" strokecolor="#00ff00">
              <v:stroke dashstyle="solid"/>
            </v:line>
            <v:line style="position:absolute" from="1214,761" to="1268,790" stroked="true" strokeweight=".615377pt" strokecolor="#00ff00">
              <v:stroke dashstyle="solid"/>
            </v:line>
            <v:line style="position:absolute" from="1268,790" to="1321,823" stroked="true" strokeweight=".615378pt" strokecolor="#00ff00">
              <v:stroke dashstyle="solid"/>
            </v:line>
            <v:line style="position:absolute" from="1321,823" to="1374,855" stroked="true" strokeweight=".615378pt" strokecolor="#00ff00">
              <v:stroke dashstyle="solid"/>
            </v:line>
            <v:line style="position:absolute" from="1374,855" to="1424,888" stroked="true" strokeweight=".615378pt" strokecolor="#00ff00">
              <v:stroke dashstyle="solid"/>
            </v:line>
            <v:line style="position:absolute" from="1424,888" to="1477,921" stroked="true" strokeweight=".615378pt" strokecolor="#00ff00">
              <v:stroke dashstyle="solid"/>
            </v:line>
            <v:line style="position:absolute" from="1477,921" to="1530,950" stroked="true" strokeweight=".615377pt" strokecolor="#00ff00">
              <v:stroke dashstyle="solid"/>
            </v:line>
            <v:line style="position:absolute" from="1530,950" to="1563,970" stroked="true" strokeweight=".615378pt" strokecolor="#00ff00">
              <v:stroke dashstyle="solid"/>
            </v:line>
            <v:line style="position:absolute" from="1707,1060" to="1740,1081" stroked="true" strokeweight=".615378pt" strokecolor="#00ff00">
              <v:stroke dashstyle="solid"/>
            </v:line>
            <v:line style="position:absolute" from="1740,1081" to="1789,1110" stroked="true" strokeweight=".615377pt" strokecolor="#00ff00">
              <v:stroke dashstyle="solid"/>
            </v:line>
            <v:line style="position:absolute" from="1789,1110" to="1842,1143" stroked="true" strokeweight=".615378pt" strokecolor="#00ff00">
              <v:stroke dashstyle="solid"/>
            </v:line>
            <v:line style="position:absolute" from="1842,1143" to="1895,1175" stroked="true" strokeweight=".615378pt" strokecolor="#00ff00">
              <v:stroke dashstyle="solid"/>
            </v:line>
            <v:line style="position:absolute" from="1895,1175" to="1949,1208" stroked="true" strokeweight=".615378pt" strokecolor="#00ff00">
              <v:stroke dashstyle="solid"/>
            </v:line>
            <v:line style="position:absolute" from="1949,1208" to="1998,1241" stroked="true" strokeweight=".615378pt" strokecolor="#00ff00">
              <v:stroke dashstyle="solid"/>
            </v:line>
            <v:line style="position:absolute" from="1998,1241" to="2051,1274" stroked="true" strokeweight=".615378pt" strokecolor="#00ff00">
              <v:stroke dashstyle="solid"/>
            </v:line>
            <v:line style="position:absolute" from="2051,1274" to="2105,1307" stroked="true" strokeweight=".615378pt" strokecolor="#00ff00">
              <v:stroke dashstyle="solid"/>
            </v:line>
            <v:line style="position:absolute" from="2105,1307" to="2146,1331" stroked="true" strokeweight=".615377pt" strokecolor="#00ff00">
              <v:stroke dashstyle="solid"/>
            </v:line>
            <v:line style="position:absolute" from="2293,1422" to="2314,1434" stroked="true" strokeweight=".615377pt" strokecolor="#00ff00">
              <v:stroke dashstyle="solid"/>
            </v:line>
            <v:line style="position:absolute" from="2314,1434" to="2363,1467" stroked="true" strokeweight=".615378pt" strokecolor="#00ff00">
              <v:stroke dashstyle="solid"/>
            </v:line>
            <v:line style="position:absolute" from="2363,1467" to="2416,1499" stroked="true" strokeweight=".615378pt" strokecolor="#00ff00">
              <v:stroke dashstyle="solid"/>
            </v:line>
            <v:line style="position:absolute" from="2416,1499" to="2470,1532" stroked="true" strokeweight=".615378pt" strokecolor="#00ff00">
              <v:stroke dashstyle="solid"/>
            </v:line>
            <v:line style="position:absolute" from="2470,1532" to="2523,1565" stroked="true" strokeweight=".615378pt" strokecolor="#00ff00">
              <v:stroke dashstyle="solid"/>
            </v:line>
            <v:line style="position:absolute" from="2523,1565" to="2572,1598" stroked="true" strokeweight=".615378pt" strokecolor="#00ff00">
              <v:stroke dashstyle="solid"/>
            </v:line>
            <v:line style="position:absolute" from="2572,1598" to="2626,1631" stroked="true" strokeweight=".615378pt" strokecolor="#00ff00">
              <v:stroke dashstyle="solid"/>
            </v:line>
            <v:line style="position:absolute" from="2626,1631" to="2679,1664" stroked="true" strokeweight=".615378pt" strokecolor="#00ff00">
              <v:stroke dashstyle="solid"/>
            </v:line>
            <v:line style="position:absolute" from="2679,1664" to="2732,1692" stroked="true" strokeweight=".615377pt" strokecolor="#00ff00">
              <v:stroke dashstyle="solid"/>
            </v:line>
            <v:line style="position:absolute" from="2726,1694" to="2739,1694" stroked="true" strokeweight=".205124pt" strokecolor="#00ff00">
              <v:stroke dashstyle="solid"/>
            </v:line>
            <v:line style="position:absolute" from="2880,1787" to="2888,1791" stroked="true" strokeweight=".615376pt" strokecolor="#00ff00">
              <v:stroke dashstyle="solid"/>
            </v:line>
            <v:line style="position:absolute" from="2888,1791" to="2942,1824" stroked="true" strokeweight=".615378pt" strokecolor="#00ff00">
              <v:stroke dashstyle="solid"/>
            </v:line>
            <v:line style="position:absolute" from="2942,1824" to="2991,1856" stroked="true" strokeweight=".615378pt" strokecolor="#00ff00">
              <v:stroke dashstyle="solid"/>
            </v:line>
            <v:line style="position:absolute" from="2991,1856" to="3044,1889" stroked="true" strokeweight=".615378pt" strokecolor="#00ff00">
              <v:stroke dashstyle="solid"/>
            </v:line>
            <v:line style="position:absolute" from="3044,1889" to="3097,1922" stroked="true" strokeweight=".615378pt" strokecolor="#00ff00">
              <v:stroke dashstyle="solid"/>
            </v:line>
            <v:line style="position:absolute" from="3097,1922" to="3147,1955" stroked="true" strokeweight=".615378pt" strokecolor="#00ff00">
              <v:stroke dashstyle="solid"/>
            </v:line>
            <v:line style="position:absolute" from="3147,1955" to="3200,1988" stroked="true" strokeweight=".615378pt" strokecolor="#00ff00">
              <v:stroke dashstyle="solid"/>
            </v:line>
            <v:line style="position:absolute" from="3200,1988" to="3253,2020" stroked="true" strokeweight=".615378pt" strokecolor="#00ff00">
              <v:stroke dashstyle="solid"/>
            </v:line>
            <v:line style="position:absolute" from="3253,2020" to="3307,2053" stroked="true" strokeweight=".615378pt" strokecolor="#00ff00">
              <v:stroke dashstyle="solid"/>
            </v:line>
            <v:line style="position:absolute" from="3307,2053" to="3319,2061" stroked="true" strokeweight=".615378pt" strokecolor="#00ff00">
              <v:stroke dashstyle="solid"/>
            </v:line>
            <v:line style="position:absolute" from="3463,2152" to="3516,2185" stroked="true" strokeweight=".615378pt" strokecolor="#00ff00">
              <v:stroke dashstyle="solid"/>
            </v:line>
            <v:line style="position:absolute" from="3516,2185" to="3565,2217" stroked="true" strokeweight=".615378pt" strokecolor="#00ff00">
              <v:stroke dashstyle="solid"/>
            </v:line>
            <v:line style="position:absolute" from="3565,2217" to="3619,2250" stroked="true" strokeweight=".615378pt" strokecolor="#00ff00">
              <v:stroke dashstyle="solid"/>
            </v:line>
            <v:line style="position:absolute" from="3619,2250" to="3672,2283" stroked="true" strokeweight=".615378pt" strokecolor="#00ff00">
              <v:stroke dashstyle="solid"/>
            </v:line>
            <v:line style="position:absolute" from="3672,2283" to="3725,2316" stroked="true" strokeweight=".615378pt" strokecolor="#00ff00">
              <v:stroke dashstyle="solid"/>
            </v:line>
            <v:line style="position:absolute" from="3725,2316" to="3774,2349" stroked="true" strokeweight=".615378pt" strokecolor="#00ff00">
              <v:stroke dashstyle="solid"/>
            </v:line>
            <v:line style="position:absolute" from="3774,2349" to="3828,2381" stroked="true" strokeweight=".615378pt" strokecolor="#00ff00">
              <v:stroke dashstyle="solid"/>
            </v:line>
            <v:line style="position:absolute" from="3828,2381" to="3881,2414" stroked="true" strokeweight=".615378pt" strokecolor="#00ff00">
              <v:stroke dashstyle="solid"/>
            </v:line>
            <v:line style="position:absolute" from="3881,2414" to="3902,2431" stroked="true" strokeweight=".615380pt" strokecolor="#00ff00">
              <v:stroke dashstyle="solid"/>
            </v:line>
            <v:line style="position:absolute" from="4049,2521" to="4090,2546" stroked="true" strokeweight=".615377pt" strokecolor="#00ff00">
              <v:stroke dashstyle="solid"/>
            </v:line>
            <v:line style="position:absolute" from="4090,2546" to="4140,2578" stroked="true" strokeweight=".615378pt" strokecolor="#00ff00">
              <v:stroke dashstyle="solid"/>
            </v:line>
            <v:line style="position:absolute" from="4140,2578" to="4193,2615" stroked="true" strokeweight=".615379pt" strokecolor="#00ff00">
              <v:stroke dashstyle="solid"/>
            </v:line>
            <v:line style="position:absolute" from="4193,2615" to="4246,2648" stroked="true" strokeweight=".615378pt" strokecolor="#00ff00">
              <v:stroke dashstyle="solid"/>
            </v:line>
            <v:line style="position:absolute" from="4246,2648" to="4300,2681" stroked="true" strokeweight=".615378pt" strokecolor="#00ff00">
              <v:stroke dashstyle="solid"/>
            </v:line>
            <v:line style="position:absolute" from="4300,2681" to="4349,2714" stroked="true" strokeweight=".615378pt" strokecolor="#00ff00">
              <v:stroke dashstyle="solid"/>
            </v:line>
            <v:line style="position:absolute" from="4349,2714" to="4402,2747" stroked="true" strokeweight=".615378pt" strokecolor="#00ff00">
              <v:stroke dashstyle="solid"/>
            </v:line>
            <v:line style="position:absolute" from="4402,2747" to="4455,2779" stroked="true" strokeweight=".615378pt" strokecolor="#00ff00">
              <v:stroke dashstyle="solid"/>
            </v:line>
            <v:line style="position:absolute" from="4455,2779" to="4488,2800" stroked="true" strokeweight=".615378pt" strokecolor="#00ff00">
              <v:stroke dashstyle="solid"/>
            </v:line>
            <v:line style="position:absolute" from="4636,2894" to="4665,2911" stroked="true" strokeweight=".615377pt" strokecolor="#00ff00">
              <v:stroke dashstyle="solid"/>
            </v:line>
            <v:line style="position:absolute" from="4665,2911" to="4718,2948" stroked="true" strokeweight=".615379pt" strokecolor="#00ff00">
              <v:stroke dashstyle="solid"/>
            </v:line>
            <v:line style="position:absolute" from="4718,2948" to="4767,2980" stroked="true" strokeweight=".615378pt" strokecolor="#00ff00">
              <v:stroke dashstyle="solid"/>
            </v:line>
            <v:line style="position:absolute" from="4767,2980" to="4821,3013" stroked="true" strokeweight=".615378pt" strokecolor="#00ff00">
              <v:stroke dashstyle="solid"/>
            </v:line>
            <v:line style="position:absolute" from="4821,3013" to="4874,3046" stroked="true" strokeweight=".615378pt" strokecolor="#00ff00">
              <v:stroke dashstyle="solid"/>
            </v:line>
            <v:line style="position:absolute" from="4874,3046" to="4927,3079" stroked="true" strokeweight=".615378pt" strokecolor="#00ff00">
              <v:stroke dashstyle="solid"/>
            </v:line>
            <v:line style="position:absolute" from="4927,3079" to="4976,3112" stroked="true" strokeweight=".615378pt" strokecolor="#00ff00">
              <v:stroke dashstyle="solid"/>
            </v:line>
            <v:line style="position:absolute" from="4976,3112" to="5030,3145" stroked="true" strokeweight=".615378pt" strokecolor="#00ff00">
              <v:stroke dashstyle="solid"/>
            </v:line>
            <v:line style="position:absolute" from="5030,3145" to="5075,3173" stroked="true" strokeweight=".615378pt" strokecolor="#00ff00">
              <v:stroke dashstyle="solid"/>
            </v:line>
            <v:line style="position:absolute" from="5223,3268" to="5239,3280" stroked="true" strokeweight=".615379pt" strokecolor="#00ff00">
              <v:stroke dashstyle="solid"/>
            </v:line>
            <v:line style="position:absolute" from="5239,3280" to="5292,3313" stroked="true" strokeweight=".615378pt" strokecolor="#00ff00">
              <v:stroke dashstyle="solid"/>
            </v:line>
            <v:line style="position:absolute" from="5292,3313" to="5342,3346" stroked="true" strokeweight=".615378pt" strokecolor="#00ff00">
              <v:stroke dashstyle="solid"/>
            </v:line>
            <v:line style="position:absolute" from="5342,3346" to="5395,3382" stroked="true" strokeweight=".615379pt" strokecolor="#00ff00">
              <v:stroke dashstyle="solid"/>
            </v:line>
            <v:line style="position:absolute" from="5395,3382" to="5448,3415" stroked="true" strokeweight=".615378pt" strokecolor="#00ff00">
              <v:stroke dashstyle="solid"/>
            </v:line>
            <v:line style="position:absolute" from="5448,3415" to="5502,3448" stroked="true" strokeweight=".615378pt" strokecolor="#00ff00">
              <v:stroke dashstyle="solid"/>
            </v:line>
            <v:line style="position:absolute" from="5502,3448" to="5551,3481" stroked="true" strokeweight=".615378pt" strokecolor="#00ff00">
              <v:stroke dashstyle="solid"/>
            </v:line>
            <v:line style="position:absolute" from="5551,3481" to="5604,3518" stroked="true" strokeweight=".615379pt" strokecolor="#00ff00">
              <v:stroke dashstyle="solid"/>
            </v:line>
            <v:line style="position:absolute" from="5604,3518" to="5658,3551" stroked="true" strokeweight=".615378pt" strokecolor="#00ff00">
              <v:stroke dashstyle="solid"/>
            </v:line>
            <v:line style="position:absolute" from="5660,3545" to="5660,3557" stroked="true" strokeweight=".205131pt" strokecolor="#00ff00">
              <v:stroke dashstyle="solid"/>
            </v:line>
            <v:line style="position:absolute" from="5805,3645" to="5813,3649" stroked="true" strokeweight=".615376pt" strokecolor="#00ff00">
              <v:stroke dashstyle="solid"/>
            </v:line>
            <v:line style="position:absolute" from="5813,3649" to="5867,3686" stroked="true" strokeweight=".615379pt" strokecolor="#00ff00">
              <v:stroke dashstyle="solid"/>
            </v:line>
            <v:line style="position:absolute" from="5867,3686" to="5916,3719" stroked="true" strokeweight=".615378pt" strokecolor="#00ff00">
              <v:stroke dashstyle="solid"/>
            </v:line>
            <v:line style="position:absolute" from="5916,3719" to="5969,3752" stroked="true" strokeweight=".615378pt" strokecolor="#00ff00">
              <v:stroke dashstyle="solid"/>
            </v:line>
            <v:line style="position:absolute" from="5969,3752" to="6023,3785" stroked="true" strokeweight=".615378pt" strokecolor="#00ff00">
              <v:stroke dashstyle="solid"/>
            </v:line>
            <v:line style="position:absolute" from="6023,3785" to="6076,3821" stroked="true" strokeweight=".615379pt" strokecolor="#00ff00">
              <v:stroke dashstyle="solid"/>
            </v:line>
            <v:line style="position:absolute" from="6076,3821" to="6125,3854" stroked="true" strokeweight=".615378pt" strokecolor="#00ff00">
              <v:stroke dashstyle="solid"/>
            </v:line>
            <v:line style="position:absolute" from="6125,3854" to="6179,3887" stroked="true" strokeweight=".615378pt" strokecolor="#00ff00">
              <v:stroke dashstyle="solid"/>
            </v:line>
            <v:line style="position:absolute" from="6179,3887" to="6232,3920" stroked="true" strokeweight=".615378pt" strokecolor="#00ff00">
              <v:stroke dashstyle="solid"/>
            </v:line>
            <v:line style="position:absolute" from="6232,3920" to="6244,3932" stroked="true" strokeweight=".615382pt" strokecolor="#00ff00">
              <v:stroke dashstyle="solid"/>
            </v:line>
            <v:line style="position:absolute" from="6392,4027" to="6441,4059" stroked="true" strokeweight=".615378pt" strokecolor="#00ff00">
              <v:stroke dashstyle="solid"/>
            </v:line>
            <v:line style="position:absolute" from="6441,4059" to="6490,4092" stroked="true" strokeweight=".615378pt" strokecolor="#00ff00">
              <v:stroke dashstyle="solid"/>
            </v:line>
            <v:line style="position:absolute" from="6490,4092" to="6544,4125" stroked="true" strokeweight=".615378pt" strokecolor="#00ff00">
              <v:stroke dashstyle="solid"/>
            </v:line>
            <v:line style="position:absolute" from="6544,4125" to="6564,4141" stroked="true" strokeweight=".615380pt" strokecolor="#00ff00">
              <v:stroke dashstyle="solid"/>
            </v:line>
            <v:line style="position:absolute" from="537,638" to="587,671" stroked="true" strokeweight=".615378pt" strokecolor="#800080">
              <v:stroke dashstyle="solid"/>
            </v:line>
            <v:line style="position:absolute" from="587,671" to="640,704" stroked="true" strokeweight=".615378pt" strokecolor="#800080">
              <v:stroke dashstyle="solid"/>
            </v:line>
            <v:line style="position:absolute" from="640,704" to="693,732" stroked="true" strokeweight=".615377pt" strokecolor="#800080">
              <v:stroke dashstyle="solid"/>
            </v:line>
            <v:line style="position:absolute" from="693,732" to="747,765" stroked="true" strokeweight=".615378pt" strokecolor="#800080">
              <v:stroke dashstyle="solid"/>
            </v:line>
            <v:line style="position:absolute" from="747,765" to="796,798" stroked="true" strokeweight=".615378pt" strokecolor="#800080">
              <v:stroke dashstyle="solid"/>
            </v:line>
            <v:line style="position:absolute" from="796,798" to="829,818" stroked="true" strokeweight=".615378pt" strokecolor="#800080">
              <v:stroke dashstyle="solid"/>
            </v:line>
            <v:line style="position:absolute" from="940,884" to="956,892" stroked="true" strokeweight=".615376pt" strokecolor="#800080">
              <v:stroke dashstyle="solid"/>
            </v:line>
            <v:line style="position:absolute" from="956,892" to="1005,925" stroked="true" strokeweight=".615378pt" strokecolor="#800080">
              <v:stroke dashstyle="solid"/>
            </v:line>
            <v:line style="position:absolute" from="1005,925" to="1013,929" stroked="true" strokeweight=".615376pt" strokecolor="#800080">
              <v:stroke dashstyle="solid"/>
            </v:line>
            <v:line style="position:absolute" from="1124,995" to="1165,1019" stroked="true" strokeweight=".615377pt" strokecolor="#800080">
              <v:stroke dashstyle="solid"/>
            </v:line>
            <v:line style="position:absolute" from="1165,1019" to="1214,1052" stroked="true" strokeweight=".615378pt" strokecolor="#800080">
              <v:stroke dashstyle="solid"/>
            </v:line>
            <v:line style="position:absolute" from="1214,1052" to="1268,1085" stroked="true" strokeweight=".615378pt" strokecolor="#800080">
              <v:stroke dashstyle="solid"/>
            </v:line>
            <v:line style="position:absolute" from="1268,1085" to="1321,1118" stroked="true" strokeweight=".615378pt" strokecolor="#800080">
              <v:stroke dashstyle="solid"/>
            </v:line>
            <v:line style="position:absolute" from="1321,1118" to="1374,1147" stroked="true" strokeweight=".615377pt" strokecolor="#800080">
              <v:stroke dashstyle="solid"/>
            </v:line>
            <v:line style="position:absolute" from="1374,1147" to="1415,1175" stroked="true" strokeweight=".615379pt" strokecolor="#800080">
              <v:stroke dashstyle="solid"/>
            </v:line>
            <v:line style="position:absolute" from="1526,1241" to="1530,1245" stroked="true" strokeweight=".615382pt" strokecolor="#800080">
              <v:stroke dashstyle="solid"/>
            </v:line>
            <v:line style="position:absolute" from="1530,1245" to="1584,1278" stroked="true" strokeweight=".615378pt" strokecolor="#800080">
              <v:stroke dashstyle="solid"/>
            </v:line>
            <v:line style="position:absolute" from="1584,1278" to="1600,1286" stroked="true" strokeweight=".615376pt" strokecolor="#800080">
              <v:stroke dashstyle="solid"/>
            </v:line>
            <v:line style="position:absolute" from="1707,1352" to="1740,1372" stroked="true" strokeweight=".615378pt" strokecolor="#800080">
              <v:stroke dashstyle="solid"/>
            </v:line>
            <v:line style="position:absolute" from="1740,1372" to="1789,1405" stroked="true" strokeweight=".615378pt" strokecolor="#800080">
              <v:stroke dashstyle="solid"/>
            </v:line>
            <v:line style="position:absolute" from="1789,1405" to="1842,1438" stroked="true" strokeweight=".615378pt" strokecolor="#800080">
              <v:stroke dashstyle="solid"/>
            </v:line>
            <v:line style="position:absolute" from="1842,1438" to="1895,1471" stroked="true" strokeweight=".615378pt" strokecolor="#800080">
              <v:stroke dashstyle="solid"/>
            </v:line>
            <v:line style="position:absolute" from="1895,1471" to="1949,1499" stroked="true" strokeweight=".615377pt" strokecolor="#800080">
              <v:stroke dashstyle="solid"/>
            </v:line>
            <v:line style="position:absolute" from="1949,1499" to="1998,1532" stroked="true" strokeweight=".615378pt" strokecolor="#800080">
              <v:stroke dashstyle="solid"/>
            </v:line>
            <v:line style="position:absolute" from="2000,1526" to="2000,1538" stroked="true" strokeweight=".205131pt" strokecolor="#800080">
              <v:stroke dashstyle="solid"/>
            </v:line>
            <v:line style="position:absolute" from="2109,1602" to="2158,1631" stroked="true" strokeweight=".615377pt" strokecolor="#800080">
              <v:stroke dashstyle="solid"/>
            </v:line>
            <v:line style="position:absolute" from="2158,1631" to="2183,1647" stroked="true" strokeweight=".615378pt" strokecolor="#800080">
              <v:stroke dashstyle="solid"/>
            </v:line>
            <v:line style="position:absolute" from="2293,1713" to="2314,1725" stroked="true" strokeweight=".615377pt" strokecolor="#800080">
              <v:stroke dashstyle="solid"/>
            </v:line>
            <v:line style="position:absolute" from="2314,1725" to="2363,1758" stroked="true" strokeweight=".615378pt" strokecolor="#800080">
              <v:stroke dashstyle="solid"/>
            </v:line>
            <v:line style="position:absolute" from="2363,1758" to="2416,1791" stroked="true" strokeweight=".615378pt" strokecolor="#800080">
              <v:stroke dashstyle="solid"/>
            </v:line>
            <v:line style="position:absolute" from="2416,1791" to="2470,1824" stroked="true" strokeweight=".615378pt" strokecolor="#800080">
              <v:stroke dashstyle="solid"/>
            </v:line>
            <v:line style="position:absolute" from="2470,1824" to="2523,1856" stroked="true" strokeweight=".615378pt" strokecolor="#800080">
              <v:stroke dashstyle="solid"/>
            </v:line>
            <v:line style="position:absolute" from="2523,1856" to="2572,1889" stroked="true" strokeweight=".615378pt" strokecolor="#800080">
              <v:stroke dashstyle="solid"/>
            </v:line>
            <v:line style="position:absolute" from="2572,1889" to="2585,1897" stroked="true" strokeweight=".615378pt" strokecolor="#800080">
              <v:stroke dashstyle="solid"/>
            </v:line>
            <v:line style="position:absolute" from="2695,1963" to="2732,1988" stroked="true" strokeweight=".615378pt" strokecolor="#800080">
              <v:stroke dashstyle="solid"/>
            </v:line>
            <v:line style="position:absolute" from="2732,1988" to="2769,2012" stroked="true" strokeweight=".615378pt" strokecolor="#800080">
              <v:stroke dashstyle="solid"/>
            </v:line>
            <v:line style="position:absolute" from="2880,2078" to="2888,2086" stroked="true" strokeweight=".615382pt" strokecolor="#800080">
              <v:stroke dashstyle="solid"/>
            </v:line>
            <v:line style="position:absolute" from="2888,2086" to="2942,2119" stroked="true" strokeweight=".615378pt" strokecolor="#800080">
              <v:stroke dashstyle="solid"/>
            </v:line>
            <v:line style="position:absolute" from="2942,2119" to="2991,2148" stroked="true" strokeweight=".615377pt" strokecolor="#800080">
              <v:stroke dashstyle="solid"/>
            </v:line>
            <v:line style="position:absolute" from="2991,2148" to="3044,2185" stroked="true" strokeweight=".615379pt" strokecolor="#800080">
              <v:stroke dashstyle="solid"/>
            </v:line>
            <v:line style="position:absolute" from="3044,2185" to="3097,2213" stroked="true" strokeweight=".615377pt" strokecolor="#800080">
              <v:stroke dashstyle="solid"/>
            </v:line>
            <v:line style="position:absolute" from="3097,2213" to="3147,2246" stroked="true" strokeweight=".615378pt" strokecolor="#800080">
              <v:stroke dashstyle="solid"/>
            </v:line>
            <v:line style="position:absolute" from="3147,2246" to="3171,2263" stroked="true" strokeweight=".615378pt" strokecolor="#800080">
              <v:stroke dashstyle="solid"/>
            </v:line>
            <v:line style="position:absolute" from="3282,2332" to="3307,2345" stroked="true" strokeweight=".615376pt" strokecolor="#800080">
              <v:stroke dashstyle="solid"/>
            </v:line>
            <v:line style="position:absolute" from="3307,2345" to="3356,2377" stroked="true" strokeweight=".615378pt" strokecolor="#800080">
              <v:stroke dashstyle="solid"/>
            </v:line>
            <v:line style="position:absolute" from="3463,2447" to="3516,2476" stroked="true" strokeweight=".615377pt" strokecolor="#800080">
              <v:stroke dashstyle="solid"/>
            </v:line>
            <v:line style="position:absolute" from="3516,2476" to="3565,2509" stroked="true" strokeweight=".615378pt" strokecolor="#800080">
              <v:stroke dashstyle="solid"/>
            </v:line>
            <v:line style="position:absolute" from="3565,2509" to="3619,2541" stroked="true" strokeweight=".615378pt" strokecolor="#800080">
              <v:stroke dashstyle="solid"/>
            </v:line>
            <v:line style="position:absolute" from="3619,2541" to="3672,2574" stroked="true" strokeweight=".615378pt" strokecolor="#800080">
              <v:stroke dashstyle="solid"/>
            </v:line>
            <v:line style="position:absolute" from="3672,2574" to="3725,2607" stroked="true" strokeweight=".615378pt" strokecolor="#800080">
              <v:stroke dashstyle="solid"/>
            </v:line>
            <v:line style="position:absolute" from="3725,2607" to="3758,2632" stroked="true" strokeweight=".615379pt" strokecolor="#800080">
              <v:stroke dashstyle="solid"/>
            </v:line>
            <v:line style="position:absolute" from="3869,2697" to="3881,2710" stroked="true" strokeweight=".615382pt" strokecolor="#800080">
              <v:stroke dashstyle="solid"/>
            </v:line>
            <v:line style="position:absolute" from="3881,2710" to="3934,2743" stroked="true" strokeweight=".615378pt" strokecolor="#800080">
              <v:stroke dashstyle="solid"/>
            </v:line>
            <v:line style="position:absolute" from="3934,2743" to="3939,2747" stroked="true" strokeweight=".615382pt" strokecolor="#800080">
              <v:stroke dashstyle="solid"/>
            </v:line>
            <v:line style="position:absolute" from="4049,2816" to="4090,2841" stroked="true" strokeweight=".615377pt" strokecolor="#800080">
              <v:stroke dashstyle="solid"/>
            </v:line>
            <v:line style="position:absolute" from="4090,2841" to="4140,2874" stroked="true" strokeweight=".615378pt" strokecolor="#800080">
              <v:stroke dashstyle="solid"/>
            </v:line>
            <v:line style="position:absolute" from="4140,2874" to="4193,2907" stroked="true" strokeweight=".615378pt" strokecolor="#800080">
              <v:stroke dashstyle="solid"/>
            </v:line>
            <v:line style="position:absolute" from="4193,2907" to="4246,2939" stroked="true" strokeweight=".615378pt" strokecolor="#800080">
              <v:stroke dashstyle="solid"/>
            </v:line>
            <v:line style="position:absolute" from="4246,2939" to="4300,2972" stroked="true" strokeweight=".615378pt" strokecolor="#800080">
              <v:stroke dashstyle="solid"/>
            </v:line>
            <v:line style="position:absolute" from="4300,2972" to="4341,3001" stroked="true" strokeweight=".615379pt" strokecolor="#800080">
              <v:stroke dashstyle="solid"/>
            </v:line>
            <v:line style="position:absolute" from="4453,3065" to="4453,3077" stroked="true" strokeweight=".205131pt" strokecolor="#800080">
              <v:stroke dashstyle="solid"/>
            </v:line>
            <v:line style="position:absolute" from="4455,3071" to="4509,3108" stroked="true" strokeweight=".615379pt" strokecolor="#800080">
              <v:stroke dashstyle="solid"/>
            </v:line>
            <v:line style="position:absolute" from="4509,3108" to="4525,3116" stroked="true" strokeweight=".615376pt" strokecolor="#800080">
              <v:stroke dashstyle="solid"/>
            </v:line>
            <v:line style="position:absolute" from="4636,3186" to="4665,3206" stroked="true" strokeweight=".615379pt" strokecolor="#800080">
              <v:stroke dashstyle="solid"/>
            </v:line>
            <v:line style="position:absolute" from="4665,3206" to="4718,3239" stroked="true" strokeweight=".615378pt" strokecolor="#800080">
              <v:stroke dashstyle="solid"/>
            </v:line>
            <v:line style="position:absolute" from="4718,3239" to="4767,3272" stroked="true" strokeweight=".615378pt" strokecolor="#800080">
              <v:stroke dashstyle="solid"/>
            </v:line>
            <v:line style="position:absolute" from="4767,3272" to="4821,3305" stroked="true" strokeweight=".615378pt" strokecolor="#800080">
              <v:stroke dashstyle="solid"/>
            </v:line>
            <v:line style="position:absolute" from="4821,3305" to="4874,3337" stroked="true" strokeweight=".615378pt" strokecolor="#800080">
              <v:stroke dashstyle="solid"/>
            </v:line>
            <v:line style="position:absolute" from="4874,3337" to="4927,3370" stroked="true" strokeweight=".615378pt" strokecolor="#800080">
              <v:stroke dashstyle="solid"/>
            </v:line>
            <v:line style="position:absolute" from="4921,3372" to="4933,3372" stroked="true" strokeweight=".205124pt" strokecolor="#800080">
              <v:stroke dashstyle="solid"/>
            </v:line>
            <v:line style="position:absolute" from="5038,3444" to="5083,3473" stroked="true" strokeweight=".615378pt" strokecolor="#800080">
              <v:stroke dashstyle="solid"/>
            </v:line>
            <v:line style="position:absolute" from="5083,3473" to="5112,3493" stroked="true" strokeweight=".615379pt" strokecolor="#800080">
              <v:stroke dashstyle="solid"/>
            </v:line>
            <v:line style="position:absolute" from="5223,3563" to="5239,3571" stroked="true" strokeweight=".615376pt" strokecolor="#800080">
              <v:stroke dashstyle="solid"/>
            </v:line>
            <v:line style="position:absolute" from="5239,3571" to="5292,3608" stroked="true" strokeweight=".615379pt" strokecolor="#800080">
              <v:stroke dashstyle="solid"/>
            </v:line>
            <v:line style="position:absolute" from="5292,3608" to="5342,3641" stroked="true" strokeweight=".615378pt" strokecolor="#800080">
              <v:stroke dashstyle="solid"/>
            </v:line>
            <v:line style="position:absolute" from="5342,3641" to="5395,3674" stroked="true" strokeweight=".615378pt" strokecolor="#800080">
              <v:stroke dashstyle="solid"/>
            </v:line>
            <v:line style="position:absolute" from="5395,3674" to="5448,3707" stroked="true" strokeweight=".615378pt" strokecolor="#800080">
              <v:stroke dashstyle="solid"/>
            </v:line>
            <v:line style="position:absolute" from="5448,3707" to="5502,3744" stroked="true" strokeweight=".615379pt" strokecolor="#800080">
              <v:stroke dashstyle="solid"/>
            </v:line>
            <v:line style="position:absolute" from="5502,3744" to="5514,3752" stroked="true" strokeweight=".615378pt" strokecolor="#800080">
              <v:stroke dashstyle="solid"/>
            </v:line>
            <v:line style="position:absolute" from="5625,3821" to="5658,3842" stroked="true" strokeweight=".615378pt" strokecolor="#800080">
              <v:stroke dashstyle="solid"/>
            </v:line>
            <v:line style="position:absolute" from="5658,3842" to="5694,3867" stroked="true" strokeweight=".615378pt" strokecolor="#800080">
              <v:stroke dashstyle="solid"/>
            </v:line>
            <v:line style="position:absolute" from="5805,3940" to="5813,3945" stroked="true" strokeweight=".615376pt" strokecolor="#800080">
              <v:stroke dashstyle="solid"/>
            </v:line>
            <v:line style="position:absolute" from="5813,3945" to="5867,3977" stroked="true" strokeweight=".615378pt" strokecolor="#800080">
              <v:stroke dashstyle="solid"/>
            </v:line>
            <v:line style="position:absolute" from="5867,3977" to="5916,4010" stroked="true" strokeweight=".615378pt" strokecolor="#800080">
              <v:stroke dashstyle="solid"/>
            </v:line>
            <v:line style="position:absolute" from="5916,4010" to="5969,4047" stroked="true" strokeweight=".615379pt" strokecolor="#800080">
              <v:stroke dashstyle="solid"/>
            </v:line>
            <v:line style="position:absolute" from="5969,4047" to="6023,4080" stroked="true" strokeweight=".615378pt" strokecolor="#800080">
              <v:stroke dashstyle="solid"/>
            </v:line>
            <v:line style="position:absolute" from="6023,4080" to="6076,4113" stroked="true" strokeweight=".615378pt" strokecolor="#800080">
              <v:stroke dashstyle="solid"/>
            </v:line>
            <v:line style="position:absolute" from="6076,4113" to="6101,4129" stroked="true" strokeweight=".615378pt" strokecolor="#800080">
              <v:stroke dashstyle="solid"/>
            </v:line>
            <v:line style="position:absolute" from="537,933" to="587,962" stroked="true" strokeweight=".615377pt" strokecolor="#0000ff">
              <v:stroke dashstyle="solid"/>
            </v:line>
            <v:line style="position:absolute" from="587,962" to="640,995" stroked="true" strokeweight=".615378pt" strokecolor="#0000ff">
              <v:stroke dashstyle="solid"/>
            </v:line>
            <v:line style="position:absolute" from="640,995" to="693,1028" stroked="true" strokeweight=".615378pt" strokecolor="#0000ff">
              <v:stroke dashstyle="solid"/>
            </v:line>
            <v:line style="position:absolute" from="693,1028" to="747,1060" stroked="true" strokeweight=".615378pt" strokecolor="#0000ff">
              <v:stroke dashstyle="solid"/>
            </v:line>
            <v:line style="position:absolute" from="747,1060" to="796,1089" stroked="true" strokeweight=".615377pt" strokecolor="#0000ff">
              <v:stroke dashstyle="solid"/>
            </v:line>
            <v:line style="position:absolute" from="796,1089" to="829,1110" stroked="true" strokeweight=".615378pt" strokecolor="#0000ff">
              <v:stroke dashstyle="solid"/>
            </v:line>
            <v:line style="position:absolute" from="940,1175" to="956,1184" stroked="true" strokeweight=".615376pt" strokecolor="#0000ff">
              <v:stroke dashstyle="solid"/>
            </v:line>
            <v:line style="position:absolute" from="956,1184" to="1005,1216" stroked="true" strokeweight=".615378pt" strokecolor="#0000ff">
              <v:stroke dashstyle="solid"/>
            </v:line>
            <v:line style="position:absolute" from="1005,1216" to="1013,1220" stroked="true" strokeweight=".615376pt" strokecolor="#0000ff">
              <v:stroke dashstyle="solid"/>
            </v:line>
            <v:shape style="position:absolute;left:1117;top:1279;width:304;height:193" type="#_x0000_t75" stroked="false">
              <v:imagedata r:id="rId254" o:title=""/>
            </v:shape>
            <v:line style="position:absolute" from="1526,1532" to="1530,1536" stroked="true" strokeweight=".615382pt" strokecolor="#0000ff">
              <v:stroke dashstyle="solid"/>
            </v:line>
            <v:line style="position:absolute" from="1530,1536" to="1584,1569" stroked="true" strokeweight=".615378pt" strokecolor="#0000ff">
              <v:stroke dashstyle="solid"/>
            </v:line>
            <v:line style="position:absolute" from="1584,1569" to="1600,1577" stroked="true" strokeweight=".615376pt" strokecolor="#0000ff">
              <v:stroke dashstyle="solid"/>
            </v:line>
            <v:shape style="position:absolute;left:1700;top:1641;width:304;height:193" type="#_x0000_t75" stroked="false">
              <v:imagedata r:id="rId255" o:title=""/>
            </v:shape>
            <v:line style="position:absolute" from="2109,1893" to="2158,1922" stroked="true" strokeweight=".615377pt" strokecolor="#0000ff">
              <v:stroke dashstyle="solid"/>
            </v:line>
            <v:line style="position:absolute" from="2158,1922" to="2183,1938" stroked="true" strokeweight=".615378pt" strokecolor="#0000ff">
              <v:stroke dashstyle="solid"/>
            </v:line>
            <v:shape style="position:absolute;left:2287;top:2002;width:304;height:193" type="#_x0000_t75" stroked="false">
              <v:imagedata r:id="rId256" o:title=""/>
            </v:shape>
            <v:line style="position:absolute" from="2695,2258" to="2732,2279" stroked="true" strokeweight=".615377pt" strokecolor="#0000ff">
              <v:stroke dashstyle="solid"/>
            </v:line>
            <v:line style="position:absolute" from="2732,2279" to="2769,2304" stroked="true" strokeweight=".615378pt" strokecolor="#0000ff">
              <v:stroke dashstyle="solid"/>
            </v:line>
            <v:shape style="position:absolute;left:2873;top:2367;width:304;height:193" type="#_x0000_t75" stroked="false">
              <v:imagedata r:id="rId257" o:title=""/>
            </v:shape>
            <v:line style="position:absolute" from="3282,2624" to="3307,2640" stroked="true" strokeweight=".615378pt" strokecolor="#0000ff">
              <v:stroke dashstyle="solid"/>
            </v:line>
            <v:line style="position:absolute" from="3307,2640" to="3356,2669" stroked="true" strokeweight=".615377pt" strokecolor="#0000ff">
              <v:stroke dashstyle="solid"/>
            </v:line>
            <v:shape style="position:absolute;left:3456;top:2732;width:308;height:197" type="#_x0000_t75" stroked="false">
              <v:imagedata r:id="rId258" o:title=""/>
            </v:shape>
            <v:line style="position:absolute" from="3869,2993" to="3881,3001" stroked="true" strokeweight=".615378pt" strokecolor="#0000ff">
              <v:stroke dashstyle="solid"/>
            </v:line>
            <v:line style="position:absolute" from="3881,3001" to="3934,3034" stroked="true" strokeweight=".615378pt" strokecolor="#0000ff">
              <v:stroke dashstyle="solid"/>
            </v:line>
            <v:line style="position:absolute" from="3934,3034" to="3939,3038" stroked="true" strokeweight=".615382pt" strokecolor="#0000ff">
              <v:stroke dashstyle="solid"/>
            </v:line>
            <v:line style="position:absolute" from="4049,3108" to="4090,3132" stroked="true" strokeweight=".615377pt" strokecolor="#0000ff">
              <v:stroke dashstyle="solid"/>
            </v:line>
            <v:line style="position:absolute" from="4090,3132" to="4140,3165" stroked="true" strokeweight=".615378pt" strokecolor="#0000ff">
              <v:stroke dashstyle="solid"/>
            </v:line>
            <v:line style="position:absolute" from="4140,3165" to="4193,3198" stroked="true" strokeweight=".615378pt" strokecolor="#0000ff">
              <v:stroke dashstyle="solid"/>
            </v:line>
            <v:line style="position:absolute" from="4193,3198" to="4246,3231" stroked="true" strokeweight=".615378pt" strokecolor="#0000ff">
              <v:stroke dashstyle="solid"/>
            </v:line>
            <v:line style="position:absolute" from="4246,3231" to="4300,3264" stroked="true" strokeweight=".615378pt" strokecolor="#0000ff">
              <v:stroke dashstyle="solid"/>
            </v:line>
            <v:line style="position:absolute" from="4300,3264" to="4341,3292" stroked="true" strokeweight=".615379pt" strokecolor="#0000ff">
              <v:stroke dashstyle="solid"/>
            </v:line>
            <v:line style="position:absolute" from="4451,3362" to="4455,3366" stroked="true" strokeweight=".615382pt" strokecolor="#0000ff">
              <v:stroke dashstyle="solid"/>
            </v:line>
            <v:line style="position:absolute" from="4455,3366" to="4509,3399" stroked="true" strokeweight=".615378pt" strokecolor="#0000ff">
              <v:stroke dashstyle="solid"/>
            </v:line>
            <v:line style="position:absolute" from="4509,3399" to="4525,3411" stroked="true" strokeweight=".615379pt" strokecolor="#0000ff">
              <v:stroke dashstyle="solid"/>
            </v:line>
            <v:shape style="position:absolute;left:4629;top:3474;width:304;height:197" type="#_x0000_t75" stroked="false">
              <v:imagedata r:id="rId259" o:title=""/>
            </v:shape>
            <v:line style="position:absolute" from="5038,3735" to="5083,3764" stroked="true" strokeweight=".615378pt" strokecolor="#0000ff">
              <v:stroke dashstyle="solid"/>
            </v:line>
            <v:line style="position:absolute" from="5083,3764" to="5112,3785" stroked="true" strokeweight=".615379pt" strokecolor="#0000ff">
              <v:stroke dashstyle="solid"/>
            </v:line>
            <v:shape style="position:absolute;left:5216;top:3848;width:304;height:202" type="#_x0000_t75" stroked="false">
              <v:imagedata r:id="rId260" o:title=""/>
            </v:shape>
            <v:line style="position:absolute" from="5625,4113" to="5658,4133" stroked="true" strokeweight=".615378pt" strokecolor="#0000ff">
              <v:stroke dashstyle="solid"/>
            </v:line>
            <v:line style="position:absolute" from="5658,4133" to="5662,4141" stroked="true" strokeweight=".615388pt" strokecolor="#0000ff">
              <v:stroke dashstyle="solid"/>
            </v:line>
            <v:shape style="position:absolute;left:531;top:1218;width:304;height:189" type="#_x0000_t75" stroked="false">
              <v:imagedata r:id="rId261" o:title=""/>
            </v:shape>
            <v:line style="position:absolute" from="940,1471" to="956,1479" stroked="true" strokeweight=".615376pt" strokecolor="#00ffff">
              <v:stroke dashstyle="solid"/>
            </v:line>
            <v:line style="position:absolute" from="956,1479" to="1005,1512" stroked="true" strokeweight=".615378pt" strokecolor="#00ffff">
              <v:stroke dashstyle="solid"/>
            </v:line>
            <v:line style="position:absolute" from="1005,1512" to="1013,1512" stroked="true" strokeweight=".615372pt" strokecolor="#00ffff">
              <v:stroke dashstyle="solid"/>
            </v:line>
            <v:shape style="position:absolute;left:1117;top:1575;width:304;height:189" type="#_x0000_t75" stroked="false">
              <v:imagedata r:id="rId262" o:title=""/>
            </v:shape>
            <v:line style="position:absolute" from="1528,1822" to="1528,1834" stroked="true" strokeweight=".205131pt" strokecolor="#00ffff">
              <v:stroke dashstyle="solid"/>
            </v:line>
            <v:line style="position:absolute" from="1530,1828" to="1584,1860" stroked="true" strokeweight=".615378pt" strokecolor="#00ffff">
              <v:stroke dashstyle="solid"/>
            </v:line>
            <v:line style="position:absolute" from="1584,1860" to="1600,1873" stroked="true" strokeweight=".615379pt" strokecolor="#00ffff">
              <v:stroke dashstyle="solid"/>
            </v:line>
            <v:shape style="position:absolute;left:1700;top:1932;width:304;height:193" type="#_x0000_t75" stroked="false">
              <v:imagedata r:id="rId263" o:title=""/>
            </v:shape>
            <v:line style="position:absolute" from="2109,2189" to="2158,2217" stroked="true" strokeweight=".615377pt" strokecolor="#00ffff">
              <v:stroke dashstyle="solid"/>
            </v:line>
            <v:line style="position:absolute" from="2158,2217" to="2183,2234" stroked="true" strokeweight=".615378pt" strokecolor="#00ffff">
              <v:stroke dashstyle="solid"/>
            </v:line>
            <v:shape style="position:absolute;left:2287;top:2293;width:304;height:193" type="#_x0000_t75" stroked="false">
              <v:imagedata r:id="rId264" o:title=""/>
            </v:shape>
            <v:line style="position:absolute" from="2695,2550" to="2732,2574" stroked="true" strokeweight=".615378pt" strokecolor="#00ffff">
              <v:stroke dashstyle="solid"/>
            </v:line>
            <v:line style="position:absolute" from="2732,2574" to="2769,2595" stroked="true" strokeweight=".615377pt" strokecolor="#00ffff">
              <v:stroke dashstyle="solid"/>
            </v:line>
            <v:shape style="position:absolute;left:2873;top:2658;width:304;height:197" type="#_x0000_t75" stroked="false">
              <v:imagedata r:id="rId265" o:title=""/>
            </v:shape>
            <v:line style="position:absolute" from="3282,2915" to="3307,2931" stroked="true" strokeweight=".615378pt" strokecolor="#00ffff">
              <v:stroke dashstyle="solid"/>
            </v:line>
            <v:line style="position:absolute" from="3307,2931" to="3356,2964" stroked="true" strokeweight=".615378pt" strokecolor="#00ffff">
              <v:stroke dashstyle="solid"/>
            </v:line>
            <v:shape style="position:absolute;left:3456;top:3023;width:308;height:197" type="#_x0000_t75" stroked="false">
              <v:imagedata r:id="rId266" o:title=""/>
            </v:shape>
            <v:line style="position:absolute" from="3869,3284" to="3881,3292" stroked="true" strokeweight=".615378pt" strokecolor="#00ffff">
              <v:stroke dashstyle="solid"/>
            </v:line>
            <v:line style="position:absolute" from="3881,3292" to="3934,3325" stroked="true" strokeweight=".615378pt" strokecolor="#00ffff">
              <v:stroke dashstyle="solid"/>
            </v:line>
            <v:line style="position:absolute" from="3934,3325" to="3939,3329" stroked="true" strokeweight=".615382pt" strokecolor="#00ffff">
              <v:stroke dashstyle="solid"/>
            </v:line>
            <v:shape style="position:absolute;left:4043;top:3392;width:304;height:202" type="#_x0000_t75" stroked="false">
              <v:imagedata r:id="rId267" o:title=""/>
            </v:shape>
            <v:line style="position:absolute" from="4453,3651" to="4453,3664" stroked="true" strokeweight=".205131pt" strokecolor="#00ffff">
              <v:stroke dashstyle="solid"/>
            </v:line>
            <v:line style="position:absolute" from="4455,3657" to="4509,3690" stroked="true" strokeweight=".615378pt" strokecolor="#00ffff">
              <v:stroke dashstyle="solid"/>
            </v:line>
            <v:line style="position:absolute" from="4509,3690" to="4525,3702" stroked="true" strokeweight=".615379pt" strokecolor="#00ffff">
              <v:stroke dashstyle="solid"/>
            </v:line>
            <v:shape style="position:absolute;left:4629;top:3766;width:304;height:197" type="#_x0000_t75" stroked="false">
              <v:imagedata r:id="rId268" o:title=""/>
            </v:shape>
            <v:line style="position:absolute" from="5038,4031" to="5083,4059" stroked="true" strokeweight=".615378pt" strokecolor="#00ffff">
              <v:stroke dashstyle="solid"/>
            </v:line>
            <v:line style="position:absolute" from="5083,4059" to="5112,4076" stroked="true" strokeweight=".615377pt" strokecolor="#00ffff">
              <v:stroke dashstyle="solid"/>
            </v:line>
            <v:shape style="position:absolute;left:531;top:1509;width:304;height:193" type="#_x0000_t75" stroked="false">
              <v:imagedata r:id="rId269" o:title=""/>
            </v:shape>
            <v:line style="position:absolute" from="940,1762" to="956,1770" stroked="true" strokeweight=".615376pt" strokecolor="#ffcc00">
              <v:stroke dashstyle="solid"/>
            </v:line>
            <v:line style="position:absolute" from="956,1770" to="1005,1803" stroked="true" strokeweight=".615378pt" strokecolor="#ffcc00">
              <v:stroke dashstyle="solid"/>
            </v:line>
            <v:line style="position:absolute" from="1005,1803" to="1013,1807" stroked="true" strokeweight=".615376pt" strokecolor="#ffcc00">
              <v:stroke dashstyle="solid"/>
            </v:line>
            <v:shape style="position:absolute;left:1117;top:1866;width:304;height:193" type="#_x0000_t75" stroked="false">
              <v:imagedata r:id="rId270" o:title=""/>
            </v:shape>
            <v:line style="position:absolute" from="1526,2119" to="1530,2123" stroked="true" strokeweight=".615382pt" strokecolor="#ffcc00">
              <v:stroke dashstyle="solid"/>
            </v:line>
            <v:line style="position:absolute" from="1530,2123" to="1584,2156" stroked="true" strokeweight=".615378pt" strokecolor="#ffcc00">
              <v:stroke dashstyle="solid"/>
            </v:line>
            <v:line style="position:absolute" from="1584,2156" to="1600,2164" stroked="true" strokeweight=".615376pt" strokecolor="#ffcc00">
              <v:stroke dashstyle="solid"/>
            </v:line>
            <v:shape style="position:absolute;left:1700;top:2227;width:308;height:193" type="#_x0000_t75" stroked="false">
              <v:imagedata r:id="rId271" o:title=""/>
            </v:shape>
            <v:line style="position:absolute" from="2109,2480" to="2158,2509" stroked="true" strokeweight=".615377pt" strokecolor="#ffcc00">
              <v:stroke dashstyle="solid"/>
            </v:line>
            <v:line style="position:absolute" from="2158,2509" to="2183,2525" stroked="true" strokeweight=".615378pt" strokecolor="#ffcc00">
              <v:stroke dashstyle="solid"/>
            </v:line>
            <v:shape style="position:absolute;left:2287;top:2588;width:304;height:193" type="#_x0000_t75" stroked="false">
              <v:imagedata r:id="rId272" o:title=""/>
            </v:shape>
            <v:line style="position:absolute" from="2695,2845" to="2732,2866" stroked="true" strokeweight=".615377pt" strokecolor="#ffcc00">
              <v:stroke dashstyle="solid"/>
            </v:line>
            <v:line style="position:absolute" from="2732,2866" to="2769,2890" stroked="true" strokeweight=".615378pt" strokecolor="#ffcc00">
              <v:stroke dashstyle="solid"/>
            </v:line>
            <v:shape style="position:absolute;left:2873;top:2949;width:304;height:197" type="#_x0000_t75" stroked="false">
              <v:imagedata r:id="rId273" o:title=""/>
            </v:shape>
            <v:line style="position:absolute" from="3282,3210" to="3307,3222" stroked="true" strokeweight=".615376pt" strokecolor="#ffcc00">
              <v:stroke dashstyle="solid"/>
            </v:line>
            <v:line style="position:absolute" from="3307,3222" to="3356,3255" stroked="true" strokeweight=".615378pt" strokecolor="#ffcc00">
              <v:stroke dashstyle="solid"/>
            </v:line>
            <v:shape style="position:absolute;left:3456;top:3318;width:308;height:197" type="#_x0000_t75" stroked="false">
              <v:imagedata r:id="rId274" o:title=""/>
            </v:shape>
            <v:line style="position:absolute" from="3869,3579" to="3881,3588" stroked="true" strokeweight=".615378pt" strokecolor="#ffcc00">
              <v:stroke dashstyle="solid"/>
            </v:line>
            <v:line style="position:absolute" from="3881,3588" to="3934,3620" stroked="true" strokeweight=".615378pt" strokecolor="#ffcc00">
              <v:stroke dashstyle="solid"/>
            </v:line>
            <v:line style="position:absolute" from="3934,3620" to="3939,3625" stroked="true" strokeweight=".615382pt" strokecolor="#ffcc00">
              <v:stroke dashstyle="solid"/>
            </v:line>
            <v:shape style="position:absolute;left:4043;top:3688;width:304;height:197" type="#_x0000_t75" stroked="false">
              <v:imagedata r:id="rId275" o:title=""/>
            </v:shape>
            <v:line style="position:absolute" from="4453,3942" to="4453,3955" stroked="true" strokeweight=".205131pt" strokecolor="#ffcc00">
              <v:stroke dashstyle="solid"/>
            </v:line>
            <v:line style="position:absolute" from="4455,3949" to="4509,3986" stroked="true" strokeweight=".615379pt" strokecolor="#ffcc00">
              <v:stroke dashstyle="solid"/>
            </v:line>
            <v:line style="position:absolute" from="4509,3986" to="4525,3994" stroked="true" strokeweight=".615376pt" strokecolor="#ffcc00">
              <v:stroke dashstyle="solid"/>
            </v:line>
            <v:line style="position:absolute" from="4636,4064" to="4665,4084" stroked="true" strokeweight=".615379pt" strokecolor="#ffcc00">
              <v:stroke dashstyle="solid"/>
            </v:line>
            <v:line style="position:absolute" from="4665,4084" to="4718,4117" stroked="true" strokeweight=".615378pt" strokecolor="#ffcc00">
              <v:stroke dashstyle="solid"/>
            </v:line>
            <v:line style="position:absolute" from="4718,4117" to="4751,4141" stroked="true" strokeweight=".615379pt" strokecolor="#ffcc00">
              <v:stroke dashstyle="solid"/>
            </v:line>
            <v:shape style="position:absolute;left:531;top:1805;width:304;height:189" type="#_x0000_t75" stroked="false">
              <v:imagedata r:id="rId276" o:title=""/>
            </v:shape>
            <v:line style="position:absolute" from="940,2053" to="956,2066" stroked="true" strokeweight=".615379pt" strokecolor="#ff9900">
              <v:stroke dashstyle="solid"/>
            </v:line>
            <v:line style="position:absolute" from="956,2066" to="1005,2094" stroked="true" strokeweight=".615377pt" strokecolor="#ff9900">
              <v:stroke dashstyle="solid"/>
            </v:line>
            <v:line style="position:absolute" from="1005,2094" to="1013,2098" stroked="true" strokeweight=".615376pt" strokecolor="#ff9900">
              <v:stroke dashstyle="solid"/>
            </v:line>
            <v:shape style="position:absolute;left:1118;top:2157;width:304;height:193" type="#_x0000_t75" stroked="false">
              <v:imagedata r:id="rId277" o:title=""/>
            </v:shape>
            <v:line style="position:absolute" from="1528,2408" to="1528,2420" stroked="true" strokeweight=".205131pt" strokecolor="#ff9900">
              <v:stroke dashstyle="solid"/>
            </v:line>
            <v:line style="position:absolute" from="1530,2414" to="1584,2447" stroked="true" strokeweight=".615378pt" strokecolor="#ff9900">
              <v:stroke dashstyle="solid"/>
            </v:line>
            <v:line style="position:absolute" from="1584,2447" to="1600,2455" stroked="true" strokeweight=".615376pt" strokecolor="#ff9900">
              <v:stroke dashstyle="solid"/>
            </v:line>
            <v:shape style="position:absolute;left:1700;top:2518;width:304;height:193" type="#_x0000_t75" stroked="false">
              <v:imagedata r:id="rId278" o:title=""/>
            </v:shape>
            <v:line style="position:absolute" from="2109,2771" to="2158,2800" stroked="true" strokeweight=".615377pt" strokecolor="#ff9900">
              <v:stroke dashstyle="solid"/>
            </v:line>
            <v:line style="position:absolute" from="2158,2800" to="2183,2820" stroked="true" strokeweight=".615380pt" strokecolor="#ff9900">
              <v:stroke dashstyle="solid"/>
            </v:line>
            <v:shape style="position:absolute;left:2287;top:2879;width:304;height:193" type="#_x0000_t75" stroked="false">
              <v:imagedata r:id="rId279" o:title=""/>
            </v:shape>
            <v:line style="position:absolute" from="2695,3136" to="2732,3157" stroked="true" strokeweight=".615377pt" strokecolor="#ff9900">
              <v:stroke dashstyle="solid"/>
            </v:line>
            <v:line style="position:absolute" from="2732,3157" to="2769,3181" stroked="true" strokeweight=".615378pt" strokecolor="#ff9900">
              <v:stroke dashstyle="solid"/>
            </v:line>
            <v:shape style="position:absolute;left:2873;top:3245;width:304;height:193" type="#_x0000_t75" stroked="false">
              <v:imagedata r:id="rId280" o:title=""/>
            </v:shape>
            <v:line style="position:absolute" from="3282,3501" to="3307,3518" stroked="true" strokeweight=".615378pt" strokecolor="#ff9900">
              <v:stroke dashstyle="solid"/>
            </v:line>
            <v:line style="position:absolute" from="3307,3518" to="3356,3547" stroked="true" strokeweight=".615377pt" strokecolor="#ff9900">
              <v:stroke dashstyle="solid"/>
            </v:line>
            <v:shape style="position:absolute;left:3456;top:3610;width:308;height:197" type="#_x0000_t75" stroked="false">
              <v:imagedata r:id="rId281" o:title=""/>
            </v:shape>
            <v:line style="position:absolute" from="3869,3871" to="3881,3879" stroked="true" strokeweight=".615378pt" strokecolor="#ff9900">
              <v:stroke dashstyle="solid"/>
            </v:line>
            <v:line style="position:absolute" from="3881,3879" to="3934,3912" stroked="true" strokeweight=".615378pt" strokecolor="#ff9900">
              <v:stroke dashstyle="solid"/>
            </v:line>
            <v:line style="position:absolute" from="3934,3912" to="3939,3916" stroked="true" strokeweight=".615382pt" strokecolor="#ff9900">
              <v:stroke dashstyle="solid"/>
            </v:line>
            <v:line style="position:absolute" from="4049,3986" to="4090,4010" stroked="true" strokeweight=".615377pt" strokecolor="#ff9900">
              <v:stroke dashstyle="solid"/>
            </v:line>
            <v:line style="position:absolute" from="4090,4010" to="4140,4043" stroked="true" strokeweight=".615378pt" strokecolor="#ff9900">
              <v:stroke dashstyle="solid"/>
            </v:line>
            <v:line style="position:absolute" from="4140,4043" to="4193,4076" stroked="true" strokeweight=".615378pt" strokecolor="#ff9900">
              <v:stroke dashstyle="solid"/>
            </v:line>
            <v:line style="position:absolute" from="4193,4076" to="4246,4109" stroked="true" strokeweight=".615378pt" strokecolor="#ff9900">
              <v:stroke dashstyle="solid"/>
            </v:line>
            <v:line style="position:absolute" from="4246,4109" to="4291,4141" stroked="true" strokeweight=".615379pt" strokecolor="#ff9900">
              <v:stroke dashstyle="solid"/>
            </v:line>
            <v:shape style="position:absolute;left:531;top:2096;width:304;height:189" type="#_x0000_t75" stroked="false">
              <v:imagedata r:id="rId282" o:title=""/>
            </v:shape>
            <v:line style="position:absolute" from="940,2349" to="956,2357" stroked="true" strokeweight=".615376pt" strokecolor="#ff00ff">
              <v:stroke dashstyle="solid"/>
            </v:line>
            <v:line style="position:absolute" from="956,2357" to="1005,2390" stroked="true" strokeweight=".615378pt" strokecolor="#ff00ff">
              <v:stroke dashstyle="solid"/>
            </v:line>
            <v:line style="position:absolute" from="1005,2390" to="1013,2394" stroked="true" strokeweight=".615376pt" strokecolor="#ff00ff">
              <v:stroke dashstyle="solid"/>
            </v:line>
            <v:shape style="position:absolute;left:1118;top:2453;width:304;height:189" type="#_x0000_t75" stroked="false">
              <v:imagedata r:id="rId283" o:title=""/>
            </v:shape>
            <v:line style="position:absolute" from="1526,2706" to="1530,2710" stroked="true" strokeweight=".615382pt" strokecolor="#ff00ff">
              <v:stroke dashstyle="solid"/>
            </v:line>
            <v:line style="position:absolute" from="1530,2710" to="1584,2738" stroked="true" strokeweight=".615377pt" strokecolor="#ff00ff">
              <v:stroke dashstyle="solid"/>
            </v:line>
            <v:line style="position:absolute" from="1584,2738" to="1600,2751" stroked="true" strokeweight=".615379pt" strokecolor="#ff00ff">
              <v:stroke dashstyle="solid"/>
            </v:line>
            <v:shape style="position:absolute;left:1700;top:2810;width:304;height:193" type="#_x0000_t75" stroked="false">
              <v:imagedata r:id="rId284" o:title=""/>
            </v:shape>
            <v:line style="position:absolute" from="2109,3067" to="2158,3095" stroked="true" strokeweight=".615377pt" strokecolor="#ff00ff">
              <v:stroke dashstyle="solid"/>
            </v:line>
            <v:line style="position:absolute" from="2158,3095" to="2183,3112" stroked="true" strokeweight=".615378pt" strokecolor="#ff00ff">
              <v:stroke dashstyle="solid"/>
            </v:line>
            <v:shape style="position:absolute;left:2287;top:3171;width:304;height:197" type="#_x0000_t75" stroked="false">
              <v:imagedata r:id="rId285" o:title=""/>
            </v:shape>
            <v:line style="position:absolute" from="2695,3428" to="2732,3452" stroked="true" strokeweight=".615378pt" strokecolor="#ff00ff">
              <v:stroke dashstyle="solid"/>
            </v:line>
            <v:line style="position:absolute" from="2732,3452" to="2769,3473" stroked="true" strokeweight=".615377pt" strokecolor="#ff00ff">
              <v:stroke dashstyle="solid"/>
            </v:line>
            <v:shape style="position:absolute;left:2873;top:3536;width:304;height:197" type="#_x0000_t75" stroked="false">
              <v:imagedata r:id="rId286" o:title=""/>
            </v:shape>
            <v:line style="position:absolute" from="3282,3793" to="3307,3809" stroked="true" strokeweight=".615378pt" strokecolor="#ff00ff">
              <v:stroke dashstyle="solid"/>
            </v:line>
            <v:line style="position:absolute" from="3307,3809" to="3356,3842" stroked="true" strokeweight=".615378pt" strokecolor="#ff00ff">
              <v:stroke dashstyle="solid"/>
            </v:line>
            <v:line style="position:absolute" from="3463,3908" to="3516,3940" stroked="true" strokeweight=".615378pt" strokecolor="#ff00ff">
              <v:stroke dashstyle="solid"/>
            </v:line>
            <v:line style="position:absolute" from="3516,3940" to="3565,3973" stroked="true" strokeweight=".615378pt" strokecolor="#ff00ff">
              <v:stroke dashstyle="solid"/>
            </v:line>
            <v:line style="position:absolute" from="3565,3973" to="3619,4006" stroked="true" strokeweight=".615378pt" strokecolor="#ff00ff">
              <v:stroke dashstyle="solid"/>
            </v:line>
            <v:line style="position:absolute" from="3619,4006" to="3672,4039" stroked="true" strokeweight=".615378pt" strokecolor="#ff00ff">
              <v:stroke dashstyle="solid"/>
            </v:line>
            <v:line style="position:absolute" from="3672,4039" to="3725,4072" stroked="true" strokeweight=".615378pt" strokecolor="#ff00ff">
              <v:stroke dashstyle="solid"/>
            </v:line>
            <v:line style="position:absolute" from="3725,4072" to="3758,4092" stroked="true" strokeweight=".615378pt" strokecolor="#ff00ff">
              <v:stroke dashstyle="solid"/>
            </v:line>
            <v:shape style="position:absolute;left:496;top:609;width:83;height:62" coordorigin="496,609" coordsize="83,62" path="m579,671l496,671,537,609,579,671xe" filled="true" fillcolor="#800080" stroked="false">
              <v:path arrowok="t"/>
              <v:fill type="solid"/>
            </v:shape>
            <v:shape style="position:absolute;left:496;top:609;width:83;height:62" coordorigin="496,609" coordsize="83,62" path="m537,609l579,671,496,671,537,609xe" filled="false" stroked="true" strokeweight="1.230759pt" strokecolor="#800080">
              <v:path arrowok="t"/>
              <v:stroke dashstyle="solid"/>
            </v:shape>
            <v:shape style="position:absolute;left:2650;top:1983;width:83;height:66" coordorigin="2650,1984" coordsize="83,66" path="m2732,2049l2650,2049,2691,1984,2732,2049xe" filled="true" fillcolor="#800080" stroked="false">
              <v:path arrowok="t"/>
              <v:fill type="solid"/>
            </v:shape>
            <v:shape style="position:absolute;left:2650;top:1983;width:83;height:66" coordorigin="2650,1984" coordsize="83,66" path="m2691,1984l2732,2049,2650,2049,2691,1984xe" filled="false" stroked="true" strokeweight="1.230760pt" strokecolor="#800080">
              <v:path arrowok="t"/>
              <v:stroke dashstyle="solid"/>
            </v:shape>
            <v:shape style="position:absolute;left:496;top:596;width:83;height:62" coordorigin="496,597" coordsize="83,62" path="m579,658l496,658,537,597,579,658xe" filled="true" fillcolor="#800080" stroked="false">
              <v:path arrowok="t"/>
              <v:fill type="solid"/>
            </v:shape>
            <v:shape style="position:absolute;left:496;top:596;width:83;height:62" coordorigin="496,597" coordsize="83,62" path="m537,597l579,658,496,658,537,597xe" filled="false" stroked="true" strokeweight="1.230759pt" strokecolor="#800080">
              <v:path arrowok="t"/>
              <v:stroke dashstyle="solid"/>
            </v:shape>
            <v:shape style="position:absolute;left:2650;top:2131;width:83;height:62" coordorigin="2650,2131" coordsize="83,62" path="m2732,2193l2650,2193,2691,2131,2732,2193xe" filled="true" fillcolor="#800080" stroked="false">
              <v:path arrowok="t"/>
              <v:fill type="solid"/>
            </v:shape>
            <v:shape style="position:absolute;left:2650;top:2131;width:83;height:62" coordorigin="2650,2131" coordsize="83,62" path="m2691,2131l2732,2193,2650,2193,2691,2131xe" filled="false" stroked="true" strokeweight="1.230759pt" strokecolor="#800080">
              <v:path arrowok="t"/>
              <v:stroke dashstyle="solid"/>
            </v:shape>
            <v:shape style="position:absolute;left:496;top:912;width:83;height:66" coordorigin="496,913" coordsize="83,66" path="m579,978l496,978,537,913,579,978xe" filled="true" fillcolor="#0000ff" stroked="false">
              <v:path arrowok="t"/>
              <v:fill type="solid"/>
            </v:shape>
            <v:shape style="position:absolute;left:496;top:912;width:83;height:66" coordorigin="496,913" coordsize="83,66" path="m537,913l579,978,496,978,537,913xe" filled="false" stroked="true" strokeweight="1.230760pt" strokecolor="#0000ff">
              <v:path arrowok="t"/>
              <v:stroke dashstyle="solid"/>
            </v:shape>
            <v:shape style="position:absolute;left:4119;top:2943;width:83;height:66" coordorigin="4119,2944" coordsize="83,66" path="m4201,3009l4119,3009,4160,2944,4201,3009xe" filled="true" fillcolor="#0000ff" stroked="false">
              <v:path arrowok="t"/>
              <v:fill type="solid"/>
            </v:shape>
            <v:shape style="position:absolute;left:4119;top:2943;width:83;height:66" coordorigin="4119,2944" coordsize="83,66" path="m4160,2944l4201,3009,4119,3009,4160,2944xe" filled="false" stroked="true" strokeweight="1.230760pt" strokecolor="#0000ff">
              <v:path arrowok="t"/>
              <v:stroke dashstyle="solid"/>
            </v:shape>
            <v:shape style="position:absolute;left:496;top:18;width:83;height:62" coordorigin="496,18" coordsize="83,62" path="m579,80l496,80,537,18,579,80xe" filled="true" fillcolor="#000000" stroked="false">
              <v:path arrowok="t"/>
              <v:fill type="solid"/>
            </v:shape>
            <v:shape style="position:absolute;left:496;top:18;width:83;height:62" coordorigin="496,18" coordsize="83,62" path="m537,18l579,80,496,80,537,18xe" filled="false" stroked="true" strokeweight="1.846138pt" strokecolor="#000000">
              <v:path arrowok="t"/>
              <v:stroke dashstyle="solid"/>
            </v:shape>
            <v:shape style="position:absolute;left:4119;top:2278;width:83;height:62" coordorigin="4119,2279" coordsize="83,62" path="m4201,2340l4119,2340,4160,2279,4201,2340xe" filled="true" fillcolor="#000000" stroked="false">
              <v:path arrowok="t"/>
              <v:fill type="solid"/>
            </v:shape>
            <v:shape style="position:absolute;left:4119;top:2278;width:83;height:62" coordorigin="4119,2279" coordsize="83,62" path="m4160,2279l4201,2340,4119,2340,4160,2279xe" filled="false" stroked="true" strokeweight="1.846138pt" strokecolor="#000000">
              <v:path arrowok="t"/>
              <v:stroke dashstyle="solid"/>
            </v:shape>
            <v:shape style="position:absolute;left:496;top:584;width:83;height:62" coordorigin="496,585" coordsize="83,62" path="m579,646l496,646,537,585,579,646xe" filled="true" fillcolor="#800080" stroked="false">
              <v:path arrowok="t"/>
              <v:fill type="solid"/>
            </v:shape>
            <v:shape style="position:absolute;left:496;top:584;width:83;height:62" coordorigin="496,585" coordsize="83,62" path="m537,585l579,646,496,646,537,585xe" filled="false" stroked="true" strokeweight="1.846138pt" strokecolor="#800080">
              <v:path arrowok="t"/>
              <v:stroke dashstyle="solid"/>
            </v:shape>
            <v:shape style="position:absolute;left:4078;top:3070;width:78;height:66" coordorigin="4078,3071" coordsize="78,66" path="m4156,3136l4078,3136,4119,3071,4156,3136xe" filled="true" fillcolor="#800080" stroked="false">
              <v:path arrowok="t"/>
              <v:fill type="solid"/>
            </v:shape>
            <v:shape style="position:absolute;left:4078;top:3070;width:78;height:66" coordorigin="4078,3071" coordsize="78,66" path="m4119,3071l4156,3136,4078,3136,4119,3071xe" filled="false" stroked="true" strokeweight="1.846141pt" strokecolor="#800080">
              <v:path arrowok="t"/>
              <v:stroke dashstyle="solid"/>
            </v:shape>
            <v:shape style="position:absolute;left:496;top:584;width:83;height:62" coordorigin="496,585" coordsize="83,62" path="m579,646l496,646,537,585,579,646xe" filled="true" fillcolor="#800080" stroked="false">
              <v:path arrowok="t"/>
              <v:fill type="solid"/>
            </v:shape>
            <v:shape style="position:absolute;left:496;top:584;width:83;height:62" coordorigin="496,585" coordsize="83,62" path="m537,585l579,646,496,646,537,585xe" filled="false" stroked="true" strokeweight="1.846138pt" strokecolor="#800080">
              <v:path arrowok="t"/>
              <v:stroke dashstyle="solid"/>
            </v:shape>
            <v:shape style="position:absolute;left:4078;top:3070;width:78;height:66" coordorigin="4078,3071" coordsize="78,66" path="m4156,3136l4078,3136,4119,3071,4156,3136xe" filled="true" fillcolor="#800080" stroked="false">
              <v:path arrowok="t"/>
              <v:fill type="solid"/>
            </v:shape>
            <v:shape style="position:absolute;left:4078;top:3070;width:78;height:66" coordorigin="4078,3071" coordsize="78,66" path="m4119,3071l4156,3136,4078,3136,4119,3071xe" filled="false" stroked="true" strokeweight="1.846141pt" strokecolor="#800080">
              <v:path arrowok="t"/>
              <v:stroke dashstyle="solid"/>
            </v:shape>
            <v:shape style="position:absolute;left:496;top:309;width:83;height:66" coordorigin="496,310" coordsize="83,66" path="m579,375l496,375,537,310,579,375xe" filled="true" fillcolor="#00ff00" stroked="false">
              <v:path arrowok="t"/>
              <v:fill type="solid"/>
            </v:shape>
            <v:shape style="position:absolute;left:496;top:309;width:83;height:66" coordorigin="496,310" coordsize="83,66" path="m537,310l579,375,496,375,537,310xe" filled="false" stroked="true" strokeweight="1.84614pt" strokecolor="#00ff00">
              <v:path arrowok="t"/>
              <v:stroke dashstyle="solid"/>
            </v:shape>
            <v:shape style="position:absolute;left:4078;top:2418;width:78;height:62" coordorigin="4078,2418" coordsize="78,62" path="m4156,2480l4078,2480,4119,2418,4156,2480xe" filled="true" fillcolor="#00ff00" stroked="false">
              <v:path arrowok="t"/>
              <v:fill type="solid"/>
            </v:shape>
            <v:shape style="position:absolute;left:4078;top:2418;width:78;height:62" coordorigin="4078,2418" coordsize="78,62" path="m4119,2418l4156,2480,4078,2480,4119,2418xe" filled="false" stroked="true" strokeweight="1.846139pt" strokecolor="#00ff00">
              <v:path arrowok="t"/>
              <v:stroke dashstyle="solid"/>
            </v:shape>
            <v:shape style="position:absolute;left:496;top:264;width:83;height:62" coordorigin="496,265" coordsize="83,62" path="m579,326l496,326,537,265,579,326xe" filled="true" fillcolor="#00ff00" stroked="false">
              <v:path arrowok="t"/>
              <v:fill type="solid"/>
            </v:shape>
            <v:shape style="position:absolute;left:496;top:264;width:83;height:62" coordorigin="496,265" coordsize="83,62" path="m537,265l579,326,496,326,537,265xe" filled="false" stroked="true" strokeweight="1.846138pt" strokecolor="#00ff00">
              <v:path arrowok="t"/>
              <v:stroke dashstyle="solid"/>
            </v:shape>
            <v:shape style="position:absolute;left:4078;top:2623;width:78;height:62" coordorigin="4078,2624" coordsize="78,62" path="m4156,2685l4078,2685,4119,2624,4156,2685xe" filled="true" fillcolor="#00ff00" stroked="false">
              <v:path arrowok="t"/>
              <v:fill type="solid"/>
            </v:shape>
            <v:shape style="position:absolute;left:4078;top:2623;width:78;height:62" coordorigin="4078,2624" coordsize="78,62" path="m4119,2624l4156,2685,4078,2685,4119,2624xe" filled="false" stroked="true" strokeweight="1.846139pt" strokecolor="#00ff00">
              <v:path arrowok="t"/>
              <v:stroke dashstyle="solid"/>
            </v:shape>
          </v:group>
        </w:pict>
      </w:r>
      <w:r>
        <w:rPr>
          <w:sz w:val="20"/>
        </w:rPr>
      </w:r>
    </w:p>
    <w:p>
      <w:pPr>
        <w:tabs>
          <w:tab w:pos="554" w:val="left" w:leader="none"/>
          <w:tab w:pos="1079" w:val="left" w:leader="none"/>
          <w:tab w:pos="1600" w:val="left" w:leader="none"/>
          <w:tab w:pos="2121" w:val="left" w:leader="none"/>
          <w:tab w:pos="2647" w:val="left" w:leader="none"/>
          <w:tab w:pos="3168" w:val="left" w:leader="none"/>
          <w:tab w:pos="3693" w:val="left" w:leader="none"/>
          <w:tab w:pos="4214" w:val="left" w:leader="none"/>
          <w:tab w:pos="4735" w:val="left" w:leader="none"/>
          <w:tab w:pos="5256" w:val="left" w:leader="none"/>
          <w:tab w:pos="5711" w:val="left" w:leader="none"/>
          <w:tab w:pos="6232" w:val="left" w:leader="none"/>
          <w:tab w:pos="6757" w:val="left" w:leader="none"/>
        </w:tabs>
        <w:spacing w:before="105"/>
        <w:ind w:left="-12" w:right="0" w:firstLine="0"/>
        <w:jc w:val="left"/>
        <w:rPr>
          <w:sz w:val="18"/>
        </w:rPr>
      </w:pPr>
      <w:r>
        <w:rPr>
          <w:sz w:val="18"/>
        </w:rPr>
        <w:t>-1</w:t>
        <w:tab/>
        <w:t>0</w:t>
        <w:tab/>
        <w:t>1</w:t>
        <w:tab/>
        <w:t>2</w:t>
        <w:tab/>
        <w:t>3</w:t>
        <w:tab/>
        <w:t>4</w:t>
        <w:tab/>
        <w:t>5</w:t>
        <w:tab/>
        <w:t>6</w:t>
        <w:tab/>
        <w:t>7</w:t>
        <w:tab/>
        <w:t>8</w:t>
        <w:tab/>
        <w:t>9</w:t>
        <w:tab/>
        <w:t>10</w:t>
        <w:tab/>
        <w:t>11</w:t>
        <w:tab/>
      </w:r>
      <w:r>
        <w:rPr>
          <w:spacing w:val="-3"/>
          <w:sz w:val="18"/>
        </w:rPr>
        <w:t>12</w:t>
      </w:r>
    </w:p>
    <w:p>
      <w:pPr>
        <w:pStyle w:val="Heading7"/>
        <w:spacing w:before="50"/>
        <w:ind w:left="2499"/>
      </w:pPr>
      <w:r>
        <w:rPr/>
        <w:t>Depth</w:t>
      </w:r>
      <w:r>
        <w:rPr>
          <w:spacing w:val="3"/>
        </w:rPr>
        <w:t> </w:t>
      </w:r>
      <w:r>
        <w:rPr/>
        <w:t>of</w:t>
      </w:r>
      <w:r>
        <w:rPr>
          <w:spacing w:val="3"/>
        </w:rPr>
        <w:t> </w:t>
      </w:r>
      <w:r>
        <w:rPr/>
        <w:t>CLT</w:t>
      </w:r>
      <w:r>
        <w:rPr>
          <w:spacing w:val="4"/>
        </w:rPr>
        <w:t> </w:t>
      </w:r>
      <w:r>
        <w:rPr/>
        <w:t>(inches)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0"/>
        </w:rPr>
      </w:pPr>
    </w:p>
    <w:p>
      <w:pPr>
        <w:spacing w:before="1"/>
        <w:ind w:left="-20" w:right="0" w:firstLine="0"/>
        <w:jc w:val="left"/>
        <w:rPr>
          <w:sz w:val="18"/>
        </w:rPr>
      </w:pPr>
      <w:r>
        <w:rPr>
          <w:sz w:val="18"/>
        </w:rPr>
        <w:t>840</w:t>
      </w:r>
    </w:p>
    <w:p>
      <w:pPr>
        <w:spacing w:before="80"/>
        <w:ind w:left="-20" w:right="0" w:firstLine="0"/>
        <w:jc w:val="left"/>
        <w:rPr>
          <w:sz w:val="18"/>
        </w:rPr>
      </w:pPr>
      <w:r>
        <w:rPr>
          <w:sz w:val="18"/>
        </w:rPr>
        <w:t>780</w:t>
      </w:r>
    </w:p>
    <w:p>
      <w:pPr>
        <w:spacing w:before="80"/>
        <w:ind w:left="-20" w:right="0" w:firstLine="0"/>
        <w:jc w:val="left"/>
        <w:rPr>
          <w:sz w:val="18"/>
        </w:rPr>
      </w:pPr>
      <w:r>
        <w:rPr>
          <w:sz w:val="18"/>
        </w:rPr>
        <w:t>720</w:t>
      </w:r>
    </w:p>
    <w:p>
      <w:pPr>
        <w:spacing w:before="80"/>
        <w:ind w:left="-20" w:right="0" w:firstLine="0"/>
        <w:jc w:val="left"/>
        <w:rPr>
          <w:sz w:val="18"/>
        </w:rPr>
      </w:pPr>
      <w:r>
        <w:rPr>
          <w:sz w:val="18"/>
        </w:rPr>
        <w:t>660</w:t>
      </w:r>
    </w:p>
    <w:p>
      <w:pPr>
        <w:spacing w:before="84"/>
        <w:ind w:left="-20" w:right="0" w:firstLine="0"/>
        <w:jc w:val="left"/>
        <w:rPr>
          <w:sz w:val="18"/>
        </w:rPr>
      </w:pPr>
      <w:r>
        <w:rPr>
          <w:sz w:val="18"/>
        </w:rPr>
        <w:t>600</w:t>
      </w:r>
    </w:p>
    <w:p>
      <w:pPr>
        <w:spacing w:before="81"/>
        <w:ind w:left="-20" w:right="0" w:firstLine="0"/>
        <w:jc w:val="left"/>
        <w:rPr>
          <w:sz w:val="18"/>
        </w:rPr>
      </w:pPr>
      <w:r>
        <w:rPr/>
        <w:pict>
          <v:shape style="position:absolute;margin-left:522.784729pt;margin-top:10.978673pt;width:16.55pt;height:57.9pt;mso-position-horizontal-relative:page;mso-position-vertical-relative:paragraph;z-index:15846400" type="#_x0000_t202" filled="false" stroked="false">
            <v:textbox inset="0,0,0,0" style="layout-flow:vertical;mso-layout-flow-alt:bottom-to-top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sz w:val="26"/>
                    </w:rPr>
                  </w:pPr>
                  <w:r>
                    <w:rPr>
                      <w:sz w:val="26"/>
                    </w:rPr>
                    <w:t>V(x)</w:t>
                  </w:r>
                  <w:r>
                    <w:rPr>
                      <w:spacing w:val="5"/>
                      <w:sz w:val="26"/>
                    </w:rPr>
                    <w:t> </w:t>
                  </w:r>
                  <w:r>
                    <w:rPr>
                      <w:sz w:val="26"/>
                    </w:rPr>
                    <w:t>(m/s)</w:t>
                  </w:r>
                </w:p>
              </w:txbxContent>
            </v:textbox>
            <w10:wrap type="none"/>
          </v:shape>
        </w:pict>
      </w:r>
      <w:r>
        <w:rPr>
          <w:sz w:val="18"/>
        </w:rPr>
        <w:t>540</w:t>
      </w:r>
    </w:p>
    <w:p>
      <w:pPr>
        <w:spacing w:before="80"/>
        <w:ind w:left="-20" w:right="0" w:firstLine="0"/>
        <w:jc w:val="left"/>
        <w:rPr>
          <w:sz w:val="18"/>
        </w:rPr>
      </w:pPr>
      <w:r>
        <w:rPr>
          <w:sz w:val="18"/>
        </w:rPr>
        <w:t>480</w:t>
      </w:r>
    </w:p>
    <w:p>
      <w:pPr>
        <w:spacing w:before="80"/>
        <w:ind w:left="-20" w:right="0" w:firstLine="0"/>
        <w:jc w:val="left"/>
        <w:rPr>
          <w:sz w:val="18"/>
        </w:rPr>
      </w:pPr>
      <w:r>
        <w:rPr>
          <w:sz w:val="18"/>
        </w:rPr>
        <w:t>420</w:t>
      </w:r>
    </w:p>
    <w:p>
      <w:pPr>
        <w:spacing w:before="84"/>
        <w:ind w:left="-20" w:right="0" w:firstLine="0"/>
        <w:jc w:val="left"/>
        <w:rPr>
          <w:sz w:val="18"/>
        </w:rPr>
      </w:pPr>
      <w:r>
        <w:rPr>
          <w:sz w:val="18"/>
        </w:rPr>
        <w:t>360</w:t>
      </w:r>
    </w:p>
    <w:p>
      <w:pPr>
        <w:spacing w:before="81"/>
        <w:ind w:left="-20" w:right="0" w:firstLine="0"/>
        <w:jc w:val="left"/>
        <w:rPr>
          <w:sz w:val="18"/>
        </w:rPr>
      </w:pPr>
      <w:r>
        <w:rPr>
          <w:sz w:val="18"/>
        </w:rPr>
        <w:t>300</w:t>
      </w:r>
    </w:p>
    <w:p>
      <w:pPr>
        <w:spacing w:before="80"/>
        <w:ind w:left="-20" w:right="0" w:firstLine="0"/>
        <w:jc w:val="left"/>
        <w:rPr>
          <w:sz w:val="18"/>
        </w:rPr>
      </w:pPr>
      <w:r>
        <w:rPr>
          <w:sz w:val="18"/>
        </w:rPr>
        <w:t>240</w:t>
      </w:r>
    </w:p>
    <w:p>
      <w:pPr>
        <w:spacing w:before="80"/>
        <w:ind w:left="-20" w:right="0" w:firstLine="0"/>
        <w:jc w:val="left"/>
        <w:rPr>
          <w:sz w:val="18"/>
        </w:rPr>
      </w:pPr>
      <w:r>
        <w:rPr>
          <w:sz w:val="18"/>
        </w:rPr>
        <w:t>180</w:t>
      </w:r>
    </w:p>
    <w:p>
      <w:pPr>
        <w:spacing w:before="80"/>
        <w:ind w:left="-20" w:right="0" w:firstLine="0"/>
        <w:jc w:val="left"/>
        <w:rPr>
          <w:sz w:val="18"/>
        </w:rPr>
      </w:pPr>
      <w:r>
        <w:rPr>
          <w:sz w:val="18"/>
        </w:rPr>
        <w:t>120</w:t>
      </w:r>
    </w:p>
    <w:p>
      <w:pPr>
        <w:spacing w:before="84"/>
        <w:ind w:left="-20" w:right="0" w:firstLine="0"/>
        <w:jc w:val="left"/>
        <w:rPr>
          <w:sz w:val="18"/>
        </w:rPr>
      </w:pPr>
      <w:r>
        <w:rPr>
          <w:sz w:val="18"/>
        </w:rPr>
        <w:t>60</w:t>
      </w:r>
    </w:p>
    <w:p>
      <w:pPr>
        <w:spacing w:before="81"/>
        <w:ind w:left="-20" w:right="0" w:firstLine="0"/>
        <w:jc w:val="left"/>
        <w:rPr>
          <w:sz w:val="18"/>
        </w:rPr>
      </w:pPr>
      <w:r>
        <w:rPr>
          <w:w w:val="100"/>
          <w:sz w:val="18"/>
        </w:rPr>
        <w:t>0</w:t>
      </w:r>
    </w:p>
    <w:p>
      <w:pPr>
        <w:spacing w:after="0"/>
        <w:jc w:val="left"/>
        <w:rPr>
          <w:sz w:val="18"/>
        </w:rPr>
        <w:sectPr>
          <w:type w:val="continuous"/>
          <w:pgSz w:w="12240" w:h="15840"/>
          <w:pgMar w:top="1380" w:bottom="280" w:left="1720" w:right="1020"/>
          <w:cols w:num="3" w:equalWidth="0">
            <w:col w:w="1286" w:space="40"/>
            <w:col w:w="6939" w:space="39"/>
            <w:col w:w="1196"/>
          </w:cols>
        </w:sectPr>
      </w:pPr>
    </w:p>
    <w:p>
      <w:pPr>
        <w:pStyle w:val="BodyText"/>
        <w:spacing w:before="7"/>
        <w:rPr>
          <w:sz w:val="12"/>
        </w:rPr>
      </w:pPr>
    </w:p>
    <w:p>
      <w:pPr>
        <w:spacing w:before="90"/>
        <w:ind w:left="801" w:right="0" w:firstLine="0"/>
        <w:jc w:val="left"/>
        <w:rPr>
          <w:i/>
          <w:sz w:val="24"/>
        </w:rPr>
      </w:pPr>
      <w:bookmarkStart w:name="_bookmark92" w:id="330"/>
      <w:bookmarkEnd w:id="330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5-32.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Expected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velocity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depth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curves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SYP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with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residual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data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plotted.</w:t>
      </w:r>
    </w:p>
    <w:p>
      <w:pPr>
        <w:spacing w:after="0"/>
        <w:jc w:val="left"/>
        <w:rPr>
          <w:sz w:val="24"/>
        </w:rPr>
        <w:sectPr>
          <w:type w:val="continuous"/>
          <w:pgSz w:w="12240" w:h="15840"/>
          <w:pgMar w:top="1380" w:bottom="280" w:left="1720" w:right="1020"/>
        </w:sectPr>
      </w:pPr>
    </w:p>
    <w:p>
      <w:pPr>
        <w:pStyle w:val="Heading9"/>
        <w:spacing w:before="60"/>
        <w:ind w:left="440" w:firstLine="0"/>
      </w:pPr>
      <w:bookmarkStart w:name="_TOC_250029" w:id="331"/>
      <w:bookmarkStart w:name="5.7 Weathered Specimens" w:id="332"/>
      <w:r>
        <w:rPr>
          <w:b w:val="0"/>
        </w:rPr>
      </w:r>
      <w:r>
        <w:rPr/>
        <w:t>5.7</w:t>
      </w:r>
      <w:r>
        <w:rPr>
          <w:spacing w:val="-4"/>
        </w:rPr>
        <w:t> </w:t>
      </w:r>
      <w:r>
        <w:rPr/>
        <w:t>Weathered</w:t>
      </w:r>
      <w:r>
        <w:rPr>
          <w:spacing w:val="-4"/>
        </w:rPr>
        <w:t> </w:t>
      </w:r>
      <w:bookmarkEnd w:id="331"/>
      <w:r>
        <w:rPr/>
        <w:t>Specimens</w:t>
      </w:r>
    </w:p>
    <w:p>
      <w:pPr>
        <w:pStyle w:val="BodyText"/>
        <w:spacing w:before="6"/>
        <w:rPr>
          <w:b/>
          <w:sz w:val="22"/>
        </w:rPr>
      </w:pPr>
    </w:p>
    <w:p>
      <w:pPr>
        <w:pStyle w:val="BodyText"/>
        <w:spacing w:line="480" w:lineRule="auto"/>
        <w:ind w:left="440" w:right="417" w:firstLine="720"/>
        <w:jc w:val="both"/>
      </w:pPr>
      <w:r>
        <w:rPr/>
        <w:t>Since the use of CLT panels for temporary military structures would mean the</w:t>
      </w:r>
      <w:r>
        <w:rPr>
          <w:spacing w:val="1"/>
        </w:rPr>
        <w:t> </w:t>
      </w:r>
      <w:r>
        <w:rPr/>
        <w:t>panels would potentially be exposed to the environment, there was interest in whether the</w:t>
      </w:r>
      <w:r>
        <w:rPr>
          <w:spacing w:val="-57"/>
        </w:rPr>
        <w:t> </w:t>
      </w:r>
      <w:r>
        <w:rPr/>
        <w:t>ballistic resistance of the CLT would be impacted by specimens of an increased moisture</w:t>
      </w:r>
      <w:r>
        <w:rPr>
          <w:spacing w:val="1"/>
        </w:rPr>
        <w:t> </w:t>
      </w:r>
      <w:r>
        <w:rPr/>
        <w:t>content.</w:t>
      </w:r>
      <w:r>
        <w:rPr>
          <w:spacing w:val="1"/>
        </w:rPr>
        <w:t> </w:t>
      </w:r>
      <w:r>
        <w:rPr/>
        <w:t>Elevated</w:t>
      </w:r>
      <w:r>
        <w:rPr>
          <w:spacing w:val="1"/>
        </w:rPr>
        <w:t> </w:t>
      </w:r>
      <w:r>
        <w:rPr/>
        <w:t>moisture</w:t>
      </w:r>
      <w:r>
        <w:rPr>
          <w:spacing w:val="1"/>
        </w:rPr>
        <w:t> </w:t>
      </w:r>
      <w:r>
        <w:rPr/>
        <w:t>contents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specimens</w:t>
      </w:r>
      <w:r>
        <w:rPr>
          <w:spacing w:val="1"/>
        </w:rPr>
        <w:t> </w:t>
      </w:r>
      <w:r>
        <w:rPr/>
        <w:t>represented</w:t>
      </w:r>
      <w:r>
        <w:rPr>
          <w:spacing w:val="1"/>
        </w:rPr>
        <w:t> </w:t>
      </w:r>
      <w:r>
        <w:rPr/>
        <w:t>panels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were</w:t>
      </w:r>
      <w:r>
        <w:rPr>
          <w:spacing w:val="-57"/>
        </w:rPr>
        <w:t> </w:t>
      </w:r>
      <w:r>
        <w:rPr/>
        <w:t>minimally treated or untreated and therefore exposed to rain, snow and humidity.</w:t>
      </w:r>
      <w:r>
        <w:rPr>
          <w:spacing w:val="1"/>
        </w:rPr>
        <w:t> </w:t>
      </w:r>
      <w:r>
        <w:rPr/>
        <w:t>This is</w:t>
      </w:r>
      <w:r>
        <w:rPr>
          <w:spacing w:val="1"/>
        </w:rPr>
        <w:t> </w:t>
      </w:r>
      <w:r>
        <w:rPr/>
        <w:t>significant</w:t>
      </w:r>
      <w:r>
        <w:rPr>
          <w:spacing w:val="-3"/>
        </w:rPr>
        <w:t> </w:t>
      </w:r>
      <w:r>
        <w:rPr/>
        <w:t>because</w:t>
      </w:r>
      <w:r>
        <w:rPr>
          <w:spacing w:val="-5"/>
        </w:rPr>
        <w:t> </w:t>
      </w:r>
      <w:r>
        <w:rPr/>
        <w:t>the</w:t>
      </w:r>
      <w:r>
        <w:rPr>
          <w:spacing w:val="-3"/>
        </w:rPr>
        <w:t> </w:t>
      </w:r>
      <w:r>
        <w:rPr/>
        <w:t>typical</w:t>
      </w:r>
      <w:r>
        <w:rPr>
          <w:spacing w:val="-2"/>
        </w:rPr>
        <w:t> </w:t>
      </w:r>
      <w:r>
        <w:rPr/>
        <w:t>use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CLT</w:t>
      </w:r>
      <w:r>
        <w:rPr>
          <w:spacing w:val="-4"/>
        </w:rPr>
        <w:t> </w:t>
      </w:r>
      <w:r>
        <w:rPr/>
        <w:t>is</w:t>
      </w:r>
      <w:r>
        <w:rPr>
          <w:spacing w:val="-2"/>
        </w:rPr>
        <w:t> </w:t>
      </w:r>
      <w:r>
        <w:rPr/>
        <w:t>as</w:t>
      </w:r>
      <w:r>
        <w:rPr>
          <w:spacing w:val="-3"/>
        </w:rPr>
        <w:t> </w:t>
      </w:r>
      <w:r>
        <w:rPr/>
        <w:t>superstructure</w:t>
      </w:r>
      <w:r>
        <w:rPr>
          <w:spacing w:val="-3"/>
        </w:rPr>
        <w:t> </w:t>
      </w:r>
      <w:r>
        <w:rPr/>
        <w:t>elements</w:t>
      </w:r>
      <w:r>
        <w:rPr>
          <w:spacing w:val="-5"/>
        </w:rPr>
        <w:t> </w:t>
      </w:r>
      <w:r>
        <w:rPr/>
        <w:t>within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interior</w:t>
      </w:r>
      <w:r>
        <w:rPr>
          <w:spacing w:val="-58"/>
        </w:rPr>
        <w:t> </w:t>
      </w:r>
      <w:r>
        <w:rPr/>
        <w:t>of</w:t>
      </w:r>
      <w:r>
        <w:rPr>
          <w:spacing w:val="-2"/>
        </w:rPr>
        <w:t> </w:t>
      </w:r>
      <w:r>
        <w:rPr/>
        <w:t>the building envelope</w:t>
      </w:r>
      <w:r>
        <w:rPr>
          <w:spacing w:val="-1"/>
        </w:rPr>
        <w:t> </w:t>
      </w:r>
      <w:r>
        <w:rPr/>
        <w:t>with no exterior exposure.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 w:before="1"/>
        <w:ind w:left="440" w:right="417" w:firstLine="720"/>
        <w:jc w:val="both"/>
      </w:pPr>
      <w:r>
        <w:rPr/>
        <w:t>One</w:t>
      </w:r>
      <w:r>
        <w:rPr>
          <w:spacing w:val="-8"/>
        </w:rPr>
        <w:t> </w:t>
      </w:r>
      <w:r>
        <w:rPr/>
        <w:t>5-ply</w:t>
      </w:r>
      <w:r>
        <w:rPr>
          <w:spacing w:val="-9"/>
        </w:rPr>
        <w:t> </w:t>
      </w:r>
      <w:r>
        <w:rPr/>
        <w:t>test</w:t>
      </w:r>
      <w:r>
        <w:rPr>
          <w:spacing w:val="-8"/>
        </w:rPr>
        <w:t> </w:t>
      </w:r>
      <w:r>
        <w:rPr/>
        <w:t>block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each</w:t>
      </w:r>
      <w:r>
        <w:rPr>
          <w:spacing w:val="-9"/>
        </w:rPr>
        <w:t> </w:t>
      </w:r>
      <w:r>
        <w:rPr/>
        <w:t>wood</w:t>
      </w:r>
      <w:r>
        <w:rPr>
          <w:spacing w:val="-8"/>
        </w:rPr>
        <w:t> </w:t>
      </w:r>
      <w:r>
        <w:rPr/>
        <w:t>type</w:t>
      </w:r>
      <w:r>
        <w:rPr>
          <w:spacing w:val="-8"/>
        </w:rPr>
        <w:t> </w:t>
      </w:r>
      <w:r>
        <w:rPr/>
        <w:t>was</w:t>
      </w:r>
      <w:r>
        <w:rPr>
          <w:spacing w:val="-8"/>
        </w:rPr>
        <w:t> </w:t>
      </w:r>
      <w:r>
        <w:rPr/>
        <w:t>placed</w:t>
      </w:r>
      <w:r>
        <w:rPr>
          <w:spacing w:val="-9"/>
        </w:rPr>
        <w:t> </w:t>
      </w:r>
      <w:r>
        <w:rPr/>
        <w:t>in</w:t>
      </w:r>
      <w:r>
        <w:rPr>
          <w:spacing w:val="-8"/>
        </w:rPr>
        <w:t> </w:t>
      </w:r>
      <w:r>
        <w:rPr/>
        <w:t>a</w:t>
      </w:r>
      <w:r>
        <w:rPr>
          <w:spacing w:val="-8"/>
        </w:rPr>
        <w:t> </w:t>
      </w:r>
      <w:r>
        <w:rPr/>
        <w:t>fog</w:t>
      </w:r>
      <w:r>
        <w:rPr>
          <w:spacing w:val="-9"/>
        </w:rPr>
        <w:t> </w:t>
      </w:r>
      <w:r>
        <w:rPr/>
        <w:t>room</w:t>
      </w:r>
      <w:r>
        <w:rPr>
          <w:spacing w:val="-10"/>
        </w:rPr>
        <w:t> </w:t>
      </w:r>
      <w:r>
        <w:rPr/>
        <w:t>for</w:t>
      </w:r>
      <w:r>
        <w:rPr>
          <w:spacing w:val="-8"/>
        </w:rPr>
        <w:t> </w:t>
      </w:r>
      <w:r>
        <w:rPr/>
        <w:t>three</w:t>
      </w:r>
      <w:r>
        <w:rPr>
          <w:spacing w:val="-10"/>
        </w:rPr>
        <w:t> </w:t>
      </w:r>
      <w:r>
        <w:rPr/>
        <w:t>days</w:t>
      </w:r>
      <w:r>
        <w:rPr>
          <w:spacing w:val="-7"/>
        </w:rPr>
        <w:t> </w:t>
      </w:r>
      <w:r>
        <w:rPr/>
        <w:t>and</w:t>
      </w:r>
      <w:r>
        <w:rPr>
          <w:spacing w:val="-58"/>
        </w:rPr>
        <w:t> </w:t>
      </w:r>
      <w:r>
        <w:rPr/>
        <w:t>a second 5-ply test block was submerged in a bucket of water for thirteen days.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purpose of these treatments was to elevate the moisture content of the specimens.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original</w:t>
      </w:r>
      <w:r>
        <w:rPr>
          <w:spacing w:val="-7"/>
        </w:rPr>
        <w:t> </w:t>
      </w:r>
      <w:r>
        <w:rPr/>
        <w:t>moisture</w:t>
      </w:r>
      <w:r>
        <w:rPr>
          <w:spacing w:val="-6"/>
        </w:rPr>
        <w:t> </w:t>
      </w:r>
      <w:r>
        <w:rPr/>
        <w:t>contents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four</w:t>
      </w:r>
      <w:r>
        <w:rPr>
          <w:spacing w:val="-6"/>
        </w:rPr>
        <w:t> </w:t>
      </w:r>
      <w:r>
        <w:rPr/>
        <w:t>blocks</w:t>
      </w:r>
      <w:r>
        <w:rPr>
          <w:spacing w:val="-6"/>
        </w:rPr>
        <w:t> </w:t>
      </w:r>
      <w:r>
        <w:rPr/>
        <w:t>prior</w:t>
      </w:r>
      <w:r>
        <w:rPr>
          <w:spacing w:val="-8"/>
        </w:rPr>
        <w:t> </w:t>
      </w:r>
      <w:r>
        <w:rPr/>
        <w:t>to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weathering</w:t>
      </w:r>
      <w:r>
        <w:rPr>
          <w:spacing w:val="-6"/>
        </w:rPr>
        <w:t> </w:t>
      </w:r>
      <w:r>
        <w:rPr/>
        <w:t>treatments</w:t>
      </w:r>
      <w:r>
        <w:rPr>
          <w:spacing w:val="-7"/>
        </w:rPr>
        <w:t> </w:t>
      </w:r>
      <w:r>
        <w:rPr/>
        <w:t>were</w:t>
      </w:r>
      <w:r>
        <w:rPr>
          <w:spacing w:val="-6"/>
        </w:rPr>
        <w:t> </w:t>
      </w:r>
      <w:r>
        <w:rPr/>
        <w:t>in</w:t>
      </w:r>
      <w:r>
        <w:rPr>
          <w:spacing w:val="-7"/>
        </w:rPr>
        <w:t> </w:t>
      </w:r>
      <w:r>
        <w:rPr/>
        <w:t>the</w:t>
      </w:r>
      <w:r>
        <w:rPr>
          <w:spacing w:val="-58"/>
        </w:rPr>
        <w:t> </w:t>
      </w:r>
      <w:r>
        <w:rPr/>
        <w:t>range of 11 to 13 percent.</w:t>
      </w:r>
      <w:r>
        <w:rPr>
          <w:spacing w:val="1"/>
        </w:rPr>
        <w:t> </w:t>
      </w:r>
      <w:r>
        <w:rPr/>
        <w:t>The fog room was 70 degrees Fahrenheit and 100 percent</w:t>
      </w:r>
      <w:r>
        <w:rPr>
          <w:spacing w:val="1"/>
        </w:rPr>
        <w:t> </w:t>
      </w:r>
      <w:r>
        <w:rPr/>
        <w:t>humidity.</w:t>
      </w:r>
      <w:r>
        <w:rPr>
          <w:spacing w:val="1"/>
        </w:rPr>
        <w:t> </w:t>
      </w:r>
      <w:r>
        <w:rPr/>
        <w:t>Since there was no mechanism to measure the interior moisture content within</w:t>
      </w:r>
      <w:r>
        <w:rPr>
          <w:spacing w:val="1"/>
        </w:rPr>
        <w:t> </w:t>
      </w:r>
      <w:r>
        <w:rPr/>
        <w:t>the specimens, the weight of the blocks were measured periodically and the increase in</w:t>
      </w:r>
      <w:r>
        <w:rPr>
          <w:spacing w:val="1"/>
        </w:rPr>
        <w:t> </w:t>
      </w:r>
      <w:r>
        <w:rPr/>
        <w:t>density</w:t>
      </w:r>
      <w:r>
        <w:rPr>
          <w:spacing w:val="1"/>
        </w:rPr>
        <w:t> </w:t>
      </w:r>
      <w:r>
        <w:rPr/>
        <w:t>required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achieve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desired</w:t>
      </w:r>
      <w:r>
        <w:rPr>
          <w:spacing w:val="1"/>
        </w:rPr>
        <w:t> </w:t>
      </w:r>
      <w:r>
        <w:rPr/>
        <w:t>moisture</w:t>
      </w:r>
      <w:r>
        <w:rPr>
          <w:spacing w:val="1"/>
        </w:rPr>
        <w:t> </w:t>
      </w:r>
      <w:r>
        <w:rPr/>
        <w:t>content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test</w:t>
      </w:r>
      <w:r>
        <w:rPr>
          <w:spacing w:val="1"/>
        </w:rPr>
        <w:t> </w:t>
      </w:r>
      <w:r>
        <w:rPr/>
        <w:t>specimens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calculated.</w:t>
      </w:r>
      <w:r>
        <w:rPr>
          <w:spacing w:val="1"/>
        </w:rPr>
        <w:t> </w:t>
      </w:r>
      <w:r>
        <w:rPr/>
        <w:t>These values corresponded to moisture contents of 18 percent from the fog</w:t>
      </w:r>
      <w:r>
        <w:rPr>
          <w:spacing w:val="1"/>
        </w:rPr>
        <w:t> </w:t>
      </w:r>
      <w:r>
        <w:rPr/>
        <w:t>room</w:t>
      </w:r>
      <w:r>
        <w:rPr>
          <w:spacing w:val="-3"/>
        </w:rPr>
        <w:t> </w:t>
      </w:r>
      <w:r>
        <w:rPr/>
        <w:t>treatment and</w:t>
      </w:r>
      <w:r>
        <w:rPr>
          <w:spacing w:val="-1"/>
        </w:rPr>
        <w:t> </w:t>
      </w:r>
      <w:r>
        <w:rPr/>
        <w:t>28 percent from</w:t>
      </w:r>
      <w:r>
        <w:rPr>
          <w:spacing w:val="-2"/>
        </w:rPr>
        <w:t> </w:t>
      </w:r>
      <w:r>
        <w:rPr/>
        <w:t>the water submersion</w:t>
      </w:r>
      <w:r>
        <w:rPr>
          <w:spacing w:val="-1"/>
        </w:rPr>
        <w:t> </w:t>
      </w:r>
      <w:r>
        <w:rPr/>
        <w:t>treatment.</w:t>
      </w:r>
    </w:p>
    <w:p>
      <w:pPr>
        <w:pStyle w:val="BodyText"/>
        <w:spacing w:line="480" w:lineRule="auto" w:before="232"/>
        <w:ind w:left="440" w:right="417" w:firstLine="720"/>
        <w:jc w:val="both"/>
      </w:pPr>
      <w:r>
        <w:rPr>
          <w:spacing w:val="-1"/>
        </w:rPr>
        <w:t>When</w:t>
      </w:r>
      <w:r>
        <w:rPr>
          <w:spacing w:val="-14"/>
        </w:rPr>
        <w:t> </w:t>
      </w:r>
      <w:r>
        <w:rPr>
          <w:spacing w:val="-1"/>
        </w:rPr>
        <w:t>the</w:t>
      </w:r>
      <w:r>
        <w:rPr>
          <w:spacing w:val="-13"/>
        </w:rPr>
        <w:t> </w:t>
      </w:r>
      <w:r>
        <w:rPr>
          <w:spacing w:val="-1"/>
        </w:rPr>
        <w:t>test</w:t>
      </w:r>
      <w:r>
        <w:rPr>
          <w:spacing w:val="-13"/>
        </w:rPr>
        <w:t> </w:t>
      </w:r>
      <w:r>
        <w:rPr/>
        <w:t>specimens</w:t>
      </w:r>
      <w:r>
        <w:rPr>
          <w:spacing w:val="-13"/>
        </w:rPr>
        <w:t> </w:t>
      </w:r>
      <w:r>
        <w:rPr/>
        <w:t>were</w:t>
      </w:r>
      <w:r>
        <w:rPr>
          <w:spacing w:val="-13"/>
        </w:rPr>
        <w:t> </w:t>
      </w:r>
      <w:r>
        <w:rPr/>
        <w:t>removed</w:t>
      </w:r>
      <w:r>
        <w:rPr>
          <w:spacing w:val="-14"/>
        </w:rPr>
        <w:t> </w:t>
      </w:r>
      <w:r>
        <w:rPr/>
        <w:t>from</w:t>
      </w:r>
      <w:r>
        <w:rPr>
          <w:spacing w:val="-16"/>
        </w:rPr>
        <w:t> </w:t>
      </w:r>
      <w:r>
        <w:rPr/>
        <w:t>the</w:t>
      </w:r>
      <w:r>
        <w:rPr>
          <w:spacing w:val="-13"/>
        </w:rPr>
        <w:t> </w:t>
      </w:r>
      <w:r>
        <w:rPr/>
        <w:t>fog</w:t>
      </w:r>
      <w:r>
        <w:rPr>
          <w:spacing w:val="-14"/>
        </w:rPr>
        <w:t> </w:t>
      </w:r>
      <w:r>
        <w:rPr/>
        <w:t>room</w:t>
      </w:r>
      <w:r>
        <w:rPr>
          <w:spacing w:val="-16"/>
        </w:rPr>
        <w:t> </w:t>
      </w:r>
      <w:r>
        <w:rPr/>
        <w:t>and</w:t>
      </w:r>
      <w:r>
        <w:rPr>
          <w:spacing w:val="-12"/>
        </w:rPr>
        <w:t> </w:t>
      </w:r>
      <w:r>
        <w:rPr/>
        <w:t>water</w:t>
      </w:r>
      <w:r>
        <w:rPr>
          <w:spacing w:val="-13"/>
        </w:rPr>
        <w:t> </w:t>
      </w:r>
      <w:r>
        <w:rPr/>
        <w:t>bath</w:t>
      </w:r>
      <w:r>
        <w:rPr>
          <w:spacing w:val="-15"/>
        </w:rPr>
        <w:t> </w:t>
      </w:r>
      <w:r>
        <w:rPr/>
        <w:t>they</w:t>
      </w:r>
      <w:r>
        <w:rPr>
          <w:spacing w:val="-14"/>
        </w:rPr>
        <w:t> </w:t>
      </w:r>
      <w:r>
        <w:rPr/>
        <w:t>were</w:t>
      </w:r>
      <w:r>
        <w:rPr>
          <w:spacing w:val="-57"/>
        </w:rPr>
        <w:t> </w:t>
      </w:r>
      <w:r>
        <w:rPr/>
        <w:t>weighed and a moisture content reading was taken with a pin-type moisture meter on the</w:t>
      </w:r>
      <w:r>
        <w:rPr>
          <w:spacing w:val="1"/>
        </w:rPr>
        <w:t> </w:t>
      </w:r>
      <w:r>
        <w:rPr/>
        <w:t>exterior surface at each ply.</w:t>
      </w:r>
      <w:r>
        <w:rPr>
          <w:spacing w:val="1"/>
        </w:rPr>
        <w:t> </w:t>
      </w:r>
      <w:r>
        <w:rPr/>
        <w:t>All four test specimens were then subjected to the ½-inch</w:t>
      </w:r>
      <w:r>
        <w:rPr>
          <w:spacing w:val="1"/>
        </w:rPr>
        <w:t> </w:t>
      </w:r>
      <w:r>
        <w:rPr/>
        <w:t>sphere</w:t>
      </w:r>
      <w:r>
        <w:rPr>
          <w:spacing w:val="-14"/>
        </w:rPr>
        <w:t> </w:t>
      </w:r>
      <w:r>
        <w:rPr/>
        <w:t>projectile</w:t>
      </w:r>
      <w:r>
        <w:rPr>
          <w:spacing w:val="-13"/>
        </w:rPr>
        <w:t> </w:t>
      </w:r>
      <w:r>
        <w:rPr/>
        <w:t>at</w:t>
      </w:r>
      <w:r>
        <w:rPr>
          <w:spacing w:val="-14"/>
        </w:rPr>
        <w:t> </w:t>
      </w:r>
      <w:r>
        <w:rPr/>
        <w:t>an</w:t>
      </w:r>
      <w:r>
        <w:rPr>
          <w:spacing w:val="-13"/>
        </w:rPr>
        <w:t> </w:t>
      </w:r>
      <w:r>
        <w:rPr/>
        <w:t>average</w:t>
      </w:r>
      <w:r>
        <w:rPr>
          <w:spacing w:val="-14"/>
        </w:rPr>
        <w:t> </w:t>
      </w:r>
      <w:r>
        <w:rPr/>
        <w:t>striking</w:t>
      </w:r>
      <w:r>
        <w:rPr>
          <w:spacing w:val="-13"/>
        </w:rPr>
        <w:t> </w:t>
      </w:r>
      <w:r>
        <w:rPr/>
        <w:t>velocity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2,500</w:t>
      </w:r>
      <w:r>
        <w:rPr>
          <w:spacing w:val="-14"/>
        </w:rPr>
        <w:t> </w:t>
      </w:r>
      <w:r>
        <w:rPr/>
        <w:t>fps</w:t>
      </w:r>
      <w:r>
        <w:rPr>
          <w:spacing w:val="-13"/>
        </w:rPr>
        <w:t> </w:t>
      </w:r>
      <w:r>
        <w:rPr/>
        <w:t>(762</w:t>
      </w:r>
      <w:r>
        <w:rPr>
          <w:spacing w:val="-12"/>
        </w:rPr>
        <w:t> </w:t>
      </w:r>
      <w:r>
        <w:rPr/>
        <w:t>m/s).</w:t>
      </w:r>
      <w:r>
        <w:rPr>
          <w:spacing w:val="34"/>
        </w:rPr>
        <w:t> </w:t>
      </w:r>
      <w:r>
        <w:rPr/>
        <w:t>Post</w:t>
      </w:r>
      <w:r>
        <w:rPr>
          <w:spacing w:val="-14"/>
        </w:rPr>
        <w:t> </w:t>
      </w:r>
      <w:r>
        <w:rPr/>
        <w:t>test,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blocks</w:t>
      </w:r>
      <w:r>
        <w:rPr>
          <w:spacing w:val="-58"/>
        </w:rPr>
        <w:t> </w:t>
      </w:r>
      <w:r>
        <w:rPr/>
        <w:t>were</w:t>
      </w:r>
      <w:r>
        <w:rPr>
          <w:spacing w:val="-8"/>
        </w:rPr>
        <w:t> </w:t>
      </w:r>
      <w:r>
        <w:rPr/>
        <w:t>cut</w:t>
      </w:r>
      <w:r>
        <w:rPr>
          <w:spacing w:val="-8"/>
        </w:rPr>
        <w:t> </w:t>
      </w:r>
      <w:r>
        <w:rPr/>
        <w:t>open</w:t>
      </w:r>
      <w:r>
        <w:rPr>
          <w:spacing w:val="-9"/>
        </w:rPr>
        <w:t> </w:t>
      </w:r>
      <w:r>
        <w:rPr/>
        <w:t>to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center</w:t>
      </w:r>
      <w:r>
        <w:rPr>
          <w:spacing w:val="-8"/>
        </w:rPr>
        <w:t> </w:t>
      </w:r>
      <w:r>
        <w:rPr/>
        <w:t>shot</w:t>
      </w:r>
      <w:r>
        <w:rPr>
          <w:spacing w:val="-7"/>
        </w:rPr>
        <w:t> </w:t>
      </w:r>
      <w:r>
        <w:rPr/>
        <w:t>and</w:t>
      </w:r>
      <w:r>
        <w:rPr>
          <w:spacing w:val="-9"/>
        </w:rPr>
        <w:t> </w:t>
      </w:r>
      <w:r>
        <w:rPr/>
        <w:t>an</w:t>
      </w:r>
      <w:r>
        <w:rPr>
          <w:spacing w:val="-9"/>
        </w:rPr>
        <w:t> </w:t>
      </w:r>
      <w:r>
        <w:rPr/>
        <w:t>interior</w:t>
      </w:r>
      <w:r>
        <w:rPr>
          <w:spacing w:val="-7"/>
        </w:rPr>
        <w:t> </w:t>
      </w:r>
      <w:r>
        <w:rPr/>
        <w:t>moisture</w:t>
      </w:r>
      <w:r>
        <w:rPr>
          <w:spacing w:val="-8"/>
        </w:rPr>
        <w:t> </w:t>
      </w:r>
      <w:r>
        <w:rPr/>
        <w:t>content</w:t>
      </w:r>
      <w:r>
        <w:rPr>
          <w:spacing w:val="-8"/>
        </w:rPr>
        <w:t> </w:t>
      </w:r>
      <w:r>
        <w:rPr/>
        <w:t>was</w:t>
      </w:r>
      <w:r>
        <w:rPr>
          <w:spacing w:val="-6"/>
        </w:rPr>
        <w:t> </w:t>
      </w:r>
      <w:r>
        <w:rPr/>
        <w:t>measured</w:t>
      </w:r>
      <w:r>
        <w:rPr>
          <w:spacing w:val="-9"/>
        </w:rPr>
        <w:t> </w:t>
      </w:r>
      <w:r>
        <w:rPr/>
        <w:t>at</w:t>
      </w:r>
      <w:r>
        <w:rPr>
          <w:spacing w:val="-8"/>
        </w:rPr>
        <w:t> </w:t>
      </w:r>
      <w:r>
        <w:rPr/>
        <w:t>each</w:t>
      </w:r>
      <w:r>
        <w:rPr>
          <w:spacing w:val="-9"/>
        </w:rPr>
        <w:t> </w:t>
      </w:r>
      <w:r>
        <w:rPr/>
        <w:t>ply.</w:t>
      </w:r>
    </w:p>
    <w:p>
      <w:pPr>
        <w:spacing w:after="0" w:line="480" w:lineRule="auto"/>
        <w:jc w:val="both"/>
        <w:sectPr>
          <w:pgSz w:w="12240" w:h="15840"/>
          <w:pgMar w:header="0" w:footer="1064" w:top="1380" w:bottom="1260" w:left="1720" w:right="1020"/>
        </w:sectPr>
      </w:pPr>
    </w:p>
    <w:p>
      <w:pPr>
        <w:pStyle w:val="BodyText"/>
        <w:spacing w:line="480" w:lineRule="auto" w:before="78"/>
        <w:ind w:left="440" w:right="403"/>
      </w:pPr>
      <w:hyperlink w:history="true" w:anchor="_bookmark93">
        <w:r>
          <w:rPr/>
          <w:t>Table</w:t>
        </w:r>
        <w:r>
          <w:rPr>
            <w:spacing w:val="16"/>
          </w:rPr>
          <w:t> </w:t>
        </w:r>
        <w:r>
          <w:rPr/>
          <w:t>5-12</w:t>
        </w:r>
        <w:r>
          <w:rPr>
            <w:spacing w:val="14"/>
          </w:rPr>
          <w:t> </w:t>
        </w:r>
      </w:hyperlink>
      <w:r>
        <w:rPr/>
        <w:t>shows</w:t>
      </w:r>
      <w:r>
        <w:rPr>
          <w:spacing w:val="17"/>
        </w:rPr>
        <w:t> </w:t>
      </w:r>
      <w:r>
        <w:rPr/>
        <w:t>the</w:t>
      </w:r>
      <w:r>
        <w:rPr>
          <w:spacing w:val="15"/>
        </w:rPr>
        <w:t> </w:t>
      </w:r>
      <w:r>
        <w:rPr/>
        <w:t>average</w:t>
      </w:r>
      <w:r>
        <w:rPr>
          <w:spacing w:val="15"/>
        </w:rPr>
        <w:t> </w:t>
      </w:r>
      <w:r>
        <w:rPr/>
        <w:t>exterior</w:t>
      </w:r>
      <w:r>
        <w:rPr>
          <w:spacing w:val="16"/>
        </w:rPr>
        <w:t> </w:t>
      </w:r>
      <w:r>
        <w:rPr/>
        <w:t>and</w:t>
      </w:r>
      <w:r>
        <w:rPr>
          <w:spacing w:val="16"/>
        </w:rPr>
        <w:t> </w:t>
      </w:r>
      <w:r>
        <w:rPr/>
        <w:t>interior</w:t>
      </w:r>
      <w:r>
        <w:rPr>
          <w:spacing w:val="16"/>
        </w:rPr>
        <w:t> </w:t>
      </w:r>
      <w:r>
        <w:rPr/>
        <w:t>moisture</w:t>
      </w:r>
      <w:r>
        <w:rPr>
          <w:spacing w:val="16"/>
        </w:rPr>
        <w:t> </w:t>
      </w:r>
      <w:r>
        <w:rPr/>
        <w:t>contents,</w:t>
      </w:r>
      <w:r>
        <w:rPr>
          <w:spacing w:val="14"/>
        </w:rPr>
        <w:t> </w:t>
      </w:r>
      <w:r>
        <w:rPr/>
        <w:t>as</w:t>
      </w:r>
      <w:r>
        <w:rPr>
          <w:spacing w:val="15"/>
        </w:rPr>
        <w:t> </w:t>
      </w:r>
      <w:r>
        <w:rPr/>
        <w:t>a</w:t>
      </w:r>
      <w:r>
        <w:rPr>
          <w:spacing w:val="17"/>
        </w:rPr>
        <w:t> </w:t>
      </w:r>
      <w:r>
        <w:rPr/>
        <w:t>measurement</w:t>
      </w:r>
      <w:r>
        <w:rPr>
          <w:spacing w:val="-57"/>
        </w:rPr>
        <w:t> </w:t>
      </w:r>
      <w:r>
        <w:rPr/>
        <w:t>was</w:t>
      </w:r>
      <w:r>
        <w:rPr>
          <w:spacing w:val="-1"/>
        </w:rPr>
        <w:t> </w:t>
      </w:r>
      <w:r>
        <w:rPr/>
        <w:t>taken at</w:t>
      </w:r>
      <w:r>
        <w:rPr>
          <w:spacing w:val="-1"/>
        </w:rPr>
        <w:t> </w:t>
      </w:r>
      <w:r>
        <w:rPr/>
        <w:t>each ply, 1</w:t>
      </w:r>
      <w:r>
        <w:rPr>
          <w:spacing w:val="-2"/>
        </w:rPr>
        <w:t> </w:t>
      </w:r>
      <w:r>
        <w:rPr/>
        <w:t>through 5.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spacing w:before="231"/>
        <w:ind w:left="963" w:right="0" w:firstLine="0"/>
        <w:jc w:val="left"/>
        <w:rPr>
          <w:i/>
          <w:sz w:val="24"/>
        </w:rPr>
      </w:pPr>
      <w:bookmarkStart w:name="_bookmark93" w:id="333"/>
      <w:bookmarkEnd w:id="333"/>
      <w:r>
        <w:rPr/>
      </w:r>
      <w:r>
        <w:rPr>
          <w:i/>
          <w:sz w:val="24"/>
        </w:rPr>
        <w:t>Table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5-12.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Weathered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CLT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specimens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exterior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interior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moisture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contents.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3"/>
        <w:rPr>
          <w:i/>
          <w:sz w:val="17"/>
        </w:rPr>
      </w:pPr>
    </w:p>
    <w:tbl>
      <w:tblPr>
        <w:tblW w:w="0" w:type="auto"/>
        <w:jc w:val="left"/>
        <w:tblInd w:w="24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60"/>
        <w:gridCol w:w="1219"/>
        <w:gridCol w:w="1200"/>
        <w:gridCol w:w="1260"/>
      </w:tblGrid>
      <w:tr>
        <w:trPr>
          <w:trHeight w:val="1190" w:hRule="atLeast"/>
        </w:trPr>
        <w:tc>
          <w:tcPr>
            <w:tcW w:w="960" w:type="dxa"/>
            <w:shd w:val="clear" w:color="auto" w:fill="C0C0C0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91"/>
              <w:ind w:left="143"/>
              <w:rPr>
                <w:sz w:val="22"/>
              </w:rPr>
            </w:pPr>
            <w:r>
              <w:rPr>
                <w:sz w:val="22"/>
              </w:rPr>
              <w:t>Species</w:t>
            </w:r>
          </w:p>
        </w:tc>
        <w:tc>
          <w:tcPr>
            <w:tcW w:w="1219" w:type="dxa"/>
            <w:shd w:val="clear" w:color="auto" w:fill="C0C0C0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91"/>
              <w:ind w:left="157"/>
              <w:rPr>
                <w:sz w:val="22"/>
              </w:rPr>
            </w:pPr>
            <w:r>
              <w:rPr>
                <w:sz w:val="22"/>
              </w:rPr>
              <w:t>Treatment</w:t>
            </w:r>
          </w:p>
        </w:tc>
        <w:tc>
          <w:tcPr>
            <w:tcW w:w="1200" w:type="dxa"/>
            <w:shd w:val="clear" w:color="auto" w:fill="C0C0C0"/>
          </w:tcPr>
          <w:p>
            <w:pPr>
              <w:pStyle w:val="TableParagraph"/>
              <w:spacing w:before="87"/>
              <w:ind w:left="214" w:right="203" w:firstLine="13"/>
              <w:jc w:val="both"/>
              <w:rPr>
                <w:sz w:val="22"/>
              </w:rPr>
            </w:pPr>
            <w:r>
              <w:rPr>
                <w:sz w:val="22"/>
              </w:rPr>
              <w:t>Average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exterior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moisture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content</w:t>
            </w:r>
          </w:p>
        </w:tc>
        <w:tc>
          <w:tcPr>
            <w:tcW w:w="1260" w:type="dxa"/>
            <w:shd w:val="clear" w:color="auto" w:fill="C0C0C0"/>
          </w:tcPr>
          <w:p>
            <w:pPr>
              <w:pStyle w:val="TableParagraph"/>
              <w:spacing w:before="87"/>
              <w:ind w:left="244" w:right="233" w:firstLine="13"/>
              <w:jc w:val="both"/>
              <w:rPr>
                <w:sz w:val="22"/>
              </w:rPr>
            </w:pPr>
            <w:r>
              <w:rPr>
                <w:sz w:val="22"/>
              </w:rPr>
              <w:t>Average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interior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moisture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content</w:t>
            </w:r>
          </w:p>
        </w:tc>
      </w:tr>
      <w:tr>
        <w:trPr>
          <w:trHeight w:val="337" w:hRule="atLeast"/>
        </w:trPr>
        <w:tc>
          <w:tcPr>
            <w:tcW w:w="960" w:type="dxa"/>
            <w:tcBorders>
              <w:bottom w:val="nil"/>
            </w:tcBorders>
          </w:tcPr>
          <w:p>
            <w:pPr>
              <w:pStyle w:val="TableParagraph"/>
              <w:spacing w:before="56"/>
              <w:ind w:left="107"/>
              <w:rPr>
                <w:sz w:val="22"/>
              </w:rPr>
            </w:pPr>
            <w:r>
              <w:rPr>
                <w:sz w:val="22"/>
              </w:rPr>
              <w:t>SPF-S</w:t>
            </w:r>
          </w:p>
        </w:tc>
        <w:tc>
          <w:tcPr>
            <w:tcW w:w="1219" w:type="dxa"/>
            <w:tcBorders>
              <w:bottom w:val="nil"/>
            </w:tcBorders>
          </w:tcPr>
          <w:p>
            <w:pPr>
              <w:pStyle w:val="TableParagraph"/>
              <w:spacing w:before="56"/>
              <w:ind w:left="107"/>
              <w:rPr>
                <w:sz w:val="22"/>
              </w:rPr>
            </w:pPr>
            <w:r>
              <w:rPr>
                <w:sz w:val="22"/>
              </w:rPr>
              <w:t>Fog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Room</w:t>
            </w:r>
          </w:p>
        </w:tc>
        <w:tc>
          <w:tcPr>
            <w:tcW w:w="1200" w:type="dxa"/>
            <w:tcBorders>
              <w:bottom w:val="nil"/>
            </w:tcBorders>
          </w:tcPr>
          <w:p>
            <w:pPr>
              <w:pStyle w:val="TableParagraph"/>
              <w:spacing w:before="56"/>
              <w:ind w:right="94"/>
              <w:jc w:val="right"/>
              <w:rPr>
                <w:sz w:val="22"/>
              </w:rPr>
            </w:pPr>
            <w:r>
              <w:rPr>
                <w:sz w:val="22"/>
              </w:rPr>
              <w:t>32%</w:t>
            </w:r>
          </w:p>
        </w:tc>
        <w:tc>
          <w:tcPr>
            <w:tcW w:w="1260" w:type="dxa"/>
            <w:tcBorders>
              <w:bottom w:val="nil"/>
            </w:tcBorders>
          </w:tcPr>
          <w:p>
            <w:pPr>
              <w:pStyle w:val="TableParagraph"/>
              <w:spacing w:before="56"/>
              <w:ind w:right="94"/>
              <w:jc w:val="right"/>
              <w:rPr>
                <w:sz w:val="22"/>
              </w:rPr>
            </w:pPr>
            <w:r>
              <w:rPr>
                <w:sz w:val="22"/>
              </w:rPr>
              <w:t>13%</w:t>
            </w:r>
          </w:p>
        </w:tc>
      </w:tr>
      <w:tr>
        <w:trPr>
          <w:trHeight w:val="273" w:hRule="atLeast"/>
        </w:trPr>
        <w:tc>
          <w:tcPr>
            <w:tcW w:w="960" w:type="dxa"/>
            <w:tcBorders>
              <w:top w:val="nil"/>
            </w:tcBorders>
          </w:tcPr>
          <w:p>
            <w:pPr>
              <w:pStyle w:val="TableParagraph"/>
              <w:spacing w:line="234" w:lineRule="exact" w:before="18"/>
              <w:ind w:left="107"/>
              <w:rPr>
                <w:sz w:val="22"/>
              </w:rPr>
            </w:pPr>
            <w:r>
              <w:rPr>
                <w:sz w:val="22"/>
              </w:rPr>
              <w:t>SYP</w:t>
            </w:r>
          </w:p>
        </w:tc>
        <w:tc>
          <w:tcPr>
            <w:tcW w:w="1219" w:type="dxa"/>
            <w:tcBorders>
              <w:top w:val="nil"/>
            </w:tcBorders>
          </w:tcPr>
          <w:p>
            <w:pPr>
              <w:pStyle w:val="TableParagraph"/>
              <w:spacing w:line="234" w:lineRule="exact" w:before="18"/>
              <w:ind w:left="107"/>
              <w:rPr>
                <w:sz w:val="22"/>
              </w:rPr>
            </w:pPr>
            <w:r>
              <w:rPr>
                <w:sz w:val="22"/>
              </w:rPr>
              <w:t>Fog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Room</w:t>
            </w:r>
          </w:p>
        </w:tc>
        <w:tc>
          <w:tcPr>
            <w:tcW w:w="1200" w:type="dxa"/>
            <w:tcBorders>
              <w:top w:val="nil"/>
            </w:tcBorders>
          </w:tcPr>
          <w:p>
            <w:pPr>
              <w:pStyle w:val="TableParagraph"/>
              <w:spacing w:line="234" w:lineRule="exact" w:before="18"/>
              <w:ind w:right="94"/>
              <w:jc w:val="right"/>
              <w:rPr>
                <w:sz w:val="22"/>
              </w:rPr>
            </w:pPr>
            <w:r>
              <w:rPr>
                <w:sz w:val="22"/>
              </w:rPr>
              <w:t>28%</w:t>
            </w:r>
          </w:p>
        </w:tc>
        <w:tc>
          <w:tcPr>
            <w:tcW w:w="1260" w:type="dxa"/>
            <w:tcBorders>
              <w:top w:val="nil"/>
            </w:tcBorders>
          </w:tcPr>
          <w:p>
            <w:pPr>
              <w:pStyle w:val="TableParagraph"/>
              <w:spacing w:line="234" w:lineRule="exact" w:before="18"/>
              <w:ind w:right="94"/>
              <w:jc w:val="right"/>
              <w:rPr>
                <w:sz w:val="22"/>
              </w:rPr>
            </w:pPr>
            <w:r>
              <w:rPr>
                <w:sz w:val="22"/>
              </w:rPr>
              <w:t>15%</w:t>
            </w:r>
          </w:p>
        </w:tc>
      </w:tr>
      <w:tr>
        <w:trPr>
          <w:trHeight w:val="326" w:hRule="atLeast"/>
        </w:trPr>
        <w:tc>
          <w:tcPr>
            <w:tcW w:w="960" w:type="dxa"/>
            <w:tcBorders>
              <w:bottom w:val="nil"/>
            </w:tcBorders>
          </w:tcPr>
          <w:p>
            <w:pPr>
              <w:pStyle w:val="TableParagraph"/>
              <w:spacing w:before="45"/>
              <w:ind w:left="107"/>
              <w:rPr>
                <w:sz w:val="22"/>
              </w:rPr>
            </w:pPr>
            <w:r>
              <w:rPr>
                <w:sz w:val="22"/>
              </w:rPr>
              <w:t>SPF-S</w:t>
            </w:r>
          </w:p>
        </w:tc>
        <w:tc>
          <w:tcPr>
            <w:tcW w:w="1219" w:type="dxa"/>
            <w:tcBorders>
              <w:bottom w:val="nil"/>
            </w:tcBorders>
          </w:tcPr>
          <w:p>
            <w:pPr>
              <w:pStyle w:val="TableParagraph"/>
              <w:spacing w:before="45"/>
              <w:ind w:left="107"/>
              <w:rPr>
                <w:sz w:val="22"/>
              </w:rPr>
            </w:pPr>
            <w:r>
              <w:rPr>
                <w:sz w:val="22"/>
              </w:rPr>
              <w:t>Submerged</w:t>
            </w:r>
          </w:p>
        </w:tc>
        <w:tc>
          <w:tcPr>
            <w:tcW w:w="1200" w:type="dxa"/>
            <w:tcBorders>
              <w:bottom w:val="nil"/>
            </w:tcBorders>
          </w:tcPr>
          <w:p>
            <w:pPr>
              <w:pStyle w:val="TableParagraph"/>
              <w:spacing w:before="45"/>
              <w:ind w:right="94"/>
              <w:jc w:val="right"/>
              <w:rPr>
                <w:sz w:val="22"/>
              </w:rPr>
            </w:pPr>
            <w:r>
              <w:rPr>
                <w:sz w:val="22"/>
              </w:rPr>
              <w:t>38%</w:t>
            </w:r>
          </w:p>
        </w:tc>
        <w:tc>
          <w:tcPr>
            <w:tcW w:w="1260" w:type="dxa"/>
            <w:tcBorders>
              <w:bottom w:val="nil"/>
            </w:tcBorders>
          </w:tcPr>
          <w:p>
            <w:pPr>
              <w:pStyle w:val="TableParagraph"/>
              <w:spacing w:before="45"/>
              <w:ind w:right="94"/>
              <w:jc w:val="right"/>
              <w:rPr>
                <w:sz w:val="22"/>
              </w:rPr>
            </w:pPr>
            <w:r>
              <w:rPr>
                <w:sz w:val="22"/>
              </w:rPr>
              <w:t>22%</w:t>
            </w:r>
          </w:p>
        </w:tc>
      </w:tr>
      <w:tr>
        <w:trPr>
          <w:trHeight w:val="273" w:hRule="atLeast"/>
        </w:trPr>
        <w:tc>
          <w:tcPr>
            <w:tcW w:w="960" w:type="dxa"/>
            <w:tcBorders>
              <w:top w:val="nil"/>
            </w:tcBorders>
          </w:tcPr>
          <w:p>
            <w:pPr>
              <w:pStyle w:val="TableParagraph"/>
              <w:spacing w:line="234" w:lineRule="exact" w:before="18"/>
              <w:ind w:left="107"/>
              <w:rPr>
                <w:sz w:val="22"/>
              </w:rPr>
            </w:pPr>
            <w:r>
              <w:rPr>
                <w:sz w:val="22"/>
              </w:rPr>
              <w:t>SYP</w:t>
            </w:r>
          </w:p>
        </w:tc>
        <w:tc>
          <w:tcPr>
            <w:tcW w:w="1219" w:type="dxa"/>
            <w:tcBorders>
              <w:top w:val="nil"/>
            </w:tcBorders>
          </w:tcPr>
          <w:p>
            <w:pPr>
              <w:pStyle w:val="TableParagraph"/>
              <w:spacing w:line="234" w:lineRule="exact" w:before="18"/>
              <w:ind w:left="107"/>
              <w:rPr>
                <w:sz w:val="22"/>
              </w:rPr>
            </w:pPr>
            <w:r>
              <w:rPr>
                <w:sz w:val="22"/>
              </w:rPr>
              <w:t>Submerged</w:t>
            </w:r>
          </w:p>
        </w:tc>
        <w:tc>
          <w:tcPr>
            <w:tcW w:w="1200" w:type="dxa"/>
            <w:tcBorders>
              <w:top w:val="nil"/>
            </w:tcBorders>
          </w:tcPr>
          <w:p>
            <w:pPr>
              <w:pStyle w:val="TableParagraph"/>
              <w:spacing w:line="234" w:lineRule="exact" w:before="18"/>
              <w:ind w:right="94"/>
              <w:jc w:val="right"/>
              <w:rPr>
                <w:sz w:val="22"/>
              </w:rPr>
            </w:pPr>
            <w:r>
              <w:rPr>
                <w:sz w:val="22"/>
              </w:rPr>
              <w:t>38%</w:t>
            </w:r>
          </w:p>
        </w:tc>
        <w:tc>
          <w:tcPr>
            <w:tcW w:w="1260" w:type="dxa"/>
            <w:tcBorders>
              <w:top w:val="nil"/>
            </w:tcBorders>
          </w:tcPr>
          <w:p>
            <w:pPr>
              <w:pStyle w:val="TableParagraph"/>
              <w:spacing w:line="234" w:lineRule="exact" w:before="18"/>
              <w:ind w:right="94"/>
              <w:jc w:val="right"/>
              <w:rPr>
                <w:sz w:val="22"/>
              </w:rPr>
            </w:pPr>
            <w:r>
              <w:rPr>
                <w:sz w:val="22"/>
              </w:rPr>
              <w:t>33%</w:t>
            </w:r>
          </w:p>
        </w:tc>
      </w:tr>
    </w:tbl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29"/>
        </w:rPr>
      </w:pPr>
    </w:p>
    <w:p>
      <w:pPr>
        <w:pStyle w:val="BodyText"/>
        <w:spacing w:line="480" w:lineRule="auto" w:before="90"/>
        <w:ind w:left="439" w:right="417" w:firstLine="720"/>
        <w:jc w:val="both"/>
      </w:pPr>
      <w:r>
        <w:rPr/>
        <w:t>The dry specimens striking and residual velocity data was plotted along with both</w:t>
      </w:r>
      <w:r>
        <w:rPr>
          <w:spacing w:val="1"/>
        </w:rPr>
        <w:t> </w:t>
      </w:r>
      <w:r>
        <w:rPr/>
        <w:t>types of weathered specimens.</w:t>
      </w:r>
      <w:r>
        <w:rPr>
          <w:spacing w:val="1"/>
        </w:rPr>
        <w:t> </w:t>
      </w:r>
      <w:hyperlink w:history="true" w:anchor="_bookmark94">
        <w:r>
          <w:rPr/>
          <w:t>Figure 5-33 </w:t>
        </w:r>
      </w:hyperlink>
      <w:r>
        <w:rPr/>
        <w:t>shows the SPF-S data and </w:t>
      </w:r>
      <w:hyperlink w:history="true" w:anchor="_bookmark95">
        <w:r>
          <w:rPr/>
          <w:t>Figure 5-34 </w:t>
        </w:r>
      </w:hyperlink>
      <w:r>
        <w:rPr/>
        <w:t>shows</w:t>
      </w:r>
      <w:r>
        <w:rPr>
          <w:spacing w:val="1"/>
        </w:rPr>
        <w:t> </w:t>
      </w:r>
      <w:r>
        <w:rPr/>
        <w:t>the SYP data comparing the dry and wet specimens.</w:t>
      </w:r>
      <w:r>
        <w:rPr>
          <w:spacing w:val="1"/>
        </w:rPr>
        <w:t> </w:t>
      </w:r>
      <w:r>
        <w:rPr/>
        <w:t>The residual velocities measured for</w:t>
      </w:r>
      <w:r>
        <w:rPr>
          <w:spacing w:val="-57"/>
        </w:rPr>
        <w:t> </w:t>
      </w:r>
      <w:r>
        <w:rPr/>
        <w:t>the</w:t>
      </w:r>
      <w:r>
        <w:rPr>
          <w:spacing w:val="-7"/>
        </w:rPr>
        <w:t> </w:t>
      </w:r>
      <w:r>
        <w:rPr/>
        <w:t>weathered</w:t>
      </w:r>
      <w:r>
        <w:rPr>
          <w:spacing w:val="-7"/>
        </w:rPr>
        <w:t> </w:t>
      </w:r>
      <w:r>
        <w:rPr/>
        <w:t>specimens</w:t>
      </w:r>
      <w:r>
        <w:rPr>
          <w:spacing w:val="-6"/>
        </w:rPr>
        <w:t> </w:t>
      </w:r>
      <w:r>
        <w:rPr/>
        <w:t>of</w:t>
      </w:r>
      <w:r>
        <w:rPr>
          <w:spacing w:val="-8"/>
        </w:rPr>
        <w:t> </w:t>
      </w:r>
      <w:r>
        <w:rPr/>
        <w:t>both</w:t>
      </w:r>
      <w:r>
        <w:rPr>
          <w:spacing w:val="-7"/>
        </w:rPr>
        <w:t> </w:t>
      </w:r>
      <w:r>
        <w:rPr/>
        <w:t>species</w:t>
      </w:r>
      <w:r>
        <w:rPr>
          <w:spacing w:val="-7"/>
        </w:rPr>
        <w:t> </w:t>
      </w:r>
      <w:r>
        <w:rPr/>
        <w:t>aligned</w:t>
      </w:r>
      <w:r>
        <w:rPr>
          <w:spacing w:val="-8"/>
        </w:rPr>
        <w:t> </w:t>
      </w:r>
      <w:r>
        <w:rPr/>
        <w:t>well</w:t>
      </w:r>
      <w:r>
        <w:rPr>
          <w:spacing w:val="-7"/>
        </w:rPr>
        <w:t> </w:t>
      </w:r>
      <w:r>
        <w:rPr/>
        <w:t>with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residual</w:t>
      </w:r>
      <w:r>
        <w:rPr>
          <w:spacing w:val="-7"/>
        </w:rPr>
        <w:t> </w:t>
      </w:r>
      <w:r>
        <w:rPr/>
        <w:t>velocities</w:t>
      </w:r>
      <w:r>
        <w:rPr>
          <w:spacing w:val="-8"/>
        </w:rPr>
        <w:t> </w:t>
      </w:r>
      <w:r>
        <w:rPr/>
        <w:t>observed</w:t>
      </w:r>
      <w:r>
        <w:rPr>
          <w:spacing w:val="-58"/>
        </w:rPr>
        <w:t> </w:t>
      </w:r>
      <w:r>
        <w:rPr/>
        <w:t>for the dry specimens in the same striking velocity range.</w:t>
      </w:r>
      <w:r>
        <w:rPr>
          <w:spacing w:val="1"/>
        </w:rPr>
        <w:t> </w:t>
      </w:r>
      <w:r>
        <w:rPr/>
        <w:t>Additional testing of more</w:t>
      </w:r>
      <w:r>
        <w:rPr>
          <w:spacing w:val="1"/>
        </w:rPr>
        <w:t> </w:t>
      </w:r>
      <w:r>
        <w:rPr/>
        <w:t>specimens</w:t>
      </w:r>
      <w:r>
        <w:rPr>
          <w:spacing w:val="-1"/>
        </w:rPr>
        <w:t> </w:t>
      </w:r>
      <w:r>
        <w:rPr/>
        <w:t>should</w:t>
      </w:r>
      <w:r>
        <w:rPr>
          <w:spacing w:val="-1"/>
        </w:rPr>
        <w:t> </w:t>
      </w:r>
      <w:r>
        <w:rPr/>
        <w:t>be</w:t>
      </w:r>
      <w:r>
        <w:rPr>
          <w:spacing w:val="-1"/>
        </w:rPr>
        <w:t> </w:t>
      </w:r>
      <w:r>
        <w:rPr/>
        <w:t>conducted</w:t>
      </w:r>
      <w:r>
        <w:rPr>
          <w:spacing w:val="-1"/>
        </w:rPr>
        <w:t> </w:t>
      </w:r>
      <w:r>
        <w:rPr/>
        <w:t>to</w:t>
      </w:r>
      <w:r>
        <w:rPr>
          <w:spacing w:val="-3"/>
        </w:rPr>
        <w:t> </w:t>
      </w:r>
      <w:r>
        <w:rPr/>
        <w:t>confirm</w:t>
      </w:r>
      <w:r>
        <w:rPr>
          <w:spacing w:val="-3"/>
        </w:rPr>
        <w:t> </w:t>
      </w:r>
      <w:r>
        <w:rPr/>
        <w:t>this</w:t>
      </w:r>
      <w:r>
        <w:rPr>
          <w:spacing w:val="-1"/>
        </w:rPr>
        <w:t> </w:t>
      </w:r>
      <w:r>
        <w:rPr/>
        <w:t>finding,</w:t>
      </w:r>
      <w:r>
        <w:rPr>
          <w:spacing w:val="-1"/>
        </w:rPr>
        <w:t> </w:t>
      </w:r>
      <w:r>
        <w:rPr/>
        <w:t>especially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other</w:t>
      </w:r>
      <w:r>
        <w:rPr>
          <w:spacing w:val="-1"/>
        </w:rPr>
        <w:t> </w:t>
      </w:r>
      <w:r>
        <w:rPr/>
        <w:t>wood</w:t>
      </w:r>
      <w:r>
        <w:rPr>
          <w:spacing w:val="-1"/>
        </w:rPr>
        <w:t> </w:t>
      </w:r>
      <w:r>
        <w:rPr/>
        <w:t>types.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1"/>
        <w:rPr>
          <w:sz w:val="21"/>
        </w:rPr>
      </w:pPr>
    </w:p>
    <w:p>
      <w:pPr>
        <w:spacing w:before="0"/>
        <w:ind w:left="0" w:right="0" w:firstLine="0"/>
        <w:jc w:val="right"/>
        <w:rPr>
          <w:sz w:val="16"/>
        </w:rPr>
      </w:pPr>
      <w:r>
        <w:rPr>
          <w:sz w:val="16"/>
        </w:rPr>
        <w:t>1800</w:t>
      </w:r>
    </w:p>
    <w:p>
      <w:pPr>
        <w:spacing w:before="39"/>
        <w:ind w:left="0" w:right="0" w:firstLine="0"/>
        <w:jc w:val="right"/>
        <w:rPr>
          <w:sz w:val="16"/>
        </w:rPr>
      </w:pPr>
      <w:r>
        <w:rPr>
          <w:sz w:val="16"/>
        </w:rPr>
        <w:t>1700</w:t>
      </w:r>
    </w:p>
    <w:p>
      <w:pPr>
        <w:spacing w:before="43"/>
        <w:ind w:left="0" w:right="0" w:firstLine="0"/>
        <w:jc w:val="right"/>
        <w:rPr>
          <w:sz w:val="16"/>
        </w:rPr>
      </w:pPr>
      <w:r>
        <w:rPr>
          <w:sz w:val="16"/>
        </w:rPr>
        <w:t>1600</w:t>
      </w:r>
    </w:p>
    <w:p>
      <w:pPr>
        <w:spacing w:before="40"/>
        <w:ind w:left="0" w:right="0" w:firstLine="0"/>
        <w:jc w:val="right"/>
        <w:rPr>
          <w:sz w:val="16"/>
        </w:rPr>
      </w:pPr>
      <w:r>
        <w:rPr/>
        <w:pict>
          <v:shape style="position:absolute;margin-left:122.942978pt;margin-top:4.992119pt;width:16.9pt;height:127.1pt;mso-position-horizontal-relative:page;mso-position-vertical-relative:paragraph;z-index:15848448" type="#_x0000_t202" filled="false" stroked="false">
            <v:textbox inset="0,0,0,0" style="layout-flow:vertical;mso-layout-flow-alt:bottom-to-top">
              <w:txbxContent>
                <w:p>
                  <w:pPr>
                    <w:spacing w:before="10"/>
                    <w:ind w:left="20" w:right="0" w:firstLine="0"/>
                    <w:jc w:val="left"/>
                    <w:rPr>
                      <w:sz w:val="23"/>
                    </w:rPr>
                  </w:pPr>
                  <w:r>
                    <w:rPr>
                      <w:spacing w:val="-1"/>
                      <w:sz w:val="23"/>
                    </w:rPr>
                    <w:t>Residual</w:t>
                  </w:r>
                  <w:r>
                    <w:rPr>
                      <w:spacing w:val="-13"/>
                      <w:sz w:val="23"/>
                    </w:rPr>
                    <w:t> </w:t>
                  </w:r>
                  <w:r>
                    <w:rPr>
                      <w:sz w:val="23"/>
                    </w:rPr>
                    <w:t>Velocity,</w:t>
                  </w:r>
                  <w:r>
                    <w:rPr>
                      <w:spacing w:val="-14"/>
                      <w:sz w:val="23"/>
                    </w:rPr>
                    <w:t> </w:t>
                  </w:r>
                  <w:r>
                    <w:rPr>
                      <w:sz w:val="23"/>
                    </w:rPr>
                    <w:t>V</w:t>
                  </w:r>
                  <w:r>
                    <w:rPr>
                      <w:position w:val="-4"/>
                      <w:sz w:val="17"/>
                    </w:rPr>
                    <w:t>R</w:t>
                  </w:r>
                  <w:r>
                    <w:rPr>
                      <w:spacing w:val="6"/>
                      <w:position w:val="-4"/>
                      <w:sz w:val="17"/>
                    </w:rPr>
                    <w:t> </w:t>
                  </w:r>
                  <w:r>
                    <w:rPr>
                      <w:sz w:val="23"/>
                    </w:rPr>
                    <w:t>(fps)</w:t>
                  </w:r>
                </w:p>
              </w:txbxContent>
            </v:textbox>
            <w10:wrap type="none"/>
          </v:shape>
        </w:pict>
      </w:r>
      <w:r>
        <w:rPr>
          <w:sz w:val="16"/>
        </w:rPr>
        <w:t>1500</w:t>
      </w:r>
    </w:p>
    <w:p>
      <w:pPr>
        <w:spacing w:before="43"/>
        <w:ind w:left="0" w:right="0" w:firstLine="0"/>
        <w:jc w:val="right"/>
        <w:rPr>
          <w:sz w:val="16"/>
        </w:rPr>
      </w:pPr>
      <w:r>
        <w:rPr>
          <w:sz w:val="16"/>
        </w:rPr>
        <w:t>1400</w:t>
      </w:r>
    </w:p>
    <w:p>
      <w:pPr>
        <w:spacing w:before="39"/>
        <w:ind w:left="0" w:right="0" w:firstLine="0"/>
        <w:jc w:val="right"/>
        <w:rPr>
          <w:sz w:val="16"/>
        </w:rPr>
      </w:pPr>
      <w:r>
        <w:rPr>
          <w:sz w:val="16"/>
        </w:rPr>
        <w:t>1300</w:t>
      </w:r>
    </w:p>
    <w:p>
      <w:pPr>
        <w:spacing w:before="43"/>
        <w:ind w:left="0" w:right="0" w:firstLine="0"/>
        <w:jc w:val="right"/>
        <w:rPr>
          <w:sz w:val="16"/>
        </w:rPr>
      </w:pPr>
      <w:r>
        <w:rPr>
          <w:sz w:val="16"/>
        </w:rPr>
        <w:t>1200</w:t>
      </w:r>
    </w:p>
    <w:p>
      <w:pPr>
        <w:spacing w:before="39"/>
        <w:ind w:left="0" w:right="0" w:firstLine="0"/>
        <w:jc w:val="right"/>
        <w:rPr>
          <w:sz w:val="16"/>
        </w:rPr>
      </w:pPr>
      <w:r>
        <w:rPr>
          <w:sz w:val="16"/>
        </w:rPr>
        <w:t>1100</w:t>
      </w:r>
    </w:p>
    <w:p>
      <w:pPr>
        <w:spacing w:before="40"/>
        <w:ind w:left="0" w:right="0" w:firstLine="0"/>
        <w:jc w:val="right"/>
        <w:rPr>
          <w:sz w:val="16"/>
        </w:rPr>
      </w:pPr>
      <w:r>
        <w:rPr>
          <w:sz w:val="16"/>
        </w:rPr>
        <w:t>1000</w:t>
      </w:r>
    </w:p>
    <w:p>
      <w:pPr>
        <w:spacing w:before="43"/>
        <w:ind w:left="0" w:right="0" w:firstLine="0"/>
        <w:jc w:val="right"/>
        <w:rPr>
          <w:sz w:val="16"/>
        </w:rPr>
      </w:pPr>
      <w:r>
        <w:rPr>
          <w:sz w:val="16"/>
        </w:rPr>
        <w:t>900</w:t>
      </w:r>
    </w:p>
    <w:p>
      <w:pPr>
        <w:spacing w:before="39"/>
        <w:ind w:left="0" w:right="0" w:firstLine="0"/>
        <w:jc w:val="right"/>
        <w:rPr>
          <w:sz w:val="16"/>
        </w:rPr>
      </w:pPr>
      <w:r>
        <w:rPr>
          <w:sz w:val="16"/>
        </w:rPr>
        <w:t>800</w:t>
      </w:r>
    </w:p>
    <w:p>
      <w:pPr>
        <w:spacing w:before="43"/>
        <w:ind w:left="0" w:right="0" w:firstLine="0"/>
        <w:jc w:val="right"/>
        <w:rPr>
          <w:sz w:val="16"/>
        </w:rPr>
      </w:pPr>
      <w:r>
        <w:rPr>
          <w:sz w:val="16"/>
        </w:rPr>
        <w:t>700</w:t>
      </w:r>
    </w:p>
    <w:p>
      <w:pPr>
        <w:spacing w:before="39"/>
        <w:ind w:left="0" w:right="0" w:firstLine="0"/>
        <w:jc w:val="right"/>
        <w:rPr>
          <w:sz w:val="16"/>
        </w:rPr>
      </w:pPr>
      <w:r>
        <w:rPr>
          <w:sz w:val="16"/>
        </w:rPr>
        <w:t>600</w:t>
      </w:r>
    </w:p>
    <w:p>
      <w:pPr>
        <w:spacing w:before="43"/>
        <w:ind w:left="0" w:right="0" w:firstLine="0"/>
        <w:jc w:val="right"/>
        <w:rPr>
          <w:sz w:val="16"/>
        </w:rPr>
      </w:pPr>
      <w:r>
        <w:rPr>
          <w:sz w:val="16"/>
        </w:rPr>
        <w:t>500</w:t>
      </w:r>
    </w:p>
    <w:p>
      <w:pPr>
        <w:spacing w:before="40"/>
        <w:ind w:left="0" w:right="0" w:firstLine="0"/>
        <w:jc w:val="right"/>
        <w:rPr>
          <w:sz w:val="16"/>
        </w:rPr>
      </w:pPr>
      <w:r>
        <w:rPr>
          <w:sz w:val="16"/>
        </w:rPr>
        <w:t>400</w:t>
      </w:r>
    </w:p>
    <w:p>
      <w:pPr>
        <w:spacing w:before="43"/>
        <w:ind w:left="0" w:right="0" w:firstLine="0"/>
        <w:jc w:val="right"/>
        <w:rPr>
          <w:sz w:val="16"/>
        </w:rPr>
      </w:pPr>
      <w:r>
        <w:rPr>
          <w:sz w:val="16"/>
        </w:rPr>
        <w:t>300</w:t>
      </w:r>
    </w:p>
    <w:p>
      <w:pPr>
        <w:spacing w:before="39"/>
        <w:ind w:left="0" w:right="0" w:firstLine="0"/>
        <w:jc w:val="right"/>
        <w:rPr>
          <w:sz w:val="16"/>
        </w:rPr>
      </w:pPr>
      <w:r>
        <w:rPr>
          <w:sz w:val="16"/>
        </w:rPr>
        <w:t>200</w:t>
      </w:r>
    </w:p>
    <w:p>
      <w:pPr>
        <w:spacing w:before="69"/>
        <w:ind w:left="1941" w:right="0" w:firstLine="0"/>
        <w:jc w:val="left"/>
        <w:rPr>
          <w:sz w:val="23"/>
        </w:rPr>
      </w:pPr>
      <w:r>
        <w:rPr/>
        <w:br w:type="column"/>
      </w:r>
      <w:r>
        <w:rPr>
          <w:spacing w:val="-1"/>
          <w:sz w:val="23"/>
        </w:rPr>
        <w:t>Striking</w:t>
      </w:r>
      <w:r>
        <w:rPr>
          <w:spacing w:val="-14"/>
          <w:sz w:val="23"/>
        </w:rPr>
        <w:t> </w:t>
      </w:r>
      <w:r>
        <w:rPr>
          <w:spacing w:val="-1"/>
          <w:sz w:val="23"/>
        </w:rPr>
        <w:t>Velocity,</w:t>
      </w:r>
      <w:r>
        <w:rPr>
          <w:spacing w:val="-10"/>
          <w:sz w:val="23"/>
        </w:rPr>
        <w:t> </w:t>
      </w:r>
      <w:r>
        <w:rPr>
          <w:spacing w:val="-1"/>
          <w:sz w:val="23"/>
        </w:rPr>
        <w:t>V</w:t>
      </w:r>
      <w:r>
        <w:rPr>
          <w:spacing w:val="-1"/>
          <w:position w:val="-6"/>
          <w:sz w:val="20"/>
        </w:rPr>
        <w:t>s</w:t>
      </w:r>
      <w:r>
        <w:rPr>
          <w:spacing w:val="1"/>
          <w:position w:val="-6"/>
          <w:sz w:val="20"/>
        </w:rPr>
        <w:t> </w:t>
      </w:r>
      <w:r>
        <w:rPr>
          <w:spacing w:val="-1"/>
          <w:sz w:val="23"/>
        </w:rPr>
        <w:t>(m/s)</w:t>
      </w:r>
    </w:p>
    <w:p>
      <w:pPr>
        <w:spacing w:before="50"/>
        <w:ind w:left="223" w:right="0" w:firstLine="0"/>
        <w:jc w:val="left"/>
        <w:rPr>
          <w:sz w:val="16"/>
        </w:rPr>
      </w:pPr>
      <w:r>
        <w:rPr>
          <w:sz w:val="16"/>
        </w:rPr>
        <w:t>450  </w:t>
      </w:r>
      <w:r>
        <w:rPr>
          <w:spacing w:val="36"/>
          <w:sz w:val="16"/>
        </w:rPr>
        <w:t> </w:t>
      </w:r>
      <w:r>
        <w:rPr>
          <w:sz w:val="16"/>
        </w:rPr>
        <w:t>480  </w:t>
      </w:r>
      <w:r>
        <w:rPr>
          <w:spacing w:val="37"/>
          <w:sz w:val="16"/>
        </w:rPr>
        <w:t> </w:t>
      </w:r>
      <w:r>
        <w:rPr>
          <w:sz w:val="16"/>
        </w:rPr>
        <w:t>510  </w:t>
      </w:r>
      <w:r>
        <w:rPr>
          <w:spacing w:val="36"/>
          <w:sz w:val="16"/>
        </w:rPr>
        <w:t> </w:t>
      </w:r>
      <w:r>
        <w:rPr>
          <w:sz w:val="16"/>
        </w:rPr>
        <w:t>540  </w:t>
      </w:r>
      <w:r>
        <w:rPr>
          <w:spacing w:val="37"/>
          <w:sz w:val="16"/>
        </w:rPr>
        <w:t> </w:t>
      </w:r>
      <w:r>
        <w:rPr>
          <w:sz w:val="16"/>
        </w:rPr>
        <w:t>570  </w:t>
      </w:r>
      <w:r>
        <w:rPr>
          <w:spacing w:val="37"/>
          <w:sz w:val="16"/>
        </w:rPr>
        <w:t> </w:t>
      </w:r>
      <w:r>
        <w:rPr>
          <w:sz w:val="16"/>
        </w:rPr>
        <w:t>600  </w:t>
      </w:r>
      <w:r>
        <w:rPr>
          <w:spacing w:val="32"/>
          <w:sz w:val="16"/>
        </w:rPr>
        <w:t> </w:t>
      </w:r>
      <w:r>
        <w:rPr>
          <w:sz w:val="16"/>
        </w:rPr>
        <w:t>630  </w:t>
      </w:r>
      <w:r>
        <w:rPr>
          <w:spacing w:val="33"/>
          <w:sz w:val="16"/>
        </w:rPr>
        <w:t> </w:t>
      </w:r>
      <w:r>
        <w:rPr>
          <w:sz w:val="16"/>
        </w:rPr>
        <w:t>660  </w:t>
      </w:r>
      <w:r>
        <w:rPr>
          <w:spacing w:val="37"/>
          <w:sz w:val="16"/>
        </w:rPr>
        <w:t> </w:t>
      </w:r>
      <w:r>
        <w:rPr>
          <w:sz w:val="16"/>
        </w:rPr>
        <w:t>690  </w:t>
      </w:r>
      <w:r>
        <w:rPr>
          <w:spacing w:val="36"/>
          <w:sz w:val="16"/>
        </w:rPr>
        <w:t> </w:t>
      </w:r>
      <w:r>
        <w:rPr>
          <w:sz w:val="16"/>
        </w:rPr>
        <w:t>720  </w:t>
      </w:r>
      <w:r>
        <w:rPr>
          <w:spacing w:val="37"/>
          <w:sz w:val="16"/>
        </w:rPr>
        <w:t> </w:t>
      </w:r>
      <w:r>
        <w:rPr>
          <w:sz w:val="16"/>
        </w:rPr>
        <w:t>750  </w:t>
      </w:r>
      <w:r>
        <w:rPr>
          <w:spacing w:val="37"/>
          <w:sz w:val="16"/>
        </w:rPr>
        <w:t> </w:t>
      </w:r>
      <w:r>
        <w:rPr>
          <w:sz w:val="16"/>
        </w:rPr>
        <w:t>780  </w:t>
      </w:r>
      <w:r>
        <w:rPr>
          <w:spacing w:val="36"/>
          <w:sz w:val="16"/>
        </w:rPr>
        <w:t> </w:t>
      </w:r>
      <w:r>
        <w:rPr>
          <w:sz w:val="16"/>
        </w:rPr>
        <w:t>810  </w:t>
      </w:r>
      <w:r>
        <w:rPr>
          <w:spacing w:val="37"/>
          <w:sz w:val="16"/>
        </w:rPr>
        <w:t> </w:t>
      </w:r>
      <w:r>
        <w:rPr>
          <w:sz w:val="16"/>
        </w:rPr>
        <w:t>840  </w:t>
      </w:r>
      <w:r>
        <w:rPr>
          <w:spacing w:val="33"/>
          <w:sz w:val="16"/>
        </w:rPr>
        <w:t> </w:t>
      </w:r>
      <w:r>
        <w:rPr>
          <w:sz w:val="16"/>
        </w:rPr>
        <w:t>870  </w:t>
      </w:r>
      <w:r>
        <w:rPr>
          <w:spacing w:val="32"/>
          <w:sz w:val="16"/>
        </w:rPr>
        <w:t> </w:t>
      </w:r>
      <w:r>
        <w:rPr>
          <w:sz w:val="16"/>
        </w:rPr>
        <w:t>900</w:t>
      </w:r>
    </w:p>
    <w:p>
      <w:pPr>
        <w:pStyle w:val="BodyText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rPr>
          <w:sz w:val="18"/>
        </w:rPr>
      </w:pPr>
    </w:p>
    <w:p>
      <w:pPr>
        <w:pStyle w:val="BodyText"/>
        <w:spacing w:before="8"/>
        <w:rPr>
          <w:sz w:val="26"/>
        </w:rPr>
      </w:pPr>
    </w:p>
    <w:p>
      <w:pPr>
        <w:spacing w:before="0"/>
        <w:ind w:left="118" w:right="0" w:firstLine="0"/>
        <w:jc w:val="left"/>
        <w:rPr>
          <w:sz w:val="16"/>
        </w:rPr>
      </w:pPr>
      <w:r>
        <w:rPr/>
        <w:pict>
          <v:group style="position:absolute;margin-left:161.419159pt;margin-top:.626203pt;width:323.2pt;height:181.05pt;mso-position-horizontal-relative:page;mso-position-vertical-relative:paragraph;z-index:15846912" coordorigin="3228,13" coordsize="6464,3621">
            <v:rect style="position:absolute;left:3239;top:23;width:6442;height:3599" filled="false" stroked="true" strokeweight="1.080777pt" strokecolor="#000000">
              <v:stroke dashstyle="solid"/>
            </v:rect>
            <v:line style="position:absolute" from="3643,3622" to="3643,3518" stroked="true" strokeweight=".900716pt" strokecolor="#000000">
              <v:stroke dashstyle="solid"/>
            </v:line>
            <v:line style="position:absolute" from="4046,3622" to="4046,3518" stroked="true" strokeweight=".900716pt" strokecolor="#000000">
              <v:stroke dashstyle="solid"/>
            </v:line>
            <v:line style="position:absolute" from="4450,3622" to="4450,3518" stroked="true" strokeweight=".900716pt" strokecolor="#000000">
              <v:stroke dashstyle="solid"/>
            </v:line>
            <v:line style="position:absolute" from="4850,3622" to="4850,3518" stroked="true" strokeweight=".900716pt" strokecolor="#000000">
              <v:stroke dashstyle="solid"/>
            </v:line>
            <v:line style="position:absolute" from="5253,3622" to="5253,3518" stroked="true" strokeweight=".900716pt" strokecolor="#000000">
              <v:stroke dashstyle="solid"/>
            </v:line>
            <v:line style="position:absolute" from="5657,3622" to="5657,3518" stroked="true" strokeweight=".900716pt" strokecolor="#000000">
              <v:stroke dashstyle="solid"/>
            </v:line>
            <v:line style="position:absolute" from="6060,3622" to="6060,3518" stroked="true" strokeweight=".900716pt" strokecolor="#000000">
              <v:stroke dashstyle="solid"/>
            </v:line>
            <v:line style="position:absolute" from="6460,3622" to="6460,3518" stroked="true" strokeweight=".900716pt" strokecolor="#000000">
              <v:stroke dashstyle="solid"/>
            </v:line>
            <v:line style="position:absolute" from="6864,3622" to="6864,3518" stroked="true" strokeweight=".900716pt" strokecolor="#000000">
              <v:stroke dashstyle="solid"/>
            </v:line>
            <v:line style="position:absolute" from="7267,3622" to="7267,3518" stroked="true" strokeweight=".900716pt" strokecolor="#000000">
              <v:stroke dashstyle="solid"/>
            </v:line>
            <v:line style="position:absolute" from="7671,3622" to="7671,3518" stroked="true" strokeweight=".900716pt" strokecolor="#000000">
              <v:stroke dashstyle="solid"/>
            </v:line>
            <v:line style="position:absolute" from="8071,3622" to="8071,3518" stroked="true" strokeweight=".900716pt" strokecolor="#000000">
              <v:stroke dashstyle="solid"/>
            </v:line>
            <v:line style="position:absolute" from="8474,3622" to="8474,3518" stroked="true" strokeweight=".900716pt" strokecolor="#000000">
              <v:stroke dashstyle="solid"/>
            </v:line>
            <v:line style="position:absolute" from="8878,3622" to="8878,3518" stroked="true" strokeweight=".900716pt" strokecolor="#000000">
              <v:stroke dashstyle="solid"/>
            </v:line>
            <v:line style="position:absolute" from="9281,3622" to="9281,3518" stroked="true" strokeweight=".900716pt" strokecolor="#000000">
              <v:stroke dashstyle="solid"/>
            </v:line>
            <v:line style="position:absolute" from="3549,23" to="3549,128" stroked="true" strokeweight=".900716pt" strokecolor="#000000">
              <v:stroke dashstyle="solid"/>
            </v:line>
            <v:line style="position:absolute" from="3945,23" to="3945,128" stroked="true" strokeweight=".900716pt" strokecolor="#000000">
              <v:stroke dashstyle="solid"/>
            </v:line>
            <v:line style="position:absolute" from="4342,23" to="4342,128" stroked="true" strokeweight=".900716pt" strokecolor="#000000">
              <v:stroke dashstyle="solid"/>
            </v:line>
            <v:line style="position:absolute" from="4738,23" to="4738,128" stroked="true" strokeweight=".900716pt" strokecolor="#000000">
              <v:stroke dashstyle="solid"/>
            </v:line>
            <v:line style="position:absolute" from="5134,23" to="5134,128" stroked="true" strokeweight=".900716pt" strokecolor="#000000">
              <v:stroke dashstyle="solid"/>
            </v:line>
            <v:line style="position:absolute" from="5531,23" to="5531,128" stroked="true" strokeweight=".900716pt" strokecolor="#000000">
              <v:stroke dashstyle="solid"/>
            </v:line>
            <v:line style="position:absolute" from="5923,23" to="5923,128" stroked="true" strokeweight=".900716pt" strokecolor="#000000">
              <v:stroke dashstyle="solid"/>
            </v:line>
            <v:line style="position:absolute" from="6323,23" to="6323,128" stroked="true" strokeweight=".900716pt" strokecolor="#000000">
              <v:stroke dashstyle="solid"/>
            </v:line>
            <v:line style="position:absolute" from="6720,23" to="6720,128" stroked="true" strokeweight=".900716pt" strokecolor="#000000">
              <v:stroke dashstyle="solid"/>
            </v:line>
            <v:line style="position:absolute" from="7116,23" to="7116,128" stroked="true" strokeweight=".900716pt" strokecolor="#000000">
              <v:stroke dashstyle="solid"/>
            </v:line>
            <v:line style="position:absolute" from="7512,23" to="7512,128" stroked="true" strokeweight=".900716pt" strokecolor="#000000">
              <v:stroke dashstyle="solid"/>
            </v:line>
            <v:line style="position:absolute" from="7908,23" to="7908,128" stroked="true" strokeweight=".900716pt" strokecolor="#000000">
              <v:stroke dashstyle="solid"/>
            </v:line>
            <v:line style="position:absolute" from="8305,23" to="8305,128" stroked="true" strokeweight=".900716pt" strokecolor="#000000">
              <v:stroke dashstyle="solid"/>
            </v:line>
            <v:line style="position:absolute" from="8701,23" to="8701,128" stroked="true" strokeweight=".900716pt" strokecolor="#000000">
              <v:stroke dashstyle="solid"/>
            </v:line>
            <v:line style="position:absolute" from="9097,23" to="9097,128" stroked="true" strokeweight=".900716pt" strokecolor="#000000">
              <v:stroke dashstyle="solid"/>
            </v:line>
            <v:line style="position:absolute" from="9494,23" to="9494,128" stroked="true" strokeweight=".900716pt" strokecolor="#000000">
              <v:stroke dashstyle="solid"/>
            </v:line>
            <v:line style="position:absolute" from="3239,3399" to="3372,3399" stroked="true" strokeweight=".900626pt" strokecolor="#000000">
              <v:stroke dashstyle="solid"/>
            </v:line>
            <v:line style="position:absolute" from="3239,3172" to="3372,3172" stroked="true" strokeweight=".900626pt" strokecolor="#000000">
              <v:stroke dashstyle="solid"/>
            </v:line>
            <v:line style="position:absolute" from="3239,2949" to="3372,2949" stroked="true" strokeweight=".900626pt" strokecolor="#000000">
              <v:stroke dashstyle="solid"/>
            </v:line>
            <v:line style="position:absolute" from="3239,2722" to="3372,2722" stroked="true" strokeweight=".900626pt" strokecolor="#000000">
              <v:stroke dashstyle="solid"/>
            </v:line>
            <v:line style="position:absolute" from="3239,2498" to="3372,2498" stroked="true" strokeweight=".900626pt" strokecolor="#000000">
              <v:stroke dashstyle="solid"/>
            </v:line>
            <v:line style="position:absolute" from="3239,2275" to="3372,2275" stroked="true" strokeweight=".900626pt" strokecolor="#000000">
              <v:stroke dashstyle="solid"/>
            </v:line>
            <v:line style="position:absolute" from="3239,2048" to="3372,2048" stroked="true" strokeweight=".900626pt" strokecolor="#000000">
              <v:stroke dashstyle="solid"/>
            </v:line>
            <v:line style="position:absolute" from="3239,1825" to="3372,1825" stroked="true" strokeweight=".900626pt" strokecolor="#000000">
              <v:stroke dashstyle="solid"/>
            </v:line>
            <v:line style="position:absolute" from="3239,1598" to="3372,1598" stroked="true" strokeweight=".900626pt" strokecolor="#000000">
              <v:stroke dashstyle="solid"/>
            </v:line>
            <v:line style="position:absolute" from="3239,1374" to="3372,1374" stroked="true" strokeweight=".900626pt" strokecolor="#000000">
              <v:stroke dashstyle="solid"/>
            </v:line>
            <v:line style="position:absolute" from="3239,1147" to="3372,1147" stroked="true" strokeweight=".900626pt" strokecolor="#000000">
              <v:stroke dashstyle="solid"/>
            </v:line>
            <v:line style="position:absolute" from="3239,924" to="3372,924" stroked="true" strokeweight=".900626pt" strokecolor="#000000">
              <v:stroke dashstyle="solid"/>
            </v:line>
            <v:line style="position:absolute" from="3239,697" to="3372,697" stroked="true" strokeweight=".900626pt" strokecolor="#000000">
              <v:stroke dashstyle="solid"/>
            </v:line>
            <v:line style="position:absolute" from="3239,474" to="3372,474" stroked="true" strokeweight=".900626pt" strokecolor="#000000">
              <v:stroke dashstyle="solid"/>
            </v:line>
            <v:line style="position:absolute" from="3239,247" to="3372,247" stroked="true" strokeweight=".900626pt" strokecolor="#000000">
              <v:stroke dashstyle="solid"/>
            </v:line>
            <v:line style="position:absolute" from="9681,3410" to="9551,3410" stroked="true" strokeweight=".900626pt" strokecolor="#000000">
              <v:stroke dashstyle="solid"/>
            </v:line>
            <v:line style="position:absolute" from="9681,3186" to="9551,3186" stroked="true" strokeweight=".900626pt" strokecolor="#000000">
              <v:stroke dashstyle="solid"/>
            </v:line>
            <v:line style="position:absolute" from="9681,2967" to="9551,2967" stroked="true" strokeweight=".900626pt" strokecolor="#000000">
              <v:stroke dashstyle="solid"/>
            </v:line>
            <v:line style="position:absolute" from="9681,2743" to="9551,2743" stroked="true" strokeweight=".900626pt" strokecolor="#000000">
              <v:stroke dashstyle="solid"/>
            </v:line>
            <v:line style="position:absolute" from="9681,2523" to="9551,2523" stroked="true" strokeweight=".900626pt" strokecolor="#000000">
              <v:stroke dashstyle="solid"/>
            </v:line>
            <v:line style="position:absolute" from="9681,2300" to="9551,2300" stroked="true" strokeweight=".900626pt" strokecolor="#000000">
              <v:stroke dashstyle="solid"/>
            </v:line>
            <v:line style="position:absolute" from="9681,2080" to="9551,2080" stroked="true" strokeweight=".900626pt" strokecolor="#000000">
              <v:stroke dashstyle="solid"/>
            </v:line>
            <v:line style="position:absolute" from="9681,1857" to="9551,1857" stroked="true" strokeweight=".900626pt" strokecolor="#000000">
              <v:stroke dashstyle="solid"/>
            </v:line>
            <v:line style="position:absolute" from="9681,1637" to="9551,1637" stroked="true" strokeweight=".900626pt" strokecolor="#000000">
              <v:stroke dashstyle="solid"/>
            </v:line>
            <v:line style="position:absolute" from="9681,1414" to="9551,1414" stroked="true" strokeweight=".900626pt" strokecolor="#000000">
              <v:stroke dashstyle="solid"/>
            </v:line>
            <v:line style="position:absolute" from="9681,1194" to="9551,1194" stroked="true" strokeweight=".900626pt" strokecolor="#000000">
              <v:stroke dashstyle="solid"/>
            </v:line>
            <v:line style="position:absolute" from="9681,974" to="9551,974" stroked="true" strokeweight=".900626pt" strokecolor="#000000">
              <v:stroke dashstyle="solid"/>
            </v:line>
            <v:line style="position:absolute" from="9681,751" to="9551,751" stroked="true" strokeweight=".900626pt" strokecolor="#000000">
              <v:stroke dashstyle="solid"/>
            </v:line>
            <v:line style="position:absolute" from="9681,531" to="9551,531" stroked="true" strokeweight=".900626pt" strokecolor="#000000">
              <v:stroke dashstyle="solid"/>
            </v:line>
            <v:line style="position:absolute" from="9681,308" to="9551,308" stroked="true" strokeweight=".900626pt" strokecolor="#000000">
              <v:stroke dashstyle="solid"/>
            </v:line>
            <v:line style="position:absolute" from="9681,88" to="9551,88" stroked="true" strokeweight=".900626pt" strokecolor="#000000">
              <v:stroke dashstyle="solid"/>
            </v:line>
            <v:shape style="position:absolute;left:4838;top:3016;width:73;height:58" coordorigin="4839,3017" coordsize="73,58" path="m4875,3075l4839,3046,4875,3017,4911,3046,4875,3075xe" filled="true" fillcolor="#ff0000" stroked="false">
              <v:path arrowok="t"/>
              <v:fill type="solid"/>
            </v:shape>
            <v:shape style="position:absolute;left:4838;top:3016;width:73;height:58" coordorigin="4839,3017" coordsize="73,58" path="m4875,3017l4911,3046,4875,3075,4839,3046,4875,3017xe" filled="false" stroked="true" strokeweight="1.080793pt" strokecolor="#ff0000">
              <v:path arrowok="t"/>
              <v:stroke dashstyle="solid"/>
            </v:shape>
            <v:shape style="position:absolute;left:5862;top:1943;width:73;height:58" coordorigin="5862,1943" coordsize="73,58" path="m5898,2001l5862,1972,5898,1943,5934,1972,5898,2001xe" filled="true" fillcolor="#ff0000" stroked="false">
              <v:path arrowok="t"/>
              <v:fill type="solid"/>
            </v:shape>
            <v:shape style="position:absolute;left:5862;top:1943;width:73;height:58" coordorigin="5862,1943" coordsize="73,58" path="m5898,1943l5934,1972,5898,2001,5862,1972,5898,1943xe" filled="false" stroked="true" strokeweight="1.080793pt" strokecolor="#ff0000">
              <v:path arrowok="t"/>
              <v:stroke dashstyle="solid"/>
            </v:shape>
            <v:shape style="position:absolute;left:7742;top:1305;width:73;height:55" coordorigin="7743,1306" coordsize="73,55" path="m7779,1360l7743,1331,7779,1306,7815,1331,7779,1360xe" filled="true" fillcolor="#ff0000" stroked="false">
              <v:path arrowok="t"/>
              <v:fill type="solid"/>
            </v:shape>
            <v:shape style="position:absolute;left:7742;top:1305;width:73;height:55" coordorigin="7743,1306" coordsize="73,55" path="m7779,1306l7815,1331,7779,1360,7743,1331,7779,1306xe" filled="false" stroked="true" strokeweight="1.080790pt" strokecolor="#ff0000">
              <v:path arrowok="t"/>
              <v:stroke dashstyle="solid"/>
            </v:shape>
            <v:shape style="position:absolute;left:7123;top:1471;width:73;height:58" coordorigin="7123,1471" coordsize="73,58" path="m7159,1529l7123,1500,7159,1471,7195,1500,7159,1529xe" filled="true" fillcolor="#ff0000" stroked="false">
              <v:path arrowok="t"/>
              <v:fill type="solid"/>
            </v:shape>
            <v:shape style="position:absolute;left:7123;top:1471;width:73;height:58" coordorigin="7123,1471" coordsize="73,58" path="m7159,1471l7195,1500,7159,1529,7123,1500,7159,1471xe" filled="false" stroked="true" strokeweight="1.080793pt" strokecolor="#ff0000">
              <v:path arrowok="t"/>
              <v:stroke dashstyle="solid"/>
            </v:shape>
            <v:shape style="position:absolute;left:7339;top:1608;width:73;height:58" coordorigin="7339,1608" coordsize="73,58" path="m7375,1666l7339,1637,7375,1608,7411,1637,7375,1666xe" filled="true" fillcolor="#ff0000" stroked="false">
              <v:path arrowok="t"/>
              <v:fill type="solid"/>
            </v:shape>
            <v:shape style="position:absolute;left:7339;top:1608;width:73;height:58" coordorigin="7339,1608" coordsize="73,58" path="m7375,1608l7411,1637,7375,1666,7339,1637,7375,1608xe" filled="false" stroked="true" strokeweight="1.080793pt" strokecolor="#ff0000">
              <v:path arrowok="t"/>
              <v:stroke dashstyle="solid"/>
            </v:shape>
            <v:shape style="position:absolute;left:7721;top:1287;width:73;height:58" coordorigin="7721,1288" coordsize="73,58" path="m7757,1345l7721,1317,7757,1288,7793,1317,7757,1345xe" filled="true" fillcolor="#ff0000" stroked="false">
              <v:path arrowok="t"/>
              <v:fill type="solid"/>
            </v:shape>
            <v:shape style="position:absolute;left:7721;top:1287;width:73;height:58" coordorigin="7721,1288" coordsize="73,58" path="m7757,1288l7793,1317,7757,1345,7721,1317,7757,1288xe" filled="false" stroked="true" strokeweight="1.080793pt" strokecolor="#ff0000">
              <v:path arrowok="t"/>
              <v:stroke dashstyle="solid"/>
            </v:shape>
            <v:shape style="position:absolute;left:7890;top:1413;width:73;height:58" coordorigin="7890,1414" coordsize="73,58" path="m7927,1471l7890,1443,7927,1414,7963,1443,7927,1471xe" filled="true" fillcolor="#ff0000" stroked="false">
              <v:path arrowok="t"/>
              <v:fill type="solid"/>
            </v:shape>
            <v:shape style="position:absolute;left:7890;top:1413;width:73;height:58" coordorigin="7890,1414" coordsize="73,58" path="m7927,1414l7963,1443,7927,1471,7890,1443,7927,1414xe" filled="false" stroked="true" strokeweight="1.080793pt" strokecolor="#ff0000">
              <v:path arrowok="t"/>
              <v:stroke dashstyle="solid"/>
            </v:shape>
            <v:shape style="position:absolute;left:8164;top:1064;width:73;height:58" coordorigin="8164,1064" coordsize="73,58" path="m8200,1122l8164,1093,8200,1064,8236,1093,8200,1122xe" filled="true" fillcolor="#ff0000" stroked="false">
              <v:path arrowok="t"/>
              <v:fill type="solid"/>
            </v:shape>
            <v:shape style="position:absolute;left:8164;top:1064;width:73;height:58" coordorigin="8164,1064" coordsize="73,58" path="m8200,1064l8236,1093,8200,1122,8164,1093,8200,1064xe" filled="false" stroked="true" strokeweight="1.080793pt" strokecolor="#ff0000">
              <v:path arrowok="t"/>
              <v:stroke dashstyle="solid"/>
            </v:shape>
            <v:shape style="position:absolute;left:5166;top:2775;width:76;height:58" coordorigin="5167,2776" coordsize="76,58" path="m5206,2833l5167,2804,5206,2776,5242,2804,5206,2833xe" filled="true" fillcolor="#ff0000" stroked="false">
              <v:path arrowok="t"/>
              <v:fill type="solid"/>
            </v:shape>
            <v:shape style="position:absolute;left:5166;top:2775;width:76;height:58" coordorigin="5167,2776" coordsize="76,58" path="m5206,2776l5242,2804,5206,2833,5167,2804,5206,2776xe" filled="false" stroked="true" strokeweight="1.080791pt" strokecolor="#ff0000">
              <v:path arrowok="t"/>
              <v:stroke dashstyle="solid"/>
            </v:shape>
            <v:shape style="position:absolute;left:8146;top:1183;width:73;height:58" coordorigin="8146,1183" coordsize="73,58" path="m8182,1241l8146,1212,8182,1183,8218,1212,8182,1241xe" filled="true" fillcolor="#99ccff" stroked="false">
              <v:path arrowok="t"/>
              <v:fill type="solid"/>
            </v:shape>
            <v:shape style="position:absolute;left:8146;top:1183;width:73;height:58" coordorigin="8146,1183" coordsize="73,58" path="m8182,1183l8218,1212,8182,1241,8146,1212,8182,1183xe" filled="false" stroked="true" strokeweight="1.080793pt" strokecolor="#99ccff">
              <v:path arrowok="t"/>
              <v:stroke dashstyle="solid"/>
            </v:shape>
            <v:shape style="position:absolute;left:7389;top:1100;width:76;height:55" coordorigin="7390,1100" coordsize="76,55" path="m7426,1154l7390,1129,7426,1100,7465,1129,7426,1154xe" filled="true" fillcolor="#99ccff" stroked="false">
              <v:path arrowok="t"/>
              <v:fill type="solid"/>
            </v:shape>
            <v:shape style="position:absolute;left:7389;top:1100;width:76;height:55" coordorigin="7390,1100" coordsize="76,55" path="m7426,1100l7465,1129,7426,1154,7390,1129,7426,1100xe" filled="false" stroked="true" strokeweight="1.080788pt" strokecolor="#99ccff">
              <v:path arrowok="t"/>
              <v:stroke dashstyle="solid"/>
            </v:shape>
            <v:shape style="position:absolute;left:8063;top:1031;width:73;height:58" coordorigin="8063,1032" coordsize="73,58" path="m8099,1090l8063,1061,8099,1032,8135,1061,8099,1090xe" filled="true" fillcolor="#99ccff" stroked="false">
              <v:path arrowok="t"/>
              <v:fill type="solid"/>
            </v:shape>
            <v:shape style="position:absolute;left:8063;top:1031;width:73;height:58" coordorigin="8063,1032" coordsize="73,58" path="m8099,1032l8135,1061,8099,1090,8063,1061,8099,1032xe" filled="false" stroked="true" strokeweight="1.080793pt" strokecolor="#99ccff">
              <v:path arrowok="t"/>
              <v:stroke dashstyle="solid"/>
            </v:shape>
            <v:shape style="position:absolute;left:7450;top:1460;width:73;height:55" coordorigin="7451,1461" coordsize="73,55" path="m7487,1515l7451,1490,7487,1461,7523,1490,7487,1515xe" filled="true" fillcolor="#99ccff" stroked="false">
              <v:path arrowok="t"/>
              <v:fill type="solid"/>
            </v:shape>
            <v:shape style="position:absolute;left:7450;top:1460;width:73;height:55" coordorigin="7451,1461" coordsize="73,55" path="m7487,1461l7523,1490,7487,1515,7451,1490,7487,1461xe" filled="false" stroked="true" strokeweight="1.080790pt" strokecolor="#99ccff">
              <v:path arrowok="t"/>
              <v:stroke dashstyle="solid"/>
            </v:shape>
            <v:shape style="position:absolute;left:7184;top:1248;width:76;height:58" coordorigin="7184,1248" coordsize="76,58" path="m7220,1306l7184,1277,7220,1248,7260,1277,7220,1306xe" filled="true" fillcolor="#99ccff" stroked="false">
              <v:path arrowok="t"/>
              <v:fill type="solid"/>
            </v:shape>
            <v:shape style="position:absolute;left:7184;top:1248;width:76;height:58" coordorigin="7184,1248" coordsize="76,58" path="m7220,1248l7260,1277,7220,1306,7184,1277,7220,1248xe" filled="false" stroked="true" strokeweight="1.080791pt" strokecolor="#99ccff">
              <v:path arrowok="t"/>
              <v:stroke dashstyle="solid"/>
            </v:shape>
            <v:shape style="position:absolute;left:7649;top:1471;width:73;height:58" coordorigin="7649,1471" coordsize="73,58" path="m7685,1529l7649,1500,7685,1471,7721,1500,7685,1529xe" filled="true" fillcolor="#0000ff" stroked="false">
              <v:path arrowok="t"/>
              <v:fill type="solid"/>
            </v:shape>
            <v:shape style="position:absolute;left:7649;top:1471;width:73;height:58" coordorigin="7649,1471" coordsize="73,58" path="m7685,1471l7721,1500,7685,1529,7649,1500,7685,1471xe" filled="false" stroked="true" strokeweight="1.080793pt" strokecolor="#0000ff">
              <v:path arrowok="t"/>
              <v:stroke dashstyle="solid"/>
            </v:shape>
            <v:shape style="position:absolute;left:9140;top:325;width:73;height:58" coordorigin="9141,326" coordsize="73,58" path="m9177,384l9141,355,9177,326,9213,355,9177,384xe" filled="true" fillcolor="#0000ff" stroked="false">
              <v:path arrowok="t"/>
              <v:fill type="solid"/>
            </v:shape>
            <v:shape style="position:absolute;left:9140;top:325;width:73;height:58" coordorigin="9141,326" coordsize="73,58" path="m9177,326l9213,355,9177,384,9141,355,9177,326xe" filled="false" stroked="true" strokeweight="1.080793pt" strokecolor="#0000ff">
              <v:path arrowok="t"/>
              <v:stroke dashstyle="solid"/>
            </v:shape>
            <v:shape style="position:absolute;left:7638;top:2372;width:73;height:58" coordorigin="7638,2372" coordsize="73,58" path="m7674,2430l7638,2401,7674,2372,7710,2401,7674,2430xe" filled="true" fillcolor="#0000ff" stroked="false">
              <v:path arrowok="t"/>
              <v:fill type="solid"/>
            </v:shape>
            <v:shape style="position:absolute;left:7638;top:2372;width:73;height:58" coordorigin="7638,2372" coordsize="73,58" path="m7674,2372l7710,2401,7674,2430,7638,2401,7674,2372xe" filled="false" stroked="true" strokeweight="1.080793pt" strokecolor="#0000ff">
              <v:path arrowok="t"/>
              <v:stroke dashstyle="solid"/>
            </v:shape>
            <v:shape style="position:absolute;left:7814;top:1467;width:73;height:55" coordorigin="7815,1468" coordsize="73,55" path="m7851,1522l7815,1493,7851,1468,7887,1493,7851,1522xe" filled="true" fillcolor="#0000ff" stroked="false">
              <v:path arrowok="t"/>
              <v:fill type="solid"/>
            </v:shape>
            <v:shape style="position:absolute;left:7814;top:1467;width:73;height:55" coordorigin="7815,1468" coordsize="73,55" path="m7851,1468l7887,1493,7851,1522,7815,1493,7851,1468xe" filled="false" stroked="true" strokeweight="1.080790pt" strokecolor="#0000ff">
              <v:path arrowok="t"/>
              <v:stroke dashstyle="solid"/>
            </v:shape>
            <v:shape style="position:absolute;left:6597;top:1759;width:73;height:58" coordorigin="6597,1760" coordsize="73,58" path="m6633,1817l6597,1789,6633,1760,6669,1789,6633,1817xe" filled="true" fillcolor="#0000ff" stroked="false">
              <v:path arrowok="t"/>
              <v:fill type="solid"/>
            </v:shape>
            <v:shape style="position:absolute;left:6597;top:1759;width:73;height:58" coordorigin="6597,1760" coordsize="73,58" path="m6633,1760l6669,1789,6633,1817,6597,1789,6633,1760xe" filled="false" stroked="true" strokeweight="1.080793pt" strokecolor="#0000ff">
              <v:path arrowok="t"/>
              <v:stroke dashstyle="solid"/>
            </v:shape>
            <v:shape style="position:absolute;left:7742;top:758;width:73;height:58" coordorigin="7743,758" coordsize="73,58" path="m7779,816l7743,787,7779,758,7815,787,7779,816xe" filled="true" fillcolor="#0000ff" stroked="false">
              <v:path arrowok="t"/>
              <v:fill type="solid"/>
            </v:shape>
            <v:shape style="position:absolute;left:7742;top:758;width:73;height:58" coordorigin="7743,758" coordsize="73,58" path="m7779,758l7815,787,7779,816,7743,787,7779,758xe" filled="false" stroked="true" strokeweight="1.080793pt" strokecolor="#0000ff">
              <v:path arrowok="t"/>
              <v:stroke dashstyle="solid"/>
            </v:shape>
            <v:shape style="position:absolute;left:3480;top:279;width:73;height:58" coordorigin="3481,279" coordsize="73,58" path="m3517,337l3481,308,3517,279,3553,308,3517,337xe" filled="true" fillcolor="#ff0000" stroked="false">
              <v:path arrowok="t"/>
              <v:fill type="solid"/>
            </v:shape>
            <v:shape style="position:absolute;left:3480;top:279;width:73;height:58" coordorigin="3481,279" coordsize="73,58" path="m3517,279l3553,308,3517,337,3481,308,3517,279xe" filled="false" stroked="true" strokeweight="1.080793pt" strokecolor="#ff0000">
              <v:path arrowok="t"/>
              <v:stroke dashstyle="solid"/>
            </v:shape>
            <v:shape style="position:absolute;left:3480;top:534;width:73;height:58" coordorigin="3481,535" coordsize="73,58" path="m3517,592l3481,564,3517,535,3553,564,3517,592xe" filled="true" fillcolor="#99ccff" stroked="false">
              <v:path arrowok="t"/>
              <v:fill type="solid"/>
            </v:shape>
            <v:shape style="position:absolute;left:3480;top:534;width:73;height:58" coordorigin="3481,535" coordsize="73,58" path="m3517,535l3553,564,3517,592,3481,564,3517,535xe" filled="false" stroked="true" strokeweight="1.080793pt" strokecolor="#99ccff">
              <v:path arrowok="t"/>
              <v:stroke dashstyle="solid"/>
            </v:shape>
            <v:shape style="position:absolute;left:3480;top:790;width:73;height:58" coordorigin="3481,791" coordsize="73,58" path="m3517,848l3481,819,3517,791,3553,819,3517,848xe" filled="true" fillcolor="#0000ff" stroked="false">
              <v:path arrowok="t"/>
              <v:fill type="solid"/>
            </v:shape>
            <v:shape style="position:absolute;left:3480;top:790;width:73;height:58" coordorigin="3481,791" coordsize="73,58" path="m3517,791l3553,819,3517,848,3481,819,3517,791xe" filled="false" stroked="true" strokeweight="1.080793pt" strokecolor="#0000ff">
              <v:path arrowok="t"/>
              <v:stroke dashstyle="solid"/>
            </v:shape>
            <v:shape style="position:absolute;left:3228;top:12;width:6464;height:3621" type="#_x0000_t202" filled="false" stroked="false">
              <v:textbox inset="0,0,0,0">
                <w:txbxContent>
                  <w:p>
                    <w:pPr>
                      <w:spacing w:before="191"/>
                      <w:ind w:left="583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Dry</w:t>
                    </w:r>
                    <w:r>
                      <w:rPr>
                        <w:spacing w:val="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SPF-S</w:t>
                    </w:r>
                  </w:p>
                  <w:p>
                    <w:pPr>
                      <w:spacing w:line="266" w:lineRule="auto" w:before="26"/>
                      <w:ind w:left="583" w:right="3261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Fog</w:t>
                    </w:r>
                    <w:r>
                      <w:rPr>
                        <w:spacing w:val="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Room</w:t>
                    </w:r>
                    <w:r>
                      <w:rPr>
                        <w:spacing w:val="-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Exposed</w:t>
                    </w:r>
                    <w:r>
                      <w:rPr>
                        <w:spacing w:val="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SPF-S</w:t>
                    </w:r>
                    <w:r>
                      <w:rPr>
                        <w:spacing w:val="-47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Water</w:t>
                    </w:r>
                    <w:r>
                      <w:rPr>
                        <w:spacing w:val="2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Submerged</w:t>
                    </w:r>
                    <w:r>
                      <w:rPr>
                        <w:spacing w:val="2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SPF-S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16"/>
        </w:rPr>
        <w:t>540</w:t>
      </w:r>
    </w:p>
    <w:p>
      <w:pPr>
        <w:spacing w:before="36"/>
        <w:ind w:left="118" w:right="0" w:firstLine="0"/>
        <w:jc w:val="left"/>
        <w:rPr>
          <w:sz w:val="16"/>
        </w:rPr>
      </w:pPr>
      <w:r>
        <w:rPr>
          <w:sz w:val="16"/>
        </w:rPr>
        <w:t>510</w:t>
      </w:r>
    </w:p>
    <w:p>
      <w:pPr>
        <w:spacing w:before="39"/>
        <w:ind w:left="118" w:right="0" w:firstLine="0"/>
        <w:jc w:val="left"/>
        <w:rPr>
          <w:sz w:val="16"/>
        </w:rPr>
      </w:pPr>
      <w:r>
        <w:rPr/>
        <w:pict>
          <v:shape style="position:absolute;margin-left:504.846985pt;margin-top:10.530455pt;width:16.9pt;height:129.8pt;mso-position-horizontal-relative:page;mso-position-vertical-relative:paragraph;z-index:15848960" type="#_x0000_t202" filled="false" stroked="false">
            <v:textbox inset="0,0,0,0" style="layout-flow:vertical;mso-layout-flow-alt:bottom-to-top">
              <w:txbxContent>
                <w:p>
                  <w:pPr>
                    <w:spacing w:before="10"/>
                    <w:ind w:left="20" w:right="0" w:firstLine="0"/>
                    <w:jc w:val="left"/>
                    <w:rPr>
                      <w:sz w:val="23"/>
                    </w:rPr>
                  </w:pPr>
                  <w:r>
                    <w:rPr>
                      <w:spacing w:val="-1"/>
                      <w:sz w:val="23"/>
                    </w:rPr>
                    <w:t>Residual</w:t>
                  </w:r>
                  <w:r>
                    <w:rPr>
                      <w:spacing w:val="-13"/>
                      <w:sz w:val="23"/>
                    </w:rPr>
                    <w:t> </w:t>
                  </w:r>
                  <w:r>
                    <w:rPr>
                      <w:sz w:val="23"/>
                    </w:rPr>
                    <w:t>Velocity,</w:t>
                  </w:r>
                  <w:r>
                    <w:rPr>
                      <w:spacing w:val="-13"/>
                      <w:sz w:val="23"/>
                    </w:rPr>
                    <w:t> </w:t>
                  </w:r>
                  <w:r>
                    <w:rPr>
                      <w:sz w:val="23"/>
                    </w:rPr>
                    <w:t>V</w:t>
                  </w:r>
                  <w:r>
                    <w:rPr>
                      <w:position w:val="-4"/>
                      <w:sz w:val="17"/>
                    </w:rPr>
                    <w:t>R</w:t>
                  </w:r>
                  <w:r>
                    <w:rPr>
                      <w:spacing w:val="7"/>
                      <w:position w:val="-4"/>
                      <w:sz w:val="17"/>
                    </w:rPr>
                    <w:t> </w:t>
                  </w:r>
                  <w:r>
                    <w:rPr>
                      <w:sz w:val="23"/>
                    </w:rPr>
                    <w:t>(m/s)</w:t>
                  </w:r>
                </w:p>
              </w:txbxContent>
            </v:textbox>
            <w10:wrap type="none"/>
          </v:shape>
        </w:pict>
      </w:r>
      <w:r>
        <w:rPr>
          <w:sz w:val="16"/>
        </w:rPr>
        <w:t>480</w:t>
      </w:r>
    </w:p>
    <w:p>
      <w:pPr>
        <w:spacing w:before="36"/>
        <w:ind w:left="118" w:right="0" w:firstLine="0"/>
        <w:jc w:val="left"/>
        <w:rPr>
          <w:sz w:val="16"/>
        </w:rPr>
      </w:pPr>
      <w:r>
        <w:rPr>
          <w:sz w:val="16"/>
        </w:rPr>
        <w:t>450</w:t>
      </w:r>
    </w:p>
    <w:p>
      <w:pPr>
        <w:spacing w:before="40"/>
        <w:ind w:left="118" w:right="0" w:firstLine="0"/>
        <w:jc w:val="left"/>
        <w:rPr>
          <w:sz w:val="16"/>
        </w:rPr>
      </w:pPr>
      <w:r>
        <w:rPr>
          <w:sz w:val="16"/>
        </w:rPr>
        <w:t>420</w:t>
      </w:r>
    </w:p>
    <w:p>
      <w:pPr>
        <w:spacing w:before="35"/>
        <w:ind w:left="118" w:right="0" w:firstLine="0"/>
        <w:jc w:val="left"/>
        <w:rPr>
          <w:sz w:val="16"/>
        </w:rPr>
      </w:pPr>
      <w:r>
        <w:rPr>
          <w:sz w:val="16"/>
        </w:rPr>
        <w:t>390</w:t>
      </w:r>
    </w:p>
    <w:p>
      <w:pPr>
        <w:spacing w:before="40"/>
        <w:ind w:left="118" w:right="0" w:firstLine="0"/>
        <w:jc w:val="left"/>
        <w:rPr>
          <w:sz w:val="16"/>
        </w:rPr>
      </w:pPr>
      <w:r>
        <w:rPr>
          <w:sz w:val="16"/>
        </w:rPr>
        <w:t>360</w:t>
      </w:r>
    </w:p>
    <w:p>
      <w:pPr>
        <w:spacing w:before="35"/>
        <w:ind w:left="118" w:right="0" w:firstLine="0"/>
        <w:jc w:val="left"/>
        <w:rPr>
          <w:sz w:val="16"/>
        </w:rPr>
      </w:pPr>
      <w:r>
        <w:rPr>
          <w:sz w:val="16"/>
        </w:rPr>
        <w:t>330</w:t>
      </w:r>
    </w:p>
    <w:p>
      <w:pPr>
        <w:spacing w:before="40"/>
        <w:ind w:left="118" w:right="0" w:firstLine="0"/>
        <w:jc w:val="left"/>
        <w:rPr>
          <w:sz w:val="16"/>
        </w:rPr>
      </w:pPr>
      <w:r>
        <w:rPr>
          <w:sz w:val="16"/>
        </w:rPr>
        <w:t>300</w:t>
      </w:r>
    </w:p>
    <w:p>
      <w:pPr>
        <w:spacing w:before="36"/>
        <w:ind w:left="118" w:right="0" w:firstLine="0"/>
        <w:jc w:val="left"/>
        <w:rPr>
          <w:sz w:val="16"/>
        </w:rPr>
      </w:pPr>
      <w:r>
        <w:rPr>
          <w:sz w:val="16"/>
        </w:rPr>
        <w:t>270</w:t>
      </w:r>
    </w:p>
    <w:p>
      <w:pPr>
        <w:spacing w:before="39"/>
        <w:ind w:left="118" w:right="0" w:firstLine="0"/>
        <w:jc w:val="left"/>
        <w:rPr>
          <w:sz w:val="16"/>
        </w:rPr>
      </w:pPr>
      <w:r>
        <w:rPr>
          <w:sz w:val="16"/>
        </w:rPr>
        <w:t>240</w:t>
      </w:r>
    </w:p>
    <w:p>
      <w:pPr>
        <w:spacing w:before="36"/>
        <w:ind w:left="118" w:right="0" w:firstLine="0"/>
        <w:jc w:val="left"/>
        <w:rPr>
          <w:sz w:val="16"/>
        </w:rPr>
      </w:pPr>
      <w:r>
        <w:rPr>
          <w:sz w:val="16"/>
        </w:rPr>
        <w:t>210</w:t>
      </w:r>
    </w:p>
    <w:p>
      <w:pPr>
        <w:spacing w:before="39"/>
        <w:ind w:left="118" w:right="0" w:firstLine="0"/>
        <w:jc w:val="left"/>
        <w:rPr>
          <w:sz w:val="16"/>
        </w:rPr>
      </w:pPr>
      <w:r>
        <w:rPr>
          <w:sz w:val="16"/>
        </w:rPr>
        <w:t>180</w:t>
      </w:r>
    </w:p>
    <w:p>
      <w:pPr>
        <w:spacing w:before="36"/>
        <w:ind w:left="118" w:right="0" w:firstLine="0"/>
        <w:jc w:val="left"/>
        <w:rPr>
          <w:sz w:val="16"/>
        </w:rPr>
      </w:pPr>
      <w:r>
        <w:rPr>
          <w:sz w:val="16"/>
        </w:rPr>
        <w:t>150</w:t>
      </w:r>
    </w:p>
    <w:p>
      <w:pPr>
        <w:spacing w:before="36"/>
        <w:ind w:left="118" w:right="0" w:firstLine="0"/>
        <w:jc w:val="left"/>
        <w:rPr>
          <w:sz w:val="16"/>
        </w:rPr>
      </w:pPr>
      <w:r>
        <w:rPr>
          <w:sz w:val="16"/>
        </w:rPr>
        <w:t>120</w:t>
      </w:r>
    </w:p>
    <w:p>
      <w:pPr>
        <w:spacing w:before="39"/>
        <w:ind w:left="118" w:right="0" w:firstLine="0"/>
        <w:jc w:val="left"/>
        <w:rPr>
          <w:sz w:val="16"/>
        </w:rPr>
      </w:pPr>
      <w:r>
        <w:rPr>
          <w:sz w:val="16"/>
        </w:rPr>
        <w:t>90</w:t>
      </w:r>
    </w:p>
    <w:p>
      <w:pPr>
        <w:spacing w:after="0"/>
        <w:jc w:val="left"/>
        <w:rPr>
          <w:sz w:val="16"/>
        </w:rPr>
        <w:sectPr>
          <w:pgSz w:w="12240" w:h="15840"/>
          <w:pgMar w:header="0" w:footer="1064" w:top="1340" w:bottom="1260" w:left="1720" w:right="1020"/>
          <w:cols w:num="3" w:equalWidth="0">
            <w:col w:w="1437" w:space="40"/>
            <w:col w:w="6410" w:space="39"/>
            <w:col w:w="1574"/>
          </w:cols>
        </w:sectPr>
      </w:pPr>
    </w:p>
    <w:p>
      <w:pPr>
        <w:tabs>
          <w:tab w:pos="806" w:val="left" w:leader="none"/>
          <w:tab w:pos="1610" w:val="left" w:leader="none"/>
          <w:tab w:pos="2417" w:val="left" w:leader="none"/>
          <w:tab w:pos="3220" w:val="left" w:leader="none"/>
          <w:tab w:pos="4027" w:val="left" w:leader="none"/>
          <w:tab w:pos="4831" w:val="left" w:leader="none"/>
          <w:tab w:pos="5638" w:val="left" w:leader="none"/>
          <w:tab w:pos="6445" w:val="left" w:leader="none"/>
        </w:tabs>
        <w:spacing w:before="36"/>
        <w:ind w:left="0" w:right="71" w:firstLine="0"/>
        <w:jc w:val="center"/>
        <w:rPr>
          <w:sz w:val="16"/>
        </w:rPr>
      </w:pPr>
      <w:r>
        <w:rPr>
          <w:sz w:val="16"/>
        </w:rPr>
        <w:t>1400</w:t>
        <w:tab/>
        <w:t>1600</w:t>
        <w:tab/>
        <w:t>1800</w:t>
        <w:tab/>
        <w:t>2000</w:t>
        <w:tab/>
        <w:t>2200</w:t>
        <w:tab/>
        <w:t>2400</w:t>
        <w:tab/>
        <w:t>2600</w:t>
        <w:tab/>
        <w:t>2800</w:t>
        <w:tab/>
        <w:t>3000</w:t>
      </w:r>
    </w:p>
    <w:p>
      <w:pPr>
        <w:spacing w:before="121"/>
        <w:ind w:left="42" w:right="55" w:firstLine="0"/>
        <w:jc w:val="center"/>
        <w:rPr>
          <w:sz w:val="23"/>
        </w:rPr>
      </w:pPr>
      <w:r>
        <w:rPr>
          <w:spacing w:val="-1"/>
          <w:sz w:val="23"/>
        </w:rPr>
        <w:t>Striking</w:t>
      </w:r>
      <w:r>
        <w:rPr>
          <w:spacing w:val="-14"/>
          <w:sz w:val="23"/>
        </w:rPr>
        <w:t> </w:t>
      </w:r>
      <w:r>
        <w:rPr>
          <w:spacing w:val="-1"/>
          <w:sz w:val="23"/>
        </w:rPr>
        <w:t>Velocity,</w:t>
      </w:r>
      <w:r>
        <w:rPr>
          <w:spacing w:val="-10"/>
          <w:sz w:val="23"/>
        </w:rPr>
        <w:t> </w:t>
      </w:r>
      <w:r>
        <w:rPr>
          <w:sz w:val="23"/>
        </w:rPr>
        <w:t>V</w:t>
      </w:r>
      <w:r>
        <w:rPr>
          <w:position w:val="-6"/>
          <w:sz w:val="20"/>
        </w:rPr>
        <w:t>s</w:t>
      </w:r>
      <w:r>
        <w:rPr>
          <w:spacing w:val="1"/>
          <w:position w:val="-6"/>
          <w:sz w:val="20"/>
        </w:rPr>
        <w:t> </w:t>
      </w:r>
      <w:r>
        <w:rPr>
          <w:sz w:val="23"/>
        </w:rPr>
        <w:t>(fps)</w:t>
      </w:r>
    </w:p>
    <w:p>
      <w:pPr>
        <w:spacing w:before="231"/>
        <w:ind w:left="440" w:right="418" w:firstLine="0"/>
        <w:jc w:val="left"/>
        <w:rPr>
          <w:i/>
          <w:sz w:val="24"/>
        </w:rPr>
      </w:pPr>
      <w:bookmarkStart w:name="_bookmark94" w:id="334"/>
      <w:bookmarkEnd w:id="334"/>
      <w:r>
        <w:rPr/>
      </w:r>
      <w:r>
        <w:rPr>
          <w:i/>
          <w:sz w:val="24"/>
        </w:rPr>
        <w:t>Figure</w:t>
      </w:r>
      <w:r>
        <w:rPr>
          <w:i/>
          <w:spacing w:val="25"/>
          <w:sz w:val="24"/>
        </w:rPr>
        <w:t> </w:t>
      </w:r>
      <w:r>
        <w:rPr>
          <w:i/>
          <w:sz w:val="24"/>
        </w:rPr>
        <w:t>5-33.</w:t>
      </w:r>
      <w:r>
        <w:rPr>
          <w:i/>
          <w:spacing w:val="26"/>
          <w:sz w:val="24"/>
        </w:rPr>
        <w:t> </w:t>
      </w:r>
      <w:r>
        <w:rPr>
          <w:i/>
          <w:sz w:val="24"/>
        </w:rPr>
        <w:t>Residual</w:t>
      </w:r>
      <w:r>
        <w:rPr>
          <w:i/>
          <w:spacing w:val="24"/>
          <w:sz w:val="24"/>
        </w:rPr>
        <w:t> </w:t>
      </w:r>
      <w:r>
        <w:rPr>
          <w:i/>
          <w:sz w:val="24"/>
        </w:rPr>
        <w:t>velocity</w:t>
      </w:r>
      <w:r>
        <w:rPr>
          <w:i/>
          <w:spacing w:val="26"/>
          <w:sz w:val="24"/>
        </w:rPr>
        <w:t> </w:t>
      </w:r>
      <w:r>
        <w:rPr>
          <w:i/>
          <w:sz w:val="24"/>
        </w:rPr>
        <w:t>based</w:t>
      </w:r>
      <w:r>
        <w:rPr>
          <w:i/>
          <w:spacing w:val="25"/>
          <w:sz w:val="24"/>
        </w:rPr>
        <w:t> </w:t>
      </w:r>
      <w:r>
        <w:rPr>
          <w:i/>
          <w:sz w:val="24"/>
        </w:rPr>
        <w:t>on</w:t>
      </w:r>
      <w:r>
        <w:rPr>
          <w:i/>
          <w:spacing w:val="26"/>
          <w:sz w:val="24"/>
        </w:rPr>
        <w:t> </w:t>
      </w:r>
      <w:r>
        <w:rPr>
          <w:i/>
          <w:sz w:val="24"/>
        </w:rPr>
        <w:t>striking</w:t>
      </w:r>
      <w:r>
        <w:rPr>
          <w:i/>
          <w:spacing w:val="26"/>
          <w:sz w:val="24"/>
        </w:rPr>
        <w:t> </w:t>
      </w:r>
      <w:r>
        <w:rPr>
          <w:i/>
          <w:sz w:val="24"/>
        </w:rPr>
        <w:t>velocity</w:t>
      </w:r>
      <w:r>
        <w:rPr>
          <w:i/>
          <w:spacing w:val="24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26"/>
          <w:sz w:val="24"/>
        </w:rPr>
        <w:t> </w:t>
      </w:r>
      <w:r>
        <w:rPr>
          <w:i/>
          <w:sz w:val="24"/>
        </w:rPr>
        <w:t>dry</w:t>
      </w:r>
      <w:r>
        <w:rPr>
          <w:i/>
          <w:spacing w:val="25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26"/>
          <w:sz w:val="24"/>
        </w:rPr>
        <w:t> </w:t>
      </w:r>
      <w:r>
        <w:rPr>
          <w:i/>
          <w:sz w:val="24"/>
        </w:rPr>
        <w:t>weathered</w:t>
      </w:r>
      <w:r>
        <w:rPr>
          <w:i/>
          <w:spacing w:val="25"/>
          <w:sz w:val="24"/>
        </w:rPr>
        <w:t> </w:t>
      </w:r>
      <w:r>
        <w:rPr>
          <w:i/>
          <w:sz w:val="24"/>
        </w:rPr>
        <w:t>SPF-S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specimens.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2"/>
        <w:rPr>
          <w:i/>
          <w:sz w:val="17"/>
        </w:rPr>
      </w:pPr>
    </w:p>
    <w:p>
      <w:pPr>
        <w:spacing w:after="0"/>
        <w:rPr>
          <w:sz w:val="17"/>
        </w:rPr>
        <w:sectPr>
          <w:type w:val="continuous"/>
          <w:pgSz w:w="12240" w:h="15840"/>
          <w:pgMar w:top="1380" w:bottom="280" w:left="1720" w:right="1020"/>
        </w:sectPr>
      </w:pP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18"/>
        </w:rPr>
      </w:pPr>
    </w:p>
    <w:p>
      <w:pPr>
        <w:pStyle w:val="BodyText"/>
        <w:rPr>
          <w:i/>
          <w:sz w:val="18"/>
        </w:rPr>
      </w:pPr>
    </w:p>
    <w:p>
      <w:pPr>
        <w:spacing w:before="133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1800</w:t>
      </w:r>
    </w:p>
    <w:p>
      <w:pPr>
        <w:spacing w:before="48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1700</w:t>
      </w:r>
    </w:p>
    <w:p>
      <w:pPr>
        <w:spacing w:before="53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1600</w:t>
      </w:r>
    </w:p>
    <w:p>
      <w:pPr>
        <w:spacing w:before="48"/>
        <w:ind w:left="0" w:right="0" w:firstLine="0"/>
        <w:jc w:val="right"/>
        <w:rPr>
          <w:sz w:val="16"/>
        </w:rPr>
      </w:pPr>
      <w:r>
        <w:rPr/>
        <w:pict>
          <v:shape style="position:absolute;margin-left:114.309151pt;margin-top:5.251095pt;width:17.5pt;height:132.25pt;mso-position-horizontal-relative:page;mso-position-vertical-relative:paragraph;z-index:15847936" type="#_x0000_t202" filled="false" stroked="false">
            <v:textbox inset="0,0,0,0" style="layout-flow:vertical;mso-layout-flow-alt:bottom-to-top">
              <w:txbxContent>
                <w:p>
                  <w:pPr>
                    <w:pStyle w:val="BodyText"/>
                    <w:spacing w:before="10"/>
                    <w:ind w:left="20"/>
                  </w:pPr>
                  <w:r>
                    <w:rPr>
                      <w:spacing w:val="-1"/>
                    </w:rPr>
                    <w:t>Residual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-1"/>
                    </w:rPr>
                    <w:t>Velocity,</w:t>
                  </w:r>
                  <w:r>
                    <w:rPr>
                      <w:spacing w:val="-14"/>
                    </w:rPr>
                    <w:t> </w:t>
                  </w:r>
                  <w:r>
                    <w:rPr/>
                    <w:t>V</w:t>
                  </w:r>
                  <w:r>
                    <w:rPr>
                      <w:position w:val="-5"/>
                      <w:sz w:val="18"/>
                    </w:rPr>
                    <w:t>R</w:t>
                  </w:r>
                  <w:r>
                    <w:rPr>
                      <w:spacing w:val="5"/>
                      <w:position w:val="-5"/>
                      <w:sz w:val="18"/>
                    </w:rPr>
                    <w:t> </w:t>
                  </w:r>
                  <w:r>
                    <w:rPr/>
                    <w:t>(fps)</w:t>
                  </w:r>
                </w:p>
              </w:txbxContent>
            </v:textbox>
            <w10:wrap type="none"/>
          </v:shape>
        </w:pict>
      </w:r>
      <w:r>
        <w:rPr>
          <w:w w:val="105"/>
          <w:sz w:val="16"/>
        </w:rPr>
        <w:t>1500</w:t>
      </w:r>
    </w:p>
    <w:p>
      <w:pPr>
        <w:spacing w:before="52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1400</w:t>
      </w:r>
    </w:p>
    <w:p>
      <w:pPr>
        <w:spacing w:before="49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1300</w:t>
      </w:r>
    </w:p>
    <w:p>
      <w:pPr>
        <w:spacing w:before="52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1200</w:t>
      </w:r>
    </w:p>
    <w:p>
      <w:pPr>
        <w:spacing w:before="49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1100</w:t>
      </w:r>
    </w:p>
    <w:p>
      <w:pPr>
        <w:spacing w:before="49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1000</w:t>
      </w:r>
    </w:p>
    <w:p>
      <w:pPr>
        <w:spacing w:before="52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900</w:t>
      </w:r>
    </w:p>
    <w:p>
      <w:pPr>
        <w:spacing w:before="49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800</w:t>
      </w:r>
    </w:p>
    <w:p>
      <w:pPr>
        <w:spacing w:before="52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700</w:t>
      </w:r>
    </w:p>
    <w:p>
      <w:pPr>
        <w:spacing w:before="49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600</w:t>
      </w:r>
    </w:p>
    <w:p>
      <w:pPr>
        <w:spacing w:before="52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500</w:t>
      </w:r>
    </w:p>
    <w:p>
      <w:pPr>
        <w:spacing w:before="49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400</w:t>
      </w:r>
    </w:p>
    <w:p>
      <w:pPr>
        <w:spacing w:before="52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300</w:t>
      </w:r>
    </w:p>
    <w:p>
      <w:pPr>
        <w:spacing w:before="48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200</w:t>
      </w:r>
    </w:p>
    <w:p>
      <w:pPr>
        <w:pStyle w:val="BodyText"/>
        <w:spacing w:before="90"/>
        <w:ind w:left="1997" w:right="2086"/>
        <w:jc w:val="center"/>
      </w:pPr>
      <w:r>
        <w:rPr/>
        <w:br w:type="column"/>
      </w:r>
      <w:r>
        <w:rPr>
          <w:spacing w:val="-2"/>
        </w:rPr>
        <w:t>Striking</w:t>
      </w:r>
      <w:r>
        <w:rPr>
          <w:spacing w:val="-12"/>
        </w:rPr>
        <w:t> </w:t>
      </w:r>
      <w:r>
        <w:rPr>
          <w:spacing w:val="-2"/>
        </w:rPr>
        <w:t>Velocity,</w:t>
      </w:r>
      <w:r>
        <w:rPr>
          <w:spacing w:val="-8"/>
        </w:rPr>
        <w:t> </w:t>
      </w:r>
      <w:r>
        <w:rPr>
          <w:spacing w:val="-1"/>
        </w:rPr>
        <w:t>V</w:t>
      </w:r>
      <w:r>
        <w:rPr>
          <w:spacing w:val="-1"/>
          <w:position w:val="-7"/>
          <w:sz w:val="21"/>
        </w:rPr>
        <w:t>s</w:t>
      </w:r>
      <w:r>
        <w:rPr>
          <w:spacing w:val="5"/>
          <w:position w:val="-7"/>
          <w:sz w:val="21"/>
        </w:rPr>
        <w:t> </w:t>
      </w:r>
      <w:r>
        <w:rPr>
          <w:spacing w:val="-1"/>
        </w:rPr>
        <w:t>(m/s)</w:t>
      </w:r>
    </w:p>
    <w:p>
      <w:pPr>
        <w:spacing w:before="52"/>
        <w:ind w:left="218" w:right="0" w:firstLine="0"/>
        <w:jc w:val="left"/>
        <w:rPr>
          <w:sz w:val="16"/>
        </w:rPr>
      </w:pPr>
      <w:r>
        <w:rPr>
          <w:w w:val="105"/>
          <w:sz w:val="16"/>
        </w:rPr>
        <w:t>450  </w:t>
      </w:r>
      <w:r>
        <w:rPr>
          <w:spacing w:val="34"/>
          <w:w w:val="105"/>
          <w:sz w:val="16"/>
        </w:rPr>
        <w:t> </w:t>
      </w:r>
      <w:r>
        <w:rPr>
          <w:w w:val="105"/>
          <w:sz w:val="16"/>
        </w:rPr>
        <w:t>480  </w:t>
      </w:r>
      <w:r>
        <w:rPr>
          <w:spacing w:val="34"/>
          <w:w w:val="105"/>
          <w:sz w:val="16"/>
        </w:rPr>
        <w:t> </w:t>
      </w:r>
      <w:r>
        <w:rPr>
          <w:w w:val="105"/>
          <w:sz w:val="16"/>
        </w:rPr>
        <w:t>510  </w:t>
      </w:r>
      <w:r>
        <w:rPr>
          <w:spacing w:val="35"/>
          <w:w w:val="105"/>
          <w:sz w:val="16"/>
        </w:rPr>
        <w:t> </w:t>
      </w:r>
      <w:r>
        <w:rPr>
          <w:w w:val="105"/>
          <w:sz w:val="16"/>
        </w:rPr>
        <w:t>540  </w:t>
      </w:r>
      <w:r>
        <w:rPr>
          <w:spacing w:val="34"/>
          <w:w w:val="105"/>
          <w:sz w:val="16"/>
        </w:rPr>
        <w:t> </w:t>
      </w:r>
      <w:r>
        <w:rPr>
          <w:w w:val="105"/>
          <w:sz w:val="16"/>
        </w:rPr>
        <w:t>570  </w:t>
      </w:r>
      <w:r>
        <w:rPr>
          <w:spacing w:val="35"/>
          <w:w w:val="105"/>
          <w:sz w:val="16"/>
        </w:rPr>
        <w:t> </w:t>
      </w:r>
      <w:r>
        <w:rPr>
          <w:w w:val="105"/>
          <w:sz w:val="16"/>
        </w:rPr>
        <w:t>600  </w:t>
      </w:r>
      <w:r>
        <w:rPr>
          <w:spacing w:val="30"/>
          <w:w w:val="105"/>
          <w:sz w:val="16"/>
        </w:rPr>
        <w:t> </w:t>
      </w:r>
      <w:r>
        <w:rPr>
          <w:w w:val="105"/>
          <w:sz w:val="16"/>
        </w:rPr>
        <w:t>630  </w:t>
      </w:r>
      <w:r>
        <w:rPr>
          <w:spacing w:val="31"/>
          <w:w w:val="105"/>
          <w:sz w:val="16"/>
        </w:rPr>
        <w:t> </w:t>
      </w:r>
      <w:r>
        <w:rPr>
          <w:w w:val="105"/>
          <w:sz w:val="16"/>
        </w:rPr>
        <w:t>660  </w:t>
      </w:r>
      <w:r>
        <w:rPr>
          <w:spacing w:val="34"/>
          <w:w w:val="105"/>
          <w:sz w:val="16"/>
        </w:rPr>
        <w:t> </w:t>
      </w:r>
      <w:r>
        <w:rPr>
          <w:w w:val="105"/>
          <w:sz w:val="16"/>
        </w:rPr>
        <w:t>690  </w:t>
      </w:r>
      <w:r>
        <w:rPr>
          <w:spacing w:val="35"/>
          <w:w w:val="105"/>
          <w:sz w:val="16"/>
        </w:rPr>
        <w:t> </w:t>
      </w:r>
      <w:r>
        <w:rPr>
          <w:w w:val="105"/>
          <w:sz w:val="16"/>
        </w:rPr>
        <w:t>720  </w:t>
      </w:r>
      <w:r>
        <w:rPr>
          <w:spacing w:val="34"/>
          <w:w w:val="105"/>
          <w:sz w:val="16"/>
        </w:rPr>
        <w:t> </w:t>
      </w:r>
      <w:r>
        <w:rPr>
          <w:w w:val="105"/>
          <w:sz w:val="16"/>
        </w:rPr>
        <w:t>750  </w:t>
      </w:r>
      <w:r>
        <w:rPr>
          <w:spacing w:val="35"/>
          <w:w w:val="105"/>
          <w:sz w:val="16"/>
        </w:rPr>
        <w:t> </w:t>
      </w:r>
      <w:r>
        <w:rPr>
          <w:w w:val="105"/>
          <w:sz w:val="16"/>
        </w:rPr>
        <w:t>780  </w:t>
      </w:r>
      <w:r>
        <w:rPr>
          <w:spacing w:val="34"/>
          <w:w w:val="105"/>
          <w:sz w:val="16"/>
        </w:rPr>
        <w:t> </w:t>
      </w:r>
      <w:r>
        <w:rPr>
          <w:w w:val="105"/>
          <w:sz w:val="16"/>
        </w:rPr>
        <w:t>810  </w:t>
      </w:r>
      <w:r>
        <w:rPr>
          <w:spacing w:val="35"/>
          <w:w w:val="105"/>
          <w:sz w:val="16"/>
        </w:rPr>
        <w:t> </w:t>
      </w:r>
      <w:r>
        <w:rPr>
          <w:w w:val="105"/>
          <w:sz w:val="16"/>
        </w:rPr>
        <w:t>840  </w:t>
      </w:r>
      <w:r>
        <w:rPr>
          <w:spacing w:val="30"/>
          <w:w w:val="105"/>
          <w:sz w:val="16"/>
        </w:rPr>
        <w:t> </w:t>
      </w:r>
      <w:r>
        <w:rPr>
          <w:w w:val="105"/>
          <w:sz w:val="16"/>
        </w:rPr>
        <w:t>870  </w:t>
      </w:r>
      <w:r>
        <w:rPr>
          <w:spacing w:val="31"/>
          <w:w w:val="105"/>
          <w:sz w:val="16"/>
        </w:rPr>
        <w:t> </w:t>
      </w:r>
      <w:r>
        <w:rPr>
          <w:w w:val="105"/>
          <w:sz w:val="16"/>
        </w:rPr>
        <w:t>900</w:t>
      </w:r>
    </w:p>
    <w:p>
      <w:pPr>
        <w:pStyle w:val="BodyText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5"/>
        <w:rPr>
          <w:sz w:val="17"/>
        </w:rPr>
      </w:pPr>
    </w:p>
    <w:p>
      <w:pPr>
        <w:spacing w:before="0"/>
        <w:ind w:left="140" w:right="0" w:firstLine="0"/>
        <w:jc w:val="left"/>
        <w:rPr>
          <w:sz w:val="16"/>
        </w:rPr>
      </w:pPr>
      <w:r>
        <w:rPr/>
        <w:pict>
          <v:group style="position:absolute;margin-left:154.330231pt;margin-top:.316645pt;width:336.55pt;height:188.55pt;mso-position-horizontal-relative:page;mso-position-vertical-relative:paragraph;z-index:15847424" coordorigin="3087,6" coordsize="6731,3771">
            <v:rect style="position:absolute;left:3097;top:17;width:6709;height:3748" filled="false" stroked="true" strokeweight="1.125435pt" strokecolor="#000000">
              <v:stroke dashstyle="solid"/>
            </v:rect>
            <v:line style="position:absolute" from="3518,3765" to="3518,3656" stroked="true" strokeweight=".937935pt" strokecolor="#000000">
              <v:stroke dashstyle="solid"/>
            </v:line>
            <v:line style="position:absolute" from="3938,3765" to="3938,3656" stroked="true" strokeweight=".937935pt" strokecolor="#000000">
              <v:stroke dashstyle="solid"/>
            </v:line>
            <v:line style="position:absolute" from="4358,3765" to="4358,3656" stroked="true" strokeweight=".937935pt" strokecolor="#000000">
              <v:stroke dashstyle="solid"/>
            </v:line>
            <v:line style="position:absolute" from="4775,3765" to="4775,3656" stroked="true" strokeweight=".937935pt" strokecolor="#000000">
              <v:stroke dashstyle="solid"/>
            </v:line>
            <v:line style="position:absolute" from="5195,3765" to="5195,3656" stroked="true" strokeweight=".937935pt" strokecolor="#000000">
              <v:stroke dashstyle="solid"/>
            </v:line>
            <v:line style="position:absolute" from="5615,3765" to="5615,3656" stroked="true" strokeweight=".937935pt" strokecolor="#000000">
              <v:stroke dashstyle="solid"/>
            </v:line>
            <v:line style="position:absolute" from="6035,3765" to="6035,3656" stroked="true" strokeweight=".937935pt" strokecolor="#000000">
              <v:stroke dashstyle="solid"/>
            </v:line>
            <v:line style="position:absolute" from="6452,3765" to="6452,3656" stroked="true" strokeweight=".937935pt" strokecolor="#000000">
              <v:stroke dashstyle="solid"/>
            </v:line>
            <v:line style="position:absolute" from="6872,3765" to="6872,3656" stroked="true" strokeweight=".937935pt" strokecolor="#000000">
              <v:stroke dashstyle="solid"/>
            </v:line>
            <v:line style="position:absolute" from="7292,3765" to="7292,3656" stroked="true" strokeweight=".937935pt" strokecolor="#000000">
              <v:stroke dashstyle="solid"/>
            </v:line>
            <v:line style="position:absolute" from="7712,3765" to="7712,3656" stroked="true" strokeweight=".937935pt" strokecolor="#000000">
              <v:stroke dashstyle="solid"/>
            </v:line>
            <v:line style="position:absolute" from="8129,3765" to="8129,3656" stroked="true" strokeweight=".937935pt" strokecolor="#000000">
              <v:stroke dashstyle="solid"/>
            </v:line>
            <v:line style="position:absolute" from="8549,3765" to="8549,3656" stroked="true" strokeweight=".937935pt" strokecolor="#000000">
              <v:stroke dashstyle="solid"/>
            </v:line>
            <v:line style="position:absolute" from="8969,3765" to="8969,3656" stroked="true" strokeweight=".937935pt" strokecolor="#000000">
              <v:stroke dashstyle="solid"/>
            </v:line>
            <v:line style="position:absolute" from="9390,3765" to="9390,3656" stroked="true" strokeweight=".937935pt" strokecolor="#000000">
              <v:stroke dashstyle="solid"/>
            </v:line>
            <v:line style="position:absolute" from="3421,18" to="3421,126" stroked="true" strokeweight=".937935pt" strokecolor="#000000">
              <v:stroke dashstyle="solid"/>
            </v:line>
            <v:line style="position:absolute" from="3833,18" to="3833,126" stroked="true" strokeweight=".937935pt" strokecolor="#000000">
              <v:stroke dashstyle="solid"/>
            </v:line>
            <v:line style="position:absolute" from="4246,18" to="4246,126" stroked="true" strokeweight=".937935pt" strokecolor="#000000">
              <v:stroke dashstyle="solid"/>
            </v:line>
            <v:line style="position:absolute" from="4659,18" to="4659,126" stroked="true" strokeweight=".937935pt" strokecolor="#000000">
              <v:stroke dashstyle="solid"/>
            </v:line>
            <v:line style="position:absolute" from="5071,18" to="5071,126" stroked="true" strokeweight=".937935pt" strokecolor="#000000">
              <v:stroke dashstyle="solid"/>
            </v:line>
            <v:line style="position:absolute" from="5484,18" to="5484,126" stroked="true" strokeweight=".937935pt" strokecolor="#000000">
              <v:stroke dashstyle="solid"/>
            </v:line>
            <v:line style="position:absolute" from="5893,18" to="5893,126" stroked="true" strokeweight=".937935pt" strokecolor="#000000">
              <v:stroke dashstyle="solid"/>
            </v:line>
            <v:line style="position:absolute" from="6309,18" to="6309,126" stroked="true" strokeweight=".937935pt" strokecolor="#000000">
              <v:stroke dashstyle="solid"/>
            </v:line>
            <v:line style="position:absolute" from="6722,18" to="6722,126" stroked="true" strokeweight=".937935pt" strokecolor="#000000">
              <v:stroke dashstyle="solid"/>
            </v:line>
            <v:line style="position:absolute" from="7135,18" to="7135,126" stroked="true" strokeweight=".937935pt" strokecolor="#000000">
              <v:stroke dashstyle="solid"/>
            </v:line>
            <v:line style="position:absolute" from="7547,18" to="7547,126" stroked="true" strokeweight=".937935pt" strokecolor="#000000">
              <v:stroke dashstyle="solid"/>
            </v:line>
            <v:line style="position:absolute" from="7960,18" to="7960,126" stroked="true" strokeweight=".937935pt" strokecolor="#000000">
              <v:stroke dashstyle="solid"/>
            </v:line>
            <v:line style="position:absolute" from="8373,18" to="8373,126" stroked="true" strokeweight=".937935pt" strokecolor="#000000">
              <v:stroke dashstyle="solid"/>
            </v:line>
            <v:line style="position:absolute" from="8785,18" to="8785,126" stroked="true" strokeweight=".937935pt" strokecolor="#000000">
              <v:stroke dashstyle="solid"/>
            </v:line>
            <v:line style="position:absolute" from="9198,18" to="9198,126" stroked="true" strokeweight=".937935pt" strokecolor="#000000">
              <v:stroke dashstyle="solid"/>
            </v:line>
            <v:line style="position:absolute" from="9611,18" to="9611,126" stroked="true" strokeweight=".937935pt" strokecolor="#000000">
              <v:stroke dashstyle="solid"/>
            </v:line>
            <v:line style="position:absolute" from="3098,3533" to="3237,3533" stroked="true" strokeweight=".93784pt" strokecolor="#000000">
              <v:stroke dashstyle="solid"/>
            </v:line>
            <v:line style="position:absolute" from="3098,3296" to="3237,3296" stroked="true" strokeweight=".93784pt" strokecolor="#000000">
              <v:stroke dashstyle="solid"/>
            </v:line>
            <v:line style="position:absolute" from="3098,3064" to="3237,3064" stroked="true" strokeweight=".93784pt" strokecolor="#000000">
              <v:stroke dashstyle="solid"/>
            </v:line>
            <v:line style="position:absolute" from="3098,2827" to="3237,2827" stroked="true" strokeweight=".93784pt" strokecolor="#000000">
              <v:stroke dashstyle="solid"/>
            </v:line>
            <v:line style="position:absolute" from="3098,2595" to="3237,2595" stroked="true" strokeweight=".93784pt" strokecolor="#000000">
              <v:stroke dashstyle="solid"/>
            </v:line>
            <v:line style="position:absolute" from="3098,2362" to="3237,2362" stroked="true" strokeweight=".93784pt" strokecolor="#000000">
              <v:stroke dashstyle="solid"/>
            </v:line>
            <v:line style="position:absolute" from="3098,2126" to="3237,2126" stroked="true" strokeweight=".93784pt" strokecolor="#000000">
              <v:stroke dashstyle="solid"/>
            </v:line>
            <v:line style="position:absolute" from="3098,1893" to="3237,1893" stroked="true" strokeweight=".93784pt" strokecolor="#000000">
              <v:stroke dashstyle="solid"/>
            </v:line>
            <v:line style="position:absolute" from="3098,1657" to="3237,1657" stroked="true" strokeweight=".93784pt" strokecolor="#000000">
              <v:stroke dashstyle="solid"/>
            </v:line>
            <v:line style="position:absolute" from="3098,1424" to="3237,1424" stroked="true" strokeweight=".93784pt" strokecolor="#000000">
              <v:stroke dashstyle="solid"/>
            </v:line>
            <v:line style="position:absolute" from="3098,1188" to="3237,1188" stroked="true" strokeweight=".93784pt" strokecolor="#000000">
              <v:stroke dashstyle="solid"/>
            </v:line>
            <v:line style="position:absolute" from="3098,955" to="3237,955" stroked="true" strokeweight=".93784pt" strokecolor="#000000">
              <v:stroke dashstyle="solid"/>
            </v:line>
            <v:line style="position:absolute" from="3098,719" to="3237,719" stroked="true" strokeweight=".93784pt" strokecolor="#000000">
              <v:stroke dashstyle="solid"/>
            </v:line>
            <v:line style="position:absolute" from="3098,487" to="3237,487" stroked="true" strokeweight=".93784pt" strokecolor="#000000">
              <v:stroke dashstyle="solid"/>
            </v:line>
            <v:line style="position:absolute" from="3098,250" to="3237,250" stroked="true" strokeweight=".93784pt" strokecolor="#000000">
              <v:stroke dashstyle="solid"/>
            </v:line>
            <v:line style="position:absolute" from="9806,3544" to="9671,3544" stroked="true" strokeweight=".93784pt" strokecolor="#000000">
              <v:stroke dashstyle="solid"/>
            </v:line>
            <v:line style="position:absolute" from="9806,3311" to="9671,3311" stroked="true" strokeweight=".93784pt" strokecolor="#000000">
              <v:stroke dashstyle="solid"/>
            </v:line>
            <v:line style="position:absolute" from="9806,3082" to="9671,3082" stroked="true" strokeweight=".93784pt" strokecolor="#000000">
              <v:stroke dashstyle="solid"/>
            </v:line>
            <v:line style="position:absolute" from="9806,2850" to="9671,2850" stroked="true" strokeweight=".93784pt" strokecolor="#000000">
              <v:stroke dashstyle="solid"/>
            </v:line>
            <v:line style="position:absolute" from="9806,2621" to="9671,2621" stroked="true" strokeweight=".93784pt" strokecolor="#000000">
              <v:stroke dashstyle="solid"/>
            </v:line>
            <v:line style="position:absolute" from="9806,2388" to="9671,2388" stroked="true" strokeweight=".93784pt" strokecolor="#000000">
              <v:stroke dashstyle="solid"/>
            </v:line>
            <v:line style="position:absolute" from="9806,2160" to="9671,2160" stroked="true" strokeweight=".93784pt" strokecolor="#000000">
              <v:stroke dashstyle="solid"/>
            </v:line>
            <v:line style="position:absolute" from="9806,1927" to="9671,1927" stroked="true" strokeweight=".93784pt" strokecolor="#000000">
              <v:stroke dashstyle="solid"/>
            </v:line>
            <v:line style="position:absolute" from="9806,1698" to="9671,1698" stroked="true" strokeweight=".93784pt" strokecolor="#000000">
              <v:stroke dashstyle="solid"/>
            </v:line>
            <v:line style="position:absolute" from="9806,1466" to="9671,1466" stroked="true" strokeweight=".93784pt" strokecolor="#000000">
              <v:stroke dashstyle="solid"/>
            </v:line>
            <v:line style="position:absolute" from="9806,1237" to="9671,1237" stroked="true" strokeweight=".93784pt" strokecolor="#000000">
              <v:stroke dashstyle="solid"/>
            </v:line>
            <v:line style="position:absolute" from="9806,1008" to="9671,1008" stroked="true" strokeweight=".93784pt" strokecolor="#000000">
              <v:stroke dashstyle="solid"/>
            </v:line>
            <v:line style="position:absolute" from="9806,775" to="9671,775" stroked="true" strokeweight=".93784pt" strokecolor="#000000">
              <v:stroke dashstyle="solid"/>
            </v:line>
            <v:line style="position:absolute" from="9806,547" to="9671,547" stroked="true" strokeweight=".93784pt" strokecolor="#000000">
              <v:stroke dashstyle="solid"/>
            </v:line>
            <v:line style="position:absolute" from="9806,314" to="9671,314" stroked="true" strokeweight=".93784pt" strokecolor="#000000">
              <v:stroke dashstyle="solid"/>
            </v:line>
            <v:line style="position:absolute" from="9806,85" to="9671,85" stroked="true" strokeweight=".93784pt" strokecolor="#000000">
              <v:stroke dashstyle="solid"/>
            </v:line>
            <v:shape style="position:absolute;left:7221;top:794;width:76;height:57" coordorigin="7221,794" coordsize="76,57" path="m7296,850l7221,850,7259,794,7296,850xe" filled="true" fillcolor="#008000" stroked="false">
              <v:path arrowok="t"/>
              <v:fill type="solid"/>
            </v:shape>
            <v:shape style="position:absolute;left:7221;top:794;width:76;height:57" coordorigin="7221,794" coordsize="76,57" path="m7259,794l7296,850,7221,850,7259,794xe" filled="false" stroked="true" strokeweight="1.125449pt" strokecolor="#008000">
              <v:path arrowok="t"/>
              <v:stroke dashstyle="solid"/>
            </v:shape>
            <v:shape style="position:absolute;left:7254;top:1030;width:72;height:57" coordorigin="7255,1030" coordsize="72,57" path="m7326,1087l7255,1087,7292,1030,7326,1087xe" filled="true" fillcolor="#008000" stroked="false">
              <v:path arrowok="t"/>
              <v:fill type="solid"/>
            </v:shape>
            <v:shape style="position:absolute;left:7254;top:1030;width:72;height:57" coordorigin="7255,1030" coordsize="72,57" path="m7292,1030l7326,1087,7255,1087,7292,1030xe" filled="false" stroked="true" strokeweight="1.125452pt" strokecolor="#008000">
              <v:path arrowok="t"/>
              <v:stroke dashstyle="solid"/>
            </v:shape>
            <v:shape style="position:absolute;left:7476;top:674;width:76;height:57" coordorigin="7476,674" coordsize="76,57" path="m7551,730l7476,730,7514,674,7551,730xe" filled="true" fillcolor="#008000" stroked="false">
              <v:path arrowok="t"/>
              <v:fill type="solid"/>
            </v:shape>
            <v:shape style="position:absolute;left:7476;top:674;width:76;height:57" coordorigin="7476,674" coordsize="76,57" path="m7514,674l7551,730,7476,730,7514,674xe" filled="false" stroked="true" strokeweight="1.125449pt" strokecolor="#008000">
              <v:path arrowok="t"/>
              <v:stroke dashstyle="solid"/>
            </v:shape>
            <v:shape style="position:absolute;left:7783;top:479;width:72;height:57" coordorigin="7784,479" coordsize="72,57" path="m7855,535l7784,535,7821,479,7855,535xe" filled="true" fillcolor="#008000" stroked="false">
              <v:path arrowok="t"/>
              <v:fill type="solid"/>
            </v:shape>
            <v:shape style="position:absolute;left:7783;top:479;width:72;height:57" coordorigin="7784,479" coordsize="72,57" path="m7821,479l7855,535,7784,535,7821,479xe" filled="false" stroked="true" strokeweight="1.125452pt" strokecolor="#008000">
              <v:path arrowok="t"/>
              <v:stroke dashstyle="solid"/>
            </v:shape>
            <v:shape style="position:absolute;left:8080;top:328;width:76;height:57" coordorigin="8080,329" coordsize="76,57" path="m8155,385l8080,385,8118,329,8155,385xe" filled="true" fillcolor="#008000" stroked="false">
              <v:path arrowok="t"/>
              <v:fill type="solid"/>
            </v:shape>
            <v:shape style="position:absolute;left:8080;top:328;width:76;height:57" coordorigin="8080,329" coordsize="76,57" path="m8118,329l8155,385,8080,385,8118,329xe" filled="false" stroked="true" strokeweight="1.125449pt" strokecolor="#008000">
              <v:path arrowok="t"/>
              <v:stroke dashstyle="solid"/>
            </v:shape>
            <v:shape style="position:absolute;left:6346;top:2332;width:72;height:57" coordorigin="6347,2332" coordsize="72,57" path="m6418,2388l6347,2388,6381,2332,6418,2388xe" filled="true" fillcolor="#008000" stroked="false">
              <v:path arrowok="t"/>
              <v:fill type="solid"/>
            </v:shape>
            <v:shape style="position:absolute;left:6346;top:2332;width:72;height:57" coordorigin="6347,2332" coordsize="72,57" path="m6381,2332l6418,2388,6347,2388,6381,2332xe" filled="false" stroked="true" strokeweight="1.125452pt" strokecolor="#008000">
              <v:path arrowok="t"/>
              <v:stroke dashstyle="solid"/>
            </v:shape>
            <v:shape style="position:absolute;left:7371;top:1158;width:76;height:57" coordorigin="7371,1158" coordsize="76,57" path="m7446,1214l7371,1214,7409,1158,7446,1214xe" filled="true" fillcolor="#008000" stroked="false">
              <v:path arrowok="t"/>
              <v:fill type="solid"/>
            </v:shape>
            <v:shape style="position:absolute;left:7371;top:1158;width:76;height:57" coordorigin="7371,1158" coordsize="76,57" path="m7409,1158l7446,1214,7371,1214,7409,1158xe" filled="false" stroked="true" strokeweight="1.125449pt" strokecolor="#008000">
              <v:path arrowok="t"/>
              <v:stroke dashstyle="solid"/>
            </v:shape>
            <v:shape style="position:absolute;left:7892;top:1401;width:72;height:57" coordorigin="7893,1402" coordsize="72,57" path="m7964,1458l7893,1458,7930,1402,7964,1458xe" filled="true" fillcolor="#008000" stroked="false">
              <v:path arrowok="t"/>
              <v:fill type="solid"/>
            </v:shape>
            <v:shape style="position:absolute;left:7892;top:1401;width:72;height:57" coordorigin="7893,1402" coordsize="72,57" path="m7930,1402l7964,1458,7893,1458,7930,1402xe" filled="false" stroked="true" strokeweight="1.125452pt" strokecolor="#008000">
              <v:path arrowok="t"/>
              <v:stroke dashstyle="solid"/>
            </v:shape>
            <v:shape style="position:absolute;left:8916;top:1263;width:72;height:57" coordorigin="8917,1263" coordsize="72,57" path="m8988,1319l8917,1319,8951,1263,8988,1319xe" filled="true" fillcolor="#008000" stroked="false">
              <v:path arrowok="t"/>
              <v:fill type="solid"/>
            </v:shape>
            <v:shape style="position:absolute;left:8916;top:1263;width:72;height:57" coordorigin="8917,1263" coordsize="72,57" path="m8951,1263l8988,1319,8917,1319,8951,1263xe" filled="false" stroked="true" strokeweight="1.125452pt" strokecolor="#008000">
              <v:path arrowok="t"/>
              <v:stroke dashstyle="solid"/>
            </v:shape>
            <v:shape style="position:absolute;left:7288;top:2531;width:76;height:61" coordorigin="7289,2531" coordsize="76,61" path="m7364,2591l7289,2591,7326,2531,7364,2591xe" filled="true" fillcolor="#008000" stroked="false">
              <v:path arrowok="t"/>
              <v:fill type="solid"/>
            </v:shape>
            <v:shape style="position:absolute;left:7288;top:2531;width:76;height:61" coordorigin="7289,2531" coordsize="76,61" path="m7326,2531l7364,2591,7289,2591,7326,2531xe" filled="false" stroked="true" strokeweight="1.125453pt" strokecolor="#008000">
              <v:path arrowok="t"/>
              <v:stroke dashstyle="solid"/>
            </v:shape>
            <v:shape style="position:absolute;left:7292;top:2534;width:76;height:57" coordorigin="7292,2535" coordsize="76,57" path="m7367,2591l7292,2591,7330,2535,7367,2591xe" filled="true" fillcolor="#008000" stroked="false">
              <v:path arrowok="t"/>
              <v:fill type="solid"/>
            </v:shape>
            <v:shape style="position:absolute;left:7292;top:2534;width:76;height:57" coordorigin="7292,2535" coordsize="76,57" path="m7330,2535l7367,2591,7292,2591,7330,2535xe" filled="false" stroked="true" strokeweight="1.125449pt" strokecolor="#008000">
              <v:path arrowok="t"/>
              <v:stroke dashstyle="solid"/>
            </v:shape>
            <v:shape style="position:absolute;left:7427;top:2448;width:72;height:57" coordorigin="7427,2448" coordsize="72,57" path="m7499,2505l7427,2505,7465,2448,7499,2505xe" filled="true" fillcolor="#008000" stroked="false">
              <v:path arrowok="t"/>
              <v:fill type="solid"/>
            </v:shape>
            <v:shape style="position:absolute;left:7427;top:2448;width:72;height:57" coordorigin="7427,2448" coordsize="72,57" path="m7465,2448l7499,2505,7427,2505,7465,2448xe" filled="false" stroked="true" strokeweight="1.125452pt" strokecolor="#008000">
              <v:path arrowok="t"/>
              <v:stroke dashstyle="solid"/>
            </v:shape>
            <v:shape style="position:absolute;left:7543;top:2793;width:76;height:61" coordorigin="7544,2794" coordsize="76,61" path="m7619,2854l7544,2854,7581,2794,7619,2854xe" filled="true" fillcolor="#008000" stroked="false">
              <v:path arrowok="t"/>
              <v:fill type="solid"/>
            </v:shape>
            <v:shape style="position:absolute;left:7543;top:2793;width:76;height:61" coordorigin="7544,2794" coordsize="76,61" path="m7581,2794l7619,2854,7544,2854,7581,2794xe" filled="false" stroked="true" strokeweight="1.125453pt" strokecolor="#008000">
              <v:path arrowok="t"/>
              <v:stroke dashstyle="solid"/>
            </v:shape>
            <v:shape style="position:absolute;left:7667;top:3450;width:72;height:57" coordorigin="7667,3450" coordsize="72,57" path="m7739,3506l7667,3506,7701,3450,7739,3506xe" filled="true" fillcolor="#008000" stroked="false">
              <v:path arrowok="t"/>
              <v:fill type="solid"/>
            </v:shape>
            <v:shape style="position:absolute;left:7667;top:3450;width:72;height:57" coordorigin="7667,3450" coordsize="72,57" path="m7701,3450l7739,3506,7667,3506,7701,3450xe" filled="false" stroked="true" strokeweight="1.125452pt" strokecolor="#008000">
              <v:path arrowok="t"/>
              <v:stroke dashstyle="solid"/>
            </v:shape>
            <v:shape style="position:absolute;left:7723;top:1548;width:76;height:57" coordorigin="7724,1548" coordsize="76,57" path="m7799,1604l7724,1604,7761,1548,7799,1604xe" filled="true" fillcolor="#008000" stroked="false">
              <v:path arrowok="t"/>
              <v:fill type="solid"/>
            </v:shape>
            <v:shape style="position:absolute;left:7723;top:1548;width:76;height:57" coordorigin="7724,1548" coordsize="76,57" path="m7761,1548l7799,1604,7724,1604,7761,1548xe" filled="false" stroked="true" strokeweight="1.125449pt" strokecolor="#008000">
              <v:path arrowok="t"/>
              <v:stroke dashstyle="solid"/>
            </v:shape>
            <v:shape style="position:absolute;left:7810;top:2497;width:72;height:57" coordorigin="7810,2497" coordsize="72,57" path="m7881,2554l7810,2554,7844,2497,7881,2554xe" filled="true" fillcolor="#008000" stroked="false">
              <v:path arrowok="t"/>
              <v:fill type="solid"/>
            </v:shape>
            <v:shape style="position:absolute;left:7810;top:2497;width:72;height:57" coordorigin="7810,2497" coordsize="72,57" path="m7844,2497l7881,2554,7810,2554,7844,2497xe" filled="false" stroked="true" strokeweight="1.125452pt" strokecolor="#008000">
              <v:path arrowok="t"/>
              <v:stroke dashstyle="solid"/>
            </v:shape>
            <v:shape style="position:absolute;left:7926;top:3641;width:72;height:61" coordorigin="7926,3641" coordsize="72,61" path="m7998,3701l7926,3701,7964,3641,7998,3701xe" filled="true" fillcolor="#008000" stroked="false">
              <v:path arrowok="t"/>
              <v:fill type="solid"/>
            </v:shape>
            <v:shape style="position:absolute;left:7926;top:3641;width:72;height:61" coordorigin="7926,3641" coordsize="72,61" path="m7964,3641l7998,3701,7926,3701,7964,3641xe" filled="false" stroked="true" strokeweight="1.125455pt" strokecolor="#008000">
              <v:path arrowok="t"/>
              <v:stroke dashstyle="solid"/>
            </v:shape>
            <v:shape style="position:absolute;left:8005;top:2245;width:76;height:61" coordorigin="8005,2246" coordsize="76,61" path="m8080,2306l8005,2306,8043,2246,8080,2306xe" filled="true" fillcolor="#008000" stroked="false">
              <v:path arrowok="t"/>
              <v:fill type="solid"/>
            </v:shape>
            <v:shape style="position:absolute;left:8005;top:2245;width:76;height:61" coordorigin="8005,2246" coordsize="76,61" path="m8043,2246l8080,2306,8005,2306,8043,2246xe" filled="false" stroked="true" strokeweight="1.125453pt" strokecolor="#008000">
              <v:path arrowok="t"/>
              <v:stroke dashstyle="solid"/>
            </v:shape>
            <v:shape style="position:absolute;left:8072;top:1488;width:72;height:57" coordorigin="8073,1488" coordsize="72,57" path="m8144,1544l8073,1544,8110,1488,8144,1544xe" filled="true" fillcolor="#008000" stroked="false">
              <v:path arrowok="t"/>
              <v:fill type="solid"/>
            </v:shape>
            <v:shape style="position:absolute;left:8072;top:1488;width:72;height:57" coordorigin="8073,1488" coordsize="72,57" path="m8110,1488l8144,1544,8073,1544,8110,1488xe" filled="false" stroked="true" strokeweight="1.125452pt" strokecolor="#008000">
              <v:path arrowok="t"/>
              <v:stroke dashstyle="solid"/>
            </v:shape>
            <v:shape style="position:absolute;left:8211;top:1814;width:72;height:57" coordorigin="8211,1814" coordsize="72,57" path="m8283,1871l8211,1871,8249,1814,8283,1871xe" filled="true" fillcolor="#008000" stroked="false">
              <v:path arrowok="t"/>
              <v:fill type="solid"/>
            </v:shape>
            <v:shape style="position:absolute;left:8211;top:1814;width:72;height:57" coordorigin="8211,1814" coordsize="72,57" path="m8249,1814l8283,1871,8211,1871,8249,1814xe" filled="false" stroked="true" strokeweight="1.125452pt" strokecolor="#008000">
              <v:path arrowok="t"/>
              <v:stroke dashstyle="solid"/>
            </v:shape>
            <v:shape style="position:absolute;left:8380;top:2576;width:72;height:61" coordorigin="8380,2576" coordsize="72,61" path="m8452,2636l8380,2636,8414,2576,8452,2636xe" filled="true" fillcolor="#008000" stroked="false">
              <v:path arrowok="t"/>
              <v:fill type="solid"/>
            </v:shape>
            <v:shape style="position:absolute;left:8380;top:2576;width:72;height:61" coordorigin="8380,2576" coordsize="72,61" path="m8414,2576l8452,2636,8380,2636,8414,2576xe" filled="false" stroked="true" strokeweight="1.125455pt" strokecolor="#008000">
              <v:path arrowok="t"/>
              <v:stroke dashstyle="solid"/>
            </v:shape>
            <v:shape style="position:absolute;left:8477;top:1326;width:76;height:57" coordorigin="8478,1327" coordsize="76,57" path="m8553,1383l8478,1383,8515,1327,8553,1383xe" filled="true" fillcolor="#008000" stroked="false">
              <v:path arrowok="t"/>
              <v:fill type="solid"/>
            </v:shape>
            <v:shape style="position:absolute;left:8477;top:1326;width:76;height:57" coordorigin="8478,1327" coordsize="76,57" path="m8515,1327l8553,1383,8478,1383,8515,1327xe" filled="false" stroked="true" strokeweight="1.125449pt" strokecolor="#008000">
              <v:path arrowok="t"/>
              <v:stroke dashstyle="solid"/>
            </v:shape>
            <v:shape style="position:absolute;left:8609;top:1484;width:76;height:57" coordorigin="8609,1484" coordsize="76,57" path="m8684,1541l8609,1541,8647,1484,8684,1541xe" filled="true" fillcolor="#008000" stroked="false">
              <v:path arrowok="t"/>
              <v:fill type="solid"/>
            </v:shape>
            <v:shape style="position:absolute;left:8609;top:1484;width:76;height:57" coordorigin="8609,1484" coordsize="76,57" path="m8647,1484l8684,1541,8609,1541,8647,1484xe" filled="false" stroked="true" strokeweight="1.125449pt" strokecolor="#008000">
              <v:path arrowok="t"/>
              <v:stroke dashstyle="solid"/>
            </v:shape>
            <v:shape style="position:absolute;left:8702;top:1870;width:72;height:57" coordorigin="8703,1871" coordsize="72,57" path="m8774,1927l8703,1927,8737,1871,8774,1927xe" filled="true" fillcolor="#008000" stroked="false">
              <v:path arrowok="t"/>
              <v:fill type="solid"/>
            </v:shape>
            <v:shape style="position:absolute;left:8702;top:1870;width:72;height:57" coordorigin="8703,1871" coordsize="72,57" path="m8737,1871l8774,1927,8703,1927,8737,1871xe" filled="false" stroked="true" strokeweight="1.125452pt" strokecolor="#008000">
              <v:path arrowok="t"/>
              <v:stroke dashstyle="solid"/>
            </v:shape>
            <v:shape style="position:absolute;left:7378;top:1416;width:72;height:57" coordorigin="7379,1417" coordsize="72,57" path="m7450,1473l7379,1473,7412,1417,7450,1473xe" filled="true" fillcolor="#008000" stroked="false">
              <v:path arrowok="t"/>
              <v:fill type="solid"/>
            </v:shape>
            <v:shape style="position:absolute;left:7378;top:1416;width:72;height:57" coordorigin="7379,1417" coordsize="72,57" path="m7412,1417l7450,1473,7379,1473,7412,1417xe" filled="false" stroked="true" strokeweight="1.125452pt" strokecolor="#008000">
              <v:path arrowok="t"/>
              <v:stroke dashstyle="solid"/>
            </v:shape>
            <v:shape style="position:absolute;left:7322;top:1131;width:72;height:57" coordorigin="7322,1132" coordsize="72,57" path="m7394,1188l7322,1188,7360,1132,7394,1188xe" filled="true" fillcolor="#008000" stroked="false">
              <v:path arrowok="t"/>
              <v:fill type="solid"/>
            </v:shape>
            <v:shape style="position:absolute;left:7322;top:1131;width:72;height:57" coordorigin="7322,1132" coordsize="72,57" path="m7360,1132l7394,1188,7322,1188,7360,1132xe" filled="false" stroked="true" strokeweight="1.125452pt" strokecolor="#008000">
              <v:path arrowok="t"/>
              <v:stroke dashstyle="solid"/>
            </v:shape>
            <v:shape style="position:absolute;left:7858;top:711;width:72;height:61" coordorigin="7859,712" coordsize="72,61" path="m7930,772l7859,772,7896,712,7930,772xe" filled="true" fillcolor="#008000" stroked="false">
              <v:path arrowok="t"/>
              <v:fill type="solid"/>
            </v:shape>
            <v:shape style="position:absolute;left:7858;top:711;width:72;height:61" coordorigin="7859,712" coordsize="72,61" path="m7896,712l7930,772,7859,772,7896,712xe" filled="false" stroked="true" strokeweight="1.125455pt" strokecolor="#008000">
              <v:path arrowok="t"/>
              <v:stroke dashstyle="solid"/>
            </v:shape>
            <v:shape style="position:absolute;left:7821;top:992;width:147;height:162" type="#_x0000_t75" stroked="false">
              <v:imagedata r:id="rId287" o:title=""/>
            </v:shape>
            <v:shape style="position:absolute;left:8500;top:1364;width:72;height:57" coordorigin="8500,1364" coordsize="72,57" path="m8572,1421l8500,1421,8538,1364,8572,1421xe" filled="true" fillcolor="#99ccff" stroked="false">
              <v:path arrowok="t"/>
              <v:fill type="solid"/>
            </v:shape>
            <v:shape style="position:absolute;left:8500;top:1364;width:72;height:57" coordorigin="8500,1364" coordsize="72,57" path="m8538,1364l8572,1421,8500,1421,8538,1364xe" filled="false" stroked="true" strokeweight="1.125452pt" strokecolor="#99ccff">
              <v:path arrowok="t"/>
              <v:stroke dashstyle="solid"/>
            </v:shape>
            <v:shape style="position:absolute;left:8155;top:1791;width:76;height:57" coordorigin="8155,1792" coordsize="76,57" path="m8230,1848l8155,1848,8193,1792,8230,1848xe" filled="true" fillcolor="#99ccff" stroked="false">
              <v:path arrowok="t"/>
              <v:fill type="solid"/>
            </v:shape>
            <v:shape style="position:absolute;left:8155;top:1791;width:76;height:57" coordorigin="8155,1792" coordsize="76,57" path="m8193,1792l8230,1848,8155,1848,8193,1792xe" filled="false" stroked="true" strokeweight="1.125449pt" strokecolor="#99ccff">
              <v:path arrowok="t"/>
              <v:stroke dashstyle="solid"/>
            </v:shape>
            <v:shape style="position:absolute;left:7614;top:2163;width:76;height:61" coordorigin="7615,2163" coordsize="76,61" path="m7690,2223l7615,2223,7652,2163,7690,2223xe" filled="true" fillcolor="#99ccff" stroked="false">
              <v:path arrowok="t"/>
              <v:fill type="solid"/>
            </v:shape>
            <v:shape style="position:absolute;left:7614;top:2163;width:76;height:61" coordorigin="7615,2163" coordsize="76,61" path="m7652,2163l7690,2223,7615,2223,7652,2163xe" filled="false" stroked="true" strokeweight="1.125453pt" strokecolor="#99ccff">
              <v:path arrowok="t"/>
              <v:stroke dashstyle="solid"/>
            </v:shape>
            <v:shape style="position:absolute;left:7633;top:2170;width:72;height:61" coordorigin="7634,2171" coordsize="72,61" path="m7705,2231l7634,2231,7667,2171,7705,2231xe" filled="true" fillcolor="#99ccff" stroked="false">
              <v:path arrowok="t"/>
              <v:fill type="solid"/>
            </v:shape>
            <v:shape style="position:absolute;left:7633;top:2170;width:72;height:61" coordorigin="7634,2171" coordsize="72,61" path="m7667,2171l7705,2231,7634,2231,7667,2171xe" filled="false" stroked="true" strokeweight="1.125455pt" strokecolor="#99ccff">
              <v:path arrowok="t"/>
              <v:stroke dashstyle="solid"/>
            </v:shape>
            <v:shape style="position:absolute;left:7344;top:2283;width:72;height:61" coordorigin="7345,2283" coordsize="72,61" path="m7416,2343l7345,2343,7379,2283,7416,2343xe" filled="true" fillcolor="#0000ff" stroked="false">
              <v:path arrowok="t"/>
              <v:fill type="solid"/>
            </v:shape>
            <v:shape style="position:absolute;left:7344;top:2283;width:72;height:61" coordorigin="7345,2283" coordsize="72,61" path="m7379,2283l7416,2343,7345,2343,7379,2283xe" filled="false" stroked="true" strokeweight="1.125455pt" strokecolor="#0000ff">
              <v:path arrowok="t"/>
              <v:stroke dashstyle="solid"/>
            </v:shape>
            <v:shape style="position:absolute;left:7742;top:1709;width:72;height:61" coordorigin="7743,1709" coordsize="72,61" path="m7814,1769l7743,1769,7780,1709,7814,1769xe" filled="true" fillcolor="#0000ff" stroked="false">
              <v:path arrowok="t"/>
              <v:fill type="solid"/>
            </v:shape>
            <v:shape style="position:absolute;left:7742;top:1709;width:72;height:61" coordorigin="7743,1709" coordsize="72,61" path="m7780,1709l7814,1769,7743,1769,7780,1709xe" filled="false" stroked="true" strokeweight="1.125455pt" strokecolor="#0000ff">
              <v:path arrowok="t"/>
              <v:stroke dashstyle="solid"/>
            </v:shape>
            <v:shape style="position:absolute;left:7363;top:1998;width:76;height:57" coordorigin="7364,1998" coordsize="76,57" path="m7439,2055l7364,2055,7401,1998,7439,2055xe" filled="true" fillcolor="#0000ff" stroked="false">
              <v:path arrowok="t"/>
              <v:fill type="solid"/>
            </v:shape>
            <v:shape style="position:absolute;left:7363;top:1998;width:76;height:57" coordorigin="7364,1998" coordsize="76,57" path="m7401,1998l7439,2055,7364,2055,7401,1998xe" filled="false" stroked="true" strokeweight="1.125449pt" strokecolor="#0000ff">
              <v:path arrowok="t"/>
              <v:stroke dashstyle="solid"/>
            </v:shape>
            <v:shape style="position:absolute;left:7254;top:1848;width:72;height:57" coordorigin="7255,1848" coordsize="72,57" path="m7326,1905l7255,1905,7292,1848,7326,1905xe" filled="true" fillcolor="#0000ff" stroked="false">
              <v:path arrowok="t"/>
              <v:fill type="solid"/>
            </v:shape>
            <v:shape style="position:absolute;left:7254;top:1848;width:72;height:57" coordorigin="7255,1848" coordsize="72,57" path="m7292,1848l7326,1905,7255,1905,7292,1848xe" filled="false" stroked="true" strokeweight="1.125452pt" strokecolor="#0000ff">
              <v:path arrowok="t"/>
              <v:stroke dashstyle="solid"/>
            </v:shape>
            <v:shape style="position:absolute;left:5240;top:3532;width:72;height:57" coordorigin="5240,3533" coordsize="72,57" path="m5311,3589l5240,3589,5274,3533,5311,3589xe" filled="true" fillcolor="#0000ff" stroked="false">
              <v:path arrowok="t"/>
              <v:fill type="solid"/>
            </v:shape>
            <v:shape style="position:absolute;left:5240;top:3532;width:72;height:57" coordorigin="5240,3533" coordsize="72,57" path="m5274,3533l5311,3589,5240,3589,5274,3533xe" filled="false" stroked="true" strokeweight="1.125452pt" strokecolor="#0000ff">
              <v:path arrowok="t"/>
              <v:stroke dashstyle="solid"/>
            </v:shape>
            <v:shape style="position:absolute;left:7753;top:1983;width:76;height:57" coordorigin="7754,1983" coordsize="76,57" path="m7829,2040l7754,2040,7791,1983,7829,2040xe" filled="true" fillcolor="#0000ff" stroked="false">
              <v:path arrowok="t"/>
              <v:fill type="solid"/>
            </v:shape>
            <v:shape style="position:absolute;left:7753;top:1983;width:76;height:57" coordorigin="7754,1983" coordsize="76,57" path="m7791,1983l7829,2040,7754,2040,7791,1983xe" filled="false" stroked="true" strokeweight="1.125449pt" strokecolor="#0000ff">
              <v:path arrowok="t"/>
              <v:stroke dashstyle="solid"/>
            </v:shape>
            <v:shape style="position:absolute;left:3364;top:336;width:76;height:57" coordorigin="3364,336" coordsize="76,57" path="m3439,393l3364,393,3402,336,3439,393xe" filled="true" fillcolor="#008000" stroked="false">
              <v:path arrowok="t"/>
              <v:fill type="solid"/>
            </v:shape>
            <v:shape style="position:absolute;left:3364;top:336;width:76;height:57" coordorigin="3364,336" coordsize="76,57" path="m3402,336l3439,393,3364,393,3402,336xe" filled="false" stroked="true" strokeweight="1.125449pt" strokecolor="#008000">
              <v:path arrowok="t"/>
              <v:stroke dashstyle="solid"/>
            </v:shape>
            <v:shape style="position:absolute;left:3364;top:602;width:76;height:57" coordorigin="3364,603" coordsize="76,57" path="m3439,659l3364,659,3402,603,3439,659xe" filled="true" fillcolor="#99ccff" stroked="false">
              <v:path arrowok="t"/>
              <v:fill type="solid"/>
            </v:shape>
            <v:shape style="position:absolute;left:3364;top:602;width:76;height:57" coordorigin="3364,603" coordsize="76,57" path="m3402,603l3439,659,3364,659,3402,603xe" filled="false" stroked="true" strokeweight="1.125449pt" strokecolor="#99ccff">
              <v:path arrowok="t"/>
              <v:stroke dashstyle="solid"/>
            </v:shape>
            <v:shape style="position:absolute;left:3364;top:869;width:76;height:61" coordorigin="3364,869" coordsize="76,61" path="m3439,929l3364,929,3402,869,3439,929xe" filled="true" fillcolor="#0000ff" stroked="false">
              <v:path arrowok="t"/>
              <v:fill type="solid"/>
            </v:shape>
            <v:shape style="position:absolute;left:3364;top:869;width:76;height:61" coordorigin="3364,869" coordsize="76,61" path="m3402,869l3439,929,3364,929,3402,869xe" filled="false" stroked="true" strokeweight="1.125453pt" strokecolor="#0000ff">
              <v:path arrowok="t"/>
              <v:stroke dashstyle="solid"/>
            </v:shape>
            <v:shape style="position:absolute;left:3086;top:6;width:6731;height:3771" type="#_x0000_t202" filled="false" stroked="false">
              <v:textbox inset="0,0,0,0">
                <w:txbxContent>
                  <w:p>
                    <w:pPr>
                      <w:spacing w:line="240" w:lineRule="auto" w:before="1"/>
                      <w:rPr>
                        <w:i/>
                        <w:sz w:val="21"/>
                      </w:rPr>
                    </w:pPr>
                  </w:p>
                  <w:p>
                    <w:pPr>
                      <w:spacing w:before="0"/>
                      <w:ind w:left="562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Dry</w:t>
                    </w:r>
                    <w:r>
                      <w:rPr>
                        <w:spacing w:val="-3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SYP</w:t>
                    </w:r>
                  </w:p>
                  <w:p>
                    <w:pPr>
                      <w:spacing w:line="264" w:lineRule="auto" w:before="25"/>
                      <w:ind w:left="562" w:right="406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Fog</w:t>
                    </w:r>
                    <w:r>
                      <w:rPr>
                        <w:spacing w:val="-5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Room</w:t>
                    </w:r>
                    <w:r>
                      <w:rPr>
                        <w:spacing w:val="-8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Exposed</w:t>
                    </w:r>
                    <w:r>
                      <w:rPr>
                        <w:spacing w:val="-5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SYP</w:t>
                    </w:r>
                    <w:r>
                      <w:rPr>
                        <w:spacing w:val="-50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Water</w:t>
                    </w:r>
                    <w:r>
                      <w:rPr>
                        <w:spacing w:val="-1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Submerged</w:t>
                    </w:r>
                    <w:r>
                      <w:rPr>
                        <w:spacing w:val="-1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SYP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105"/>
          <w:sz w:val="16"/>
        </w:rPr>
        <w:t>540</w:t>
      </w:r>
    </w:p>
    <w:p>
      <w:pPr>
        <w:spacing w:before="45"/>
        <w:ind w:left="140" w:right="0" w:firstLine="0"/>
        <w:jc w:val="left"/>
        <w:rPr>
          <w:sz w:val="16"/>
        </w:rPr>
      </w:pPr>
      <w:r>
        <w:rPr>
          <w:w w:val="105"/>
          <w:sz w:val="16"/>
        </w:rPr>
        <w:t>510</w:t>
      </w:r>
    </w:p>
    <w:p>
      <w:pPr>
        <w:spacing w:before="49"/>
        <w:ind w:left="140" w:right="0" w:firstLine="0"/>
        <w:jc w:val="left"/>
        <w:rPr>
          <w:sz w:val="16"/>
        </w:rPr>
      </w:pPr>
      <w:r>
        <w:rPr/>
        <w:pict>
          <v:shape style="position:absolute;margin-left:511.993958pt;margin-top:11.091283pt;width:17.5pt;height:135.050pt;mso-position-horizontal-relative:page;mso-position-vertical-relative:paragraph;z-index:15849472" type="#_x0000_t202" filled="false" stroked="false">
            <v:textbox inset="0,0,0,0" style="layout-flow:vertical;mso-layout-flow-alt:bottom-to-top">
              <w:txbxContent>
                <w:p>
                  <w:pPr>
                    <w:pStyle w:val="BodyText"/>
                    <w:spacing w:before="10"/>
                    <w:ind w:left="20"/>
                  </w:pPr>
                  <w:r>
                    <w:rPr>
                      <w:spacing w:val="-1"/>
                    </w:rPr>
                    <w:t>Residual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-1"/>
                    </w:rPr>
                    <w:t>Velocity,</w:t>
                  </w:r>
                  <w:r>
                    <w:rPr>
                      <w:spacing w:val="-13"/>
                    </w:rPr>
                    <w:t> </w:t>
                  </w:r>
                  <w:r>
                    <w:rPr/>
                    <w:t>V</w:t>
                  </w:r>
                  <w:r>
                    <w:rPr>
                      <w:position w:val="-5"/>
                      <w:sz w:val="18"/>
                    </w:rPr>
                    <w:t>R</w:t>
                  </w:r>
                  <w:r>
                    <w:rPr>
                      <w:spacing w:val="6"/>
                      <w:position w:val="-5"/>
                      <w:sz w:val="18"/>
                    </w:rPr>
                    <w:t> </w:t>
                  </w:r>
                  <w:r>
                    <w:rPr/>
                    <w:t>(m/s)</w:t>
                  </w:r>
                </w:p>
              </w:txbxContent>
            </v:textbox>
            <w10:wrap type="none"/>
          </v:shape>
        </w:pict>
      </w:r>
      <w:r>
        <w:rPr>
          <w:w w:val="105"/>
          <w:sz w:val="16"/>
        </w:rPr>
        <w:t>480</w:t>
      </w:r>
    </w:p>
    <w:p>
      <w:pPr>
        <w:spacing w:before="44"/>
        <w:ind w:left="140" w:right="0" w:firstLine="0"/>
        <w:jc w:val="left"/>
        <w:rPr>
          <w:sz w:val="16"/>
        </w:rPr>
      </w:pPr>
      <w:r>
        <w:rPr>
          <w:w w:val="105"/>
          <w:sz w:val="16"/>
        </w:rPr>
        <w:t>450</w:t>
      </w:r>
    </w:p>
    <w:p>
      <w:pPr>
        <w:spacing w:before="49"/>
        <w:ind w:left="140" w:right="0" w:firstLine="0"/>
        <w:jc w:val="left"/>
        <w:rPr>
          <w:sz w:val="16"/>
        </w:rPr>
      </w:pPr>
      <w:r>
        <w:rPr>
          <w:w w:val="105"/>
          <w:sz w:val="16"/>
        </w:rPr>
        <w:t>420</w:t>
      </w:r>
    </w:p>
    <w:p>
      <w:pPr>
        <w:spacing w:before="45"/>
        <w:ind w:left="140" w:right="0" w:firstLine="0"/>
        <w:jc w:val="left"/>
        <w:rPr>
          <w:sz w:val="16"/>
        </w:rPr>
      </w:pPr>
      <w:r>
        <w:rPr>
          <w:w w:val="105"/>
          <w:sz w:val="16"/>
        </w:rPr>
        <w:t>390</w:t>
      </w:r>
    </w:p>
    <w:p>
      <w:pPr>
        <w:spacing w:before="48"/>
        <w:ind w:left="140" w:right="0" w:firstLine="0"/>
        <w:jc w:val="left"/>
        <w:rPr>
          <w:sz w:val="16"/>
        </w:rPr>
      </w:pPr>
      <w:r>
        <w:rPr>
          <w:w w:val="105"/>
          <w:sz w:val="16"/>
        </w:rPr>
        <w:t>360</w:t>
      </w:r>
    </w:p>
    <w:p>
      <w:pPr>
        <w:spacing w:before="45"/>
        <w:ind w:left="140" w:right="0" w:firstLine="0"/>
        <w:jc w:val="left"/>
        <w:rPr>
          <w:sz w:val="16"/>
        </w:rPr>
      </w:pPr>
      <w:r>
        <w:rPr>
          <w:w w:val="105"/>
          <w:sz w:val="16"/>
        </w:rPr>
        <w:t>330</w:t>
      </w:r>
    </w:p>
    <w:p>
      <w:pPr>
        <w:spacing w:before="49"/>
        <w:ind w:left="140" w:right="0" w:firstLine="0"/>
        <w:jc w:val="left"/>
        <w:rPr>
          <w:sz w:val="16"/>
        </w:rPr>
      </w:pPr>
      <w:r>
        <w:rPr>
          <w:w w:val="105"/>
          <w:sz w:val="16"/>
        </w:rPr>
        <w:t>300</w:t>
      </w:r>
    </w:p>
    <w:p>
      <w:pPr>
        <w:spacing w:before="45"/>
        <w:ind w:left="140" w:right="0" w:firstLine="0"/>
        <w:jc w:val="left"/>
        <w:rPr>
          <w:sz w:val="16"/>
        </w:rPr>
      </w:pPr>
      <w:r>
        <w:rPr>
          <w:w w:val="105"/>
          <w:sz w:val="16"/>
        </w:rPr>
        <w:t>270</w:t>
      </w:r>
    </w:p>
    <w:p>
      <w:pPr>
        <w:spacing w:before="48"/>
        <w:ind w:left="140" w:right="0" w:firstLine="0"/>
        <w:jc w:val="left"/>
        <w:rPr>
          <w:sz w:val="16"/>
        </w:rPr>
      </w:pPr>
      <w:r>
        <w:rPr>
          <w:w w:val="105"/>
          <w:sz w:val="16"/>
        </w:rPr>
        <w:t>240</w:t>
      </w:r>
    </w:p>
    <w:p>
      <w:pPr>
        <w:spacing w:before="45"/>
        <w:ind w:left="140" w:right="0" w:firstLine="0"/>
        <w:jc w:val="left"/>
        <w:rPr>
          <w:sz w:val="16"/>
        </w:rPr>
      </w:pPr>
      <w:r>
        <w:rPr>
          <w:w w:val="105"/>
          <w:sz w:val="16"/>
        </w:rPr>
        <w:t>210</w:t>
      </w:r>
    </w:p>
    <w:p>
      <w:pPr>
        <w:spacing w:before="48"/>
        <w:ind w:left="140" w:right="0" w:firstLine="0"/>
        <w:jc w:val="left"/>
        <w:rPr>
          <w:sz w:val="16"/>
        </w:rPr>
      </w:pPr>
      <w:r>
        <w:rPr>
          <w:w w:val="105"/>
          <w:sz w:val="16"/>
        </w:rPr>
        <w:t>180</w:t>
      </w:r>
    </w:p>
    <w:p>
      <w:pPr>
        <w:spacing w:before="45"/>
        <w:ind w:left="140" w:right="0" w:firstLine="0"/>
        <w:jc w:val="left"/>
        <w:rPr>
          <w:sz w:val="16"/>
        </w:rPr>
      </w:pPr>
      <w:r>
        <w:rPr>
          <w:w w:val="105"/>
          <w:sz w:val="16"/>
        </w:rPr>
        <w:t>150</w:t>
      </w:r>
    </w:p>
    <w:p>
      <w:pPr>
        <w:spacing w:before="45"/>
        <w:ind w:left="140" w:right="0" w:firstLine="0"/>
        <w:jc w:val="left"/>
        <w:rPr>
          <w:sz w:val="16"/>
        </w:rPr>
      </w:pPr>
      <w:r>
        <w:rPr>
          <w:w w:val="105"/>
          <w:sz w:val="16"/>
        </w:rPr>
        <w:t>120</w:t>
      </w:r>
    </w:p>
    <w:p>
      <w:pPr>
        <w:spacing w:before="49"/>
        <w:ind w:left="140" w:right="0" w:firstLine="0"/>
        <w:jc w:val="left"/>
        <w:rPr>
          <w:sz w:val="16"/>
        </w:rPr>
      </w:pPr>
      <w:r>
        <w:rPr>
          <w:w w:val="105"/>
          <w:sz w:val="16"/>
        </w:rPr>
        <w:t>90</w:t>
      </w:r>
    </w:p>
    <w:p>
      <w:pPr>
        <w:spacing w:after="0"/>
        <w:jc w:val="left"/>
        <w:rPr>
          <w:sz w:val="16"/>
        </w:rPr>
        <w:sectPr>
          <w:type w:val="continuous"/>
          <w:pgSz w:w="12240" w:h="15840"/>
          <w:pgMar w:top="1380" w:bottom="280" w:left="1720" w:right="1020"/>
          <w:cols w:num="3" w:equalWidth="0">
            <w:col w:w="1292" w:space="40"/>
            <w:col w:w="6661" w:space="39"/>
            <w:col w:w="1468"/>
          </w:cols>
        </w:sectPr>
      </w:pPr>
    </w:p>
    <w:p>
      <w:pPr>
        <w:tabs>
          <w:tab w:pos="840" w:val="left" w:leader="none"/>
          <w:tab w:pos="1676" w:val="left" w:leader="none"/>
          <w:tab w:pos="2517" w:val="left" w:leader="none"/>
          <w:tab w:pos="3353" w:val="left" w:leader="none"/>
          <w:tab w:pos="4194" w:val="left" w:leader="none"/>
          <w:tab w:pos="5030" w:val="left" w:leader="none"/>
          <w:tab w:pos="5871" w:val="left" w:leader="none"/>
          <w:tab w:pos="6711" w:val="left" w:leader="none"/>
        </w:tabs>
        <w:spacing w:before="0"/>
        <w:ind w:left="0" w:right="120" w:firstLine="0"/>
        <w:jc w:val="center"/>
        <w:rPr>
          <w:sz w:val="16"/>
        </w:rPr>
      </w:pPr>
      <w:r>
        <w:rPr>
          <w:w w:val="105"/>
          <w:sz w:val="16"/>
        </w:rPr>
        <w:t>1400</w:t>
        <w:tab/>
        <w:t>1600</w:t>
        <w:tab/>
        <w:t>1800</w:t>
        <w:tab/>
        <w:t>2000</w:t>
        <w:tab/>
        <w:t>2200</w:t>
        <w:tab/>
        <w:t>2400</w:t>
        <w:tab/>
        <w:t>2600</w:t>
        <w:tab/>
        <w:t>2800</w:t>
        <w:tab/>
        <w:t>3000</w:t>
      </w:r>
    </w:p>
    <w:p>
      <w:pPr>
        <w:pStyle w:val="BodyText"/>
        <w:spacing w:before="128"/>
        <w:ind w:left="3244" w:right="3303"/>
        <w:jc w:val="center"/>
      </w:pPr>
      <w:r>
        <w:rPr>
          <w:spacing w:val="-2"/>
        </w:rPr>
        <w:t>Striking</w:t>
      </w:r>
      <w:r>
        <w:rPr>
          <w:spacing w:val="-13"/>
        </w:rPr>
        <w:t> </w:t>
      </w:r>
      <w:r>
        <w:rPr>
          <w:spacing w:val="-1"/>
        </w:rPr>
        <w:t>Velocity,</w:t>
      </w:r>
      <w:r>
        <w:rPr>
          <w:spacing w:val="-9"/>
        </w:rPr>
        <w:t> </w:t>
      </w:r>
      <w:r>
        <w:rPr>
          <w:spacing w:val="-1"/>
        </w:rPr>
        <w:t>V</w:t>
      </w:r>
      <w:r>
        <w:rPr>
          <w:spacing w:val="-1"/>
          <w:position w:val="-7"/>
          <w:sz w:val="21"/>
        </w:rPr>
        <w:t>s</w:t>
      </w:r>
      <w:r>
        <w:rPr>
          <w:spacing w:val="3"/>
          <w:position w:val="-7"/>
          <w:sz w:val="21"/>
        </w:rPr>
        <w:t> </w:t>
      </w:r>
      <w:r>
        <w:rPr>
          <w:spacing w:val="-1"/>
        </w:rPr>
        <w:t>(fps)</w:t>
      </w:r>
    </w:p>
    <w:p>
      <w:pPr>
        <w:spacing w:before="225"/>
        <w:ind w:left="440" w:right="403" w:firstLine="0"/>
        <w:jc w:val="left"/>
        <w:rPr>
          <w:i/>
          <w:sz w:val="24"/>
        </w:rPr>
      </w:pPr>
      <w:bookmarkStart w:name="_bookmark95" w:id="335"/>
      <w:bookmarkEnd w:id="335"/>
      <w:r>
        <w:rPr/>
      </w:r>
      <w:r>
        <w:rPr>
          <w:i/>
          <w:sz w:val="24"/>
        </w:rPr>
        <w:t>Figure</w:t>
      </w:r>
      <w:r>
        <w:rPr>
          <w:i/>
          <w:spacing w:val="43"/>
          <w:sz w:val="24"/>
        </w:rPr>
        <w:t> </w:t>
      </w:r>
      <w:r>
        <w:rPr>
          <w:i/>
          <w:sz w:val="24"/>
        </w:rPr>
        <w:t>5-34.</w:t>
      </w:r>
      <w:r>
        <w:rPr>
          <w:i/>
          <w:spacing w:val="43"/>
          <w:sz w:val="24"/>
        </w:rPr>
        <w:t> </w:t>
      </w:r>
      <w:r>
        <w:rPr>
          <w:i/>
          <w:sz w:val="24"/>
        </w:rPr>
        <w:t>Residual</w:t>
      </w:r>
      <w:r>
        <w:rPr>
          <w:i/>
          <w:spacing w:val="44"/>
          <w:sz w:val="24"/>
        </w:rPr>
        <w:t> </w:t>
      </w:r>
      <w:r>
        <w:rPr>
          <w:i/>
          <w:sz w:val="24"/>
        </w:rPr>
        <w:t>velocity</w:t>
      </w:r>
      <w:r>
        <w:rPr>
          <w:i/>
          <w:spacing w:val="43"/>
          <w:sz w:val="24"/>
        </w:rPr>
        <w:t> </w:t>
      </w:r>
      <w:r>
        <w:rPr>
          <w:i/>
          <w:sz w:val="24"/>
        </w:rPr>
        <w:t>based</w:t>
      </w:r>
      <w:r>
        <w:rPr>
          <w:i/>
          <w:spacing w:val="43"/>
          <w:sz w:val="24"/>
        </w:rPr>
        <w:t> </w:t>
      </w:r>
      <w:r>
        <w:rPr>
          <w:i/>
          <w:sz w:val="24"/>
        </w:rPr>
        <w:t>on</w:t>
      </w:r>
      <w:r>
        <w:rPr>
          <w:i/>
          <w:spacing w:val="43"/>
          <w:sz w:val="24"/>
        </w:rPr>
        <w:t> </w:t>
      </w:r>
      <w:r>
        <w:rPr>
          <w:i/>
          <w:sz w:val="24"/>
        </w:rPr>
        <w:t>striking</w:t>
      </w:r>
      <w:r>
        <w:rPr>
          <w:i/>
          <w:spacing w:val="43"/>
          <w:sz w:val="24"/>
        </w:rPr>
        <w:t> </w:t>
      </w:r>
      <w:r>
        <w:rPr>
          <w:i/>
          <w:sz w:val="24"/>
        </w:rPr>
        <w:t>velocity</w:t>
      </w:r>
      <w:r>
        <w:rPr>
          <w:i/>
          <w:spacing w:val="43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43"/>
          <w:sz w:val="24"/>
        </w:rPr>
        <w:t> </w:t>
      </w:r>
      <w:r>
        <w:rPr>
          <w:i/>
          <w:sz w:val="24"/>
        </w:rPr>
        <w:t>dry</w:t>
      </w:r>
      <w:r>
        <w:rPr>
          <w:i/>
          <w:spacing w:val="43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41"/>
          <w:sz w:val="24"/>
        </w:rPr>
        <w:t> </w:t>
      </w:r>
      <w:r>
        <w:rPr>
          <w:i/>
          <w:sz w:val="24"/>
        </w:rPr>
        <w:t>weathered</w:t>
      </w:r>
      <w:r>
        <w:rPr>
          <w:i/>
          <w:spacing w:val="43"/>
          <w:sz w:val="24"/>
        </w:rPr>
        <w:t> </w:t>
      </w:r>
      <w:r>
        <w:rPr>
          <w:i/>
          <w:sz w:val="24"/>
        </w:rPr>
        <w:t>SYP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specimens.</w:t>
      </w:r>
    </w:p>
    <w:p>
      <w:pPr>
        <w:spacing w:after="0"/>
        <w:jc w:val="left"/>
        <w:rPr>
          <w:sz w:val="24"/>
        </w:rPr>
        <w:sectPr>
          <w:type w:val="continuous"/>
          <w:pgSz w:w="12240" w:h="15840"/>
          <w:pgMar w:top="1380" w:bottom="280" w:left="1720" w:right="1020"/>
        </w:sectPr>
      </w:pPr>
    </w:p>
    <w:p>
      <w:pPr>
        <w:pStyle w:val="BodyText"/>
        <w:spacing w:line="480" w:lineRule="auto" w:before="78"/>
        <w:ind w:left="440" w:right="417" w:firstLine="720"/>
        <w:jc w:val="both"/>
      </w:pPr>
      <w:r>
        <w:rPr/>
        <w:t>The</w:t>
      </w:r>
      <w:r>
        <w:rPr>
          <w:spacing w:val="-9"/>
        </w:rPr>
        <w:t> </w:t>
      </w:r>
      <w:r>
        <w:rPr/>
        <w:t>value</w:t>
      </w:r>
      <w:r>
        <w:rPr>
          <w:spacing w:val="-10"/>
        </w:rPr>
        <w:t> </w:t>
      </w:r>
      <w:r>
        <w:rPr/>
        <w:t>of</w:t>
      </w:r>
      <w:r>
        <w:rPr>
          <w:spacing w:val="-10"/>
        </w:rPr>
        <w:t> </w:t>
      </w:r>
      <w:r>
        <w:rPr/>
        <w:t>this</w:t>
      </w:r>
      <w:r>
        <w:rPr>
          <w:spacing w:val="-10"/>
        </w:rPr>
        <w:t> </w:t>
      </w:r>
      <w:r>
        <w:rPr/>
        <w:t>conclusion</w:t>
      </w:r>
      <w:r>
        <w:rPr>
          <w:spacing w:val="-9"/>
        </w:rPr>
        <w:t> </w:t>
      </w:r>
      <w:r>
        <w:rPr/>
        <w:t>for</w:t>
      </w:r>
      <w:r>
        <w:rPr>
          <w:spacing w:val="-9"/>
        </w:rPr>
        <w:t> </w:t>
      </w:r>
      <w:r>
        <w:rPr/>
        <w:t>this</w:t>
      </w:r>
      <w:r>
        <w:rPr>
          <w:spacing w:val="-10"/>
        </w:rPr>
        <w:t> </w:t>
      </w:r>
      <w:r>
        <w:rPr/>
        <w:t>research</w:t>
      </w:r>
      <w:r>
        <w:rPr>
          <w:spacing w:val="-9"/>
        </w:rPr>
        <w:t> </w:t>
      </w:r>
      <w:r>
        <w:rPr/>
        <w:t>is</w:t>
      </w:r>
      <w:r>
        <w:rPr>
          <w:spacing w:val="-11"/>
        </w:rPr>
        <w:t> </w:t>
      </w:r>
      <w:r>
        <w:rPr/>
        <w:t>that</w:t>
      </w:r>
      <w:r>
        <w:rPr>
          <w:spacing w:val="-8"/>
        </w:rPr>
        <w:t> </w:t>
      </w:r>
      <w:r>
        <w:rPr/>
        <w:t>this</w:t>
      </w:r>
      <w:r>
        <w:rPr>
          <w:spacing w:val="-8"/>
        </w:rPr>
        <w:t> </w:t>
      </w:r>
      <w:r>
        <w:rPr/>
        <w:t>preliminary</w:t>
      </w:r>
      <w:r>
        <w:rPr>
          <w:spacing w:val="-10"/>
        </w:rPr>
        <w:t> </w:t>
      </w:r>
      <w:r>
        <w:rPr/>
        <w:t>data</w:t>
      </w:r>
      <w:r>
        <w:rPr>
          <w:spacing w:val="-9"/>
        </w:rPr>
        <w:t> </w:t>
      </w:r>
      <w:r>
        <w:rPr/>
        <w:t>suggested</w:t>
      </w:r>
      <w:r>
        <w:rPr>
          <w:spacing w:val="-58"/>
        </w:rPr>
        <w:t> </w:t>
      </w:r>
      <w:r>
        <w:rPr/>
        <w:t>that there is no decrease in ballistic resistance of the CLT panels with elevated moisture</w:t>
      </w:r>
      <w:r>
        <w:rPr>
          <w:spacing w:val="1"/>
        </w:rPr>
        <w:t> </w:t>
      </w:r>
      <w:r>
        <w:rPr/>
        <w:t>contents.</w:t>
      </w:r>
      <w:r>
        <w:rPr>
          <w:spacing w:val="1"/>
        </w:rPr>
        <w:t> </w:t>
      </w:r>
      <w:r>
        <w:rPr/>
        <w:t>This is important because panels used in B-hut or other temporary military</w:t>
      </w:r>
      <w:r>
        <w:rPr>
          <w:spacing w:val="1"/>
        </w:rPr>
        <w:t> </w:t>
      </w:r>
      <w:r>
        <w:rPr/>
        <w:t>structure construction will likely be without any exterior cover or treatment and exposed</w:t>
      </w:r>
      <w:r>
        <w:rPr>
          <w:spacing w:val="1"/>
        </w:rPr>
        <w:t> </w:t>
      </w:r>
      <w:r>
        <w:rPr/>
        <w:t>to</w:t>
      </w:r>
      <w:r>
        <w:rPr>
          <w:spacing w:val="-1"/>
        </w:rPr>
        <w:t> </w:t>
      </w:r>
      <w:r>
        <w:rPr/>
        <w:t>various weather conditions.</w:t>
      </w:r>
    </w:p>
    <w:p>
      <w:pPr>
        <w:pStyle w:val="Heading9"/>
        <w:numPr>
          <w:ilvl w:val="1"/>
          <w:numId w:val="22"/>
        </w:numPr>
        <w:tabs>
          <w:tab w:pos="800" w:val="left" w:leader="none"/>
        </w:tabs>
        <w:spacing w:line="240" w:lineRule="auto" w:before="162" w:after="0"/>
        <w:ind w:left="800" w:right="0" w:hanging="360"/>
        <w:jc w:val="both"/>
      </w:pPr>
      <w:bookmarkStart w:name="_TOC_250028" w:id="336"/>
      <w:bookmarkStart w:name="5.8 Inclusion of fragment simulating pro" w:id="337"/>
      <w:r>
        <w:rPr>
          <w:b w:val="0"/>
        </w:rPr>
      </w:r>
      <w:bookmarkEnd w:id="337"/>
      <w:bookmarkStart w:name="5.8 Inclusion of fragment simulating pro" w:id="338"/>
      <w:r>
        <w:rPr/>
        <w:t>I</w:t>
      </w:r>
      <w:r>
        <w:rPr/>
        <w:t>nclusion</w:t>
      </w:r>
      <w:r>
        <w:rPr>
          <w:spacing w:val="-5"/>
        </w:rPr>
        <w:t> </w:t>
      </w:r>
      <w:r>
        <w:rPr/>
        <w:t>of</w:t>
      </w:r>
      <w:r>
        <w:rPr>
          <w:spacing w:val="-3"/>
        </w:rPr>
        <w:t> </w:t>
      </w:r>
      <w:r>
        <w:rPr/>
        <w:t>fragment</w:t>
      </w:r>
      <w:r>
        <w:rPr>
          <w:spacing w:val="-4"/>
        </w:rPr>
        <w:t> </w:t>
      </w:r>
      <w:r>
        <w:rPr/>
        <w:t>simulating</w:t>
      </w:r>
      <w:r>
        <w:rPr>
          <w:spacing w:val="-3"/>
        </w:rPr>
        <w:t> </w:t>
      </w:r>
      <w:r>
        <w:rPr/>
        <w:t>projectile</w:t>
      </w:r>
      <w:r>
        <w:rPr>
          <w:spacing w:val="-4"/>
        </w:rPr>
        <w:t> </w:t>
      </w:r>
      <w:r>
        <w:rPr/>
        <w:t>(FSP)</w:t>
      </w:r>
      <w:r>
        <w:rPr>
          <w:spacing w:val="-3"/>
        </w:rPr>
        <w:t> </w:t>
      </w:r>
      <w:bookmarkEnd w:id="336"/>
      <w:r>
        <w:rPr/>
        <w:t>data</w:t>
      </w:r>
    </w:p>
    <w:p>
      <w:pPr>
        <w:pStyle w:val="BodyText"/>
        <w:spacing w:before="6"/>
        <w:rPr>
          <w:b/>
          <w:sz w:val="22"/>
        </w:rPr>
      </w:pPr>
    </w:p>
    <w:p>
      <w:pPr>
        <w:pStyle w:val="BodyText"/>
        <w:spacing w:line="480" w:lineRule="auto"/>
        <w:ind w:left="440" w:right="416" w:firstLine="720"/>
        <w:jc w:val="both"/>
      </w:pPr>
      <w:r>
        <w:rPr/>
        <w:t>A small number of tests with the fragment simulating projectile (FSP) resulted in</w:t>
      </w:r>
      <w:r>
        <w:rPr>
          <w:spacing w:val="1"/>
        </w:rPr>
        <w:t> </w:t>
      </w:r>
      <w:r>
        <w:rPr/>
        <w:t>partial perforations.</w:t>
      </w:r>
      <w:r>
        <w:rPr>
          <w:spacing w:val="1"/>
        </w:rPr>
        <w:t> </w:t>
      </w:r>
      <w:r>
        <w:rPr/>
        <w:t>The majority of the data for this heavier projectile resulted in full</w:t>
      </w:r>
      <w:r>
        <w:rPr>
          <w:spacing w:val="1"/>
        </w:rPr>
        <w:t> </w:t>
      </w:r>
      <w:r>
        <w:rPr/>
        <w:t>perforation,</w:t>
      </w:r>
      <w:r>
        <w:rPr>
          <w:spacing w:val="-13"/>
        </w:rPr>
        <w:t> </w:t>
      </w:r>
      <w:r>
        <w:rPr/>
        <w:t>thus</w:t>
      </w:r>
      <w:r>
        <w:rPr>
          <w:spacing w:val="-11"/>
        </w:rPr>
        <w:t> </w:t>
      </w:r>
      <w:r>
        <w:rPr/>
        <w:t>gathering</w:t>
      </w:r>
      <w:r>
        <w:rPr>
          <w:spacing w:val="-11"/>
        </w:rPr>
        <w:t> </w:t>
      </w:r>
      <w:r>
        <w:rPr/>
        <w:t>a</w:t>
      </w:r>
      <w:r>
        <w:rPr>
          <w:spacing w:val="-11"/>
        </w:rPr>
        <w:t> </w:t>
      </w:r>
      <w:r>
        <w:rPr/>
        <w:t>residual</w:t>
      </w:r>
      <w:r>
        <w:rPr>
          <w:spacing w:val="-12"/>
        </w:rPr>
        <w:t> </w:t>
      </w:r>
      <w:r>
        <w:rPr/>
        <w:t>velocity</w:t>
      </w:r>
      <w:r>
        <w:rPr>
          <w:spacing w:val="-11"/>
        </w:rPr>
        <w:t> </w:t>
      </w:r>
      <w:r>
        <w:rPr/>
        <w:t>data</w:t>
      </w:r>
      <w:r>
        <w:rPr>
          <w:spacing w:val="-11"/>
        </w:rPr>
        <w:t> </w:t>
      </w:r>
      <w:r>
        <w:rPr/>
        <w:t>point.</w:t>
      </w:r>
      <w:r>
        <w:rPr>
          <w:spacing w:val="37"/>
        </w:rPr>
        <w:t> </w:t>
      </w:r>
      <w:r>
        <w:rPr/>
        <w:t>Four</w:t>
      </w:r>
      <w:r>
        <w:rPr>
          <w:spacing w:val="-12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eight</w:t>
      </w:r>
      <w:r>
        <w:rPr>
          <w:spacing w:val="-12"/>
        </w:rPr>
        <w:t> </w:t>
      </w:r>
      <w:r>
        <w:rPr/>
        <w:t>shots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FSP</w:t>
      </w:r>
      <w:r>
        <w:rPr>
          <w:spacing w:val="-58"/>
        </w:rPr>
        <w:t> </w:t>
      </w:r>
      <w:r>
        <w:rPr/>
        <w:t>which</w:t>
      </w:r>
      <w:r>
        <w:rPr>
          <w:spacing w:val="-7"/>
        </w:rPr>
        <w:t> </w:t>
      </w:r>
      <w:r>
        <w:rPr/>
        <w:t>resulted</w:t>
      </w:r>
      <w:r>
        <w:rPr>
          <w:spacing w:val="-6"/>
        </w:rPr>
        <w:t> </w:t>
      </w:r>
      <w:r>
        <w:rPr/>
        <w:t>in</w:t>
      </w:r>
      <w:r>
        <w:rPr>
          <w:spacing w:val="-8"/>
        </w:rPr>
        <w:t> </w:t>
      </w:r>
      <w:r>
        <w:rPr/>
        <w:t>an</w:t>
      </w:r>
      <w:r>
        <w:rPr>
          <w:spacing w:val="-6"/>
        </w:rPr>
        <w:t> </w:t>
      </w:r>
      <w:r>
        <w:rPr/>
        <w:t>embedded</w:t>
      </w:r>
      <w:r>
        <w:rPr>
          <w:spacing w:val="-7"/>
        </w:rPr>
        <w:t> </w:t>
      </w:r>
      <w:r>
        <w:rPr/>
        <w:t>projectile</w:t>
      </w:r>
      <w:r>
        <w:rPr>
          <w:spacing w:val="-6"/>
        </w:rPr>
        <w:t> </w:t>
      </w:r>
      <w:r>
        <w:rPr/>
        <w:t>were</w:t>
      </w:r>
      <w:r>
        <w:rPr>
          <w:spacing w:val="-8"/>
        </w:rPr>
        <w:t> </w:t>
      </w:r>
      <w:r>
        <w:rPr/>
        <w:t>SPF-S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other</w:t>
      </w:r>
      <w:r>
        <w:rPr>
          <w:spacing w:val="-6"/>
        </w:rPr>
        <w:t> </w:t>
      </w:r>
      <w:r>
        <w:rPr/>
        <w:t>four</w:t>
      </w:r>
      <w:r>
        <w:rPr>
          <w:spacing w:val="-8"/>
        </w:rPr>
        <w:t> </w:t>
      </w:r>
      <w:r>
        <w:rPr/>
        <w:t>were</w:t>
      </w:r>
      <w:r>
        <w:rPr>
          <w:spacing w:val="-6"/>
        </w:rPr>
        <w:t> </w:t>
      </w:r>
      <w:r>
        <w:rPr/>
        <w:t>SYP.</w:t>
      </w:r>
      <w:r>
        <w:rPr>
          <w:spacing w:val="47"/>
        </w:rPr>
        <w:t> </w:t>
      </w:r>
      <w:r>
        <w:rPr/>
        <w:t>Based</w:t>
      </w:r>
      <w:r>
        <w:rPr>
          <w:spacing w:val="-58"/>
        </w:rPr>
        <w:t> </w:t>
      </w:r>
      <w:r>
        <w:rPr/>
        <w:t>on the low MSE of the revised UFC model and THOR CLT models using the 0.50-in.</w:t>
      </w:r>
      <w:r>
        <w:rPr>
          <w:spacing w:val="1"/>
        </w:rPr>
        <w:t> </w:t>
      </w:r>
      <w:r>
        <w:rPr/>
        <w:t>sphere projectile, both models were re-run with those additional FSP data points for</w:t>
      </w:r>
      <w:r>
        <w:rPr>
          <w:spacing w:val="1"/>
        </w:rPr>
        <w:t> </w:t>
      </w:r>
      <w:r>
        <w:rPr/>
        <w:t>calibration and inclusion of the projectile weight variable.</w:t>
      </w:r>
      <w:r>
        <w:rPr>
          <w:spacing w:val="1"/>
        </w:rPr>
        <w:t> </w:t>
      </w:r>
      <w:hyperlink w:history="true" w:anchor="_bookmark96">
        <w:r>
          <w:rPr/>
          <w:t>Table 5-13 </w:t>
        </w:r>
      </w:hyperlink>
      <w:r>
        <w:rPr/>
        <w:t>shows the MSE</w:t>
      </w:r>
      <w:r>
        <w:rPr>
          <w:spacing w:val="1"/>
        </w:rPr>
        <w:t> </w:t>
      </w:r>
      <w:r>
        <w:rPr/>
        <w:t>values comparing the models based on the sphere-only data versus the combination of the</w:t>
      </w:r>
      <w:r>
        <w:rPr>
          <w:spacing w:val="-57"/>
        </w:rPr>
        <w:t> </w:t>
      </w:r>
      <w:r>
        <w:rPr/>
        <w:t>sphere and FPS projectile data.</w:t>
      </w:r>
      <w:r>
        <w:rPr>
          <w:spacing w:val="1"/>
        </w:rPr>
        <w:t> </w:t>
      </w:r>
      <w:r>
        <w:rPr/>
        <w:t>Both MSE values with inclusion of the FSP data were</w:t>
      </w:r>
      <w:r>
        <w:rPr>
          <w:spacing w:val="1"/>
        </w:rPr>
        <w:t> </w:t>
      </w:r>
      <w:r>
        <w:rPr/>
        <w:t>slightly</w:t>
      </w:r>
      <w:r>
        <w:rPr>
          <w:spacing w:val="-1"/>
        </w:rPr>
        <w:t> </w:t>
      </w:r>
      <w:r>
        <w:rPr/>
        <w:t>improved.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spacing w:before="232"/>
        <w:ind w:left="440" w:right="0" w:firstLine="0"/>
        <w:jc w:val="left"/>
        <w:rPr>
          <w:i/>
          <w:sz w:val="24"/>
        </w:rPr>
      </w:pPr>
      <w:bookmarkStart w:name="_bookmark96" w:id="339"/>
      <w:bookmarkEnd w:id="339"/>
      <w:r>
        <w:rPr/>
      </w:r>
      <w:r>
        <w:rPr>
          <w:i/>
          <w:sz w:val="24"/>
        </w:rPr>
        <w:t>Table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5-13.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MSE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THOR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CLT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Revised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UFC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models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different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projectile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data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sets.</w:t>
      </w:r>
    </w:p>
    <w:p>
      <w:pPr>
        <w:pStyle w:val="BodyText"/>
        <w:spacing w:before="5" w:after="1"/>
        <w:rPr>
          <w:i/>
          <w:sz w:val="17"/>
        </w:rPr>
      </w:pPr>
    </w:p>
    <w:tbl>
      <w:tblPr>
        <w:tblW w:w="0" w:type="auto"/>
        <w:jc w:val="left"/>
        <w:tblInd w:w="25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41"/>
        <w:gridCol w:w="1360"/>
        <w:gridCol w:w="1440"/>
      </w:tblGrid>
      <w:tr>
        <w:trPr>
          <w:trHeight w:val="1011" w:hRule="atLeast"/>
        </w:trPr>
        <w:tc>
          <w:tcPr>
            <w:tcW w:w="1541" w:type="dxa"/>
            <w:tcBorders>
              <w:bottom w:val="single" w:sz="8" w:space="0" w:color="000000"/>
            </w:tcBorders>
            <w:shd w:val="clear" w:color="auto" w:fill="C0C0C0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line="233" w:lineRule="exact" w:before="206"/>
              <w:ind w:left="470"/>
              <w:rPr>
                <w:b/>
                <w:sz w:val="22"/>
              </w:rPr>
            </w:pPr>
            <w:r>
              <w:rPr>
                <w:b/>
                <w:sz w:val="22"/>
              </w:rPr>
              <w:t>Model</w:t>
            </w:r>
          </w:p>
        </w:tc>
        <w:tc>
          <w:tcPr>
            <w:tcW w:w="1360" w:type="dxa"/>
            <w:tcBorders>
              <w:bottom w:val="single" w:sz="8" w:space="0" w:color="000000"/>
            </w:tcBorders>
            <w:shd w:val="clear" w:color="auto" w:fill="C0C0C0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line="250" w:lineRule="atLeast" w:before="209"/>
              <w:ind w:left="132" w:right="94" w:hanging="15"/>
              <w:rPr>
                <w:b/>
                <w:sz w:val="22"/>
              </w:rPr>
            </w:pPr>
            <w:r>
              <w:rPr>
                <w:b/>
                <w:sz w:val="22"/>
              </w:rPr>
              <w:t>Sphere only</w:t>
            </w:r>
            <w:r>
              <w:rPr>
                <w:b/>
                <w:spacing w:val="-53"/>
                <w:sz w:val="22"/>
              </w:rPr>
              <w:t> </w:t>
            </w:r>
            <w:r>
              <w:rPr>
                <w:b/>
                <w:sz w:val="22"/>
              </w:rPr>
              <w:t>(d=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0.50-in)</w:t>
            </w:r>
          </w:p>
        </w:tc>
        <w:tc>
          <w:tcPr>
            <w:tcW w:w="1440" w:type="dxa"/>
            <w:tcBorders>
              <w:bottom w:val="single" w:sz="8" w:space="0" w:color="000000"/>
            </w:tcBorders>
            <w:shd w:val="clear" w:color="auto" w:fill="C0C0C0"/>
          </w:tcPr>
          <w:p>
            <w:pPr>
              <w:pStyle w:val="TableParagraph"/>
              <w:ind w:left="182" w:right="176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Sphere and</w:t>
            </w:r>
            <w:r>
              <w:rPr>
                <w:b/>
                <w:spacing w:val="-53"/>
                <w:sz w:val="22"/>
              </w:rPr>
              <w:t> </w:t>
            </w:r>
            <w:r>
              <w:rPr>
                <w:b/>
                <w:sz w:val="22"/>
              </w:rPr>
              <w:t>FPS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(d=0.50-in.</w:t>
            </w:r>
          </w:p>
          <w:p>
            <w:pPr>
              <w:pStyle w:val="TableParagraph"/>
              <w:spacing w:line="232" w:lineRule="exact"/>
              <w:ind w:left="181" w:right="176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both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)</w:t>
            </w:r>
          </w:p>
        </w:tc>
      </w:tr>
      <w:tr>
        <w:trPr>
          <w:trHeight w:val="300" w:hRule="atLeast"/>
        </w:trPr>
        <w:tc>
          <w:tcPr>
            <w:tcW w:w="1541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34" w:lineRule="exact" w:before="46"/>
              <w:ind w:right="98"/>
              <w:jc w:val="right"/>
              <w:rPr>
                <w:sz w:val="22"/>
              </w:rPr>
            </w:pPr>
            <w:r>
              <w:rPr>
                <w:sz w:val="22"/>
              </w:rPr>
              <w:t>Revised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UFC</w:t>
            </w:r>
          </w:p>
        </w:tc>
        <w:tc>
          <w:tcPr>
            <w:tcW w:w="1360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34" w:lineRule="exact" w:before="46"/>
              <w:ind w:right="422"/>
              <w:jc w:val="right"/>
              <w:rPr>
                <w:sz w:val="22"/>
              </w:rPr>
            </w:pPr>
            <w:r>
              <w:rPr>
                <w:sz w:val="22"/>
              </w:rPr>
              <w:t>0.330</w:t>
            </w:r>
          </w:p>
        </w:tc>
        <w:tc>
          <w:tcPr>
            <w:tcW w:w="1440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34" w:lineRule="exact" w:before="46"/>
              <w:ind w:left="182" w:right="176"/>
              <w:jc w:val="center"/>
              <w:rPr>
                <w:sz w:val="22"/>
              </w:rPr>
            </w:pPr>
            <w:r>
              <w:rPr>
                <w:sz w:val="22"/>
              </w:rPr>
              <w:t>0.320</w:t>
            </w:r>
          </w:p>
        </w:tc>
      </w:tr>
      <w:tr>
        <w:trPr>
          <w:trHeight w:val="299" w:hRule="atLeast"/>
        </w:trPr>
        <w:tc>
          <w:tcPr>
            <w:tcW w:w="1541" w:type="dxa"/>
          </w:tcPr>
          <w:p>
            <w:pPr>
              <w:pStyle w:val="TableParagraph"/>
              <w:spacing w:line="234" w:lineRule="exact" w:before="45"/>
              <w:ind w:right="99"/>
              <w:jc w:val="right"/>
              <w:rPr>
                <w:sz w:val="22"/>
              </w:rPr>
            </w:pPr>
            <w:r>
              <w:rPr>
                <w:sz w:val="22"/>
              </w:rPr>
              <w:t>THOR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CLT</w:t>
            </w:r>
          </w:p>
        </w:tc>
        <w:tc>
          <w:tcPr>
            <w:tcW w:w="1360" w:type="dxa"/>
          </w:tcPr>
          <w:p>
            <w:pPr>
              <w:pStyle w:val="TableParagraph"/>
              <w:spacing w:line="234" w:lineRule="exact" w:before="45"/>
              <w:ind w:right="422"/>
              <w:jc w:val="right"/>
              <w:rPr>
                <w:sz w:val="22"/>
              </w:rPr>
            </w:pPr>
            <w:r>
              <w:rPr>
                <w:sz w:val="22"/>
              </w:rPr>
              <w:t>0.303</w:t>
            </w:r>
          </w:p>
        </w:tc>
        <w:tc>
          <w:tcPr>
            <w:tcW w:w="1440" w:type="dxa"/>
          </w:tcPr>
          <w:p>
            <w:pPr>
              <w:pStyle w:val="TableParagraph"/>
              <w:spacing w:line="234" w:lineRule="exact" w:before="45"/>
              <w:ind w:left="182" w:right="176"/>
              <w:jc w:val="center"/>
              <w:rPr>
                <w:sz w:val="22"/>
              </w:rPr>
            </w:pPr>
            <w:r>
              <w:rPr>
                <w:sz w:val="22"/>
              </w:rPr>
              <w:t>0.299</w:t>
            </w:r>
          </w:p>
        </w:tc>
      </w:tr>
    </w:tbl>
    <w:p>
      <w:pPr>
        <w:spacing w:after="0" w:line="234" w:lineRule="exact"/>
        <w:jc w:val="center"/>
        <w:rPr>
          <w:sz w:val="22"/>
        </w:rPr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40" w:right="403" w:firstLine="720"/>
      </w:pPr>
      <w:hyperlink w:history="true" w:anchor="_bookmark97">
        <w:r>
          <w:rPr/>
          <w:t>Figure 5-35 </w:t>
        </w:r>
      </w:hyperlink>
      <w:r>
        <w:rPr/>
        <w:t>shows just the FSP data and its associated UFC CLT model curves.</w:t>
      </w:r>
      <w:r>
        <w:rPr>
          <w:spacing w:val="1"/>
        </w:rPr>
        <w:t> </w:t>
      </w:r>
      <w:r>
        <w:rPr/>
        <w:t>The two different CLT types were plotted as two separate lines.</w:t>
      </w:r>
      <w:r>
        <w:rPr>
          <w:spacing w:val="1"/>
        </w:rPr>
        <w:t> </w:t>
      </w:r>
      <w:hyperlink w:history="true" w:anchor="_bookmark98">
        <w:r>
          <w:rPr/>
          <w:t>Figure 5-36</w:t>
        </w:r>
      </w:hyperlink>
      <w:r>
        <w:rPr/>
        <w:t> shows the</w:t>
      </w:r>
      <w:r>
        <w:rPr>
          <w:spacing w:val="1"/>
        </w:rPr>
        <w:t> </w:t>
      </w:r>
      <w:r>
        <w:rPr/>
        <w:t>UFC model curves and data for both the FSP and sphere projectile.</w:t>
      </w:r>
      <w:r>
        <w:rPr>
          <w:spacing w:val="1"/>
        </w:rPr>
        <w:t> </w:t>
      </w:r>
      <w:r>
        <w:rPr/>
        <w:t>The FSP curves plot</w:t>
      </w:r>
      <w:r>
        <w:rPr>
          <w:spacing w:val="-58"/>
        </w:rPr>
        <w:t> </w:t>
      </w:r>
      <w:r>
        <w:rPr/>
        <w:t>slightly above the sphere-only projectile curves with the difference between the two</w:t>
      </w:r>
      <w:r>
        <w:rPr>
          <w:spacing w:val="1"/>
        </w:rPr>
        <w:t> </w:t>
      </w:r>
      <w:r>
        <w:rPr/>
        <w:t>curves increasing as the striking velocity increases.</w:t>
      </w:r>
      <w:r>
        <w:rPr>
          <w:spacing w:val="1"/>
        </w:rPr>
        <w:t> </w:t>
      </w:r>
      <w:r>
        <w:rPr/>
        <w:t>The MSE for the recalibrated model</w:t>
      </w:r>
      <w:r>
        <w:rPr>
          <w:spacing w:val="-57"/>
        </w:rPr>
        <w:t> </w:t>
      </w:r>
      <w:r>
        <w:rPr/>
        <w:t>including</w:t>
      </w:r>
      <w:r>
        <w:rPr>
          <w:spacing w:val="-1"/>
        </w:rPr>
        <w:t> </w:t>
      </w:r>
      <w:r>
        <w:rPr/>
        <w:t>the FSP</w:t>
      </w:r>
      <w:r>
        <w:rPr>
          <w:spacing w:val="-1"/>
        </w:rPr>
        <w:t> </w:t>
      </w:r>
      <w:r>
        <w:rPr/>
        <w:t>data is 0.320.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6"/>
        </w:rPr>
      </w:pPr>
    </w:p>
    <w:p>
      <w:pPr>
        <w:spacing w:after="0"/>
        <w:rPr>
          <w:sz w:val="16"/>
        </w:rPr>
        <w:sectPr>
          <w:pgSz w:w="12240" w:h="15840"/>
          <w:pgMar w:header="0" w:footer="1064" w:top="1360" w:bottom="1260" w:left="1720" w:right="1020"/>
        </w:sectPr>
      </w:pPr>
    </w:p>
    <w:p>
      <w:pPr>
        <w:spacing w:before="90"/>
        <w:ind w:left="3382" w:right="0" w:firstLine="0"/>
        <w:jc w:val="left"/>
        <w:rPr>
          <w:sz w:val="25"/>
        </w:rPr>
      </w:pPr>
      <w:r>
        <w:rPr>
          <w:spacing w:val="-1"/>
          <w:sz w:val="25"/>
        </w:rPr>
        <w:t>Striking</w:t>
      </w:r>
      <w:r>
        <w:rPr>
          <w:spacing w:val="-14"/>
          <w:sz w:val="25"/>
        </w:rPr>
        <w:t> </w:t>
      </w:r>
      <w:r>
        <w:rPr>
          <w:spacing w:val="-1"/>
          <w:sz w:val="25"/>
        </w:rPr>
        <w:t>Velocity,</w:t>
      </w:r>
      <w:r>
        <w:rPr>
          <w:spacing w:val="-9"/>
          <w:sz w:val="25"/>
        </w:rPr>
        <w:t> </w:t>
      </w:r>
      <w:r>
        <w:rPr>
          <w:sz w:val="25"/>
        </w:rPr>
        <w:t>V</w:t>
      </w:r>
      <w:r>
        <w:rPr>
          <w:position w:val="-7"/>
          <w:sz w:val="22"/>
        </w:rPr>
        <w:t>s</w:t>
      </w:r>
      <w:r>
        <w:rPr>
          <w:spacing w:val="2"/>
          <w:position w:val="-7"/>
          <w:sz w:val="22"/>
        </w:rPr>
        <w:t> </w:t>
      </w:r>
      <w:r>
        <w:rPr>
          <w:sz w:val="25"/>
        </w:rPr>
        <w:t>(m/s)</w:t>
      </w:r>
    </w:p>
    <w:p>
      <w:pPr>
        <w:spacing w:line="188" w:lineRule="exact" w:before="40"/>
        <w:ind w:left="1279" w:right="0" w:firstLine="0"/>
        <w:jc w:val="left"/>
        <w:rPr>
          <w:sz w:val="17"/>
        </w:rPr>
      </w:pPr>
      <w:r>
        <w:rPr>
          <w:sz w:val="17"/>
        </w:rPr>
        <w:t>180  </w:t>
      </w:r>
      <w:r>
        <w:rPr>
          <w:spacing w:val="14"/>
          <w:sz w:val="17"/>
        </w:rPr>
        <w:t> </w:t>
      </w:r>
      <w:r>
        <w:rPr>
          <w:sz w:val="17"/>
        </w:rPr>
        <w:t>240  </w:t>
      </w:r>
      <w:r>
        <w:rPr>
          <w:spacing w:val="11"/>
          <w:sz w:val="17"/>
        </w:rPr>
        <w:t> </w:t>
      </w:r>
      <w:r>
        <w:rPr>
          <w:sz w:val="17"/>
        </w:rPr>
        <w:t>300  </w:t>
      </w:r>
      <w:r>
        <w:rPr>
          <w:spacing w:val="14"/>
          <w:sz w:val="17"/>
        </w:rPr>
        <w:t> </w:t>
      </w:r>
      <w:r>
        <w:rPr>
          <w:sz w:val="17"/>
        </w:rPr>
        <w:t>360  </w:t>
      </w:r>
      <w:r>
        <w:rPr>
          <w:spacing w:val="11"/>
          <w:sz w:val="17"/>
        </w:rPr>
        <w:t> </w:t>
      </w:r>
      <w:r>
        <w:rPr>
          <w:sz w:val="17"/>
        </w:rPr>
        <w:t>420  </w:t>
      </w:r>
      <w:r>
        <w:rPr>
          <w:spacing w:val="15"/>
          <w:sz w:val="17"/>
        </w:rPr>
        <w:t> </w:t>
      </w:r>
      <w:r>
        <w:rPr>
          <w:sz w:val="17"/>
        </w:rPr>
        <w:t>480  </w:t>
      </w:r>
      <w:r>
        <w:rPr>
          <w:spacing w:val="10"/>
          <w:sz w:val="17"/>
        </w:rPr>
        <w:t> </w:t>
      </w:r>
      <w:r>
        <w:rPr>
          <w:sz w:val="17"/>
        </w:rPr>
        <w:t>540  </w:t>
      </w:r>
      <w:r>
        <w:rPr>
          <w:spacing w:val="15"/>
          <w:sz w:val="17"/>
        </w:rPr>
        <w:t> </w:t>
      </w:r>
      <w:r>
        <w:rPr>
          <w:sz w:val="17"/>
        </w:rPr>
        <w:t>600  </w:t>
      </w:r>
      <w:r>
        <w:rPr>
          <w:spacing w:val="10"/>
          <w:sz w:val="17"/>
        </w:rPr>
        <w:t> </w:t>
      </w:r>
      <w:r>
        <w:rPr>
          <w:sz w:val="17"/>
        </w:rPr>
        <w:t>660  </w:t>
      </w:r>
      <w:r>
        <w:rPr>
          <w:spacing w:val="15"/>
          <w:sz w:val="17"/>
        </w:rPr>
        <w:t> </w:t>
      </w:r>
      <w:r>
        <w:rPr>
          <w:sz w:val="17"/>
        </w:rPr>
        <w:t>720  </w:t>
      </w:r>
      <w:r>
        <w:rPr>
          <w:spacing w:val="11"/>
          <w:sz w:val="17"/>
        </w:rPr>
        <w:t> </w:t>
      </w:r>
      <w:r>
        <w:rPr>
          <w:sz w:val="17"/>
        </w:rPr>
        <w:t>780  </w:t>
      </w:r>
      <w:r>
        <w:rPr>
          <w:spacing w:val="14"/>
          <w:sz w:val="17"/>
        </w:rPr>
        <w:t> </w:t>
      </w:r>
      <w:r>
        <w:rPr>
          <w:sz w:val="17"/>
        </w:rPr>
        <w:t>840  </w:t>
      </w:r>
      <w:r>
        <w:rPr>
          <w:spacing w:val="11"/>
          <w:sz w:val="17"/>
        </w:rPr>
        <w:t> </w:t>
      </w:r>
      <w:r>
        <w:rPr>
          <w:sz w:val="17"/>
        </w:rPr>
        <w:t>900  </w:t>
      </w:r>
      <w:r>
        <w:rPr>
          <w:spacing w:val="10"/>
          <w:sz w:val="17"/>
        </w:rPr>
        <w:t> </w:t>
      </w:r>
      <w:r>
        <w:rPr>
          <w:sz w:val="17"/>
        </w:rPr>
        <w:t>960</w:t>
      </w:r>
      <w:r>
        <w:rPr>
          <w:spacing w:val="31"/>
          <w:sz w:val="17"/>
        </w:rPr>
        <w:t> </w:t>
      </w:r>
      <w:r>
        <w:rPr>
          <w:sz w:val="17"/>
        </w:rPr>
        <w:t>1020</w:t>
      </w:r>
      <w:r>
        <w:rPr>
          <w:spacing w:val="6"/>
          <w:sz w:val="17"/>
        </w:rPr>
        <w:t> </w:t>
      </w:r>
      <w:r>
        <w:rPr>
          <w:sz w:val="17"/>
        </w:rPr>
        <w:t>1080</w:t>
      </w:r>
      <w:r>
        <w:rPr>
          <w:spacing w:val="10"/>
          <w:sz w:val="17"/>
        </w:rPr>
        <w:t> </w:t>
      </w:r>
      <w:r>
        <w:rPr>
          <w:sz w:val="17"/>
        </w:rPr>
        <w:t>1140</w:t>
      </w:r>
      <w:r>
        <w:rPr>
          <w:spacing w:val="6"/>
          <w:sz w:val="17"/>
        </w:rPr>
        <w:t> </w:t>
      </w:r>
      <w:r>
        <w:rPr>
          <w:sz w:val="17"/>
        </w:rPr>
        <w:t>1200</w:t>
      </w:r>
    </w:p>
    <w:p>
      <w:pPr>
        <w:spacing w:line="188" w:lineRule="exact" w:before="0"/>
        <w:ind w:left="801" w:right="0" w:firstLine="0"/>
        <w:jc w:val="left"/>
        <w:rPr>
          <w:sz w:val="17"/>
        </w:rPr>
      </w:pPr>
      <w:r>
        <w:rPr/>
        <w:pict>
          <v:group style="position:absolute;margin-left:138.804794pt;margin-top:4.419052pt;width:361.95pt;height:197.2pt;mso-position-horizontal-relative:page;mso-position-vertical-relative:paragraph;z-index:15849984" coordorigin="2776,88" coordsize="7239,3944">
            <v:shape style="position:absolute;left:2776;top:88;width:7239;height:3944" type="#_x0000_t75" stroked="false">
              <v:imagedata r:id="rId288" o:title=""/>
            </v:shape>
            <v:shape style="position:absolute;left:2776;top:88;width:7239;height:3944" type="#_x0000_t202" filled="false" stroked="false">
              <v:textbox inset="0,0,0,0">
                <w:txbxContent>
                  <w:p>
                    <w:pPr>
                      <w:spacing w:before="155"/>
                      <w:ind w:left="588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SPF-S</w:t>
                    </w:r>
                    <w:r>
                      <w:rPr>
                        <w:spacing w:val="-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data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(FSP)</w:t>
                    </w:r>
                  </w:p>
                  <w:p>
                    <w:pPr>
                      <w:spacing w:line="266" w:lineRule="auto" w:before="26"/>
                      <w:ind w:left="588" w:right="5253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SYP</w:t>
                    </w:r>
                    <w:r>
                      <w:rPr>
                        <w:spacing w:val="-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data</w:t>
                    </w:r>
                    <w:r>
                      <w:rPr>
                        <w:spacing w:val="-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(FSP)</w:t>
                    </w:r>
                    <w:r>
                      <w:rPr>
                        <w:spacing w:val="-5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FSP v. SYP</w:t>
                    </w:r>
                    <w:r>
                      <w:rPr>
                        <w:spacing w:val="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FSP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v.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SPF-S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17"/>
        </w:rPr>
        <w:t>14</w:t>
      </w:r>
    </w:p>
    <w:p>
      <w:pPr>
        <w:spacing w:before="87"/>
        <w:ind w:left="801" w:right="0" w:firstLine="0"/>
        <w:jc w:val="left"/>
        <w:rPr>
          <w:sz w:val="17"/>
        </w:rPr>
      </w:pPr>
      <w:r>
        <w:rPr/>
        <w:pict>
          <v:shape style="position:absolute;margin-left:105.820915pt;margin-top:10.259837pt;width:18.2pt;height:175.9pt;mso-position-horizontal-relative:page;mso-position-vertical-relative:paragraph;z-index:15850496" type="#_x0000_t202" filled="false" stroked="false">
            <v:textbox inset="0,0,0,0" style="layout-flow:vertical;mso-layout-flow-alt:bottom-to-top">
              <w:txbxContent>
                <w:p>
                  <w:pPr>
                    <w:spacing w:before="10"/>
                    <w:ind w:left="20" w:right="0" w:firstLine="0"/>
                    <w:jc w:val="left"/>
                    <w:rPr>
                      <w:sz w:val="25"/>
                    </w:rPr>
                  </w:pPr>
                  <w:r>
                    <w:rPr>
                      <w:sz w:val="25"/>
                    </w:rPr>
                    <w:t>Depth</w:t>
                  </w:r>
                  <w:r>
                    <w:rPr>
                      <w:spacing w:val="-1"/>
                      <w:sz w:val="25"/>
                    </w:rPr>
                    <w:t> </w:t>
                  </w:r>
                  <w:r>
                    <w:rPr>
                      <w:sz w:val="25"/>
                    </w:rPr>
                    <w:t>of</w:t>
                  </w:r>
                  <w:r>
                    <w:rPr>
                      <w:spacing w:val="-1"/>
                      <w:sz w:val="25"/>
                    </w:rPr>
                    <w:t> </w:t>
                  </w:r>
                  <w:r>
                    <w:rPr>
                      <w:sz w:val="25"/>
                    </w:rPr>
                    <w:t>Penetration (T</w:t>
                  </w:r>
                  <w:r>
                    <w:rPr>
                      <w:position w:val="-5"/>
                      <w:sz w:val="19"/>
                    </w:rPr>
                    <w:t>w</w:t>
                  </w:r>
                  <w:r>
                    <w:rPr>
                      <w:sz w:val="25"/>
                    </w:rPr>
                    <w:t>)</w:t>
                  </w:r>
                  <w:r>
                    <w:rPr>
                      <w:spacing w:val="-1"/>
                      <w:sz w:val="25"/>
                    </w:rPr>
                    <w:t> </w:t>
                  </w:r>
                  <w:r>
                    <w:rPr>
                      <w:sz w:val="25"/>
                    </w:rPr>
                    <w:t>(inches)</w:t>
                  </w:r>
                </w:p>
              </w:txbxContent>
            </v:textbox>
            <w10:wrap type="none"/>
          </v:shape>
        </w:pict>
      </w:r>
      <w:r>
        <w:rPr>
          <w:sz w:val="17"/>
        </w:rPr>
        <w:t>13</w:t>
      </w:r>
    </w:p>
    <w:p>
      <w:pPr>
        <w:spacing w:before="83"/>
        <w:ind w:left="801" w:right="0" w:firstLine="0"/>
        <w:jc w:val="left"/>
        <w:rPr>
          <w:sz w:val="17"/>
        </w:rPr>
      </w:pPr>
      <w:r>
        <w:rPr>
          <w:sz w:val="17"/>
        </w:rPr>
        <w:t>12</w:t>
      </w:r>
    </w:p>
    <w:p>
      <w:pPr>
        <w:spacing w:before="83"/>
        <w:ind w:left="801" w:right="0" w:firstLine="0"/>
        <w:jc w:val="left"/>
        <w:rPr>
          <w:sz w:val="17"/>
        </w:rPr>
      </w:pPr>
      <w:r>
        <w:rPr>
          <w:sz w:val="17"/>
        </w:rPr>
        <w:t>11</w:t>
      </w:r>
    </w:p>
    <w:p>
      <w:pPr>
        <w:spacing w:before="87"/>
        <w:ind w:left="801" w:right="0" w:firstLine="0"/>
        <w:jc w:val="left"/>
        <w:rPr>
          <w:sz w:val="17"/>
        </w:rPr>
      </w:pPr>
      <w:r>
        <w:rPr>
          <w:sz w:val="17"/>
        </w:rPr>
        <w:t>10</w:t>
      </w:r>
    </w:p>
    <w:p>
      <w:pPr>
        <w:spacing w:before="83"/>
        <w:ind w:left="887" w:right="0" w:firstLine="0"/>
        <w:jc w:val="left"/>
        <w:rPr>
          <w:sz w:val="17"/>
        </w:rPr>
      </w:pPr>
      <w:r>
        <w:rPr>
          <w:w w:val="101"/>
          <w:sz w:val="17"/>
        </w:rPr>
        <w:t>9</w:t>
      </w:r>
    </w:p>
    <w:p>
      <w:pPr>
        <w:spacing w:before="83"/>
        <w:ind w:left="887" w:right="0" w:firstLine="0"/>
        <w:jc w:val="left"/>
        <w:rPr>
          <w:sz w:val="17"/>
        </w:rPr>
      </w:pPr>
      <w:r>
        <w:rPr>
          <w:w w:val="101"/>
          <w:sz w:val="17"/>
        </w:rPr>
        <w:t>8</w:t>
      </w:r>
    </w:p>
    <w:p>
      <w:pPr>
        <w:spacing w:before="87"/>
        <w:ind w:left="887" w:right="0" w:firstLine="0"/>
        <w:jc w:val="left"/>
        <w:rPr>
          <w:sz w:val="17"/>
        </w:rPr>
      </w:pPr>
      <w:r>
        <w:rPr>
          <w:w w:val="101"/>
          <w:sz w:val="17"/>
        </w:rPr>
        <w:t>7</w:t>
      </w:r>
    </w:p>
    <w:p>
      <w:pPr>
        <w:spacing w:before="83"/>
        <w:ind w:left="887" w:right="0" w:firstLine="0"/>
        <w:jc w:val="left"/>
        <w:rPr>
          <w:sz w:val="17"/>
        </w:rPr>
      </w:pPr>
      <w:r>
        <w:rPr>
          <w:w w:val="101"/>
          <w:sz w:val="17"/>
        </w:rPr>
        <w:t>6</w:t>
      </w:r>
    </w:p>
    <w:p>
      <w:pPr>
        <w:spacing w:before="87"/>
        <w:ind w:left="887" w:right="0" w:firstLine="0"/>
        <w:jc w:val="left"/>
        <w:rPr>
          <w:sz w:val="17"/>
        </w:rPr>
      </w:pPr>
      <w:r>
        <w:rPr>
          <w:w w:val="101"/>
          <w:sz w:val="17"/>
        </w:rPr>
        <w:t>5</w:t>
      </w:r>
    </w:p>
    <w:p>
      <w:pPr>
        <w:spacing w:before="83"/>
        <w:ind w:left="887" w:right="0" w:firstLine="0"/>
        <w:jc w:val="left"/>
        <w:rPr>
          <w:sz w:val="17"/>
        </w:rPr>
      </w:pPr>
      <w:r>
        <w:rPr>
          <w:w w:val="101"/>
          <w:sz w:val="17"/>
        </w:rPr>
        <w:t>4</w:t>
      </w:r>
    </w:p>
    <w:p>
      <w:pPr>
        <w:spacing w:before="83"/>
        <w:ind w:left="887" w:right="0" w:firstLine="0"/>
        <w:jc w:val="left"/>
        <w:rPr>
          <w:sz w:val="17"/>
        </w:rPr>
      </w:pPr>
      <w:r>
        <w:rPr>
          <w:w w:val="101"/>
          <w:sz w:val="17"/>
        </w:rPr>
        <w:t>3</w:t>
      </w:r>
    </w:p>
    <w:p>
      <w:pPr>
        <w:spacing w:before="88"/>
        <w:ind w:left="887" w:right="0" w:firstLine="0"/>
        <w:jc w:val="left"/>
        <w:rPr>
          <w:sz w:val="17"/>
        </w:rPr>
      </w:pPr>
      <w:r>
        <w:rPr>
          <w:w w:val="101"/>
          <w:sz w:val="17"/>
        </w:rPr>
        <w:t>2</w:t>
      </w:r>
    </w:p>
    <w:p>
      <w:pPr>
        <w:spacing w:before="83"/>
        <w:ind w:left="887" w:right="0" w:firstLine="0"/>
        <w:jc w:val="left"/>
        <w:rPr>
          <w:sz w:val="17"/>
        </w:rPr>
      </w:pPr>
      <w:r>
        <w:rPr>
          <w:w w:val="101"/>
          <w:sz w:val="17"/>
        </w:rPr>
        <w:t>1</w:t>
      </w:r>
    </w:p>
    <w:p>
      <w:pPr>
        <w:spacing w:before="83"/>
        <w:ind w:left="887" w:right="0" w:firstLine="0"/>
        <w:jc w:val="left"/>
        <w:rPr>
          <w:sz w:val="17"/>
        </w:rPr>
      </w:pPr>
      <w:r>
        <w:rPr>
          <w:w w:val="101"/>
          <w:sz w:val="17"/>
        </w:rPr>
        <w:t>0</w:t>
      </w:r>
    </w:p>
    <w:p>
      <w:pPr>
        <w:pStyle w:val="BodyText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spacing w:before="113"/>
        <w:ind w:left="46" w:right="0" w:firstLine="0"/>
        <w:jc w:val="left"/>
        <w:rPr>
          <w:sz w:val="17"/>
        </w:rPr>
      </w:pPr>
      <w:r>
        <w:rPr>
          <w:sz w:val="17"/>
        </w:rPr>
        <w:t>35</w:t>
      </w:r>
    </w:p>
    <w:p>
      <w:pPr>
        <w:spacing w:before="79"/>
        <w:ind w:left="46" w:right="0" w:firstLine="0"/>
        <w:jc w:val="left"/>
        <w:rPr>
          <w:sz w:val="17"/>
        </w:rPr>
      </w:pPr>
      <w:r>
        <w:rPr/>
        <w:pict>
          <v:shape style="position:absolute;margin-left:521.517639pt;margin-top:12.997297pt;width:18.2pt;height:159.450pt;mso-position-horizontal-relative:page;mso-position-vertical-relative:paragraph;z-index:15851008" type="#_x0000_t202" filled="false" stroked="false">
            <v:textbox inset="0,0,0,0" style="layout-flow:vertical;mso-layout-flow-alt:bottom-to-top">
              <w:txbxContent>
                <w:p>
                  <w:pPr>
                    <w:spacing w:before="10"/>
                    <w:ind w:left="20" w:right="0" w:firstLine="0"/>
                    <w:jc w:val="left"/>
                    <w:rPr>
                      <w:sz w:val="25"/>
                    </w:rPr>
                  </w:pPr>
                  <w:r>
                    <w:rPr>
                      <w:sz w:val="25"/>
                    </w:rPr>
                    <w:t>Depth of Penetration</w:t>
                  </w:r>
                  <w:r>
                    <w:rPr>
                      <w:spacing w:val="1"/>
                      <w:sz w:val="25"/>
                    </w:rPr>
                    <w:t> </w:t>
                  </w:r>
                  <w:r>
                    <w:rPr>
                      <w:sz w:val="25"/>
                    </w:rPr>
                    <w:t>(T</w:t>
                  </w:r>
                  <w:r>
                    <w:rPr>
                      <w:position w:val="-5"/>
                      <w:sz w:val="19"/>
                    </w:rPr>
                    <w:t>w</w:t>
                  </w:r>
                  <w:r>
                    <w:rPr>
                      <w:sz w:val="25"/>
                    </w:rPr>
                    <w:t>) (cm)</w:t>
                  </w:r>
                </w:p>
              </w:txbxContent>
            </v:textbox>
            <w10:wrap type="none"/>
          </v:shape>
        </w:pict>
      </w:r>
      <w:r>
        <w:rPr>
          <w:sz w:val="17"/>
        </w:rPr>
        <w:t>32.5</w:t>
      </w:r>
    </w:p>
    <w:p>
      <w:pPr>
        <w:spacing w:before="83"/>
        <w:ind w:left="46" w:right="0" w:firstLine="0"/>
        <w:jc w:val="left"/>
        <w:rPr>
          <w:sz w:val="17"/>
        </w:rPr>
      </w:pPr>
      <w:r>
        <w:rPr>
          <w:sz w:val="17"/>
        </w:rPr>
        <w:t>30</w:t>
      </w:r>
    </w:p>
    <w:p>
      <w:pPr>
        <w:spacing w:before="80"/>
        <w:ind w:left="46" w:right="0" w:firstLine="0"/>
        <w:jc w:val="left"/>
        <w:rPr>
          <w:sz w:val="17"/>
        </w:rPr>
      </w:pPr>
      <w:r>
        <w:rPr>
          <w:sz w:val="17"/>
        </w:rPr>
        <w:t>27.5</w:t>
      </w:r>
    </w:p>
    <w:p>
      <w:pPr>
        <w:spacing w:before="79"/>
        <w:ind w:left="46" w:right="0" w:firstLine="0"/>
        <w:jc w:val="left"/>
        <w:rPr>
          <w:sz w:val="17"/>
        </w:rPr>
      </w:pPr>
      <w:r>
        <w:rPr>
          <w:sz w:val="17"/>
        </w:rPr>
        <w:t>25</w:t>
      </w:r>
    </w:p>
    <w:p>
      <w:pPr>
        <w:spacing w:before="79"/>
        <w:ind w:left="46" w:right="0" w:firstLine="0"/>
        <w:jc w:val="left"/>
        <w:rPr>
          <w:sz w:val="17"/>
        </w:rPr>
      </w:pPr>
      <w:r>
        <w:rPr>
          <w:sz w:val="17"/>
        </w:rPr>
        <w:t>22.5</w:t>
      </w:r>
    </w:p>
    <w:p>
      <w:pPr>
        <w:spacing w:before="79"/>
        <w:ind w:left="46" w:right="0" w:firstLine="0"/>
        <w:jc w:val="left"/>
        <w:rPr>
          <w:sz w:val="17"/>
        </w:rPr>
      </w:pPr>
      <w:r>
        <w:rPr>
          <w:sz w:val="17"/>
        </w:rPr>
        <w:t>20</w:t>
      </w:r>
    </w:p>
    <w:p>
      <w:pPr>
        <w:spacing w:before="83"/>
        <w:ind w:left="46" w:right="0" w:firstLine="0"/>
        <w:jc w:val="left"/>
        <w:rPr>
          <w:sz w:val="17"/>
        </w:rPr>
      </w:pPr>
      <w:r>
        <w:rPr>
          <w:sz w:val="17"/>
        </w:rPr>
        <w:t>17.5</w:t>
      </w:r>
    </w:p>
    <w:p>
      <w:pPr>
        <w:spacing w:before="79"/>
        <w:ind w:left="46" w:right="0" w:firstLine="0"/>
        <w:jc w:val="left"/>
        <w:rPr>
          <w:sz w:val="17"/>
        </w:rPr>
      </w:pPr>
      <w:r>
        <w:rPr>
          <w:sz w:val="17"/>
        </w:rPr>
        <w:t>15</w:t>
      </w:r>
    </w:p>
    <w:p>
      <w:pPr>
        <w:spacing w:before="80"/>
        <w:ind w:left="46" w:right="0" w:firstLine="0"/>
        <w:jc w:val="left"/>
        <w:rPr>
          <w:sz w:val="17"/>
        </w:rPr>
      </w:pPr>
      <w:r>
        <w:rPr>
          <w:sz w:val="17"/>
        </w:rPr>
        <w:t>12.5</w:t>
      </w:r>
    </w:p>
    <w:p>
      <w:pPr>
        <w:spacing w:before="79"/>
        <w:ind w:left="46" w:right="0" w:firstLine="0"/>
        <w:jc w:val="left"/>
        <w:rPr>
          <w:sz w:val="17"/>
        </w:rPr>
      </w:pPr>
      <w:r>
        <w:rPr>
          <w:sz w:val="17"/>
        </w:rPr>
        <w:t>10</w:t>
      </w:r>
    </w:p>
    <w:p>
      <w:pPr>
        <w:spacing w:before="83"/>
        <w:ind w:left="46" w:right="0" w:firstLine="0"/>
        <w:jc w:val="left"/>
        <w:rPr>
          <w:sz w:val="17"/>
        </w:rPr>
      </w:pPr>
      <w:r>
        <w:rPr>
          <w:sz w:val="17"/>
        </w:rPr>
        <w:t>7.5</w:t>
      </w:r>
    </w:p>
    <w:p>
      <w:pPr>
        <w:spacing w:before="79"/>
        <w:ind w:left="46" w:right="0" w:firstLine="0"/>
        <w:jc w:val="left"/>
        <w:rPr>
          <w:sz w:val="17"/>
        </w:rPr>
      </w:pPr>
      <w:r>
        <w:rPr>
          <w:w w:val="101"/>
          <w:sz w:val="17"/>
        </w:rPr>
        <w:t>5</w:t>
      </w:r>
    </w:p>
    <w:p>
      <w:pPr>
        <w:spacing w:before="79"/>
        <w:ind w:left="46" w:right="0" w:firstLine="0"/>
        <w:jc w:val="left"/>
        <w:rPr>
          <w:sz w:val="17"/>
        </w:rPr>
      </w:pPr>
      <w:r>
        <w:rPr>
          <w:sz w:val="17"/>
        </w:rPr>
        <w:t>2.5</w:t>
      </w:r>
    </w:p>
    <w:p>
      <w:pPr>
        <w:spacing w:before="79"/>
        <w:ind w:left="46" w:right="0" w:firstLine="0"/>
        <w:jc w:val="left"/>
        <w:rPr>
          <w:sz w:val="17"/>
        </w:rPr>
      </w:pPr>
      <w:r>
        <w:rPr>
          <w:w w:val="101"/>
          <w:sz w:val="17"/>
        </w:rPr>
        <w:t>0</w:t>
      </w:r>
    </w:p>
    <w:p>
      <w:pPr>
        <w:spacing w:after="0"/>
        <w:jc w:val="left"/>
        <w:rPr>
          <w:sz w:val="17"/>
        </w:rPr>
        <w:sectPr>
          <w:type w:val="continuous"/>
          <w:pgSz w:w="12240" w:h="15840"/>
          <w:pgMar w:top="1380" w:bottom="280" w:left="1720" w:right="1020"/>
          <w:cols w:num="2" w:equalWidth="0">
            <w:col w:w="8268" w:space="40"/>
            <w:col w:w="1192"/>
          </w:cols>
        </w:sectPr>
      </w:pPr>
    </w:p>
    <w:p>
      <w:pPr>
        <w:tabs>
          <w:tab w:pos="1746" w:val="left" w:leader="none"/>
          <w:tab w:pos="2480" w:val="left" w:leader="none"/>
          <w:tab w:pos="3284" w:val="left" w:leader="none"/>
          <w:tab w:pos="4085" w:val="left" w:leader="none"/>
          <w:tab w:pos="4885" w:val="left" w:leader="none"/>
          <w:tab w:pos="5689" w:val="left" w:leader="none"/>
          <w:tab w:pos="6490" w:val="left" w:leader="none"/>
          <w:tab w:pos="7290" w:val="left" w:leader="none"/>
          <w:tab w:pos="8094" w:val="left" w:leader="none"/>
        </w:tabs>
        <w:spacing w:before="44"/>
        <w:ind w:left="946" w:right="0" w:firstLine="0"/>
        <w:jc w:val="left"/>
        <w:rPr>
          <w:sz w:val="17"/>
        </w:rPr>
      </w:pPr>
      <w:r>
        <w:rPr>
          <w:sz w:val="17"/>
        </w:rPr>
        <w:t>400</w:t>
        <w:tab/>
        <w:t>800</w:t>
        <w:tab/>
        <w:t>1200</w:t>
        <w:tab/>
        <w:t>1600</w:t>
        <w:tab/>
        <w:t>2000</w:t>
        <w:tab/>
        <w:t>2400</w:t>
        <w:tab/>
        <w:t>2800</w:t>
        <w:tab/>
        <w:t>3200</w:t>
        <w:tab/>
        <w:t>3600</w:t>
        <w:tab/>
        <w:t>4000</w:t>
      </w:r>
    </w:p>
    <w:p>
      <w:pPr>
        <w:pStyle w:val="Heading8"/>
        <w:spacing w:before="39"/>
        <w:ind w:left="213"/>
        <w:jc w:val="center"/>
      </w:pPr>
      <w:r>
        <w:rPr>
          <w:spacing w:val="-1"/>
        </w:rPr>
        <w:t>Striking</w:t>
      </w:r>
      <w:r>
        <w:rPr>
          <w:spacing w:val="-14"/>
        </w:rPr>
        <w:t> </w:t>
      </w:r>
      <w:r>
        <w:rPr>
          <w:spacing w:val="-1"/>
        </w:rPr>
        <w:t>Velocity,</w:t>
      </w:r>
      <w:r>
        <w:rPr>
          <w:spacing w:val="-10"/>
        </w:rPr>
        <w:t> </w:t>
      </w:r>
      <w:r>
        <w:rPr/>
        <w:t>V</w:t>
      </w:r>
      <w:r>
        <w:rPr>
          <w:position w:val="-7"/>
          <w:sz w:val="22"/>
        </w:rPr>
        <w:t>s</w:t>
      </w:r>
      <w:r>
        <w:rPr>
          <w:spacing w:val="1"/>
          <w:position w:val="-7"/>
          <w:sz w:val="22"/>
        </w:rPr>
        <w:t> </w:t>
      </w:r>
      <w:r>
        <w:rPr/>
        <w:t>(fps)</w:t>
      </w:r>
    </w:p>
    <w:p>
      <w:pPr>
        <w:spacing w:before="235"/>
        <w:ind w:left="20" w:right="0" w:firstLine="0"/>
        <w:jc w:val="center"/>
        <w:rPr>
          <w:i/>
          <w:sz w:val="24"/>
        </w:rPr>
      </w:pPr>
      <w:bookmarkStart w:name="_bookmark97" w:id="340"/>
      <w:bookmarkEnd w:id="340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5-35.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FSP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data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recalibrated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UFC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wood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model.</w:t>
      </w:r>
    </w:p>
    <w:p>
      <w:pPr>
        <w:spacing w:after="0"/>
        <w:jc w:val="center"/>
        <w:rPr>
          <w:sz w:val="24"/>
        </w:rPr>
        <w:sectPr>
          <w:type w:val="continuous"/>
          <w:pgSz w:w="12240" w:h="15840"/>
          <w:pgMar w:top="1380" w:bottom="280" w:left="1720" w:right="1020"/>
        </w:sectPr>
      </w:pPr>
    </w:p>
    <w:p>
      <w:pPr>
        <w:pStyle w:val="Heading8"/>
        <w:spacing w:before="72"/>
        <w:ind w:left="3382"/>
      </w:pPr>
      <w:r>
        <w:rPr>
          <w:spacing w:val="-1"/>
        </w:rPr>
        <w:t>Striking</w:t>
      </w:r>
      <w:r>
        <w:rPr>
          <w:spacing w:val="-14"/>
        </w:rPr>
        <w:t> </w:t>
      </w:r>
      <w:r>
        <w:rPr>
          <w:spacing w:val="-1"/>
        </w:rPr>
        <w:t>Velocity,</w:t>
      </w:r>
      <w:r>
        <w:rPr>
          <w:spacing w:val="-11"/>
        </w:rPr>
        <w:t> </w:t>
      </w:r>
      <w:r>
        <w:rPr/>
        <w:t>V</w:t>
      </w:r>
      <w:r>
        <w:rPr>
          <w:position w:val="-7"/>
          <w:sz w:val="22"/>
        </w:rPr>
        <w:t>s</w:t>
      </w:r>
      <w:r>
        <w:rPr>
          <w:spacing w:val="2"/>
          <w:position w:val="-7"/>
          <w:sz w:val="22"/>
        </w:rPr>
        <w:t> </w:t>
      </w:r>
      <w:r>
        <w:rPr/>
        <w:t>(m/s)</w:t>
      </w:r>
    </w:p>
    <w:p>
      <w:pPr>
        <w:spacing w:line="180" w:lineRule="exact" w:before="38"/>
        <w:ind w:left="1281" w:right="0" w:firstLine="0"/>
        <w:jc w:val="left"/>
        <w:rPr>
          <w:sz w:val="17"/>
        </w:rPr>
      </w:pPr>
      <w:r>
        <w:rPr>
          <w:sz w:val="17"/>
        </w:rPr>
        <w:t>180  </w:t>
      </w:r>
      <w:r>
        <w:rPr>
          <w:spacing w:val="14"/>
          <w:sz w:val="17"/>
        </w:rPr>
        <w:t> </w:t>
      </w:r>
      <w:r>
        <w:rPr>
          <w:sz w:val="17"/>
        </w:rPr>
        <w:t>240  </w:t>
      </w:r>
      <w:r>
        <w:rPr>
          <w:spacing w:val="10"/>
          <w:sz w:val="17"/>
        </w:rPr>
        <w:t> </w:t>
      </w:r>
      <w:r>
        <w:rPr>
          <w:sz w:val="17"/>
        </w:rPr>
        <w:t>300  </w:t>
      </w:r>
      <w:r>
        <w:rPr>
          <w:spacing w:val="14"/>
          <w:sz w:val="17"/>
        </w:rPr>
        <w:t> </w:t>
      </w:r>
      <w:r>
        <w:rPr>
          <w:sz w:val="17"/>
        </w:rPr>
        <w:t>360  </w:t>
      </w:r>
      <w:r>
        <w:rPr>
          <w:spacing w:val="10"/>
          <w:sz w:val="17"/>
        </w:rPr>
        <w:t> </w:t>
      </w:r>
      <w:r>
        <w:rPr>
          <w:sz w:val="17"/>
        </w:rPr>
        <w:t>420  </w:t>
      </w:r>
      <w:r>
        <w:rPr>
          <w:spacing w:val="14"/>
          <w:sz w:val="17"/>
        </w:rPr>
        <w:t> </w:t>
      </w:r>
      <w:r>
        <w:rPr>
          <w:sz w:val="17"/>
        </w:rPr>
        <w:t>480  </w:t>
      </w:r>
      <w:r>
        <w:rPr>
          <w:spacing w:val="11"/>
          <w:sz w:val="17"/>
        </w:rPr>
        <w:t> </w:t>
      </w:r>
      <w:r>
        <w:rPr>
          <w:sz w:val="17"/>
        </w:rPr>
        <w:t>540  </w:t>
      </w:r>
      <w:r>
        <w:rPr>
          <w:spacing w:val="14"/>
          <w:sz w:val="17"/>
        </w:rPr>
        <w:t> </w:t>
      </w:r>
      <w:r>
        <w:rPr>
          <w:sz w:val="17"/>
        </w:rPr>
        <w:t>600  </w:t>
      </w:r>
      <w:r>
        <w:rPr>
          <w:spacing w:val="10"/>
          <w:sz w:val="17"/>
        </w:rPr>
        <w:t> </w:t>
      </w:r>
      <w:r>
        <w:rPr>
          <w:sz w:val="17"/>
        </w:rPr>
        <w:t>660  </w:t>
      </w:r>
      <w:r>
        <w:rPr>
          <w:spacing w:val="14"/>
          <w:sz w:val="17"/>
        </w:rPr>
        <w:t> </w:t>
      </w:r>
      <w:r>
        <w:rPr>
          <w:sz w:val="17"/>
        </w:rPr>
        <w:t>720  </w:t>
      </w:r>
      <w:r>
        <w:rPr>
          <w:spacing w:val="10"/>
          <w:sz w:val="17"/>
        </w:rPr>
        <w:t> </w:t>
      </w:r>
      <w:r>
        <w:rPr>
          <w:sz w:val="17"/>
        </w:rPr>
        <w:t>780  </w:t>
      </w:r>
      <w:r>
        <w:rPr>
          <w:spacing w:val="15"/>
          <w:sz w:val="17"/>
        </w:rPr>
        <w:t> </w:t>
      </w:r>
      <w:r>
        <w:rPr>
          <w:sz w:val="17"/>
        </w:rPr>
        <w:t>840  </w:t>
      </w:r>
      <w:r>
        <w:rPr>
          <w:spacing w:val="10"/>
          <w:sz w:val="17"/>
        </w:rPr>
        <w:t> </w:t>
      </w:r>
      <w:r>
        <w:rPr>
          <w:sz w:val="17"/>
        </w:rPr>
        <w:t>900  </w:t>
      </w:r>
      <w:r>
        <w:rPr>
          <w:spacing w:val="10"/>
          <w:sz w:val="17"/>
        </w:rPr>
        <w:t> </w:t>
      </w:r>
      <w:r>
        <w:rPr>
          <w:sz w:val="17"/>
        </w:rPr>
        <w:t>960</w:t>
      </w:r>
      <w:r>
        <w:rPr>
          <w:spacing w:val="30"/>
          <w:sz w:val="17"/>
        </w:rPr>
        <w:t> </w:t>
      </w:r>
      <w:r>
        <w:rPr>
          <w:sz w:val="17"/>
        </w:rPr>
        <w:t>1020</w:t>
      </w:r>
      <w:r>
        <w:rPr>
          <w:spacing w:val="6"/>
          <w:sz w:val="17"/>
        </w:rPr>
        <w:t> </w:t>
      </w:r>
      <w:r>
        <w:rPr>
          <w:sz w:val="17"/>
        </w:rPr>
        <w:t>1080</w:t>
      </w:r>
      <w:r>
        <w:rPr>
          <w:spacing w:val="10"/>
          <w:sz w:val="17"/>
        </w:rPr>
        <w:t> </w:t>
      </w:r>
      <w:r>
        <w:rPr>
          <w:sz w:val="17"/>
        </w:rPr>
        <w:t>1140</w:t>
      </w:r>
      <w:r>
        <w:rPr>
          <w:spacing w:val="5"/>
          <w:sz w:val="17"/>
        </w:rPr>
        <w:t> </w:t>
      </w:r>
      <w:r>
        <w:rPr>
          <w:sz w:val="17"/>
        </w:rPr>
        <w:t>1200</w:t>
      </w:r>
    </w:p>
    <w:p>
      <w:pPr>
        <w:spacing w:line="180" w:lineRule="exact" w:before="0"/>
        <w:ind w:left="804" w:right="0" w:firstLine="0"/>
        <w:jc w:val="left"/>
        <w:rPr>
          <w:sz w:val="17"/>
        </w:rPr>
      </w:pPr>
      <w:r>
        <w:rPr/>
        <w:pict>
          <v:group style="position:absolute;margin-left:138.162704pt;margin-top:3.376116pt;width:361.5pt;height:196.9pt;mso-position-horizontal-relative:page;mso-position-vertical-relative:paragraph;z-index:15851520" coordorigin="2763,68" coordsize="7230,3938">
            <v:shape style="position:absolute;left:2763;top:67;width:7230;height:3938" type="#_x0000_t75" stroked="false">
              <v:imagedata r:id="rId289" o:title=""/>
            </v:shape>
            <v:shape style="position:absolute;left:2763;top:67;width:7230;height:3938" type="#_x0000_t202" filled="false" stroked="false">
              <v:textbox inset="0,0,0,0">
                <w:txbxContent>
                  <w:p>
                    <w:pPr>
                      <w:spacing w:line="264" w:lineRule="auto" w:before="136"/>
                      <w:ind w:left="619" w:right="484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SPF-S</w:t>
                    </w:r>
                    <w:r>
                      <w:rPr>
                        <w:spacing w:val="-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data</w:t>
                    </w:r>
                    <w:r>
                      <w:rPr>
                        <w:spacing w:val="-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(sphere)</w:t>
                    </w:r>
                    <w:r>
                      <w:rPr>
                        <w:spacing w:val="-5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SYP</w:t>
                    </w:r>
                    <w:r>
                      <w:rPr>
                        <w:spacing w:val="-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data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(sphere)</w:t>
                    </w:r>
                  </w:p>
                  <w:p>
                    <w:pPr>
                      <w:spacing w:before="6"/>
                      <w:ind w:left="321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w w:val="101"/>
                        <w:sz w:val="17"/>
                        <w:u w:val="single" w:color="00FF00"/>
                      </w:rPr>
                      <w:t> </w:t>
                    </w:r>
                    <w:r>
                      <w:rPr>
                        <w:sz w:val="17"/>
                        <w:u w:val="single" w:color="00FF00"/>
                      </w:rPr>
                      <w:t>    </w:t>
                    </w:r>
                    <w:r>
                      <w:rPr>
                        <w:spacing w:val="-13"/>
                        <w:sz w:val="17"/>
                        <w:u w:val="single" w:color="00FF00"/>
                      </w:rPr>
                      <w:t> </w:t>
                    </w:r>
                    <w:r>
                      <w:rPr>
                        <w:spacing w:val="12"/>
                        <w:sz w:val="17"/>
                      </w:rPr>
                      <w:t> </w:t>
                    </w:r>
                    <w:r>
                      <w:rPr>
                        <w:position w:val="1"/>
                        <w:sz w:val="22"/>
                      </w:rPr>
                      <w:t>Sphere</w:t>
                    </w:r>
                    <w:r>
                      <w:rPr>
                        <w:spacing w:val="-2"/>
                        <w:position w:val="1"/>
                        <w:sz w:val="22"/>
                      </w:rPr>
                      <w:t> </w:t>
                    </w:r>
                    <w:r>
                      <w:rPr>
                        <w:position w:val="1"/>
                        <w:sz w:val="22"/>
                      </w:rPr>
                      <w:t>v.</w:t>
                    </w:r>
                    <w:r>
                      <w:rPr>
                        <w:spacing w:val="-3"/>
                        <w:position w:val="1"/>
                        <w:sz w:val="22"/>
                      </w:rPr>
                      <w:t> </w:t>
                    </w:r>
                    <w:r>
                      <w:rPr>
                        <w:position w:val="1"/>
                        <w:sz w:val="22"/>
                      </w:rPr>
                      <w:t>SPF-S</w:t>
                    </w:r>
                  </w:p>
                  <w:p>
                    <w:pPr>
                      <w:spacing w:line="268" w:lineRule="auto" w:before="19"/>
                      <w:ind w:left="619" w:right="5057" w:hanging="275"/>
                      <w:jc w:val="left"/>
                      <w:rPr>
                        <w:sz w:val="22"/>
                      </w:rPr>
                    </w:pPr>
                    <w:r>
                      <w:rPr>
                        <w:w w:val="101"/>
                        <w:sz w:val="17"/>
                        <w:u w:val="single" w:color="FF6600"/>
                      </w:rPr>
                      <w:t> </w:t>
                    </w:r>
                    <w:r>
                      <w:rPr>
                        <w:sz w:val="17"/>
                        <w:u w:val="single" w:color="FF6600"/>
                      </w:rPr>
                      <w:t>   </w:t>
                    </w:r>
                    <w:r>
                      <w:rPr>
                        <w:spacing w:val="6"/>
                        <w:sz w:val="17"/>
                        <w:u w:val="single" w:color="FF6600"/>
                      </w:rPr>
                      <w:t> </w:t>
                    </w:r>
                    <w:r>
                      <w:rPr>
                        <w:spacing w:val="12"/>
                        <w:sz w:val="17"/>
                      </w:rPr>
                      <w:t> </w:t>
                    </w:r>
                    <w:r>
                      <w:rPr>
                        <w:position w:val="2"/>
                        <w:sz w:val="22"/>
                      </w:rPr>
                      <w:t>Sphere v. SYP</w:t>
                    </w:r>
                    <w:r>
                      <w:rPr>
                        <w:spacing w:val="1"/>
                        <w:position w:val="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SPF-S</w:t>
                    </w:r>
                    <w:r>
                      <w:rPr>
                        <w:spacing w:val="-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data</w:t>
                    </w:r>
                    <w:r>
                      <w:rPr>
                        <w:spacing w:val="-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(FSP)</w:t>
                    </w:r>
                  </w:p>
                  <w:p>
                    <w:pPr>
                      <w:spacing w:line="264" w:lineRule="auto" w:before="0"/>
                      <w:ind w:left="619" w:right="5215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SYP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data</w:t>
                    </w:r>
                    <w:r>
                      <w:rPr>
                        <w:spacing w:val="-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(FSP)</w:t>
                    </w:r>
                    <w:r>
                      <w:rPr>
                        <w:spacing w:val="-5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FSP v. SYP</w:t>
                    </w:r>
                    <w:r>
                      <w:rPr>
                        <w:spacing w:val="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FSP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v.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SPF-S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17"/>
        </w:rPr>
        <w:t>14</w:t>
      </w:r>
    </w:p>
    <w:p>
      <w:pPr>
        <w:spacing w:before="87"/>
        <w:ind w:left="804" w:right="0" w:firstLine="0"/>
        <w:jc w:val="left"/>
        <w:rPr>
          <w:sz w:val="17"/>
        </w:rPr>
      </w:pPr>
      <w:r>
        <w:rPr/>
        <w:pict>
          <v:shape style="position:absolute;margin-left:106.000427pt;margin-top:10.280853pt;width:18.150pt;height:175.65pt;mso-position-horizontal-relative:page;mso-position-vertical-relative:paragraph;z-index:15852032" type="#_x0000_t202" filled="false" stroked="false">
            <v:textbox inset="0,0,0,0" style="layout-flow:vertical;mso-layout-flow-alt:bottom-to-top">
              <w:txbxContent>
                <w:p>
                  <w:pPr>
                    <w:spacing w:before="10"/>
                    <w:ind w:left="20" w:right="0" w:firstLine="0"/>
                    <w:jc w:val="left"/>
                    <w:rPr>
                      <w:sz w:val="25"/>
                    </w:rPr>
                  </w:pPr>
                  <w:r>
                    <w:rPr>
                      <w:sz w:val="25"/>
                    </w:rPr>
                    <w:t>Depth</w:t>
                  </w:r>
                  <w:r>
                    <w:rPr>
                      <w:spacing w:val="-2"/>
                      <w:sz w:val="25"/>
                    </w:rPr>
                    <w:t> </w:t>
                  </w:r>
                  <w:r>
                    <w:rPr>
                      <w:sz w:val="25"/>
                    </w:rPr>
                    <w:t>of</w:t>
                  </w:r>
                  <w:r>
                    <w:rPr>
                      <w:spacing w:val="-3"/>
                      <w:sz w:val="25"/>
                    </w:rPr>
                    <w:t> </w:t>
                  </w:r>
                  <w:r>
                    <w:rPr>
                      <w:sz w:val="25"/>
                    </w:rPr>
                    <w:t>Penetration</w:t>
                  </w:r>
                  <w:r>
                    <w:rPr>
                      <w:spacing w:val="-1"/>
                      <w:sz w:val="25"/>
                    </w:rPr>
                    <w:t> </w:t>
                  </w:r>
                  <w:r>
                    <w:rPr>
                      <w:sz w:val="25"/>
                    </w:rPr>
                    <w:t>(T</w:t>
                  </w:r>
                  <w:r>
                    <w:rPr>
                      <w:position w:val="-5"/>
                      <w:sz w:val="19"/>
                    </w:rPr>
                    <w:t>w</w:t>
                  </w:r>
                  <w:r>
                    <w:rPr>
                      <w:sz w:val="25"/>
                    </w:rPr>
                    <w:t>)</w:t>
                  </w:r>
                  <w:r>
                    <w:rPr>
                      <w:spacing w:val="-3"/>
                      <w:sz w:val="25"/>
                    </w:rPr>
                    <w:t> </w:t>
                  </w:r>
                  <w:r>
                    <w:rPr>
                      <w:sz w:val="25"/>
                    </w:rPr>
                    <w:t>(inches)</w:t>
                  </w:r>
                </w:p>
              </w:txbxContent>
            </v:textbox>
            <w10:wrap type="none"/>
          </v:shape>
        </w:pict>
      </w:r>
      <w:r>
        <w:rPr>
          <w:sz w:val="17"/>
        </w:rPr>
        <w:t>13</w:t>
      </w:r>
    </w:p>
    <w:p>
      <w:pPr>
        <w:spacing w:before="83"/>
        <w:ind w:left="804" w:right="0" w:firstLine="0"/>
        <w:jc w:val="left"/>
        <w:rPr>
          <w:sz w:val="17"/>
        </w:rPr>
      </w:pPr>
      <w:r>
        <w:rPr>
          <w:sz w:val="17"/>
        </w:rPr>
        <w:t>12</w:t>
      </w:r>
    </w:p>
    <w:p>
      <w:pPr>
        <w:spacing w:before="82"/>
        <w:ind w:left="804" w:right="0" w:firstLine="0"/>
        <w:jc w:val="left"/>
        <w:rPr>
          <w:sz w:val="17"/>
        </w:rPr>
      </w:pPr>
      <w:r>
        <w:rPr>
          <w:sz w:val="17"/>
        </w:rPr>
        <w:t>11</w:t>
      </w:r>
    </w:p>
    <w:p>
      <w:pPr>
        <w:spacing w:before="87"/>
        <w:ind w:left="804" w:right="0" w:firstLine="0"/>
        <w:jc w:val="left"/>
        <w:rPr>
          <w:sz w:val="17"/>
        </w:rPr>
      </w:pPr>
      <w:r>
        <w:rPr>
          <w:sz w:val="17"/>
        </w:rPr>
        <w:t>10</w:t>
      </w:r>
    </w:p>
    <w:p>
      <w:pPr>
        <w:spacing w:before="83"/>
        <w:ind w:left="890" w:right="0" w:firstLine="0"/>
        <w:jc w:val="left"/>
        <w:rPr>
          <w:sz w:val="17"/>
        </w:rPr>
      </w:pPr>
      <w:r>
        <w:rPr>
          <w:w w:val="101"/>
          <w:sz w:val="17"/>
        </w:rPr>
        <w:t>9</w:t>
      </w:r>
    </w:p>
    <w:p>
      <w:pPr>
        <w:spacing w:before="82"/>
        <w:ind w:left="890" w:right="0" w:firstLine="0"/>
        <w:jc w:val="left"/>
        <w:rPr>
          <w:sz w:val="17"/>
        </w:rPr>
      </w:pPr>
      <w:r>
        <w:rPr>
          <w:w w:val="101"/>
          <w:sz w:val="17"/>
        </w:rPr>
        <w:t>8</w:t>
      </w:r>
    </w:p>
    <w:p>
      <w:pPr>
        <w:spacing w:before="87"/>
        <w:ind w:left="890" w:right="0" w:firstLine="0"/>
        <w:jc w:val="left"/>
        <w:rPr>
          <w:sz w:val="17"/>
        </w:rPr>
      </w:pPr>
      <w:r>
        <w:rPr>
          <w:w w:val="101"/>
          <w:sz w:val="17"/>
        </w:rPr>
        <w:t>7</w:t>
      </w:r>
    </w:p>
    <w:p>
      <w:pPr>
        <w:spacing w:before="83"/>
        <w:ind w:left="890" w:right="0" w:firstLine="0"/>
        <w:jc w:val="left"/>
        <w:rPr>
          <w:sz w:val="17"/>
        </w:rPr>
      </w:pPr>
      <w:r>
        <w:rPr>
          <w:w w:val="101"/>
          <w:sz w:val="17"/>
        </w:rPr>
        <w:t>6</w:t>
      </w:r>
    </w:p>
    <w:p>
      <w:pPr>
        <w:spacing w:before="86"/>
        <w:ind w:left="890" w:right="0" w:firstLine="0"/>
        <w:jc w:val="left"/>
        <w:rPr>
          <w:sz w:val="17"/>
        </w:rPr>
      </w:pPr>
      <w:r>
        <w:rPr>
          <w:w w:val="101"/>
          <w:sz w:val="17"/>
        </w:rPr>
        <w:t>5</w:t>
      </w:r>
    </w:p>
    <w:p>
      <w:pPr>
        <w:spacing w:before="83"/>
        <w:ind w:left="890" w:right="0" w:firstLine="0"/>
        <w:jc w:val="left"/>
        <w:rPr>
          <w:sz w:val="17"/>
        </w:rPr>
      </w:pPr>
      <w:r>
        <w:rPr>
          <w:w w:val="101"/>
          <w:sz w:val="17"/>
        </w:rPr>
        <w:t>4</w:t>
      </w:r>
    </w:p>
    <w:p>
      <w:pPr>
        <w:spacing w:before="83"/>
        <w:ind w:left="890" w:right="0" w:firstLine="0"/>
        <w:jc w:val="left"/>
        <w:rPr>
          <w:sz w:val="17"/>
        </w:rPr>
      </w:pPr>
      <w:r>
        <w:rPr>
          <w:w w:val="101"/>
          <w:sz w:val="17"/>
        </w:rPr>
        <w:t>3</w:t>
      </w:r>
    </w:p>
    <w:p>
      <w:pPr>
        <w:spacing w:before="86"/>
        <w:ind w:left="890" w:right="0" w:firstLine="0"/>
        <w:jc w:val="left"/>
        <w:rPr>
          <w:sz w:val="17"/>
        </w:rPr>
      </w:pPr>
      <w:r>
        <w:rPr>
          <w:w w:val="101"/>
          <w:sz w:val="17"/>
        </w:rPr>
        <w:t>2</w:t>
      </w:r>
    </w:p>
    <w:p>
      <w:pPr>
        <w:spacing w:before="83"/>
        <w:ind w:left="890" w:right="0" w:firstLine="0"/>
        <w:jc w:val="left"/>
        <w:rPr>
          <w:sz w:val="17"/>
        </w:rPr>
      </w:pPr>
      <w:r>
        <w:rPr>
          <w:w w:val="101"/>
          <w:sz w:val="17"/>
        </w:rPr>
        <w:t>1</w:t>
      </w:r>
    </w:p>
    <w:p>
      <w:pPr>
        <w:spacing w:before="83"/>
        <w:ind w:left="890" w:right="0" w:firstLine="0"/>
        <w:jc w:val="left"/>
        <w:rPr>
          <w:sz w:val="17"/>
        </w:rPr>
      </w:pPr>
      <w:r>
        <w:rPr>
          <w:w w:val="101"/>
          <w:sz w:val="17"/>
        </w:rPr>
        <w:t>0</w:t>
      </w:r>
    </w:p>
    <w:p>
      <w:pPr>
        <w:pStyle w:val="BodyText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rPr>
          <w:sz w:val="18"/>
        </w:rPr>
      </w:pPr>
    </w:p>
    <w:p>
      <w:pPr>
        <w:pStyle w:val="BodyText"/>
        <w:spacing w:before="8"/>
      </w:pPr>
    </w:p>
    <w:p>
      <w:pPr>
        <w:spacing w:before="0"/>
        <w:ind w:left="46" w:right="0" w:firstLine="0"/>
        <w:jc w:val="left"/>
        <w:rPr>
          <w:sz w:val="17"/>
        </w:rPr>
      </w:pPr>
      <w:r>
        <w:rPr>
          <w:sz w:val="17"/>
        </w:rPr>
        <w:t>35</w:t>
      </w:r>
    </w:p>
    <w:p>
      <w:pPr>
        <w:spacing w:before="79"/>
        <w:ind w:left="46" w:right="0" w:firstLine="0"/>
        <w:jc w:val="left"/>
        <w:rPr>
          <w:sz w:val="17"/>
        </w:rPr>
      </w:pPr>
      <w:r>
        <w:rPr/>
        <w:pict>
          <v:shape style="position:absolute;margin-left:521.154175pt;margin-top:13.026069pt;width:18.2pt;height:159.2pt;mso-position-horizontal-relative:page;mso-position-vertical-relative:paragraph;z-index:15852544" type="#_x0000_t202" filled="false" stroked="false">
            <v:textbox inset="0,0,0,0" style="layout-flow:vertical;mso-layout-flow-alt:bottom-to-top">
              <w:txbxContent>
                <w:p>
                  <w:pPr>
                    <w:spacing w:before="10"/>
                    <w:ind w:left="20" w:right="0" w:firstLine="0"/>
                    <w:jc w:val="left"/>
                    <w:rPr>
                      <w:sz w:val="25"/>
                    </w:rPr>
                  </w:pPr>
                  <w:r>
                    <w:rPr>
                      <w:sz w:val="25"/>
                    </w:rPr>
                    <w:t>Depth</w:t>
                  </w:r>
                  <w:r>
                    <w:rPr>
                      <w:spacing w:val="-1"/>
                      <w:sz w:val="25"/>
                    </w:rPr>
                    <w:t> </w:t>
                  </w:r>
                  <w:r>
                    <w:rPr>
                      <w:sz w:val="25"/>
                    </w:rPr>
                    <w:t>of</w:t>
                  </w:r>
                  <w:r>
                    <w:rPr>
                      <w:spacing w:val="-2"/>
                      <w:sz w:val="25"/>
                    </w:rPr>
                    <w:t> </w:t>
                  </w:r>
                  <w:r>
                    <w:rPr>
                      <w:sz w:val="25"/>
                    </w:rPr>
                    <w:t>Penetration (T</w:t>
                  </w:r>
                  <w:r>
                    <w:rPr>
                      <w:position w:val="-5"/>
                      <w:sz w:val="19"/>
                    </w:rPr>
                    <w:t>w</w:t>
                  </w:r>
                  <w:r>
                    <w:rPr>
                      <w:sz w:val="25"/>
                    </w:rPr>
                    <w:t>)</w:t>
                  </w:r>
                  <w:r>
                    <w:rPr>
                      <w:spacing w:val="-2"/>
                      <w:sz w:val="25"/>
                    </w:rPr>
                    <w:t> </w:t>
                  </w:r>
                  <w:r>
                    <w:rPr>
                      <w:sz w:val="25"/>
                    </w:rPr>
                    <w:t>(cm)</w:t>
                  </w:r>
                </w:p>
              </w:txbxContent>
            </v:textbox>
            <w10:wrap type="none"/>
          </v:shape>
        </w:pict>
      </w:r>
      <w:r>
        <w:rPr>
          <w:sz w:val="17"/>
        </w:rPr>
        <w:t>32.5</w:t>
      </w:r>
    </w:p>
    <w:p>
      <w:pPr>
        <w:spacing w:before="83"/>
        <w:ind w:left="46" w:right="0" w:firstLine="0"/>
        <w:jc w:val="left"/>
        <w:rPr>
          <w:sz w:val="17"/>
        </w:rPr>
      </w:pPr>
      <w:r>
        <w:rPr>
          <w:sz w:val="17"/>
        </w:rPr>
        <w:t>30</w:t>
      </w:r>
    </w:p>
    <w:p>
      <w:pPr>
        <w:spacing w:before="79"/>
        <w:ind w:left="46" w:right="0" w:firstLine="0"/>
        <w:jc w:val="left"/>
        <w:rPr>
          <w:sz w:val="17"/>
        </w:rPr>
      </w:pPr>
      <w:r>
        <w:rPr>
          <w:sz w:val="17"/>
        </w:rPr>
        <w:t>27.5</w:t>
      </w:r>
    </w:p>
    <w:p>
      <w:pPr>
        <w:spacing w:before="78"/>
        <w:ind w:left="46" w:right="0" w:firstLine="0"/>
        <w:jc w:val="left"/>
        <w:rPr>
          <w:sz w:val="17"/>
        </w:rPr>
      </w:pPr>
      <w:r>
        <w:rPr>
          <w:sz w:val="17"/>
        </w:rPr>
        <w:t>25</w:t>
      </w:r>
    </w:p>
    <w:p>
      <w:pPr>
        <w:spacing w:before="79"/>
        <w:ind w:left="46" w:right="0" w:firstLine="0"/>
        <w:jc w:val="left"/>
        <w:rPr>
          <w:sz w:val="17"/>
        </w:rPr>
      </w:pPr>
      <w:r>
        <w:rPr>
          <w:sz w:val="17"/>
        </w:rPr>
        <w:t>22.5</w:t>
      </w:r>
    </w:p>
    <w:p>
      <w:pPr>
        <w:spacing w:before="79"/>
        <w:ind w:left="46" w:right="0" w:firstLine="0"/>
        <w:jc w:val="left"/>
        <w:rPr>
          <w:sz w:val="17"/>
        </w:rPr>
      </w:pPr>
      <w:r>
        <w:rPr>
          <w:sz w:val="17"/>
        </w:rPr>
        <w:t>20</w:t>
      </w:r>
    </w:p>
    <w:p>
      <w:pPr>
        <w:spacing w:before="83"/>
        <w:ind w:left="46" w:right="0" w:firstLine="0"/>
        <w:jc w:val="left"/>
        <w:rPr>
          <w:sz w:val="17"/>
        </w:rPr>
      </w:pPr>
      <w:r>
        <w:rPr>
          <w:sz w:val="17"/>
        </w:rPr>
        <w:t>17.5</w:t>
      </w:r>
    </w:p>
    <w:p>
      <w:pPr>
        <w:spacing w:before="79"/>
        <w:ind w:left="46" w:right="0" w:firstLine="0"/>
        <w:jc w:val="left"/>
        <w:rPr>
          <w:sz w:val="17"/>
        </w:rPr>
      </w:pPr>
      <w:r>
        <w:rPr>
          <w:sz w:val="17"/>
        </w:rPr>
        <w:t>15</w:t>
      </w:r>
    </w:p>
    <w:p>
      <w:pPr>
        <w:spacing w:before="78"/>
        <w:ind w:left="46" w:right="0" w:firstLine="0"/>
        <w:jc w:val="left"/>
        <w:rPr>
          <w:sz w:val="17"/>
        </w:rPr>
      </w:pPr>
      <w:r>
        <w:rPr>
          <w:sz w:val="17"/>
        </w:rPr>
        <w:t>12.5</w:t>
      </w:r>
    </w:p>
    <w:p>
      <w:pPr>
        <w:spacing w:before="79"/>
        <w:ind w:left="46" w:right="0" w:firstLine="0"/>
        <w:jc w:val="left"/>
        <w:rPr>
          <w:sz w:val="17"/>
        </w:rPr>
      </w:pPr>
      <w:r>
        <w:rPr>
          <w:sz w:val="17"/>
        </w:rPr>
        <w:t>10</w:t>
      </w:r>
    </w:p>
    <w:p>
      <w:pPr>
        <w:spacing w:before="83"/>
        <w:ind w:left="46" w:right="0" w:firstLine="0"/>
        <w:jc w:val="left"/>
        <w:rPr>
          <w:sz w:val="17"/>
        </w:rPr>
      </w:pPr>
      <w:r>
        <w:rPr>
          <w:sz w:val="17"/>
        </w:rPr>
        <w:t>7.5</w:t>
      </w:r>
    </w:p>
    <w:p>
      <w:pPr>
        <w:spacing w:before="79"/>
        <w:ind w:left="46" w:right="0" w:firstLine="0"/>
        <w:jc w:val="left"/>
        <w:rPr>
          <w:sz w:val="17"/>
        </w:rPr>
      </w:pPr>
      <w:r>
        <w:rPr>
          <w:w w:val="101"/>
          <w:sz w:val="17"/>
        </w:rPr>
        <w:t>5</w:t>
      </w:r>
    </w:p>
    <w:p>
      <w:pPr>
        <w:spacing w:before="79"/>
        <w:ind w:left="46" w:right="0" w:firstLine="0"/>
        <w:jc w:val="left"/>
        <w:rPr>
          <w:sz w:val="17"/>
        </w:rPr>
      </w:pPr>
      <w:r>
        <w:rPr>
          <w:sz w:val="17"/>
        </w:rPr>
        <w:t>2.5</w:t>
      </w:r>
    </w:p>
    <w:p>
      <w:pPr>
        <w:spacing w:before="78"/>
        <w:ind w:left="46" w:right="0" w:firstLine="0"/>
        <w:jc w:val="left"/>
        <w:rPr>
          <w:sz w:val="17"/>
        </w:rPr>
      </w:pPr>
      <w:r>
        <w:rPr>
          <w:w w:val="101"/>
          <w:sz w:val="17"/>
        </w:rPr>
        <w:t>0</w:t>
      </w:r>
    </w:p>
    <w:p>
      <w:pPr>
        <w:spacing w:after="0"/>
        <w:jc w:val="left"/>
        <w:rPr>
          <w:sz w:val="17"/>
        </w:rPr>
        <w:sectPr>
          <w:pgSz w:w="12240" w:h="15840"/>
          <w:pgMar w:header="0" w:footer="1064" w:top="1340" w:bottom="1260" w:left="1720" w:right="1020"/>
          <w:cols w:num="2" w:equalWidth="0">
            <w:col w:w="8261" w:space="40"/>
            <w:col w:w="1199"/>
          </w:cols>
        </w:sectPr>
      </w:pPr>
    </w:p>
    <w:p>
      <w:pPr>
        <w:tabs>
          <w:tab w:pos="1717" w:val="left" w:leader="none"/>
          <w:tab w:pos="2449" w:val="left" w:leader="none"/>
          <w:tab w:pos="3253" w:val="left" w:leader="none"/>
          <w:tab w:pos="4052" w:val="left" w:leader="none"/>
          <w:tab w:pos="4851" w:val="left" w:leader="none"/>
          <w:tab w:pos="5654" w:val="left" w:leader="none"/>
          <w:tab w:pos="6454" w:val="left" w:leader="none"/>
          <w:tab w:pos="7253" w:val="left" w:leader="none"/>
          <w:tab w:pos="8056" w:val="left" w:leader="none"/>
        </w:tabs>
        <w:spacing w:before="28"/>
        <w:ind w:left="917" w:right="0" w:firstLine="0"/>
        <w:jc w:val="left"/>
        <w:rPr>
          <w:sz w:val="17"/>
        </w:rPr>
      </w:pPr>
      <w:r>
        <w:rPr>
          <w:sz w:val="17"/>
        </w:rPr>
        <w:t>400</w:t>
        <w:tab/>
        <w:t>800</w:t>
        <w:tab/>
        <w:t>1200</w:t>
        <w:tab/>
        <w:t>1600</w:t>
        <w:tab/>
        <w:t>2000</w:t>
        <w:tab/>
        <w:t>2400</w:t>
        <w:tab/>
        <w:t>2800</w:t>
        <w:tab/>
        <w:t>3200</w:t>
        <w:tab/>
        <w:t>3600</w:t>
        <w:tab/>
        <w:t>4000</w:t>
      </w:r>
    </w:p>
    <w:p>
      <w:pPr>
        <w:pStyle w:val="Heading8"/>
        <w:spacing w:before="39"/>
        <w:ind w:left="146"/>
        <w:jc w:val="center"/>
      </w:pPr>
      <w:r>
        <w:rPr>
          <w:spacing w:val="-1"/>
        </w:rPr>
        <w:t>Striking</w:t>
      </w:r>
      <w:r>
        <w:rPr>
          <w:spacing w:val="-15"/>
        </w:rPr>
        <w:t> </w:t>
      </w:r>
      <w:r>
        <w:rPr>
          <w:spacing w:val="-1"/>
        </w:rPr>
        <w:t>Velocity,</w:t>
      </w:r>
      <w:r>
        <w:rPr>
          <w:spacing w:val="-11"/>
        </w:rPr>
        <w:t> </w:t>
      </w:r>
      <w:r>
        <w:rPr/>
        <w:t>V</w:t>
      </w:r>
      <w:r>
        <w:rPr>
          <w:position w:val="-7"/>
          <w:sz w:val="22"/>
        </w:rPr>
        <w:t>s</w:t>
      </w:r>
      <w:r>
        <w:rPr>
          <w:spacing w:val="1"/>
          <w:position w:val="-7"/>
          <w:sz w:val="22"/>
        </w:rPr>
        <w:t> </w:t>
      </w:r>
      <w:r>
        <w:rPr/>
        <w:t>(fps)</w:t>
      </w:r>
    </w:p>
    <w:p>
      <w:pPr>
        <w:spacing w:before="224"/>
        <w:ind w:left="18" w:right="0" w:firstLine="0"/>
        <w:jc w:val="center"/>
        <w:rPr>
          <w:i/>
          <w:sz w:val="24"/>
        </w:rPr>
      </w:pPr>
      <w:bookmarkStart w:name="_bookmark98" w:id="341"/>
      <w:bookmarkEnd w:id="341"/>
      <w:r>
        <w:rPr/>
      </w:r>
      <w:r>
        <w:rPr>
          <w:i/>
          <w:sz w:val="24"/>
        </w:rPr>
        <w:t>Figure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5-36.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FSP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sphere data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curve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the recalibrated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UFC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wood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model.</w:t>
      </w:r>
    </w:p>
    <w:p>
      <w:pPr>
        <w:spacing w:before="0"/>
        <w:ind w:left="20" w:right="0" w:firstLine="0"/>
        <w:jc w:val="center"/>
        <w:rPr>
          <w:i/>
          <w:sz w:val="24"/>
        </w:rPr>
      </w:pPr>
      <w:r>
        <w:rPr>
          <w:i/>
          <w:sz w:val="24"/>
        </w:rPr>
        <w:t>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193"/>
        <w:ind w:left="439" w:right="568"/>
      </w:pPr>
      <w:hyperlink w:history="true" w:anchor="_bookmark99">
        <w:r>
          <w:rPr/>
          <w:t>Figure 5-37 </w:t>
        </w:r>
      </w:hyperlink>
      <w:r>
        <w:rPr/>
        <w:t>shows the THOR wood model with the FSP projectile curves and data only.</w:t>
      </w:r>
      <w:r>
        <w:rPr>
          <w:spacing w:val="-57"/>
        </w:rPr>
        <w:t> </w:t>
      </w:r>
      <w:r>
        <w:rPr/>
        <w:t>The additional FSP data gave this model a MSE value of 0.299.</w:t>
      </w:r>
      <w:r>
        <w:rPr>
          <w:spacing w:val="1"/>
        </w:rPr>
        <w:t> </w:t>
      </w:r>
      <w:hyperlink w:history="true" w:anchor="_bookmark100">
        <w:r>
          <w:rPr/>
          <w:t>Figure 5-38</w:t>
        </w:r>
      </w:hyperlink>
      <w:r>
        <w:rPr/>
        <w:t> shows the</w:t>
      </w:r>
      <w:r>
        <w:rPr>
          <w:spacing w:val="1"/>
        </w:rPr>
        <w:t> </w:t>
      </w:r>
      <w:r>
        <w:rPr/>
        <w:t>sphere</w:t>
      </w:r>
      <w:r>
        <w:rPr>
          <w:spacing w:val="-1"/>
        </w:rPr>
        <w:t> </w:t>
      </w:r>
      <w:r>
        <w:rPr/>
        <w:t>and FPS</w:t>
      </w:r>
      <w:r>
        <w:rPr>
          <w:spacing w:val="-2"/>
        </w:rPr>
        <w:t> </w:t>
      </w:r>
      <w:r>
        <w:rPr/>
        <w:t>data and</w:t>
      </w:r>
      <w:r>
        <w:rPr>
          <w:spacing w:val="-2"/>
        </w:rPr>
        <w:t> </w:t>
      </w:r>
      <w:r>
        <w:rPr/>
        <w:t>all</w:t>
      </w:r>
      <w:r>
        <w:rPr>
          <w:spacing w:val="-1"/>
        </w:rPr>
        <w:t> </w:t>
      </w:r>
      <w:r>
        <w:rPr/>
        <w:t>four curves for</w:t>
      </w:r>
      <w:r>
        <w:rPr>
          <w:spacing w:val="-1"/>
        </w:rPr>
        <w:t> </w:t>
      </w:r>
      <w:r>
        <w:rPr/>
        <w:t>the THOR wood model.</w:t>
      </w:r>
    </w:p>
    <w:p>
      <w:pPr>
        <w:spacing w:after="0" w:line="480" w:lineRule="auto"/>
        <w:sectPr>
          <w:type w:val="continuous"/>
          <w:pgSz w:w="12240" w:h="15840"/>
          <w:pgMar w:top="1380" w:bottom="280" w:left="1720" w:right="1020"/>
        </w:sectPr>
      </w:pPr>
    </w:p>
    <w:p>
      <w:pPr>
        <w:pStyle w:val="BodyText"/>
        <w:spacing w:before="64"/>
        <w:ind w:left="3440"/>
      </w:pPr>
      <w:r>
        <w:rPr>
          <w:spacing w:val="-1"/>
        </w:rPr>
        <w:t>Striking</w:t>
      </w:r>
      <w:r>
        <w:rPr>
          <w:spacing w:val="-14"/>
        </w:rPr>
        <w:t> </w:t>
      </w:r>
      <w:r>
        <w:rPr>
          <w:spacing w:val="-1"/>
        </w:rPr>
        <w:t>Velocity,</w:t>
      </w:r>
      <w:r>
        <w:rPr>
          <w:spacing w:val="-10"/>
        </w:rPr>
        <w:t> </w:t>
      </w:r>
      <w:r>
        <w:rPr>
          <w:spacing w:val="-1"/>
        </w:rPr>
        <w:t>V</w:t>
      </w:r>
      <w:r>
        <w:rPr>
          <w:spacing w:val="-1"/>
          <w:position w:val="-7"/>
          <w:sz w:val="21"/>
        </w:rPr>
        <w:t>s</w:t>
      </w:r>
      <w:r>
        <w:rPr>
          <w:spacing w:val="1"/>
          <w:position w:val="-7"/>
          <w:sz w:val="21"/>
        </w:rPr>
        <w:t> </w:t>
      </w:r>
      <w:r>
        <w:rPr>
          <w:spacing w:val="-1"/>
        </w:rPr>
        <w:t>(m/s)</w:t>
      </w:r>
    </w:p>
    <w:p>
      <w:pPr>
        <w:spacing w:line="171" w:lineRule="exact" w:before="37"/>
        <w:ind w:left="1430" w:right="0" w:firstLine="0"/>
        <w:jc w:val="left"/>
        <w:rPr>
          <w:sz w:val="16"/>
        </w:rPr>
      </w:pPr>
      <w:r>
        <w:rPr>
          <w:w w:val="105"/>
          <w:sz w:val="16"/>
        </w:rPr>
        <w:t>180 </w:t>
      </w:r>
      <w:r>
        <w:rPr>
          <w:spacing w:val="40"/>
          <w:w w:val="105"/>
          <w:sz w:val="16"/>
        </w:rPr>
        <w:t> </w:t>
      </w:r>
      <w:r>
        <w:rPr>
          <w:w w:val="105"/>
          <w:sz w:val="16"/>
        </w:rPr>
        <w:t>240 </w:t>
      </w:r>
      <w:r>
        <w:rPr>
          <w:spacing w:val="37"/>
          <w:w w:val="105"/>
          <w:sz w:val="16"/>
        </w:rPr>
        <w:t> </w:t>
      </w:r>
      <w:r>
        <w:rPr>
          <w:w w:val="105"/>
          <w:sz w:val="16"/>
        </w:rPr>
        <w:t>300 </w:t>
      </w:r>
      <w:r>
        <w:rPr>
          <w:spacing w:val="41"/>
          <w:w w:val="105"/>
          <w:sz w:val="16"/>
        </w:rPr>
        <w:t> </w:t>
      </w:r>
      <w:r>
        <w:rPr>
          <w:w w:val="105"/>
          <w:sz w:val="16"/>
        </w:rPr>
        <w:t>360 </w:t>
      </w:r>
      <w:r>
        <w:rPr>
          <w:spacing w:val="37"/>
          <w:w w:val="105"/>
          <w:sz w:val="16"/>
        </w:rPr>
        <w:t> </w:t>
      </w:r>
      <w:r>
        <w:rPr>
          <w:w w:val="105"/>
          <w:sz w:val="16"/>
        </w:rPr>
        <w:t>420 </w:t>
      </w:r>
      <w:r>
        <w:rPr>
          <w:spacing w:val="40"/>
          <w:w w:val="105"/>
          <w:sz w:val="16"/>
        </w:rPr>
        <w:t> </w:t>
      </w:r>
      <w:r>
        <w:rPr>
          <w:w w:val="105"/>
          <w:sz w:val="16"/>
        </w:rPr>
        <w:t>480 </w:t>
      </w:r>
      <w:r>
        <w:rPr>
          <w:spacing w:val="37"/>
          <w:w w:val="105"/>
          <w:sz w:val="16"/>
        </w:rPr>
        <w:t> </w:t>
      </w:r>
      <w:r>
        <w:rPr>
          <w:w w:val="105"/>
          <w:sz w:val="16"/>
        </w:rPr>
        <w:t>540 </w:t>
      </w:r>
      <w:r>
        <w:rPr>
          <w:spacing w:val="41"/>
          <w:w w:val="105"/>
          <w:sz w:val="16"/>
        </w:rPr>
        <w:t> </w:t>
      </w:r>
      <w:r>
        <w:rPr>
          <w:w w:val="105"/>
          <w:sz w:val="16"/>
        </w:rPr>
        <w:t>600 </w:t>
      </w:r>
      <w:r>
        <w:rPr>
          <w:spacing w:val="37"/>
          <w:w w:val="105"/>
          <w:sz w:val="16"/>
        </w:rPr>
        <w:t> </w:t>
      </w:r>
      <w:r>
        <w:rPr>
          <w:w w:val="105"/>
          <w:sz w:val="16"/>
        </w:rPr>
        <w:t>660 </w:t>
      </w:r>
      <w:r>
        <w:rPr>
          <w:spacing w:val="41"/>
          <w:w w:val="105"/>
          <w:sz w:val="16"/>
        </w:rPr>
        <w:t> </w:t>
      </w:r>
      <w:r>
        <w:rPr>
          <w:w w:val="105"/>
          <w:sz w:val="16"/>
        </w:rPr>
        <w:t>720 </w:t>
      </w:r>
      <w:r>
        <w:rPr>
          <w:spacing w:val="36"/>
          <w:w w:val="105"/>
          <w:sz w:val="16"/>
        </w:rPr>
        <w:t> </w:t>
      </w:r>
      <w:r>
        <w:rPr>
          <w:w w:val="105"/>
          <w:sz w:val="16"/>
        </w:rPr>
        <w:t>780 </w:t>
      </w:r>
      <w:r>
        <w:rPr>
          <w:spacing w:val="41"/>
          <w:w w:val="105"/>
          <w:sz w:val="16"/>
        </w:rPr>
        <w:t> </w:t>
      </w:r>
      <w:r>
        <w:rPr>
          <w:w w:val="105"/>
          <w:sz w:val="16"/>
        </w:rPr>
        <w:t>840 </w:t>
      </w:r>
      <w:r>
        <w:rPr>
          <w:spacing w:val="37"/>
          <w:w w:val="105"/>
          <w:sz w:val="16"/>
        </w:rPr>
        <w:t> </w:t>
      </w:r>
      <w:r>
        <w:rPr>
          <w:w w:val="105"/>
          <w:sz w:val="16"/>
        </w:rPr>
        <w:t>900 </w:t>
      </w:r>
      <w:r>
        <w:rPr>
          <w:spacing w:val="37"/>
          <w:w w:val="105"/>
          <w:sz w:val="16"/>
        </w:rPr>
        <w:t> </w:t>
      </w:r>
      <w:r>
        <w:rPr>
          <w:w w:val="105"/>
          <w:sz w:val="16"/>
        </w:rPr>
        <w:t>960</w:t>
      </w:r>
      <w:r>
        <w:rPr>
          <w:spacing w:val="22"/>
          <w:w w:val="105"/>
          <w:sz w:val="16"/>
        </w:rPr>
        <w:t> </w:t>
      </w:r>
      <w:r>
        <w:rPr>
          <w:w w:val="105"/>
          <w:sz w:val="16"/>
        </w:rPr>
        <w:t>1020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1080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1140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1200</w:t>
      </w:r>
    </w:p>
    <w:p>
      <w:pPr>
        <w:spacing w:line="171" w:lineRule="exact" w:before="0"/>
        <w:ind w:left="972" w:right="0" w:firstLine="0"/>
        <w:jc w:val="left"/>
        <w:rPr>
          <w:sz w:val="16"/>
        </w:rPr>
      </w:pPr>
      <w:r>
        <w:rPr/>
        <w:pict>
          <v:group style="position:absolute;margin-left:145.315918pt;margin-top:4.705863pt;width:346.05pt;height:188.5pt;mso-position-horizontal-relative:page;mso-position-vertical-relative:paragraph;z-index:15853056" coordorigin="2906,94" coordsize="6921,3770">
            <v:shape style="position:absolute;left:2906;top:94;width:6921;height:3770" type="#_x0000_t75" stroked="false">
              <v:imagedata r:id="rId290" o:title=""/>
            </v:shape>
            <v:shape style="position:absolute;left:2906;top:94;width:6921;height:3770" type="#_x0000_t202" filled="false" stroked="false">
              <v:textbox inset="0,0,0,0">
                <w:txbxContent>
                  <w:p>
                    <w:pPr>
                      <w:spacing w:line="264" w:lineRule="auto" w:before="191"/>
                      <w:ind w:left="607" w:right="466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SPF-S vs. FSP data</w:t>
                    </w:r>
                    <w:r>
                      <w:rPr>
                        <w:spacing w:val="-50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SYP</w:t>
                    </w:r>
                    <w:r>
                      <w:rPr>
                        <w:spacing w:val="-2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vs. FSP</w:t>
                    </w:r>
                    <w:r>
                      <w:rPr>
                        <w:spacing w:val="-1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data</w:t>
                    </w:r>
                  </w:p>
                  <w:p>
                    <w:pPr>
                      <w:spacing w:before="5"/>
                      <w:ind w:left="33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w w:val="103"/>
                        <w:position w:val="8"/>
                        <w:sz w:val="16"/>
                        <w:u w:val="single" w:color="0000FF"/>
                      </w:rPr>
                      <w:t> </w:t>
                    </w:r>
                    <w:r>
                      <w:rPr>
                        <w:position w:val="8"/>
                        <w:sz w:val="16"/>
                        <w:u w:val="single" w:color="0000FF"/>
                      </w:rPr>
                      <w:t>   </w:t>
                    </w:r>
                    <w:r>
                      <w:rPr>
                        <w:spacing w:val="-10"/>
                        <w:position w:val="8"/>
                        <w:sz w:val="16"/>
                        <w:u w:val="single" w:color="0000FF"/>
                      </w:rPr>
                      <w:t> </w:t>
                    </w:r>
                    <w:r>
                      <w:rPr>
                        <w:position w:val="8"/>
                        <w:sz w:val="16"/>
                      </w:rPr>
                      <w:t> </w:t>
                    </w:r>
                    <w:r>
                      <w:rPr>
                        <w:spacing w:val="6"/>
                        <w:position w:val="8"/>
                        <w:sz w:val="16"/>
                      </w:rPr>
                      <w:t> </w:t>
                    </w:r>
                    <w:r>
                      <w:rPr>
                        <w:sz w:val="21"/>
                      </w:rPr>
                      <w:t>SYP</w:t>
                    </w:r>
                    <w:r>
                      <w:rPr>
                        <w:spacing w:val="-2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vs. FSP</w:t>
                    </w:r>
                  </w:p>
                  <w:p>
                    <w:pPr>
                      <w:spacing w:before="25"/>
                      <w:ind w:left="315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w w:val="103"/>
                        <w:position w:val="8"/>
                        <w:sz w:val="16"/>
                        <w:u w:val="single" w:color="FF0000"/>
                      </w:rPr>
                      <w:t> </w:t>
                    </w:r>
                    <w:r>
                      <w:rPr>
                        <w:position w:val="8"/>
                        <w:sz w:val="16"/>
                        <w:u w:val="single" w:color="FF0000"/>
                      </w:rPr>
                      <w:t>   </w:t>
                    </w:r>
                    <w:r>
                      <w:rPr>
                        <w:spacing w:val="-10"/>
                        <w:position w:val="8"/>
                        <w:sz w:val="16"/>
                        <w:u w:val="single" w:color="FF0000"/>
                      </w:rPr>
                      <w:t> </w:t>
                    </w:r>
                    <w:r>
                      <w:rPr>
                        <w:position w:val="8"/>
                        <w:sz w:val="16"/>
                      </w:rPr>
                      <w:t>  </w:t>
                    </w:r>
                    <w:r>
                      <w:rPr>
                        <w:spacing w:val="-19"/>
                        <w:position w:val="8"/>
                        <w:sz w:val="16"/>
                      </w:rPr>
                      <w:t> </w:t>
                    </w:r>
                    <w:r>
                      <w:rPr>
                        <w:sz w:val="21"/>
                      </w:rPr>
                      <w:t>SPF-S</w:t>
                    </w:r>
                    <w:r>
                      <w:rPr>
                        <w:spacing w:val="-3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vs.</w:t>
                    </w:r>
                    <w:r>
                      <w:rPr>
                        <w:spacing w:val="-1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FSP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105"/>
          <w:sz w:val="16"/>
        </w:rPr>
        <w:t>14</w:t>
      </w:r>
    </w:p>
    <w:p>
      <w:pPr>
        <w:spacing w:before="86"/>
        <w:ind w:left="972" w:right="0" w:firstLine="0"/>
        <w:jc w:val="left"/>
        <w:rPr>
          <w:sz w:val="16"/>
        </w:rPr>
      </w:pPr>
      <w:r>
        <w:rPr/>
        <w:pict>
          <v:shape style="position:absolute;margin-left:115.253197pt;margin-top:9.785213pt;width:17.5pt;height:168.25pt;mso-position-horizontal-relative:page;mso-position-vertical-relative:paragraph;z-index:15854592" type="#_x0000_t202" filled="false" stroked="false">
            <v:textbox inset="0,0,0,0" style="layout-flow:vertical;mso-layout-flow-alt:bottom-to-top">
              <w:txbxContent>
                <w:p>
                  <w:pPr>
                    <w:pStyle w:val="BodyText"/>
                    <w:spacing w:before="10"/>
                    <w:ind w:left="20"/>
                  </w:pPr>
                  <w:r>
                    <w:rPr/>
                    <w:t>Depth</w:t>
                  </w:r>
                  <w:r>
                    <w:rPr>
                      <w:spacing w:val="-4"/>
                    </w:rPr>
                    <w:t> </w:t>
                  </w:r>
                  <w:r>
                    <w:rPr/>
                    <w:t>of</w:t>
                  </w:r>
                  <w:r>
                    <w:rPr>
                      <w:spacing w:val="-5"/>
                    </w:rPr>
                    <w:t> </w:t>
                  </w:r>
                  <w:r>
                    <w:rPr/>
                    <w:t>Penetration</w:t>
                  </w:r>
                  <w:r>
                    <w:rPr>
                      <w:spacing w:val="-3"/>
                    </w:rPr>
                    <w:t> </w:t>
                  </w:r>
                  <w:r>
                    <w:rPr/>
                    <w:t>(T</w:t>
                  </w:r>
                  <w:r>
                    <w:rPr>
                      <w:position w:val="-5"/>
                      <w:sz w:val="18"/>
                    </w:rPr>
                    <w:t>w</w:t>
                  </w:r>
                  <w:r>
                    <w:rPr/>
                    <w:t>)</w:t>
                  </w:r>
                  <w:r>
                    <w:rPr>
                      <w:spacing w:val="-5"/>
                    </w:rPr>
                    <w:t> </w:t>
                  </w:r>
                  <w:r>
                    <w:rPr/>
                    <w:t>(inches)</w:t>
                  </w:r>
                </w:p>
              </w:txbxContent>
            </v:textbox>
            <w10:wrap type="none"/>
          </v:shape>
        </w:pict>
      </w:r>
      <w:r>
        <w:rPr>
          <w:w w:val="105"/>
          <w:sz w:val="16"/>
        </w:rPr>
        <w:t>13</w:t>
      </w:r>
    </w:p>
    <w:p>
      <w:pPr>
        <w:spacing w:before="82"/>
        <w:ind w:left="972" w:right="0" w:firstLine="0"/>
        <w:jc w:val="left"/>
        <w:rPr>
          <w:sz w:val="16"/>
        </w:rPr>
      </w:pPr>
      <w:r>
        <w:rPr>
          <w:w w:val="105"/>
          <w:sz w:val="16"/>
        </w:rPr>
        <w:t>12</w:t>
      </w:r>
    </w:p>
    <w:p>
      <w:pPr>
        <w:spacing w:before="82"/>
        <w:ind w:left="972" w:right="0" w:firstLine="0"/>
        <w:jc w:val="left"/>
        <w:rPr>
          <w:sz w:val="16"/>
        </w:rPr>
      </w:pPr>
      <w:r>
        <w:rPr>
          <w:w w:val="105"/>
          <w:sz w:val="16"/>
        </w:rPr>
        <w:t>11</w:t>
      </w:r>
    </w:p>
    <w:p>
      <w:pPr>
        <w:spacing w:before="86"/>
        <w:ind w:left="972" w:right="0" w:firstLine="0"/>
        <w:jc w:val="left"/>
        <w:rPr>
          <w:sz w:val="16"/>
        </w:rPr>
      </w:pPr>
      <w:r>
        <w:rPr>
          <w:w w:val="105"/>
          <w:sz w:val="16"/>
        </w:rPr>
        <w:t>10</w:t>
      </w:r>
    </w:p>
    <w:p>
      <w:pPr>
        <w:spacing w:before="83"/>
        <w:ind w:left="1055" w:right="0" w:firstLine="0"/>
        <w:jc w:val="left"/>
        <w:rPr>
          <w:sz w:val="16"/>
        </w:rPr>
      </w:pPr>
      <w:r>
        <w:rPr>
          <w:w w:val="103"/>
          <w:sz w:val="16"/>
        </w:rPr>
        <w:t>9</w:t>
      </w:r>
    </w:p>
    <w:p>
      <w:pPr>
        <w:spacing w:before="82"/>
        <w:ind w:left="1055" w:right="0" w:firstLine="0"/>
        <w:jc w:val="left"/>
        <w:rPr>
          <w:sz w:val="16"/>
        </w:rPr>
      </w:pPr>
      <w:r>
        <w:rPr>
          <w:w w:val="103"/>
          <w:sz w:val="16"/>
        </w:rPr>
        <w:t>8</w:t>
      </w:r>
    </w:p>
    <w:p>
      <w:pPr>
        <w:spacing w:before="86"/>
        <w:ind w:left="1055" w:right="0" w:firstLine="0"/>
        <w:jc w:val="left"/>
        <w:rPr>
          <w:sz w:val="16"/>
        </w:rPr>
      </w:pPr>
      <w:r>
        <w:rPr>
          <w:w w:val="103"/>
          <w:sz w:val="16"/>
        </w:rPr>
        <w:t>7</w:t>
      </w:r>
    </w:p>
    <w:p>
      <w:pPr>
        <w:spacing w:before="82"/>
        <w:ind w:left="1055" w:right="0" w:firstLine="0"/>
        <w:jc w:val="left"/>
        <w:rPr>
          <w:sz w:val="16"/>
        </w:rPr>
      </w:pPr>
      <w:r>
        <w:rPr>
          <w:w w:val="103"/>
          <w:sz w:val="16"/>
        </w:rPr>
        <w:t>6</w:t>
      </w:r>
    </w:p>
    <w:p>
      <w:pPr>
        <w:spacing w:before="86"/>
        <w:ind w:left="1055" w:right="0" w:firstLine="0"/>
        <w:jc w:val="left"/>
        <w:rPr>
          <w:sz w:val="16"/>
        </w:rPr>
      </w:pPr>
      <w:r>
        <w:rPr>
          <w:w w:val="103"/>
          <w:sz w:val="16"/>
        </w:rPr>
        <w:t>5</w:t>
      </w:r>
    </w:p>
    <w:p>
      <w:pPr>
        <w:spacing w:before="83"/>
        <w:ind w:left="1055" w:right="0" w:firstLine="0"/>
        <w:jc w:val="left"/>
        <w:rPr>
          <w:sz w:val="16"/>
        </w:rPr>
      </w:pPr>
      <w:r>
        <w:rPr>
          <w:w w:val="103"/>
          <w:sz w:val="16"/>
        </w:rPr>
        <w:t>4</w:t>
      </w:r>
    </w:p>
    <w:p>
      <w:pPr>
        <w:spacing w:before="82"/>
        <w:ind w:left="1055" w:right="0" w:firstLine="0"/>
        <w:jc w:val="left"/>
        <w:rPr>
          <w:sz w:val="16"/>
        </w:rPr>
      </w:pPr>
      <w:r>
        <w:rPr>
          <w:w w:val="103"/>
          <w:sz w:val="16"/>
        </w:rPr>
        <w:t>3</w:t>
      </w:r>
    </w:p>
    <w:p>
      <w:pPr>
        <w:spacing w:before="86"/>
        <w:ind w:left="1055" w:right="0" w:firstLine="0"/>
        <w:jc w:val="left"/>
        <w:rPr>
          <w:sz w:val="16"/>
        </w:rPr>
      </w:pPr>
      <w:r>
        <w:rPr>
          <w:w w:val="103"/>
          <w:sz w:val="16"/>
        </w:rPr>
        <w:t>2</w:t>
      </w:r>
    </w:p>
    <w:p>
      <w:pPr>
        <w:spacing w:before="83"/>
        <w:ind w:left="1055" w:right="0" w:firstLine="0"/>
        <w:jc w:val="left"/>
        <w:rPr>
          <w:sz w:val="16"/>
        </w:rPr>
      </w:pPr>
      <w:r>
        <w:rPr>
          <w:w w:val="103"/>
          <w:sz w:val="16"/>
        </w:rPr>
        <w:t>1</w:t>
      </w:r>
    </w:p>
    <w:p>
      <w:pPr>
        <w:spacing w:before="82"/>
        <w:ind w:left="1055" w:right="0" w:firstLine="0"/>
        <w:jc w:val="left"/>
        <w:rPr>
          <w:sz w:val="16"/>
        </w:rPr>
      </w:pPr>
      <w:r>
        <w:rPr>
          <w:w w:val="103"/>
          <w:sz w:val="16"/>
        </w:rPr>
        <w:t>0</w:t>
      </w:r>
    </w:p>
    <w:p>
      <w:pPr>
        <w:pStyle w:val="BodyText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rPr>
          <w:sz w:val="18"/>
        </w:rPr>
      </w:pPr>
    </w:p>
    <w:p>
      <w:pPr>
        <w:pStyle w:val="BodyText"/>
        <w:rPr>
          <w:sz w:val="22"/>
        </w:rPr>
      </w:pPr>
    </w:p>
    <w:p>
      <w:pPr>
        <w:spacing w:before="0"/>
        <w:ind w:left="42" w:right="0" w:firstLine="0"/>
        <w:jc w:val="left"/>
        <w:rPr>
          <w:sz w:val="16"/>
        </w:rPr>
      </w:pPr>
      <w:r>
        <w:rPr>
          <w:w w:val="105"/>
          <w:sz w:val="16"/>
        </w:rPr>
        <w:t>35</w:t>
      </w:r>
    </w:p>
    <w:p>
      <w:pPr>
        <w:spacing w:before="79"/>
        <w:ind w:left="42" w:right="0" w:firstLine="0"/>
        <w:jc w:val="left"/>
        <w:rPr>
          <w:sz w:val="16"/>
        </w:rPr>
      </w:pPr>
      <w:r>
        <w:rPr/>
        <w:pict>
          <v:shape style="position:absolute;margin-left:512.670776pt;margin-top:12.454282pt;width:17.5pt;height:152.5pt;mso-position-horizontal-relative:page;mso-position-vertical-relative:paragraph;z-index:15855104" type="#_x0000_t202" filled="false" stroked="false">
            <v:textbox inset="0,0,0,0" style="layout-flow:vertical;mso-layout-flow-alt:bottom-to-top">
              <w:txbxContent>
                <w:p>
                  <w:pPr>
                    <w:pStyle w:val="BodyText"/>
                    <w:spacing w:before="10"/>
                    <w:ind w:left="20"/>
                  </w:pPr>
                  <w:r>
                    <w:rPr/>
                    <w:t>Depth</w:t>
                  </w:r>
                  <w:r>
                    <w:rPr>
                      <w:spacing w:val="-2"/>
                    </w:rPr>
                    <w:t> </w:t>
                  </w:r>
                  <w:r>
                    <w:rPr/>
                    <w:t>of</w:t>
                  </w:r>
                  <w:r>
                    <w:rPr>
                      <w:spacing w:val="-4"/>
                    </w:rPr>
                    <w:t> </w:t>
                  </w:r>
                  <w:r>
                    <w:rPr/>
                    <w:t>Penetration</w:t>
                  </w:r>
                  <w:r>
                    <w:rPr>
                      <w:spacing w:val="-2"/>
                    </w:rPr>
                    <w:t> </w:t>
                  </w:r>
                  <w:r>
                    <w:rPr/>
                    <w:t>(T</w:t>
                  </w:r>
                  <w:r>
                    <w:rPr>
                      <w:position w:val="-5"/>
                      <w:sz w:val="18"/>
                    </w:rPr>
                    <w:t>w</w:t>
                  </w:r>
                  <w:r>
                    <w:rPr/>
                    <w:t>)</w:t>
                  </w:r>
                  <w:r>
                    <w:rPr>
                      <w:spacing w:val="-4"/>
                    </w:rPr>
                    <w:t> </w:t>
                  </w:r>
                  <w:r>
                    <w:rPr/>
                    <w:t>(cm)</w:t>
                  </w:r>
                </w:p>
              </w:txbxContent>
            </v:textbox>
            <w10:wrap type="none"/>
          </v:shape>
        </w:pict>
      </w:r>
      <w:r>
        <w:rPr>
          <w:w w:val="105"/>
          <w:sz w:val="16"/>
        </w:rPr>
        <w:t>32.5</w:t>
      </w:r>
    </w:p>
    <w:p>
      <w:pPr>
        <w:spacing w:before="82"/>
        <w:ind w:left="42" w:right="0" w:firstLine="0"/>
        <w:jc w:val="left"/>
        <w:rPr>
          <w:sz w:val="16"/>
        </w:rPr>
      </w:pPr>
      <w:r>
        <w:rPr>
          <w:w w:val="105"/>
          <w:sz w:val="16"/>
        </w:rPr>
        <w:t>30</w:t>
      </w:r>
    </w:p>
    <w:p>
      <w:pPr>
        <w:spacing w:before="79"/>
        <w:ind w:left="42" w:right="0" w:firstLine="0"/>
        <w:jc w:val="left"/>
        <w:rPr>
          <w:sz w:val="16"/>
        </w:rPr>
      </w:pPr>
      <w:r>
        <w:rPr>
          <w:w w:val="105"/>
          <w:sz w:val="16"/>
        </w:rPr>
        <w:t>27.5</w:t>
      </w:r>
    </w:p>
    <w:p>
      <w:pPr>
        <w:spacing w:before="78"/>
        <w:ind w:left="42" w:right="0" w:firstLine="0"/>
        <w:jc w:val="left"/>
        <w:rPr>
          <w:sz w:val="16"/>
        </w:rPr>
      </w:pPr>
      <w:r>
        <w:rPr>
          <w:w w:val="105"/>
          <w:sz w:val="16"/>
        </w:rPr>
        <w:t>25</w:t>
      </w:r>
    </w:p>
    <w:p>
      <w:pPr>
        <w:spacing w:before="79"/>
        <w:ind w:left="42" w:right="0" w:firstLine="0"/>
        <w:jc w:val="left"/>
        <w:rPr>
          <w:sz w:val="16"/>
        </w:rPr>
      </w:pPr>
      <w:r>
        <w:rPr>
          <w:w w:val="105"/>
          <w:sz w:val="16"/>
        </w:rPr>
        <w:t>22.5</w:t>
      </w:r>
    </w:p>
    <w:p>
      <w:pPr>
        <w:spacing w:before="78"/>
        <w:ind w:left="42" w:right="0" w:firstLine="0"/>
        <w:jc w:val="left"/>
        <w:rPr>
          <w:sz w:val="16"/>
        </w:rPr>
      </w:pPr>
      <w:r>
        <w:rPr>
          <w:w w:val="105"/>
          <w:sz w:val="16"/>
        </w:rPr>
        <w:t>20</w:t>
      </w:r>
    </w:p>
    <w:p>
      <w:pPr>
        <w:spacing w:before="83"/>
        <w:ind w:left="42" w:right="0" w:firstLine="0"/>
        <w:jc w:val="left"/>
        <w:rPr>
          <w:sz w:val="16"/>
        </w:rPr>
      </w:pPr>
      <w:r>
        <w:rPr>
          <w:w w:val="105"/>
          <w:sz w:val="16"/>
        </w:rPr>
        <w:t>17.5</w:t>
      </w:r>
    </w:p>
    <w:p>
      <w:pPr>
        <w:spacing w:before="78"/>
        <w:ind w:left="42" w:right="0" w:firstLine="0"/>
        <w:jc w:val="left"/>
        <w:rPr>
          <w:sz w:val="16"/>
        </w:rPr>
      </w:pPr>
      <w:r>
        <w:rPr>
          <w:w w:val="105"/>
          <w:sz w:val="16"/>
        </w:rPr>
        <w:t>15</w:t>
      </w:r>
    </w:p>
    <w:p>
      <w:pPr>
        <w:spacing w:before="79"/>
        <w:ind w:left="42" w:right="0" w:firstLine="0"/>
        <w:jc w:val="left"/>
        <w:rPr>
          <w:sz w:val="16"/>
        </w:rPr>
      </w:pPr>
      <w:r>
        <w:rPr>
          <w:w w:val="105"/>
          <w:sz w:val="16"/>
        </w:rPr>
        <w:t>12.5</w:t>
      </w:r>
    </w:p>
    <w:p>
      <w:pPr>
        <w:spacing w:before="79"/>
        <w:ind w:left="42" w:right="0" w:firstLine="0"/>
        <w:jc w:val="left"/>
        <w:rPr>
          <w:sz w:val="16"/>
        </w:rPr>
      </w:pPr>
      <w:r>
        <w:rPr>
          <w:w w:val="105"/>
          <w:sz w:val="16"/>
        </w:rPr>
        <w:t>10</w:t>
      </w:r>
    </w:p>
    <w:p>
      <w:pPr>
        <w:spacing w:before="82"/>
        <w:ind w:left="42" w:right="0" w:firstLine="0"/>
        <w:jc w:val="left"/>
        <w:rPr>
          <w:sz w:val="16"/>
        </w:rPr>
      </w:pPr>
      <w:r>
        <w:rPr>
          <w:w w:val="105"/>
          <w:sz w:val="16"/>
        </w:rPr>
        <w:t>7.5</w:t>
      </w:r>
    </w:p>
    <w:p>
      <w:pPr>
        <w:spacing w:before="78"/>
        <w:ind w:left="42" w:right="0" w:firstLine="0"/>
        <w:jc w:val="left"/>
        <w:rPr>
          <w:sz w:val="16"/>
        </w:rPr>
      </w:pPr>
      <w:r>
        <w:rPr>
          <w:w w:val="103"/>
          <w:sz w:val="16"/>
        </w:rPr>
        <w:t>5</w:t>
      </w:r>
    </w:p>
    <w:p>
      <w:pPr>
        <w:spacing w:before="79"/>
        <w:ind w:left="42" w:right="0" w:firstLine="0"/>
        <w:jc w:val="left"/>
        <w:rPr>
          <w:sz w:val="16"/>
        </w:rPr>
      </w:pPr>
      <w:r>
        <w:rPr>
          <w:w w:val="105"/>
          <w:sz w:val="16"/>
        </w:rPr>
        <w:t>2.5</w:t>
      </w:r>
    </w:p>
    <w:p>
      <w:pPr>
        <w:spacing w:before="79"/>
        <w:ind w:left="42" w:right="0" w:firstLine="0"/>
        <w:jc w:val="left"/>
        <w:rPr>
          <w:sz w:val="16"/>
        </w:rPr>
      </w:pPr>
      <w:r>
        <w:rPr>
          <w:w w:val="103"/>
          <w:sz w:val="16"/>
        </w:rPr>
        <w:t>0</w:t>
      </w:r>
    </w:p>
    <w:p>
      <w:pPr>
        <w:spacing w:after="0"/>
        <w:jc w:val="left"/>
        <w:rPr>
          <w:sz w:val="16"/>
        </w:rPr>
        <w:sectPr>
          <w:pgSz w:w="12240" w:h="15840"/>
          <w:pgMar w:header="0" w:footer="1064" w:top="1340" w:bottom="1260" w:left="1720" w:right="1020"/>
          <w:cols w:num="2" w:equalWidth="0">
            <w:col w:w="8111" w:space="40"/>
            <w:col w:w="1349"/>
          </w:cols>
        </w:sectPr>
      </w:pPr>
    </w:p>
    <w:p>
      <w:pPr>
        <w:tabs>
          <w:tab w:pos="765" w:val="left" w:leader="none"/>
          <w:tab w:pos="1466" w:val="left" w:leader="none"/>
          <w:tab w:pos="2235" w:val="left" w:leader="none"/>
          <w:tab w:pos="3000" w:val="left" w:leader="none"/>
          <w:tab w:pos="3765" w:val="left" w:leader="none"/>
          <w:tab w:pos="4534" w:val="left" w:leader="none"/>
          <w:tab w:pos="5299" w:val="left" w:leader="none"/>
          <w:tab w:pos="6065" w:val="left" w:leader="none"/>
          <w:tab w:pos="6833" w:val="left" w:leader="none"/>
        </w:tabs>
        <w:spacing w:before="30"/>
        <w:ind w:left="0" w:right="170" w:firstLine="0"/>
        <w:jc w:val="center"/>
        <w:rPr>
          <w:sz w:val="16"/>
        </w:rPr>
      </w:pPr>
      <w:r>
        <w:rPr>
          <w:w w:val="105"/>
          <w:sz w:val="16"/>
        </w:rPr>
        <w:t>400</w:t>
        <w:tab/>
        <w:t>800</w:t>
        <w:tab/>
        <w:t>1200</w:t>
        <w:tab/>
        <w:t>1600</w:t>
        <w:tab/>
        <w:t>2000</w:t>
        <w:tab/>
        <w:t>2400</w:t>
        <w:tab/>
        <w:t>2800</w:t>
        <w:tab/>
        <w:t>3200</w:t>
        <w:tab/>
        <w:t>3600</w:t>
        <w:tab/>
        <w:t>4000</w:t>
      </w:r>
    </w:p>
    <w:p>
      <w:pPr>
        <w:pStyle w:val="BodyText"/>
        <w:spacing w:before="37"/>
        <w:ind w:left="42" w:right="110"/>
        <w:jc w:val="center"/>
      </w:pPr>
      <w:r>
        <w:rPr>
          <w:spacing w:val="-2"/>
        </w:rPr>
        <w:t>Striking</w:t>
      </w:r>
      <w:r>
        <w:rPr>
          <w:spacing w:val="-13"/>
        </w:rPr>
        <w:t> </w:t>
      </w:r>
      <w:r>
        <w:rPr>
          <w:spacing w:val="-1"/>
        </w:rPr>
        <w:t>Velocity,</w:t>
      </w:r>
      <w:r>
        <w:rPr>
          <w:spacing w:val="-9"/>
        </w:rPr>
        <w:t> </w:t>
      </w:r>
      <w:r>
        <w:rPr>
          <w:spacing w:val="-1"/>
        </w:rPr>
        <w:t>V</w:t>
      </w:r>
      <w:r>
        <w:rPr>
          <w:spacing w:val="-1"/>
          <w:position w:val="-7"/>
          <w:sz w:val="21"/>
        </w:rPr>
        <w:t>s</w:t>
      </w:r>
      <w:r>
        <w:rPr>
          <w:spacing w:val="3"/>
          <w:position w:val="-7"/>
          <w:sz w:val="21"/>
        </w:rPr>
        <w:t> </w:t>
      </w:r>
      <w:r>
        <w:rPr>
          <w:spacing w:val="-1"/>
        </w:rPr>
        <w:t>(fps)</w:t>
      </w:r>
    </w:p>
    <w:p>
      <w:pPr>
        <w:spacing w:before="228"/>
        <w:ind w:left="20" w:right="0" w:firstLine="0"/>
        <w:jc w:val="center"/>
        <w:rPr>
          <w:i/>
          <w:sz w:val="24"/>
        </w:rPr>
      </w:pPr>
      <w:bookmarkStart w:name="_bookmark99" w:id="342"/>
      <w:bookmarkEnd w:id="342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5-37.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FSP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data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recalibrated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THOR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wood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model.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4"/>
        <w:rPr>
          <w:i/>
          <w:sz w:val="17"/>
        </w:rPr>
      </w:pPr>
    </w:p>
    <w:p>
      <w:pPr>
        <w:spacing w:after="0"/>
        <w:rPr>
          <w:sz w:val="17"/>
        </w:rPr>
        <w:sectPr>
          <w:type w:val="continuous"/>
          <w:pgSz w:w="12240" w:h="15840"/>
          <w:pgMar w:top="1380" w:bottom="280" w:left="1720" w:right="1020"/>
        </w:sectPr>
      </w:pPr>
    </w:p>
    <w:p>
      <w:pPr>
        <w:pStyle w:val="BodyText"/>
        <w:spacing w:before="93"/>
        <w:ind w:left="3439"/>
      </w:pPr>
      <w:r>
        <w:rPr/>
        <w:t>Striking</w:t>
      </w:r>
      <w:r>
        <w:rPr>
          <w:spacing w:val="-12"/>
        </w:rPr>
        <w:t> </w:t>
      </w:r>
      <w:r>
        <w:rPr/>
        <w:t>Velocity,</w:t>
      </w:r>
      <w:r>
        <w:rPr>
          <w:spacing w:val="-8"/>
        </w:rPr>
        <w:t> </w:t>
      </w:r>
      <w:r>
        <w:rPr/>
        <w:t>V</w:t>
      </w:r>
      <w:r>
        <w:rPr>
          <w:position w:val="-7"/>
          <w:sz w:val="21"/>
        </w:rPr>
        <w:t>s</w:t>
      </w:r>
      <w:r>
        <w:rPr>
          <w:spacing w:val="4"/>
          <w:position w:val="-7"/>
          <w:sz w:val="21"/>
        </w:rPr>
        <w:t> </w:t>
      </w:r>
      <w:r>
        <w:rPr/>
        <w:t>(m/s)</w:t>
      </w:r>
    </w:p>
    <w:p>
      <w:pPr>
        <w:spacing w:line="172" w:lineRule="exact" w:before="40"/>
        <w:ind w:left="1402" w:right="0" w:firstLine="0"/>
        <w:jc w:val="left"/>
        <w:rPr>
          <w:sz w:val="16"/>
        </w:rPr>
      </w:pPr>
      <w:r>
        <w:rPr>
          <w:w w:val="105"/>
          <w:sz w:val="16"/>
        </w:rPr>
        <w:t>180  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240  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300  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360  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420  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480  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540  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600  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660  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720  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780  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840  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900  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960</w:t>
      </w:r>
      <w:r>
        <w:rPr>
          <w:spacing w:val="25"/>
          <w:w w:val="105"/>
          <w:sz w:val="16"/>
        </w:rPr>
        <w:t> </w:t>
      </w:r>
      <w:r>
        <w:rPr>
          <w:w w:val="105"/>
          <w:sz w:val="16"/>
        </w:rPr>
        <w:t>1020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1080</w:t>
      </w:r>
      <w:r>
        <w:rPr>
          <w:spacing w:val="6"/>
          <w:w w:val="105"/>
          <w:sz w:val="16"/>
        </w:rPr>
        <w:t> </w:t>
      </w:r>
      <w:r>
        <w:rPr>
          <w:w w:val="105"/>
          <w:sz w:val="16"/>
        </w:rPr>
        <w:t>1140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1200</w:t>
      </w:r>
    </w:p>
    <w:p>
      <w:pPr>
        <w:spacing w:line="172" w:lineRule="exact" w:before="0"/>
        <w:ind w:left="924" w:right="0" w:firstLine="0"/>
        <w:jc w:val="left"/>
        <w:rPr>
          <w:sz w:val="16"/>
        </w:rPr>
      </w:pPr>
      <w:r>
        <w:rPr/>
        <w:pict>
          <v:group style="position:absolute;margin-left:143.798187pt;margin-top:3.828436pt;width:350.55pt;height:190.95pt;mso-position-horizontal-relative:page;mso-position-vertical-relative:paragraph;z-index:15853568" coordorigin="2876,77" coordsize="7011,3819">
            <v:shape style="position:absolute;left:2875;top:76;width:7011;height:3819" type="#_x0000_t75" stroked="false">
              <v:imagedata r:id="rId291" o:title=""/>
            </v:shape>
            <v:shape style="position:absolute;left:2875;top:76;width:7011;height:3819" type="#_x0000_t202" filled="false" stroked="false">
              <v:textbox inset="0,0,0,0">
                <w:txbxContent>
                  <w:p>
                    <w:pPr>
                      <w:spacing w:line="268" w:lineRule="auto" w:before="168"/>
                      <w:ind w:left="615" w:right="5436" w:firstLine="0"/>
                      <w:jc w:val="lef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SPF-S data</w:t>
                    </w:r>
                    <w:r>
                      <w:rPr>
                        <w:spacing w:val="-50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SYP</w:t>
                    </w:r>
                    <w:r>
                      <w:rPr>
                        <w:spacing w:val="2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data</w:t>
                    </w:r>
                  </w:p>
                  <w:p>
                    <w:pPr>
                      <w:tabs>
                        <w:tab w:pos="581" w:val="left" w:leader="none"/>
                      </w:tabs>
                      <w:spacing w:line="268" w:lineRule="auto" w:before="3"/>
                      <w:ind w:left="615" w:right="4736" w:hanging="339"/>
                      <w:jc w:val="left"/>
                      <w:rPr>
                        <w:sz w:val="21"/>
                      </w:rPr>
                    </w:pPr>
                    <w:r>
                      <w:rPr>
                        <w:w w:val="104"/>
                        <w:position w:val="3"/>
                        <w:sz w:val="16"/>
                        <w:u w:val="single" w:color="00FF00"/>
                      </w:rPr>
                      <w:t> </w:t>
                    </w:r>
                    <w:r>
                      <w:rPr>
                        <w:position w:val="3"/>
                        <w:sz w:val="16"/>
                        <w:u w:val="single" w:color="00FF00"/>
                      </w:rPr>
                      <w:tab/>
                    </w:r>
                    <w:r>
                      <w:rPr>
                        <w:spacing w:val="-6"/>
                        <w:position w:val="3"/>
                        <w:sz w:val="16"/>
                      </w:rPr>
                      <w:t> </w:t>
                    </w:r>
                    <w:r>
                      <w:rPr>
                        <w:sz w:val="21"/>
                      </w:rPr>
                      <w:t>SPF-S</w:t>
                    </w:r>
                    <w:r>
                      <w:rPr>
                        <w:spacing w:val="2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vs.</w:t>
                    </w:r>
                    <w:r>
                      <w:rPr>
                        <w:spacing w:val="3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Sphere</w:t>
                    </w:r>
                    <w:r>
                      <w:rPr>
                        <w:spacing w:val="1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SYP</w:t>
                    </w:r>
                    <w:r>
                      <w:rPr>
                        <w:spacing w:val="2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vs.</w:t>
                    </w:r>
                    <w:r>
                      <w:rPr>
                        <w:spacing w:val="2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Sphere</w:t>
                    </w:r>
                    <w:r>
                      <w:rPr>
                        <w:spacing w:val="1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SPF-S</w:t>
                    </w:r>
                    <w:r>
                      <w:rPr>
                        <w:spacing w:val="3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vs.</w:t>
                    </w:r>
                    <w:r>
                      <w:rPr>
                        <w:spacing w:val="4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FSP</w:t>
                    </w:r>
                    <w:r>
                      <w:rPr>
                        <w:spacing w:val="7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data</w:t>
                    </w:r>
                    <w:r>
                      <w:rPr>
                        <w:spacing w:val="-49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SYP</w:t>
                    </w:r>
                    <w:r>
                      <w:rPr>
                        <w:spacing w:val="2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vs.</w:t>
                    </w:r>
                    <w:r>
                      <w:rPr>
                        <w:spacing w:val="3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FSP</w:t>
                    </w:r>
                    <w:r>
                      <w:rPr>
                        <w:spacing w:val="3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data</w:t>
                    </w:r>
                    <w:r>
                      <w:rPr>
                        <w:spacing w:val="1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SYP vs.</w:t>
                    </w:r>
                    <w:r>
                      <w:rPr>
                        <w:spacing w:val="1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FSP</w:t>
                    </w:r>
                  </w:p>
                  <w:p>
                    <w:pPr>
                      <w:spacing w:line="238" w:lineRule="exact" w:before="0"/>
                      <w:ind w:left="615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SPF-S</w:t>
                    </w:r>
                    <w:r>
                      <w:rPr>
                        <w:spacing w:val="3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vs.</w:t>
                    </w:r>
                    <w:r>
                      <w:rPr>
                        <w:spacing w:val="3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FSP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105"/>
          <w:sz w:val="16"/>
        </w:rPr>
        <w:t>14</w:t>
      </w:r>
    </w:p>
    <w:p>
      <w:pPr>
        <w:spacing w:before="90"/>
        <w:ind w:left="924" w:right="0" w:firstLine="0"/>
        <w:jc w:val="left"/>
        <w:rPr>
          <w:sz w:val="16"/>
        </w:rPr>
      </w:pPr>
      <w:r>
        <w:rPr/>
        <w:pict>
          <v:shape style="position:absolute;margin-left:112.584229pt;margin-top:9.975363pt;width:17.7pt;height:170.4pt;mso-position-horizontal-relative:page;mso-position-vertical-relative:paragraph;z-index:15854080" type="#_x0000_t202" filled="false" stroked="false">
            <v:textbox inset="0,0,0,0" style="layout-flow:vertical;mso-layout-flow-alt:bottom-to-top">
              <w:txbxContent>
                <w:p>
                  <w:pPr>
                    <w:pStyle w:val="BodyText"/>
                    <w:spacing w:before="12"/>
                    <w:ind w:left="20"/>
                  </w:pPr>
                  <w:r>
                    <w:rPr/>
                    <w:t>Depth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of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Penetration</w:t>
                  </w:r>
                  <w:r>
                    <w:rPr>
                      <w:spacing w:val="6"/>
                    </w:rPr>
                    <w:t> </w:t>
                  </w:r>
                  <w:r>
                    <w:rPr/>
                    <w:t>(T</w:t>
                  </w:r>
                  <w:r>
                    <w:rPr>
                      <w:position w:val="-5"/>
                      <w:sz w:val="18"/>
                    </w:rPr>
                    <w:t>w</w:t>
                  </w:r>
                  <w:r>
                    <w:rPr/>
                    <w:t>)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(inches)</w:t>
                  </w:r>
                </w:p>
              </w:txbxContent>
            </v:textbox>
            <w10:wrap type="none"/>
          </v:shape>
        </w:pict>
      </w:r>
      <w:r>
        <w:rPr>
          <w:w w:val="105"/>
          <w:sz w:val="16"/>
        </w:rPr>
        <w:t>13</w:t>
      </w:r>
    </w:p>
    <w:p>
      <w:pPr>
        <w:spacing w:before="86"/>
        <w:ind w:left="924" w:right="0" w:firstLine="0"/>
        <w:jc w:val="left"/>
        <w:rPr>
          <w:sz w:val="16"/>
        </w:rPr>
      </w:pPr>
      <w:r>
        <w:rPr>
          <w:w w:val="105"/>
          <w:sz w:val="16"/>
        </w:rPr>
        <w:t>12</w:t>
      </w:r>
    </w:p>
    <w:p>
      <w:pPr>
        <w:spacing w:before="85"/>
        <w:ind w:left="924" w:right="0" w:firstLine="0"/>
        <w:jc w:val="left"/>
        <w:rPr>
          <w:sz w:val="16"/>
        </w:rPr>
      </w:pPr>
      <w:r>
        <w:rPr>
          <w:w w:val="105"/>
          <w:sz w:val="16"/>
        </w:rPr>
        <w:t>11</w:t>
      </w:r>
    </w:p>
    <w:p>
      <w:pPr>
        <w:spacing w:before="90"/>
        <w:ind w:left="924" w:right="0" w:firstLine="0"/>
        <w:jc w:val="left"/>
        <w:rPr>
          <w:sz w:val="16"/>
        </w:rPr>
      </w:pPr>
      <w:r>
        <w:rPr>
          <w:w w:val="105"/>
          <w:sz w:val="16"/>
        </w:rPr>
        <w:t>10</w:t>
      </w:r>
    </w:p>
    <w:p>
      <w:pPr>
        <w:spacing w:before="86"/>
        <w:ind w:left="1007" w:right="0" w:firstLine="0"/>
        <w:jc w:val="left"/>
        <w:rPr>
          <w:sz w:val="16"/>
        </w:rPr>
      </w:pPr>
      <w:r>
        <w:rPr>
          <w:w w:val="104"/>
          <w:sz w:val="16"/>
        </w:rPr>
        <w:t>9</w:t>
      </w:r>
    </w:p>
    <w:p>
      <w:pPr>
        <w:spacing w:before="86"/>
        <w:ind w:left="1007" w:right="0" w:firstLine="0"/>
        <w:jc w:val="left"/>
        <w:rPr>
          <w:sz w:val="16"/>
        </w:rPr>
      </w:pPr>
      <w:r>
        <w:rPr>
          <w:w w:val="104"/>
          <w:sz w:val="16"/>
        </w:rPr>
        <w:t>8</w:t>
      </w:r>
    </w:p>
    <w:p>
      <w:pPr>
        <w:spacing w:before="89"/>
        <w:ind w:left="1007" w:right="0" w:firstLine="0"/>
        <w:jc w:val="left"/>
        <w:rPr>
          <w:sz w:val="16"/>
        </w:rPr>
      </w:pPr>
      <w:r>
        <w:rPr>
          <w:w w:val="104"/>
          <w:sz w:val="16"/>
        </w:rPr>
        <w:t>7</w:t>
      </w:r>
    </w:p>
    <w:p>
      <w:pPr>
        <w:spacing w:before="86"/>
        <w:ind w:left="1007" w:right="0" w:firstLine="0"/>
        <w:jc w:val="left"/>
        <w:rPr>
          <w:sz w:val="16"/>
        </w:rPr>
      </w:pPr>
      <w:r>
        <w:rPr>
          <w:w w:val="104"/>
          <w:sz w:val="16"/>
        </w:rPr>
        <w:t>6</w:t>
      </w:r>
    </w:p>
    <w:p>
      <w:pPr>
        <w:spacing w:before="89"/>
        <w:ind w:left="1007" w:right="0" w:firstLine="0"/>
        <w:jc w:val="left"/>
        <w:rPr>
          <w:sz w:val="16"/>
        </w:rPr>
      </w:pPr>
      <w:r>
        <w:rPr>
          <w:w w:val="104"/>
          <w:sz w:val="16"/>
        </w:rPr>
        <w:t>5</w:t>
      </w:r>
    </w:p>
    <w:p>
      <w:pPr>
        <w:spacing w:before="86"/>
        <w:ind w:left="1007" w:right="0" w:firstLine="0"/>
        <w:jc w:val="left"/>
        <w:rPr>
          <w:sz w:val="16"/>
        </w:rPr>
      </w:pPr>
      <w:r>
        <w:rPr>
          <w:w w:val="104"/>
          <w:sz w:val="16"/>
        </w:rPr>
        <w:t>4</w:t>
      </w:r>
    </w:p>
    <w:p>
      <w:pPr>
        <w:spacing w:before="86"/>
        <w:ind w:left="1007" w:right="0" w:firstLine="0"/>
        <w:jc w:val="left"/>
        <w:rPr>
          <w:sz w:val="16"/>
        </w:rPr>
      </w:pPr>
      <w:r>
        <w:rPr>
          <w:w w:val="104"/>
          <w:sz w:val="16"/>
        </w:rPr>
        <w:t>3</w:t>
      </w:r>
    </w:p>
    <w:p>
      <w:pPr>
        <w:spacing w:before="90"/>
        <w:ind w:left="1007" w:right="0" w:firstLine="0"/>
        <w:jc w:val="left"/>
        <w:rPr>
          <w:sz w:val="16"/>
        </w:rPr>
      </w:pPr>
      <w:r>
        <w:rPr>
          <w:w w:val="104"/>
          <w:sz w:val="16"/>
        </w:rPr>
        <w:t>2</w:t>
      </w:r>
    </w:p>
    <w:p>
      <w:pPr>
        <w:spacing w:before="85"/>
        <w:ind w:left="1007" w:right="0" w:firstLine="0"/>
        <w:jc w:val="left"/>
        <w:rPr>
          <w:sz w:val="16"/>
        </w:rPr>
      </w:pPr>
      <w:r>
        <w:rPr>
          <w:w w:val="104"/>
          <w:sz w:val="16"/>
        </w:rPr>
        <w:t>1</w:t>
      </w:r>
    </w:p>
    <w:p>
      <w:pPr>
        <w:spacing w:before="86"/>
        <w:ind w:left="1007" w:right="0" w:firstLine="0"/>
        <w:jc w:val="left"/>
        <w:rPr>
          <w:sz w:val="16"/>
        </w:rPr>
      </w:pPr>
      <w:r>
        <w:rPr>
          <w:w w:val="104"/>
          <w:sz w:val="16"/>
        </w:rPr>
        <w:t>0</w:t>
      </w:r>
    </w:p>
    <w:p>
      <w:pPr>
        <w:pStyle w:val="BodyText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rPr>
          <w:sz w:val="18"/>
        </w:rPr>
      </w:pPr>
    </w:p>
    <w:p>
      <w:pPr>
        <w:pStyle w:val="BodyText"/>
        <w:spacing w:before="1"/>
        <w:rPr>
          <w:sz w:val="25"/>
        </w:rPr>
      </w:pPr>
    </w:p>
    <w:p>
      <w:pPr>
        <w:spacing w:before="0"/>
        <w:ind w:left="28" w:right="0" w:firstLine="0"/>
        <w:jc w:val="left"/>
        <w:rPr>
          <w:sz w:val="16"/>
        </w:rPr>
      </w:pPr>
      <w:r>
        <w:rPr>
          <w:w w:val="105"/>
          <w:sz w:val="16"/>
        </w:rPr>
        <w:t>35</w:t>
      </w:r>
    </w:p>
    <w:p>
      <w:pPr>
        <w:spacing w:before="82"/>
        <w:ind w:left="28" w:right="0" w:firstLine="0"/>
        <w:jc w:val="left"/>
        <w:rPr>
          <w:sz w:val="16"/>
        </w:rPr>
      </w:pPr>
      <w:r>
        <w:rPr/>
        <w:pict>
          <v:shape style="position:absolute;margin-left:515.154907pt;margin-top:12.624636pt;width:17.7pt;height:154.450pt;mso-position-horizontal-relative:page;mso-position-vertical-relative:paragraph;z-index:15855616" type="#_x0000_t202" filled="false" stroked="false">
            <v:textbox inset="0,0,0,0" style="layout-flow:vertical;mso-layout-flow-alt:bottom-to-top">
              <w:txbxContent>
                <w:p>
                  <w:pPr>
                    <w:pStyle w:val="BodyText"/>
                    <w:spacing w:before="12"/>
                    <w:ind w:left="20"/>
                  </w:pPr>
                  <w:r>
                    <w:rPr/>
                    <w:t>Depth</w:t>
                  </w:r>
                  <w:r>
                    <w:rPr>
                      <w:spacing w:val="6"/>
                    </w:rPr>
                    <w:t> </w:t>
                  </w:r>
                  <w:r>
                    <w:rPr/>
                    <w:t>of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Penetration</w:t>
                  </w:r>
                  <w:r>
                    <w:rPr>
                      <w:spacing w:val="6"/>
                    </w:rPr>
                    <w:t> </w:t>
                  </w:r>
                  <w:r>
                    <w:rPr/>
                    <w:t>(T</w:t>
                  </w:r>
                  <w:r>
                    <w:rPr>
                      <w:position w:val="-5"/>
                      <w:sz w:val="18"/>
                    </w:rPr>
                    <w:t>w</w:t>
                  </w:r>
                  <w:r>
                    <w:rPr/>
                    <w:t>)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(cm)</w:t>
                  </w:r>
                </w:p>
              </w:txbxContent>
            </v:textbox>
            <w10:wrap type="none"/>
          </v:shape>
        </w:pict>
      </w:r>
      <w:r>
        <w:rPr>
          <w:w w:val="105"/>
          <w:sz w:val="16"/>
        </w:rPr>
        <w:t>32.5</w:t>
      </w:r>
    </w:p>
    <w:p>
      <w:pPr>
        <w:spacing w:before="86"/>
        <w:ind w:left="28" w:right="0" w:firstLine="0"/>
        <w:jc w:val="left"/>
        <w:rPr>
          <w:sz w:val="16"/>
        </w:rPr>
      </w:pPr>
      <w:r>
        <w:rPr>
          <w:w w:val="105"/>
          <w:sz w:val="16"/>
        </w:rPr>
        <w:t>30</w:t>
      </w:r>
    </w:p>
    <w:p>
      <w:pPr>
        <w:spacing w:before="82"/>
        <w:ind w:left="28" w:right="0" w:firstLine="0"/>
        <w:jc w:val="left"/>
        <w:rPr>
          <w:sz w:val="16"/>
        </w:rPr>
      </w:pPr>
      <w:r>
        <w:rPr>
          <w:w w:val="105"/>
          <w:sz w:val="16"/>
        </w:rPr>
        <w:t>27.5</w:t>
      </w:r>
    </w:p>
    <w:p>
      <w:pPr>
        <w:spacing w:before="82"/>
        <w:ind w:left="28" w:right="0" w:firstLine="0"/>
        <w:jc w:val="left"/>
        <w:rPr>
          <w:sz w:val="16"/>
        </w:rPr>
      </w:pPr>
      <w:r>
        <w:rPr>
          <w:w w:val="105"/>
          <w:sz w:val="16"/>
        </w:rPr>
        <w:t>25</w:t>
      </w:r>
    </w:p>
    <w:p>
      <w:pPr>
        <w:spacing w:before="82"/>
        <w:ind w:left="28" w:right="0" w:firstLine="0"/>
        <w:jc w:val="left"/>
        <w:rPr>
          <w:sz w:val="16"/>
        </w:rPr>
      </w:pPr>
      <w:r>
        <w:rPr>
          <w:w w:val="105"/>
          <w:sz w:val="16"/>
        </w:rPr>
        <w:t>22.5</w:t>
      </w:r>
    </w:p>
    <w:p>
      <w:pPr>
        <w:spacing w:before="82"/>
        <w:ind w:left="28" w:right="0" w:firstLine="0"/>
        <w:jc w:val="left"/>
        <w:rPr>
          <w:sz w:val="16"/>
        </w:rPr>
      </w:pPr>
      <w:r>
        <w:rPr>
          <w:w w:val="105"/>
          <w:sz w:val="16"/>
        </w:rPr>
        <w:t>20</w:t>
      </w:r>
    </w:p>
    <w:p>
      <w:pPr>
        <w:spacing w:before="86"/>
        <w:ind w:left="28" w:right="0" w:firstLine="0"/>
        <w:jc w:val="left"/>
        <w:rPr>
          <w:sz w:val="16"/>
        </w:rPr>
      </w:pPr>
      <w:r>
        <w:rPr>
          <w:w w:val="105"/>
          <w:sz w:val="16"/>
        </w:rPr>
        <w:t>17.5</w:t>
      </w:r>
    </w:p>
    <w:p>
      <w:pPr>
        <w:spacing w:before="82"/>
        <w:ind w:left="28" w:right="0" w:firstLine="0"/>
        <w:jc w:val="left"/>
        <w:rPr>
          <w:sz w:val="16"/>
        </w:rPr>
      </w:pPr>
      <w:r>
        <w:rPr>
          <w:w w:val="105"/>
          <w:sz w:val="16"/>
        </w:rPr>
        <w:t>15</w:t>
      </w:r>
    </w:p>
    <w:p>
      <w:pPr>
        <w:spacing w:before="82"/>
        <w:ind w:left="28" w:right="0" w:firstLine="0"/>
        <w:jc w:val="left"/>
        <w:rPr>
          <w:sz w:val="16"/>
        </w:rPr>
      </w:pPr>
      <w:r>
        <w:rPr>
          <w:w w:val="105"/>
          <w:sz w:val="16"/>
        </w:rPr>
        <w:t>12.5</w:t>
      </w:r>
    </w:p>
    <w:p>
      <w:pPr>
        <w:spacing w:before="82"/>
        <w:ind w:left="28" w:right="0" w:firstLine="0"/>
        <w:jc w:val="left"/>
        <w:rPr>
          <w:sz w:val="16"/>
        </w:rPr>
      </w:pPr>
      <w:r>
        <w:rPr>
          <w:w w:val="105"/>
          <w:sz w:val="16"/>
        </w:rPr>
        <w:t>10</w:t>
      </w:r>
    </w:p>
    <w:p>
      <w:pPr>
        <w:spacing w:before="86"/>
        <w:ind w:left="28" w:right="0" w:firstLine="0"/>
        <w:jc w:val="left"/>
        <w:rPr>
          <w:sz w:val="16"/>
        </w:rPr>
      </w:pPr>
      <w:r>
        <w:rPr>
          <w:w w:val="105"/>
          <w:sz w:val="16"/>
        </w:rPr>
        <w:t>7.5</w:t>
      </w:r>
    </w:p>
    <w:p>
      <w:pPr>
        <w:spacing w:before="82"/>
        <w:ind w:left="28" w:right="0" w:firstLine="0"/>
        <w:jc w:val="left"/>
        <w:rPr>
          <w:sz w:val="16"/>
        </w:rPr>
      </w:pPr>
      <w:r>
        <w:rPr>
          <w:w w:val="104"/>
          <w:sz w:val="16"/>
        </w:rPr>
        <w:t>5</w:t>
      </w:r>
    </w:p>
    <w:p>
      <w:pPr>
        <w:spacing w:before="82"/>
        <w:ind w:left="28" w:right="0" w:firstLine="0"/>
        <w:jc w:val="left"/>
        <w:rPr>
          <w:sz w:val="16"/>
        </w:rPr>
      </w:pPr>
      <w:r>
        <w:rPr>
          <w:w w:val="105"/>
          <w:sz w:val="16"/>
        </w:rPr>
        <w:t>2.5</w:t>
      </w:r>
    </w:p>
    <w:p>
      <w:pPr>
        <w:spacing w:before="81"/>
        <w:ind w:left="28" w:right="0" w:firstLine="0"/>
        <w:jc w:val="left"/>
        <w:rPr>
          <w:sz w:val="16"/>
        </w:rPr>
      </w:pPr>
      <w:r>
        <w:rPr>
          <w:w w:val="104"/>
          <w:sz w:val="16"/>
        </w:rPr>
        <w:t>0</w:t>
      </w:r>
    </w:p>
    <w:p>
      <w:pPr>
        <w:spacing w:after="0"/>
        <w:jc w:val="left"/>
        <w:rPr>
          <w:sz w:val="16"/>
        </w:rPr>
        <w:sectPr>
          <w:type w:val="continuous"/>
          <w:pgSz w:w="12240" w:h="15840"/>
          <w:pgMar w:top="1380" w:bottom="280" w:left="1720" w:right="1020"/>
          <w:cols w:num="2" w:equalWidth="0">
            <w:col w:w="8170" w:space="40"/>
            <w:col w:w="1290"/>
          </w:cols>
        </w:sectPr>
      </w:pPr>
    </w:p>
    <w:p>
      <w:pPr>
        <w:tabs>
          <w:tab w:pos="1824" w:val="left" w:leader="none"/>
          <w:tab w:pos="2535" w:val="left" w:leader="none"/>
          <w:tab w:pos="3313" w:val="left" w:leader="none"/>
          <w:tab w:pos="4089" w:val="left" w:leader="none"/>
          <w:tab w:pos="4864" w:val="left" w:leader="none"/>
          <w:tab w:pos="5643" w:val="left" w:leader="none"/>
          <w:tab w:pos="6418" w:val="left" w:leader="none"/>
          <w:tab w:pos="7193" w:val="left" w:leader="none"/>
          <w:tab w:pos="7972" w:val="left" w:leader="none"/>
        </w:tabs>
        <w:spacing w:before="33"/>
        <w:ind w:left="1049" w:right="0" w:firstLine="0"/>
        <w:jc w:val="left"/>
        <w:rPr>
          <w:sz w:val="16"/>
        </w:rPr>
      </w:pPr>
      <w:r>
        <w:rPr>
          <w:w w:val="105"/>
          <w:sz w:val="16"/>
        </w:rPr>
        <w:t>400</w:t>
        <w:tab/>
        <w:t>800</w:t>
        <w:tab/>
        <w:t>1200</w:t>
        <w:tab/>
        <w:t>1600</w:t>
        <w:tab/>
        <w:t>2000</w:t>
        <w:tab/>
        <w:t>2400</w:t>
        <w:tab/>
        <w:t>2800</w:t>
        <w:tab/>
        <w:t>3200</w:t>
        <w:tab/>
        <w:t>3600</w:t>
        <w:tab/>
        <w:t>4000</w:t>
      </w:r>
    </w:p>
    <w:p>
      <w:pPr>
        <w:pStyle w:val="BodyText"/>
        <w:spacing w:before="41"/>
        <w:ind w:left="42" w:right="79"/>
        <w:jc w:val="center"/>
      </w:pPr>
      <w:r>
        <w:rPr/>
        <w:t>Striking</w:t>
      </w:r>
      <w:r>
        <w:rPr>
          <w:spacing w:val="-12"/>
        </w:rPr>
        <w:t> </w:t>
      </w:r>
      <w:r>
        <w:rPr/>
        <w:t>Velocity,</w:t>
      </w:r>
      <w:r>
        <w:rPr>
          <w:spacing w:val="-9"/>
        </w:rPr>
        <w:t> </w:t>
      </w:r>
      <w:r>
        <w:rPr/>
        <w:t>V</w:t>
      </w:r>
      <w:r>
        <w:rPr>
          <w:position w:val="-7"/>
          <w:sz w:val="21"/>
        </w:rPr>
        <w:t>s</w:t>
      </w:r>
      <w:r>
        <w:rPr>
          <w:spacing w:val="3"/>
          <w:position w:val="-7"/>
          <w:sz w:val="21"/>
        </w:rPr>
        <w:t> </w:t>
      </w:r>
      <w:r>
        <w:rPr/>
        <w:t>(fps)</w:t>
      </w:r>
    </w:p>
    <w:p>
      <w:pPr>
        <w:spacing w:before="234"/>
        <w:ind w:left="18" w:right="0" w:firstLine="0"/>
        <w:jc w:val="center"/>
        <w:rPr>
          <w:i/>
          <w:sz w:val="24"/>
        </w:rPr>
      </w:pPr>
      <w:bookmarkStart w:name="_bookmark100" w:id="343"/>
      <w:bookmarkEnd w:id="343"/>
      <w:r>
        <w:rPr/>
      </w:r>
      <w:r>
        <w:rPr>
          <w:i/>
          <w:sz w:val="24"/>
        </w:rPr>
        <w:t>Figure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5-38.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THOR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wood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model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with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both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sphere 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FSP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data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curves.</w:t>
      </w:r>
    </w:p>
    <w:p>
      <w:pPr>
        <w:spacing w:after="0"/>
        <w:jc w:val="center"/>
        <w:rPr>
          <w:sz w:val="24"/>
        </w:rPr>
        <w:sectPr>
          <w:type w:val="continuous"/>
          <w:pgSz w:w="12240" w:h="15840"/>
          <w:pgMar w:top="1380" w:bottom="280" w:left="1720" w:right="1020"/>
        </w:sectPr>
      </w:pPr>
    </w:p>
    <w:p>
      <w:pPr>
        <w:pStyle w:val="BodyText"/>
        <w:spacing w:line="480" w:lineRule="auto" w:before="78"/>
        <w:ind w:left="440" w:right="416" w:firstLine="720"/>
        <w:jc w:val="both"/>
      </w:pPr>
      <w:r>
        <w:rPr/>
        <w:t>While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data</w:t>
      </w:r>
      <w:r>
        <w:rPr>
          <w:spacing w:val="-2"/>
        </w:rPr>
        <w:t> </w:t>
      </w:r>
      <w:r>
        <w:rPr/>
        <w:t>is</w:t>
      </w:r>
      <w:r>
        <w:rPr>
          <w:spacing w:val="-4"/>
        </w:rPr>
        <w:t> </w:t>
      </w:r>
      <w:r>
        <w:rPr/>
        <w:t>limited</w:t>
      </w:r>
      <w:r>
        <w:rPr>
          <w:spacing w:val="-4"/>
        </w:rPr>
        <w:t> </w:t>
      </w:r>
      <w:r>
        <w:rPr/>
        <w:t>for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FSP,</w:t>
      </w:r>
      <w:r>
        <w:rPr>
          <w:spacing w:val="-3"/>
        </w:rPr>
        <w:t> </w:t>
      </w:r>
      <w:r>
        <w:rPr/>
        <w:t>it</w:t>
      </w:r>
      <w:r>
        <w:rPr>
          <w:spacing w:val="-2"/>
        </w:rPr>
        <w:t> </w:t>
      </w:r>
      <w:r>
        <w:rPr/>
        <w:t>is</w:t>
      </w:r>
      <w:r>
        <w:rPr>
          <w:spacing w:val="-2"/>
        </w:rPr>
        <w:t> </w:t>
      </w:r>
      <w:r>
        <w:rPr/>
        <w:t>notable</w:t>
      </w:r>
      <w:r>
        <w:rPr>
          <w:spacing w:val="-4"/>
        </w:rPr>
        <w:t> </w:t>
      </w:r>
      <w:r>
        <w:rPr/>
        <w:t>that</w:t>
      </w:r>
      <w:r>
        <w:rPr>
          <w:spacing w:val="-2"/>
        </w:rPr>
        <w:t> </w:t>
      </w:r>
      <w:r>
        <w:rPr/>
        <w:t>for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/>
        <w:t>SYP</w:t>
      </w:r>
      <w:r>
        <w:rPr>
          <w:spacing w:val="-3"/>
        </w:rPr>
        <w:t> </w:t>
      </w:r>
      <w:r>
        <w:rPr/>
        <w:t>targets,</w:t>
      </w:r>
      <w:r>
        <w:rPr>
          <w:spacing w:val="-4"/>
        </w:rPr>
        <w:t> </w:t>
      </w:r>
      <w:r>
        <w:rPr/>
        <w:t>the</w:t>
      </w:r>
      <w:r>
        <w:rPr>
          <w:spacing w:val="-1"/>
        </w:rPr>
        <w:t> </w:t>
      </w:r>
      <w:r>
        <w:rPr/>
        <w:t>FSP</w:t>
      </w:r>
      <w:r>
        <w:rPr>
          <w:spacing w:val="-58"/>
        </w:rPr>
        <w:t> </w:t>
      </w:r>
      <w:r>
        <w:rPr/>
        <w:t>projectile</w:t>
      </w:r>
      <w:r>
        <w:rPr>
          <w:spacing w:val="-11"/>
        </w:rPr>
        <w:t> </w:t>
      </w:r>
      <w:r>
        <w:rPr/>
        <w:t>data</w:t>
      </w:r>
      <w:r>
        <w:rPr>
          <w:spacing w:val="-11"/>
        </w:rPr>
        <w:t> </w:t>
      </w:r>
      <w:r>
        <w:rPr/>
        <w:t>points</w:t>
      </w:r>
      <w:r>
        <w:rPr>
          <w:spacing w:val="-11"/>
        </w:rPr>
        <w:t> </w:t>
      </w:r>
      <w:r>
        <w:rPr/>
        <w:t>consistently</w:t>
      </w:r>
      <w:r>
        <w:rPr>
          <w:spacing w:val="-12"/>
        </w:rPr>
        <w:t> </w:t>
      </w:r>
      <w:r>
        <w:rPr/>
        <w:t>fall</w:t>
      </w:r>
      <w:r>
        <w:rPr>
          <w:spacing w:val="-12"/>
        </w:rPr>
        <w:t> </w:t>
      </w:r>
      <w:r>
        <w:rPr/>
        <w:t>above</w:t>
      </w:r>
      <w:r>
        <w:rPr>
          <w:spacing w:val="-11"/>
        </w:rPr>
        <w:t> </w:t>
      </w:r>
      <w:r>
        <w:rPr/>
        <w:t>the</w:t>
      </w:r>
      <w:r>
        <w:rPr>
          <w:spacing w:val="-10"/>
        </w:rPr>
        <w:t> </w:t>
      </w:r>
      <w:r>
        <w:rPr/>
        <w:t>modeled</w:t>
      </w:r>
      <w:r>
        <w:rPr>
          <w:spacing w:val="-12"/>
        </w:rPr>
        <w:t> </w:t>
      </w:r>
      <w:r>
        <w:rPr/>
        <w:t>curve.</w:t>
      </w:r>
      <w:r>
        <w:rPr>
          <w:spacing w:val="40"/>
        </w:rPr>
        <w:t> </w:t>
      </w:r>
      <w:r>
        <w:rPr/>
        <w:t>More</w:t>
      </w:r>
      <w:r>
        <w:rPr>
          <w:spacing w:val="-11"/>
        </w:rPr>
        <w:t> </w:t>
      </w:r>
      <w:r>
        <w:rPr/>
        <w:t>testing</w:t>
      </w:r>
      <w:r>
        <w:rPr>
          <w:spacing w:val="-11"/>
        </w:rPr>
        <w:t> </w:t>
      </w:r>
      <w:r>
        <w:rPr/>
        <w:t>with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FSP</w:t>
      </w:r>
      <w:r>
        <w:rPr>
          <w:spacing w:val="-57"/>
        </w:rPr>
        <w:t> </w:t>
      </w:r>
      <w:r>
        <w:rPr/>
        <w:t>and potentially additional different projectiles would be useful. It should be noted that the</w:t>
      </w:r>
      <w:r>
        <w:rPr>
          <w:spacing w:val="-57"/>
        </w:rPr>
        <w:t> </w:t>
      </w:r>
      <w:r>
        <w:rPr/>
        <w:t>plotted curves use an average density and reference hardness.</w:t>
      </w:r>
      <w:r>
        <w:rPr>
          <w:spacing w:val="1"/>
        </w:rPr>
        <w:t> </w:t>
      </w:r>
      <w:r>
        <w:rPr/>
        <w:t>Calculating the value for</w:t>
      </w:r>
      <w:r>
        <w:rPr>
          <w:spacing w:val="1"/>
        </w:rPr>
        <w:t> </w:t>
      </w:r>
      <w:r>
        <w:rPr/>
        <w:t>required thickness using the actual target density and a reference hardness was completed</w:t>
      </w:r>
      <w:r>
        <w:rPr>
          <w:spacing w:val="-57"/>
        </w:rPr>
        <w:t> </w:t>
      </w:r>
      <w:r>
        <w:rPr/>
        <w:t>for</w:t>
      </w:r>
      <w:r>
        <w:rPr>
          <w:spacing w:val="-9"/>
        </w:rPr>
        <w:t> </w:t>
      </w:r>
      <w:r>
        <w:rPr/>
        <w:t>both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THOR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/>
        <w:t>UFC</w:t>
      </w:r>
      <w:r>
        <w:rPr>
          <w:spacing w:val="-8"/>
        </w:rPr>
        <w:t> </w:t>
      </w:r>
      <w:r>
        <w:rPr/>
        <w:t>models</w:t>
      </w:r>
      <w:r>
        <w:rPr>
          <w:spacing w:val="-8"/>
        </w:rPr>
        <w:t> </w:t>
      </w:r>
      <w:r>
        <w:rPr/>
        <w:t>for</w:t>
      </w:r>
      <w:r>
        <w:rPr>
          <w:spacing w:val="-8"/>
        </w:rPr>
        <w:t> </w:t>
      </w:r>
      <w:r>
        <w:rPr/>
        <w:t>the</w:t>
      </w:r>
      <w:r>
        <w:rPr>
          <w:spacing w:val="-10"/>
        </w:rPr>
        <w:t> </w:t>
      </w:r>
      <w:r>
        <w:rPr/>
        <w:t>FPS</w:t>
      </w:r>
      <w:r>
        <w:rPr>
          <w:spacing w:val="-9"/>
        </w:rPr>
        <w:t> </w:t>
      </w:r>
      <w:r>
        <w:rPr/>
        <w:t>data</w:t>
      </w:r>
      <w:r>
        <w:rPr>
          <w:spacing w:val="-8"/>
        </w:rPr>
        <w:t> </w:t>
      </w:r>
      <w:r>
        <w:rPr/>
        <w:t>set.</w:t>
      </w:r>
      <w:r>
        <w:rPr>
          <w:spacing w:val="42"/>
        </w:rPr>
        <w:t> </w:t>
      </w:r>
      <w:r>
        <w:rPr/>
        <w:t>These</w:t>
      </w:r>
      <w:r>
        <w:rPr>
          <w:spacing w:val="-8"/>
        </w:rPr>
        <w:t> </w:t>
      </w:r>
      <w:r>
        <w:rPr/>
        <w:t>values</w:t>
      </w:r>
      <w:r>
        <w:rPr>
          <w:spacing w:val="-10"/>
        </w:rPr>
        <w:t> </w:t>
      </w:r>
      <w:r>
        <w:rPr/>
        <w:t>are</w:t>
      </w:r>
      <w:r>
        <w:rPr>
          <w:spacing w:val="-8"/>
        </w:rPr>
        <w:t> </w:t>
      </w:r>
      <w:r>
        <w:rPr/>
        <w:t>shown</w:t>
      </w:r>
      <w:r>
        <w:rPr>
          <w:spacing w:val="-9"/>
        </w:rPr>
        <w:t> </w:t>
      </w:r>
      <w:r>
        <w:rPr/>
        <w:t>in</w:t>
      </w:r>
      <w:r>
        <w:rPr>
          <w:spacing w:val="-10"/>
        </w:rPr>
        <w:t> </w:t>
      </w:r>
      <w:hyperlink w:history="true" w:anchor="_bookmark101">
        <w:r>
          <w:rPr/>
          <w:t>Table</w:t>
        </w:r>
      </w:hyperlink>
      <w:r>
        <w:rPr>
          <w:spacing w:val="-58"/>
        </w:rPr>
        <w:t> </w:t>
      </w:r>
      <w:hyperlink w:history="true" w:anchor="_bookmark101">
        <w:r>
          <w:rPr/>
          <w:t>5-14 </w:t>
        </w:r>
      </w:hyperlink>
      <w:r>
        <w:rPr/>
        <w:t>and demonstrate that for the SPF-S specimens the curves over predicted the depth</w:t>
      </w:r>
      <w:r>
        <w:rPr>
          <w:spacing w:val="1"/>
        </w:rPr>
        <w:t> </w:t>
      </w:r>
      <w:r>
        <w:rPr/>
        <w:t>required compared to the actual depth of penetration for three of the four data points.</w:t>
      </w:r>
      <w:r>
        <w:rPr>
          <w:spacing w:val="1"/>
        </w:rPr>
        <w:t> </w:t>
      </w:r>
      <w:r>
        <w:rPr/>
        <w:t>For</w:t>
      </w:r>
      <w:r>
        <w:rPr>
          <w:spacing w:val="-57"/>
        </w:rPr>
        <w:t> </w:t>
      </w:r>
      <w:r>
        <w:rPr/>
        <w:t>SYP</w:t>
      </w:r>
      <w:r>
        <w:rPr>
          <w:spacing w:val="-2"/>
        </w:rPr>
        <w:t> </w:t>
      </w:r>
      <w:r>
        <w:rPr/>
        <w:t>specimens, both models under</w:t>
      </w:r>
      <w:r>
        <w:rPr>
          <w:spacing w:val="-1"/>
        </w:rPr>
        <w:t> </w:t>
      </w:r>
      <w:r>
        <w:rPr/>
        <w:t>predicted the depth.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spacing w:before="231"/>
        <w:ind w:left="439" w:right="403" w:firstLine="0"/>
        <w:jc w:val="left"/>
        <w:rPr>
          <w:i/>
          <w:sz w:val="24"/>
        </w:rPr>
      </w:pPr>
      <w:bookmarkStart w:name="_bookmark101" w:id="344"/>
      <w:bookmarkEnd w:id="344"/>
      <w:r>
        <w:rPr/>
      </w:r>
      <w:r>
        <w:rPr>
          <w:i/>
          <w:sz w:val="24"/>
        </w:rPr>
        <w:t>Table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5-14.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Actual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FSP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depth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penetration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compared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UFC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THOR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wood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model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predicted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depths.</w:t>
      </w:r>
    </w:p>
    <w:p>
      <w:pPr>
        <w:pStyle w:val="BodyText"/>
        <w:spacing w:before="5"/>
        <w:rPr>
          <w:i/>
          <w:sz w:val="17"/>
        </w:rPr>
      </w:pPr>
    </w:p>
    <w:tbl>
      <w:tblPr>
        <w:tblW w:w="0" w:type="auto"/>
        <w:jc w:val="left"/>
        <w:tblInd w:w="1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60"/>
        <w:gridCol w:w="960"/>
        <w:gridCol w:w="1040"/>
        <w:gridCol w:w="1059"/>
        <w:gridCol w:w="1108"/>
        <w:gridCol w:w="1034"/>
        <w:gridCol w:w="1107"/>
      </w:tblGrid>
      <w:tr>
        <w:trPr>
          <w:trHeight w:val="1012" w:hRule="atLeast"/>
        </w:trPr>
        <w:tc>
          <w:tcPr>
            <w:tcW w:w="960" w:type="dxa"/>
            <w:shd w:val="clear" w:color="auto" w:fill="DADADA"/>
          </w:tcPr>
          <w:p>
            <w:pPr>
              <w:pStyle w:val="TableParagraph"/>
              <w:spacing w:before="10"/>
              <w:rPr>
                <w:i/>
                <w:sz w:val="32"/>
              </w:rPr>
            </w:pPr>
          </w:p>
          <w:p>
            <w:pPr>
              <w:pStyle w:val="TableParagraph"/>
              <w:spacing w:before="1"/>
              <w:ind w:right="133"/>
              <w:jc w:val="right"/>
              <w:rPr>
                <w:sz w:val="22"/>
              </w:rPr>
            </w:pPr>
            <w:r>
              <w:rPr>
                <w:sz w:val="22"/>
              </w:rPr>
              <w:t>Species</w:t>
            </w:r>
          </w:p>
        </w:tc>
        <w:tc>
          <w:tcPr>
            <w:tcW w:w="960" w:type="dxa"/>
            <w:shd w:val="clear" w:color="auto" w:fill="DADADA"/>
          </w:tcPr>
          <w:p>
            <w:pPr>
              <w:pStyle w:val="TableParagraph"/>
              <w:spacing w:before="10"/>
              <w:rPr>
                <w:i/>
                <w:sz w:val="32"/>
              </w:rPr>
            </w:pPr>
          </w:p>
          <w:p>
            <w:pPr>
              <w:pStyle w:val="TableParagraph"/>
              <w:spacing w:before="1"/>
              <w:ind w:left="113" w:right="104"/>
              <w:jc w:val="center"/>
              <w:rPr>
                <w:sz w:val="22"/>
              </w:rPr>
            </w:pPr>
            <w:r>
              <w:rPr>
                <w:sz w:val="22"/>
              </w:rPr>
              <w:t>V</w:t>
            </w:r>
            <w:r>
              <w:rPr>
                <w:sz w:val="22"/>
                <w:vertAlign w:val="subscript"/>
              </w:rPr>
              <w:t>s</w:t>
            </w:r>
            <w:r>
              <w:rPr>
                <w:spacing w:val="-2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(fps)</w:t>
            </w:r>
          </w:p>
        </w:tc>
        <w:tc>
          <w:tcPr>
            <w:tcW w:w="1040" w:type="dxa"/>
            <w:shd w:val="clear" w:color="auto" w:fill="DADADA"/>
          </w:tcPr>
          <w:p>
            <w:pPr>
              <w:pStyle w:val="TableParagraph"/>
              <w:spacing w:before="125"/>
              <w:ind w:left="274" w:right="216" w:hanging="48"/>
              <w:jc w:val="both"/>
              <w:rPr>
                <w:sz w:val="22"/>
              </w:rPr>
            </w:pPr>
            <w:r>
              <w:rPr>
                <w:spacing w:val="-1"/>
                <w:sz w:val="22"/>
              </w:rPr>
              <w:t>Actual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depth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(in)</w:t>
            </w:r>
          </w:p>
        </w:tc>
        <w:tc>
          <w:tcPr>
            <w:tcW w:w="1059" w:type="dxa"/>
            <w:shd w:val="clear" w:color="auto" w:fill="DADADA"/>
          </w:tcPr>
          <w:p>
            <w:pPr>
              <w:pStyle w:val="TableParagraph"/>
              <w:spacing w:line="251" w:lineRule="exact"/>
              <w:ind w:left="209" w:right="200"/>
              <w:jc w:val="center"/>
              <w:rPr>
                <w:sz w:val="22"/>
              </w:rPr>
            </w:pPr>
            <w:r>
              <w:rPr>
                <w:sz w:val="22"/>
              </w:rPr>
              <w:t>THOR</w:t>
            </w:r>
          </w:p>
          <w:p>
            <w:pPr>
              <w:pStyle w:val="TableParagraph"/>
              <w:spacing w:line="250" w:lineRule="atLeast"/>
              <w:ind w:left="125" w:right="114"/>
              <w:jc w:val="center"/>
              <w:rPr>
                <w:sz w:val="22"/>
              </w:rPr>
            </w:pPr>
            <w:r>
              <w:rPr>
                <w:spacing w:val="-1"/>
                <w:sz w:val="22"/>
              </w:rPr>
              <w:t>predicted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depth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(in)</w:t>
            </w:r>
          </w:p>
        </w:tc>
        <w:tc>
          <w:tcPr>
            <w:tcW w:w="1108" w:type="dxa"/>
            <w:shd w:val="clear" w:color="auto" w:fill="DADADA"/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ind w:left="136"/>
              <w:rPr>
                <w:sz w:val="22"/>
              </w:rPr>
            </w:pPr>
            <w:r>
              <w:rPr>
                <w:sz w:val="22"/>
              </w:rPr>
              <w:t>THOR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%</w:t>
            </w:r>
          </w:p>
          <w:p>
            <w:pPr>
              <w:pStyle w:val="TableParagraph"/>
              <w:ind w:left="108"/>
              <w:rPr>
                <w:sz w:val="22"/>
              </w:rPr>
            </w:pPr>
            <w:r>
              <w:rPr>
                <w:sz w:val="22"/>
              </w:rPr>
              <w:t>difference</w:t>
            </w:r>
          </w:p>
        </w:tc>
        <w:tc>
          <w:tcPr>
            <w:tcW w:w="1034" w:type="dxa"/>
            <w:shd w:val="clear" w:color="auto" w:fill="DADADA"/>
          </w:tcPr>
          <w:p>
            <w:pPr>
              <w:pStyle w:val="TableParagraph"/>
              <w:spacing w:line="251" w:lineRule="exact"/>
              <w:ind w:left="284" w:right="271"/>
              <w:jc w:val="center"/>
              <w:rPr>
                <w:sz w:val="22"/>
              </w:rPr>
            </w:pPr>
            <w:r>
              <w:rPr>
                <w:sz w:val="22"/>
              </w:rPr>
              <w:t>UFC</w:t>
            </w:r>
          </w:p>
          <w:p>
            <w:pPr>
              <w:pStyle w:val="TableParagraph"/>
              <w:spacing w:line="250" w:lineRule="atLeast"/>
              <w:ind w:left="114" w:right="99"/>
              <w:jc w:val="center"/>
              <w:rPr>
                <w:sz w:val="22"/>
              </w:rPr>
            </w:pPr>
            <w:r>
              <w:rPr>
                <w:spacing w:val="-1"/>
                <w:sz w:val="22"/>
              </w:rPr>
              <w:t>predicted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depth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(in)</w:t>
            </w:r>
          </w:p>
        </w:tc>
        <w:tc>
          <w:tcPr>
            <w:tcW w:w="1107" w:type="dxa"/>
            <w:shd w:val="clear" w:color="auto" w:fill="DADADA"/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ind w:left="222"/>
              <w:rPr>
                <w:sz w:val="22"/>
              </w:rPr>
            </w:pPr>
            <w:r>
              <w:rPr>
                <w:sz w:val="22"/>
              </w:rPr>
              <w:t>UFC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%</w:t>
            </w:r>
          </w:p>
          <w:p>
            <w:pPr>
              <w:pStyle w:val="TableParagraph"/>
              <w:ind w:left="110"/>
              <w:rPr>
                <w:sz w:val="22"/>
              </w:rPr>
            </w:pPr>
            <w:r>
              <w:rPr>
                <w:sz w:val="22"/>
              </w:rPr>
              <w:t>difference</w:t>
            </w:r>
          </w:p>
        </w:tc>
      </w:tr>
      <w:tr>
        <w:trPr>
          <w:trHeight w:val="311" w:hRule="atLeast"/>
        </w:trPr>
        <w:tc>
          <w:tcPr>
            <w:tcW w:w="960" w:type="dxa"/>
            <w:tcBorders>
              <w:bottom w:val="nil"/>
            </w:tcBorders>
          </w:tcPr>
          <w:p>
            <w:pPr>
              <w:pStyle w:val="TableParagraph"/>
              <w:spacing w:before="35"/>
              <w:ind w:right="187"/>
              <w:jc w:val="right"/>
              <w:rPr>
                <w:sz w:val="22"/>
              </w:rPr>
            </w:pPr>
            <w:r>
              <w:rPr>
                <w:sz w:val="22"/>
              </w:rPr>
              <w:t>SPF-S</w:t>
            </w:r>
          </w:p>
        </w:tc>
        <w:tc>
          <w:tcPr>
            <w:tcW w:w="960" w:type="dxa"/>
            <w:tcBorders>
              <w:bottom w:val="nil"/>
            </w:tcBorders>
          </w:tcPr>
          <w:p>
            <w:pPr>
              <w:pStyle w:val="TableParagraph"/>
              <w:spacing w:before="35"/>
              <w:ind w:left="113" w:right="104"/>
              <w:jc w:val="center"/>
              <w:rPr>
                <w:sz w:val="22"/>
              </w:rPr>
            </w:pPr>
            <w:r>
              <w:rPr>
                <w:sz w:val="22"/>
              </w:rPr>
              <w:t>1536</w:t>
            </w:r>
          </w:p>
        </w:tc>
        <w:tc>
          <w:tcPr>
            <w:tcW w:w="1040" w:type="dxa"/>
            <w:tcBorders>
              <w:bottom w:val="nil"/>
            </w:tcBorders>
          </w:tcPr>
          <w:p>
            <w:pPr>
              <w:pStyle w:val="TableParagraph"/>
              <w:spacing w:before="35"/>
              <w:ind w:left="216"/>
              <w:rPr>
                <w:sz w:val="22"/>
              </w:rPr>
            </w:pPr>
            <w:r>
              <w:rPr>
                <w:sz w:val="22"/>
              </w:rPr>
              <w:t>5.1250</w:t>
            </w:r>
          </w:p>
        </w:tc>
        <w:tc>
          <w:tcPr>
            <w:tcW w:w="1059" w:type="dxa"/>
            <w:tcBorders>
              <w:bottom w:val="nil"/>
            </w:tcBorders>
          </w:tcPr>
          <w:p>
            <w:pPr>
              <w:pStyle w:val="TableParagraph"/>
              <w:spacing w:before="35"/>
              <w:ind w:left="226"/>
              <w:rPr>
                <w:sz w:val="22"/>
              </w:rPr>
            </w:pPr>
            <w:r>
              <w:rPr>
                <w:sz w:val="22"/>
              </w:rPr>
              <w:t>5.6177</w:t>
            </w:r>
          </w:p>
        </w:tc>
        <w:tc>
          <w:tcPr>
            <w:tcW w:w="1108" w:type="dxa"/>
            <w:tcBorders>
              <w:bottom w:val="nil"/>
            </w:tcBorders>
          </w:tcPr>
          <w:p>
            <w:pPr>
              <w:pStyle w:val="TableParagraph"/>
              <w:spacing w:before="35"/>
              <w:ind w:left="269"/>
              <w:rPr>
                <w:sz w:val="22"/>
              </w:rPr>
            </w:pPr>
            <w:r>
              <w:rPr>
                <w:sz w:val="22"/>
              </w:rPr>
              <w:t>9.17%</w:t>
            </w:r>
          </w:p>
        </w:tc>
        <w:tc>
          <w:tcPr>
            <w:tcW w:w="1034" w:type="dxa"/>
            <w:tcBorders>
              <w:bottom w:val="nil"/>
            </w:tcBorders>
          </w:tcPr>
          <w:p>
            <w:pPr>
              <w:pStyle w:val="TableParagraph"/>
              <w:spacing w:before="35"/>
              <w:ind w:left="216"/>
              <w:rPr>
                <w:sz w:val="22"/>
              </w:rPr>
            </w:pPr>
            <w:r>
              <w:rPr>
                <w:sz w:val="22"/>
              </w:rPr>
              <w:t>5.3675</w:t>
            </w:r>
          </w:p>
        </w:tc>
        <w:tc>
          <w:tcPr>
            <w:tcW w:w="1107" w:type="dxa"/>
            <w:tcBorders>
              <w:bottom w:val="nil"/>
            </w:tcBorders>
          </w:tcPr>
          <w:p>
            <w:pPr>
              <w:pStyle w:val="TableParagraph"/>
              <w:spacing w:before="35"/>
              <w:ind w:left="158" w:right="144"/>
              <w:jc w:val="center"/>
              <w:rPr>
                <w:sz w:val="22"/>
              </w:rPr>
            </w:pPr>
            <w:r>
              <w:rPr>
                <w:sz w:val="22"/>
              </w:rPr>
              <w:t>4.62%</w:t>
            </w:r>
          </w:p>
        </w:tc>
      </w:tr>
      <w:tr>
        <w:trPr>
          <w:trHeight w:val="289" w:hRule="atLeast"/>
        </w:trPr>
        <w:tc>
          <w:tcPr>
            <w:tcW w:w="96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3"/>
              <w:ind w:right="187"/>
              <w:jc w:val="right"/>
              <w:rPr>
                <w:sz w:val="22"/>
              </w:rPr>
            </w:pPr>
            <w:r>
              <w:rPr>
                <w:sz w:val="22"/>
              </w:rPr>
              <w:t>SPF-S</w:t>
            </w:r>
          </w:p>
        </w:tc>
        <w:tc>
          <w:tcPr>
            <w:tcW w:w="96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3"/>
              <w:ind w:left="113" w:right="104"/>
              <w:jc w:val="center"/>
              <w:rPr>
                <w:sz w:val="22"/>
              </w:rPr>
            </w:pPr>
            <w:r>
              <w:rPr>
                <w:sz w:val="22"/>
              </w:rPr>
              <w:t>1060</w:t>
            </w:r>
          </w:p>
        </w:tc>
        <w:tc>
          <w:tcPr>
            <w:tcW w:w="104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3"/>
              <w:ind w:left="216"/>
              <w:rPr>
                <w:sz w:val="22"/>
              </w:rPr>
            </w:pPr>
            <w:r>
              <w:rPr>
                <w:sz w:val="22"/>
              </w:rPr>
              <w:t>2.8878</w:t>
            </w:r>
          </w:p>
        </w:tc>
        <w:tc>
          <w:tcPr>
            <w:tcW w:w="105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3"/>
              <w:ind w:left="226"/>
              <w:rPr>
                <w:sz w:val="22"/>
              </w:rPr>
            </w:pPr>
            <w:r>
              <w:rPr>
                <w:sz w:val="22"/>
              </w:rPr>
              <w:t>3.1139</w:t>
            </w:r>
          </w:p>
        </w:tc>
        <w:tc>
          <w:tcPr>
            <w:tcW w:w="1108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3"/>
              <w:ind w:left="269"/>
              <w:rPr>
                <w:sz w:val="22"/>
              </w:rPr>
            </w:pPr>
            <w:r>
              <w:rPr>
                <w:sz w:val="22"/>
              </w:rPr>
              <w:t>7.53%</w:t>
            </w:r>
          </w:p>
        </w:tc>
        <w:tc>
          <w:tcPr>
            <w:tcW w:w="103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3"/>
              <w:ind w:left="216"/>
              <w:rPr>
                <w:sz w:val="22"/>
              </w:rPr>
            </w:pPr>
            <w:r>
              <w:rPr>
                <w:sz w:val="22"/>
              </w:rPr>
              <w:t>3.0079</w:t>
            </w:r>
          </w:p>
        </w:tc>
        <w:tc>
          <w:tcPr>
            <w:tcW w:w="110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3"/>
              <w:ind w:left="158" w:right="144"/>
              <w:jc w:val="center"/>
              <w:rPr>
                <w:sz w:val="22"/>
              </w:rPr>
            </w:pPr>
            <w:r>
              <w:rPr>
                <w:sz w:val="22"/>
              </w:rPr>
              <w:t>4.07%</w:t>
            </w:r>
          </w:p>
        </w:tc>
      </w:tr>
      <w:tr>
        <w:trPr>
          <w:trHeight w:val="290" w:hRule="atLeast"/>
        </w:trPr>
        <w:tc>
          <w:tcPr>
            <w:tcW w:w="96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4"/>
              <w:ind w:right="187"/>
              <w:jc w:val="right"/>
              <w:rPr>
                <w:sz w:val="22"/>
              </w:rPr>
            </w:pPr>
            <w:r>
              <w:rPr>
                <w:sz w:val="22"/>
              </w:rPr>
              <w:t>SPF-S</w:t>
            </w:r>
          </w:p>
        </w:tc>
        <w:tc>
          <w:tcPr>
            <w:tcW w:w="96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4"/>
              <w:ind w:left="113" w:right="104"/>
              <w:jc w:val="center"/>
              <w:rPr>
                <w:sz w:val="22"/>
              </w:rPr>
            </w:pPr>
            <w:r>
              <w:rPr>
                <w:sz w:val="22"/>
              </w:rPr>
              <w:t>1624</w:t>
            </w:r>
          </w:p>
        </w:tc>
        <w:tc>
          <w:tcPr>
            <w:tcW w:w="104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4"/>
              <w:ind w:left="216"/>
              <w:rPr>
                <w:sz w:val="22"/>
              </w:rPr>
            </w:pPr>
            <w:r>
              <w:rPr>
                <w:sz w:val="22"/>
              </w:rPr>
              <w:t>5.8937</w:t>
            </w:r>
          </w:p>
        </w:tc>
        <w:tc>
          <w:tcPr>
            <w:tcW w:w="105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4"/>
              <w:ind w:left="226"/>
              <w:rPr>
                <w:sz w:val="22"/>
              </w:rPr>
            </w:pPr>
            <w:r>
              <w:rPr>
                <w:sz w:val="22"/>
              </w:rPr>
              <w:t>6.1273</w:t>
            </w:r>
          </w:p>
        </w:tc>
        <w:tc>
          <w:tcPr>
            <w:tcW w:w="1108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4"/>
              <w:ind w:left="269"/>
              <w:rPr>
                <w:sz w:val="22"/>
              </w:rPr>
            </w:pPr>
            <w:r>
              <w:rPr>
                <w:sz w:val="22"/>
              </w:rPr>
              <w:t>3.89%</w:t>
            </w:r>
          </w:p>
        </w:tc>
        <w:tc>
          <w:tcPr>
            <w:tcW w:w="103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4"/>
              <w:ind w:left="216"/>
              <w:rPr>
                <w:sz w:val="22"/>
              </w:rPr>
            </w:pPr>
            <w:r>
              <w:rPr>
                <w:sz w:val="22"/>
              </w:rPr>
              <w:t>5.8478</w:t>
            </w:r>
          </w:p>
        </w:tc>
        <w:tc>
          <w:tcPr>
            <w:tcW w:w="110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4"/>
              <w:ind w:left="159" w:right="144"/>
              <w:jc w:val="center"/>
              <w:rPr>
                <w:sz w:val="22"/>
              </w:rPr>
            </w:pPr>
            <w:r>
              <w:rPr>
                <w:sz w:val="22"/>
              </w:rPr>
              <w:t>-0.78%</w:t>
            </w:r>
          </w:p>
        </w:tc>
      </w:tr>
      <w:tr>
        <w:trPr>
          <w:trHeight w:val="268" w:hRule="atLeast"/>
        </w:trPr>
        <w:tc>
          <w:tcPr>
            <w:tcW w:w="960" w:type="dxa"/>
            <w:tcBorders>
              <w:top w:val="nil"/>
            </w:tcBorders>
          </w:tcPr>
          <w:p>
            <w:pPr>
              <w:pStyle w:val="TableParagraph"/>
              <w:spacing w:line="234" w:lineRule="exact" w:before="14"/>
              <w:ind w:right="187"/>
              <w:jc w:val="right"/>
              <w:rPr>
                <w:sz w:val="22"/>
              </w:rPr>
            </w:pPr>
            <w:r>
              <w:rPr>
                <w:sz w:val="22"/>
              </w:rPr>
              <w:t>SPF-S</w:t>
            </w:r>
          </w:p>
        </w:tc>
        <w:tc>
          <w:tcPr>
            <w:tcW w:w="960" w:type="dxa"/>
            <w:tcBorders>
              <w:top w:val="nil"/>
            </w:tcBorders>
          </w:tcPr>
          <w:p>
            <w:pPr>
              <w:pStyle w:val="TableParagraph"/>
              <w:spacing w:line="234" w:lineRule="exact" w:before="14"/>
              <w:ind w:left="113" w:right="104"/>
              <w:jc w:val="center"/>
              <w:rPr>
                <w:sz w:val="22"/>
              </w:rPr>
            </w:pPr>
            <w:r>
              <w:rPr>
                <w:sz w:val="22"/>
              </w:rPr>
              <w:t>1683</w:t>
            </w:r>
          </w:p>
        </w:tc>
        <w:tc>
          <w:tcPr>
            <w:tcW w:w="1040" w:type="dxa"/>
            <w:tcBorders>
              <w:top w:val="nil"/>
            </w:tcBorders>
          </w:tcPr>
          <w:p>
            <w:pPr>
              <w:pStyle w:val="TableParagraph"/>
              <w:spacing w:line="234" w:lineRule="exact" w:before="14"/>
              <w:ind w:left="216"/>
              <w:rPr>
                <w:sz w:val="22"/>
              </w:rPr>
            </w:pPr>
            <w:r>
              <w:rPr>
                <w:sz w:val="22"/>
              </w:rPr>
              <w:t>5.3346</w:t>
            </w:r>
          </w:p>
        </w:tc>
        <w:tc>
          <w:tcPr>
            <w:tcW w:w="1059" w:type="dxa"/>
            <w:tcBorders>
              <w:top w:val="nil"/>
            </w:tcBorders>
          </w:tcPr>
          <w:p>
            <w:pPr>
              <w:pStyle w:val="TableParagraph"/>
              <w:spacing w:line="234" w:lineRule="exact" w:before="14"/>
              <w:ind w:left="226"/>
              <w:rPr>
                <w:sz w:val="22"/>
              </w:rPr>
            </w:pPr>
            <w:r>
              <w:rPr>
                <w:sz w:val="22"/>
              </w:rPr>
              <w:t>6.5003</w:t>
            </w:r>
          </w:p>
        </w:tc>
        <w:tc>
          <w:tcPr>
            <w:tcW w:w="1108" w:type="dxa"/>
            <w:tcBorders>
              <w:top w:val="nil"/>
            </w:tcBorders>
          </w:tcPr>
          <w:p>
            <w:pPr>
              <w:pStyle w:val="TableParagraph"/>
              <w:spacing w:line="234" w:lineRule="exact" w:before="14"/>
              <w:ind w:left="215"/>
              <w:rPr>
                <w:sz w:val="22"/>
              </w:rPr>
            </w:pPr>
            <w:r>
              <w:rPr>
                <w:sz w:val="22"/>
              </w:rPr>
              <w:t>19.70%</w:t>
            </w:r>
          </w:p>
        </w:tc>
        <w:tc>
          <w:tcPr>
            <w:tcW w:w="1034" w:type="dxa"/>
            <w:tcBorders>
              <w:top w:val="nil"/>
            </w:tcBorders>
          </w:tcPr>
          <w:p>
            <w:pPr>
              <w:pStyle w:val="TableParagraph"/>
              <w:spacing w:line="234" w:lineRule="exact" w:before="14"/>
              <w:ind w:left="216"/>
              <w:rPr>
                <w:sz w:val="22"/>
              </w:rPr>
            </w:pPr>
            <w:r>
              <w:rPr>
                <w:sz w:val="22"/>
              </w:rPr>
              <w:t>6.1936</w:t>
            </w:r>
          </w:p>
        </w:tc>
        <w:tc>
          <w:tcPr>
            <w:tcW w:w="1107" w:type="dxa"/>
            <w:tcBorders>
              <w:top w:val="nil"/>
            </w:tcBorders>
          </w:tcPr>
          <w:p>
            <w:pPr>
              <w:pStyle w:val="TableParagraph"/>
              <w:spacing w:line="234" w:lineRule="exact" w:before="14"/>
              <w:ind w:left="159" w:right="144"/>
              <w:jc w:val="center"/>
              <w:rPr>
                <w:sz w:val="22"/>
              </w:rPr>
            </w:pPr>
            <w:r>
              <w:rPr>
                <w:sz w:val="22"/>
              </w:rPr>
              <w:t>14.90%</w:t>
            </w:r>
          </w:p>
        </w:tc>
      </w:tr>
      <w:tr>
        <w:trPr>
          <w:trHeight w:val="311" w:hRule="atLeast"/>
        </w:trPr>
        <w:tc>
          <w:tcPr>
            <w:tcW w:w="960" w:type="dxa"/>
            <w:tcBorders>
              <w:bottom w:val="nil"/>
            </w:tcBorders>
          </w:tcPr>
          <w:p>
            <w:pPr>
              <w:pStyle w:val="TableParagraph"/>
              <w:spacing w:before="35"/>
              <w:ind w:left="278"/>
              <w:rPr>
                <w:sz w:val="22"/>
              </w:rPr>
            </w:pPr>
            <w:r>
              <w:rPr>
                <w:sz w:val="22"/>
              </w:rPr>
              <w:t>SYP</w:t>
            </w:r>
          </w:p>
        </w:tc>
        <w:tc>
          <w:tcPr>
            <w:tcW w:w="960" w:type="dxa"/>
            <w:tcBorders>
              <w:bottom w:val="nil"/>
            </w:tcBorders>
          </w:tcPr>
          <w:p>
            <w:pPr>
              <w:pStyle w:val="TableParagraph"/>
              <w:spacing w:before="35"/>
              <w:ind w:left="113" w:right="104"/>
              <w:jc w:val="center"/>
              <w:rPr>
                <w:sz w:val="22"/>
              </w:rPr>
            </w:pPr>
            <w:r>
              <w:rPr>
                <w:sz w:val="22"/>
              </w:rPr>
              <w:t>1132</w:t>
            </w:r>
          </w:p>
        </w:tc>
        <w:tc>
          <w:tcPr>
            <w:tcW w:w="1040" w:type="dxa"/>
            <w:tcBorders>
              <w:bottom w:val="nil"/>
            </w:tcBorders>
          </w:tcPr>
          <w:p>
            <w:pPr>
              <w:pStyle w:val="TableParagraph"/>
              <w:spacing w:before="35"/>
              <w:ind w:left="216"/>
              <w:rPr>
                <w:sz w:val="22"/>
              </w:rPr>
            </w:pPr>
            <w:r>
              <w:rPr>
                <w:sz w:val="22"/>
              </w:rPr>
              <w:t>3.0000</w:t>
            </w:r>
          </w:p>
        </w:tc>
        <w:tc>
          <w:tcPr>
            <w:tcW w:w="1059" w:type="dxa"/>
            <w:tcBorders>
              <w:bottom w:val="nil"/>
            </w:tcBorders>
          </w:tcPr>
          <w:p>
            <w:pPr>
              <w:pStyle w:val="TableParagraph"/>
              <w:spacing w:before="35"/>
              <w:ind w:left="226"/>
              <w:rPr>
                <w:sz w:val="22"/>
              </w:rPr>
            </w:pPr>
            <w:r>
              <w:rPr>
                <w:sz w:val="22"/>
              </w:rPr>
              <w:t>2.9417</w:t>
            </w:r>
          </w:p>
        </w:tc>
        <w:tc>
          <w:tcPr>
            <w:tcW w:w="1108" w:type="dxa"/>
            <w:tcBorders>
              <w:bottom w:val="nil"/>
            </w:tcBorders>
          </w:tcPr>
          <w:p>
            <w:pPr>
              <w:pStyle w:val="TableParagraph"/>
              <w:spacing w:before="35"/>
              <w:ind w:left="233"/>
              <w:rPr>
                <w:sz w:val="22"/>
              </w:rPr>
            </w:pPr>
            <w:r>
              <w:rPr>
                <w:sz w:val="22"/>
              </w:rPr>
              <w:t>-1.96%</w:t>
            </w:r>
          </w:p>
        </w:tc>
        <w:tc>
          <w:tcPr>
            <w:tcW w:w="1034" w:type="dxa"/>
            <w:tcBorders>
              <w:bottom w:val="nil"/>
            </w:tcBorders>
          </w:tcPr>
          <w:p>
            <w:pPr>
              <w:pStyle w:val="TableParagraph"/>
              <w:spacing w:before="35"/>
              <w:ind w:left="216"/>
              <w:rPr>
                <w:sz w:val="22"/>
              </w:rPr>
            </w:pPr>
            <w:r>
              <w:rPr>
                <w:sz w:val="22"/>
              </w:rPr>
              <w:t>2.7616</w:t>
            </w:r>
          </w:p>
        </w:tc>
        <w:tc>
          <w:tcPr>
            <w:tcW w:w="1107" w:type="dxa"/>
            <w:tcBorders>
              <w:bottom w:val="nil"/>
            </w:tcBorders>
          </w:tcPr>
          <w:p>
            <w:pPr>
              <w:pStyle w:val="TableParagraph"/>
              <w:spacing w:before="35"/>
              <w:ind w:left="159" w:right="144"/>
              <w:jc w:val="center"/>
              <w:rPr>
                <w:sz w:val="22"/>
              </w:rPr>
            </w:pPr>
            <w:r>
              <w:rPr>
                <w:sz w:val="22"/>
              </w:rPr>
              <w:t>-8.28%</w:t>
            </w:r>
          </w:p>
        </w:tc>
      </w:tr>
      <w:tr>
        <w:trPr>
          <w:trHeight w:val="289" w:hRule="atLeast"/>
        </w:trPr>
        <w:tc>
          <w:tcPr>
            <w:tcW w:w="96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3"/>
              <w:ind w:left="278"/>
              <w:rPr>
                <w:sz w:val="22"/>
              </w:rPr>
            </w:pPr>
            <w:r>
              <w:rPr>
                <w:sz w:val="22"/>
              </w:rPr>
              <w:t>SYP</w:t>
            </w:r>
          </w:p>
        </w:tc>
        <w:tc>
          <w:tcPr>
            <w:tcW w:w="96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3"/>
              <w:ind w:left="113" w:right="104"/>
              <w:jc w:val="center"/>
              <w:rPr>
                <w:sz w:val="22"/>
              </w:rPr>
            </w:pPr>
            <w:r>
              <w:rPr>
                <w:sz w:val="22"/>
              </w:rPr>
              <w:t>1984</w:t>
            </w:r>
          </w:p>
        </w:tc>
        <w:tc>
          <w:tcPr>
            <w:tcW w:w="104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3"/>
              <w:ind w:left="216"/>
              <w:rPr>
                <w:sz w:val="22"/>
              </w:rPr>
            </w:pPr>
            <w:r>
              <w:rPr>
                <w:sz w:val="22"/>
              </w:rPr>
              <w:t>6.1250</w:t>
            </w:r>
          </w:p>
        </w:tc>
        <w:tc>
          <w:tcPr>
            <w:tcW w:w="105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3"/>
              <w:ind w:left="226"/>
              <w:rPr>
                <w:sz w:val="22"/>
              </w:rPr>
            </w:pPr>
            <w:r>
              <w:rPr>
                <w:sz w:val="22"/>
              </w:rPr>
              <w:t>6.0681</w:t>
            </w:r>
          </w:p>
        </w:tc>
        <w:tc>
          <w:tcPr>
            <w:tcW w:w="1108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3"/>
              <w:ind w:left="233"/>
              <w:rPr>
                <w:sz w:val="22"/>
              </w:rPr>
            </w:pPr>
            <w:r>
              <w:rPr>
                <w:sz w:val="22"/>
              </w:rPr>
              <w:t>-0.93%</w:t>
            </w:r>
          </w:p>
        </w:tc>
        <w:tc>
          <w:tcPr>
            <w:tcW w:w="103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3"/>
              <w:ind w:left="216"/>
              <w:rPr>
                <w:sz w:val="22"/>
              </w:rPr>
            </w:pPr>
            <w:r>
              <w:rPr>
                <w:sz w:val="22"/>
              </w:rPr>
              <w:t>5.8544</w:t>
            </w:r>
          </w:p>
        </w:tc>
        <w:tc>
          <w:tcPr>
            <w:tcW w:w="110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3"/>
              <w:ind w:left="159" w:right="144"/>
              <w:jc w:val="center"/>
              <w:rPr>
                <w:sz w:val="22"/>
              </w:rPr>
            </w:pPr>
            <w:r>
              <w:rPr>
                <w:sz w:val="22"/>
              </w:rPr>
              <w:t>-4.52%</w:t>
            </w:r>
          </w:p>
        </w:tc>
      </w:tr>
      <w:tr>
        <w:trPr>
          <w:trHeight w:val="290" w:hRule="atLeast"/>
        </w:trPr>
        <w:tc>
          <w:tcPr>
            <w:tcW w:w="96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4"/>
              <w:ind w:left="278"/>
              <w:rPr>
                <w:sz w:val="22"/>
              </w:rPr>
            </w:pPr>
            <w:r>
              <w:rPr>
                <w:sz w:val="22"/>
              </w:rPr>
              <w:t>SYP</w:t>
            </w:r>
          </w:p>
        </w:tc>
        <w:tc>
          <w:tcPr>
            <w:tcW w:w="96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4"/>
              <w:ind w:left="113" w:right="104"/>
              <w:jc w:val="center"/>
              <w:rPr>
                <w:sz w:val="22"/>
              </w:rPr>
            </w:pPr>
            <w:r>
              <w:rPr>
                <w:sz w:val="22"/>
              </w:rPr>
              <w:t>1585</w:t>
            </w:r>
          </w:p>
        </w:tc>
        <w:tc>
          <w:tcPr>
            <w:tcW w:w="104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4"/>
              <w:ind w:left="216"/>
              <w:rPr>
                <w:sz w:val="22"/>
              </w:rPr>
            </w:pPr>
            <w:r>
              <w:rPr>
                <w:sz w:val="22"/>
              </w:rPr>
              <w:t>5.1875</w:t>
            </w:r>
          </w:p>
        </w:tc>
        <w:tc>
          <w:tcPr>
            <w:tcW w:w="105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4"/>
              <w:ind w:left="226"/>
              <w:rPr>
                <w:sz w:val="22"/>
              </w:rPr>
            </w:pPr>
            <w:r>
              <w:rPr>
                <w:sz w:val="22"/>
              </w:rPr>
              <w:t>4.3739</w:t>
            </w:r>
          </w:p>
        </w:tc>
        <w:tc>
          <w:tcPr>
            <w:tcW w:w="1108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4"/>
              <w:ind w:left="178"/>
              <w:rPr>
                <w:sz w:val="22"/>
              </w:rPr>
            </w:pPr>
            <w:r>
              <w:rPr>
                <w:sz w:val="22"/>
              </w:rPr>
              <w:t>-17.02%</w:t>
            </w:r>
          </w:p>
        </w:tc>
        <w:tc>
          <w:tcPr>
            <w:tcW w:w="103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4"/>
              <w:ind w:left="216"/>
              <w:rPr>
                <w:sz w:val="22"/>
              </w:rPr>
            </w:pPr>
            <w:r>
              <w:rPr>
                <w:sz w:val="22"/>
              </w:rPr>
              <w:t>4.2152</w:t>
            </w:r>
          </w:p>
        </w:tc>
        <w:tc>
          <w:tcPr>
            <w:tcW w:w="110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4"/>
              <w:ind w:left="160" w:right="144"/>
              <w:jc w:val="center"/>
              <w:rPr>
                <w:sz w:val="22"/>
              </w:rPr>
            </w:pPr>
            <w:r>
              <w:rPr>
                <w:sz w:val="22"/>
              </w:rPr>
              <w:t>-20.68%</w:t>
            </w:r>
          </w:p>
        </w:tc>
      </w:tr>
      <w:tr>
        <w:trPr>
          <w:trHeight w:val="268" w:hRule="atLeast"/>
        </w:trPr>
        <w:tc>
          <w:tcPr>
            <w:tcW w:w="960" w:type="dxa"/>
            <w:tcBorders>
              <w:top w:val="nil"/>
            </w:tcBorders>
          </w:tcPr>
          <w:p>
            <w:pPr>
              <w:pStyle w:val="TableParagraph"/>
              <w:spacing w:line="234" w:lineRule="exact" w:before="14"/>
              <w:ind w:left="278"/>
              <w:rPr>
                <w:sz w:val="22"/>
              </w:rPr>
            </w:pPr>
            <w:r>
              <w:rPr>
                <w:sz w:val="22"/>
              </w:rPr>
              <w:t>SYP</w:t>
            </w:r>
          </w:p>
        </w:tc>
        <w:tc>
          <w:tcPr>
            <w:tcW w:w="960" w:type="dxa"/>
            <w:tcBorders>
              <w:top w:val="nil"/>
            </w:tcBorders>
          </w:tcPr>
          <w:p>
            <w:pPr>
              <w:pStyle w:val="TableParagraph"/>
              <w:spacing w:line="234" w:lineRule="exact" w:before="14"/>
              <w:ind w:left="113" w:right="104"/>
              <w:jc w:val="center"/>
              <w:rPr>
                <w:sz w:val="22"/>
              </w:rPr>
            </w:pPr>
            <w:r>
              <w:rPr>
                <w:sz w:val="22"/>
              </w:rPr>
              <w:t>1659</w:t>
            </w:r>
          </w:p>
        </w:tc>
        <w:tc>
          <w:tcPr>
            <w:tcW w:w="1040" w:type="dxa"/>
            <w:tcBorders>
              <w:top w:val="nil"/>
            </w:tcBorders>
          </w:tcPr>
          <w:p>
            <w:pPr>
              <w:pStyle w:val="TableParagraph"/>
              <w:spacing w:line="234" w:lineRule="exact" w:before="14"/>
              <w:ind w:left="216"/>
              <w:rPr>
                <w:sz w:val="22"/>
              </w:rPr>
            </w:pPr>
            <w:r>
              <w:rPr>
                <w:sz w:val="22"/>
              </w:rPr>
              <w:t>4.6875</w:t>
            </w:r>
          </w:p>
        </w:tc>
        <w:tc>
          <w:tcPr>
            <w:tcW w:w="1059" w:type="dxa"/>
            <w:tcBorders>
              <w:top w:val="nil"/>
            </w:tcBorders>
          </w:tcPr>
          <w:p>
            <w:pPr>
              <w:pStyle w:val="TableParagraph"/>
              <w:spacing w:line="234" w:lineRule="exact" w:before="14"/>
              <w:ind w:left="226"/>
              <w:rPr>
                <w:sz w:val="22"/>
              </w:rPr>
            </w:pPr>
            <w:r>
              <w:rPr>
                <w:sz w:val="22"/>
              </w:rPr>
              <w:t>4.6798</w:t>
            </w:r>
          </w:p>
        </w:tc>
        <w:tc>
          <w:tcPr>
            <w:tcW w:w="1108" w:type="dxa"/>
            <w:tcBorders>
              <w:top w:val="nil"/>
            </w:tcBorders>
          </w:tcPr>
          <w:p>
            <w:pPr>
              <w:pStyle w:val="TableParagraph"/>
              <w:spacing w:line="234" w:lineRule="exact" w:before="14"/>
              <w:ind w:left="233"/>
              <w:rPr>
                <w:sz w:val="22"/>
              </w:rPr>
            </w:pPr>
            <w:r>
              <w:rPr>
                <w:sz w:val="22"/>
              </w:rPr>
              <w:t>-0.16%</w:t>
            </w:r>
          </w:p>
        </w:tc>
        <w:tc>
          <w:tcPr>
            <w:tcW w:w="1034" w:type="dxa"/>
            <w:tcBorders>
              <w:top w:val="nil"/>
            </w:tcBorders>
          </w:tcPr>
          <w:p>
            <w:pPr>
              <w:pStyle w:val="TableParagraph"/>
              <w:spacing w:line="234" w:lineRule="exact" w:before="14"/>
              <w:ind w:left="216"/>
              <w:rPr>
                <w:sz w:val="22"/>
              </w:rPr>
            </w:pPr>
            <w:r>
              <w:rPr>
                <w:sz w:val="22"/>
              </w:rPr>
              <w:t>4.5095</w:t>
            </w:r>
          </w:p>
        </w:tc>
        <w:tc>
          <w:tcPr>
            <w:tcW w:w="1107" w:type="dxa"/>
            <w:tcBorders>
              <w:top w:val="nil"/>
            </w:tcBorders>
          </w:tcPr>
          <w:p>
            <w:pPr>
              <w:pStyle w:val="TableParagraph"/>
              <w:spacing w:line="234" w:lineRule="exact" w:before="14"/>
              <w:ind w:left="159" w:right="144"/>
              <w:jc w:val="center"/>
              <w:rPr>
                <w:sz w:val="22"/>
              </w:rPr>
            </w:pPr>
            <w:r>
              <w:rPr>
                <w:sz w:val="22"/>
              </w:rPr>
              <w:t>-3.87%</w:t>
            </w:r>
          </w:p>
        </w:tc>
      </w:tr>
    </w:tbl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8"/>
        <w:rPr>
          <w:i/>
          <w:sz w:val="30"/>
        </w:rPr>
      </w:pPr>
    </w:p>
    <w:p>
      <w:pPr>
        <w:pStyle w:val="Heading9"/>
        <w:numPr>
          <w:ilvl w:val="1"/>
          <w:numId w:val="22"/>
        </w:numPr>
        <w:tabs>
          <w:tab w:pos="800" w:val="left" w:leader="none"/>
        </w:tabs>
        <w:spacing w:line="240" w:lineRule="auto" w:before="1" w:after="0"/>
        <w:ind w:left="800" w:right="0" w:hanging="360"/>
        <w:jc w:val="left"/>
      </w:pPr>
      <w:bookmarkStart w:name="_TOC_250027" w:id="345"/>
      <w:bookmarkStart w:name="5.9 Summary" w:id="346"/>
      <w:r>
        <w:rPr>
          <w:b w:val="0"/>
        </w:rPr>
      </w:r>
      <w:bookmarkEnd w:id="346"/>
      <w:bookmarkStart w:name="5.9 Summary" w:id="347"/>
      <w:r>
        <w:rPr/>
        <w:t>S</w:t>
      </w:r>
      <w:bookmarkEnd w:id="345"/>
      <w:r>
        <w:rPr/>
        <w:t>ummary</w:t>
      </w:r>
    </w:p>
    <w:p>
      <w:pPr>
        <w:pStyle w:val="BodyText"/>
        <w:spacing w:before="6"/>
        <w:rPr>
          <w:b/>
          <w:sz w:val="22"/>
        </w:rPr>
      </w:pPr>
    </w:p>
    <w:p>
      <w:pPr>
        <w:pStyle w:val="BodyText"/>
        <w:spacing w:line="480" w:lineRule="auto"/>
        <w:ind w:left="440" w:right="403" w:firstLine="1440"/>
      </w:pPr>
      <w:r>
        <w:rPr/>
        <w:t>As</w:t>
      </w:r>
      <w:r>
        <w:rPr>
          <w:spacing w:val="-14"/>
        </w:rPr>
        <w:t> </w:t>
      </w:r>
      <w:r>
        <w:rPr/>
        <w:t>the</w:t>
      </w:r>
      <w:r>
        <w:rPr>
          <w:spacing w:val="-13"/>
        </w:rPr>
        <w:t> </w:t>
      </w:r>
      <w:r>
        <w:rPr/>
        <w:t>first</w:t>
      </w:r>
      <w:r>
        <w:rPr>
          <w:spacing w:val="-14"/>
        </w:rPr>
        <w:t> </w:t>
      </w:r>
      <w:r>
        <w:rPr/>
        <w:t>series</w:t>
      </w:r>
      <w:r>
        <w:rPr>
          <w:spacing w:val="-14"/>
        </w:rPr>
        <w:t> </w:t>
      </w:r>
      <w:r>
        <w:rPr/>
        <w:t>of</w:t>
      </w:r>
      <w:r>
        <w:rPr>
          <w:spacing w:val="-14"/>
        </w:rPr>
        <w:t> </w:t>
      </w:r>
      <w:r>
        <w:rPr/>
        <w:t>ballistic</w:t>
      </w:r>
      <w:r>
        <w:rPr>
          <w:spacing w:val="-15"/>
        </w:rPr>
        <w:t> </w:t>
      </w:r>
      <w:r>
        <w:rPr/>
        <w:t>testing</w:t>
      </w:r>
      <w:r>
        <w:rPr>
          <w:spacing w:val="-13"/>
        </w:rPr>
        <w:t> </w:t>
      </w:r>
      <w:r>
        <w:rPr/>
        <w:t>on</w:t>
      </w:r>
      <w:r>
        <w:rPr>
          <w:spacing w:val="-13"/>
        </w:rPr>
        <w:t> </w:t>
      </w:r>
      <w:r>
        <w:rPr/>
        <w:t>CLT,</w:t>
      </w:r>
      <w:r>
        <w:rPr>
          <w:spacing w:val="-14"/>
        </w:rPr>
        <w:t> </w:t>
      </w:r>
      <w:r>
        <w:rPr/>
        <w:t>this</w:t>
      </w:r>
      <w:r>
        <w:rPr>
          <w:spacing w:val="-13"/>
        </w:rPr>
        <w:t> </w:t>
      </w:r>
      <w:r>
        <w:rPr/>
        <w:t>research</w:t>
      </w:r>
      <w:r>
        <w:rPr>
          <w:spacing w:val="-13"/>
        </w:rPr>
        <w:t> </w:t>
      </w:r>
      <w:r>
        <w:rPr/>
        <w:t>aimed</w:t>
      </w:r>
      <w:r>
        <w:rPr>
          <w:spacing w:val="-14"/>
        </w:rPr>
        <w:t> </w:t>
      </w:r>
      <w:r>
        <w:rPr/>
        <w:t>to</w:t>
      </w:r>
      <w:r>
        <w:rPr>
          <w:spacing w:val="-13"/>
        </w:rPr>
        <w:t> </w:t>
      </w:r>
      <w:r>
        <w:rPr/>
        <w:t>examine</w:t>
      </w:r>
      <w:r>
        <w:rPr>
          <w:spacing w:val="-57"/>
        </w:rPr>
        <w:t> </w:t>
      </w:r>
      <w:r>
        <w:rPr/>
        <w:t>the</w:t>
      </w:r>
      <w:r>
        <w:rPr>
          <w:spacing w:val="21"/>
        </w:rPr>
        <w:t> </w:t>
      </w:r>
      <w:r>
        <w:rPr/>
        <w:t>ballistic</w:t>
      </w:r>
      <w:r>
        <w:rPr>
          <w:spacing w:val="20"/>
        </w:rPr>
        <w:t> </w:t>
      </w:r>
      <w:r>
        <w:rPr/>
        <w:t>resistance</w:t>
      </w:r>
      <w:r>
        <w:rPr>
          <w:spacing w:val="22"/>
        </w:rPr>
        <w:t> </w:t>
      </w:r>
      <w:r>
        <w:rPr/>
        <w:t>of</w:t>
      </w:r>
      <w:r>
        <w:rPr>
          <w:spacing w:val="21"/>
        </w:rPr>
        <w:t> </w:t>
      </w:r>
      <w:r>
        <w:rPr/>
        <w:t>the</w:t>
      </w:r>
      <w:r>
        <w:rPr>
          <w:spacing w:val="22"/>
        </w:rPr>
        <w:t> </w:t>
      </w:r>
      <w:r>
        <w:rPr/>
        <w:t>material.</w:t>
      </w:r>
      <w:r>
        <w:rPr>
          <w:spacing w:val="44"/>
        </w:rPr>
        <w:t> </w:t>
      </w:r>
      <w:r>
        <w:rPr/>
        <w:t>Through</w:t>
      </w:r>
      <w:r>
        <w:rPr>
          <w:spacing w:val="20"/>
        </w:rPr>
        <w:t> </w:t>
      </w:r>
      <w:r>
        <w:rPr/>
        <w:t>experimental</w:t>
      </w:r>
      <w:r>
        <w:rPr>
          <w:spacing w:val="22"/>
        </w:rPr>
        <w:t> </w:t>
      </w:r>
      <w:r>
        <w:rPr/>
        <w:t>testing</w:t>
      </w:r>
      <w:r>
        <w:rPr>
          <w:spacing w:val="21"/>
        </w:rPr>
        <w:t> </w:t>
      </w:r>
      <w:r>
        <w:rPr/>
        <w:t>conducted</w:t>
      </w:r>
      <w:r>
        <w:rPr>
          <w:spacing w:val="20"/>
        </w:rPr>
        <w:t> </w:t>
      </w:r>
      <w:r>
        <w:rPr/>
        <w:t>on</w:t>
      </w:r>
      <w:r>
        <w:rPr>
          <w:spacing w:val="20"/>
        </w:rPr>
        <w:t> </w:t>
      </w:r>
      <w:r>
        <w:rPr/>
        <w:t>two</w:t>
      </w:r>
    </w:p>
    <w:p>
      <w:pPr>
        <w:spacing w:after="0" w:line="480" w:lineRule="auto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39" w:right="417"/>
        <w:jc w:val="both"/>
      </w:pPr>
      <w:r>
        <w:rPr/>
        <w:t>types of CLT specimens with two types of projectiles, 165 tests yielded data in terms of</w:t>
      </w:r>
      <w:r>
        <w:rPr>
          <w:spacing w:val="1"/>
        </w:rPr>
        <w:t> </w:t>
      </w:r>
      <w:r>
        <w:rPr/>
        <w:t>depth of penetration or residual velocity based on a striking velocity.</w:t>
      </w:r>
      <w:r>
        <w:rPr>
          <w:spacing w:val="1"/>
        </w:rPr>
        <w:t> </w:t>
      </w:r>
      <w:r>
        <w:rPr/>
        <w:t>The existing UFC</w:t>
      </w:r>
      <w:r>
        <w:rPr>
          <w:spacing w:val="1"/>
        </w:rPr>
        <w:t> </w:t>
      </w:r>
      <w:r>
        <w:rPr/>
        <w:t>standard for determining required wood thickness was shown to not fit CLT well, further</w:t>
      </w:r>
      <w:r>
        <w:rPr>
          <w:spacing w:val="1"/>
        </w:rPr>
        <w:t> </w:t>
      </w:r>
      <w:r>
        <w:rPr/>
        <w:t>suggesting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mass</w:t>
      </w:r>
      <w:r>
        <w:rPr>
          <w:spacing w:val="1"/>
        </w:rPr>
        <w:t> </w:t>
      </w:r>
      <w:r>
        <w:rPr/>
        <w:t>timber</w:t>
      </w:r>
      <w:r>
        <w:rPr>
          <w:spacing w:val="1"/>
        </w:rPr>
        <w:t> </w:t>
      </w:r>
      <w:r>
        <w:rPr/>
        <w:t>product</w:t>
      </w:r>
      <w:r>
        <w:rPr>
          <w:spacing w:val="1"/>
        </w:rPr>
        <w:t> </w:t>
      </w:r>
      <w:r>
        <w:rPr/>
        <w:t>outperforms</w:t>
      </w:r>
      <w:r>
        <w:rPr>
          <w:spacing w:val="1"/>
        </w:rPr>
        <w:t> </w:t>
      </w:r>
      <w:r>
        <w:rPr/>
        <w:t>conventional</w:t>
      </w:r>
      <w:r>
        <w:rPr>
          <w:spacing w:val="1"/>
        </w:rPr>
        <w:t> </w:t>
      </w:r>
      <w:r>
        <w:rPr/>
        <w:t>wood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lightweight</w:t>
      </w:r>
      <w:r>
        <w:rPr>
          <w:spacing w:val="1"/>
        </w:rPr>
        <w:t> </w:t>
      </w:r>
      <w:r>
        <w:rPr/>
        <w:t>wood</w:t>
      </w:r>
      <w:r>
        <w:rPr>
          <w:spacing w:val="1"/>
        </w:rPr>
        <w:t> </w:t>
      </w:r>
      <w:r>
        <w:rPr/>
        <w:t>construction.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experimental</w:t>
      </w:r>
      <w:r>
        <w:rPr>
          <w:spacing w:val="1"/>
        </w:rPr>
        <w:t> </w:t>
      </w:r>
      <w:r>
        <w:rPr/>
        <w:t>testing</w:t>
      </w:r>
      <w:r>
        <w:rPr>
          <w:spacing w:val="1"/>
        </w:rPr>
        <w:t> </w:t>
      </w:r>
      <w:r>
        <w:rPr/>
        <w:t>allowed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-57"/>
        </w:rPr>
        <w:t> </w:t>
      </w:r>
      <w:r>
        <w:rPr/>
        <w:t>calibration of classical penetration models, adaptation of an existing curve-fitting model</w:t>
      </w:r>
      <w:r>
        <w:rPr>
          <w:spacing w:val="1"/>
        </w:rPr>
        <w:t> </w:t>
      </w:r>
      <w:r>
        <w:rPr/>
        <w:t>and development of a new curve-fitting model, which predicted the thickness of CLT</w:t>
      </w:r>
      <w:r>
        <w:rPr>
          <w:spacing w:val="1"/>
        </w:rPr>
        <w:t> </w:t>
      </w:r>
      <w:r>
        <w:rPr/>
        <w:t>required</w:t>
      </w:r>
      <w:r>
        <w:rPr>
          <w:spacing w:val="-1"/>
        </w:rPr>
        <w:t> </w:t>
      </w:r>
      <w:r>
        <w:rPr/>
        <w:t>to stop a projectile based</w:t>
      </w:r>
      <w:r>
        <w:rPr>
          <w:spacing w:val="-1"/>
        </w:rPr>
        <w:t> </w:t>
      </w:r>
      <w:r>
        <w:rPr/>
        <w:t>on</w:t>
      </w:r>
      <w:r>
        <w:rPr>
          <w:spacing w:val="-2"/>
        </w:rPr>
        <w:t> </w:t>
      </w:r>
      <w:r>
        <w:rPr/>
        <w:t>striking velocity.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/>
        <w:ind w:left="439" w:right="418" w:firstLine="720"/>
        <w:jc w:val="both"/>
      </w:pPr>
      <w:r>
        <w:rPr/>
        <w:t>While this initial investigation does not provide enough data to recommend a</w:t>
      </w:r>
      <w:r>
        <w:rPr>
          <w:spacing w:val="1"/>
        </w:rPr>
        <w:t> </w:t>
      </w:r>
      <w:r>
        <w:rPr/>
        <w:t>performance</w:t>
      </w:r>
      <w:r>
        <w:rPr>
          <w:spacing w:val="-2"/>
        </w:rPr>
        <w:t> </w:t>
      </w:r>
      <w:r>
        <w:rPr/>
        <w:t>rating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material</w:t>
      </w:r>
      <w:r>
        <w:rPr>
          <w:spacing w:val="-2"/>
        </w:rPr>
        <w:t> </w:t>
      </w:r>
      <w:r>
        <w:rPr/>
        <w:t>by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UL</w:t>
      </w:r>
      <w:r>
        <w:rPr>
          <w:spacing w:val="-3"/>
        </w:rPr>
        <w:t> </w:t>
      </w:r>
      <w:r>
        <w:rPr/>
        <w:t>standards,</w:t>
      </w:r>
      <w:r>
        <w:rPr>
          <w:spacing w:val="-1"/>
        </w:rPr>
        <w:t> </w:t>
      </w:r>
      <w:r>
        <w:rPr/>
        <w:t>it</w:t>
      </w:r>
      <w:r>
        <w:rPr>
          <w:spacing w:val="-2"/>
        </w:rPr>
        <w:t> </w:t>
      </w:r>
      <w:r>
        <w:rPr/>
        <w:t>provides</w:t>
      </w:r>
      <w:r>
        <w:rPr>
          <w:spacing w:val="-1"/>
        </w:rPr>
        <w:t> </w:t>
      </w:r>
      <w:r>
        <w:rPr/>
        <w:t>an</w:t>
      </w:r>
      <w:r>
        <w:rPr>
          <w:spacing w:val="-4"/>
        </w:rPr>
        <w:t> </w:t>
      </w:r>
      <w:r>
        <w:rPr/>
        <w:t>initial</w:t>
      </w:r>
      <w:r>
        <w:rPr>
          <w:spacing w:val="-1"/>
        </w:rPr>
        <w:t> </w:t>
      </w:r>
      <w:r>
        <w:rPr/>
        <w:t>model</w:t>
      </w:r>
      <w:r>
        <w:rPr>
          <w:spacing w:val="-2"/>
        </w:rPr>
        <w:t> </w:t>
      </w:r>
      <w:r>
        <w:rPr/>
        <w:t>which</w:t>
      </w:r>
      <w:r>
        <w:rPr>
          <w:spacing w:val="-58"/>
        </w:rPr>
        <w:t> </w:t>
      </w:r>
      <w:r>
        <w:rPr>
          <w:spacing w:val="-1"/>
        </w:rPr>
        <w:t>can</w:t>
      </w:r>
      <w:r>
        <w:rPr>
          <w:spacing w:val="-14"/>
        </w:rPr>
        <w:t> </w:t>
      </w:r>
      <w:r>
        <w:rPr>
          <w:spacing w:val="-1"/>
        </w:rPr>
        <w:t>be</w:t>
      </w:r>
      <w:r>
        <w:rPr>
          <w:spacing w:val="-13"/>
        </w:rPr>
        <w:t> </w:t>
      </w:r>
      <w:r>
        <w:rPr>
          <w:spacing w:val="-1"/>
        </w:rPr>
        <w:t>expanded</w:t>
      </w:r>
      <w:r>
        <w:rPr>
          <w:spacing w:val="-14"/>
        </w:rPr>
        <w:t> </w:t>
      </w:r>
      <w:r>
        <w:rPr>
          <w:spacing w:val="-1"/>
        </w:rPr>
        <w:t>upon</w:t>
      </w:r>
      <w:r>
        <w:rPr>
          <w:spacing w:val="-14"/>
        </w:rPr>
        <w:t> </w:t>
      </w:r>
      <w:r>
        <w:rPr>
          <w:spacing w:val="-1"/>
        </w:rPr>
        <w:t>to</w:t>
      </w:r>
      <w:r>
        <w:rPr>
          <w:spacing w:val="-14"/>
        </w:rPr>
        <w:t> </w:t>
      </w:r>
      <w:r>
        <w:rPr/>
        <w:t>include</w:t>
      </w:r>
      <w:r>
        <w:rPr>
          <w:spacing w:val="-13"/>
        </w:rPr>
        <w:t> </w:t>
      </w:r>
      <w:r>
        <w:rPr/>
        <w:t>additional</w:t>
      </w:r>
      <w:r>
        <w:rPr>
          <w:spacing w:val="-13"/>
        </w:rPr>
        <w:t> </w:t>
      </w:r>
      <w:r>
        <w:rPr/>
        <w:t>factors</w:t>
      </w:r>
      <w:r>
        <w:rPr>
          <w:spacing w:val="-15"/>
        </w:rPr>
        <w:t> </w:t>
      </w:r>
      <w:r>
        <w:rPr/>
        <w:t>such</w:t>
      </w:r>
      <w:r>
        <w:rPr>
          <w:spacing w:val="-13"/>
        </w:rPr>
        <w:t> </w:t>
      </w:r>
      <w:r>
        <w:rPr/>
        <w:t>as</w:t>
      </w:r>
      <w:r>
        <w:rPr>
          <w:spacing w:val="-13"/>
        </w:rPr>
        <w:t> </w:t>
      </w:r>
      <w:r>
        <w:rPr/>
        <w:t>projectile</w:t>
      </w:r>
      <w:r>
        <w:rPr>
          <w:spacing w:val="-13"/>
        </w:rPr>
        <w:t> </w:t>
      </w:r>
      <w:r>
        <w:rPr/>
        <w:t>nose</w:t>
      </w:r>
      <w:r>
        <w:rPr>
          <w:spacing w:val="-13"/>
        </w:rPr>
        <w:t> </w:t>
      </w:r>
      <w:r>
        <w:rPr/>
        <w:t>shape</w:t>
      </w:r>
      <w:r>
        <w:rPr>
          <w:spacing w:val="-13"/>
        </w:rPr>
        <w:t> </w:t>
      </w:r>
      <w:r>
        <w:rPr/>
        <w:t>and</w:t>
      </w:r>
      <w:r>
        <w:rPr>
          <w:spacing w:val="-14"/>
        </w:rPr>
        <w:t> </w:t>
      </w:r>
      <w:r>
        <w:rPr/>
        <w:t>should</w:t>
      </w:r>
      <w:r>
        <w:rPr>
          <w:spacing w:val="-57"/>
        </w:rPr>
        <w:t> </w:t>
      </w:r>
      <w:r>
        <w:rPr/>
        <w:t>be tested with more wood types and a greater variety of ply numbers, or specimen</w:t>
      </w:r>
      <w:r>
        <w:rPr>
          <w:spacing w:val="1"/>
        </w:rPr>
        <w:t> </w:t>
      </w:r>
      <w:r>
        <w:rPr/>
        <w:t>thickness.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/>
        <w:ind w:left="439" w:right="417" w:firstLine="720"/>
        <w:jc w:val="both"/>
      </w:pPr>
      <w:r>
        <w:rPr/>
        <w:t>Additionally, the effects of weathering were considered in a small number of</w:t>
      </w:r>
      <w:r>
        <w:rPr>
          <w:spacing w:val="1"/>
        </w:rPr>
        <w:t> </w:t>
      </w:r>
      <w:r>
        <w:rPr/>
        <w:t>experiments. This initial dataset suggested that exposed CLT with a higher moisture</w:t>
      </w:r>
      <w:r>
        <w:rPr>
          <w:spacing w:val="1"/>
        </w:rPr>
        <w:t> </w:t>
      </w:r>
      <w:r>
        <w:rPr/>
        <w:t>content appeared to be unaffected in terms of ballistic resistance. This is a promising</w:t>
      </w:r>
      <w:r>
        <w:rPr>
          <w:spacing w:val="1"/>
        </w:rPr>
        <w:t> </w:t>
      </w:r>
      <w:r>
        <w:rPr/>
        <w:t>characteristic</w:t>
      </w:r>
      <w:r>
        <w:rPr>
          <w:spacing w:val="-1"/>
        </w:rPr>
        <w:t> </w:t>
      </w:r>
      <w:r>
        <w:rPr/>
        <w:t>for use in temporary military</w:t>
      </w:r>
      <w:r>
        <w:rPr>
          <w:spacing w:val="-2"/>
        </w:rPr>
        <w:t> </w:t>
      </w:r>
      <w:r>
        <w:rPr/>
        <w:t>structures.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spacing w:before="60"/>
        <w:ind w:left="3244" w:right="3303" w:firstLine="0"/>
        <w:jc w:val="center"/>
        <w:rPr>
          <w:b/>
          <w:sz w:val="28"/>
        </w:rPr>
      </w:pPr>
      <w:bookmarkStart w:name="Chapter 6" w:id="348"/>
      <w:bookmarkEnd w:id="348"/>
      <w:r>
        <w:rPr/>
      </w:r>
      <w:r>
        <w:rPr>
          <w:b/>
          <w:sz w:val="28"/>
        </w:rPr>
        <w:t>CHAPTER</w:t>
      </w:r>
      <w:r>
        <w:rPr>
          <w:b/>
          <w:spacing w:val="-7"/>
          <w:sz w:val="28"/>
        </w:rPr>
        <w:t> </w:t>
      </w:r>
      <w:r>
        <w:rPr>
          <w:b/>
          <w:sz w:val="28"/>
        </w:rPr>
        <w:t>6</w:t>
      </w:r>
    </w:p>
    <w:p>
      <w:pPr>
        <w:spacing w:line="259" w:lineRule="auto" w:before="27"/>
        <w:ind w:left="656" w:right="634" w:firstLine="0"/>
        <w:jc w:val="center"/>
        <w:rPr>
          <w:b/>
          <w:sz w:val="28"/>
        </w:rPr>
      </w:pPr>
      <w:r>
        <w:rPr>
          <w:b/>
          <w:sz w:val="28"/>
        </w:rPr>
        <w:t>RESISTANCE MECHANISMS FOR BALLISTIC PENETRATION</w:t>
      </w:r>
      <w:r>
        <w:rPr>
          <w:b/>
          <w:spacing w:val="-67"/>
          <w:sz w:val="28"/>
        </w:rPr>
        <w:t> </w:t>
      </w:r>
      <w:r>
        <w:rPr>
          <w:b/>
          <w:sz w:val="28"/>
        </w:rPr>
        <w:t>OF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CLT</w:t>
      </w: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spacing w:before="8"/>
        <w:rPr>
          <w:b/>
          <w:sz w:val="39"/>
        </w:rPr>
      </w:pPr>
    </w:p>
    <w:p>
      <w:pPr>
        <w:pStyle w:val="Heading9"/>
        <w:numPr>
          <w:ilvl w:val="1"/>
          <w:numId w:val="23"/>
        </w:numPr>
        <w:tabs>
          <w:tab w:pos="800" w:val="left" w:leader="none"/>
        </w:tabs>
        <w:spacing w:line="240" w:lineRule="auto" w:before="0" w:after="0"/>
        <w:ind w:left="800" w:right="0" w:hanging="360"/>
        <w:jc w:val="both"/>
      </w:pPr>
      <w:bookmarkStart w:name="_TOC_250026" w:id="349"/>
      <w:bookmarkStart w:name="6.1 Introduction" w:id="350"/>
      <w:r>
        <w:rPr>
          <w:b w:val="0"/>
        </w:rPr>
      </w:r>
      <w:bookmarkEnd w:id="350"/>
      <w:bookmarkStart w:name="6.1 Introduction" w:id="351"/>
      <w:r>
        <w:rPr/>
        <w:t>I</w:t>
      </w:r>
      <w:bookmarkEnd w:id="349"/>
      <w:r>
        <w:rPr/>
        <w:t>ntroduction</w:t>
      </w:r>
    </w:p>
    <w:p>
      <w:pPr>
        <w:pStyle w:val="BodyText"/>
        <w:spacing w:line="480" w:lineRule="auto" w:before="138"/>
        <w:ind w:left="439" w:right="416" w:firstLine="720"/>
        <w:jc w:val="both"/>
      </w:pPr>
      <w:r>
        <w:rPr/>
        <w:t>The natural structure of wood makes it a unique material for impact resistance as</w:t>
      </w:r>
      <w:r>
        <w:rPr>
          <w:spacing w:val="1"/>
        </w:rPr>
        <w:t> </w:t>
      </w:r>
      <w:r>
        <w:rPr/>
        <w:t>described in Chapter 4.</w:t>
      </w:r>
      <w:r>
        <w:rPr>
          <w:spacing w:val="1"/>
        </w:rPr>
        <w:t> </w:t>
      </w:r>
      <w:r>
        <w:rPr/>
        <w:t>On the microscale, the composite-like structure of the wood cells</w:t>
      </w:r>
      <w:r>
        <w:rPr>
          <w:spacing w:val="-57"/>
        </w:rPr>
        <w:t> </w:t>
      </w:r>
      <w:r>
        <w:rPr/>
        <w:t>provide characteristics not unlike manmade composites, which are often manufactured</w:t>
      </w:r>
      <w:r>
        <w:rPr>
          <w:spacing w:val="1"/>
        </w:rPr>
        <w:t> </w:t>
      </w:r>
      <w:r>
        <w:rPr>
          <w:spacing w:val="-1"/>
        </w:rPr>
        <w:t>specifically</w:t>
      </w:r>
      <w:r>
        <w:rPr>
          <w:spacing w:val="-17"/>
        </w:rPr>
        <w:t> </w:t>
      </w:r>
      <w:r>
        <w:rPr>
          <w:spacing w:val="-1"/>
        </w:rPr>
        <w:t>for</w:t>
      </w:r>
      <w:r>
        <w:rPr>
          <w:spacing w:val="-13"/>
        </w:rPr>
        <w:t> </w:t>
      </w:r>
      <w:r>
        <w:rPr>
          <w:spacing w:val="-1"/>
        </w:rPr>
        <w:t>their</w:t>
      </w:r>
      <w:r>
        <w:rPr>
          <w:spacing w:val="-13"/>
        </w:rPr>
        <w:t> </w:t>
      </w:r>
      <w:r>
        <w:rPr>
          <w:spacing w:val="-1"/>
        </w:rPr>
        <w:t>increased</w:t>
      </w:r>
      <w:r>
        <w:rPr>
          <w:spacing w:val="-15"/>
        </w:rPr>
        <w:t> </w:t>
      </w:r>
      <w:r>
        <w:rPr/>
        <w:t>strength</w:t>
      </w:r>
      <w:r>
        <w:rPr>
          <w:spacing w:val="-14"/>
        </w:rPr>
        <w:t> </w:t>
      </w:r>
      <w:r>
        <w:rPr/>
        <w:t>and</w:t>
      </w:r>
      <w:r>
        <w:rPr>
          <w:spacing w:val="-16"/>
        </w:rPr>
        <w:t> </w:t>
      </w:r>
      <w:r>
        <w:rPr/>
        <w:t>impact</w:t>
      </w:r>
      <w:r>
        <w:rPr>
          <w:spacing w:val="-13"/>
        </w:rPr>
        <w:t> </w:t>
      </w:r>
      <w:r>
        <w:rPr/>
        <w:t>resistance</w:t>
      </w:r>
      <w:r>
        <w:rPr>
          <w:spacing w:val="-16"/>
        </w:rPr>
        <w:t> </w:t>
      </w:r>
      <w:r>
        <w:rPr/>
        <w:t>while</w:t>
      </w:r>
      <w:r>
        <w:rPr>
          <w:spacing w:val="-15"/>
        </w:rPr>
        <w:t> </w:t>
      </w:r>
      <w:r>
        <w:rPr/>
        <w:t>maintaining</w:t>
      </w:r>
      <w:r>
        <w:rPr>
          <w:spacing w:val="-15"/>
        </w:rPr>
        <w:t> </w:t>
      </w:r>
      <w:r>
        <w:rPr/>
        <w:t>a</w:t>
      </w:r>
      <w:r>
        <w:rPr>
          <w:spacing w:val="-14"/>
        </w:rPr>
        <w:t> </w:t>
      </w:r>
      <w:r>
        <w:rPr/>
        <w:t>relatively</w:t>
      </w:r>
      <w:r>
        <w:rPr>
          <w:spacing w:val="-58"/>
        </w:rPr>
        <w:t> </w:t>
      </w:r>
      <w:r>
        <w:rPr/>
        <w:t>light weight.</w:t>
      </w:r>
      <w:r>
        <w:rPr>
          <w:spacing w:val="1"/>
        </w:rPr>
        <w:t> </w:t>
      </w:r>
      <w:r>
        <w:rPr/>
        <w:t>CLT, with its bi-directional layups of multiple plies of wood, adds another</w:t>
      </w:r>
      <w:r>
        <w:rPr>
          <w:spacing w:val="1"/>
        </w:rPr>
        <w:t> </w:t>
      </w:r>
      <w:r>
        <w:rPr/>
        <w:t>dimension</w:t>
      </w:r>
      <w:r>
        <w:rPr>
          <w:spacing w:val="-1"/>
        </w:rPr>
        <w:t> </w:t>
      </w:r>
      <w:r>
        <w:rPr/>
        <w:t>to the composite nature of</w:t>
      </w:r>
      <w:r>
        <w:rPr>
          <w:spacing w:val="-1"/>
        </w:rPr>
        <w:t> </w:t>
      </w:r>
      <w:r>
        <w:rPr/>
        <w:t>the product.</w:t>
      </w:r>
    </w:p>
    <w:p>
      <w:pPr>
        <w:pStyle w:val="BodyText"/>
        <w:spacing w:line="480" w:lineRule="auto" w:before="162"/>
        <w:ind w:left="439" w:right="417" w:firstLine="720"/>
        <w:jc w:val="both"/>
      </w:pPr>
      <w:r>
        <w:rPr/>
        <w:t>In a dynamic impact two bodies moving at some relative velocity collide with one</w:t>
      </w:r>
      <w:r>
        <w:rPr>
          <w:spacing w:val="-57"/>
        </w:rPr>
        <w:t> </w:t>
      </w:r>
      <w:r>
        <w:rPr/>
        <w:t>another.</w:t>
      </w:r>
      <w:r>
        <w:rPr>
          <w:spacing w:val="43"/>
        </w:rPr>
        <w:t> </w:t>
      </w:r>
      <w:r>
        <w:rPr/>
        <w:t>In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case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ballistic</w:t>
      </w:r>
      <w:r>
        <w:rPr>
          <w:spacing w:val="-8"/>
        </w:rPr>
        <w:t> </w:t>
      </w:r>
      <w:r>
        <w:rPr/>
        <w:t>testing,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projectile</w:t>
      </w:r>
      <w:r>
        <w:rPr>
          <w:spacing w:val="-8"/>
        </w:rPr>
        <w:t> </w:t>
      </w:r>
      <w:r>
        <w:rPr/>
        <w:t>and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target</w:t>
      </w:r>
      <w:r>
        <w:rPr>
          <w:spacing w:val="-8"/>
        </w:rPr>
        <w:t> </w:t>
      </w:r>
      <w:r>
        <w:rPr/>
        <w:t>are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two</w:t>
      </w:r>
      <w:r>
        <w:rPr>
          <w:spacing w:val="-8"/>
        </w:rPr>
        <w:t> </w:t>
      </w:r>
      <w:r>
        <w:rPr/>
        <w:t>bodies.</w:t>
      </w:r>
      <w:r>
        <w:rPr>
          <w:spacing w:val="-9"/>
        </w:rPr>
        <w:t> </w:t>
      </w:r>
      <w:r>
        <w:rPr/>
        <w:t>The</w:t>
      </w:r>
      <w:r>
        <w:rPr>
          <w:spacing w:val="-58"/>
        </w:rPr>
        <w:t> </w:t>
      </w:r>
      <w:r>
        <w:rPr/>
        <w:t>target</w:t>
      </w:r>
      <w:r>
        <w:rPr>
          <w:spacing w:val="-12"/>
        </w:rPr>
        <w:t> </w:t>
      </w:r>
      <w:r>
        <w:rPr/>
        <w:t>is</w:t>
      </w:r>
      <w:r>
        <w:rPr>
          <w:spacing w:val="-12"/>
        </w:rPr>
        <w:t> </w:t>
      </w:r>
      <w:r>
        <w:rPr/>
        <w:t>typically</w:t>
      </w:r>
      <w:r>
        <w:rPr>
          <w:spacing w:val="-12"/>
        </w:rPr>
        <w:t> </w:t>
      </w:r>
      <w:r>
        <w:rPr/>
        <w:t>at</w:t>
      </w:r>
      <w:r>
        <w:rPr>
          <w:spacing w:val="-11"/>
        </w:rPr>
        <w:t> </w:t>
      </w:r>
      <w:r>
        <w:rPr/>
        <w:t>rest,</w:t>
      </w:r>
      <w:r>
        <w:rPr>
          <w:spacing w:val="-12"/>
        </w:rPr>
        <w:t> </w:t>
      </w:r>
      <w:r>
        <w:rPr/>
        <w:t>and</w:t>
      </w:r>
      <w:r>
        <w:rPr>
          <w:spacing w:val="-11"/>
        </w:rPr>
        <w:t> </w:t>
      </w:r>
      <w:r>
        <w:rPr/>
        <w:t>has</w:t>
      </w:r>
      <w:r>
        <w:rPr>
          <w:spacing w:val="-11"/>
        </w:rPr>
        <w:t> </w:t>
      </w:r>
      <w:r>
        <w:rPr/>
        <w:t>a</w:t>
      </w:r>
      <w:r>
        <w:rPr>
          <w:spacing w:val="-11"/>
        </w:rPr>
        <w:t> </w:t>
      </w:r>
      <w:r>
        <w:rPr/>
        <w:t>much</w:t>
      </w:r>
      <w:r>
        <w:rPr>
          <w:spacing w:val="-11"/>
        </w:rPr>
        <w:t> </w:t>
      </w:r>
      <w:r>
        <w:rPr/>
        <w:t>larger</w:t>
      </w:r>
      <w:r>
        <w:rPr>
          <w:spacing w:val="-11"/>
        </w:rPr>
        <w:t> </w:t>
      </w:r>
      <w:r>
        <w:rPr/>
        <w:t>mass</w:t>
      </w:r>
      <w:r>
        <w:rPr>
          <w:spacing w:val="-11"/>
        </w:rPr>
        <w:t> </w:t>
      </w:r>
      <w:r>
        <w:rPr/>
        <w:t>relative</w:t>
      </w:r>
      <w:r>
        <w:rPr>
          <w:spacing w:val="-11"/>
        </w:rPr>
        <w:t> </w:t>
      </w:r>
      <w:r>
        <w:rPr/>
        <w:t>to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projectile.</w:t>
      </w:r>
      <w:r>
        <w:rPr>
          <w:spacing w:val="38"/>
        </w:rPr>
        <w:t> </w:t>
      </w:r>
      <w:r>
        <w:rPr/>
        <w:t>The</w:t>
      </w:r>
      <w:r>
        <w:rPr>
          <w:spacing w:val="-12"/>
        </w:rPr>
        <w:t> </w:t>
      </w:r>
      <w:r>
        <w:rPr/>
        <w:t>reaction</w:t>
      </w:r>
      <w:r>
        <w:rPr>
          <w:spacing w:val="-58"/>
        </w:rPr>
        <w:t> </w:t>
      </w:r>
      <w:r>
        <w:rPr/>
        <w:t>to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impact</w:t>
      </w:r>
      <w:r>
        <w:rPr>
          <w:spacing w:val="-6"/>
        </w:rPr>
        <w:t> </w:t>
      </w:r>
      <w:r>
        <w:rPr/>
        <w:t>is</w:t>
      </w:r>
      <w:r>
        <w:rPr>
          <w:spacing w:val="-7"/>
        </w:rPr>
        <w:t> </w:t>
      </w:r>
      <w:r>
        <w:rPr/>
        <w:t>dependent</w:t>
      </w:r>
      <w:r>
        <w:rPr>
          <w:spacing w:val="-6"/>
        </w:rPr>
        <w:t> </w:t>
      </w:r>
      <w:r>
        <w:rPr/>
        <w:t>on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forces</w:t>
      </w:r>
      <w:r>
        <w:rPr>
          <w:spacing w:val="-6"/>
        </w:rPr>
        <w:t> </w:t>
      </w:r>
      <w:r>
        <w:rPr/>
        <w:t>and</w:t>
      </w:r>
      <w:r>
        <w:rPr>
          <w:spacing w:val="-8"/>
        </w:rPr>
        <w:t> </w:t>
      </w:r>
      <w:r>
        <w:rPr/>
        <w:t>stresses</w:t>
      </w:r>
      <w:r>
        <w:rPr>
          <w:spacing w:val="-6"/>
        </w:rPr>
        <w:t> </w:t>
      </w:r>
      <w:r>
        <w:rPr/>
        <w:t>created.</w:t>
      </w:r>
      <w:r>
        <w:rPr>
          <w:spacing w:val="47"/>
        </w:rPr>
        <w:t> </w:t>
      </w:r>
      <w:r>
        <w:rPr/>
        <w:t>High</w:t>
      </w:r>
      <w:r>
        <w:rPr>
          <w:spacing w:val="-6"/>
        </w:rPr>
        <w:t> </w:t>
      </w:r>
      <w:r>
        <w:rPr/>
        <w:t>speed</w:t>
      </w:r>
      <w:r>
        <w:rPr>
          <w:spacing w:val="-7"/>
        </w:rPr>
        <w:t> </w:t>
      </w:r>
      <w:r>
        <w:rPr/>
        <w:t>projectile</w:t>
      </w:r>
      <w:r>
        <w:rPr>
          <w:spacing w:val="-7"/>
        </w:rPr>
        <w:t> </w:t>
      </w:r>
      <w:r>
        <w:rPr/>
        <w:t>impact</w:t>
      </w:r>
      <w:r>
        <w:rPr>
          <w:spacing w:val="-58"/>
        </w:rPr>
        <w:t> </w:t>
      </w:r>
      <w:r>
        <w:rPr/>
        <w:t>loads typically cause failure in wood targets.</w:t>
      </w:r>
      <w:r>
        <w:rPr>
          <w:spacing w:val="1"/>
        </w:rPr>
        <w:t> </w:t>
      </w:r>
      <w:r>
        <w:rPr/>
        <w:t>As energy from the projectile is dissipated</w:t>
      </w:r>
      <w:r>
        <w:rPr>
          <w:spacing w:val="1"/>
        </w:rPr>
        <w:t> </w:t>
      </w:r>
      <w:r>
        <w:rPr/>
        <w:t>and the impact load is absorbed, the wood’s elastic properties are exceeded.</w:t>
      </w:r>
      <w:r>
        <w:rPr>
          <w:spacing w:val="1"/>
        </w:rPr>
        <w:t> </w:t>
      </w:r>
      <w:r>
        <w:rPr/>
        <w:t>However,</w:t>
      </w:r>
      <w:r>
        <w:rPr>
          <w:spacing w:val="1"/>
        </w:rPr>
        <w:t> </w:t>
      </w:r>
      <w:r>
        <w:rPr/>
        <w:t>wood does have significant energy absorption capacity.</w:t>
      </w:r>
      <w:r>
        <w:rPr>
          <w:spacing w:val="1"/>
        </w:rPr>
        <w:t> </w:t>
      </w:r>
      <w:r>
        <w:rPr/>
        <w:t>Wood is commonly used for tool</w:t>
      </w:r>
      <w:r>
        <w:rPr>
          <w:spacing w:val="-57"/>
        </w:rPr>
        <w:t> </w:t>
      </w:r>
      <w:r>
        <w:rPr/>
        <w:t>handles, baseball bats, guardrail posts, railroad ties, packaging materials, and gun stocks,</w:t>
      </w:r>
      <w:r>
        <w:rPr>
          <w:spacing w:val="1"/>
        </w:rPr>
        <w:t> </w:t>
      </w:r>
      <w:r>
        <w:rPr/>
        <w:t>all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which</w:t>
      </w:r>
      <w:r>
        <w:rPr>
          <w:spacing w:val="-2"/>
        </w:rPr>
        <w:t> </w:t>
      </w:r>
      <w:r>
        <w:rPr/>
        <w:t>experience impact</w:t>
      </w:r>
      <w:r>
        <w:rPr>
          <w:spacing w:val="-1"/>
        </w:rPr>
        <w:t> </w:t>
      </w:r>
      <w:r>
        <w:rPr/>
        <w:t>and vibration loads [31].</w:t>
      </w:r>
    </w:p>
    <w:p>
      <w:pPr>
        <w:pStyle w:val="BodyText"/>
        <w:spacing w:line="480" w:lineRule="auto" w:before="160"/>
        <w:ind w:left="439" w:right="417" w:firstLine="720"/>
        <w:jc w:val="both"/>
      </w:pPr>
      <w:r>
        <w:rPr/>
        <w:t>A unique characteristic of a wood product like CLT is the ability to dissect it after</w:t>
      </w:r>
      <w:r>
        <w:rPr>
          <w:spacing w:val="-57"/>
        </w:rPr>
        <w:t> </w:t>
      </w:r>
      <w:r>
        <w:rPr/>
        <w:t>ballistic testing, allowing for visual examination and assessment of the failure modes, and</w:t>
      </w:r>
      <w:r>
        <w:rPr>
          <w:spacing w:val="-57"/>
        </w:rPr>
        <w:t> </w:t>
      </w:r>
      <w:r>
        <w:rPr/>
        <w:t>qualitative</w:t>
      </w:r>
      <w:r>
        <w:rPr>
          <w:spacing w:val="17"/>
        </w:rPr>
        <w:t> </w:t>
      </w:r>
      <w:r>
        <w:rPr/>
        <w:t>contrast</w:t>
      </w:r>
      <w:r>
        <w:rPr>
          <w:spacing w:val="17"/>
        </w:rPr>
        <w:t> </w:t>
      </w:r>
      <w:r>
        <w:rPr/>
        <w:t>between</w:t>
      </w:r>
      <w:r>
        <w:rPr>
          <w:spacing w:val="18"/>
        </w:rPr>
        <w:t> </w:t>
      </w:r>
      <w:r>
        <w:rPr/>
        <w:t>test</w:t>
      </w:r>
      <w:r>
        <w:rPr>
          <w:spacing w:val="17"/>
        </w:rPr>
        <w:t> </w:t>
      </w:r>
      <w:r>
        <w:rPr/>
        <w:t>specimens</w:t>
      </w:r>
      <w:r>
        <w:rPr>
          <w:spacing w:val="17"/>
        </w:rPr>
        <w:t> </w:t>
      </w:r>
      <w:r>
        <w:rPr/>
        <w:t>beyond</w:t>
      </w:r>
      <w:r>
        <w:rPr>
          <w:spacing w:val="18"/>
        </w:rPr>
        <w:t> </w:t>
      </w:r>
      <w:r>
        <w:rPr/>
        <w:t>the</w:t>
      </w:r>
      <w:r>
        <w:rPr>
          <w:spacing w:val="17"/>
        </w:rPr>
        <w:t> </w:t>
      </w:r>
      <w:r>
        <w:rPr/>
        <w:t>measured</w:t>
      </w:r>
      <w:r>
        <w:rPr>
          <w:spacing w:val="18"/>
        </w:rPr>
        <w:t> </w:t>
      </w:r>
      <w:r>
        <w:rPr/>
        <w:t>data</w:t>
      </w:r>
      <w:r>
        <w:rPr>
          <w:spacing w:val="17"/>
        </w:rPr>
        <w:t> </w:t>
      </w:r>
      <w:r>
        <w:rPr/>
        <w:t>points</w:t>
      </w:r>
      <w:r>
        <w:rPr>
          <w:spacing w:val="17"/>
        </w:rPr>
        <w:t> </w:t>
      </w:r>
      <w:r>
        <w:rPr/>
        <w:t>of</w:t>
      </w:r>
      <w:r>
        <w:rPr>
          <w:spacing w:val="17"/>
        </w:rPr>
        <w:t> </w:t>
      </w:r>
      <w:r>
        <w:rPr/>
        <w:t>residual</w:t>
      </w:r>
    </w:p>
    <w:p>
      <w:pPr>
        <w:spacing w:after="0" w:line="480" w:lineRule="auto"/>
        <w:jc w:val="both"/>
        <w:sectPr>
          <w:pgSz w:w="12240" w:h="15840"/>
          <w:pgMar w:header="0" w:footer="1064" w:top="1380" w:bottom="1260" w:left="1720" w:right="1020"/>
        </w:sectPr>
      </w:pPr>
    </w:p>
    <w:p>
      <w:pPr>
        <w:pStyle w:val="BodyText"/>
        <w:spacing w:line="480" w:lineRule="auto" w:before="78"/>
        <w:ind w:left="440" w:right="417"/>
        <w:jc w:val="both"/>
      </w:pPr>
      <w:r>
        <w:rPr/>
        <w:t>velocity and depth of penetration.</w:t>
      </w:r>
      <w:r>
        <w:rPr>
          <w:spacing w:val="1"/>
        </w:rPr>
        <w:t> </w:t>
      </w:r>
      <w:r>
        <w:rPr/>
        <w:t>This chapter reports on the examination of CLT</w:t>
      </w:r>
      <w:r>
        <w:rPr>
          <w:spacing w:val="1"/>
        </w:rPr>
        <w:t> </w:t>
      </w:r>
      <w:r>
        <w:rPr/>
        <w:t>specimens post ballistic impact testing. The analysis of penetration depths and residual</w:t>
      </w:r>
      <w:r>
        <w:rPr>
          <w:spacing w:val="1"/>
        </w:rPr>
        <w:t> </w:t>
      </w:r>
      <w:r>
        <w:rPr/>
        <w:t>velocities is covered in Chapter 5.</w:t>
      </w:r>
      <w:r>
        <w:rPr>
          <w:spacing w:val="1"/>
        </w:rPr>
        <w:t> </w:t>
      </w:r>
      <w:r>
        <w:rPr/>
        <w:t>The goal of this chapter is to develop an intuitive</w:t>
      </w:r>
      <w:r>
        <w:rPr>
          <w:spacing w:val="1"/>
        </w:rPr>
        <w:t> </w:t>
      </w:r>
      <w:r>
        <w:rPr/>
        <w:t>understanding</w:t>
      </w:r>
      <w:r>
        <w:rPr>
          <w:spacing w:val="-12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resistance</w:t>
      </w:r>
      <w:r>
        <w:rPr>
          <w:spacing w:val="-11"/>
        </w:rPr>
        <w:t> </w:t>
      </w:r>
      <w:r>
        <w:rPr/>
        <w:t>mechanisms</w:t>
      </w:r>
      <w:r>
        <w:rPr>
          <w:spacing w:val="-12"/>
        </w:rPr>
        <w:t> </w:t>
      </w:r>
      <w:r>
        <w:rPr/>
        <w:t>of</w:t>
      </w:r>
      <w:r>
        <w:rPr>
          <w:spacing w:val="-12"/>
        </w:rPr>
        <w:t> </w:t>
      </w:r>
      <w:r>
        <w:rPr/>
        <w:t>wood</w:t>
      </w:r>
      <w:r>
        <w:rPr>
          <w:spacing w:val="-11"/>
        </w:rPr>
        <w:t> </w:t>
      </w:r>
      <w:r>
        <w:rPr/>
        <w:t>penetration</w:t>
      </w:r>
      <w:r>
        <w:rPr>
          <w:spacing w:val="-13"/>
        </w:rPr>
        <w:t> </w:t>
      </w:r>
      <w:r>
        <w:rPr/>
        <w:t>and</w:t>
      </w:r>
      <w:r>
        <w:rPr>
          <w:spacing w:val="-12"/>
        </w:rPr>
        <w:t> </w:t>
      </w:r>
      <w:r>
        <w:rPr/>
        <w:t>tie</w:t>
      </w:r>
      <w:r>
        <w:rPr>
          <w:spacing w:val="-14"/>
        </w:rPr>
        <w:t> </w:t>
      </w:r>
      <w:r>
        <w:rPr/>
        <w:t>these</w:t>
      </w:r>
      <w:r>
        <w:rPr>
          <w:spacing w:val="-11"/>
        </w:rPr>
        <w:t> </w:t>
      </w:r>
      <w:r>
        <w:rPr/>
        <w:t>observations</w:t>
      </w:r>
      <w:r>
        <w:rPr>
          <w:spacing w:val="-58"/>
        </w:rPr>
        <w:t> </w:t>
      </w:r>
      <w:r>
        <w:rPr/>
        <w:t>to</w:t>
      </w:r>
      <w:r>
        <w:rPr>
          <w:spacing w:val="-1"/>
        </w:rPr>
        <w:t> </w:t>
      </w:r>
      <w:r>
        <w:rPr/>
        <w:t>the properties of</w:t>
      </w:r>
      <w:r>
        <w:rPr>
          <w:spacing w:val="-1"/>
        </w:rPr>
        <w:t> </w:t>
      </w:r>
      <w:r>
        <w:rPr/>
        <w:t>wood introduced in Chapter 4.</w:t>
      </w:r>
    </w:p>
    <w:p>
      <w:pPr>
        <w:pStyle w:val="BodyText"/>
        <w:spacing w:line="480" w:lineRule="auto" w:before="159"/>
        <w:ind w:left="440" w:right="417" w:firstLine="720"/>
        <w:jc w:val="both"/>
      </w:pPr>
      <w:r>
        <w:rPr/>
        <w:t>Using a band saw, the CLT test specimens were cut along the projectile path to</w:t>
      </w:r>
      <w:r>
        <w:rPr>
          <w:spacing w:val="1"/>
        </w:rPr>
        <w:t> </w:t>
      </w:r>
      <w:r>
        <w:rPr/>
        <w:t>expose the cross-sectional cut of the cavity created by the projectile.</w:t>
      </w:r>
      <w:r>
        <w:rPr>
          <w:spacing w:val="1"/>
        </w:rPr>
        <w:t> </w:t>
      </w:r>
      <w:r>
        <w:rPr/>
        <w:t>This allowed for the</w:t>
      </w:r>
      <w:r>
        <w:rPr>
          <w:spacing w:val="-57"/>
        </w:rPr>
        <w:t> </w:t>
      </w:r>
      <w:r>
        <w:rPr/>
        <w:t>examination of wood failure mechanisms. The observations are used to help explain</w:t>
      </w:r>
      <w:r>
        <w:rPr>
          <w:spacing w:val="1"/>
        </w:rPr>
        <w:t> </w:t>
      </w:r>
      <w:r>
        <w:rPr/>
        <w:t>variability in the penetration data presented in Chapter 5.</w:t>
      </w:r>
      <w:r>
        <w:rPr>
          <w:spacing w:val="1"/>
        </w:rPr>
        <w:t> </w:t>
      </w:r>
      <w:r>
        <w:rPr/>
        <w:t>The ability to examine the</w:t>
      </w:r>
      <w:r>
        <w:rPr>
          <w:spacing w:val="1"/>
        </w:rPr>
        <w:t> </w:t>
      </w:r>
      <w:r>
        <w:rPr/>
        <w:t>specimens helps identify the resistance mechanisms inherent in the CLT and how their</w:t>
      </w:r>
      <w:r>
        <w:rPr>
          <w:spacing w:val="1"/>
        </w:rPr>
        <w:t> </w:t>
      </w:r>
      <w:r>
        <w:rPr/>
        <w:t>potential</w:t>
      </w:r>
      <w:r>
        <w:rPr>
          <w:spacing w:val="-1"/>
        </w:rPr>
        <w:t> </w:t>
      </w:r>
      <w:r>
        <w:rPr/>
        <w:t>variability</w:t>
      </w:r>
      <w:r>
        <w:rPr>
          <w:spacing w:val="-1"/>
        </w:rPr>
        <w:t> </w:t>
      </w:r>
      <w:r>
        <w:rPr/>
        <w:t>due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wood composition</w:t>
      </w:r>
      <w:r>
        <w:rPr>
          <w:spacing w:val="-1"/>
        </w:rPr>
        <w:t> </w:t>
      </w:r>
      <w:r>
        <w:rPr/>
        <w:t>may</w:t>
      </w:r>
      <w:r>
        <w:rPr>
          <w:spacing w:val="-1"/>
        </w:rPr>
        <w:t> </w:t>
      </w:r>
      <w:r>
        <w:rPr/>
        <w:t>influence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ballistic resistance.</w:t>
      </w:r>
    </w:p>
    <w:p>
      <w:pPr>
        <w:pStyle w:val="Heading9"/>
        <w:numPr>
          <w:ilvl w:val="1"/>
          <w:numId w:val="23"/>
        </w:numPr>
        <w:tabs>
          <w:tab w:pos="800" w:val="left" w:leader="none"/>
        </w:tabs>
        <w:spacing w:line="240" w:lineRule="auto" w:before="163" w:after="0"/>
        <w:ind w:left="800" w:right="0" w:hanging="360"/>
        <w:jc w:val="both"/>
      </w:pPr>
      <w:bookmarkStart w:name="_TOC_250025" w:id="352"/>
      <w:bookmarkStart w:name="6.2 Toughness" w:id="353"/>
      <w:r>
        <w:rPr>
          <w:b w:val="0"/>
        </w:rPr>
      </w:r>
      <w:bookmarkEnd w:id="353"/>
      <w:bookmarkStart w:name="6.2 Toughness" w:id="354"/>
      <w:r>
        <w:rPr/>
        <w:t>T</w:t>
      </w:r>
      <w:bookmarkEnd w:id="352"/>
      <w:r>
        <w:rPr/>
        <w:t>oughness</w:t>
      </w:r>
    </w:p>
    <w:p>
      <w:pPr>
        <w:pStyle w:val="BodyText"/>
        <w:spacing w:before="6"/>
        <w:rPr>
          <w:b/>
          <w:sz w:val="22"/>
        </w:rPr>
      </w:pPr>
    </w:p>
    <w:p>
      <w:pPr>
        <w:pStyle w:val="BodyText"/>
        <w:spacing w:line="480" w:lineRule="auto"/>
        <w:ind w:left="440" w:right="416" w:firstLine="720"/>
        <w:jc w:val="both"/>
      </w:pPr>
      <w:r>
        <w:rPr/>
        <w:t>Aside</w:t>
      </w:r>
      <w:r>
        <w:rPr>
          <w:spacing w:val="-12"/>
        </w:rPr>
        <w:t> </w:t>
      </w:r>
      <w:r>
        <w:rPr/>
        <w:t>from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static</w:t>
      </w:r>
      <w:r>
        <w:rPr>
          <w:spacing w:val="-12"/>
        </w:rPr>
        <w:t> </w:t>
      </w:r>
      <w:r>
        <w:rPr/>
        <w:t>wood</w:t>
      </w:r>
      <w:r>
        <w:rPr>
          <w:spacing w:val="-11"/>
        </w:rPr>
        <w:t> </w:t>
      </w:r>
      <w:r>
        <w:rPr/>
        <w:t>properties</w:t>
      </w:r>
      <w:r>
        <w:rPr>
          <w:spacing w:val="-11"/>
        </w:rPr>
        <w:t> </w:t>
      </w:r>
      <w:r>
        <w:rPr/>
        <w:t>discussed</w:t>
      </w:r>
      <w:r>
        <w:rPr>
          <w:spacing w:val="-13"/>
        </w:rPr>
        <w:t> </w:t>
      </w:r>
      <w:r>
        <w:rPr/>
        <w:t>in</w:t>
      </w:r>
      <w:r>
        <w:rPr>
          <w:spacing w:val="-11"/>
        </w:rPr>
        <w:t> </w:t>
      </w:r>
      <w:r>
        <w:rPr/>
        <w:t>Chapter</w:t>
      </w:r>
      <w:r>
        <w:rPr>
          <w:spacing w:val="-11"/>
        </w:rPr>
        <w:t> </w:t>
      </w:r>
      <w:r>
        <w:rPr/>
        <w:t>4,</w:t>
      </w:r>
      <w:r>
        <w:rPr>
          <w:spacing w:val="-13"/>
        </w:rPr>
        <w:t> </w:t>
      </w:r>
      <w:r>
        <w:rPr/>
        <w:t>another</w:t>
      </w:r>
      <w:r>
        <w:rPr>
          <w:spacing w:val="-11"/>
        </w:rPr>
        <w:t> </w:t>
      </w:r>
      <w:r>
        <w:rPr/>
        <w:t>characteristic</w:t>
      </w:r>
      <w:r>
        <w:rPr>
          <w:spacing w:val="-58"/>
        </w:rPr>
        <w:t> </w:t>
      </w:r>
      <w:r>
        <w:rPr/>
        <w:t>of wood related to resistance is toughness, the ability of the material to absorb energy</w:t>
      </w:r>
      <w:r>
        <w:rPr>
          <w:spacing w:val="1"/>
        </w:rPr>
        <w:t> </w:t>
      </w:r>
      <w:r>
        <w:rPr/>
        <w:t>before fracture.</w:t>
      </w:r>
      <w:r>
        <w:rPr>
          <w:spacing w:val="1"/>
        </w:rPr>
        <w:t> </w:t>
      </w:r>
      <w:r>
        <w:rPr/>
        <w:t>Graphically, the toughness of a material is the total area under the elastic</w:t>
      </w:r>
      <w:r>
        <w:rPr>
          <w:spacing w:val="-57"/>
        </w:rPr>
        <w:t> </w:t>
      </w:r>
      <w:r>
        <w:rPr/>
        <w:t>and</w:t>
      </w:r>
      <w:r>
        <w:rPr>
          <w:spacing w:val="-8"/>
        </w:rPr>
        <w:t> </w:t>
      </w:r>
      <w:r>
        <w:rPr/>
        <w:t>plastic</w:t>
      </w:r>
      <w:r>
        <w:rPr>
          <w:spacing w:val="-7"/>
        </w:rPr>
        <w:t> </w:t>
      </w:r>
      <w:r>
        <w:rPr/>
        <w:t>region</w:t>
      </w:r>
      <w:r>
        <w:rPr>
          <w:spacing w:val="-7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material’s</w:t>
      </w:r>
      <w:r>
        <w:rPr>
          <w:spacing w:val="-8"/>
        </w:rPr>
        <w:t> </w:t>
      </w:r>
      <w:r>
        <w:rPr/>
        <w:t>stress-strain</w:t>
      </w:r>
      <w:r>
        <w:rPr>
          <w:spacing w:val="-9"/>
        </w:rPr>
        <w:t> </w:t>
      </w:r>
      <w:r>
        <w:rPr/>
        <w:t>curve,</w:t>
      </w:r>
      <w:r>
        <w:rPr>
          <w:spacing w:val="-8"/>
        </w:rPr>
        <w:t> </w:t>
      </w:r>
      <w:r>
        <w:rPr/>
        <w:t>or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integral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stress-strain</w:t>
      </w:r>
      <w:r>
        <w:rPr>
          <w:spacing w:val="-7"/>
        </w:rPr>
        <w:t> </w:t>
      </w:r>
      <w:r>
        <w:rPr/>
        <w:t>curve.</w:t>
      </w:r>
      <w:r>
        <w:rPr>
          <w:spacing w:val="-58"/>
        </w:rPr>
        <w:t> </w:t>
      </w:r>
      <w:r>
        <w:rPr/>
        <w:t>Toughness is not a commonly measured property for wood, but can be measured with a</w:t>
      </w:r>
      <w:r>
        <w:rPr>
          <w:spacing w:val="1"/>
        </w:rPr>
        <w:t> </w:t>
      </w:r>
      <w:r>
        <w:rPr/>
        <w:t>pendulum style impact tester in accordance with </w:t>
      </w:r>
      <w:r>
        <w:rPr>
          <w:i/>
        </w:rPr>
        <w:t>ASTM D3499 Standard Test Method for</w:t>
      </w:r>
      <w:r>
        <w:rPr>
          <w:i/>
          <w:spacing w:val="1"/>
        </w:rPr>
        <w:t> </w:t>
      </w:r>
      <w:r>
        <w:rPr>
          <w:i/>
        </w:rPr>
        <w:t>Toughness</w:t>
      </w:r>
      <w:r>
        <w:rPr>
          <w:i/>
          <w:spacing w:val="-14"/>
        </w:rPr>
        <w:t> </w:t>
      </w:r>
      <w:r>
        <w:rPr>
          <w:i/>
        </w:rPr>
        <w:t>of</w:t>
      </w:r>
      <w:r>
        <w:rPr>
          <w:i/>
          <w:spacing w:val="-14"/>
        </w:rPr>
        <w:t> </w:t>
      </w:r>
      <w:r>
        <w:rPr>
          <w:i/>
        </w:rPr>
        <w:t>Wood-Based</w:t>
      </w:r>
      <w:r>
        <w:rPr>
          <w:i/>
          <w:spacing w:val="-15"/>
        </w:rPr>
        <w:t> </w:t>
      </w:r>
      <w:r>
        <w:rPr>
          <w:i/>
        </w:rPr>
        <w:t>Structural</w:t>
      </w:r>
      <w:r>
        <w:rPr>
          <w:i/>
          <w:spacing w:val="-15"/>
        </w:rPr>
        <w:t> </w:t>
      </w:r>
      <w:r>
        <w:rPr>
          <w:i/>
        </w:rPr>
        <w:t>Panels</w:t>
      </w:r>
      <w:r>
        <w:rPr>
          <w:i/>
          <w:spacing w:val="-14"/>
        </w:rPr>
        <w:t> </w:t>
      </w:r>
      <w:r>
        <w:rPr/>
        <w:t>[10].</w:t>
      </w:r>
      <w:r>
        <w:rPr>
          <w:spacing w:val="33"/>
        </w:rPr>
        <w:t> </w:t>
      </w:r>
      <w:r>
        <w:rPr/>
        <w:t>Toughness</w:t>
      </w:r>
      <w:r>
        <w:rPr>
          <w:spacing w:val="-14"/>
        </w:rPr>
        <w:t> </w:t>
      </w:r>
      <w:r>
        <w:rPr/>
        <w:t>values</w:t>
      </w:r>
      <w:r>
        <w:rPr>
          <w:spacing w:val="-14"/>
        </w:rPr>
        <w:t> </w:t>
      </w:r>
      <w:r>
        <w:rPr/>
        <w:t>from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test</w:t>
      </w:r>
      <w:r>
        <w:rPr>
          <w:spacing w:val="-14"/>
        </w:rPr>
        <w:t> </w:t>
      </w:r>
      <w:r>
        <w:rPr/>
        <w:t>describe</w:t>
      </w:r>
      <w:r>
        <w:rPr>
          <w:spacing w:val="-57"/>
        </w:rPr>
        <w:t> </w:t>
      </w:r>
      <w:r>
        <w:rPr/>
        <w:t>the energy required to experience rapid fracture of the wood specimen.</w:t>
      </w:r>
      <w:r>
        <w:rPr>
          <w:spacing w:val="1"/>
        </w:rPr>
        <w:t> </w:t>
      </w:r>
      <w:r>
        <w:rPr/>
        <w:t>Like other</w:t>
      </w:r>
      <w:r>
        <w:rPr>
          <w:spacing w:val="1"/>
        </w:rPr>
        <w:t> </w:t>
      </w:r>
      <w:r>
        <w:rPr/>
        <w:t>properties discussed in Chapter 4, toughness depends on the wood grain structure and</w:t>
      </w:r>
      <w:r>
        <w:rPr>
          <w:spacing w:val="1"/>
        </w:rPr>
        <w:t> </w:t>
      </w:r>
      <w:r>
        <w:rPr/>
        <w:t>orientation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specimen</w:t>
      </w:r>
      <w:r>
        <w:rPr>
          <w:spacing w:val="1"/>
        </w:rPr>
        <w:t> </w:t>
      </w:r>
      <w:r>
        <w:rPr/>
        <w:t>relative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striking</w:t>
      </w:r>
      <w:r>
        <w:rPr>
          <w:spacing w:val="1"/>
        </w:rPr>
        <w:t> </w:t>
      </w:r>
      <w:r>
        <w:rPr/>
        <w:t>direction.</w:t>
      </w:r>
      <w:r>
        <w:rPr>
          <w:spacing w:val="1"/>
        </w:rPr>
        <w:t> </w:t>
      </w:r>
      <w:r>
        <w:rPr/>
        <w:t>Reference</w:t>
      </w:r>
      <w:r>
        <w:rPr>
          <w:spacing w:val="1"/>
        </w:rPr>
        <w:t> </w:t>
      </w:r>
      <w:r>
        <w:rPr/>
        <w:t>radial</w:t>
      </w:r>
      <w:r>
        <w:rPr>
          <w:spacing w:val="1"/>
        </w:rPr>
        <w:t> </w:t>
      </w:r>
      <w:r>
        <w:rPr/>
        <w:t>and</w:t>
      </w:r>
      <w:r>
        <w:rPr>
          <w:spacing w:val="-57"/>
        </w:rPr>
        <w:t> </w:t>
      </w:r>
      <w:r>
        <w:rPr/>
        <w:t>tangential</w:t>
      </w:r>
      <w:r>
        <w:rPr>
          <w:spacing w:val="10"/>
        </w:rPr>
        <w:t> </w:t>
      </w:r>
      <w:r>
        <w:rPr/>
        <w:t>toughness</w:t>
      </w:r>
      <w:r>
        <w:rPr>
          <w:spacing w:val="12"/>
        </w:rPr>
        <w:t> </w:t>
      </w:r>
      <w:r>
        <w:rPr/>
        <w:t>values</w:t>
      </w:r>
      <w:r>
        <w:rPr>
          <w:spacing w:val="12"/>
        </w:rPr>
        <w:t> </w:t>
      </w:r>
      <w:r>
        <w:rPr/>
        <w:t>for</w:t>
      </w:r>
      <w:r>
        <w:rPr>
          <w:spacing w:val="12"/>
        </w:rPr>
        <w:t> </w:t>
      </w:r>
      <w:r>
        <w:rPr/>
        <w:t>different</w:t>
      </w:r>
      <w:r>
        <w:rPr>
          <w:spacing w:val="12"/>
        </w:rPr>
        <w:t> </w:t>
      </w:r>
      <w:r>
        <w:rPr/>
        <w:t>softwood</w:t>
      </w:r>
      <w:r>
        <w:rPr>
          <w:spacing w:val="12"/>
        </w:rPr>
        <w:t> </w:t>
      </w:r>
      <w:r>
        <w:rPr/>
        <w:t>species,</w:t>
      </w:r>
      <w:r>
        <w:rPr>
          <w:spacing w:val="12"/>
        </w:rPr>
        <w:t> </w:t>
      </w:r>
      <w:r>
        <w:rPr/>
        <w:t>including</w:t>
      </w:r>
      <w:r>
        <w:rPr>
          <w:spacing w:val="12"/>
        </w:rPr>
        <w:t> </w:t>
      </w:r>
      <w:r>
        <w:rPr/>
        <w:t>those</w:t>
      </w:r>
      <w:r>
        <w:rPr>
          <w:spacing w:val="12"/>
        </w:rPr>
        <w:t> </w:t>
      </w:r>
      <w:r>
        <w:rPr/>
        <w:t>used</w:t>
      </w:r>
      <w:r>
        <w:rPr>
          <w:spacing w:val="12"/>
        </w:rPr>
        <w:t> </w:t>
      </w:r>
      <w:r>
        <w:rPr/>
        <w:t>to</w:t>
      </w:r>
      <w:r>
        <w:rPr>
          <w:spacing w:val="11"/>
        </w:rPr>
        <w:t> </w:t>
      </w:r>
      <w:r>
        <w:rPr/>
        <w:t>make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40" w:right="417"/>
        <w:jc w:val="both"/>
      </w:pPr>
      <w:r>
        <w:rPr/>
        <w:t>CLT are shown in </w:t>
      </w:r>
      <w:hyperlink w:history="true" w:anchor="_bookmark102">
        <w:r>
          <w:rPr/>
          <w:t>Table 6-1</w:t>
        </w:r>
      </w:hyperlink>
      <w:r>
        <w:rPr/>
        <w:t>.</w:t>
      </w:r>
      <w:r>
        <w:rPr>
          <w:spacing w:val="1"/>
        </w:rPr>
        <w:t> </w:t>
      </w:r>
      <w:r>
        <w:rPr/>
        <w:t>Softwoods generally have a slightly higher toughness in the</w:t>
      </w:r>
      <w:r>
        <w:rPr>
          <w:spacing w:val="-57"/>
        </w:rPr>
        <w:t> </w:t>
      </w:r>
      <w:r>
        <w:rPr/>
        <w:t>tangential direction.</w:t>
      </w:r>
      <w:r>
        <w:rPr>
          <w:spacing w:val="1"/>
        </w:rPr>
        <w:t> </w:t>
      </w:r>
      <w:r>
        <w:rPr/>
        <w:t>Additionally, most species have increased toughness in green wood</w:t>
      </w:r>
      <w:r>
        <w:rPr>
          <w:spacing w:val="1"/>
        </w:rPr>
        <w:t> </w:t>
      </w:r>
      <w:r>
        <w:rPr/>
        <w:t>as compared to wood with an approximate moisture content of 12 percent in kiln dried</w:t>
      </w:r>
      <w:r>
        <w:rPr>
          <w:spacing w:val="1"/>
        </w:rPr>
        <w:t> </w:t>
      </w:r>
      <w:r>
        <w:rPr/>
        <w:t>lumber.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spacing w:before="231"/>
        <w:ind w:left="440" w:right="1067" w:firstLine="0"/>
        <w:jc w:val="left"/>
        <w:rPr>
          <w:i/>
          <w:sz w:val="24"/>
        </w:rPr>
      </w:pPr>
      <w:bookmarkStart w:name="_bookmark102" w:id="355"/>
      <w:bookmarkEnd w:id="355"/>
      <w:r>
        <w:rPr/>
      </w:r>
      <w:r>
        <w:rPr>
          <w:i/>
          <w:sz w:val="24"/>
        </w:rPr>
        <w:t>Table 6-1. Softwood species radial and tangential toughness values from the Wood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Handbook,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adapted from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[96]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3"/>
        <w:rPr>
          <w:i/>
          <w:sz w:val="17"/>
        </w:rPr>
      </w:pPr>
    </w:p>
    <w:tbl>
      <w:tblPr>
        <w:tblW w:w="0" w:type="auto"/>
        <w:jc w:val="left"/>
        <w:tblInd w:w="18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01"/>
        <w:gridCol w:w="1720"/>
        <w:gridCol w:w="1320"/>
        <w:gridCol w:w="1500"/>
      </w:tblGrid>
      <w:tr>
        <w:trPr>
          <w:trHeight w:val="299" w:hRule="atLeast"/>
        </w:trPr>
        <w:tc>
          <w:tcPr>
            <w:tcW w:w="1301" w:type="dxa"/>
            <w:vMerge w:val="restart"/>
            <w:shd w:val="clear" w:color="auto" w:fill="C0C0C0"/>
          </w:tcPr>
          <w:p>
            <w:pPr>
              <w:pStyle w:val="TableParagraph"/>
              <w:spacing w:before="2"/>
              <w:rPr>
                <w:i/>
                <w:sz w:val="25"/>
              </w:rPr>
            </w:pPr>
          </w:p>
          <w:p>
            <w:pPr>
              <w:pStyle w:val="TableParagraph"/>
              <w:spacing w:line="250" w:lineRule="atLeast"/>
              <w:ind w:left="411" w:right="286" w:hanging="104"/>
              <w:rPr>
                <w:b/>
                <w:sz w:val="22"/>
              </w:rPr>
            </w:pPr>
            <w:r>
              <w:rPr>
                <w:b/>
                <w:spacing w:val="-1"/>
                <w:sz w:val="22"/>
              </w:rPr>
              <w:t>Species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Type</w:t>
            </w:r>
          </w:p>
        </w:tc>
        <w:tc>
          <w:tcPr>
            <w:tcW w:w="1720" w:type="dxa"/>
            <w:vMerge w:val="restart"/>
            <w:shd w:val="clear" w:color="auto" w:fill="C0C0C0"/>
          </w:tcPr>
          <w:p>
            <w:pPr>
              <w:pStyle w:val="TableParagraph"/>
              <w:spacing w:before="2"/>
              <w:rPr>
                <w:i/>
                <w:sz w:val="25"/>
              </w:rPr>
            </w:pPr>
          </w:p>
          <w:p>
            <w:pPr>
              <w:pStyle w:val="TableParagraph"/>
              <w:spacing w:line="250" w:lineRule="atLeast"/>
              <w:ind w:left="268" w:right="256" w:firstLine="162"/>
              <w:rPr>
                <w:b/>
                <w:sz w:val="22"/>
              </w:rPr>
            </w:pPr>
            <w:r>
              <w:rPr>
                <w:b/>
                <w:sz w:val="22"/>
              </w:rPr>
              <w:t>Moisture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Content</w:t>
            </w:r>
            <w:r>
              <w:rPr>
                <w:b/>
                <w:spacing w:val="-14"/>
                <w:sz w:val="22"/>
              </w:rPr>
              <w:t> </w:t>
            </w:r>
            <w:r>
              <w:rPr>
                <w:b/>
                <w:sz w:val="22"/>
              </w:rPr>
              <w:t>(%)</w:t>
            </w:r>
          </w:p>
        </w:tc>
        <w:tc>
          <w:tcPr>
            <w:tcW w:w="2820" w:type="dxa"/>
            <w:gridSpan w:val="2"/>
            <w:shd w:val="clear" w:color="auto" w:fill="C0C0C0"/>
          </w:tcPr>
          <w:p>
            <w:pPr>
              <w:pStyle w:val="TableParagraph"/>
              <w:spacing w:line="233" w:lineRule="exact" w:before="46"/>
              <w:ind w:left="906"/>
              <w:rPr>
                <w:b/>
                <w:sz w:val="22"/>
              </w:rPr>
            </w:pPr>
            <w:r>
              <w:rPr>
                <w:b/>
                <w:sz w:val="22"/>
              </w:rPr>
              <w:t>Toughness</w:t>
            </w:r>
          </w:p>
        </w:tc>
      </w:tr>
      <w:tr>
        <w:trPr>
          <w:trHeight w:val="505" w:hRule="atLeast"/>
        </w:trPr>
        <w:tc>
          <w:tcPr>
            <w:tcW w:w="1301" w:type="dxa"/>
            <w:vMerge/>
            <w:tcBorders>
              <w:top w:val="nil"/>
            </w:tcBorders>
            <w:shd w:val="clear" w:color="auto" w:fill="C0C0C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20" w:type="dxa"/>
            <w:vMerge/>
            <w:tcBorders>
              <w:top w:val="nil"/>
            </w:tcBorders>
            <w:shd w:val="clear" w:color="auto" w:fill="C0C0C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0" w:type="dxa"/>
            <w:shd w:val="clear" w:color="auto" w:fill="C0C0C0"/>
          </w:tcPr>
          <w:p>
            <w:pPr>
              <w:pStyle w:val="TableParagraph"/>
              <w:spacing w:line="254" w:lineRule="exact"/>
              <w:ind w:left="529" w:right="321" w:hanging="184"/>
              <w:rPr>
                <w:b/>
                <w:sz w:val="22"/>
              </w:rPr>
            </w:pPr>
            <w:r>
              <w:rPr>
                <w:b/>
                <w:sz w:val="22"/>
              </w:rPr>
              <w:t>Radial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(J)</w:t>
            </w:r>
          </w:p>
        </w:tc>
        <w:tc>
          <w:tcPr>
            <w:tcW w:w="1500" w:type="dxa"/>
            <w:shd w:val="clear" w:color="auto" w:fill="C0C0C0"/>
          </w:tcPr>
          <w:p>
            <w:pPr>
              <w:pStyle w:val="TableParagraph"/>
              <w:spacing w:line="254" w:lineRule="exact"/>
              <w:ind w:left="619" w:right="216" w:hanging="380"/>
              <w:rPr>
                <w:b/>
                <w:sz w:val="22"/>
              </w:rPr>
            </w:pPr>
            <w:r>
              <w:rPr>
                <w:b/>
                <w:sz w:val="22"/>
              </w:rPr>
              <w:t>Tangential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(J)</w:t>
            </w:r>
          </w:p>
        </w:tc>
      </w:tr>
      <w:tr>
        <w:trPr>
          <w:trHeight w:val="298" w:hRule="atLeast"/>
        </w:trPr>
        <w:tc>
          <w:tcPr>
            <w:tcW w:w="1301" w:type="dxa"/>
            <w:vMerge w:val="restart"/>
          </w:tcPr>
          <w:p>
            <w:pPr>
              <w:pStyle w:val="TableParagraph"/>
              <w:spacing w:before="175"/>
              <w:ind w:left="142"/>
              <w:rPr>
                <w:sz w:val="22"/>
              </w:rPr>
            </w:pPr>
            <w:r>
              <w:rPr>
                <w:sz w:val="22"/>
              </w:rPr>
              <w:t>Douglas-fir</w:t>
            </w:r>
          </w:p>
        </w:tc>
        <w:tc>
          <w:tcPr>
            <w:tcW w:w="1720" w:type="dxa"/>
          </w:tcPr>
          <w:p>
            <w:pPr>
              <w:pStyle w:val="TableParagraph"/>
              <w:spacing w:line="234" w:lineRule="exact" w:before="44"/>
              <w:ind w:left="486" w:right="483"/>
              <w:jc w:val="center"/>
              <w:rPr>
                <w:sz w:val="22"/>
              </w:rPr>
            </w:pPr>
            <w:r>
              <w:rPr>
                <w:sz w:val="22"/>
              </w:rPr>
              <w:t>Green</w:t>
            </w:r>
          </w:p>
        </w:tc>
        <w:tc>
          <w:tcPr>
            <w:tcW w:w="1320" w:type="dxa"/>
          </w:tcPr>
          <w:p>
            <w:pPr>
              <w:pStyle w:val="TableParagraph"/>
              <w:spacing w:line="234" w:lineRule="exact" w:before="44"/>
              <w:ind w:left="390" w:right="385"/>
              <w:jc w:val="center"/>
              <w:rPr>
                <w:sz w:val="22"/>
              </w:rPr>
            </w:pPr>
            <w:r>
              <w:rPr>
                <w:sz w:val="22"/>
              </w:rPr>
              <w:t>2,900</w:t>
            </w:r>
          </w:p>
        </w:tc>
        <w:tc>
          <w:tcPr>
            <w:tcW w:w="1500" w:type="dxa"/>
          </w:tcPr>
          <w:p>
            <w:pPr>
              <w:pStyle w:val="TableParagraph"/>
              <w:spacing w:line="234" w:lineRule="exact" w:before="44"/>
              <w:ind w:left="500"/>
              <w:rPr>
                <w:sz w:val="22"/>
              </w:rPr>
            </w:pPr>
            <w:r>
              <w:rPr>
                <w:sz w:val="22"/>
              </w:rPr>
              <w:t>4,400</w:t>
            </w:r>
          </w:p>
        </w:tc>
      </w:tr>
      <w:tr>
        <w:trPr>
          <w:trHeight w:val="299" w:hRule="atLeast"/>
        </w:trPr>
        <w:tc>
          <w:tcPr>
            <w:tcW w:w="13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20" w:type="dxa"/>
          </w:tcPr>
          <w:p>
            <w:pPr>
              <w:pStyle w:val="TableParagraph"/>
              <w:spacing w:line="234" w:lineRule="exact" w:before="45"/>
              <w:ind w:left="490" w:right="483"/>
              <w:jc w:val="center"/>
              <w:rPr>
                <w:sz w:val="22"/>
              </w:rPr>
            </w:pPr>
            <w:r>
              <w:rPr>
                <w:sz w:val="22"/>
              </w:rPr>
              <w:t>12-14%</w:t>
            </w:r>
          </w:p>
        </w:tc>
        <w:tc>
          <w:tcPr>
            <w:tcW w:w="1320" w:type="dxa"/>
          </w:tcPr>
          <w:p>
            <w:pPr>
              <w:pStyle w:val="TableParagraph"/>
              <w:spacing w:line="234" w:lineRule="exact" w:before="45"/>
              <w:ind w:left="390" w:right="385"/>
              <w:jc w:val="center"/>
              <w:rPr>
                <w:sz w:val="22"/>
              </w:rPr>
            </w:pPr>
            <w:r>
              <w:rPr>
                <w:sz w:val="22"/>
              </w:rPr>
              <w:t>2,825</w:t>
            </w:r>
          </w:p>
        </w:tc>
        <w:tc>
          <w:tcPr>
            <w:tcW w:w="1500" w:type="dxa"/>
          </w:tcPr>
          <w:p>
            <w:pPr>
              <w:pStyle w:val="TableParagraph"/>
              <w:spacing w:line="234" w:lineRule="exact" w:before="45"/>
              <w:ind w:left="500"/>
              <w:rPr>
                <w:sz w:val="22"/>
              </w:rPr>
            </w:pPr>
            <w:r>
              <w:rPr>
                <w:sz w:val="22"/>
              </w:rPr>
              <w:t>4,600</w:t>
            </w:r>
          </w:p>
        </w:tc>
      </w:tr>
      <w:tr>
        <w:trPr>
          <w:trHeight w:val="299" w:hRule="atLeast"/>
        </w:trPr>
        <w:tc>
          <w:tcPr>
            <w:tcW w:w="1301" w:type="dxa"/>
            <w:vMerge w:val="restart"/>
          </w:tcPr>
          <w:p>
            <w:pPr>
              <w:pStyle w:val="TableParagraph"/>
              <w:spacing w:before="177"/>
              <w:ind w:left="433" w:right="426"/>
              <w:jc w:val="center"/>
              <w:rPr>
                <w:sz w:val="22"/>
              </w:rPr>
            </w:pPr>
            <w:r>
              <w:rPr>
                <w:sz w:val="22"/>
              </w:rPr>
              <w:t>Fir</w:t>
            </w:r>
          </w:p>
        </w:tc>
        <w:tc>
          <w:tcPr>
            <w:tcW w:w="1720" w:type="dxa"/>
          </w:tcPr>
          <w:p>
            <w:pPr>
              <w:pStyle w:val="TableParagraph"/>
              <w:spacing w:line="234" w:lineRule="exact" w:before="45"/>
              <w:ind w:left="486" w:right="483"/>
              <w:jc w:val="center"/>
              <w:rPr>
                <w:sz w:val="22"/>
              </w:rPr>
            </w:pPr>
            <w:r>
              <w:rPr>
                <w:sz w:val="22"/>
              </w:rPr>
              <w:t>Green</w:t>
            </w:r>
          </w:p>
        </w:tc>
        <w:tc>
          <w:tcPr>
            <w:tcW w:w="1320" w:type="dxa"/>
          </w:tcPr>
          <w:p>
            <w:pPr>
              <w:pStyle w:val="TableParagraph"/>
              <w:spacing w:line="234" w:lineRule="exact" w:before="45"/>
              <w:ind w:left="390" w:right="385"/>
              <w:jc w:val="center"/>
              <w:rPr>
                <w:sz w:val="22"/>
              </w:rPr>
            </w:pPr>
            <w:r>
              <w:rPr>
                <w:sz w:val="22"/>
              </w:rPr>
              <w:t>2,270</w:t>
            </w:r>
          </w:p>
        </w:tc>
        <w:tc>
          <w:tcPr>
            <w:tcW w:w="1500" w:type="dxa"/>
          </w:tcPr>
          <w:p>
            <w:pPr>
              <w:pStyle w:val="TableParagraph"/>
              <w:spacing w:line="234" w:lineRule="exact" w:before="45"/>
              <w:ind w:left="500"/>
              <w:rPr>
                <w:sz w:val="22"/>
              </w:rPr>
            </w:pPr>
            <w:r>
              <w:rPr>
                <w:sz w:val="22"/>
              </w:rPr>
              <w:t>3,525</w:t>
            </w:r>
          </w:p>
        </w:tc>
      </w:tr>
      <w:tr>
        <w:trPr>
          <w:trHeight w:val="300" w:hRule="atLeast"/>
        </w:trPr>
        <w:tc>
          <w:tcPr>
            <w:tcW w:w="13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20" w:type="dxa"/>
          </w:tcPr>
          <w:p>
            <w:pPr>
              <w:pStyle w:val="TableParagraph"/>
              <w:spacing w:line="234" w:lineRule="exact" w:before="46"/>
              <w:ind w:left="490" w:right="483"/>
              <w:jc w:val="center"/>
              <w:rPr>
                <w:sz w:val="22"/>
              </w:rPr>
            </w:pPr>
            <w:r>
              <w:rPr>
                <w:sz w:val="22"/>
              </w:rPr>
              <w:t>12-13%</w:t>
            </w:r>
          </w:p>
        </w:tc>
        <w:tc>
          <w:tcPr>
            <w:tcW w:w="1320" w:type="dxa"/>
          </w:tcPr>
          <w:p>
            <w:pPr>
              <w:pStyle w:val="TableParagraph"/>
              <w:spacing w:line="234" w:lineRule="exact" w:before="46"/>
              <w:ind w:left="390" w:right="385"/>
              <w:jc w:val="center"/>
              <w:rPr>
                <w:sz w:val="22"/>
              </w:rPr>
            </w:pPr>
            <w:r>
              <w:rPr>
                <w:sz w:val="22"/>
              </w:rPr>
              <w:t>2,300</w:t>
            </w:r>
          </w:p>
        </w:tc>
        <w:tc>
          <w:tcPr>
            <w:tcW w:w="1500" w:type="dxa"/>
          </w:tcPr>
          <w:p>
            <w:pPr>
              <w:pStyle w:val="TableParagraph"/>
              <w:spacing w:line="234" w:lineRule="exact" w:before="46"/>
              <w:ind w:left="500"/>
              <w:rPr>
                <w:sz w:val="22"/>
              </w:rPr>
            </w:pPr>
            <w:r>
              <w:rPr>
                <w:sz w:val="22"/>
              </w:rPr>
              <w:t>3,475</w:t>
            </w:r>
          </w:p>
        </w:tc>
      </w:tr>
      <w:tr>
        <w:trPr>
          <w:trHeight w:val="299" w:hRule="atLeast"/>
        </w:trPr>
        <w:tc>
          <w:tcPr>
            <w:tcW w:w="1301" w:type="dxa"/>
            <w:vMerge w:val="restart"/>
          </w:tcPr>
          <w:p>
            <w:pPr>
              <w:pStyle w:val="TableParagraph"/>
              <w:spacing w:before="176"/>
              <w:ind w:left="433" w:right="426"/>
              <w:jc w:val="center"/>
              <w:rPr>
                <w:sz w:val="22"/>
              </w:rPr>
            </w:pPr>
            <w:r>
              <w:rPr>
                <w:sz w:val="22"/>
              </w:rPr>
              <w:t>Pine</w:t>
            </w:r>
          </w:p>
        </w:tc>
        <w:tc>
          <w:tcPr>
            <w:tcW w:w="1720" w:type="dxa"/>
          </w:tcPr>
          <w:p>
            <w:pPr>
              <w:pStyle w:val="TableParagraph"/>
              <w:spacing w:line="234" w:lineRule="exact" w:before="45"/>
              <w:ind w:left="486" w:right="483"/>
              <w:jc w:val="center"/>
              <w:rPr>
                <w:sz w:val="22"/>
              </w:rPr>
            </w:pPr>
            <w:r>
              <w:rPr>
                <w:sz w:val="22"/>
              </w:rPr>
              <w:t>Green</w:t>
            </w:r>
          </w:p>
        </w:tc>
        <w:tc>
          <w:tcPr>
            <w:tcW w:w="1320" w:type="dxa"/>
          </w:tcPr>
          <w:p>
            <w:pPr>
              <w:pStyle w:val="TableParagraph"/>
              <w:spacing w:line="234" w:lineRule="exact" w:before="45"/>
              <w:ind w:left="390" w:right="385"/>
              <w:jc w:val="center"/>
              <w:rPr>
                <w:sz w:val="22"/>
              </w:rPr>
            </w:pPr>
            <w:r>
              <w:rPr>
                <w:sz w:val="22"/>
              </w:rPr>
              <w:t>3,725</w:t>
            </w:r>
          </w:p>
        </w:tc>
        <w:tc>
          <w:tcPr>
            <w:tcW w:w="1500" w:type="dxa"/>
          </w:tcPr>
          <w:p>
            <w:pPr>
              <w:pStyle w:val="TableParagraph"/>
              <w:spacing w:line="234" w:lineRule="exact" w:before="45"/>
              <w:ind w:left="500"/>
              <w:rPr>
                <w:sz w:val="22"/>
              </w:rPr>
            </w:pPr>
            <w:r>
              <w:rPr>
                <w:sz w:val="22"/>
              </w:rPr>
              <w:t>5,210</w:t>
            </w:r>
          </w:p>
        </w:tc>
      </w:tr>
      <w:tr>
        <w:trPr>
          <w:trHeight w:val="299" w:hRule="atLeast"/>
        </w:trPr>
        <w:tc>
          <w:tcPr>
            <w:tcW w:w="13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20" w:type="dxa"/>
          </w:tcPr>
          <w:p>
            <w:pPr>
              <w:pStyle w:val="TableParagraph"/>
              <w:spacing w:line="234" w:lineRule="exact" w:before="45"/>
              <w:ind w:left="490" w:right="483"/>
              <w:jc w:val="center"/>
              <w:rPr>
                <w:sz w:val="22"/>
              </w:rPr>
            </w:pPr>
            <w:r>
              <w:rPr>
                <w:sz w:val="22"/>
              </w:rPr>
              <w:t>11-13%</w:t>
            </w:r>
          </w:p>
        </w:tc>
        <w:tc>
          <w:tcPr>
            <w:tcW w:w="1320" w:type="dxa"/>
          </w:tcPr>
          <w:p>
            <w:pPr>
              <w:pStyle w:val="TableParagraph"/>
              <w:spacing w:line="234" w:lineRule="exact" w:before="45"/>
              <w:ind w:left="390" w:right="385"/>
              <w:jc w:val="center"/>
              <w:rPr>
                <w:sz w:val="22"/>
              </w:rPr>
            </w:pPr>
            <w:r>
              <w:rPr>
                <w:sz w:val="22"/>
              </w:rPr>
              <w:t>2,500</w:t>
            </w:r>
          </w:p>
        </w:tc>
        <w:tc>
          <w:tcPr>
            <w:tcW w:w="1500" w:type="dxa"/>
          </w:tcPr>
          <w:p>
            <w:pPr>
              <w:pStyle w:val="TableParagraph"/>
              <w:spacing w:line="234" w:lineRule="exact" w:before="45"/>
              <w:ind w:left="500"/>
              <w:rPr>
                <w:sz w:val="22"/>
              </w:rPr>
            </w:pPr>
            <w:r>
              <w:rPr>
                <w:sz w:val="22"/>
              </w:rPr>
              <w:t>3,830</w:t>
            </w:r>
          </w:p>
        </w:tc>
      </w:tr>
      <w:tr>
        <w:trPr>
          <w:trHeight w:val="300" w:hRule="atLeast"/>
        </w:trPr>
        <w:tc>
          <w:tcPr>
            <w:tcW w:w="1301" w:type="dxa"/>
            <w:vMerge w:val="restart"/>
          </w:tcPr>
          <w:p>
            <w:pPr>
              <w:pStyle w:val="TableParagraph"/>
              <w:spacing w:before="177"/>
              <w:ind w:left="344"/>
              <w:rPr>
                <w:sz w:val="22"/>
              </w:rPr>
            </w:pPr>
            <w:r>
              <w:rPr>
                <w:sz w:val="22"/>
              </w:rPr>
              <w:t>Spruce</w:t>
            </w:r>
          </w:p>
        </w:tc>
        <w:tc>
          <w:tcPr>
            <w:tcW w:w="1720" w:type="dxa"/>
          </w:tcPr>
          <w:p>
            <w:pPr>
              <w:pStyle w:val="TableParagraph"/>
              <w:spacing w:line="234" w:lineRule="exact" w:before="46"/>
              <w:ind w:left="486" w:right="483"/>
              <w:jc w:val="center"/>
              <w:rPr>
                <w:sz w:val="22"/>
              </w:rPr>
            </w:pPr>
            <w:r>
              <w:rPr>
                <w:sz w:val="22"/>
              </w:rPr>
              <w:t>Green</w:t>
            </w:r>
          </w:p>
        </w:tc>
        <w:tc>
          <w:tcPr>
            <w:tcW w:w="1320" w:type="dxa"/>
          </w:tcPr>
          <w:p>
            <w:pPr>
              <w:pStyle w:val="TableParagraph"/>
              <w:spacing w:line="234" w:lineRule="exact" w:before="46"/>
              <w:ind w:left="390" w:right="385"/>
              <w:jc w:val="center"/>
              <w:rPr>
                <w:sz w:val="22"/>
              </w:rPr>
            </w:pPr>
            <w:r>
              <w:rPr>
                <w:sz w:val="22"/>
              </w:rPr>
              <w:t>2,400</w:t>
            </w:r>
          </w:p>
        </w:tc>
        <w:tc>
          <w:tcPr>
            <w:tcW w:w="1500" w:type="dxa"/>
          </w:tcPr>
          <w:p>
            <w:pPr>
              <w:pStyle w:val="TableParagraph"/>
              <w:spacing w:line="234" w:lineRule="exact" w:before="46"/>
              <w:ind w:left="500"/>
              <w:rPr>
                <w:sz w:val="22"/>
              </w:rPr>
            </w:pPr>
            <w:r>
              <w:rPr>
                <w:sz w:val="22"/>
              </w:rPr>
              <w:t>3,100</w:t>
            </w:r>
          </w:p>
        </w:tc>
      </w:tr>
      <w:tr>
        <w:trPr>
          <w:trHeight w:val="299" w:hRule="atLeast"/>
        </w:trPr>
        <w:tc>
          <w:tcPr>
            <w:tcW w:w="13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20" w:type="dxa"/>
          </w:tcPr>
          <w:p>
            <w:pPr>
              <w:pStyle w:val="TableParagraph"/>
              <w:spacing w:line="234" w:lineRule="exact" w:before="45"/>
              <w:ind w:left="489" w:right="483"/>
              <w:jc w:val="center"/>
              <w:rPr>
                <w:sz w:val="22"/>
              </w:rPr>
            </w:pPr>
            <w:r>
              <w:rPr>
                <w:sz w:val="22"/>
              </w:rPr>
              <w:t>12%</w:t>
            </w:r>
          </w:p>
        </w:tc>
        <w:tc>
          <w:tcPr>
            <w:tcW w:w="1320" w:type="dxa"/>
          </w:tcPr>
          <w:p>
            <w:pPr>
              <w:pStyle w:val="TableParagraph"/>
              <w:spacing w:line="234" w:lineRule="exact" w:before="45"/>
              <w:ind w:left="390" w:right="385"/>
              <w:jc w:val="center"/>
              <w:rPr>
                <w:sz w:val="22"/>
              </w:rPr>
            </w:pPr>
            <w:r>
              <w:rPr>
                <w:sz w:val="22"/>
              </w:rPr>
              <w:t>1,800</w:t>
            </w:r>
          </w:p>
        </w:tc>
        <w:tc>
          <w:tcPr>
            <w:tcW w:w="1500" w:type="dxa"/>
          </w:tcPr>
          <w:p>
            <w:pPr>
              <w:pStyle w:val="TableParagraph"/>
              <w:spacing w:line="234" w:lineRule="exact" w:before="45"/>
              <w:ind w:left="500"/>
              <w:rPr>
                <w:sz w:val="22"/>
              </w:rPr>
            </w:pPr>
            <w:r>
              <w:rPr>
                <w:sz w:val="22"/>
              </w:rPr>
              <w:t>2,900</w:t>
            </w:r>
          </w:p>
        </w:tc>
      </w:tr>
    </w:tbl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5"/>
        <w:rPr>
          <w:i/>
          <w:sz w:val="17"/>
        </w:rPr>
      </w:pPr>
    </w:p>
    <w:p>
      <w:pPr>
        <w:pStyle w:val="BodyText"/>
        <w:spacing w:line="480" w:lineRule="auto" w:before="90"/>
        <w:ind w:left="440" w:right="417" w:firstLine="720"/>
        <w:jc w:val="both"/>
      </w:pPr>
      <w:r>
        <w:rPr/>
        <w:t>A wood’s values for toughness and strength combine to describe the work to</w:t>
      </w:r>
      <w:r>
        <w:rPr>
          <w:spacing w:val="1"/>
        </w:rPr>
        <w:t> </w:t>
      </w:r>
      <w:r>
        <w:rPr/>
        <w:t>maximum load, a reported strength property under static bending.</w:t>
      </w:r>
      <w:r>
        <w:rPr>
          <w:spacing w:val="1"/>
        </w:rPr>
        <w:t> </w:t>
      </w:r>
      <w:r>
        <w:rPr/>
        <w:t>The work to maximum</w:t>
      </w:r>
      <w:r>
        <w:rPr>
          <w:spacing w:val="-57"/>
        </w:rPr>
        <w:t> </w:t>
      </w:r>
      <w:r>
        <w:rPr/>
        <w:t>load in bending is the material’s ability to absorb shock with the allowance of permanent</w:t>
      </w:r>
      <w:r>
        <w:rPr>
          <w:spacing w:val="1"/>
        </w:rPr>
        <w:t> </w:t>
      </w:r>
      <w:r>
        <w:rPr/>
        <w:t>deformation [96].</w:t>
      </w:r>
      <w:r>
        <w:rPr>
          <w:spacing w:val="1"/>
        </w:rPr>
        <w:t> </w:t>
      </w:r>
      <w:r>
        <w:rPr/>
        <w:t>Fracture toughness is another related property defined as the ability of</w:t>
      </w:r>
      <w:r>
        <w:rPr>
          <w:spacing w:val="1"/>
        </w:rPr>
        <w:t> </w:t>
      </w:r>
      <w:r>
        <w:rPr/>
        <w:t>the</w:t>
      </w:r>
      <w:r>
        <w:rPr>
          <w:spacing w:val="-7"/>
        </w:rPr>
        <w:t> </w:t>
      </w:r>
      <w:r>
        <w:rPr/>
        <w:t>wood</w:t>
      </w:r>
      <w:r>
        <w:rPr>
          <w:spacing w:val="-6"/>
        </w:rPr>
        <w:t> </w:t>
      </w:r>
      <w:r>
        <w:rPr/>
        <w:t>to</w:t>
      </w:r>
      <w:r>
        <w:rPr>
          <w:spacing w:val="-9"/>
        </w:rPr>
        <w:t> </w:t>
      </w:r>
      <w:r>
        <w:rPr/>
        <w:t>tolerate</w:t>
      </w:r>
      <w:r>
        <w:rPr>
          <w:spacing w:val="-7"/>
        </w:rPr>
        <w:t> </w:t>
      </w:r>
      <w:r>
        <w:rPr/>
        <w:t>flaws</w:t>
      </w:r>
      <w:r>
        <w:rPr>
          <w:spacing w:val="-7"/>
        </w:rPr>
        <w:t> </w:t>
      </w:r>
      <w:r>
        <w:rPr/>
        <w:t>that</w:t>
      </w:r>
      <w:r>
        <w:rPr>
          <w:spacing w:val="-6"/>
        </w:rPr>
        <w:t> </w:t>
      </w:r>
      <w:r>
        <w:rPr/>
        <w:t>initiate</w:t>
      </w:r>
      <w:r>
        <w:rPr>
          <w:spacing w:val="-6"/>
        </w:rPr>
        <w:t> </w:t>
      </w:r>
      <w:r>
        <w:rPr/>
        <w:t>failure,</w:t>
      </w:r>
      <w:r>
        <w:rPr>
          <w:spacing w:val="-6"/>
        </w:rPr>
        <w:t> </w:t>
      </w:r>
      <w:r>
        <w:rPr/>
        <w:t>or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resistance</w:t>
      </w:r>
      <w:r>
        <w:rPr>
          <w:spacing w:val="-7"/>
        </w:rPr>
        <w:t> </w:t>
      </w:r>
      <w:r>
        <w:rPr/>
        <w:t>to</w:t>
      </w:r>
      <w:r>
        <w:rPr>
          <w:spacing w:val="-6"/>
        </w:rPr>
        <w:t> </w:t>
      </w:r>
      <w:r>
        <w:rPr/>
        <w:t>propagation</w:t>
      </w:r>
      <w:r>
        <w:rPr>
          <w:spacing w:val="-6"/>
        </w:rPr>
        <w:t> </w:t>
      </w:r>
      <w:r>
        <w:rPr/>
        <w:t>of</w:t>
      </w:r>
      <w:r>
        <w:rPr>
          <w:spacing w:val="-8"/>
        </w:rPr>
        <w:t> </w:t>
      </w:r>
      <w:r>
        <w:rPr/>
        <w:t>a</w:t>
      </w:r>
      <w:r>
        <w:rPr>
          <w:spacing w:val="-6"/>
        </w:rPr>
        <w:t> </w:t>
      </w:r>
      <w:r>
        <w:rPr/>
        <w:t>crack</w:t>
      </w:r>
      <w:r>
        <w:rPr>
          <w:spacing w:val="-6"/>
        </w:rPr>
        <w:t> </w:t>
      </w:r>
      <w:r>
        <w:rPr/>
        <w:t>or</w:t>
      </w:r>
      <w:r>
        <w:rPr>
          <w:spacing w:val="-58"/>
        </w:rPr>
        <w:t> </w:t>
      </w:r>
      <w:r>
        <w:rPr/>
        <w:t>defect</w:t>
      </w:r>
      <w:r>
        <w:rPr>
          <w:spacing w:val="-1"/>
        </w:rPr>
        <w:t> </w:t>
      </w:r>
      <w:r>
        <w:rPr/>
        <w:t>[96].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40" w:right="417" w:firstLine="720"/>
        <w:jc w:val="both"/>
      </w:pPr>
      <w:r>
        <w:rPr/>
        <w:t>Toughness</w:t>
      </w:r>
      <w:r>
        <w:rPr>
          <w:spacing w:val="-6"/>
        </w:rPr>
        <w:t> </w:t>
      </w:r>
      <w:r>
        <w:rPr/>
        <w:t>data</w:t>
      </w:r>
      <w:r>
        <w:rPr>
          <w:spacing w:val="-5"/>
        </w:rPr>
        <w:t> </w:t>
      </w:r>
      <w:r>
        <w:rPr/>
        <w:t>have</w:t>
      </w:r>
      <w:r>
        <w:rPr>
          <w:spacing w:val="-6"/>
        </w:rPr>
        <w:t> </w:t>
      </w:r>
      <w:r>
        <w:rPr/>
        <w:t>limitations</w:t>
      </w:r>
      <w:r>
        <w:rPr>
          <w:spacing w:val="-6"/>
        </w:rPr>
        <w:t> </w:t>
      </w:r>
      <w:r>
        <w:rPr/>
        <w:t>in</w:t>
      </w:r>
      <w:r>
        <w:rPr>
          <w:spacing w:val="-5"/>
        </w:rPr>
        <w:t> </w:t>
      </w:r>
      <w:r>
        <w:rPr/>
        <w:t>scaling,</w:t>
      </w:r>
      <w:r>
        <w:rPr>
          <w:spacing w:val="-5"/>
        </w:rPr>
        <w:t> </w:t>
      </w:r>
      <w:r>
        <w:rPr/>
        <w:t>making</w:t>
      </w:r>
      <w:r>
        <w:rPr>
          <w:spacing w:val="-5"/>
        </w:rPr>
        <w:t> </w:t>
      </w:r>
      <w:r>
        <w:rPr/>
        <w:t>it</w:t>
      </w:r>
      <w:r>
        <w:rPr>
          <w:spacing w:val="-6"/>
        </w:rPr>
        <w:t> </w:t>
      </w:r>
      <w:r>
        <w:rPr/>
        <w:t>a</w:t>
      </w:r>
      <w:r>
        <w:rPr>
          <w:spacing w:val="-6"/>
        </w:rPr>
        <w:t> </w:t>
      </w:r>
      <w:r>
        <w:rPr/>
        <w:t>challenging</w:t>
      </w:r>
      <w:r>
        <w:rPr>
          <w:spacing w:val="-5"/>
        </w:rPr>
        <w:t> </w:t>
      </w:r>
      <w:r>
        <w:rPr/>
        <w:t>property</w:t>
      </w:r>
      <w:r>
        <w:rPr>
          <w:spacing w:val="-5"/>
        </w:rPr>
        <w:t> </w:t>
      </w:r>
      <w:r>
        <w:rPr/>
        <w:t>to</w:t>
      </w:r>
      <w:r>
        <w:rPr>
          <w:spacing w:val="-5"/>
        </w:rPr>
        <w:t> </w:t>
      </w:r>
      <w:r>
        <w:rPr/>
        <w:t>use</w:t>
      </w:r>
      <w:r>
        <w:rPr>
          <w:spacing w:val="-58"/>
        </w:rPr>
        <w:t> </w:t>
      </w:r>
      <w:r>
        <w:rPr/>
        <w:t>for comparisons due to restrictions in cross-sectional dimensions of fracture specimens</w:t>
      </w:r>
      <w:r>
        <w:rPr>
          <w:spacing w:val="1"/>
        </w:rPr>
        <w:t> </w:t>
      </w:r>
      <w:r>
        <w:rPr/>
        <w:t>[31]. Additionally, toughness values are highly variable. Typical coefficients of variation</w:t>
      </w:r>
      <w:r>
        <w:rPr>
          <w:spacing w:val="1"/>
        </w:rPr>
        <w:t> </w:t>
      </w:r>
      <w:r>
        <w:rPr/>
        <w:t>for toughness and work to maximum load properties for clear wood specimens range</w:t>
      </w:r>
      <w:r>
        <w:rPr>
          <w:spacing w:val="1"/>
        </w:rPr>
        <w:t> </w:t>
      </w:r>
      <w:r>
        <w:rPr/>
        <w:t>between</w:t>
      </w:r>
      <w:r>
        <w:rPr>
          <w:spacing w:val="-1"/>
        </w:rPr>
        <w:t> </w:t>
      </w:r>
      <w:r>
        <w:rPr/>
        <w:t>30</w:t>
      </w:r>
      <w:r>
        <w:rPr>
          <w:spacing w:val="-2"/>
        </w:rPr>
        <w:t> </w:t>
      </w:r>
      <w:r>
        <w:rPr/>
        <w:t>and 40 percent [96].</w:t>
      </w:r>
    </w:p>
    <w:p>
      <w:pPr>
        <w:pStyle w:val="Heading9"/>
        <w:numPr>
          <w:ilvl w:val="1"/>
          <w:numId w:val="23"/>
        </w:numPr>
        <w:tabs>
          <w:tab w:pos="800" w:val="left" w:leader="none"/>
        </w:tabs>
        <w:spacing w:line="240" w:lineRule="auto" w:before="162" w:after="0"/>
        <w:ind w:left="800" w:right="0" w:hanging="360"/>
        <w:jc w:val="both"/>
      </w:pPr>
      <w:bookmarkStart w:name="6.3 Previous work with dynamic loading o" w:id="356"/>
      <w:bookmarkEnd w:id="356"/>
      <w:r>
        <w:rPr>
          <w:b w:val="0"/>
        </w:rPr>
      </w:r>
      <w:bookmarkStart w:name="6.3 Previous work with dynamic loading o" w:id="357"/>
      <w:bookmarkEnd w:id="357"/>
      <w:r>
        <w:rPr/>
        <w:t>P</w:t>
      </w:r>
      <w:r>
        <w:rPr/>
        <w:t>revious</w:t>
      </w:r>
      <w:r>
        <w:rPr>
          <w:spacing w:val="-3"/>
        </w:rPr>
        <w:t> </w:t>
      </w:r>
      <w:r>
        <w:rPr/>
        <w:t>work with</w:t>
      </w:r>
      <w:r>
        <w:rPr>
          <w:spacing w:val="-3"/>
        </w:rPr>
        <w:t> </w:t>
      </w:r>
      <w:r>
        <w:rPr/>
        <w:t>dynamic</w:t>
      </w:r>
      <w:r>
        <w:rPr>
          <w:spacing w:val="-2"/>
        </w:rPr>
        <w:t> </w:t>
      </w:r>
      <w:r>
        <w:rPr/>
        <w:t>loading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wood</w:t>
      </w:r>
      <w:r>
        <w:rPr>
          <w:spacing w:val="-3"/>
        </w:rPr>
        <w:t> </w:t>
      </w:r>
      <w:r>
        <w:rPr/>
        <w:t>and</w:t>
      </w:r>
      <w:r>
        <w:rPr>
          <w:spacing w:val="-2"/>
        </w:rPr>
        <w:t> </w:t>
      </w:r>
      <w:r>
        <w:rPr/>
        <w:t>wood</w:t>
      </w:r>
      <w:r>
        <w:rPr>
          <w:spacing w:val="-3"/>
        </w:rPr>
        <w:t> </w:t>
      </w:r>
      <w:r>
        <w:rPr/>
        <w:t>products</w:t>
      </w:r>
    </w:p>
    <w:p>
      <w:pPr>
        <w:pStyle w:val="BodyText"/>
        <w:spacing w:before="6"/>
        <w:rPr>
          <w:b/>
          <w:sz w:val="22"/>
        </w:rPr>
      </w:pPr>
    </w:p>
    <w:p>
      <w:pPr>
        <w:pStyle w:val="BodyText"/>
        <w:spacing w:line="480" w:lineRule="auto"/>
        <w:ind w:left="440" w:right="417" w:firstLine="720"/>
        <w:jc w:val="both"/>
      </w:pPr>
      <w:r>
        <w:rPr/>
        <w:t>Other researchers have examined the static versus dynamic loading on a panel of</w:t>
      </w:r>
      <w:r>
        <w:rPr>
          <w:spacing w:val="1"/>
        </w:rPr>
        <w:t> </w:t>
      </w:r>
      <w:r>
        <w:rPr/>
        <w:t>light</w:t>
      </w:r>
      <w:r>
        <w:rPr>
          <w:spacing w:val="1"/>
        </w:rPr>
        <w:t> </w:t>
      </w:r>
      <w:r>
        <w:rPr/>
        <w:t>frame</w:t>
      </w:r>
      <w:r>
        <w:rPr>
          <w:spacing w:val="1"/>
        </w:rPr>
        <w:t> </w:t>
      </w:r>
      <w:r>
        <w:rPr/>
        <w:t>wood</w:t>
      </w:r>
      <w:r>
        <w:rPr>
          <w:spacing w:val="1"/>
        </w:rPr>
        <w:t> </w:t>
      </w:r>
      <w:r>
        <w:rPr/>
        <w:t>construction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associated</w:t>
      </w:r>
      <w:r>
        <w:rPr>
          <w:spacing w:val="1"/>
        </w:rPr>
        <w:t> </w:t>
      </w:r>
      <w:r>
        <w:rPr/>
        <w:t>failure</w:t>
      </w:r>
      <w:r>
        <w:rPr>
          <w:spacing w:val="1"/>
        </w:rPr>
        <w:t> </w:t>
      </w:r>
      <w:r>
        <w:rPr/>
        <w:t>modes.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panels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constructed of dimension lumber studs with one side sheathed by either plywood or</w:t>
      </w:r>
      <w:r>
        <w:rPr>
          <w:spacing w:val="1"/>
        </w:rPr>
        <w:t> </w:t>
      </w:r>
      <w:r>
        <w:rPr/>
        <w:t>oriented</w:t>
      </w:r>
      <w:r>
        <w:rPr>
          <w:spacing w:val="-13"/>
        </w:rPr>
        <w:t> </w:t>
      </w:r>
      <w:r>
        <w:rPr/>
        <w:t>strand</w:t>
      </w:r>
      <w:r>
        <w:rPr>
          <w:spacing w:val="-13"/>
        </w:rPr>
        <w:t> </w:t>
      </w:r>
      <w:r>
        <w:rPr/>
        <w:t>board.</w:t>
      </w:r>
      <w:r>
        <w:rPr>
          <w:spacing w:val="34"/>
        </w:rPr>
        <w:t> </w:t>
      </w:r>
      <w:r>
        <w:rPr/>
        <w:t>Under</w:t>
      </w:r>
      <w:r>
        <w:rPr>
          <w:spacing w:val="-13"/>
        </w:rPr>
        <w:t> </w:t>
      </w:r>
      <w:r>
        <w:rPr/>
        <w:t>static</w:t>
      </w:r>
      <w:r>
        <w:rPr>
          <w:spacing w:val="-13"/>
        </w:rPr>
        <w:t> </w:t>
      </w:r>
      <w:r>
        <w:rPr/>
        <w:t>loads,</w:t>
      </w:r>
      <w:r>
        <w:rPr>
          <w:spacing w:val="-13"/>
        </w:rPr>
        <w:t> </w:t>
      </w:r>
      <w:r>
        <w:rPr/>
        <w:t>flexural</w:t>
      </w:r>
      <w:r>
        <w:rPr>
          <w:spacing w:val="-14"/>
        </w:rPr>
        <w:t> </w:t>
      </w:r>
      <w:r>
        <w:rPr/>
        <w:t>failure</w:t>
      </w:r>
      <w:r>
        <w:rPr>
          <w:spacing w:val="-13"/>
        </w:rPr>
        <w:t> </w:t>
      </w:r>
      <w:r>
        <w:rPr/>
        <w:t>was</w:t>
      </w:r>
      <w:r>
        <w:rPr>
          <w:spacing w:val="-13"/>
        </w:rPr>
        <w:t> </w:t>
      </w:r>
      <w:r>
        <w:rPr/>
        <w:t>observed</w:t>
      </w:r>
      <w:r>
        <w:rPr>
          <w:spacing w:val="-13"/>
        </w:rPr>
        <w:t> </w:t>
      </w:r>
      <w:r>
        <w:rPr/>
        <w:t>with</w:t>
      </w:r>
      <w:r>
        <w:rPr>
          <w:spacing w:val="-13"/>
        </w:rPr>
        <w:t> </w:t>
      </w:r>
      <w:r>
        <w:rPr/>
        <w:t>uneven</w:t>
      </w:r>
      <w:r>
        <w:rPr>
          <w:spacing w:val="-13"/>
        </w:rPr>
        <w:t> </w:t>
      </w:r>
      <w:r>
        <w:rPr/>
        <w:t>failure</w:t>
      </w:r>
      <w:r>
        <w:rPr>
          <w:spacing w:val="-58"/>
        </w:rPr>
        <w:t> </w:t>
      </w:r>
      <w:r>
        <w:rPr/>
        <w:t>in individual wood pieces due to the variability of the wood.</w:t>
      </w:r>
      <w:r>
        <w:rPr>
          <w:spacing w:val="1"/>
        </w:rPr>
        <w:t> </w:t>
      </w:r>
      <w:r>
        <w:rPr/>
        <w:t>Under dynamic loading, the</w:t>
      </w:r>
      <w:r>
        <w:rPr>
          <w:spacing w:val="-57"/>
        </w:rPr>
        <w:t> </w:t>
      </w:r>
      <w:r>
        <w:rPr/>
        <w:t>same</w:t>
      </w:r>
      <w:r>
        <w:rPr>
          <w:spacing w:val="-11"/>
        </w:rPr>
        <w:t> </w:t>
      </w:r>
      <w:r>
        <w:rPr/>
        <w:t>light</w:t>
      </w:r>
      <w:r>
        <w:rPr>
          <w:spacing w:val="-10"/>
        </w:rPr>
        <w:t> </w:t>
      </w:r>
      <w:r>
        <w:rPr/>
        <w:t>frame</w:t>
      </w:r>
      <w:r>
        <w:rPr>
          <w:spacing w:val="-11"/>
        </w:rPr>
        <w:t> </w:t>
      </w:r>
      <w:r>
        <w:rPr/>
        <w:t>wood</w:t>
      </w:r>
      <w:r>
        <w:rPr>
          <w:spacing w:val="-11"/>
        </w:rPr>
        <w:t> </w:t>
      </w:r>
      <w:r>
        <w:rPr/>
        <w:t>panels</w:t>
      </w:r>
      <w:r>
        <w:rPr>
          <w:spacing w:val="-11"/>
        </w:rPr>
        <w:t> </w:t>
      </w:r>
      <w:r>
        <w:rPr/>
        <w:t>also</w:t>
      </w:r>
      <w:r>
        <w:rPr>
          <w:spacing w:val="-11"/>
        </w:rPr>
        <w:t> </w:t>
      </w:r>
      <w:r>
        <w:rPr/>
        <w:t>experienced</w:t>
      </w:r>
      <w:r>
        <w:rPr>
          <w:spacing w:val="-10"/>
        </w:rPr>
        <w:t> </w:t>
      </w:r>
      <w:r>
        <w:rPr/>
        <w:t>flexural</w:t>
      </w:r>
      <w:r>
        <w:rPr>
          <w:spacing w:val="-10"/>
        </w:rPr>
        <w:t> </w:t>
      </w:r>
      <w:r>
        <w:rPr/>
        <w:t>failure.</w:t>
      </w:r>
      <w:r>
        <w:rPr>
          <w:spacing w:val="39"/>
        </w:rPr>
        <w:t> </w:t>
      </w:r>
      <w:r>
        <w:rPr/>
        <w:t>However,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documented</w:t>
      </w:r>
      <w:r>
        <w:rPr>
          <w:spacing w:val="-57"/>
        </w:rPr>
        <w:t> </w:t>
      </w:r>
      <w:r>
        <w:rPr/>
        <w:t>observation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dynamically</w:t>
      </w:r>
      <w:r>
        <w:rPr>
          <w:spacing w:val="-5"/>
        </w:rPr>
        <w:t> </w:t>
      </w:r>
      <w:r>
        <w:rPr/>
        <w:t>loaded</w:t>
      </w:r>
      <w:r>
        <w:rPr>
          <w:spacing w:val="-4"/>
        </w:rPr>
        <w:t> </w:t>
      </w:r>
      <w:r>
        <w:rPr/>
        <w:t>specimens</w:t>
      </w:r>
      <w:r>
        <w:rPr>
          <w:spacing w:val="-5"/>
        </w:rPr>
        <w:t> </w:t>
      </w:r>
      <w:r>
        <w:rPr/>
        <w:t>was</w:t>
      </w:r>
      <w:r>
        <w:rPr>
          <w:spacing w:val="-5"/>
        </w:rPr>
        <w:t> </w:t>
      </w:r>
      <w:r>
        <w:rPr/>
        <w:t>described</w:t>
      </w:r>
      <w:r>
        <w:rPr>
          <w:spacing w:val="-5"/>
        </w:rPr>
        <w:t> </w:t>
      </w:r>
      <w:r>
        <w:rPr/>
        <w:t>as</w:t>
      </w:r>
      <w:r>
        <w:rPr>
          <w:spacing w:val="-4"/>
        </w:rPr>
        <w:t> </w:t>
      </w:r>
      <w:r>
        <w:rPr/>
        <w:t>a</w:t>
      </w:r>
      <w:r>
        <w:rPr>
          <w:spacing w:val="-5"/>
        </w:rPr>
        <w:t> </w:t>
      </w:r>
      <w:r>
        <w:rPr/>
        <w:t>cut</w:t>
      </w:r>
      <w:r>
        <w:rPr>
          <w:spacing w:val="-6"/>
        </w:rPr>
        <w:t> </w:t>
      </w:r>
      <w:r>
        <w:rPr/>
        <w:t>through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wood</w:t>
      </w:r>
      <w:r>
        <w:rPr>
          <w:spacing w:val="-58"/>
        </w:rPr>
        <w:t> </w:t>
      </w:r>
      <w:r>
        <w:rPr/>
        <w:t>fibers</w:t>
      </w:r>
      <w:r>
        <w:rPr>
          <w:spacing w:val="-9"/>
        </w:rPr>
        <w:t> </w:t>
      </w:r>
      <w:r>
        <w:rPr/>
        <w:t>in</w:t>
      </w:r>
      <w:r>
        <w:rPr>
          <w:spacing w:val="-11"/>
        </w:rPr>
        <w:t> </w:t>
      </w:r>
      <w:r>
        <w:rPr/>
        <w:t>contrast</w:t>
      </w:r>
      <w:r>
        <w:rPr>
          <w:spacing w:val="-8"/>
        </w:rPr>
        <w:t> </w:t>
      </w:r>
      <w:r>
        <w:rPr/>
        <w:t>to</w:t>
      </w:r>
      <w:r>
        <w:rPr>
          <w:spacing w:val="-11"/>
        </w:rPr>
        <w:t> </w:t>
      </w:r>
      <w:r>
        <w:rPr/>
        <w:t>a</w:t>
      </w:r>
      <w:r>
        <w:rPr>
          <w:spacing w:val="-8"/>
        </w:rPr>
        <w:t> </w:t>
      </w:r>
      <w:r>
        <w:rPr/>
        <w:t>more</w:t>
      </w:r>
      <w:r>
        <w:rPr>
          <w:spacing w:val="-9"/>
        </w:rPr>
        <w:t> </w:t>
      </w:r>
      <w:r>
        <w:rPr/>
        <w:t>splintering</w:t>
      </w:r>
      <w:r>
        <w:rPr>
          <w:spacing w:val="-9"/>
        </w:rPr>
        <w:t> </w:t>
      </w:r>
      <w:r>
        <w:rPr/>
        <w:t>failure</w:t>
      </w:r>
      <w:r>
        <w:rPr>
          <w:spacing w:val="-11"/>
        </w:rPr>
        <w:t> </w:t>
      </w:r>
      <w:r>
        <w:rPr/>
        <w:t>that</w:t>
      </w:r>
      <w:r>
        <w:rPr>
          <w:spacing w:val="-10"/>
        </w:rPr>
        <w:t> </w:t>
      </w:r>
      <w:r>
        <w:rPr/>
        <w:t>appeared</w:t>
      </w:r>
      <w:r>
        <w:rPr>
          <w:spacing w:val="-9"/>
        </w:rPr>
        <w:t> </w:t>
      </w:r>
      <w:r>
        <w:rPr/>
        <w:t>like</w:t>
      </w:r>
      <w:r>
        <w:rPr>
          <w:spacing w:val="-9"/>
        </w:rPr>
        <w:t> </w:t>
      </w:r>
      <w:r>
        <w:rPr/>
        <w:t>finger</w:t>
      </w:r>
      <w:r>
        <w:rPr>
          <w:spacing w:val="-9"/>
        </w:rPr>
        <w:t> </w:t>
      </w:r>
      <w:r>
        <w:rPr/>
        <w:t>joints</w:t>
      </w:r>
      <w:r>
        <w:rPr>
          <w:spacing w:val="-9"/>
        </w:rPr>
        <w:t> </w:t>
      </w:r>
      <w:r>
        <w:rPr/>
        <w:t>disconnecting</w:t>
      </w:r>
      <w:r>
        <w:rPr>
          <w:spacing w:val="-57"/>
        </w:rPr>
        <w:t> </w:t>
      </w:r>
      <w:r>
        <w:rPr/>
        <w:t>in the statically loaded panels. The distinct failure modes were attributed to the difference</w:t>
      </w:r>
      <w:r>
        <w:rPr>
          <w:spacing w:val="-57"/>
        </w:rPr>
        <w:t> </w:t>
      </w:r>
      <w:r>
        <w:rPr/>
        <w:t>in the duration of loading.</w:t>
      </w:r>
      <w:r>
        <w:rPr>
          <w:spacing w:val="1"/>
        </w:rPr>
        <w:t> </w:t>
      </w:r>
      <w:r>
        <w:rPr/>
        <w:t>Static loads allowed for the initial fracture in the material to</w:t>
      </w:r>
      <w:r>
        <w:rPr>
          <w:spacing w:val="1"/>
        </w:rPr>
        <w:t> </w:t>
      </w:r>
      <w:r>
        <w:rPr/>
        <w:t>find the lowest strength load path, resulting in splintering failure. Under dynamic loads,</w:t>
      </w:r>
      <w:r>
        <w:rPr>
          <w:spacing w:val="1"/>
        </w:rPr>
        <w:t> </w:t>
      </w:r>
      <w:r>
        <w:rPr/>
        <w:t>however, the short duration of the load resulted in a brash tension failure effectively</w:t>
      </w:r>
      <w:r>
        <w:rPr>
          <w:spacing w:val="1"/>
        </w:rPr>
        <w:t> </w:t>
      </w:r>
      <w:r>
        <w:rPr/>
        <w:t>snapping</w:t>
      </w:r>
      <w:r>
        <w:rPr>
          <w:spacing w:val="-1"/>
        </w:rPr>
        <w:t> </w:t>
      </w:r>
      <w:r>
        <w:rPr/>
        <w:t>or</w:t>
      </w:r>
      <w:r>
        <w:rPr>
          <w:spacing w:val="-1"/>
        </w:rPr>
        <w:t> </w:t>
      </w:r>
      <w:r>
        <w:rPr/>
        <w:t>cutting the fibers more uniformly [74].</w:t>
      </w:r>
    </w:p>
    <w:p>
      <w:pPr>
        <w:pStyle w:val="BodyText"/>
        <w:spacing w:before="11"/>
        <w:rPr>
          <w:sz w:val="20"/>
        </w:rPr>
      </w:pPr>
    </w:p>
    <w:p>
      <w:pPr>
        <w:pStyle w:val="BodyText"/>
        <w:spacing w:line="480" w:lineRule="auto"/>
        <w:ind w:left="440" w:right="417" w:firstLine="720"/>
        <w:jc w:val="both"/>
      </w:pPr>
      <w:r>
        <w:rPr/>
        <w:t>A</w:t>
      </w:r>
      <w:r>
        <w:rPr>
          <w:spacing w:val="-13"/>
        </w:rPr>
        <w:t> </w:t>
      </w:r>
      <w:r>
        <w:rPr/>
        <w:t>study</w:t>
      </w:r>
      <w:r>
        <w:rPr>
          <w:spacing w:val="-11"/>
        </w:rPr>
        <w:t> </w:t>
      </w:r>
      <w:r>
        <w:rPr/>
        <w:t>examining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behavior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Parallel</w:t>
      </w:r>
      <w:r>
        <w:rPr>
          <w:spacing w:val="-11"/>
        </w:rPr>
        <w:t> </w:t>
      </w:r>
      <w:r>
        <w:rPr/>
        <w:t>Strand</w:t>
      </w:r>
      <w:r>
        <w:rPr>
          <w:spacing w:val="-12"/>
        </w:rPr>
        <w:t> </w:t>
      </w:r>
      <w:r>
        <w:rPr/>
        <w:t>Lumber</w:t>
      </w:r>
      <w:r>
        <w:rPr>
          <w:spacing w:val="-11"/>
        </w:rPr>
        <w:t> </w:t>
      </w:r>
      <w:r>
        <w:rPr/>
        <w:t>(PSL),</w:t>
      </w:r>
      <w:r>
        <w:rPr>
          <w:spacing w:val="-11"/>
        </w:rPr>
        <w:t> </w:t>
      </w:r>
      <w:r>
        <w:rPr/>
        <w:t>subjected</w:t>
      </w:r>
      <w:r>
        <w:rPr>
          <w:spacing w:val="-11"/>
        </w:rPr>
        <w:t> </w:t>
      </w:r>
      <w:r>
        <w:rPr/>
        <w:t>to</w:t>
      </w:r>
      <w:r>
        <w:rPr>
          <w:spacing w:val="-11"/>
        </w:rPr>
        <w:t> </w:t>
      </w:r>
      <w:r>
        <w:rPr/>
        <w:t>both</w:t>
      </w:r>
      <w:r>
        <w:rPr>
          <w:spacing w:val="-58"/>
        </w:rPr>
        <w:t> </w:t>
      </w:r>
      <w:r>
        <w:rPr/>
        <w:t>static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/>
        <w:t>impact</w:t>
      </w:r>
      <w:r>
        <w:rPr>
          <w:spacing w:val="-3"/>
        </w:rPr>
        <w:t> </w:t>
      </w:r>
      <w:r>
        <w:rPr/>
        <w:t>loading</w:t>
      </w:r>
      <w:r>
        <w:rPr>
          <w:spacing w:val="-4"/>
        </w:rPr>
        <w:t> </w:t>
      </w:r>
      <w:r>
        <w:rPr/>
        <w:t>found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primary</w:t>
      </w:r>
      <w:r>
        <w:rPr>
          <w:spacing w:val="-4"/>
        </w:rPr>
        <w:t> </w:t>
      </w:r>
      <w:r>
        <w:rPr/>
        <w:t>failure</w:t>
      </w:r>
      <w:r>
        <w:rPr>
          <w:spacing w:val="-3"/>
        </w:rPr>
        <w:t> </w:t>
      </w:r>
      <w:r>
        <w:rPr/>
        <w:t>response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a</w:t>
      </w:r>
      <w:r>
        <w:rPr>
          <w:spacing w:val="-4"/>
        </w:rPr>
        <w:t> </w:t>
      </w:r>
      <w:r>
        <w:rPr/>
        <w:t>typical</w:t>
      </w:r>
      <w:r>
        <w:rPr>
          <w:spacing w:val="-2"/>
        </w:rPr>
        <w:t> </w:t>
      </w:r>
      <w:r>
        <w:rPr/>
        <w:t>PSL</w:t>
      </w:r>
      <w:r>
        <w:rPr>
          <w:spacing w:val="-4"/>
        </w:rPr>
        <w:t> </w:t>
      </w:r>
      <w:r>
        <w:rPr/>
        <w:t>beam</w:t>
      </w:r>
      <w:r>
        <w:rPr>
          <w:spacing w:val="-6"/>
        </w:rPr>
        <w:t> </w:t>
      </w:r>
      <w:r>
        <w:rPr/>
        <w:t>to</w:t>
      </w:r>
      <w:r>
        <w:rPr>
          <w:spacing w:val="-4"/>
        </w:rPr>
        <w:t> </w:t>
      </w:r>
      <w:r>
        <w:rPr/>
        <w:t>be</w:t>
      </w:r>
      <w:r>
        <w:rPr>
          <w:spacing w:val="-3"/>
        </w:rPr>
        <w:t> </w:t>
      </w:r>
      <w:r>
        <w:rPr/>
        <w:t>a</w:t>
      </w:r>
      <w:r>
        <w:rPr>
          <w:spacing w:val="-58"/>
        </w:rPr>
        <w:t> </w:t>
      </w:r>
      <w:r>
        <w:rPr/>
        <w:t>combination of flexural failure, shear failure, and debonding of the wood strands [107].</w:t>
      </w:r>
      <w:r>
        <w:rPr>
          <w:spacing w:val="1"/>
        </w:rPr>
        <w:t> </w:t>
      </w:r>
      <w:r>
        <w:rPr/>
        <w:t>The difference</w:t>
      </w:r>
      <w:r>
        <w:rPr>
          <w:spacing w:val="1"/>
        </w:rPr>
        <w:t> </w:t>
      </w:r>
      <w:r>
        <w:rPr/>
        <w:t>between the impact</w:t>
      </w:r>
      <w:r>
        <w:rPr>
          <w:spacing w:val="1"/>
        </w:rPr>
        <w:t> </w:t>
      </w:r>
      <w:r>
        <w:rPr/>
        <w:t>loading</w:t>
      </w:r>
      <w:r>
        <w:rPr>
          <w:spacing w:val="1"/>
        </w:rPr>
        <w:t> </w:t>
      </w:r>
      <w:r>
        <w:rPr/>
        <w:t>fracture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the</w:t>
      </w:r>
      <w:r>
        <w:rPr>
          <w:spacing w:val="1"/>
        </w:rPr>
        <w:t> </w:t>
      </w:r>
      <w:r>
        <w:rPr/>
        <w:t>static load</w:t>
      </w:r>
      <w:r>
        <w:rPr>
          <w:spacing w:val="1"/>
        </w:rPr>
        <w:t> </w:t>
      </w:r>
      <w:r>
        <w:rPr/>
        <w:t>was observed to</w:t>
      </w:r>
      <w:r>
        <w:rPr>
          <w:spacing w:val="1"/>
        </w:rPr>
        <w:t> </w:t>
      </w:r>
      <w:r>
        <w:rPr/>
        <w:t>be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40" w:right="417"/>
        <w:jc w:val="both"/>
      </w:pPr>
      <w:r>
        <w:rPr/>
        <w:t>the rapid speed of failure but with similar material response. Failure was characterized by</w:t>
      </w:r>
      <w:r>
        <w:rPr>
          <w:spacing w:val="-57"/>
        </w:rPr>
        <w:t> </w:t>
      </w:r>
      <w:r>
        <w:rPr/>
        <w:t>initial</w:t>
      </w:r>
      <w:r>
        <w:rPr>
          <w:spacing w:val="-7"/>
        </w:rPr>
        <w:t> </w:t>
      </w:r>
      <w:r>
        <w:rPr/>
        <w:t>elastic</w:t>
      </w:r>
      <w:r>
        <w:rPr>
          <w:spacing w:val="-6"/>
        </w:rPr>
        <w:t> </w:t>
      </w:r>
      <w:r>
        <w:rPr/>
        <w:t>behavior</w:t>
      </w:r>
      <w:r>
        <w:rPr>
          <w:spacing w:val="-7"/>
        </w:rPr>
        <w:t> </w:t>
      </w:r>
      <w:r>
        <w:rPr/>
        <w:t>followed</w:t>
      </w:r>
      <w:r>
        <w:rPr>
          <w:spacing w:val="-6"/>
        </w:rPr>
        <w:t> </w:t>
      </w:r>
      <w:r>
        <w:rPr/>
        <w:t>by</w:t>
      </w:r>
      <w:r>
        <w:rPr>
          <w:spacing w:val="-7"/>
        </w:rPr>
        <w:t> </w:t>
      </w:r>
      <w:r>
        <w:rPr/>
        <w:t>an</w:t>
      </w:r>
      <w:r>
        <w:rPr>
          <w:spacing w:val="-6"/>
        </w:rPr>
        <w:t> </w:t>
      </w:r>
      <w:r>
        <w:rPr/>
        <w:t>inelastic</w:t>
      </w:r>
      <w:r>
        <w:rPr>
          <w:spacing w:val="-7"/>
        </w:rPr>
        <w:t> </w:t>
      </w:r>
      <w:r>
        <w:rPr/>
        <w:t>phase</w:t>
      </w:r>
      <w:r>
        <w:rPr>
          <w:spacing w:val="-7"/>
        </w:rPr>
        <w:t> </w:t>
      </w:r>
      <w:r>
        <w:rPr/>
        <w:t>with</w:t>
      </w:r>
      <w:r>
        <w:rPr>
          <w:spacing w:val="-6"/>
        </w:rPr>
        <w:t> </w:t>
      </w:r>
      <w:r>
        <w:rPr/>
        <w:t>shearing,</w:t>
      </w:r>
      <w:r>
        <w:rPr>
          <w:spacing w:val="-7"/>
        </w:rPr>
        <w:t> </w:t>
      </w:r>
      <w:r>
        <w:rPr/>
        <w:t>delamination</w:t>
      </w:r>
      <w:r>
        <w:rPr>
          <w:spacing w:val="-6"/>
        </w:rPr>
        <w:t> </w:t>
      </w:r>
      <w:r>
        <w:rPr/>
        <w:t>between</w:t>
      </w:r>
      <w:r>
        <w:rPr>
          <w:spacing w:val="-58"/>
        </w:rPr>
        <w:t> </w:t>
      </w:r>
      <w:r>
        <w:rPr/>
        <w:t>strand</w:t>
      </w:r>
      <w:r>
        <w:rPr>
          <w:spacing w:val="-7"/>
        </w:rPr>
        <w:t> </w:t>
      </w:r>
      <w:r>
        <w:rPr/>
        <w:t>layers,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then</w:t>
      </w:r>
      <w:r>
        <w:rPr>
          <w:spacing w:val="-6"/>
        </w:rPr>
        <w:t> </w:t>
      </w:r>
      <w:r>
        <w:rPr/>
        <w:t>a</w:t>
      </w:r>
      <w:r>
        <w:rPr>
          <w:spacing w:val="-7"/>
        </w:rPr>
        <w:t> </w:t>
      </w:r>
      <w:r>
        <w:rPr/>
        <w:t>loss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load</w:t>
      </w:r>
      <w:r>
        <w:rPr>
          <w:spacing w:val="-7"/>
        </w:rPr>
        <w:t> </w:t>
      </w:r>
      <w:r>
        <w:rPr/>
        <w:t>carrying</w:t>
      </w:r>
      <w:r>
        <w:rPr>
          <w:spacing w:val="-7"/>
        </w:rPr>
        <w:t> </w:t>
      </w:r>
      <w:r>
        <w:rPr/>
        <w:t>capacity.</w:t>
      </w:r>
      <w:r>
        <w:rPr>
          <w:spacing w:val="47"/>
        </w:rPr>
        <w:t> </w:t>
      </w:r>
      <w:r>
        <w:rPr/>
        <w:t>The</w:t>
      </w:r>
      <w:r>
        <w:rPr>
          <w:spacing w:val="-7"/>
        </w:rPr>
        <w:t> </w:t>
      </w:r>
      <w:r>
        <w:rPr/>
        <w:t>researchers</w:t>
      </w:r>
      <w:r>
        <w:rPr>
          <w:spacing w:val="-6"/>
        </w:rPr>
        <w:t> </w:t>
      </w:r>
      <w:r>
        <w:rPr/>
        <w:t>noted</w:t>
      </w:r>
      <w:r>
        <w:rPr>
          <w:spacing w:val="-7"/>
        </w:rPr>
        <w:t> </w:t>
      </w:r>
      <w:r>
        <w:rPr/>
        <w:t>that</w:t>
      </w:r>
      <w:r>
        <w:rPr>
          <w:spacing w:val="-8"/>
        </w:rPr>
        <w:t> </w:t>
      </w:r>
      <w:r>
        <w:rPr/>
        <w:t>in</w:t>
      </w:r>
      <w:r>
        <w:rPr>
          <w:spacing w:val="-6"/>
        </w:rPr>
        <w:t> </w:t>
      </w:r>
      <w:r>
        <w:rPr/>
        <w:t>order</w:t>
      </w:r>
      <w:r>
        <w:rPr>
          <w:spacing w:val="-58"/>
        </w:rPr>
        <w:t> </w:t>
      </w:r>
      <w:r>
        <w:rPr/>
        <w:t>to cause failure in the PSL beam, the loading force had to exceed the flexural, shearing,</w:t>
      </w:r>
      <w:r>
        <w:rPr>
          <w:spacing w:val="1"/>
        </w:rPr>
        <w:t> </w:t>
      </w:r>
      <w:r>
        <w:rPr/>
        <w:t>and bond strengths of the wood product as well as the crushing strength of the wood. This</w:t>
      </w:r>
      <w:r>
        <w:rPr>
          <w:spacing w:val="-57"/>
        </w:rPr>
        <w:t> </w:t>
      </w:r>
      <w:r>
        <w:rPr/>
        <w:t>was</w:t>
      </w:r>
      <w:r>
        <w:rPr>
          <w:spacing w:val="-1"/>
        </w:rPr>
        <w:t> </w:t>
      </w:r>
      <w:r>
        <w:rPr/>
        <w:t>observed by localized damage at the location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impact.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/>
        <w:ind w:left="440" w:right="416" w:firstLine="720"/>
        <w:jc w:val="both"/>
      </w:pPr>
      <w:r>
        <w:rPr/>
        <w:t>Vural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Ravichandran</w:t>
      </w:r>
      <w:r>
        <w:rPr>
          <w:spacing w:val="-15"/>
        </w:rPr>
        <w:t> </w:t>
      </w:r>
      <w:r>
        <w:rPr/>
        <w:t>examined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dynamic</w:t>
      </w:r>
      <w:r>
        <w:rPr>
          <w:spacing w:val="-13"/>
        </w:rPr>
        <w:t> </w:t>
      </w:r>
      <w:r>
        <w:rPr/>
        <w:t>response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balsa</w:t>
      </w:r>
      <w:r>
        <w:rPr>
          <w:spacing w:val="-13"/>
        </w:rPr>
        <w:t> </w:t>
      </w:r>
      <w:r>
        <w:rPr/>
        <w:t>wood</w:t>
      </w:r>
      <w:r>
        <w:rPr>
          <w:spacing w:val="-13"/>
        </w:rPr>
        <w:t> </w:t>
      </w:r>
      <w:r>
        <w:rPr/>
        <w:t>at</w:t>
      </w:r>
      <w:r>
        <w:rPr>
          <w:spacing w:val="-14"/>
        </w:rPr>
        <w:t> </w:t>
      </w:r>
      <w:r>
        <w:rPr/>
        <w:t>the</w:t>
      </w:r>
      <w:r>
        <w:rPr>
          <w:spacing w:val="-13"/>
        </w:rPr>
        <w:t> </w:t>
      </w:r>
      <w:r>
        <w:rPr/>
        <w:t>strain</w:t>
      </w:r>
      <w:r>
        <w:rPr>
          <w:spacing w:val="-58"/>
        </w:rPr>
        <w:t> </w:t>
      </w:r>
      <w:r>
        <w:rPr/>
        <w:t>rate of 3 x10</w:t>
      </w:r>
      <w:r>
        <w:rPr>
          <w:vertAlign w:val="superscript"/>
        </w:rPr>
        <w:t>3</w:t>
      </w:r>
      <w:r>
        <w:rPr>
          <w:vertAlign w:val="baseline"/>
        </w:rPr>
        <w:t> s</w:t>
      </w:r>
      <w:r>
        <w:rPr>
          <w:vertAlign w:val="superscript"/>
        </w:rPr>
        <w:t>-1</w:t>
      </w:r>
      <w:r>
        <w:rPr>
          <w:vertAlign w:val="baseline"/>
        </w:rPr>
        <w:t>.</w:t>
      </w:r>
      <w:r>
        <w:rPr>
          <w:spacing w:val="1"/>
          <w:vertAlign w:val="baseline"/>
        </w:rPr>
        <w:t> </w:t>
      </w:r>
      <w:r>
        <w:rPr>
          <w:vertAlign w:val="baseline"/>
        </w:rPr>
        <w:t>They also completed detailed examinations of the microstructure of the</w:t>
      </w:r>
      <w:r>
        <w:rPr>
          <w:spacing w:val="-57"/>
          <w:vertAlign w:val="baseline"/>
        </w:rPr>
        <w:t> </w:t>
      </w:r>
      <w:r>
        <w:rPr>
          <w:vertAlign w:val="baseline"/>
        </w:rPr>
        <w:t>wood.</w:t>
      </w:r>
      <w:r>
        <w:rPr>
          <w:spacing w:val="1"/>
          <w:vertAlign w:val="baseline"/>
        </w:rPr>
        <w:t> </w:t>
      </w:r>
      <w:r>
        <w:rPr>
          <w:vertAlign w:val="baseline"/>
        </w:rPr>
        <w:t>At the microstructure scale, both static and dynamic compressive loads caused</w:t>
      </w:r>
      <w:r>
        <w:rPr>
          <w:spacing w:val="1"/>
          <w:vertAlign w:val="baseline"/>
        </w:rPr>
        <w:t> </w:t>
      </w:r>
      <w:r>
        <w:rPr>
          <w:vertAlign w:val="baseline"/>
        </w:rPr>
        <w:t>buckling or kink band formation with higher strengths observed under higher strain rates</w:t>
      </w:r>
      <w:r>
        <w:rPr>
          <w:spacing w:val="1"/>
          <w:vertAlign w:val="baseline"/>
        </w:rPr>
        <w:t> </w:t>
      </w:r>
      <w:r>
        <w:rPr>
          <w:vertAlign w:val="baseline"/>
        </w:rPr>
        <w:t>[113].</w:t>
      </w:r>
      <w:r>
        <w:rPr>
          <w:spacing w:val="1"/>
          <w:vertAlign w:val="baseline"/>
        </w:rPr>
        <w:t> </w:t>
      </w:r>
      <w:hyperlink w:history="true" w:anchor="_bookmark105">
        <w:r>
          <w:rPr>
            <w:vertAlign w:val="baseline"/>
          </w:rPr>
          <w:t>Figure 6-3 </w:t>
        </w:r>
      </w:hyperlink>
      <w:r>
        <w:rPr>
          <w:vertAlign w:val="baseline"/>
        </w:rPr>
        <w:t>depicts buckling and kink band formation in a wood specimen.</w:t>
      </w:r>
      <w:r>
        <w:rPr>
          <w:spacing w:val="1"/>
          <w:vertAlign w:val="baseline"/>
        </w:rPr>
        <w:t> </w:t>
      </w:r>
      <w:r>
        <w:rPr>
          <w:vertAlign w:val="baseline"/>
        </w:rPr>
        <w:t>In kink</w:t>
      </w:r>
      <w:r>
        <w:rPr>
          <w:spacing w:val="-57"/>
          <w:vertAlign w:val="baseline"/>
        </w:rPr>
        <w:t> </w:t>
      </w:r>
      <w:r>
        <w:rPr>
          <w:vertAlign w:val="baseline"/>
        </w:rPr>
        <w:t>bands,</w:t>
      </w:r>
      <w:r>
        <w:rPr>
          <w:spacing w:val="-6"/>
          <w:vertAlign w:val="baseline"/>
        </w:rPr>
        <w:t> </w:t>
      </w:r>
      <w:r>
        <w:rPr>
          <w:vertAlign w:val="baseline"/>
        </w:rPr>
        <w:t>the</w:t>
      </w:r>
      <w:r>
        <w:rPr>
          <w:spacing w:val="-6"/>
          <w:vertAlign w:val="baseline"/>
        </w:rPr>
        <w:t> </w:t>
      </w:r>
      <w:r>
        <w:rPr>
          <w:vertAlign w:val="baseline"/>
        </w:rPr>
        <w:t>strands</w:t>
      </w:r>
      <w:r>
        <w:rPr>
          <w:spacing w:val="-5"/>
          <w:vertAlign w:val="baseline"/>
        </w:rPr>
        <w:t> </w:t>
      </w:r>
      <w:r>
        <w:rPr>
          <w:vertAlign w:val="baseline"/>
        </w:rPr>
        <w:t>in</w:t>
      </w:r>
      <w:r>
        <w:rPr>
          <w:spacing w:val="-6"/>
          <w:vertAlign w:val="baseline"/>
        </w:rPr>
        <w:t> </w:t>
      </w:r>
      <w:r>
        <w:rPr>
          <w:vertAlign w:val="baseline"/>
        </w:rPr>
        <w:t>the</w:t>
      </w:r>
      <w:r>
        <w:rPr>
          <w:spacing w:val="-6"/>
          <w:vertAlign w:val="baseline"/>
        </w:rPr>
        <w:t> </w:t>
      </w:r>
      <w:r>
        <w:rPr>
          <w:vertAlign w:val="baseline"/>
        </w:rPr>
        <w:t>wood</w:t>
      </w:r>
      <w:r>
        <w:rPr>
          <w:spacing w:val="-6"/>
          <w:vertAlign w:val="baseline"/>
        </w:rPr>
        <w:t> </w:t>
      </w:r>
      <w:r>
        <w:rPr>
          <w:vertAlign w:val="baseline"/>
        </w:rPr>
        <w:t>grain</w:t>
      </w:r>
      <w:r>
        <w:rPr>
          <w:spacing w:val="-5"/>
          <w:vertAlign w:val="baseline"/>
        </w:rPr>
        <w:t> </w:t>
      </w:r>
      <w:r>
        <w:rPr>
          <w:vertAlign w:val="baseline"/>
        </w:rPr>
        <w:t>are</w:t>
      </w:r>
      <w:r>
        <w:rPr>
          <w:spacing w:val="-6"/>
          <w:vertAlign w:val="baseline"/>
        </w:rPr>
        <w:t> </w:t>
      </w:r>
      <w:r>
        <w:rPr>
          <w:vertAlign w:val="baseline"/>
        </w:rPr>
        <w:t>rotated</w:t>
      </w:r>
      <w:r>
        <w:rPr>
          <w:spacing w:val="-5"/>
          <w:vertAlign w:val="baseline"/>
        </w:rPr>
        <w:t> </w:t>
      </w:r>
      <w:r>
        <w:rPr>
          <w:vertAlign w:val="baseline"/>
        </w:rPr>
        <w:t>and</w:t>
      </w:r>
      <w:r>
        <w:rPr>
          <w:spacing w:val="-6"/>
          <w:vertAlign w:val="baseline"/>
        </w:rPr>
        <w:t> </w:t>
      </w:r>
      <w:r>
        <w:rPr>
          <w:vertAlign w:val="baseline"/>
        </w:rPr>
        <w:t>crushed</w:t>
      </w:r>
      <w:r>
        <w:rPr>
          <w:spacing w:val="-5"/>
          <w:vertAlign w:val="baseline"/>
        </w:rPr>
        <w:t> </w:t>
      </w:r>
      <w:r>
        <w:rPr>
          <w:vertAlign w:val="baseline"/>
        </w:rPr>
        <w:t>as</w:t>
      </w:r>
      <w:r>
        <w:rPr>
          <w:spacing w:val="-6"/>
          <w:vertAlign w:val="baseline"/>
        </w:rPr>
        <w:t> </w:t>
      </w:r>
      <w:r>
        <w:rPr>
          <w:vertAlign w:val="baseline"/>
        </w:rPr>
        <w:t>the</w:t>
      </w:r>
      <w:r>
        <w:rPr>
          <w:spacing w:val="-5"/>
          <w:vertAlign w:val="baseline"/>
        </w:rPr>
        <w:t> </w:t>
      </w:r>
      <w:r>
        <w:rPr>
          <w:vertAlign w:val="baseline"/>
        </w:rPr>
        <w:t>material</w:t>
      </w:r>
      <w:r>
        <w:rPr>
          <w:spacing w:val="-6"/>
          <w:vertAlign w:val="baseline"/>
        </w:rPr>
        <w:t> </w:t>
      </w:r>
      <w:r>
        <w:rPr>
          <w:vertAlign w:val="baseline"/>
        </w:rPr>
        <w:t>responds</w:t>
      </w:r>
      <w:r>
        <w:rPr>
          <w:spacing w:val="-5"/>
          <w:vertAlign w:val="baseline"/>
        </w:rPr>
        <w:t> </w:t>
      </w:r>
      <w:r>
        <w:rPr>
          <w:vertAlign w:val="baseline"/>
        </w:rPr>
        <w:t>at</w:t>
      </w:r>
      <w:r>
        <w:rPr>
          <w:spacing w:val="-7"/>
          <w:vertAlign w:val="baseline"/>
        </w:rPr>
        <w:t> </w:t>
      </w:r>
      <w:r>
        <w:rPr>
          <w:vertAlign w:val="baseline"/>
        </w:rPr>
        <w:t>the</w:t>
      </w:r>
      <w:r>
        <w:rPr>
          <w:spacing w:val="-57"/>
          <w:vertAlign w:val="baseline"/>
        </w:rPr>
        <w:t> </w:t>
      </w:r>
      <w:r>
        <w:rPr>
          <w:vertAlign w:val="baseline"/>
        </w:rPr>
        <w:t>cellular level.</w:t>
      </w:r>
      <w:r>
        <w:rPr>
          <w:spacing w:val="1"/>
          <w:vertAlign w:val="baseline"/>
        </w:rPr>
        <w:t> </w:t>
      </w:r>
      <w:r>
        <w:rPr>
          <w:vertAlign w:val="baseline"/>
        </w:rPr>
        <w:t>Reid and Peng had previously investigated dynamic uniaxial crushing of</w:t>
      </w:r>
      <w:r>
        <w:rPr>
          <w:spacing w:val="1"/>
          <w:vertAlign w:val="baseline"/>
        </w:rPr>
        <w:t> </w:t>
      </w:r>
      <w:r>
        <w:rPr>
          <w:vertAlign w:val="baseline"/>
        </w:rPr>
        <w:t>wood noting the inelastic deformation as a localized phenomenon [92] often occurring in</w:t>
      </w:r>
      <w:r>
        <w:rPr>
          <w:spacing w:val="1"/>
          <w:vertAlign w:val="baseline"/>
        </w:rPr>
        <w:t> </w:t>
      </w:r>
      <w:r>
        <w:rPr>
          <w:vertAlign w:val="baseline"/>
        </w:rPr>
        <w:t>bands.</w:t>
      </w:r>
    </w:p>
    <w:p>
      <w:pPr>
        <w:pStyle w:val="Heading9"/>
        <w:numPr>
          <w:ilvl w:val="1"/>
          <w:numId w:val="23"/>
        </w:numPr>
        <w:tabs>
          <w:tab w:pos="800" w:val="left" w:leader="none"/>
        </w:tabs>
        <w:spacing w:line="240" w:lineRule="auto" w:before="162" w:after="0"/>
        <w:ind w:left="800" w:right="0" w:hanging="360"/>
        <w:jc w:val="both"/>
      </w:pPr>
      <w:bookmarkStart w:name="6.4 Observable characteristics in wood a" w:id="358"/>
      <w:bookmarkEnd w:id="358"/>
      <w:r>
        <w:rPr>
          <w:b w:val="0"/>
        </w:rPr>
      </w:r>
      <w:bookmarkStart w:name="6.4 Observable characteristics in wood a" w:id="359"/>
      <w:bookmarkEnd w:id="359"/>
      <w:r>
        <w:rPr/>
        <w:t>O</w:t>
      </w:r>
      <w:r>
        <w:rPr/>
        <w:t>bservable</w:t>
      </w:r>
      <w:r>
        <w:rPr>
          <w:spacing w:val="-3"/>
        </w:rPr>
        <w:t> </w:t>
      </w:r>
      <w:r>
        <w:rPr/>
        <w:t>characteristics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wood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/>
        <w:t>CLT</w:t>
      </w:r>
    </w:p>
    <w:p>
      <w:pPr>
        <w:pStyle w:val="BodyText"/>
        <w:spacing w:before="6"/>
        <w:rPr>
          <w:b/>
          <w:sz w:val="22"/>
        </w:rPr>
      </w:pPr>
    </w:p>
    <w:p>
      <w:pPr>
        <w:pStyle w:val="BodyText"/>
        <w:spacing w:line="480" w:lineRule="auto" w:before="1"/>
        <w:ind w:left="440" w:right="416" w:firstLine="720"/>
        <w:jc w:val="both"/>
      </w:pPr>
      <w:r>
        <w:rPr/>
        <w:t>Wood typically has three orthogonal axes: longitudinal (</w:t>
      </w:r>
      <w:r>
        <w:rPr>
          <w:i/>
        </w:rPr>
        <w:t>L</w:t>
      </w:r>
      <w:r>
        <w:rPr/>
        <w:t>) in line with the grain</w:t>
      </w:r>
      <w:r>
        <w:rPr>
          <w:spacing w:val="1"/>
        </w:rPr>
        <w:t> </w:t>
      </w:r>
      <w:r>
        <w:rPr/>
        <w:t>and</w:t>
      </w:r>
      <w:r>
        <w:rPr>
          <w:spacing w:val="-6"/>
        </w:rPr>
        <w:t> </w:t>
      </w:r>
      <w:r>
        <w:rPr/>
        <w:t>running</w:t>
      </w:r>
      <w:r>
        <w:rPr>
          <w:spacing w:val="-9"/>
        </w:rPr>
        <w:t> </w:t>
      </w:r>
      <w:r>
        <w:rPr/>
        <w:t>in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direction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/>
        <w:t>tree</w:t>
      </w:r>
      <w:r>
        <w:rPr>
          <w:spacing w:val="-7"/>
        </w:rPr>
        <w:t> </w:t>
      </w:r>
      <w:r>
        <w:rPr/>
        <w:t>growth,</w:t>
      </w:r>
      <w:r>
        <w:rPr>
          <w:spacing w:val="-6"/>
        </w:rPr>
        <w:t> </w:t>
      </w:r>
      <w:r>
        <w:rPr/>
        <w:t>radial</w:t>
      </w:r>
      <w:r>
        <w:rPr>
          <w:spacing w:val="-7"/>
        </w:rPr>
        <w:t> </w:t>
      </w:r>
      <w:r>
        <w:rPr/>
        <w:t>(</w:t>
      </w:r>
      <w:r>
        <w:rPr>
          <w:i/>
        </w:rPr>
        <w:t>R</w:t>
      </w:r>
      <w:r>
        <w:rPr/>
        <w:t>)</w:t>
      </w:r>
      <w:r>
        <w:rPr>
          <w:spacing w:val="-6"/>
        </w:rPr>
        <w:t> </w:t>
      </w:r>
      <w:r>
        <w:rPr/>
        <w:t>across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grain</w:t>
      </w:r>
      <w:r>
        <w:rPr>
          <w:spacing w:val="-6"/>
        </w:rPr>
        <w:t> </w:t>
      </w:r>
      <w:r>
        <w:rPr/>
        <w:t>and</w:t>
      </w:r>
      <w:r>
        <w:rPr>
          <w:spacing w:val="-7"/>
        </w:rPr>
        <w:t> </w:t>
      </w:r>
      <w:r>
        <w:rPr/>
        <w:t>transverse</w:t>
      </w:r>
      <w:r>
        <w:rPr>
          <w:spacing w:val="-7"/>
        </w:rPr>
        <w:t> </w:t>
      </w:r>
      <w:r>
        <w:rPr/>
        <w:t>to</w:t>
      </w:r>
      <w:r>
        <w:rPr>
          <w:spacing w:val="-6"/>
        </w:rPr>
        <w:t> </w:t>
      </w:r>
      <w:r>
        <w:rPr/>
        <w:t>the</w:t>
      </w:r>
      <w:r>
        <w:rPr>
          <w:spacing w:val="-58"/>
        </w:rPr>
        <w:t> </w:t>
      </w:r>
      <w:r>
        <w:rPr/>
        <w:t>growth rings, and tangential (</w:t>
      </w:r>
      <w:r>
        <w:rPr>
          <w:i/>
        </w:rPr>
        <w:t>T</w:t>
      </w:r>
      <w:r>
        <w:rPr/>
        <w:t>) across the grain and lateral to growth rings (see Chapter</w:t>
      </w:r>
      <w:r>
        <w:rPr>
          <w:spacing w:val="1"/>
        </w:rPr>
        <w:t> </w:t>
      </w:r>
      <w:r>
        <w:rPr/>
        <w:t>4).</w:t>
      </w:r>
      <w:r>
        <w:rPr>
          <w:spacing w:val="1"/>
        </w:rPr>
        <w:t> </w:t>
      </w:r>
      <w:r>
        <w:rPr/>
        <w:t>The orientation of the plies in the CLT test specimen are such that the projectile in the</w:t>
      </w:r>
      <w:r>
        <w:rPr>
          <w:spacing w:val="-58"/>
        </w:rPr>
        <w:t> </w:t>
      </w:r>
      <w:r>
        <w:rPr/>
        <w:t>ballistic</w:t>
      </w:r>
      <w:r>
        <w:rPr>
          <w:spacing w:val="-9"/>
        </w:rPr>
        <w:t> </w:t>
      </w:r>
      <w:r>
        <w:rPr/>
        <w:t>testing,</w:t>
      </w:r>
      <w:r>
        <w:rPr>
          <w:spacing w:val="-9"/>
        </w:rPr>
        <w:t> </w:t>
      </w:r>
      <w:r>
        <w:rPr/>
        <w:t>entering</w:t>
      </w:r>
      <w:r>
        <w:rPr>
          <w:spacing w:val="-10"/>
        </w:rPr>
        <w:t> </w:t>
      </w:r>
      <w:r>
        <w:rPr/>
        <w:t>perpendicular</w:t>
      </w:r>
      <w:r>
        <w:rPr>
          <w:spacing w:val="-9"/>
        </w:rPr>
        <w:t> </w:t>
      </w:r>
      <w:r>
        <w:rPr/>
        <w:t>to</w:t>
      </w:r>
      <w:r>
        <w:rPr>
          <w:spacing w:val="-10"/>
        </w:rPr>
        <w:t> </w:t>
      </w:r>
      <w:r>
        <w:rPr/>
        <w:t>the</w:t>
      </w:r>
      <w:r>
        <w:rPr>
          <w:spacing w:val="-8"/>
        </w:rPr>
        <w:t> </w:t>
      </w:r>
      <w:r>
        <w:rPr/>
        <w:t>surface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a</w:t>
      </w:r>
      <w:r>
        <w:rPr>
          <w:spacing w:val="-8"/>
        </w:rPr>
        <w:t> </w:t>
      </w:r>
      <w:r>
        <w:rPr/>
        <w:t>wall</w:t>
      </w:r>
      <w:r>
        <w:rPr>
          <w:spacing w:val="-10"/>
        </w:rPr>
        <w:t> </w:t>
      </w:r>
      <w:r>
        <w:rPr/>
        <w:t>or</w:t>
      </w:r>
      <w:r>
        <w:rPr>
          <w:spacing w:val="-8"/>
        </w:rPr>
        <w:t> </w:t>
      </w:r>
      <w:r>
        <w:rPr/>
        <w:t>floor</w:t>
      </w:r>
      <w:r>
        <w:rPr>
          <w:spacing w:val="-8"/>
        </w:rPr>
        <w:t> </w:t>
      </w:r>
      <w:r>
        <w:rPr/>
        <w:t>panel,</w:t>
      </w:r>
      <w:r>
        <w:rPr>
          <w:spacing w:val="-10"/>
        </w:rPr>
        <w:t> </w:t>
      </w:r>
      <w:r>
        <w:rPr/>
        <w:t>always</w:t>
      </w:r>
      <w:r>
        <w:rPr>
          <w:spacing w:val="-8"/>
        </w:rPr>
        <w:t> </w:t>
      </w:r>
      <w:r>
        <w:rPr/>
        <w:t>move</w:t>
      </w:r>
      <w:r>
        <w:rPr>
          <w:spacing w:val="-58"/>
        </w:rPr>
        <w:t> </w:t>
      </w:r>
      <w:r>
        <w:rPr/>
        <w:t>through the target perpendicular to the longitudinal grain direction.</w:t>
      </w:r>
      <w:r>
        <w:rPr>
          <w:spacing w:val="1"/>
        </w:rPr>
        <w:t> </w:t>
      </w:r>
      <w:r>
        <w:rPr/>
        <w:t>This means the</w:t>
      </w:r>
      <w:r>
        <w:rPr>
          <w:spacing w:val="1"/>
        </w:rPr>
        <w:t> </w:t>
      </w:r>
      <w:r>
        <w:rPr/>
        <w:t>projectile</w:t>
      </w:r>
      <w:r>
        <w:rPr>
          <w:spacing w:val="-3"/>
        </w:rPr>
        <w:t> </w:t>
      </w:r>
      <w:r>
        <w:rPr/>
        <w:t>is</w:t>
      </w:r>
      <w:r>
        <w:rPr>
          <w:spacing w:val="-5"/>
        </w:rPr>
        <w:t> </w:t>
      </w:r>
      <w:r>
        <w:rPr/>
        <w:t>moving</w:t>
      </w:r>
      <w:r>
        <w:rPr>
          <w:spacing w:val="-3"/>
        </w:rPr>
        <w:t> </w:t>
      </w:r>
      <w:r>
        <w:rPr/>
        <w:t>in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transverse</w:t>
      </w:r>
      <w:r>
        <w:rPr>
          <w:spacing w:val="-3"/>
        </w:rPr>
        <w:t> </w:t>
      </w:r>
      <w:r>
        <w:rPr/>
        <w:t>direction,</w:t>
      </w:r>
      <w:r>
        <w:rPr>
          <w:spacing w:val="-3"/>
        </w:rPr>
        <w:t> </w:t>
      </w:r>
      <w:r>
        <w:rPr/>
        <w:t>either</w:t>
      </w:r>
      <w:r>
        <w:rPr>
          <w:spacing w:val="-3"/>
        </w:rPr>
        <w:t> </w:t>
      </w:r>
      <w:r>
        <w:rPr/>
        <w:t>radially,</w:t>
      </w:r>
      <w:r>
        <w:rPr>
          <w:spacing w:val="-4"/>
        </w:rPr>
        <w:t> </w:t>
      </w:r>
      <w:r>
        <w:rPr/>
        <w:t>tangentially</w:t>
      </w:r>
      <w:r>
        <w:rPr>
          <w:spacing w:val="-5"/>
        </w:rPr>
        <w:t> </w:t>
      </w:r>
      <w:r>
        <w:rPr/>
        <w:t>or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some</w:t>
      </w:r>
      <w:r>
        <w:rPr>
          <w:spacing w:val="-3"/>
        </w:rPr>
        <w:t> </w:t>
      </w:r>
      <w:r>
        <w:rPr/>
        <w:t>mode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40" w:right="418"/>
        <w:jc w:val="both"/>
      </w:pPr>
      <w:r>
        <w:rPr/>
        <w:t>that includes both radial and transverse movement across the wood growth rings.</w:t>
      </w:r>
      <w:r>
        <w:rPr>
          <w:spacing w:val="1"/>
        </w:rPr>
        <w:t> </w:t>
      </w:r>
      <w:hyperlink w:history="true" w:anchor="_bookmark103">
        <w:r>
          <w:rPr/>
          <w:t>Figure</w:t>
        </w:r>
      </w:hyperlink>
      <w:r>
        <w:rPr>
          <w:spacing w:val="1"/>
        </w:rPr>
        <w:t> </w:t>
      </w:r>
      <w:hyperlink w:history="true" w:anchor="_bookmark103">
        <w:r>
          <w:rPr/>
          <w:t>6-1</w:t>
        </w:r>
      </w:hyperlink>
      <w:r>
        <w:rPr>
          <w:spacing w:val="-1"/>
        </w:rPr>
        <w:t> </w:t>
      </w:r>
      <w:r>
        <w:rPr/>
        <w:t>shows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CLT</w:t>
      </w:r>
      <w:r>
        <w:rPr>
          <w:spacing w:val="-2"/>
        </w:rPr>
        <w:t> </w:t>
      </w:r>
      <w:r>
        <w:rPr/>
        <w:t>panel</w:t>
      </w:r>
      <w:r>
        <w:rPr>
          <w:spacing w:val="-1"/>
        </w:rPr>
        <w:t> </w:t>
      </w:r>
      <w:r>
        <w:rPr/>
        <w:t>with timbers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various</w:t>
      </w:r>
      <w:r>
        <w:rPr>
          <w:spacing w:val="-1"/>
        </w:rPr>
        <w:t> </w:t>
      </w:r>
      <w:r>
        <w:rPr/>
        <w:t>potential</w:t>
      </w:r>
      <w:r>
        <w:rPr>
          <w:spacing w:val="-2"/>
        </w:rPr>
        <w:t> </w:t>
      </w:r>
      <w:r>
        <w:rPr/>
        <w:t>transverse grain</w:t>
      </w:r>
      <w:r>
        <w:rPr>
          <w:spacing w:val="-3"/>
        </w:rPr>
        <w:t> </w:t>
      </w:r>
      <w:r>
        <w:rPr/>
        <w:t>orientation.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/>
        <w:ind w:left="439" w:right="417" w:firstLine="720"/>
        <w:jc w:val="both"/>
      </w:pPr>
      <w:r>
        <w:rPr/>
        <w:t>In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radial</w:t>
      </w:r>
      <w:r>
        <w:rPr>
          <w:spacing w:val="-12"/>
        </w:rPr>
        <w:t> </w:t>
      </w:r>
      <w:r>
        <w:rPr/>
        <w:t>direction,</w:t>
      </w:r>
      <w:r>
        <w:rPr>
          <w:spacing w:val="-11"/>
        </w:rPr>
        <w:t> </w:t>
      </w:r>
      <w:r>
        <w:rPr/>
        <w:t>Wouts</w:t>
      </w:r>
      <w:r>
        <w:rPr>
          <w:spacing w:val="-11"/>
        </w:rPr>
        <w:t> </w:t>
      </w:r>
      <w:r>
        <w:rPr/>
        <w:t>et</w:t>
      </w:r>
      <w:r>
        <w:rPr>
          <w:spacing w:val="-11"/>
        </w:rPr>
        <w:t> </w:t>
      </w:r>
      <w:r>
        <w:rPr/>
        <w:t>al.</w:t>
      </w:r>
      <w:r>
        <w:rPr>
          <w:spacing w:val="38"/>
        </w:rPr>
        <w:t> </w:t>
      </w:r>
      <w:r>
        <w:rPr/>
        <w:t>have</w:t>
      </w:r>
      <w:r>
        <w:rPr>
          <w:spacing w:val="-11"/>
        </w:rPr>
        <w:t> </w:t>
      </w:r>
      <w:r>
        <w:rPr/>
        <w:t>observed</w:t>
      </w:r>
      <w:r>
        <w:rPr>
          <w:spacing w:val="-11"/>
        </w:rPr>
        <w:t> </w:t>
      </w:r>
      <w:r>
        <w:rPr/>
        <w:t>compressive</w:t>
      </w:r>
      <w:r>
        <w:rPr>
          <w:spacing w:val="-11"/>
        </w:rPr>
        <w:t> </w:t>
      </w:r>
      <w:r>
        <w:rPr/>
        <w:t>forces</w:t>
      </w:r>
      <w:r>
        <w:rPr>
          <w:spacing w:val="-11"/>
        </w:rPr>
        <w:t> </w:t>
      </w:r>
      <w:r>
        <w:rPr/>
        <w:t>that</w:t>
      </w:r>
      <w:r>
        <w:rPr>
          <w:spacing w:val="-11"/>
        </w:rPr>
        <w:t> </w:t>
      </w:r>
      <w:r>
        <w:rPr/>
        <w:t>compact</w:t>
      </w:r>
      <w:r>
        <w:rPr>
          <w:spacing w:val="-58"/>
        </w:rPr>
        <w:t> </w:t>
      </w:r>
      <w:r>
        <w:rPr/>
        <w:t>the wood layer by layer, independent of strain rate [123].</w:t>
      </w:r>
      <w:r>
        <w:rPr>
          <w:spacing w:val="1"/>
        </w:rPr>
        <w:t> </w:t>
      </w:r>
      <w:r>
        <w:rPr/>
        <w:t>In the tangential direction, the</w:t>
      </w:r>
      <w:r>
        <w:rPr>
          <w:spacing w:val="1"/>
        </w:rPr>
        <w:t> </w:t>
      </w:r>
      <w:r>
        <w:rPr/>
        <w:t>earlywood is uniformly compacted with the increase in strain until a point where local</w:t>
      </w:r>
      <w:r>
        <w:rPr>
          <w:spacing w:val="1"/>
        </w:rPr>
        <w:t> </w:t>
      </w:r>
      <w:r>
        <w:rPr>
          <w:spacing w:val="-1"/>
        </w:rPr>
        <w:t>damage</w:t>
      </w:r>
      <w:r>
        <w:rPr>
          <w:spacing w:val="-13"/>
        </w:rPr>
        <w:t> </w:t>
      </w:r>
      <w:r>
        <w:rPr>
          <w:spacing w:val="-1"/>
        </w:rPr>
        <w:t>is</w:t>
      </w:r>
      <w:r>
        <w:rPr>
          <w:spacing w:val="-13"/>
        </w:rPr>
        <w:t> </w:t>
      </w:r>
      <w:r>
        <w:rPr>
          <w:spacing w:val="-1"/>
        </w:rPr>
        <w:t>observed</w:t>
      </w:r>
      <w:r>
        <w:rPr>
          <w:spacing w:val="-15"/>
        </w:rPr>
        <w:t> </w:t>
      </w:r>
      <w:r>
        <w:rPr>
          <w:spacing w:val="-1"/>
        </w:rPr>
        <w:t>along</w:t>
      </w:r>
      <w:r>
        <w:rPr>
          <w:spacing w:val="-14"/>
        </w:rPr>
        <w:t> </w:t>
      </w:r>
      <w:r>
        <w:rPr>
          <w:spacing w:val="-1"/>
        </w:rPr>
        <w:t>with</w:t>
      </w:r>
      <w:r>
        <w:rPr>
          <w:spacing w:val="-15"/>
        </w:rPr>
        <w:t> </w:t>
      </w:r>
      <w:r>
        <w:rPr/>
        <w:t>the</w:t>
      </w:r>
      <w:r>
        <w:rPr>
          <w:spacing w:val="-12"/>
        </w:rPr>
        <w:t> </w:t>
      </w:r>
      <w:r>
        <w:rPr/>
        <w:t>formation</w:t>
      </w:r>
      <w:r>
        <w:rPr>
          <w:spacing w:val="-14"/>
        </w:rPr>
        <w:t> </w:t>
      </w:r>
      <w:r>
        <w:rPr/>
        <w:t>of</w:t>
      </w:r>
      <w:r>
        <w:rPr>
          <w:spacing w:val="-14"/>
        </w:rPr>
        <w:t> </w:t>
      </w:r>
      <w:r>
        <w:rPr/>
        <w:t>wood</w:t>
      </w:r>
      <w:r>
        <w:rPr>
          <w:spacing w:val="-14"/>
        </w:rPr>
        <w:t> </w:t>
      </w:r>
      <w:r>
        <w:rPr/>
        <w:t>fragments.</w:t>
      </w:r>
      <w:r>
        <w:rPr>
          <w:spacing w:val="34"/>
        </w:rPr>
        <w:t> </w:t>
      </w:r>
      <w:r>
        <w:rPr/>
        <w:t>This</w:t>
      </w:r>
      <w:r>
        <w:rPr>
          <w:spacing w:val="-15"/>
        </w:rPr>
        <w:t> </w:t>
      </w:r>
      <w:r>
        <w:rPr/>
        <w:t>is</w:t>
      </w:r>
      <w:r>
        <w:rPr>
          <w:spacing w:val="-13"/>
        </w:rPr>
        <w:t> </w:t>
      </w:r>
      <w:r>
        <w:rPr/>
        <w:t>commonly</w:t>
      </w:r>
      <w:r>
        <w:rPr>
          <w:spacing w:val="-14"/>
        </w:rPr>
        <w:t> </w:t>
      </w:r>
      <w:r>
        <w:rPr/>
        <w:t>caused</w:t>
      </w:r>
      <w:r>
        <w:rPr>
          <w:spacing w:val="-58"/>
        </w:rPr>
        <w:t> </w:t>
      </w:r>
      <w:r>
        <w:rPr/>
        <w:t>by annual ring decohesion [123].</w:t>
      </w:r>
      <w:r>
        <w:rPr>
          <w:spacing w:val="1"/>
        </w:rPr>
        <w:t> </w:t>
      </w:r>
      <w:r>
        <w:rPr/>
        <w:t>It is important to note that the projectile path is not</w:t>
      </w:r>
      <w:r>
        <w:rPr>
          <w:spacing w:val="1"/>
        </w:rPr>
        <w:t> </w:t>
      </w:r>
      <w:r>
        <w:rPr/>
        <w:t>limited to a purely radial or tangential trajectory through the wood.</w:t>
      </w:r>
      <w:r>
        <w:rPr>
          <w:spacing w:val="1"/>
        </w:rPr>
        <w:t> </w:t>
      </w:r>
      <w:r>
        <w:rPr/>
        <w:t>In most cases, the cut</w:t>
      </w:r>
      <w:r>
        <w:rPr>
          <w:spacing w:val="-57"/>
        </w:rPr>
        <w:t> </w:t>
      </w:r>
      <w:r>
        <w:rPr/>
        <w:t>of the timber will cause the path to be an offset angle from either of these “pure”</w:t>
      </w:r>
      <w:r>
        <w:rPr>
          <w:spacing w:val="1"/>
        </w:rPr>
        <w:t> </w:t>
      </w:r>
      <w:r>
        <w:rPr/>
        <w:t>orientations.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249">
            <wp:simplePos x="0" y="0"/>
            <wp:positionH relativeFrom="page">
              <wp:posOffset>1609409</wp:posOffset>
            </wp:positionH>
            <wp:positionV relativeFrom="paragraph">
              <wp:posOffset>118469</wp:posOffset>
            </wp:positionV>
            <wp:extent cx="4894328" cy="3029712"/>
            <wp:effectExtent l="0" t="0" r="0" b="0"/>
            <wp:wrapTopAndBottom/>
            <wp:docPr id="63" name="image2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282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4328" cy="3029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35"/>
        </w:rPr>
      </w:pPr>
    </w:p>
    <w:p>
      <w:pPr>
        <w:spacing w:before="0"/>
        <w:ind w:left="440" w:right="419" w:firstLine="0"/>
        <w:jc w:val="both"/>
        <w:rPr>
          <w:i/>
          <w:sz w:val="24"/>
        </w:rPr>
      </w:pPr>
      <w:bookmarkStart w:name="_bookmark103" w:id="360"/>
      <w:bookmarkEnd w:id="360"/>
      <w:r>
        <w:rPr/>
      </w:r>
      <w:r>
        <w:rPr>
          <w:i/>
          <w:sz w:val="24"/>
        </w:rPr>
        <w:t>Figure 6-1. A graphical depiction of the potential transverse grain orientations in a CLT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panel.</w:t>
      </w:r>
    </w:p>
    <w:p>
      <w:pPr>
        <w:spacing w:after="0"/>
        <w:jc w:val="both"/>
        <w:rPr>
          <w:sz w:val="24"/>
        </w:rPr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40" w:right="416" w:firstLine="720"/>
        <w:jc w:val="both"/>
      </w:pPr>
      <w:r>
        <w:rPr/>
        <w:t>Visual examination of the cross-section cutaway allows for observation of the</w:t>
      </w:r>
      <w:r>
        <w:rPr>
          <w:spacing w:val="1"/>
        </w:rPr>
        <w:t> </w:t>
      </w:r>
      <w:r>
        <w:rPr/>
        <w:t>orientation of the wood grain direction for the plies in the projectile path, as shown in</w:t>
      </w:r>
      <w:r>
        <w:rPr>
          <w:spacing w:val="1"/>
        </w:rPr>
        <w:t> </w:t>
      </w:r>
      <w:hyperlink w:history="true" w:anchor="_bookmark104">
        <w:r>
          <w:rPr/>
          <w:t>Figure 6-2</w:t>
        </w:r>
      </w:hyperlink>
      <w:r>
        <w:rPr/>
        <w:t>.</w:t>
      </w:r>
      <w:r>
        <w:rPr>
          <w:spacing w:val="1"/>
        </w:rPr>
        <w:t> </w:t>
      </w:r>
      <w:r>
        <w:rPr/>
        <w:t>The axes are superimposed on the photograph in </w:t>
      </w:r>
      <w:hyperlink w:history="true" w:anchor="_bookmark104">
        <w:r>
          <w:rPr/>
          <w:t>Figure 6-2 </w:t>
        </w:r>
      </w:hyperlink>
      <w:r>
        <w:rPr/>
        <w:t>to indicate both</w:t>
      </w:r>
      <w:r>
        <w:rPr>
          <w:spacing w:val="1"/>
        </w:rPr>
        <w:t> </w:t>
      </w:r>
      <w:r>
        <w:rPr/>
        <w:t>the alternating directions with the plies but also to show the longitudinal (</w:t>
      </w:r>
      <w:r>
        <w:rPr>
          <w:i/>
        </w:rPr>
        <w:t>L</w:t>
      </w:r>
      <w:r>
        <w:rPr/>
        <w:t>), radial (</w:t>
      </w:r>
      <w:r>
        <w:rPr>
          <w:i/>
        </w:rPr>
        <w:t>R</w:t>
      </w:r>
      <w:r>
        <w:rPr/>
        <w:t>),</w:t>
      </w:r>
      <w:r>
        <w:rPr>
          <w:spacing w:val="1"/>
        </w:rPr>
        <w:t> </w:t>
      </w:r>
      <w:r>
        <w:rPr/>
        <w:t>and tangential (</w:t>
      </w:r>
      <w:r>
        <w:rPr>
          <w:i/>
        </w:rPr>
        <w:t>T</w:t>
      </w:r>
      <w:r>
        <w:rPr/>
        <w:t>) orientation.</w:t>
      </w:r>
      <w:r>
        <w:rPr>
          <w:spacing w:val="1"/>
        </w:rPr>
        <w:t> </w:t>
      </w:r>
      <w:r>
        <w:rPr/>
        <w:t>In addition to the grain orientation with respect to the</w:t>
      </w:r>
      <w:r>
        <w:rPr>
          <w:spacing w:val="1"/>
        </w:rPr>
        <w:t> </w:t>
      </w:r>
      <w:r>
        <w:rPr/>
        <w:t>projectile’s</w:t>
      </w:r>
      <w:r>
        <w:rPr>
          <w:spacing w:val="1"/>
        </w:rPr>
        <w:t> </w:t>
      </w:r>
      <w:r>
        <w:rPr/>
        <w:t>path,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density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terms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thickness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annual</w:t>
      </w:r>
      <w:r>
        <w:rPr>
          <w:spacing w:val="1"/>
        </w:rPr>
        <w:t> </w:t>
      </w:r>
      <w:r>
        <w:rPr/>
        <w:t>growth</w:t>
      </w:r>
      <w:r>
        <w:rPr>
          <w:spacing w:val="1"/>
        </w:rPr>
        <w:t> </w:t>
      </w:r>
      <w:r>
        <w:rPr/>
        <w:t>rings,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distribution of earlywood and latewood, the presence of heartwood, the existence of pith,</w:t>
      </w:r>
      <w:r>
        <w:rPr>
          <w:spacing w:val="1"/>
        </w:rPr>
        <w:t> </w:t>
      </w:r>
      <w:r>
        <w:rPr/>
        <w:t>and the occurrence of any defects such a knots or sloped grain can all be observed.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should be noted that it is not possible to differentiate what damage may have been caused</w:t>
      </w:r>
      <w:r>
        <w:rPr>
          <w:spacing w:val="-57"/>
        </w:rPr>
        <w:t> </w:t>
      </w:r>
      <w:r>
        <w:rPr/>
        <w:t>by the band saw cutting open the cross-section compared to damage attributable to the</w:t>
      </w:r>
      <w:r>
        <w:rPr>
          <w:spacing w:val="1"/>
        </w:rPr>
        <w:t> </w:t>
      </w:r>
      <w:r>
        <w:rPr/>
        <w:t>projectile.</w:t>
      </w:r>
      <w:r>
        <w:rPr>
          <w:spacing w:val="47"/>
        </w:rPr>
        <w:t> </w:t>
      </w:r>
      <w:r>
        <w:rPr/>
        <w:t>Although</w:t>
      </w:r>
      <w:r>
        <w:rPr>
          <w:spacing w:val="-6"/>
        </w:rPr>
        <w:t> </w:t>
      </w:r>
      <w:r>
        <w:rPr/>
        <w:t>not</w:t>
      </w:r>
      <w:r>
        <w:rPr>
          <w:spacing w:val="-6"/>
        </w:rPr>
        <w:t> </w:t>
      </w:r>
      <w:r>
        <w:rPr/>
        <w:t>without</w:t>
      </w:r>
      <w:r>
        <w:rPr>
          <w:spacing w:val="-7"/>
        </w:rPr>
        <w:t> </w:t>
      </w:r>
      <w:r>
        <w:rPr/>
        <w:t>limits,</w:t>
      </w:r>
      <w:r>
        <w:rPr>
          <w:spacing w:val="-6"/>
        </w:rPr>
        <w:t> </w:t>
      </w:r>
      <w:r>
        <w:rPr/>
        <w:t>one</w:t>
      </w:r>
      <w:r>
        <w:rPr>
          <w:spacing w:val="-6"/>
        </w:rPr>
        <w:t> </w:t>
      </w:r>
      <w:r>
        <w:rPr/>
        <w:t>technique</w:t>
      </w:r>
      <w:r>
        <w:rPr>
          <w:spacing w:val="-5"/>
        </w:rPr>
        <w:t> </w:t>
      </w:r>
      <w:r>
        <w:rPr/>
        <w:t>to</w:t>
      </w:r>
      <w:r>
        <w:rPr>
          <w:spacing w:val="-6"/>
        </w:rPr>
        <w:t> </w:t>
      </w:r>
      <w:r>
        <w:rPr/>
        <w:t>rule</w:t>
      </w:r>
      <w:r>
        <w:rPr>
          <w:spacing w:val="-6"/>
        </w:rPr>
        <w:t> </w:t>
      </w:r>
      <w:r>
        <w:rPr/>
        <w:t>out</w:t>
      </w:r>
      <w:r>
        <w:rPr>
          <w:spacing w:val="-6"/>
        </w:rPr>
        <w:t> </w:t>
      </w:r>
      <w:r>
        <w:rPr/>
        <w:t>saw</w:t>
      </w:r>
      <w:r>
        <w:rPr>
          <w:spacing w:val="-7"/>
        </w:rPr>
        <w:t> </w:t>
      </w:r>
      <w:r>
        <w:rPr/>
        <w:t>damage</w:t>
      </w:r>
      <w:r>
        <w:rPr>
          <w:spacing w:val="-6"/>
        </w:rPr>
        <w:t> </w:t>
      </w:r>
      <w:r>
        <w:rPr/>
        <w:t>is</w:t>
      </w:r>
      <w:r>
        <w:rPr>
          <w:spacing w:val="-6"/>
        </w:rPr>
        <w:t> </w:t>
      </w:r>
      <w:r>
        <w:rPr/>
        <w:t>to</w:t>
      </w:r>
      <w:r>
        <w:rPr>
          <w:spacing w:val="-5"/>
        </w:rPr>
        <w:t> </w:t>
      </w:r>
      <w:r>
        <w:rPr/>
        <w:t>inspect</w:t>
      </w:r>
      <w:r>
        <w:rPr>
          <w:spacing w:val="-58"/>
        </w:rPr>
        <w:t> </w:t>
      </w:r>
      <w:r>
        <w:rPr/>
        <w:t>for</w:t>
      </w:r>
      <w:r>
        <w:rPr>
          <w:spacing w:val="-1"/>
        </w:rPr>
        <w:t> </w:t>
      </w:r>
      <w:r>
        <w:rPr/>
        <w:t>saw-incurred damage</w:t>
      </w:r>
      <w:r>
        <w:rPr>
          <w:spacing w:val="-1"/>
        </w:rPr>
        <w:t> </w:t>
      </w:r>
      <w:r>
        <w:rPr/>
        <w:t>in specimens not</w:t>
      </w:r>
      <w:r>
        <w:rPr>
          <w:spacing w:val="-1"/>
        </w:rPr>
        <w:t> </w:t>
      </w:r>
      <w:r>
        <w:rPr/>
        <w:t>tested</w:t>
      </w:r>
      <w:r>
        <w:rPr>
          <w:spacing w:val="-2"/>
        </w:rPr>
        <w:t> </w:t>
      </w:r>
      <w:r>
        <w:rPr/>
        <w:t>with</w:t>
      </w:r>
      <w:r>
        <w:rPr>
          <w:spacing w:val="-1"/>
        </w:rPr>
        <w:t> </w:t>
      </w:r>
      <w:r>
        <w:rPr/>
        <w:t>the ballistic set-up.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/>
        <w:ind w:left="440" w:right="417" w:firstLine="720"/>
        <w:jc w:val="both"/>
      </w:pPr>
      <w:r>
        <w:rPr/>
        <w:t>The cross-sectional cuts, like shown in </w:t>
      </w:r>
      <w:hyperlink w:history="true" w:anchor="_bookmark104">
        <w:r>
          <w:rPr/>
          <w:t>Figure 6-2,</w:t>
        </w:r>
      </w:hyperlink>
      <w:r>
        <w:rPr/>
        <w:t> also show the difference in</w:t>
      </w:r>
      <w:r>
        <w:rPr>
          <w:spacing w:val="1"/>
        </w:rPr>
        <w:t> </w:t>
      </w:r>
      <w:r>
        <w:rPr/>
        <w:t>failure based on the grain orientation.</w:t>
      </w:r>
      <w:r>
        <w:rPr>
          <w:spacing w:val="1"/>
        </w:rPr>
        <w:t> </w:t>
      </w:r>
      <w:r>
        <w:rPr/>
        <w:t>It is recognized that if the cut were rotated 90</w:t>
      </w:r>
      <w:r>
        <w:rPr>
          <w:spacing w:val="1"/>
        </w:rPr>
        <w:t> </w:t>
      </w:r>
      <w:r>
        <w:rPr/>
        <w:t>degrees, the perspective on the damage modes would be different.</w:t>
      </w:r>
      <w:r>
        <w:rPr>
          <w:spacing w:val="1"/>
        </w:rPr>
        <w:t> </w:t>
      </w:r>
      <w:r>
        <w:rPr/>
        <w:t>The bending and</w:t>
      </w:r>
      <w:r>
        <w:rPr>
          <w:spacing w:val="1"/>
        </w:rPr>
        <w:t> </w:t>
      </w:r>
      <w:r>
        <w:rPr/>
        <w:t>shearing of grain in the radial direction in the transverse plies in </w:t>
      </w:r>
      <w:hyperlink w:history="true" w:anchor="_bookmark104">
        <w:r>
          <w:rPr/>
          <w:t>Figure 6-2 </w:t>
        </w:r>
      </w:hyperlink>
      <w:r>
        <w:rPr/>
        <w:t>would look</w:t>
      </w:r>
      <w:r>
        <w:rPr>
          <w:spacing w:val="1"/>
        </w:rPr>
        <w:t> </w:t>
      </w:r>
      <w:r>
        <w:rPr/>
        <w:t>different, as the cut would expose an altered perspective with respect to the wood grain.</w:t>
      </w:r>
      <w:r>
        <w:rPr>
          <w:spacing w:val="1"/>
        </w:rPr>
        <w:t> </w:t>
      </w:r>
      <w:r>
        <w:rPr/>
        <w:t>However, the perspective of the cross-cut gives a view of how the wood responds and</w:t>
      </w:r>
      <w:r>
        <w:rPr>
          <w:spacing w:val="1"/>
        </w:rPr>
        <w:t> </w:t>
      </w:r>
      <w:r>
        <w:rPr/>
        <w:t>ultimately fails under the stresses induced by the projectile.</w:t>
      </w:r>
      <w:r>
        <w:rPr>
          <w:spacing w:val="1"/>
        </w:rPr>
        <w:t> </w:t>
      </w:r>
      <w:r>
        <w:rPr/>
        <w:t>In clear wood sections, the</w:t>
      </w:r>
      <w:r>
        <w:rPr>
          <w:spacing w:val="1"/>
        </w:rPr>
        <w:t> </w:t>
      </w:r>
      <w:r>
        <w:rPr/>
        <w:t>lamella</w:t>
      </w:r>
      <w:r>
        <w:rPr>
          <w:spacing w:val="-11"/>
        </w:rPr>
        <w:t> </w:t>
      </w:r>
      <w:r>
        <w:rPr/>
        <w:t>with</w:t>
      </w:r>
      <w:r>
        <w:rPr>
          <w:spacing w:val="-11"/>
        </w:rPr>
        <w:t> </w:t>
      </w:r>
      <w:r>
        <w:rPr/>
        <w:t>its</w:t>
      </w:r>
      <w:r>
        <w:rPr>
          <w:spacing w:val="-10"/>
        </w:rPr>
        <w:t> </w:t>
      </w:r>
      <w:r>
        <w:rPr/>
        <w:t>grain</w:t>
      </w:r>
      <w:r>
        <w:rPr>
          <w:spacing w:val="-10"/>
        </w:rPr>
        <w:t> </w:t>
      </w:r>
      <w:r>
        <w:rPr/>
        <w:t>oriented</w:t>
      </w:r>
      <w:r>
        <w:rPr>
          <w:spacing w:val="-10"/>
        </w:rPr>
        <w:t> </w:t>
      </w:r>
      <w:r>
        <w:rPr/>
        <w:t>horizontal</w:t>
      </w:r>
      <w:r>
        <w:rPr>
          <w:spacing w:val="-9"/>
        </w:rPr>
        <w:t> </w:t>
      </w:r>
      <w:r>
        <w:rPr/>
        <w:t>to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cut</w:t>
      </w:r>
      <w:r>
        <w:rPr>
          <w:spacing w:val="-9"/>
        </w:rPr>
        <w:t> </w:t>
      </w:r>
      <w:r>
        <w:rPr/>
        <w:t>appear</w:t>
      </w:r>
      <w:r>
        <w:rPr>
          <w:spacing w:val="-9"/>
        </w:rPr>
        <w:t> </w:t>
      </w:r>
      <w:r>
        <w:rPr/>
        <w:t>as</w:t>
      </w:r>
      <w:r>
        <w:rPr>
          <w:spacing w:val="-10"/>
        </w:rPr>
        <w:t> </w:t>
      </w:r>
      <w:r>
        <w:rPr/>
        <w:t>thin</w:t>
      </w:r>
      <w:r>
        <w:rPr>
          <w:spacing w:val="-10"/>
        </w:rPr>
        <w:t> </w:t>
      </w:r>
      <w:r>
        <w:rPr/>
        <w:t>splintered</w:t>
      </w:r>
      <w:r>
        <w:rPr>
          <w:spacing w:val="-10"/>
        </w:rPr>
        <w:t> </w:t>
      </w:r>
      <w:r>
        <w:rPr/>
        <w:t>wood</w:t>
      </w:r>
      <w:r>
        <w:rPr>
          <w:spacing w:val="-10"/>
        </w:rPr>
        <w:t> </w:t>
      </w:r>
      <w:r>
        <w:rPr/>
        <w:t>sections,</w:t>
      </w:r>
      <w:r>
        <w:rPr>
          <w:spacing w:val="-58"/>
        </w:rPr>
        <w:t> </w:t>
      </w:r>
      <w:r>
        <w:rPr/>
        <w:t>whereas the vertically oriented grain pieces appear as abruptly fractured chunks.</w:t>
      </w:r>
      <w:r>
        <w:rPr>
          <w:spacing w:val="1"/>
        </w:rPr>
        <w:t> </w:t>
      </w:r>
      <w:r>
        <w:rPr/>
        <w:t>Some of</w:t>
      </w:r>
      <w:r>
        <w:rPr>
          <w:spacing w:val="-57"/>
        </w:rPr>
        <w:t> </w:t>
      </w:r>
      <w:r>
        <w:rPr/>
        <w:t>the</w:t>
      </w:r>
      <w:r>
        <w:rPr>
          <w:spacing w:val="-1"/>
        </w:rPr>
        <w:t> </w:t>
      </w:r>
      <w:r>
        <w:rPr/>
        <w:t>difference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wood response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also attributable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density of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growth rings.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ind w:left="445"/>
        <w:rPr>
          <w:sz w:val="20"/>
        </w:rPr>
      </w:pPr>
      <w:r>
        <w:rPr>
          <w:sz w:val="20"/>
        </w:rPr>
        <w:pict>
          <v:group style="width:431.45pt;height:243.8pt;mso-position-horizontal-relative:char;mso-position-vertical-relative:line" coordorigin="0,0" coordsize="8629,4876">
            <v:shape style="position:absolute;left:0;top:0;width:8629;height:4876" type="#_x0000_t75" stroked="false">
              <v:imagedata r:id="rId293" o:title=""/>
            </v:shape>
            <v:line style="position:absolute" from="4058,1112" to="4058,467" stroked="true" strokeweight="1.192355pt" strokecolor="#ffffff">
              <v:stroke dashstyle="solid"/>
            </v:line>
            <v:shape style="position:absolute;left:4009;top:467;width:98;height:84" coordorigin="4009,467" coordsize="98,84" path="m4106,551l4058,467,4009,551e" filled="false" stroked="true" strokeweight="1.193984pt" strokecolor="#ffffff">
              <v:path arrowok="t"/>
              <v:stroke dashstyle="solid"/>
            </v:shape>
            <v:line style="position:absolute" from="4047,1100" to="4556,1111" stroked="true" strokeweight="1.195249pt" strokecolor="#ffffff">
              <v:stroke dashstyle="solid"/>
            </v:line>
            <v:shape style="position:absolute;left:4471;top:1060;width:85;height:98" coordorigin="4472,1061" coordsize="85,98" path="m4474,1061l4556,1111,4472,1158e" filled="false" stroked="true" strokeweight="1.193548pt" strokecolor="#ffffff">
              <v:path arrowok="t"/>
              <v:stroke dashstyle="solid"/>
            </v:shape>
            <v:line style="position:absolute" from="2917,3669" to="3241,3177" stroked="true" strokeweight="1.193215pt" strokecolor="#ffffff">
              <v:stroke dashstyle="solid"/>
            </v:line>
            <v:shape style="position:absolute;left:2917;top:3572;width:87;height:97" coordorigin="2917,3572" coordsize="87,97" path="m2922,3572l2917,3669,3003,3626e" filled="false" stroked="true" strokeweight="1.1935pt" strokecolor="#ffffff">
              <v:path arrowok="t"/>
              <v:stroke dashstyle="solid"/>
            </v:shape>
            <v:line style="position:absolute" from="2593,2743" to="3247,3190" stroked="true" strokeweight="1.194260pt" strokecolor="#ffffff">
              <v:stroke dashstyle="solid"/>
            </v:line>
            <v:shape style="position:absolute;left:2593;top:2743;width:97;height:88" coordorigin="2593,2743" coordsize="97,88" path="m2634,2830l2593,2743,2689,2750e" filled="false" stroked="true" strokeweight="1.193792pt" strokecolor="#ffffff">
              <v:path arrowok="t"/>
              <v:stroke dashstyle="solid"/>
            </v:shape>
            <v:shape style="position:absolute;left:2403;top:1608;width:283;height:373" type="#_x0000_t75" stroked="false">
              <v:imagedata r:id="rId294" o:title=""/>
            </v:shape>
            <v:shape style="position:absolute;left:2352;top:1596;width:101;height:427" coordorigin="2352,1597" coordsize="101,427" path="m2427,1597l2425,1600,2423,1604,2420,1607,2419,1609,2418,1612,2416,1614,2414,1615,2412,1616,2410,1618,2409,1620,2409,1622,2408,1624,2405,1629,2403,1633,2399,1637,2391,1645,2394,1641,2388,1650,2388,1652,2387,1654,2386,1656,2383,1662,2380,1664,2376,1669,2375,1671,2375,1674,2374,1675,2371,1680,2365,1688,2359,1707,2357,1714,2356,1716,2355,1718,2355,1720,2352,1731,2353,1757,2353,1783,2360,1856,2361,1857,2362,1859,2364,1861,2365,1863,2368,1870,2367,1869,2367,1869,2372,1876,2373,1880,2373,1885,2376,1889,2377,1891,2379,1893,2380,1895,2384,1906,2384,1908,2384,1910,2386,1919,2387,1922,2389,1924,2391,1927,2392,1929,2392,1932,2393,1934,2396,1941,2397,1942,2401,1949,2402,1951,2402,1955,2403,1957,2405,1960,2408,1963,2410,1966,2413,1970,2415,1974,2418,1979,2427,1991,2428,1993,2429,1997,2431,1998,2437,2000,2439,2006,2441,2006,2446,2013,2452,2023,2443,2017,2452,2021e" filled="false" stroked="true" strokeweight=".443714pt" strokecolor="#000000">
              <v:path arrowok="t"/>
              <v:stroke dashstyle="solid"/>
            </v:shape>
            <v:shape style="position:absolute;left:3731;top:1345;width:273;height:1757" coordorigin="3731,1345" coordsize="273,1757" path="m3731,1345l3732,1424,3733,1502,3734,1580,3736,1659,3736,1666,3739,1672,3741,1679,3743,1687,3744,1695,3746,1704,3748,1716,3752,1741,3757,1768,3761,1788,3762,1793,3764,1798,3766,1803,3770,1840,3770,1842,3771,1849,3776,1903,3777,1913,3778,1923,3779,1932,3781,1942,3783,1969,3784,1980,3786,1988,3791,2002,3792,2014,3793,2026,3795,2037,3799,2050,3804,2065,3809,2077,3810,2082,3812,2093,3827,2141,3830,2146,3832,2153,3833,2160,3835,2166,3838,2176,3842,2186,3845,2196,3865,2256,3875,2286,3880,2301,3884,2333,3885,2340,3884,2345,3885,2373,3890,2450,3890,2457,3893,2463,3895,2470,3900,2500,3900,2505,3900,2506,3905,2525,3906,2543,3907,2562,3908,2581,3910,2599,3911,2609,3913,2619,3915,2629,3917,2650,3919,2678,3922,2706,3924,2729,3925,2734,3928,2738,3929,2744,3932,2756,3934,2769,3936,2781,3939,2793,3944,2808,3944,2809,3949,2828,3951,2833,3953,2838,3954,2843,3959,2859,3959,2865,3960,2871,3964,2893,3965,2898,3968,2903,3969,2908,3971,2914,3972,2921,3974,2928,3975,2939,3976,2950,3977,2961,3994,3027,3995,3042,4004,3102e" filled="false" stroked="true" strokeweight=".443668pt" strokecolor="#000000">
              <v:path arrowok="t"/>
              <v:stroke dashstyle="solid"/>
            </v:shape>
            <v:shape style="position:absolute;left:4665;top:1454;width:241;height:1648" coordorigin="4666,1454" coordsize="241,1648" path="m4666,1454l4667,1531,4667,1607,4668,1684,4669,1760,4672,1837,4672,1846,4681,1855,4684,1864,4686,1873,4688,1883,4689,1892,4697,1949,4699,1960,4701,1971,4705,1983,4713,1994,4719,2006,4721,2015,4722,2024,4724,2034,4728,2049,4731,2055,4736,2069,4728,2096,4728,2107,4728,2132,4724,2199,4723,2211,4721,2223,4719,2235,4719,2303,4717,2352,4719,2393,4730,2440,4734,2451,4737,2457,4741,2463,4748,2475,4750,2479,4751,2483,4754,2487,4760,2499,4768,2512,4774,2522,4777,2526,4780,2538,4783,2550,4786,2562,4789,2574,4792,2596,4794,2605,4796,2613,4800,2629,4802,2643,4811,2697,4812,2704,4814,2715,4815,2725,4816,2736,4818,2747,4820,2757,4823,2769,4826,2780,4830,2790,4828,2794,4824,2798,4824,2802,4823,2865,4822,2896,4825,2915,4835,2944,4837,2956,4855,3005,4865,3015,4867,3019,4868,3023,4870,3027,4874,3032,4878,3037,4882,3043,4884,3049,4885,3056,4888,3062,4891,3070,4896,3078,4900,3086,4906,3099,4906,3094,4906,3102e" filled="false" stroked="true" strokeweight=".443653pt" strokecolor="#000000">
              <v:path arrowok="t"/>
              <v:stroke dashstyle="solid"/>
            </v:shape>
            <v:shape style="position:absolute;left:4322;top:1454;width:211;height:1539" coordorigin="4322,1454" coordsize="211,1539" path="m4322,1454l4327,1500,4328,1516,4329,1544,4332,1624,4337,1706,4349,1753,4352,1763,4356,1779,4357,1792,4359,1806,4362,1823,4379,1885,4383,1896,4387,1907,4390,1920,4394,1932,4398,1945,4402,1957,4407,1971,4412,1984,4417,1998,4421,2012,4424,2025,4427,2039,4429,2053,4431,2067,4435,2079,4439,2092,4443,2104,4446,2116,4450,2130,4454,2144,4457,2158,4461,2171,4462,2184,4463,2196,4464,2209,4466,2221,4468,2231,4471,2241,4474,2251,4476,2261,4479,2275,4481,2288,4484,2302,4486,2316,4474,2318,4466,2321,4462,2327,4461,2341,4458,2402,4453,2479,4455,2560,4471,2634,4474,2643,4477,2651,4481,2659,4485,2668,4491,2676,4496,2684,4498,2691,4499,2697,4501,2704,4503,2712,4504,2721,4506,2729,4507,2734,4509,2739,4511,2744,4516,2784,4518,2800,4520,2810,4526,2829,4532,2865,4533,2884,4532,2917,4531,2993e" filled="false" stroked="true" strokeweight=".44366pt" strokecolor="#000000">
              <v:path arrowok="t"/>
              <v:stroke dashstyle="solid"/>
            </v:shape>
            <v:line style="position:absolute" from="8396,1497" to="7527,2191" stroked="true" strokeweight="1.194087pt" strokecolor="#000000">
              <v:stroke dashstyle="solid"/>
            </v:line>
            <v:line style="position:absolute" from="8340,2890" to="7441,2472" stroked="true" strokeweight="1.194702pt" strokecolor="#000000">
              <v:stroke dashstyle="solid"/>
            </v:line>
            <v:shape style="position:absolute;left:3829;top:301;width:178;height:287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color w:val="FFFFFF"/>
                        <w:w w:val="99"/>
                        <w:sz w:val="26"/>
                      </w:rPr>
                      <w:t>L</w:t>
                    </w:r>
                  </w:p>
                </w:txbxContent>
              </v:textbox>
              <w10:wrap type="none"/>
            </v:shape>
            <v:shape style="position:absolute;left:320;top:1322;width:484;height:206" type="#_x0000_t202" filled="false" stroked="false">
              <v:textbox inset="0,0,0,0">
                <w:txbxContent>
                  <w:p>
                    <w:pPr>
                      <w:spacing w:line="204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w w:val="105"/>
                        <w:sz w:val="18"/>
                      </w:rPr>
                      <w:t>Entry</w:t>
                    </w:r>
                  </w:p>
                </w:txbxContent>
              </v:textbox>
              <w10:wrap type="none"/>
            </v:shape>
            <v:shape style="position:absolute;left:1820;top:832;width:1461;height:651" type="#_x0000_t202" filled="false" stroked="false">
              <v:textbox inset="0,0,0,0">
                <w:txbxContent>
                  <w:p>
                    <w:pPr>
                      <w:spacing w:line="256" w:lineRule="auto" w:before="0"/>
                      <w:ind w:left="0" w:right="9" w:firstLine="0"/>
                      <w:jc w:val="left"/>
                      <w:rPr>
                        <w:sz w:val="18"/>
                      </w:rPr>
                    </w:pPr>
                    <w:r>
                      <w:rPr>
                        <w:w w:val="105"/>
                        <w:sz w:val="18"/>
                      </w:rPr>
                      <w:t>Bending and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spacing w:val="-1"/>
                        <w:w w:val="105"/>
                        <w:sz w:val="18"/>
                      </w:rPr>
                      <w:t>shearing</w:t>
                    </w:r>
                    <w:r>
                      <w:rPr>
                        <w:spacing w:val="-11"/>
                        <w:w w:val="105"/>
                        <w:sz w:val="18"/>
                      </w:rPr>
                      <w:t> </w:t>
                    </w:r>
                    <w:r>
                      <w:rPr>
                        <w:spacing w:val="-1"/>
                        <w:w w:val="105"/>
                        <w:sz w:val="18"/>
                      </w:rPr>
                      <w:t>of</w:t>
                    </w:r>
                    <w:r>
                      <w:rPr>
                        <w:spacing w:val="-9"/>
                        <w:w w:val="105"/>
                        <w:sz w:val="18"/>
                      </w:rPr>
                      <w:t> </w:t>
                    </w:r>
                    <w:r>
                      <w:rPr>
                        <w:spacing w:val="-1"/>
                        <w:w w:val="105"/>
                        <w:sz w:val="18"/>
                      </w:rPr>
                      <w:t>grain</w:t>
                    </w:r>
                    <w:r>
                      <w:rPr>
                        <w:spacing w:val="-8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in</w:t>
                    </w:r>
                    <w:r>
                      <w:rPr>
                        <w:spacing w:val="-45"/>
                        <w:w w:val="105"/>
                        <w:sz w:val="18"/>
                      </w:rPr>
                      <w:t> </w:t>
                    </w:r>
                    <w:r>
                      <w:rPr>
                        <w:spacing w:val="-1"/>
                        <w:w w:val="105"/>
                        <w:sz w:val="18"/>
                      </w:rPr>
                      <w:t>radial</w:t>
                    </w:r>
                    <w:r>
                      <w:rPr>
                        <w:spacing w:val="-1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penetration</w:t>
                    </w:r>
                  </w:p>
                </w:txbxContent>
              </v:textbox>
              <w10:wrap type="none"/>
            </v:shape>
            <v:shape style="position:absolute;left:4636;top:1164;width:178;height:287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color w:val="FFFFFF"/>
                        <w:w w:val="99"/>
                        <w:sz w:val="26"/>
                      </w:rPr>
                      <w:t>T</w:t>
                    </w:r>
                  </w:p>
                </w:txbxContent>
              </v:textbox>
              <w10:wrap type="none"/>
            </v:shape>
            <v:shape style="position:absolute;left:2275;top:2538;width:193;height:287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color w:val="FFFFFF"/>
                        <w:w w:val="99"/>
                        <w:sz w:val="26"/>
                      </w:rPr>
                      <w:t>R</w:t>
                    </w:r>
                  </w:p>
                </w:txbxContent>
              </v:textbox>
              <w10:wrap type="none"/>
            </v:shape>
            <v:shape style="position:absolute;left:2924;top:3753;width:178;height:287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color w:val="FFFFFF"/>
                        <w:w w:val="99"/>
                        <w:sz w:val="26"/>
                      </w:rPr>
                      <w:t>T</w:t>
                    </w:r>
                  </w:p>
                </w:txbxContent>
              </v:textbox>
              <w10:wrap type="none"/>
            </v:shape>
            <v:shape style="position:absolute;left:3516;top:3351;width:1438;height:873" type="#_x0000_t202" filled="false" stroked="false">
              <v:textbox inset="0,0,0,0">
                <w:txbxContent>
                  <w:p>
                    <w:pPr>
                      <w:spacing w:line="256" w:lineRule="auto" w:before="0"/>
                      <w:ind w:left="0" w:right="18" w:firstLine="0"/>
                      <w:jc w:val="both"/>
                      <w:rPr>
                        <w:sz w:val="18"/>
                      </w:rPr>
                    </w:pPr>
                    <w:r>
                      <w:rPr>
                        <w:w w:val="105"/>
                        <w:sz w:val="18"/>
                      </w:rPr>
                      <w:t>Low resistance in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layer with widely-</w:t>
                    </w:r>
                    <w:r>
                      <w:rPr>
                        <w:spacing w:val="-45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space grown rings</w:t>
                    </w:r>
                    <w:r>
                      <w:rPr>
                        <w:spacing w:val="-45"/>
                        <w:w w:val="10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and</w:t>
                    </w:r>
                    <w:r>
                      <w:rPr>
                        <w:spacing w:val="1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scant</w:t>
                    </w:r>
                    <w:r>
                      <w:rPr>
                        <w:spacing w:val="1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latewood</w:t>
                    </w:r>
                  </w:p>
                </w:txbxContent>
              </v:textbox>
              <w10:wrap type="none"/>
            </v:shape>
            <v:shape style="position:absolute;left:6809;top:3148;width:1373;height:1096" type="#_x0000_t202" filled="false" stroked="false">
              <v:textbox inset="0,0,0,0">
                <w:txbxContent>
                  <w:p>
                    <w:pPr>
                      <w:spacing w:line="256" w:lineRule="auto" w:before="0"/>
                      <w:ind w:left="0" w:right="15" w:firstLine="0"/>
                      <w:jc w:val="left"/>
                      <w:rPr>
                        <w:sz w:val="18"/>
                      </w:rPr>
                    </w:pPr>
                    <w:r>
                      <w:rPr>
                        <w:w w:val="105"/>
                        <w:sz w:val="18"/>
                      </w:rPr>
                      <w:t>Projectile exit: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Last</w:t>
                    </w:r>
                    <w:r>
                      <w:rPr>
                        <w:spacing w:val="-1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1</w:t>
                    </w:r>
                    <w:r>
                      <w:rPr>
                        <w:spacing w:val="-10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in.</w:t>
                    </w:r>
                    <w:r>
                      <w:rPr>
                        <w:spacing w:val="-1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of</w:t>
                    </w:r>
                    <w:r>
                      <w:rPr>
                        <w:spacing w:val="-1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wood</w:t>
                    </w:r>
                    <w:r>
                      <w:rPr>
                        <w:spacing w:val="-45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provides little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resistance to exit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surface</w:t>
                    </w:r>
                    <w:r>
                      <w:rPr>
                        <w:spacing w:val="-7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spall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7"/>
        <w:rPr>
          <w:sz w:val="28"/>
        </w:rPr>
      </w:pPr>
    </w:p>
    <w:p>
      <w:pPr>
        <w:spacing w:before="90"/>
        <w:ind w:left="440" w:right="417" w:firstLine="0"/>
        <w:jc w:val="both"/>
        <w:rPr>
          <w:i/>
          <w:sz w:val="24"/>
        </w:rPr>
      </w:pPr>
      <w:bookmarkStart w:name="_bookmark104" w:id="361"/>
      <w:bookmarkEnd w:id="361"/>
      <w:r>
        <w:rPr/>
      </w:r>
      <w:r>
        <w:rPr>
          <w:i/>
          <w:sz w:val="24"/>
        </w:rPr>
        <w:t>Figure 6-2. A cross-sectional cut along the projectile path exposes the wood damage as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well as the orientation of the wood in each ply with respect to longitudinal (L), radial (R),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tangential (T)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axes of the wood.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1"/>
        <w:rPr>
          <w:i/>
          <w:sz w:val="32"/>
        </w:rPr>
      </w:pPr>
    </w:p>
    <w:p>
      <w:pPr>
        <w:pStyle w:val="Heading9"/>
        <w:numPr>
          <w:ilvl w:val="1"/>
          <w:numId w:val="23"/>
        </w:numPr>
        <w:tabs>
          <w:tab w:pos="800" w:val="left" w:leader="none"/>
        </w:tabs>
        <w:spacing w:line="240" w:lineRule="auto" w:before="1" w:after="0"/>
        <w:ind w:left="800" w:right="0" w:hanging="360"/>
        <w:jc w:val="both"/>
      </w:pPr>
      <w:bookmarkStart w:name="_TOC_250024" w:id="362"/>
      <w:bookmarkStart w:name="6.5 Wood failure modes" w:id="363"/>
      <w:r>
        <w:rPr>
          <w:b w:val="0"/>
        </w:rPr>
      </w:r>
      <w:bookmarkEnd w:id="363"/>
      <w:bookmarkStart w:name="6.5 Wood failure modes" w:id="364"/>
      <w:r>
        <w:rPr/>
        <w:t>Wood</w:t>
      </w:r>
      <w:r>
        <w:rPr>
          <w:spacing w:val="-3"/>
        </w:rPr>
        <w:t> </w:t>
      </w:r>
      <w:r>
        <w:rPr/>
        <w:t>failure</w:t>
      </w:r>
      <w:r>
        <w:rPr>
          <w:spacing w:val="-3"/>
        </w:rPr>
        <w:t> </w:t>
      </w:r>
      <w:bookmarkEnd w:id="362"/>
      <w:r>
        <w:rPr/>
        <w:t>modes</w:t>
      </w:r>
    </w:p>
    <w:p>
      <w:pPr>
        <w:pStyle w:val="ListParagraph"/>
        <w:numPr>
          <w:ilvl w:val="2"/>
          <w:numId w:val="23"/>
        </w:numPr>
        <w:tabs>
          <w:tab w:pos="980" w:val="left" w:leader="none"/>
        </w:tabs>
        <w:spacing w:line="240" w:lineRule="auto" w:before="140" w:after="0"/>
        <w:ind w:left="980" w:right="0" w:hanging="540"/>
        <w:jc w:val="both"/>
        <w:rPr>
          <w:i/>
          <w:sz w:val="24"/>
        </w:rPr>
      </w:pPr>
      <w:bookmarkStart w:name="6.5.1 Wood failure under various loading" w:id="365"/>
      <w:bookmarkEnd w:id="365"/>
      <w:r>
        <w:rPr/>
      </w:r>
      <w:bookmarkStart w:name="6.5.1 Wood failure under various loading" w:id="366"/>
      <w:bookmarkEnd w:id="366"/>
      <w:r>
        <w:rPr>
          <w:i/>
          <w:sz w:val="24"/>
        </w:rPr>
        <w:t>Wood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failure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under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various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loading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conditions</w:t>
      </w:r>
    </w:p>
    <w:p>
      <w:pPr>
        <w:pStyle w:val="BodyText"/>
        <w:spacing w:before="7"/>
        <w:rPr>
          <w:i/>
          <w:sz w:val="22"/>
        </w:rPr>
      </w:pPr>
    </w:p>
    <w:p>
      <w:pPr>
        <w:pStyle w:val="BodyText"/>
        <w:spacing w:line="480" w:lineRule="auto" w:before="1"/>
        <w:ind w:left="439" w:right="417" w:firstLine="720"/>
        <w:jc w:val="both"/>
      </w:pPr>
      <w:r>
        <w:rPr/>
        <w:t>The</w:t>
      </w:r>
      <w:r>
        <w:rPr>
          <w:spacing w:val="-2"/>
        </w:rPr>
        <w:t> </w:t>
      </w:r>
      <w:r>
        <w:rPr/>
        <w:t>failure</w:t>
      </w:r>
      <w:r>
        <w:rPr>
          <w:spacing w:val="-3"/>
        </w:rPr>
        <w:t> </w:t>
      </w:r>
      <w:r>
        <w:rPr/>
        <w:t>mechanisms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wood,</w:t>
      </w:r>
      <w:r>
        <w:rPr>
          <w:spacing w:val="-4"/>
        </w:rPr>
        <w:t> </w:t>
      </w:r>
      <w:r>
        <w:rPr/>
        <w:t>like</w:t>
      </w:r>
      <w:r>
        <w:rPr>
          <w:spacing w:val="-2"/>
        </w:rPr>
        <w:t> </w:t>
      </w:r>
      <w:r>
        <w:rPr/>
        <w:t>other</w:t>
      </w:r>
      <w:r>
        <w:rPr>
          <w:spacing w:val="-1"/>
        </w:rPr>
        <w:t> </w:t>
      </w:r>
      <w:r>
        <w:rPr/>
        <w:t>materials,</w:t>
      </w:r>
      <w:r>
        <w:rPr>
          <w:spacing w:val="-2"/>
        </w:rPr>
        <w:t> </w:t>
      </w:r>
      <w:r>
        <w:rPr/>
        <w:t>corresponds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strengths</w:t>
      </w:r>
      <w:r>
        <w:rPr>
          <w:spacing w:val="-58"/>
        </w:rPr>
        <w:t> </w:t>
      </w:r>
      <w:r>
        <w:rPr>
          <w:spacing w:val="-1"/>
        </w:rPr>
        <w:t>and</w:t>
      </w:r>
      <w:r>
        <w:rPr>
          <w:spacing w:val="-13"/>
        </w:rPr>
        <w:t> </w:t>
      </w:r>
      <w:r>
        <w:rPr/>
        <w:t>to</w:t>
      </w:r>
      <w:r>
        <w:rPr>
          <w:spacing w:val="-14"/>
        </w:rPr>
        <w:t> </w:t>
      </w:r>
      <w:r>
        <w:rPr/>
        <w:t>some</w:t>
      </w:r>
      <w:r>
        <w:rPr>
          <w:spacing w:val="-13"/>
        </w:rPr>
        <w:t> </w:t>
      </w:r>
      <w:r>
        <w:rPr/>
        <w:t>degree</w:t>
      </w:r>
      <w:r>
        <w:rPr>
          <w:spacing w:val="-14"/>
        </w:rPr>
        <w:t> </w:t>
      </w:r>
      <w:r>
        <w:rPr/>
        <w:t>the</w:t>
      </w:r>
      <w:r>
        <w:rPr>
          <w:spacing w:val="-13"/>
        </w:rPr>
        <w:t> </w:t>
      </w:r>
      <w:r>
        <w:rPr/>
        <w:t>stiffness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the</w:t>
      </w:r>
      <w:r>
        <w:rPr>
          <w:spacing w:val="-13"/>
        </w:rPr>
        <w:t> </w:t>
      </w:r>
      <w:r>
        <w:rPr/>
        <w:t>material.</w:t>
      </w:r>
      <w:r>
        <w:rPr>
          <w:spacing w:val="31"/>
        </w:rPr>
        <w:t> </w:t>
      </w:r>
      <w:r>
        <w:rPr/>
        <w:t>However,</w:t>
      </w:r>
      <w:r>
        <w:rPr>
          <w:spacing w:val="-13"/>
        </w:rPr>
        <w:t> </w:t>
      </w:r>
      <w:r>
        <w:rPr/>
        <w:t>as</w:t>
      </w:r>
      <w:r>
        <w:rPr>
          <w:spacing w:val="-14"/>
        </w:rPr>
        <w:t> </w:t>
      </w:r>
      <w:r>
        <w:rPr/>
        <w:t>an</w:t>
      </w:r>
      <w:r>
        <w:rPr>
          <w:spacing w:val="-12"/>
        </w:rPr>
        <w:t> </w:t>
      </w:r>
      <w:r>
        <w:rPr/>
        <w:t>anisotropic</w:t>
      </w:r>
      <w:r>
        <w:rPr>
          <w:spacing w:val="-13"/>
        </w:rPr>
        <w:t> </w:t>
      </w:r>
      <w:r>
        <w:rPr/>
        <w:t>material,</w:t>
      </w:r>
      <w:r>
        <w:rPr>
          <w:spacing w:val="-15"/>
        </w:rPr>
        <w:t> </w:t>
      </w:r>
      <w:r>
        <w:rPr/>
        <w:t>wood</w:t>
      </w:r>
      <w:r>
        <w:rPr>
          <w:spacing w:val="-58"/>
        </w:rPr>
        <w:t> </w:t>
      </w:r>
      <w:r>
        <w:rPr/>
        <w:t>experiences a range of failures depending on the orientation of the wood in relation to the</w:t>
      </w:r>
      <w:r>
        <w:rPr>
          <w:spacing w:val="-57"/>
        </w:rPr>
        <w:t> </w:t>
      </w:r>
      <w:r>
        <w:rPr/>
        <w:t>direction of the applied load. In clear wood specimens, a compressive force perpendicular</w:t>
      </w:r>
      <w:r>
        <w:rPr>
          <w:spacing w:val="-57"/>
        </w:rPr>
        <w:t> </w:t>
      </w:r>
      <w:r>
        <w:rPr/>
        <w:t>to the grain typically results in three basic failure modes: 1) crushing; 2) shearing; and 3)</w:t>
      </w:r>
      <w:r>
        <w:rPr>
          <w:spacing w:val="1"/>
        </w:rPr>
        <w:t> </w:t>
      </w:r>
      <w:r>
        <w:rPr/>
        <w:t>buckling.</w:t>
      </w:r>
      <w:r>
        <w:rPr>
          <w:spacing w:val="1"/>
        </w:rPr>
        <w:t> </w:t>
      </w:r>
      <w:r>
        <w:rPr/>
        <w:t>These failure modes are shown in </w:t>
      </w:r>
      <w:hyperlink w:history="true" w:anchor="_bookmark105">
        <w:r>
          <w:rPr/>
          <w:t>Figure 6-3</w:t>
        </w:r>
      </w:hyperlink>
      <w:r>
        <w:rPr/>
        <w:t>. Buckling in this case represents</w:t>
      </w:r>
      <w:r>
        <w:rPr>
          <w:spacing w:val="1"/>
        </w:rPr>
        <w:t> </w:t>
      </w:r>
      <w:r>
        <w:rPr/>
        <w:t>the instability of the hard and stiff latewood rings as they move transversely and crush the</w:t>
      </w:r>
      <w:r>
        <w:rPr>
          <w:spacing w:val="-57"/>
        </w:rPr>
        <w:t> </w:t>
      </w:r>
      <w:r>
        <w:rPr/>
        <w:t>relatively</w:t>
      </w:r>
      <w:r>
        <w:rPr>
          <w:spacing w:val="-12"/>
        </w:rPr>
        <w:t> </w:t>
      </w:r>
      <w:r>
        <w:rPr/>
        <w:t>softer</w:t>
      </w:r>
      <w:r>
        <w:rPr>
          <w:spacing w:val="-11"/>
        </w:rPr>
        <w:t> </w:t>
      </w:r>
      <w:r>
        <w:rPr/>
        <w:t>surrounding</w:t>
      </w:r>
      <w:r>
        <w:rPr>
          <w:spacing w:val="-11"/>
        </w:rPr>
        <w:t> </w:t>
      </w:r>
      <w:r>
        <w:rPr/>
        <w:t>earlywood.</w:t>
      </w:r>
      <w:r>
        <w:rPr>
          <w:spacing w:val="37"/>
        </w:rPr>
        <w:t> </w:t>
      </w:r>
      <w:r>
        <w:rPr/>
        <w:t>The</w:t>
      </w:r>
      <w:r>
        <w:rPr>
          <w:spacing w:val="-11"/>
        </w:rPr>
        <w:t> </w:t>
      </w:r>
      <w:r>
        <w:rPr/>
        <w:t>wood</w:t>
      </w:r>
      <w:r>
        <w:rPr>
          <w:spacing w:val="-12"/>
        </w:rPr>
        <w:t> </w:t>
      </w:r>
      <w:r>
        <w:rPr/>
        <w:t>grain</w:t>
      </w:r>
      <w:r>
        <w:rPr>
          <w:spacing w:val="-11"/>
        </w:rPr>
        <w:t> </w:t>
      </w:r>
      <w:r>
        <w:rPr/>
        <w:t>direction</w:t>
      </w:r>
      <w:r>
        <w:rPr>
          <w:spacing w:val="-12"/>
        </w:rPr>
        <w:t> </w:t>
      </w:r>
      <w:r>
        <w:rPr/>
        <w:t>influences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observed</w:t>
      </w:r>
    </w:p>
    <w:p>
      <w:pPr>
        <w:spacing w:after="0" w:line="480" w:lineRule="auto"/>
        <w:jc w:val="both"/>
        <w:sectPr>
          <w:pgSz w:w="12240" w:h="15840"/>
          <w:pgMar w:header="0" w:footer="1064" w:top="1440" w:bottom="1260" w:left="1720" w:right="1020"/>
        </w:sectPr>
      </w:pPr>
    </w:p>
    <w:p>
      <w:pPr>
        <w:pStyle w:val="BodyText"/>
        <w:spacing w:line="480" w:lineRule="auto" w:before="78"/>
        <w:ind w:left="439" w:right="417"/>
        <w:jc w:val="both"/>
      </w:pPr>
      <w:r>
        <w:rPr/>
        <w:t>failure mechanism.</w:t>
      </w:r>
      <w:r>
        <w:rPr>
          <w:spacing w:val="1"/>
        </w:rPr>
        <w:t> </w:t>
      </w:r>
      <w:r>
        <w:rPr/>
        <w:t>A loading in the radial direction is likely to cause crushing (</w:t>
      </w:r>
      <w:hyperlink w:history="true" w:anchor="_bookmark105">
        <w:r>
          <w:rPr/>
          <w:t>Figure</w:t>
        </w:r>
      </w:hyperlink>
      <w:r>
        <w:rPr>
          <w:spacing w:val="1"/>
        </w:rPr>
        <w:t> </w:t>
      </w:r>
      <w:hyperlink w:history="true" w:anchor="_bookmark105">
        <w:r>
          <w:rPr/>
          <w:t>6-3</w:t>
        </w:r>
      </w:hyperlink>
      <w:r>
        <w:rPr/>
        <w:t>a) while a tangentially aligned loading results in buckling of the growth rings (</w:t>
      </w:r>
      <w:hyperlink w:history="true" w:anchor="_bookmark105">
        <w:r>
          <w:rPr/>
          <w:t>Figure</w:t>
        </w:r>
      </w:hyperlink>
      <w:r>
        <w:rPr>
          <w:spacing w:val="1"/>
        </w:rPr>
        <w:t> </w:t>
      </w:r>
      <w:hyperlink w:history="true" w:anchor="_bookmark105">
        <w:r>
          <w:rPr/>
          <w:t>6-3</w:t>
        </w:r>
      </w:hyperlink>
      <w:r>
        <w:rPr/>
        <w:t>c).</w:t>
      </w:r>
      <w:r>
        <w:rPr>
          <w:spacing w:val="1"/>
        </w:rPr>
        <w:t> </w:t>
      </w:r>
      <w:r>
        <w:rPr/>
        <w:t>A load applied at an angular orientation to the growth rings where the load is not</w:t>
      </w:r>
      <w:r>
        <w:rPr>
          <w:spacing w:val="1"/>
        </w:rPr>
        <w:t> </w:t>
      </w:r>
      <w:r>
        <w:rPr/>
        <w:t>purely</w:t>
      </w:r>
      <w:r>
        <w:rPr>
          <w:spacing w:val="-1"/>
        </w:rPr>
        <w:t> </w:t>
      </w:r>
      <w:r>
        <w:rPr/>
        <w:t>radial</w:t>
      </w:r>
      <w:r>
        <w:rPr>
          <w:spacing w:val="-1"/>
        </w:rPr>
        <w:t> </w:t>
      </w:r>
      <w:r>
        <w:rPr/>
        <w:t>or</w:t>
      </w:r>
      <w:r>
        <w:rPr>
          <w:spacing w:val="-1"/>
        </w:rPr>
        <w:t> </w:t>
      </w:r>
      <w:r>
        <w:rPr/>
        <w:t>tangential often</w:t>
      </w:r>
      <w:r>
        <w:rPr>
          <w:spacing w:val="-1"/>
        </w:rPr>
        <w:t> </w:t>
      </w:r>
      <w:r>
        <w:rPr/>
        <w:t>yields a</w:t>
      </w:r>
      <w:r>
        <w:rPr>
          <w:spacing w:val="-1"/>
        </w:rPr>
        <w:t> </w:t>
      </w:r>
      <w:r>
        <w:rPr/>
        <w:t>shear failure (</w:t>
      </w:r>
      <w:hyperlink w:history="true" w:anchor="_bookmark105">
        <w:r>
          <w:rPr/>
          <w:t>Figure</w:t>
        </w:r>
        <w:r>
          <w:rPr>
            <w:spacing w:val="-2"/>
          </w:rPr>
          <w:t> </w:t>
        </w:r>
        <w:r>
          <w:rPr/>
          <w:t>6-3</w:t>
        </w:r>
      </w:hyperlink>
      <w:r>
        <w:rPr/>
        <w:t>b) [31].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251">
            <wp:simplePos x="0" y="0"/>
            <wp:positionH relativeFrom="page">
              <wp:posOffset>1581150</wp:posOffset>
            </wp:positionH>
            <wp:positionV relativeFrom="paragraph">
              <wp:posOffset>235093</wp:posOffset>
            </wp:positionV>
            <wp:extent cx="5108214" cy="3684365"/>
            <wp:effectExtent l="0" t="0" r="0" b="0"/>
            <wp:wrapTopAndBottom/>
            <wp:docPr id="65" name="image2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285.pn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8214" cy="3684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96"/>
        <w:ind w:left="440" w:right="417" w:firstLine="0"/>
        <w:jc w:val="both"/>
        <w:rPr>
          <w:i/>
          <w:sz w:val="24"/>
        </w:rPr>
      </w:pPr>
      <w:bookmarkStart w:name="_bookmark105" w:id="367"/>
      <w:bookmarkEnd w:id="367"/>
      <w:r>
        <w:rPr/>
      </w:r>
      <w:r>
        <w:rPr>
          <w:i/>
          <w:sz w:val="24"/>
        </w:rPr>
        <w:t>Figure 6-3. Failure types in wood loaded in compression perpendicular to grain: (a)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crushing an earlywood zone, (b) shearing along a growth ring, (c) buckling of growth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rings,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adapted from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[31].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2"/>
        <w:rPr>
          <w:i/>
          <w:sz w:val="37"/>
        </w:rPr>
      </w:pPr>
    </w:p>
    <w:p>
      <w:pPr>
        <w:pStyle w:val="BodyText"/>
        <w:spacing w:line="480" w:lineRule="auto"/>
        <w:ind w:left="440" w:right="417" w:firstLine="720"/>
        <w:jc w:val="both"/>
      </w:pPr>
      <w:r>
        <w:rPr/>
        <w:t>For tensile loads perpendicular to the grain, the common failure modes are tension</w:t>
      </w:r>
      <w:r>
        <w:rPr>
          <w:spacing w:val="-57"/>
        </w:rPr>
        <w:t> </w:t>
      </w:r>
      <w:r>
        <w:rPr/>
        <w:t>failure and shearing as shown in </w:t>
      </w:r>
      <w:hyperlink w:history="true" w:anchor="_bookmark106">
        <w:r>
          <w:rPr/>
          <w:t>Figure 6-4</w:t>
        </w:r>
      </w:hyperlink>
      <w:r>
        <w:rPr/>
        <w:t>.</w:t>
      </w:r>
      <w:r>
        <w:rPr>
          <w:spacing w:val="1"/>
        </w:rPr>
        <w:t> </w:t>
      </w:r>
      <w:r>
        <w:rPr/>
        <w:t>Instead of crushing, the tensile force induces</w:t>
      </w:r>
      <w:r>
        <w:rPr>
          <w:spacing w:val="-57"/>
        </w:rPr>
        <w:t> </w:t>
      </w:r>
      <w:r>
        <w:rPr/>
        <w:t>fracture as the wood cells pull apart from each other.</w:t>
      </w:r>
      <w:r>
        <w:rPr>
          <w:spacing w:val="1"/>
        </w:rPr>
        <w:t> </w:t>
      </w:r>
      <w:r>
        <w:rPr/>
        <w:t>In the radial direction, this failure</w:t>
      </w:r>
      <w:r>
        <w:rPr>
          <w:spacing w:val="1"/>
        </w:rPr>
        <w:t> </w:t>
      </w:r>
      <w:r>
        <w:rPr>
          <w:spacing w:val="-1"/>
        </w:rPr>
        <w:t>occurs</w:t>
      </w:r>
      <w:r>
        <w:rPr>
          <w:spacing w:val="-16"/>
        </w:rPr>
        <w:t> </w:t>
      </w:r>
      <w:r>
        <w:rPr>
          <w:spacing w:val="-1"/>
        </w:rPr>
        <w:t>in</w:t>
      </w:r>
      <w:r>
        <w:rPr>
          <w:spacing w:val="-15"/>
        </w:rPr>
        <w:t> </w:t>
      </w:r>
      <w:r>
        <w:rPr>
          <w:spacing w:val="-1"/>
        </w:rPr>
        <w:t>the</w:t>
      </w:r>
      <w:r>
        <w:rPr>
          <w:spacing w:val="-15"/>
        </w:rPr>
        <w:t> </w:t>
      </w:r>
      <w:r>
        <w:rPr>
          <w:spacing w:val="-1"/>
        </w:rPr>
        <w:t>earlywood.</w:t>
      </w:r>
      <w:r>
        <w:rPr>
          <w:spacing w:val="30"/>
        </w:rPr>
        <w:t> </w:t>
      </w:r>
      <w:r>
        <w:rPr/>
        <w:t>Shearing</w:t>
      </w:r>
      <w:r>
        <w:rPr>
          <w:spacing w:val="-14"/>
        </w:rPr>
        <w:t> </w:t>
      </w:r>
      <w:r>
        <w:rPr/>
        <w:t>along</w:t>
      </w:r>
      <w:r>
        <w:rPr>
          <w:spacing w:val="-15"/>
        </w:rPr>
        <w:t> </w:t>
      </w:r>
      <w:r>
        <w:rPr/>
        <w:t>the</w:t>
      </w:r>
      <w:r>
        <w:rPr>
          <w:spacing w:val="-14"/>
        </w:rPr>
        <w:t> </w:t>
      </w:r>
      <w:r>
        <w:rPr/>
        <w:t>growth</w:t>
      </w:r>
      <w:r>
        <w:rPr>
          <w:spacing w:val="-15"/>
        </w:rPr>
        <w:t> </w:t>
      </w:r>
      <w:r>
        <w:rPr/>
        <w:t>ring,</w:t>
      </w:r>
      <w:r>
        <w:rPr>
          <w:spacing w:val="-15"/>
        </w:rPr>
        <w:t> </w:t>
      </w:r>
      <w:r>
        <w:rPr/>
        <w:t>similar</w:t>
      </w:r>
      <w:r>
        <w:rPr>
          <w:spacing w:val="-13"/>
        </w:rPr>
        <w:t> </w:t>
      </w:r>
      <w:r>
        <w:rPr/>
        <w:t>to</w:t>
      </w:r>
      <w:r>
        <w:rPr>
          <w:spacing w:val="-16"/>
        </w:rPr>
        <w:t> </w:t>
      </w:r>
      <w:r>
        <w:rPr/>
        <w:t>annual</w:t>
      </w:r>
      <w:r>
        <w:rPr>
          <w:spacing w:val="-16"/>
        </w:rPr>
        <w:t> </w:t>
      </w:r>
      <w:r>
        <w:rPr/>
        <w:t>ring</w:t>
      </w:r>
      <w:r>
        <w:rPr>
          <w:spacing w:val="-15"/>
        </w:rPr>
        <w:t> </w:t>
      </w:r>
      <w:r>
        <w:rPr/>
        <w:t>decohesion,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40" w:right="418"/>
        <w:jc w:val="both"/>
      </w:pPr>
      <w:r>
        <w:rPr/>
        <w:t>remains a failure mode.</w:t>
      </w:r>
      <w:r>
        <w:rPr>
          <w:spacing w:val="1"/>
        </w:rPr>
        <w:t> </w:t>
      </w:r>
      <w:r>
        <w:rPr/>
        <w:t>For tangential tensile loads, the wood often fractures in the wood</w:t>
      </w:r>
      <w:r>
        <w:rPr>
          <w:spacing w:val="-57"/>
        </w:rPr>
        <w:t> </w:t>
      </w:r>
      <w:r>
        <w:rPr/>
        <w:t>rays (wood rays are a radial-oriented ribbon or sheet, which serves to transport the sap of</w:t>
      </w:r>
      <w:r>
        <w:rPr>
          <w:spacing w:val="1"/>
        </w:rPr>
        <w:t> </w:t>
      </w:r>
      <w:r>
        <w:rPr/>
        <w:t>the tree).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252">
            <wp:simplePos x="0" y="0"/>
            <wp:positionH relativeFrom="page">
              <wp:posOffset>1644967</wp:posOffset>
            </wp:positionH>
            <wp:positionV relativeFrom="paragraph">
              <wp:posOffset>190499</wp:posOffset>
            </wp:positionV>
            <wp:extent cx="4977426" cy="3610355"/>
            <wp:effectExtent l="0" t="0" r="0" b="0"/>
            <wp:wrapTopAndBottom/>
            <wp:docPr id="67" name="image2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286.pn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7426" cy="361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09"/>
        <w:ind w:left="440" w:right="419" w:firstLine="0"/>
        <w:jc w:val="both"/>
        <w:rPr>
          <w:i/>
          <w:sz w:val="24"/>
        </w:rPr>
      </w:pPr>
      <w:bookmarkStart w:name="_bookmark106" w:id="368"/>
      <w:bookmarkEnd w:id="368"/>
      <w:r>
        <w:rPr/>
      </w:r>
      <w:r>
        <w:rPr>
          <w:i/>
          <w:sz w:val="24"/>
        </w:rPr>
        <w:t>Figure 6-4. Failure types in wood under tensile load perpendicular to grain: (a) tension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failure in earlywood, (b) shearing along growth ring, (c) tension failure of wood rays,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adapted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from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[31].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4"/>
        <w:rPr>
          <w:i/>
          <w:sz w:val="37"/>
        </w:rPr>
      </w:pPr>
    </w:p>
    <w:p>
      <w:pPr>
        <w:pStyle w:val="BodyText"/>
        <w:spacing w:line="480" w:lineRule="auto"/>
        <w:ind w:left="439" w:right="417" w:firstLine="720"/>
        <w:jc w:val="both"/>
      </w:pPr>
      <w:r>
        <w:rPr/>
        <w:t>Failure types for wood in bending with the span parallel to the grain can include</w:t>
      </w:r>
      <w:r>
        <w:rPr>
          <w:spacing w:val="1"/>
        </w:rPr>
        <w:t> </w:t>
      </w:r>
      <w:r>
        <w:rPr/>
        <w:t>both tension and compression failures.</w:t>
      </w:r>
      <w:r>
        <w:rPr>
          <w:spacing w:val="1"/>
        </w:rPr>
        <w:t> </w:t>
      </w:r>
      <w:hyperlink w:history="true" w:anchor="_bookmark107">
        <w:r>
          <w:rPr/>
          <w:t>Figure 6-5 </w:t>
        </w:r>
      </w:hyperlink>
      <w:r>
        <w:rPr/>
        <w:t>shows six flexural failure modes for</w:t>
      </w:r>
      <w:r>
        <w:rPr>
          <w:spacing w:val="1"/>
        </w:rPr>
        <w:t> </w:t>
      </w:r>
      <w:r>
        <w:rPr/>
        <w:t>clear wood.</w:t>
      </w:r>
      <w:r>
        <w:rPr>
          <w:spacing w:val="1"/>
        </w:rPr>
        <w:t> </w:t>
      </w:r>
      <w:r>
        <w:rPr/>
        <w:t>Simple tension is not common but may be observed in dense wood.</w:t>
      </w:r>
      <w:r>
        <w:rPr>
          <w:spacing w:val="1"/>
        </w:rPr>
        <w:t> </w:t>
      </w:r>
      <w:r>
        <w:rPr/>
        <w:t>Cross-</w:t>
      </w:r>
      <w:r>
        <w:rPr>
          <w:spacing w:val="1"/>
        </w:rPr>
        <w:t> </w:t>
      </w:r>
      <w:r>
        <w:rPr/>
        <w:t>grain tension is seen frequently, where splintering tension is observed in wood with a low</w:t>
      </w:r>
      <w:r>
        <w:rPr>
          <w:spacing w:val="-57"/>
        </w:rPr>
        <w:t> </w:t>
      </w:r>
      <w:r>
        <w:rPr/>
        <w:t>moisture</w:t>
      </w:r>
      <w:r>
        <w:rPr>
          <w:spacing w:val="55"/>
        </w:rPr>
        <w:t> </w:t>
      </w:r>
      <w:r>
        <w:rPr/>
        <w:t>content.</w:t>
      </w:r>
      <w:r>
        <w:rPr>
          <w:spacing w:val="54"/>
        </w:rPr>
        <w:t> </w:t>
      </w:r>
      <w:r>
        <w:rPr/>
        <w:t>Brash</w:t>
      </w:r>
      <w:r>
        <w:rPr>
          <w:spacing w:val="56"/>
        </w:rPr>
        <w:t> </w:t>
      </w:r>
      <w:r>
        <w:rPr/>
        <w:t>tension</w:t>
      </w:r>
      <w:r>
        <w:rPr>
          <w:spacing w:val="56"/>
        </w:rPr>
        <w:t> </w:t>
      </w:r>
      <w:r>
        <w:rPr/>
        <w:t>is</w:t>
      </w:r>
      <w:r>
        <w:rPr>
          <w:spacing w:val="56"/>
        </w:rPr>
        <w:t> </w:t>
      </w:r>
      <w:r>
        <w:rPr/>
        <w:t>associated</w:t>
      </w:r>
      <w:r>
        <w:rPr>
          <w:spacing w:val="55"/>
        </w:rPr>
        <w:t> </w:t>
      </w:r>
      <w:r>
        <w:rPr/>
        <w:t>with</w:t>
      </w:r>
      <w:r>
        <w:rPr>
          <w:spacing w:val="56"/>
        </w:rPr>
        <w:t> </w:t>
      </w:r>
      <w:r>
        <w:rPr/>
        <w:t>abnormal</w:t>
      </w:r>
      <w:r>
        <w:rPr>
          <w:spacing w:val="58"/>
        </w:rPr>
        <w:t> </w:t>
      </w:r>
      <w:r>
        <w:rPr/>
        <w:t>molecular</w:t>
      </w:r>
      <w:r>
        <w:rPr>
          <w:spacing w:val="57"/>
        </w:rPr>
        <w:t> </w:t>
      </w:r>
      <w:r>
        <w:rPr/>
        <w:t>structure</w:t>
      </w:r>
      <w:r>
        <w:rPr>
          <w:spacing w:val="55"/>
        </w:rPr>
        <w:t> </w:t>
      </w:r>
      <w:r>
        <w:rPr/>
        <w:t>or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40" w:right="417"/>
        <w:jc w:val="both"/>
      </w:pPr>
      <w:r>
        <w:rPr/>
        <w:t>compression wood formed on the underside of branches or a leaning trunk.</w:t>
      </w:r>
      <w:r>
        <w:rPr>
          <w:spacing w:val="1"/>
        </w:rPr>
        <w:t> </w:t>
      </w:r>
      <w:r>
        <w:rPr/>
        <w:t>Compression</w:t>
      </w:r>
      <w:r>
        <w:rPr>
          <w:spacing w:val="-57"/>
        </w:rPr>
        <w:t> </w:t>
      </w:r>
      <w:r>
        <w:rPr/>
        <w:t>failure is often observed in low density wood and horizontal shear is common in species</w:t>
      </w:r>
      <w:r>
        <w:rPr>
          <w:spacing w:val="1"/>
        </w:rPr>
        <w:t> </w:t>
      </w:r>
      <w:r>
        <w:rPr/>
        <w:t>more prone to defects with planes of weakness [31]. The aforementioned explanations for</w:t>
      </w:r>
      <w:r>
        <w:rPr>
          <w:spacing w:val="-57"/>
        </w:rPr>
        <w:t> </w:t>
      </w:r>
      <w:r>
        <w:rPr/>
        <w:t>the</w:t>
      </w:r>
      <w:r>
        <w:rPr>
          <w:spacing w:val="-11"/>
        </w:rPr>
        <w:t> </w:t>
      </w:r>
      <w:r>
        <w:rPr/>
        <w:t>different</w:t>
      </w:r>
      <w:r>
        <w:rPr>
          <w:spacing w:val="-12"/>
        </w:rPr>
        <w:t> </w:t>
      </w:r>
      <w:r>
        <w:rPr/>
        <w:t>failure</w:t>
      </w:r>
      <w:r>
        <w:rPr>
          <w:spacing w:val="-11"/>
        </w:rPr>
        <w:t> </w:t>
      </w:r>
      <w:r>
        <w:rPr/>
        <w:t>types</w:t>
      </w:r>
      <w:r>
        <w:rPr>
          <w:spacing w:val="-12"/>
        </w:rPr>
        <w:t> </w:t>
      </w:r>
      <w:r>
        <w:rPr/>
        <w:t>are</w:t>
      </w:r>
      <w:r>
        <w:rPr>
          <w:spacing w:val="-11"/>
        </w:rPr>
        <w:t> </w:t>
      </w:r>
      <w:r>
        <w:rPr/>
        <w:t>based</w:t>
      </w:r>
      <w:r>
        <w:rPr>
          <w:spacing w:val="-11"/>
        </w:rPr>
        <w:t> </w:t>
      </w:r>
      <w:r>
        <w:rPr/>
        <w:t>on</w:t>
      </w:r>
      <w:r>
        <w:rPr>
          <w:spacing w:val="-11"/>
        </w:rPr>
        <w:t> </w:t>
      </w:r>
      <w:r>
        <w:rPr/>
        <w:t>common</w:t>
      </w:r>
      <w:r>
        <w:rPr>
          <w:spacing w:val="-11"/>
        </w:rPr>
        <w:t> </w:t>
      </w:r>
      <w:r>
        <w:rPr/>
        <w:t>observances</w:t>
      </w:r>
      <w:r>
        <w:rPr>
          <w:spacing w:val="-11"/>
        </w:rPr>
        <w:t> </w:t>
      </w:r>
      <w:r>
        <w:rPr/>
        <w:t>and</w:t>
      </w:r>
      <w:r>
        <w:rPr>
          <w:spacing w:val="-11"/>
        </w:rPr>
        <w:t> </w:t>
      </w:r>
      <w:r>
        <w:rPr/>
        <w:t>are</w:t>
      </w:r>
      <w:r>
        <w:rPr>
          <w:spacing w:val="-11"/>
        </w:rPr>
        <w:t> </w:t>
      </w:r>
      <w:r>
        <w:rPr/>
        <w:t>not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only</w:t>
      </w:r>
      <w:r>
        <w:rPr>
          <w:spacing w:val="-11"/>
        </w:rPr>
        <w:t> </w:t>
      </w:r>
      <w:r>
        <w:rPr/>
        <w:t>situations</w:t>
      </w:r>
      <w:r>
        <w:rPr>
          <w:spacing w:val="-58"/>
        </w:rPr>
        <w:t> </w:t>
      </w:r>
      <w:r>
        <w:rPr/>
        <w:t>for</w:t>
      </w:r>
      <w:r>
        <w:rPr>
          <w:spacing w:val="-1"/>
        </w:rPr>
        <w:t> </w:t>
      </w:r>
      <w:r>
        <w:rPr/>
        <w:t>those specific failure</w:t>
      </w:r>
      <w:r>
        <w:rPr>
          <w:spacing w:val="-1"/>
        </w:rPr>
        <w:t> </w:t>
      </w:r>
      <w:r>
        <w:rPr/>
        <w:t>modes.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253">
            <wp:simplePos x="0" y="0"/>
            <wp:positionH relativeFrom="page">
              <wp:posOffset>1371600</wp:posOffset>
            </wp:positionH>
            <wp:positionV relativeFrom="paragraph">
              <wp:posOffset>190495</wp:posOffset>
            </wp:positionV>
            <wp:extent cx="5691874" cy="2914650"/>
            <wp:effectExtent l="0" t="0" r="0" b="0"/>
            <wp:wrapTopAndBottom/>
            <wp:docPr id="69" name="image2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287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1874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sz w:val="32"/>
        </w:rPr>
      </w:pPr>
    </w:p>
    <w:p>
      <w:pPr>
        <w:spacing w:before="0"/>
        <w:ind w:left="440" w:right="417" w:firstLine="0"/>
        <w:jc w:val="both"/>
        <w:rPr>
          <w:i/>
          <w:sz w:val="24"/>
        </w:rPr>
      </w:pPr>
      <w:bookmarkStart w:name="_bookmark107" w:id="369"/>
      <w:bookmarkEnd w:id="369"/>
      <w:r>
        <w:rPr/>
      </w:r>
      <w:r>
        <w:rPr>
          <w:i/>
          <w:sz w:val="24"/>
        </w:rPr>
        <w:t>Figure 6-5. Failure types in wood in bending with span parallel to the grain: (a) simple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tension,</w:t>
      </w:r>
      <w:r>
        <w:rPr>
          <w:i/>
          <w:spacing w:val="-10"/>
          <w:sz w:val="24"/>
        </w:rPr>
        <w:t> </w:t>
      </w:r>
      <w:r>
        <w:rPr>
          <w:i/>
          <w:sz w:val="24"/>
        </w:rPr>
        <w:t>(b)</w:t>
      </w:r>
      <w:r>
        <w:rPr>
          <w:i/>
          <w:spacing w:val="-11"/>
          <w:sz w:val="24"/>
        </w:rPr>
        <w:t> </w:t>
      </w:r>
      <w:r>
        <w:rPr>
          <w:i/>
          <w:sz w:val="24"/>
        </w:rPr>
        <w:t>cross-grain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tension,</w:t>
      </w:r>
      <w:r>
        <w:rPr>
          <w:i/>
          <w:spacing w:val="-10"/>
          <w:sz w:val="24"/>
        </w:rPr>
        <w:t> </w:t>
      </w:r>
      <w:r>
        <w:rPr>
          <w:i/>
          <w:sz w:val="24"/>
        </w:rPr>
        <w:t>(c)</w:t>
      </w:r>
      <w:r>
        <w:rPr>
          <w:i/>
          <w:spacing w:val="-12"/>
          <w:sz w:val="24"/>
        </w:rPr>
        <w:t> </w:t>
      </w:r>
      <w:r>
        <w:rPr>
          <w:i/>
          <w:sz w:val="24"/>
        </w:rPr>
        <w:t>splintering</w:t>
      </w:r>
      <w:r>
        <w:rPr>
          <w:i/>
          <w:spacing w:val="-10"/>
          <w:sz w:val="24"/>
        </w:rPr>
        <w:t> </w:t>
      </w:r>
      <w:r>
        <w:rPr>
          <w:i/>
          <w:sz w:val="24"/>
        </w:rPr>
        <w:t>tension,</w:t>
      </w:r>
      <w:r>
        <w:rPr>
          <w:i/>
          <w:spacing w:val="-10"/>
          <w:sz w:val="24"/>
        </w:rPr>
        <w:t> </w:t>
      </w:r>
      <w:r>
        <w:rPr>
          <w:i/>
          <w:sz w:val="24"/>
        </w:rPr>
        <w:t>(d)</w:t>
      </w:r>
      <w:r>
        <w:rPr>
          <w:i/>
          <w:spacing w:val="-12"/>
          <w:sz w:val="24"/>
        </w:rPr>
        <w:t> </w:t>
      </w:r>
      <w:r>
        <w:rPr>
          <w:i/>
          <w:sz w:val="24"/>
        </w:rPr>
        <w:t>brash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tension,</w:t>
      </w:r>
      <w:r>
        <w:rPr>
          <w:i/>
          <w:spacing w:val="-11"/>
          <w:sz w:val="24"/>
        </w:rPr>
        <w:t> </w:t>
      </w:r>
      <w:r>
        <w:rPr>
          <w:i/>
          <w:sz w:val="24"/>
        </w:rPr>
        <w:t>(e)</w:t>
      </w:r>
      <w:r>
        <w:rPr>
          <w:i/>
          <w:spacing w:val="-12"/>
          <w:sz w:val="24"/>
        </w:rPr>
        <w:t> </w:t>
      </w:r>
      <w:r>
        <w:rPr>
          <w:i/>
          <w:sz w:val="24"/>
        </w:rPr>
        <w:t>compression,</w:t>
      </w:r>
    </w:p>
    <w:p>
      <w:pPr>
        <w:pStyle w:val="ListParagraph"/>
        <w:numPr>
          <w:ilvl w:val="2"/>
          <w:numId w:val="11"/>
        </w:numPr>
        <w:tabs>
          <w:tab w:pos="726" w:val="left" w:leader="none"/>
        </w:tabs>
        <w:spacing w:line="240" w:lineRule="auto" w:before="0" w:after="0"/>
        <w:ind w:left="725" w:right="0" w:hanging="286"/>
        <w:jc w:val="both"/>
        <w:rPr>
          <w:i/>
          <w:sz w:val="24"/>
        </w:rPr>
      </w:pPr>
      <w:r>
        <w:rPr>
          <w:i/>
          <w:sz w:val="24"/>
        </w:rPr>
        <w:t>horizontal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shear, adapted from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[31].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7"/>
        <w:rPr>
          <w:i/>
          <w:sz w:val="23"/>
        </w:rPr>
      </w:pPr>
    </w:p>
    <w:p>
      <w:pPr>
        <w:pStyle w:val="ListParagraph"/>
        <w:numPr>
          <w:ilvl w:val="2"/>
          <w:numId w:val="23"/>
        </w:numPr>
        <w:tabs>
          <w:tab w:pos="980" w:val="left" w:leader="none"/>
        </w:tabs>
        <w:spacing w:line="240" w:lineRule="auto" w:before="0" w:after="0"/>
        <w:ind w:left="980" w:right="0" w:hanging="540"/>
        <w:jc w:val="both"/>
        <w:rPr>
          <w:i/>
          <w:sz w:val="24"/>
        </w:rPr>
      </w:pPr>
      <w:bookmarkStart w:name="6.5.2 Wood failure modes in CLT with bal" w:id="370"/>
      <w:bookmarkEnd w:id="370"/>
      <w:r>
        <w:rPr/>
      </w:r>
      <w:bookmarkStart w:name="6.5.2 Wood failure modes in CLT with bal" w:id="371"/>
      <w:bookmarkEnd w:id="371"/>
      <w:r>
        <w:rPr>
          <w:i/>
          <w:sz w:val="24"/>
        </w:rPr>
        <w:t>Wood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failure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modes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CLT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with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ballistic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impact</w:t>
      </w:r>
    </w:p>
    <w:p>
      <w:pPr>
        <w:pStyle w:val="BodyText"/>
        <w:spacing w:before="11"/>
        <w:rPr>
          <w:i/>
          <w:sz w:val="21"/>
        </w:rPr>
      </w:pPr>
    </w:p>
    <w:p>
      <w:pPr>
        <w:pStyle w:val="BodyText"/>
        <w:spacing w:line="480" w:lineRule="auto"/>
        <w:ind w:left="440" w:right="416" w:firstLine="720"/>
        <w:jc w:val="both"/>
      </w:pPr>
      <w:r>
        <w:rPr/>
        <w:t>In prior studies, the most common failure modes caused by ballistic impact of</w:t>
      </w:r>
      <w:r>
        <w:rPr>
          <w:spacing w:val="1"/>
        </w:rPr>
        <w:t> </w:t>
      </w:r>
      <w:r>
        <w:rPr/>
        <w:t>wood, as outlined by Zukas and discussed in Chapter 3, are typically for thin targets.</w:t>
      </w:r>
      <w:r>
        <w:rPr>
          <w:spacing w:val="1"/>
        </w:rPr>
        <w:t> </w:t>
      </w:r>
      <w:r>
        <w:rPr/>
        <w:t>However,</w:t>
      </w:r>
      <w:r>
        <w:rPr>
          <w:spacing w:val="-11"/>
        </w:rPr>
        <w:t> </w:t>
      </w:r>
      <w:r>
        <w:rPr/>
        <w:t>the</w:t>
      </w:r>
      <w:r>
        <w:rPr>
          <w:spacing w:val="-10"/>
        </w:rPr>
        <w:t> </w:t>
      </w:r>
      <w:r>
        <w:rPr/>
        <w:t>failure</w:t>
      </w:r>
      <w:r>
        <w:rPr>
          <w:spacing w:val="-11"/>
        </w:rPr>
        <w:t> </w:t>
      </w:r>
      <w:r>
        <w:rPr/>
        <w:t>modes</w:t>
      </w:r>
      <w:r>
        <w:rPr>
          <w:spacing w:val="-10"/>
        </w:rPr>
        <w:t> </w:t>
      </w:r>
      <w:r>
        <w:rPr/>
        <w:t>are</w:t>
      </w:r>
      <w:r>
        <w:rPr>
          <w:spacing w:val="-10"/>
        </w:rPr>
        <w:t> </w:t>
      </w:r>
      <w:r>
        <w:rPr/>
        <w:t>still</w:t>
      </w:r>
      <w:r>
        <w:rPr>
          <w:spacing w:val="-12"/>
        </w:rPr>
        <w:t> </w:t>
      </w:r>
      <w:r>
        <w:rPr/>
        <w:t>applicable</w:t>
      </w:r>
      <w:r>
        <w:rPr>
          <w:spacing w:val="-10"/>
        </w:rPr>
        <w:t> </w:t>
      </w:r>
      <w:r>
        <w:rPr/>
        <w:t>with</w:t>
      </w:r>
      <w:r>
        <w:rPr>
          <w:spacing w:val="-11"/>
        </w:rPr>
        <w:t> </w:t>
      </w:r>
      <w:r>
        <w:rPr/>
        <w:t>the</w:t>
      </w:r>
      <w:r>
        <w:rPr>
          <w:spacing w:val="-10"/>
        </w:rPr>
        <w:t> </w:t>
      </w:r>
      <w:r>
        <w:rPr/>
        <w:t>CLT</w:t>
      </w:r>
      <w:r>
        <w:rPr>
          <w:spacing w:val="-10"/>
        </w:rPr>
        <w:t> </w:t>
      </w:r>
      <w:r>
        <w:rPr/>
        <w:t>(thick)</w:t>
      </w:r>
      <w:r>
        <w:rPr>
          <w:spacing w:val="-10"/>
        </w:rPr>
        <w:t> </w:t>
      </w:r>
      <w:r>
        <w:rPr/>
        <w:t>targets.</w:t>
      </w:r>
      <w:r>
        <w:rPr>
          <w:spacing w:val="41"/>
        </w:rPr>
        <w:t> </w:t>
      </w:r>
      <w:r>
        <w:rPr/>
        <w:t>The</w:t>
      </w:r>
      <w:r>
        <w:rPr>
          <w:spacing w:val="-11"/>
        </w:rPr>
        <w:t> </w:t>
      </w:r>
      <w:r>
        <w:rPr/>
        <w:t>projectile</w:t>
      </w:r>
      <w:r>
        <w:rPr>
          <w:spacing w:val="-57"/>
        </w:rPr>
        <w:t> </w:t>
      </w:r>
      <w:r>
        <w:rPr/>
        <w:t>creates</w:t>
      </w:r>
      <w:r>
        <w:rPr>
          <w:spacing w:val="16"/>
        </w:rPr>
        <w:t> </w:t>
      </w:r>
      <w:r>
        <w:rPr/>
        <w:t>a</w:t>
      </w:r>
      <w:r>
        <w:rPr>
          <w:spacing w:val="18"/>
        </w:rPr>
        <w:t> </w:t>
      </w:r>
      <w:r>
        <w:rPr/>
        <w:t>combination</w:t>
      </w:r>
      <w:r>
        <w:rPr>
          <w:spacing w:val="17"/>
        </w:rPr>
        <w:t> </w:t>
      </w:r>
      <w:r>
        <w:rPr/>
        <w:t>of</w:t>
      </w:r>
      <w:r>
        <w:rPr>
          <w:spacing w:val="17"/>
        </w:rPr>
        <w:t> </w:t>
      </w:r>
      <w:r>
        <w:rPr/>
        <w:t>failure</w:t>
      </w:r>
      <w:r>
        <w:rPr>
          <w:spacing w:val="17"/>
        </w:rPr>
        <w:t> </w:t>
      </w:r>
      <w:r>
        <w:rPr/>
        <w:t>types</w:t>
      </w:r>
      <w:r>
        <w:rPr>
          <w:spacing w:val="17"/>
        </w:rPr>
        <w:t> </w:t>
      </w:r>
      <w:r>
        <w:rPr/>
        <w:t>as</w:t>
      </w:r>
      <w:r>
        <w:rPr>
          <w:spacing w:val="17"/>
        </w:rPr>
        <w:t> </w:t>
      </w:r>
      <w:r>
        <w:rPr/>
        <w:t>it</w:t>
      </w:r>
      <w:r>
        <w:rPr>
          <w:spacing w:val="18"/>
        </w:rPr>
        <w:t> </w:t>
      </w:r>
      <w:r>
        <w:rPr/>
        <w:t>impacts</w:t>
      </w:r>
      <w:r>
        <w:rPr>
          <w:spacing w:val="16"/>
        </w:rPr>
        <w:t> </w:t>
      </w:r>
      <w:r>
        <w:rPr/>
        <w:t>the</w:t>
      </w:r>
      <w:r>
        <w:rPr>
          <w:spacing w:val="17"/>
        </w:rPr>
        <w:t> </w:t>
      </w:r>
      <w:r>
        <w:rPr/>
        <w:t>wood,</w:t>
      </w:r>
      <w:r>
        <w:rPr>
          <w:spacing w:val="17"/>
        </w:rPr>
        <w:t> </w:t>
      </w:r>
      <w:r>
        <w:rPr/>
        <w:t>creating</w:t>
      </w:r>
      <w:r>
        <w:rPr>
          <w:spacing w:val="17"/>
        </w:rPr>
        <w:t> </w:t>
      </w:r>
      <w:r>
        <w:rPr/>
        <w:t>complex</w:t>
      </w:r>
      <w:r>
        <w:rPr>
          <w:spacing w:val="18"/>
        </w:rPr>
        <w:t> </w:t>
      </w:r>
      <w:r>
        <w:rPr/>
        <w:t>damage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40" w:right="417"/>
        <w:jc w:val="both"/>
      </w:pPr>
      <w:r>
        <w:rPr>
          <w:spacing w:val="-1"/>
        </w:rPr>
        <w:t>states</w:t>
      </w:r>
      <w:r>
        <w:rPr>
          <w:spacing w:val="-15"/>
        </w:rPr>
        <w:t> </w:t>
      </w:r>
      <w:r>
        <w:rPr>
          <w:spacing w:val="-1"/>
        </w:rPr>
        <w:t>in</w:t>
      </w:r>
      <w:r>
        <w:rPr>
          <w:spacing w:val="-15"/>
        </w:rPr>
        <w:t> </w:t>
      </w:r>
      <w:r>
        <w:rPr>
          <w:spacing w:val="-1"/>
        </w:rPr>
        <w:t>the</w:t>
      </w:r>
      <w:r>
        <w:rPr>
          <w:spacing w:val="-16"/>
        </w:rPr>
        <w:t> </w:t>
      </w:r>
      <w:r>
        <w:rPr>
          <w:spacing w:val="-1"/>
        </w:rPr>
        <w:t>panel.</w:t>
      </w:r>
      <w:r>
        <w:rPr>
          <w:spacing w:val="32"/>
        </w:rPr>
        <w:t> </w:t>
      </w:r>
      <w:r>
        <w:rPr/>
        <w:t>In</w:t>
      </w:r>
      <w:r>
        <w:rPr>
          <w:spacing w:val="-15"/>
        </w:rPr>
        <w:t> </w:t>
      </w:r>
      <w:r>
        <w:rPr/>
        <w:t>the</w:t>
      </w:r>
      <w:r>
        <w:rPr>
          <w:spacing w:val="-16"/>
        </w:rPr>
        <w:t> </w:t>
      </w:r>
      <w:r>
        <w:rPr/>
        <w:t>cases</w:t>
      </w:r>
      <w:r>
        <w:rPr>
          <w:spacing w:val="-14"/>
        </w:rPr>
        <w:t> </w:t>
      </w:r>
      <w:r>
        <w:rPr/>
        <w:t>where</w:t>
      </w:r>
      <w:r>
        <w:rPr>
          <w:spacing w:val="-16"/>
        </w:rPr>
        <w:t> </w:t>
      </w:r>
      <w:r>
        <w:rPr/>
        <w:t>the</w:t>
      </w:r>
      <w:r>
        <w:rPr>
          <w:spacing w:val="-15"/>
        </w:rPr>
        <w:t> </w:t>
      </w:r>
      <w:r>
        <w:rPr/>
        <w:t>projectile</w:t>
      </w:r>
      <w:r>
        <w:rPr>
          <w:spacing w:val="-15"/>
        </w:rPr>
        <w:t> </w:t>
      </w:r>
      <w:r>
        <w:rPr/>
        <w:t>is</w:t>
      </w:r>
      <w:r>
        <w:rPr>
          <w:spacing w:val="-14"/>
        </w:rPr>
        <w:t> </w:t>
      </w:r>
      <w:r>
        <w:rPr/>
        <w:t>moving</w:t>
      </w:r>
      <w:r>
        <w:rPr>
          <w:spacing w:val="-15"/>
        </w:rPr>
        <w:t> </w:t>
      </w:r>
      <w:r>
        <w:rPr/>
        <w:t>in</w:t>
      </w:r>
      <w:r>
        <w:rPr>
          <w:spacing w:val="-15"/>
        </w:rPr>
        <w:t> </w:t>
      </w:r>
      <w:r>
        <w:rPr/>
        <w:t>a</w:t>
      </w:r>
      <w:r>
        <w:rPr>
          <w:spacing w:val="-14"/>
        </w:rPr>
        <w:t> </w:t>
      </w:r>
      <w:r>
        <w:rPr/>
        <w:t>primarily</w:t>
      </w:r>
      <w:r>
        <w:rPr>
          <w:spacing w:val="-15"/>
        </w:rPr>
        <w:t> </w:t>
      </w:r>
      <w:r>
        <w:rPr/>
        <w:t>radial</w:t>
      </w:r>
      <w:r>
        <w:rPr>
          <w:spacing w:val="-14"/>
        </w:rPr>
        <w:t> </w:t>
      </w:r>
      <w:r>
        <w:rPr/>
        <w:t>direction</w:t>
      </w:r>
      <w:r>
        <w:rPr>
          <w:spacing w:val="-58"/>
        </w:rPr>
        <w:t> </w:t>
      </w:r>
      <w:r>
        <w:rPr/>
        <w:t>through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wood,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damage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wood</w:t>
      </w:r>
      <w:r>
        <w:rPr>
          <w:spacing w:val="-6"/>
        </w:rPr>
        <w:t> </w:t>
      </w:r>
      <w:r>
        <w:rPr/>
        <w:t>appears</w:t>
      </w:r>
      <w:r>
        <w:rPr>
          <w:spacing w:val="-6"/>
        </w:rPr>
        <w:t> </w:t>
      </w:r>
      <w:r>
        <w:rPr/>
        <w:t>most</w:t>
      </w:r>
      <w:r>
        <w:rPr>
          <w:spacing w:val="-6"/>
        </w:rPr>
        <w:t> </w:t>
      </w:r>
      <w:r>
        <w:rPr/>
        <w:t>like</w:t>
      </w:r>
      <w:r>
        <w:rPr>
          <w:spacing w:val="-7"/>
        </w:rPr>
        <w:t> </w:t>
      </w:r>
      <w:r>
        <w:rPr/>
        <w:t>petaling.</w:t>
      </w:r>
      <w:r>
        <w:rPr>
          <w:spacing w:val="47"/>
        </w:rPr>
        <w:t> </w:t>
      </w:r>
      <w:r>
        <w:rPr/>
        <w:t>In</w:t>
      </w:r>
      <w:r>
        <w:rPr>
          <w:spacing w:val="-7"/>
        </w:rPr>
        <w:t> </w:t>
      </w:r>
      <w:r>
        <w:rPr/>
        <w:t>this</w:t>
      </w:r>
      <w:r>
        <w:rPr>
          <w:spacing w:val="-6"/>
        </w:rPr>
        <w:t> </w:t>
      </w:r>
      <w:r>
        <w:rPr/>
        <w:t>instance,</w:t>
      </w:r>
      <w:r>
        <w:rPr>
          <w:spacing w:val="-7"/>
        </w:rPr>
        <w:t> </w:t>
      </w:r>
      <w:r>
        <w:rPr/>
        <w:t>the</w:t>
      </w:r>
      <w:r>
        <w:rPr>
          <w:spacing w:val="-58"/>
        </w:rPr>
        <w:t> </w:t>
      </w:r>
      <w:r>
        <w:rPr/>
        <w:t>growth rings at the edges of the cavity are bent in the direction of the projectile’s motion.</w:t>
      </w:r>
      <w:r>
        <w:rPr>
          <w:spacing w:val="1"/>
        </w:rPr>
        <w:t> </w:t>
      </w:r>
      <w:r>
        <w:rPr/>
        <w:t>Petaling</w:t>
      </w:r>
      <w:r>
        <w:rPr>
          <w:spacing w:val="-4"/>
        </w:rPr>
        <w:t> </w:t>
      </w:r>
      <w:r>
        <w:rPr/>
        <w:t>in</w:t>
      </w:r>
      <w:r>
        <w:rPr>
          <w:spacing w:val="-3"/>
        </w:rPr>
        <w:t> </w:t>
      </w:r>
      <w:r>
        <w:rPr/>
        <w:t>ductile</w:t>
      </w:r>
      <w:r>
        <w:rPr>
          <w:spacing w:val="-2"/>
        </w:rPr>
        <w:t> </w:t>
      </w:r>
      <w:r>
        <w:rPr/>
        <w:t>metals</w:t>
      </w:r>
      <w:r>
        <w:rPr>
          <w:spacing w:val="-2"/>
        </w:rPr>
        <w:t> </w:t>
      </w:r>
      <w:r>
        <w:rPr/>
        <w:t>is</w:t>
      </w:r>
      <w:r>
        <w:rPr>
          <w:spacing w:val="-2"/>
        </w:rPr>
        <w:t> </w:t>
      </w:r>
      <w:r>
        <w:rPr/>
        <w:t>associated</w:t>
      </w:r>
      <w:r>
        <w:rPr>
          <w:spacing w:val="-3"/>
        </w:rPr>
        <w:t> </w:t>
      </w:r>
      <w:r>
        <w:rPr/>
        <w:t>with</w:t>
      </w:r>
      <w:r>
        <w:rPr>
          <w:spacing w:val="-3"/>
        </w:rPr>
        <w:t> </w:t>
      </w:r>
      <w:r>
        <w:rPr/>
        <w:t>large</w:t>
      </w:r>
      <w:r>
        <w:rPr>
          <w:spacing w:val="-4"/>
        </w:rPr>
        <w:t> </w:t>
      </w:r>
      <w:r>
        <w:rPr/>
        <w:t>plastic</w:t>
      </w:r>
      <w:r>
        <w:rPr>
          <w:spacing w:val="-2"/>
        </w:rPr>
        <w:t> </w:t>
      </w:r>
      <w:r>
        <w:rPr/>
        <w:t>flow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/>
        <w:t>permanent</w:t>
      </w:r>
      <w:r>
        <w:rPr>
          <w:spacing w:val="-2"/>
        </w:rPr>
        <w:t> </w:t>
      </w:r>
      <w:r>
        <w:rPr/>
        <w:t>flexure</w:t>
      </w:r>
      <w:r>
        <w:rPr>
          <w:spacing w:val="-2"/>
        </w:rPr>
        <w:t> </w:t>
      </w:r>
      <w:r>
        <w:rPr/>
        <w:t>[27].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/>
        <w:ind w:left="439" w:right="416" w:firstLine="720"/>
        <w:jc w:val="both"/>
      </w:pPr>
      <w:r>
        <w:rPr/>
        <w:t>Similar transport of material due to projectile passage is visible in those plies with</w:t>
      </w:r>
      <w:r>
        <w:rPr>
          <w:spacing w:val="-57"/>
        </w:rPr>
        <w:t> </w:t>
      </w:r>
      <w:r>
        <w:rPr/>
        <w:t>the wood oriented such that the radial-tangential plane is exposed with the cut.</w:t>
      </w:r>
      <w:r>
        <w:rPr>
          <w:spacing w:val="1"/>
        </w:rPr>
        <w:t> </w:t>
      </w:r>
      <w:r>
        <w:rPr/>
        <w:t>The sawn</w:t>
      </w:r>
      <w:r>
        <w:rPr>
          <w:spacing w:val="1"/>
        </w:rPr>
        <w:t> </w:t>
      </w:r>
      <w:r>
        <w:rPr/>
        <w:t>timbers with high contrast in the earlywood and latewood growth rings show a distinct</w:t>
      </w:r>
      <w:r>
        <w:rPr>
          <w:spacing w:val="1"/>
        </w:rPr>
        <w:t> </w:t>
      </w:r>
      <w:r>
        <w:rPr/>
        <w:t>altered</w:t>
      </w:r>
      <w:r>
        <w:rPr>
          <w:spacing w:val="-11"/>
        </w:rPr>
        <w:t> </w:t>
      </w:r>
      <w:r>
        <w:rPr/>
        <w:t>curvature</w:t>
      </w:r>
      <w:r>
        <w:rPr>
          <w:spacing w:val="-11"/>
        </w:rPr>
        <w:t> </w:t>
      </w:r>
      <w:r>
        <w:rPr/>
        <w:t>to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ring</w:t>
      </w:r>
      <w:r>
        <w:rPr>
          <w:spacing w:val="-10"/>
        </w:rPr>
        <w:t> </w:t>
      </w:r>
      <w:r>
        <w:rPr/>
        <w:t>direction</w:t>
      </w:r>
      <w:r>
        <w:rPr>
          <w:spacing w:val="-11"/>
        </w:rPr>
        <w:t> </w:t>
      </w:r>
      <w:r>
        <w:rPr/>
        <w:t>caused</w:t>
      </w:r>
      <w:r>
        <w:rPr>
          <w:spacing w:val="-11"/>
        </w:rPr>
        <w:t> </w:t>
      </w:r>
      <w:r>
        <w:rPr/>
        <w:t>by</w:t>
      </w:r>
      <w:r>
        <w:rPr>
          <w:spacing w:val="-11"/>
        </w:rPr>
        <w:t> </w:t>
      </w:r>
      <w:r>
        <w:rPr/>
        <w:t>the</w:t>
      </w:r>
      <w:r>
        <w:rPr>
          <w:spacing w:val="-10"/>
        </w:rPr>
        <w:t> </w:t>
      </w:r>
      <w:r>
        <w:rPr/>
        <w:t>projectile,</w:t>
      </w:r>
      <w:r>
        <w:rPr>
          <w:spacing w:val="-10"/>
        </w:rPr>
        <w:t> </w:t>
      </w:r>
      <w:r>
        <w:rPr/>
        <w:t>as</w:t>
      </w:r>
      <w:r>
        <w:rPr>
          <w:spacing w:val="-11"/>
        </w:rPr>
        <w:t> </w:t>
      </w:r>
      <w:r>
        <w:rPr/>
        <w:t>shown</w:t>
      </w:r>
      <w:r>
        <w:rPr>
          <w:spacing w:val="-9"/>
        </w:rPr>
        <w:t> </w:t>
      </w:r>
      <w:r>
        <w:rPr/>
        <w:t>in</w:t>
      </w:r>
      <w:r>
        <w:rPr>
          <w:spacing w:val="-11"/>
        </w:rPr>
        <w:t> </w:t>
      </w:r>
      <w:hyperlink w:history="true" w:anchor="_bookmark108">
        <w:r>
          <w:rPr/>
          <w:t>Figure</w:t>
        </w:r>
        <w:r>
          <w:rPr>
            <w:spacing w:val="-10"/>
          </w:rPr>
          <w:t> </w:t>
        </w:r>
        <w:r>
          <w:rPr/>
          <w:t>6-6</w:t>
        </w:r>
      </w:hyperlink>
      <w:r>
        <w:rPr/>
        <w:t>.</w:t>
      </w:r>
      <w:r>
        <w:rPr>
          <w:spacing w:val="38"/>
        </w:rPr>
        <w:t> </w:t>
      </w:r>
      <w:r>
        <w:rPr/>
        <w:t>The</w:t>
      </w:r>
      <w:r>
        <w:rPr>
          <w:spacing w:val="-58"/>
        </w:rPr>
        <w:t> </w:t>
      </w:r>
      <w:r>
        <w:rPr/>
        <w:t>natural curve of the darker colored latewood’s growth ring deviates from its natural path</w:t>
      </w:r>
      <w:r>
        <w:rPr>
          <w:spacing w:val="1"/>
        </w:rPr>
        <w:t> </w:t>
      </w:r>
      <w:r>
        <w:rPr/>
        <w:t>with the forces applied by the passing projectile.</w:t>
      </w:r>
      <w:r>
        <w:rPr>
          <w:spacing w:val="1"/>
        </w:rPr>
        <w:t> </w:t>
      </w:r>
      <w:r>
        <w:rPr/>
        <w:t>These sections of the wood appear like</w:t>
      </w:r>
      <w:r>
        <w:rPr>
          <w:spacing w:val="1"/>
        </w:rPr>
        <w:t> </w:t>
      </w:r>
      <w:r>
        <w:rPr/>
        <w:t>angular</w:t>
      </w:r>
      <w:r>
        <w:rPr>
          <w:spacing w:val="-8"/>
        </w:rPr>
        <w:t> </w:t>
      </w:r>
      <w:r>
        <w:rPr/>
        <w:t>petals</w:t>
      </w:r>
      <w:r>
        <w:rPr>
          <w:spacing w:val="-8"/>
        </w:rPr>
        <w:t> </w:t>
      </w:r>
      <w:r>
        <w:rPr/>
        <w:t>bending</w:t>
      </w:r>
      <w:r>
        <w:rPr>
          <w:spacing w:val="-9"/>
        </w:rPr>
        <w:t> </w:t>
      </w:r>
      <w:r>
        <w:rPr/>
        <w:t>out</w:t>
      </w:r>
      <w:r>
        <w:rPr>
          <w:spacing w:val="-7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way,</w:t>
      </w:r>
      <w:r>
        <w:rPr>
          <w:spacing w:val="-9"/>
        </w:rPr>
        <w:t> </w:t>
      </w:r>
      <w:r>
        <w:rPr/>
        <w:t>leaving</w:t>
      </w:r>
      <w:r>
        <w:rPr>
          <w:spacing w:val="-8"/>
        </w:rPr>
        <w:t> </w:t>
      </w:r>
      <w:r>
        <w:rPr/>
        <w:t>a</w:t>
      </w:r>
      <w:r>
        <w:rPr>
          <w:spacing w:val="-8"/>
        </w:rPr>
        <w:t> </w:t>
      </w:r>
      <w:r>
        <w:rPr/>
        <w:t>jagged</w:t>
      </w:r>
      <w:r>
        <w:rPr>
          <w:spacing w:val="-9"/>
        </w:rPr>
        <w:t> </w:t>
      </w:r>
      <w:r>
        <w:rPr/>
        <w:t>debris</w:t>
      </w:r>
      <w:r>
        <w:rPr>
          <w:spacing w:val="-10"/>
        </w:rPr>
        <w:t> </w:t>
      </w:r>
      <w:r>
        <w:rPr/>
        <w:t>filled</w:t>
      </w:r>
      <w:r>
        <w:rPr>
          <w:spacing w:val="-8"/>
        </w:rPr>
        <w:t> </w:t>
      </w:r>
      <w:r>
        <w:rPr/>
        <w:t>cavity</w:t>
      </w:r>
      <w:r>
        <w:rPr>
          <w:spacing w:val="-10"/>
        </w:rPr>
        <w:t> </w:t>
      </w:r>
      <w:r>
        <w:rPr/>
        <w:t>in</w:t>
      </w:r>
      <w:r>
        <w:rPr>
          <w:spacing w:val="-9"/>
        </w:rPr>
        <w:t> </w:t>
      </w:r>
      <w:r>
        <w:rPr/>
        <w:t>its</w:t>
      </w:r>
      <w:r>
        <w:rPr>
          <w:spacing w:val="-8"/>
        </w:rPr>
        <w:t> </w:t>
      </w:r>
      <w:r>
        <w:rPr/>
        <w:t>wake</w:t>
      </w:r>
      <w:r>
        <w:rPr>
          <w:spacing w:val="-9"/>
        </w:rPr>
        <w:t> </w:t>
      </w:r>
      <w:r>
        <w:rPr/>
        <w:t>with</w:t>
      </w:r>
      <w:r>
        <w:rPr>
          <w:spacing w:val="-58"/>
        </w:rPr>
        <w:t> </w:t>
      </w:r>
      <w:r>
        <w:rPr/>
        <w:t>splits</w:t>
      </w:r>
      <w:r>
        <w:rPr>
          <w:spacing w:val="-1"/>
        </w:rPr>
        <w:t> </w:t>
      </w:r>
      <w:r>
        <w:rPr/>
        <w:t>developing between the growth</w:t>
      </w:r>
      <w:r>
        <w:rPr>
          <w:spacing w:val="-3"/>
        </w:rPr>
        <w:t> </w:t>
      </w:r>
      <w:r>
        <w:rPr/>
        <w:t>rings, as</w:t>
      </w:r>
      <w:r>
        <w:rPr>
          <w:spacing w:val="-1"/>
        </w:rPr>
        <w:t> </w:t>
      </w:r>
      <w:r>
        <w:rPr/>
        <w:t>shown in</w:t>
      </w:r>
      <w:r>
        <w:rPr>
          <w:spacing w:val="-1"/>
        </w:rPr>
        <w:t> </w:t>
      </w:r>
      <w:hyperlink w:history="true" w:anchor="_bookmark108">
        <w:r>
          <w:rPr/>
          <w:t>Figure 6-6</w:t>
        </w:r>
      </w:hyperlink>
      <w:r>
        <w:rPr/>
        <w:t>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/>
        <w:ind w:left="439" w:right="416" w:firstLine="720"/>
        <w:jc w:val="both"/>
      </w:pPr>
      <w:r>
        <w:rPr/>
        <w:t>Unlike a thin-plated target with a single set of petals, possibly on the back face or</w:t>
      </w:r>
      <w:r>
        <w:rPr>
          <w:spacing w:val="1"/>
        </w:rPr>
        <w:t> </w:t>
      </w:r>
      <w:r>
        <w:rPr/>
        <w:t>the</w:t>
      </w:r>
      <w:r>
        <w:rPr>
          <w:spacing w:val="-8"/>
        </w:rPr>
        <w:t> </w:t>
      </w:r>
      <w:r>
        <w:rPr/>
        <w:t>front</w:t>
      </w:r>
      <w:r>
        <w:rPr>
          <w:spacing w:val="-7"/>
        </w:rPr>
        <w:t> </w:t>
      </w:r>
      <w:r>
        <w:rPr/>
        <w:t>face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impacted</w:t>
      </w:r>
      <w:r>
        <w:rPr>
          <w:spacing w:val="-8"/>
        </w:rPr>
        <w:t> </w:t>
      </w:r>
      <w:r>
        <w:rPr/>
        <w:t>surface,</w:t>
      </w:r>
      <w:r>
        <w:rPr>
          <w:spacing w:val="-7"/>
        </w:rPr>
        <w:t> </w:t>
      </w:r>
      <w:r>
        <w:rPr/>
        <w:t>in</w:t>
      </w:r>
      <w:r>
        <w:rPr>
          <w:spacing w:val="-7"/>
        </w:rPr>
        <w:t> </w:t>
      </w:r>
      <w:r>
        <w:rPr/>
        <w:t>CLT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petaling</w:t>
      </w:r>
      <w:r>
        <w:rPr>
          <w:spacing w:val="-7"/>
        </w:rPr>
        <w:t> </w:t>
      </w:r>
      <w:r>
        <w:rPr/>
        <w:t>appears</w:t>
      </w:r>
      <w:r>
        <w:rPr>
          <w:spacing w:val="-8"/>
        </w:rPr>
        <w:t> </w:t>
      </w:r>
      <w:r>
        <w:rPr/>
        <w:t>in</w:t>
      </w:r>
      <w:r>
        <w:rPr>
          <w:spacing w:val="-9"/>
        </w:rPr>
        <w:t> </w:t>
      </w:r>
      <w:r>
        <w:rPr/>
        <w:t>layers</w:t>
      </w:r>
      <w:r>
        <w:rPr>
          <w:spacing w:val="-7"/>
        </w:rPr>
        <w:t> </w:t>
      </w:r>
      <w:r>
        <w:rPr/>
        <w:t>throughout</w:t>
      </w:r>
      <w:r>
        <w:rPr>
          <w:spacing w:val="-7"/>
        </w:rPr>
        <w:t> </w:t>
      </w:r>
      <w:r>
        <w:rPr/>
        <w:t>the</w:t>
      </w:r>
      <w:r>
        <w:rPr>
          <w:spacing w:val="-58"/>
        </w:rPr>
        <w:t> </w:t>
      </w:r>
      <w:r>
        <w:rPr/>
        <w:t>projectile path.</w:t>
      </w:r>
      <w:r>
        <w:rPr>
          <w:spacing w:val="1"/>
        </w:rPr>
        <w:t> </w:t>
      </w:r>
      <w:r>
        <w:rPr/>
        <w:t>Additionally, instead of triangular shaped petals, the fractured wood is</w:t>
      </w:r>
      <w:r>
        <w:rPr>
          <w:spacing w:val="1"/>
        </w:rPr>
        <w:t> </w:t>
      </w:r>
      <w:r>
        <w:rPr/>
        <w:t>boxier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shape,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may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caused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spherical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blunt</w:t>
      </w:r>
      <w:r>
        <w:rPr>
          <w:spacing w:val="1"/>
        </w:rPr>
        <w:t> </w:t>
      </w:r>
      <w:r>
        <w:rPr/>
        <w:t>nosed</w:t>
      </w:r>
      <w:r>
        <w:rPr>
          <w:spacing w:val="1"/>
        </w:rPr>
        <w:t> </w:t>
      </w:r>
      <w:r>
        <w:rPr/>
        <w:t>projectiles,</w:t>
      </w:r>
      <w:r>
        <w:rPr>
          <w:spacing w:val="1"/>
        </w:rPr>
        <w:t> </w:t>
      </w:r>
      <w:r>
        <w:rPr/>
        <w:t>characteristics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wood,</w:t>
      </w:r>
      <w:r>
        <w:rPr>
          <w:spacing w:val="-6"/>
        </w:rPr>
        <w:t> </w:t>
      </w:r>
      <w:r>
        <w:rPr/>
        <w:t>or</w:t>
      </w:r>
      <w:r>
        <w:rPr>
          <w:spacing w:val="-6"/>
        </w:rPr>
        <w:t> </w:t>
      </w:r>
      <w:r>
        <w:rPr/>
        <w:t>a</w:t>
      </w:r>
      <w:r>
        <w:rPr>
          <w:spacing w:val="-8"/>
        </w:rPr>
        <w:t> </w:t>
      </w:r>
      <w:r>
        <w:rPr/>
        <w:t>combination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both.</w:t>
      </w:r>
      <w:r>
        <w:rPr>
          <w:spacing w:val="47"/>
        </w:rPr>
        <w:t> </w:t>
      </w:r>
      <w:r>
        <w:rPr/>
        <w:t>The</w:t>
      </w:r>
      <w:r>
        <w:rPr>
          <w:spacing w:val="-7"/>
        </w:rPr>
        <w:t> </w:t>
      </w:r>
      <w:r>
        <w:rPr/>
        <w:t>damage</w:t>
      </w:r>
      <w:r>
        <w:rPr>
          <w:spacing w:val="-6"/>
        </w:rPr>
        <w:t> </w:t>
      </w:r>
      <w:r>
        <w:rPr/>
        <w:t>is</w:t>
      </w:r>
      <w:r>
        <w:rPr>
          <w:spacing w:val="-6"/>
        </w:rPr>
        <w:t> </w:t>
      </w:r>
      <w:r>
        <w:rPr/>
        <w:t>localized,</w:t>
      </w:r>
      <w:r>
        <w:rPr>
          <w:spacing w:val="-8"/>
        </w:rPr>
        <w:t> </w:t>
      </w:r>
      <w:r>
        <w:rPr/>
        <w:t>within</w:t>
      </w:r>
      <w:r>
        <w:rPr>
          <w:spacing w:val="-7"/>
        </w:rPr>
        <w:t> </w:t>
      </w:r>
      <w:r>
        <w:rPr/>
        <w:t>one</w:t>
      </w:r>
      <w:r>
        <w:rPr>
          <w:spacing w:val="-58"/>
        </w:rPr>
        <w:t> </w:t>
      </w:r>
      <w:r>
        <w:rPr/>
        <w:t>diameter of the projectile, on either side of the projectile’s path.</w:t>
      </w:r>
      <w:r>
        <w:rPr>
          <w:spacing w:val="1"/>
        </w:rPr>
        <w:t> </w:t>
      </w:r>
      <w:r>
        <w:rPr/>
        <w:t>With the 0.50-in. sphere,</w:t>
      </w:r>
      <w:r>
        <w:rPr>
          <w:spacing w:val="-57"/>
        </w:rPr>
        <w:t> </w:t>
      </w:r>
      <w:r>
        <w:rPr/>
        <w:t>the zone had a total width of approximately 1.50-in, for entire projectile path, as shown in</w:t>
      </w:r>
      <w:r>
        <w:rPr>
          <w:spacing w:val="-57"/>
        </w:rPr>
        <w:t> </w:t>
      </w:r>
      <w:hyperlink w:history="true" w:anchor="_bookmark109">
        <w:r>
          <w:rPr/>
          <w:t>Figure 6-7</w:t>
        </w:r>
      </w:hyperlink>
      <w:r>
        <w:rPr/>
        <w:t>.</w:t>
      </w:r>
      <w:r>
        <w:rPr>
          <w:spacing w:val="1"/>
        </w:rPr>
        <w:t> </w:t>
      </w:r>
      <w:r>
        <w:rPr/>
        <w:t>Outside of this damage zone, the wood appears unaffected by the passage of</w:t>
      </w:r>
      <w:r>
        <w:rPr>
          <w:spacing w:val="1"/>
        </w:rPr>
        <w:t> </w:t>
      </w:r>
      <w:r>
        <w:rPr/>
        <w:t>the projectile, although in some locations cracks are propagated beyond this localized</w:t>
      </w:r>
      <w:r>
        <w:rPr>
          <w:spacing w:val="1"/>
        </w:rPr>
        <w:t> </w:t>
      </w:r>
      <w:r>
        <w:rPr/>
        <w:t>region.</w:t>
      </w:r>
      <w:r>
        <w:rPr>
          <w:spacing w:val="16"/>
        </w:rPr>
        <w:t> </w:t>
      </w:r>
      <w:r>
        <w:rPr/>
        <w:t>Within</w:t>
      </w:r>
      <w:r>
        <w:rPr>
          <w:spacing w:val="7"/>
        </w:rPr>
        <w:t> </w:t>
      </w:r>
      <w:r>
        <w:rPr/>
        <w:t>the</w:t>
      </w:r>
      <w:r>
        <w:rPr>
          <w:spacing w:val="7"/>
        </w:rPr>
        <w:t> </w:t>
      </w:r>
      <w:r>
        <w:rPr/>
        <w:t>zone,</w:t>
      </w:r>
      <w:r>
        <w:rPr>
          <w:spacing w:val="7"/>
        </w:rPr>
        <w:t> </w:t>
      </w:r>
      <w:r>
        <w:rPr/>
        <w:t>the</w:t>
      </w:r>
      <w:r>
        <w:rPr>
          <w:spacing w:val="7"/>
        </w:rPr>
        <w:t> </w:t>
      </w:r>
      <w:r>
        <w:rPr/>
        <w:t>area</w:t>
      </w:r>
      <w:r>
        <w:rPr>
          <w:spacing w:val="7"/>
        </w:rPr>
        <w:t> </w:t>
      </w:r>
      <w:r>
        <w:rPr/>
        <w:t>around</w:t>
      </w:r>
      <w:r>
        <w:rPr>
          <w:spacing w:val="7"/>
        </w:rPr>
        <w:t> </w:t>
      </w:r>
      <w:r>
        <w:rPr/>
        <w:t>the</w:t>
      </w:r>
      <w:r>
        <w:rPr>
          <w:spacing w:val="7"/>
        </w:rPr>
        <w:t> </w:t>
      </w:r>
      <w:r>
        <w:rPr/>
        <w:t>petal</w:t>
      </w:r>
      <w:r>
        <w:rPr>
          <w:spacing w:val="8"/>
        </w:rPr>
        <w:t> </w:t>
      </w:r>
      <w:r>
        <w:rPr/>
        <w:t>is</w:t>
      </w:r>
      <w:r>
        <w:rPr>
          <w:spacing w:val="7"/>
        </w:rPr>
        <w:t> </w:t>
      </w:r>
      <w:r>
        <w:rPr/>
        <w:t>no</w:t>
      </w:r>
      <w:r>
        <w:rPr>
          <w:spacing w:val="7"/>
        </w:rPr>
        <w:t> </w:t>
      </w:r>
      <w:r>
        <w:rPr/>
        <w:t>longer</w:t>
      </w:r>
      <w:r>
        <w:rPr>
          <w:spacing w:val="7"/>
        </w:rPr>
        <w:t> </w:t>
      </w:r>
      <w:r>
        <w:rPr/>
        <w:t>continuous</w:t>
      </w:r>
      <w:r>
        <w:rPr>
          <w:spacing w:val="7"/>
        </w:rPr>
        <w:t> </w:t>
      </w:r>
      <w:r>
        <w:rPr/>
        <w:t>wood</w:t>
      </w:r>
      <w:r>
        <w:rPr>
          <w:spacing w:val="7"/>
        </w:rPr>
        <w:t> </w:t>
      </w:r>
      <w:r>
        <w:rPr/>
        <w:t>as</w:t>
      </w:r>
      <w:r>
        <w:rPr>
          <w:spacing w:val="7"/>
        </w:rPr>
        <w:t> </w:t>
      </w:r>
      <w:r>
        <w:rPr/>
        <w:t>there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40" w:right="403"/>
      </w:pPr>
      <w:r>
        <w:rPr/>
        <w:t>are frequently gaps between the distinct petals. These spaces likely developed as the force</w:t>
      </w:r>
      <w:r>
        <w:rPr>
          <w:spacing w:val="-57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projectile and</w:t>
      </w:r>
      <w:r>
        <w:rPr>
          <w:spacing w:val="-1"/>
        </w:rPr>
        <w:t> </w:t>
      </w:r>
      <w:r>
        <w:rPr/>
        <w:t>its shock</w:t>
      </w:r>
      <w:r>
        <w:rPr>
          <w:spacing w:val="-1"/>
        </w:rPr>
        <w:t> </w:t>
      </w:r>
      <w:r>
        <w:rPr/>
        <w:t>waves split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growth rings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their</w:t>
      </w:r>
      <w:r>
        <w:rPr>
          <w:spacing w:val="-1"/>
        </w:rPr>
        <w:t> </w:t>
      </w:r>
      <w:r>
        <w:rPr/>
        <w:t>transition zones.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2"/>
        </w:rPr>
      </w:pPr>
      <w:r>
        <w:rPr/>
        <w:pict>
          <v:group style="position:absolute;margin-left:132.931091pt;margin-top:15.275618pt;width:115.4pt;height:103.75pt;mso-position-horizontal-relative:page;mso-position-vertical-relative:paragraph;z-index:-15598592;mso-wrap-distance-left:0;mso-wrap-distance-right:0" coordorigin="2659,306" coordsize="2308,2075">
            <v:shape style="position:absolute;left:2658;top:305;width:2308;height:2075" type="#_x0000_t75" stroked="false">
              <v:imagedata r:id="rId298" o:title=""/>
            </v:shape>
            <v:shape style="position:absolute;left:3240;top:1530;width:282;height:372" type="#_x0000_t75" stroked="false">
              <v:imagedata r:id="rId299" o:title=""/>
            </v:shape>
            <v:shape style="position:absolute;left:3428;top:623;width:280;height:372" type="#_x0000_t75" stroked="false">
              <v:imagedata r:id="rId300" o:title=""/>
            </v:shape>
            <v:shape style="position:absolute;left:2724;top:1614;width:481;height:205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Entry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254.137238pt;margin-top:15.27511pt;width:135.25pt;height:103.75pt;mso-position-horizontal-relative:page;mso-position-vertical-relative:paragraph;z-index:-15598080;mso-wrap-distance-left:0;mso-wrap-distance-right:0" coordorigin="5083,306" coordsize="2705,2075">
            <v:shape style="position:absolute;left:5082;top:305;width:2705;height:2075" type="#_x0000_t75" stroked="false">
              <v:imagedata r:id="rId301" o:title=""/>
            </v:shape>
            <v:shape style="position:absolute;left:5614;top:628;width:100;height:424" coordorigin="5614,628" coordsize="100,424" path="m5688,628l5686,632,5684,635,5682,639,5680,641,5679,643,5677,645,5676,647,5673,648,5671,649,5670,651,5670,654,5669,656,5667,660,5664,665,5661,668,5652,677,5656,672,5650,681,5649,683,5649,686,5648,688,5645,693,5642,696,5637,700,5637,702,5636,705,5635,707,5633,711,5627,719,5620,738,5618,745,5618,747,5617,749,5616,751,5614,762,5615,788,5615,814,5622,886,5623,887,5624,889,5626,891,5627,893,5630,900,5629,899,5628,899,5633,906,5634,910,5635,915,5637,919,5639,921,5641,923,5642,925,5646,935,5646,938,5645,940,5648,948,5649,951,5651,954,5652,957,5653,959,5653,961,5654,963,5657,971,5658,972,5663,978,5663,981,5663,984,5665,987,5666,990,5669,992,5671,995,5674,999,5677,1004,5680,1008,5688,1021,5689,1023,5690,1026,5692,1027,5699,1029,5700,1035,5702,1035,5707,1042,5713,1052,5704,1046,5713,1050e" filled="false" stroked="true" strokeweight=".441019pt" strokecolor="#000000">
              <v:path arrowok="t"/>
              <v:stroke dashstyle="solid"/>
            </v:shape>
            <v:shape style="position:absolute;left:5608;top:1300;width:100;height:424" coordorigin="5609,1300" coordsize="100,424" path="m5682,1300l5680,1304,5678,1307,5676,1311,5675,1313,5674,1315,5672,1317,5670,1319,5668,1320,5666,1321,5665,1323,5665,1326,5663,1328,5661,1332,5659,1337,5655,1340,5647,1348,5650,1344,5644,1353,5644,1355,5643,1357,5642,1359,5639,1365,5636,1367,5632,1372,5631,1374,5631,1377,5630,1378,5627,1383,5621,1391,5615,1410,5613,1417,5612,1419,5611,1421,5611,1423,5609,1434,5609,1460,5609,1486,5617,1558,5617,1559,5618,1561,5620,1563,5621,1565,5624,1572,5623,1571,5623,1571,5628,1578,5629,1582,5629,1587,5632,1591,5633,1593,5635,1595,5636,1597,5640,1607,5640,1610,5640,1611,5642,1620,5643,1623,5645,1626,5647,1629,5647,1631,5648,1633,5649,1635,5652,1643,5653,1644,5657,1650,5658,1653,5658,1656,5659,1658,5661,1662,5664,1664,5666,1667,5668,1671,5671,1675,5674,1680,5682,1692,5684,1695,5684,1698,5687,1699,5693,1701,5695,1707,5696,1707,5701,1714,5708,1723,5699,1718,5708,1722e" filled="false" stroked="true" strokeweight=".441019pt" strokecolor="#000000">
              <v:path arrowok="t"/>
              <v:stroke dashstyle="solid"/>
            </v:shape>
            <w10:wrap type="topAndBottom"/>
          </v:group>
        </w:pict>
      </w:r>
      <w:r>
        <w:rPr/>
        <w:pict>
          <v:group style="position:absolute;margin-left:399.761078pt;margin-top:15.11195pt;width:117.35pt;height:104.05pt;mso-position-horizontal-relative:page;mso-position-vertical-relative:paragraph;z-index:-15597568;mso-wrap-distance-left:0;mso-wrap-distance-right:0" coordorigin="7995,302" coordsize="2347,2081">
            <v:shape style="position:absolute;left:7995;top:302;width:2347;height:2081" type="#_x0000_t75" stroked="false">
              <v:imagedata r:id="rId302" o:title=""/>
            </v:shape>
            <v:shape style="position:absolute;left:9005;top:1559;width:40;height:325" coordorigin="9005,1560" coordsize="40,325" path="m9045,1560l9035,1572,9031,1577,9028,1584,9021,1599,9017,1610,9015,1619,9013,1629,9012,1638,9011,1644,9011,1650,9010,1656,9008,1663,9005,1677,9005,1697,9006,1717,9006,1736,9007,1756,9008,1760,9008,1763,9010,1767,9012,1774,9016,1781,9019,1788,9021,1792,9023,1795,9024,1799,9026,1810,9026,1809,9027,1809,9031,1820,9032,1824,9032,1828,9033,1831,9034,1835,9036,1838,9038,1842,9039,1847,9044,1869,9045,1877,9045,1880,9045,1882,9045,1885e" filled="false" stroked="true" strokeweight=".44093pt" strokecolor="#000000">
              <v:path arrowok="t"/>
              <v:stroke dashstyle="solid"/>
            </v:shape>
            <v:shape style="position:absolute;left:8756;top:778;width:120;height:270" type="#_x0000_t75" stroked="false">
              <v:imagedata r:id="rId303" o:title=""/>
            </v:shape>
            <v:shape style="position:absolute;left:9254;top:1631;width:40;height:326" coordorigin="9254,1631" coordsize="40,326" path="m9294,1631l9284,1643,9280,1649,9277,1656,9270,1671,9266,1682,9264,1691,9262,1701,9261,1710,9260,1716,9260,1722,9259,1728,9257,1735,9254,1750,9255,1769,9255,1789,9256,1809,9256,1828,9257,1832,9258,1836,9259,1839,9262,1847,9265,1854,9268,1861,9270,1864,9272,1867,9273,1871,9275,1882,9275,1882,9276,1882,9280,1893,9281,1896,9281,1900,9282,1904,9283,1908,9286,1911,9287,1914,9288,1920,9293,1942,9294,1950,9294,1953,9294,1955,9294,1957e" filled="false" stroked="true" strokeweight=".44093pt" strokecolor="#000000">
              <v:path arrowok="t"/>
              <v:stroke dashstyle="solid"/>
            </v:shape>
            <v:shape style="position:absolute;left:9221;top:789;width:118;height:269" type="#_x0000_t75" stroked="false">
              <v:imagedata r:id="rId304" o:title=""/>
            </v:shape>
            <w10:wrap type="topAndBottom"/>
          </v:group>
        </w:pict>
      </w:r>
      <w:r>
        <w:rPr/>
        <w:pict>
          <v:group style="position:absolute;margin-left:132.931091pt;margin-top:129.808624pt;width:259.9pt;height:117.05pt;mso-position-horizontal-relative:page;mso-position-vertical-relative:paragraph;z-index:-15597056;mso-wrap-distance-left:0;mso-wrap-distance-right:0" coordorigin="2659,2596" coordsize="5198,2341">
            <v:shape style="position:absolute;left:2658;top:2596;width:5198;height:2341" type="#_x0000_t75" stroked="false">
              <v:imagedata r:id="rId305" o:title=""/>
            </v:shape>
            <v:shape style="position:absolute;left:4231;top:3900;width:41;height:326" coordorigin="4232,3900" coordsize="41,326" path="m4272,3900l4263,3912,4258,3918,4255,3924,4248,3939,4244,3950,4242,3960,4240,3969,4239,3979,4238,3985,4238,3991,4236,3997,4235,4004,4232,4018,4232,4038,4233,4058,4233,4077,4234,4097,4234,4101,4235,4105,4236,4108,4239,4115,4243,4122,4246,4129,4248,4133,4250,4136,4251,4140,4253,4151,4253,4151,4254,4150,4258,4162,4259,4165,4259,4169,4260,4172,4262,4176,4264,4179,4265,4183,4267,4189,4271,4211,4272,4219,4273,4221,4272,4224,4272,4226e" filled="false" stroked="true" strokeweight=".440931pt" strokecolor="#000000">
              <v:path arrowok="t"/>
              <v:stroke dashstyle="solid"/>
            </v:shape>
            <v:shape style="position:absolute;left:4138;top:3093;width:118;height:270" type="#_x0000_t75" stroked="false">
              <v:imagedata r:id="rId306" o:title=""/>
            </v:shape>
            <v:shape style="position:absolute;left:6507;top:3905;width:41;height:325" coordorigin="6507,3906" coordsize="41,325" path="m6548,3906l6538,3917,6534,3923,6530,3930,6524,3945,6519,3956,6517,3965,6515,3974,6514,3984,6513,3990,6513,3996,6512,4002,6510,4009,6507,4023,6508,4043,6508,4063,6509,4082,6509,4102,6510,4106,6511,4109,6512,4113,6515,4120,6518,4127,6521,4134,6523,4138,6525,4141,6526,4145,6529,4156,6529,4155,6529,4155,6533,4166,6534,4170,6535,4174,6536,4177,6537,4181,6539,4184,6541,4188,6542,4193,6547,4215,6548,4223,6548,4226,6548,4228,6548,4230e" filled="false" stroked="true" strokeweight=".440931pt" strokecolor="#000000">
              <v:path arrowok="t"/>
              <v:stroke dashstyle="solid"/>
            </v:shape>
            <v:shape style="position:absolute;left:6413;top:3098;width:120;height:269" type="#_x0000_t75" stroked="false">
              <v:imagedata r:id="rId307" o:title=""/>
            </v:shape>
            <v:shape style="position:absolute;left:7387;top:3926;width:41;height:326" coordorigin="7388,3927" coordsize="41,326" path="m7428,3927l7419,3939,7414,3944,7411,3951,7405,3966,7400,3977,7398,3986,7396,3996,7395,4005,7394,4011,7394,4017,7393,4023,7391,4031,7388,4045,7388,4064,7389,4084,7389,4104,7390,4124,7390,4127,7391,4131,7393,4134,7395,4142,7399,4149,7402,4156,7404,4159,7406,4162,7407,4167,7409,4177,7409,4177,7410,4177,7414,4188,7415,4191,7415,4195,7417,4199,7418,4203,7420,4206,7421,4210,7423,4215,7428,4237,7428,4245,7429,4248,7428,4250,7428,4253e" filled="false" stroked="true" strokeweight=".440931pt" strokecolor="#000000">
              <v:path arrowok="t"/>
              <v:stroke dashstyle="solid"/>
            </v:shape>
            <v:shape style="position:absolute;left:7294;top:3119;width:118;height:270" type="#_x0000_t75" stroked="false">
              <v:imagedata r:id="rId306" o:title=""/>
            </v:shape>
            <v:shape style="position:absolute;left:2724;top:4106;width:481;height:205" type="#_x0000_t202" filled="false" stroked="false">
              <v:textbox inset="0,0,0,0">
                <w:txbxContent>
                  <w:p>
                    <w:pPr>
                      <w:spacing w:line="203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Entry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399.761017pt;margin-top:129.808105pt;width:114.75pt;height:117.05pt;mso-position-horizontal-relative:page;mso-position-vertical-relative:paragraph;z-index:-15596544;mso-wrap-distance-left:0;mso-wrap-distance-right:0" coordorigin="7995,2596" coordsize="2295,2341">
            <v:shape style="position:absolute;left:7995;top:2596;width:2295;height:2341" type="#_x0000_t75" stroked="false">
              <v:imagedata r:id="rId308" o:title=""/>
            </v:shape>
            <v:shape style="position:absolute;left:8385;top:3910;width:41;height:326" coordorigin="8385,3910" coordsize="41,326" path="m8426,3910l8416,3922,8412,3928,8409,3934,8402,3949,8397,3960,8396,3970,8394,3979,8393,3989,8392,3995,8391,4001,8390,4007,8389,4014,8385,4028,8386,4048,8386,4068,8387,4087,8388,4107,8388,4111,8389,4114,8390,4118,8393,4125,8397,4132,8400,4139,8401,4143,8404,4146,8405,4150,8407,4161,8407,4160,8408,4160,8412,4171,8413,4175,8413,4179,8414,4182,8415,4186,8418,4189,8419,4193,8421,4199,8425,4220,8426,4229,8426,4231,8426,4234,8426,4236e" filled="false" stroked="true" strokeweight=".440931pt" strokecolor="#000000">
              <v:path arrowok="t"/>
              <v:stroke dashstyle="solid"/>
            </v:shape>
            <v:shape style="position:absolute;left:8291;top:2816;width:120;height:270" type="#_x0000_t75" stroked="false">
              <v:imagedata r:id="rId303" o:title=""/>
            </v:shape>
            <v:shape style="position:absolute;left:8565;top:3912;width:41;height:325" coordorigin="8565,3912" coordsize="41,325" path="m8606,3912l8596,3924,8592,3930,8588,3936,8582,3951,8577,3962,8576,3972,8574,3981,8572,3991,8572,3997,8571,4003,8570,4009,8569,4016,8565,4030,8566,4050,8566,4069,8567,4089,8568,4109,8568,4112,8569,4116,8570,4119,8573,4127,8576,4134,8580,4141,8581,4144,8583,4147,8584,4151,8587,4162,8587,4162,8587,4162,8591,4173,8593,4176,8593,4180,8594,4184,8595,4187,8597,4190,8599,4194,8600,4200,8605,4222,8606,4230,8606,4232,8606,4235,8606,4237e" filled="false" stroked="true" strokeweight=".440931pt" strokecolor="#000000">
              <v:path arrowok="t"/>
              <v:stroke dashstyle="solid"/>
            </v:shape>
            <v:shape style="position:absolute;left:8471;top:2818;width:118;height:269" type="#_x0000_t75" stroked="false">
              <v:imagedata r:id="rId309" o:title=""/>
            </v:shape>
            <v:shape style="position:absolute;left:9228;top:3873;width:40;height:326" coordorigin="9229,3874" coordsize="40,326" path="m9268,3874l9259,3885,9255,3891,9251,3898,9245,3913,9240,3924,9239,3933,9237,3943,9236,3952,9235,3958,9234,3964,9233,3970,9232,3978,9229,3992,9229,4011,9230,4031,9230,4051,9231,4071,9231,4074,9232,4078,9233,4081,9236,4089,9240,4096,9243,4103,9244,4106,9247,4109,9247,4114,9250,4124,9250,4124,9250,4124,9254,4135,9255,4138,9256,4142,9257,4146,9258,4150,9260,4153,9261,4157,9263,4162,9267,4184,9268,4192,9269,4195,9268,4197,9268,4199e" filled="false" stroked="true" strokeweight=".44093pt" strokecolor="#000000">
              <v:path arrowok="t"/>
              <v:stroke dashstyle="solid"/>
            </v:shape>
            <v:shape style="position:absolute;left:9135;top:2779;width:118;height:270" type="#_x0000_t75" stroked="false">
              <v:imagedata r:id="rId310" o:title=""/>
            </v:shape>
            <w10:wrap type="topAndBottom"/>
          </v:group>
        </w:pict>
      </w:r>
    </w:p>
    <w:p>
      <w:pPr>
        <w:pStyle w:val="BodyText"/>
        <w:spacing w:before="7"/>
        <w:rPr>
          <w:sz w:val="12"/>
        </w:rPr>
      </w:pPr>
    </w:p>
    <w:p>
      <w:pPr>
        <w:spacing w:before="165"/>
        <w:ind w:left="440" w:right="403" w:firstLine="0"/>
        <w:jc w:val="left"/>
        <w:rPr>
          <w:i/>
          <w:sz w:val="24"/>
        </w:rPr>
      </w:pPr>
      <w:bookmarkStart w:name="_bookmark108" w:id="372"/>
      <w:bookmarkEnd w:id="372"/>
      <w:r>
        <w:rPr/>
      </w:r>
      <w:r>
        <w:rPr>
          <w:i/>
          <w:sz w:val="24"/>
        </w:rPr>
        <w:t>Figure</w:t>
      </w:r>
      <w:r>
        <w:rPr>
          <w:i/>
          <w:spacing w:val="15"/>
          <w:sz w:val="24"/>
        </w:rPr>
        <w:t> </w:t>
      </w:r>
      <w:r>
        <w:rPr>
          <w:i/>
          <w:sz w:val="24"/>
        </w:rPr>
        <w:t>6-6.</w:t>
      </w:r>
      <w:r>
        <w:rPr>
          <w:i/>
          <w:spacing w:val="14"/>
          <w:sz w:val="24"/>
        </w:rPr>
        <w:t> </w:t>
      </w:r>
      <w:r>
        <w:rPr>
          <w:i/>
          <w:sz w:val="24"/>
        </w:rPr>
        <w:t>Examples</w:t>
      </w:r>
      <w:r>
        <w:rPr>
          <w:i/>
          <w:spacing w:val="16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4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14"/>
          <w:sz w:val="24"/>
        </w:rPr>
        <w:t> </w:t>
      </w:r>
      <w:r>
        <w:rPr>
          <w:i/>
          <w:sz w:val="24"/>
        </w:rPr>
        <w:t>altered</w:t>
      </w:r>
      <w:r>
        <w:rPr>
          <w:i/>
          <w:spacing w:val="13"/>
          <w:sz w:val="24"/>
        </w:rPr>
        <w:t> </w:t>
      </w:r>
      <w:r>
        <w:rPr>
          <w:i/>
          <w:sz w:val="24"/>
        </w:rPr>
        <w:t>curvature</w:t>
      </w:r>
      <w:r>
        <w:rPr>
          <w:i/>
          <w:spacing w:val="14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14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13"/>
          <w:sz w:val="24"/>
        </w:rPr>
        <w:t> </w:t>
      </w:r>
      <w:r>
        <w:rPr>
          <w:i/>
          <w:sz w:val="24"/>
        </w:rPr>
        <w:t>latewood</w:t>
      </w:r>
      <w:r>
        <w:rPr>
          <w:i/>
          <w:spacing w:val="15"/>
          <w:sz w:val="24"/>
        </w:rPr>
        <w:t> </w:t>
      </w:r>
      <w:r>
        <w:rPr>
          <w:i/>
          <w:sz w:val="24"/>
        </w:rPr>
        <w:t>(darker</w:t>
      </w:r>
      <w:r>
        <w:rPr>
          <w:i/>
          <w:spacing w:val="16"/>
          <w:sz w:val="24"/>
        </w:rPr>
        <w:t> </w:t>
      </w:r>
      <w:r>
        <w:rPr>
          <w:i/>
          <w:sz w:val="24"/>
        </w:rPr>
        <w:t>colored</w:t>
      </w:r>
      <w:r>
        <w:rPr>
          <w:i/>
          <w:spacing w:val="15"/>
          <w:sz w:val="24"/>
        </w:rPr>
        <w:t> </w:t>
      </w:r>
      <w:r>
        <w:rPr>
          <w:i/>
          <w:sz w:val="24"/>
        </w:rPr>
        <w:t>sections)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caused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the moving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projectile, (top)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SPF-S specimens,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(bottom)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SYP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specimens.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9"/>
        <w:rPr>
          <w:i/>
          <w:sz w:val="21"/>
        </w:rPr>
      </w:pPr>
    </w:p>
    <w:p>
      <w:pPr>
        <w:pStyle w:val="BodyText"/>
        <w:spacing w:line="480" w:lineRule="auto"/>
        <w:ind w:left="440" w:right="416" w:firstLine="720"/>
        <w:jc w:val="both"/>
      </w:pPr>
      <w:r>
        <w:rPr/>
        <w:t>The highly localized nature of the damage to the CLT means it is likely the panel</w:t>
      </w:r>
      <w:r>
        <w:rPr>
          <w:spacing w:val="1"/>
        </w:rPr>
        <w:t> </w:t>
      </w:r>
      <w:r>
        <w:rPr/>
        <w:t>could</w:t>
      </w:r>
      <w:r>
        <w:rPr>
          <w:spacing w:val="-8"/>
        </w:rPr>
        <w:t> </w:t>
      </w:r>
      <w:r>
        <w:rPr/>
        <w:t>withstand</w:t>
      </w:r>
      <w:r>
        <w:rPr>
          <w:spacing w:val="-8"/>
        </w:rPr>
        <w:t> </w:t>
      </w:r>
      <w:r>
        <w:rPr/>
        <w:t>numerous</w:t>
      </w:r>
      <w:r>
        <w:rPr>
          <w:spacing w:val="-8"/>
        </w:rPr>
        <w:t> </w:t>
      </w:r>
      <w:r>
        <w:rPr/>
        <w:t>concentrated</w:t>
      </w:r>
      <w:r>
        <w:rPr>
          <w:spacing w:val="-9"/>
        </w:rPr>
        <w:t> </w:t>
      </w:r>
      <w:r>
        <w:rPr/>
        <w:t>impacts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small</w:t>
      </w:r>
      <w:r>
        <w:rPr>
          <w:spacing w:val="-7"/>
        </w:rPr>
        <w:t> </w:t>
      </w:r>
      <w:r>
        <w:rPr/>
        <w:t>arms</w:t>
      </w:r>
      <w:r>
        <w:rPr>
          <w:spacing w:val="-8"/>
        </w:rPr>
        <w:t> </w:t>
      </w:r>
      <w:r>
        <w:rPr/>
        <w:t>munitions</w:t>
      </w:r>
      <w:r>
        <w:rPr>
          <w:spacing w:val="-9"/>
        </w:rPr>
        <w:t> </w:t>
      </w:r>
      <w:r>
        <w:rPr/>
        <w:t>and</w:t>
      </w:r>
      <w:r>
        <w:rPr>
          <w:spacing w:val="-7"/>
        </w:rPr>
        <w:t> </w:t>
      </w:r>
      <w:r>
        <w:rPr/>
        <w:t>still</w:t>
      </w:r>
      <w:r>
        <w:rPr>
          <w:spacing w:val="-8"/>
        </w:rPr>
        <w:t> </w:t>
      </w:r>
      <w:r>
        <w:rPr/>
        <w:t>preserve</w:t>
      </w:r>
      <w:r>
        <w:rPr>
          <w:spacing w:val="-58"/>
        </w:rPr>
        <w:t> </w:t>
      </w:r>
      <w:r>
        <w:rPr/>
        <w:t>its load bearing capacity.</w:t>
      </w:r>
      <w:r>
        <w:rPr>
          <w:spacing w:val="1"/>
        </w:rPr>
        <w:t> </w:t>
      </w:r>
      <w:r>
        <w:rPr/>
        <w:t>However, more testing with multiple impacts and residual</w:t>
      </w:r>
      <w:r>
        <w:rPr>
          <w:spacing w:val="1"/>
        </w:rPr>
        <w:t> </w:t>
      </w:r>
      <w:r>
        <w:rPr/>
        <w:t>capacity strength tests are necessary to draw that conclusion.</w:t>
      </w:r>
      <w:r>
        <w:rPr>
          <w:spacing w:val="1"/>
        </w:rPr>
        <w:t> </w:t>
      </w:r>
      <w:r>
        <w:rPr/>
        <w:t>Within this work, 12-in.</w:t>
      </w:r>
      <w:r>
        <w:rPr>
          <w:spacing w:val="1"/>
        </w:rPr>
        <w:t> </w:t>
      </w:r>
      <w:r>
        <w:rPr/>
        <w:t>square specimens of CLT were subjected to multiple shots and exhibited no evidence of</w:t>
      </w:r>
      <w:r>
        <w:rPr>
          <w:spacing w:val="1"/>
        </w:rPr>
        <w:t> </w:t>
      </w:r>
      <w:r>
        <w:rPr/>
        <w:t>reduction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the panel’s structural integrity.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ind w:left="444"/>
        <w:rPr>
          <w:sz w:val="20"/>
        </w:rPr>
      </w:pPr>
      <w:r>
        <w:rPr>
          <w:sz w:val="20"/>
        </w:rPr>
        <w:pict>
          <v:group style="width:427.2pt;height:197.65pt;mso-position-horizontal-relative:char;mso-position-vertical-relative:line" coordorigin="0,0" coordsize="8544,3953">
            <v:shape style="position:absolute;left:0;top:0;width:8544;height:3953" type="#_x0000_t75" stroked="false">
              <v:imagedata r:id="rId311" o:title=""/>
            </v:shape>
            <v:line style="position:absolute" from="102,1162" to="8422,1243" stroked="true" strokeweight="1.164269pt" strokecolor="#ff0000">
              <v:stroke dashstyle="solid"/>
            </v:line>
            <v:line style="position:absolute" from="102,2678" to="8422,2759" stroked="true" strokeweight="1.164269pt" strokecolor="#ff0000">
              <v:stroke dashstyle="solid"/>
            </v:line>
            <v:line style="position:absolute" from="494,551" to="2789,590" stroked="true" strokeweight="1.164288pt" strokecolor="#000000">
              <v:stroke dashstyle="solid"/>
            </v:line>
            <v:shape style="position:absolute;left:2746;top:528;width:125;height:124" coordorigin="2747,528" coordsize="125,124" path="m2747,651l2789,590,2749,528,2871,592,2747,651xe" filled="true" fillcolor="#000000" stroked="false">
              <v:path arrowok="t"/>
              <v:fill type="solid"/>
            </v:shape>
            <v:shape style="position:absolute;left:341;top:816;width:502;height:240" type="#_x0000_t202" filled="false" stroked="false">
              <v:textbox inset="0,0,0,0">
                <w:txbxContent>
                  <w:p>
                    <w:pPr>
                      <w:spacing w:line="238" w:lineRule="exact" w:before="0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FFFFFF"/>
                        <w:w w:val="105"/>
                        <w:sz w:val="21"/>
                      </w:rPr>
                      <w:t>Entry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9"/>
        </w:rPr>
      </w:pPr>
    </w:p>
    <w:p>
      <w:pPr>
        <w:spacing w:before="90"/>
        <w:ind w:left="439" w:right="403" w:firstLine="0"/>
        <w:jc w:val="left"/>
        <w:rPr>
          <w:i/>
          <w:sz w:val="24"/>
        </w:rPr>
      </w:pPr>
      <w:bookmarkStart w:name="_bookmark109" w:id="373"/>
      <w:bookmarkEnd w:id="373"/>
      <w:r>
        <w:rPr/>
      </w:r>
      <w:r>
        <w:rPr>
          <w:i/>
          <w:sz w:val="24"/>
        </w:rPr>
        <w:t>Figure</w:t>
      </w:r>
      <w:r>
        <w:rPr>
          <w:i/>
          <w:spacing w:val="27"/>
          <w:sz w:val="24"/>
        </w:rPr>
        <w:t> </w:t>
      </w:r>
      <w:r>
        <w:rPr>
          <w:i/>
          <w:sz w:val="24"/>
        </w:rPr>
        <w:t>6-7.</w:t>
      </w:r>
      <w:r>
        <w:rPr>
          <w:i/>
          <w:spacing w:val="26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27"/>
          <w:sz w:val="24"/>
        </w:rPr>
        <w:t> </w:t>
      </w:r>
      <w:r>
        <w:rPr>
          <w:i/>
          <w:sz w:val="24"/>
        </w:rPr>
        <w:t>cross-sectional</w:t>
      </w:r>
      <w:r>
        <w:rPr>
          <w:i/>
          <w:spacing w:val="28"/>
          <w:sz w:val="24"/>
        </w:rPr>
        <w:t> </w:t>
      </w:r>
      <w:r>
        <w:rPr>
          <w:i/>
          <w:sz w:val="24"/>
        </w:rPr>
        <w:t>cut</w:t>
      </w:r>
      <w:r>
        <w:rPr>
          <w:i/>
          <w:spacing w:val="28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27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28"/>
          <w:sz w:val="24"/>
        </w:rPr>
        <w:t> </w:t>
      </w:r>
      <w:r>
        <w:rPr>
          <w:i/>
          <w:sz w:val="24"/>
        </w:rPr>
        <w:t>projectile</w:t>
      </w:r>
      <w:r>
        <w:rPr>
          <w:i/>
          <w:spacing w:val="28"/>
          <w:sz w:val="24"/>
        </w:rPr>
        <w:t> </w:t>
      </w:r>
      <w:r>
        <w:rPr>
          <w:i/>
          <w:sz w:val="24"/>
        </w:rPr>
        <w:t>path</w:t>
      </w:r>
      <w:r>
        <w:rPr>
          <w:i/>
          <w:spacing w:val="27"/>
          <w:sz w:val="24"/>
        </w:rPr>
        <w:t> </w:t>
      </w:r>
      <w:r>
        <w:rPr>
          <w:i/>
          <w:sz w:val="24"/>
        </w:rPr>
        <w:t>exposes</w:t>
      </w:r>
      <w:r>
        <w:rPr>
          <w:i/>
          <w:spacing w:val="28"/>
          <w:sz w:val="24"/>
        </w:rPr>
        <w:t> </w:t>
      </w:r>
      <w:r>
        <w:rPr>
          <w:i/>
          <w:sz w:val="24"/>
        </w:rPr>
        <w:t>angular</w:t>
      </w:r>
      <w:r>
        <w:rPr>
          <w:i/>
          <w:spacing w:val="28"/>
          <w:sz w:val="24"/>
        </w:rPr>
        <w:t> </w:t>
      </w:r>
      <w:r>
        <w:rPr>
          <w:i/>
          <w:sz w:val="24"/>
        </w:rPr>
        <w:t>petals</w:t>
      </w:r>
      <w:r>
        <w:rPr>
          <w:i/>
          <w:spacing w:val="28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26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newly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formed space between growth rings.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4"/>
        <w:rPr>
          <w:i/>
          <w:sz w:val="37"/>
        </w:rPr>
      </w:pPr>
    </w:p>
    <w:p>
      <w:pPr>
        <w:pStyle w:val="BodyText"/>
        <w:spacing w:line="480" w:lineRule="auto"/>
        <w:ind w:left="439" w:right="417" w:firstLine="720"/>
        <w:jc w:val="both"/>
      </w:pPr>
      <w:r>
        <w:rPr/>
        <w:t>Wood fracture occurring at the transition between growth rings in the tangential</w:t>
      </w:r>
      <w:r>
        <w:rPr>
          <w:spacing w:val="1"/>
        </w:rPr>
        <w:t> </w:t>
      </w:r>
      <w:r>
        <w:rPr/>
        <w:t>orientation was observed in some of the examined specimens.</w:t>
      </w:r>
      <w:r>
        <w:rPr>
          <w:spacing w:val="1"/>
        </w:rPr>
        <w:t> </w:t>
      </w:r>
      <w:r>
        <w:rPr/>
        <w:t>With this type of failure,</w:t>
      </w:r>
      <w:r>
        <w:rPr>
          <w:spacing w:val="1"/>
        </w:rPr>
        <w:t> </w:t>
      </w:r>
      <w:r>
        <w:rPr/>
        <w:t>the exposed wood left behind is very smooth, and sometimes shiny in appearance.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smooth surface may maintain the natural curve of the transition between earlywood and</w:t>
      </w:r>
      <w:r>
        <w:rPr>
          <w:spacing w:val="1"/>
        </w:rPr>
        <w:t> </w:t>
      </w:r>
      <w:r>
        <w:rPr/>
        <w:t>latewood</w:t>
      </w:r>
      <w:r>
        <w:rPr>
          <w:spacing w:val="-9"/>
        </w:rPr>
        <w:t> </w:t>
      </w:r>
      <w:r>
        <w:rPr/>
        <w:t>in</w:t>
      </w:r>
      <w:r>
        <w:rPr>
          <w:spacing w:val="-10"/>
        </w:rPr>
        <w:t> </w:t>
      </w:r>
      <w:r>
        <w:rPr/>
        <w:t>the</w:t>
      </w:r>
      <w:r>
        <w:rPr>
          <w:spacing w:val="-8"/>
        </w:rPr>
        <w:t> </w:t>
      </w:r>
      <w:r>
        <w:rPr/>
        <w:t>timber</w:t>
      </w:r>
      <w:r>
        <w:rPr>
          <w:spacing w:val="-7"/>
        </w:rPr>
        <w:t> </w:t>
      </w:r>
      <w:r>
        <w:rPr/>
        <w:t>or</w:t>
      </w:r>
      <w:r>
        <w:rPr>
          <w:spacing w:val="-9"/>
        </w:rPr>
        <w:t> </w:t>
      </w:r>
      <w:r>
        <w:rPr/>
        <w:t>be</w:t>
      </w:r>
      <w:r>
        <w:rPr>
          <w:spacing w:val="-8"/>
        </w:rPr>
        <w:t> </w:t>
      </w:r>
      <w:r>
        <w:rPr/>
        <w:t>evidence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horizontal</w:t>
      </w:r>
      <w:r>
        <w:rPr>
          <w:spacing w:val="-8"/>
        </w:rPr>
        <w:t> </w:t>
      </w:r>
      <w:r>
        <w:rPr/>
        <w:t>fracture</w:t>
      </w:r>
      <w:r>
        <w:rPr>
          <w:spacing w:val="-8"/>
        </w:rPr>
        <w:t> </w:t>
      </w:r>
      <w:r>
        <w:rPr/>
        <w:t>lines.</w:t>
      </w:r>
      <w:r>
        <w:rPr>
          <w:spacing w:val="44"/>
        </w:rPr>
        <w:t> </w:t>
      </w:r>
      <w:r>
        <w:rPr/>
        <w:t>This</w:t>
      </w:r>
      <w:r>
        <w:rPr>
          <w:spacing w:val="-8"/>
        </w:rPr>
        <w:t> </w:t>
      </w:r>
      <w:r>
        <w:rPr/>
        <w:t>cleaving</w:t>
      </w:r>
      <w:r>
        <w:rPr>
          <w:spacing w:val="-9"/>
        </w:rPr>
        <w:t> </w:t>
      </w:r>
      <w:r>
        <w:rPr/>
        <w:t>point</w:t>
      </w:r>
      <w:r>
        <w:rPr>
          <w:spacing w:val="-7"/>
        </w:rPr>
        <w:t> </w:t>
      </w:r>
      <w:r>
        <w:rPr/>
        <w:t>may</w:t>
      </w:r>
      <w:r>
        <w:rPr>
          <w:spacing w:val="-58"/>
        </w:rPr>
        <w:t> </w:t>
      </w:r>
      <w:r>
        <w:rPr/>
        <w:t>likely</w:t>
      </w:r>
      <w:r>
        <w:rPr>
          <w:spacing w:val="-11"/>
        </w:rPr>
        <w:t> </w:t>
      </w:r>
      <w:r>
        <w:rPr/>
        <w:t>be</w:t>
      </w:r>
      <w:r>
        <w:rPr>
          <w:spacing w:val="-10"/>
        </w:rPr>
        <w:t> </w:t>
      </w:r>
      <w:r>
        <w:rPr/>
        <w:t>attributed</w:t>
      </w:r>
      <w:r>
        <w:rPr>
          <w:spacing w:val="-10"/>
        </w:rPr>
        <w:t> </w:t>
      </w:r>
      <w:r>
        <w:rPr/>
        <w:t>to</w:t>
      </w:r>
      <w:r>
        <w:rPr>
          <w:spacing w:val="-10"/>
        </w:rPr>
        <w:t> </w:t>
      </w:r>
      <w:r>
        <w:rPr/>
        <w:t>the</w:t>
      </w:r>
      <w:r>
        <w:rPr>
          <w:spacing w:val="-11"/>
        </w:rPr>
        <w:t> </w:t>
      </w:r>
      <w:r>
        <w:rPr/>
        <w:t>transitional</w:t>
      </w:r>
      <w:r>
        <w:rPr>
          <w:spacing w:val="-11"/>
        </w:rPr>
        <w:t> </w:t>
      </w:r>
      <w:r>
        <w:rPr/>
        <w:t>area</w:t>
      </w:r>
      <w:r>
        <w:rPr>
          <w:spacing w:val="-10"/>
        </w:rPr>
        <w:t> </w:t>
      </w:r>
      <w:r>
        <w:rPr/>
        <w:t>where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wood’s</w:t>
      </w:r>
      <w:r>
        <w:rPr>
          <w:spacing w:val="-10"/>
        </w:rPr>
        <w:t> </w:t>
      </w:r>
      <w:r>
        <w:rPr/>
        <w:t>density</w:t>
      </w:r>
      <w:r>
        <w:rPr>
          <w:spacing w:val="-10"/>
        </w:rPr>
        <w:t> </w:t>
      </w:r>
      <w:r>
        <w:rPr/>
        <w:t>abruptly</w:t>
      </w:r>
      <w:r>
        <w:rPr>
          <w:spacing w:val="-10"/>
        </w:rPr>
        <w:t> </w:t>
      </w:r>
      <w:r>
        <w:rPr/>
        <w:t>changes</w:t>
      </w:r>
      <w:r>
        <w:rPr>
          <w:spacing w:val="-10"/>
        </w:rPr>
        <w:t> </w:t>
      </w:r>
      <w:r>
        <w:rPr/>
        <w:t>[43].</w:t>
      </w:r>
      <w:r>
        <w:rPr>
          <w:spacing w:val="-58"/>
        </w:rPr>
        <w:t> </w:t>
      </w:r>
      <w:r>
        <w:rPr>
          <w:spacing w:val="-1"/>
        </w:rPr>
        <w:t>This</w:t>
      </w:r>
      <w:r>
        <w:rPr>
          <w:spacing w:val="-15"/>
        </w:rPr>
        <w:t> </w:t>
      </w:r>
      <w:r>
        <w:rPr>
          <w:spacing w:val="-1"/>
        </w:rPr>
        <w:t>is</w:t>
      </w:r>
      <w:r>
        <w:rPr>
          <w:spacing w:val="-16"/>
        </w:rPr>
        <w:t> </w:t>
      </w:r>
      <w:r>
        <w:rPr>
          <w:spacing w:val="-1"/>
        </w:rPr>
        <w:t>most</w:t>
      </w:r>
      <w:r>
        <w:rPr>
          <w:spacing w:val="-14"/>
        </w:rPr>
        <w:t> </w:t>
      </w:r>
      <w:r>
        <w:rPr>
          <w:spacing w:val="-1"/>
        </w:rPr>
        <w:t>visible</w:t>
      </w:r>
      <w:r>
        <w:rPr>
          <w:spacing w:val="-16"/>
        </w:rPr>
        <w:t> </w:t>
      </w:r>
      <w:r>
        <w:rPr>
          <w:spacing w:val="-1"/>
        </w:rPr>
        <w:t>in</w:t>
      </w:r>
      <w:r>
        <w:rPr>
          <w:spacing w:val="-15"/>
        </w:rPr>
        <w:t> </w:t>
      </w:r>
      <w:r>
        <w:rPr/>
        <w:t>the</w:t>
      </w:r>
      <w:r>
        <w:rPr>
          <w:spacing w:val="-16"/>
        </w:rPr>
        <w:t> </w:t>
      </w:r>
      <w:r>
        <w:rPr/>
        <w:t>longitudinal</w:t>
      </w:r>
      <w:r>
        <w:rPr>
          <w:spacing w:val="-16"/>
        </w:rPr>
        <w:t> </w:t>
      </w:r>
      <w:r>
        <w:rPr/>
        <w:t>numbers</w:t>
      </w:r>
      <w:r>
        <w:rPr>
          <w:spacing w:val="-14"/>
        </w:rPr>
        <w:t> </w:t>
      </w:r>
      <w:r>
        <w:rPr/>
        <w:t>plies,</w:t>
      </w:r>
      <w:r>
        <w:rPr>
          <w:spacing w:val="-15"/>
        </w:rPr>
        <w:t> </w:t>
      </w:r>
      <w:r>
        <w:rPr/>
        <w:t>with</w:t>
      </w:r>
      <w:r>
        <w:rPr>
          <w:spacing w:val="-16"/>
        </w:rPr>
        <w:t> </w:t>
      </w:r>
      <w:r>
        <w:rPr/>
        <w:t>the</w:t>
      </w:r>
      <w:r>
        <w:rPr>
          <w:spacing w:val="-16"/>
        </w:rPr>
        <w:t> </w:t>
      </w:r>
      <w:r>
        <w:rPr/>
        <w:t>longitudinal-tangential</w:t>
      </w:r>
      <w:r>
        <w:rPr>
          <w:spacing w:val="-16"/>
        </w:rPr>
        <w:t> </w:t>
      </w:r>
      <w:r>
        <w:rPr/>
        <w:t>plane</w:t>
      </w:r>
      <w:r>
        <w:rPr>
          <w:spacing w:val="-57"/>
        </w:rPr>
        <w:t> </w:t>
      </w:r>
      <w:r>
        <w:rPr/>
        <w:t>exposed as shown in </w:t>
      </w:r>
      <w:hyperlink w:history="true" w:anchor="_bookmark110">
        <w:r>
          <w:rPr/>
          <w:t>Figure 6-8</w:t>
        </w:r>
      </w:hyperlink>
      <w:r>
        <w:rPr/>
        <w:t>.</w:t>
      </w:r>
      <w:r>
        <w:rPr>
          <w:spacing w:val="1"/>
        </w:rPr>
        <w:t> </w:t>
      </w:r>
      <w:r>
        <w:rPr/>
        <w:t>The yellow ovals in the image highlight the exposed</w:t>
      </w:r>
      <w:r>
        <w:rPr>
          <w:spacing w:val="1"/>
        </w:rPr>
        <w:t> </w:t>
      </w:r>
      <w:r>
        <w:rPr/>
        <w:t>smooth</w:t>
      </w:r>
      <w:r>
        <w:rPr>
          <w:spacing w:val="-1"/>
        </w:rPr>
        <w:t> </w:t>
      </w:r>
      <w:r>
        <w:rPr/>
        <w:t>sections</w:t>
      </w:r>
      <w:r>
        <w:rPr>
          <w:spacing w:val="-1"/>
        </w:rPr>
        <w:t> </w:t>
      </w:r>
      <w:r>
        <w:rPr/>
        <w:t>where</w:t>
      </w:r>
      <w:r>
        <w:rPr>
          <w:spacing w:val="-1"/>
        </w:rPr>
        <w:t> </w:t>
      </w:r>
      <w:r>
        <w:rPr/>
        <w:t>the growth</w:t>
      </w:r>
      <w:r>
        <w:rPr>
          <w:spacing w:val="-1"/>
        </w:rPr>
        <w:t> </w:t>
      </w:r>
      <w:r>
        <w:rPr/>
        <w:t>rings</w:t>
      </w:r>
      <w:r>
        <w:rPr>
          <w:spacing w:val="-1"/>
        </w:rPr>
        <w:t> </w:t>
      </w:r>
      <w:r>
        <w:rPr/>
        <w:t>have</w:t>
      </w:r>
      <w:r>
        <w:rPr>
          <w:spacing w:val="-1"/>
        </w:rPr>
        <w:t> </w:t>
      </w:r>
      <w:r>
        <w:rPr/>
        <w:t>effectively debonded</w:t>
      </w:r>
      <w:r>
        <w:rPr>
          <w:spacing w:val="-1"/>
        </w:rPr>
        <w:t> </w:t>
      </w:r>
      <w:r>
        <w:rPr/>
        <w:t>from</w:t>
      </w:r>
      <w:r>
        <w:rPr>
          <w:spacing w:val="-3"/>
        </w:rPr>
        <w:t> </w:t>
      </w:r>
      <w:r>
        <w:rPr/>
        <w:t>each other.</w:t>
      </w:r>
    </w:p>
    <w:p>
      <w:pPr>
        <w:pStyle w:val="BodyText"/>
        <w:spacing w:line="480" w:lineRule="auto" w:before="160"/>
        <w:ind w:left="439" w:right="417" w:firstLine="720"/>
        <w:jc w:val="both"/>
      </w:pPr>
      <w:r>
        <w:rPr/>
        <w:t>Radial cracking was frequently detected close to the damage zone but beyond the</w:t>
      </w:r>
      <w:r>
        <w:rPr>
          <w:spacing w:val="1"/>
        </w:rPr>
        <w:t> </w:t>
      </w:r>
      <w:r>
        <w:rPr/>
        <w:t>initial</w:t>
      </w:r>
      <w:r>
        <w:rPr>
          <w:spacing w:val="-5"/>
        </w:rPr>
        <w:t> </w:t>
      </w:r>
      <w:r>
        <w:rPr/>
        <w:t>cavity</w:t>
      </w:r>
      <w:r>
        <w:rPr>
          <w:spacing w:val="-5"/>
        </w:rPr>
        <w:t> </w:t>
      </w:r>
      <w:r>
        <w:rPr/>
        <w:t>damage</w:t>
      </w:r>
      <w:r>
        <w:rPr>
          <w:sz w:val="16"/>
        </w:rPr>
        <w:t>.</w:t>
      </w:r>
      <w:r>
        <w:rPr>
          <w:spacing w:val="34"/>
          <w:sz w:val="16"/>
        </w:rPr>
        <w:t> </w:t>
      </w:r>
      <w:r>
        <w:rPr/>
        <w:t>While</w:t>
      </w:r>
      <w:r>
        <w:rPr>
          <w:spacing w:val="-5"/>
        </w:rPr>
        <w:t> </w:t>
      </w:r>
      <w:r>
        <w:rPr/>
        <w:t>this</w:t>
      </w:r>
      <w:r>
        <w:rPr>
          <w:spacing w:val="-4"/>
        </w:rPr>
        <w:t> </w:t>
      </w:r>
      <w:r>
        <w:rPr/>
        <w:t>could</w:t>
      </w:r>
      <w:r>
        <w:rPr>
          <w:spacing w:val="-4"/>
        </w:rPr>
        <w:t> </w:t>
      </w:r>
      <w:r>
        <w:rPr/>
        <w:t>be</w:t>
      </w:r>
      <w:r>
        <w:rPr>
          <w:spacing w:val="-5"/>
        </w:rPr>
        <w:t> </w:t>
      </w:r>
      <w:r>
        <w:rPr/>
        <w:t>caused</w:t>
      </w:r>
      <w:r>
        <w:rPr>
          <w:spacing w:val="-5"/>
        </w:rPr>
        <w:t> </w:t>
      </w:r>
      <w:r>
        <w:rPr/>
        <w:t>by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saw,</w:t>
      </w:r>
      <w:r>
        <w:rPr>
          <w:spacing w:val="-5"/>
        </w:rPr>
        <w:t> </w:t>
      </w:r>
      <w:r>
        <w:rPr/>
        <w:t>or</w:t>
      </w:r>
      <w:r>
        <w:rPr>
          <w:spacing w:val="-3"/>
        </w:rPr>
        <w:t> </w:t>
      </w:r>
      <w:r>
        <w:rPr/>
        <w:t>even</w:t>
      </w:r>
      <w:r>
        <w:rPr>
          <w:spacing w:val="-5"/>
        </w:rPr>
        <w:t> </w:t>
      </w:r>
      <w:r>
        <w:rPr/>
        <w:t>just</w:t>
      </w:r>
      <w:r>
        <w:rPr>
          <w:spacing w:val="-5"/>
        </w:rPr>
        <w:t> </w:t>
      </w:r>
      <w:r>
        <w:rPr/>
        <w:t>shrinkage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58"/>
        </w:rPr>
        <w:t> </w:t>
      </w:r>
      <w:r>
        <w:rPr/>
        <w:t>timber</w:t>
      </w:r>
      <w:r>
        <w:rPr>
          <w:spacing w:val="5"/>
        </w:rPr>
        <w:t> </w:t>
      </w:r>
      <w:r>
        <w:rPr/>
        <w:t>after</w:t>
      </w:r>
      <w:r>
        <w:rPr>
          <w:spacing w:val="6"/>
        </w:rPr>
        <w:t> </w:t>
      </w:r>
      <w:r>
        <w:rPr/>
        <w:t>the</w:t>
      </w:r>
      <w:r>
        <w:rPr>
          <w:spacing w:val="6"/>
        </w:rPr>
        <w:t> </w:t>
      </w:r>
      <w:r>
        <w:rPr/>
        <w:t>lamella</w:t>
      </w:r>
      <w:r>
        <w:rPr>
          <w:spacing w:val="5"/>
        </w:rPr>
        <w:t> </w:t>
      </w:r>
      <w:r>
        <w:rPr/>
        <w:t>were</w:t>
      </w:r>
      <w:r>
        <w:rPr>
          <w:spacing w:val="6"/>
        </w:rPr>
        <w:t> </w:t>
      </w:r>
      <w:r>
        <w:rPr/>
        <w:t>pressed</w:t>
      </w:r>
      <w:r>
        <w:rPr>
          <w:spacing w:val="6"/>
        </w:rPr>
        <w:t> </w:t>
      </w:r>
      <w:r>
        <w:rPr/>
        <w:t>together,</w:t>
      </w:r>
      <w:r>
        <w:rPr>
          <w:spacing w:val="6"/>
        </w:rPr>
        <w:t> </w:t>
      </w:r>
      <w:r>
        <w:rPr/>
        <w:t>the</w:t>
      </w:r>
      <w:r>
        <w:rPr>
          <w:spacing w:val="6"/>
        </w:rPr>
        <w:t> </w:t>
      </w:r>
      <w:r>
        <w:rPr/>
        <w:t>proximity</w:t>
      </w:r>
      <w:r>
        <w:rPr>
          <w:spacing w:val="6"/>
        </w:rPr>
        <w:t> </w:t>
      </w:r>
      <w:r>
        <w:rPr/>
        <w:t>of</w:t>
      </w:r>
      <w:r>
        <w:rPr>
          <w:spacing w:val="5"/>
        </w:rPr>
        <w:t> </w:t>
      </w:r>
      <w:r>
        <w:rPr/>
        <w:t>the</w:t>
      </w:r>
      <w:r>
        <w:rPr>
          <w:spacing w:val="6"/>
        </w:rPr>
        <w:t> </w:t>
      </w:r>
      <w:r>
        <w:rPr/>
        <w:t>cracking</w:t>
      </w:r>
      <w:r>
        <w:rPr>
          <w:spacing w:val="6"/>
        </w:rPr>
        <w:t> </w:t>
      </w:r>
      <w:r>
        <w:rPr/>
        <w:t>with</w:t>
      </w:r>
      <w:r>
        <w:rPr>
          <w:spacing w:val="6"/>
        </w:rPr>
        <w:t> </w:t>
      </w:r>
      <w:r>
        <w:rPr/>
        <w:t>respect</w:t>
      </w:r>
    </w:p>
    <w:p>
      <w:pPr>
        <w:spacing w:after="0" w:line="480" w:lineRule="auto"/>
        <w:jc w:val="both"/>
        <w:sectPr>
          <w:pgSz w:w="12240" w:h="15840"/>
          <w:pgMar w:header="0" w:footer="1064" w:top="1440" w:bottom="1260" w:left="1720" w:right="1020"/>
        </w:sectPr>
      </w:pPr>
    </w:p>
    <w:p>
      <w:pPr>
        <w:pStyle w:val="BodyText"/>
        <w:spacing w:line="480" w:lineRule="auto" w:before="78"/>
        <w:ind w:left="440" w:right="416"/>
        <w:jc w:val="both"/>
      </w:pPr>
      <w:r>
        <w:rPr/>
        <w:t>to the projectile path indicates a likely relationship.</w:t>
      </w:r>
      <w:r>
        <w:rPr>
          <w:spacing w:val="1"/>
        </w:rPr>
        <w:t> </w:t>
      </w:r>
      <w:r>
        <w:rPr/>
        <w:t>It may be caused by the initial shock</w:t>
      </w:r>
      <w:r>
        <w:rPr>
          <w:spacing w:val="1"/>
        </w:rPr>
        <w:t> </w:t>
      </w:r>
      <w:r>
        <w:rPr/>
        <w:t>waves</w:t>
      </w:r>
      <w:r>
        <w:rPr>
          <w:spacing w:val="-8"/>
        </w:rPr>
        <w:t> </w:t>
      </w:r>
      <w:r>
        <w:rPr/>
        <w:t>induced</w:t>
      </w:r>
      <w:r>
        <w:rPr>
          <w:spacing w:val="-7"/>
        </w:rPr>
        <w:t> </w:t>
      </w:r>
      <w:r>
        <w:rPr/>
        <w:t>by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projectile</w:t>
      </w:r>
      <w:r>
        <w:rPr>
          <w:spacing w:val="-8"/>
        </w:rPr>
        <w:t> </w:t>
      </w:r>
      <w:r>
        <w:rPr/>
        <w:t>or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force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projectile</w:t>
      </w:r>
      <w:r>
        <w:rPr>
          <w:spacing w:val="-7"/>
        </w:rPr>
        <w:t> </w:t>
      </w:r>
      <w:r>
        <w:rPr/>
        <w:t>as</w:t>
      </w:r>
      <w:r>
        <w:rPr>
          <w:spacing w:val="-7"/>
        </w:rPr>
        <w:t> </w:t>
      </w:r>
      <w:r>
        <w:rPr/>
        <w:t>it</w:t>
      </w:r>
      <w:r>
        <w:rPr>
          <w:spacing w:val="-7"/>
        </w:rPr>
        <w:t> </w:t>
      </w:r>
      <w:r>
        <w:rPr/>
        <w:t>breaks</w:t>
      </w:r>
      <w:r>
        <w:rPr>
          <w:spacing w:val="-8"/>
        </w:rPr>
        <w:t> </w:t>
      </w:r>
      <w:r>
        <w:rPr/>
        <w:t>through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wood.</w:t>
      </w:r>
      <w:r>
        <w:rPr>
          <w:spacing w:val="-58"/>
        </w:rPr>
        <w:t> </w:t>
      </w:r>
      <w:hyperlink w:history="true" w:anchor="_bookmark111">
        <w:r>
          <w:rPr/>
          <w:t>Figure 6-9 </w:t>
        </w:r>
      </w:hyperlink>
      <w:r>
        <w:rPr/>
        <w:t>shows examples of the observed radial cracking in both the SPF-S and SYP</w:t>
      </w:r>
      <w:r>
        <w:rPr>
          <w:spacing w:val="1"/>
        </w:rPr>
        <w:t> </w:t>
      </w:r>
      <w:r>
        <w:rPr/>
        <w:t>specimens; the yellow ovals highlight the location of the cracks.</w:t>
      </w:r>
      <w:r>
        <w:rPr>
          <w:spacing w:val="1"/>
        </w:rPr>
        <w:t> </w:t>
      </w:r>
      <w:r>
        <w:rPr/>
        <w:t>The cracking appears to</w:t>
      </w:r>
      <w:r>
        <w:rPr>
          <w:spacing w:val="1"/>
        </w:rPr>
        <w:t> </w:t>
      </w:r>
      <w:r>
        <w:rPr/>
        <w:t>initiate close to the cavity and then radiate at a diagonal at a 45 degree angle away from</w:t>
      </w:r>
      <w:r>
        <w:rPr>
          <w:spacing w:val="1"/>
        </w:rPr>
        <w:t> </w:t>
      </w:r>
      <w:r>
        <w:rPr/>
        <w:t>the projectile path regardless of the curve direction of the growth rings. The cracking may</w:t>
      </w:r>
      <w:r>
        <w:rPr>
          <w:spacing w:val="-57"/>
        </w:rPr>
        <w:t> </w:t>
      </w:r>
      <w:r>
        <w:rPr/>
        <w:t>be indications of shear failure in the wood.</w:t>
      </w:r>
      <w:r>
        <w:rPr>
          <w:spacing w:val="1"/>
        </w:rPr>
        <w:t> </w:t>
      </w:r>
      <w:r>
        <w:rPr/>
        <w:t>Liu and Floeter observed a shear strength</w:t>
      </w:r>
      <w:r>
        <w:rPr>
          <w:spacing w:val="1"/>
        </w:rPr>
        <w:t> </w:t>
      </w:r>
      <w:r>
        <w:rPr/>
        <w:t>decrease when the angle between the shear force and grain on the longitudinal-tangential</w:t>
      </w:r>
      <w:r>
        <w:rPr>
          <w:spacing w:val="1"/>
        </w:rPr>
        <w:t> </w:t>
      </w:r>
      <w:r>
        <w:rPr/>
        <w:t>plane</w:t>
      </w:r>
      <w:r>
        <w:rPr>
          <w:spacing w:val="-1"/>
        </w:rPr>
        <w:t> </w:t>
      </w:r>
      <w:r>
        <w:rPr/>
        <w:t>increased [78].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260">
            <wp:simplePos x="0" y="0"/>
            <wp:positionH relativeFrom="page">
              <wp:posOffset>1733550</wp:posOffset>
            </wp:positionH>
            <wp:positionV relativeFrom="paragraph">
              <wp:posOffset>235242</wp:posOffset>
            </wp:positionV>
            <wp:extent cx="4722035" cy="3743515"/>
            <wp:effectExtent l="0" t="0" r="0" b="0"/>
            <wp:wrapTopAndBottom/>
            <wp:docPr id="71" name="image3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02.pn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2035" cy="3743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99"/>
        <w:ind w:left="439" w:right="419" w:firstLine="0"/>
        <w:jc w:val="both"/>
        <w:rPr>
          <w:i/>
          <w:sz w:val="24"/>
        </w:rPr>
      </w:pPr>
      <w:bookmarkStart w:name="_bookmark110" w:id="374"/>
      <w:bookmarkEnd w:id="374"/>
      <w:r>
        <w:rPr/>
      </w:r>
      <w:r>
        <w:rPr>
          <w:i/>
          <w:sz w:val="24"/>
        </w:rPr>
        <w:t>Figure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6-8.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Sections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fracture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wood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along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growth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ring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curvature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are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highlighted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projectile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path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cross-sections,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(a)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SPF-S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specimen,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(b)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SYP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specimen.</w:t>
      </w:r>
    </w:p>
    <w:p>
      <w:pPr>
        <w:spacing w:after="0"/>
        <w:jc w:val="both"/>
        <w:rPr>
          <w:sz w:val="24"/>
        </w:rPr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ind w:left="440"/>
        <w:rPr>
          <w:sz w:val="20"/>
        </w:rPr>
      </w:pPr>
      <w:r>
        <w:rPr>
          <w:sz w:val="20"/>
        </w:rPr>
        <w:drawing>
          <wp:inline distT="0" distB="0" distL="0" distR="0">
            <wp:extent cx="5669690" cy="1756028"/>
            <wp:effectExtent l="0" t="0" r="0" b="0"/>
            <wp:docPr id="73" name="image3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03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9690" cy="1756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i/>
          <w:sz w:val="6"/>
        </w:rPr>
      </w:pPr>
    </w:p>
    <w:p>
      <w:pPr>
        <w:spacing w:before="90"/>
        <w:ind w:left="21" w:right="0" w:firstLine="0"/>
        <w:jc w:val="center"/>
        <w:rPr>
          <w:i/>
          <w:sz w:val="24"/>
        </w:rPr>
      </w:pPr>
      <w:bookmarkStart w:name="_bookmark111" w:id="375"/>
      <w:bookmarkEnd w:id="375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6-9.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Radial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cracking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timbers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observed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near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projectile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cavity.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229"/>
        <w:ind w:left="439" w:right="417" w:firstLine="720"/>
        <w:jc w:val="both"/>
      </w:pPr>
      <w:r>
        <w:rPr/>
        <w:t>Another</w:t>
      </w:r>
      <w:r>
        <w:rPr>
          <w:spacing w:val="-13"/>
        </w:rPr>
        <w:t> </w:t>
      </w:r>
      <w:r>
        <w:rPr/>
        <w:t>ballistic</w:t>
      </w:r>
      <w:r>
        <w:rPr>
          <w:spacing w:val="-13"/>
        </w:rPr>
        <w:t> </w:t>
      </w:r>
      <w:r>
        <w:rPr/>
        <w:t>failure</w:t>
      </w:r>
      <w:r>
        <w:rPr>
          <w:spacing w:val="-13"/>
        </w:rPr>
        <w:t> </w:t>
      </w:r>
      <w:r>
        <w:rPr/>
        <w:t>mode</w:t>
      </w:r>
      <w:r>
        <w:rPr>
          <w:spacing w:val="-13"/>
        </w:rPr>
        <w:t> </w:t>
      </w:r>
      <w:r>
        <w:rPr/>
        <w:t>is</w:t>
      </w:r>
      <w:r>
        <w:rPr>
          <w:spacing w:val="-13"/>
        </w:rPr>
        <w:t> </w:t>
      </w:r>
      <w:r>
        <w:rPr/>
        <w:t>scabbing</w:t>
      </w:r>
      <w:r>
        <w:rPr>
          <w:spacing w:val="-13"/>
        </w:rPr>
        <w:t> </w:t>
      </w:r>
      <w:r>
        <w:rPr/>
        <w:t>(see</w:t>
      </w:r>
      <w:r>
        <w:rPr>
          <w:spacing w:val="-13"/>
        </w:rPr>
        <w:t> </w:t>
      </w:r>
      <w:r>
        <w:rPr/>
        <w:t>Chapter</w:t>
      </w:r>
      <w:r>
        <w:rPr>
          <w:spacing w:val="-13"/>
        </w:rPr>
        <w:t> </w:t>
      </w:r>
      <w:r>
        <w:rPr/>
        <w:t>3).</w:t>
      </w:r>
      <w:r>
        <w:rPr>
          <w:spacing w:val="34"/>
        </w:rPr>
        <w:t> </w:t>
      </w:r>
      <w:r>
        <w:rPr/>
        <w:t>In</w:t>
      </w:r>
      <w:r>
        <w:rPr>
          <w:spacing w:val="-13"/>
        </w:rPr>
        <w:t> </w:t>
      </w:r>
      <w:r>
        <w:rPr/>
        <w:t>this</w:t>
      </w:r>
      <w:r>
        <w:rPr>
          <w:spacing w:val="-12"/>
        </w:rPr>
        <w:t> </w:t>
      </w:r>
      <w:r>
        <w:rPr/>
        <w:t>instance,</w:t>
      </w:r>
      <w:r>
        <w:rPr>
          <w:spacing w:val="-15"/>
        </w:rPr>
        <w:t> </w:t>
      </w:r>
      <w:r>
        <w:rPr/>
        <w:t>sections</w:t>
      </w:r>
      <w:r>
        <w:rPr>
          <w:spacing w:val="-58"/>
        </w:rPr>
        <w:t> </w:t>
      </w:r>
      <w:r>
        <w:rPr/>
        <w:t>of the back face fracture off the back face due to deformation of the fracture and local</w:t>
      </w:r>
      <w:r>
        <w:rPr>
          <w:spacing w:val="1"/>
        </w:rPr>
        <w:t> </w:t>
      </w:r>
      <w:r>
        <w:rPr/>
        <w:t>anisotropy.</w:t>
      </w:r>
      <w:r>
        <w:rPr>
          <w:spacing w:val="1"/>
        </w:rPr>
        <w:t> </w:t>
      </w:r>
      <w:hyperlink w:history="true" w:anchor="_bookmark112">
        <w:r>
          <w:rPr/>
          <w:t>Figure 6-10</w:t>
        </w:r>
      </w:hyperlink>
      <w:r>
        <w:rPr/>
        <w:t> shows two 3-ply test shots where the residual velocity as the</w:t>
      </w:r>
      <w:r>
        <w:rPr>
          <w:spacing w:val="1"/>
        </w:rPr>
        <w:t> </w:t>
      </w:r>
      <w:r>
        <w:rPr/>
        <w:t>projectile neared the rear face of the specimen would still have been relatively high</w:t>
      </w:r>
      <w:r>
        <w:rPr>
          <w:spacing w:val="1"/>
        </w:rPr>
        <w:t> </w:t>
      </w:r>
      <w:r>
        <w:rPr/>
        <w:t>compared to a 5-ply or thicker specimen.</w:t>
      </w:r>
      <w:r>
        <w:rPr>
          <w:spacing w:val="1"/>
        </w:rPr>
        <w:t> </w:t>
      </w:r>
      <w:r>
        <w:rPr/>
        <w:t>This phenomenon was observed in the thicker</w:t>
      </w:r>
      <w:r>
        <w:rPr>
          <w:spacing w:val="1"/>
        </w:rPr>
        <w:t> </w:t>
      </w:r>
      <w:r>
        <w:rPr/>
        <w:t>5-ply</w:t>
      </w:r>
      <w:r>
        <w:rPr>
          <w:spacing w:val="-1"/>
        </w:rPr>
        <w:t> </w:t>
      </w:r>
      <w:r>
        <w:rPr/>
        <w:t>specimens</w:t>
      </w:r>
      <w:r>
        <w:rPr>
          <w:spacing w:val="1"/>
        </w:rPr>
        <w:t> </w:t>
      </w:r>
      <w:r>
        <w:rPr/>
        <w:t>with higher striking velocities.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261">
            <wp:simplePos x="0" y="0"/>
            <wp:positionH relativeFrom="page">
              <wp:posOffset>1378586</wp:posOffset>
            </wp:positionH>
            <wp:positionV relativeFrom="paragraph">
              <wp:posOffset>235077</wp:posOffset>
            </wp:positionV>
            <wp:extent cx="5418698" cy="2289524"/>
            <wp:effectExtent l="0" t="0" r="0" b="0"/>
            <wp:wrapTopAndBottom/>
            <wp:docPr id="75" name="image3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04.pn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8698" cy="2289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23"/>
        </w:rPr>
      </w:pPr>
    </w:p>
    <w:p>
      <w:pPr>
        <w:spacing w:before="0"/>
        <w:ind w:left="440" w:right="416" w:hanging="2"/>
        <w:jc w:val="center"/>
        <w:rPr>
          <w:i/>
          <w:sz w:val="24"/>
        </w:rPr>
      </w:pPr>
      <w:bookmarkStart w:name="_bookmark112" w:id="376"/>
      <w:bookmarkEnd w:id="376"/>
      <w:r>
        <w:rPr/>
      </w:r>
      <w:r>
        <w:rPr>
          <w:i/>
          <w:sz w:val="24"/>
        </w:rPr>
        <w:t>Figure</w:t>
      </w:r>
      <w:r>
        <w:rPr>
          <w:i/>
          <w:spacing w:val="16"/>
          <w:sz w:val="24"/>
        </w:rPr>
        <w:t> </w:t>
      </w:r>
      <w:r>
        <w:rPr>
          <w:i/>
          <w:sz w:val="24"/>
        </w:rPr>
        <w:t>6-10.</w:t>
      </w:r>
      <w:r>
        <w:rPr>
          <w:i/>
          <w:spacing w:val="17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17"/>
          <w:sz w:val="24"/>
        </w:rPr>
        <w:t> </w:t>
      </w:r>
      <w:r>
        <w:rPr>
          <w:i/>
          <w:sz w:val="24"/>
        </w:rPr>
        <w:t>exit</w:t>
      </w:r>
      <w:r>
        <w:rPr>
          <w:i/>
          <w:spacing w:val="16"/>
          <w:sz w:val="24"/>
        </w:rPr>
        <w:t> </w:t>
      </w:r>
      <w:r>
        <w:rPr>
          <w:i/>
          <w:sz w:val="24"/>
        </w:rPr>
        <w:t>holes</w:t>
      </w:r>
      <w:r>
        <w:rPr>
          <w:i/>
          <w:spacing w:val="17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6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16"/>
          <w:sz w:val="24"/>
        </w:rPr>
        <w:t> </w:t>
      </w:r>
      <w:r>
        <w:rPr>
          <w:i/>
          <w:sz w:val="24"/>
        </w:rPr>
        <w:t>projectile</w:t>
      </w:r>
      <w:r>
        <w:rPr>
          <w:i/>
          <w:spacing w:val="17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15"/>
          <w:sz w:val="24"/>
        </w:rPr>
        <w:t> </w:t>
      </w:r>
      <w:r>
        <w:rPr>
          <w:i/>
          <w:sz w:val="24"/>
        </w:rPr>
        <w:t>this</w:t>
      </w:r>
      <w:r>
        <w:rPr>
          <w:i/>
          <w:spacing w:val="16"/>
          <w:sz w:val="24"/>
        </w:rPr>
        <w:t> </w:t>
      </w:r>
      <w:r>
        <w:rPr>
          <w:i/>
          <w:sz w:val="24"/>
        </w:rPr>
        <w:t>3-ply</w:t>
      </w:r>
      <w:r>
        <w:rPr>
          <w:i/>
          <w:spacing w:val="17"/>
          <w:sz w:val="24"/>
        </w:rPr>
        <w:t> </w:t>
      </w:r>
      <w:r>
        <w:rPr>
          <w:i/>
          <w:sz w:val="24"/>
        </w:rPr>
        <w:t>specimen</w:t>
      </w:r>
      <w:r>
        <w:rPr>
          <w:i/>
          <w:spacing w:val="17"/>
          <w:sz w:val="24"/>
        </w:rPr>
        <w:t> </w:t>
      </w:r>
      <w:r>
        <w:rPr>
          <w:i/>
          <w:sz w:val="24"/>
        </w:rPr>
        <w:t>appears</w:t>
      </w:r>
      <w:r>
        <w:rPr>
          <w:i/>
          <w:spacing w:val="16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17"/>
          <w:sz w:val="24"/>
        </w:rPr>
        <w:t> </w:t>
      </w:r>
      <w:r>
        <w:rPr>
          <w:i/>
          <w:sz w:val="24"/>
        </w:rPr>
        <w:t>be</w:t>
      </w:r>
      <w:r>
        <w:rPr>
          <w:i/>
          <w:spacing w:val="16"/>
          <w:sz w:val="24"/>
        </w:rPr>
        <w:t> </w:t>
      </w:r>
      <w:r>
        <w:rPr>
          <w:i/>
          <w:sz w:val="24"/>
        </w:rPr>
        <w:t>larger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than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projectile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path,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potentially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due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scabbing,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where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sections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fracture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debris.</w:t>
      </w:r>
    </w:p>
    <w:p>
      <w:pPr>
        <w:spacing w:after="0"/>
        <w:jc w:val="center"/>
        <w:rPr>
          <w:sz w:val="24"/>
        </w:rPr>
        <w:sectPr>
          <w:pgSz w:w="12240" w:h="15840"/>
          <w:pgMar w:header="0" w:footer="1064" w:top="1440" w:bottom="1260" w:left="1720" w:right="1020"/>
        </w:sectPr>
      </w:pPr>
    </w:p>
    <w:p>
      <w:pPr>
        <w:pStyle w:val="BodyText"/>
        <w:spacing w:line="480" w:lineRule="auto" w:before="78"/>
        <w:ind w:left="439" w:right="417" w:firstLine="720"/>
        <w:jc w:val="both"/>
      </w:pPr>
      <w:r>
        <w:rPr/>
        <w:t>Permanent</w:t>
      </w:r>
      <w:r>
        <w:rPr>
          <w:spacing w:val="1"/>
        </w:rPr>
        <w:t> </w:t>
      </w:r>
      <w:r>
        <w:rPr/>
        <w:t>deformation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rear</w:t>
      </w:r>
      <w:r>
        <w:rPr>
          <w:spacing w:val="1"/>
        </w:rPr>
        <w:t> </w:t>
      </w:r>
      <w:r>
        <w:rPr/>
        <w:t>face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specimen</w:t>
      </w:r>
      <w:r>
        <w:rPr>
          <w:spacing w:val="1"/>
        </w:rPr>
        <w:t> </w:t>
      </w:r>
      <w:r>
        <w:rPr/>
        <w:t>does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require</w:t>
      </w:r>
      <w:r>
        <w:rPr>
          <w:spacing w:val="1"/>
        </w:rPr>
        <w:t> </w:t>
      </w:r>
      <w:r>
        <w:rPr/>
        <w:t>perforation.</w:t>
      </w:r>
      <w:r>
        <w:rPr>
          <w:spacing w:val="1"/>
        </w:rPr>
        <w:t> </w:t>
      </w:r>
      <w:r>
        <w:rPr/>
        <w:t>Bulging and dishing are observable plastic deformations that occur without</w:t>
      </w:r>
      <w:r>
        <w:rPr>
          <w:spacing w:val="1"/>
        </w:rPr>
        <w:t> </w:t>
      </w:r>
      <w:r>
        <w:rPr/>
        <w:t>complete penetrations.</w:t>
      </w:r>
      <w:r>
        <w:rPr>
          <w:spacing w:val="1"/>
        </w:rPr>
        <w:t> </w:t>
      </w:r>
      <w:hyperlink w:history="true" w:anchor="_bookmark113">
        <w:r>
          <w:rPr/>
          <w:t>Figure 6-11 </w:t>
        </w:r>
      </w:hyperlink>
      <w:r>
        <w:rPr/>
        <w:t>shows the projectile still embedded within the CLT</w:t>
      </w:r>
      <w:r>
        <w:rPr>
          <w:spacing w:val="1"/>
        </w:rPr>
        <w:t> </w:t>
      </w:r>
      <w:r>
        <w:rPr/>
        <w:t>with the wood bending and forming a bulge on the back face.</w:t>
      </w:r>
      <w:r>
        <w:rPr>
          <w:spacing w:val="1"/>
        </w:rPr>
        <w:t> </w:t>
      </w:r>
      <w:r>
        <w:rPr/>
        <w:t>This particular specimen</w:t>
      </w:r>
      <w:r>
        <w:rPr>
          <w:spacing w:val="1"/>
        </w:rPr>
        <w:t> </w:t>
      </w:r>
      <w:r>
        <w:rPr/>
        <w:t>was a 10-ply specimen formed by joining two 5-ply specimens together.</w:t>
      </w:r>
      <w:r>
        <w:rPr>
          <w:spacing w:val="1"/>
        </w:rPr>
        <w:t> </w:t>
      </w:r>
      <w:r>
        <w:rPr/>
        <w:t>The section</w:t>
      </w:r>
      <w:r>
        <w:rPr>
          <w:spacing w:val="1"/>
        </w:rPr>
        <w:t> </w:t>
      </w:r>
      <w:r>
        <w:rPr/>
        <w:t>shown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hyperlink w:history="true" w:anchor="_bookmark113">
        <w:r>
          <w:rPr/>
          <w:t>Figure</w:t>
        </w:r>
        <w:r>
          <w:rPr>
            <w:spacing w:val="-1"/>
          </w:rPr>
          <w:t> </w:t>
        </w:r>
        <w:r>
          <w:rPr/>
          <w:t>6-11</w:t>
        </w:r>
        <w:r>
          <w:rPr>
            <w:spacing w:val="-3"/>
          </w:rPr>
          <w:t> </w:t>
        </w:r>
      </w:hyperlink>
      <w:r>
        <w:rPr/>
        <w:t>is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last</w:t>
      </w:r>
      <w:r>
        <w:rPr>
          <w:spacing w:val="-2"/>
        </w:rPr>
        <w:t> </w:t>
      </w:r>
      <w:r>
        <w:rPr/>
        <w:t>plies</w:t>
      </w:r>
      <w:r>
        <w:rPr>
          <w:spacing w:val="-4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front</w:t>
      </w:r>
      <w:r>
        <w:rPr>
          <w:spacing w:val="-2"/>
        </w:rPr>
        <w:t> </w:t>
      </w:r>
      <w:r>
        <w:rPr/>
        <w:t>5-ply</w:t>
      </w:r>
      <w:r>
        <w:rPr>
          <w:spacing w:val="-2"/>
        </w:rPr>
        <w:t> </w:t>
      </w:r>
      <w:r>
        <w:rPr/>
        <w:t>so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bulging</w:t>
      </w:r>
      <w:r>
        <w:rPr>
          <w:spacing w:val="-2"/>
        </w:rPr>
        <w:t> </w:t>
      </w:r>
      <w:r>
        <w:rPr/>
        <w:t>wood</w:t>
      </w:r>
      <w:r>
        <w:rPr>
          <w:spacing w:val="-3"/>
        </w:rPr>
        <w:t> </w:t>
      </w:r>
      <w:r>
        <w:rPr/>
        <w:t>observed</w:t>
      </w:r>
      <w:r>
        <w:rPr>
          <w:spacing w:val="-4"/>
        </w:rPr>
        <w:t> </w:t>
      </w:r>
      <w:r>
        <w:rPr/>
        <w:t>may</w:t>
      </w:r>
      <w:r>
        <w:rPr>
          <w:spacing w:val="-57"/>
        </w:rPr>
        <w:t> </w:t>
      </w:r>
      <w:r>
        <w:rPr/>
        <w:t>be</w:t>
      </w:r>
      <w:r>
        <w:rPr>
          <w:spacing w:val="-3"/>
        </w:rPr>
        <w:t> </w:t>
      </w:r>
      <w:r>
        <w:rPr/>
        <w:t>attributed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second</w:t>
      </w:r>
      <w:r>
        <w:rPr>
          <w:spacing w:val="-3"/>
        </w:rPr>
        <w:t> </w:t>
      </w:r>
      <w:r>
        <w:rPr/>
        <w:t>5-ply</w:t>
      </w:r>
      <w:r>
        <w:rPr>
          <w:spacing w:val="-4"/>
        </w:rPr>
        <w:t> </w:t>
      </w:r>
      <w:r>
        <w:rPr/>
        <w:t>immediately</w:t>
      </w:r>
      <w:r>
        <w:rPr>
          <w:spacing w:val="-4"/>
        </w:rPr>
        <w:t> </w:t>
      </w:r>
      <w:r>
        <w:rPr/>
        <w:t>behind</w:t>
      </w:r>
      <w:r>
        <w:rPr>
          <w:spacing w:val="-3"/>
        </w:rPr>
        <w:t> </w:t>
      </w:r>
      <w:r>
        <w:rPr/>
        <w:t>it</w:t>
      </w:r>
      <w:r>
        <w:rPr>
          <w:spacing w:val="-4"/>
        </w:rPr>
        <w:t> </w:t>
      </w:r>
      <w:r>
        <w:rPr/>
        <w:t>continuing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/>
        <w:t>resist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penetration</w:t>
      </w:r>
      <w:r>
        <w:rPr>
          <w:spacing w:val="-57"/>
        </w:rPr>
        <w:t> </w:t>
      </w:r>
      <w:r>
        <w:rPr/>
        <w:t>of the projectile.</w:t>
      </w:r>
      <w:r>
        <w:rPr>
          <w:spacing w:val="1"/>
        </w:rPr>
        <w:t> </w:t>
      </w:r>
      <w:r>
        <w:rPr/>
        <w:t>Fracture lines are also visible as lighter colored lines oriented mostly</w:t>
      </w:r>
      <w:r>
        <w:rPr>
          <w:spacing w:val="1"/>
        </w:rPr>
        <w:t> </w:t>
      </w:r>
      <w:r>
        <w:rPr/>
        <w:t>perpendicular to the projectile path in the dark latewood of the last ply; they indicate the</w:t>
      </w:r>
      <w:r>
        <w:rPr>
          <w:spacing w:val="1"/>
        </w:rPr>
        <w:t> </w:t>
      </w:r>
      <w:r>
        <w:rPr/>
        <w:t>plastic</w:t>
      </w:r>
      <w:r>
        <w:rPr>
          <w:spacing w:val="-1"/>
        </w:rPr>
        <w:t> </w:t>
      </w:r>
      <w:r>
        <w:rPr/>
        <w:t>deformation of</w:t>
      </w:r>
      <w:r>
        <w:rPr>
          <w:spacing w:val="-1"/>
        </w:rPr>
        <w:t> </w:t>
      </w:r>
      <w:r>
        <w:rPr/>
        <w:t>the flexural bending.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262">
            <wp:simplePos x="0" y="0"/>
            <wp:positionH relativeFrom="page">
              <wp:posOffset>1872933</wp:posOffset>
            </wp:positionH>
            <wp:positionV relativeFrom="paragraph">
              <wp:posOffset>235272</wp:posOffset>
            </wp:positionV>
            <wp:extent cx="4494760" cy="3556444"/>
            <wp:effectExtent l="0" t="0" r="0" b="0"/>
            <wp:wrapTopAndBottom/>
            <wp:docPr id="77" name="image30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05.jpe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4760" cy="3556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39"/>
        <w:ind w:left="439" w:right="403" w:firstLine="0"/>
        <w:jc w:val="left"/>
        <w:rPr>
          <w:i/>
          <w:sz w:val="24"/>
        </w:rPr>
      </w:pPr>
      <w:bookmarkStart w:name="_bookmark113" w:id="377"/>
      <w:bookmarkEnd w:id="377"/>
      <w:r>
        <w:rPr/>
      </w:r>
      <w:r>
        <w:rPr>
          <w:i/>
          <w:sz w:val="24"/>
        </w:rPr>
        <w:t>Figure</w:t>
      </w:r>
      <w:r>
        <w:rPr>
          <w:i/>
          <w:spacing w:val="14"/>
          <w:sz w:val="24"/>
        </w:rPr>
        <w:t> </w:t>
      </w:r>
      <w:r>
        <w:rPr>
          <w:i/>
          <w:sz w:val="24"/>
        </w:rPr>
        <w:t>6-11.</w:t>
      </w:r>
      <w:r>
        <w:rPr>
          <w:i/>
          <w:spacing w:val="14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15"/>
          <w:sz w:val="24"/>
        </w:rPr>
        <w:t> </w:t>
      </w:r>
      <w:r>
        <w:rPr>
          <w:i/>
          <w:sz w:val="24"/>
        </w:rPr>
        <w:t>embedded</w:t>
      </w:r>
      <w:r>
        <w:rPr>
          <w:i/>
          <w:spacing w:val="14"/>
          <w:sz w:val="24"/>
        </w:rPr>
        <w:t> </w:t>
      </w:r>
      <w:r>
        <w:rPr>
          <w:i/>
          <w:sz w:val="24"/>
        </w:rPr>
        <w:t>projectile</w:t>
      </w:r>
      <w:r>
        <w:rPr>
          <w:i/>
          <w:spacing w:val="14"/>
          <w:sz w:val="24"/>
        </w:rPr>
        <w:t> </w:t>
      </w:r>
      <w:r>
        <w:rPr>
          <w:i/>
          <w:sz w:val="24"/>
        </w:rPr>
        <w:t>causes</w:t>
      </w:r>
      <w:r>
        <w:rPr>
          <w:i/>
          <w:spacing w:val="15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15"/>
          <w:sz w:val="24"/>
        </w:rPr>
        <w:t> </w:t>
      </w:r>
      <w:r>
        <w:rPr>
          <w:i/>
          <w:sz w:val="24"/>
        </w:rPr>
        <w:t>wood</w:t>
      </w:r>
      <w:r>
        <w:rPr>
          <w:i/>
          <w:spacing w:val="15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14"/>
          <w:sz w:val="24"/>
        </w:rPr>
        <w:t> </w:t>
      </w:r>
      <w:r>
        <w:rPr>
          <w:i/>
          <w:sz w:val="24"/>
        </w:rPr>
        <w:t>bulge</w:t>
      </w:r>
      <w:r>
        <w:rPr>
          <w:i/>
          <w:spacing w:val="14"/>
          <w:sz w:val="24"/>
        </w:rPr>
        <w:t> </w:t>
      </w:r>
      <w:r>
        <w:rPr>
          <w:i/>
          <w:sz w:val="24"/>
        </w:rPr>
        <w:t>on</w:t>
      </w:r>
      <w:r>
        <w:rPr>
          <w:i/>
          <w:spacing w:val="15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14"/>
          <w:sz w:val="24"/>
        </w:rPr>
        <w:t> </w:t>
      </w:r>
      <w:r>
        <w:rPr>
          <w:i/>
          <w:sz w:val="24"/>
        </w:rPr>
        <w:t>back</w:t>
      </w:r>
      <w:r>
        <w:rPr>
          <w:i/>
          <w:spacing w:val="15"/>
          <w:sz w:val="24"/>
        </w:rPr>
        <w:t> </w:t>
      </w:r>
      <w:r>
        <w:rPr>
          <w:i/>
          <w:sz w:val="24"/>
        </w:rPr>
        <w:t>face</w:t>
      </w:r>
      <w:r>
        <w:rPr>
          <w:i/>
          <w:spacing w:val="14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3"/>
          <w:sz w:val="24"/>
        </w:rPr>
        <w:t> </w:t>
      </w:r>
      <w:r>
        <w:rPr>
          <w:i/>
          <w:sz w:val="24"/>
        </w:rPr>
        <w:t>this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section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the target.</w:t>
      </w:r>
    </w:p>
    <w:p>
      <w:pPr>
        <w:spacing w:after="0"/>
        <w:jc w:val="left"/>
        <w:rPr>
          <w:sz w:val="24"/>
        </w:rPr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40" w:right="416" w:firstLine="720"/>
        <w:jc w:val="both"/>
      </w:pPr>
      <w:r>
        <w:rPr/>
        <w:t>Embedded rounds can also show the displacement of fractured wood, as seen in</w:t>
      </w:r>
      <w:r>
        <w:rPr>
          <w:spacing w:val="1"/>
        </w:rPr>
        <w:t> </w:t>
      </w:r>
      <w:hyperlink w:history="true" w:anchor="_bookmark114">
        <w:r>
          <w:rPr/>
          <w:t>Figure 6-12</w:t>
        </w:r>
      </w:hyperlink>
      <w:r>
        <w:rPr/>
        <w:t>.</w:t>
      </w:r>
      <w:r>
        <w:rPr>
          <w:spacing w:val="1"/>
        </w:rPr>
        <w:t> </w:t>
      </w:r>
      <w:r>
        <w:rPr/>
        <w:t>The bending in the growth rings is visible in multiple plies.</w:t>
      </w:r>
      <w:r>
        <w:rPr>
          <w:spacing w:val="1"/>
        </w:rPr>
        <w:t> </w:t>
      </w:r>
      <w:r>
        <w:rPr/>
        <w:t>The fractured</w:t>
      </w:r>
      <w:r>
        <w:rPr>
          <w:spacing w:val="1"/>
        </w:rPr>
        <w:t> </w:t>
      </w:r>
      <w:r>
        <w:rPr/>
        <w:t>wood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/>
        <w:t>some</w:t>
      </w:r>
      <w:r>
        <w:rPr>
          <w:spacing w:val="-4"/>
        </w:rPr>
        <w:t> </w:t>
      </w:r>
      <w:r>
        <w:rPr/>
        <w:t>debris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/>
        <w:t>sawdust</w:t>
      </w:r>
      <w:r>
        <w:rPr>
          <w:spacing w:val="-3"/>
        </w:rPr>
        <w:t> </w:t>
      </w:r>
      <w:r>
        <w:rPr/>
        <w:t>can</w:t>
      </w:r>
      <w:r>
        <w:rPr>
          <w:spacing w:val="-5"/>
        </w:rPr>
        <w:t> </w:t>
      </w:r>
      <w:r>
        <w:rPr/>
        <w:t>also</w:t>
      </w:r>
      <w:r>
        <w:rPr>
          <w:spacing w:val="-5"/>
        </w:rPr>
        <w:t> </w:t>
      </w:r>
      <w:r>
        <w:rPr/>
        <w:t>be</w:t>
      </w:r>
      <w:r>
        <w:rPr>
          <w:spacing w:val="-4"/>
        </w:rPr>
        <w:t> </w:t>
      </w:r>
      <w:r>
        <w:rPr/>
        <w:t>seen</w:t>
      </w:r>
      <w:r>
        <w:rPr>
          <w:spacing w:val="-5"/>
        </w:rPr>
        <w:t> </w:t>
      </w:r>
      <w:r>
        <w:rPr/>
        <w:t>in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cavity</w:t>
      </w:r>
      <w:r>
        <w:rPr>
          <w:spacing w:val="-5"/>
        </w:rPr>
        <w:t> </w:t>
      </w:r>
      <w:r>
        <w:rPr/>
        <w:t>created</w:t>
      </w:r>
      <w:r>
        <w:rPr>
          <w:spacing w:val="-5"/>
        </w:rPr>
        <w:t> </w:t>
      </w:r>
      <w:r>
        <w:rPr/>
        <w:t>by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projectile,</w:t>
      </w:r>
      <w:r>
        <w:rPr>
          <w:spacing w:val="-57"/>
        </w:rPr>
        <w:t> </w:t>
      </w:r>
      <w:r>
        <w:rPr/>
        <w:t>in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case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fragment</w:t>
      </w:r>
      <w:r>
        <w:rPr>
          <w:spacing w:val="1"/>
        </w:rPr>
        <w:t> </w:t>
      </w:r>
      <w:r>
        <w:rPr/>
        <w:t>simulating</w:t>
      </w:r>
      <w:r>
        <w:rPr>
          <w:spacing w:val="1"/>
        </w:rPr>
        <w:t> </w:t>
      </w:r>
      <w:r>
        <w:rPr/>
        <w:t>projectile.</w:t>
      </w:r>
      <w:r>
        <w:rPr>
          <w:spacing w:val="1"/>
        </w:rPr>
        <w:t> </w:t>
      </w:r>
      <w:r>
        <w:rPr/>
        <w:t>Splintered</w:t>
      </w:r>
      <w:r>
        <w:rPr>
          <w:spacing w:val="1"/>
        </w:rPr>
        <w:t> </w:t>
      </w:r>
      <w:r>
        <w:rPr/>
        <w:t>sections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previously</w:t>
      </w:r>
      <w:r>
        <w:rPr>
          <w:spacing w:val="-57"/>
        </w:rPr>
        <w:t> </w:t>
      </w:r>
      <w:r>
        <w:rPr/>
        <w:t>penetrated ply are found in the subsequent ply.</w:t>
      </w:r>
      <w:r>
        <w:rPr>
          <w:spacing w:val="1"/>
        </w:rPr>
        <w:t> </w:t>
      </w:r>
      <w:r>
        <w:rPr/>
        <w:t>While loose debris was mostly removed</w:t>
      </w:r>
      <w:r>
        <w:rPr>
          <w:spacing w:val="1"/>
        </w:rPr>
        <w:t> </w:t>
      </w:r>
      <w:r>
        <w:rPr/>
        <w:t>from the cavity prior to the photograph, the projectile path still appears to be more</w:t>
      </w:r>
      <w:r>
        <w:rPr>
          <w:spacing w:val="1"/>
        </w:rPr>
        <w:t> </w:t>
      </w:r>
      <w:r>
        <w:rPr/>
        <w:t>congested with debris closer to the embedded projectile than the channel near the initial</w:t>
      </w:r>
      <w:r>
        <w:rPr>
          <w:spacing w:val="1"/>
        </w:rPr>
        <w:t> </w:t>
      </w:r>
      <w:r>
        <w:rPr/>
        <w:t>entry</w:t>
      </w:r>
      <w:r>
        <w:rPr>
          <w:spacing w:val="-3"/>
        </w:rPr>
        <w:t> </w:t>
      </w:r>
      <w:r>
        <w:rPr/>
        <w:t>into the CLT</w:t>
      </w:r>
      <w:r>
        <w:rPr>
          <w:spacing w:val="-1"/>
        </w:rPr>
        <w:t> </w:t>
      </w:r>
      <w:r>
        <w:rPr/>
        <w:t>test specimen.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263">
            <wp:simplePos x="0" y="0"/>
            <wp:positionH relativeFrom="page">
              <wp:posOffset>1883411</wp:posOffset>
            </wp:positionH>
            <wp:positionV relativeFrom="paragraph">
              <wp:posOffset>235212</wp:posOffset>
            </wp:positionV>
            <wp:extent cx="4434079" cy="4248531"/>
            <wp:effectExtent l="0" t="0" r="0" b="0"/>
            <wp:wrapTopAndBottom/>
            <wp:docPr id="79" name="image30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306.jpeg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4079" cy="42485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95"/>
        <w:ind w:left="19" w:right="0" w:firstLine="0"/>
        <w:jc w:val="center"/>
        <w:rPr>
          <w:i/>
          <w:sz w:val="24"/>
        </w:rPr>
      </w:pPr>
      <w:bookmarkStart w:name="_bookmark114" w:id="378"/>
      <w:bookmarkEnd w:id="378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6-12.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splintered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path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fragment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simulating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projectile.</w:t>
      </w:r>
    </w:p>
    <w:p>
      <w:pPr>
        <w:spacing w:after="0"/>
        <w:jc w:val="center"/>
        <w:rPr>
          <w:sz w:val="24"/>
        </w:rPr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39" w:right="416" w:firstLine="720"/>
        <w:jc w:val="both"/>
      </w:pPr>
      <w:hyperlink w:history="true" w:anchor="_bookmark115">
        <w:r>
          <w:rPr/>
          <w:t>Figure 6-13 </w:t>
        </w:r>
      </w:hyperlink>
      <w:r>
        <w:rPr/>
        <w:t>provides a close-up view of the embedded FSP in the specimen.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projectile</w:t>
      </w:r>
      <w:r>
        <w:rPr>
          <w:spacing w:val="-5"/>
        </w:rPr>
        <w:t> </w:t>
      </w:r>
      <w:r>
        <w:rPr/>
        <w:t>was</w:t>
      </w:r>
      <w:r>
        <w:rPr>
          <w:spacing w:val="-5"/>
        </w:rPr>
        <w:t> </w:t>
      </w:r>
      <w:r>
        <w:rPr/>
        <w:t>stopped</w:t>
      </w:r>
      <w:r>
        <w:rPr>
          <w:spacing w:val="-5"/>
        </w:rPr>
        <w:t> </w:t>
      </w:r>
      <w:r>
        <w:rPr/>
        <w:t>in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CLT</w:t>
      </w:r>
      <w:r>
        <w:rPr>
          <w:spacing w:val="-5"/>
        </w:rPr>
        <w:t> </w:t>
      </w:r>
      <w:r>
        <w:rPr/>
        <w:t>with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front</w:t>
      </w:r>
      <w:r>
        <w:rPr>
          <w:spacing w:val="-6"/>
        </w:rPr>
        <w:t> </w:t>
      </w:r>
      <w:r>
        <w:rPr/>
        <w:t>edge</w:t>
      </w:r>
      <w:r>
        <w:rPr>
          <w:spacing w:val="-5"/>
        </w:rPr>
        <w:t> </w:t>
      </w:r>
      <w:r>
        <w:rPr/>
        <w:t>just</w:t>
      </w:r>
      <w:r>
        <w:rPr>
          <w:spacing w:val="-5"/>
        </w:rPr>
        <w:t> </w:t>
      </w:r>
      <w:r>
        <w:rPr/>
        <w:t>beyond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ply</w:t>
      </w:r>
      <w:r>
        <w:rPr>
          <w:spacing w:val="-6"/>
        </w:rPr>
        <w:t> </w:t>
      </w:r>
      <w:r>
        <w:rPr/>
        <w:t>bond</w:t>
      </w:r>
      <w:r>
        <w:rPr>
          <w:spacing w:val="-5"/>
        </w:rPr>
        <w:t> </w:t>
      </w:r>
      <w:r>
        <w:rPr/>
        <w:t>line.</w:t>
      </w:r>
      <w:r>
        <w:rPr>
          <w:spacing w:val="50"/>
        </w:rPr>
        <w:t> </w:t>
      </w:r>
      <w:r>
        <w:rPr/>
        <w:t>In</w:t>
      </w:r>
      <w:r>
        <w:rPr>
          <w:spacing w:val="-7"/>
        </w:rPr>
        <w:t> </w:t>
      </w:r>
      <w:r>
        <w:rPr/>
        <w:t>front</w:t>
      </w:r>
      <w:r>
        <w:rPr>
          <w:spacing w:val="-58"/>
        </w:rPr>
        <w:t> </w:t>
      </w:r>
      <w:r>
        <w:rPr/>
        <w:t>of the projectile, radial cracks are visible in the fifth ply, the last ply in the specimen.</w:t>
      </w:r>
      <w:r>
        <w:rPr>
          <w:spacing w:val="1"/>
        </w:rPr>
        <w:t> </w:t>
      </w:r>
      <w:r>
        <w:rPr/>
        <w:t>The</w:t>
      </w:r>
      <w:r>
        <w:rPr>
          <w:spacing w:val="-58"/>
        </w:rPr>
        <w:t> </w:t>
      </w:r>
      <w:r>
        <w:rPr/>
        <w:t>compression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growth</w:t>
      </w:r>
      <w:r>
        <w:rPr>
          <w:spacing w:val="-4"/>
        </w:rPr>
        <w:t> </w:t>
      </w:r>
      <w:r>
        <w:rPr/>
        <w:t>rings</w:t>
      </w:r>
      <w:r>
        <w:rPr>
          <w:spacing w:val="-5"/>
        </w:rPr>
        <w:t> </w:t>
      </w:r>
      <w:r>
        <w:rPr/>
        <w:t>is</w:t>
      </w:r>
      <w:r>
        <w:rPr>
          <w:spacing w:val="-5"/>
        </w:rPr>
        <w:t> </w:t>
      </w:r>
      <w:r>
        <w:rPr/>
        <w:t>apparent</w:t>
      </w:r>
      <w:r>
        <w:rPr>
          <w:spacing w:val="-4"/>
        </w:rPr>
        <w:t> </w:t>
      </w:r>
      <w:r>
        <w:rPr/>
        <w:t>with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enlarged</w:t>
      </w:r>
      <w:r>
        <w:rPr>
          <w:spacing w:val="-6"/>
        </w:rPr>
        <w:t> </w:t>
      </w:r>
      <w:r>
        <w:rPr/>
        <w:t>area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darker</w:t>
      </w:r>
      <w:r>
        <w:rPr>
          <w:spacing w:val="-4"/>
        </w:rPr>
        <w:t> </w:t>
      </w:r>
      <w:r>
        <w:rPr/>
        <w:t>latewood,</w:t>
      </w:r>
      <w:r>
        <w:rPr>
          <w:spacing w:val="-58"/>
        </w:rPr>
        <w:t> </w:t>
      </w:r>
      <w:r>
        <w:rPr/>
        <w:t>which may also indicate the presence of a knot.</w:t>
      </w:r>
      <w:r>
        <w:rPr>
          <w:spacing w:val="1"/>
        </w:rPr>
        <w:t> </w:t>
      </w:r>
      <w:r>
        <w:rPr/>
        <w:t>A small fractured piece immediately in</w:t>
      </w:r>
      <w:r>
        <w:rPr>
          <w:spacing w:val="1"/>
        </w:rPr>
        <w:t> </w:t>
      </w:r>
      <w:r>
        <w:rPr/>
        <w:t>front of the projectile that was originally part of the preceding ply (ply 4) based on the</w:t>
      </w:r>
      <w:r>
        <w:rPr>
          <w:spacing w:val="1"/>
        </w:rPr>
        <w:t> </w:t>
      </w:r>
      <w:r>
        <w:rPr/>
        <w:t>orientation of the wood is evidence of the material plugging.</w:t>
      </w:r>
      <w:r>
        <w:rPr>
          <w:spacing w:val="1"/>
        </w:rPr>
        <w:t> </w:t>
      </w:r>
      <w:r>
        <w:rPr/>
        <w:t>Both above and below the</w:t>
      </w:r>
      <w:r>
        <w:rPr>
          <w:spacing w:val="1"/>
        </w:rPr>
        <w:t> </w:t>
      </w:r>
      <w:r>
        <w:rPr/>
        <w:t>round, the lighter colored wood of the fourth ply can be observed.</w:t>
      </w:r>
      <w:r>
        <w:rPr>
          <w:spacing w:val="1"/>
        </w:rPr>
        <w:t> </w:t>
      </w:r>
      <w:r>
        <w:rPr/>
        <w:t>The bond line between</w:t>
      </w:r>
      <w:r>
        <w:rPr>
          <w:spacing w:val="-57"/>
        </w:rPr>
        <w:t> </w:t>
      </w:r>
      <w:r>
        <w:rPr/>
        <w:t>ply 4 and 5 curves forward with the FSP on the top and appears to be a fractured curve</w:t>
      </w:r>
      <w:r>
        <w:rPr>
          <w:spacing w:val="1"/>
        </w:rPr>
        <w:t> </w:t>
      </w:r>
      <w:r>
        <w:rPr/>
        <w:t>below the FSP.</w:t>
      </w:r>
      <w:r>
        <w:rPr>
          <w:spacing w:val="1"/>
        </w:rPr>
        <w:t> </w:t>
      </w:r>
      <w:r>
        <w:rPr/>
        <w:t>The straight horizontal line visible in front of and at the bottom of the</w:t>
      </w:r>
      <w:r>
        <w:rPr>
          <w:spacing w:val="1"/>
        </w:rPr>
        <w:t> </w:t>
      </w:r>
      <w:r>
        <w:rPr/>
        <w:t>round was caused by cutting carefully around the projectile; dissection of specimens with</w:t>
      </w:r>
      <w:r>
        <w:rPr>
          <w:spacing w:val="1"/>
        </w:rPr>
        <w:t> </w:t>
      </w:r>
      <w:r>
        <w:rPr/>
        <w:t>embedded rounds requires extra caution to not damage the saw blade, and in turn the</w:t>
      </w:r>
      <w:r>
        <w:rPr>
          <w:spacing w:val="1"/>
        </w:rPr>
        <w:t> </w:t>
      </w:r>
      <w:r>
        <w:rPr/>
        <w:t>specimen.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264">
            <wp:simplePos x="0" y="0"/>
            <wp:positionH relativeFrom="page">
              <wp:posOffset>1800225</wp:posOffset>
            </wp:positionH>
            <wp:positionV relativeFrom="paragraph">
              <wp:posOffset>234930</wp:posOffset>
            </wp:positionV>
            <wp:extent cx="4664651" cy="2560701"/>
            <wp:effectExtent l="0" t="0" r="0" b="0"/>
            <wp:wrapTopAndBottom/>
            <wp:docPr id="81" name="image30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307.jpe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4651" cy="25607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18"/>
        <w:ind w:left="677" w:right="0" w:firstLine="0"/>
        <w:jc w:val="left"/>
        <w:rPr>
          <w:i/>
          <w:sz w:val="24"/>
        </w:rPr>
      </w:pPr>
      <w:bookmarkStart w:name="_bookmark115" w:id="379"/>
      <w:bookmarkEnd w:id="379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6-13.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close-up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perspective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embedded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projectile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ensuing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damage.</w:t>
      </w:r>
    </w:p>
    <w:p>
      <w:pPr>
        <w:spacing w:after="0"/>
        <w:jc w:val="left"/>
        <w:rPr>
          <w:sz w:val="24"/>
        </w:rPr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40" w:right="417" w:firstLine="720"/>
        <w:jc w:val="both"/>
      </w:pPr>
      <w:r>
        <w:rPr/>
        <w:t>The cavity left behind the projectile is initially filled with various sized fragments</w:t>
      </w:r>
      <w:r>
        <w:rPr>
          <w:spacing w:val="1"/>
        </w:rPr>
        <w:t> </w:t>
      </w:r>
      <w:r>
        <w:rPr/>
        <w:t>of wood including large loose chunks and still attached splintery sections bent in the</w:t>
      </w:r>
      <w:r>
        <w:rPr>
          <w:spacing w:val="1"/>
        </w:rPr>
        <w:t> </w:t>
      </w:r>
      <w:r>
        <w:rPr/>
        <w:t>direction of the projectile movement.</w:t>
      </w:r>
      <w:r>
        <w:rPr>
          <w:spacing w:val="1"/>
        </w:rPr>
        <w:t> </w:t>
      </w:r>
      <w:r>
        <w:rPr/>
        <w:t>Even in a perforated shot, with the projectile and</w:t>
      </w:r>
      <w:r>
        <w:rPr>
          <w:spacing w:val="1"/>
        </w:rPr>
        <w:t> </w:t>
      </w:r>
      <w:r>
        <w:rPr/>
        <w:t>some debris ejected, it is not possible to see through the specimen with the ½-inch</w:t>
      </w:r>
      <w:r>
        <w:rPr>
          <w:spacing w:val="1"/>
        </w:rPr>
        <w:t> </w:t>
      </w:r>
      <w:r>
        <w:rPr/>
        <w:t>projectiles used in this research due to this residual debris field filling the cavity.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cross-sectional</w:t>
      </w:r>
      <w:r>
        <w:rPr>
          <w:spacing w:val="-7"/>
        </w:rPr>
        <w:t> </w:t>
      </w:r>
      <w:r>
        <w:rPr/>
        <w:t>cut</w:t>
      </w:r>
      <w:r>
        <w:rPr>
          <w:spacing w:val="-6"/>
        </w:rPr>
        <w:t> </w:t>
      </w:r>
      <w:r>
        <w:rPr/>
        <w:t>with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band</w:t>
      </w:r>
      <w:r>
        <w:rPr>
          <w:spacing w:val="-7"/>
        </w:rPr>
        <w:t> </w:t>
      </w:r>
      <w:r>
        <w:rPr/>
        <w:t>saw</w:t>
      </w:r>
      <w:r>
        <w:rPr>
          <w:spacing w:val="-7"/>
        </w:rPr>
        <w:t> </w:t>
      </w:r>
      <w:r>
        <w:rPr/>
        <w:t>adds</w:t>
      </w:r>
      <w:r>
        <w:rPr>
          <w:spacing w:val="-6"/>
        </w:rPr>
        <w:t> </w:t>
      </w:r>
      <w:r>
        <w:rPr/>
        <w:t>sawdust</w:t>
      </w:r>
      <w:r>
        <w:rPr>
          <w:spacing w:val="-7"/>
        </w:rPr>
        <w:t> </w:t>
      </w:r>
      <w:r>
        <w:rPr/>
        <w:t>to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void</w:t>
      </w:r>
      <w:r>
        <w:rPr>
          <w:spacing w:val="-6"/>
        </w:rPr>
        <w:t> </w:t>
      </w:r>
      <w:r>
        <w:rPr/>
        <w:t>as</w:t>
      </w:r>
      <w:r>
        <w:rPr>
          <w:spacing w:val="-7"/>
        </w:rPr>
        <w:t> </w:t>
      </w:r>
      <w:r>
        <w:rPr/>
        <w:t>well.</w:t>
      </w:r>
      <w:r>
        <w:rPr>
          <w:spacing w:val="47"/>
        </w:rPr>
        <w:t> </w:t>
      </w:r>
      <w:r>
        <w:rPr/>
        <w:t>Much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9"/>
        </w:rPr>
        <w:t> </w:t>
      </w:r>
      <w:r>
        <w:rPr/>
        <w:t>debris</w:t>
      </w:r>
      <w:r>
        <w:rPr>
          <w:spacing w:val="-57"/>
        </w:rPr>
        <w:t> </w:t>
      </w:r>
      <w:r>
        <w:rPr/>
        <w:t>is</w:t>
      </w:r>
      <w:r>
        <w:rPr>
          <w:spacing w:val="-2"/>
        </w:rPr>
        <w:t> </w:t>
      </w:r>
      <w:r>
        <w:rPr/>
        <w:t>loose</w:t>
      </w:r>
      <w:r>
        <w:rPr>
          <w:spacing w:val="-1"/>
        </w:rPr>
        <w:t> </w:t>
      </w:r>
      <w:r>
        <w:rPr/>
        <w:t>and</w:t>
      </w:r>
      <w:r>
        <w:rPr>
          <w:spacing w:val="-3"/>
        </w:rPr>
        <w:t> </w:t>
      </w:r>
      <w:r>
        <w:rPr/>
        <w:t>will</w:t>
      </w:r>
      <w:r>
        <w:rPr>
          <w:spacing w:val="-1"/>
        </w:rPr>
        <w:t> </w:t>
      </w:r>
      <w:r>
        <w:rPr/>
        <w:t>fall</w:t>
      </w:r>
      <w:r>
        <w:rPr>
          <w:spacing w:val="-1"/>
        </w:rPr>
        <w:t> </w:t>
      </w:r>
      <w:r>
        <w:rPr/>
        <w:t>free</w:t>
      </w:r>
      <w:r>
        <w:rPr>
          <w:spacing w:val="-2"/>
        </w:rPr>
        <w:t> </w:t>
      </w:r>
      <w:r>
        <w:rPr/>
        <w:t>when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cross-section</w:t>
      </w:r>
      <w:r>
        <w:rPr>
          <w:spacing w:val="-3"/>
        </w:rPr>
        <w:t> </w:t>
      </w:r>
      <w:r>
        <w:rPr/>
        <w:t>is</w:t>
      </w:r>
      <w:r>
        <w:rPr>
          <w:spacing w:val="-1"/>
        </w:rPr>
        <w:t> </w:t>
      </w:r>
      <w:r>
        <w:rPr/>
        <w:t>cut</w:t>
      </w:r>
      <w:r>
        <w:rPr>
          <w:spacing w:val="-1"/>
        </w:rPr>
        <w:t> </w:t>
      </w:r>
      <w:r>
        <w:rPr/>
        <w:t>and</w:t>
      </w:r>
      <w:r>
        <w:rPr>
          <w:spacing w:val="-3"/>
        </w:rPr>
        <w:t> </w:t>
      </w:r>
      <w:r>
        <w:rPr/>
        <w:t>separated.</w:t>
      </w:r>
      <w:r>
        <w:rPr>
          <w:spacing w:val="58"/>
        </w:rPr>
        <w:t> </w:t>
      </w:r>
      <w:r>
        <w:rPr/>
        <w:t>When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projectile</w:t>
      </w:r>
      <w:r>
        <w:rPr>
          <w:spacing w:val="-58"/>
        </w:rPr>
        <w:t> </w:t>
      </w:r>
      <w:r>
        <w:rPr/>
        <w:t>is</w:t>
      </w:r>
      <w:r>
        <w:rPr>
          <w:spacing w:val="-7"/>
        </w:rPr>
        <w:t> </w:t>
      </w:r>
      <w:r>
        <w:rPr/>
        <w:t>embedded</w:t>
      </w:r>
      <w:r>
        <w:rPr>
          <w:spacing w:val="-6"/>
        </w:rPr>
        <w:t> </w:t>
      </w:r>
      <w:r>
        <w:rPr/>
        <w:t>in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specimen,</w:t>
      </w:r>
      <w:r>
        <w:rPr>
          <w:spacing w:val="-6"/>
        </w:rPr>
        <w:t> </w:t>
      </w:r>
      <w:r>
        <w:rPr/>
        <w:t>there</w:t>
      </w:r>
      <w:r>
        <w:rPr>
          <w:spacing w:val="-6"/>
        </w:rPr>
        <w:t> </w:t>
      </w:r>
      <w:r>
        <w:rPr/>
        <w:t>tends</w:t>
      </w:r>
      <w:r>
        <w:rPr>
          <w:spacing w:val="-6"/>
        </w:rPr>
        <w:t> </w:t>
      </w:r>
      <w:r>
        <w:rPr/>
        <w:t>to</w:t>
      </w:r>
      <w:r>
        <w:rPr>
          <w:spacing w:val="-7"/>
        </w:rPr>
        <w:t> </w:t>
      </w:r>
      <w:r>
        <w:rPr/>
        <w:t>be</w:t>
      </w:r>
      <w:r>
        <w:rPr>
          <w:spacing w:val="-6"/>
        </w:rPr>
        <w:t> </w:t>
      </w:r>
      <w:r>
        <w:rPr/>
        <w:t>more</w:t>
      </w:r>
      <w:r>
        <w:rPr>
          <w:spacing w:val="-7"/>
        </w:rPr>
        <w:t> </w:t>
      </w:r>
      <w:r>
        <w:rPr/>
        <w:t>debris</w:t>
      </w:r>
      <w:r>
        <w:rPr>
          <w:spacing w:val="-7"/>
        </w:rPr>
        <w:t> </w:t>
      </w:r>
      <w:r>
        <w:rPr/>
        <w:t>still</w:t>
      </w:r>
      <w:r>
        <w:rPr>
          <w:spacing w:val="-7"/>
        </w:rPr>
        <w:t> </w:t>
      </w:r>
      <w:r>
        <w:rPr/>
        <w:t>attached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walls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58"/>
        </w:rPr>
        <w:t> </w:t>
      </w:r>
      <w:r>
        <w:rPr/>
        <w:t>cavity close to the round as shown in </w:t>
      </w:r>
      <w:hyperlink w:history="true" w:anchor="_bookmark116">
        <w:r>
          <w:rPr/>
          <w:t>Figure 6-14.</w:t>
        </w:r>
      </w:hyperlink>
      <w:r>
        <w:rPr>
          <w:spacing w:val="1"/>
        </w:rPr>
        <w:t> </w:t>
      </w:r>
      <w:r>
        <w:rPr/>
        <w:t>This may be attributable to the slower</w:t>
      </w:r>
      <w:r>
        <w:rPr>
          <w:spacing w:val="1"/>
        </w:rPr>
        <w:t> </w:t>
      </w:r>
      <w:r>
        <w:rPr/>
        <w:t>velocity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 projectile</w:t>
      </w:r>
      <w:r>
        <w:rPr>
          <w:spacing w:val="-1"/>
        </w:rPr>
        <w:t> </w:t>
      </w:r>
      <w:r>
        <w:rPr/>
        <w:t>prior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stopping embedded in the</w:t>
      </w:r>
      <w:r>
        <w:rPr>
          <w:spacing w:val="-1"/>
        </w:rPr>
        <w:t> </w:t>
      </w:r>
      <w:r>
        <w:rPr/>
        <w:t>CLT.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265">
            <wp:simplePos x="0" y="0"/>
            <wp:positionH relativeFrom="page">
              <wp:posOffset>1371600</wp:posOffset>
            </wp:positionH>
            <wp:positionV relativeFrom="paragraph">
              <wp:posOffset>235272</wp:posOffset>
            </wp:positionV>
            <wp:extent cx="5541040" cy="2275713"/>
            <wp:effectExtent l="0" t="0" r="0" b="0"/>
            <wp:wrapTopAndBottom/>
            <wp:docPr id="83" name="image30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308.jpeg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1040" cy="22757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17"/>
        <w:ind w:left="440" w:right="0" w:firstLine="0"/>
        <w:jc w:val="left"/>
        <w:rPr>
          <w:i/>
          <w:sz w:val="24"/>
        </w:rPr>
      </w:pPr>
      <w:bookmarkStart w:name="_bookmark116" w:id="380"/>
      <w:bookmarkEnd w:id="380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6-14.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Debris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fills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cavity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behind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embedded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projectile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test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specimen.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229"/>
        <w:ind w:left="439" w:right="417" w:firstLine="720"/>
        <w:jc w:val="both"/>
      </w:pPr>
      <w:r>
        <w:rPr/>
        <w:t>When the projectile exits the back face of the specimen, debris is pushed out as</w:t>
      </w:r>
      <w:r>
        <w:rPr>
          <w:spacing w:val="1"/>
        </w:rPr>
        <w:t> </w:t>
      </w:r>
      <w:r>
        <w:rPr/>
        <w:t>well.</w:t>
      </w:r>
      <w:r>
        <w:rPr>
          <w:spacing w:val="38"/>
        </w:rPr>
        <w:t> </w:t>
      </w:r>
      <w:hyperlink w:history="true" w:anchor="_bookmark117">
        <w:r>
          <w:rPr/>
          <w:t>Figure</w:t>
        </w:r>
        <w:r>
          <w:rPr>
            <w:spacing w:val="-12"/>
          </w:rPr>
          <w:t> </w:t>
        </w:r>
        <w:r>
          <w:rPr/>
          <w:t>6-15</w:t>
        </w:r>
        <w:r>
          <w:rPr>
            <w:spacing w:val="-11"/>
          </w:rPr>
          <w:t> </w:t>
        </w:r>
      </w:hyperlink>
      <w:r>
        <w:rPr/>
        <w:t>shows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splintering</w:t>
      </w:r>
      <w:r>
        <w:rPr>
          <w:spacing w:val="-11"/>
        </w:rPr>
        <w:t> </w:t>
      </w:r>
      <w:r>
        <w:rPr/>
        <w:t>fracture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back</w:t>
      </w:r>
      <w:r>
        <w:rPr>
          <w:spacing w:val="-10"/>
        </w:rPr>
        <w:t> </w:t>
      </w:r>
      <w:r>
        <w:rPr/>
        <w:t>face</w:t>
      </w:r>
      <w:r>
        <w:rPr>
          <w:spacing w:val="-11"/>
        </w:rPr>
        <w:t> </w:t>
      </w:r>
      <w:r>
        <w:rPr/>
        <w:t>as</w:t>
      </w:r>
      <w:r>
        <w:rPr>
          <w:spacing w:val="-11"/>
        </w:rPr>
        <w:t> </w:t>
      </w:r>
      <w:r>
        <w:rPr/>
        <w:t>well</w:t>
      </w:r>
      <w:r>
        <w:rPr>
          <w:spacing w:val="-11"/>
        </w:rPr>
        <w:t> </w:t>
      </w:r>
      <w:r>
        <w:rPr/>
        <w:t>as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debris</w:t>
      </w:r>
      <w:r>
        <w:rPr>
          <w:spacing w:val="-10"/>
        </w:rPr>
        <w:t> </w:t>
      </w:r>
      <w:r>
        <w:rPr/>
        <w:t>being</w:t>
      </w:r>
      <w:r>
        <w:rPr>
          <w:spacing w:val="-58"/>
        </w:rPr>
        <w:t> </w:t>
      </w:r>
      <w:r>
        <w:rPr/>
        <w:t>forced</w:t>
      </w:r>
      <w:r>
        <w:rPr>
          <w:spacing w:val="-10"/>
        </w:rPr>
        <w:t> </w:t>
      </w:r>
      <w:r>
        <w:rPr/>
        <w:t>out</w:t>
      </w:r>
      <w:r>
        <w:rPr>
          <w:spacing w:val="-9"/>
        </w:rPr>
        <w:t> </w:t>
      </w:r>
      <w:r>
        <w:rPr/>
        <w:t>along</w:t>
      </w:r>
      <w:r>
        <w:rPr>
          <w:spacing w:val="-10"/>
        </w:rPr>
        <w:t> </w:t>
      </w:r>
      <w:r>
        <w:rPr/>
        <w:t>with</w:t>
      </w:r>
      <w:r>
        <w:rPr>
          <w:spacing w:val="-10"/>
        </w:rPr>
        <w:t> </w:t>
      </w:r>
      <w:r>
        <w:rPr/>
        <w:t>the</w:t>
      </w:r>
      <w:r>
        <w:rPr>
          <w:spacing w:val="-11"/>
        </w:rPr>
        <w:t> </w:t>
      </w:r>
      <w:r>
        <w:rPr/>
        <w:t>projectile.</w:t>
      </w:r>
      <w:r>
        <w:rPr>
          <w:spacing w:val="40"/>
        </w:rPr>
        <w:t> </w:t>
      </w:r>
      <w:r>
        <w:rPr/>
        <w:t>The</w:t>
      </w:r>
      <w:r>
        <w:rPr>
          <w:spacing w:val="-10"/>
        </w:rPr>
        <w:t> </w:t>
      </w:r>
      <w:r>
        <w:rPr/>
        <w:t>series</w:t>
      </w:r>
      <w:r>
        <w:rPr>
          <w:spacing w:val="-10"/>
        </w:rPr>
        <w:t> </w:t>
      </w:r>
      <w:r>
        <w:rPr/>
        <w:t>of</w:t>
      </w:r>
      <w:r>
        <w:rPr>
          <w:spacing w:val="-11"/>
        </w:rPr>
        <w:t> </w:t>
      </w:r>
      <w:r>
        <w:rPr/>
        <w:t>still</w:t>
      </w:r>
      <w:r>
        <w:rPr>
          <w:spacing w:val="-9"/>
        </w:rPr>
        <w:t> </w:t>
      </w:r>
      <w:r>
        <w:rPr/>
        <w:t>photos</w:t>
      </w:r>
      <w:r>
        <w:rPr>
          <w:spacing w:val="-11"/>
        </w:rPr>
        <w:t> </w:t>
      </w:r>
      <w:r>
        <w:rPr/>
        <w:t>were</w:t>
      </w:r>
      <w:r>
        <w:rPr>
          <w:spacing w:val="-9"/>
        </w:rPr>
        <w:t> </w:t>
      </w:r>
      <w:r>
        <w:rPr/>
        <w:t>extracted</w:t>
      </w:r>
      <w:r>
        <w:rPr>
          <w:spacing w:val="-10"/>
        </w:rPr>
        <w:t> </w:t>
      </w:r>
      <w:r>
        <w:rPr/>
        <w:t>from</w:t>
      </w:r>
      <w:r>
        <w:rPr>
          <w:spacing w:val="-12"/>
        </w:rPr>
        <w:t> </w:t>
      </w:r>
      <w:r>
        <w:rPr/>
        <w:t>an</w:t>
      </w:r>
      <w:r>
        <w:rPr>
          <w:spacing w:val="-10"/>
        </w:rPr>
        <w:t> </w:t>
      </w:r>
      <w:r>
        <w:rPr/>
        <w:t>ultra-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40" w:right="417"/>
        <w:jc w:val="both"/>
      </w:pPr>
      <w:r>
        <w:rPr/>
        <w:t>high-speed video shot at one million frames per second.</w:t>
      </w:r>
      <w:r>
        <w:rPr>
          <w:spacing w:val="1"/>
        </w:rPr>
        <w:t> </w:t>
      </w:r>
      <w:r>
        <w:rPr/>
        <w:t>They illustrate the progression</w:t>
      </w:r>
      <w:r>
        <w:rPr>
          <w:spacing w:val="1"/>
        </w:rPr>
        <w:t> </w:t>
      </w:r>
      <w:r>
        <w:rPr/>
        <w:t>from the hint of a white vertical line through splintering tension fractures that expand to</w:t>
      </w:r>
      <w:r>
        <w:rPr>
          <w:spacing w:val="1"/>
        </w:rPr>
        <w:t> </w:t>
      </w:r>
      <w:r>
        <w:rPr/>
        <w:t>allow for the ejection of wood debris and the projectile.</w:t>
      </w:r>
      <w:r>
        <w:rPr>
          <w:spacing w:val="1"/>
        </w:rPr>
        <w:t> </w:t>
      </w:r>
      <w:r>
        <w:rPr/>
        <w:t>It is interesting to note the initial</w:t>
      </w:r>
      <w:r>
        <w:rPr>
          <w:spacing w:val="-57"/>
        </w:rPr>
        <w:t> </w:t>
      </w:r>
      <w:r>
        <w:rPr>
          <w:spacing w:val="-1"/>
        </w:rPr>
        <w:t>formation</w:t>
      </w:r>
      <w:r>
        <w:rPr>
          <w:spacing w:val="-13"/>
        </w:rPr>
        <w:t> </w:t>
      </w:r>
      <w:r>
        <w:rPr/>
        <w:t>of</w:t>
      </w:r>
      <w:r>
        <w:rPr>
          <w:spacing w:val="-13"/>
        </w:rPr>
        <w:t> </w:t>
      </w:r>
      <w:r>
        <w:rPr/>
        <w:t>cracks</w:t>
      </w:r>
      <w:r>
        <w:rPr>
          <w:spacing w:val="-13"/>
        </w:rPr>
        <w:t> </w:t>
      </w:r>
      <w:r>
        <w:rPr/>
        <w:t>on</w:t>
      </w:r>
      <w:r>
        <w:rPr>
          <w:spacing w:val="-14"/>
        </w:rPr>
        <w:t> </w:t>
      </w:r>
      <w:r>
        <w:rPr/>
        <w:t>the</w:t>
      </w:r>
      <w:r>
        <w:rPr>
          <w:spacing w:val="-13"/>
        </w:rPr>
        <w:t> </w:t>
      </w:r>
      <w:r>
        <w:rPr/>
        <w:t>exit</w:t>
      </w:r>
      <w:r>
        <w:rPr>
          <w:spacing w:val="-12"/>
        </w:rPr>
        <w:t> </w:t>
      </w:r>
      <w:r>
        <w:rPr/>
        <w:t>face</w:t>
      </w:r>
      <w:r>
        <w:rPr>
          <w:spacing w:val="-13"/>
        </w:rPr>
        <w:t> </w:t>
      </w:r>
      <w:r>
        <w:rPr/>
        <w:t>appear</w:t>
      </w:r>
      <w:r>
        <w:rPr>
          <w:spacing w:val="-12"/>
        </w:rPr>
        <w:t> </w:t>
      </w:r>
      <w:r>
        <w:rPr/>
        <w:t>to</w:t>
      </w:r>
      <w:r>
        <w:rPr>
          <w:spacing w:val="-15"/>
        </w:rPr>
        <w:t> </w:t>
      </w:r>
      <w:r>
        <w:rPr/>
        <w:t>align</w:t>
      </w:r>
      <w:r>
        <w:rPr>
          <w:spacing w:val="-12"/>
        </w:rPr>
        <w:t> </w:t>
      </w:r>
      <w:r>
        <w:rPr/>
        <w:t>with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earlywood-latewood</w:t>
      </w:r>
      <w:r>
        <w:rPr>
          <w:spacing w:val="-12"/>
        </w:rPr>
        <w:t> </w:t>
      </w:r>
      <w:r>
        <w:rPr/>
        <w:t>boundary.</w:t>
      </w:r>
      <w:r>
        <w:rPr>
          <w:spacing w:val="-58"/>
        </w:rPr>
        <w:t> </w:t>
      </w:r>
      <w:r>
        <w:rPr/>
        <w:t>The amount of wood debris is not the equivalent volume of the evacuated cavity, as a</w:t>
      </w:r>
      <w:r>
        <w:rPr>
          <w:spacing w:val="1"/>
        </w:rPr>
        <w:t> </w:t>
      </w:r>
      <w:r>
        <w:rPr/>
        <w:t>significant</w:t>
      </w:r>
      <w:r>
        <w:rPr>
          <w:spacing w:val="-8"/>
        </w:rPr>
        <w:t> </w:t>
      </w:r>
      <w:r>
        <w:rPr/>
        <w:t>portion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separated</w:t>
      </w:r>
      <w:r>
        <w:rPr>
          <w:spacing w:val="-7"/>
        </w:rPr>
        <w:t> </w:t>
      </w:r>
      <w:r>
        <w:rPr/>
        <w:t>debris</w:t>
      </w:r>
      <w:r>
        <w:rPr>
          <w:spacing w:val="-8"/>
        </w:rPr>
        <w:t> </w:t>
      </w:r>
      <w:r>
        <w:rPr/>
        <w:t>remained</w:t>
      </w:r>
      <w:r>
        <w:rPr>
          <w:spacing w:val="-7"/>
        </w:rPr>
        <w:t> </w:t>
      </w:r>
      <w:r>
        <w:rPr/>
        <w:t>in</w:t>
      </w:r>
      <w:r>
        <w:rPr>
          <w:spacing w:val="-7"/>
        </w:rPr>
        <w:t> </w:t>
      </w:r>
      <w:r>
        <w:rPr/>
        <w:t>loose</w:t>
      </w:r>
      <w:r>
        <w:rPr>
          <w:spacing w:val="-8"/>
        </w:rPr>
        <w:t> </w:t>
      </w:r>
      <w:r>
        <w:rPr/>
        <w:t>in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cavity,</w:t>
      </w:r>
      <w:r>
        <w:rPr>
          <w:spacing w:val="-9"/>
        </w:rPr>
        <w:t> </w:t>
      </w:r>
      <w:r>
        <w:rPr/>
        <w:t>or</w:t>
      </w:r>
      <w:r>
        <w:rPr>
          <w:spacing w:val="-7"/>
        </w:rPr>
        <w:t> </w:t>
      </w:r>
      <w:r>
        <w:rPr/>
        <w:t>stays</w:t>
      </w:r>
      <w:r>
        <w:rPr>
          <w:spacing w:val="-8"/>
        </w:rPr>
        <w:t> </w:t>
      </w:r>
      <w:r>
        <w:rPr/>
        <w:t>attached</w:t>
      </w:r>
      <w:r>
        <w:rPr>
          <w:spacing w:val="-58"/>
        </w:rPr>
        <w:t> </w:t>
      </w:r>
      <w:r>
        <w:rPr/>
        <w:t>to the newly formed cavity walls.</w:t>
      </w:r>
      <w:r>
        <w:rPr>
          <w:spacing w:val="1"/>
        </w:rPr>
        <w:t> </w:t>
      </w:r>
      <w:r>
        <w:rPr/>
        <w:t>This means the debris fractured after the projectile</w:t>
      </w:r>
      <w:r>
        <w:rPr>
          <w:spacing w:val="1"/>
        </w:rPr>
        <w:t> </w:t>
      </w:r>
      <w:r>
        <w:rPr>
          <w:spacing w:val="-1"/>
        </w:rPr>
        <w:t>passed</w:t>
      </w:r>
      <w:r>
        <w:rPr>
          <w:spacing w:val="-14"/>
        </w:rPr>
        <w:t> </w:t>
      </w:r>
      <w:r>
        <w:rPr>
          <w:spacing w:val="-1"/>
        </w:rPr>
        <w:t>or</w:t>
      </w:r>
      <w:r>
        <w:rPr>
          <w:spacing w:val="-13"/>
        </w:rPr>
        <w:t> </w:t>
      </w:r>
      <w:r>
        <w:rPr>
          <w:spacing w:val="-1"/>
        </w:rPr>
        <w:t>was</w:t>
      </w:r>
      <w:r>
        <w:rPr>
          <w:spacing w:val="-13"/>
        </w:rPr>
        <w:t> </w:t>
      </w:r>
      <w:r>
        <w:rPr>
          <w:spacing w:val="-1"/>
        </w:rPr>
        <w:t>pushed</w:t>
      </w:r>
      <w:r>
        <w:rPr>
          <w:spacing w:val="-14"/>
        </w:rPr>
        <w:t> </w:t>
      </w:r>
      <w:r>
        <w:rPr>
          <w:spacing w:val="-1"/>
        </w:rPr>
        <w:t>back</w:t>
      </w:r>
      <w:r>
        <w:rPr>
          <w:spacing w:val="-13"/>
        </w:rPr>
        <w:t> </w:t>
      </w:r>
      <w:r>
        <w:rPr/>
        <w:t>behind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round</w:t>
      </w:r>
      <w:r>
        <w:rPr>
          <w:spacing w:val="-14"/>
        </w:rPr>
        <w:t> </w:t>
      </w:r>
      <w:r>
        <w:rPr/>
        <w:t>as</w:t>
      </w:r>
      <w:r>
        <w:rPr>
          <w:spacing w:val="-15"/>
        </w:rPr>
        <w:t> </w:t>
      </w:r>
      <w:r>
        <w:rPr/>
        <w:t>it</w:t>
      </w:r>
      <w:r>
        <w:rPr>
          <w:spacing w:val="-13"/>
        </w:rPr>
        <w:t> </w:t>
      </w:r>
      <w:r>
        <w:rPr/>
        <w:t>passed</w:t>
      </w:r>
      <w:r>
        <w:rPr>
          <w:spacing w:val="-15"/>
        </w:rPr>
        <w:t> </w:t>
      </w:r>
      <w:r>
        <w:rPr/>
        <w:t>through</w:t>
      </w:r>
      <w:r>
        <w:rPr>
          <w:spacing w:val="-14"/>
        </w:rPr>
        <w:t> </w:t>
      </w:r>
      <w:r>
        <w:rPr/>
        <w:t>the</w:t>
      </w:r>
      <w:r>
        <w:rPr>
          <w:spacing w:val="-15"/>
        </w:rPr>
        <w:t> </w:t>
      </w:r>
      <w:r>
        <w:rPr/>
        <w:t>target.</w:t>
      </w:r>
      <w:r>
        <w:rPr>
          <w:spacing w:val="32"/>
        </w:rPr>
        <w:t> </w:t>
      </w:r>
      <w:r>
        <w:rPr/>
        <w:t>The</w:t>
      </w:r>
      <w:r>
        <w:rPr>
          <w:spacing w:val="-13"/>
        </w:rPr>
        <w:t> </w:t>
      </w:r>
      <w:r>
        <w:rPr/>
        <w:t>continuous</w:t>
      </w:r>
      <w:r>
        <w:rPr>
          <w:spacing w:val="-58"/>
        </w:rPr>
        <w:t> </w:t>
      </w:r>
      <w:r>
        <w:rPr/>
        <w:t>petals</w:t>
      </w:r>
      <w:r>
        <w:rPr>
          <w:spacing w:val="-5"/>
        </w:rPr>
        <w:t> </w:t>
      </w:r>
      <w:r>
        <w:rPr/>
        <w:t>protruding</w:t>
      </w:r>
      <w:r>
        <w:rPr>
          <w:spacing w:val="-5"/>
        </w:rPr>
        <w:t> </w:t>
      </w:r>
      <w:r>
        <w:rPr/>
        <w:t>into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cavity</w:t>
      </w:r>
      <w:r>
        <w:rPr>
          <w:spacing w:val="-5"/>
        </w:rPr>
        <w:t> </w:t>
      </w:r>
      <w:r>
        <w:rPr/>
        <w:t>from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walls</w:t>
      </w:r>
      <w:r>
        <w:rPr>
          <w:spacing w:val="-5"/>
        </w:rPr>
        <w:t> </w:t>
      </w:r>
      <w:r>
        <w:rPr/>
        <w:t>appear</w:t>
      </w:r>
      <w:r>
        <w:rPr>
          <w:spacing w:val="-5"/>
        </w:rPr>
        <w:t> </w:t>
      </w:r>
      <w:r>
        <w:rPr/>
        <w:t>to</w:t>
      </w:r>
      <w:r>
        <w:rPr>
          <w:spacing w:val="-5"/>
        </w:rPr>
        <w:t> </w:t>
      </w:r>
      <w:r>
        <w:rPr/>
        <w:t>compress</w:t>
      </w:r>
      <w:r>
        <w:rPr>
          <w:spacing w:val="-5"/>
        </w:rPr>
        <w:t> </w:t>
      </w:r>
      <w:r>
        <w:rPr/>
        <w:t>as</w:t>
      </w:r>
      <w:r>
        <w:rPr>
          <w:spacing w:val="-4"/>
        </w:rPr>
        <w:t> </w:t>
      </w:r>
      <w:r>
        <w:rPr/>
        <w:t>the</w:t>
      </w:r>
      <w:r>
        <w:rPr>
          <w:spacing w:val="-6"/>
        </w:rPr>
        <w:t> </w:t>
      </w:r>
      <w:r>
        <w:rPr/>
        <w:t>material</w:t>
      </w:r>
      <w:r>
        <w:rPr>
          <w:spacing w:val="-4"/>
        </w:rPr>
        <w:t> </w:t>
      </w:r>
      <w:r>
        <w:rPr/>
        <w:t>stresses</w:t>
      </w:r>
      <w:r>
        <w:rPr>
          <w:spacing w:val="-57"/>
        </w:rPr>
        <w:t> </w:t>
      </w:r>
      <w:r>
        <w:rPr/>
        <w:t>past</w:t>
      </w:r>
      <w:r>
        <w:rPr>
          <w:spacing w:val="-1"/>
        </w:rPr>
        <w:t> </w:t>
      </w:r>
      <w:r>
        <w:rPr/>
        <w:t>its elastic limit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experiences</w:t>
      </w:r>
      <w:r>
        <w:rPr>
          <w:spacing w:val="-1"/>
        </w:rPr>
        <w:t> </w:t>
      </w:r>
      <w:r>
        <w:rPr/>
        <w:t>post-elastic</w:t>
      </w:r>
      <w:r>
        <w:rPr>
          <w:spacing w:val="-1"/>
        </w:rPr>
        <w:t> </w:t>
      </w:r>
      <w:r>
        <w:rPr/>
        <w:t>deformation.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266">
            <wp:simplePos x="0" y="0"/>
            <wp:positionH relativeFrom="page">
              <wp:posOffset>1371600</wp:posOffset>
            </wp:positionH>
            <wp:positionV relativeFrom="paragraph">
              <wp:posOffset>235272</wp:posOffset>
            </wp:positionV>
            <wp:extent cx="5526452" cy="2728341"/>
            <wp:effectExtent l="0" t="0" r="0" b="0"/>
            <wp:wrapTopAndBottom/>
            <wp:docPr id="85" name="image3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309.png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6452" cy="2728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20"/>
        <w:ind w:left="440" w:right="417" w:firstLine="0"/>
        <w:jc w:val="both"/>
        <w:rPr>
          <w:i/>
          <w:sz w:val="24"/>
        </w:rPr>
      </w:pPr>
      <w:bookmarkStart w:name="_bookmark117" w:id="381"/>
      <w:bookmarkEnd w:id="381"/>
      <w:r>
        <w:rPr/>
      </w:r>
      <w:r>
        <w:rPr>
          <w:i/>
          <w:sz w:val="24"/>
        </w:rPr>
        <w:t>Figure 6-15. A progression of still photos from a high-speed video capturing a complete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penetration.</w:t>
      </w:r>
    </w:p>
    <w:p>
      <w:pPr>
        <w:spacing w:after="0"/>
        <w:jc w:val="both"/>
        <w:rPr>
          <w:sz w:val="24"/>
        </w:rPr>
        <w:sectPr>
          <w:pgSz w:w="12240" w:h="15840"/>
          <w:pgMar w:header="0" w:footer="1064" w:top="1360" w:bottom="1260" w:left="1720" w:right="1020"/>
        </w:sectPr>
      </w:pPr>
    </w:p>
    <w:p>
      <w:pPr>
        <w:pStyle w:val="ListParagraph"/>
        <w:numPr>
          <w:ilvl w:val="2"/>
          <w:numId w:val="23"/>
        </w:numPr>
        <w:tabs>
          <w:tab w:pos="980" w:val="left" w:leader="none"/>
        </w:tabs>
        <w:spacing w:line="240" w:lineRule="auto" w:before="60" w:after="0"/>
        <w:ind w:left="980" w:right="0" w:hanging="540"/>
        <w:jc w:val="both"/>
        <w:rPr>
          <w:i/>
          <w:sz w:val="24"/>
        </w:rPr>
      </w:pPr>
      <w:bookmarkStart w:name="6.5.3 Influence of knots" w:id="382"/>
      <w:bookmarkEnd w:id="382"/>
      <w:r>
        <w:rPr/>
      </w:r>
      <w:bookmarkStart w:name="6.5.3 Influence of knots" w:id="383"/>
      <w:bookmarkEnd w:id="383"/>
      <w:r>
        <w:rPr>
          <w:i/>
          <w:sz w:val="24"/>
        </w:rPr>
        <w:t>Infl</w:t>
      </w:r>
      <w:r>
        <w:rPr>
          <w:i/>
          <w:sz w:val="24"/>
        </w:rPr>
        <w:t>uence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knots</w:t>
      </w:r>
    </w:p>
    <w:p>
      <w:pPr>
        <w:pStyle w:val="BodyText"/>
        <w:spacing w:before="6"/>
        <w:rPr>
          <w:i/>
          <w:sz w:val="22"/>
        </w:rPr>
      </w:pPr>
    </w:p>
    <w:p>
      <w:pPr>
        <w:pStyle w:val="BodyText"/>
        <w:spacing w:line="480" w:lineRule="auto"/>
        <w:ind w:left="440" w:right="417" w:firstLine="720"/>
        <w:jc w:val="both"/>
      </w:pPr>
      <w:r>
        <w:rPr/>
        <w:t>Knots will be present in CLT as the performance standard (PRG 320) allows for</w:t>
      </w:r>
      <w:r>
        <w:rPr>
          <w:spacing w:val="1"/>
        </w:rPr>
        <w:t> </w:t>
      </w:r>
      <w:r>
        <w:rPr/>
        <w:t>manufacture of the panels with grades of lumber that have knots.</w:t>
      </w:r>
      <w:r>
        <w:rPr>
          <w:spacing w:val="1"/>
        </w:rPr>
        <w:t> </w:t>
      </w:r>
      <w:r>
        <w:rPr/>
        <w:t>The minor strength</w:t>
      </w:r>
      <w:r>
        <w:rPr>
          <w:spacing w:val="1"/>
        </w:rPr>
        <w:t> </w:t>
      </w:r>
      <w:r>
        <w:rPr/>
        <w:t>direction, or transverse, plies typically allow for even lower quality wood than the major</w:t>
      </w:r>
      <w:r>
        <w:rPr>
          <w:spacing w:val="1"/>
        </w:rPr>
        <w:t> </w:t>
      </w:r>
      <w:r>
        <w:rPr/>
        <w:t>strength or longitudinal plies, which means they could have an increased number as well</w:t>
      </w:r>
      <w:r>
        <w:rPr>
          <w:spacing w:val="1"/>
        </w:rPr>
        <w:t> </w:t>
      </w:r>
      <w:r>
        <w:rPr/>
        <w:t>as</w:t>
      </w:r>
      <w:r>
        <w:rPr>
          <w:spacing w:val="-10"/>
        </w:rPr>
        <w:t> </w:t>
      </w:r>
      <w:r>
        <w:rPr/>
        <w:t>larger</w:t>
      </w:r>
      <w:r>
        <w:rPr>
          <w:spacing w:val="-8"/>
        </w:rPr>
        <w:t> </w:t>
      </w:r>
      <w:r>
        <w:rPr/>
        <w:t>knots</w:t>
      </w:r>
      <w:r>
        <w:rPr>
          <w:spacing w:val="-10"/>
        </w:rPr>
        <w:t> </w:t>
      </w:r>
      <w:r>
        <w:rPr/>
        <w:t>as</w:t>
      </w:r>
      <w:r>
        <w:rPr>
          <w:spacing w:val="-9"/>
        </w:rPr>
        <w:t> </w:t>
      </w:r>
      <w:r>
        <w:rPr/>
        <w:t>allowed</w:t>
      </w:r>
      <w:r>
        <w:rPr>
          <w:spacing w:val="-11"/>
        </w:rPr>
        <w:t> </w:t>
      </w:r>
      <w:r>
        <w:rPr/>
        <w:t>by</w:t>
      </w:r>
      <w:r>
        <w:rPr>
          <w:spacing w:val="-9"/>
        </w:rPr>
        <w:t> </w:t>
      </w:r>
      <w:r>
        <w:rPr/>
        <w:t>lumber</w:t>
      </w:r>
      <w:r>
        <w:rPr>
          <w:spacing w:val="-8"/>
        </w:rPr>
        <w:t> </w:t>
      </w:r>
      <w:r>
        <w:rPr/>
        <w:t>grading</w:t>
      </w:r>
      <w:r>
        <w:rPr>
          <w:spacing w:val="-10"/>
        </w:rPr>
        <w:t> </w:t>
      </w:r>
      <w:r>
        <w:rPr/>
        <w:t>rules</w:t>
      </w:r>
      <w:r>
        <w:rPr>
          <w:spacing w:val="-10"/>
        </w:rPr>
        <w:t> </w:t>
      </w:r>
      <w:r>
        <w:rPr/>
        <w:t>[12,</w:t>
      </w:r>
      <w:r>
        <w:rPr>
          <w:spacing w:val="-10"/>
        </w:rPr>
        <w:t> </w:t>
      </w:r>
      <w:r>
        <w:rPr/>
        <w:t>35].</w:t>
      </w:r>
      <w:r>
        <w:rPr>
          <w:spacing w:val="35"/>
        </w:rPr>
        <w:t> </w:t>
      </w:r>
      <w:r>
        <w:rPr/>
        <w:t>Knots</w:t>
      </w:r>
      <w:r>
        <w:rPr>
          <w:spacing w:val="-9"/>
        </w:rPr>
        <w:t> </w:t>
      </w:r>
      <w:r>
        <w:rPr/>
        <w:t>in</w:t>
      </w:r>
      <w:r>
        <w:rPr>
          <w:spacing w:val="-10"/>
        </w:rPr>
        <w:t> </w:t>
      </w:r>
      <w:r>
        <w:rPr/>
        <w:t>a</w:t>
      </w:r>
      <w:r>
        <w:rPr>
          <w:spacing w:val="-9"/>
        </w:rPr>
        <w:t> </w:t>
      </w:r>
      <w:r>
        <w:rPr/>
        <w:t>board</w:t>
      </w:r>
      <w:r>
        <w:rPr>
          <w:spacing w:val="-9"/>
        </w:rPr>
        <w:t> </w:t>
      </w:r>
      <w:r>
        <w:rPr/>
        <w:t>are</w:t>
      </w:r>
      <w:r>
        <w:rPr>
          <w:spacing w:val="-10"/>
        </w:rPr>
        <w:t> </w:t>
      </w:r>
      <w:r>
        <w:rPr/>
        <w:t>the</w:t>
      </w:r>
      <w:r>
        <w:rPr>
          <w:spacing w:val="-9"/>
        </w:rPr>
        <w:t> </w:t>
      </w:r>
      <w:r>
        <w:rPr/>
        <w:t>result</w:t>
      </w:r>
      <w:r>
        <w:rPr>
          <w:spacing w:val="-58"/>
        </w:rPr>
        <w:t> </w:t>
      </w:r>
      <w:r>
        <w:rPr/>
        <w:t>of</w:t>
      </w:r>
      <w:r>
        <w:rPr>
          <w:spacing w:val="-7"/>
        </w:rPr>
        <w:t> </w:t>
      </w:r>
      <w:r>
        <w:rPr/>
        <w:t>branches</w:t>
      </w:r>
      <w:r>
        <w:rPr>
          <w:spacing w:val="-7"/>
        </w:rPr>
        <w:t> </w:t>
      </w:r>
      <w:r>
        <w:rPr/>
        <w:t>in</w:t>
      </w:r>
      <w:r>
        <w:rPr>
          <w:spacing w:val="-5"/>
        </w:rPr>
        <w:t> </w:t>
      </w:r>
      <w:r>
        <w:rPr/>
        <w:t>the</w:t>
      </w:r>
      <w:r>
        <w:rPr>
          <w:spacing w:val="-7"/>
        </w:rPr>
        <w:t> </w:t>
      </w:r>
      <w:r>
        <w:rPr/>
        <w:t>tree;</w:t>
      </w:r>
      <w:r>
        <w:rPr>
          <w:spacing w:val="-5"/>
        </w:rPr>
        <w:t> </w:t>
      </w:r>
      <w:r>
        <w:rPr/>
        <w:t>they</w:t>
      </w:r>
      <w:r>
        <w:rPr>
          <w:spacing w:val="-6"/>
        </w:rPr>
        <w:t> </w:t>
      </w:r>
      <w:r>
        <w:rPr/>
        <w:t>appear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a</w:t>
      </w:r>
      <w:r>
        <w:rPr>
          <w:spacing w:val="-6"/>
        </w:rPr>
        <w:t> </w:t>
      </w:r>
      <w:r>
        <w:rPr/>
        <w:t>sawn</w:t>
      </w:r>
      <w:r>
        <w:rPr>
          <w:spacing w:val="-5"/>
        </w:rPr>
        <w:t> </w:t>
      </w:r>
      <w:r>
        <w:rPr/>
        <w:t>timber</w:t>
      </w:r>
      <w:r>
        <w:rPr>
          <w:spacing w:val="-6"/>
        </w:rPr>
        <w:t> </w:t>
      </w:r>
      <w:r>
        <w:rPr/>
        <w:t>as</w:t>
      </w:r>
      <w:r>
        <w:rPr>
          <w:spacing w:val="-5"/>
        </w:rPr>
        <w:t> </w:t>
      </w:r>
      <w:r>
        <w:rPr/>
        <w:t>round</w:t>
      </w:r>
      <w:r>
        <w:rPr>
          <w:spacing w:val="-8"/>
        </w:rPr>
        <w:t> </w:t>
      </w:r>
      <w:r>
        <w:rPr/>
        <w:t>and</w:t>
      </w:r>
      <w:r>
        <w:rPr>
          <w:spacing w:val="-5"/>
        </w:rPr>
        <w:t> </w:t>
      </w:r>
      <w:r>
        <w:rPr/>
        <w:t>generally</w:t>
      </w:r>
      <w:r>
        <w:rPr>
          <w:spacing w:val="-6"/>
        </w:rPr>
        <w:t> </w:t>
      </w:r>
      <w:r>
        <w:rPr/>
        <w:t>darker</w:t>
      </w:r>
      <w:r>
        <w:rPr>
          <w:spacing w:val="-5"/>
        </w:rPr>
        <w:t> </w:t>
      </w:r>
      <w:r>
        <w:rPr/>
        <w:t>colored</w:t>
      </w:r>
      <w:r>
        <w:rPr>
          <w:spacing w:val="-58"/>
        </w:rPr>
        <w:t> </w:t>
      </w:r>
      <w:r>
        <w:rPr/>
        <w:t>wood perpendicular to the grain of the board [96].</w:t>
      </w:r>
      <w:r>
        <w:rPr>
          <w:spacing w:val="1"/>
        </w:rPr>
        <w:t> </w:t>
      </w:r>
      <w:r>
        <w:rPr/>
        <w:t>The presence of a knot can disrupt the</w:t>
      </w:r>
      <w:r>
        <w:rPr>
          <w:spacing w:val="-57"/>
        </w:rPr>
        <w:t> </w:t>
      </w:r>
      <w:r>
        <w:rPr/>
        <w:t>straightness of the wood grain and influence the wood properties of the board.</w:t>
      </w:r>
      <w:r>
        <w:rPr>
          <w:spacing w:val="1"/>
        </w:rPr>
        <w:t> </w:t>
      </w:r>
      <w:r>
        <w:rPr/>
        <w:t>Knots and</w:t>
      </w:r>
      <w:r>
        <w:rPr>
          <w:spacing w:val="-57"/>
        </w:rPr>
        <w:t> </w:t>
      </w:r>
      <w:r>
        <w:rPr/>
        <w:t>the wood around them are often the location of failure in the wood.</w:t>
      </w:r>
      <w:r>
        <w:rPr>
          <w:spacing w:val="1"/>
        </w:rPr>
        <w:t> </w:t>
      </w:r>
      <w:r>
        <w:rPr/>
        <w:t>However, as the</w:t>
      </w:r>
      <w:r>
        <w:rPr>
          <w:spacing w:val="1"/>
        </w:rPr>
        <w:t> </w:t>
      </w:r>
      <w:r>
        <w:rPr/>
        <w:t>hardness</w:t>
      </w:r>
      <w:r>
        <w:rPr>
          <w:spacing w:val="-13"/>
        </w:rPr>
        <w:t> </w:t>
      </w:r>
      <w:r>
        <w:rPr/>
        <w:t>testing</w:t>
      </w:r>
      <w:r>
        <w:rPr>
          <w:spacing w:val="-11"/>
        </w:rPr>
        <w:t> </w:t>
      </w:r>
      <w:r>
        <w:rPr/>
        <w:t>indicated</w:t>
      </w:r>
      <w:r>
        <w:rPr>
          <w:spacing w:val="-12"/>
        </w:rPr>
        <w:t> </w:t>
      </w:r>
      <w:r>
        <w:rPr/>
        <w:t>(Chapter</w:t>
      </w:r>
      <w:r>
        <w:rPr>
          <w:spacing w:val="-11"/>
        </w:rPr>
        <w:t> </w:t>
      </w:r>
      <w:r>
        <w:rPr/>
        <w:t>4),</w:t>
      </w:r>
      <w:r>
        <w:rPr>
          <w:spacing w:val="-12"/>
        </w:rPr>
        <w:t> </w:t>
      </w:r>
      <w:r>
        <w:rPr/>
        <w:t>knots</w:t>
      </w:r>
      <w:r>
        <w:rPr>
          <w:spacing w:val="-12"/>
        </w:rPr>
        <w:t> </w:t>
      </w:r>
      <w:r>
        <w:rPr/>
        <w:t>are</w:t>
      </w:r>
      <w:r>
        <w:rPr>
          <w:spacing w:val="-12"/>
        </w:rPr>
        <w:t> </w:t>
      </w:r>
      <w:r>
        <w:rPr/>
        <w:t>also</w:t>
      </w:r>
      <w:r>
        <w:rPr>
          <w:spacing w:val="-11"/>
        </w:rPr>
        <w:t> </w:t>
      </w:r>
      <w:r>
        <w:rPr/>
        <w:t>much</w:t>
      </w:r>
      <w:r>
        <w:rPr>
          <w:spacing w:val="-12"/>
        </w:rPr>
        <w:t> </w:t>
      </w:r>
      <w:r>
        <w:rPr/>
        <w:t>harder</w:t>
      </w:r>
      <w:r>
        <w:rPr>
          <w:spacing w:val="-11"/>
        </w:rPr>
        <w:t> </w:t>
      </w:r>
      <w:r>
        <w:rPr/>
        <w:t>than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normal</w:t>
      </w:r>
      <w:r>
        <w:rPr>
          <w:spacing w:val="-12"/>
        </w:rPr>
        <w:t> </w:t>
      </w:r>
      <w:r>
        <w:rPr/>
        <w:t>straight-</w:t>
      </w:r>
      <w:r>
        <w:rPr>
          <w:spacing w:val="-58"/>
        </w:rPr>
        <w:t> </w:t>
      </w:r>
      <w:r>
        <w:rPr/>
        <w:t>grained wood.</w:t>
      </w:r>
      <w:r>
        <w:rPr>
          <w:spacing w:val="1"/>
        </w:rPr>
        <w:t> </w:t>
      </w:r>
      <w:r>
        <w:rPr/>
        <w:t>Depending on the location of the knot relative to the projectile’s path</w:t>
      </w:r>
      <w:r>
        <w:rPr>
          <w:spacing w:val="1"/>
        </w:rPr>
        <w:t> </w:t>
      </w:r>
      <w:r>
        <w:rPr/>
        <w:t>through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specimen,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knot</w:t>
      </w:r>
      <w:r>
        <w:rPr>
          <w:spacing w:val="-6"/>
        </w:rPr>
        <w:t> </w:t>
      </w:r>
      <w:r>
        <w:rPr/>
        <w:t>is</w:t>
      </w:r>
      <w:r>
        <w:rPr>
          <w:spacing w:val="-7"/>
        </w:rPr>
        <w:t> </w:t>
      </w:r>
      <w:r>
        <w:rPr/>
        <w:t>believed</w:t>
      </w:r>
      <w:r>
        <w:rPr>
          <w:spacing w:val="-5"/>
        </w:rPr>
        <w:t> </w:t>
      </w:r>
      <w:r>
        <w:rPr/>
        <w:t>to</w:t>
      </w:r>
      <w:r>
        <w:rPr>
          <w:spacing w:val="-7"/>
        </w:rPr>
        <w:t> </w:t>
      </w:r>
      <w:r>
        <w:rPr/>
        <w:t>either</w:t>
      </w:r>
      <w:r>
        <w:rPr>
          <w:spacing w:val="-5"/>
        </w:rPr>
        <w:t> </w:t>
      </w:r>
      <w:r>
        <w:rPr/>
        <w:t>alter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otherwise</w:t>
      </w:r>
      <w:r>
        <w:rPr>
          <w:spacing w:val="-6"/>
        </w:rPr>
        <w:t> </w:t>
      </w:r>
      <w:r>
        <w:rPr/>
        <w:t>straight-line</w:t>
      </w:r>
      <w:r>
        <w:rPr>
          <w:spacing w:val="-6"/>
        </w:rPr>
        <w:t> </w:t>
      </w:r>
      <w:r>
        <w:rPr/>
        <w:t>path</w:t>
      </w:r>
      <w:r>
        <w:rPr>
          <w:spacing w:val="-6"/>
        </w:rPr>
        <w:t> </w:t>
      </w:r>
      <w:r>
        <w:rPr/>
        <w:t>or</w:t>
      </w:r>
      <w:r>
        <w:rPr>
          <w:spacing w:val="-58"/>
        </w:rPr>
        <w:t> </w:t>
      </w:r>
      <w:r>
        <w:rPr/>
        <w:t>to require more energy for the projectile to pass through.</w:t>
      </w:r>
      <w:r>
        <w:rPr>
          <w:spacing w:val="1"/>
        </w:rPr>
        <w:t> </w:t>
      </w:r>
      <w:r>
        <w:rPr/>
        <w:t>Lower residual velocities and</w:t>
      </w:r>
      <w:r>
        <w:rPr>
          <w:spacing w:val="1"/>
        </w:rPr>
        <w:t> </w:t>
      </w:r>
      <w:r>
        <w:rPr/>
        <w:t>reduced depths of penetration were commonly observed to have knots in close proximity</w:t>
      </w:r>
      <w:r>
        <w:rPr>
          <w:spacing w:val="1"/>
        </w:rPr>
        <w:t> </w:t>
      </w:r>
      <w:r>
        <w:rPr/>
        <w:t>to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projectile</w:t>
      </w:r>
      <w:r>
        <w:rPr>
          <w:spacing w:val="-13"/>
        </w:rPr>
        <w:t> </w:t>
      </w:r>
      <w:r>
        <w:rPr/>
        <w:t>path.</w:t>
      </w:r>
      <w:r>
        <w:rPr>
          <w:spacing w:val="35"/>
        </w:rPr>
        <w:t> </w:t>
      </w:r>
      <w:hyperlink w:history="true" w:anchor="_bookmark118">
        <w:r>
          <w:rPr/>
          <w:t>Figure</w:t>
        </w:r>
        <w:r>
          <w:rPr>
            <w:spacing w:val="-13"/>
          </w:rPr>
          <w:t> </w:t>
        </w:r>
        <w:r>
          <w:rPr/>
          <w:t>6-16</w:t>
        </w:r>
      </w:hyperlink>
      <w:r>
        <w:rPr/>
        <w:t>a</w:t>
      </w:r>
      <w:r>
        <w:rPr>
          <w:spacing w:val="-13"/>
        </w:rPr>
        <w:t> </w:t>
      </w:r>
      <w:r>
        <w:rPr/>
        <w:t>shows</w:t>
      </w:r>
      <w:r>
        <w:rPr>
          <w:spacing w:val="-12"/>
        </w:rPr>
        <w:t> </w:t>
      </w:r>
      <w:r>
        <w:rPr/>
        <w:t>a</w:t>
      </w:r>
      <w:r>
        <w:rPr>
          <w:spacing w:val="-13"/>
        </w:rPr>
        <w:t> </w:t>
      </w:r>
      <w:r>
        <w:rPr/>
        <w:t>projectile</w:t>
      </w:r>
      <w:r>
        <w:rPr>
          <w:spacing w:val="-13"/>
        </w:rPr>
        <w:t> </w:t>
      </w:r>
      <w:r>
        <w:rPr/>
        <w:t>path</w:t>
      </w:r>
      <w:r>
        <w:rPr>
          <w:spacing w:val="-13"/>
        </w:rPr>
        <w:t> </w:t>
      </w:r>
      <w:r>
        <w:rPr/>
        <w:t>with</w:t>
      </w:r>
      <w:r>
        <w:rPr>
          <w:spacing w:val="-12"/>
        </w:rPr>
        <w:t> </w:t>
      </w:r>
      <w:r>
        <w:rPr/>
        <w:t>two</w:t>
      </w:r>
      <w:r>
        <w:rPr>
          <w:spacing w:val="-13"/>
        </w:rPr>
        <w:t> </w:t>
      </w:r>
      <w:r>
        <w:rPr/>
        <w:t>knots,</w:t>
      </w:r>
      <w:r>
        <w:rPr>
          <w:spacing w:val="-13"/>
        </w:rPr>
        <w:t> </w:t>
      </w:r>
      <w:r>
        <w:rPr/>
        <w:t>where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larger</w:t>
      </w:r>
      <w:r>
        <w:rPr>
          <w:spacing w:val="-58"/>
        </w:rPr>
        <w:t> </w:t>
      </w:r>
      <w:r>
        <w:rPr/>
        <w:t>knot was included in the material the projectile passed through.</w:t>
      </w:r>
      <w:r>
        <w:rPr>
          <w:spacing w:val="1"/>
        </w:rPr>
        <w:t> </w:t>
      </w:r>
      <w:r>
        <w:rPr/>
        <w:t>The two knots are</w:t>
      </w:r>
      <w:r>
        <w:rPr>
          <w:spacing w:val="1"/>
        </w:rPr>
        <w:t> </w:t>
      </w:r>
      <w:r>
        <w:rPr>
          <w:spacing w:val="-1"/>
        </w:rPr>
        <w:t>perpendicular</w:t>
      </w:r>
      <w:r>
        <w:rPr>
          <w:spacing w:val="-14"/>
        </w:rPr>
        <w:t> </w:t>
      </w:r>
      <w:r>
        <w:rPr>
          <w:spacing w:val="-1"/>
        </w:rPr>
        <w:t>to</w:t>
      </w:r>
      <w:r>
        <w:rPr>
          <w:spacing w:val="-15"/>
        </w:rPr>
        <w:t> </w:t>
      </w:r>
      <w:r>
        <w:rPr>
          <w:spacing w:val="-1"/>
        </w:rPr>
        <w:t>the</w:t>
      </w:r>
      <w:r>
        <w:rPr>
          <w:spacing w:val="-15"/>
        </w:rPr>
        <w:t> </w:t>
      </w:r>
      <w:r>
        <w:rPr/>
        <w:t>board’s</w:t>
      </w:r>
      <w:r>
        <w:rPr>
          <w:spacing w:val="-15"/>
        </w:rPr>
        <w:t> </w:t>
      </w:r>
      <w:r>
        <w:rPr/>
        <w:t>grain</w:t>
      </w:r>
      <w:r>
        <w:rPr>
          <w:spacing w:val="-14"/>
        </w:rPr>
        <w:t> </w:t>
      </w:r>
      <w:r>
        <w:rPr/>
        <w:t>direction</w:t>
      </w:r>
      <w:r>
        <w:rPr>
          <w:spacing w:val="-16"/>
        </w:rPr>
        <w:t> </w:t>
      </w:r>
      <w:r>
        <w:rPr/>
        <w:t>running</w:t>
      </w:r>
      <w:r>
        <w:rPr>
          <w:spacing w:val="-15"/>
        </w:rPr>
        <w:t> </w:t>
      </w:r>
      <w:r>
        <w:rPr/>
        <w:t>vertically.</w:t>
      </w:r>
      <w:r>
        <w:rPr>
          <w:spacing w:val="31"/>
        </w:rPr>
        <w:t> </w:t>
      </w:r>
      <w:hyperlink w:history="true" w:anchor="_bookmark118">
        <w:r>
          <w:rPr/>
          <w:t>Figure</w:t>
        </w:r>
        <w:r>
          <w:rPr>
            <w:spacing w:val="-13"/>
          </w:rPr>
          <w:t> </w:t>
        </w:r>
        <w:r>
          <w:rPr/>
          <w:t>6-16</w:t>
        </w:r>
      </w:hyperlink>
      <w:r>
        <w:rPr/>
        <w:t>b</w:t>
      </w:r>
      <w:r>
        <w:rPr>
          <w:spacing w:val="-15"/>
        </w:rPr>
        <w:t> </w:t>
      </w:r>
      <w:r>
        <w:rPr/>
        <w:t>shows</w:t>
      </w:r>
      <w:r>
        <w:rPr>
          <w:spacing w:val="-15"/>
        </w:rPr>
        <w:t> </w:t>
      </w:r>
      <w:r>
        <w:rPr/>
        <w:t>a</w:t>
      </w:r>
      <w:r>
        <w:rPr>
          <w:spacing w:val="-15"/>
        </w:rPr>
        <w:t> </w:t>
      </w:r>
      <w:r>
        <w:rPr/>
        <w:t>single</w:t>
      </w:r>
      <w:r>
        <w:rPr>
          <w:spacing w:val="-57"/>
        </w:rPr>
        <w:t> </w:t>
      </w:r>
      <w:r>
        <w:rPr/>
        <w:t>knot exposed by the projectile. Unusually, the knot is parallel to the board grain direction,</w:t>
      </w:r>
      <w:r>
        <w:rPr>
          <w:spacing w:val="-57"/>
        </w:rPr>
        <w:t> </w:t>
      </w:r>
      <w:r>
        <w:rPr/>
        <w:t>which</w:t>
      </w:r>
      <w:r>
        <w:rPr>
          <w:spacing w:val="-1"/>
        </w:rPr>
        <w:t> </w:t>
      </w:r>
      <w:r>
        <w:rPr/>
        <w:t>is still</w:t>
      </w:r>
      <w:r>
        <w:rPr>
          <w:spacing w:val="-1"/>
        </w:rPr>
        <w:t> </w:t>
      </w:r>
      <w:r>
        <w:rPr/>
        <w:t>believed</w:t>
      </w:r>
      <w:r>
        <w:rPr>
          <w:spacing w:val="-1"/>
        </w:rPr>
        <w:t> </w:t>
      </w:r>
      <w:r>
        <w:rPr/>
        <w:t>to</w:t>
      </w:r>
      <w:r>
        <w:rPr>
          <w:spacing w:val="-2"/>
        </w:rPr>
        <w:t> </w:t>
      </w:r>
      <w:r>
        <w:rPr/>
        <w:t>result in a</w:t>
      </w:r>
      <w:r>
        <w:rPr>
          <w:spacing w:val="-2"/>
        </w:rPr>
        <w:t> </w:t>
      </w:r>
      <w:r>
        <w:rPr/>
        <w:t>less than expected residual</w:t>
      </w:r>
      <w:r>
        <w:rPr>
          <w:spacing w:val="-2"/>
        </w:rPr>
        <w:t> </w:t>
      </w:r>
      <w:r>
        <w:rPr/>
        <w:t>velocity.</w:t>
      </w:r>
    </w:p>
    <w:p>
      <w:pPr>
        <w:spacing w:after="0" w:line="480" w:lineRule="auto"/>
        <w:jc w:val="both"/>
        <w:sectPr>
          <w:pgSz w:w="12240" w:h="15840"/>
          <w:pgMar w:header="0" w:footer="1064" w:top="1380" w:bottom="1260" w:left="1720" w:right="1020"/>
        </w:sectPr>
      </w:pPr>
    </w:p>
    <w:p>
      <w:pPr>
        <w:pStyle w:val="BodyText"/>
        <w:ind w:left="1610"/>
        <w:rPr>
          <w:sz w:val="20"/>
        </w:rPr>
      </w:pPr>
      <w:r>
        <w:rPr>
          <w:sz w:val="20"/>
        </w:rPr>
        <w:drawing>
          <wp:inline distT="0" distB="0" distL="0" distR="0">
            <wp:extent cx="4043595" cy="4094607"/>
            <wp:effectExtent l="0" t="0" r="0" b="0"/>
            <wp:docPr id="87" name="image3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310.png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3595" cy="4094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122"/>
        <w:ind w:left="440" w:right="403" w:firstLine="0"/>
        <w:jc w:val="left"/>
        <w:rPr>
          <w:i/>
          <w:sz w:val="24"/>
        </w:rPr>
      </w:pPr>
      <w:bookmarkStart w:name="_bookmark118" w:id="384"/>
      <w:bookmarkEnd w:id="384"/>
      <w:r>
        <w:rPr/>
      </w:r>
      <w:r>
        <w:rPr>
          <w:i/>
          <w:sz w:val="24"/>
        </w:rPr>
        <w:t>Figure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6-16.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Two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projectile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paths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with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visible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knots,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(a)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path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tracks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between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two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knots,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(b)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path exposes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 knot.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6"/>
        <w:rPr>
          <w:i/>
          <w:sz w:val="23"/>
        </w:rPr>
      </w:pPr>
    </w:p>
    <w:p>
      <w:pPr>
        <w:pStyle w:val="Heading9"/>
        <w:numPr>
          <w:ilvl w:val="1"/>
          <w:numId w:val="23"/>
        </w:numPr>
        <w:tabs>
          <w:tab w:pos="800" w:val="left" w:leader="none"/>
        </w:tabs>
        <w:spacing w:line="240" w:lineRule="auto" w:before="1" w:after="0"/>
        <w:ind w:left="800" w:right="0" w:hanging="360"/>
        <w:jc w:val="both"/>
      </w:pPr>
      <w:bookmarkStart w:name="_TOC_250023" w:id="385"/>
      <w:bookmarkStart w:name="6.6 Outliers" w:id="386"/>
      <w:r>
        <w:rPr>
          <w:b w:val="0"/>
        </w:rPr>
      </w:r>
      <w:bookmarkEnd w:id="386"/>
      <w:bookmarkStart w:name="6.6 Outliers" w:id="387"/>
      <w:r>
        <w:rPr/>
        <w:t>O</w:t>
      </w:r>
      <w:bookmarkEnd w:id="385"/>
      <w:r>
        <w:rPr/>
        <w:t>utliers</w:t>
      </w:r>
    </w:p>
    <w:p>
      <w:pPr>
        <w:pStyle w:val="BodyText"/>
        <w:spacing w:before="6"/>
        <w:rPr>
          <w:b/>
          <w:sz w:val="22"/>
        </w:rPr>
      </w:pPr>
    </w:p>
    <w:p>
      <w:pPr>
        <w:pStyle w:val="BodyText"/>
        <w:spacing w:line="480" w:lineRule="auto"/>
        <w:ind w:left="439" w:right="416" w:firstLine="720"/>
        <w:jc w:val="both"/>
      </w:pPr>
      <w:r>
        <w:rPr>
          <w:spacing w:val="-1"/>
        </w:rPr>
        <w:t>Occasionally</w:t>
      </w:r>
      <w:r>
        <w:rPr>
          <w:spacing w:val="-14"/>
        </w:rPr>
        <w:t> </w:t>
      </w:r>
      <w:r>
        <w:rPr/>
        <w:t>with</w:t>
      </w:r>
      <w:r>
        <w:rPr>
          <w:spacing w:val="-14"/>
        </w:rPr>
        <w:t> </w:t>
      </w:r>
      <w:r>
        <w:rPr/>
        <w:t>a</w:t>
      </w:r>
      <w:r>
        <w:rPr>
          <w:spacing w:val="-13"/>
        </w:rPr>
        <w:t> </w:t>
      </w:r>
      <w:r>
        <w:rPr/>
        <w:t>ballistic</w:t>
      </w:r>
      <w:r>
        <w:rPr>
          <w:spacing w:val="-15"/>
        </w:rPr>
        <w:t> </w:t>
      </w:r>
      <w:r>
        <w:rPr/>
        <w:t>test</w:t>
      </w:r>
      <w:r>
        <w:rPr>
          <w:spacing w:val="-14"/>
        </w:rPr>
        <w:t> </w:t>
      </w:r>
      <w:r>
        <w:rPr/>
        <w:t>shot,</w:t>
      </w:r>
      <w:r>
        <w:rPr>
          <w:spacing w:val="-15"/>
        </w:rPr>
        <w:t> </w:t>
      </w:r>
      <w:r>
        <w:rPr/>
        <w:t>a</w:t>
      </w:r>
      <w:r>
        <w:rPr>
          <w:spacing w:val="-13"/>
        </w:rPr>
        <w:t> </w:t>
      </w:r>
      <w:r>
        <w:rPr/>
        <w:t>projectile</w:t>
      </w:r>
      <w:r>
        <w:rPr>
          <w:spacing w:val="-15"/>
        </w:rPr>
        <w:t> </w:t>
      </w:r>
      <w:r>
        <w:rPr/>
        <w:t>doesn’t</w:t>
      </w:r>
      <w:r>
        <w:rPr>
          <w:spacing w:val="-14"/>
        </w:rPr>
        <w:t> </w:t>
      </w:r>
      <w:r>
        <w:rPr/>
        <w:t>travel</w:t>
      </w:r>
      <w:r>
        <w:rPr>
          <w:spacing w:val="-13"/>
        </w:rPr>
        <w:t> </w:t>
      </w:r>
      <w:r>
        <w:rPr/>
        <w:t>as</w:t>
      </w:r>
      <w:r>
        <w:rPr>
          <w:spacing w:val="-13"/>
        </w:rPr>
        <w:t> </w:t>
      </w:r>
      <w:r>
        <w:rPr/>
        <w:t>deep</w:t>
      </w:r>
      <w:r>
        <w:rPr>
          <w:spacing w:val="-15"/>
        </w:rPr>
        <w:t> </w:t>
      </w:r>
      <w:r>
        <w:rPr/>
        <w:t>as</w:t>
      </w:r>
      <w:r>
        <w:rPr>
          <w:spacing w:val="-15"/>
        </w:rPr>
        <w:t> </w:t>
      </w:r>
      <w:r>
        <w:rPr/>
        <w:t>expected</w:t>
      </w:r>
      <w:r>
        <w:rPr>
          <w:spacing w:val="-58"/>
        </w:rPr>
        <w:t> </w:t>
      </w:r>
      <w:r>
        <w:rPr/>
        <w:t>or exit the target as fast as expected, or conversely, the depth of penetration is deeper or</w:t>
      </w:r>
      <w:r>
        <w:rPr>
          <w:spacing w:val="1"/>
        </w:rPr>
        <w:t> </w:t>
      </w:r>
      <w:r>
        <w:rPr/>
        <w:t>residual velocity is faster than expected.</w:t>
      </w:r>
      <w:r>
        <w:rPr>
          <w:spacing w:val="1"/>
        </w:rPr>
        <w:t> </w:t>
      </w:r>
      <w:r>
        <w:rPr/>
        <w:t>With CLT, the dissection of the projectile path</w:t>
      </w:r>
      <w:r>
        <w:rPr>
          <w:spacing w:val="1"/>
        </w:rPr>
        <w:t> </w:t>
      </w:r>
      <w:r>
        <w:rPr/>
        <w:t>can help explain variation from the mean behavior.</w:t>
      </w:r>
      <w:r>
        <w:rPr>
          <w:spacing w:val="1"/>
        </w:rPr>
        <w:t> </w:t>
      </w:r>
      <w:r>
        <w:rPr/>
        <w:t>Potential outliers were first identified</w:t>
      </w:r>
      <w:r>
        <w:rPr>
          <w:spacing w:val="-57"/>
        </w:rPr>
        <w:t> </w:t>
      </w:r>
      <w:r>
        <w:rPr/>
        <w:t>in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context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specimen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/>
        <w:t>outlier</w:t>
      </w:r>
      <w:r>
        <w:rPr>
          <w:spacing w:val="-9"/>
        </w:rPr>
        <w:t> </w:t>
      </w:r>
      <w:r>
        <w:rPr/>
        <w:t>type.</w:t>
      </w:r>
      <w:r>
        <w:rPr>
          <w:spacing w:val="42"/>
        </w:rPr>
        <w:t> </w:t>
      </w:r>
      <w:r>
        <w:rPr/>
        <w:t>For</w:t>
      </w:r>
      <w:r>
        <w:rPr>
          <w:spacing w:val="-9"/>
        </w:rPr>
        <w:t> </w:t>
      </w:r>
      <w:r>
        <w:rPr/>
        <w:t>example,</w:t>
      </w:r>
      <w:r>
        <w:rPr>
          <w:spacing w:val="-9"/>
        </w:rPr>
        <w:t> </w:t>
      </w:r>
      <w:r>
        <w:rPr/>
        <w:t>all</w:t>
      </w:r>
      <w:r>
        <w:rPr>
          <w:spacing w:val="-9"/>
        </w:rPr>
        <w:t> </w:t>
      </w:r>
      <w:r>
        <w:rPr/>
        <w:t>SYP</w:t>
      </w:r>
      <w:r>
        <w:rPr>
          <w:spacing w:val="-9"/>
        </w:rPr>
        <w:t> </w:t>
      </w:r>
      <w:r>
        <w:rPr/>
        <w:t>specimens</w:t>
      </w:r>
      <w:r>
        <w:rPr>
          <w:spacing w:val="-8"/>
        </w:rPr>
        <w:t> </w:t>
      </w:r>
      <w:r>
        <w:rPr/>
        <w:t>with</w:t>
      </w:r>
      <w:r>
        <w:rPr>
          <w:spacing w:val="-9"/>
        </w:rPr>
        <w:t> </w:t>
      </w:r>
      <w:r>
        <w:rPr/>
        <w:t>outlying</w:t>
      </w:r>
      <w:r>
        <w:rPr>
          <w:spacing w:val="-58"/>
        </w:rPr>
        <w:t> </w:t>
      </w:r>
      <w:r>
        <w:rPr/>
        <w:t>residual</w:t>
      </w:r>
      <w:r>
        <w:rPr>
          <w:spacing w:val="57"/>
        </w:rPr>
        <w:t> </w:t>
      </w:r>
      <w:r>
        <w:rPr/>
        <w:t>velocities</w:t>
      </w:r>
      <w:r>
        <w:rPr>
          <w:spacing w:val="58"/>
        </w:rPr>
        <w:t> </w:t>
      </w:r>
      <w:r>
        <w:rPr/>
        <w:t>or</w:t>
      </w:r>
      <w:r>
        <w:rPr>
          <w:spacing w:val="58"/>
        </w:rPr>
        <w:t> </w:t>
      </w:r>
      <w:r>
        <w:rPr/>
        <w:t>all</w:t>
      </w:r>
      <w:r>
        <w:rPr>
          <w:spacing w:val="58"/>
        </w:rPr>
        <w:t> </w:t>
      </w:r>
      <w:r>
        <w:rPr/>
        <w:t>SPF-S</w:t>
      </w:r>
      <w:r>
        <w:rPr>
          <w:spacing w:val="57"/>
        </w:rPr>
        <w:t> </w:t>
      </w:r>
      <w:r>
        <w:rPr/>
        <w:t>specimens</w:t>
      </w:r>
      <w:r>
        <w:rPr>
          <w:spacing w:val="57"/>
        </w:rPr>
        <w:t> </w:t>
      </w:r>
      <w:r>
        <w:rPr/>
        <w:t>with</w:t>
      </w:r>
      <w:r>
        <w:rPr>
          <w:spacing w:val="57"/>
        </w:rPr>
        <w:t> </w:t>
      </w:r>
      <w:r>
        <w:rPr/>
        <w:t>outlying</w:t>
      </w:r>
      <w:r>
        <w:rPr>
          <w:spacing w:val="56"/>
        </w:rPr>
        <w:t> </w:t>
      </w:r>
      <w:r>
        <w:rPr/>
        <w:t>depths</w:t>
      </w:r>
      <w:r>
        <w:rPr>
          <w:spacing w:val="58"/>
        </w:rPr>
        <w:t> </w:t>
      </w:r>
      <w:r>
        <w:rPr/>
        <w:t>of</w:t>
      </w:r>
      <w:r>
        <w:rPr>
          <w:spacing w:val="57"/>
        </w:rPr>
        <w:t> </w:t>
      </w:r>
      <w:r>
        <w:rPr/>
        <w:t>penetration</w:t>
      </w:r>
      <w:r>
        <w:rPr>
          <w:spacing w:val="55"/>
        </w:rPr>
        <w:t> </w:t>
      </w:r>
      <w:r>
        <w:rPr/>
        <w:t>were</w:t>
      </w:r>
      <w:r>
        <w:rPr>
          <w:spacing w:val="-57"/>
        </w:rPr>
        <w:t> </w:t>
      </w:r>
      <w:r>
        <w:rPr/>
        <w:t>investigated.</w:t>
      </w:r>
      <w:r>
        <w:rPr>
          <w:spacing w:val="1"/>
        </w:rPr>
        <w:t> </w:t>
      </w:r>
      <w:r>
        <w:rPr/>
        <w:t>The list of potential outliers was then further examined in the context of the</w:t>
      </w:r>
      <w:r>
        <w:rPr>
          <w:spacing w:val="-57"/>
        </w:rPr>
        <w:t> </w:t>
      </w:r>
      <w:r>
        <w:rPr/>
        <w:t>individual</w:t>
      </w:r>
      <w:r>
        <w:rPr>
          <w:spacing w:val="18"/>
        </w:rPr>
        <w:t> </w:t>
      </w:r>
      <w:r>
        <w:rPr/>
        <w:t>specimen.</w:t>
      </w:r>
      <w:r>
        <w:rPr>
          <w:spacing w:val="37"/>
        </w:rPr>
        <w:t> </w:t>
      </w:r>
      <w:r>
        <w:rPr/>
        <w:t>For</w:t>
      </w:r>
      <w:r>
        <w:rPr>
          <w:spacing w:val="18"/>
        </w:rPr>
        <w:t> </w:t>
      </w:r>
      <w:r>
        <w:rPr/>
        <w:t>example,</w:t>
      </w:r>
      <w:r>
        <w:rPr>
          <w:spacing w:val="18"/>
        </w:rPr>
        <w:t> </w:t>
      </w:r>
      <w:r>
        <w:rPr/>
        <w:t>if</w:t>
      </w:r>
      <w:r>
        <w:rPr>
          <w:spacing w:val="17"/>
        </w:rPr>
        <w:t> </w:t>
      </w:r>
      <w:r>
        <w:rPr/>
        <w:t>the</w:t>
      </w:r>
      <w:r>
        <w:rPr>
          <w:spacing w:val="18"/>
        </w:rPr>
        <w:t> </w:t>
      </w:r>
      <w:r>
        <w:rPr/>
        <w:t>outlier</w:t>
      </w:r>
      <w:r>
        <w:rPr>
          <w:spacing w:val="18"/>
        </w:rPr>
        <w:t> </w:t>
      </w:r>
      <w:r>
        <w:rPr/>
        <w:t>was</w:t>
      </w:r>
      <w:r>
        <w:rPr>
          <w:spacing w:val="18"/>
        </w:rPr>
        <w:t> </w:t>
      </w:r>
      <w:r>
        <w:rPr/>
        <w:t>the</w:t>
      </w:r>
      <w:r>
        <w:rPr>
          <w:spacing w:val="18"/>
        </w:rPr>
        <w:t> </w:t>
      </w:r>
      <w:r>
        <w:rPr/>
        <w:t>fifth</w:t>
      </w:r>
      <w:r>
        <w:rPr>
          <w:spacing w:val="18"/>
        </w:rPr>
        <w:t> </w:t>
      </w:r>
      <w:r>
        <w:rPr/>
        <w:t>shot</w:t>
      </w:r>
      <w:r>
        <w:rPr>
          <w:spacing w:val="18"/>
        </w:rPr>
        <w:t> </w:t>
      </w:r>
      <w:r>
        <w:rPr/>
        <w:t>in</w:t>
      </w:r>
      <w:r>
        <w:rPr>
          <w:spacing w:val="18"/>
        </w:rPr>
        <w:t> </w:t>
      </w:r>
      <w:r>
        <w:rPr/>
        <w:t>specimen</w:t>
      </w:r>
      <w:r>
        <w:rPr>
          <w:spacing w:val="18"/>
        </w:rPr>
        <w:t> </w:t>
      </w:r>
      <w:r>
        <w:rPr/>
        <w:t>E-5P-3,</w:t>
      </w:r>
    </w:p>
    <w:p>
      <w:pPr>
        <w:spacing w:after="0" w:line="480" w:lineRule="auto"/>
        <w:jc w:val="both"/>
        <w:sectPr>
          <w:pgSz w:w="12240" w:h="15840"/>
          <w:pgMar w:header="0" w:footer="1064" w:top="1440" w:bottom="1260" w:left="1720" w:right="1020"/>
        </w:sectPr>
      </w:pPr>
    </w:p>
    <w:p>
      <w:pPr>
        <w:pStyle w:val="BodyText"/>
        <w:spacing w:line="480" w:lineRule="auto" w:before="78"/>
        <w:ind w:left="440" w:right="418"/>
        <w:jc w:val="both"/>
      </w:pPr>
      <w:r>
        <w:rPr/>
        <w:t>then</w:t>
      </w:r>
      <w:r>
        <w:rPr>
          <w:spacing w:val="-4"/>
        </w:rPr>
        <w:t> </w:t>
      </w:r>
      <w:r>
        <w:rPr/>
        <w:t>all</w:t>
      </w:r>
      <w:r>
        <w:rPr>
          <w:spacing w:val="-5"/>
        </w:rPr>
        <w:t> </w:t>
      </w:r>
      <w:r>
        <w:rPr/>
        <w:t>then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data</w:t>
      </w:r>
      <w:r>
        <w:rPr>
          <w:spacing w:val="-4"/>
        </w:rPr>
        <w:t> </w:t>
      </w:r>
      <w:r>
        <w:rPr/>
        <w:t>was</w:t>
      </w:r>
      <w:r>
        <w:rPr>
          <w:spacing w:val="-3"/>
        </w:rPr>
        <w:t> </w:t>
      </w:r>
      <w:r>
        <w:rPr/>
        <w:t>re-examined</w:t>
      </w:r>
      <w:r>
        <w:rPr>
          <w:spacing w:val="-4"/>
        </w:rPr>
        <w:t> </w:t>
      </w:r>
      <w:r>
        <w:rPr/>
        <w:t>for</w:t>
      </w:r>
      <w:r>
        <w:rPr>
          <w:spacing w:val="-3"/>
        </w:rPr>
        <w:t> </w:t>
      </w:r>
      <w:r>
        <w:rPr/>
        <w:t>all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shots</w:t>
      </w:r>
      <w:r>
        <w:rPr>
          <w:spacing w:val="-5"/>
        </w:rPr>
        <w:t> </w:t>
      </w:r>
      <w:r>
        <w:rPr/>
        <w:t>taken</w:t>
      </w:r>
      <w:r>
        <w:rPr>
          <w:spacing w:val="-4"/>
        </w:rPr>
        <w:t> </w:t>
      </w:r>
      <w:r>
        <w:rPr/>
        <w:t>on</w:t>
      </w:r>
      <w:r>
        <w:rPr>
          <w:spacing w:val="-4"/>
        </w:rPr>
        <w:t> </w:t>
      </w:r>
      <w:r>
        <w:rPr/>
        <w:t>E-5P-3</w:t>
      </w:r>
      <w:r>
        <w:rPr>
          <w:spacing w:val="-3"/>
        </w:rPr>
        <w:t> </w:t>
      </w:r>
      <w:r>
        <w:rPr/>
        <w:t>to</w:t>
      </w:r>
      <w:r>
        <w:rPr>
          <w:spacing w:val="-5"/>
        </w:rPr>
        <w:t> </w:t>
      </w:r>
      <w:r>
        <w:rPr/>
        <w:t>determine</w:t>
      </w:r>
      <w:r>
        <w:rPr>
          <w:spacing w:val="-4"/>
        </w:rPr>
        <w:t> </w:t>
      </w:r>
      <w:r>
        <w:rPr/>
        <w:t>if</w:t>
      </w:r>
      <w:r>
        <w:rPr>
          <w:spacing w:val="-5"/>
        </w:rPr>
        <w:t> </w:t>
      </w:r>
      <w:r>
        <w:rPr/>
        <w:t>the</w:t>
      </w:r>
      <w:r>
        <w:rPr>
          <w:spacing w:val="-58"/>
        </w:rPr>
        <w:t> </w:t>
      </w:r>
      <w:r>
        <w:rPr/>
        <w:t>potential</w:t>
      </w:r>
      <w:r>
        <w:rPr>
          <w:spacing w:val="-1"/>
        </w:rPr>
        <w:t> </w:t>
      </w:r>
      <w:r>
        <w:rPr/>
        <w:t>outlier</w:t>
      </w:r>
      <w:r>
        <w:rPr>
          <w:spacing w:val="-1"/>
        </w:rPr>
        <w:t> </w:t>
      </w:r>
      <w:r>
        <w:rPr/>
        <w:t>deviated</w:t>
      </w:r>
      <w:r>
        <w:rPr>
          <w:spacing w:val="-2"/>
        </w:rPr>
        <w:t> </w:t>
      </w:r>
      <w:r>
        <w:rPr/>
        <w:t>from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expected</w:t>
      </w:r>
      <w:r>
        <w:rPr>
          <w:spacing w:val="-2"/>
        </w:rPr>
        <w:t> </w:t>
      </w:r>
      <w:r>
        <w:rPr/>
        <w:t>result</w:t>
      </w:r>
      <w:r>
        <w:rPr>
          <w:spacing w:val="-2"/>
        </w:rPr>
        <w:t> </w:t>
      </w:r>
      <w:r>
        <w:rPr/>
        <w:t>given</w:t>
      </w:r>
      <w:r>
        <w:rPr>
          <w:spacing w:val="-1"/>
        </w:rPr>
        <w:t> </w:t>
      </w:r>
      <w:r>
        <w:rPr/>
        <w:t>that</w:t>
      </w:r>
      <w:r>
        <w:rPr>
          <w:spacing w:val="-1"/>
        </w:rPr>
        <w:t> </w:t>
      </w:r>
      <w:r>
        <w:rPr/>
        <w:t>particular</w:t>
      </w:r>
      <w:r>
        <w:rPr>
          <w:spacing w:val="-1"/>
        </w:rPr>
        <w:t> </w:t>
      </w:r>
      <w:r>
        <w:rPr/>
        <w:t>specimen.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/>
        <w:ind w:left="439" w:right="417" w:firstLine="720"/>
        <w:jc w:val="both"/>
      </w:pPr>
      <w:r>
        <w:rPr>
          <w:spacing w:val="-1"/>
        </w:rPr>
        <w:t>For</w:t>
      </w:r>
      <w:r>
        <w:rPr>
          <w:spacing w:val="-13"/>
        </w:rPr>
        <w:t> </w:t>
      </w:r>
      <w:r>
        <w:rPr>
          <w:spacing w:val="-1"/>
        </w:rPr>
        <w:t>outliers</w:t>
      </w:r>
      <w:r>
        <w:rPr>
          <w:spacing w:val="-15"/>
        </w:rPr>
        <w:t> </w:t>
      </w:r>
      <w:r>
        <w:rPr>
          <w:spacing w:val="-1"/>
        </w:rPr>
        <w:t>with</w:t>
      </w:r>
      <w:r>
        <w:rPr>
          <w:spacing w:val="-14"/>
        </w:rPr>
        <w:t> </w:t>
      </w:r>
      <w:r>
        <w:rPr/>
        <w:t>deeper</w:t>
      </w:r>
      <w:r>
        <w:rPr>
          <w:spacing w:val="-14"/>
        </w:rPr>
        <w:t> </w:t>
      </w:r>
      <w:r>
        <w:rPr/>
        <w:t>penetrations</w:t>
      </w:r>
      <w:r>
        <w:rPr>
          <w:spacing w:val="-15"/>
        </w:rPr>
        <w:t> </w:t>
      </w:r>
      <w:r>
        <w:rPr/>
        <w:t>and</w:t>
      </w:r>
      <w:r>
        <w:rPr>
          <w:spacing w:val="-14"/>
        </w:rPr>
        <w:t> </w:t>
      </w:r>
      <w:r>
        <w:rPr/>
        <w:t>higher</w:t>
      </w:r>
      <w:r>
        <w:rPr>
          <w:spacing w:val="-13"/>
        </w:rPr>
        <w:t> </w:t>
      </w:r>
      <w:r>
        <w:rPr/>
        <w:t>residual</w:t>
      </w:r>
      <w:r>
        <w:rPr>
          <w:spacing w:val="-13"/>
        </w:rPr>
        <w:t> </w:t>
      </w:r>
      <w:r>
        <w:rPr/>
        <w:t>velocity</w:t>
      </w:r>
      <w:r>
        <w:rPr>
          <w:spacing w:val="-14"/>
        </w:rPr>
        <w:t> </w:t>
      </w:r>
      <w:r>
        <w:rPr/>
        <w:t>values,</w:t>
      </w:r>
      <w:r>
        <w:rPr>
          <w:spacing w:val="-15"/>
        </w:rPr>
        <w:t> </w:t>
      </w:r>
      <w:r>
        <w:rPr/>
        <w:t>a</w:t>
      </w:r>
      <w:r>
        <w:rPr>
          <w:spacing w:val="-13"/>
        </w:rPr>
        <w:t> </w:t>
      </w:r>
      <w:r>
        <w:rPr/>
        <w:t>common</w:t>
      </w:r>
      <w:r>
        <w:rPr>
          <w:spacing w:val="-57"/>
        </w:rPr>
        <w:t> </w:t>
      </w:r>
      <w:r>
        <w:rPr/>
        <w:t>observation was that the projectile path was aligned tangential to the growth rings and</w:t>
      </w:r>
      <w:r>
        <w:rPr>
          <w:spacing w:val="1"/>
        </w:rPr>
        <w:t> </w:t>
      </w:r>
      <w:r>
        <w:rPr/>
        <w:t>occurred primarily within the earlywood. For lower residual velocity values and shallow</w:t>
      </w:r>
      <w:r>
        <w:rPr>
          <w:spacing w:val="1"/>
        </w:rPr>
        <w:t> </w:t>
      </w:r>
      <w:r>
        <w:rPr/>
        <w:t>depths of penetration, knots were often observed in the path or in close proximity to the</w:t>
      </w:r>
      <w:r>
        <w:rPr>
          <w:spacing w:val="1"/>
        </w:rPr>
        <w:t> </w:t>
      </w:r>
      <w:r>
        <w:rPr/>
        <w:t>path.</w:t>
      </w:r>
      <w:r>
        <w:rPr>
          <w:spacing w:val="1"/>
        </w:rPr>
        <w:t> </w:t>
      </w:r>
      <w:r>
        <w:rPr/>
        <w:t>For these unexpectedly “better” data points, dense growth rings and an increased</w:t>
      </w:r>
      <w:r>
        <w:rPr>
          <w:spacing w:val="1"/>
        </w:rPr>
        <w:t> </w:t>
      </w:r>
      <w:r>
        <w:rPr/>
        <w:t>percentage of latewood were also common. </w:t>
      </w:r>
      <w:hyperlink w:history="true" w:anchor="_bookmark120">
        <w:r>
          <w:rPr/>
          <w:t>Table 6-2</w:t>
        </w:r>
      </w:hyperlink>
      <w:r>
        <w:rPr/>
        <w:t> shows the details of identified</w:t>
      </w:r>
      <w:r>
        <w:rPr>
          <w:spacing w:val="1"/>
        </w:rPr>
        <w:t> </w:t>
      </w:r>
      <w:r>
        <w:rPr/>
        <w:t>outliers.</w:t>
      </w:r>
      <w:r>
        <w:rPr>
          <w:spacing w:val="1"/>
        </w:rPr>
        <w:t> </w:t>
      </w:r>
      <w:hyperlink w:history="true" w:anchor="_bookmark119">
        <w:r>
          <w:rPr/>
          <w:t>Figure 6-17 </w:t>
        </w:r>
      </w:hyperlink>
      <w:r>
        <w:rPr/>
        <w:t>shows an example where a higher residual velocity was found with</w:t>
      </w:r>
      <w:r>
        <w:rPr>
          <w:spacing w:val="1"/>
        </w:rPr>
        <w:t> </w:t>
      </w:r>
      <w:r>
        <w:rPr/>
        <w:t>shot #2 into specimen E-5P-12.</w:t>
      </w:r>
      <w:r>
        <w:rPr>
          <w:spacing w:val="1"/>
        </w:rPr>
        <w:t> </w:t>
      </w:r>
      <w:r>
        <w:rPr/>
        <w:t>The longitudinal plies were observed with the path</w:t>
      </w:r>
      <w:r>
        <w:rPr>
          <w:spacing w:val="1"/>
        </w:rPr>
        <w:t> </w:t>
      </w:r>
      <w:r>
        <w:rPr/>
        <w:t>tangential to growth ring orientation as well as near the board edges.</w:t>
      </w:r>
      <w:r>
        <w:rPr>
          <w:spacing w:val="1"/>
        </w:rPr>
        <w:t> </w:t>
      </w:r>
      <w:r>
        <w:rPr/>
        <w:t>Additionally, the</w:t>
      </w:r>
      <w:r>
        <w:rPr>
          <w:spacing w:val="1"/>
        </w:rPr>
        <w:t> </w:t>
      </w:r>
      <w:r>
        <w:rPr/>
        <w:t>pithy</w:t>
      </w:r>
      <w:r>
        <w:rPr>
          <w:spacing w:val="-1"/>
        </w:rPr>
        <w:t> </w:t>
      </w:r>
      <w:r>
        <w:rPr/>
        <w:t>center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tree</w:t>
      </w:r>
      <w:r>
        <w:rPr>
          <w:spacing w:val="-1"/>
        </w:rPr>
        <w:t> </w:t>
      </w:r>
      <w:r>
        <w:rPr/>
        <w:t>can be</w:t>
      </w:r>
      <w:r>
        <w:rPr>
          <w:spacing w:val="-1"/>
        </w:rPr>
        <w:t> </w:t>
      </w:r>
      <w:r>
        <w:rPr/>
        <w:t>seen</w:t>
      </w:r>
      <w:r>
        <w:rPr>
          <w:spacing w:val="-2"/>
        </w:rPr>
        <w:t> </w:t>
      </w:r>
      <w:r>
        <w:rPr/>
        <w:t>in ply 4</w:t>
      </w:r>
      <w:r>
        <w:rPr>
          <w:spacing w:val="-1"/>
        </w:rPr>
        <w:t> </w:t>
      </w:r>
      <w:r>
        <w:rPr/>
        <w:t>with</w:t>
      </w:r>
      <w:r>
        <w:rPr>
          <w:spacing w:val="-2"/>
        </w:rPr>
        <w:t> </w:t>
      </w:r>
      <w:r>
        <w:rPr/>
        <w:t>dominant earlywood</w:t>
      </w:r>
      <w:r>
        <w:rPr>
          <w:spacing w:val="-1"/>
        </w:rPr>
        <w:t> </w:t>
      </w:r>
      <w:r>
        <w:rPr/>
        <w:t>presence.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267">
            <wp:simplePos x="0" y="0"/>
            <wp:positionH relativeFrom="page">
              <wp:posOffset>1550035</wp:posOffset>
            </wp:positionH>
            <wp:positionV relativeFrom="paragraph">
              <wp:posOffset>241305</wp:posOffset>
            </wp:positionV>
            <wp:extent cx="5166200" cy="2580703"/>
            <wp:effectExtent l="0" t="0" r="0" b="0"/>
            <wp:wrapTopAndBottom/>
            <wp:docPr id="89" name="image3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311.jpe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6200" cy="2580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38"/>
        <w:ind w:left="439" w:right="1388" w:firstLine="0"/>
        <w:jc w:val="left"/>
        <w:rPr>
          <w:i/>
          <w:sz w:val="24"/>
        </w:rPr>
      </w:pPr>
      <w:bookmarkStart w:name="_bookmark119" w:id="388"/>
      <w:bookmarkEnd w:id="388"/>
      <w:r>
        <w:rPr/>
      </w:r>
      <w:r>
        <w:rPr>
          <w:i/>
          <w:sz w:val="24"/>
        </w:rPr>
        <w:t>Figure 6-17. Shot 2 of specimen E-5P-12 was examined for potential indicators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contributing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to a higher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residual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velocity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than expected.</w:t>
      </w:r>
    </w:p>
    <w:p>
      <w:pPr>
        <w:spacing w:after="0"/>
        <w:jc w:val="left"/>
        <w:rPr>
          <w:sz w:val="24"/>
        </w:rPr>
        <w:sectPr>
          <w:pgSz w:w="12240" w:h="15840"/>
          <w:pgMar w:header="0" w:footer="1064" w:top="1360" w:bottom="1260" w:left="1720" w:right="1020"/>
        </w:sectPr>
      </w:pPr>
    </w:p>
    <w:p>
      <w:pPr>
        <w:spacing w:before="79"/>
        <w:ind w:left="20" w:right="0" w:firstLine="0"/>
        <w:jc w:val="center"/>
        <w:rPr>
          <w:i/>
          <w:sz w:val="24"/>
        </w:rPr>
      </w:pPr>
      <w:bookmarkStart w:name="_bookmark120" w:id="389"/>
      <w:bookmarkEnd w:id="389"/>
      <w:r>
        <w:rPr/>
      </w:r>
      <w:r>
        <w:rPr>
          <w:i/>
          <w:sz w:val="24"/>
        </w:rPr>
        <w:t>Table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6-2.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Outliers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from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ballistic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testing.</w:t>
      </w:r>
    </w:p>
    <w:p>
      <w:pPr>
        <w:pStyle w:val="BodyText"/>
        <w:spacing w:before="5" w:after="1"/>
        <w:rPr>
          <w:i/>
          <w:sz w:val="17"/>
        </w:rPr>
      </w:pPr>
    </w:p>
    <w:tbl>
      <w:tblPr>
        <w:tblW w:w="0" w:type="auto"/>
        <w:jc w:val="left"/>
        <w:tblInd w:w="4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39"/>
        <w:gridCol w:w="666"/>
        <w:gridCol w:w="2430"/>
        <w:gridCol w:w="4140"/>
      </w:tblGrid>
      <w:tr>
        <w:trPr>
          <w:trHeight w:val="599" w:hRule="atLeast"/>
        </w:trPr>
        <w:tc>
          <w:tcPr>
            <w:tcW w:w="1039" w:type="dxa"/>
            <w:shd w:val="clear" w:color="auto" w:fill="C0C0C0"/>
          </w:tcPr>
          <w:p>
            <w:pPr>
              <w:pStyle w:val="TableParagraph"/>
              <w:spacing w:before="185"/>
              <w:ind w:left="87" w:right="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Specimen</w:t>
            </w:r>
          </w:p>
        </w:tc>
        <w:tc>
          <w:tcPr>
            <w:tcW w:w="666" w:type="dxa"/>
            <w:shd w:val="clear" w:color="auto" w:fill="C0C0C0"/>
          </w:tcPr>
          <w:p>
            <w:pPr>
              <w:pStyle w:val="TableParagraph"/>
              <w:spacing w:before="70"/>
              <w:ind w:left="283" w:right="109" w:hanging="146"/>
              <w:rPr>
                <w:b/>
                <w:sz w:val="20"/>
              </w:rPr>
            </w:pPr>
            <w:r>
              <w:rPr>
                <w:b/>
                <w:sz w:val="20"/>
              </w:rPr>
              <w:t>Shot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#</w:t>
            </w:r>
          </w:p>
        </w:tc>
        <w:tc>
          <w:tcPr>
            <w:tcW w:w="2430" w:type="dxa"/>
            <w:shd w:val="clear" w:color="auto" w:fill="C0C0C0"/>
          </w:tcPr>
          <w:p>
            <w:pPr>
              <w:pStyle w:val="TableParagraph"/>
              <w:spacing w:before="70"/>
              <w:ind w:left="931" w:right="330" w:hanging="573"/>
              <w:rPr>
                <w:b/>
                <w:sz w:val="20"/>
              </w:rPr>
            </w:pPr>
            <w:r>
              <w:rPr>
                <w:b/>
                <w:sz w:val="20"/>
              </w:rPr>
              <w:t>Reason identified as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outlier</w:t>
            </w:r>
          </w:p>
        </w:tc>
        <w:tc>
          <w:tcPr>
            <w:tcW w:w="4140" w:type="dxa"/>
            <w:shd w:val="clear" w:color="auto" w:fill="C0C0C0"/>
          </w:tcPr>
          <w:p>
            <w:pPr>
              <w:pStyle w:val="TableParagraph"/>
              <w:spacing w:before="185"/>
              <w:ind w:left="1083"/>
              <w:rPr>
                <w:b/>
                <w:sz w:val="20"/>
              </w:rPr>
            </w:pPr>
            <w:r>
              <w:rPr>
                <w:b/>
                <w:sz w:val="20"/>
              </w:rPr>
              <w:t>Dissection</w:t>
            </w:r>
            <w:r>
              <w:rPr>
                <w:b/>
                <w:spacing w:val="-5"/>
                <w:sz w:val="20"/>
              </w:rPr>
              <w:t> </w:t>
            </w:r>
            <w:r>
              <w:rPr>
                <w:b/>
                <w:sz w:val="20"/>
              </w:rPr>
              <w:t>Observation</w:t>
            </w:r>
          </w:p>
        </w:tc>
      </w:tr>
      <w:tr>
        <w:trPr>
          <w:trHeight w:val="299" w:hRule="atLeast"/>
        </w:trPr>
        <w:tc>
          <w:tcPr>
            <w:tcW w:w="8275" w:type="dxa"/>
            <w:gridSpan w:val="4"/>
            <w:shd w:val="clear" w:color="auto" w:fill="C0C0C0"/>
          </w:tcPr>
          <w:p>
            <w:pPr>
              <w:pStyle w:val="TableParagraph"/>
              <w:spacing w:before="32"/>
              <w:ind w:left="2754" w:right="2745"/>
              <w:jc w:val="center"/>
              <w:rPr>
                <w:sz w:val="20"/>
              </w:rPr>
            </w:pPr>
            <w:r>
              <w:rPr>
                <w:sz w:val="20"/>
              </w:rPr>
              <w:t>Better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than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expected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performance</w:t>
            </w:r>
          </w:p>
        </w:tc>
      </w:tr>
      <w:tr>
        <w:trPr>
          <w:trHeight w:val="300" w:hRule="atLeast"/>
        </w:trPr>
        <w:tc>
          <w:tcPr>
            <w:tcW w:w="1039" w:type="dxa"/>
          </w:tcPr>
          <w:p>
            <w:pPr>
              <w:pStyle w:val="TableParagraph"/>
              <w:spacing w:before="32"/>
              <w:ind w:left="87" w:right="78"/>
              <w:jc w:val="center"/>
              <w:rPr>
                <w:sz w:val="20"/>
              </w:rPr>
            </w:pPr>
            <w:r>
              <w:rPr>
                <w:sz w:val="20"/>
              </w:rPr>
              <w:t>E-Base</w:t>
            </w:r>
          </w:p>
        </w:tc>
        <w:tc>
          <w:tcPr>
            <w:tcW w:w="666" w:type="dxa"/>
          </w:tcPr>
          <w:p>
            <w:pPr>
              <w:pStyle w:val="TableParagraph"/>
              <w:spacing w:before="32"/>
              <w:ind w:left="10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1</w:t>
            </w:r>
          </w:p>
        </w:tc>
        <w:tc>
          <w:tcPr>
            <w:tcW w:w="2430" w:type="dxa"/>
          </w:tcPr>
          <w:p>
            <w:pPr>
              <w:pStyle w:val="TableParagraph"/>
              <w:spacing w:before="32"/>
              <w:ind w:left="159" w:right="149"/>
              <w:jc w:val="center"/>
              <w:rPr>
                <w:sz w:val="20"/>
              </w:rPr>
            </w:pPr>
            <w:r>
              <w:rPr>
                <w:sz w:val="20"/>
              </w:rPr>
              <w:t>very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low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residual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velocity</w:t>
            </w:r>
          </w:p>
        </w:tc>
        <w:tc>
          <w:tcPr>
            <w:tcW w:w="4140" w:type="dxa"/>
          </w:tcPr>
          <w:p>
            <w:pPr>
              <w:pStyle w:val="TableParagraph"/>
              <w:spacing w:before="32"/>
              <w:ind w:left="107"/>
              <w:rPr>
                <w:sz w:val="20"/>
              </w:rPr>
            </w:pPr>
            <w:r>
              <w:rPr>
                <w:sz w:val="20"/>
              </w:rPr>
              <w:t>even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distribution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latewood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earlywood</w:t>
            </w:r>
          </w:p>
        </w:tc>
      </w:tr>
      <w:tr>
        <w:trPr>
          <w:trHeight w:val="599" w:hRule="atLeast"/>
        </w:trPr>
        <w:tc>
          <w:tcPr>
            <w:tcW w:w="1039" w:type="dxa"/>
          </w:tcPr>
          <w:p>
            <w:pPr>
              <w:pStyle w:val="TableParagraph"/>
              <w:spacing w:before="182"/>
              <w:ind w:left="86" w:right="78"/>
              <w:jc w:val="center"/>
              <w:rPr>
                <w:sz w:val="20"/>
              </w:rPr>
            </w:pPr>
            <w:r>
              <w:rPr>
                <w:sz w:val="20"/>
              </w:rPr>
              <w:t>E-3P-12</w:t>
            </w:r>
          </w:p>
        </w:tc>
        <w:tc>
          <w:tcPr>
            <w:tcW w:w="666" w:type="dxa"/>
          </w:tcPr>
          <w:p>
            <w:pPr>
              <w:pStyle w:val="TableParagraph"/>
              <w:spacing w:before="182"/>
              <w:ind w:left="10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3</w:t>
            </w:r>
          </w:p>
        </w:tc>
        <w:tc>
          <w:tcPr>
            <w:tcW w:w="2430" w:type="dxa"/>
          </w:tcPr>
          <w:p>
            <w:pPr>
              <w:pStyle w:val="TableParagraph"/>
              <w:spacing w:before="182"/>
              <w:ind w:left="159" w:right="149"/>
              <w:jc w:val="center"/>
              <w:rPr>
                <w:sz w:val="20"/>
              </w:rPr>
            </w:pPr>
            <w:r>
              <w:rPr>
                <w:sz w:val="20"/>
              </w:rPr>
              <w:t>lower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residual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velocity</w:t>
            </w:r>
          </w:p>
        </w:tc>
        <w:tc>
          <w:tcPr>
            <w:tcW w:w="4140" w:type="dxa"/>
          </w:tcPr>
          <w:p>
            <w:pPr>
              <w:pStyle w:val="TableParagraph"/>
              <w:spacing w:before="67"/>
              <w:ind w:left="107" w:right="370"/>
              <w:rPr>
                <w:sz w:val="20"/>
              </w:rPr>
            </w:pPr>
            <w:r>
              <w:rPr>
                <w:sz w:val="20"/>
              </w:rPr>
              <w:t>even distribution of latewood and earlywood,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3rd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ply: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potentially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curved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grain</w:t>
            </w:r>
          </w:p>
        </w:tc>
      </w:tr>
      <w:tr>
        <w:trPr>
          <w:trHeight w:val="299" w:hRule="atLeast"/>
        </w:trPr>
        <w:tc>
          <w:tcPr>
            <w:tcW w:w="1039" w:type="dxa"/>
          </w:tcPr>
          <w:p>
            <w:pPr>
              <w:pStyle w:val="TableParagraph"/>
              <w:spacing w:before="32"/>
              <w:ind w:left="87" w:right="77"/>
              <w:jc w:val="center"/>
              <w:rPr>
                <w:sz w:val="20"/>
              </w:rPr>
            </w:pPr>
            <w:r>
              <w:rPr>
                <w:sz w:val="20"/>
              </w:rPr>
              <w:t>E-5P-4</w:t>
            </w:r>
          </w:p>
        </w:tc>
        <w:tc>
          <w:tcPr>
            <w:tcW w:w="666" w:type="dxa"/>
          </w:tcPr>
          <w:p>
            <w:pPr>
              <w:pStyle w:val="TableParagraph"/>
              <w:spacing w:before="32"/>
              <w:ind w:left="10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2</w:t>
            </w:r>
          </w:p>
        </w:tc>
        <w:tc>
          <w:tcPr>
            <w:tcW w:w="2430" w:type="dxa"/>
          </w:tcPr>
          <w:p>
            <w:pPr>
              <w:pStyle w:val="TableParagraph"/>
              <w:spacing w:before="32"/>
              <w:ind w:left="159" w:right="149"/>
              <w:jc w:val="center"/>
              <w:rPr>
                <w:sz w:val="20"/>
              </w:rPr>
            </w:pPr>
            <w:r>
              <w:rPr>
                <w:sz w:val="20"/>
              </w:rPr>
              <w:t>lower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residual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velocity</w:t>
            </w:r>
          </w:p>
        </w:tc>
        <w:tc>
          <w:tcPr>
            <w:tcW w:w="4140" w:type="dxa"/>
          </w:tcPr>
          <w:p>
            <w:pPr>
              <w:pStyle w:val="TableParagraph"/>
              <w:spacing w:before="32"/>
              <w:ind w:left="107"/>
              <w:rPr>
                <w:sz w:val="20"/>
              </w:rPr>
            </w:pPr>
            <w:r>
              <w:rPr>
                <w:sz w:val="20"/>
              </w:rPr>
              <w:t>3rd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ply: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knot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path</w:t>
            </w:r>
          </w:p>
        </w:tc>
      </w:tr>
      <w:tr>
        <w:trPr>
          <w:trHeight w:val="900" w:hRule="atLeast"/>
        </w:trPr>
        <w:tc>
          <w:tcPr>
            <w:tcW w:w="1039" w:type="dxa"/>
          </w:tcPr>
          <w:p>
            <w:pPr>
              <w:pStyle w:val="TableParagraph"/>
              <w:spacing w:before="10"/>
              <w:rPr>
                <w:i/>
                <w:sz w:val="28"/>
              </w:rPr>
            </w:pPr>
          </w:p>
          <w:p>
            <w:pPr>
              <w:pStyle w:val="TableParagraph"/>
              <w:ind w:left="87" w:right="78"/>
              <w:jc w:val="center"/>
              <w:rPr>
                <w:sz w:val="20"/>
              </w:rPr>
            </w:pPr>
            <w:r>
              <w:rPr>
                <w:sz w:val="20"/>
              </w:rPr>
              <w:t>E-Base</w:t>
            </w:r>
          </w:p>
        </w:tc>
        <w:tc>
          <w:tcPr>
            <w:tcW w:w="666" w:type="dxa"/>
          </w:tcPr>
          <w:p>
            <w:pPr>
              <w:pStyle w:val="TableParagraph"/>
              <w:spacing w:before="10"/>
              <w:rPr>
                <w:i/>
                <w:sz w:val="28"/>
              </w:rPr>
            </w:pPr>
          </w:p>
          <w:p>
            <w:pPr>
              <w:pStyle w:val="TableParagraph"/>
              <w:ind w:left="213" w:right="203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2430" w:type="dxa"/>
          </w:tcPr>
          <w:p>
            <w:pPr>
              <w:pStyle w:val="TableParagraph"/>
              <w:spacing w:before="10"/>
              <w:rPr>
                <w:i/>
                <w:sz w:val="28"/>
              </w:rPr>
            </w:pPr>
          </w:p>
          <w:p>
            <w:pPr>
              <w:pStyle w:val="TableParagraph"/>
              <w:ind w:left="159" w:right="149"/>
              <w:jc w:val="center"/>
              <w:rPr>
                <w:sz w:val="20"/>
              </w:rPr>
            </w:pPr>
            <w:r>
              <w:rPr>
                <w:sz w:val="20"/>
              </w:rPr>
              <w:t>lower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residual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velocity</w:t>
            </w:r>
          </w:p>
        </w:tc>
        <w:tc>
          <w:tcPr>
            <w:tcW w:w="4140" w:type="dxa"/>
          </w:tcPr>
          <w:p>
            <w:pPr>
              <w:pStyle w:val="TableParagraph"/>
              <w:spacing w:before="103"/>
              <w:ind w:left="108" w:right="159"/>
              <w:rPr>
                <w:sz w:val="20"/>
              </w:rPr>
            </w:pPr>
            <w:r>
              <w:rPr>
                <w:sz w:val="20"/>
              </w:rPr>
              <w:t>1st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ply: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knot;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2nd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4th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plies: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path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tangential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to growth rings, even distribution of latewood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earlywood, close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pith</w:t>
            </w:r>
          </w:p>
        </w:tc>
      </w:tr>
      <w:tr>
        <w:trPr>
          <w:trHeight w:val="459" w:hRule="atLeast"/>
        </w:trPr>
        <w:tc>
          <w:tcPr>
            <w:tcW w:w="1039" w:type="dxa"/>
          </w:tcPr>
          <w:p>
            <w:pPr>
              <w:pStyle w:val="TableParagraph"/>
              <w:spacing w:before="112"/>
              <w:ind w:left="87" w:right="78"/>
              <w:jc w:val="center"/>
              <w:rPr>
                <w:sz w:val="20"/>
              </w:rPr>
            </w:pPr>
            <w:r>
              <w:rPr>
                <w:sz w:val="20"/>
              </w:rPr>
              <w:t>E-Base</w:t>
            </w:r>
          </w:p>
        </w:tc>
        <w:tc>
          <w:tcPr>
            <w:tcW w:w="666" w:type="dxa"/>
          </w:tcPr>
          <w:p>
            <w:pPr>
              <w:pStyle w:val="TableParagraph"/>
              <w:spacing w:before="112"/>
              <w:ind w:left="10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9</w:t>
            </w:r>
          </w:p>
        </w:tc>
        <w:tc>
          <w:tcPr>
            <w:tcW w:w="2430" w:type="dxa"/>
          </w:tcPr>
          <w:p>
            <w:pPr>
              <w:pStyle w:val="TableParagraph"/>
              <w:spacing w:before="112"/>
              <w:ind w:left="159" w:right="149"/>
              <w:jc w:val="center"/>
              <w:rPr>
                <w:sz w:val="20"/>
              </w:rPr>
            </w:pPr>
            <w:r>
              <w:rPr>
                <w:sz w:val="20"/>
              </w:rPr>
              <w:t>lower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residual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velocity</w:t>
            </w:r>
          </w:p>
        </w:tc>
        <w:tc>
          <w:tcPr>
            <w:tcW w:w="4140" w:type="dxa"/>
          </w:tcPr>
          <w:p>
            <w:pPr>
              <w:pStyle w:val="TableParagraph"/>
              <w:spacing w:line="230" w:lineRule="exact"/>
              <w:ind w:left="107" w:right="159"/>
              <w:rPr>
                <w:sz w:val="20"/>
              </w:rPr>
            </w:pPr>
            <w:r>
              <w:rPr>
                <w:sz w:val="20"/>
              </w:rPr>
              <w:t>4th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ply: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potential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heartwood;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5th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ply: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proximity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to knot</w:t>
            </w:r>
          </w:p>
        </w:tc>
      </w:tr>
      <w:tr>
        <w:trPr>
          <w:trHeight w:val="599" w:hRule="atLeast"/>
        </w:trPr>
        <w:tc>
          <w:tcPr>
            <w:tcW w:w="1039" w:type="dxa"/>
          </w:tcPr>
          <w:p>
            <w:pPr>
              <w:pStyle w:val="TableParagraph"/>
              <w:spacing w:before="182"/>
              <w:ind w:left="87" w:right="78"/>
              <w:jc w:val="center"/>
              <w:rPr>
                <w:sz w:val="20"/>
              </w:rPr>
            </w:pPr>
            <w:r>
              <w:rPr>
                <w:sz w:val="20"/>
              </w:rPr>
              <w:t>E-Base</w:t>
            </w:r>
          </w:p>
        </w:tc>
        <w:tc>
          <w:tcPr>
            <w:tcW w:w="666" w:type="dxa"/>
          </w:tcPr>
          <w:p>
            <w:pPr>
              <w:pStyle w:val="TableParagraph"/>
              <w:spacing w:before="182"/>
              <w:ind w:left="10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8</w:t>
            </w:r>
          </w:p>
        </w:tc>
        <w:tc>
          <w:tcPr>
            <w:tcW w:w="2430" w:type="dxa"/>
          </w:tcPr>
          <w:p>
            <w:pPr>
              <w:pStyle w:val="TableParagraph"/>
              <w:spacing w:before="182"/>
              <w:ind w:left="159" w:right="149"/>
              <w:jc w:val="center"/>
              <w:rPr>
                <w:sz w:val="20"/>
              </w:rPr>
            </w:pPr>
            <w:r>
              <w:rPr>
                <w:sz w:val="20"/>
              </w:rPr>
              <w:t>lower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residual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velocity</w:t>
            </w:r>
          </w:p>
        </w:tc>
        <w:tc>
          <w:tcPr>
            <w:tcW w:w="4140" w:type="dxa"/>
          </w:tcPr>
          <w:p>
            <w:pPr>
              <w:pStyle w:val="TableParagraph"/>
              <w:spacing w:before="68"/>
              <w:ind w:left="108" w:right="257"/>
              <w:rPr>
                <w:sz w:val="20"/>
              </w:rPr>
            </w:pPr>
            <w:r>
              <w:rPr>
                <w:sz w:val="20"/>
              </w:rPr>
              <w:t>2nd and 4th plies: knots; 1st, 3rd and 5th plies: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path all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tangential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to growth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rings</w:t>
            </w:r>
          </w:p>
        </w:tc>
      </w:tr>
      <w:tr>
        <w:trPr>
          <w:trHeight w:val="689" w:hRule="atLeast"/>
        </w:trPr>
        <w:tc>
          <w:tcPr>
            <w:tcW w:w="1039" w:type="dxa"/>
          </w:tcPr>
          <w:p>
            <w:pPr>
              <w:pStyle w:val="TableParagraph"/>
              <w:spacing w:before="8"/>
              <w:rPr>
                <w:i/>
                <w:sz w:val="19"/>
              </w:rPr>
            </w:pPr>
          </w:p>
          <w:p>
            <w:pPr>
              <w:pStyle w:val="TableParagraph"/>
              <w:ind w:left="87" w:right="78"/>
              <w:jc w:val="center"/>
              <w:rPr>
                <w:sz w:val="20"/>
              </w:rPr>
            </w:pPr>
            <w:r>
              <w:rPr>
                <w:sz w:val="20"/>
              </w:rPr>
              <w:t>E-10P-1</w:t>
            </w:r>
          </w:p>
        </w:tc>
        <w:tc>
          <w:tcPr>
            <w:tcW w:w="666" w:type="dxa"/>
          </w:tcPr>
          <w:p>
            <w:pPr>
              <w:pStyle w:val="TableParagraph"/>
              <w:spacing w:before="8"/>
              <w:rPr>
                <w:i/>
                <w:sz w:val="19"/>
              </w:rPr>
            </w:pPr>
          </w:p>
          <w:p>
            <w:pPr>
              <w:pStyle w:val="TableParagraph"/>
              <w:ind w:left="10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5</w:t>
            </w:r>
          </w:p>
        </w:tc>
        <w:tc>
          <w:tcPr>
            <w:tcW w:w="2430" w:type="dxa"/>
          </w:tcPr>
          <w:p>
            <w:pPr>
              <w:pStyle w:val="TableParagraph"/>
              <w:spacing w:before="8"/>
              <w:rPr>
                <w:i/>
                <w:sz w:val="19"/>
              </w:rPr>
            </w:pPr>
          </w:p>
          <w:p>
            <w:pPr>
              <w:pStyle w:val="TableParagraph"/>
              <w:ind w:left="158" w:right="149"/>
              <w:jc w:val="center"/>
              <w:rPr>
                <w:sz w:val="20"/>
              </w:rPr>
            </w:pPr>
            <w:r>
              <w:rPr>
                <w:sz w:val="20"/>
              </w:rPr>
              <w:t>shallow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depth</w:t>
            </w:r>
          </w:p>
        </w:tc>
        <w:tc>
          <w:tcPr>
            <w:tcW w:w="4140" w:type="dxa"/>
          </w:tcPr>
          <w:p>
            <w:pPr>
              <w:pStyle w:val="TableParagraph"/>
              <w:ind w:left="107" w:right="159"/>
              <w:rPr>
                <w:sz w:val="20"/>
              </w:rPr>
            </w:pPr>
            <w:r>
              <w:rPr>
                <w:sz w:val="20"/>
              </w:rPr>
              <w:t>1st ply: dense growth rings; 4th ply: curved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grain;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6th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ply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(w/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embedded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projectile):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dense</w:t>
            </w:r>
          </w:p>
          <w:p>
            <w:pPr>
              <w:pStyle w:val="TableParagraph"/>
              <w:spacing w:line="212" w:lineRule="exact"/>
              <w:ind w:left="107"/>
              <w:rPr>
                <w:sz w:val="20"/>
              </w:rPr>
            </w:pPr>
            <w:r>
              <w:rPr>
                <w:sz w:val="20"/>
              </w:rPr>
              <w:t>growth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rings</w:t>
            </w:r>
          </w:p>
        </w:tc>
      </w:tr>
      <w:tr>
        <w:trPr>
          <w:trHeight w:val="299" w:hRule="atLeast"/>
        </w:trPr>
        <w:tc>
          <w:tcPr>
            <w:tcW w:w="1039" w:type="dxa"/>
          </w:tcPr>
          <w:p>
            <w:pPr>
              <w:pStyle w:val="TableParagraph"/>
              <w:spacing w:before="32"/>
              <w:ind w:left="87" w:right="78"/>
              <w:jc w:val="center"/>
              <w:rPr>
                <w:sz w:val="20"/>
              </w:rPr>
            </w:pPr>
            <w:r>
              <w:rPr>
                <w:sz w:val="20"/>
              </w:rPr>
              <w:t>E-10P-6</w:t>
            </w:r>
          </w:p>
        </w:tc>
        <w:tc>
          <w:tcPr>
            <w:tcW w:w="666" w:type="dxa"/>
          </w:tcPr>
          <w:p>
            <w:pPr>
              <w:pStyle w:val="TableParagraph"/>
              <w:spacing w:before="32"/>
              <w:ind w:left="10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6</w:t>
            </w:r>
          </w:p>
        </w:tc>
        <w:tc>
          <w:tcPr>
            <w:tcW w:w="2430" w:type="dxa"/>
          </w:tcPr>
          <w:p>
            <w:pPr>
              <w:pStyle w:val="TableParagraph"/>
              <w:spacing w:before="32"/>
              <w:ind w:left="158" w:right="149"/>
              <w:jc w:val="center"/>
              <w:rPr>
                <w:sz w:val="20"/>
              </w:rPr>
            </w:pPr>
            <w:r>
              <w:rPr>
                <w:sz w:val="20"/>
              </w:rPr>
              <w:t>shallow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depth</w:t>
            </w:r>
          </w:p>
        </w:tc>
        <w:tc>
          <w:tcPr>
            <w:tcW w:w="4140" w:type="dxa"/>
          </w:tcPr>
          <w:p>
            <w:pPr>
              <w:pStyle w:val="TableParagraph"/>
              <w:spacing w:before="32"/>
              <w:ind w:left="107"/>
              <w:rPr>
                <w:sz w:val="20"/>
              </w:rPr>
            </w:pPr>
            <w:r>
              <w:rPr>
                <w:sz w:val="20"/>
              </w:rPr>
              <w:t>3rd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5th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plies: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possible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knots</w:t>
            </w:r>
          </w:p>
        </w:tc>
      </w:tr>
      <w:tr>
        <w:trPr>
          <w:trHeight w:val="600" w:hRule="atLeast"/>
        </w:trPr>
        <w:tc>
          <w:tcPr>
            <w:tcW w:w="1039" w:type="dxa"/>
          </w:tcPr>
          <w:p>
            <w:pPr>
              <w:pStyle w:val="TableParagraph"/>
              <w:spacing w:before="182"/>
              <w:ind w:left="87" w:right="78"/>
              <w:jc w:val="center"/>
              <w:rPr>
                <w:sz w:val="20"/>
              </w:rPr>
            </w:pPr>
            <w:r>
              <w:rPr>
                <w:sz w:val="20"/>
              </w:rPr>
              <w:t>E-10P-6</w:t>
            </w:r>
          </w:p>
        </w:tc>
        <w:tc>
          <w:tcPr>
            <w:tcW w:w="666" w:type="dxa"/>
          </w:tcPr>
          <w:p>
            <w:pPr>
              <w:pStyle w:val="TableParagraph"/>
              <w:spacing w:before="182"/>
              <w:ind w:left="10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8</w:t>
            </w:r>
          </w:p>
        </w:tc>
        <w:tc>
          <w:tcPr>
            <w:tcW w:w="2430" w:type="dxa"/>
          </w:tcPr>
          <w:p>
            <w:pPr>
              <w:pStyle w:val="TableParagraph"/>
              <w:spacing w:before="182"/>
              <w:ind w:left="158" w:right="149"/>
              <w:jc w:val="center"/>
              <w:rPr>
                <w:sz w:val="20"/>
              </w:rPr>
            </w:pPr>
            <w:r>
              <w:rPr>
                <w:sz w:val="20"/>
              </w:rPr>
              <w:t>shallow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depth</w:t>
            </w:r>
          </w:p>
        </w:tc>
        <w:tc>
          <w:tcPr>
            <w:tcW w:w="4140" w:type="dxa"/>
          </w:tcPr>
          <w:p>
            <w:pPr>
              <w:pStyle w:val="TableParagraph"/>
              <w:spacing w:before="68"/>
              <w:ind w:left="107" w:right="864"/>
              <w:rPr>
                <w:sz w:val="20"/>
              </w:rPr>
            </w:pPr>
            <w:r>
              <w:rPr>
                <w:sz w:val="20"/>
              </w:rPr>
              <w:t>2nd ply: close proximity to knot; even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distribution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latewood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earlywood</w:t>
            </w:r>
          </w:p>
        </w:tc>
      </w:tr>
      <w:tr>
        <w:trPr>
          <w:trHeight w:val="599" w:hRule="atLeast"/>
        </w:trPr>
        <w:tc>
          <w:tcPr>
            <w:tcW w:w="1039" w:type="dxa"/>
          </w:tcPr>
          <w:p>
            <w:pPr>
              <w:pStyle w:val="TableParagraph"/>
              <w:spacing w:before="182"/>
              <w:ind w:left="87" w:right="78"/>
              <w:jc w:val="center"/>
              <w:rPr>
                <w:sz w:val="20"/>
              </w:rPr>
            </w:pPr>
            <w:r>
              <w:rPr>
                <w:sz w:val="20"/>
              </w:rPr>
              <w:t>E-10P-6</w:t>
            </w:r>
          </w:p>
        </w:tc>
        <w:tc>
          <w:tcPr>
            <w:tcW w:w="666" w:type="dxa"/>
          </w:tcPr>
          <w:p>
            <w:pPr>
              <w:pStyle w:val="TableParagraph"/>
              <w:spacing w:before="182"/>
              <w:ind w:left="10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5</w:t>
            </w:r>
          </w:p>
        </w:tc>
        <w:tc>
          <w:tcPr>
            <w:tcW w:w="2430" w:type="dxa"/>
          </w:tcPr>
          <w:p>
            <w:pPr>
              <w:pStyle w:val="TableParagraph"/>
              <w:spacing w:before="182"/>
              <w:ind w:left="158" w:right="149"/>
              <w:jc w:val="center"/>
              <w:rPr>
                <w:sz w:val="20"/>
              </w:rPr>
            </w:pPr>
            <w:r>
              <w:rPr>
                <w:sz w:val="20"/>
              </w:rPr>
              <w:t>shallow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depth</w:t>
            </w:r>
          </w:p>
        </w:tc>
        <w:tc>
          <w:tcPr>
            <w:tcW w:w="4140" w:type="dxa"/>
          </w:tcPr>
          <w:p>
            <w:pPr>
              <w:pStyle w:val="TableParagraph"/>
              <w:spacing w:before="67"/>
              <w:ind w:left="107" w:right="686"/>
              <w:rPr>
                <w:sz w:val="20"/>
              </w:rPr>
            </w:pPr>
            <w:r>
              <w:rPr>
                <w:sz w:val="20"/>
              </w:rPr>
              <w:t>no obvious indicator; even distribution of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latewood and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earlywood</w:t>
            </w:r>
          </w:p>
        </w:tc>
      </w:tr>
      <w:tr>
        <w:trPr>
          <w:trHeight w:val="599" w:hRule="atLeast"/>
        </w:trPr>
        <w:tc>
          <w:tcPr>
            <w:tcW w:w="1039" w:type="dxa"/>
          </w:tcPr>
          <w:p>
            <w:pPr>
              <w:pStyle w:val="TableParagraph"/>
              <w:spacing w:before="182"/>
              <w:ind w:left="86" w:right="78"/>
              <w:jc w:val="center"/>
              <w:rPr>
                <w:sz w:val="20"/>
              </w:rPr>
            </w:pPr>
            <w:r>
              <w:rPr>
                <w:sz w:val="20"/>
              </w:rPr>
              <w:t>E-5P-13</w:t>
            </w:r>
          </w:p>
        </w:tc>
        <w:tc>
          <w:tcPr>
            <w:tcW w:w="666" w:type="dxa"/>
          </w:tcPr>
          <w:p>
            <w:pPr>
              <w:pStyle w:val="TableParagraph"/>
              <w:spacing w:before="182"/>
              <w:ind w:left="10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1</w:t>
            </w:r>
          </w:p>
        </w:tc>
        <w:tc>
          <w:tcPr>
            <w:tcW w:w="2430" w:type="dxa"/>
          </w:tcPr>
          <w:p>
            <w:pPr>
              <w:pStyle w:val="TableParagraph"/>
              <w:spacing w:before="182"/>
              <w:ind w:left="158" w:right="149"/>
              <w:jc w:val="center"/>
              <w:rPr>
                <w:sz w:val="20"/>
              </w:rPr>
            </w:pPr>
            <w:r>
              <w:rPr>
                <w:sz w:val="20"/>
              </w:rPr>
              <w:t>shallow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depth</w:t>
            </w:r>
          </w:p>
        </w:tc>
        <w:tc>
          <w:tcPr>
            <w:tcW w:w="4140" w:type="dxa"/>
          </w:tcPr>
          <w:p>
            <w:pPr>
              <w:pStyle w:val="TableParagraph"/>
              <w:spacing w:before="67"/>
              <w:ind w:left="107" w:right="686"/>
              <w:rPr>
                <w:sz w:val="20"/>
              </w:rPr>
            </w:pPr>
            <w:r>
              <w:rPr>
                <w:sz w:val="20"/>
              </w:rPr>
              <w:t>no obvious indicator; even distribution of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latewood and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earlywood</w:t>
            </w:r>
          </w:p>
        </w:tc>
      </w:tr>
      <w:tr>
        <w:trPr>
          <w:trHeight w:val="460" w:hRule="atLeast"/>
        </w:trPr>
        <w:tc>
          <w:tcPr>
            <w:tcW w:w="1039" w:type="dxa"/>
          </w:tcPr>
          <w:p>
            <w:pPr>
              <w:pStyle w:val="TableParagraph"/>
              <w:spacing w:before="113"/>
              <w:ind w:left="87" w:right="77"/>
              <w:jc w:val="center"/>
              <w:rPr>
                <w:sz w:val="20"/>
              </w:rPr>
            </w:pPr>
            <w:r>
              <w:rPr>
                <w:sz w:val="20"/>
              </w:rPr>
              <w:t>E-5P-3</w:t>
            </w:r>
          </w:p>
        </w:tc>
        <w:tc>
          <w:tcPr>
            <w:tcW w:w="666" w:type="dxa"/>
          </w:tcPr>
          <w:p>
            <w:pPr>
              <w:pStyle w:val="TableParagraph"/>
              <w:spacing w:before="113"/>
              <w:ind w:left="10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5</w:t>
            </w:r>
          </w:p>
        </w:tc>
        <w:tc>
          <w:tcPr>
            <w:tcW w:w="2430" w:type="dxa"/>
          </w:tcPr>
          <w:p>
            <w:pPr>
              <w:pStyle w:val="TableParagraph"/>
              <w:spacing w:before="113"/>
              <w:ind w:left="158" w:right="149"/>
              <w:jc w:val="center"/>
              <w:rPr>
                <w:sz w:val="20"/>
              </w:rPr>
            </w:pPr>
            <w:r>
              <w:rPr>
                <w:sz w:val="20"/>
              </w:rPr>
              <w:t>shallow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depth</w:t>
            </w:r>
          </w:p>
        </w:tc>
        <w:tc>
          <w:tcPr>
            <w:tcW w:w="4140" w:type="dxa"/>
          </w:tcPr>
          <w:p>
            <w:pPr>
              <w:pStyle w:val="TableParagraph"/>
              <w:spacing w:line="230" w:lineRule="exact"/>
              <w:ind w:left="107"/>
              <w:rPr>
                <w:sz w:val="20"/>
              </w:rPr>
            </w:pPr>
            <w:r>
              <w:rPr>
                <w:sz w:val="20"/>
              </w:rPr>
              <w:t>1st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2nd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plies: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dense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growth rings;</w:t>
            </w:r>
            <w:r>
              <w:rPr>
                <w:spacing w:val="46"/>
                <w:sz w:val="20"/>
              </w:rPr>
              <w:t> </w:t>
            </w:r>
            <w:r>
              <w:rPr>
                <w:sz w:val="20"/>
              </w:rPr>
              <w:t>2nd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ply: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possible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knot</w:t>
            </w:r>
          </w:p>
        </w:tc>
      </w:tr>
      <w:tr>
        <w:trPr>
          <w:trHeight w:val="599" w:hRule="atLeast"/>
        </w:trPr>
        <w:tc>
          <w:tcPr>
            <w:tcW w:w="1039" w:type="dxa"/>
          </w:tcPr>
          <w:p>
            <w:pPr>
              <w:pStyle w:val="TableParagraph"/>
              <w:spacing w:before="182"/>
              <w:ind w:left="87" w:right="77"/>
              <w:jc w:val="center"/>
              <w:rPr>
                <w:sz w:val="20"/>
              </w:rPr>
            </w:pPr>
            <w:r>
              <w:rPr>
                <w:sz w:val="20"/>
              </w:rPr>
              <w:t>E-5P-3</w:t>
            </w:r>
          </w:p>
        </w:tc>
        <w:tc>
          <w:tcPr>
            <w:tcW w:w="666" w:type="dxa"/>
          </w:tcPr>
          <w:p>
            <w:pPr>
              <w:pStyle w:val="TableParagraph"/>
              <w:spacing w:before="182"/>
              <w:ind w:left="10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4</w:t>
            </w:r>
          </w:p>
        </w:tc>
        <w:tc>
          <w:tcPr>
            <w:tcW w:w="2430" w:type="dxa"/>
          </w:tcPr>
          <w:p>
            <w:pPr>
              <w:pStyle w:val="TableParagraph"/>
              <w:spacing w:before="182"/>
              <w:ind w:left="158" w:right="149"/>
              <w:jc w:val="center"/>
              <w:rPr>
                <w:sz w:val="20"/>
              </w:rPr>
            </w:pPr>
            <w:r>
              <w:rPr>
                <w:sz w:val="20"/>
              </w:rPr>
              <w:t>shallow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depth</w:t>
            </w:r>
          </w:p>
        </w:tc>
        <w:tc>
          <w:tcPr>
            <w:tcW w:w="4140" w:type="dxa"/>
          </w:tcPr>
          <w:p>
            <w:pPr>
              <w:pStyle w:val="TableParagraph"/>
              <w:spacing w:before="67"/>
              <w:ind w:left="107" w:right="836"/>
              <w:rPr>
                <w:sz w:val="20"/>
              </w:rPr>
            </w:pPr>
            <w:r>
              <w:rPr>
                <w:sz w:val="20"/>
              </w:rPr>
              <w:t>2nd ply: close proximity curved path of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projectile;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dense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growth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rings</w:t>
            </w:r>
          </w:p>
        </w:tc>
      </w:tr>
      <w:tr>
        <w:trPr>
          <w:trHeight w:val="269" w:hRule="atLeast"/>
        </w:trPr>
        <w:tc>
          <w:tcPr>
            <w:tcW w:w="8275" w:type="dxa"/>
            <w:gridSpan w:val="4"/>
            <w:shd w:val="clear" w:color="auto" w:fill="C0C0C0"/>
          </w:tcPr>
          <w:p>
            <w:pPr>
              <w:pStyle w:val="TableParagraph"/>
              <w:spacing w:before="17"/>
              <w:ind w:left="2754" w:right="2745"/>
              <w:jc w:val="center"/>
              <w:rPr>
                <w:sz w:val="20"/>
              </w:rPr>
            </w:pPr>
            <w:r>
              <w:rPr>
                <w:sz w:val="20"/>
              </w:rPr>
              <w:t>Worse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than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expected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performance</w:t>
            </w:r>
          </w:p>
        </w:tc>
      </w:tr>
      <w:tr>
        <w:trPr>
          <w:trHeight w:val="599" w:hRule="atLeast"/>
        </w:trPr>
        <w:tc>
          <w:tcPr>
            <w:tcW w:w="1039" w:type="dxa"/>
          </w:tcPr>
          <w:p>
            <w:pPr>
              <w:pStyle w:val="TableParagraph"/>
              <w:spacing w:before="182"/>
              <w:ind w:left="87" w:right="77"/>
              <w:jc w:val="center"/>
              <w:rPr>
                <w:sz w:val="20"/>
              </w:rPr>
            </w:pPr>
            <w:r>
              <w:rPr>
                <w:sz w:val="20"/>
              </w:rPr>
              <w:t>E-9P-4</w:t>
            </w:r>
          </w:p>
        </w:tc>
        <w:tc>
          <w:tcPr>
            <w:tcW w:w="666" w:type="dxa"/>
          </w:tcPr>
          <w:p>
            <w:pPr>
              <w:pStyle w:val="TableParagraph"/>
              <w:spacing w:before="182"/>
              <w:ind w:left="10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5</w:t>
            </w:r>
          </w:p>
        </w:tc>
        <w:tc>
          <w:tcPr>
            <w:tcW w:w="2430" w:type="dxa"/>
          </w:tcPr>
          <w:p>
            <w:pPr>
              <w:pStyle w:val="TableParagraph"/>
              <w:spacing w:before="182"/>
              <w:ind w:left="158" w:right="149"/>
              <w:jc w:val="center"/>
              <w:rPr>
                <w:sz w:val="20"/>
              </w:rPr>
            </w:pPr>
            <w:r>
              <w:rPr>
                <w:sz w:val="20"/>
              </w:rPr>
              <w:t>deeper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depth</w:t>
            </w:r>
          </w:p>
        </w:tc>
        <w:tc>
          <w:tcPr>
            <w:tcW w:w="4140" w:type="dxa"/>
          </w:tcPr>
          <w:p>
            <w:pPr>
              <w:pStyle w:val="TableParagraph"/>
              <w:spacing w:before="67"/>
              <w:ind w:left="107" w:right="142"/>
              <w:rPr>
                <w:sz w:val="20"/>
              </w:rPr>
            </w:pPr>
            <w:r>
              <w:rPr>
                <w:sz w:val="20"/>
              </w:rPr>
              <w:t>1st, 3rd, 4th plies: path aligned nearly tangential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to growth rings,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significant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earlywood</w:t>
            </w:r>
          </w:p>
        </w:tc>
      </w:tr>
      <w:tr>
        <w:trPr>
          <w:trHeight w:val="920" w:hRule="atLeast"/>
        </w:trPr>
        <w:tc>
          <w:tcPr>
            <w:tcW w:w="1039" w:type="dxa"/>
          </w:tcPr>
          <w:p>
            <w:pPr>
              <w:pStyle w:val="TableParagraph"/>
              <w:spacing w:before="8"/>
              <w:rPr>
                <w:i/>
                <w:sz w:val="29"/>
              </w:rPr>
            </w:pPr>
          </w:p>
          <w:p>
            <w:pPr>
              <w:pStyle w:val="TableParagraph"/>
              <w:spacing w:before="1"/>
              <w:ind w:left="86" w:right="78"/>
              <w:jc w:val="center"/>
              <w:rPr>
                <w:sz w:val="20"/>
              </w:rPr>
            </w:pPr>
            <w:r>
              <w:rPr>
                <w:sz w:val="20"/>
              </w:rPr>
              <w:t>E-5P-12</w:t>
            </w:r>
          </w:p>
        </w:tc>
        <w:tc>
          <w:tcPr>
            <w:tcW w:w="666" w:type="dxa"/>
          </w:tcPr>
          <w:p>
            <w:pPr>
              <w:pStyle w:val="TableParagraph"/>
              <w:spacing w:before="8"/>
              <w:rPr>
                <w:i/>
                <w:sz w:val="29"/>
              </w:rPr>
            </w:pPr>
          </w:p>
          <w:p>
            <w:pPr>
              <w:pStyle w:val="TableParagraph"/>
              <w:spacing w:before="1"/>
              <w:ind w:left="10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2</w:t>
            </w:r>
          </w:p>
        </w:tc>
        <w:tc>
          <w:tcPr>
            <w:tcW w:w="2430" w:type="dxa"/>
          </w:tcPr>
          <w:p>
            <w:pPr>
              <w:pStyle w:val="TableParagraph"/>
              <w:spacing w:before="8"/>
              <w:rPr>
                <w:i/>
                <w:sz w:val="29"/>
              </w:rPr>
            </w:pPr>
          </w:p>
          <w:p>
            <w:pPr>
              <w:pStyle w:val="TableParagraph"/>
              <w:spacing w:before="1"/>
              <w:ind w:left="157" w:right="149"/>
              <w:jc w:val="center"/>
              <w:rPr>
                <w:sz w:val="20"/>
              </w:rPr>
            </w:pPr>
            <w:r>
              <w:rPr>
                <w:sz w:val="20"/>
              </w:rPr>
              <w:t>higher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residual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velocity</w:t>
            </w:r>
          </w:p>
        </w:tc>
        <w:tc>
          <w:tcPr>
            <w:tcW w:w="4140" w:type="dxa"/>
          </w:tcPr>
          <w:p>
            <w:pPr>
              <w:pStyle w:val="TableParagraph"/>
              <w:ind w:left="107" w:right="370"/>
              <w:rPr>
                <w:sz w:val="20"/>
              </w:rPr>
            </w:pPr>
            <w:r>
              <w:rPr>
                <w:sz w:val="20"/>
              </w:rPr>
              <w:t>2nd and 4th plies: path tangential to growth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rings;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4th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ply: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significant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earlywood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(fast</w:t>
            </w:r>
          </w:p>
          <w:p>
            <w:pPr>
              <w:pStyle w:val="TableParagraph"/>
              <w:spacing w:line="230" w:lineRule="exact"/>
              <w:ind w:left="107" w:right="310"/>
              <w:rPr>
                <w:sz w:val="20"/>
              </w:rPr>
            </w:pPr>
            <w:r>
              <w:rPr>
                <w:sz w:val="20"/>
              </w:rPr>
              <w:t>growing), also near pith/center and near board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edge</w:t>
            </w:r>
          </w:p>
        </w:tc>
      </w:tr>
      <w:tr>
        <w:trPr>
          <w:trHeight w:val="689" w:hRule="atLeast"/>
        </w:trPr>
        <w:tc>
          <w:tcPr>
            <w:tcW w:w="1039" w:type="dxa"/>
          </w:tcPr>
          <w:p>
            <w:pPr>
              <w:pStyle w:val="TableParagraph"/>
              <w:spacing w:before="9"/>
              <w:rPr>
                <w:i/>
                <w:sz w:val="19"/>
              </w:rPr>
            </w:pPr>
          </w:p>
          <w:p>
            <w:pPr>
              <w:pStyle w:val="TableParagraph"/>
              <w:ind w:left="87" w:right="77"/>
              <w:jc w:val="center"/>
              <w:rPr>
                <w:sz w:val="20"/>
              </w:rPr>
            </w:pPr>
            <w:r>
              <w:rPr>
                <w:sz w:val="20"/>
              </w:rPr>
              <w:t>E-5P-2</w:t>
            </w:r>
          </w:p>
        </w:tc>
        <w:tc>
          <w:tcPr>
            <w:tcW w:w="666" w:type="dxa"/>
          </w:tcPr>
          <w:p>
            <w:pPr>
              <w:pStyle w:val="TableParagraph"/>
              <w:spacing w:before="9"/>
              <w:rPr>
                <w:i/>
                <w:sz w:val="19"/>
              </w:rPr>
            </w:pPr>
          </w:p>
          <w:p>
            <w:pPr>
              <w:pStyle w:val="TableParagraph"/>
              <w:ind w:left="10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2</w:t>
            </w:r>
          </w:p>
        </w:tc>
        <w:tc>
          <w:tcPr>
            <w:tcW w:w="2430" w:type="dxa"/>
          </w:tcPr>
          <w:p>
            <w:pPr>
              <w:pStyle w:val="TableParagraph"/>
              <w:spacing w:before="9"/>
              <w:rPr>
                <w:i/>
                <w:sz w:val="19"/>
              </w:rPr>
            </w:pPr>
          </w:p>
          <w:p>
            <w:pPr>
              <w:pStyle w:val="TableParagraph"/>
              <w:ind w:left="157" w:right="149"/>
              <w:jc w:val="center"/>
              <w:rPr>
                <w:sz w:val="20"/>
              </w:rPr>
            </w:pPr>
            <w:r>
              <w:rPr>
                <w:sz w:val="20"/>
              </w:rPr>
              <w:t>higher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residual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velocity</w:t>
            </w:r>
          </w:p>
        </w:tc>
        <w:tc>
          <w:tcPr>
            <w:tcW w:w="4140" w:type="dxa"/>
          </w:tcPr>
          <w:p>
            <w:pPr>
              <w:pStyle w:val="TableParagraph"/>
              <w:spacing w:line="228" w:lineRule="exact"/>
              <w:ind w:left="107"/>
              <w:rPr>
                <w:sz w:val="20"/>
              </w:rPr>
            </w:pPr>
            <w:r>
              <w:rPr>
                <w:sz w:val="20"/>
              </w:rPr>
              <w:t>no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obvious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indicator;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2nd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ply: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significant</w:t>
            </w:r>
          </w:p>
          <w:p>
            <w:pPr>
              <w:pStyle w:val="TableParagraph"/>
              <w:spacing w:line="230" w:lineRule="exact"/>
              <w:ind w:left="107" w:right="548"/>
              <w:rPr>
                <w:sz w:val="20"/>
              </w:rPr>
            </w:pPr>
            <w:r>
              <w:rPr>
                <w:sz w:val="20"/>
              </w:rPr>
              <w:t>earlywood, alignment close to tangential to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growth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ring</w:t>
            </w:r>
          </w:p>
        </w:tc>
      </w:tr>
      <w:tr>
        <w:trPr>
          <w:trHeight w:val="900" w:hRule="atLeast"/>
        </w:trPr>
        <w:tc>
          <w:tcPr>
            <w:tcW w:w="1039" w:type="dxa"/>
          </w:tcPr>
          <w:p>
            <w:pPr>
              <w:pStyle w:val="TableParagraph"/>
              <w:spacing w:before="10"/>
              <w:rPr>
                <w:i/>
                <w:sz w:val="28"/>
              </w:rPr>
            </w:pPr>
          </w:p>
          <w:p>
            <w:pPr>
              <w:pStyle w:val="TableParagraph"/>
              <w:ind w:left="87" w:right="78"/>
              <w:jc w:val="center"/>
              <w:rPr>
                <w:sz w:val="20"/>
              </w:rPr>
            </w:pPr>
            <w:r>
              <w:rPr>
                <w:sz w:val="20"/>
              </w:rPr>
              <w:t>E-Base</w:t>
            </w:r>
          </w:p>
        </w:tc>
        <w:tc>
          <w:tcPr>
            <w:tcW w:w="666" w:type="dxa"/>
          </w:tcPr>
          <w:p>
            <w:pPr>
              <w:pStyle w:val="TableParagraph"/>
              <w:spacing w:before="10"/>
              <w:rPr>
                <w:i/>
                <w:sz w:val="28"/>
              </w:rPr>
            </w:pPr>
          </w:p>
          <w:p>
            <w:pPr>
              <w:pStyle w:val="TableParagraph"/>
              <w:ind w:left="10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3</w:t>
            </w:r>
          </w:p>
        </w:tc>
        <w:tc>
          <w:tcPr>
            <w:tcW w:w="2430" w:type="dxa"/>
          </w:tcPr>
          <w:p>
            <w:pPr>
              <w:pStyle w:val="TableParagraph"/>
              <w:spacing w:before="10"/>
              <w:rPr>
                <w:i/>
                <w:sz w:val="28"/>
              </w:rPr>
            </w:pPr>
          </w:p>
          <w:p>
            <w:pPr>
              <w:pStyle w:val="TableParagraph"/>
              <w:ind w:left="157" w:right="149"/>
              <w:jc w:val="center"/>
              <w:rPr>
                <w:sz w:val="20"/>
              </w:rPr>
            </w:pPr>
            <w:r>
              <w:rPr>
                <w:sz w:val="20"/>
              </w:rPr>
              <w:t>higher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residual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velocity</w:t>
            </w:r>
          </w:p>
        </w:tc>
        <w:tc>
          <w:tcPr>
            <w:tcW w:w="4140" w:type="dxa"/>
          </w:tcPr>
          <w:p>
            <w:pPr>
              <w:pStyle w:val="TableParagraph"/>
              <w:spacing w:before="103"/>
              <w:ind w:left="107" w:right="159"/>
              <w:rPr>
                <w:sz w:val="20"/>
              </w:rPr>
            </w:pPr>
            <w:r>
              <w:rPr>
                <w:sz w:val="20"/>
              </w:rPr>
              <w:t>1st and 5th plies: path aligned tangential to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growth rings and also cavity walls lined up with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ring transitions;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significant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earlywood</w:t>
            </w:r>
          </w:p>
        </w:tc>
      </w:tr>
      <w:tr>
        <w:trPr>
          <w:trHeight w:val="899" w:hRule="atLeast"/>
        </w:trPr>
        <w:tc>
          <w:tcPr>
            <w:tcW w:w="1039" w:type="dxa"/>
          </w:tcPr>
          <w:p>
            <w:pPr>
              <w:pStyle w:val="TableParagraph"/>
              <w:spacing w:before="10"/>
              <w:rPr>
                <w:i/>
                <w:sz w:val="28"/>
              </w:rPr>
            </w:pPr>
          </w:p>
          <w:p>
            <w:pPr>
              <w:pStyle w:val="TableParagraph"/>
              <w:ind w:left="87" w:right="78"/>
              <w:jc w:val="center"/>
              <w:rPr>
                <w:sz w:val="20"/>
              </w:rPr>
            </w:pPr>
            <w:r>
              <w:rPr>
                <w:sz w:val="20"/>
              </w:rPr>
              <w:t>E-Base</w:t>
            </w:r>
          </w:p>
        </w:tc>
        <w:tc>
          <w:tcPr>
            <w:tcW w:w="666" w:type="dxa"/>
          </w:tcPr>
          <w:p>
            <w:pPr>
              <w:pStyle w:val="TableParagraph"/>
              <w:spacing w:before="10"/>
              <w:rPr>
                <w:i/>
                <w:sz w:val="28"/>
              </w:rPr>
            </w:pPr>
          </w:p>
          <w:p>
            <w:pPr>
              <w:pStyle w:val="TableParagraph"/>
              <w:ind w:left="10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6</w:t>
            </w:r>
          </w:p>
        </w:tc>
        <w:tc>
          <w:tcPr>
            <w:tcW w:w="2430" w:type="dxa"/>
          </w:tcPr>
          <w:p>
            <w:pPr>
              <w:pStyle w:val="TableParagraph"/>
              <w:spacing w:before="10"/>
              <w:rPr>
                <w:i/>
                <w:sz w:val="28"/>
              </w:rPr>
            </w:pPr>
          </w:p>
          <w:p>
            <w:pPr>
              <w:pStyle w:val="TableParagraph"/>
              <w:ind w:left="157" w:right="149"/>
              <w:jc w:val="center"/>
              <w:rPr>
                <w:sz w:val="20"/>
              </w:rPr>
            </w:pPr>
            <w:r>
              <w:rPr>
                <w:sz w:val="20"/>
              </w:rPr>
              <w:t>higher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residual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velocity</w:t>
            </w:r>
          </w:p>
        </w:tc>
        <w:tc>
          <w:tcPr>
            <w:tcW w:w="4140" w:type="dxa"/>
          </w:tcPr>
          <w:p>
            <w:pPr>
              <w:pStyle w:val="TableParagraph"/>
              <w:spacing w:before="102"/>
              <w:ind w:left="107" w:right="159"/>
              <w:rPr>
                <w:sz w:val="20"/>
              </w:rPr>
            </w:pPr>
            <w:r>
              <w:rPr>
                <w:sz w:val="20"/>
              </w:rPr>
              <w:t>1st and 5th plies: path aligned tangential to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growth rings and also cavity walls lined up with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ring transitions;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significant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earlywood</w:t>
            </w:r>
          </w:p>
        </w:tc>
      </w:tr>
    </w:tbl>
    <w:p>
      <w:pPr>
        <w:spacing w:after="0"/>
        <w:rPr>
          <w:sz w:val="20"/>
        </w:rPr>
        <w:sectPr>
          <w:pgSz w:w="12240" w:h="15840"/>
          <w:pgMar w:header="0" w:footer="1064" w:top="1360" w:bottom="1260" w:left="1720" w:right="1020"/>
        </w:sectPr>
      </w:pPr>
    </w:p>
    <w:p>
      <w:pPr>
        <w:pStyle w:val="Heading9"/>
        <w:numPr>
          <w:ilvl w:val="1"/>
          <w:numId w:val="23"/>
        </w:numPr>
        <w:tabs>
          <w:tab w:pos="800" w:val="left" w:leader="none"/>
        </w:tabs>
        <w:spacing w:line="240" w:lineRule="auto" w:before="61" w:after="0"/>
        <w:ind w:left="800" w:right="0" w:hanging="360"/>
        <w:jc w:val="both"/>
      </w:pPr>
      <w:bookmarkStart w:name="_TOC_250022" w:id="390"/>
      <w:bookmarkStart w:name="6.7 Summary" w:id="391"/>
      <w:r>
        <w:rPr>
          <w:b w:val="0"/>
        </w:rPr>
      </w:r>
      <w:bookmarkEnd w:id="391"/>
      <w:bookmarkStart w:name="6.7 Summary" w:id="392"/>
      <w:r>
        <w:rPr/>
        <w:t>S</w:t>
      </w:r>
      <w:bookmarkEnd w:id="390"/>
      <w:r>
        <w:rPr/>
        <w:t>ummary</w:t>
      </w:r>
    </w:p>
    <w:p>
      <w:pPr>
        <w:pStyle w:val="BodyText"/>
        <w:spacing w:before="5"/>
        <w:rPr>
          <w:b/>
          <w:sz w:val="22"/>
        </w:rPr>
      </w:pPr>
    </w:p>
    <w:p>
      <w:pPr>
        <w:pStyle w:val="BodyText"/>
        <w:spacing w:line="480" w:lineRule="auto"/>
        <w:ind w:left="439" w:right="417" w:firstLine="720"/>
        <w:jc w:val="both"/>
      </w:pPr>
      <w:r>
        <w:rPr/>
        <w:t>As a natural material, wood has a high degree of variability.</w:t>
      </w:r>
      <w:r>
        <w:rPr>
          <w:spacing w:val="1"/>
        </w:rPr>
        <w:t> </w:t>
      </w:r>
      <w:r>
        <w:rPr/>
        <w:t>To some extent this</w:t>
      </w:r>
      <w:r>
        <w:rPr>
          <w:spacing w:val="1"/>
        </w:rPr>
        <w:t> </w:t>
      </w:r>
      <w:r>
        <w:rPr/>
        <w:t>variability is reduced when the wood is used in a product with multiple plies like CLT.</w:t>
      </w:r>
      <w:r>
        <w:rPr>
          <w:spacing w:val="1"/>
        </w:rPr>
        <w:t> </w:t>
      </w:r>
      <w:r>
        <w:rPr/>
        <w:t>While the individual boards in the material may have a weakness-inducing defect or may</w:t>
      </w:r>
      <w:r>
        <w:rPr>
          <w:spacing w:val="1"/>
        </w:rPr>
        <w:t> </w:t>
      </w:r>
      <w:r>
        <w:rPr/>
        <w:t>be denser than the characteristic species value, the effect of this variability in a composite</w:t>
      </w:r>
      <w:r>
        <w:rPr>
          <w:spacing w:val="-57"/>
        </w:rPr>
        <w:t> </w:t>
      </w:r>
      <w:r>
        <w:rPr/>
        <w:t>product is lessened for many material characteristics because all of the pieces would have</w:t>
      </w:r>
      <w:r>
        <w:rPr>
          <w:spacing w:val="-57"/>
        </w:rPr>
        <w:t> </w:t>
      </w:r>
      <w:r>
        <w:rPr/>
        <w:t>to</w:t>
      </w:r>
      <w:r>
        <w:rPr>
          <w:spacing w:val="1"/>
        </w:rPr>
        <w:t> </w:t>
      </w:r>
      <w:r>
        <w:rPr/>
        <w:t>possess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defect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increased</w:t>
      </w:r>
      <w:r>
        <w:rPr>
          <w:spacing w:val="1"/>
        </w:rPr>
        <w:t> </w:t>
      </w:r>
      <w:r>
        <w:rPr/>
        <w:t>density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significantly</w:t>
      </w:r>
      <w:r>
        <w:rPr>
          <w:spacing w:val="1"/>
        </w:rPr>
        <w:t> </w:t>
      </w:r>
      <w:r>
        <w:rPr/>
        <w:t>affect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overall</w:t>
      </w:r>
      <w:r>
        <w:rPr>
          <w:spacing w:val="1"/>
        </w:rPr>
        <w:t> </w:t>
      </w:r>
      <w:r>
        <w:rPr/>
        <w:t>performance. However, with a ballistic impact the presence of knots, even in a single ply,</w:t>
      </w:r>
      <w:r>
        <w:rPr>
          <w:spacing w:val="-57"/>
        </w:rPr>
        <w:t> </w:t>
      </w:r>
      <w:r>
        <w:rPr/>
        <w:t>can serve to resist or deflect the projectile as compared to shots fired through specimens</w:t>
      </w:r>
      <w:r>
        <w:rPr>
          <w:spacing w:val="1"/>
        </w:rPr>
        <w:t> </w:t>
      </w:r>
      <w:r>
        <w:rPr/>
        <w:t>consisting of clear wood.</w:t>
      </w:r>
      <w:r>
        <w:rPr>
          <w:spacing w:val="1"/>
        </w:rPr>
        <w:t> </w:t>
      </w:r>
      <w:r>
        <w:rPr/>
        <w:t>It is possible that lower graded wood, with more knots, would</w:t>
      </w:r>
      <w:r>
        <w:rPr>
          <w:spacing w:val="1"/>
        </w:rPr>
        <w:t> </w:t>
      </w:r>
      <w:r>
        <w:rPr/>
        <w:t>be preferable for panels in a design seeking improved ballistic resistance.</w:t>
      </w:r>
      <w:r>
        <w:rPr>
          <w:spacing w:val="1"/>
        </w:rPr>
        <w:t> </w:t>
      </w:r>
      <w:r>
        <w:rPr/>
        <w:t>Designers and</w:t>
      </w:r>
      <w:r>
        <w:rPr>
          <w:spacing w:val="1"/>
        </w:rPr>
        <w:t> </w:t>
      </w:r>
      <w:r>
        <w:rPr/>
        <w:t>manufacturers would need to verify that the lower quality wood still met the required</w:t>
      </w:r>
      <w:r>
        <w:rPr>
          <w:spacing w:val="1"/>
        </w:rPr>
        <w:t> </w:t>
      </w:r>
      <w:r>
        <w:rPr/>
        <w:t>strength and stiffness characteristics as outlined in PRG 320.</w:t>
      </w:r>
      <w:r>
        <w:rPr>
          <w:spacing w:val="1"/>
        </w:rPr>
        <w:t> </w:t>
      </w:r>
      <w:r>
        <w:rPr/>
        <w:t>Alignment of the grain</w:t>
      </w:r>
      <w:r>
        <w:rPr>
          <w:spacing w:val="1"/>
        </w:rPr>
        <w:t> </w:t>
      </w:r>
      <w:r>
        <w:rPr>
          <w:spacing w:val="-1"/>
        </w:rPr>
        <w:t>direction</w:t>
      </w:r>
      <w:r>
        <w:rPr>
          <w:spacing w:val="-16"/>
        </w:rPr>
        <w:t> </w:t>
      </w:r>
      <w:r>
        <w:rPr>
          <w:spacing w:val="-1"/>
        </w:rPr>
        <w:t>and</w:t>
      </w:r>
      <w:r>
        <w:rPr>
          <w:spacing w:val="-14"/>
        </w:rPr>
        <w:t> </w:t>
      </w:r>
      <w:r>
        <w:rPr>
          <w:spacing w:val="-1"/>
        </w:rPr>
        <w:t>the</w:t>
      </w:r>
      <w:r>
        <w:rPr>
          <w:spacing w:val="-15"/>
        </w:rPr>
        <w:t> </w:t>
      </w:r>
      <w:r>
        <w:rPr>
          <w:spacing w:val="-1"/>
        </w:rPr>
        <w:t>distribution</w:t>
      </w:r>
      <w:r>
        <w:rPr>
          <w:spacing w:val="-14"/>
        </w:rPr>
        <w:t> </w:t>
      </w:r>
      <w:r>
        <w:rPr/>
        <w:t>of</w:t>
      </w:r>
      <w:r>
        <w:rPr>
          <w:spacing w:val="-15"/>
        </w:rPr>
        <w:t> </w:t>
      </w:r>
      <w:r>
        <w:rPr/>
        <w:t>earlywood</w:t>
      </w:r>
      <w:r>
        <w:rPr>
          <w:spacing w:val="-15"/>
        </w:rPr>
        <w:t> </w:t>
      </w:r>
      <w:r>
        <w:rPr/>
        <w:t>and</w:t>
      </w:r>
      <w:r>
        <w:rPr>
          <w:spacing w:val="-14"/>
        </w:rPr>
        <w:t> </w:t>
      </w:r>
      <w:r>
        <w:rPr/>
        <w:t>latewood</w:t>
      </w:r>
      <w:r>
        <w:rPr>
          <w:spacing w:val="-14"/>
        </w:rPr>
        <w:t> </w:t>
      </w:r>
      <w:r>
        <w:rPr/>
        <w:t>also</w:t>
      </w:r>
      <w:r>
        <w:rPr>
          <w:spacing w:val="-15"/>
        </w:rPr>
        <w:t> </w:t>
      </w:r>
      <w:r>
        <w:rPr/>
        <w:t>appear</w:t>
      </w:r>
      <w:r>
        <w:rPr>
          <w:spacing w:val="-15"/>
        </w:rPr>
        <w:t> </w:t>
      </w:r>
      <w:r>
        <w:rPr/>
        <w:t>to</w:t>
      </w:r>
      <w:r>
        <w:rPr>
          <w:spacing w:val="-15"/>
        </w:rPr>
        <w:t> </w:t>
      </w:r>
      <w:r>
        <w:rPr/>
        <w:t>influence</w:t>
      </w:r>
      <w:r>
        <w:rPr>
          <w:spacing w:val="-15"/>
        </w:rPr>
        <w:t> </w:t>
      </w:r>
      <w:r>
        <w:rPr/>
        <w:t>the</w:t>
      </w:r>
      <w:r>
        <w:rPr>
          <w:spacing w:val="-16"/>
        </w:rPr>
        <w:t> </w:t>
      </w:r>
      <w:r>
        <w:rPr/>
        <w:t>ability</w:t>
      </w:r>
      <w:r>
        <w:rPr>
          <w:spacing w:val="-58"/>
        </w:rPr>
        <w:t> </w:t>
      </w:r>
      <w:r>
        <w:rPr/>
        <w:t>of the wood to absorb the energy of the projectile.</w:t>
      </w:r>
      <w:r>
        <w:rPr>
          <w:spacing w:val="1"/>
        </w:rPr>
        <w:t> </w:t>
      </w:r>
      <w:r>
        <w:rPr/>
        <w:t>The localized dynamic impact of the</w:t>
      </w:r>
      <w:r>
        <w:rPr>
          <w:spacing w:val="1"/>
        </w:rPr>
        <w:t> </w:t>
      </w:r>
      <w:r>
        <w:rPr/>
        <w:t>projectile creates complex stress states in the wood and result in a multiple failure modes</w:t>
      </w:r>
      <w:r>
        <w:rPr>
          <w:spacing w:val="1"/>
        </w:rPr>
        <w:t> </w:t>
      </w:r>
      <w:r>
        <w:rPr/>
        <w:t>in</w:t>
      </w:r>
      <w:r>
        <w:rPr>
          <w:spacing w:val="-7"/>
        </w:rPr>
        <w:t> </w:t>
      </w:r>
      <w:r>
        <w:rPr/>
        <w:t>many</w:t>
      </w:r>
      <w:r>
        <w:rPr>
          <w:spacing w:val="-6"/>
        </w:rPr>
        <w:t> </w:t>
      </w:r>
      <w:r>
        <w:rPr/>
        <w:t>cases</w:t>
      </w:r>
      <w:r>
        <w:rPr>
          <w:spacing w:val="-7"/>
        </w:rPr>
        <w:t> </w:t>
      </w:r>
      <w:r>
        <w:rPr/>
        <w:t>as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wood</w:t>
      </w:r>
      <w:r>
        <w:rPr>
          <w:spacing w:val="-7"/>
        </w:rPr>
        <w:t> </w:t>
      </w:r>
      <w:r>
        <w:rPr/>
        <w:t>experiences</w:t>
      </w:r>
      <w:r>
        <w:rPr>
          <w:spacing w:val="-6"/>
        </w:rPr>
        <w:t> </w:t>
      </w:r>
      <w:r>
        <w:rPr/>
        <w:t>crushing,</w:t>
      </w:r>
      <w:r>
        <w:rPr>
          <w:spacing w:val="-7"/>
        </w:rPr>
        <w:t> </w:t>
      </w:r>
      <w:r>
        <w:rPr/>
        <w:t>tensile</w:t>
      </w:r>
      <w:r>
        <w:rPr>
          <w:spacing w:val="-7"/>
        </w:rPr>
        <w:t> </w:t>
      </w:r>
      <w:r>
        <w:rPr/>
        <w:t>splintering,</w:t>
      </w:r>
      <w:r>
        <w:rPr>
          <w:spacing w:val="-8"/>
        </w:rPr>
        <w:t> </w:t>
      </w:r>
      <w:r>
        <w:rPr/>
        <w:t>and</w:t>
      </w:r>
      <w:r>
        <w:rPr>
          <w:spacing w:val="-6"/>
        </w:rPr>
        <w:t> </w:t>
      </w:r>
      <w:r>
        <w:rPr/>
        <w:t>shear.</w:t>
      </w:r>
      <w:r>
        <w:rPr>
          <w:spacing w:val="47"/>
        </w:rPr>
        <w:t> </w:t>
      </w:r>
      <w:r>
        <w:rPr/>
        <w:t>The</w:t>
      </w:r>
      <w:r>
        <w:rPr>
          <w:spacing w:val="-7"/>
        </w:rPr>
        <w:t> </w:t>
      </w:r>
      <w:r>
        <w:rPr/>
        <w:t>nature</w:t>
      </w:r>
      <w:r>
        <w:rPr>
          <w:spacing w:val="-58"/>
        </w:rPr>
        <w:t> </w:t>
      </w:r>
      <w:r>
        <w:rPr/>
        <w:t>of CLT is such that the tests can be dissected post-test allowing for the close examination</w:t>
      </w:r>
      <w:r>
        <w:rPr>
          <w:spacing w:val="1"/>
        </w:rPr>
        <w:t> </w:t>
      </w:r>
      <w:r>
        <w:rPr/>
        <w:t>of</w:t>
      </w:r>
      <w:r>
        <w:rPr>
          <w:spacing w:val="-2"/>
        </w:rPr>
        <w:t> </w:t>
      </w:r>
      <w:r>
        <w:rPr/>
        <w:t>the material response to the ballistic event.</w:t>
      </w:r>
    </w:p>
    <w:p>
      <w:pPr>
        <w:spacing w:after="0" w:line="480" w:lineRule="auto"/>
        <w:jc w:val="both"/>
        <w:sectPr>
          <w:pgSz w:w="12240" w:h="15840"/>
          <w:pgMar w:header="0" w:footer="1064" w:top="1380" w:bottom="1260" w:left="1720" w:right="1020"/>
        </w:sectPr>
      </w:pPr>
    </w:p>
    <w:p>
      <w:pPr>
        <w:pStyle w:val="Heading4"/>
        <w:spacing w:line="259" w:lineRule="auto" w:before="61"/>
        <w:ind w:left="3126" w:right="3099" w:firstLine="804"/>
        <w:jc w:val="left"/>
      </w:pPr>
      <w:bookmarkStart w:name="_TOC_250021" w:id="393"/>
      <w:bookmarkStart w:name="Chapter 7" w:id="394"/>
      <w:r>
        <w:rPr>
          <w:b w:val="0"/>
        </w:rPr>
      </w:r>
      <w:r>
        <w:rPr/>
        <w:t>CHAPTER 7</w:t>
      </w:r>
      <w:r>
        <w:rPr>
          <w:spacing w:val="1"/>
        </w:rPr>
        <w:t> </w:t>
      </w:r>
      <w:r>
        <w:rPr/>
        <w:t>ENHANCED</w:t>
      </w:r>
      <w:r>
        <w:rPr>
          <w:spacing w:val="-7"/>
        </w:rPr>
        <w:t> </w:t>
      </w:r>
      <w:r>
        <w:rPr/>
        <w:t>CLT</w:t>
      </w:r>
      <w:r>
        <w:rPr>
          <w:spacing w:val="-6"/>
        </w:rPr>
        <w:t> </w:t>
      </w:r>
      <w:bookmarkEnd w:id="393"/>
      <w:r>
        <w:rPr/>
        <w:t>(ECLT)</w:t>
      </w: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Heading9"/>
        <w:numPr>
          <w:ilvl w:val="1"/>
          <w:numId w:val="24"/>
        </w:numPr>
        <w:tabs>
          <w:tab w:pos="800" w:val="left" w:leader="none"/>
        </w:tabs>
        <w:spacing w:line="240" w:lineRule="auto" w:before="204" w:after="0"/>
        <w:ind w:left="800" w:right="0" w:hanging="360"/>
        <w:jc w:val="both"/>
      </w:pPr>
      <w:bookmarkStart w:name="_TOC_250020" w:id="395"/>
      <w:bookmarkStart w:name="7.1 Introduction" w:id="396"/>
      <w:r>
        <w:rPr>
          <w:b w:val="0"/>
        </w:rPr>
      </w:r>
      <w:bookmarkEnd w:id="396"/>
      <w:bookmarkStart w:name="7.1 Introduction" w:id="397"/>
      <w:r>
        <w:rPr/>
        <w:t>I</w:t>
      </w:r>
      <w:bookmarkEnd w:id="395"/>
      <w:r>
        <w:rPr/>
        <w:t>ntroduction</w:t>
      </w:r>
    </w:p>
    <w:p>
      <w:pPr>
        <w:pStyle w:val="BodyText"/>
        <w:spacing w:line="480" w:lineRule="auto" w:before="139"/>
        <w:ind w:left="440" w:right="417" w:firstLine="720"/>
        <w:jc w:val="both"/>
      </w:pPr>
      <w:r>
        <w:rPr/>
        <w:t>The</w:t>
      </w:r>
      <w:r>
        <w:rPr>
          <w:spacing w:val="1"/>
        </w:rPr>
        <w:t> </w:t>
      </w:r>
      <w:r>
        <w:rPr/>
        <w:t>laminate</w:t>
      </w:r>
      <w:r>
        <w:rPr>
          <w:spacing w:val="1"/>
        </w:rPr>
        <w:t> </w:t>
      </w:r>
      <w:r>
        <w:rPr/>
        <w:t>nature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CLT</w:t>
      </w:r>
      <w:r>
        <w:rPr>
          <w:spacing w:val="1"/>
        </w:rPr>
        <w:t> </w:t>
      </w:r>
      <w:r>
        <w:rPr/>
        <w:t>panels</w:t>
      </w:r>
      <w:r>
        <w:rPr>
          <w:spacing w:val="1"/>
        </w:rPr>
        <w:t> </w:t>
      </w:r>
      <w:r>
        <w:rPr/>
        <w:t>lends</w:t>
      </w:r>
      <w:r>
        <w:rPr>
          <w:spacing w:val="1"/>
        </w:rPr>
        <w:t> </w:t>
      </w:r>
      <w:r>
        <w:rPr/>
        <w:t>itself</w:t>
      </w:r>
      <w:r>
        <w:rPr>
          <w:spacing w:val="1"/>
        </w:rPr>
        <w:t> </w:t>
      </w:r>
      <w:r>
        <w:rPr/>
        <w:t>well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concept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introducing</w:t>
      </w:r>
      <w:r>
        <w:rPr>
          <w:spacing w:val="-11"/>
        </w:rPr>
        <w:t> </w:t>
      </w:r>
      <w:r>
        <w:rPr/>
        <w:t>other</w:t>
      </w:r>
      <w:r>
        <w:rPr>
          <w:spacing w:val="-8"/>
        </w:rPr>
        <w:t> </w:t>
      </w:r>
      <w:r>
        <w:rPr/>
        <w:t>non-wood</w:t>
      </w:r>
      <w:r>
        <w:rPr>
          <w:spacing w:val="-8"/>
        </w:rPr>
        <w:t> </w:t>
      </w:r>
      <w:r>
        <w:rPr/>
        <w:t>materials</w:t>
      </w:r>
      <w:r>
        <w:rPr>
          <w:spacing w:val="-8"/>
        </w:rPr>
        <w:t> </w:t>
      </w:r>
      <w:r>
        <w:rPr/>
        <w:t>into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composite.</w:t>
      </w:r>
      <w:r>
        <w:rPr>
          <w:spacing w:val="42"/>
        </w:rPr>
        <w:t> </w:t>
      </w:r>
      <w:r>
        <w:rPr/>
        <w:t>This</w:t>
      </w:r>
      <w:r>
        <w:rPr>
          <w:spacing w:val="-9"/>
        </w:rPr>
        <w:t> </w:t>
      </w:r>
      <w:r>
        <w:rPr/>
        <w:t>idea</w:t>
      </w:r>
      <w:r>
        <w:rPr>
          <w:spacing w:val="-10"/>
        </w:rPr>
        <w:t> </w:t>
      </w:r>
      <w:r>
        <w:rPr/>
        <w:t>is</w:t>
      </w:r>
      <w:r>
        <w:rPr>
          <w:spacing w:val="-8"/>
        </w:rPr>
        <w:t> </w:t>
      </w:r>
      <w:r>
        <w:rPr/>
        <w:t>especially</w:t>
      </w:r>
      <w:r>
        <w:rPr>
          <w:spacing w:val="-10"/>
        </w:rPr>
        <w:t> </w:t>
      </w:r>
      <w:r>
        <w:rPr/>
        <w:t>attractive</w:t>
      </w:r>
      <w:r>
        <w:rPr>
          <w:spacing w:val="-58"/>
        </w:rPr>
        <w:t> </w:t>
      </w:r>
      <w:r>
        <w:rPr/>
        <w:t>for</w:t>
      </w:r>
      <w:r>
        <w:rPr>
          <w:spacing w:val="1"/>
        </w:rPr>
        <w:t> </w:t>
      </w:r>
      <w:r>
        <w:rPr/>
        <w:t>specialized</w:t>
      </w:r>
      <w:r>
        <w:rPr>
          <w:spacing w:val="1"/>
        </w:rPr>
        <w:t> </w:t>
      </w:r>
      <w:r>
        <w:rPr/>
        <w:t>design</w:t>
      </w:r>
      <w:r>
        <w:rPr>
          <w:spacing w:val="1"/>
        </w:rPr>
        <w:t> </w:t>
      </w:r>
      <w:r>
        <w:rPr/>
        <w:t>requirements</w:t>
      </w:r>
      <w:r>
        <w:rPr>
          <w:spacing w:val="1"/>
        </w:rPr>
        <w:t> </w:t>
      </w:r>
      <w:r>
        <w:rPr/>
        <w:t>like</w:t>
      </w:r>
      <w:r>
        <w:rPr>
          <w:spacing w:val="1"/>
        </w:rPr>
        <w:t> </w:t>
      </w:r>
      <w:r>
        <w:rPr/>
        <w:t>enhanced</w:t>
      </w:r>
      <w:r>
        <w:rPr>
          <w:spacing w:val="1"/>
        </w:rPr>
        <w:t> </w:t>
      </w:r>
      <w:r>
        <w:rPr/>
        <w:t>ballistic</w:t>
      </w:r>
      <w:r>
        <w:rPr>
          <w:spacing w:val="1"/>
        </w:rPr>
        <w:t> </w:t>
      </w:r>
      <w:r>
        <w:rPr/>
        <w:t>resistance.</w:t>
      </w:r>
      <w:r>
        <w:rPr>
          <w:spacing w:val="1"/>
        </w:rPr>
        <w:t> </w:t>
      </w:r>
      <w:r>
        <w:rPr/>
        <w:t>While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materials, such as steel, may offer increased ballistic resistance they are not effective</w:t>
      </w:r>
      <w:r>
        <w:rPr>
          <w:spacing w:val="1"/>
        </w:rPr>
        <w:t> </w:t>
      </w:r>
      <w:r>
        <w:rPr/>
        <w:t>building materials for other reasons such as thermal efficiency of the building envelope.</w:t>
      </w:r>
      <w:r>
        <w:rPr>
          <w:spacing w:val="1"/>
        </w:rPr>
        <w:t> </w:t>
      </w:r>
      <w:r>
        <w:rPr/>
        <w:t>Additionally, design specifications may only need the increased ballistic resistance in</w:t>
      </w:r>
      <w:r>
        <w:rPr>
          <w:spacing w:val="1"/>
        </w:rPr>
        <w:t> </w:t>
      </w:r>
      <w:r>
        <w:rPr/>
        <w:t>specific high threat locations, so the structure could be built from CLT with ECLT panels</w:t>
      </w:r>
      <w:r>
        <w:rPr>
          <w:spacing w:val="-57"/>
        </w:rPr>
        <w:t> </w:t>
      </w:r>
      <w:r>
        <w:rPr/>
        <w:t>in designated locations as determined by the threat analysis.</w:t>
      </w:r>
      <w:r>
        <w:rPr>
          <w:spacing w:val="1"/>
        </w:rPr>
        <w:t> </w:t>
      </w:r>
      <w:r>
        <w:rPr/>
        <w:t>CLT’s use as a building</w:t>
      </w:r>
      <w:r>
        <w:rPr>
          <w:spacing w:val="1"/>
        </w:rPr>
        <w:t> </w:t>
      </w:r>
      <w:r>
        <w:rPr/>
        <w:t>material</w:t>
      </w:r>
      <w:r>
        <w:rPr>
          <w:spacing w:val="-5"/>
        </w:rPr>
        <w:t> </w:t>
      </w:r>
      <w:r>
        <w:rPr/>
        <w:t>is</w:t>
      </w:r>
      <w:r>
        <w:rPr>
          <w:spacing w:val="-5"/>
        </w:rPr>
        <w:t> </w:t>
      </w:r>
      <w:r>
        <w:rPr/>
        <w:t>relatively</w:t>
      </w:r>
      <w:r>
        <w:rPr>
          <w:spacing w:val="-5"/>
        </w:rPr>
        <w:t> </w:t>
      </w:r>
      <w:r>
        <w:rPr/>
        <w:t>new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idea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ECLT</w:t>
      </w:r>
      <w:r>
        <w:rPr>
          <w:spacing w:val="-4"/>
        </w:rPr>
        <w:t> </w:t>
      </w:r>
      <w:r>
        <w:rPr/>
        <w:t>had</w:t>
      </w:r>
      <w:r>
        <w:rPr>
          <w:spacing w:val="-4"/>
        </w:rPr>
        <w:t> </w:t>
      </w:r>
      <w:r>
        <w:rPr/>
        <w:t>not</w:t>
      </w:r>
      <w:r>
        <w:rPr>
          <w:spacing w:val="-5"/>
        </w:rPr>
        <w:t> </w:t>
      </w:r>
      <w:r>
        <w:rPr/>
        <w:t>previously</w:t>
      </w:r>
      <w:r>
        <w:rPr>
          <w:spacing w:val="-4"/>
        </w:rPr>
        <w:t> </w:t>
      </w:r>
      <w:r>
        <w:rPr/>
        <w:t>been</w:t>
      </w:r>
      <w:r>
        <w:rPr>
          <w:spacing w:val="-5"/>
        </w:rPr>
        <w:t> </w:t>
      </w:r>
      <w:r>
        <w:rPr/>
        <w:t>explored</w:t>
      </w:r>
      <w:r>
        <w:rPr>
          <w:spacing w:val="-5"/>
        </w:rPr>
        <w:t> </w:t>
      </w:r>
      <w:r>
        <w:rPr/>
        <w:t>by</w:t>
      </w:r>
      <w:r>
        <w:rPr>
          <w:spacing w:val="-5"/>
        </w:rPr>
        <w:t> </w:t>
      </w:r>
      <w:r>
        <w:rPr/>
        <w:t>other</w:t>
      </w:r>
      <w:r>
        <w:rPr>
          <w:spacing w:val="-58"/>
        </w:rPr>
        <w:t> </w:t>
      </w:r>
      <w:r>
        <w:rPr/>
        <w:t>researchers.</w:t>
      </w:r>
    </w:p>
    <w:p>
      <w:pPr>
        <w:pStyle w:val="BodyText"/>
        <w:spacing w:line="480" w:lineRule="auto" w:before="161"/>
        <w:ind w:left="440" w:right="417" w:firstLine="720"/>
        <w:jc w:val="both"/>
      </w:pPr>
      <w:r>
        <w:rPr/>
        <w:t>While</w:t>
      </w:r>
      <w:r>
        <w:rPr>
          <w:spacing w:val="-4"/>
        </w:rPr>
        <w:t> </w:t>
      </w:r>
      <w:r>
        <w:rPr/>
        <w:t>ECLT</w:t>
      </w:r>
      <w:r>
        <w:rPr>
          <w:spacing w:val="-4"/>
        </w:rPr>
        <w:t> </w:t>
      </w:r>
      <w:r>
        <w:rPr/>
        <w:t>is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new</w:t>
      </w:r>
      <w:r>
        <w:rPr>
          <w:spacing w:val="-4"/>
        </w:rPr>
        <w:t> </w:t>
      </w:r>
      <w:r>
        <w:rPr/>
        <w:t>concept,</w:t>
      </w:r>
      <w:r>
        <w:rPr>
          <w:spacing w:val="-4"/>
        </w:rPr>
        <w:t> </w:t>
      </w:r>
      <w:r>
        <w:rPr/>
        <w:t>hybrid</w:t>
      </w:r>
      <w:r>
        <w:rPr>
          <w:spacing w:val="-4"/>
        </w:rPr>
        <w:t> </w:t>
      </w:r>
      <w:r>
        <w:rPr/>
        <w:t>CLT</w:t>
      </w:r>
      <w:r>
        <w:rPr>
          <w:spacing w:val="-4"/>
        </w:rPr>
        <w:t> </w:t>
      </w:r>
      <w:r>
        <w:rPr/>
        <w:t>has</w:t>
      </w:r>
      <w:r>
        <w:rPr>
          <w:spacing w:val="-4"/>
        </w:rPr>
        <w:t> </w:t>
      </w:r>
      <w:r>
        <w:rPr/>
        <w:t>been</w:t>
      </w:r>
      <w:r>
        <w:rPr>
          <w:spacing w:val="-4"/>
        </w:rPr>
        <w:t> </w:t>
      </w:r>
      <w:r>
        <w:rPr/>
        <w:t>investigated</w:t>
      </w:r>
      <w:r>
        <w:rPr>
          <w:spacing w:val="-4"/>
        </w:rPr>
        <w:t> </w:t>
      </w:r>
      <w:r>
        <w:rPr/>
        <w:t>although</w:t>
      </w:r>
      <w:r>
        <w:rPr>
          <w:spacing w:val="-4"/>
        </w:rPr>
        <w:t> </w:t>
      </w:r>
      <w:r>
        <w:rPr/>
        <w:t>it</w:t>
      </w:r>
      <w:r>
        <w:rPr>
          <w:spacing w:val="-3"/>
        </w:rPr>
        <w:t> </w:t>
      </w:r>
      <w:r>
        <w:rPr/>
        <w:t>is</w:t>
      </w:r>
      <w:r>
        <w:rPr>
          <w:spacing w:val="-4"/>
        </w:rPr>
        <w:t> </w:t>
      </w:r>
      <w:r>
        <w:rPr/>
        <w:t>not</w:t>
      </w:r>
      <w:r>
        <w:rPr>
          <w:spacing w:val="-58"/>
        </w:rPr>
        <w:t> </w:t>
      </w:r>
      <w:r>
        <w:rPr/>
        <w:t>recognized by the wood or mass timber industries.</w:t>
      </w:r>
      <w:r>
        <w:rPr>
          <w:spacing w:val="1"/>
        </w:rPr>
        <w:t> </w:t>
      </w:r>
      <w:r>
        <w:rPr/>
        <w:t>The use of the term hybrid references</w:t>
      </w:r>
      <w:r>
        <w:rPr>
          <w:spacing w:val="1"/>
        </w:rPr>
        <w:t> </w:t>
      </w:r>
      <w:r>
        <w:rPr/>
        <w:t>replacing a layer of sawn timber in the conventional CLT with laminated strand lumber</w:t>
      </w:r>
      <w:r>
        <w:rPr>
          <w:spacing w:val="1"/>
        </w:rPr>
        <w:t> </w:t>
      </w:r>
      <w:r>
        <w:rPr/>
        <w:t>(LSL),</w:t>
      </w:r>
      <w:r>
        <w:rPr>
          <w:spacing w:val="-5"/>
        </w:rPr>
        <w:t> </w:t>
      </w:r>
      <w:r>
        <w:rPr/>
        <w:t>laminated</w:t>
      </w:r>
      <w:r>
        <w:rPr>
          <w:spacing w:val="-5"/>
        </w:rPr>
        <w:t> </w:t>
      </w:r>
      <w:r>
        <w:rPr/>
        <w:t>veneer</w:t>
      </w:r>
      <w:r>
        <w:rPr>
          <w:spacing w:val="-5"/>
        </w:rPr>
        <w:t> </w:t>
      </w:r>
      <w:r>
        <w:rPr/>
        <w:t>lumber</w:t>
      </w:r>
      <w:r>
        <w:rPr>
          <w:spacing w:val="-4"/>
        </w:rPr>
        <w:t> </w:t>
      </w:r>
      <w:r>
        <w:rPr/>
        <w:t>(LVL)</w:t>
      </w:r>
      <w:r>
        <w:rPr>
          <w:spacing w:val="-3"/>
        </w:rPr>
        <w:t> </w:t>
      </w:r>
      <w:r>
        <w:rPr/>
        <w:t>or</w:t>
      </w:r>
      <w:r>
        <w:rPr>
          <w:spacing w:val="-4"/>
        </w:rPr>
        <w:t> </w:t>
      </w:r>
      <w:r>
        <w:rPr/>
        <w:t>hardwood</w:t>
      </w:r>
      <w:r>
        <w:rPr>
          <w:spacing w:val="-4"/>
        </w:rPr>
        <w:t> </w:t>
      </w:r>
      <w:r>
        <w:rPr/>
        <w:t>species</w:t>
      </w:r>
      <w:r>
        <w:rPr>
          <w:spacing w:val="-6"/>
        </w:rPr>
        <w:t> </w:t>
      </w:r>
      <w:r>
        <w:rPr/>
        <w:t>mixed</w:t>
      </w:r>
      <w:r>
        <w:rPr>
          <w:spacing w:val="-4"/>
        </w:rPr>
        <w:t> </w:t>
      </w:r>
      <w:r>
        <w:rPr/>
        <w:t>with</w:t>
      </w:r>
      <w:r>
        <w:rPr>
          <w:spacing w:val="-4"/>
        </w:rPr>
        <w:t> </w:t>
      </w:r>
      <w:r>
        <w:rPr/>
        <w:t>softwood</w:t>
      </w:r>
      <w:r>
        <w:rPr>
          <w:spacing w:val="-4"/>
        </w:rPr>
        <w:t> </w:t>
      </w:r>
      <w:r>
        <w:rPr/>
        <w:t>species</w:t>
      </w:r>
      <w:r>
        <w:rPr>
          <w:spacing w:val="-58"/>
        </w:rPr>
        <w:t> </w:t>
      </w:r>
      <w:r>
        <w:rPr/>
        <w:t>in alternating layers [22, 40, 116, 117].</w:t>
      </w:r>
      <w:r>
        <w:rPr>
          <w:spacing w:val="1"/>
        </w:rPr>
        <w:t> </w:t>
      </w:r>
      <w:r>
        <w:rPr/>
        <w:t>No prior research was found examining a non-</w:t>
      </w:r>
      <w:r>
        <w:rPr>
          <w:spacing w:val="1"/>
        </w:rPr>
        <w:t> </w:t>
      </w:r>
      <w:r>
        <w:rPr/>
        <w:t>wood</w:t>
      </w:r>
      <w:r>
        <w:rPr>
          <w:spacing w:val="-1"/>
        </w:rPr>
        <w:t> </w:t>
      </w:r>
      <w:r>
        <w:rPr/>
        <w:t>layer</w:t>
      </w:r>
      <w:r>
        <w:rPr>
          <w:spacing w:val="-1"/>
        </w:rPr>
        <w:t> </w:t>
      </w:r>
      <w:r>
        <w:rPr/>
        <w:t>within</w:t>
      </w:r>
      <w:r>
        <w:rPr>
          <w:spacing w:val="-1"/>
        </w:rPr>
        <w:t> </w:t>
      </w:r>
      <w:r>
        <w:rPr/>
        <w:t>the CLT</w:t>
      </w:r>
      <w:r>
        <w:rPr>
          <w:spacing w:val="-1"/>
        </w:rPr>
        <w:t> </w:t>
      </w:r>
      <w:r>
        <w:rPr/>
        <w:t>composite</w:t>
      </w:r>
      <w:r>
        <w:rPr>
          <w:spacing w:val="-1"/>
        </w:rPr>
        <w:t> </w:t>
      </w:r>
      <w:r>
        <w:rPr/>
        <w:t>construction, such as</w:t>
      </w:r>
      <w:r>
        <w:rPr>
          <w:spacing w:val="-1"/>
        </w:rPr>
        <w:t> </w:t>
      </w:r>
      <w:r>
        <w:rPr/>
        <w:t>in ECLT.</w:t>
      </w:r>
    </w:p>
    <w:p>
      <w:pPr>
        <w:pStyle w:val="BodyText"/>
        <w:spacing w:line="480" w:lineRule="auto" w:before="151"/>
        <w:ind w:left="440" w:right="418" w:firstLine="720"/>
        <w:jc w:val="both"/>
      </w:pPr>
      <w:r>
        <w:rPr/>
        <w:t>The ECLT discussed in this research is distinct in that it introduced a special</w:t>
      </w:r>
      <w:r>
        <w:rPr>
          <w:spacing w:val="1"/>
        </w:rPr>
        <w:t> </w:t>
      </w:r>
      <w:r>
        <w:rPr/>
        <w:t>purpose enhancing layer with the intent of providing improved ballistic resistance.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purposes</w:t>
      </w:r>
      <w:r>
        <w:rPr>
          <w:spacing w:val="-4"/>
        </w:rPr>
        <w:t> </w:t>
      </w:r>
      <w:r>
        <w:rPr/>
        <w:t>could</w:t>
      </w:r>
      <w:r>
        <w:rPr>
          <w:spacing w:val="-4"/>
        </w:rPr>
        <w:t> </w:t>
      </w:r>
      <w:r>
        <w:rPr/>
        <w:t>drive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inclusion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other</w:t>
      </w:r>
      <w:r>
        <w:rPr>
          <w:spacing w:val="-5"/>
        </w:rPr>
        <w:t> </w:t>
      </w:r>
      <w:r>
        <w:rPr/>
        <w:t>types</w:t>
      </w:r>
      <w:r>
        <w:rPr>
          <w:spacing w:val="-5"/>
        </w:rPr>
        <w:t> </w:t>
      </w:r>
      <w:r>
        <w:rPr/>
        <w:t>of</w:t>
      </w:r>
      <w:r>
        <w:rPr>
          <w:spacing w:val="-3"/>
        </w:rPr>
        <w:t> </w:t>
      </w:r>
      <w:r>
        <w:rPr/>
        <w:t>materials.</w:t>
      </w:r>
      <w:r>
        <w:rPr>
          <w:spacing w:val="53"/>
        </w:rPr>
        <w:t> </w:t>
      </w:r>
      <w:r>
        <w:rPr/>
        <w:t>A</w:t>
      </w:r>
      <w:r>
        <w:rPr>
          <w:spacing w:val="-4"/>
        </w:rPr>
        <w:t> </w:t>
      </w:r>
      <w:r>
        <w:rPr/>
        <w:t>key</w:t>
      </w:r>
      <w:r>
        <w:rPr>
          <w:spacing w:val="-4"/>
        </w:rPr>
        <w:t> </w:t>
      </w:r>
      <w:r>
        <w:rPr/>
        <w:t>component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ECLT</w:t>
      </w:r>
    </w:p>
    <w:p>
      <w:pPr>
        <w:spacing w:after="0" w:line="480" w:lineRule="auto"/>
        <w:jc w:val="both"/>
        <w:sectPr>
          <w:pgSz w:w="12240" w:h="15840"/>
          <w:pgMar w:header="0" w:footer="1064" w:top="1380" w:bottom="1260" w:left="1720" w:right="1020"/>
        </w:sectPr>
      </w:pPr>
    </w:p>
    <w:p>
      <w:pPr>
        <w:pStyle w:val="BodyText"/>
        <w:spacing w:line="480" w:lineRule="auto" w:before="78"/>
        <w:ind w:left="440" w:right="417"/>
        <w:jc w:val="both"/>
      </w:pPr>
      <w:r>
        <w:rPr/>
        <w:t>is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adhesion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enhancing</w:t>
      </w:r>
      <w:r>
        <w:rPr>
          <w:spacing w:val="-11"/>
        </w:rPr>
        <w:t> </w:t>
      </w:r>
      <w:r>
        <w:rPr/>
        <w:t>layer</w:t>
      </w:r>
      <w:r>
        <w:rPr>
          <w:spacing w:val="-10"/>
        </w:rPr>
        <w:t> </w:t>
      </w:r>
      <w:r>
        <w:rPr/>
        <w:t>to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wood</w:t>
      </w:r>
      <w:r>
        <w:rPr>
          <w:spacing w:val="-11"/>
        </w:rPr>
        <w:t> </w:t>
      </w:r>
      <w:r>
        <w:rPr/>
        <w:t>layers.</w:t>
      </w:r>
      <w:r>
        <w:rPr>
          <w:spacing w:val="38"/>
        </w:rPr>
        <w:t> </w:t>
      </w:r>
      <w:r>
        <w:rPr/>
        <w:t>Because</w:t>
      </w:r>
      <w:r>
        <w:rPr>
          <w:spacing w:val="-11"/>
        </w:rPr>
        <w:t> </w:t>
      </w:r>
      <w:r>
        <w:rPr/>
        <w:t>enhanced</w:t>
      </w:r>
      <w:r>
        <w:rPr>
          <w:spacing w:val="-10"/>
        </w:rPr>
        <w:t> </w:t>
      </w:r>
      <w:r>
        <w:rPr/>
        <w:t>CLT</w:t>
      </w:r>
      <w:r>
        <w:rPr>
          <w:spacing w:val="-11"/>
        </w:rPr>
        <w:t> </w:t>
      </w:r>
      <w:r>
        <w:rPr/>
        <w:t>involves</w:t>
      </w:r>
      <w:r>
        <w:rPr>
          <w:spacing w:val="-58"/>
        </w:rPr>
        <w:t> </w:t>
      </w:r>
      <w:r>
        <w:rPr/>
        <w:t>adding layers to the layup, the increased weight, cost, and impact to overall structural</w:t>
      </w:r>
      <w:r>
        <w:rPr>
          <w:spacing w:val="1"/>
        </w:rPr>
        <w:t> </w:t>
      </w:r>
      <w:r>
        <w:rPr/>
        <w:t>performance</w:t>
      </w:r>
      <w:r>
        <w:rPr>
          <w:spacing w:val="-1"/>
        </w:rPr>
        <w:t> </w:t>
      </w:r>
      <w:r>
        <w:rPr/>
        <w:t>such as strengths and</w:t>
      </w:r>
      <w:r>
        <w:rPr>
          <w:spacing w:val="-1"/>
        </w:rPr>
        <w:t> </w:t>
      </w:r>
      <w:r>
        <w:rPr/>
        <w:t>stiffness should be considered.</w:t>
      </w:r>
    </w:p>
    <w:p>
      <w:pPr>
        <w:pStyle w:val="Heading9"/>
        <w:numPr>
          <w:ilvl w:val="1"/>
          <w:numId w:val="24"/>
        </w:numPr>
        <w:tabs>
          <w:tab w:pos="800" w:val="left" w:leader="none"/>
        </w:tabs>
        <w:spacing w:line="240" w:lineRule="auto" w:before="162" w:after="0"/>
        <w:ind w:left="800" w:right="0" w:hanging="360"/>
        <w:jc w:val="both"/>
      </w:pPr>
      <w:bookmarkStart w:name="_TOC_250019" w:id="398"/>
      <w:bookmarkStart w:name="7.2 Methodology" w:id="399"/>
      <w:r>
        <w:rPr>
          <w:b w:val="0"/>
        </w:rPr>
      </w:r>
      <w:bookmarkEnd w:id="399"/>
      <w:bookmarkStart w:name="7.2 Methodology" w:id="400"/>
      <w:r>
        <w:rPr/>
        <w:t>Met</w:t>
      </w:r>
      <w:bookmarkEnd w:id="398"/>
      <w:r>
        <w:rPr/>
        <w:t>hodology</w:t>
      </w:r>
    </w:p>
    <w:p>
      <w:pPr>
        <w:pStyle w:val="ListParagraph"/>
        <w:numPr>
          <w:ilvl w:val="2"/>
          <w:numId w:val="24"/>
        </w:numPr>
        <w:tabs>
          <w:tab w:pos="980" w:val="left" w:leader="none"/>
        </w:tabs>
        <w:spacing w:line="240" w:lineRule="auto" w:before="181" w:after="0"/>
        <w:ind w:left="980" w:right="0" w:hanging="540"/>
        <w:jc w:val="both"/>
        <w:rPr>
          <w:i/>
          <w:sz w:val="24"/>
        </w:rPr>
      </w:pPr>
      <w:bookmarkStart w:name="7.2.1 Enhancing layer materials" w:id="401"/>
      <w:bookmarkEnd w:id="401"/>
      <w:r>
        <w:rPr/>
      </w:r>
      <w:bookmarkStart w:name="7.2.1 Enhancing layer materials" w:id="402"/>
      <w:bookmarkEnd w:id="402"/>
      <w:r>
        <w:rPr>
          <w:i/>
          <w:sz w:val="24"/>
        </w:rPr>
        <w:t>E</w:t>
      </w:r>
      <w:r>
        <w:rPr>
          <w:i/>
          <w:sz w:val="24"/>
        </w:rPr>
        <w:t>nhancing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layer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materials</w:t>
      </w:r>
    </w:p>
    <w:p>
      <w:pPr>
        <w:pStyle w:val="BodyText"/>
        <w:spacing w:before="7"/>
        <w:rPr>
          <w:i/>
          <w:sz w:val="22"/>
        </w:rPr>
      </w:pPr>
    </w:p>
    <w:p>
      <w:pPr>
        <w:pStyle w:val="BodyText"/>
        <w:spacing w:line="480" w:lineRule="auto"/>
        <w:ind w:left="440" w:right="417" w:firstLine="720"/>
      </w:pPr>
      <w:r>
        <w:rPr/>
        <w:t>For</w:t>
      </w:r>
      <w:r>
        <w:rPr>
          <w:spacing w:val="58"/>
        </w:rPr>
        <w:t> </w:t>
      </w:r>
      <w:r>
        <w:rPr/>
        <w:t>the</w:t>
      </w:r>
      <w:r>
        <w:rPr>
          <w:spacing w:val="57"/>
        </w:rPr>
        <w:t> </w:t>
      </w:r>
      <w:r>
        <w:rPr/>
        <w:t>purposes</w:t>
      </w:r>
      <w:r>
        <w:rPr>
          <w:spacing w:val="58"/>
        </w:rPr>
        <w:t> </w:t>
      </w:r>
      <w:r>
        <w:rPr/>
        <w:t>of</w:t>
      </w:r>
      <w:r>
        <w:rPr>
          <w:spacing w:val="57"/>
        </w:rPr>
        <w:t> </w:t>
      </w:r>
      <w:r>
        <w:rPr/>
        <w:t>increased</w:t>
      </w:r>
      <w:r>
        <w:rPr>
          <w:spacing w:val="59"/>
        </w:rPr>
        <w:t> </w:t>
      </w:r>
      <w:r>
        <w:rPr/>
        <w:t>ballistic</w:t>
      </w:r>
      <w:r>
        <w:rPr>
          <w:spacing w:val="58"/>
        </w:rPr>
        <w:t> </w:t>
      </w:r>
      <w:r>
        <w:rPr/>
        <w:t>resistance,</w:t>
      </w:r>
      <w:r>
        <w:rPr>
          <w:spacing w:val="58"/>
        </w:rPr>
        <w:t> </w:t>
      </w:r>
      <w:r>
        <w:rPr/>
        <w:t>several</w:t>
      </w:r>
      <w:r>
        <w:rPr>
          <w:spacing w:val="57"/>
        </w:rPr>
        <w:t> </w:t>
      </w:r>
      <w:r>
        <w:rPr/>
        <w:t>different</w:t>
      </w:r>
      <w:r>
        <w:rPr>
          <w:spacing w:val="57"/>
        </w:rPr>
        <w:t> </w:t>
      </w:r>
      <w:r>
        <w:rPr/>
        <w:t>enhancing</w:t>
      </w:r>
      <w:r>
        <w:rPr>
          <w:spacing w:val="-57"/>
        </w:rPr>
        <w:t> </w:t>
      </w:r>
      <w:r>
        <w:rPr/>
        <w:t>materials</w:t>
      </w:r>
      <w:r>
        <w:rPr>
          <w:spacing w:val="-1"/>
        </w:rPr>
        <w:t> </w:t>
      </w:r>
      <w:r>
        <w:rPr/>
        <w:t>were selected,</w:t>
      </w:r>
      <w:r>
        <w:rPr>
          <w:spacing w:val="-2"/>
        </w:rPr>
        <w:t> </w:t>
      </w:r>
      <w:r>
        <w:rPr/>
        <w:t>as shown in</w:t>
      </w:r>
      <w:r>
        <w:rPr>
          <w:spacing w:val="-1"/>
        </w:rPr>
        <w:t> </w:t>
      </w:r>
      <w:hyperlink w:history="true" w:anchor="_bookmark121">
        <w:r>
          <w:rPr/>
          <w:t>Table 7-1</w:t>
        </w:r>
      </w:hyperlink>
      <w:r>
        <w:rPr/>
        <w:t>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34"/>
        </w:rPr>
      </w:pPr>
    </w:p>
    <w:p>
      <w:pPr>
        <w:spacing w:before="0"/>
        <w:ind w:left="20" w:right="0" w:firstLine="0"/>
        <w:jc w:val="center"/>
        <w:rPr>
          <w:i/>
          <w:sz w:val="24"/>
        </w:rPr>
      </w:pPr>
      <w:bookmarkStart w:name="_bookmark121" w:id="403"/>
      <w:bookmarkEnd w:id="403"/>
      <w:r>
        <w:rPr/>
      </w:r>
      <w:r>
        <w:rPr>
          <w:i/>
          <w:sz w:val="24"/>
        </w:rPr>
        <w:t>Table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7-1.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Variations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ECLT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investigated.</w:t>
      </w:r>
    </w:p>
    <w:p>
      <w:pPr>
        <w:pStyle w:val="BodyText"/>
        <w:spacing w:before="6"/>
        <w:rPr>
          <w:i/>
          <w:sz w:val="17"/>
        </w:rPr>
      </w:pPr>
    </w:p>
    <w:tbl>
      <w:tblPr>
        <w:tblW w:w="0" w:type="auto"/>
        <w:jc w:val="left"/>
        <w:tblInd w:w="56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82"/>
        <w:gridCol w:w="2436"/>
        <w:gridCol w:w="1604"/>
        <w:gridCol w:w="1419"/>
        <w:gridCol w:w="1268"/>
      </w:tblGrid>
      <w:tr>
        <w:trPr>
          <w:trHeight w:val="758" w:hRule="atLeast"/>
        </w:trPr>
        <w:tc>
          <w:tcPr>
            <w:tcW w:w="1682" w:type="dxa"/>
            <w:tcBorders>
              <w:bottom w:val="single" w:sz="8" w:space="0" w:color="000000"/>
            </w:tcBorders>
            <w:shd w:val="clear" w:color="auto" w:fill="A7A8A7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spacing w:line="233" w:lineRule="exact"/>
              <w:ind w:left="154" w:right="14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Nomenclature</w:t>
            </w:r>
          </w:p>
        </w:tc>
        <w:tc>
          <w:tcPr>
            <w:tcW w:w="2436" w:type="dxa"/>
            <w:tcBorders>
              <w:bottom w:val="single" w:sz="8" w:space="0" w:color="000000"/>
            </w:tcBorders>
            <w:shd w:val="clear" w:color="auto" w:fill="A7A8A7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spacing w:line="233" w:lineRule="exact"/>
              <w:ind w:left="444"/>
              <w:rPr>
                <w:b/>
                <w:sz w:val="22"/>
              </w:rPr>
            </w:pPr>
            <w:r>
              <w:rPr>
                <w:b/>
                <w:sz w:val="22"/>
              </w:rPr>
              <w:t>Enhancing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layer</w:t>
            </w:r>
          </w:p>
        </w:tc>
        <w:tc>
          <w:tcPr>
            <w:tcW w:w="1604" w:type="dxa"/>
            <w:tcBorders>
              <w:bottom w:val="single" w:sz="8" w:space="0" w:color="000000"/>
            </w:tcBorders>
            <w:shd w:val="clear" w:color="auto" w:fill="A7A8A7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spacing w:line="233" w:lineRule="exact"/>
              <w:ind w:left="177"/>
              <w:rPr>
                <w:b/>
                <w:sz w:val="22"/>
              </w:rPr>
            </w:pPr>
            <w:r>
              <w:rPr>
                <w:b/>
                <w:sz w:val="22"/>
              </w:rPr>
              <w:t>Abbreviation</w:t>
            </w:r>
          </w:p>
        </w:tc>
        <w:tc>
          <w:tcPr>
            <w:tcW w:w="1419" w:type="dxa"/>
            <w:tcBorders>
              <w:bottom w:val="single" w:sz="8" w:space="0" w:color="000000"/>
            </w:tcBorders>
            <w:shd w:val="clear" w:color="auto" w:fill="A7A8A7"/>
          </w:tcPr>
          <w:p>
            <w:pPr>
              <w:pStyle w:val="TableParagraph"/>
              <w:spacing w:before="3"/>
              <w:rPr>
                <w:i/>
                <w:sz w:val="20"/>
              </w:rPr>
            </w:pPr>
          </w:p>
          <w:p>
            <w:pPr>
              <w:pStyle w:val="TableParagraph"/>
              <w:spacing w:line="250" w:lineRule="atLeast"/>
              <w:ind w:left="516" w:right="210" w:hanging="279"/>
              <w:rPr>
                <w:b/>
                <w:sz w:val="22"/>
              </w:rPr>
            </w:pPr>
            <w:r>
              <w:rPr>
                <w:b/>
                <w:sz w:val="22"/>
              </w:rPr>
              <w:t>Thickness</w:t>
            </w:r>
            <w:r>
              <w:rPr>
                <w:b/>
                <w:spacing w:val="-53"/>
                <w:sz w:val="22"/>
              </w:rPr>
              <w:t> </w:t>
            </w:r>
            <w:r>
              <w:rPr>
                <w:b/>
                <w:sz w:val="22"/>
              </w:rPr>
              <w:t>(in.)</w:t>
            </w:r>
          </w:p>
        </w:tc>
        <w:tc>
          <w:tcPr>
            <w:tcW w:w="1268" w:type="dxa"/>
            <w:tcBorders>
              <w:bottom w:val="single" w:sz="8" w:space="0" w:color="000000"/>
            </w:tcBorders>
            <w:shd w:val="clear" w:color="auto" w:fill="A7A8A7"/>
          </w:tcPr>
          <w:p>
            <w:pPr>
              <w:pStyle w:val="TableParagraph"/>
              <w:spacing w:line="254" w:lineRule="exact"/>
              <w:ind w:left="109" w:right="96" w:firstLine="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Section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with full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pacing w:val="-1"/>
                <w:sz w:val="22"/>
              </w:rPr>
              <w:t>description</w:t>
            </w:r>
          </w:p>
        </w:tc>
      </w:tr>
      <w:tr>
        <w:trPr>
          <w:trHeight w:val="502" w:hRule="atLeast"/>
        </w:trPr>
        <w:tc>
          <w:tcPr>
            <w:tcW w:w="1682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121"/>
              <w:ind w:left="154" w:right="144"/>
              <w:jc w:val="center"/>
              <w:rPr>
                <w:sz w:val="22"/>
              </w:rPr>
            </w:pPr>
            <w:r>
              <w:rPr>
                <w:sz w:val="22"/>
              </w:rPr>
              <w:t>Type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1</w:t>
            </w:r>
          </w:p>
        </w:tc>
        <w:tc>
          <w:tcPr>
            <w:tcW w:w="2436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48" w:lineRule="exact"/>
              <w:ind w:left="108"/>
              <w:rPr>
                <w:sz w:val="22"/>
              </w:rPr>
            </w:pPr>
            <w:r>
              <w:rPr>
                <w:sz w:val="22"/>
              </w:rPr>
              <w:t>Perforated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steel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plate,</w:t>
            </w:r>
          </w:p>
          <w:p>
            <w:pPr>
              <w:pStyle w:val="TableParagraph"/>
              <w:spacing w:line="234" w:lineRule="exact"/>
              <w:ind w:left="108"/>
              <w:rPr>
                <w:sz w:val="22"/>
              </w:rPr>
            </w:pPr>
            <w:r>
              <w:rPr>
                <w:sz w:val="22"/>
              </w:rPr>
              <w:t>P900</w:t>
            </w:r>
          </w:p>
        </w:tc>
        <w:tc>
          <w:tcPr>
            <w:tcW w:w="1604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121"/>
              <w:ind w:left="106"/>
              <w:rPr>
                <w:sz w:val="22"/>
              </w:rPr>
            </w:pPr>
            <w:r>
              <w:rPr>
                <w:sz w:val="22"/>
              </w:rPr>
              <w:t>PM-1</w:t>
            </w:r>
          </w:p>
        </w:tc>
        <w:tc>
          <w:tcPr>
            <w:tcW w:w="1419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121"/>
              <w:ind w:left="516"/>
              <w:rPr>
                <w:sz w:val="22"/>
              </w:rPr>
            </w:pPr>
            <w:r>
              <w:rPr>
                <w:sz w:val="22"/>
              </w:rPr>
              <w:t>0.50</w:t>
            </w:r>
          </w:p>
        </w:tc>
        <w:tc>
          <w:tcPr>
            <w:tcW w:w="1268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121"/>
              <w:ind w:left="108"/>
              <w:rPr>
                <w:sz w:val="22"/>
              </w:rPr>
            </w:pPr>
            <w:r>
              <w:rPr>
                <w:sz w:val="22"/>
              </w:rPr>
              <w:t>7.2.2.1</w:t>
            </w:r>
          </w:p>
        </w:tc>
      </w:tr>
      <w:tr>
        <w:trPr>
          <w:trHeight w:val="299" w:hRule="atLeast"/>
        </w:trPr>
        <w:tc>
          <w:tcPr>
            <w:tcW w:w="1682" w:type="dxa"/>
          </w:tcPr>
          <w:p>
            <w:pPr>
              <w:pStyle w:val="TableParagraph"/>
              <w:spacing w:before="22"/>
              <w:ind w:left="154" w:right="144"/>
              <w:jc w:val="center"/>
              <w:rPr>
                <w:sz w:val="22"/>
              </w:rPr>
            </w:pPr>
            <w:r>
              <w:rPr>
                <w:sz w:val="22"/>
              </w:rPr>
              <w:t>Type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2</w:t>
            </w:r>
          </w:p>
        </w:tc>
        <w:tc>
          <w:tcPr>
            <w:tcW w:w="2436" w:type="dxa"/>
          </w:tcPr>
          <w:p>
            <w:pPr>
              <w:pStyle w:val="TableParagraph"/>
              <w:spacing w:line="234" w:lineRule="exact" w:before="45"/>
              <w:ind w:left="108"/>
              <w:rPr>
                <w:sz w:val="22"/>
              </w:rPr>
            </w:pPr>
            <w:r>
              <w:rPr>
                <w:sz w:val="22"/>
              </w:rPr>
              <w:t>Expanded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metal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plate</w:t>
            </w:r>
          </w:p>
        </w:tc>
        <w:tc>
          <w:tcPr>
            <w:tcW w:w="1604" w:type="dxa"/>
          </w:tcPr>
          <w:p>
            <w:pPr>
              <w:pStyle w:val="TableParagraph"/>
              <w:spacing w:before="22"/>
              <w:ind w:left="106"/>
              <w:rPr>
                <w:sz w:val="22"/>
              </w:rPr>
            </w:pPr>
            <w:r>
              <w:rPr>
                <w:sz w:val="22"/>
              </w:rPr>
              <w:t>PM-2</w:t>
            </w:r>
          </w:p>
        </w:tc>
        <w:tc>
          <w:tcPr>
            <w:tcW w:w="1419" w:type="dxa"/>
          </w:tcPr>
          <w:p>
            <w:pPr>
              <w:pStyle w:val="TableParagraph"/>
              <w:spacing w:before="22"/>
              <w:ind w:left="516"/>
              <w:rPr>
                <w:sz w:val="22"/>
              </w:rPr>
            </w:pPr>
            <w:r>
              <w:rPr>
                <w:sz w:val="22"/>
              </w:rPr>
              <w:t>0.50</w:t>
            </w:r>
          </w:p>
        </w:tc>
        <w:tc>
          <w:tcPr>
            <w:tcW w:w="1268" w:type="dxa"/>
          </w:tcPr>
          <w:p>
            <w:pPr>
              <w:pStyle w:val="TableParagraph"/>
              <w:spacing w:before="22"/>
              <w:ind w:left="109"/>
              <w:rPr>
                <w:sz w:val="22"/>
              </w:rPr>
            </w:pPr>
            <w:r>
              <w:rPr>
                <w:sz w:val="22"/>
              </w:rPr>
              <w:t>7.2.2.2</w:t>
            </w:r>
          </w:p>
        </w:tc>
      </w:tr>
      <w:tr>
        <w:trPr>
          <w:trHeight w:val="300" w:hRule="atLeast"/>
        </w:trPr>
        <w:tc>
          <w:tcPr>
            <w:tcW w:w="1682" w:type="dxa"/>
          </w:tcPr>
          <w:p>
            <w:pPr>
              <w:pStyle w:val="TableParagraph"/>
              <w:spacing w:before="22"/>
              <w:ind w:left="154" w:right="144"/>
              <w:jc w:val="center"/>
              <w:rPr>
                <w:sz w:val="22"/>
              </w:rPr>
            </w:pPr>
            <w:r>
              <w:rPr>
                <w:sz w:val="22"/>
              </w:rPr>
              <w:t>Type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3</w:t>
            </w:r>
          </w:p>
        </w:tc>
        <w:tc>
          <w:tcPr>
            <w:tcW w:w="2436" w:type="dxa"/>
          </w:tcPr>
          <w:p>
            <w:pPr>
              <w:pStyle w:val="TableParagraph"/>
              <w:spacing w:line="234" w:lineRule="exact" w:before="46"/>
              <w:ind w:left="108"/>
              <w:rPr>
                <w:sz w:val="22"/>
              </w:rPr>
            </w:pPr>
            <w:r>
              <w:rPr>
                <w:sz w:val="22"/>
              </w:rPr>
              <w:t>Aramid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epoxy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panel</w:t>
            </w:r>
          </w:p>
        </w:tc>
        <w:tc>
          <w:tcPr>
            <w:tcW w:w="1604" w:type="dxa"/>
          </w:tcPr>
          <w:p>
            <w:pPr>
              <w:pStyle w:val="TableParagraph"/>
              <w:spacing w:before="22"/>
              <w:ind w:left="106"/>
              <w:rPr>
                <w:sz w:val="22"/>
              </w:rPr>
            </w:pPr>
            <w:r>
              <w:rPr>
                <w:sz w:val="22"/>
              </w:rPr>
              <w:t>K-1,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K-2,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K-2</w:t>
            </w:r>
          </w:p>
        </w:tc>
        <w:tc>
          <w:tcPr>
            <w:tcW w:w="1419" w:type="dxa"/>
          </w:tcPr>
          <w:p>
            <w:pPr>
              <w:pStyle w:val="TableParagraph"/>
              <w:spacing w:before="22"/>
              <w:ind w:left="516"/>
              <w:rPr>
                <w:sz w:val="22"/>
              </w:rPr>
            </w:pPr>
            <w:r>
              <w:rPr>
                <w:sz w:val="22"/>
              </w:rPr>
              <w:t>0.56</w:t>
            </w:r>
          </w:p>
        </w:tc>
        <w:tc>
          <w:tcPr>
            <w:tcW w:w="1268" w:type="dxa"/>
          </w:tcPr>
          <w:p>
            <w:pPr>
              <w:pStyle w:val="TableParagraph"/>
              <w:spacing w:before="22"/>
              <w:ind w:left="109"/>
              <w:rPr>
                <w:sz w:val="22"/>
              </w:rPr>
            </w:pPr>
            <w:r>
              <w:rPr>
                <w:sz w:val="22"/>
              </w:rPr>
              <w:t>7.2.2.3</w:t>
            </w:r>
          </w:p>
        </w:tc>
      </w:tr>
      <w:tr>
        <w:trPr>
          <w:trHeight w:val="299" w:hRule="atLeast"/>
        </w:trPr>
        <w:tc>
          <w:tcPr>
            <w:tcW w:w="1682" w:type="dxa"/>
          </w:tcPr>
          <w:p>
            <w:pPr>
              <w:pStyle w:val="TableParagraph"/>
              <w:spacing w:before="21"/>
              <w:ind w:left="154" w:right="144"/>
              <w:jc w:val="center"/>
              <w:rPr>
                <w:sz w:val="22"/>
              </w:rPr>
            </w:pPr>
            <w:r>
              <w:rPr>
                <w:sz w:val="22"/>
              </w:rPr>
              <w:t>Type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4</w:t>
            </w:r>
          </w:p>
        </w:tc>
        <w:tc>
          <w:tcPr>
            <w:tcW w:w="2436" w:type="dxa"/>
          </w:tcPr>
          <w:p>
            <w:pPr>
              <w:pStyle w:val="TableParagraph"/>
              <w:spacing w:line="234" w:lineRule="exact" w:before="45"/>
              <w:ind w:left="108"/>
              <w:rPr>
                <w:sz w:val="22"/>
              </w:rPr>
            </w:pPr>
            <w:r>
              <w:rPr>
                <w:sz w:val="22"/>
              </w:rPr>
              <w:t>Mild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steel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plate</w:t>
            </w:r>
          </w:p>
        </w:tc>
        <w:tc>
          <w:tcPr>
            <w:tcW w:w="1604" w:type="dxa"/>
          </w:tcPr>
          <w:p>
            <w:pPr>
              <w:pStyle w:val="TableParagraph"/>
              <w:spacing w:before="21"/>
              <w:ind w:left="106"/>
              <w:rPr>
                <w:sz w:val="22"/>
              </w:rPr>
            </w:pPr>
            <w:r>
              <w:rPr>
                <w:sz w:val="22"/>
              </w:rPr>
              <w:t>MS-1,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MS-2</w:t>
            </w:r>
          </w:p>
        </w:tc>
        <w:tc>
          <w:tcPr>
            <w:tcW w:w="1419" w:type="dxa"/>
          </w:tcPr>
          <w:p>
            <w:pPr>
              <w:pStyle w:val="TableParagraph"/>
              <w:spacing w:before="21"/>
              <w:ind w:left="516"/>
              <w:rPr>
                <w:sz w:val="22"/>
              </w:rPr>
            </w:pPr>
            <w:r>
              <w:rPr>
                <w:sz w:val="22"/>
              </w:rPr>
              <w:t>0.25</w:t>
            </w:r>
          </w:p>
        </w:tc>
        <w:tc>
          <w:tcPr>
            <w:tcW w:w="1268" w:type="dxa"/>
          </w:tcPr>
          <w:p>
            <w:pPr>
              <w:pStyle w:val="TableParagraph"/>
              <w:spacing w:before="21"/>
              <w:ind w:left="109"/>
              <w:rPr>
                <w:sz w:val="22"/>
              </w:rPr>
            </w:pPr>
            <w:r>
              <w:rPr>
                <w:sz w:val="22"/>
              </w:rPr>
              <w:t>7.2.2.4</w:t>
            </w:r>
          </w:p>
        </w:tc>
      </w:tr>
      <w:tr>
        <w:trPr>
          <w:trHeight w:val="299" w:hRule="atLeast"/>
        </w:trPr>
        <w:tc>
          <w:tcPr>
            <w:tcW w:w="1682" w:type="dxa"/>
          </w:tcPr>
          <w:p>
            <w:pPr>
              <w:pStyle w:val="TableParagraph"/>
              <w:spacing w:before="22"/>
              <w:ind w:left="154" w:right="144"/>
              <w:jc w:val="center"/>
              <w:rPr>
                <w:sz w:val="22"/>
              </w:rPr>
            </w:pPr>
            <w:r>
              <w:rPr>
                <w:sz w:val="22"/>
              </w:rPr>
              <w:t>Type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5</w:t>
            </w:r>
          </w:p>
        </w:tc>
        <w:tc>
          <w:tcPr>
            <w:tcW w:w="2436" w:type="dxa"/>
          </w:tcPr>
          <w:p>
            <w:pPr>
              <w:pStyle w:val="TableParagraph"/>
              <w:spacing w:line="251" w:lineRule="exact"/>
              <w:ind w:left="108"/>
              <w:rPr>
                <w:sz w:val="22"/>
              </w:rPr>
            </w:pPr>
            <w:r>
              <w:rPr>
                <w:sz w:val="22"/>
              </w:rPr>
              <w:t>High-hard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steel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plate</w:t>
            </w:r>
          </w:p>
        </w:tc>
        <w:tc>
          <w:tcPr>
            <w:tcW w:w="1604" w:type="dxa"/>
          </w:tcPr>
          <w:p>
            <w:pPr>
              <w:pStyle w:val="TableParagraph"/>
              <w:spacing w:before="22"/>
              <w:ind w:left="106"/>
              <w:rPr>
                <w:sz w:val="22"/>
              </w:rPr>
            </w:pPr>
            <w:r>
              <w:rPr>
                <w:sz w:val="22"/>
              </w:rPr>
              <w:t>HHS-1,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HHS-2</w:t>
            </w:r>
          </w:p>
        </w:tc>
        <w:tc>
          <w:tcPr>
            <w:tcW w:w="1419" w:type="dxa"/>
          </w:tcPr>
          <w:p>
            <w:pPr>
              <w:pStyle w:val="TableParagraph"/>
              <w:spacing w:before="22"/>
              <w:ind w:left="516"/>
              <w:rPr>
                <w:sz w:val="22"/>
              </w:rPr>
            </w:pPr>
            <w:r>
              <w:rPr>
                <w:sz w:val="22"/>
              </w:rPr>
              <w:t>0.25</w:t>
            </w:r>
          </w:p>
        </w:tc>
        <w:tc>
          <w:tcPr>
            <w:tcW w:w="1268" w:type="dxa"/>
          </w:tcPr>
          <w:p>
            <w:pPr>
              <w:pStyle w:val="TableParagraph"/>
              <w:spacing w:before="22"/>
              <w:ind w:left="109"/>
              <w:rPr>
                <w:sz w:val="22"/>
              </w:rPr>
            </w:pPr>
            <w:r>
              <w:rPr>
                <w:sz w:val="22"/>
              </w:rPr>
              <w:t>7.2.2.5</w:t>
            </w:r>
          </w:p>
        </w:tc>
      </w:tr>
      <w:tr>
        <w:trPr>
          <w:trHeight w:val="759" w:hRule="atLeast"/>
        </w:trPr>
        <w:tc>
          <w:tcPr>
            <w:tcW w:w="1682" w:type="dxa"/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ind w:left="154" w:right="144"/>
              <w:jc w:val="center"/>
              <w:rPr>
                <w:sz w:val="22"/>
              </w:rPr>
            </w:pPr>
            <w:r>
              <w:rPr>
                <w:sz w:val="22"/>
              </w:rPr>
              <w:t>Type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6</w:t>
            </w:r>
          </w:p>
        </w:tc>
        <w:tc>
          <w:tcPr>
            <w:tcW w:w="2436" w:type="dxa"/>
          </w:tcPr>
          <w:p>
            <w:pPr>
              <w:pStyle w:val="TableParagraph"/>
              <w:spacing w:line="254" w:lineRule="exact"/>
              <w:ind w:left="108"/>
              <w:rPr>
                <w:sz w:val="22"/>
              </w:rPr>
            </w:pPr>
            <w:r>
              <w:rPr>
                <w:spacing w:val="-1"/>
                <w:sz w:val="22"/>
              </w:rPr>
              <w:t>Ultra-high-molecular-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weight polyethylene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(UHMWPE)</w:t>
            </w:r>
          </w:p>
        </w:tc>
        <w:tc>
          <w:tcPr>
            <w:tcW w:w="1604" w:type="dxa"/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ind w:left="106"/>
              <w:rPr>
                <w:sz w:val="22"/>
              </w:rPr>
            </w:pPr>
            <w:r>
              <w:rPr>
                <w:sz w:val="22"/>
              </w:rPr>
              <w:t>D-1</w:t>
            </w:r>
          </w:p>
        </w:tc>
        <w:tc>
          <w:tcPr>
            <w:tcW w:w="1419" w:type="dxa"/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ind w:left="516"/>
              <w:rPr>
                <w:sz w:val="22"/>
              </w:rPr>
            </w:pPr>
            <w:r>
              <w:rPr>
                <w:sz w:val="22"/>
              </w:rPr>
              <w:t>1.00</w:t>
            </w:r>
          </w:p>
        </w:tc>
        <w:tc>
          <w:tcPr>
            <w:tcW w:w="1268" w:type="dxa"/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ind w:left="108"/>
              <w:rPr>
                <w:sz w:val="22"/>
              </w:rPr>
            </w:pPr>
            <w:r>
              <w:rPr>
                <w:sz w:val="22"/>
              </w:rPr>
              <w:t>7.2.2.6</w:t>
            </w:r>
          </w:p>
        </w:tc>
      </w:tr>
      <w:tr>
        <w:trPr>
          <w:trHeight w:val="596" w:hRule="atLeast"/>
        </w:trPr>
        <w:tc>
          <w:tcPr>
            <w:tcW w:w="1682" w:type="dxa"/>
          </w:tcPr>
          <w:p>
            <w:pPr>
              <w:pStyle w:val="TableParagraph"/>
              <w:spacing w:before="169"/>
              <w:ind w:left="154" w:right="144"/>
              <w:jc w:val="center"/>
              <w:rPr>
                <w:sz w:val="22"/>
              </w:rPr>
            </w:pPr>
            <w:r>
              <w:rPr>
                <w:sz w:val="22"/>
              </w:rPr>
              <w:t>Type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7</w:t>
            </w:r>
          </w:p>
        </w:tc>
        <w:tc>
          <w:tcPr>
            <w:tcW w:w="2436" w:type="dxa"/>
          </w:tcPr>
          <w:p>
            <w:pPr>
              <w:pStyle w:val="TableParagraph"/>
              <w:ind w:left="108" w:right="196" w:firstLine="55"/>
              <w:rPr>
                <w:sz w:val="22"/>
              </w:rPr>
            </w:pPr>
            <w:r>
              <w:rPr>
                <w:sz w:val="22"/>
              </w:rPr>
              <w:t>Fiberglass fabric, 4-ply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consolidated</w:t>
            </w:r>
          </w:p>
        </w:tc>
        <w:tc>
          <w:tcPr>
            <w:tcW w:w="1604" w:type="dxa"/>
          </w:tcPr>
          <w:p>
            <w:pPr>
              <w:pStyle w:val="TableParagraph"/>
              <w:spacing w:before="169"/>
              <w:ind w:left="106"/>
              <w:rPr>
                <w:sz w:val="22"/>
              </w:rPr>
            </w:pPr>
            <w:r>
              <w:rPr>
                <w:sz w:val="22"/>
              </w:rPr>
              <w:t>FF-4-1,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FF-4-2</w:t>
            </w:r>
          </w:p>
        </w:tc>
        <w:tc>
          <w:tcPr>
            <w:tcW w:w="1419" w:type="dxa"/>
          </w:tcPr>
          <w:p>
            <w:pPr>
              <w:pStyle w:val="TableParagraph"/>
              <w:spacing w:before="169"/>
              <w:ind w:left="516"/>
              <w:rPr>
                <w:sz w:val="22"/>
              </w:rPr>
            </w:pPr>
            <w:r>
              <w:rPr>
                <w:sz w:val="22"/>
              </w:rPr>
              <w:t>0.12</w:t>
            </w:r>
          </w:p>
        </w:tc>
        <w:tc>
          <w:tcPr>
            <w:tcW w:w="1268" w:type="dxa"/>
          </w:tcPr>
          <w:p>
            <w:pPr>
              <w:pStyle w:val="TableParagraph"/>
              <w:spacing w:before="169"/>
              <w:ind w:left="109"/>
              <w:rPr>
                <w:sz w:val="22"/>
              </w:rPr>
            </w:pPr>
            <w:r>
              <w:rPr>
                <w:sz w:val="22"/>
              </w:rPr>
              <w:t>7.2.2.7</w:t>
            </w:r>
          </w:p>
        </w:tc>
      </w:tr>
      <w:tr>
        <w:trPr>
          <w:trHeight w:val="600" w:hRule="atLeast"/>
        </w:trPr>
        <w:tc>
          <w:tcPr>
            <w:tcW w:w="1682" w:type="dxa"/>
          </w:tcPr>
          <w:p>
            <w:pPr>
              <w:pStyle w:val="TableParagraph"/>
              <w:spacing w:before="172"/>
              <w:ind w:left="154" w:right="144"/>
              <w:jc w:val="center"/>
              <w:rPr>
                <w:sz w:val="22"/>
              </w:rPr>
            </w:pPr>
            <w:r>
              <w:rPr>
                <w:sz w:val="22"/>
              </w:rPr>
              <w:t>Type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8</w:t>
            </w:r>
          </w:p>
        </w:tc>
        <w:tc>
          <w:tcPr>
            <w:tcW w:w="2436" w:type="dxa"/>
          </w:tcPr>
          <w:p>
            <w:pPr>
              <w:pStyle w:val="TableParagraph"/>
              <w:ind w:left="108" w:right="770"/>
              <w:rPr>
                <w:sz w:val="22"/>
              </w:rPr>
            </w:pPr>
            <w:r>
              <w:rPr>
                <w:sz w:val="22"/>
              </w:rPr>
              <w:t>Fiberglass fabric,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separated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4-plies</w:t>
            </w:r>
          </w:p>
        </w:tc>
        <w:tc>
          <w:tcPr>
            <w:tcW w:w="1604" w:type="dxa"/>
          </w:tcPr>
          <w:p>
            <w:pPr>
              <w:pStyle w:val="TableParagraph"/>
              <w:spacing w:before="172"/>
              <w:ind w:left="106"/>
              <w:rPr>
                <w:sz w:val="22"/>
              </w:rPr>
            </w:pPr>
            <w:r>
              <w:rPr>
                <w:sz w:val="22"/>
              </w:rPr>
              <w:t>FF-1-1,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FF-1-2</w:t>
            </w:r>
          </w:p>
        </w:tc>
        <w:tc>
          <w:tcPr>
            <w:tcW w:w="1419" w:type="dxa"/>
          </w:tcPr>
          <w:p>
            <w:pPr>
              <w:pStyle w:val="TableParagraph"/>
              <w:spacing w:before="172"/>
              <w:ind w:left="516"/>
              <w:rPr>
                <w:sz w:val="22"/>
              </w:rPr>
            </w:pPr>
            <w:r>
              <w:rPr>
                <w:sz w:val="22"/>
              </w:rPr>
              <w:t>0.12</w:t>
            </w:r>
          </w:p>
        </w:tc>
        <w:tc>
          <w:tcPr>
            <w:tcW w:w="1268" w:type="dxa"/>
          </w:tcPr>
          <w:p>
            <w:pPr>
              <w:pStyle w:val="TableParagraph"/>
              <w:spacing w:before="172"/>
              <w:ind w:left="109"/>
              <w:rPr>
                <w:sz w:val="22"/>
              </w:rPr>
            </w:pPr>
            <w:r>
              <w:rPr>
                <w:sz w:val="22"/>
              </w:rPr>
              <w:t>7.2.2.7</w:t>
            </w:r>
          </w:p>
        </w:tc>
      </w:tr>
      <w:tr>
        <w:trPr>
          <w:trHeight w:val="599" w:hRule="atLeast"/>
        </w:trPr>
        <w:tc>
          <w:tcPr>
            <w:tcW w:w="8409" w:type="dxa"/>
            <w:gridSpan w:val="5"/>
          </w:tcPr>
          <w:p>
            <w:pPr>
              <w:pStyle w:val="TableParagraph"/>
              <w:ind w:left="107" w:right="367"/>
              <w:rPr>
                <w:sz w:val="22"/>
              </w:rPr>
            </w:pPr>
            <w:r>
              <w:rPr>
                <w:sz w:val="22"/>
              </w:rPr>
              <w:t>*Several of the materials were donated by the Army Research Laboratory, at their request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manufacturer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information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not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disclosed due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proprietary concerns.</w:t>
            </w:r>
          </w:p>
        </w:tc>
      </w:tr>
    </w:tbl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9"/>
        <w:rPr>
          <w:i/>
          <w:sz w:val="31"/>
        </w:rPr>
      </w:pPr>
    </w:p>
    <w:p>
      <w:pPr>
        <w:pStyle w:val="BodyText"/>
        <w:spacing w:line="480" w:lineRule="auto"/>
        <w:ind w:left="440" w:right="417"/>
        <w:jc w:val="both"/>
      </w:pPr>
      <w:r>
        <w:rPr/>
        <w:t>The supplemental layer was selected with the intent of improving ballistic resistance</w:t>
      </w:r>
      <w:r>
        <w:rPr>
          <w:spacing w:val="1"/>
        </w:rPr>
        <w:t> </w:t>
      </w:r>
      <w:r>
        <w:rPr/>
        <w:t>through</w:t>
      </w:r>
      <w:r>
        <w:rPr>
          <w:spacing w:val="14"/>
        </w:rPr>
        <w:t> </w:t>
      </w:r>
      <w:r>
        <w:rPr/>
        <w:t>one</w:t>
      </w:r>
      <w:r>
        <w:rPr>
          <w:spacing w:val="14"/>
        </w:rPr>
        <w:t> </w:t>
      </w:r>
      <w:r>
        <w:rPr/>
        <w:t>of</w:t>
      </w:r>
      <w:r>
        <w:rPr>
          <w:spacing w:val="14"/>
        </w:rPr>
        <w:t> </w:t>
      </w:r>
      <w:r>
        <w:rPr/>
        <w:t>two</w:t>
      </w:r>
      <w:r>
        <w:rPr>
          <w:spacing w:val="15"/>
        </w:rPr>
        <w:t> </w:t>
      </w:r>
      <w:r>
        <w:rPr/>
        <w:t>methods.</w:t>
      </w:r>
      <w:r>
        <w:rPr>
          <w:spacing w:val="32"/>
        </w:rPr>
        <w:t> </w:t>
      </w:r>
      <w:r>
        <w:rPr/>
        <w:t>In</w:t>
      </w:r>
      <w:r>
        <w:rPr>
          <w:spacing w:val="14"/>
        </w:rPr>
        <w:t> </w:t>
      </w:r>
      <w:r>
        <w:rPr/>
        <w:t>the</w:t>
      </w:r>
      <w:r>
        <w:rPr>
          <w:spacing w:val="15"/>
        </w:rPr>
        <w:t> </w:t>
      </w:r>
      <w:r>
        <w:rPr/>
        <w:t>first</w:t>
      </w:r>
      <w:r>
        <w:rPr>
          <w:spacing w:val="15"/>
        </w:rPr>
        <w:t> </w:t>
      </w:r>
      <w:r>
        <w:rPr/>
        <w:t>method,</w:t>
      </w:r>
      <w:r>
        <w:rPr>
          <w:spacing w:val="15"/>
        </w:rPr>
        <w:t> </w:t>
      </w:r>
      <w:r>
        <w:rPr/>
        <w:t>some</w:t>
      </w:r>
      <w:r>
        <w:rPr>
          <w:spacing w:val="16"/>
        </w:rPr>
        <w:t> </w:t>
      </w:r>
      <w:r>
        <w:rPr/>
        <w:t>materials</w:t>
      </w:r>
      <w:r>
        <w:rPr>
          <w:spacing w:val="16"/>
        </w:rPr>
        <w:t> </w:t>
      </w:r>
      <w:r>
        <w:rPr/>
        <w:t>were</w:t>
      </w:r>
      <w:r>
        <w:rPr>
          <w:spacing w:val="16"/>
        </w:rPr>
        <w:t> </w:t>
      </w:r>
      <w:r>
        <w:rPr/>
        <w:t>selected</w:t>
      </w:r>
      <w:r>
        <w:rPr>
          <w:spacing w:val="14"/>
        </w:rPr>
        <w:t> </w:t>
      </w:r>
      <w:r>
        <w:rPr/>
        <w:t>because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39" w:right="417"/>
        <w:jc w:val="both"/>
      </w:pPr>
      <w:r>
        <w:rPr/>
        <w:t>they</w:t>
      </w:r>
      <w:r>
        <w:rPr>
          <w:spacing w:val="1"/>
        </w:rPr>
        <w:t> </w:t>
      </w:r>
      <w:r>
        <w:rPr/>
        <w:t>had</w:t>
      </w:r>
      <w:r>
        <w:rPr>
          <w:spacing w:val="1"/>
        </w:rPr>
        <w:t> </w:t>
      </w:r>
      <w:r>
        <w:rPr/>
        <w:t>strengths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hardness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would</w:t>
      </w:r>
      <w:r>
        <w:rPr>
          <w:spacing w:val="1"/>
        </w:rPr>
        <w:t> </w:t>
      </w:r>
      <w:r>
        <w:rPr/>
        <w:t>overmatch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projectile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prevent</w:t>
      </w:r>
      <w:r>
        <w:rPr>
          <w:spacing w:val="-57"/>
        </w:rPr>
        <w:t> </w:t>
      </w:r>
      <w:r>
        <w:rPr/>
        <w:t>perforation</w:t>
      </w:r>
      <w:r>
        <w:rPr>
          <w:spacing w:val="-12"/>
        </w:rPr>
        <w:t> </w:t>
      </w:r>
      <w:r>
        <w:rPr/>
        <w:t>or</w:t>
      </w:r>
      <w:r>
        <w:rPr>
          <w:spacing w:val="-12"/>
        </w:rPr>
        <w:t> </w:t>
      </w:r>
      <w:r>
        <w:rPr/>
        <w:t>slow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projectile</w:t>
      </w:r>
      <w:r>
        <w:rPr>
          <w:spacing w:val="-11"/>
        </w:rPr>
        <w:t> </w:t>
      </w:r>
      <w:r>
        <w:rPr/>
        <w:t>down</w:t>
      </w:r>
      <w:r>
        <w:rPr>
          <w:spacing w:val="-12"/>
        </w:rPr>
        <w:t> </w:t>
      </w:r>
      <w:r>
        <w:rPr/>
        <w:t>so</w:t>
      </w:r>
      <w:r>
        <w:rPr>
          <w:spacing w:val="-11"/>
        </w:rPr>
        <w:t> </w:t>
      </w:r>
      <w:r>
        <w:rPr/>
        <w:t>much</w:t>
      </w:r>
      <w:r>
        <w:rPr>
          <w:spacing w:val="-11"/>
        </w:rPr>
        <w:t> </w:t>
      </w:r>
      <w:r>
        <w:rPr/>
        <w:t>that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remaining</w:t>
      </w:r>
      <w:r>
        <w:rPr>
          <w:spacing w:val="-12"/>
        </w:rPr>
        <w:t> </w:t>
      </w:r>
      <w:r>
        <w:rPr/>
        <w:t>wood</w:t>
      </w:r>
      <w:r>
        <w:rPr>
          <w:spacing w:val="-12"/>
        </w:rPr>
        <w:t> </w:t>
      </w:r>
      <w:r>
        <w:rPr/>
        <w:t>layers</w:t>
      </w:r>
      <w:r>
        <w:rPr>
          <w:spacing w:val="-12"/>
        </w:rPr>
        <w:t> </w:t>
      </w:r>
      <w:r>
        <w:rPr/>
        <w:t>would</w:t>
      </w:r>
      <w:r>
        <w:rPr>
          <w:spacing w:val="-11"/>
        </w:rPr>
        <w:t> </w:t>
      </w:r>
      <w:r>
        <w:rPr/>
        <w:t>then</w:t>
      </w:r>
      <w:r>
        <w:rPr>
          <w:spacing w:val="-58"/>
        </w:rPr>
        <w:t> </w:t>
      </w:r>
      <w:r>
        <w:rPr/>
        <w:t>not be perforated.</w:t>
      </w:r>
      <w:r>
        <w:rPr>
          <w:spacing w:val="60"/>
        </w:rPr>
        <w:t> </w:t>
      </w:r>
      <w:r>
        <w:rPr/>
        <w:t>The other method selected materials on the basis that they could act as</w:t>
      </w:r>
      <w:r>
        <w:rPr>
          <w:spacing w:val="1"/>
        </w:rPr>
        <w:t> </w:t>
      </w:r>
      <w:r>
        <w:rPr/>
        <w:t>a “net” within the composite, deforming and perforating and also providing significant</w:t>
      </w:r>
      <w:r>
        <w:rPr>
          <w:spacing w:val="1"/>
        </w:rPr>
        <w:t> </w:t>
      </w:r>
      <w:r>
        <w:rPr/>
        <w:t>energy loss to the projectile by dissipating its energy over a larger area and thus reducing</w:t>
      </w:r>
      <w:r>
        <w:rPr>
          <w:spacing w:val="1"/>
        </w:rPr>
        <w:t> </w:t>
      </w:r>
      <w:r>
        <w:rPr/>
        <w:t>its ability to penetrate.</w:t>
      </w:r>
      <w:r>
        <w:rPr>
          <w:spacing w:val="1"/>
        </w:rPr>
        <w:t> </w:t>
      </w:r>
      <w:r>
        <w:rPr/>
        <w:t>The materials selected for an enhancing layer in the ECLT</w:t>
      </w:r>
      <w:r>
        <w:rPr>
          <w:spacing w:val="1"/>
        </w:rPr>
        <w:t> </w:t>
      </w:r>
      <w:r>
        <w:rPr/>
        <w:t>specimens include the following: perforated steel plate; expanded metal plate; an aramid</w:t>
      </w:r>
      <w:r>
        <w:rPr>
          <w:spacing w:val="1"/>
        </w:rPr>
        <w:t> </w:t>
      </w:r>
      <w:r>
        <w:rPr/>
        <w:t>epoxy matrix panel; a 0.25-inch thick mild steel plate; a 0.25-inch thick high hard steel</w:t>
      </w:r>
      <w:r>
        <w:rPr>
          <w:spacing w:val="1"/>
        </w:rPr>
        <w:t> </w:t>
      </w:r>
      <w:r>
        <w:rPr/>
        <w:t>plate,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ultra-high-molecular-weight</w:t>
      </w:r>
      <w:r>
        <w:rPr>
          <w:spacing w:val="1"/>
        </w:rPr>
        <w:t> </w:t>
      </w:r>
      <w:r>
        <w:rPr/>
        <w:t>polyethylene</w:t>
      </w:r>
      <w:r>
        <w:rPr>
          <w:spacing w:val="1"/>
        </w:rPr>
        <w:t> </w:t>
      </w:r>
      <w:r>
        <w:rPr/>
        <w:t>(UHMWPE)</w:t>
      </w:r>
      <w:r>
        <w:rPr>
          <w:spacing w:val="1"/>
        </w:rPr>
        <w:t> </w:t>
      </w:r>
      <w:r>
        <w:rPr/>
        <w:t>panel,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two</w:t>
      </w:r>
      <w:r>
        <w:rPr>
          <w:spacing w:val="1"/>
        </w:rPr>
        <w:t> </w:t>
      </w:r>
      <w:r>
        <w:rPr/>
        <w:t>configurations</w:t>
      </w:r>
      <w:r>
        <w:rPr>
          <w:spacing w:val="-12"/>
        </w:rPr>
        <w:t> </w:t>
      </w:r>
      <w:r>
        <w:rPr/>
        <w:t>of</w:t>
      </w:r>
      <w:r>
        <w:rPr>
          <w:spacing w:val="-13"/>
        </w:rPr>
        <w:t> </w:t>
      </w:r>
      <w:r>
        <w:rPr/>
        <w:t>a</w:t>
      </w:r>
      <w:r>
        <w:rPr>
          <w:spacing w:val="-11"/>
        </w:rPr>
        <w:t> </w:t>
      </w:r>
      <w:r>
        <w:rPr/>
        <w:t>fiberglass</w:t>
      </w:r>
      <w:r>
        <w:rPr>
          <w:spacing w:val="-12"/>
        </w:rPr>
        <w:t> </w:t>
      </w:r>
      <w:r>
        <w:rPr/>
        <w:t>fabric</w:t>
      </w:r>
      <w:r>
        <w:rPr>
          <w:spacing w:val="-13"/>
        </w:rPr>
        <w:t> </w:t>
      </w:r>
      <w:r>
        <w:rPr/>
        <w:t>woven</w:t>
      </w:r>
      <w:r>
        <w:rPr>
          <w:spacing w:val="-11"/>
        </w:rPr>
        <w:t> </w:t>
      </w:r>
      <w:r>
        <w:rPr/>
        <w:t>roving.</w:t>
      </w:r>
      <w:r>
        <w:rPr>
          <w:spacing w:val="37"/>
        </w:rPr>
        <w:t> </w:t>
      </w:r>
      <w:r>
        <w:rPr/>
        <w:t>For</w:t>
      </w:r>
      <w:r>
        <w:rPr>
          <w:spacing w:val="-12"/>
        </w:rPr>
        <w:t> </w:t>
      </w:r>
      <w:r>
        <w:rPr/>
        <w:t>one</w:t>
      </w:r>
      <w:r>
        <w:rPr>
          <w:spacing w:val="-12"/>
        </w:rPr>
        <w:t> </w:t>
      </w:r>
      <w:r>
        <w:rPr/>
        <w:t>fiberglass</w:t>
      </w:r>
      <w:r>
        <w:rPr>
          <w:spacing w:val="-11"/>
        </w:rPr>
        <w:t> </w:t>
      </w:r>
      <w:r>
        <w:rPr/>
        <w:t>fabric</w:t>
      </w:r>
      <w:r>
        <w:rPr>
          <w:spacing w:val="-12"/>
        </w:rPr>
        <w:t> </w:t>
      </w:r>
      <w:r>
        <w:rPr/>
        <w:t>configuration,</w:t>
      </w:r>
      <w:r>
        <w:rPr>
          <w:spacing w:val="-57"/>
        </w:rPr>
        <w:t> </w:t>
      </w:r>
      <w:r>
        <w:rPr/>
        <w:t>there were 4-plies of the fabric co-located for a thicker fabric layer between the 2- and 3-</w:t>
      </w:r>
      <w:r>
        <w:rPr>
          <w:spacing w:val="1"/>
        </w:rPr>
        <w:t> </w:t>
      </w:r>
      <w:r>
        <w:rPr/>
        <w:t>ply CLT sections.</w:t>
      </w:r>
      <w:r>
        <w:rPr>
          <w:spacing w:val="1"/>
        </w:rPr>
        <w:t> </w:t>
      </w:r>
      <w:r>
        <w:rPr/>
        <w:t>For the second arrangement, a single ply of fabric was placed between</w:t>
      </w:r>
      <w:r>
        <w:rPr>
          <w:spacing w:val="-57"/>
        </w:rPr>
        <w:t> </w:t>
      </w:r>
      <w:r>
        <w:rPr/>
        <w:t>two cross-wise oriented wood layers, creating four total single-ply layers spaced evenly</w:t>
      </w:r>
      <w:r>
        <w:rPr>
          <w:spacing w:val="1"/>
        </w:rPr>
        <w:t> </w:t>
      </w:r>
      <w:r>
        <w:rPr/>
        <w:t>between</w:t>
      </w:r>
      <w:r>
        <w:rPr>
          <w:spacing w:val="-1"/>
        </w:rPr>
        <w:t> </w:t>
      </w:r>
      <w:r>
        <w:rPr/>
        <w:t>each of</w:t>
      </w:r>
      <w:r>
        <w:rPr>
          <w:spacing w:val="-1"/>
        </w:rPr>
        <w:t> </w:t>
      </w:r>
      <w:r>
        <w:rPr/>
        <w:t>the wood layers.</w:t>
      </w:r>
    </w:p>
    <w:p>
      <w:pPr>
        <w:pStyle w:val="ListParagraph"/>
        <w:numPr>
          <w:ilvl w:val="2"/>
          <w:numId w:val="24"/>
        </w:numPr>
        <w:tabs>
          <w:tab w:pos="980" w:val="left" w:leader="none"/>
        </w:tabs>
        <w:spacing w:line="240" w:lineRule="auto" w:before="161" w:after="0"/>
        <w:ind w:left="980" w:right="0" w:hanging="541"/>
        <w:jc w:val="both"/>
        <w:rPr>
          <w:i/>
          <w:sz w:val="24"/>
        </w:rPr>
      </w:pPr>
      <w:bookmarkStart w:name="7.2.2 Production of ECLT" w:id="404"/>
      <w:bookmarkEnd w:id="404"/>
      <w:r>
        <w:rPr/>
      </w:r>
      <w:bookmarkStart w:name="7.2.2 Production of ECLT" w:id="405"/>
      <w:bookmarkEnd w:id="405"/>
      <w:r>
        <w:rPr>
          <w:i/>
          <w:sz w:val="24"/>
        </w:rPr>
        <w:t>P</w:t>
      </w:r>
      <w:r>
        <w:rPr>
          <w:i/>
          <w:sz w:val="24"/>
        </w:rPr>
        <w:t>roduction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ECLT</w:t>
      </w:r>
    </w:p>
    <w:p>
      <w:pPr>
        <w:pStyle w:val="BodyText"/>
        <w:spacing w:before="7"/>
        <w:rPr>
          <w:i/>
          <w:sz w:val="22"/>
        </w:rPr>
      </w:pPr>
    </w:p>
    <w:p>
      <w:pPr>
        <w:pStyle w:val="BodyText"/>
        <w:spacing w:line="480" w:lineRule="auto" w:before="1"/>
        <w:ind w:left="439" w:right="417" w:firstLine="720"/>
        <w:jc w:val="both"/>
      </w:pPr>
      <w:r>
        <w:rPr/>
        <w:t>The CLT base of the ECLT specimens was a 5-ply Southern Yellow Pine (SYP)</w:t>
      </w:r>
      <w:r>
        <w:rPr>
          <w:spacing w:val="1"/>
        </w:rPr>
        <w:t> </w:t>
      </w:r>
      <w:r>
        <w:rPr/>
        <w:t>CLT specimen sized 12-inches high by 12-inches wide. For most of the enhancing layers,</w:t>
      </w:r>
      <w:r>
        <w:rPr>
          <w:spacing w:val="-57"/>
        </w:rPr>
        <w:t> </w:t>
      </w:r>
      <w:r>
        <w:rPr/>
        <w:t>the non-wood material was sandwiched between 2-ply and 3-ply sections.</w:t>
      </w:r>
      <w:r>
        <w:rPr>
          <w:spacing w:val="1"/>
        </w:rPr>
        <w:t> </w:t>
      </w:r>
      <w:r>
        <w:rPr/>
        <w:t>The specimen</w:t>
      </w:r>
      <w:r>
        <w:rPr>
          <w:spacing w:val="1"/>
        </w:rPr>
        <w:t> </w:t>
      </w:r>
      <w:r>
        <w:rPr/>
        <w:t>was oriented so the 2-ply section was the first in contact with the projectile.</w:t>
      </w:r>
      <w:r>
        <w:rPr>
          <w:spacing w:val="1"/>
        </w:rPr>
        <w:t> </w:t>
      </w:r>
      <w:r>
        <w:rPr/>
        <w:t>The intent</w:t>
      </w:r>
      <w:r>
        <w:rPr>
          <w:spacing w:val="1"/>
        </w:rPr>
        <w:t> </w:t>
      </w:r>
      <w:r>
        <w:rPr/>
        <w:t>with sandwiching the enhancing layer at that location was to place the enhanced layer as</w:t>
      </w:r>
      <w:r>
        <w:rPr>
          <w:spacing w:val="1"/>
        </w:rPr>
        <w:t> </w:t>
      </w:r>
      <w:r>
        <w:rPr/>
        <w:t>close</w:t>
      </w:r>
      <w:r>
        <w:rPr>
          <w:spacing w:val="-12"/>
        </w:rPr>
        <w:t> </w:t>
      </w:r>
      <w:r>
        <w:rPr/>
        <w:t>to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center</w:t>
      </w:r>
      <w:r>
        <w:rPr>
          <w:spacing w:val="-11"/>
        </w:rPr>
        <w:t> </w:t>
      </w:r>
      <w:r>
        <w:rPr/>
        <w:t>of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panel</w:t>
      </w:r>
      <w:r>
        <w:rPr>
          <w:spacing w:val="-12"/>
        </w:rPr>
        <w:t> </w:t>
      </w:r>
      <w:r>
        <w:rPr/>
        <w:t>as</w:t>
      </w:r>
      <w:r>
        <w:rPr>
          <w:spacing w:val="-11"/>
        </w:rPr>
        <w:t> </w:t>
      </w:r>
      <w:r>
        <w:rPr/>
        <w:t>position</w:t>
      </w:r>
      <w:r>
        <w:rPr>
          <w:spacing w:val="-12"/>
        </w:rPr>
        <w:t> </w:t>
      </w:r>
      <w:r>
        <w:rPr/>
        <w:t>to</w:t>
      </w:r>
      <w:r>
        <w:rPr>
          <w:spacing w:val="-12"/>
        </w:rPr>
        <w:t> </w:t>
      </w:r>
      <w:r>
        <w:rPr/>
        <w:t>reduce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impact</w:t>
      </w:r>
      <w:r>
        <w:rPr>
          <w:spacing w:val="-12"/>
        </w:rPr>
        <w:t> </w:t>
      </w:r>
      <w:r>
        <w:rPr/>
        <w:t>on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CLT</w:t>
      </w:r>
      <w:r>
        <w:rPr>
          <w:spacing w:val="-11"/>
        </w:rPr>
        <w:t> </w:t>
      </w:r>
      <w:r>
        <w:rPr/>
        <w:t>specimens</w:t>
      </w:r>
      <w:r>
        <w:rPr>
          <w:spacing w:val="-11"/>
        </w:rPr>
        <w:t> </w:t>
      </w:r>
      <w:r>
        <w:rPr/>
        <w:t>other</w:t>
      </w:r>
      <w:r>
        <w:rPr>
          <w:spacing w:val="-58"/>
        </w:rPr>
        <w:t> </w:t>
      </w:r>
      <w:r>
        <w:rPr/>
        <w:t>characteristics such as strength and stiffness.</w:t>
      </w:r>
      <w:r>
        <w:rPr>
          <w:spacing w:val="1"/>
        </w:rPr>
        <w:t> </w:t>
      </w:r>
      <w:r>
        <w:rPr/>
        <w:t>Future testing could examine different</w:t>
      </w:r>
      <w:r>
        <w:rPr>
          <w:spacing w:val="1"/>
        </w:rPr>
        <w:t> </w:t>
      </w:r>
      <w:r>
        <w:rPr/>
        <w:t>locations</w:t>
      </w:r>
      <w:r>
        <w:rPr>
          <w:spacing w:val="-11"/>
        </w:rPr>
        <w:t> </w:t>
      </w:r>
      <w:r>
        <w:rPr/>
        <w:t>for</w:t>
      </w:r>
      <w:r>
        <w:rPr>
          <w:spacing w:val="-11"/>
        </w:rPr>
        <w:t> </w:t>
      </w:r>
      <w:r>
        <w:rPr/>
        <w:t>optimal</w:t>
      </w:r>
      <w:r>
        <w:rPr>
          <w:spacing w:val="-10"/>
        </w:rPr>
        <w:t> </w:t>
      </w:r>
      <w:r>
        <w:rPr/>
        <w:t>location</w:t>
      </w:r>
      <w:r>
        <w:rPr>
          <w:spacing w:val="-10"/>
        </w:rPr>
        <w:t> </w:t>
      </w:r>
      <w:r>
        <w:rPr/>
        <w:t>based</w:t>
      </w:r>
      <w:r>
        <w:rPr>
          <w:spacing w:val="-11"/>
        </w:rPr>
        <w:t> </w:t>
      </w:r>
      <w:r>
        <w:rPr/>
        <w:t>on</w:t>
      </w:r>
      <w:r>
        <w:rPr>
          <w:spacing w:val="-11"/>
        </w:rPr>
        <w:t> </w:t>
      </w:r>
      <w:r>
        <w:rPr/>
        <w:t>the</w:t>
      </w:r>
      <w:r>
        <w:rPr>
          <w:spacing w:val="-10"/>
        </w:rPr>
        <w:t> </w:t>
      </w:r>
      <w:r>
        <w:rPr/>
        <w:t>CLT</w:t>
      </w:r>
      <w:r>
        <w:rPr>
          <w:spacing w:val="-11"/>
        </w:rPr>
        <w:t> </w:t>
      </w:r>
      <w:r>
        <w:rPr/>
        <w:t>and</w:t>
      </w:r>
      <w:r>
        <w:rPr>
          <w:spacing w:val="-11"/>
        </w:rPr>
        <w:t> </w:t>
      </w:r>
      <w:r>
        <w:rPr/>
        <w:t>enhancing</w:t>
      </w:r>
      <w:r>
        <w:rPr>
          <w:spacing w:val="-10"/>
        </w:rPr>
        <w:t> </w:t>
      </w:r>
      <w:r>
        <w:rPr/>
        <w:t>material</w:t>
      </w:r>
      <w:r>
        <w:rPr>
          <w:spacing w:val="-12"/>
        </w:rPr>
        <w:t> </w:t>
      </w:r>
      <w:r>
        <w:rPr/>
        <w:t>characteristics</w:t>
      </w:r>
      <w:r>
        <w:rPr>
          <w:spacing w:val="-10"/>
        </w:rPr>
        <w:t> </w:t>
      </w:r>
      <w:r>
        <w:rPr/>
        <w:t>and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39" w:right="418"/>
        <w:jc w:val="both"/>
      </w:pPr>
      <w:r>
        <w:rPr/>
        <w:t>combined performance.</w:t>
      </w:r>
      <w:r>
        <w:rPr>
          <w:spacing w:val="1"/>
        </w:rPr>
        <w:t> </w:t>
      </w:r>
      <w:r>
        <w:rPr/>
        <w:t>The 2- and 3-ply sections of CLT were produced in the same</w:t>
      </w:r>
      <w:r>
        <w:rPr>
          <w:spacing w:val="1"/>
        </w:rPr>
        <w:t> </w:t>
      </w:r>
      <w:r>
        <w:rPr/>
        <w:t>manner as the standard CLT specimens using the press and polyurethane adhesive as</w:t>
      </w:r>
      <w:r>
        <w:rPr>
          <w:spacing w:val="1"/>
        </w:rPr>
        <w:t> </w:t>
      </w:r>
      <w:r>
        <w:rPr/>
        <w:t>discussed</w:t>
      </w:r>
      <w:r>
        <w:rPr>
          <w:spacing w:val="-3"/>
        </w:rPr>
        <w:t> </w:t>
      </w:r>
      <w:r>
        <w:rPr/>
        <w:t>in</w:t>
      </w:r>
      <w:r>
        <w:rPr>
          <w:spacing w:val="-2"/>
        </w:rPr>
        <w:t> </w:t>
      </w:r>
      <w:r>
        <w:rPr/>
        <w:t>Chapter 4, Section 4.3.2.</w:t>
      </w:r>
    </w:p>
    <w:p>
      <w:pPr>
        <w:pStyle w:val="BodyText"/>
        <w:spacing w:line="480" w:lineRule="auto" w:before="159"/>
        <w:ind w:left="439" w:right="417" w:firstLine="720"/>
        <w:jc w:val="both"/>
      </w:pPr>
      <w:r>
        <w:rPr/>
        <w:t>The perforated steel plate, expanded metal mesh and UHMWPE panel were all</w:t>
      </w:r>
      <w:r>
        <w:rPr>
          <w:spacing w:val="1"/>
        </w:rPr>
        <w:t> </w:t>
      </w:r>
      <w:r>
        <w:rPr/>
        <w:t>mechanically affixed to the two CLT sections due to concerns with bonding the materials.</w:t>
      </w:r>
      <w:r>
        <w:rPr>
          <w:spacing w:val="-57"/>
        </w:rPr>
        <w:t> </w:t>
      </w:r>
      <w:r>
        <w:rPr/>
        <w:t>The mechanical connections used were washer hex drive screws sized 3/16-inch diameter</w:t>
      </w:r>
      <w:r>
        <w:rPr>
          <w:spacing w:val="-57"/>
        </w:rPr>
        <w:t> </w:t>
      </w:r>
      <w:r>
        <w:rPr/>
        <w:t>and 6-inches long, like the one shown in </w:t>
      </w:r>
      <w:hyperlink w:history="true" w:anchor="_bookmark122">
        <w:r>
          <w:rPr/>
          <w:t>Figure 7-1</w:t>
        </w:r>
      </w:hyperlink>
      <w:r>
        <w:rPr/>
        <w:t>.</w:t>
      </w:r>
      <w:r>
        <w:rPr>
          <w:spacing w:val="1"/>
        </w:rPr>
        <w:t> </w:t>
      </w:r>
      <w:r>
        <w:rPr/>
        <w:t>For the perforated steel plate and</w:t>
      </w:r>
      <w:r>
        <w:rPr>
          <w:spacing w:val="1"/>
        </w:rPr>
        <w:t> </w:t>
      </w:r>
      <w:r>
        <w:rPr/>
        <w:t>expanded</w:t>
      </w:r>
      <w:r>
        <w:rPr>
          <w:spacing w:val="-10"/>
        </w:rPr>
        <w:t> </w:t>
      </w:r>
      <w:r>
        <w:rPr/>
        <w:t>metal</w:t>
      </w:r>
      <w:r>
        <w:rPr>
          <w:spacing w:val="-8"/>
        </w:rPr>
        <w:t> </w:t>
      </w:r>
      <w:r>
        <w:rPr/>
        <w:t>mesh,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screws</w:t>
      </w:r>
      <w:r>
        <w:rPr>
          <w:spacing w:val="-8"/>
        </w:rPr>
        <w:t> </w:t>
      </w:r>
      <w:r>
        <w:rPr/>
        <w:t>were</w:t>
      </w:r>
      <w:r>
        <w:rPr>
          <w:spacing w:val="-8"/>
        </w:rPr>
        <w:t> </w:t>
      </w:r>
      <w:r>
        <w:rPr/>
        <w:t>predrilled</w:t>
      </w:r>
      <w:r>
        <w:rPr>
          <w:spacing w:val="-9"/>
        </w:rPr>
        <w:t> </w:t>
      </w:r>
      <w:r>
        <w:rPr/>
        <w:t>through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2-ply</w:t>
      </w:r>
      <w:r>
        <w:rPr>
          <w:spacing w:val="-9"/>
        </w:rPr>
        <w:t> </w:t>
      </w:r>
      <w:r>
        <w:rPr/>
        <w:t>to</w:t>
      </w:r>
      <w:r>
        <w:rPr>
          <w:spacing w:val="-9"/>
        </w:rPr>
        <w:t> </w:t>
      </w:r>
      <w:r>
        <w:rPr/>
        <w:t>line</w:t>
      </w:r>
      <w:r>
        <w:rPr>
          <w:spacing w:val="-8"/>
        </w:rPr>
        <w:t> </w:t>
      </w:r>
      <w:r>
        <w:rPr/>
        <w:t>up</w:t>
      </w:r>
      <w:r>
        <w:rPr>
          <w:spacing w:val="-9"/>
        </w:rPr>
        <w:t> </w:t>
      </w:r>
      <w:r>
        <w:rPr/>
        <w:t>with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void</w:t>
      </w:r>
      <w:r>
        <w:rPr>
          <w:spacing w:val="-58"/>
        </w:rPr>
        <w:t> </w:t>
      </w:r>
      <w:r>
        <w:rPr/>
        <w:t>spaces in the metal.</w:t>
      </w:r>
      <w:r>
        <w:rPr>
          <w:spacing w:val="1"/>
        </w:rPr>
        <w:t> </w:t>
      </w:r>
      <w:r>
        <w:rPr/>
        <w:t>The 3-ply CLT, metal plate and 2-ply CLT were stacked and the</w:t>
      </w:r>
      <w:r>
        <w:rPr>
          <w:spacing w:val="1"/>
        </w:rPr>
        <w:t> </w:t>
      </w:r>
      <w:r>
        <w:rPr/>
        <w:t>connections were driven into place, mechanically attaching all three pieces with eight</w:t>
      </w:r>
      <w:r>
        <w:rPr>
          <w:spacing w:val="1"/>
        </w:rPr>
        <w:t> </w:t>
      </w:r>
      <w:r>
        <w:rPr/>
        <w:t>screws.</w:t>
      </w:r>
      <w:r>
        <w:rPr>
          <w:spacing w:val="57"/>
        </w:rPr>
        <w:t> </w:t>
      </w:r>
      <w:r>
        <w:rPr/>
        <w:t>The</w:t>
      </w:r>
      <w:r>
        <w:rPr>
          <w:spacing w:val="-2"/>
        </w:rPr>
        <w:t> </w:t>
      </w:r>
      <w:r>
        <w:rPr/>
        <w:t>UHMWPE</w:t>
      </w:r>
      <w:r>
        <w:rPr>
          <w:spacing w:val="-1"/>
        </w:rPr>
        <w:t> </w:t>
      </w:r>
      <w:r>
        <w:rPr/>
        <w:t>panel</w:t>
      </w:r>
      <w:r>
        <w:rPr>
          <w:spacing w:val="-1"/>
        </w:rPr>
        <w:t> </w:t>
      </w:r>
      <w:r>
        <w:rPr/>
        <w:t>was</w:t>
      </w:r>
      <w:r>
        <w:rPr>
          <w:spacing w:val="-1"/>
        </w:rPr>
        <w:t> </w:t>
      </w:r>
      <w:r>
        <w:rPr/>
        <w:t>also</w:t>
      </w:r>
      <w:r>
        <w:rPr>
          <w:spacing w:val="-1"/>
        </w:rPr>
        <w:t> </w:t>
      </w:r>
      <w:r>
        <w:rPr/>
        <w:t>predrilled</w:t>
      </w:r>
      <w:r>
        <w:rPr>
          <w:spacing w:val="-4"/>
        </w:rPr>
        <w:t> </w:t>
      </w:r>
      <w:r>
        <w:rPr/>
        <w:t>and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same</w:t>
      </w:r>
      <w:r>
        <w:rPr>
          <w:spacing w:val="-1"/>
        </w:rPr>
        <w:t> </w:t>
      </w:r>
      <w:r>
        <w:rPr/>
        <w:t>procedure</w:t>
      </w:r>
      <w:r>
        <w:rPr>
          <w:spacing w:val="-2"/>
        </w:rPr>
        <w:t> </w:t>
      </w:r>
      <w:r>
        <w:rPr/>
        <w:t>was</w:t>
      </w:r>
      <w:r>
        <w:rPr>
          <w:spacing w:val="-1"/>
        </w:rPr>
        <w:t> </w:t>
      </w:r>
      <w:r>
        <w:rPr/>
        <w:t>followed.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268">
            <wp:simplePos x="0" y="0"/>
            <wp:positionH relativeFrom="page">
              <wp:posOffset>1371600</wp:posOffset>
            </wp:positionH>
            <wp:positionV relativeFrom="paragraph">
              <wp:posOffset>191131</wp:posOffset>
            </wp:positionV>
            <wp:extent cx="5508413" cy="1748789"/>
            <wp:effectExtent l="0" t="0" r="0" b="0"/>
            <wp:wrapTopAndBottom/>
            <wp:docPr id="91" name="image3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312.jpeg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8413" cy="17487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34"/>
        </w:rPr>
      </w:pPr>
    </w:p>
    <w:p>
      <w:pPr>
        <w:spacing w:before="0"/>
        <w:ind w:left="439" w:right="418" w:firstLine="0"/>
        <w:jc w:val="both"/>
        <w:rPr>
          <w:i/>
          <w:sz w:val="24"/>
        </w:rPr>
      </w:pPr>
      <w:bookmarkStart w:name="_bookmark122" w:id="406"/>
      <w:bookmarkEnd w:id="406"/>
      <w:r>
        <w:rPr/>
      </w:r>
      <w:r>
        <w:rPr>
          <w:i/>
          <w:sz w:val="24"/>
        </w:rPr>
        <w:t>Figure 7-1. Example of the washer hex drive screw used for mechanical connection with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ECLT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types 1, 2, and 6.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229"/>
        <w:ind w:left="439" w:right="418" w:firstLine="720"/>
        <w:jc w:val="both"/>
      </w:pPr>
      <w:r>
        <w:rPr/>
        <w:t>For the other materials, the enhancing layer was adhered to the two CLT sections</w:t>
      </w:r>
      <w:r>
        <w:rPr>
          <w:spacing w:val="1"/>
        </w:rPr>
        <w:t> </w:t>
      </w:r>
      <w:r>
        <w:rPr/>
        <w:t>using</w:t>
      </w:r>
      <w:r>
        <w:rPr>
          <w:spacing w:val="31"/>
        </w:rPr>
        <w:t> </w:t>
      </w:r>
      <w:r>
        <w:rPr/>
        <w:t>a</w:t>
      </w:r>
      <w:r>
        <w:rPr>
          <w:spacing w:val="31"/>
        </w:rPr>
        <w:t> </w:t>
      </w:r>
      <w:r>
        <w:rPr/>
        <w:t>two-part,</w:t>
      </w:r>
      <w:r>
        <w:rPr>
          <w:spacing w:val="31"/>
        </w:rPr>
        <w:t> </w:t>
      </w:r>
      <w:r>
        <w:rPr/>
        <w:t>resin</w:t>
      </w:r>
      <w:r>
        <w:rPr>
          <w:spacing w:val="30"/>
        </w:rPr>
        <w:t> </w:t>
      </w:r>
      <w:r>
        <w:rPr/>
        <w:t>and</w:t>
      </w:r>
      <w:r>
        <w:rPr>
          <w:spacing w:val="31"/>
        </w:rPr>
        <w:t> </w:t>
      </w:r>
      <w:r>
        <w:rPr/>
        <w:t>hardener,</w:t>
      </w:r>
      <w:r>
        <w:rPr>
          <w:spacing w:val="32"/>
        </w:rPr>
        <w:t> </w:t>
      </w:r>
      <w:r>
        <w:rPr/>
        <w:t>epoxy</w:t>
      </w:r>
      <w:r>
        <w:rPr>
          <w:spacing w:val="31"/>
        </w:rPr>
        <w:t> </w:t>
      </w:r>
      <w:r>
        <w:rPr/>
        <w:t>system.</w:t>
      </w:r>
      <w:r>
        <w:rPr>
          <w:spacing w:val="6"/>
        </w:rPr>
        <w:t> </w:t>
      </w:r>
      <w:r>
        <w:rPr/>
        <w:t>The</w:t>
      </w:r>
      <w:r>
        <w:rPr>
          <w:spacing w:val="32"/>
        </w:rPr>
        <w:t> </w:t>
      </w:r>
      <w:r>
        <w:rPr/>
        <w:t>enhancing</w:t>
      </w:r>
      <w:r>
        <w:rPr>
          <w:spacing w:val="30"/>
        </w:rPr>
        <w:t> </w:t>
      </w:r>
      <w:r>
        <w:rPr/>
        <w:t>layer</w:t>
      </w:r>
      <w:r>
        <w:rPr>
          <w:spacing w:val="33"/>
        </w:rPr>
        <w:t> </w:t>
      </w:r>
      <w:r>
        <w:rPr/>
        <w:t>was</w:t>
      </w:r>
      <w:r>
        <w:rPr>
          <w:spacing w:val="31"/>
        </w:rPr>
        <w:t> </w:t>
      </w:r>
      <w:r>
        <w:rPr/>
        <w:t>surface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40" w:right="417"/>
        <w:jc w:val="both"/>
      </w:pPr>
      <w:r>
        <w:rPr>
          <w:spacing w:val="-1"/>
        </w:rPr>
        <w:t>treated</w:t>
      </w:r>
      <w:r>
        <w:rPr>
          <w:spacing w:val="-15"/>
        </w:rPr>
        <w:t> </w:t>
      </w:r>
      <w:r>
        <w:rPr>
          <w:spacing w:val="-1"/>
        </w:rPr>
        <w:t>to</w:t>
      </w:r>
      <w:r>
        <w:rPr>
          <w:spacing w:val="-14"/>
        </w:rPr>
        <w:t> </w:t>
      </w:r>
      <w:r>
        <w:rPr>
          <w:spacing w:val="-1"/>
        </w:rPr>
        <w:t>provide</w:t>
      </w:r>
      <w:r>
        <w:rPr>
          <w:spacing w:val="-13"/>
        </w:rPr>
        <w:t> </w:t>
      </w:r>
      <w:r>
        <w:rPr/>
        <w:t>a</w:t>
      </w:r>
      <w:r>
        <w:rPr>
          <w:spacing w:val="-15"/>
        </w:rPr>
        <w:t> </w:t>
      </w:r>
      <w:r>
        <w:rPr/>
        <w:t>good</w:t>
      </w:r>
      <w:r>
        <w:rPr>
          <w:spacing w:val="-15"/>
        </w:rPr>
        <w:t> </w:t>
      </w:r>
      <w:r>
        <w:rPr/>
        <w:t>adhering</w:t>
      </w:r>
      <w:r>
        <w:rPr>
          <w:spacing w:val="-14"/>
        </w:rPr>
        <w:t> </w:t>
      </w:r>
      <w:r>
        <w:rPr/>
        <w:t>surface</w:t>
      </w:r>
      <w:r>
        <w:rPr>
          <w:spacing w:val="-13"/>
        </w:rPr>
        <w:t> </w:t>
      </w:r>
      <w:r>
        <w:rPr/>
        <w:t>for</w:t>
      </w:r>
      <w:r>
        <w:rPr>
          <w:spacing w:val="-13"/>
        </w:rPr>
        <w:t> </w:t>
      </w:r>
      <w:r>
        <w:rPr/>
        <w:t>the</w:t>
      </w:r>
      <w:r>
        <w:rPr>
          <w:spacing w:val="-15"/>
        </w:rPr>
        <w:t> </w:t>
      </w:r>
      <w:r>
        <w:rPr/>
        <w:t>epoxy;</w:t>
      </w:r>
      <w:r>
        <w:rPr>
          <w:spacing w:val="-13"/>
        </w:rPr>
        <w:t> </w:t>
      </w:r>
      <w:r>
        <w:rPr/>
        <w:t>the</w:t>
      </w:r>
      <w:r>
        <w:rPr>
          <w:spacing w:val="-15"/>
        </w:rPr>
        <w:t> </w:t>
      </w:r>
      <w:r>
        <w:rPr/>
        <w:t>steel</w:t>
      </w:r>
      <w:r>
        <w:rPr>
          <w:spacing w:val="-13"/>
        </w:rPr>
        <w:t> </w:t>
      </w:r>
      <w:r>
        <w:rPr/>
        <w:t>plates</w:t>
      </w:r>
      <w:r>
        <w:rPr>
          <w:spacing w:val="-15"/>
        </w:rPr>
        <w:t> </w:t>
      </w:r>
      <w:r>
        <w:rPr/>
        <w:t>were</w:t>
      </w:r>
      <w:r>
        <w:rPr>
          <w:spacing w:val="-13"/>
        </w:rPr>
        <w:t> </w:t>
      </w:r>
      <w:r>
        <w:rPr/>
        <w:t>media</w:t>
      </w:r>
      <w:r>
        <w:rPr>
          <w:spacing w:val="-13"/>
        </w:rPr>
        <w:t> </w:t>
      </w:r>
      <w:r>
        <w:rPr/>
        <w:t>blasted</w:t>
      </w:r>
      <w:r>
        <w:rPr>
          <w:spacing w:val="-57"/>
        </w:rPr>
        <w:t> </w:t>
      </w:r>
      <w:r>
        <w:rPr/>
        <w:t>and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aramid</w:t>
      </w:r>
      <w:r>
        <w:rPr>
          <w:spacing w:val="-9"/>
        </w:rPr>
        <w:t> </w:t>
      </w:r>
      <w:r>
        <w:rPr/>
        <w:t>panels</w:t>
      </w:r>
      <w:r>
        <w:rPr>
          <w:spacing w:val="-7"/>
        </w:rPr>
        <w:t> </w:t>
      </w:r>
      <w:r>
        <w:rPr/>
        <w:t>were</w:t>
      </w:r>
      <w:r>
        <w:rPr>
          <w:spacing w:val="-8"/>
        </w:rPr>
        <w:t> </w:t>
      </w:r>
      <w:r>
        <w:rPr/>
        <w:t>lightly</w:t>
      </w:r>
      <w:r>
        <w:rPr>
          <w:spacing w:val="-9"/>
        </w:rPr>
        <w:t> </w:t>
      </w:r>
      <w:r>
        <w:rPr/>
        <w:t>sanded.</w:t>
      </w:r>
      <w:r>
        <w:rPr>
          <w:spacing w:val="44"/>
        </w:rPr>
        <w:t> </w:t>
      </w:r>
      <w:r>
        <w:rPr/>
        <w:t>Epoxy</w:t>
      </w:r>
      <w:r>
        <w:rPr>
          <w:spacing w:val="-9"/>
        </w:rPr>
        <w:t> </w:t>
      </w:r>
      <w:r>
        <w:rPr/>
        <w:t>was</w:t>
      </w:r>
      <w:r>
        <w:rPr>
          <w:spacing w:val="-8"/>
        </w:rPr>
        <w:t> </w:t>
      </w:r>
      <w:r>
        <w:rPr/>
        <w:t>applied</w:t>
      </w:r>
      <w:r>
        <w:rPr>
          <w:spacing w:val="-9"/>
        </w:rPr>
        <w:t> </w:t>
      </w:r>
      <w:r>
        <w:rPr/>
        <w:t>to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wood</w:t>
      </w:r>
      <w:r>
        <w:rPr>
          <w:spacing w:val="-9"/>
        </w:rPr>
        <w:t> </w:t>
      </w:r>
      <w:r>
        <w:rPr/>
        <w:t>surface</w:t>
      </w:r>
      <w:r>
        <w:rPr>
          <w:spacing w:val="-8"/>
        </w:rPr>
        <w:t> </w:t>
      </w:r>
      <w:r>
        <w:rPr/>
        <w:t>and</w:t>
      </w:r>
      <w:r>
        <w:rPr>
          <w:spacing w:val="-8"/>
        </w:rPr>
        <w:t> </w:t>
      </w:r>
      <w:r>
        <w:rPr/>
        <w:t>the</w:t>
      </w:r>
      <w:r>
        <w:rPr>
          <w:spacing w:val="-58"/>
        </w:rPr>
        <w:t> </w:t>
      </w:r>
      <w:r>
        <w:rPr/>
        <w:t>enhancing layer surface in a thin layer and then the materials were stacked with the 2-ply</w:t>
      </w:r>
      <w:r>
        <w:rPr>
          <w:spacing w:val="1"/>
        </w:rPr>
        <w:t> </w:t>
      </w:r>
      <w:r>
        <w:rPr/>
        <w:t>CLT section on top.</w:t>
      </w:r>
      <w:r>
        <w:rPr>
          <w:spacing w:val="1"/>
        </w:rPr>
        <w:t> </w:t>
      </w:r>
      <w:r>
        <w:rPr/>
        <w:t>No pressure was required for this adhesive method.</w:t>
      </w:r>
      <w:r>
        <w:rPr>
          <w:spacing w:val="1"/>
        </w:rPr>
        <w:t> </w:t>
      </w:r>
      <w:r>
        <w:rPr/>
        <w:t>For the woven</w:t>
      </w:r>
      <w:r>
        <w:rPr>
          <w:spacing w:val="1"/>
        </w:rPr>
        <w:t> </w:t>
      </w:r>
      <w:r>
        <w:rPr/>
        <w:t>roving, the fiberglass fabric was saturated with the epoxy and then laid into place. For the</w:t>
      </w:r>
      <w:r>
        <w:rPr>
          <w:spacing w:val="-57"/>
        </w:rPr>
        <w:t> </w:t>
      </w:r>
      <w:r>
        <w:rPr/>
        <w:t>single-ply</w:t>
      </w:r>
      <w:r>
        <w:rPr>
          <w:spacing w:val="-8"/>
        </w:rPr>
        <w:t> </w:t>
      </w:r>
      <w:r>
        <w:rPr/>
        <w:t>fabric</w:t>
      </w:r>
      <w:r>
        <w:rPr>
          <w:spacing w:val="-7"/>
        </w:rPr>
        <w:t> </w:t>
      </w:r>
      <w:r>
        <w:rPr/>
        <w:t>configuration,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CLT</w:t>
      </w:r>
      <w:r>
        <w:rPr>
          <w:spacing w:val="-8"/>
        </w:rPr>
        <w:t> </w:t>
      </w:r>
      <w:r>
        <w:rPr/>
        <w:t>sections</w:t>
      </w:r>
      <w:r>
        <w:rPr>
          <w:spacing w:val="-9"/>
        </w:rPr>
        <w:t> </w:t>
      </w:r>
      <w:r>
        <w:rPr/>
        <w:t>were</w:t>
      </w:r>
      <w:r>
        <w:rPr>
          <w:spacing w:val="-7"/>
        </w:rPr>
        <w:t> </w:t>
      </w:r>
      <w:r>
        <w:rPr/>
        <w:t>not</w:t>
      </w:r>
      <w:r>
        <w:rPr>
          <w:spacing w:val="-8"/>
        </w:rPr>
        <w:t> </w:t>
      </w:r>
      <w:r>
        <w:rPr/>
        <w:t>pre-manufactured</w:t>
      </w:r>
      <w:r>
        <w:rPr>
          <w:spacing w:val="-7"/>
        </w:rPr>
        <w:t> </w:t>
      </w:r>
      <w:r>
        <w:rPr/>
        <w:t>into</w:t>
      </w:r>
      <w:r>
        <w:rPr>
          <w:spacing w:val="-7"/>
        </w:rPr>
        <w:t> </w:t>
      </w:r>
      <w:r>
        <w:rPr/>
        <w:t>2-</w:t>
      </w:r>
      <w:r>
        <w:rPr>
          <w:spacing w:val="-8"/>
        </w:rPr>
        <w:t> </w:t>
      </w:r>
      <w:r>
        <w:rPr/>
        <w:t>and</w:t>
      </w:r>
      <w:r>
        <w:rPr>
          <w:spacing w:val="-7"/>
        </w:rPr>
        <w:t> </w:t>
      </w:r>
      <w:r>
        <w:rPr/>
        <w:t>3-</w:t>
      </w:r>
      <w:r>
        <w:rPr>
          <w:spacing w:val="-58"/>
        </w:rPr>
        <w:t> </w:t>
      </w:r>
      <w:r>
        <w:rPr/>
        <w:t>ply sections as with the other materials as the fabric layer was arranged in between each</w:t>
      </w:r>
      <w:r>
        <w:rPr>
          <w:spacing w:val="1"/>
        </w:rPr>
        <w:t> </w:t>
      </w:r>
      <w:r>
        <w:rPr/>
        <w:t>wood layer.</w:t>
      </w:r>
    </w:p>
    <w:p>
      <w:pPr>
        <w:pStyle w:val="BodyText"/>
        <w:spacing w:line="480" w:lineRule="auto" w:before="160"/>
        <w:ind w:left="440" w:right="416" w:firstLine="720"/>
        <w:jc w:val="both"/>
      </w:pPr>
      <w:r>
        <w:rPr/>
        <w:t>The epoxied ECLT specimens were left in place for over 24-hours to allow the</w:t>
      </w:r>
      <w:r>
        <w:rPr>
          <w:spacing w:val="1"/>
        </w:rPr>
        <w:t> </w:t>
      </w:r>
      <w:r>
        <w:rPr/>
        <w:t>adhesives to cure undisturbed.</w:t>
      </w:r>
      <w:r>
        <w:rPr>
          <w:spacing w:val="1"/>
        </w:rPr>
        <w:t> </w:t>
      </w:r>
      <w:r>
        <w:rPr/>
        <w:t>The specimens were then sanded on the edges to remove</w:t>
      </w:r>
      <w:r>
        <w:rPr>
          <w:spacing w:val="1"/>
        </w:rPr>
        <w:t> </w:t>
      </w:r>
      <w:r>
        <w:rPr/>
        <w:t>excess epoxy that had pooled and dried in place to create flat surfaces on the specimen</w:t>
      </w:r>
      <w:r>
        <w:rPr>
          <w:spacing w:val="1"/>
        </w:rPr>
        <w:t> </w:t>
      </w:r>
      <w:r>
        <w:rPr/>
        <w:t>sides for placement in the ballistic test set-up.</w:t>
      </w:r>
      <w:r>
        <w:rPr>
          <w:spacing w:val="1"/>
        </w:rPr>
        <w:t> </w:t>
      </w:r>
      <w:r>
        <w:rPr/>
        <w:t>Some shear block specimens were also</w:t>
      </w:r>
      <w:r>
        <w:rPr>
          <w:spacing w:val="1"/>
        </w:rPr>
        <w:t> </w:t>
      </w:r>
      <w:r>
        <w:rPr/>
        <w:t>produced using the fiberglass fabric and a piece of stainless steel for testing bond quality</w:t>
      </w:r>
      <w:r>
        <w:rPr>
          <w:spacing w:val="1"/>
        </w:rPr>
        <w:t> </w:t>
      </w:r>
      <w:r>
        <w:rPr/>
        <w:t>between the wood and enhancing materials using the epoxy. Those shear test results were</w:t>
      </w:r>
      <w:r>
        <w:rPr>
          <w:spacing w:val="-57"/>
        </w:rPr>
        <w:t> </w:t>
      </w:r>
      <w:r>
        <w:rPr/>
        <w:t>discussed</w:t>
      </w:r>
      <w:r>
        <w:rPr>
          <w:spacing w:val="-2"/>
        </w:rPr>
        <w:t> </w:t>
      </w:r>
      <w:r>
        <w:rPr/>
        <w:t>in</w:t>
      </w:r>
      <w:r>
        <w:rPr>
          <w:spacing w:val="-3"/>
        </w:rPr>
        <w:t> </w:t>
      </w:r>
      <w:r>
        <w:rPr/>
        <w:t>Chapter 4.</w:t>
      </w:r>
    </w:p>
    <w:p>
      <w:pPr>
        <w:pStyle w:val="ListParagraph"/>
        <w:numPr>
          <w:ilvl w:val="3"/>
          <w:numId w:val="24"/>
        </w:numPr>
        <w:tabs>
          <w:tab w:pos="1160" w:val="left" w:leader="none"/>
        </w:tabs>
        <w:spacing w:line="240" w:lineRule="auto" w:before="161" w:after="0"/>
        <w:ind w:left="1160" w:right="0" w:hanging="720"/>
        <w:jc w:val="both"/>
        <w:rPr>
          <w:i/>
          <w:sz w:val="24"/>
        </w:rPr>
      </w:pPr>
      <w:bookmarkStart w:name="7.2.2.1 Type 1 - Perforated steel plate" w:id="407"/>
      <w:bookmarkEnd w:id="407"/>
      <w:r>
        <w:rPr/>
      </w:r>
      <w:bookmarkStart w:name="7.2.2.1 Type 1 - Perforated steel plate" w:id="408"/>
      <w:bookmarkEnd w:id="408"/>
      <w:r>
        <w:rPr>
          <w:i/>
          <w:sz w:val="24"/>
          <w:u w:val="single"/>
        </w:rPr>
        <w:t>T</w:t>
      </w:r>
      <w:r>
        <w:rPr>
          <w:i/>
          <w:sz w:val="24"/>
          <w:u w:val="single"/>
        </w:rPr>
        <w:t>ype</w:t>
      </w:r>
      <w:r>
        <w:rPr>
          <w:i/>
          <w:spacing w:val="-2"/>
          <w:sz w:val="24"/>
          <w:u w:val="single"/>
        </w:rPr>
        <w:t> </w:t>
      </w:r>
      <w:r>
        <w:rPr>
          <w:i/>
          <w:sz w:val="24"/>
          <w:u w:val="single"/>
        </w:rPr>
        <w:t>1</w:t>
      </w:r>
      <w:r>
        <w:rPr>
          <w:i/>
          <w:spacing w:val="-2"/>
          <w:sz w:val="24"/>
          <w:u w:val="single"/>
        </w:rPr>
        <w:t> </w:t>
      </w:r>
      <w:r>
        <w:rPr>
          <w:i/>
          <w:sz w:val="24"/>
          <w:u w:val="single"/>
        </w:rPr>
        <w:t>-</w:t>
      </w:r>
      <w:r>
        <w:rPr>
          <w:i/>
          <w:spacing w:val="-2"/>
          <w:sz w:val="24"/>
          <w:u w:val="single"/>
        </w:rPr>
        <w:t> </w:t>
      </w:r>
      <w:r>
        <w:rPr>
          <w:i/>
          <w:sz w:val="24"/>
          <w:u w:val="single"/>
        </w:rPr>
        <w:t>Perforated</w:t>
      </w:r>
      <w:r>
        <w:rPr>
          <w:i/>
          <w:spacing w:val="-2"/>
          <w:sz w:val="24"/>
          <w:u w:val="single"/>
        </w:rPr>
        <w:t> </w:t>
      </w:r>
      <w:r>
        <w:rPr>
          <w:i/>
          <w:sz w:val="24"/>
          <w:u w:val="single"/>
        </w:rPr>
        <w:t>steel</w:t>
      </w:r>
      <w:r>
        <w:rPr>
          <w:i/>
          <w:spacing w:val="-2"/>
          <w:sz w:val="24"/>
          <w:u w:val="single"/>
        </w:rPr>
        <w:t> </w:t>
      </w:r>
      <w:r>
        <w:rPr>
          <w:i/>
          <w:sz w:val="24"/>
          <w:u w:val="single"/>
        </w:rPr>
        <w:t>plate</w:t>
      </w:r>
    </w:p>
    <w:p>
      <w:pPr>
        <w:pStyle w:val="BodyText"/>
        <w:spacing w:before="9"/>
        <w:rPr>
          <w:i/>
          <w:sz w:val="14"/>
        </w:rPr>
      </w:pPr>
    </w:p>
    <w:p>
      <w:pPr>
        <w:pStyle w:val="BodyText"/>
        <w:spacing w:line="480" w:lineRule="auto" w:before="90"/>
        <w:ind w:left="439" w:right="417" w:firstLine="720"/>
        <w:jc w:val="both"/>
      </w:pPr>
      <w:r>
        <w:rPr/>
        <w:t>Perforated</w:t>
      </w:r>
      <w:r>
        <w:rPr>
          <w:spacing w:val="-7"/>
        </w:rPr>
        <w:t> </w:t>
      </w:r>
      <w:r>
        <w:rPr/>
        <w:t>metal</w:t>
      </w:r>
      <w:r>
        <w:rPr>
          <w:spacing w:val="-6"/>
        </w:rPr>
        <w:t> </w:t>
      </w:r>
      <w:r>
        <w:rPr/>
        <w:t>plates</w:t>
      </w:r>
      <w:r>
        <w:rPr>
          <w:spacing w:val="-6"/>
        </w:rPr>
        <w:t> </w:t>
      </w:r>
      <w:r>
        <w:rPr/>
        <w:t>have</w:t>
      </w:r>
      <w:r>
        <w:rPr>
          <w:spacing w:val="-6"/>
        </w:rPr>
        <w:t> </w:t>
      </w:r>
      <w:r>
        <w:rPr/>
        <w:t>been</w:t>
      </w:r>
      <w:r>
        <w:rPr>
          <w:spacing w:val="-6"/>
        </w:rPr>
        <w:t> </w:t>
      </w:r>
      <w:r>
        <w:rPr/>
        <w:t>one</w:t>
      </w:r>
      <w:r>
        <w:rPr>
          <w:spacing w:val="-6"/>
        </w:rPr>
        <w:t> </w:t>
      </w:r>
      <w:r>
        <w:rPr/>
        <w:t>advancement</w:t>
      </w:r>
      <w:r>
        <w:rPr>
          <w:spacing w:val="-6"/>
        </w:rPr>
        <w:t> </w:t>
      </w:r>
      <w:r>
        <w:rPr/>
        <w:t>in</w:t>
      </w:r>
      <w:r>
        <w:rPr>
          <w:spacing w:val="-5"/>
        </w:rPr>
        <w:t> </w:t>
      </w:r>
      <w:r>
        <w:rPr/>
        <w:t>armor</w:t>
      </w:r>
      <w:r>
        <w:rPr>
          <w:spacing w:val="-6"/>
        </w:rPr>
        <w:t> </w:t>
      </w:r>
      <w:r>
        <w:rPr/>
        <w:t>technologies</w:t>
      </w:r>
      <w:r>
        <w:rPr>
          <w:spacing w:val="-5"/>
        </w:rPr>
        <w:t> </w:t>
      </w:r>
      <w:r>
        <w:rPr/>
        <w:t>with</w:t>
      </w:r>
      <w:r>
        <w:rPr>
          <w:spacing w:val="-6"/>
        </w:rPr>
        <w:t> </w:t>
      </w:r>
      <w:r>
        <w:rPr/>
        <w:t>the</w:t>
      </w:r>
      <w:r>
        <w:rPr>
          <w:spacing w:val="-58"/>
        </w:rPr>
        <w:t> </w:t>
      </w:r>
      <w:r>
        <w:rPr/>
        <w:t>aim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using</w:t>
      </w:r>
      <w:r>
        <w:rPr>
          <w:spacing w:val="-6"/>
        </w:rPr>
        <w:t> </w:t>
      </w:r>
      <w:r>
        <w:rPr/>
        <w:t>less</w:t>
      </w:r>
      <w:r>
        <w:rPr>
          <w:spacing w:val="-6"/>
        </w:rPr>
        <w:t> </w:t>
      </w:r>
      <w:r>
        <w:rPr/>
        <w:t>metal</w:t>
      </w:r>
      <w:r>
        <w:rPr>
          <w:spacing w:val="-6"/>
        </w:rPr>
        <w:t> </w:t>
      </w:r>
      <w:r>
        <w:rPr/>
        <w:t>for</w:t>
      </w:r>
      <w:r>
        <w:rPr>
          <w:spacing w:val="-6"/>
        </w:rPr>
        <w:t> </w:t>
      </w:r>
      <w:r>
        <w:rPr/>
        <w:t>both</w:t>
      </w:r>
      <w:r>
        <w:rPr>
          <w:spacing w:val="-6"/>
        </w:rPr>
        <w:t> </w:t>
      </w:r>
      <w:r>
        <w:rPr/>
        <w:t>material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weight</w:t>
      </w:r>
      <w:r>
        <w:rPr>
          <w:spacing w:val="-6"/>
        </w:rPr>
        <w:t> </w:t>
      </w:r>
      <w:r>
        <w:rPr/>
        <w:t>considerations</w:t>
      </w:r>
      <w:r>
        <w:rPr>
          <w:spacing w:val="-6"/>
        </w:rPr>
        <w:t> </w:t>
      </w:r>
      <w:r>
        <w:rPr/>
        <w:t>while</w:t>
      </w:r>
      <w:r>
        <w:rPr>
          <w:spacing w:val="-5"/>
        </w:rPr>
        <w:t> </w:t>
      </w:r>
      <w:r>
        <w:rPr/>
        <w:t>also</w:t>
      </w:r>
      <w:r>
        <w:rPr>
          <w:spacing w:val="-6"/>
        </w:rPr>
        <w:t> </w:t>
      </w:r>
      <w:r>
        <w:rPr/>
        <w:t>maintaining</w:t>
      </w:r>
      <w:r>
        <w:rPr>
          <w:spacing w:val="-58"/>
        </w:rPr>
        <w:t> </w:t>
      </w:r>
      <w:r>
        <w:rPr/>
        <w:t>the ballistic resistance similar to that achieved with a solid plate.</w:t>
      </w:r>
      <w:r>
        <w:rPr>
          <w:spacing w:val="1"/>
        </w:rPr>
        <w:t> </w:t>
      </w:r>
      <w:r>
        <w:rPr/>
        <w:t>One perforated metal</w:t>
      </w:r>
      <w:r>
        <w:rPr>
          <w:spacing w:val="1"/>
        </w:rPr>
        <w:t> </w:t>
      </w:r>
      <w:r>
        <w:rPr/>
        <w:t>layer trialed was P900 perforated armor.</w:t>
      </w:r>
      <w:r>
        <w:rPr>
          <w:spacing w:val="1"/>
        </w:rPr>
        <w:t> </w:t>
      </w:r>
      <w:r>
        <w:rPr/>
        <w:t>Originally the holes were punched or drilled but</w:t>
      </w:r>
      <w:r>
        <w:rPr>
          <w:spacing w:val="-57"/>
        </w:rPr>
        <w:t> </w:t>
      </w:r>
      <w:r>
        <w:rPr/>
        <w:t>the</w:t>
      </w:r>
      <w:r>
        <w:rPr>
          <w:spacing w:val="-4"/>
        </w:rPr>
        <w:t> </w:t>
      </w:r>
      <w:r>
        <w:rPr/>
        <w:t>armor</w:t>
      </w:r>
      <w:r>
        <w:rPr>
          <w:spacing w:val="-3"/>
        </w:rPr>
        <w:t> </w:t>
      </w:r>
      <w:r>
        <w:rPr/>
        <w:t>evolved</w:t>
      </w:r>
      <w:r>
        <w:rPr>
          <w:spacing w:val="-4"/>
        </w:rPr>
        <w:t> </w:t>
      </w:r>
      <w:r>
        <w:rPr/>
        <w:t>to</w:t>
      </w:r>
      <w:r>
        <w:rPr>
          <w:spacing w:val="-5"/>
        </w:rPr>
        <w:t> </w:t>
      </w:r>
      <w:r>
        <w:rPr/>
        <w:t>a</w:t>
      </w:r>
      <w:r>
        <w:rPr>
          <w:spacing w:val="-4"/>
        </w:rPr>
        <w:t> </w:t>
      </w:r>
      <w:r>
        <w:rPr/>
        <w:t>manufacturing</w:t>
      </w:r>
      <w:r>
        <w:rPr>
          <w:spacing w:val="-5"/>
        </w:rPr>
        <w:t> </w:t>
      </w:r>
      <w:r>
        <w:rPr/>
        <w:t>technique</w:t>
      </w:r>
      <w:r>
        <w:rPr>
          <w:spacing w:val="-4"/>
        </w:rPr>
        <w:t> </w:t>
      </w:r>
      <w:r>
        <w:rPr/>
        <w:t>known</w:t>
      </w:r>
      <w:r>
        <w:rPr>
          <w:spacing w:val="-4"/>
        </w:rPr>
        <w:t> </w:t>
      </w:r>
      <w:r>
        <w:rPr/>
        <w:t>as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lost</w:t>
      </w:r>
      <w:r>
        <w:rPr>
          <w:spacing w:val="-3"/>
        </w:rPr>
        <w:t> </w:t>
      </w:r>
      <w:r>
        <w:rPr/>
        <w:t>foam</w:t>
      </w:r>
      <w:r>
        <w:rPr>
          <w:spacing w:val="-5"/>
        </w:rPr>
        <w:t> </w:t>
      </w:r>
      <w:r>
        <w:rPr/>
        <w:t>process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casting</w:t>
      </w:r>
      <w:r>
        <w:rPr>
          <w:spacing w:val="-58"/>
        </w:rPr>
        <w:t> </w:t>
      </w:r>
      <w:r>
        <w:rPr/>
        <w:t>metal</w:t>
      </w:r>
      <w:r>
        <w:rPr>
          <w:spacing w:val="-13"/>
        </w:rPr>
        <w:t> </w:t>
      </w:r>
      <w:r>
        <w:rPr/>
        <w:t>[55].</w:t>
      </w:r>
      <w:r>
        <w:rPr>
          <w:spacing w:val="36"/>
        </w:rPr>
        <w:t> </w:t>
      </w:r>
      <w:r>
        <w:rPr/>
        <w:t>The</w:t>
      </w:r>
      <w:r>
        <w:rPr>
          <w:spacing w:val="-13"/>
        </w:rPr>
        <w:t> </w:t>
      </w:r>
      <w:r>
        <w:rPr/>
        <w:t>steel</w:t>
      </w:r>
      <w:r>
        <w:rPr>
          <w:spacing w:val="-14"/>
        </w:rPr>
        <w:t> </w:t>
      </w:r>
      <w:r>
        <w:rPr/>
        <w:t>alloy</w:t>
      </w:r>
      <w:r>
        <w:rPr>
          <w:spacing w:val="-13"/>
        </w:rPr>
        <w:t> </w:t>
      </w:r>
      <w:r>
        <w:rPr/>
        <w:t>perforated</w:t>
      </w:r>
      <w:r>
        <w:rPr>
          <w:spacing w:val="-13"/>
        </w:rPr>
        <w:t> </w:t>
      </w:r>
      <w:r>
        <w:rPr/>
        <w:t>plate</w:t>
      </w:r>
      <w:r>
        <w:rPr>
          <w:spacing w:val="-13"/>
        </w:rPr>
        <w:t> </w:t>
      </w:r>
      <w:r>
        <w:rPr/>
        <w:t>comes</w:t>
      </w:r>
      <w:r>
        <w:rPr>
          <w:spacing w:val="-13"/>
        </w:rPr>
        <w:t> </w:t>
      </w:r>
      <w:r>
        <w:rPr/>
        <w:t>in</w:t>
      </w:r>
      <w:r>
        <w:rPr>
          <w:spacing w:val="-13"/>
        </w:rPr>
        <w:t> </w:t>
      </w:r>
      <w:r>
        <w:rPr/>
        <w:t>a</w:t>
      </w:r>
      <w:r>
        <w:rPr>
          <w:spacing w:val="-13"/>
        </w:rPr>
        <w:t> </w:t>
      </w:r>
      <w:r>
        <w:rPr/>
        <w:t>variety</w:t>
      </w:r>
      <w:r>
        <w:rPr>
          <w:spacing w:val="-15"/>
        </w:rPr>
        <w:t> </w:t>
      </w:r>
      <w:r>
        <w:rPr/>
        <w:t>of</w:t>
      </w:r>
      <w:r>
        <w:rPr>
          <w:spacing w:val="-14"/>
        </w:rPr>
        <w:t> </w:t>
      </w:r>
      <w:r>
        <w:rPr/>
        <w:t>thicknesses</w:t>
      </w:r>
      <w:r>
        <w:rPr>
          <w:spacing w:val="-12"/>
        </w:rPr>
        <w:t> </w:t>
      </w:r>
      <w:r>
        <w:rPr/>
        <w:t>with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intent</w:t>
      </w:r>
      <w:r>
        <w:rPr>
          <w:spacing w:val="-58"/>
        </w:rPr>
        <w:t> </w:t>
      </w:r>
      <w:r>
        <w:rPr/>
        <w:t>of</w:t>
      </w:r>
      <w:r>
        <w:rPr>
          <w:spacing w:val="12"/>
        </w:rPr>
        <w:t> </w:t>
      </w:r>
      <w:r>
        <w:rPr/>
        <w:t>being</w:t>
      </w:r>
      <w:r>
        <w:rPr>
          <w:spacing w:val="13"/>
        </w:rPr>
        <w:t> </w:t>
      </w:r>
      <w:r>
        <w:rPr/>
        <w:t>used</w:t>
      </w:r>
      <w:r>
        <w:rPr>
          <w:spacing w:val="13"/>
        </w:rPr>
        <w:t> </w:t>
      </w:r>
      <w:r>
        <w:rPr/>
        <w:t>as</w:t>
      </w:r>
      <w:r>
        <w:rPr>
          <w:spacing w:val="13"/>
        </w:rPr>
        <w:t> </w:t>
      </w:r>
      <w:r>
        <w:rPr/>
        <w:t>applique</w:t>
      </w:r>
      <w:r>
        <w:rPr>
          <w:spacing w:val="13"/>
        </w:rPr>
        <w:t> </w:t>
      </w:r>
      <w:r>
        <w:rPr/>
        <w:t>or</w:t>
      </w:r>
      <w:r>
        <w:rPr>
          <w:spacing w:val="13"/>
        </w:rPr>
        <w:t> </w:t>
      </w:r>
      <w:r>
        <w:rPr/>
        <w:t>add-on</w:t>
      </w:r>
      <w:r>
        <w:rPr>
          <w:spacing w:val="12"/>
        </w:rPr>
        <w:t> </w:t>
      </w:r>
      <w:r>
        <w:rPr/>
        <w:t>armor.</w:t>
      </w:r>
      <w:r>
        <w:rPr>
          <w:spacing w:val="28"/>
        </w:rPr>
        <w:t> </w:t>
      </w:r>
      <w:r>
        <w:rPr/>
        <w:t>It</w:t>
      </w:r>
      <w:r>
        <w:rPr>
          <w:spacing w:val="14"/>
        </w:rPr>
        <w:t> </w:t>
      </w:r>
      <w:r>
        <w:rPr/>
        <w:t>was</w:t>
      </w:r>
      <w:r>
        <w:rPr>
          <w:spacing w:val="13"/>
        </w:rPr>
        <w:t> </w:t>
      </w:r>
      <w:r>
        <w:rPr/>
        <w:t>originally</w:t>
      </w:r>
      <w:r>
        <w:rPr>
          <w:spacing w:val="12"/>
        </w:rPr>
        <w:t> </w:t>
      </w:r>
      <w:r>
        <w:rPr/>
        <w:t>designed</w:t>
      </w:r>
      <w:r>
        <w:rPr>
          <w:spacing w:val="12"/>
        </w:rPr>
        <w:t> </w:t>
      </w:r>
      <w:r>
        <w:rPr/>
        <w:t>to</w:t>
      </w:r>
      <w:r>
        <w:rPr>
          <w:spacing w:val="12"/>
        </w:rPr>
        <w:t> </w:t>
      </w:r>
      <w:r>
        <w:rPr/>
        <w:t>counter</w:t>
      </w:r>
      <w:r>
        <w:rPr>
          <w:spacing w:val="13"/>
        </w:rPr>
        <w:t> </w:t>
      </w:r>
      <w:r>
        <w:rPr/>
        <w:t>Soviet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39" w:right="417"/>
        <w:jc w:val="both"/>
      </w:pPr>
      <w:r>
        <w:rPr/>
        <w:t>small arms threats during the Cold War [64].</w:t>
      </w:r>
      <w:r>
        <w:rPr>
          <w:spacing w:val="1"/>
        </w:rPr>
        <w:t> </w:t>
      </w:r>
      <w:r>
        <w:rPr/>
        <w:t>One advantage of perforated plates over</w:t>
      </w:r>
      <w:r>
        <w:rPr>
          <w:spacing w:val="1"/>
        </w:rPr>
        <w:t> </w:t>
      </w:r>
      <w:r>
        <w:rPr/>
        <w:t>lightweight</w:t>
      </w:r>
      <w:r>
        <w:rPr>
          <w:spacing w:val="-8"/>
        </w:rPr>
        <w:t> </w:t>
      </w:r>
      <w:r>
        <w:rPr/>
        <w:t>ceramic</w:t>
      </w:r>
      <w:r>
        <w:rPr>
          <w:spacing w:val="-6"/>
        </w:rPr>
        <w:t> </w:t>
      </w:r>
      <w:r>
        <w:rPr/>
        <w:t>armor</w:t>
      </w:r>
      <w:r>
        <w:rPr>
          <w:spacing w:val="-6"/>
        </w:rPr>
        <w:t> </w:t>
      </w:r>
      <w:r>
        <w:rPr/>
        <w:t>plates</w:t>
      </w:r>
      <w:r>
        <w:rPr>
          <w:spacing w:val="-7"/>
        </w:rPr>
        <w:t> </w:t>
      </w:r>
      <w:r>
        <w:rPr/>
        <w:t>is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ability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metal</w:t>
      </w:r>
      <w:r>
        <w:rPr>
          <w:spacing w:val="-6"/>
        </w:rPr>
        <w:t> </w:t>
      </w:r>
      <w:r>
        <w:rPr/>
        <w:t>plate</w:t>
      </w:r>
      <w:r>
        <w:rPr>
          <w:spacing w:val="-7"/>
        </w:rPr>
        <w:t> </w:t>
      </w:r>
      <w:r>
        <w:rPr/>
        <w:t>to</w:t>
      </w:r>
      <w:r>
        <w:rPr>
          <w:spacing w:val="-7"/>
        </w:rPr>
        <w:t> </w:t>
      </w:r>
      <w:r>
        <w:rPr/>
        <w:t>handle</w:t>
      </w:r>
      <w:r>
        <w:rPr>
          <w:spacing w:val="-7"/>
        </w:rPr>
        <w:t> </w:t>
      </w:r>
      <w:r>
        <w:rPr/>
        <w:t>multiple</w:t>
      </w:r>
      <w:r>
        <w:rPr>
          <w:spacing w:val="-6"/>
        </w:rPr>
        <w:t> </w:t>
      </w:r>
      <w:r>
        <w:rPr/>
        <w:t>threats.</w:t>
      </w:r>
      <w:r>
        <w:rPr>
          <w:spacing w:val="-58"/>
        </w:rPr>
        <w:t> </w:t>
      </w:r>
      <w:r>
        <w:rPr/>
        <w:t>Some modern armors with high strength-to-weight ratios, such as ceramic plate, may be</w:t>
      </w:r>
      <w:r>
        <w:rPr>
          <w:spacing w:val="1"/>
        </w:rPr>
        <w:t> </w:t>
      </w:r>
      <w:r>
        <w:rPr/>
        <w:t>compromised</w:t>
      </w:r>
      <w:r>
        <w:rPr>
          <w:spacing w:val="-1"/>
        </w:rPr>
        <w:t> </w:t>
      </w:r>
      <w:r>
        <w:rPr/>
        <w:t>with one shot</w:t>
      </w:r>
      <w:r>
        <w:rPr>
          <w:spacing w:val="-1"/>
        </w:rPr>
        <w:t> </w:t>
      </w:r>
      <w:r>
        <w:rPr/>
        <w:t>and then</w:t>
      </w:r>
      <w:r>
        <w:rPr>
          <w:spacing w:val="-2"/>
        </w:rPr>
        <w:t> </w:t>
      </w:r>
      <w:r>
        <w:rPr/>
        <w:t>defeated with</w:t>
      </w:r>
      <w:r>
        <w:rPr>
          <w:spacing w:val="-1"/>
        </w:rPr>
        <w:t> </w:t>
      </w:r>
      <w:r>
        <w:rPr/>
        <w:t>additional</w:t>
      </w:r>
      <w:r>
        <w:rPr>
          <w:spacing w:val="-1"/>
        </w:rPr>
        <w:t> </w:t>
      </w:r>
      <w:r>
        <w:rPr/>
        <w:t>impacts.</w:t>
      </w:r>
    </w:p>
    <w:p>
      <w:pPr>
        <w:pStyle w:val="BodyText"/>
        <w:spacing w:line="480" w:lineRule="auto" w:before="159"/>
        <w:ind w:left="439" w:right="417" w:firstLine="720"/>
        <w:jc w:val="both"/>
      </w:pPr>
      <w:r>
        <w:rPr/>
        <w:t>Perforations can significantly reduce the weight of the panel without reducing the</w:t>
      </w:r>
      <w:r>
        <w:rPr>
          <w:spacing w:val="1"/>
        </w:rPr>
        <w:t> </w:t>
      </w:r>
      <w:r>
        <w:rPr/>
        <w:t>strength. The staggered slotted holes in the plate serve to redirect the projectile within the</w:t>
      </w:r>
      <w:r>
        <w:rPr>
          <w:spacing w:val="-57"/>
        </w:rPr>
        <w:t> </w:t>
      </w:r>
      <w:r>
        <w:rPr/>
        <w:t>target, thus absorbing more of its energy.</w:t>
      </w:r>
      <w:r>
        <w:rPr>
          <w:spacing w:val="1"/>
        </w:rPr>
        <w:t> </w:t>
      </w:r>
      <w:hyperlink w:history="true" w:anchor="_bookmark123">
        <w:r>
          <w:rPr/>
          <w:t>Figure 7-2</w:t>
        </w:r>
      </w:hyperlink>
      <w:r>
        <w:rPr/>
        <w:t>, from the military performance</w:t>
      </w:r>
      <w:r>
        <w:rPr>
          <w:spacing w:val="1"/>
        </w:rPr>
        <w:t> </w:t>
      </w:r>
      <w:r>
        <w:rPr/>
        <w:t>specification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perforated</w:t>
      </w:r>
      <w:r>
        <w:rPr>
          <w:spacing w:val="1"/>
        </w:rPr>
        <w:t> </w:t>
      </w:r>
      <w:r>
        <w:rPr/>
        <w:t>homogeneous</w:t>
      </w:r>
      <w:r>
        <w:rPr>
          <w:spacing w:val="1"/>
        </w:rPr>
        <w:t> </w:t>
      </w:r>
      <w:r>
        <w:rPr/>
        <w:t>steel</w:t>
      </w:r>
      <w:r>
        <w:rPr>
          <w:spacing w:val="1"/>
        </w:rPr>
        <w:t> </w:t>
      </w:r>
      <w:r>
        <w:rPr/>
        <w:t>armor,</w:t>
      </w:r>
      <w:r>
        <w:rPr>
          <w:spacing w:val="1"/>
        </w:rPr>
        <w:t> </w:t>
      </w:r>
      <w:r>
        <w:rPr>
          <w:i/>
        </w:rPr>
        <w:t>MIL-PRF-32269</w:t>
      </w:r>
      <w:r>
        <w:rPr/>
        <w:t>,</w:t>
      </w:r>
      <w:r>
        <w:rPr>
          <w:spacing w:val="1"/>
        </w:rPr>
        <w:t> </w:t>
      </w:r>
      <w:r>
        <w:rPr/>
        <w:t>shows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schematic of the perforated plate design [6].</w:t>
      </w:r>
      <w:r>
        <w:rPr>
          <w:spacing w:val="1"/>
        </w:rPr>
        <w:t> </w:t>
      </w:r>
      <w:r>
        <w:rPr/>
        <w:t>The specification outlines hardness and</w:t>
      </w:r>
      <w:r>
        <w:rPr>
          <w:spacing w:val="1"/>
        </w:rPr>
        <w:t> </w:t>
      </w:r>
      <w:r>
        <w:rPr/>
        <w:t>ballistic</w:t>
      </w:r>
      <w:r>
        <w:rPr>
          <w:spacing w:val="-2"/>
        </w:rPr>
        <w:t> </w:t>
      </w:r>
      <w:r>
        <w:rPr/>
        <w:t>standards</w:t>
      </w:r>
      <w:r>
        <w:rPr>
          <w:spacing w:val="-1"/>
        </w:rPr>
        <w:t> </w:t>
      </w:r>
      <w:r>
        <w:rPr/>
        <w:t>that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perforated</w:t>
      </w:r>
      <w:r>
        <w:rPr>
          <w:spacing w:val="-4"/>
        </w:rPr>
        <w:t> </w:t>
      </w:r>
      <w:r>
        <w:rPr/>
        <w:t>panels</w:t>
      </w:r>
      <w:r>
        <w:rPr>
          <w:spacing w:val="-1"/>
        </w:rPr>
        <w:t> </w:t>
      </w:r>
      <w:r>
        <w:rPr/>
        <w:t>must</w:t>
      </w:r>
      <w:r>
        <w:rPr>
          <w:spacing w:val="-1"/>
        </w:rPr>
        <w:t> </w:t>
      </w:r>
      <w:r>
        <w:rPr/>
        <w:t>meet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prospective</w:t>
      </w:r>
      <w:r>
        <w:rPr>
          <w:spacing w:val="-2"/>
        </w:rPr>
        <w:t> </w:t>
      </w:r>
      <w:r>
        <w:rPr/>
        <w:t>manufacturers.</w:t>
      </w:r>
    </w:p>
    <w:p>
      <w:pPr>
        <w:pStyle w:val="BodyText"/>
        <w:spacing w:line="480" w:lineRule="auto" w:before="160"/>
        <w:ind w:left="439" w:right="417" w:firstLine="720"/>
        <w:jc w:val="both"/>
      </w:pPr>
      <w:r>
        <w:rPr/>
        <w:t>The size of the holes is important relative to the projectile threat as a projectile</w:t>
      </w:r>
      <w:r>
        <w:rPr>
          <w:spacing w:val="1"/>
        </w:rPr>
        <w:t> </w:t>
      </w:r>
      <w:r>
        <w:rPr/>
        <w:t>smaller than the opening may pass through on a carefully placed shot.</w:t>
      </w:r>
      <w:r>
        <w:rPr>
          <w:spacing w:val="1"/>
        </w:rPr>
        <w:t> </w:t>
      </w:r>
      <w:r>
        <w:rPr/>
        <w:t>For the perforated</w:t>
      </w:r>
      <w:r>
        <w:rPr>
          <w:spacing w:val="1"/>
        </w:rPr>
        <w:t> </w:t>
      </w:r>
      <w:r>
        <w:rPr/>
        <w:t>metal used in this research, the hole size was 1.1875-in. wide by 0.375-in. high, with a</w:t>
      </w:r>
      <w:r>
        <w:rPr>
          <w:spacing w:val="1"/>
        </w:rPr>
        <w:t> </w:t>
      </w:r>
      <w:r>
        <w:rPr/>
        <w:t>solid metal width of 0.1875-in. between the holes. The solid metal sections, depending on</w:t>
      </w:r>
      <w:r>
        <w:rPr>
          <w:spacing w:val="-57"/>
        </w:rPr>
        <w:t> </w:t>
      </w:r>
      <w:r>
        <w:rPr/>
        <w:t>the projectile type and velocity, may help to defeat a projectile larger than the opening.</w:t>
      </w:r>
      <w:r>
        <w:rPr>
          <w:spacing w:val="1"/>
        </w:rPr>
        <w:t> </w:t>
      </w:r>
      <w:r>
        <w:rPr/>
        <w:t>The holes are also oriented at an angle, which helps with the deflection and limiting pass-</w:t>
      </w:r>
      <w:r>
        <w:rPr>
          <w:spacing w:val="-57"/>
        </w:rPr>
        <w:t> </w:t>
      </w:r>
      <w:r>
        <w:rPr/>
        <w:t>through shots.</w:t>
      </w:r>
      <w:r>
        <w:rPr>
          <w:spacing w:val="1"/>
        </w:rPr>
        <w:t> </w:t>
      </w:r>
      <w:hyperlink w:history="true" w:anchor="_bookmark124">
        <w:r>
          <w:rPr/>
          <w:t>Figure 7-3 </w:t>
        </w:r>
      </w:hyperlink>
      <w:r>
        <w:rPr/>
        <w:t>is a photo of the perforated steel plate removed from the ECLT</w:t>
      </w:r>
      <w:r>
        <w:rPr>
          <w:spacing w:val="-57"/>
        </w:rPr>
        <w:t> </w:t>
      </w:r>
      <w:r>
        <w:rPr/>
        <w:t>specimen</w:t>
      </w:r>
      <w:r>
        <w:rPr>
          <w:spacing w:val="-1"/>
        </w:rPr>
        <w:t> </w:t>
      </w:r>
      <w:r>
        <w:rPr/>
        <w:t>after testing.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before="1"/>
        <w:rPr>
          <w:sz w:val="14"/>
        </w:rPr>
      </w:pPr>
    </w:p>
    <w:p>
      <w:pPr>
        <w:pStyle w:val="BodyText"/>
        <w:ind w:left="1699"/>
        <w:rPr>
          <w:sz w:val="20"/>
        </w:rPr>
      </w:pPr>
      <w:r>
        <w:rPr>
          <w:sz w:val="20"/>
        </w:rPr>
        <w:drawing>
          <wp:inline distT="0" distB="0" distL="0" distR="0">
            <wp:extent cx="3746160" cy="2991802"/>
            <wp:effectExtent l="0" t="0" r="0" b="0"/>
            <wp:docPr id="93" name="image3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313.pn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6160" cy="2991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  <w:rPr>
          <w:sz w:val="27"/>
        </w:rPr>
      </w:pPr>
    </w:p>
    <w:p>
      <w:pPr>
        <w:spacing w:before="90"/>
        <w:ind w:left="439" w:right="662" w:firstLine="0"/>
        <w:jc w:val="left"/>
        <w:rPr>
          <w:i/>
          <w:sz w:val="24"/>
        </w:rPr>
      </w:pPr>
      <w:bookmarkStart w:name="_bookmark123" w:id="409"/>
      <w:bookmarkEnd w:id="409"/>
      <w:r>
        <w:rPr/>
      </w:r>
      <w:r>
        <w:rPr>
          <w:i/>
          <w:sz w:val="24"/>
        </w:rPr>
        <w:t>Figure 7-2. Schematic from performance specification document, MIL-PRG-32269, for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perforated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homogeneous steel armor.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8"/>
        <w:rPr>
          <w:i/>
        </w:rPr>
      </w:pPr>
      <w:r>
        <w:rPr/>
        <w:drawing>
          <wp:anchor distT="0" distB="0" distL="0" distR="0" allowOverlap="1" layoutInCell="1" locked="0" behindDoc="0" simplePos="0" relativeHeight="269">
            <wp:simplePos x="0" y="0"/>
            <wp:positionH relativeFrom="page">
              <wp:posOffset>2076450</wp:posOffset>
            </wp:positionH>
            <wp:positionV relativeFrom="paragraph">
              <wp:posOffset>205640</wp:posOffset>
            </wp:positionV>
            <wp:extent cx="4072952" cy="3419855"/>
            <wp:effectExtent l="0" t="0" r="0" b="0"/>
            <wp:wrapTopAndBottom/>
            <wp:docPr id="95" name="image3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314.jpe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2952" cy="3419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6"/>
        <w:ind w:left="440" w:right="655" w:firstLine="0"/>
        <w:jc w:val="left"/>
        <w:rPr>
          <w:i/>
          <w:sz w:val="24"/>
        </w:rPr>
      </w:pPr>
      <w:bookmarkStart w:name="_bookmark124" w:id="410"/>
      <w:bookmarkEnd w:id="410"/>
      <w:r>
        <w:rPr/>
      </w:r>
      <w:r>
        <w:rPr>
          <w:i/>
          <w:sz w:val="24"/>
        </w:rPr>
        <w:t>Figure 7-3. A close-up view of the P900 steel plate removed from the ECLT block post-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test.</w:t>
      </w:r>
    </w:p>
    <w:p>
      <w:pPr>
        <w:spacing w:after="0"/>
        <w:jc w:val="left"/>
        <w:rPr>
          <w:sz w:val="24"/>
        </w:rPr>
        <w:sectPr>
          <w:pgSz w:w="12240" w:h="15840"/>
          <w:pgMar w:header="0" w:footer="1064" w:top="1500" w:bottom="1260" w:left="1720" w:right="1020"/>
        </w:sectPr>
      </w:pPr>
    </w:p>
    <w:p>
      <w:pPr>
        <w:pStyle w:val="BodyText"/>
        <w:spacing w:line="480" w:lineRule="auto" w:before="78"/>
        <w:ind w:left="439" w:right="417" w:firstLine="720"/>
        <w:jc w:val="both"/>
      </w:pPr>
      <w:r>
        <w:rPr/>
        <w:t>The perforated steel used in this research measured 12-in. wide by 12-in. high and</w:t>
      </w:r>
      <w:r>
        <w:rPr>
          <w:spacing w:val="-57"/>
        </w:rPr>
        <w:t> </w:t>
      </w:r>
      <w:r>
        <w:rPr>
          <w:spacing w:val="-1"/>
        </w:rPr>
        <w:t>0.50-in.</w:t>
      </w:r>
      <w:r>
        <w:rPr>
          <w:spacing w:val="-14"/>
        </w:rPr>
        <w:t> </w:t>
      </w:r>
      <w:r>
        <w:rPr>
          <w:spacing w:val="-1"/>
        </w:rPr>
        <w:t>thick.</w:t>
      </w:r>
      <w:r>
        <w:rPr>
          <w:spacing w:val="38"/>
        </w:rPr>
        <w:t> </w:t>
      </w:r>
      <w:r>
        <w:rPr>
          <w:spacing w:val="-1"/>
        </w:rPr>
        <w:t>By</w:t>
      </w:r>
      <w:r>
        <w:rPr>
          <w:spacing w:val="-11"/>
        </w:rPr>
        <w:t> </w:t>
      </w:r>
      <w:r>
        <w:rPr>
          <w:spacing w:val="-1"/>
        </w:rPr>
        <w:t>the</w:t>
      </w:r>
      <w:r>
        <w:rPr>
          <w:spacing w:val="-11"/>
        </w:rPr>
        <w:t> </w:t>
      </w:r>
      <w:r>
        <w:rPr>
          <w:spacing w:val="-1"/>
        </w:rPr>
        <w:t>performance</w:t>
      </w:r>
      <w:r>
        <w:rPr>
          <w:spacing w:val="-11"/>
        </w:rPr>
        <w:t> </w:t>
      </w:r>
      <w:r>
        <w:rPr/>
        <w:t>specifications</w:t>
      </w:r>
      <w:r>
        <w:rPr>
          <w:spacing w:val="-12"/>
        </w:rPr>
        <w:t> </w:t>
      </w:r>
      <w:r>
        <w:rPr/>
        <w:t>of</w:t>
      </w:r>
      <w:r>
        <w:rPr>
          <w:spacing w:val="-13"/>
        </w:rPr>
        <w:t> </w:t>
      </w:r>
      <w:r>
        <w:rPr>
          <w:i/>
        </w:rPr>
        <w:t>MIL-PRF-32269</w:t>
      </w:r>
      <w:r>
        <w:rPr/>
        <w:t>,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required</w:t>
      </w:r>
      <w:r>
        <w:rPr>
          <w:spacing w:val="-13"/>
        </w:rPr>
        <w:t> </w:t>
      </w:r>
      <w:r>
        <w:rPr/>
        <w:t>ballistic</w:t>
      </w:r>
      <w:r>
        <w:rPr>
          <w:spacing w:val="-58"/>
        </w:rPr>
        <w:t> </w:t>
      </w:r>
      <w:r>
        <w:rPr>
          <w:position w:val="1"/>
        </w:rPr>
        <w:t>limit</w:t>
      </w:r>
      <w:r>
        <w:rPr>
          <w:spacing w:val="-3"/>
          <w:position w:val="1"/>
        </w:rPr>
        <w:t> </w:t>
      </w:r>
      <w:r>
        <w:rPr>
          <w:position w:val="1"/>
        </w:rPr>
        <w:t>(V</w:t>
      </w:r>
      <w:r>
        <w:rPr>
          <w:sz w:val="16"/>
        </w:rPr>
        <w:t>50</w:t>
      </w:r>
      <w:r>
        <w:rPr>
          <w:position w:val="1"/>
        </w:rPr>
        <w:t>)</w:t>
      </w:r>
      <w:r>
        <w:rPr>
          <w:spacing w:val="-2"/>
          <w:position w:val="1"/>
        </w:rPr>
        <w:t> </w:t>
      </w:r>
      <w:r>
        <w:rPr>
          <w:position w:val="1"/>
        </w:rPr>
        <w:t>for</w:t>
      </w:r>
      <w:r>
        <w:rPr>
          <w:spacing w:val="-3"/>
          <w:position w:val="1"/>
        </w:rPr>
        <w:t> </w:t>
      </w:r>
      <w:r>
        <w:rPr>
          <w:position w:val="1"/>
        </w:rPr>
        <w:t>the</w:t>
      </w:r>
      <w:r>
        <w:rPr>
          <w:spacing w:val="-4"/>
          <w:position w:val="1"/>
        </w:rPr>
        <w:t> </w:t>
      </w:r>
      <w:r>
        <w:rPr>
          <w:position w:val="1"/>
        </w:rPr>
        <w:t>perforated</w:t>
      </w:r>
      <w:r>
        <w:rPr>
          <w:spacing w:val="-3"/>
          <w:position w:val="1"/>
        </w:rPr>
        <w:t> </w:t>
      </w:r>
      <w:r>
        <w:rPr>
          <w:position w:val="1"/>
        </w:rPr>
        <w:t>plate</w:t>
      </w:r>
      <w:r>
        <w:rPr>
          <w:spacing w:val="-3"/>
          <w:position w:val="1"/>
        </w:rPr>
        <w:t> </w:t>
      </w:r>
      <w:r>
        <w:rPr>
          <w:position w:val="1"/>
        </w:rPr>
        <w:t>with</w:t>
      </w:r>
      <w:r>
        <w:rPr>
          <w:spacing w:val="-3"/>
          <w:position w:val="1"/>
        </w:rPr>
        <w:t> </w:t>
      </w:r>
      <w:r>
        <w:rPr>
          <w:position w:val="1"/>
        </w:rPr>
        <w:t>0.50-in.</w:t>
      </w:r>
      <w:r>
        <w:rPr>
          <w:spacing w:val="-4"/>
          <w:position w:val="1"/>
        </w:rPr>
        <w:t> </w:t>
      </w:r>
      <w:r>
        <w:rPr>
          <w:position w:val="1"/>
        </w:rPr>
        <w:t>thickness</w:t>
      </w:r>
      <w:r>
        <w:rPr>
          <w:spacing w:val="-4"/>
          <w:position w:val="1"/>
        </w:rPr>
        <w:t> </w:t>
      </w:r>
      <w:r>
        <w:rPr>
          <w:position w:val="1"/>
        </w:rPr>
        <w:t>is</w:t>
      </w:r>
      <w:r>
        <w:rPr>
          <w:spacing w:val="-2"/>
          <w:position w:val="1"/>
        </w:rPr>
        <w:t> </w:t>
      </w:r>
      <w:r>
        <w:rPr>
          <w:position w:val="1"/>
        </w:rPr>
        <w:t>2,295</w:t>
      </w:r>
      <w:r>
        <w:rPr>
          <w:spacing w:val="-4"/>
          <w:position w:val="1"/>
        </w:rPr>
        <w:t> </w:t>
      </w:r>
      <w:r>
        <w:rPr>
          <w:position w:val="1"/>
        </w:rPr>
        <w:t>fps</w:t>
      </w:r>
      <w:r>
        <w:rPr>
          <w:spacing w:val="-2"/>
          <w:position w:val="1"/>
        </w:rPr>
        <w:t> </w:t>
      </w:r>
      <w:r>
        <w:rPr>
          <w:position w:val="1"/>
        </w:rPr>
        <w:t>(700</w:t>
      </w:r>
      <w:r>
        <w:rPr>
          <w:spacing w:val="-3"/>
          <w:position w:val="1"/>
        </w:rPr>
        <w:t> </w:t>
      </w:r>
      <w:r>
        <w:rPr>
          <w:position w:val="1"/>
        </w:rPr>
        <w:t>m/s)</w:t>
      </w:r>
      <w:r>
        <w:rPr>
          <w:spacing w:val="-3"/>
          <w:position w:val="1"/>
        </w:rPr>
        <w:t> </w:t>
      </w:r>
      <w:r>
        <w:rPr>
          <w:position w:val="1"/>
        </w:rPr>
        <w:t>for</w:t>
      </w:r>
      <w:r>
        <w:rPr>
          <w:spacing w:val="-2"/>
          <w:position w:val="1"/>
        </w:rPr>
        <w:t> </w:t>
      </w:r>
      <w:r>
        <w:rPr>
          <w:position w:val="1"/>
        </w:rPr>
        <w:t>a</w:t>
      </w:r>
      <w:r>
        <w:rPr>
          <w:spacing w:val="-5"/>
          <w:position w:val="1"/>
        </w:rPr>
        <w:t> </w:t>
      </w:r>
      <w:r>
        <w:rPr>
          <w:position w:val="1"/>
        </w:rPr>
        <w:t>0.30</w:t>
      </w:r>
      <w:r>
        <w:rPr>
          <w:spacing w:val="-57"/>
          <w:position w:val="1"/>
        </w:rPr>
        <w:t> </w:t>
      </w:r>
      <w:r>
        <w:rPr/>
        <w:t>caliber armor piercing munition. This is smaller in diameter than the test sphere projectile</w:t>
      </w:r>
      <w:r>
        <w:rPr>
          <w:spacing w:val="-57"/>
        </w:rPr>
        <w:t> </w:t>
      </w:r>
      <w:r>
        <w:rPr>
          <w:spacing w:val="-1"/>
        </w:rPr>
        <w:t>and</w:t>
      </w:r>
      <w:r>
        <w:rPr>
          <w:spacing w:val="-15"/>
        </w:rPr>
        <w:t> </w:t>
      </w:r>
      <w:r>
        <w:rPr>
          <w:spacing w:val="-1"/>
        </w:rPr>
        <w:t>also</w:t>
      </w:r>
      <w:r>
        <w:rPr>
          <w:spacing w:val="-14"/>
        </w:rPr>
        <w:t> </w:t>
      </w:r>
      <w:r>
        <w:rPr>
          <w:spacing w:val="-1"/>
        </w:rPr>
        <w:t>has</w:t>
      </w:r>
      <w:r>
        <w:rPr>
          <w:spacing w:val="-16"/>
        </w:rPr>
        <w:t> </w:t>
      </w:r>
      <w:r>
        <w:rPr>
          <w:spacing w:val="-1"/>
        </w:rPr>
        <w:t>the</w:t>
      </w:r>
      <w:r>
        <w:rPr>
          <w:spacing w:val="-15"/>
        </w:rPr>
        <w:t> </w:t>
      </w:r>
      <w:r>
        <w:rPr>
          <w:spacing w:val="-1"/>
        </w:rPr>
        <w:t>armor</w:t>
      </w:r>
      <w:r>
        <w:rPr>
          <w:spacing w:val="-13"/>
        </w:rPr>
        <w:t> </w:t>
      </w:r>
      <w:r>
        <w:rPr>
          <w:spacing w:val="-1"/>
        </w:rPr>
        <w:t>piercing</w:t>
      </w:r>
      <w:r>
        <w:rPr>
          <w:spacing w:val="-15"/>
        </w:rPr>
        <w:t> </w:t>
      </w:r>
      <w:r>
        <w:rPr/>
        <w:t>nose</w:t>
      </w:r>
      <w:r>
        <w:rPr>
          <w:spacing w:val="-15"/>
        </w:rPr>
        <w:t> </w:t>
      </w:r>
      <w:r>
        <w:rPr/>
        <w:t>design.</w:t>
      </w:r>
      <w:r>
        <w:rPr>
          <w:spacing w:val="32"/>
        </w:rPr>
        <w:t> </w:t>
      </w:r>
      <w:r>
        <w:rPr/>
        <w:t>The</w:t>
      </w:r>
      <w:r>
        <w:rPr>
          <w:spacing w:val="-16"/>
        </w:rPr>
        <w:t> </w:t>
      </w:r>
      <w:r>
        <w:rPr/>
        <w:t>minimum</w:t>
      </w:r>
      <w:r>
        <w:rPr>
          <w:spacing w:val="-15"/>
        </w:rPr>
        <w:t> </w:t>
      </w:r>
      <w:r>
        <w:rPr/>
        <w:t>thickness</w:t>
      </w:r>
      <w:r>
        <w:rPr>
          <w:spacing w:val="-15"/>
        </w:rPr>
        <w:t> </w:t>
      </w:r>
      <w:r>
        <w:rPr/>
        <w:t>for</w:t>
      </w:r>
      <w:r>
        <w:rPr>
          <w:spacing w:val="-13"/>
        </w:rPr>
        <w:t> </w:t>
      </w:r>
      <w:r>
        <w:rPr/>
        <w:t>0.50</w:t>
      </w:r>
      <w:r>
        <w:rPr>
          <w:spacing w:val="-15"/>
        </w:rPr>
        <w:t> </w:t>
      </w:r>
      <w:r>
        <w:rPr/>
        <w:t>caliber</w:t>
      </w:r>
      <w:r>
        <w:rPr>
          <w:spacing w:val="-13"/>
        </w:rPr>
        <w:t> </w:t>
      </w:r>
      <w:r>
        <w:rPr/>
        <w:t>armor</w:t>
      </w:r>
      <w:r>
        <w:rPr>
          <w:spacing w:val="-58"/>
        </w:rPr>
        <w:t> </w:t>
      </w:r>
      <w:r>
        <w:rPr/>
        <w:t>piercing</w:t>
      </w:r>
      <w:r>
        <w:rPr>
          <w:spacing w:val="-7"/>
        </w:rPr>
        <w:t> </w:t>
      </w:r>
      <w:r>
        <w:rPr/>
        <w:t>munition</w:t>
      </w:r>
      <w:r>
        <w:rPr>
          <w:spacing w:val="-9"/>
        </w:rPr>
        <w:t> </w:t>
      </w:r>
      <w:r>
        <w:rPr/>
        <w:t>and</w:t>
      </w:r>
      <w:r>
        <w:rPr>
          <w:spacing w:val="-7"/>
        </w:rPr>
        <w:t> </w:t>
      </w:r>
      <w:r>
        <w:rPr/>
        <w:t>20</w:t>
      </w:r>
      <w:r>
        <w:rPr>
          <w:spacing w:val="-7"/>
        </w:rPr>
        <w:t> </w:t>
      </w:r>
      <w:r>
        <w:rPr/>
        <w:t>mm</w:t>
      </w:r>
      <w:r>
        <w:rPr>
          <w:spacing w:val="-9"/>
        </w:rPr>
        <w:t> </w:t>
      </w:r>
      <w:r>
        <w:rPr/>
        <w:t>armor</w:t>
      </w:r>
      <w:r>
        <w:rPr>
          <w:spacing w:val="-7"/>
        </w:rPr>
        <w:t> </w:t>
      </w:r>
      <w:r>
        <w:rPr/>
        <w:t>piercing</w:t>
      </w:r>
      <w:r>
        <w:rPr>
          <w:spacing w:val="-8"/>
        </w:rPr>
        <w:t> </w:t>
      </w:r>
      <w:r>
        <w:rPr/>
        <w:t>round</w:t>
      </w:r>
      <w:r>
        <w:rPr>
          <w:spacing w:val="-7"/>
        </w:rPr>
        <w:t> </w:t>
      </w:r>
      <w:r>
        <w:rPr/>
        <w:t>are</w:t>
      </w:r>
      <w:r>
        <w:rPr>
          <w:spacing w:val="-8"/>
        </w:rPr>
        <w:t> </w:t>
      </w:r>
      <w:r>
        <w:rPr/>
        <w:t>both</w:t>
      </w:r>
      <w:r>
        <w:rPr>
          <w:spacing w:val="-10"/>
        </w:rPr>
        <w:t> </w:t>
      </w:r>
      <w:r>
        <w:rPr/>
        <w:t>greater</w:t>
      </w:r>
      <w:r>
        <w:rPr>
          <w:spacing w:val="-8"/>
        </w:rPr>
        <w:t> </w:t>
      </w:r>
      <w:r>
        <w:rPr/>
        <w:t>than</w:t>
      </w:r>
      <w:r>
        <w:rPr>
          <w:spacing w:val="-8"/>
        </w:rPr>
        <w:t> </w:t>
      </w:r>
      <w:r>
        <w:rPr/>
        <w:t>0.50-inch.</w:t>
      </w:r>
      <w:r>
        <w:rPr>
          <w:spacing w:val="43"/>
        </w:rPr>
        <w:t> </w:t>
      </w:r>
      <w:r>
        <w:rPr/>
        <w:t>While</w:t>
      </w:r>
      <w:r>
        <w:rPr>
          <w:spacing w:val="-58"/>
        </w:rPr>
        <w:t> </w:t>
      </w:r>
      <w:r>
        <w:rPr/>
        <w:t>the</w:t>
      </w:r>
      <w:r>
        <w:rPr>
          <w:spacing w:val="-7"/>
        </w:rPr>
        <w:t> </w:t>
      </w:r>
      <w:r>
        <w:rPr/>
        <w:t>test</w:t>
      </w:r>
      <w:r>
        <w:rPr>
          <w:spacing w:val="-7"/>
        </w:rPr>
        <w:t> </w:t>
      </w:r>
      <w:r>
        <w:rPr/>
        <w:t>projectile</w:t>
      </w:r>
      <w:r>
        <w:rPr>
          <w:spacing w:val="-7"/>
        </w:rPr>
        <w:t> </w:t>
      </w:r>
      <w:r>
        <w:rPr/>
        <w:t>is</w:t>
      </w:r>
      <w:r>
        <w:rPr>
          <w:spacing w:val="-7"/>
        </w:rPr>
        <w:t> </w:t>
      </w:r>
      <w:r>
        <w:rPr/>
        <w:t>larger</w:t>
      </w:r>
      <w:r>
        <w:rPr>
          <w:spacing w:val="-7"/>
        </w:rPr>
        <w:t> </w:t>
      </w:r>
      <w:r>
        <w:rPr/>
        <w:t>in</w:t>
      </w:r>
      <w:r>
        <w:rPr>
          <w:spacing w:val="-7"/>
        </w:rPr>
        <w:t> </w:t>
      </w:r>
      <w:r>
        <w:rPr/>
        <w:t>diameter,</w:t>
      </w:r>
      <w:r>
        <w:rPr>
          <w:spacing w:val="-7"/>
        </w:rPr>
        <w:t> </w:t>
      </w:r>
      <w:r>
        <w:rPr/>
        <w:t>it</w:t>
      </w:r>
      <w:r>
        <w:rPr>
          <w:spacing w:val="-7"/>
        </w:rPr>
        <w:t> </w:t>
      </w:r>
      <w:r>
        <w:rPr/>
        <w:t>does</w:t>
      </w:r>
      <w:r>
        <w:rPr>
          <w:spacing w:val="-7"/>
        </w:rPr>
        <w:t> </w:t>
      </w:r>
      <w:r>
        <w:rPr/>
        <w:t>not</w:t>
      </w:r>
      <w:r>
        <w:rPr>
          <w:spacing w:val="-8"/>
        </w:rPr>
        <w:t> </w:t>
      </w:r>
      <w:r>
        <w:rPr/>
        <w:t>have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armor</w:t>
      </w:r>
      <w:r>
        <w:rPr>
          <w:spacing w:val="-7"/>
        </w:rPr>
        <w:t> </w:t>
      </w:r>
      <w:r>
        <w:rPr/>
        <w:t>piercing</w:t>
      </w:r>
      <w:r>
        <w:rPr>
          <w:spacing w:val="-6"/>
        </w:rPr>
        <w:t> </w:t>
      </w:r>
      <w:r>
        <w:rPr/>
        <w:t>design.</w:t>
      </w:r>
      <w:r>
        <w:rPr>
          <w:spacing w:val="46"/>
        </w:rPr>
        <w:t> </w:t>
      </w:r>
      <w:r>
        <w:rPr/>
        <w:t>The</w:t>
      </w:r>
      <w:r>
        <w:rPr>
          <w:spacing w:val="-7"/>
        </w:rPr>
        <w:t> </w:t>
      </w:r>
      <w:r>
        <w:rPr/>
        <w:t>test</w:t>
      </w:r>
      <w:r>
        <w:rPr>
          <w:spacing w:val="-58"/>
        </w:rPr>
        <w:t> </w:t>
      </w:r>
      <w:r>
        <w:rPr/>
        <w:t>striking velocity was designed to be 2,500 fps (762 m/s) for comparison with the other</w:t>
      </w:r>
      <w:r>
        <w:rPr>
          <w:spacing w:val="1"/>
        </w:rPr>
        <w:t> </w:t>
      </w:r>
      <w:r>
        <w:rPr/>
        <w:t>series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tests to the standard CLT specimens.</w:t>
      </w:r>
    </w:p>
    <w:p>
      <w:pPr>
        <w:pStyle w:val="ListParagraph"/>
        <w:numPr>
          <w:ilvl w:val="3"/>
          <w:numId w:val="24"/>
        </w:numPr>
        <w:tabs>
          <w:tab w:pos="1160" w:val="left" w:leader="none"/>
        </w:tabs>
        <w:spacing w:line="240" w:lineRule="auto" w:before="161" w:after="0"/>
        <w:ind w:left="1160" w:right="0" w:hanging="720"/>
        <w:jc w:val="both"/>
        <w:rPr>
          <w:i/>
          <w:sz w:val="24"/>
        </w:rPr>
      </w:pPr>
      <w:bookmarkStart w:name="7.2.2.2 Type 2 - Expanded metal plate" w:id="411"/>
      <w:bookmarkEnd w:id="411"/>
      <w:r>
        <w:rPr/>
      </w:r>
      <w:bookmarkStart w:name="7.2.2.2 Type 2 - Expanded metal plate" w:id="412"/>
      <w:bookmarkEnd w:id="412"/>
      <w:r>
        <w:rPr>
          <w:i/>
          <w:sz w:val="24"/>
          <w:u w:val="single"/>
        </w:rPr>
        <w:t>T</w:t>
      </w:r>
      <w:r>
        <w:rPr>
          <w:i/>
          <w:sz w:val="24"/>
          <w:u w:val="single"/>
        </w:rPr>
        <w:t>ype</w:t>
      </w:r>
      <w:r>
        <w:rPr>
          <w:i/>
          <w:spacing w:val="-2"/>
          <w:sz w:val="24"/>
          <w:u w:val="single"/>
        </w:rPr>
        <w:t> </w:t>
      </w:r>
      <w:r>
        <w:rPr>
          <w:i/>
          <w:sz w:val="24"/>
          <w:u w:val="single"/>
        </w:rPr>
        <w:t>2</w:t>
      </w:r>
      <w:r>
        <w:rPr>
          <w:i/>
          <w:spacing w:val="-1"/>
          <w:sz w:val="24"/>
          <w:u w:val="single"/>
        </w:rPr>
        <w:t> </w:t>
      </w:r>
      <w:r>
        <w:rPr>
          <w:i/>
          <w:sz w:val="24"/>
          <w:u w:val="single"/>
        </w:rPr>
        <w:t>-</w:t>
      </w:r>
      <w:r>
        <w:rPr>
          <w:i/>
          <w:spacing w:val="-2"/>
          <w:sz w:val="24"/>
          <w:u w:val="single"/>
        </w:rPr>
        <w:t> </w:t>
      </w:r>
      <w:r>
        <w:rPr>
          <w:i/>
          <w:sz w:val="24"/>
          <w:u w:val="single"/>
        </w:rPr>
        <w:t>Expanded</w:t>
      </w:r>
      <w:r>
        <w:rPr>
          <w:i/>
          <w:spacing w:val="-1"/>
          <w:sz w:val="24"/>
          <w:u w:val="single"/>
        </w:rPr>
        <w:t> </w:t>
      </w:r>
      <w:r>
        <w:rPr>
          <w:i/>
          <w:sz w:val="24"/>
          <w:u w:val="single"/>
        </w:rPr>
        <w:t>metal</w:t>
      </w:r>
      <w:r>
        <w:rPr>
          <w:i/>
          <w:spacing w:val="-2"/>
          <w:sz w:val="24"/>
          <w:u w:val="single"/>
        </w:rPr>
        <w:t> </w:t>
      </w:r>
      <w:r>
        <w:rPr>
          <w:i/>
          <w:sz w:val="24"/>
          <w:u w:val="single"/>
        </w:rPr>
        <w:t>plate</w:t>
      </w:r>
    </w:p>
    <w:p>
      <w:pPr>
        <w:pStyle w:val="BodyText"/>
        <w:spacing w:before="9"/>
        <w:rPr>
          <w:i/>
          <w:sz w:val="14"/>
        </w:rPr>
      </w:pPr>
    </w:p>
    <w:p>
      <w:pPr>
        <w:pStyle w:val="BodyText"/>
        <w:spacing w:line="480" w:lineRule="auto" w:before="90"/>
        <w:ind w:left="440" w:right="417" w:firstLine="720"/>
        <w:jc w:val="both"/>
      </w:pPr>
      <w:r>
        <w:rPr>
          <w:spacing w:val="-1"/>
        </w:rPr>
        <w:t>Expanded</w:t>
      </w:r>
      <w:r>
        <w:rPr>
          <w:spacing w:val="-13"/>
        </w:rPr>
        <w:t> </w:t>
      </w:r>
      <w:r>
        <w:rPr/>
        <w:t>metal</w:t>
      </w:r>
      <w:r>
        <w:rPr>
          <w:spacing w:val="-13"/>
        </w:rPr>
        <w:t> </w:t>
      </w:r>
      <w:r>
        <w:rPr/>
        <w:t>is</w:t>
      </w:r>
      <w:r>
        <w:rPr>
          <w:spacing w:val="-14"/>
        </w:rPr>
        <w:t> </w:t>
      </w:r>
      <w:r>
        <w:rPr/>
        <w:t>typically</w:t>
      </w:r>
      <w:r>
        <w:rPr>
          <w:spacing w:val="-12"/>
        </w:rPr>
        <w:t> </w:t>
      </w:r>
      <w:r>
        <w:rPr/>
        <w:t>a</w:t>
      </w:r>
      <w:r>
        <w:rPr>
          <w:spacing w:val="-14"/>
        </w:rPr>
        <w:t> </w:t>
      </w:r>
      <w:r>
        <w:rPr/>
        <w:t>carbon</w:t>
      </w:r>
      <w:r>
        <w:rPr>
          <w:spacing w:val="-14"/>
        </w:rPr>
        <w:t> </w:t>
      </w:r>
      <w:r>
        <w:rPr/>
        <w:t>steel</w:t>
      </w:r>
      <w:r>
        <w:rPr>
          <w:spacing w:val="-13"/>
        </w:rPr>
        <w:t> </w:t>
      </w:r>
      <w:r>
        <w:rPr/>
        <w:t>sheet</w:t>
      </w:r>
      <w:r>
        <w:rPr>
          <w:spacing w:val="-12"/>
        </w:rPr>
        <w:t> </w:t>
      </w:r>
      <w:r>
        <w:rPr/>
        <w:t>that</w:t>
      </w:r>
      <w:r>
        <w:rPr>
          <w:spacing w:val="-13"/>
        </w:rPr>
        <w:t> </w:t>
      </w:r>
      <w:r>
        <w:rPr/>
        <w:t>has</w:t>
      </w:r>
      <w:r>
        <w:rPr>
          <w:spacing w:val="-12"/>
        </w:rPr>
        <w:t> </w:t>
      </w:r>
      <w:r>
        <w:rPr/>
        <w:t>been</w:t>
      </w:r>
      <w:r>
        <w:rPr>
          <w:spacing w:val="-13"/>
        </w:rPr>
        <w:t> </w:t>
      </w:r>
      <w:r>
        <w:rPr/>
        <w:t>both</w:t>
      </w:r>
      <w:r>
        <w:rPr>
          <w:spacing w:val="-12"/>
        </w:rPr>
        <w:t> </w:t>
      </w:r>
      <w:r>
        <w:rPr/>
        <w:t>slit</w:t>
      </w:r>
      <w:r>
        <w:rPr>
          <w:spacing w:val="-13"/>
        </w:rPr>
        <w:t> </w:t>
      </w:r>
      <w:r>
        <w:rPr/>
        <w:t>and</w:t>
      </w:r>
      <w:r>
        <w:rPr>
          <w:spacing w:val="-14"/>
        </w:rPr>
        <w:t> </w:t>
      </w:r>
      <w:r>
        <w:rPr/>
        <w:t>stretched</w:t>
      </w:r>
      <w:r>
        <w:rPr>
          <w:spacing w:val="-58"/>
        </w:rPr>
        <w:t> </w:t>
      </w:r>
      <w:r>
        <w:rPr/>
        <w:t>into a rigid mesh with diamond shaped openings.</w:t>
      </w:r>
      <w:r>
        <w:rPr>
          <w:spacing w:val="1"/>
        </w:rPr>
        <w:t> </w:t>
      </w:r>
      <w:r>
        <w:rPr/>
        <w:t>The expanded metal is comprised of</w:t>
      </w:r>
      <w:r>
        <w:rPr>
          <w:spacing w:val="1"/>
        </w:rPr>
        <w:t> </w:t>
      </w:r>
      <w:r>
        <w:rPr/>
        <w:t>strands of metal with intersections called bonds.</w:t>
      </w:r>
      <w:r>
        <w:rPr>
          <w:spacing w:val="1"/>
        </w:rPr>
        <w:t> </w:t>
      </w:r>
      <w:r>
        <w:rPr/>
        <w:t>The bonds form a sharp angle from the</w:t>
      </w:r>
      <w:r>
        <w:rPr>
          <w:spacing w:val="1"/>
        </w:rPr>
        <w:t> </w:t>
      </w:r>
      <w:r>
        <w:rPr/>
        <w:t>original flat sheet of metal, as shown in </w:t>
      </w:r>
      <w:hyperlink w:history="true" w:anchor="_bookmark125">
        <w:r>
          <w:rPr/>
          <w:t>Figure 7-4</w:t>
        </w:r>
      </w:hyperlink>
      <w:r>
        <w:rPr/>
        <w:t>.</w:t>
      </w:r>
      <w:r>
        <w:rPr>
          <w:spacing w:val="1"/>
        </w:rPr>
        <w:t> </w:t>
      </w:r>
      <w:r>
        <w:rPr/>
        <w:t>Expanded metal products are often</w:t>
      </w:r>
      <w:r>
        <w:rPr>
          <w:spacing w:val="1"/>
        </w:rPr>
        <w:t> </w:t>
      </w:r>
      <w:r>
        <w:rPr/>
        <w:t>made from both hot and cold rolled steel, galvanized steel as well as aluminum and other</w:t>
      </w:r>
      <w:r>
        <w:rPr>
          <w:spacing w:val="1"/>
        </w:rPr>
        <w:t> </w:t>
      </w:r>
      <w:r>
        <w:rPr/>
        <w:t>softer metals.</w:t>
      </w:r>
      <w:r>
        <w:rPr>
          <w:spacing w:val="1"/>
        </w:rPr>
        <w:t> </w:t>
      </w:r>
      <w:r>
        <w:rPr/>
        <w:t>It is used for a variety of purposes from industrial and commercial to</w:t>
      </w:r>
      <w:r>
        <w:rPr>
          <w:spacing w:val="1"/>
        </w:rPr>
        <w:t> </w:t>
      </w:r>
      <w:r>
        <w:rPr/>
        <w:t>decorative uses with thinner strands.</w:t>
      </w:r>
      <w:r>
        <w:rPr>
          <w:spacing w:val="1"/>
        </w:rPr>
        <w:t> </w:t>
      </w:r>
      <w:r>
        <w:rPr/>
        <w:t>Key specification measurements include width of</w:t>
      </w:r>
      <w:r>
        <w:rPr>
          <w:spacing w:val="1"/>
        </w:rPr>
        <w:t> </w:t>
      </w:r>
      <w:r>
        <w:rPr/>
        <w:t>mesh,</w:t>
      </w:r>
      <w:r>
        <w:rPr>
          <w:spacing w:val="-6"/>
        </w:rPr>
        <w:t> </w:t>
      </w:r>
      <w:r>
        <w:rPr/>
        <w:t>length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mesh,</w:t>
      </w:r>
      <w:r>
        <w:rPr>
          <w:spacing w:val="-6"/>
        </w:rPr>
        <w:t> </w:t>
      </w:r>
      <w:r>
        <w:rPr/>
        <w:t>width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strand,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weight</w:t>
      </w:r>
      <w:r>
        <w:rPr>
          <w:spacing w:val="-7"/>
        </w:rPr>
        <w:t> </w:t>
      </w:r>
      <w:r>
        <w:rPr/>
        <w:t>per</w:t>
      </w:r>
      <w:r>
        <w:rPr>
          <w:spacing w:val="-6"/>
        </w:rPr>
        <w:t> </w:t>
      </w:r>
      <w:r>
        <w:rPr/>
        <w:t>square</w:t>
      </w:r>
      <w:r>
        <w:rPr>
          <w:spacing w:val="-6"/>
        </w:rPr>
        <w:t> </w:t>
      </w:r>
      <w:r>
        <w:rPr/>
        <w:t>foot</w:t>
      </w:r>
      <w:r>
        <w:rPr>
          <w:spacing w:val="-6"/>
        </w:rPr>
        <w:t> </w:t>
      </w:r>
      <w:r>
        <w:rPr/>
        <w:t>for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heavier</w:t>
      </w:r>
      <w:r>
        <w:rPr>
          <w:spacing w:val="-6"/>
        </w:rPr>
        <w:t> </w:t>
      </w:r>
      <w:r>
        <w:rPr/>
        <w:t>products.</w:t>
      </w:r>
      <w:r>
        <w:rPr>
          <w:spacing w:val="-58"/>
        </w:rPr>
        <w:t> </w:t>
      </w:r>
      <w:hyperlink w:history="true" w:anchor="_bookmark126">
        <w:r>
          <w:rPr/>
          <w:t>Figure 7-5</w:t>
        </w:r>
      </w:hyperlink>
      <w:r>
        <w:rPr/>
        <w:t>, from the military specification for steel expanded metal, </w:t>
      </w:r>
      <w:r>
        <w:rPr>
          <w:i/>
        </w:rPr>
        <w:t>MIL-M-17194D</w:t>
      </w:r>
      <w:r>
        <w:rPr/>
        <w:t>,</w:t>
      </w:r>
      <w:r>
        <w:rPr>
          <w:spacing w:val="1"/>
        </w:rPr>
        <w:t> </w:t>
      </w:r>
      <w:r>
        <w:rPr/>
        <w:t>shows</w:t>
      </w:r>
      <w:r>
        <w:rPr>
          <w:spacing w:val="-1"/>
        </w:rPr>
        <w:t> </w:t>
      </w:r>
      <w:r>
        <w:rPr/>
        <w:t>how</w:t>
      </w:r>
      <w:r>
        <w:rPr>
          <w:spacing w:val="-1"/>
        </w:rPr>
        <w:t> </w:t>
      </w:r>
      <w:r>
        <w:rPr/>
        <w:t>those dimensions are measured.</w:t>
      </w:r>
    </w:p>
    <w:p>
      <w:pPr>
        <w:pStyle w:val="BodyText"/>
        <w:spacing w:before="11"/>
        <w:rPr>
          <w:sz w:val="20"/>
        </w:rPr>
      </w:pPr>
    </w:p>
    <w:p>
      <w:pPr>
        <w:pStyle w:val="BodyText"/>
        <w:spacing w:line="480" w:lineRule="auto"/>
        <w:ind w:left="440" w:right="418" w:firstLine="720"/>
        <w:jc w:val="both"/>
      </w:pPr>
      <w:r>
        <w:rPr/>
        <w:t>For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expanded</w:t>
      </w:r>
      <w:r>
        <w:rPr>
          <w:spacing w:val="-8"/>
        </w:rPr>
        <w:t> </w:t>
      </w:r>
      <w:r>
        <w:rPr/>
        <w:t>metal</w:t>
      </w:r>
      <w:r>
        <w:rPr>
          <w:spacing w:val="-7"/>
        </w:rPr>
        <w:t> </w:t>
      </w:r>
      <w:r>
        <w:rPr/>
        <w:t>plate</w:t>
      </w:r>
      <w:r>
        <w:rPr>
          <w:spacing w:val="-7"/>
        </w:rPr>
        <w:t> </w:t>
      </w:r>
      <w:r>
        <w:rPr/>
        <w:t>used</w:t>
      </w:r>
      <w:r>
        <w:rPr>
          <w:spacing w:val="-7"/>
        </w:rPr>
        <w:t> </w:t>
      </w:r>
      <w:r>
        <w:rPr/>
        <w:t>in</w:t>
      </w:r>
      <w:r>
        <w:rPr>
          <w:spacing w:val="-8"/>
        </w:rPr>
        <w:t> </w:t>
      </w:r>
      <w:r>
        <w:rPr/>
        <w:t>this</w:t>
      </w:r>
      <w:r>
        <w:rPr>
          <w:spacing w:val="-7"/>
        </w:rPr>
        <w:t> </w:t>
      </w:r>
      <w:r>
        <w:rPr/>
        <w:t>research</w:t>
      </w:r>
      <w:r>
        <w:rPr>
          <w:spacing w:val="-9"/>
        </w:rPr>
        <w:t> </w:t>
      </w:r>
      <w:r>
        <w:rPr/>
        <w:t>the</w:t>
      </w:r>
      <w:r>
        <w:rPr>
          <w:spacing w:val="-7"/>
        </w:rPr>
        <w:t> </w:t>
      </w:r>
      <w:r>
        <w:rPr/>
        <w:t>width</w:t>
      </w:r>
      <w:r>
        <w:rPr>
          <w:spacing w:val="-7"/>
        </w:rPr>
        <w:t> </w:t>
      </w:r>
      <w:r>
        <w:rPr/>
        <w:t>of</w:t>
      </w:r>
      <w:r>
        <w:rPr>
          <w:spacing w:val="-9"/>
        </w:rPr>
        <w:t> </w:t>
      </w:r>
      <w:r>
        <w:rPr/>
        <w:t>mesh</w:t>
      </w:r>
      <w:r>
        <w:rPr>
          <w:spacing w:val="-6"/>
        </w:rPr>
        <w:t> </w:t>
      </w:r>
      <w:r>
        <w:rPr/>
        <w:t>was</w:t>
      </w:r>
      <w:r>
        <w:rPr>
          <w:spacing w:val="-7"/>
        </w:rPr>
        <w:t> </w:t>
      </w:r>
      <w:r>
        <w:rPr/>
        <w:t>0.875-in.,</w:t>
      </w:r>
      <w:r>
        <w:rPr>
          <w:spacing w:val="-58"/>
        </w:rPr>
        <w:t> </w:t>
      </w:r>
      <w:r>
        <w:rPr/>
        <w:t>the</w:t>
      </w:r>
      <w:r>
        <w:rPr>
          <w:spacing w:val="-10"/>
        </w:rPr>
        <w:t> </w:t>
      </w:r>
      <w:r>
        <w:rPr/>
        <w:t>length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mesh</w:t>
      </w:r>
      <w:r>
        <w:rPr>
          <w:spacing w:val="-9"/>
        </w:rPr>
        <w:t> </w:t>
      </w:r>
      <w:r>
        <w:rPr/>
        <w:t>was</w:t>
      </w:r>
      <w:r>
        <w:rPr>
          <w:spacing w:val="-10"/>
        </w:rPr>
        <w:t> </w:t>
      </w:r>
      <w:r>
        <w:rPr/>
        <w:t>1.0625-in.</w:t>
      </w:r>
      <w:r>
        <w:rPr>
          <w:spacing w:val="-9"/>
        </w:rPr>
        <w:t> </w:t>
      </w:r>
      <w:r>
        <w:rPr/>
        <w:t>and</w:t>
      </w:r>
      <w:r>
        <w:rPr>
          <w:spacing w:val="-11"/>
        </w:rPr>
        <w:t> </w:t>
      </w:r>
      <w:r>
        <w:rPr/>
        <w:t>the</w:t>
      </w:r>
      <w:r>
        <w:rPr>
          <w:spacing w:val="-9"/>
        </w:rPr>
        <w:t> </w:t>
      </w:r>
      <w:r>
        <w:rPr/>
        <w:t>width</w:t>
      </w:r>
      <w:r>
        <w:rPr>
          <w:spacing w:val="-10"/>
        </w:rPr>
        <w:t> </w:t>
      </w:r>
      <w:r>
        <w:rPr/>
        <w:t>of</w:t>
      </w:r>
      <w:r>
        <w:rPr>
          <w:spacing w:val="-10"/>
        </w:rPr>
        <w:t> </w:t>
      </w:r>
      <w:r>
        <w:rPr/>
        <w:t>strand</w:t>
      </w:r>
      <w:r>
        <w:rPr>
          <w:spacing w:val="-10"/>
        </w:rPr>
        <w:t> </w:t>
      </w:r>
      <w:r>
        <w:rPr/>
        <w:t>was</w:t>
      </w:r>
      <w:r>
        <w:rPr>
          <w:spacing w:val="-10"/>
        </w:rPr>
        <w:t> </w:t>
      </w:r>
      <w:r>
        <w:rPr/>
        <w:t>0.25-in.</w:t>
      </w:r>
      <w:r>
        <w:rPr>
          <w:spacing w:val="42"/>
        </w:rPr>
        <w:t> </w:t>
      </w:r>
      <w:r>
        <w:rPr/>
        <w:t>Based</w:t>
      </w:r>
      <w:r>
        <w:rPr>
          <w:spacing w:val="-10"/>
        </w:rPr>
        <w:t> </w:t>
      </w:r>
      <w:r>
        <w:rPr/>
        <w:t>on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strand</w:t>
      </w:r>
      <w:r>
        <w:rPr>
          <w:spacing w:val="-57"/>
        </w:rPr>
        <w:t> </w:t>
      </w:r>
      <w:r>
        <w:rPr/>
        <w:t>thickness, the</w:t>
      </w:r>
      <w:r>
        <w:rPr>
          <w:spacing w:val="1"/>
        </w:rPr>
        <w:t> </w:t>
      </w:r>
      <w:r>
        <w:rPr/>
        <w:t>metal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likely</w:t>
      </w:r>
      <w:r>
        <w:rPr>
          <w:spacing w:val="1"/>
        </w:rPr>
        <w:t> </w:t>
      </w:r>
      <w:r>
        <w:rPr/>
        <w:t>heat</w:t>
      </w:r>
      <w:r>
        <w:rPr>
          <w:spacing w:val="-1"/>
        </w:rPr>
        <w:t> </w:t>
      </w:r>
      <w:r>
        <w:rPr/>
        <w:t>treated</w:t>
      </w:r>
      <w:r>
        <w:rPr>
          <w:spacing w:val="1"/>
        </w:rPr>
        <w:t> </w:t>
      </w:r>
      <w:r>
        <w:rPr/>
        <w:t>prior to</w:t>
      </w:r>
      <w:r>
        <w:rPr>
          <w:spacing w:val="1"/>
        </w:rPr>
        <w:t> </w:t>
      </w:r>
      <w:r>
        <w:rPr/>
        <w:t>slitting</w:t>
      </w:r>
      <w:r>
        <w:rPr>
          <w:spacing w:val="1"/>
        </w:rPr>
        <w:t> </w:t>
      </w:r>
      <w:r>
        <w:rPr/>
        <w:t>and stretching for</w:t>
      </w:r>
      <w:r>
        <w:rPr>
          <w:spacing w:val="1"/>
        </w:rPr>
        <w:t> </w:t>
      </w:r>
      <w:r>
        <w:rPr/>
        <w:t>armored</w:t>
      </w:r>
      <w:r>
        <w:rPr>
          <w:spacing w:val="2"/>
        </w:rPr>
        <w:t> </w:t>
      </w:r>
      <w:r>
        <w:rPr/>
        <w:t>use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40" w:right="403"/>
      </w:pPr>
      <w:r>
        <w:rPr/>
        <w:t>in</w:t>
      </w:r>
      <w:r>
        <w:rPr>
          <w:spacing w:val="17"/>
        </w:rPr>
        <w:t> </w:t>
      </w:r>
      <w:r>
        <w:rPr/>
        <w:t>accordance</w:t>
      </w:r>
      <w:r>
        <w:rPr>
          <w:spacing w:val="17"/>
        </w:rPr>
        <w:t> </w:t>
      </w:r>
      <w:r>
        <w:rPr/>
        <w:t>with</w:t>
      </w:r>
      <w:r>
        <w:rPr>
          <w:spacing w:val="18"/>
        </w:rPr>
        <w:t> </w:t>
      </w:r>
      <w:r>
        <w:rPr>
          <w:i/>
        </w:rPr>
        <w:t>MIL-A-46177C</w:t>
      </w:r>
      <w:r>
        <w:rPr/>
        <w:t>,</w:t>
      </w:r>
      <w:r>
        <w:rPr>
          <w:spacing w:val="17"/>
        </w:rPr>
        <w:t> </w:t>
      </w:r>
      <w:r>
        <w:rPr/>
        <w:t>the</w:t>
      </w:r>
      <w:r>
        <w:rPr>
          <w:spacing w:val="17"/>
        </w:rPr>
        <w:t> </w:t>
      </w:r>
      <w:r>
        <w:rPr/>
        <w:t>military</w:t>
      </w:r>
      <w:r>
        <w:rPr>
          <w:spacing w:val="17"/>
        </w:rPr>
        <w:t> </w:t>
      </w:r>
      <w:r>
        <w:rPr/>
        <w:t>specification</w:t>
      </w:r>
      <w:r>
        <w:rPr>
          <w:spacing w:val="16"/>
        </w:rPr>
        <w:t> </w:t>
      </w:r>
      <w:r>
        <w:rPr/>
        <w:t>for</w:t>
      </w:r>
      <w:r>
        <w:rPr>
          <w:spacing w:val="17"/>
        </w:rPr>
        <w:t> </w:t>
      </w:r>
      <w:r>
        <w:rPr/>
        <w:t>wrought</w:t>
      </w:r>
      <w:r>
        <w:rPr>
          <w:spacing w:val="18"/>
        </w:rPr>
        <w:t> </w:t>
      </w:r>
      <w:r>
        <w:rPr/>
        <w:t>homogeneous</w:t>
      </w:r>
      <w:r>
        <w:rPr>
          <w:spacing w:val="-57"/>
        </w:rPr>
        <w:t> </w:t>
      </w:r>
      <w:r>
        <w:rPr/>
        <w:t>steel</w:t>
      </w:r>
      <w:r>
        <w:rPr>
          <w:spacing w:val="-7"/>
        </w:rPr>
        <w:t> </w:t>
      </w:r>
      <w:r>
        <w:rPr/>
        <w:t>plate</w:t>
      </w:r>
      <w:r>
        <w:rPr>
          <w:spacing w:val="-7"/>
        </w:rPr>
        <w:t> </w:t>
      </w:r>
      <w:r>
        <w:rPr/>
        <w:t>armor</w:t>
      </w:r>
      <w:r>
        <w:rPr>
          <w:spacing w:val="-7"/>
        </w:rPr>
        <w:t> </w:t>
      </w:r>
      <w:r>
        <w:rPr/>
        <w:t>less</w:t>
      </w:r>
      <w:r>
        <w:rPr>
          <w:spacing w:val="-7"/>
        </w:rPr>
        <w:t> </w:t>
      </w:r>
      <w:r>
        <w:rPr/>
        <w:t>than</w:t>
      </w:r>
      <w:r>
        <w:rPr>
          <w:spacing w:val="-7"/>
        </w:rPr>
        <w:t> </w:t>
      </w:r>
      <w:r>
        <w:rPr/>
        <w:t>0.25-in.</w:t>
      </w:r>
      <w:r>
        <w:rPr>
          <w:spacing w:val="-7"/>
        </w:rPr>
        <w:t> </w:t>
      </w:r>
      <w:r>
        <w:rPr/>
        <w:t>thick</w:t>
      </w:r>
      <w:r>
        <w:rPr>
          <w:spacing w:val="-7"/>
        </w:rPr>
        <w:t> </w:t>
      </w:r>
      <w:r>
        <w:rPr/>
        <w:t>with</w:t>
      </w:r>
      <w:r>
        <w:rPr>
          <w:spacing w:val="-7"/>
        </w:rPr>
        <w:t> </w:t>
      </w:r>
      <w:r>
        <w:rPr/>
        <w:t>an</w:t>
      </w:r>
      <w:r>
        <w:rPr>
          <w:spacing w:val="-6"/>
        </w:rPr>
        <w:t> </w:t>
      </w:r>
      <w:r>
        <w:rPr/>
        <w:t>average</w:t>
      </w:r>
      <w:r>
        <w:rPr>
          <w:spacing w:val="-7"/>
        </w:rPr>
        <w:t> </w:t>
      </w:r>
      <w:r>
        <w:rPr/>
        <w:t>surface</w:t>
      </w:r>
      <w:r>
        <w:rPr>
          <w:spacing w:val="-7"/>
        </w:rPr>
        <w:t> </w:t>
      </w:r>
      <w:r>
        <w:rPr/>
        <w:t>Brinell</w:t>
      </w:r>
      <w:r>
        <w:rPr>
          <w:spacing w:val="-7"/>
        </w:rPr>
        <w:t> </w:t>
      </w:r>
      <w:r>
        <w:rPr/>
        <w:t>hardness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362</w:t>
      </w:r>
      <w:r>
        <w:rPr>
          <w:spacing w:val="-7"/>
        </w:rPr>
        <w:t> </w:t>
      </w:r>
      <w:r>
        <w:rPr/>
        <w:t>to</w:t>
      </w:r>
    </w:p>
    <w:p>
      <w:pPr>
        <w:pStyle w:val="BodyText"/>
        <w:spacing w:line="480" w:lineRule="auto"/>
        <w:ind w:left="440" w:right="403"/>
      </w:pPr>
      <w:r>
        <w:rPr/>
        <w:t>400.</w:t>
      </w:r>
      <w:r>
        <w:rPr>
          <w:spacing w:val="8"/>
        </w:rPr>
        <w:t> </w:t>
      </w:r>
      <w:r>
        <w:rPr/>
        <w:t>According</w:t>
      </w:r>
      <w:r>
        <w:rPr>
          <w:spacing w:val="2"/>
        </w:rPr>
        <w:t> </w:t>
      </w:r>
      <w:r>
        <w:rPr/>
        <w:t>to</w:t>
      </w:r>
      <w:r>
        <w:rPr>
          <w:spacing w:val="3"/>
        </w:rPr>
        <w:t> </w:t>
      </w:r>
      <w:r>
        <w:rPr/>
        <w:t>this</w:t>
      </w:r>
      <w:r>
        <w:rPr>
          <w:spacing w:val="2"/>
        </w:rPr>
        <w:t> </w:t>
      </w:r>
      <w:r>
        <w:rPr/>
        <w:t>specification</w:t>
      </w:r>
      <w:r>
        <w:rPr>
          <w:spacing w:val="2"/>
        </w:rPr>
        <w:t> </w:t>
      </w:r>
      <w:r>
        <w:rPr/>
        <w:t>the</w:t>
      </w:r>
      <w:r>
        <w:rPr>
          <w:spacing w:val="4"/>
        </w:rPr>
        <w:t> </w:t>
      </w:r>
      <w:r>
        <w:rPr/>
        <w:t>minimum</w:t>
      </w:r>
      <w:r>
        <w:rPr>
          <w:spacing w:val="3"/>
        </w:rPr>
        <w:t> </w:t>
      </w:r>
      <w:r>
        <w:rPr/>
        <w:t>ballistic</w:t>
      </w:r>
      <w:r>
        <w:rPr>
          <w:spacing w:val="2"/>
        </w:rPr>
        <w:t> </w:t>
      </w:r>
      <w:r>
        <w:rPr/>
        <w:t>limit</w:t>
      </w:r>
      <w:r>
        <w:rPr>
          <w:spacing w:val="4"/>
        </w:rPr>
        <w:t> </w:t>
      </w:r>
      <w:r>
        <w:rPr/>
        <w:t>for</w:t>
      </w:r>
      <w:r>
        <w:rPr>
          <w:spacing w:val="4"/>
        </w:rPr>
        <w:t> </w:t>
      </w:r>
      <w:r>
        <w:rPr/>
        <w:t>a</w:t>
      </w:r>
      <w:r>
        <w:rPr>
          <w:spacing w:val="4"/>
        </w:rPr>
        <w:t> </w:t>
      </w:r>
      <w:r>
        <w:rPr/>
        <w:t>steel</w:t>
      </w:r>
      <w:r>
        <w:rPr>
          <w:spacing w:val="4"/>
        </w:rPr>
        <w:t> </w:t>
      </w:r>
      <w:r>
        <w:rPr/>
        <w:t>plate,</w:t>
      </w:r>
      <w:r>
        <w:rPr>
          <w:spacing w:val="3"/>
        </w:rPr>
        <w:t> </w:t>
      </w:r>
      <w:r>
        <w:rPr/>
        <w:t>0.25-in.</w:t>
      </w:r>
      <w:r>
        <w:rPr>
          <w:spacing w:val="-57"/>
        </w:rPr>
        <w:t> </w:t>
      </w:r>
      <w:r>
        <w:rPr/>
        <w:t>thick</w:t>
      </w:r>
      <w:r>
        <w:rPr>
          <w:spacing w:val="-6"/>
        </w:rPr>
        <w:t> </w:t>
      </w:r>
      <w:r>
        <w:rPr/>
        <w:t>against</w:t>
      </w:r>
      <w:r>
        <w:rPr>
          <w:spacing w:val="-5"/>
        </w:rPr>
        <w:t> </w:t>
      </w:r>
      <w:r>
        <w:rPr/>
        <w:t>a</w:t>
      </w:r>
      <w:r>
        <w:rPr>
          <w:spacing w:val="-4"/>
        </w:rPr>
        <w:t> </w:t>
      </w:r>
      <w:r>
        <w:rPr/>
        <w:t>0.30-caliber</w:t>
      </w:r>
      <w:r>
        <w:rPr>
          <w:spacing w:val="-3"/>
        </w:rPr>
        <w:t> </w:t>
      </w:r>
      <w:r>
        <w:rPr/>
        <w:t>ball</w:t>
      </w:r>
      <w:r>
        <w:rPr>
          <w:spacing w:val="-5"/>
        </w:rPr>
        <w:t> </w:t>
      </w:r>
      <w:r>
        <w:rPr/>
        <w:t>round</w:t>
      </w:r>
      <w:r>
        <w:rPr>
          <w:spacing w:val="-5"/>
        </w:rPr>
        <w:t> </w:t>
      </w:r>
      <w:r>
        <w:rPr/>
        <w:t>fired</w:t>
      </w:r>
      <w:r>
        <w:rPr>
          <w:spacing w:val="-5"/>
        </w:rPr>
        <w:t> </w:t>
      </w:r>
      <w:r>
        <w:rPr/>
        <w:t>at</w:t>
      </w:r>
      <w:r>
        <w:rPr>
          <w:spacing w:val="-6"/>
        </w:rPr>
        <w:t> </w:t>
      </w:r>
      <w:r>
        <w:rPr/>
        <w:t>30</w:t>
      </w:r>
      <w:r>
        <w:rPr>
          <w:spacing w:val="-4"/>
        </w:rPr>
        <w:t> </w:t>
      </w:r>
      <w:r>
        <w:rPr/>
        <w:t>degrees</w:t>
      </w:r>
      <w:r>
        <w:rPr>
          <w:spacing w:val="-5"/>
        </w:rPr>
        <w:t> </w:t>
      </w:r>
      <w:r>
        <w:rPr/>
        <w:t>obliquity,</w:t>
      </w:r>
      <w:r>
        <w:rPr>
          <w:spacing w:val="-5"/>
        </w:rPr>
        <w:t> </w:t>
      </w:r>
      <w:r>
        <w:rPr/>
        <w:t>is</w:t>
      </w:r>
      <w:r>
        <w:rPr>
          <w:spacing w:val="-4"/>
        </w:rPr>
        <w:t> </w:t>
      </w:r>
      <w:r>
        <w:rPr/>
        <w:t>2,544</w:t>
      </w:r>
      <w:r>
        <w:rPr>
          <w:spacing w:val="-4"/>
        </w:rPr>
        <w:t> </w:t>
      </w:r>
      <w:r>
        <w:rPr/>
        <w:t>fps</w:t>
      </w:r>
      <w:r>
        <w:rPr>
          <w:spacing w:val="-5"/>
        </w:rPr>
        <w:t> </w:t>
      </w:r>
      <w:r>
        <w:rPr/>
        <w:t>(775</w:t>
      </w:r>
      <w:r>
        <w:rPr>
          <w:spacing w:val="-4"/>
        </w:rPr>
        <w:t> </w:t>
      </w:r>
      <w:r>
        <w:rPr/>
        <w:t>m/s).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8"/>
        </w:rPr>
      </w:pPr>
      <w:r>
        <w:rPr/>
        <w:pict>
          <v:group style="position:absolute;margin-left:219.042145pt;margin-top:18.111841pt;width:212.55pt;height:238.75pt;mso-position-horizontal-relative:page;mso-position-vertical-relative:paragraph;z-index:-15590400;mso-wrap-distance-left:0;mso-wrap-distance-right:0" coordorigin="4381,362" coordsize="4251,4775">
            <v:shape style="position:absolute;left:4380;top:362;width:4251;height:4775" type="#_x0000_t75" stroked="false">
              <v:imagedata r:id="rId325" o:title=""/>
            </v:shape>
            <v:shape style="position:absolute;left:5308;top:483;width:2396;height:1665" coordorigin="5308,484" coordsize="2396,1665" path="m5308,1316l5312,1254,5321,1193,5337,1133,5359,1075,5387,1019,5420,965,5458,913,5501,863,5550,815,5602,770,5659,727,5720,688,5785,651,5854,618,5926,588,6001,561,6079,538,6160,519,6244,504,6329,493,6417,486,6506,484,6596,486,6683,493,6769,504,6852,519,6933,538,7011,561,7086,588,7158,618,7227,651,7292,688,7353,727,7410,770,7463,815,7511,863,7554,913,7592,965,7625,1019,7653,1075,7675,1133,7691,1193,7700,1254,7704,1316,7700,1378,7691,1439,7675,1498,7653,1556,7625,1612,7592,1666,7554,1719,7511,1769,7463,1816,7410,1861,7353,1904,7292,1944,7227,1980,7158,2014,7086,2044,7011,2070,6933,2093,6852,2112,6769,2128,6683,2139,6596,2145,6506,2148,6417,2145,6329,2139,6244,2128,6160,2112,6079,2093,6001,2070,5926,2044,5854,2014,5785,1980,5720,1944,5659,1904,5602,1861,5550,1816,5501,1769,5458,1719,5420,1666,5387,1612,5359,1556,5337,1498,5321,1439,5312,1378,5308,1316xe" filled="false" stroked="true" strokeweight="1.551724pt" strokecolor="#ff0000">
              <v:path arrowok="t"/>
              <v:stroke dashstyle="solid"/>
            </v:shape>
            <w10:wrap type="topAndBottom"/>
          </v:group>
        </w:pict>
      </w:r>
    </w:p>
    <w:p>
      <w:pPr>
        <w:pStyle w:val="BodyText"/>
        <w:spacing w:before="8"/>
        <w:rPr>
          <w:sz w:val="33"/>
        </w:rPr>
      </w:pPr>
    </w:p>
    <w:p>
      <w:pPr>
        <w:spacing w:before="0"/>
        <w:ind w:left="816" w:right="0" w:firstLine="0"/>
        <w:jc w:val="left"/>
        <w:rPr>
          <w:i/>
          <w:sz w:val="24"/>
        </w:rPr>
      </w:pPr>
      <w:bookmarkStart w:name="_bookmark125" w:id="413"/>
      <w:bookmarkEnd w:id="413"/>
      <w:r>
        <w:rPr/>
      </w:r>
      <w:r>
        <w:rPr>
          <w:i/>
          <w:sz w:val="24"/>
        </w:rPr>
        <w:t>Figure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7-4.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bond,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the intersection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metal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strands,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on an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expanded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metal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plate.</w:t>
      </w:r>
    </w:p>
    <w:p>
      <w:pPr>
        <w:spacing w:after="0"/>
        <w:jc w:val="left"/>
        <w:rPr>
          <w:sz w:val="24"/>
        </w:rPr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ind w:left="635"/>
        <w:rPr>
          <w:sz w:val="20"/>
        </w:rPr>
      </w:pPr>
      <w:r>
        <w:rPr>
          <w:sz w:val="20"/>
        </w:rPr>
        <w:drawing>
          <wp:inline distT="0" distB="0" distL="0" distR="0">
            <wp:extent cx="5265715" cy="2433256"/>
            <wp:effectExtent l="0" t="0" r="0" b="0"/>
            <wp:docPr id="97" name="image3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316.png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5715" cy="2433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i/>
          <w:sz w:val="28"/>
        </w:rPr>
      </w:pPr>
    </w:p>
    <w:p>
      <w:pPr>
        <w:spacing w:before="90"/>
        <w:ind w:left="440" w:right="418" w:firstLine="0"/>
        <w:jc w:val="left"/>
        <w:rPr>
          <w:i/>
          <w:sz w:val="24"/>
        </w:rPr>
      </w:pPr>
      <w:bookmarkStart w:name="_bookmark126" w:id="414"/>
      <w:bookmarkEnd w:id="414"/>
      <w:r>
        <w:rPr/>
      </w:r>
      <w:r>
        <w:rPr>
          <w:i/>
          <w:sz w:val="24"/>
        </w:rPr>
        <w:t>Figure</w:t>
      </w:r>
      <w:r>
        <w:rPr>
          <w:i/>
          <w:spacing w:val="29"/>
          <w:sz w:val="24"/>
        </w:rPr>
        <w:t> </w:t>
      </w:r>
      <w:r>
        <w:rPr>
          <w:i/>
          <w:sz w:val="24"/>
        </w:rPr>
        <w:t>7-5.</w:t>
      </w:r>
      <w:r>
        <w:rPr>
          <w:i/>
          <w:spacing w:val="30"/>
          <w:sz w:val="24"/>
        </w:rPr>
        <w:t> </w:t>
      </w:r>
      <w:r>
        <w:rPr>
          <w:i/>
          <w:sz w:val="24"/>
        </w:rPr>
        <w:t>Key</w:t>
      </w:r>
      <w:r>
        <w:rPr>
          <w:i/>
          <w:spacing w:val="30"/>
          <w:sz w:val="24"/>
        </w:rPr>
        <w:t> </w:t>
      </w:r>
      <w:r>
        <w:rPr>
          <w:i/>
          <w:sz w:val="24"/>
        </w:rPr>
        <w:t>dimensional</w:t>
      </w:r>
      <w:r>
        <w:rPr>
          <w:i/>
          <w:spacing w:val="30"/>
          <w:sz w:val="24"/>
        </w:rPr>
        <w:t> </w:t>
      </w:r>
      <w:r>
        <w:rPr>
          <w:i/>
          <w:sz w:val="24"/>
        </w:rPr>
        <w:t>characteristics</w:t>
      </w:r>
      <w:r>
        <w:rPr>
          <w:i/>
          <w:spacing w:val="30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29"/>
          <w:sz w:val="24"/>
        </w:rPr>
        <w:t> </w:t>
      </w:r>
      <w:r>
        <w:rPr>
          <w:i/>
          <w:sz w:val="24"/>
        </w:rPr>
        <w:t>expanded</w:t>
      </w:r>
      <w:r>
        <w:rPr>
          <w:i/>
          <w:spacing w:val="30"/>
          <w:sz w:val="24"/>
        </w:rPr>
        <w:t> </w:t>
      </w:r>
      <w:r>
        <w:rPr>
          <w:i/>
          <w:sz w:val="24"/>
        </w:rPr>
        <w:t>metal</w:t>
      </w:r>
      <w:r>
        <w:rPr>
          <w:i/>
          <w:spacing w:val="30"/>
          <w:sz w:val="24"/>
        </w:rPr>
        <w:t> </w:t>
      </w:r>
      <w:r>
        <w:rPr>
          <w:i/>
          <w:sz w:val="24"/>
        </w:rPr>
        <w:t>plate</w:t>
      </w:r>
      <w:r>
        <w:rPr>
          <w:i/>
          <w:spacing w:val="30"/>
          <w:sz w:val="24"/>
        </w:rPr>
        <w:t> </w:t>
      </w:r>
      <w:r>
        <w:rPr>
          <w:i/>
          <w:sz w:val="24"/>
        </w:rPr>
        <w:t>from</w:t>
      </w:r>
      <w:r>
        <w:rPr>
          <w:i/>
          <w:spacing w:val="29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29"/>
          <w:sz w:val="24"/>
        </w:rPr>
        <w:t> </w:t>
      </w:r>
      <w:r>
        <w:rPr>
          <w:i/>
          <w:sz w:val="24"/>
        </w:rPr>
        <w:t>military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specification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standard,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MIL-M-17194D.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193"/>
        <w:ind w:left="440" w:right="416" w:firstLine="720"/>
        <w:jc w:val="both"/>
      </w:pPr>
      <w:r>
        <w:rPr/>
        <w:t>Similar to Type 1, P900 perforated steel plate, Type 2, expanded metal plate has a</w:t>
      </w:r>
      <w:r>
        <w:rPr>
          <w:spacing w:val="-57"/>
        </w:rPr>
        <w:t> </w:t>
      </w:r>
      <w:r>
        <w:rPr/>
        <w:t>favorable strength-to-weight ratio.</w:t>
      </w:r>
      <w:r>
        <w:rPr>
          <w:spacing w:val="1"/>
        </w:rPr>
        <w:t> </w:t>
      </w:r>
      <w:r>
        <w:rPr/>
        <w:t>The expanded metal plate used to make an ECLT</w:t>
      </w:r>
      <w:r>
        <w:rPr>
          <w:spacing w:val="1"/>
        </w:rPr>
        <w:t> </w:t>
      </w:r>
      <w:r>
        <w:rPr/>
        <w:t>specimen</w:t>
      </w:r>
      <w:r>
        <w:rPr>
          <w:spacing w:val="-6"/>
        </w:rPr>
        <w:t> </w:t>
      </w:r>
      <w:r>
        <w:rPr/>
        <w:t>was</w:t>
      </w:r>
      <w:r>
        <w:rPr>
          <w:spacing w:val="-5"/>
        </w:rPr>
        <w:t> </w:t>
      </w:r>
      <w:r>
        <w:rPr/>
        <w:t>not</w:t>
      </w:r>
      <w:r>
        <w:rPr>
          <w:spacing w:val="-5"/>
        </w:rPr>
        <w:t> </w:t>
      </w:r>
      <w:r>
        <w:rPr/>
        <w:t>flattened,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common</w:t>
      </w:r>
      <w:r>
        <w:rPr>
          <w:spacing w:val="-5"/>
        </w:rPr>
        <w:t> </w:t>
      </w:r>
      <w:r>
        <w:rPr/>
        <w:t>secondary</w:t>
      </w:r>
      <w:r>
        <w:rPr>
          <w:spacing w:val="-6"/>
        </w:rPr>
        <w:t> </w:t>
      </w:r>
      <w:r>
        <w:rPr/>
        <w:t>finish</w:t>
      </w:r>
      <w:r>
        <w:rPr>
          <w:spacing w:val="-5"/>
        </w:rPr>
        <w:t> </w:t>
      </w:r>
      <w:r>
        <w:rPr/>
        <w:t>completed</w:t>
      </w:r>
      <w:r>
        <w:rPr>
          <w:spacing w:val="-5"/>
        </w:rPr>
        <w:t> </w:t>
      </w:r>
      <w:r>
        <w:rPr/>
        <w:t>by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manufacturer</w:t>
      </w:r>
      <w:r>
        <w:rPr>
          <w:spacing w:val="-5"/>
        </w:rPr>
        <w:t> </w:t>
      </w:r>
      <w:r>
        <w:rPr/>
        <w:t>of</w:t>
      </w:r>
      <w:r>
        <w:rPr>
          <w:spacing w:val="-58"/>
        </w:rPr>
        <w:t> </w:t>
      </w:r>
      <w:r>
        <w:rPr/>
        <w:t>processing it through a rolling mill creating a smooth flat sheet.</w:t>
      </w:r>
      <w:r>
        <w:rPr>
          <w:spacing w:val="1"/>
        </w:rPr>
        <w:t> </w:t>
      </w:r>
      <w:r>
        <w:rPr/>
        <w:t>Instead, the plate was</w:t>
      </w:r>
      <w:r>
        <w:rPr>
          <w:spacing w:val="1"/>
        </w:rPr>
        <w:t> </w:t>
      </w:r>
      <w:r>
        <w:rPr/>
        <w:t>uneven, as shown in </w:t>
      </w:r>
      <w:hyperlink w:history="true" w:anchor="_bookmark127">
        <w:r>
          <w:rPr/>
          <w:t>Figure 7-6</w:t>
        </w:r>
      </w:hyperlink>
      <w:r>
        <w:rPr/>
        <w:t>, with the intent of redirecting, slowing down or stopping</w:t>
      </w:r>
      <w:r>
        <w:rPr>
          <w:spacing w:val="1"/>
        </w:rPr>
        <w:t> </w:t>
      </w:r>
      <w:r>
        <w:rPr/>
        <w:t>the</w:t>
      </w:r>
      <w:r>
        <w:rPr>
          <w:spacing w:val="-13"/>
        </w:rPr>
        <w:t> </w:t>
      </w:r>
      <w:r>
        <w:rPr/>
        <w:t>projectile</w:t>
      </w:r>
      <w:r>
        <w:rPr>
          <w:spacing w:val="-12"/>
        </w:rPr>
        <w:t> </w:t>
      </w:r>
      <w:r>
        <w:rPr/>
        <w:t>when</w:t>
      </w:r>
      <w:r>
        <w:rPr>
          <w:spacing w:val="-12"/>
        </w:rPr>
        <w:t> </w:t>
      </w:r>
      <w:r>
        <w:rPr/>
        <w:t>impacted</w:t>
      </w:r>
      <w:r>
        <w:rPr>
          <w:spacing w:val="-13"/>
        </w:rPr>
        <w:t> </w:t>
      </w:r>
      <w:r>
        <w:rPr/>
        <w:t>within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ECLT.</w:t>
      </w:r>
      <w:r>
        <w:rPr>
          <w:spacing w:val="36"/>
        </w:rPr>
        <w:t> </w:t>
      </w:r>
      <w:r>
        <w:rPr/>
        <w:t>The</w:t>
      </w:r>
      <w:r>
        <w:rPr>
          <w:spacing w:val="-12"/>
        </w:rPr>
        <w:t> </w:t>
      </w:r>
      <w:r>
        <w:rPr/>
        <w:t>individual</w:t>
      </w:r>
      <w:r>
        <w:rPr>
          <w:spacing w:val="-12"/>
        </w:rPr>
        <w:t> </w:t>
      </w:r>
      <w:r>
        <w:rPr/>
        <w:t>strands</w:t>
      </w:r>
      <w:r>
        <w:rPr>
          <w:spacing w:val="-13"/>
        </w:rPr>
        <w:t> </w:t>
      </w:r>
      <w:r>
        <w:rPr/>
        <w:t>were</w:t>
      </w:r>
      <w:r>
        <w:rPr>
          <w:spacing w:val="-12"/>
        </w:rPr>
        <w:t> </w:t>
      </w:r>
      <w:r>
        <w:rPr/>
        <w:t>approximately</w:t>
      </w:r>
      <w:r>
        <w:rPr>
          <w:spacing w:val="-58"/>
        </w:rPr>
        <w:t> </w:t>
      </w:r>
      <w:r>
        <w:rPr/>
        <w:t>0.50-in.</w:t>
      </w:r>
      <w:r>
        <w:rPr>
          <w:spacing w:val="-4"/>
        </w:rPr>
        <w:t> </w:t>
      </w:r>
      <w:r>
        <w:rPr/>
        <w:t>thick,</w:t>
      </w:r>
      <w:r>
        <w:rPr>
          <w:spacing w:val="-3"/>
        </w:rPr>
        <w:t> </w:t>
      </w:r>
      <w:r>
        <w:rPr/>
        <w:t>with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openings</w:t>
      </w:r>
      <w:r>
        <w:rPr>
          <w:spacing w:val="-4"/>
        </w:rPr>
        <w:t> </w:t>
      </w:r>
      <w:r>
        <w:rPr/>
        <w:t>less</w:t>
      </w:r>
      <w:r>
        <w:rPr>
          <w:spacing w:val="-4"/>
        </w:rPr>
        <w:t> </w:t>
      </w:r>
      <w:r>
        <w:rPr/>
        <w:t>than</w:t>
      </w:r>
      <w:r>
        <w:rPr>
          <w:spacing w:val="-4"/>
        </w:rPr>
        <w:t> </w:t>
      </w:r>
      <w:r>
        <w:rPr/>
        <w:t>0.50-in.</w:t>
      </w:r>
      <w:r>
        <w:rPr>
          <w:spacing w:val="-4"/>
        </w:rPr>
        <w:t> </w:t>
      </w:r>
      <w:r>
        <w:rPr/>
        <w:t>wide</w:t>
      </w:r>
      <w:r>
        <w:rPr>
          <w:spacing w:val="-2"/>
        </w:rPr>
        <w:t> </w:t>
      </w:r>
      <w:r>
        <w:rPr/>
        <w:t>making</w:t>
      </w:r>
      <w:r>
        <w:rPr>
          <w:spacing w:val="-4"/>
        </w:rPr>
        <w:t> </w:t>
      </w:r>
      <w:r>
        <w:rPr/>
        <w:t>it</w:t>
      </w:r>
      <w:r>
        <w:rPr>
          <w:spacing w:val="-2"/>
        </w:rPr>
        <w:t> </w:t>
      </w:r>
      <w:r>
        <w:rPr/>
        <w:t>impossible</w:t>
      </w:r>
      <w:r>
        <w:rPr>
          <w:spacing w:val="-4"/>
        </w:rPr>
        <w:t> </w:t>
      </w:r>
      <w:r>
        <w:rPr/>
        <w:t>for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/>
        <w:t>0.50-</w:t>
      </w:r>
      <w:r>
        <w:rPr>
          <w:spacing w:val="-57"/>
        </w:rPr>
        <w:t> </w:t>
      </w:r>
      <w:r>
        <w:rPr/>
        <w:t>in. sphere projectile to pass unimpeded by the expanded metal plate.</w:t>
      </w:r>
      <w:r>
        <w:rPr>
          <w:spacing w:val="1"/>
        </w:rPr>
        <w:t> </w:t>
      </w:r>
      <w:r>
        <w:rPr/>
        <w:t>The heavy gauge of</w:t>
      </w:r>
      <w:r>
        <w:rPr>
          <w:spacing w:val="1"/>
        </w:rPr>
        <w:t> </w:t>
      </w:r>
      <w:r>
        <w:rPr/>
        <w:t>the plate used is similar to catwalk grating.</w:t>
      </w:r>
      <w:r>
        <w:rPr>
          <w:spacing w:val="1"/>
        </w:rPr>
        <w:t> </w:t>
      </w:r>
      <w:r>
        <w:rPr/>
        <w:t>The concept of using the expanded metal</w:t>
      </w:r>
      <w:r>
        <w:rPr>
          <w:spacing w:val="1"/>
        </w:rPr>
        <w:t> </w:t>
      </w:r>
      <w:r>
        <w:rPr/>
        <w:t>product was the same as the perforated steel plate.</w:t>
      </w:r>
      <w:r>
        <w:rPr>
          <w:spacing w:val="1"/>
        </w:rPr>
        <w:t> </w:t>
      </w:r>
      <w:r>
        <w:rPr/>
        <w:t>Expanded metal features a different</w:t>
      </w:r>
      <w:r>
        <w:rPr>
          <w:spacing w:val="1"/>
        </w:rPr>
        <w:t> </w:t>
      </w:r>
      <w:r>
        <w:rPr/>
        <w:t>style of manufactured perforations and different type of steel.</w:t>
      </w:r>
      <w:r>
        <w:rPr>
          <w:spacing w:val="1"/>
        </w:rPr>
        <w:t> </w:t>
      </w:r>
      <w:r>
        <w:rPr/>
        <w:t>As a result, the projectile</w:t>
      </w:r>
      <w:r>
        <w:rPr>
          <w:spacing w:val="1"/>
        </w:rPr>
        <w:t> </w:t>
      </w:r>
      <w:r>
        <w:rPr/>
        <w:t>would</w:t>
      </w:r>
      <w:r>
        <w:rPr>
          <w:spacing w:val="-7"/>
        </w:rPr>
        <w:t> </w:t>
      </w:r>
      <w:r>
        <w:rPr/>
        <w:t>be</w:t>
      </w:r>
      <w:r>
        <w:rPr>
          <w:spacing w:val="-6"/>
        </w:rPr>
        <w:t> </w:t>
      </w:r>
      <w:r>
        <w:rPr/>
        <w:t>diverted</w:t>
      </w:r>
      <w:r>
        <w:rPr>
          <w:spacing w:val="-6"/>
        </w:rPr>
        <w:t> </w:t>
      </w:r>
      <w:r>
        <w:rPr/>
        <w:t>from</w:t>
      </w:r>
      <w:r>
        <w:rPr>
          <w:spacing w:val="-7"/>
        </w:rPr>
        <w:t> </w:t>
      </w:r>
      <w:r>
        <w:rPr/>
        <w:t>a</w:t>
      </w:r>
      <w:r>
        <w:rPr>
          <w:spacing w:val="-6"/>
        </w:rPr>
        <w:t> </w:t>
      </w:r>
      <w:r>
        <w:rPr/>
        <w:t>straight</w:t>
      </w:r>
      <w:r>
        <w:rPr>
          <w:spacing w:val="-7"/>
        </w:rPr>
        <w:t> </w:t>
      </w:r>
      <w:r>
        <w:rPr/>
        <w:t>trajectory</w:t>
      </w:r>
      <w:r>
        <w:rPr>
          <w:spacing w:val="-7"/>
        </w:rPr>
        <w:t> </w:t>
      </w:r>
      <w:r>
        <w:rPr/>
        <w:t>through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metal</w:t>
      </w:r>
      <w:r>
        <w:rPr>
          <w:spacing w:val="-6"/>
        </w:rPr>
        <w:t> </w:t>
      </w:r>
      <w:r>
        <w:rPr/>
        <w:t>or</w:t>
      </w:r>
      <w:r>
        <w:rPr>
          <w:spacing w:val="-6"/>
        </w:rPr>
        <w:t> </w:t>
      </w:r>
      <w:r>
        <w:rPr/>
        <w:t>stopped</w:t>
      </w:r>
      <w:r>
        <w:rPr>
          <w:spacing w:val="-7"/>
        </w:rPr>
        <w:t> </w:t>
      </w:r>
      <w:r>
        <w:rPr/>
        <w:t>at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metal</w:t>
      </w:r>
      <w:r>
        <w:rPr>
          <w:spacing w:val="-6"/>
        </w:rPr>
        <w:t> </w:t>
      </w:r>
      <w:r>
        <w:rPr/>
        <w:t>plate</w:t>
      </w:r>
    </w:p>
    <w:p>
      <w:pPr>
        <w:spacing w:after="0" w:line="480" w:lineRule="auto"/>
        <w:jc w:val="both"/>
        <w:sectPr>
          <w:pgSz w:w="12240" w:h="15840"/>
          <w:pgMar w:header="0" w:footer="1064" w:top="1440" w:bottom="1260" w:left="1720" w:right="1020"/>
        </w:sectPr>
      </w:pPr>
    </w:p>
    <w:p>
      <w:pPr>
        <w:pStyle w:val="BodyText"/>
        <w:tabs>
          <w:tab w:pos="4683" w:val="left" w:leader="none"/>
        </w:tabs>
        <w:spacing w:line="480" w:lineRule="auto" w:before="78"/>
        <w:ind w:left="439" w:right="417"/>
      </w:pPr>
      <w:r>
        <w:rPr/>
        <w:t>when</w:t>
      </w:r>
      <w:r>
        <w:rPr>
          <w:spacing w:val="41"/>
        </w:rPr>
        <w:t> </w:t>
      </w:r>
      <w:r>
        <w:rPr/>
        <w:t>striking</w:t>
      </w:r>
      <w:r>
        <w:rPr>
          <w:spacing w:val="41"/>
        </w:rPr>
        <w:t> </w:t>
      </w:r>
      <w:r>
        <w:rPr/>
        <w:t>the</w:t>
      </w:r>
      <w:r>
        <w:rPr>
          <w:spacing w:val="42"/>
        </w:rPr>
        <w:t> </w:t>
      </w:r>
      <w:r>
        <w:rPr/>
        <w:t>expanded</w:t>
      </w:r>
      <w:r>
        <w:rPr>
          <w:spacing w:val="42"/>
        </w:rPr>
        <w:t> </w:t>
      </w:r>
      <w:r>
        <w:rPr/>
        <w:t>metal</w:t>
      </w:r>
      <w:r>
        <w:rPr>
          <w:spacing w:val="41"/>
        </w:rPr>
        <w:t> </w:t>
      </w:r>
      <w:r>
        <w:rPr/>
        <w:t>plate.</w:t>
        <w:tab/>
      </w:r>
      <w:hyperlink w:history="true" w:anchor="_bookmark128">
        <w:r>
          <w:rPr/>
          <w:t>Figure</w:t>
        </w:r>
        <w:r>
          <w:rPr>
            <w:spacing w:val="42"/>
          </w:rPr>
          <w:t> </w:t>
        </w:r>
        <w:r>
          <w:rPr/>
          <w:t>7-7</w:t>
        </w:r>
      </w:hyperlink>
      <w:r>
        <w:rPr>
          <w:spacing w:val="41"/>
        </w:rPr>
        <w:t> </w:t>
      </w:r>
      <w:r>
        <w:rPr/>
        <w:t>shows</w:t>
      </w:r>
      <w:r>
        <w:rPr>
          <w:spacing w:val="42"/>
        </w:rPr>
        <w:t> </w:t>
      </w:r>
      <w:r>
        <w:rPr/>
        <w:t>the</w:t>
      </w:r>
      <w:r>
        <w:rPr>
          <w:spacing w:val="41"/>
        </w:rPr>
        <w:t> </w:t>
      </w:r>
      <w:r>
        <w:rPr/>
        <w:t>12-in.</w:t>
      </w:r>
      <w:r>
        <w:rPr>
          <w:spacing w:val="39"/>
        </w:rPr>
        <w:t> </w:t>
      </w:r>
      <w:r>
        <w:rPr/>
        <w:t>by</w:t>
      </w:r>
      <w:r>
        <w:rPr>
          <w:spacing w:val="42"/>
        </w:rPr>
        <w:t> </w:t>
      </w:r>
      <w:r>
        <w:rPr/>
        <w:t>12-in.</w:t>
      </w:r>
      <w:r>
        <w:rPr>
          <w:spacing w:val="41"/>
        </w:rPr>
        <w:t> </w:t>
      </w:r>
      <w:r>
        <w:rPr/>
        <w:t>plate</w:t>
      </w:r>
      <w:r>
        <w:rPr>
          <w:spacing w:val="-57"/>
        </w:rPr>
        <w:t> </w:t>
      </w:r>
      <w:r>
        <w:rPr/>
        <w:t>removed</w:t>
      </w:r>
      <w:r>
        <w:rPr>
          <w:spacing w:val="-1"/>
        </w:rPr>
        <w:t> </w:t>
      </w:r>
      <w:r>
        <w:rPr/>
        <w:t>from</w:t>
      </w:r>
      <w:r>
        <w:rPr>
          <w:spacing w:val="-1"/>
        </w:rPr>
        <w:t> </w:t>
      </w:r>
      <w:r>
        <w:rPr/>
        <w:t>the ECLT specimen after</w:t>
      </w:r>
      <w:r>
        <w:rPr>
          <w:spacing w:val="-1"/>
        </w:rPr>
        <w:t> </w:t>
      </w:r>
      <w:r>
        <w:rPr/>
        <w:t>the test</w:t>
      </w:r>
      <w:r>
        <w:rPr>
          <w:spacing w:val="-1"/>
        </w:rPr>
        <w:t> </w:t>
      </w:r>
      <w:r>
        <w:rPr/>
        <w:t>shots.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271">
            <wp:simplePos x="0" y="0"/>
            <wp:positionH relativeFrom="page">
              <wp:posOffset>2102167</wp:posOffset>
            </wp:positionH>
            <wp:positionV relativeFrom="paragraph">
              <wp:posOffset>241295</wp:posOffset>
            </wp:positionV>
            <wp:extent cx="3980326" cy="2469737"/>
            <wp:effectExtent l="0" t="0" r="0" b="0"/>
            <wp:wrapTopAndBottom/>
            <wp:docPr id="99" name="image3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317.jpe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0326" cy="2469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95"/>
        <w:ind w:left="0" w:right="1059" w:firstLine="0"/>
        <w:jc w:val="right"/>
        <w:rPr>
          <w:i/>
          <w:sz w:val="24"/>
        </w:rPr>
      </w:pPr>
      <w:bookmarkStart w:name="_bookmark127" w:id="415"/>
      <w:bookmarkEnd w:id="415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7-6.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expanded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metal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plate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shown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assembled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ECLT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test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specimen.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8"/>
        <w:rPr>
          <w:i/>
          <w:sz w:val="20"/>
        </w:rPr>
      </w:pPr>
      <w:r>
        <w:rPr/>
        <w:drawing>
          <wp:anchor distT="0" distB="0" distL="0" distR="0" allowOverlap="1" layoutInCell="1" locked="0" behindDoc="0" simplePos="0" relativeHeight="272">
            <wp:simplePos x="0" y="0"/>
            <wp:positionH relativeFrom="page">
              <wp:posOffset>2533650</wp:posOffset>
            </wp:positionH>
            <wp:positionV relativeFrom="paragraph">
              <wp:posOffset>176042</wp:posOffset>
            </wp:positionV>
            <wp:extent cx="3188632" cy="3013329"/>
            <wp:effectExtent l="0" t="0" r="0" b="0"/>
            <wp:wrapTopAndBottom/>
            <wp:docPr id="101" name="image3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318.jpe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8632" cy="3013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00"/>
        <w:ind w:left="0" w:right="978" w:firstLine="0"/>
        <w:jc w:val="right"/>
        <w:rPr>
          <w:i/>
          <w:sz w:val="24"/>
        </w:rPr>
      </w:pPr>
      <w:bookmarkStart w:name="_bookmark128" w:id="416"/>
      <w:bookmarkEnd w:id="416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7-7.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Expanded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metal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petal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removed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from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ECLT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specimen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post-test.</w:t>
      </w:r>
    </w:p>
    <w:p>
      <w:pPr>
        <w:spacing w:after="0"/>
        <w:jc w:val="right"/>
        <w:rPr>
          <w:sz w:val="24"/>
        </w:rPr>
        <w:sectPr>
          <w:pgSz w:w="12240" w:h="15840"/>
          <w:pgMar w:header="0" w:footer="1064" w:top="1360" w:bottom="1260" w:left="1720" w:right="1020"/>
        </w:sectPr>
      </w:pPr>
    </w:p>
    <w:p>
      <w:pPr>
        <w:pStyle w:val="ListParagraph"/>
        <w:numPr>
          <w:ilvl w:val="3"/>
          <w:numId w:val="24"/>
        </w:numPr>
        <w:tabs>
          <w:tab w:pos="1160" w:val="left" w:leader="none"/>
        </w:tabs>
        <w:spacing w:line="240" w:lineRule="auto" w:before="79" w:after="0"/>
        <w:ind w:left="1160" w:right="0" w:hanging="720"/>
        <w:jc w:val="left"/>
        <w:rPr>
          <w:i/>
          <w:sz w:val="24"/>
        </w:rPr>
      </w:pPr>
      <w:bookmarkStart w:name="7.2.2.3 Type 3 - Aramid Epoxy Panel" w:id="417"/>
      <w:bookmarkEnd w:id="417"/>
      <w:r>
        <w:rPr/>
      </w:r>
      <w:bookmarkStart w:name="7.2.2.3 Type 3 - Aramid Epoxy Panel" w:id="418"/>
      <w:bookmarkEnd w:id="418"/>
      <w:r>
        <w:rPr>
          <w:i/>
          <w:sz w:val="24"/>
          <w:u w:val="single"/>
        </w:rPr>
        <w:t>T</w:t>
      </w:r>
      <w:r>
        <w:rPr>
          <w:i/>
          <w:sz w:val="24"/>
          <w:u w:val="single"/>
        </w:rPr>
        <w:t>ype</w:t>
      </w:r>
      <w:r>
        <w:rPr>
          <w:i/>
          <w:spacing w:val="-2"/>
          <w:sz w:val="24"/>
          <w:u w:val="single"/>
        </w:rPr>
        <w:t> </w:t>
      </w:r>
      <w:r>
        <w:rPr>
          <w:i/>
          <w:sz w:val="24"/>
          <w:u w:val="single"/>
        </w:rPr>
        <w:t>3</w:t>
      </w:r>
      <w:r>
        <w:rPr>
          <w:i/>
          <w:spacing w:val="-1"/>
          <w:sz w:val="24"/>
          <w:u w:val="single"/>
        </w:rPr>
        <w:t> </w:t>
      </w:r>
      <w:r>
        <w:rPr>
          <w:i/>
          <w:sz w:val="24"/>
          <w:u w:val="single"/>
        </w:rPr>
        <w:t>-</w:t>
      </w:r>
      <w:r>
        <w:rPr>
          <w:i/>
          <w:spacing w:val="-1"/>
          <w:sz w:val="24"/>
          <w:u w:val="single"/>
        </w:rPr>
        <w:t> </w:t>
      </w:r>
      <w:r>
        <w:rPr>
          <w:i/>
          <w:sz w:val="24"/>
          <w:u w:val="single"/>
        </w:rPr>
        <w:t>Aramid</w:t>
      </w:r>
      <w:r>
        <w:rPr>
          <w:i/>
          <w:spacing w:val="-1"/>
          <w:sz w:val="24"/>
          <w:u w:val="single"/>
        </w:rPr>
        <w:t> </w:t>
      </w:r>
      <w:r>
        <w:rPr>
          <w:i/>
          <w:sz w:val="24"/>
          <w:u w:val="single"/>
        </w:rPr>
        <w:t>Epoxy</w:t>
      </w:r>
      <w:r>
        <w:rPr>
          <w:i/>
          <w:spacing w:val="-1"/>
          <w:sz w:val="24"/>
          <w:u w:val="single"/>
        </w:rPr>
        <w:t> </w:t>
      </w:r>
      <w:r>
        <w:rPr>
          <w:i/>
          <w:sz w:val="24"/>
          <w:u w:val="single"/>
        </w:rPr>
        <w:t>Panel</w:t>
      </w:r>
    </w:p>
    <w:p>
      <w:pPr>
        <w:pStyle w:val="BodyText"/>
        <w:spacing w:before="9"/>
        <w:rPr>
          <w:i/>
          <w:sz w:val="14"/>
        </w:rPr>
      </w:pPr>
    </w:p>
    <w:p>
      <w:pPr>
        <w:pStyle w:val="BodyText"/>
        <w:spacing w:line="480" w:lineRule="auto" w:before="90"/>
        <w:ind w:left="440" w:right="416" w:firstLine="720"/>
        <w:jc w:val="both"/>
      </w:pPr>
      <w:r>
        <w:rPr/>
        <w:t>An aramid epoxy panel is a rigid board approximately 0.5625-in. thick comprised</w:t>
      </w:r>
      <w:r>
        <w:rPr>
          <w:spacing w:val="1"/>
        </w:rPr>
        <w:t> </w:t>
      </w:r>
      <w:r>
        <w:rPr/>
        <w:t>of layers of aramid fabric with a polyvinyl butyral (PVB) phenolic resin.</w:t>
      </w:r>
      <w:r>
        <w:rPr>
          <w:spacing w:val="1"/>
        </w:rPr>
        <w:t> </w:t>
      </w:r>
      <w:r>
        <w:rPr/>
        <w:t>Aramid fibers</w:t>
      </w:r>
      <w:r>
        <w:rPr>
          <w:spacing w:val="1"/>
        </w:rPr>
        <w:t> </w:t>
      </w:r>
      <w:r>
        <w:rPr/>
        <w:t>are the manufactured fibers of the aromatic polyamide used as raw materials in body</w:t>
      </w:r>
      <w:r>
        <w:rPr>
          <w:spacing w:val="1"/>
        </w:rPr>
        <w:t> </w:t>
      </w:r>
      <w:r>
        <w:rPr/>
        <w:t>armors, fireproof clothing and racecar tires originally discovered by a DuPont scientist in</w:t>
      </w:r>
      <w:r>
        <w:rPr>
          <w:spacing w:val="1"/>
        </w:rPr>
        <w:t> </w:t>
      </w:r>
      <w:r>
        <w:rPr/>
        <w:t>the early 1970s.</w:t>
      </w:r>
      <w:r>
        <w:rPr>
          <w:spacing w:val="1"/>
        </w:rPr>
        <w:t> </w:t>
      </w:r>
      <w:r>
        <w:rPr/>
        <w:t>The fibers have a high strength-to-weight ratio, high structural rigidity</w:t>
      </w:r>
      <w:r>
        <w:rPr>
          <w:spacing w:val="1"/>
        </w:rPr>
        <w:t> </w:t>
      </w:r>
      <w:r>
        <w:rPr/>
        <w:t>and offer good resistance to abrasion and cutting.</w:t>
      </w:r>
      <w:r>
        <w:rPr>
          <w:spacing w:val="1"/>
        </w:rPr>
        <w:t> </w:t>
      </w:r>
      <w:r>
        <w:rPr/>
        <w:t>The aramid fabric layers are coated in</w:t>
      </w:r>
      <w:r>
        <w:rPr>
          <w:spacing w:val="1"/>
        </w:rPr>
        <w:t> </w:t>
      </w:r>
      <w:r>
        <w:rPr/>
        <w:t>the</w:t>
      </w:r>
      <w:r>
        <w:rPr>
          <w:spacing w:val="-11"/>
        </w:rPr>
        <w:t> </w:t>
      </w:r>
      <w:r>
        <w:rPr/>
        <w:t>resin,</w:t>
      </w:r>
      <w:r>
        <w:rPr>
          <w:spacing w:val="-11"/>
        </w:rPr>
        <w:t> </w:t>
      </w:r>
      <w:r>
        <w:rPr/>
        <w:t>stacked</w:t>
      </w:r>
      <w:r>
        <w:rPr>
          <w:spacing w:val="-11"/>
        </w:rPr>
        <w:t> </w:t>
      </w:r>
      <w:r>
        <w:rPr/>
        <w:t>and</w:t>
      </w:r>
      <w:r>
        <w:rPr>
          <w:spacing w:val="-11"/>
        </w:rPr>
        <w:t> </w:t>
      </w:r>
      <w:r>
        <w:rPr/>
        <w:t>then</w:t>
      </w:r>
      <w:r>
        <w:rPr>
          <w:spacing w:val="-10"/>
        </w:rPr>
        <w:t> </w:t>
      </w:r>
      <w:r>
        <w:rPr/>
        <w:t>heated,</w:t>
      </w:r>
      <w:r>
        <w:rPr>
          <w:spacing w:val="-11"/>
        </w:rPr>
        <w:t> </w:t>
      </w:r>
      <w:r>
        <w:rPr/>
        <w:t>which</w:t>
      </w:r>
      <w:r>
        <w:rPr>
          <w:spacing w:val="-10"/>
        </w:rPr>
        <w:t> </w:t>
      </w:r>
      <w:r>
        <w:rPr/>
        <w:t>produced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rigid</w:t>
      </w:r>
      <w:r>
        <w:rPr>
          <w:spacing w:val="-10"/>
        </w:rPr>
        <w:t> </w:t>
      </w:r>
      <w:r>
        <w:rPr/>
        <w:t>composite</w:t>
      </w:r>
      <w:r>
        <w:rPr>
          <w:spacing w:val="-11"/>
        </w:rPr>
        <w:t> </w:t>
      </w:r>
      <w:r>
        <w:rPr/>
        <w:t>product.</w:t>
      </w:r>
      <w:r>
        <w:rPr>
          <w:spacing w:val="40"/>
        </w:rPr>
        <w:t> </w:t>
      </w:r>
      <w:r>
        <w:rPr/>
        <w:t>PVB</w:t>
      </w:r>
      <w:r>
        <w:rPr>
          <w:spacing w:val="-12"/>
        </w:rPr>
        <w:t> </w:t>
      </w:r>
      <w:r>
        <w:rPr/>
        <w:t>resin</w:t>
      </w:r>
      <w:r>
        <w:rPr>
          <w:spacing w:val="-58"/>
        </w:rPr>
        <w:t> </w:t>
      </w:r>
      <w:r>
        <w:rPr/>
        <w:t>is typically used when a strong bond, toughness and flexibility are required. A major</w:t>
      </w:r>
      <w:r>
        <w:rPr>
          <w:spacing w:val="1"/>
        </w:rPr>
        <w:t> </w:t>
      </w:r>
      <w:r>
        <w:rPr/>
        <w:t>application of the product is automobile windshield safety glass.</w:t>
      </w:r>
      <w:r>
        <w:rPr>
          <w:spacing w:val="1"/>
        </w:rPr>
        <w:t> </w:t>
      </w:r>
      <w:r>
        <w:rPr/>
        <w:t>This aramid- PVB resin</w:t>
      </w:r>
      <w:r>
        <w:rPr>
          <w:spacing w:val="-57"/>
        </w:rPr>
        <w:t> </w:t>
      </w:r>
      <w:r>
        <w:rPr/>
        <w:t>composite product can be molded into various shapes during production or manufactured</w:t>
      </w:r>
      <w:r>
        <w:rPr>
          <w:spacing w:val="1"/>
        </w:rPr>
        <w:t> </w:t>
      </w:r>
      <w:r>
        <w:rPr/>
        <w:t>as flat sheets.</w:t>
      </w:r>
      <w:r>
        <w:rPr>
          <w:spacing w:val="1"/>
        </w:rPr>
        <w:t> </w:t>
      </w:r>
      <w:r>
        <w:rPr/>
        <w:t>It is also commonly used as a spall liner in armored vehicles to protect the</w:t>
      </w:r>
      <w:r>
        <w:rPr>
          <w:spacing w:val="1"/>
        </w:rPr>
        <w:t> </w:t>
      </w:r>
      <w:r>
        <w:rPr/>
        <w:t>occupants</w:t>
      </w:r>
      <w:r>
        <w:rPr>
          <w:spacing w:val="-1"/>
        </w:rPr>
        <w:t> </w:t>
      </w:r>
      <w:r>
        <w:rPr/>
        <w:t>from</w:t>
      </w:r>
      <w:r>
        <w:rPr>
          <w:spacing w:val="-2"/>
        </w:rPr>
        <w:t> </w:t>
      </w:r>
      <w:r>
        <w:rPr/>
        <w:t>the spall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 metal armor upon impact.</w:t>
      </w:r>
    </w:p>
    <w:p>
      <w:pPr>
        <w:pStyle w:val="BodyText"/>
        <w:spacing w:before="11"/>
        <w:rPr>
          <w:sz w:val="20"/>
        </w:rPr>
      </w:pPr>
    </w:p>
    <w:p>
      <w:pPr>
        <w:pStyle w:val="BodyText"/>
        <w:spacing w:line="480" w:lineRule="auto"/>
        <w:ind w:left="439" w:right="417" w:firstLine="720"/>
        <w:jc w:val="both"/>
      </w:pPr>
      <w:r>
        <w:rPr/>
        <w:t>Based on the military detail specification, </w:t>
      </w:r>
      <w:r>
        <w:rPr>
          <w:i/>
        </w:rPr>
        <w:t>MIL-DTL-62474F, Laminate: Aramid-</w:t>
      </w:r>
      <w:r>
        <w:rPr>
          <w:i/>
          <w:spacing w:val="1"/>
        </w:rPr>
        <w:t> </w:t>
      </w:r>
      <w:r>
        <w:rPr>
          <w:i/>
        </w:rPr>
        <w:t>Fabric-Reinforced, Plastic</w:t>
      </w:r>
      <w:r>
        <w:rPr/>
        <w:t>, the panels used in the ECLT specimen were categorized as</w:t>
      </w:r>
      <w:r>
        <w:rPr>
          <w:spacing w:val="1"/>
        </w:rPr>
        <w:t> </w:t>
      </w:r>
      <w:r>
        <w:rPr/>
        <w:t>Class</w:t>
      </w:r>
      <w:r>
        <w:rPr>
          <w:spacing w:val="-13"/>
        </w:rPr>
        <w:t> </w:t>
      </w:r>
      <w:r>
        <w:rPr/>
        <w:t>B</w:t>
      </w:r>
      <w:r>
        <w:rPr>
          <w:spacing w:val="-13"/>
        </w:rPr>
        <w:t> </w:t>
      </w:r>
      <w:r>
        <w:rPr/>
        <w:t>with</w:t>
      </w:r>
      <w:r>
        <w:rPr>
          <w:spacing w:val="-13"/>
        </w:rPr>
        <w:t> </w:t>
      </w:r>
      <w:r>
        <w:rPr/>
        <w:t>nominal</w:t>
      </w:r>
      <w:r>
        <w:rPr>
          <w:spacing w:val="-12"/>
        </w:rPr>
        <w:t> </w:t>
      </w:r>
      <w:r>
        <w:rPr/>
        <w:t>3,000</w:t>
      </w:r>
      <w:r>
        <w:rPr>
          <w:spacing w:val="-12"/>
        </w:rPr>
        <w:t> </w:t>
      </w:r>
      <w:r>
        <w:rPr/>
        <w:t>Denier,</w:t>
      </w:r>
      <w:r>
        <w:rPr>
          <w:spacing w:val="-13"/>
        </w:rPr>
        <w:t> </w:t>
      </w:r>
      <w:r>
        <w:rPr/>
        <w:t>minimal</w:t>
      </w:r>
      <w:r>
        <w:rPr>
          <w:spacing w:val="-12"/>
        </w:rPr>
        <w:t> </w:t>
      </w:r>
      <w:r>
        <w:rPr/>
        <w:t>1300</w:t>
      </w:r>
      <w:r>
        <w:rPr>
          <w:spacing w:val="-12"/>
        </w:rPr>
        <w:t> </w:t>
      </w:r>
      <w:r>
        <w:rPr/>
        <w:t>filaments,</w:t>
      </w:r>
      <w:r>
        <w:rPr>
          <w:spacing w:val="-12"/>
        </w:rPr>
        <w:t> </w:t>
      </w:r>
      <w:r>
        <w:rPr/>
        <w:t>and</w:t>
      </w:r>
      <w:r>
        <w:rPr>
          <w:spacing w:val="-12"/>
        </w:rPr>
        <w:t> </w:t>
      </w:r>
      <w:r>
        <w:rPr/>
        <w:t>basket</w:t>
      </w:r>
      <w:r>
        <w:rPr>
          <w:spacing w:val="-13"/>
        </w:rPr>
        <w:t> </w:t>
      </w:r>
      <w:r>
        <w:rPr/>
        <w:t>weave</w:t>
      </w:r>
      <w:r>
        <w:rPr>
          <w:spacing w:val="-12"/>
        </w:rPr>
        <w:t> </w:t>
      </w:r>
      <w:r>
        <w:rPr/>
        <w:t>for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yarn</w:t>
      </w:r>
      <w:r>
        <w:rPr>
          <w:spacing w:val="-58"/>
        </w:rPr>
        <w:t> </w:t>
      </w:r>
      <w:r>
        <w:rPr/>
        <w:t>fibered fabric.</w:t>
      </w:r>
      <w:r>
        <w:rPr>
          <w:spacing w:val="1"/>
        </w:rPr>
        <w:t> </w:t>
      </w:r>
      <w:r>
        <w:rPr/>
        <w:t>The Denier is a unit of measure for the linear density with the quantity</w:t>
      </w:r>
      <w:r>
        <w:rPr>
          <w:spacing w:val="1"/>
        </w:rPr>
        <w:t> </w:t>
      </w:r>
      <w:r>
        <w:rPr/>
        <w:t>annotating the mass in grams per 9,000 meter of fiber.</w:t>
      </w:r>
      <w:r>
        <w:rPr>
          <w:spacing w:val="1"/>
        </w:rPr>
        <w:t> </w:t>
      </w:r>
      <w:r>
        <w:rPr/>
        <w:t>For this fabric, the 3,000 Denier</w:t>
      </w:r>
      <w:r>
        <w:rPr>
          <w:spacing w:val="1"/>
        </w:rPr>
        <w:t> </w:t>
      </w:r>
      <w:r>
        <w:rPr/>
        <w:t>represents thick, heavy threads, which translates to a thick and durable material.</w:t>
      </w:r>
      <w:r>
        <w:rPr>
          <w:spacing w:val="1"/>
        </w:rPr>
        <w:t> </w:t>
      </w:r>
      <w:r>
        <w:rPr/>
        <w:t>Heavy-</w:t>
      </w:r>
      <w:r>
        <w:rPr>
          <w:spacing w:val="1"/>
        </w:rPr>
        <w:t> </w:t>
      </w:r>
      <w:r>
        <w:rPr/>
        <w:t>duty nylon materials for outdoor use are typically in the range of 1,000 Denier.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filament refers to a single continuous fiber strand. A basket weave fabric is a type of fiber</w:t>
      </w:r>
      <w:r>
        <w:rPr>
          <w:spacing w:val="-57"/>
        </w:rPr>
        <w:t> </w:t>
      </w:r>
      <w:r>
        <w:rPr/>
        <w:t>weaving</w:t>
      </w:r>
      <w:r>
        <w:rPr>
          <w:spacing w:val="-10"/>
        </w:rPr>
        <w:t> </w:t>
      </w:r>
      <w:r>
        <w:rPr/>
        <w:t>where</w:t>
      </w:r>
      <w:r>
        <w:rPr>
          <w:spacing w:val="-11"/>
        </w:rPr>
        <w:t> </w:t>
      </w:r>
      <w:r>
        <w:rPr/>
        <w:t>the</w:t>
      </w:r>
      <w:r>
        <w:rPr>
          <w:spacing w:val="-8"/>
        </w:rPr>
        <w:t> </w:t>
      </w:r>
      <w:r>
        <w:rPr/>
        <w:t>fiber</w:t>
      </w:r>
      <w:r>
        <w:rPr>
          <w:spacing w:val="-10"/>
        </w:rPr>
        <w:t> </w:t>
      </w:r>
      <w:r>
        <w:rPr/>
        <w:t>strands</w:t>
      </w:r>
      <w:r>
        <w:rPr>
          <w:spacing w:val="-10"/>
        </w:rPr>
        <w:t> </w:t>
      </w:r>
      <w:r>
        <w:rPr/>
        <w:t>running</w:t>
      </w:r>
      <w:r>
        <w:rPr>
          <w:spacing w:val="-10"/>
        </w:rPr>
        <w:t> </w:t>
      </w:r>
      <w:r>
        <w:rPr/>
        <w:t>both</w:t>
      </w:r>
      <w:r>
        <w:rPr>
          <w:spacing w:val="-11"/>
        </w:rPr>
        <w:t> </w:t>
      </w:r>
      <w:r>
        <w:rPr/>
        <w:t>longitudinal</w:t>
      </w:r>
      <w:r>
        <w:rPr>
          <w:spacing w:val="-9"/>
        </w:rPr>
        <w:t> </w:t>
      </w:r>
      <w:r>
        <w:rPr/>
        <w:t>(warp)</w:t>
      </w:r>
      <w:r>
        <w:rPr>
          <w:spacing w:val="-10"/>
        </w:rPr>
        <w:t> </w:t>
      </w:r>
      <w:r>
        <w:rPr/>
        <w:t>and</w:t>
      </w:r>
      <w:r>
        <w:rPr>
          <w:spacing w:val="-9"/>
        </w:rPr>
        <w:t> </w:t>
      </w:r>
      <w:r>
        <w:rPr/>
        <w:t>transverse</w:t>
      </w:r>
      <w:r>
        <w:rPr>
          <w:spacing w:val="-11"/>
        </w:rPr>
        <w:t> </w:t>
      </w:r>
      <w:r>
        <w:rPr/>
        <w:t>directions</w:t>
      </w:r>
      <w:r>
        <w:rPr>
          <w:spacing w:val="-58"/>
        </w:rPr>
        <w:t> </w:t>
      </w:r>
      <w:r>
        <w:rPr/>
        <w:t>(weft)</w:t>
      </w:r>
      <w:r>
        <w:rPr>
          <w:spacing w:val="2"/>
        </w:rPr>
        <w:t> </w:t>
      </w:r>
      <w:r>
        <w:rPr/>
        <w:t>are</w:t>
      </w:r>
      <w:r>
        <w:rPr>
          <w:spacing w:val="2"/>
        </w:rPr>
        <w:t> </w:t>
      </w:r>
      <w:r>
        <w:rPr/>
        <w:t>woven</w:t>
      </w:r>
      <w:r>
        <w:rPr>
          <w:spacing w:val="2"/>
        </w:rPr>
        <w:t> </w:t>
      </w:r>
      <w:r>
        <w:rPr/>
        <w:t>together</w:t>
      </w:r>
      <w:r>
        <w:rPr>
          <w:spacing w:val="2"/>
        </w:rPr>
        <w:t> </w:t>
      </w:r>
      <w:r>
        <w:rPr/>
        <w:t>with</w:t>
      </w:r>
      <w:r>
        <w:rPr>
          <w:spacing w:val="2"/>
        </w:rPr>
        <w:t> </w:t>
      </w:r>
      <w:r>
        <w:rPr/>
        <w:t>at</w:t>
      </w:r>
      <w:r>
        <w:rPr>
          <w:spacing w:val="2"/>
        </w:rPr>
        <w:t> </w:t>
      </w:r>
      <w:r>
        <w:rPr/>
        <w:t>least</w:t>
      </w:r>
      <w:r>
        <w:rPr>
          <w:spacing w:val="3"/>
        </w:rPr>
        <w:t> </w:t>
      </w:r>
      <w:r>
        <w:rPr/>
        <w:t>two</w:t>
      </w:r>
      <w:r>
        <w:rPr>
          <w:spacing w:val="2"/>
        </w:rPr>
        <w:t> </w:t>
      </w:r>
      <w:r>
        <w:rPr/>
        <w:t>threads</w:t>
      </w:r>
      <w:r>
        <w:rPr>
          <w:spacing w:val="1"/>
        </w:rPr>
        <w:t> </w:t>
      </w:r>
      <w:r>
        <w:rPr/>
        <w:t>for</w:t>
      </w:r>
      <w:r>
        <w:rPr>
          <w:spacing w:val="3"/>
        </w:rPr>
        <w:t> </w:t>
      </w:r>
      <w:r>
        <w:rPr/>
        <w:t>each</w:t>
      </w:r>
      <w:r>
        <w:rPr>
          <w:spacing w:val="1"/>
        </w:rPr>
        <w:t> </w:t>
      </w:r>
      <w:r>
        <w:rPr/>
        <w:t>direction,</w:t>
      </w:r>
      <w:r>
        <w:rPr>
          <w:spacing w:val="1"/>
        </w:rPr>
        <w:t> </w:t>
      </w:r>
      <w:r>
        <w:rPr/>
        <w:t>interlaced</w:t>
      </w:r>
      <w:r>
        <w:rPr>
          <w:spacing w:val="1"/>
        </w:rPr>
        <w:t> </w:t>
      </w:r>
      <w:r>
        <w:rPr/>
        <w:t>over</w:t>
      </w:r>
      <w:r>
        <w:rPr>
          <w:spacing w:val="3"/>
        </w:rPr>
        <w:t> </w:t>
      </w:r>
      <w:r>
        <w:rPr/>
        <w:t>and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40" w:right="417"/>
        <w:jc w:val="both"/>
      </w:pPr>
      <w:r>
        <w:rPr/>
        <w:t>under each other, producing a checkboard or basket pattern.</w:t>
      </w:r>
      <w:r>
        <w:rPr>
          <w:spacing w:val="1"/>
        </w:rPr>
        <w:t> </w:t>
      </w:r>
      <w:r>
        <w:rPr/>
        <w:t>It provides an increased</w:t>
      </w:r>
      <w:r>
        <w:rPr>
          <w:spacing w:val="1"/>
        </w:rPr>
        <w:t> </w:t>
      </w:r>
      <w:r>
        <w:rPr/>
        <w:t>strength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durability</w:t>
      </w:r>
      <w:r>
        <w:rPr>
          <w:spacing w:val="-2"/>
        </w:rPr>
        <w:t> </w:t>
      </w:r>
      <w:r>
        <w:rPr/>
        <w:t>to the fabric.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/>
        <w:ind w:left="439" w:right="416" w:firstLine="720"/>
        <w:jc w:val="both"/>
      </w:pPr>
      <w:r>
        <w:rPr/>
        <w:t>Based on the number of aramid fabric plies in the panels tested, the military</w:t>
      </w:r>
      <w:r>
        <w:rPr>
          <w:spacing w:val="1"/>
        </w:rPr>
        <w:t> </w:t>
      </w:r>
      <w:r>
        <w:rPr/>
        <w:t>specification calls for a ballistic limit of 1,924 fps (586 m/s) for a 0.30-caliber fragment</w:t>
      </w:r>
      <w:r>
        <w:rPr>
          <w:spacing w:val="1"/>
        </w:rPr>
        <w:t> </w:t>
      </w:r>
      <w:r>
        <w:rPr/>
        <w:t>simulating projectile (FSP) at zero degrees obliquity.</w:t>
      </w:r>
      <w:r>
        <w:rPr>
          <w:spacing w:val="1"/>
        </w:rPr>
        <w:t> </w:t>
      </w:r>
      <w:r>
        <w:rPr/>
        <w:t>This FSP round is typically blunt</w:t>
      </w:r>
      <w:r>
        <w:rPr>
          <w:spacing w:val="1"/>
        </w:rPr>
        <w:t> </w:t>
      </w:r>
      <w:r>
        <w:rPr/>
        <w:t>nosed and lighter at 44 grains than the 0.50-in. sphere test projectile used in this research.</w:t>
      </w:r>
      <w:r>
        <w:rPr>
          <w:spacing w:val="1"/>
        </w:rPr>
        <w:t> </w:t>
      </w:r>
      <w:r>
        <w:rPr/>
        <w:t>This would mean the CLT would be required to also reduce the energy of the projectile in</w:t>
      </w:r>
      <w:r>
        <w:rPr>
          <w:spacing w:val="-57"/>
        </w:rPr>
        <w:t> </w:t>
      </w:r>
      <w:r>
        <w:rPr/>
        <w:t>order to prevent perforation of the ECLT specimen.</w:t>
      </w:r>
      <w:r>
        <w:rPr>
          <w:spacing w:val="1"/>
        </w:rPr>
        <w:t> </w:t>
      </w:r>
      <w:hyperlink w:history="true" w:anchor="_bookmark129">
        <w:r>
          <w:rPr/>
          <w:t>Figure 7-8 </w:t>
        </w:r>
      </w:hyperlink>
      <w:r>
        <w:rPr/>
        <w:t>shows the aramid panels</w:t>
      </w:r>
      <w:r>
        <w:rPr>
          <w:spacing w:val="1"/>
        </w:rPr>
        <w:t> </w:t>
      </w:r>
      <w:r>
        <w:rPr/>
        <w:t>before</w:t>
      </w:r>
      <w:r>
        <w:rPr>
          <w:spacing w:val="-8"/>
        </w:rPr>
        <w:t> </w:t>
      </w:r>
      <w:r>
        <w:rPr/>
        <w:t>they</w:t>
      </w:r>
      <w:r>
        <w:rPr>
          <w:spacing w:val="-9"/>
        </w:rPr>
        <w:t> </w:t>
      </w:r>
      <w:r>
        <w:rPr/>
        <w:t>were</w:t>
      </w:r>
      <w:r>
        <w:rPr>
          <w:spacing w:val="-7"/>
        </w:rPr>
        <w:t> </w:t>
      </w:r>
      <w:r>
        <w:rPr/>
        <w:t>surface</w:t>
      </w:r>
      <w:r>
        <w:rPr>
          <w:spacing w:val="-8"/>
        </w:rPr>
        <w:t> </w:t>
      </w:r>
      <w:r>
        <w:rPr/>
        <w:t>sanded</w:t>
      </w:r>
      <w:r>
        <w:rPr>
          <w:spacing w:val="-7"/>
        </w:rPr>
        <w:t> </w:t>
      </w:r>
      <w:r>
        <w:rPr/>
        <w:t>for</w:t>
      </w:r>
      <w:r>
        <w:rPr>
          <w:spacing w:val="-7"/>
        </w:rPr>
        <w:t> </w:t>
      </w:r>
      <w:r>
        <w:rPr/>
        <w:t>improved</w:t>
      </w:r>
      <w:r>
        <w:rPr>
          <w:spacing w:val="-7"/>
        </w:rPr>
        <w:t> </w:t>
      </w:r>
      <w:r>
        <w:rPr/>
        <w:t>adhesion</w:t>
      </w:r>
      <w:r>
        <w:rPr>
          <w:spacing w:val="-8"/>
        </w:rPr>
        <w:t> </w:t>
      </w:r>
      <w:r>
        <w:rPr/>
        <w:t>within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ECLT</w:t>
      </w:r>
      <w:r>
        <w:rPr>
          <w:spacing w:val="-8"/>
        </w:rPr>
        <w:t> </w:t>
      </w:r>
      <w:r>
        <w:rPr/>
        <w:t>specimen.</w:t>
      </w:r>
      <w:r>
        <w:rPr>
          <w:spacing w:val="46"/>
        </w:rPr>
        <w:t> </w:t>
      </w:r>
      <w:r>
        <w:rPr/>
        <w:t>Three</w:t>
      </w:r>
      <w:r>
        <w:rPr>
          <w:spacing w:val="-58"/>
        </w:rPr>
        <w:t> </w:t>
      </w:r>
      <w:r>
        <w:rPr/>
        <w:t>test</w:t>
      </w:r>
      <w:r>
        <w:rPr>
          <w:spacing w:val="-1"/>
        </w:rPr>
        <w:t> </w:t>
      </w:r>
      <w:r>
        <w:rPr/>
        <w:t>specimens were</w:t>
      </w:r>
      <w:r>
        <w:rPr>
          <w:spacing w:val="-1"/>
        </w:rPr>
        <w:t> </w:t>
      </w:r>
      <w:r>
        <w:rPr/>
        <w:t>made with the</w:t>
      </w:r>
      <w:r>
        <w:rPr>
          <w:spacing w:val="-2"/>
        </w:rPr>
        <w:t> </w:t>
      </w:r>
      <w:r>
        <w:rPr/>
        <w:t>enhanced layer of</w:t>
      </w:r>
      <w:r>
        <w:rPr>
          <w:spacing w:val="-2"/>
        </w:rPr>
        <w:t> </w:t>
      </w:r>
      <w:r>
        <w:rPr/>
        <w:t>aramid epoxy panel.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273">
            <wp:simplePos x="0" y="0"/>
            <wp:positionH relativeFrom="page">
              <wp:posOffset>1828800</wp:posOffset>
            </wp:positionH>
            <wp:positionV relativeFrom="paragraph">
              <wp:posOffset>196867</wp:posOffset>
            </wp:positionV>
            <wp:extent cx="4564544" cy="3090576"/>
            <wp:effectExtent l="0" t="0" r="0" b="0"/>
            <wp:wrapTopAndBottom/>
            <wp:docPr id="103" name="image3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319.jpeg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4544" cy="3090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44"/>
        <w:ind w:left="18" w:right="0" w:firstLine="0"/>
        <w:jc w:val="center"/>
        <w:rPr>
          <w:i/>
          <w:sz w:val="24"/>
        </w:rPr>
      </w:pPr>
      <w:bookmarkStart w:name="_bookmark129" w:id="419"/>
      <w:bookmarkEnd w:id="419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7-8.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Aramid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epoxy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panels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prior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production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ECLT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panel.</w:t>
      </w:r>
    </w:p>
    <w:p>
      <w:pPr>
        <w:spacing w:after="0"/>
        <w:jc w:val="center"/>
        <w:rPr>
          <w:sz w:val="24"/>
        </w:rPr>
        <w:sectPr>
          <w:pgSz w:w="12240" w:h="15840"/>
          <w:pgMar w:header="0" w:footer="1064" w:top="1360" w:bottom="1260" w:left="1720" w:right="1020"/>
        </w:sectPr>
      </w:pPr>
    </w:p>
    <w:p>
      <w:pPr>
        <w:pStyle w:val="ListParagraph"/>
        <w:numPr>
          <w:ilvl w:val="3"/>
          <w:numId w:val="24"/>
        </w:numPr>
        <w:tabs>
          <w:tab w:pos="1160" w:val="left" w:leader="none"/>
        </w:tabs>
        <w:spacing w:line="240" w:lineRule="auto" w:before="79" w:after="0"/>
        <w:ind w:left="1160" w:right="0" w:hanging="720"/>
        <w:jc w:val="left"/>
        <w:rPr>
          <w:i/>
          <w:sz w:val="24"/>
        </w:rPr>
      </w:pPr>
      <w:bookmarkStart w:name="7.2.2.4 Type 4 - Mild steel plate" w:id="420"/>
      <w:bookmarkEnd w:id="420"/>
      <w:r>
        <w:rPr/>
      </w:r>
      <w:bookmarkStart w:name="7.2.2.4 Type 4 - Mild steel plate" w:id="421"/>
      <w:bookmarkEnd w:id="421"/>
      <w:r>
        <w:rPr>
          <w:i/>
          <w:sz w:val="24"/>
          <w:u w:val="single"/>
        </w:rPr>
        <w:t>T</w:t>
      </w:r>
      <w:r>
        <w:rPr>
          <w:i/>
          <w:sz w:val="24"/>
          <w:u w:val="single"/>
        </w:rPr>
        <w:t>ype</w:t>
      </w:r>
      <w:r>
        <w:rPr>
          <w:i/>
          <w:spacing w:val="-2"/>
          <w:sz w:val="24"/>
          <w:u w:val="single"/>
        </w:rPr>
        <w:t> </w:t>
      </w:r>
      <w:r>
        <w:rPr>
          <w:i/>
          <w:sz w:val="24"/>
          <w:u w:val="single"/>
        </w:rPr>
        <w:t>4</w:t>
      </w:r>
      <w:r>
        <w:rPr>
          <w:i/>
          <w:spacing w:val="-1"/>
          <w:sz w:val="24"/>
          <w:u w:val="single"/>
        </w:rPr>
        <w:t> </w:t>
      </w:r>
      <w:r>
        <w:rPr>
          <w:i/>
          <w:sz w:val="24"/>
          <w:u w:val="single"/>
        </w:rPr>
        <w:t>-</w:t>
      </w:r>
      <w:r>
        <w:rPr>
          <w:i/>
          <w:spacing w:val="-1"/>
          <w:sz w:val="24"/>
          <w:u w:val="single"/>
        </w:rPr>
        <w:t> </w:t>
      </w:r>
      <w:r>
        <w:rPr>
          <w:i/>
          <w:sz w:val="24"/>
          <w:u w:val="single"/>
        </w:rPr>
        <w:t>Mild</w:t>
      </w:r>
      <w:r>
        <w:rPr>
          <w:i/>
          <w:spacing w:val="-1"/>
          <w:sz w:val="24"/>
          <w:u w:val="single"/>
        </w:rPr>
        <w:t> </w:t>
      </w:r>
      <w:r>
        <w:rPr>
          <w:i/>
          <w:sz w:val="24"/>
          <w:u w:val="single"/>
        </w:rPr>
        <w:t>steel</w:t>
      </w:r>
      <w:r>
        <w:rPr>
          <w:i/>
          <w:spacing w:val="-2"/>
          <w:sz w:val="24"/>
          <w:u w:val="single"/>
        </w:rPr>
        <w:t> </w:t>
      </w:r>
      <w:r>
        <w:rPr>
          <w:i/>
          <w:sz w:val="24"/>
          <w:u w:val="single"/>
        </w:rPr>
        <w:t>plate</w:t>
      </w:r>
    </w:p>
    <w:p>
      <w:pPr>
        <w:pStyle w:val="BodyText"/>
        <w:spacing w:before="9"/>
        <w:rPr>
          <w:i/>
          <w:sz w:val="14"/>
        </w:rPr>
      </w:pPr>
    </w:p>
    <w:p>
      <w:pPr>
        <w:pStyle w:val="BodyText"/>
        <w:spacing w:line="480" w:lineRule="auto" w:before="90"/>
        <w:ind w:left="440" w:right="417" w:firstLine="720"/>
        <w:jc w:val="both"/>
      </w:pPr>
      <w:r>
        <w:rPr/>
        <w:t>Two ECLT specimens were produced with an enhancing layer of 0.25-inch mild</w:t>
      </w:r>
      <w:r>
        <w:rPr>
          <w:spacing w:val="1"/>
        </w:rPr>
        <w:t> </w:t>
      </w:r>
      <w:r>
        <w:rPr/>
        <w:t>steel plate.</w:t>
      </w:r>
      <w:r>
        <w:rPr>
          <w:spacing w:val="1"/>
        </w:rPr>
        <w:t> </w:t>
      </w:r>
      <w:r>
        <w:rPr/>
        <w:t>The characteristics of mild steel are strength and easy formability.</w:t>
      </w:r>
      <w:r>
        <w:rPr>
          <w:spacing w:val="1"/>
        </w:rPr>
        <w:t> </w:t>
      </w:r>
      <w:r>
        <w:rPr/>
        <w:t>Tensile</w:t>
      </w:r>
      <w:r>
        <w:rPr>
          <w:spacing w:val="1"/>
        </w:rPr>
        <w:t> </w:t>
      </w:r>
      <w:r>
        <w:rPr/>
        <w:t>ultimate strengths are typically in the range of 58-80 ksi (400-550 MPa) with a yield</w:t>
      </w:r>
      <w:r>
        <w:rPr>
          <w:spacing w:val="1"/>
        </w:rPr>
        <w:t> </w:t>
      </w:r>
      <w:r>
        <w:rPr/>
        <w:t>strength based on the 2% offset method of 36 ksi (250 MPa).</w:t>
      </w:r>
      <w:r>
        <w:rPr>
          <w:spacing w:val="1"/>
        </w:rPr>
        <w:t> </w:t>
      </w:r>
      <w:r>
        <w:rPr/>
        <w:t>Mild steel has a Brinell</w:t>
      </w:r>
      <w:r>
        <w:rPr>
          <w:spacing w:val="1"/>
        </w:rPr>
        <w:t> </w:t>
      </w:r>
      <w:r>
        <w:rPr/>
        <w:t>hardness</w:t>
      </w:r>
      <w:r>
        <w:rPr>
          <w:spacing w:val="-10"/>
        </w:rPr>
        <w:t> </w:t>
      </w:r>
      <w:r>
        <w:rPr/>
        <w:t>in</w:t>
      </w:r>
      <w:r>
        <w:rPr>
          <w:spacing w:val="-11"/>
        </w:rPr>
        <w:t> </w:t>
      </w:r>
      <w:r>
        <w:rPr/>
        <w:t>the</w:t>
      </w:r>
      <w:r>
        <w:rPr>
          <w:spacing w:val="-9"/>
        </w:rPr>
        <w:t> </w:t>
      </w:r>
      <w:r>
        <w:rPr/>
        <w:t>range</w:t>
      </w:r>
      <w:r>
        <w:rPr>
          <w:spacing w:val="-10"/>
        </w:rPr>
        <w:t> </w:t>
      </w:r>
      <w:r>
        <w:rPr/>
        <w:t>of</w:t>
      </w:r>
      <w:r>
        <w:rPr>
          <w:spacing w:val="-10"/>
        </w:rPr>
        <w:t> </w:t>
      </w:r>
      <w:r>
        <w:rPr/>
        <w:t>119-159</w:t>
      </w:r>
      <w:r>
        <w:rPr>
          <w:spacing w:val="-10"/>
        </w:rPr>
        <w:t> </w:t>
      </w:r>
      <w:r>
        <w:rPr/>
        <w:t>and</w:t>
      </w:r>
      <w:r>
        <w:rPr>
          <w:spacing w:val="-9"/>
        </w:rPr>
        <w:t> </w:t>
      </w:r>
      <w:r>
        <w:rPr/>
        <w:t>a</w:t>
      </w:r>
      <w:r>
        <w:rPr>
          <w:spacing w:val="-8"/>
        </w:rPr>
        <w:t> </w:t>
      </w:r>
      <w:r>
        <w:rPr/>
        <w:t>modulus</w:t>
      </w:r>
      <w:r>
        <w:rPr>
          <w:spacing w:val="-9"/>
        </w:rPr>
        <w:t> </w:t>
      </w:r>
      <w:r>
        <w:rPr/>
        <w:t>of</w:t>
      </w:r>
      <w:r>
        <w:rPr>
          <w:spacing w:val="-11"/>
        </w:rPr>
        <w:t> </w:t>
      </w:r>
      <w:r>
        <w:rPr/>
        <w:t>elasticity</w:t>
      </w:r>
      <w:r>
        <w:rPr>
          <w:spacing w:val="-9"/>
        </w:rPr>
        <w:t> </w:t>
      </w:r>
      <w:r>
        <w:rPr/>
        <w:t>of</w:t>
      </w:r>
      <w:r>
        <w:rPr>
          <w:spacing w:val="-11"/>
        </w:rPr>
        <w:t> </w:t>
      </w:r>
      <w:r>
        <w:rPr/>
        <w:t>29,000</w:t>
      </w:r>
      <w:r>
        <w:rPr>
          <w:spacing w:val="-9"/>
        </w:rPr>
        <w:t> </w:t>
      </w:r>
      <w:r>
        <w:rPr/>
        <w:t>ksi</w:t>
      </w:r>
      <w:r>
        <w:rPr>
          <w:spacing w:val="-8"/>
        </w:rPr>
        <w:t> </w:t>
      </w:r>
      <w:r>
        <w:rPr/>
        <w:t>(200</w:t>
      </w:r>
      <w:r>
        <w:rPr>
          <w:spacing w:val="-9"/>
        </w:rPr>
        <w:t> </w:t>
      </w:r>
      <w:r>
        <w:rPr/>
        <w:t>GPa).</w:t>
      </w:r>
      <w:r>
        <w:rPr>
          <w:spacing w:val="41"/>
        </w:rPr>
        <w:t> </w:t>
      </w:r>
      <w:r>
        <w:rPr/>
        <w:t>This</w:t>
      </w:r>
      <w:r>
        <w:rPr>
          <w:spacing w:val="-57"/>
        </w:rPr>
        <w:t> </w:t>
      </w:r>
      <w:r>
        <w:rPr/>
        <w:t>type of steel is common for use in construction; it is not typically used as a modern armor</w:t>
      </w:r>
      <w:r>
        <w:rPr>
          <w:spacing w:val="-57"/>
        </w:rPr>
        <w:t> </w:t>
      </w:r>
      <w:r>
        <w:rPr/>
        <w:t>material.</w:t>
      </w:r>
      <w:r>
        <w:rPr>
          <w:spacing w:val="1"/>
        </w:rPr>
        <w:t> </w:t>
      </w:r>
      <w:r>
        <w:rPr/>
        <w:t>The intent of using the mild steel was to investigate its performance within the</w:t>
      </w:r>
      <w:r>
        <w:rPr>
          <w:spacing w:val="1"/>
        </w:rPr>
        <w:t> </w:t>
      </w:r>
      <w:r>
        <w:rPr/>
        <w:t>ECLT</w:t>
      </w:r>
      <w:r>
        <w:rPr>
          <w:spacing w:val="-2"/>
        </w:rPr>
        <w:t> </w:t>
      </w:r>
      <w:r>
        <w:rPr/>
        <w:t>as a relatively ductile steel.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 w:before="1"/>
        <w:ind w:left="440" w:right="417" w:firstLine="720"/>
        <w:jc w:val="both"/>
      </w:pPr>
      <w:r>
        <w:rPr/>
        <w:t>A previous study conducted by Gupta and Madhu that included mild steel plates</w:t>
      </w:r>
      <w:r>
        <w:rPr>
          <w:spacing w:val="1"/>
        </w:rPr>
        <w:t> </w:t>
      </w:r>
      <w:r>
        <w:rPr/>
        <w:t>approximately 0.25-in. thick with a striking velocity in the range of 2,690 fps (820 m/s)</w:t>
      </w:r>
      <w:r>
        <w:rPr>
          <w:spacing w:val="1"/>
        </w:rPr>
        <w:t> </w:t>
      </w:r>
      <w:r>
        <w:rPr/>
        <w:t>observed petaling on the impact face of the plates and complete perforation by ogive-</w:t>
      </w:r>
      <w:r>
        <w:rPr>
          <w:spacing w:val="1"/>
        </w:rPr>
        <w:t> </w:t>
      </w:r>
      <w:r>
        <w:rPr/>
        <w:t>shaped armor-piercing projectiles.</w:t>
      </w:r>
      <w:r>
        <w:rPr>
          <w:spacing w:val="1"/>
        </w:rPr>
        <w:t> </w:t>
      </w:r>
      <w:r>
        <w:rPr/>
        <w:t>Additionally, crater diameters of measurable depth</w:t>
      </w:r>
      <w:r>
        <w:rPr>
          <w:spacing w:val="1"/>
        </w:rPr>
        <w:t> </w:t>
      </w:r>
      <w:r>
        <w:rPr/>
        <w:t>were</w:t>
      </w:r>
      <w:r>
        <w:rPr>
          <w:spacing w:val="-10"/>
        </w:rPr>
        <w:t> </w:t>
      </w:r>
      <w:r>
        <w:rPr/>
        <w:t>formed</w:t>
      </w:r>
      <w:r>
        <w:rPr>
          <w:spacing w:val="-10"/>
        </w:rPr>
        <w:t> </w:t>
      </w:r>
      <w:r>
        <w:rPr/>
        <w:t>on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front</w:t>
      </w:r>
      <w:r>
        <w:rPr>
          <w:spacing w:val="-9"/>
        </w:rPr>
        <w:t> </w:t>
      </w:r>
      <w:r>
        <w:rPr/>
        <w:t>and</w:t>
      </w:r>
      <w:r>
        <w:rPr>
          <w:spacing w:val="-10"/>
        </w:rPr>
        <w:t> </w:t>
      </w:r>
      <w:r>
        <w:rPr/>
        <w:t>back</w:t>
      </w:r>
      <w:r>
        <w:rPr>
          <w:spacing w:val="-10"/>
        </w:rPr>
        <w:t> </w:t>
      </w:r>
      <w:r>
        <w:rPr/>
        <w:t>face</w:t>
      </w:r>
      <w:r>
        <w:rPr>
          <w:spacing w:val="-10"/>
        </w:rPr>
        <w:t> </w:t>
      </w:r>
      <w:r>
        <w:rPr/>
        <w:t>of</w:t>
      </w:r>
      <w:r>
        <w:rPr>
          <w:spacing w:val="-11"/>
        </w:rPr>
        <w:t> </w:t>
      </w:r>
      <w:r>
        <w:rPr/>
        <w:t>the</w:t>
      </w:r>
      <w:r>
        <w:rPr>
          <w:spacing w:val="-8"/>
        </w:rPr>
        <w:t> </w:t>
      </w:r>
      <w:r>
        <w:rPr/>
        <w:t>mild</w:t>
      </w:r>
      <w:r>
        <w:rPr>
          <w:spacing w:val="-10"/>
        </w:rPr>
        <w:t> </w:t>
      </w:r>
      <w:r>
        <w:rPr/>
        <w:t>steel</w:t>
      </w:r>
      <w:r>
        <w:rPr>
          <w:spacing w:val="-9"/>
        </w:rPr>
        <w:t> </w:t>
      </w:r>
      <w:r>
        <w:rPr/>
        <w:t>targets.</w:t>
      </w:r>
      <w:r>
        <w:rPr>
          <w:spacing w:val="42"/>
        </w:rPr>
        <w:t> </w:t>
      </w:r>
      <w:r>
        <w:rPr/>
        <w:t>Thicker</w:t>
      </w:r>
      <w:r>
        <w:rPr>
          <w:spacing w:val="-9"/>
        </w:rPr>
        <w:t> </w:t>
      </w:r>
      <w:r>
        <w:rPr/>
        <w:t>mild</w:t>
      </w:r>
      <w:r>
        <w:rPr>
          <w:spacing w:val="-10"/>
        </w:rPr>
        <w:t> </w:t>
      </w:r>
      <w:r>
        <w:rPr/>
        <w:t>steel</w:t>
      </w:r>
      <w:r>
        <w:rPr>
          <w:spacing w:val="-9"/>
        </w:rPr>
        <w:t> </w:t>
      </w:r>
      <w:r>
        <w:rPr/>
        <w:t>targets,</w:t>
      </w:r>
      <w:r>
        <w:rPr>
          <w:spacing w:val="-58"/>
        </w:rPr>
        <w:t> </w:t>
      </w:r>
      <w:r>
        <w:rPr/>
        <w:t>up to almost 1-in., yielded similar results with slower residual velocities, and increased</w:t>
      </w:r>
      <w:r>
        <w:rPr>
          <w:spacing w:val="1"/>
        </w:rPr>
        <w:t> </w:t>
      </w:r>
      <w:r>
        <w:rPr/>
        <w:t>petal</w:t>
      </w:r>
      <w:r>
        <w:rPr>
          <w:spacing w:val="-1"/>
        </w:rPr>
        <w:t> </w:t>
      </w:r>
      <w:r>
        <w:rPr/>
        <w:t>height</w:t>
      </w:r>
      <w:r>
        <w:rPr>
          <w:spacing w:val="-1"/>
        </w:rPr>
        <w:t> </w:t>
      </w:r>
      <w:r>
        <w:rPr/>
        <w:t>on the front</w:t>
      </w:r>
      <w:r>
        <w:rPr>
          <w:spacing w:val="-1"/>
        </w:rPr>
        <w:t> </w:t>
      </w:r>
      <w:r>
        <w:rPr/>
        <w:t>face [57].</w:t>
      </w:r>
    </w:p>
    <w:p>
      <w:pPr>
        <w:pStyle w:val="ListParagraph"/>
        <w:numPr>
          <w:ilvl w:val="3"/>
          <w:numId w:val="24"/>
        </w:numPr>
        <w:tabs>
          <w:tab w:pos="1160" w:val="left" w:leader="none"/>
        </w:tabs>
        <w:spacing w:line="240" w:lineRule="auto" w:before="161" w:after="0"/>
        <w:ind w:left="1160" w:right="0" w:hanging="720"/>
        <w:jc w:val="both"/>
        <w:rPr>
          <w:i/>
          <w:sz w:val="24"/>
        </w:rPr>
      </w:pPr>
      <w:bookmarkStart w:name="7.2.2.5 Type 5 - High-hard steel plate" w:id="422"/>
      <w:bookmarkEnd w:id="422"/>
      <w:r>
        <w:rPr/>
      </w:r>
      <w:bookmarkStart w:name="7.2.2.5 Type 5 - High-hard steel plate" w:id="423"/>
      <w:bookmarkEnd w:id="423"/>
      <w:r>
        <w:rPr>
          <w:i/>
          <w:sz w:val="24"/>
          <w:u w:val="single"/>
        </w:rPr>
        <w:t>T</w:t>
      </w:r>
      <w:r>
        <w:rPr>
          <w:i/>
          <w:sz w:val="24"/>
          <w:u w:val="single"/>
        </w:rPr>
        <w:t>ype</w:t>
      </w:r>
      <w:r>
        <w:rPr>
          <w:i/>
          <w:spacing w:val="-2"/>
          <w:sz w:val="24"/>
          <w:u w:val="single"/>
        </w:rPr>
        <w:t> </w:t>
      </w:r>
      <w:r>
        <w:rPr>
          <w:i/>
          <w:sz w:val="24"/>
          <w:u w:val="single"/>
        </w:rPr>
        <w:t>5</w:t>
      </w:r>
      <w:r>
        <w:rPr>
          <w:i/>
          <w:spacing w:val="-2"/>
          <w:sz w:val="24"/>
          <w:u w:val="single"/>
        </w:rPr>
        <w:t> </w:t>
      </w:r>
      <w:r>
        <w:rPr>
          <w:i/>
          <w:sz w:val="24"/>
          <w:u w:val="single"/>
        </w:rPr>
        <w:t>-</w:t>
      </w:r>
      <w:r>
        <w:rPr>
          <w:i/>
          <w:spacing w:val="-1"/>
          <w:sz w:val="24"/>
          <w:u w:val="single"/>
        </w:rPr>
        <w:t> </w:t>
      </w:r>
      <w:r>
        <w:rPr>
          <w:i/>
          <w:sz w:val="24"/>
          <w:u w:val="single"/>
        </w:rPr>
        <w:t>High-hard</w:t>
      </w:r>
      <w:r>
        <w:rPr>
          <w:i/>
          <w:spacing w:val="-2"/>
          <w:sz w:val="24"/>
          <w:u w:val="single"/>
        </w:rPr>
        <w:t> </w:t>
      </w:r>
      <w:r>
        <w:rPr>
          <w:i/>
          <w:sz w:val="24"/>
          <w:u w:val="single"/>
        </w:rPr>
        <w:t>steel</w:t>
      </w:r>
      <w:r>
        <w:rPr>
          <w:i/>
          <w:spacing w:val="-2"/>
          <w:sz w:val="24"/>
          <w:u w:val="single"/>
        </w:rPr>
        <w:t> </w:t>
      </w:r>
      <w:r>
        <w:rPr>
          <w:i/>
          <w:sz w:val="24"/>
          <w:u w:val="single"/>
        </w:rPr>
        <w:t>plate</w:t>
      </w:r>
    </w:p>
    <w:p>
      <w:pPr>
        <w:pStyle w:val="BodyText"/>
        <w:spacing w:before="9"/>
        <w:rPr>
          <w:i/>
          <w:sz w:val="14"/>
        </w:rPr>
      </w:pPr>
    </w:p>
    <w:p>
      <w:pPr>
        <w:pStyle w:val="BodyText"/>
        <w:spacing w:line="480" w:lineRule="auto" w:before="90"/>
        <w:ind w:left="439" w:right="416" w:firstLine="720"/>
        <w:jc w:val="both"/>
      </w:pPr>
      <w:r>
        <w:rPr/>
        <w:t>Two ECLT specimens were made using a 0.25-in. high-hard steel plate. The main</w:t>
      </w:r>
      <w:r>
        <w:rPr>
          <w:spacing w:val="-57"/>
        </w:rPr>
        <w:t> </w:t>
      </w:r>
      <w:r>
        <w:rPr/>
        <w:t>difference between mild and high-hard steel are the hardness values for the two materials.</w:t>
      </w:r>
      <w:r>
        <w:rPr>
          <w:spacing w:val="-57"/>
        </w:rPr>
        <w:t> </w:t>
      </w:r>
      <w:r>
        <w:rPr/>
        <w:t>Hardened steel such as the plates embedded within the ECLT specimens is typically used</w:t>
      </w:r>
      <w:r>
        <w:rPr>
          <w:spacing w:val="1"/>
        </w:rPr>
        <w:t> </w:t>
      </w:r>
      <w:r>
        <w:rPr/>
        <w:t>in military vehicles as wrought armor plate and covered by the detail specification, </w:t>
      </w:r>
      <w:r>
        <w:rPr>
          <w:i/>
        </w:rPr>
        <w:t>MIL-</w:t>
      </w:r>
      <w:r>
        <w:rPr>
          <w:i/>
          <w:spacing w:val="1"/>
        </w:rPr>
        <w:t> </w:t>
      </w:r>
      <w:r>
        <w:rPr>
          <w:i/>
        </w:rPr>
        <w:t>A-46100D, High-hardness Wrought Steel Armor Plate</w:t>
      </w:r>
      <w:r>
        <w:rPr/>
        <w:t>.</w:t>
      </w:r>
      <w:r>
        <w:rPr>
          <w:spacing w:val="1"/>
        </w:rPr>
        <w:t> </w:t>
      </w:r>
      <w:r>
        <w:rPr/>
        <w:t>It is typically heat treated to</w:t>
      </w:r>
      <w:r>
        <w:rPr>
          <w:spacing w:val="1"/>
        </w:rPr>
        <w:t> </w:t>
      </w:r>
      <w:r>
        <w:rPr/>
        <w:t>develop</w:t>
      </w:r>
      <w:r>
        <w:rPr>
          <w:spacing w:val="18"/>
        </w:rPr>
        <w:t> </w:t>
      </w:r>
      <w:r>
        <w:rPr/>
        <w:t>increased</w:t>
      </w:r>
      <w:r>
        <w:rPr>
          <w:spacing w:val="19"/>
        </w:rPr>
        <w:t> </w:t>
      </w:r>
      <w:r>
        <w:rPr/>
        <w:t>resistance</w:t>
      </w:r>
      <w:r>
        <w:rPr>
          <w:spacing w:val="19"/>
        </w:rPr>
        <w:t> </w:t>
      </w:r>
      <w:r>
        <w:rPr/>
        <w:t>to</w:t>
      </w:r>
      <w:r>
        <w:rPr>
          <w:spacing w:val="20"/>
        </w:rPr>
        <w:t> </w:t>
      </w:r>
      <w:r>
        <w:rPr/>
        <w:t>penetration.</w:t>
      </w:r>
      <w:r>
        <w:rPr>
          <w:spacing w:val="41"/>
        </w:rPr>
        <w:t> </w:t>
      </w:r>
      <w:r>
        <w:rPr/>
        <w:t>The</w:t>
      </w:r>
      <w:r>
        <w:rPr>
          <w:spacing w:val="21"/>
        </w:rPr>
        <w:t> </w:t>
      </w:r>
      <w:r>
        <w:rPr/>
        <w:t>military</w:t>
      </w:r>
      <w:r>
        <w:rPr>
          <w:spacing w:val="19"/>
        </w:rPr>
        <w:t> </w:t>
      </w:r>
      <w:r>
        <w:rPr/>
        <w:t>specification</w:t>
      </w:r>
      <w:r>
        <w:rPr>
          <w:spacing w:val="19"/>
        </w:rPr>
        <w:t> </w:t>
      </w:r>
      <w:r>
        <w:rPr/>
        <w:t>requires</w:t>
      </w:r>
      <w:r>
        <w:rPr>
          <w:spacing w:val="21"/>
        </w:rPr>
        <w:t> </w:t>
      </w:r>
      <w:r>
        <w:rPr/>
        <w:t>0.25-in.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40" w:right="417"/>
        <w:jc w:val="both"/>
      </w:pPr>
      <w:r>
        <w:rPr/>
        <w:t>thickness to have a Brinell hardness value in the range of 477-534.</w:t>
      </w:r>
      <w:r>
        <w:rPr>
          <w:spacing w:val="1"/>
        </w:rPr>
        <w:t> </w:t>
      </w:r>
      <w:r>
        <w:rPr/>
        <w:t>High hard steels</w:t>
      </w:r>
      <w:r>
        <w:rPr>
          <w:spacing w:val="1"/>
        </w:rPr>
        <w:t> </w:t>
      </w:r>
      <w:r>
        <w:rPr/>
        <w:t>typically</w:t>
      </w:r>
      <w:r>
        <w:rPr>
          <w:spacing w:val="-5"/>
        </w:rPr>
        <w:t> </w:t>
      </w:r>
      <w:r>
        <w:rPr/>
        <w:t>have</w:t>
      </w:r>
      <w:r>
        <w:rPr>
          <w:spacing w:val="-5"/>
        </w:rPr>
        <w:t> </w:t>
      </w:r>
      <w:r>
        <w:rPr/>
        <w:t>higher</w:t>
      </w:r>
      <w:r>
        <w:rPr>
          <w:spacing w:val="-5"/>
        </w:rPr>
        <w:t> </w:t>
      </w:r>
      <w:r>
        <w:rPr/>
        <w:t>yield</w:t>
      </w:r>
      <w:r>
        <w:rPr>
          <w:spacing w:val="-4"/>
        </w:rPr>
        <w:t> </w:t>
      </w:r>
      <w:r>
        <w:rPr/>
        <w:t>stresses</w:t>
      </w:r>
      <w:r>
        <w:rPr>
          <w:spacing w:val="-5"/>
        </w:rPr>
        <w:t> </w:t>
      </w:r>
      <w:r>
        <w:rPr/>
        <w:t>with</w:t>
      </w:r>
      <w:r>
        <w:rPr>
          <w:spacing w:val="-5"/>
        </w:rPr>
        <w:t> </w:t>
      </w:r>
      <w:r>
        <w:rPr/>
        <w:t>strengths</w:t>
      </w:r>
      <w:r>
        <w:rPr>
          <w:spacing w:val="-4"/>
        </w:rPr>
        <w:t> </w:t>
      </w:r>
      <w:r>
        <w:rPr/>
        <w:t>in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range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87</w:t>
      </w:r>
      <w:r>
        <w:rPr>
          <w:spacing w:val="-5"/>
        </w:rPr>
        <w:t> </w:t>
      </w:r>
      <w:r>
        <w:rPr/>
        <w:t>to</w:t>
      </w:r>
      <w:r>
        <w:rPr>
          <w:spacing w:val="-5"/>
        </w:rPr>
        <w:t> </w:t>
      </w:r>
      <w:r>
        <w:rPr/>
        <w:t>130</w:t>
      </w:r>
      <w:r>
        <w:rPr>
          <w:spacing w:val="-4"/>
        </w:rPr>
        <w:t> </w:t>
      </w:r>
      <w:r>
        <w:rPr/>
        <w:t>ksi</w:t>
      </w:r>
      <w:r>
        <w:rPr>
          <w:spacing w:val="-5"/>
        </w:rPr>
        <w:t> </w:t>
      </w:r>
      <w:r>
        <w:rPr/>
        <w:t>(600</w:t>
      </w:r>
      <w:r>
        <w:rPr>
          <w:spacing w:val="-5"/>
        </w:rPr>
        <w:t> </w:t>
      </w:r>
      <w:r>
        <w:rPr/>
        <w:t>to</w:t>
      </w:r>
      <w:r>
        <w:rPr>
          <w:spacing w:val="-4"/>
        </w:rPr>
        <w:t> </w:t>
      </w:r>
      <w:r>
        <w:rPr/>
        <w:t>900</w:t>
      </w:r>
      <w:r>
        <w:rPr>
          <w:spacing w:val="-58"/>
        </w:rPr>
        <w:t> </w:t>
      </w:r>
      <w:r>
        <w:rPr/>
        <w:t>MPa)</w:t>
      </w:r>
      <w:r>
        <w:rPr>
          <w:spacing w:val="-1"/>
        </w:rPr>
        <w:t> </w:t>
      </w:r>
      <w:r>
        <w:rPr/>
        <w:t>but less ductility compared to</w:t>
      </w:r>
      <w:r>
        <w:rPr>
          <w:spacing w:val="-2"/>
        </w:rPr>
        <w:t> </w:t>
      </w:r>
      <w:r>
        <w:rPr/>
        <w:t>mild steel.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/>
        <w:ind w:left="440" w:right="416" w:firstLine="720"/>
        <w:jc w:val="both"/>
      </w:pPr>
      <w:r>
        <w:rPr/>
        <w:t>The</w:t>
      </w:r>
      <w:r>
        <w:rPr>
          <w:spacing w:val="-12"/>
        </w:rPr>
        <w:t> </w:t>
      </w:r>
      <w:r>
        <w:rPr/>
        <w:t>ballistic</w:t>
      </w:r>
      <w:r>
        <w:rPr>
          <w:spacing w:val="-12"/>
        </w:rPr>
        <w:t> </w:t>
      </w:r>
      <w:r>
        <w:rPr/>
        <w:t>test</w:t>
      </w:r>
      <w:r>
        <w:rPr>
          <w:spacing w:val="-11"/>
        </w:rPr>
        <w:t> </w:t>
      </w:r>
      <w:r>
        <w:rPr/>
        <w:t>standards</w:t>
      </w:r>
      <w:r>
        <w:rPr>
          <w:spacing w:val="-12"/>
        </w:rPr>
        <w:t> </w:t>
      </w:r>
      <w:r>
        <w:rPr/>
        <w:t>for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minimum</w:t>
      </w:r>
      <w:r>
        <w:rPr>
          <w:spacing w:val="-13"/>
        </w:rPr>
        <w:t> </w:t>
      </w:r>
      <w:r>
        <w:rPr/>
        <w:t>thickness</w:t>
      </w:r>
      <w:r>
        <w:rPr>
          <w:spacing w:val="-11"/>
        </w:rPr>
        <w:t> </w:t>
      </w:r>
      <w:r>
        <w:rPr/>
        <w:t>require</w:t>
      </w:r>
      <w:r>
        <w:rPr>
          <w:spacing w:val="-12"/>
        </w:rPr>
        <w:t> </w:t>
      </w:r>
      <w:r>
        <w:rPr/>
        <w:t>a</w:t>
      </w:r>
      <w:r>
        <w:rPr>
          <w:spacing w:val="-12"/>
        </w:rPr>
        <w:t> </w:t>
      </w:r>
      <w:r>
        <w:rPr/>
        <w:t>0.30-caliber</w:t>
      </w:r>
      <w:r>
        <w:rPr>
          <w:spacing w:val="-11"/>
        </w:rPr>
        <w:t> </w:t>
      </w:r>
      <w:r>
        <w:rPr/>
        <w:t>armor-</w:t>
      </w:r>
      <w:r>
        <w:rPr>
          <w:spacing w:val="-58"/>
        </w:rPr>
        <w:t> </w:t>
      </w:r>
      <w:r>
        <w:rPr/>
        <w:t>piercing munition at 30 degrees obliquity.</w:t>
      </w:r>
      <w:r>
        <w:rPr>
          <w:spacing w:val="1"/>
        </w:rPr>
        <w:t> </w:t>
      </w:r>
      <w:r>
        <w:rPr/>
        <w:t>The minimum required ballistic limit for the</w:t>
      </w:r>
      <w:r>
        <w:rPr>
          <w:spacing w:val="1"/>
        </w:rPr>
        <w:t> </w:t>
      </w:r>
      <w:r>
        <w:rPr/>
        <w:t>armored vehicle class with that projectile is 2,237 fps (682 m/s).</w:t>
      </w:r>
      <w:r>
        <w:rPr>
          <w:spacing w:val="1"/>
        </w:rPr>
        <w:t> </w:t>
      </w:r>
      <w:r>
        <w:rPr/>
        <w:t>A harder steel, with a</w:t>
      </w:r>
      <w:r>
        <w:rPr>
          <w:spacing w:val="1"/>
        </w:rPr>
        <w:t> </w:t>
      </w:r>
      <w:r>
        <w:rPr/>
        <w:t>minimum Brinell hardness of 570, known as ultra high-hard steel also exists with its own</w:t>
      </w:r>
      <w:r>
        <w:rPr>
          <w:spacing w:val="1"/>
        </w:rPr>
        <w:t> </w:t>
      </w:r>
      <w:r>
        <w:rPr/>
        <w:t>standard specifications for armor plate but was not included in this research.</w:t>
      </w:r>
      <w:r>
        <w:rPr>
          <w:spacing w:val="1"/>
        </w:rPr>
        <w:t> </w:t>
      </w:r>
      <w:r>
        <w:rPr/>
        <w:t>The failure</w:t>
      </w:r>
      <w:r>
        <w:rPr>
          <w:spacing w:val="1"/>
        </w:rPr>
        <w:t> </w:t>
      </w:r>
      <w:r>
        <w:rPr/>
        <w:t>mode commonly exhibited in high hard steel under a ballistic impact is plugging, where</w:t>
      </w:r>
      <w:r>
        <w:rPr>
          <w:spacing w:val="1"/>
        </w:rPr>
        <w:t> </w:t>
      </w:r>
      <w:r>
        <w:rPr/>
        <w:t>the plate experiences high localized shear forces and a disk, slightly larger than the</w:t>
      </w:r>
      <w:r>
        <w:rPr>
          <w:spacing w:val="1"/>
        </w:rPr>
        <w:t> </w:t>
      </w:r>
      <w:r>
        <w:rPr/>
        <w:t>diameter of the projectile, is ejected in a perforating event.</w:t>
      </w:r>
      <w:r>
        <w:rPr>
          <w:spacing w:val="1"/>
        </w:rPr>
        <w:t> </w:t>
      </w:r>
      <w:hyperlink w:history="true" w:anchor="_bookmark130">
        <w:r>
          <w:rPr/>
          <w:t>Figure 7-9 </w:t>
        </w:r>
      </w:hyperlink>
      <w:r>
        <w:rPr/>
        <w:t>shows a steel plug</w:t>
      </w:r>
      <w:r>
        <w:rPr>
          <w:spacing w:val="1"/>
        </w:rPr>
        <w:t> </w:t>
      </w:r>
      <w:r>
        <w:rPr/>
        <w:t>created with the 0.50-inch sphere projectile as an example (not produced with the ECLT</w:t>
      </w:r>
      <w:r>
        <w:rPr>
          <w:spacing w:val="1"/>
        </w:rPr>
        <w:t> </w:t>
      </w:r>
      <w:r>
        <w:rPr/>
        <w:t>specimens).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5"/>
        </w:rPr>
      </w:pPr>
      <w:r>
        <w:rPr/>
        <w:pict>
          <v:group style="position:absolute;margin-left:186.834076pt;margin-top:10.693352pt;width:86.8pt;height:147.550pt;mso-position-horizontal-relative:page;mso-position-vertical-relative:paragraph;z-index:-15588352;mso-wrap-distance-left:0;mso-wrap-distance-right:0" coordorigin="3737,214" coordsize="1736,2951">
            <v:shape style="position:absolute;left:3736;top:213;width:1736;height:2949" type="#_x0000_t75" stroked="false">
              <v:imagedata r:id="rId330" o:title=""/>
            </v:shape>
            <v:shape style="position:absolute;left:3801;top:2844;width:222;height:320" type="#_x0000_t202" filled="false" stroked="false">
              <v:textbox inset="0,0,0,0">
                <w:txbxContent>
                  <w:p>
                    <w:pPr>
                      <w:spacing w:line="320" w:lineRule="exact" w:before="0"/>
                      <w:ind w:left="0" w:right="0" w:firstLine="0"/>
                      <w:jc w:val="left"/>
                      <w:rPr>
                        <w:sz w:val="29"/>
                      </w:rPr>
                    </w:pPr>
                    <w:r>
                      <w:rPr>
                        <w:sz w:val="29"/>
                      </w:rPr>
                      <w:t>a.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280.987274pt;margin-top:10.693352pt;width:86.4pt;height:147.75pt;mso-position-horizontal-relative:page;mso-position-vertical-relative:paragraph;z-index:-15587840;mso-wrap-distance-left:0;mso-wrap-distance-right:0" coordorigin="5620,214" coordsize="1728,2955">
            <v:shape style="position:absolute;left:5619;top:213;width:1728;height:2955" type="#_x0000_t75" stroked="false">
              <v:imagedata r:id="rId331" o:title=""/>
            </v:shape>
            <v:shape style="position:absolute;left:5739;top:2844;width:237;height:320" type="#_x0000_t202" filled="false" stroked="false">
              <v:textbox inset="0,0,0,0">
                <w:txbxContent>
                  <w:p>
                    <w:pPr>
                      <w:spacing w:line="320" w:lineRule="exact" w:before="0"/>
                      <w:ind w:left="0" w:right="0" w:firstLine="0"/>
                      <w:jc w:val="left"/>
                      <w:rPr>
                        <w:sz w:val="29"/>
                      </w:rPr>
                    </w:pPr>
                    <w:r>
                      <w:rPr>
                        <w:sz w:val="29"/>
                      </w:rPr>
                      <w:t>b.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374.806pt;margin-top:10.692794pt;width:86pt;height:147.6pt;mso-position-horizontal-relative:page;mso-position-vertical-relative:paragraph;z-index:-15587328;mso-wrap-distance-left:0;mso-wrap-distance-right:0" coordorigin="7496,214" coordsize="1720,2952">
            <v:shape style="position:absolute;left:7496;top:213;width:1720;height:2952" type="#_x0000_t75" stroked="false">
              <v:imagedata r:id="rId332" o:title=""/>
            </v:shape>
            <v:shape style="position:absolute;left:7584;top:2844;width:222;height:320" type="#_x0000_t202" filled="false" stroked="false">
              <v:textbox inset="0,0,0,0">
                <w:txbxContent>
                  <w:p>
                    <w:pPr>
                      <w:spacing w:line="320" w:lineRule="exact" w:before="0"/>
                      <w:ind w:left="0" w:right="0" w:firstLine="0"/>
                      <w:jc w:val="left"/>
                      <w:rPr>
                        <w:sz w:val="29"/>
                      </w:rPr>
                    </w:pPr>
                    <w:r>
                      <w:rPr>
                        <w:sz w:val="29"/>
                      </w:rPr>
                      <w:t>c.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sz w:val="26"/>
        </w:rPr>
      </w:pPr>
    </w:p>
    <w:p>
      <w:pPr>
        <w:spacing w:before="178"/>
        <w:ind w:left="440" w:right="420" w:firstLine="0"/>
        <w:jc w:val="both"/>
        <w:rPr>
          <w:i/>
          <w:sz w:val="24"/>
        </w:rPr>
      </w:pPr>
      <w:bookmarkStart w:name="_bookmark130" w:id="424"/>
      <w:bookmarkEnd w:id="424"/>
      <w:r>
        <w:rPr/>
      </w:r>
      <w:r>
        <w:rPr>
          <w:i/>
          <w:sz w:val="24"/>
        </w:rPr>
        <w:t>Figure 7-9. Example of the failure mode plugging in a steel plate (a) the projectile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embedded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the ejected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plug, (b)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top view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plug, (c)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side view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plug.</w:t>
      </w:r>
    </w:p>
    <w:p>
      <w:pPr>
        <w:spacing w:after="0"/>
        <w:jc w:val="both"/>
        <w:rPr>
          <w:sz w:val="24"/>
        </w:rPr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39" w:right="416" w:firstLine="720"/>
        <w:jc w:val="both"/>
      </w:pPr>
      <w:r>
        <w:rPr/>
        <w:t>Steel, especially high-hard steel, is known for having great strength and the ability</w:t>
      </w:r>
      <w:r>
        <w:rPr>
          <w:spacing w:val="-57"/>
        </w:rPr>
        <w:t> </w:t>
      </w:r>
      <w:r>
        <w:rPr/>
        <w:t>to provide an increased resistance against a ballistic threat; high-hard steel is commonly</w:t>
      </w:r>
      <w:r>
        <w:rPr>
          <w:spacing w:val="1"/>
        </w:rPr>
        <w:t> </w:t>
      </w:r>
      <w:r>
        <w:rPr/>
        <w:t>used as applique armor for hardening vehicles for this reason.</w:t>
      </w:r>
      <w:r>
        <w:rPr>
          <w:spacing w:val="1"/>
        </w:rPr>
        <w:t> </w:t>
      </w:r>
      <w:r>
        <w:rPr/>
        <w:t>The goal of embedding the</w:t>
      </w:r>
      <w:r>
        <w:rPr>
          <w:spacing w:val="-57"/>
        </w:rPr>
        <w:t> </w:t>
      </w:r>
      <w:r>
        <w:rPr/>
        <w:t>steel plates in the CLT was to investigate the feasibility of such a composite using simple</w:t>
      </w:r>
      <w:r>
        <w:rPr>
          <w:spacing w:val="1"/>
        </w:rPr>
        <w:t> </w:t>
      </w:r>
      <w:r>
        <w:rPr/>
        <w:t>production techniques.</w:t>
      </w:r>
      <w:r>
        <w:rPr>
          <w:spacing w:val="1"/>
        </w:rPr>
        <w:t> </w:t>
      </w:r>
      <w:r>
        <w:rPr/>
        <w:t>Additionally, the research wanted to explore the effect of that a</w:t>
      </w:r>
      <w:r>
        <w:rPr>
          <w:spacing w:val="1"/>
        </w:rPr>
        <w:t> </w:t>
      </w:r>
      <w:r>
        <w:rPr/>
        <w:t>combination of materials presented in terms of delamination potential and effects of the</w:t>
      </w:r>
      <w:r>
        <w:rPr>
          <w:spacing w:val="1"/>
        </w:rPr>
        <w:t> </w:t>
      </w:r>
      <w:r>
        <w:rPr/>
        <w:t>ballistic impact at the CLT-steel interface.</w:t>
      </w:r>
      <w:r>
        <w:rPr>
          <w:spacing w:val="1"/>
        </w:rPr>
        <w:t> </w:t>
      </w:r>
      <w:r>
        <w:rPr/>
        <w:t>While the steel could potentially stop the</w:t>
      </w:r>
      <w:r>
        <w:rPr>
          <w:spacing w:val="1"/>
        </w:rPr>
        <w:t> </w:t>
      </w:r>
      <w:r>
        <w:rPr/>
        <w:t>projectile on its own, it would be unfeasible to make a structure out of high-hard steel on</w:t>
      </w:r>
      <w:r>
        <w:rPr>
          <w:spacing w:val="1"/>
        </w:rPr>
        <w:t> </w:t>
      </w:r>
      <w:r>
        <w:rPr/>
        <w:t>its own.</w:t>
      </w:r>
      <w:r>
        <w:rPr>
          <w:spacing w:val="1"/>
        </w:rPr>
        <w:t> </w:t>
      </w:r>
      <w:r>
        <w:rPr/>
        <w:t>Both the mild and high-hard steel plates enabled cost and weight comparisons</w:t>
      </w:r>
      <w:r>
        <w:rPr>
          <w:spacing w:val="1"/>
        </w:rPr>
        <w:t> </w:t>
      </w:r>
      <w:r>
        <w:rPr/>
        <w:t>between</w:t>
      </w:r>
      <w:r>
        <w:rPr>
          <w:spacing w:val="-1"/>
        </w:rPr>
        <w:t> </w:t>
      </w:r>
      <w:r>
        <w:rPr/>
        <w:t>different</w:t>
      </w:r>
      <w:r>
        <w:rPr>
          <w:spacing w:val="-1"/>
        </w:rPr>
        <w:t> </w:t>
      </w:r>
      <w:r>
        <w:rPr/>
        <w:t>types of</w:t>
      </w:r>
      <w:r>
        <w:rPr>
          <w:spacing w:val="-2"/>
        </w:rPr>
        <w:t> </w:t>
      </w:r>
      <w:r>
        <w:rPr/>
        <w:t>steel and between</w:t>
      </w:r>
      <w:r>
        <w:rPr>
          <w:spacing w:val="-1"/>
        </w:rPr>
        <w:t> </w:t>
      </w:r>
      <w:r>
        <w:rPr/>
        <w:t>non-steel enhancing layers.</w:t>
      </w:r>
    </w:p>
    <w:p>
      <w:pPr>
        <w:pStyle w:val="ListParagraph"/>
        <w:numPr>
          <w:ilvl w:val="3"/>
          <w:numId w:val="24"/>
        </w:numPr>
        <w:tabs>
          <w:tab w:pos="1160" w:val="left" w:leader="none"/>
        </w:tabs>
        <w:spacing w:line="240" w:lineRule="auto" w:before="161" w:after="0"/>
        <w:ind w:left="1160" w:right="0" w:hanging="720"/>
        <w:jc w:val="both"/>
        <w:rPr>
          <w:i/>
          <w:sz w:val="24"/>
        </w:rPr>
      </w:pPr>
      <w:bookmarkStart w:name="7.2.2.6 Type 6 - Ultra-High Molecular We" w:id="425"/>
      <w:bookmarkEnd w:id="425"/>
      <w:r>
        <w:rPr/>
      </w:r>
      <w:bookmarkStart w:name="7.2.2.6 Type 6 - Ultra-High Molecular We" w:id="426"/>
      <w:bookmarkEnd w:id="426"/>
      <w:r>
        <w:rPr>
          <w:i/>
          <w:sz w:val="24"/>
          <w:u w:val="single"/>
        </w:rPr>
        <w:t>T</w:t>
      </w:r>
      <w:r>
        <w:rPr>
          <w:i/>
          <w:sz w:val="24"/>
          <w:u w:val="single"/>
        </w:rPr>
        <w:t>ype</w:t>
      </w:r>
      <w:r>
        <w:rPr>
          <w:i/>
          <w:spacing w:val="-3"/>
          <w:sz w:val="24"/>
          <w:u w:val="single"/>
        </w:rPr>
        <w:t> </w:t>
      </w:r>
      <w:r>
        <w:rPr>
          <w:i/>
          <w:sz w:val="24"/>
          <w:u w:val="single"/>
        </w:rPr>
        <w:t>6</w:t>
      </w:r>
      <w:r>
        <w:rPr>
          <w:i/>
          <w:spacing w:val="-2"/>
          <w:sz w:val="24"/>
          <w:u w:val="single"/>
        </w:rPr>
        <w:t> </w:t>
      </w:r>
      <w:r>
        <w:rPr>
          <w:i/>
          <w:sz w:val="24"/>
          <w:u w:val="single"/>
        </w:rPr>
        <w:t>-</w:t>
      </w:r>
      <w:r>
        <w:rPr>
          <w:i/>
          <w:spacing w:val="-3"/>
          <w:sz w:val="24"/>
          <w:u w:val="single"/>
        </w:rPr>
        <w:t> </w:t>
      </w:r>
      <w:r>
        <w:rPr>
          <w:i/>
          <w:sz w:val="24"/>
          <w:u w:val="single"/>
        </w:rPr>
        <w:t>Ultra-High</w:t>
      </w:r>
      <w:r>
        <w:rPr>
          <w:i/>
          <w:spacing w:val="-2"/>
          <w:sz w:val="24"/>
          <w:u w:val="single"/>
        </w:rPr>
        <w:t> </w:t>
      </w:r>
      <w:r>
        <w:rPr>
          <w:i/>
          <w:sz w:val="24"/>
          <w:u w:val="single"/>
        </w:rPr>
        <w:t>Molecular</w:t>
      </w:r>
      <w:r>
        <w:rPr>
          <w:i/>
          <w:spacing w:val="-3"/>
          <w:sz w:val="24"/>
          <w:u w:val="single"/>
        </w:rPr>
        <w:t> </w:t>
      </w:r>
      <w:r>
        <w:rPr>
          <w:i/>
          <w:sz w:val="24"/>
          <w:u w:val="single"/>
        </w:rPr>
        <w:t>Weight</w:t>
      </w:r>
      <w:r>
        <w:rPr>
          <w:i/>
          <w:spacing w:val="-2"/>
          <w:sz w:val="24"/>
          <w:u w:val="single"/>
        </w:rPr>
        <w:t> </w:t>
      </w:r>
      <w:r>
        <w:rPr>
          <w:i/>
          <w:sz w:val="24"/>
          <w:u w:val="single"/>
        </w:rPr>
        <w:t>Polyethylene</w:t>
      </w:r>
      <w:r>
        <w:rPr>
          <w:i/>
          <w:spacing w:val="-3"/>
          <w:sz w:val="24"/>
          <w:u w:val="single"/>
        </w:rPr>
        <w:t> </w:t>
      </w:r>
      <w:r>
        <w:rPr>
          <w:i/>
          <w:sz w:val="24"/>
          <w:u w:val="single"/>
        </w:rPr>
        <w:t>(UHMWPE)</w:t>
      </w:r>
    </w:p>
    <w:p>
      <w:pPr>
        <w:pStyle w:val="BodyText"/>
        <w:spacing w:before="9"/>
        <w:rPr>
          <w:i/>
          <w:sz w:val="14"/>
        </w:rPr>
      </w:pPr>
    </w:p>
    <w:p>
      <w:pPr>
        <w:pStyle w:val="BodyText"/>
        <w:spacing w:line="480" w:lineRule="auto" w:before="90"/>
        <w:ind w:left="439" w:right="417" w:firstLine="720"/>
        <w:jc w:val="both"/>
      </w:pPr>
      <w:r>
        <w:rPr/>
        <w:t>One test specimen of ECLT contained an enhancing layer of ultra-high molecular</w:t>
      </w:r>
      <w:r>
        <w:rPr>
          <w:spacing w:val="1"/>
        </w:rPr>
        <w:t> </w:t>
      </w:r>
      <w:r>
        <w:rPr/>
        <w:t>weight polyethylene (UHMWPE) plastic panel. This panel was one-inch thick and placed</w:t>
      </w:r>
      <w:r>
        <w:rPr>
          <w:spacing w:val="-57"/>
        </w:rPr>
        <w:t> </w:t>
      </w:r>
      <w:r>
        <w:rPr/>
        <w:t>between the 2-ply and 3-ply sections of CLT as shown in </w:t>
      </w:r>
      <w:hyperlink w:history="true" w:anchor="_bookmark131">
        <w:r>
          <w:rPr/>
          <w:t>Figure 7-10</w:t>
        </w:r>
      </w:hyperlink>
      <w:r>
        <w:rPr/>
        <w:t>.</w:t>
      </w:r>
      <w:r>
        <w:rPr>
          <w:spacing w:val="1"/>
        </w:rPr>
        <w:t> </w:t>
      </w:r>
      <w:r>
        <w:rPr/>
        <w:t>Based on military</w:t>
      </w:r>
      <w:r>
        <w:rPr>
          <w:spacing w:val="1"/>
        </w:rPr>
        <w:t> </w:t>
      </w:r>
      <w:r>
        <w:rPr/>
        <w:t>detail</w:t>
      </w:r>
      <w:r>
        <w:rPr>
          <w:spacing w:val="1"/>
        </w:rPr>
        <w:t> </w:t>
      </w:r>
      <w:r>
        <w:rPr/>
        <w:t>specification,</w:t>
      </w:r>
      <w:r>
        <w:rPr>
          <w:spacing w:val="1"/>
        </w:rPr>
        <w:t> </w:t>
      </w:r>
      <w:r>
        <w:rPr>
          <w:i/>
        </w:rPr>
        <w:t>MIL-DTL-32398</w:t>
      </w:r>
      <w:r>
        <w:rPr/>
        <w:t>,</w:t>
      </w:r>
      <w:r>
        <w:rPr>
          <w:spacing w:val="1"/>
        </w:rPr>
        <w:t> </w:t>
      </w:r>
      <w:r>
        <w:rPr>
          <w:i/>
        </w:rPr>
        <w:t>Cross-plied</w:t>
      </w:r>
      <w:r>
        <w:rPr>
          <w:i/>
          <w:spacing w:val="1"/>
        </w:rPr>
        <w:t> </w:t>
      </w:r>
      <w:r>
        <w:rPr>
          <w:i/>
        </w:rPr>
        <w:t>Ultra-High</w:t>
      </w:r>
      <w:r>
        <w:rPr>
          <w:i/>
          <w:spacing w:val="1"/>
        </w:rPr>
        <w:t> </w:t>
      </w:r>
      <w:r>
        <w:rPr>
          <w:i/>
        </w:rPr>
        <w:t>Molecular</w:t>
      </w:r>
      <w:r>
        <w:rPr>
          <w:i/>
          <w:spacing w:val="1"/>
        </w:rPr>
        <w:t> </w:t>
      </w:r>
      <w:r>
        <w:rPr>
          <w:i/>
        </w:rPr>
        <w:t>Weight</w:t>
      </w:r>
      <w:r>
        <w:rPr>
          <w:i/>
          <w:spacing w:val="1"/>
        </w:rPr>
        <w:t> </w:t>
      </w:r>
      <w:r>
        <w:rPr>
          <w:i/>
          <w:spacing w:val="-1"/>
        </w:rPr>
        <w:t>Polyethylene</w:t>
      </w:r>
      <w:r>
        <w:rPr>
          <w:i/>
          <w:spacing w:val="-13"/>
        </w:rPr>
        <w:t> </w:t>
      </w:r>
      <w:r>
        <w:rPr>
          <w:i/>
        </w:rPr>
        <w:t>(UHMWPE)</w:t>
      </w:r>
      <w:r>
        <w:rPr>
          <w:i/>
          <w:spacing w:val="-15"/>
        </w:rPr>
        <w:t> </w:t>
      </w:r>
      <w:r>
        <w:rPr>
          <w:i/>
        </w:rPr>
        <w:t>Unidirectionally</w:t>
      </w:r>
      <w:r>
        <w:rPr>
          <w:i/>
          <w:spacing w:val="-13"/>
        </w:rPr>
        <w:t> </w:t>
      </w:r>
      <w:r>
        <w:rPr>
          <w:i/>
        </w:rPr>
        <w:t>Reinforced</w:t>
      </w:r>
      <w:r>
        <w:rPr>
          <w:i/>
          <w:spacing w:val="-13"/>
        </w:rPr>
        <w:t> </w:t>
      </w:r>
      <w:r>
        <w:rPr>
          <w:i/>
        </w:rPr>
        <w:t>Plastic</w:t>
      </w:r>
      <w:r>
        <w:rPr>
          <w:i/>
          <w:spacing w:val="-12"/>
        </w:rPr>
        <w:t> </w:t>
      </w:r>
      <w:r>
        <w:rPr>
          <w:i/>
        </w:rPr>
        <w:t>Armor</w:t>
      </w:r>
      <w:r>
        <w:rPr>
          <w:i/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weight</w:t>
      </w:r>
      <w:r>
        <w:rPr>
          <w:spacing w:val="-13"/>
        </w:rPr>
        <w:t> </w:t>
      </w:r>
      <w:r>
        <w:rPr/>
        <w:t>of</w:t>
      </w:r>
      <w:r>
        <w:rPr>
          <w:spacing w:val="-13"/>
        </w:rPr>
        <w:t> </w:t>
      </w:r>
      <w:r>
        <w:rPr/>
        <w:t>the</w:t>
      </w:r>
      <w:r>
        <w:rPr>
          <w:spacing w:val="-58"/>
        </w:rPr>
        <w:t> </w:t>
      </w:r>
      <w:r>
        <w:rPr/>
        <w:t>panel,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tested</w:t>
      </w:r>
      <w:r>
        <w:rPr>
          <w:spacing w:val="-1"/>
        </w:rPr>
        <w:t> </w:t>
      </w:r>
      <w:r>
        <w:rPr/>
        <w:t>specimen</w:t>
      </w:r>
      <w:r>
        <w:rPr>
          <w:spacing w:val="-2"/>
        </w:rPr>
        <w:t> </w:t>
      </w:r>
      <w:r>
        <w:rPr/>
        <w:t>contained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</w:t>
      </w:r>
      <w:r>
        <w:rPr/>
        <w:t>Class</w:t>
      </w:r>
      <w:r>
        <w:rPr>
          <w:spacing w:val="-2"/>
        </w:rPr>
        <w:t> </w:t>
      </w:r>
      <w:r>
        <w:rPr/>
        <w:t>C</w:t>
      </w:r>
      <w:r>
        <w:rPr>
          <w:spacing w:val="-3"/>
        </w:rPr>
        <w:t> </w:t>
      </w:r>
      <w:r>
        <w:rPr/>
        <w:t>UHMWPE,</w:t>
      </w:r>
      <w:r>
        <w:rPr>
          <w:spacing w:val="-1"/>
        </w:rPr>
        <w:t> </w:t>
      </w:r>
      <w:r>
        <w:rPr/>
        <w:t>with</w:t>
      </w:r>
      <w:r>
        <w:rPr>
          <w:spacing w:val="-2"/>
        </w:rPr>
        <w:t> </w:t>
      </w:r>
      <w:r>
        <w:rPr/>
        <w:t>a</w:t>
      </w:r>
      <w:r>
        <w:rPr>
          <w:spacing w:val="-3"/>
        </w:rPr>
        <w:t> </w:t>
      </w:r>
      <w:r>
        <w:rPr/>
        <w:t>minimum</w:t>
      </w:r>
      <w:r>
        <w:rPr>
          <w:spacing w:val="-3"/>
        </w:rPr>
        <w:t> </w:t>
      </w:r>
      <w:r>
        <w:rPr/>
        <w:t>ballistic</w:t>
      </w:r>
      <w:r>
        <w:rPr>
          <w:spacing w:val="-2"/>
        </w:rPr>
        <w:t> </w:t>
      </w:r>
      <w:r>
        <w:rPr/>
        <w:t>limit</w:t>
      </w:r>
      <w:r>
        <w:rPr>
          <w:spacing w:val="-58"/>
        </w:rPr>
        <w:t> </w:t>
      </w:r>
      <w:r>
        <w:rPr/>
        <w:t>of 1,082 fps (330 m/s).</w:t>
      </w:r>
      <w:r>
        <w:rPr>
          <w:spacing w:val="1"/>
        </w:rPr>
        <w:t> </w:t>
      </w:r>
      <w:r>
        <w:rPr/>
        <w:t>The panel is a fiber based, low weight composite laminate with</w:t>
      </w:r>
      <w:r>
        <w:rPr>
          <w:spacing w:val="1"/>
        </w:rPr>
        <w:t> </w:t>
      </w:r>
      <w:r>
        <w:rPr/>
        <w:t>four</w:t>
      </w:r>
      <w:r>
        <w:rPr>
          <w:spacing w:val="1"/>
        </w:rPr>
        <w:t> </w:t>
      </w:r>
      <w:r>
        <w:rPr/>
        <w:t>unidirectional</w:t>
      </w:r>
      <w:r>
        <w:rPr>
          <w:spacing w:val="1"/>
        </w:rPr>
        <w:t> </w:t>
      </w:r>
      <w:r>
        <w:rPr/>
        <w:t>sheets</w:t>
      </w:r>
      <w:r>
        <w:rPr>
          <w:spacing w:val="1"/>
        </w:rPr>
        <w:t> </w:t>
      </w:r>
      <w:r>
        <w:rPr/>
        <w:t>cross</w:t>
      </w:r>
      <w:r>
        <w:rPr>
          <w:spacing w:val="1"/>
        </w:rPr>
        <w:t> </w:t>
      </w:r>
      <w:r>
        <w:rPr/>
        <w:t>plied,</w:t>
      </w:r>
      <w:r>
        <w:rPr>
          <w:spacing w:val="1"/>
        </w:rPr>
        <w:t> </w:t>
      </w:r>
      <w:r>
        <w:rPr/>
        <w:t>much</w:t>
      </w:r>
      <w:r>
        <w:rPr>
          <w:spacing w:val="1"/>
        </w:rPr>
        <w:t> </w:t>
      </w:r>
      <w:r>
        <w:rPr/>
        <w:t>like</w:t>
      </w:r>
      <w:r>
        <w:rPr>
          <w:spacing w:val="1"/>
        </w:rPr>
        <w:t> </w:t>
      </w:r>
      <w:r>
        <w:rPr/>
        <w:t>CLT,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held</w:t>
      </w:r>
      <w:r>
        <w:rPr>
          <w:spacing w:val="1"/>
        </w:rPr>
        <w:t> </w:t>
      </w:r>
      <w:r>
        <w:rPr/>
        <w:t>together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polyurethane based matrix. While the exact production details are proprietary, the general</w:t>
      </w:r>
      <w:r>
        <w:rPr>
          <w:spacing w:val="-57"/>
        </w:rPr>
        <w:t> </w:t>
      </w:r>
      <w:r>
        <w:rPr/>
        <w:t>process</w:t>
      </w:r>
      <w:r>
        <w:rPr>
          <w:spacing w:val="-12"/>
        </w:rPr>
        <w:t> </w:t>
      </w:r>
      <w:r>
        <w:rPr/>
        <w:t>involves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fiber</w:t>
      </w:r>
      <w:r>
        <w:rPr>
          <w:spacing w:val="-9"/>
        </w:rPr>
        <w:t> </w:t>
      </w:r>
      <w:r>
        <w:rPr/>
        <w:t>manufacture</w:t>
      </w:r>
      <w:r>
        <w:rPr>
          <w:spacing w:val="-10"/>
        </w:rPr>
        <w:t> </w:t>
      </w:r>
      <w:r>
        <w:rPr/>
        <w:t>in</w:t>
      </w:r>
      <w:r>
        <w:rPr>
          <w:spacing w:val="-10"/>
        </w:rPr>
        <w:t> </w:t>
      </w:r>
      <w:r>
        <w:rPr/>
        <w:t>a</w:t>
      </w:r>
      <w:r>
        <w:rPr>
          <w:spacing w:val="-11"/>
        </w:rPr>
        <w:t> </w:t>
      </w:r>
      <w:r>
        <w:rPr/>
        <w:t>high</w:t>
      </w:r>
      <w:r>
        <w:rPr>
          <w:spacing w:val="-12"/>
        </w:rPr>
        <w:t> </w:t>
      </w:r>
      <w:r>
        <w:rPr/>
        <w:t>temperature</w:t>
      </w:r>
      <w:r>
        <w:rPr>
          <w:spacing w:val="-11"/>
        </w:rPr>
        <w:t> </w:t>
      </w:r>
      <w:r>
        <w:rPr/>
        <w:t>gel-spinning</w:t>
      </w:r>
      <w:r>
        <w:rPr>
          <w:spacing w:val="-11"/>
        </w:rPr>
        <w:t> </w:t>
      </w:r>
      <w:r>
        <w:rPr/>
        <w:t>process</w:t>
      </w:r>
      <w:r>
        <w:rPr>
          <w:spacing w:val="-11"/>
        </w:rPr>
        <w:t> </w:t>
      </w:r>
      <w:r>
        <w:rPr/>
        <w:t>and</w:t>
      </w:r>
      <w:r>
        <w:rPr>
          <w:spacing w:val="-11"/>
        </w:rPr>
        <w:t> </w:t>
      </w:r>
      <w:r>
        <w:rPr/>
        <w:t>then</w:t>
      </w:r>
      <w:r>
        <w:rPr>
          <w:spacing w:val="-58"/>
        </w:rPr>
        <w:t> </w:t>
      </w:r>
      <w:r>
        <w:rPr/>
        <w:t>coated</w:t>
      </w:r>
      <w:r>
        <w:rPr>
          <w:spacing w:val="-5"/>
        </w:rPr>
        <w:t> </w:t>
      </w:r>
      <w:r>
        <w:rPr/>
        <w:t>in</w:t>
      </w:r>
      <w:r>
        <w:rPr>
          <w:spacing w:val="-4"/>
        </w:rPr>
        <w:t> </w:t>
      </w:r>
      <w:r>
        <w:rPr/>
        <w:t>resin,</w:t>
      </w:r>
      <w:r>
        <w:rPr>
          <w:spacing w:val="-3"/>
        </w:rPr>
        <w:t> </w:t>
      </w:r>
      <w:r>
        <w:rPr/>
        <w:t>stacked</w:t>
      </w:r>
      <w:r>
        <w:rPr>
          <w:spacing w:val="-4"/>
        </w:rPr>
        <w:t> </w:t>
      </w:r>
      <w:r>
        <w:rPr/>
        <w:t>crosswise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the</w:t>
      </w:r>
      <w:r>
        <w:rPr>
          <w:spacing w:val="-2"/>
        </w:rPr>
        <w:t> </w:t>
      </w:r>
      <w:r>
        <w:rPr/>
        <w:t>desired</w:t>
      </w:r>
      <w:r>
        <w:rPr>
          <w:spacing w:val="-4"/>
        </w:rPr>
        <w:t> </w:t>
      </w:r>
      <w:r>
        <w:rPr/>
        <w:t>thickness,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hot</w:t>
      </w:r>
      <w:r>
        <w:rPr>
          <w:spacing w:val="-2"/>
        </w:rPr>
        <w:t> </w:t>
      </w:r>
      <w:r>
        <w:rPr/>
        <w:t>pressed.</w:t>
      </w:r>
      <w:r>
        <w:rPr>
          <w:spacing w:val="54"/>
        </w:rPr>
        <w:t> </w:t>
      </w:r>
      <w:r>
        <w:rPr/>
        <w:t>With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/>
        <w:t>tensile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40" w:right="418"/>
        <w:jc w:val="both"/>
      </w:pPr>
      <w:r>
        <w:rPr/>
        <w:t>strength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392</w:t>
      </w:r>
      <w:r>
        <w:rPr>
          <w:spacing w:val="-7"/>
        </w:rPr>
        <w:t> </w:t>
      </w:r>
      <w:r>
        <w:rPr/>
        <w:t>ksi</w:t>
      </w:r>
      <w:r>
        <w:rPr>
          <w:spacing w:val="-7"/>
        </w:rPr>
        <w:t> </w:t>
      </w:r>
      <w:r>
        <w:rPr/>
        <w:t>(2.7</w:t>
      </w:r>
      <w:r>
        <w:rPr>
          <w:spacing w:val="-7"/>
        </w:rPr>
        <w:t> </w:t>
      </w:r>
      <w:r>
        <w:rPr/>
        <w:t>GPa),</w:t>
      </w:r>
      <w:r>
        <w:rPr>
          <w:spacing w:val="-6"/>
        </w:rPr>
        <w:t> </w:t>
      </w:r>
      <w:r>
        <w:rPr/>
        <w:t>manufacturers</w:t>
      </w:r>
      <w:r>
        <w:rPr>
          <w:spacing w:val="-7"/>
        </w:rPr>
        <w:t> </w:t>
      </w:r>
      <w:r>
        <w:rPr/>
        <w:t>claim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product</w:t>
      </w:r>
      <w:r>
        <w:rPr>
          <w:spacing w:val="-7"/>
        </w:rPr>
        <w:t> </w:t>
      </w:r>
      <w:r>
        <w:rPr/>
        <w:t>as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strongest</w:t>
      </w:r>
      <w:r>
        <w:rPr>
          <w:spacing w:val="-7"/>
        </w:rPr>
        <w:t> </w:t>
      </w:r>
      <w:r>
        <w:rPr/>
        <w:t>fiber</w:t>
      </w:r>
      <w:r>
        <w:rPr>
          <w:spacing w:val="-6"/>
        </w:rPr>
        <w:t> </w:t>
      </w:r>
      <w:r>
        <w:rPr/>
        <w:t>on</w:t>
      </w:r>
      <w:r>
        <w:rPr>
          <w:spacing w:val="-7"/>
        </w:rPr>
        <w:t> </w:t>
      </w:r>
      <w:r>
        <w:rPr/>
        <w:t>the</w:t>
      </w:r>
      <w:r>
        <w:rPr>
          <w:spacing w:val="-58"/>
        </w:rPr>
        <w:t> </w:t>
      </w:r>
      <w:r>
        <w:rPr/>
        <w:t>market</w:t>
      </w:r>
      <w:r>
        <w:rPr>
          <w:spacing w:val="-1"/>
        </w:rPr>
        <w:t> </w:t>
      </w:r>
      <w:r>
        <w:rPr/>
        <w:t>[112].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/>
        <w:ind w:left="439" w:right="417" w:firstLine="720"/>
        <w:jc w:val="both"/>
      </w:pPr>
      <w:r>
        <w:rPr/>
        <w:t>Many</w:t>
      </w:r>
      <w:r>
        <w:rPr>
          <w:spacing w:val="-5"/>
        </w:rPr>
        <w:t> </w:t>
      </w:r>
      <w:r>
        <w:rPr/>
        <w:t>commercial</w:t>
      </w:r>
      <w:r>
        <w:rPr>
          <w:spacing w:val="-4"/>
        </w:rPr>
        <w:t> </w:t>
      </w:r>
      <w:r>
        <w:rPr/>
        <w:t>manufacturers</w:t>
      </w:r>
      <w:r>
        <w:rPr>
          <w:spacing w:val="-4"/>
        </w:rPr>
        <w:t> </w:t>
      </w:r>
      <w:r>
        <w:rPr/>
        <w:t>advertise</w:t>
      </w:r>
      <w:r>
        <w:rPr>
          <w:spacing w:val="-5"/>
        </w:rPr>
        <w:t> </w:t>
      </w:r>
      <w:r>
        <w:rPr/>
        <w:t>body</w:t>
      </w:r>
      <w:r>
        <w:rPr>
          <w:spacing w:val="-5"/>
        </w:rPr>
        <w:t> </w:t>
      </w:r>
      <w:r>
        <w:rPr/>
        <w:t>armor</w:t>
      </w:r>
      <w:r>
        <w:rPr>
          <w:spacing w:val="-3"/>
        </w:rPr>
        <w:t> </w:t>
      </w:r>
      <w:r>
        <w:rPr/>
        <w:t>inserts</w:t>
      </w:r>
      <w:r>
        <w:rPr>
          <w:spacing w:val="-5"/>
        </w:rPr>
        <w:t> </w:t>
      </w:r>
      <w:r>
        <w:rPr/>
        <w:t>made</w:t>
      </w:r>
      <w:r>
        <w:rPr>
          <w:spacing w:val="-5"/>
        </w:rPr>
        <w:t> </w:t>
      </w:r>
      <w:r>
        <w:rPr/>
        <w:t>of</w:t>
      </w:r>
      <w:r>
        <w:rPr>
          <w:spacing w:val="-3"/>
        </w:rPr>
        <w:t> </w:t>
      </w:r>
      <w:r>
        <w:rPr/>
        <w:t>UHMWPE</w:t>
      </w:r>
      <w:r>
        <w:rPr>
          <w:spacing w:val="-58"/>
        </w:rPr>
        <w:t> </w:t>
      </w:r>
      <w:r>
        <w:rPr/>
        <w:t>with ballistic resistance against standard military munitions including 7.62-mm and 5.56-</w:t>
      </w:r>
      <w:r>
        <w:rPr>
          <w:spacing w:val="1"/>
        </w:rPr>
        <w:t> </w:t>
      </w:r>
      <w:r>
        <w:rPr/>
        <w:t>mm rifle ammunition with striking velocities of 2,780 fps (847 m/s) and 3,150 fps (960</w:t>
      </w:r>
      <w:r>
        <w:rPr>
          <w:spacing w:val="1"/>
        </w:rPr>
        <w:t> </w:t>
      </w:r>
      <w:r>
        <w:rPr/>
        <w:t>m/s)</w:t>
      </w:r>
      <w:r>
        <w:rPr>
          <w:spacing w:val="-10"/>
        </w:rPr>
        <w:t> </w:t>
      </w:r>
      <w:r>
        <w:rPr/>
        <w:t>respectively.</w:t>
      </w:r>
      <w:r>
        <w:rPr>
          <w:spacing w:val="41"/>
        </w:rPr>
        <w:t> </w:t>
      </w:r>
      <w:r>
        <w:rPr/>
        <w:t>Manufacturers</w:t>
      </w:r>
      <w:r>
        <w:rPr>
          <w:spacing w:val="-10"/>
        </w:rPr>
        <w:t> </w:t>
      </w:r>
      <w:r>
        <w:rPr/>
        <w:t>of</w:t>
      </w:r>
      <w:r>
        <w:rPr>
          <w:spacing w:val="-12"/>
        </w:rPr>
        <w:t> </w:t>
      </w:r>
      <w:r>
        <w:rPr/>
        <w:t>UHMWPE</w:t>
      </w:r>
      <w:r>
        <w:rPr>
          <w:spacing w:val="-9"/>
        </w:rPr>
        <w:t> </w:t>
      </w:r>
      <w:r>
        <w:rPr/>
        <w:t>products</w:t>
      </w:r>
      <w:r>
        <w:rPr>
          <w:spacing w:val="-10"/>
        </w:rPr>
        <w:t> </w:t>
      </w:r>
      <w:r>
        <w:rPr/>
        <w:t>claim</w:t>
      </w:r>
      <w:r>
        <w:rPr>
          <w:spacing w:val="-11"/>
        </w:rPr>
        <w:t> </w:t>
      </w:r>
      <w:r>
        <w:rPr/>
        <w:t>the</w:t>
      </w:r>
      <w:r>
        <w:rPr>
          <w:spacing w:val="-9"/>
        </w:rPr>
        <w:t> </w:t>
      </w:r>
      <w:r>
        <w:rPr/>
        <w:t>material</w:t>
      </w:r>
      <w:r>
        <w:rPr>
          <w:spacing w:val="-9"/>
        </w:rPr>
        <w:t> </w:t>
      </w:r>
      <w:r>
        <w:rPr/>
        <w:t>has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impact</w:t>
      </w:r>
      <w:r>
        <w:rPr>
          <w:spacing w:val="-58"/>
        </w:rPr>
        <w:t> </w:t>
      </w:r>
      <w:r>
        <w:rPr/>
        <w:t>strength equivalent to steel.</w:t>
      </w:r>
      <w:r>
        <w:rPr>
          <w:spacing w:val="1"/>
        </w:rPr>
        <w:t> </w:t>
      </w:r>
      <w:r>
        <w:rPr/>
        <w:t>The material is commonly produced through extrusion and</w:t>
      </w:r>
      <w:r>
        <w:rPr>
          <w:spacing w:val="1"/>
        </w:rPr>
        <w:t> </w:t>
      </w:r>
      <w:r>
        <w:rPr/>
        <w:t>compression molding.</w:t>
      </w:r>
      <w:r>
        <w:rPr>
          <w:spacing w:val="1"/>
        </w:rPr>
        <w:t> </w:t>
      </w:r>
      <w:r>
        <w:rPr/>
        <w:t>It is a unique material that has high tensile strength at high strain</w:t>
      </w:r>
      <w:r>
        <w:rPr>
          <w:spacing w:val="1"/>
        </w:rPr>
        <w:t> </w:t>
      </w:r>
      <w:r>
        <w:rPr/>
        <w:t>rates,</w:t>
      </w:r>
      <w:r>
        <w:rPr>
          <w:spacing w:val="-1"/>
        </w:rPr>
        <w:t> </w:t>
      </w:r>
      <w:r>
        <w:rPr/>
        <w:t>which</w:t>
      </w:r>
      <w:r>
        <w:rPr>
          <w:spacing w:val="-2"/>
        </w:rPr>
        <w:t> </w:t>
      </w:r>
      <w:r>
        <w:rPr/>
        <w:t>makes it a</w:t>
      </w:r>
      <w:r>
        <w:rPr>
          <w:spacing w:val="-1"/>
        </w:rPr>
        <w:t> </w:t>
      </w:r>
      <w:r>
        <w:rPr/>
        <w:t>good lightweight product</w:t>
      </w:r>
      <w:r>
        <w:rPr>
          <w:spacing w:val="-1"/>
        </w:rPr>
        <w:t> </w:t>
      </w:r>
      <w:r>
        <w:rPr/>
        <w:t>for body</w:t>
      </w:r>
      <w:r>
        <w:rPr>
          <w:spacing w:val="-1"/>
        </w:rPr>
        <w:t> </w:t>
      </w:r>
      <w:r>
        <w:rPr/>
        <w:t>armors.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277">
            <wp:simplePos x="0" y="0"/>
            <wp:positionH relativeFrom="page">
              <wp:posOffset>1724025</wp:posOffset>
            </wp:positionH>
            <wp:positionV relativeFrom="paragraph">
              <wp:posOffset>241304</wp:posOffset>
            </wp:positionV>
            <wp:extent cx="4750553" cy="2784348"/>
            <wp:effectExtent l="0" t="0" r="0" b="0"/>
            <wp:wrapTopAndBottom/>
            <wp:docPr id="105" name="image3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323.jpeg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0553" cy="2784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37"/>
        </w:rPr>
      </w:pPr>
    </w:p>
    <w:p>
      <w:pPr>
        <w:spacing w:before="0"/>
        <w:ind w:left="21" w:right="0" w:firstLine="0"/>
        <w:jc w:val="center"/>
        <w:rPr>
          <w:i/>
          <w:sz w:val="24"/>
        </w:rPr>
      </w:pPr>
      <w:bookmarkStart w:name="_bookmark131" w:id="427"/>
      <w:bookmarkEnd w:id="427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7-10.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Side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view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UHMWPE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layer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ECLT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specimen.</w:t>
      </w:r>
    </w:p>
    <w:p>
      <w:pPr>
        <w:spacing w:after="0"/>
        <w:jc w:val="center"/>
        <w:rPr>
          <w:sz w:val="24"/>
        </w:rPr>
        <w:sectPr>
          <w:pgSz w:w="12240" w:h="15840"/>
          <w:pgMar w:header="0" w:footer="1064" w:top="1360" w:bottom="1260" w:left="1720" w:right="1020"/>
        </w:sectPr>
      </w:pPr>
    </w:p>
    <w:p>
      <w:pPr>
        <w:pStyle w:val="ListParagraph"/>
        <w:numPr>
          <w:ilvl w:val="3"/>
          <w:numId w:val="24"/>
        </w:numPr>
        <w:tabs>
          <w:tab w:pos="1160" w:val="left" w:leader="none"/>
        </w:tabs>
        <w:spacing w:line="240" w:lineRule="auto" w:before="79" w:after="0"/>
        <w:ind w:left="1160" w:right="0" w:hanging="720"/>
        <w:jc w:val="left"/>
        <w:rPr>
          <w:i/>
          <w:sz w:val="24"/>
        </w:rPr>
      </w:pPr>
      <w:bookmarkStart w:name="7.2.2.7 Types 7 and 8 - Fiberglass fabri" w:id="428"/>
      <w:bookmarkEnd w:id="428"/>
      <w:r>
        <w:rPr/>
      </w:r>
      <w:bookmarkStart w:name="7.2.2.7 Types 7 and 8 - Fiberglass fabri" w:id="429"/>
      <w:bookmarkEnd w:id="429"/>
      <w:r>
        <w:rPr>
          <w:i/>
          <w:sz w:val="24"/>
          <w:u w:val="single"/>
        </w:rPr>
        <w:t>T</w:t>
      </w:r>
      <w:r>
        <w:rPr>
          <w:i/>
          <w:sz w:val="24"/>
          <w:u w:val="single"/>
        </w:rPr>
        <w:t>ypes</w:t>
      </w:r>
      <w:r>
        <w:rPr>
          <w:i/>
          <w:spacing w:val="-1"/>
          <w:sz w:val="24"/>
          <w:u w:val="single"/>
        </w:rPr>
        <w:t> </w:t>
      </w:r>
      <w:r>
        <w:rPr>
          <w:i/>
          <w:sz w:val="24"/>
          <w:u w:val="single"/>
        </w:rPr>
        <w:t>7</w:t>
      </w:r>
      <w:r>
        <w:rPr>
          <w:i/>
          <w:spacing w:val="-1"/>
          <w:sz w:val="24"/>
          <w:u w:val="single"/>
        </w:rPr>
        <w:t> </w:t>
      </w:r>
      <w:r>
        <w:rPr>
          <w:i/>
          <w:sz w:val="24"/>
          <w:u w:val="single"/>
        </w:rPr>
        <w:t>and</w:t>
      </w:r>
      <w:r>
        <w:rPr>
          <w:i/>
          <w:spacing w:val="-1"/>
          <w:sz w:val="24"/>
          <w:u w:val="single"/>
        </w:rPr>
        <w:t> </w:t>
      </w:r>
      <w:r>
        <w:rPr>
          <w:i/>
          <w:sz w:val="24"/>
          <w:u w:val="single"/>
        </w:rPr>
        <w:t>8</w:t>
      </w:r>
      <w:r>
        <w:rPr>
          <w:i/>
          <w:spacing w:val="-1"/>
          <w:sz w:val="24"/>
          <w:u w:val="single"/>
        </w:rPr>
        <w:t> </w:t>
      </w:r>
      <w:r>
        <w:rPr>
          <w:i/>
          <w:sz w:val="24"/>
          <w:u w:val="single"/>
        </w:rPr>
        <w:t>-</w:t>
      </w:r>
      <w:r>
        <w:rPr>
          <w:i/>
          <w:spacing w:val="-1"/>
          <w:sz w:val="24"/>
          <w:u w:val="single"/>
        </w:rPr>
        <w:t> </w:t>
      </w:r>
      <w:r>
        <w:rPr>
          <w:i/>
          <w:sz w:val="24"/>
          <w:u w:val="single"/>
        </w:rPr>
        <w:t>Fiberglass</w:t>
      </w:r>
      <w:r>
        <w:rPr>
          <w:i/>
          <w:spacing w:val="-1"/>
          <w:sz w:val="24"/>
          <w:u w:val="single"/>
        </w:rPr>
        <w:t> </w:t>
      </w:r>
      <w:r>
        <w:rPr>
          <w:i/>
          <w:sz w:val="24"/>
          <w:u w:val="single"/>
        </w:rPr>
        <w:t>fabric</w:t>
      </w:r>
    </w:p>
    <w:p>
      <w:pPr>
        <w:pStyle w:val="BodyText"/>
        <w:spacing w:before="9"/>
        <w:rPr>
          <w:i/>
          <w:sz w:val="14"/>
        </w:rPr>
      </w:pPr>
    </w:p>
    <w:p>
      <w:pPr>
        <w:pStyle w:val="BodyText"/>
        <w:spacing w:line="480" w:lineRule="auto" w:before="90"/>
        <w:ind w:left="440" w:right="416" w:firstLine="720"/>
        <w:jc w:val="both"/>
      </w:pPr>
      <w:r>
        <w:rPr/>
        <w:t>A woven roving fiberglass fabric was selected as an enhancing layer for an ECLT</w:t>
      </w:r>
      <w:r>
        <w:rPr>
          <w:spacing w:val="1"/>
        </w:rPr>
        <w:t> </w:t>
      </w:r>
      <w:r>
        <w:rPr/>
        <w:t>specimen due to its low cost, high strength reinforcement, impact resistance and high</w:t>
      </w:r>
      <w:r>
        <w:rPr>
          <w:spacing w:val="1"/>
        </w:rPr>
        <w:t> </w:t>
      </w:r>
      <w:r>
        <w:rPr/>
        <w:t>compatibility for bonding with the CLT sections.</w:t>
      </w:r>
      <w:r>
        <w:rPr>
          <w:spacing w:val="1"/>
        </w:rPr>
        <w:t> </w:t>
      </w:r>
      <w:r>
        <w:rPr/>
        <w:t>Much like the aramid fabric, the woven</w:t>
      </w:r>
      <w:r>
        <w:rPr>
          <w:spacing w:val="-57"/>
        </w:rPr>
        <w:t> </w:t>
      </w:r>
      <w:r>
        <w:rPr/>
        <w:t>roving</w:t>
      </w:r>
      <w:r>
        <w:rPr>
          <w:spacing w:val="-6"/>
        </w:rPr>
        <w:t> </w:t>
      </w:r>
      <w:r>
        <w:rPr/>
        <w:t>is</w:t>
      </w:r>
      <w:r>
        <w:rPr>
          <w:spacing w:val="-6"/>
        </w:rPr>
        <w:t> </w:t>
      </w:r>
      <w:r>
        <w:rPr/>
        <w:t>comprised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bundled</w:t>
      </w:r>
      <w:r>
        <w:rPr>
          <w:spacing w:val="-6"/>
        </w:rPr>
        <w:t> </w:t>
      </w:r>
      <w:r>
        <w:rPr/>
        <w:t>threads</w:t>
      </w:r>
      <w:r>
        <w:rPr>
          <w:spacing w:val="-6"/>
        </w:rPr>
        <w:t> </w:t>
      </w:r>
      <w:r>
        <w:rPr/>
        <w:t>oriented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two</w:t>
      </w:r>
      <w:r>
        <w:rPr>
          <w:spacing w:val="-6"/>
        </w:rPr>
        <w:t> </w:t>
      </w:r>
      <w:r>
        <w:rPr/>
        <w:t>orthogonal</w:t>
      </w:r>
      <w:r>
        <w:rPr>
          <w:spacing w:val="-6"/>
        </w:rPr>
        <w:t> </w:t>
      </w:r>
      <w:r>
        <w:rPr/>
        <w:t>directions</w:t>
      </w:r>
      <w:r>
        <w:rPr>
          <w:spacing w:val="-6"/>
        </w:rPr>
        <w:t> </w:t>
      </w:r>
      <w:r>
        <w:rPr/>
        <w:t>with</w:t>
      </w:r>
      <w:r>
        <w:rPr>
          <w:spacing w:val="-6"/>
        </w:rPr>
        <w:t> </w:t>
      </w:r>
      <w:r>
        <w:rPr/>
        <w:t>a</w:t>
      </w:r>
      <w:r>
        <w:rPr>
          <w:spacing w:val="-6"/>
        </w:rPr>
        <w:t> </w:t>
      </w:r>
      <w:r>
        <w:rPr/>
        <w:t>basket</w:t>
      </w:r>
      <w:r>
        <w:rPr>
          <w:spacing w:val="-58"/>
        </w:rPr>
        <w:t> </w:t>
      </w:r>
      <w:r>
        <w:rPr/>
        <w:t>style weave.</w:t>
      </w:r>
      <w:r>
        <w:rPr>
          <w:spacing w:val="1"/>
        </w:rPr>
        <w:t> </w:t>
      </w:r>
      <w:r>
        <w:rPr/>
        <w:t>The fabric used was 18 ounces per square yard (582.5 grams per square</w:t>
      </w:r>
      <w:r>
        <w:rPr>
          <w:spacing w:val="1"/>
        </w:rPr>
        <w:t> </w:t>
      </w:r>
      <w:r>
        <w:rPr/>
        <w:t>meter), with a nominal thickness of 0.030-inches.</w:t>
      </w:r>
      <w:r>
        <w:rPr>
          <w:spacing w:val="1"/>
        </w:rPr>
        <w:t> </w:t>
      </w:r>
      <w:r>
        <w:rPr/>
        <w:t>Fiberglass fabric has a high tensile</w:t>
      </w:r>
      <w:r>
        <w:rPr>
          <w:spacing w:val="1"/>
        </w:rPr>
        <w:t> </w:t>
      </w:r>
      <w:r>
        <w:rPr/>
        <w:t>strength and low weight with a history of manufacture as quality ballistic panels capable</w:t>
      </w:r>
      <w:r>
        <w:rPr>
          <w:spacing w:val="1"/>
        </w:rPr>
        <w:t> </w:t>
      </w:r>
      <w:r>
        <w:rPr/>
        <w:t>of meeting many threat level ratings.</w:t>
      </w:r>
      <w:r>
        <w:rPr>
          <w:spacing w:val="1"/>
        </w:rPr>
        <w:t> </w:t>
      </w:r>
      <w:r>
        <w:rPr/>
        <w:t>Ballistic panels are commonly made with resin-</w:t>
      </w:r>
      <w:r>
        <w:rPr>
          <w:spacing w:val="1"/>
        </w:rPr>
        <w:t> </w:t>
      </w:r>
      <w:r>
        <w:rPr/>
        <w:t>saturated layers of woven roving designed to absorb impact as well as trap shrapnel and</w:t>
      </w:r>
      <w:r>
        <w:rPr>
          <w:spacing w:val="1"/>
        </w:rPr>
        <w:t> </w:t>
      </w:r>
      <w:r>
        <w:rPr/>
        <w:t>spall</w:t>
      </w:r>
      <w:r>
        <w:rPr>
          <w:spacing w:val="-8"/>
        </w:rPr>
        <w:t> </w:t>
      </w:r>
      <w:r>
        <w:rPr/>
        <w:t>in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plies.</w:t>
      </w:r>
      <w:r>
        <w:rPr>
          <w:spacing w:val="46"/>
        </w:rPr>
        <w:t> </w:t>
      </w:r>
      <w:r>
        <w:rPr/>
        <w:t>The</w:t>
      </w:r>
      <w:r>
        <w:rPr>
          <w:spacing w:val="-6"/>
        </w:rPr>
        <w:t> </w:t>
      </w:r>
      <w:r>
        <w:rPr/>
        <w:t>material</w:t>
      </w:r>
      <w:r>
        <w:rPr>
          <w:spacing w:val="-8"/>
        </w:rPr>
        <w:t> </w:t>
      </w:r>
      <w:r>
        <w:rPr/>
        <w:t>is</w:t>
      </w:r>
      <w:r>
        <w:rPr>
          <w:spacing w:val="-6"/>
        </w:rPr>
        <w:t> </w:t>
      </w:r>
      <w:r>
        <w:rPr/>
        <w:t>often</w:t>
      </w:r>
      <w:r>
        <w:rPr>
          <w:spacing w:val="-6"/>
        </w:rPr>
        <w:t> </w:t>
      </w:r>
      <w:r>
        <w:rPr/>
        <w:t>combined</w:t>
      </w:r>
      <w:r>
        <w:rPr>
          <w:spacing w:val="-7"/>
        </w:rPr>
        <w:t> </w:t>
      </w:r>
      <w:r>
        <w:rPr/>
        <w:t>with</w:t>
      </w:r>
      <w:r>
        <w:rPr>
          <w:spacing w:val="-6"/>
        </w:rPr>
        <w:t> </w:t>
      </w:r>
      <w:r>
        <w:rPr/>
        <w:t>other</w:t>
      </w:r>
      <w:r>
        <w:rPr>
          <w:spacing w:val="-6"/>
        </w:rPr>
        <w:t> </w:t>
      </w:r>
      <w:r>
        <w:rPr/>
        <w:t>materials</w:t>
      </w:r>
      <w:r>
        <w:rPr>
          <w:spacing w:val="-6"/>
        </w:rPr>
        <w:t> </w:t>
      </w:r>
      <w:r>
        <w:rPr/>
        <w:t>including</w:t>
      </w:r>
      <w:r>
        <w:rPr>
          <w:spacing w:val="-7"/>
        </w:rPr>
        <w:t> </w:t>
      </w:r>
      <w:r>
        <w:rPr/>
        <w:t>foam</w:t>
      </w:r>
      <w:r>
        <w:rPr>
          <w:spacing w:val="-8"/>
        </w:rPr>
        <w:t> </w:t>
      </w:r>
      <w:r>
        <w:rPr/>
        <w:t>core</w:t>
      </w:r>
      <w:r>
        <w:rPr>
          <w:spacing w:val="-58"/>
        </w:rPr>
        <w:t> </w:t>
      </w:r>
      <w:r>
        <w:rPr/>
        <w:t>and</w:t>
      </w:r>
      <w:r>
        <w:rPr>
          <w:spacing w:val="-12"/>
        </w:rPr>
        <w:t> </w:t>
      </w:r>
      <w:r>
        <w:rPr/>
        <w:t>concrete</w:t>
      </w:r>
      <w:r>
        <w:rPr>
          <w:spacing w:val="-13"/>
        </w:rPr>
        <w:t> </w:t>
      </w:r>
      <w:r>
        <w:rPr/>
        <w:t>to</w:t>
      </w:r>
      <w:r>
        <w:rPr>
          <w:spacing w:val="-12"/>
        </w:rPr>
        <w:t> </w:t>
      </w:r>
      <w:r>
        <w:rPr/>
        <w:t>form</w:t>
      </w:r>
      <w:r>
        <w:rPr>
          <w:spacing w:val="-13"/>
        </w:rPr>
        <w:t> </w:t>
      </w:r>
      <w:r>
        <w:rPr/>
        <w:t>composite</w:t>
      </w:r>
      <w:r>
        <w:rPr>
          <w:spacing w:val="-12"/>
        </w:rPr>
        <w:t> </w:t>
      </w:r>
      <w:r>
        <w:rPr/>
        <w:t>panels.</w:t>
      </w:r>
      <w:r>
        <w:rPr>
          <w:spacing w:val="37"/>
        </w:rPr>
        <w:t> </w:t>
      </w:r>
      <w:r>
        <w:rPr/>
        <w:t>Hybrid</w:t>
      </w:r>
      <w:r>
        <w:rPr>
          <w:spacing w:val="-12"/>
        </w:rPr>
        <w:t> </w:t>
      </w:r>
      <w:r>
        <w:rPr/>
        <w:t>products</w:t>
      </w:r>
      <w:r>
        <w:rPr>
          <w:spacing w:val="-12"/>
        </w:rPr>
        <w:t> </w:t>
      </w:r>
      <w:r>
        <w:rPr/>
        <w:t>using</w:t>
      </w:r>
      <w:r>
        <w:rPr>
          <w:spacing w:val="-13"/>
        </w:rPr>
        <w:t> </w:t>
      </w:r>
      <w:r>
        <w:rPr/>
        <w:t>both</w:t>
      </w:r>
      <w:r>
        <w:rPr>
          <w:spacing w:val="-11"/>
        </w:rPr>
        <w:t> </w:t>
      </w:r>
      <w:r>
        <w:rPr/>
        <w:t>carbon</w:t>
      </w:r>
      <w:r>
        <w:rPr>
          <w:spacing w:val="-13"/>
        </w:rPr>
        <w:t> </w:t>
      </w:r>
      <w:r>
        <w:rPr/>
        <w:t>and</w:t>
      </w:r>
      <w:r>
        <w:rPr>
          <w:spacing w:val="-12"/>
        </w:rPr>
        <w:t> </w:t>
      </w:r>
      <w:r>
        <w:rPr/>
        <w:t>glass</w:t>
      </w:r>
      <w:r>
        <w:rPr>
          <w:spacing w:val="-11"/>
        </w:rPr>
        <w:t> </w:t>
      </w:r>
      <w:r>
        <w:rPr/>
        <w:t>fibers</w:t>
      </w:r>
      <w:r>
        <w:rPr>
          <w:spacing w:val="-58"/>
        </w:rPr>
        <w:t> </w:t>
      </w:r>
      <w:r>
        <w:rPr/>
        <w:t>are</w:t>
      </w:r>
      <w:r>
        <w:rPr>
          <w:spacing w:val="-1"/>
        </w:rPr>
        <w:t> </w:t>
      </w:r>
      <w:r>
        <w:rPr/>
        <w:t>have</w:t>
      </w:r>
      <w:r>
        <w:rPr>
          <w:spacing w:val="-1"/>
        </w:rPr>
        <w:t> </w:t>
      </w:r>
      <w:r>
        <w:rPr/>
        <w:t>also been the subject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ballistic</w:t>
      </w:r>
      <w:r>
        <w:rPr>
          <w:spacing w:val="-1"/>
        </w:rPr>
        <w:t> </w:t>
      </w:r>
      <w:r>
        <w:rPr/>
        <w:t>impact studies [87,</w:t>
      </w:r>
      <w:r>
        <w:rPr>
          <w:spacing w:val="-3"/>
        </w:rPr>
        <w:t> </w:t>
      </w:r>
      <w:r>
        <w:rPr/>
        <w:t>111, 122].</w:t>
      </w:r>
    </w:p>
    <w:p>
      <w:pPr>
        <w:pStyle w:val="BodyText"/>
        <w:spacing w:before="11"/>
        <w:rPr>
          <w:sz w:val="20"/>
        </w:rPr>
      </w:pPr>
    </w:p>
    <w:p>
      <w:pPr>
        <w:pStyle w:val="BodyText"/>
        <w:spacing w:line="480" w:lineRule="auto"/>
        <w:ind w:left="439" w:right="417" w:firstLine="720"/>
        <w:jc w:val="both"/>
      </w:pPr>
      <w:r>
        <w:rPr/>
        <w:t>The concept behind incorporating the fiberglass fabric into ECLT was to add</w:t>
      </w:r>
      <w:r>
        <w:rPr>
          <w:spacing w:val="1"/>
        </w:rPr>
        <w:t> </w:t>
      </w:r>
      <w:r>
        <w:rPr/>
        <w:t>lightweight, thin plies with the capacity to absorb and catch the projectile as it moved</w:t>
      </w:r>
      <w:r>
        <w:rPr>
          <w:spacing w:val="1"/>
        </w:rPr>
        <w:t> </w:t>
      </w:r>
      <w:r>
        <w:rPr/>
        <w:t>through the test specimen.</w:t>
      </w:r>
      <w:r>
        <w:rPr>
          <w:spacing w:val="1"/>
        </w:rPr>
        <w:t> </w:t>
      </w:r>
      <w:r>
        <w:rPr/>
        <w:t>Like UHMWPE, the fiberglass-epoxy panels have shown</w:t>
      </w:r>
      <w:r>
        <w:rPr>
          <w:spacing w:val="1"/>
        </w:rPr>
        <w:t> </w:t>
      </w:r>
      <w:r>
        <w:rPr/>
        <w:t>higher energy absorption capacity at higher impact velocities than at lower velocities.</w:t>
      </w:r>
      <w:r>
        <w:rPr>
          <w:spacing w:val="1"/>
        </w:rPr>
        <w:t> </w:t>
      </w:r>
      <w:r>
        <w:rPr/>
        <w:t>Failure modes with the fiberglass panels demonstrate elastic deformation, delamination</w:t>
      </w:r>
      <w:r>
        <w:rPr>
          <w:spacing w:val="1"/>
        </w:rPr>
        <w:t> </w:t>
      </w:r>
      <w:r>
        <w:rPr/>
        <w:t>between</w:t>
      </w:r>
      <w:r>
        <w:rPr>
          <w:spacing w:val="-1"/>
        </w:rPr>
        <w:t> </w:t>
      </w:r>
      <w:r>
        <w:rPr/>
        <w:t>plies and subsequent brittle failure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fibers.</w:t>
      </w:r>
    </w:p>
    <w:p>
      <w:pPr>
        <w:pStyle w:val="BodyText"/>
        <w:spacing w:line="480" w:lineRule="auto" w:before="232"/>
        <w:ind w:left="439" w:right="416" w:firstLine="720"/>
        <w:jc w:val="both"/>
      </w:pPr>
      <w:r>
        <w:rPr/>
        <w:t>Two</w:t>
      </w:r>
      <w:r>
        <w:rPr>
          <w:spacing w:val="-8"/>
        </w:rPr>
        <w:t> </w:t>
      </w:r>
      <w:r>
        <w:rPr/>
        <w:t>specimens</w:t>
      </w:r>
      <w:r>
        <w:rPr>
          <w:spacing w:val="-7"/>
        </w:rPr>
        <w:t> </w:t>
      </w:r>
      <w:r>
        <w:rPr/>
        <w:t>of</w:t>
      </w:r>
      <w:r>
        <w:rPr>
          <w:spacing w:val="-9"/>
        </w:rPr>
        <w:t> </w:t>
      </w:r>
      <w:r>
        <w:rPr/>
        <w:t>two</w:t>
      </w:r>
      <w:r>
        <w:rPr>
          <w:spacing w:val="-7"/>
        </w:rPr>
        <w:t> </w:t>
      </w:r>
      <w:r>
        <w:rPr/>
        <w:t>distinct</w:t>
      </w:r>
      <w:r>
        <w:rPr>
          <w:spacing w:val="-8"/>
        </w:rPr>
        <w:t> </w:t>
      </w:r>
      <w:r>
        <w:rPr/>
        <w:t>layups</w:t>
      </w:r>
      <w:r>
        <w:rPr>
          <w:spacing w:val="-9"/>
        </w:rPr>
        <w:t> </w:t>
      </w:r>
      <w:r>
        <w:rPr/>
        <w:t>using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fiberglass</w:t>
      </w:r>
      <w:r>
        <w:rPr>
          <w:spacing w:val="-7"/>
        </w:rPr>
        <w:t> </w:t>
      </w:r>
      <w:r>
        <w:rPr/>
        <w:t>fabric</w:t>
      </w:r>
      <w:r>
        <w:rPr>
          <w:spacing w:val="-7"/>
        </w:rPr>
        <w:t> </w:t>
      </w:r>
      <w:r>
        <w:rPr/>
        <w:t>were</w:t>
      </w:r>
      <w:r>
        <w:rPr>
          <w:spacing w:val="-8"/>
        </w:rPr>
        <w:t> </w:t>
      </w:r>
      <w:r>
        <w:rPr/>
        <w:t>produced</w:t>
      </w:r>
      <w:r>
        <w:rPr>
          <w:spacing w:val="-7"/>
        </w:rPr>
        <w:t> </w:t>
      </w:r>
      <w:r>
        <w:rPr/>
        <w:t>for</w:t>
      </w:r>
      <w:r>
        <w:rPr>
          <w:spacing w:val="-58"/>
        </w:rPr>
        <w:t> </w:t>
      </w:r>
      <w:r>
        <w:rPr/>
        <w:t>a total of four fiberglass fabric ECLT specimens.</w:t>
      </w:r>
      <w:r>
        <w:rPr>
          <w:spacing w:val="1"/>
        </w:rPr>
        <w:t> </w:t>
      </w:r>
      <w:r>
        <w:rPr/>
        <w:t>One layup placed 4-plies of the fabric</w:t>
      </w:r>
      <w:r>
        <w:rPr>
          <w:spacing w:val="1"/>
        </w:rPr>
        <w:t> </w:t>
      </w:r>
      <w:r>
        <w:rPr/>
        <w:t>between</w:t>
      </w:r>
      <w:r>
        <w:rPr>
          <w:spacing w:val="-5"/>
        </w:rPr>
        <w:t> </w:t>
      </w:r>
      <w:r>
        <w:rPr/>
        <w:t>a</w:t>
      </w:r>
      <w:r>
        <w:rPr>
          <w:spacing w:val="-6"/>
        </w:rPr>
        <w:t> </w:t>
      </w:r>
      <w:r>
        <w:rPr/>
        <w:t>2-ply</w:t>
      </w:r>
      <w:r>
        <w:rPr>
          <w:spacing w:val="-5"/>
        </w:rPr>
        <w:t> </w:t>
      </w:r>
      <w:r>
        <w:rPr/>
        <w:t>and</w:t>
      </w:r>
      <w:r>
        <w:rPr>
          <w:spacing w:val="-6"/>
        </w:rPr>
        <w:t> </w:t>
      </w:r>
      <w:r>
        <w:rPr/>
        <w:t>a</w:t>
      </w:r>
      <w:r>
        <w:rPr>
          <w:spacing w:val="-4"/>
        </w:rPr>
        <w:t> </w:t>
      </w:r>
      <w:r>
        <w:rPr/>
        <w:t>3-ply</w:t>
      </w:r>
      <w:r>
        <w:rPr>
          <w:spacing w:val="-5"/>
        </w:rPr>
        <w:t> </w:t>
      </w:r>
      <w:r>
        <w:rPr/>
        <w:t>section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CLT.</w:t>
      </w:r>
      <w:r>
        <w:rPr>
          <w:spacing w:val="51"/>
        </w:rPr>
        <w:t> </w:t>
      </w:r>
      <w:hyperlink w:history="true" w:anchor="_bookmark132">
        <w:r>
          <w:rPr/>
          <w:t>Figure</w:t>
        </w:r>
        <w:r>
          <w:rPr>
            <w:spacing w:val="-5"/>
          </w:rPr>
          <w:t> </w:t>
        </w:r>
        <w:r>
          <w:rPr/>
          <w:t>7-11</w:t>
        </w:r>
        <w:r>
          <w:rPr>
            <w:spacing w:val="-6"/>
          </w:rPr>
          <w:t> </w:t>
        </w:r>
      </w:hyperlink>
      <w:r>
        <w:rPr/>
        <w:t>shows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side</w:t>
      </w:r>
      <w:r>
        <w:rPr>
          <w:spacing w:val="-6"/>
        </w:rPr>
        <w:t> </w:t>
      </w:r>
      <w:r>
        <w:rPr/>
        <w:t>view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this</w:t>
      </w:r>
      <w:r>
        <w:rPr>
          <w:spacing w:val="-6"/>
        </w:rPr>
        <w:t> </w:t>
      </w:r>
      <w:r>
        <w:rPr/>
        <w:t>4-ply</w:t>
      </w:r>
      <w:r>
        <w:rPr>
          <w:spacing w:val="-58"/>
        </w:rPr>
        <w:t> </w:t>
      </w:r>
      <w:r>
        <w:rPr/>
        <w:t>layup.</w:t>
      </w:r>
      <w:r>
        <w:rPr>
          <w:spacing w:val="53"/>
        </w:rPr>
        <w:t> </w:t>
      </w:r>
      <w:r>
        <w:rPr/>
        <w:t>Alternatively,</w:t>
      </w:r>
      <w:r>
        <w:rPr>
          <w:spacing w:val="-3"/>
        </w:rPr>
        <w:t> </w:t>
      </w:r>
      <w:r>
        <w:rPr/>
        <w:t>the</w:t>
      </w:r>
      <w:r>
        <w:rPr>
          <w:spacing w:val="-5"/>
        </w:rPr>
        <w:t> </w:t>
      </w:r>
      <w:r>
        <w:rPr/>
        <w:t>second</w:t>
      </w:r>
      <w:r>
        <w:rPr>
          <w:spacing w:val="-3"/>
        </w:rPr>
        <w:t> </w:t>
      </w:r>
      <w:r>
        <w:rPr/>
        <w:t>layup</w:t>
      </w:r>
      <w:r>
        <w:rPr>
          <w:spacing w:val="-4"/>
        </w:rPr>
        <w:t> </w:t>
      </w:r>
      <w:r>
        <w:rPr/>
        <w:t>placed</w:t>
      </w:r>
      <w:r>
        <w:rPr>
          <w:spacing w:val="-4"/>
        </w:rPr>
        <w:t> </w:t>
      </w:r>
      <w:r>
        <w:rPr/>
        <w:t>a</w:t>
      </w:r>
      <w:r>
        <w:rPr>
          <w:spacing w:val="-3"/>
        </w:rPr>
        <w:t> </w:t>
      </w:r>
      <w:r>
        <w:rPr/>
        <w:t>single</w:t>
      </w:r>
      <w:r>
        <w:rPr>
          <w:spacing w:val="-4"/>
        </w:rPr>
        <w:t> </w:t>
      </w:r>
      <w:r>
        <w:rPr/>
        <w:t>ply</w:t>
      </w:r>
      <w:r>
        <w:rPr>
          <w:spacing w:val="-3"/>
        </w:rPr>
        <w:t> </w:t>
      </w:r>
      <w:r>
        <w:rPr/>
        <w:t>between</w:t>
      </w:r>
      <w:r>
        <w:rPr>
          <w:spacing w:val="-4"/>
        </w:rPr>
        <w:t> </w:t>
      </w:r>
      <w:r>
        <w:rPr/>
        <w:t>each</w:t>
      </w:r>
      <w:r>
        <w:rPr>
          <w:spacing w:val="-4"/>
        </w:rPr>
        <w:t> </w:t>
      </w:r>
      <w:r>
        <w:rPr/>
        <w:t>wood</w:t>
      </w:r>
      <w:r>
        <w:rPr>
          <w:spacing w:val="-3"/>
        </w:rPr>
        <w:t> </w:t>
      </w:r>
      <w:r>
        <w:rPr/>
        <w:t>layer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39" w:right="417"/>
        <w:jc w:val="both"/>
      </w:pPr>
      <w:r>
        <w:rPr/>
        <w:t>5-ply specimen block.</w:t>
      </w:r>
      <w:r>
        <w:rPr>
          <w:spacing w:val="1"/>
        </w:rPr>
        <w:t> </w:t>
      </w:r>
      <w:hyperlink w:history="true" w:anchor="_bookmark133">
        <w:r>
          <w:rPr/>
          <w:t>Figure 7-12 </w:t>
        </w:r>
      </w:hyperlink>
      <w:r>
        <w:rPr/>
        <w:t>illustrates the single ply layup.</w:t>
      </w:r>
      <w:r>
        <w:rPr>
          <w:spacing w:val="1"/>
        </w:rPr>
        <w:t> </w:t>
      </w:r>
      <w:r>
        <w:rPr/>
        <w:t>The 2-ply CLT, 4-ply</w:t>
      </w:r>
      <w:r>
        <w:rPr>
          <w:spacing w:val="1"/>
        </w:rPr>
        <w:t> </w:t>
      </w:r>
      <w:r>
        <w:rPr/>
        <w:t>fabric, 3-ply CLT layup had both a polyurethane adhesive bonding the wooden layers and</w:t>
      </w:r>
      <w:r>
        <w:rPr>
          <w:spacing w:val="-57"/>
        </w:rPr>
        <w:t> </w:t>
      </w:r>
      <w:r>
        <w:rPr/>
        <w:t>an epoxy resin adhesive for bonding the fabric to the wood.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single-ply fabric</w:t>
      </w:r>
      <w:r>
        <w:rPr>
          <w:spacing w:val="1"/>
        </w:rPr>
        <w:t> </w:t>
      </w:r>
      <w:r>
        <w:rPr/>
        <w:t>alternating</w:t>
      </w:r>
      <w:r>
        <w:rPr>
          <w:spacing w:val="-10"/>
        </w:rPr>
        <w:t> </w:t>
      </w:r>
      <w:r>
        <w:rPr/>
        <w:t>with</w:t>
      </w:r>
      <w:r>
        <w:rPr>
          <w:spacing w:val="-10"/>
        </w:rPr>
        <w:t> </w:t>
      </w:r>
      <w:r>
        <w:rPr/>
        <w:t>wood</w:t>
      </w:r>
      <w:r>
        <w:rPr>
          <w:spacing w:val="-10"/>
        </w:rPr>
        <w:t> </w:t>
      </w:r>
      <w:r>
        <w:rPr/>
        <w:t>layup</w:t>
      </w:r>
      <w:r>
        <w:rPr>
          <w:spacing w:val="-10"/>
        </w:rPr>
        <w:t> </w:t>
      </w:r>
      <w:r>
        <w:rPr/>
        <w:t>utilized</w:t>
      </w:r>
      <w:r>
        <w:rPr>
          <w:spacing w:val="-10"/>
        </w:rPr>
        <w:t> </w:t>
      </w:r>
      <w:r>
        <w:rPr/>
        <w:t>just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epoxy</w:t>
      </w:r>
      <w:r>
        <w:rPr>
          <w:spacing w:val="-10"/>
        </w:rPr>
        <w:t> </w:t>
      </w:r>
      <w:r>
        <w:rPr/>
        <w:t>resin</w:t>
      </w:r>
      <w:r>
        <w:rPr>
          <w:spacing w:val="-10"/>
        </w:rPr>
        <w:t> </w:t>
      </w:r>
      <w:r>
        <w:rPr/>
        <w:t>adhesive.</w:t>
      </w:r>
      <w:r>
        <w:rPr>
          <w:spacing w:val="41"/>
        </w:rPr>
        <w:t> </w:t>
      </w:r>
      <w:r>
        <w:rPr/>
        <w:t>This</w:t>
      </w:r>
      <w:r>
        <w:rPr>
          <w:spacing w:val="-11"/>
        </w:rPr>
        <w:t> </w:t>
      </w:r>
      <w:r>
        <w:rPr/>
        <w:t>difference</w:t>
      </w:r>
      <w:r>
        <w:rPr>
          <w:spacing w:val="-10"/>
        </w:rPr>
        <w:t> </w:t>
      </w:r>
      <w:r>
        <w:rPr/>
        <w:t>was</w:t>
      </w:r>
      <w:r>
        <w:rPr>
          <w:spacing w:val="-10"/>
        </w:rPr>
        <w:t> </w:t>
      </w:r>
      <w:r>
        <w:rPr/>
        <w:t>not</w:t>
      </w:r>
      <w:r>
        <w:rPr>
          <w:spacing w:val="-58"/>
        </w:rPr>
        <w:t> </w:t>
      </w:r>
      <w:r>
        <w:rPr>
          <w:spacing w:val="-1"/>
        </w:rPr>
        <w:t>designed</w:t>
      </w:r>
      <w:r>
        <w:rPr>
          <w:spacing w:val="-13"/>
        </w:rPr>
        <w:t> </w:t>
      </w:r>
      <w:r>
        <w:rPr/>
        <w:t>to</w:t>
      </w:r>
      <w:r>
        <w:rPr>
          <w:spacing w:val="-14"/>
        </w:rPr>
        <w:t> </w:t>
      </w:r>
      <w:r>
        <w:rPr/>
        <w:t>create</w:t>
      </w:r>
      <w:r>
        <w:rPr>
          <w:spacing w:val="-13"/>
        </w:rPr>
        <w:t> </w:t>
      </w:r>
      <w:r>
        <w:rPr/>
        <w:t>different</w:t>
      </w:r>
      <w:r>
        <w:rPr>
          <w:spacing w:val="-12"/>
        </w:rPr>
        <w:t> </w:t>
      </w:r>
      <w:r>
        <w:rPr/>
        <w:t>strengths</w:t>
      </w:r>
      <w:r>
        <w:rPr>
          <w:spacing w:val="-14"/>
        </w:rPr>
        <w:t> </w:t>
      </w:r>
      <w:r>
        <w:rPr/>
        <w:t>or</w:t>
      </w:r>
      <w:r>
        <w:rPr>
          <w:spacing w:val="-12"/>
        </w:rPr>
        <w:t> </w:t>
      </w:r>
      <w:r>
        <w:rPr/>
        <w:t>impact</w:t>
      </w:r>
      <w:r>
        <w:rPr>
          <w:spacing w:val="-13"/>
        </w:rPr>
        <w:t> </w:t>
      </w:r>
      <w:r>
        <w:rPr/>
        <w:t>resistance</w:t>
      </w:r>
      <w:r>
        <w:rPr>
          <w:spacing w:val="-12"/>
        </w:rPr>
        <w:t> </w:t>
      </w:r>
      <w:r>
        <w:rPr/>
        <w:t>but</w:t>
      </w:r>
      <w:r>
        <w:rPr>
          <w:spacing w:val="-14"/>
        </w:rPr>
        <w:t> </w:t>
      </w:r>
      <w:r>
        <w:rPr/>
        <w:t>was</w:t>
      </w:r>
      <w:r>
        <w:rPr>
          <w:spacing w:val="-12"/>
        </w:rPr>
        <w:t> </w:t>
      </w:r>
      <w:r>
        <w:rPr/>
        <w:t>a</w:t>
      </w:r>
      <w:r>
        <w:rPr>
          <w:spacing w:val="-13"/>
        </w:rPr>
        <w:t> </w:t>
      </w:r>
      <w:r>
        <w:rPr/>
        <w:t>necessity</w:t>
      </w:r>
      <w:r>
        <w:rPr>
          <w:spacing w:val="-12"/>
        </w:rPr>
        <w:t> </w:t>
      </w:r>
      <w:r>
        <w:rPr/>
        <w:t>of</w:t>
      </w:r>
      <w:r>
        <w:rPr>
          <w:spacing w:val="-14"/>
        </w:rPr>
        <w:t> </w:t>
      </w:r>
      <w:r>
        <w:rPr/>
        <w:t>production</w:t>
      </w:r>
      <w:r>
        <w:rPr>
          <w:spacing w:val="-57"/>
        </w:rPr>
        <w:t> </w:t>
      </w:r>
      <w:r>
        <w:rPr/>
        <w:t>methods.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278">
            <wp:simplePos x="0" y="0"/>
            <wp:positionH relativeFrom="page">
              <wp:posOffset>1905000</wp:posOffset>
            </wp:positionH>
            <wp:positionV relativeFrom="paragraph">
              <wp:posOffset>196854</wp:posOffset>
            </wp:positionV>
            <wp:extent cx="4456847" cy="3117723"/>
            <wp:effectExtent l="0" t="0" r="0" b="0"/>
            <wp:wrapTopAndBottom/>
            <wp:docPr id="107" name="image3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324.jpeg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6847" cy="31177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04"/>
        <w:ind w:left="649" w:right="0" w:firstLine="0"/>
        <w:jc w:val="left"/>
        <w:rPr>
          <w:i/>
          <w:sz w:val="24"/>
        </w:rPr>
      </w:pPr>
      <w:bookmarkStart w:name="_bookmark132" w:id="430"/>
      <w:bookmarkEnd w:id="430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7-11.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Close-up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side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view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4-ply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layer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fiberglass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fabric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ECLT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specimen.</w:t>
      </w:r>
    </w:p>
    <w:p>
      <w:pPr>
        <w:spacing w:after="0"/>
        <w:jc w:val="left"/>
        <w:rPr>
          <w:sz w:val="24"/>
        </w:rPr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ind w:left="1353"/>
        <w:rPr>
          <w:sz w:val="20"/>
        </w:rPr>
      </w:pPr>
      <w:r>
        <w:rPr>
          <w:sz w:val="20"/>
        </w:rPr>
        <w:drawing>
          <wp:inline distT="0" distB="0" distL="0" distR="0">
            <wp:extent cx="4327119" cy="3188207"/>
            <wp:effectExtent l="0" t="0" r="0" b="0"/>
            <wp:docPr id="109" name="image3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325.jpeg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7119" cy="3188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5"/>
        <w:rPr>
          <w:i/>
          <w:sz w:val="17"/>
        </w:rPr>
      </w:pPr>
    </w:p>
    <w:p>
      <w:pPr>
        <w:spacing w:before="90"/>
        <w:ind w:left="440" w:right="418" w:firstLine="0"/>
        <w:jc w:val="left"/>
        <w:rPr>
          <w:i/>
          <w:sz w:val="24"/>
        </w:rPr>
      </w:pPr>
      <w:bookmarkStart w:name="_bookmark133" w:id="431"/>
      <w:bookmarkEnd w:id="431"/>
      <w:r>
        <w:rPr/>
      </w:r>
      <w:r>
        <w:rPr>
          <w:i/>
          <w:sz w:val="24"/>
        </w:rPr>
        <w:t>Figure</w:t>
      </w:r>
      <w:r>
        <w:rPr>
          <w:i/>
          <w:spacing w:val="39"/>
          <w:sz w:val="24"/>
        </w:rPr>
        <w:t> </w:t>
      </w:r>
      <w:r>
        <w:rPr>
          <w:i/>
          <w:sz w:val="24"/>
        </w:rPr>
        <w:t>7-12.</w:t>
      </w:r>
      <w:r>
        <w:rPr>
          <w:i/>
          <w:spacing w:val="39"/>
          <w:sz w:val="24"/>
        </w:rPr>
        <w:t> </w:t>
      </w:r>
      <w:r>
        <w:rPr>
          <w:i/>
          <w:sz w:val="24"/>
        </w:rPr>
        <w:t>Single-ply</w:t>
      </w:r>
      <w:r>
        <w:rPr>
          <w:i/>
          <w:spacing w:val="38"/>
          <w:sz w:val="24"/>
        </w:rPr>
        <w:t> </w:t>
      </w:r>
      <w:r>
        <w:rPr>
          <w:i/>
          <w:sz w:val="24"/>
        </w:rPr>
        <w:t>layers</w:t>
      </w:r>
      <w:r>
        <w:rPr>
          <w:i/>
          <w:spacing w:val="37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39"/>
          <w:sz w:val="24"/>
        </w:rPr>
        <w:t> </w:t>
      </w:r>
      <w:r>
        <w:rPr>
          <w:i/>
          <w:sz w:val="24"/>
        </w:rPr>
        <w:t>fiberglass</w:t>
      </w:r>
      <w:r>
        <w:rPr>
          <w:i/>
          <w:spacing w:val="38"/>
          <w:sz w:val="24"/>
        </w:rPr>
        <w:t> </w:t>
      </w:r>
      <w:r>
        <w:rPr>
          <w:i/>
          <w:sz w:val="24"/>
        </w:rPr>
        <w:t>fabric</w:t>
      </w:r>
      <w:r>
        <w:rPr>
          <w:i/>
          <w:spacing w:val="40"/>
          <w:sz w:val="24"/>
        </w:rPr>
        <w:t> </w:t>
      </w:r>
      <w:r>
        <w:rPr>
          <w:i/>
          <w:sz w:val="24"/>
        </w:rPr>
        <w:t>between</w:t>
      </w:r>
      <w:r>
        <w:rPr>
          <w:i/>
          <w:spacing w:val="37"/>
          <w:sz w:val="24"/>
        </w:rPr>
        <w:t> </w:t>
      </w:r>
      <w:r>
        <w:rPr>
          <w:i/>
          <w:sz w:val="24"/>
        </w:rPr>
        <w:t>each</w:t>
      </w:r>
      <w:r>
        <w:rPr>
          <w:i/>
          <w:spacing w:val="39"/>
          <w:sz w:val="24"/>
        </w:rPr>
        <w:t> </w:t>
      </w:r>
      <w:r>
        <w:rPr>
          <w:i/>
          <w:sz w:val="24"/>
        </w:rPr>
        <w:t>wood</w:t>
      </w:r>
      <w:r>
        <w:rPr>
          <w:i/>
          <w:spacing w:val="39"/>
          <w:sz w:val="24"/>
        </w:rPr>
        <w:t> </w:t>
      </w:r>
      <w:r>
        <w:rPr>
          <w:i/>
          <w:sz w:val="24"/>
        </w:rPr>
        <w:t>layer</w:t>
      </w:r>
      <w:r>
        <w:rPr>
          <w:i/>
          <w:spacing w:val="38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38"/>
          <w:sz w:val="24"/>
        </w:rPr>
        <w:t> </w:t>
      </w:r>
      <w:r>
        <w:rPr>
          <w:i/>
          <w:sz w:val="24"/>
        </w:rPr>
        <w:t>ECLT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specimen.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11"/>
        <w:rPr>
          <w:i/>
          <w:sz w:val="33"/>
        </w:rPr>
      </w:pPr>
    </w:p>
    <w:p>
      <w:pPr>
        <w:pStyle w:val="Heading9"/>
        <w:numPr>
          <w:ilvl w:val="1"/>
          <w:numId w:val="24"/>
        </w:numPr>
        <w:tabs>
          <w:tab w:pos="800" w:val="left" w:leader="none"/>
        </w:tabs>
        <w:spacing w:line="240" w:lineRule="auto" w:before="0" w:after="0"/>
        <w:ind w:left="800" w:right="0" w:hanging="360"/>
        <w:jc w:val="both"/>
      </w:pPr>
      <w:bookmarkStart w:name="_TOC_250018" w:id="432"/>
      <w:bookmarkStart w:name="7.3 Results and Discussion" w:id="433"/>
      <w:r>
        <w:rPr>
          <w:b w:val="0"/>
        </w:rPr>
      </w:r>
      <w:bookmarkEnd w:id="433"/>
      <w:bookmarkStart w:name="7.3 Results and Discussion" w:id="434"/>
      <w:r>
        <w:rPr/>
        <w:t>R</w:t>
      </w:r>
      <w:r>
        <w:rPr/>
        <w:t>esults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bookmarkEnd w:id="432"/>
      <w:r>
        <w:rPr/>
        <w:t>Discussion</w:t>
      </w:r>
    </w:p>
    <w:p>
      <w:pPr>
        <w:pStyle w:val="BodyText"/>
        <w:spacing w:before="6"/>
        <w:rPr>
          <w:b/>
          <w:sz w:val="22"/>
        </w:rPr>
      </w:pPr>
    </w:p>
    <w:p>
      <w:pPr>
        <w:pStyle w:val="BodyText"/>
        <w:spacing w:line="480" w:lineRule="auto"/>
        <w:ind w:left="439" w:right="416" w:firstLine="720"/>
        <w:jc w:val="both"/>
      </w:pPr>
      <w:r>
        <w:rPr/>
        <w:t>Eighty-four tests were conducted on the eights types of ECLT specimens were</w:t>
      </w:r>
      <w:r>
        <w:rPr>
          <w:spacing w:val="1"/>
        </w:rPr>
        <w:t> </w:t>
      </w:r>
      <w:r>
        <w:rPr/>
        <w:t>tested using the same experimental setup at the U.S. Army Corps of Engineers’ Engineer</w:t>
      </w:r>
      <w:r>
        <w:rPr>
          <w:spacing w:val="1"/>
        </w:rPr>
        <w:t> </w:t>
      </w:r>
      <w:r>
        <w:rPr/>
        <w:t>Research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Development</w:t>
      </w:r>
      <w:r>
        <w:rPr>
          <w:spacing w:val="1"/>
        </w:rPr>
        <w:t> </w:t>
      </w:r>
      <w:r>
        <w:rPr/>
        <w:t>Center</w:t>
      </w:r>
      <w:r>
        <w:rPr>
          <w:spacing w:val="1"/>
        </w:rPr>
        <w:t> </w:t>
      </w:r>
      <w:r>
        <w:rPr/>
        <w:t>(ERDC)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Survivability</w:t>
      </w:r>
      <w:r>
        <w:rPr>
          <w:spacing w:val="1"/>
        </w:rPr>
        <w:t> </w:t>
      </w:r>
      <w:r>
        <w:rPr/>
        <w:t>Engineering</w:t>
      </w:r>
      <w:r>
        <w:rPr>
          <w:spacing w:val="1"/>
        </w:rPr>
        <w:t> </w:t>
      </w:r>
      <w:r>
        <w:rPr/>
        <w:t>Branch</w:t>
      </w:r>
      <w:r>
        <w:rPr>
          <w:spacing w:val="-57"/>
        </w:rPr>
        <w:t> </w:t>
      </w:r>
      <w:r>
        <w:rPr/>
        <w:t>fragment simulating facility as described in Section 5.3 of this thesis.</w:t>
      </w:r>
      <w:r>
        <w:rPr>
          <w:spacing w:val="1"/>
        </w:rPr>
        <w:t> </w:t>
      </w:r>
      <w:r>
        <w:rPr/>
        <w:t>Fifteen test shots</w:t>
      </w:r>
      <w:r>
        <w:rPr>
          <w:spacing w:val="1"/>
        </w:rPr>
        <w:t> </w:t>
      </w:r>
      <w:r>
        <w:rPr/>
        <w:t>were also conducted on the one baseline traditional 5-ply Southern Pine (SYP) CLT</w:t>
      </w:r>
      <w:r>
        <w:rPr>
          <w:spacing w:val="1"/>
        </w:rPr>
        <w:t> </w:t>
      </w:r>
      <w:r>
        <w:rPr>
          <w:spacing w:val="-1"/>
        </w:rPr>
        <w:t>specimen,</w:t>
      </w:r>
      <w:r>
        <w:rPr>
          <w:spacing w:val="-15"/>
        </w:rPr>
        <w:t> </w:t>
      </w:r>
      <w:r>
        <w:rPr>
          <w:spacing w:val="-1"/>
        </w:rPr>
        <w:t>since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testing</w:t>
      </w:r>
      <w:r>
        <w:rPr>
          <w:spacing w:val="-15"/>
        </w:rPr>
        <w:t> </w:t>
      </w:r>
      <w:r>
        <w:rPr/>
        <w:t>was</w:t>
      </w:r>
      <w:r>
        <w:rPr>
          <w:spacing w:val="-15"/>
        </w:rPr>
        <w:t> </w:t>
      </w:r>
      <w:r>
        <w:rPr/>
        <w:t>conducted</w:t>
      </w:r>
      <w:r>
        <w:rPr>
          <w:spacing w:val="-15"/>
        </w:rPr>
        <w:t> </w:t>
      </w:r>
      <w:r>
        <w:rPr/>
        <w:t>at</w:t>
      </w:r>
      <w:r>
        <w:rPr>
          <w:spacing w:val="-14"/>
        </w:rPr>
        <w:t> </w:t>
      </w:r>
      <w:r>
        <w:rPr/>
        <w:t>a</w:t>
      </w:r>
      <w:r>
        <w:rPr>
          <w:spacing w:val="-15"/>
        </w:rPr>
        <w:t> </w:t>
      </w:r>
      <w:r>
        <w:rPr/>
        <w:t>different</w:t>
      </w:r>
      <w:r>
        <w:rPr>
          <w:spacing w:val="-13"/>
        </w:rPr>
        <w:t> </w:t>
      </w:r>
      <w:r>
        <w:rPr/>
        <w:t>time</w:t>
      </w:r>
      <w:r>
        <w:rPr>
          <w:spacing w:val="-15"/>
        </w:rPr>
        <w:t> </w:t>
      </w:r>
      <w:r>
        <w:rPr/>
        <w:t>from</w:t>
      </w:r>
      <w:r>
        <w:rPr>
          <w:spacing w:val="-17"/>
        </w:rPr>
        <w:t> </w:t>
      </w:r>
      <w:r>
        <w:rPr/>
        <w:t>the</w:t>
      </w:r>
      <w:r>
        <w:rPr>
          <w:spacing w:val="-15"/>
        </w:rPr>
        <w:t> </w:t>
      </w:r>
      <w:r>
        <w:rPr/>
        <w:t>bulk</w:t>
      </w:r>
      <w:r>
        <w:rPr>
          <w:spacing w:val="-14"/>
        </w:rPr>
        <w:t> </w:t>
      </w:r>
      <w:r>
        <w:rPr/>
        <w:t>of</w:t>
      </w:r>
      <w:r>
        <w:rPr>
          <w:spacing w:val="-16"/>
        </w:rPr>
        <w:t> </w:t>
      </w:r>
      <w:r>
        <w:rPr/>
        <w:t>the</w:t>
      </w:r>
      <w:r>
        <w:rPr>
          <w:spacing w:val="-15"/>
        </w:rPr>
        <w:t> </w:t>
      </w:r>
      <w:r>
        <w:rPr/>
        <w:t>traditional</w:t>
      </w:r>
      <w:r>
        <w:rPr>
          <w:spacing w:val="-57"/>
        </w:rPr>
        <w:t> </w:t>
      </w:r>
      <w:r>
        <w:rPr/>
        <w:t>CLT specimen testing. The target velocity for all tests was 2,500 fps (762 m/s). It is likely</w:t>
      </w:r>
      <w:r>
        <w:rPr>
          <w:spacing w:val="-58"/>
        </w:rPr>
        <w:t> </w:t>
      </w:r>
      <w:r>
        <w:rPr/>
        <w:t>that the relatively small number of shots in the different specimens is not a large enough</w:t>
      </w:r>
      <w:r>
        <w:rPr>
          <w:spacing w:val="1"/>
        </w:rPr>
        <w:t> </w:t>
      </w:r>
      <w:r>
        <w:rPr/>
        <w:t>number of tests to draw any definitive recommendations.</w:t>
      </w:r>
      <w:r>
        <w:rPr>
          <w:spacing w:val="1"/>
        </w:rPr>
        <w:t> </w:t>
      </w:r>
      <w:r>
        <w:rPr/>
        <w:t>While ballistic testing is costly</w:t>
      </w:r>
      <w:r>
        <w:rPr>
          <w:spacing w:val="1"/>
        </w:rPr>
        <w:t> </w:t>
      </w:r>
      <w:r>
        <w:rPr/>
        <w:t>both</w:t>
      </w:r>
      <w:r>
        <w:rPr>
          <w:spacing w:val="1"/>
        </w:rPr>
        <w:t> </w:t>
      </w:r>
      <w:r>
        <w:rPr/>
        <w:t>financially</w:t>
      </w:r>
      <w:r>
        <w:rPr>
          <w:spacing w:val="2"/>
        </w:rPr>
        <w:t> </w:t>
      </w:r>
      <w:r>
        <w:rPr/>
        <w:t>and</w:t>
      </w:r>
      <w:r>
        <w:rPr>
          <w:spacing w:val="1"/>
        </w:rPr>
        <w:t> </w:t>
      </w:r>
      <w:r>
        <w:rPr/>
        <w:t>in</w:t>
      </w:r>
      <w:r>
        <w:rPr>
          <w:spacing w:val="2"/>
        </w:rPr>
        <w:t> </w:t>
      </w:r>
      <w:r>
        <w:rPr/>
        <w:t>time,</w:t>
      </w:r>
      <w:r>
        <w:rPr>
          <w:spacing w:val="2"/>
        </w:rPr>
        <w:t> </w:t>
      </w:r>
      <w:r>
        <w:rPr/>
        <w:t>this</w:t>
      </w:r>
      <w:r>
        <w:rPr>
          <w:spacing w:val="2"/>
        </w:rPr>
        <w:t> </w:t>
      </w:r>
      <w:r>
        <w:rPr/>
        <w:t>initial</w:t>
      </w:r>
      <w:r>
        <w:rPr>
          <w:spacing w:val="3"/>
        </w:rPr>
        <w:t> </w:t>
      </w:r>
      <w:r>
        <w:rPr/>
        <w:t>experimental</w:t>
      </w:r>
      <w:r>
        <w:rPr>
          <w:spacing w:val="3"/>
        </w:rPr>
        <w:t> </w:t>
      </w:r>
      <w:r>
        <w:rPr/>
        <w:t>work</w:t>
      </w:r>
      <w:r>
        <w:rPr>
          <w:spacing w:val="1"/>
        </w:rPr>
        <w:t> </w:t>
      </w:r>
      <w:r>
        <w:rPr/>
        <w:t>can</w:t>
      </w:r>
      <w:r>
        <w:rPr>
          <w:spacing w:val="2"/>
        </w:rPr>
        <w:t> </w:t>
      </w:r>
      <w:r>
        <w:rPr/>
        <w:t>provide</w:t>
      </w:r>
      <w:r>
        <w:rPr>
          <w:spacing w:val="2"/>
        </w:rPr>
        <w:t> </w:t>
      </w:r>
      <w:r>
        <w:rPr/>
        <w:t>a path</w:t>
      </w:r>
      <w:r>
        <w:rPr>
          <w:spacing w:val="2"/>
        </w:rPr>
        <w:t> </w:t>
      </w:r>
      <w:r>
        <w:rPr/>
        <w:t>forward</w:t>
      </w:r>
      <w:r>
        <w:rPr>
          <w:spacing w:val="2"/>
        </w:rPr>
        <w:t> </w:t>
      </w:r>
      <w:r>
        <w:rPr/>
        <w:t>for</w:t>
      </w:r>
    </w:p>
    <w:p>
      <w:pPr>
        <w:spacing w:after="0" w:line="480" w:lineRule="auto"/>
        <w:jc w:val="both"/>
        <w:sectPr>
          <w:pgSz w:w="12240" w:h="15840"/>
          <w:pgMar w:header="0" w:footer="1064" w:top="1500" w:bottom="1260" w:left="1720" w:right="1020"/>
        </w:sectPr>
      </w:pPr>
    </w:p>
    <w:p>
      <w:pPr>
        <w:pStyle w:val="BodyText"/>
        <w:spacing w:line="480" w:lineRule="auto" w:before="78"/>
        <w:ind w:left="440" w:right="417"/>
        <w:jc w:val="both"/>
      </w:pPr>
      <w:r>
        <w:rPr/>
        <w:t>additional research for both additional tests and empirical models which represent the</w:t>
      </w:r>
      <w:r>
        <w:rPr>
          <w:spacing w:val="1"/>
        </w:rPr>
        <w:t> </w:t>
      </w:r>
      <w:r>
        <w:rPr/>
        <w:t>behavior.</w:t>
      </w:r>
    </w:p>
    <w:p>
      <w:pPr>
        <w:pStyle w:val="ListParagraph"/>
        <w:numPr>
          <w:ilvl w:val="2"/>
          <w:numId w:val="24"/>
        </w:numPr>
        <w:tabs>
          <w:tab w:pos="980" w:val="left" w:leader="none"/>
        </w:tabs>
        <w:spacing w:line="240" w:lineRule="auto" w:before="161" w:after="0"/>
        <w:ind w:left="980" w:right="0" w:hanging="540"/>
        <w:jc w:val="both"/>
        <w:rPr>
          <w:i/>
          <w:sz w:val="24"/>
        </w:rPr>
      </w:pPr>
      <w:bookmarkStart w:name="7.3.1 Perforated metal plates" w:id="435"/>
      <w:bookmarkEnd w:id="435"/>
      <w:r>
        <w:rPr/>
      </w:r>
      <w:bookmarkStart w:name="7.3.1 Perforated metal plates" w:id="436"/>
      <w:bookmarkEnd w:id="436"/>
      <w:r>
        <w:rPr>
          <w:i/>
          <w:sz w:val="24"/>
        </w:rPr>
        <w:t>P</w:t>
      </w:r>
      <w:r>
        <w:rPr>
          <w:i/>
          <w:sz w:val="24"/>
        </w:rPr>
        <w:t>erforated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metal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plates</w:t>
      </w:r>
    </w:p>
    <w:p>
      <w:pPr>
        <w:pStyle w:val="BodyText"/>
        <w:spacing w:before="7"/>
        <w:rPr>
          <w:i/>
          <w:sz w:val="22"/>
        </w:rPr>
      </w:pPr>
    </w:p>
    <w:p>
      <w:pPr>
        <w:pStyle w:val="BodyText"/>
        <w:spacing w:line="480" w:lineRule="auto"/>
        <w:ind w:left="440" w:right="417" w:firstLine="720"/>
        <w:jc w:val="both"/>
      </w:pPr>
      <w:r>
        <w:rPr/>
        <w:t>For both of the perforated metal plates, the P900 and the expanded metal plate,</w:t>
      </w:r>
      <w:r>
        <w:rPr>
          <w:spacing w:val="1"/>
        </w:rPr>
        <w:t> </w:t>
      </w:r>
      <w:r>
        <w:rPr/>
        <w:t>there were no complete perforations.</w:t>
      </w:r>
      <w:r>
        <w:rPr>
          <w:spacing w:val="1"/>
        </w:rPr>
        <w:t> </w:t>
      </w:r>
      <w:r>
        <w:rPr/>
        <w:t>Upon disassembly of the ECLT specimens through</w:t>
      </w:r>
      <w:r>
        <w:rPr>
          <w:spacing w:val="1"/>
        </w:rPr>
        <w:t> </w:t>
      </w:r>
      <w:r>
        <w:rPr/>
        <w:t>the removal of the hex screws, the depth of penetration could be determined and damage</w:t>
      </w:r>
      <w:r>
        <w:rPr>
          <w:spacing w:val="1"/>
        </w:rPr>
        <w:t> </w:t>
      </w:r>
      <w:r>
        <w:rPr/>
        <w:t>assessment</w:t>
      </w:r>
      <w:r>
        <w:rPr>
          <w:spacing w:val="-9"/>
        </w:rPr>
        <w:t> </w:t>
      </w:r>
      <w:r>
        <w:rPr/>
        <w:t>could</w:t>
      </w:r>
      <w:r>
        <w:rPr>
          <w:spacing w:val="-10"/>
        </w:rPr>
        <w:t> </w:t>
      </w:r>
      <w:r>
        <w:rPr/>
        <w:t>be</w:t>
      </w:r>
      <w:r>
        <w:rPr>
          <w:spacing w:val="-10"/>
        </w:rPr>
        <w:t> </w:t>
      </w:r>
      <w:r>
        <w:rPr/>
        <w:t>made.</w:t>
      </w:r>
      <w:r>
        <w:rPr>
          <w:spacing w:val="42"/>
        </w:rPr>
        <w:t> </w:t>
      </w:r>
      <w:r>
        <w:rPr/>
        <w:t>The</w:t>
      </w:r>
      <w:r>
        <w:rPr>
          <w:spacing w:val="-10"/>
        </w:rPr>
        <w:t> </w:t>
      </w:r>
      <w:r>
        <w:rPr/>
        <w:t>previously</w:t>
      </w:r>
      <w:r>
        <w:rPr>
          <w:spacing w:val="-10"/>
        </w:rPr>
        <w:t> </w:t>
      </w:r>
      <w:r>
        <w:rPr/>
        <w:t>used</w:t>
      </w:r>
      <w:r>
        <w:rPr>
          <w:spacing w:val="-10"/>
        </w:rPr>
        <w:t> </w:t>
      </w:r>
      <w:r>
        <w:rPr/>
        <w:t>method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measuring</w:t>
      </w:r>
      <w:r>
        <w:rPr>
          <w:spacing w:val="-10"/>
        </w:rPr>
        <w:t> </w:t>
      </w:r>
      <w:r>
        <w:rPr/>
        <w:t>depth</w:t>
      </w:r>
      <w:r>
        <w:rPr>
          <w:spacing w:val="-10"/>
        </w:rPr>
        <w:t> </w:t>
      </w:r>
      <w:r>
        <w:rPr/>
        <w:t>of</w:t>
      </w:r>
      <w:r>
        <w:rPr>
          <w:spacing w:val="-10"/>
        </w:rPr>
        <w:t> </w:t>
      </w:r>
      <w:r>
        <w:rPr/>
        <w:t>penetration</w:t>
      </w:r>
      <w:r>
        <w:rPr>
          <w:spacing w:val="-58"/>
        </w:rPr>
        <w:t> </w:t>
      </w:r>
      <w:r>
        <w:rPr/>
        <w:t>with</w:t>
      </w:r>
      <w:r>
        <w:rPr>
          <w:spacing w:val="-4"/>
        </w:rPr>
        <w:t> </w:t>
      </w:r>
      <w:r>
        <w:rPr/>
        <w:t>the</w:t>
      </w:r>
      <w:r>
        <w:rPr>
          <w:spacing w:val="-2"/>
        </w:rPr>
        <w:t> </w:t>
      </w:r>
      <w:r>
        <w:rPr/>
        <w:t>drill</w:t>
      </w:r>
      <w:r>
        <w:rPr>
          <w:spacing w:val="-3"/>
        </w:rPr>
        <w:t> </w:t>
      </w:r>
      <w:r>
        <w:rPr/>
        <w:t>bit</w:t>
      </w:r>
      <w:r>
        <w:rPr>
          <w:spacing w:val="-3"/>
        </w:rPr>
        <w:t> </w:t>
      </w:r>
      <w:r>
        <w:rPr/>
        <w:t>in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projectile</w:t>
      </w:r>
      <w:r>
        <w:rPr>
          <w:spacing w:val="-2"/>
        </w:rPr>
        <w:t> </w:t>
      </w:r>
      <w:r>
        <w:rPr/>
        <w:t>entry</w:t>
      </w:r>
      <w:r>
        <w:rPr>
          <w:spacing w:val="-3"/>
        </w:rPr>
        <w:t> </w:t>
      </w:r>
      <w:r>
        <w:rPr/>
        <w:t>hole</w:t>
      </w:r>
      <w:r>
        <w:rPr>
          <w:spacing w:val="-3"/>
        </w:rPr>
        <w:t> </w:t>
      </w:r>
      <w:r>
        <w:rPr/>
        <w:t>was</w:t>
      </w:r>
      <w:r>
        <w:rPr>
          <w:spacing w:val="-2"/>
        </w:rPr>
        <w:t> </w:t>
      </w:r>
      <w:r>
        <w:rPr/>
        <w:t>not</w:t>
      </w:r>
      <w:r>
        <w:rPr>
          <w:spacing w:val="-2"/>
        </w:rPr>
        <w:t> </w:t>
      </w:r>
      <w:r>
        <w:rPr/>
        <w:t>effective</w:t>
      </w:r>
      <w:r>
        <w:rPr>
          <w:spacing w:val="-5"/>
        </w:rPr>
        <w:t> </w:t>
      </w:r>
      <w:r>
        <w:rPr/>
        <w:t>due</w:t>
      </w:r>
      <w:r>
        <w:rPr>
          <w:spacing w:val="-2"/>
        </w:rPr>
        <w:t> </w:t>
      </w:r>
      <w:r>
        <w:rPr/>
        <w:t>to</w:t>
      </w:r>
      <w:r>
        <w:rPr>
          <w:spacing w:val="-4"/>
        </w:rPr>
        <w:t> </w:t>
      </w:r>
      <w:r>
        <w:rPr/>
        <w:t>the</w:t>
      </w:r>
      <w:r>
        <w:rPr>
          <w:spacing w:val="-2"/>
        </w:rPr>
        <w:t> </w:t>
      </w:r>
      <w:r>
        <w:rPr/>
        <w:t>metal</w:t>
      </w:r>
      <w:r>
        <w:rPr>
          <w:spacing w:val="-2"/>
        </w:rPr>
        <w:t> </w:t>
      </w:r>
      <w:r>
        <w:rPr/>
        <w:t>plate;</w:t>
      </w:r>
      <w:r>
        <w:rPr>
          <w:spacing w:val="-4"/>
        </w:rPr>
        <w:t> </w:t>
      </w:r>
      <w:r>
        <w:rPr/>
        <w:t>it</w:t>
      </w:r>
      <w:r>
        <w:rPr>
          <w:spacing w:val="-3"/>
        </w:rPr>
        <w:t> </w:t>
      </w:r>
      <w:r>
        <w:rPr/>
        <w:t>was</w:t>
      </w:r>
      <w:r>
        <w:rPr>
          <w:spacing w:val="-58"/>
        </w:rPr>
        <w:t> </w:t>
      </w:r>
      <w:r>
        <w:rPr/>
        <w:t>difficult to determine if the bit was in contact with the projectile or the plate or if the</w:t>
      </w:r>
      <w:r>
        <w:rPr>
          <w:spacing w:val="1"/>
        </w:rPr>
        <w:t> </w:t>
      </w:r>
      <w:r>
        <w:rPr/>
        <w:t>projectile</w:t>
      </w:r>
      <w:r>
        <w:rPr>
          <w:spacing w:val="-7"/>
        </w:rPr>
        <w:t> </w:t>
      </w:r>
      <w:r>
        <w:rPr/>
        <w:t>had</w:t>
      </w:r>
      <w:r>
        <w:rPr>
          <w:spacing w:val="-7"/>
        </w:rPr>
        <w:t> </w:t>
      </w:r>
      <w:r>
        <w:rPr/>
        <w:t>potentially</w:t>
      </w:r>
      <w:r>
        <w:rPr>
          <w:spacing w:val="-9"/>
        </w:rPr>
        <w:t> </w:t>
      </w:r>
      <w:r>
        <w:rPr/>
        <w:t>been</w:t>
      </w:r>
      <w:r>
        <w:rPr>
          <w:spacing w:val="-7"/>
        </w:rPr>
        <w:t> </w:t>
      </w:r>
      <w:r>
        <w:rPr/>
        <w:t>deflected</w:t>
      </w:r>
      <w:r>
        <w:rPr>
          <w:spacing w:val="-7"/>
        </w:rPr>
        <w:t> </w:t>
      </w:r>
      <w:r>
        <w:rPr/>
        <w:t>as</w:t>
      </w:r>
      <w:r>
        <w:rPr>
          <w:spacing w:val="-7"/>
        </w:rPr>
        <w:t> </w:t>
      </w:r>
      <w:r>
        <w:rPr/>
        <w:t>intended.</w:t>
      </w:r>
      <w:r>
        <w:rPr>
          <w:spacing w:val="47"/>
        </w:rPr>
        <w:t> </w:t>
      </w:r>
      <w:r>
        <w:rPr/>
        <w:t>Therefore,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results</w:t>
      </w:r>
      <w:r>
        <w:rPr>
          <w:spacing w:val="-7"/>
        </w:rPr>
        <w:t> </w:t>
      </w:r>
      <w:r>
        <w:rPr/>
        <w:t>should</w:t>
      </w:r>
      <w:r>
        <w:rPr>
          <w:spacing w:val="-7"/>
        </w:rPr>
        <w:t> </w:t>
      </w:r>
      <w:r>
        <w:rPr/>
        <w:t>be</w:t>
      </w:r>
      <w:r>
        <w:rPr>
          <w:spacing w:val="-7"/>
        </w:rPr>
        <w:t> </w:t>
      </w:r>
      <w:r>
        <w:rPr/>
        <w:t>used</w:t>
      </w:r>
      <w:r>
        <w:rPr>
          <w:spacing w:val="-58"/>
        </w:rPr>
        <w:t> </w:t>
      </w:r>
      <w:r>
        <w:rPr/>
        <w:t>with</w:t>
      </w:r>
      <w:r>
        <w:rPr>
          <w:spacing w:val="-1"/>
        </w:rPr>
        <w:t> </w:t>
      </w:r>
      <w:r>
        <w:rPr/>
        <w:t>some caution.</w:t>
      </w:r>
    </w:p>
    <w:p>
      <w:pPr>
        <w:pStyle w:val="ListParagraph"/>
        <w:numPr>
          <w:ilvl w:val="3"/>
          <w:numId w:val="24"/>
        </w:numPr>
        <w:tabs>
          <w:tab w:pos="1160" w:val="left" w:leader="none"/>
        </w:tabs>
        <w:spacing w:line="240" w:lineRule="auto" w:before="161" w:after="0"/>
        <w:ind w:left="1160" w:right="0" w:hanging="720"/>
        <w:jc w:val="both"/>
        <w:rPr>
          <w:i/>
          <w:sz w:val="24"/>
        </w:rPr>
      </w:pPr>
      <w:bookmarkStart w:name="7.3.1.1 Type 1 - P900 perforated steel p" w:id="437"/>
      <w:bookmarkEnd w:id="437"/>
      <w:r>
        <w:rPr/>
      </w:r>
      <w:bookmarkStart w:name="7.3.1.1 Type 1 - P900 perforated steel p" w:id="438"/>
      <w:bookmarkEnd w:id="438"/>
      <w:r>
        <w:rPr>
          <w:i/>
          <w:sz w:val="24"/>
          <w:u w:val="single"/>
        </w:rPr>
        <w:t>T</w:t>
      </w:r>
      <w:r>
        <w:rPr>
          <w:i/>
          <w:sz w:val="24"/>
          <w:u w:val="single"/>
        </w:rPr>
        <w:t>ype</w:t>
      </w:r>
      <w:r>
        <w:rPr>
          <w:i/>
          <w:spacing w:val="-1"/>
          <w:sz w:val="24"/>
          <w:u w:val="single"/>
        </w:rPr>
        <w:t> </w:t>
      </w:r>
      <w:r>
        <w:rPr>
          <w:i/>
          <w:sz w:val="24"/>
          <w:u w:val="single"/>
        </w:rPr>
        <w:t>1</w:t>
      </w:r>
      <w:r>
        <w:rPr>
          <w:i/>
          <w:spacing w:val="-1"/>
          <w:sz w:val="24"/>
          <w:u w:val="single"/>
        </w:rPr>
        <w:t> </w:t>
      </w:r>
      <w:r>
        <w:rPr>
          <w:i/>
          <w:sz w:val="24"/>
          <w:u w:val="single"/>
        </w:rPr>
        <w:t>-</w:t>
      </w:r>
      <w:r>
        <w:rPr>
          <w:i/>
          <w:spacing w:val="-1"/>
          <w:sz w:val="24"/>
          <w:u w:val="single"/>
        </w:rPr>
        <w:t> </w:t>
      </w:r>
      <w:r>
        <w:rPr>
          <w:i/>
          <w:sz w:val="24"/>
          <w:u w:val="single"/>
        </w:rPr>
        <w:t>P900</w:t>
      </w:r>
      <w:r>
        <w:rPr>
          <w:i/>
          <w:spacing w:val="-1"/>
          <w:sz w:val="24"/>
          <w:u w:val="single"/>
        </w:rPr>
        <w:t> </w:t>
      </w:r>
      <w:r>
        <w:rPr>
          <w:i/>
          <w:sz w:val="24"/>
          <w:u w:val="single"/>
        </w:rPr>
        <w:t>perforated</w:t>
      </w:r>
      <w:r>
        <w:rPr>
          <w:i/>
          <w:spacing w:val="-3"/>
          <w:sz w:val="24"/>
          <w:u w:val="single"/>
        </w:rPr>
        <w:t> </w:t>
      </w:r>
      <w:r>
        <w:rPr>
          <w:i/>
          <w:sz w:val="24"/>
          <w:u w:val="single"/>
        </w:rPr>
        <w:t>steel</w:t>
      </w:r>
      <w:r>
        <w:rPr>
          <w:i/>
          <w:spacing w:val="-1"/>
          <w:sz w:val="24"/>
          <w:u w:val="single"/>
        </w:rPr>
        <w:t> </w:t>
      </w:r>
      <w:r>
        <w:rPr>
          <w:i/>
          <w:sz w:val="24"/>
          <w:u w:val="single"/>
        </w:rPr>
        <w:t>plate</w:t>
      </w:r>
    </w:p>
    <w:p>
      <w:pPr>
        <w:pStyle w:val="BodyText"/>
        <w:spacing w:before="11"/>
        <w:rPr>
          <w:i/>
          <w:sz w:val="14"/>
        </w:rPr>
      </w:pPr>
    </w:p>
    <w:p>
      <w:pPr>
        <w:pStyle w:val="BodyText"/>
        <w:spacing w:line="480" w:lineRule="auto" w:before="90"/>
        <w:ind w:left="439" w:right="417" w:firstLine="720"/>
        <w:jc w:val="both"/>
      </w:pPr>
      <w:r>
        <w:rPr/>
        <w:t>For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P900</w:t>
      </w:r>
      <w:r>
        <w:rPr>
          <w:spacing w:val="-4"/>
        </w:rPr>
        <w:t> </w:t>
      </w:r>
      <w:r>
        <w:rPr/>
        <w:t>perforated</w:t>
      </w:r>
      <w:r>
        <w:rPr>
          <w:spacing w:val="-5"/>
        </w:rPr>
        <w:t> </w:t>
      </w:r>
      <w:r>
        <w:rPr/>
        <w:t>plate,</w:t>
      </w:r>
      <w:r>
        <w:rPr>
          <w:spacing w:val="-5"/>
        </w:rPr>
        <w:t> </w:t>
      </w:r>
      <w:r>
        <w:rPr/>
        <w:t>seven</w:t>
      </w:r>
      <w:r>
        <w:rPr>
          <w:spacing w:val="-5"/>
        </w:rPr>
        <w:t> </w:t>
      </w:r>
      <w:r>
        <w:rPr/>
        <w:t>shots</w:t>
      </w:r>
      <w:r>
        <w:rPr>
          <w:spacing w:val="-4"/>
        </w:rPr>
        <w:t> </w:t>
      </w:r>
      <w:r>
        <w:rPr/>
        <w:t>were</w:t>
      </w:r>
      <w:r>
        <w:rPr>
          <w:spacing w:val="-5"/>
        </w:rPr>
        <w:t> </w:t>
      </w:r>
      <w:r>
        <w:rPr/>
        <w:t>completed</w:t>
      </w:r>
      <w:r>
        <w:rPr>
          <w:spacing w:val="-4"/>
        </w:rPr>
        <w:t> </w:t>
      </w:r>
      <w:r>
        <w:rPr/>
        <w:t>with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0.50-in.</w:t>
      </w:r>
      <w:r>
        <w:rPr>
          <w:spacing w:val="-4"/>
        </w:rPr>
        <w:t> </w:t>
      </w:r>
      <w:r>
        <w:rPr/>
        <w:t>sphere</w:t>
      </w:r>
      <w:r>
        <w:rPr>
          <w:spacing w:val="-58"/>
        </w:rPr>
        <w:t> </w:t>
      </w:r>
      <w:r>
        <w:rPr/>
        <w:t>projectile with an average (mean) striking velocity of 2,528 fps (770 m/s). The perforated</w:t>
      </w:r>
      <w:r>
        <w:rPr>
          <w:spacing w:val="-57"/>
        </w:rPr>
        <w:t> </w:t>
      </w:r>
      <w:r>
        <w:rPr/>
        <w:t>plate showed visible damage in the form of enlarged perforation holes but the metal was</w:t>
      </w:r>
      <w:r>
        <w:rPr>
          <w:spacing w:val="1"/>
        </w:rPr>
        <w:t> </w:t>
      </w:r>
      <w:r>
        <w:rPr/>
        <w:t>still intact with no fragments, as shown in </w:t>
      </w:r>
      <w:hyperlink w:history="true" w:anchor="_bookmark135">
        <w:r>
          <w:rPr/>
          <w:t>Figure 7-13</w:t>
        </w:r>
      </w:hyperlink>
      <w:r>
        <w:rPr/>
        <w:t>.</w:t>
      </w:r>
      <w:r>
        <w:rPr>
          <w:spacing w:val="1"/>
        </w:rPr>
        <w:t> </w:t>
      </w:r>
      <w:r>
        <w:rPr/>
        <w:t>One round, which happened to</w:t>
      </w:r>
      <w:r>
        <w:rPr>
          <w:spacing w:val="1"/>
        </w:rPr>
        <w:t> </w:t>
      </w:r>
      <w:r>
        <w:rPr/>
        <w:t>have the slowest striking velocity at 2,288 fps (697 m/s), was stopped at the front face of</w:t>
      </w:r>
      <w:r>
        <w:rPr>
          <w:spacing w:val="1"/>
        </w:rPr>
        <w:t> </w:t>
      </w:r>
      <w:r>
        <w:rPr/>
        <w:t>the perforated plate.</w:t>
      </w:r>
      <w:r>
        <w:rPr>
          <w:spacing w:val="1"/>
        </w:rPr>
        <w:t> </w:t>
      </w:r>
      <w:r>
        <w:rPr/>
        <w:t>A second round was lodged in the metal plate and became dislodged</w:t>
      </w:r>
      <w:r>
        <w:rPr>
          <w:spacing w:val="-57"/>
        </w:rPr>
        <w:t> </w:t>
      </w:r>
      <w:r>
        <w:rPr/>
        <w:t>when the plate was removed from the CLT.</w:t>
      </w:r>
      <w:r>
        <w:rPr>
          <w:spacing w:val="1"/>
        </w:rPr>
        <w:t> </w:t>
      </w:r>
      <w:r>
        <w:rPr/>
        <w:t>It left a projectile-sized indentation in the 3-</w:t>
      </w:r>
      <w:r>
        <w:rPr>
          <w:spacing w:val="1"/>
        </w:rPr>
        <w:t> </w:t>
      </w:r>
      <w:r>
        <w:rPr/>
        <w:t>ply CLT behind the plate but the sphere was not embedded into the wood.</w:t>
      </w:r>
      <w:r>
        <w:rPr>
          <w:spacing w:val="1"/>
        </w:rPr>
        <w:t> </w:t>
      </w:r>
      <w:r>
        <w:rPr/>
        <w:t>The five other</w:t>
      </w:r>
      <w:r>
        <w:rPr>
          <w:spacing w:val="-57"/>
        </w:rPr>
        <w:t> </w:t>
      </w:r>
      <w:r>
        <w:rPr/>
        <w:t>rounds were embedded in the first ply of the 3-ply CLT section mounted behind the</w:t>
      </w:r>
      <w:r>
        <w:rPr>
          <w:spacing w:val="1"/>
        </w:rPr>
        <w:t> </w:t>
      </w:r>
      <w:r>
        <w:rPr/>
        <w:t>perforated plate with the deepest depth of penetration measured at 3.75-inches, which is</w:t>
      </w:r>
      <w:r>
        <w:rPr>
          <w:spacing w:val="1"/>
        </w:rPr>
        <w:t> </w:t>
      </w:r>
      <w:r>
        <w:rPr/>
        <w:t>0.50-in.</w:t>
      </w:r>
      <w:r>
        <w:rPr>
          <w:spacing w:val="-1"/>
        </w:rPr>
        <w:t> </w:t>
      </w:r>
      <w:r>
        <w:rPr/>
        <w:t>past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perforated</w:t>
      </w:r>
      <w:r>
        <w:rPr>
          <w:spacing w:val="-1"/>
        </w:rPr>
        <w:t> </w:t>
      </w:r>
      <w:r>
        <w:rPr/>
        <w:t>plate.</w:t>
      </w:r>
      <w:r>
        <w:rPr>
          <w:spacing w:val="58"/>
        </w:rPr>
        <w:t> </w:t>
      </w:r>
      <w:hyperlink w:history="true" w:anchor="_bookmark134">
        <w:r>
          <w:rPr/>
          <w:t>Table</w:t>
        </w:r>
        <w:r>
          <w:rPr>
            <w:spacing w:val="-1"/>
          </w:rPr>
          <w:t> </w:t>
        </w:r>
        <w:r>
          <w:rPr/>
          <w:t>7-2</w:t>
        </w:r>
      </w:hyperlink>
      <w:r>
        <w:rPr/>
        <w:t> summarizes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details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seven</w:t>
      </w:r>
      <w:r>
        <w:rPr>
          <w:spacing w:val="-1"/>
        </w:rPr>
        <w:t> </w:t>
      </w:r>
      <w:r>
        <w:rPr/>
        <w:t>test</w:t>
      </w:r>
      <w:r>
        <w:rPr>
          <w:spacing w:val="-1"/>
        </w:rPr>
        <w:t> </w:t>
      </w:r>
      <w:r>
        <w:rPr/>
        <w:t>shots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39" w:right="403"/>
      </w:pPr>
      <w:r>
        <w:rPr/>
        <w:t>on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P900</w:t>
      </w:r>
      <w:r>
        <w:rPr>
          <w:spacing w:val="-8"/>
        </w:rPr>
        <w:t> </w:t>
      </w:r>
      <w:r>
        <w:rPr/>
        <w:t>plate</w:t>
      </w:r>
      <w:r>
        <w:rPr>
          <w:spacing w:val="-8"/>
        </w:rPr>
        <w:t> </w:t>
      </w:r>
      <w:r>
        <w:rPr/>
        <w:t>specimen.</w:t>
      </w:r>
      <w:r>
        <w:rPr>
          <w:spacing w:val="47"/>
        </w:rPr>
        <w:t> </w:t>
      </w:r>
      <w:hyperlink w:history="true" w:anchor="_bookmark136">
        <w:r>
          <w:rPr/>
          <w:t>Figure</w:t>
        </w:r>
        <w:r>
          <w:rPr>
            <w:spacing w:val="-8"/>
          </w:rPr>
          <w:t> </w:t>
        </w:r>
        <w:r>
          <w:rPr/>
          <w:t>7-14</w:t>
        </w:r>
        <w:r>
          <w:rPr>
            <w:spacing w:val="-7"/>
          </w:rPr>
          <w:t> </w:t>
        </w:r>
      </w:hyperlink>
      <w:r>
        <w:rPr/>
        <w:t>shows</w:t>
      </w:r>
      <w:r>
        <w:rPr>
          <w:spacing w:val="-6"/>
        </w:rPr>
        <w:t> </w:t>
      </w:r>
      <w:r>
        <w:rPr/>
        <w:t>a</w:t>
      </w:r>
      <w:r>
        <w:rPr>
          <w:spacing w:val="-8"/>
        </w:rPr>
        <w:t> </w:t>
      </w:r>
      <w:r>
        <w:rPr/>
        <w:t>close-up</w:t>
      </w:r>
      <w:r>
        <w:rPr>
          <w:spacing w:val="-9"/>
        </w:rPr>
        <w:t> </w:t>
      </w:r>
      <w:r>
        <w:rPr/>
        <w:t>view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damage</w:t>
      </w:r>
      <w:r>
        <w:rPr>
          <w:spacing w:val="-6"/>
        </w:rPr>
        <w:t> </w:t>
      </w:r>
      <w:r>
        <w:rPr/>
        <w:t>to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P900</w:t>
      </w:r>
      <w:r>
        <w:rPr>
          <w:spacing w:val="-57"/>
        </w:rPr>
        <w:t> </w:t>
      </w:r>
      <w:r>
        <w:rPr/>
        <w:t>plate</w:t>
      </w:r>
      <w:r>
        <w:rPr>
          <w:spacing w:val="-2"/>
        </w:rPr>
        <w:t> </w:t>
      </w:r>
      <w:r>
        <w:rPr/>
        <w:t>and the</w:t>
      </w:r>
      <w:r>
        <w:rPr>
          <w:spacing w:val="-1"/>
        </w:rPr>
        <w:t> </w:t>
      </w:r>
      <w:r>
        <w:rPr/>
        <w:t>CLT</w:t>
      </w:r>
      <w:r>
        <w:rPr>
          <w:spacing w:val="-1"/>
        </w:rPr>
        <w:t> </w:t>
      </w:r>
      <w:r>
        <w:rPr/>
        <w:t>behind it for all seven shots.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spacing w:before="231"/>
        <w:ind w:left="439" w:right="0" w:firstLine="0"/>
        <w:jc w:val="left"/>
        <w:rPr>
          <w:i/>
          <w:sz w:val="24"/>
        </w:rPr>
      </w:pPr>
      <w:bookmarkStart w:name="_bookmark134" w:id="439"/>
      <w:bookmarkEnd w:id="439"/>
      <w:r>
        <w:rPr/>
      </w:r>
      <w:r>
        <w:rPr>
          <w:i/>
          <w:sz w:val="24"/>
        </w:rPr>
        <w:t>Table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7-2.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Details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test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shots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on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P900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perforated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steel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plate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ECLT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specimen.</w:t>
      </w:r>
    </w:p>
    <w:p>
      <w:pPr>
        <w:pStyle w:val="BodyText"/>
        <w:spacing w:before="6"/>
        <w:rPr>
          <w:i/>
          <w:sz w:val="17"/>
        </w:rPr>
      </w:pPr>
    </w:p>
    <w:tbl>
      <w:tblPr>
        <w:tblW w:w="0" w:type="auto"/>
        <w:jc w:val="left"/>
        <w:tblInd w:w="46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80"/>
        <w:gridCol w:w="974"/>
        <w:gridCol w:w="973"/>
        <w:gridCol w:w="1601"/>
        <w:gridCol w:w="1218"/>
        <w:gridCol w:w="1894"/>
      </w:tblGrid>
      <w:tr>
        <w:trPr>
          <w:trHeight w:val="1264" w:hRule="atLeast"/>
        </w:trPr>
        <w:tc>
          <w:tcPr>
            <w:tcW w:w="1880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DADAD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line="234" w:lineRule="exact" w:before="182"/>
              <w:ind w:left="273"/>
              <w:rPr>
                <w:sz w:val="22"/>
              </w:rPr>
            </w:pPr>
            <w:r>
              <w:rPr>
                <w:sz w:val="22"/>
              </w:rPr>
              <w:t>Specimen/Shot</w:t>
            </w:r>
          </w:p>
        </w:tc>
        <w:tc>
          <w:tcPr>
            <w:tcW w:w="97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DAD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0"/>
              <w:rPr>
                <w:i/>
                <w:sz w:val="19"/>
              </w:rPr>
            </w:pPr>
          </w:p>
          <w:p>
            <w:pPr>
              <w:pStyle w:val="TableParagraph"/>
              <w:ind w:left="113" w:right="89" w:hanging="2"/>
              <w:jc w:val="center"/>
              <w:rPr>
                <w:sz w:val="22"/>
              </w:rPr>
            </w:pPr>
            <w:r>
              <w:rPr>
                <w:sz w:val="22"/>
              </w:rPr>
              <w:t>v</w:t>
            </w:r>
            <w:r>
              <w:rPr>
                <w:sz w:val="22"/>
                <w:vertAlign w:val="subscript"/>
              </w:rPr>
              <w:t>s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(chrono)</w:t>
            </w:r>
          </w:p>
          <w:p>
            <w:pPr>
              <w:pStyle w:val="TableParagraph"/>
              <w:spacing w:line="234" w:lineRule="exact"/>
              <w:ind w:left="224" w:right="204"/>
              <w:jc w:val="center"/>
              <w:rPr>
                <w:sz w:val="22"/>
              </w:rPr>
            </w:pPr>
            <w:r>
              <w:rPr>
                <w:sz w:val="22"/>
              </w:rPr>
              <w:t>(fps)</w:t>
            </w:r>
          </w:p>
        </w:tc>
        <w:tc>
          <w:tcPr>
            <w:tcW w:w="97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DAD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0"/>
              <w:rPr>
                <w:i/>
                <w:sz w:val="19"/>
              </w:rPr>
            </w:pPr>
          </w:p>
          <w:p>
            <w:pPr>
              <w:pStyle w:val="TableParagraph"/>
              <w:ind w:left="113" w:right="88" w:hanging="2"/>
              <w:jc w:val="center"/>
              <w:rPr>
                <w:sz w:val="22"/>
              </w:rPr>
            </w:pPr>
            <w:r>
              <w:rPr>
                <w:sz w:val="22"/>
              </w:rPr>
              <w:t>v</w:t>
            </w:r>
            <w:r>
              <w:rPr>
                <w:sz w:val="22"/>
                <w:vertAlign w:val="subscript"/>
              </w:rPr>
              <w:t>s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(chrono)</w:t>
            </w:r>
          </w:p>
          <w:p>
            <w:pPr>
              <w:pStyle w:val="TableParagraph"/>
              <w:spacing w:line="234" w:lineRule="exact"/>
              <w:ind w:left="219" w:right="200"/>
              <w:jc w:val="center"/>
              <w:rPr>
                <w:sz w:val="22"/>
              </w:rPr>
            </w:pPr>
            <w:r>
              <w:rPr>
                <w:sz w:val="22"/>
              </w:rPr>
              <w:t>(m/s)</w:t>
            </w:r>
          </w:p>
        </w:tc>
        <w:tc>
          <w:tcPr>
            <w:tcW w:w="160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DADA"/>
          </w:tcPr>
          <w:p>
            <w:pPr>
              <w:pStyle w:val="TableParagraph"/>
              <w:ind w:left="152" w:right="130" w:hanging="2"/>
              <w:jc w:val="center"/>
              <w:rPr>
                <w:sz w:val="22"/>
              </w:rPr>
            </w:pPr>
            <w:r>
              <w:rPr>
                <w:sz w:val="22"/>
              </w:rPr>
              <w:t>Partial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Penetration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1"/>
                <w:sz w:val="22"/>
              </w:rPr>
              <w:t>(PP)/Complete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Penetration</w:t>
            </w:r>
          </w:p>
          <w:p>
            <w:pPr>
              <w:pStyle w:val="TableParagraph"/>
              <w:spacing w:line="234" w:lineRule="exact"/>
              <w:ind w:left="148" w:right="130"/>
              <w:jc w:val="center"/>
              <w:rPr>
                <w:sz w:val="22"/>
              </w:rPr>
            </w:pPr>
            <w:r>
              <w:rPr>
                <w:sz w:val="22"/>
              </w:rPr>
              <w:t>(CP)</w:t>
            </w:r>
          </w:p>
        </w:tc>
        <w:tc>
          <w:tcPr>
            <w:tcW w:w="12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DADA"/>
          </w:tcPr>
          <w:p>
            <w:pPr>
              <w:pStyle w:val="TableParagraph"/>
              <w:spacing w:before="9"/>
              <w:rPr>
                <w:i/>
                <w:sz w:val="21"/>
              </w:rPr>
            </w:pPr>
          </w:p>
          <w:p>
            <w:pPr>
              <w:pStyle w:val="TableParagraph"/>
              <w:spacing w:before="1"/>
              <w:ind w:left="113" w:right="91" w:firstLine="53"/>
              <w:jc w:val="center"/>
              <w:rPr>
                <w:sz w:val="22"/>
              </w:rPr>
            </w:pPr>
            <w:r>
              <w:rPr>
                <w:sz w:val="22"/>
              </w:rPr>
              <w:t>Measured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Depth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of</w:t>
            </w:r>
          </w:p>
          <w:p>
            <w:pPr>
              <w:pStyle w:val="TableParagraph"/>
              <w:spacing w:line="254" w:lineRule="exact"/>
              <w:ind w:left="113" w:right="91"/>
              <w:jc w:val="center"/>
              <w:rPr>
                <w:sz w:val="22"/>
              </w:rPr>
            </w:pPr>
            <w:r>
              <w:rPr>
                <w:spacing w:val="-1"/>
                <w:sz w:val="22"/>
              </w:rPr>
              <w:t>Penetration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(T</w:t>
            </w:r>
            <w:r>
              <w:rPr>
                <w:sz w:val="22"/>
                <w:vertAlign w:val="subscript"/>
              </w:rPr>
              <w:t>w</w:t>
            </w:r>
            <w:r>
              <w:rPr>
                <w:sz w:val="22"/>
                <w:vertAlign w:val="baseline"/>
              </w:rPr>
              <w:t>)</w:t>
            </w:r>
            <w:r>
              <w:rPr>
                <w:spacing w:val="-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(in)</w:t>
            </w:r>
          </w:p>
        </w:tc>
        <w:tc>
          <w:tcPr>
            <w:tcW w:w="189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DADAD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0"/>
              <w:rPr>
                <w:i/>
                <w:sz w:val="19"/>
              </w:rPr>
            </w:pPr>
          </w:p>
          <w:p>
            <w:pPr>
              <w:pStyle w:val="TableParagraph"/>
              <w:ind w:left="252" w:right="221" w:firstLine="188"/>
              <w:rPr>
                <w:sz w:val="22"/>
              </w:rPr>
            </w:pPr>
            <w:r>
              <w:rPr>
                <w:sz w:val="22"/>
              </w:rPr>
              <w:t>Location 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projectile</w:t>
            </w:r>
            <w:r>
              <w:rPr>
                <w:spacing w:val="-13"/>
                <w:sz w:val="22"/>
              </w:rPr>
              <w:t> </w:t>
            </w:r>
            <w:r>
              <w:rPr>
                <w:sz w:val="22"/>
              </w:rPr>
              <w:t>(upon</w:t>
            </w:r>
          </w:p>
          <w:p>
            <w:pPr>
              <w:pStyle w:val="TableParagraph"/>
              <w:spacing w:line="234" w:lineRule="exact"/>
              <w:ind w:left="475"/>
              <w:rPr>
                <w:sz w:val="22"/>
              </w:rPr>
            </w:pPr>
            <w:r>
              <w:rPr>
                <w:sz w:val="22"/>
              </w:rPr>
              <w:t>dissection)</w:t>
            </w:r>
          </w:p>
        </w:tc>
      </w:tr>
      <w:tr>
        <w:trPr>
          <w:trHeight w:val="289" w:hRule="atLeast"/>
        </w:trPr>
        <w:tc>
          <w:tcPr>
            <w:tcW w:w="188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4"/>
              <w:ind w:right="91"/>
              <w:jc w:val="right"/>
              <w:rPr>
                <w:sz w:val="22"/>
              </w:rPr>
            </w:pPr>
            <w:r>
              <w:rPr>
                <w:sz w:val="22"/>
              </w:rPr>
              <w:t>E-PM-1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1</w:t>
            </w:r>
          </w:p>
        </w:tc>
        <w:tc>
          <w:tcPr>
            <w:tcW w:w="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4"/>
              <w:ind w:left="224" w:right="204"/>
              <w:jc w:val="center"/>
              <w:rPr>
                <w:sz w:val="22"/>
              </w:rPr>
            </w:pPr>
            <w:r>
              <w:rPr>
                <w:sz w:val="22"/>
              </w:rPr>
              <w:t>2,642</w:t>
            </w:r>
          </w:p>
        </w:tc>
        <w:tc>
          <w:tcPr>
            <w:tcW w:w="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4"/>
              <w:ind w:left="219" w:right="197"/>
              <w:jc w:val="center"/>
              <w:rPr>
                <w:sz w:val="22"/>
              </w:rPr>
            </w:pPr>
            <w:r>
              <w:rPr>
                <w:sz w:val="22"/>
              </w:rPr>
              <w:t>805</w:t>
            </w:r>
          </w:p>
        </w:tc>
        <w:tc>
          <w:tcPr>
            <w:tcW w:w="1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4"/>
              <w:ind w:left="682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4"/>
              <w:ind w:left="113" w:right="91"/>
              <w:jc w:val="center"/>
              <w:rPr>
                <w:sz w:val="22"/>
              </w:rPr>
            </w:pPr>
            <w:r>
              <w:rPr>
                <w:sz w:val="22"/>
              </w:rPr>
              <w:t>3.72</w:t>
            </w:r>
          </w:p>
        </w:tc>
        <w:tc>
          <w:tcPr>
            <w:tcW w:w="1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34" w:lineRule="exact" w:before="34"/>
              <w:ind w:left="112" w:right="89"/>
              <w:jc w:val="center"/>
              <w:rPr>
                <w:sz w:val="22"/>
              </w:rPr>
            </w:pPr>
            <w:r>
              <w:rPr>
                <w:sz w:val="22"/>
              </w:rPr>
              <w:t>15/32"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3-ply</w:t>
            </w:r>
          </w:p>
        </w:tc>
      </w:tr>
      <w:tr>
        <w:trPr>
          <w:trHeight w:val="290" w:hRule="atLeast"/>
        </w:trPr>
        <w:tc>
          <w:tcPr>
            <w:tcW w:w="188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91"/>
              <w:jc w:val="right"/>
              <w:rPr>
                <w:sz w:val="22"/>
              </w:rPr>
            </w:pPr>
            <w:r>
              <w:rPr>
                <w:sz w:val="22"/>
              </w:rPr>
              <w:t>E-PM-1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2</w:t>
            </w:r>
          </w:p>
        </w:tc>
        <w:tc>
          <w:tcPr>
            <w:tcW w:w="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224" w:right="204"/>
              <w:jc w:val="center"/>
              <w:rPr>
                <w:sz w:val="22"/>
              </w:rPr>
            </w:pPr>
            <w:r>
              <w:rPr>
                <w:sz w:val="22"/>
              </w:rPr>
              <w:t>2,636</w:t>
            </w:r>
          </w:p>
        </w:tc>
        <w:tc>
          <w:tcPr>
            <w:tcW w:w="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219" w:right="197"/>
              <w:jc w:val="center"/>
              <w:rPr>
                <w:sz w:val="22"/>
              </w:rPr>
            </w:pPr>
            <w:r>
              <w:rPr>
                <w:sz w:val="22"/>
              </w:rPr>
              <w:t>803</w:t>
            </w:r>
          </w:p>
        </w:tc>
        <w:tc>
          <w:tcPr>
            <w:tcW w:w="1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682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113" w:right="91"/>
              <w:jc w:val="center"/>
              <w:rPr>
                <w:sz w:val="22"/>
              </w:rPr>
            </w:pPr>
            <w:r>
              <w:rPr>
                <w:sz w:val="22"/>
              </w:rPr>
              <w:t>3.75</w:t>
            </w:r>
          </w:p>
        </w:tc>
        <w:tc>
          <w:tcPr>
            <w:tcW w:w="1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113" w:right="89"/>
              <w:jc w:val="center"/>
              <w:rPr>
                <w:sz w:val="22"/>
              </w:rPr>
            </w:pPr>
            <w:r>
              <w:rPr>
                <w:sz w:val="22"/>
              </w:rPr>
              <w:t>1/2"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3-ply</w:t>
            </w:r>
          </w:p>
        </w:tc>
      </w:tr>
      <w:tr>
        <w:trPr>
          <w:trHeight w:val="289" w:hRule="atLeast"/>
        </w:trPr>
        <w:tc>
          <w:tcPr>
            <w:tcW w:w="188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91"/>
              <w:jc w:val="right"/>
              <w:rPr>
                <w:sz w:val="22"/>
              </w:rPr>
            </w:pPr>
            <w:r>
              <w:rPr>
                <w:sz w:val="22"/>
              </w:rPr>
              <w:t>E-PM-1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3</w:t>
            </w:r>
          </w:p>
        </w:tc>
        <w:tc>
          <w:tcPr>
            <w:tcW w:w="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224" w:right="204"/>
              <w:jc w:val="center"/>
              <w:rPr>
                <w:sz w:val="22"/>
              </w:rPr>
            </w:pPr>
            <w:r>
              <w:rPr>
                <w:sz w:val="22"/>
              </w:rPr>
              <w:t>2,288</w:t>
            </w:r>
          </w:p>
        </w:tc>
        <w:tc>
          <w:tcPr>
            <w:tcW w:w="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219" w:right="197"/>
              <w:jc w:val="center"/>
              <w:rPr>
                <w:sz w:val="22"/>
              </w:rPr>
            </w:pPr>
            <w:r>
              <w:rPr>
                <w:sz w:val="22"/>
              </w:rPr>
              <w:t>697</w:t>
            </w:r>
          </w:p>
        </w:tc>
        <w:tc>
          <w:tcPr>
            <w:tcW w:w="1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682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113" w:right="91"/>
              <w:jc w:val="center"/>
              <w:rPr>
                <w:sz w:val="22"/>
              </w:rPr>
            </w:pPr>
            <w:r>
              <w:rPr>
                <w:sz w:val="22"/>
              </w:rPr>
              <w:t>2.75</w:t>
            </w:r>
          </w:p>
        </w:tc>
        <w:tc>
          <w:tcPr>
            <w:tcW w:w="1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113" w:right="89"/>
              <w:jc w:val="center"/>
              <w:rPr>
                <w:sz w:val="22"/>
              </w:rPr>
            </w:pPr>
            <w:r>
              <w:rPr>
                <w:sz w:val="22"/>
              </w:rPr>
              <w:t>in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front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plate</w:t>
            </w:r>
          </w:p>
        </w:tc>
      </w:tr>
      <w:tr>
        <w:trPr>
          <w:trHeight w:val="290" w:hRule="atLeast"/>
        </w:trPr>
        <w:tc>
          <w:tcPr>
            <w:tcW w:w="188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91"/>
              <w:jc w:val="right"/>
              <w:rPr>
                <w:sz w:val="22"/>
              </w:rPr>
            </w:pPr>
            <w:r>
              <w:rPr>
                <w:sz w:val="22"/>
              </w:rPr>
              <w:t>E-PM-1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4</w:t>
            </w:r>
          </w:p>
        </w:tc>
        <w:tc>
          <w:tcPr>
            <w:tcW w:w="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224" w:right="204"/>
              <w:jc w:val="center"/>
              <w:rPr>
                <w:sz w:val="22"/>
              </w:rPr>
            </w:pPr>
            <w:r>
              <w:rPr>
                <w:sz w:val="22"/>
              </w:rPr>
              <w:t>2,565</w:t>
            </w:r>
          </w:p>
        </w:tc>
        <w:tc>
          <w:tcPr>
            <w:tcW w:w="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219" w:right="197"/>
              <w:jc w:val="center"/>
              <w:rPr>
                <w:sz w:val="22"/>
              </w:rPr>
            </w:pPr>
            <w:r>
              <w:rPr>
                <w:sz w:val="22"/>
              </w:rPr>
              <w:t>782</w:t>
            </w:r>
          </w:p>
        </w:tc>
        <w:tc>
          <w:tcPr>
            <w:tcW w:w="1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682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113" w:right="91"/>
              <w:jc w:val="center"/>
              <w:rPr>
                <w:sz w:val="22"/>
              </w:rPr>
            </w:pPr>
            <w:r>
              <w:rPr>
                <w:sz w:val="22"/>
              </w:rPr>
              <w:t>3.59</w:t>
            </w:r>
          </w:p>
        </w:tc>
        <w:tc>
          <w:tcPr>
            <w:tcW w:w="1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112" w:right="89"/>
              <w:jc w:val="center"/>
              <w:rPr>
                <w:sz w:val="22"/>
              </w:rPr>
            </w:pPr>
            <w:r>
              <w:rPr>
                <w:sz w:val="22"/>
              </w:rPr>
              <w:t>11/32"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3-ply</w:t>
            </w:r>
          </w:p>
        </w:tc>
      </w:tr>
      <w:tr>
        <w:trPr>
          <w:trHeight w:val="290" w:hRule="atLeast"/>
        </w:trPr>
        <w:tc>
          <w:tcPr>
            <w:tcW w:w="188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91"/>
              <w:jc w:val="right"/>
              <w:rPr>
                <w:sz w:val="22"/>
              </w:rPr>
            </w:pPr>
            <w:r>
              <w:rPr>
                <w:sz w:val="22"/>
              </w:rPr>
              <w:t>E-PM-1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5</w:t>
            </w:r>
          </w:p>
        </w:tc>
        <w:tc>
          <w:tcPr>
            <w:tcW w:w="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224" w:right="204"/>
              <w:jc w:val="center"/>
              <w:rPr>
                <w:sz w:val="22"/>
              </w:rPr>
            </w:pPr>
            <w:r>
              <w:rPr>
                <w:sz w:val="22"/>
              </w:rPr>
              <w:t>2,501</w:t>
            </w:r>
          </w:p>
        </w:tc>
        <w:tc>
          <w:tcPr>
            <w:tcW w:w="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219" w:right="197"/>
              <w:jc w:val="center"/>
              <w:rPr>
                <w:sz w:val="22"/>
              </w:rPr>
            </w:pPr>
            <w:r>
              <w:rPr>
                <w:sz w:val="22"/>
              </w:rPr>
              <w:t>762</w:t>
            </w:r>
          </w:p>
        </w:tc>
        <w:tc>
          <w:tcPr>
            <w:tcW w:w="1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682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113" w:right="91"/>
              <w:jc w:val="center"/>
              <w:rPr>
                <w:sz w:val="22"/>
              </w:rPr>
            </w:pPr>
            <w:r>
              <w:rPr>
                <w:sz w:val="22"/>
              </w:rPr>
              <w:t>3.59</w:t>
            </w:r>
          </w:p>
        </w:tc>
        <w:tc>
          <w:tcPr>
            <w:tcW w:w="1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112" w:right="89"/>
              <w:jc w:val="center"/>
              <w:rPr>
                <w:sz w:val="22"/>
              </w:rPr>
            </w:pPr>
            <w:r>
              <w:rPr>
                <w:sz w:val="22"/>
              </w:rPr>
              <w:t>11/32"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3-ply</w:t>
            </w:r>
          </w:p>
        </w:tc>
      </w:tr>
      <w:tr>
        <w:trPr>
          <w:trHeight w:val="289" w:hRule="atLeast"/>
        </w:trPr>
        <w:tc>
          <w:tcPr>
            <w:tcW w:w="188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91"/>
              <w:jc w:val="right"/>
              <w:rPr>
                <w:sz w:val="22"/>
              </w:rPr>
            </w:pPr>
            <w:r>
              <w:rPr>
                <w:sz w:val="22"/>
              </w:rPr>
              <w:t>E-PM-1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6</w:t>
            </w:r>
          </w:p>
        </w:tc>
        <w:tc>
          <w:tcPr>
            <w:tcW w:w="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224" w:right="204"/>
              <w:jc w:val="center"/>
              <w:rPr>
                <w:sz w:val="22"/>
              </w:rPr>
            </w:pPr>
            <w:r>
              <w:rPr>
                <w:sz w:val="22"/>
              </w:rPr>
              <w:t>2,514</w:t>
            </w:r>
          </w:p>
        </w:tc>
        <w:tc>
          <w:tcPr>
            <w:tcW w:w="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219" w:right="197"/>
              <w:jc w:val="center"/>
              <w:rPr>
                <w:sz w:val="22"/>
              </w:rPr>
            </w:pPr>
            <w:r>
              <w:rPr>
                <w:sz w:val="22"/>
              </w:rPr>
              <w:t>766</w:t>
            </w:r>
          </w:p>
        </w:tc>
        <w:tc>
          <w:tcPr>
            <w:tcW w:w="1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682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113" w:right="91"/>
              <w:jc w:val="center"/>
              <w:rPr>
                <w:sz w:val="22"/>
              </w:rPr>
            </w:pPr>
            <w:r>
              <w:rPr>
                <w:sz w:val="22"/>
              </w:rPr>
              <w:t>3.53</w:t>
            </w:r>
          </w:p>
        </w:tc>
        <w:tc>
          <w:tcPr>
            <w:tcW w:w="1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112" w:right="89"/>
              <w:jc w:val="center"/>
              <w:rPr>
                <w:sz w:val="22"/>
              </w:rPr>
            </w:pPr>
            <w:r>
              <w:rPr>
                <w:sz w:val="22"/>
              </w:rPr>
              <w:t>9/32"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3-ply</w:t>
            </w:r>
          </w:p>
        </w:tc>
      </w:tr>
      <w:tr>
        <w:trPr>
          <w:trHeight w:val="299" w:hRule="atLeast"/>
        </w:trPr>
        <w:tc>
          <w:tcPr>
            <w:tcW w:w="1880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3" w:lineRule="exact" w:before="46"/>
              <w:ind w:right="91"/>
              <w:jc w:val="right"/>
              <w:rPr>
                <w:sz w:val="22"/>
              </w:rPr>
            </w:pPr>
            <w:r>
              <w:rPr>
                <w:sz w:val="22"/>
              </w:rPr>
              <w:t>E-PM-1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7</w:t>
            </w:r>
          </w:p>
        </w:tc>
        <w:tc>
          <w:tcPr>
            <w:tcW w:w="97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3" w:lineRule="exact" w:before="46"/>
              <w:ind w:left="224" w:right="204"/>
              <w:jc w:val="center"/>
              <w:rPr>
                <w:sz w:val="22"/>
              </w:rPr>
            </w:pPr>
            <w:r>
              <w:rPr>
                <w:sz w:val="22"/>
              </w:rPr>
              <w:t>2,547</w:t>
            </w:r>
          </w:p>
        </w:tc>
        <w:tc>
          <w:tcPr>
            <w:tcW w:w="97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3" w:lineRule="exact" w:before="46"/>
              <w:ind w:left="219" w:right="197"/>
              <w:jc w:val="center"/>
              <w:rPr>
                <w:sz w:val="22"/>
              </w:rPr>
            </w:pPr>
            <w:r>
              <w:rPr>
                <w:sz w:val="22"/>
              </w:rPr>
              <w:t>776</w:t>
            </w:r>
          </w:p>
        </w:tc>
        <w:tc>
          <w:tcPr>
            <w:tcW w:w="160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3" w:lineRule="exact" w:before="46"/>
              <w:ind w:left="682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3" w:lineRule="exact" w:before="46"/>
              <w:ind w:left="113" w:right="91"/>
              <w:jc w:val="center"/>
              <w:rPr>
                <w:sz w:val="22"/>
              </w:rPr>
            </w:pPr>
            <w:r>
              <w:rPr>
                <w:sz w:val="22"/>
              </w:rPr>
              <w:t>3.00</w:t>
            </w:r>
          </w:p>
        </w:tc>
        <w:tc>
          <w:tcPr>
            <w:tcW w:w="1894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233" w:lineRule="exact" w:before="46"/>
              <w:ind w:left="115" w:right="89"/>
              <w:jc w:val="center"/>
              <w:rPr>
                <w:sz w:val="22"/>
              </w:rPr>
            </w:pPr>
            <w:r>
              <w:rPr>
                <w:sz w:val="22"/>
              </w:rPr>
              <w:t>in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perforation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hole</w:t>
            </w:r>
          </w:p>
        </w:tc>
      </w:tr>
    </w:tbl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8"/>
        <w:rPr>
          <w:i/>
          <w:sz w:val="28"/>
        </w:rPr>
      </w:pPr>
      <w:r>
        <w:rPr/>
        <w:pict>
          <v:group style="position:absolute;margin-left:132.449997pt;margin-top:18.473953pt;width:383.1pt;height:180.45pt;mso-position-horizontal-relative:page;mso-position-vertical-relative:paragraph;z-index:-15585792;mso-wrap-distance-left:0;mso-wrap-distance-right:0" coordorigin="2649,369" coordsize="7662,3609">
            <v:shape style="position:absolute;left:2649;top:369;width:3595;height:3609" type="#_x0000_t75" stroked="false">
              <v:imagedata r:id="rId336" o:title=""/>
            </v:shape>
            <v:shape style="position:absolute;left:6309;top:378;width:4002;height:3591" type="#_x0000_t75" stroked="false">
              <v:imagedata r:id="rId337" o:title=""/>
            </v:shape>
            <w10:wrap type="topAndBottom"/>
          </v:group>
        </w:pict>
      </w:r>
    </w:p>
    <w:p>
      <w:pPr>
        <w:spacing w:before="152"/>
        <w:ind w:left="440" w:right="403" w:firstLine="0"/>
        <w:jc w:val="left"/>
        <w:rPr>
          <w:i/>
          <w:sz w:val="24"/>
        </w:rPr>
      </w:pPr>
      <w:bookmarkStart w:name="_bookmark135" w:id="440"/>
      <w:bookmarkEnd w:id="440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7-13.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Disassembled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ECLT: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(left)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P900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perforated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steel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plate;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(right)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3-ply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CLT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positioned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behind P900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plate.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229"/>
        <w:ind w:left="440" w:right="403" w:firstLine="720"/>
      </w:pPr>
      <w:r>
        <w:rPr/>
        <w:t>Generally,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P900</w:t>
      </w:r>
      <w:r>
        <w:rPr>
          <w:spacing w:val="-13"/>
        </w:rPr>
        <w:t> </w:t>
      </w:r>
      <w:r>
        <w:rPr/>
        <w:t>performed</w:t>
      </w:r>
      <w:r>
        <w:rPr>
          <w:spacing w:val="-12"/>
        </w:rPr>
        <w:t> </w:t>
      </w:r>
      <w:r>
        <w:rPr/>
        <w:t>well</w:t>
      </w:r>
      <w:r>
        <w:rPr>
          <w:spacing w:val="-13"/>
        </w:rPr>
        <w:t> </w:t>
      </w:r>
      <w:r>
        <w:rPr/>
        <w:t>as</w:t>
      </w:r>
      <w:r>
        <w:rPr>
          <w:spacing w:val="-13"/>
        </w:rPr>
        <w:t> </w:t>
      </w:r>
      <w:r>
        <w:rPr/>
        <w:t>there</w:t>
      </w:r>
      <w:r>
        <w:rPr>
          <w:spacing w:val="-12"/>
        </w:rPr>
        <w:t> </w:t>
      </w:r>
      <w:r>
        <w:rPr/>
        <w:t>were</w:t>
      </w:r>
      <w:r>
        <w:rPr>
          <w:spacing w:val="-13"/>
        </w:rPr>
        <w:t> </w:t>
      </w:r>
      <w:r>
        <w:rPr/>
        <w:t>no</w:t>
      </w:r>
      <w:r>
        <w:rPr>
          <w:spacing w:val="-12"/>
        </w:rPr>
        <w:t> </w:t>
      </w:r>
      <w:r>
        <w:rPr/>
        <w:t>complete</w:t>
      </w:r>
      <w:r>
        <w:rPr>
          <w:spacing w:val="-13"/>
        </w:rPr>
        <w:t> </w:t>
      </w:r>
      <w:r>
        <w:rPr/>
        <w:t>perforations</w:t>
      </w:r>
      <w:r>
        <w:rPr>
          <w:spacing w:val="-12"/>
        </w:rPr>
        <w:t> </w:t>
      </w:r>
      <w:r>
        <w:rPr/>
        <w:t>through</w:t>
      </w:r>
      <w:r>
        <w:rPr>
          <w:spacing w:val="-57"/>
        </w:rPr>
        <w:t> </w:t>
      </w:r>
      <w:r>
        <w:rPr/>
        <w:t>the</w:t>
      </w:r>
      <w:r>
        <w:rPr>
          <w:spacing w:val="-14"/>
        </w:rPr>
        <w:t> </w:t>
      </w:r>
      <w:r>
        <w:rPr/>
        <w:t>ECLT</w:t>
      </w:r>
      <w:r>
        <w:rPr>
          <w:spacing w:val="-14"/>
        </w:rPr>
        <w:t> </w:t>
      </w:r>
      <w:r>
        <w:rPr/>
        <w:t>specimen.</w:t>
      </w:r>
      <w:r>
        <w:rPr>
          <w:spacing w:val="34"/>
        </w:rPr>
        <w:t> </w:t>
      </w:r>
      <w:r>
        <w:rPr/>
        <w:t>However,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hole</w:t>
      </w:r>
      <w:r>
        <w:rPr>
          <w:spacing w:val="-13"/>
        </w:rPr>
        <w:t> </w:t>
      </w:r>
      <w:r>
        <w:rPr/>
        <w:t>size</w:t>
      </w:r>
      <w:r>
        <w:rPr>
          <w:spacing w:val="-13"/>
        </w:rPr>
        <w:t> </w:t>
      </w:r>
      <w:r>
        <w:rPr/>
        <w:t>was</w:t>
      </w:r>
      <w:r>
        <w:rPr>
          <w:spacing w:val="-14"/>
        </w:rPr>
        <w:t> </w:t>
      </w:r>
      <w:r>
        <w:rPr/>
        <w:t>sufficiently</w:t>
      </w:r>
      <w:r>
        <w:rPr>
          <w:spacing w:val="-13"/>
        </w:rPr>
        <w:t> </w:t>
      </w:r>
      <w:r>
        <w:rPr/>
        <w:t>large</w:t>
      </w:r>
      <w:r>
        <w:rPr>
          <w:spacing w:val="-13"/>
        </w:rPr>
        <w:t> </w:t>
      </w:r>
      <w:r>
        <w:rPr/>
        <w:t>that</w:t>
      </w:r>
      <w:r>
        <w:rPr>
          <w:spacing w:val="-13"/>
        </w:rPr>
        <w:t> </w:t>
      </w:r>
      <w:r>
        <w:rPr/>
        <w:t>at</w:t>
      </w:r>
      <w:r>
        <w:rPr>
          <w:spacing w:val="-14"/>
        </w:rPr>
        <w:t> </w:t>
      </w:r>
      <w:r>
        <w:rPr/>
        <w:t>the</w:t>
      </w:r>
      <w:r>
        <w:rPr>
          <w:spacing w:val="-13"/>
        </w:rPr>
        <w:t> </w:t>
      </w:r>
      <w:r>
        <w:rPr/>
        <w:t>given</w:t>
      </w:r>
      <w:r>
        <w:rPr>
          <w:spacing w:val="-13"/>
        </w:rPr>
        <w:t> </w:t>
      </w:r>
      <w:r>
        <w:rPr/>
        <w:t>striking</w:t>
      </w:r>
    </w:p>
    <w:p>
      <w:pPr>
        <w:spacing w:after="0" w:line="480" w:lineRule="auto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39" w:right="417"/>
        <w:jc w:val="both"/>
      </w:pPr>
      <w:r>
        <w:rPr/>
        <w:t>velocities, the projectile was able to expand the hole and continue on into the 3-ply CLT.</w:t>
      </w:r>
      <w:r>
        <w:rPr>
          <w:spacing w:val="1"/>
        </w:rPr>
        <w:t> </w:t>
      </w:r>
      <w:r>
        <w:rPr/>
        <w:t>With the 0.50-inch thick perforated steel, the energy required to expand the hole did limit</w:t>
      </w:r>
      <w:r>
        <w:rPr>
          <w:spacing w:val="1"/>
        </w:rPr>
        <w:t> </w:t>
      </w:r>
      <w:r>
        <w:rPr/>
        <w:t>how much further the projectile traveled as none of the penetrations into the 3-ply were</w:t>
      </w:r>
      <w:r>
        <w:rPr>
          <w:spacing w:val="1"/>
        </w:rPr>
        <w:t> </w:t>
      </w:r>
      <w:r>
        <w:rPr/>
        <w:t>over 0.50-in. The location of the penetration with respect to the perforation influenced the</w:t>
      </w:r>
      <w:r>
        <w:rPr>
          <w:spacing w:val="-57"/>
        </w:rPr>
        <w:t> </w:t>
      </w:r>
      <w:r>
        <w:rPr/>
        <w:t>penetration</w:t>
      </w:r>
      <w:r>
        <w:rPr>
          <w:spacing w:val="-5"/>
        </w:rPr>
        <w:t> </w:t>
      </w:r>
      <w:r>
        <w:rPr/>
        <w:t>depth,</w:t>
      </w:r>
      <w:r>
        <w:rPr>
          <w:spacing w:val="-3"/>
        </w:rPr>
        <w:t> </w:t>
      </w:r>
      <w:r>
        <w:rPr/>
        <w:t>as</w:t>
      </w:r>
      <w:r>
        <w:rPr>
          <w:spacing w:val="-2"/>
        </w:rPr>
        <w:t> </w:t>
      </w:r>
      <w:r>
        <w:rPr/>
        <w:t>shots</w:t>
      </w:r>
      <w:r>
        <w:rPr>
          <w:spacing w:val="-3"/>
        </w:rPr>
        <w:t> </w:t>
      </w:r>
      <w:r>
        <w:rPr/>
        <w:t>that</w:t>
      </w:r>
      <w:r>
        <w:rPr>
          <w:spacing w:val="-2"/>
        </w:rPr>
        <w:t> </w:t>
      </w:r>
      <w:r>
        <w:rPr/>
        <w:t>lined</w:t>
      </w:r>
      <w:r>
        <w:rPr>
          <w:spacing w:val="-3"/>
        </w:rPr>
        <w:t> </w:t>
      </w:r>
      <w:r>
        <w:rPr/>
        <w:t>up</w:t>
      </w:r>
      <w:r>
        <w:rPr>
          <w:spacing w:val="-4"/>
        </w:rPr>
        <w:t> </w:t>
      </w:r>
      <w:r>
        <w:rPr/>
        <w:t>well</w:t>
      </w:r>
      <w:r>
        <w:rPr>
          <w:spacing w:val="-2"/>
        </w:rPr>
        <w:t> </w:t>
      </w:r>
      <w:r>
        <w:rPr/>
        <w:t>with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perforation</w:t>
      </w:r>
      <w:r>
        <w:rPr>
          <w:spacing w:val="-3"/>
        </w:rPr>
        <w:t> </w:t>
      </w:r>
      <w:r>
        <w:rPr/>
        <w:t>opening</w:t>
      </w:r>
      <w:r>
        <w:rPr>
          <w:spacing w:val="-3"/>
        </w:rPr>
        <w:t> </w:t>
      </w:r>
      <w:r>
        <w:rPr/>
        <w:t>were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deeper</w:t>
      </w:r>
      <w:r>
        <w:rPr>
          <w:spacing w:val="-58"/>
        </w:rPr>
        <w:t> </w:t>
      </w:r>
      <w:r>
        <w:rPr/>
        <w:t>penetrations.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before="2"/>
        <w:rPr>
          <w:sz w:val="11"/>
        </w:rPr>
      </w:pPr>
    </w:p>
    <w:p>
      <w:pPr>
        <w:tabs>
          <w:tab w:pos="2737" w:val="left" w:leader="none"/>
          <w:tab w:pos="4911" w:val="left" w:leader="none"/>
          <w:tab w:pos="6904" w:val="left" w:leader="none"/>
        </w:tabs>
        <w:spacing w:line="240" w:lineRule="auto"/>
        <w:ind w:left="69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131541" cy="1502854"/>
            <wp:effectExtent l="0" t="0" r="0" b="0"/>
            <wp:docPr id="111" name="image3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328.jpeg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1541" cy="1502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1"/>
          <w:sz w:val="20"/>
        </w:rPr>
        <w:drawing>
          <wp:inline distT="0" distB="0" distL="0" distR="0">
            <wp:extent cx="1249178" cy="1493520"/>
            <wp:effectExtent l="0" t="0" r="0" b="0"/>
            <wp:docPr id="113" name="image3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329.jpe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9178" cy="149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  <w:r>
        <w:rPr>
          <w:position w:val="1"/>
          <w:sz w:val="20"/>
        </w:rPr>
        <w:tab/>
      </w:r>
      <w:r>
        <w:rPr>
          <w:position w:val="2"/>
          <w:sz w:val="20"/>
        </w:rPr>
        <w:drawing>
          <wp:inline distT="0" distB="0" distL="0" distR="0">
            <wp:extent cx="1094709" cy="1493520"/>
            <wp:effectExtent l="0" t="0" r="0" b="0"/>
            <wp:docPr id="115" name="image3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330.jpeg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4709" cy="149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</w:r>
      <w:r>
        <w:rPr>
          <w:position w:val="2"/>
          <w:sz w:val="20"/>
        </w:rPr>
        <w:tab/>
      </w:r>
      <w:r>
        <w:rPr>
          <w:sz w:val="20"/>
        </w:rPr>
        <w:drawing>
          <wp:inline distT="0" distB="0" distL="0" distR="0">
            <wp:extent cx="1283121" cy="1503140"/>
            <wp:effectExtent l="0" t="0" r="0" b="0"/>
            <wp:docPr id="117" name="image3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331.jpe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3121" cy="1503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pgSz w:w="12240" w:h="15840"/>
          <w:pgMar w:header="0" w:footer="1064" w:top="1500" w:bottom="1260" w:left="1720" w:right="1020"/>
        </w:sectPr>
      </w:pPr>
    </w:p>
    <w:p>
      <w:pPr>
        <w:spacing w:before="42"/>
        <w:ind w:left="1273" w:right="0" w:firstLine="0"/>
        <w:jc w:val="left"/>
        <w:rPr>
          <w:b/>
          <w:sz w:val="19"/>
        </w:rPr>
      </w:pPr>
      <w:r>
        <w:rPr>
          <w:b/>
          <w:sz w:val="19"/>
        </w:rPr>
        <w:t>Shot</w:t>
      </w:r>
      <w:r>
        <w:rPr>
          <w:b/>
          <w:spacing w:val="3"/>
          <w:sz w:val="19"/>
        </w:rPr>
        <w:t> </w:t>
      </w:r>
      <w:r>
        <w:rPr>
          <w:b/>
          <w:sz w:val="19"/>
        </w:rPr>
        <w:t>1</w:t>
      </w:r>
    </w:p>
    <w:p>
      <w:pPr>
        <w:spacing w:before="42"/>
        <w:ind w:left="828" w:right="806" w:firstLine="0"/>
        <w:jc w:val="center"/>
        <w:rPr>
          <w:b/>
          <w:sz w:val="19"/>
        </w:rPr>
      </w:pPr>
      <w:r>
        <w:rPr/>
        <w:br w:type="column"/>
      </w:r>
      <w:r>
        <w:rPr>
          <w:b/>
          <w:sz w:val="19"/>
        </w:rPr>
        <w:t>Shot</w:t>
      </w:r>
      <w:r>
        <w:rPr>
          <w:b/>
          <w:spacing w:val="8"/>
          <w:sz w:val="19"/>
        </w:rPr>
        <w:t> </w:t>
      </w:r>
      <w:r>
        <w:rPr>
          <w:b/>
          <w:sz w:val="19"/>
        </w:rPr>
        <w:t>2</w:t>
      </w:r>
    </w:p>
    <w:p>
      <w:pPr>
        <w:spacing w:before="42"/>
        <w:ind w:left="670" w:right="662" w:firstLine="0"/>
        <w:jc w:val="center"/>
        <w:rPr>
          <w:b/>
          <w:sz w:val="19"/>
        </w:rPr>
      </w:pPr>
      <w:r>
        <w:rPr/>
        <w:br w:type="column"/>
      </w:r>
      <w:r>
        <w:rPr>
          <w:b/>
          <w:sz w:val="19"/>
        </w:rPr>
        <w:t>Shot</w:t>
      </w:r>
      <w:r>
        <w:rPr>
          <w:b/>
          <w:spacing w:val="8"/>
          <w:sz w:val="19"/>
        </w:rPr>
        <w:t> </w:t>
      </w:r>
      <w:r>
        <w:rPr>
          <w:b/>
          <w:sz w:val="19"/>
        </w:rPr>
        <w:t>3</w:t>
      </w:r>
    </w:p>
    <w:p>
      <w:pPr>
        <w:spacing w:before="42"/>
        <w:ind w:left="933" w:right="0" w:firstLine="0"/>
        <w:jc w:val="left"/>
        <w:rPr>
          <w:b/>
          <w:sz w:val="19"/>
        </w:rPr>
      </w:pPr>
      <w:r>
        <w:rPr/>
        <w:br w:type="column"/>
      </w:r>
      <w:r>
        <w:rPr>
          <w:b/>
          <w:sz w:val="19"/>
        </w:rPr>
        <w:t>Shot</w:t>
      </w:r>
      <w:r>
        <w:rPr>
          <w:b/>
          <w:spacing w:val="8"/>
          <w:sz w:val="19"/>
        </w:rPr>
        <w:t> </w:t>
      </w:r>
      <w:r>
        <w:rPr>
          <w:b/>
          <w:sz w:val="19"/>
        </w:rPr>
        <w:t>4</w:t>
      </w:r>
    </w:p>
    <w:p>
      <w:pPr>
        <w:spacing w:after="0"/>
        <w:jc w:val="left"/>
        <w:rPr>
          <w:sz w:val="19"/>
        </w:rPr>
        <w:sectPr>
          <w:type w:val="continuous"/>
          <w:pgSz w:w="12240" w:h="15840"/>
          <w:pgMar w:top="1380" w:bottom="280" w:left="1720" w:right="1020"/>
          <w:cols w:num="4" w:equalWidth="0">
            <w:col w:w="2463" w:space="40"/>
            <w:col w:w="2195" w:space="39"/>
            <w:col w:w="1893" w:space="40"/>
            <w:col w:w="2830"/>
          </w:cols>
        </w:sectPr>
      </w:pPr>
    </w:p>
    <w:p>
      <w:pPr>
        <w:pStyle w:val="BodyText"/>
        <w:spacing w:before="1"/>
        <w:rPr>
          <w:b/>
          <w:sz w:val="10"/>
        </w:rPr>
      </w:pPr>
    </w:p>
    <w:p>
      <w:pPr>
        <w:tabs>
          <w:tab w:pos="2850" w:val="left" w:leader="none"/>
          <w:tab w:pos="4983" w:val="left" w:leader="none"/>
          <w:tab w:pos="7187" w:val="left" w:leader="none"/>
        </w:tabs>
        <w:spacing w:line="240" w:lineRule="auto"/>
        <w:ind w:left="784" w:right="0" w:firstLine="0"/>
        <w:rPr>
          <w:sz w:val="20"/>
        </w:rPr>
      </w:pPr>
      <w:r>
        <w:rPr>
          <w:position w:val="1"/>
          <w:sz w:val="20"/>
        </w:rPr>
        <w:drawing>
          <wp:inline distT="0" distB="0" distL="0" distR="0">
            <wp:extent cx="998746" cy="1054608"/>
            <wp:effectExtent l="0" t="0" r="0" b="0"/>
            <wp:docPr id="119" name="image3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332.jpeg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8746" cy="1054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  <w:r>
        <w:rPr>
          <w:position w:val="1"/>
          <w:sz w:val="20"/>
        </w:rPr>
        <w:tab/>
      </w:r>
      <w:r>
        <w:rPr>
          <w:sz w:val="20"/>
        </w:rPr>
        <w:drawing>
          <wp:inline distT="0" distB="0" distL="0" distR="0">
            <wp:extent cx="971962" cy="1060703"/>
            <wp:effectExtent l="0" t="0" r="0" b="0"/>
            <wp:docPr id="121" name="image3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333.jpe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1962" cy="1060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913257" cy="1066800"/>
            <wp:effectExtent l="0" t="0" r="0" b="0"/>
            <wp:docPr id="123" name="image3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334.jpe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257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924657" cy="1066800"/>
            <wp:effectExtent l="0" t="0" r="0" b="0"/>
            <wp:docPr id="125" name="image3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335.jpeg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57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7"/>
        </w:rPr>
      </w:pPr>
      <w:r>
        <w:rPr/>
        <w:drawing>
          <wp:anchor distT="0" distB="0" distL="0" distR="0" allowOverlap="1" layoutInCell="1" locked="0" behindDoc="0" simplePos="0" relativeHeight="280">
            <wp:simplePos x="0" y="0"/>
            <wp:positionH relativeFrom="page">
              <wp:posOffset>1683219</wp:posOffset>
            </wp:positionH>
            <wp:positionV relativeFrom="paragraph">
              <wp:posOffset>227660</wp:posOffset>
            </wp:positionV>
            <wp:extent cx="1458246" cy="1737360"/>
            <wp:effectExtent l="0" t="0" r="0" b="0"/>
            <wp:wrapTopAndBottom/>
            <wp:docPr id="127" name="image3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336.jpeg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8246" cy="1737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1">
            <wp:simplePos x="0" y="0"/>
            <wp:positionH relativeFrom="page">
              <wp:posOffset>3406724</wp:posOffset>
            </wp:positionH>
            <wp:positionV relativeFrom="paragraph">
              <wp:posOffset>227659</wp:posOffset>
            </wp:positionV>
            <wp:extent cx="1484459" cy="1737360"/>
            <wp:effectExtent l="0" t="0" r="0" b="0"/>
            <wp:wrapTopAndBottom/>
            <wp:docPr id="129" name="image3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337.jpeg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4459" cy="1737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2">
            <wp:simplePos x="0" y="0"/>
            <wp:positionH relativeFrom="page">
              <wp:posOffset>5156417</wp:posOffset>
            </wp:positionH>
            <wp:positionV relativeFrom="paragraph">
              <wp:posOffset>227659</wp:posOffset>
            </wp:positionV>
            <wp:extent cx="1372568" cy="1737360"/>
            <wp:effectExtent l="0" t="0" r="0" b="0"/>
            <wp:wrapTopAndBottom/>
            <wp:docPr id="131" name="image3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338.jpeg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2568" cy="1737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7"/>
        </w:rPr>
        <w:sectPr>
          <w:type w:val="continuous"/>
          <w:pgSz w:w="12240" w:h="15840"/>
          <w:pgMar w:top="1380" w:bottom="280" w:left="1720" w:right="1020"/>
        </w:sectPr>
      </w:pPr>
    </w:p>
    <w:p>
      <w:pPr>
        <w:spacing w:before="83"/>
        <w:ind w:left="1781" w:right="1992" w:firstLine="0"/>
        <w:jc w:val="center"/>
        <w:rPr>
          <w:b/>
          <w:sz w:val="21"/>
        </w:rPr>
      </w:pPr>
      <w:r>
        <w:rPr>
          <w:b/>
          <w:sz w:val="21"/>
        </w:rPr>
        <w:t>Shot</w:t>
      </w:r>
      <w:r>
        <w:rPr>
          <w:b/>
          <w:spacing w:val="-2"/>
          <w:sz w:val="21"/>
        </w:rPr>
        <w:t> </w:t>
      </w:r>
      <w:r>
        <w:rPr>
          <w:b/>
          <w:sz w:val="21"/>
        </w:rPr>
        <w:t>5</w:t>
      </w:r>
    </w:p>
    <w:p>
      <w:pPr>
        <w:spacing w:before="84"/>
        <w:ind w:left="101" w:right="0" w:firstLine="0"/>
        <w:jc w:val="left"/>
        <w:rPr>
          <w:b/>
          <w:sz w:val="21"/>
        </w:rPr>
      </w:pPr>
      <w:r>
        <w:rPr/>
        <w:br w:type="column"/>
      </w:r>
      <w:r>
        <w:rPr>
          <w:b/>
          <w:sz w:val="21"/>
        </w:rPr>
        <w:t>Shot</w:t>
      </w:r>
      <w:r>
        <w:rPr>
          <w:b/>
          <w:spacing w:val="-1"/>
          <w:sz w:val="21"/>
        </w:rPr>
        <w:t> </w:t>
      </w:r>
      <w:r>
        <w:rPr>
          <w:b/>
          <w:sz w:val="21"/>
        </w:rPr>
        <w:t>6</w:t>
      </w:r>
    </w:p>
    <w:p>
      <w:pPr>
        <w:spacing w:before="83"/>
        <w:ind w:left="799" w:right="0" w:firstLine="0"/>
        <w:jc w:val="left"/>
        <w:rPr>
          <w:b/>
          <w:sz w:val="21"/>
        </w:rPr>
      </w:pPr>
      <w:r>
        <w:rPr/>
        <w:br w:type="column"/>
      </w:r>
      <w:r>
        <w:rPr>
          <w:b/>
          <w:sz w:val="21"/>
        </w:rPr>
        <w:t>Shot</w:t>
      </w:r>
      <w:r>
        <w:rPr>
          <w:b/>
          <w:spacing w:val="-1"/>
          <w:sz w:val="21"/>
        </w:rPr>
        <w:t> </w:t>
      </w:r>
      <w:r>
        <w:rPr>
          <w:b/>
          <w:sz w:val="21"/>
        </w:rPr>
        <w:t>7</w:t>
      </w:r>
    </w:p>
    <w:p>
      <w:pPr>
        <w:spacing w:after="0"/>
        <w:jc w:val="left"/>
        <w:rPr>
          <w:sz w:val="21"/>
        </w:rPr>
        <w:sectPr>
          <w:type w:val="continuous"/>
          <w:pgSz w:w="12240" w:h="15840"/>
          <w:pgMar w:top="1380" w:bottom="280" w:left="1720" w:right="1020"/>
          <w:cols w:num="3" w:equalWidth="0">
            <w:col w:w="4378" w:space="40"/>
            <w:col w:w="1997" w:space="39"/>
            <w:col w:w="3046"/>
          </w:cols>
        </w:sectPr>
      </w:pPr>
    </w:p>
    <w:p>
      <w:pPr>
        <w:pStyle w:val="BodyText"/>
        <w:spacing w:before="9"/>
        <w:rPr>
          <w:b/>
          <w:sz w:val="3"/>
        </w:rPr>
      </w:pPr>
    </w:p>
    <w:p>
      <w:pPr>
        <w:tabs>
          <w:tab w:pos="3888" w:val="left" w:leader="none"/>
          <w:tab w:pos="6606" w:val="left" w:leader="none"/>
        </w:tabs>
        <w:spacing w:line="240" w:lineRule="auto"/>
        <w:ind w:left="116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169274" cy="1267968"/>
            <wp:effectExtent l="0" t="0" r="0" b="0"/>
            <wp:docPr id="133" name="image3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339.jpeg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9274" cy="1267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1233496" cy="1267968"/>
            <wp:effectExtent l="0" t="0" r="0" b="0"/>
            <wp:docPr id="135" name="image3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340.jpe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3496" cy="1267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1106134" cy="1267968"/>
            <wp:effectExtent l="0" t="0" r="0" b="0"/>
            <wp:docPr id="137" name="image3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341.jpeg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6134" cy="1267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rPr>
          <w:b/>
        </w:rPr>
      </w:pPr>
    </w:p>
    <w:p>
      <w:pPr>
        <w:spacing w:before="90"/>
        <w:ind w:left="440" w:right="403" w:firstLine="0"/>
        <w:jc w:val="left"/>
        <w:rPr>
          <w:i/>
          <w:sz w:val="24"/>
        </w:rPr>
      </w:pPr>
      <w:bookmarkStart w:name="_bookmark136" w:id="441"/>
      <w:bookmarkEnd w:id="441"/>
      <w:r>
        <w:rPr/>
      </w:r>
      <w:r>
        <w:rPr>
          <w:i/>
          <w:sz w:val="24"/>
        </w:rPr>
        <w:t>Figure</w:t>
      </w:r>
      <w:r>
        <w:rPr>
          <w:i/>
          <w:spacing w:val="13"/>
          <w:sz w:val="24"/>
        </w:rPr>
        <w:t> </w:t>
      </w:r>
      <w:r>
        <w:rPr>
          <w:i/>
          <w:sz w:val="24"/>
        </w:rPr>
        <w:t>7-14.</w:t>
      </w:r>
      <w:r>
        <w:rPr>
          <w:i/>
          <w:spacing w:val="14"/>
          <w:sz w:val="24"/>
        </w:rPr>
        <w:t> </w:t>
      </w:r>
      <w:r>
        <w:rPr>
          <w:i/>
          <w:sz w:val="24"/>
        </w:rPr>
        <w:t>Close-up</w:t>
      </w:r>
      <w:r>
        <w:rPr>
          <w:i/>
          <w:spacing w:val="14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5"/>
          <w:sz w:val="24"/>
        </w:rPr>
        <w:t> </w:t>
      </w:r>
      <w:r>
        <w:rPr>
          <w:i/>
          <w:sz w:val="24"/>
        </w:rPr>
        <w:t>shots</w:t>
      </w:r>
      <w:r>
        <w:rPr>
          <w:i/>
          <w:spacing w:val="14"/>
          <w:sz w:val="24"/>
        </w:rPr>
        <w:t> </w:t>
      </w:r>
      <w:r>
        <w:rPr>
          <w:i/>
          <w:sz w:val="24"/>
        </w:rPr>
        <w:t>1-7</w:t>
      </w:r>
      <w:r>
        <w:rPr>
          <w:i/>
          <w:spacing w:val="14"/>
          <w:sz w:val="24"/>
        </w:rPr>
        <w:t> </w:t>
      </w:r>
      <w:r>
        <w:rPr>
          <w:i/>
          <w:sz w:val="24"/>
        </w:rPr>
        <w:t>on</w:t>
      </w:r>
      <w:r>
        <w:rPr>
          <w:i/>
          <w:spacing w:val="14"/>
          <w:sz w:val="24"/>
        </w:rPr>
        <w:t> </w:t>
      </w:r>
      <w:r>
        <w:rPr>
          <w:i/>
          <w:sz w:val="24"/>
        </w:rPr>
        <w:t>perforated</w:t>
      </w:r>
      <w:r>
        <w:rPr>
          <w:i/>
          <w:spacing w:val="13"/>
          <w:sz w:val="24"/>
        </w:rPr>
        <w:t> </w:t>
      </w:r>
      <w:r>
        <w:rPr>
          <w:i/>
          <w:sz w:val="24"/>
        </w:rPr>
        <w:t>steel</w:t>
      </w:r>
      <w:r>
        <w:rPr>
          <w:i/>
          <w:spacing w:val="15"/>
          <w:sz w:val="24"/>
        </w:rPr>
        <w:t> </w:t>
      </w:r>
      <w:r>
        <w:rPr>
          <w:i/>
          <w:sz w:val="24"/>
        </w:rPr>
        <w:t>plate;</w:t>
      </w:r>
      <w:r>
        <w:rPr>
          <w:i/>
          <w:spacing w:val="13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14"/>
          <w:sz w:val="24"/>
        </w:rPr>
        <w:t> </w:t>
      </w:r>
      <w:r>
        <w:rPr>
          <w:i/>
          <w:sz w:val="24"/>
        </w:rPr>
        <w:t>each</w:t>
      </w:r>
      <w:r>
        <w:rPr>
          <w:i/>
          <w:spacing w:val="14"/>
          <w:sz w:val="24"/>
        </w:rPr>
        <w:t> </w:t>
      </w:r>
      <w:r>
        <w:rPr>
          <w:i/>
          <w:sz w:val="24"/>
        </w:rPr>
        <w:t>labeled</w:t>
      </w:r>
      <w:r>
        <w:rPr>
          <w:i/>
          <w:spacing w:val="14"/>
          <w:sz w:val="24"/>
        </w:rPr>
        <w:t> </w:t>
      </w:r>
      <w:r>
        <w:rPr>
          <w:i/>
          <w:sz w:val="24"/>
        </w:rPr>
        <w:t>shot</w:t>
      </w:r>
      <w:r>
        <w:rPr>
          <w:i/>
          <w:spacing w:val="15"/>
          <w:sz w:val="24"/>
        </w:rPr>
        <w:t> </w:t>
      </w:r>
      <w:r>
        <w:rPr>
          <w:i/>
          <w:sz w:val="24"/>
        </w:rPr>
        <w:t>(top)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front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steel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plate, (bottom)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face of 3-ply behind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steel plate.</w:t>
      </w:r>
    </w:p>
    <w:p>
      <w:pPr>
        <w:spacing w:after="0"/>
        <w:jc w:val="left"/>
        <w:rPr>
          <w:sz w:val="24"/>
        </w:rPr>
        <w:sectPr>
          <w:type w:val="continuous"/>
          <w:pgSz w:w="12240" w:h="15840"/>
          <w:pgMar w:top="1380" w:bottom="280" w:left="1720" w:right="1020"/>
        </w:sectPr>
      </w:pPr>
    </w:p>
    <w:p>
      <w:pPr>
        <w:pStyle w:val="ListParagraph"/>
        <w:numPr>
          <w:ilvl w:val="3"/>
          <w:numId w:val="24"/>
        </w:numPr>
        <w:tabs>
          <w:tab w:pos="1160" w:val="left" w:leader="none"/>
        </w:tabs>
        <w:spacing w:line="240" w:lineRule="auto" w:before="79" w:after="0"/>
        <w:ind w:left="1160" w:right="0" w:hanging="720"/>
        <w:jc w:val="left"/>
        <w:rPr>
          <w:i/>
          <w:sz w:val="24"/>
        </w:rPr>
      </w:pPr>
      <w:bookmarkStart w:name="7.3.1.2 Type 2 - Expanded metal plate" w:id="442"/>
      <w:bookmarkEnd w:id="442"/>
      <w:r>
        <w:rPr/>
      </w:r>
      <w:bookmarkStart w:name="7.3.1.2 Type 2 - Expanded metal plate" w:id="443"/>
      <w:bookmarkEnd w:id="443"/>
      <w:r>
        <w:rPr>
          <w:i/>
          <w:sz w:val="24"/>
          <w:u w:val="single"/>
        </w:rPr>
        <w:t>T</w:t>
      </w:r>
      <w:r>
        <w:rPr>
          <w:i/>
          <w:sz w:val="24"/>
          <w:u w:val="single"/>
        </w:rPr>
        <w:t>ype</w:t>
      </w:r>
      <w:r>
        <w:rPr>
          <w:i/>
          <w:spacing w:val="-2"/>
          <w:sz w:val="24"/>
          <w:u w:val="single"/>
        </w:rPr>
        <w:t> </w:t>
      </w:r>
      <w:r>
        <w:rPr>
          <w:i/>
          <w:sz w:val="24"/>
          <w:u w:val="single"/>
        </w:rPr>
        <w:t>2</w:t>
      </w:r>
      <w:r>
        <w:rPr>
          <w:i/>
          <w:spacing w:val="-1"/>
          <w:sz w:val="24"/>
          <w:u w:val="single"/>
        </w:rPr>
        <w:t> </w:t>
      </w:r>
      <w:r>
        <w:rPr>
          <w:i/>
          <w:sz w:val="24"/>
          <w:u w:val="single"/>
        </w:rPr>
        <w:t>-</w:t>
      </w:r>
      <w:r>
        <w:rPr>
          <w:i/>
          <w:spacing w:val="-2"/>
          <w:sz w:val="24"/>
          <w:u w:val="single"/>
        </w:rPr>
        <w:t> </w:t>
      </w:r>
      <w:r>
        <w:rPr>
          <w:i/>
          <w:sz w:val="24"/>
          <w:u w:val="single"/>
        </w:rPr>
        <w:t>Expanded</w:t>
      </w:r>
      <w:r>
        <w:rPr>
          <w:i/>
          <w:spacing w:val="-1"/>
          <w:sz w:val="24"/>
          <w:u w:val="single"/>
        </w:rPr>
        <w:t> </w:t>
      </w:r>
      <w:r>
        <w:rPr>
          <w:i/>
          <w:sz w:val="24"/>
          <w:u w:val="single"/>
        </w:rPr>
        <w:t>metal</w:t>
      </w:r>
      <w:r>
        <w:rPr>
          <w:i/>
          <w:spacing w:val="-2"/>
          <w:sz w:val="24"/>
          <w:u w:val="single"/>
        </w:rPr>
        <w:t> </w:t>
      </w:r>
      <w:r>
        <w:rPr>
          <w:i/>
          <w:sz w:val="24"/>
          <w:u w:val="single"/>
        </w:rPr>
        <w:t>plate</w:t>
      </w:r>
    </w:p>
    <w:p>
      <w:pPr>
        <w:pStyle w:val="BodyText"/>
        <w:spacing w:before="9"/>
        <w:rPr>
          <w:i/>
          <w:sz w:val="14"/>
        </w:rPr>
      </w:pPr>
    </w:p>
    <w:p>
      <w:pPr>
        <w:pStyle w:val="BodyText"/>
        <w:spacing w:line="480" w:lineRule="auto" w:before="90"/>
        <w:ind w:left="440" w:right="417" w:firstLine="720"/>
        <w:jc w:val="both"/>
      </w:pPr>
      <w:r>
        <w:rPr/>
        <w:t>For the expanded metal plate, eight shots were taken with the 0.50-in. sphere</w:t>
      </w:r>
      <w:r>
        <w:rPr>
          <w:spacing w:val="1"/>
        </w:rPr>
        <w:t> </w:t>
      </w:r>
      <w:r>
        <w:rPr/>
        <w:t>projectile with an average (mean) striking velocity of 2,543 fps (775 m/s). The perforated</w:t>
      </w:r>
      <w:r>
        <w:rPr>
          <w:spacing w:val="-57"/>
        </w:rPr>
        <w:t> </w:t>
      </w:r>
      <w:r>
        <w:rPr/>
        <w:t>plate showed visible damage in the form of enlarged perforation holes and broken metal</w:t>
      </w:r>
      <w:r>
        <w:rPr>
          <w:spacing w:val="1"/>
        </w:rPr>
        <w:t> </w:t>
      </w:r>
      <w:r>
        <w:rPr/>
        <w:t>segments along with metal shrapnel loose and embedded in wood.</w:t>
      </w:r>
      <w:r>
        <w:rPr>
          <w:spacing w:val="1"/>
        </w:rPr>
        <w:t> </w:t>
      </w:r>
      <w:r>
        <w:rPr/>
        <w:t>Three shots were</w:t>
      </w:r>
      <w:r>
        <w:rPr>
          <w:spacing w:val="1"/>
        </w:rPr>
        <w:t> </w:t>
      </w:r>
      <w:r>
        <w:rPr/>
        <w:t>stopped</w:t>
      </w:r>
      <w:r>
        <w:rPr>
          <w:spacing w:val="-1"/>
        </w:rPr>
        <w:t> </w:t>
      </w:r>
      <w:r>
        <w:rPr/>
        <w:t>at the front 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metal plate</w:t>
      </w:r>
      <w:r>
        <w:rPr>
          <w:spacing w:val="-1"/>
        </w:rPr>
        <w:t> </w:t>
      </w:r>
      <w:r>
        <w:rPr/>
        <w:t>as shown in</w:t>
      </w:r>
      <w:r>
        <w:rPr>
          <w:spacing w:val="-2"/>
        </w:rPr>
        <w:t> </w:t>
      </w:r>
      <w:hyperlink w:history="true" w:anchor="_bookmark137">
        <w:r>
          <w:rPr/>
          <w:t>Figure</w:t>
        </w:r>
        <w:r>
          <w:rPr>
            <w:spacing w:val="-1"/>
          </w:rPr>
          <w:t> </w:t>
        </w:r>
        <w:r>
          <w:rPr/>
          <w:t>7-15</w:t>
        </w:r>
      </w:hyperlink>
      <w:r>
        <w:rPr/>
        <w:t>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283">
            <wp:simplePos x="0" y="0"/>
            <wp:positionH relativeFrom="page">
              <wp:posOffset>1604330</wp:posOffset>
            </wp:positionH>
            <wp:positionV relativeFrom="paragraph">
              <wp:posOffset>235528</wp:posOffset>
            </wp:positionV>
            <wp:extent cx="2439477" cy="2493073"/>
            <wp:effectExtent l="0" t="0" r="0" b="0"/>
            <wp:wrapTopAndBottom/>
            <wp:docPr id="139" name="image3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342.jpeg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9477" cy="24930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4">
            <wp:simplePos x="0" y="0"/>
            <wp:positionH relativeFrom="page">
              <wp:posOffset>4106862</wp:posOffset>
            </wp:positionH>
            <wp:positionV relativeFrom="paragraph">
              <wp:posOffset>257704</wp:posOffset>
            </wp:positionV>
            <wp:extent cx="2498497" cy="2434590"/>
            <wp:effectExtent l="0" t="0" r="0" b="0"/>
            <wp:wrapTopAndBottom/>
            <wp:docPr id="141" name="image3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343.jpe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8497" cy="2434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31"/>
        <w:ind w:left="440" w:right="1209" w:firstLine="0"/>
        <w:jc w:val="left"/>
        <w:rPr>
          <w:i/>
          <w:sz w:val="24"/>
        </w:rPr>
      </w:pPr>
      <w:bookmarkStart w:name="_bookmark137" w:id="444"/>
      <w:bookmarkEnd w:id="444"/>
      <w:r>
        <w:rPr/>
      </w:r>
      <w:r>
        <w:rPr>
          <w:i/>
          <w:sz w:val="24"/>
        </w:rPr>
        <w:t>Figure 7-15. Disassembled ECLT: (left) expanded metal plate; (right) 3-plt CLT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positioned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behind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expanded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metal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plate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shows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damage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from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metal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fracturing.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164"/>
        <w:ind w:left="440" w:right="417" w:firstLine="720"/>
        <w:jc w:val="both"/>
      </w:pPr>
      <w:r>
        <w:rPr/>
        <w:t>In contrast to the P900 plate, the three projectiles found in front of the metal plate</w:t>
      </w:r>
      <w:r>
        <w:rPr>
          <w:spacing w:val="1"/>
        </w:rPr>
        <w:t> </w:t>
      </w:r>
      <w:r>
        <w:rPr/>
        <w:t>did not coincide with the slowest striking velocities.</w:t>
      </w:r>
      <w:r>
        <w:rPr>
          <w:spacing w:val="1"/>
        </w:rPr>
        <w:t> </w:t>
      </w:r>
      <w:r>
        <w:rPr/>
        <w:t>Two other rounds fell free when the</w:t>
      </w:r>
      <w:r>
        <w:rPr>
          <w:spacing w:val="1"/>
        </w:rPr>
        <w:t> </w:t>
      </w:r>
      <w:r>
        <w:rPr/>
        <w:t>plate</w:t>
      </w:r>
      <w:r>
        <w:rPr>
          <w:spacing w:val="-2"/>
        </w:rPr>
        <w:t> </w:t>
      </w:r>
      <w:r>
        <w:rPr/>
        <w:t>was</w:t>
      </w:r>
      <w:r>
        <w:rPr>
          <w:spacing w:val="-2"/>
        </w:rPr>
        <w:t> </w:t>
      </w:r>
      <w:r>
        <w:rPr/>
        <w:t>removed</w:t>
      </w:r>
      <w:r>
        <w:rPr>
          <w:spacing w:val="-3"/>
        </w:rPr>
        <w:t> </w:t>
      </w:r>
      <w:r>
        <w:rPr/>
        <w:t>but</w:t>
      </w:r>
      <w:r>
        <w:rPr>
          <w:spacing w:val="-2"/>
        </w:rPr>
        <w:t> </w:t>
      </w:r>
      <w:r>
        <w:rPr/>
        <w:t>there</w:t>
      </w:r>
      <w:r>
        <w:rPr>
          <w:spacing w:val="-2"/>
        </w:rPr>
        <w:t> </w:t>
      </w:r>
      <w:r>
        <w:rPr/>
        <w:t>was</w:t>
      </w:r>
      <w:r>
        <w:rPr>
          <w:spacing w:val="-2"/>
        </w:rPr>
        <w:t> </w:t>
      </w:r>
      <w:r>
        <w:rPr/>
        <w:t>embedded</w:t>
      </w:r>
      <w:r>
        <w:rPr>
          <w:spacing w:val="-3"/>
        </w:rPr>
        <w:t> </w:t>
      </w:r>
      <w:r>
        <w:rPr/>
        <w:t>shrapnel</w:t>
      </w:r>
      <w:r>
        <w:rPr>
          <w:spacing w:val="-2"/>
        </w:rPr>
        <w:t> </w:t>
      </w:r>
      <w:r>
        <w:rPr/>
        <w:t>damage</w:t>
      </w:r>
      <w:r>
        <w:rPr>
          <w:spacing w:val="-2"/>
        </w:rPr>
        <w:t> </w:t>
      </w:r>
      <w:r>
        <w:rPr/>
        <w:t>from</w:t>
      </w:r>
      <w:r>
        <w:rPr>
          <w:spacing w:val="-5"/>
        </w:rPr>
        <w:t> </w:t>
      </w:r>
      <w:r>
        <w:rPr/>
        <w:t>those</w:t>
      </w:r>
      <w:r>
        <w:rPr>
          <w:spacing w:val="-1"/>
        </w:rPr>
        <w:t> </w:t>
      </w:r>
      <w:r>
        <w:rPr/>
        <w:t>shots,</w:t>
      </w:r>
      <w:r>
        <w:rPr>
          <w:spacing w:val="-3"/>
        </w:rPr>
        <w:t> </w:t>
      </w:r>
      <w:r>
        <w:rPr/>
        <w:t>which</w:t>
      </w:r>
      <w:r>
        <w:rPr>
          <w:spacing w:val="-4"/>
        </w:rPr>
        <w:t> </w:t>
      </w:r>
      <w:r>
        <w:rPr/>
        <w:t>was</w:t>
      </w:r>
      <w:r>
        <w:rPr>
          <w:spacing w:val="-57"/>
        </w:rPr>
        <w:t> </w:t>
      </w:r>
      <w:r>
        <w:rPr/>
        <w:t>measured for depth of penetration.</w:t>
      </w:r>
      <w:r>
        <w:rPr>
          <w:spacing w:val="1"/>
        </w:rPr>
        <w:t> </w:t>
      </w:r>
      <w:r>
        <w:rPr/>
        <w:t>One shot was noticeably deflected at an angle of</w:t>
      </w:r>
      <w:r>
        <w:rPr>
          <w:spacing w:val="1"/>
        </w:rPr>
        <w:t> </w:t>
      </w:r>
      <w:r>
        <w:rPr/>
        <w:t>approximately</w:t>
      </w:r>
      <w:r>
        <w:rPr>
          <w:spacing w:val="-2"/>
        </w:rPr>
        <w:t> </w:t>
      </w:r>
      <w:r>
        <w:rPr/>
        <w:t>45</w:t>
      </w:r>
      <w:r>
        <w:rPr>
          <w:spacing w:val="-1"/>
        </w:rPr>
        <w:t> </w:t>
      </w:r>
      <w:r>
        <w:rPr/>
        <w:t>degrees</w:t>
      </w:r>
      <w:r>
        <w:rPr>
          <w:spacing w:val="-1"/>
        </w:rPr>
        <w:t> </w:t>
      </w:r>
      <w:r>
        <w:rPr/>
        <w:t>from</w:t>
      </w:r>
      <w:r>
        <w:rPr>
          <w:spacing w:val="-4"/>
        </w:rPr>
        <w:t> </w:t>
      </w:r>
      <w:r>
        <w:rPr/>
        <w:t>the</w:t>
      </w:r>
      <w:r>
        <w:rPr>
          <w:spacing w:val="-1"/>
        </w:rPr>
        <w:t> </w:t>
      </w:r>
      <w:r>
        <w:rPr/>
        <w:t>initial</w:t>
      </w:r>
      <w:r>
        <w:rPr>
          <w:spacing w:val="-1"/>
        </w:rPr>
        <w:t> </w:t>
      </w:r>
      <w:r>
        <w:rPr/>
        <w:t>shot</w:t>
      </w:r>
      <w:r>
        <w:rPr>
          <w:spacing w:val="-2"/>
        </w:rPr>
        <w:t> </w:t>
      </w:r>
      <w:r>
        <w:rPr/>
        <w:t>trajectory</w:t>
      </w:r>
      <w:r>
        <w:rPr>
          <w:spacing w:val="-4"/>
        </w:rPr>
        <w:t> </w:t>
      </w:r>
      <w:r>
        <w:rPr/>
        <w:t>due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contact</w:t>
      </w:r>
      <w:r>
        <w:rPr>
          <w:spacing w:val="-2"/>
        </w:rPr>
        <w:t> </w:t>
      </w:r>
      <w:r>
        <w:rPr/>
        <w:t>with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expanded</w:t>
      </w:r>
      <w:r>
        <w:rPr>
          <w:spacing w:val="-58"/>
        </w:rPr>
        <w:t> </w:t>
      </w:r>
      <w:r>
        <w:rPr/>
        <w:t>metal.</w:t>
      </w:r>
      <w:r>
        <w:rPr>
          <w:spacing w:val="14"/>
        </w:rPr>
        <w:t> </w:t>
      </w:r>
      <w:r>
        <w:rPr/>
        <w:t>The</w:t>
      </w:r>
      <w:r>
        <w:rPr>
          <w:spacing w:val="5"/>
        </w:rPr>
        <w:t> </w:t>
      </w:r>
      <w:r>
        <w:rPr/>
        <w:t>angular</w:t>
      </w:r>
      <w:r>
        <w:rPr>
          <w:spacing w:val="5"/>
        </w:rPr>
        <w:t> </w:t>
      </w:r>
      <w:r>
        <w:rPr/>
        <w:t>surface</w:t>
      </w:r>
      <w:r>
        <w:rPr>
          <w:spacing w:val="6"/>
        </w:rPr>
        <w:t> </w:t>
      </w:r>
      <w:r>
        <w:rPr/>
        <w:t>of</w:t>
      </w:r>
      <w:r>
        <w:rPr>
          <w:spacing w:val="5"/>
        </w:rPr>
        <w:t> </w:t>
      </w:r>
      <w:r>
        <w:rPr/>
        <w:t>the</w:t>
      </w:r>
      <w:r>
        <w:rPr>
          <w:spacing w:val="5"/>
        </w:rPr>
        <w:t> </w:t>
      </w:r>
      <w:r>
        <w:rPr/>
        <w:t>expanded</w:t>
      </w:r>
      <w:r>
        <w:rPr>
          <w:spacing w:val="6"/>
        </w:rPr>
        <w:t> </w:t>
      </w:r>
      <w:r>
        <w:rPr/>
        <w:t>metal</w:t>
      </w:r>
      <w:r>
        <w:rPr>
          <w:spacing w:val="5"/>
        </w:rPr>
        <w:t> </w:t>
      </w:r>
      <w:r>
        <w:rPr/>
        <w:t>likely</w:t>
      </w:r>
      <w:r>
        <w:rPr>
          <w:spacing w:val="6"/>
        </w:rPr>
        <w:t> </w:t>
      </w:r>
      <w:r>
        <w:rPr/>
        <w:t>caused</w:t>
      </w:r>
      <w:r>
        <w:rPr>
          <w:spacing w:val="6"/>
        </w:rPr>
        <w:t> </w:t>
      </w:r>
      <w:r>
        <w:rPr/>
        <w:t>the</w:t>
      </w:r>
      <w:r>
        <w:rPr>
          <w:spacing w:val="5"/>
        </w:rPr>
        <w:t> </w:t>
      </w:r>
      <w:r>
        <w:rPr/>
        <w:t>diversion.</w:t>
      </w:r>
      <w:r>
        <w:rPr>
          <w:spacing w:val="12"/>
        </w:rPr>
        <w:t> </w:t>
      </w:r>
      <w:hyperlink w:history="true" w:anchor="_bookmark138">
        <w:r>
          <w:rPr/>
          <w:t>Table</w:t>
        </w:r>
        <w:r>
          <w:rPr>
            <w:spacing w:val="7"/>
          </w:rPr>
          <w:t> </w:t>
        </w:r>
        <w:r>
          <w:rPr/>
          <w:t>7-3</w:t>
        </w:r>
      </w:hyperlink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40" w:right="419"/>
        <w:jc w:val="both"/>
      </w:pPr>
      <w:r>
        <w:rPr/>
        <w:t>shows the details of the eight test shots on the expanded metal specimen.</w:t>
      </w:r>
      <w:r>
        <w:rPr>
          <w:spacing w:val="1"/>
        </w:rPr>
        <w:t> </w:t>
      </w:r>
      <w:hyperlink w:history="true" w:anchor="_bookmark139">
        <w:r>
          <w:rPr/>
          <w:t>Figure 7-16</w:t>
        </w:r>
      </w:hyperlink>
      <w:r>
        <w:rPr>
          <w:spacing w:val="1"/>
        </w:rPr>
        <w:t> </w:t>
      </w:r>
      <w:r>
        <w:rPr/>
        <w:t>shows a close-up view of the damage to the expanded metal plate and the CLT behind it</w:t>
      </w:r>
      <w:r>
        <w:rPr>
          <w:spacing w:val="1"/>
        </w:rPr>
        <w:t> </w:t>
      </w:r>
      <w:r>
        <w:rPr/>
        <w:t>for</w:t>
      </w:r>
      <w:r>
        <w:rPr>
          <w:spacing w:val="-1"/>
        </w:rPr>
        <w:t> </w:t>
      </w:r>
      <w:r>
        <w:rPr/>
        <w:t>all eight</w:t>
      </w:r>
      <w:r>
        <w:rPr>
          <w:spacing w:val="-1"/>
        </w:rPr>
        <w:t> </w:t>
      </w:r>
      <w:r>
        <w:rPr/>
        <w:t>shots.</w:t>
      </w:r>
    </w:p>
    <w:p>
      <w:pPr>
        <w:pStyle w:val="BodyText"/>
        <w:spacing w:line="480" w:lineRule="auto" w:before="159"/>
        <w:ind w:left="439" w:right="417" w:firstLine="720"/>
        <w:jc w:val="both"/>
      </w:pPr>
      <w:r>
        <w:rPr/>
        <w:t>Minor damage to the spherical projectile was observed on several of the non-</w:t>
      </w:r>
      <w:r>
        <w:rPr>
          <w:spacing w:val="1"/>
        </w:rPr>
        <w:t> </w:t>
      </w:r>
      <w:r>
        <w:rPr/>
        <w:t>embedded rounds, as shown in </w:t>
      </w:r>
      <w:hyperlink w:history="true" w:anchor="_bookmark140">
        <w:r>
          <w:rPr/>
          <w:t>Figure 7-17</w:t>
        </w:r>
      </w:hyperlink>
      <w:r>
        <w:rPr/>
        <w:t>.</w:t>
      </w:r>
      <w:r>
        <w:rPr>
          <w:spacing w:val="1"/>
        </w:rPr>
        <w:t> </w:t>
      </w:r>
      <w:r>
        <w:rPr/>
        <w:t>This, combined with the brittle fracturing of</w:t>
      </w:r>
      <w:r>
        <w:rPr>
          <w:spacing w:val="1"/>
        </w:rPr>
        <w:t> </w:t>
      </w:r>
      <w:r>
        <w:rPr/>
        <w:t>the expanded metal, are caused by the hardness of the metal.</w:t>
      </w:r>
      <w:r>
        <w:rPr>
          <w:spacing w:val="1"/>
        </w:rPr>
        <w:t> </w:t>
      </w:r>
      <w:r>
        <w:rPr/>
        <w:t>This perforated product, in</w:t>
      </w:r>
      <w:r>
        <w:rPr>
          <w:spacing w:val="1"/>
        </w:rPr>
        <w:t> </w:t>
      </w:r>
      <w:r>
        <w:rPr/>
        <w:t>contrast to the P900, was likely heat-treated for increased hardness.</w:t>
      </w:r>
      <w:r>
        <w:rPr>
          <w:spacing w:val="1"/>
        </w:rPr>
        <w:t> </w:t>
      </w:r>
      <w:r>
        <w:rPr/>
        <w:t>The hardness of the</w:t>
      </w:r>
      <w:r>
        <w:rPr>
          <w:spacing w:val="1"/>
        </w:rPr>
        <w:t> </w:t>
      </w:r>
      <w:r>
        <w:rPr/>
        <w:t>spheres</w:t>
      </w:r>
      <w:r>
        <w:rPr>
          <w:spacing w:val="4"/>
        </w:rPr>
        <w:t> </w:t>
      </w:r>
      <w:r>
        <w:rPr/>
        <w:t>was</w:t>
      </w:r>
      <w:r>
        <w:rPr>
          <w:spacing w:val="4"/>
        </w:rPr>
        <w:t> </w:t>
      </w:r>
      <w:r>
        <w:rPr/>
        <w:t>given</w:t>
      </w:r>
      <w:r>
        <w:rPr>
          <w:spacing w:val="5"/>
        </w:rPr>
        <w:t> </w:t>
      </w:r>
      <w:r>
        <w:rPr/>
        <w:t>by</w:t>
      </w:r>
      <w:r>
        <w:rPr>
          <w:spacing w:val="3"/>
        </w:rPr>
        <w:t> </w:t>
      </w:r>
      <w:r>
        <w:rPr/>
        <w:t>the</w:t>
      </w:r>
      <w:r>
        <w:rPr>
          <w:spacing w:val="4"/>
        </w:rPr>
        <w:t> </w:t>
      </w:r>
      <w:r>
        <w:rPr/>
        <w:t>seller</w:t>
      </w:r>
      <w:r>
        <w:rPr>
          <w:spacing w:val="4"/>
        </w:rPr>
        <w:t> </w:t>
      </w:r>
      <w:r>
        <w:rPr/>
        <w:t>as</w:t>
      </w:r>
      <w:r>
        <w:rPr>
          <w:spacing w:val="4"/>
        </w:rPr>
        <w:t> </w:t>
      </w:r>
      <w:r>
        <w:rPr/>
        <w:t>Rockwell</w:t>
      </w:r>
      <w:r>
        <w:rPr>
          <w:spacing w:val="6"/>
        </w:rPr>
        <w:t> </w:t>
      </w:r>
      <w:r>
        <w:rPr/>
        <w:t>C55,</w:t>
      </w:r>
      <w:r>
        <w:rPr>
          <w:spacing w:val="3"/>
        </w:rPr>
        <w:t> </w:t>
      </w:r>
      <w:r>
        <w:rPr/>
        <w:t>which</w:t>
      </w:r>
      <w:r>
        <w:rPr>
          <w:spacing w:val="5"/>
        </w:rPr>
        <w:t> </w:t>
      </w:r>
      <w:r>
        <w:rPr/>
        <w:t>converts</w:t>
      </w:r>
      <w:r>
        <w:rPr>
          <w:spacing w:val="4"/>
        </w:rPr>
        <w:t> </w:t>
      </w:r>
      <w:r>
        <w:rPr/>
        <w:t>to</w:t>
      </w:r>
      <w:r>
        <w:rPr>
          <w:spacing w:val="3"/>
        </w:rPr>
        <w:t> </w:t>
      </w:r>
      <w:r>
        <w:rPr/>
        <w:t>a</w:t>
      </w:r>
      <w:r>
        <w:rPr>
          <w:spacing w:val="5"/>
        </w:rPr>
        <w:t> </w:t>
      </w:r>
      <w:r>
        <w:rPr/>
        <w:t>Brinell</w:t>
      </w:r>
      <w:r>
        <w:rPr>
          <w:spacing w:val="4"/>
        </w:rPr>
        <w:t> </w:t>
      </w:r>
      <w:r>
        <w:rPr/>
        <w:t>hardness</w:t>
      </w:r>
      <w:r>
        <w:rPr>
          <w:spacing w:val="5"/>
        </w:rPr>
        <w:t> </w:t>
      </w:r>
      <w:r>
        <w:rPr/>
        <w:t>of</w:t>
      </w:r>
    </w:p>
    <w:p>
      <w:pPr>
        <w:pStyle w:val="BodyText"/>
        <w:spacing w:line="480" w:lineRule="auto" w:before="1"/>
        <w:ind w:left="439" w:right="418"/>
        <w:jc w:val="both"/>
      </w:pPr>
      <w:r>
        <w:rPr>
          <w:spacing w:val="-1"/>
        </w:rPr>
        <w:t>560.</w:t>
      </w:r>
      <w:r>
        <w:rPr>
          <w:spacing w:val="31"/>
        </w:rPr>
        <w:t> </w:t>
      </w:r>
      <w:r>
        <w:rPr>
          <w:spacing w:val="-1"/>
        </w:rPr>
        <w:t>The</w:t>
      </w:r>
      <w:r>
        <w:rPr>
          <w:spacing w:val="-15"/>
        </w:rPr>
        <w:t> </w:t>
      </w:r>
      <w:r>
        <w:rPr>
          <w:spacing w:val="-1"/>
        </w:rPr>
        <w:t>metal</w:t>
      </w:r>
      <w:r>
        <w:rPr>
          <w:spacing w:val="-16"/>
        </w:rPr>
        <w:t> </w:t>
      </w:r>
      <w:r>
        <w:rPr>
          <w:spacing w:val="-1"/>
        </w:rPr>
        <w:t>in</w:t>
      </w:r>
      <w:r>
        <w:rPr>
          <w:spacing w:val="-15"/>
        </w:rPr>
        <w:t> </w:t>
      </w:r>
      <w:r>
        <w:rPr>
          <w:spacing w:val="-1"/>
        </w:rPr>
        <w:t>the</w:t>
      </w:r>
      <w:r>
        <w:rPr>
          <w:spacing w:val="-15"/>
        </w:rPr>
        <w:t> </w:t>
      </w:r>
      <w:r>
        <w:rPr/>
        <w:t>expanded</w:t>
      </w:r>
      <w:r>
        <w:rPr>
          <w:spacing w:val="-15"/>
        </w:rPr>
        <w:t> </w:t>
      </w:r>
      <w:r>
        <w:rPr/>
        <w:t>product</w:t>
      </w:r>
      <w:r>
        <w:rPr>
          <w:spacing w:val="-14"/>
        </w:rPr>
        <w:t> </w:t>
      </w:r>
      <w:r>
        <w:rPr/>
        <w:t>may</w:t>
      </w:r>
      <w:r>
        <w:rPr>
          <w:spacing w:val="-15"/>
        </w:rPr>
        <w:t> </w:t>
      </w:r>
      <w:r>
        <w:rPr/>
        <w:t>have</w:t>
      </w:r>
      <w:r>
        <w:rPr>
          <w:spacing w:val="-15"/>
        </w:rPr>
        <w:t> </w:t>
      </w:r>
      <w:r>
        <w:rPr/>
        <w:t>been</w:t>
      </w:r>
      <w:r>
        <w:rPr>
          <w:spacing w:val="-15"/>
        </w:rPr>
        <w:t> </w:t>
      </w:r>
      <w:r>
        <w:rPr/>
        <w:t>a</w:t>
      </w:r>
      <w:r>
        <w:rPr>
          <w:spacing w:val="-15"/>
        </w:rPr>
        <w:t> </w:t>
      </w:r>
      <w:r>
        <w:rPr/>
        <w:t>high-hard</w:t>
      </w:r>
      <w:r>
        <w:rPr>
          <w:spacing w:val="-15"/>
        </w:rPr>
        <w:t> </w:t>
      </w:r>
      <w:r>
        <w:rPr/>
        <w:t>steel</w:t>
      </w:r>
      <w:r>
        <w:rPr>
          <w:spacing w:val="-14"/>
        </w:rPr>
        <w:t> </w:t>
      </w:r>
      <w:r>
        <w:rPr/>
        <w:t>with</w:t>
      </w:r>
      <w:r>
        <w:rPr>
          <w:spacing w:val="-15"/>
        </w:rPr>
        <w:t> </w:t>
      </w:r>
      <w:r>
        <w:rPr/>
        <w:t>an</w:t>
      </w:r>
      <w:r>
        <w:rPr>
          <w:spacing w:val="-15"/>
        </w:rPr>
        <w:t> </w:t>
      </w:r>
      <w:r>
        <w:rPr/>
        <w:t>equivalent</w:t>
      </w:r>
      <w:r>
        <w:rPr>
          <w:spacing w:val="-57"/>
        </w:rPr>
        <w:t> </w:t>
      </w:r>
      <w:r>
        <w:rPr/>
        <w:t>or higher hardness value.</w:t>
      </w:r>
      <w:r>
        <w:rPr>
          <w:spacing w:val="1"/>
        </w:rPr>
        <w:t> </w:t>
      </w:r>
      <w:r>
        <w:rPr/>
        <w:t>In general, the projectiles that made it past the expanded metal</w:t>
      </w:r>
      <w:r>
        <w:rPr>
          <w:spacing w:val="1"/>
        </w:rPr>
        <w:t> </w:t>
      </w:r>
      <w:r>
        <w:rPr/>
        <w:t>layer were not embedded deeply.</w:t>
      </w:r>
      <w:r>
        <w:rPr>
          <w:spacing w:val="1"/>
        </w:rPr>
        <w:t> </w:t>
      </w:r>
      <w:r>
        <w:rPr/>
        <w:t>The embedded projectiles can be observed in a few of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close-ups in </w:t>
      </w:r>
      <w:hyperlink w:history="true" w:anchor="_bookmark139">
        <w:r>
          <w:rPr/>
          <w:t>Figure 7-16</w:t>
        </w:r>
      </w:hyperlink>
      <w:r>
        <w:rPr/>
        <w:t>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spacing w:before="231"/>
        <w:ind w:left="440" w:right="0" w:firstLine="0"/>
        <w:jc w:val="both"/>
        <w:rPr>
          <w:i/>
          <w:sz w:val="24"/>
        </w:rPr>
      </w:pPr>
      <w:bookmarkStart w:name="_bookmark138" w:id="445"/>
      <w:bookmarkEnd w:id="445"/>
      <w:r>
        <w:rPr/>
      </w:r>
      <w:r>
        <w:rPr>
          <w:i/>
          <w:sz w:val="24"/>
        </w:rPr>
        <w:t>Table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7-3.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Details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test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shots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on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expanded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metal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plate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ECLT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specimen.</w:t>
      </w:r>
    </w:p>
    <w:p>
      <w:pPr>
        <w:pStyle w:val="BodyText"/>
        <w:spacing w:before="4" w:after="1"/>
        <w:rPr>
          <w:i/>
          <w:sz w:val="17"/>
        </w:rPr>
      </w:pPr>
    </w:p>
    <w:tbl>
      <w:tblPr>
        <w:tblW w:w="0" w:type="auto"/>
        <w:jc w:val="left"/>
        <w:tblInd w:w="46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90"/>
        <w:gridCol w:w="1064"/>
        <w:gridCol w:w="973"/>
        <w:gridCol w:w="1601"/>
        <w:gridCol w:w="1218"/>
        <w:gridCol w:w="2164"/>
      </w:tblGrid>
      <w:tr>
        <w:trPr>
          <w:trHeight w:val="1265" w:hRule="atLeast"/>
        </w:trPr>
        <w:tc>
          <w:tcPr>
            <w:tcW w:w="1790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DADAD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line="234" w:lineRule="exact" w:before="183"/>
              <w:ind w:left="228"/>
              <w:rPr>
                <w:sz w:val="22"/>
              </w:rPr>
            </w:pPr>
            <w:r>
              <w:rPr>
                <w:sz w:val="22"/>
              </w:rPr>
              <w:t>Specimen/Shot</w:t>
            </w:r>
          </w:p>
        </w:tc>
        <w:tc>
          <w:tcPr>
            <w:tcW w:w="106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DAD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1"/>
              <w:rPr>
                <w:i/>
                <w:sz w:val="19"/>
              </w:rPr>
            </w:pPr>
          </w:p>
          <w:p>
            <w:pPr>
              <w:pStyle w:val="TableParagraph"/>
              <w:ind w:left="157" w:right="135" w:hanging="2"/>
              <w:jc w:val="center"/>
              <w:rPr>
                <w:sz w:val="22"/>
              </w:rPr>
            </w:pPr>
            <w:r>
              <w:rPr>
                <w:sz w:val="22"/>
              </w:rPr>
              <w:t>v</w:t>
            </w:r>
            <w:r>
              <w:rPr>
                <w:sz w:val="22"/>
                <w:vertAlign w:val="subscript"/>
              </w:rPr>
              <w:t>s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(chrono)</w:t>
            </w:r>
          </w:p>
          <w:p>
            <w:pPr>
              <w:pStyle w:val="TableParagraph"/>
              <w:spacing w:line="234" w:lineRule="exact"/>
              <w:ind w:left="151" w:right="133"/>
              <w:jc w:val="center"/>
              <w:rPr>
                <w:sz w:val="22"/>
              </w:rPr>
            </w:pPr>
            <w:r>
              <w:rPr>
                <w:sz w:val="22"/>
              </w:rPr>
              <w:t>(fps)</w:t>
            </w:r>
          </w:p>
        </w:tc>
        <w:tc>
          <w:tcPr>
            <w:tcW w:w="97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DAD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1"/>
              <w:rPr>
                <w:i/>
                <w:sz w:val="19"/>
              </w:rPr>
            </w:pPr>
          </w:p>
          <w:p>
            <w:pPr>
              <w:pStyle w:val="TableParagraph"/>
              <w:ind w:left="113" w:right="88" w:hanging="2"/>
              <w:jc w:val="center"/>
              <w:rPr>
                <w:sz w:val="22"/>
              </w:rPr>
            </w:pPr>
            <w:r>
              <w:rPr>
                <w:sz w:val="22"/>
              </w:rPr>
              <w:t>v</w:t>
            </w:r>
            <w:r>
              <w:rPr>
                <w:sz w:val="22"/>
                <w:vertAlign w:val="subscript"/>
              </w:rPr>
              <w:t>s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(chrono)</w:t>
            </w:r>
          </w:p>
          <w:p>
            <w:pPr>
              <w:pStyle w:val="TableParagraph"/>
              <w:spacing w:line="234" w:lineRule="exact"/>
              <w:ind w:left="219" w:right="200"/>
              <w:jc w:val="center"/>
              <w:rPr>
                <w:sz w:val="22"/>
              </w:rPr>
            </w:pPr>
            <w:r>
              <w:rPr>
                <w:sz w:val="22"/>
              </w:rPr>
              <w:t>(m/s)</w:t>
            </w:r>
          </w:p>
        </w:tc>
        <w:tc>
          <w:tcPr>
            <w:tcW w:w="160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DADA"/>
          </w:tcPr>
          <w:p>
            <w:pPr>
              <w:pStyle w:val="TableParagraph"/>
              <w:ind w:left="152" w:right="130" w:hanging="2"/>
              <w:jc w:val="center"/>
              <w:rPr>
                <w:sz w:val="22"/>
              </w:rPr>
            </w:pPr>
            <w:r>
              <w:rPr>
                <w:sz w:val="22"/>
              </w:rPr>
              <w:t>Partial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Penetration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1"/>
                <w:sz w:val="22"/>
              </w:rPr>
              <w:t>(PP)/Complete</w:t>
            </w:r>
          </w:p>
          <w:p>
            <w:pPr>
              <w:pStyle w:val="TableParagraph"/>
              <w:spacing w:line="254" w:lineRule="exact"/>
              <w:ind w:left="148" w:right="127"/>
              <w:jc w:val="center"/>
              <w:rPr>
                <w:sz w:val="22"/>
              </w:rPr>
            </w:pPr>
            <w:r>
              <w:rPr>
                <w:spacing w:val="-1"/>
                <w:sz w:val="22"/>
              </w:rPr>
              <w:t>Penetration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(CP)</w:t>
            </w:r>
          </w:p>
        </w:tc>
        <w:tc>
          <w:tcPr>
            <w:tcW w:w="12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DADA"/>
          </w:tcPr>
          <w:p>
            <w:pPr>
              <w:pStyle w:val="TableParagraph"/>
              <w:spacing w:before="11"/>
              <w:rPr>
                <w:i/>
                <w:sz w:val="21"/>
              </w:rPr>
            </w:pPr>
          </w:p>
          <w:p>
            <w:pPr>
              <w:pStyle w:val="TableParagraph"/>
              <w:ind w:left="113" w:right="91" w:firstLine="53"/>
              <w:jc w:val="center"/>
              <w:rPr>
                <w:sz w:val="22"/>
              </w:rPr>
            </w:pPr>
            <w:r>
              <w:rPr>
                <w:sz w:val="22"/>
              </w:rPr>
              <w:t>Measured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Depth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of</w:t>
            </w:r>
          </w:p>
          <w:p>
            <w:pPr>
              <w:pStyle w:val="TableParagraph"/>
              <w:spacing w:line="254" w:lineRule="exact"/>
              <w:ind w:left="113" w:right="91"/>
              <w:jc w:val="center"/>
              <w:rPr>
                <w:sz w:val="22"/>
              </w:rPr>
            </w:pPr>
            <w:r>
              <w:rPr>
                <w:spacing w:val="-1"/>
                <w:sz w:val="22"/>
              </w:rPr>
              <w:t>Penetration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(T</w:t>
            </w:r>
            <w:r>
              <w:rPr>
                <w:sz w:val="22"/>
                <w:vertAlign w:val="subscript"/>
              </w:rPr>
              <w:t>w</w:t>
            </w:r>
            <w:r>
              <w:rPr>
                <w:sz w:val="22"/>
                <w:vertAlign w:val="baseline"/>
              </w:rPr>
              <w:t>)</w:t>
            </w:r>
            <w:r>
              <w:rPr>
                <w:spacing w:val="-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(in)</w:t>
            </w:r>
          </w:p>
        </w:tc>
        <w:tc>
          <w:tcPr>
            <w:tcW w:w="216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DADAD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line="250" w:lineRule="atLeast" w:before="187"/>
              <w:ind w:left="327" w:right="90" w:hanging="194"/>
              <w:rPr>
                <w:sz w:val="22"/>
              </w:rPr>
            </w:pPr>
            <w:r>
              <w:rPr>
                <w:sz w:val="22"/>
              </w:rPr>
              <w:t>Location of projectile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(upon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dissection)</w:t>
            </w:r>
          </w:p>
        </w:tc>
      </w:tr>
      <w:tr>
        <w:trPr>
          <w:trHeight w:val="287" w:hRule="atLeast"/>
        </w:trPr>
        <w:tc>
          <w:tcPr>
            <w:tcW w:w="179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4"/>
              <w:ind w:right="91"/>
              <w:jc w:val="right"/>
              <w:rPr>
                <w:sz w:val="22"/>
              </w:rPr>
            </w:pPr>
            <w:r>
              <w:rPr>
                <w:sz w:val="22"/>
              </w:rPr>
              <w:t>E-PM-2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1</w:t>
            </w:r>
          </w:p>
        </w:tc>
        <w:tc>
          <w:tcPr>
            <w:tcW w:w="10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4"/>
              <w:ind w:left="289"/>
              <w:rPr>
                <w:sz w:val="22"/>
              </w:rPr>
            </w:pPr>
            <w:r>
              <w:rPr>
                <w:sz w:val="22"/>
              </w:rPr>
              <w:t>2,524</w:t>
            </w:r>
          </w:p>
        </w:tc>
        <w:tc>
          <w:tcPr>
            <w:tcW w:w="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4"/>
              <w:ind w:left="219" w:right="197"/>
              <w:jc w:val="center"/>
              <w:rPr>
                <w:sz w:val="22"/>
              </w:rPr>
            </w:pPr>
            <w:r>
              <w:rPr>
                <w:sz w:val="22"/>
              </w:rPr>
              <w:t>769</w:t>
            </w:r>
          </w:p>
        </w:tc>
        <w:tc>
          <w:tcPr>
            <w:tcW w:w="1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4"/>
              <w:ind w:left="682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4"/>
              <w:ind w:left="111" w:right="91"/>
              <w:jc w:val="center"/>
              <w:rPr>
                <w:sz w:val="22"/>
              </w:rPr>
            </w:pPr>
            <w:r>
              <w:rPr>
                <w:sz w:val="22"/>
              </w:rPr>
              <w:t>3.656</w:t>
            </w:r>
          </w:p>
        </w:tc>
        <w:tc>
          <w:tcPr>
            <w:tcW w:w="2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2" w:lineRule="exact" w:before="16"/>
              <w:ind w:left="113"/>
              <w:rPr>
                <w:sz w:val="22"/>
              </w:rPr>
            </w:pPr>
            <w:r>
              <w:rPr>
                <w:sz w:val="22"/>
              </w:rPr>
              <w:t>0.406-in.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3-ply</w:t>
            </w:r>
          </w:p>
        </w:tc>
      </w:tr>
      <w:tr>
        <w:trPr>
          <w:trHeight w:val="290" w:hRule="atLeast"/>
        </w:trPr>
        <w:tc>
          <w:tcPr>
            <w:tcW w:w="179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91"/>
              <w:jc w:val="right"/>
              <w:rPr>
                <w:sz w:val="22"/>
              </w:rPr>
            </w:pPr>
            <w:r>
              <w:rPr>
                <w:sz w:val="22"/>
              </w:rPr>
              <w:t>E-PM-2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2</w:t>
            </w:r>
          </w:p>
        </w:tc>
        <w:tc>
          <w:tcPr>
            <w:tcW w:w="10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289"/>
              <w:rPr>
                <w:sz w:val="22"/>
              </w:rPr>
            </w:pPr>
            <w:r>
              <w:rPr>
                <w:sz w:val="22"/>
              </w:rPr>
              <w:t>2,555</w:t>
            </w:r>
          </w:p>
        </w:tc>
        <w:tc>
          <w:tcPr>
            <w:tcW w:w="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219" w:right="197"/>
              <w:jc w:val="center"/>
              <w:rPr>
                <w:sz w:val="22"/>
              </w:rPr>
            </w:pPr>
            <w:r>
              <w:rPr>
                <w:sz w:val="22"/>
              </w:rPr>
              <w:t>779</w:t>
            </w:r>
          </w:p>
        </w:tc>
        <w:tc>
          <w:tcPr>
            <w:tcW w:w="1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682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111" w:right="91"/>
              <w:jc w:val="center"/>
              <w:rPr>
                <w:sz w:val="22"/>
              </w:rPr>
            </w:pPr>
            <w:r>
              <w:rPr>
                <w:sz w:val="22"/>
              </w:rPr>
              <w:t>3.750</w:t>
            </w:r>
          </w:p>
        </w:tc>
        <w:tc>
          <w:tcPr>
            <w:tcW w:w="2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2" w:lineRule="exact" w:before="17"/>
              <w:ind w:left="113"/>
              <w:rPr>
                <w:sz w:val="22"/>
              </w:rPr>
            </w:pPr>
            <w:r>
              <w:rPr>
                <w:sz w:val="22"/>
              </w:rPr>
              <w:t>0.500-in.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3-ply</w:t>
            </w:r>
          </w:p>
        </w:tc>
      </w:tr>
      <w:tr>
        <w:trPr>
          <w:trHeight w:val="505" w:hRule="atLeast"/>
        </w:trPr>
        <w:tc>
          <w:tcPr>
            <w:tcW w:w="179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spacing w:line="234" w:lineRule="exact"/>
              <w:ind w:right="91"/>
              <w:jc w:val="right"/>
              <w:rPr>
                <w:sz w:val="22"/>
              </w:rPr>
            </w:pPr>
            <w:r>
              <w:rPr>
                <w:sz w:val="22"/>
              </w:rPr>
              <w:t>E-PM-2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3</w:t>
            </w:r>
          </w:p>
        </w:tc>
        <w:tc>
          <w:tcPr>
            <w:tcW w:w="10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spacing w:line="234" w:lineRule="exact"/>
              <w:ind w:left="289"/>
              <w:rPr>
                <w:sz w:val="22"/>
              </w:rPr>
            </w:pPr>
            <w:r>
              <w:rPr>
                <w:sz w:val="22"/>
              </w:rPr>
              <w:t>2,520</w:t>
            </w:r>
          </w:p>
        </w:tc>
        <w:tc>
          <w:tcPr>
            <w:tcW w:w="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spacing w:line="234" w:lineRule="exact"/>
              <w:ind w:left="219" w:right="197"/>
              <w:jc w:val="center"/>
              <w:rPr>
                <w:sz w:val="22"/>
              </w:rPr>
            </w:pPr>
            <w:r>
              <w:rPr>
                <w:sz w:val="22"/>
              </w:rPr>
              <w:t>768</w:t>
            </w:r>
          </w:p>
        </w:tc>
        <w:tc>
          <w:tcPr>
            <w:tcW w:w="1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spacing w:line="234" w:lineRule="exact"/>
              <w:ind w:left="682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spacing w:line="234" w:lineRule="exact"/>
              <w:ind w:left="111" w:right="91"/>
              <w:jc w:val="center"/>
              <w:rPr>
                <w:sz w:val="22"/>
              </w:rPr>
            </w:pPr>
            <w:r>
              <w:rPr>
                <w:sz w:val="22"/>
              </w:rPr>
              <w:t>4.531</w:t>
            </w:r>
          </w:p>
        </w:tc>
        <w:tc>
          <w:tcPr>
            <w:tcW w:w="2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4" w:lineRule="exact"/>
              <w:ind w:left="113" w:right="94"/>
              <w:rPr>
                <w:sz w:val="22"/>
              </w:rPr>
            </w:pPr>
            <w:r>
              <w:rPr>
                <w:sz w:val="22"/>
              </w:rPr>
              <w:t>1.281-in. in 3-ply,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angled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45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degrees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left</w:t>
            </w:r>
          </w:p>
        </w:tc>
      </w:tr>
      <w:tr>
        <w:trPr>
          <w:trHeight w:val="287" w:hRule="atLeast"/>
        </w:trPr>
        <w:tc>
          <w:tcPr>
            <w:tcW w:w="179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3"/>
              <w:ind w:right="91"/>
              <w:jc w:val="right"/>
              <w:rPr>
                <w:sz w:val="22"/>
              </w:rPr>
            </w:pPr>
            <w:r>
              <w:rPr>
                <w:sz w:val="22"/>
              </w:rPr>
              <w:t>E-PM-2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4</w:t>
            </w:r>
          </w:p>
        </w:tc>
        <w:tc>
          <w:tcPr>
            <w:tcW w:w="10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3"/>
              <w:ind w:left="289"/>
              <w:rPr>
                <w:sz w:val="22"/>
              </w:rPr>
            </w:pPr>
            <w:r>
              <w:rPr>
                <w:sz w:val="22"/>
              </w:rPr>
              <w:t>2,635</w:t>
            </w:r>
          </w:p>
        </w:tc>
        <w:tc>
          <w:tcPr>
            <w:tcW w:w="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3"/>
              <w:ind w:left="219" w:right="197"/>
              <w:jc w:val="center"/>
              <w:rPr>
                <w:sz w:val="22"/>
              </w:rPr>
            </w:pPr>
            <w:r>
              <w:rPr>
                <w:sz w:val="22"/>
              </w:rPr>
              <w:t>803</w:t>
            </w:r>
          </w:p>
        </w:tc>
        <w:tc>
          <w:tcPr>
            <w:tcW w:w="1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3"/>
              <w:ind w:left="682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3"/>
              <w:ind w:left="111" w:right="91"/>
              <w:jc w:val="center"/>
              <w:rPr>
                <w:sz w:val="22"/>
              </w:rPr>
            </w:pPr>
            <w:r>
              <w:rPr>
                <w:sz w:val="22"/>
              </w:rPr>
              <w:t>2.750</w:t>
            </w:r>
          </w:p>
        </w:tc>
        <w:tc>
          <w:tcPr>
            <w:tcW w:w="2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2" w:lineRule="exact" w:before="15"/>
              <w:ind w:left="113"/>
              <w:rPr>
                <w:sz w:val="22"/>
              </w:rPr>
            </w:pPr>
            <w:r>
              <w:rPr>
                <w:sz w:val="22"/>
              </w:rPr>
              <w:t>in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front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plate</w:t>
            </w:r>
          </w:p>
        </w:tc>
      </w:tr>
      <w:tr>
        <w:trPr>
          <w:trHeight w:val="290" w:hRule="atLeast"/>
        </w:trPr>
        <w:tc>
          <w:tcPr>
            <w:tcW w:w="179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91"/>
              <w:jc w:val="right"/>
              <w:rPr>
                <w:sz w:val="22"/>
              </w:rPr>
            </w:pPr>
            <w:r>
              <w:rPr>
                <w:sz w:val="22"/>
              </w:rPr>
              <w:t>E-PM-2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5</w:t>
            </w:r>
          </w:p>
        </w:tc>
        <w:tc>
          <w:tcPr>
            <w:tcW w:w="10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289"/>
              <w:rPr>
                <w:sz w:val="22"/>
              </w:rPr>
            </w:pPr>
            <w:r>
              <w:rPr>
                <w:sz w:val="22"/>
              </w:rPr>
              <w:t>2,569</w:t>
            </w:r>
          </w:p>
        </w:tc>
        <w:tc>
          <w:tcPr>
            <w:tcW w:w="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219" w:right="197"/>
              <w:jc w:val="center"/>
              <w:rPr>
                <w:sz w:val="22"/>
              </w:rPr>
            </w:pPr>
            <w:r>
              <w:rPr>
                <w:sz w:val="22"/>
              </w:rPr>
              <w:t>783</w:t>
            </w:r>
          </w:p>
        </w:tc>
        <w:tc>
          <w:tcPr>
            <w:tcW w:w="1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682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111" w:right="91"/>
              <w:jc w:val="center"/>
              <w:rPr>
                <w:sz w:val="22"/>
              </w:rPr>
            </w:pPr>
            <w:r>
              <w:rPr>
                <w:sz w:val="22"/>
              </w:rPr>
              <w:t>2.750</w:t>
            </w:r>
          </w:p>
        </w:tc>
        <w:tc>
          <w:tcPr>
            <w:tcW w:w="2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2" w:lineRule="exact" w:before="17"/>
              <w:ind w:left="113"/>
              <w:rPr>
                <w:sz w:val="22"/>
              </w:rPr>
            </w:pPr>
            <w:r>
              <w:rPr>
                <w:sz w:val="22"/>
              </w:rPr>
              <w:t>in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front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plate</w:t>
            </w:r>
          </w:p>
        </w:tc>
      </w:tr>
      <w:tr>
        <w:trPr>
          <w:trHeight w:val="290" w:hRule="atLeast"/>
        </w:trPr>
        <w:tc>
          <w:tcPr>
            <w:tcW w:w="179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91"/>
              <w:jc w:val="right"/>
              <w:rPr>
                <w:sz w:val="22"/>
              </w:rPr>
            </w:pPr>
            <w:r>
              <w:rPr>
                <w:sz w:val="22"/>
              </w:rPr>
              <w:t>E-PM-2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6</w:t>
            </w:r>
          </w:p>
        </w:tc>
        <w:tc>
          <w:tcPr>
            <w:tcW w:w="10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289"/>
              <w:rPr>
                <w:sz w:val="22"/>
              </w:rPr>
            </w:pPr>
            <w:r>
              <w:rPr>
                <w:sz w:val="22"/>
              </w:rPr>
              <w:t>2,503</w:t>
            </w:r>
          </w:p>
        </w:tc>
        <w:tc>
          <w:tcPr>
            <w:tcW w:w="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219" w:right="197"/>
              <w:jc w:val="center"/>
              <w:rPr>
                <w:sz w:val="22"/>
              </w:rPr>
            </w:pPr>
            <w:r>
              <w:rPr>
                <w:sz w:val="22"/>
              </w:rPr>
              <w:t>763</w:t>
            </w:r>
          </w:p>
        </w:tc>
        <w:tc>
          <w:tcPr>
            <w:tcW w:w="1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682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111" w:right="91"/>
              <w:jc w:val="center"/>
              <w:rPr>
                <w:sz w:val="22"/>
              </w:rPr>
            </w:pPr>
            <w:r>
              <w:rPr>
                <w:sz w:val="22"/>
              </w:rPr>
              <w:t>2.750</w:t>
            </w:r>
          </w:p>
        </w:tc>
        <w:tc>
          <w:tcPr>
            <w:tcW w:w="2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2" w:lineRule="exact" w:before="17"/>
              <w:ind w:left="113"/>
              <w:rPr>
                <w:sz w:val="22"/>
              </w:rPr>
            </w:pPr>
            <w:r>
              <w:rPr>
                <w:sz w:val="22"/>
              </w:rPr>
              <w:t>in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front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plate</w:t>
            </w:r>
          </w:p>
        </w:tc>
      </w:tr>
      <w:tr>
        <w:trPr>
          <w:trHeight w:val="759" w:hRule="atLeast"/>
        </w:trPr>
        <w:tc>
          <w:tcPr>
            <w:tcW w:w="179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ind w:right="91"/>
              <w:jc w:val="right"/>
              <w:rPr>
                <w:sz w:val="22"/>
              </w:rPr>
            </w:pPr>
            <w:r>
              <w:rPr>
                <w:sz w:val="22"/>
              </w:rPr>
              <w:t>E-PM-2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7</w:t>
            </w:r>
          </w:p>
        </w:tc>
        <w:tc>
          <w:tcPr>
            <w:tcW w:w="10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ind w:left="289"/>
              <w:rPr>
                <w:sz w:val="22"/>
              </w:rPr>
            </w:pPr>
            <w:r>
              <w:rPr>
                <w:sz w:val="22"/>
              </w:rPr>
              <w:t>2,429</w:t>
            </w:r>
          </w:p>
        </w:tc>
        <w:tc>
          <w:tcPr>
            <w:tcW w:w="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ind w:left="219" w:right="198"/>
              <w:jc w:val="center"/>
              <w:rPr>
                <w:sz w:val="22"/>
              </w:rPr>
            </w:pPr>
            <w:r>
              <w:rPr>
                <w:sz w:val="22"/>
              </w:rPr>
              <w:t>740</w:t>
            </w:r>
          </w:p>
        </w:tc>
        <w:tc>
          <w:tcPr>
            <w:tcW w:w="1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ind w:left="682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ind w:left="110" w:right="91"/>
              <w:jc w:val="center"/>
              <w:rPr>
                <w:sz w:val="22"/>
              </w:rPr>
            </w:pPr>
            <w:r>
              <w:rPr>
                <w:sz w:val="22"/>
              </w:rPr>
              <w:t>4.031</w:t>
            </w:r>
          </w:p>
        </w:tc>
        <w:tc>
          <w:tcPr>
            <w:tcW w:w="2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4" w:lineRule="exact"/>
              <w:ind w:left="113" w:right="420"/>
              <w:rPr>
                <w:sz w:val="22"/>
              </w:rPr>
            </w:pPr>
            <w:r>
              <w:rPr>
                <w:sz w:val="22"/>
              </w:rPr>
              <w:t>shrapnel depth,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sphere just behind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plate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(3.25")</w:t>
            </w:r>
          </w:p>
        </w:tc>
      </w:tr>
      <w:tr>
        <w:trPr>
          <w:trHeight w:val="756" w:hRule="atLeast"/>
        </w:trPr>
        <w:tc>
          <w:tcPr>
            <w:tcW w:w="179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rPr>
                <w:i/>
                <w:sz w:val="21"/>
              </w:rPr>
            </w:pPr>
          </w:p>
          <w:p>
            <w:pPr>
              <w:pStyle w:val="TableParagraph"/>
              <w:ind w:right="91"/>
              <w:jc w:val="right"/>
              <w:rPr>
                <w:sz w:val="22"/>
              </w:rPr>
            </w:pPr>
            <w:r>
              <w:rPr>
                <w:sz w:val="22"/>
              </w:rPr>
              <w:t>E-PM-2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8</w:t>
            </w:r>
          </w:p>
        </w:tc>
        <w:tc>
          <w:tcPr>
            <w:tcW w:w="10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rPr>
                <w:i/>
                <w:sz w:val="21"/>
              </w:rPr>
            </w:pPr>
          </w:p>
          <w:p>
            <w:pPr>
              <w:pStyle w:val="TableParagraph"/>
              <w:ind w:left="289"/>
              <w:rPr>
                <w:sz w:val="22"/>
              </w:rPr>
            </w:pPr>
            <w:r>
              <w:rPr>
                <w:sz w:val="22"/>
              </w:rPr>
              <w:t>2,610</w:t>
            </w:r>
          </w:p>
        </w:tc>
        <w:tc>
          <w:tcPr>
            <w:tcW w:w="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rPr>
                <w:i/>
                <w:sz w:val="21"/>
              </w:rPr>
            </w:pPr>
          </w:p>
          <w:p>
            <w:pPr>
              <w:pStyle w:val="TableParagraph"/>
              <w:ind w:left="219" w:right="198"/>
              <w:jc w:val="center"/>
              <w:rPr>
                <w:sz w:val="22"/>
              </w:rPr>
            </w:pPr>
            <w:r>
              <w:rPr>
                <w:sz w:val="22"/>
              </w:rPr>
              <w:t>795</w:t>
            </w:r>
          </w:p>
        </w:tc>
        <w:tc>
          <w:tcPr>
            <w:tcW w:w="1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rPr>
                <w:i/>
                <w:sz w:val="21"/>
              </w:rPr>
            </w:pPr>
          </w:p>
          <w:p>
            <w:pPr>
              <w:pStyle w:val="TableParagraph"/>
              <w:ind w:left="682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rPr>
                <w:i/>
                <w:sz w:val="21"/>
              </w:rPr>
            </w:pPr>
          </w:p>
          <w:p>
            <w:pPr>
              <w:pStyle w:val="TableParagraph"/>
              <w:ind w:left="110" w:right="91"/>
              <w:jc w:val="center"/>
              <w:rPr>
                <w:sz w:val="22"/>
              </w:rPr>
            </w:pPr>
            <w:r>
              <w:rPr>
                <w:sz w:val="22"/>
              </w:rPr>
              <w:t>4.625</w:t>
            </w:r>
          </w:p>
        </w:tc>
        <w:tc>
          <w:tcPr>
            <w:tcW w:w="2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13" w:right="428"/>
              <w:rPr>
                <w:sz w:val="22"/>
              </w:rPr>
            </w:pPr>
            <w:r>
              <w:rPr>
                <w:sz w:val="22"/>
              </w:rPr>
              <w:t>shrapnel depth,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sphere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just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behind</w:t>
            </w:r>
          </w:p>
          <w:p>
            <w:pPr>
              <w:pStyle w:val="TableParagraph"/>
              <w:spacing w:line="234" w:lineRule="exact"/>
              <w:ind w:left="113"/>
              <w:rPr>
                <w:sz w:val="22"/>
              </w:rPr>
            </w:pPr>
            <w:r>
              <w:rPr>
                <w:sz w:val="22"/>
              </w:rPr>
              <w:t>plate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(3.25")</w:t>
            </w:r>
          </w:p>
        </w:tc>
      </w:tr>
    </w:tbl>
    <w:p>
      <w:pPr>
        <w:spacing w:after="0" w:line="234" w:lineRule="exact"/>
        <w:rPr>
          <w:sz w:val="22"/>
        </w:rPr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2"/>
        <w:rPr>
          <w:i/>
          <w:sz w:val="10"/>
        </w:rPr>
      </w:pPr>
    </w:p>
    <w:p>
      <w:pPr>
        <w:tabs>
          <w:tab w:pos="2970" w:val="left" w:leader="none"/>
          <w:tab w:pos="5101" w:val="left" w:leader="none"/>
          <w:tab w:pos="7125" w:val="left" w:leader="none"/>
        </w:tabs>
        <w:spacing w:line="240" w:lineRule="auto"/>
        <w:ind w:left="708" w:right="0" w:firstLine="0"/>
        <w:rPr>
          <w:sz w:val="20"/>
        </w:rPr>
      </w:pPr>
      <w:r>
        <w:rPr>
          <w:position w:val="2"/>
          <w:sz w:val="20"/>
        </w:rPr>
        <w:drawing>
          <wp:inline distT="0" distB="0" distL="0" distR="0">
            <wp:extent cx="1165087" cy="1304544"/>
            <wp:effectExtent l="0" t="0" r="0" b="0"/>
            <wp:docPr id="143" name="image3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344.jpeg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5087" cy="1304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</w:r>
      <w:r>
        <w:rPr>
          <w:position w:val="2"/>
          <w:sz w:val="20"/>
        </w:rPr>
        <w:tab/>
      </w:r>
      <w:r>
        <w:rPr>
          <w:position w:val="1"/>
          <w:sz w:val="20"/>
        </w:rPr>
        <w:drawing>
          <wp:inline distT="0" distB="0" distL="0" distR="0">
            <wp:extent cx="1016808" cy="1310640"/>
            <wp:effectExtent l="0" t="0" r="0" b="0"/>
            <wp:docPr id="145" name="image3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345.jpe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6808" cy="131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  <w:r>
        <w:rPr>
          <w:position w:val="1"/>
          <w:sz w:val="20"/>
        </w:rPr>
        <w:tab/>
      </w:r>
      <w:r>
        <w:rPr>
          <w:position w:val="2"/>
          <w:sz w:val="20"/>
        </w:rPr>
        <w:drawing>
          <wp:inline distT="0" distB="0" distL="0" distR="0">
            <wp:extent cx="1027855" cy="1304544"/>
            <wp:effectExtent l="0" t="0" r="0" b="0"/>
            <wp:docPr id="147" name="image3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346.jpe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855" cy="1304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</w:r>
      <w:r>
        <w:rPr>
          <w:position w:val="2"/>
          <w:sz w:val="20"/>
        </w:rPr>
        <w:tab/>
      </w:r>
      <w:r>
        <w:rPr>
          <w:sz w:val="20"/>
        </w:rPr>
        <w:drawing>
          <wp:inline distT="0" distB="0" distL="0" distR="0">
            <wp:extent cx="1106178" cy="1316735"/>
            <wp:effectExtent l="0" t="0" r="0" b="0"/>
            <wp:docPr id="149" name="image3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347.jpeg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6178" cy="131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0" w:footer="1064" w:top="1500" w:bottom="1260" w:left="1720" w:right="1020"/>
        </w:sectPr>
      </w:pPr>
    </w:p>
    <w:p>
      <w:pPr>
        <w:spacing w:before="87"/>
        <w:ind w:left="1378" w:right="0" w:firstLine="0"/>
        <w:jc w:val="left"/>
        <w:rPr>
          <w:b/>
          <w:sz w:val="18"/>
        </w:rPr>
      </w:pPr>
      <w:r>
        <w:rPr>
          <w:b/>
          <w:sz w:val="18"/>
        </w:rPr>
        <w:t>Shot</w:t>
      </w:r>
      <w:r>
        <w:rPr>
          <w:b/>
          <w:spacing w:val="-1"/>
          <w:sz w:val="18"/>
        </w:rPr>
        <w:t> </w:t>
      </w:r>
      <w:r>
        <w:rPr>
          <w:b/>
          <w:sz w:val="18"/>
        </w:rPr>
        <w:t>1</w:t>
      </w:r>
    </w:p>
    <w:p>
      <w:pPr>
        <w:spacing w:before="82"/>
        <w:ind w:left="954" w:right="0" w:firstLine="0"/>
        <w:jc w:val="left"/>
        <w:rPr>
          <w:b/>
          <w:sz w:val="18"/>
        </w:rPr>
      </w:pPr>
      <w:r>
        <w:rPr/>
        <w:br w:type="column"/>
      </w:r>
      <w:r>
        <w:rPr>
          <w:b/>
          <w:sz w:val="18"/>
        </w:rPr>
        <w:t>Shot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2</w:t>
      </w:r>
    </w:p>
    <w:p>
      <w:pPr>
        <w:spacing w:before="77"/>
        <w:ind w:left="984" w:right="0" w:firstLine="0"/>
        <w:jc w:val="left"/>
        <w:rPr>
          <w:b/>
          <w:sz w:val="18"/>
        </w:rPr>
      </w:pPr>
      <w:r>
        <w:rPr/>
        <w:br w:type="column"/>
      </w:r>
      <w:r>
        <w:rPr>
          <w:b/>
          <w:sz w:val="18"/>
        </w:rPr>
        <w:t>Shot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3</w:t>
      </w:r>
    </w:p>
    <w:p>
      <w:pPr>
        <w:spacing w:before="87"/>
        <w:ind w:left="972" w:right="1242" w:firstLine="0"/>
        <w:jc w:val="center"/>
        <w:rPr>
          <w:b/>
          <w:sz w:val="18"/>
        </w:rPr>
      </w:pPr>
      <w:r>
        <w:rPr/>
        <w:br w:type="column"/>
      </w:r>
      <w:r>
        <w:rPr>
          <w:b/>
          <w:sz w:val="18"/>
        </w:rPr>
        <w:t>Shot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4</w:t>
      </w:r>
    </w:p>
    <w:p>
      <w:pPr>
        <w:spacing w:after="0"/>
        <w:jc w:val="center"/>
        <w:rPr>
          <w:sz w:val="18"/>
        </w:rPr>
        <w:sectPr>
          <w:type w:val="continuous"/>
          <w:pgSz w:w="12240" w:h="15840"/>
          <w:pgMar w:top="1380" w:bottom="280" w:left="1720" w:right="1020"/>
          <w:cols w:num="4" w:equalWidth="0">
            <w:col w:w="2543" w:space="40"/>
            <w:col w:w="1985" w:space="39"/>
            <w:col w:w="2113" w:space="39"/>
            <w:col w:w="2741"/>
          </w:cols>
        </w:sectPr>
      </w:pPr>
    </w:p>
    <w:p>
      <w:pPr>
        <w:pStyle w:val="BodyText"/>
        <w:rPr>
          <w:b/>
          <w:sz w:val="8"/>
        </w:rPr>
      </w:pPr>
    </w:p>
    <w:p>
      <w:pPr>
        <w:tabs>
          <w:tab w:pos="2970" w:val="left" w:leader="none"/>
          <w:tab w:pos="5041" w:val="left" w:leader="none"/>
          <w:tab w:pos="7145" w:val="left" w:leader="none"/>
        </w:tabs>
        <w:spacing w:line="240" w:lineRule="auto"/>
        <w:ind w:left="833" w:right="0" w:firstLine="0"/>
        <w:rPr>
          <w:sz w:val="20"/>
        </w:rPr>
      </w:pPr>
      <w:r>
        <w:rPr>
          <w:position w:val="1"/>
          <w:sz w:val="20"/>
        </w:rPr>
        <w:drawing>
          <wp:inline distT="0" distB="0" distL="0" distR="0">
            <wp:extent cx="1007359" cy="1274064"/>
            <wp:effectExtent l="0" t="0" r="0" b="0"/>
            <wp:docPr id="151" name="image3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348.jpeg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7359" cy="1274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  <w:r>
        <w:rPr>
          <w:position w:val="1"/>
          <w:sz w:val="20"/>
        </w:rPr>
        <w:tab/>
      </w:r>
      <w:r>
        <w:rPr>
          <w:sz w:val="20"/>
        </w:rPr>
        <w:drawing>
          <wp:inline distT="0" distB="0" distL="0" distR="0">
            <wp:extent cx="1037893" cy="1280160"/>
            <wp:effectExtent l="0" t="0" r="0" b="0"/>
            <wp:docPr id="153" name="image3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349.jpeg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7893" cy="128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1107330" cy="1280160"/>
            <wp:effectExtent l="0" t="0" r="0" b="0"/>
            <wp:docPr id="155" name="image3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350.jpeg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7330" cy="128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1036331" cy="1280160"/>
            <wp:effectExtent l="0" t="0" r="0" b="0"/>
            <wp:docPr id="157" name="image3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351.jpeg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331" cy="128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16"/>
        </w:rPr>
      </w:pPr>
    </w:p>
    <w:p>
      <w:pPr>
        <w:tabs>
          <w:tab w:pos="2916" w:val="left" w:leader="none"/>
          <w:tab w:pos="5337" w:val="left" w:leader="none"/>
          <w:tab w:pos="7267" w:val="left" w:leader="none"/>
        </w:tabs>
        <w:spacing w:line="240" w:lineRule="auto"/>
        <w:ind w:left="5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205816" cy="1207008"/>
            <wp:effectExtent l="0" t="0" r="0" b="0"/>
            <wp:docPr id="159" name="image3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352.jpeg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5816" cy="1207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2"/>
          <w:sz w:val="20"/>
        </w:rPr>
        <w:drawing>
          <wp:inline distT="0" distB="0" distL="0" distR="0">
            <wp:extent cx="1165236" cy="1194815"/>
            <wp:effectExtent l="0" t="0" r="0" b="0"/>
            <wp:docPr id="161" name="image3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353.jpeg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5236" cy="119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</w:r>
      <w:r>
        <w:rPr>
          <w:position w:val="2"/>
          <w:sz w:val="20"/>
        </w:rPr>
        <w:tab/>
      </w:r>
      <w:r>
        <w:rPr>
          <w:sz w:val="20"/>
        </w:rPr>
        <w:drawing>
          <wp:inline distT="0" distB="0" distL="0" distR="0">
            <wp:extent cx="899195" cy="1207008"/>
            <wp:effectExtent l="0" t="0" r="0" b="0"/>
            <wp:docPr id="163" name="image3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354.jpeg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195" cy="1207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4"/>
          <w:sz w:val="20"/>
        </w:rPr>
        <w:drawing>
          <wp:inline distT="0" distB="0" distL="0" distR="0">
            <wp:extent cx="1069441" cy="1182624"/>
            <wp:effectExtent l="0" t="0" r="0" b="0"/>
            <wp:docPr id="165" name="image3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355.jpeg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441" cy="1182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2240" w:h="15840"/>
          <w:pgMar w:top="1380" w:bottom="280" w:left="1720" w:right="1020"/>
        </w:sectPr>
      </w:pPr>
    </w:p>
    <w:p>
      <w:pPr>
        <w:spacing w:before="84"/>
        <w:ind w:left="1226" w:right="0" w:firstLine="0"/>
        <w:jc w:val="left"/>
        <w:rPr>
          <w:b/>
          <w:sz w:val="18"/>
        </w:rPr>
      </w:pPr>
      <w:r>
        <w:rPr>
          <w:b/>
          <w:w w:val="105"/>
          <w:sz w:val="18"/>
        </w:rPr>
        <w:t>Shot</w:t>
      </w:r>
      <w:r>
        <w:rPr>
          <w:b/>
          <w:spacing w:val="-6"/>
          <w:w w:val="105"/>
          <w:sz w:val="18"/>
        </w:rPr>
        <w:t> </w:t>
      </w:r>
      <w:r>
        <w:rPr>
          <w:b/>
          <w:w w:val="105"/>
          <w:sz w:val="18"/>
        </w:rPr>
        <w:t>5</w:t>
      </w:r>
    </w:p>
    <w:p>
      <w:pPr>
        <w:tabs>
          <w:tab w:pos="3283" w:val="left" w:leader="none"/>
        </w:tabs>
        <w:spacing w:before="84"/>
        <w:ind w:left="1052" w:right="0" w:firstLine="0"/>
        <w:jc w:val="left"/>
        <w:rPr>
          <w:b/>
          <w:sz w:val="18"/>
        </w:rPr>
      </w:pPr>
      <w:r>
        <w:rPr/>
        <w:br w:type="column"/>
      </w:r>
      <w:r>
        <w:rPr>
          <w:b/>
          <w:w w:val="105"/>
          <w:sz w:val="18"/>
        </w:rPr>
        <w:t>Shot</w:t>
      </w:r>
      <w:r>
        <w:rPr>
          <w:b/>
          <w:spacing w:val="-5"/>
          <w:w w:val="105"/>
          <w:sz w:val="18"/>
        </w:rPr>
        <w:t> </w:t>
      </w:r>
      <w:r>
        <w:rPr>
          <w:b/>
          <w:w w:val="105"/>
          <w:sz w:val="18"/>
        </w:rPr>
        <w:t>6</w:t>
        <w:tab/>
        <w:t>Shot</w:t>
      </w:r>
      <w:r>
        <w:rPr>
          <w:b/>
          <w:spacing w:val="-8"/>
          <w:w w:val="105"/>
          <w:sz w:val="18"/>
        </w:rPr>
        <w:t> </w:t>
      </w:r>
      <w:r>
        <w:rPr>
          <w:b/>
          <w:w w:val="105"/>
          <w:sz w:val="18"/>
        </w:rPr>
        <w:t>7</w:t>
      </w:r>
    </w:p>
    <w:p>
      <w:pPr>
        <w:spacing w:before="84"/>
        <w:ind w:left="1012" w:right="1125" w:firstLine="0"/>
        <w:jc w:val="center"/>
        <w:rPr>
          <w:b/>
          <w:sz w:val="18"/>
        </w:rPr>
      </w:pPr>
      <w:r>
        <w:rPr/>
        <w:br w:type="column"/>
      </w:r>
      <w:r>
        <w:rPr>
          <w:b/>
          <w:w w:val="105"/>
          <w:sz w:val="18"/>
        </w:rPr>
        <w:t>Shot</w:t>
      </w:r>
      <w:r>
        <w:rPr>
          <w:b/>
          <w:spacing w:val="-9"/>
          <w:w w:val="105"/>
          <w:sz w:val="18"/>
        </w:rPr>
        <w:t> </w:t>
      </w:r>
      <w:r>
        <w:rPr>
          <w:b/>
          <w:w w:val="105"/>
          <w:sz w:val="18"/>
        </w:rPr>
        <w:t>8</w:t>
      </w:r>
    </w:p>
    <w:p>
      <w:pPr>
        <w:spacing w:after="0"/>
        <w:jc w:val="center"/>
        <w:rPr>
          <w:sz w:val="18"/>
        </w:rPr>
        <w:sectPr>
          <w:type w:val="continuous"/>
          <w:pgSz w:w="12240" w:h="15840"/>
          <w:pgMar w:top="1380" w:bottom="280" w:left="1720" w:right="1020"/>
          <w:cols w:num="3" w:equalWidth="0">
            <w:col w:w="2425" w:space="40"/>
            <w:col w:w="4317" w:space="39"/>
            <w:col w:w="2679"/>
          </w:cols>
        </w:sectPr>
      </w:pPr>
    </w:p>
    <w:p>
      <w:pPr>
        <w:pStyle w:val="BodyText"/>
        <w:rPr>
          <w:b/>
          <w:sz w:val="12"/>
        </w:rPr>
      </w:pPr>
    </w:p>
    <w:p>
      <w:pPr>
        <w:tabs>
          <w:tab w:pos="2858" w:val="left" w:leader="none"/>
          <w:tab w:pos="5109" w:val="left" w:leader="none"/>
          <w:tab w:pos="7267" w:val="left" w:leader="none"/>
        </w:tabs>
        <w:spacing w:line="240" w:lineRule="auto"/>
        <w:ind w:left="5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206815" cy="1280160"/>
            <wp:effectExtent l="0" t="0" r="0" b="0"/>
            <wp:docPr id="167" name="image3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356.jpeg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6815" cy="128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1"/>
          <w:sz w:val="20"/>
        </w:rPr>
        <w:drawing>
          <wp:inline distT="0" distB="0" distL="0" distR="0">
            <wp:extent cx="1163359" cy="1274064"/>
            <wp:effectExtent l="0" t="0" r="0" b="0"/>
            <wp:docPr id="169" name="image3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357.jpeg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3359" cy="1274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  <w:r>
        <w:rPr>
          <w:position w:val="1"/>
          <w:sz w:val="20"/>
        </w:rPr>
        <w:tab/>
      </w:r>
      <w:r>
        <w:rPr>
          <w:position w:val="1"/>
          <w:sz w:val="20"/>
        </w:rPr>
        <w:drawing>
          <wp:inline distT="0" distB="0" distL="0" distR="0">
            <wp:extent cx="1134675" cy="1274064"/>
            <wp:effectExtent l="0" t="0" r="0" b="0"/>
            <wp:docPr id="171" name="image3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358.jpeg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4675" cy="1274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  <w:r>
        <w:rPr>
          <w:position w:val="1"/>
          <w:sz w:val="20"/>
        </w:rPr>
        <w:tab/>
      </w:r>
      <w:r>
        <w:rPr>
          <w:position w:val="2"/>
          <w:sz w:val="20"/>
        </w:rPr>
        <w:drawing>
          <wp:inline distT="0" distB="0" distL="0" distR="0">
            <wp:extent cx="1104177" cy="1267968"/>
            <wp:effectExtent l="0" t="0" r="0" b="0"/>
            <wp:docPr id="173" name="image3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359.jpeg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4177" cy="1267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0"/>
        </w:rPr>
      </w:pPr>
    </w:p>
    <w:p>
      <w:pPr>
        <w:spacing w:before="1"/>
        <w:ind w:left="439" w:right="615" w:firstLine="0"/>
        <w:jc w:val="left"/>
        <w:rPr>
          <w:i/>
          <w:sz w:val="24"/>
        </w:rPr>
      </w:pPr>
      <w:bookmarkStart w:name="_bookmark139" w:id="446"/>
      <w:bookmarkEnd w:id="446"/>
      <w:r>
        <w:rPr/>
      </w:r>
      <w:r>
        <w:rPr>
          <w:i/>
          <w:sz w:val="24"/>
        </w:rPr>
        <w:t>Figure 7-16. Close-up of shots 1-8 on expanded metal plate; for each shot (top) front of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expanded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metal plate,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(bottom)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face 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3-ply behind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expanded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metal plate.</w:t>
      </w:r>
    </w:p>
    <w:p>
      <w:pPr>
        <w:spacing w:after="0"/>
        <w:jc w:val="left"/>
        <w:rPr>
          <w:sz w:val="24"/>
        </w:rPr>
        <w:sectPr>
          <w:type w:val="continuous"/>
          <w:pgSz w:w="12240" w:h="15840"/>
          <w:pgMar w:top="1380" w:bottom="280" w:left="1720" w:right="102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7"/>
        <w:rPr>
          <w:i/>
          <w:sz w:val="14"/>
        </w:rPr>
      </w:pPr>
    </w:p>
    <w:p>
      <w:pPr>
        <w:pStyle w:val="BodyText"/>
        <w:ind w:left="1815"/>
        <w:rPr>
          <w:sz w:val="20"/>
        </w:rPr>
      </w:pPr>
      <w:r>
        <w:rPr>
          <w:sz w:val="20"/>
        </w:rPr>
        <w:pict>
          <v:group style="width:293.850pt;height:147.6pt;mso-position-horizontal-relative:char;mso-position-vertical-relative:line" coordorigin="0,0" coordsize="5877,2952">
            <v:shape style="position:absolute;left:0;top:0;width:2800;height:2952" type="#_x0000_t75" stroked="false">
              <v:imagedata r:id="rId370" o:title=""/>
            </v:shape>
            <v:shape style="position:absolute;left:2860;top:11;width:3017;height:2928" type="#_x0000_t75" stroked="false">
              <v:imagedata r:id="rId371" o:title=""/>
            </v:shape>
          </v:group>
        </w:pict>
      </w:r>
      <w:r>
        <w:rPr>
          <w:sz w:val="20"/>
        </w:rPr>
      </w:r>
    </w:p>
    <w:p>
      <w:pPr>
        <w:pStyle w:val="BodyText"/>
        <w:rPr>
          <w:i/>
          <w:sz w:val="7"/>
        </w:rPr>
      </w:pPr>
    </w:p>
    <w:p>
      <w:pPr>
        <w:spacing w:before="90"/>
        <w:ind w:left="440" w:right="403" w:firstLine="0"/>
        <w:jc w:val="left"/>
        <w:rPr>
          <w:i/>
          <w:sz w:val="24"/>
        </w:rPr>
      </w:pPr>
      <w:bookmarkStart w:name="_bookmark140" w:id="447"/>
      <w:bookmarkEnd w:id="447"/>
      <w:r>
        <w:rPr/>
      </w:r>
      <w:r>
        <w:rPr>
          <w:i/>
          <w:sz w:val="24"/>
        </w:rPr>
        <w:t>Figure</w:t>
      </w:r>
      <w:r>
        <w:rPr>
          <w:i/>
          <w:spacing w:val="32"/>
          <w:sz w:val="24"/>
        </w:rPr>
        <w:t> </w:t>
      </w:r>
      <w:r>
        <w:rPr>
          <w:i/>
          <w:sz w:val="24"/>
        </w:rPr>
        <w:t>7-17.</w:t>
      </w:r>
      <w:r>
        <w:rPr>
          <w:i/>
          <w:spacing w:val="32"/>
          <w:sz w:val="24"/>
        </w:rPr>
        <w:t> </w:t>
      </w:r>
      <w:r>
        <w:rPr>
          <w:i/>
          <w:sz w:val="24"/>
        </w:rPr>
        <w:t>Minor</w:t>
      </w:r>
      <w:r>
        <w:rPr>
          <w:i/>
          <w:spacing w:val="32"/>
          <w:sz w:val="24"/>
        </w:rPr>
        <w:t> </w:t>
      </w:r>
      <w:r>
        <w:rPr>
          <w:i/>
          <w:sz w:val="24"/>
        </w:rPr>
        <w:t>damage</w:t>
      </w:r>
      <w:r>
        <w:rPr>
          <w:i/>
          <w:spacing w:val="33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32"/>
          <w:sz w:val="24"/>
        </w:rPr>
        <w:t> </w:t>
      </w:r>
      <w:r>
        <w:rPr>
          <w:i/>
          <w:sz w:val="24"/>
        </w:rPr>
        <w:t>sphere</w:t>
      </w:r>
      <w:r>
        <w:rPr>
          <w:i/>
          <w:spacing w:val="32"/>
          <w:sz w:val="24"/>
        </w:rPr>
        <w:t> </w:t>
      </w:r>
      <w:r>
        <w:rPr>
          <w:i/>
          <w:sz w:val="24"/>
        </w:rPr>
        <w:t>projectiles</w:t>
      </w:r>
      <w:r>
        <w:rPr>
          <w:i/>
          <w:spacing w:val="32"/>
          <w:sz w:val="24"/>
        </w:rPr>
        <w:t> </w:t>
      </w:r>
      <w:r>
        <w:rPr>
          <w:i/>
          <w:sz w:val="24"/>
        </w:rPr>
        <w:t>observed</w:t>
      </w:r>
      <w:r>
        <w:rPr>
          <w:i/>
          <w:spacing w:val="32"/>
          <w:sz w:val="24"/>
        </w:rPr>
        <w:t> </w:t>
      </w:r>
      <w:r>
        <w:rPr>
          <w:i/>
          <w:sz w:val="24"/>
        </w:rPr>
        <w:t>from</w:t>
      </w:r>
      <w:r>
        <w:rPr>
          <w:i/>
          <w:spacing w:val="32"/>
          <w:sz w:val="24"/>
        </w:rPr>
        <w:t> </w:t>
      </w:r>
      <w:r>
        <w:rPr>
          <w:i/>
          <w:sz w:val="24"/>
        </w:rPr>
        <w:t>expanded</w:t>
      </w:r>
      <w:r>
        <w:rPr>
          <w:i/>
          <w:spacing w:val="32"/>
          <w:sz w:val="24"/>
        </w:rPr>
        <w:t> </w:t>
      </w:r>
      <w:r>
        <w:rPr>
          <w:i/>
          <w:sz w:val="24"/>
        </w:rPr>
        <w:t>metal</w:t>
      </w:r>
      <w:r>
        <w:rPr>
          <w:i/>
          <w:spacing w:val="33"/>
          <w:sz w:val="24"/>
        </w:rPr>
        <w:t> </w:t>
      </w:r>
      <w:r>
        <w:rPr>
          <w:i/>
          <w:sz w:val="24"/>
        </w:rPr>
        <w:t>plate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impact.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228"/>
        <w:ind w:left="439" w:right="417" w:firstLine="720"/>
        <w:jc w:val="both"/>
      </w:pPr>
      <w:r>
        <w:rPr/>
        <w:t>Overall, the expanded metal product performed well in that it stopped multiple</w:t>
      </w:r>
      <w:r>
        <w:rPr>
          <w:spacing w:val="1"/>
        </w:rPr>
        <w:t> </w:t>
      </w:r>
      <w:r>
        <w:rPr/>
        <w:t>shots at the face of the enhancing layer and had no complete perforations.</w:t>
      </w:r>
      <w:r>
        <w:rPr>
          <w:spacing w:val="1"/>
        </w:rPr>
        <w:t> </w:t>
      </w:r>
      <w:r>
        <w:rPr/>
        <w:t>The slightly</w:t>
      </w:r>
      <w:r>
        <w:rPr>
          <w:spacing w:val="1"/>
        </w:rPr>
        <w:t> </w:t>
      </w:r>
      <w:r>
        <w:rPr/>
        <w:t>smaller</w:t>
      </w:r>
      <w:r>
        <w:rPr>
          <w:spacing w:val="-7"/>
        </w:rPr>
        <w:t> </w:t>
      </w:r>
      <w:r>
        <w:rPr/>
        <w:t>perforations</w:t>
      </w:r>
      <w:r>
        <w:rPr>
          <w:spacing w:val="-7"/>
        </w:rPr>
        <w:t> </w:t>
      </w:r>
      <w:r>
        <w:rPr/>
        <w:t>compared</w:t>
      </w:r>
      <w:r>
        <w:rPr>
          <w:spacing w:val="-7"/>
        </w:rPr>
        <w:t> </w:t>
      </w:r>
      <w:r>
        <w:rPr/>
        <w:t>to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P900</w:t>
      </w:r>
      <w:r>
        <w:rPr>
          <w:spacing w:val="-7"/>
        </w:rPr>
        <w:t> </w:t>
      </w:r>
      <w:r>
        <w:rPr/>
        <w:t>plate</w:t>
      </w:r>
      <w:r>
        <w:rPr>
          <w:spacing w:val="-8"/>
        </w:rPr>
        <w:t> </w:t>
      </w:r>
      <w:r>
        <w:rPr/>
        <w:t>and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harder</w:t>
      </w:r>
      <w:r>
        <w:rPr>
          <w:spacing w:val="-7"/>
        </w:rPr>
        <w:t> </w:t>
      </w:r>
      <w:r>
        <w:rPr/>
        <w:t>steel</w:t>
      </w:r>
      <w:r>
        <w:rPr>
          <w:spacing w:val="-7"/>
        </w:rPr>
        <w:t> </w:t>
      </w:r>
      <w:r>
        <w:rPr/>
        <w:t>both</w:t>
      </w:r>
      <w:r>
        <w:rPr>
          <w:spacing w:val="-6"/>
        </w:rPr>
        <w:t> </w:t>
      </w:r>
      <w:r>
        <w:rPr/>
        <w:t>contributed</w:t>
      </w:r>
      <w:r>
        <w:rPr>
          <w:spacing w:val="-7"/>
        </w:rPr>
        <w:t> </w:t>
      </w:r>
      <w:r>
        <w:rPr/>
        <w:t>to</w:t>
      </w:r>
      <w:r>
        <w:rPr>
          <w:spacing w:val="-7"/>
        </w:rPr>
        <w:t> </w:t>
      </w:r>
      <w:r>
        <w:rPr/>
        <w:t>its</w:t>
      </w:r>
      <w:r>
        <w:rPr>
          <w:spacing w:val="-58"/>
        </w:rPr>
        <w:t> </w:t>
      </w:r>
      <w:r>
        <w:rPr/>
        <w:t>performance.</w:t>
      </w:r>
      <w:r>
        <w:rPr>
          <w:spacing w:val="1"/>
        </w:rPr>
        <w:t> </w:t>
      </w:r>
      <w:r>
        <w:rPr/>
        <w:t>Similar to the P900, the location of the shot with respect to the perforation</w:t>
      </w:r>
      <w:r>
        <w:rPr>
          <w:spacing w:val="1"/>
        </w:rPr>
        <w:t> </w:t>
      </w:r>
      <w:r>
        <w:rPr/>
        <w:t>pattern contributed to the results of the shot as projectiles that impacted a bond were more</w:t>
      </w:r>
      <w:r>
        <w:rPr>
          <w:spacing w:val="-58"/>
        </w:rPr>
        <w:t> </w:t>
      </w:r>
      <w:r>
        <w:rPr/>
        <w:t>effective</w:t>
      </w:r>
      <w:r>
        <w:rPr>
          <w:spacing w:val="-7"/>
        </w:rPr>
        <w:t> </w:t>
      </w:r>
      <w:r>
        <w:rPr/>
        <w:t>than</w:t>
      </w:r>
      <w:r>
        <w:rPr>
          <w:spacing w:val="-6"/>
        </w:rPr>
        <w:t> </w:t>
      </w:r>
      <w:r>
        <w:rPr/>
        <w:t>those</w:t>
      </w:r>
      <w:r>
        <w:rPr>
          <w:spacing w:val="-7"/>
        </w:rPr>
        <w:t> </w:t>
      </w:r>
      <w:r>
        <w:rPr/>
        <w:t>that</w:t>
      </w:r>
      <w:r>
        <w:rPr>
          <w:spacing w:val="-8"/>
        </w:rPr>
        <w:t> </w:t>
      </w:r>
      <w:r>
        <w:rPr/>
        <w:t>hit</w:t>
      </w:r>
      <w:r>
        <w:rPr>
          <w:spacing w:val="-6"/>
        </w:rPr>
        <w:t> </w:t>
      </w:r>
      <w:r>
        <w:rPr/>
        <w:t>a</w:t>
      </w:r>
      <w:r>
        <w:rPr>
          <w:spacing w:val="-7"/>
        </w:rPr>
        <w:t> </w:t>
      </w:r>
      <w:r>
        <w:rPr/>
        <w:t>single</w:t>
      </w:r>
      <w:r>
        <w:rPr>
          <w:spacing w:val="-6"/>
        </w:rPr>
        <w:t> </w:t>
      </w:r>
      <w:r>
        <w:rPr/>
        <w:t>strand.</w:t>
      </w:r>
      <w:r>
        <w:rPr>
          <w:spacing w:val="47"/>
        </w:rPr>
        <w:t> </w:t>
      </w:r>
      <w:r>
        <w:rPr/>
        <w:t>The</w:t>
      </w:r>
      <w:r>
        <w:rPr>
          <w:spacing w:val="-6"/>
        </w:rPr>
        <w:t> </w:t>
      </w:r>
      <w:r>
        <w:rPr/>
        <w:t>shrapnel</w:t>
      </w:r>
      <w:r>
        <w:rPr>
          <w:spacing w:val="-7"/>
        </w:rPr>
        <w:t> </w:t>
      </w:r>
      <w:r>
        <w:rPr/>
        <w:t>created</w:t>
      </w:r>
      <w:r>
        <w:rPr>
          <w:spacing w:val="-6"/>
        </w:rPr>
        <w:t> </w:t>
      </w:r>
      <w:r>
        <w:rPr/>
        <w:t>from</w:t>
      </w:r>
      <w:r>
        <w:rPr>
          <w:spacing w:val="-8"/>
        </w:rPr>
        <w:t> </w:t>
      </w:r>
      <w:r>
        <w:rPr/>
        <w:t>the</w:t>
      </w:r>
      <w:r>
        <w:rPr>
          <w:spacing w:val="-6"/>
        </w:rPr>
        <w:t> </w:t>
      </w:r>
      <w:r>
        <w:rPr/>
        <w:t>fracturing</w:t>
      </w:r>
      <w:r>
        <w:rPr>
          <w:spacing w:val="-6"/>
        </w:rPr>
        <w:t> </w:t>
      </w:r>
      <w:r>
        <w:rPr/>
        <w:t>metal</w:t>
      </w:r>
      <w:r>
        <w:rPr>
          <w:spacing w:val="-58"/>
        </w:rPr>
        <w:t> </w:t>
      </w:r>
      <w:r>
        <w:rPr/>
        <w:t>may be a concern but all pieces were caught within the first ply of wood in the 3-ply CLT</w:t>
      </w:r>
      <w:r>
        <w:rPr>
          <w:spacing w:val="-57"/>
        </w:rPr>
        <w:t> </w:t>
      </w:r>
      <w:r>
        <w:rPr/>
        <w:t>section behind the plate.</w:t>
      </w:r>
      <w:r>
        <w:rPr>
          <w:spacing w:val="1"/>
        </w:rPr>
        <w:t> </w:t>
      </w:r>
      <w:r>
        <w:rPr/>
        <w:t>The energy required to fracture the expanded product clearly</w:t>
      </w:r>
      <w:r>
        <w:rPr>
          <w:spacing w:val="1"/>
        </w:rPr>
        <w:t> </w:t>
      </w:r>
      <w:r>
        <w:rPr/>
        <w:t>limited the capacity of the projectile to continue penetrating.</w:t>
      </w:r>
      <w:r>
        <w:rPr>
          <w:spacing w:val="1"/>
        </w:rPr>
        <w:t> </w:t>
      </w:r>
      <w:r>
        <w:rPr/>
        <w:t>Additionally, an angled</w:t>
      </w:r>
      <w:r>
        <w:rPr>
          <w:spacing w:val="1"/>
        </w:rPr>
        <w:t> </w:t>
      </w:r>
      <w:r>
        <w:rPr/>
        <w:t>deflection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the projectile was observed.</w:t>
      </w:r>
    </w:p>
    <w:p>
      <w:pPr>
        <w:pStyle w:val="ListParagraph"/>
        <w:numPr>
          <w:ilvl w:val="2"/>
          <w:numId w:val="24"/>
        </w:numPr>
        <w:tabs>
          <w:tab w:pos="980" w:val="left" w:leader="none"/>
        </w:tabs>
        <w:spacing w:line="240" w:lineRule="auto" w:before="162" w:after="0"/>
        <w:ind w:left="980" w:right="0" w:hanging="540"/>
        <w:jc w:val="both"/>
        <w:rPr>
          <w:i/>
          <w:sz w:val="24"/>
        </w:rPr>
      </w:pPr>
      <w:bookmarkStart w:name="7.3.2 Type 3 - Aramid epoxy panels" w:id="448"/>
      <w:bookmarkEnd w:id="448"/>
      <w:r>
        <w:rPr/>
      </w:r>
      <w:bookmarkStart w:name="7.3.2 Type 3 - Aramid epoxy panels" w:id="449"/>
      <w:bookmarkEnd w:id="449"/>
      <w:r>
        <w:rPr>
          <w:i/>
          <w:sz w:val="24"/>
        </w:rPr>
        <w:t>T</w:t>
      </w:r>
      <w:r>
        <w:rPr>
          <w:i/>
          <w:sz w:val="24"/>
        </w:rPr>
        <w:t>ype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3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-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Aramid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epoxy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panels</w:t>
      </w:r>
    </w:p>
    <w:p>
      <w:pPr>
        <w:pStyle w:val="BodyText"/>
        <w:spacing w:before="7"/>
        <w:rPr>
          <w:i/>
          <w:sz w:val="22"/>
        </w:rPr>
      </w:pPr>
    </w:p>
    <w:p>
      <w:pPr>
        <w:pStyle w:val="BodyText"/>
        <w:spacing w:line="480" w:lineRule="auto"/>
        <w:ind w:left="440" w:right="418" w:firstLine="720"/>
        <w:jc w:val="both"/>
      </w:pPr>
      <w:r>
        <w:rPr/>
        <w:t>Three specimens of aramid epoxy</w:t>
      </w:r>
      <w:r>
        <w:rPr>
          <w:spacing w:val="1"/>
        </w:rPr>
        <w:t> </w:t>
      </w:r>
      <w:r>
        <w:rPr/>
        <w:t>panel ECLT were tested.</w:t>
      </w:r>
      <w:r>
        <w:rPr>
          <w:spacing w:val="1"/>
        </w:rPr>
        <w:t> </w:t>
      </w:r>
      <w:r>
        <w:rPr/>
        <w:t>For two of the</w:t>
      </w:r>
      <w:r>
        <w:rPr>
          <w:spacing w:val="1"/>
        </w:rPr>
        <w:t> </w:t>
      </w:r>
      <w:r>
        <w:rPr/>
        <w:t>specimens, the intended striking velocity was held constant with an average (mean) of</w:t>
      </w:r>
      <w:r>
        <w:rPr>
          <w:spacing w:val="1"/>
        </w:rPr>
        <w:t> </w:t>
      </w:r>
      <w:r>
        <w:rPr/>
        <w:t>2,512</w:t>
      </w:r>
      <w:r>
        <w:rPr>
          <w:spacing w:val="12"/>
        </w:rPr>
        <w:t> </w:t>
      </w:r>
      <w:r>
        <w:rPr/>
        <w:t>fps</w:t>
      </w:r>
      <w:r>
        <w:rPr>
          <w:spacing w:val="13"/>
        </w:rPr>
        <w:t> </w:t>
      </w:r>
      <w:r>
        <w:rPr/>
        <w:t>(765</w:t>
      </w:r>
      <w:r>
        <w:rPr>
          <w:spacing w:val="13"/>
        </w:rPr>
        <w:t> </w:t>
      </w:r>
      <w:r>
        <w:rPr/>
        <w:t>m/s).</w:t>
      </w:r>
      <w:r>
        <w:rPr>
          <w:spacing w:val="27"/>
        </w:rPr>
        <w:t> </w:t>
      </w:r>
      <w:r>
        <w:rPr/>
        <w:t>For</w:t>
      </w:r>
      <w:r>
        <w:rPr>
          <w:spacing w:val="12"/>
        </w:rPr>
        <w:t> </w:t>
      </w:r>
      <w:r>
        <w:rPr/>
        <w:t>those</w:t>
      </w:r>
      <w:r>
        <w:rPr>
          <w:spacing w:val="12"/>
        </w:rPr>
        <w:t> </w:t>
      </w:r>
      <w:r>
        <w:rPr/>
        <w:t>two</w:t>
      </w:r>
      <w:r>
        <w:rPr>
          <w:spacing w:val="12"/>
        </w:rPr>
        <w:t> </w:t>
      </w:r>
      <w:r>
        <w:rPr/>
        <w:t>specimens,</w:t>
      </w:r>
      <w:r>
        <w:rPr>
          <w:spacing w:val="13"/>
        </w:rPr>
        <w:t> </w:t>
      </w:r>
      <w:r>
        <w:rPr/>
        <w:t>E-K1</w:t>
      </w:r>
      <w:r>
        <w:rPr>
          <w:spacing w:val="12"/>
        </w:rPr>
        <w:t> </w:t>
      </w:r>
      <w:r>
        <w:rPr/>
        <w:t>and</w:t>
      </w:r>
      <w:r>
        <w:rPr>
          <w:spacing w:val="13"/>
        </w:rPr>
        <w:t> </w:t>
      </w:r>
      <w:r>
        <w:rPr/>
        <w:t>E-K2,</w:t>
      </w:r>
      <w:r>
        <w:rPr>
          <w:spacing w:val="13"/>
        </w:rPr>
        <w:t> </w:t>
      </w:r>
      <w:r>
        <w:rPr/>
        <w:t>there</w:t>
      </w:r>
      <w:r>
        <w:rPr>
          <w:spacing w:val="12"/>
        </w:rPr>
        <w:t> </w:t>
      </w:r>
      <w:r>
        <w:rPr/>
        <w:t>were</w:t>
      </w:r>
      <w:r>
        <w:rPr>
          <w:spacing w:val="12"/>
        </w:rPr>
        <w:t> </w:t>
      </w:r>
      <w:r>
        <w:rPr/>
        <w:t>no</w:t>
      </w:r>
      <w:r>
        <w:rPr>
          <w:spacing w:val="12"/>
        </w:rPr>
        <w:t> </w:t>
      </w:r>
      <w:r>
        <w:rPr/>
        <w:t>complete</w:t>
      </w:r>
    </w:p>
    <w:p>
      <w:pPr>
        <w:spacing w:after="0" w:line="480" w:lineRule="auto"/>
        <w:jc w:val="both"/>
        <w:sectPr>
          <w:pgSz w:w="12240" w:h="15840"/>
          <w:pgMar w:header="0" w:footer="1064" w:top="1500" w:bottom="1260" w:left="1720" w:right="1020"/>
        </w:sectPr>
      </w:pPr>
    </w:p>
    <w:p>
      <w:pPr>
        <w:pStyle w:val="BodyText"/>
        <w:spacing w:line="480" w:lineRule="auto" w:before="78"/>
        <w:ind w:left="439" w:right="416"/>
        <w:jc w:val="both"/>
      </w:pPr>
      <w:r>
        <w:rPr/>
        <w:t>penetrations with the seven and eight test shots respectively.</w:t>
      </w:r>
      <w:r>
        <w:rPr>
          <w:spacing w:val="1"/>
        </w:rPr>
        <w:t> </w:t>
      </w:r>
      <w:r>
        <w:rPr/>
        <w:t>The average depth of</w:t>
      </w:r>
      <w:r>
        <w:rPr>
          <w:spacing w:val="1"/>
        </w:rPr>
        <w:t> </w:t>
      </w:r>
      <w:r>
        <w:rPr/>
        <w:t>penetration for E-K1 was 4.36-in. and for E-K2 that value was 4.73-in.</w:t>
      </w:r>
      <w:r>
        <w:rPr>
          <w:spacing w:val="1"/>
        </w:rPr>
        <w:t> </w:t>
      </w:r>
      <w:r>
        <w:rPr/>
        <w:t>There were no</w:t>
      </w:r>
      <w:r>
        <w:rPr>
          <w:spacing w:val="1"/>
        </w:rPr>
        <w:t> </w:t>
      </w:r>
      <w:r>
        <w:rPr/>
        <w:t>indications of delamination on the top or sides of the specimen and the back face showed</w:t>
      </w:r>
      <w:r>
        <w:rPr>
          <w:spacing w:val="1"/>
        </w:rPr>
        <w:t> </w:t>
      </w:r>
      <w:r>
        <w:rPr/>
        <w:t>no signs of damage.</w:t>
      </w:r>
      <w:r>
        <w:rPr>
          <w:spacing w:val="1"/>
        </w:rPr>
        <w:t> </w:t>
      </w:r>
      <w:hyperlink w:history="true" w:anchor="_bookmark141">
        <w:r>
          <w:rPr/>
          <w:t>Table 7-4</w:t>
        </w:r>
      </w:hyperlink>
      <w:r>
        <w:rPr/>
        <w:t> shows the details for striking velocity and depth of</w:t>
      </w:r>
      <w:r>
        <w:rPr>
          <w:spacing w:val="1"/>
        </w:rPr>
        <w:t> </w:t>
      </w:r>
      <w:r>
        <w:rPr/>
        <w:t>penetrations</w:t>
      </w:r>
      <w:r>
        <w:rPr>
          <w:spacing w:val="-2"/>
        </w:rPr>
        <w:t> </w:t>
      </w:r>
      <w:r>
        <w:rPr/>
        <w:t>for the two specimens.</w:t>
      </w:r>
    </w:p>
    <w:p>
      <w:pPr>
        <w:pStyle w:val="BodyText"/>
        <w:rPr>
          <w:sz w:val="26"/>
        </w:rPr>
      </w:pPr>
    </w:p>
    <w:p>
      <w:pPr>
        <w:pStyle w:val="BodyText"/>
        <w:spacing w:before="1"/>
        <w:rPr>
          <w:sz w:val="22"/>
        </w:rPr>
      </w:pPr>
    </w:p>
    <w:p>
      <w:pPr>
        <w:spacing w:before="0"/>
        <w:ind w:left="439" w:right="1448" w:firstLine="0"/>
        <w:jc w:val="left"/>
        <w:rPr>
          <w:i/>
          <w:sz w:val="24"/>
        </w:rPr>
      </w:pPr>
      <w:bookmarkStart w:name="_bookmark141" w:id="450"/>
      <w:bookmarkEnd w:id="450"/>
      <w:r>
        <w:rPr/>
      </w:r>
      <w:r>
        <w:rPr>
          <w:i/>
          <w:sz w:val="24"/>
        </w:rPr>
        <w:t>Table 7-4. Aramid epoxy panel ECLT tests for two specimens with no complete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penetrations.</w:t>
      </w:r>
    </w:p>
    <w:p>
      <w:pPr>
        <w:pStyle w:val="BodyText"/>
        <w:spacing w:before="5"/>
        <w:rPr>
          <w:i/>
          <w:sz w:val="17"/>
        </w:rPr>
      </w:pPr>
    </w:p>
    <w:tbl>
      <w:tblPr>
        <w:tblW w:w="0" w:type="auto"/>
        <w:jc w:val="left"/>
        <w:tblInd w:w="4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49"/>
        <w:gridCol w:w="974"/>
        <w:gridCol w:w="973"/>
        <w:gridCol w:w="960"/>
        <w:gridCol w:w="960"/>
        <w:gridCol w:w="1598"/>
        <w:gridCol w:w="1482"/>
      </w:tblGrid>
      <w:tr>
        <w:trPr>
          <w:trHeight w:val="1265" w:hRule="atLeast"/>
        </w:trPr>
        <w:tc>
          <w:tcPr>
            <w:tcW w:w="1549" w:type="dxa"/>
            <w:shd w:val="clear" w:color="auto" w:fill="DADAD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line="234" w:lineRule="exact" w:before="183"/>
              <w:ind w:right="91"/>
              <w:jc w:val="right"/>
              <w:rPr>
                <w:sz w:val="22"/>
              </w:rPr>
            </w:pPr>
            <w:r>
              <w:rPr>
                <w:sz w:val="22"/>
              </w:rPr>
              <w:t>Specimen/Shot</w:t>
            </w:r>
          </w:p>
        </w:tc>
        <w:tc>
          <w:tcPr>
            <w:tcW w:w="974" w:type="dxa"/>
            <w:shd w:val="clear" w:color="auto" w:fill="DADAD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line="250" w:lineRule="atLeast" w:before="210"/>
              <w:ind w:left="112" w:right="91" w:hanging="2"/>
              <w:jc w:val="center"/>
              <w:rPr>
                <w:sz w:val="22"/>
              </w:rPr>
            </w:pPr>
            <w:r>
              <w:rPr>
                <w:sz w:val="22"/>
              </w:rPr>
              <w:t>v</w:t>
            </w:r>
            <w:r>
              <w:rPr>
                <w:sz w:val="22"/>
                <w:vertAlign w:val="subscript"/>
              </w:rPr>
              <w:t>s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(chrono)</w:t>
            </w:r>
            <w:r>
              <w:rPr>
                <w:spacing w:val="-52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(fps)</w:t>
            </w:r>
          </w:p>
        </w:tc>
        <w:tc>
          <w:tcPr>
            <w:tcW w:w="973" w:type="dxa"/>
            <w:shd w:val="clear" w:color="auto" w:fill="DADAD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line="250" w:lineRule="atLeast" w:before="210"/>
              <w:ind w:left="113" w:right="88" w:hanging="2"/>
              <w:jc w:val="center"/>
              <w:rPr>
                <w:sz w:val="22"/>
              </w:rPr>
            </w:pPr>
            <w:r>
              <w:rPr>
                <w:sz w:val="22"/>
              </w:rPr>
              <w:t>v</w:t>
            </w:r>
            <w:r>
              <w:rPr>
                <w:sz w:val="22"/>
                <w:vertAlign w:val="subscript"/>
              </w:rPr>
              <w:t>s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(chrono)</w:t>
            </w:r>
            <w:r>
              <w:rPr>
                <w:spacing w:val="-52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(m/s)</w:t>
            </w:r>
          </w:p>
        </w:tc>
        <w:tc>
          <w:tcPr>
            <w:tcW w:w="960" w:type="dxa"/>
            <w:shd w:val="clear" w:color="auto" w:fill="DADAD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line="250" w:lineRule="atLeast" w:before="210"/>
              <w:ind w:left="198" w:right="175" w:firstLine="21"/>
              <w:jc w:val="both"/>
              <w:rPr>
                <w:sz w:val="22"/>
              </w:rPr>
            </w:pPr>
            <w:r>
              <w:rPr>
                <w:sz w:val="22"/>
              </w:rPr>
              <w:t>v</w:t>
            </w:r>
            <w:r>
              <w:rPr>
                <w:sz w:val="22"/>
                <w:vertAlign w:val="subscript"/>
              </w:rPr>
              <w:t>r</w:t>
            </w:r>
            <w:r>
              <w:rPr>
                <w:sz w:val="22"/>
                <w:vertAlign w:val="baseline"/>
              </w:rPr>
              <w:t> (hi-</w:t>
            </w:r>
            <w:r>
              <w:rPr>
                <w:spacing w:val="-52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speed)</w:t>
            </w:r>
            <w:r>
              <w:rPr>
                <w:spacing w:val="-53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(fps)</w:t>
            </w:r>
          </w:p>
        </w:tc>
        <w:tc>
          <w:tcPr>
            <w:tcW w:w="960" w:type="dxa"/>
            <w:shd w:val="clear" w:color="auto" w:fill="DADAD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line="250" w:lineRule="atLeast" w:before="210"/>
              <w:ind w:left="198" w:right="175" w:firstLine="21"/>
              <w:jc w:val="both"/>
              <w:rPr>
                <w:sz w:val="22"/>
              </w:rPr>
            </w:pPr>
            <w:r>
              <w:rPr>
                <w:sz w:val="22"/>
              </w:rPr>
              <w:t>v</w:t>
            </w:r>
            <w:r>
              <w:rPr>
                <w:sz w:val="22"/>
                <w:vertAlign w:val="subscript"/>
              </w:rPr>
              <w:t>r</w:t>
            </w:r>
            <w:r>
              <w:rPr>
                <w:sz w:val="22"/>
                <w:vertAlign w:val="baseline"/>
              </w:rPr>
              <w:t> (hi-</w:t>
            </w:r>
            <w:r>
              <w:rPr>
                <w:spacing w:val="-52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speed)</w:t>
            </w:r>
            <w:r>
              <w:rPr>
                <w:spacing w:val="-53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(m/s)</w:t>
            </w:r>
          </w:p>
        </w:tc>
        <w:tc>
          <w:tcPr>
            <w:tcW w:w="1598" w:type="dxa"/>
            <w:shd w:val="clear" w:color="auto" w:fill="DADADA"/>
          </w:tcPr>
          <w:p>
            <w:pPr>
              <w:pStyle w:val="TableParagraph"/>
              <w:ind w:left="150" w:right="128"/>
              <w:jc w:val="center"/>
              <w:rPr>
                <w:sz w:val="22"/>
              </w:rPr>
            </w:pPr>
            <w:r>
              <w:rPr>
                <w:sz w:val="22"/>
              </w:rPr>
              <w:t>Partial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Penetration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1"/>
                <w:sz w:val="22"/>
              </w:rPr>
              <w:t>(PP)/Complete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Penetration</w:t>
            </w:r>
          </w:p>
          <w:p>
            <w:pPr>
              <w:pStyle w:val="TableParagraph"/>
              <w:spacing w:line="234" w:lineRule="exact"/>
              <w:ind w:left="149" w:right="128"/>
              <w:jc w:val="center"/>
              <w:rPr>
                <w:sz w:val="22"/>
              </w:rPr>
            </w:pPr>
            <w:r>
              <w:rPr>
                <w:sz w:val="22"/>
              </w:rPr>
              <w:t>(CP)</w:t>
            </w:r>
          </w:p>
        </w:tc>
        <w:tc>
          <w:tcPr>
            <w:tcW w:w="1482" w:type="dxa"/>
            <w:shd w:val="clear" w:color="auto" w:fill="DADADA"/>
          </w:tcPr>
          <w:p>
            <w:pPr>
              <w:pStyle w:val="TableParagraph"/>
              <w:spacing w:before="3"/>
              <w:rPr>
                <w:i/>
                <w:sz w:val="20"/>
              </w:rPr>
            </w:pPr>
          </w:p>
          <w:p>
            <w:pPr>
              <w:pStyle w:val="TableParagraph"/>
              <w:spacing w:line="250" w:lineRule="atLeast"/>
              <w:ind w:left="245" w:right="222" w:hanging="2"/>
              <w:jc w:val="center"/>
              <w:rPr>
                <w:sz w:val="22"/>
              </w:rPr>
            </w:pPr>
            <w:r>
              <w:rPr>
                <w:sz w:val="22"/>
              </w:rPr>
              <w:t>Measured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Depth 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Penetration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(T</w:t>
            </w:r>
            <w:r>
              <w:rPr>
                <w:sz w:val="22"/>
                <w:vertAlign w:val="subscript"/>
              </w:rPr>
              <w:t>w</w:t>
            </w:r>
            <w:r>
              <w:rPr>
                <w:sz w:val="22"/>
                <w:vertAlign w:val="baseline"/>
              </w:rPr>
              <w:t>)</w:t>
            </w:r>
          </w:p>
        </w:tc>
      </w:tr>
      <w:tr>
        <w:trPr>
          <w:trHeight w:val="290" w:hRule="atLeast"/>
        </w:trPr>
        <w:tc>
          <w:tcPr>
            <w:tcW w:w="1549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right="90"/>
              <w:jc w:val="right"/>
              <w:rPr>
                <w:sz w:val="22"/>
              </w:rPr>
            </w:pPr>
            <w:r>
              <w:rPr>
                <w:sz w:val="22"/>
              </w:rPr>
              <w:t>E-K1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1</w:t>
            </w:r>
          </w:p>
        </w:tc>
        <w:tc>
          <w:tcPr>
            <w:tcW w:w="974" w:type="dxa"/>
          </w:tcPr>
          <w:p>
            <w:pPr>
              <w:pStyle w:val="TableParagraph"/>
              <w:spacing w:line="234" w:lineRule="exact" w:before="35"/>
              <w:ind w:left="223" w:right="204"/>
              <w:jc w:val="center"/>
              <w:rPr>
                <w:sz w:val="22"/>
              </w:rPr>
            </w:pPr>
            <w:r>
              <w:rPr>
                <w:sz w:val="22"/>
              </w:rPr>
              <w:t>2,443</w:t>
            </w:r>
          </w:p>
        </w:tc>
        <w:tc>
          <w:tcPr>
            <w:tcW w:w="973" w:type="dxa"/>
          </w:tcPr>
          <w:p>
            <w:pPr>
              <w:pStyle w:val="TableParagraph"/>
              <w:spacing w:line="234" w:lineRule="exact" w:before="35"/>
              <w:ind w:left="219" w:right="198"/>
              <w:jc w:val="center"/>
              <w:rPr>
                <w:sz w:val="22"/>
              </w:rPr>
            </w:pPr>
            <w:r>
              <w:rPr>
                <w:sz w:val="22"/>
              </w:rPr>
              <w:t>745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430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430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1598" w:type="dxa"/>
          </w:tcPr>
          <w:p>
            <w:pPr>
              <w:pStyle w:val="TableParagraph"/>
              <w:spacing w:line="234" w:lineRule="exact" w:before="35"/>
              <w:ind w:left="682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482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424" w:right="398"/>
              <w:jc w:val="center"/>
              <w:rPr>
                <w:sz w:val="22"/>
              </w:rPr>
            </w:pPr>
            <w:r>
              <w:rPr>
                <w:sz w:val="22"/>
              </w:rPr>
              <w:t>4.0000</w:t>
            </w:r>
          </w:p>
        </w:tc>
      </w:tr>
      <w:tr>
        <w:trPr>
          <w:trHeight w:val="289" w:hRule="atLeast"/>
        </w:trPr>
        <w:tc>
          <w:tcPr>
            <w:tcW w:w="1549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right="90"/>
              <w:jc w:val="right"/>
              <w:rPr>
                <w:sz w:val="22"/>
              </w:rPr>
            </w:pPr>
            <w:r>
              <w:rPr>
                <w:sz w:val="22"/>
              </w:rPr>
              <w:t>E-K1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2</w:t>
            </w:r>
          </w:p>
        </w:tc>
        <w:tc>
          <w:tcPr>
            <w:tcW w:w="974" w:type="dxa"/>
          </w:tcPr>
          <w:p>
            <w:pPr>
              <w:pStyle w:val="TableParagraph"/>
              <w:spacing w:line="234" w:lineRule="exact" w:before="35"/>
              <w:ind w:left="223" w:right="204"/>
              <w:jc w:val="center"/>
              <w:rPr>
                <w:sz w:val="22"/>
              </w:rPr>
            </w:pPr>
            <w:r>
              <w:rPr>
                <w:sz w:val="22"/>
              </w:rPr>
              <w:t>2,413</w:t>
            </w:r>
          </w:p>
        </w:tc>
        <w:tc>
          <w:tcPr>
            <w:tcW w:w="973" w:type="dxa"/>
          </w:tcPr>
          <w:p>
            <w:pPr>
              <w:pStyle w:val="TableParagraph"/>
              <w:spacing w:line="234" w:lineRule="exact" w:before="35"/>
              <w:ind w:left="219" w:right="198"/>
              <w:jc w:val="center"/>
              <w:rPr>
                <w:sz w:val="22"/>
              </w:rPr>
            </w:pPr>
            <w:r>
              <w:rPr>
                <w:sz w:val="22"/>
              </w:rPr>
              <w:t>735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430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430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1598" w:type="dxa"/>
          </w:tcPr>
          <w:p>
            <w:pPr>
              <w:pStyle w:val="TableParagraph"/>
              <w:spacing w:line="234" w:lineRule="exact" w:before="35"/>
              <w:ind w:left="682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482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424" w:right="398"/>
              <w:jc w:val="center"/>
              <w:rPr>
                <w:sz w:val="22"/>
              </w:rPr>
            </w:pPr>
            <w:r>
              <w:rPr>
                <w:sz w:val="22"/>
              </w:rPr>
              <w:t>3.4375</w:t>
            </w:r>
          </w:p>
        </w:tc>
      </w:tr>
      <w:tr>
        <w:trPr>
          <w:trHeight w:val="290" w:hRule="atLeast"/>
        </w:trPr>
        <w:tc>
          <w:tcPr>
            <w:tcW w:w="1549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right="90"/>
              <w:jc w:val="right"/>
              <w:rPr>
                <w:sz w:val="22"/>
              </w:rPr>
            </w:pPr>
            <w:r>
              <w:rPr>
                <w:sz w:val="22"/>
              </w:rPr>
              <w:t>E-K1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3</w:t>
            </w:r>
          </w:p>
        </w:tc>
        <w:tc>
          <w:tcPr>
            <w:tcW w:w="974" w:type="dxa"/>
          </w:tcPr>
          <w:p>
            <w:pPr>
              <w:pStyle w:val="TableParagraph"/>
              <w:spacing w:line="234" w:lineRule="exact" w:before="35"/>
              <w:ind w:left="223" w:right="204"/>
              <w:jc w:val="center"/>
              <w:rPr>
                <w:sz w:val="22"/>
              </w:rPr>
            </w:pPr>
            <w:r>
              <w:rPr>
                <w:sz w:val="22"/>
              </w:rPr>
              <w:t>2,481</w:t>
            </w:r>
          </w:p>
        </w:tc>
        <w:tc>
          <w:tcPr>
            <w:tcW w:w="973" w:type="dxa"/>
          </w:tcPr>
          <w:p>
            <w:pPr>
              <w:pStyle w:val="TableParagraph"/>
              <w:spacing w:line="234" w:lineRule="exact" w:before="35"/>
              <w:ind w:left="219" w:right="198"/>
              <w:jc w:val="center"/>
              <w:rPr>
                <w:sz w:val="22"/>
              </w:rPr>
            </w:pPr>
            <w:r>
              <w:rPr>
                <w:sz w:val="22"/>
              </w:rPr>
              <w:t>756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430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430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1598" w:type="dxa"/>
          </w:tcPr>
          <w:p>
            <w:pPr>
              <w:pStyle w:val="TableParagraph"/>
              <w:spacing w:line="234" w:lineRule="exact" w:before="35"/>
              <w:ind w:left="682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482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424" w:right="398"/>
              <w:jc w:val="center"/>
              <w:rPr>
                <w:sz w:val="22"/>
              </w:rPr>
            </w:pPr>
            <w:r>
              <w:rPr>
                <w:sz w:val="22"/>
              </w:rPr>
              <w:t>4.3125</w:t>
            </w:r>
          </w:p>
        </w:tc>
      </w:tr>
      <w:tr>
        <w:trPr>
          <w:trHeight w:val="290" w:hRule="atLeast"/>
        </w:trPr>
        <w:tc>
          <w:tcPr>
            <w:tcW w:w="1549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right="90"/>
              <w:jc w:val="right"/>
              <w:rPr>
                <w:sz w:val="22"/>
              </w:rPr>
            </w:pPr>
            <w:r>
              <w:rPr>
                <w:sz w:val="22"/>
              </w:rPr>
              <w:t>E-K1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4</w:t>
            </w:r>
          </w:p>
        </w:tc>
        <w:tc>
          <w:tcPr>
            <w:tcW w:w="974" w:type="dxa"/>
          </w:tcPr>
          <w:p>
            <w:pPr>
              <w:pStyle w:val="TableParagraph"/>
              <w:spacing w:line="234" w:lineRule="exact" w:before="35"/>
              <w:ind w:left="223" w:right="204"/>
              <w:jc w:val="center"/>
              <w:rPr>
                <w:sz w:val="22"/>
              </w:rPr>
            </w:pPr>
            <w:r>
              <w:rPr>
                <w:sz w:val="22"/>
              </w:rPr>
              <w:t>2,606</w:t>
            </w:r>
          </w:p>
        </w:tc>
        <w:tc>
          <w:tcPr>
            <w:tcW w:w="973" w:type="dxa"/>
          </w:tcPr>
          <w:p>
            <w:pPr>
              <w:pStyle w:val="TableParagraph"/>
              <w:spacing w:line="234" w:lineRule="exact" w:before="35"/>
              <w:ind w:left="219" w:right="198"/>
              <w:jc w:val="center"/>
              <w:rPr>
                <w:sz w:val="22"/>
              </w:rPr>
            </w:pPr>
            <w:r>
              <w:rPr>
                <w:sz w:val="22"/>
              </w:rPr>
              <w:t>794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430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430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1598" w:type="dxa"/>
          </w:tcPr>
          <w:p>
            <w:pPr>
              <w:pStyle w:val="TableParagraph"/>
              <w:spacing w:line="234" w:lineRule="exact" w:before="35"/>
              <w:ind w:left="682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482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424" w:right="398"/>
              <w:jc w:val="center"/>
              <w:rPr>
                <w:sz w:val="22"/>
              </w:rPr>
            </w:pPr>
            <w:r>
              <w:rPr>
                <w:sz w:val="22"/>
              </w:rPr>
              <w:t>5.4375</w:t>
            </w:r>
          </w:p>
        </w:tc>
      </w:tr>
      <w:tr>
        <w:trPr>
          <w:trHeight w:val="289" w:hRule="atLeast"/>
        </w:trPr>
        <w:tc>
          <w:tcPr>
            <w:tcW w:w="1549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right="90"/>
              <w:jc w:val="right"/>
              <w:rPr>
                <w:sz w:val="22"/>
              </w:rPr>
            </w:pPr>
            <w:r>
              <w:rPr>
                <w:sz w:val="22"/>
              </w:rPr>
              <w:t>E-K1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5</w:t>
            </w:r>
          </w:p>
        </w:tc>
        <w:tc>
          <w:tcPr>
            <w:tcW w:w="974" w:type="dxa"/>
          </w:tcPr>
          <w:p>
            <w:pPr>
              <w:pStyle w:val="TableParagraph"/>
              <w:spacing w:line="234" w:lineRule="exact" w:before="35"/>
              <w:ind w:left="223" w:right="204"/>
              <w:jc w:val="center"/>
              <w:rPr>
                <w:sz w:val="22"/>
              </w:rPr>
            </w:pPr>
            <w:r>
              <w:rPr>
                <w:sz w:val="22"/>
              </w:rPr>
              <w:t>2,502</w:t>
            </w:r>
          </w:p>
        </w:tc>
        <w:tc>
          <w:tcPr>
            <w:tcW w:w="973" w:type="dxa"/>
          </w:tcPr>
          <w:p>
            <w:pPr>
              <w:pStyle w:val="TableParagraph"/>
              <w:spacing w:line="234" w:lineRule="exact" w:before="35"/>
              <w:ind w:left="219" w:right="198"/>
              <w:jc w:val="center"/>
              <w:rPr>
                <w:sz w:val="22"/>
              </w:rPr>
            </w:pPr>
            <w:r>
              <w:rPr>
                <w:sz w:val="22"/>
              </w:rPr>
              <w:t>763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430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430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1598" w:type="dxa"/>
          </w:tcPr>
          <w:p>
            <w:pPr>
              <w:pStyle w:val="TableParagraph"/>
              <w:spacing w:line="234" w:lineRule="exact" w:before="35"/>
              <w:ind w:left="682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482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424" w:right="398"/>
              <w:jc w:val="center"/>
              <w:rPr>
                <w:sz w:val="22"/>
              </w:rPr>
            </w:pPr>
            <w:r>
              <w:rPr>
                <w:sz w:val="22"/>
              </w:rPr>
              <w:t>3.2500</w:t>
            </w:r>
          </w:p>
        </w:tc>
      </w:tr>
      <w:tr>
        <w:trPr>
          <w:trHeight w:val="290" w:hRule="atLeast"/>
        </w:trPr>
        <w:tc>
          <w:tcPr>
            <w:tcW w:w="1549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right="90"/>
              <w:jc w:val="right"/>
              <w:rPr>
                <w:sz w:val="22"/>
              </w:rPr>
            </w:pPr>
            <w:r>
              <w:rPr>
                <w:sz w:val="22"/>
              </w:rPr>
              <w:t>E-K1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6</w:t>
            </w:r>
          </w:p>
        </w:tc>
        <w:tc>
          <w:tcPr>
            <w:tcW w:w="974" w:type="dxa"/>
          </w:tcPr>
          <w:p>
            <w:pPr>
              <w:pStyle w:val="TableParagraph"/>
              <w:spacing w:line="234" w:lineRule="exact" w:before="35"/>
              <w:ind w:left="223" w:right="204"/>
              <w:jc w:val="center"/>
              <w:rPr>
                <w:sz w:val="22"/>
              </w:rPr>
            </w:pPr>
            <w:r>
              <w:rPr>
                <w:sz w:val="22"/>
              </w:rPr>
              <w:t>2,600</w:t>
            </w:r>
          </w:p>
        </w:tc>
        <w:tc>
          <w:tcPr>
            <w:tcW w:w="973" w:type="dxa"/>
          </w:tcPr>
          <w:p>
            <w:pPr>
              <w:pStyle w:val="TableParagraph"/>
              <w:spacing w:line="234" w:lineRule="exact" w:before="35"/>
              <w:ind w:left="219" w:right="198"/>
              <w:jc w:val="center"/>
              <w:rPr>
                <w:sz w:val="22"/>
              </w:rPr>
            </w:pPr>
            <w:r>
              <w:rPr>
                <w:sz w:val="22"/>
              </w:rPr>
              <w:t>792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430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430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1598" w:type="dxa"/>
          </w:tcPr>
          <w:p>
            <w:pPr>
              <w:pStyle w:val="TableParagraph"/>
              <w:spacing w:line="234" w:lineRule="exact" w:before="35"/>
              <w:ind w:left="682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482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424" w:right="398"/>
              <w:jc w:val="center"/>
              <w:rPr>
                <w:sz w:val="22"/>
              </w:rPr>
            </w:pPr>
            <w:r>
              <w:rPr>
                <w:sz w:val="22"/>
              </w:rPr>
              <w:t>4.6875</w:t>
            </w:r>
          </w:p>
        </w:tc>
      </w:tr>
      <w:tr>
        <w:trPr>
          <w:trHeight w:val="299" w:hRule="atLeast"/>
        </w:trPr>
        <w:tc>
          <w:tcPr>
            <w:tcW w:w="1549" w:type="dxa"/>
            <w:tcBorders>
              <w:left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34" w:lineRule="exact" w:before="45"/>
              <w:ind w:right="90"/>
              <w:jc w:val="right"/>
              <w:rPr>
                <w:sz w:val="22"/>
              </w:rPr>
            </w:pPr>
            <w:r>
              <w:rPr>
                <w:sz w:val="22"/>
              </w:rPr>
              <w:t>E-K1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7</w:t>
            </w:r>
          </w:p>
        </w:tc>
        <w:tc>
          <w:tcPr>
            <w:tcW w:w="974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34" w:lineRule="exact" w:before="45"/>
              <w:ind w:left="223" w:right="204"/>
              <w:jc w:val="center"/>
              <w:rPr>
                <w:sz w:val="22"/>
              </w:rPr>
            </w:pPr>
            <w:r>
              <w:rPr>
                <w:sz w:val="22"/>
              </w:rPr>
              <w:t>2,621</w:t>
            </w:r>
          </w:p>
        </w:tc>
        <w:tc>
          <w:tcPr>
            <w:tcW w:w="973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34" w:lineRule="exact" w:before="45"/>
              <w:ind w:left="219" w:right="198"/>
              <w:jc w:val="center"/>
              <w:rPr>
                <w:sz w:val="22"/>
              </w:rPr>
            </w:pPr>
            <w:r>
              <w:rPr>
                <w:sz w:val="22"/>
              </w:rPr>
              <w:t>799</w:t>
            </w:r>
          </w:p>
        </w:tc>
        <w:tc>
          <w:tcPr>
            <w:tcW w:w="960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34" w:lineRule="exact" w:before="45"/>
              <w:ind w:left="430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960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34" w:lineRule="exact" w:before="45"/>
              <w:ind w:left="430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1598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34" w:lineRule="exact" w:before="45"/>
              <w:ind w:left="682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482" w:type="dxa"/>
            <w:tcBorders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34" w:lineRule="exact" w:before="45"/>
              <w:ind w:left="424" w:right="398"/>
              <w:jc w:val="center"/>
              <w:rPr>
                <w:sz w:val="22"/>
              </w:rPr>
            </w:pPr>
            <w:r>
              <w:rPr>
                <w:sz w:val="22"/>
              </w:rPr>
              <w:t>5.3750</w:t>
            </w:r>
          </w:p>
        </w:tc>
      </w:tr>
      <w:tr>
        <w:trPr>
          <w:trHeight w:val="300" w:hRule="atLeast"/>
        </w:trPr>
        <w:tc>
          <w:tcPr>
            <w:tcW w:w="8496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DAD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289" w:hRule="atLeast"/>
        </w:trPr>
        <w:tc>
          <w:tcPr>
            <w:tcW w:w="1549" w:type="dxa"/>
            <w:tcBorders>
              <w:top w:val="single" w:sz="8" w:space="0" w:color="000000"/>
              <w:lef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right="90"/>
              <w:jc w:val="right"/>
              <w:rPr>
                <w:sz w:val="22"/>
              </w:rPr>
            </w:pPr>
            <w:r>
              <w:rPr>
                <w:sz w:val="22"/>
              </w:rPr>
              <w:t>E-K2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1</w:t>
            </w:r>
          </w:p>
        </w:tc>
        <w:tc>
          <w:tcPr>
            <w:tcW w:w="974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223" w:right="204"/>
              <w:jc w:val="center"/>
              <w:rPr>
                <w:sz w:val="22"/>
              </w:rPr>
            </w:pPr>
            <w:r>
              <w:rPr>
                <w:sz w:val="22"/>
              </w:rPr>
              <w:t>2,407</w:t>
            </w:r>
          </w:p>
        </w:tc>
        <w:tc>
          <w:tcPr>
            <w:tcW w:w="973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219" w:right="198"/>
              <w:jc w:val="center"/>
              <w:rPr>
                <w:sz w:val="22"/>
              </w:rPr>
            </w:pPr>
            <w:r>
              <w:rPr>
                <w:sz w:val="22"/>
              </w:rPr>
              <w:t>734</w:t>
            </w:r>
          </w:p>
        </w:tc>
        <w:tc>
          <w:tcPr>
            <w:tcW w:w="960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430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960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430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1598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682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482" w:type="dxa"/>
            <w:tcBorders>
              <w:top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424" w:right="398"/>
              <w:jc w:val="center"/>
              <w:rPr>
                <w:sz w:val="22"/>
              </w:rPr>
            </w:pPr>
            <w:r>
              <w:rPr>
                <w:sz w:val="22"/>
              </w:rPr>
              <w:t>4.2500</w:t>
            </w:r>
          </w:p>
        </w:tc>
      </w:tr>
      <w:tr>
        <w:trPr>
          <w:trHeight w:val="290" w:hRule="atLeast"/>
        </w:trPr>
        <w:tc>
          <w:tcPr>
            <w:tcW w:w="1549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right="90"/>
              <w:jc w:val="right"/>
              <w:rPr>
                <w:sz w:val="22"/>
              </w:rPr>
            </w:pPr>
            <w:r>
              <w:rPr>
                <w:sz w:val="22"/>
              </w:rPr>
              <w:t>E-K2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2</w:t>
            </w:r>
          </w:p>
        </w:tc>
        <w:tc>
          <w:tcPr>
            <w:tcW w:w="974" w:type="dxa"/>
          </w:tcPr>
          <w:p>
            <w:pPr>
              <w:pStyle w:val="TableParagraph"/>
              <w:spacing w:line="234" w:lineRule="exact" w:before="35"/>
              <w:ind w:left="223" w:right="204"/>
              <w:jc w:val="center"/>
              <w:rPr>
                <w:sz w:val="22"/>
              </w:rPr>
            </w:pPr>
            <w:r>
              <w:rPr>
                <w:sz w:val="22"/>
              </w:rPr>
              <w:t>2,347</w:t>
            </w:r>
          </w:p>
        </w:tc>
        <w:tc>
          <w:tcPr>
            <w:tcW w:w="973" w:type="dxa"/>
          </w:tcPr>
          <w:p>
            <w:pPr>
              <w:pStyle w:val="TableParagraph"/>
              <w:spacing w:line="234" w:lineRule="exact" w:before="35"/>
              <w:ind w:left="219" w:right="198"/>
              <w:jc w:val="center"/>
              <w:rPr>
                <w:sz w:val="22"/>
              </w:rPr>
            </w:pPr>
            <w:r>
              <w:rPr>
                <w:sz w:val="22"/>
              </w:rPr>
              <w:t>715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430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430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1598" w:type="dxa"/>
          </w:tcPr>
          <w:p>
            <w:pPr>
              <w:pStyle w:val="TableParagraph"/>
              <w:spacing w:line="234" w:lineRule="exact" w:before="35"/>
              <w:ind w:left="682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482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424" w:right="398"/>
              <w:jc w:val="center"/>
              <w:rPr>
                <w:sz w:val="22"/>
              </w:rPr>
            </w:pPr>
            <w:r>
              <w:rPr>
                <w:sz w:val="22"/>
              </w:rPr>
              <w:t>4.0313</w:t>
            </w:r>
          </w:p>
        </w:tc>
      </w:tr>
      <w:tr>
        <w:trPr>
          <w:trHeight w:val="289" w:hRule="atLeast"/>
        </w:trPr>
        <w:tc>
          <w:tcPr>
            <w:tcW w:w="1549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right="90"/>
              <w:jc w:val="right"/>
              <w:rPr>
                <w:sz w:val="22"/>
              </w:rPr>
            </w:pPr>
            <w:r>
              <w:rPr>
                <w:sz w:val="22"/>
              </w:rPr>
              <w:t>E-K2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3</w:t>
            </w:r>
          </w:p>
        </w:tc>
        <w:tc>
          <w:tcPr>
            <w:tcW w:w="974" w:type="dxa"/>
          </w:tcPr>
          <w:p>
            <w:pPr>
              <w:pStyle w:val="TableParagraph"/>
              <w:spacing w:line="234" w:lineRule="exact" w:before="35"/>
              <w:ind w:left="223" w:right="204"/>
              <w:jc w:val="center"/>
              <w:rPr>
                <w:sz w:val="22"/>
              </w:rPr>
            </w:pPr>
            <w:r>
              <w:rPr>
                <w:sz w:val="22"/>
              </w:rPr>
              <w:t>2,510</w:t>
            </w:r>
          </w:p>
        </w:tc>
        <w:tc>
          <w:tcPr>
            <w:tcW w:w="973" w:type="dxa"/>
          </w:tcPr>
          <w:p>
            <w:pPr>
              <w:pStyle w:val="TableParagraph"/>
              <w:spacing w:line="234" w:lineRule="exact" w:before="35"/>
              <w:ind w:left="219" w:right="198"/>
              <w:jc w:val="center"/>
              <w:rPr>
                <w:sz w:val="22"/>
              </w:rPr>
            </w:pPr>
            <w:r>
              <w:rPr>
                <w:sz w:val="22"/>
              </w:rPr>
              <w:t>765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430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430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1598" w:type="dxa"/>
          </w:tcPr>
          <w:p>
            <w:pPr>
              <w:pStyle w:val="TableParagraph"/>
              <w:spacing w:line="234" w:lineRule="exact" w:before="35"/>
              <w:ind w:left="682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482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424" w:right="398"/>
              <w:jc w:val="center"/>
              <w:rPr>
                <w:sz w:val="22"/>
              </w:rPr>
            </w:pPr>
            <w:r>
              <w:rPr>
                <w:sz w:val="22"/>
              </w:rPr>
              <w:t>4.1250</w:t>
            </w:r>
          </w:p>
        </w:tc>
      </w:tr>
      <w:tr>
        <w:trPr>
          <w:trHeight w:val="290" w:hRule="atLeast"/>
        </w:trPr>
        <w:tc>
          <w:tcPr>
            <w:tcW w:w="1549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right="90"/>
              <w:jc w:val="right"/>
              <w:rPr>
                <w:sz w:val="22"/>
              </w:rPr>
            </w:pPr>
            <w:r>
              <w:rPr>
                <w:sz w:val="22"/>
              </w:rPr>
              <w:t>E-K2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4</w:t>
            </w:r>
          </w:p>
        </w:tc>
        <w:tc>
          <w:tcPr>
            <w:tcW w:w="974" w:type="dxa"/>
          </w:tcPr>
          <w:p>
            <w:pPr>
              <w:pStyle w:val="TableParagraph"/>
              <w:spacing w:line="234" w:lineRule="exact" w:before="35"/>
              <w:ind w:left="223" w:right="204"/>
              <w:jc w:val="center"/>
              <w:rPr>
                <w:sz w:val="22"/>
              </w:rPr>
            </w:pPr>
            <w:r>
              <w:rPr>
                <w:sz w:val="22"/>
              </w:rPr>
              <w:t>2,435</w:t>
            </w:r>
          </w:p>
        </w:tc>
        <w:tc>
          <w:tcPr>
            <w:tcW w:w="973" w:type="dxa"/>
          </w:tcPr>
          <w:p>
            <w:pPr>
              <w:pStyle w:val="TableParagraph"/>
              <w:spacing w:line="234" w:lineRule="exact" w:before="35"/>
              <w:ind w:left="219" w:right="198"/>
              <w:jc w:val="center"/>
              <w:rPr>
                <w:sz w:val="22"/>
              </w:rPr>
            </w:pPr>
            <w:r>
              <w:rPr>
                <w:sz w:val="22"/>
              </w:rPr>
              <w:t>742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430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430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1598" w:type="dxa"/>
          </w:tcPr>
          <w:p>
            <w:pPr>
              <w:pStyle w:val="TableParagraph"/>
              <w:spacing w:line="234" w:lineRule="exact" w:before="35"/>
              <w:ind w:left="682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482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424" w:right="398"/>
              <w:jc w:val="center"/>
              <w:rPr>
                <w:sz w:val="22"/>
              </w:rPr>
            </w:pPr>
            <w:r>
              <w:rPr>
                <w:sz w:val="22"/>
              </w:rPr>
              <w:t>4.6250</w:t>
            </w:r>
          </w:p>
        </w:tc>
      </w:tr>
      <w:tr>
        <w:trPr>
          <w:trHeight w:val="290" w:hRule="atLeast"/>
        </w:trPr>
        <w:tc>
          <w:tcPr>
            <w:tcW w:w="1549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right="90"/>
              <w:jc w:val="right"/>
              <w:rPr>
                <w:sz w:val="22"/>
              </w:rPr>
            </w:pPr>
            <w:r>
              <w:rPr>
                <w:sz w:val="22"/>
              </w:rPr>
              <w:t>E-K2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5</w:t>
            </w:r>
          </w:p>
        </w:tc>
        <w:tc>
          <w:tcPr>
            <w:tcW w:w="974" w:type="dxa"/>
          </w:tcPr>
          <w:p>
            <w:pPr>
              <w:pStyle w:val="TableParagraph"/>
              <w:spacing w:line="234" w:lineRule="exact" w:before="35"/>
              <w:ind w:left="223" w:right="204"/>
              <w:jc w:val="center"/>
              <w:rPr>
                <w:sz w:val="22"/>
              </w:rPr>
            </w:pPr>
            <w:r>
              <w:rPr>
                <w:sz w:val="22"/>
              </w:rPr>
              <w:t>2,625</w:t>
            </w:r>
          </w:p>
        </w:tc>
        <w:tc>
          <w:tcPr>
            <w:tcW w:w="973" w:type="dxa"/>
          </w:tcPr>
          <w:p>
            <w:pPr>
              <w:pStyle w:val="TableParagraph"/>
              <w:spacing w:line="234" w:lineRule="exact" w:before="35"/>
              <w:ind w:left="219" w:right="198"/>
              <w:jc w:val="center"/>
              <w:rPr>
                <w:sz w:val="22"/>
              </w:rPr>
            </w:pPr>
            <w:r>
              <w:rPr>
                <w:sz w:val="22"/>
              </w:rPr>
              <w:t>800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430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430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1598" w:type="dxa"/>
          </w:tcPr>
          <w:p>
            <w:pPr>
              <w:pStyle w:val="TableParagraph"/>
              <w:spacing w:line="234" w:lineRule="exact" w:before="35"/>
              <w:ind w:left="682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482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424" w:right="398"/>
              <w:jc w:val="center"/>
              <w:rPr>
                <w:sz w:val="22"/>
              </w:rPr>
            </w:pPr>
            <w:r>
              <w:rPr>
                <w:sz w:val="22"/>
              </w:rPr>
              <w:t>5.8125</w:t>
            </w:r>
          </w:p>
        </w:tc>
      </w:tr>
      <w:tr>
        <w:trPr>
          <w:trHeight w:val="289" w:hRule="atLeast"/>
        </w:trPr>
        <w:tc>
          <w:tcPr>
            <w:tcW w:w="1549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right="90"/>
              <w:jc w:val="right"/>
              <w:rPr>
                <w:sz w:val="22"/>
              </w:rPr>
            </w:pPr>
            <w:r>
              <w:rPr>
                <w:sz w:val="22"/>
              </w:rPr>
              <w:t>E-K2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6</w:t>
            </w:r>
          </w:p>
        </w:tc>
        <w:tc>
          <w:tcPr>
            <w:tcW w:w="974" w:type="dxa"/>
          </w:tcPr>
          <w:p>
            <w:pPr>
              <w:pStyle w:val="TableParagraph"/>
              <w:spacing w:line="234" w:lineRule="exact" w:before="35"/>
              <w:ind w:left="223" w:right="204"/>
              <w:jc w:val="center"/>
              <w:rPr>
                <w:sz w:val="22"/>
              </w:rPr>
            </w:pPr>
            <w:r>
              <w:rPr>
                <w:sz w:val="22"/>
              </w:rPr>
              <w:t>2,601</w:t>
            </w:r>
          </w:p>
        </w:tc>
        <w:tc>
          <w:tcPr>
            <w:tcW w:w="973" w:type="dxa"/>
          </w:tcPr>
          <w:p>
            <w:pPr>
              <w:pStyle w:val="TableParagraph"/>
              <w:spacing w:line="234" w:lineRule="exact" w:before="35"/>
              <w:ind w:left="219" w:right="198"/>
              <w:jc w:val="center"/>
              <w:rPr>
                <w:sz w:val="22"/>
              </w:rPr>
            </w:pPr>
            <w:r>
              <w:rPr>
                <w:sz w:val="22"/>
              </w:rPr>
              <w:t>793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430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430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1598" w:type="dxa"/>
          </w:tcPr>
          <w:p>
            <w:pPr>
              <w:pStyle w:val="TableParagraph"/>
              <w:spacing w:line="234" w:lineRule="exact" w:before="35"/>
              <w:ind w:left="682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482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424" w:right="398"/>
              <w:jc w:val="center"/>
              <w:rPr>
                <w:sz w:val="22"/>
              </w:rPr>
            </w:pPr>
            <w:r>
              <w:rPr>
                <w:sz w:val="22"/>
              </w:rPr>
              <w:t>5.6250</w:t>
            </w:r>
          </w:p>
        </w:tc>
      </w:tr>
      <w:tr>
        <w:trPr>
          <w:trHeight w:val="290" w:hRule="atLeast"/>
        </w:trPr>
        <w:tc>
          <w:tcPr>
            <w:tcW w:w="1549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right="90"/>
              <w:jc w:val="right"/>
              <w:rPr>
                <w:sz w:val="22"/>
              </w:rPr>
            </w:pPr>
            <w:r>
              <w:rPr>
                <w:sz w:val="22"/>
              </w:rPr>
              <w:t>E-K2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7</w:t>
            </w:r>
          </w:p>
        </w:tc>
        <w:tc>
          <w:tcPr>
            <w:tcW w:w="974" w:type="dxa"/>
          </w:tcPr>
          <w:p>
            <w:pPr>
              <w:pStyle w:val="TableParagraph"/>
              <w:spacing w:line="234" w:lineRule="exact" w:before="35"/>
              <w:ind w:left="223" w:right="204"/>
              <w:jc w:val="center"/>
              <w:rPr>
                <w:sz w:val="22"/>
              </w:rPr>
            </w:pPr>
            <w:r>
              <w:rPr>
                <w:sz w:val="22"/>
              </w:rPr>
              <w:t>2,483</w:t>
            </w:r>
          </w:p>
        </w:tc>
        <w:tc>
          <w:tcPr>
            <w:tcW w:w="973" w:type="dxa"/>
          </w:tcPr>
          <w:p>
            <w:pPr>
              <w:pStyle w:val="TableParagraph"/>
              <w:spacing w:line="234" w:lineRule="exact" w:before="35"/>
              <w:ind w:left="219" w:right="198"/>
              <w:jc w:val="center"/>
              <w:rPr>
                <w:sz w:val="22"/>
              </w:rPr>
            </w:pPr>
            <w:r>
              <w:rPr>
                <w:sz w:val="22"/>
              </w:rPr>
              <w:t>757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430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430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1598" w:type="dxa"/>
          </w:tcPr>
          <w:p>
            <w:pPr>
              <w:pStyle w:val="TableParagraph"/>
              <w:spacing w:line="234" w:lineRule="exact" w:before="35"/>
              <w:ind w:left="682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482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424" w:right="398"/>
              <w:jc w:val="center"/>
              <w:rPr>
                <w:sz w:val="22"/>
              </w:rPr>
            </w:pPr>
            <w:r>
              <w:rPr>
                <w:sz w:val="22"/>
              </w:rPr>
              <w:t>3.8750</w:t>
            </w:r>
          </w:p>
        </w:tc>
      </w:tr>
      <w:tr>
        <w:trPr>
          <w:trHeight w:val="299" w:hRule="atLeast"/>
        </w:trPr>
        <w:tc>
          <w:tcPr>
            <w:tcW w:w="1549" w:type="dxa"/>
            <w:tcBorders>
              <w:left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34" w:lineRule="exact" w:before="45"/>
              <w:ind w:right="90"/>
              <w:jc w:val="right"/>
              <w:rPr>
                <w:sz w:val="22"/>
              </w:rPr>
            </w:pPr>
            <w:r>
              <w:rPr>
                <w:sz w:val="22"/>
              </w:rPr>
              <w:t>E-K2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8</w:t>
            </w:r>
          </w:p>
        </w:tc>
        <w:tc>
          <w:tcPr>
            <w:tcW w:w="974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34" w:lineRule="exact" w:before="45"/>
              <w:ind w:left="223" w:right="204"/>
              <w:jc w:val="center"/>
              <w:rPr>
                <w:sz w:val="22"/>
              </w:rPr>
            </w:pPr>
            <w:r>
              <w:rPr>
                <w:sz w:val="22"/>
              </w:rPr>
              <w:t>2,619</w:t>
            </w:r>
          </w:p>
        </w:tc>
        <w:tc>
          <w:tcPr>
            <w:tcW w:w="973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34" w:lineRule="exact" w:before="45"/>
              <w:ind w:left="219" w:right="198"/>
              <w:jc w:val="center"/>
              <w:rPr>
                <w:sz w:val="22"/>
              </w:rPr>
            </w:pPr>
            <w:r>
              <w:rPr>
                <w:sz w:val="22"/>
              </w:rPr>
              <w:t>798</w:t>
            </w:r>
          </w:p>
        </w:tc>
        <w:tc>
          <w:tcPr>
            <w:tcW w:w="960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34" w:lineRule="exact" w:before="45"/>
              <w:ind w:left="430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960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34" w:lineRule="exact" w:before="45"/>
              <w:ind w:left="430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1598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34" w:lineRule="exact" w:before="45"/>
              <w:ind w:left="682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482" w:type="dxa"/>
            <w:tcBorders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34" w:lineRule="exact" w:before="45"/>
              <w:ind w:left="424" w:right="398"/>
              <w:jc w:val="center"/>
              <w:rPr>
                <w:sz w:val="22"/>
              </w:rPr>
            </w:pPr>
            <w:r>
              <w:rPr>
                <w:sz w:val="22"/>
              </w:rPr>
              <w:t>5.5000</w:t>
            </w:r>
          </w:p>
        </w:tc>
      </w:tr>
    </w:tbl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9"/>
        <w:rPr>
          <w:i/>
          <w:sz w:val="31"/>
        </w:rPr>
      </w:pPr>
    </w:p>
    <w:p>
      <w:pPr>
        <w:pStyle w:val="BodyText"/>
        <w:spacing w:line="480" w:lineRule="auto"/>
        <w:ind w:left="440" w:right="417" w:firstLine="720"/>
        <w:jc w:val="both"/>
      </w:pPr>
      <w:r>
        <w:rPr/>
        <w:t>A third specimen, E-K3 was subjected to higher striking velocities in order to</w:t>
      </w:r>
      <w:r>
        <w:rPr>
          <w:spacing w:val="1"/>
        </w:rPr>
        <w:t> </w:t>
      </w:r>
      <w:r>
        <w:rPr/>
        <w:t>determine how fast the projectile needed to be in order to result in a complete penetration</w:t>
      </w:r>
      <w:r>
        <w:rPr>
          <w:spacing w:val="1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ECLT</w:t>
      </w:r>
      <w:r>
        <w:rPr>
          <w:spacing w:val="-2"/>
        </w:rPr>
        <w:t> </w:t>
      </w:r>
      <w:r>
        <w:rPr/>
        <w:t>target,</w:t>
      </w:r>
      <w:r>
        <w:rPr>
          <w:spacing w:val="-3"/>
        </w:rPr>
        <w:t> </w:t>
      </w:r>
      <w:r>
        <w:rPr/>
        <w:t>like</w:t>
      </w:r>
      <w:r>
        <w:rPr>
          <w:spacing w:val="-2"/>
        </w:rPr>
        <w:t> </w:t>
      </w:r>
      <w:r>
        <w:rPr/>
        <w:t>that</w:t>
      </w:r>
      <w:r>
        <w:rPr>
          <w:spacing w:val="-1"/>
        </w:rPr>
        <w:t> </w:t>
      </w:r>
      <w:r>
        <w:rPr/>
        <w:t>shown</w:t>
      </w:r>
      <w:r>
        <w:rPr>
          <w:spacing w:val="-2"/>
        </w:rPr>
        <w:t> </w:t>
      </w:r>
      <w:r>
        <w:rPr/>
        <w:t>in</w:t>
      </w:r>
      <w:r>
        <w:rPr>
          <w:spacing w:val="-3"/>
        </w:rPr>
        <w:t> </w:t>
      </w:r>
      <w:hyperlink w:history="true" w:anchor="_bookmark142">
        <w:r>
          <w:rPr/>
          <w:t>Figure</w:t>
        </w:r>
        <w:r>
          <w:rPr>
            <w:spacing w:val="-1"/>
          </w:rPr>
          <w:t> </w:t>
        </w:r>
        <w:r>
          <w:rPr/>
          <w:t>7-18.</w:t>
        </w:r>
      </w:hyperlink>
      <w:r>
        <w:rPr>
          <w:spacing w:val="58"/>
        </w:rPr>
        <w:t> </w:t>
      </w:r>
      <w:r>
        <w:rPr/>
        <w:t>Six</w:t>
      </w:r>
      <w:r>
        <w:rPr>
          <w:spacing w:val="-1"/>
        </w:rPr>
        <w:t> </w:t>
      </w:r>
      <w:r>
        <w:rPr/>
        <w:t>shots</w:t>
      </w:r>
      <w:r>
        <w:rPr>
          <w:spacing w:val="-3"/>
        </w:rPr>
        <w:t> </w:t>
      </w:r>
      <w:r>
        <w:rPr/>
        <w:t>were</w:t>
      </w:r>
      <w:r>
        <w:rPr>
          <w:spacing w:val="-1"/>
        </w:rPr>
        <w:t> </w:t>
      </w:r>
      <w:r>
        <w:rPr/>
        <w:t>taken</w:t>
      </w:r>
      <w:r>
        <w:rPr>
          <w:spacing w:val="-3"/>
        </w:rPr>
        <w:t> </w:t>
      </w:r>
      <w:r>
        <w:rPr/>
        <w:t>with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minimum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39" w:right="417"/>
        <w:jc w:val="both"/>
      </w:pPr>
      <w:r>
        <w:rPr/>
        <w:t>striking velocity of 2,851 fps (869 m/s) and a maximum of 3,041 fps (927 m/s) and the</w:t>
      </w:r>
      <w:r>
        <w:rPr>
          <w:spacing w:val="1"/>
        </w:rPr>
        <w:t> </w:t>
      </w:r>
      <w:r>
        <w:rPr/>
        <w:t>three fastest shots achieved complete penetration while the three slower shots had partial</w:t>
      </w:r>
      <w:r>
        <w:rPr>
          <w:spacing w:val="1"/>
        </w:rPr>
        <w:t> </w:t>
      </w:r>
      <w:r>
        <w:rPr/>
        <w:t>penetrations of various depths.</w:t>
      </w:r>
      <w:r>
        <w:rPr>
          <w:spacing w:val="1"/>
        </w:rPr>
        <w:t> </w:t>
      </w:r>
      <w:hyperlink w:history="true" w:anchor="_bookmark143">
        <w:r>
          <w:rPr/>
          <w:t>Table 7-5</w:t>
        </w:r>
      </w:hyperlink>
      <w:r>
        <w:rPr/>
        <w:t> shows the test details from the specimen</w:t>
      </w:r>
      <w:r>
        <w:rPr>
          <w:spacing w:val="1"/>
        </w:rPr>
        <w:t> </w:t>
      </w:r>
      <w:r>
        <w:rPr/>
        <w:t>subjected</w:t>
      </w:r>
      <w:r>
        <w:rPr>
          <w:spacing w:val="-1"/>
        </w:rPr>
        <w:t> </w:t>
      </w:r>
      <w:r>
        <w:rPr/>
        <w:t>to</w:t>
      </w:r>
      <w:r>
        <w:rPr>
          <w:spacing w:val="-2"/>
        </w:rPr>
        <w:t> </w:t>
      </w:r>
      <w:r>
        <w:rPr/>
        <w:t>the increased striking velocities.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286">
            <wp:simplePos x="0" y="0"/>
            <wp:positionH relativeFrom="page">
              <wp:posOffset>2152650</wp:posOffset>
            </wp:positionH>
            <wp:positionV relativeFrom="paragraph">
              <wp:posOffset>235093</wp:posOffset>
            </wp:positionV>
            <wp:extent cx="3874702" cy="2854737"/>
            <wp:effectExtent l="0" t="0" r="0" b="0"/>
            <wp:wrapTopAndBottom/>
            <wp:docPr id="175" name="image3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362.jpeg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4702" cy="2854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99"/>
        <w:ind w:left="21" w:right="0" w:firstLine="0"/>
        <w:jc w:val="center"/>
        <w:rPr>
          <w:i/>
          <w:sz w:val="24"/>
        </w:rPr>
      </w:pPr>
      <w:bookmarkStart w:name="_bookmark142" w:id="451"/>
      <w:bookmarkEnd w:id="451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7-18.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Aramid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epoxy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panel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ECLT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with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projectile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path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cut-away.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spacing w:before="230"/>
        <w:ind w:left="440" w:right="403" w:firstLine="0"/>
        <w:jc w:val="left"/>
        <w:rPr>
          <w:i/>
          <w:sz w:val="24"/>
        </w:rPr>
      </w:pPr>
      <w:bookmarkStart w:name="_bookmark143" w:id="452"/>
      <w:bookmarkEnd w:id="452"/>
      <w:r>
        <w:rPr/>
      </w:r>
      <w:r>
        <w:rPr>
          <w:i/>
          <w:sz w:val="24"/>
        </w:rPr>
        <w:t>Table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7-5.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Aramid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epoxy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panel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ECLT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tests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increased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striking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velocities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complete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penetration.</w:t>
      </w:r>
    </w:p>
    <w:p>
      <w:pPr>
        <w:pStyle w:val="BodyText"/>
        <w:spacing w:before="5"/>
        <w:rPr>
          <w:i/>
          <w:sz w:val="17"/>
        </w:rPr>
      </w:pPr>
    </w:p>
    <w:tbl>
      <w:tblPr>
        <w:tblW w:w="0" w:type="auto"/>
        <w:jc w:val="left"/>
        <w:tblInd w:w="4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49"/>
        <w:gridCol w:w="974"/>
        <w:gridCol w:w="973"/>
        <w:gridCol w:w="960"/>
        <w:gridCol w:w="960"/>
        <w:gridCol w:w="1781"/>
        <w:gridCol w:w="1300"/>
      </w:tblGrid>
      <w:tr>
        <w:trPr>
          <w:trHeight w:val="1179" w:hRule="atLeast"/>
        </w:trPr>
        <w:tc>
          <w:tcPr>
            <w:tcW w:w="1549" w:type="dxa"/>
            <w:shd w:val="clear" w:color="auto" w:fill="DADAD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85"/>
              <w:ind w:right="91"/>
              <w:jc w:val="right"/>
              <w:rPr>
                <w:sz w:val="22"/>
              </w:rPr>
            </w:pPr>
            <w:r>
              <w:rPr>
                <w:sz w:val="22"/>
              </w:rPr>
              <w:t>Specimen/Shot</w:t>
            </w:r>
          </w:p>
        </w:tc>
        <w:tc>
          <w:tcPr>
            <w:tcW w:w="974" w:type="dxa"/>
            <w:shd w:val="clear" w:color="auto" w:fill="DADADA"/>
          </w:tcPr>
          <w:p>
            <w:pPr>
              <w:pStyle w:val="TableParagraph"/>
              <w:spacing w:before="208"/>
              <w:ind w:left="112" w:right="91" w:hanging="2"/>
              <w:jc w:val="center"/>
              <w:rPr>
                <w:sz w:val="22"/>
              </w:rPr>
            </w:pPr>
            <w:r>
              <w:rPr>
                <w:sz w:val="22"/>
              </w:rPr>
              <w:t>v</w:t>
            </w:r>
            <w:r>
              <w:rPr>
                <w:sz w:val="22"/>
                <w:vertAlign w:val="subscript"/>
              </w:rPr>
              <w:t>s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(chrono)</w:t>
            </w:r>
            <w:r>
              <w:rPr>
                <w:spacing w:val="-52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(fps)</w:t>
            </w:r>
          </w:p>
        </w:tc>
        <w:tc>
          <w:tcPr>
            <w:tcW w:w="973" w:type="dxa"/>
            <w:shd w:val="clear" w:color="auto" w:fill="DADADA"/>
          </w:tcPr>
          <w:p>
            <w:pPr>
              <w:pStyle w:val="TableParagraph"/>
              <w:spacing w:before="208"/>
              <w:ind w:left="113" w:right="88" w:hanging="2"/>
              <w:jc w:val="center"/>
              <w:rPr>
                <w:sz w:val="22"/>
              </w:rPr>
            </w:pPr>
            <w:r>
              <w:rPr>
                <w:sz w:val="22"/>
              </w:rPr>
              <w:t>v</w:t>
            </w:r>
            <w:r>
              <w:rPr>
                <w:sz w:val="22"/>
                <w:vertAlign w:val="subscript"/>
              </w:rPr>
              <w:t>s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(chrono)</w:t>
            </w:r>
            <w:r>
              <w:rPr>
                <w:spacing w:val="-52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(m/s)</w:t>
            </w:r>
          </w:p>
        </w:tc>
        <w:tc>
          <w:tcPr>
            <w:tcW w:w="960" w:type="dxa"/>
            <w:shd w:val="clear" w:color="auto" w:fill="DADADA"/>
          </w:tcPr>
          <w:p>
            <w:pPr>
              <w:pStyle w:val="TableParagraph"/>
              <w:spacing w:before="208"/>
              <w:ind w:left="198" w:right="175" w:firstLine="21"/>
              <w:jc w:val="both"/>
              <w:rPr>
                <w:sz w:val="22"/>
              </w:rPr>
            </w:pPr>
            <w:r>
              <w:rPr>
                <w:sz w:val="22"/>
              </w:rPr>
              <w:t>v</w:t>
            </w:r>
            <w:r>
              <w:rPr>
                <w:sz w:val="22"/>
                <w:vertAlign w:val="subscript"/>
              </w:rPr>
              <w:t>r</w:t>
            </w:r>
            <w:r>
              <w:rPr>
                <w:sz w:val="22"/>
                <w:vertAlign w:val="baseline"/>
              </w:rPr>
              <w:t> (hi-</w:t>
            </w:r>
            <w:r>
              <w:rPr>
                <w:spacing w:val="-52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speed)</w:t>
            </w:r>
            <w:r>
              <w:rPr>
                <w:spacing w:val="-53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(fps)</w:t>
            </w:r>
          </w:p>
        </w:tc>
        <w:tc>
          <w:tcPr>
            <w:tcW w:w="960" w:type="dxa"/>
            <w:shd w:val="clear" w:color="auto" w:fill="DADADA"/>
          </w:tcPr>
          <w:p>
            <w:pPr>
              <w:pStyle w:val="TableParagraph"/>
              <w:spacing w:before="208"/>
              <w:ind w:left="198" w:right="175" w:firstLine="21"/>
              <w:jc w:val="both"/>
              <w:rPr>
                <w:sz w:val="22"/>
              </w:rPr>
            </w:pPr>
            <w:r>
              <w:rPr>
                <w:sz w:val="22"/>
              </w:rPr>
              <w:t>v</w:t>
            </w:r>
            <w:r>
              <w:rPr>
                <w:sz w:val="22"/>
                <w:vertAlign w:val="subscript"/>
              </w:rPr>
              <w:t>r</w:t>
            </w:r>
            <w:r>
              <w:rPr>
                <w:sz w:val="22"/>
                <w:vertAlign w:val="baseline"/>
              </w:rPr>
              <w:t> (hi-</w:t>
            </w:r>
            <w:r>
              <w:rPr>
                <w:spacing w:val="-52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speed)</w:t>
            </w:r>
            <w:r>
              <w:rPr>
                <w:spacing w:val="-53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(m/s)</w:t>
            </w:r>
          </w:p>
        </w:tc>
        <w:tc>
          <w:tcPr>
            <w:tcW w:w="1781" w:type="dxa"/>
            <w:shd w:val="clear" w:color="auto" w:fill="DADADA"/>
          </w:tcPr>
          <w:p>
            <w:pPr>
              <w:pStyle w:val="TableParagraph"/>
              <w:spacing w:before="82"/>
              <w:ind w:left="158" w:right="137" w:hanging="2"/>
              <w:jc w:val="center"/>
              <w:rPr>
                <w:sz w:val="22"/>
              </w:rPr>
            </w:pPr>
            <w:r>
              <w:rPr>
                <w:sz w:val="22"/>
              </w:rPr>
              <w:t>Partial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Penetration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(PP)/Complete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Penetration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(CP)</w:t>
            </w:r>
          </w:p>
        </w:tc>
        <w:tc>
          <w:tcPr>
            <w:tcW w:w="1300" w:type="dxa"/>
            <w:shd w:val="clear" w:color="auto" w:fill="DADADA"/>
          </w:tcPr>
          <w:p>
            <w:pPr>
              <w:pStyle w:val="TableParagraph"/>
              <w:spacing w:before="82"/>
              <w:ind w:left="153" w:right="132" w:hanging="2"/>
              <w:jc w:val="center"/>
              <w:rPr>
                <w:sz w:val="22"/>
              </w:rPr>
            </w:pPr>
            <w:r>
              <w:rPr>
                <w:sz w:val="22"/>
              </w:rPr>
              <w:t>Measured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Depth 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Penetration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(T</w:t>
            </w:r>
            <w:r>
              <w:rPr>
                <w:sz w:val="22"/>
                <w:vertAlign w:val="subscript"/>
              </w:rPr>
              <w:t>w</w:t>
            </w:r>
            <w:r>
              <w:rPr>
                <w:sz w:val="22"/>
                <w:vertAlign w:val="baseline"/>
              </w:rPr>
              <w:t>)</w:t>
            </w:r>
          </w:p>
        </w:tc>
      </w:tr>
      <w:tr>
        <w:trPr>
          <w:trHeight w:val="290" w:hRule="atLeast"/>
        </w:trPr>
        <w:tc>
          <w:tcPr>
            <w:tcW w:w="1549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right="90"/>
              <w:jc w:val="right"/>
              <w:rPr>
                <w:sz w:val="22"/>
              </w:rPr>
            </w:pPr>
            <w:r>
              <w:rPr>
                <w:sz w:val="22"/>
              </w:rPr>
              <w:t>E-K3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1</w:t>
            </w:r>
          </w:p>
        </w:tc>
        <w:tc>
          <w:tcPr>
            <w:tcW w:w="974" w:type="dxa"/>
          </w:tcPr>
          <w:p>
            <w:pPr>
              <w:pStyle w:val="TableParagraph"/>
              <w:spacing w:line="234" w:lineRule="exact" w:before="35"/>
              <w:ind w:left="223" w:right="204"/>
              <w:jc w:val="center"/>
              <w:rPr>
                <w:sz w:val="22"/>
              </w:rPr>
            </w:pPr>
            <w:r>
              <w:rPr>
                <w:sz w:val="22"/>
              </w:rPr>
              <w:t>3,041</w:t>
            </w:r>
          </w:p>
        </w:tc>
        <w:tc>
          <w:tcPr>
            <w:tcW w:w="973" w:type="dxa"/>
          </w:tcPr>
          <w:p>
            <w:pPr>
              <w:pStyle w:val="TableParagraph"/>
              <w:spacing w:line="234" w:lineRule="exact" w:before="35"/>
              <w:ind w:left="219" w:right="198"/>
              <w:jc w:val="center"/>
              <w:rPr>
                <w:sz w:val="22"/>
              </w:rPr>
            </w:pPr>
            <w:r>
              <w:rPr>
                <w:sz w:val="22"/>
              </w:rPr>
              <w:t>927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116" w:right="96"/>
              <w:jc w:val="center"/>
              <w:rPr>
                <w:sz w:val="22"/>
              </w:rPr>
            </w:pPr>
            <w:r>
              <w:rPr>
                <w:sz w:val="22"/>
              </w:rPr>
              <w:t>343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116" w:right="96"/>
              <w:jc w:val="center"/>
              <w:rPr>
                <w:sz w:val="22"/>
              </w:rPr>
            </w:pPr>
            <w:r>
              <w:rPr>
                <w:sz w:val="22"/>
              </w:rPr>
              <w:t>105</w:t>
            </w:r>
          </w:p>
        </w:tc>
        <w:tc>
          <w:tcPr>
            <w:tcW w:w="1781" w:type="dxa"/>
          </w:tcPr>
          <w:p>
            <w:pPr>
              <w:pStyle w:val="TableParagraph"/>
              <w:spacing w:line="234" w:lineRule="exact" w:before="35"/>
              <w:ind w:left="760"/>
              <w:rPr>
                <w:sz w:val="22"/>
              </w:rPr>
            </w:pPr>
            <w:r>
              <w:rPr>
                <w:sz w:val="22"/>
              </w:rPr>
              <w:t>CP</w:t>
            </w:r>
          </w:p>
        </w:tc>
        <w:tc>
          <w:tcPr>
            <w:tcW w:w="1300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24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-</w:t>
            </w:r>
          </w:p>
        </w:tc>
      </w:tr>
      <w:tr>
        <w:trPr>
          <w:trHeight w:val="290" w:hRule="atLeast"/>
        </w:trPr>
        <w:tc>
          <w:tcPr>
            <w:tcW w:w="1549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right="90"/>
              <w:jc w:val="right"/>
              <w:rPr>
                <w:sz w:val="22"/>
              </w:rPr>
            </w:pPr>
            <w:r>
              <w:rPr>
                <w:sz w:val="22"/>
              </w:rPr>
              <w:t>E-K3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2</w:t>
            </w:r>
          </w:p>
        </w:tc>
        <w:tc>
          <w:tcPr>
            <w:tcW w:w="974" w:type="dxa"/>
          </w:tcPr>
          <w:p>
            <w:pPr>
              <w:pStyle w:val="TableParagraph"/>
              <w:spacing w:line="234" w:lineRule="exact" w:before="35"/>
              <w:ind w:left="223" w:right="204"/>
              <w:jc w:val="center"/>
              <w:rPr>
                <w:sz w:val="22"/>
              </w:rPr>
            </w:pPr>
            <w:r>
              <w:rPr>
                <w:sz w:val="22"/>
              </w:rPr>
              <w:t>2,992</w:t>
            </w:r>
          </w:p>
        </w:tc>
        <w:tc>
          <w:tcPr>
            <w:tcW w:w="973" w:type="dxa"/>
          </w:tcPr>
          <w:p>
            <w:pPr>
              <w:pStyle w:val="TableParagraph"/>
              <w:spacing w:line="234" w:lineRule="exact" w:before="35"/>
              <w:ind w:left="219" w:right="198"/>
              <w:jc w:val="center"/>
              <w:rPr>
                <w:sz w:val="22"/>
              </w:rPr>
            </w:pPr>
            <w:r>
              <w:rPr>
                <w:sz w:val="22"/>
              </w:rPr>
              <w:t>912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116" w:right="96"/>
              <w:jc w:val="center"/>
              <w:rPr>
                <w:sz w:val="22"/>
              </w:rPr>
            </w:pPr>
            <w:r>
              <w:rPr>
                <w:sz w:val="22"/>
              </w:rPr>
              <w:t>429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116" w:right="96"/>
              <w:jc w:val="center"/>
              <w:rPr>
                <w:sz w:val="22"/>
              </w:rPr>
            </w:pPr>
            <w:r>
              <w:rPr>
                <w:sz w:val="22"/>
              </w:rPr>
              <w:t>131</w:t>
            </w:r>
          </w:p>
        </w:tc>
        <w:tc>
          <w:tcPr>
            <w:tcW w:w="1781" w:type="dxa"/>
          </w:tcPr>
          <w:p>
            <w:pPr>
              <w:pStyle w:val="TableParagraph"/>
              <w:spacing w:line="234" w:lineRule="exact" w:before="35"/>
              <w:ind w:left="760"/>
              <w:rPr>
                <w:sz w:val="22"/>
              </w:rPr>
            </w:pPr>
            <w:r>
              <w:rPr>
                <w:sz w:val="22"/>
              </w:rPr>
              <w:t>CP</w:t>
            </w:r>
          </w:p>
        </w:tc>
        <w:tc>
          <w:tcPr>
            <w:tcW w:w="1300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24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-</w:t>
            </w:r>
          </w:p>
        </w:tc>
      </w:tr>
      <w:tr>
        <w:trPr>
          <w:trHeight w:val="289" w:hRule="atLeast"/>
        </w:trPr>
        <w:tc>
          <w:tcPr>
            <w:tcW w:w="1549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right="90"/>
              <w:jc w:val="right"/>
              <w:rPr>
                <w:sz w:val="22"/>
              </w:rPr>
            </w:pPr>
            <w:r>
              <w:rPr>
                <w:sz w:val="22"/>
              </w:rPr>
              <w:t>E-K3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3</w:t>
            </w:r>
          </w:p>
        </w:tc>
        <w:tc>
          <w:tcPr>
            <w:tcW w:w="974" w:type="dxa"/>
          </w:tcPr>
          <w:p>
            <w:pPr>
              <w:pStyle w:val="TableParagraph"/>
              <w:spacing w:line="234" w:lineRule="exact" w:before="35"/>
              <w:ind w:left="223" w:right="204"/>
              <w:jc w:val="center"/>
              <w:rPr>
                <w:sz w:val="22"/>
              </w:rPr>
            </w:pPr>
            <w:r>
              <w:rPr>
                <w:sz w:val="22"/>
              </w:rPr>
              <w:t>2,851</w:t>
            </w:r>
          </w:p>
        </w:tc>
        <w:tc>
          <w:tcPr>
            <w:tcW w:w="973" w:type="dxa"/>
          </w:tcPr>
          <w:p>
            <w:pPr>
              <w:pStyle w:val="TableParagraph"/>
              <w:spacing w:line="234" w:lineRule="exact" w:before="35"/>
              <w:ind w:left="219" w:right="198"/>
              <w:jc w:val="center"/>
              <w:rPr>
                <w:sz w:val="22"/>
              </w:rPr>
            </w:pPr>
            <w:r>
              <w:rPr>
                <w:sz w:val="22"/>
              </w:rPr>
              <w:t>869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20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20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1781" w:type="dxa"/>
          </w:tcPr>
          <w:p>
            <w:pPr>
              <w:pStyle w:val="TableParagraph"/>
              <w:spacing w:line="234" w:lineRule="exact" w:before="35"/>
              <w:ind w:left="772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300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332" w:right="307"/>
              <w:jc w:val="center"/>
              <w:rPr>
                <w:sz w:val="22"/>
              </w:rPr>
            </w:pPr>
            <w:r>
              <w:rPr>
                <w:sz w:val="22"/>
              </w:rPr>
              <w:t>6.4375</w:t>
            </w:r>
          </w:p>
        </w:tc>
      </w:tr>
      <w:tr>
        <w:trPr>
          <w:trHeight w:val="290" w:hRule="atLeast"/>
        </w:trPr>
        <w:tc>
          <w:tcPr>
            <w:tcW w:w="1549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right="90"/>
              <w:jc w:val="right"/>
              <w:rPr>
                <w:sz w:val="22"/>
              </w:rPr>
            </w:pPr>
            <w:r>
              <w:rPr>
                <w:sz w:val="22"/>
              </w:rPr>
              <w:t>E-K3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4</w:t>
            </w:r>
          </w:p>
        </w:tc>
        <w:tc>
          <w:tcPr>
            <w:tcW w:w="974" w:type="dxa"/>
          </w:tcPr>
          <w:p>
            <w:pPr>
              <w:pStyle w:val="TableParagraph"/>
              <w:spacing w:line="234" w:lineRule="exact" w:before="35"/>
              <w:ind w:left="223" w:right="204"/>
              <w:jc w:val="center"/>
              <w:rPr>
                <w:sz w:val="22"/>
              </w:rPr>
            </w:pPr>
            <w:r>
              <w:rPr>
                <w:sz w:val="22"/>
              </w:rPr>
              <w:t>2,866</w:t>
            </w:r>
          </w:p>
        </w:tc>
        <w:tc>
          <w:tcPr>
            <w:tcW w:w="973" w:type="dxa"/>
          </w:tcPr>
          <w:p>
            <w:pPr>
              <w:pStyle w:val="TableParagraph"/>
              <w:spacing w:line="234" w:lineRule="exact" w:before="35"/>
              <w:ind w:left="219" w:right="198"/>
              <w:jc w:val="center"/>
              <w:rPr>
                <w:sz w:val="22"/>
              </w:rPr>
            </w:pPr>
            <w:r>
              <w:rPr>
                <w:sz w:val="22"/>
              </w:rPr>
              <w:t>874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20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20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1781" w:type="dxa"/>
          </w:tcPr>
          <w:p>
            <w:pPr>
              <w:pStyle w:val="TableParagraph"/>
              <w:spacing w:line="234" w:lineRule="exact" w:before="35"/>
              <w:ind w:left="772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300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331" w:right="307"/>
              <w:jc w:val="center"/>
              <w:rPr>
                <w:sz w:val="22"/>
              </w:rPr>
            </w:pPr>
            <w:r>
              <w:rPr>
                <w:sz w:val="22"/>
              </w:rPr>
              <w:t>6.1250</w:t>
            </w:r>
          </w:p>
        </w:tc>
      </w:tr>
      <w:tr>
        <w:trPr>
          <w:trHeight w:val="290" w:hRule="atLeast"/>
        </w:trPr>
        <w:tc>
          <w:tcPr>
            <w:tcW w:w="1549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right="90"/>
              <w:jc w:val="right"/>
              <w:rPr>
                <w:sz w:val="22"/>
              </w:rPr>
            </w:pPr>
            <w:r>
              <w:rPr>
                <w:sz w:val="22"/>
              </w:rPr>
              <w:t>E-K3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5</w:t>
            </w:r>
          </w:p>
        </w:tc>
        <w:tc>
          <w:tcPr>
            <w:tcW w:w="974" w:type="dxa"/>
          </w:tcPr>
          <w:p>
            <w:pPr>
              <w:pStyle w:val="TableParagraph"/>
              <w:spacing w:line="234" w:lineRule="exact" w:before="35"/>
              <w:ind w:left="223" w:right="204"/>
              <w:jc w:val="center"/>
              <w:rPr>
                <w:sz w:val="22"/>
              </w:rPr>
            </w:pPr>
            <w:r>
              <w:rPr>
                <w:sz w:val="22"/>
              </w:rPr>
              <w:t>2,952</w:t>
            </w:r>
          </w:p>
        </w:tc>
        <w:tc>
          <w:tcPr>
            <w:tcW w:w="973" w:type="dxa"/>
          </w:tcPr>
          <w:p>
            <w:pPr>
              <w:pStyle w:val="TableParagraph"/>
              <w:spacing w:line="234" w:lineRule="exact" w:before="35"/>
              <w:ind w:left="219" w:right="198"/>
              <w:jc w:val="center"/>
              <w:rPr>
                <w:sz w:val="22"/>
              </w:rPr>
            </w:pPr>
            <w:r>
              <w:rPr>
                <w:sz w:val="22"/>
              </w:rPr>
              <w:t>900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116" w:right="96"/>
              <w:jc w:val="center"/>
              <w:rPr>
                <w:sz w:val="22"/>
              </w:rPr>
            </w:pPr>
            <w:r>
              <w:rPr>
                <w:sz w:val="22"/>
              </w:rPr>
              <w:t>426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116" w:right="96"/>
              <w:jc w:val="center"/>
              <w:rPr>
                <w:sz w:val="22"/>
              </w:rPr>
            </w:pPr>
            <w:r>
              <w:rPr>
                <w:sz w:val="22"/>
              </w:rPr>
              <w:t>130</w:t>
            </w:r>
          </w:p>
        </w:tc>
        <w:tc>
          <w:tcPr>
            <w:tcW w:w="1781" w:type="dxa"/>
          </w:tcPr>
          <w:p>
            <w:pPr>
              <w:pStyle w:val="TableParagraph"/>
              <w:spacing w:line="234" w:lineRule="exact" w:before="35"/>
              <w:ind w:left="760"/>
              <w:rPr>
                <w:sz w:val="22"/>
              </w:rPr>
            </w:pPr>
            <w:r>
              <w:rPr>
                <w:sz w:val="22"/>
              </w:rPr>
              <w:t>CP</w:t>
            </w:r>
          </w:p>
        </w:tc>
        <w:tc>
          <w:tcPr>
            <w:tcW w:w="1300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24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-</w:t>
            </w:r>
          </w:p>
        </w:tc>
      </w:tr>
      <w:tr>
        <w:trPr>
          <w:trHeight w:val="289" w:hRule="atLeast"/>
        </w:trPr>
        <w:tc>
          <w:tcPr>
            <w:tcW w:w="1549" w:type="dxa"/>
            <w:tcBorders>
              <w:left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right="90"/>
              <w:jc w:val="right"/>
              <w:rPr>
                <w:sz w:val="22"/>
              </w:rPr>
            </w:pPr>
            <w:r>
              <w:rPr>
                <w:sz w:val="22"/>
              </w:rPr>
              <w:t>E-K3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6</w:t>
            </w:r>
          </w:p>
        </w:tc>
        <w:tc>
          <w:tcPr>
            <w:tcW w:w="974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223" w:right="204"/>
              <w:jc w:val="center"/>
              <w:rPr>
                <w:sz w:val="22"/>
              </w:rPr>
            </w:pPr>
            <w:r>
              <w:rPr>
                <w:sz w:val="22"/>
              </w:rPr>
              <w:t>2,878</w:t>
            </w:r>
          </w:p>
        </w:tc>
        <w:tc>
          <w:tcPr>
            <w:tcW w:w="973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219" w:right="198"/>
              <w:jc w:val="center"/>
              <w:rPr>
                <w:sz w:val="22"/>
              </w:rPr>
            </w:pPr>
            <w:r>
              <w:rPr>
                <w:sz w:val="22"/>
              </w:rPr>
              <w:t>877</w:t>
            </w:r>
          </w:p>
        </w:tc>
        <w:tc>
          <w:tcPr>
            <w:tcW w:w="960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20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960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20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1781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772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300" w:type="dxa"/>
            <w:tcBorders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332" w:right="307"/>
              <w:jc w:val="center"/>
              <w:rPr>
                <w:sz w:val="22"/>
              </w:rPr>
            </w:pPr>
            <w:r>
              <w:rPr>
                <w:sz w:val="22"/>
              </w:rPr>
              <w:t>6.7500</w:t>
            </w:r>
          </w:p>
        </w:tc>
      </w:tr>
    </w:tbl>
    <w:p>
      <w:pPr>
        <w:spacing w:after="0" w:line="234" w:lineRule="exact"/>
        <w:jc w:val="center"/>
        <w:rPr>
          <w:sz w:val="22"/>
        </w:rPr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40" w:right="417" w:firstLine="720"/>
        <w:jc w:val="both"/>
      </w:pPr>
      <w:r>
        <w:rPr/>
        <w:t>Residual velocities were recorded in values of 350 to 430 fps (105 to 131 m/s)</w:t>
      </w:r>
      <w:r>
        <w:rPr>
          <w:spacing w:val="1"/>
        </w:rPr>
        <w:t> </w:t>
      </w:r>
      <w:r>
        <w:rPr/>
        <w:t>despite striking velocities close to 3,000 fps (915 m/s).</w:t>
      </w:r>
      <w:r>
        <w:rPr>
          <w:spacing w:val="1"/>
        </w:rPr>
        <w:t> </w:t>
      </w:r>
      <w:r>
        <w:rPr/>
        <w:t>The lowest striking velocity for a</w:t>
      </w:r>
      <w:r>
        <w:rPr>
          <w:spacing w:val="1"/>
        </w:rPr>
        <w:t> </w:t>
      </w:r>
      <w:r>
        <w:rPr/>
        <w:t>complete penetration was recorded as 2,952 fps (900 m/s).</w:t>
      </w:r>
      <w:r>
        <w:rPr>
          <w:spacing w:val="1"/>
        </w:rPr>
        <w:t> </w:t>
      </w:r>
      <w:r>
        <w:rPr/>
        <w:t>Dissection of the specimen</w:t>
      </w:r>
      <w:r>
        <w:rPr>
          <w:spacing w:val="1"/>
        </w:rPr>
        <w:t> </w:t>
      </w:r>
      <w:r>
        <w:rPr/>
        <w:t>with complete penetrations showed the bulge of stretching and eventual fracture of the</w:t>
      </w:r>
      <w:r>
        <w:rPr>
          <w:spacing w:val="1"/>
        </w:rPr>
        <w:t> </w:t>
      </w:r>
      <w:r>
        <w:rPr/>
        <w:t>aramid</w:t>
      </w:r>
      <w:r>
        <w:rPr>
          <w:spacing w:val="-1"/>
        </w:rPr>
        <w:t> </w:t>
      </w:r>
      <w:r>
        <w:rPr/>
        <w:t>fibers as visible</w:t>
      </w:r>
      <w:r>
        <w:rPr>
          <w:spacing w:val="-1"/>
        </w:rPr>
        <w:t> </w:t>
      </w:r>
      <w:r>
        <w:rPr/>
        <w:t>in </w:t>
      </w:r>
      <w:hyperlink w:history="true" w:anchor="_bookmark144">
        <w:r>
          <w:rPr/>
          <w:t>Figure 7-19</w:t>
        </w:r>
      </w:hyperlink>
      <w:r>
        <w:rPr/>
        <w:t>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0"/>
        </w:rPr>
      </w:pPr>
      <w:r>
        <w:rPr/>
        <w:pict>
          <v:group style="position:absolute;margin-left:128pt;margin-top:13.515625pt;width:391.3pt;height:150.1pt;mso-position-horizontal-relative:page;mso-position-vertical-relative:paragraph;z-index:-15581696;mso-wrap-distance-left:0;mso-wrap-distance-right:0" coordorigin="2560,270" coordsize="7826,3002">
            <v:shape style="position:absolute;left:2560;top:272;width:3970;height:2992" type="#_x0000_t75" stroked="false">
              <v:imagedata r:id="rId373" o:title=""/>
            </v:shape>
            <v:shape style="position:absolute;left:6590;top:270;width:3796;height:3002" type="#_x0000_t75" stroked="false">
              <v:imagedata r:id="rId374" o:title=""/>
            </v:shape>
            <w10:wrap type="topAndBottom"/>
          </v:group>
        </w:pict>
      </w:r>
    </w:p>
    <w:p>
      <w:pPr>
        <w:spacing w:before="170"/>
        <w:ind w:left="440" w:right="403" w:firstLine="0"/>
        <w:jc w:val="left"/>
        <w:rPr>
          <w:i/>
          <w:sz w:val="24"/>
        </w:rPr>
      </w:pPr>
      <w:bookmarkStart w:name="_bookmark144" w:id="453"/>
      <w:bookmarkEnd w:id="453"/>
      <w:r>
        <w:rPr/>
      </w:r>
      <w:r>
        <w:rPr>
          <w:i/>
          <w:sz w:val="24"/>
        </w:rPr>
        <w:t>Figure</w:t>
      </w:r>
      <w:r>
        <w:rPr>
          <w:i/>
          <w:spacing w:val="12"/>
          <w:sz w:val="24"/>
        </w:rPr>
        <w:t> </w:t>
      </w:r>
      <w:r>
        <w:rPr>
          <w:i/>
          <w:sz w:val="24"/>
        </w:rPr>
        <w:t>7-19.</w:t>
      </w:r>
      <w:r>
        <w:rPr>
          <w:i/>
          <w:spacing w:val="11"/>
          <w:sz w:val="24"/>
        </w:rPr>
        <w:t> </w:t>
      </w:r>
      <w:r>
        <w:rPr>
          <w:i/>
          <w:sz w:val="24"/>
        </w:rPr>
        <w:t>Dissection</w:t>
      </w:r>
      <w:r>
        <w:rPr>
          <w:i/>
          <w:spacing w:val="1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2"/>
          <w:sz w:val="24"/>
        </w:rPr>
        <w:t> </w:t>
      </w:r>
      <w:r>
        <w:rPr>
          <w:i/>
          <w:sz w:val="24"/>
        </w:rPr>
        <w:t>aramid</w:t>
      </w:r>
      <w:r>
        <w:rPr>
          <w:i/>
          <w:spacing w:val="12"/>
          <w:sz w:val="24"/>
        </w:rPr>
        <w:t> </w:t>
      </w:r>
      <w:r>
        <w:rPr>
          <w:i/>
          <w:sz w:val="24"/>
        </w:rPr>
        <w:t>panel</w:t>
      </w:r>
      <w:r>
        <w:rPr>
          <w:i/>
          <w:spacing w:val="13"/>
          <w:sz w:val="24"/>
        </w:rPr>
        <w:t> </w:t>
      </w:r>
      <w:r>
        <w:rPr>
          <w:i/>
          <w:sz w:val="24"/>
        </w:rPr>
        <w:t>ECLT:</w:t>
      </w:r>
      <w:r>
        <w:rPr>
          <w:i/>
          <w:spacing w:val="11"/>
          <w:sz w:val="24"/>
        </w:rPr>
        <w:t> </w:t>
      </w:r>
      <w:r>
        <w:rPr>
          <w:i/>
          <w:sz w:val="24"/>
        </w:rPr>
        <w:t>(left)</w:t>
      </w:r>
      <w:r>
        <w:rPr>
          <w:i/>
          <w:spacing w:val="10"/>
          <w:sz w:val="24"/>
        </w:rPr>
        <w:t> </w:t>
      </w:r>
      <w:r>
        <w:rPr>
          <w:i/>
          <w:sz w:val="24"/>
        </w:rPr>
        <w:t>close-up</w:t>
      </w:r>
      <w:r>
        <w:rPr>
          <w:i/>
          <w:spacing w:val="13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2"/>
          <w:sz w:val="24"/>
        </w:rPr>
        <w:t> </w:t>
      </w:r>
      <w:r>
        <w:rPr>
          <w:i/>
          <w:sz w:val="24"/>
        </w:rPr>
        <w:t>projectile</w:t>
      </w:r>
      <w:r>
        <w:rPr>
          <w:i/>
          <w:spacing w:val="12"/>
          <w:sz w:val="24"/>
        </w:rPr>
        <w:t> </w:t>
      </w:r>
      <w:r>
        <w:rPr>
          <w:i/>
          <w:sz w:val="24"/>
        </w:rPr>
        <w:t>path;</w:t>
      </w:r>
      <w:r>
        <w:rPr>
          <w:i/>
          <w:spacing w:val="13"/>
          <w:sz w:val="24"/>
        </w:rPr>
        <w:t> </w:t>
      </w:r>
      <w:r>
        <w:rPr>
          <w:i/>
          <w:sz w:val="24"/>
        </w:rPr>
        <w:t>(right)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fracture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aramid fibers.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229"/>
        <w:ind w:left="439" w:right="417" w:firstLine="720"/>
        <w:jc w:val="both"/>
      </w:pPr>
      <w:r>
        <w:rPr/>
        <w:t>In</w:t>
      </w:r>
      <w:r>
        <w:rPr>
          <w:spacing w:val="1"/>
        </w:rPr>
        <w:t> </w:t>
      </w:r>
      <w:r>
        <w:rPr/>
        <w:t>general,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aramid</w:t>
      </w:r>
      <w:r>
        <w:rPr>
          <w:spacing w:val="1"/>
        </w:rPr>
        <w:t> </w:t>
      </w:r>
      <w:r>
        <w:rPr/>
        <w:t>epoxy</w:t>
      </w:r>
      <w:r>
        <w:rPr>
          <w:spacing w:val="1"/>
        </w:rPr>
        <w:t> </w:t>
      </w:r>
      <w:r>
        <w:rPr/>
        <w:t>panel</w:t>
      </w:r>
      <w:r>
        <w:rPr>
          <w:spacing w:val="1"/>
        </w:rPr>
        <w:t> </w:t>
      </w:r>
      <w:r>
        <w:rPr/>
        <w:t>ECLT</w:t>
      </w:r>
      <w:r>
        <w:rPr>
          <w:spacing w:val="1"/>
        </w:rPr>
        <w:t> </w:t>
      </w:r>
      <w:r>
        <w:rPr/>
        <w:t>specimens</w:t>
      </w:r>
      <w:r>
        <w:rPr>
          <w:spacing w:val="1"/>
        </w:rPr>
        <w:t> </w:t>
      </w:r>
      <w:r>
        <w:rPr/>
        <w:t>did</w:t>
      </w:r>
      <w:r>
        <w:rPr>
          <w:spacing w:val="1"/>
        </w:rPr>
        <w:t> </w:t>
      </w:r>
      <w:r>
        <w:rPr/>
        <w:t>very</w:t>
      </w:r>
      <w:r>
        <w:rPr>
          <w:spacing w:val="1"/>
        </w:rPr>
        <w:t> </w:t>
      </w:r>
      <w:r>
        <w:rPr/>
        <w:t>well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no</w:t>
      </w:r>
      <w:r>
        <w:rPr>
          <w:spacing w:val="-57"/>
        </w:rPr>
        <w:t> </w:t>
      </w:r>
      <w:r>
        <w:rPr/>
        <w:t>perforations until the striking velocity was elevated to almost 3,000 fps (915 m/s). For the</w:t>
      </w:r>
      <w:r>
        <w:rPr>
          <w:spacing w:val="-57"/>
        </w:rPr>
        <w:t> </w:t>
      </w:r>
      <w:r>
        <w:rPr/>
        <w:t>initial two specimens shot at the constant velocity, the depths of penetration measure</w:t>
      </w:r>
      <w:r>
        <w:rPr>
          <w:spacing w:val="1"/>
        </w:rPr>
        <w:t> </w:t>
      </w:r>
      <w:r>
        <w:rPr/>
        <w:t>indicated</w:t>
      </w:r>
      <w:r>
        <w:rPr>
          <w:spacing w:val="-7"/>
        </w:rPr>
        <w:t> </w:t>
      </w:r>
      <w:r>
        <w:rPr/>
        <w:t>that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projectile</w:t>
      </w:r>
      <w:r>
        <w:rPr>
          <w:spacing w:val="-6"/>
        </w:rPr>
        <w:t> </w:t>
      </w:r>
      <w:r>
        <w:rPr/>
        <w:t>was</w:t>
      </w:r>
      <w:r>
        <w:rPr>
          <w:spacing w:val="-6"/>
        </w:rPr>
        <w:t> </w:t>
      </w:r>
      <w:r>
        <w:rPr/>
        <w:t>stopped</w:t>
      </w:r>
      <w:r>
        <w:rPr>
          <w:spacing w:val="-7"/>
        </w:rPr>
        <w:t> </w:t>
      </w:r>
      <w:r>
        <w:rPr/>
        <w:t>just</w:t>
      </w:r>
      <w:r>
        <w:rPr>
          <w:spacing w:val="-6"/>
        </w:rPr>
        <w:t> </w:t>
      </w:r>
      <w:r>
        <w:rPr/>
        <w:t>beyond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aramid</w:t>
      </w:r>
      <w:r>
        <w:rPr>
          <w:spacing w:val="-6"/>
        </w:rPr>
        <w:t> </w:t>
      </w:r>
      <w:r>
        <w:rPr/>
        <w:t>panel</w:t>
      </w:r>
      <w:r>
        <w:rPr>
          <w:spacing w:val="-6"/>
        </w:rPr>
        <w:t> </w:t>
      </w:r>
      <w:r>
        <w:rPr/>
        <w:t>in</w:t>
      </w:r>
      <w:r>
        <w:rPr>
          <w:spacing w:val="-8"/>
        </w:rPr>
        <w:t> </w:t>
      </w:r>
      <w:r>
        <w:rPr/>
        <w:t>the</w:t>
      </w:r>
      <w:r>
        <w:rPr>
          <w:spacing w:val="-6"/>
        </w:rPr>
        <w:t> </w:t>
      </w:r>
      <w:r>
        <w:rPr/>
        <w:t>first</w:t>
      </w:r>
      <w:r>
        <w:rPr>
          <w:spacing w:val="-6"/>
        </w:rPr>
        <w:t> </w:t>
      </w:r>
      <w:r>
        <w:rPr/>
        <w:t>ply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58"/>
        </w:rPr>
        <w:t> </w:t>
      </w:r>
      <w:r>
        <w:rPr/>
        <w:t>3-ply CLT section behind the enhancing layer.</w:t>
      </w:r>
      <w:r>
        <w:rPr>
          <w:spacing w:val="1"/>
        </w:rPr>
        <w:t> </w:t>
      </w:r>
      <w:r>
        <w:rPr/>
        <w:t>The aramid fiber is known for excellent</w:t>
      </w:r>
      <w:r>
        <w:rPr>
          <w:spacing w:val="1"/>
        </w:rPr>
        <w:t> </w:t>
      </w:r>
      <w:r>
        <w:rPr/>
        <w:t>ballistic resistance so this outcome was expected.</w:t>
      </w:r>
      <w:r>
        <w:rPr>
          <w:spacing w:val="1"/>
        </w:rPr>
        <w:t> </w:t>
      </w:r>
      <w:r>
        <w:rPr/>
        <w:t>The lack of evidence of delamination</w:t>
      </w:r>
      <w:r>
        <w:rPr>
          <w:spacing w:val="1"/>
        </w:rPr>
        <w:t> </w:t>
      </w:r>
      <w:r>
        <w:rPr/>
        <w:t>with attachment to the CLT sections was an additional positive measure of performance</w:t>
      </w:r>
      <w:r>
        <w:rPr>
          <w:spacing w:val="1"/>
        </w:rPr>
        <w:t> </w:t>
      </w:r>
      <w:r>
        <w:rPr/>
        <w:t>for</w:t>
      </w:r>
      <w:r>
        <w:rPr>
          <w:spacing w:val="-1"/>
        </w:rPr>
        <w:t> </w:t>
      </w:r>
      <w:r>
        <w:rPr/>
        <w:t>this ECLT</w:t>
      </w:r>
      <w:r>
        <w:rPr>
          <w:spacing w:val="-1"/>
        </w:rPr>
        <w:t> </w:t>
      </w:r>
      <w:r>
        <w:rPr/>
        <w:t>layup.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ListParagraph"/>
        <w:numPr>
          <w:ilvl w:val="2"/>
          <w:numId w:val="25"/>
        </w:numPr>
        <w:tabs>
          <w:tab w:pos="1040" w:val="left" w:leader="none"/>
        </w:tabs>
        <w:spacing w:line="240" w:lineRule="auto" w:before="79" w:after="0"/>
        <w:ind w:left="1040" w:right="0" w:hanging="600"/>
        <w:jc w:val="both"/>
        <w:rPr>
          <w:i/>
          <w:sz w:val="24"/>
        </w:rPr>
      </w:pPr>
      <w:bookmarkStart w:name="7.3.3. Steel plates (solid)" w:id="454"/>
      <w:bookmarkEnd w:id="454"/>
      <w:r>
        <w:rPr/>
      </w:r>
      <w:bookmarkStart w:name="7.3.3. Steel plates (solid)" w:id="455"/>
      <w:bookmarkEnd w:id="455"/>
      <w:r>
        <w:rPr>
          <w:i/>
          <w:sz w:val="24"/>
        </w:rPr>
        <w:t>Steel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plates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(solid)</w:t>
      </w:r>
    </w:p>
    <w:p>
      <w:pPr>
        <w:pStyle w:val="BodyText"/>
        <w:spacing w:line="480" w:lineRule="auto" w:before="140"/>
        <w:ind w:left="440" w:right="417" w:firstLine="720"/>
        <w:jc w:val="both"/>
      </w:pPr>
      <w:r>
        <w:rPr/>
        <w:t>The adhesion of the plate to the wood proved to be challenging due to the natural</w:t>
      </w:r>
      <w:r>
        <w:rPr>
          <w:spacing w:val="1"/>
        </w:rPr>
        <w:t> </w:t>
      </w:r>
      <w:r>
        <w:rPr/>
        <w:t>curvature of the wood surface in contrast to the flat steel plate.</w:t>
      </w:r>
      <w:r>
        <w:rPr>
          <w:spacing w:val="1"/>
        </w:rPr>
        <w:t> </w:t>
      </w:r>
      <w:r>
        <w:rPr/>
        <w:t>While both the steel and</w:t>
      </w:r>
      <w:r>
        <w:rPr>
          <w:spacing w:val="1"/>
        </w:rPr>
        <w:t> </w:t>
      </w:r>
      <w:r>
        <w:rPr/>
        <w:t>wood surfaces were coated with the epoxy mixture, gaps were observed between the two</w:t>
      </w:r>
      <w:r>
        <w:rPr>
          <w:spacing w:val="1"/>
        </w:rPr>
        <w:t> </w:t>
      </w:r>
      <w:r>
        <w:rPr/>
        <w:t>materials.</w:t>
      </w:r>
      <w:r>
        <w:rPr>
          <w:spacing w:val="1"/>
        </w:rPr>
        <w:t> </w:t>
      </w:r>
      <w:r>
        <w:rPr/>
        <w:t>This would be a challenge in manufacturing this particular type of ECLT.</w:t>
      </w:r>
      <w:r>
        <w:rPr>
          <w:spacing w:val="1"/>
        </w:rPr>
        <w:t> </w:t>
      </w:r>
      <w:r>
        <w:rPr/>
        <w:t>Another</w:t>
      </w:r>
      <w:r>
        <w:rPr>
          <w:spacing w:val="-13"/>
        </w:rPr>
        <w:t> </w:t>
      </w:r>
      <w:r>
        <w:rPr/>
        <w:t>adhesive</w:t>
      </w:r>
      <w:r>
        <w:rPr>
          <w:spacing w:val="-13"/>
        </w:rPr>
        <w:t> </w:t>
      </w:r>
      <w:r>
        <w:rPr/>
        <w:t>or</w:t>
      </w:r>
      <w:r>
        <w:rPr>
          <w:spacing w:val="-13"/>
        </w:rPr>
        <w:t> </w:t>
      </w:r>
      <w:r>
        <w:rPr/>
        <w:t>potentially</w:t>
      </w:r>
      <w:r>
        <w:rPr>
          <w:spacing w:val="-13"/>
        </w:rPr>
        <w:t> </w:t>
      </w:r>
      <w:r>
        <w:rPr/>
        <w:t>mechanical</w:t>
      </w:r>
      <w:r>
        <w:rPr>
          <w:spacing w:val="-13"/>
        </w:rPr>
        <w:t> </w:t>
      </w:r>
      <w:r>
        <w:rPr/>
        <w:t>connections</w:t>
      </w:r>
      <w:r>
        <w:rPr>
          <w:spacing w:val="-14"/>
        </w:rPr>
        <w:t> </w:t>
      </w:r>
      <w:r>
        <w:rPr/>
        <w:t>like</w:t>
      </w:r>
      <w:r>
        <w:rPr>
          <w:spacing w:val="-14"/>
        </w:rPr>
        <w:t> </w:t>
      </w:r>
      <w:r>
        <w:rPr/>
        <w:t>those</w:t>
      </w:r>
      <w:r>
        <w:rPr>
          <w:spacing w:val="-13"/>
        </w:rPr>
        <w:t> </w:t>
      </w:r>
      <w:r>
        <w:rPr/>
        <w:t>used</w:t>
      </w:r>
      <w:r>
        <w:rPr>
          <w:spacing w:val="-14"/>
        </w:rPr>
        <w:t> </w:t>
      </w:r>
      <w:r>
        <w:rPr/>
        <w:t>with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perforated</w:t>
      </w:r>
      <w:r>
        <w:rPr>
          <w:spacing w:val="-57"/>
        </w:rPr>
        <w:t> </w:t>
      </w:r>
      <w:r>
        <w:rPr/>
        <w:t>metals could be alternatives to explore.</w:t>
      </w:r>
      <w:r>
        <w:rPr>
          <w:spacing w:val="1"/>
        </w:rPr>
        <w:t> </w:t>
      </w:r>
      <w:r>
        <w:rPr/>
        <w:t>Despite the gaps, the overall specimen once the</w:t>
      </w:r>
      <w:r>
        <w:rPr>
          <w:spacing w:val="1"/>
        </w:rPr>
        <w:t> </w:t>
      </w:r>
      <w:r>
        <w:rPr/>
        <w:t>epoxy dried appeared securely adhered and there was no movement upon application of</w:t>
      </w:r>
      <w:r>
        <w:rPr>
          <w:spacing w:val="1"/>
        </w:rPr>
        <w:t> </w:t>
      </w:r>
      <w:r>
        <w:rPr/>
        <w:t>static</w:t>
      </w:r>
      <w:r>
        <w:rPr>
          <w:spacing w:val="-1"/>
        </w:rPr>
        <w:t> </w:t>
      </w:r>
      <w:r>
        <w:rPr/>
        <w:t>load to</w:t>
      </w:r>
      <w:r>
        <w:rPr>
          <w:spacing w:val="-2"/>
        </w:rPr>
        <w:t> </w:t>
      </w:r>
      <w:r>
        <w:rPr/>
        <w:t>the test specimen.</w:t>
      </w:r>
    </w:p>
    <w:p>
      <w:pPr>
        <w:pStyle w:val="ListParagraph"/>
        <w:numPr>
          <w:ilvl w:val="3"/>
          <w:numId w:val="25"/>
        </w:numPr>
        <w:tabs>
          <w:tab w:pos="1160" w:val="left" w:leader="none"/>
        </w:tabs>
        <w:spacing w:line="240" w:lineRule="auto" w:before="161" w:after="0"/>
        <w:ind w:left="1160" w:right="0" w:hanging="720"/>
        <w:jc w:val="both"/>
        <w:rPr>
          <w:i/>
          <w:sz w:val="24"/>
        </w:rPr>
      </w:pPr>
      <w:bookmarkStart w:name="7.3.3.1 Type 4 - Mild steel" w:id="456"/>
      <w:bookmarkEnd w:id="456"/>
      <w:r>
        <w:rPr/>
      </w:r>
      <w:bookmarkStart w:name="7.3.3.1 Type 4 - Mild steel" w:id="457"/>
      <w:bookmarkEnd w:id="457"/>
      <w:r>
        <w:rPr>
          <w:i/>
          <w:sz w:val="24"/>
          <w:u w:val="single"/>
        </w:rPr>
        <w:t>T</w:t>
      </w:r>
      <w:r>
        <w:rPr>
          <w:i/>
          <w:sz w:val="24"/>
          <w:u w:val="single"/>
        </w:rPr>
        <w:t>ype</w:t>
      </w:r>
      <w:r>
        <w:rPr>
          <w:i/>
          <w:spacing w:val="-2"/>
          <w:sz w:val="24"/>
          <w:u w:val="single"/>
        </w:rPr>
        <w:t> </w:t>
      </w:r>
      <w:r>
        <w:rPr>
          <w:i/>
          <w:sz w:val="24"/>
          <w:u w:val="single"/>
        </w:rPr>
        <w:t>4</w:t>
      </w:r>
      <w:r>
        <w:rPr>
          <w:i/>
          <w:spacing w:val="-1"/>
          <w:sz w:val="24"/>
          <w:u w:val="single"/>
        </w:rPr>
        <w:t> </w:t>
      </w:r>
      <w:r>
        <w:rPr>
          <w:i/>
          <w:sz w:val="24"/>
          <w:u w:val="single"/>
        </w:rPr>
        <w:t>-</w:t>
      </w:r>
      <w:r>
        <w:rPr>
          <w:i/>
          <w:spacing w:val="-1"/>
          <w:sz w:val="24"/>
          <w:u w:val="single"/>
        </w:rPr>
        <w:t> </w:t>
      </w:r>
      <w:r>
        <w:rPr>
          <w:i/>
          <w:sz w:val="24"/>
          <w:u w:val="single"/>
        </w:rPr>
        <w:t>Mild</w:t>
      </w:r>
      <w:r>
        <w:rPr>
          <w:i/>
          <w:spacing w:val="-1"/>
          <w:sz w:val="24"/>
          <w:u w:val="single"/>
        </w:rPr>
        <w:t> </w:t>
      </w:r>
      <w:r>
        <w:rPr>
          <w:i/>
          <w:sz w:val="24"/>
          <w:u w:val="single"/>
        </w:rPr>
        <w:t>steel</w:t>
      </w:r>
    </w:p>
    <w:p>
      <w:pPr>
        <w:pStyle w:val="BodyText"/>
        <w:spacing w:before="10"/>
        <w:rPr>
          <w:i/>
          <w:sz w:val="14"/>
        </w:rPr>
      </w:pPr>
    </w:p>
    <w:p>
      <w:pPr>
        <w:pStyle w:val="BodyText"/>
        <w:spacing w:line="480" w:lineRule="auto" w:before="90"/>
        <w:ind w:left="439" w:right="416" w:firstLine="720"/>
        <w:jc w:val="both"/>
      </w:pPr>
      <w:r>
        <w:rPr/>
        <w:t>Five test shots were taken as each of the two specimens constructed with the 0.25-</w:t>
      </w:r>
      <w:r>
        <w:rPr>
          <w:spacing w:val="-57"/>
        </w:rPr>
        <w:t> </w:t>
      </w:r>
      <w:r>
        <w:rPr/>
        <w:t>inch mild steel plate, as shown in </w:t>
      </w:r>
      <w:hyperlink w:history="true" w:anchor="_bookmark145">
        <w:r>
          <w:rPr/>
          <w:t>Figure 7-20</w:t>
        </w:r>
      </w:hyperlink>
      <w:r>
        <w:rPr/>
        <w:t>.</w:t>
      </w:r>
      <w:r>
        <w:rPr>
          <w:spacing w:val="1"/>
        </w:rPr>
        <w:t> </w:t>
      </w:r>
      <w:r>
        <w:rPr/>
        <w:t>With an average striking velocity of 2,585</w:t>
      </w:r>
      <w:r>
        <w:rPr>
          <w:spacing w:val="-57"/>
        </w:rPr>
        <w:t> </w:t>
      </w:r>
      <w:r>
        <w:rPr/>
        <w:t>fps</w:t>
      </w:r>
      <w:r>
        <w:rPr>
          <w:spacing w:val="-7"/>
        </w:rPr>
        <w:t> </w:t>
      </w:r>
      <w:r>
        <w:rPr/>
        <w:t>(788</w:t>
      </w:r>
      <w:r>
        <w:rPr>
          <w:spacing w:val="-6"/>
        </w:rPr>
        <w:t> </w:t>
      </w:r>
      <w:r>
        <w:rPr/>
        <w:t>m/s),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average</w:t>
      </w:r>
      <w:r>
        <w:rPr>
          <w:spacing w:val="-6"/>
        </w:rPr>
        <w:t> </w:t>
      </w:r>
      <w:r>
        <w:rPr/>
        <w:t>depth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penetration</w:t>
      </w:r>
      <w:r>
        <w:rPr>
          <w:spacing w:val="-7"/>
        </w:rPr>
        <w:t> </w:t>
      </w:r>
      <w:r>
        <w:rPr/>
        <w:t>was</w:t>
      </w:r>
      <w:r>
        <w:rPr>
          <w:spacing w:val="-7"/>
        </w:rPr>
        <w:t> </w:t>
      </w:r>
      <w:r>
        <w:rPr/>
        <w:t>2.7875-inches.</w:t>
      </w:r>
      <w:r>
        <w:rPr>
          <w:spacing w:val="48"/>
        </w:rPr>
        <w:t> </w:t>
      </w:r>
      <w:r>
        <w:rPr/>
        <w:t>The</w:t>
      </w:r>
      <w:r>
        <w:rPr>
          <w:spacing w:val="-7"/>
        </w:rPr>
        <w:t> </w:t>
      </w:r>
      <w:r>
        <w:rPr/>
        <w:t>thickness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2-</w:t>
      </w:r>
      <w:r>
        <w:rPr>
          <w:spacing w:val="-58"/>
        </w:rPr>
        <w:t> </w:t>
      </w:r>
      <w:r>
        <w:rPr/>
        <w:t>ply CLT on the specimen face was 2.7500-inches so the measured depths of penetration</w:t>
      </w:r>
      <w:r>
        <w:rPr>
          <w:spacing w:val="1"/>
        </w:rPr>
        <w:t> </w:t>
      </w:r>
      <w:r>
        <w:rPr/>
        <w:t>indicate that the 0.50-in. sphere projectile was stopped right at the front of the mild steel</w:t>
      </w:r>
      <w:r>
        <w:rPr>
          <w:spacing w:val="1"/>
        </w:rPr>
        <w:t> </w:t>
      </w:r>
      <w:r>
        <w:rPr/>
        <w:t>plate. The difference in depths of penetration were relatively minor and attributable to the</w:t>
      </w:r>
      <w:r>
        <w:rPr>
          <w:spacing w:val="-57"/>
        </w:rPr>
        <w:t> </w:t>
      </w:r>
      <w:r>
        <w:rPr/>
        <w:t>variation</w:t>
      </w:r>
      <w:r>
        <w:rPr>
          <w:spacing w:val="-5"/>
        </w:rPr>
        <w:t> </w:t>
      </w:r>
      <w:r>
        <w:rPr/>
        <w:t>in</w:t>
      </w:r>
      <w:r>
        <w:rPr>
          <w:spacing w:val="-4"/>
        </w:rPr>
        <w:t> </w:t>
      </w:r>
      <w:r>
        <w:rPr/>
        <w:t>striking</w:t>
      </w:r>
      <w:r>
        <w:rPr>
          <w:spacing w:val="-4"/>
        </w:rPr>
        <w:t> </w:t>
      </w:r>
      <w:r>
        <w:rPr/>
        <w:t>velocity</w:t>
      </w:r>
      <w:r>
        <w:rPr>
          <w:spacing w:val="-3"/>
        </w:rPr>
        <w:t> </w:t>
      </w:r>
      <w:r>
        <w:rPr/>
        <w:t>along</w:t>
      </w:r>
      <w:r>
        <w:rPr>
          <w:spacing w:val="-4"/>
        </w:rPr>
        <w:t> </w:t>
      </w:r>
      <w:r>
        <w:rPr/>
        <w:t>with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wood</w:t>
      </w:r>
      <w:r>
        <w:rPr>
          <w:spacing w:val="-3"/>
        </w:rPr>
        <w:t> </w:t>
      </w:r>
      <w:r>
        <w:rPr/>
        <w:t>variance.</w:t>
      </w:r>
      <w:r>
        <w:rPr>
          <w:spacing w:val="54"/>
        </w:rPr>
        <w:t> </w:t>
      </w:r>
      <w:hyperlink w:history="true" w:anchor="_bookmark146">
        <w:r>
          <w:rPr/>
          <w:t>Table</w:t>
        </w:r>
        <w:r>
          <w:rPr>
            <w:spacing w:val="-3"/>
          </w:rPr>
          <w:t> </w:t>
        </w:r>
        <w:r>
          <w:rPr/>
          <w:t>7-6</w:t>
        </w:r>
        <w:r>
          <w:rPr>
            <w:spacing w:val="-3"/>
          </w:rPr>
          <w:t> </w:t>
        </w:r>
      </w:hyperlink>
      <w:r>
        <w:rPr/>
        <w:t>shows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test</w:t>
      </w:r>
      <w:r>
        <w:rPr>
          <w:spacing w:val="-3"/>
        </w:rPr>
        <w:t> </w:t>
      </w:r>
      <w:r>
        <w:rPr/>
        <w:t>data.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/>
        <w:ind w:left="439" w:right="418" w:firstLine="720"/>
        <w:jc w:val="both"/>
      </w:pPr>
      <w:r>
        <w:rPr/>
        <w:t>While not observed after the first shot, upon successive shots, very small fractures</w:t>
      </w:r>
      <w:r>
        <w:rPr>
          <w:spacing w:val="-57"/>
        </w:rPr>
        <w:t> </w:t>
      </w:r>
      <w:r>
        <w:rPr/>
        <w:t>(i.e., hairline cracking) were observed on the top and sides of the specimen in the wood</w:t>
      </w:r>
      <w:r>
        <w:rPr>
          <w:spacing w:val="1"/>
        </w:rPr>
        <w:t> </w:t>
      </w:r>
      <w:r>
        <w:rPr/>
        <w:t>near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steel</w:t>
      </w:r>
      <w:r>
        <w:rPr>
          <w:spacing w:val="-5"/>
        </w:rPr>
        <w:t> </w:t>
      </w:r>
      <w:r>
        <w:rPr/>
        <w:t>interface,</w:t>
      </w:r>
      <w:r>
        <w:rPr>
          <w:spacing w:val="-5"/>
        </w:rPr>
        <w:t> </w:t>
      </w:r>
      <w:r>
        <w:rPr/>
        <w:t>as</w:t>
      </w:r>
      <w:r>
        <w:rPr>
          <w:spacing w:val="-5"/>
        </w:rPr>
        <w:t> </w:t>
      </w:r>
      <w:r>
        <w:rPr/>
        <w:t>shown</w:t>
      </w:r>
      <w:r>
        <w:rPr>
          <w:spacing w:val="-5"/>
        </w:rPr>
        <w:t> </w:t>
      </w:r>
      <w:r>
        <w:rPr/>
        <w:t>in</w:t>
      </w:r>
      <w:r>
        <w:rPr>
          <w:spacing w:val="-7"/>
        </w:rPr>
        <w:t> </w:t>
      </w:r>
      <w:hyperlink w:history="true" w:anchor="_bookmark147">
        <w:r>
          <w:rPr/>
          <w:t>Figure</w:t>
        </w:r>
        <w:r>
          <w:rPr>
            <w:spacing w:val="-6"/>
          </w:rPr>
          <w:t> </w:t>
        </w:r>
        <w:r>
          <w:rPr/>
          <w:t>7-21</w:t>
        </w:r>
      </w:hyperlink>
      <w:r>
        <w:rPr/>
        <w:t>.</w:t>
      </w:r>
      <w:r>
        <w:rPr>
          <w:spacing w:val="48"/>
        </w:rPr>
        <w:t> </w:t>
      </w:r>
      <w:r>
        <w:rPr/>
        <w:t>The</w:t>
      </w:r>
      <w:r>
        <w:rPr>
          <w:spacing w:val="-5"/>
        </w:rPr>
        <w:t> </w:t>
      </w:r>
      <w:r>
        <w:rPr/>
        <w:t>cracks</w:t>
      </w:r>
      <w:r>
        <w:rPr>
          <w:spacing w:val="-5"/>
        </w:rPr>
        <w:t> </w:t>
      </w:r>
      <w:r>
        <w:rPr/>
        <w:t>occurred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wood</w:t>
      </w:r>
      <w:r>
        <w:rPr>
          <w:spacing w:val="-5"/>
        </w:rPr>
        <w:t> </w:t>
      </w:r>
      <w:r>
        <w:rPr/>
        <w:t>on</w:t>
      </w:r>
      <w:r>
        <w:rPr>
          <w:spacing w:val="-5"/>
        </w:rPr>
        <w:t> </w:t>
      </w:r>
      <w:r>
        <w:rPr/>
        <w:t>both</w:t>
      </w:r>
      <w:r>
        <w:rPr>
          <w:spacing w:val="-58"/>
        </w:rPr>
        <w:t> </w:t>
      </w:r>
      <w:r>
        <w:rPr/>
        <w:t>the front and back face of the steel plate with respective to the impact direction.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cracks grew with each additional shot.</w:t>
      </w:r>
      <w:r>
        <w:rPr>
          <w:spacing w:val="1"/>
        </w:rPr>
        <w:t> </w:t>
      </w:r>
      <w:r>
        <w:rPr/>
        <w:t>Although not a delamination occurring strictly</w:t>
      </w:r>
      <w:r>
        <w:rPr>
          <w:spacing w:val="1"/>
        </w:rPr>
        <w:t> </w:t>
      </w:r>
      <w:r>
        <w:rPr/>
        <w:t>within</w:t>
      </w:r>
      <w:r>
        <w:rPr>
          <w:spacing w:val="28"/>
        </w:rPr>
        <w:t> </w:t>
      </w:r>
      <w:r>
        <w:rPr/>
        <w:t>the</w:t>
      </w:r>
      <w:r>
        <w:rPr>
          <w:spacing w:val="29"/>
        </w:rPr>
        <w:t> </w:t>
      </w:r>
      <w:r>
        <w:rPr/>
        <w:t>epoxy</w:t>
      </w:r>
      <w:r>
        <w:rPr>
          <w:spacing w:val="28"/>
        </w:rPr>
        <w:t> </w:t>
      </w:r>
      <w:r>
        <w:rPr/>
        <w:t>between</w:t>
      </w:r>
      <w:r>
        <w:rPr>
          <w:spacing w:val="29"/>
        </w:rPr>
        <w:t> </w:t>
      </w:r>
      <w:r>
        <w:rPr/>
        <w:t>the</w:t>
      </w:r>
      <w:r>
        <w:rPr>
          <w:spacing w:val="29"/>
        </w:rPr>
        <w:t> </w:t>
      </w:r>
      <w:r>
        <w:rPr/>
        <w:t>steel</w:t>
      </w:r>
      <w:r>
        <w:rPr>
          <w:spacing w:val="27"/>
        </w:rPr>
        <w:t> </w:t>
      </w:r>
      <w:r>
        <w:rPr/>
        <w:t>and</w:t>
      </w:r>
      <w:r>
        <w:rPr>
          <w:spacing w:val="29"/>
        </w:rPr>
        <w:t> </w:t>
      </w:r>
      <w:r>
        <w:rPr/>
        <w:t>wood,</w:t>
      </w:r>
      <w:r>
        <w:rPr>
          <w:spacing w:val="29"/>
        </w:rPr>
        <w:t> </w:t>
      </w:r>
      <w:r>
        <w:rPr/>
        <w:t>this</w:t>
      </w:r>
      <w:r>
        <w:rPr>
          <w:spacing w:val="28"/>
        </w:rPr>
        <w:t> </w:t>
      </w:r>
      <w:r>
        <w:rPr/>
        <w:t>cracking</w:t>
      </w:r>
      <w:r>
        <w:rPr>
          <w:spacing w:val="29"/>
        </w:rPr>
        <w:t> </w:t>
      </w:r>
      <w:r>
        <w:rPr/>
        <w:t>indicated</w:t>
      </w:r>
      <w:r>
        <w:rPr>
          <w:spacing w:val="27"/>
        </w:rPr>
        <w:t> </w:t>
      </w:r>
      <w:r>
        <w:rPr/>
        <w:t>the</w:t>
      </w:r>
      <w:r>
        <w:rPr>
          <w:spacing w:val="29"/>
        </w:rPr>
        <w:t> </w:t>
      </w:r>
      <w:r>
        <w:rPr/>
        <w:t>high</w:t>
      </w:r>
      <w:r>
        <w:rPr>
          <w:spacing w:val="28"/>
        </w:rPr>
        <w:t> </w:t>
      </w:r>
      <w:r>
        <w:rPr/>
        <w:t>stresses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40" w:right="418"/>
      </w:pPr>
      <w:r>
        <w:rPr/>
        <w:t>occurring</w:t>
      </w:r>
      <w:r>
        <w:rPr>
          <w:spacing w:val="-7"/>
        </w:rPr>
        <w:t> </w:t>
      </w:r>
      <w:r>
        <w:rPr/>
        <w:t>in</w:t>
      </w:r>
      <w:r>
        <w:rPr>
          <w:spacing w:val="-9"/>
        </w:rPr>
        <w:t> </w:t>
      </w:r>
      <w:r>
        <w:rPr/>
        <w:t>the</w:t>
      </w:r>
      <w:r>
        <w:rPr>
          <w:spacing w:val="-6"/>
        </w:rPr>
        <w:t> </w:t>
      </w:r>
      <w:r>
        <w:rPr/>
        <w:t>interface</w:t>
      </w:r>
      <w:r>
        <w:rPr>
          <w:spacing w:val="-7"/>
        </w:rPr>
        <w:t> </w:t>
      </w:r>
      <w:r>
        <w:rPr/>
        <w:t>between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two</w:t>
      </w:r>
      <w:r>
        <w:rPr>
          <w:spacing w:val="-6"/>
        </w:rPr>
        <w:t> </w:t>
      </w:r>
      <w:r>
        <w:rPr/>
        <w:t>materials.</w:t>
      </w:r>
      <w:r>
        <w:rPr>
          <w:spacing w:val="47"/>
        </w:rPr>
        <w:t> </w:t>
      </w:r>
      <w:r>
        <w:rPr/>
        <w:t>The</w:t>
      </w:r>
      <w:r>
        <w:rPr>
          <w:spacing w:val="-6"/>
        </w:rPr>
        <w:t> </w:t>
      </w:r>
      <w:r>
        <w:rPr/>
        <w:t>gaps</w:t>
      </w:r>
      <w:r>
        <w:rPr>
          <w:spacing w:val="-7"/>
        </w:rPr>
        <w:t> </w:t>
      </w:r>
      <w:r>
        <w:rPr/>
        <w:t>observed</w:t>
      </w:r>
      <w:r>
        <w:rPr>
          <w:spacing w:val="-7"/>
        </w:rPr>
        <w:t> </w:t>
      </w:r>
      <w:r>
        <w:rPr/>
        <w:t>with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adhering</w:t>
      </w:r>
      <w:r>
        <w:rPr>
          <w:spacing w:val="-57"/>
        </w:rPr>
        <w:t> </w:t>
      </w:r>
      <w:r>
        <w:rPr/>
        <w:t>challenges</w:t>
      </w:r>
      <w:r>
        <w:rPr>
          <w:spacing w:val="-1"/>
        </w:rPr>
        <w:t> </w:t>
      </w:r>
      <w:r>
        <w:rPr/>
        <w:t>likely contributed to</w:t>
      </w:r>
      <w:r>
        <w:rPr>
          <w:spacing w:val="-2"/>
        </w:rPr>
        <w:t> </w:t>
      </w:r>
      <w:r>
        <w:rPr/>
        <w:t>this</w:t>
      </w:r>
      <w:r>
        <w:rPr>
          <w:spacing w:val="-1"/>
        </w:rPr>
        <w:t> </w:t>
      </w:r>
      <w:r>
        <w:rPr/>
        <w:t>effect.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2"/>
        </w:rPr>
      </w:pPr>
      <w:r>
        <w:rPr/>
        <w:pict>
          <v:group style="position:absolute;margin-left:117.75pt;margin-top:9.184617pt;width:412.5pt;height:133.5pt;mso-position-horizontal-relative:page;mso-position-vertical-relative:paragraph;z-index:-15581184;mso-wrap-distance-left:0;mso-wrap-distance-right:0" coordorigin="2355,184" coordsize="8250,2670">
            <v:shape style="position:absolute;left:2355;top:183;width:2725;height:2655" type="#_x0000_t75" stroked="false">
              <v:imagedata r:id="rId375" o:title=""/>
            </v:shape>
            <v:shape style="position:absolute;left:5145;top:198;width:2667;height:2655" type="#_x0000_t75" stroked="false">
              <v:imagedata r:id="rId376" o:title=""/>
            </v:shape>
            <v:shape style="position:absolute;left:7875;top:183;width:2730;height:2655" type="#_x0000_t75" stroked="false">
              <v:imagedata r:id="rId377" o:title=""/>
            </v:shape>
            <w10:wrap type="topAndBottom"/>
          </v:group>
        </w:pict>
      </w:r>
    </w:p>
    <w:p>
      <w:pPr>
        <w:pStyle w:val="BodyText"/>
        <w:spacing w:before="151"/>
        <w:ind w:left="440" w:right="403"/>
      </w:pPr>
      <w:bookmarkStart w:name="_bookmark145" w:id="458"/>
      <w:bookmarkEnd w:id="458"/>
      <w:r>
        <w:rPr/>
      </w:r>
      <w:r>
        <w:rPr/>
        <w:t>Figure</w:t>
      </w:r>
      <w:r>
        <w:rPr>
          <w:spacing w:val="-2"/>
        </w:rPr>
        <w:t> </w:t>
      </w:r>
      <w:r>
        <w:rPr/>
        <w:t>7-20.</w:t>
      </w:r>
      <w:r>
        <w:rPr>
          <w:spacing w:val="-4"/>
        </w:rPr>
        <w:t> </w:t>
      </w:r>
      <w:r>
        <w:rPr/>
        <w:t>Mild</w:t>
      </w:r>
      <w:r>
        <w:rPr>
          <w:spacing w:val="-1"/>
        </w:rPr>
        <w:t> </w:t>
      </w:r>
      <w:r>
        <w:rPr/>
        <w:t>steel</w:t>
      </w:r>
      <w:r>
        <w:rPr>
          <w:spacing w:val="-3"/>
        </w:rPr>
        <w:t> </w:t>
      </w:r>
      <w:r>
        <w:rPr/>
        <w:t>ECLT</w:t>
      </w:r>
      <w:r>
        <w:rPr>
          <w:spacing w:val="-2"/>
        </w:rPr>
        <w:t> </w:t>
      </w:r>
      <w:r>
        <w:rPr/>
        <w:t>post-test:</w:t>
      </w:r>
      <w:r>
        <w:rPr>
          <w:spacing w:val="-3"/>
        </w:rPr>
        <w:t> </w:t>
      </w:r>
      <w:r>
        <w:rPr/>
        <w:t>(left)</w:t>
      </w:r>
      <w:r>
        <w:rPr>
          <w:spacing w:val="-1"/>
        </w:rPr>
        <w:t> </w:t>
      </w:r>
      <w:r>
        <w:rPr/>
        <w:t>front</w:t>
      </w:r>
      <w:r>
        <w:rPr>
          <w:spacing w:val="-2"/>
        </w:rPr>
        <w:t> </w:t>
      </w:r>
      <w:r>
        <w:rPr/>
        <w:t>face,</w:t>
      </w:r>
      <w:r>
        <w:rPr>
          <w:spacing w:val="-2"/>
        </w:rPr>
        <w:t> </w:t>
      </w:r>
      <w:r>
        <w:rPr/>
        <w:t>2-ply</w:t>
      </w:r>
      <w:r>
        <w:rPr>
          <w:spacing w:val="-1"/>
        </w:rPr>
        <w:t> </w:t>
      </w:r>
      <w:r>
        <w:rPr/>
        <w:t>CLT;</w:t>
      </w:r>
      <w:r>
        <w:rPr>
          <w:spacing w:val="-2"/>
        </w:rPr>
        <w:t> </w:t>
      </w:r>
      <w:r>
        <w:rPr/>
        <w:t>(center)</w:t>
      </w:r>
      <w:r>
        <w:rPr>
          <w:spacing w:val="-1"/>
        </w:rPr>
        <w:t> </w:t>
      </w:r>
      <w:r>
        <w:rPr/>
        <w:t>mild</w:t>
      </w:r>
      <w:r>
        <w:rPr>
          <w:spacing w:val="-2"/>
        </w:rPr>
        <w:t> </w:t>
      </w:r>
      <w:r>
        <w:rPr/>
        <w:t>steel</w:t>
      </w:r>
      <w:r>
        <w:rPr>
          <w:spacing w:val="-57"/>
        </w:rPr>
        <w:t> </w:t>
      </w:r>
      <w:r>
        <w:rPr/>
        <w:t>plate</w:t>
      </w:r>
      <w:r>
        <w:rPr>
          <w:spacing w:val="-1"/>
        </w:rPr>
        <w:t> </w:t>
      </w:r>
      <w:r>
        <w:rPr/>
        <w:t>face; (right) back of</w:t>
      </w:r>
      <w:r>
        <w:rPr>
          <w:spacing w:val="-1"/>
        </w:rPr>
        <w:t> </w:t>
      </w:r>
      <w:r>
        <w:rPr/>
        <w:t>2-ply CLT.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spacing w:before="231"/>
        <w:ind w:left="20" w:right="0" w:firstLine="0"/>
        <w:jc w:val="center"/>
        <w:rPr>
          <w:i/>
          <w:sz w:val="24"/>
        </w:rPr>
      </w:pPr>
      <w:bookmarkStart w:name="_bookmark146" w:id="459"/>
      <w:bookmarkEnd w:id="459"/>
      <w:r>
        <w:rPr/>
      </w:r>
      <w:r>
        <w:rPr>
          <w:i/>
          <w:sz w:val="24"/>
        </w:rPr>
        <w:t>Table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7-6.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Mild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steel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plate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ECLT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test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details.</w:t>
      </w:r>
    </w:p>
    <w:p>
      <w:pPr>
        <w:pStyle w:val="BodyText"/>
        <w:spacing w:before="5"/>
        <w:rPr>
          <w:i/>
          <w:sz w:val="17"/>
        </w:rPr>
      </w:pPr>
    </w:p>
    <w:tbl>
      <w:tblPr>
        <w:tblW w:w="0" w:type="auto"/>
        <w:jc w:val="left"/>
        <w:tblInd w:w="9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78"/>
        <w:gridCol w:w="1261"/>
        <w:gridCol w:w="1261"/>
        <w:gridCol w:w="1620"/>
        <w:gridCol w:w="1530"/>
      </w:tblGrid>
      <w:tr>
        <w:trPr>
          <w:trHeight w:val="1960" w:hRule="atLeast"/>
        </w:trPr>
        <w:tc>
          <w:tcPr>
            <w:tcW w:w="1878" w:type="dxa"/>
            <w:shd w:val="clear" w:color="auto" w:fill="DADAD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"/>
              <w:rPr>
                <w:i/>
                <w:sz w:val="26"/>
              </w:rPr>
            </w:pPr>
          </w:p>
          <w:p>
            <w:pPr>
              <w:pStyle w:val="TableParagraph"/>
              <w:spacing w:before="1"/>
              <w:ind w:left="272"/>
              <w:rPr>
                <w:sz w:val="22"/>
              </w:rPr>
            </w:pPr>
            <w:r>
              <w:rPr>
                <w:sz w:val="22"/>
              </w:rPr>
              <w:t>Specimen/Shot</w:t>
            </w:r>
          </w:p>
        </w:tc>
        <w:tc>
          <w:tcPr>
            <w:tcW w:w="1261" w:type="dxa"/>
            <w:shd w:val="clear" w:color="auto" w:fill="DADAD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"/>
              <w:rPr>
                <w:i/>
                <w:sz w:val="28"/>
              </w:rPr>
            </w:pPr>
          </w:p>
          <w:p>
            <w:pPr>
              <w:pStyle w:val="TableParagraph"/>
              <w:ind w:left="250" w:right="239" w:hanging="2"/>
              <w:jc w:val="center"/>
              <w:rPr>
                <w:sz w:val="22"/>
              </w:rPr>
            </w:pPr>
            <w:r>
              <w:rPr>
                <w:sz w:val="22"/>
              </w:rPr>
              <w:t>v</w:t>
            </w:r>
            <w:r>
              <w:rPr>
                <w:sz w:val="22"/>
                <w:vertAlign w:val="subscript"/>
              </w:rPr>
              <w:t>s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(chrono)</w:t>
            </w:r>
            <w:r>
              <w:rPr>
                <w:spacing w:val="-52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(fps)</w:t>
            </w:r>
          </w:p>
        </w:tc>
        <w:tc>
          <w:tcPr>
            <w:tcW w:w="1261" w:type="dxa"/>
            <w:shd w:val="clear" w:color="auto" w:fill="DADAD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"/>
              <w:rPr>
                <w:i/>
                <w:sz w:val="28"/>
              </w:rPr>
            </w:pPr>
          </w:p>
          <w:p>
            <w:pPr>
              <w:pStyle w:val="TableParagraph"/>
              <w:ind w:left="250" w:right="240" w:hanging="2"/>
              <w:jc w:val="center"/>
              <w:rPr>
                <w:sz w:val="22"/>
              </w:rPr>
            </w:pPr>
            <w:r>
              <w:rPr>
                <w:sz w:val="22"/>
              </w:rPr>
              <w:t>v</w:t>
            </w:r>
            <w:r>
              <w:rPr>
                <w:sz w:val="22"/>
                <w:vertAlign w:val="subscript"/>
              </w:rPr>
              <w:t>s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(chrono)</w:t>
            </w:r>
            <w:r>
              <w:rPr>
                <w:spacing w:val="-52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(m/s)</w:t>
            </w:r>
          </w:p>
        </w:tc>
        <w:tc>
          <w:tcPr>
            <w:tcW w:w="1620" w:type="dxa"/>
            <w:shd w:val="clear" w:color="auto" w:fill="DADADA"/>
          </w:tcPr>
          <w:p>
            <w:pPr>
              <w:pStyle w:val="TableParagraph"/>
              <w:spacing w:before="1"/>
              <w:rPr>
                <w:i/>
                <w:sz w:val="30"/>
              </w:rPr>
            </w:pPr>
          </w:p>
          <w:p>
            <w:pPr>
              <w:pStyle w:val="TableParagraph"/>
              <w:ind w:left="156" w:right="144"/>
              <w:jc w:val="center"/>
              <w:rPr>
                <w:sz w:val="22"/>
              </w:rPr>
            </w:pPr>
            <w:r>
              <w:rPr>
                <w:sz w:val="22"/>
              </w:rPr>
              <w:t>Partial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Penetration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1"/>
                <w:sz w:val="22"/>
              </w:rPr>
              <w:t>(PP)/Complete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Penetration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(CP)</w:t>
            </w:r>
          </w:p>
        </w:tc>
        <w:tc>
          <w:tcPr>
            <w:tcW w:w="1530" w:type="dxa"/>
            <w:shd w:val="clear" w:color="auto" w:fill="DADAD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97"/>
              <w:ind w:left="264" w:right="252" w:firstLine="53"/>
              <w:jc w:val="center"/>
              <w:rPr>
                <w:sz w:val="22"/>
              </w:rPr>
            </w:pPr>
            <w:r>
              <w:rPr>
                <w:sz w:val="22"/>
              </w:rPr>
              <w:t>Measured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Depth of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1"/>
                <w:sz w:val="22"/>
              </w:rPr>
              <w:t>Penetration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(T</w:t>
            </w:r>
            <w:r>
              <w:rPr>
                <w:sz w:val="22"/>
                <w:vertAlign w:val="subscript"/>
              </w:rPr>
              <w:t>w</w:t>
            </w:r>
            <w:r>
              <w:rPr>
                <w:sz w:val="22"/>
                <w:vertAlign w:val="baseline"/>
              </w:rPr>
              <w:t>)</w:t>
            </w:r>
            <w:r>
              <w:rPr>
                <w:spacing w:val="-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(in)</w:t>
            </w:r>
          </w:p>
        </w:tc>
      </w:tr>
      <w:tr>
        <w:trPr>
          <w:trHeight w:val="290" w:hRule="atLeast"/>
        </w:trPr>
        <w:tc>
          <w:tcPr>
            <w:tcW w:w="1878" w:type="dxa"/>
          </w:tcPr>
          <w:p>
            <w:pPr>
              <w:pStyle w:val="TableParagraph"/>
              <w:spacing w:line="252" w:lineRule="exact" w:before="17"/>
              <w:ind w:right="96"/>
              <w:jc w:val="right"/>
              <w:rPr>
                <w:sz w:val="22"/>
              </w:rPr>
            </w:pPr>
            <w:r>
              <w:rPr>
                <w:sz w:val="22"/>
              </w:rPr>
              <w:t>E-MS-1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1</w:t>
            </w:r>
          </w:p>
        </w:tc>
        <w:tc>
          <w:tcPr>
            <w:tcW w:w="1261" w:type="dxa"/>
          </w:tcPr>
          <w:p>
            <w:pPr>
              <w:pStyle w:val="TableParagraph"/>
              <w:spacing w:line="234" w:lineRule="exact" w:before="35"/>
              <w:ind w:left="306" w:right="298"/>
              <w:jc w:val="center"/>
              <w:rPr>
                <w:sz w:val="22"/>
              </w:rPr>
            </w:pPr>
            <w:r>
              <w:rPr>
                <w:sz w:val="22"/>
              </w:rPr>
              <w:t>2,556</w:t>
            </w:r>
          </w:p>
        </w:tc>
        <w:tc>
          <w:tcPr>
            <w:tcW w:w="1261" w:type="dxa"/>
          </w:tcPr>
          <w:p>
            <w:pPr>
              <w:pStyle w:val="TableParagraph"/>
              <w:spacing w:line="234" w:lineRule="exact" w:before="35"/>
              <w:ind w:left="308" w:right="297"/>
              <w:jc w:val="center"/>
              <w:rPr>
                <w:sz w:val="22"/>
              </w:rPr>
            </w:pPr>
            <w:r>
              <w:rPr>
                <w:sz w:val="22"/>
              </w:rPr>
              <w:t>779</w:t>
            </w:r>
          </w:p>
        </w:tc>
        <w:tc>
          <w:tcPr>
            <w:tcW w:w="1620" w:type="dxa"/>
          </w:tcPr>
          <w:p>
            <w:pPr>
              <w:pStyle w:val="TableParagraph"/>
              <w:spacing w:line="234" w:lineRule="exact" w:before="35"/>
              <w:ind w:left="687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530" w:type="dxa"/>
          </w:tcPr>
          <w:p>
            <w:pPr>
              <w:pStyle w:val="TableParagraph"/>
              <w:spacing w:line="234" w:lineRule="exact" w:before="35"/>
              <w:ind w:left="174" w:right="164"/>
              <w:jc w:val="center"/>
              <w:rPr>
                <w:sz w:val="22"/>
              </w:rPr>
            </w:pPr>
            <w:r>
              <w:rPr>
                <w:sz w:val="22"/>
              </w:rPr>
              <w:t>2.6875</w:t>
            </w:r>
          </w:p>
        </w:tc>
      </w:tr>
      <w:tr>
        <w:trPr>
          <w:trHeight w:val="290" w:hRule="atLeast"/>
        </w:trPr>
        <w:tc>
          <w:tcPr>
            <w:tcW w:w="1878" w:type="dxa"/>
          </w:tcPr>
          <w:p>
            <w:pPr>
              <w:pStyle w:val="TableParagraph"/>
              <w:spacing w:line="252" w:lineRule="exact" w:before="17"/>
              <w:ind w:right="96"/>
              <w:jc w:val="right"/>
              <w:rPr>
                <w:sz w:val="22"/>
              </w:rPr>
            </w:pPr>
            <w:r>
              <w:rPr>
                <w:sz w:val="22"/>
              </w:rPr>
              <w:t>E-MS-1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2</w:t>
            </w:r>
          </w:p>
        </w:tc>
        <w:tc>
          <w:tcPr>
            <w:tcW w:w="1261" w:type="dxa"/>
          </w:tcPr>
          <w:p>
            <w:pPr>
              <w:pStyle w:val="TableParagraph"/>
              <w:spacing w:line="234" w:lineRule="exact" w:before="35"/>
              <w:ind w:left="306" w:right="298"/>
              <w:jc w:val="center"/>
              <w:rPr>
                <w:sz w:val="22"/>
              </w:rPr>
            </w:pPr>
            <w:r>
              <w:rPr>
                <w:sz w:val="22"/>
              </w:rPr>
              <w:t>2,649</w:t>
            </w:r>
          </w:p>
        </w:tc>
        <w:tc>
          <w:tcPr>
            <w:tcW w:w="1261" w:type="dxa"/>
          </w:tcPr>
          <w:p>
            <w:pPr>
              <w:pStyle w:val="TableParagraph"/>
              <w:spacing w:line="234" w:lineRule="exact" w:before="35"/>
              <w:ind w:left="308" w:right="297"/>
              <w:jc w:val="center"/>
              <w:rPr>
                <w:sz w:val="22"/>
              </w:rPr>
            </w:pPr>
            <w:r>
              <w:rPr>
                <w:sz w:val="22"/>
              </w:rPr>
              <w:t>807</w:t>
            </w:r>
          </w:p>
        </w:tc>
        <w:tc>
          <w:tcPr>
            <w:tcW w:w="1620" w:type="dxa"/>
          </w:tcPr>
          <w:p>
            <w:pPr>
              <w:pStyle w:val="TableParagraph"/>
              <w:spacing w:line="234" w:lineRule="exact" w:before="35"/>
              <w:ind w:left="687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530" w:type="dxa"/>
          </w:tcPr>
          <w:p>
            <w:pPr>
              <w:pStyle w:val="TableParagraph"/>
              <w:spacing w:line="234" w:lineRule="exact" w:before="35"/>
              <w:ind w:left="174" w:right="164"/>
              <w:jc w:val="center"/>
              <w:rPr>
                <w:sz w:val="22"/>
              </w:rPr>
            </w:pPr>
            <w:r>
              <w:rPr>
                <w:sz w:val="22"/>
              </w:rPr>
              <w:t>2.7500</w:t>
            </w:r>
          </w:p>
        </w:tc>
      </w:tr>
      <w:tr>
        <w:trPr>
          <w:trHeight w:val="289" w:hRule="atLeast"/>
        </w:trPr>
        <w:tc>
          <w:tcPr>
            <w:tcW w:w="1878" w:type="dxa"/>
          </w:tcPr>
          <w:p>
            <w:pPr>
              <w:pStyle w:val="TableParagraph"/>
              <w:spacing w:line="252" w:lineRule="exact" w:before="17"/>
              <w:ind w:right="96"/>
              <w:jc w:val="right"/>
              <w:rPr>
                <w:sz w:val="22"/>
              </w:rPr>
            </w:pPr>
            <w:r>
              <w:rPr>
                <w:sz w:val="22"/>
              </w:rPr>
              <w:t>E-MS-1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3</w:t>
            </w:r>
          </w:p>
        </w:tc>
        <w:tc>
          <w:tcPr>
            <w:tcW w:w="1261" w:type="dxa"/>
          </w:tcPr>
          <w:p>
            <w:pPr>
              <w:pStyle w:val="TableParagraph"/>
              <w:spacing w:line="234" w:lineRule="exact" w:before="35"/>
              <w:ind w:left="306" w:right="298"/>
              <w:jc w:val="center"/>
              <w:rPr>
                <w:sz w:val="22"/>
              </w:rPr>
            </w:pPr>
            <w:r>
              <w:rPr>
                <w:sz w:val="22"/>
              </w:rPr>
              <w:t>2,470</w:t>
            </w:r>
          </w:p>
        </w:tc>
        <w:tc>
          <w:tcPr>
            <w:tcW w:w="1261" w:type="dxa"/>
          </w:tcPr>
          <w:p>
            <w:pPr>
              <w:pStyle w:val="TableParagraph"/>
              <w:spacing w:line="234" w:lineRule="exact" w:before="35"/>
              <w:ind w:left="308" w:right="297"/>
              <w:jc w:val="center"/>
              <w:rPr>
                <w:sz w:val="22"/>
              </w:rPr>
            </w:pPr>
            <w:r>
              <w:rPr>
                <w:sz w:val="22"/>
              </w:rPr>
              <w:t>753</w:t>
            </w:r>
          </w:p>
        </w:tc>
        <w:tc>
          <w:tcPr>
            <w:tcW w:w="1620" w:type="dxa"/>
          </w:tcPr>
          <w:p>
            <w:pPr>
              <w:pStyle w:val="TableParagraph"/>
              <w:spacing w:line="234" w:lineRule="exact" w:before="35"/>
              <w:ind w:left="687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530" w:type="dxa"/>
          </w:tcPr>
          <w:p>
            <w:pPr>
              <w:pStyle w:val="TableParagraph"/>
              <w:spacing w:line="234" w:lineRule="exact" w:before="35"/>
              <w:ind w:left="174" w:right="165"/>
              <w:jc w:val="center"/>
              <w:rPr>
                <w:sz w:val="22"/>
              </w:rPr>
            </w:pPr>
            <w:r>
              <w:rPr>
                <w:sz w:val="22"/>
              </w:rPr>
              <w:t>2.6250</w:t>
            </w:r>
          </w:p>
        </w:tc>
      </w:tr>
      <w:tr>
        <w:trPr>
          <w:trHeight w:val="290" w:hRule="atLeast"/>
        </w:trPr>
        <w:tc>
          <w:tcPr>
            <w:tcW w:w="1878" w:type="dxa"/>
          </w:tcPr>
          <w:p>
            <w:pPr>
              <w:pStyle w:val="TableParagraph"/>
              <w:spacing w:line="252" w:lineRule="exact" w:before="17"/>
              <w:ind w:right="96"/>
              <w:jc w:val="right"/>
              <w:rPr>
                <w:sz w:val="22"/>
              </w:rPr>
            </w:pPr>
            <w:r>
              <w:rPr>
                <w:sz w:val="22"/>
              </w:rPr>
              <w:t>E-MS-1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4</w:t>
            </w:r>
          </w:p>
        </w:tc>
        <w:tc>
          <w:tcPr>
            <w:tcW w:w="1261" w:type="dxa"/>
          </w:tcPr>
          <w:p>
            <w:pPr>
              <w:pStyle w:val="TableParagraph"/>
              <w:spacing w:line="234" w:lineRule="exact" w:before="35"/>
              <w:ind w:left="306" w:right="298"/>
              <w:jc w:val="center"/>
              <w:rPr>
                <w:sz w:val="22"/>
              </w:rPr>
            </w:pPr>
            <w:r>
              <w:rPr>
                <w:sz w:val="22"/>
              </w:rPr>
              <w:t>2,515</w:t>
            </w:r>
          </w:p>
        </w:tc>
        <w:tc>
          <w:tcPr>
            <w:tcW w:w="1261" w:type="dxa"/>
          </w:tcPr>
          <w:p>
            <w:pPr>
              <w:pStyle w:val="TableParagraph"/>
              <w:spacing w:line="234" w:lineRule="exact" w:before="35"/>
              <w:ind w:left="308" w:right="297"/>
              <w:jc w:val="center"/>
              <w:rPr>
                <w:sz w:val="22"/>
              </w:rPr>
            </w:pPr>
            <w:r>
              <w:rPr>
                <w:sz w:val="22"/>
              </w:rPr>
              <w:t>767</w:t>
            </w:r>
          </w:p>
        </w:tc>
        <w:tc>
          <w:tcPr>
            <w:tcW w:w="1620" w:type="dxa"/>
          </w:tcPr>
          <w:p>
            <w:pPr>
              <w:pStyle w:val="TableParagraph"/>
              <w:spacing w:line="234" w:lineRule="exact" w:before="35"/>
              <w:ind w:left="687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530" w:type="dxa"/>
          </w:tcPr>
          <w:p>
            <w:pPr>
              <w:pStyle w:val="TableParagraph"/>
              <w:spacing w:line="234" w:lineRule="exact" w:before="35"/>
              <w:ind w:left="174" w:right="164"/>
              <w:jc w:val="center"/>
              <w:rPr>
                <w:sz w:val="22"/>
              </w:rPr>
            </w:pPr>
            <w:r>
              <w:rPr>
                <w:sz w:val="22"/>
              </w:rPr>
              <w:t>2.7500</w:t>
            </w:r>
          </w:p>
        </w:tc>
      </w:tr>
      <w:tr>
        <w:trPr>
          <w:trHeight w:val="290" w:hRule="atLeast"/>
        </w:trPr>
        <w:tc>
          <w:tcPr>
            <w:tcW w:w="1878" w:type="dxa"/>
          </w:tcPr>
          <w:p>
            <w:pPr>
              <w:pStyle w:val="TableParagraph"/>
              <w:spacing w:line="252" w:lineRule="exact" w:before="17"/>
              <w:ind w:right="96"/>
              <w:jc w:val="right"/>
              <w:rPr>
                <w:sz w:val="22"/>
              </w:rPr>
            </w:pPr>
            <w:r>
              <w:rPr>
                <w:sz w:val="22"/>
              </w:rPr>
              <w:t>E-MS-1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5</w:t>
            </w:r>
          </w:p>
        </w:tc>
        <w:tc>
          <w:tcPr>
            <w:tcW w:w="1261" w:type="dxa"/>
          </w:tcPr>
          <w:p>
            <w:pPr>
              <w:pStyle w:val="TableParagraph"/>
              <w:spacing w:line="234" w:lineRule="exact" w:before="35"/>
              <w:ind w:left="306" w:right="298"/>
              <w:jc w:val="center"/>
              <w:rPr>
                <w:sz w:val="22"/>
              </w:rPr>
            </w:pPr>
            <w:r>
              <w:rPr>
                <w:sz w:val="22"/>
              </w:rPr>
              <w:t>2,548</w:t>
            </w:r>
          </w:p>
        </w:tc>
        <w:tc>
          <w:tcPr>
            <w:tcW w:w="1261" w:type="dxa"/>
          </w:tcPr>
          <w:p>
            <w:pPr>
              <w:pStyle w:val="TableParagraph"/>
              <w:spacing w:line="234" w:lineRule="exact" w:before="35"/>
              <w:ind w:left="308" w:right="297"/>
              <w:jc w:val="center"/>
              <w:rPr>
                <w:sz w:val="22"/>
              </w:rPr>
            </w:pPr>
            <w:r>
              <w:rPr>
                <w:sz w:val="22"/>
              </w:rPr>
              <w:t>777</w:t>
            </w:r>
          </w:p>
        </w:tc>
        <w:tc>
          <w:tcPr>
            <w:tcW w:w="1620" w:type="dxa"/>
          </w:tcPr>
          <w:p>
            <w:pPr>
              <w:pStyle w:val="TableParagraph"/>
              <w:spacing w:line="234" w:lineRule="exact" w:before="35"/>
              <w:ind w:left="687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530" w:type="dxa"/>
          </w:tcPr>
          <w:p>
            <w:pPr>
              <w:pStyle w:val="TableParagraph"/>
              <w:spacing w:line="234" w:lineRule="exact" w:before="35"/>
              <w:ind w:left="174" w:right="164"/>
              <w:jc w:val="center"/>
              <w:rPr>
                <w:sz w:val="22"/>
              </w:rPr>
            </w:pPr>
            <w:r>
              <w:rPr>
                <w:sz w:val="22"/>
              </w:rPr>
              <w:t>2.6875</w:t>
            </w:r>
          </w:p>
        </w:tc>
      </w:tr>
      <w:tr>
        <w:trPr>
          <w:trHeight w:val="289" w:hRule="atLeast"/>
        </w:trPr>
        <w:tc>
          <w:tcPr>
            <w:tcW w:w="7550" w:type="dxa"/>
            <w:gridSpan w:val="5"/>
            <w:shd w:val="clear" w:color="auto" w:fill="C0C0C0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90" w:hRule="atLeast"/>
        </w:trPr>
        <w:tc>
          <w:tcPr>
            <w:tcW w:w="1878" w:type="dxa"/>
          </w:tcPr>
          <w:p>
            <w:pPr>
              <w:pStyle w:val="TableParagraph"/>
              <w:spacing w:line="252" w:lineRule="exact" w:before="17"/>
              <w:ind w:right="96"/>
              <w:jc w:val="right"/>
              <w:rPr>
                <w:sz w:val="22"/>
              </w:rPr>
            </w:pPr>
            <w:r>
              <w:rPr>
                <w:sz w:val="22"/>
              </w:rPr>
              <w:t>E-MS-2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1</w:t>
            </w:r>
          </w:p>
        </w:tc>
        <w:tc>
          <w:tcPr>
            <w:tcW w:w="1261" w:type="dxa"/>
          </w:tcPr>
          <w:p>
            <w:pPr>
              <w:pStyle w:val="TableParagraph"/>
              <w:spacing w:line="234" w:lineRule="exact" w:before="35"/>
              <w:ind w:left="306" w:right="298"/>
              <w:jc w:val="center"/>
              <w:rPr>
                <w:sz w:val="22"/>
              </w:rPr>
            </w:pPr>
            <w:r>
              <w:rPr>
                <w:sz w:val="22"/>
              </w:rPr>
              <w:t>2,554</w:t>
            </w:r>
          </w:p>
        </w:tc>
        <w:tc>
          <w:tcPr>
            <w:tcW w:w="1261" w:type="dxa"/>
          </w:tcPr>
          <w:p>
            <w:pPr>
              <w:pStyle w:val="TableParagraph"/>
              <w:spacing w:line="234" w:lineRule="exact" w:before="35"/>
              <w:ind w:left="308" w:right="298"/>
              <w:jc w:val="center"/>
              <w:rPr>
                <w:sz w:val="22"/>
              </w:rPr>
            </w:pPr>
            <w:r>
              <w:rPr>
                <w:sz w:val="22"/>
              </w:rPr>
              <w:t>778.42</w:t>
            </w:r>
          </w:p>
        </w:tc>
        <w:tc>
          <w:tcPr>
            <w:tcW w:w="1620" w:type="dxa"/>
          </w:tcPr>
          <w:p>
            <w:pPr>
              <w:pStyle w:val="TableParagraph"/>
              <w:spacing w:line="234" w:lineRule="exact" w:before="35"/>
              <w:ind w:left="687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530" w:type="dxa"/>
          </w:tcPr>
          <w:p>
            <w:pPr>
              <w:pStyle w:val="TableParagraph"/>
              <w:spacing w:line="234" w:lineRule="exact" w:before="35"/>
              <w:ind w:left="174" w:right="164"/>
              <w:jc w:val="center"/>
              <w:rPr>
                <w:sz w:val="22"/>
              </w:rPr>
            </w:pPr>
            <w:r>
              <w:rPr>
                <w:sz w:val="22"/>
              </w:rPr>
              <w:t>2.6875</w:t>
            </w:r>
          </w:p>
        </w:tc>
      </w:tr>
      <w:tr>
        <w:trPr>
          <w:trHeight w:val="290" w:hRule="atLeast"/>
        </w:trPr>
        <w:tc>
          <w:tcPr>
            <w:tcW w:w="1878" w:type="dxa"/>
          </w:tcPr>
          <w:p>
            <w:pPr>
              <w:pStyle w:val="TableParagraph"/>
              <w:spacing w:line="252" w:lineRule="exact" w:before="17"/>
              <w:ind w:right="96"/>
              <w:jc w:val="right"/>
              <w:rPr>
                <w:sz w:val="22"/>
              </w:rPr>
            </w:pPr>
            <w:r>
              <w:rPr>
                <w:sz w:val="22"/>
              </w:rPr>
              <w:t>E-MS-2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2</w:t>
            </w:r>
          </w:p>
        </w:tc>
        <w:tc>
          <w:tcPr>
            <w:tcW w:w="1261" w:type="dxa"/>
          </w:tcPr>
          <w:p>
            <w:pPr>
              <w:pStyle w:val="TableParagraph"/>
              <w:spacing w:line="234" w:lineRule="exact" w:before="35"/>
              <w:ind w:left="307" w:right="298"/>
              <w:jc w:val="center"/>
              <w:rPr>
                <w:sz w:val="22"/>
              </w:rPr>
            </w:pPr>
            <w:r>
              <w:rPr>
                <w:sz w:val="22"/>
              </w:rPr>
              <w:t>N/R*</w:t>
            </w:r>
          </w:p>
        </w:tc>
        <w:tc>
          <w:tcPr>
            <w:tcW w:w="1261" w:type="dxa"/>
          </w:tcPr>
          <w:p>
            <w:pPr>
              <w:pStyle w:val="TableParagraph"/>
              <w:spacing w:line="234" w:lineRule="exact" w:before="35"/>
              <w:ind w:left="307" w:right="298"/>
              <w:jc w:val="center"/>
              <w:rPr>
                <w:sz w:val="22"/>
              </w:rPr>
            </w:pPr>
            <w:r>
              <w:rPr>
                <w:sz w:val="22"/>
              </w:rPr>
              <w:t>N/R*</w:t>
            </w:r>
          </w:p>
        </w:tc>
        <w:tc>
          <w:tcPr>
            <w:tcW w:w="1620" w:type="dxa"/>
          </w:tcPr>
          <w:p>
            <w:pPr>
              <w:pStyle w:val="TableParagraph"/>
              <w:spacing w:line="234" w:lineRule="exact" w:before="35"/>
              <w:ind w:left="687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530" w:type="dxa"/>
          </w:tcPr>
          <w:p>
            <w:pPr>
              <w:pStyle w:val="TableParagraph"/>
              <w:spacing w:line="234" w:lineRule="exact" w:before="35"/>
              <w:ind w:left="174" w:right="164"/>
              <w:jc w:val="center"/>
              <w:rPr>
                <w:sz w:val="22"/>
              </w:rPr>
            </w:pPr>
            <w:r>
              <w:rPr>
                <w:sz w:val="22"/>
              </w:rPr>
              <w:t>2.8125</w:t>
            </w:r>
          </w:p>
        </w:tc>
      </w:tr>
      <w:tr>
        <w:trPr>
          <w:trHeight w:val="289" w:hRule="atLeast"/>
        </w:trPr>
        <w:tc>
          <w:tcPr>
            <w:tcW w:w="1878" w:type="dxa"/>
          </w:tcPr>
          <w:p>
            <w:pPr>
              <w:pStyle w:val="TableParagraph"/>
              <w:spacing w:line="252" w:lineRule="exact" w:before="17"/>
              <w:ind w:right="96"/>
              <w:jc w:val="right"/>
              <w:rPr>
                <w:sz w:val="22"/>
              </w:rPr>
            </w:pPr>
            <w:r>
              <w:rPr>
                <w:sz w:val="22"/>
              </w:rPr>
              <w:t>E-MS-2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3</w:t>
            </w:r>
          </w:p>
        </w:tc>
        <w:tc>
          <w:tcPr>
            <w:tcW w:w="1261" w:type="dxa"/>
          </w:tcPr>
          <w:p>
            <w:pPr>
              <w:pStyle w:val="TableParagraph"/>
              <w:spacing w:line="234" w:lineRule="exact" w:before="35"/>
              <w:ind w:left="306" w:right="298"/>
              <w:jc w:val="center"/>
              <w:rPr>
                <w:sz w:val="22"/>
              </w:rPr>
            </w:pPr>
            <w:r>
              <w:rPr>
                <w:sz w:val="22"/>
              </w:rPr>
              <w:t>2,637</w:t>
            </w:r>
          </w:p>
        </w:tc>
        <w:tc>
          <w:tcPr>
            <w:tcW w:w="1261" w:type="dxa"/>
          </w:tcPr>
          <w:p>
            <w:pPr>
              <w:pStyle w:val="TableParagraph"/>
              <w:spacing w:line="234" w:lineRule="exact" w:before="35"/>
              <w:ind w:left="308" w:right="298"/>
              <w:jc w:val="center"/>
              <w:rPr>
                <w:sz w:val="22"/>
              </w:rPr>
            </w:pPr>
            <w:r>
              <w:rPr>
                <w:sz w:val="22"/>
              </w:rPr>
              <w:t>803.72</w:t>
            </w:r>
          </w:p>
        </w:tc>
        <w:tc>
          <w:tcPr>
            <w:tcW w:w="1620" w:type="dxa"/>
          </w:tcPr>
          <w:p>
            <w:pPr>
              <w:pStyle w:val="TableParagraph"/>
              <w:spacing w:line="234" w:lineRule="exact" w:before="35"/>
              <w:ind w:left="687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530" w:type="dxa"/>
          </w:tcPr>
          <w:p>
            <w:pPr>
              <w:pStyle w:val="TableParagraph"/>
              <w:spacing w:line="234" w:lineRule="exact" w:before="35"/>
              <w:ind w:left="174" w:right="164"/>
              <w:jc w:val="center"/>
              <w:rPr>
                <w:sz w:val="22"/>
              </w:rPr>
            </w:pPr>
            <w:r>
              <w:rPr>
                <w:sz w:val="22"/>
              </w:rPr>
              <w:t>2.9375</w:t>
            </w:r>
          </w:p>
        </w:tc>
      </w:tr>
      <w:tr>
        <w:trPr>
          <w:trHeight w:val="290" w:hRule="atLeast"/>
        </w:trPr>
        <w:tc>
          <w:tcPr>
            <w:tcW w:w="1878" w:type="dxa"/>
          </w:tcPr>
          <w:p>
            <w:pPr>
              <w:pStyle w:val="TableParagraph"/>
              <w:spacing w:line="252" w:lineRule="exact" w:before="17"/>
              <w:ind w:right="96"/>
              <w:jc w:val="right"/>
              <w:rPr>
                <w:sz w:val="22"/>
              </w:rPr>
            </w:pPr>
            <w:r>
              <w:rPr>
                <w:sz w:val="22"/>
              </w:rPr>
              <w:t>E-MS-2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4</w:t>
            </w:r>
          </w:p>
        </w:tc>
        <w:tc>
          <w:tcPr>
            <w:tcW w:w="1261" w:type="dxa"/>
          </w:tcPr>
          <w:p>
            <w:pPr>
              <w:pStyle w:val="TableParagraph"/>
              <w:spacing w:line="234" w:lineRule="exact" w:before="35"/>
              <w:ind w:left="306" w:right="298"/>
              <w:jc w:val="center"/>
              <w:rPr>
                <w:sz w:val="22"/>
              </w:rPr>
            </w:pPr>
            <w:r>
              <w:rPr>
                <w:sz w:val="22"/>
              </w:rPr>
              <w:t>2,675</w:t>
            </w:r>
          </w:p>
        </w:tc>
        <w:tc>
          <w:tcPr>
            <w:tcW w:w="1261" w:type="dxa"/>
          </w:tcPr>
          <w:p>
            <w:pPr>
              <w:pStyle w:val="TableParagraph"/>
              <w:spacing w:line="234" w:lineRule="exact" w:before="35"/>
              <w:ind w:left="308" w:right="298"/>
              <w:jc w:val="center"/>
              <w:rPr>
                <w:sz w:val="22"/>
              </w:rPr>
            </w:pPr>
            <w:r>
              <w:rPr>
                <w:sz w:val="22"/>
              </w:rPr>
              <w:t>815.30</w:t>
            </w:r>
          </w:p>
        </w:tc>
        <w:tc>
          <w:tcPr>
            <w:tcW w:w="1620" w:type="dxa"/>
          </w:tcPr>
          <w:p>
            <w:pPr>
              <w:pStyle w:val="TableParagraph"/>
              <w:spacing w:line="234" w:lineRule="exact" w:before="35"/>
              <w:ind w:left="687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530" w:type="dxa"/>
          </w:tcPr>
          <w:p>
            <w:pPr>
              <w:pStyle w:val="TableParagraph"/>
              <w:spacing w:line="234" w:lineRule="exact" w:before="35"/>
              <w:ind w:left="174" w:right="164"/>
              <w:jc w:val="center"/>
              <w:rPr>
                <w:sz w:val="22"/>
              </w:rPr>
            </w:pPr>
            <w:r>
              <w:rPr>
                <w:sz w:val="22"/>
              </w:rPr>
              <w:t>2.9375</w:t>
            </w:r>
          </w:p>
        </w:tc>
      </w:tr>
      <w:tr>
        <w:trPr>
          <w:trHeight w:val="290" w:hRule="atLeast"/>
        </w:trPr>
        <w:tc>
          <w:tcPr>
            <w:tcW w:w="1878" w:type="dxa"/>
          </w:tcPr>
          <w:p>
            <w:pPr>
              <w:pStyle w:val="TableParagraph"/>
              <w:spacing w:line="252" w:lineRule="exact" w:before="17"/>
              <w:ind w:right="96"/>
              <w:jc w:val="right"/>
              <w:rPr>
                <w:sz w:val="22"/>
              </w:rPr>
            </w:pPr>
            <w:r>
              <w:rPr>
                <w:sz w:val="22"/>
              </w:rPr>
              <w:t>E-MS-2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5</w:t>
            </w:r>
          </w:p>
        </w:tc>
        <w:tc>
          <w:tcPr>
            <w:tcW w:w="1261" w:type="dxa"/>
          </w:tcPr>
          <w:p>
            <w:pPr>
              <w:pStyle w:val="TableParagraph"/>
              <w:spacing w:line="234" w:lineRule="exact" w:before="35"/>
              <w:ind w:left="306" w:right="298"/>
              <w:jc w:val="center"/>
              <w:rPr>
                <w:sz w:val="22"/>
              </w:rPr>
            </w:pPr>
            <w:r>
              <w:rPr>
                <w:sz w:val="22"/>
              </w:rPr>
              <w:t>2,661</w:t>
            </w:r>
          </w:p>
        </w:tc>
        <w:tc>
          <w:tcPr>
            <w:tcW w:w="1261" w:type="dxa"/>
          </w:tcPr>
          <w:p>
            <w:pPr>
              <w:pStyle w:val="TableParagraph"/>
              <w:spacing w:line="234" w:lineRule="exact" w:before="35"/>
              <w:ind w:left="308" w:right="298"/>
              <w:jc w:val="center"/>
              <w:rPr>
                <w:sz w:val="22"/>
              </w:rPr>
            </w:pPr>
            <w:r>
              <w:rPr>
                <w:sz w:val="22"/>
              </w:rPr>
              <w:t>811.03</w:t>
            </w:r>
          </w:p>
        </w:tc>
        <w:tc>
          <w:tcPr>
            <w:tcW w:w="1620" w:type="dxa"/>
          </w:tcPr>
          <w:p>
            <w:pPr>
              <w:pStyle w:val="TableParagraph"/>
              <w:spacing w:line="234" w:lineRule="exact" w:before="35"/>
              <w:ind w:left="687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530" w:type="dxa"/>
          </w:tcPr>
          <w:p>
            <w:pPr>
              <w:pStyle w:val="TableParagraph"/>
              <w:spacing w:line="234" w:lineRule="exact" w:before="35"/>
              <w:ind w:left="174" w:right="165"/>
              <w:jc w:val="center"/>
              <w:rPr>
                <w:sz w:val="22"/>
              </w:rPr>
            </w:pPr>
            <w:r>
              <w:rPr>
                <w:sz w:val="22"/>
              </w:rPr>
              <w:t>3.000</w:t>
            </w:r>
          </w:p>
        </w:tc>
      </w:tr>
      <w:tr>
        <w:trPr>
          <w:trHeight w:val="300" w:hRule="atLeast"/>
        </w:trPr>
        <w:tc>
          <w:tcPr>
            <w:tcW w:w="7550" w:type="dxa"/>
            <w:gridSpan w:val="5"/>
          </w:tcPr>
          <w:p>
            <w:pPr>
              <w:pStyle w:val="TableParagraph"/>
              <w:spacing w:line="236" w:lineRule="exact" w:before="45"/>
              <w:ind w:left="107"/>
              <w:rPr>
                <w:sz w:val="22"/>
              </w:rPr>
            </w:pPr>
            <w:r>
              <w:rPr>
                <w:sz w:val="22"/>
              </w:rPr>
              <w:t>*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N/R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–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not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recorded,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chronograph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did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not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read</w:t>
            </w:r>
          </w:p>
        </w:tc>
      </w:tr>
    </w:tbl>
    <w:p>
      <w:pPr>
        <w:spacing w:after="0" w:line="236" w:lineRule="exact"/>
        <w:rPr>
          <w:sz w:val="22"/>
        </w:rPr>
        <w:sectPr>
          <w:pgSz w:w="12240" w:h="15840"/>
          <w:pgMar w:header="0" w:footer="1064" w:top="1360" w:bottom="1260" w:left="1720" w:right="1020"/>
        </w:sectPr>
      </w:pPr>
    </w:p>
    <w:p>
      <w:pPr>
        <w:spacing w:line="240" w:lineRule="auto"/>
        <w:ind w:left="2492" w:right="0" w:firstLine="0"/>
        <w:rPr>
          <w:sz w:val="20"/>
        </w:rPr>
      </w:pPr>
      <w:r>
        <w:rPr>
          <w:position w:val="1"/>
          <w:sz w:val="20"/>
        </w:rPr>
        <w:drawing>
          <wp:inline distT="0" distB="0" distL="0" distR="0">
            <wp:extent cx="1402827" cy="3410712"/>
            <wp:effectExtent l="0" t="0" r="0" b="0"/>
            <wp:docPr id="177" name="image36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368.jpeg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827" cy="3410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  <w:r>
        <w:rPr>
          <w:spacing w:val="146"/>
          <w:position w:val="1"/>
          <w:sz w:val="20"/>
        </w:rPr>
        <w:t> </w:t>
      </w:r>
      <w:r>
        <w:rPr>
          <w:spacing w:val="146"/>
          <w:sz w:val="20"/>
        </w:rPr>
        <w:drawing>
          <wp:inline distT="0" distB="0" distL="0" distR="0">
            <wp:extent cx="1341154" cy="3410712"/>
            <wp:effectExtent l="0" t="0" r="0" b="0"/>
            <wp:docPr id="179" name="image3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369.jpeg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1154" cy="3410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46"/>
          <w:sz w:val="20"/>
        </w:rPr>
      </w:r>
    </w:p>
    <w:p>
      <w:pPr>
        <w:pStyle w:val="BodyText"/>
        <w:spacing w:before="3"/>
        <w:rPr>
          <w:i/>
          <w:sz w:val="10"/>
        </w:rPr>
      </w:pPr>
    </w:p>
    <w:p>
      <w:pPr>
        <w:spacing w:before="90"/>
        <w:ind w:left="440" w:right="418" w:firstLine="0"/>
        <w:jc w:val="left"/>
        <w:rPr>
          <w:i/>
          <w:sz w:val="24"/>
        </w:rPr>
      </w:pPr>
      <w:bookmarkStart w:name="_bookmark147" w:id="460"/>
      <w:bookmarkEnd w:id="460"/>
      <w:r>
        <w:rPr/>
      </w:r>
      <w:r>
        <w:rPr>
          <w:i/>
          <w:sz w:val="24"/>
        </w:rPr>
        <w:t>Figure</w:t>
      </w:r>
      <w:r>
        <w:rPr>
          <w:i/>
          <w:spacing w:val="16"/>
          <w:sz w:val="24"/>
        </w:rPr>
        <w:t> </w:t>
      </w:r>
      <w:r>
        <w:rPr>
          <w:i/>
          <w:sz w:val="24"/>
        </w:rPr>
        <w:t>7-21.</w:t>
      </w:r>
      <w:r>
        <w:rPr>
          <w:i/>
          <w:spacing w:val="15"/>
          <w:sz w:val="24"/>
        </w:rPr>
        <w:t> </w:t>
      </w:r>
      <w:r>
        <w:rPr>
          <w:i/>
          <w:sz w:val="24"/>
        </w:rPr>
        <w:t>Evidence</w:t>
      </w:r>
      <w:r>
        <w:rPr>
          <w:i/>
          <w:spacing w:val="14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6"/>
          <w:sz w:val="24"/>
        </w:rPr>
        <w:t> </w:t>
      </w:r>
      <w:r>
        <w:rPr>
          <w:i/>
          <w:sz w:val="24"/>
        </w:rPr>
        <w:t>wood</w:t>
      </w:r>
      <w:r>
        <w:rPr>
          <w:i/>
          <w:spacing w:val="15"/>
          <w:sz w:val="24"/>
        </w:rPr>
        <w:t> </w:t>
      </w:r>
      <w:r>
        <w:rPr>
          <w:i/>
          <w:sz w:val="24"/>
        </w:rPr>
        <w:t>fracturing</w:t>
      </w:r>
      <w:r>
        <w:rPr>
          <w:i/>
          <w:spacing w:val="15"/>
          <w:sz w:val="24"/>
        </w:rPr>
        <w:t> </w:t>
      </w:r>
      <w:r>
        <w:rPr>
          <w:i/>
          <w:sz w:val="24"/>
        </w:rPr>
        <w:t>at</w:t>
      </w:r>
      <w:r>
        <w:rPr>
          <w:i/>
          <w:spacing w:val="16"/>
          <w:sz w:val="24"/>
        </w:rPr>
        <w:t> </w:t>
      </w:r>
      <w:r>
        <w:rPr>
          <w:i/>
          <w:sz w:val="24"/>
        </w:rPr>
        <w:t>wood-mild</w:t>
      </w:r>
      <w:r>
        <w:rPr>
          <w:i/>
          <w:spacing w:val="15"/>
          <w:sz w:val="24"/>
        </w:rPr>
        <w:t> </w:t>
      </w:r>
      <w:r>
        <w:rPr>
          <w:i/>
          <w:sz w:val="24"/>
        </w:rPr>
        <w:t>steel</w:t>
      </w:r>
      <w:r>
        <w:rPr>
          <w:i/>
          <w:spacing w:val="16"/>
          <w:sz w:val="24"/>
        </w:rPr>
        <w:t> </w:t>
      </w:r>
      <w:r>
        <w:rPr>
          <w:i/>
          <w:sz w:val="24"/>
        </w:rPr>
        <w:t>interface:</w:t>
      </w:r>
      <w:r>
        <w:rPr>
          <w:i/>
          <w:spacing w:val="16"/>
          <w:sz w:val="24"/>
        </w:rPr>
        <w:t> </w:t>
      </w:r>
      <w:r>
        <w:rPr>
          <w:i/>
          <w:sz w:val="24"/>
        </w:rPr>
        <w:t>(left),</w:t>
      </w:r>
      <w:r>
        <w:rPr>
          <w:i/>
          <w:spacing w:val="15"/>
          <w:sz w:val="24"/>
        </w:rPr>
        <w:t> </w:t>
      </w:r>
      <w:r>
        <w:rPr>
          <w:i/>
          <w:sz w:val="24"/>
        </w:rPr>
        <w:t>top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perspective,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(right)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side perspective.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193"/>
        <w:ind w:left="440" w:right="417" w:firstLine="720"/>
        <w:jc w:val="both"/>
      </w:pPr>
      <w:r>
        <w:rPr/>
        <w:t>Upon dissection of the mild steel ECLT specimens, it was observed that the</w:t>
      </w:r>
      <w:r>
        <w:rPr>
          <w:spacing w:val="1"/>
        </w:rPr>
        <w:t> </w:t>
      </w:r>
      <w:r>
        <w:rPr/>
        <w:t>projectiles were all embedded in the mild steel plate. The steel plate had slight bulging on</w:t>
      </w:r>
      <w:r>
        <w:rPr>
          <w:spacing w:val="-57"/>
        </w:rPr>
        <w:t> </w:t>
      </w:r>
      <w:r>
        <w:rPr/>
        <w:t>the front face around the projectile but showed significant bulging on the back face of the</w:t>
      </w:r>
      <w:r>
        <w:rPr>
          <w:spacing w:val="-57"/>
        </w:rPr>
        <w:t> </w:t>
      </w:r>
      <w:r>
        <w:rPr/>
        <w:t>plate as shown in </w:t>
      </w:r>
      <w:hyperlink w:history="true" w:anchor="_bookmark148">
        <w:r>
          <w:rPr/>
          <w:t>Figure 7-22</w:t>
        </w:r>
      </w:hyperlink>
      <w:r>
        <w:rPr/>
        <w:t>.</w:t>
      </w:r>
      <w:r>
        <w:rPr>
          <w:spacing w:val="60"/>
        </w:rPr>
        <w:t> </w:t>
      </w:r>
      <w:r>
        <w:rPr/>
        <w:t>The metal bulge also measurably indented the wood face</w:t>
      </w:r>
      <w:r>
        <w:rPr>
          <w:spacing w:val="1"/>
        </w:rPr>
        <w:t> </w:t>
      </w:r>
      <w:r>
        <w:rPr/>
        <w:t>of</w:t>
      </w:r>
      <w:r>
        <w:rPr>
          <w:spacing w:val="-2"/>
        </w:rPr>
        <w:t> </w:t>
      </w:r>
      <w:r>
        <w:rPr/>
        <w:t>the 3-ply</w:t>
      </w:r>
      <w:r>
        <w:rPr>
          <w:spacing w:val="-2"/>
        </w:rPr>
        <w:t> </w:t>
      </w:r>
      <w:r>
        <w:rPr/>
        <w:t>CLT</w:t>
      </w:r>
      <w:r>
        <w:rPr>
          <w:spacing w:val="-1"/>
        </w:rPr>
        <w:t> </w:t>
      </w:r>
      <w:r>
        <w:rPr/>
        <w:t>section</w:t>
      </w:r>
      <w:r>
        <w:rPr>
          <w:spacing w:val="-2"/>
        </w:rPr>
        <w:t> </w:t>
      </w:r>
      <w:r>
        <w:rPr/>
        <w:t>adhered behind the steel</w:t>
      </w:r>
      <w:r>
        <w:rPr>
          <w:spacing w:val="-1"/>
        </w:rPr>
        <w:t> </w:t>
      </w:r>
      <w:r>
        <w:rPr/>
        <w:t>plate.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line="480" w:lineRule="auto"/>
        <w:ind w:left="440" w:right="417" w:firstLine="720"/>
        <w:jc w:val="both"/>
      </w:pPr>
      <w:r>
        <w:rPr/>
        <w:t>The</w:t>
      </w:r>
      <w:r>
        <w:rPr>
          <w:spacing w:val="1"/>
        </w:rPr>
        <w:t> </w:t>
      </w:r>
      <w:r>
        <w:rPr/>
        <w:t>mild</w:t>
      </w:r>
      <w:r>
        <w:rPr>
          <w:spacing w:val="1"/>
        </w:rPr>
        <w:t> </w:t>
      </w:r>
      <w:r>
        <w:rPr/>
        <w:t>steel</w:t>
      </w:r>
      <w:r>
        <w:rPr>
          <w:spacing w:val="1"/>
        </w:rPr>
        <w:t> </w:t>
      </w:r>
      <w:r>
        <w:rPr/>
        <w:t>plate</w:t>
      </w:r>
      <w:r>
        <w:rPr>
          <w:spacing w:val="1"/>
        </w:rPr>
        <w:t> </w:t>
      </w:r>
      <w:r>
        <w:rPr/>
        <w:t>performed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expected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prevention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complete</w:t>
      </w:r>
      <w:r>
        <w:rPr>
          <w:spacing w:val="1"/>
        </w:rPr>
        <w:t> </w:t>
      </w:r>
      <w:r>
        <w:rPr/>
        <w:t>penetration.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bulging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interesting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note</w:t>
      </w:r>
      <w:r>
        <w:rPr>
          <w:spacing w:val="1"/>
        </w:rPr>
        <w:t> </w:t>
      </w:r>
      <w:r>
        <w:rPr/>
        <w:t>and the increasing wood</w:t>
      </w:r>
      <w:r>
        <w:rPr>
          <w:spacing w:val="1"/>
        </w:rPr>
        <w:t> </w:t>
      </w:r>
      <w:r>
        <w:rPr/>
        <w:t>fractures</w:t>
      </w:r>
      <w:r>
        <w:rPr>
          <w:spacing w:val="1"/>
        </w:rPr>
        <w:t> </w:t>
      </w:r>
      <w:r>
        <w:rPr/>
        <w:t>indicated that another connection method between the wood and metal sections might be</w:t>
      </w:r>
      <w:r>
        <w:rPr>
          <w:spacing w:val="1"/>
        </w:rPr>
        <w:t> </w:t>
      </w:r>
      <w:r>
        <w:rPr/>
        <w:t>better suited for this type of ECLT.</w:t>
      </w:r>
      <w:r>
        <w:rPr>
          <w:spacing w:val="1"/>
        </w:rPr>
        <w:t> </w:t>
      </w:r>
      <w:r>
        <w:rPr/>
        <w:t>While there was enough adhesion between the two</w:t>
      </w:r>
      <w:r>
        <w:rPr>
          <w:spacing w:val="1"/>
        </w:rPr>
        <w:t> </w:t>
      </w:r>
      <w:r>
        <w:rPr/>
        <w:t>materials</w:t>
      </w:r>
      <w:r>
        <w:rPr>
          <w:spacing w:val="32"/>
        </w:rPr>
        <w:t> </w:t>
      </w:r>
      <w:r>
        <w:rPr/>
        <w:t>to</w:t>
      </w:r>
      <w:r>
        <w:rPr>
          <w:spacing w:val="31"/>
        </w:rPr>
        <w:t> </w:t>
      </w:r>
      <w:r>
        <w:rPr/>
        <w:t>hold</w:t>
      </w:r>
      <w:r>
        <w:rPr>
          <w:spacing w:val="32"/>
        </w:rPr>
        <w:t> </w:t>
      </w:r>
      <w:r>
        <w:rPr/>
        <w:t>together</w:t>
      </w:r>
      <w:r>
        <w:rPr>
          <w:spacing w:val="33"/>
        </w:rPr>
        <w:t> </w:t>
      </w:r>
      <w:r>
        <w:rPr/>
        <w:t>as</w:t>
      </w:r>
      <w:r>
        <w:rPr>
          <w:spacing w:val="32"/>
        </w:rPr>
        <w:t> </w:t>
      </w:r>
      <w:r>
        <w:rPr/>
        <w:t>one</w:t>
      </w:r>
      <w:r>
        <w:rPr>
          <w:spacing w:val="32"/>
        </w:rPr>
        <w:t> </w:t>
      </w:r>
      <w:r>
        <w:rPr/>
        <w:t>composite,</w:t>
      </w:r>
      <w:r>
        <w:rPr>
          <w:spacing w:val="33"/>
        </w:rPr>
        <w:t> </w:t>
      </w:r>
      <w:r>
        <w:rPr/>
        <w:t>the</w:t>
      </w:r>
      <w:r>
        <w:rPr>
          <w:spacing w:val="32"/>
        </w:rPr>
        <w:t> </w:t>
      </w:r>
      <w:r>
        <w:rPr/>
        <w:t>stresses</w:t>
      </w:r>
      <w:r>
        <w:rPr>
          <w:spacing w:val="32"/>
        </w:rPr>
        <w:t> </w:t>
      </w:r>
      <w:r>
        <w:rPr/>
        <w:t>caused</w:t>
      </w:r>
      <w:r>
        <w:rPr>
          <w:spacing w:val="32"/>
        </w:rPr>
        <w:t> </w:t>
      </w:r>
      <w:r>
        <w:rPr/>
        <w:t>by</w:t>
      </w:r>
      <w:r>
        <w:rPr>
          <w:spacing w:val="32"/>
        </w:rPr>
        <w:t> </w:t>
      </w:r>
      <w:r>
        <w:rPr/>
        <w:t>the</w:t>
      </w:r>
      <w:r>
        <w:rPr>
          <w:spacing w:val="32"/>
        </w:rPr>
        <w:t> </w:t>
      </w:r>
      <w:r>
        <w:rPr/>
        <w:t>impact</w:t>
      </w:r>
      <w:r>
        <w:rPr>
          <w:spacing w:val="33"/>
        </w:rPr>
        <w:t> </w:t>
      </w:r>
      <w:r>
        <w:rPr/>
        <w:t>lead</w:t>
      </w:r>
      <w:r>
        <w:rPr>
          <w:spacing w:val="32"/>
        </w:rPr>
        <w:t> </w:t>
      </w:r>
      <w:r>
        <w:rPr/>
        <w:t>to</w:t>
      </w:r>
    </w:p>
    <w:p>
      <w:pPr>
        <w:spacing w:after="0" w:line="480" w:lineRule="auto"/>
        <w:jc w:val="both"/>
        <w:sectPr>
          <w:pgSz w:w="12240" w:h="15840"/>
          <w:pgMar w:header="0" w:footer="1064" w:top="1440" w:bottom="1260" w:left="1720" w:right="1020"/>
        </w:sectPr>
      </w:pPr>
    </w:p>
    <w:p>
      <w:pPr>
        <w:pStyle w:val="BodyText"/>
        <w:spacing w:line="480" w:lineRule="auto" w:before="78"/>
        <w:ind w:left="440" w:right="417"/>
        <w:jc w:val="both"/>
      </w:pPr>
      <w:r>
        <w:rPr/>
        <w:t>noteworthy</w:t>
      </w:r>
      <w:r>
        <w:rPr>
          <w:spacing w:val="-12"/>
        </w:rPr>
        <w:t> </w:t>
      </w:r>
      <w:r>
        <w:rPr/>
        <w:t>fracture</w:t>
      </w:r>
      <w:r>
        <w:rPr>
          <w:spacing w:val="-12"/>
        </w:rPr>
        <w:t> </w:t>
      </w:r>
      <w:r>
        <w:rPr/>
        <w:t>in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wood</w:t>
      </w:r>
      <w:r>
        <w:rPr>
          <w:spacing w:val="-11"/>
        </w:rPr>
        <w:t> </w:t>
      </w:r>
      <w:r>
        <w:rPr/>
        <w:t>closest</w:t>
      </w:r>
      <w:r>
        <w:rPr>
          <w:spacing w:val="-12"/>
        </w:rPr>
        <w:t> </w:t>
      </w:r>
      <w:r>
        <w:rPr/>
        <w:t>to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steel.</w:t>
      </w:r>
      <w:r>
        <w:rPr>
          <w:spacing w:val="38"/>
        </w:rPr>
        <w:t> </w:t>
      </w:r>
      <w:r>
        <w:rPr/>
        <w:t>An</w:t>
      </w:r>
      <w:r>
        <w:rPr>
          <w:spacing w:val="-12"/>
        </w:rPr>
        <w:t> </w:t>
      </w:r>
      <w:r>
        <w:rPr/>
        <w:t>additional</w:t>
      </w:r>
      <w:r>
        <w:rPr>
          <w:spacing w:val="-11"/>
        </w:rPr>
        <w:t> </w:t>
      </w:r>
      <w:r>
        <w:rPr/>
        <w:t>option</w:t>
      </w:r>
      <w:r>
        <w:rPr>
          <w:spacing w:val="-12"/>
        </w:rPr>
        <w:t> </w:t>
      </w:r>
      <w:r>
        <w:rPr/>
        <w:t>besides</w:t>
      </w:r>
      <w:r>
        <w:rPr>
          <w:spacing w:val="-12"/>
        </w:rPr>
        <w:t> </w:t>
      </w:r>
      <w:r>
        <w:rPr/>
        <w:t>changing</w:t>
      </w:r>
      <w:r>
        <w:rPr>
          <w:spacing w:val="-58"/>
        </w:rPr>
        <w:t> </w:t>
      </w:r>
      <w:r>
        <w:rPr/>
        <w:t>the connection is to add in a shock absorbing layer between the steel plate or and wood</w:t>
      </w:r>
      <w:r>
        <w:rPr>
          <w:spacing w:val="1"/>
        </w:rPr>
        <w:t> </w:t>
      </w:r>
      <w:r>
        <w:rPr/>
        <w:t>surfaces</w:t>
      </w:r>
      <w:r>
        <w:rPr>
          <w:spacing w:val="-1"/>
        </w:rPr>
        <w:t> </w:t>
      </w:r>
      <w:r>
        <w:rPr/>
        <w:t>that</w:t>
      </w:r>
      <w:r>
        <w:rPr>
          <w:spacing w:val="-1"/>
        </w:rPr>
        <w:t> </w:t>
      </w:r>
      <w:r>
        <w:rPr/>
        <w:t>dissipate</w:t>
      </w:r>
      <w:r>
        <w:rPr>
          <w:spacing w:val="-1"/>
        </w:rPr>
        <w:t> </w:t>
      </w:r>
      <w:r>
        <w:rPr/>
        <w:t>that stress.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8"/>
        </w:rPr>
      </w:pPr>
      <w:r>
        <w:rPr/>
        <w:pict>
          <v:group style="position:absolute;margin-left:113.949997pt;margin-top:18.508984pt;width:284.350pt;height:127.7pt;mso-position-horizontal-relative:page;mso-position-vertical-relative:paragraph;z-index:-15580672;mso-wrap-distance-left:0;mso-wrap-distance-right:0" coordorigin="2279,370" coordsize="5687,2554">
            <v:shape style="position:absolute;left:2279;top:370;width:2572;height:2554" type="#_x0000_t75" stroked="false">
              <v:imagedata r:id="rId380" o:title=""/>
            </v:shape>
            <v:shape style="position:absolute;left:4919;top:388;width:3047;height:2535" type="#_x0000_t75" stroked="false">
              <v:imagedata r:id="rId381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90">
            <wp:simplePos x="0" y="0"/>
            <wp:positionH relativeFrom="page">
              <wp:posOffset>5104765</wp:posOffset>
            </wp:positionH>
            <wp:positionV relativeFrom="paragraph">
              <wp:posOffset>237477</wp:posOffset>
            </wp:positionV>
            <wp:extent cx="1665928" cy="1600295"/>
            <wp:effectExtent l="0" t="0" r="0" b="0"/>
            <wp:wrapTopAndBottom/>
            <wp:docPr id="181" name="image37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372.jpeg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5928" cy="1600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52"/>
        <w:ind w:left="440" w:right="947" w:firstLine="0"/>
        <w:jc w:val="left"/>
        <w:rPr>
          <w:i/>
          <w:sz w:val="24"/>
        </w:rPr>
      </w:pPr>
      <w:bookmarkStart w:name="_bookmark148" w:id="461"/>
      <w:bookmarkEnd w:id="461"/>
      <w:r>
        <w:rPr/>
      </w:r>
      <w:r>
        <w:rPr>
          <w:i/>
          <w:sz w:val="24"/>
        </w:rPr>
        <w:t>Figure 7-22. Bulge formed in mild steel and indentation in 3-ply CLT affixed behind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steel.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11"/>
        <w:rPr>
          <w:i/>
          <w:sz w:val="31"/>
        </w:rPr>
      </w:pPr>
    </w:p>
    <w:p>
      <w:pPr>
        <w:pStyle w:val="ListParagraph"/>
        <w:numPr>
          <w:ilvl w:val="3"/>
          <w:numId w:val="25"/>
        </w:numPr>
        <w:tabs>
          <w:tab w:pos="1160" w:val="left" w:leader="none"/>
        </w:tabs>
        <w:spacing w:line="240" w:lineRule="auto" w:before="0" w:after="0"/>
        <w:ind w:left="1160" w:right="0" w:hanging="720"/>
        <w:jc w:val="left"/>
        <w:rPr>
          <w:i/>
          <w:sz w:val="24"/>
        </w:rPr>
      </w:pPr>
      <w:bookmarkStart w:name="7.3.3.2 Type 5 - High-hard steel" w:id="462"/>
      <w:bookmarkEnd w:id="462"/>
      <w:r>
        <w:rPr/>
      </w:r>
      <w:bookmarkStart w:name="7.3.3.2 Type 5 - High-hard steel" w:id="463"/>
      <w:bookmarkEnd w:id="463"/>
      <w:r>
        <w:rPr>
          <w:i/>
          <w:sz w:val="24"/>
          <w:u w:val="single"/>
        </w:rPr>
        <w:t>T</w:t>
      </w:r>
      <w:r>
        <w:rPr>
          <w:i/>
          <w:sz w:val="24"/>
          <w:u w:val="single"/>
        </w:rPr>
        <w:t>ype</w:t>
      </w:r>
      <w:r>
        <w:rPr>
          <w:i/>
          <w:spacing w:val="-2"/>
          <w:sz w:val="24"/>
          <w:u w:val="single"/>
        </w:rPr>
        <w:t> </w:t>
      </w:r>
      <w:r>
        <w:rPr>
          <w:i/>
          <w:sz w:val="24"/>
          <w:u w:val="single"/>
        </w:rPr>
        <w:t>5</w:t>
      </w:r>
      <w:r>
        <w:rPr>
          <w:i/>
          <w:spacing w:val="-1"/>
          <w:sz w:val="24"/>
          <w:u w:val="single"/>
        </w:rPr>
        <w:t> </w:t>
      </w:r>
      <w:r>
        <w:rPr>
          <w:i/>
          <w:sz w:val="24"/>
          <w:u w:val="single"/>
        </w:rPr>
        <w:t>-</w:t>
      </w:r>
      <w:r>
        <w:rPr>
          <w:i/>
          <w:spacing w:val="-1"/>
          <w:sz w:val="24"/>
          <w:u w:val="single"/>
        </w:rPr>
        <w:t> </w:t>
      </w:r>
      <w:r>
        <w:rPr>
          <w:i/>
          <w:sz w:val="24"/>
          <w:u w:val="single"/>
        </w:rPr>
        <w:t>High-hard</w:t>
      </w:r>
      <w:r>
        <w:rPr>
          <w:i/>
          <w:spacing w:val="-2"/>
          <w:sz w:val="24"/>
          <w:u w:val="single"/>
        </w:rPr>
        <w:t> </w:t>
      </w:r>
      <w:r>
        <w:rPr>
          <w:i/>
          <w:sz w:val="24"/>
          <w:u w:val="single"/>
        </w:rPr>
        <w:t>steel</w:t>
      </w:r>
    </w:p>
    <w:p>
      <w:pPr>
        <w:pStyle w:val="BodyText"/>
        <w:spacing w:before="9"/>
        <w:rPr>
          <w:i/>
          <w:sz w:val="14"/>
        </w:rPr>
      </w:pPr>
    </w:p>
    <w:p>
      <w:pPr>
        <w:pStyle w:val="BodyText"/>
        <w:spacing w:line="480" w:lineRule="auto" w:before="90"/>
        <w:ind w:left="440" w:right="416" w:firstLine="720"/>
        <w:jc w:val="both"/>
      </w:pPr>
      <w:r>
        <w:rPr/>
        <w:t>For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two</w:t>
      </w:r>
      <w:r>
        <w:rPr>
          <w:spacing w:val="-6"/>
        </w:rPr>
        <w:t> </w:t>
      </w:r>
      <w:r>
        <w:rPr/>
        <w:t>ECLT</w:t>
      </w:r>
      <w:r>
        <w:rPr>
          <w:spacing w:val="-4"/>
        </w:rPr>
        <w:t> </w:t>
      </w:r>
      <w:r>
        <w:rPr/>
        <w:t>specimens</w:t>
      </w:r>
      <w:r>
        <w:rPr>
          <w:spacing w:val="-3"/>
        </w:rPr>
        <w:t> </w:t>
      </w:r>
      <w:r>
        <w:rPr/>
        <w:t>with</w:t>
      </w:r>
      <w:r>
        <w:rPr>
          <w:spacing w:val="-4"/>
        </w:rPr>
        <w:t> </w:t>
      </w:r>
      <w:r>
        <w:rPr/>
        <w:t>embedded</w:t>
      </w:r>
      <w:r>
        <w:rPr>
          <w:spacing w:val="-4"/>
        </w:rPr>
        <w:t> </w:t>
      </w:r>
      <w:r>
        <w:rPr/>
        <w:t>0.25-in.</w:t>
      </w:r>
      <w:r>
        <w:rPr>
          <w:spacing w:val="-5"/>
        </w:rPr>
        <w:t> </w:t>
      </w:r>
      <w:r>
        <w:rPr/>
        <w:t>high-hard</w:t>
      </w:r>
      <w:r>
        <w:rPr>
          <w:spacing w:val="-4"/>
        </w:rPr>
        <w:t> </w:t>
      </w:r>
      <w:r>
        <w:rPr/>
        <w:t>steel</w:t>
      </w:r>
      <w:r>
        <w:rPr>
          <w:spacing w:val="-4"/>
        </w:rPr>
        <w:t> </w:t>
      </w:r>
      <w:r>
        <w:rPr/>
        <w:t>plate,</w:t>
      </w:r>
      <w:r>
        <w:rPr>
          <w:spacing w:val="-4"/>
        </w:rPr>
        <w:t> </w:t>
      </w:r>
      <w:r>
        <w:rPr/>
        <w:t>testing</w:t>
      </w:r>
      <w:r>
        <w:rPr>
          <w:spacing w:val="-58"/>
        </w:rPr>
        <w:t> </w:t>
      </w:r>
      <w:r>
        <w:rPr/>
        <w:t>consisted of five test shots in each block, as shown in </w:t>
      </w:r>
      <w:hyperlink w:history="true" w:anchor="_bookmark149">
        <w:r>
          <w:rPr/>
          <w:t>Figure 7-23</w:t>
        </w:r>
      </w:hyperlink>
      <w:r>
        <w:rPr/>
        <w:t>.</w:t>
      </w:r>
      <w:r>
        <w:rPr>
          <w:spacing w:val="1"/>
        </w:rPr>
        <w:t> </w:t>
      </w:r>
      <w:r>
        <w:rPr/>
        <w:t>The average striking</w:t>
      </w:r>
      <w:r>
        <w:rPr>
          <w:spacing w:val="1"/>
        </w:rPr>
        <w:t> </w:t>
      </w:r>
      <w:r>
        <w:rPr/>
        <w:t>velocity was 2,525 fps (770 m/s) with an average depth of penetration of 2.53-in.</w:t>
      </w:r>
      <w:r>
        <w:rPr>
          <w:spacing w:val="1"/>
        </w:rPr>
        <w:t> </w:t>
      </w:r>
      <w:r>
        <w:rPr/>
        <w:t>This is</w:t>
      </w:r>
      <w:r>
        <w:rPr>
          <w:spacing w:val="1"/>
        </w:rPr>
        <w:t> </w:t>
      </w:r>
      <w:r>
        <w:rPr/>
        <w:t>approximately 0.25-in. less than the mild steel plate ECLT specimens’ average depth of</w:t>
      </w:r>
      <w:r>
        <w:rPr>
          <w:spacing w:val="1"/>
        </w:rPr>
        <w:t> </w:t>
      </w:r>
      <w:r>
        <w:rPr/>
        <w:t>penetration.</w:t>
      </w:r>
      <w:r>
        <w:rPr>
          <w:spacing w:val="43"/>
        </w:rPr>
        <w:t> </w:t>
      </w:r>
      <w:r>
        <w:rPr/>
        <w:t>Similar</w:t>
      </w:r>
      <w:r>
        <w:rPr>
          <w:spacing w:val="-7"/>
        </w:rPr>
        <w:t> </w:t>
      </w:r>
      <w:r>
        <w:rPr/>
        <w:t>to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mild</w:t>
      </w:r>
      <w:r>
        <w:rPr>
          <w:spacing w:val="-7"/>
        </w:rPr>
        <w:t> </w:t>
      </w:r>
      <w:r>
        <w:rPr/>
        <w:t>steel</w:t>
      </w:r>
      <w:r>
        <w:rPr>
          <w:spacing w:val="-8"/>
        </w:rPr>
        <w:t> </w:t>
      </w:r>
      <w:r>
        <w:rPr/>
        <w:t>ECLT,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variance</w:t>
      </w:r>
      <w:r>
        <w:rPr>
          <w:spacing w:val="-7"/>
        </w:rPr>
        <w:t> </w:t>
      </w:r>
      <w:r>
        <w:rPr/>
        <w:t>in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depths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penetration</w:t>
      </w:r>
      <w:r>
        <w:rPr>
          <w:spacing w:val="-9"/>
        </w:rPr>
        <w:t> </w:t>
      </w:r>
      <w:r>
        <w:rPr/>
        <w:t>were</w:t>
      </w:r>
      <w:r>
        <w:rPr>
          <w:spacing w:val="-58"/>
        </w:rPr>
        <w:t> </w:t>
      </w:r>
      <w:r>
        <w:rPr/>
        <w:t>relatively</w:t>
      </w:r>
      <w:r>
        <w:rPr>
          <w:spacing w:val="1"/>
        </w:rPr>
        <w:t> </w:t>
      </w:r>
      <w:r>
        <w:rPr/>
        <w:t>small</w:t>
      </w:r>
      <w:r>
        <w:rPr>
          <w:spacing w:val="1"/>
        </w:rPr>
        <w:t> </w:t>
      </w:r>
      <w:r>
        <w:rPr/>
        <w:t>indicating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projectiles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all</w:t>
      </w:r>
      <w:r>
        <w:rPr>
          <w:spacing w:val="1"/>
        </w:rPr>
        <w:t> </w:t>
      </w:r>
      <w:r>
        <w:rPr/>
        <w:t>stopped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steel</w:t>
      </w:r>
      <w:r>
        <w:rPr>
          <w:spacing w:val="1"/>
        </w:rPr>
        <w:t> </w:t>
      </w:r>
      <w:r>
        <w:rPr/>
        <w:t>plate</w:t>
      </w:r>
      <w:r>
        <w:rPr>
          <w:spacing w:val="1"/>
        </w:rPr>
        <w:t> </w:t>
      </w:r>
      <w:r>
        <w:rPr/>
        <w:t>as</w:t>
      </w:r>
      <w:r>
        <w:rPr>
          <w:spacing w:val="-57"/>
        </w:rPr>
        <w:t> </w:t>
      </w:r>
      <w:r>
        <w:rPr/>
        <w:t>anticipated.</w:t>
      </w:r>
      <w:r>
        <w:rPr>
          <w:spacing w:val="1"/>
        </w:rPr>
        <w:t> </w:t>
      </w:r>
      <w:hyperlink w:history="true" w:anchor="_bookmark150">
        <w:r>
          <w:rPr/>
          <w:t>Table 7-7</w:t>
        </w:r>
      </w:hyperlink>
      <w:r>
        <w:rPr/>
        <w:t> provides the specific striking velocity and depth of penetration</w:t>
      </w:r>
      <w:r>
        <w:rPr>
          <w:spacing w:val="1"/>
        </w:rPr>
        <w:t> </w:t>
      </w:r>
      <w:r>
        <w:rPr/>
        <w:t>measurements.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ind w:left="440"/>
        <w:rPr>
          <w:sz w:val="20"/>
        </w:rPr>
      </w:pPr>
      <w:r>
        <w:rPr>
          <w:sz w:val="20"/>
        </w:rPr>
        <w:pict>
          <v:group style="width:415.35pt;height:135pt;mso-position-horizontal-relative:char;mso-position-vertical-relative:line" coordorigin="0,0" coordsize="8307,2700">
            <v:shape style="position:absolute;left:0;top:30;width:2782;height:2656" type="#_x0000_t75" stroked="false">
              <v:imagedata r:id="rId383" o:title=""/>
            </v:shape>
            <v:shape style="position:absolute;left:2850;top:0;width:2695;height:2695" type="#_x0000_t75" stroked="false">
              <v:imagedata r:id="rId384" o:title=""/>
            </v:shape>
            <v:shape style="position:absolute;left:5610;top:27;width:2697;height:2673" type="#_x0000_t75" stroked="false">
              <v:imagedata r:id="rId385" o:title=""/>
            </v:shape>
          </v:group>
        </w:pict>
      </w:r>
      <w:r>
        <w:rPr>
          <w:sz w:val="20"/>
        </w:rPr>
      </w:r>
    </w:p>
    <w:p>
      <w:pPr>
        <w:pStyle w:val="BodyText"/>
        <w:spacing w:before="1"/>
        <w:rPr>
          <w:sz w:val="7"/>
        </w:rPr>
      </w:pPr>
    </w:p>
    <w:p>
      <w:pPr>
        <w:spacing w:before="90"/>
        <w:ind w:left="440" w:right="417" w:firstLine="0"/>
        <w:jc w:val="both"/>
        <w:rPr>
          <w:i/>
          <w:sz w:val="24"/>
        </w:rPr>
      </w:pPr>
      <w:bookmarkStart w:name="_bookmark149" w:id="464"/>
      <w:bookmarkEnd w:id="464"/>
      <w:r>
        <w:rPr/>
      </w:r>
      <w:r>
        <w:rPr>
          <w:i/>
          <w:sz w:val="24"/>
        </w:rPr>
        <w:t>Figure 7-23. High-hard steel ECLT specimen post-test: (left) back of 2-plt CLT, (center)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front of 1/4-inch high-hard steel plate, (right) front of 3-ply CLT positioned behind steel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plate.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227"/>
        <w:ind w:left="440" w:right="416" w:firstLine="720"/>
        <w:jc w:val="both"/>
      </w:pPr>
      <w:r>
        <w:rPr/>
        <w:t>Upon disassembly of the ECLT, which involved prying the wood away from the</w:t>
      </w:r>
      <w:r>
        <w:rPr>
          <w:spacing w:val="1"/>
        </w:rPr>
        <w:t> </w:t>
      </w:r>
      <w:r>
        <w:rPr/>
        <w:t>steel</w:t>
      </w:r>
      <w:r>
        <w:rPr>
          <w:spacing w:val="-8"/>
        </w:rPr>
        <w:t> </w:t>
      </w:r>
      <w:r>
        <w:rPr/>
        <w:t>plate</w:t>
      </w:r>
      <w:r>
        <w:rPr>
          <w:spacing w:val="-8"/>
        </w:rPr>
        <w:t> </w:t>
      </w:r>
      <w:r>
        <w:rPr/>
        <w:t>along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pre-existing</w:t>
      </w:r>
      <w:r>
        <w:rPr>
          <w:spacing w:val="-9"/>
        </w:rPr>
        <w:t> </w:t>
      </w:r>
      <w:r>
        <w:rPr/>
        <w:t>gaps,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failure</w:t>
      </w:r>
      <w:r>
        <w:rPr>
          <w:spacing w:val="-8"/>
        </w:rPr>
        <w:t> </w:t>
      </w:r>
      <w:r>
        <w:rPr/>
        <w:t>mechanism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plugging</w:t>
      </w:r>
      <w:r>
        <w:rPr>
          <w:spacing w:val="-9"/>
        </w:rPr>
        <w:t> </w:t>
      </w:r>
      <w:r>
        <w:rPr/>
        <w:t>for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high-hard</w:t>
      </w:r>
      <w:r>
        <w:rPr>
          <w:spacing w:val="-58"/>
        </w:rPr>
        <w:t> </w:t>
      </w:r>
      <w:r>
        <w:rPr/>
        <w:t>steel plate could be observed.</w:t>
      </w:r>
      <w:r>
        <w:rPr>
          <w:spacing w:val="1"/>
        </w:rPr>
        <w:t> </w:t>
      </w:r>
      <w:r>
        <w:rPr/>
        <w:t>The high-hard steel has no bulging but instead holes in the</w:t>
      </w:r>
      <w:r>
        <w:rPr>
          <w:spacing w:val="1"/>
        </w:rPr>
        <w:t> </w:t>
      </w:r>
      <w:r>
        <w:rPr/>
        <w:t>steel plate for all five shots that were slightly larger than the projectile diameter.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missing</w:t>
      </w:r>
      <w:r>
        <w:rPr>
          <w:spacing w:val="-5"/>
        </w:rPr>
        <w:t> </w:t>
      </w:r>
      <w:r>
        <w:rPr/>
        <w:t>steel</w:t>
      </w:r>
      <w:r>
        <w:rPr>
          <w:spacing w:val="-3"/>
        </w:rPr>
        <w:t> </w:t>
      </w:r>
      <w:r>
        <w:rPr/>
        <w:t>could</w:t>
      </w:r>
      <w:r>
        <w:rPr>
          <w:spacing w:val="-4"/>
        </w:rPr>
        <w:t> </w:t>
      </w:r>
      <w:r>
        <w:rPr/>
        <w:t>be</w:t>
      </w:r>
      <w:r>
        <w:rPr>
          <w:spacing w:val="-4"/>
        </w:rPr>
        <w:t> </w:t>
      </w:r>
      <w:r>
        <w:rPr/>
        <w:t>found</w:t>
      </w:r>
      <w:r>
        <w:rPr>
          <w:spacing w:val="-4"/>
        </w:rPr>
        <w:t> </w:t>
      </w:r>
      <w:r>
        <w:rPr/>
        <w:t>as</w:t>
      </w:r>
      <w:r>
        <w:rPr>
          <w:spacing w:val="-4"/>
        </w:rPr>
        <w:t> </w:t>
      </w:r>
      <w:r>
        <w:rPr/>
        <w:t>small</w:t>
      </w:r>
      <w:r>
        <w:rPr>
          <w:spacing w:val="-3"/>
        </w:rPr>
        <w:t> </w:t>
      </w:r>
      <w:r>
        <w:rPr/>
        <w:t>disks</w:t>
      </w:r>
      <w:r>
        <w:rPr>
          <w:spacing w:val="-4"/>
        </w:rPr>
        <w:t> </w:t>
      </w:r>
      <w:r>
        <w:rPr/>
        <w:t>embedded</w:t>
      </w:r>
      <w:r>
        <w:rPr>
          <w:spacing w:val="-4"/>
        </w:rPr>
        <w:t> </w:t>
      </w:r>
      <w:r>
        <w:rPr/>
        <w:t>in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face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3-ply</w:t>
      </w:r>
      <w:r>
        <w:rPr>
          <w:spacing w:val="-4"/>
        </w:rPr>
        <w:t> </w:t>
      </w:r>
      <w:r>
        <w:rPr/>
        <w:t>CLT</w:t>
      </w:r>
      <w:r>
        <w:rPr>
          <w:spacing w:val="-4"/>
        </w:rPr>
        <w:t> </w:t>
      </w:r>
      <w:r>
        <w:rPr/>
        <w:t>section</w:t>
      </w:r>
      <w:r>
        <w:rPr>
          <w:spacing w:val="-58"/>
        </w:rPr>
        <w:t> </w:t>
      </w:r>
      <w:r>
        <w:rPr/>
        <w:t>positioned behind the steel plate, as shown in </w:t>
      </w:r>
      <w:hyperlink w:history="true" w:anchor="_bookmark151">
        <w:r>
          <w:rPr/>
          <w:t>Figure 7-24</w:t>
        </w:r>
      </w:hyperlink>
      <w:r>
        <w:rPr/>
        <w:t>.</w:t>
      </w:r>
      <w:r>
        <w:rPr>
          <w:spacing w:val="1"/>
        </w:rPr>
        <w:t> </w:t>
      </w:r>
      <w:r>
        <w:rPr/>
        <w:t>The projectiles also shown in</w:t>
      </w:r>
      <w:r>
        <w:rPr>
          <w:spacing w:val="1"/>
        </w:rPr>
        <w:t> </w:t>
      </w:r>
      <w:hyperlink w:history="true" w:anchor="_bookmark151">
        <w:r>
          <w:rPr/>
          <w:t>Figure 7-24</w:t>
        </w:r>
      </w:hyperlink>
      <w:r>
        <w:rPr/>
        <w:t>, demonstrate damage caused from the impact with the high-hard steel, which</w:t>
      </w:r>
      <w:r>
        <w:rPr>
          <w:spacing w:val="1"/>
        </w:rPr>
        <w:t> </w:t>
      </w:r>
      <w:r>
        <w:rPr/>
        <w:t>was likely of equivalent or greater hardness than the spheres.</w:t>
      </w:r>
      <w:r>
        <w:rPr>
          <w:spacing w:val="1"/>
        </w:rPr>
        <w:t> </w:t>
      </w:r>
      <w:r>
        <w:rPr/>
        <w:t>Two of the projectiles were</w:t>
      </w:r>
      <w:r>
        <w:rPr>
          <w:spacing w:val="-57"/>
        </w:rPr>
        <w:t> </w:t>
      </w:r>
      <w:r>
        <w:rPr/>
        <w:t>entrenched in the back face of the 2-ply CLT front section, which was positioned in front</w:t>
      </w:r>
      <w:r>
        <w:rPr>
          <w:spacing w:val="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steel</w:t>
      </w:r>
      <w:r>
        <w:rPr>
          <w:spacing w:val="-1"/>
        </w:rPr>
        <w:t> </w:t>
      </w:r>
      <w:r>
        <w:rPr/>
        <w:t>plate.</w:t>
      </w:r>
    </w:p>
    <w:p>
      <w:pPr>
        <w:spacing w:after="0" w:line="480" w:lineRule="auto"/>
        <w:jc w:val="both"/>
        <w:sectPr>
          <w:pgSz w:w="12240" w:h="15840"/>
          <w:pgMar w:header="0" w:footer="1064" w:top="1440" w:bottom="1260" w:left="1720" w:right="1020"/>
        </w:sectPr>
      </w:pPr>
    </w:p>
    <w:p>
      <w:pPr>
        <w:spacing w:before="79"/>
        <w:ind w:left="20" w:right="0" w:firstLine="0"/>
        <w:jc w:val="center"/>
        <w:rPr>
          <w:i/>
          <w:sz w:val="24"/>
        </w:rPr>
      </w:pPr>
      <w:bookmarkStart w:name="_bookmark150" w:id="465"/>
      <w:bookmarkEnd w:id="465"/>
      <w:r>
        <w:rPr/>
      </w:r>
      <w:r>
        <w:rPr>
          <w:i/>
          <w:sz w:val="24"/>
        </w:rPr>
        <w:t>Table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7-7.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Results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from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hard-hard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steel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ECLT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testing.</w:t>
      </w:r>
    </w:p>
    <w:p>
      <w:pPr>
        <w:pStyle w:val="BodyText"/>
        <w:spacing w:before="5" w:after="1"/>
        <w:rPr>
          <w:i/>
          <w:sz w:val="17"/>
        </w:rPr>
      </w:pPr>
    </w:p>
    <w:tbl>
      <w:tblPr>
        <w:tblW w:w="0" w:type="auto"/>
        <w:jc w:val="left"/>
        <w:tblInd w:w="14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21"/>
        <w:gridCol w:w="973"/>
        <w:gridCol w:w="974"/>
        <w:gridCol w:w="1524"/>
        <w:gridCol w:w="1400"/>
      </w:tblGrid>
      <w:tr>
        <w:trPr>
          <w:trHeight w:val="1400" w:hRule="atLeast"/>
        </w:trPr>
        <w:tc>
          <w:tcPr>
            <w:tcW w:w="1721" w:type="dxa"/>
            <w:shd w:val="clear" w:color="auto" w:fill="DADAD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8"/>
              <w:rPr>
                <w:i/>
                <w:sz w:val="25"/>
              </w:rPr>
            </w:pPr>
          </w:p>
          <w:p>
            <w:pPr>
              <w:pStyle w:val="TableParagraph"/>
              <w:ind w:left="193"/>
              <w:rPr>
                <w:sz w:val="22"/>
              </w:rPr>
            </w:pPr>
            <w:r>
              <w:rPr>
                <w:sz w:val="22"/>
              </w:rPr>
              <w:t>Specimen/Shot</w:t>
            </w:r>
          </w:p>
        </w:tc>
        <w:tc>
          <w:tcPr>
            <w:tcW w:w="973" w:type="dxa"/>
            <w:shd w:val="clear" w:color="auto" w:fill="DADADA"/>
          </w:tcPr>
          <w:p>
            <w:pPr>
              <w:pStyle w:val="TableParagraph"/>
              <w:spacing w:before="8"/>
              <w:rPr>
                <w:i/>
                <w:sz w:val="27"/>
              </w:rPr>
            </w:pPr>
          </w:p>
          <w:p>
            <w:pPr>
              <w:pStyle w:val="TableParagraph"/>
              <w:ind w:left="107" w:right="94" w:hanging="2"/>
              <w:jc w:val="center"/>
              <w:rPr>
                <w:sz w:val="22"/>
              </w:rPr>
            </w:pPr>
            <w:r>
              <w:rPr>
                <w:sz w:val="22"/>
              </w:rPr>
              <w:t>v</w:t>
            </w:r>
            <w:r>
              <w:rPr>
                <w:sz w:val="22"/>
                <w:vertAlign w:val="subscript"/>
              </w:rPr>
              <w:t>s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(chrono)</w:t>
            </w:r>
            <w:r>
              <w:rPr>
                <w:spacing w:val="-52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(fps)</w:t>
            </w:r>
          </w:p>
        </w:tc>
        <w:tc>
          <w:tcPr>
            <w:tcW w:w="974" w:type="dxa"/>
            <w:shd w:val="clear" w:color="auto" w:fill="DADADA"/>
          </w:tcPr>
          <w:p>
            <w:pPr>
              <w:pStyle w:val="TableParagraph"/>
              <w:spacing w:before="8"/>
              <w:rPr>
                <w:i/>
                <w:sz w:val="27"/>
              </w:rPr>
            </w:pPr>
          </w:p>
          <w:p>
            <w:pPr>
              <w:pStyle w:val="TableParagraph"/>
              <w:ind w:left="107" w:right="96" w:hanging="2"/>
              <w:jc w:val="center"/>
              <w:rPr>
                <w:sz w:val="22"/>
              </w:rPr>
            </w:pPr>
            <w:r>
              <w:rPr>
                <w:sz w:val="22"/>
              </w:rPr>
              <w:t>v</w:t>
            </w:r>
            <w:r>
              <w:rPr>
                <w:sz w:val="22"/>
                <w:vertAlign w:val="subscript"/>
              </w:rPr>
              <w:t>s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(chrono)</w:t>
            </w:r>
            <w:r>
              <w:rPr>
                <w:spacing w:val="-52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(m/s)</w:t>
            </w:r>
          </w:p>
        </w:tc>
        <w:tc>
          <w:tcPr>
            <w:tcW w:w="1524" w:type="dxa"/>
            <w:shd w:val="clear" w:color="auto" w:fill="DADADA"/>
          </w:tcPr>
          <w:p>
            <w:pPr>
              <w:pStyle w:val="TableParagraph"/>
              <w:spacing w:before="65"/>
              <w:ind w:left="104" w:right="92"/>
              <w:jc w:val="center"/>
              <w:rPr>
                <w:sz w:val="22"/>
              </w:rPr>
            </w:pPr>
            <w:r>
              <w:rPr>
                <w:sz w:val="22"/>
              </w:rPr>
              <w:t>Partial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Penetration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1"/>
                <w:sz w:val="22"/>
              </w:rPr>
              <w:t>(PP)/Complete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Penetration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(CP)</w:t>
            </w:r>
          </w:p>
        </w:tc>
        <w:tc>
          <w:tcPr>
            <w:tcW w:w="1400" w:type="dxa"/>
            <w:shd w:val="clear" w:color="auto" w:fill="DADADA"/>
          </w:tcPr>
          <w:p>
            <w:pPr>
              <w:pStyle w:val="TableParagraph"/>
              <w:spacing w:before="191"/>
              <w:ind w:left="199" w:right="187" w:firstLine="53"/>
              <w:jc w:val="center"/>
              <w:rPr>
                <w:sz w:val="22"/>
              </w:rPr>
            </w:pPr>
            <w:r>
              <w:rPr>
                <w:sz w:val="22"/>
              </w:rPr>
              <w:t>Measured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Depth of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1"/>
                <w:sz w:val="22"/>
              </w:rPr>
              <w:t>Penetration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(T</w:t>
            </w:r>
            <w:r>
              <w:rPr>
                <w:sz w:val="22"/>
                <w:vertAlign w:val="subscript"/>
              </w:rPr>
              <w:t>w</w:t>
            </w:r>
            <w:r>
              <w:rPr>
                <w:sz w:val="22"/>
                <w:vertAlign w:val="baseline"/>
              </w:rPr>
              <w:t>)</w:t>
            </w:r>
            <w:r>
              <w:rPr>
                <w:spacing w:val="-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(in)</w:t>
            </w:r>
          </w:p>
        </w:tc>
      </w:tr>
      <w:tr>
        <w:trPr>
          <w:trHeight w:val="290" w:hRule="atLeast"/>
        </w:trPr>
        <w:tc>
          <w:tcPr>
            <w:tcW w:w="1721" w:type="dxa"/>
          </w:tcPr>
          <w:p>
            <w:pPr>
              <w:pStyle w:val="TableParagraph"/>
              <w:spacing w:line="234" w:lineRule="exact" w:before="35"/>
              <w:ind w:left="156"/>
              <w:rPr>
                <w:sz w:val="22"/>
              </w:rPr>
            </w:pPr>
            <w:r>
              <w:rPr>
                <w:sz w:val="22"/>
              </w:rPr>
              <w:t>E-HHS-2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1</w:t>
            </w:r>
          </w:p>
        </w:tc>
        <w:tc>
          <w:tcPr>
            <w:tcW w:w="973" w:type="dxa"/>
          </w:tcPr>
          <w:p>
            <w:pPr>
              <w:pStyle w:val="TableParagraph"/>
              <w:spacing w:line="234" w:lineRule="exact" w:before="35"/>
              <w:ind w:left="215" w:right="205"/>
              <w:jc w:val="center"/>
              <w:rPr>
                <w:sz w:val="22"/>
              </w:rPr>
            </w:pPr>
            <w:r>
              <w:rPr>
                <w:sz w:val="22"/>
              </w:rPr>
              <w:t>2,602</w:t>
            </w:r>
          </w:p>
        </w:tc>
        <w:tc>
          <w:tcPr>
            <w:tcW w:w="974" w:type="dxa"/>
          </w:tcPr>
          <w:p>
            <w:pPr>
              <w:pStyle w:val="TableParagraph"/>
              <w:spacing w:line="234" w:lineRule="exact" w:before="35"/>
              <w:ind w:left="214" w:right="204"/>
              <w:jc w:val="center"/>
              <w:rPr>
                <w:sz w:val="22"/>
              </w:rPr>
            </w:pPr>
            <w:r>
              <w:rPr>
                <w:sz w:val="22"/>
              </w:rPr>
              <w:t>793</w:t>
            </w:r>
          </w:p>
        </w:tc>
        <w:tc>
          <w:tcPr>
            <w:tcW w:w="1524" w:type="dxa"/>
          </w:tcPr>
          <w:p>
            <w:pPr>
              <w:pStyle w:val="TableParagraph"/>
              <w:spacing w:line="234" w:lineRule="exact" w:before="35"/>
              <w:ind w:left="102" w:right="92"/>
              <w:jc w:val="center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400" w:type="dxa"/>
          </w:tcPr>
          <w:p>
            <w:pPr>
              <w:pStyle w:val="TableParagraph"/>
              <w:spacing w:line="234" w:lineRule="exact" w:before="35"/>
              <w:ind w:left="377" w:right="367"/>
              <w:jc w:val="center"/>
              <w:rPr>
                <w:sz w:val="22"/>
              </w:rPr>
            </w:pPr>
            <w:r>
              <w:rPr>
                <w:sz w:val="22"/>
              </w:rPr>
              <w:t>2.6250</w:t>
            </w:r>
          </w:p>
        </w:tc>
      </w:tr>
      <w:tr>
        <w:trPr>
          <w:trHeight w:val="289" w:hRule="atLeast"/>
        </w:trPr>
        <w:tc>
          <w:tcPr>
            <w:tcW w:w="1721" w:type="dxa"/>
          </w:tcPr>
          <w:p>
            <w:pPr>
              <w:pStyle w:val="TableParagraph"/>
              <w:spacing w:line="234" w:lineRule="exact" w:before="35"/>
              <w:ind w:left="156"/>
              <w:rPr>
                <w:sz w:val="22"/>
              </w:rPr>
            </w:pPr>
            <w:r>
              <w:rPr>
                <w:sz w:val="22"/>
              </w:rPr>
              <w:t>E-HHS-2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2</w:t>
            </w:r>
          </w:p>
        </w:tc>
        <w:tc>
          <w:tcPr>
            <w:tcW w:w="973" w:type="dxa"/>
          </w:tcPr>
          <w:p>
            <w:pPr>
              <w:pStyle w:val="TableParagraph"/>
              <w:spacing w:line="234" w:lineRule="exact" w:before="35"/>
              <w:ind w:left="215" w:right="205"/>
              <w:jc w:val="center"/>
              <w:rPr>
                <w:sz w:val="22"/>
              </w:rPr>
            </w:pPr>
            <w:r>
              <w:rPr>
                <w:sz w:val="22"/>
              </w:rPr>
              <w:t>2,569</w:t>
            </w:r>
          </w:p>
        </w:tc>
        <w:tc>
          <w:tcPr>
            <w:tcW w:w="974" w:type="dxa"/>
          </w:tcPr>
          <w:p>
            <w:pPr>
              <w:pStyle w:val="TableParagraph"/>
              <w:spacing w:line="234" w:lineRule="exact" w:before="35"/>
              <w:ind w:left="214" w:right="204"/>
              <w:jc w:val="center"/>
              <w:rPr>
                <w:sz w:val="22"/>
              </w:rPr>
            </w:pPr>
            <w:r>
              <w:rPr>
                <w:sz w:val="22"/>
              </w:rPr>
              <w:t>783</w:t>
            </w:r>
          </w:p>
        </w:tc>
        <w:tc>
          <w:tcPr>
            <w:tcW w:w="1524" w:type="dxa"/>
          </w:tcPr>
          <w:p>
            <w:pPr>
              <w:pStyle w:val="TableParagraph"/>
              <w:spacing w:line="234" w:lineRule="exact" w:before="35"/>
              <w:ind w:left="102" w:right="92"/>
              <w:jc w:val="center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400" w:type="dxa"/>
          </w:tcPr>
          <w:p>
            <w:pPr>
              <w:pStyle w:val="TableParagraph"/>
              <w:spacing w:line="234" w:lineRule="exact" w:before="35"/>
              <w:ind w:left="377" w:right="367"/>
              <w:jc w:val="center"/>
              <w:rPr>
                <w:sz w:val="22"/>
              </w:rPr>
            </w:pPr>
            <w:r>
              <w:rPr>
                <w:sz w:val="22"/>
              </w:rPr>
              <w:t>2.5000</w:t>
            </w:r>
          </w:p>
        </w:tc>
      </w:tr>
      <w:tr>
        <w:trPr>
          <w:trHeight w:val="290" w:hRule="atLeast"/>
        </w:trPr>
        <w:tc>
          <w:tcPr>
            <w:tcW w:w="1721" w:type="dxa"/>
          </w:tcPr>
          <w:p>
            <w:pPr>
              <w:pStyle w:val="TableParagraph"/>
              <w:spacing w:line="234" w:lineRule="exact" w:before="35"/>
              <w:ind w:left="156"/>
              <w:rPr>
                <w:sz w:val="22"/>
              </w:rPr>
            </w:pPr>
            <w:r>
              <w:rPr>
                <w:sz w:val="22"/>
              </w:rPr>
              <w:t>E-HHS-2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3</w:t>
            </w:r>
          </w:p>
        </w:tc>
        <w:tc>
          <w:tcPr>
            <w:tcW w:w="973" w:type="dxa"/>
          </w:tcPr>
          <w:p>
            <w:pPr>
              <w:pStyle w:val="TableParagraph"/>
              <w:spacing w:line="234" w:lineRule="exact" w:before="35"/>
              <w:ind w:left="215" w:right="205"/>
              <w:jc w:val="center"/>
              <w:rPr>
                <w:sz w:val="22"/>
              </w:rPr>
            </w:pPr>
            <w:r>
              <w:rPr>
                <w:sz w:val="22"/>
              </w:rPr>
              <w:t>2,389</w:t>
            </w:r>
          </w:p>
        </w:tc>
        <w:tc>
          <w:tcPr>
            <w:tcW w:w="974" w:type="dxa"/>
          </w:tcPr>
          <w:p>
            <w:pPr>
              <w:pStyle w:val="TableParagraph"/>
              <w:spacing w:line="234" w:lineRule="exact" w:before="35"/>
              <w:ind w:left="214" w:right="204"/>
              <w:jc w:val="center"/>
              <w:rPr>
                <w:sz w:val="22"/>
              </w:rPr>
            </w:pPr>
            <w:r>
              <w:rPr>
                <w:sz w:val="22"/>
              </w:rPr>
              <w:t>728</w:t>
            </w:r>
          </w:p>
        </w:tc>
        <w:tc>
          <w:tcPr>
            <w:tcW w:w="1524" w:type="dxa"/>
          </w:tcPr>
          <w:p>
            <w:pPr>
              <w:pStyle w:val="TableParagraph"/>
              <w:spacing w:line="234" w:lineRule="exact" w:before="35"/>
              <w:ind w:left="102" w:right="92"/>
              <w:jc w:val="center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400" w:type="dxa"/>
          </w:tcPr>
          <w:p>
            <w:pPr>
              <w:pStyle w:val="TableParagraph"/>
              <w:spacing w:line="234" w:lineRule="exact" w:before="35"/>
              <w:ind w:left="377" w:right="366"/>
              <w:jc w:val="center"/>
              <w:rPr>
                <w:sz w:val="22"/>
              </w:rPr>
            </w:pPr>
            <w:r>
              <w:rPr>
                <w:sz w:val="22"/>
              </w:rPr>
              <w:t>2.4375</w:t>
            </w:r>
          </w:p>
        </w:tc>
      </w:tr>
      <w:tr>
        <w:trPr>
          <w:trHeight w:val="290" w:hRule="atLeast"/>
        </w:trPr>
        <w:tc>
          <w:tcPr>
            <w:tcW w:w="1721" w:type="dxa"/>
          </w:tcPr>
          <w:p>
            <w:pPr>
              <w:pStyle w:val="TableParagraph"/>
              <w:spacing w:line="234" w:lineRule="exact" w:before="35"/>
              <w:ind w:left="156"/>
              <w:rPr>
                <w:sz w:val="22"/>
              </w:rPr>
            </w:pPr>
            <w:r>
              <w:rPr>
                <w:sz w:val="22"/>
              </w:rPr>
              <w:t>E-HHS-2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4</w:t>
            </w:r>
          </w:p>
        </w:tc>
        <w:tc>
          <w:tcPr>
            <w:tcW w:w="973" w:type="dxa"/>
          </w:tcPr>
          <w:p>
            <w:pPr>
              <w:pStyle w:val="TableParagraph"/>
              <w:spacing w:line="234" w:lineRule="exact" w:before="35"/>
              <w:ind w:left="215" w:right="205"/>
              <w:jc w:val="center"/>
              <w:rPr>
                <w:sz w:val="22"/>
              </w:rPr>
            </w:pPr>
            <w:r>
              <w:rPr>
                <w:sz w:val="22"/>
              </w:rPr>
              <w:t>2,541</w:t>
            </w:r>
          </w:p>
        </w:tc>
        <w:tc>
          <w:tcPr>
            <w:tcW w:w="974" w:type="dxa"/>
          </w:tcPr>
          <w:p>
            <w:pPr>
              <w:pStyle w:val="TableParagraph"/>
              <w:spacing w:line="234" w:lineRule="exact" w:before="35"/>
              <w:ind w:left="214" w:right="204"/>
              <w:jc w:val="center"/>
              <w:rPr>
                <w:sz w:val="22"/>
              </w:rPr>
            </w:pPr>
            <w:r>
              <w:rPr>
                <w:sz w:val="22"/>
              </w:rPr>
              <w:t>774</w:t>
            </w:r>
          </w:p>
        </w:tc>
        <w:tc>
          <w:tcPr>
            <w:tcW w:w="1524" w:type="dxa"/>
          </w:tcPr>
          <w:p>
            <w:pPr>
              <w:pStyle w:val="TableParagraph"/>
              <w:spacing w:line="234" w:lineRule="exact" w:before="35"/>
              <w:ind w:left="102" w:right="92"/>
              <w:jc w:val="center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400" w:type="dxa"/>
          </w:tcPr>
          <w:p>
            <w:pPr>
              <w:pStyle w:val="TableParagraph"/>
              <w:spacing w:line="234" w:lineRule="exact" w:before="35"/>
              <w:ind w:left="377" w:right="366"/>
              <w:jc w:val="center"/>
              <w:rPr>
                <w:sz w:val="22"/>
              </w:rPr>
            </w:pPr>
            <w:r>
              <w:rPr>
                <w:sz w:val="22"/>
              </w:rPr>
              <w:t>2.5625</w:t>
            </w:r>
          </w:p>
        </w:tc>
      </w:tr>
      <w:tr>
        <w:trPr>
          <w:trHeight w:val="289" w:hRule="atLeast"/>
        </w:trPr>
        <w:tc>
          <w:tcPr>
            <w:tcW w:w="1721" w:type="dxa"/>
          </w:tcPr>
          <w:p>
            <w:pPr>
              <w:pStyle w:val="TableParagraph"/>
              <w:spacing w:line="234" w:lineRule="exact" w:before="35"/>
              <w:ind w:left="156"/>
              <w:rPr>
                <w:sz w:val="22"/>
              </w:rPr>
            </w:pPr>
            <w:r>
              <w:rPr>
                <w:sz w:val="22"/>
              </w:rPr>
              <w:t>E-HHS-2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5</w:t>
            </w:r>
          </w:p>
        </w:tc>
        <w:tc>
          <w:tcPr>
            <w:tcW w:w="973" w:type="dxa"/>
          </w:tcPr>
          <w:p>
            <w:pPr>
              <w:pStyle w:val="TableParagraph"/>
              <w:spacing w:line="234" w:lineRule="exact" w:before="35"/>
              <w:ind w:left="215" w:right="205"/>
              <w:jc w:val="center"/>
              <w:rPr>
                <w:sz w:val="22"/>
              </w:rPr>
            </w:pPr>
            <w:r>
              <w:rPr>
                <w:sz w:val="22"/>
              </w:rPr>
              <w:t>2,397</w:t>
            </w:r>
          </w:p>
        </w:tc>
        <w:tc>
          <w:tcPr>
            <w:tcW w:w="974" w:type="dxa"/>
          </w:tcPr>
          <w:p>
            <w:pPr>
              <w:pStyle w:val="TableParagraph"/>
              <w:spacing w:line="234" w:lineRule="exact" w:before="35"/>
              <w:ind w:left="214" w:right="204"/>
              <w:jc w:val="center"/>
              <w:rPr>
                <w:sz w:val="22"/>
              </w:rPr>
            </w:pPr>
            <w:r>
              <w:rPr>
                <w:sz w:val="22"/>
              </w:rPr>
              <w:t>731</w:t>
            </w:r>
          </w:p>
        </w:tc>
        <w:tc>
          <w:tcPr>
            <w:tcW w:w="1524" w:type="dxa"/>
          </w:tcPr>
          <w:p>
            <w:pPr>
              <w:pStyle w:val="TableParagraph"/>
              <w:spacing w:line="234" w:lineRule="exact" w:before="35"/>
              <w:ind w:left="102" w:right="92"/>
              <w:jc w:val="center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400" w:type="dxa"/>
          </w:tcPr>
          <w:p>
            <w:pPr>
              <w:pStyle w:val="TableParagraph"/>
              <w:spacing w:line="234" w:lineRule="exact" w:before="35"/>
              <w:ind w:left="377" w:right="367"/>
              <w:jc w:val="center"/>
              <w:rPr>
                <w:sz w:val="22"/>
              </w:rPr>
            </w:pPr>
            <w:r>
              <w:rPr>
                <w:sz w:val="22"/>
              </w:rPr>
              <w:t>2.5000</w:t>
            </w:r>
          </w:p>
        </w:tc>
      </w:tr>
      <w:tr>
        <w:trPr>
          <w:trHeight w:val="290" w:hRule="atLeast"/>
        </w:trPr>
        <w:tc>
          <w:tcPr>
            <w:tcW w:w="6592" w:type="dxa"/>
            <w:gridSpan w:val="5"/>
            <w:shd w:val="clear" w:color="auto" w:fill="C0C0C0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90" w:hRule="atLeast"/>
        </w:trPr>
        <w:tc>
          <w:tcPr>
            <w:tcW w:w="1721" w:type="dxa"/>
          </w:tcPr>
          <w:p>
            <w:pPr>
              <w:pStyle w:val="TableParagraph"/>
              <w:spacing w:line="234" w:lineRule="exact" w:before="35"/>
              <w:ind w:left="156"/>
              <w:rPr>
                <w:sz w:val="22"/>
              </w:rPr>
            </w:pPr>
            <w:r>
              <w:rPr>
                <w:sz w:val="22"/>
              </w:rPr>
              <w:t>E-HHS-1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1</w:t>
            </w:r>
          </w:p>
        </w:tc>
        <w:tc>
          <w:tcPr>
            <w:tcW w:w="973" w:type="dxa"/>
          </w:tcPr>
          <w:p>
            <w:pPr>
              <w:pStyle w:val="TableParagraph"/>
              <w:spacing w:line="234" w:lineRule="exact" w:before="35"/>
              <w:ind w:left="215" w:right="205"/>
              <w:jc w:val="center"/>
              <w:rPr>
                <w:sz w:val="22"/>
              </w:rPr>
            </w:pPr>
            <w:r>
              <w:rPr>
                <w:sz w:val="22"/>
              </w:rPr>
              <w:t>2,533</w:t>
            </w:r>
          </w:p>
        </w:tc>
        <w:tc>
          <w:tcPr>
            <w:tcW w:w="974" w:type="dxa"/>
          </w:tcPr>
          <w:p>
            <w:pPr>
              <w:pStyle w:val="TableParagraph"/>
              <w:spacing w:line="234" w:lineRule="exact" w:before="35"/>
              <w:ind w:left="214" w:right="204"/>
              <w:jc w:val="center"/>
              <w:rPr>
                <w:sz w:val="22"/>
              </w:rPr>
            </w:pPr>
            <w:r>
              <w:rPr>
                <w:sz w:val="22"/>
              </w:rPr>
              <w:t>772</w:t>
            </w:r>
          </w:p>
        </w:tc>
        <w:tc>
          <w:tcPr>
            <w:tcW w:w="1524" w:type="dxa"/>
          </w:tcPr>
          <w:p>
            <w:pPr>
              <w:pStyle w:val="TableParagraph"/>
              <w:spacing w:line="234" w:lineRule="exact" w:before="35"/>
              <w:ind w:left="102" w:right="92"/>
              <w:jc w:val="center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400" w:type="dxa"/>
          </w:tcPr>
          <w:p>
            <w:pPr>
              <w:pStyle w:val="TableParagraph"/>
              <w:spacing w:line="234" w:lineRule="exact" w:before="35"/>
              <w:ind w:left="377" w:right="367"/>
              <w:jc w:val="center"/>
              <w:rPr>
                <w:sz w:val="22"/>
              </w:rPr>
            </w:pPr>
            <w:r>
              <w:rPr>
                <w:sz w:val="22"/>
              </w:rPr>
              <w:t>2.3750</w:t>
            </w:r>
          </w:p>
        </w:tc>
      </w:tr>
      <w:tr>
        <w:trPr>
          <w:trHeight w:val="289" w:hRule="atLeast"/>
        </w:trPr>
        <w:tc>
          <w:tcPr>
            <w:tcW w:w="1721" w:type="dxa"/>
          </w:tcPr>
          <w:p>
            <w:pPr>
              <w:pStyle w:val="TableParagraph"/>
              <w:spacing w:line="234" w:lineRule="exact" w:before="35"/>
              <w:ind w:left="156"/>
              <w:rPr>
                <w:sz w:val="22"/>
              </w:rPr>
            </w:pPr>
            <w:r>
              <w:rPr>
                <w:sz w:val="22"/>
              </w:rPr>
              <w:t>E-HHS-1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2</w:t>
            </w:r>
          </w:p>
        </w:tc>
        <w:tc>
          <w:tcPr>
            <w:tcW w:w="973" w:type="dxa"/>
          </w:tcPr>
          <w:p>
            <w:pPr>
              <w:pStyle w:val="TableParagraph"/>
              <w:spacing w:line="234" w:lineRule="exact" w:before="35"/>
              <w:ind w:left="215" w:right="205"/>
              <w:jc w:val="center"/>
              <w:rPr>
                <w:sz w:val="22"/>
              </w:rPr>
            </w:pPr>
            <w:r>
              <w:rPr>
                <w:sz w:val="22"/>
              </w:rPr>
              <w:t>2,693</w:t>
            </w:r>
          </w:p>
        </w:tc>
        <w:tc>
          <w:tcPr>
            <w:tcW w:w="974" w:type="dxa"/>
          </w:tcPr>
          <w:p>
            <w:pPr>
              <w:pStyle w:val="TableParagraph"/>
              <w:spacing w:line="234" w:lineRule="exact" w:before="35"/>
              <w:ind w:left="214" w:right="204"/>
              <w:jc w:val="center"/>
              <w:rPr>
                <w:sz w:val="22"/>
              </w:rPr>
            </w:pPr>
            <w:r>
              <w:rPr>
                <w:sz w:val="22"/>
              </w:rPr>
              <w:t>821</w:t>
            </w:r>
          </w:p>
        </w:tc>
        <w:tc>
          <w:tcPr>
            <w:tcW w:w="1524" w:type="dxa"/>
          </w:tcPr>
          <w:p>
            <w:pPr>
              <w:pStyle w:val="TableParagraph"/>
              <w:spacing w:line="234" w:lineRule="exact" w:before="35"/>
              <w:ind w:left="102" w:right="92"/>
              <w:jc w:val="center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400" w:type="dxa"/>
          </w:tcPr>
          <w:p>
            <w:pPr>
              <w:pStyle w:val="TableParagraph"/>
              <w:spacing w:line="234" w:lineRule="exact" w:before="35"/>
              <w:ind w:left="377" w:right="367"/>
              <w:jc w:val="center"/>
              <w:rPr>
                <w:sz w:val="22"/>
              </w:rPr>
            </w:pPr>
            <w:r>
              <w:rPr>
                <w:sz w:val="22"/>
              </w:rPr>
              <w:t>2.5000</w:t>
            </w:r>
          </w:p>
        </w:tc>
      </w:tr>
      <w:tr>
        <w:trPr>
          <w:trHeight w:val="290" w:hRule="atLeast"/>
        </w:trPr>
        <w:tc>
          <w:tcPr>
            <w:tcW w:w="1721" w:type="dxa"/>
          </w:tcPr>
          <w:p>
            <w:pPr>
              <w:pStyle w:val="TableParagraph"/>
              <w:spacing w:line="234" w:lineRule="exact" w:before="35"/>
              <w:ind w:left="156"/>
              <w:rPr>
                <w:sz w:val="22"/>
              </w:rPr>
            </w:pPr>
            <w:r>
              <w:rPr>
                <w:sz w:val="22"/>
              </w:rPr>
              <w:t>E-HHS-1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3</w:t>
            </w:r>
          </w:p>
        </w:tc>
        <w:tc>
          <w:tcPr>
            <w:tcW w:w="973" w:type="dxa"/>
          </w:tcPr>
          <w:p>
            <w:pPr>
              <w:pStyle w:val="TableParagraph"/>
              <w:spacing w:line="234" w:lineRule="exact" w:before="35"/>
              <w:ind w:left="215" w:right="205"/>
              <w:jc w:val="center"/>
              <w:rPr>
                <w:sz w:val="22"/>
              </w:rPr>
            </w:pPr>
            <w:r>
              <w:rPr>
                <w:sz w:val="22"/>
              </w:rPr>
              <w:t>2,598</w:t>
            </w:r>
          </w:p>
        </w:tc>
        <w:tc>
          <w:tcPr>
            <w:tcW w:w="974" w:type="dxa"/>
          </w:tcPr>
          <w:p>
            <w:pPr>
              <w:pStyle w:val="TableParagraph"/>
              <w:spacing w:line="234" w:lineRule="exact" w:before="35"/>
              <w:ind w:left="214" w:right="204"/>
              <w:jc w:val="center"/>
              <w:rPr>
                <w:sz w:val="22"/>
              </w:rPr>
            </w:pPr>
            <w:r>
              <w:rPr>
                <w:sz w:val="22"/>
              </w:rPr>
              <w:t>792</w:t>
            </w:r>
          </w:p>
        </w:tc>
        <w:tc>
          <w:tcPr>
            <w:tcW w:w="1524" w:type="dxa"/>
          </w:tcPr>
          <w:p>
            <w:pPr>
              <w:pStyle w:val="TableParagraph"/>
              <w:spacing w:line="234" w:lineRule="exact" w:before="35"/>
              <w:ind w:left="102" w:right="92"/>
              <w:jc w:val="center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400" w:type="dxa"/>
          </w:tcPr>
          <w:p>
            <w:pPr>
              <w:pStyle w:val="TableParagraph"/>
              <w:spacing w:line="234" w:lineRule="exact" w:before="35"/>
              <w:ind w:left="377" w:right="366"/>
              <w:jc w:val="center"/>
              <w:rPr>
                <w:sz w:val="22"/>
              </w:rPr>
            </w:pPr>
            <w:r>
              <w:rPr>
                <w:sz w:val="22"/>
              </w:rPr>
              <w:t>2.5625</w:t>
            </w:r>
          </w:p>
        </w:tc>
      </w:tr>
      <w:tr>
        <w:trPr>
          <w:trHeight w:val="290" w:hRule="atLeast"/>
        </w:trPr>
        <w:tc>
          <w:tcPr>
            <w:tcW w:w="1721" w:type="dxa"/>
          </w:tcPr>
          <w:p>
            <w:pPr>
              <w:pStyle w:val="TableParagraph"/>
              <w:spacing w:line="234" w:lineRule="exact" w:before="35"/>
              <w:ind w:left="156"/>
              <w:rPr>
                <w:sz w:val="22"/>
              </w:rPr>
            </w:pPr>
            <w:r>
              <w:rPr>
                <w:sz w:val="22"/>
              </w:rPr>
              <w:t>E-HHS-1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4</w:t>
            </w:r>
          </w:p>
        </w:tc>
        <w:tc>
          <w:tcPr>
            <w:tcW w:w="973" w:type="dxa"/>
          </w:tcPr>
          <w:p>
            <w:pPr>
              <w:pStyle w:val="TableParagraph"/>
              <w:spacing w:line="234" w:lineRule="exact" w:before="35"/>
              <w:ind w:left="215" w:right="205"/>
              <w:jc w:val="center"/>
              <w:rPr>
                <w:sz w:val="22"/>
              </w:rPr>
            </w:pPr>
            <w:r>
              <w:rPr>
                <w:sz w:val="22"/>
              </w:rPr>
              <w:t>2,362</w:t>
            </w:r>
          </w:p>
        </w:tc>
        <w:tc>
          <w:tcPr>
            <w:tcW w:w="974" w:type="dxa"/>
          </w:tcPr>
          <w:p>
            <w:pPr>
              <w:pStyle w:val="TableParagraph"/>
              <w:spacing w:line="234" w:lineRule="exact" w:before="35"/>
              <w:ind w:left="214" w:right="204"/>
              <w:jc w:val="center"/>
              <w:rPr>
                <w:sz w:val="22"/>
              </w:rPr>
            </w:pPr>
            <w:r>
              <w:rPr>
                <w:sz w:val="22"/>
              </w:rPr>
              <w:t>720</w:t>
            </w:r>
          </w:p>
        </w:tc>
        <w:tc>
          <w:tcPr>
            <w:tcW w:w="1524" w:type="dxa"/>
          </w:tcPr>
          <w:p>
            <w:pPr>
              <w:pStyle w:val="TableParagraph"/>
              <w:spacing w:line="234" w:lineRule="exact" w:before="35"/>
              <w:ind w:left="102" w:right="92"/>
              <w:jc w:val="center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400" w:type="dxa"/>
          </w:tcPr>
          <w:p>
            <w:pPr>
              <w:pStyle w:val="TableParagraph"/>
              <w:spacing w:line="234" w:lineRule="exact" w:before="35"/>
              <w:ind w:left="377" w:right="367"/>
              <w:jc w:val="center"/>
              <w:rPr>
                <w:sz w:val="22"/>
              </w:rPr>
            </w:pPr>
            <w:r>
              <w:rPr>
                <w:sz w:val="22"/>
              </w:rPr>
              <w:t>2.6250</w:t>
            </w:r>
          </w:p>
        </w:tc>
      </w:tr>
      <w:tr>
        <w:trPr>
          <w:trHeight w:val="299" w:hRule="atLeast"/>
        </w:trPr>
        <w:tc>
          <w:tcPr>
            <w:tcW w:w="1721" w:type="dxa"/>
          </w:tcPr>
          <w:p>
            <w:pPr>
              <w:pStyle w:val="TableParagraph"/>
              <w:spacing w:line="234" w:lineRule="exact" w:before="45"/>
              <w:ind w:left="156"/>
              <w:rPr>
                <w:sz w:val="22"/>
              </w:rPr>
            </w:pPr>
            <w:r>
              <w:rPr>
                <w:sz w:val="22"/>
              </w:rPr>
              <w:t>E-HHS-1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5</w:t>
            </w:r>
          </w:p>
        </w:tc>
        <w:tc>
          <w:tcPr>
            <w:tcW w:w="973" w:type="dxa"/>
          </w:tcPr>
          <w:p>
            <w:pPr>
              <w:pStyle w:val="TableParagraph"/>
              <w:spacing w:line="234" w:lineRule="exact" w:before="45"/>
              <w:ind w:left="216" w:right="205"/>
              <w:jc w:val="center"/>
              <w:rPr>
                <w:sz w:val="22"/>
              </w:rPr>
            </w:pPr>
            <w:r>
              <w:rPr>
                <w:sz w:val="22"/>
              </w:rPr>
              <w:t>2,572</w:t>
            </w:r>
          </w:p>
        </w:tc>
        <w:tc>
          <w:tcPr>
            <w:tcW w:w="974" w:type="dxa"/>
          </w:tcPr>
          <w:p>
            <w:pPr>
              <w:pStyle w:val="TableParagraph"/>
              <w:spacing w:line="234" w:lineRule="exact" w:before="45"/>
              <w:ind w:left="214" w:right="204"/>
              <w:jc w:val="center"/>
              <w:rPr>
                <w:sz w:val="22"/>
              </w:rPr>
            </w:pPr>
            <w:r>
              <w:rPr>
                <w:sz w:val="22"/>
              </w:rPr>
              <w:t>784</w:t>
            </w:r>
          </w:p>
        </w:tc>
        <w:tc>
          <w:tcPr>
            <w:tcW w:w="1524" w:type="dxa"/>
          </w:tcPr>
          <w:p>
            <w:pPr>
              <w:pStyle w:val="TableParagraph"/>
              <w:spacing w:line="234" w:lineRule="exact" w:before="45"/>
              <w:ind w:left="102" w:right="92"/>
              <w:jc w:val="center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400" w:type="dxa"/>
          </w:tcPr>
          <w:p>
            <w:pPr>
              <w:pStyle w:val="TableParagraph"/>
              <w:spacing w:line="234" w:lineRule="exact" w:before="45"/>
              <w:ind w:left="377" w:right="367"/>
              <w:jc w:val="center"/>
              <w:rPr>
                <w:sz w:val="22"/>
              </w:rPr>
            </w:pPr>
            <w:r>
              <w:rPr>
                <w:sz w:val="22"/>
              </w:rPr>
              <w:t>2.6250</w:t>
            </w:r>
          </w:p>
        </w:tc>
      </w:tr>
    </w:tbl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1"/>
        <w:rPr>
          <w:i/>
          <w:sz w:val="16"/>
        </w:rPr>
      </w:pPr>
      <w:r>
        <w:rPr/>
        <w:pict>
          <v:group style="position:absolute;margin-left:126.400146pt;margin-top:11.204883pt;width:395.2pt;height:110.25pt;mso-position-horizontal-relative:page;mso-position-vertical-relative:paragraph;z-index:-15579136;mso-wrap-distance-left:0;mso-wrap-distance-right:0" coordorigin="2528,224" coordsize="7904,2205">
            <v:shape style="position:absolute;left:2528;top:238;width:2102;height:2179" type="#_x0000_t75" stroked="false">
              <v:imagedata r:id="rId386" o:title=""/>
            </v:shape>
            <v:shape style="position:absolute;left:4690;top:224;width:2048;height:2205" type="#_x0000_t75" stroked="false">
              <v:imagedata r:id="rId387" o:title=""/>
            </v:shape>
            <v:shape style="position:absolute;left:6798;top:236;width:3634;height:2192" type="#_x0000_t75" stroked="false">
              <v:imagedata r:id="rId388" o:title=""/>
            </v:shape>
            <w10:wrap type="topAndBottom"/>
          </v:group>
        </w:pict>
      </w:r>
    </w:p>
    <w:p>
      <w:pPr>
        <w:spacing w:before="152"/>
        <w:ind w:left="440" w:right="403" w:firstLine="0"/>
        <w:jc w:val="left"/>
        <w:rPr>
          <w:i/>
          <w:sz w:val="24"/>
        </w:rPr>
      </w:pPr>
      <w:bookmarkStart w:name="_bookmark151" w:id="466"/>
      <w:bookmarkEnd w:id="466"/>
      <w:r>
        <w:rPr/>
      </w:r>
      <w:r>
        <w:rPr>
          <w:i/>
          <w:spacing w:val="-1"/>
          <w:sz w:val="24"/>
        </w:rPr>
        <w:t>Figure</w:t>
      </w:r>
      <w:r>
        <w:rPr>
          <w:i/>
          <w:spacing w:val="-13"/>
          <w:sz w:val="24"/>
        </w:rPr>
        <w:t> </w:t>
      </w:r>
      <w:r>
        <w:rPr>
          <w:i/>
          <w:sz w:val="24"/>
        </w:rPr>
        <w:t>7-24.</w:t>
      </w:r>
      <w:r>
        <w:rPr>
          <w:i/>
          <w:spacing w:val="-15"/>
          <w:sz w:val="24"/>
        </w:rPr>
        <w:t> </w:t>
      </w:r>
      <w:r>
        <w:rPr>
          <w:i/>
          <w:sz w:val="24"/>
        </w:rPr>
        <w:t>Post-test</w:t>
      </w:r>
      <w:r>
        <w:rPr>
          <w:i/>
          <w:spacing w:val="-14"/>
          <w:sz w:val="24"/>
        </w:rPr>
        <w:t> </w:t>
      </w:r>
      <w:r>
        <w:rPr>
          <w:i/>
          <w:sz w:val="24"/>
        </w:rPr>
        <w:t>on</w:t>
      </w:r>
      <w:r>
        <w:rPr>
          <w:i/>
          <w:spacing w:val="-15"/>
          <w:sz w:val="24"/>
        </w:rPr>
        <w:t> </w:t>
      </w:r>
      <w:r>
        <w:rPr>
          <w:i/>
          <w:sz w:val="24"/>
        </w:rPr>
        <w:t>high-hard</w:t>
      </w:r>
      <w:r>
        <w:rPr>
          <w:i/>
          <w:spacing w:val="-13"/>
          <w:sz w:val="24"/>
        </w:rPr>
        <w:t> </w:t>
      </w:r>
      <w:r>
        <w:rPr>
          <w:i/>
          <w:sz w:val="24"/>
        </w:rPr>
        <w:t>steel</w:t>
      </w:r>
      <w:r>
        <w:rPr>
          <w:i/>
          <w:spacing w:val="-13"/>
          <w:sz w:val="24"/>
        </w:rPr>
        <w:t> </w:t>
      </w:r>
      <w:r>
        <w:rPr>
          <w:i/>
          <w:sz w:val="24"/>
        </w:rPr>
        <w:t>ECLT</w:t>
      </w:r>
      <w:r>
        <w:rPr>
          <w:i/>
          <w:spacing w:val="-13"/>
          <w:sz w:val="24"/>
        </w:rPr>
        <w:t> </w:t>
      </w:r>
      <w:r>
        <w:rPr>
          <w:i/>
          <w:sz w:val="24"/>
        </w:rPr>
        <w:t>(left)</w:t>
      </w:r>
      <w:r>
        <w:rPr>
          <w:i/>
          <w:spacing w:val="-15"/>
          <w:sz w:val="24"/>
        </w:rPr>
        <w:t> </w:t>
      </w:r>
      <w:r>
        <w:rPr>
          <w:i/>
          <w:sz w:val="24"/>
        </w:rPr>
        <w:t>Plugging</w:t>
      </w:r>
      <w:r>
        <w:rPr>
          <w:i/>
          <w:spacing w:val="-13"/>
          <w:sz w:val="24"/>
        </w:rPr>
        <w:t> </w:t>
      </w:r>
      <w:r>
        <w:rPr>
          <w:i/>
          <w:sz w:val="24"/>
        </w:rPr>
        <w:t>failure</w:t>
      </w:r>
      <w:r>
        <w:rPr>
          <w:i/>
          <w:spacing w:val="-13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4"/>
          <w:sz w:val="24"/>
        </w:rPr>
        <w:t> </w:t>
      </w:r>
      <w:r>
        <w:rPr>
          <w:i/>
          <w:sz w:val="24"/>
        </w:rPr>
        <w:t>steel</w:t>
      </w:r>
      <w:r>
        <w:rPr>
          <w:i/>
          <w:spacing w:val="-13"/>
          <w:sz w:val="24"/>
        </w:rPr>
        <w:t> </w:t>
      </w:r>
      <w:r>
        <w:rPr>
          <w:i/>
          <w:sz w:val="24"/>
        </w:rPr>
        <w:t>plate</w:t>
      </w:r>
      <w:r>
        <w:rPr>
          <w:i/>
          <w:spacing w:val="-12"/>
          <w:sz w:val="24"/>
        </w:rPr>
        <w:t> </w:t>
      </w:r>
      <w:r>
        <w:rPr>
          <w:i/>
          <w:sz w:val="24"/>
        </w:rPr>
        <w:t>embeds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projectile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sized plug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into 3-ply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face;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(right)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Damage to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sphere projectiles.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7"/>
        <w:rPr>
          <w:i/>
          <w:sz w:val="35"/>
        </w:rPr>
      </w:pPr>
    </w:p>
    <w:p>
      <w:pPr>
        <w:pStyle w:val="BodyText"/>
        <w:spacing w:line="480" w:lineRule="auto" w:before="1"/>
        <w:ind w:left="439" w:right="417" w:firstLine="720"/>
        <w:jc w:val="both"/>
      </w:pPr>
      <w:r>
        <w:rPr/>
        <w:t>Some wood fracture was observed in the high-hard steel ECLT specimens and is</w:t>
      </w:r>
      <w:r>
        <w:rPr>
          <w:spacing w:val="1"/>
        </w:rPr>
        <w:t> </w:t>
      </w:r>
      <w:r>
        <w:rPr/>
        <w:t>shown</w:t>
      </w:r>
      <w:r>
        <w:rPr>
          <w:spacing w:val="-15"/>
        </w:rPr>
        <w:t> </w:t>
      </w:r>
      <w:r>
        <w:rPr/>
        <w:t>in</w:t>
      </w:r>
      <w:r>
        <w:rPr>
          <w:spacing w:val="-15"/>
        </w:rPr>
        <w:t> </w:t>
      </w:r>
      <w:hyperlink w:history="true" w:anchor="_bookmark152">
        <w:r>
          <w:rPr/>
          <w:t>Figure</w:t>
        </w:r>
        <w:r>
          <w:rPr>
            <w:spacing w:val="-14"/>
          </w:rPr>
          <w:t> </w:t>
        </w:r>
        <w:r>
          <w:rPr/>
          <w:t>7-25</w:t>
        </w:r>
      </w:hyperlink>
      <w:r>
        <w:rPr/>
        <w:t>.</w:t>
      </w:r>
      <w:r>
        <w:rPr>
          <w:spacing w:val="32"/>
        </w:rPr>
        <w:t> </w:t>
      </w:r>
      <w:r>
        <w:rPr/>
        <w:t>Unlike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cracking</w:t>
      </w:r>
      <w:r>
        <w:rPr>
          <w:spacing w:val="-15"/>
        </w:rPr>
        <w:t> </w:t>
      </w:r>
      <w:r>
        <w:rPr/>
        <w:t>seen</w:t>
      </w:r>
      <w:r>
        <w:rPr>
          <w:spacing w:val="-14"/>
        </w:rPr>
        <w:t> </w:t>
      </w:r>
      <w:r>
        <w:rPr/>
        <w:t>in</w:t>
      </w:r>
      <w:r>
        <w:rPr>
          <w:spacing w:val="-15"/>
        </w:rPr>
        <w:t> </w:t>
      </w:r>
      <w:r>
        <w:rPr/>
        <w:t>the</w:t>
      </w:r>
      <w:r>
        <w:rPr>
          <w:spacing w:val="-14"/>
        </w:rPr>
        <w:t> </w:t>
      </w:r>
      <w:r>
        <w:rPr/>
        <w:t>mild</w:t>
      </w:r>
      <w:r>
        <w:rPr>
          <w:spacing w:val="-15"/>
        </w:rPr>
        <w:t> </w:t>
      </w:r>
      <w:r>
        <w:rPr/>
        <w:t>steel</w:t>
      </w:r>
      <w:r>
        <w:rPr>
          <w:spacing w:val="-13"/>
        </w:rPr>
        <w:t> </w:t>
      </w:r>
      <w:r>
        <w:rPr/>
        <w:t>ECLT,</w:t>
      </w:r>
      <w:r>
        <w:rPr>
          <w:spacing w:val="-15"/>
        </w:rPr>
        <w:t> </w:t>
      </w:r>
      <w:r>
        <w:rPr/>
        <w:t>it</w:t>
      </w:r>
      <w:r>
        <w:rPr>
          <w:spacing w:val="-14"/>
        </w:rPr>
        <w:t> </w:t>
      </w:r>
      <w:r>
        <w:rPr/>
        <w:t>was</w:t>
      </w:r>
      <w:r>
        <w:rPr>
          <w:spacing w:val="-14"/>
        </w:rPr>
        <w:t> </w:t>
      </w:r>
      <w:r>
        <w:rPr/>
        <w:t>not</w:t>
      </w:r>
      <w:r>
        <w:rPr>
          <w:spacing w:val="-13"/>
        </w:rPr>
        <w:t> </w:t>
      </w:r>
      <w:r>
        <w:rPr/>
        <w:t>observed</w:t>
      </w:r>
      <w:r>
        <w:rPr>
          <w:spacing w:val="-58"/>
        </w:rPr>
        <w:t> </w:t>
      </w:r>
      <w:r>
        <w:rPr/>
        <w:t>until the third or fourth shot on the same test specimen.</w:t>
      </w:r>
      <w:r>
        <w:rPr>
          <w:spacing w:val="1"/>
        </w:rPr>
        <w:t> </w:t>
      </w:r>
      <w:r>
        <w:rPr/>
        <w:t>This could be attributed to more</w:t>
      </w:r>
      <w:r>
        <w:rPr>
          <w:spacing w:val="1"/>
        </w:rPr>
        <w:t> </w:t>
      </w:r>
      <w:r>
        <w:rPr/>
        <w:t>global</w:t>
      </w:r>
      <w:r>
        <w:rPr>
          <w:spacing w:val="6"/>
        </w:rPr>
        <w:t> </w:t>
      </w:r>
      <w:r>
        <w:rPr/>
        <w:t>damage</w:t>
      </w:r>
      <w:r>
        <w:rPr>
          <w:spacing w:val="6"/>
        </w:rPr>
        <w:t> </w:t>
      </w:r>
      <w:r>
        <w:rPr/>
        <w:t>occurring</w:t>
      </w:r>
      <w:r>
        <w:rPr>
          <w:spacing w:val="5"/>
        </w:rPr>
        <w:t> </w:t>
      </w:r>
      <w:r>
        <w:rPr/>
        <w:t>within</w:t>
      </w:r>
      <w:r>
        <w:rPr>
          <w:spacing w:val="6"/>
        </w:rPr>
        <w:t> </w:t>
      </w:r>
      <w:r>
        <w:rPr/>
        <w:t>the</w:t>
      </w:r>
      <w:r>
        <w:rPr>
          <w:spacing w:val="6"/>
        </w:rPr>
        <w:t> </w:t>
      </w:r>
      <w:r>
        <w:rPr/>
        <w:t>specimen.</w:t>
      </w:r>
      <w:r>
        <w:rPr>
          <w:spacing w:val="13"/>
        </w:rPr>
        <w:t> </w:t>
      </w:r>
      <w:r>
        <w:rPr/>
        <w:t>The</w:t>
      </w:r>
      <w:r>
        <w:rPr>
          <w:spacing w:val="7"/>
        </w:rPr>
        <w:t> </w:t>
      </w:r>
      <w:r>
        <w:rPr/>
        <w:t>majority</w:t>
      </w:r>
      <w:r>
        <w:rPr>
          <w:spacing w:val="5"/>
        </w:rPr>
        <w:t> </w:t>
      </w:r>
      <w:r>
        <w:rPr/>
        <w:t>of</w:t>
      </w:r>
      <w:r>
        <w:rPr>
          <w:spacing w:val="5"/>
        </w:rPr>
        <w:t> </w:t>
      </w:r>
      <w:r>
        <w:rPr/>
        <w:t>the</w:t>
      </w:r>
      <w:r>
        <w:rPr>
          <w:spacing w:val="6"/>
        </w:rPr>
        <w:t> </w:t>
      </w:r>
      <w:r>
        <w:rPr/>
        <w:t>fracture</w:t>
      </w:r>
      <w:r>
        <w:rPr>
          <w:spacing w:val="6"/>
        </w:rPr>
        <w:t> </w:t>
      </w:r>
      <w:r>
        <w:rPr/>
        <w:t>cracking</w:t>
      </w:r>
      <w:r>
        <w:rPr>
          <w:spacing w:val="6"/>
        </w:rPr>
        <w:t> </w:t>
      </w:r>
      <w:r>
        <w:rPr/>
        <w:t>was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40" w:right="417"/>
        <w:jc w:val="both"/>
      </w:pPr>
      <w:r>
        <w:rPr/>
        <w:t>observed in the wood behind the steel plate.</w:t>
      </w:r>
      <w:r>
        <w:rPr>
          <w:spacing w:val="1"/>
        </w:rPr>
        <w:t> </w:t>
      </w:r>
      <w:r>
        <w:rPr/>
        <w:t>This material interface also had a significant</w:t>
      </w:r>
      <w:r>
        <w:rPr>
          <w:spacing w:val="-57"/>
        </w:rPr>
        <w:t> </w:t>
      </w:r>
      <w:r>
        <w:rPr/>
        <w:t>gap due to the slightly irregular surface of the wood, which could have contributed to</w:t>
      </w:r>
      <w:r>
        <w:rPr>
          <w:spacing w:val="1"/>
        </w:rPr>
        <w:t> </w:t>
      </w:r>
      <w:r>
        <w:rPr/>
        <w:t>difference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wood fracture patterns.</w:t>
      </w:r>
    </w:p>
    <w:p>
      <w:pPr>
        <w:pStyle w:val="BodyText"/>
        <w:spacing w:line="480" w:lineRule="auto" w:before="159"/>
        <w:ind w:left="440" w:right="417" w:firstLine="720"/>
        <w:jc w:val="both"/>
      </w:pPr>
      <w:r>
        <w:rPr/>
        <w:t>Similar</w:t>
      </w:r>
      <w:r>
        <w:rPr>
          <w:spacing w:val="-10"/>
        </w:rPr>
        <w:t> </w:t>
      </w:r>
      <w:r>
        <w:rPr/>
        <w:t>to</w:t>
      </w:r>
      <w:r>
        <w:rPr>
          <w:spacing w:val="-10"/>
        </w:rPr>
        <w:t> </w:t>
      </w:r>
      <w:r>
        <w:rPr/>
        <w:t>the</w:t>
      </w:r>
      <w:r>
        <w:rPr>
          <w:spacing w:val="-8"/>
        </w:rPr>
        <w:t> </w:t>
      </w:r>
      <w:r>
        <w:rPr/>
        <w:t>mild</w:t>
      </w:r>
      <w:r>
        <w:rPr>
          <w:spacing w:val="-11"/>
        </w:rPr>
        <w:t> </w:t>
      </w:r>
      <w:r>
        <w:rPr/>
        <w:t>steel,</w:t>
      </w:r>
      <w:r>
        <w:rPr>
          <w:spacing w:val="-11"/>
        </w:rPr>
        <w:t> </w:t>
      </w:r>
      <w:r>
        <w:rPr/>
        <w:t>the</w:t>
      </w:r>
      <w:r>
        <w:rPr>
          <w:spacing w:val="-10"/>
        </w:rPr>
        <w:t> </w:t>
      </w:r>
      <w:r>
        <w:rPr/>
        <w:t>high-hard</w:t>
      </w:r>
      <w:r>
        <w:rPr>
          <w:spacing w:val="-10"/>
        </w:rPr>
        <w:t> </w:t>
      </w:r>
      <w:r>
        <w:rPr/>
        <w:t>steel</w:t>
      </w:r>
      <w:r>
        <w:rPr>
          <w:spacing w:val="-10"/>
        </w:rPr>
        <w:t> </w:t>
      </w:r>
      <w:r>
        <w:rPr/>
        <w:t>performed</w:t>
      </w:r>
      <w:r>
        <w:rPr>
          <w:spacing w:val="-9"/>
        </w:rPr>
        <w:t> </w:t>
      </w:r>
      <w:r>
        <w:rPr/>
        <w:t>well</w:t>
      </w:r>
      <w:r>
        <w:rPr>
          <w:spacing w:val="-9"/>
        </w:rPr>
        <w:t> </w:t>
      </w:r>
      <w:r>
        <w:rPr/>
        <w:t>with</w:t>
      </w:r>
      <w:r>
        <w:rPr>
          <w:spacing w:val="-10"/>
        </w:rPr>
        <w:t> </w:t>
      </w:r>
      <w:r>
        <w:rPr/>
        <w:t>all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shots</w:t>
      </w:r>
      <w:r>
        <w:rPr>
          <w:spacing w:val="-10"/>
        </w:rPr>
        <w:t> </w:t>
      </w:r>
      <w:r>
        <w:rPr/>
        <w:t>being</w:t>
      </w:r>
      <w:r>
        <w:rPr>
          <w:spacing w:val="-58"/>
        </w:rPr>
        <w:t> </w:t>
      </w:r>
      <w:r>
        <w:rPr/>
        <w:t>stopped at the enhancing layer.</w:t>
      </w:r>
      <w:r>
        <w:rPr>
          <w:spacing w:val="1"/>
        </w:rPr>
        <w:t> </w:t>
      </w:r>
      <w:r>
        <w:rPr/>
        <w:t>While less fracture in the wood was observed, this</w:t>
      </w:r>
      <w:r>
        <w:rPr>
          <w:spacing w:val="1"/>
        </w:rPr>
        <w:t> </w:t>
      </w:r>
      <w:r>
        <w:rPr/>
        <w:t>phenomena still creates concern on the best practices for production of this type of ECLT</w:t>
      </w:r>
      <w:r>
        <w:rPr>
          <w:spacing w:val="-57"/>
        </w:rPr>
        <w:t> </w:t>
      </w:r>
      <w:r>
        <w:rPr/>
        <w:t>product.</w:t>
      </w:r>
      <w:r>
        <w:rPr>
          <w:spacing w:val="1"/>
        </w:rPr>
        <w:t> </w:t>
      </w:r>
      <w:r>
        <w:rPr/>
        <w:t>The plugging failure mode of the high-hard steel was noticeably different from</w:t>
      </w:r>
      <w:r>
        <w:rPr>
          <w:spacing w:val="1"/>
        </w:rPr>
        <w:t> </w:t>
      </w:r>
      <w:r>
        <w:rPr/>
        <w:t>the bulging of the mild steel but both materials achieved the intent of stopping the</w:t>
      </w:r>
      <w:r>
        <w:rPr>
          <w:spacing w:val="1"/>
        </w:rPr>
        <w:t> </w:t>
      </w:r>
      <w:r>
        <w:rPr/>
        <w:t>projectile.</w:t>
      </w:r>
      <w:r>
        <w:rPr>
          <w:spacing w:val="1"/>
        </w:rPr>
        <w:t> </w:t>
      </w:r>
      <w:r>
        <w:rPr/>
        <w:t>While the depth of penetration was slightly less with the high-hard steel, the</w:t>
      </w:r>
      <w:r>
        <w:rPr>
          <w:spacing w:val="1"/>
        </w:rPr>
        <w:t> </w:t>
      </w:r>
      <w:r>
        <w:rPr/>
        <w:t>embedded</w:t>
      </w:r>
      <w:r>
        <w:rPr>
          <w:spacing w:val="-1"/>
        </w:rPr>
        <w:t> </w:t>
      </w:r>
      <w:r>
        <w:rPr/>
        <w:t>steel plug</w:t>
      </w:r>
      <w:r>
        <w:rPr>
          <w:spacing w:val="-2"/>
        </w:rPr>
        <w:t> </w:t>
      </w:r>
      <w:r>
        <w:rPr/>
        <w:t>in the 3-ply CLT</w:t>
      </w:r>
      <w:r>
        <w:rPr>
          <w:spacing w:val="-1"/>
        </w:rPr>
        <w:t> </w:t>
      </w:r>
      <w:r>
        <w:rPr/>
        <w:t>was notable.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293">
            <wp:simplePos x="0" y="0"/>
            <wp:positionH relativeFrom="page">
              <wp:posOffset>2206625</wp:posOffset>
            </wp:positionH>
            <wp:positionV relativeFrom="paragraph">
              <wp:posOffset>235653</wp:posOffset>
            </wp:positionV>
            <wp:extent cx="1901325" cy="3257550"/>
            <wp:effectExtent l="0" t="0" r="0" b="0"/>
            <wp:wrapTopAndBottom/>
            <wp:docPr id="183" name="image37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379.jpeg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1325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4">
            <wp:simplePos x="0" y="0"/>
            <wp:positionH relativeFrom="page">
              <wp:posOffset>4175125</wp:posOffset>
            </wp:positionH>
            <wp:positionV relativeFrom="paragraph">
              <wp:posOffset>253344</wp:posOffset>
            </wp:positionV>
            <wp:extent cx="1824438" cy="3195828"/>
            <wp:effectExtent l="0" t="0" r="0" b="0"/>
            <wp:wrapTopAndBottom/>
            <wp:docPr id="185" name="image38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380.jpeg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4438" cy="31958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27"/>
        <w:ind w:left="439" w:right="418" w:firstLine="0"/>
        <w:jc w:val="both"/>
        <w:rPr>
          <w:i/>
          <w:sz w:val="24"/>
        </w:rPr>
      </w:pPr>
      <w:bookmarkStart w:name="_bookmark152" w:id="467"/>
      <w:bookmarkEnd w:id="467"/>
      <w:r>
        <w:rPr/>
      </w:r>
      <w:r>
        <w:rPr>
          <w:i/>
          <w:sz w:val="24"/>
        </w:rPr>
        <w:t>Figure 7-25. Wood fracture observed after test shots at wood-steel interface: (left) top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perspective,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(right)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side perspective.</w:t>
      </w:r>
    </w:p>
    <w:p>
      <w:pPr>
        <w:spacing w:after="0"/>
        <w:jc w:val="both"/>
        <w:rPr>
          <w:sz w:val="24"/>
        </w:rPr>
        <w:sectPr>
          <w:pgSz w:w="12240" w:h="15840"/>
          <w:pgMar w:header="0" w:footer="1064" w:top="1360" w:bottom="1260" w:left="1720" w:right="1020"/>
        </w:sectPr>
      </w:pPr>
    </w:p>
    <w:p>
      <w:pPr>
        <w:pStyle w:val="ListParagraph"/>
        <w:numPr>
          <w:ilvl w:val="2"/>
          <w:numId w:val="26"/>
        </w:numPr>
        <w:tabs>
          <w:tab w:pos="980" w:val="left" w:leader="none"/>
        </w:tabs>
        <w:spacing w:line="240" w:lineRule="auto" w:before="79" w:after="0"/>
        <w:ind w:left="980" w:right="0" w:hanging="540"/>
        <w:jc w:val="both"/>
        <w:rPr>
          <w:i/>
          <w:sz w:val="24"/>
        </w:rPr>
      </w:pPr>
      <w:bookmarkStart w:name="7.3.4 Type 6 - Ultra-high molecular weig" w:id="468"/>
      <w:bookmarkEnd w:id="468"/>
      <w:r>
        <w:rPr/>
      </w:r>
      <w:bookmarkStart w:name="7.3.4 Type 6 - Ultra-high molecular weig" w:id="469"/>
      <w:bookmarkEnd w:id="469"/>
      <w:r>
        <w:rPr>
          <w:i/>
          <w:sz w:val="24"/>
        </w:rPr>
        <w:t>T</w:t>
      </w:r>
      <w:r>
        <w:rPr>
          <w:i/>
          <w:sz w:val="24"/>
        </w:rPr>
        <w:t>ype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6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-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Ultra-high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molecular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weight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polyethylene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(UHMWPE)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panel</w:t>
      </w:r>
    </w:p>
    <w:p>
      <w:pPr>
        <w:pStyle w:val="BodyText"/>
        <w:spacing w:before="7"/>
        <w:rPr>
          <w:i/>
          <w:sz w:val="22"/>
        </w:rPr>
      </w:pPr>
    </w:p>
    <w:p>
      <w:pPr>
        <w:pStyle w:val="BodyText"/>
        <w:spacing w:line="480" w:lineRule="auto"/>
        <w:ind w:left="440" w:right="419" w:firstLine="720"/>
        <w:jc w:val="both"/>
      </w:pPr>
      <w:r>
        <w:rPr/>
        <w:t>The</w:t>
      </w:r>
      <w:r>
        <w:rPr>
          <w:spacing w:val="-6"/>
        </w:rPr>
        <w:t> </w:t>
      </w:r>
      <w:r>
        <w:rPr/>
        <w:t>UHMWPE</w:t>
      </w:r>
      <w:r>
        <w:rPr>
          <w:spacing w:val="-5"/>
        </w:rPr>
        <w:t> </w:t>
      </w:r>
      <w:r>
        <w:rPr/>
        <w:t>ECLT</w:t>
      </w:r>
      <w:r>
        <w:rPr>
          <w:spacing w:val="-5"/>
        </w:rPr>
        <w:t> </w:t>
      </w:r>
      <w:r>
        <w:rPr/>
        <w:t>specimen</w:t>
      </w:r>
      <w:r>
        <w:rPr>
          <w:spacing w:val="-5"/>
        </w:rPr>
        <w:t> </w:t>
      </w:r>
      <w:r>
        <w:rPr/>
        <w:t>was</w:t>
      </w:r>
      <w:r>
        <w:rPr>
          <w:spacing w:val="-5"/>
        </w:rPr>
        <w:t> </w:t>
      </w:r>
      <w:r>
        <w:rPr/>
        <w:t>subjected</w:t>
      </w:r>
      <w:r>
        <w:rPr>
          <w:spacing w:val="-5"/>
        </w:rPr>
        <w:t> </w:t>
      </w:r>
      <w:r>
        <w:rPr/>
        <w:t>to</w:t>
      </w:r>
      <w:r>
        <w:rPr>
          <w:spacing w:val="-7"/>
        </w:rPr>
        <w:t> </w:t>
      </w:r>
      <w:r>
        <w:rPr/>
        <w:t>a</w:t>
      </w:r>
      <w:r>
        <w:rPr>
          <w:spacing w:val="-5"/>
        </w:rPr>
        <w:t> </w:t>
      </w:r>
      <w:r>
        <w:rPr/>
        <w:t>total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eight</w:t>
      </w:r>
      <w:r>
        <w:rPr>
          <w:spacing w:val="-5"/>
        </w:rPr>
        <w:t> </w:t>
      </w:r>
      <w:r>
        <w:rPr/>
        <w:t>shots</w:t>
      </w:r>
      <w:r>
        <w:rPr>
          <w:spacing w:val="-6"/>
        </w:rPr>
        <w:t> </w:t>
      </w:r>
      <w:r>
        <w:rPr/>
        <w:t>as</w:t>
      </w:r>
      <w:r>
        <w:rPr>
          <w:spacing w:val="-5"/>
        </w:rPr>
        <w:t> </w:t>
      </w:r>
      <w:r>
        <w:rPr/>
        <w:t>shown</w:t>
      </w:r>
      <w:r>
        <w:rPr>
          <w:spacing w:val="-6"/>
        </w:rPr>
        <w:t> </w:t>
      </w:r>
      <w:r>
        <w:rPr/>
        <w:t>in</w:t>
      </w:r>
      <w:r>
        <w:rPr>
          <w:spacing w:val="-57"/>
        </w:rPr>
        <w:t> </w:t>
      </w:r>
      <w:hyperlink w:history="true" w:anchor="_bookmark153">
        <w:r>
          <w:rPr/>
          <w:t>Figure 7-26 </w:t>
        </w:r>
      </w:hyperlink>
      <w:r>
        <w:rPr/>
        <w:t>and </w:t>
      </w:r>
      <w:hyperlink w:history="true" w:anchor="_bookmark154">
        <w:r>
          <w:rPr/>
          <w:t>Figure 7-27</w:t>
        </w:r>
      </w:hyperlink>
      <w:r>
        <w:rPr/>
        <w:t>. The first five shots had an average striking velocity of 2,503</w:t>
      </w:r>
      <w:r>
        <w:rPr>
          <w:spacing w:val="-57"/>
        </w:rPr>
        <w:t> </w:t>
      </w:r>
      <w:r>
        <w:rPr/>
        <w:t>fps (763 m/s) with an average depth of penetration of 2.3500-inches.</w:t>
      </w:r>
      <w:r>
        <w:rPr>
          <w:spacing w:val="1"/>
        </w:rPr>
        <w:t> </w:t>
      </w:r>
      <w:r>
        <w:rPr/>
        <w:t>This average depth</w:t>
      </w:r>
      <w:r>
        <w:rPr>
          <w:spacing w:val="1"/>
        </w:rPr>
        <w:t> </w:t>
      </w:r>
      <w:r>
        <w:rPr/>
        <w:t>means the projectile was stopping at the back of the 2-ply CLT section as the front of the</w:t>
      </w:r>
      <w:r>
        <w:rPr>
          <w:spacing w:val="1"/>
        </w:rPr>
        <w:t> </w:t>
      </w:r>
      <w:r>
        <w:rPr/>
        <w:t>sphere came into contact with the UHMWPE panel.</w:t>
      </w:r>
      <w:r>
        <w:rPr>
          <w:spacing w:val="1"/>
        </w:rPr>
        <w:t> </w:t>
      </w:r>
      <w:r>
        <w:rPr/>
        <w:t>There were no signs of cracking or</w:t>
      </w:r>
      <w:r>
        <w:rPr>
          <w:spacing w:val="1"/>
        </w:rPr>
        <w:t> </w:t>
      </w:r>
      <w:r>
        <w:rPr/>
        <w:t>damage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the back face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 target.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 w:before="1"/>
        <w:ind w:left="440" w:right="417" w:firstLine="720"/>
        <w:jc w:val="both"/>
      </w:pPr>
      <w:r>
        <w:rPr/>
        <w:t>After the second shot, a small crack on the side of the 2-ply CLT section was</w:t>
      </w:r>
      <w:r>
        <w:rPr>
          <w:spacing w:val="1"/>
        </w:rPr>
        <w:t> </w:t>
      </w:r>
      <w:r>
        <w:rPr/>
        <w:t>observed.</w:t>
      </w:r>
      <w:r>
        <w:rPr>
          <w:spacing w:val="1"/>
        </w:rPr>
        <w:t> </w:t>
      </w:r>
      <w:r>
        <w:rPr/>
        <w:t>This crack aligned with the entry hole of that shot.</w:t>
      </w:r>
      <w:r>
        <w:rPr>
          <w:spacing w:val="1"/>
        </w:rPr>
        <w:t> </w:t>
      </w:r>
      <w:r>
        <w:rPr/>
        <w:t>This suggests that the</w:t>
      </w:r>
      <w:r>
        <w:rPr>
          <w:spacing w:val="1"/>
        </w:rPr>
        <w:t> </w:t>
      </w:r>
      <w:r>
        <w:rPr/>
        <w:t>dissipation of the projectiles energy by the UHMWPE may still be causing stresses in the</w:t>
      </w:r>
      <w:r>
        <w:rPr>
          <w:spacing w:val="1"/>
        </w:rPr>
        <w:t> </w:t>
      </w:r>
      <w:r>
        <w:rPr/>
        <w:t>wood sections. Alternatively, the crack could have simply propagated from the projectiles</w:t>
      </w:r>
      <w:r>
        <w:rPr>
          <w:spacing w:val="-57"/>
        </w:rPr>
        <w:t> </w:t>
      </w:r>
      <w:r>
        <w:rPr/>
        <w:t>path in the 2-ply CLT section along a flaw or grain line to the edge of the specimen. After</w:t>
      </w:r>
      <w:r>
        <w:rPr>
          <w:spacing w:val="-57"/>
        </w:rPr>
        <w:t> </w:t>
      </w:r>
      <w:r>
        <w:rPr/>
        <w:t>the first five shots, an additional three shots were taken at the specimen to determine the</w:t>
      </w:r>
      <w:r>
        <w:rPr>
          <w:spacing w:val="1"/>
        </w:rPr>
        <w:t> </w:t>
      </w:r>
      <w:r>
        <w:rPr/>
        <w:t>complete penetration striking velocity.</w:t>
      </w:r>
      <w:r>
        <w:rPr>
          <w:spacing w:val="1"/>
        </w:rPr>
        <w:t> </w:t>
      </w:r>
      <w:hyperlink w:history="true" w:anchor="_bookmark156">
        <w:r>
          <w:rPr/>
          <w:t>Table 7-8 </w:t>
        </w:r>
      </w:hyperlink>
      <w:r>
        <w:rPr/>
        <w:t>shows the testing specifics for all eight</w:t>
      </w:r>
      <w:r>
        <w:rPr>
          <w:spacing w:val="1"/>
        </w:rPr>
        <w:t> </w:t>
      </w:r>
      <w:r>
        <w:rPr/>
        <w:t>shots.</w:t>
      </w:r>
      <w:r>
        <w:rPr>
          <w:spacing w:val="1"/>
        </w:rPr>
        <w:t> </w:t>
      </w:r>
      <w:r>
        <w:rPr/>
        <w:t>The residual velocity is reported in the depth of penetration column for the one</w:t>
      </w:r>
      <w:r>
        <w:rPr>
          <w:spacing w:val="1"/>
        </w:rPr>
        <w:t> </w:t>
      </w:r>
      <w:r>
        <w:rPr/>
        <w:t>complete</w:t>
      </w:r>
      <w:r>
        <w:rPr>
          <w:spacing w:val="-1"/>
        </w:rPr>
        <w:t> </w:t>
      </w:r>
      <w:r>
        <w:rPr/>
        <w:t>penetration achieved</w:t>
      </w:r>
      <w:r>
        <w:rPr>
          <w:spacing w:val="-1"/>
        </w:rPr>
        <w:t> </w:t>
      </w:r>
      <w:r>
        <w:rPr/>
        <w:t>as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striking velocity of</w:t>
      </w:r>
      <w:r>
        <w:rPr>
          <w:spacing w:val="-2"/>
        </w:rPr>
        <w:t> </w:t>
      </w:r>
      <w:r>
        <w:rPr/>
        <w:t>4,169 fps</w:t>
      </w:r>
      <w:r>
        <w:rPr>
          <w:spacing w:val="-1"/>
        </w:rPr>
        <w:t> </w:t>
      </w:r>
      <w:r>
        <w:rPr/>
        <w:t>(1,271</w:t>
      </w:r>
      <w:r>
        <w:rPr>
          <w:spacing w:val="1"/>
        </w:rPr>
        <w:t> </w:t>
      </w:r>
      <w:r>
        <w:rPr/>
        <w:t>m/s).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/>
        <w:ind w:left="440" w:right="417" w:firstLine="720"/>
        <w:jc w:val="both"/>
      </w:pPr>
      <w:r>
        <w:rPr/>
        <w:t>With the last three shots of higher velocities, damage to the UHMWPE could be</w:t>
      </w:r>
      <w:r>
        <w:rPr>
          <w:spacing w:val="1"/>
        </w:rPr>
        <w:t> </w:t>
      </w:r>
      <w:r>
        <w:rPr/>
        <w:t>seen from the edges of the specimen as the high strength fibers pulled in from the edge.</w:t>
      </w:r>
      <w:r>
        <w:rPr>
          <w:spacing w:val="1"/>
        </w:rPr>
        <w:t> </w:t>
      </w:r>
      <w:r>
        <w:rPr/>
        <w:t>The</w:t>
      </w:r>
      <w:r>
        <w:rPr>
          <w:spacing w:val="-5"/>
        </w:rPr>
        <w:t> </w:t>
      </w:r>
      <w:r>
        <w:rPr/>
        <w:t>pulling</w:t>
      </w:r>
      <w:r>
        <w:rPr>
          <w:spacing w:val="-5"/>
        </w:rPr>
        <w:t> </w:t>
      </w:r>
      <w:r>
        <w:rPr/>
        <w:t>within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UHMWPE</w:t>
      </w:r>
      <w:r>
        <w:rPr>
          <w:spacing w:val="-4"/>
        </w:rPr>
        <w:t> </w:t>
      </w:r>
      <w:r>
        <w:rPr/>
        <w:t>panel</w:t>
      </w:r>
      <w:r>
        <w:rPr>
          <w:spacing w:val="-3"/>
        </w:rPr>
        <w:t> </w:t>
      </w:r>
      <w:r>
        <w:rPr/>
        <w:t>as</w:t>
      </w:r>
      <w:r>
        <w:rPr>
          <w:spacing w:val="-4"/>
        </w:rPr>
        <w:t> </w:t>
      </w:r>
      <w:r>
        <w:rPr/>
        <w:t>well</w:t>
      </w:r>
      <w:r>
        <w:rPr>
          <w:spacing w:val="-4"/>
        </w:rPr>
        <w:t> </w:t>
      </w:r>
      <w:r>
        <w:rPr/>
        <w:t>as</w:t>
      </w:r>
      <w:r>
        <w:rPr>
          <w:spacing w:val="-4"/>
        </w:rPr>
        <w:t> </w:t>
      </w:r>
      <w:r>
        <w:rPr/>
        <w:t>observed</w:t>
      </w:r>
      <w:r>
        <w:rPr>
          <w:spacing w:val="-5"/>
        </w:rPr>
        <w:t> </w:t>
      </w:r>
      <w:r>
        <w:rPr/>
        <w:t>radial</w:t>
      </w:r>
      <w:r>
        <w:rPr>
          <w:spacing w:val="-6"/>
        </w:rPr>
        <w:t> </w:t>
      </w:r>
      <w:r>
        <w:rPr/>
        <w:t>and</w:t>
      </w:r>
      <w:r>
        <w:rPr>
          <w:spacing w:val="-4"/>
        </w:rPr>
        <w:t> </w:t>
      </w:r>
      <w:r>
        <w:rPr/>
        <w:t>tangential</w:t>
      </w:r>
      <w:r>
        <w:rPr>
          <w:spacing w:val="-3"/>
        </w:rPr>
        <w:t> </w:t>
      </w:r>
      <w:r>
        <w:rPr/>
        <w:t>cracking</w:t>
      </w:r>
      <w:r>
        <w:rPr>
          <w:spacing w:val="-58"/>
        </w:rPr>
        <w:t> </w:t>
      </w:r>
      <w:r>
        <w:rPr/>
        <w:t>within the wood plies is shown in </w:t>
      </w:r>
      <w:hyperlink w:history="true" w:anchor="_bookmark155">
        <w:r>
          <w:rPr/>
          <w:t>Figure 7-28</w:t>
        </w:r>
      </w:hyperlink>
      <w:r>
        <w:rPr/>
        <w:t>.</w:t>
      </w:r>
      <w:r>
        <w:rPr>
          <w:spacing w:val="1"/>
        </w:rPr>
        <w:t> </w:t>
      </w:r>
      <w:r>
        <w:rPr/>
        <w:t>Once disassembled, it was observed that</w:t>
      </w:r>
      <w:r>
        <w:rPr>
          <w:spacing w:val="1"/>
        </w:rPr>
        <w:t> </w:t>
      </w:r>
      <w:r>
        <w:rPr/>
        <w:t>two</w:t>
      </w:r>
      <w:r>
        <w:rPr>
          <w:spacing w:val="-2"/>
        </w:rPr>
        <w:t> </w:t>
      </w:r>
      <w:r>
        <w:rPr/>
        <w:t>projectiles</w:t>
      </w:r>
      <w:r>
        <w:rPr>
          <w:spacing w:val="-1"/>
        </w:rPr>
        <w:t> </w:t>
      </w:r>
      <w:r>
        <w:rPr/>
        <w:t>were</w:t>
      </w:r>
      <w:r>
        <w:rPr>
          <w:spacing w:val="-1"/>
        </w:rPr>
        <w:t> </w:t>
      </w:r>
      <w:r>
        <w:rPr/>
        <w:t>embedded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2-ply</w:t>
      </w:r>
      <w:r>
        <w:rPr>
          <w:spacing w:val="-1"/>
        </w:rPr>
        <w:t> </w:t>
      </w:r>
      <w:r>
        <w:rPr/>
        <w:t>CLT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three</w:t>
      </w:r>
      <w:r>
        <w:rPr>
          <w:spacing w:val="-1"/>
        </w:rPr>
        <w:t> </w:t>
      </w:r>
      <w:r>
        <w:rPr/>
        <w:t>others</w:t>
      </w:r>
      <w:r>
        <w:rPr>
          <w:spacing w:val="-2"/>
        </w:rPr>
        <w:t> </w:t>
      </w:r>
      <w:r>
        <w:rPr/>
        <w:t>were</w:t>
      </w:r>
      <w:r>
        <w:rPr>
          <w:spacing w:val="-2"/>
        </w:rPr>
        <w:t> </w:t>
      </w:r>
      <w:r>
        <w:rPr/>
        <w:t>in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UHMWPE.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spacing w:line="240" w:lineRule="auto"/>
        <w:ind w:left="94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392299" cy="2392299"/>
            <wp:effectExtent l="0" t="0" r="0" b="0"/>
            <wp:docPr id="187" name="image38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381.jpeg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2299" cy="2392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pacing w:val="67"/>
          <w:sz w:val="20"/>
        </w:rPr>
        <w:t> </w:t>
      </w:r>
      <w:r>
        <w:rPr>
          <w:spacing w:val="67"/>
          <w:position w:val="4"/>
          <w:sz w:val="20"/>
        </w:rPr>
        <w:drawing>
          <wp:inline distT="0" distB="0" distL="0" distR="0">
            <wp:extent cx="2365728" cy="2356008"/>
            <wp:effectExtent l="0" t="0" r="0" b="0"/>
            <wp:docPr id="189" name="image38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382.jpeg"/>
                    <pic:cNvPicPr/>
                  </pic:nvPicPr>
                  <pic:blipFill>
                    <a:blip r:embed="rId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5728" cy="2356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7"/>
          <w:position w:val="4"/>
          <w:sz w:val="20"/>
        </w:rPr>
      </w:r>
    </w:p>
    <w:p>
      <w:pPr>
        <w:pStyle w:val="BodyText"/>
        <w:spacing w:before="7"/>
        <w:rPr>
          <w:sz w:val="7"/>
        </w:rPr>
      </w:pPr>
    </w:p>
    <w:p>
      <w:pPr>
        <w:spacing w:before="90"/>
        <w:ind w:left="439" w:right="681" w:firstLine="0"/>
        <w:jc w:val="left"/>
        <w:rPr>
          <w:i/>
          <w:sz w:val="24"/>
        </w:rPr>
      </w:pPr>
      <w:bookmarkStart w:name="_bookmark153" w:id="470"/>
      <w:bookmarkEnd w:id="470"/>
      <w:r>
        <w:rPr/>
      </w:r>
      <w:r>
        <w:rPr>
          <w:i/>
          <w:sz w:val="24"/>
        </w:rPr>
        <w:t>Figure 7-26. UHMWPE ECLT dissected: (left) back of front 2-ply CLT; (right) front of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UHMWPE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panel.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6"/>
        <w:rPr>
          <w:i/>
        </w:rPr>
      </w:pPr>
      <w:r>
        <w:rPr/>
        <w:drawing>
          <wp:anchor distT="0" distB="0" distL="0" distR="0" allowOverlap="1" layoutInCell="1" locked="0" behindDoc="0" simplePos="0" relativeHeight="295">
            <wp:simplePos x="0" y="0"/>
            <wp:positionH relativeFrom="page">
              <wp:posOffset>1676400</wp:posOffset>
            </wp:positionH>
            <wp:positionV relativeFrom="paragraph">
              <wp:posOffset>203960</wp:posOffset>
            </wp:positionV>
            <wp:extent cx="2372490" cy="2308098"/>
            <wp:effectExtent l="0" t="0" r="0" b="0"/>
            <wp:wrapTopAndBottom/>
            <wp:docPr id="191" name="image38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383.jpeg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2490" cy="23080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6">
            <wp:simplePos x="0" y="0"/>
            <wp:positionH relativeFrom="page">
              <wp:posOffset>4133850</wp:posOffset>
            </wp:positionH>
            <wp:positionV relativeFrom="paragraph">
              <wp:posOffset>205227</wp:posOffset>
            </wp:positionV>
            <wp:extent cx="2412111" cy="2308098"/>
            <wp:effectExtent l="0" t="0" r="0" b="0"/>
            <wp:wrapTopAndBottom/>
            <wp:docPr id="193" name="image38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384.jpe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2111" cy="23080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48"/>
        <w:ind w:left="440" w:right="403" w:firstLine="0"/>
        <w:jc w:val="left"/>
        <w:rPr>
          <w:i/>
          <w:sz w:val="24"/>
        </w:rPr>
      </w:pPr>
      <w:bookmarkStart w:name="_bookmark154" w:id="471"/>
      <w:bookmarkEnd w:id="471"/>
      <w:r>
        <w:rPr/>
      </w:r>
      <w:r>
        <w:rPr>
          <w:i/>
          <w:sz w:val="24"/>
        </w:rPr>
        <w:t>Figure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7-27.</w:t>
      </w:r>
      <w:r>
        <w:rPr>
          <w:i/>
          <w:spacing w:val="-10"/>
          <w:sz w:val="24"/>
        </w:rPr>
        <w:t> </w:t>
      </w:r>
      <w:r>
        <w:rPr>
          <w:i/>
          <w:sz w:val="24"/>
        </w:rPr>
        <w:t>UHMWPE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ECLT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dissected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part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two:</w:t>
      </w:r>
      <w:r>
        <w:rPr>
          <w:i/>
          <w:spacing w:val="-10"/>
          <w:sz w:val="24"/>
        </w:rPr>
        <w:t> </w:t>
      </w:r>
      <w:r>
        <w:rPr>
          <w:i/>
          <w:sz w:val="24"/>
        </w:rPr>
        <w:t>(left)</w:t>
      </w:r>
      <w:r>
        <w:rPr>
          <w:i/>
          <w:spacing w:val="-11"/>
          <w:sz w:val="24"/>
        </w:rPr>
        <w:t> </w:t>
      </w:r>
      <w:r>
        <w:rPr>
          <w:i/>
          <w:sz w:val="24"/>
        </w:rPr>
        <w:t>back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UHMWPE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section;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(right)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front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3-ply CLT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behind UHMWPE.</w:t>
      </w:r>
    </w:p>
    <w:p>
      <w:pPr>
        <w:spacing w:after="0"/>
        <w:jc w:val="left"/>
        <w:rPr>
          <w:sz w:val="24"/>
        </w:rPr>
        <w:sectPr>
          <w:pgSz w:w="12240" w:h="15840"/>
          <w:pgMar w:header="0" w:footer="1064" w:top="1440" w:bottom="1260" w:left="1720" w:right="1020"/>
        </w:sectPr>
      </w:pPr>
    </w:p>
    <w:p>
      <w:pPr>
        <w:pStyle w:val="BodyText"/>
        <w:ind w:left="1610"/>
        <w:rPr>
          <w:sz w:val="20"/>
        </w:rPr>
      </w:pPr>
      <w:r>
        <w:rPr>
          <w:sz w:val="20"/>
        </w:rPr>
        <w:drawing>
          <wp:inline distT="0" distB="0" distL="0" distR="0">
            <wp:extent cx="3998744" cy="2198846"/>
            <wp:effectExtent l="0" t="0" r="0" b="0"/>
            <wp:docPr id="195" name="image38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385.jpeg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8744" cy="2198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  <w:rPr>
          <w:i/>
          <w:sz w:val="29"/>
        </w:rPr>
      </w:pPr>
    </w:p>
    <w:p>
      <w:pPr>
        <w:spacing w:before="90"/>
        <w:ind w:left="19" w:right="0" w:firstLine="0"/>
        <w:jc w:val="center"/>
        <w:rPr>
          <w:i/>
          <w:sz w:val="24"/>
        </w:rPr>
      </w:pPr>
      <w:bookmarkStart w:name="_bookmark155" w:id="472"/>
      <w:bookmarkEnd w:id="472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7-28.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Damage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UHMWPE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panel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within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ECLT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specimen.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spacing w:before="230"/>
        <w:ind w:left="21" w:right="0" w:firstLine="0"/>
        <w:jc w:val="center"/>
        <w:rPr>
          <w:i/>
          <w:sz w:val="24"/>
        </w:rPr>
      </w:pPr>
      <w:bookmarkStart w:name="_bookmark156" w:id="473"/>
      <w:bookmarkEnd w:id="473"/>
      <w:r>
        <w:rPr/>
      </w:r>
      <w:r>
        <w:rPr>
          <w:i/>
          <w:sz w:val="24"/>
        </w:rPr>
        <w:t>Table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7-8.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UHMWPE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ECLT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test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results.</w:t>
      </w:r>
    </w:p>
    <w:p>
      <w:pPr>
        <w:pStyle w:val="BodyText"/>
        <w:spacing w:before="4"/>
        <w:rPr>
          <w:i/>
          <w:sz w:val="17"/>
        </w:rPr>
      </w:pPr>
    </w:p>
    <w:tbl>
      <w:tblPr>
        <w:tblW w:w="0" w:type="auto"/>
        <w:jc w:val="left"/>
        <w:tblInd w:w="106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40"/>
        <w:gridCol w:w="974"/>
        <w:gridCol w:w="974"/>
        <w:gridCol w:w="1524"/>
        <w:gridCol w:w="2203"/>
      </w:tblGrid>
      <w:tr>
        <w:trPr>
          <w:trHeight w:val="1400" w:hRule="atLeast"/>
        </w:trPr>
        <w:tc>
          <w:tcPr>
            <w:tcW w:w="1740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DADAD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9"/>
              <w:rPr>
                <w:i/>
                <w:sz w:val="25"/>
              </w:rPr>
            </w:pPr>
          </w:p>
          <w:p>
            <w:pPr>
              <w:pStyle w:val="TableParagraph"/>
              <w:ind w:left="203"/>
              <w:rPr>
                <w:sz w:val="22"/>
              </w:rPr>
            </w:pPr>
            <w:r>
              <w:rPr>
                <w:sz w:val="22"/>
              </w:rPr>
              <w:t>Specimen/Shot</w:t>
            </w:r>
          </w:p>
        </w:tc>
        <w:tc>
          <w:tcPr>
            <w:tcW w:w="97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DADA"/>
          </w:tcPr>
          <w:p>
            <w:pPr>
              <w:pStyle w:val="TableParagraph"/>
              <w:spacing w:before="9"/>
              <w:rPr>
                <w:i/>
                <w:sz w:val="27"/>
              </w:rPr>
            </w:pPr>
          </w:p>
          <w:p>
            <w:pPr>
              <w:pStyle w:val="TableParagraph"/>
              <w:ind w:left="112" w:right="90" w:hanging="2"/>
              <w:jc w:val="center"/>
              <w:rPr>
                <w:sz w:val="22"/>
              </w:rPr>
            </w:pPr>
            <w:r>
              <w:rPr>
                <w:sz w:val="22"/>
              </w:rPr>
              <w:t>v</w:t>
            </w:r>
            <w:r>
              <w:rPr>
                <w:sz w:val="22"/>
                <w:vertAlign w:val="subscript"/>
              </w:rPr>
              <w:t>s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(chrono)</w:t>
            </w:r>
            <w:r>
              <w:rPr>
                <w:spacing w:val="-52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(fps)</w:t>
            </w:r>
          </w:p>
        </w:tc>
        <w:tc>
          <w:tcPr>
            <w:tcW w:w="97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DADA"/>
          </w:tcPr>
          <w:p>
            <w:pPr>
              <w:pStyle w:val="TableParagraph"/>
              <w:spacing w:before="9"/>
              <w:rPr>
                <w:i/>
                <w:sz w:val="27"/>
              </w:rPr>
            </w:pPr>
          </w:p>
          <w:p>
            <w:pPr>
              <w:pStyle w:val="TableParagraph"/>
              <w:ind w:left="112" w:right="89" w:hanging="2"/>
              <w:jc w:val="center"/>
              <w:rPr>
                <w:sz w:val="22"/>
              </w:rPr>
            </w:pPr>
            <w:r>
              <w:rPr>
                <w:sz w:val="22"/>
              </w:rPr>
              <w:t>v</w:t>
            </w:r>
            <w:r>
              <w:rPr>
                <w:sz w:val="22"/>
                <w:vertAlign w:val="subscript"/>
              </w:rPr>
              <w:t>s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(chrono)</w:t>
            </w:r>
            <w:r>
              <w:rPr>
                <w:spacing w:val="-52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(m/s)</w:t>
            </w:r>
          </w:p>
        </w:tc>
        <w:tc>
          <w:tcPr>
            <w:tcW w:w="15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DADA"/>
          </w:tcPr>
          <w:p>
            <w:pPr>
              <w:pStyle w:val="TableParagraph"/>
              <w:spacing w:before="66"/>
              <w:ind w:left="108" w:right="88"/>
              <w:jc w:val="center"/>
              <w:rPr>
                <w:sz w:val="22"/>
              </w:rPr>
            </w:pPr>
            <w:r>
              <w:rPr>
                <w:sz w:val="22"/>
              </w:rPr>
              <w:t>Partial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Penetration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1"/>
                <w:sz w:val="22"/>
              </w:rPr>
              <w:t>(PP)/Complete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Penetration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(CP)</w:t>
            </w:r>
          </w:p>
        </w:tc>
        <w:tc>
          <w:tcPr>
            <w:tcW w:w="220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DADAD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70"/>
              <w:ind w:left="199" w:right="172" w:firstLine="83"/>
              <w:rPr>
                <w:sz w:val="22"/>
              </w:rPr>
            </w:pPr>
            <w:r>
              <w:rPr>
                <w:sz w:val="22"/>
              </w:rPr>
              <w:t>Measured Depth of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Penetration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(T</w:t>
            </w:r>
            <w:r>
              <w:rPr>
                <w:sz w:val="22"/>
                <w:vertAlign w:val="subscript"/>
              </w:rPr>
              <w:t>w</w:t>
            </w:r>
            <w:r>
              <w:rPr>
                <w:sz w:val="22"/>
                <w:vertAlign w:val="baseline"/>
              </w:rPr>
              <w:t>)</w:t>
            </w:r>
            <w:r>
              <w:rPr>
                <w:spacing w:val="-8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(in)</w:t>
            </w:r>
          </w:p>
        </w:tc>
      </w:tr>
      <w:tr>
        <w:trPr>
          <w:trHeight w:val="289" w:hRule="atLeast"/>
        </w:trPr>
        <w:tc>
          <w:tcPr>
            <w:tcW w:w="174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90"/>
              <w:jc w:val="right"/>
              <w:rPr>
                <w:sz w:val="22"/>
              </w:rPr>
            </w:pPr>
            <w:r>
              <w:rPr>
                <w:sz w:val="22"/>
              </w:rPr>
              <w:t>E-D1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1</w:t>
            </w:r>
          </w:p>
        </w:tc>
        <w:tc>
          <w:tcPr>
            <w:tcW w:w="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223" w:right="204"/>
              <w:jc w:val="center"/>
              <w:rPr>
                <w:sz w:val="22"/>
              </w:rPr>
            </w:pPr>
            <w:r>
              <w:rPr>
                <w:sz w:val="22"/>
              </w:rPr>
              <w:t>2,624</w:t>
            </w:r>
          </w:p>
        </w:tc>
        <w:tc>
          <w:tcPr>
            <w:tcW w:w="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224" w:right="204"/>
              <w:jc w:val="center"/>
              <w:rPr>
                <w:sz w:val="22"/>
              </w:rPr>
            </w:pPr>
            <w:r>
              <w:rPr>
                <w:sz w:val="22"/>
              </w:rPr>
              <w:t>800</w:t>
            </w:r>
          </w:p>
        </w:tc>
        <w:tc>
          <w:tcPr>
            <w:tcW w:w="1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108" w:right="90"/>
              <w:jc w:val="center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22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142" w:right="118"/>
              <w:jc w:val="center"/>
              <w:rPr>
                <w:sz w:val="22"/>
              </w:rPr>
            </w:pPr>
            <w:r>
              <w:rPr>
                <w:sz w:val="22"/>
              </w:rPr>
              <w:t>2.2500</w:t>
            </w:r>
          </w:p>
        </w:tc>
      </w:tr>
      <w:tr>
        <w:trPr>
          <w:trHeight w:val="290" w:hRule="atLeast"/>
        </w:trPr>
        <w:tc>
          <w:tcPr>
            <w:tcW w:w="174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90"/>
              <w:jc w:val="right"/>
              <w:rPr>
                <w:sz w:val="22"/>
              </w:rPr>
            </w:pPr>
            <w:r>
              <w:rPr>
                <w:sz w:val="22"/>
              </w:rPr>
              <w:t>E-D1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2</w:t>
            </w:r>
          </w:p>
        </w:tc>
        <w:tc>
          <w:tcPr>
            <w:tcW w:w="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223" w:right="204"/>
              <w:jc w:val="center"/>
              <w:rPr>
                <w:sz w:val="22"/>
              </w:rPr>
            </w:pPr>
            <w:r>
              <w:rPr>
                <w:sz w:val="22"/>
              </w:rPr>
              <w:t>2,402</w:t>
            </w:r>
          </w:p>
        </w:tc>
        <w:tc>
          <w:tcPr>
            <w:tcW w:w="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224" w:right="204"/>
              <w:jc w:val="center"/>
              <w:rPr>
                <w:sz w:val="22"/>
              </w:rPr>
            </w:pPr>
            <w:r>
              <w:rPr>
                <w:sz w:val="22"/>
              </w:rPr>
              <w:t>732</w:t>
            </w:r>
          </w:p>
        </w:tc>
        <w:tc>
          <w:tcPr>
            <w:tcW w:w="1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108" w:right="90"/>
              <w:jc w:val="center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22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142" w:right="118"/>
              <w:jc w:val="center"/>
              <w:rPr>
                <w:sz w:val="22"/>
              </w:rPr>
            </w:pPr>
            <w:r>
              <w:rPr>
                <w:sz w:val="22"/>
              </w:rPr>
              <w:t>2.3750</w:t>
            </w:r>
          </w:p>
        </w:tc>
      </w:tr>
      <w:tr>
        <w:trPr>
          <w:trHeight w:val="290" w:hRule="atLeast"/>
        </w:trPr>
        <w:tc>
          <w:tcPr>
            <w:tcW w:w="174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90"/>
              <w:jc w:val="right"/>
              <w:rPr>
                <w:sz w:val="22"/>
              </w:rPr>
            </w:pPr>
            <w:r>
              <w:rPr>
                <w:sz w:val="22"/>
              </w:rPr>
              <w:t>E-D1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3</w:t>
            </w:r>
          </w:p>
        </w:tc>
        <w:tc>
          <w:tcPr>
            <w:tcW w:w="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223" w:right="204"/>
              <w:jc w:val="center"/>
              <w:rPr>
                <w:sz w:val="22"/>
              </w:rPr>
            </w:pPr>
            <w:r>
              <w:rPr>
                <w:sz w:val="22"/>
              </w:rPr>
              <w:t>2,563</w:t>
            </w:r>
          </w:p>
        </w:tc>
        <w:tc>
          <w:tcPr>
            <w:tcW w:w="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224" w:right="204"/>
              <w:jc w:val="center"/>
              <w:rPr>
                <w:sz w:val="22"/>
              </w:rPr>
            </w:pPr>
            <w:r>
              <w:rPr>
                <w:sz w:val="22"/>
              </w:rPr>
              <w:t>781</w:t>
            </w:r>
          </w:p>
        </w:tc>
        <w:tc>
          <w:tcPr>
            <w:tcW w:w="1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108" w:right="90"/>
              <w:jc w:val="center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22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142" w:right="117"/>
              <w:jc w:val="center"/>
              <w:rPr>
                <w:sz w:val="22"/>
              </w:rPr>
            </w:pPr>
            <w:r>
              <w:rPr>
                <w:sz w:val="22"/>
              </w:rPr>
              <w:t>2.4375</w:t>
            </w:r>
          </w:p>
        </w:tc>
      </w:tr>
      <w:tr>
        <w:trPr>
          <w:trHeight w:val="289" w:hRule="atLeast"/>
        </w:trPr>
        <w:tc>
          <w:tcPr>
            <w:tcW w:w="174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90"/>
              <w:jc w:val="right"/>
              <w:rPr>
                <w:sz w:val="22"/>
              </w:rPr>
            </w:pPr>
            <w:r>
              <w:rPr>
                <w:sz w:val="22"/>
              </w:rPr>
              <w:t>E-D1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4</w:t>
            </w:r>
          </w:p>
        </w:tc>
        <w:tc>
          <w:tcPr>
            <w:tcW w:w="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223" w:right="204"/>
              <w:jc w:val="center"/>
              <w:rPr>
                <w:sz w:val="22"/>
              </w:rPr>
            </w:pPr>
            <w:r>
              <w:rPr>
                <w:sz w:val="22"/>
              </w:rPr>
              <w:t>2,512</w:t>
            </w:r>
          </w:p>
        </w:tc>
        <w:tc>
          <w:tcPr>
            <w:tcW w:w="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224" w:right="204"/>
              <w:jc w:val="center"/>
              <w:rPr>
                <w:sz w:val="22"/>
              </w:rPr>
            </w:pPr>
            <w:r>
              <w:rPr>
                <w:sz w:val="22"/>
              </w:rPr>
              <w:t>766</w:t>
            </w:r>
          </w:p>
        </w:tc>
        <w:tc>
          <w:tcPr>
            <w:tcW w:w="1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108" w:right="90"/>
              <w:jc w:val="center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22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142" w:right="117"/>
              <w:jc w:val="center"/>
              <w:rPr>
                <w:sz w:val="22"/>
              </w:rPr>
            </w:pPr>
            <w:r>
              <w:rPr>
                <w:sz w:val="22"/>
              </w:rPr>
              <w:t>2.4375</w:t>
            </w:r>
          </w:p>
        </w:tc>
      </w:tr>
      <w:tr>
        <w:trPr>
          <w:trHeight w:val="290" w:hRule="atLeast"/>
        </w:trPr>
        <w:tc>
          <w:tcPr>
            <w:tcW w:w="174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90"/>
              <w:jc w:val="right"/>
              <w:rPr>
                <w:sz w:val="22"/>
              </w:rPr>
            </w:pPr>
            <w:r>
              <w:rPr>
                <w:sz w:val="22"/>
              </w:rPr>
              <w:t>E-D1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5</w:t>
            </w:r>
          </w:p>
        </w:tc>
        <w:tc>
          <w:tcPr>
            <w:tcW w:w="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223" w:right="204"/>
              <w:jc w:val="center"/>
              <w:rPr>
                <w:sz w:val="22"/>
              </w:rPr>
            </w:pPr>
            <w:r>
              <w:rPr>
                <w:sz w:val="22"/>
              </w:rPr>
              <w:t>2,416</w:t>
            </w:r>
          </w:p>
        </w:tc>
        <w:tc>
          <w:tcPr>
            <w:tcW w:w="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224" w:right="204"/>
              <w:jc w:val="center"/>
              <w:rPr>
                <w:sz w:val="22"/>
              </w:rPr>
            </w:pPr>
            <w:r>
              <w:rPr>
                <w:sz w:val="22"/>
              </w:rPr>
              <w:t>736</w:t>
            </w:r>
          </w:p>
        </w:tc>
        <w:tc>
          <w:tcPr>
            <w:tcW w:w="1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108" w:right="90"/>
              <w:jc w:val="center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22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142" w:right="118"/>
              <w:jc w:val="center"/>
              <w:rPr>
                <w:sz w:val="22"/>
              </w:rPr>
            </w:pPr>
            <w:r>
              <w:rPr>
                <w:sz w:val="22"/>
              </w:rPr>
              <w:t>2.2500</w:t>
            </w:r>
          </w:p>
        </w:tc>
      </w:tr>
      <w:tr>
        <w:trPr>
          <w:trHeight w:val="290" w:hRule="atLeast"/>
        </w:trPr>
        <w:tc>
          <w:tcPr>
            <w:tcW w:w="7415" w:type="dxa"/>
            <w:gridSpan w:val="5"/>
            <w:tcBorders>
              <w:top w:val="single" w:sz="4" w:space="0" w:color="000000"/>
              <w:bottom w:val="single" w:sz="4" w:space="0" w:color="000000"/>
            </w:tcBorders>
            <w:shd w:val="clear" w:color="auto" w:fill="C0C0C0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89" w:hRule="atLeast"/>
        </w:trPr>
        <w:tc>
          <w:tcPr>
            <w:tcW w:w="174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90"/>
              <w:jc w:val="right"/>
              <w:rPr>
                <w:sz w:val="22"/>
              </w:rPr>
            </w:pPr>
            <w:r>
              <w:rPr>
                <w:sz w:val="22"/>
              </w:rPr>
              <w:t>E-D1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6</w:t>
            </w:r>
          </w:p>
        </w:tc>
        <w:tc>
          <w:tcPr>
            <w:tcW w:w="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223" w:right="204"/>
              <w:jc w:val="center"/>
              <w:rPr>
                <w:sz w:val="22"/>
              </w:rPr>
            </w:pPr>
            <w:r>
              <w:rPr>
                <w:sz w:val="22"/>
              </w:rPr>
              <w:t>3,610</w:t>
            </w:r>
          </w:p>
        </w:tc>
        <w:tc>
          <w:tcPr>
            <w:tcW w:w="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224" w:right="204"/>
              <w:jc w:val="center"/>
              <w:rPr>
                <w:sz w:val="22"/>
              </w:rPr>
            </w:pPr>
            <w:r>
              <w:rPr>
                <w:sz w:val="22"/>
              </w:rPr>
              <w:t>1,100</w:t>
            </w:r>
          </w:p>
        </w:tc>
        <w:tc>
          <w:tcPr>
            <w:tcW w:w="1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108" w:right="90"/>
              <w:jc w:val="center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22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142" w:right="117"/>
              <w:jc w:val="center"/>
              <w:rPr>
                <w:sz w:val="22"/>
              </w:rPr>
            </w:pPr>
            <w:r>
              <w:rPr>
                <w:sz w:val="22"/>
              </w:rPr>
              <w:t>3.6875</w:t>
            </w:r>
          </w:p>
        </w:tc>
      </w:tr>
      <w:tr>
        <w:trPr>
          <w:trHeight w:val="350" w:hRule="atLeast"/>
        </w:trPr>
        <w:tc>
          <w:tcPr>
            <w:tcW w:w="174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95"/>
              <w:ind w:right="90"/>
              <w:jc w:val="right"/>
              <w:rPr>
                <w:sz w:val="22"/>
              </w:rPr>
            </w:pPr>
            <w:r>
              <w:rPr>
                <w:sz w:val="22"/>
              </w:rPr>
              <w:t>E-D1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7</w:t>
            </w:r>
          </w:p>
        </w:tc>
        <w:tc>
          <w:tcPr>
            <w:tcW w:w="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95"/>
              <w:ind w:left="223" w:right="204"/>
              <w:jc w:val="center"/>
              <w:rPr>
                <w:sz w:val="22"/>
              </w:rPr>
            </w:pPr>
            <w:r>
              <w:rPr>
                <w:sz w:val="22"/>
              </w:rPr>
              <w:t>4,169</w:t>
            </w:r>
          </w:p>
        </w:tc>
        <w:tc>
          <w:tcPr>
            <w:tcW w:w="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95"/>
              <w:ind w:left="224" w:right="204"/>
              <w:jc w:val="center"/>
              <w:rPr>
                <w:sz w:val="22"/>
              </w:rPr>
            </w:pPr>
            <w:r>
              <w:rPr>
                <w:sz w:val="22"/>
              </w:rPr>
              <w:t>1,271</w:t>
            </w:r>
          </w:p>
        </w:tc>
        <w:tc>
          <w:tcPr>
            <w:tcW w:w="1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95"/>
              <w:ind w:left="108" w:right="90"/>
              <w:jc w:val="center"/>
              <w:rPr>
                <w:sz w:val="22"/>
              </w:rPr>
            </w:pPr>
            <w:r>
              <w:rPr>
                <w:sz w:val="22"/>
              </w:rPr>
              <w:t>CP</w:t>
            </w:r>
          </w:p>
        </w:tc>
        <w:tc>
          <w:tcPr>
            <w:tcW w:w="22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34" w:lineRule="exact" w:before="95"/>
              <w:ind w:left="142" w:right="120"/>
              <w:jc w:val="center"/>
              <w:rPr>
                <w:sz w:val="22"/>
              </w:rPr>
            </w:pPr>
            <w:r>
              <w:rPr>
                <w:sz w:val="22"/>
              </w:rPr>
              <w:t>v</w:t>
            </w:r>
            <w:r>
              <w:rPr>
                <w:sz w:val="22"/>
                <w:vertAlign w:val="subscript"/>
              </w:rPr>
              <w:t>r</w:t>
            </w:r>
            <w:r>
              <w:rPr>
                <w:spacing w:val="-2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=560</w:t>
            </w:r>
            <w:r>
              <w:rPr>
                <w:spacing w:val="-2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fps</w:t>
            </w:r>
            <w:r>
              <w:rPr>
                <w:spacing w:val="-3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(171</w:t>
            </w:r>
            <w:r>
              <w:rPr>
                <w:spacing w:val="-2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m/s)</w:t>
            </w:r>
          </w:p>
        </w:tc>
      </w:tr>
      <w:tr>
        <w:trPr>
          <w:trHeight w:val="299" w:hRule="atLeast"/>
        </w:trPr>
        <w:tc>
          <w:tcPr>
            <w:tcW w:w="1740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45"/>
              <w:ind w:right="90"/>
              <w:jc w:val="right"/>
              <w:rPr>
                <w:sz w:val="22"/>
              </w:rPr>
            </w:pPr>
            <w:r>
              <w:rPr>
                <w:sz w:val="22"/>
              </w:rPr>
              <w:t>E-D1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8</w:t>
            </w:r>
          </w:p>
        </w:tc>
        <w:tc>
          <w:tcPr>
            <w:tcW w:w="97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45"/>
              <w:ind w:left="223" w:right="204"/>
              <w:jc w:val="center"/>
              <w:rPr>
                <w:sz w:val="22"/>
              </w:rPr>
            </w:pPr>
            <w:r>
              <w:rPr>
                <w:sz w:val="22"/>
              </w:rPr>
              <w:t>3,907</w:t>
            </w:r>
          </w:p>
        </w:tc>
        <w:tc>
          <w:tcPr>
            <w:tcW w:w="97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45"/>
              <w:ind w:left="224" w:right="204"/>
              <w:jc w:val="center"/>
              <w:rPr>
                <w:sz w:val="22"/>
              </w:rPr>
            </w:pPr>
            <w:r>
              <w:rPr>
                <w:sz w:val="22"/>
              </w:rPr>
              <w:t>1,191</w:t>
            </w:r>
          </w:p>
        </w:tc>
        <w:tc>
          <w:tcPr>
            <w:tcW w:w="152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45"/>
              <w:ind w:left="108" w:right="90"/>
              <w:jc w:val="center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2203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234" w:lineRule="exact" w:before="45"/>
              <w:ind w:left="142" w:right="117"/>
              <w:jc w:val="center"/>
              <w:rPr>
                <w:sz w:val="22"/>
              </w:rPr>
            </w:pPr>
            <w:r>
              <w:rPr>
                <w:sz w:val="22"/>
              </w:rPr>
              <w:t>5.3125</w:t>
            </w:r>
          </w:p>
        </w:tc>
      </w:tr>
    </w:tbl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229"/>
        <w:ind w:left="439" w:right="417" w:firstLine="720"/>
        <w:jc w:val="both"/>
      </w:pPr>
      <w:r>
        <w:rPr/>
        <w:t>Bulging of the UHMWPE panel occurred on both the front and back faces. Close-</w:t>
      </w:r>
      <w:r>
        <w:rPr>
          <w:spacing w:val="-57"/>
        </w:rPr>
        <w:t> </w:t>
      </w:r>
      <w:r>
        <w:rPr/>
        <w:t>up</w:t>
      </w:r>
      <w:r>
        <w:rPr>
          <w:spacing w:val="-6"/>
        </w:rPr>
        <w:t> </w:t>
      </w:r>
      <w:r>
        <w:rPr/>
        <w:t>perspectives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back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2-ply</w:t>
      </w:r>
      <w:r>
        <w:rPr>
          <w:spacing w:val="-6"/>
        </w:rPr>
        <w:t> </w:t>
      </w:r>
      <w:r>
        <w:rPr/>
        <w:t>CLT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front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UHMWPE</w:t>
      </w:r>
      <w:r>
        <w:rPr>
          <w:spacing w:val="-5"/>
        </w:rPr>
        <w:t> </w:t>
      </w:r>
      <w:r>
        <w:rPr/>
        <w:t>panel</w:t>
      </w:r>
      <w:r>
        <w:rPr>
          <w:spacing w:val="-5"/>
        </w:rPr>
        <w:t> </w:t>
      </w:r>
      <w:r>
        <w:rPr/>
        <w:t>can</w:t>
      </w:r>
      <w:r>
        <w:rPr>
          <w:spacing w:val="-7"/>
        </w:rPr>
        <w:t> </w:t>
      </w:r>
      <w:r>
        <w:rPr/>
        <w:t>be</w:t>
      </w:r>
      <w:r>
        <w:rPr>
          <w:spacing w:val="-7"/>
        </w:rPr>
        <w:t> </w:t>
      </w:r>
      <w:r>
        <w:rPr/>
        <w:t>seen</w:t>
      </w:r>
      <w:r>
        <w:rPr>
          <w:spacing w:val="-57"/>
        </w:rPr>
        <w:t> </w:t>
      </w:r>
      <w:r>
        <w:rPr/>
        <w:t>in </w:t>
      </w:r>
      <w:hyperlink w:history="true" w:anchor="_bookmark157">
        <w:r>
          <w:rPr/>
          <w:t>Figure 7-29</w:t>
        </w:r>
      </w:hyperlink>
      <w:r>
        <w:rPr/>
        <w:t>.</w:t>
      </w:r>
      <w:r>
        <w:rPr>
          <w:spacing w:val="1"/>
        </w:rPr>
        <w:t> </w:t>
      </w:r>
      <w:r>
        <w:rPr/>
        <w:t>Much like the mild steel, the enhancing layer back face bulging caused</w:t>
      </w:r>
      <w:r>
        <w:rPr>
          <w:spacing w:val="1"/>
        </w:rPr>
        <w:t> </w:t>
      </w:r>
      <w:r>
        <w:rPr/>
        <w:t>indentations 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3-ply CLT</w:t>
      </w:r>
      <w:r>
        <w:rPr>
          <w:spacing w:val="1"/>
        </w:rPr>
        <w:t> </w:t>
      </w:r>
      <w:r>
        <w:rPr/>
        <w:t>positioned</w:t>
      </w:r>
      <w:r>
        <w:rPr>
          <w:spacing w:val="1"/>
        </w:rPr>
        <w:t> </w:t>
      </w:r>
      <w:r>
        <w:rPr/>
        <w:t>behind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layer.</w:t>
      </w:r>
      <w:r>
        <w:rPr>
          <w:spacing w:val="3"/>
        </w:rPr>
        <w:t> </w:t>
      </w:r>
      <w:r>
        <w:rPr/>
        <w:t>The</w:t>
      </w:r>
      <w:r>
        <w:rPr>
          <w:spacing w:val="1"/>
        </w:rPr>
        <w:t> </w:t>
      </w:r>
      <w:r>
        <w:rPr/>
        <w:t>projectile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visible</w:t>
      </w:r>
    </w:p>
    <w:p>
      <w:pPr>
        <w:spacing w:after="0" w:line="480" w:lineRule="auto"/>
        <w:jc w:val="both"/>
        <w:sectPr>
          <w:pgSz w:w="12240" w:h="15840"/>
          <w:pgMar w:header="0" w:footer="1064" w:top="1440" w:bottom="1260" w:left="1720" w:right="1020"/>
        </w:sectPr>
      </w:pPr>
    </w:p>
    <w:p>
      <w:pPr>
        <w:pStyle w:val="BodyText"/>
        <w:spacing w:line="480" w:lineRule="auto" w:before="78"/>
        <w:ind w:left="440" w:right="418"/>
        <w:jc w:val="both"/>
      </w:pPr>
      <w:r>
        <w:rPr/>
        <w:t>on the back face of the UHMWPE until the striking velocity was increased to values over</w:t>
      </w:r>
      <w:r>
        <w:rPr>
          <w:spacing w:val="-57"/>
        </w:rPr>
        <w:t> </w:t>
      </w:r>
      <w:r>
        <w:rPr/>
        <w:t>3,600</w:t>
      </w:r>
      <w:r>
        <w:rPr>
          <w:spacing w:val="-1"/>
        </w:rPr>
        <w:t> </w:t>
      </w:r>
      <w:r>
        <w:rPr/>
        <w:t>fps (1,097</w:t>
      </w:r>
      <w:r>
        <w:rPr>
          <w:spacing w:val="1"/>
        </w:rPr>
        <w:t> </w:t>
      </w:r>
      <w:r>
        <w:rPr/>
        <w:t>m/s).</w:t>
      </w:r>
    </w:p>
    <w:p>
      <w:pPr>
        <w:pStyle w:val="BodyText"/>
        <w:spacing w:line="480" w:lineRule="auto" w:before="159"/>
        <w:ind w:left="439" w:right="416" w:firstLine="720"/>
        <w:jc w:val="both"/>
      </w:pPr>
      <w:r>
        <w:rPr/>
        <w:t>The</w:t>
      </w:r>
      <w:r>
        <w:rPr>
          <w:spacing w:val="-6"/>
        </w:rPr>
        <w:t> </w:t>
      </w:r>
      <w:r>
        <w:rPr/>
        <w:t>high</w:t>
      </w:r>
      <w:r>
        <w:rPr>
          <w:spacing w:val="-6"/>
        </w:rPr>
        <w:t> </w:t>
      </w:r>
      <w:r>
        <w:rPr/>
        <w:t>impact</w:t>
      </w:r>
      <w:r>
        <w:rPr>
          <w:spacing w:val="-5"/>
        </w:rPr>
        <w:t> </w:t>
      </w:r>
      <w:r>
        <w:rPr/>
        <w:t>strength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UHMWPE</w:t>
      </w:r>
      <w:r>
        <w:rPr>
          <w:spacing w:val="-6"/>
        </w:rPr>
        <w:t> </w:t>
      </w:r>
      <w:r>
        <w:rPr/>
        <w:t>was</w:t>
      </w:r>
      <w:r>
        <w:rPr>
          <w:spacing w:val="-6"/>
        </w:rPr>
        <w:t> </w:t>
      </w:r>
      <w:r>
        <w:rPr/>
        <w:t>clear</w:t>
      </w:r>
      <w:r>
        <w:rPr>
          <w:spacing w:val="-6"/>
        </w:rPr>
        <w:t> </w:t>
      </w:r>
      <w:r>
        <w:rPr/>
        <w:t>with</w:t>
      </w:r>
      <w:r>
        <w:rPr>
          <w:spacing w:val="-5"/>
        </w:rPr>
        <w:t> </w:t>
      </w:r>
      <w:r>
        <w:rPr/>
        <w:t>the</w:t>
      </w:r>
      <w:r>
        <w:rPr>
          <w:spacing w:val="-7"/>
        </w:rPr>
        <w:t> </w:t>
      </w:r>
      <w:r>
        <w:rPr/>
        <w:t>testing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this</w:t>
      </w:r>
      <w:r>
        <w:rPr>
          <w:spacing w:val="-7"/>
        </w:rPr>
        <w:t> </w:t>
      </w:r>
      <w:r>
        <w:rPr/>
        <w:t>version</w:t>
      </w:r>
      <w:r>
        <w:rPr>
          <w:spacing w:val="-6"/>
        </w:rPr>
        <w:t> </w:t>
      </w:r>
      <w:r>
        <w:rPr/>
        <w:t>of</w:t>
      </w:r>
      <w:r>
        <w:rPr>
          <w:spacing w:val="-57"/>
        </w:rPr>
        <w:t> </w:t>
      </w:r>
      <w:r>
        <w:rPr/>
        <w:t>ECLT.</w:t>
      </w:r>
      <w:r>
        <w:rPr>
          <w:spacing w:val="1"/>
        </w:rPr>
        <w:t> </w:t>
      </w:r>
      <w:r>
        <w:rPr/>
        <w:t>The specimen withstood high velocities with minimal impact to the CLT.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UHMWPE panel may have had similar results on its own due to its specific design for</w:t>
      </w:r>
      <w:r>
        <w:rPr>
          <w:spacing w:val="1"/>
        </w:rPr>
        <w:t> </w:t>
      </w:r>
      <w:r>
        <w:rPr/>
        <w:t>increased ballistic resistance, but it lacks the overall strength and stiffness for use as a</w:t>
      </w:r>
      <w:r>
        <w:rPr>
          <w:spacing w:val="1"/>
        </w:rPr>
        <w:t> </w:t>
      </w:r>
      <w:r>
        <w:rPr/>
        <w:t>structural panel. Concerns with adhering the material to the wood sections led to using</w:t>
      </w:r>
      <w:r>
        <w:rPr>
          <w:spacing w:val="1"/>
        </w:rPr>
        <w:t> </w:t>
      </w:r>
      <w:r>
        <w:rPr/>
        <w:t>mechanical connections, which demonstrated the ability to hold the composite together</w:t>
      </w:r>
      <w:r>
        <w:rPr>
          <w:spacing w:val="1"/>
        </w:rPr>
        <w:t> </w:t>
      </w:r>
      <w:r>
        <w:rPr/>
        <w:t>without issue.</w:t>
      </w:r>
      <w:r>
        <w:rPr>
          <w:spacing w:val="1"/>
        </w:rPr>
        <w:t> </w:t>
      </w:r>
      <w:r>
        <w:rPr/>
        <w:t>Further investigation into adhering the panel could be interesting and</w:t>
      </w:r>
      <w:r>
        <w:rPr>
          <w:spacing w:val="1"/>
        </w:rPr>
        <w:t> </w:t>
      </w:r>
      <w:r>
        <w:rPr/>
        <w:t>produce</w:t>
      </w:r>
      <w:r>
        <w:rPr>
          <w:spacing w:val="-1"/>
        </w:rPr>
        <w:t> </w:t>
      </w:r>
      <w:r>
        <w:rPr/>
        <w:t>more cost-</w:t>
      </w:r>
      <w:r>
        <w:rPr>
          <w:spacing w:val="-1"/>
        </w:rPr>
        <w:t> </w:t>
      </w:r>
      <w:r>
        <w:rPr/>
        <w:t>and labor-effective designs.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spacing w:before="169"/>
        <w:ind w:left="234" w:right="0" w:firstLine="0"/>
        <w:jc w:val="center"/>
        <w:rPr>
          <w:b/>
          <w:sz w:val="18"/>
        </w:rPr>
      </w:pPr>
      <w:r>
        <w:rPr>
          <w:b/>
          <w:sz w:val="18"/>
        </w:rPr>
        <w:t>Back</w:t>
      </w:r>
      <w:r>
        <w:rPr>
          <w:b/>
          <w:spacing w:val="-5"/>
          <w:sz w:val="18"/>
        </w:rPr>
        <w:t> </w:t>
      </w:r>
      <w:r>
        <w:rPr>
          <w:b/>
          <w:sz w:val="18"/>
        </w:rPr>
        <w:t>of</w:t>
      </w:r>
      <w:r>
        <w:rPr>
          <w:b/>
          <w:spacing w:val="-5"/>
          <w:sz w:val="18"/>
        </w:rPr>
        <w:t> </w:t>
      </w:r>
      <w:r>
        <w:rPr>
          <w:b/>
          <w:sz w:val="18"/>
        </w:rPr>
        <w:t>front</w:t>
      </w:r>
      <w:r>
        <w:rPr>
          <w:b/>
          <w:spacing w:val="-6"/>
          <w:sz w:val="18"/>
        </w:rPr>
        <w:t> </w:t>
      </w:r>
      <w:r>
        <w:rPr>
          <w:b/>
          <w:sz w:val="18"/>
        </w:rPr>
        <w:t>section</w:t>
      </w:r>
      <w:r>
        <w:rPr>
          <w:b/>
          <w:spacing w:val="-5"/>
          <w:sz w:val="18"/>
        </w:rPr>
        <w:t> </w:t>
      </w:r>
      <w:r>
        <w:rPr>
          <w:b/>
          <w:sz w:val="18"/>
        </w:rPr>
        <w:t>of</w:t>
      </w:r>
      <w:r>
        <w:rPr>
          <w:b/>
          <w:spacing w:val="-5"/>
          <w:sz w:val="18"/>
        </w:rPr>
        <w:t> </w:t>
      </w:r>
      <w:r>
        <w:rPr>
          <w:b/>
          <w:sz w:val="18"/>
        </w:rPr>
        <w:t>CLT</w:t>
      </w:r>
      <w:r>
        <w:rPr>
          <w:b/>
          <w:spacing w:val="-6"/>
          <w:sz w:val="18"/>
        </w:rPr>
        <w:t> </w:t>
      </w:r>
      <w:r>
        <w:rPr>
          <w:b/>
          <w:sz w:val="18"/>
        </w:rPr>
        <w:t>(2-ply)</w:t>
      </w:r>
    </w:p>
    <w:p>
      <w:pPr>
        <w:pStyle w:val="BodyText"/>
        <w:spacing w:before="10"/>
        <w:rPr>
          <w:b/>
          <w:sz w:val="13"/>
        </w:rPr>
      </w:pPr>
    </w:p>
    <w:p>
      <w:pPr>
        <w:tabs>
          <w:tab w:pos="3124" w:val="left" w:leader="none"/>
          <w:tab w:pos="5037" w:val="left" w:leader="none"/>
          <w:tab w:pos="6979" w:val="left" w:leader="none"/>
        </w:tabs>
        <w:spacing w:line="240" w:lineRule="auto"/>
        <w:ind w:left="758" w:right="0" w:firstLine="0"/>
        <w:rPr>
          <w:sz w:val="20"/>
        </w:rPr>
      </w:pPr>
      <w:r>
        <w:rPr>
          <w:position w:val="2"/>
          <w:sz w:val="20"/>
        </w:rPr>
        <w:drawing>
          <wp:inline distT="0" distB="0" distL="0" distR="0">
            <wp:extent cx="1233173" cy="1097279"/>
            <wp:effectExtent l="0" t="0" r="0" b="0"/>
            <wp:docPr id="197" name="image38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386.jpeg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3173" cy="1097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</w:r>
      <w:r>
        <w:rPr>
          <w:position w:val="2"/>
          <w:sz w:val="20"/>
        </w:rPr>
        <w:tab/>
      </w:r>
      <w:r>
        <w:rPr>
          <w:sz w:val="20"/>
        </w:rPr>
        <w:drawing>
          <wp:inline distT="0" distB="0" distL="0" distR="0">
            <wp:extent cx="913943" cy="1103376"/>
            <wp:effectExtent l="0" t="0" r="0" b="0"/>
            <wp:docPr id="199" name="image38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387.jpeg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943" cy="1103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961847" cy="1103376"/>
            <wp:effectExtent l="0" t="0" r="0" b="0"/>
            <wp:docPr id="201" name="image38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388.jpeg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1847" cy="1103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1"/>
          <w:sz w:val="20"/>
        </w:rPr>
        <w:drawing>
          <wp:inline distT="0" distB="0" distL="0" distR="0">
            <wp:extent cx="1081539" cy="1103376"/>
            <wp:effectExtent l="0" t="0" r="0" b="0"/>
            <wp:docPr id="203" name="image38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389.jpeg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1539" cy="1103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0" w:footer="1064" w:top="1500" w:bottom="1260" w:left="1720" w:right="1020"/>
        </w:sectPr>
      </w:pPr>
    </w:p>
    <w:p>
      <w:pPr>
        <w:spacing w:before="12"/>
        <w:ind w:left="1445" w:right="0" w:firstLine="0"/>
        <w:jc w:val="left"/>
        <w:rPr>
          <w:b/>
          <w:sz w:val="18"/>
        </w:rPr>
      </w:pPr>
      <w:r>
        <w:rPr>
          <w:b/>
          <w:sz w:val="18"/>
        </w:rPr>
        <w:t>Shot</w:t>
      </w:r>
      <w:r>
        <w:rPr>
          <w:b/>
          <w:spacing w:val="-2"/>
          <w:sz w:val="18"/>
        </w:rPr>
        <w:t> </w:t>
      </w:r>
      <w:r>
        <w:rPr>
          <w:b/>
          <w:sz w:val="18"/>
        </w:rPr>
        <w:t>1</w:t>
      </w:r>
    </w:p>
    <w:p>
      <w:pPr>
        <w:spacing w:before="9"/>
        <w:ind w:left="860" w:right="0" w:firstLine="0"/>
        <w:jc w:val="left"/>
        <w:rPr>
          <w:b/>
          <w:sz w:val="18"/>
        </w:rPr>
      </w:pPr>
      <w:r>
        <w:rPr/>
        <w:br w:type="column"/>
      </w:r>
      <w:r>
        <w:rPr>
          <w:b/>
          <w:sz w:val="18"/>
        </w:rPr>
        <w:t>Shot</w:t>
      </w:r>
      <w:r>
        <w:rPr>
          <w:b/>
          <w:spacing w:val="-2"/>
          <w:sz w:val="18"/>
        </w:rPr>
        <w:t> </w:t>
      </w:r>
      <w:r>
        <w:rPr>
          <w:b/>
          <w:sz w:val="18"/>
        </w:rPr>
        <w:t>2</w:t>
      </w:r>
    </w:p>
    <w:p>
      <w:pPr>
        <w:spacing w:line="202" w:lineRule="exact" w:before="0"/>
        <w:ind w:left="949" w:right="0" w:firstLine="0"/>
        <w:jc w:val="left"/>
        <w:rPr>
          <w:b/>
          <w:sz w:val="18"/>
        </w:rPr>
      </w:pPr>
      <w:r>
        <w:rPr/>
        <w:br w:type="column"/>
      </w:r>
      <w:r>
        <w:rPr>
          <w:b/>
          <w:sz w:val="18"/>
        </w:rPr>
        <w:t>Shot</w:t>
      </w:r>
      <w:r>
        <w:rPr>
          <w:b/>
          <w:spacing w:val="-2"/>
          <w:sz w:val="18"/>
        </w:rPr>
        <w:t> </w:t>
      </w:r>
      <w:r>
        <w:rPr>
          <w:b/>
          <w:sz w:val="18"/>
        </w:rPr>
        <w:t>3</w:t>
      </w:r>
    </w:p>
    <w:p>
      <w:pPr>
        <w:spacing w:line="202" w:lineRule="exact" w:before="0"/>
        <w:ind w:left="979" w:right="1410" w:firstLine="0"/>
        <w:jc w:val="center"/>
        <w:rPr>
          <w:b/>
          <w:sz w:val="18"/>
        </w:rPr>
      </w:pPr>
      <w:r>
        <w:rPr/>
        <w:br w:type="column"/>
      </w:r>
      <w:r>
        <w:rPr>
          <w:b/>
          <w:sz w:val="18"/>
        </w:rPr>
        <w:t>Shot</w:t>
      </w:r>
      <w:r>
        <w:rPr>
          <w:b/>
          <w:spacing w:val="-2"/>
          <w:sz w:val="18"/>
        </w:rPr>
        <w:t> </w:t>
      </w:r>
      <w:r>
        <w:rPr>
          <w:b/>
          <w:sz w:val="18"/>
        </w:rPr>
        <w:t>4</w:t>
      </w:r>
    </w:p>
    <w:p>
      <w:pPr>
        <w:spacing w:after="0" w:line="202" w:lineRule="exact"/>
        <w:jc w:val="center"/>
        <w:rPr>
          <w:sz w:val="18"/>
        </w:rPr>
        <w:sectPr>
          <w:type w:val="continuous"/>
          <w:pgSz w:w="12240" w:h="15840"/>
          <w:pgMar w:top="1380" w:bottom="280" w:left="1720" w:right="1020"/>
          <w:cols w:num="4" w:equalWidth="0">
            <w:col w:w="2691" w:space="40"/>
            <w:col w:w="1827" w:space="39"/>
            <w:col w:w="1949" w:space="40"/>
            <w:col w:w="2914"/>
          </w:cols>
        </w:sectPr>
      </w:pPr>
    </w:p>
    <w:p>
      <w:pPr>
        <w:tabs>
          <w:tab w:pos="3000" w:val="left" w:leader="none"/>
          <w:tab w:pos="4901" w:val="left" w:leader="none"/>
          <w:tab w:pos="7016" w:val="left" w:leader="none"/>
        </w:tabs>
        <w:spacing w:line="240" w:lineRule="auto"/>
        <w:ind w:left="75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231873" cy="1176527"/>
            <wp:effectExtent l="0" t="0" r="0" b="0"/>
            <wp:docPr id="205" name="image39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390.jpeg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1873" cy="1176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1"/>
          <w:sz w:val="20"/>
        </w:rPr>
        <w:drawing>
          <wp:inline distT="0" distB="0" distL="0" distR="0">
            <wp:extent cx="1071177" cy="1176527"/>
            <wp:effectExtent l="0" t="0" r="0" b="0"/>
            <wp:docPr id="207" name="image39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391.jpeg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177" cy="1176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  <w:r>
        <w:rPr>
          <w:position w:val="1"/>
          <w:sz w:val="20"/>
        </w:rPr>
        <w:tab/>
      </w:r>
      <w:r>
        <w:rPr>
          <w:position w:val="1"/>
          <w:sz w:val="20"/>
        </w:rPr>
        <w:drawing>
          <wp:inline distT="0" distB="0" distL="0" distR="0">
            <wp:extent cx="1130545" cy="1176527"/>
            <wp:effectExtent l="0" t="0" r="0" b="0"/>
            <wp:docPr id="209" name="image39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392.jpeg"/>
                    <pic:cNvPicPr/>
                  </pic:nvPicPr>
                  <pic:blipFill>
                    <a:blip r:embed="rId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0545" cy="1176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  <w:r>
        <w:rPr>
          <w:position w:val="1"/>
          <w:sz w:val="20"/>
        </w:rPr>
        <w:tab/>
      </w:r>
      <w:r>
        <w:rPr>
          <w:sz w:val="20"/>
        </w:rPr>
        <w:drawing>
          <wp:inline distT="0" distB="0" distL="0" distR="0">
            <wp:extent cx="1060355" cy="1182624"/>
            <wp:effectExtent l="0" t="0" r="0" b="0"/>
            <wp:docPr id="211" name="image39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393.jpeg"/>
                    <pic:cNvPicPr/>
                  </pic:nvPicPr>
                  <pic:blipFill>
                    <a:blip r:embed="rId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355" cy="1182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52"/>
        <w:ind w:left="12" w:right="0" w:firstLine="0"/>
        <w:jc w:val="center"/>
        <w:rPr>
          <w:b/>
          <w:sz w:val="18"/>
        </w:rPr>
      </w:pPr>
      <w:r>
        <w:rPr>
          <w:b/>
          <w:sz w:val="18"/>
        </w:rPr>
        <w:t>Front</w:t>
      </w:r>
      <w:r>
        <w:rPr>
          <w:b/>
          <w:spacing w:val="-4"/>
          <w:sz w:val="18"/>
        </w:rPr>
        <w:t> </w:t>
      </w:r>
      <w:r>
        <w:rPr>
          <w:b/>
          <w:sz w:val="18"/>
        </w:rPr>
        <w:t>of</w:t>
      </w:r>
      <w:r>
        <w:rPr>
          <w:b/>
          <w:spacing w:val="-3"/>
          <w:sz w:val="18"/>
        </w:rPr>
        <w:t> </w:t>
      </w:r>
      <w:r>
        <w:rPr>
          <w:b/>
          <w:sz w:val="18"/>
        </w:rPr>
        <w:t>UHMWPE</w:t>
      </w:r>
      <w:r>
        <w:rPr>
          <w:b/>
          <w:spacing w:val="-3"/>
          <w:sz w:val="18"/>
        </w:rPr>
        <w:t> </w:t>
      </w:r>
      <w:r>
        <w:rPr>
          <w:b/>
          <w:sz w:val="18"/>
        </w:rPr>
        <w:t>layer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18"/>
        </w:rPr>
      </w:pPr>
    </w:p>
    <w:p>
      <w:pPr>
        <w:spacing w:before="93" w:after="85"/>
        <w:ind w:left="42" w:right="77" w:firstLine="0"/>
        <w:jc w:val="center"/>
        <w:rPr>
          <w:b/>
          <w:sz w:val="18"/>
        </w:rPr>
      </w:pPr>
      <w:r>
        <w:rPr>
          <w:b/>
          <w:sz w:val="18"/>
        </w:rPr>
        <w:t>Back</w:t>
      </w:r>
      <w:r>
        <w:rPr>
          <w:b/>
          <w:spacing w:val="-5"/>
          <w:sz w:val="18"/>
        </w:rPr>
        <w:t> </w:t>
      </w:r>
      <w:r>
        <w:rPr>
          <w:b/>
          <w:sz w:val="18"/>
        </w:rPr>
        <w:t>of</w:t>
      </w:r>
      <w:r>
        <w:rPr>
          <w:b/>
          <w:spacing w:val="-5"/>
          <w:sz w:val="18"/>
        </w:rPr>
        <w:t> </w:t>
      </w:r>
      <w:r>
        <w:rPr>
          <w:b/>
          <w:sz w:val="18"/>
        </w:rPr>
        <w:t>front</w:t>
      </w:r>
      <w:r>
        <w:rPr>
          <w:b/>
          <w:spacing w:val="-6"/>
          <w:sz w:val="18"/>
        </w:rPr>
        <w:t> </w:t>
      </w:r>
      <w:r>
        <w:rPr>
          <w:b/>
          <w:sz w:val="18"/>
        </w:rPr>
        <w:t>section</w:t>
      </w:r>
      <w:r>
        <w:rPr>
          <w:b/>
          <w:spacing w:val="-5"/>
          <w:sz w:val="18"/>
        </w:rPr>
        <w:t> </w:t>
      </w:r>
      <w:r>
        <w:rPr>
          <w:b/>
          <w:sz w:val="18"/>
        </w:rPr>
        <w:t>of</w:t>
      </w:r>
      <w:r>
        <w:rPr>
          <w:b/>
          <w:spacing w:val="-5"/>
          <w:sz w:val="18"/>
        </w:rPr>
        <w:t> </w:t>
      </w:r>
      <w:r>
        <w:rPr>
          <w:b/>
          <w:sz w:val="18"/>
        </w:rPr>
        <w:t>CLT</w:t>
      </w:r>
      <w:r>
        <w:rPr>
          <w:b/>
          <w:spacing w:val="-6"/>
          <w:sz w:val="18"/>
        </w:rPr>
        <w:t> </w:t>
      </w:r>
      <w:r>
        <w:rPr>
          <w:b/>
          <w:sz w:val="18"/>
        </w:rPr>
        <w:t>(2-ply)</w:t>
      </w:r>
    </w:p>
    <w:p>
      <w:pPr>
        <w:spacing w:line="240" w:lineRule="auto"/>
        <w:ind w:left="75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153091" cy="1261872"/>
            <wp:effectExtent l="0" t="0" r="0" b="0"/>
            <wp:docPr id="213" name="image39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394.jpeg"/>
                    <pic:cNvPicPr/>
                  </pic:nvPicPr>
                  <pic:blipFill>
                    <a:blip r:embed="rId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3091" cy="1261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pacing w:val="102"/>
          <w:sz w:val="20"/>
        </w:rPr>
        <w:t> </w:t>
      </w:r>
      <w:r>
        <w:rPr>
          <w:spacing w:val="102"/>
          <w:sz w:val="20"/>
        </w:rPr>
        <w:drawing>
          <wp:inline distT="0" distB="0" distL="0" distR="0">
            <wp:extent cx="1278652" cy="1261872"/>
            <wp:effectExtent l="0" t="0" r="0" b="0"/>
            <wp:docPr id="215" name="image39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395.jpe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8652" cy="1261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02"/>
          <w:sz w:val="20"/>
        </w:rPr>
      </w:r>
      <w:r>
        <w:rPr>
          <w:spacing w:val="99"/>
          <w:sz w:val="20"/>
        </w:rPr>
        <w:t> </w:t>
      </w:r>
      <w:r>
        <w:rPr>
          <w:spacing w:val="99"/>
          <w:sz w:val="20"/>
        </w:rPr>
        <w:drawing>
          <wp:inline distT="0" distB="0" distL="0" distR="0">
            <wp:extent cx="1193245" cy="1261872"/>
            <wp:effectExtent l="0" t="0" r="0" b="0"/>
            <wp:docPr id="217" name="image39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396.jpeg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3245" cy="1261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9"/>
          <w:sz w:val="20"/>
        </w:rPr>
      </w:r>
      <w:r>
        <w:rPr>
          <w:spacing w:val="86"/>
          <w:sz w:val="20"/>
        </w:rPr>
        <w:t> </w:t>
      </w:r>
      <w:r>
        <w:rPr>
          <w:spacing w:val="86"/>
          <w:position w:val="1"/>
          <w:sz w:val="20"/>
        </w:rPr>
        <w:pict>
          <v:group style="width:96.05pt;height:99.2pt;mso-position-horizontal-relative:char;mso-position-vertical-relative:line" coordorigin="0,0" coordsize="1921,1984">
            <v:shape style="position:absolute;left:0;top:0;width:1890;height:1984" type="#_x0000_t75" stroked="false">
              <v:imagedata r:id="rId407" o:title=""/>
            </v:shape>
            <v:shape style="position:absolute;left:1792;top:180;width:128;height:240" type="#_x0000_t202" filled="false" stroked="false">
              <v:textbox inset="0,0,0,0">
                <w:txbxContent>
                  <w:p>
                    <w:pPr>
                      <w:spacing w:line="238" w:lineRule="exact" w:before="0"/>
                      <w:ind w:left="0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w w:val="102"/>
                        <w:sz w:val="21"/>
                      </w:rPr>
                      <w:t>8</w:t>
                    </w:r>
                  </w:p>
                </w:txbxContent>
              </v:textbox>
              <w10:wrap type="none"/>
            </v:shape>
          </v:group>
        </w:pict>
      </w:r>
      <w:r>
        <w:rPr>
          <w:spacing w:val="86"/>
          <w:position w:val="1"/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2240" w:h="15840"/>
          <w:pgMar w:top="1380" w:bottom="280" w:left="1720" w:right="1020"/>
        </w:sectPr>
      </w:pPr>
    </w:p>
    <w:p>
      <w:pPr>
        <w:spacing w:before="8"/>
        <w:ind w:left="1392" w:right="0" w:firstLine="0"/>
        <w:jc w:val="left"/>
        <w:rPr>
          <w:b/>
          <w:sz w:val="18"/>
        </w:rPr>
      </w:pPr>
      <w:r>
        <w:rPr>
          <w:b/>
          <w:sz w:val="18"/>
        </w:rPr>
        <w:t>Shot</w:t>
      </w:r>
      <w:r>
        <w:rPr>
          <w:b/>
          <w:spacing w:val="-2"/>
          <w:sz w:val="18"/>
        </w:rPr>
        <w:t> </w:t>
      </w:r>
      <w:r>
        <w:rPr>
          <w:b/>
          <w:sz w:val="18"/>
        </w:rPr>
        <w:t>5</w:t>
      </w:r>
    </w:p>
    <w:p>
      <w:pPr>
        <w:pStyle w:val="BodyText"/>
        <w:spacing w:before="4"/>
        <w:rPr>
          <w:b/>
          <w:sz w:val="3"/>
        </w:rPr>
      </w:pPr>
    </w:p>
    <w:p>
      <w:pPr>
        <w:pStyle w:val="BodyText"/>
        <w:ind w:left="852"/>
        <w:rPr>
          <w:sz w:val="20"/>
        </w:rPr>
      </w:pPr>
      <w:r>
        <w:rPr>
          <w:sz w:val="20"/>
        </w:rPr>
        <w:drawing>
          <wp:inline distT="0" distB="0" distL="0" distR="0">
            <wp:extent cx="1000946" cy="1219200"/>
            <wp:effectExtent l="0" t="0" r="0" b="0"/>
            <wp:docPr id="219" name="image39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398.jpeg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0946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tabs>
          <w:tab w:pos="2237" w:val="left" w:leader="none"/>
        </w:tabs>
        <w:spacing w:line="215" w:lineRule="exact" w:before="0"/>
        <w:ind w:left="143" w:right="0" w:firstLine="0"/>
        <w:jc w:val="center"/>
        <w:rPr>
          <w:b/>
          <w:sz w:val="18"/>
        </w:rPr>
      </w:pPr>
      <w:r>
        <w:rPr/>
        <w:br w:type="column"/>
      </w:r>
      <w:r>
        <w:rPr>
          <w:b/>
          <w:sz w:val="18"/>
        </w:rPr>
        <w:t>Shot</w:t>
      </w:r>
      <w:r>
        <w:rPr>
          <w:b/>
          <w:spacing w:val="-2"/>
          <w:sz w:val="18"/>
        </w:rPr>
        <w:t> </w:t>
      </w:r>
      <w:r>
        <w:rPr>
          <w:b/>
          <w:sz w:val="18"/>
        </w:rPr>
        <w:t>6</w:t>
        <w:tab/>
      </w:r>
      <w:r>
        <w:rPr>
          <w:b/>
          <w:position w:val="1"/>
          <w:sz w:val="18"/>
        </w:rPr>
        <w:t>Shot</w:t>
      </w:r>
      <w:r>
        <w:rPr>
          <w:b/>
          <w:spacing w:val="-1"/>
          <w:position w:val="1"/>
          <w:sz w:val="18"/>
        </w:rPr>
        <w:t> </w:t>
      </w:r>
      <w:r>
        <w:rPr>
          <w:b/>
          <w:position w:val="1"/>
          <w:sz w:val="18"/>
        </w:rPr>
        <w:t>7</w:t>
      </w:r>
    </w:p>
    <w:p>
      <w:pPr>
        <w:pStyle w:val="BodyText"/>
        <w:spacing w:before="10"/>
        <w:rPr>
          <w:b/>
          <w:sz w:val="2"/>
        </w:rPr>
      </w:pPr>
    </w:p>
    <w:p>
      <w:pPr>
        <w:spacing w:line="240" w:lineRule="auto"/>
        <w:ind w:left="145" w:right="-15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227115" cy="1219200"/>
            <wp:effectExtent l="0" t="0" r="0" b="0"/>
            <wp:docPr id="221" name="image39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399.jpeg"/>
                    <pic:cNvPicPr/>
                  </pic:nvPicPr>
                  <pic:blipFill>
                    <a:blip r:embed="rId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7115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pacing w:val="101"/>
          <w:sz w:val="20"/>
        </w:rPr>
        <w:t> </w:t>
      </w:r>
      <w:r>
        <w:rPr>
          <w:spacing w:val="101"/>
          <w:sz w:val="20"/>
        </w:rPr>
        <w:drawing>
          <wp:inline distT="0" distB="0" distL="0" distR="0">
            <wp:extent cx="1226444" cy="1219200"/>
            <wp:effectExtent l="0" t="0" r="0" b="0"/>
            <wp:docPr id="223" name="image40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400.jpeg"/>
                    <pic:cNvPicPr/>
                  </pic:nvPicPr>
                  <pic:blipFill>
                    <a:blip r:embed="rId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6444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01"/>
          <w:sz w:val="20"/>
        </w:rPr>
      </w:r>
    </w:p>
    <w:p>
      <w:pPr>
        <w:spacing w:before="48"/>
        <w:ind w:left="112" w:right="0" w:firstLine="0"/>
        <w:jc w:val="center"/>
        <w:rPr>
          <w:b/>
          <w:sz w:val="18"/>
        </w:rPr>
      </w:pPr>
      <w:r>
        <w:rPr>
          <w:b/>
          <w:sz w:val="18"/>
        </w:rPr>
        <w:t>Front</w:t>
      </w:r>
      <w:r>
        <w:rPr>
          <w:b/>
          <w:spacing w:val="-4"/>
          <w:sz w:val="18"/>
        </w:rPr>
        <w:t> </w:t>
      </w:r>
      <w:r>
        <w:rPr>
          <w:b/>
          <w:sz w:val="18"/>
        </w:rPr>
        <w:t>of</w:t>
      </w:r>
      <w:r>
        <w:rPr>
          <w:b/>
          <w:spacing w:val="-3"/>
          <w:sz w:val="18"/>
        </w:rPr>
        <w:t> </w:t>
      </w:r>
      <w:r>
        <w:rPr>
          <w:b/>
          <w:sz w:val="18"/>
        </w:rPr>
        <w:t>UHMWPE</w:t>
      </w:r>
      <w:r>
        <w:rPr>
          <w:b/>
          <w:spacing w:val="-3"/>
          <w:sz w:val="18"/>
        </w:rPr>
        <w:t> </w:t>
      </w:r>
      <w:r>
        <w:rPr>
          <w:b/>
          <w:sz w:val="18"/>
        </w:rPr>
        <w:t>layer</w:t>
      </w:r>
    </w:p>
    <w:p>
      <w:pPr>
        <w:spacing w:line="203" w:lineRule="exact" w:before="0"/>
        <w:ind w:left="751" w:right="0" w:firstLine="0"/>
        <w:jc w:val="left"/>
        <w:rPr>
          <w:b/>
          <w:sz w:val="18"/>
        </w:rPr>
      </w:pPr>
      <w:r>
        <w:rPr/>
        <w:br w:type="column"/>
      </w:r>
      <w:r>
        <w:rPr>
          <w:b/>
          <w:sz w:val="18"/>
        </w:rPr>
        <w:t>Shot</w:t>
      </w:r>
      <w:r>
        <w:rPr>
          <w:b/>
          <w:spacing w:val="-2"/>
          <w:sz w:val="18"/>
        </w:rPr>
        <w:t> </w:t>
      </w:r>
      <w:r>
        <w:rPr>
          <w:b/>
          <w:sz w:val="18"/>
        </w:rPr>
        <w:t>8</w:t>
      </w:r>
    </w:p>
    <w:p>
      <w:pPr>
        <w:pStyle w:val="BodyText"/>
        <w:spacing w:before="10"/>
        <w:rPr>
          <w:b/>
          <w:sz w:val="2"/>
        </w:rPr>
      </w:pPr>
    </w:p>
    <w:p>
      <w:pPr>
        <w:pStyle w:val="BodyText"/>
        <w:ind w:left="70"/>
        <w:rPr>
          <w:sz w:val="20"/>
        </w:rPr>
      </w:pPr>
      <w:r>
        <w:rPr>
          <w:sz w:val="20"/>
        </w:rPr>
        <w:pict>
          <v:group style="width:93.8pt;height:96.35pt;mso-position-horizontal-relative:char;mso-position-vertical-relative:line" coordorigin="0,0" coordsize="1876,1927">
            <v:shape style="position:absolute;left:0;top:0;width:1856;height:1927" type="#_x0000_t75" stroked="false">
              <v:imagedata r:id="rId411" o:title=""/>
            </v:shape>
            <v:shape style="position:absolute;left:1747;top:1501;width:128;height:240" type="#_x0000_t202" filled="false" stroked="false">
              <v:textbox inset="0,0,0,0">
                <w:txbxContent>
                  <w:p>
                    <w:pPr>
                      <w:spacing w:line="238" w:lineRule="exact" w:before="0"/>
                      <w:ind w:left="0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w w:val="102"/>
                        <w:sz w:val="21"/>
                      </w:rPr>
                      <w:t>8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2240" w:h="15840"/>
          <w:pgMar w:top="1380" w:bottom="280" w:left="1720" w:right="1020"/>
          <w:cols w:num="3" w:equalWidth="0">
            <w:col w:w="2561" w:space="40"/>
            <w:col w:w="4199" w:space="47"/>
            <w:col w:w="2653"/>
          </w:cols>
        </w:sectPr>
      </w:pPr>
    </w:p>
    <w:p>
      <w:pPr>
        <w:pStyle w:val="BodyText"/>
        <w:rPr>
          <w:b/>
          <w:sz w:val="20"/>
        </w:rPr>
      </w:pPr>
    </w:p>
    <w:p>
      <w:pPr>
        <w:spacing w:before="214"/>
        <w:ind w:left="440" w:right="814" w:firstLine="0"/>
        <w:jc w:val="left"/>
        <w:rPr>
          <w:i/>
          <w:sz w:val="24"/>
        </w:rPr>
      </w:pPr>
      <w:bookmarkStart w:name="_bookmark157" w:id="474"/>
      <w:bookmarkEnd w:id="474"/>
      <w:r>
        <w:rPr/>
      </w:r>
      <w:r>
        <w:rPr>
          <w:i/>
          <w:sz w:val="24"/>
        </w:rPr>
        <w:t>Figure 7-29. Close-up of shots 1-8 on UHMWPE ECLT specimen; for each shot (top)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back of 2-ply CLT positioned in front of UHMWPE panel, (bottom) front face 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UHMWPE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panel.</w:t>
      </w:r>
    </w:p>
    <w:p>
      <w:pPr>
        <w:spacing w:after="0"/>
        <w:jc w:val="left"/>
        <w:rPr>
          <w:sz w:val="24"/>
        </w:rPr>
        <w:sectPr>
          <w:type w:val="continuous"/>
          <w:pgSz w:w="12240" w:h="15840"/>
          <w:pgMar w:top="1380" w:bottom="280" w:left="1720" w:right="1020"/>
        </w:sectPr>
      </w:pPr>
    </w:p>
    <w:p>
      <w:pPr>
        <w:pStyle w:val="ListParagraph"/>
        <w:numPr>
          <w:ilvl w:val="2"/>
          <w:numId w:val="26"/>
        </w:numPr>
        <w:tabs>
          <w:tab w:pos="980" w:val="left" w:leader="none"/>
        </w:tabs>
        <w:spacing w:line="240" w:lineRule="auto" w:before="79" w:after="0"/>
        <w:ind w:left="980" w:right="0" w:hanging="540"/>
        <w:jc w:val="both"/>
        <w:rPr>
          <w:i/>
          <w:sz w:val="24"/>
        </w:rPr>
      </w:pPr>
      <w:bookmarkStart w:name="7.3.5 Fiberglass fabric" w:id="475"/>
      <w:bookmarkEnd w:id="475"/>
      <w:r>
        <w:rPr/>
      </w:r>
      <w:bookmarkStart w:name="7.3.5 Fiberglass fabric" w:id="476"/>
      <w:bookmarkEnd w:id="476"/>
      <w:r>
        <w:rPr>
          <w:i/>
          <w:sz w:val="24"/>
        </w:rPr>
        <w:t>F</w:t>
      </w:r>
      <w:r>
        <w:rPr>
          <w:i/>
          <w:sz w:val="24"/>
        </w:rPr>
        <w:t>iberglass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fabric</w:t>
      </w:r>
    </w:p>
    <w:p>
      <w:pPr>
        <w:pStyle w:val="BodyText"/>
        <w:spacing w:before="7"/>
        <w:rPr>
          <w:i/>
          <w:sz w:val="22"/>
        </w:rPr>
      </w:pPr>
    </w:p>
    <w:p>
      <w:pPr>
        <w:pStyle w:val="BodyText"/>
        <w:spacing w:line="480" w:lineRule="auto"/>
        <w:ind w:left="440" w:right="417" w:firstLine="720"/>
        <w:jc w:val="both"/>
      </w:pPr>
      <w:r>
        <w:rPr/>
        <w:t>The two different layups of ECLT using fiberglass fabric as an enhancing layer</w:t>
      </w:r>
      <w:r>
        <w:rPr>
          <w:spacing w:val="1"/>
        </w:rPr>
        <w:t> </w:t>
      </w:r>
      <w:r>
        <w:rPr/>
        <w:t>showed mixed results in terms of partial and complete penetrations.</w:t>
      </w:r>
      <w:r>
        <w:rPr>
          <w:spacing w:val="1"/>
        </w:rPr>
        <w:t> </w:t>
      </w:r>
      <w:r>
        <w:rPr/>
        <w:t>All four specimens,</w:t>
      </w:r>
      <w:r>
        <w:rPr>
          <w:spacing w:val="1"/>
        </w:rPr>
        <w:t> </w:t>
      </w:r>
      <w:r>
        <w:rPr/>
        <w:t>two of each layup, were shot five times each.</w:t>
      </w:r>
      <w:r>
        <w:rPr>
          <w:spacing w:val="1"/>
        </w:rPr>
        <w:t> </w:t>
      </w:r>
      <w:r>
        <w:rPr/>
        <w:t>Based on this limited number of tests, the</w:t>
      </w:r>
      <w:r>
        <w:rPr>
          <w:spacing w:val="1"/>
        </w:rPr>
        <w:t> </w:t>
      </w:r>
      <w:r>
        <w:rPr/>
        <w:t>consolidated</w:t>
      </w:r>
      <w:r>
        <w:rPr>
          <w:spacing w:val="-3"/>
        </w:rPr>
        <w:t> </w:t>
      </w:r>
      <w:r>
        <w:rPr/>
        <w:t>4-ply version</w:t>
      </w:r>
      <w:r>
        <w:rPr>
          <w:spacing w:val="-1"/>
        </w:rPr>
        <w:t> </w:t>
      </w:r>
      <w:r>
        <w:rPr/>
        <w:t>performed</w:t>
      </w:r>
      <w:r>
        <w:rPr>
          <w:spacing w:val="1"/>
        </w:rPr>
        <w:t> </w:t>
      </w:r>
      <w:r>
        <w:rPr/>
        <w:t>better</w:t>
      </w:r>
      <w:r>
        <w:rPr>
          <w:spacing w:val="-1"/>
        </w:rPr>
        <w:t> </w:t>
      </w:r>
      <w:r>
        <w:rPr/>
        <w:t>than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separated</w:t>
      </w:r>
      <w:r>
        <w:rPr>
          <w:spacing w:val="-2"/>
        </w:rPr>
        <w:t> </w:t>
      </w:r>
      <w:r>
        <w:rPr/>
        <w:t>4-ply</w:t>
      </w:r>
      <w:r>
        <w:rPr>
          <w:spacing w:val="-1"/>
        </w:rPr>
        <w:t> </w:t>
      </w:r>
      <w:r>
        <w:rPr/>
        <w:t>version.</w:t>
      </w:r>
    </w:p>
    <w:p>
      <w:pPr>
        <w:pStyle w:val="ListParagraph"/>
        <w:numPr>
          <w:ilvl w:val="3"/>
          <w:numId w:val="26"/>
        </w:numPr>
        <w:tabs>
          <w:tab w:pos="1160" w:val="left" w:leader="none"/>
        </w:tabs>
        <w:spacing w:line="240" w:lineRule="auto" w:before="161" w:after="0"/>
        <w:ind w:left="1160" w:right="0" w:hanging="720"/>
        <w:jc w:val="both"/>
        <w:rPr>
          <w:i/>
          <w:sz w:val="24"/>
        </w:rPr>
      </w:pPr>
      <w:bookmarkStart w:name="7.3.5.1 Type 7 - Consolidated 4-ply fibe" w:id="477"/>
      <w:bookmarkEnd w:id="477"/>
      <w:r>
        <w:rPr/>
      </w:r>
      <w:bookmarkStart w:name="7.3.5.1 Type 7 - Consolidated 4-ply fibe" w:id="478"/>
      <w:bookmarkEnd w:id="478"/>
      <w:r>
        <w:rPr>
          <w:i/>
          <w:sz w:val="24"/>
          <w:u w:val="single"/>
        </w:rPr>
        <w:t>T</w:t>
      </w:r>
      <w:r>
        <w:rPr>
          <w:i/>
          <w:sz w:val="24"/>
          <w:u w:val="single"/>
        </w:rPr>
        <w:t>ype</w:t>
      </w:r>
      <w:r>
        <w:rPr>
          <w:i/>
          <w:spacing w:val="-2"/>
          <w:sz w:val="24"/>
          <w:u w:val="single"/>
        </w:rPr>
        <w:t> </w:t>
      </w:r>
      <w:r>
        <w:rPr>
          <w:i/>
          <w:sz w:val="24"/>
          <w:u w:val="single"/>
        </w:rPr>
        <w:t>7</w:t>
      </w:r>
      <w:r>
        <w:rPr>
          <w:i/>
          <w:spacing w:val="-2"/>
          <w:sz w:val="24"/>
          <w:u w:val="single"/>
        </w:rPr>
        <w:t> </w:t>
      </w:r>
      <w:r>
        <w:rPr>
          <w:i/>
          <w:sz w:val="24"/>
          <w:u w:val="single"/>
        </w:rPr>
        <w:t>-</w:t>
      </w:r>
      <w:r>
        <w:rPr>
          <w:i/>
          <w:spacing w:val="-1"/>
          <w:sz w:val="24"/>
          <w:u w:val="single"/>
        </w:rPr>
        <w:t> </w:t>
      </w:r>
      <w:r>
        <w:rPr>
          <w:i/>
          <w:sz w:val="24"/>
          <w:u w:val="single"/>
        </w:rPr>
        <w:t>Consolidated</w:t>
      </w:r>
      <w:r>
        <w:rPr>
          <w:i/>
          <w:spacing w:val="-2"/>
          <w:sz w:val="24"/>
          <w:u w:val="single"/>
        </w:rPr>
        <w:t> </w:t>
      </w:r>
      <w:r>
        <w:rPr>
          <w:i/>
          <w:sz w:val="24"/>
          <w:u w:val="single"/>
        </w:rPr>
        <w:t>4-ply</w:t>
      </w:r>
      <w:r>
        <w:rPr>
          <w:i/>
          <w:spacing w:val="-1"/>
          <w:sz w:val="24"/>
          <w:u w:val="single"/>
        </w:rPr>
        <w:t> </w:t>
      </w:r>
      <w:r>
        <w:rPr>
          <w:i/>
          <w:sz w:val="24"/>
          <w:u w:val="single"/>
        </w:rPr>
        <w:t>fiberglass</w:t>
      </w:r>
      <w:r>
        <w:rPr>
          <w:i/>
          <w:spacing w:val="-2"/>
          <w:sz w:val="24"/>
          <w:u w:val="single"/>
        </w:rPr>
        <w:t> </w:t>
      </w:r>
      <w:r>
        <w:rPr>
          <w:i/>
          <w:sz w:val="24"/>
          <w:u w:val="single"/>
        </w:rPr>
        <w:t>fabric</w:t>
      </w:r>
    </w:p>
    <w:p>
      <w:pPr>
        <w:pStyle w:val="BodyText"/>
        <w:spacing w:before="11"/>
        <w:rPr>
          <w:i/>
          <w:sz w:val="14"/>
        </w:rPr>
      </w:pPr>
    </w:p>
    <w:p>
      <w:pPr>
        <w:pStyle w:val="BodyText"/>
        <w:spacing w:line="480" w:lineRule="auto" w:before="90"/>
        <w:ind w:left="440" w:right="417" w:firstLine="720"/>
        <w:jc w:val="both"/>
      </w:pPr>
      <w:r>
        <w:rPr/>
        <w:t>The two specimens with the 4-ply fiberglass fabric consolidated layup resulted in</w:t>
      </w:r>
      <w:r>
        <w:rPr>
          <w:spacing w:val="1"/>
        </w:rPr>
        <w:t> </w:t>
      </w:r>
      <w:r>
        <w:rPr/>
        <w:t>eight</w:t>
      </w:r>
      <w:r>
        <w:rPr>
          <w:spacing w:val="-13"/>
        </w:rPr>
        <w:t> </w:t>
      </w:r>
      <w:r>
        <w:rPr/>
        <w:t>partial</w:t>
      </w:r>
      <w:r>
        <w:rPr>
          <w:spacing w:val="-12"/>
        </w:rPr>
        <w:t> </w:t>
      </w:r>
      <w:r>
        <w:rPr/>
        <w:t>penetrations</w:t>
      </w:r>
      <w:r>
        <w:rPr>
          <w:spacing w:val="-13"/>
        </w:rPr>
        <w:t> </w:t>
      </w:r>
      <w:r>
        <w:rPr/>
        <w:t>and</w:t>
      </w:r>
      <w:r>
        <w:rPr>
          <w:spacing w:val="-11"/>
        </w:rPr>
        <w:t> </w:t>
      </w:r>
      <w:r>
        <w:rPr/>
        <w:t>two</w:t>
      </w:r>
      <w:r>
        <w:rPr>
          <w:spacing w:val="-12"/>
        </w:rPr>
        <w:t> </w:t>
      </w:r>
      <w:r>
        <w:rPr/>
        <w:t>complete</w:t>
      </w:r>
      <w:r>
        <w:rPr>
          <w:spacing w:val="-12"/>
        </w:rPr>
        <w:t> </w:t>
      </w:r>
      <w:r>
        <w:rPr/>
        <w:t>penetrations.</w:t>
      </w:r>
      <w:r>
        <w:rPr>
          <w:spacing w:val="36"/>
        </w:rPr>
        <w:t> </w:t>
      </w:r>
      <w:r>
        <w:rPr/>
        <w:t>One</w:t>
      </w:r>
      <w:r>
        <w:rPr>
          <w:spacing w:val="-11"/>
        </w:rPr>
        <w:t> </w:t>
      </w:r>
      <w:r>
        <w:rPr/>
        <w:t>specimen</w:t>
      </w:r>
      <w:r>
        <w:rPr>
          <w:spacing w:val="-12"/>
        </w:rPr>
        <w:t> </w:t>
      </w:r>
      <w:r>
        <w:rPr/>
        <w:t>is</w:t>
      </w:r>
      <w:r>
        <w:rPr>
          <w:spacing w:val="-11"/>
        </w:rPr>
        <w:t> </w:t>
      </w:r>
      <w:r>
        <w:rPr/>
        <w:t>shown</w:t>
      </w:r>
      <w:r>
        <w:rPr>
          <w:spacing w:val="-12"/>
        </w:rPr>
        <w:t> </w:t>
      </w:r>
      <w:r>
        <w:rPr/>
        <w:t>in</w:t>
      </w:r>
      <w:r>
        <w:rPr>
          <w:spacing w:val="-11"/>
        </w:rPr>
        <w:t> </w:t>
      </w:r>
      <w:hyperlink w:history="true" w:anchor="_bookmark158">
        <w:r>
          <w:rPr/>
          <w:t>Figure</w:t>
        </w:r>
      </w:hyperlink>
      <w:r>
        <w:rPr>
          <w:spacing w:val="-58"/>
        </w:rPr>
        <w:t> </w:t>
      </w:r>
      <w:hyperlink w:history="true" w:anchor="_bookmark158">
        <w:r>
          <w:rPr/>
          <w:t>7-30</w:t>
        </w:r>
      </w:hyperlink>
      <w:r>
        <w:rPr/>
        <w:t>.</w:t>
      </w:r>
      <w:r>
        <w:rPr>
          <w:spacing w:val="1"/>
        </w:rPr>
        <w:t> </w:t>
      </w:r>
      <w:r>
        <w:rPr/>
        <w:t>The average striking velocity was 2,469 fps (753 m/s) and the average depth of</w:t>
      </w:r>
      <w:r>
        <w:rPr>
          <w:spacing w:val="1"/>
        </w:rPr>
        <w:t> </w:t>
      </w:r>
      <w:r>
        <w:rPr/>
        <w:t>penetration for partial penetration results was 6.1300-inches.</w:t>
      </w:r>
      <w:r>
        <w:rPr>
          <w:spacing w:val="1"/>
        </w:rPr>
        <w:t> </w:t>
      </w:r>
      <w:r>
        <w:rPr/>
        <w:t>The residual velocities for</w:t>
      </w:r>
      <w:r>
        <w:rPr>
          <w:spacing w:val="1"/>
        </w:rPr>
        <w:t> </w:t>
      </w:r>
      <w:r>
        <w:rPr/>
        <w:t>the two complete penetrations were 301 fps (92 m/s) and 327 fps (100 m/s). Test data can</w:t>
      </w:r>
      <w:r>
        <w:rPr>
          <w:spacing w:val="-57"/>
        </w:rPr>
        <w:t> </w:t>
      </w:r>
      <w:r>
        <w:rPr/>
        <w:t>be found in </w:t>
      </w:r>
      <w:hyperlink w:history="true" w:anchor="_bookmark159">
        <w:r>
          <w:rPr/>
          <w:t>Table 7-9</w:t>
        </w:r>
      </w:hyperlink>
      <w:r>
        <w:rPr/>
        <w:t>.</w:t>
      </w:r>
      <w:r>
        <w:rPr>
          <w:spacing w:val="1"/>
        </w:rPr>
        <w:t> </w:t>
      </w:r>
      <w:r>
        <w:rPr/>
        <w:t>Despite not being a complete penetration, in shot 5 of the test</w:t>
      </w:r>
      <w:r>
        <w:rPr>
          <w:spacing w:val="1"/>
        </w:rPr>
        <w:t> </w:t>
      </w:r>
      <w:r>
        <w:rPr/>
        <w:t>specimen in </w:t>
      </w:r>
      <w:hyperlink w:history="true" w:anchor="_bookmark158">
        <w:r>
          <w:rPr/>
          <w:t>Figure 7-30 </w:t>
        </w:r>
      </w:hyperlink>
      <w:r>
        <w:rPr/>
        <w:t>there was visible back face damage in the form of splintering of</w:t>
      </w:r>
      <w:r>
        <w:rPr>
          <w:spacing w:val="1"/>
        </w:rPr>
        <w:t> </w:t>
      </w:r>
      <w:r>
        <w:rPr/>
        <w:t>the wood, which is effectively petaling of the wood material. The projectile could be seen</w:t>
      </w:r>
      <w:r>
        <w:rPr>
          <w:spacing w:val="-57"/>
        </w:rPr>
        <w:t> </w:t>
      </w:r>
      <w:r>
        <w:rPr/>
        <w:t>within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splintered</w:t>
      </w:r>
      <w:r>
        <w:rPr>
          <w:spacing w:val="-1"/>
        </w:rPr>
        <w:t> </w:t>
      </w:r>
      <w:r>
        <w:rPr/>
        <w:t>wood</w:t>
      </w:r>
      <w:r>
        <w:rPr>
          <w:spacing w:val="-1"/>
        </w:rPr>
        <w:t> </w:t>
      </w:r>
      <w:r>
        <w:rPr/>
        <w:t>but</w:t>
      </w:r>
      <w:r>
        <w:rPr>
          <w:spacing w:val="-1"/>
        </w:rPr>
        <w:t> </w:t>
      </w:r>
      <w:r>
        <w:rPr/>
        <w:t>did</w:t>
      </w:r>
      <w:r>
        <w:rPr>
          <w:spacing w:val="-1"/>
        </w:rPr>
        <w:t> </w:t>
      </w:r>
      <w:r>
        <w:rPr/>
        <w:t>not</w:t>
      </w:r>
      <w:r>
        <w:rPr>
          <w:spacing w:val="-1"/>
        </w:rPr>
        <w:t> </w:t>
      </w:r>
      <w:r>
        <w:rPr/>
        <w:t>have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energy to</w:t>
      </w:r>
      <w:r>
        <w:rPr>
          <w:spacing w:val="-1"/>
        </w:rPr>
        <w:t> </w:t>
      </w:r>
      <w:r>
        <w:rPr/>
        <w:t>exit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damaged</w:t>
      </w:r>
      <w:r>
        <w:rPr>
          <w:spacing w:val="-1"/>
        </w:rPr>
        <w:t> </w:t>
      </w:r>
      <w:r>
        <w:rPr/>
        <w:t>specimen.</w:t>
      </w:r>
    </w:p>
    <w:p>
      <w:pPr>
        <w:pStyle w:val="BodyText"/>
        <w:spacing w:line="480" w:lineRule="auto" w:before="200"/>
        <w:ind w:left="439" w:right="417" w:firstLine="720"/>
        <w:jc w:val="both"/>
      </w:pPr>
      <w:r>
        <w:rPr/>
        <w:t>The</w:t>
      </w:r>
      <w:r>
        <w:rPr>
          <w:spacing w:val="-8"/>
        </w:rPr>
        <w:t> </w:t>
      </w:r>
      <w:r>
        <w:rPr/>
        <w:t>two</w:t>
      </w:r>
      <w:r>
        <w:rPr>
          <w:spacing w:val="-8"/>
        </w:rPr>
        <w:t> </w:t>
      </w:r>
      <w:r>
        <w:rPr/>
        <w:t>shots</w:t>
      </w:r>
      <w:r>
        <w:rPr>
          <w:spacing w:val="-8"/>
        </w:rPr>
        <w:t> </w:t>
      </w:r>
      <w:r>
        <w:rPr/>
        <w:t>that</w:t>
      </w:r>
      <w:r>
        <w:rPr>
          <w:spacing w:val="-7"/>
        </w:rPr>
        <w:t> </w:t>
      </w:r>
      <w:r>
        <w:rPr/>
        <w:t>resulted</w:t>
      </w:r>
      <w:r>
        <w:rPr>
          <w:spacing w:val="-8"/>
        </w:rPr>
        <w:t> </w:t>
      </w:r>
      <w:r>
        <w:rPr/>
        <w:t>in</w:t>
      </w:r>
      <w:r>
        <w:rPr>
          <w:spacing w:val="-7"/>
        </w:rPr>
        <w:t> </w:t>
      </w:r>
      <w:r>
        <w:rPr/>
        <w:t>complete</w:t>
      </w:r>
      <w:r>
        <w:rPr>
          <w:spacing w:val="-8"/>
        </w:rPr>
        <w:t> </w:t>
      </w:r>
      <w:r>
        <w:rPr/>
        <w:t>penetrations</w:t>
      </w:r>
      <w:r>
        <w:rPr>
          <w:spacing w:val="-7"/>
        </w:rPr>
        <w:t> </w:t>
      </w:r>
      <w:r>
        <w:rPr/>
        <w:t>were</w:t>
      </w:r>
      <w:r>
        <w:rPr>
          <w:spacing w:val="-7"/>
        </w:rPr>
        <w:t> </w:t>
      </w:r>
      <w:r>
        <w:rPr/>
        <w:t>in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same</w:t>
      </w:r>
      <w:r>
        <w:rPr>
          <w:spacing w:val="-8"/>
        </w:rPr>
        <w:t> </w:t>
      </w:r>
      <w:r>
        <w:rPr/>
        <w:t>specimen,</w:t>
      </w:r>
      <w:r>
        <w:rPr>
          <w:spacing w:val="-6"/>
        </w:rPr>
        <w:t> </w:t>
      </w:r>
      <w:r>
        <w:rPr/>
        <w:t>E-</w:t>
      </w:r>
      <w:r>
        <w:rPr>
          <w:spacing w:val="-58"/>
        </w:rPr>
        <w:t> </w:t>
      </w:r>
      <w:r>
        <w:rPr/>
        <w:t>FF4-2, and one occurred with the fastest velocity that block experienced, 2,492 fps (760</w:t>
      </w:r>
      <w:r>
        <w:rPr>
          <w:spacing w:val="1"/>
        </w:rPr>
        <w:t> </w:t>
      </w:r>
      <w:r>
        <w:rPr/>
        <w:t>m/s).</w:t>
      </w:r>
      <w:r>
        <w:rPr>
          <w:spacing w:val="1"/>
        </w:rPr>
        <w:t> </w:t>
      </w:r>
      <w:r>
        <w:rPr/>
        <w:t>However, the second complete penetration shot in that specimen was the slowest</w:t>
      </w:r>
      <w:r>
        <w:rPr>
          <w:spacing w:val="1"/>
        </w:rPr>
        <w:t> </w:t>
      </w:r>
      <w:r>
        <w:rPr/>
        <w:t>striking velocity for that specimen at 2,462 fps (750 m/s).</w:t>
      </w:r>
      <w:r>
        <w:rPr>
          <w:spacing w:val="1"/>
        </w:rPr>
        <w:t> </w:t>
      </w:r>
      <w:r>
        <w:rPr/>
        <w:t>The other test specimen with</w:t>
      </w:r>
      <w:r>
        <w:rPr>
          <w:spacing w:val="1"/>
        </w:rPr>
        <w:t> </w:t>
      </w:r>
      <w:r>
        <w:rPr/>
        <w:t>the same enhancing layer composition experienced multiple shots at higher velocities but</w:t>
      </w:r>
      <w:r>
        <w:rPr>
          <w:spacing w:val="1"/>
        </w:rPr>
        <w:t> </w:t>
      </w:r>
      <w:r>
        <w:rPr/>
        <w:t>only</w:t>
      </w:r>
      <w:r>
        <w:rPr>
          <w:spacing w:val="-1"/>
        </w:rPr>
        <w:t> </w:t>
      </w:r>
      <w:r>
        <w:rPr/>
        <w:t>had partial penetrations.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spacing w:line="240" w:lineRule="auto"/>
        <w:ind w:left="88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377165" cy="2305907"/>
            <wp:effectExtent l="0" t="0" r="0" b="0"/>
            <wp:docPr id="225" name="image40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402.jpeg"/>
                    <pic:cNvPicPr/>
                  </pic:nvPicPr>
                  <pic:blipFill>
                    <a:blip r:embed="rId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7165" cy="230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pacing w:val="107"/>
          <w:sz w:val="20"/>
        </w:rPr>
        <w:t> </w:t>
      </w:r>
      <w:r>
        <w:rPr>
          <w:spacing w:val="107"/>
          <w:sz w:val="20"/>
        </w:rPr>
        <w:drawing>
          <wp:inline distT="0" distB="0" distL="0" distR="0">
            <wp:extent cx="2403051" cy="2301811"/>
            <wp:effectExtent l="0" t="0" r="0" b="0"/>
            <wp:docPr id="227" name="image40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403.jpeg"/>
                    <pic:cNvPicPr/>
                  </pic:nvPicPr>
                  <pic:blipFill>
                    <a:blip r:embed="rId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3051" cy="2301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07"/>
          <w:sz w:val="20"/>
        </w:rPr>
      </w:r>
    </w:p>
    <w:p>
      <w:pPr>
        <w:pStyle w:val="BodyText"/>
        <w:spacing w:before="5"/>
        <w:rPr>
          <w:sz w:val="12"/>
        </w:rPr>
      </w:pPr>
    </w:p>
    <w:p>
      <w:pPr>
        <w:spacing w:before="90"/>
        <w:ind w:left="440" w:right="403" w:firstLine="0"/>
        <w:jc w:val="left"/>
        <w:rPr>
          <w:i/>
          <w:sz w:val="24"/>
        </w:rPr>
      </w:pPr>
      <w:bookmarkStart w:name="_bookmark158" w:id="479"/>
      <w:bookmarkEnd w:id="479"/>
      <w:r>
        <w:rPr/>
      </w:r>
      <w:r>
        <w:rPr>
          <w:i/>
          <w:sz w:val="24"/>
        </w:rPr>
        <w:t>Figure</w:t>
      </w:r>
      <w:r>
        <w:rPr>
          <w:i/>
          <w:spacing w:val="34"/>
          <w:sz w:val="24"/>
        </w:rPr>
        <w:t> </w:t>
      </w:r>
      <w:r>
        <w:rPr>
          <w:i/>
          <w:sz w:val="24"/>
        </w:rPr>
        <w:t>7-30.</w:t>
      </w:r>
      <w:r>
        <w:rPr>
          <w:i/>
          <w:spacing w:val="35"/>
          <w:sz w:val="24"/>
        </w:rPr>
        <w:t> </w:t>
      </w:r>
      <w:r>
        <w:rPr>
          <w:i/>
          <w:sz w:val="24"/>
        </w:rPr>
        <w:t>Consolidated</w:t>
      </w:r>
      <w:r>
        <w:rPr>
          <w:i/>
          <w:spacing w:val="34"/>
          <w:sz w:val="24"/>
        </w:rPr>
        <w:t> </w:t>
      </w:r>
      <w:r>
        <w:rPr>
          <w:i/>
          <w:sz w:val="24"/>
        </w:rPr>
        <w:t>fiberglass</w:t>
      </w:r>
      <w:r>
        <w:rPr>
          <w:i/>
          <w:spacing w:val="35"/>
          <w:sz w:val="24"/>
        </w:rPr>
        <w:t> </w:t>
      </w:r>
      <w:r>
        <w:rPr>
          <w:i/>
          <w:sz w:val="24"/>
        </w:rPr>
        <w:t>fabric</w:t>
      </w:r>
      <w:r>
        <w:rPr>
          <w:i/>
          <w:spacing w:val="35"/>
          <w:sz w:val="24"/>
        </w:rPr>
        <w:t> </w:t>
      </w:r>
      <w:r>
        <w:rPr>
          <w:i/>
          <w:sz w:val="24"/>
        </w:rPr>
        <w:t>ECLT</w:t>
      </w:r>
      <w:r>
        <w:rPr>
          <w:i/>
          <w:spacing w:val="33"/>
          <w:sz w:val="24"/>
        </w:rPr>
        <w:t> </w:t>
      </w:r>
      <w:r>
        <w:rPr>
          <w:i/>
          <w:sz w:val="24"/>
        </w:rPr>
        <w:t>(left)</w:t>
      </w:r>
      <w:r>
        <w:rPr>
          <w:i/>
          <w:spacing w:val="33"/>
          <w:sz w:val="24"/>
        </w:rPr>
        <w:t> </w:t>
      </w:r>
      <w:r>
        <w:rPr>
          <w:i/>
          <w:sz w:val="24"/>
        </w:rPr>
        <w:t>impact</w:t>
      </w:r>
      <w:r>
        <w:rPr>
          <w:i/>
          <w:spacing w:val="35"/>
          <w:sz w:val="24"/>
        </w:rPr>
        <w:t> </w:t>
      </w:r>
      <w:r>
        <w:rPr>
          <w:i/>
          <w:sz w:val="24"/>
        </w:rPr>
        <w:t>face,</w:t>
      </w:r>
      <w:r>
        <w:rPr>
          <w:i/>
          <w:spacing w:val="34"/>
          <w:sz w:val="24"/>
        </w:rPr>
        <w:t> </w:t>
      </w:r>
      <w:r>
        <w:rPr>
          <w:i/>
          <w:sz w:val="24"/>
        </w:rPr>
        <w:t>(right)</w:t>
      </w:r>
      <w:r>
        <w:rPr>
          <w:i/>
          <w:spacing w:val="33"/>
          <w:sz w:val="24"/>
        </w:rPr>
        <w:t> </w:t>
      </w:r>
      <w:r>
        <w:rPr>
          <w:i/>
          <w:sz w:val="24"/>
        </w:rPr>
        <w:t>back</w:t>
      </w:r>
      <w:r>
        <w:rPr>
          <w:i/>
          <w:spacing w:val="34"/>
          <w:sz w:val="24"/>
        </w:rPr>
        <w:t> </w:t>
      </w:r>
      <w:r>
        <w:rPr>
          <w:i/>
          <w:sz w:val="24"/>
        </w:rPr>
        <w:t>face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shows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damage.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spacing w:before="230"/>
        <w:ind w:left="20" w:right="0" w:firstLine="0"/>
        <w:jc w:val="center"/>
        <w:rPr>
          <w:i/>
          <w:sz w:val="24"/>
        </w:rPr>
      </w:pPr>
      <w:bookmarkStart w:name="_bookmark159" w:id="480"/>
      <w:bookmarkEnd w:id="480"/>
      <w:r>
        <w:rPr/>
      </w:r>
      <w:r>
        <w:rPr>
          <w:i/>
          <w:sz w:val="24"/>
        </w:rPr>
        <w:t>Table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7-9.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Results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consolidated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4-ply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fiberglass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fabric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ECLT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testing.</w:t>
      </w:r>
    </w:p>
    <w:p>
      <w:pPr>
        <w:pStyle w:val="BodyText"/>
        <w:spacing w:before="6"/>
        <w:rPr>
          <w:i/>
          <w:sz w:val="17"/>
        </w:rPr>
      </w:pPr>
    </w:p>
    <w:tbl>
      <w:tblPr>
        <w:tblW w:w="0" w:type="auto"/>
        <w:jc w:val="left"/>
        <w:tblInd w:w="63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61"/>
        <w:gridCol w:w="973"/>
        <w:gridCol w:w="974"/>
        <w:gridCol w:w="960"/>
        <w:gridCol w:w="960"/>
        <w:gridCol w:w="1524"/>
        <w:gridCol w:w="1218"/>
      </w:tblGrid>
      <w:tr>
        <w:trPr>
          <w:trHeight w:val="1400" w:hRule="atLeast"/>
        </w:trPr>
        <w:tc>
          <w:tcPr>
            <w:tcW w:w="1661" w:type="dxa"/>
            <w:shd w:val="clear" w:color="auto" w:fill="DADAD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8"/>
              <w:rPr>
                <w:i/>
                <w:sz w:val="25"/>
              </w:rPr>
            </w:pPr>
          </w:p>
          <w:p>
            <w:pPr>
              <w:pStyle w:val="TableParagraph"/>
              <w:ind w:left="147" w:right="130"/>
              <w:jc w:val="center"/>
              <w:rPr>
                <w:sz w:val="22"/>
              </w:rPr>
            </w:pPr>
            <w:r>
              <w:rPr>
                <w:sz w:val="22"/>
              </w:rPr>
              <w:t>Specimen/Shot</w:t>
            </w:r>
          </w:p>
        </w:tc>
        <w:tc>
          <w:tcPr>
            <w:tcW w:w="973" w:type="dxa"/>
            <w:shd w:val="clear" w:color="auto" w:fill="DADADA"/>
          </w:tcPr>
          <w:p>
            <w:pPr>
              <w:pStyle w:val="TableParagraph"/>
              <w:spacing w:before="8"/>
              <w:rPr>
                <w:i/>
                <w:sz w:val="27"/>
              </w:rPr>
            </w:pPr>
          </w:p>
          <w:p>
            <w:pPr>
              <w:pStyle w:val="TableParagraph"/>
              <w:ind w:left="111" w:right="90" w:hanging="2"/>
              <w:jc w:val="center"/>
              <w:rPr>
                <w:sz w:val="22"/>
              </w:rPr>
            </w:pPr>
            <w:r>
              <w:rPr>
                <w:sz w:val="22"/>
              </w:rPr>
              <w:t>v</w:t>
            </w:r>
            <w:r>
              <w:rPr>
                <w:sz w:val="22"/>
                <w:vertAlign w:val="subscript"/>
              </w:rPr>
              <w:t>s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(chrono)</w:t>
            </w:r>
            <w:r>
              <w:rPr>
                <w:spacing w:val="-52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(fps)</w:t>
            </w:r>
          </w:p>
        </w:tc>
        <w:tc>
          <w:tcPr>
            <w:tcW w:w="974" w:type="dxa"/>
            <w:shd w:val="clear" w:color="auto" w:fill="DADADA"/>
          </w:tcPr>
          <w:p>
            <w:pPr>
              <w:pStyle w:val="TableParagraph"/>
              <w:spacing w:before="8"/>
              <w:rPr>
                <w:i/>
                <w:sz w:val="27"/>
              </w:rPr>
            </w:pPr>
          </w:p>
          <w:p>
            <w:pPr>
              <w:pStyle w:val="TableParagraph"/>
              <w:ind w:left="112" w:right="90" w:hanging="2"/>
              <w:jc w:val="center"/>
              <w:rPr>
                <w:sz w:val="22"/>
              </w:rPr>
            </w:pPr>
            <w:r>
              <w:rPr>
                <w:sz w:val="22"/>
              </w:rPr>
              <w:t>v</w:t>
            </w:r>
            <w:r>
              <w:rPr>
                <w:sz w:val="22"/>
                <w:vertAlign w:val="subscript"/>
              </w:rPr>
              <w:t>s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(chrono)</w:t>
            </w:r>
            <w:r>
              <w:rPr>
                <w:spacing w:val="-52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(m/s)</w:t>
            </w:r>
          </w:p>
        </w:tc>
        <w:tc>
          <w:tcPr>
            <w:tcW w:w="960" w:type="dxa"/>
            <w:shd w:val="clear" w:color="auto" w:fill="DADADA"/>
          </w:tcPr>
          <w:p>
            <w:pPr>
              <w:pStyle w:val="TableParagraph"/>
              <w:spacing w:before="8"/>
              <w:rPr>
                <w:i/>
                <w:sz w:val="27"/>
              </w:rPr>
            </w:pPr>
          </w:p>
          <w:p>
            <w:pPr>
              <w:pStyle w:val="TableParagraph"/>
              <w:ind w:left="198" w:right="176" w:firstLine="21"/>
              <w:jc w:val="both"/>
              <w:rPr>
                <w:sz w:val="22"/>
              </w:rPr>
            </w:pPr>
            <w:r>
              <w:rPr>
                <w:sz w:val="22"/>
              </w:rPr>
              <w:t>v</w:t>
            </w:r>
            <w:r>
              <w:rPr>
                <w:sz w:val="22"/>
                <w:vertAlign w:val="subscript"/>
              </w:rPr>
              <w:t>r</w:t>
            </w:r>
            <w:r>
              <w:rPr>
                <w:sz w:val="22"/>
                <w:vertAlign w:val="baseline"/>
              </w:rPr>
              <w:t> (hi-</w:t>
            </w:r>
            <w:r>
              <w:rPr>
                <w:spacing w:val="-52"/>
                <w:sz w:val="22"/>
                <w:vertAlign w:val="baseline"/>
              </w:rPr>
              <w:t> </w:t>
            </w:r>
            <w:r>
              <w:rPr>
                <w:spacing w:val="-1"/>
                <w:sz w:val="22"/>
                <w:vertAlign w:val="baseline"/>
              </w:rPr>
              <w:t>speed)</w:t>
            </w:r>
            <w:r>
              <w:rPr>
                <w:spacing w:val="-53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(fps)</w:t>
            </w:r>
          </w:p>
        </w:tc>
        <w:tc>
          <w:tcPr>
            <w:tcW w:w="960" w:type="dxa"/>
            <w:shd w:val="clear" w:color="auto" w:fill="DADADA"/>
          </w:tcPr>
          <w:p>
            <w:pPr>
              <w:pStyle w:val="TableParagraph"/>
              <w:spacing w:before="8"/>
              <w:rPr>
                <w:i/>
                <w:sz w:val="27"/>
              </w:rPr>
            </w:pPr>
          </w:p>
          <w:p>
            <w:pPr>
              <w:pStyle w:val="TableParagraph"/>
              <w:ind w:left="198" w:right="176" w:firstLine="21"/>
              <w:jc w:val="both"/>
              <w:rPr>
                <w:sz w:val="22"/>
              </w:rPr>
            </w:pPr>
            <w:r>
              <w:rPr>
                <w:sz w:val="22"/>
              </w:rPr>
              <w:t>v</w:t>
            </w:r>
            <w:r>
              <w:rPr>
                <w:sz w:val="22"/>
                <w:vertAlign w:val="subscript"/>
              </w:rPr>
              <w:t>r</w:t>
            </w:r>
            <w:r>
              <w:rPr>
                <w:sz w:val="22"/>
                <w:vertAlign w:val="baseline"/>
              </w:rPr>
              <w:t> (hi-</w:t>
            </w:r>
            <w:r>
              <w:rPr>
                <w:spacing w:val="-52"/>
                <w:sz w:val="22"/>
                <w:vertAlign w:val="baseline"/>
              </w:rPr>
              <w:t> </w:t>
            </w:r>
            <w:r>
              <w:rPr>
                <w:spacing w:val="-1"/>
                <w:sz w:val="22"/>
                <w:vertAlign w:val="baseline"/>
              </w:rPr>
              <w:t>speed)</w:t>
            </w:r>
            <w:r>
              <w:rPr>
                <w:spacing w:val="-53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(m/s)</w:t>
            </w:r>
          </w:p>
        </w:tc>
        <w:tc>
          <w:tcPr>
            <w:tcW w:w="1524" w:type="dxa"/>
            <w:shd w:val="clear" w:color="auto" w:fill="DADADA"/>
          </w:tcPr>
          <w:p>
            <w:pPr>
              <w:pStyle w:val="TableParagraph"/>
              <w:spacing w:before="65"/>
              <w:ind w:left="108" w:right="88"/>
              <w:jc w:val="center"/>
              <w:rPr>
                <w:sz w:val="22"/>
              </w:rPr>
            </w:pPr>
            <w:r>
              <w:rPr>
                <w:sz w:val="22"/>
              </w:rPr>
              <w:t>Partial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Penetration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1"/>
                <w:sz w:val="22"/>
              </w:rPr>
              <w:t>(PP)/Complete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Penetration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(CP)</w:t>
            </w:r>
          </w:p>
        </w:tc>
        <w:tc>
          <w:tcPr>
            <w:tcW w:w="1218" w:type="dxa"/>
            <w:shd w:val="clear" w:color="auto" w:fill="DADADA"/>
          </w:tcPr>
          <w:p>
            <w:pPr>
              <w:pStyle w:val="TableParagraph"/>
              <w:spacing w:before="193"/>
              <w:ind w:left="112" w:right="91" w:hanging="2"/>
              <w:jc w:val="center"/>
              <w:rPr>
                <w:sz w:val="22"/>
              </w:rPr>
            </w:pPr>
            <w:r>
              <w:rPr>
                <w:sz w:val="22"/>
              </w:rPr>
              <w:t>Measured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Depth 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Penetration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(T</w:t>
            </w:r>
            <w:r>
              <w:rPr>
                <w:sz w:val="22"/>
                <w:vertAlign w:val="subscript"/>
              </w:rPr>
              <w:t>w</w:t>
            </w:r>
            <w:r>
              <w:rPr>
                <w:sz w:val="22"/>
                <w:vertAlign w:val="baseline"/>
              </w:rPr>
              <w:t>)</w:t>
            </w:r>
          </w:p>
        </w:tc>
      </w:tr>
      <w:tr>
        <w:trPr>
          <w:trHeight w:val="289" w:hRule="atLeast"/>
        </w:trPr>
        <w:tc>
          <w:tcPr>
            <w:tcW w:w="1661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164" w:right="76"/>
              <w:jc w:val="center"/>
              <w:rPr>
                <w:sz w:val="22"/>
              </w:rPr>
            </w:pPr>
            <w:r>
              <w:rPr>
                <w:sz w:val="22"/>
              </w:rPr>
              <w:t>E-FF4-1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1</w:t>
            </w:r>
          </w:p>
        </w:tc>
        <w:tc>
          <w:tcPr>
            <w:tcW w:w="973" w:type="dxa"/>
          </w:tcPr>
          <w:p>
            <w:pPr>
              <w:pStyle w:val="TableParagraph"/>
              <w:spacing w:line="234" w:lineRule="exact" w:before="35"/>
              <w:ind w:left="219" w:right="202"/>
              <w:jc w:val="center"/>
              <w:rPr>
                <w:sz w:val="22"/>
              </w:rPr>
            </w:pPr>
            <w:r>
              <w:rPr>
                <w:sz w:val="22"/>
              </w:rPr>
              <w:t>2,498</w:t>
            </w:r>
          </w:p>
        </w:tc>
        <w:tc>
          <w:tcPr>
            <w:tcW w:w="974" w:type="dxa"/>
          </w:tcPr>
          <w:p>
            <w:pPr>
              <w:pStyle w:val="TableParagraph"/>
              <w:spacing w:line="234" w:lineRule="exact" w:before="35"/>
              <w:ind w:left="223" w:right="204"/>
              <w:jc w:val="center"/>
              <w:rPr>
                <w:sz w:val="22"/>
              </w:rPr>
            </w:pPr>
            <w:r>
              <w:rPr>
                <w:sz w:val="22"/>
              </w:rPr>
              <w:t>761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1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1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1524" w:type="dxa"/>
          </w:tcPr>
          <w:p>
            <w:pPr>
              <w:pStyle w:val="TableParagraph"/>
              <w:spacing w:line="234" w:lineRule="exact" w:before="35"/>
              <w:ind w:left="108" w:right="89"/>
              <w:jc w:val="center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218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291" w:right="266"/>
              <w:jc w:val="center"/>
              <w:rPr>
                <w:sz w:val="22"/>
              </w:rPr>
            </w:pPr>
            <w:r>
              <w:rPr>
                <w:sz w:val="22"/>
              </w:rPr>
              <w:t>6.1875</w:t>
            </w:r>
          </w:p>
        </w:tc>
      </w:tr>
      <w:tr>
        <w:trPr>
          <w:trHeight w:val="290" w:hRule="atLeast"/>
        </w:trPr>
        <w:tc>
          <w:tcPr>
            <w:tcW w:w="1661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164" w:right="76"/>
              <w:jc w:val="center"/>
              <w:rPr>
                <w:sz w:val="22"/>
              </w:rPr>
            </w:pPr>
            <w:r>
              <w:rPr>
                <w:sz w:val="22"/>
              </w:rPr>
              <w:t>E-FF4-1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2</w:t>
            </w:r>
          </w:p>
        </w:tc>
        <w:tc>
          <w:tcPr>
            <w:tcW w:w="973" w:type="dxa"/>
          </w:tcPr>
          <w:p>
            <w:pPr>
              <w:pStyle w:val="TableParagraph"/>
              <w:spacing w:line="234" w:lineRule="exact" w:before="35"/>
              <w:ind w:left="219" w:right="202"/>
              <w:jc w:val="center"/>
              <w:rPr>
                <w:sz w:val="22"/>
              </w:rPr>
            </w:pPr>
            <w:r>
              <w:rPr>
                <w:sz w:val="22"/>
              </w:rPr>
              <w:t>2,547</w:t>
            </w:r>
          </w:p>
        </w:tc>
        <w:tc>
          <w:tcPr>
            <w:tcW w:w="974" w:type="dxa"/>
          </w:tcPr>
          <w:p>
            <w:pPr>
              <w:pStyle w:val="TableParagraph"/>
              <w:spacing w:line="234" w:lineRule="exact" w:before="35"/>
              <w:ind w:left="223" w:right="204"/>
              <w:jc w:val="center"/>
              <w:rPr>
                <w:sz w:val="22"/>
              </w:rPr>
            </w:pPr>
            <w:r>
              <w:rPr>
                <w:sz w:val="22"/>
              </w:rPr>
              <w:t>776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1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1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1524" w:type="dxa"/>
          </w:tcPr>
          <w:p>
            <w:pPr>
              <w:pStyle w:val="TableParagraph"/>
              <w:spacing w:line="234" w:lineRule="exact" w:before="35"/>
              <w:ind w:left="108" w:right="89"/>
              <w:jc w:val="center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218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290" w:right="266"/>
              <w:jc w:val="center"/>
              <w:rPr>
                <w:sz w:val="22"/>
              </w:rPr>
            </w:pPr>
            <w:r>
              <w:rPr>
                <w:sz w:val="22"/>
              </w:rPr>
              <w:t>6.3750</w:t>
            </w:r>
          </w:p>
        </w:tc>
      </w:tr>
      <w:tr>
        <w:trPr>
          <w:trHeight w:val="290" w:hRule="atLeast"/>
        </w:trPr>
        <w:tc>
          <w:tcPr>
            <w:tcW w:w="1661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164" w:right="76"/>
              <w:jc w:val="center"/>
              <w:rPr>
                <w:sz w:val="22"/>
              </w:rPr>
            </w:pPr>
            <w:r>
              <w:rPr>
                <w:sz w:val="22"/>
              </w:rPr>
              <w:t>E-FF4-1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3</w:t>
            </w:r>
          </w:p>
        </w:tc>
        <w:tc>
          <w:tcPr>
            <w:tcW w:w="973" w:type="dxa"/>
          </w:tcPr>
          <w:p>
            <w:pPr>
              <w:pStyle w:val="TableParagraph"/>
              <w:spacing w:line="234" w:lineRule="exact" w:before="35"/>
              <w:ind w:left="219" w:right="202"/>
              <w:jc w:val="center"/>
              <w:rPr>
                <w:sz w:val="22"/>
              </w:rPr>
            </w:pPr>
            <w:r>
              <w:rPr>
                <w:sz w:val="22"/>
              </w:rPr>
              <w:t>2,390</w:t>
            </w:r>
          </w:p>
        </w:tc>
        <w:tc>
          <w:tcPr>
            <w:tcW w:w="974" w:type="dxa"/>
          </w:tcPr>
          <w:p>
            <w:pPr>
              <w:pStyle w:val="TableParagraph"/>
              <w:spacing w:line="234" w:lineRule="exact" w:before="35"/>
              <w:ind w:left="223" w:right="204"/>
              <w:jc w:val="center"/>
              <w:rPr>
                <w:sz w:val="22"/>
              </w:rPr>
            </w:pPr>
            <w:r>
              <w:rPr>
                <w:sz w:val="22"/>
              </w:rPr>
              <w:t>728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1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1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1524" w:type="dxa"/>
          </w:tcPr>
          <w:p>
            <w:pPr>
              <w:pStyle w:val="TableParagraph"/>
              <w:spacing w:line="234" w:lineRule="exact" w:before="35"/>
              <w:ind w:left="108" w:right="89"/>
              <w:jc w:val="center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218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291" w:right="266"/>
              <w:jc w:val="center"/>
              <w:rPr>
                <w:sz w:val="22"/>
              </w:rPr>
            </w:pPr>
            <w:r>
              <w:rPr>
                <w:sz w:val="22"/>
              </w:rPr>
              <w:t>5.7500</w:t>
            </w:r>
          </w:p>
        </w:tc>
      </w:tr>
      <w:tr>
        <w:trPr>
          <w:trHeight w:val="289" w:hRule="atLeast"/>
        </w:trPr>
        <w:tc>
          <w:tcPr>
            <w:tcW w:w="1661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164" w:right="76"/>
              <w:jc w:val="center"/>
              <w:rPr>
                <w:sz w:val="22"/>
              </w:rPr>
            </w:pPr>
            <w:r>
              <w:rPr>
                <w:sz w:val="22"/>
              </w:rPr>
              <w:t>E-FF4-1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4</w:t>
            </w:r>
          </w:p>
        </w:tc>
        <w:tc>
          <w:tcPr>
            <w:tcW w:w="973" w:type="dxa"/>
          </w:tcPr>
          <w:p>
            <w:pPr>
              <w:pStyle w:val="TableParagraph"/>
              <w:spacing w:line="234" w:lineRule="exact" w:before="35"/>
              <w:ind w:left="219" w:right="202"/>
              <w:jc w:val="center"/>
              <w:rPr>
                <w:sz w:val="22"/>
              </w:rPr>
            </w:pPr>
            <w:r>
              <w:rPr>
                <w:sz w:val="22"/>
              </w:rPr>
              <w:t>2,449</w:t>
            </w:r>
          </w:p>
        </w:tc>
        <w:tc>
          <w:tcPr>
            <w:tcW w:w="974" w:type="dxa"/>
          </w:tcPr>
          <w:p>
            <w:pPr>
              <w:pStyle w:val="TableParagraph"/>
              <w:spacing w:line="234" w:lineRule="exact" w:before="35"/>
              <w:ind w:left="223" w:right="204"/>
              <w:jc w:val="center"/>
              <w:rPr>
                <w:sz w:val="22"/>
              </w:rPr>
            </w:pPr>
            <w:r>
              <w:rPr>
                <w:sz w:val="22"/>
              </w:rPr>
              <w:t>746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1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1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1524" w:type="dxa"/>
          </w:tcPr>
          <w:p>
            <w:pPr>
              <w:pStyle w:val="TableParagraph"/>
              <w:spacing w:line="234" w:lineRule="exact" w:before="35"/>
              <w:ind w:left="108" w:right="89"/>
              <w:jc w:val="center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218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291" w:right="266"/>
              <w:jc w:val="center"/>
              <w:rPr>
                <w:sz w:val="22"/>
              </w:rPr>
            </w:pPr>
            <w:r>
              <w:rPr>
                <w:sz w:val="22"/>
              </w:rPr>
              <w:t>5.4375</w:t>
            </w:r>
          </w:p>
        </w:tc>
      </w:tr>
      <w:tr>
        <w:trPr>
          <w:trHeight w:val="299" w:hRule="atLeast"/>
        </w:trPr>
        <w:tc>
          <w:tcPr>
            <w:tcW w:w="1661" w:type="dxa"/>
            <w:tcBorders>
              <w:left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34" w:lineRule="exact" w:before="45"/>
              <w:ind w:left="164" w:right="76"/>
              <w:jc w:val="center"/>
              <w:rPr>
                <w:sz w:val="22"/>
              </w:rPr>
            </w:pPr>
            <w:r>
              <w:rPr>
                <w:sz w:val="22"/>
              </w:rPr>
              <w:t>E-FF4-1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5</w:t>
            </w:r>
          </w:p>
        </w:tc>
        <w:tc>
          <w:tcPr>
            <w:tcW w:w="973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34" w:lineRule="exact" w:before="45"/>
              <w:ind w:left="219" w:right="202"/>
              <w:jc w:val="center"/>
              <w:rPr>
                <w:sz w:val="22"/>
              </w:rPr>
            </w:pPr>
            <w:r>
              <w:rPr>
                <w:sz w:val="22"/>
              </w:rPr>
              <w:t>2,432</w:t>
            </w:r>
          </w:p>
        </w:tc>
        <w:tc>
          <w:tcPr>
            <w:tcW w:w="974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34" w:lineRule="exact" w:before="45"/>
              <w:ind w:left="223" w:right="204"/>
              <w:jc w:val="center"/>
              <w:rPr>
                <w:sz w:val="22"/>
              </w:rPr>
            </w:pPr>
            <w:r>
              <w:rPr>
                <w:sz w:val="22"/>
              </w:rPr>
              <w:t>741</w:t>
            </w:r>
          </w:p>
        </w:tc>
        <w:tc>
          <w:tcPr>
            <w:tcW w:w="960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34" w:lineRule="exact" w:before="45"/>
              <w:ind w:left="1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960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34" w:lineRule="exact" w:before="45"/>
              <w:ind w:left="1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1524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34" w:lineRule="exact" w:before="45"/>
              <w:ind w:left="108" w:right="89"/>
              <w:jc w:val="center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218" w:type="dxa"/>
            <w:tcBorders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34" w:lineRule="exact" w:before="45"/>
              <w:ind w:left="291" w:right="266"/>
              <w:jc w:val="center"/>
              <w:rPr>
                <w:sz w:val="22"/>
              </w:rPr>
            </w:pPr>
            <w:r>
              <w:rPr>
                <w:sz w:val="22"/>
              </w:rPr>
              <w:t>6.0000</w:t>
            </w:r>
          </w:p>
        </w:tc>
      </w:tr>
      <w:tr>
        <w:trPr>
          <w:trHeight w:val="300" w:hRule="atLeast"/>
        </w:trPr>
        <w:tc>
          <w:tcPr>
            <w:tcW w:w="8270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DAD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289" w:hRule="atLeast"/>
        </w:trPr>
        <w:tc>
          <w:tcPr>
            <w:tcW w:w="1661" w:type="dxa"/>
            <w:tcBorders>
              <w:top w:val="single" w:sz="8" w:space="0" w:color="000000"/>
              <w:lef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164" w:right="76"/>
              <w:jc w:val="center"/>
              <w:rPr>
                <w:sz w:val="22"/>
              </w:rPr>
            </w:pPr>
            <w:r>
              <w:rPr>
                <w:sz w:val="22"/>
              </w:rPr>
              <w:t>E-FF4-2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1</w:t>
            </w:r>
          </w:p>
        </w:tc>
        <w:tc>
          <w:tcPr>
            <w:tcW w:w="973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219" w:right="202"/>
              <w:jc w:val="center"/>
              <w:rPr>
                <w:sz w:val="22"/>
              </w:rPr>
            </w:pPr>
            <w:r>
              <w:rPr>
                <w:sz w:val="22"/>
              </w:rPr>
              <w:t>2,463</w:t>
            </w:r>
          </w:p>
        </w:tc>
        <w:tc>
          <w:tcPr>
            <w:tcW w:w="974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223" w:right="204"/>
              <w:jc w:val="center"/>
              <w:rPr>
                <w:sz w:val="22"/>
              </w:rPr>
            </w:pPr>
            <w:r>
              <w:rPr>
                <w:sz w:val="22"/>
              </w:rPr>
              <w:t>751</w:t>
            </w:r>
          </w:p>
        </w:tc>
        <w:tc>
          <w:tcPr>
            <w:tcW w:w="960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1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960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1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1524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108" w:right="89"/>
              <w:jc w:val="center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218" w:type="dxa"/>
            <w:tcBorders>
              <w:top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291" w:right="266"/>
              <w:jc w:val="center"/>
              <w:rPr>
                <w:sz w:val="22"/>
              </w:rPr>
            </w:pPr>
            <w:r>
              <w:rPr>
                <w:sz w:val="22"/>
              </w:rPr>
              <w:t>6.4375</w:t>
            </w:r>
          </w:p>
        </w:tc>
      </w:tr>
      <w:tr>
        <w:trPr>
          <w:trHeight w:val="290" w:hRule="atLeast"/>
        </w:trPr>
        <w:tc>
          <w:tcPr>
            <w:tcW w:w="1661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164" w:right="76"/>
              <w:jc w:val="center"/>
              <w:rPr>
                <w:sz w:val="22"/>
              </w:rPr>
            </w:pPr>
            <w:r>
              <w:rPr>
                <w:sz w:val="22"/>
              </w:rPr>
              <w:t>E-FF4-2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2</w:t>
            </w:r>
          </w:p>
        </w:tc>
        <w:tc>
          <w:tcPr>
            <w:tcW w:w="973" w:type="dxa"/>
          </w:tcPr>
          <w:p>
            <w:pPr>
              <w:pStyle w:val="TableParagraph"/>
              <w:spacing w:line="234" w:lineRule="exact" w:before="35"/>
              <w:ind w:left="219" w:right="202"/>
              <w:jc w:val="center"/>
              <w:rPr>
                <w:sz w:val="22"/>
              </w:rPr>
            </w:pPr>
            <w:r>
              <w:rPr>
                <w:sz w:val="22"/>
              </w:rPr>
              <w:t>2,462</w:t>
            </w:r>
          </w:p>
        </w:tc>
        <w:tc>
          <w:tcPr>
            <w:tcW w:w="974" w:type="dxa"/>
          </w:tcPr>
          <w:p>
            <w:pPr>
              <w:pStyle w:val="TableParagraph"/>
              <w:spacing w:line="234" w:lineRule="exact" w:before="35"/>
              <w:ind w:left="223" w:right="204"/>
              <w:jc w:val="center"/>
              <w:rPr>
                <w:sz w:val="22"/>
              </w:rPr>
            </w:pPr>
            <w:r>
              <w:rPr>
                <w:sz w:val="22"/>
              </w:rPr>
              <w:t>750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116" w:right="96"/>
              <w:jc w:val="center"/>
              <w:rPr>
                <w:sz w:val="22"/>
              </w:rPr>
            </w:pPr>
            <w:r>
              <w:rPr>
                <w:sz w:val="22"/>
              </w:rPr>
              <w:t>301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116" w:right="96"/>
              <w:jc w:val="center"/>
              <w:rPr>
                <w:sz w:val="22"/>
              </w:rPr>
            </w:pPr>
            <w:r>
              <w:rPr>
                <w:sz w:val="22"/>
              </w:rPr>
              <w:t>92</w:t>
            </w:r>
          </w:p>
        </w:tc>
        <w:tc>
          <w:tcPr>
            <w:tcW w:w="1524" w:type="dxa"/>
          </w:tcPr>
          <w:p>
            <w:pPr>
              <w:pStyle w:val="TableParagraph"/>
              <w:spacing w:line="234" w:lineRule="exact" w:before="35"/>
              <w:ind w:left="108" w:right="89"/>
              <w:jc w:val="center"/>
              <w:rPr>
                <w:sz w:val="22"/>
              </w:rPr>
            </w:pPr>
            <w:r>
              <w:rPr>
                <w:sz w:val="22"/>
              </w:rPr>
              <w:t>CP</w:t>
            </w:r>
          </w:p>
        </w:tc>
        <w:tc>
          <w:tcPr>
            <w:tcW w:w="1218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24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-</w:t>
            </w:r>
          </w:p>
        </w:tc>
      </w:tr>
      <w:tr>
        <w:trPr>
          <w:trHeight w:val="290" w:hRule="atLeast"/>
        </w:trPr>
        <w:tc>
          <w:tcPr>
            <w:tcW w:w="1661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164" w:right="76"/>
              <w:jc w:val="center"/>
              <w:rPr>
                <w:sz w:val="22"/>
              </w:rPr>
            </w:pPr>
            <w:r>
              <w:rPr>
                <w:sz w:val="22"/>
              </w:rPr>
              <w:t>E-FF4-2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3</w:t>
            </w:r>
          </w:p>
        </w:tc>
        <w:tc>
          <w:tcPr>
            <w:tcW w:w="973" w:type="dxa"/>
          </w:tcPr>
          <w:p>
            <w:pPr>
              <w:pStyle w:val="TableParagraph"/>
              <w:spacing w:line="234" w:lineRule="exact" w:before="35"/>
              <w:ind w:left="219" w:right="202"/>
              <w:jc w:val="center"/>
              <w:rPr>
                <w:sz w:val="22"/>
              </w:rPr>
            </w:pPr>
            <w:r>
              <w:rPr>
                <w:sz w:val="22"/>
              </w:rPr>
              <w:t>2,484</w:t>
            </w:r>
          </w:p>
        </w:tc>
        <w:tc>
          <w:tcPr>
            <w:tcW w:w="974" w:type="dxa"/>
          </w:tcPr>
          <w:p>
            <w:pPr>
              <w:pStyle w:val="TableParagraph"/>
              <w:spacing w:line="234" w:lineRule="exact" w:before="35"/>
              <w:ind w:left="223" w:right="204"/>
              <w:jc w:val="center"/>
              <w:rPr>
                <w:sz w:val="22"/>
              </w:rPr>
            </w:pPr>
            <w:r>
              <w:rPr>
                <w:sz w:val="22"/>
              </w:rPr>
              <w:t>757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1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1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1524" w:type="dxa"/>
          </w:tcPr>
          <w:p>
            <w:pPr>
              <w:pStyle w:val="TableParagraph"/>
              <w:spacing w:line="234" w:lineRule="exact" w:before="35"/>
              <w:ind w:left="108" w:right="89"/>
              <w:jc w:val="center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218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291" w:right="266"/>
              <w:jc w:val="center"/>
              <w:rPr>
                <w:sz w:val="22"/>
              </w:rPr>
            </w:pPr>
            <w:r>
              <w:rPr>
                <w:sz w:val="22"/>
              </w:rPr>
              <w:t>6.2500</w:t>
            </w:r>
          </w:p>
        </w:tc>
      </w:tr>
      <w:tr>
        <w:trPr>
          <w:trHeight w:val="289" w:hRule="atLeast"/>
        </w:trPr>
        <w:tc>
          <w:tcPr>
            <w:tcW w:w="1661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164" w:right="76"/>
              <w:jc w:val="center"/>
              <w:rPr>
                <w:sz w:val="22"/>
              </w:rPr>
            </w:pPr>
            <w:r>
              <w:rPr>
                <w:sz w:val="22"/>
              </w:rPr>
              <w:t>E-FF4-2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4</w:t>
            </w:r>
          </w:p>
        </w:tc>
        <w:tc>
          <w:tcPr>
            <w:tcW w:w="973" w:type="dxa"/>
          </w:tcPr>
          <w:p>
            <w:pPr>
              <w:pStyle w:val="TableParagraph"/>
              <w:spacing w:line="234" w:lineRule="exact" w:before="35"/>
              <w:ind w:left="219" w:right="202"/>
              <w:jc w:val="center"/>
              <w:rPr>
                <w:sz w:val="22"/>
              </w:rPr>
            </w:pPr>
            <w:r>
              <w:rPr>
                <w:sz w:val="22"/>
              </w:rPr>
              <w:t>2,492</w:t>
            </w:r>
          </w:p>
        </w:tc>
        <w:tc>
          <w:tcPr>
            <w:tcW w:w="974" w:type="dxa"/>
          </w:tcPr>
          <w:p>
            <w:pPr>
              <w:pStyle w:val="TableParagraph"/>
              <w:spacing w:line="234" w:lineRule="exact" w:before="35"/>
              <w:ind w:left="223" w:right="204"/>
              <w:jc w:val="center"/>
              <w:rPr>
                <w:sz w:val="22"/>
              </w:rPr>
            </w:pPr>
            <w:r>
              <w:rPr>
                <w:sz w:val="22"/>
              </w:rPr>
              <w:t>760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116" w:right="96"/>
              <w:jc w:val="center"/>
              <w:rPr>
                <w:sz w:val="22"/>
              </w:rPr>
            </w:pPr>
            <w:r>
              <w:rPr>
                <w:sz w:val="22"/>
              </w:rPr>
              <w:t>327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116" w:right="96"/>
              <w:jc w:val="center"/>
              <w:rPr>
                <w:sz w:val="22"/>
              </w:rPr>
            </w:pPr>
            <w:r>
              <w:rPr>
                <w:sz w:val="22"/>
              </w:rPr>
              <w:t>100</w:t>
            </w:r>
          </w:p>
        </w:tc>
        <w:tc>
          <w:tcPr>
            <w:tcW w:w="1524" w:type="dxa"/>
          </w:tcPr>
          <w:p>
            <w:pPr>
              <w:pStyle w:val="TableParagraph"/>
              <w:spacing w:line="234" w:lineRule="exact" w:before="35"/>
              <w:ind w:left="108" w:right="89"/>
              <w:jc w:val="center"/>
              <w:rPr>
                <w:sz w:val="22"/>
              </w:rPr>
            </w:pPr>
            <w:r>
              <w:rPr>
                <w:sz w:val="22"/>
              </w:rPr>
              <w:t>CP</w:t>
            </w:r>
          </w:p>
        </w:tc>
        <w:tc>
          <w:tcPr>
            <w:tcW w:w="1218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24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-</w:t>
            </w:r>
          </w:p>
        </w:tc>
      </w:tr>
      <w:tr>
        <w:trPr>
          <w:trHeight w:val="299" w:hRule="atLeast"/>
        </w:trPr>
        <w:tc>
          <w:tcPr>
            <w:tcW w:w="1661" w:type="dxa"/>
            <w:tcBorders>
              <w:left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33" w:lineRule="exact" w:before="46"/>
              <w:ind w:left="164" w:right="76"/>
              <w:jc w:val="center"/>
              <w:rPr>
                <w:sz w:val="22"/>
              </w:rPr>
            </w:pPr>
            <w:r>
              <w:rPr>
                <w:sz w:val="22"/>
              </w:rPr>
              <w:t>E-FF4-2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5</w:t>
            </w:r>
          </w:p>
        </w:tc>
        <w:tc>
          <w:tcPr>
            <w:tcW w:w="973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33" w:lineRule="exact" w:before="46"/>
              <w:ind w:left="219" w:right="202"/>
              <w:jc w:val="center"/>
              <w:rPr>
                <w:sz w:val="22"/>
              </w:rPr>
            </w:pPr>
            <w:r>
              <w:rPr>
                <w:sz w:val="22"/>
              </w:rPr>
              <w:t>2,468</w:t>
            </w:r>
          </w:p>
        </w:tc>
        <w:tc>
          <w:tcPr>
            <w:tcW w:w="974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33" w:lineRule="exact" w:before="46"/>
              <w:ind w:left="223" w:right="204"/>
              <w:jc w:val="center"/>
              <w:rPr>
                <w:sz w:val="22"/>
              </w:rPr>
            </w:pPr>
            <w:r>
              <w:rPr>
                <w:sz w:val="22"/>
              </w:rPr>
              <w:t>752</w:t>
            </w:r>
          </w:p>
        </w:tc>
        <w:tc>
          <w:tcPr>
            <w:tcW w:w="960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33" w:lineRule="exact" w:before="46"/>
              <w:ind w:left="1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960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33" w:lineRule="exact" w:before="46"/>
              <w:ind w:left="1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1524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33" w:lineRule="exact" w:before="46"/>
              <w:ind w:left="108" w:right="89"/>
              <w:jc w:val="center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218" w:type="dxa"/>
            <w:tcBorders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33" w:lineRule="exact" w:before="46"/>
              <w:ind w:left="290" w:right="266"/>
              <w:jc w:val="center"/>
              <w:rPr>
                <w:sz w:val="22"/>
              </w:rPr>
            </w:pPr>
            <w:r>
              <w:rPr>
                <w:sz w:val="22"/>
              </w:rPr>
              <w:t>6.6250</w:t>
            </w:r>
          </w:p>
        </w:tc>
      </w:tr>
    </w:tbl>
    <w:p>
      <w:pPr>
        <w:spacing w:after="0" w:line="233" w:lineRule="exact"/>
        <w:jc w:val="center"/>
        <w:rPr>
          <w:sz w:val="22"/>
        </w:rPr>
        <w:sectPr>
          <w:pgSz w:w="12240" w:h="15840"/>
          <w:pgMar w:header="0" w:footer="1064" w:top="1440" w:bottom="1260" w:left="1720" w:right="1020"/>
        </w:sectPr>
      </w:pPr>
    </w:p>
    <w:p>
      <w:pPr>
        <w:pStyle w:val="BodyText"/>
        <w:spacing w:line="480" w:lineRule="auto" w:before="78"/>
        <w:ind w:left="440" w:right="416" w:firstLine="720"/>
        <w:jc w:val="both"/>
      </w:pPr>
      <w:r>
        <w:rPr/>
        <w:t>A cross-section cut of the projectile path through a consolidated 4-ply fiberglass</w:t>
      </w:r>
      <w:r>
        <w:rPr>
          <w:spacing w:val="1"/>
        </w:rPr>
        <w:t> </w:t>
      </w:r>
      <w:r>
        <w:rPr/>
        <w:t>fabric specimen shows the petaling of the wood as well as the stretch and brittle failure of</w:t>
      </w:r>
      <w:r>
        <w:rPr>
          <w:spacing w:val="-57"/>
        </w:rPr>
        <w:t> </w:t>
      </w:r>
      <w:r>
        <w:rPr/>
        <w:t>the fiberglass fibers in </w:t>
      </w:r>
      <w:hyperlink w:history="true" w:anchor="_bookmark160">
        <w:r>
          <w:rPr/>
          <w:t>Figure 7-31</w:t>
        </w:r>
      </w:hyperlink>
      <w:r>
        <w:rPr/>
        <w:t>. It is not unlike the aramid panel failure except there is</w:t>
      </w:r>
      <w:r>
        <w:rPr>
          <w:spacing w:val="-57"/>
        </w:rPr>
        <w:t> </w:t>
      </w:r>
      <w:r>
        <w:rPr/>
        <w:t>a thinner layer of fabric.</w:t>
      </w:r>
      <w:r>
        <w:rPr>
          <w:spacing w:val="1"/>
        </w:rPr>
        <w:t> </w:t>
      </w:r>
      <w:r>
        <w:rPr/>
        <w:t>In comparison to 5-ply CLT made from the same wood type, the</w:t>
      </w:r>
      <w:r>
        <w:rPr>
          <w:spacing w:val="-58"/>
        </w:rPr>
        <w:t> </w:t>
      </w:r>
      <w:r>
        <w:rPr/>
        <w:t>four consolidated layers of fiberglass outperforms the ‘unenhanced’ CLT.</w:t>
      </w:r>
      <w:r>
        <w:rPr>
          <w:spacing w:val="1"/>
        </w:rPr>
        <w:t> </w:t>
      </w:r>
      <w:r>
        <w:rPr/>
        <w:t>Eight shots in</w:t>
      </w:r>
      <w:r>
        <w:rPr>
          <w:spacing w:val="1"/>
        </w:rPr>
        <w:t> </w:t>
      </w:r>
      <w:r>
        <w:rPr/>
        <w:t>two different 5-ply CLT specimens, in the range of 2,428 fps (740 m/s) to 2,560 fps (780</w:t>
      </w:r>
      <w:r>
        <w:rPr>
          <w:spacing w:val="1"/>
        </w:rPr>
        <w:t> </w:t>
      </w:r>
      <w:r>
        <w:rPr/>
        <w:t>m/s),</w:t>
      </w:r>
      <w:r>
        <w:rPr>
          <w:spacing w:val="-13"/>
        </w:rPr>
        <w:t> </w:t>
      </w:r>
      <w:r>
        <w:rPr/>
        <w:t>all</w:t>
      </w:r>
      <w:r>
        <w:rPr>
          <w:spacing w:val="-12"/>
        </w:rPr>
        <w:t> </w:t>
      </w:r>
      <w:r>
        <w:rPr/>
        <w:t>resulted</w:t>
      </w:r>
      <w:r>
        <w:rPr>
          <w:spacing w:val="-13"/>
        </w:rPr>
        <w:t> </w:t>
      </w:r>
      <w:r>
        <w:rPr/>
        <w:t>in</w:t>
      </w:r>
      <w:r>
        <w:rPr>
          <w:spacing w:val="-12"/>
        </w:rPr>
        <w:t> </w:t>
      </w:r>
      <w:r>
        <w:rPr/>
        <w:t>complete</w:t>
      </w:r>
      <w:r>
        <w:rPr>
          <w:spacing w:val="-12"/>
        </w:rPr>
        <w:t> </w:t>
      </w:r>
      <w:r>
        <w:rPr/>
        <w:t>penetrations</w:t>
      </w:r>
      <w:r>
        <w:rPr>
          <w:spacing w:val="-12"/>
        </w:rPr>
        <w:t> </w:t>
      </w:r>
      <w:r>
        <w:rPr/>
        <w:t>with</w:t>
      </w:r>
      <w:r>
        <w:rPr>
          <w:spacing w:val="-12"/>
        </w:rPr>
        <w:t> </w:t>
      </w:r>
      <w:r>
        <w:rPr/>
        <w:t>an</w:t>
      </w:r>
      <w:r>
        <w:rPr>
          <w:spacing w:val="-13"/>
        </w:rPr>
        <w:t> </w:t>
      </w:r>
      <w:r>
        <w:rPr/>
        <w:t>average</w:t>
      </w:r>
      <w:r>
        <w:rPr>
          <w:spacing w:val="-14"/>
        </w:rPr>
        <w:t> </w:t>
      </w:r>
      <w:r>
        <w:rPr/>
        <w:t>residual</w:t>
      </w:r>
      <w:r>
        <w:rPr>
          <w:spacing w:val="-12"/>
        </w:rPr>
        <w:t> </w:t>
      </w:r>
      <w:r>
        <w:rPr/>
        <w:t>velocity</w:t>
      </w:r>
      <w:r>
        <w:rPr>
          <w:spacing w:val="-12"/>
        </w:rPr>
        <w:t> </w:t>
      </w:r>
      <w:r>
        <w:rPr/>
        <w:t>of</w:t>
      </w:r>
      <w:r>
        <w:rPr>
          <w:spacing w:val="-13"/>
        </w:rPr>
        <w:t> </w:t>
      </w:r>
      <w:r>
        <w:rPr/>
        <w:t>780</w:t>
      </w:r>
      <w:r>
        <w:rPr>
          <w:spacing w:val="-12"/>
        </w:rPr>
        <w:t> </w:t>
      </w:r>
      <w:r>
        <w:rPr/>
        <w:t>fps</w:t>
      </w:r>
      <w:r>
        <w:rPr>
          <w:spacing w:val="-11"/>
        </w:rPr>
        <w:t> </w:t>
      </w:r>
      <w:r>
        <w:rPr/>
        <w:t>(238</w:t>
      </w:r>
      <w:r>
        <w:rPr>
          <w:spacing w:val="-58"/>
        </w:rPr>
        <w:t> </w:t>
      </w:r>
      <w:r>
        <w:rPr/>
        <w:t>m/s).</w:t>
      </w:r>
      <w:r>
        <w:rPr>
          <w:spacing w:val="1"/>
        </w:rPr>
        <w:t> </w:t>
      </w:r>
      <w:r>
        <w:rPr/>
        <w:t>Eight of ten shots on the ECLT with consolidated 4-ply layup only had partial</w:t>
      </w:r>
      <w:r>
        <w:rPr>
          <w:spacing w:val="1"/>
        </w:rPr>
        <w:t> </w:t>
      </w:r>
      <w:r>
        <w:rPr/>
        <w:t>penetrations and the two residual velocities were less than half of the average residual</w:t>
      </w:r>
      <w:r>
        <w:rPr>
          <w:spacing w:val="1"/>
        </w:rPr>
        <w:t> </w:t>
      </w:r>
      <w:r>
        <w:rPr/>
        <w:t>velocity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the baseline</w:t>
      </w:r>
      <w:r>
        <w:rPr>
          <w:spacing w:val="-1"/>
        </w:rPr>
        <w:t> </w:t>
      </w:r>
      <w:r>
        <w:rPr/>
        <w:t>CLT.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299">
            <wp:simplePos x="0" y="0"/>
            <wp:positionH relativeFrom="page">
              <wp:posOffset>1371600</wp:posOffset>
            </wp:positionH>
            <wp:positionV relativeFrom="paragraph">
              <wp:posOffset>235272</wp:posOffset>
            </wp:positionV>
            <wp:extent cx="5289986" cy="1970532"/>
            <wp:effectExtent l="0" t="0" r="0" b="0"/>
            <wp:wrapTopAndBottom/>
            <wp:docPr id="229" name="image40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404.jpeg"/>
                    <pic:cNvPicPr/>
                  </pic:nvPicPr>
                  <pic:blipFill>
                    <a:blip r:embed="rId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9986" cy="19705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86"/>
        <w:ind w:left="440" w:right="934" w:firstLine="0"/>
        <w:jc w:val="left"/>
        <w:rPr>
          <w:i/>
          <w:sz w:val="24"/>
        </w:rPr>
      </w:pPr>
      <w:bookmarkStart w:name="_bookmark160" w:id="481"/>
      <w:bookmarkEnd w:id="481"/>
      <w:r>
        <w:rPr/>
      </w:r>
      <w:r>
        <w:rPr>
          <w:i/>
          <w:sz w:val="24"/>
        </w:rPr>
        <w:t>Figure 7-31. Close-up view of the projectile path through the four plies of fiberglass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fabric.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6"/>
        <w:rPr>
          <w:i/>
          <w:sz w:val="23"/>
        </w:rPr>
      </w:pPr>
    </w:p>
    <w:p>
      <w:pPr>
        <w:pStyle w:val="ListParagraph"/>
        <w:numPr>
          <w:ilvl w:val="3"/>
          <w:numId w:val="26"/>
        </w:numPr>
        <w:tabs>
          <w:tab w:pos="1160" w:val="left" w:leader="none"/>
        </w:tabs>
        <w:spacing w:line="240" w:lineRule="auto" w:before="0" w:after="0"/>
        <w:ind w:left="1160" w:right="0" w:hanging="720"/>
        <w:jc w:val="left"/>
        <w:rPr>
          <w:i/>
          <w:sz w:val="24"/>
        </w:rPr>
      </w:pPr>
      <w:bookmarkStart w:name="7.3.5.2 Type 8 - Separated 4-ply fibergl" w:id="482"/>
      <w:bookmarkEnd w:id="482"/>
      <w:r>
        <w:rPr/>
      </w:r>
      <w:bookmarkStart w:name="7.3.5.2 Type 8 - Separated 4-ply fibergl" w:id="483"/>
      <w:bookmarkEnd w:id="483"/>
      <w:r>
        <w:rPr>
          <w:i/>
          <w:sz w:val="24"/>
          <w:u w:val="single"/>
        </w:rPr>
        <w:t>T</w:t>
      </w:r>
      <w:r>
        <w:rPr>
          <w:i/>
          <w:sz w:val="24"/>
          <w:u w:val="single"/>
        </w:rPr>
        <w:t>ype</w:t>
      </w:r>
      <w:r>
        <w:rPr>
          <w:i/>
          <w:spacing w:val="-1"/>
          <w:sz w:val="24"/>
          <w:u w:val="single"/>
        </w:rPr>
        <w:t> </w:t>
      </w:r>
      <w:r>
        <w:rPr>
          <w:i/>
          <w:sz w:val="24"/>
          <w:u w:val="single"/>
        </w:rPr>
        <w:t>8</w:t>
      </w:r>
      <w:r>
        <w:rPr>
          <w:i/>
          <w:spacing w:val="-1"/>
          <w:sz w:val="24"/>
          <w:u w:val="single"/>
        </w:rPr>
        <w:t> </w:t>
      </w:r>
      <w:r>
        <w:rPr>
          <w:i/>
          <w:sz w:val="24"/>
          <w:u w:val="single"/>
        </w:rPr>
        <w:t>-</w:t>
      </w:r>
      <w:r>
        <w:rPr>
          <w:i/>
          <w:spacing w:val="-1"/>
          <w:sz w:val="24"/>
          <w:u w:val="single"/>
        </w:rPr>
        <w:t> </w:t>
      </w:r>
      <w:r>
        <w:rPr>
          <w:i/>
          <w:sz w:val="24"/>
          <w:u w:val="single"/>
        </w:rPr>
        <w:t>Separated</w:t>
      </w:r>
      <w:r>
        <w:rPr>
          <w:i/>
          <w:spacing w:val="-1"/>
          <w:sz w:val="24"/>
          <w:u w:val="single"/>
        </w:rPr>
        <w:t> </w:t>
      </w:r>
      <w:r>
        <w:rPr>
          <w:i/>
          <w:sz w:val="24"/>
          <w:u w:val="single"/>
        </w:rPr>
        <w:t>4-ply</w:t>
      </w:r>
      <w:r>
        <w:rPr>
          <w:i/>
          <w:spacing w:val="-2"/>
          <w:sz w:val="24"/>
          <w:u w:val="single"/>
        </w:rPr>
        <w:t> </w:t>
      </w:r>
      <w:r>
        <w:rPr>
          <w:i/>
          <w:sz w:val="24"/>
          <w:u w:val="single"/>
        </w:rPr>
        <w:t>fiberglass</w:t>
      </w:r>
      <w:r>
        <w:rPr>
          <w:i/>
          <w:spacing w:val="-1"/>
          <w:sz w:val="24"/>
          <w:u w:val="single"/>
        </w:rPr>
        <w:t> </w:t>
      </w:r>
      <w:r>
        <w:rPr>
          <w:i/>
          <w:sz w:val="24"/>
          <w:u w:val="single"/>
        </w:rPr>
        <w:t>fabric</w:t>
      </w:r>
    </w:p>
    <w:p>
      <w:pPr>
        <w:pStyle w:val="BodyText"/>
        <w:spacing w:before="10"/>
        <w:rPr>
          <w:i/>
          <w:sz w:val="14"/>
        </w:rPr>
      </w:pPr>
    </w:p>
    <w:p>
      <w:pPr>
        <w:pStyle w:val="BodyText"/>
        <w:spacing w:line="480" w:lineRule="auto" w:before="90"/>
        <w:ind w:left="440" w:right="403" w:firstLine="720"/>
      </w:pPr>
      <w:r>
        <w:rPr/>
        <w:t>The</w:t>
      </w:r>
      <w:r>
        <w:rPr>
          <w:spacing w:val="-7"/>
        </w:rPr>
        <w:t> </w:t>
      </w:r>
      <w:r>
        <w:rPr/>
        <w:t>two</w:t>
      </w:r>
      <w:r>
        <w:rPr>
          <w:spacing w:val="-7"/>
        </w:rPr>
        <w:t> </w:t>
      </w:r>
      <w:r>
        <w:rPr/>
        <w:t>specimens</w:t>
      </w:r>
      <w:r>
        <w:rPr>
          <w:spacing w:val="-6"/>
        </w:rPr>
        <w:t> </w:t>
      </w:r>
      <w:r>
        <w:rPr/>
        <w:t>with</w:t>
      </w:r>
      <w:r>
        <w:rPr>
          <w:spacing w:val="-8"/>
        </w:rPr>
        <w:t> </w:t>
      </w:r>
      <w:r>
        <w:rPr/>
        <w:t>4-ply</w:t>
      </w:r>
      <w:r>
        <w:rPr>
          <w:spacing w:val="-6"/>
        </w:rPr>
        <w:t> </w:t>
      </w:r>
      <w:r>
        <w:rPr/>
        <w:t>fiberglass</w:t>
      </w:r>
      <w:r>
        <w:rPr>
          <w:spacing w:val="-7"/>
        </w:rPr>
        <w:t> </w:t>
      </w:r>
      <w:r>
        <w:rPr/>
        <w:t>fabric</w:t>
      </w:r>
      <w:r>
        <w:rPr>
          <w:spacing w:val="-6"/>
        </w:rPr>
        <w:t> </w:t>
      </w:r>
      <w:r>
        <w:rPr/>
        <w:t>separated</w:t>
      </w:r>
      <w:r>
        <w:rPr>
          <w:spacing w:val="-7"/>
        </w:rPr>
        <w:t> </w:t>
      </w:r>
      <w:r>
        <w:rPr/>
        <w:t>between</w:t>
      </w:r>
      <w:r>
        <w:rPr>
          <w:spacing w:val="-6"/>
        </w:rPr>
        <w:t> </w:t>
      </w:r>
      <w:r>
        <w:rPr/>
        <w:t>each</w:t>
      </w:r>
      <w:r>
        <w:rPr>
          <w:spacing w:val="-8"/>
        </w:rPr>
        <w:t> </w:t>
      </w:r>
      <w:r>
        <w:rPr/>
        <w:t>wood</w:t>
      </w:r>
      <w:r>
        <w:rPr>
          <w:spacing w:val="-6"/>
        </w:rPr>
        <w:t> </w:t>
      </w:r>
      <w:r>
        <w:rPr/>
        <w:t>layer</w:t>
      </w:r>
      <w:r>
        <w:rPr>
          <w:spacing w:val="-57"/>
        </w:rPr>
        <w:t> </w:t>
      </w:r>
      <w:r>
        <w:rPr/>
        <w:t>layup</w:t>
      </w:r>
      <w:r>
        <w:rPr>
          <w:spacing w:val="-4"/>
        </w:rPr>
        <w:t> </w:t>
      </w:r>
      <w:r>
        <w:rPr/>
        <w:t>resulted</w:t>
      </w:r>
      <w:r>
        <w:rPr>
          <w:spacing w:val="-3"/>
        </w:rPr>
        <w:t> </w:t>
      </w:r>
      <w:r>
        <w:rPr/>
        <w:t>in</w:t>
      </w:r>
      <w:r>
        <w:rPr>
          <w:spacing w:val="-4"/>
        </w:rPr>
        <w:t> </w:t>
      </w:r>
      <w:r>
        <w:rPr/>
        <w:t>six</w:t>
      </w:r>
      <w:r>
        <w:rPr>
          <w:spacing w:val="-3"/>
        </w:rPr>
        <w:t> </w:t>
      </w:r>
      <w:r>
        <w:rPr/>
        <w:t>complete</w:t>
      </w:r>
      <w:r>
        <w:rPr>
          <w:spacing w:val="-2"/>
        </w:rPr>
        <w:t> </w:t>
      </w:r>
      <w:r>
        <w:rPr/>
        <w:t>penetrations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four</w:t>
      </w:r>
      <w:r>
        <w:rPr>
          <w:spacing w:val="-2"/>
        </w:rPr>
        <w:t> </w:t>
      </w:r>
      <w:r>
        <w:rPr/>
        <w:t>partial</w:t>
      </w:r>
      <w:r>
        <w:rPr>
          <w:spacing w:val="-3"/>
        </w:rPr>
        <w:t> </w:t>
      </w:r>
      <w:r>
        <w:rPr/>
        <w:t>penetrations.</w:t>
      </w:r>
      <w:r>
        <w:rPr>
          <w:spacing w:val="55"/>
        </w:rPr>
        <w:t> </w:t>
      </w:r>
      <w:r>
        <w:rPr/>
        <w:t>One</w:t>
      </w:r>
      <w:r>
        <w:rPr>
          <w:spacing w:val="-3"/>
        </w:rPr>
        <w:t> </w:t>
      </w:r>
      <w:r>
        <w:rPr/>
        <w:t>specimen</w:t>
      </w:r>
      <w:r>
        <w:rPr>
          <w:spacing w:val="-1"/>
        </w:rPr>
        <w:t> </w:t>
      </w:r>
      <w:r>
        <w:rPr/>
        <w:t>is</w:t>
      </w:r>
    </w:p>
    <w:p>
      <w:pPr>
        <w:spacing w:after="0" w:line="480" w:lineRule="auto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39" w:right="417"/>
        <w:jc w:val="both"/>
      </w:pPr>
      <w:r>
        <w:rPr/>
        <w:t>shown in </w:t>
      </w:r>
      <w:hyperlink w:history="true" w:anchor="_bookmark161">
        <w:r>
          <w:rPr/>
          <w:t>Figure 7-32</w:t>
        </w:r>
      </w:hyperlink>
      <w:r>
        <w:rPr/>
        <w:t>.</w:t>
      </w:r>
      <w:r>
        <w:rPr>
          <w:spacing w:val="1"/>
        </w:rPr>
        <w:t> </w:t>
      </w:r>
      <w:r>
        <w:rPr/>
        <w:t>The average striking velocity was 2,467 fps (752 m/s) and the</w:t>
      </w:r>
      <w:r>
        <w:rPr>
          <w:spacing w:val="1"/>
        </w:rPr>
        <w:t> </w:t>
      </w:r>
      <w:r>
        <w:rPr/>
        <w:t>average depth of penetration for partial penetration was 5.7600-inches.</w:t>
      </w:r>
      <w:r>
        <w:rPr>
          <w:spacing w:val="1"/>
        </w:rPr>
        <w:t> </w:t>
      </w:r>
      <w:r>
        <w:rPr/>
        <w:t>The average</w:t>
      </w:r>
      <w:r>
        <w:rPr>
          <w:spacing w:val="1"/>
        </w:rPr>
        <w:t> </w:t>
      </w:r>
      <w:r>
        <w:rPr/>
        <w:t>residual velocity was 301 fps (92 m/s).</w:t>
      </w:r>
      <w:r>
        <w:rPr>
          <w:spacing w:val="1"/>
        </w:rPr>
        <w:t> </w:t>
      </w:r>
      <w:r>
        <w:rPr/>
        <w:t>Test data can be found in </w:t>
      </w:r>
      <w:hyperlink w:history="true" w:anchor="_bookmark162">
        <w:r>
          <w:rPr/>
          <w:t>Table 7-10.</w:t>
        </w:r>
      </w:hyperlink>
      <w:r>
        <w:rPr>
          <w:spacing w:val="1"/>
        </w:rPr>
        <w:t> </w:t>
      </w:r>
      <w:r>
        <w:rPr/>
        <w:t>The visible</w:t>
      </w:r>
      <w:r>
        <w:rPr>
          <w:spacing w:val="-57"/>
        </w:rPr>
        <w:t> </w:t>
      </w:r>
      <w:r>
        <w:rPr/>
        <w:t>back</w:t>
      </w:r>
      <w:r>
        <w:rPr>
          <w:spacing w:val="1"/>
        </w:rPr>
        <w:t> </w:t>
      </w:r>
      <w:r>
        <w:rPr/>
        <w:t>face</w:t>
      </w:r>
      <w:r>
        <w:rPr>
          <w:spacing w:val="1"/>
        </w:rPr>
        <w:t> </w:t>
      </w:r>
      <w:r>
        <w:rPr/>
        <w:t>damage</w:t>
      </w:r>
      <w:r>
        <w:rPr>
          <w:spacing w:val="1"/>
        </w:rPr>
        <w:t> </w:t>
      </w:r>
      <w:r>
        <w:rPr/>
        <w:t>occurred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form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brittle</w:t>
      </w:r>
      <w:r>
        <w:rPr>
          <w:spacing w:val="1"/>
        </w:rPr>
        <w:t> </w:t>
      </w:r>
      <w:r>
        <w:rPr/>
        <w:t>failure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wood,</w:t>
      </w:r>
      <w:r>
        <w:rPr>
          <w:spacing w:val="1"/>
        </w:rPr>
        <w:t> </w:t>
      </w:r>
      <w:r>
        <w:rPr/>
        <w:t>much</w:t>
      </w:r>
      <w:r>
        <w:rPr>
          <w:spacing w:val="1"/>
        </w:rPr>
        <w:t> </w:t>
      </w:r>
      <w:r>
        <w:rPr/>
        <w:t>like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consolidated 4-ply fiberglass fabric layup but the damaged area appeared more localized</w:t>
      </w:r>
      <w:r>
        <w:rPr>
          <w:spacing w:val="1"/>
        </w:rPr>
        <w:t> </w:t>
      </w:r>
      <w:r>
        <w:rPr/>
        <w:t>whereas the consolidated fabric comprised test block seemed to have longer spanning</w:t>
      </w:r>
      <w:r>
        <w:rPr>
          <w:spacing w:val="1"/>
        </w:rPr>
        <w:t> </w:t>
      </w:r>
      <w:r>
        <w:rPr/>
        <w:t>splintering damage.</w:t>
      </w:r>
      <w:r>
        <w:rPr>
          <w:spacing w:val="1"/>
        </w:rPr>
        <w:t> </w:t>
      </w:r>
      <w:r>
        <w:rPr/>
        <w:t>This observation could be a product of the different organization of</w:t>
      </w:r>
      <w:r>
        <w:rPr>
          <w:spacing w:val="1"/>
        </w:rPr>
        <w:t> </w:t>
      </w:r>
      <w:r>
        <w:rPr/>
        <w:t>the fiberglass fabric and its impacts on dissipating energy or on the wood elements in the</w:t>
      </w:r>
      <w:r>
        <w:rPr>
          <w:spacing w:val="1"/>
        </w:rPr>
        <w:t> </w:t>
      </w:r>
      <w:r>
        <w:rPr/>
        <w:t>ECLT</w:t>
      </w:r>
      <w:r>
        <w:rPr>
          <w:spacing w:val="-10"/>
        </w:rPr>
        <w:t> </w:t>
      </w:r>
      <w:r>
        <w:rPr/>
        <w:t>specimens.</w:t>
      </w:r>
      <w:r>
        <w:rPr>
          <w:spacing w:val="40"/>
        </w:rPr>
        <w:t> </w:t>
      </w:r>
      <w:r>
        <w:rPr/>
        <w:t>More</w:t>
      </w:r>
      <w:r>
        <w:rPr>
          <w:spacing w:val="-9"/>
        </w:rPr>
        <w:t> </w:t>
      </w:r>
      <w:r>
        <w:rPr/>
        <w:t>testing</w:t>
      </w:r>
      <w:r>
        <w:rPr>
          <w:spacing w:val="-10"/>
        </w:rPr>
        <w:t> </w:t>
      </w:r>
      <w:r>
        <w:rPr/>
        <w:t>would</w:t>
      </w:r>
      <w:r>
        <w:rPr>
          <w:spacing w:val="-10"/>
        </w:rPr>
        <w:t> </w:t>
      </w:r>
      <w:r>
        <w:rPr/>
        <w:t>be</w:t>
      </w:r>
      <w:r>
        <w:rPr>
          <w:spacing w:val="-9"/>
        </w:rPr>
        <w:t> </w:t>
      </w:r>
      <w:r>
        <w:rPr/>
        <w:t>required</w:t>
      </w:r>
      <w:r>
        <w:rPr>
          <w:spacing w:val="-10"/>
        </w:rPr>
        <w:t> </w:t>
      </w:r>
      <w:r>
        <w:rPr/>
        <w:t>to</w:t>
      </w:r>
      <w:r>
        <w:rPr>
          <w:spacing w:val="-10"/>
        </w:rPr>
        <w:t> </w:t>
      </w:r>
      <w:r>
        <w:rPr/>
        <w:t>definitively</w:t>
      </w:r>
      <w:r>
        <w:rPr>
          <w:spacing w:val="-10"/>
        </w:rPr>
        <w:t> </w:t>
      </w:r>
      <w:r>
        <w:rPr/>
        <w:t>make</w:t>
      </w:r>
      <w:r>
        <w:rPr>
          <w:spacing w:val="-9"/>
        </w:rPr>
        <w:t> </w:t>
      </w:r>
      <w:r>
        <w:rPr/>
        <w:t>that</w:t>
      </w:r>
      <w:r>
        <w:rPr>
          <w:spacing w:val="-9"/>
        </w:rPr>
        <w:t> </w:t>
      </w:r>
      <w:r>
        <w:rPr/>
        <w:t>determination.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8"/>
        </w:rPr>
      </w:pPr>
      <w:r>
        <w:rPr/>
        <w:pict>
          <v:group style="position:absolute;margin-left:129.375046pt;margin-top:18.523046pt;width:389.25pt;height:187.8pt;mso-position-horizontal-relative:page;mso-position-vertical-relative:paragraph;z-index:-15575040;mso-wrap-distance-left:0;mso-wrap-distance-right:0" coordorigin="2588,370" coordsize="7785,3756">
            <v:shape style="position:absolute;left:2587;top:375;width:3883;height:3750" type="#_x0000_t75" stroked="false">
              <v:imagedata r:id="rId415" o:title=""/>
            </v:shape>
            <v:shape style="position:absolute;left:6530;top:370;width:3842;height:3756" type="#_x0000_t75" stroked="false">
              <v:imagedata r:id="rId416" o:title=""/>
            </v:shape>
            <w10:wrap type="topAndBottom"/>
          </v:group>
        </w:pict>
      </w:r>
    </w:p>
    <w:p>
      <w:pPr>
        <w:spacing w:before="152"/>
        <w:ind w:left="439" w:right="0" w:firstLine="0"/>
        <w:jc w:val="both"/>
        <w:rPr>
          <w:i/>
          <w:sz w:val="24"/>
        </w:rPr>
      </w:pPr>
      <w:bookmarkStart w:name="_bookmark161" w:id="484"/>
      <w:bookmarkEnd w:id="484"/>
      <w:r>
        <w:rPr/>
      </w:r>
      <w:r>
        <w:rPr>
          <w:i/>
          <w:sz w:val="24"/>
        </w:rPr>
        <w:t>Figure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7-32.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Separated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fiberglass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fabric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plies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(left)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impact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face,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(right)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back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face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damage.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228"/>
        <w:ind w:left="439" w:right="417" w:firstLine="720"/>
        <w:jc w:val="both"/>
      </w:pPr>
      <w:r>
        <w:rPr/>
        <w:t>A cross-section cut of the projectile path through the separated 4-ply fiberglass</w:t>
      </w:r>
      <w:r>
        <w:rPr>
          <w:spacing w:val="1"/>
        </w:rPr>
        <w:t> </w:t>
      </w:r>
      <w:r>
        <w:rPr/>
        <w:t>fabric specimen displays less obvious stretching in the first two layers of fabric compared</w:t>
      </w:r>
      <w:r>
        <w:rPr>
          <w:spacing w:val="-57"/>
        </w:rPr>
        <w:t> </w:t>
      </w:r>
      <w:r>
        <w:rPr/>
        <w:t>to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consolidated</w:t>
      </w:r>
      <w:r>
        <w:rPr>
          <w:spacing w:val="-12"/>
        </w:rPr>
        <w:t> </w:t>
      </w:r>
      <w:r>
        <w:rPr/>
        <w:t>4-ply.</w:t>
      </w:r>
      <w:r>
        <w:rPr>
          <w:spacing w:val="37"/>
        </w:rPr>
        <w:t> </w:t>
      </w:r>
      <w:r>
        <w:rPr/>
        <w:t>A</w:t>
      </w:r>
      <w:r>
        <w:rPr>
          <w:spacing w:val="-12"/>
        </w:rPr>
        <w:t> </w:t>
      </w:r>
      <w:r>
        <w:rPr/>
        <w:t>cross-section</w:t>
      </w:r>
      <w:r>
        <w:rPr>
          <w:spacing w:val="-11"/>
        </w:rPr>
        <w:t> </w:t>
      </w:r>
      <w:r>
        <w:rPr/>
        <w:t>cutaway</w:t>
      </w:r>
      <w:r>
        <w:rPr>
          <w:spacing w:val="-12"/>
        </w:rPr>
        <w:t> </w:t>
      </w:r>
      <w:r>
        <w:rPr/>
        <w:t>of</w:t>
      </w:r>
      <w:r>
        <w:rPr>
          <w:spacing w:val="-13"/>
        </w:rPr>
        <w:t> </w:t>
      </w:r>
      <w:r>
        <w:rPr/>
        <w:t>a</w:t>
      </w:r>
      <w:r>
        <w:rPr>
          <w:spacing w:val="-11"/>
        </w:rPr>
        <w:t> </w:t>
      </w:r>
      <w:r>
        <w:rPr/>
        <w:t>complete</w:t>
      </w:r>
      <w:r>
        <w:rPr>
          <w:spacing w:val="-11"/>
        </w:rPr>
        <w:t> </w:t>
      </w:r>
      <w:r>
        <w:rPr/>
        <w:t>penetration</w:t>
      </w:r>
      <w:r>
        <w:rPr>
          <w:spacing w:val="-11"/>
        </w:rPr>
        <w:t> </w:t>
      </w:r>
      <w:r>
        <w:rPr/>
        <w:t>shot</w:t>
      </w:r>
      <w:r>
        <w:rPr>
          <w:spacing w:val="-11"/>
        </w:rPr>
        <w:t> </w:t>
      </w:r>
      <w:r>
        <w:rPr/>
        <w:t>is</w:t>
      </w:r>
      <w:r>
        <w:rPr>
          <w:spacing w:val="-11"/>
        </w:rPr>
        <w:t> </w:t>
      </w:r>
      <w:r>
        <w:rPr/>
        <w:t>shown</w:t>
      </w:r>
      <w:r>
        <w:rPr>
          <w:spacing w:val="-58"/>
        </w:rPr>
        <w:t> </w:t>
      </w:r>
      <w:r>
        <w:rPr/>
        <w:t>in</w:t>
      </w:r>
      <w:r>
        <w:rPr>
          <w:spacing w:val="-1"/>
        </w:rPr>
        <w:t> </w:t>
      </w:r>
      <w:hyperlink w:history="true" w:anchor="_bookmark163">
        <w:r>
          <w:rPr/>
          <w:t>Figure</w:t>
        </w:r>
        <w:r>
          <w:rPr>
            <w:spacing w:val="-1"/>
          </w:rPr>
          <w:t> </w:t>
        </w:r>
        <w:r>
          <w:rPr/>
          <w:t>7-33.</w:t>
        </w:r>
      </w:hyperlink>
      <w:r>
        <w:rPr>
          <w:spacing w:val="58"/>
        </w:rPr>
        <w:t> </w:t>
      </w:r>
      <w:r>
        <w:rPr/>
        <w:t>A</w:t>
      </w:r>
      <w:r>
        <w:rPr>
          <w:spacing w:val="-1"/>
        </w:rPr>
        <w:t> </w:t>
      </w:r>
      <w:r>
        <w:rPr/>
        <w:t>more</w:t>
      </w:r>
      <w:r>
        <w:rPr>
          <w:spacing w:val="-1"/>
        </w:rPr>
        <w:t> </w:t>
      </w:r>
      <w:r>
        <w:rPr/>
        <w:t>apparent stretch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fabric</w:t>
      </w:r>
      <w:r>
        <w:rPr>
          <w:spacing w:val="-2"/>
        </w:rPr>
        <w:t> </w:t>
      </w:r>
      <w:r>
        <w:rPr/>
        <w:t>appears</w:t>
      </w:r>
      <w:r>
        <w:rPr>
          <w:spacing w:val="-1"/>
        </w:rPr>
        <w:t> </w:t>
      </w:r>
      <w:r>
        <w:rPr/>
        <w:t>in the</w:t>
      </w:r>
      <w:r>
        <w:rPr>
          <w:spacing w:val="-2"/>
        </w:rPr>
        <w:t> </w:t>
      </w:r>
      <w:r>
        <w:rPr/>
        <w:t>third</w:t>
      </w:r>
      <w:r>
        <w:rPr>
          <w:spacing w:val="-3"/>
        </w:rPr>
        <w:t> </w:t>
      </w:r>
      <w:r>
        <w:rPr/>
        <w:t>and</w:t>
      </w:r>
      <w:r>
        <w:rPr>
          <w:spacing w:val="-1"/>
        </w:rPr>
        <w:t> </w:t>
      </w:r>
      <w:r>
        <w:rPr/>
        <w:t>fourth</w:t>
      </w:r>
      <w:r>
        <w:rPr>
          <w:spacing w:val="-1"/>
        </w:rPr>
        <w:t> </w:t>
      </w:r>
      <w:r>
        <w:rPr/>
        <w:t>plies.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spacing w:before="79"/>
        <w:ind w:left="20" w:right="0" w:firstLine="0"/>
        <w:jc w:val="center"/>
        <w:rPr>
          <w:i/>
          <w:sz w:val="24"/>
        </w:rPr>
      </w:pPr>
      <w:bookmarkStart w:name="_bookmark162" w:id="485"/>
      <w:bookmarkEnd w:id="485"/>
      <w:r>
        <w:rPr/>
      </w:r>
      <w:r>
        <w:rPr>
          <w:i/>
          <w:sz w:val="24"/>
        </w:rPr>
        <w:t>Table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7-10.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Results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consolidated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4-ply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fiberglass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fabric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ECLT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testing.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 w:after="1"/>
        <w:rPr>
          <w:i/>
          <w:sz w:val="19"/>
        </w:rPr>
      </w:pPr>
    </w:p>
    <w:tbl>
      <w:tblPr>
        <w:tblW w:w="0" w:type="auto"/>
        <w:jc w:val="left"/>
        <w:tblInd w:w="63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61"/>
        <w:gridCol w:w="973"/>
        <w:gridCol w:w="974"/>
        <w:gridCol w:w="960"/>
        <w:gridCol w:w="960"/>
        <w:gridCol w:w="1524"/>
        <w:gridCol w:w="1218"/>
      </w:tblGrid>
      <w:tr>
        <w:trPr>
          <w:trHeight w:val="1399" w:hRule="atLeast"/>
        </w:trPr>
        <w:tc>
          <w:tcPr>
            <w:tcW w:w="1661" w:type="dxa"/>
            <w:shd w:val="clear" w:color="auto" w:fill="DADAD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8"/>
              <w:rPr>
                <w:i/>
                <w:sz w:val="25"/>
              </w:rPr>
            </w:pPr>
          </w:p>
          <w:p>
            <w:pPr>
              <w:pStyle w:val="TableParagraph"/>
              <w:ind w:left="147" w:right="130"/>
              <w:jc w:val="center"/>
              <w:rPr>
                <w:sz w:val="22"/>
              </w:rPr>
            </w:pPr>
            <w:r>
              <w:rPr>
                <w:sz w:val="22"/>
              </w:rPr>
              <w:t>Specimen/Shot</w:t>
            </w:r>
          </w:p>
        </w:tc>
        <w:tc>
          <w:tcPr>
            <w:tcW w:w="973" w:type="dxa"/>
            <w:shd w:val="clear" w:color="auto" w:fill="DADADA"/>
          </w:tcPr>
          <w:p>
            <w:pPr>
              <w:pStyle w:val="TableParagraph"/>
              <w:spacing w:before="8"/>
              <w:rPr>
                <w:i/>
                <w:sz w:val="27"/>
              </w:rPr>
            </w:pPr>
          </w:p>
          <w:p>
            <w:pPr>
              <w:pStyle w:val="TableParagraph"/>
              <w:ind w:left="111" w:right="90" w:hanging="2"/>
              <w:jc w:val="center"/>
              <w:rPr>
                <w:sz w:val="22"/>
              </w:rPr>
            </w:pPr>
            <w:r>
              <w:rPr>
                <w:sz w:val="22"/>
              </w:rPr>
              <w:t>v</w:t>
            </w:r>
            <w:r>
              <w:rPr>
                <w:sz w:val="22"/>
                <w:vertAlign w:val="subscript"/>
              </w:rPr>
              <w:t>s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(chrono)</w:t>
            </w:r>
            <w:r>
              <w:rPr>
                <w:spacing w:val="-52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(fps)</w:t>
            </w:r>
          </w:p>
        </w:tc>
        <w:tc>
          <w:tcPr>
            <w:tcW w:w="974" w:type="dxa"/>
            <w:shd w:val="clear" w:color="auto" w:fill="DADADA"/>
          </w:tcPr>
          <w:p>
            <w:pPr>
              <w:pStyle w:val="TableParagraph"/>
              <w:spacing w:before="8"/>
              <w:rPr>
                <w:i/>
                <w:sz w:val="27"/>
              </w:rPr>
            </w:pPr>
          </w:p>
          <w:p>
            <w:pPr>
              <w:pStyle w:val="TableParagraph"/>
              <w:ind w:left="112" w:right="90" w:hanging="2"/>
              <w:jc w:val="center"/>
              <w:rPr>
                <w:sz w:val="22"/>
              </w:rPr>
            </w:pPr>
            <w:r>
              <w:rPr>
                <w:sz w:val="22"/>
              </w:rPr>
              <w:t>v</w:t>
            </w:r>
            <w:r>
              <w:rPr>
                <w:sz w:val="22"/>
                <w:vertAlign w:val="subscript"/>
              </w:rPr>
              <w:t>s</w:t>
            </w:r>
            <w:r>
              <w:rPr>
                <w:spacing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(chrono)</w:t>
            </w:r>
            <w:r>
              <w:rPr>
                <w:spacing w:val="-52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(m/s)</w:t>
            </w:r>
          </w:p>
        </w:tc>
        <w:tc>
          <w:tcPr>
            <w:tcW w:w="960" w:type="dxa"/>
            <w:shd w:val="clear" w:color="auto" w:fill="DADADA"/>
          </w:tcPr>
          <w:p>
            <w:pPr>
              <w:pStyle w:val="TableParagraph"/>
              <w:spacing w:before="8"/>
              <w:rPr>
                <w:i/>
                <w:sz w:val="27"/>
              </w:rPr>
            </w:pPr>
          </w:p>
          <w:p>
            <w:pPr>
              <w:pStyle w:val="TableParagraph"/>
              <w:ind w:left="198" w:right="176" w:firstLine="21"/>
              <w:jc w:val="both"/>
              <w:rPr>
                <w:sz w:val="22"/>
              </w:rPr>
            </w:pPr>
            <w:r>
              <w:rPr>
                <w:sz w:val="22"/>
              </w:rPr>
              <w:t>v</w:t>
            </w:r>
            <w:r>
              <w:rPr>
                <w:sz w:val="22"/>
                <w:vertAlign w:val="subscript"/>
              </w:rPr>
              <w:t>r</w:t>
            </w:r>
            <w:r>
              <w:rPr>
                <w:sz w:val="22"/>
                <w:vertAlign w:val="baseline"/>
              </w:rPr>
              <w:t> (hi-</w:t>
            </w:r>
            <w:r>
              <w:rPr>
                <w:spacing w:val="-52"/>
                <w:sz w:val="22"/>
                <w:vertAlign w:val="baseline"/>
              </w:rPr>
              <w:t> </w:t>
            </w:r>
            <w:r>
              <w:rPr>
                <w:spacing w:val="-1"/>
                <w:sz w:val="22"/>
                <w:vertAlign w:val="baseline"/>
              </w:rPr>
              <w:t>speed)</w:t>
            </w:r>
            <w:r>
              <w:rPr>
                <w:spacing w:val="-53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(fps)</w:t>
            </w:r>
          </w:p>
        </w:tc>
        <w:tc>
          <w:tcPr>
            <w:tcW w:w="960" w:type="dxa"/>
            <w:shd w:val="clear" w:color="auto" w:fill="DADADA"/>
          </w:tcPr>
          <w:p>
            <w:pPr>
              <w:pStyle w:val="TableParagraph"/>
              <w:spacing w:before="8"/>
              <w:rPr>
                <w:i/>
                <w:sz w:val="27"/>
              </w:rPr>
            </w:pPr>
          </w:p>
          <w:p>
            <w:pPr>
              <w:pStyle w:val="TableParagraph"/>
              <w:ind w:left="198" w:right="176" w:firstLine="21"/>
              <w:jc w:val="both"/>
              <w:rPr>
                <w:sz w:val="22"/>
              </w:rPr>
            </w:pPr>
            <w:r>
              <w:rPr>
                <w:sz w:val="22"/>
              </w:rPr>
              <w:t>v</w:t>
            </w:r>
            <w:r>
              <w:rPr>
                <w:sz w:val="22"/>
                <w:vertAlign w:val="subscript"/>
              </w:rPr>
              <w:t>r</w:t>
            </w:r>
            <w:r>
              <w:rPr>
                <w:sz w:val="22"/>
                <w:vertAlign w:val="baseline"/>
              </w:rPr>
              <w:t> (hi-</w:t>
            </w:r>
            <w:r>
              <w:rPr>
                <w:spacing w:val="-52"/>
                <w:sz w:val="22"/>
                <w:vertAlign w:val="baseline"/>
              </w:rPr>
              <w:t> </w:t>
            </w:r>
            <w:r>
              <w:rPr>
                <w:spacing w:val="-1"/>
                <w:sz w:val="22"/>
                <w:vertAlign w:val="baseline"/>
              </w:rPr>
              <w:t>speed)</w:t>
            </w:r>
            <w:r>
              <w:rPr>
                <w:spacing w:val="-53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(m/s)</w:t>
            </w:r>
          </w:p>
        </w:tc>
        <w:tc>
          <w:tcPr>
            <w:tcW w:w="1524" w:type="dxa"/>
            <w:shd w:val="clear" w:color="auto" w:fill="DADADA"/>
          </w:tcPr>
          <w:p>
            <w:pPr>
              <w:pStyle w:val="TableParagraph"/>
              <w:spacing w:before="65"/>
              <w:ind w:left="108" w:right="88"/>
              <w:jc w:val="center"/>
              <w:rPr>
                <w:sz w:val="22"/>
              </w:rPr>
            </w:pPr>
            <w:r>
              <w:rPr>
                <w:sz w:val="22"/>
              </w:rPr>
              <w:t>Partial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Penetration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1"/>
                <w:sz w:val="22"/>
              </w:rPr>
              <w:t>(PP)/Complete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Penetration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(CP)</w:t>
            </w:r>
          </w:p>
        </w:tc>
        <w:tc>
          <w:tcPr>
            <w:tcW w:w="1218" w:type="dxa"/>
            <w:shd w:val="clear" w:color="auto" w:fill="DADADA"/>
          </w:tcPr>
          <w:p>
            <w:pPr>
              <w:pStyle w:val="TableParagraph"/>
              <w:spacing w:before="191"/>
              <w:ind w:left="112" w:right="91" w:hanging="2"/>
              <w:jc w:val="center"/>
              <w:rPr>
                <w:sz w:val="22"/>
              </w:rPr>
            </w:pPr>
            <w:r>
              <w:rPr>
                <w:sz w:val="22"/>
              </w:rPr>
              <w:t>Measured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Depth 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Penetration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(T</w:t>
            </w:r>
            <w:r>
              <w:rPr>
                <w:sz w:val="22"/>
                <w:vertAlign w:val="subscript"/>
              </w:rPr>
              <w:t>w</w:t>
            </w:r>
            <w:r>
              <w:rPr>
                <w:sz w:val="22"/>
                <w:vertAlign w:val="baseline"/>
              </w:rPr>
              <w:t>)</w:t>
            </w:r>
          </w:p>
        </w:tc>
      </w:tr>
      <w:tr>
        <w:trPr>
          <w:trHeight w:val="290" w:hRule="atLeast"/>
        </w:trPr>
        <w:tc>
          <w:tcPr>
            <w:tcW w:w="1661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164" w:right="76"/>
              <w:jc w:val="center"/>
              <w:rPr>
                <w:sz w:val="22"/>
              </w:rPr>
            </w:pPr>
            <w:r>
              <w:rPr>
                <w:sz w:val="22"/>
              </w:rPr>
              <w:t>E-FF1-1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1</w:t>
            </w:r>
          </w:p>
        </w:tc>
        <w:tc>
          <w:tcPr>
            <w:tcW w:w="973" w:type="dxa"/>
          </w:tcPr>
          <w:p>
            <w:pPr>
              <w:pStyle w:val="TableParagraph"/>
              <w:spacing w:line="234" w:lineRule="exact" w:before="35"/>
              <w:ind w:left="219" w:right="202"/>
              <w:jc w:val="center"/>
              <w:rPr>
                <w:sz w:val="22"/>
              </w:rPr>
            </w:pPr>
            <w:r>
              <w:rPr>
                <w:sz w:val="22"/>
              </w:rPr>
              <w:t>2,484</w:t>
            </w:r>
          </w:p>
        </w:tc>
        <w:tc>
          <w:tcPr>
            <w:tcW w:w="974" w:type="dxa"/>
          </w:tcPr>
          <w:p>
            <w:pPr>
              <w:pStyle w:val="TableParagraph"/>
              <w:spacing w:line="234" w:lineRule="exact" w:before="35"/>
              <w:ind w:left="223" w:right="204"/>
              <w:jc w:val="center"/>
              <w:rPr>
                <w:sz w:val="22"/>
              </w:rPr>
            </w:pPr>
            <w:r>
              <w:rPr>
                <w:sz w:val="22"/>
              </w:rPr>
              <w:t>757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1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1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1524" w:type="dxa"/>
          </w:tcPr>
          <w:p>
            <w:pPr>
              <w:pStyle w:val="TableParagraph"/>
              <w:spacing w:line="234" w:lineRule="exact" w:before="35"/>
              <w:ind w:left="108" w:right="89"/>
              <w:jc w:val="center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218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291" w:right="266"/>
              <w:jc w:val="center"/>
              <w:rPr>
                <w:sz w:val="22"/>
              </w:rPr>
            </w:pPr>
            <w:r>
              <w:rPr>
                <w:sz w:val="22"/>
              </w:rPr>
              <w:t>5.7500</w:t>
            </w:r>
          </w:p>
        </w:tc>
      </w:tr>
      <w:tr>
        <w:trPr>
          <w:trHeight w:val="290" w:hRule="atLeast"/>
        </w:trPr>
        <w:tc>
          <w:tcPr>
            <w:tcW w:w="1661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164" w:right="76"/>
              <w:jc w:val="center"/>
              <w:rPr>
                <w:sz w:val="22"/>
              </w:rPr>
            </w:pPr>
            <w:r>
              <w:rPr>
                <w:sz w:val="22"/>
              </w:rPr>
              <w:t>E-FF1-1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2</w:t>
            </w:r>
          </w:p>
        </w:tc>
        <w:tc>
          <w:tcPr>
            <w:tcW w:w="973" w:type="dxa"/>
          </w:tcPr>
          <w:p>
            <w:pPr>
              <w:pStyle w:val="TableParagraph"/>
              <w:spacing w:line="234" w:lineRule="exact" w:before="35"/>
              <w:ind w:left="219" w:right="202"/>
              <w:jc w:val="center"/>
              <w:rPr>
                <w:sz w:val="22"/>
              </w:rPr>
            </w:pPr>
            <w:r>
              <w:rPr>
                <w:sz w:val="22"/>
              </w:rPr>
              <w:t>2,632</w:t>
            </w:r>
          </w:p>
        </w:tc>
        <w:tc>
          <w:tcPr>
            <w:tcW w:w="974" w:type="dxa"/>
          </w:tcPr>
          <w:p>
            <w:pPr>
              <w:pStyle w:val="TableParagraph"/>
              <w:spacing w:line="234" w:lineRule="exact" w:before="35"/>
              <w:ind w:left="223" w:right="204"/>
              <w:jc w:val="center"/>
              <w:rPr>
                <w:sz w:val="22"/>
              </w:rPr>
            </w:pPr>
            <w:r>
              <w:rPr>
                <w:sz w:val="22"/>
              </w:rPr>
              <w:t>802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116" w:right="96"/>
              <w:jc w:val="center"/>
              <w:rPr>
                <w:sz w:val="22"/>
              </w:rPr>
            </w:pPr>
            <w:r>
              <w:rPr>
                <w:sz w:val="22"/>
              </w:rPr>
              <w:t>176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116" w:right="96"/>
              <w:jc w:val="center"/>
              <w:rPr>
                <w:sz w:val="22"/>
              </w:rPr>
            </w:pPr>
            <w:r>
              <w:rPr>
                <w:sz w:val="22"/>
              </w:rPr>
              <w:t>54</w:t>
            </w:r>
          </w:p>
        </w:tc>
        <w:tc>
          <w:tcPr>
            <w:tcW w:w="1524" w:type="dxa"/>
          </w:tcPr>
          <w:p>
            <w:pPr>
              <w:pStyle w:val="TableParagraph"/>
              <w:spacing w:line="234" w:lineRule="exact" w:before="35"/>
              <w:ind w:left="108" w:right="89"/>
              <w:jc w:val="center"/>
              <w:rPr>
                <w:sz w:val="22"/>
              </w:rPr>
            </w:pPr>
            <w:r>
              <w:rPr>
                <w:sz w:val="22"/>
              </w:rPr>
              <w:t>CP</w:t>
            </w:r>
          </w:p>
        </w:tc>
        <w:tc>
          <w:tcPr>
            <w:tcW w:w="1218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24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-</w:t>
            </w:r>
          </w:p>
        </w:tc>
      </w:tr>
      <w:tr>
        <w:trPr>
          <w:trHeight w:val="289" w:hRule="atLeast"/>
        </w:trPr>
        <w:tc>
          <w:tcPr>
            <w:tcW w:w="1661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164" w:right="76"/>
              <w:jc w:val="center"/>
              <w:rPr>
                <w:sz w:val="22"/>
              </w:rPr>
            </w:pPr>
            <w:r>
              <w:rPr>
                <w:sz w:val="22"/>
              </w:rPr>
              <w:t>E-FF1-1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3</w:t>
            </w:r>
          </w:p>
        </w:tc>
        <w:tc>
          <w:tcPr>
            <w:tcW w:w="973" w:type="dxa"/>
          </w:tcPr>
          <w:p>
            <w:pPr>
              <w:pStyle w:val="TableParagraph"/>
              <w:spacing w:line="234" w:lineRule="exact" w:before="35"/>
              <w:ind w:left="219" w:right="202"/>
              <w:jc w:val="center"/>
              <w:rPr>
                <w:sz w:val="22"/>
              </w:rPr>
            </w:pPr>
            <w:r>
              <w:rPr>
                <w:sz w:val="22"/>
              </w:rPr>
              <w:t>2,402</w:t>
            </w:r>
          </w:p>
        </w:tc>
        <w:tc>
          <w:tcPr>
            <w:tcW w:w="974" w:type="dxa"/>
          </w:tcPr>
          <w:p>
            <w:pPr>
              <w:pStyle w:val="TableParagraph"/>
              <w:spacing w:line="234" w:lineRule="exact" w:before="35"/>
              <w:ind w:left="223" w:right="204"/>
              <w:jc w:val="center"/>
              <w:rPr>
                <w:sz w:val="22"/>
              </w:rPr>
            </w:pPr>
            <w:r>
              <w:rPr>
                <w:sz w:val="22"/>
              </w:rPr>
              <w:t>732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1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1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1524" w:type="dxa"/>
          </w:tcPr>
          <w:p>
            <w:pPr>
              <w:pStyle w:val="TableParagraph"/>
              <w:spacing w:line="234" w:lineRule="exact" w:before="35"/>
              <w:ind w:left="108" w:right="89"/>
              <w:jc w:val="center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218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290" w:right="266"/>
              <w:jc w:val="center"/>
              <w:rPr>
                <w:sz w:val="22"/>
              </w:rPr>
            </w:pPr>
            <w:r>
              <w:rPr>
                <w:sz w:val="22"/>
              </w:rPr>
              <w:t>5.3438</w:t>
            </w:r>
          </w:p>
        </w:tc>
      </w:tr>
      <w:tr>
        <w:trPr>
          <w:trHeight w:val="290" w:hRule="atLeast"/>
        </w:trPr>
        <w:tc>
          <w:tcPr>
            <w:tcW w:w="1661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164" w:right="76"/>
              <w:jc w:val="center"/>
              <w:rPr>
                <w:sz w:val="22"/>
              </w:rPr>
            </w:pPr>
            <w:r>
              <w:rPr>
                <w:sz w:val="22"/>
              </w:rPr>
              <w:t>E-FF1-1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4</w:t>
            </w:r>
          </w:p>
        </w:tc>
        <w:tc>
          <w:tcPr>
            <w:tcW w:w="973" w:type="dxa"/>
          </w:tcPr>
          <w:p>
            <w:pPr>
              <w:pStyle w:val="TableParagraph"/>
              <w:spacing w:line="234" w:lineRule="exact" w:before="35"/>
              <w:ind w:left="219" w:right="202"/>
              <w:jc w:val="center"/>
              <w:rPr>
                <w:sz w:val="22"/>
              </w:rPr>
            </w:pPr>
            <w:r>
              <w:rPr>
                <w:sz w:val="22"/>
              </w:rPr>
              <w:t>2,472</w:t>
            </w:r>
          </w:p>
        </w:tc>
        <w:tc>
          <w:tcPr>
            <w:tcW w:w="974" w:type="dxa"/>
          </w:tcPr>
          <w:p>
            <w:pPr>
              <w:pStyle w:val="TableParagraph"/>
              <w:spacing w:line="234" w:lineRule="exact" w:before="35"/>
              <w:ind w:left="223" w:right="204"/>
              <w:jc w:val="center"/>
              <w:rPr>
                <w:sz w:val="22"/>
              </w:rPr>
            </w:pPr>
            <w:r>
              <w:rPr>
                <w:sz w:val="22"/>
              </w:rPr>
              <w:t>753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1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1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1524" w:type="dxa"/>
          </w:tcPr>
          <w:p>
            <w:pPr>
              <w:pStyle w:val="TableParagraph"/>
              <w:spacing w:line="234" w:lineRule="exact" w:before="35"/>
              <w:ind w:left="108" w:right="89"/>
              <w:jc w:val="center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218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291" w:right="266"/>
              <w:jc w:val="center"/>
              <w:rPr>
                <w:sz w:val="22"/>
              </w:rPr>
            </w:pPr>
            <w:r>
              <w:rPr>
                <w:sz w:val="22"/>
              </w:rPr>
              <w:t>5.8125</w:t>
            </w:r>
          </w:p>
        </w:tc>
      </w:tr>
      <w:tr>
        <w:trPr>
          <w:trHeight w:val="299" w:hRule="atLeast"/>
        </w:trPr>
        <w:tc>
          <w:tcPr>
            <w:tcW w:w="1661" w:type="dxa"/>
            <w:tcBorders>
              <w:left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34" w:lineRule="exact" w:before="45"/>
              <w:ind w:left="164" w:right="76"/>
              <w:jc w:val="center"/>
              <w:rPr>
                <w:sz w:val="22"/>
              </w:rPr>
            </w:pPr>
            <w:r>
              <w:rPr>
                <w:sz w:val="22"/>
              </w:rPr>
              <w:t>E-FF1-1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5</w:t>
            </w:r>
          </w:p>
        </w:tc>
        <w:tc>
          <w:tcPr>
            <w:tcW w:w="973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34" w:lineRule="exact" w:before="45"/>
              <w:ind w:left="219" w:right="202"/>
              <w:jc w:val="center"/>
              <w:rPr>
                <w:sz w:val="22"/>
              </w:rPr>
            </w:pPr>
            <w:r>
              <w:rPr>
                <w:sz w:val="22"/>
              </w:rPr>
              <w:t>2,527</w:t>
            </w:r>
          </w:p>
        </w:tc>
        <w:tc>
          <w:tcPr>
            <w:tcW w:w="974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34" w:lineRule="exact" w:before="45"/>
              <w:ind w:left="223" w:right="204"/>
              <w:jc w:val="center"/>
              <w:rPr>
                <w:sz w:val="22"/>
              </w:rPr>
            </w:pPr>
            <w:r>
              <w:rPr>
                <w:sz w:val="22"/>
              </w:rPr>
              <w:t>770</w:t>
            </w:r>
          </w:p>
        </w:tc>
        <w:tc>
          <w:tcPr>
            <w:tcW w:w="960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34" w:lineRule="exact" w:before="45"/>
              <w:ind w:left="1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960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34" w:lineRule="exact" w:before="45"/>
              <w:ind w:left="1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1524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34" w:lineRule="exact" w:before="45"/>
              <w:ind w:left="108" w:right="89"/>
              <w:jc w:val="center"/>
              <w:rPr>
                <w:sz w:val="22"/>
              </w:rPr>
            </w:pPr>
            <w:r>
              <w:rPr>
                <w:sz w:val="22"/>
              </w:rPr>
              <w:t>PP</w:t>
            </w:r>
          </w:p>
        </w:tc>
        <w:tc>
          <w:tcPr>
            <w:tcW w:w="1218" w:type="dxa"/>
            <w:tcBorders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34" w:lineRule="exact" w:before="45"/>
              <w:ind w:left="290" w:right="266"/>
              <w:jc w:val="center"/>
              <w:rPr>
                <w:sz w:val="22"/>
              </w:rPr>
            </w:pPr>
            <w:r>
              <w:rPr>
                <w:sz w:val="22"/>
              </w:rPr>
              <w:t>6.1250</w:t>
            </w:r>
          </w:p>
        </w:tc>
      </w:tr>
      <w:tr>
        <w:trPr>
          <w:trHeight w:val="300" w:hRule="atLeast"/>
        </w:trPr>
        <w:tc>
          <w:tcPr>
            <w:tcW w:w="8270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DAD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289" w:hRule="atLeast"/>
        </w:trPr>
        <w:tc>
          <w:tcPr>
            <w:tcW w:w="1661" w:type="dxa"/>
            <w:tcBorders>
              <w:top w:val="single" w:sz="8" w:space="0" w:color="000000"/>
              <w:lef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164" w:right="76"/>
              <w:jc w:val="center"/>
              <w:rPr>
                <w:sz w:val="22"/>
              </w:rPr>
            </w:pPr>
            <w:r>
              <w:rPr>
                <w:sz w:val="22"/>
              </w:rPr>
              <w:t>E-FF1-2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1</w:t>
            </w:r>
          </w:p>
        </w:tc>
        <w:tc>
          <w:tcPr>
            <w:tcW w:w="973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219" w:right="202"/>
              <w:jc w:val="center"/>
              <w:rPr>
                <w:sz w:val="22"/>
              </w:rPr>
            </w:pPr>
            <w:r>
              <w:rPr>
                <w:sz w:val="22"/>
              </w:rPr>
              <w:t>2,491</w:t>
            </w:r>
          </w:p>
        </w:tc>
        <w:tc>
          <w:tcPr>
            <w:tcW w:w="974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223" w:right="204"/>
              <w:jc w:val="center"/>
              <w:rPr>
                <w:sz w:val="22"/>
              </w:rPr>
            </w:pPr>
            <w:r>
              <w:rPr>
                <w:sz w:val="22"/>
              </w:rPr>
              <w:t>759</w:t>
            </w:r>
          </w:p>
        </w:tc>
        <w:tc>
          <w:tcPr>
            <w:tcW w:w="960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116" w:right="96"/>
              <w:jc w:val="center"/>
              <w:rPr>
                <w:sz w:val="22"/>
              </w:rPr>
            </w:pPr>
            <w:r>
              <w:rPr>
                <w:sz w:val="22"/>
              </w:rPr>
              <w:t>411</w:t>
            </w:r>
          </w:p>
        </w:tc>
        <w:tc>
          <w:tcPr>
            <w:tcW w:w="960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116" w:right="96"/>
              <w:jc w:val="center"/>
              <w:rPr>
                <w:sz w:val="22"/>
              </w:rPr>
            </w:pPr>
            <w:r>
              <w:rPr>
                <w:sz w:val="22"/>
              </w:rPr>
              <w:t>125</w:t>
            </w:r>
          </w:p>
        </w:tc>
        <w:tc>
          <w:tcPr>
            <w:tcW w:w="1524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108" w:right="89"/>
              <w:jc w:val="center"/>
              <w:rPr>
                <w:sz w:val="22"/>
              </w:rPr>
            </w:pPr>
            <w:r>
              <w:rPr>
                <w:sz w:val="22"/>
              </w:rPr>
              <w:t>CP</w:t>
            </w:r>
          </w:p>
        </w:tc>
        <w:tc>
          <w:tcPr>
            <w:tcW w:w="1218" w:type="dxa"/>
            <w:tcBorders>
              <w:top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24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-</w:t>
            </w:r>
          </w:p>
        </w:tc>
      </w:tr>
      <w:tr>
        <w:trPr>
          <w:trHeight w:val="290" w:hRule="atLeast"/>
        </w:trPr>
        <w:tc>
          <w:tcPr>
            <w:tcW w:w="1661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164" w:right="76"/>
              <w:jc w:val="center"/>
              <w:rPr>
                <w:sz w:val="22"/>
              </w:rPr>
            </w:pPr>
            <w:r>
              <w:rPr>
                <w:sz w:val="22"/>
              </w:rPr>
              <w:t>E-FF1-2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2</w:t>
            </w:r>
          </w:p>
        </w:tc>
        <w:tc>
          <w:tcPr>
            <w:tcW w:w="973" w:type="dxa"/>
          </w:tcPr>
          <w:p>
            <w:pPr>
              <w:pStyle w:val="TableParagraph"/>
              <w:spacing w:line="234" w:lineRule="exact" w:before="35"/>
              <w:ind w:left="219" w:right="202"/>
              <w:jc w:val="center"/>
              <w:rPr>
                <w:sz w:val="22"/>
              </w:rPr>
            </w:pPr>
            <w:r>
              <w:rPr>
                <w:sz w:val="22"/>
              </w:rPr>
              <w:t>2,626</w:t>
            </w:r>
          </w:p>
        </w:tc>
        <w:tc>
          <w:tcPr>
            <w:tcW w:w="974" w:type="dxa"/>
          </w:tcPr>
          <w:p>
            <w:pPr>
              <w:pStyle w:val="TableParagraph"/>
              <w:spacing w:line="234" w:lineRule="exact" w:before="35"/>
              <w:ind w:left="223" w:right="204"/>
              <w:jc w:val="center"/>
              <w:rPr>
                <w:sz w:val="22"/>
              </w:rPr>
            </w:pPr>
            <w:r>
              <w:rPr>
                <w:sz w:val="22"/>
              </w:rPr>
              <w:t>800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116" w:right="96"/>
              <w:jc w:val="center"/>
              <w:rPr>
                <w:sz w:val="22"/>
              </w:rPr>
            </w:pPr>
            <w:r>
              <w:rPr>
                <w:sz w:val="22"/>
              </w:rPr>
              <w:t>944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116" w:right="96"/>
              <w:jc w:val="center"/>
              <w:rPr>
                <w:sz w:val="22"/>
              </w:rPr>
            </w:pPr>
            <w:r>
              <w:rPr>
                <w:sz w:val="22"/>
              </w:rPr>
              <w:t>288</w:t>
            </w:r>
          </w:p>
        </w:tc>
        <w:tc>
          <w:tcPr>
            <w:tcW w:w="1524" w:type="dxa"/>
          </w:tcPr>
          <w:p>
            <w:pPr>
              <w:pStyle w:val="TableParagraph"/>
              <w:spacing w:line="234" w:lineRule="exact" w:before="35"/>
              <w:ind w:left="108" w:right="89"/>
              <w:jc w:val="center"/>
              <w:rPr>
                <w:sz w:val="22"/>
              </w:rPr>
            </w:pPr>
            <w:r>
              <w:rPr>
                <w:sz w:val="22"/>
              </w:rPr>
              <w:t>CP</w:t>
            </w:r>
          </w:p>
        </w:tc>
        <w:tc>
          <w:tcPr>
            <w:tcW w:w="1218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24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-</w:t>
            </w:r>
          </w:p>
        </w:tc>
      </w:tr>
      <w:tr>
        <w:trPr>
          <w:trHeight w:val="289" w:hRule="atLeast"/>
        </w:trPr>
        <w:tc>
          <w:tcPr>
            <w:tcW w:w="1661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164" w:right="76"/>
              <w:jc w:val="center"/>
              <w:rPr>
                <w:sz w:val="22"/>
              </w:rPr>
            </w:pPr>
            <w:r>
              <w:rPr>
                <w:sz w:val="22"/>
              </w:rPr>
              <w:t>E-FF1-2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3</w:t>
            </w:r>
          </w:p>
        </w:tc>
        <w:tc>
          <w:tcPr>
            <w:tcW w:w="973" w:type="dxa"/>
          </w:tcPr>
          <w:p>
            <w:pPr>
              <w:pStyle w:val="TableParagraph"/>
              <w:spacing w:line="234" w:lineRule="exact" w:before="35"/>
              <w:ind w:left="219" w:right="202"/>
              <w:jc w:val="center"/>
              <w:rPr>
                <w:sz w:val="22"/>
              </w:rPr>
            </w:pPr>
            <w:r>
              <w:rPr>
                <w:sz w:val="22"/>
              </w:rPr>
              <w:t>2,297</w:t>
            </w:r>
          </w:p>
        </w:tc>
        <w:tc>
          <w:tcPr>
            <w:tcW w:w="974" w:type="dxa"/>
          </w:tcPr>
          <w:p>
            <w:pPr>
              <w:pStyle w:val="TableParagraph"/>
              <w:spacing w:line="234" w:lineRule="exact" w:before="35"/>
              <w:ind w:left="223" w:right="204"/>
              <w:jc w:val="center"/>
              <w:rPr>
                <w:sz w:val="22"/>
              </w:rPr>
            </w:pPr>
            <w:r>
              <w:rPr>
                <w:sz w:val="22"/>
              </w:rPr>
              <w:t>700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116" w:right="96"/>
              <w:jc w:val="center"/>
              <w:rPr>
                <w:sz w:val="22"/>
              </w:rPr>
            </w:pPr>
            <w:r>
              <w:rPr>
                <w:sz w:val="22"/>
              </w:rPr>
              <w:t>380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116" w:right="96"/>
              <w:jc w:val="center"/>
              <w:rPr>
                <w:sz w:val="22"/>
              </w:rPr>
            </w:pPr>
            <w:r>
              <w:rPr>
                <w:sz w:val="22"/>
              </w:rPr>
              <w:t>116</w:t>
            </w:r>
          </w:p>
        </w:tc>
        <w:tc>
          <w:tcPr>
            <w:tcW w:w="1524" w:type="dxa"/>
          </w:tcPr>
          <w:p>
            <w:pPr>
              <w:pStyle w:val="TableParagraph"/>
              <w:spacing w:line="234" w:lineRule="exact" w:before="35"/>
              <w:ind w:left="108" w:right="89"/>
              <w:jc w:val="center"/>
              <w:rPr>
                <w:sz w:val="22"/>
              </w:rPr>
            </w:pPr>
            <w:r>
              <w:rPr>
                <w:sz w:val="22"/>
              </w:rPr>
              <w:t>CP</w:t>
            </w:r>
          </w:p>
        </w:tc>
        <w:tc>
          <w:tcPr>
            <w:tcW w:w="1218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24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-</w:t>
            </w:r>
          </w:p>
        </w:tc>
      </w:tr>
      <w:tr>
        <w:trPr>
          <w:trHeight w:val="290" w:hRule="atLeast"/>
        </w:trPr>
        <w:tc>
          <w:tcPr>
            <w:tcW w:w="1661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164" w:right="76"/>
              <w:jc w:val="center"/>
              <w:rPr>
                <w:sz w:val="22"/>
              </w:rPr>
            </w:pPr>
            <w:r>
              <w:rPr>
                <w:sz w:val="22"/>
              </w:rPr>
              <w:t>E-FF1-2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4</w:t>
            </w:r>
          </w:p>
        </w:tc>
        <w:tc>
          <w:tcPr>
            <w:tcW w:w="973" w:type="dxa"/>
          </w:tcPr>
          <w:p>
            <w:pPr>
              <w:pStyle w:val="TableParagraph"/>
              <w:spacing w:line="234" w:lineRule="exact" w:before="35"/>
              <w:ind w:left="219" w:right="202"/>
              <w:jc w:val="center"/>
              <w:rPr>
                <w:sz w:val="22"/>
              </w:rPr>
            </w:pPr>
            <w:r>
              <w:rPr>
                <w:sz w:val="22"/>
              </w:rPr>
              <w:t>2,382</w:t>
            </w:r>
          </w:p>
        </w:tc>
        <w:tc>
          <w:tcPr>
            <w:tcW w:w="974" w:type="dxa"/>
          </w:tcPr>
          <w:p>
            <w:pPr>
              <w:pStyle w:val="TableParagraph"/>
              <w:spacing w:line="234" w:lineRule="exact" w:before="35"/>
              <w:ind w:left="223" w:right="204"/>
              <w:jc w:val="center"/>
              <w:rPr>
                <w:sz w:val="22"/>
              </w:rPr>
            </w:pPr>
            <w:r>
              <w:rPr>
                <w:sz w:val="22"/>
              </w:rPr>
              <w:t>726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116" w:right="96"/>
              <w:jc w:val="center"/>
              <w:rPr>
                <w:sz w:val="22"/>
              </w:rPr>
            </w:pPr>
            <w:r>
              <w:rPr>
                <w:sz w:val="22"/>
              </w:rPr>
              <w:t>593</w:t>
            </w:r>
          </w:p>
        </w:tc>
        <w:tc>
          <w:tcPr>
            <w:tcW w:w="960" w:type="dxa"/>
          </w:tcPr>
          <w:p>
            <w:pPr>
              <w:pStyle w:val="TableParagraph"/>
              <w:spacing w:line="234" w:lineRule="exact" w:before="35"/>
              <w:ind w:left="116" w:right="96"/>
              <w:jc w:val="center"/>
              <w:rPr>
                <w:sz w:val="22"/>
              </w:rPr>
            </w:pPr>
            <w:r>
              <w:rPr>
                <w:sz w:val="22"/>
              </w:rPr>
              <w:t>181</w:t>
            </w:r>
          </w:p>
        </w:tc>
        <w:tc>
          <w:tcPr>
            <w:tcW w:w="1524" w:type="dxa"/>
          </w:tcPr>
          <w:p>
            <w:pPr>
              <w:pStyle w:val="TableParagraph"/>
              <w:spacing w:line="234" w:lineRule="exact" w:before="35"/>
              <w:ind w:left="108" w:right="89"/>
              <w:jc w:val="center"/>
              <w:rPr>
                <w:sz w:val="22"/>
              </w:rPr>
            </w:pPr>
            <w:r>
              <w:rPr>
                <w:sz w:val="22"/>
              </w:rPr>
              <w:t>CP</w:t>
            </w:r>
          </w:p>
        </w:tc>
        <w:tc>
          <w:tcPr>
            <w:tcW w:w="1218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24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-</w:t>
            </w:r>
          </w:p>
        </w:tc>
      </w:tr>
      <w:tr>
        <w:trPr>
          <w:trHeight w:val="299" w:hRule="atLeast"/>
        </w:trPr>
        <w:tc>
          <w:tcPr>
            <w:tcW w:w="1661" w:type="dxa"/>
            <w:tcBorders>
              <w:left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34" w:lineRule="exact" w:before="45"/>
              <w:ind w:left="164" w:right="76"/>
              <w:jc w:val="center"/>
              <w:rPr>
                <w:sz w:val="22"/>
              </w:rPr>
            </w:pPr>
            <w:r>
              <w:rPr>
                <w:sz w:val="22"/>
              </w:rPr>
              <w:t>E-FF1-2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Shot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5</w:t>
            </w:r>
          </w:p>
        </w:tc>
        <w:tc>
          <w:tcPr>
            <w:tcW w:w="973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34" w:lineRule="exact" w:before="45"/>
              <w:ind w:left="219" w:right="202"/>
              <w:jc w:val="center"/>
              <w:rPr>
                <w:sz w:val="22"/>
              </w:rPr>
            </w:pPr>
            <w:r>
              <w:rPr>
                <w:sz w:val="22"/>
              </w:rPr>
              <w:t>2,356</w:t>
            </w:r>
          </w:p>
        </w:tc>
        <w:tc>
          <w:tcPr>
            <w:tcW w:w="974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34" w:lineRule="exact" w:before="45"/>
              <w:ind w:left="223" w:right="204"/>
              <w:jc w:val="center"/>
              <w:rPr>
                <w:sz w:val="22"/>
              </w:rPr>
            </w:pPr>
            <w:r>
              <w:rPr>
                <w:sz w:val="22"/>
              </w:rPr>
              <w:t>718</w:t>
            </w:r>
          </w:p>
        </w:tc>
        <w:tc>
          <w:tcPr>
            <w:tcW w:w="960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34" w:lineRule="exact" w:before="45"/>
              <w:ind w:left="116" w:right="96"/>
              <w:jc w:val="center"/>
              <w:rPr>
                <w:sz w:val="22"/>
              </w:rPr>
            </w:pPr>
            <w:r>
              <w:rPr>
                <w:sz w:val="22"/>
              </w:rPr>
              <w:t>510</w:t>
            </w:r>
          </w:p>
        </w:tc>
        <w:tc>
          <w:tcPr>
            <w:tcW w:w="960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34" w:lineRule="exact" w:before="45"/>
              <w:ind w:left="116" w:right="96"/>
              <w:jc w:val="center"/>
              <w:rPr>
                <w:sz w:val="22"/>
              </w:rPr>
            </w:pPr>
            <w:r>
              <w:rPr>
                <w:sz w:val="22"/>
              </w:rPr>
              <w:t>155</w:t>
            </w:r>
          </w:p>
        </w:tc>
        <w:tc>
          <w:tcPr>
            <w:tcW w:w="1524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34" w:lineRule="exact" w:before="45"/>
              <w:ind w:left="108" w:right="89"/>
              <w:jc w:val="center"/>
              <w:rPr>
                <w:sz w:val="22"/>
              </w:rPr>
            </w:pPr>
            <w:r>
              <w:rPr>
                <w:sz w:val="22"/>
              </w:rPr>
              <w:t>CP</w:t>
            </w:r>
          </w:p>
        </w:tc>
        <w:tc>
          <w:tcPr>
            <w:tcW w:w="1218" w:type="dxa"/>
            <w:tcBorders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34" w:lineRule="exact" w:before="45"/>
              <w:ind w:left="24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-</w:t>
            </w:r>
          </w:p>
        </w:tc>
      </w:tr>
    </w:tbl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1"/>
        <w:rPr>
          <w:i/>
        </w:rPr>
      </w:pPr>
    </w:p>
    <w:p>
      <w:pPr>
        <w:pStyle w:val="BodyText"/>
        <w:spacing w:line="480" w:lineRule="auto" w:before="90"/>
        <w:ind w:left="439" w:right="417" w:firstLine="720"/>
        <w:jc w:val="both"/>
      </w:pPr>
      <w:r>
        <w:rPr/>
        <w:t>A</w:t>
      </w:r>
      <w:r>
        <w:rPr>
          <w:spacing w:val="-8"/>
        </w:rPr>
        <w:t> </w:t>
      </w:r>
      <w:r>
        <w:rPr/>
        <w:t>cross-section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projectile</w:t>
      </w:r>
      <w:r>
        <w:rPr>
          <w:spacing w:val="-7"/>
        </w:rPr>
        <w:t> </w:t>
      </w:r>
      <w:r>
        <w:rPr/>
        <w:t>path</w:t>
      </w:r>
      <w:r>
        <w:rPr>
          <w:spacing w:val="-9"/>
        </w:rPr>
        <w:t> </w:t>
      </w:r>
      <w:r>
        <w:rPr/>
        <w:t>for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/>
        <w:t>partial</w:t>
      </w:r>
      <w:r>
        <w:rPr>
          <w:spacing w:val="-8"/>
        </w:rPr>
        <w:t> </w:t>
      </w:r>
      <w:r>
        <w:rPr/>
        <w:t>penetration</w:t>
      </w:r>
      <w:r>
        <w:rPr>
          <w:spacing w:val="-9"/>
        </w:rPr>
        <w:t> </w:t>
      </w:r>
      <w:r>
        <w:rPr/>
        <w:t>shot,</w:t>
      </w:r>
      <w:r>
        <w:rPr>
          <w:spacing w:val="-7"/>
        </w:rPr>
        <w:t> </w:t>
      </w:r>
      <w:r>
        <w:rPr/>
        <w:t>shown</w:t>
      </w:r>
      <w:r>
        <w:rPr>
          <w:spacing w:val="-7"/>
        </w:rPr>
        <w:t> </w:t>
      </w:r>
      <w:r>
        <w:rPr/>
        <w:t>in</w:t>
      </w:r>
      <w:r>
        <w:rPr>
          <w:spacing w:val="-7"/>
        </w:rPr>
        <w:t> </w:t>
      </w:r>
      <w:hyperlink w:history="true" w:anchor="_bookmark164">
        <w:r>
          <w:rPr/>
          <w:t>Figure</w:t>
        </w:r>
      </w:hyperlink>
      <w:r>
        <w:rPr>
          <w:spacing w:val="-58"/>
        </w:rPr>
        <w:t> </w:t>
      </w:r>
      <w:hyperlink w:history="true" w:anchor="_bookmark164">
        <w:r>
          <w:rPr/>
          <w:t>7-34</w:t>
        </w:r>
      </w:hyperlink>
      <w:r>
        <w:rPr/>
        <w:t>,</w:t>
      </w:r>
      <w:r>
        <w:rPr>
          <w:spacing w:val="-12"/>
        </w:rPr>
        <w:t> </w:t>
      </w:r>
      <w:r>
        <w:rPr/>
        <w:t>shows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projectile</w:t>
      </w:r>
      <w:r>
        <w:rPr>
          <w:spacing w:val="-12"/>
        </w:rPr>
        <w:t> </w:t>
      </w:r>
      <w:r>
        <w:rPr/>
        <w:t>stopped</w:t>
      </w:r>
      <w:r>
        <w:rPr>
          <w:spacing w:val="-12"/>
        </w:rPr>
        <w:t> </w:t>
      </w:r>
      <w:r>
        <w:rPr/>
        <w:t>at</w:t>
      </w:r>
      <w:r>
        <w:rPr>
          <w:spacing w:val="-13"/>
        </w:rPr>
        <w:t> </w:t>
      </w:r>
      <w:r>
        <w:rPr/>
        <w:t>the</w:t>
      </w:r>
      <w:r>
        <w:rPr>
          <w:spacing w:val="-11"/>
        </w:rPr>
        <w:t> </w:t>
      </w:r>
      <w:r>
        <w:rPr/>
        <w:t>last</w:t>
      </w:r>
      <w:r>
        <w:rPr>
          <w:spacing w:val="-12"/>
        </w:rPr>
        <w:t> </w:t>
      </w:r>
      <w:r>
        <w:rPr/>
        <w:t>fabric</w:t>
      </w:r>
      <w:r>
        <w:rPr>
          <w:spacing w:val="-12"/>
        </w:rPr>
        <w:t> </w:t>
      </w:r>
      <w:r>
        <w:rPr/>
        <w:t>ply</w:t>
      </w:r>
      <w:r>
        <w:rPr>
          <w:spacing w:val="-12"/>
        </w:rPr>
        <w:t> </w:t>
      </w:r>
      <w:r>
        <w:rPr/>
        <w:t>with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fiberglass</w:t>
      </w:r>
      <w:r>
        <w:rPr>
          <w:spacing w:val="-13"/>
        </w:rPr>
        <w:t> </w:t>
      </w:r>
      <w:r>
        <w:rPr/>
        <w:t>visibly</w:t>
      </w:r>
      <w:r>
        <w:rPr>
          <w:spacing w:val="-11"/>
        </w:rPr>
        <w:t> </w:t>
      </w:r>
      <w:r>
        <w:rPr/>
        <w:t>stretched.</w:t>
      </w:r>
      <w:r>
        <w:rPr>
          <w:spacing w:val="-58"/>
        </w:rPr>
        <w:t> </w:t>
      </w:r>
      <w:r>
        <w:rPr/>
        <w:t>While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fewer</w:t>
      </w:r>
      <w:r>
        <w:rPr>
          <w:spacing w:val="-8"/>
        </w:rPr>
        <w:t> </w:t>
      </w:r>
      <w:r>
        <w:rPr/>
        <w:t>number</w:t>
      </w:r>
      <w:r>
        <w:rPr>
          <w:spacing w:val="-7"/>
        </w:rPr>
        <w:t> </w:t>
      </w:r>
      <w:r>
        <w:rPr/>
        <w:t>of</w:t>
      </w:r>
      <w:r>
        <w:rPr>
          <w:spacing w:val="-9"/>
        </w:rPr>
        <w:t> </w:t>
      </w:r>
      <w:r>
        <w:rPr/>
        <w:t>partial</w:t>
      </w:r>
      <w:r>
        <w:rPr>
          <w:spacing w:val="-8"/>
        </w:rPr>
        <w:t> </w:t>
      </w:r>
      <w:r>
        <w:rPr/>
        <w:t>penetrations</w:t>
      </w:r>
      <w:r>
        <w:rPr>
          <w:spacing w:val="-8"/>
        </w:rPr>
        <w:t> </w:t>
      </w:r>
      <w:r>
        <w:rPr/>
        <w:t>seemingly</w:t>
      </w:r>
      <w:r>
        <w:rPr>
          <w:spacing w:val="-8"/>
        </w:rPr>
        <w:t> </w:t>
      </w:r>
      <w:r>
        <w:rPr/>
        <w:t>indicates</w:t>
      </w:r>
      <w:r>
        <w:rPr>
          <w:spacing w:val="-9"/>
        </w:rPr>
        <w:t> </w:t>
      </w:r>
      <w:r>
        <w:rPr/>
        <w:t>less</w:t>
      </w:r>
      <w:r>
        <w:rPr>
          <w:spacing w:val="-7"/>
        </w:rPr>
        <w:t> </w:t>
      </w:r>
      <w:r>
        <w:rPr/>
        <w:t>ballistic</w:t>
      </w:r>
      <w:r>
        <w:rPr>
          <w:spacing w:val="-8"/>
        </w:rPr>
        <w:t> </w:t>
      </w:r>
      <w:r>
        <w:rPr/>
        <w:t>resistance</w:t>
      </w:r>
      <w:r>
        <w:rPr>
          <w:spacing w:val="-58"/>
        </w:rPr>
        <w:t> </w:t>
      </w:r>
      <w:r>
        <w:rPr/>
        <w:t>than the consolidated 4-ply, more testing would be required to draw that conclusion</w:t>
      </w:r>
      <w:r>
        <w:rPr>
          <w:spacing w:val="1"/>
        </w:rPr>
        <w:t> </w:t>
      </w:r>
      <w:r>
        <w:rPr/>
        <w:t>definitively.</w:t>
      </w:r>
      <w:r>
        <w:rPr>
          <w:spacing w:val="1"/>
        </w:rPr>
        <w:t> </w:t>
      </w:r>
      <w:r>
        <w:rPr/>
        <w:t>Compared to the baseline CLT, the separated 4-ply fiberglass fabric still</w:t>
      </w:r>
      <w:r>
        <w:rPr>
          <w:spacing w:val="1"/>
        </w:rPr>
        <w:t> </w:t>
      </w:r>
      <w:r>
        <w:rPr/>
        <w:t>stopped four of the ten test shots and had a residual velocity, similar to the complete</w:t>
      </w:r>
      <w:r>
        <w:rPr>
          <w:spacing w:val="1"/>
        </w:rPr>
        <w:t> </w:t>
      </w:r>
      <w:r>
        <w:rPr/>
        <w:t>penetrations</w:t>
      </w:r>
      <w:r>
        <w:rPr>
          <w:spacing w:val="-7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consolidated</w:t>
      </w:r>
      <w:r>
        <w:rPr>
          <w:spacing w:val="-5"/>
        </w:rPr>
        <w:t> </w:t>
      </w:r>
      <w:r>
        <w:rPr/>
        <w:t>4-ply,</w:t>
      </w:r>
      <w:r>
        <w:rPr>
          <w:spacing w:val="-5"/>
        </w:rPr>
        <w:t> </w:t>
      </w:r>
      <w:r>
        <w:rPr/>
        <w:t>less</w:t>
      </w:r>
      <w:r>
        <w:rPr>
          <w:spacing w:val="-7"/>
        </w:rPr>
        <w:t> </w:t>
      </w:r>
      <w:r>
        <w:rPr/>
        <w:t>than</w:t>
      </w:r>
      <w:r>
        <w:rPr>
          <w:spacing w:val="-6"/>
        </w:rPr>
        <w:t> </w:t>
      </w:r>
      <w:r>
        <w:rPr/>
        <w:t>half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average</w:t>
      </w:r>
      <w:r>
        <w:rPr>
          <w:spacing w:val="-5"/>
        </w:rPr>
        <w:t> </w:t>
      </w:r>
      <w:r>
        <w:rPr/>
        <w:t>residual</w:t>
      </w:r>
      <w:r>
        <w:rPr>
          <w:spacing w:val="-6"/>
        </w:rPr>
        <w:t> </w:t>
      </w:r>
      <w:r>
        <w:rPr/>
        <w:t>velocity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5-</w:t>
      </w:r>
      <w:r>
        <w:rPr>
          <w:spacing w:val="-58"/>
        </w:rPr>
        <w:t> </w:t>
      </w:r>
      <w:r>
        <w:rPr/>
        <w:t>ply</w:t>
      </w:r>
      <w:r>
        <w:rPr>
          <w:spacing w:val="-1"/>
        </w:rPr>
        <w:t> </w:t>
      </w:r>
      <w:r>
        <w:rPr/>
        <w:t>CLT</w:t>
      </w:r>
      <w:r>
        <w:rPr>
          <w:spacing w:val="-1"/>
        </w:rPr>
        <w:t> </w:t>
      </w:r>
      <w:r>
        <w:rPr/>
        <w:t>without the fiberglass fabric.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ind w:left="2150"/>
        <w:rPr>
          <w:sz w:val="20"/>
        </w:rPr>
      </w:pPr>
      <w:r>
        <w:rPr>
          <w:sz w:val="20"/>
        </w:rPr>
        <w:pict>
          <v:group style="width:261.1500pt;height:293pt;mso-position-horizontal-relative:char;mso-position-vertical-relative:line" coordorigin="0,0" coordsize="5223,5860">
            <v:shape style="position:absolute;left:0;top:0;width:5223;height:3011" type="#_x0000_t75" stroked="false">
              <v:imagedata r:id="rId417" o:title=""/>
            </v:shape>
            <v:shape style="position:absolute;left:85;top:3032;width:5044;height:2827" type="#_x0000_t75" stroked="false">
              <v:imagedata r:id="rId418" o:title=""/>
            </v:shape>
          </v:group>
        </w:pict>
      </w:r>
      <w:r>
        <w:rPr>
          <w:sz w:val="20"/>
        </w:rPr>
      </w:r>
    </w:p>
    <w:p>
      <w:pPr>
        <w:pStyle w:val="BodyText"/>
        <w:rPr>
          <w:sz w:val="7"/>
        </w:rPr>
      </w:pPr>
    </w:p>
    <w:p>
      <w:pPr>
        <w:spacing w:before="90"/>
        <w:ind w:left="440" w:right="403" w:firstLine="0"/>
        <w:jc w:val="left"/>
        <w:rPr>
          <w:i/>
          <w:sz w:val="24"/>
        </w:rPr>
      </w:pPr>
      <w:bookmarkStart w:name="_bookmark163" w:id="486"/>
      <w:bookmarkEnd w:id="486"/>
      <w:r>
        <w:rPr/>
      </w:r>
      <w:r>
        <w:rPr>
          <w:i/>
          <w:sz w:val="24"/>
        </w:rPr>
        <w:t>Figure</w:t>
      </w:r>
      <w:r>
        <w:rPr>
          <w:i/>
          <w:spacing w:val="42"/>
          <w:sz w:val="24"/>
        </w:rPr>
        <w:t> </w:t>
      </w:r>
      <w:r>
        <w:rPr>
          <w:i/>
          <w:sz w:val="24"/>
        </w:rPr>
        <w:t>7-33.</w:t>
      </w:r>
      <w:r>
        <w:rPr>
          <w:i/>
          <w:spacing w:val="43"/>
          <w:sz w:val="24"/>
        </w:rPr>
        <w:t> </w:t>
      </w:r>
      <w:r>
        <w:rPr>
          <w:i/>
          <w:sz w:val="24"/>
        </w:rPr>
        <w:t>Cross-section</w:t>
      </w:r>
      <w:r>
        <w:rPr>
          <w:i/>
          <w:spacing w:val="43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42"/>
          <w:sz w:val="24"/>
        </w:rPr>
        <w:t> </w:t>
      </w:r>
      <w:r>
        <w:rPr>
          <w:i/>
          <w:sz w:val="24"/>
        </w:rPr>
        <w:t>projectile</w:t>
      </w:r>
      <w:r>
        <w:rPr>
          <w:i/>
          <w:spacing w:val="43"/>
          <w:sz w:val="24"/>
        </w:rPr>
        <w:t> </w:t>
      </w:r>
      <w:r>
        <w:rPr>
          <w:i/>
          <w:sz w:val="24"/>
        </w:rPr>
        <w:t>path</w:t>
      </w:r>
      <w:r>
        <w:rPr>
          <w:i/>
          <w:spacing w:val="43"/>
          <w:sz w:val="24"/>
        </w:rPr>
        <w:t> </w:t>
      </w:r>
      <w:r>
        <w:rPr>
          <w:i/>
          <w:sz w:val="24"/>
        </w:rPr>
        <w:t>through</w:t>
      </w:r>
      <w:r>
        <w:rPr>
          <w:i/>
          <w:spacing w:val="42"/>
          <w:sz w:val="24"/>
        </w:rPr>
        <w:t> </w:t>
      </w:r>
      <w:r>
        <w:rPr>
          <w:i/>
          <w:sz w:val="24"/>
        </w:rPr>
        <w:t>ECLT</w:t>
      </w:r>
      <w:r>
        <w:rPr>
          <w:i/>
          <w:spacing w:val="43"/>
          <w:sz w:val="24"/>
        </w:rPr>
        <w:t> </w:t>
      </w:r>
      <w:r>
        <w:rPr>
          <w:i/>
          <w:sz w:val="24"/>
        </w:rPr>
        <w:t>specimen</w:t>
      </w:r>
      <w:r>
        <w:rPr>
          <w:i/>
          <w:spacing w:val="43"/>
          <w:sz w:val="24"/>
        </w:rPr>
        <w:t> </w:t>
      </w:r>
      <w:r>
        <w:rPr>
          <w:i/>
          <w:sz w:val="24"/>
        </w:rPr>
        <w:t>with</w:t>
      </w:r>
      <w:r>
        <w:rPr>
          <w:i/>
          <w:spacing w:val="42"/>
          <w:sz w:val="24"/>
        </w:rPr>
        <w:t> </w:t>
      </w:r>
      <w:r>
        <w:rPr>
          <w:i/>
          <w:sz w:val="24"/>
        </w:rPr>
        <w:t>separated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fiberglass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fabric layer between wood layers.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1"/>
        <w:rPr>
          <w:i/>
          <w:sz w:val="26"/>
        </w:rPr>
      </w:pPr>
      <w:r>
        <w:rPr/>
        <w:drawing>
          <wp:anchor distT="0" distB="0" distL="0" distR="0" allowOverlap="1" layoutInCell="1" locked="0" behindDoc="0" simplePos="0" relativeHeight="302">
            <wp:simplePos x="0" y="0"/>
            <wp:positionH relativeFrom="page">
              <wp:posOffset>1609725</wp:posOffset>
            </wp:positionH>
            <wp:positionV relativeFrom="paragraph">
              <wp:posOffset>215391</wp:posOffset>
            </wp:positionV>
            <wp:extent cx="4995971" cy="1573530"/>
            <wp:effectExtent l="0" t="0" r="0" b="0"/>
            <wp:wrapTopAndBottom/>
            <wp:docPr id="231" name="image40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409.jpeg"/>
                    <pic:cNvPicPr/>
                  </pic:nvPicPr>
                  <pic:blipFill>
                    <a:blip r:embed="rId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5971" cy="1573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82"/>
        <w:ind w:left="440" w:right="403" w:firstLine="0"/>
        <w:jc w:val="left"/>
        <w:rPr>
          <w:i/>
          <w:sz w:val="24"/>
        </w:rPr>
      </w:pPr>
      <w:bookmarkStart w:name="_bookmark164" w:id="487"/>
      <w:bookmarkEnd w:id="487"/>
      <w:r>
        <w:rPr/>
      </w:r>
      <w:r>
        <w:rPr>
          <w:i/>
          <w:sz w:val="24"/>
        </w:rPr>
        <w:t>Figure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7-34.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Close-up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perspective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projectile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stopped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within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ECLT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made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with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separated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layers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fiberglass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fabric.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229"/>
        <w:ind w:left="440" w:right="403" w:firstLine="720"/>
      </w:pPr>
      <w:r>
        <w:rPr/>
        <w:t>Generally,</w:t>
      </w:r>
      <w:r>
        <w:rPr>
          <w:spacing w:val="8"/>
        </w:rPr>
        <w:t> </w:t>
      </w:r>
      <w:r>
        <w:rPr/>
        <w:t>the</w:t>
      </w:r>
      <w:r>
        <w:rPr>
          <w:spacing w:val="9"/>
        </w:rPr>
        <w:t> </w:t>
      </w:r>
      <w:r>
        <w:rPr/>
        <w:t>fiberglass</w:t>
      </w:r>
      <w:r>
        <w:rPr>
          <w:spacing w:val="9"/>
        </w:rPr>
        <w:t> </w:t>
      </w:r>
      <w:r>
        <w:rPr/>
        <w:t>fabric</w:t>
      </w:r>
      <w:r>
        <w:rPr>
          <w:spacing w:val="9"/>
        </w:rPr>
        <w:t> </w:t>
      </w:r>
      <w:r>
        <w:rPr/>
        <w:t>performed</w:t>
      </w:r>
      <w:r>
        <w:rPr>
          <w:spacing w:val="9"/>
        </w:rPr>
        <w:t> </w:t>
      </w:r>
      <w:r>
        <w:rPr/>
        <w:t>well.</w:t>
      </w:r>
      <w:r>
        <w:rPr>
          <w:spacing w:val="19"/>
        </w:rPr>
        <w:t> </w:t>
      </w:r>
      <w:r>
        <w:rPr/>
        <w:t>While</w:t>
      </w:r>
      <w:r>
        <w:rPr>
          <w:spacing w:val="9"/>
        </w:rPr>
        <w:t> </w:t>
      </w:r>
      <w:r>
        <w:rPr/>
        <w:t>the</w:t>
      </w:r>
      <w:r>
        <w:rPr>
          <w:spacing w:val="7"/>
        </w:rPr>
        <w:t> </w:t>
      </w:r>
      <w:r>
        <w:rPr/>
        <w:t>new</w:t>
      </w:r>
      <w:r>
        <w:rPr>
          <w:spacing w:val="8"/>
        </w:rPr>
        <w:t> </w:t>
      </w:r>
      <w:r>
        <w:rPr/>
        <w:t>technology</w:t>
      </w:r>
      <w:r>
        <w:rPr>
          <w:spacing w:val="9"/>
        </w:rPr>
        <w:t> </w:t>
      </w:r>
      <w:r>
        <w:rPr/>
        <w:t>fiber-</w:t>
      </w:r>
      <w:r>
        <w:rPr>
          <w:spacing w:val="-57"/>
        </w:rPr>
        <w:t> </w:t>
      </w:r>
      <w:r>
        <w:rPr/>
        <w:t>based</w:t>
      </w:r>
      <w:r>
        <w:rPr>
          <w:spacing w:val="-6"/>
        </w:rPr>
        <w:t> </w:t>
      </w:r>
      <w:r>
        <w:rPr/>
        <w:t>panels</w:t>
      </w:r>
      <w:r>
        <w:rPr>
          <w:spacing w:val="-6"/>
        </w:rPr>
        <w:t> </w:t>
      </w:r>
      <w:r>
        <w:rPr/>
        <w:t>such</w:t>
      </w:r>
      <w:r>
        <w:rPr>
          <w:spacing w:val="-6"/>
        </w:rPr>
        <w:t> </w:t>
      </w:r>
      <w:r>
        <w:rPr/>
        <w:t>as</w:t>
      </w:r>
      <w:r>
        <w:rPr>
          <w:spacing w:val="-5"/>
        </w:rPr>
        <w:t> </w:t>
      </w:r>
      <w:r>
        <w:rPr/>
        <w:t>aramid</w:t>
      </w:r>
      <w:r>
        <w:rPr>
          <w:spacing w:val="-6"/>
        </w:rPr>
        <w:t> </w:t>
      </w:r>
      <w:r>
        <w:rPr/>
        <w:t>and</w:t>
      </w:r>
      <w:r>
        <w:rPr>
          <w:spacing w:val="-5"/>
        </w:rPr>
        <w:t> </w:t>
      </w:r>
      <w:r>
        <w:rPr/>
        <w:t>UHMWPE</w:t>
      </w:r>
      <w:r>
        <w:rPr>
          <w:spacing w:val="-6"/>
        </w:rPr>
        <w:t> </w:t>
      </w:r>
      <w:r>
        <w:rPr/>
        <w:t>had</w:t>
      </w:r>
      <w:r>
        <w:rPr>
          <w:spacing w:val="-5"/>
        </w:rPr>
        <w:t> </w:t>
      </w:r>
      <w:r>
        <w:rPr/>
        <w:t>more</w:t>
      </w:r>
      <w:r>
        <w:rPr>
          <w:spacing w:val="-6"/>
        </w:rPr>
        <w:t> </w:t>
      </w:r>
      <w:r>
        <w:rPr/>
        <w:t>ballistic</w:t>
      </w:r>
      <w:r>
        <w:rPr>
          <w:spacing w:val="-5"/>
        </w:rPr>
        <w:t> </w:t>
      </w:r>
      <w:r>
        <w:rPr/>
        <w:t>resistance,</w:t>
      </w:r>
      <w:r>
        <w:rPr>
          <w:spacing w:val="-8"/>
        </w:rPr>
        <w:t> </w:t>
      </w:r>
      <w:r>
        <w:rPr/>
        <w:t>they</w:t>
      </w:r>
      <w:r>
        <w:rPr>
          <w:spacing w:val="-5"/>
        </w:rPr>
        <w:t> </w:t>
      </w:r>
      <w:r>
        <w:rPr/>
        <w:t>were</w:t>
      </w:r>
      <w:r>
        <w:rPr>
          <w:spacing w:val="-6"/>
        </w:rPr>
        <w:t> </w:t>
      </w:r>
      <w:r>
        <w:rPr/>
        <w:t>also</w:t>
      </w:r>
      <w:r>
        <w:rPr>
          <w:spacing w:val="-5"/>
        </w:rPr>
        <w:t> </w:t>
      </w:r>
      <w:r>
        <w:rPr/>
        <w:t>a</w:t>
      </w:r>
    </w:p>
    <w:p>
      <w:pPr>
        <w:spacing w:after="0" w:line="480" w:lineRule="auto"/>
        <w:sectPr>
          <w:pgSz w:w="12240" w:h="15840"/>
          <w:pgMar w:header="0" w:footer="1064" w:top="1440" w:bottom="1260" w:left="1720" w:right="1020"/>
        </w:sectPr>
      </w:pPr>
    </w:p>
    <w:p>
      <w:pPr>
        <w:pStyle w:val="BodyText"/>
        <w:spacing w:line="480" w:lineRule="auto" w:before="78"/>
        <w:ind w:left="440" w:right="417"/>
        <w:jc w:val="both"/>
      </w:pPr>
      <w:r>
        <w:rPr/>
        <w:t>lot thicker in composition.</w:t>
      </w:r>
      <w:r>
        <w:rPr>
          <w:spacing w:val="1"/>
        </w:rPr>
        <w:t> </w:t>
      </w:r>
      <w:r>
        <w:rPr/>
        <w:t>As stated, the fiberglass layers did result in less complete</w:t>
      </w:r>
      <w:r>
        <w:rPr>
          <w:spacing w:val="1"/>
        </w:rPr>
        <w:t> </w:t>
      </w:r>
      <w:r>
        <w:rPr/>
        <w:t>penetrations and slower residual velocities than the CLT without it.</w:t>
      </w:r>
      <w:r>
        <w:rPr>
          <w:spacing w:val="1"/>
        </w:rPr>
        <w:t> </w:t>
      </w:r>
      <w:r>
        <w:rPr/>
        <w:t>The thin layers of</w:t>
      </w:r>
      <w:r>
        <w:rPr>
          <w:spacing w:val="1"/>
        </w:rPr>
        <w:t> </w:t>
      </w:r>
      <w:r>
        <w:rPr/>
        <w:t>fiberglass</w:t>
      </w:r>
      <w:r>
        <w:rPr>
          <w:spacing w:val="-5"/>
        </w:rPr>
        <w:t> </w:t>
      </w:r>
      <w:r>
        <w:rPr/>
        <w:t>show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potential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adding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lightweight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relatively</w:t>
      </w:r>
      <w:r>
        <w:rPr>
          <w:spacing w:val="-4"/>
        </w:rPr>
        <w:t> </w:t>
      </w:r>
      <w:r>
        <w:rPr/>
        <w:t>inexpensive</w:t>
      </w:r>
      <w:r>
        <w:rPr>
          <w:spacing w:val="-4"/>
        </w:rPr>
        <w:t> </w:t>
      </w:r>
      <w:r>
        <w:rPr/>
        <w:t>product</w:t>
      </w:r>
      <w:r>
        <w:rPr>
          <w:spacing w:val="-3"/>
        </w:rPr>
        <w:t> </w:t>
      </w:r>
      <w:r>
        <w:rPr/>
        <w:t>to</w:t>
      </w:r>
      <w:r>
        <w:rPr>
          <w:spacing w:val="-58"/>
        </w:rPr>
        <w:t> </w:t>
      </w:r>
      <w:r>
        <w:rPr/>
        <w:t>the</w:t>
      </w:r>
      <w:r>
        <w:rPr>
          <w:spacing w:val="-1"/>
        </w:rPr>
        <w:t> </w:t>
      </w:r>
      <w:r>
        <w:rPr/>
        <w:t>composite material</w:t>
      </w:r>
      <w:r>
        <w:rPr>
          <w:spacing w:val="-1"/>
        </w:rPr>
        <w:t> </w:t>
      </w:r>
      <w:r>
        <w:rPr/>
        <w:t>could enhance the</w:t>
      </w:r>
      <w:r>
        <w:rPr>
          <w:spacing w:val="-1"/>
        </w:rPr>
        <w:t> </w:t>
      </w:r>
      <w:r>
        <w:rPr/>
        <w:t>design</w:t>
      </w:r>
      <w:r>
        <w:rPr>
          <w:spacing w:val="-2"/>
        </w:rPr>
        <w:t> </w:t>
      </w:r>
      <w:r>
        <w:rPr/>
        <w:t>specifications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CLT.</w:t>
      </w:r>
    </w:p>
    <w:p>
      <w:pPr>
        <w:pStyle w:val="Heading9"/>
        <w:numPr>
          <w:ilvl w:val="1"/>
          <w:numId w:val="24"/>
        </w:numPr>
        <w:tabs>
          <w:tab w:pos="800" w:val="left" w:leader="none"/>
        </w:tabs>
        <w:spacing w:line="240" w:lineRule="auto" w:before="162" w:after="0"/>
        <w:ind w:left="800" w:right="0" w:hanging="360"/>
        <w:jc w:val="both"/>
      </w:pPr>
      <w:bookmarkStart w:name="_TOC_250017" w:id="488"/>
      <w:bookmarkStart w:name="7.4 Weight analysis" w:id="489"/>
      <w:r>
        <w:rPr>
          <w:b w:val="0"/>
        </w:rPr>
      </w:r>
      <w:bookmarkEnd w:id="489"/>
      <w:bookmarkStart w:name="7.4 Weight analysis" w:id="490"/>
      <w:r>
        <w:rPr/>
        <w:t>Wei</w:t>
      </w:r>
      <w:r>
        <w:rPr/>
        <w:t>ght</w:t>
      </w:r>
      <w:r>
        <w:rPr>
          <w:spacing w:val="-4"/>
        </w:rPr>
        <w:t> </w:t>
      </w:r>
      <w:bookmarkEnd w:id="488"/>
      <w:r>
        <w:rPr/>
        <w:t>analysis</w:t>
      </w:r>
    </w:p>
    <w:p>
      <w:pPr>
        <w:pStyle w:val="BodyText"/>
        <w:spacing w:before="6"/>
        <w:rPr>
          <w:b/>
          <w:sz w:val="22"/>
        </w:rPr>
      </w:pPr>
    </w:p>
    <w:p>
      <w:pPr>
        <w:pStyle w:val="BodyText"/>
        <w:spacing w:line="480" w:lineRule="auto"/>
        <w:ind w:left="440" w:right="417" w:firstLine="720"/>
        <w:jc w:val="both"/>
      </w:pPr>
      <w:r>
        <w:rPr/>
        <w:t>A challenge with improved force protection through adding armor is keeping the</w:t>
      </w:r>
      <w:r>
        <w:rPr>
          <w:spacing w:val="1"/>
        </w:rPr>
        <w:t> </w:t>
      </w:r>
      <w:r>
        <w:rPr/>
        <w:t>material as lightweight as possible for logistical reasons while also achieving a high level</w:t>
      </w:r>
      <w:r>
        <w:rPr>
          <w:spacing w:val="1"/>
        </w:rPr>
        <w:t> </w:t>
      </w:r>
      <w:r>
        <w:rPr/>
        <w:t>of protection.</w:t>
      </w:r>
      <w:r>
        <w:rPr>
          <w:spacing w:val="1"/>
        </w:rPr>
        <w:t> </w:t>
      </w:r>
      <w:r>
        <w:rPr/>
        <w:t>Perforated metals work towards this aim by reducing the actual amount of</w:t>
      </w:r>
      <w:r>
        <w:rPr>
          <w:spacing w:val="1"/>
        </w:rPr>
        <w:t> </w:t>
      </w:r>
      <w:r>
        <w:rPr/>
        <w:t>steel with designed void spaces while keeping the general resistance level of the metal</w:t>
      </w:r>
      <w:r>
        <w:rPr>
          <w:spacing w:val="1"/>
        </w:rPr>
        <w:t> </w:t>
      </w:r>
      <w:r>
        <w:rPr/>
        <w:t>plate.</w:t>
      </w:r>
      <w:r>
        <w:rPr>
          <w:spacing w:val="1"/>
        </w:rPr>
        <w:t> </w:t>
      </w:r>
      <w:r>
        <w:rPr/>
        <w:t>New</w:t>
      </w:r>
      <w:r>
        <w:rPr>
          <w:spacing w:val="1"/>
        </w:rPr>
        <w:t> </w:t>
      </w:r>
      <w:r>
        <w:rPr/>
        <w:t>technologies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fiber-based</w:t>
      </w:r>
      <w:r>
        <w:rPr>
          <w:spacing w:val="1"/>
        </w:rPr>
        <w:t> </w:t>
      </w:r>
      <w:r>
        <w:rPr/>
        <w:t>composite</w:t>
      </w:r>
      <w:r>
        <w:rPr>
          <w:spacing w:val="1"/>
        </w:rPr>
        <w:t> </w:t>
      </w:r>
      <w:r>
        <w:rPr/>
        <w:t>laminates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provide</w:t>
      </w:r>
      <w:r>
        <w:rPr>
          <w:spacing w:val="1"/>
        </w:rPr>
        <w:t> </w:t>
      </w:r>
      <w:r>
        <w:rPr/>
        <w:t>new</w:t>
      </w:r>
      <w:r>
        <w:rPr>
          <w:spacing w:val="1"/>
        </w:rPr>
        <w:t> </w:t>
      </w:r>
      <w:r>
        <w:rPr/>
        <w:t>lightweight options.</w:t>
      </w:r>
      <w:r>
        <w:rPr>
          <w:spacing w:val="1"/>
        </w:rPr>
        <w:t> </w:t>
      </w:r>
      <w:r>
        <w:rPr/>
        <w:t>While hardening a structure does not necessarily have the same</w:t>
      </w:r>
      <w:r>
        <w:rPr>
          <w:spacing w:val="1"/>
        </w:rPr>
        <w:t> </w:t>
      </w:r>
      <w:r>
        <w:rPr/>
        <w:t>weight</w:t>
      </w:r>
      <w:r>
        <w:rPr>
          <w:spacing w:val="-9"/>
        </w:rPr>
        <w:t> </w:t>
      </w:r>
      <w:r>
        <w:rPr/>
        <w:t>limitations</w:t>
      </w:r>
      <w:r>
        <w:rPr>
          <w:spacing w:val="-8"/>
        </w:rPr>
        <w:t> </w:t>
      </w:r>
      <w:r>
        <w:rPr/>
        <w:t>as</w:t>
      </w:r>
      <w:r>
        <w:rPr>
          <w:spacing w:val="-8"/>
        </w:rPr>
        <w:t> </w:t>
      </w:r>
      <w:r>
        <w:rPr/>
        <w:t>a</w:t>
      </w:r>
      <w:r>
        <w:rPr>
          <w:spacing w:val="-8"/>
        </w:rPr>
        <w:t> </w:t>
      </w:r>
      <w:r>
        <w:rPr/>
        <w:t>vehicle</w:t>
      </w:r>
      <w:r>
        <w:rPr>
          <w:spacing w:val="-8"/>
        </w:rPr>
        <w:t> </w:t>
      </w:r>
      <w:r>
        <w:rPr/>
        <w:t>or</w:t>
      </w:r>
      <w:r>
        <w:rPr>
          <w:spacing w:val="-8"/>
        </w:rPr>
        <w:t> </w:t>
      </w:r>
      <w:r>
        <w:rPr/>
        <w:t>person,</w:t>
      </w:r>
      <w:r>
        <w:rPr>
          <w:spacing w:val="-9"/>
        </w:rPr>
        <w:t> </w:t>
      </w:r>
      <w:r>
        <w:rPr/>
        <w:t>there</w:t>
      </w:r>
      <w:r>
        <w:rPr>
          <w:spacing w:val="-8"/>
        </w:rPr>
        <w:t> </w:t>
      </w:r>
      <w:r>
        <w:rPr/>
        <w:t>are</w:t>
      </w:r>
      <w:r>
        <w:rPr>
          <w:spacing w:val="-8"/>
        </w:rPr>
        <w:t> </w:t>
      </w:r>
      <w:r>
        <w:rPr/>
        <w:t>still</w:t>
      </w:r>
      <w:r>
        <w:rPr>
          <w:spacing w:val="-8"/>
        </w:rPr>
        <w:t> </w:t>
      </w:r>
      <w:r>
        <w:rPr/>
        <w:t>weight</w:t>
      </w:r>
      <w:r>
        <w:rPr>
          <w:spacing w:val="-9"/>
        </w:rPr>
        <w:t> </w:t>
      </w:r>
      <w:r>
        <w:rPr/>
        <w:t>considerations</w:t>
      </w:r>
      <w:r>
        <w:rPr>
          <w:spacing w:val="-8"/>
        </w:rPr>
        <w:t> </w:t>
      </w:r>
      <w:r>
        <w:rPr/>
        <w:t>with</w:t>
      </w:r>
      <w:r>
        <w:rPr>
          <w:spacing w:val="-9"/>
        </w:rPr>
        <w:t> </w:t>
      </w:r>
      <w:r>
        <w:rPr/>
        <w:t>both</w:t>
      </w:r>
      <w:r>
        <w:rPr>
          <w:spacing w:val="-10"/>
        </w:rPr>
        <w:t> </w:t>
      </w:r>
      <w:r>
        <w:rPr/>
        <w:t>the</w:t>
      </w:r>
      <w:r>
        <w:rPr>
          <w:spacing w:val="-58"/>
        </w:rPr>
        <w:t> </w:t>
      </w:r>
      <w:r>
        <w:rPr/>
        <w:t>logistics of the construction materials discussed in Chapter 2 as well as the structural</w:t>
      </w:r>
      <w:r>
        <w:rPr>
          <w:spacing w:val="1"/>
        </w:rPr>
        <w:t> </w:t>
      </w:r>
      <w:r>
        <w:rPr/>
        <w:t>design.</w:t>
      </w:r>
    </w:p>
    <w:p>
      <w:pPr>
        <w:pStyle w:val="ListParagraph"/>
        <w:numPr>
          <w:ilvl w:val="2"/>
          <w:numId w:val="24"/>
        </w:numPr>
        <w:tabs>
          <w:tab w:pos="980" w:val="left" w:leader="none"/>
        </w:tabs>
        <w:spacing w:line="240" w:lineRule="auto" w:before="161" w:after="0"/>
        <w:ind w:left="980" w:right="0" w:hanging="540"/>
        <w:jc w:val="both"/>
        <w:rPr>
          <w:i/>
          <w:sz w:val="24"/>
        </w:rPr>
      </w:pPr>
      <w:bookmarkStart w:name="7.4.1 Areal density" w:id="491"/>
      <w:bookmarkEnd w:id="491"/>
      <w:r>
        <w:rPr/>
      </w:r>
      <w:bookmarkStart w:name="7.4.1 Areal density" w:id="492"/>
      <w:bookmarkEnd w:id="492"/>
      <w:r>
        <w:rPr>
          <w:i/>
          <w:sz w:val="24"/>
        </w:rPr>
        <w:t>A</w:t>
      </w:r>
      <w:r>
        <w:rPr>
          <w:i/>
          <w:sz w:val="24"/>
        </w:rPr>
        <w:t>real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density</w:t>
      </w:r>
    </w:p>
    <w:p>
      <w:pPr>
        <w:pStyle w:val="BodyText"/>
        <w:spacing w:before="9"/>
        <w:rPr>
          <w:i/>
          <w:sz w:val="22"/>
        </w:rPr>
      </w:pPr>
    </w:p>
    <w:p>
      <w:pPr>
        <w:pStyle w:val="BodyText"/>
        <w:spacing w:line="480" w:lineRule="auto"/>
        <w:ind w:left="440" w:right="416" w:firstLine="720"/>
        <w:jc w:val="both"/>
      </w:pPr>
      <w:r>
        <w:rPr/>
        <w:t>A key metric for armor is known as the areal density of the material, which is in</w:t>
      </w:r>
      <w:r>
        <w:rPr>
          <w:spacing w:val="1"/>
        </w:rPr>
        <w:t> </w:t>
      </w:r>
      <w:r>
        <w:rPr/>
        <w:t>units of weight per unit area.</w:t>
      </w:r>
      <w:r>
        <w:rPr>
          <w:spacing w:val="1"/>
        </w:rPr>
        <w:t> </w:t>
      </w:r>
      <w:r>
        <w:rPr/>
        <w:t>The logic behind this characteristic is that there is a finite</w:t>
      </w:r>
      <w:r>
        <w:rPr>
          <w:spacing w:val="1"/>
        </w:rPr>
        <w:t> </w:t>
      </w:r>
      <w:r>
        <w:rPr/>
        <w:t>amount of surface area on a vehicle, aircraft, structure or person to protect and the areal</w:t>
      </w:r>
      <w:r>
        <w:rPr>
          <w:spacing w:val="1"/>
        </w:rPr>
        <w:t> </w:t>
      </w:r>
      <w:r>
        <w:rPr/>
        <w:t>density describes the weight over that area.</w:t>
      </w:r>
      <w:r>
        <w:rPr>
          <w:spacing w:val="1"/>
        </w:rPr>
        <w:t> </w:t>
      </w:r>
      <w:r>
        <w:rPr/>
        <w:t>Manufacturers cite areal density as a material</w:t>
      </w:r>
      <w:r>
        <w:rPr>
          <w:spacing w:val="-57"/>
        </w:rPr>
        <w:t> </w:t>
      </w:r>
      <w:r>
        <w:rPr/>
        <w:t>characteristic of their composite ballistic panels.</w:t>
      </w:r>
      <w:r>
        <w:rPr>
          <w:spacing w:val="1"/>
        </w:rPr>
        <w:t> </w:t>
      </w:r>
      <w:r>
        <w:rPr/>
        <w:t>The areal density also often gives an</w:t>
      </w:r>
      <w:r>
        <w:rPr>
          <w:spacing w:val="1"/>
        </w:rPr>
        <w:t> </w:t>
      </w:r>
      <w:r>
        <w:rPr/>
        <w:t>indication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the energy</w:t>
      </w:r>
      <w:r>
        <w:rPr>
          <w:spacing w:val="-2"/>
        </w:rPr>
        <w:t> </w:t>
      </w:r>
      <w:r>
        <w:rPr/>
        <w:t>absorbing capacity of</w:t>
      </w:r>
      <w:r>
        <w:rPr>
          <w:spacing w:val="-1"/>
        </w:rPr>
        <w:t> </w:t>
      </w:r>
      <w:r>
        <w:rPr/>
        <w:t>the material.</w:t>
      </w:r>
    </w:p>
    <w:p>
      <w:pPr>
        <w:pStyle w:val="BodyText"/>
        <w:spacing w:line="480" w:lineRule="auto" w:before="152"/>
        <w:ind w:left="440" w:right="416" w:firstLine="720"/>
        <w:jc w:val="both"/>
      </w:pPr>
      <w:r>
        <w:rPr/>
        <w:t>For comparison, armors are often described by performance measures such as</w:t>
      </w:r>
      <w:r>
        <w:rPr>
          <w:spacing w:val="1"/>
        </w:rPr>
        <w:t> </w:t>
      </w:r>
      <w:r>
        <w:rPr/>
        <w:t>thickness</w:t>
      </w:r>
      <w:r>
        <w:rPr>
          <w:spacing w:val="46"/>
        </w:rPr>
        <w:t> </w:t>
      </w:r>
      <w:r>
        <w:rPr/>
        <w:t>required</w:t>
      </w:r>
      <w:r>
        <w:rPr>
          <w:spacing w:val="47"/>
        </w:rPr>
        <w:t> </w:t>
      </w:r>
      <w:r>
        <w:rPr/>
        <w:t>for</w:t>
      </w:r>
      <w:r>
        <w:rPr>
          <w:spacing w:val="46"/>
        </w:rPr>
        <w:t> </w:t>
      </w:r>
      <w:r>
        <w:rPr/>
        <w:t>protection,</w:t>
      </w:r>
      <w:r>
        <w:rPr>
          <w:spacing w:val="45"/>
        </w:rPr>
        <w:t> </w:t>
      </w:r>
      <w:r>
        <w:rPr/>
        <w:t>or</w:t>
      </w:r>
      <w:r>
        <w:rPr>
          <w:spacing w:val="47"/>
        </w:rPr>
        <w:t> </w:t>
      </w:r>
      <w:r>
        <w:rPr/>
        <w:t>the</w:t>
      </w:r>
      <w:r>
        <w:rPr>
          <w:spacing w:val="47"/>
        </w:rPr>
        <w:t> </w:t>
      </w:r>
      <w:r>
        <w:rPr/>
        <w:t>distance</w:t>
      </w:r>
      <w:r>
        <w:rPr>
          <w:spacing w:val="47"/>
        </w:rPr>
        <w:t> </w:t>
      </w:r>
      <w:r>
        <w:rPr/>
        <w:t>at</w:t>
      </w:r>
      <w:r>
        <w:rPr>
          <w:spacing w:val="46"/>
        </w:rPr>
        <w:t> </w:t>
      </w:r>
      <w:r>
        <w:rPr/>
        <w:t>which</w:t>
      </w:r>
      <w:r>
        <w:rPr>
          <w:spacing w:val="47"/>
        </w:rPr>
        <w:t> </w:t>
      </w:r>
      <w:r>
        <w:rPr/>
        <w:t>a</w:t>
      </w:r>
      <w:r>
        <w:rPr>
          <w:spacing w:val="47"/>
        </w:rPr>
        <w:t> </w:t>
      </w:r>
      <w:r>
        <w:rPr/>
        <w:t>bullet</w:t>
      </w:r>
      <w:r>
        <w:rPr>
          <w:spacing w:val="47"/>
        </w:rPr>
        <w:t> </w:t>
      </w:r>
      <w:r>
        <w:rPr/>
        <w:t>can</w:t>
      </w:r>
      <w:r>
        <w:rPr>
          <w:spacing w:val="47"/>
        </w:rPr>
        <w:t> </w:t>
      </w:r>
      <w:r>
        <w:rPr/>
        <w:t>perforate.</w:t>
      </w:r>
      <w:r>
        <w:rPr>
          <w:spacing w:val="35"/>
        </w:rPr>
        <w:t> </w:t>
      </w:r>
      <w:r>
        <w:rPr/>
        <w:t>A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39" w:right="416"/>
        <w:jc w:val="both"/>
      </w:pPr>
      <w:r>
        <w:rPr/>
        <w:t>compromise</w:t>
      </w:r>
      <w:r>
        <w:rPr>
          <w:spacing w:val="1"/>
        </w:rPr>
        <w:t> </w:t>
      </w:r>
      <w:r>
        <w:rPr/>
        <w:t>between</w:t>
      </w:r>
      <w:r>
        <w:rPr>
          <w:spacing w:val="1"/>
        </w:rPr>
        <w:t> </w:t>
      </w:r>
      <w:r>
        <w:rPr/>
        <w:t>weight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common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armor</w:t>
      </w:r>
      <w:r>
        <w:rPr>
          <w:spacing w:val="1"/>
        </w:rPr>
        <w:t> </w:t>
      </w:r>
      <w:r>
        <w:rPr/>
        <w:t>plate,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improvements in technology often coming in the form of a lighter weight armor with</w:t>
      </w:r>
      <w:r>
        <w:rPr>
          <w:spacing w:val="1"/>
        </w:rPr>
        <w:t> </w:t>
      </w:r>
      <w:r>
        <w:rPr/>
        <w:t>equivalent performance for ballistic threat resistance.</w:t>
      </w:r>
      <w:r>
        <w:rPr>
          <w:spacing w:val="1"/>
        </w:rPr>
        <w:t> </w:t>
      </w:r>
      <w:r>
        <w:rPr/>
        <w:t>Areal density does not measure</w:t>
      </w:r>
      <w:r>
        <w:rPr>
          <w:spacing w:val="1"/>
        </w:rPr>
        <w:t> </w:t>
      </w:r>
      <w:r>
        <w:rPr/>
        <w:t>effectiveness but it does factor into the calculation.</w:t>
      </w:r>
      <w:r>
        <w:rPr>
          <w:spacing w:val="1"/>
        </w:rPr>
        <w:t> </w:t>
      </w:r>
      <w:hyperlink w:history="true" w:anchor="_bookmark165">
        <w:r>
          <w:rPr/>
          <w:t>Table 7-11 </w:t>
        </w:r>
      </w:hyperlink>
      <w:r>
        <w:rPr/>
        <w:t>provides the areal density</w:t>
      </w:r>
      <w:r>
        <w:rPr>
          <w:spacing w:val="1"/>
        </w:rPr>
        <w:t> </w:t>
      </w:r>
      <w:r>
        <w:rPr/>
        <w:t>and weight of each of the enhancing layers trialed in this research. The layer thickness for</w:t>
      </w:r>
      <w:r>
        <w:rPr>
          <w:spacing w:val="-57"/>
        </w:rPr>
        <w:t> </w:t>
      </w:r>
      <w:r>
        <w:rPr/>
        <w:t>the expanded metal was measured as 0.50-in. as that is how thick it measured with the</w:t>
      </w:r>
      <w:r>
        <w:rPr>
          <w:spacing w:val="1"/>
        </w:rPr>
        <w:t> </w:t>
      </w:r>
      <w:r>
        <w:rPr/>
        <w:t>expanded</w:t>
      </w:r>
      <w:r>
        <w:rPr>
          <w:spacing w:val="-1"/>
        </w:rPr>
        <w:t> </w:t>
      </w:r>
      <w:r>
        <w:rPr/>
        <w:t>strands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bonds;</w:t>
      </w:r>
      <w:r>
        <w:rPr>
          <w:spacing w:val="-1"/>
        </w:rPr>
        <w:t> </w:t>
      </w:r>
      <w:r>
        <w:rPr/>
        <w:t>the metal</w:t>
      </w:r>
      <w:r>
        <w:rPr>
          <w:spacing w:val="-1"/>
        </w:rPr>
        <w:t> </w:t>
      </w:r>
      <w:r>
        <w:rPr/>
        <w:t>stock</w:t>
      </w:r>
      <w:r>
        <w:rPr>
          <w:spacing w:val="-1"/>
        </w:rPr>
        <w:t> </w:t>
      </w:r>
      <w:r>
        <w:rPr/>
        <w:t>used</w:t>
      </w:r>
      <w:r>
        <w:rPr>
          <w:spacing w:val="-1"/>
        </w:rPr>
        <w:t> </w:t>
      </w:r>
      <w:r>
        <w:rPr/>
        <w:t>to manufacture</w:t>
      </w:r>
      <w:r>
        <w:rPr>
          <w:spacing w:val="-2"/>
        </w:rPr>
        <w:t> </w:t>
      </w:r>
      <w:r>
        <w:rPr/>
        <w:t>it</w:t>
      </w:r>
      <w:r>
        <w:rPr>
          <w:spacing w:val="-1"/>
        </w:rPr>
        <w:t> </w:t>
      </w:r>
      <w:r>
        <w:rPr/>
        <w:t>was</w:t>
      </w:r>
      <w:r>
        <w:rPr>
          <w:spacing w:val="-2"/>
        </w:rPr>
        <w:t> </w:t>
      </w:r>
      <w:r>
        <w:rPr/>
        <w:t>0.25-in. thick.</w:t>
      </w:r>
    </w:p>
    <w:p>
      <w:pPr>
        <w:pStyle w:val="BodyText"/>
        <w:spacing w:line="480" w:lineRule="auto" w:before="160"/>
        <w:ind w:left="439" w:right="416" w:firstLine="720"/>
        <w:jc w:val="both"/>
      </w:pPr>
      <w:r>
        <w:rPr>
          <w:spacing w:val="-1"/>
        </w:rPr>
        <w:t>Mass</w:t>
      </w:r>
      <w:r>
        <w:rPr>
          <w:spacing w:val="-13"/>
        </w:rPr>
        <w:t> </w:t>
      </w:r>
      <w:r>
        <w:rPr/>
        <w:t>efficiency</w:t>
      </w:r>
      <w:r>
        <w:rPr>
          <w:spacing w:val="-13"/>
        </w:rPr>
        <w:t> </w:t>
      </w:r>
      <w:r>
        <w:rPr/>
        <w:t>is</w:t>
      </w:r>
      <w:r>
        <w:rPr>
          <w:spacing w:val="-13"/>
        </w:rPr>
        <w:t> </w:t>
      </w:r>
      <w:r>
        <w:rPr/>
        <w:t>used</w:t>
      </w:r>
      <w:r>
        <w:rPr>
          <w:spacing w:val="-15"/>
        </w:rPr>
        <w:t> </w:t>
      </w:r>
      <w:r>
        <w:rPr/>
        <w:t>to</w:t>
      </w:r>
      <w:r>
        <w:rPr>
          <w:spacing w:val="-12"/>
        </w:rPr>
        <w:t> </w:t>
      </w:r>
      <w:r>
        <w:rPr/>
        <w:t>measure</w:t>
      </w:r>
      <w:r>
        <w:rPr>
          <w:spacing w:val="-13"/>
        </w:rPr>
        <w:t> </w:t>
      </w:r>
      <w:r>
        <w:rPr/>
        <w:t>effectiveness</w:t>
      </w:r>
      <w:r>
        <w:rPr>
          <w:spacing w:val="-14"/>
        </w:rPr>
        <w:t> </w:t>
      </w:r>
      <w:r>
        <w:rPr/>
        <w:t>of</w:t>
      </w:r>
      <w:r>
        <w:rPr>
          <w:spacing w:val="-14"/>
        </w:rPr>
        <w:t> </w:t>
      </w:r>
      <w:r>
        <w:rPr/>
        <w:t>armor</w:t>
      </w:r>
      <w:r>
        <w:rPr>
          <w:spacing w:val="-12"/>
        </w:rPr>
        <w:t> </w:t>
      </w:r>
      <w:r>
        <w:rPr/>
        <w:t>materials.</w:t>
      </w:r>
      <w:r>
        <w:rPr>
          <w:spacing w:val="32"/>
        </w:rPr>
        <w:t> </w:t>
      </w:r>
      <w:r>
        <w:rPr/>
        <w:t>It</w:t>
      </w:r>
      <w:r>
        <w:rPr>
          <w:spacing w:val="-13"/>
        </w:rPr>
        <w:t> </w:t>
      </w:r>
      <w:r>
        <w:rPr/>
        <w:t>is</w:t>
      </w:r>
      <w:r>
        <w:rPr>
          <w:spacing w:val="-14"/>
        </w:rPr>
        <w:t> </w:t>
      </w:r>
      <w:r>
        <w:rPr/>
        <w:t>calculated</w:t>
      </w:r>
      <w:r>
        <w:rPr>
          <w:spacing w:val="-58"/>
        </w:rPr>
        <w:t> </w:t>
      </w:r>
      <w:r>
        <w:rPr/>
        <w:t>relative to the areal density of rolled homogeneous armor (RHA), the steel plate typically</w:t>
      </w:r>
      <w:r>
        <w:rPr>
          <w:spacing w:val="1"/>
        </w:rPr>
        <w:t> </w:t>
      </w:r>
      <w:r>
        <w:rPr>
          <w:spacing w:val="-1"/>
        </w:rPr>
        <w:t>used</w:t>
      </w:r>
      <w:r>
        <w:rPr>
          <w:spacing w:val="-14"/>
        </w:rPr>
        <w:t> </w:t>
      </w:r>
      <w:r>
        <w:rPr>
          <w:spacing w:val="-1"/>
        </w:rPr>
        <w:t>on</w:t>
      </w:r>
      <w:r>
        <w:rPr>
          <w:spacing w:val="-15"/>
        </w:rPr>
        <w:t> </w:t>
      </w:r>
      <w:r>
        <w:rPr>
          <w:spacing w:val="-1"/>
        </w:rPr>
        <w:t>tanks.</w:t>
      </w:r>
      <w:r>
        <w:rPr>
          <w:spacing w:val="33"/>
        </w:rPr>
        <w:t> </w:t>
      </w:r>
      <w:r>
        <w:rPr>
          <w:spacing w:val="-1"/>
        </w:rPr>
        <w:t>The</w:t>
      </w:r>
      <w:r>
        <w:rPr>
          <w:spacing w:val="-13"/>
        </w:rPr>
        <w:t> </w:t>
      </w:r>
      <w:r>
        <w:rPr/>
        <w:t>areal</w:t>
      </w:r>
      <w:r>
        <w:rPr>
          <w:spacing w:val="-14"/>
        </w:rPr>
        <w:t> </w:t>
      </w:r>
      <w:r>
        <w:rPr/>
        <w:t>density</w:t>
      </w:r>
      <w:r>
        <w:rPr>
          <w:spacing w:val="-15"/>
        </w:rPr>
        <w:t> </w:t>
      </w:r>
      <w:r>
        <w:rPr/>
        <w:t>of</w:t>
      </w:r>
      <w:r>
        <w:rPr>
          <w:spacing w:val="-14"/>
        </w:rPr>
        <w:t> </w:t>
      </w:r>
      <w:r>
        <w:rPr/>
        <w:t>the</w:t>
      </w:r>
      <w:r>
        <w:rPr>
          <w:spacing w:val="-13"/>
        </w:rPr>
        <w:t> </w:t>
      </w:r>
      <w:r>
        <w:rPr/>
        <w:t>RHA</w:t>
      </w:r>
      <w:r>
        <w:rPr>
          <w:spacing w:val="-14"/>
        </w:rPr>
        <w:t> </w:t>
      </w:r>
      <w:r>
        <w:rPr/>
        <w:t>steel</w:t>
      </w:r>
      <w:r>
        <w:rPr>
          <w:spacing w:val="-14"/>
        </w:rPr>
        <w:t> </w:t>
      </w:r>
      <w:r>
        <w:rPr/>
        <w:t>plate</w:t>
      </w:r>
      <w:r>
        <w:rPr>
          <w:spacing w:val="-15"/>
        </w:rPr>
        <w:t> </w:t>
      </w:r>
      <w:r>
        <w:rPr/>
        <w:t>of</w:t>
      </w:r>
      <w:r>
        <w:rPr>
          <w:spacing w:val="-14"/>
        </w:rPr>
        <w:t> </w:t>
      </w:r>
      <w:r>
        <w:rPr/>
        <w:t>the</w:t>
      </w:r>
      <w:r>
        <w:rPr>
          <w:spacing w:val="-13"/>
        </w:rPr>
        <w:t> </w:t>
      </w:r>
      <w:r>
        <w:rPr/>
        <w:t>designated</w:t>
      </w:r>
      <w:r>
        <w:rPr>
          <w:spacing w:val="-15"/>
        </w:rPr>
        <w:t> </w:t>
      </w:r>
      <w:r>
        <w:rPr/>
        <w:t>thickness</w:t>
      </w:r>
      <w:r>
        <w:rPr>
          <w:spacing w:val="-15"/>
        </w:rPr>
        <w:t> </w:t>
      </w:r>
      <w:r>
        <w:rPr/>
        <w:t>required</w:t>
      </w:r>
      <w:r>
        <w:rPr>
          <w:spacing w:val="-57"/>
        </w:rPr>
        <w:t> </w:t>
      </w:r>
      <w:r>
        <w:rPr/>
        <w:t>to stop a specified threat is divided by the areal density of the armor material under</w:t>
      </w:r>
      <w:r>
        <w:rPr>
          <w:spacing w:val="1"/>
        </w:rPr>
        <w:t> </w:t>
      </w:r>
      <w:r>
        <w:rPr/>
        <w:t>consideration.</w:t>
      </w:r>
      <w:r>
        <w:rPr>
          <w:spacing w:val="1"/>
        </w:rPr>
        <w:t> </w:t>
      </w:r>
      <w:r>
        <w:rPr/>
        <w:t>The higher the mass effectiveness, the lighter the weight of the armor for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same threat.</w:t>
      </w:r>
    </w:p>
    <w:p>
      <w:pPr>
        <w:pStyle w:val="BodyText"/>
        <w:spacing w:line="480" w:lineRule="auto" w:before="159"/>
        <w:ind w:left="439" w:right="417" w:firstLine="720"/>
        <w:jc w:val="both"/>
      </w:pPr>
      <w:r>
        <w:rPr/>
        <w:t>The</w:t>
      </w:r>
      <w:r>
        <w:rPr>
          <w:spacing w:val="-11"/>
        </w:rPr>
        <w:t> </w:t>
      </w:r>
      <w:r>
        <w:rPr/>
        <w:t>enhancing</w:t>
      </w:r>
      <w:r>
        <w:rPr>
          <w:spacing w:val="-11"/>
        </w:rPr>
        <w:t> </w:t>
      </w:r>
      <w:r>
        <w:rPr/>
        <w:t>layers</w:t>
      </w:r>
      <w:r>
        <w:rPr>
          <w:spacing w:val="-11"/>
        </w:rPr>
        <w:t> </w:t>
      </w:r>
      <w:r>
        <w:rPr/>
        <w:t>in</w:t>
      </w:r>
      <w:r>
        <w:rPr>
          <w:spacing w:val="-10"/>
        </w:rPr>
        <w:t> </w:t>
      </w:r>
      <w:r>
        <w:rPr/>
        <w:t>this</w:t>
      </w:r>
      <w:r>
        <w:rPr>
          <w:spacing w:val="-11"/>
        </w:rPr>
        <w:t> </w:t>
      </w:r>
      <w:r>
        <w:rPr/>
        <w:t>research,</w:t>
      </w:r>
      <w:r>
        <w:rPr>
          <w:spacing w:val="-12"/>
        </w:rPr>
        <w:t> </w:t>
      </w:r>
      <w:r>
        <w:rPr/>
        <w:t>from</w:t>
      </w:r>
      <w:r>
        <w:rPr>
          <w:spacing w:val="-11"/>
        </w:rPr>
        <w:t> </w:t>
      </w:r>
      <w:r>
        <w:rPr/>
        <w:t>highest</w:t>
      </w:r>
      <w:r>
        <w:rPr>
          <w:spacing w:val="-11"/>
        </w:rPr>
        <w:t> </w:t>
      </w:r>
      <w:r>
        <w:rPr/>
        <w:t>to</w:t>
      </w:r>
      <w:r>
        <w:rPr>
          <w:spacing w:val="-11"/>
        </w:rPr>
        <w:t> </w:t>
      </w:r>
      <w:r>
        <w:rPr/>
        <w:t>lowest</w:t>
      </w:r>
      <w:r>
        <w:rPr>
          <w:spacing w:val="-10"/>
        </w:rPr>
        <w:t> </w:t>
      </w:r>
      <w:r>
        <w:rPr/>
        <w:t>areal</w:t>
      </w:r>
      <w:r>
        <w:rPr>
          <w:spacing w:val="-11"/>
        </w:rPr>
        <w:t> </w:t>
      </w:r>
      <w:r>
        <w:rPr/>
        <w:t>density</w:t>
      </w:r>
      <w:r>
        <w:rPr>
          <w:spacing w:val="-11"/>
        </w:rPr>
        <w:t> </w:t>
      </w:r>
      <w:r>
        <w:rPr/>
        <w:t>are:</w:t>
      </w:r>
      <w:r>
        <w:rPr>
          <w:spacing w:val="-10"/>
        </w:rPr>
        <w:t> </w:t>
      </w:r>
      <w:r>
        <w:rPr/>
        <w:t>mild</w:t>
      </w:r>
      <w:r>
        <w:rPr>
          <w:spacing w:val="-58"/>
        </w:rPr>
        <w:t> </w:t>
      </w:r>
      <w:r>
        <w:rPr/>
        <w:t>steel plate; high-hard steel plate; P900 perforated steel; expanded metal; aramid epoxy</w:t>
      </w:r>
      <w:r>
        <w:rPr>
          <w:spacing w:val="1"/>
        </w:rPr>
        <w:t> </w:t>
      </w:r>
      <w:r>
        <w:rPr>
          <w:spacing w:val="-1"/>
        </w:rPr>
        <w:t>panel;</w:t>
      </w:r>
      <w:r>
        <w:rPr>
          <w:spacing w:val="-13"/>
        </w:rPr>
        <w:t> </w:t>
      </w:r>
      <w:r>
        <w:rPr>
          <w:spacing w:val="-1"/>
        </w:rPr>
        <w:t>UHMWPE</w:t>
      </w:r>
      <w:r>
        <w:rPr>
          <w:spacing w:val="-13"/>
        </w:rPr>
        <w:t> </w:t>
      </w:r>
      <w:r>
        <w:rPr>
          <w:spacing w:val="-1"/>
        </w:rPr>
        <w:t>fiberglass</w:t>
      </w:r>
      <w:r>
        <w:rPr>
          <w:spacing w:val="-12"/>
        </w:rPr>
        <w:t> </w:t>
      </w:r>
      <w:r>
        <w:rPr/>
        <w:t>fabric.</w:t>
      </w:r>
      <w:r>
        <w:rPr>
          <w:spacing w:val="34"/>
        </w:rPr>
        <w:t> </w:t>
      </w:r>
      <w:r>
        <w:rPr/>
        <w:t>This</w:t>
      </w:r>
      <w:r>
        <w:rPr>
          <w:spacing w:val="-13"/>
        </w:rPr>
        <w:t> </w:t>
      </w:r>
      <w:r>
        <w:rPr/>
        <w:t>order</w:t>
      </w:r>
      <w:r>
        <w:rPr>
          <w:spacing w:val="-13"/>
        </w:rPr>
        <w:t> </w:t>
      </w:r>
      <w:r>
        <w:rPr/>
        <w:t>is</w:t>
      </w:r>
      <w:r>
        <w:rPr>
          <w:spacing w:val="-12"/>
        </w:rPr>
        <w:t> </w:t>
      </w:r>
      <w:r>
        <w:rPr/>
        <w:t>close</w:t>
      </w:r>
      <w:r>
        <w:rPr>
          <w:spacing w:val="-13"/>
        </w:rPr>
        <w:t> </w:t>
      </w:r>
      <w:r>
        <w:rPr/>
        <w:t>to</w:t>
      </w:r>
      <w:r>
        <w:rPr>
          <w:spacing w:val="-14"/>
        </w:rPr>
        <w:t> </w:t>
      </w:r>
      <w:r>
        <w:rPr/>
        <w:t>the</w:t>
      </w:r>
      <w:r>
        <w:rPr>
          <w:spacing w:val="-13"/>
        </w:rPr>
        <w:t> </w:t>
      </w:r>
      <w:r>
        <w:rPr/>
        <w:t>rating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weight</w:t>
      </w:r>
      <w:r>
        <w:rPr>
          <w:spacing w:val="-13"/>
        </w:rPr>
        <w:t> </w:t>
      </w:r>
      <w:r>
        <w:rPr/>
        <w:t>from</w:t>
      </w:r>
      <w:r>
        <w:rPr>
          <w:spacing w:val="-15"/>
        </w:rPr>
        <w:t> </w:t>
      </w:r>
      <w:r>
        <w:rPr/>
        <w:t>heaviest</w:t>
      </w:r>
      <w:r>
        <w:rPr>
          <w:spacing w:val="-58"/>
        </w:rPr>
        <w:t> </w:t>
      </w:r>
      <w:r>
        <w:rPr/>
        <w:t>to lightest except that the perforated plate is third in areal density and second in weight.</w:t>
      </w:r>
      <w:r>
        <w:rPr>
          <w:spacing w:val="1"/>
        </w:rPr>
        <w:t> </w:t>
      </w:r>
      <w:r>
        <w:rPr/>
        <w:t>The</w:t>
      </w:r>
      <w:r>
        <w:rPr>
          <w:spacing w:val="-5"/>
        </w:rPr>
        <w:t> </w:t>
      </w:r>
      <w:r>
        <w:rPr/>
        <w:t>areal</w:t>
      </w:r>
      <w:r>
        <w:rPr>
          <w:spacing w:val="-5"/>
        </w:rPr>
        <w:t> </w:t>
      </w:r>
      <w:r>
        <w:rPr/>
        <w:t>densities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entire</w:t>
      </w:r>
      <w:r>
        <w:rPr>
          <w:spacing w:val="-5"/>
        </w:rPr>
        <w:t> </w:t>
      </w:r>
      <w:r>
        <w:rPr/>
        <w:t>selection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materials</w:t>
      </w:r>
      <w:r>
        <w:rPr>
          <w:spacing w:val="-6"/>
        </w:rPr>
        <w:t> </w:t>
      </w:r>
      <w:r>
        <w:rPr/>
        <w:t>show</w:t>
      </w:r>
      <w:r>
        <w:rPr>
          <w:spacing w:val="-6"/>
        </w:rPr>
        <w:t> </w:t>
      </w:r>
      <w:r>
        <w:rPr/>
        <w:t>a</w:t>
      </w:r>
      <w:r>
        <w:rPr>
          <w:spacing w:val="-6"/>
        </w:rPr>
        <w:t> </w:t>
      </w:r>
      <w:r>
        <w:rPr/>
        <w:t>wide</w:t>
      </w:r>
      <w:r>
        <w:rPr>
          <w:spacing w:val="-5"/>
        </w:rPr>
        <w:t> </w:t>
      </w:r>
      <w:r>
        <w:rPr/>
        <w:t>spectrum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options</w:t>
      </w:r>
      <w:r>
        <w:rPr>
          <w:spacing w:val="-5"/>
        </w:rPr>
        <w:t> </w:t>
      </w:r>
      <w:r>
        <w:rPr/>
        <w:t>for</w:t>
      </w:r>
      <w:r>
        <w:rPr>
          <w:spacing w:val="-58"/>
        </w:rPr>
        <w:t> </w:t>
      </w:r>
      <w:r>
        <w:rPr>
          <w:spacing w:val="-1"/>
        </w:rPr>
        <w:t>enhancing</w:t>
      </w:r>
      <w:r>
        <w:rPr>
          <w:spacing w:val="-16"/>
        </w:rPr>
        <w:t> </w:t>
      </w:r>
      <w:r>
        <w:rPr>
          <w:spacing w:val="-1"/>
        </w:rPr>
        <w:t>layers</w:t>
      </w:r>
      <w:r>
        <w:rPr>
          <w:spacing w:val="-15"/>
        </w:rPr>
        <w:t> </w:t>
      </w:r>
      <w:r>
        <w:rPr>
          <w:spacing w:val="-1"/>
        </w:rPr>
        <w:t>with</w:t>
      </w:r>
      <w:r>
        <w:rPr>
          <w:spacing w:val="-14"/>
        </w:rPr>
        <w:t> </w:t>
      </w:r>
      <w:r>
        <w:rPr>
          <w:spacing w:val="-1"/>
        </w:rPr>
        <w:t>metal,</w:t>
      </w:r>
      <w:r>
        <w:rPr>
          <w:spacing w:val="-16"/>
        </w:rPr>
        <w:t> </w:t>
      </w:r>
      <w:r>
        <w:rPr/>
        <w:t>either</w:t>
      </w:r>
      <w:r>
        <w:rPr>
          <w:spacing w:val="-16"/>
        </w:rPr>
        <w:t> </w:t>
      </w:r>
      <w:r>
        <w:rPr/>
        <w:t>thin</w:t>
      </w:r>
      <w:r>
        <w:rPr>
          <w:spacing w:val="-14"/>
        </w:rPr>
        <w:t> </w:t>
      </w:r>
      <w:r>
        <w:rPr/>
        <w:t>solid</w:t>
      </w:r>
      <w:r>
        <w:rPr>
          <w:spacing w:val="-15"/>
        </w:rPr>
        <w:t> </w:t>
      </w:r>
      <w:r>
        <w:rPr/>
        <w:t>plate</w:t>
      </w:r>
      <w:r>
        <w:rPr>
          <w:spacing w:val="-16"/>
        </w:rPr>
        <w:t> </w:t>
      </w:r>
      <w:r>
        <w:rPr/>
        <w:t>or</w:t>
      </w:r>
      <w:r>
        <w:rPr>
          <w:spacing w:val="-14"/>
        </w:rPr>
        <w:t> </w:t>
      </w:r>
      <w:r>
        <w:rPr/>
        <w:t>perforated</w:t>
      </w:r>
      <w:r>
        <w:rPr>
          <w:spacing w:val="-14"/>
        </w:rPr>
        <w:t> </w:t>
      </w:r>
      <w:r>
        <w:rPr/>
        <w:t>plates</w:t>
      </w:r>
      <w:r>
        <w:rPr>
          <w:spacing w:val="-16"/>
        </w:rPr>
        <w:t> </w:t>
      </w:r>
      <w:r>
        <w:rPr/>
        <w:t>at</w:t>
      </w:r>
      <w:r>
        <w:rPr>
          <w:spacing w:val="-16"/>
        </w:rPr>
        <w:t> </w:t>
      </w:r>
      <w:r>
        <w:rPr/>
        <w:t>one</w:t>
      </w:r>
      <w:r>
        <w:rPr>
          <w:spacing w:val="-14"/>
        </w:rPr>
        <w:t> </w:t>
      </w:r>
      <w:r>
        <w:rPr/>
        <w:t>end,</w:t>
      </w:r>
      <w:r>
        <w:rPr>
          <w:spacing w:val="-16"/>
        </w:rPr>
        <w:t> </w:t>
      </w:r>
      <w:r>
        <w:rPr/>
        <w:t>advanced</w:t>
      </w:r>
      <w:r>
        <w:rPr>
          <w:spacing w:val="-58"/>
        </w:rPr>
        <w:t> </w:t>
      </w:r>
      <w:r>
        <w:rPr/>
        <w:t>technology</w:t>
      </w:r>
      <w:r>
        <w:rPr>
          <w:spacing w:val="-12"/>
        </w:rPr>
        <w:t> </w:t>
      </w:r>
      <w:r>
        <w:rPr/>
        <w:t>fiber-based</w:t>
      </w:r>
      <w:r>
        <w:rPr>
          <w:spacing w:val="-12"/>
        </w:rPr>
        <w:t> </w:t>
      </w:r>
      <w:r>
        <w:rPr/>
        <w:t>epoxy</w:t>
      </w:r>
      <w:r>
        <w:rPr>
          <w:spacing w:val="-11"/>
        </w:rPr>
        <w:t> </w:t>
      </w:r>
      <w:r>
        <w:rPr/>
        <w:t>panels</w:t>
      </w:r>
      <w:r>
        <w:rPr>
          <w:spacing w:val="-13"/>
        </w:rPr>
        <w:t> </w:t>
      </w:r>
      <w:r>
        <w:rPr/>
        <w:t>made</w:t>
      </w:r>
      <w:r>
        <w:rPr>
          <w:spacing w:val="-11"/>
        </w:rPr>
        <w:t> </w:t>
      </w:r>
      <w:r>
        <w:rPr/>
        <w:t>up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many</w:t>
      </w:r>
      <w:r>
        <w:rPr>
          <w:spacing w:val="-11"/>
        </w:rPr>
        <w:t> </w:t>
      </w:r>
      <w:r>
        <w:rPr/>
        <w:t>or</w:t>
      </w:r>
      <w:r>
        <w:rPr>
          <w:spacing w:val="-11"/>
        </w:rPr>
        <w:t> </w:t>
      </w:r>
      <w:r>
        <w:rPr/>
        <w:t>thick</w:t>
      </w:r>
      <w:r>
        <w:rPr>
          <w:spacing w:val="-11"/>
        </w:rPr>
        <w:t> </w:t>
      </w:r>
      <w:r>
        <w:rPr/>
        <w:t>plies</w:t>
      </w:r>
      <w:r>
        <w:rPr>
          <w:spacing w:val="-11"/>
        </w:rPr>
        <w:t> </w:t>
      </w:r>
      <w:r>
        <w:rPr/>
        <w:t>in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middle</w:t>
      </w:r>
      <w:r>
        <w:rPr>
          <w:spacing w:val="-11"/>
        </w:rPr>
        <w:t> </w:t>
      </w:r>
      <w:r>
        <w:rPr/>
        <w:t>and</w:t>
      </w:r>
      <w:r>
        <w:rPr>
          <w:spacing w:val="-12"/>
        </w:rPr>
        <w:t> </w:t>
      </w:r>
      <w:r>
        <w:rPr/>
        <w:t>very</w:t>
      </w:r>
      <w:r>
        <w:rPr>
          <w:spacing w:val="-58"/>
        </w:rPr>
        <w:t> </w:t>
      </w:r>
      <w:r>
        <w:rPr/>
        <w:t>thin,</w:t>
      </w:r>
      <w:r>
        <w:rPr>
          <w:spacing w:val="-1"/>
        </w:rPr>
        <w:t> </w:t>
      </w:r>
      <w:r>
        <w:rPr/>
        <w:t>lightweight, low</w:t>
      </w:r>
      <w:r>
        <w:rPr>
          <w:spacing w:val="-1"/>
        </w:rPr>
        <w:t> </w:t>
      </w:r>
      <w:r>
        <w:rPr/>
        <w:t>ply</w:t>
      </w:r>
      <w:r>
        <w:rPr>
          <w:spacing w:val="-2"/>
        </w:rPr>
        <w:t> </w:t>
      </w:r>
      <w:r>
        <w:rPr/>
        <w:t>count</w:t>
      </w:r>
      <w:r>
        <w:rPr>
          <w:spacing w:val="-1"/>
        </w:rPr>
        <w:t> </w:t>
      </w:r>
      <w:r>
        <w:rPr/>
        <w:t>fiberglass fabric on the</w:t>
      </w:r>
      <w:r>
        <w:rPr>
          <w:spacing w:val="-1"/>
        </w:rPr>
        <w:t> </w:t>
      </w:r>
      <w:r>
        <w:rPr/>
        <w:t>other end.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spacing w:before="79"/>
        <w:ind w:left="440" w:right="418" w:firstLine="0"/>
        <w:jc w:val="left"/>
        <w:rPr>
          <w:i/>
          <w:sz w:val="24"/>
        </w:rPr>
      </w:pPr>
      <w:bookmarkStart w:name="_bookmark165" w:id="493"/>
      <w:bookmarkEnd w:id="493"/>
      <w:r>
        <w:rPr/>
      </w:r>
      <w:r>
        <w:rPr>
          <w:i/>
          <w:sz w:val="24"/>
        </w:rPr>
        <w:t>Table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7-11.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Areal</w:t>
      </w:r>
      <w:r>
        <w:rPr>
          <w:i/>
          <w:spacing w:val="3"/>
          <w:sz w:val="24"/>
        </w:rPr>
        <w:t> </w:t>
      </w:r>
      <w:r>
        <w:rPr>
          <w:i/>
          <w:sz w:val="24"/>
        </w:rPr>
        <w:t>density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values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various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enhancing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layers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trialed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ECLT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specimens.</w:t>
      </w:r>
    </w:p>
    <w:p>
      <w:pPr>
        <w:pStyle w:val="BodyText"/>
        <w:spacing w:before="5" w:after="1"/>
        <w:rPr>
          <w:i/>
          <w:sz w:val="17"/>
        </w:rPr>
      </w:pPr>
    </w:p>
    <w:tbl>
      <w:tblPr>
        <w:tblW w:w="0" w:type="auto"/>
        <w:jc w:val="left"/>
        <w:tblInd w:w="2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40"/>
        <w:gridCol w:w="1170"/>
        <w:gridCol w:w="1080"/>
        <w:gridCol w:w="1080"/>
        <w:gridCol w:w="1260"/>
        <w:gridCol w:w="1620"/>
        <w:gridCol w:w="1530"/>
      </w:tblGrid>
      <w:tr>
        <w:trPr>
          <w:trHeight w:val="1011" w:hRule="atLeast"/>
        </w:trPr>
        <w:tc>
          <w:tcPr>
            <w:tcW w:w="1340" w:type="dxa"/>
            <w:shd w:val="clear" w:color="auto" w:fill="C0C0C0"/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ind w:left="449" w:right="171" w:hanging="251"/>
              <w:rPr>
                <w:sz w:val="22"/>
              </w:rPr>
            </w:pPr>
            <w:r>
              <w:rPr>
                <w:sz w:val="22"/>
              </w:rPr>
              <w:t>Enhancing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layer</w:t>
            </w:r>
          </w:p>
        </w:tc>
        <w:tc>
          <w:tcPr>
            <w:tcW w:w="1170" w:type="dxa"/>
            <w:shd w:val="clear" w:color="auto" w:fill="C0C0C0"/>
          </w:tcPr>
          <w:p>
            <w:pPr>
              <w:pStyle w:val="TableParagraph"/>
              <w:spacing w:before="124"/>
              <w:ind w:left="174" w:right="165" w:hanging="1"/>
              <w:jc w:val="center"/>
              <w:rPr>
                <w:sz w:val="22"/>
              </w:rPr>
            </w:pPr>
            <w:r>
              <w:rPr>
                <w:sz w:val="22"/>
              </w:rPr>
              <w:t>Layer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1"/>
                <w:sz w:val="22"/>
              </w:rPr>
              <w:t>thickness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(in)</w:t>
            </w:r>
          </w:p>
        </w:tc>
        <w:tc>
          <w:tcPr>
            <w:tcW w:w="1080" w:type="dxa"/>
            <w:shd w:val="clear" w:color="auto" w:fill="C0C0C0"/>
          </w:tcPr>
          <w:p>
            <w:pPr>
              <w:pStyle w:val="TableParagraph"/>
              <w:spacing w:before="124"/>
              <w:ind w:left="199" w:right="189" w:hanging="1"/>
              <w:jc w:val="center"/>
              <w:rPr>
                <w:sz w:val="22"/>
              </w:rPr>
            </w:pPr>
            <w:r>
              <w:rPr>
                <w:sz w:val="22"/>
              </w:rPr>
              <w:t>Weight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of layer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(lb.)</w:t>
            </w:r>
          </w:p>
        </w:tc>
        <w:tc>
          <w:tcPr>
            <w:tcW w:w="1080" w:type="dxa"/>
            <w:shd w:val="clear" w:color="auto" w:fill="C0C0C0"/>
          </w:tcPr>
          <w:p>
            <w:pPr>
              <w:pStyle w:val="TableParagraph"/>
              <w:spacing w:before="124"/>
              <w:ind w:left="199" w:right="189" w:hanging="1"/>
              <w:jc w:val="center"/>
              <w:rPr>
                <w:sz w:val="22"/>
              </w:rPr>
            </w:pPr>
            <w:r>
              <w:rPr>
                <w:sz w:val="22"/>
              </w:rPr>
              <w:t>Weight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of layer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(kg)</w:t>
            </w:r>
          </w:p>
        </w:tc>
        <w:tc>
          <w:tcPr>
            <w:tcW w:w="1260" w:type="dxa"/>
            <w:shd w:val="clear" w:color="auto" w:fill="C0C0C0"/>
          </w:tcPr>
          <w:p>
            <w:pPr>
              <w:pStyle w:val="TableParagraph"/>
              <w:spacing w:before="124"/>
              <w:ind w:left="291" w:right="264" w:firstLine="105"/>
              <w:rPr>
                <w:sz w:val="22"/>
              </w:rPr>
            </w:pPr>
            <w:r>
              <w:rPr>
                <w:sz w:val="22"/>
              </w:rPr>
              <w:t>Mass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density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(lb./in</w:t>
            </w:r>
            <w:r>
              <w:rPr>
                <w:sz w:val="22"/>
                <w:vertAlign w:val="superscript"/>
              </w:rPr>
              <w:t>3</w:t>
            </w:r>
            <w:r>
              <w:rPr>
                <w:sz w:val="22"/>
                <w:vertAlign w:val="baseline"/>
              </w:rPr>
              <w:t>)</w:t>
            </w:r>
          </w:p>
        </w:tc>
        <w:tc>
          <w:tcPr>
            <w:tcW w:w="1620" w:type="dxa"/>
            <w:shd w:val="clear" w:color="auto" w:fill="C0C0C0"/>
          </w:tcPr>
          <w:p>
            <w:pPr>
              <w:pStyle w:val="TableParagraph"/>
              <w:ind w:left="156" w:right="149"/>
              <w:jc w:val="center"/>
              <w:rPr>
                <w:sz w:val="22"/>
              </w:rPr>
            </w:pPr>
            <w:r>
              <w:rPr>
                <w:sz w:val="22"/>
              </w:rPr>
              <w:t>Areal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density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enhancing</w:t>
            </w:r>
          </w:p>
          <w:p>
            <w:pPr>
              <w:pStyle w:val="TableParagraph"/>
              <w:spacing w:line="254" w:lineRule="exact"/>
              <w:ind w:left="471" w:right="460" w:hanging="2"/>
              <w:jc w:val="center"/>
              <w:rPr>
                <w:sz w:val="22"/>
              </w:rPr>
            </w:pPr>
            <w:r>
              <w:rPr>
                <w:sz w:val="22"/>
              </w:rPr>
              <w:t>layer(s)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(lb./in</w:t>
            </w:r>
            <w:r>
              <w:rPr>
                <w:sz w:val="22"/>
                <w:vertAlign w:val="superscript"/>
              </w:rPr>
              <w:t>2</w:t>
            </w:r>
            <w:r>
              <w:rPr>
                <w:sz w:val="22"/>
                <w:vertAlign w:val="baseline"/>
              </w:rPr>
              <w:t>)</w:t>
            </w:r>
          </w:p>
        </w:tc>
        <w:tc>
          <w:tcPr>
            <w:tcW w:w="1530" w:type="dxa"/>
            <w:shd w:val="clear" w:color="auto" w:fill="C0C0C0"/>
          </w:tcPr>
          <w:p>
            <w:pPr>
              <w:pStyle w:val="TableParagraph"/>
              <w:ind w:left="174" w:right="166"/>
              <w:jc w:val="center"/>
              <w:rPr>
                <w:sz w:val="22"/>
              </w:rPr>
            </w:pPr>
            <w:r>
              <w:rPr>
                <w:spacing w:val="-1"/>
                <w:sz w:val="22"/>
              </w:rPr>
              <w:t>Areal </w:t>
            </w:r>
            <w:r>
              <w:rPr>
                <w:sz w:val="22"/>
              </w:rPr>
              <w:t>density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of enhancing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layer</w:t>
            </w:r>
          </w:p>
          <w:p>
            <w:pPr>
              <w:pStyle w:val="TableParagraph"/>
              <w:spacing w:line="234" w:lineRule="exact"/>
              <w:ind w:left="173" w:right="166"/>
              <w:jc w:val="center"/>
              <w:rPr>
                <w:sz w:val="22"/>
              </w:rPr>
            </w:pPr>
            <w:r>
              <w:rPr>
                <w:sz w:val="22"/>
              </w:rPr>
              <w:t>(kg/m</w:t>
            </w:r>
            <w:r>
              <w:rPr>
                <w:sz w:val="22"/>
                <w:vertAlign w:val="superscript"/>
              </w:rPr>
              <w:t>2</w:t>
            </w:r>
            <w:r>
              <w:rPr>
                <w:sz w:val="22"/>
                <w:vertAlign w:val="baseline"/>
              </w:rPr>
              <w:t>)</w:t>
            </w:r>
          </w:p>
        </w:tc>
      </w:tr>
      <w:tr>
        <w:trPr>
          <w:trHeight w:val="503" w:hRule="atLeast"/>
        </w:trPr>
        <w:tc>
          <w:tcPr>
            <w:tcW w:w="1340" w:type="dxa"/>
          </w:tcPr>
          <w:p>
            <w:pPr>
              <w:pStyle w:val="TableParagraph"/>
              <w:spacing w:line="249" w:lineRule="exact"/>
              <w:ind w:left="107"/>
              <w:rPr>
                <w:sz w:val="22"/>
              </w:rPr>
            </w:pPr>
            <w:r>
              <w:rPr>
                <w:sz w:val="22"/>
              </w:rPr>
              <w:t>Perforated</w:t>
            </w:r>
          </w:p>
          <w:p>
            <w:pPr>
              <w:pStyle w:val="TableParagraph"/>
              <w:spacing w:line="234" w:lineRule="exact"/>
              <w:ind w:left="107"/>
              <w:rPr>
                <w:sz w:val="22"/>
              </w:rPr>
            </w:pPr>
            <w:r>
              <w:rPr>
                <w:sz w:val="22"/>
              </w:rPr>
              <w:t>Steel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(P900)</w:t>
            </w:r>
          </w:p>
        </w:tc>
        <w:tc>
          <w:tcPr>
            <w:tcW w:w="1170" w:type="dxa"/>
          </w:tcPr>
          <w:p>
            <w:pPr>
              <w:pStyle w:val="TableParagraph"/>
              <w:spacing w:before="123"/>
              <w:ind w:left="90" w:right="81"/>
              <w:jc w:val="center"/>
              <w:rPr>
                <w:sz w:val="22"/>
              </w:rPr>
            </w:pPr>
            <w:r>
              <w:rPr>
                <w:sz w:val="22"/>
              </w:rPr>
              <w:t>0.50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3"/>
              <w:ind w:left="291"/>
              <w:rPr>
                <w:sz w:val="22"/>
              </w:rPr>
            </w:pPr>
            <w:r>
              <w:rPr>
                <w:sz w:val="22"/>
              </w:rPr>
              <w:t>10.00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3"/>
              <w:ind w:left="116" w:right="108"/>
              <w:jc w:val="center"/>
              <w:rPr>
                <w:sz w:val="22"/>
              </w:rPr>
            </w:pPr>
            <w:r>
              <w:rPr>
                <w:sz w:val="22"/>
              </w:rPr>
              <w:t>4.54</w:t>
            </w:r>
          </w:p>
        </w:tc>
        <w:tc>
          <w:tcPr>
            <w:tcW w:w="1260" w:type="dxa"/>
          </w:tcPr>
          <w:p>
            <w:pPr>
              <w:pStyle w:val="TableParagraph"/>
              <w:spacing w:before="123"/>
              <w:ind w:left="307" w:right="298"/>
              <w:jc w:val="center"/>
              <w:rPr>
                <w:sz w:val="22"/>
              </w:rPr>
            </w:pPr>
            <w:r>
              <w:rPr>
                <w:sz w:val="22"/>
              </w:rPr>
              <w:t>719.96</w:t>
            </w:r>
          </w:p>
        </w:tc>
        <w:tc>
          <w:tcPr>
            <w:tcW w:w="1620" w:type="dxa"/>
          </w:tcPr>
          <w:p>
            <w:pPr>
              <w:pStyle w:val="TableParagraph"/>
              <w:spacing w:before="123"/>
              <w:ind w:left="152" w:right="144"/>
              <w:jc w:val="center"/>
              <w:rPr>
                <w:sz w:val="22"/>
              </w:rPr>
            </w:pPr>
            <w:r>
              <w:rPr>
                <w:sz w:val="22"/>
              </w:rPr>
              <w:t>20.00</w:t>
            </w:r>
          </w:p>
        </w:tc>
        <w:tc>
          <w:tcPr>
            <w:tcW w:w="1530" w:type="dxa"/>
          </w:tcPr>
          <w:p>
            <w:pPr>
              <w:pStyle w:val="TableParagraph"/>
              <w:spacing w:before="123"/>
              <w:ind w:right="506"/>
              <w:jc w:val="right"/>
              <w:rPr>
                <w:sz w:val="22"/>
              </w:rPr>
            </w:pPr>
            <w:r>
              <w:rPr>
                <w:sz w:val="22"/>
              </w:rPr>
              <w:t>97.64</w:t>
            </w:r>
          </w:p>
        </w:tc>
      </w:tr>
      <w:tr>
        <w:trPr>
          <w:trHeight w:val="505" w:hRule="atLeast"/>
        </w:trPr>
        <w:tc>
          <w:tcPr>
            <w:tcW w:w="1340" w:type="dxa"/>
          </w:tcPr>
          <w:p>
            <w:pPr>
              <w:pStyle w:val="TableParagraph"/>
              <w:spacing w:line="254" w:lineRule="exact"/>
              <w:ind w:left="107" w:right="323"/>
              <w:rPr>
                <w:sz w:val="22"/>
              </w:rPr>
            </w:pPr>
            <w:r>
              <w:rPr>
                <w:sz w:val="22"/>
              </w:rPr>
              <w:t>Expanded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Metal</w:t>
            </w:r>
          </w:p>
        </w:tc>
        <w:tc>
          <w:tcPr>
            <w:tcW w:w="1170" w:type="dxa"/>
          </w:tcPr>
          <w:p>
            <w:pPr>
              <w:pStyle w:val="TableParagraph"/>
              <w:spacing w:before="125"/>
              <w:ind w:left="90" w:right="81"/>
              <w:jc w:val="center"/>
              <w:rPr>
                <w:sz w:val="22"/>
              </w:rPr>
            </w:pPr>
            <w:r>
              <w:rPr>
                <w:sz w:val="22"/>
              </w:rPr>
              <w:t>0.50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5"/>
              <w:ind w:left="345"/>
              <w:rPr>
                <w:sz w:val="22"/>
              </w:rPr>
            </w:pPr>
            <w:r>
              <w:rPr>
                <w:sz w:val="22"/>
              </w:rPr>
              <w:t>6.23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5"/>
              <w:ind w:left="116" w:right="108"/>
              <w:jc w:val="center"/>
              <w:rPr>
                <w:sz w:val="22"/>
              </w:rPr>
            </w:pPr>
            <w:r>
              <w:rPr>
                <w:sz w:val="22"/>
              </w:rPr>
              <w:t>2.82</w:t>
            </w:r>
          </w:p>
        </w:tc>
        <w:tc>
          <w:tcPr>
            <w:tcW w:w="1260" w:type="dxa"/>
          </w:tcPr>
          <w:p>
            <w:pPr>
              <w:pStyle w:val="TableParagraph"/>
              <w:spacing w:before="125"/>
              <w:ind w:left="307" w:right="298"/>
              <w:jc w:val="center"/>
              <w:rPr>
                <w:sz w:val="22"/>
              </w:rPr>
            </w:pPr>
            <w:r>
              <w:rPr>
                <w:sz w:val="22"/>
              </w:rPr>
              <w:t>448.21</w:t>
            </w:r>
          </w:p>
        </w:tc>
        <w:tc>
          <w:tcPr>
            <w:tcW w:w="1620" w:type="dxa"/>
          </w:tcPr>
          <w:p>
            <w:pPr>
              <w:pStyle w:val="TableParagraph"/>
              <w:spacing w:before="125"/>
              <w:ind w:left="152" w:right="144"/>
              <w:jc w:val="center"/>
              <w:rPr>
                <w:sz w:val="22"/>
              </w:rPr>
            </w:pPr>
            <w:r>
              <w:rPr>
                <w:sz w:val="22"/>
              </w:rPr>
              <w:t>12.45</w:t>
            </w:r>
          </w:p>
        </w:tc>
        <w:tc>
          <w:tcPr>
            <w:tcW w:w="1530" w:type="dxa"/>
          </w:tcPr>
          <w:p>
            <w:pPr>
              <w:pStyle w:val="TableParagraph"/>
              <w:spacing w:before="125"/>
              <w:ind w:right="506"/>
              <w:jc w:val="right"/>
              <w:rPr>
                <w:sz w:val="22"/>
              </w:rPr>
            </w:pPr>
            <w:r>
              <w:rPr>
                <w:sz w:val="22"/>
              </w:rPr>
              <w:t>60.79</w:t>
            </w:r>
          </w:p>
        </w:tc>
      </w:tr>
      <w:tr>
        <w:trPr>
          <w:trHeight w:val="567" w:hRule="atLeast"/>
        </w:trPr>
        <w:tc>
          <w:tcPr>
            <w:tcW w:w="1340" w:type="dxa"/>
          </w:tcPr>
          <w:p>
            <w:pPr>
              <w:pStyle w:val="TableParagraph"/>
              <w:spacing w:line="252" w:lineRule="exact" w:before="43"/>
              <w:ind w:left="107" w:right="96"/>
              <w:rPr>
                <w:sz w:val="22"/>
              </w:rPr>
            </w:pPr>
            <w:r>
              <w:rPr>
                <w:sz w:val="22"/>
              </w:rPr>
              <w:t>Aramid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Epoxy</w:t>
            </w:r>
            <w:r>
              <w:rPr>
                <w:spacing w:val="-12"/>
                <w:sz w:val="22"/>
              </w:rPr>
              <w:t> </w:t>
            </w:r>
            <w:r>
              <w:rPr>
                <w:sz w:val="22"/>
              </w:rPr>
              <w:t>Panel</w:t>
            </w:r>
          </w:p>
        </w:tc>
        <w:tc>
          <w:tcPr>
            <w:tcW w:w="1170" w:type="dxa"/>
          </w:tcPr>
          <w:p>
            <w:pPr>
              <w:pStyle w:val="TableParagraph"/>
              <w:spacing w:before="155"/>
              <w:ind w:left="89" w:right="81"/>
              <w:jc w:val="center"/>
              <w:rPr>
                <w:sz w:val="22"/>
              </w:rPr>
            </w:pPr>
            <w:r>
              <w:rPr>
                <w:sz w:val="22"/>
              </w:rPr>
              <w:t>0.5625</w:t>
            </w:r>
          </w:p>
        </w:tc>
        <w:tc>
          <w:tcPr>
            <w:tcW w:w="1080" w:type="dxa"/>
          </w:tcPr>
          <w:p>
            <w:pPr>
              <w:pStyle w:val="TableParagraph"/>
              <w:spacing w:before="155"/>
              <w:ind w:left="345"/>
              <w:rPr>
                <w:sz w:val="22"/>
              </w:rPr>
            </w:pPr>
            <w:r>
              <w:rPr>
                <w:sz w:val="22"/>
              </w:rPr>
              <w:t>3.56</w:t>
            </w:r>
          </w:p>
        </w:tc>
        <w:tc>
          <w:tcPr>
            <w:tcW w:w="1080" w:type="dxa"/>
          </w:tcPr>
          <w:p>
            <w:pPr>
              <w:pStyle w:val="TableParagraph"/>
              <w:spacing w:before="155"/>
              <w:ind w:left="116" w:right="108"/>
              <w:jc w:val="center"/>
              <w:rPr>
                <w:sz w:val="22"/>
              </w:rPr>
            </w:pPr>
            <w:r>
              <w:rPr>
                <w:sz w:val="22"/>
              </w:rPr>
              <w:t>1.61</w:t>
            </w:r>
          </w:p>
        </w:tc>
        <w:tc>
          <w:tcPr>
            <w:tcW w:w="1260" w:type="dxa"/>
          </w:tcPr>
          <w:p>
            <w:pPr>
              <w:pStyle w:val="TableParagraph"/>
              <w:spacing w:before="155"/>
              <w:ind w:left="307" w:right="298"/>
              <w:jc w:val="center"/>
              <w:rPr>
                <w:sz w:val="22"/>
              </w:rPr>
            </w:pPr>
            <w:r>
              <w:rPr>
                <w:sz w:val="22"/>
              </w:rPr>
              <w:t>288.31</w:t>
            </w:r>
          </w:p>
        </w:tc>
        <w:tc>
          <w:tcPr>
            <w:tcW w:w="1620" w:type="dxa"/>
          </w:tcPr>
          <w:p>
            <w:pPr>
              <w:pStyle w:val="TableParagraph"/>
              <w:spacing w:before="155"/>
              <w:ind w:left="152" w:right="144"/>
              <w:jc w:val="center"/>
              <w:rPr>
                <w:sz w:val="22"/>
              </w:rPr>
            </w:pPr>
            <w:r>
              <w:rPr>
                <w:sz w:val="22"/>
              </w:rPr>
              <w:t>6.33</w:t>
            </w:r>
          </w:p>
        </w:tc>
        <w:tc>
          <w:tcPr>
            <w:tcW w:w="1530" w:type="dxa"/>
          </w:tcPr>
          <w:p>
            <w:pPr>
              <w:pStyle w:val="TableParagraph"/>
              <w:spacing w:before="155"/>
              <w:ind w:right="506"/>
              <w:jc w:val="right"/>
              <w:rPr>
                <w:sz w:val="22"/>
              </w:rPr>
            </w:pPr>
            <w:r>
              <w:rPr>
                <w:sz w:val="22"/>
              </w:rPr>
              <w:t>30.89</w:t>
            </w:r>
          </w:p>
        </w:tc>
      </w:tr>
      <w:tr>
        <w:trPr>
          <w:trHeight w:val="505" w:hRule="atLeast"/>
        </w:trPr>
        <w:tc>
          <w:tcPr>
            <w:tcW w:w="1340" w:type="dxa"/>
          </w:tcPr>
          <w:p>
            <w:pPr>
              <w:pStyle w:val="TableParagraph"/>
              <w:spacing w:line="252" w:lineRule="exact"/>
              <w:ind w:left="107" w:right="280"/>
              <w:rPr>
                <w:sz w:val="22"/>
              </w:rPr>
            </w:pPr>
            <w:r>
              <w:rPr>
                <w:sz w:val="22"/>
              </w:rPr>
              <w:t>Mild Steel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Plate</w:t>
            </w:r>
          </w:p>
        </w:tc>
        <w:tc>
          <w:tcPr>
            <w:tcW w:w="1170" w:type="dxa"/>
          </w:tcPr>
          <w:p>
            <w:pPr>
              <w:pStyle w:val="TableParagraph"/>
              <w:spacing w:before="125"/>
              <w:ind w:left="90" w:right="81"/>
              <w:jc w:val="center"/>
              <w:rPr>
                <w:sz w:val="22"/>
              </w:rPr>
            </w:pPr>
            <w:r>
              <w:rPr>
                <w:sz w:val="22"/>
              </w:rPr>
              <w:t>0.25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5"/>
              <w:ind w:left="291"/>
              <w:rPr>
                <w:sz w:val="22"/>
              </w:rPr>
            </w:pPr>
            <w:r>
              <w:rPr>
                <w:sz w:val="22"/>
              </w:rPr>
              <w:t>10.26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5"/>
              <w:ind w:left="116" w:right="108"/>
              <w:jc w:val="center"/>
              <w:rPr>
                <w:sz w:val="22"/>
              </w:rPr>
            </w:pPr>
            <w:r>
              <w:rPr>
                <w:sz w:val="22"/>
              </w:rPr>
              <w:t>4.66</w:t>
            </w:r>
          </w:p>
        </w:tc>
        <w:tc>
          <w:tcPr>
            <w:tcW w:w="1260" w:type="dxa"/>
          </w:tcPr>
          <w:p>
            <w:pPr>
              <w:pStyle w:val="TableParagraph"/>
              <w:spacing w:before="125"/>
              <w:ind w:left="307" w:right="298"/>
              <w:jc w:val="center"/>
              <w:rPr>
                <w:sz w:val="22"/>
              </w:rPr>
            </w:pPr>
            <w:r>
              <w:rPr>
                <w:sz w:val="22"/>
              </w:rPr>
              <w:t>369.52</w:t>
            </w:r>
          </w:p>
        </w:tc>
        <w:tc>
          <w:tcPr>
            <w:tcW w:w="1620" w:type="dxa"/>
          </w:tcPr>
          <w:p>
            <w:pPr>
              <w:pStyle w:val="TableParagraph"/>
              <w:spacing w:before="125"/>
              <w:ind w:left="152" w:right="144"/>
              <w:jc w:val="center"/>
              <w:rPr>
                <w:sz w:val="22"/>
              </w:rPr>
            </w:pPr>
            <w:r>
              <w:rPr>
                <w:sz w:val="22"/>
              </w:rPr>
              <w:t>41.06</w:t>
            </w:r>
          </w:p>
        </w:tc>
        <w:tc>
          <w:tcPr>
            <w:tcW w:w="1530" w:type="dxa"/>
          </w:tcPr>
          <w:p>
            <w:pPr>
              <w:pStyle w:val="TableParagraph"/>
              <w:spacing w:before="125"/>
              <w:ind w:right="450"/>
              <w:jc w:val="right"/>
              <w:rPr>
                <w:sz w:val="22"/>
              </w:rPr>
            </w:pPr>
            <w:r>
              <w:rPr>
                <w:sz w:val="22"/>
              </w:rPr>
              <w:t>200.46</w:t>
            </w:r>
          </w:p>
        </w:tc>
      </w:tr>
      <w:tr>
        <w:trPr>
          <w:trHeight w:val="506" w:hRule="atLeast"/>
        </w:trPr>
        <w:tc>
          <w:tcPr>
            <w:tcW w:w="1340" w:type="dxa"/>
          </w:tcPr>
          <w:p>
            <w:pPr>
              <w:pStyle w:val="TableParagraph"/>
              <w:spacing w:line="252" w:lineRule="exact"/>
              <w:ind w:left="107" w:right="298"/>
              <w:rPr>
                <w:sz w:val="22"/>
              </w:rPr>
            </w:pPr>
            <w:r>
              <w:rPr>
                <w:sz w:val="22"/>
              </w:rPr>
              <w:t>High-hard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Plate</w:t>
            </w:r>
          </w:p>
        </w:tc>
        <w:tc>
          <w:tcPr>
            <w:tcW w:w="1170" w:type="dxa"/>
          </w:tcPr>
          <w:p>
            <w:pPr>
              <w:pStyle w:val="TableParagraph"/>
              <w:spacing w:before="125"/>
              <w:ind w:left="90" w:right="81"/>
              <w:jc w:val="center"/>
              <w:rPr>
                <w:sz w:val="22"/>
              </w:rPr>
            </w:pPr>
            <w:r>
              <w:rPr>
                <w:sz w:val="22"/>
              </w:rPr>
              <w:t>0.25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5"/>
              <w:ind w:left="345"/>
              <w:rPr>
                <w:sz w:val="22"/>
              </w:rPr>
            </w:pPr>
            <w:r>
              <w:rPr>
                <w:sz w:val="22"/>
              </w:rPr>
              <w:t>9.74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5"/>
              <w:ind w:left="116" w:right="108"/>
              <w:jc w:val="center"/>
              <w:rPr>
                <w:sz w:val="22"/>
              </w:rPr>
            </w:pPr>
            <w:r>
              <w:rPr>
                <w:sz w:val="22"/>
              </w:rPr>
              <w:t>4.42</w:t>
            </w:r>
          </w:p>
        </w:tc>
        <w:tc>
          <w:tcPr>
            <w:tcW w:w="1260" w:type="dxa"/>
          </w:tcPr>
          <w:p>
            <w:pPr>
              <w:pStyle w:val="TableParagraph"/>
              <w:spacing w:before="125"/>
              <w:ind w:left="307" w:right="298"/>
              <w:jc w:val="center"/>
              <w:rPr>
                <w:sz w:val="22"/>
              </w:rPr>
            </w:pPr>
            <w:r>
              <w:rPr>
                <w:sz w:val="22"/>
              </w:rPr>
              <w:t>350.62</w:t>
            </w:r>
          </w:p>
        </w:tc>
        <w:tc>
          <w:tcPr>
            <w:tcW w:w="1620" w:type="dxa"/>
          </w:tcPr>
          <w:p>
            <w:pPr>
              <w:pStyle w:val="TableParagraph"/>
              <w:spacing w:before="125"/>
              <w:ind w:left="152" w:right="144"/>
              <w:jc w:val="center"/>
              <w:rPr>
                <w:sz w:val="22"/>
              </w:rPr>
            </w:pPr>
            <w:r>
              <w:rPr>
                <w:sz w:val="22"/>
              </w:rPr>
              <w:t>38.96</w:t>
            </w:r>
          </w:p>
        </w:tc>
        <w:tc>
          <w:tcPr>
            <w:tcW w:w="1530" w:type="dxa"/>
          </w:tcPr>
          <w:p>
            <w:pPr>
              <w:pStyle w:val="TableParagraph"/>
              <w:spacing w:before="125"/>
              <w:ind w:right="450"/>
              <w:jc w:val="right"/>
              <w:rPr>
                <w:sz w:val="22"/>
              </w:rPr>
            </w:pPr>
            <w:r>
              <w:rPr>
                <w:sz w:val="22"/>
              </w:rPr>
              <w:t>190.21</w:t>
            </w:r>
          </w:p>
        </w:tc>
      </w:tr>
      <w:tr>
        <w:trPr>
          <w:trHeight w:val="290" w:hRule="atLeast"/>
        </w:trPr>
        <w:tc>
          <w:tcPr>
            <w:tcW w:w="1340" w:type="dxa"/>
          </w:tcPr>
          <w:p>
            <w:pPr>
              <w:pStyle w:val="TableParagraph"/>
              <w:spacing w:line="234" w:lineRule="exact" w:before="35"/>
              <w:ind w:left="107"/>
              <w:rPr>
                <w:sz w:val="22"/>
              </w:rPr>
            </w:pPr>
            <w:r>
              <w:rPr>
                <w:sz w:val="22"/>
              </w:rPr>
              <w:t>UHMWPE</w:t>
            </w:r>
          </w:p>
        </w:tc>
        <w:tc>
          <w:tcPr>
            <w:tcW w:w="1170" w:type="dxa"/>
          </w:tcPr>
          <w:p>
            <w:pPr>
              <w:pStyle w:val="TableParagraph"/>
              <w:spacing w:line="252" w:lineRule="exact" w:before="17"/>
              <w:ind w:left="90" w:right="81"/>
              <w:jc w:val="center"/>
              <w:rPr>
                <w:sz w:val="22"/>
              </w:rPr>
            </w:pPr>
            <w:r>
              <w:rPr>
                <w:sz w:val="22"/>
              </w:rPr>
              <w:t>1.00</w:t>
            </w:r>
          </w:p>
        </w:tc>
        <w:tc>
          <w:tcPr>
            <w:tcW w:w="1080" w:type="dxa"/>
          </w:tcPr>
          <w:p>
            <w:pPr>
              <w:pStyle w:val="TableParagraph"/>
              <w:spacing w:line="252" w:lineRule="exact" w:before="17"/>
              <w:ind w:left="345"/>
              <w:rPr>
                <w:sz w:val="22"/>
              </w:rPr>
            </w:pPr>
            <w:r>
              <w:rPr>
                <w:sz w:val="22"/>
              </w:rPr>
              <w:t>5.12</w:t>
            </w:r>
          </w:p>
        </w:tc>
        <w:tc>
          <w:tcPr>
            <w:tcW w:w="1080" w:type="dxa"/>
          </w:tcPr>
          <w:p>
            <w:pPr>
              <w:pStyle w:val="TableParagraph"/>
              <w:spacing w:line="252" w:lineRule="exact" w:before="17"/>
              <w:ind w:left="116" w:right="108"/>
              <w:jc w:val="center"/>
              <w:rPr>
                <w:sz w:val="22"/>
              </w:rPr>
            </w:pPr>
            <w:r>
              <w:rPr>
                <w:sz w:val="22"/>
              </w:rPr>
              <w:t>2.32</w:t>
            </w:r>
          </w:p>
        </w:tc>
        <w:tc>
          <w:tcPr>
            <w:tcW w:w="1260" w:type="dxa"/>
          </w:tcPr>
          <w:p>
            <w:pPr>
              <w:pStyle w:val="TableParagraph"/>
              <w:spacing w:line="252" w:lineRule="exact" w:before="17"/>
              <w:ind w:left="307" w:right="298"/>
              <w:jc w:val="center"/>
              <w:rPr>
                <w:sz w:val="22"/>
              </w:rPr>
            </w:pPr>
            <w:r>
              <w:rPr>
                <w:sz w:val="22"/>
              </w:rPr>
              <w:t>737.79</w:t>
            </w:r>
          </w:p>
        </w:tc>
        <w:tc>
          <w:tcPr>
            <w:tcW w:w="1620" w:type="dxa"/>
          </w:tcPr>
          <w:p>
            <w:pPr>
              <w:pStyle w:val="TableParagraph"/>
              <w:spacing w:line="252" w:lineRule="exact" w:before="17"/>
              <w:ind w:left="152" w:right="144"/>
              <w:jc w:val="center"/>
              <w:rPr>
                <w:sz w:val="22"/>
              </w:rPr>
            </w:pPr>
            <w:r>
              <w:rPr>
                <w:sz w:val="22"/>
              </w:rPr>
              <w:t>5.12</w:t>
            </w:r>
          </w:p>
        </w:tc>
        <w:tc>
          <w:tcPr>
            <w:tcW w:w="1530" w:type="dxa"/>
          </w:tcPr>
          <w:p>
            <w:pPr>
              <w:pStyle w:val="TableParagraph"/>
              <w:spacing w:line="252" w:lineRule="exact" w:before="17"/>
              <w:ind w:right="506"/>
              <w:jc w:val="right"/>
              <w:rPr>
                <w:sz w:val="22"/>
              </w:rPr>
            </w:pPr>
            <w:r>
              <w:rPr>
                <w:sz w:val="22"/>
              </w:rPr>
              <w:t>25.02</w:t>
            </w:r>
          </w:p>
        </w:tc>
      </w:tr>
      <w:tr>
        <w:trPr>
          <w:trHeight w:val="759" w:hRule="atLeast"/>
        </w:trPr>
        <w:tc>
          <w:tcPr>
            <w:tcW w:w="1340" w:type="dxa"/>
          </w:tcPr>
          <w:p>
            <w:pPr>
              <w:pStyle w:val="TableParagraph"/>
              <w:ind w:left="107" w:right="308"/>
              <w:rPr>
                <w:sz w:val="22"/>
              </w:rPr>
            </w:pPr>
            <w:r>
              <w:rPr>
                <w:spacing w:val="-1"/>
                <w:sz w:val="22"/>
              </w:rPr>
              <w:t>Fiberglass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fabric</w:t>
            </w:r>
          </w:p>
          <w:p>
            <w:pPr>
              <w:pStyle w:val="TableParagraph"/>
              <w:spacing w:line="234" w:lineRule="exact"/>
              <w:ind w:left="107"/>
              <w:rPr>
                <w:sz w:val="22"/>
              </w:rPr>
            </w:pPr>
            <w:r>
              <w:rPr>
                <w:sz w:val="22"/>
              </w:rPr>
              <w:t>(4-ply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x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1)</w:t>
            </w:r>
          </w:p>
        </w:tc>
        <w:tc>
          <w:tcPr>
            <w:tcW w:w="1170" w:type="dxa"/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ind w:left="90" w:right="81"/>
              <w:jc w:val="center"/>
              <w:rPr>
                <w:sz w:val="22"/>
              </w:rPr>
            </w:pPr>
            <w:r>
              <w:rPr>
                <w:sz w:val="22"/>
              </w:rPr>
              <w:t>0.12</w:t>
            </w:r>
          </w:p>
        </w:tc>
        <w:tc>
          <w:tcPr>
            <w:tcW w:w="1080" w:type="dxa"/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ind w:left="345"/>
              <w:rPr>
                <w:sz w:val="22"/>
              </w:rPr>
            </w:pPr>
            <w:r>
              <w:rPr>
                <w:sz w:val="22"/>
              </w:rPr>
              <w:t>0.51</w:t>
            </w:r>
          </w:p>
        </w:tc>
        <w:tc>
          <w:tcPr>
            <w:tcW w:w="1080" w:type="dxa"/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ind w:left="116" w:right="108"/>
              <w:jc w:val="center"/>
              <w:rPr>
                <w:sz w:val="22"/>
              </w:rPr>
            </w:pPr>
            <w:r>
              <w:rPr>
                <w:sz w:val="22"/>
              </w:rPr>
              <w:t>0.23</w:t>
            </w:r>
          </w:p>
        </w:tc>
        <w:tc>
          <w:tcPr>
            <w:tcW w:w="1260" w:type="dxa"/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ind w:left="306" w:right="298"/>
              <w:jc w:val="center"/>
              <w:rPr>
                <w:sz w:val="22"/>
              </w:rPr>
            </w:pPr>
            <w:r>
              <w:rPr>
                <w:sz w:val="22"/>
              </w:rPr>
              <w:t>8.79</w:t>
            </w:r>
          </w:p>
        </w:tc>
        <w:tc>
          <w:tcPr>
            <w:tcW w:w="1620" w:type="dxa"/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ind w:left="151" w:right="144"/>
              <w:jc w:val="center"/>
              <w:rPr>
                <w:sz w:val="22"/>
              </w:rPr>
            </w:pPr>
            <w:r>
              <w:rPr>
                <w:sz w:val="22"/>
              </w:rPr>
              <w:t>4.24</w:t>
            </w:r>
          </w:p>
        </w:tc>
        <w:tc>
          <w:tcPr>
            <w:tcW w:w="1530" w:type="dxa"/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ind w:right="506"/>
              <w:jc w:val="right"/>
              <w:rPr>
                <w:sz w:val="22"/>
              </w:rPr>
            </w:pPr>
            <w:r>
              <w:rPr>
                <w:sz w:val="22"/>
              </w:rPr>
              <w:t>20.70</w:t>
            </w:r>
          </w:p>
        </w:tc>
      </w:tr>
      <w:tr>
        <w:trPr>
          <w:trHeight w:val="759" w:hRule="atLeast"/>
        </w:trPr>
        <w:tc>
          <w:tcPr>
            <w:tcW w:w="1340" w:type="dxa"/>
          </w:tcPr>
          <w:p>
            <w:pPr>
              <w:pStyle w:val="TableParagraph"/>
              <w:ind w:left="107" w:right="308"/>
              <w:rPr>
                <w:sz w:val="22"/>
              </w:rPr>
            </w:pPr>
            <w:r>
              <w:rPr>
                <w:spacing w:val="-1"/>
                <w:sz w:val="22"/>
              </w:rPr>
              <w:t>Fiberglass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fabric</w:t>
            </w:r>
          </w:p>
          <w:p>
            <w:pPr>
              <w:pStyle w:val="TableParagraph"/>
              <w:spacing w:line="234" w:lineRule="exact"/>
              <w:ind w:left="107"/>
              <w:rPr>
                <w:sz w:val="22"/>
              </w:rPr>
            </w:pPr>
            <w:r>
              <w:rPr>
                <w:sz w:val="22"/>
              </w:rPr>
              <w:t>(1-ply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x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4)*</w:t>
            </w:r>
          </w:p>
        </w:tc>
        <w:tc>
          <w:tcPr>
            <w:tcW w:w="1170" w:type="dxa"/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ind w:left="90" w:right="81"/>
              <w:jc w:val="center"/>
              <w:rPr>
                <w:sz w:val="22"/>
              </w:rPr>
            </w:pPr>
            <w:r>
              <w:rPr>
                <w:sz w:val="22"/>
              </w:rPr>
              <w:t>0.12</w:t>
            </w:r>
          </w:p>
        </w:tc>
        <w:tc>
          <w:tcPr>
            <w:tcW w:w="1080" w:type="dxa"/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ind w:left="345"/>
              <w:rPr>
                <w:sz w:val="22"/>
              </w:rPr>
            </w:pPr>
            <w:r>
              <w:rPr>
                <w:sz w:val="22"/>
              </w:rPr>
              <w:t>0.13</w:t>
            </w:r>
          </w:p>
        </w:tc>
        <w:tc>
          <w:tcPr>
            <w:tcW w:w="1080" w:type="dxa"/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ind w:left="117" w:right="108"/>
              <w:jc w:val="center"/>
              <w:rPr>
                <w:sz w:val="22"/>
              </w:rPr>
            </w:pPr>
            <w:r>
              <w:rPr>
                <w:sz w:val="22"/>
              </w:rPr>
              <w:t>0.0577</w:t>
            </w:r>
          </w:p>
        </w:tc>
        <w:tc>
          <w:tcPr>
            <w:tcW w:w="1260" w:type="dxa"/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ind w:left="306" w:right="298"/>
              <w:jc w:val="center"/>
              <w:rPr>
                <w:sz w:val="22"/>
              </w:rPr>
            </w:pPr>
            <w:r>
              <w:rPr>
                <w:sz w:val="22"/>
              </w:rPr>
              <w:t>8.79</w:t>
            </w:r>
          </w:p>
        </w:tc>
        <w:tc>
          <w:tcPr>
            <w:tcW w:w="1620" w:type="dxa"/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ind w:left="151" w:right="144"/>
              <w:jc w:val="center"/>
              <w:rPr>
                <w:sz w:val="22"/>
              </w:rPr>
            </w:pPr>
            <w:r>
              <w:rPr>
                <w:sz w:val="22"/>
              </w:rPr>
              <w:t>4.24</w:t>
            </w:r>
          </w:p>
        </w:tc>
        <w:tc>
          <w:tcPr>
            <w:tcW w:w="1530" w:type="dxa"/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ind w:right="506"/>
              <w:jc w:val="right"/>
              <w:rPr>
                <w:sz w:val="22"/>
              </w:rPr>
            </w:pPr>
            <w:r>
              <w:rPr>
                <w:sz w:val="22"/>
              </w:rPr>
              <w:t>20.70</w:t>
            </w:r>
          </w:p>
        </w:tc>
      </w:tr>
      <w:tr>
        <w:trPr>
          <w:trHeight w:val="290" w:hRule="atLeast"/>
        </w:trPr>
        <w:tc>
          <w:tcPr>
            <w:tcW w:w="9080" w:type="dxa"/>
            <w:gridSpan w:val="7"/>
          </w:tcPr>
          <w:p>
            <w:pPr>
              <w:pStyle w:val="TableParagraph"/>
              <w:spacing w:line="234" w:lineRule="exact" w:before="35"/>
              <w:ind w:left="107"/>
              <w:rPr>
                <w:sz w:val="22"/>
              </w:rPr>
            </w:pPr>
            <w:r>
              <w:rPr>
                <w:sz w:val="22"/>
              </w:rPr>
              <w:t>*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thickness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weight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values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multiplied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by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4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layers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for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total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provided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by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fiberglass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layers</w:t>
            </w:r>
          </w:p>
        </w:tc>
      </w:tr>
    </w:tbl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8"/>
        <w:rPr>
          <w:i/>
          <w:sz w:val="23"/>
        </w:rPr>
      </w:pPr>
    </w:p>
    <w:p>
      <w:pPr>
        <w:pStyle w:val="Heading9"/>
        <w:numPr>
          <w:ilvl w:val="1"/>
          <w:numId w:val="24"/>
        </w:numPr>
        <w:tabs>
          <w:tab w:pos="800" w:val="left" w:leader="none"/>
        </w:tabs>
        <w:spacing w:line="240" w:lineRule="auto" w:before="1" w:after="0"/>
        <w:ind w:left="800" w:right="0" w:hanging="360"/>
        <w:jc w:val="both"/>
      </w:pPr>
      <w:bookmarkStart w:name="_TOC_250016" w:id="494"/>
      <w:bookmarkStart w:name="7.5 Cost benefit analysis" w:id="495"/>
      <w:r>
        <w:rPr>
          <w:b w:val="0"/>
        </w:rPr>
      </w:r>
      <w:bookmarkEnd w:id="495"/>
      <w:bookmarkStart w:name="7.5 Cost benefit analysis" w:id="496"/>
      <w:r>
        <w:rPr/>
        <w:t>C</w:t>
      </w:r>
      <w:r>
        <w:rPr/>
        <w:t>ost</w:t>
      </w:r>
      <w:r>
        <w:rPr>
          <w:spacing w:val="-4"/>
        </w:rPr>
        <w:t> </w:t>
      </w:r>
      <w:r>
        <w:rPr/>
        <w:t>benefit</w:t>
      </w:r>
      <w:r>
        <w:rPr>
          <w:spacing w:val="-4"/>
        </w:rPr>
        <w:t> </w:t>
      </w:r>
      <w:bookmarkEnd w:id="494"/>
      <w:r>
        <w:rPr/>
        <w:t>analysis</w:t>
      </w:r>
    </w:p>
    <w:p>
      <w:pPr>
        <w:pStyle w:val="BodyText"/>
        <w:spacing w:before="6"/>
        <w:rPr>
          <w:b/>
          <w:sz w:val="22"/>
        </w:rPr>
      </w:pPr>
    </w:p>
    <w:p>
      <w:pPr>
        <w:pStyle w:val="BodyText"/>
        <w:spacing w:line="480" w:lineRule="auto"/>
        <w:ind w:left="440" w:right="417" w:firstLine="720"/>
        <w:jc w:val="both"/>
      </w:pPr>
      <w:r>
        <w:rPr/>
        <w:t>In conducting a cost to benefit analysis, it is important to define the benefit. Many</w:t>
      </w:r>
      <w:r>
        <w:rPr>
          <w:spacing w:val="-57"/>
        </w:rPr>
        <w:t> </w:t>
      </w:r>
      <w:r>
        <w:rPr/>
        <w:t>contributing factors could be used to assess the benefit such as ease of production, ease of</w:t>
      </w:r>
      <w:r>
        <w:rPr>
          <w:spacing w:val="-57"/>
        </w:rPr>
        <w:t> </w:t>
      </w:r>
      <w:r>
        <w:rPr/>
        <w:t>constructability, availability of material, ballistic resistance, and weight for logistical</w:t>
      </w:r>
      <w:r>
        <w:rPr>
          <w:spacing w:val="1"/>
        </w:rPr>
        <w:t> </w:t>
      </w:r>
      <w:r>
        <w:rPr/>
        <w:t>considerations if applicable. For simplicity, the cost benefit analysis presented here limits</w:t>
      </w:r>
      <w:r>
        <w:rPr>
          <w:spacing w:val="-57"/>
        </w:rPr>
        <w:t> </w:t>
      </w:r>
      <w:r>
        <w:rPr/>
        <w:t>the</w:t>
      </w:r>
      <w:r>
        <w:rPr>
          <w:spacing w:val="-13"/>
        </w:rPr>
        <w:t> </w:t>
      </w:r>
      <w:r>
        <w:rPr/>
        <w:t>assessment</w:t>
      </w:r>
      <w:r>
        <w:rPr>
          <w:spacing w:val="-13"/>
        </w:rPr>
        <w:t> </w:t>
      </w:r>
      <w:r>
        <w:rPr/>
        <w:t>to</w:t>
      </w:r>
      <w:r>
        <w:rPr>
          <w:spacing w:val="-13"/>
        </w:rPr>
        <w:t> </w:t>
      </w:r>
      <w:r>
        <w:rPr/>
        <w:t>a</w:t>
      </w:r>
      <w:r>
        <w:rPr>
          <w:spacing w:val="-13"/>
        </w:rPr>
        <w:t> </w:t>
      </w:r>
      <w:r>
        <w:rPr/>
        <w:t>ballistic</w:t>
      </w:r>
      <w:r>
        <w:rPr>
          <w:spacing w:val="-13"/>
        </w:rPr>
        <w:t> </w:t>
      </w:r>
      <w:r>
        <w:rPr/>
        <w:t>resistance</w:t>
      </w:r>
      <w:r>
        <w:rPr>
          <w:spacing w:val="-14"/>
        </w:rPr>
        <w:t> </w:t>
      </w:r>
      <w:r>
        <w:rPr/>
        <w:t>ranking</w:t>
      </w:r>
      <w:r>
        <w:rPr>
          <w:spacing w:val="-13"/>
        </w:rPr>
        <w:t> </w:t>
      </w:r>
      <w:r>
        <w:rPr/>
        <w:t>and</w:t>
      </w:r>
      <w:r>
        <w:rPr>
          <w:spacing w:val="-15"/>
        </w:rPr>
        <w:t> </w:t>
      </w:r>
      <w:r>
        <w:rPr/>
        <w:t>two</w:t>
      </w:r>
      <w:r>
        <w:rPr>
          <w:spacing w:val="-13"/>
        </w:rPr>
        <w:t> </w:t>
      </w:r>
      <w:r>
        <w:rPr/>
        <w:t>different</w:t>
      </w:r>
      <w:r>
        <w:rPr>
          <w:spacing w:val="-13"/>
        </w:rPr>
        <w:t> </w:t>
      </w:r>
      <w:r>
        <w:rPr/>
        <w:t>cost</w:t>
      </w:r>
      <w:r>
        <w:rPr>
          <w:spacing w:val="-13"/>
        </w:rPr>
        <w:t> </w:t>
      </w:r>
      <w:r>
        <w:rPr/>
        <w:t>values,</w:t>
      </w:r>
      <w:r>
        <w:rPr>
          <w:spacing w:val="-15"/>
        </w:rPr>
        <w:t> </w:t>
      </w:r>
      <w:r>
        <w:rPr/>
        <w:t>cost</w:t>
      </w:r>
      <w:r>
        <w:rPr>
          <w:spacing w:val="-13"/>
        </w:rPr>
        <w:t> </w:t>
      </w:r>
      <w:r>
        <w:rPr/>
        <w:t>by</w:t>
      </w:r>
      <w:r>
        <w:rPr>
          <w:spacing w:val="-12"/>
        </w:rPr>
        <w:t> </w:t>
      </w:r>
      <w:r>
        <w:rPr/>
        <w:t>weight</w:t>
      </w:r>
      <w:r>
        <w:rPr>
          <w:spacing w:val="-58"/>
        </w:rPr>
        <w:t> </w:t>
      </w:r>
      <w:r>
        <w:rPr/>
        <w:t>and the cost by area. Many armor materials are priced by their cost per pound but the area</w:t>
      </w:r>
      <w:r>
        <w:rPr>
          <w:spacing w:val="-57"/>
        </w:rPr>
        <w:t> </w:t>
      </w:r>
      <w:r>
        <w:rPr/>
        <w:t>requiring</w:t>
      </w:r>
      <w:r>
        <w:rPr>
          <w:spacing w:val="-1"/>
        </w:rPr>
        <w:t> </w:t>
      </w:r>
      <w:r>
        <w:rPr/>
        <w:t>the armored protection should also</w:t>
      </w:r>
      <w:r>
        <w:rPr>
          <w:spacing w:val="-1"/>
        </w:rPr>
        <w:t> </w:t>
      </w:r>
      <w:r>
        <w:rPr/>
        <w:t>be considered.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40" w:right="417" w:firstLine="720"/>
        <w:jc w:val="both"/>
      </w:pPr>
      <w:r>
        <w:rPr/>
        <w:t>It should be noted that a cost for potential casualties, fatalities or injuries, is not</w:t>
      </w:r>
      <w:r>
        <w:rPr>
          <w:spacing w:val="1"/>
        </w:rPr>
        <w:t> </w:t>
      </w:r>
      <w:r>
        <w:rPr/>
        <w:t>included in this cost benefit analysis.</w:t>
      </w:r>
      <w:r>
        <w:rPr>
          <w:spacing w:val="1"/>
        </w:rPr>
        <w:t> </w:t>
      </w:r>
      <w:r>
        <w:rPr/>
        <w:t>This is because in military decision-making, the</w:t>
      </w:r>
      <w:r>
        <w:rPr>
          <w:spacing w:val="1"/>
        </w:rPr>
        <w:t> </w:t>
      </w:r>
      <w:r>
        <w:rPr/>
        <w:t>assessment of probable casualties is conducted in the risk assessment and composite risk</w:t>
      </w:r>
      <w:r>
        <w:rPr>
          <w:spacing w:val="1"/>
        </w:rPr>
        <w:t> </w:t>
      </w:r>
      <w:r>
        <w:rPr/>
        <w:t>management.</w:t>
      </w:r>
      <w:r>
        <w:rPr>
          <w:spacing w:val="38"/>
        </w:rPr>
        <w:t> </w:t>
      </w:r>
      <w:r>
        <w:rPr/>
        <w:t>In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case</w:t>
      </w:r>
      <w:r>
        <w:rPr>
          <w:spacing w:val="-13"/>
        </w:rPr>
        <w:t> </w:t>
      </w:r>
      <w:r>
        <w:rPr/>
        <w:t>of</w:t>
      </w:r>
      <w:r>
        <w:rPr>
          <w:spacing w:val="-11"/>
        </w:rPr>
        <w:t> </w:t>
      </w:r>
      <w:r>
        <w:rPr/>
        <w:t>material</w:t>
      </w:r>
      <w:r>
        <w:rPr>
          <w:spacing w:val="-11"/>
        </w:rPr>
        <w:t> </w:t>
      </w:r>
      <w:r>
        <w:rPr/>
        <w:t>selection,</w:t>
      </w:r>
      <w:r>
        <w:rPr>
          <w:spacing w:val="-12"/>
        </w:rPr>
        <w:t> </w:t>
      </w:r>
      <w:r>
        <w:rPr/>
        <w:t>it</w:t>
      </w:r>
      <w:r>
        <w:rPr>
          <w:spacing w:val="-12"/>
        </w:rPr>
        <w:t> </w:t>
      </w:r>
      <w:r>
        <w:rPr/>
        <w:t>is</w:t>
      </w:r>
      <w:r>
        <w:rPr>
          <w:spacing w:val="-12"/>
        </w:rPr>
        <w:t> </w:t>
      </w:r>
      <w:r>
        <w:rPr/>
        <w:t>likely</w:t>
      </w:r>
      <w:r>
        <w:rPr>
          <w:spacing w:val="-11"/>
        </w:rPr>
        <w:t> </w:t>
      </w:r>
      <w:r>
        <w:rPr/>
        <w:t>that</w:t>
      </w:r>
      <w:r>
        <w:rPr>
          <w:spacing w:val="-12"/>
        </w:rPr>
        <w:t> </w:t>
      </w:r>
      <w:r>
        <w:rPr/>
        <w:t>a</w:t>
      </w:r>
      <w:r>
        <w:rPr>
          <w:spacing w:val="-12"/>
        </w:rPr>
        <w:t> </w:t>
      </w:r>
      <w:r>
        <w:rPr/>
        <w:t>military</w:t>
      </w:r>
      <w:r>
        <w:rPr>
          <w:spacing w:val="-11"/>
        </w:rPr>
        <w:t> </w:t>
      </w:r>
      <w:r>
        <w:rPr/>
        <w:t>commander</w:t>
      </w:r>
      <w:r>
        <w:rPr>
          <w:spacing w:val="-11"/>
        </w:rPr>
        <w:t> </w:t>
      </w:r>
      <w:r>
        <w:rPr/>
        <w:t>would</w:t>
      </w:r>
      <w:r>
        <w:rPr>
          <w:spacing w:val="-58"/>
        </w:rPr>
        <w:t> </w:t>
      </w:r>
      <w:r>
        <w:rPr/>
        <w:t>make</w:t>
      </w:r>
      <w:r>
        <w:rPr>
          <w:spacing w:val="-14"/>
        </w:rPr>
        <w:t> </w:t>
      </w:r>
      <w:r>
        <w:rPr/>
        <w:t>a</w:t>
      </w:r>
      <w:r>
        <w:rPr>
          <w:spacing w:val="-13"/>
        </w:rPr>
        <w:t> </w:t>
      </w:r>
      <w:r>
        <w:rPr/>
        <w:t>determination</w:t>
      </w:r>
      <w:r>
        <w:rPr>
          <w:spacing w:val="-14"/>
        </w:rPr>
        <w:t> </w:t>
      </w:r>
      <w:r>
        <w:rPr/>
        <w:t>of</w:t>
      </w:r>
      <w:r>
        <w:rPr>
          <w:spacing w:val="-13"/>
        </w:rPr>
        <w:t> </w:t>
      </w:r>
      <w:r>
        <w:rPr/>
        <w:t>risk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acceptable</w:t>
      </w:r>
      <w:r>
        <w:rPr>
          <w:spacing w:val="-13"/>
        </w:rPr>
        <w:t> </w:t>
      </w:r>
      <w:r>
        <w:rPr/>
        <w:t>mitigation</w:t>
      </w:r>
      <w:r>
        <w:rPr>
          <w:spacing w:val="-13"/>
        </w:rPr>
        <w:t> </w:t>
      </w:r>
      <w:r>
        <w:rPr/>
        <w:t>measures.</w:t>
      </w:r>
      <w:r>
        <w:rPr>
          <w:spacing w:val="34"/>
        </w:rPr>
        <w:t> </w:t>
      </w:r>
      <w:r>
        <w:rPr/>
        <w:t>This</w:t>
      </w:r>
      <w:r>
        <w:rPr>
          <w:spacing w:val="-13"/>
        </w:rPr>
        <w:t> </w:t>
      </w:r>
      <w:r>
        <w:rPr/>
        <w:t>would</w:t>
      </w:r>
      <w:r>
        <w:rPr>
          <w:spacing w:val="-13"/>
        </w:rPr>
        <w:t> </w:t>
      </w:r>
      <w:r>
        <w:rPr/>
        <w:t>be</w:t>
      </w:r>
      <w:r>
        <w:rPr>
          <w:spacing w:val="-13"/>
        </w:rPr>
        <w:t> </w:t>
      </w:r>
      <w:r>
        <w:rPr/>
        <w:t>a</w:t>
      </w:r>
      <w:r>
        <w:rPr>
          <w:spacing w:val="-13"/>
        </w:rPr>
        <w:t> </w:t>
      </w:r>
      <w:r>
        <w:rPr/>
        <w:t>separate</w:t>
      </w:r>
      <w:r>
        <w:rPr>
          <w:spacing w:val="-58"/>
        </w:rPr>
        <w:t> </w:t>
      </w:r>
      <w:r>
        <w:rPr/>
        <w:t>process from the cost benefit analysis detailed in this work.</w:t>
      </w:r>
      <w:r>
        <w:rPr>
          <w:spacing w:val="1"/>
        </w:rPr>
        <w:t> </w:t>
      </w:r>
      <w:r>
        <w:rPr/>
        <w:t>This risk assessment and</w:t>
      </w:r>
      <w:r>
        <w:rPr>
          <w:spacing w:val="1"/>
        </w:rPr>
        <w:t> </w:t>
      </w:r>
      <w:r>
        <w:rPr/>
        <w:t>mitigation would affect the cost benefit analysis by influencing the minimum acceptable</w:t>
      </w:r>
      <w:r>
        <w:rPr>
          <w:spacing w:val="1"/>
        </w:rPr>
        <w:t> </w:t>
      </w:r>
      <w:r>
        <w:rPr/>
        <w:t>levels of protection or setting a maximum damage threshold for some of the protection</w:t>
      </w:r>
      <w:r>
        <w:rPr>
          <w:spacing w:val="1"/>
        </w:rPr>
        <w:t> </w:t>
      </w:r>
      <w:r>
        <w:rPr/>
        <w:t>criteria</w:t>
      </w:r>
      <w:r>
        <w:rPr>
          <w:spacing w:val="-1"/>
        </w:rPr>
        <w:t> </w:t>
      </w:r>
      <w:r>
        <w:rPr/>
        <w:t>as discussed in</w:t>
      </w:r>
      <w:r>
        <w:rPr>
          <w:spacing w:val="-1"/>
        </w:rPr>
        <w:t> </w:t>
      </w:r>
      <w:r>
        <w:rPr/>
        <w:t>Chapter 9.</w:t>
      </w:r>
    </w:p>
    <w:p>
      <w:pPr>
        <w:pStyle w:val="BodyText"/>
        <w:spacing w:line="480" w:lineRule="auto" w:before="160"/>
        <w:ind w:left="439" w:right="417" w:firstLine="720"/>
        <w:jc w:val="both"/>
      </w:pPr>
      <w:r>
        <w:rPr/>
        <w:t>Prices listed in </w:t>
      </w:r>
      <w:hyperlink w:history="true" w:anchor="_bookmark166">
        <w:r>
          <w:rPr/>
          <w:t>Table 7-12 </w:t>
        </w:r>
      </w:hyperlink>
      <w:r>
        <w:rPr/>
        <w:t>came from 2018 vendor quotes or from experienced</w:t>
      </w:r>
      <w:r>
        <w:rPr>
          <w:spacing w:val="1"/>
        </w:rPr>
        <w:t> </w:t>
      </w:r>
      <w:r>
        <w:rPr/>
        <w:t>researchers for some of the military specific materials, which were donated by the Army</w:t>
      </w:r>
      <w:r>
        <w:rPr>
          <w:spacing w:val="1"/>
        </w:rPr>
        <w:t> </w:t>
      </w:r>
      <w:r>
        <w:rPr/>
        <w:t>Research Laboratory (ARL) [100].</w:t>
      </w:r>
      <w:r>
        <w:rPr>
          <w:spacing w:val="1"/>
        </w:rPr>
        <w:t> </w:t>
      </w:r>
      <w:r>
        <w:rPr/>
        <w:t>The prices are approximate estimates and do not take</w:t>
      </w:r>
      <w:r>
        <w:rPr>
          <w:spacing w:val="1"/>
        </w:rPr>
        <w:t> </w:t>
      </w:r>
      <w:r>
        <w:rPr/>
        <w:t>into</w:t>
      </w:r>
      <w:r>
        <w:rPr>
          <w:spacing w:val="-11"/>
        </w:rPr>
        <w:t> </w:t>
      </w:r>
      <w:r>
        <w:rPr/>
        <w:t>account</w:t>
      </w:r>
      <w:r>
        <w:rPr>
          <w:spacing w:val="-11"/>
        </w:rPr>
        <w:t> </w:t>
      </w:r>
      <w:r>
        <w:rPr/>
        <w:t>any</w:t>
      </w:r>
      <w:r>
        <w:rPr>
          <w:spacing w:val="-10"/>
        </w:rPr>
        <w:t> </w:t>
      </w:r>
      <w:r>
        <w:rPr/>
        <w:t>quantity</w:t>
      </w:r>
      <w:r>
        <w:rPr>
          <w:spacing w:val="-11"/>
        </w:rPr>
        <w:t> </w:t>
      </w:r>
      <w:r>
        <w:rPr/>
        <w:t>discounts</w:t>
      </w:r>
      <w:r>
        <w:rPr>
          <w:spacing w:val="-10"/>
        </w:rPr>
        <w:t> </w:t>
      </w:r>
      <w:r>
        <w:rPr/>
        <w:t>or</w:t>
      </w:r>
      <w:r>
        <w:rPr>
          <w:spacing w:val="-11"/>
        </w:rPr>
        <w:t> </w:t>
      </w:r>
      <w:r>
        <w:rPr/>
        <w:t>shipping</w:t>
      </w:r>
      <w:r>
        <w:rPr>
          <w:spacing w:val="-10"/>
        </w:rPr>
        <w:t> </w:t>
      </w:r>
      <w:r>
        <w:rPr/>
        <w:t>costs,</w:t>
      </w:r>
      <w:r>
        <w:rPr>
          <w:spacing w:val="-10"/>
        </w:rPr>
        <w:t> </w:t>
      </w:r>
      <w:r>
        <w:rPr/>
        <w:t>which</w:t>
      </w:r>
      <w:r>
        <w:rPr>
          <w:spacing w:val="-10"/>
        </w:rPr>
        <w:t> </w:t>
      </w:r>
      <w:r>
        <w:rPr/>
        <w:t>could</w:t>
      </w:r>
      <w:r>
        <w:rPr>
          <w:spacing w:val="-10"/>
        </w:rPr>
        <w:t> </w:t>
      </w:r>
      <w:r>
        <w:rPr/>
        <w:t>significantly</w:t>
      </w:r>
      <w:r>
        <w:rPr>
          <w:spacing w:val="-10"/>
        </w:rPr>
        <w:t> </w:t>
      </w:r>
      <w:r>
        <w:rPr/>
        <w:t>change</w:t>
      </w:r>
      <w:r>
        <w:rPr>
          <w:spacing w:val="-11"/>
        </w:rPr>
        <w:t> </w:t>
      </w:r>
      <w:r>
        <w:rPr/>
        <w:t>the</w:t>
      </w:r>
      <w:r>
        <w:rPr>
          <w:spacing w:val="-58"/>
        </w:rPr>
        <w:t> </w:t>
      </w:r>
      <w:r>
        <w:rPr/>
        <w:t>overall cost.</w:t>
      </w:r>
      <w:r>
        <w:rPr>
          <w:spacing w:val="1"/>
        </w:rPr>
        <w:t> </w:t>
      </w:r>
      <w:r>
        <w:rPr/>
        <w:t>The newer advanced technology fiber-based materials such as aramid and</w:t>
      </w:r>
      <w:r>
        <w:rPr>
          <w:spacing w:val="1"/>
        </w:rPr>
        <w:t> </w:t>
      </w:r>
      <w:r>
        <w:rPr/>
        <w:t>UHMWPE</w:t>
      </w:r>
      <w:r>
        <w:rPr>
          <w:spacing w:val="-1"/>
        </w:rPr>
        <w:t> </w:t>
      </w:r>
      <w:r>
        <w:rPr/>
        <w:t>are</w:t>
      </w:r>
      <w:r>
        <w:rPr>
          <w:spacing w:val="-1"/>
        </w:rPr>
        <w:t> </w:t>
      </w:r>
      <w:r>
        <w:rPr/>
        <w:t>significantly</w:t>
      </w:r>
      <w:r>
        <w:rPr>
          <w:spacing w:val="-1"/>
        </w:rPr>
        <w:t> </w:t>
      </w:r>
      <w:r>
        <w:rPr/>
        <w:t>more</w:t>
      </w:r>
      <w:r>
        <w:rPr>
          <w:spacing w:val="-1"/>
        </w:rPr>
        <w:t> </w:t>
      </w:r>
      <w:r>
        <w:rPr/>
        <w:t>costly</w:t>
      </w:r>
      <w:r>
        <w:rPr>
          <w:spacing w:val="-1"/>
        </w:rPr>
        <w:t> </w:t>
      </w:r>
      <w:r>
        <w:rPr/>
        <w:t>than the</w:t>
      </w:r>
      <w:r>
        <w:rPr>
          <w:spacing w:val="-1"/>
        </w:rPr>
        <w:t> </w:t>
      </w:r>
      <w:r>
        <w:rPr/>
        <w:t>metal</w:t>
      </w:r>
      <w:r>
        <w:rPr>
          <w:spacing w:val="-1"/>
        </w:rPr>
        <w:t> </w:t>
      </w:r>
      <w:r>
        <w:rPr/>
        <w:t>plates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fiberglass</w:t>
      </w:r>
      <w:r>
        <w:rPr>
          <w:spacing w:val="-1"/>
        </w:rPr>
        <w:t> </w:t>
      </w:r>
      <w:r>
        <w:rPr/>
        <w:t>fabric.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34"/>
        </w:rPr>
      </w:pPr>
    </w:p>
    <w:p>
      <w:pPr>
        <w:spacing w:before="0"/>
        <w:ind w:left="21" w:right="0" w:firstLine="0"/>
        <w:jc w:val="center"/>
        <w:rPr>
          <w:i/>
          <w:sz w:val="24"/>
        </w:rPr>
      </w:pPr>
      <w:bookmarkStart w:name="_bookmark166" w:id="497"/>
      <w:bookmarkEnd w:id="497"/>
      <w:r>
        <w:rPr/>
      </w:r>
      <w:r>
        <w:rPr>
          <w:i/>
          <w:sz w:val="24"/>
        </w:rPr>
        <w:t>Table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7-12.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Cost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comparison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enhancing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layers.</w:t>
      </w:r>
    </w:p>
    <w:p>
      <w:pPr>
        <w:pStyle w:val="BodyText"/>
        <w:spacing w:before="5" w:after="1"/>
        <w:rPr>
          <w:i/>
          <w:sz w:val="17"/>
        </w:rPr>
      </w:pPr>
    </w:p>
    <w:tbl>
      <w:tblPr>
        <w:tblW w:w="0" w:type="auto"/>
        <w:jc w:val="left"/>
        <w:tblInd w:w="16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40"/>
        <w:gridCol w:w="1204"/>
        <w:gridCol w:w="1108"/>
        <w:gridCol w:w="1079"/>
      </w:tblGrid>
      <w:tr>
        <w:trPr>
          <w:trHeight w:val="506" w:hRule="atLeast"/>
        </w:trPr>
        <w:tc>
          <w:tcPr>
            <w:tcW w:w="2840" w:type="dxa"/>
            <w:shd w:val="clear" w:color="auto" w:fill="C0C0C0"/>
          </w:tcPr>
          <w:p>
            <w:pPr>
              <w:pStyle w:val="TableParagraph"/>
              <w:spacing w:before="124"/>
              <w:ind w:left="701"/>
              <w:rPr>
                <w:sz w:val="22"/>
              </w:rPr>
            </w:pPr>
            <w:r>
              <w:rPr>
                <w:sz w:val="22"/>
              </w:rPr>
              <w:t>Enhancing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layer</w:t>
            </w:r>
          </w:p>
        </w:tc>
        <w:tc>
          <w:tcPr>
            <w:tcW w:w="1204" w:type="dxa"/>
            <w:shd w:val="clear" w:color="auto" w:fill="C0C0C0"/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spacing w:line="234" w:lineRule="exact"/>
              <w:ind w:right="243"/>
              <w:jc w:val="right"/>
              <w:rPr>
                <w:sz w:val="22"/>
              </w:rPr>
            </w:pPr>
            <w:r>
              <w:rPr>
                <w:sz w:val="22"/>
              </w:rPr>
              <w:t>Cost/lb.</w:t>
            </w:r>
          </w:p>
        </w:tc>
        <w:tc>
          <w:tcPr>
            <w:tcW w:w="1108" w:type="dxa"/>
            <w:shd w:val="clear" w:color="auto" w:fill="C0C0C0"/>
          </w:tcPr>
          <w:p>
            <w:pPr>
              <w:pStyle w:val="TableParagraph"/>
              <w:spacing w:line="254" w:lineRule="exact"/>
              <w:ind w:left="130" w:right="77" w:hanging="22"/>
              <w:rPr>
                <w:sz w:val="22"/>
              </w:rPr>
            </w:pPr>
            <w:r>
              <w:rPr>
                <w:sz w:val="22"/>
              </w:rPr>
              <w:t>Thickness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Basis(in.)</w:t>
            </w:r>
          </w:p>
        </w:tc>
        <w:tc>
          <w:tcPr>
            <w:tcW w:w="1079" w:type="dxa"/>
            <w:shd w:val="clear" w:color="auto" w:fill="C0C0C0"/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spacing w:line="234" w:lineRule="exact"/>
              <w:ind w:right="192"/>
              <w:jc w:val="right"/>
              <w:rPr>
                <w:sz w:val="22"/>
              </w:rPr>
            </w:pPr>
            <w:r>
              <w:rPr>
                <w:sz w:val="22"/>
              </w:rPr>
              <w:t>Cost/ft</w:t>
            </w:r>
            <w:r>
              <w:rPr>
                <w:sz w:val="22"/>
                <w:vertAlign w:val="superscript"/>
              </w:rPr>
              <w:t>2</w:t>
            </w:r>
          </w:p>
        </w:tc>
      </w:tr>
      <w:tr>
        <w:trPr>
          <w:trHeight w:val="287" w:hRule="atLeast"/>
        </w:trPr>
        <w:tc>
          <w:tcPr>
            <w:tcW w:w="2840" w:type="dxa"/>
          </w:tcPr>
          <w:p>
            <w:pPr>
              <w:pStyle w:val="TableParagraph"/>
              <w:spacing w:line="234" w:lineRule="exact" w:before="33"/>
              <w:ind w:right="95"/>
              <w:jc w:val="right"/>
              <w:rPr>
                <w:sz w:val="22"/>
              </w:rPr>
            </w:pPr>
            <w:r>
              <w:rPr>
                <w:sz w:val="22"/>
              </w:rPr>
              <w:t>Perforated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Steel</w:t>
            </w:r>
          </w:p>
        </w:tc>
        <w:tc>
          <w:tcPr>
            <w:tcW w:w="1204" w:type="dxa"/>
          </w:tcPr>
          <w:p>
            <w:pPr>
              <w:pStyle w:val="TableParagraph"/>
              <w:tabs>
                <w:tab w:pos="329" w:val="left" w:leader="none"/>
              </w:tabs>
              <w:spacing w:line="234" w:lineRule="exact" w:before="33"/>
              <w:ind w:right="312"/>
              <w:jc w:val="right"/>
              <w:rPr>
                <w:sz w:val="22"/>
              </w:rPr>
            </w:pPr>
            <w:r>
              <w:rPr>
                <w:sz w:val="22"/>
              </w:rPr>
              <w:t>$</w:t>
              <w:tab/>
              <w:t>9.00</w:t>
            </w:r>
          </w:p>
        </w:tc>
        <w:tc>
          <w:tcPr>
            <w:tcW w:w="1108" w:type="dxa"/>
          </w:tcPr>
          <w:p>
            <w:pPr>
              <w:pStyle w:val="TableParagraph"/>
              <w:spacing w:line="234" w:lineRule="exact" w:before="33"/>
              <w:ind w:left="342" w:right="330"/>
              <w:jc w:val="center"/>
              <w:rPr>
                <w:sz w:val="22"/>
              </w:rPr>
            </w:pPr>
            <w:r>
              <w:rPr>
                <w:sz w:val="22"/>
              </w:rPr>
              <w:t>0.50</w:t>
            </w:r>
          </w:p>
        </w:tc>
        <w:tc>
          <w:tcPr>
            <w:tcW w:w="1079" w:type="dxa"/>
          </w:tcPr>
          <w:p>
            <w:pPr>
              <w:pStyle w:val="TableParagraph"/>
              <w:spacing w:line="234" w:lineRule="exact" w:before="33"/>
              <w:ind w:right="186"/>
              <w:jc w:val="right"/>
              <w:rPr>
                <w:sz w:val="22"/>
              </w:rPr>
            </w:pPr>
            <w:r>
              <w:rPr>
                <w:sz w:val="22"/>
              </w:rPr>
              <w:t>$</w:t>
            </w:r>
            <w:r>
              <w:rPr>
                <w:spacing w:val="54"/>
                <w:sz w:val="22"/>
              </w:rPr>
              <w:t> </w:t>
            </w:r>
            <w:r>
              <w:rPr>
                <w:sz w:val="22"/>
              </w:rPr>
              <w:t>90.00</w:t>
            </w:r>
          </w:p>
        </w:tc>
      </w:tr>
      <w:tr>
        <w:trPr>
          <w:trHeight w:val="290" w:hRule="atLeast"/>
        </w:trPr>
        <w:tc>
          <w:tcPr>
            <w:tcW w:w="2840" w:type="dxa"/>
          </w:tcPr>
          <w:p>
            <w:pPr>
              <w:pStyle w:val="TableParagraph"/>
              <w:spacing w:line="234" w:lineRule="exact" w:before="35"/>
              <w:ind w:right="95"/>
              <w:jc w:val="right"/>
              <w:rPr>
                <w:sz w:val="22"/>
              </w:rPr>
            </w:pPr>
            <w:r>
              <w:rPr>
                <w:sz w:val="22"/>
              </w:rPr>
              <w:t>Expanded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Metal</w:t>
            </w:r>
          </w:p>
        </w:tc>
        <w:tc>
          <w:tcPr>
            <w:tcW w:w="1204" w:type="dxa"/>
          </w:tcPr>
          <w:p>
            <w:pPr>
              <w:pStyle w:val="TableParagraph"/>
              <w:tabs>
                <w:tab w:pos="329" w:val="left" w:leader="none"/>
              </w:tabs>
              <w:spacing w:line="234" w:lineRule="exact" w:before="35"/>
              <w:ind w:right="312"/>
              <w:jc w:val="right"/>
              <w:rPr>
                <w:sz w:val="22"/>
              </w:rPr>
            </w:pPr>
            <w:r>
              <w:rPr>
                <w:sz w:val="22"/>
              </w:rPr>
              <w:t>$</w:t>
              <w:tab/>
              <w:t>3.23</w:t>
            </w:r>
          </w:p>
        </w:tc>
        <w:tc>
          <w:tcPr>
            <w:tcW w:w="1108" w:type="dxa"/>
          </w:tcPr>
          <w:p>
            <w:pPr>
              <w:pStyle w:val="TableParagraph"/>
              <w:spacing w:line="234" w:lineRule="exact" w:before="35"/>
              <w:ind w:left="342" w:right="330"/>
              <w:jc w:val="center"/>
              <w:rPr>
                <w:sz w:val="22"/>
              </w:rPr>
            </w:pPr>
            <w:r>
              <w:rPr>
                <w:sz w:val="22"/>
              </w:rPr>
              <w:t>0.50</w:t>
            </w:r>
          </w:p>
        </w:tc>
        <w:tc>
          <w:tcPr>
            <w:tcW w:w="1079" w:type="dxa"/>
          </w:tcPr>
          <w:p>
            <w:pPr>
              <w:pStyle w:val="TableParagraph"/>
              <w:spacing w:line="234" w:lineRule="exact" w:before="35"/>
              <w:ind w:right="185"/>
              <w:jc w:val="right"/>
              <w:rPr>
                <w:sz w:val="22"/>
              </w:rPr>
            </w:pPr>
            <w:r>
              <w:rPr>
                <w:sz w:val="22"/>
              </w:rPr>
              <w:t>$</w:t>
            </w:r>
            <w:r>
              <w:rPr>
                <w:spacing w:val="53"/>
                <w:sz w:val="22"/>
              </w:rPr>
              <w:t> </w:t>
            </w:r>
            <w:r>
              <w:rPr>
                <w:sz w:val="22"/>
              </w:rPr>
              <w:t>20.10</w:t>
            </w:r>
          </w:p>
        </w:tc>
      </w:tr>
      <w:tr>
        <w:trPr>
          <w:trHeight w:val="290" w:hRule="atLeast"/>
        </w:trPr>
        <w:tc>
          <w:tcPr>
            <w:tcW w:w="2840" w:type="dxa"/>
          </w:tcPr>
          <w:p>
            <w:pPr>
              <w:pStyle w:val="TableParagraph"/>
              <w:spacing w:line="234" w:lineRule="exact" w:before="35"/>
              <w:ind w:right="95"/>
              <w:jc w:val="right"/>
              <w:rPr>
                <w:sz w:val="22"/>
              </w:rPr>
            </w:pPr>
            <w:r>
              <w:rPr>
                <w:sz w:val="22"/>
              </w:rPr>
              <w:t>Aramid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Epoxy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Panel</w:t>
            </w:r>
          </w:p>
        </w:tc>
        <w:tc>
          <w:tcPr>
            <w:tcW w:w="1204" w:type="dxa"/>
          </w:tcPr>
          <w:p>
            <w:pPr>
              <w:pStyle w:val="TableParagraph"/>
              <w:spacing w:line="234" w:lineRule="exact" w:before="35"/>
              <w:ind w:right="312"/>
              <w:jc w:val="right"/>
              <w:rPr>
                <w:sz w:val="22"/>
              </w:rPr>
            </w:pPr>
            <w:r>
              <w:rPr>
                <w:sz w:val="22"/>
              </w:rPr>
              <w:t>$</w:t>
            </w:r>
            <w:r>
              <w:rPr>
                <w:spacing w:val="53"/>
                <w:sz w:val="22"/>
              </w:rPr>
              <w:t> </w:t>
            </w:r>
            <w:r>
              <w:rPr>
                <w:sz w:val="22"/>
              </w:rPr>
              <w:t>20.00</w:t>
            </w:r>
          </w:p>
        </w:tc>
        <w:tc>
          <w:tcPr>
            <w:tcW w:w="1108" w:type="dxa"/>
          </w:tcPr>
          <w:p>
            <w:pPr>
              <w:pStyle w:val="TableParagraph"/>
              <w:spacing w:line="234" w:lineRule="exact" w:before="35"/>
              <w:ind w:left="342" w:right="330"/>
              <w:jc w:val="center"/>
              <w:rPr>
                <w:sz w:val="22"/>
              </w:rPr>
            </w:pPr>
            <w:r>
              <w:rPr>
                <w:sz w:val="22"/>
              </w:rPr>
              <w:t>0.56</w:t>
            </w:r>
          </w:p>
        </w:tc>
        <w:tc>
          <w:tcPr>
            <w:tcW w:w="1079" w:type="dxa"/>
          </w:tcPr>
          <w:p>
            <w:pPr>
              <w:pStyle w:val="TableParagraph"/>
              <w:spacing w:line="234" w:lineRule="exact" w:before="35"/>
              <w:ind w:right="185"/>
              <w:jc w:val="right"/>
              <w:rPr>
                <w:sz w:val="22"/>
              </w:rPr>
            </w:pPr>
            <w:r>
              <w:rPr>
                <w:sz w:val="22"/>
              </w:rPr>
              <w:t>$</w:t>
            </w:r>
            <w:r>
              <w:rPr>
                <w:spacing w:val="53"/>
                <w:sz w:val="22"/>
              </w:rPr>
              <w:t> </w:t>
            </w:r>
            <w:r>
              <w:rPr>
                <w:sz w:val="22"/>
              </w:rPr>
              <w:t>71.19</w:t>
            </w:r>
          </w:p>
        </w:tc>
      </w:tr>
      <w:tr>
        <w:trPr>
          <w:trHeight w:val="289" w:hRule="atLeast"/>
        </w:trPr>
        <w:tc>
          <w:tcPr>
            <w:tcW w:w="2840" w:type="dxa"/>
          </w:tcPr>
          <w:p>
            <w:pPr>
              <w:pStyle w:val="TableParagraph"/>
              <w:spacing w:line="234" w:lineRule="exact" w:before="35"/>
              <w:ind w:right="96"/>
              <w:jc w:val="right"/>
              <w:rPr>
                <w:sz w:val="22"/>
              </w:rPr>
            </w:pPr>
            <w:r>
              <w:rPr>
                <w:sz w:val="22"/>
              </w:rPr>
              <w:t>Mild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Steel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Plate</w:t>
            </w:r>
          </w:p>
        </w:tc>
        <w:tc>
          <w:tcPr>
            <w:tcW w:w="1204" w:type="dxa"/>
          </w:tcPr>
          <w:p>
            <w:pPr>
              <w:pStyle w:val="TableParagraph"/>
              <w:tabs>
                <w:tab w:pos="329" w:val="left" w:leader="none"/>
              </w:tabs>
              <w:spacing w:line="234" w:lineRule="exact" w:before="35"/>
              <w:ind w:right="312"/>
              <w:jc w:val="right"/>
              <w:rPr>
                <w:sz w:val="22"/>
              </w:rPr>
            </w:pPr>
            <w:r>
              <w:rPr>
                <w:sz w:val="22"/>
              </w:rPr>
              <w:t>$</w:t>
              <w:tab/>
              <w:t>0.98</w:t>
            </w:r>
          </w:p>
        </w:tc>
        <w:tc>
          <w:tcPr>
            <w:tcW w:w="1108" w:type="dxa"/>
          </w:tcPr>
          <w:p>
            <w:pPr>
              <w:pStyle w:val="TableParagraph"/>
              <w:spacing w:line="234" w:lineRule="exact" w:before="35"/>
              <w:ind w:left="342" w:right="330"/>
              <w:jc w:val="center"/>
              <w:rPr>
                <w:sz w:val="22"/>
              </w:rPr>
            </w:pPr>
            <w:r>
              <w:rPr>
                <w:sz w:val="22"/>
              </w:rPr>
              <w:t>0.25</w:t>
            </w:r>
          </w:p>
        </w:tc>
        <w:tc>
          <w:tcPr>
            <w:tcW w:w="1079" w:type="dxa"/>
          </w:tcPr>
          <w:p>
            <w:pPr>
              <w:pStyle w:val="TableParagraph"/>
              <w:spacing w:line="234" w:lineRule="exact" w:before="35"/>
              <w:ind w:right="185"/>
              <w:jc w:val="right"/>
              <w:rPr>
                <w:sz w:val="22"/>
              </w:rPr>
            </w:pPr>
            <w:r>
              <w:rPr>
                <w:sz w:val="22"/>
              </w:rPr>
              <w:t>$</w:t>
            </w:r>
            <w:r>
              <w:rPr>
                <w:spacing w:val="53"/>
                <w:sz w:val="22"/>
              </w:rPr>
              <w:t> </w:t>
            </w:r>
            <w:r>
              <w:rPr>
                <w:sz w:val="22"/>
              </w:rPr>
              <w:t>10.10</w:t>
            </w:r>
          </w:p>
        </w:tc>
      </w:tr>
      <w:tr>
        <w:trPr>
          <w:trHeight w:val="290" w:hRule="atLeast"/>
        </w:trPr>
        <w:tc>
          <w:tcPr>
            <w:tcW w:w="2840" w:type="dxa"/>
          </w:tcPr>
          <w:p>
            <w:pPr>
              <w:pStyle w:val="TableParagraph"/>
              <w:spacing w:line="234" w:lineRule="exact" w:before="35"/>
              <w:ind w:right="96"/>
              <w:jc w:val="right"/>
              <w:rPr>
                <w:sz w:val="22"/>
              </w:rPr>
            </w:pPr>
            <w:r>
              <w:rPr>
                <w:sz w:val="22"/>
              </w:rPr>
              <w:t>High-hard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Plate</w:t>
            </w:r>
          </w:p>
        </w:tc>
        <w:tc>
          <w:tcPr>
            <w:tcW w:w="1204" w:type="dxa"/>
          </w:tcPr>
          <w:p>
            <w:pPr>
              <w:pStyle w:val="TableParagraph"/>
              <w:tabs>
                <w:tab w:pos="329" w:val="left" w:leader="none"/>
              </w:tabs>
              <w:spacing w:line="234" w:lineRule="exact" w:before="35"/>
              <w:ind w:right="312"/>
              <w:jc w:val="right"/>
              <w:rPr>
                <w:sz w:val="22"/>
              </w:rPr>
            </w:pPr>
            <w:r>
              <w:rPr>
                <w:sz w:val="22"/>
              </w:rPr>
              <w:t>$</w:t>
              <w:tab/>
              <w:t>5.24</w:t>
            </w:r>
          </w:p>
        </w:tc>
        <w:tc>
          <w:tcPr>
            <w:tcW w:w="1108" w:type="dxa"/>
          </w:tcPr>
          <w:p>
            <w:pPr>
              <w:pStyle w:val="TableParagraph"/>
              <w:spacing w:line="234" w:lineRule="exact" w:before="35"/>
              <w:ind w:left="342" w:right="330"/>
              <w:jc w:val="center"/>
              <w:rPr>
                <w:sz w:val="22"/>
              </w:rPr>
            </w:pPr>
            <w:r>
              <w:rPr>
                <w:sz w:val="22"/>
              </w:rPr>
              <w:t>0.25</w:t>
            </w:r>
          </w:p>
        </w:tc>
        <w:tc>
          <w:tcPr>
            <w:tcW w:w="1079" w:type="dxa"/>
          </w:tcPr>
          <w:p>
            <w:pPr>
              <w:pStyle w:val="TableParagraph"/>
              <w:spacing w:line="234" w:lineRule="exact" w:before="35"/>
              <w:ind w:right="185"/>
              <w:jc w:val="right"/>
              <w:rPr>
                <w:sz w:val="22"/>
              </w:rPr>
            </w:pPr>
            <w:r>
              <w:rPr>
                <w:sz w:val="22"/>
              </w:rPr>
              <w:t>$</w:t>
            </w:r>
            <w:r>
              <w:rPr>
                <w:spacing w:val="53"/>
                <w:sz w:val="22"/>
              </w:rPr>
              <w:t> </w:t>
            </w:r>
            <w:r>
              <w:rPr>
                <w:sz w:val="22"/>
              </w:rPr>
              <w:t>51.05</w:t>
            </w:r>
          </w:p>
        </w:tc>
      </w:tr>
      <w:tr>
        <w:trPr>
          <w:trHeight w:val="290" w:hRule="atLeast"/>
        </w:trPr>
        <w:tc>
          <w:tcPr>
            <w:tcW w:w="2840" w:type="dxa"/>
          </w:tcPr>
          <w:p>
            <w:pPr>
              <w:pStyle w:val="TableParagraph"/>
              <w:spacing w:line="234" w:lineRule="exact" w:before="35"/>
              <w:ind w:right="97"/>
              <w:jc w:val="right"/>
              <w:rPr>
                <w:sz w:val="22"/>
              </w:rPr>
            </w:pPr>
            <w:r>
              <w:rPr>
                <w:sz w:val="22"/>
              </w:rPr>
              <w:t>UHMWPE</w:t>
            </w:r>
          </w:p>
        </w:tc>
        <w:tc>
          <w:tcPr>
            <w:tcW w:w="1204" w:type="dxa"/>
          </w:tcPr>
          <w:p>
            <w:pPr>
              <w:pStyle w:val="TableParagraph"/>
              <w:spacing w:line="234" w:lineRule="exact" w:before="35"/>
              <w:ind w:right="312"/>
              <w:jc w:val="right"/>
              <w:rPr>
                <w:sz w:val="22"/>
              </w:rPr>
            </w:pPr>
            <w:r>
              <w:rPr>
                <w:sz w:val="22"/>
              </w:rPr>
              <w:t>$</w:t>
            </w:r>
            <w:r>
              <w:rPr>
                <w:spacing w:val="53"/>
                <w:sz w:val="22"/>
              </w:rPr>
              <w:t> </w:t>
            </w:r>
            <w:r>
              <w:rPr>
                <w:sz w:val="22"/>
              </w:rPr>
              <w:t>40.00</w:t>
            </w:r>
          </w:p>
        </w:tc>
        <w:tc>
          <w:tcPr>
            <w:tcW w:w="1108" w:type="dxa"/>
          </w:tcPr>
          <w:p>
            <w:pPr>
              <w:pStyle w:val="TableParagraph"/>
              <w:spacing w:line="234" w:lineRule="exact" w:before="35"/>
              <w:ind w:left="342" w:right="330"/>
              <w:jc w:val="center"/>
              <w:rPr>
                <w:sz w:val="22"/>
              </w:rPr>
            </w:pPr>
            <w:r>
              <w:rPr>
                <w:sz w:val="22"/>
              </w:rPr>
              <w:t>1.00</w:t>
            </w:r>
          </w:p>
        </w:tc>
        <w:tc>
          <w:tcPr>
            <w:tcW w:w="1079" w:type="dxa"/>
          </w:tcPr>
          <w:p>
            <w:pPr>
              <w:pStyle w:val="TableParagraph"/>
              <w:spacing w:line="234" w:lineRule="exact" w:before="35"/>
              <w:ind w:right="185"/>
              <w:jc w:val="right"/>
              <w:rPr>
                <w:sz w:val="22"/>
              </w:rPr>
            </w:pPr>
            <w:r>
              <w:rPr>
                <w:sz w:val="22"/>
              </w:rPr>
              <w:t>$204.94</w:t>
            </w:r>
          </w:p>
        </w:tc>
      </w:tr>
      <w:tr>
        <w:trPr>
          <w:trHeight w:val="289" w:hRule="atLeast"/>
        </w:trPr>
        <w:tc>
          <w:tcPr>
            <w:tcW w:w="2840" w:type="dxa"/>
          </w:tcPr>
          <w:p>
            <w:pPr>
              <w:pStyle w:val="TableParagraph"/>
              <w:spacing w:line="234" w:lineRule="exact" w:before="35"/>
              <w:ind w:right="95"/>
              <w:jc w:val="right"/>
              <w:rPr>
                <w:sz w:val="22"/>
              </w:rPr>
            </w:pPr>
            <w:r>
              <w:rPr>
                <w:sz w:val="22"/>
              </w:rPr>
              <w:t>Fiberglass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fabric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(4-ply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x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1)</w:t>
            </w:r>
          </w:p>
        </w:tc>
        <w:tc>
          <w:tcPr>
            <w:tcW w:w="1204" w:type="dxa"/>
          </w:tcPr>
          <w:p>
            <w:pPr>
              <w:pStyle w:val="TableParagraph"/>
              <w:tabs>
                <w:tab w:pos="329" w:val="left" w:leader="none"/>
              </w:tabs>
              <w:spacing w:line="234" w:lineRule="exact" w:before="35"/>
              <w:ind w:right="312"/>
              <w:jc w:val="right"/>
              <w:rPr>
                <w:sz w:val="22"/>
              </w:rPr>
            </w:pPr>
            <w:r>
              <w:rPr>
                <w:sz w:val="22"/>
              </w:rPr>
              <w:t>$</w:t>
              <w:tab/>
              <w:t>6.92</w:t>
            </w:r>
          </w:p>
        </w:tc>
        <w:tc>
          <w:tcPr>
            <w:tcW w:w="1108" w:type="dxa"/>
          </w:tcPr>
          <w:p>
            <w:pPr>
              <w:pStyle w:val="TableParagraph"/>
              <w:spacing w:line="234" w:lineRule="exact" w:before="35"/>
              <w:ind w:left="342" w:right="330"/>
              <w:jc w:val="center"/>
              <w:rPr>
                <w:sz w:val="22"/>
              </w:rPr>
            </w:pPr>
            <w:r>
              <w:rPr>
                <w:sz w:val="22"/>
              </w:rPr>
              <w:t>0.12</w:t>
            </w:r>
          </w:p>
        </w:tc>
        <w:tc>
          <w:tcPr>
            <w:tcW w:w="1079" w:type="dxa"/>
          </w:tcPr>
          <w:p>
            <w:pPr>
              <w:pStyle w:val="TableParagraph"/>
              <w:tabs>
                <w:tab w:pos="329" w:val="left" w:leader="none"/>
              </w:tabs>
              <w:spacing w:line="234" w:lineRule="exact" w:before="35"/>
              <w:ind w:right="185"/>
              <w:jc w:val="right"/>
              <w:rPr>
                <w:sz w:val="22"/>
              </w:rPr>
            </w:pPr>
            <w:r>
              <w:rPr>
                <w:sz w:val="22"/>
              </w:rPr>
              <w:t>$</w:t>
              <w:tab/>
              <w:t>3.52</w:t>
            </w:r>
          </w:p>
        </w:tc>
      </w:tr>
      <w:tr>
        <w:trPr>
          <w:trHeight w:val="290" w:hRule="atLeast"/>
        </w:trPr>
        <w:tc>
          <w:tcPr>
            <w:tcW w:w="2840" w:type="dxa"/>
          </w:tcPr>
          <w:p>
            <w:pPr>
              <w:pStyle w:val="TableParagraph"/>
              <w:spacing w:line="234" w:lineRule="exact" w:before="35"/>
              <w:ind w:right="95"/>
              <w:jc w:val="right"/>
              <w:rPr>
                <w:sz w:val="22"/>
              </w:rPr>
            </w:pPr>
            <w:r>
              <w:rPr>
                <w:sz w:val="22"/>
              </w:rPr>
              <w:t>Fiberglass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fabric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(1-ply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x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4)</w:t>
            </w:r>
          </w:p>
        </w:tc>
        <w:tc>
          <w:tcPr>
            <w:tcW w:w="1204" w:type="dxa"/>
          </w:tcPr>
          <w:p>
            <w:pPr>
              <w:pStyle w:val="TableParagraph"/>
              <w:tabs>
                <w:tab w:pos="329" w:val="left" w:leader="none"/>
              </w:tabs>
              <w:spacing w:line="234" w:lineRule="exact" w:before="35"/>
              <w:ind w:right="312"/>
              <w:jc w:val="right"/>
              <w:rPr>
                <w:sz w:val="22"/>
              </w:rPr>
            </w:pPr>
            <w:r>
              <w:rPr>
                <w:sz w:val="22"/>
              </w:rPr>
              <w:t>$</w:t>
              <w:tab/>
              <w:t>6.92</w:t>
            </w:r>
          </w:p>
        </w:tc>
        <w:tc>
          <w:tcPr>
            <w:tcW w:w="1108" w:type="dxa"/>
          </w:tcPr>
          <w:p>
            <w:pPr>
              <w:pStyle w:val="TableParagraph"/>
              <w:spacing w:line="234" w:lineRule="exact" w:before="35"/>
              <w:ind w:left="342" w:right="330"/>
              <w:jc w:val="center"/>
              <w:rPr>
                <w:sz w:val="22"/>
              </w:rPr>
            </w:pPr>
            <w:r>
              <w:rPr>
                <w:sz w:val="22"/>
              </w:rPr>
              <w:t>0.12</w:t>
            </w:r>
          </w:p>
        </w:tc>
        <w:tc>
          <w:tcPr>
            <w:tcW w:w="1079" w:type="dxa"/>
          </w:tcPr>
          <w:p>
            <w:pPr>
              <w:pStyle w:val="TableParagraph"/>
              <w:tabs>
                <w:tab w:pos="329" w:val="left" w:leader="none"/>
              </w:tabs>
              <w:spacing w:line="234" w:lineRule="exact" w:before="35"/>
              <w:ind w:right="185"/>
              <w:jc w:val="right"/>
              <w:rPr>
                <w:sz w:val="22"/>
              </w:rPr>
            </w:pPr>
            <w:r>
              <w:rPr>
                <w:sz w:val="22"/>
              </w:rPr>
              <w:t>$</w:t>
              <w:tab/>
              <w:t>3.52</w:t>
            </w:r>
          </w:p>
        </w:tc>
      </w:tr>
    </w:tbl>
    <w:p>
      <w:pPr>
        <w:spacing w:after="0" w:line="234" w:lineRule="exact"/>
        <w:jc w:val="right"/>
        <w:rPr>
          <w:sz w:val="22"/>
        </w:rPr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39" w:right="417" w:firstLine="720"/>
        <w:jc w:val="both"/>
      </w:pPr>
      <w:r>
        <w:rPr/>
        <w:t>A ballistic resistance ranking was subjectively determined for each layer for the</w:t>
      </w:r>
      <w:r>
        <w:rPr>
          <w:spacing w:val="1"/>
        </w:rPr>
        <w:t> </w:t>
      </w:r>
      <w:r>
        <w:rPr/>
        <w:t>purposes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this</w:t>
      </w:r>
      <w:r>
        <w:rPr>
          <w:spacing w:val="-8"/>
        </w:rPr>
        <w:t> </w:t>
      </w:r>
      <w:r>
        <w:rPr/>
        <w:t>comparison</w:t>
      </w:r>
      <w:r>
        <w:rPr>
          <w:spacing w:val="-9"/>
        </w:rPr>
        <w:t> </w:t>
      </w:r>
      <w:r>
        <w:rPr/>
        <w:t>based</w:t>
      </w:r>
      <w:r>
        <w:rPr>
          <w:spacing w:val="-8"/>
        </w:rPr>
        <w:t> </w:t>
      </w:r>
      <w:r>
        <w:rPr/>
        <w:t>on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quantity</w:t>
      </w:r>
      <w:r>
        <w:rPr>
          <w:spacing w:val="-10"/>
        </w:rPr>
        <w:t> </w:t>
      </w:r>
      <w:r>
        <w:rPr/>
        <w:t>of</w:t>
      </w:r>
      <w:r>
        <w:rPr>
          <w:spacing w:val="-8"/>
        </w:rPr>
        <w:t> </w:t>
      </w:r>
      <w:r>
        <w:rPr/>
        <w:t>complete</w:t>
      </w:r>
      <w:r>
        <w:rPr>
          <w:spacing w:val="-8"/>
        </w:rPr>
        <w:t> </w:t>
      </w:r>
      <w:r>
        <w:rPr/>
        <w:t>and</w:t>
      </w:r>
      <w:r>
        <w:rPr>
          <w:spacing w:val="-9"/>
        </w:rPr>
        <w:t> </w:t>
      </w:r>
      <w:r>
        <w:rPr/>
        <w:t>partial</w:t>
      </w:r>
      <w:r>
        <w:rPr>
          <w:spacing w:val="-8"/>
        </w:rPr>
        <w:t> </w:t>
      </w:r>
      <w:r>
        <w:rPr/>
        <w:t>penetrations,</w:t>
      </w:r>
      <w:r>
        <w:rPr>
          <w:spacing w:val="-8"/>
        </w:rPr>
        <w:t> </w:t>
      </w:r>
      <w:r>
        <w:rPr/>
        <w:t>the</w:t>
      </w:r>
      <w:r>
        <w:rPr>
          <w:spacing w:val="-58"/>
        </w:rPr>
        <w:t> </w:t>
      </w:r>
      <w:r>
        <w:rPr>
          <w:spacing w:val="-1"/>
        </w:rPr>
        <w:t>percentage</w:t>
      </w:r>
      <w:r>
        <w:rPr>
          <w:spacing w:val="-13"/>
        </w:rPr>
        <w:t> </w:t>
      </w:r>
      <w:r>
        <w:rPr>
          <w:spacing w:val="-1"/>
        </w:rPr>
        <w:t>of</w:t>
      </w:r>
      <w:r>
        <w:rPr>
          <w:spacing w:val="-13"/>
        </w:rPr>
        <w:t> </w:t>
      </w:r>
      <w:r>
        <w:rPr>
          <w:spacing w:val="-1"/>
        </w:rPr>
        <w:t>penetrations</w:t>
      </w:r>
      <w:r>
        <w:rPr>
          <w:spacing w:val="-12"/>
        </w:rPr>
        <w:t> </w:t>
      </w:r>
      <w:r>
        <w:rPr/>
        <w:t>beyond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enhancing</w:t>
      </w:r>
      <w:r>
        <w:rPr>
          <w:spacing w:val="-13"/>
        </w:rPr>
        <w:t> </w:t>
      </w:r>
      <w:r>
        <w:rPr/>
        <w:t>layer,</w:t>
      </w:r>
      <w:r>
        <w:rPr>
          <w:spacing w:val="-13"/>
        </w:rPr>
        <w:t> </w:t>
      </w:r>
      <w:r>
        <w:rPr/>
        <w:t>and</w:t>
      </w:r>
      <w:r>
        <w:rPr>
          <w:spacing w:val="-14"/>
        </w:rPr>
        <w:t> </w:t>
      </w:r>
      <w:r>
        <w:rPr/>
        <w:t>maximum</w:t>
      </w:r>
      <w:r>
        <w:rPr>
          <w:spacing w:val="-15"/>
        </w:rPr>
        <w:t> </w:t>
      </w:r>
      <w:r>
        <w:rPr/>
        <w:t>depth</w:t>
      </w:r>
      <w:r>
        <w:rPr>
          <w:spacing w:val="-13"/>
        </w:rPr>
        <w:t> </w:t>
      </w:r>
      <w:r>
        <w:rPr/>
        <w:t>of</w:t>
      </w:r>
      <w:r>
        <w:rPr>
          <w:spacing w:val="-13"/>
        </w:rPr>
        <w:t> </w:t>
      </w:r>
      <w:r>
        <w:rPr/>
        <w:t>penetration.</w:t>
      </w:r>
      <w:r>
        <w:rPr>
          <w:spacing w:val="-58"/>
        </w:rPr>
        <w:t> </w:t>
      </w:r>
      <w:r>
        <w:rPr/>
        <w:t>This assessment is based solely on the experimental testing of this research with the 0.50-</w:t>
      </w:r>
      <w:r>
        <w:rPr>
          <w:spacing w:val="-57"/>
        </w:rPr>
        <w:t> </w:t>
      </w:r>
      <w:r>
        <w:rPr/>
        <w:t>in. sphere.</w:t>
      </w:r>
      <w:r>
        <w:rPr>
          <w:spacing w:val="1"/>
        </w:rPr>
        <w:t> </w:t>
      </w:r>
      <w:r>
        <w:rPr/>
        <w:t>Other approaches for ranking the ballistic performance of the materials could</w:t>
      </w:r>
      <w:r>
        <w:rPr>
          <w:spacing w:val="1"/>
        </w:rPr>
        <w:t> </w:t>
      </w:r>
      <w:r>
        <w:rPr/>
        <w:t>incorporate the mass effectiveness using the RHA areal density required to stop the</w:t>
      </w:r>
      <w:r>
        <w:rPr>
          <w:spacing w:val="1"/>
        </w:rPr>
        <w:t> </w:t>
      </w:r>
      <w:r>
        <w:rPr/>
        <w:t>specified projectile. </w:t>
      </w:r>
      <w:hyperlink w:history="true" w:anchor="_bookmark167">
        <w:r>
          <w:rPr/>
          <w:t>Table 7-13 </w:t>
        </w:r>
      </w:hyperlink>
      <w:r>
        <w:rPr/>
        <w:t>shows the relevant data for the assessment and ranking of</w:t>
      </w:r>
      <w:r>
        <w:rPr>
          <w:spacing w:val="1"/>
        </w:rPr>
        <w:t> </w:t>
      </w:r>
      <w:r>
        <w:rPr/>
        <w:t>the various materials. The baseline CLT is included in the comparison because not having</w:t>
      </w:r>
      <w:r>
        <w:rPr>
          <w:spacing w:val="-57"/>
        </w:rPr>
        <w:t> </w:t>
      </w:r>
      <w:r>
        <w:rPr/>
        <w:t>an</w:t>
      </w:r>
      <w:r>
        <w:rPr>
          <w:spacing w:val="-10"/>
        </w:rPr>
        <w:t> </w:t>
      </w:r>
      <w:r>
        <w:rPr/>
        <w:t>enhancing</w:t>
      </w:r>
      <w:r>
        <w:rPr>
          <w:spacing w:val="-9"/>
        </w:rPr>
        <w:t> </w:t>
      </w:r>
      <w:r>
        <w:rPr/>
        <w:t>layer</w:t>
      </w:r>
      <w:r>
        <w:rPr>
          <w:spacing w:val="-8"/>
        </w:rPr>
        <w:t> </w:t>
      </w:r>
      <w:r>
        <w:rPr/>
        <w:t>is</w:t>
      </w:r>
      <w:r>
        <w:rPr>
          <w:spacing w:val="-11"/>
        </w:rPr>
        <w:t> </w:t>
      </w:r>
      <w:r>
        <w:rPr/>
        <w:t>also</w:t>
      </w:r>
      <w:r>
        <w:rPr>
          <w:spacing w:val="-9"/>
        </w:rPr>
        <w:t> </w:t>
      </w:r>
      <w:r>
        <w:rPr/>
        <w:t>an</w:t>
      </w:r>
      <w:r>
        <w:rPr>
          <w:spacing w:val="-9"/>
        </w:rPr>
        <w:t> </w:t>
      </w:r>
      <w:r>
        <w:rPr/>
        <w:t>option</w:t>
      </w:r>
      <w:r>
        <w:rPr>
          <w:spacing w:val="-11"/>
        </w:rPr>
        <w:t> </w:t>
      </w:r>
      <w:r>
        <w:rPr/>
        <w:t>with</w:t>
      </w:r>
      <w:r>
        <w:rPr>
          <w:spacing w:val="-9"/>
        </w:rPr>
        <w:t> </w:t>
      </w:r>
      <w:r>
        <w:rPr/>
        <w:t>zero</w:t>
      </w:r>
      <w:r>
        <w:rPr>
          <w:spacing w:val="-9"/>
        </w:rPr>
        <w:t> </w:t>
      </w:r>
      <w:r>
        <w:rPr/>
        <w:t>additional</w:t>
      </w:r>
      <w:r>
        <w:rPr>
          <w:spacing w:val="-8"/>
        </w:rPr>
        <w:t> </w:t>
      </w:r>
      <w:r>
        <w:rPr/>
        <w:t>cost.</w:t>
      </w:r>
      <w:r>
        <w:rPr>
          <w:spacing w:val="42"/>
        </w:rPr>
        <w:t> </w:t>
      </w:r>
      <w:r>
        <w:rPr/>
        <w:t>Additionally,</w:t>
      </w:r>
      <w:r>
        <w:rPr>
          <w:spacing w:val="-9"/>
        </w:rPr>
        <w:t> </w:t>
      </w:r>
      <w:r>
        <w:rPr/>
        <w:t>only</w:t>
      </w:r>
      <w:r>
        <w:rPr>
          <w:spacing w:val="-11"/>
        </w:rPr>
        <w:t> </w:t>
      </w:r>
      <w:r>
        <w:rPr/>
        <w:t>test</w:t>
      </w:r>
      <w:r>
        <w:rPr>
          <w:spacing w:val="-9"/>
        </w:rPr>
        <w:t> </w:t>
      </w:r>
      <w:r>
        <w:rPr/>
        <w:t>shots</w:t>
      </w:r>
      <w:r>
        <w:rPr>
          <w:spacing w:val="-58"/>
        </w:rPr>
        <w:t> </w:t>
      </w:r>
      <w:r>
        <w:rPr/>
        <w:t>in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aimed</w:t>
      </w:r>
      <w:r>
        <w:rPr>
          <w:spacing w:val="-11"/>
        </w:rPr>
        <w:t> </w:t>
      </w:r>
      <w:r>
        <w:rPr/>
        <w:t>striking</w:t>
      </w:r>
      <w:r>
        <w:rPr>
          <w:spacing w:val="-12"/>
        </w:rPr>
        <w:t> </w:t>
      </w:r>
      <w:r>
        <w:rPr/>
        <w:t>velocity</w:t>
      </w:r>
      <w:r>
        <w:rPr>
          <w:spacing w:val="-12"/>
        </w:rPr>
        <w:t> </w:t>
      </w:r>
      <w:r>
        <w:rPr/>
        <w:t>of</w:t>
      </w:r>
      <w:r>
        <w:rPr>
          <w:spacing w:val="-13"/>
        </w:rPr>
        <w:t> </w:t>
      </w:r>
      <w:r>
        <w:rPr/>
        <w:t>2,500</w:t>
      </w:r>
      <w:r>
        <w:rPr>
          <w:spacing w:val="-13"/>
        </w:rPr>
        <w:t> </w:t>
      </w:r>
      <w:r>
        <w:rPr/>
        <w:t>fps</w:t>
      </w:r>
      <w:r>
        <w:rPr>
          <w:spacing w:val="-12"/>
        </w:rPr>
        <w:t> </w:t>
      </w:r>
      <w:r>
        <w:rPr/>
        <w:t>(762</w:t>
      </w:r>
      <w:r>
        <w:rPr>
          <w:spacing w:val="-11"/>
        </w:rPr>
        <w:t> </w:t>
      </w:r>
      <w:r>
        <w:rPr/>
        <w:t>m/s)</w:t>
      </w:r>
      <w:r>
        <w:rPr>
          <w:spacing w:val="-12"/>
        </w:rPr>
        <w:t> </w:t>
      </w:r>
      <w:r>
        <w:rPr/>
        <w:t>were</w:t>
      </w:r>
      <w:r>
        <w:rPr>
          <w:spacing w:val="-12"/>
        </w:rPr>
        <w:t> </w:t>
      </w:r>
      <w:r>
        <w:rPr/>
        <w:t>included</w:t>
      </w:r>
      <w:r>
        <w:rPr>
          <w:spacing w:val="-12"/>
        </w:rPr>
        <w:t> </w:t>
      </w:r>
      <w:r>
        <w:rPr/>
        <w:t>in</w:t>
      </w:r>
      <w:r>
        <w:rPr>
          <w:spacing w:val="-13"/>
        </w:rPr>
        <w:t> </w:t>
      </w:r>
      <w:r>
        <w:rPr/>
        <w:t>this</w:t>
      </w:r>
      <w:r>
        <w:rPr>
          <w:spacing w:val="-12"/>
        </w:rPr>
        <w:t> </w:t>
      </w:r>
      <w:r>
        <w:rPr/>
        <w:t>comparison.</w:t>
      </w:r>
      <w:r>
        <w:rPr>
          <w:spacing w:val="35"/>
        </w:rPr>
        <w:t> </w:t>
      </w:r>
      <w:r>
        <w:rPr/>
        <w:t>The</w:t>
      </w:r>
      <w:r>
        <w:rPr>
          <w:spacing w:val="-58"/>
        </w:rPr>
        <w:t> </w:t>
      </w:r>
      <w:r>
        <w:rPr/>
        <w:t>increased</w:t>
      </w:r>
      <w:r>
        <w:rPr>
          <w:spacing w:val="-1"/>
        </w:rPr>
        <w:t> </w:t>
      </w:r>
      <w:r>
        <w:rPr/>
        <w:t>velocity shots</w:t>
      </w:r>
      <w:r>
        <w:rPr>
          <w:spacing w:val="-1"/>
        </w:rPr>
        <w:t> </w:t>
      </w:r>
      <w:r>
        <w:rPr/>
        <w:t>to test</w:t>
      </w:r>
      <w:r>
        <w:rPr>
          <w:spacing w:val="-2"/>
        </w:rPr>
        <w:t> </w:t>
      </w:r>
      <w:r>
        <w:rPr/>
        <w:t>the material</w:t>
      </w:r>
      <w:r>
        <w:rPr>
          <w:spacing w:val="-1"/>
        </w:rPr>
        <w:t> </w:t>
      </w:r>
      <w:r>
        <w:rPr/>
        <w:t>limits</w:t>
      </w:r>
      <w:r>
        <w:rPr>
          <w:spacing w:val="-1"/>
        </w:rPr>
        <w:t> </w:t>
      </w:r>
      <w:r>
        <w:rPr/>
        <w:t>were</w:t>
      </w:r>
      <w:r>
        <w:rPr>
          <w:spacing w:val="-1"/>
        </w:rPr>
        <w:t> </w:t>
      </w:r>
      <w:r>
        <w:rPr/>
        <w:t>excluded.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spacing w:before="231"/>
        <w:ind w:left="19" w:right="0" w:firstLine="0"/>
        <w:jc w:val="center"/>
        <w:rPr>
          <w:i/>
          <w:sz w:val="24"/>
        </w:rPr>
      </w:pPr>
      <w:bookmarkStart w:name="_bookmark167" w:id="498"/>
      <w:bookmarkEnd w:id="498"/>
      <w:r>
        <w:rPr/>
      </w:r>
      <w:r>
        <w:rPr>
          <w:i/>
          <w:sz w:val="24"/>
        </w:rPr>
        <w:t>Table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7-13.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comparison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ballistic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resistance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based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testing.</w:t>
      </w:r>
    </w:p>
    <w:p>
      <w:pPr>
        <w:pStyle w:val="BodyText"/>
        <w:spacing w:before="5"/>
        <w:rPr>
          <w:i/>
          <w:sz w:val="17"/>
        </w:rPr>
      </w:pPr>
    </w:p>
    <w:tbl>
      <w:tblPr>
        <w:tblW w:w="0" w:type="auto"/>
        <w:jc w:val="left"/>
        <w:tblInd w:w="3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75"/>
        <w:gridCol w:w="1304"/>
        <w:gridCol w:w="1303"/>
        <w:gridCol w:w="1617"/>
        <w:gridCol w:w="1205"/>
        <w:gridCol w:w="1399"/>
      </w:tblGrid>
      <w:tr>
        <w:trPr>
          <w:trHeight w:val="290" w:hRule="atLeast"/>
        </w:trPr>
        <w:tc>
          <w:tcPr>
            <w:tcW w:w="1975" w:type="dxa"/>
            <w:vMerge w:val="restart"/>
            <w:tcBorders>
              <w:right w:val="single" w:sz="8" w:space="0" w:color="000000"/>
            </w:tcBorders>
            <w:shd w:val="clear" w:color="auto" w:fill="C0C0C0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0"/>
              <w:rPr>
                <w:i/>
                <w:sz w:val="32"/>
              </w:rPr>
            </w:pPr>
          </w:p>
          <w:p>
            <w:pPr>
              <w:pStyle w:val="TableParagraph"/>
              <w:spacing w:before="1"/>
              <w:ind w:left="269"/>
              <w:rPr>
                <w:sz w:val="22"/>
              </w:rPr>
            </w:pPr>
            <w:r>
              <w:rPr>
                <w:sz w:val="22"/>
              </w:rPr>
              <w:t>Enhancing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layer</w:t>
            </w:r>
          </w:p>
        </w:tc>
        <w:tc>
          <w:tcPr>
            <w:tcW w:w="6828" w:type="dxa"/>
            <w:gridSpan w:val="5"/>
            <w:tcBorders>
              <w:lef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line="252" w:lineRule="exact" w:before="17"/>
              <w:ind w:left="2564" w:right="2558"/>
              <w:jc w:val="center"/>
              <w:rPr>
                <w:sz w:val="22"/>
              </w:rPr>
            </w:pPr>
            <w:r>
              <w:rPr>
                <w:sz w:val="22"/>
              </w:rPr>
              <w:t>Ballistic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resistance</w:t>
            </w:r>
          </w:p>
        </w:tc>
      </w:tr>
      <w:tr>
        <w:trPr>
          <w:trHeight w:val="1265" w:hRule="atLeast"/>
        </w:trPr>
        <w:tc>
          <w:tcPr>
            <w:tcW w:w="1975" w:type="dxa"/>
            <w:vMerge/>
            <w:tcBorders>
              <w:top w:val="nil"/>
              <w:right w:val="single" w:sz="8" w:space="0" w:color="000000"/>
            </w:tcBorders>
            <w:shd w:val="clear" w:color="auto" w:fill="C0C0C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04" w:type="dxa"/>
            <w:tcBorders>
              <w:left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before="10"/>
              <w:rPr>
                <w:i/>
                <w:sz w:val="32"/>
              </w:rPr>
            </w:pPr>
          </w:p>
          <w:p>
            <w:pPr>
              <w:pStyle w:val="TableParagraph"/>
              <w:spacing w:before="1"/>
              <w:ind w:left="103" w:right="90" w:firstLine="116"/>
              <w:rPr>
                <w:sz w:val="22"/>
              </w:rPr>
            </w:pPr>
            <w:r>
              <w:rPr>
                <w:sz w:val="22"/>
              </w:rPr>
              <w:t>Complete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1"/>
                <w:sz w:val="22"/>
              </w:rPr>
              <w:t>Penetrations</w:t>
            </w:r>
          </w:p>
        </w:tc>
        <w:tc>
          <w:tcPr>
            <w:tcW w:w="1303" w:type="dxa"/>
            <w:shd w:val="clear" w:color="auto" w:fill="C0C0C0"/>
          </w:tcPr>
          <w:p>
            <w:pPr>
              <w:pStyle w:val="TableParagraph"/>
              <w:spacing w:before="10"/>
              <w:rPr>
                <w:i/>
                <w:sz w:val="32"/>
              </w:rPr>
            </w:pPr>
          </w:p>
          <w:p>
            <w:pPr>
              <w:pStyle w:val="TableParagraph"/>
              <w:spacing w:before="1"/>
              <w:ind w:left="108" w:right="89" w:firstLine="256"/>
              <w:rPr>
                <w:sz w:val="22"/>
              </w:rPr>
            </w:pPr>
            <w:r>
              <w:rPr>
                <w:sz w:val="22"/>
              </w:rPr>
              <w:t>Partial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1"/>
                <w:sz w:val="22"/>
              </w:rPr>
              <w:t>Penetrations</w:t>
            </w:r>
          </w:p>
        </w:tc>
        <w:tc>
          <w:tcPr>
            <w:tcW w:w="1617" w:type="dxa"/>
            <w:shd w:val="clear" w:color="auto" w:fill="C0C0C0"/>
          </w:tcPr>
          <w:p>
            <w:pPr>
              <w:pStyle w:val="TableParagraph"/>
              <w:spacing w:line="254" w:lineRule="exact"/>
              <w:ind w:left="111" w:right="95" w:hanging="1"/>
              <w:jc w:val="center"/>
              <w:rPr>
                <w:sz w:val="22"/>
              </w:rPr>
            </w:pPr>
            <w:r>
              <w:rPr>
                <w:sz w:val="22"/>
              </w:rPr>
              <w:t>% 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penetrations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beyond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enhancing layer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(v</w:t>
            </w:r>
            <w:r>
              <w:rPr>
                <w:sz w:val="22"/>
                <w:vertAlign w:val="subscript"/>
              </w:rPr>
              <w:t>s</w:t>
            </w:r>
            <w:r>
              <w:rPr>
                <w:spacing w:val="-2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=</w:t>
            </w:r>
            <w:r>
              <w:rPr>
                <w:spacing w:val="-2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2500</w:t>
            </w:r>
            <w:r>
              <w:rPr>
                <w:spacing w:val="-2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fps)</w:t>
            </w:r>
          </w:p>
        </w:tc>
        <w:tc>
          <w:tcPr>
            <w:tcW w:w="1205" w:type="dxa"/>
            <w:shd w:val="clear" w:color="auto" w:fill="C0C0C0"/>
          </w:tcPr>
          <w:p>
            <w:pPr>
              <w:pStyle w:val="TableParagraph"/>
              <w:spacing w:before="125"/>
              <w:ind w:left="109" w:right="93" w:firstLine="1"/>
              <w:jc w:val="center"/>
              <w:rPr>
                <w:sz w:val="22"/>
              </w:rPr>
            </w:pPr>
            <w:r>
              <w:rPr>
                <w:sz w:val="22"/>
              </w:rPr>
              <w:t>Maximum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depth 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penetration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(in)</w:t>
            </w:r>
          </w:p>
        </w:tc>
        <w:tc>
          <w:tcPr>
            <w:tcW w:w="1399" w:type="dxa"/>
            <w:shd w:val="clear" w:color="auto" w:fill="C0C0C0"/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ind w:left="110" w:right="93" w:firstLine="2"/>
              <w:jc w:val="center"/>
              <w:rPr>
                <w:sz w:val="22"/>
              </w:rPr>
            </w:pPr>
            <w:r>
              <w:rPr>
                <w:sz w:val="22"/>
              </w:rPr>
              <w:t>Ranking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(low = better</w:t>
            </w:r>
            <w:r>
              <w:rPr>
                <w:spacing w:val="-52"/>
                <w:sz w:val="22"/>
              </w:rPr>
              <w:t> </w:t>
            </w:r>
            <w:r>
              <w:rPr>
                <w:spacing w:val="-1"/>
                <w:sz w:val="22"/>
              </w:rPr>
              <w:t>performance)</w:t>
            </w:r>
          </w:p>
        </w:tc>
      </w:tr>
      <w:tr>
        <w:trPr>
          <w:trHeight w:val="285" w:hRule="atLeast"/>
        </w:trPr>
        <w:tc>
          <w:tcPr>
            <w:tcW w:w="1975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before="12"/>
              <w:ind w:right="91"/>
              <w:jc w:val="right"/>
              <w:rPr>
                <w:sz w:val="22"/>
              </w:rPr>
            </w:pPr>
            <w:r>
              <w:rPr>
                <w:sz w:val="22"/>
              </w:rPr>
              <w:t>Perforated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Steel</w:t>
            </w:r>
          </w:p>
        </w:tc>
        <w:tc>
          <w:tcPr>
            <w:tcW w:w="1304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234" w:lineRule="exact" w:before="31"/>
              <w:ind w:left="591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1303" w:type="dxa"/>
          </w:tcPr>
          <w:p>
            <w:pPr>
              <w:pStyle w:val="TableParagraph"/>
              <w:spacing w:line="234" w:lineRule="exact" w:before="31"/>
              <w:ind w:left="10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7</w:t>
            </w:r>
          </w:p>
        </w:tc>
        <w:tc>
          <w:tcPr>
            <w:tcW w:w="1617" w:type="dxa"/>
          </w:tcPr>
          <w:p>
            <w:pPr>
              <w:pStyle w:val="TableParagraph"/>
              <w:spacing w:line="234" w:lineRule="exact" w:before="31"/>
              <w:ind w:left="609"/>
              <w:rPr>
                <w:sz w:val="22"/>
              </w:rPr>
            </w:pPr>
            <w:r>
              <w:rPr>
                <w:sz w:val="22"/>
              </w:rPr>
              <w:t>71%</w:t>
            </w:r>
          </w:p>
        </w:tc>
        <w:tc>
          <w:tcPr>
            <w:tcW w:w="1205" w:type="dxa"/>
          </w:tcPr>
          <w:p>
            <w:pPr>
              <w:pStyle w:val="TableParagraph"/>
              <w:spacing w:line="234" w:lineRule="exact" w:before="31"/>
              <w:ind w:left="281" w:right="267"/>
              <w:jc w:val="center"/>
              <w:rPr>
                <w:sz w:val="22"/>
              </w:rPr>
            </w:pPr>
            <w:r>
              <w:rPr>
                <w:sz w:val="22"/>
              </w:rPr>
              <w:t>3.72</w:t>
            </w:r>
          </w:p>
        </w:tc>
        <w:tc>
          <w:tcPr>
            <w:tcW w:w="1399" w:type="dxa"/>
          </w:tcPr>
          <w:p>
            <w:pPr>
              <w:pStyle w:val="TableParagraph"/>
              <w:spacing w:line="234" w:lineRule="exact" w:before="31"/>
              <w:ind w:left="16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5</w:t>
            </w:r>
          </w:p>
        </w:tc>
      </w:tr>
      <w:tr>
        <w:trPr>
          <w:trHeight w:val="290" w:hRule="atLeast"/>
        </w:trPr>
        <w:tc>
          <w:tcPr>
            <w:tcW w:w="1975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before="16"/>
              <w:ind w:right="91"/>
              <w:jc w:val="right"/>
              <w:rPr>
                <w:sz w:val="22"/>
              </w:rPr>
            </w:pPr>
            <w:r>
              <w:rPr>
                <w:sz w:val="22"/>
              </w:rPr>
              <w:t>Expanded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Metal</w:t>
            </w:r>
          </w:p>
        </w:tc>
        <w:tc>
          <w:tcPr>
            <w:tcW w:w="1304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591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1303" w:type="dxa"/>
          </w:tcPr>
          <w:p>
            <w:pPr>
              <w:pStyle w:val="TableParagraph"/>
              <w:spacing w:line="234" w:lineRule="exact" w:before="35"/>
              <w:ind w:left="10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8</w:t>
            </w:r>
          </w:p>
        </w:tc>
        <w:tc>
          <w:tcPr>
            <w:tcW w:w="1617" w:type="dxa"/>
          </w:tcPr>
          <w:p>
            <w:pPr>
              <w:pStyle w:val="TableParagraph"/>
              <w:spacing w:line="234" w:lineRule="exact" w:before="35"/>
              <w:ind w:left="609"/>
              <w:rPr>
                <w:sz w:val="22"/>
              </w:rPr>
            </w:pPr>
            <w:r>
              <w:rPr>
                <w:sz w:val="22"/>
              </w:rPr>
              <w:t>63%</w:t>
            </w:r>
          </w:p>
        </w:tc>
        <w:tc>
          <w:tcPr>
            <w:tcW w:w="1205" w:type="dxa"/>
          </w:tcPr>
          <w:p>
            <w:pPr>
              <w:pStyle w:val="TableParagraph"/>
              <w:spacing w:line="234" w:lineRule="exact" w:before="35"/>
              <w:ind w:left="280" w:right="268"/>
              <w:jc w:val="center"/>
              <w:rPr>
                <w:sz w:val="22"/>
              </w:rPr>
            </w:pPr>
            <w:r>
              <w:rPr>
                <w:sz w:val="22"/>
              </w:rPr>
              <w:t>4.625</w:t>
            </w:r>
          </w:p>
        </w:tc>
        <w:tc>
          <w:tcPr>
            <w:tcW w:w="1399" w:type="dxa"/>
          </w:tcPr>
          <w:p>
            <w:pPr>
              <w:pStyle w:val="TableParagraph"/>
              <w:spacing w:line="234" w:lineRule="exact" w:before="35"/>
              <w:ind w:left="16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4</w:t>
            </w:r>
          </w:p>
        </w:tc>
      </w:tr>
      <w:tr>
        <w:trPr>
          <w:trHeight w:val="505" w:hRule="atLeast"/>
        </w:trPr>
        <w:tc>
          <w:tcPr>
            <w:tcW w:w="1975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251" w:lineRule="exact"/>
              <w:ind w:right="90"/>
              <w:jc w:val="right"/>
              <w:rPr>
                <w:sz w:val="22"/>
              </w:rPr>
            </w:pPr>
            <w:r>
              <w:rPr>
                <w:sz w:val="22"/>
              </w:rPr>
              <w:t>Aramid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Epoxy</w:t>
            </w:r>
          </w:p>
          <w:p>
            <w:pPr>
              <w:pStyle w:val="TableParagraph"/>
              <w:spacing w:line="234" w:lineRule="exact"/>
              <w:ind w:right="91"/>
              <w:jc w:val="right"/>
              <w:rPr>
                <w:sz w:val="22"/>
              </w:rPr>
            </w:pPr>
            <w:r>
              <w:rPr>
                <w:sz w:val="22"/>
              </w:rPr>
              <w:t>Panel</w:t>
            </w:r>
          </w:p>
        </w:tc>
        <w:tc>
          <w:tcPr>
            <w:tcW w:w="1304" w:type="dxa"/>
            <w:tcBorders>
              <w:left w:val="single" w:sz="8" w:space="0" w:color="000000"/>
            </w:tcBorders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spacing w:line="234" w:lineRule="exact"/>
              <w:ind w:left="591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1303" w:type="dxa"/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spacing w:line="234" w:lineRule="exact"/>
              <w:ind w:left="523" w:right="510"/>
              <w:jc w:val="center"/>
              <w:rPr>
                <w:sz w:val="22"/>
              </w:rPr>
            </w:pPr>
            <w:r>
              <w:rPr>
                <w:sz w:val="22"/>
              </w:rPr>
              <w:t>15</w:t>
            </w:r>
          </w:p>
        </w:tc>
        <w:tc>
          <w:tcPr>
            <w:tcW w:w="1617" w:type="dxa"/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spacing w:line="234" w:lineRule="exact"/>
              <w:ind w:left="609"/>
              <w:rPr>
                <w:sz w:val="22"/>
              </w:rPr>
            </w:pPr>
            <w:r>
              <w:rPr>
                <w:sz w:val="22"/>
              </w:rPr>
              <w:t>93%</w:t>
            </w:r>
          </w:p>
        </w:tc>
        <w:tc>
          <w:tcPr>
            <w:tcW w:w="1205" w:type="dxa"/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spacing w:line="234" w:lineRule="exact"/>
              <w:ind w:left="281" w:right="268"/>
              <w:jc w:val="center"/>
              <w:rPr>
                <w:sz w:val="22"/>
              </w:rPr>
            </w:pPr>
            <w:r>
              <w:rPr>
                <w:sz w:val="22"/>
              </w:rPr>
              <w:t>5.8125</w:t>
            </w:r>
          </w:p>
        </w:tc>
        <w:tc>
          <w:tcPr>
            <w:tcW w:w="1399" w:type="dxa"/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spacing w:line="234" w:lineRule="exact"/>
              <w:ind w:left="16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6</w:t>
            </w:r>
          </w:p>
        </w:tc>
      </w:tr>
      <w:tr>
        <w:trPr>
          <w:trHeight w:val="289" w:hRule="atLeast"/>
        </w:trPr>
        <w:tc>
          <w:tcPr>
            <w:tcW w:w="1975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before="16"/>
              <w:ind w:right="91"/>
              <w:jc w:val="right"/>
              <w:rPr>
                <w:sz w:val="22"/>
              </w:rPr>
            </w:pPr>
            <w:r>
              <w:rPr>
                <w:sz w:val="22"/>
              </w:rPr>
              <w:t>Mild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Steel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Plate</w:t>
            </w:r>
          </w:p>
        </w:tc>
        <w:tc>
          <w:tcPr>
            <w:tcW w:w="1304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591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1303" w:type="dxa"/>
          </w:tcPr>
          <w:p>
            <w:pPr>
              <w:pStyle w:val="TableParagraph"/>
              <w:spacing w:line="234" w:lineRule="exact" w:before="35"/>
              <w:ind w:left="523" w:right="510"/>
              <w:jc w:val="center"/>
              <w:rPr>
                <w:sz w:val="22"/>
              </w:rPr>
            </w:pPr>
            <w:r>
              <w:rPr>
                <w:sz w:val="22"/>
              </w:rPr>
              <w:t>10</w:t>
            </w:r>
          </w:p>
        </w:tc>
        <w:tc>
          <w:tcPr>
            <w:tcW w:w="1617" w:type="dxa"/>
          </w:tcPr>
          <w:p>
            <w:pPr>
              <w:pStyle w:val="TableParagraph"/>
              <w:spacing w:line="234" w:lineRule="exact" w:before="35"/>
              <w:ind w:left="644" w:right="629"/>
              <w:jc w:val="center"/>
              <w:rPr>
                <w:sz w:val="22"/>
              </w:rPr>
            </w:pPr>
            <w:r>
              <w:rPr>
                <w:sz w:val="22"/>
              </w:rPr>
              <w:t>0%</w:t>
            </w:r>
          </w:p>
        </w:tc>
        <w:tc>
          <w:tcPr>
            <w:tcW w:w="1205" w:type="dxa"/>
          </w:tcPr>
          <w:p>
            <w:pPr>
              <w:pStyle w:val="TableParagraph"/>
              <w:spacing w:line="234" w:lineRule="exact" w:before="35"/>
              <w:ind w:left="11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3</w:t>
            </w:r>
          </w:p>
        </w:tc>
        <w:tc>
          <w:tcPr>
            <w:tcW w:w="1399" w:type="dxa"/>
          </w:tcPr>
          <w:p>
            <w:pPr>
              <w:pStyle w:val="TableParagraph"/>
              <w:spacing w:line="234" w:lineRule="exact" w:before="35"/>
              <w:ind w:left="16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3</w:t>
            </w:r>
          </w:p>
        </w:tc>
      </w:tr>
      <w:tr>
        <w:trPr>
          <w:trHeight w:val="290" w:hRule="atLeast"/>
        </w:trPr>
        <w:tc>
          <w:tcPr>
            <w:tcW w:w="1975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before="16"/>
              <w:ind w:right="91"/>
              <w:jc w:val="right"/>
              <w:rPr>
                <w:sz w:val="22"/>
              </w:rPr>
            </w:pPr>
            <w:r>
              <w:rPr>
                <w:sz w:val="22"/>
              </w:rPr>
              <w:t>High-hard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Plate</w:t>
            </w:r>
          </w:p>
        </w:tc>
        <w:tc>
          <w:tcPr>
            <w:tcW w:w="1304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591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1303" w:type="dxa"/>
          </w:tcPr>
          <w:p>
            <w:pPr>
              <w:pStyle w:val="TableParagraph"/>
              <w:spacing w:line="234" w:lineRule="exact" w:before="35"/>
              <w:ind w:left="523" w:right="510"/>
              <w:jc w:val="center"/>
              <w:rPr>
                <w:sz w:val="22"/>
              </w:rPr>
            </w:pPr>
            <w:r>
              <w:rPr>
                <w:sz w:val="22"/>
              </w:rPr>
              <w:t>10</w:t>
            </w:r>
          </w:p>
        </w:tc>
        <w:tc>
          <w:tcPr>
            <w:tcW w:w="1617" w:type="dxa"/>
          </w:tcPr>
          <w:p>
            <w:pPr>
              <w:pStyle w:val="TableParagraph"/>
              <w:spacing w:line="234" w:lineRule="exact" w:before="35"/>
              <w:ind w:left="644" w:right="629"/>
              <w:jc w:val="center"/>
              <w:rPr>
                <w:sz w:val="22"/>
              </w:rPr>
            </w:pPr>
            <w:r>
              <w:rPr>
                <w:sz w:val="22"/>
              </w:rPr>
              <w:t>0%</w:t>
            </w:r>
          </w:p>
        </w:tc>
        <w:tc>
          <w:tcPr>
            <w:tcW w:w="1205" w:type="dxa"/>
          </w:tcPr>
          <w:p>
            <w:pPr>
              <w:pStyle w:val="TableParagraph"/>
              <w:spacing w:line="234" w:lineRule="exact" w:before="35"/>
              <w:ind w:left="280" w:right="268"/>
              <w:jc w:val="center"/>
              <w:rPr>
                <w:sz w:val="22"/>
              </w:rPr>
            </w:pPr>
            <w:r>
              <w:rPr>
                <w:sz w:val="22"/>
              </w:rPr>
              <w:t>2.625</w:t>
            </w:r>
          </w:p>
        </w:tc>
        <w:tc>
          <w:tcPr>
            <w:tcW w:w="1399" w:type="dxa"/>
          </w:tcPr>
          <w:p>
            <w:pPr>
              <w:pStyle w:val="TableParagraph"/>
              <w:spacing w:line="234" w:lineRule="exact" w:before="35"/>
              <w:ind w:left="16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2</w:t>
            </w:r>
          </w:p>
        </w:tc>
      </w:tr>
      <w:tr>
        <w:trPr>
          <w:trHeight w:val="290" w:hRule="atLeast"/>
        </w:trPr>
        <w:tc>
          <w:tcPr>
            <w:tcW w:w="1975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before="16"/>
              <w:ind w:right="92"/>
              <w:jc w:val="right"/>
              <w:rPr>
                <w:sz w:val="22"/>
              </w:rPr>
            </w:pPr>
            <w:r>
              <w:rPr>
                <w:sz w:val="22"/>
              </w:rPr>
              <w:t>UHMWPE</w:t>
            </w:r>
          </w:p>
        </w:tc>
        <w:tc>
          <w:tcPr>
            <w:tcW w:w="1304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234" w:lineRule="exact" w:before="35"/>
              <w:ind w:left="591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1303" w:type="dxa"/>
          </w:tcPr>
          <w:p>
            <w:pPr>
              <w:pStyle w:val="TableParagraph"/>
              <w:spacing w:line="234" w:lineRule="exact" w:before="35"/>
              <w:ind w:left="10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5</w:t>
            </w:r>
          </w:p>
        </w:tc>
        <w:tc>
          <w:tcPr>
            <w:tcW w:w="1617" w:type="dxa"/>
          </w:tcPr>
          <w:p>
            <w:pPr>
              <w:pStyle w:val="TableParagraph"/>
              <w:spacing w:line="234" w:lineRule="exact" w:before="35"/>
              <w:ind w:left="644" w:right="629"/>
              <w:jc w:val="center"/>
              <w:rPr>
                <w:sz w:val="22"/>
              </w:rPr>
            </w:pPr>
            <w:r>
              <w:rPr>
                <w:sz w:val="22"/>
              </w:rPr>
              <w:t>0%</w:t>
            </w:r>
          </w:p>
        </w:tc>
        <w:tc>
          <w:tcPr>
            <w:tcW w:w="1205" w:type="dxa"/>
          </w:tcPr>
          <w:p>
            <w:pPr>
              <w:pStyle w:val="TableParagraph"/>
              <w:spacing w:line="234" w:lineRule="exact" w:before="35"/>
              <w:ind w:left="281" w:right="268"/>
              <w:jc w:val="center"/>
              <w:rPr>
                <w:sz w:val="22"/>
              </w:rPr>
            </w:pPr>
            <w:r>
              <w:rPr>
                <w:sz w:val="22"/>
              </w:rPr>
              <w:t>2.4375</w:t>
            </w:r>
          </w:p>
        </w:tc>
        <w:tc>
          <w:tcPr>
            <w:tcW w:w="1399" w:type="dxa"/>
          </w:tcPr>
          <w:p>
            <w:pPr>
              <w:pStyle w:val="TableParagraph"/>
              <w:spacing w:line="234" w:lineRule="exact" w:before="35"/>
              <w:ind w:left="16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1</w:t>
            </w:r>
          </w:p>
        </w:tc>
      </w:tr>
      <w:tr>
        <w:trPr>
          <w:trHeight w:val="504" w:hRule="atLeast"/>
        </w:trPr>
        <w:tc>
          <w:tcPr>
            <w:tcW w:w="1975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251" w:lineRule="exact"/>
              <w:ind w:right="90"/>
              <w:jc w:val="right"/>
              <w:rPr>
                <w:sz w:val="22"/>
              </w:rPr>
            </w:pPr>
            <w:r>
              <w:rPr>
                <w:sz w:val="22"/>
              </w:rPr>
              <w:t>Fiberglass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fabric</w:t>
            </w:r>
          </w:p>
          <w:p>
            <w:pPr>
              <w:pStyle w:val="TableParagraph"/>
              <w:spacing w:line="234" w:lineRule="exact"/>
              <w:ind w:right="89"/>
              <w:jc w:val="right"/>
              <w:rPr>
                <w:sz w:val="22"/>
              </w:rPr>
            </w:pPr>
            <w:r>
              <w:rPr>
                <w:sz w:val="22"/>
              </w:rPr>
              <w:t>(4-ply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x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1)</w:t>
            </w:r>
          </w:p>
        </w:tc>
        <w:tc>
          <w:tcPr>
            <w:tcW w:w="1304" w:type="dxa"/>
            <w:tcBorders>
              <w:left w:val="single" w:sz="8" w:space="0" w:color="000000"/>
            </w:tcBorders>
          </w:tcPr>
          <w:p>
            <w:pPr>
              <w:pStyle w:val="TableParagraph"/>
              <w:spacing w:before="8"/>
              <w:rPr>
                <w:i/>
                <w:sz w:val="21"/>
              </w:rPr>
            </w:pPr>
          </w:p>
          <w:p>
            <w:pPr>
              <w:pStyle w:val="TableParagraph"/>
              <w:spacing w:line="234" w:lineRule="exact" w:before="1"/>
              <w:ind w:left="591"/>
              <w:rPr>
                <w:sz w:val="22"/>
              </w:rPr>
            </w:pPr>
            <w:r>
              <w:rPr>
                <w:w w:val="99"/>
                <w:sz w:val="22"/>
              </w:rPr>
              <w:t>2</w:t>
            </w:r>
          </w:p>
        </w:tc>
        <w:tc>
          <w:tcPr>
            <w:tcW w:w="1303" w:type="dxa"/>
          </w:tcPr>
          <w:p>
            <w:pPr>
              <w:pStyle w:val="TableParagraph"/>
              <w:spacing w:before="8"/>
              <w:rPr>
                <w:i/>
                <w:sz w:val="21"/>
              </w:rPr>
            </w:pPr>
          </w:p>
          <w:p>
            <w:pPr>
              <w:pStyle w:val="TableParagraph"/>
              <w:spacing w:line="234" w:lineRule="exact" w:before="1"/>
              <w:ind w:left="10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8</w:t>
            </w:r>
          </w:p>
        </w:tc>
        <w:tc>
          <w:tcPr>
            <w:tcW w:w="1617" w:type="dxa"/>
          </w:tcPr>
          <w:p>
            <w:pPr>
              <w:pStyle w:val="TableParagraph"/>
              <w:spacing w:before="8"/>
              <w:rPr>
                <w:i/>
                <w:sz w:val="21"/>
              </w:rPr>
            </w:pPr>
          </w:p>
          <w:p>
            <w:pPr>
              <w:pStyle w:val="TableParagraph"/>
              <w:spacing w:line="234" w:lineRule="exact" w:before="1"/>
              <w:ind w:left="553"/>
              <w:rPr>
                <w:sz w:val="22"/>
              </w:rPr>
            </w:pPr>
            <w:r>
              <w:rPr>
                <w:sz w:val="22"/>
              </w:rPr>
              <w:t>100%</w:t>
            </w:r>
          </w:p>
        </w:tc>
        <w:tc>
          <w:tcPr>
            <w:tcW w:w="1205" w:type="dxa"/>
          </w:tcPr>
          <w:p>
            <w:pPr>
              <w:pStyle w:val="TableParagraph"/>
              <w:spacing w:before="8"/>
              <w:rPr>
                <w:i/>
                <w:sz w:val="21"/>
              </w:rPr>
            </w:pPr>
          </w:p>
          <w:p>
            <w:pPr>
              <w:pStyle w:val="TableParagraph"/>
              <w:spacing w:line="234" w:lineRule="exact" w:before="1"/>
              <w:ind w:left="280" w:right="268"/>
              <w:jc w:val="center"/>
              <w:rPr>
                <w:sz w:val="22"/>
              </w:rPr>
            </w:pPr>
            <w:r>
              <w:rPr>
                <w:sz w:val="22"/>
              </w:rPr>
              <w:t>6.875</w:t>
            </w:r>
          </w:p>
        </w:tc>
        <w:tc>
          <w:tcPr>
            <w:tcW w:w="1399" w:type="dxa"/>
          </w:tcPr>
          <w:p>
            <w:pPr>
              <w:pStyle w:val="TableParagraph"/>
              <w:spacing w:before="8"/>
              <w:rPr>
                <w:i/>
                <w:sz w:val="21"/>
              </w:rPr>
            </w:pPr>
          </w:p>
          <w:p>
            <w:pPr>
              <w:pStyle w:val="TableParagraph"/>
              <w:spacing w:line="234" w:lineRule="exact" w:before="1"/>
              <w:ind w:left="16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7</w:t>
            </w:r>
          </w:p>
        </w:tc>
      </w:tr>
      <w:tr>
        <w:trPr>
          <w:trHeight w:val="505" w:hRule="atLeast"/>
        </w:trPr>
        <w:tc>
          <w:tcPr>
            <w:tcW w:w="1975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252" w:lineRule="exact"/>
              <w:ind w:right="90"/>
              <w:jc w:val="right"/>
              <w:rPr>
                <w:sz w:val="22"/>
              </w:rPr>
            </w:pPr>
            <w:r>
              <w:rPr>
                <w:sz w:val="22"/>
              </w:rPr>
              <w:t>Fiberglass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fabric</w:t>
            </w:r>
          </w:p>
          <w:p>
            <w:pPr>
              <w:pStyle w:val="TableParagraph"/>
              <w:spacing w:line="234" w:lineRule="exact"/>
              <w:ind w:right="89"/>
              <w:jc w:val="right"/>
              <w:rPr>
                <w:sz w:val="22"/>
              </w:rPr>
            </w:pPr>
            <w:r>
              <w:rPr>
                <w:sz w:val="22"/>
              </w:rPr>
              <w:t>(1-ply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x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4)</w:t>
            </w:r>
          </w:p>
        </w:tc>
        <w:tc>
          <w:tcPr>
            <w:tcW w:w="1304" w:type="dxa"/>
            <w:tcBorders>
              <w:left w:val="single" w:sz="8" w:space="0" w:color="000000"/>
            </w:tcBorders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spacing w:line="234" w:lineRule="exact"/>
              <w:ind w:left="591"/>
              <w:rPr>
                <w:sz w:val="22"/>
              </w:rPr>
            </w:pPr>
            <w:r>
              <w:rPr>
                <w:w w:val="99"/>
                <w:sz w:val="22"/>
              </w:rPr>
              <w:t>6</w:t>
            </w:r>
          </w:p>
        </w:tc>
        <w:tc>
          <w:tcPr>
            <w:tcW w:w="1303" w:type="dxa"/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spacing w:line="234" w:lineRule="exact"/>
              <w:ind w:left="10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4</w:t>
            </w:r>
          </w:p>
        </w:tc>
        <w:tc>
          <w:tcPr>
            <w:tcW w:w="1617" w:type="dxa"/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spacing w:line="234" w:lineRule="exact"/>
              <w:ind w:left="553"/>
              <w:rPr>
                <w:sz w:val="22"/>
              </w:rPr>
            </w:pPr>
            <w:r>
              <w:rPr>
                <w:sz w:val="22"/>
              </w:rPr>
              <w:t>100%</w:t>
            </w:r>
          </w:p>
        </w:tc>
        <w:tc>
          <w:tcPr>
            <w:tcW w:w="1205" w:type="dxa"/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spacing w:line="234" w:lineRule="exact"/>
              <w:ind w:left="280" w:right="268"/>
              <w:jc w:val="center"/>
              <w:rPr>
                <w:sz w:val="22"/>
              </w:rPr>
            </w:pPr>
            <w:r>
              <w:rPr>
                <w:sz w:val="22"/>
              </w:rPr>
              <w:t>6.875</w:t>
            </w:r>
          </w:p>
        </w:tc>
        <w:tc>
          <w:tcPr>
            <w:tcW w:w="1399" w:type="dxa"/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spacing w:line="234" w:lineRule="exact"/>
              <w:ind w:left="16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8</w:t>
            </w:r>
          </w:p>
        </w:tc>
      </w:tr>
      <w:tr>
        <w:trPr>
          <w:trHeight w:val="300" w:hRule="atLeast"/>
        </w:trPr>
        <w:tc>
          <w:tcPr>
            <w:tcW w:w="1975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before="22"/>
              <w:ind w:right="92"/>
              <w:jc w:val="right"/>
              <w:rPr>
                <w:sz w:val="22"/>
              </w:rPr>
            </w:pPr>
            <w:r>
              <w:rPr>
                <w:sz w:val="22"/>
              </w:rPr>
              <w:t>Baseline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CLT</w:t>
            </w:r>
          </w:p>
        </w:tc>
        <w:tc>
          <w:tcPr>
            <w:tcW w:w="1304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234" w:lineRule="exact" w:before="46"/>
              <w:ind w:left="591"/>
              <w:rPr>
                <w:sz w:val="22"/>
              </w:rPr>
            </w:pPr>
            <w:r>
              <w:rPr>
                <w:w w:val="99"/>
                <w:sz w:val="22"/>
              </w:rPr>
              <w:t>8</w:t>
            </w:r>
          </w:p>
        </w:tc>
        <w:tc>
          <w:tcPr>
            <w:tcW w:w="1303" w:type="dxa"/>
          </w:tcPr>
          <w:p>
            <w:pPr>
              <w:pStyle w:val="TableParagraph"/>
              <w:spacing w:line="234" w:lineRule="exact" w:before="46"/>
              <w:ind w:left="10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  <w:tc>
          <w:tcPr>
            <w:tcW w:w="1617" w:type="dxa"/>
          </w:tcPr>
          <w:p>
            <w:pPr>
              <w:pStyle w:val="TableParagraph"/>
              <w:spacing w:line="234" w:lineRule="exact" w:before="46"/>
              <w:ind w:left="553"/>
              <w:rPr>
                <w:sz w:val="22"/>
              </w:rPr>
            </w:pPr>
            <w:r>
              <w:rPr>
                <w:sz w:val="22"/>
              </w:rPr>
              <w:t>100%</w:t>
            </w:r>
          </w:p>
        </w:tc>
        <w:tc>
          <w:tcPr>
            <w:tcW w:w="1205" w:type="dxa"/>
          </w:tcPr>
          <w:p>
            <w:pPr>
              <w:pStyle w:val="TableParagraph"/>
              <w:spacing w:line="234" w:lineRule="exact" w:before="46"/>
              <w:ind w:left="280" w:right="268"/>
              <w:jc w:val="center"/>
              <w:rPr>
                <w:sz w:val="22"/>
              </w:rPr>
            </w:pPr>
            <w:r>
              <w:rPr>
                <w:sz w:val="22"/>
              </w:rPr>
              <w:t>6.875</w:t>
            </w:r>
          </w:p>
        </w:tc>
        <w:tc>
          <w:tcPr>
            <w:tcW w:w="1399" w:type="dxa"/>
          </w:tcPr>
          <w:p>
            <w:pPr>
              <w:pStyle w:val="TableParagraph"/>
              <w:spacing w:line="234" w:lineRule="exact" w:before="46"/>
              <w:ind w:left="16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9</w:t>
            </w:r>
          </w:p>
        </w:tc>
      </w:tr>
    </w:tbl>
    <w:p>
      <w:pPr>
        <w:spacing w:after="0" w:line="234" w:lineRule="exact"/>
        <w:jc w:val="center"/>
        <w:rPr>
          <w:sz w:val="22"/>
        </w:rPr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40" w:right="417" w:firstLine="720"/>
        <w:jc w:val="both"/>
      </w:pPr>
      <w:r>
        <w:rPr/>
        <w:t>For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calculation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benefit</w:t>
      </w:r>
      <w:r>
        <w:rPr>
          <w:spacing w:val="-3"/>
        </w:rPr>
        <w:t> </w:t>
      </w:r>
      <w:r>
        <w:rPr/>
        <w:t>cost</w:t>
      </w:r>
      <w:r>
        <w:rPr>
          <w:spacing w:val="-2"/>
        </w:rPr>
        <w:t> </w:t>
      </w:r>
      <w:r>
        <w:rPr/>
        <w:t>ratio</w:t>
      </w:r>
      <w:r>
        <w:rPr>
          <w:spacing w:val="-4"/>
        </w:rPr>
        <w:t> </w:t>
      </w:r>
      <w:r>
        <w:rPr/>
        <w:t>(BCR),</w:t>
      </w:r>
      <w:r>
        <w:rPr>
          <w:spacing w:val="-2"/>
        </w:rPr>
        <w:t> </w:t>
      </w:r>
      <w:r>
        <w:rPr/>
        <w:t>with</w:t>
      </w:r>
      <w:r>
        <w:rPr>
          <w:spacing w:val="-1"/>
        </w:rPr>
        <w:t> </w:t>
      </w:r>
      <w:r>
        <w:rPr/>
        <w:t>higher</w:t>
      </w:r>
      <w:r>
        <w:rPr>
          <w:spacing w:val="-2"/>
        </w:rPr>
        <w:t> </w:t>
      </w:r>
      <w:r>
        <w:rPr/>
        <w:t>values</w:t>
      </w:r>
      <w:r>
        <w:rPr>
          <w:spacing w:val="-3"/>
        </w:rPr>
        <w:t> </w:t>
      </w:r>
      <w:r>
        <w:rPr/>
        <w:t>representing</w:t>
      </w:r>
      <w:r>
        <w:rPr>
          <w:spacing w:val="-58"/>
        </w:rPr>
        <w:t> </w:t>
      </w:r>
      <w:r>
        <w:rPr/>
        <w:t>a better situation, the benefit ranking is divided by the cost ranking.</w:t>
      </w:r>
      <w:r>
        <w:rPr>
          <w:spacing w:val="1"/>
        </w:rPr>
        <w:t> </w:t>
      </w:r>
      <w:r>
        <w:rPr/>
        <w:t>In this scenario the</w:t>
      </w:r>
      <w:r>
        <w:rPr>
          <w:spacing w:val="1"/>
        </w:rPr>
        <w:t> </w:t>
      </w:r>
      <w:r>
        <w:rPr/>
        <w:t>ballistic</w:t>
      </w:r>
      <w:r>
        <w:rPr>
          <w:spacing w:val="-13"/>
        </w:rPr>
        <w:t> </w:t>
      </w:r>
      <w:r>
        <w:rPr/>
        <w:t>resistance</w:t>
      </w:r>
      <w:r>
        <w:rPr>
          <w:spacing w:val="-12"/>
        </w:rPr>
        <w:t> </w:t>
      </w:r>
      <w:r>
        <w:rPr/>
        <w:t>ranking,</w:t>
      </w:r>
      <w:r>
        <w:rPr>
          <w:spacing w:val="-12"/>
        </w:rPr>
        <w:t> </w:t>
      </w:r>
      <w:r>
        <w:rPr/>
        <w:t>with</w:t>
      </w:r>
      <w:r>
        <w:rPr>
          <w:spacing w:val="-12"/>
        </w:rPr>
        <w:t> </w:t>
      </w:r>
      <w:r>
        <w:rPr/>
        <w:t>low</w:t>
      </w:r>
      <w:r>
        <w:rPr>
          <w:spacing w:val="-13"/>
        </w:rPr>
        <w:t> </w:t>
      </w:r>
      <w:r>
        <w:rPr/>
        <w:t>values</w:t>
      </w:r>
      <w:r>
        <w:rPr>
          <w:spacing w:val="-12"/>
        </w:rPr>
        <w:t> </w:t>
      </w:r>
      <w:r>
        <w:rPr/>
        <w:t>representing</w:t>
      </w:r>
      <w:r>
        <w:rPr>
          <w:spacing w:val="-13"/>
        </w:rPr>
        <w:t> </w:t>
      </w:r>
      <w:r>
        <w:rPr/>
        <w:t>a</w:t>
      </w:r>
      <w:r>
        <w:rPr>
          <w:spacing w:val="-12"/>
        </w:rPr>
        <w:t> </w:t>
      </w:r>
      <w:r>
        <w:rPr/>
        <w:t>better</w:t>
      </w:r>
      <w:r>
        <w:rPr>
          <w:spacing w:val="-12"/>
        </w:rPr>
        <w:t> </w:t>
      </w:r>
      <w:r>
        <w:rPr/>
        <w:t>performance</w:t>
      </w:r>
      <w:r>
        <w:rPr>
          <w:spacing w:val="-12"/>
        </w:rPr>
        <w:t> </w:t>
      </w:r>
      <w:r>
        <w:rPr/>
        <w:t>serves</w:t>
      </w:r>
      <w:r>
        <w:rPr>
          <w:spacing w:val="-12"/>
        </w:rPr>
        <w:t> </w:t>
      </w:r>
      <w:r>
        <w:rPr/>
        <w:t>as</w:t>
      </w:r>
      <w:r>
        <w:rPr>
          <w:spacing w:val="-12"/>
        </w:rPr>
        <w:t> </w:t>
      </w:r>
      <w:r>
        <w:rPr/>
        <w:t>the</w:t>
      </w:r>
      <w:r>
        <w:rPr>
          <w:spacing w:val="-58"/>
        </w:rPr>
        <w:t> </w:t>
      </w:r>
      <w:r>
        <w:rPr/>
        <w:t>benefit</w:t>
      </w:r>
      <w:r>
        <w:rPr>
          <w:spacing w:val="-5"/>
        </w:rPr>
        <w:t> </w:t>
      </w:r>
      <w:r>
        <w:rPr/>
        <w:t>metric.</w:t>
      </w:r>
      <w:r>
        <w:rPr>
          <w:spacing w:val="49"/>
        </w:rPr>
        <w:t> </w:t>
      </w:r>
      <w:r>
        <w:rPr/>
        <w:t>This</w:t>
      </w:r>
      <w:r>
        <w:rPr>
          <w:spacing w:val="-6"/>
        </w:rPr>
        <w:t> </w:t>
      </w:r>
      <w:r>
        <w:rPr/>
        <w:t>ratio</w:t>
      </w:r>
      <w:r>
        <w:rPr>
          <w:spacing w:val="-5"/>
        </w:rPr>
        <w:t> </w:t>
      </w:r>
      <w:r>
        <w:rPr/>
        <w:t>was</w:t>
      </w:r>
      <w:r>
        <w:rPr>
          <w:spacing w:val="-5"/>
        </w:rPr>
        <w:t> </w:t>
      </w:r>
      <w:r>
        <w:rPr/>
        <w:t>calculated</w:t>
      </w:r>
      <w:r>
        <w:rPr>
          <w:spacing w:val="-5"/>
        </w:rPr>
        <w:t> </w:t>
      </w:r>
      <w:r>
        <w:rPr/>
        <w:t>for</w:t>
      </w:r>
      <w:r>
        <w:rPr>
          <w:spacing w:val="-6"/>
        </w:rPr>
        <w:t> </w:t>
      </w:r>
      <w:r>
        <w:rPr/>
        <w:t>both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cost</w:t>
      </w:r>
      <w:r>
        <w:rPr>
          <w:spacing w:val="-6"/>
        </w:rPr>
        <w:t> </w:t>
      </w:r>
      <w:r>
        <w:rPr/>
        <w:t>per</w:t>
      </w:r>
      <w:r>
        <w:rPr>
          <w:spacing w:val="-7"/>
        </w:rPr>
        <w:t> </w:t>
      </w:r>
      <w:r>
        <w:rPr/>
        <w:t>weight</w:t>
      </w:r>
      <w:r>
        <w:rPr>
          <w:spacing w:val="-5"/>
        </w:rPr>
        <w:t> </w:t>
      </w:r>
      <w:r>
        <w:rPr/>
        <w:t>and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cost</w:t>
      </w:r>
      <w:r>
        <w:rPr>
          <w:spacing w:val="-5"/>
        </w:rPr>
        <w:t> </w:t>
      </w:r>
      <w:r>
        <w:rPr/>
        <w:t>per</w:t>
      </w:r>
      <w:r>
        <w:rPr>
          <w:spacing w:val="-5"/>
        </w:rPr>
        <w:t> </w:t>
      </w:r>
      <w:r>
        <w:rPr/>
        <w:t>area.</w:t>
      </w:r>
      <w:r>
        <w:rPr>
          <w:spacing w:val="-58"/>
        </w:rPr>
        <w:t> </w:t>
      </w:r>
      <w:r>
        <w:rPr/>
        <w:t>Each</w:t>
      </w:r>
      <w:r>
        <w:rPr>
          <w:spacing w:val="-13"/>
        </w:rPr>
        <w:t> </w:t>
      </w:r>
      <w:r>
        <w:rPr/>
        <w:t>ratio</w:t>
      </w:r>
      <w:r>
        <w:rPr>
          <w:spacing w:val="-12"/>
        </w:rPr>
        <w:t> </w:t>
      </w:r>
      <w:r>
        <w:rPr/>
        <w:t>was</w:t>
      </w:r>
      <w:r>
        <w:rPr>
          <w:spacing w:val="-12"/>
        </w:rPr>
        <w:t> </w:t>
      </w:r>
      <w:r>
        <w:rPr/>
        <w:t>then</w:t>
      </w:r>
      <w:r>
        <w:rPr>
          <w:spacing w:val="-12"/>
        </w:rPr>
        <w:t> </w:t>
      </w:r>
      <w:r>
        <w:rPr/>
        <w:t>ranked</w:t>
      </w:r>
      <w:r>
        <w:rPr>
          <w:spacing w:val="-12"/>
        </w:rPr>
        <w:t> </w:t>
      </w:r>
      <w:r>
        <w:rPr/>
        <w:t>to</w:t>
      </w:r>
      <w:r>
        <w:rPr>
          <w:spacing w:val="-12"/>
        </w:rPr>
        <w:t> </w:t>
      </w:r>
      <w:r>
        <w:rPr/>
        <w:t>show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highest</w:t>
      </w:r>
      <w:r>
        <w:rPr>
          <w:spacing w:val="-13"/>
        </w:rPr>
        <w:t> </w:t>
      </w:r>
      <w:r>
        <w:rPr/>
        <w:t>to</w:t>
      </w:r>
      <w:r>
        <w:rPr>
          <w:spacing w:val="-13"/>
        </w:rPr>
        <w:t> </w:t>
      </w:r>
      <w:r>
        <w:rPr/>
        <w:t>lowest</w:t>
      </w:r>
      <w:r>
        <w:rPr>
          <w:spacing w:val="-12"/>
        </w:rPr>
        <w:t> </w:t>
      </w:r>
      <w:r>
        <w:rPr/>
        <w:t>BCR</w:t>
      </w:r>
      <w:r>
        <w:rPr>
          <w:spacing w:val="-10"/>
        </w:rPr>
        <w:t> </w:t>
      </w:r>
      <w:r>
        <w:rPr/>
        <w:t>materials</w:t>
      </w:r>
      <w:r>
        <w:rPr>
          <w:spacing w:val="-12"/>
        </w:rPr>
        <w:t> </w:t>
      </w:r>
      <w:r>
        <w:rPr/>
        <w:t>where</w:t>
      </w:r>
      <w:r>
        <w:rPr>
          <w:spacing w:val="-12"/>
        </w:rPr>
        <w:t> </w:t>
      </w:r>
      <w:r>
        <w:rPr/>
        <w:t>a</w:t>
      </w:r>
      <w:r>
        <w:rPr>
          <w:spacing w:val="-12"/>
        </w:rPr>
        <w:t> </w:t>
      </w:r>
      <w:r>
        <w:rPr/>
        <w:t>high</w:t>
      </w:r>
      <w:r>
        <w:rPr>
          <w:spacing w:val="-12"/>
        </w:rPr>
        <w:t> </w:t>
      </w:r>
      <w:r>
        <w:rPr/>
        <w:t>value</w:t>
      </w:r>
      <w:r>
        <w:rPr>
          <w:spacing w:val="-58"/>
        </w:rPr>
        <w:t> </w:t>
      </w:r>
      <w:r>
        <w:rPr/>
        <w:t>is better.</w:t>
      </w:r>
      <w:r>
        <w:rPr>
          <w:spacing w:val="1"/>
        </w:rPr>
        <w:t> </w:t>
      </w:r>
      <w:hyperlink w:history="true" w:anchor="_bookmark168">
        <w:r>
          <w:rPr/>
          <w:t>Table 7-14 </w:t>
        </w:r>
      </w:hyperlink>
      <w:r>
        <w:rPr/>
        <w:t>displays the rankings for ballistic resistance and cost as well as the</w:t>
      </w:r>
      <w:r>
        <w:rPr>
          <w:spacing w:val="1"/>
        </w:rPr>
        <w:t> </w:t>
      </w:r>
      <w:r>
        <w:rPr/>
        <w:t>BCR</w:t>
      </w:r>
      <w:r>
        <w:rPr>
          <w:spacing w:val="-2"/>
        </w:rPr>
        <w:t> </w:t>
      </w:r>
      <w:r>
        <w:rPr/>
        <w:t>and rank of</w:t>
      </w:r>
      <w:r>
        <w:rPr>
          <w:spacing w:val="-1"/>
        </w:rPr>
        <w:t> </w:t>
      </w:r>
      <w:r>
        <w:rPr/>
        <w:t>the BCR</w:t>
      </w:r>
      <w:r>
        <w:rPr>
          <w:spacing w:val="-1"/>
        </w:rPr>
        <w:t> </w:t>
      </w:r>
      <w:r>
        <w:rPr/>
        <w:t>for both</w:t>
      </w:r>
      <w:r>
        <w:rPr>
          <w:spacing w:val="1"/>
        </w:rPr>
        <w:t> </w:t>
      </w:r>
      <w:r>
        <w:rPr/>
        <w:t>pricing options.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8"/>
        <w:rPr>
          <w:sz w:val="25"/>
        </w:rPr>
      </w:pPr>
    </w:p>
    <w:p>
      <w:pPr>
        <w:spacing w:before="1"/>
        <w:ind w:left="18" w:right="0" w:firstLine="0"/>
        <w:jc w:val="center"/>
        <w:rPr>
          <w:i/>
          <w:sz w:val="24"/>
        </w:rPr>
      </w:pPr>
      <w:bookmarkStart w:name="_bookmark168" w:id="499"/>
      <w:bookmarkEnd w:id="499"/>
      <w:r>
        <w:rPr/>
      </w:r>
      <w:r>
        <w:rPr>
          <w:i/>
          <w:sz w:val="24"/>
        </w:rPr>
        <w:t>Table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7-14.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Benefit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cost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ratio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assessment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various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enhancing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materials.</w:t>
      </w:r>
    </w:p>
    <w:p>
      <w:pPr>
        <w:pStyle w:val="BodyText"/>
        <w:spacing w:before="5"/>
        <w:rPr>
          <w:i/>
          <w:sz w:val="17"/>
        </w:rPr>
      </w:pPr>
    </w:p>
    <w:tbl>
      <w:tblPr>
        <w:tblW w:w="0" w:type="auto"/>
        <w:jc w:val="left"/>
        <w:tblInd w:w="7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5"/>
        <w:gridCol w:w="1170"/>
        <w:gridCol w:w="900"/>
        <w:gridCol w:w="900"/>
        <w:gridCol w:w="810"/>
        <w:gridCol w:w="900"/>
        <w:gridCol w:w="864"/>
        <w:gridCol w:w="756"/>
      </w:tblGrid>
      <w:tr>
        <w:trPr>
          <w:trHeight w:val="329" w:hRule="atLeast"/>
        </w:trPr>
        <w:tc>
          <w:tcPr>
            <w:tcW w:w="1705" w:type="dxa"/>
            <w:vMerge w:val="restart"/>
            <w:shd w:val="clear" w:color="auto" w:fill="C0C0C0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7"/>
              <w:rPr>
                <w:i/>
                <w:sz w:val="28"/>
              </w:rPr>
            </w:pPr>
          </w:p>
          <w:p>
            <w:pPr>
              <w:pStyle w:val="TableParagraph"/>
              <w:ind w:left="135"/>
              <w:rPr>
                <w:sz w:val="22"/>
              </w:rPr>
            </w:pPr>
            <w:r>
              <w:rPr>
                <w:sz w:val="22"/>
              </w:rPr>
              <w:t>Enhancing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layer</w:t>
            </w:r>
          </w:p>
        </w:tc>
        <w:tc>
          <w:tcPr>
            <w:tcW w:w="1170" w:type="dxa"/>
            <w:vMerge w:val="restart"/>
            <w:shd w:val="clear" w:color="auto" w:fill="C0C0C0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7"/>
              <w:rPr>
                <w:i/>
                <w:sz w:val="30"/>
              </w:rPr>
            </w:pPr>
          </w:p>
          <w:p>
            <w:pPr>
              <w:pStyle w:val="TableParagraph"/>
              <w:ind w:left="115" w:right="102" w:hanging="1"/>
              <w:jc w:val="center"/>
              <w:rPr>
                <w:sz w:val="22"/>
              </w:rPr>
            </w:pPr>
            <w:r>
              <w:rPr>
                <w:sz w:val="22"/>
              </w:rPr>
              <w:t>Ballistic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1"/>
                <w:sz w:val="22"/>
              </w:rPr>
              <w:t>Resistance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Ranking</w:t>
            </w:r>
          </w:p>
        </w:tc>
        <w:tc>
          <w:tcPr>
            <w:tcW w:w="2610" w:type="dxa"/>
            <w:gridSpan w:val="3"/>
            <w:shd w:val="clear" w:color="auto" w:fill="C0C0C0"/>
          </w:tcPr>
          <w:p>
            <w:pPr>
              <w:pStyle w:val="TableParagraph"/>
              <w:spacing w:line="234" w:lineRule="exact" w:before="75"/>
              <w:ind w:left="308"/>
              <w:rPr>
                <w:sz w:val="22"/>
              </w:rPr>
            </w:pPr>
            <w:r>
              <w:rPr>
                <w:sz w:val="22"/>
              </w:rPr>
              <w:t>Cost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per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weight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($/lb.)</w:t>
            </w:r>
          </w:p>
        </w:tc>
        <w:tc>
          <w:tcPr>
            <w:tcW w:w="2520" w:type="dxa"/>
            <w:gridSpan w:val="3"/>
            <w:shd w:val="clear" w:color="auto" w:fill="C0C0C0"/>
          </w:tcPr>
          <w:p>
            <w:pPr>
              <w:pStyle w:val="TableParagraph"/>
              <w:spacing w:line="234" w:lineRule="exact" w:before="75"/>
              <w:ind w:left="272"/>
              <w:rPr>
                <w:sz w:val="22"/>
              </w:rPr>
            </w:pPr>
            <w:r>
              <w:rPr>
                <w:sz w:val="22"/>
              </w:rPr>
              <w:t>Cost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per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area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($/ft</w:t>
            </w:r>
            <w:r>
              <w:rPr>
                <w:sz w:val="22"/>
                <w:vertAlign w:val="superscript"/>
              </w:rPr>
              <w:t>2</w:t>
            </w:r>
            <w:r>
              <w:rPr>
                <w:sz w:val="22"/>
                <w:vertAlign w:val="baseline"/>
              </w:rPr>
              <w:t>)</w:t>
            </w:r>
          </w:p>
        </w:tc>
      </w:tr>
      <w:tr>
        <w:trPr>
          <w:trHeight w:val="1678" w:hRule="atLeast"/>
        </w:trPr>
        <w:tc>
          <w:tcPr>
            <w:tcW w:w="1705" w:type="dxa"/>
            <w:vMerge/>
            <w:tcBorders>
              <w:top w:val="nil"/>
            </w:tcBorders>
            <w:shd w:val="clear" w:color="auto" w:fill="C0C0C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70" w:type="dxa"/>
            <w:vMerge/>
            <w:tcBorders>
              <w:top w:val="nil"/>
            </w:tcBorders>
            <w:shd w:val="clear" w:color="auto" w:fill="C0C0C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00" w:type="dxa"/>
            <w:shd w:val="clear" w:color="auto" w:fill="C0C0C0"/>
          </w:tcPr>
          <w:p>
            <w:pPr>
              <w:pStyle w:val="TableParagraph"/>
              <w:spacing w:before="10"/>
              <w:rPr>
                <w:i/>
                <w:sz w:val="28"/>
              </w:rPr>
            </w:pPr>
          </w:p>
          <w:p>
            <w:pPr>
              <w:pStyle w:val="TableParagraph"/>
              <w:ind w:left="112" w:right="101"/>
              <w:jc w:val="center"/>
              <w:rPr>
                <w:sz w:val="22"/>
              </w:rPr>
            </w:pPr>
            <w:r>
              <w:rPr>
                <w:sz w:val="22"/>
              </w:rPr>
              <w:t>Cost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per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weight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ranking</w:t>
            </w:r>
          </w:p>
        </w:tc>
        <w:tc>
          <w:tcPr>
            <w:tcW w:w="900" w:type="dxa"/>
            <w:shd w:val="clear" w:color="auto" w:fill="C0C0C0"/>
          </w:tcPr>
          <w:p>
            <w:pPr>
              <w:pStyle w:val="TableParagraph"/>
              <w:spacing w:before="10"/>
              <w:rPr>
                <w:i/>
                <w:sz w:val="28"/>
              </w:rPr>
            </w:pPr>
          </w:p>
          <w:p>
            <w:pPr>
              <w:pStyle w:val="TableParagraph"/>
              <w:ind w:left="111" w:right="101"/>
              <w:jc w:val="center"/>
              <w:rPr>
                <w:sz w:val="22"/>
              </w:rPr>
            </w:pPr>
            <w:r>
              <w:rPr>
                <w:sz w:val="22"/>
              </w:rPr>
              <w:t>Benefit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Cost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Ratio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(BCR)</w:t>
            </w:r>
          </w:p>
        </w:tc>
        <w:tc>
          <w:tcPr>
            <w:tcW w:w="810" w:type="dxa"/>
            <w:shd w:val="clear" w:color="auto" w:fill="C0C0C0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82"/>
              <w:ind w:left="172" w:right="160"/>
              <w:jc w:val="center"/>
              <w:rPr>
                <w:sz w:val="22"/>
              </w:rPr>
            </w:pPr>
            <w:r>
              <w:rPr>
                <w:sz w:val="22"/>
              </w:rPr>
              <w:t>Rank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BCR</w:t>
            </w:r>
          </w:p>
        </w:tc>
        <w:tc>
          <w:tcPr>
            <w:tcW w:w="900" w:type="dxa"/>
            <w:shd w:val="clear" w:color="auto" w:fill="C0C0C0"/>
          </w:tcPr>
          <w:p>
            <w:pPr>
              <w:pStyle w:val="TableParagraph"/>
              <w:spacing w:before="10"/>
              <w:rPr>
                <w:i/>
                <w:sz w:val="28"/>
              </w:rPr>
            </w:pPr>
          </w:p>
          <w:p>
            <w:pPr>
              <w:pStyle w:val="TableParagraph"/>
              <w:ind w:left="114" w:right="100" w:hanging="2"/>
              <w:jc w:val="center"/>
              <w:rPr>
                <w:sz w:val="22"/>
              </w:rPr>
            </w:pPr>
            <w:r>
              <w:rPr>
                <w:sz w:val="22"/>
              </w:rPr>
              <w:t>Cost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per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area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ranking</w:t>
            </w:r>
          </w:p>
        </w:tc>
        <w:tc>
          <w:tcPr>
            <w:tcW w:w="864" w:type="dxa"/>
            <w:shd w:val="clear" w:color="auto" w:fill="C0C0C0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82"/>
              <w:ind w:left="107" w:right="97"/>
              <w:jc w:val="center"/>
              <w:rPr>
                <w:sz w:val="22"/>
              </w:rPr>
            </w:pPr>
            <w:r>
              <w:rPr>
                <w:sz w:val="22"/>
              </w:rPr>
              <w:t>Benefit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Cost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Ratio</w:t>
            </w:r>
          </w:p>
        </w:tc>
        <w:tc>
          <w:tcPr>
            <w:tcW w:w="756" w:type="dxa"/>
            <w:shd w:val="clear" w:color="auto" w:fill="C0C0C0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82"/>
              <w:ind w:left="145" w:right="134"/>
              <w:jc w:val="center"/>
              <w:rPr>
                <w:sz w:val="22"/>
              </w:rPr>
            </w:pPr>
            <w:r>
              <w:rPr>
                <w:sz w:val="22"/>
              </w:rPr>
              <w:t>Rank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BCR</w:t>
            </w:r>
          </w:p>
        </w:tc>
      </w:tr>
      <w:tr>
        <w:trPr>
          <w:trHeight w:val="290" w:hRule="atLeast"/>
        </w:trPr>
        <w:tc>
          <w:tcPr>
            <w:tcW w:w="1705" w:type="dxa"/>
          </w:tcPr>
          <w:p>
            <w:pPr>
              <w:pStyle w:val="TableParagraph"/>
              <w:spacing w:line="234" w:lineRule="exact" w:before="35"/>
              <w:ind w:right="94"/>
              <w:jc w:val="right"/>
              <w:rPr>
                <w:sz w:val="22"/>
              </w:rPr>
            </w:pPr>
            <w:r>
              <w:rPr>
                <w:sz w:val="22"/>
              </w:rPr>
              <w:t>Perforated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Steel</w:t>
            </w:r>
          </w:p>
        </w:tc>
        <w:tc>
          <w:tcPr>
            <w:tcW w:w="1170" w:type="dxa"/>
          </w:tcPr>
          <w:p>
            <w:pPr>
              <w:pStyle w:val="TableParagraph"/>
              <w:spacing w:line="252" w:lineRule="exact" w:before="17"/>
              <w:ind w:left="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5</w:t>
            </w:r>
          </w:p>
        </w:tc>
        <w:tc>
          <w:tcPr>
            <w:tcW w:w="900" w:type="dxa"/>
          </w:tcPr>
          <w:p>
            <w:pPr>
              <w:pStyle w:val="TableParagraph"/>
              <w:spacing w:line="252" w:lineRule="exact" w:before="17"/>
              <w:ind w:left="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7</w:t>
            </w:r>
          </w:p>
        </w:tc>
        <w:tc>
          <w:tcPr>
            <w:tcW w:w="900" w:type="dxa"/>
          </w:tcPr>
          <w:p>
            <w:pPr>
              <w:pStyle w:val="TableParagraph"/>
              <w:spacing w:line="252" w:lineRule="exact" w:before="17"/>
              <w:ind w:left="111" w:right="101"/>
              <w:jc w:val="center"/>
              <w:rPr>
                <w:sz w:val="22"/>
              </w:rPr>
            </w:pPr>
            <w:r>
              <w:rPr>
                <w:sz w:val="22"/>
              </w:rPr>
              <w:t>0.71</w:t>
            </w:r>
          </w:p>
        </w:tc>
        <w:tc>
          <w:tcPr>
            <w:tcW w:w="810" w:type="dxa"/>
          </w:tcPr>
          <w:p>
            <w:pPr>
              <w:pStyle w:val="TableParagraph"/>
              <w:spacing w:line="252" w:lineRule="exact" w:before="17"/>
              <w:ind w:left="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7</w:t>
            </w:r>
          </w:p>
        </w:tc>
        <w:tc>
          <w:tcPr>
            <w:tcW w:w="900" w:type="dxa"/>
          </w:tcPr>
          <w:p>
            <w:pPr>
              <w:pStyle w:val="TableParagraph"/>
              <w:spacing w:line="252" w:lineRule="exact" w:before="17"/>
              <w:ind w:left="394"/>
              <w:rPr>
                <w:sz w:val="22"/>
              </w:rPr>
            </w:pPr>
            <w:r>
              <w:rPr>
                <w:w w:val="99"/>
                <w:sz w:val="22"/>
              </w:rPr>
              <w:t>8</w:t>
            </w:r>
          </w:p>
        </w:tc>
        <w:tc>
          <w:tcPr>
            <w:tcW w:w="864" w:type="dxa"/>
          </w:tcPr>
          <w:p>
            <w:pPr>
              <w:pStyle w:val="TableParagraph"/>
              <w:spacing w:line="252" w:lineRule="exact" w:before="17"/>
              <w:ind w:left="107" w:right="97"/>
              <w:jc w:val="center"/>
              <w:rPr>
                <w:sz w:val="22"/>
              </w:rPr>
            </w:pPr>
            <w:r>
              <w:rPr>
                <w:sz w:val="22"/>
              </w:rPr>
              <w:t>0.63</w:t>
            </w:r>
          </w:p>
        </w:tc>
        <w:tc>
          <w:tcPr>
            <w:tcW w:w="756" w:type="dxa"/>
          </w:tcPr>
          <w:p>
            <w:pPr>
              <w:pStyle w:val="TableParagraph"/>
              <w:spacing w:line="252" w:lineRule="exact" w:before="17"/>
              <w:ind w:left="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7</w:t>
            </w:r>
          </w:p>
        </w:tc>
      </w:tr>
      <w:tr>
        <w:trPr>
          <w:trHeight w:val="289" w:hRule="atLeast"/>
        </w:trPr>
        <w:tc>
          <w:tcPr>
            <w:tcW w:w="1705" w:type="dxa"/>
          </w:tcPr>
          <w:p>
            <w:pPr>
              <w:pStyle w:val="TableParagraph"/>
              <w:spacing w:line="234" w:lineRule="exact" w:before="35"/>
              <w:ind w:right="94"/>
              <w:jc w:val="right"/>
              <w:rPr>
                <w:sz w:val="22"/>
              </w:rPr>
            </w:pPr>
            <w:r>
              <w:rPr>
                <w:sz w:val="22"/>
              </w:rPr>
              <w:t>Expanded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Metal</w:t>
            </w:r>
          </w:p>
        </w:tc>
        <w:tc>
          <w:tcPr>
            <w:tcW w:w="1170" w:type="dxa"/>
          </w:tcPr>
          <w:p>
            <w:pPr>
              <w:pStyle w:val="TableParagraph"/>
              <w:spacing w:line="252" w:lineRule="exact" w:before="17"/>
              <w:ind w:left="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4</w:t>
            </w:r>
          </w:p>
        </w:tc>
        <w:tc>
          <w:tcPr>
            <w:tcW w:w="900" w:type="dxa"/>
          </w:tcPr>
          <w:p>
            <w:pPr>
              <w:pStyle w:val="TableParagraph"/>
              <w:spacing w:line="252" w:lineRule="exact" w:before="17"/>
              <w:ind w:left="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3</w:t>
            </w:r>
          </w:p>
        </w:tc>
        <w:tc>
          <w:tcPr>
            <w:tcW w:w="900" w:type="dxa"/>
          </w:tcPr>
          <w:p>
            <w:pPr>
              <w:pStyle w:val="TableParagraph"/>
              <w:spacing w:line="252" w:lineRule="exact" w:before="17"/>
              <w:ind w:left="111" w:right="101"/>
              <w:jc w:val="center"/>
              <w:rPr>
                <w:sz w:val="22"/>
              </w:rPr>
            </w:pPr>
            <w:r>
              <w:rPr>
                <w:sz w:val="22"/>
              </w:rPr>
              <w:t>1.33</w:t>
            </w:r>
          </w:p>
        </w:tc>
        <w:tc>
          <w:tcPr>
            <w:tcW w:w="810" w:type="dxa"/>
          </w:tcPr>
          <w:p>
            <w:pPr>
              <w:pStyle w:val="TableParagraph"/>
              <w:spacing w:line="252" w:lineRule="exact" w:before="17"/>
              <w:ind w:left="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5</w:t>
            </w:r>
          </w:p>
        </w:tc>
        <w:tc>
          <w:tcPr>
            <w:tcW w:w="900" w:type="dxa"/>
          </w:tcPr>
          <w:p>
            <w:pPr>
              <w:pStyle w:val="TableParagraph"/>
              <w:spacing w:line="252" w:lineRule="exact" w:before="17"/>
              <w:ind w:left="394"/>
              <w:rPr>
                <w:sz w:val="22"/>
              </w:rPr>
            </w:pPr>
            <w:r>
              <w:rPr>
                <w:w w:val="99"/>
                <w:sz w:val="22"/>
              </w:rPr>
              <w:t>5</w:t>
            </w:r>
          </w:p>
        </w:tc>
        <w:tc>
          <w:tcPr>
            <w:tcW w:w="864" w:type="dxa"/>
          </w:tcPr>
          <w:p>
            <w:pPr>
              <w:pStyle w:val="TableParagraph"/>
              <w:spacing w:line="252" w:lineRule="exact" w:before="17"/>
              <w:ind w:left="107" w:right="97"/>
              <w:jc w:val="center"/>
              <w:rPr>
                <w:sz w:val="22"/>
              </w:rPr>
            </w:pPr>
            <w:r>
              <w:rPr>
                <w:sz w:val="22"/>
              </w:rPr>
              <w:t>0.80</w:t>
            </w:r>
          </w:p>
        </w:tc>
        <w:tc>
          <w:tcPr>
            <w:tcW w:w="756" w:type="dxa"/>
          </w:tcPr>
          <w:p>
            <w:pPr>
              <w:pStyle w:val="TableParagraph"/>
              <w:spacing w:line="252" w:lineRule="exact" w:before="17"/>
              <w:ind w:left="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5</w:t>
            </w:r>
          </w:p>
        </w:tc>
      </w:tr>
      <w:tr>
        <w:trPr>
          <w:trHeight w:val="506" w:hRule="atLeast"/>
        </w:trPr>
        <w:tc>
          <w:tcPr>
            <w:tcW w:w="1705" w:type="dxa"/>
          </w:tcPr>
          <w:p>
            <w:pPr>
              <w:pStyle w:val="TableParagraph"/>
              <w:spacing w:line="251" w:lineRule="exact"/>
              <w:ind w:right="94"/>
              <w:jc w:val="right"/>
              <w:rPr>
                <w:sz w:val="22"/>
              </w:rPr>
            </w:pPr>
            <w:r>
              <w:rPr>
                <w:sz w:val="22"/>
              </w:rPr>
              <w:t>Aramid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Epoxy</w:t>
            </w:r>
          </w:p>
          <w:p>
            <w:pPr>
              <w:pStyle w:val="TableParagraph"/>
              <w:spacing w:line="234" w:lineRule="exact"/>
              <w:ind w:right="95"/>
              <w:jc w:val="right"/>
              <w:rPr>
                <w:sz w:val="22"/>
              </w:rPr>
            </w:pPr>
            <w:r>
              <w:rPr>
                <w:sz w:val="22"/>
              </w:rPr>
              <w:t>Panel</w:t>
            </w:r>
          </w:p>
        </w:tc>
        <w:tc>
          <w:tcPr>
            <w:tcW w:w="1170" w:type="dxa"/>
          </w:tcPr>
          <w:p>
            <w:pPr>
              <w:pStyle w:val="TableParagraph"/>
              <w:spacing w:before="124"/>
              <w:ind w:left="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6</w:t>
            </w:r>
          </w:p>
        </w:tc>
        <w:tc>
          <w:tcPr>
            <w:tcW w:w="900" w:type="dxa"/>
          </w:tcPr>
          <w:p>
            <w:pPr>
              <w:pStyle w:val="TableParagraph"/>
              <w:spacing w:before="124"/>
              <w:ind w:left="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8</w:t>
            </w:r>
          </w:p>
        </w:tc>
        <w:tc>
          <w:tcPr>
            <w:tcW w:w="900" w:type="dxa"/>
          </w:tcPr>
          <w:p>
            <w:pPr>
              <w:pStyle w:val="TableParagraph"/>
              <w:spacing w:before="124"/>
              <w:ind w:left="111" w:right="101"/>
              <w:jc w:val="center"/>
              <w:rPr>
                <w:sz w:val="22"/>
              </w:rPr>
            </w:pPr>
            <w:r>
              <w:rPr>
                <w:sz w:val="22"/>
              </w:rPr>
              <w:t>0.75</w:t>
            </w:r>
          </w:p>
        </w:tc>
        <w:tc>
          <w:tcPr>
            <w:tcW w:w="810" w:type="dxa"/>
          </w:tcPr>
          <w:p>
            <w:pPr>
              <w:pStyle w:val="TableParagraph"/>
              <w:spacing w:before="124"/>
              <w:ind w:left="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6</w:t>
            </w:r>
          </w:p>
        </w:tc>
        <w:tc>
          <w:tcPr>
            <w:tcW w:w="900" w:type="dxa"/>
          </w:tcPr>
          <w:p>
            <w:pPr>
              <w:pStyle w:val="TableParagraph"/>
              <w:spacing w:before="124"/>
              <w:ind w:left="394"/>
              <w:rPr>
                <w:sz w:val="22"/>
              </w:rPr>
            </w:pPr>
            <w:r>
              <w:rPr>
                <w:w w:val="99"/>
                <w:sz w:val="22"/>
              </w:rPr>
              <w:t>6</w:t>
            </w:r>
          </w:p>
        </w:tc>
        <w:tc>
          <w:tcPr>
            <w:tcW w:w="864" w:type="dxa"/>
          </w:tcPr>
          <w:p>
            <w:pPr>
              <w:pStyle w:val="TableParagraph"/>
              <w:spacing w:before="124"/>
              <w:ind w:left="107" w:right="97"/>
              <w:jc w:val="center"/>
              <w:rPr>
                <w:sz w:val="22"/>
              </w:rPr>
            </w:pPr>
            <w:r>
              <w:rPr>
                <w:sz w:val="22"/>
              </w:rPr>
              <w:t>1.00</w:t>
            </w:r>
          </w:p>
        </w:tc>
        <w:tc>
          <w:tcPr>
            <w:tcW w:w="756" w:type="dxa"/>
          </w:tcPr>
          <w:p>
            <w:pPr>
              <w:pStyle w:val="TableParagraph"/>
              <w:spacing w:before="124"/>
              <w:ind w:left="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4</w:t>
            </w:r>
          </w:p>
        </w:tc>
      </w:tr>
      <w:tr>
        <w:trPr>
          <w:trHeight w:val="290" w:hRule="atLeast"/>
        </w:trPr>
        <w:tc>
          <w:tcPr>
            <w:tcW w:w="1705" w:type="dxa"/>
          </w:tcPr>
          <w:p>
            <w:pPr>
              <w:pStyle w:val="TableParagraph"/>
              <w:spacing w:line="234" w:lineRule="exact" w:before="35"/>
              <w:ind w:right="95"/>
              <w:jc w:val="right"/>
              <w:rPr>
                <w:sz w:val="22"/>
              </w:rPr>
            </w:pPr>
            <w:r>
              <w:rPr>
                <w:sz w:val="22"/>
              </w:rPr>
              <w:t>Mild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Steel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Plate</w:t>
            </w:r>
          </w:p>
        </w:tc>
        <w:tc>
          <w:tcPr>
            <w:tcW w:w="1170" w:type="dxa"/>
          </w:tcPr>
          <w:p>
            <w:pPr>
              <w:pStyle w:val="TableParagraph"/>
              <w:spacing w:before="16"/>
              <w:ind w:left="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3</w:t>
            </w:r>
          </w:p>
        </w:tc>
        <w:tc>
          <w:tcPr>
            <w:tcW w:w="900" w:type="dxa"/>
          </w:tcPr>
          <w:p>
            <w:pPr>
              <w:pStyle w:val="TableParagraph"/>
              <w:spacing w:before="16"/>
              <w:ind w:left="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2</w:t>
            </w:r>
          </w:p>
        </w:tc>
        <w:tc>
          <w:tcPr>
            <w:tcW w:w="900" w:type="dxa"/>
          </w:tcPr>
          <w:p>
            <w:pPr>
              <w:pStyle w:val="TableParagraph"/>
              <w:spacing w:before="16"/>
              <w:ind w:left="111" w:right="101"/>
              <w:jc w:val="center"/>
              <w:rPr>
                <w:sz w:val="22"/>
              </w:rPr>
            </w:pPr>
            <w:r>
              <w:rPr>
                <w:sz w:val="22"/>
              </w:rPr>
              <w:t>1.50</w:t>
            </w:r>
          </w:p>
        </w:tc>
        <w:tc>
          <w:tcPr>
            <w:tcW w:w="810" w:type="dxa"/>
          </w:tcPr>
          <w:p>
            <w:pPr>
              <w:pStyle w:val="TableParagraph"/>
              <w:spacing w:before="16"/>
              <w:ind w:left="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3</w:t>
            </w:r>
          </w:p>
        </w:tc>
        <w:tc>
          <w:tcPr>
            <w:tcW w:w="900" w:type="dxa"/>
          </w:tcPr>
          <w:p>
            <w:pPr>
              <w:pStyle w:val="TableParagraph"/>
              <w:spacing w:before="16"/>
              <w:ind w:left="394"/>
              <w:rPr>
                <w:sz w:val="22"/>
              </w:rPr>
            </w:pPr>
            <w:r>
              <w:rPr>
                <w:w w:val="99"/>
                <w:sz w:val="22"/>
              </w:rPr>
              <w:t>4</w:t>
            </w:r>
          </w:p>
        </w:tc>
        <w:tc>
          <w:tcPr>
            <w:tcW w:w="864" w:type="dxa"/>
          </w:tcPr>
          <w:p>
            <w:pPr>
              <w:pStyle w:val="TableParagraph"/>
              <w:spacing w:before="16"/>
              <w:ind w:left="107" w:right="97"/>
              <w:jc w:val="center"/>
              <w:rPr>
                <w:sz w:val="22"/>
              </w:rPr>
            </w:pPr>
            <w:r>
              <w:rPr>
                <w:sz w:val="22"/>
              </w:rPr>
              <w:t>0.75</w:t>
            </w:r>
          </w:p>
        </w:tc>
        <w:tc>
          <w:tcPr>
            <w:tcW w:w="756" w:type="dxa"/>
          </w:tcPr>
          <w:p>
            <w:pPr>
              <w:pStyle w:val="TableParagraph"/>
              <w:spacing w:before="16"/>
              <w:ind w:left="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6</w:t>
            </w:r>
          </w:p>
        </w:tc>
      </w:tr>
      <w:tr>
        <w:trPr>
          <w:trHeight w:val="289" w:hRule="atLeast"/>
        </w:trPr>
        <w:tc>
          <w:tcPr>
            <w:tcW w:w="1705" w:type="dxa"/>
          </w:tcPr>
          <w:p>
            <w:pPr>
              <w:pStyle w:val="TableParagraph"/>
              <w:spacing w:line="234" w:lineRule="exact" w:before="35"/>
              <w:ind w:right="95"/>
              <w:jc w:val="right"/>
              <w:rPr>
                <w:sz w:val="22"/>
              </w:rPr>
            </w:pPr>
            <w:r>
              <w:rPr>
                <w:sz w:val="22"/>
              </w:rPr>
              <w:t>High-hard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Plate</w:t>
            </w:r>
          </w:p>
        </w:tc>
        <w:tc>
          <w:tcPr>
            <w:tcW w:w="1170" w:type="dxa"/>
          </w:tcPr>
          <w:p>
            <w:pPr>
              <w:pStyle w:val="TableParagraph"/>
              <w:spacing w:before="16"/>
              <w:ind w:left="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2</w:t>
            </w:r>
          </w:p>
        </w:tc>
        <w:tc>
          <w:tcPr>
            <w:tcW w:w="900" w:type="dxa"/>
          </w:tcPr>
          <w:p>
            <w:pPr>
              <w:pStyle w:val="TableParagraph"/>
              <w:spacing w:before="16"/>
              <w:ind w:left="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4</w:t>
            </w:r>
          </w:p>
        </w:tc>
        <w:tc>
          <w:tcPr>
            <w:tcW w:w="900" w:type="dxa"/>
          </w:tcPr>
          <w:p>
            <w:pPr>
              <w:pStyle w:val="TableParagraph"/>
              <w:spacing w:before="16"/>
              <w:ind w:left="111" w:right="101"/>
              <w:jc w:val="center"/>
              <w:rPr>
                <w:sz w:val="22"/>
              </w:rPr>
            </w:pPr>
            <w:r>
              <w:rPr>
                <w:sz w:val="22"/>
              </w:rPr>
              <w:t>0.50</w:t>
            </w:r>
          </w:p>
        </w:tc>
        <w:tc>
          <w:tcPr>
            <w:tcW w:w="810" w:type="dxa"/>
          </w:tcPr>
          <w:p>
            <w:pPr>
              <w:pStyle w:val="TableParagraph"/>
              <w:spacing w:before="16"/>
              <w:ind w:left="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8</w:t>
            </w:r>
          </w:p>
        </w:tc>
        <w:tc>
          <w:tcPr>
            <w:tcW w:w="900" w:type="dxa"/>
          </w:tcPr>
          <w:p>
            <w:pPr>
              <w:pStyle w:val="TableParagraph"/>
              <w:spacing w:before="16"/>
              <w:ind w:left="394"/>
              <w:rPr>
                <w:sz w:val="22"/>
              </w:rPr>
            </w:pPr>
            <w:r>
              <w:rPr>
                <w:w w:val="99"/>
                <w:sz w:val="22"/>
              </w:rPr>
              <w:t>7</w:t>
            </w:r>
          </w:p>
        </w:tc>
        <w:tc>
          <w:tcPr>
            <w:tcW w:w="864" w:type="dxa"/>
          </w:tcPr>
          <w:p>
            <w:pPr>
              <w:pStyle w:val="TableParagraph"/>
              <w:spacing w:before="16"/>
              <w:ind w:left="107" w:right="97"/>
              <w:jc w:val="center"/>
              <w:rPr>
                <w:sz w:val="22"/>
              </w:rPr>
            </w:pPr>
            <w:r>
              <w:rPr>
                <w:sz w:val="22"/>
              </w:rPr>
              <w:t>0.29</w:t>
            </w:r>
          </w:p>
        </w:tc>
        <w:tc>
          <w:tcPr>
            <w:tcW w:w="756" w:type="dxa"/>
          </w:tcPr>
          <w:p>
            <w:pPr>
              <w:pStyle w:val="TableParagraph"/>
              <w:spacing w:before="16"/>
              <w:ind w:left="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8</w:t>
            </w:r>
          </w:p>
        </w:tc>
      </w:tr>
      <w:tr>
        <w:trPr>
          <w:trHeight w:val="290" w:hRule="atLeast"/>
        </w:trPr>
        <w:tc>
          <w:tcPr>
            <w:tcW w:w="1705" w:type="dxa"/>
          </w:tcPr>
          <w:p>
            <w:pPr>
              <w:pStyle w:val="TableParagraph"/>
              <w:spacing w:line="234" w:lineRule="exact" w:before="35"/>
              <w:ind w:right="96"/>
              <w:jc w:val="right"/>
              <w:rPr>
                <w:sz w:val="22"/>
              </w:rPr>
            </w:pPr>
            <w:r>
              <w:rPr>
                <w:sz w:val="22"/>
              </w:rPr>
              <w:t>UHMWPE</w:t>
            </w:r>
          </w:p>
        </w:tc>
        <w:tc>
          <w:tcPr>
            <w:tcW w:w="1170" w:type="dxa"/>
          </w:tcPr>
          <w:p>
            <w:pPr>
              <w:pStyle w:val="TableParagraph"/>
              <w:spacing w:before="16"/>
              <w:ind w:left="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1</w:t>
            </w:r>
          </w:p>
        </w:tc>
        <w:tc>
          <w:tcPr>
            <w:tcW w:w="900" w:type="dxa"/>
          </w:tcPr>
          <w:p>
            <w:pPr>
              <w:pStyle w:val="TableParagraph"/>
              <w:spacing w:before="16"/>
              <w:ind w:left="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9</w:t>
            </w:r>
          </w:p>
        </w:tc>
        <w:tc>
          <w:tcPr>
            <w:tcW w:w="900" w:type="dxa"/>
          </w:tcPr>
          <w:p>
            <w:pPr>
              <w:pStyle w:val="TableParagraph"/>
              <w:spacing w:before="16"/>
              <w:ind w:left="111" w:right="101"/>
              <w:jc w:val="center"/>
              <w:rPr>
                <w:sz w:val="22"/>
              </w:rPr>
            </w:pPr>
            <w:r>
              <w:rPr>
                <w:sz w:val="22"/>
              </w:rPr>
              <w:t>0.11</w:t>
            </w:r>
          </w:p>
        </w:tc>
        <w:tc>
          <w:tcPr>
            <w:tcW w:w="810" w:type="dxa"/>
          </w:tcPr>
          <w:p>
            <w:pPr>
              <w:pStyle w:val="TableParagraph"/>
              <w:spacing w:before="16"/>
              <w:ind w:left="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9</w:t>
            </w:r>
          </w:p>
        </w:tc>
        <w:tc>
          <w:tcPr>
            <w:tcW w:w="900" w:type="dxa"/>
          </w:tcPr>
          <w:p>
            <w:pPr>
              <w:pStyle w:val="TableParagraph"/>
              <w:spacing w:before="16"/>
              <w:ind w:left="394"/>
              <w:rPr>
                <w:sz w:val="22"/>
              </w:rPr>
            </w:pPr>
            <w:r>
              <w:rPr>
                <w:w w:val="99"/>
                <w:sz w:val="22"/>
              </w:rPr>
              <w:t>9</w:t>
            </w:r>
          </w:p>
        </w:tc>
        <w:tc>
          <w:tcPr>
            <w:tcW w:w="864" w:type="dxa"/>
          </w:tcPr>
          <w:p>
            <w:pPr>
              <w:pStyle w:val="TableParagraph"/>
              <w:spacing w:before="16"/>
              <w:ind w:left="107" w:right="97"/>
              <w:jc w:val="center"/>
              <w:rPr>
                <w:sz w:val="22"/>
              </w:rPr>
            </w:pPr>
            <w:r>
              <w:rPr>
                <w:sz w:val="22"/>
              </w:rPr>
              <w:t>0.11</w:t>
            </w:r>
          </w:p>
        </w:tc>
        <w:tc>
          <w:tcPr>
            <w:tcW w:w="756" w:type="dxa"/>
          </w:tcPr>
          <w:p>
            <w:pPr>
              <w:pStyle w:val="TableParagraph"/>
              <w:spacing w:before="16"/>
              <w:ind w:left="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9</w:t>
            </w:r>
          </w:p>
        </w:tc>
      </w:tr>
      <w:tr>
        <w:trPr>
          <w:trHeight w:val="505" w:hRule="atLeast"/>
        </w:trPr>
        <w:tc>
          <w:tcPr>
            <w:tcW w:w="1705" w:type="dxa"/>
          </w:tcPr>
          <w:p>
            <w:pPr>
              <w:pStyle w:val="TableParagraph"/>
              <w:spacing w:line="251" w:lineRule="exact"/>
              <w:ind w:right="94"/>
              <w:jc w:val="right"/>
              <w:rPr>
                <w:sz w:val="22"/>
              </w:rPr>
            </w:pPr>
            <w:r>
              <w:rPr>
                <w:sz w:val="22"/>
              </w:rPr>
              <w:t>Fiberglass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fabric</w:t>
            </w:r>
          </w:p>
          <w:p>
            <w:pPr>
              <w:pStyle w:val="TableParagraph"/>
              <w:spacing w:line="234" w:lineRule="exact"/>
              <w:ind w:right="93"/>
              <w:jc w:val="right"/>
              <w:rPr>
                <w:sz w:val="22"/>
              </w:rPr>
            </w:pPr>
            <w:r>
              <w:rPr>
                <w:sz w:val="22"/>
              </w:rPr>
              <w:t>(4-ply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x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1)</w:t>
            </w:r>
          </w:p>
        </w:tc>
        <w:tc>
          <w:tcPr>
            <w:tcW w:w="1170" w:type="dxa"/>
          </w:tcPr>
          <w:p>
            <w:pPr>
              <w:pStyle w:val="TableParagraph"/>
              <w:spacing w:before="124"/>
              <w:ind w:left="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7</w:t>
            </w:r>
          </w:p>
        </w:tc>
        <w:tc>
          <w:tcPr>
            <w:tcW w:w="900" w:type="dxa"/>
          </w:tcPr>
          <w:p>
            <w:pPr>
              <w:pStyle w:val="TableParagraph"/>
              <w:spacing w:before="124"/>
              <w:ind w:left="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5</w:t>
            </w:r>
          </w:p>
        </w:tc>
        <w:tc>
          <w:tcPr>
            <w:tcW w:w="900" w:type="dxa"/>
          </w:tcPr>
          <w:p>
            <w:pPr>
              <w:pStyle w:val="TableParagraph"/>
              <w:spacing w:before="124"/>
              <w:ind w:left="111" w:right="101"/>
              <w:jc w:val="center"/>
              <w:rPr>
                <w:sz w:val="22"/>
              </w:rPr>
            </w:pPr>
            <w:r>
              <w:rPr>
                <w:sz w:val="22"/>
              </w:rPr>
              <w:t>1.40</w:t>
            </w:r>
          </w:p>
        </w:tc>
        <w:tc>
          <w:tcPr>
            <w:tcW w:w="810" w:type="dxa"/>
          </w:tcPr>
          <w:p>
            <w:pPr>
              <w:pStyle w:val="TableParagraph"/>
              <w:spacing w:before="124"/>
              <w:ind w:left="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4</w:t>
            </w:r>
          </w:p>
        </w:tc>
        <w:tc>
          <w:tcPr>
            <w:tcW w:w="900" w:type="dxa"/>
          </w:tcPr>
          <w:p>
            <w:pPr>
              <w:pStyle w:val="TableParagraph"/>
              <w:spacing w:before="124"/>
              <w:ind w:left="394"/>
              <w:rPr>
                <w:sz w:val="22"/>
              </w:rPr>
            </w:pPr>
            <w:r>
              <w:rPr>
                <w:w w:val="99"/>
                <w:sz w:val="22"/>
              </w:rPr>
              <w:t>2</w:t>
            </w:r>
          </w:p>
        </w:tc>
        <w:tc>
          <w:tcPr>
            <w:tcW w:w="864" w:type="dxa"/>
          </w:tcPr>
          <w:p>
            <w:pPr>
              <w:pStyle w:val="TableParagraph"/>
              <w:spacing w:before="124"/>
              <w:ind w:left="107" w:right="97"/>
              <w:jc w:val="center"/>
              <w:rPr>
                <w:sz w:val="22"/>
              </w:rPr>
            </w:pPr>
            <w:r>
              <w:rPr>
                <w:sz w:val="22"/>
              </w:rPr>
              <w:t>3.50</w:t>
            </w:r>
          </w:p>
        </w:tc>
        <w:tc>
          <w:tcPr>
            <w:tcW w:w="756" w:type="dxa"/>
          </w:tcPr>
          <w:p>
            <w:pPr>
              <w:pStyle w:val="TableParagraph"/>
              <w:spacing w:before="124"/>
              <w:ind w:left="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3</w:t>
            </w:r>
          </w:p>
        </w:tc>
      </w:tr>
      <w:tr>
        <w:trPr>
          <w:trHeight w:val="505" w:hRule="atLeast"/>
        </w:trPr>
        <w:tc>
          <w:tcPr>
            <w:tcW w:w="1705" w:type="dxa"/>
          </w:tcPr>
          <w:p>
            <w:pPr>
              <w:pStyle w:val="TableParagraph"/>
              <w:spacing w:line="251" w:lineRule="exact"/>
              <w:ind w:right="94"/>
              <w:jc w:val="right"/>
              <w:rPr>
                <w:sz w:val="22"/>
              </w:rPr>
            </w:pPr>
            <w:r>
              <w:rPr>
                <w:sz w:val="22"/>
              </w:rPr>
              <w:t>Fiberglass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fabric</w:t>
            </w:r>
          </w:p>
          <w:p>
            <w:pPr>
              <w:pStyle w:val="TableParagraph"/>
              <w:spacing w:line="234" w:lineRule="exact"/>
              <w:ind w:right="93"/>
              <w:jc w:val="right"/>
              <w:rPr>
                <w:sz w:val="22"/>
              </w:rPr>
            </w:pPr>
            <w:r>
              <w:rPr>
                <w:sz w:val="22"/>
              </w:rPr>
              <w:t>(1-ply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x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4)</w:t>
            </w:r>
          </w:p>
        </w:tc>
        <w:tc>
          <w:tcPr>
            <w:tcW w:w="1170" w:type="dxa"/>
          </w:tcPr>
          <w:p>
            <w:pPr>
              <w:pStyle w:val="TableParagraph"/>
              <w:spacing w:before="124"/>
              <w:ind w:left="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8</w:t>
            </w:r>
          </w:p>
        </w:tc>
        <w:tc>
          <w:tcPr>
            <w:tcW w:w="900" w:type="dxa"/>
          </w:tcPr>
          <w:p>
            <w:pPr>
              <w:pStyle w:val="TableParagraph"/>
              <w:spacing w:before="124"/>
              <w:ind w:left="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5</w:t>
            </w:r>
          </w:p>
        </w:tc>
        <w:tc>
          <w:tcPr>
            <w:tcW w:w="900" w:type="dxa"/>
          </w:tcPr>
          <w:p>
            <w:pPr>
              <w:pStyle w:val="TableParagraph"/>
              <w:spacing w:before="124"/>
              <w:ind w:left="111" w:right="101"/>
              <w:jc w:val="center"/>
              <w:rPr>
                <w:sz w:val="22"/>
              </w:rPr>
            </w:pPr>
            <w:r>
              <w:rPr>
                <w:sz w:val="22"/>
              </w:rPr>
              <w:t>1.60</w:t>
            </w:r>
          </w:p>
        </w:tc>
        <w:tc>
          <w:tcPr>
            <w:tcW w:w="810" w:type="dxa"/>
          </w:tcPr>
          <w:p>
            <w:pPr>
              <w:pStyle w:val="TableParagraph"/>
              <w:spacing w:before="124"/>
              <w:ind w:left="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2</w:t>
            </w:r>
          </w:p>
        </w:tc>
        <w:tc>
          <w:tcPr>
            <w:tcW w:w="900" w:type="dxa"/>
          </w:tcPr>
          <w:p>
            <w:pPr>
              <w:pStyle w:val="TableParagraph"/>
              <w:spacing w:before="124"/>
              <w:ind w:left="394"/>
              <w:rPr>
                <w:sz w:val="22"/>
              </w:rPr>
            </w:pPr>
            <w:r>
              <w:rPr>
                <w:w w:val="99"/>
                <w:sz w:val="22"/>
              </w:rPr>
              <w:t>2</w:t>
            </w:r>
          </w:p>
        </w:tc>
        <w:tc>
          <w:tcPr>
            <w:tcW w:w="864" w:type="dxa"/>
          </w:tcPr>
          <w:p>
            <w:pPr>
              <w:pStyle w:val="TableParagraph"/>
              <w:spacing w:before="124"/>
              <w:ind w:left="107" w:right="97"/>
              <w:jc w:val="center"/>
              <w:rPr>
                <w:sz w:val="22"/>
              </w:rPr>
            </w:pPr>
            <w:r>
              <w:rPr>
                <w:sz w:val="22"/>
              </w:rPr>
              <w:t>4.00</w:t>
            </w:r>
          </w:p>
        </w:tc>
        <w:tc>
          <w:tcPr>
            <w:tcW w:w="756" w:type="dxa"/>
          </w:tcPr>
          <w:p>
            <w:pPr>
              <w:pStyle w:val="TableParagraph"/>
              <w:spacing w:before="124"/>
              <w:ind w:left="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2</w:t>
            </w:r>
          </w:p>
        </w:tc>
      </w:tr>
      <w:tr>
        <w:trPr>
          <w:trHeight w:val="290" w:hRule="atLeast"/>
        </w:trPr>
        <w:tc>
          <w:tcPr>
            <w:tcW w:w="1705" w:type="dxa"/>
          </w:tcPr>
          <w:p>
            <w:pPr>
              <w:pStyle w:val="TableParagraph"/>
              <w:spacing w:line="234" w:lineRule="exact" w:before="35"/>
              <w:ind w:right="96"/>
              <w:jc w:val="right"/>
              <w:rPr>
                <w:sz w:val="22"/>
              </w:rPr>
            </w:pPr>
            <w:r>
              <w:rPr>
                <w:sz w:val="22"/>
              </w:rPr>
              <w:t>Baseline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CLT</w:t>
            </w:r>
          </w:p>
        </w:tc>
        <w:tc>
          <w:tcPr>
            <w:tcW w:w="1170" w:type="dxa"/>
          </w:tcPr>
          <w:p>
            <w:pPr>
              <w:pStyle w:val="TableParagraph"/>
              <w:spacing w:before="16"/>
              <w:ind w:left="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9</w:t>
            </w:r>
          </w:p>
        </w:tc>
        <w:tc>
          <w:tcPr>
            <w:tcW w:w="900" w:type="dxa"/>
          </w:tcPr>
          <w:p>
            <w:pPr>
              <w:pStyle w:val="TableParagraph"/>
              <w:spacing w:before="16"/>
              <w:ind w:left="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1</w:t>
            </w:r>
          </w:p>
        </w:tc>
        <w:tc>
          <w:tcPr>
            <w:tcW w:w="900" w:type="dxa"/>
          </w:tcPr>
          <w:p>
            <w:pPr>
              <w:pStyle w:val="TableParagraph"/>
              <w:spacing w:before="16"/>
              <w:ind w:left="111" w:right="101"/>
              <w:jc w:val="center"/>
              <w:rPr>
                <w:sz w:val="22"/>
              </w:rPr>
            </w:pPr>
            <w:r>
              <w:rPr>
                <w:sz w:val="22"/>
              </w:rPr>
              <w:t>9.00</w:t>
            </w:r>
          </w:p>
        </w:tc>
        <w:tc>
          <w:tcPr>
            <w:tcW w:w="810" w:type="dxa"/>
          </w:tcPr>
          <w:p>
            <w:pPr>
              <w:pStyle w:val="TableParagraph"/>
              <w:spacing w:before="16"/>
              <w:ind w:left="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1</w:t>
            </w:r>
          </w:p>
        </w:tc>
        <w:tc>
          <w:tcPr>
            <w:tcW w:w="900" w:type="dxa"/>
          </w:tcPr>
          <w:p>
            <w:pPr>
              <w:pStyle w:val="TableParagraph"/>
              <w:spacing w:before="16"/>
              <w:ind w:left="394"/>
              <w:rPr>
                <w:sz w:val="22"/>
              </w:rPr>
            </w:pPr>
            <w:r>
              <w:rPr>
                <w:w w:val="99"/>
                <w:sz w:val="22"/>
              </w:rPr>
              <w:t>1</w:t>
            </w:r>
          </w:p>
        </w:tc>
        <w:tc>
          <w:tcPr>
            <w:tcW w:w="864" w:type="dxa"/>
          </w:tcPr>
          <w:p>
            <w:pPr>
              <w:pStyle w:val="TableParagraph"/>
              <w:spacing w:before="16"/>
              <w:ind w:left="107" w:right="97"/>
              <w:jc w:val="center"/>
              <w:rPr>
                <w:sz w:val="22"/>
              </w:rPr>
            </w:pPr>
            <w:r>
              <w:rPr>
                <w:sz w:val="22"/>
              </w:rPr>
              <w:t>9.00</w:t>
            </w:r>
          </w:p>
        </w:tc>
        <w:tc>
          <w:tcPr>
            <w:tcW w:w="756" w:type="dxa"/>
          </w:tcPr>
          <w:p>
            <w:pPr>
              <w:pStyle w:val="TableParagraph"/>
              <w:spacing w:before="16"/>
              <w:ind w:left="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1</w:t>
            </w:r>
          </w:p>
        </w:tc>
      </w:tr>
    </w:tbl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228"/>
        <w:ind w:left="440" w:right="418" w:firstLine="720"/>
        <w:jc w:val="both"/>
      </w:pPr>
      <w:r>
        <w:rPr/>
        <w:t>Using</w:t>
      </w:r>
      <w:r>
        <w:rPr>
          <w:spacing w:val="58"/>
        </w:rPr>
        <w:t> </w:t>
      </w:r>
      <w:r>
        <w:rPr/>
        <w:t>this</w:t>
      </w:r>
      <w:r>
        <w:rPr>
          <w:spacing w:val="58"/>
        </w:rPr>
        <w:t> </w:t>
      </w:r>
      <w:r>
        <w:rPr/>
        <w:t>technique</w:t>
      </w:r>
      <w:r>
        <w:rPr>
          <w:spacing w:val="58"/>
        </w:rPr>
        <w:t> </w:t>
      </w:r>
      <w:r>
        <w:rPr/>
        <w:t>with</w:t>
      </w:r>
      <w:r>
        <w:rPr>
          <w:spacing w:val="58"/>
        </w:rPr>
        <w:t> </w:t>
      </w:r>
      <w:r>
        <w:rPr/>
        <w:t>the</w:t>
      </w:r>
      <w:r>
        <w:rPr>
          <w:spacing w:val="57"/>
        </w:rPr>
        <w:t> </w:t>
      </w:r>
      <w:r>
        <w:rPr/>
        <w:t>ballistic</w:t>
      </w:r>
      <w:r>
        <w:rPr>
          <w:spacing w:val="58"/>
        </w:rPr>
        <w:t> </w:t>
      </w:r>
      <w:r>
        <w:rPr/>
        <w:t>resistance</w:t>
      </w:r>
      <w:r>
        <w:rPr>
          <w:spacing w:val="58"/>
        </w:rPr>
        <w:t> </w:t>
      </w:r>
      <w:r>
        <w:rPr/>
        <w:t>as</w:t>
      </w:r>
      <w:r>
        <w:rPr>
          <w:spacing w:val="57"/>
        </w:rPr>
        <w:t> </w:t>
      </w:r>
      <w:r>
        <w:rPr/>
        <w:t>the</w:t>
      </w:r>
      <w:r>
        <w:rPr>
          <w:spacing w:val="58"/>
        </w:rPr>
        <w:t> </w:t>
      </w:r>
      <w:r>
        <w:rPr/>
        <w:t>assessed</w:t>
      </w:r>
      <w:r>
        <w:rPr>
          <w:spacing w:val="56"/>
        </w:rPr>
        <w:t> </w:t>
      </w:r>
      <w:r>
        <w:rPr/>
        <w:t>benefit,</w:t>
      </w:r>
      <w:r>
        <w:rPr>
          <w:spacing w:val="57"/>
        </w:rPr>
        <w:t> </w:t>
      </w:r>
      <w:r>
        <w:rPr/>
        <w:t>the</w:t>
      </w:r>
      <w:r>
        <w:rPr>
          <w:spacing w:val="-57"/>
        </w:rPr>
        <w:t> </w:t>
      </w:r>
      <w:r>
        <w:rPr/>
        <w:t>baseline CLT achieved the highest BCR.</w:t>
      </w:r>
      <w:r>
        <w:rPr>
          <w:spacing w:val="1"/>
        </w:rPr>
        <w:t> </w:t>
      </w:r>
      <w:r>
        <w:rPr/>
        <w:t>Despite the lowest ballistic resistance, it had no</w:t>
      </w:r>
      <w:r>
        <w:rPr>
          <w:spacing w:val="-57"/>
        </w:rPr>
        <w:t> </w:t>
      </w:r>
      <w:r>
        <w:rPr/>
        <w:t>additional</w:t>
      </w:r>
      <w:r>
        <w:rPr>
          <w:spacing w:val="5"/>
        </w:rPr>
        <w:t> </w:t>
      </w:r>
      <w:r>
        <w:rPr/>
        <w:t>cost.</w:t>
      </w:r>
      <w:r>
        <w:rPr>
          <w:spacing w:val="14"/>
        </w:rPr>
        <w:t> </w:t>
      </w:r>
      <w:r>
        <w:rPr/>
        <w:t>The</w:t>
      </w:r>
      <w:r>
        <w:rPr>
          <w:spacing w:val="5"/>
        </w:rPr>
        <w:t> </w:t>
      </w:r>
      <w:r>
        <w:rPr/>
        <w:t>separated</w:t>
      </w:r>
      <w:r>
        <w:rPr>
          <w:spacing w:val="7"/>
        </w:rPr>
        <w:t> </w:t>
      </w:r>
      <w:r>
        <w:rPr/>
        <w:t>4-ply</w:t>
      </w:r>
      <w:r>
        <w:rPr>
          <w:spacing w:val="6"/>
        </w:rPr>
        <w:t> </w:t>
      </w:r>
      <w:r>
        <w:rPr/>
        <w:t>fiberglass</w:t>
      </w:r>
      <w:r>
        <w:rPr>
          <w:spacing w:val="6"/>
        </w:rPr>
        <w:t> </w:t>
      </w:r>
      <w:r>
        <w:rPr/>
        <w:t>fabric</w:t>
      </w:r>
      <w:r>
        <w:rPr>
          <w:spacing w:val="6"/>
        </w:rPr>
        <w:t> </w:t>
      </w:r>
      <w:r>
        <w:rPr/>
        <w:t>was</w:t>
      </w:r>
      <w:r>
        <w:rPr>
          <w:spacing w:val="5"/>
        </w:rPr>
        <w:t> </w:t>
      </w:r>
      <w:r>
        <w:rPr/>
        <w:t>second</w:t>
      </w:r>
      <w:r>
        <w:rPr>
          <w:spacing w:val="7"/>
        </w:rPr>
        <w:t> </w:t>
      </w:r>
      <w:r>
        <w:rPr/>
        <w:t>after</w:t>
      </w:r>
      <w:r>
        <w:rPr>
          <w:spacing w:val="6"/>
        </w:rPr>
        <w:t> </w:t>
      </w:r>
      <w:r>
        <w:rPr/>
        <w:t>the</w:t>
      </w:r>
      <w:r>
        <w:rPr>
          <w:spacing w:val="7"/>
        </w:rPr>
        <w:t> </w:t>
      </w:r>
      <w:r>
        <w:rPr/>
        <w:t>baseline</w:t>
      </w:r>
      <w:r>
        <w:rPr>
          <w:spacing w:val="4"/>
        </w:rPr>
        <w:t> </w:t>
      </w:r>
      <w:r>
        <w:rPr/>
        <w:t>CLT.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40" w:right="417"/>
        <w:jc w:val="both"/>
      </w:pPr>
      <w:r>
        <w:rPr/>
        <w:t>For the cost per weight, the third best BCR is the mild steel plate ECLT while for the cost</w:t>
      </w:r>
      <w:r>
        <w:rPr>
          <w:spacing w:val="-57"/>
        </w:rPr>
        <w:t> </w:t>
      </w:r>
      <w:r>
        <w:rPr/>
        <w:t>per area, the third ranked BCR is the consolidated 4-ply fiberglass fabric ECLT.</w:t>
      </w:r>
      <w:r>
        <w:rPr>
          <w:spacing w:val="1"/>
        </w:rPr>
        <w:t> </w:t>
      </w:r>
      <w:r>
        <w:rPr/>
        <w:t>If the</w:t>
      </w:r>
      <w:r>
        <w:rPr>
          <w:spacing w:val="1"/>
        </w:rPr>
        <w:t> </w:t>
      </w:r>
      <w:r>
        <w:rPr/>
        <w:t>need</w:t>
      </w:r>
      <w:r>
        <w:rPr>
          <w:spacing w:val="-6"/>
        </w:rPr>
        <w:t> </w:t>
      </w:r>
      <w:r>
        <w:rPr/>
        <w:t>for</w:t>
      </w:r>
      <w:r>
        <w:rPr>
          <w:spacing w:val="-5"/>
        </w:rPr>
        <w:t> </w:t>
      </w:r>
      <w:r>
        <w:rPr/>
        <w:t>ballistic</w:t>
      </w:r>
      <w:r>
        <w:rPr>
          <w:spacing w:val="-5"/>
        </w:rPr>
        <w:t> </w:t>
      </w:r>
      <w:r>
        <w:rPr/>
        <w:t>resistance</w:t>
      </w:r>
      <w:r>
        <w:rPr>
          <w:spacing w:val="-5"/>
        </w:rPr>
        <w:t> </w:t>
      </w:r>
      <w:r>
        <w:rPr/>
        <w:t>to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specified</w:t>
      </w:r>
      <w:r>
        <w:rPr>
          <w:spacing w:val="-5"/>
        </w:rPr>
        <w:t> </w:t>
      </w:r>
      <w:r>
        <w:rPr/>
        <w:t>threat</w:t>
      </w:r>
      <w:r>
        <w:rPr>
          <w:spacing w:val="-5"/>
        </w:rPr>
        <w:t> </w:t>
      </w:r>
      <w:r>
        <w:rPr/>
        <w:t>were</w:t>
      </w:r>
      <w:r>
        <w:rPr>
          <w:spacing w:val="-6"/>
        </w:rPr>
        <w:t> </w:t>
      </w:r>
      <w:r>
        <w:rPr/>
        <w:t>a</w:t>
      </w:r>
      <w:r>
        <w:rPr>
          <w:spacing w:val="-5"/>
        </w:rPr>
        <w:t> </w:t>
      </w:r>
      <w:r>
        <w:rPr/>
        <w:t>requirement</w:t>
      </w:r>
      <w:r>
        <w:rPr>
          <w:spacing w:val="-5"/>
        </w:rPr>
        <w:t> </w:t>
      </w:r>
      <w:r>
        <w:rPr/>
        <w:t>to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building</w:t>
      </w:r>
      <w:r>
        <w:rPr>
          <w:spacing w:val="-5"/>
        </w:rPr>
        <w:t> </w:t>
      </w:r>
      <w:r>
        <w:rPr/>
        <w:t>design,</w:t>
      </w:r>
      <w:r>
        <w:rPr>
          <w:spacing w:val="-58"/>
        </w:rPr>
        <w:t> </w:t>
      </w:r>
      <w:r>
        <w:rPr/>
        <w:t>then materials not meeting that resistance level could be eliminated as options.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example, if the 0.50-in. sphere with a striking velocity of 2,500 fps (762 m/s) were the</w:t>
      </w:r>
      <w:r>
        <w:rPr>
          <w:spacing w:val="1"/>
        </w:rPr>
        <w:t> </w:t>
      </w:r>
      <w:r>
        <w:rPr/>
        <w:t>specified threat and the requirement was no perforations, then the baseline CLT and both</w:t>
      </w:r>
      <w:r>
        <w:rPr>
          <w:spacing w:val="1"/>
        </w:rPr>
        <w:t> </w:t>
      </w:r>
      <w:r>
        <w:rPr/>
        <w:t>4-ply fiberglass fabric ECLT versions would be eliminated.</w:t>
      </w:r>
      <w:r>
        <w:rPr>
          <w:spacing w:val="1"/>
        </w:rPr>
        <w:t> </w:t>
      </w:r>
      <w:r>
        <w:rPr/>
        <w:t>This criteria would make the</w:t>
      </w:r>
      <w:r>
        <w:rPr>
          <w:spacing w:val="-57"/>
        </w:rPr>
        <w:t> </w:t>
      </w:r>
      <w:r>
        <w:rPr/>
        <w:t>mild steel plate ECLT the best option for cost by weight and the aramid epoxy panel the</w:t>
      </w:r>
      <w:r>
        <w:rPr>
          <w:spacing w:val="1"/>
        </w:rPr>
        <w:t> </w:t>
      </w:r>
      <w:r>
        <w:rPr/>
        <w:t>top</w:t>
      </w:r>
      <w:r>
        <w:rPr>
          <w:spacing w:val="-1"/>
        </w:rPr>
        <w:t> </w:t>
      </w:r>
      <w:r>
        <w:rPr/>
        <w:t>choice for cost by area.</w:t>
      </w:r>
    </w:p>
    <w:p>
      <w:pPr>
        <w:pStyle w:val="BodyText"/>
        <w:spacing w:line="480" w:lineRule="auto" w:before="160"/>
        <w:ind w:left="439" w:right="416" w:firstLine="720"/>
        <w:jc w:val="both"/>
      </w:pPr>
      <w:r>
        <w:rPr/>
        <w:t>A variation to the benefit cost ratio assessment would be the incorporation of</w:t>
      </w:r>
      <w:r>
        <w:rPr>
          <w:spacing w:val="1"/>
        </w:rPr>
        <w:t> </w:t>
      </w:r>
      <w:r>
        <w:rPr/>
        <w:t>additional</w:t>
      </w:r>
      <w:r>
        <w:rPr>
          <w:spacing w:val="-9"/>
        </w:rPr>
        <w:t> </w:t>
      </w:r>
      <w:r>
        <w:rPr/>
        <w:t>factors</w:t>
      </w:r>
      <w:r>
        <w:rPr>
          <w:spacing w:val="-8"/>
        </w:rPr>
        <w:t> </w:t>
      </w:r>
      <w:r>
        <w:rPr/>
        <w:t>beyond</w:t>
      </w:r>
      <w:r>
        <w:rPr>
          <w:spacing w:val="-10"/>
        </w:rPr>
        <w:t> </w:t>
      </w:r>
      <w:r>
        <w:rPr/>
        <w:t>just</w:t>
      </w:r>
      <w:r>
        <w:rPr>
          <w:spacing w:val="-8"/>
        </w:rPr>
        <w:t> </w:t>
      </w:r>
      <w:r>
        <w:rPr/>
        <w:t>cost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/>
        <w:t>this</w:t>
      </w:r>
      <w:r>
        <w:rPr>
          <w:spacing w:val="-8"/>
        </w:rPr>
        <w:t> </w:t>
      </w:r>
      <w:r>
        <w:rPr/>
        <w:t>simplified</w:t>
      </w:r>
      <w:r>
        <w:rPr>
          <w:spacing w:val="-9"/>
        </w:rPr>
        <w:t> </w:t>
      </w:r>
      <w:r>
        <w:rPr/>
        <w:t>ballistic</w:t>
      </w:r>
      <w:r>
        <w:rPr>
          <w:spacing w:val="-11"/>
        </w:rPr>
        <w:t> </w:t>
      </w:r>
      <w:r>
        <w:rPr/>
        <w:t>resistance</w:t>
      </w:r>
      <w:r>
        <w:rPr>
          <w:spacing w:val="-10"/>
        </w:rPr>
        <w:t> </w:t>
      </w:r>
      <w:r>
        <w:rPr/>
        <w:t>ranking.</w:t>
      </w:r>
      <w:r>
        <w:rPr>
          <w:spacing w:val="43"/>
        </w:rPr>
        <w:t> </w:t>
      </w:r>
      <w:r>
        <w:rPr/>
        <w:t>Another</w:t>
      </w:r>
      <w:r>
        <w:rPr>
          <w:spacing w:val="-58"/>
        </w:rPr>
        <w:t> </w:t>
      </w:r>
      <w:r>
        <w:rPr/>
        <w:t>option would be to weight the costs or benefits depending on their relative importance.</w:t>
      </w:r>
      <w:r>
        <w:rPr>
          <w:spacing w:val="1"/>
        </w:rPr>
        <w:t> </w:t>
      </w:r>
      <w:r>
        <w:rPr/>
        <w:t>If</w:t>
      </w:r>
      <w:r>
        <w:rPr>
          <w:spacing w:val="-57"/>
        </w:rPr>
        <w:t> </w:t>
      </w:r>
      <w:r>
        <w:rPr/>
        <w:t>the cost is less important and the ballistic resistance is very important than the ballistic</w:t>
      </w:r>
      <w:r>
        <w:rPr>
          <w:spacing w:val="1"/>
        </w:rPr>
        <w:t> </w:t>
      </w:r>
      <w:r>
        <w:rPr/>
        <w:t>ranking could be multiplied by two and the cost ranking multiplied by 0.5 as shown in</w:t>
      </w:r>
      <w:r>
        <w:rPr>
          <w:spacing w:val="1"/>
        </w:rPr>
        <w:t> </w:t>
      </w:r>
      <w:r>
        <w:rPr/>
        <w:t>weighted version A of </w:t>
      </w:r>
      <w:hyperlink w:history="true" w:anchor="_bookmark169">
        <w:r>
          <w:rPr/>
          <w:t>Table 7-15</w:t>
        </w:r>
      </w:hyperlink>
      <w:r>
        <w:rPr/>
        <w:t>.</w:t>
      </w:r>
      <w:r>
        <w:rPr>
          <w:spacing w:val="1"/>
        </w:rPr>
        <w:t> </w:t>
      </w:r>
      <w:r>
        <w:rPr/>
        <w:t>Conversely, if cost were more important, it could be</w:t>
      </w:r>
      <w:r>
        <w:rPr>
          <w:spacing w:val="1"/>
        </w:rPr>
        <w:t> </w:t>
      </w:r>
      <w:r>
        <w:rPr/>
        <w:t>weighted with a value over one and the ballistic resistance could stay weighted as 1 or a</w:t>
      </w:r>
      <w:r>
        <w:rPr>
          <w:spacing w:val="1"/>
        </w:rPr>
        <w:t> </w:t>
      </w:r>
      <w:r>
        <w:rPr/>
        <w:t>value</w:t>
      </w:r>
      <w:r>
        <w:rPr>
          <w:spacing w:val="-10"/>
        </w:rPr>
        <w:t> </w:t>
      </w:r>
      <w:r>
        <w:rPr/>
        <w:t>less</w:t>
      </w:r>
      <w:r>
        <w:rPr>
          <w:spacing w:val="-11"/>
        </w:rPr>
        <w:t> </w:t>
      </w:r>
      <w:r>
        <w:rPr/>
        <w:t>than</w:t>
      </w:r>
      <w:r>
        <w:rPr>
          <w:spacing w:val="-10"/>
        </w:rPr>
        <w:t> </w:t>
      </w:r>
      <w:r>
        <w:rPr/>
        <w:t>one</w:t>
      </w:r>
      <w:r>
        <w:rPr>
          <w:spacing w:val="-10"/>
        </w:rPr>
        <w:t> </w:t>
      </w:r>
      <w:r>
        <w:rPr/>
        <w:t>as</w:t>
      </w:r>
      <w:r>
        <w:rPr>
          <w:spacing w:val="-10"/>
        </w:rPr>
        <w:t> </w:t>
      </w:r>
      <w:r>
        <w:rPr/>
        <w:t>shown</w:t>
      </w:r>
      <w:r>
        <w:rPr>
          <w:spacing w:val="-10"/>
        </w:rPr>
        <w:t> </w:t>
      </w:r>
      <w:r>
        <w:rPr/>
        <w:t>in</w:t>
      </w:r>
      <w:r>
        <w:rPr>
          <w:spacing w:val="-10"/>
        </w:rPr>
        <w:t> </w:t>
      </w:r>
      <w:r>
        <w:rPr/>
        <w:t>weight</w:t>
      </w:r>
      <w:r>
        <w:rPr>
          <w:spacing w:val="-9"/>
        </w:rPr>
        <w:t> </w:t>
      </w:r>
      <w:r>
        <w:rPr/>
        <w:t>version</w:t>
      </w:r>
      <w:r>
        <w:rPr>
          <w:spacing w:val="-9"/>
        </w:rPr>
        <w:t> </w:t>
      </w:r>
      <w:r>
        <w:rPr/>
        <w:t>B</w:t>
      </w:r>
      <w:r>
        <w:rPr>
          <w:spacing w:val="-12"/>
        </w:rPr>
        <w:t> </w:t>
      </w:r>
      <w:r>
        <w:rPr/>
        <w:t>of</w:t>
      </w:r>
      <w:r>
        <w:rPr>
          <w:spacing w:val="-11"/>
        </w:rPr>
        <w:t> </w:t>
      </w:r>
      <w:hyperlink w:history="true" w:anchor="_bookmark169">
        <w:r>
          <w:rPr/>
          <w:t>Table</w:t>
        </w:r>
        <w:r>
          <w:rPr>
            <w:spacing w:val="-9"/>
          </w:rPr>
          <w:t> </w:t>
        </w:r>
        <w:r>
          <w:rPr/>
          <w:t>7-15.</w:t>
        </w:r>
      </w:hyperlink>
      <w:r>
        <w:rPr>
          <w:spacing w:val="41"/>
        </w:rPr>
        <w:t> </w:t>
      </w:r>
      <w:r>
        <w:rPr/>
        <w:t>Stakeholders</w:t>
      </w:r>
      <w:r>
        <w:rPr>
          <w:spacing w:val="-10"/>
        </w:rPr>
        <w:t> </w:t>
      </w:r>
      <w:r>
        <w:rPr/>
        <w:t>in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design</w:t>
      </w:r>
      <w:r>
        <w:rPr>
          <w:spacing w:val="-58"/>
        </w:rPr>
        <w:t> </w:t>
      </w:r>
      <w:r>
        <w:rPr/>
        <w:t>and planning need to determine what evaluation criteria are important to include in the</w:t>
      </w:r>
      <w:r>
        <w:rPr>
          <w:spacing w:val="1"/>
        </w:rPr>
        <w:t> </w:t>
      </w:r>
      <w:r>
        <w:rPr/>
        <w:t>costs and benefits categories, how to best assess value to those criteria and what, if any,</w:t>
      </w:r>
      <w:r>
        <w:rPr>
          <w:spacing w:val="1"/>
        </w:rPr>
        <w:t> </w:t>
      </w:r>
      <w:r>
        <w:rPr/>
        <w:t>comparative</w:t>
      </w:r>
      <w:r>
        <w:rPr>
          <w:spacing w:val="-2"/>
        </w:rPr>
        <w:t> </w:t>
      </w:r>
      <w:r>
        <w:rPr/>
        <w:t>weights each</w:t>
      </w:r>
      <w:r>
        <w:rPr>
          <w:spacing w:val="-1"/>
        </w:rPr>
        <w:t> </w:t>
      </w:r>
      <w:r>
        <w:rPr/>
        <w:t>criteria should</w:t>
      </w:r>
      <w:r>
        <w:rPr>
          <w:spacing w:val="-1"/>
        </w:rPr>
        <w:t> </w:t>
      </w:r>
      <w:r>
        <w:rPr/>
        <w:t>have in</w:t>
      </w:r>
      <w:r>
        <w:rPr>
          <w:spacing w:val="-3"/>
        </w:rPr>
        <w:t> </w:t>
      </w:r>
      <w:r>
        <w:rPr/>
        <w:t>the final</w:t>
      </w:r>
      <w:r>
        <w:rPr>
          <w:spacing w:val="-1"/>
        </w:rPr>
        <w:t> </w:t>
      </w:r>
      <w:r>
        <w:rPr/>
        <w:t>benefit-cost ratio.</w:t>
      </w:r>
    </w:p>
    <w:p>
      <w:pPr>
        <w:pStyle w:val="BodyText"/>
        <w:spacing w:line="480" w:lineRule="auto" w:before="160"/>
        <w:ind w:left="440" w:right="418" w:firstLine="720"/>
        <w:jc w:val="both"/>
      </w:pPr>
      <w:r>
        <w:rPr/>
        <w:t>As</w:t>
      </w:r>
      <w:r>
        <w:rPr>
          <w:spacing w:val="-11"/>
        </w:rPr>
        <w:t> </w:t>
      </w:r>
      <w:r>
        <w:rPr/>
        <w:t>an</w:t>
      </w:r>
      <w:r>
        <w:rPr>
          <w:spacing w:val="-11"/>
        </w:rPr>
        <w:t> </w:t>
      </w:r>
      <w:r>
        <w:rPr/>
        <w:t>example</w:t>
      </w:r>
      <w:r>
        <w:rPr>
          <w:spacing w:val="-10"/>
        </w:rPr>
        <w:t> </w:t>
      </w:r>
      <w:r>
        <w:rPr/>
        <w:t>of</w:t>
      </w:r>
      <w:r>
        <w:rPr>
          <w:spacing w:val="-12"/>
        </w:rPr>
        <w:t> </w:t>
      </w:r>
      <w:r>
        <w:rPr/>
        <w:t>including</w:t>
      </w:r>
      <w:r>
        <w:rPr>
          <w:spacing w:val="-11"/>
        </w:rPr>
        <w:t> </w:t>
      </w:r>
      <w:r>
        <w:rPr/>
        <w:t>additional</w:t>
      </w:r>
      <w:r>
        <w:rPr>
          <w:spacing w:val="-9"/>
        </w:rPr>
        <w:t> </w:t>
      </w:r>
      <w:r>
        <w:rPr/>
        <w:t>criteria,</w:t>
      </w:r>
      <w:r>
        <w:rPr>
          <w:spacing w:val="-12"/>
        </w:rPr>
        <w:t> </w:t>
      </w:r>
      <w:r>
        <w:rPr/>
        <w:t>two</w:t>
      </w:r>
      <w:r>
        <w:rPr>
          <w:spacing w:val="-11"/>
        </w:rPr>
        <w:t> </w:t>
      </w:r>
      <w:r>
        <w:rPr/>
        <w:t>additional</w:t>
      </w:r>
      <w:r>
        <w:rPr>
          <w:spacing w:val="-9"/>
        </w:rPr>
        <w:t> </w:t>
      </w:r>
      <w:r>
        <w:rPr/>
        <w:t>costs</w:t>
      </w:r>
      <w:r>
        <w:rPr>
          <w:spacing w:val="-11"/>
        </w:rPr>
        <w:t> </w:t>
      </w:r>
      <w:r>
        <w:rPr/>
        <w:t>categories</w:t>
      </w:r>
      <w:r>
        <w:rPr>
          <w:spacing w:val="-11"/>
        </w:rPr>
        <w:t> </w:t>
      </w:r>
      <w:r>
        <w:rPr/>
        <w:t>were</w:t>
      </w:r>
      <w:r>
        <w:rPr>
          <w:spacing w:val="-57"/>
        </w:rPr>
        <w:t> </w:t>
      </w:r>
      <w:r>
        <w:rPr/>
        <w:t>ranked</w:t>
      </w:r>
      <w:r>
        <w:rPr>
          <w:spacing w:val="-11"/>
        </w:rPr>
        <w:t> </w:t>
      </w:r>
      <w:r>
        <w:rPr/>
        <w:t>for</w:t>
      </w:r>
      <w:r>
        <w:rPr>
          <w:spacing w:val="-11"/>
        </w:rPr>
        <w:t> </w:t>
      </w:r>
      <w:r>
        <w:rPr/>
        <w:t>the</w:t>
      </w:r>
      <w:r>
        <w:rPr>
          <w:spacing w:val="-10"/>
        </w:rPr>
        <w:t> </w:t>
      </w:r>
      <w:r>
        <w:rPr/>
        <w:t>different</w:t>
      </w:r>
      <w:r>
        <w:rPr>
          <w:spacing w:val="-10"/>
        </w:rPr>
        <w:t> </w:t>
      </w:r>
      <w:r>
        <w:rPr/>
        <w:t>material</w:t>
      </w:r>
      <w:r>
        <w:rPr>
          <w:spacing w:val="-11"/>
        </w:rPr>
        <w:t> </w:t>
      </w:r>
      <w:r>
        <w:rPr/>
        <w:t>options.</w:t>
      </w:r>
      <w:r>
        <w:rPr>
          <w:spacing w:val="40"/>
        </w:rPr>
        <w:t> </w:t>
      </w:r>
      <w:r>
        <w:rPr/>
        <w:t>The</w:t>
      </w:r>
      <w:r>
        <w:rPr>
          <w:spacing w:val="-11"/>
        </w:rPr>
        <w:t> </w:t>
      </w:r>
      <w:r>
        <w:rPr/>
        <w:t>two</w:t>
      </w:r>
      <w:r>
        <w:rPr>
          <w:spacing w:val="-11"/>
        </w:rPr>
        <w:t> </w:t>
      </w:r>
      <w:r>
        <w:rPr/>
        <w:t>added</w:t>
      </w:r>
      <w:r>
        <w:rPr>
          <w:spacing w:val="-11"/>
        </w:rPr>
        <w:t> </w:t>
      </w:r>
      <w:r>
        <w:rPr/>
        <w:t>measures</w:t>
      </w:r>
      <w:r>
        <w:rPr>
          <w:spacing w:val="-10"/>
        </w:rPr>
        <w:t> </w:t>
      </w:r>
      <w:r>
        <w:rPr/>
        <w:t>were</w:t>
      </w:r>
      <w:r>
        <w:rPr>
          <w:spacing w:val="-10"/>
        </w:rPr>
        <w:t> </w:t>
      </w:r>
      <w:r>
        <w:rPr/>
        <w:t>ease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production</w:t>
      </w:r>
      <w:r>
        <w:rPr>
          <w:spacing w:val="-58"/>
        </w:rPr>
        <w:t> </w:t>
      </w:r>
      <w:r>
        <w:rPr/>
        <w:t>and</w:t>
      </w:r>
      <w:r>
        <w:rPr>
          <w:spacing w:val="34"/>
        </w:rPr>
        <w:t> </w:t>
      </w:r>
      <w:r>
        <w:rPr/>
        <w:t>transportation</w:t>
      </w:r>
      <w:r>
        <w:rPr>
          <w:spacing w:val="35"/>
        </w:rPr>
        <w:t> </w:t>
      </w:r>
      <w:r>
        <w:rPr/>
        <w:t>cost.</w:t>
      </w:r>
      <w:r>
        <w:rPr>
          <w:spacing w:val="9"/>
        </w:rPr>
        <w:t> </w:t>
      </w:r>
      <w:r>
        <w:rPr/>
        <w:t>The</w:t>
      </w:r>
      <w:r>
        <w:rPr>
          <w:spacing w:val="36"/>
        </w:rPr>
        <w:t> </w:t>
      </w:r>
      <w:r>
        <w:rPr/>
        <w:t>materials</w:t>
      </w:r>
      <w:r>
        <w:rPr>
          <w:spacing w:val="35"/>
        </w:rPr>
        <w:t> </w:t>
      </w:r>
      <w:r>
        <w:rPr/>
        <w:t>were</w:t>
      </w:r>
      <w:r>
        <w:rPr>
          <w:spacing w:val="34"/>
        </w:rPr>
        <w:t> </w:t>
      </w:r>
      <w:r>
        <w:rPr/>
        <w:t>qualitatively</w:t>
      </w:r>
      <w:r>
        <w:rPr>
          <w:spacing w:val="33"/>
        </w:rPr>
        <w:t> </w:t>
      </w:r>
      <w:r>
        <w:rPr/>
        <w:t>ranked</w:t>
      </w:r>
      <w:r>
        <w:rPr>
          <w:spacing w:val="35"/>
        </w:rPr>
        <w:t> </w:t>
      </w:r>
      <w:r>
        <w:rPr/>
        <w:t>based</w:t>
      </w:r>
      <w:r>
        <w:rPr>
          <w:spacing w:val="35"/>
        </w:rPr>
        <w:t> </w:t>
      </w:r>
      <w:r>
        <w:rPr/>
        <w:t>on</w:t>
      </w:r>
      <w:r>
        <w:rPr>
          <w:spacing w:val="34"/>
        </w:rPr>
        <w:t> </w:t>
      </w:r>
      <w:r>
        <w:rPr/>
        <w:t>the</w:t>
      </w:r>
      <w:r>
        <w:rPr>
          <w:spacing w:val="35"/>
        </w:rPr>
        <w:t> </w:t>
      </w:r>
      <w:r>
        <w:rPr/>
        <w:t>ease</w:t>
      </w:r>
      <w:r>
        <w:rPr>
          <w:spacing w:val="35"/>
        </w:rPr>
        <w:t> </w:t>
      </w:r>
      <w:r>
        <w:rPr/>
        <w:t>of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39" w:right="417"/>
        <w:jc w:val="both"/>
      </w:pPr>
      <w:r>
        <w:rPr/>
        <w:t>production for the test specimen fabrication.</w:t>
      </w:r>
      <w:r>
        <w:rPr>
          <w:spacing w:val="1"/>
        </w:rPr>
        <w:t> </w:t>
      </w:r>
      <w:r>
        <w:rPr/>
        <w:t>The ranking for transportation costs was</w:t>
      </w:r>
      <w:r>
        <w:rPr>
          <w:spacing w:val="1"/>
        </w:rPr>
        <w:t> </w:t>
      </w:r>
      <w:r>
        <w:rPr/>
        <w:t>based on the weight of the materials with the heaviest having the highest cost and the</w:t>
      </w:r>
      <w:r>
        <w:rPr>
          <w:spacing w:val="1"/>
        </w:rPr>
        <w:t> </w:t>
      </w:r>
      <w:r>
        <w:rPr/>
        <w:t>lightest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lowest</w:t>
      </w:r>
      <w:r>
        <w:rPr>
          <w:spacing w:val="1"/>
        </w:rPr>
        <w:t> </w:t>
      </w:r>
      <w:r>
        <w:rPr/>
        <w:t>cost.</w:t>
      </w:r>
      <w:r>
        <w:rPr>
          <w:spacing w:val="1"/>
        </w:rPr>
        <w:t> </w:t>
      </w:r>
      <w:hyperlink w:history="true" w:anchor="_bookmark170">
        <w:r>
          <w:rPr/>
          <w:t>Table</w:t>
        </w:r>
        <w:r>
          <w:rPr>
            <w:spacing w:val="1"/>
          </w:rPr>
          <w:t> </w:t>
        </w:r>
        <w:r>
          <w:rPr/>
          <w:t>7-16</w:t>
        </w:r>
      </w:hyperlink>
      <w:r>
        <w:rPr>
          <w:spacing w:val="1"/>
        </w:rPr>
        <w:t> </w:t>
      </w:r>
      <w:r>
        <w:rPr/>
        <w:t>shows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cost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benefit</w:t>
      </w:r>
      <w:r>
        <w:rPr>
          <w:spacing w:val="1"/>
        </w:rPr>
        <w:t> </w:t>
      </w:r>
      <w:r>
        <w:rPr/>
        <w:t>standings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incorporated</w:t>
      </w:r>
      <w:r>
        <w:rPr>
          <w:spacing w:val="-3"/>
        </w:rPr>
        <w:t> </w:t>
      </w:r>
      <w:r>
        <w:rPr/>
        <w:t>criteria.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spacing w:before="231"/>
        <w:ind w:left="507" w:right="0" w:firstLine="0"/>
        <w:jc w:val="both"/>
        <w:rPr>
          <w:i/>
          <w:sz w:val="24"/>
        </w:rPr>
      </w:pPr>
      <w:bookmarkStart w:name="_bookmark169" w:id="500"/>
      <w:bookmarkEnd w:id="500"/>
      <w:r>
        <w:rPr/>
      </w:r>
      <w:r>
        <w:rPr>
          <w:i/>
          <w:sz w:val="24"/>
        </w:rPr>
        <w:t>Table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7-15.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Examples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weighted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benefit-cost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analysis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various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ECLT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versions.</w:t>
      </w:r>
    </w:p>
    <w:p>
      <w:pPr>
        <w:pStyle w:val="BodyText"/>
        <w:spacing w:before="5"/>
        <w:rPr>
          <w:i/>
          <w:sz w:val="17"/>
        </w:rPr>
      </w:pPr>
    </w:p>
    <w:tbl>
      <w:tblPr>
        <w:tblW w:w="0" w:type="auto"/>
        <w:jc w:val="left"/>
        <w:tblInd w:w="171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00"/>
        <w:gridCol w:w="1601"/>
        <w:gridCol w:w="1810"/>
      </w:tblGrid>
      <w:tr>
        <w:trPr>
          <w:trHeight w:val="1638" w:hRule="atLeast"/>
        </w:trPr>
        <w:tc>
          <w:tcPr>
            <w:tcW w:w="2700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C0C0C0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41"/>
              <w:ind w:left="575"/>
              <w:rPr>
                <w:b/>
                <w:sz w:val="22"/>
              </w:rPr>
            </w:pPr>
            <w:r>
              <w:rPr>
                <w:b/>
                <w:sz w:val="22"/>
              </w:rPr>
              <w:t>Enhancing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layer</w:t>
            </w:r>
          </w:p>
        </w:tc>
        <w:tc>
          <w:tcPr>
            <w:tcW w:w="160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0C0C0"/>
          </w:tcPr>
          <w:p>
            <w:pPr>
              <w:pStyle w:val="TableParagraph"/>
              <w:spacing w:before="5"/>
              <w:rPr>
                <w:i/>
                <w:sz w:val="32"/>
              </w:rPr>
            </w:pPr>
          </w:p>
          <w:p>
            <w:pPr>
              <w:pStyle w:val="TableParagraph"/>
              <w:spacing w:before="1"/>
              <w:ind w:left="148" w:right="130"/>
              <w:jc w:val="center"/>
              <w:rPr>
                <w:i/>
                <w:sz w:val="22"/>
              </w:rPr>
            </w:pPr>
            <w:r>
              <w:rPr>
                <w:b/>
                <w:sz w:val="22"/>
              </w:rPr>
              <w:t>Weighted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Version A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i/>
                <w:sz w:val="22"/>
              </w:rPr>
              <w:t>(Ballistic</w:t>
            </w:r>
            <w:r>
              <w:rPr>
                <w:i/>
                <w:spacing w:val="1"/>
                <w:sz w:val="22"/>
              </w:rPr>
              <w:t> </w:t>
            </w:r>
            <w:r>
              <w:rPr>
                <w:i/>
                <w:spacing w:val="-1"/>
                <w:sz w:val="22"/>
              </w:rPr>
              <w:t>Resistance</w:t>
            </w:r>
            <w:r>
              <w:rPr>
                <w:i/>
                <w:spacing w:val="-7"/>
                <w:sz w:val="22"/>
              </w:rPr>
              <w:t> </w:t>
            </w:r>
            <w:r>
              <w:rPr>
                <w:i/>
                <w:sz w:val="22"/>
              </w:rPr>
              <w:t>=2,</w:t>
            </w:r>
          </w:p>
          <w:p>
            <w:pPr>
              <w:pStyle w:val="TableParagraph"/>
              <w:spacing w:line="233" w:lineRule="exact"/>
              <w:ind w:left="147" w:right="130"/>
              <w:jc w:val="center"/>
              <w:rPr>
                <w:i/>
                <w:sz w:val="22"/>
              </w:rPr>
            </w:pPr>
            <w:r>
              <w:rPr>
                <w:i/>
                <w:sz w:val="22"/>
              </w:rPr>
              <w:t>cost/wt</w:t>
            </w:r>
            <w:r>
              <w:rPr>
                <w:i/>
                <w:spacing w:val="-7"/>
                <w:sz w:val="22"/>
              </w:rPr>
              <w:t> </w:t>
            </w:r>
            <w:r>
              <w:rPr>
                <w:i/>
                <w:sz w:val="22"/>
              </w:rPr>
              <w:t>=0.5)</w:t>
            </w:r>
          </w:p>
        </w:tc>
        <w:tc>
          <w:tcPr>
            <w:tcW w:w="181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C0C0C0"/>
          </w:tcPr>
          <w:p>
            <w:pPr>
              <w:pStyle w:val="TableParagraph"/>
              <w:spacing w:before="5"/>
              <w:rPr>
                <w:i/>
                <w:sz w:val="32"/>
              </w:rPr>
            </w:pPr>
          </w:p>
          <w:p>
            <w:pPr>
              <w:pStyle w:val="TableParagraph"/>
              <w:spacing w:before="1"/>
              <w:ind w:left="112" w:right="88" w:hanging="3"/>
              <w:jc w:val="center"/>
              <w:rPr>
                <w:i/>
                <w:sz w:val="22"/>
              </w:rPr>
            </w:pPr>
            <w:r>
              <w:rPr>
                <w:b/>
                <w:sz w:val="22"/>
              </w:rPr>
              <w:t>Weighted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Version B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i/>
                <w:sz w:val="22"/>
              </w:rPr>
              <w:t>(Ballistic</w:t>
            </w:r>
            <w:r>
              <w:rPr>
                <w:i/>
                <w:spacing w:val="1"/>
                <w:sz w:val="22"/>
              </w:rPr>
              <w:t> </w:t>
            </w:r>
            <w:r>
              <w:rPr>
                <w:i/>
                <w:sz w:val="22"/>
              </w:rPr>
              <w:t>resistance</w:t>
            </w:r>
            <w:r>
              <w:rPr>
                <w:i/>
                <w:spacing w:val="-3"/>
                <w:sz w:val="22"/>
              </w:rPr>
              <w:t> </w:t>
            </w:r>
            <w:r>
              <w:rPr>
                <w:i/>
                <w:sz w:val="22"/>
              </w:rPr>
              <w:t>=</w:t>
            </w:r>
            <w:r>
              <w:rPr>
                <w:i/>
                <w:spacing w:val="-4"/>
                <w:sz w:val="22"/>
              </w:rPr>
              <w:t> </w:t>
            </w:r>
            <w:r>
              <w:rPr>
                <w:i/>
                <w:sz w:val="22"/>
              </w:rPr>
              <w:t>0.75,</w:t>
            </w:r>
          </w:p>
          <w:p>
            <w:pPr>
              <w:pStyle w:val="TableParagraph"/>
              <w:spacing w:line="233" w:lineRule="exact"/>
              <w:ind w:left="274" w:right="255"/>
              <w:jc w:val="center"/>
              <w:rPr>
                <w:i/>
                <w:sz w:val="22"/>
              </w:rPr>
            </w:pPr>
            <w:r>
              <w:rPr>
                <w:i/>
                <w:sz w:val="22"/>
              </w:rPr>
              <w:t>cost/wt</w:t>
            </w:r>
            <w:r>
              <w:rPr>
                <w:i/>
                <w:spacing w:val="-2"/>
                <w:sz w:val="22"/>
              </w:rPr>
              <w:t> </w:t>
            </w:r>
            <w:r>
              <w:rPr>
                <w:i/>
                <w:sz w:val="22"/>
              </w:rPr>
              <w:t>=</w:t>
            </w:r>
            <w:r>
              <w:rPr>
                <w:i/>
                <w:spacing w:val="-3"/>
                <w:sz w:val="22"/>
              </w:rPr>
              <w:t> </w:t>
            </w:r>
            <w:r>
              <w:rPr>
                <w:i/>
                <w:sz w:val="22"/>
              </w:rPr>
              <w:t>1.5)</w:t>
            </w:r>
          </w:p>
        </w:tc>
      </w:tr>
      <w:tr>
        <w:trPr>
          <w:trHeight w:val="290" w:hRule="atLeast"/>
        </w:trPr>
        <w:tc>
          <w:tcPr>
            <w:tcW w:w="27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91"/>
              <w:jc w:val="right"/>
              <w:rPr>
                <w:sz w:val="22"/>
              </w:rPr>
            </w:pPr>
            <w:r>
              <w:rPr>
                <w:sz w:val="22"/>
              </w:rPr>
              <w:t>Perforated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Steel</w:t>
            </w:r>
          </w:p>
        </w:tc>
        <w:tc>
          <w:tcPr>
            <w:tcW w:w="1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91"/>
              <w:jc w:val="right"/>
              <w:rPr>
                <w:sz w:val="22"/>
              </w:rPr>
            </w:pPr>
            <w:r>
              <w:rPr>
                <w:sz w:val="22"/>
              </w:rPr>
              <w:t>0.71</w:t>
            </w:r>
          </w:p>
        </w:tc>
        <w:tc>
          <w:tcPr>
            <w:tcW w:w="1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86"/>
              <w:jc w:val="right"/>
              <w:rPr>
                <w:sz w:val="22"/>
              </w:rPr>
            </w:pPr>
            <w:r>
              <w:rPr>
                <w:sz w:val="22"/>
              </w:rPr>
              <w:t>0.80</w:t>
            </w:r>
          </w:p>
        </w:tc>
      </w:tr>
      <w:tr>
        <w:trPr>
          <w:trHeight w:val="289" w:hRule="atLeast"/>
        </w:trPr>
        <w:tc>
          <w:tcPr>
            <w:tcW w:w="27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91"/>
              <w:jc w:val="right"/>
              <w:rPr>
                <w:sz w:val="22"/>
              </w:rPr>
            </w:pPr>
            <w:r>
              <w:rPr>
                <w:sz w:val="22"/>
              </w:rPr>
              <w:t>Expanded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Metal</w:t>
            </w:r>
          </w:p>
        </w:tc>
        <w:tc>
          <w:tcPr>
            <w:tcW w:w="1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91"/>
              <w:jc w:val="right"/>
              <w:rPr>
                <w:sz w:val="22"/>
              </w:rPr>
            </w:pPr>
            <w:r>
              <w:rPr>
                <w:sz w:val="22"/>
              </w:rPr>
              <w:t>1.33</w:t>
            </w:r>
          </w:p>
        </w:tc>
        <w:tc>
          <w:tcPr>
            <w:tcW w:w="1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86"/>
              <w:jc w:val="right"/>
              <w:rPr>
                <w:sz w:val="22"/>
              </w:rPr>
            </w:pPr>
            <w:r>
              <w:rPr>
                <w:sz w:val="22"/>
              </w:rPr>
              <w:t>1.50</w:t>
            </w:r>
          </w:p>
        </w:tc>
      </w:tr>
      <w:tr>
        <w:trPr>
          <w:trHeight w:val="290" w:hRule="atLeast"/>
        </w:trPr>
        <w:tc>
          <w:tcPr>
            <w:tcW w:w="27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91"/>
              <w:jc w:val="right"/>
              <w:rPr>
                <w:sz w:val="22"/>
              </w:rPr>
            </w:pPr>
            <w:r>
              <w:rPr>
                <w:sz w:val="22"/>
              </w:rPr>
              <w:t>Aramid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Epoxy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Panel</w:t>
            </w:r>
          </w:p>
        </w:tc>
        <w:tc>
          <w:tcPr>
            <w:tcW w:w="1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91"/>
              <w:jc w:val="right"/>
              <w:rPr>
                <w:sz w:val="22"/>
              </w:rPr>
            </w:pPr>
            <w:r>
              <w:rPr>
                <w:sz w:val="22"/>
              </w:rPr>
              <w:t>0.75</w:t>
            </w:r>
          </w:p>
        </w:tc>
        <w:tc>
          <w:tcPr>
            <w:tcW w:w="1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86"/>
              <w:jc w:val="right"/>
              <w:rPr>
                <w:sz w:val="22"/>
              </w:rPr>
            </w:pPr>
            <w:r>
              <w:rPr>
                <w:sz w:val="22"/>
              </w:rPr>
              <w:t>0.84</w:t>
            </w:r>
          </w:p>
        </w:tc>
      </w:tr>
      <w:tr>
        <w:trPr>
          <w:trHeight w:val="290" w:hRule="atLeast"/>
        </w:trPr>
        <w:tc>
          <w:tcPr>
            <w:tcW w:w="27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92"/>
              <w:jc w:val="right"/>
              <w:rPr>
                <w:sz w:val="22"/>
              </w:rPr>
            </w:pPr>
            <w:r>
              <w:rPr>
                <w:sz w:val="22"/>
              </w:rPr>
              <w:t>Mild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Steel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Plate</w:t>
            </w:r>
          </w:p>
        </w:tc>
        <w:tc>
          <w:tcPr>
            <w:tcW w:w="1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91"/>
              <w:jc w:val="right"/>
              <w:rPr>
                <w:sz w:val="22"/>
              </w:rPr>
            </w:pPr>
            <w:r>
              <w:rPr>
                <w:sz w:val="22"/>
              </w:rPr>
              <w:t>1.50</w:t>
            </w:r>
          </w:p>
        </w:tc>
        <w:tc>
          <w:tcPr>
            <w:tcW w:w="1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86"/>
              <w:jc w:val="right"/>
              <w:rPr>
                <w:sz w:val="22"/>
              </w:rPr>
            </w:pPr>
            <w:r>
              <w:rPr>
                <w:sz w:val="22"/>
              </w:rPr>
              <w:t>1.69</w:t>
            </w:r>
          </w:p>
        </w:tc>
      </w:tr>
      <w:tr>
        <w:trPr>
          <w:trHeight w:val="289" w:hRule="atLeast"/>
        </w:trPr>
        <w:tc>
          <w:tcPr>
            <w:tcW w:w="27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92"/>
              <w:jc w:val="right"/>
              <w:rPr>
                <w:sz w:val="22"/>
              </w:rPr>
            </w:pPr>
            <w:r>
              <w:rPr>
                <w:sz w:val="22"/>
              </w:rPr>
              <w:t>High-hard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Plate</w:t>
            </w:r>
          </w:p>
        </w:tc>
        <w:tc>
          <w:tcPr>
            <w:tcW w:w="1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91"/>
              <w:jc w:val="right"/>
              <w:rPr>
                <w:sz w:val="22"/>
              </w:rPr>
            </w:pPr>
            <w:r>
              <w:rPr>
                <w:sz w:val="22"/>
              </w:rPr>
              <w:t>0.50</w:t>
            </w:r>
          </w:p>
        </w:tc>
        <w:tc>
          <w:tcPr>
            <w:tcW w:w="1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86"/>
              <w:jc w:val="right"/>
              <w:rPr>
                <w:sz w:val="22"/>
              </w:rPr>
            </w:pPr>
            <w:r>
              <w:rPr>
                <w:sz w:val="22"/>
              </w:rPr>
              <w:t>0.56</w:t>
            </w:r>
          </w:p>
        </w:tc>
      </w:tr>
      <w:tr>
        <w:trPr>
          <w:trHeight w:val="290" w:hRule="atLeast"/>
        </w:trPr>
        <w:tc>
          <w:tcPr>
            <w:tcW w:w="27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93"/>
              <w:jc w:val="right"/>
              <w:rPr>
                <w:sz w:val="22"/>
              </w:rPr>
            </w:pPr>
            <w:r>
              <w:rPr>
                <w:sz w:val="22"/>
              </w:rPr>
              <w:t>UHMWPE</w:t>
            </w:r>
          </w:p>
        </w:tc>
        <w:tc>
          <w:tcPr>
            <w:tcW w:w="1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91"/>
              <w:jc w:val="right"/>
              <w:rPr>
                <w:sz w:val="22"/>
              </w:rPr>
            </w:pPr>
            <w:r>
              <w:rPr>
                <w:sz w:val="22"/>
              </w:rPr>
              <w:t>0.11</w:t>
            </w:r>
          </w:p>
        </w:tc>
        <w:tc>
          <w:tcPr>
            <w:tcW w:w="1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86"/>
              <w:jc w:val="right"/>
              <w:rPr>
                <w:sz w:val="22"/>
              </w:rPr>
            </w:pPr>
            <w:r>
              <w:rPr>
                <w:sz w:val="22"/>
              </w:rPr>
              <w:t>0.13</w:t>
            </w:r>
          </w:p>
        </w:tc>
      </w:tr>
      <w:tr>
        <w:trPr>
          <w:trHeight w:val="290" w:hRule="atLeast"/>
        </w:trPr>
        <w:tc>
          <w:tcPr>
            <w:tcW w:w="27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90"/>
              <w:jc w:val="right"/>
              <w:rPr>
                <w:sz w:val="22"/>
              </w:rPr>
            </w:pPr>
            <w:r>
              <w:rPr>
                <w:sz w:val="22"/>
              </w:rPr>
              <w:t>Fiberglass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fabric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(4-ply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x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1)</w:t>
            </w:r>
          </w:p>
        </w:tc>
        <w:tc>
          <w:tcPr>
            <w:tcW w:w="1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91"/>
              <w:jc w:val="right"/>
              <w:rPr>
                <w:sz w:val="22"/>
              </w:rPr>
            </w:pPr>
            <w:r>
              <w:rPr>
                <w:sz w:val="22"/>
              </w:rPr>
              <w:t>1.40</w:t>
            </w:r>
          </w:p>
        </w:tc>
        <w:tc>
          <w:tcPr>
            <w:tcW w:w="1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86"/>
              <w:jc w:val="right"/>
              <w:rPr>
                <w:sz w:val="22"/>
              </w:rPr>
            </w:pPr>
            <w:r>
              <w:rPr>
                <w:sz w:val="22"/>
              </w:rPr>
              <w:t>1.58</w:t>
            </w:r>
          </w:p>
        </w:tc>
      </w:tr>
      <w:tr>
        <w:trPr>
          <w:trHeight w:val="289" w:hRule="atLeast"/>
        </w:trPr>
        <w:tc>
          <w:tcPr>
            <w:tcW w:w="27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90"/>
              <w:jc w:val="right"/>
              <w:rPr>
                <w:sz w:val="22"/>
              </w:rPr>
            </w:pPr>
            <w:r>
              <w:rPr>
                <w:sz w:val="22"/>
              </w:rPr>
              <w:t>Fiberglass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fabric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(1-ply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x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4)</w:t>
            </w:r>
          </w:p>
        </w:tc>
        <w:tc>
          <w:tcPr>
            <w:tcW w:w="1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91"/>
              <w:jc w:val="right"/>
              <w:rPr>
                <w:sz w:val="22"/>
              </w:rPr>
            </w:pPr>
            <w:r>
              <w:rPr>
                <w:sz w:val="22"/>
              </w:rPr>
              <w:t>1.60</w:t>
            </w:r>
          </w:p>
        </w:tc>
        <w:tc>
          <w:tcPr>
            <w:tcW w:w="1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86"/>
              <w:jc w:val="right"/>
              <w:rPr>
                <w:sz w:val="22"/>
              </w:rPr>
            </w:pPr>
            <w:r>
              <w:rPr>
                <w:sz w:val="22"/>
              </w:rPr>
              <w:t>1.80</w:t>
            </w:r>
          </w:p>
        </w:tc>
      </w:tr>
      <w:tr>
        <w:trPr>
          <w:trHeight w:val="299" w:hRule="atLeast"/>
        </w:trPr>
        <w:tc>
          <w:tcPr>
            <w:tcW w:w="2700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45"/>
              <w:ind w:right="92"/>
              <w:jc w:val="right"/>
              <w:rPr>
                <w:sz w:val="22"/>
              </w:rPr>
            </w:pPr>
            <w:r>
              <w:rPr>
                <w:sz w:val="22"/>
              </w:rPr>
              <w:t>Baseline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CLT</w:t>
            </w:r>
          </w:p>
        </w:tc>
        <w:tc>
          <w:tcPr>
            <w:tcW w:w="160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45"/>
              <w:ind w:right="91"/>
              <w:jc w:val="right"/>
              <w:rPr>
                <w:sz w:val="22"/>
              </w:rPr>
            </w:pPr>
            <w:r>
              <w:rPr>
                <w:sz w:val="22"/>
              </w:rPr>
              <w:t>9.00</w:t>
            </w:r>
          </w:p>
        </w:tc>
        <w:tc>
          <w:tcPr>
            <w:tcW w:w="1810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234" w:lineRule="exact" w:before="45"/>
              <w:ind w:right="87"/>
              <w:jc w:val="right"/>
              <w:rPr>
                <w:sz w:val="22"/>
              </w:rPr>
            </w:pPr>
            <w:r>
              <w:rPr>
                <w:sz w:val="22"/>
              </w:rPr>
              <w:t>10.13</w:t>
            </w:r>
          </w:p>
        </w:tc>
      </w:tr>
    </w:tbl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229"/>
        <w:ind w:left="440" w:right="417" w:firstLine="840"/>
        <w:jc w:val="both"/>
      </w:pPr>
      <w:r>
        <w:rPr/>
        <w:t>Two BCR were then calculated.</w:t>
      </w:r>
      <w:r>
        <w:rPr>
          <w:spacing w:val="1"/>
        </w:rPr>
        <w:t> </w:t>
      </w:r>
      <w:r>
        <w:rPr/>
        <w:t>Now, with three cost factors each needs to be</w:t>
      </w:r>
      <w:r>
        <w:rPr>
          <w:spacing w:val="1"/>
        </w:rPr>
        <w:t> </w:t>
      </w:r>
      <w:r>
        <w:rPr/>
        <w:t>multiplied by a percentage for the ratio.</w:t>
      </w:r>
      <w:r>
        <w:rPr>
          <w:spacing w:val="1"/>
        </w:rPr>
        <w:t> </w:t>
      </w:r>
      <w:r>
        <w:rPr/>
        <w:t>In this example, one option, Option A, weighted</w:t>
      </w:r>
      <w:r>
        <w:rPr>
          <w:spacing w:val="1"/>
        </w:rPr>
        <w:t> </w:t>
      </w:r>
      <w:r>
        <w:rPr/>
        <w:t>the</w:t>
      </w:r>
      <w:r>
        <w:rPr>
          <w:spacing w:val="-6"/>
        </w:rPr>
        <w:t> </w:t>
      </w:r>
      <w:r>
        <w:rPr/>
        <w:t>three</w:t>
      </w:r>
      <w:r>
        <w:rPr>
          <w:spacing w:val="-6"/>
        </w:rPr>
        <w:t> </w:t>
      </w:r>
      <w:r>
        <w:rPr/>
        <w:t>cost</w:t>
      </w:r>
      <w:r>
        <w:rPr>
          <w:spacing w:val="-5"/>
        </w:rPr>
        <w:t> </w:t>
      </w:r>
      <w:r>
        <w:rPr/>
        <w:t>criteria</w:t>
      </w:r>
      <w:r>
        <w:rPr>
          <w:spacing w:val="-6"/>
        </w:rPr>
        <w:t> </w:t>
      </w:r>
      <w:r>
        <w:rPr/>
        <w:t>unevenly</w:t>
      </w:r>
      <w:r>
        <w:rPr>
          <w:spacing w:val="-6"/>
        </w:rPr>
        <w:t> </w:t>
      </w:r>
      <w:r>
        <w:rPr/>
        <w:t>with</w:t>
      </w:r>
      <w:r>
        <w:rPr>
          <w:spacing w:val="-5"/>
        </w:rPr>
        <w:t> </w:t>
      </w:r>
      <w:r>
        <w:rPr/>
        <w:t>product</w:t>
      </w:r>
      <w:r>
        <w:rPr>
          <w:spacing w:val="-6"/>
        </w:rPr>
        <w:t> </w:t>
      </w:r>
      <w:r>
        <w:rPr/>
        <w:t>cost</w:t>
      </w:r>
      <w:r>
        <w:rPr>
          <w:spacing w:val="-5"/>
        </w:rPr>
        <w:t> </w:t>
      </w:r>
      <w:r>
        <w:rPr/>
        <w:t>as</w:t>
      </w:r>
      <w:r>
        <w:rPr>
          <w:spacing w:val="-6"/>
        </w:rPr>
        <w:t> </w:t>
      </w:r>
      <w:r>
        <w:rPr/>
        <w:t>0.5,</w:t>
      </w:r>
      <w:r>
        <w:rPr>
          <w:spacing w:val="-6"/>
        </w:rPr>
        <w:t> </w:t>
      </w:r>
      <w:r>
        <w:rPr/>
        <w:t>transportation</w:t>
      </w:r>
      <w:r>
        <w:rPr>
          <w:spacing w:val="-5"/>
        </w:rPr>
        <w:t> </w:t>
      </w:r>
      <w:r>
        <w:rPr/>
        <w:t>cost</w:t>
      </w:r>
      <w:r>
        <w:rPr>
          <w:spacing w:val="-7"/>
        </w:rPr>
        <w:t> </w:t>
      </w:r>
      <w:r>
        <w:rPr/>
        <w:t>as</w:t>
      </w:r>
      <w:r>
        <w:rPr>
          <w:spacing w:val="-5"/>
        </w:rPr>
        <w:t> </w:t>
      </w:r>
      <w:r>
        <w:rPr/>
        <w:t>0.3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ease</w:t>
      </w:r>
      <w:r>
        <w:rPr>
          <w:spacing w:val="-57"/>
        </w:rPr>
        <w:t> </w:t>
      </w:r>
      <w:r>
        <w:rPr/>
        <w:t>of</w:t>
      </w:r>
      <w:r>
        <w:rPr>
          <w:spacing w:val="-3"/>
        </w:rPr>
        <w:t> </w:t>
      </w:r>
      <w:r>
        <w:rPr/>
        <w:t>production</w:t>
      </w:r>
      <w:r>
        <w:rPr>
          <w:spacing w:val="-3"/>
        </w:rPr>
        <w:t> </w:t>
      </w:r>
      <w:r>
        <w:rPr/>
        <w:t>as</w:t>
      </w:r>
      <w:r>
        <w:rPr>
          <w:spacing w:val="-2"/>
        </w:rPr>
        <w:t> </w:t>
      </w:r>
      <w:r>
        <w:rPr/>
        <w:t>0.2,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the</w:t>
      </w:r>
      <w:r>
        <w:rPr>
          <w:spacing w:val="-2"/>
        </w:rPr>
        <w:t> </w:t>
      </w:r>
      <w:r>
        <w:rPr/>
        <w:t>other,</w:t>
      </w:r>
      <w:r>
        <w:rPr>
          <w:spacing w:val="-3"/>
        </w:rPr>
        <w:t> </w:t>
      </w:r>
      <w:r>
        <w:rPr/>
        <w:t>Option</w:t>
      </w:r>
      <w:r>
        <w:rPr>
          <w:spacing w:val="-3"/>
        </w:rPr>
        <w:t> </w:t>
      </w:r>
      <w:r>
        <w:rPr/>
        <w:t>B,</w:t>
      </w:r>
      <w:r>
        <w:rPr>
          <w:spacing w:val="-3"/>
        </w:rPr>
        <w:t> </w:t>
      </w:r>
      <w:r>
        <w:rPr/>
        <w:t>evenly</w:t>
      </w:r>
      <w:r>
        <w:rPr>
          <w:spacing w:val="-3"/>
        </w:rPr>
        <w:t> </w:t>
      </w:r>
      <w:r>
        <w:rPr/>
        <w:t>weighted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three</w:t>
      </w:r>
      <w:r>
        <w:rPr>
          <w:spacing w:val="-2"/>
        </w:rPr>
        <w:t> </w:t>
      </w:r>
      <w:r>
        <w:rPr/>
        <w:t>parameters</w:t>
      </w:r>
      <w:r>
        <w:rPr>
          <w:spacing w:val="-2"/>
        </w:rPr>
        <w:t> </w:t>
      </w:r>
      <w:r>
        <w:rPr/>
        <w:t>with</w:t>
      </w:r>
      <w:r>
        <w:rPr>
          <w:spacing w:val="-3"/>
        </w:rPr>
        <w:t> </w:t>
      </w:r>
      <w:r>
        <w:rPr/>
        <w:t>a</w:t>
      </w:r>
    </w:p>
    <w:p>
      <w:pPr>
        <w:pStyle w:val="BodyText"/>
        <w:spacing w:line="480" w:lineRule="auto"/>
        <w:ind w:left="440" w:right="419"/>
        <w:jc w:val="both"/>
      </w:pPr>
      <w:r>
        <w:rPr/>
        <w:t>0.33 multiplier for each cost.</w:t>
      </w:r>
      <w:r>
        <w:rPr>
          <w:spacing w:val="1"/>
        </w:rPr>
        <w:t> </w:t>
      </w:r>
      <w:r>
        <w:rPr/>
        <w:t>The multiplier is another way of weighting contributing</w:t>
      </w:r>
      <w:r>
        <w:rPr>
          <w:spacing w:val="1"/>
        </w:rPr>
        <w:t> </w:t>
      </w:r>
      <w:r>
        <w:rPr/>
        <w:t>factors.</w:t>
      </w:r>
      <w:r>
        <w:rPr>
          <w:spacing w:val="1"/>
        </w:rPr>
        <w:t> </w:t>
      </w:r>
      <w:r>
        <w:rPr/>
        <w:t>For the uneven cost weights, the multipliers made the product cost the most</w:t>
      </w:r>
      <w:r>
        <w:rPr>
          <w:spacing w:val="1"/>
        </w:rPr>
        <w:t> </w:t>
      </w:r>
      <w:r>
        <w:rPr/>
        <w:t>important</w:t>
      </w:r>
      <w:r>
        <w:rPr>
          <w:spacing w:val="-7"/>
        </w:rPr>
        <w:t> </w:t>
      </w:r>
      <w:r>
        <w:rPr/>
        <w:t>with</w:t>
      </w:r>
      <w:r>
        <w:rPr>
          <w:spacing w:val="-6"/>
        </w:rPr>
        <w:t> </w:t>
      </w:r>
      <w:r>
        <w:rPr/>
        <w:t>half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weight</w:t>
      </w:r>
      <w:r>
        <w:rPr>
          <w:spacing w:val="-6"/>
        </w:rPr>
        <w:t> </w:t>
      </w:r>
      <w:r>
        <w:rPr/>
        <w:t>and</w:t>
      </w:r>
      <w:r>
        <w:rPr>
          <w:spacing w:val="-7"/>
        </w:rPr>
        <w:t> </w:t>
      </w:r>
      <w:r>
        <w:rPr/>
        <w:t>then</w:t>
      </w:r>
      <w:r>
        <w:rPr>
          <w:spacing w:val="-6"/>
        </w:rPr>
        <w:t> </w:t>
      </w:r>
      <w:r>
        <w:rPr/>
        <w:t>transportation</w:t>
      </w:r>
      <w:r>
        <w:rPr>
          <w:spacing w:val="-6"/>
        </w:rPr>
        <w:t> </w:t>
      </w:r>
      <w:r>
        <w:rPr/>
        <w:t>cost</w:t>
      </w:r>
      <w:r>
        <w:rPr>
          <w:spacing w:val="-7"/>
        </w:rPr>
        <w:t> </w:t>
      </w:r>
      <w:r>
        <w:rPr/>
        <w:t>slightly</w:t>
      </w:r>
      <w:r>
        <w:rPr>
          <w:spacing w:val="-6"/>
        </w:rPr>
        <w:t> </w:t>
      </w:r>
      <w:r>
        <w:rPr/>
        <w:t>more</w:t>
      </w:r>
      <w:r>
        <w:rPr>
          <w:spacing w:val="-6"/>
        </w:rPr>
        <w:t> </w:t>
      </w:r>
      <w:r>
        <w:rPr/>
        <w:t>important</w:t>
      </w:r>
      <w:r>
        <w:rPr>
          <w:spacing w:val="-6"/>
        </w:rPr>
        <w:t> </w:t>
      </w:r>
      <w:r>
        <w:rPr/>
        <w:t>than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40" w:right="403"/>
      </w:pPr>
      <w:r>
        <w:rPr/>
        <w:t>the</w:t>
      </w:r>
      <w:r>
        <w:rPr>
          <w:spacing w:val="4"/>
        </w:rPr>
        <w:t> </w:t>
      </w:r>
      <w:r>
        <w:rPr/>
        <w:t>ease</w:t>
      </w:r>
      <w:r>
        <w:rPr>
          <w:spacing w:val="4"/>
        </w:rPr>
        <w:t> </w:t>
      </w:r>
      <w:r>
        <w:rPr/>
        <w:t>of</w:t>
      </w:r>
      <w:r>
        <w:rPr>
          <w:spacing w:val="3"/>
        </w:rPr>
        <w:t> </w:t>
      </w:r>
      <w:r>
        <w:rPr/>
        <w:t>production.</w:t>
      </w:r>
      <w:r>
        <w:rPr>
          <w:spacing w:val="9"/>
        </w:rPr>
        <w:t> </w:t>
      </w:r>
      <w:hyperlink w:history="true" w:anchor="_bookmark171">
        <w:r>
          <w:rPr/>
          <w:t>Table</w:t>
        </w:r>
        <w:r>
          <w:rPr>
            <w:spacing w:val="4"/>
          </w:rPr>
          <w:t> </w:t>
        </w:r>
        <w:r>
          <w:rPr/>
          <w:t>7-17</w:t>
        </w:r>
        <w:r>
          <w:rPr>
            <w:spacing w:val="3"/>
          </w:rPr>
          <w:t> </w:t>
        </w:r>
      </w:hyperlink>
      <w:r>
        <w:rPr/>
        <w:t>displays</w:t>
      </w:r>
      <w:r>
        <w:rPr>
          <w:spacing w:val="4"/>
        </w:rPr>
        <w:t> </w:t>
      </w:r>
      <w:r>
        <w:rPr/>
        <w:t>the</w:t>
      </w:r>
      <w:r>
        <w:rPr>
          <w:spacing w:val="5"/>
        </w:rPr>
        <w:t> </w:t>
      </w:r>
      <w:r>
        <w:rPr/>
        <w:t>two</w:t>
      </w:r>
      <w:r>
        <w:rPr>
          <w:spacing w:val="3"/>
        </w:rPr>
        <w:t> </w:t>
      </w:r>
      <w:r>
        <w:rPr/>
        <w:t>additional</w:t>
      </w:r>
      <w:r>
        <w:rPr>
          <w:spacing w:val="4"/>
        </w:rPr>
        <w:t> </w:t>
      </w:r>
      <w:r>
        <w:rPr/>
        <w:t>BCRs</w:t>
      </w:r>
      <w:r>
        <w:rPr>
          <w:spacing w:val="4"/>
        </w:rPr>
        <w:t> </w:t>
      </w:r>
      <w:r>
        <w:rPr/>
        <w:t>and</w:t>
      </w:r>
      <w:r>
        <w:rPr>
          <w:spacing w:val="5"/>
        </w:rPr>
        <w:t> </w:t>
      </w:r>
      <w:r>
        <w:rPr/>
        <w:t>their</w:t>
      </w:r>
      <w:r>
        <w:rPr>
          <w:spacing w:val="4"/>
        </w:rPr>
        <w:t> </w:t>
      </w:r>
      <w:r>
        <w:rPr/>
        <w:t>respective</w:t>
      </w:r>
      <w:r>
        <w:rPr>
          <w:spacing w:val="-57"/>
        </w:rPr>
        <w:t> </w:t>
      </w:r>
      <w:r>
        <w:rPr/>
        <w:t>rankings</w:t>
      </w:r>
      <w:r>
        <w:rPr>
          <w:spacing w:val="-1"/>
        </w:rPr>
        <w:t> </w:t>
      </w:r>
      <w:r>
        <w:rPr/>
        <w:t>from</w:t>
      </w:r>
      <w:r>
        <w:rPr>
          <w:spacing w:val="-1"/>
        </w:rPr>
        <w:t> </w:t>
      </w:r>
      <w:r>
        <w:rPr/>
        <w:t>1 to 9.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spacing w:before="231"/>
        <w:ind w:left="644" w:right="0" w:firstLine="0"/>
        <w:jc w:val="left"/>
        <w:rPr>
          <w:i/>
          <w:sz w:val="24"/>
        </w:rPr>
      </w:pPr>
      <w:bookmarkStart w:name="_bookmark170" w:id="501"/>
      <w:bookmarkEnd w:id="501"/>
      <w:r>
        <w:rPr/>
      </w:r>
      <w:r>
        <w:rPr>
          <w:i/>
          <w:sz w:val="24"/>
        </w:rPr>
        <w:t>Table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7-16.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Rankings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multiple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cost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criteria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included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cost-benefit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assessment.</w:t>
      </w:r>
    </w:p>
    <w:p>
      <w:pPr>
        <w:pStyle w:val="BodyText"/>
        <w:spacing w:before="6"/>
        <w:rPr>
          <w:i/>
          <w:sz w:val="17"/>
        </w:rPr>
      </w:pPr>
    </w:p>
    <w:tbl>
      <w:tblPr>
        <w:tblW w:w="0" w:type="auto"/>
        <w:jc w:val="left"/>
        <w:tblInd w:w="46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00"/>
        <w:gridCol w:w="1601"/>
        <w:gridCol w:w="1519"/>
        <w:gridCol w:w="1280"/>
        <w:gridCol w:w="1512"/>
      </w:tblGrid>
      <w:tr>
        <w:trPr>
          <w:trHeight w:val="289" w:hRule="atLeast"/>
        </w:trPr>
        <w:tc>
          <w:tcPr>
            <w:tcW w:w="2700" w:type="dxa"/>
            <w:vMerge w:val="restart"/>
            <w:tcBorders>
              <w:bottom w:val="single" w:sz="4" w:space="0" w:color="000000"/>
              <w:right w:val="single" w:sz="4" w:space="0" w:color="000000"/>
            </w:tcBorders>
            <w:shd w:val="clear" w:color="auto" w:fill="C0C0C0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81"/>
              <w:ind w:left="631"/>
              <w:rPr>
                <w:sz w:val="22"/>
              </w:rPr>
            </w:pPr>
            <w:r>
              <w:rPr>
                <w:sz w:val="22"/>
              </w:rPr>
              <w:t>Enhancing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layer</w:t>
            </w:r>
          </w:p>
        </w:tc>
        <w:tc>
          <w:tcPr>
            <w:tcW w:w="160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0C0C0"/>
          </w:tcPr>
          <w:p>
            <w:pPr>
              <w:pStyle w:val="TableParagraph"/>
              <w:spacing w:line="234" w:lineRule="exact" w:before="35"/>
              <w:ind w:left="145" w:right="130"/>
              <w:jc w:val="center"/>
              <w:rPr>
                <w:sz w:val="22"/>
              </w:rPr>
            </w:pPr>
            <w:r>
              <w:rPr>
                <w:sz w:val="22"/>
              </w:rPr>
              <w:t>BENEFIT</w:t>
            </w:r>
          </w:p>
        </w:tc>
        <w:tc>
          <w:tcPr>
            <w:tcW w:w="4311" w:type="dxa"/>
            <w:gridSpan w:val="3"/>
            <w:tcBorders>
              <w:left w:val="single" w:sz="4" w:space="0" w:color="000000"/>
              <w:bottom w:val="single" w:sz="4" w:space="0" w:color="000000"/>
            </w:tcBorders>
            <w:shd w:val="clear" w:color="auto" w:fill="C0C0C0"/>
          </w:tcPr>
          <w:p>
            <w:pPr>
              <w:pStyle w:val="TableParagraph"/>
              <w:spacing w:line="234" w:lineRule="exact" w:before="35"/>
              <w:ind w:left="1857" w:right="1835"/>
              <w:jc w:val="center"/>
              <w:rPr>
                <w:sz w:val="22"/>
              </w:rPr>
            </w:pPr>
            <w:r>
              <w:rPr>
                <w:sz w:val="22"/>
              </w:rPr>
              <w:t>COST</w:t>
            </w:r>
          </w:p>
        </w:tc>
      </w:tr>
      <w:tr>
        <w:trPr>
          <w:trHeight w:val="1424" w:hRule="atLeast"/>
        </w:trPr>
        <w:tc>
          <w:tcPr>
            <w:tcW w:w="2700" w:type="dxa"/>
            <w:vMerge/>
            <w:tcBorders>
              <w:top w:val="nil"/>
              <w:bottom w:val="single" w:sz="4" w:space="0" w:color="000000"/>
              <w:right w:val="single" w:sz="4" w:space="0" w:color="000000"/>
            </w:tcBorders>
            <w:shd w:val="clear" w:color="auto" w:fill="C0C0C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0C0C0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87"/>
              <w:ind w:left="333" w:right="307" w:firstLine="104"/>
              <w:rPr>
                <w:sz w:val="22"/>
              </w:rPr>
            </w:pPr>
            <w:r>
              <w:rPr>
                <w:sz w:val="22"/>
              </w:rPr>
              <w:t>Ballistic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1"/>
                <w:sz w:val="22"/>
              </w:rPr>
              <w:t>Resistance</w:t>
            </w:r>
          </w:p>
        </w:tc>
        <w:tc>
          <w:tcPr>
            <w:tcW w:w="1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0C0C0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87"/>
              <w:ind w:left="287" w:right="248" w:firstLine="150"/>
              <w:rPr>
                <w:sz w:val="22"/>
              </w:rPr>
            </w:pPr>
            <w:r>
              <w:rPr>
                <w:sz w:val="22"/>
              </w:rPr>
              <w:t>Ease 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production</w:t>
            </w:r>
          </w:p>
        </w:tc>
        <w:tc>
          <w:tcPr>
            <w:tcW w:w="1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0C0C0"/>
          </w:tcPr>
          <w:p>
            <w:pPr>
              <w:pStyle w:val="TableParagraph"/>
              <w:spacing w:before="2"/>
              <w:rPr>
                <w:i/>
                <w:sz w:val="29"/>
              </w:rPr>
            </w:pPr>
          </w:p>
          <w:p>
            <w:pPr>
              <w:pStyle w:val="TableParagraph"/>
              <w:ind w:left="185" w:right="165"/>
              <w:jc w:val="center"/>
              <w:rPr>
                <w:sz w:val="22"/>
              </w:rPr>
            </w:pPr>
            <w:r>
              <w:rPr>
                <w:sz w:val="22"/>
              </w:rPr>
              <w:t>Product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cost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($/weight)</w:t>
            </w:r>
          </w:p>
        </w:tc>
        <w:tc>
          <w:tcPr>
            <w:tcW w:w="1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C0C0C0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87"/>
              <w:ind w:left="583" w:right="69" w:hanging="471"/>
              <w:rPr>
                <w:sz w:val="22"/>
              </w:rPr>
            </w:pPr>
            <w:r>
              <w:rPr>
                <w:sz w:val="22"/>
              </w:rPr>
              <w:t>Transportation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cost</w:t>
            </w:r>
          </w:p>
        </w:tc>
      </w:tr>
      <w:tr>
        <w:trPr>
          <w:trHeight w:val="289" w:hRule="atLeast"/>
        </w:trPr>
        <w:tc>
          <w:tcPr>
            <w:tcW w:w="27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91"/>
              <w:jc w:val="right"/>
              <w:rPr>
                <w:sz w:val="22"/>
              </w:rPr>
            </w:pPr>
            <w:r>
              <w:rPr>
                <w:sz w:val="22"/>
              </w:rPr>
              <w:t>Perforated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Steel</w:t>
            </w:r>
          </w:p>
        </w:tc>
        <w:tc>
          <w:tcPr>
            <w:tcW w:w="1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16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5</w:t>
            </w:r>
          </w:p>
        </w:tc>
        <w:tc>
          <w:tcPr>
            <w:tcW w:w="1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1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2</w:t>
            </w:r>
          </w:p>
        </w:tc>
        <w:tc>
          <w:tcPr>
            <w:tcW w:w="1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17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7</w:t>
            </w:r>
          </w:p>
        </w:tc>
        <w:tc>
          <w:tcPr>
            <w:tcW w:w="1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24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8</w:t>
            </w:r>
          </w:p>
        </w:tc>
      </w:tr>
      <w:tr>
        <w:trPr>
          <w:trHeight w:val="290" w:hRule="atLeast"/>
        </w:trPr>
        <w:tc>
          <w:tcPr>
            <w:tcW w:w="27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91"/>
              <w:jc w:val="right"/>
              <w:rPr>
                <w:sz w:val="22"/>
              </w:rPr>
            </w:pPr>
            <w:r>
              <w:rPr>
                <w:sz w:val="22"/>
              </w:rPr>
              <w:t>Expanded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Metal</w:t>
            </w:r>
          </w:p>
        </w:tc>
        <w:tc>
          <w:tcPr>
            <w:tcW w:w="1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16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4</w:t>
            </w:r>
          </w:p>
        </w:tc>
        <w:tc>
          <w:tcPr>
            <w:tcW w:w="1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1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2</w:t>
            </w:r>
          </w:p>
        </w:tc>
        <w:tc>
          <w:tcPr>
            <w:tcW w:w="1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17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3</w:t>
            </w:r>
          </w:p>
        </w:tc>
        <w:tc>
          <w:tcPr>
            <w:tcW w:w="1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24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6</w:t>
            </w:r>
          </w:p>
        </w:tc>
      </w:tr>
      <w:tr>
        <w:trPr>
          <w:trHeight w:val="290" w:hRule="atLeast"/>
        </w:trPr>
        <w:tc>
          <w:tcPr>
            <w:tcW w:w="27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91"/>
              <w:jc w:val="right"/>
              <w:rPr>
                <w:sz w:val="22"/>
              </w:rPr>
            </w:pPr>
            <w:r>
              <w:rPr>
                <w:sz w:val="22"/>
              </w:rPr>
              <w:t>Aramid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Epoxy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Panel</w:t>
            </w:r>
          </w:p>
        </w:tc>
        <w:tc>
          <w:tcPr>
            <w:tcW w:w="1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16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6</w:t>
            </w:r>
          </w:p>
        </w:tc>
        <w:tc>
          <w:tcPr>
            <w:tcW w:w="1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1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5</w:t>
            </w:r>
          </w:p>
        </w:tc>
        <w:tc>
          <w:tcPr>
            <w:tcW w:w="1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17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8</w:t>
            </w:r>
          </w:p>
        </w:tc>
        <w:tc>
          <w:tcPr>
            <w:tcW w:w="1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24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4</w:t>
            </w:r>
          </w:p>
        </w:tc>
      </w:tr>
      <w:tr>
        <w:trPr>
          <w:trHeight w:val="289" w:hRule="atLeast"/>
        </w:trPr>
        <w:tc>
          <w:tcPr>
            <w:tcW w:w="27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92"/>
              <w:jc w:val="right"/>
              <w:rPr>
                <w:sz w:val="22"/>
              </w:rPr>
            </w:pPr>
            <w:r>
              <w:rPr>
                <w:sz w:val="22"/>
              </w:rPr>
              <w:t>Mild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Steel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Plate</w:t>
            </w:r>
          </w:p>
        </w:tc>
        <w:tc>
          <w:tcPr>
            <w:tcW w:w="1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16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3</w:t>
            </w:r>
          </w:p>
        </w:tc>
        <w:tc>
          <w:tcPr>
            <w:tcW w:w="1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1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7</w:t>
            </w:r>
          </w:p>
        </w:tc>
        <w:tc>
          <w:tcPr>
            <w:tcW w:w="1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17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2</w:t>
            </w:r>
          </w:p>
        </w:tc>
        <w:tc>
          <w:tcPr>
            <w:tcW w:w="1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24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9</w:t>
            </w:r>
          </w:p>
        </w:tc>
      </w:tr>
      <w:tr>
        <w:trPr>
          <w:trHeight w:val="290" w:hRule="atLeast"/>
        </w:trPr>
        <w:tc>
          <w:tcPr>
            <w:tcW w:w="27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92"/>
              <w:jc w:val="right"/>
              <w:rPr>
                <w:sz w:val="22"/>
              </w:rPr>
            </w:pPr>
            <w:r>
              <w:rPr>
                <w:sz w:val="22"/>
              </w:rPr>
              <w:t>High-hard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Plate</w:t>
            </w:r>
          </w:p>
        </w:tc>
        <w:tc>
          <w:tcPr>
            <w:tcW w:w="1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16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2</w:t>
            </w:r>
          </w:p>
        </w:tc>
        <w:tc>
          <w:tcPr>
            <w:tcW w:w="1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1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7</w:t>
            </w:r>
          </w:p>
        </w:tc>
        <w:tc>
          <w:tcPr>
            <w:tcW w:w="1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17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4</w:t>
            </w:r>
          </w:p>
        </w:tc>
        <w:tc>
          <w:tcPr>
            <w:tcW w:w="1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24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7</w:t>
            </w:r>
          </w:p>
        </w:tc>
      </w:tr>
      <w:tr>
        <w:trPr>
          <w:trHeight w:val="290" w:hRule="atLeast"/>
        </w:trPr>
        <w:tc>
          <w:tcPr>
            <w:tcW w:w="27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93"/>
              <w:jc w:val="right"/>
              <w:rPr>
                <w:sz w:val="22"/>
              </w:rPr>
            </w:pPr>
            <w:r>
              <w:rPr>
                <w:sz w:val="22"/>
              </w:rPr>
              <w:t>UHMWPE</w:t>
            </w:r>
          </w:p>
        </w:tc>
        <w:tc>
          <w:tcPr>
            <w:tcW w:w="1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16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1</w:t>
            </w:r>
          </w:p>
        </w:tc>
        <w:tc>
          <w:tcPr>
            <w:tcW w:w="1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1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2</w:t>
            </w:r>
          </w:p>
        </w:tc>
        <w:tc>
          <w:tcPr>
            <w:tcW w:w="1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17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9</w:t>
            </w:r>
          </w:p>
        </w:tc>
        <w:tc>
          <w:tcPr>
            <w:tcW w:w="1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24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5</w:t>
            </w:r>
          </w:p>
        </w:tc>
      </w:tr>
      <w:tr>
        <w:trPr>
          <w:trHeight w:val="289" w:hRule="atLeast"/>
        </w:trPr>
        <w:tc>
          <w:tcPr>
            <w:tcW w:w="27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90"/>
              <w:jc w:val="right"/>
              <w:rPr>
                <w:sz w:val="22"/>
              </w:rPr>
            </w:pPr>
            <w:r>
              <w:rPr>
                <w:sz w:val="22"/>
              </w:rPr>
              <w:t>Fiberglass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fabric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(4-ply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x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1)</w:t>
            </w:r>
          </w:p>
        </w:tc>
        <w:tc>
          <w:tcPr>
            <w:tcW w:w="1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16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7</w:t>
            </w:r>
          </w:p>
        </w:tc>
        <w:tc>
          <w:tcPr>
            <w:tcW w:w="1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1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6</w:t>
            </w:r>
          </w:p>
        </w:tc>
        <w:tc>
          <w:tcPr>
            <w:tcW w:w="1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17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5</w:t>
            </w:r>
          </w:p>
        </w:tc>
        <w:tc>
          <w:tcPr>
            <w:tcW w:w="1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24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2</w:t>
            </w:r>
          </w:p>
        </w:tc>
      </w:tr>
      <w:tr>
        <w:trPr>
          <w:trHeight w:val="290" w:hRule="atLeast"/>
        </w:trPr>
        <w:tc>
          <w:tcPr>
            <w:tcW w:w="27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90"/>
              <w:jc w:val="right"/>
              <w:rPr>
                <w:sz w:val="22"/>
              </w:rPr>
            </w:pPr>
            <w:r>
              <w:rPr>
                <w:sz w:val="22"/>
              </w:rPr>
              <w:t>Fiberglass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fabric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(1-ply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x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4)</w:t>
            </w:r>
          </w:p>
        </w:tc>
        <w:tc>
          <w:tcPr>
            <w:tcW w:w="1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16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8</w:t>
            </w:r>
          </w:p>
        </w:tc>
        <w:tc>
          <w:tcPr>
            <w:tcW w:w="1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1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9</w:t>
            </w:r>
          </w:p>
        </w:tc>
        <w:tc>
          <w:tcPr>
            <w:tcW w:w="1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17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5</w:t>
            </w:r>
          </w:p>
        </w:tc>
        <w:tc>
          <w:tcPr>
            <w:tcW w:w="1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24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2</w:t>
            </w:r>
          </w:p>
        </w:tc>
      </w:tr>
      <w:tr>
        <w:trPr>
          <w:trHeight w:val="299" w:hRule="atLeast"/>
        </w:trPr>
        <w:tc>
          <w:tcPr>
            <w:tcW w:w="2700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45"/>
              <w:ind w:right="92"/>
              <w:jc w:val="right"/>
              <w:rPr>
                <w:sz w:val="22"/>
              </w:rPr>
            </w:pPr>
            <w:r>
              <w:rPr>
                <w:sz w:val="22"/>
              </w:rPr>
              <w:t>Baseline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CLT</w:t>
            </w:r>
          </w:p>
        </w:tc>
        <w:tc>
          <w:tcPr>
            <w:tcW w:w="160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45"/>
              <w:ind w:left="16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9</w:t>
            </w:r>
          </w:p>
        </w:tc>
        <w:tc>
          <w:tcPr>
            <w:tcW w:w="151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45"/>
              <w:ind w:left="1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1</w:t>
            </w:r>
          </w:p>
        </w:tc>
        <w:tc>
          <w:tcPr>
            <w:tcW w:w="128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45"/>
              <w:ind w:left="17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1</w:t>
            </w:r>
          </w:p>
        </w:tc>
        <w:tc>
          <w:tcPr>
            <w:tcW w:w="1512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234" w:lineRule="exact" w:before="45"/>
              <w:ind w:left="24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1</w:t>
            </w:r>
          </w:p>
        </w:tc>
      </w:tr>
    </w:tbl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spacing w:before="230"/>
        <w:ind w:left="440" w:right="493" w:firstLine="0"/>
        <w:jc w:val="left"/>
        <w:rPr>
          <w:i/>
          <w:sz w:val="24"/>
        </w:rPr>
      </w:pPr>
      <w:bookmarkStart w:name="_bookmark171" w:id="502"/>
      <w:bookmarkEnd w:id="502"/>
      <w:r>
        <w:rPr/>
      </w:r>
      <w:r>
        <w:rPr>
          <w:i/>
          <w:sz w:val="24"/>
        </w:rPr>
        <w:t>Table 7-17. Benefit cost ratios and rankings for various ECLT material options based on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multiple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cost criteria.</w:t>
      </w:r>
    </w:p>
    <w:p>
      <w:pPr>
        <w:pStyle w:val="BodyText"/>
        <w:spacing w:before="5"/>
        <w:rPr>
          <w:i/>
          <w:sz w:val="17"/>
        </w:rPr>
      </w:pPr>
    </w:p>
    <w:tbl>
      <w:tblPr>
        <w:tblW w:w="0" w:type="auto"/>
        <w:jc w:val="left"/>
        <w:tblInd w:w="7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00"/>
        <w:gridCol w:w="1340"/>
        <w:gridCol w:w="1389"/>
        <w:gridCol w:w="1070"/>
        <w:gridCol w:w="1479"/>
      </w:tblGrid>
      <w:tr>
        <w:trPr>
          <w:trHeight w:val="1724" w:hRule="atLeast"/>
        </w:trPr>
        <w:tc>
          <w:tcPr>
            <w:tcW w:w="2700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C0C0C0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83"/>
              <w:ind w:left="631"/>
              <w:rPr>
                <w:sz w:val="22"/>
              </w:rPr>
            </w:pPr>
            <w:r>
              <w:rPr>
                <w:sz w:val="22"/>
              </w:rPr>
              <w:t>Enhancing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layer</w:t>
            </w:r>
          </w:p>
        </w:tc>
        <w:tc>
          <w:tcPr>
            <w:tcW w:w="134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0C0C0"/>
          </w:tcPr>
          <w:p>
            <w:pPr>
              <w:pStyle w:val="TableParagraph"/>
              <w:spacing w:before="10"/>
              <w:rPr>
                <w:i/>
                <w:sz w:val="30"/>
              </w:rPr>
            </w:pPr>
          </w:p>
          <w:p>
            <w:pPr>
              <w:pStyle w:val="TableParagraph"/>
              <w:spacing w:before="1"/>
              <w:ind w:left="87" w:right="64"/>
              <w:jc w:val="center"/>
              <w:rPr>
                <w:sz w:val="22"/>
              </w:rPr>
            </w:pPr>
            <w:r>
              <w:rPr>
                <w:sz w:val="22"/>
              </w:rPr>
              <w:t>Option A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BCR</w:t>
            </w:r>
          </w:p>
          <w:p>
            <w:pPr>
              <w:pStyle w:val="TableParagraph"/>
              <w:ind w:left="87" w:right="66"/>
              <w:jc w:val="center"/>
              <w:rPr>
                <w:sz w:val="22"/>
              </w:rPr>
            </w:pPr>
            <w:r>
              <w:rPr>
                <w:sz w:val="22"/>
              </w:rPr>
              <w:t>(uneven cost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weights)</w:t>
            </w:r>
          </w:p>
        </w:tc>
        <w:tc>
          <w:tcPr>
            <w:tcW w:w="138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0C0C0"/>
          </w:tcPr>
          <w:p>
            <w:pPr>
              <w:pStyle w:val="TableParagraph"/>
              <w:spacing w:before="10"/>
              <w:rPr>
                <w:i/>
                <w:sz w:val="19"/>
              </w:rPr>
            </w:pPr>
          </w:p>
          <w:p>
            <w:pPr>
              <w:pStyle w:val="TableParagraph"/>
              <w:ind w:left="140" w:right="118"/>
              <w:jc w:val="center"/>
              <w:rPr>
                <w:sz w:val="22"/>
              </w:rPr>
            </w:pPr>
            <w:r>
              <w:rPr>
                <w:sz w:val="22"/>
              </w:rPr>
              <w:t>Ranking of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Option A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BCR</w:t>
            </w:r>
          </w:p>
          <w:p>
            <w:pPr>
              <w:pStyle w:val="TableParagraph"/>
              <w:ind w:left="140" w:right="118"/>
              <w:jc w:val="center"/>
              <w:rPr>
                <w:sz w:val="22"/>
              </w:rPr>
            </w:pPr>
            <w:r>
              <w:rPr>
                <w:sz w:val="22"/>
              </w:rPr>
              <w:t>(uneven cost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weights)</w:t>
            </w:r>
          </w:p>
        </w:tc>
        <w:tc>
          <w:tcPr>
            <w:tcW w:w="107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0C0C0"/>
          </w:tcPr>
          <w:p>
            <w:pPr>
              <w:pStyle w:val="TableParagraph"/>
              <w:spacing w:before="10"/>
              <w:rPr>
                <w:i/>
                <w:sz w:val="19"/>
              </w:rPr>
            </w:pPr>
          </w:p>
          <w:p>
            <w:pPr>
              <w:pStyle w:val="TableParagraph"/>
              <w:ind w:left="134" w:right="110"/>
              <w:jc w:val="center"/>
              <w:rPr>
                <w:sz w:val="22"/>
              </w:rPr>
            </w:pPr>
            <w:r>
              <w:rPr>
                <w:sz w:val="22"/>
              </w:rPr>
              <w:t>Option B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BCR</w:t>
            </w:r>
          </w:p>
          <w:p>
            <w:pPr>
              <w:pStyle w:val="TableParagraph"/>
              <w:ind w:left="137" w:right="114" w:hanging="2"/>
              <w:jc w:val="center"/>
              <w:rPr>
                <w:sz w:val="22"/>
              </w:rPr>
            </w:pPr>
            <w:r>
              <w:rPr>
                <w:sz w:val="22"/>
              </w:rPr>
              <w:t>(even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1"/>
                <w:sz w:val="22"/>
              </w:rPr>
              <w:t>weighted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costs)</w:t>
            </w:r>
          </w:p>
        </w:tc>
        <w:tc>
          <w:tcPr>
            <w:tcW w:w="147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C0C0C0"/>
          </w:tcPr>
          <w:p>
            <w:pPr>
              <w:pStyle w:val="TableParagraph"/>
              <w:spacing w:before="10"/>
              <w:rPr>
                <w:i/>
                <w:sz w:val="30"/>
              </w:rPr>
            </w:pPr>
          </w:p>
          <w:p>
            <w:pPr>
              <w:pStyle w:val="TableParagraph"/>
              <w:spacing w:before="1"/>
              <w:ind w:left="161" w:right="134" w:firstLine="2"/>
              <w:jc w:val="center"/>
              <w:rPr>
                <w:sz w:val="22"/>
              </w:rPr>
            </w:pPr>
            <w:r>
              <w:rPr>
                <w:sz w:val="22"/>
              </w:rPr>
              <w:t>Ranking 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Option B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BCR (even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cost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weights)</w:t>
            </w:r>
          </w:p>
        </w:tc>
      </w:tr>
      <w:tr>
        <w:trPr>
          <w:trHeight w:val="290" w:hRule="atLeast"/>
        </w:trPr>
        <w:tc>
          <w:tcPr>
            <w:tcW w:w="27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91"/>
              <w:jc w:val="right"/>
              <w:rPr>
                <w:sz w:val="22"/>
              </w:rPr>
            </w:pPr>
            <w:r>
              <w:rPr>
                <w:sz w:val="22"/>
              </w:rPr>
              <w:t>Perforated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Steel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427"/>
              <w:rPr>
                <w:sz w:val="22"/>
              </w:rPr>
            </w:pPr>
            <w:r>
              <w:rPr>
                <w:sz w:val="22"/>
              </w:rPr>
              <w:t>0.794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20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6</w:t>
            </w:r>
          </w:p>
        </w:tc>
        <w:tc>
          <w:tcPr>
            <w:tcW w:w="1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269"/>
              <w:jc w:val="right"/>
              <w:rPr>
                <w:sz w:val="22"/>
              </w:rPr>
            </w:pPr>
            <w:r>
              <w:rPr>
                <w:sz w:val="22"/>
              </w:rPr>
              <w:t>0.882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25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6</w:t>
            </w:r>
          </w:p>
        </w:tc>
      </w:tr>
      <w:tr>
        <w:trPr>
          <w:trHeight w:val="289" w:hRule="atLeast"/>
        </w:trPr>
        <w:tc>
          <w:tcPr>
            <w:tcW w:w="27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91"/>
              <w:jc w:val="right"/>
              <w:rPr>
                <w:sz w:val="22"/>
              </w:rPr>
            </w:pPr>
            <w:r>
              <w:rPr>
                <w:sz w:val="22"/>
              </w:rPr>
              <w:t>Expanded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Metal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427"/>
              <w:rPr>
                <w:sz w:val="22"/>
              </w:rPr>
            </w:pPr>
            <w:r>
              <w:rPr>
                <w:sz w:val="22"/>
              </w:rPr>
              <w:t>1.081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20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4</w:t>
            </w:r>
          </w:p>
        </w:tc>
        <w:tc>
          <w:tcPr>
            <w:tcW w:w="1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269"/>
              <w:jc w:val="right"/>
              <w:rPr>
                <w:sz w:val="22"/>
              </w:rPr>
            </w:pPr>
            <w:r>
              <w:rPr>
                <w:sz w:val="22"/>
              </w:rPr>
              <w:t>1.091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25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4</w:t>
            </w:r>
          </w:p>
        </w:tc>
      </w:tr>
      <w:tr>
        <w:trPr>
          <w:trHeight w:val="290" w:hRule="atLeast"/>
        </w:trPr>
        <w:tc>
          <w:tcPr>
            <w:tcW w:w="27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91"/>
              <w:jc w:val="right"/>
              <w:rPr>
                <w:sz w:val="22"/>
              </w:rPr>
            </w:pPr>
            <w:r>
              <w:rPr>
                <w:sz w:val="22"/>
              </w:rPr>
              <w:t>Aramid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Epoxy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Panel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427"/>
              <w:rPr>
                <w:sz w:val="22"/>
              </w:rPr>
            </w:pPr>
            <w:r>
              <w:rPr>
                <w:sz w:val="22"/>
              </w:rPr>
              <w:t>0.968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20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5</w:t>
            </w:r>
          </w:p>
        </w:tc>
        <w:tc>
          <w:tcPr>
            <w:tcW w:w="1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269"/>
              <w:jc w:val="right"/>
              <w:rPr>
                <w:sz w:val="22"/>
              </w:rPr>
            </w:pPr>
            <w:r>
              <w:rPr>
                <w:sz w:val="22"/>
              </w:rPr>
              <w:t>1.059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25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5</w:t>
            </w:r>
          </w:p>
        </w:tc>
      </w:tr>
      <w:tr>
        <w:trPr>
          <w:trHeight w:val="290" w:hRule="atLeast"/>
        </w:trPr>
        <w:tc>
          <w:tcPr>
            <w:tcW w:w="27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92"/>
              <w:jc w:val="right"/>
              <w:rPr>
                <w:sz w:val="22"/>
              </w:rPr>
            </w:pPr>
            <w:r>
              <w:rPr>
                <w:sz w:val="22"/>
              </w:rPr>
              <w:t>Mild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Steel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Plate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427"/>
              <w:rPr>
                <w:sz w:val="22"/>
              </w:rPr>
            </w:pPr>
            <w:r>
              <w:rPr>
                <w:sz w:val="22"/>
              </w:rPr>
              <w:t>0.588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20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7</w:t>
            </w:r>
          </w:p>
        </w:tc>
        <w:tc>
          <w:tcPr>
            <w:tcW w:w="1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269"/>
              <w:jc w:val="right"/>
              <w:rPr>
                <w:sz w:val="22"/>
              </w:rPr>
            </w:pPr>
            <w:r>
              <w:rPr>
                <w:sz w:val="22"/>
              </w:rPr>
              <w:t>0.500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25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7</w:t>
            </w:r>
          </w:p>
        </w:tc>
      </w:tr>
      <w:tr>
        <w:trPr>
          <w:trHeight w:val="289" w:hRule="atLeast"/>
        </w:trPr>
        <w:tc>
          <w:tcPr>
            <w:tcW w:w="27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92"/>
              <w:jc w:val="right"/>
              <w:rPr>
                <w:sz w:val="22"/>
              </w:rPr>
            </w:pPr>
            <w:r>
              <w:rPr>
                <w:sz w:val="22"/>
              </w:rPr>
              <w:t>High-hard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Plate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427"/>
              <w:rPr>
                <w:sz w:val="22"/>
              </w:rPr>
            </w:pPr>
            <w:r>
              <w:rPr>
                <w:sz w:val="22"/>
              </w:rPr>
              <w:t>0.364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20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8</w:t>
            </w:r>
          </w:p>
        </w:tc>
        <w:tc>
          <w:tcPr>
            <w:tcW w:w="1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269"/>
              <w:jc w:val="right"/>
              <w:rPr>
                <w:sz w:val="22"/>
              </w:rPr>
            </w:pPr>
            <w:r>
              <w:rPr>
                <w:sz w:val="22"/>
              </w:rPr>
              <w:t>0.333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25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8</w:t>
            </w:r>
          </w:p>
        </w:tc>
      </w:tr>
      <w:tr>
        <w:trPr>
          <w:trHeight w:val="290" w:hRule="atLeast"/>
        </w:trPr>
        <w:tc>
          <w:tcPr>
            <w:tcW w:w="27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93"/>
              <w:jc w:val="right"/>
              <w:rPr>
                <w:sz w:val="22"/>
              </w:rPr>
            </w:pPr>
            <w:r>
              <w:rPr>
                <w:sz w:val="22"/>
              </w:rPr>
              <w:t>UHMWPE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427"/>
              <w:rPr>
                <w:sz w:val="22"/>
              </w:rPr>
            </w:pPr>
            <w:r>
              <w:rPr>
                <w:sz w:val="22"/>
              </w:rPr>
              <w:t>0.156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20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9</w:t>
            </w:r>
          </w:p>
        </w:tc>
        <w:tc>
          <w:tcPr>
            <w:tcW w:w="1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269"/>
              <w:jc w:val="right"/>
              <w:rPr>
                <w:sz w:val="22"/>
              </w:rPr>
            </w:pPr>
            <w:r>
              <w:rPr>
                <w:sz w:val="22"/>
              </w:rPr>
              <w:t>0.188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25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9</w:t>
            </w:r>
          </w:p>
        </w:tc>
      </w:tr>
      <w:tr>
        <w:trPr>
          <w:trHeight w:val="290" w:hRule="atLeast"/>
        </w:trPr>
        <w:tc>
          <w:tcPr>
            <w:tcW w:w="27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90"/>
              <w:jc w:val="right"/>
              <w:rPr>
                <w:sz w:val="22"/>
              </w:rPr>
            </w:pPr>
            <w:r>
              <w:rPr>
                <w:sz w:val="22"/>
              </w:rPr>
              <w:t>Fiberglass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fabric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(4-ply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x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1)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427"/>
              <w:rPr>
                <w:sz w:val="22"/>
              </w:rPr>
            </w:pPr>
            <w:r>
              <w:rPr>
                <w:sz w:val="22"/>
              </w:rPr>
              <w:t>1.628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20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3</w:t>
            </w:r>
          </w:p>
        </w:tc>
        <w:tc>
          <w:tcPr>
            <w:tcW w:w="1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269"/>
              <w:jc w:val="right"/>
              <w:rPr>
                <w:sz w:val="22"/>
              </w:rPr>
            </w:pPr>
            <w:r>
              <w:rPr>
                <w:sz w:val="22"/>
              </w:rPr>
              <w:t>1.615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25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2</w:t>
            </w:r>
          </w:p>
        </w:tc>
      </w:tr>
      <w:tr>
        <w:trPr>
          <w:trHeight w:val="289" w:hRule="atLeast"/>
        </w:trPr>
        <w:tc>
          <w:tcPr>
            <w:tcW w:w="270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90"/>
              <w:jc w:val="right"/>
              <w:rPr>
                <w:sz w:val="22"/>
              </w:rPr>
            </w:pPr>
            <w:r>
              <w:rPr>
                <w:sz w:val="22"/>
              </w:rPr>
              <w:t>Fiberglass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fabric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(1-ply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x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4)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427"/>
              <w:rPr>
                <w:sz w:val="22"/>
              </w:rPr>
            </w:pPr>
            <w:r>
              <w:rPr>
                <w:sz w:val="22"/>
              </w:rPr>
              <w:t>1.633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20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2</w:t>
            </w:r>
          </w:p>
        </w:tc>
        <w:tc>
          <w:tcPr>
            <w:tcW w:w="1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right="269"/>
              <w:jc w:val="right"/>
              <w:rPr>
                <w:sz w:val="22"/>
              </w:rPr>
            </w:pPr>
            <w:r>
              <w:rPr>
                <w:sz w:val="22"/>
              </w:rPr>
              <w:t>1.500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34" w:lineRule="exact" w:before="35"/>
              <w:ind w:left="25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3</w:t>
            </w:r>
          </w:p>
        </w:tc>
      </w:tr>
      <w:tr>
        <w:trPr>
          <w:trHeight w:val="299" w:hRule="atLeast"/>
        </w:trPr>
        <w:tc>
          <w:tcPr>
            <w:tcW w:w="2700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45"/>
              <w:ind w:right="92"/>
              <w:jc w:val="right"/>
              <w:rPr>
                <w:sz w:val="22"/>
              </w:rPr>
            </w:pPr>
            <w:r>
              <w:rPr>
                <w:sz w:val="22"/>
              </w:rPr>
              <w:t>Baseline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CLT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45"/>
              <w:ind w:left="427"/>
              <w:rPr>
                <w:sz w:val="22"/>
              </w:rPr>
            </w:pPr>
            <w:r>
              <w:rPr>
                <w:sz w:val="22"/>
              </w:rPr>
              <w:t>9.000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45"/>
              <w:ind w:left="20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1</w:t>
            </w:r>
          </w:p>
        </w:tc>
        <w:tc>
          <w:tcPr>
            <w:tcW w:w="107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4" w:lineRule="exact" w:before="45"/>
              <w:ind w:right="269"/>
              <w:jc w:val="right"/>
              <w:rPr>
                <w:sz w:val="22"/>
              </w:rPr>
            </w:pPr>
            <w:r>
              <w:rPr>
                <w:sz w:val="22"/>
              </w:rPr>
              <w:t>9.000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234" w:lineRule="exact" w:before="45"/>
              <w:ind w:left="25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1</w:t>
            </w:r>
          </w:p>
        </w:tc>
      </w:tr>
    </w:tbl>
    <w:p>
      <w:pPr>
        <w:spacing w:after="0" w:line="234" w:lineRule="exact"/>
        <w:jc w:val="center"/>
        <w:rPr>
          <w:sz w:val="22"/>
        </w:rPr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39" w:right="417" w:firstLine="720"/>
        <w:jc w:val="both"/>
      </w:pPr>
      <w:r>
        <w:rPr/>
        <w:t>A simple comparison between the materials can be conducted by just adding the</w:t>
      </w:r>
      <w:r>
        <w:rPr>
          <w:spacing w:val="1"/>
        </w:rPr>
        <w:t> </w:t>
      </w:r>
      <w:r>
        <w:rPr/>
        <w:t>ballistic resistance ranking and the cost ranking of the material, as shown in </w:t>
      </w:r>
      <w:hyperlink w:history="true" w:anchor="_bookmark172">
        <w:r>
          <w:rPr/>
          <w:t>Table 7-18</w:t>
        </w:r>
      </w:hyperlink>
      <w:r>
        <w:rPr/>
        <w:t>.</w:t>
      </w:r>
      <w:r>
        <w:rPr>
          <w:spacing w:val="1"/>
        </w:rPr>
        <w:t> </w:t>
      </w:r>
      <w:r>
        <w:rPr/>
        <w:t>Since the lower rankings are defined as better in terms of performance and expense, the</w:t>
      </w:r>
      <w:r>
        <w:rPr>
          <w:spacing w:val="1"/>
        </w:rPr>
        <w:t> </w:t>
      </w:r>
      <w:r>
        <w:rPr/>
        <w:t>materials with the lower total ranking are favored over the higher total rankings.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technique can be useful for comparison of options.</w:t>
      </w:r>
      <w:r>
        <w:rPr>
          <w:spacing w:val="1"/>
        </w:rPr>
        <w:t> </w:t>
      </w:r>
      <w:r>
        <w:rPr/>
        <w:t>Now the lowest cost option, in this</w:t>
      </w:r>
      <w:r>
        <w:rPr>
          <w:spacing w:val="1"/>
        </w:rPr>
        <w:t> </w:t>
      </w:r>
      <w:r>
        <w:rPr/>
        <w:t>scenario the baseline CLT, is not the “automatic” best choice when it has the lowest level</w:t>
      </w:r>
      <w:r>
        <w:rPr>
          <w:spacing w:val="1"/>
        </w:rPr>
        <w:t> </w:t>
      </w:r>
      <w:r>
        <w:rPr/>
        <w:t>of ballistic resistance.</w:t>
      </w:r>
      <w:r>
        <w:rPr>
          <w:spacing w:val="1"/>
        </w:rPr>
        <w:t> </w:t>
      </w:r>
      <w:r>
        <w:rPr/>
        <w:t>Instead the baseline and the UHMWPE are equally ranked because</w:t>
      </w:r>
      <w:r>
        <w:rPr>
          <w:spacing w:val="-57"/>
        </w:rPr>
        <w:t> </w:t>
      </w:r>
      <w:r>
        <w:rPr>
          <w:spacing w:val="-1"/>
        </w:rPr>
        <w:t>they</w:t>
      </w:r>
      <w:r>
        <w:rPr>
          <w:spacing w:val="-14"/>
        </w:rPr>
        <w:t> </w:t>
      </w:r>
      <w:r>
        <w:rPr>
          <w:spacing w:val="-1"/>
        </w:rPr>
        <w:t>both</w:t>
      </w:r>
      <w:r>
        <w:rPr>
          <w:spacing w:val="-14"/>
        </w:rPr>
        <w:t> </w:t>
      </w:r>
      <w:r>
        <w:rPr>
          <w:spacing w:val="-1"/>
        </w:rPr>
        <w:t>have</w:t>
      </w:r>
      <w:r>
        <w:rPr>
          <w:spacing w:val="-13"/>
        </w:rPr>
        <w:t> </w:t>
      </w:r>
      <w:r>
        <w:rPr>
          <w:spacing w:val="-1"/>
        </w:rPr>
        <w:t>the</w:t>
      </w:r>
      <w:r>
        <w:rPr>
          <w:spacing w:val="-13"/>
        </w:rPr>
        <w:t> </w:t>
      </w:r>
      <w:r>
        <w:rPr/>
        <w:t>highest</w:t>
      </w:r>
      <w:r>
        <w:rPr>
          <w:spacing w:val="-13"/>
        </w:rPr>
        <w:t> </w:t>
      </w:r>
      <w:r>
        <w:rPr/>
        <w:t>and</w:t>
      </w:r>
      <w:r>
        <w:rPr>
          <w:spacing w:val="-14"/>
        </w:rPr>
        <w:t> </w:t>
      </w:r>
      <w:r>
        <w:rPr/>
        <w:t>lowest</w:t>
      </w:r>
      <w:r>
        <w:rPr>
          <w:spacing w:val="-14"/>
        </w:rPr>
        <w:t> </w:t>
      </w:r>
      <w:r>
        <w:rPr/>
        <w:t>rankings</w:t>
      </w:r>
      <w:r>
        <w:rPr>
          <w:spacing w:val="-13"/>
        </w:rPr>
        <w:t> </w:t>
      </w:r>
      <w:r>
        <w:rPr/>
        <w:t>for</w:t>
      </w:r>
      <w:r>
        <w:rPr>
          <w:spacing w:val="-14"/>
        </w:rPr>
        <w:t> </w:t>
      </w:r>
      <w:r>
        <w:rPr/>
        <w:t>the</w:t>
      </w:r>
      <w:r>
        <w:rPr>
          <w:spacing w:val="-13"/>
        </w:rPr>
        <w:t> </w:t>
      </w:r>
      <w:r>
        <w:rPr/>
        <w:t>two</w:t>
      </w:r>
      <w:r>
        <w:rPr>
          <w:spacing w:val="-14"/>
        </w:rPr>
        <w:t> </w:t>
      </w:r>
      <w:r>
        <w:rPr/>
        <w:t>criteria.</w:t>
      </w:r>
      <w:r>
        <w:rPr>
          <w:spacing w:val="33"/>
        </w:rPr>
        <w:t> </w:t>
      </w:r>
      <w:r>
        <w:rPr/>
        <w:t>Employing</w:t>
      </w:r>
      <w:r>
        <w:rPr>
          <w:spacing w:val="-14"/>
        </w:rPr>
        <w:t> </w:t>
      </w:r>
      <w:r>
        <w:rPr/>
        <w:t>the</w:t>
      </w:r>
      <w:r>
        <w:rPr>
          <w:spacing w:val="-15"/>
        </w:rPr>
        <w:t> </w:t>
      </w:r>
      <w:r>
        <w:rPr/>
        <w:t>rankings</w:t>
      </w:r>
      <w:r>
        <w:rPr>
          <w:spacing w:val="-57"/>
        </w:rPr>
        <w:t> </w:t>
      </w:r>
      <w:r>
        <w:rPr/>
        <w:t>for</w:t>
      </w:r>
      <w:r>
        <w:rPr>
          <w:spacing w:val="-1"/>
        </w:rPr>
        <w:t> </w:t>
      </w:r>
      <w:r>
        <w:rPr/>
        <w:t>evaluation can skew</w:t>
      </w:r>
      <w:r>
        <w:rPr>
          <w:spacing w:val="-1"/>
        </w:rPr>
        <w:t> </w:t>
      </w:r>
      <w:r>
        <w:rPr/>
        <w:t>a typical benefit</w:t>
      </w:r>
      <w:r>
        <w:rPr>
          <w:spacing w:val="-1"/>
        </w:rPr>
        <w:t> </w:t>
      </w:r>
      <w:r>
        <w:rPr/>
        <w:t>cost</w:t>
      </w:r>
      <w:r>
        <w:rPr>
          <w:spacing w:val="-1"/>
        </w:rPr>
        <w:t> </w:t>
      </w:r>
      <w:r>
        <w:rPr/>
        <w:t>ratio.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spacing w:before="231"/>
        <w:ind w:left="21" w:right="0" w:firstLine="0"/>
        <w:jc w:val="center"/>
        <w:rPr>
          <w:i/>
          <w:sz w:val="24"/>
        </w:rPr>
      </w:pPr>
      <w:bookmarkStart w:name="_bookmark172" w:id="503"/>
      <w:bookmarkEnd w:id="503"/>
      <w:r>
        <w:rPr/>
      </w:r>
      <w:r>
        <w:rPr>
          <w:i/>
          <w:sz w:val="24"/>
        </w:rPr>
        <w:t>Table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7-18.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Total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Cost-Benefit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rankings.</w:t>
      </w:r>
    </w:p>
    <w:p>
      <w:pPr>
        <w:pStyle w:val="BodyText"/>
        <w:spacing w:before="5"/>
        <w:rPr>
          <w:i/>
          <w:sz w:val="17"/>
        </w:rPr>
      </w:pPr>
    </w:p>
    <w:tbl>
      <w:tblPr>
        <w:tblW w:w="0" w:type="auto"/>
        <w:jc w:val="left"/>
        <w:tblInd w:w="14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38"/>
        <w:gridCol w:w="1890"/>
        <w:gridCol w:w="1847"/>
      </w:tblGrid>
      <w:tr>
        <w:trPr>
          <w:trHeight w:val="2050" w:hRule="atLeast"/>
        </w:trPr>
        <w:tc>
          <w:tcPr>
            <w:tcW w:w="2838" w:type="dxa"/>
            <w:shd w:val="clear" w:color="auto" w:fill="C0C0C0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"/>
              <w:rPr>
                <w:i/>
                <w:sz w:val="30"/>
              </w:rPr>
            </w:pPr>
          </w:p>
          <w:p>
            <w:pPr>
              <w:pStyle w:val="TableParagraph"/>
              <w:ind w:left="645"/>
              <w:rPr>
                <w:b/>
                <w:sz w:val="22"/>
              </w:rPr>
            </w:pPr>
            <w:r>
              <w:rPr>
                <w:b/>
                <w:sz w:val="22"/>
              </w:rPr>
              <w:t>Enhancing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layer</w:t>
            </w:r>
          </w:p>
        </w:tc>
        <w:tc>
          <w:tcPr>
            <w:tcW w:w="1890" w:type="dxa"/>
            <w:shd w:val="clear" w:color="auto" w:fill="C0C0C0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3"/>
              <w:rPr>
                <w:i/>
                <w:sz w:val="22"/>
              </w:rPr>
            </w:pPr>
          </w:p>
          <w:p>
            <w:pPr>
              <w:pStyle w:val="TableParagraph"/>
              <w:ind w:left="146" w:right="136" w:firstLine="1"/>
              <w:jc w:val="center"/>
              <w:rPr>
                <w:sz w:val="22"/>
              </w:rPr>
            </w:pPr>
            <w:r>
              <w:rPr>
                <w:b/>
                <w:sz w:val="22"/>
              </w:rPr>
              <w:t>Total Cost-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Benefit ranking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sz w:val="22"/>
              </w:rPr>
              <w:t>(Ballistic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resistance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ranking</w:t>
            </w:r>
          </w:p>
          <w:p>
            <w:pPr>
              <w:pStyle w:val="TableParagraph"/>
              <w:spacing w:line="254" w:lineRule="exact"/>
              <w:ind w:left="253" w:right="240"/>
              <w:jc w:val="center"/>
              <w:rPr>
                <w:sz w:val="22"/>
              </w:rPr>
            </w:pPr>
            <w:r>
              <w:rPr>
                <w:sz w:val="22"/>
              </w:rPr>
              <w:t>+ Cost ranking)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[$/lb]</w:t>
            </w:r>
          </w:p>
        </w:tc>
        <w:tc>
          <w:tcPr>
            <w:tcW w:w="1847" w:type="dxa"/>
            <w:shd w:val="clear" w:color="auto" w:fill="C0C0C0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3"/>
              <w:rPr>
                <w:i/>
                <w:sz w:val="22"/>
              </w:rPr>
            </w:pPr>
          </w:p>
          <w:p>
            <w:pPr>
              <w:pStyle w:val="TableParagraph"/>
              <w:ind w:left="124" w:right="114" w:firstLine="1"/>
              <w:jc w:val="center"/>
              <w:rPr>
                <w:sz w:val="22"/>
              </w:rPr>
            </w:pPr>
            <w:r>
              <w:rPr>
                <w:b/>
                <w:sz w:val="22"/>
              </w:rPr>
              <w:t>Total Cost-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Benefit ranking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sz w:val="22"/>
              </w:rPr>
              <w:t>(Ballistic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resistance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ranking</w:t>
            </w:r>
          </w:p>
          <w:p>
            <w:pPr>
              <w:pStyle w:val="TableParagraph"/>
              <w:spacing w:line="254" w:lineRule="exact"/>
              <w:ind w:left="231" w:right="219"/>
              <w:jc w:val="center"/>
              <w:rPr>
                <w:sz w:val="22"/>
              </w:rPr>
            </w:pPr>
            <w:r>
              <w:rPr>
                <w:sz w:val="22"/>
              </w:rPr>
              <w:t>+ Cost ranking)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[$/ft</w:t>
            </w:r>
            <w:r>
              <w:rPr>
                <w:sz w:val="22"/>
                <w:vertAlign w:val="superscript"/>
              </w:rPr>
              <w:t>2</w:t>
            </w:r>
            <w:r>
              <w:rPr>
                <w:sz w:val="22"/>
                <w:vertAlign w:val="baseline"/>
              </w:rPr>
              <w:t>]</w:t>
            </w:r>
          </w:p>
        </w:tc>
      </w:tr>
      <w:tr>
        <w:trPr>
          <w:trHeight w:val="298" w:hRule="atLeast"/>
        </w:trPr>
        <w:tc>
          <w:tcPr>
            <w:tcW w:w="2838" w:type="dxa"/>
          </w:tcPr>
          <w:p>
            <w:pPr>
              <w:pStyle w:val="TableParagraph"/>
              <w:spacing w:line="234" w:lineRule="exact" w:before="43"/>
              <w:ind w:right="96"/>
              <w:jc w:val="right"/>
              <w:rPr>
                <w:sz w:val="22"/>
              </w:rPr>
            </w:pPr>
            <w:r>
              <w:rPr>
                <w:sz w:val="22"/>
              </w:rPr>
              <w:t>Perforated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Steel</w:t>
            </w:r>
          </w:p>
        </w:tc>
        <w:tc>
          <w:tcPr>
            <w:tcW w:w="1890" w:type="dxa"/>
          </w:tcPr>
          <w:p>
            <w:pPr>
              <w:pStyle w:val="TableParagraph"/>
              <w:spacing w:before="21"/>
              <w:ind w:left="835"/>
              <w:rPr>
                <w:sz w:val="22"/>
              </w:rPr>
            </w:pPr>
            <w:r>
              <w:rPr>
                <w:sz w:val="22"/>
              </w:rPr>
              <w:t>12</w:t>
            </w:r>
          </w:p>
        </w:tc>
        <w:tc>
          <w:tcPr>
            <w:tcW w:w="1847" w:type="dxa"/>
          </w:tcPr>
          <w:p>
            <w:pPr>
              <w:pStyle w:val="TableParagraph"/>
              <w:spacing w:before="21"/>
              <w:ind w:left="813"/>
              <w:rPr>
                <w:sz w:val="22"/>
              </w:rPr>
            </w:pPr>
            <w:r>
              <w:rPr>
                <w:sz w:val="22"/>
              </w:rPr>
              <w:t>13</w:t>
            </w:r>
          </w:p>
        </w:tc>
      </w:tr>
      <w:tr>
        <w:trPr>
          <w:trHeight w:val="300" w:hRule="atLeast"/>
        </w:trPr>
        <w:tc>
          <w:tcPr>
            <w:tcW w:w="2838" w:type="dxa"/>
          </w:tcPr>
          <w:p>
            <w:pPr>
              <w:pStyle w:val="TableParagraph"/>
              <w:spacing w:line="234" w:lineRule="exact" w:before="46"/>
              <w:ind w:right="96"/>
              <w:jc w:val="right"/>
              <w:rPr>
                <w:sz w:val="22"/>
              </w:rPr>
            </w:pPr>
            <w:r>
              <w:rPr>
                <w:sz w:val="22"/>
              </w:rPr>
              <w:t>Expanded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Metal</w:t>
            </w:r>
          </w:p>
        </w:tc>
        <w:tc>
          <w:tcPr>
            <w:tcW w:w="1890" w:type="dxa"/>
          </w:tcPr>
          <w:p>
            <w:pPr>
              <w:pStyle w:val="TableParagraph"/>
              <w:spacing w:before="22"/>
              <w:ind w:left="888"/>
              <w:rPr>
                <w:sz w:val="22"/>
              </w:rPr>
            </w:pPr>
            <w:r>
              <w:rPr>
                <w:w w:val="99"/>
                <w:sz w:val="22"/>
              </w:rPr>
              <w:t>7</w:t>
            </w:r>
          </w:p>
        </w:tc>
        <w:tc>
          <w:tcPr>
            <w:tcW w:w="1847" w:type="dxa"/>
          </w:tcPr>
          <w:p>
            <w:pPr>
              <w:pStyle w:val="TableParagraph"/>
              <w:spacing w:before="22"/>
              <w:ind w:left="867"/>
              <w:rPr>
                <w:sz w:val="22"/>
              </w:rPr>
            </w:pPr>
            <w:r>
              <w:rPr>
                <w:w w:val="99"/>
                <w:sz w:val="22"/>
              </w:rPr>
              <w:t>9</w:t>
            </w:r>
          </w:p>
        </w:tc>
      </w:tr>
      <w:tr>
        <w:trPr>
          <w:trHeight w:val="299" w:hRule="atLeast"/>
        </w:trPr>
        <w:tc>
          <w:tcPr>
            <w:tcW w:w="2838" w:type="dxa"/>
          </w:tcPr>
          <w:p>
            <w:pPr>
              <w:pStyle w:val="TableParagraph"/>
              <w:spacing w:line="234" w:lineRule="exact" w:before="45"/>
              <w:ind w:right="96"/>
              <w:jc w:val="right"/>
              <w:rPr>
                <w:sz w:val="22"/>
              </w:rPr>
            </w:pPr>
            <w:r>
              <w:rPr>
                <w:sz w:val="22"/>
              </w:rPr>
              <w:t>Aramid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Epoxy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Panel</w:t>
            </w:r>
          </w:p>
        </w:tc>
        <w:tc>
          <w:tcPr>
            <w:tcW w:w="1890" w:type="dxa"/>
          </w:tcPr>
          <w:p>
            <w:pPr>
              <w:pStyle w:val="TableParagraph"/>
              <w:spacing w:before="21"/>
              <w:ind w:left="835"/>
              <w:rPr>
                <w:sz w:val="22"/>
              </w:rPr>
            </w:pPr>
            <w:r>
              <w:rPr>
                <w:sz w:val="22"/>
              </w:rPr>
              <w:t>14</w:t>
            </w:r>
          </w:p>
        </w:tc>
        <w:tc>
          <w:tcPr>
            <w:tcW w:w="1847" w:type="dxa"/>
          </w:tcPr>
          <w:p>
            <w:pPr>
              <w:pStyle w:val="TableParagraph"/>
              <w:spacing w:before="21"/>
              <w:ind w:left="813"/>
              <w:rPr>
                <w:sz w:val="22"/>
              </w:rPr>
            </w:pPr>
            <w:r>
              <w:rPr>
                <w:sz w:val="22"/>
              </w:rPr>
              <w:t>12</w:t>
            </w:r>
          </w:p>
        </w:tc>
      </w:tr>
      <w:tr>
        <w:trPr>
          <w:trHeight w:val="299" w:hRule="atLeast"/>
        </w:trPr>
        <w:tc>
          <w:tcPr>
            <w:tcW w:w="2838" w:type="dxa"/>
          </w:tcPr>
          <w:p>
            <w:pPr>
              <w:pStyle w:val="TableParagraph"/>
              <w:spacing w:line="234" w:lineRule="exact" w:before="45"/>
              <w:ind w:right="97"/>
              <w:jc w:val="right"/>
              <w:rPr>
                <w:sz w:val="22"/>
              </w:rPr>
            </w:pPr>
            <w:r>
              <w:rPr>
                <w:sz w:val="22"/>
              </w:rPr>
              <w:t>Mild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Steel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Plate</w:t>
            </w:r>
          </w:p>
        </w:tc>
        <w:tc>
          <w:tcPr>
            <w:tcW w:w="1890" w:type="dxa"/>
          </w:tcPr>
          <w:p>
            <w:pPr>
              <w:pStyle w:val="TableParagraph"/>
              <w:spacing w:before="22"/>
              <w:ind w:left="888"/>
              <w:rPr>
                <w:sz w:val="22"/>
              </w:rPr>
            </w:pPr>
            <w:r>
              <w:rPr>
                <w:w w:val="99"/>
                <w:sz w:val="22"/>
              </w:rPr>
              <w:t>5</w:t>
            </w:r>
          </w:p>
        </w:tc>
        <w:tc>
          <w:tcPr>
            <w:tcW w:w="1847" w:type="dxa"/>
          </w:tcPr>
          <w:p>
            <w:pPr>
              <w:pStyle w:val="TableParagraph"/>
              <w:spacing w:before="22"/>
              <w:ind w:left="867"/>
              <w:rPr>
                <w:sz w:val="22"/>
              </w:rPr>
            </w:pPr>
            <w:r>
              <w:rPr>
                <w:w w:val="99"/>
                <w:sz w:val="22"/>
              </w:rPr>
              <w:t>7</w:t>
            </w:r>
          </w:p>
        </w:tc>
      </w:tr>
      <w:tr>
        <w:trPr>
          <w:trHeight w:val="300" w:hRule="atLeast"/>
        </w:trPr>
        <w:tc>
          <w:tcPr>
            <w:tcW w:w="2838" w:type="dxa"/>
          </w:tcPr>
          <w:p>
            <w:pPr>
              <w:pStyle w:val="TableParagraph"/>
              <w:spacing w:line="234" w:lineRule="exact" w:before="46"/>
              <w:ind w:right="97"/>
              <w:jc w:val="right"/>
              <w:rPr>
                <w:sz w:val="22"/>
              </w:rPr>
            </w:pPr>
            <w:r>
              <w:rPr>
                <w:sz w:val="22"/>
              </w:rPr>
              <w:t>High-hard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Plate</w:t>
            </w:r>
          </w:p>
        </w:tc>
        <w:tc>
          <w:tcPr>
            <w:tcW w:w="1890" w:type="dxa"/>
          </w:tcPr>
          <w:p>
            <w:pPr>
              <w:pStyle w:val="TableParagraph"/>
              <w:spacing w:before="22"/>
              <w:ind w:left="888"/>
              <w:rPr>
                <w:sz w:val="22"/>
              </w:rPr>
            </w:pPr>
            <w:r>
              <w:rPr>
                <w:w w:val="99"/>
                <w:sz w:val="22"/>
              </w:rPr>
              <w:t>6</w:t>
            </w:r>
          </w:p>
        </w:tc>
        <w:tc>
          <w:tcPr>
            <w:tcW w:w="1847" w:type="dxa"/>
          </w:tcPr>
          <w:p>
            <w:pPr>
              <w:pStyle w:val="TableParagraph"/>
              <w:spacing w:before="22"/>
              <w:ind w:left="867"/>
              <w:rPr>
                <w:sz w:val="22"/>
              </w:rPr>
            </w:pPr>
            <w:r>
              <w:rPr>
                <w:w w:val="99"/>
                <w:sz w:val="22"/>
              </w:rPr>
              <w:t>9</w:t>
            </w:r>
          </w:p>
        </w:tc>
      </w:tr>
      <w:tr>
        <w:trPr>
          <w:trHeight w:val="299" w:hRule="atLeast"/>
        </w:trPr>
        <w:tc>
          <w:tcPr>
            <w:tcW w:w="2838" w:type="dxa"/>
          </w:tcPr>
          <w:p>
            <w:pPr>
              <w:pStyle w:val="TableParagraph"/>
              <w:spacing w:line="234" w:lineRule="exact" w:before="45"/>
              <w:ind w:right="97"/>
              <w:jc w:val="right"/>
              <w:rPr>
                <w:sz w:val="22"/>
              </w:rPr>
            </w:pPr>
            <w:r>
              <w:rPr>
                <w:sz w:val="22"/>
              </w:rPr>
              <w:t>UHMWPE</w:t>
            </w:r>
          </w:p>
        </w:tc>
        <w:tc>
          <w:tcPr>
            <w:tcW w:w="1890" w:type="dxa"/>
          </w:tcPr>
          <w:p>
            <w:pPr>
              <w:pStyle w:val="TableParagraph"/>
              <w:spacing w:before="21"/>
              <w:ind w:left="835"/>
              <w:rPr>
                <w:sz w:val="22"/>
              </w:rPr>
            </w:pPr>
            <w:r>
              <w:rPr>
                <w:sz w:val="22"/>
              </w:rPr>
              <w:t>10</w:t>
            </w:r>
          </w:p>
        </w:tc>
        <w:tc>
          <w:tcPr>
            <w:tcW w:w="1847" w:type="dxa"/>
          </w:tcPr>
          <w:p>
            <w:pPr>
              <w:pStyle w:val="TableParagraph"/>
              <w:spacing w:before="21"/>
              <w:ind w:left="813"/>
              <w:rPr>
                <w:sz w:val="22"/>
              </w:rPr>
            </w:pPr>
            <w:r>
              <w:rPr>
                <w:sz w:val="22"/>
              </w:rPr>
              <w:t>10</w:t>
            </w:r>
          </w:p>
        </w:tc>
      </w:tr>
      <w:tr>
        <w:trPr>
          <w:trHeight w:val="299" w:hRule="atLeast"/>
        </w:trPr>
        <w:tc>
          <w:tcPr>
            <w:tcW w:w="2838" w:type="dxa"/>
          </w:tcPr>
          <w:p>
            <w:pPr>
              <w:pStyle w:val="TableParagraph"/>
              <w:spacing w:line="234" w:lineRule="exact" w:before="45"/>
              <w:ind w:right="95"/>
              <w:jc w:val="right"/>
              <w:rPr>
                <w:sz w:val="22"/>
              </w:rPr>
            </w:pPr>
            <w:r>
              <w:rPr>
                <w:sz w:val="22"/>
              </w:rPr>
              <w:t>Fiberglass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fabric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(4-ply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x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1)</w:t>
            </w:r>
          </w:p>
        </w:tc>
        <w:tc>
          <w:tcPr>
            <w:tcW w:w="1890" w:type="dxa"/>
          </w:tcPr>
          <w:p>
            <w:pPr>
              <w:pStyle w:val="TableParagraph"/>
              <w:spacing w:before="22"/>
              <w:ind w:left="835"/>
              <w:rPr>
                <w:sz w:val="22"/>
              </w:rPr>
            </w:pPr>
            <w:r>
              <w:rPr>
                <w:sz w:val="22"/>
              </w:rPr>
              <w:t>12</w:t>
            </w:r>
          </w:p>
        </w:tc>
        <w:tc>
          <w:tcPr>
            <w:tcW w:w="1847" w:type="dxa"/>
          </w:tcPr>
          <w:p>
            <w:pPr>
              <w:pStyle w:val="TableParagraph"/>
              <w:spacing w:before="22"/>
              <w:ind w:left="867"/>
              <w:rPr>
                <w:sz w:val="22"/>
              </w:rPr>
            </w:pPr>
            <w:r>
              <w:rPr>
                <w:w w:val="99"/>
                <w:sz w:val="22"/>
              </w:rPr>
              <w:t>9</w:t>
            </w:r>
          </w:p>
        </w:tc>
      </w:tr>
      <w:tr>
        <w:trPr>
          <w:trHeight w:val="300" w:hRule="atLeast"/>
        </w:trPr>
        <w:tc>
          <w:tcPr>
            <w:tcW w:w="2838" w:type="dxa"/>
          </w:tcPr>
          <w:p>
            <w:pPr>
              <w:pStyle w:val="TableParagraph"/>
              <w:spacing w:line="234" w:lineRule="exact" w:before="46"/>
              <w:ind w:right="95"/>
              <w:jc w:val="right"/>
              <w:rPr>
                <w:sz w:val="22"/>
              </w:rPr>
            </w:pPr>
            <w:r>
              <w:rPr>
                <w:sz w:val="22"/>
              </w:rPr>
              <w:t>Fiberglass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fabric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(1-ply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x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4)</w:t>
            </w:r>
          </w:p>
        </w:tc>
        <w:tc>
          <w:tcPr>
            <w:tcW w:w="1890" w:type="dxa"/>
          </w:tcPr>
          <w:p>
            <w:pPr>
              <w:pStyle w:val="TableParagraph"/>
              <w:spacing w:before="22"/>
              <w:ind w:left="835"/>
              <w:rPr>
                <w:sz w:val="22"/>
              </w:rPr>
            </w:pPr>
            <w:r>
              <w:rPr>
                <w:sz w:val="22"/>
              </w:rPr>
              <w:t>13</w:t>
            </w:r>
          </w:p>
        </w:tc>
        <w:tc>
          <w:tcPr>
            <w:tcW w:w="1847" w:type="dxa"/>
          </w:tcPr>
          <w:p>
            <w:pPr>
              <w:pStyle w:val="TableParagraph"/>
              <w:spacing w:before="22"/>
              <w:ind w:left="813"/>
              <w:rPr>
                <w:sz w:val="22"/>
              </w:rPr>
            </w:pPr>
            <w:r>
              <w:rPr>
                <w:sz w:val="22"/>
              </w:rPr>
              <w:t>10</w:t>
            </w:r>
          </w:p>
        </w:tc>
      </w:tr>
      <w:tr>
        <w:trPr>
          <w:trHeight w:val="299" w:hRule="atLeast"/>
        </w:trPr>
        <w:tc>
          <w:tcPr>
            <w:tcW w:w="2838" w:type="dxa"/>
          </w:tcPr>
          <w:p>
            <w:pPr>
              <w:pStyle w:val="TableParagraph"/>
              <w:spacing w:line="234" w:lineRule="exact" w:before="45"/>
              <w:ind w:right="97"/>
              <w:jc w:val="right"/>
              <w:rPr>
                <w:sz w:val="22"/>
              </w:rPr>
            </w:pPr>
            <w:r>
              <w:rPr>
                <w:sz w:val="22"/>
              </w:rPr>
              <w:t>Baseline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CLT</w:t>
            </w:r>
          </w:p>
        </w:tc>
        <w:tc>
          <w:tcPr>
            <w:tcW w:w="1890" w:type="dxa"/>
          </w:tcPr>
          <w:p>
            <w:pPr>
              <w:pStyle w:val="TableParagraph"/>
              <w:spacing w:before="21"/>
              <w:ind w:left="835"/>
              <w:rPr>
                <w:sz w:val="22"/>
              </w:rPr>
            </w:pPr>
            <w:r>
              <w:rPr>
                <w:sz w:val="22"/>
              </w:rPr>
              <w:t>10</w:t>
            </w:r>
          </w:p>
        </w:tc>
        <w:tc>
          <w:tcPr>
            <w:tcW w:w="1847" w:type="dxa"/>
          </w:tcPr>
          <w:p>
            <w:pPr>
              <w:pStyle w:val="TableParagraph"/>
              <w:spacing w:before="21"/>
              <w:ind w:left="813"/>
              <w:rPr>
                <w:sz w:val="22"/>
              </w:rPr>
            </w:pPr>
            <w:r>
              <w:rPr>
                <w:sz w:val="22"/>
              </w:rPr>
              <w:t>10</w:t>
            </w:r>
          </w:p>
        </w:tc>
      </w:tr>
    </w:tbl>
    <w:p>
      <w:pPr>
        <w:spacing w:after="0"/>
        <w:rPr>
          <w:sz w:val="22"/>
        </w:rPr>
        <w:sectPr>
          <w:pgSz w:w="12240" w:h="15840"/>
          <w:pgMar w:header="0" w:footer="1064" w:top="1360" w:bottom="1260" w:left="1720" w:right="1020"/>
        </w:sectPr>
      </w:pPr>
    </w:p>
    <w:p>
      <w:pPr>
        <w:pStyle w:val="Heading9"/>
        <w:spacing w:before="60"/>
        <w:ind w:left="440" w:firstLine="0"/>
      </w:pPr>
      <w:bookmarkStart w:name="_TOC_250015" w:id="504"/>
      <w:bookmarkStart w:name="7.6 Summary" w:id="505"/>
      <w:r>
        <w:rPr>
          <w:b w:val="0"/>
        </w:rPr>
      </w:r>
      <w:r>
        <w:rPr/>
        <w:t>7.6</w:t>
      </w:r>
      <w:r>
        <w:rPr>
          <w:spacing w:val="-3"/>
        </w:rPr>
        <w:t> </w:t>
      </w:r>
      <w:bookmarkEnd w:id="504"/>
      <w:r>
        <w:rPr/>
        <w:t>Summary</w:t>
      </w:r>
    </w:p>
    <w:p>
      <w:pPr>
        <w:pStyle w:val="BodyText"/>
        <w:spacing w:before="6"/>
        <w:rPr>
          <w:b/>
          <w:sz w:val="22"/>
        </w:rPr>
      </w:pPr>
    </w:p>
    <w:p>
      <w:pPr>
        <w:pStyle w:val="BodyText"/>
        <w:spacing w:line="480" w:lineRule="auto"/>
        <w:ind w:left="440" w:right="417" w:firstLine="720"/>
        <w:jc w:val="both"/>
      </w:pPr>
      <w:r>
        <w:rPr/>
        <w:t>The</w:t>
      </w:r>
      <w:r>
        <w:rPr>
          <w:spacing w:val="1"/>
        </w:rPr>
        <w:t> </w:t>
      </w:r>
      <w:r>
        <w:rPr/>
        <w:t>layered</w:t>
      </w:r>
      <w:r>
        <w:rPr>
          <w:spacing w:val="1"/>
        </w:rPr>
        <w:t> </w:t>
      </w:r>
      <w:r>
        <w:rPr/>
        <w:t>composite</w:t>
      </w:r>
      <w:r>
        <w:rPr>
          <w:spacing w:val="1"/>
        </w:rPr>
        <w:t> </w:t>
      </w:r>
      <w:r>
        <w:rPr/>
        <w:t>nature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CLT</w:t>
      </w:r>
      <w:r>
        <w:rPr>
          <w:spacing w:val="1"/>
        </w:rPr>
        <w:t> </w:t>
      </w:r>
      <w:r>
        <w:rPr/>
        <w:t>lends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product</w:t>
      </w:r>
      <w:r>
        <w:rPr>
          <w:spacing w:val="1"/>
        </w:rPr>
        <w:t> </w:t>
      </w:r>
      <w:r>
        <w:rPr/>
        <w:t>well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idea</w:t>
      </w:r>
      <w:r>
        <w:rPr>
          <w:spacing w:val="1"/>
        </w:rPr>
        <w:t> </w:t>
      </w:r>
      <w:r>
        <w:rPr/>
        <w:t>of</w:t>
      </w:r>
      <w:r>
        <w:rPr>
          <w:spacing w:val="-57"/>
        </w:rPr>
        <w:t> </w:t>
      </w:r>
      <w:r>
        <w:rPr/>
        <w:t>modifying the composite composition for special design requirements, such as ballistic</w:t>
      </w:r>
      <w:r>
        <w:rPr>
          <w:spacing w:val="1"/>
        </w:rPr>
        <w:t> </w:t>
      </w:r>
      <w:r>
        <w:rPr/>
        <w:t>resistance.</w:t>
      </w:r>
      <w:r>
        <w:rPr>
          <w:spacing w:val="1"/>
        </w:rPr>
        <w:t> </w:t>
      </w:r>
      <w:r>
        <w:rPr/>
        <w:t>Various materials were fabricated and tested for ballistic resistance using the</w:t>
      </w:r>
      <w:r>
        <w:rPr>
          <w:spacing w:val="1"/>
        </w:rPr>
        <w:t> </w:t>
      </w:r>
      <w:r>
        <w:rPr/>
        <w:t>same test set-up as the baseline CLT ballistic testing.</w:t>
      </w:r>
      <w:r>
        <w:rPr>
          <w:spacing w:val="1"/>
        </w:rPr>
        <w:t> </w:t>
      </w:r>
      <w:r>
        <w:rPr/>
        <w:t>This research limited the enhancing</w:t>
      </w:r>
      <w:r>
        <w:rPr>
          <w:spacing w:val="-57"/>
        </w:rPr>
        <w:t> </w:t>
      </w:r>
      <w:r>
        <w:rPr/>
        <w:t>layer</w:t>
      </w:r>
      <w:r>
        <w:rPr>
          <w:spacing w:val="-3"/>
        </w:rPr>
        <w:t> </w:t>
      </w:r>
      <w:r>
        <w:rPr/>
        <w:t>placement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/>
        <w:t>one</w:t>
      </w:r>
      <w:r>
        <w:rPr>
          <w:spacing w:val="-2"/>
        </w:rPr>
        <w:t> </w:t>
      </w:r>
      <w:r>
        <w:rPr/>
        <w:t>near</w:t>
      </w:r>
      <w:r>
        <w:rPr>
          <w:spacing w:val="-3"/>
        </w:rPr>
        <w:t> </w:t>
      </w:r>
      <w:r>
        <w:rPr/>
        <w:t>centrally</w:t>
      </w:r>
      <w:r>
        <w:rPr>
          <w:spacing w:val="-4"/>
        </w:rPr>
        <w:t> </w:t>
      </w:r>
      <w:r>
        <w:rPr/>
        <w:t>placed</w:t>
      </w:r>
      <w:r>
        <w:rPr>
          <w:spacing w:val="-3"/>
        </w:rPr>
        <w:t> </w:t>
      </w:r>
      <w:r>
        <w:rPr/>
        <w:t>location</w:t>
      </w:r>
      <w:r>
        <w:rPr>
          <w:spacing w:val="-4"/>
        </w:rPr>
        <w:t> </w:t>
      </w:r>
      <w:r>
        <w:rPr/>
        <w:t>for</w:t>
      </w:r>
      <w:r>
        <w:rPr>
          <w:spacing w:val="-3"/>
        </w:rPr>
        <w:t> </w:t>
      </w:r>
      <w:r>
        <w:rPr/>
        <w:t>all</w:t>
      </w:r>
      <w:r>
        <w:rPr>
          <w:spacing w:val="-5"/>
        </w:rPr>
        <w:t> </w:t>
      </w:r>
      <w:r>
        <w:rPr/>
        <w:t>but</w:t>
      </w:r>
      <w:r>
        <w:rPr>
          <w:spacing w:val="-3"/>
        </w:rPr>
        <w:t> </w:t>
      </w:r>
      <w:r>
        <w:rPr/>
        <w:t>one</w:t>
      </w:r>
      <w:r>
        <w:rPr>
          <w:spacing w:val="-4"/>
        </w:rPr>
        <w:t> </w:t>
      </w:r>
      <w:r>
        <w:rPr/>
        <w:t>variation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ECLT</w:t>
      </w:r>
      <w:r>
        <w:rPr>
          <w:spacing w:val="-58"/>
        </w:rPr>
        <w:t> </w:t>
      </w:r>
      <w:r>
        <w:rPr/>
        <w:t>test specimens.</w:t>
      </w:r>
      <w:r>
        <w:rPr>
          <w:spacing w:val="1"/>
        </w:rPr>
        <w:t> </w:t>
      </w:r>
      <w:r>
        <w:rPr/>
        <w:t>Additional testing could examine different layups with the materials to</w:t>
      </w:r>
      <w:r>
        <w:rPr>
          <w:spacing w:val="1"/>
        </w:rPr>
        <w:t> </w:t>
      </w:r>
      <w:r>
        <w:rPr/>
        <w:t>optimize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placement of</w:t>
      </w:r>
      <w:r>
        <w:rPr>
          <w:spacing w:val="-1"/>
        </w:rPr>
        <w:t> </w:t>
      </w:r>
      <w:r>
        <w:rPr/>
        <w:t>the enhancing layer.</w:t>
      </w:r>
    </w:p>
    <w:p>
      <w:pPr>
        <w:pStyle w:val="BodyText"/>
        <w:spacing w:line="480" w:lineRule="auto" w:before="160"/>
        <w:ind w:left="440" w:right="417" w:firstLine="720"/>
        <w:jc w:val="both"/>
      </w:pPr>
      <w:r>
        <w:rPr/>
        <w:t>The</w:t>
      </w:r>
      <w:r>
        <w:rPr>
          <w:spacing w:val="-13"/>
        </w:rPr>
        <w:t> </w:t>
      </w:r>
      <w:r>
        <w:rPr/>
        <w:t>perforated</w:t>
      </w:r>
      <w:r>
        <w:rPr>
          <w:spacing w:val="-12"/>
        </w:rPr>
        <w:t> </w:t>
      </w:r>
      <w:r>
        <w:rPr/>
        <w:t>metal</w:t>
      </w:r>
      <w:r>
        <w:rPr>
          <w:spacing w:val="-12"/>
        </w:rPr>
        <w:t> </w:t>
      </w:r>
      <w:r>
        <w:rPr/>
        <w:t>plates</w:t>
      </w:r>
      <w:r>
        <w:rPr>
          <w:spacing w:val="-12"/>
        </w:rPr>
        <w:t> </w:t>
      </w:r>
      <w:r>
        <w:rPr/>
        <w:t>offered</w:t>
      </w:r>
      <w:r>
        <w:rPr>
          <w:spacing w:val="-12"/>
        </w:rPr>
        <w:t> </w:t>
      </w:r>
      <w:r>
        <w:rPr/>
        <w:t>excellent</w:t>
      </w:r>
      <w:r>
        <w:rPr>
          <w:spacing w:val="-12"/>
        </w:rPr>
        <w:t> </w:t>
      </w:r>
      <w:r>
        <w:rPr/>
        <w:t>performance</w:t>
      </w:r>
      <w:r>
        <w:rPr>
          <w:spacing w:val="-12"/>
        </w:rPr>
        <w:t> </w:t>
      </w:r>
      <w:r>
        <w:rPr/>
        <w:t>with</w:t>
      </w:r>
      <w:r>
        <w:rPr>
          <w:spacing w:val="-12"/>
        </w:rPr>
        <w:t> </w:t>
      </w:r>
      <w:r>
        <w:rPr/>
        <w:t>less</w:t>
      </w:r>
      <w:r>
        <w:rPr>
          <w:spacing w:val="-13"/>
        </w:rPr>
        <w:t> </w:t>
      </w:r>
      <w:r>
        <w:rPr/>
        <w:t>weight</w:t>
      </w:r>
      <w:r>
        <w:rPr>
          <w:spacing w:val="-13"/>
        </w:rPr>
        <w:t> </w:t>
      </w:r>
      <w:r>
        <w:rPr/>
        <w:t>than</w:t>
      </w:r>
      <w:r>
        <w:rPr>
          <w:spacing w:val="-13"/>
        </w:rPr>
        <w:t> </w:t>
      </w:r>
      <w:r>
        <w:rPr/>
        <w:t>the</w:t>
      </w:r>
      <w:r>
        <w:rPr>
          <w:spacing w:val="-57"/>
        </w:rPr>
        <w:t> </w:t>
      </w:r>
      <w:r>
        <w:rPr/>
        <w:t>solid steel plates, which also performed well.</w:t>
      </w:r>
      <w:r>
        <w:rPr>
          <w:spacing w:val="1"/>
        </w:rPr>
        <w:t> </w:t>
      </w:r>
      <w:r>
        <w:rPr/>
        <w:t>Fabricating the solid steel plates into the</w:t>
      </w:r>
      <w:r>
        <w:rPr>
          <w:spacing w:val="1"/>
        </w:rPr>
        <w:t> </w:t>
      </w:r>
      <w:r>
        <w:rPr>
          <w:spacing w:val="-1"/>
        </w:rPr>
        <w:t>composite</w:t>
      </w:r>
      <w:r>
        <w:rPr>
          <w:spacing w:val="-13"/>
        </w:rPr>
        <w:t> </w:t>
      </w:r>
      <w:r>
        <w:rPr>
          <w:spacing w:val="-1"/>
        </w:rPr>
        <w:t>was</w:t>
      </w:r>
      <w:r>
        <w:rPr>
          <w:spacing w:val="-13"/>
        </w:rPr>
        <w:t> </w:t>
      </w:r>
      <w:r>
        <w:rPr>
          <w:spacing w:val="-1"/>
        </w:rPr>
        <w:t>a</w:t>
      </w:r>
      <w:r>
        <w:rPr>
          <w:spacing w:val="-13"/>
        </w:rPr>
        <w:t> </w:t>
      </w:r>
      <w:r>
        <w:rPr>
          <w:spacing w:val="-1"/>
        </w:rPr>
        <w:t>challenge</w:t>
      </w:r>
      <w:r>
        <w:rPr>
          <w:spacing w:val="-13"/>
        </w:rPr>
        <w:t> </w:t>
      </w:r>
      <w:r>
        <w:rPr/>
        <w:t>due</w:t>
      </w:r>
      <w:r>
        <w:rPr>
          <w:spacing w:val="-15"/>
        </w:rPr>
        <w:t> </w:t>
      </w:r>
      <w:r>
        <w:rPr/>
        <w:t>to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lack</w:t>
      </w:r>
      <w:r>
        <w:rPr>
          <w:spacing w:val="-14"/>
        </w:rPr>
        <w:t> </w:t>
      </w:r>
      <w:r>
        <w:rPr/>
        <w:t>of</w:t>
      </w:r>
      <w:r>
        <w:rPr>
          <w:spacing w:val="-14"/>
        </w:rPr>
        <w:t> </w:t>
      </w:r>
      <w:r>
        <w:rPr/>
        <w:t>even</w:t>
      </w:r>
      <w:r>
        <w:rPr>
          <w:spacing w:val="-14"/>
        </w:rPr>
        <w:t> </w:t>
      </w:r>
      <w:r>
        <w:rPr/>
        <w:t>surfaces</w:t>
      </w:r>
      <w:r>
        <w:rPr>
          <w:spacing w:val="-13"/>
        </w:rPr>
        <w:t> </w:t>
      </w:r>
      <w:r>
        <w:rPr/>
        <w:t>with</w:t>
      </w:r>
      <w:r>
        <w:rPr>
          <w:spacing w:val="-15"/>
        </w:rPr>
        <w:t> </w:t>
      </w:r>
      <w:r>
        <w:rPr/>
        <w:t>the</w:t>
      </w:r>
      <w:r>
        <w:rPr>
          <w:spacing w:val="-13"/>
        </w:rPr>
        <w:t> </w:t>
      </w:r>
      <w:r>
        <w:rPr/>
        <w:t>CLT</w:t>
      </w:r>
      <w:r>
        <w:rPr>
          <w:spacing w:val="-14"/>
        </w:rPr>
        <w:t> </w:t>
      </w:r>
      <w:r>
        <w:rPr/>
        <w:t>for</w:t>
      </w:r>
      <w:r>
        <w:rPr>
          <w:spacing w:val="-14"/>
        </w:rPr>
        <w:t> </w:t>
      </w:r>
      <w:r>
        <w:rPr/>
        <w:t>good</w:t>
      </w:r>
      <w:r>
        <w:rPr>
          <w:spacing w:val="-14"/>
        </w:rPr>
        <w:t> </w:t>
      </w:r>
      <w:r>
        <w:rPr/>
        <w:t>adhesion.</w:t>
      </w:r>
      <w:r>
        <w:rPr>
          <w:spacing w:val="-57"/>
        </w:rPr>
        <w:t> </w:t>
      </w:r>
      <w:r>
        <w:rPr/>
        <w:t>Mechanical</w:t>
      </w:r>
      <w:r>
        <w:rPr>
          <w:spacing w:val="-9"/>
        </w:rPr>
        <w:t> </w:t>
      </w:r>
      <w:r>
        <w:rPr/>
        <w:t>connections</w:t>
      </w:r>
      <w:r>
        <w:rPr>
          <w:spacing w:val="-7"/>
        </w:rPr>
        <w:t> </w:t>
      </w:r>
      <w:r>
        <w:rPr/>
        <w:t>worked</w:t>
      </w:r>
      <w:r>
        <w:rPr>
          <w:spacing w:val="-7"/>
        </w:rPr>
        <w:t> </w:t>
      </w:r>
      <w:r>
        <w:rPr/>
        <w:t>well</w:t>
      </w:r>
      <w:r>
        <w:rPr>
          <w:spacing w:val="-7"/>
        </w:rPr>
        <w:t> </w:t>
      </w:r>
      <w:r>
        <w:rPr/>
        <w:t>but</w:t>
      </w:r>
      <w:r>
        <w:rPr>
          <w:spacing w:val="-7"/>
        </w:rPr>
        <w:t> </w:t>
      </w:r>
      <w:r>
        <w:rPr/>
        <w:t>more</w:t>
      </w:r>
      <w:r>
        <w:rPr>
          <w:spacing w:val="-7"/>
        </w:rPr>
        <w:t> </w:t>
      </w:r>
      <w:r>
        <w:rPr/>
        <w:t>research</w:t>
      </w:r>
      <w:r>
        <w:rPr>
          <w:spacing w:val="-7"/>
        </w:rPr>
        <w:t> </w:t>
      </w:r>
      <w:r>
        <w:rPr/>
        <w:t>is</w:t>
      </w:r>
      <w:r>
        <w:rPr>
          <w:spacing w:val="-7"/>
        </w:rPr>
        <w:t> </w:t>
      </w:r>
      <w:r>
        <w:rPr/>
        <w:t>needed</w:t>
      </w:r>
      <w:r>
        <w:rPr>
          <w:spacing w:val="-6"/>
        </w:rPr>
        <w:t> </w:t>
      </w:r>
      <w:r>
        <w:rPr/>
        <w:t>to</w:t>
      </w:r>
      <w:r>
        <w:rPr>
          <w:spacing w:val="-7"/>
        </w:rPr>
        <w:t> </w:t>
      </w:r>
      <w:r>
        <w:rPr/>
        <w:t>determine</w:t>
      </w:r>
      <w:r>
        <w:rPr>
          <w:spacing w:val="-6"/>
        </w:rPr>
        <w:t> </w:t>
      </w:r>
      <w:r>
        <w:rPr/>
        <w:t>connection</w:t>
      </w:r>
      <w:r>
        <w:rPr>
          <w:spacing w:val="-58"/>
        </w:rPr>
        <w:t> </w:t>
      </w:r>
      <w:r>
        <w:rPr/>
        <w:t>spacing and other design factors. Commercially produced fiber-based ballistic panels also</w:t>
      </w:r>
      <w:r>
        <w:rPr>
          <w:spacing w:val="-57"/>
        </w:rPr>
        <w:t> </w:t>
      </w:r>
      <w:r>
        <w:rPr>
          <w:spacing w:val="-1"/>
        </w:rPr>
        <w:t>greatly</w:t>
      </w:r>
      <w:r>
        <w:rPr>
          <w:spacing w:val="-15"/>
        </w:rPr>
        <w:t> </w:t>
      </w:r>
      <w:r>
        <w:rPr>
          <w:spacing w:val="-1"/>
        </w:rPr>
        <w:t>increased</w:t>
      </w:r>
      <w:r>
        <w:rPr>
          <w:spacing w:val="-15"/>
        </w:rPr>
        <w:t> </w:t>
      </w:r>
      <w:r>
        <w:rPr>
          <w:spacing w:val="-1"/>
        </w:rPr>
        <w:t>the</w:t>
      </w:r>
      <w:r>
        <w:rPr>
          <w:spacing w:val="-15"/>
        </w:rPr>
        <w:t> </w:t>
      </w:r>
      <w:r>
        <w:rPr/>
        <w:t>ballistic</w:t>
      </w:r>
      <w:r>
        <w:rPr>
          <w:spacing w:val="-15"/>
        </w:rPr>
        <w:t> </w:t>
      </w:r>
      <w:r>
        <w:rPr/>
        <w:t>resistance</w:t>
      </w:r>
      <w:r>
        <w:rPr>
          <w:spacing w:val="-15"/>
        </w:rPr>
        <w:t> </w:t>
      </w:r>
      <w:r>
        <w:rPr/>
        <w:t>of</w:t>
      </w:r>
      <w:r>
        <w:rPr>
          <w:spacing w:val="-16"/>
        </w:rPr>
        <w:t> </w:t>
      </w:r>
      <w:r>
        <w:rPr/>
        <w:t>the</w:t>
      </w:r>
      <w:r>
        <w:rPr>
          <w:spacing w:val="-15"/>
        </w:rPr>
        <w:t> </w:t>
      </w:r>
      <w:r>
        <w:rPr/>
        <w:t>panel</w:t>
      </w:r>
      <w:r>
        <w:rPr>
          <w:spacing w:val="-14"/>
        </w:rPr>
        <w:t> </w:t>
      </w:r>
      <w:r>
        <w:rPr/>
        <w:t>while</w:t>
      </w:r>
      <w:r>
        <w:rPr>
          <w:spacing w:val="-15"/>
        </w:rPr>
        <w:t> </w:t>
      </w:r>
      <w:r>
        <w:rPr/>
        <w:t>adding</w:t>
      </w:r>
      <w:r>
        <w:rPr>
          <w:spacing w:val="-15"/>
        </w:rPr>
        <w:t> </w:t>
      </w:r>
      <w:r>
        <w:rPr/>
        <w:t>less</w:t>
      </w:r>
      <w:r>
        <w:rPr>
          <w:spacing w:val="-15"/>
        </w:rPr>
        <w:t> </w:t>
      </w:r>
      <w:r>
        <w:rPr/>
        <w:t>weight</w:t>
      </w:r>
      <w:r>
        <w:rPr>
          <w:spacing w:val="-14"/>
        </w:rPr>
        <w:t> </w:t>
      </w:r>
      <w:r>
        <w:rPr/>
        <w:t>to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product</w:t>
      </w:r>
      <w:r>
        <w:rPr>
          <w:spacing w:val="-57"/>
        </w:rPr>
        <w:t> </w:t>
      </w:r>
      <w:r>
        <w:rPr/>
        <w:t>than the metal options.</w:t>
      </w:r>
      <w:r>
        <w:rPr>
          <w:spacing w:val="1"/>
        </w:rPr>
        <w:t> </w:t>
      </w:r>
      <w:r>
        <w:rPr/>
        <w:t>They also conformed well with an epoxy binder to the CLT</w:t>
      </w:r>
      <w:r>
        <w:rPr>
          <w:spacing w:val="1"/>
        </w:rPr>
        <w:t> </w:t>
      </w:r>
      <w:r>
        <w:rPr/>
        <w:t>sections.</w:t>
      </w:r>
      <w:r>
        <w:rPr>
          <w:spacing w:val="1"/>
        </w:rPr>
        <w:t> </w:t>
      </w:r>
      <w:r>
        <w:rPr/>
        <w:t>Lastly, a small number of very thin fiberglass fabric layers showed marked</w:t>
      </w:r>
      <w:r>
        <w:rPr>
          <w:spacing w:val="1"/>
        </w:rPr>
        <w:t> </w:t>
      </w:r>
      <w:r>
        <w:rPr/>
        <w:t>improvement to the ballistic resistance over the baseline CLT, although some perforating</w:t>
      </w:r>
      <w:r>
        <w:rPr>
          <w:spacing w:val="1"/>
        </w:rPr>
        <w:t> </w:t>
      </w:r>
      <w:r>
        <w:rPr/>
        <w:t>shots</w:t>
      </w:r>
      <w:r>
        <w:rPr>
          <w:spacing w:val="-1"/>
        </w:rPr>
        <w:t> </w:t>
      </w:r>
      <w:r>
        <w:rPr/>
        <w:t>were observed.</w:t>
      </w:r>
    </w:p>
    <w:p>
      <w:pPr>
        <w:pStyle w:val="BodyText"/>
        <w:spacing w:line="480" w:lineRule="auto" w:before="160"/>
        <w:ind w:left="440" w:right="417" w:firstLine="720"/>
        <w:jc w:val="both"/>
      </w:pPr>
      <w:r>
        <w:rPr/>
        <w:t>Cost-benefit assessment examples provided insight into the tradeoffs between the</w:t>
      </w:r>
      <w:r>
        <w:rPr>
          <w:spacing w:val="1"/>
        </w:rPr>
        <w:t> </w:t>
      </w:r>
      <w:r>
        <w:rPr/>
        <w:t>expense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enhancing</w:t>
      </w:r>
      <w:r>
        <w:rPr>
          <w:spacing w:val="-9"/>
        </w:rPr>
        <w:t> </w:t>
      </w:r>
      <w:r>
        <w:rPr/>
        <w:t>materials</w:t>
      </w:r>
      <w:r>
        <w:rPr>
          <w:spacing w:val="-7"/>
        </w:rPr>
        <w:t> </w:t>
      </w:r>
      <w:r>
        <w:rPr/>
        <w:t>and</w:t>
      </w:r>
      <w:r>
        <w:rPr>
          <w:spacing w:val="-10"/>
        </w:rPr>
        <w:t> </w:t>
      </w:r>
      <w:r>
        <w:rPr/>
        <w:t>the</w:t>
      </w:r>
      <w:r>
        <w:rPr>
          <w:spacing w:val="-8"/>
        </w:rPr>
        <w:t> </w:t>
      </w:r>
      <w:r>
        <w:rPr/>
        <w:t>perceived</w:t>
      </w:r>
      <w:r>
        <w:rPr>
          <w:spacing w:val="-9"/>
        </w:rPr>
        <w:t> </w:t>
      </w:r>
      <w:r>
        <w:rPr/>
        <w:t>benefit.</w:t>
      </w:r>
      <w:r>
        <w:rPr>
          <w:spacing w:val="43"/>
        </w:rPr>
        <w:t> </w:t>
      </w:r>
      <w:r>
        <w:rPr/>
        <w:t>The</w:t>
      </w:r>
      <w:r>
        <w:rPr>
          <w:spacing w:val="-8"/>
        </w:rPr>
        <w:t> </w:t>
      </w:r>
      <w:r>
        <w:rPr/>
        <w:t>high</w:t>
      </w:r>
      <w:r>
        <w:rPr>
          <w:spacing w:val="-8"/>
        </w:rPr>
        <w:t> </w:t>
      </w:r>
      <w:r>
        <w:rPr/>
        <w:t>cost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7"/>
        </w:rPr>
        <w:t> </w:t>
      </w:r>
      <w:r>
        <w:rPr/>
        <w:t>fiber-based</w:t>
      </w:r>
      <w:r>
        <w:rPr>
          <w:spacing w:val="-58"/>
        </w:rPr>
        <w:t> </w:t>
      </w:r>
      <w:r>
        <w:rPr/>
        <w:t>ballistic</w:t>
      </w:r>
      <w:r>
        <w:rPr>
          <w:spacing w:val="-13"/>
        </w:rPr>
        <w:t> </w:t>
      </w:r>
      <w:r>
        <w:rPr/>
        <w:t>panels</w:t>
      </w:r>
      <w:r>
        <w:rPr>
          <w:spacing w:val="-13"/>
        </w:rPr>
        <w:t> </w:t>
      </w:r>
      <w:r>
        <w:rPr/>
        <w:t>made</w:t>
      </w:r>
      <w:r>
        <w:rPr>
          <w:spacing w:val="-13"/>
        </w:rPr>
        <w:t> </w:t>
      </w:r>
      <w:r>
        <w:rPr/>
        <w:t>them</w:t>
      </w:r>
      <w:r>
        <w:rPr>
          <w:spacing w:val="-13"/>
        </w:rPr>
        <w:t> </w:t>
      </w:r>
      <w:r>
        <w:rPr/>
        <w:t>less</w:t>
      </w:r>
      <w:r>
        <w:rPr>
          <w:spacing w:val="-13"/>
        </w:rPr>
        <w:t> </w:t>
      </w:r>
      <w:r>
        <w:rPr/>
        <w:t>attractive</w:t>
      </w:r>
      <w:r>
        <w:rPr>
          <w:spacing w:val="-13"/>
        </w:rPr>
        <w:t> </w:t>
      </w:r>
      <w:r>
        <w:rPr/>
        <w:t>choices</w:t>
      </w:r>
      <w:r>
        <w:rPr>
          <w:spacing w:val="-13"/>
        </w:rPr>
        <w:t> </w:t>
      </w:r>
      <w:r>
        <w:rPr/>
        <w:t>despite</w:t>
      </w:r>
      <w:r>
        <w:rPr>
          <w:spacing w:val="-13"/>
        </w:rPr>
        <w:t> </w:t>
      </w:r>
      <w:r>
        <w:rPr/>
        <w:t>their</w:t>
      </w:r>
      <w:r>
        <w:rPr>
          <w:spacing w:val="-13"/>
        </w:rPr>
        <w:t> </w:t>
      </w:r>
      <w:r>
        <w:rPr/>
        <w:t>excellent</w:t>
      </w:r>
      <w:r>
        <w:rPr>
          <w:spacing w:val="-13"/>
        </w:rPr>
        <w:t> </w:t>
      </w:r>
      <w:r>
        <w:rPr/>
        <w:t>ballistic</w:t>
      </w:r>
      <w:r>
        <w:rPr>
          <w:spacing w:val="-13"/>
        </w:rPr>
        <w:t> </w:t>
      </w:r>
      <w:r>
        <w:rPr/>
        <w:t>resistance.</w:t>
      </w:r>
      <w:r>
        <w:rPr>
          <w:spacing w:val="-57"/>
        </w:rPr>
        <w:t> </w:t>
      </w:r>
      <w:r>
        <w:rPr/>
        <w:t>The</w:t>
      </w:r>
      <w:r>
        <w:rPr>
          <w:spacing w:val="55"/>
        </w:rPr>
        <w:t> </w:t>
      </w:r>
      <w:r>
        <w:rPr/>
        <w:t>baseline</w:t>
      </w:r>
      <w:r>
        <w:rPr>
          <w:spacing w:val="55"/>
        </w:rPr>
        <w:t> </w:t>
      </w:r>
      <w:r>
        <w:rPr/>
        <w:t>CLT</w:t>
      </w:r>
      <w:r>
        <w:rPr>
          <w:spacing w:val="55"/>
        </w:rPr>
        <w:t> </w:t>
      </w:r>
      <w:r>
        <w:rPr/>
        <w:t>consistently</w:t>
      </w:r>
      <w:r>
        <w:rPr>
          <w:spacing w:val="55"/>
        </w:rPr>
        <w:t> </w:t>
      </w:r>
      <w:r>
        <w:rPr/>
        <w:t>achieved</w:t>
      </w:r>
      <w:r>
        <w:rPr>
          <w:spacing w:val="55"/>
        </w:rPr>
        <w:t> </w:t>
      </w:r>
      <w:r>
        <w:rPr/>
        <w:t>the</w:t>
      </w:r>
      <w:r>
        <w:rPr>
          <w:spacing w:val="54"/>
        </w:rPr>
        <w:t> </w:t>
      </w:r>
      <w:r>
        <w:rPr/>
        <w:t>best</w:t>
      </w:r>
      <w:r>
        <w:rPr>
          <w:spacing w:val="55"/>
        </w:rPr>
        <w:t> </w:t>
      </w:r>
      <w:r>
        <w:rPr/>
        <w:t>BCR</w:t>
      </w:r>
      <w:r>
        <w:rPr>
          <w:spacing w:val="54"/>
        </w:rPr>
        <w:t> </w:t>
      </w:r>
      <w:r>
        <w:rPr/>
        <w:t>based</w:t>
      </w:r>
      <w:r>
        <w:rPr>
          <w:spacing w:val="55"/>
        </w:rPr>
        <w:t> </w:t>
      </w:r>
      <w:r>
        <w:rPr/>
        <w:t>on</w:t>
      </w:r>
      <w:r>
        <w:rPr>
          <w:spacing w:val="55"/>
        </w:rPr>
        <w:t> </w:t>
      </w:r>
      <w:r>
        <w:rPr/>
        <w:t>cost</w:t>
      </w:r>
      <w:r>
        <w:rPr>
          <w:spacing w:val="55"/>
        </w:rPr>
        <w:t> </w:t>
      </w:r>
      <w:r>
        <w:rPr/>
        <w:t>and</w:t>
      </w:r>
      <w:r>
        <w:rPr>
          <w:spacing w:val="55"/>
        </w:rPr>
        <w:t> </w:t>
      </w:r>
      <w:r>
        <w:rPr/>
        <w:t>resistance</w:t>
      </w:r>
    </w:p>
    <w:p>
      <w:pPr>
        <w:spacing w:after="0" w:line="480" w:lineRule="auto"/>
        <w:jc w:val="both"/>
        <w:sectPr>
          <w:pgSz w:w="12240" w:h="15840"/>
          <w:pgMar w:header="0" w:footer="1064" w:top="1380" w:bottom="1260" w:left="1720" w:right="1020"/>
        </w:sectPr>
      </w:pPr>
    </w:p>
    <w:p>
      <w:pPr>
        <w:pStyle w:val="BodyText"/>
        <w:spacing w:line="480" w:lineRule="auto" w:before="78"/>
        <w:ind w:left="440" w:right="418"/>
      </w:pPr>
      <w:r>
        <w:rPr/>
        <w:t>rankings</w:t>
      </w:r>
      <w:r>
        <w:rPr>
          <w:spacing w:val="4"/>
        </w:rPr>
        <w:t> </w:t>
      </w:r>
      <w:r>
        <w:rPr/>
        <w:t>as</w:t>
      </w:r>
      <w:r>
        <w:rPr>
          <w:spacing w:val="4"/>
        </w:rPr>
        <w:t> </w:t>
      </w:r>
      <w:r>
        <w:rPr/>
        <w:t>it</w:t>
      </w:r>
      <w:r>
        <w:rPr>
          <w:spacing w:val="5"/>
        </w:rPr>
        <w:t> </w:t>
      </w:r>
      <w:r>
        <w:rPr/>
        <w:t>added</w:t>
      </w:r>
      <w:r>
        <w:rPr>
          <w:spacing w:val="3"/>
        </w:rPr>
        <w:t> </w:t>
      </w:r>
      <w:r>
        <w:rPr/>
        <w:t>no</w:t>
      </w:r>
      <w:r>
        <w:rPr>
          <w:spacing w:val="5"/>
        </w:rPr>
        <w:t> </w:t>
      </w:r>
      <w:r>
        <w:rPr/>
        <w:t>cost.</w:t>
      </w:r>
      <w:r>
        <w:rPr>
          <w:spacing w:val="12"/>
        </w:rPr>
        <w:t> </w:t>
      </w:r>
      <w:r>
        <w:rPr/>
        <w:t>The</w:t>
      </w:r>
      <w:r>
        <w:rPr>
          <w:spacing w:val="4"/>
        </w:rPr>
        <w:t> </w:t>
      </w:r>
      <w:r>
        <w:rPr/>
        <w:t>total</w:t>
      </w:r>
      <w:r>
        <w:rPr>
          <w:spacing w:val="5"/>
        </w:rPr>
        <w:t> </w:t>
      </w:r>
      <w:r>
        <w:rPr/>
        <w:t>ranking</w:t>
      </w:r>
      <w:r>
        <w:rPr>
          <w:spacing w:val="3"/>
        </w:rPr>
        <w:t> </w:t>
      </w:r>
      <w:r>
        <w:rPr/>
        <w:t>technique</w:t>
      </w:r>
      <w:r>
        <w:rPr>
          <w:spacing w:val="4"/>
        </w:rPr>
        <w:t> </w:t>
      </w:r>
      <w:r>
        <w:rPr/>
        <w:t>identified</w:t>
      </w:r>
      <w:r>
        <w:rPr>
          <w:spacing w:val="3"/>
        </w:rPr>
        <w:t> </w:t>
      </w:r>
      <w:r>
        <w:rPr/>
        <w:t>the</w:t>
      </w:r>
      <w:r>
        <w:rPr>
          <w:spacing w:val="4"/>
        </w:rPr>
        <w:t> </w:t>
      </w:r>
      <w:r>
        <w:rPr/>
        <w:t>steel</w:t>
      </w:r>
      <w:r>
        <w:rPr>
          <w:spacing w:val="5"/>
        </w:rPr>
        <w:t> </w:t>
      </w:r>
      <w:r>
        <w:rPr/>
        <w:t>plates</w:t>
      </w:r>
      <w:r>
        <w:rPr>
          <w:spacing w:val="5"/>
        </w:rPr>
        <w:t> </w:t>
      </w:r>
      <w:r>
        <w:rPr/>
        <w:t>as</w:t>
      </w:r>
      <w:r>
        <w:rPr>
          <w:spacing w:val="4"/>
        </w:rPr>
        <w:t> </w:t>
      </w:r>
      <w:r>
        <w:rPr/>
        <w:t>the</w:t>
      </w:r>
      <w:r>
        <w:rPr>
          <w:spacing w:val="-57"/>
        </w:rPr>
        <w:t> </w:t>
      </w:r>
      <w:r>
        <w:rPr/>
        <w:t>best</w:t>
      </w:r>
      <w:r>
        <w:rPr>
          <w:spacing w:val="-1"/>
        </w:rPr>
        <w:t> </w:t>
      </w:r>
      <w:r>
        <w:rPr/>
        <w:t>option followed by the expanded metal.</w:t>
      </w:r>
    </w:p>
    <w:p>
      <w:pPr>
        <w:spacing w:after="0" w:line="480" w:lineRule="auto"/>
        <w:sectPr>
          <w:pgSz w:w="12240" w:h="15840"/>
          <w:pgMar w:header="0" w:footer="1064" w:top="1360" w:bottom="1260" w:left="1720" w:right="1020"/>
        </w:sectPr>
      </w:pPr>
    </w:p>
    <w:p>
      <w:pPr>
        <w:pStyle w:val="Heading4"/>
        <w:ind w:left="3244" w:right="3303"/>
      </w:pPr>
      <w:bookmarkStart w:name="Chapter 8" w:id="506"/>
      <w:bookmarkEnd w:id="506"/>
      <w:r>
        <w:rPr>
          <w:b w:val="0"/>
        </w:rPr>
      </w:r>
      <w:r>
        <w:rPr/>
        <w:t>CHAPTER</w:t>
      </w:r>
      <w:r>
        <w:rPr>
          <w:spacing w:val="-7"/>
        </w:rPr>
        <w:t> </w:t>
      </w:r>
      <w:r>
        <w:rPr/>
        <w:t>8</w:t>
      </w:r>
    </w:p>
    <w:p>
      <w:pPr>
        <w:spacing w:before="27"/>
        <w:ind w:left="18" w:right="0" w:firstLine="0"/>
        <w:jc w:val="center"/>
        <w:rPr>
          <w:b/>
          <w:sz w:val="28"/>
        </w:rPr>
      </w:pPr>
      <w:r>
        <w:rPr>
          <w:b/>
          <w:sz w:val="28"/>
        </w:rPr>
        <w:t>CLT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BLAST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PERFORMANCE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AND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ANALYSIS</w:t>
      </w: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spacing w:before="11"/>
        <w:rPr>
          <w:b/>
          <w:sz w:val="41"/>
        </w:rPr>
      </w:pPr>
    </w:p>
    <w:p>
      <w:pPr>
        <w:pStyle w:val="Heading9"/>
        <w:numPr>
          <w:ilvl w:val="1"/>
          <w:numId w:val="27"/>
        </w:numPr>
        <w:tabs>
          <w:tab w:pos="800" w:val="left" w:leader="none"/>
        </w:tabs>
        <w:spacing w:line="240" w:lineRule="auto" w:before="0" w:after="0"/>
        <w:ind w:left="800" w:right="0" w:hanging="360"/>
        <w:jc w:val="both"/>
      </w:pPr>
      <w:bookmarkStart w:name="_TOC_250014" w:id="507"/>
      <w:bookmarkStart w:name="8.1 Fundamentals of blast loading" w:id="508"/>
      <w:r>
        <w:rPr>
          <w:b w:val="0"/>
        </w:rPr>
      </w:r>
      <w:bookmarkEnd w:id="508"/>
      <w:bookmarkStart w:name="8.1 Fundamentals of blast loading" w:id="509"/>
      <w:r>
        <w:rPr/>
        <w:t>F</w:t>
      </w:r>
      <w:r>
        <w:rPr/>
        <w:t>undamentals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blast</w:t>
      </w:r>
      <w:r>
        <w:rPr>
          <w:spacing w:val="-4"/>
        </w:rPr>
        <w:t> </w:t>
      </w:r>
      <w:bookmarkEnd w:id="507"/>
      <w:r>
        <w:rPr/>
        <w:t>loading</w:t>
      </w:r>
    </w:p>
    <w:p>
      <w:pPr>
        <w:pStyle w:val="ListParagraph"/>
        <w:numPr>
          <w:ilvl w:val="2"/>
          <w:numId w:val="27"/>
        </w:numPr>
        <w:tabs>
          <w:tab w:pos="980" w:val="left" w:leader="none"/>
        </w:tabs>
        <w:spacing w:line="240" w:lineRule="auto" w:before="140" w:after="0"/>
        <w:ind w:left="980" w:right="0" w:hanging="540"/>
        <w:jc w:val="both"/>
        <w:rPr>
          <w:i/>
          <w:sz w:val="24"/>
        </w:rPr>
      </w:pPr>
      <w:bookmarkStart w:name="8.1.1 Blast loads" w:id="510"/>
      <w:bookmarkEnd w:id="510"/>
      <w:r>
        <w:rPr/>
      </w:r>
      <w:bookmarkStart w:name="8.1.1 Blast loads" w:id="511"/>
      <w:bookmarkEnd w:id="511"/>
      <w:r>
        <w:rPr>
          <w:i/>
          <w:sz w:val="24"/>
        </w:rPr>
        <w:t>B</w:t>
      </w:r>
      <w:r>
        <w:rPr>
          <w:i/>
          <w:sz w:val="24"/>
        </w:rPr>
        <w:t>last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loads</w:t>
      </w:r>
    </w:p>
    <w:p>
      <w:pPr>
        <w:pStyle w:val="BodyText"/>
        <w:spacing w:before="8"/>
        <w:rPr>
          <w:i/>
          <w:sz w:val="22"/>
        </w:rPr>
      </w:pPr>
    </w:p>
    <w:p>
      <w:pPr>
        <w:pStyle w:val="BodyText"/>
        <w:spacing w:line="480" w:lineRule="auto"/>
        <w:ind w:left="439" w:right="417" w:firstLine="720"/>
        <w:jc w:val="both"/>
      </w:pPr>
      <w:r>
        <w:rPr/>
        <w:t>In</w:t>
      </w:r>
      <w:r>
        <w:rPr>
          <w:spacing w:val="1"/>
        </w:rPr>
        <w:t> </w:t>
      </w:r>
      <w:r>
        <w:rPr/>
        <w:t>addition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ballistic</w:t>
      </w:r>
      <w:r>
        <w:rPr>
          <w:spacing w:val="1"/>
        </w:rPr>
        <w:t> </w:t>
      </w:r>
      <w:r>
        <w:rPr/>
        <w:t>threats,</w:t>
      </w:r>
      <w:r>
        <w:rPr>
          <w:spacing w:val="1"/>
        </w:rPr>
        <w:t> </w:t>
      </w:r>
      <w:r>
        <w:rPr/>
        <w:t>force</w:t>
      </w:r>
      <w:r>
        <w:rPr>
          <w:spacing w:val="1"/>
        </w:rPr>
        <w:t> </w:t>
      </w:r>
      <w:r>
        <w:rPr/>
        <w:t>protection</w:t>
      </w:r>
      <w:r>
        <w:rPr>
          <w:spacing w:val="1"/>
        </w:rPr>
        <w:t> </w:t>
      </w:r>
      <w:r>
        <w:rPr/>
        <w:t>design</w:t>
      </w:r>
      <w:r>
        <w:rPr>
          <w:spacing w:val="1"/>
        </w:rPr>
        <w:t> </w:t>
      </w:r>
      <w:r>
        <w:rPr/>
        <w:t>specifications</w:t>
      </w:r>
      <w:r>
        <w:rPr>
          <w:spacing w:val="1"/>
        </w:rPr>
        <w:t> </w:t>
      </w:r>
      <w:r>
        <w:rPr/>
        <w:t>include</w:t>
      </w:r>
      <w:r>
        <w:rPr>
          <w:spacing w:val="1"/>
        </w:rPr>
        <w:t> </w:t>
      </w:r>
      <w:r>
        <w:rPr/>
        <w:t>explosive</w:t>
      </w:r>
      <w:r>
        <w:rPr>
          <w:spacing w:val="-13"/>
        </w:rPr>
        <w:t> </w:t>
      </w:r>
      <w:r>
        <w:rPr/>
        <w:t>threats.</w:t>
      </w:r>
      <w:r>
        <w:rPr>
          <w:spacing w:val="35"/>
        </w:rPr>
        <w:t> </w:t>
      </w:r>
      <w:r>
        <w:rPr/>
        <w:t>With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prevalence</w:t>
      </w:r>
      <w:r>
        <w:rPr>
          <w:spacing w:val="-13"/>
        </w:rPr>
        <w:t> </w:t>
      </w:r>
      <w:r>
        <w:rPr/>
        <w:t>of</w:t>
      </w:r>
      <w:r>
        <w:rPr>
          <w:spacing w:val="-13"/>
        </w:rPr>
        <w:t> </w:t>
      </w:r>
      <w:r>
        <w:rPr/>
        <w:t>vehicle,</w:t>
      </w:r>
      <w:r>
        <w:rPr>
          <w:spacing w:val="-12"/>
        </w:rPr>
        <w:t> </w:t>
      </w:r>
      <w:r>
        <w:rPr/>
        <w:t>mail</w:t>
      </w:r>
      <w:r>
        <w:rPr>
          <w:spacing w:val="-13"/>
        </w:rPr>
        <w:t> </w:t>
      </w:r>
      <w:r>
        <w:rPr/>
        <w:t>and</w:t>
      </w:r>
      <w:r>
        <w:rPr>
          <w:spacing w:val="-12"/>
        </w:rPr>
        <w:t> </w:t>
      </w:r>
      <w:r>
        <w:rPr/>
        <w:t>person-borne</w:t>
      </w:r>
      <w:r>
        <w:rPr>
          <w:spacing w:val="-12"/>
        </w:rPr>
        <w:t> </w:t>
      </w:r>
      <w:r>
        <w:rPr/>
        <w:t>explosive</w:t>
      </w:r>
      <w:r>
        <w:rPr>
          <w:spacing w:val="-13"/>
        </w:rPr>
        <w:t> </w:t>
      </w:r>
      <w:r>
        <w:rPr/>
        <w:t>threats,</w:t>
      </w:r>
      <w:r>
        <w:rPr>
          <w:spacing w:val="-57"/>
        </w:rPr>
        <w:t> </w:t>
      </w:r>
      <w:r>
        <w:rPr/>
        <w:t>a structure designed to enhance force protection must also include protective blast design</w:t>
      </w:r>
      <w:r>
        <w:rPr>
          <w:spacing w:val="1"/>
        </w:rPr>
        <w:t> </w:t>
      </w:r>
      <w:r>
        <w:rPr/>
        <w:t>considerations. Commonly, maximized standoff distance is used to mitigate the impact of</w:t>
      </w:r>
      <w:r>
        <w:rPr>
          <w:spacing w:val="-57"/>
        </w:rPr>
        <w:t> </w:t>
      </w:r>
      <w:r>
        <w:rPr/>
        <w:t>a</w:t>
      </w:r>
      <w:r>
        <w:rPr>
          <w:spacing w:val="-5"/>
        </w:rPr>
        <w:t> </w:t>
      </w:r>
      <w:r>
        <w:rPr/>
        <w:t>potential</w:t>
      </w:r>
      <w:r>
        <w:rPr>
          <w:spacing w:val="-3"/>
        </w:rPr>
        <w:t> </w:t>
      </w:r>
      <w:r>
        <w:rPr/>
        <w:t>explosive</w:t>
      </w:r>
      <w:r>
        <w:rPr>
          <w:spacing w:val="-5"/>
        </w:rPr>
        <w:t> </w:t>
      </w:r>
      <w:r>
        <w:rPr/>
        <w:t>threat</w:t>
      </w:r>
      <w:r>
        <w:rPr>
          <w:spacing w:val="-4"/>
        </w:rPr>
        <w:t> </w:t>
      </w:r>
      <w:r>
        <w:rPr/>
        <w:t>with</w:t>
      </w:r>
      <w:r>
        <w:rPr>
          <w:spacing w:val="-5"/>
        </w:rPr>
        <w:t> </w:t>
      </w:r>
      <w:r>
        <w:rPr/>
        <w:t>more</w:t>
      </w:r>
      <w:r>
        <w:rPr>
          <w:spacing w:val="-4"/>
        </w:rPr>
        <w:t> </w:t>
      </w:r>
      <w:r>
        <w:rPr/>
        <w:t>sensitive</w:t>
      </w:r>
      <w:r>
        <w:rPr>
          <w:spacing w:val="-6"/>
        </w:rPr>
        <w:t> </w:t>
      </w:r>
      <w:r>
        <w:rPr/>
        <w:t>and</w:t>
      </w:r>
      <w:r>
        <w:rPr>
          <w:spacing w:val="-4"/>
        </w:rPr>
        <w:t> </w:t>
      </w:r>
      <w:r>
        <w:rPr/>
        <w:t>vulnerable</w:t>
      </w:r>
      <w:r>
        <w:rPr>
          <w:spacing w:val="-4"/>
        </w:rPr>
        <w:t> </w:t>
      </w:r>
      <w:r>
        <w:rPr/>
        <w:t>areas,</w:t>
      </w:r>
      <w:r>
        <w:rPr>
          <w:spacing w:val="-5"/>
        </w:rPr>
        <w:t> </w:t>
      </w:r>
      <w:r>
        <w:rPr/>
        <w:t>such</w:t>
      </w:r>
      <w:r>
        <w:rPr>
          <w:spacing w:val="-5"/>
        </w:rPr>
        <w:t> </w:t>
      </w:r>
      <w:r>
        <w:rPr/>
        <w:t>as</w:t>
      </w:r>
      <w:r>
        <w:rPr>
          <w:spacing w:val="-4"/>
        </w:rPr>
        <w:t> </w:t>
      </w:r>
      <w:r>
        <w:rPr/>
        <w:t>fenestrations</w:t>
      </w:r>
      <w:r>
        <w:rPr>
          <w:spacing w:val="-58"/>
        </w:rPr>
        <w:t> </w:t>
      </w:r>
      <w:r>
        <w:rPr/>
        <w:t>and mailrooms, designed to be located as far as possible away from exterior walls.</w:t>
      </w:r>
      <w:r>
        <w:rPr>
          <w:spacing w:val="1"/>
        </w:rPr>
        <w:t> </w:t>
      </w:r>
      <w:r>
        <w:rPr/>
        <w:t>However, in some cases large standoff distances cannot be achieved and structures must</w:t>
      </w:r>
      <w:r>
        <w:rPr>
          <w:spacing w:val="1"/>
        </w:rPr>
        <w:t> </w:t>
      </w:r>
      <w:r>
        <w:rPr/>
        <w:t>be</w:t>
      </w:r>
      <w:r>
        <w:rPr>
          <w:spacing w:val="-1"/>
        </w:rPr>
        <w:t> </w:t>
      </w:r>
      <w:r>
        <w:rPr/>
        <w:t>designed</w:t>
      </w:r>
      <w:r>
        <w:rPr>
          <w:spacing w:val="-2"/>
        </w:rPr>
        <w:t> </w:t>
      </w:r>
      <w:r>
        <w:rPr/>
        <w:t>and analyzed to withstand the</w:t>
      </w:r>
      <w:r>
        <w:rPr>
          <w:spacing w:val="-1"/>
        </w:rPr>
        <w:t> </w:t>
      </w:r>
      <w:r>
        <w:rPr/>
        <w:t>explosive load.</w:t>
      </w:r>
    </w:p>
    <w:p>
      <w:pPr>
        <w:pStyle w:val="BodyText"/>
        <w:spacing w:line="480" w:lineRule="auto" w:before="160"/>
        <w:ind w:left="439" w:right="416" w:firstLine="720"/>
        <w:jc w:val="both"/>
      </w:pPr>
      <w:r>
        <w:rPr>
          <w:spacing w:val="-1"/>
        </w:rPr>
        <w:t>The</w:t>
      </w:r>
      <w:r>
        <w:rPr>
          <w:spacing w:val="-13"/>
        </w:rPr>
        <w:t> </w:t>
      </w:r>
      <w:r>
        <w:rPr>
          <w:spacing w:val="-1"/>
        </w:rPr>
        <w:t>typical</w:t>
      </w:r>
      <w:r>
        <w:rPr>
          <w:spacing w:val="-14"/>
        </w:rPr>
        <w:t> </w:t>
      </w:r>
      <w:r>
        <w:rPr>
          <w:spacing w:val="-1"/>
        </w:rPr>
        <w:t>static</w:t>
      </w:r>
      <w:r>
        <w:rPr>
          <w:spacing w:val="-13"/>
        </w:rPr>
        <w:t> </w:t>
      </w:r>
      <w:r>
        <w:rPr>
          <w:spacing w:val="-1"/>
        </w:rPr>
        <w:t>and</w:t>
      </w:r>
      <w:r>
        <w:rPr>
          <w:spacing w:val="-14"/>
        </w:rPr>
        <w:t> </w:t>
      </w:r>
      <w:r>
        <w:rPr>
          <w:spacing w:val="-1"/>
        </w:rPr>
        <w:t>even</w:t>
      </w:r>
      <w:r>
        <w:rPr>
          <w:spacing w:val="-14"/>
        </w:rPr>
        <w:t> </w:t>
      </w:r>
      <w:r>
        <w:rPr/>
        <w:t>quasi-static</w:t>
      </w:r>
      <w:r>
        <w:rPr>
          <w:spacing w:val="-13"/>
        </w:rPr>
        <w:t> </w:t>
      </w:r>
      <w:r>
        <w:rPr/>
        <w:t>load</w:t>
      </w:r>
      <w:r>
        <w:rPr>
          <w:spacing w:val="-14"/>
        </w:rPr>
        <w:t> </w:t>
      </w:r>
      <w:r>
        <w:rPr/>
        <w:t>analysis</w:t>
      </w:r>
      <w:r>
        <w:rPr>
          <w:spacing w:val="-13"/>
        </w:rPr>
        <w:t> </w:t>
      </w:r>
      <w:r>
        <w:rPr/>
        <w:t>completed</w:t>
      </w:r>
      <w:r>
        <w:rPr>
          <w:spacing w:val="-15"/>
        </w:rPr>
        <w:t> </w:t>
      </w:r>
      <w:r>
        <w:rPr/>
        <w:t>for</w:t>
      </w:r>
      <w:r>
        <w:rPr>
          <w:spacing w:val="-12"/>
        </w:rPr>
        <w:t> </w:t>
      </w:r>
      <w:r>
        <w:rPr/>
        <w:t>live,</w:t>
      </w:r>
      <w:r>
        <w:rPr>
          <w:spacing w:val="-14"/>
        </w:rPr>
        <w:t> </w:t>
      </w:r>
      <w:r>
        <w:rPr/>
        <w:t>dead,</w:t>
      </w:r>
      <w:r>
        <w:rPr>
          <w:spacing w:val="-14"/>
        </w:rPr>
        <w:t> </w:t>
      </w:r>
      <w:r>
        <w:rPr/>
        <w:t>wind,</w:t>
      </w:r>
      <w:r>
        <w:rPr>
          <w:spacing w:val="-57"/>
        </w:rPr>
        <w:t> </w:t>
      </w:r>
      <w:r>
        <w:rPr/>
        <w:t>and</w:t>
      </w:r>
      <w:r>
        <w:rPr>
          <w:spacing w:val="-6"/>
        </w:rPr>
        <w:t> </w:t>
      </w:r>
      <w:r>
        <w:rPr/>
        <w:t>seismic</w:t>
      </w:r>
      <w:r>
        <w:rPr>
          <w:spacing w:val="-6"/>
        </w:rPr>
        <w:t> </w:t>
      </w:r>
      <w:r>
        <w:rPr/>
        <w:t>loads,</w:t>
      </w:r>
      <w:r>
        <w:rPr>
          <w:spacing w:val="-6"/>
        </w:rPr>
        <w:t> </w:t>
      </w:r>
      <w:r>
        <w:rPr/>
        <w:t>is</w:t>
      </w:r>
      <w:r>
        <w:rPr>
          <w:spacing w:val="-5"/>
        </w:rPr>
        <w:t> </w:t>
      </w:r>
      <w:r>
        <w:rPr/>
        <w:t>different</w:t>
      </w:r>
      <w:r>
        <w:rPr>
          <w:spacing w:val="-6"/>
        </w:rPr>
        <w:t> </w:t>
      </w:r>
      <w:r>
        <w:rPr/>
        <w:t>from</w:t>
      </w:r>
      <w:r>
        <w:rPr>
          <w:spacing w:val="-8"/>
        </w:rPr>
        <w:t> </w:t>
      </w:r>
      <w:r>
        <w:rPr/>
        <w:t>blast</w:t>
      </w:r>
      <w:r>
        <w:rPr>
          <w:spacing w:val="-6"/>
        </w:rPr>
        <w:t> </w:t>
      </w:r>
      <w:r>
        <w:rPr/>
        <w:t>loading</w:t>
      </w:r>
      <w:r>
        <w:rPr>
          <w:spacing w:val="-7"/>
        </w:rPr>
        <w:t> </w:t>
      </w:r>
      <w:r>
        <w:rPr/>
        <w:t>analysis.</w:t>
      </w:r>
      <w:r>
        <w:rPr>
          <w:spacing w:val="49"/>
        </w:rPr>
        <w:t> </w:t>
      </w:r>
      <w:r>
        <w:rPr/>
        <w:t>A</w:t>
      </w:r>
      <w:r>
        <w:rPr>
          <w:spacing w:val="-7"/>
        </w:rPr>
        <w:t> </w:t>
      </w:r>
      <w:r>
        <w:rPr/>
        <w:t>blast</w:t>
      </w:r>
      <w:r>
        <w:rPr>
          <w:spacing w:val="-7"/>
        </w:rPr>
        <w:t> </w:t>
      </w:r>
      <w:r>
        <w:rPr/>
        <w:t>load</w:t>
      </w:r>
      <w:r>
        <w:rPr>
          <w:spacing w:val="-5"/>
        </w:rPr>
        <w:t> </w:t>
      </w:r>
      <w:r>
        <w:rPr/>
        <w:t>is</w:t>
      </w:r>
      <w:r>
        <w:rPr>
          <w:spacing w:val="-7"/>
        </w:rPr>
        <w:t> </w:t>
      </w:r>
      <w:r>
        <w:rPr/>
        <w:t>characterized</w:t>
      </w:r>
      <w:r>
        <w:rPr>
          <w:spacing w:val="-6"/>
        </w:rPr>
        <w:t> </w:t>
      </w:r>
      <w:r>
        <w:rPr/>
        <w:t>by</w:t>
      </w:r>
      <w:r>
        <w:rPr>
          <w:spacing w:val="-57"/>
        </w:rPr>
        <w:t> </w:t>
      </w:r>
      <w:r>
        <w:rPr/>
        <w:t>a large pressure over an extremely short duration, especially when compared to the</w:t>
      </w:r>
      <w:r>
        <w:rPr>
          <w:spacing w:val="1"/>
        </w:rPr>
        <w:t> </w:t>
      </w:r>
      <w:r>
        <w:rPr/>
        <w:t>structure’s natural frequency.</w:t>
      </w:r>
      <w:r>
        <w:rPr>
          <w:spacing w:val="1"/>
        </w:rPr>
        <w:t> </w:t>
      </w:r>
      <w:r>
        <w:rPr/>
        <w:t>The detonation of an explosion is a high-energy event that</w:t>
      </w:r>
      <w:r>
        <w:rPr>
          <w:spacing w:val="1"/>
        </w:rPr>
        <w:t> </w:t>
      </w:r>
      <w:r>
        <w:rPr/>
        <w:t>creates these high pressures.</w:t>
      </w:r>
      <w:r>
        <w:rPr>
          <w:spacing w:val="60"/>
        </w:rPr>
        <w:t> </w:t>
      </w:r>
      <w:r>
        <w:rPr/>
        <w:t>Air around the explosive source rapidly compresses to form</w:t>
      </w:r>
      <w:r>
        <w:rPr>
          <w:spacing w:val="1"/>
        </w:rPr>
        <w:t> </w:t>
      </w:r>
      <w:r>
        <w:rPr/>
        <w:t>a shock wave, which moves away from the blast origin faster than the speed of sound.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creates a nearly instantaneous rise in pressure, followed by an exponential decay in</w:t>
      </w:r>
      <w:r>
        <w:rPr>
          <w:spacing w:val="1"/>
        </w:rPr>
        <w:t> </w:t>
      </w:r>
      <w:r>
        <w:rPr/>
        <w:t>pressure.</w:t>
      </w:r>
      <w:r>
        <w:rPr>
          <w:spacing w:val="1"/>
        </w:rPr>
        <w:t> </w:t>
      </w:r>
      <w:r>
        <w:rPr/>
        <w:t>As the air at the blast origin cools, the pressure decreases below the ambient</w:t>
      </w:r>
      <w:r>
        <w:rPr>
          <w:spacing w:val="1"/>
        </w:rPr>
        <w:t> </w:t>
      </w:r>
      <w:r>
        <w:rPr/>
        <w:t>pressure,</w:t>
      </w:r>
      <w:r>
        <w:rPr>
          <w:spacing w:val="-1"/>
        </w:rPr>
        <w:t> </w:t>
      </w:r>
      <w:r>
        <w:rPr/>
        <w:t>creating a negative pressure</w:t>
      </w:r>
      <w:r>
        <w:rPr>
          <w:spacing w:val="-1"/>
        </w:rPr>
        <w:t> </w:t>
      </w:r>
      <w:r>
        <w:rPr/>
        <w:t>or suction</w:t>
      </w:r>
      <w:r>
        <w:rPr>
          <w:spacing w:val="-1"/>
        </w:rPr>
        <w:t> </w:t>
      </w:r>
      <w:r>
        <w:rPr/>
        <w:t>effect.</w:t>
      </w:r>
    </w:p>
    <w:p>
      <w:pPr>
        <w:spacing w:after="0" w:line="480" w:lineRule="auto"/>
        <w:jc w:val="both"/>
        <w:sectPr>
          <w:pgSz w:w="12240" w:h="15840"/>
          <w:pgMar w:header="0" w:footer="1064" w:top="1380" w:bottom="1260" w:left="1720" w:right="1020"/>
        </w:sectPr>
      </w:pPr>
    </w:p>
    <w:p>
      <w:pPr>
        <w:pStyle w:val="BodyText"/>
        <w:spacing w:line="480" w:lineRule="auto" w:before="78"/>
        <w:ind w:left="439" w:right="416" w:firstLine="720"/>
        <w:jc w:val="both"/>
      </w:pPr>
      <w:r>
        <w:rPr/>
        <w:pict>
          <v:shape style="position:absolute;margin-left:520.380005pt;margin-top:36.072067pt;width:15.2pt;height:8.85pt;mso-position-horizontal-relative:page;mso-position-vertical-relative:paragraph;z-index:-34822656" type="#_x0000_t202" filled="false" stroked="false">
            <v:textbox inset="0,0,0,0">
              <w:txbxContent>
                <w:p>
                  <w:pPr>
                    <w:spacing w:line="177" w:lineRule="exact" w:before="0"/>
                    <w:ind w:left="0" w:right="0" w:firstLine="0"/>
                    <w:jc w:val="left"/>
                    <w:rPr>
                      <w:i/>
                      <w:sz w:val="16"/>
                    </w:rPr>
                  </w:pPr>
                  <w:r>
                    <w:rPr>
                      <w:i/>
                      <w:sz w:val="16"/>
                    </w:rPr>
                    <w:t>peak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35pt;margin-top:63.672066pt;width:15.2pt;height:8.85pt;mso-position-horizontal-relative:page;mso-position-vertical-relative:paragraph;z-index:-34822144" type="#_x0000_t202" filled="false" stroked="false">
            <v:textbox inset="0,0,0,0">
              <w:txbxContent>
                <w:p>
                  <w:pPr>
                    <w:spacing w:line="177" w:lineRule="exact" w:before="0"/>
                    <w:ind w:left="0" w:right="0" w:firstLine="0"/>
                    <w:jc w:val="left"/>
                    <w:rPr>
                      <w:i/>
                      <w:sz w:val="16"/>
                    </w:rPr>
                  </w:pPr>
                  <w:r>
                    <w:rPr>
                      <w:i/>
                      <w:sz w:val="16"/>
                    </w:rPr>
                    <w:t>peak</w:t>
                  </w:r>
                </w:p>
              </w:txbxContent>
            </v:textbox>
            <w10:wrap type="none"/>
          </v:shape>
        </w:pict>
      </w:r>
      <w:r>
        <w:rPr/>
        <w:t>A typical pressure-time history of a blast wave in the free air, with no reflection is</w:t>
      </w:r>
      <w:r>
        <w:rPr>
          <w:spacing w:val="-57"/>
        </w:rPr>
        <w:t> </w:t>
      </w:r>
      <w:r>
        <w:rPr/>
        <w:t>shown in </w:t>
      </w:r>
      <w:hyperlink w:history="true" w:anchor="_bookmark173">
        <w:r>
          <w:rPr/>
          <w:t>Figure 8-1</w:t>
        </w:r>
      </w:hyperlink>
      <w:r>
        <w:rPr/>
        <w:t>.</w:t>
      </w:r>
      <w:r>
        <w:rPr>
          <w:spacing w:val="1"/>
        </w:rPr>
        <w:t> </w:t>
      </w:r>
      <w:r>
        <w:rPr/>
        <w:t>The peak positive and negative pressures are represented with </w:t>
      </w:r>
      <w:r>
        <w:rPr>
          <w:i/>
        </w:rPr>
        <w:t>p</w:t>
      </w:r>
      <w:r>
        <w:rPr>
          <w:i/>
          <w:spacing w:val="1"/>
        </w:rPr>
        <w:t> </w:t>
      </w:r>
      <w:r>
        <w:rPr>
          <w:vertAlign w:val="superscript"/>
        </w:rPr>
        <w:t>+</w:t>
      </w:r>
      <w:r>
        <w:rPr>
          <w:spacing w:val="-57"/>
          <w:vertAlign w:val="baseline"/>
        </w:rPr>
        <w:t> </w:t>
      </w:r>
      <w:r>
        <w:rPr>
          <w:position w:val="1"/>
          <w:vertAlign w:val="baseline"/>
        </w:rPr>
        <w:t>and </w:t>
      </w:r>
      <w:r>
        <w:rPr>
          <w:i/>
          <w:position w:val="1"/>
          <w:vertAlign w:val="baseline"/>
        </w:rPr>
        <w:t>p</w:t>
      </w:r>
      <w:r>
        <w:rPr>
          <w:i/>
          <w:spacing w:val="61"/>
          <w:position w:val="1"/>
          <w:vertAlign w:val="baseline"/>
        </w:rPr>
        <w:t> </w:t>
      </w:r>
      <w:r>
        <w:rPr>
          <w:position w:val="1"/>
          <w:vertAlign w:val="superscript"/>
        </w:rPr>
        <w:t>-</w:t>
      </w:r>
      <w:r>
        <w:rPr>
          <w:position w:val="1"/>
          <w:vertAlign w:val="baseline"/>
        </w:rPr>
        <w:t> , respectively, while the ambient air pressure before the blast event is </w:t>
      </w:r>
      <w:r>
        <w:rPr>
          <w:i/>
          <w:position w:val="1"/>
          <w:vertAlign w:val="baseline"/>
        </w:rPr>
        <w:t>p</w:t>
      </w:r>
      <w:r>
        <w:rPr>
          <w:sz w:val="16"/>
          <w:vertAlign w:val="baseline"/>
        </w:rPr>
        <w:t>0</w:t>
      </w:r>
      <w:r>
        <w:rPr>
          <w:position w:val="1"/>
          <w:vertAlign w:val="baseline"/>
        </w:rPr>
        <w:t>.   The</w:t>
      </w:r>
      <w:r>
        <w:rPr>
          <w:spacing w:val="1"/>
          <w:position w:val="1"/>
          <w:vertAlign w:val="baseline"/>
        </w:rPr>
        <w:t> </w:t>
      </w:r>
      <w:r>
        <w:rPr>
          <w:vertAlign w:val="baseline"/>
        </w:rPr>
        <w:t>time when the shock wave makes contact with the object is the time of arrival, annotated</w:t>
      </w:r>
      <w:r>
        <w:rPr>
          <w:spacing w:val="1"/>
          <w:vertAlign w:val="baseline"/>
        </w:rPr>
        <w:t> </w:t>
      </w:r>
      <w:r>
        <w:rPr>
          <w:position w:val="1"/>
          <w:vertAlign w:val="baseline"/>
        </w:rPr>
        <w:t>as </w:t>
      </w:r>
      <w:r>
        <w:rPr>
          <w:i/>
          <w:position w:val="1"/>
          <w:vertAlign w:val="baseline"/>
        </w:rPr>
        <w:t>t</w:t>
      </w:r>
      <w:r>
        <w:rPr>
          <w:i/>
          <w:sz w:val="16"/>
          <w:vertAlign w:val="baseline"/>
        </w:rPr>
        <w:t>arrival</w:t>
      </w:r>
      <w:r>
        <w:rPr>
          <w:position w:val="1"/>
          <w:vertAlign w:val="baseline"/>
        </w:rPr>
        <w:t>.</w:t>
      </w:r>
      <w:r>
        <w:rPr>
          <w:spacing w:val="1"/>
          <w:position w:val="1"/>
          <w:vertAlign w:val="baseline"/>
        </w:rPr>
        <w:t> </w:t>
      </w:r>
      <w:r>
        <w:rPr>
          <w:position w:val="1"/>
          <w:vertAlign w:val="baseline"/>
        </w:rPr>
        <w:t>The duration of the positive pressure phase is marked with </w:t>
      </w:r>
      <w:r>
        <w:rPr>
          <w:i/>
          <w:position w:val="1"/>
          <w:vertAlign w:val="baseline"/>
        </w:rPr>
        <w:t>T</w:t>
      </w:r>
      <w:r>
        <w:rPr>
          <w:i/>
          <w:sz w:val="16"/>
          <w:vertAlign w:val="baseline"/>
        </w:rPr>
        <w:t>p </w:t>
      </w:r>
      <w:r>
        <w:rPr>
          <w:position w:val="1"/>
          <w:vertAlign w:val="baseline"/>
        </w:rPr>
        <w:t>and the negative</w:t>
      </w:r>
      <w:r>
        <w:rPr>
          <w:spacing w:val="1"/>
          <w:position w:val="1"/>
          <w:vertAlign w:val="baseline"/>
        </w:rPr>
        <w:t> </w:t>
      </w:r>
      <w:r>
        <w:rPr>
          <w:position w:val="1"/>
          <w:vertAlign w:val="baseline"/>
        </w:rPr>
        <w:t>pressure phase is labeled </w:t>
      </w:r>
      <w:r>
        <w:rPr>
          <w:i/>
          <w:position w:val="1"/>
          <w:vertAlign w:val="baseline"/>
        </w:rPr>
        <w:t>T</w:t>
      </w:r>
      <w:r>
        <w:rPr>
          <w:i/>
          <w:sz w:val="16"/>
          <w:vertAlign w:val="baseline"/>
        </w:rPr>
        <w:t>n</w:t>
      </w:r>
      <w:r>
        <w:rPr>
          <w:position w:val="1"/>
          <w:vertAlign w:val="baseline"/>
        </w:rPr>
        <w:t>.</w:t>
      </w:r>
      <w:r>
        <w:rPr>
          <w:spacing w:val="1"/>
          <w:position w:val="1"/>
          <w:vertAlign w:val="baseline"/>
        </w:rPr>
        <w:t> </w:t>
      </w:r>
      <w:r>
        <w:rPr>
          <w:position w:val="1"/>
          <w:vertAlign w:val="baseline"/>
        </w:rPr>
        <w:t>The negative phase is typically less in pressure quantity but</w:t>
      </w:r>
      <w:r>
        <w:rPr>
          <w:spacing w:val="1"/>
          <w:position w:val="1"/>
          <w:vertAlign w:val="baseline"/>
        </w:rPr>
        <w:t> </w:t>
      </w:r>
      <w:r>
        <w:rPr>
          <w:vertAlign w:val="baseline"/>
        </w:rPr>
        <w:t>may be longer in duration.</w:t>
      </w:r>
      <w:r>
        <w:rPr>
          <w:spacing w:val="1"/>
          <w:vertAlign w:val="baseline"/>
        </w:rPr>
        <w:t> </w:t>
      </w:r>
      <w:r>
        <w:rPr>
          <w:vertAlign w:val="baseline"/>
        </w:rPr>
        <w:t>With a free-air blast with no reflection, the peak pressure is</w:t>
      </w:r>
      <w:r>
        <w:rPr>
          <w:spacing w:val="1"/>
          <w:vertAlign w:val="baseline"/>
        </w:rPr>
        <w:t> </w:t>
      </w:r>
      <w:r>
        <w:rPr>
          <w:spacing w:val="-1"/>
          <w:position w:val="1"/>
          <w:vertAlign w:val="baseline"/>
        </w:rPr>
        <w:t>known</w:t>
      </w:r>
      <w:r>
        <w:rPr>
          <w:spacing w:val="-14"/>
          <w:position w:val="1"/>
          <w:vertAlign w:val="baseline"/>
        </w:rPr>
        <w:t> </w:t>
      </w:r>
      <w:r>
        <w:rPr>
          <w:spacing w:val="-1"/>
          <w:position w:val="1"/>
          <w:vertAlign w:val="baseline"/>
        </w:rPr>
        <w:t>as</w:t>
      </w:r>
      <w:r>
        <w:rPr>
          <w:spacing w:val="-13"/>
          <w:position w:val="1"/>
          <w:vertAlign w:val="baseline"/>
        </w:rPr>
        <w:t> </w:t>
      </w:r>
      <w:r>
        <w:rPr>
          <w:spacing w:val="-1"/>
          <w:position w:val="1"/>
          <w:vertAlign w:val="baseline"/>
        </w:rPr>
        <w:t>the</w:t>
      </w:r>
      <w:r>
        <w:rPr>
          <w:spacing w:val="-13"/>
          <w:position w:val="1"/>
          <w:vertAlign w:val="baseline"/>
        </w:rPr>
        <w:t> </w:t>
      </w:r>
      <w:r>
        <w:rPr>
          <w:spacing w:val="-1"/>
          <w:position w:val="1"/>
          <w:vertAlign w:val="baseline"/>
        </w:rPr>
        <w:t>peak</w:t>
      </w:r>
      <w:r>
        <w:rPr>
          <w:spacing w:val="-14"/>
          <w:position w:val="1"/>
          <w:vertAlign w:val="baseline"/>
        </w:rPr>
        <w:t> </w:t>
      </w:r>
      <w:r>
        <w:rPr>
          <w:position w:val="1"/>
          <w:vertAlign w:val="baseline"/>
        </w:rPr>
        <w:t>static</w:t>
      </w:r>
      <w:r>
        <w:rPr>
          <w:spacing w:val="-15"/>
          <w:position w:val="1"/>
          <w:vertAlign w:val="baseline"/>
        </w:rPr>
        <w:t> </w:t>
      </w:r>
      <w:r>
        <w:rPr>
          <w:position w:val="1"/>
          <w:vertAlign w:val="baseline"/>
        </w:rPr>
        <w:t>overpressure,</w:t>
      </w:r>
      <w:r>
        <w:rPr>
          <w:spacing w:val="-14"/>
          <w:position w:val="1"/>
          <w:vertAlign w:val="baseline"/>
        </w:rPr>
        <w:t> </w:t>
      </w:r>
      <w:r>
        <w:rPr>
          <w:i/>
          <w:position w:val="1"/>
          <w:vertAlign w:val="baseline"/>
        </w:rPr>
        <w:t>p</w:t>
      </w:r>
      <w:r>
        <w:rPr>
          <w:i/>
          <w:sz w:val="16"/>
          <w:vertAlign w:val="baseline"/>
        </w:rPr>
        <w:t>so</w:t>
      </w:r>
      <w:r>
        <w:rPr>
          <w:sz w:val="16"/>
          <w:vertAlign w:val="baseline"/>
        </w:rPr>
        <w:t>,</w:t>
      </w:r>
      <w:r>
        <w:rPr>
          <w:spacing w:val="6"/>
          <w:sz w:val="16"/>
          <w:vertAlign w:val="baseline"/>
        </w:rPr>
        <w:t> </w:t>
      </w:r>
      <w:r>
        <w:rPr>
          <w:position w:val="1"/>
          <w:vertAlign w:val="baseline"/>
        </w:rPr>
        <w:t>or</w:t>
      </w:r>
      <w:r>
        <w:rPr>
          <w:spacing w:val="-13"/>
          <w:position w:val="1"/>
          <w:vertAlign w:val="baseline"/>
        </w:rPr>
        <w:t> </w:t>
      </w:r>
      <w:r>
        <w:rPr>
          <w:position w:val="1"/>
          <w:vertAlign w:val="baseline"/>
        </w:rPr>
        <w:t>blast</w:t>
      </w:r>
      <w:r>
        <w:rPr>
          <w:spacing w:val="-14"/>
          <w:position w:val="1"/>
          <w:vertAlign w:val="baseline"/>
        </w:rPr>
        <w:t> </w:t>
      </w:r>
      <w:r>
        <w:rPr>
          <w:position w:val="1"/>
          <w:vertAlign w:val="baseline"/>
        </w:rPr>
        <w:t>pressure</w:t>
      </w:r>
      <w:r>
        <w:rPr>
          <w:spacing w:val="-13"/>
          <w:position w:val="1"/>
          <w:vertAlign w:val="baseline"/>
        </w:rPr>
        <w:t> </w:t>
      </w:r>
      <w:r>
        <w:rPr>
          <w:position w:val="1"/>
          <w:vertAlign w:val="baseline"/>
        </w:rPr>
        <w:t>relative</w:t>
      </w:r>
      <w:r>
        <w:rPr>
          <w:spacing w:val="-13"/>
          <w:position w:val="1"/>
          <w:vertAlign w:val="baseline"/>
        </w:rPr>
        <w:t> </w:t>
      </w:r>
      <w:r>
        <w:rPr>
          <w:position w:val="1"/>
          <w:vertAlign w:val="baseline"/>
        </w:rPr>
        <w:t>to</w:t>
      </w:r>
      <w:r>
        <w:rPr>
          <w:spacing w:val="-14"/>
          <w:position w:val="1"/>
          <w:vertAlign w:val="baseline"/>
        </w:rPr>
        <w:t> </w:t>
      </w:r>
      <w:r>
        <w:rPr>
          <w:position w:val="1"/>
          <w:vertAlign w:val="baseline"/>
        </w:rPr>
        <w:t>the</w:t>
      </w:r>
      <w:r>
        <w:rPr>
          <w:spacing w:val="-13"/>
          <w:position w:val="1"/>
          <w:vertAlign w:val="baseline"/>
        </w:rPr>
        <w:t> </w:t>
      </w:r>
      <w:r>
        <w:rPr>
          <w:position w:val="1"/>
          <w:vertAlign w:val="baseline"/>
        </w:rPr>
        <w:t>ambient</w:t>
      </w:r>
      <w:r>
        <w:rPr>
          <w:spacing w:val="-12"/>
          <w:position w:val="1"/>
          <w:vertAlign w:val="baseline"/>
        </w:rPr>
        <w:t> </w:t>
      </w:r>
      <w:r>
        <w:rPr>
          <w:position w:val="1"/>
          <w:vertAlign w:val="baseline"/>
        </w:rPr>
        <w:t>pressure,</w:t>
      </w:r>
      <w:r>
        <w:rPr>
          <w:spacing w:val="-58"/>
          <w:position w:val="1"/>
          <w:vertAlign w:val="baseline"/>
        </w:rPr>
        <w:t> </w:t>
      </w:r>
      <w:r>
        <w:rPr>
          <w:position w:val="1"/>
          <w:vertAlign w:val="baseline"/>
        </w:rPr>
        <w:t>at</w:t>
      </w:r>
      <w:r>
        <w:rPr>
          <w:spacing w:val="-1"/>
          <w:position w:val="1"/>
          <w:vertAlign w:val="baseline"/>
        </w:rPr>
        <w:t> </w:t>
      </w:r>
      <w:r>
        <w:rPr>
          <w:position w:val="1"/>
          <w:vertAlign w:val="baseline"/>
        </w:rPr>
        <w:t>the</w:t>
      </w:r>
      <w:r>
        <w:rPr>
          <w:spacing w:val="-1"/>
          <w:position w:val="1"/>
          <w:vertAlign w:val="baseline"/>
        </w:rPr>
        <w:t> </w:t>
      </w:r>
      <w:r>
        <w:rPr>
          <w:position w:val="1"/>
          <w:vertAlign w:val="baseline"/>
        </w:rPr>
        <w:t>shock</w:t>
      </w:r>
      <w:r>
        <w:rPr>
          <w:spacing w:val="-2"/>
          <w:position w:val="1"/>
          <w:vertAlign w:val="baseline"/>
        </w:rPr>
        <w:t> </w:t>
      </w:r>
      <w:r>
        <w:rPr>
          <w:position w:val="1"/>
          <w:vertAlign w:val="baseline"/>
        </w:rPr>
        <w:t>front.</w:t>
      </w:r>
      <w:r>
        <w:rPr>
          <w:spacing w:val="59"/>
          <w:position w:val="1"/>
          <w:vertAlign w:val="baseline"/>
        </w:rPr>
        <w:t> </w:t>
      </w:r>
      <w:r>
        <w:rPr>
          <w:position w:val="1"/>
          <w:vertAlign w:val="baseline"/>
        </w:rPr>
        <w:t>It</w:t>
      </w:r>
      <w:r>
        <w:rPr>
          <w:spacing w:val="-1"/>
          <w:position w:val="1"/>
          <w:vertAlign w:val="baseline"/>
        </w:rPr>
        <w:t> </w:t>
      </w:r>
      <w:r>
        <w:rPr>
          <w:position w:val="1"/>
          <w:vertAlign w:val="baseline"/>
        </w:rPr>
        <w:t>is also known</w:t>
      </w:r>
      <w:r>
        <w:rPr>
          <w:spacing w:val="-1"/>
          <w:position w:val="1"/>
          <w:vertAlign w:val="baseline"/>
        </w:rPr>
        <w:t> </w:t>
      </w:r>
      <w:r>
        <w:rPr>
          <w:position w:val="1"/>
          <w:vertAlign w:val="baseline"/>
        </w:rPr>
        <w:t>as the incident pressure,</w:t>
      </w:r>
      <w:r>
        <w:rPr>
          <w:spacing w:val="-1"/>
          <w:position w:val="1"/>
          <w:vertAlign w:val="baseline"/>
        </w:rPr>
        <w:t> </w:t>
      </w:r>
      <w:r>
        <w:rPr>
          <w:i/>
          <w:position w:val="1"/>
          <w:vertAlign w:val="baseline"/>
        </w:rPr>
        <w:t>p</w:t>
      </w:r>
      <w:r>
        <w:rPr>
          <w:i/>
          <w:sz w:val="16"/>
          <w:vertAlign w:val="baseline"/>
        </w:rPr>
        <w:t>i</w:t>
      </w:r>
      <w:r>
        <w:rPr>
          <w:i/>
          <w:spacing w:val="18"/>
          <w:sz w:val="16"/>
          <w:vertAlign w:val="baseline"/>
        </w:rPr>
        <w:t> </w:t>
      </w:r>
      <w:r>
        <w:rPr>
          <w:position w:val="1"/>
          <w:vertAlign w:val="baseline"/>
        </w:rPr>
        <w:t>[104].</w:t>
      </w:r>
    </w:p>
    <w:p>
      <w:pPr>
        <w:pStyle w:val="BodyText"/>
        <w:spacing w:line="480" w:lineRule="auto" w:before="150"/>
        <w:ind w:left="439" w:right="418" w:firstLine="720"/>
        <w:jc w:val="both"/>
      </w:pPr>
      <w:r>
        <w:rPr/>
        <w:pict>
          <v:rect style="position:absolute;margin-left:315pt;margin-top:143.623108pt;width:11.46pt;height:.78pt;mso-position-horizontal-relative:page;mso-position-vertical-relative:paragraph;z-index:-34823168" filled="true" fillcolor="#000000" stroked="false">
            <v:fill type="solid"/>
            <w10:wrap type="none"/>
          </v:rect>
        </w:pict>
      </w:r>
      <w:r>
        <w:rPr/>
        <w:t>The non-linear decay of pressure over time after the initial positive peak, is often</w:t>
      </w:r>
      <w:r>
        <w:rPr>
          <w:spacing w:val="1"/>
        </w:rPr>
        <w:t> </w:t>
      </w:r>
      <w:r>
        <w:rPr/>
        <w:t>expressed with the Friedlander equation, an exponential function shown in Equation 8.1.</w:t>
      </w:r>
      <w:r>
        <w:rPr>
          <w:spacing w:val="1"/>
        </w:rPr>
        <w:t> </w:t>
      </w:r>
      <w:r>
        <w:rPr/>
        <w:t>In this expression, a waveform parameter, </w:t>
      </w:r>
      <w:r>
        <w:rPr>
          <w:i/>
        </w:rPr>
        <w:t>b</w:t>
      </w:r>
      <w:r>
        <w:rPr/>
        <w:t>, is used.</w:t>
      </w:r>
      <w:r>
        <w:rPr>
          <w:spacing w:val="1"/>
        </w:rPr>
        <w:t> </w:t>
      </w:r>
      <w:r>
        <w:rPr/>
        <w:t>This parameter describes the shape</w:t>
      </w:r>
      <w:r>
        <w:rPr>
          <w:spacing w:val="1"/>
        </w:rPr>
        <w:t> </w:t>
      </w:r>
      <w:r>
        <w:rPr/>
        <w:t>of</w:t>
      </w:r>
      <w:r>
        <w:rPr>
          <w:spacing w:val="-2"/>
        </w:rPr>
        <w:t> </w:t>
      </w:r>
      <w:r>
        <w:rPr/>
        <w:t>the pressure decay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is dimensionless.</w:t>
      </w:r>
    </w:p>
    <w:p>
      <w:pPr>
        <w:pStyle w:val="BodyText"/>
        <w:spacing w:before="8" w:after="1"/>
        <w:rPr>
          <w:sz w:val="14"/>
        </w:rPr>
      </w:pPr>
    </w:p>
    <w:tbl>
      <w:tblPr>
        <w:tblW w:w="0" w:type="auto"/>
        <w:jc w:val="left"/>
        <w:tblInd w:w="24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619"/>
        <w:gridCol w:w="2138"/>
      </w:tblGrid>
      <w:tr>
        <w:trPr>
          <w:trHeight w:val="668" w:hRule="atLeast"/>
        </w:trPr>
        <w:tc>
          <w:tcPr>
            <w:tcW w:w="4619" w:type="dxa"/>
          </w:tcPr>
          <w:p>
            <w:pPr>
              <w:pStyle w:val="TableParagraph"/>
              <w:tabs>
                <w:tab w:pos="2665" w:val="left" w:leader="none"/>
              </w:tabs>
              <w:spacing w:line="182" w:lineRule="exact"/>
              <w:ind w:left="2236"/>
              <w:rPr>
                <w:rFonts w:ascii="Cambria Math" w:hAnsi="Cambria Math" w:cs="Cambria Math" w:eastAsia="Cambria Math"/>
                <w:sz w:val="17"/>
                <w:szCs w:val="17"/>
              </w:rPr>
            </w:pPr>
            <w:r>
              <w:rPr>
                <w:rFonts w:ascii="Cambria Math" w:hAnsi="Cambria Math" w:cs="Cambria Math" w:eastAsia="Cambria Math"/>
                <w:sz w:val="24"/>
                <w:szCs w:val="24"/>
              </w:rPr>
              <w:t>𝑡</w:t>
              <w:tab/>
            </w:r>
            <w:r>
              <w:rPr>
                <w:rFonts w:ascii="Cambria Math" w:hAnsi="Cambria Math" w:cs="Cambria Math" w:eastAsia="Cambria Math"/>
                <w:w w:val="49"/>
                <w:sz w:val="17"/>
                <w:szCs w:val="17"/>
              </w:rPr>
              <w:t>�</w:t>
            </w:r>
            <w:r>
              <w:rPr>
                <w:rFonts w:ascii="Cambria Math" w:hAnsi="Cambria Math" w:cs="Cambria Math" w:eastAsia="Cambria Math"/>
                <w:sz w:val="17"/>
                <w:szCs w:val="17"/>
              </w:rPr>
              <w:t>  </w:t>
            </w:r>
            <w:r>
              <w:rPr>
                <w:rFonts w:ascii="Cambria Math" w:hAnsi="Cambria Math" w:cs="Cambria Math" w:eastAsia="Cambria Math"/>
                <w:spacing w:val="11"/>
                <w:sz w:val="17"/>
                <w:szCs w:val="17"/>
              </w:rPr>
              <w:t> </w:t>
            </w:r>
            <w:r>
              <w:rPr>
                <w:rFonts w:ascii="Cambria Math" w:hAnsi="Cambria Math" w:cs="Cambria Math" w:eastAsia="Cambria Math"/>
                <w:w w:val="111"/>
                <w:position w:val="10"/>
                <w:sz w:val="17"/>
                <w:szCs w:val="17"/>
                <w:u w:val="single"/>
              </w:rPr>
              <w:t>𝑏</w:t>
            </w:r>
            <w:r>
              <w:rPr>
                <w:rFonts w:ascii="Cambria Math" w:hAnsi="Cambria Math" w:cs="Cambria Math" w:eastAsia="Cambria Math"/>
                <w:spacing w:val="6"/>
                <w:w w:val="111"/>
                <w:position w:val="10"/>
                <w:sz w:val="17"/>
                <w:szCs w:val="17"/>
                <w:u w:val="single"/>
              </w:rPr>
              <w:t>𝑡</w:t>
            </w:r>
            <w:r>
              <w:rPr>
                <w:rFonts w:ascii="Cambria Math" w:hAnsi="Cambria Math" w:cs="Cambria Math" w:eastAsia="Cambria Math"/>
                <w:w w:val="49"/>
                <w:sz w:val="17"/>
                <w:szCs w:val="17"/>
              </w:rPr>
              <w:t>�</w:t>
            </w:r>
          </w:p>
          <w:p>
            <w:pPr>
              <w:pStyle w:val="TableParagraph"/>
              <w:spacing w:line="50" w:lineRule="exact"/>
              <w:ind w:left="1004"/>
              <w:jc w:val="center"/>
              <w:rPr>
                <w:rFonts w:ascii="Cambria Math" w:hAnsi="Cambria Math"/>
                <w:sz w:val="17"/>
              </w:rPr>
            </w:pPr>
            <w:r>
              <w:rPr>
                <w:rFonts w:ascii="Cambria Math" w:hAnsi="Cambria Math"/>
                <w:w w:val="97"/>
                <w:sz w:val="17"/>
              </w:rPr>
              <w:t>−</w:t>
            </w:r>
          </w:p>
          <w:p>
            <w:pPr>
              <w:pStyle w:val="TableParagraph"/>
              <w:tabs>
                <w:tab w:pos="2201" w:val="left" w:leader="none"/>
                <w:tab w:pos="2673" w:val="left" w:leader="none"/>
              </w:tabs>
              <w:spacing w:line="181" w:lineRule="exact"/>
              <w:ind w:right="1367"/>
              <w:jc w:val="center"/>
              <w:rPr>
                <w:rFonts w:ascii="Cambria Math" w:hAnsi="Cambria Math" w:cs="Cambria Math" w:eastAsia="Cambria Math"/>
                <w:sz w:val="14"/>
                <w:szCs w:val="14"/>
              </w:rPr>
            </w:pPr>
            <w:r>
              <w:rPr>
                <w:rFonts w:ascii="Cambria Math" w:hAnsi="Cambria Math" w:cs="Cambria Math" w:eastAsia="Cambria Math"/>
                <w:spacing w:val="2"/>
                <w:sz w:val="24"/>
                <w:szCs w:val="24"/>
              </w:rPr>
              <w:t>𝑝</w:t>
            </w:r>
            <w:r>
              <w:rPr>
                <w:rFonts w:ascii="Cambria Math" w:hAnsi="Cambria Math" w:cs="Cambria Math" w:eastAsia="Cambria Math"/>
                <w:position w:val="1"/>
                <w:sz w:val="24"/>
                <w:szCs w:val="24"/>
              </w:rPr>
              <w:t>(</w:t>
            </w:r>
            <w:r>
              <w:rPr>
                <w:rFonts w:ascii="Cambria Math" w:hAnsi="Cambria Math" w:cs="Cambria Math" w:eastAsia="Cambria Math"/>
                <w:spacing w:val="6"/>
                <w:sz w:val="24"/>
                <w:szCs w:val="24"/>
              </w:rPr>
              <w:t>𝑡</w:t>
            </w:r>
            <w:r>
              <w:rPr>
                <w:rFonts w:ascii="Cambria Math" w:hAnsi="Cambria Math" w:cs="Cambria Math" w:eastAsia="Cambria Math"/>
                <w:position w:val="1"/>
                <w:sz w:val="24"/>
                <w:szCs w:val="24"/>
              </w:rPr>
              <w:t>)</w:t>
            </w:r>
            <w:r>
              <w:rPr>
                <w:rFonts w:ascii="Cambria Math" w:hAnsi="Cambria Math" w:cs="Cambria Math" w:eastAsia="Cambria Math"/>
                <w:spacing w:val="13"/>
                <w:position w:val="1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sz w:val="24"/>
                <w:szCs w:val="24"/>
              </w:rPr>
              <w:t>=</w:t>
            </w:r>
            <w:r>
              <w:rPr>
                <w:rFonts w:ascii="Cambria Math" w:hAnsi="Cambria Math" w:cs="Cambria Math" w:eastAsia="Cambria Math"/>
                <w:spacing w:val="13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spacing w:val="-7"/>
                <w:sz w:val="24"/>
                <w:szCs w:val="24"/>
              </w:rPr>
              <w:t>𝑝</w:t>
            </w:r>
            <w:r>
              <w:rPr>
                <w:rFonts w:ascii="Cambria Math" w:hAnsi="Cambria Math" w:cs="Cambria Math" w:eastAsia="Cambria Math"/>
                <w:spacing w:val="-1"/>
                <w:w w:val="120"/>
                <w:sz w:val="24"/>
                <w:szCs w:val="24"/>
                <w:vertAlign w:val="subscript"/>
              </w:rPr>
              <w:t>𝑝</w:t>
            </w:r>
            <w:r>
              <w:rPr>
                <w:rFonts w:ascii="Cambria Math" w:hAnsi="Cambria Math" w:cs="Cambria Math" w:eastAsia="Cambria Math"/>
                <w:spacing w:val="-1"/>
                <w:w w:val="116"/>
                <w:sz w:val="24"/>
                <w:szCs w:val="24"/>
                <w:vertAlign w:val="subscript"/>
              </w:rPr>
              <w:t>𝑒</w:t>
            </w:r>
            <w:r>
              <w:rPr>
                <w:rFonts w:ascii="Cambria Math" w:hAnsi="Cambria Math" w:cs="Cambria Math" w:eastAsia="Cambria Math"/>
                <w:w w:val="119"/>
                <w:sz w:val="24"/>
                <w:szCs w:val="24"/>
                <w:vertAlign w:val="subscript"/>
              </w:rPr>
              <w:t>𝑎</w:t>
            </w:r>
            <w:r>
              <w:rPr>
                <w:rFonts w:ascii="Cambria Math" w:hAnsi="Cambria Math" w:cs="Cambria Math" w:eastAsia="Cambria Math"/>
                <w:spacing w:val="3"/>
                <w:w w:val="117"/>
                <w:sz w:val="24"/>
                <w:szCs w:val="24"/>
                <w:vertAlign w:val="subscript"/>
              </w:rPr>
              <w:t>𝑘</w:t>
            </w:r>
            <w:r>
              <w:rPr>
                <w:rFonts w:ascii="Cambria Math" w:hAnsi="Cambria Math" w:cs="Cambria Math" w:eastAsia="Cambria Math"/>
                <w:w w:val="103"/>
                <w:sz w:val="24"/>
                <w:szCs w:val="24"/>
                <w:vertAlign w:val="subscript"/>
              </w:rPr>
              <w:t>+</w:t>
            </w:r>
            <w:r>
              <w:rPr>
                <w:rFonts w:ascii="Cambria Math" w:hAnsi="Cambria Math" w:cs="Cambria Math" w:eastAsia="Cambria Math"/>
                <w:spacing w:val="-5"/>
                <w:sz w:val="24"/>
                <w:szCs w:val="24"/>
                <w:vertAlign w:val="baseline"/>
              </w:rPr>
              <w:t> </w:t>
            </w:r>
            <w:r>
              <w:rPr>
                <w:rFonts w:ascii="Cambria Math" w:hAnsi="Cambria Math" w:cs="Cambria Math" w:eastAsia="Cambria Math"/>
                <w:w w:val="38"/>
                <w:sz w:val="24"/>
                <w:szCs w:val="24"/>
                <w:vertAlign w:val="baseline"/>
              </w:rPr>
              <w:t>�</w:t>
            </w:r>
            <w:r>
              <w:rPr>
                <w:rFonts w:ascii="Cambria Math" w:hAnsi="Cambria Math" w:cs="Cambria Math" w:eastAsia="Cambria Math"/>
                <w:sz w:val="24"/>
                <w:szCs w:val="24"/>
                <w:vertAlign w:val="baseline"/>
              </w:rPr>
              <w:t>1 −</w:t>
              <w:tab/>
            </w:r>
            <w:r>
              <w:rPr>
                <w:rFonts w:ascii="Cambria Math" w:hAnsi="Cambria Math" w:cs="Cambria Math" w:eastAsia="Cambria Math"/>
                <w:w w:val="38"/>
                <w:sz w:val="24"/>
                <w:szCs w:val="24"/>
                <w:vertAlign w:val="baseline"/>
              </w:rPr>
              <w:t>�</w:t>
            </w:r>
            <w:r>
              <w:rPr>
                <w:rFonts w:ascii="Cambria Math" w:hAnsi="Cambria Math" w:cs="Cambria Math" w:eastAsia="Cambria Math"/>
                <w:spacing w:val="-13"/>
                <w:sz w:val="24"/>
                <w:szCs w:val="24"/>
                <w:vertAlign w:val="baseline"/>
              </w:rPr>
              <w:t> </w:t>
            </w:r>
            <w:r>
              <w:rPr>
                <w:rFonts w:ascii="Cambria Math" w:hAnsi="Cambria Math" w:cs="Cambria Math" w:eastAsia="Cambria Math"/>
                <w:sz w:val="24"/>
                <w:szCs w:val="24"/>
                <w:vertAlign w:val="baseline"/>
              </w:rPr>
              <w:t>𝑒</w:t>
              <w:tab/>
            </w:r>
            <w:r>
              <w:rPr>
                <w:rFonts w:ascii="Cambria Math" w:hAnsi="Cambria Math" w:cs="Cambria Math" w:eastAsia="Cambria Math"/>
                <w:spacing w:val="-25"/>
                <w:w w:val="110"/>
                <w:sz w:val="24"/>
                <w:szCs w:val="24"/>
                <w:vertAlign w:val="superscript"/>
              </w:rPr>
              <w:t>𝑇</w:t>
            </w:r>
            <w:r>
              <w:rPr>
                <w:rFonts w:ascii="Cambria Math" w:hAnsi="Cambria Math" w:cs="Cambria Math" w:eastAsia="Cambria Math"/>
                <w:w w:val="122"/>
                <w:position w:val="6"/>
                <w:sz w:val="14"/>
                <w:szCs w:val="14"/>
                <w:vertAlign w:val="baseline"/>
              </w:rPr>
              <w:t>𝑝</w:t>
            </w:r>
          </w:p>
          <w:p>
            <w:pPr>
              <w:pStyle w:val="TableParagraph"/>
              <w:spacing w:line="234" w:lineRule="exact"/>
              <w:ind w:left="2172"/>
              <w:rPr>
                <w:rFonts w:ascii="Cambria Math" w:eastAsia="Cambria Math"/>
                <w:sz w:val="17"/>
              </w:rPr>
            </w:pPr>
            <w:r>
              <w:rPr>
                <w:rFonts w:ascii="Cambria Math" w:eastAsia="Cambria Math"/>
                <w:w w:val="105"/>
                <w:sz w:val="24"/>
              </w:rPr>
              <w:t>𝑇</w:t>
            </w:r>
            <w:r>
              <w:rPr>
                <w:rFonts w:ascii="Cambria Math" w:eastAsia="Cambria Math"/>
                <w:w w:val="105"/>
                <w:position w:val="-4"/>
                <w:sz w:val="17"/>
              </w:rPr>
              <w:t>𝑝</w:t>
            </w:r>
          </w:p>
        </w:tc>
        <w:tc>
          <w:tcPr>
            <w:tcW w:w="2138" w:type="dxa"/>
          </w:tcPr>
          <w:p>
            <w:pPr>
              <w:pStyle w:val="TableParagraph"/>
              <w:spacing w:line="266" w:lineRule="exact"/>
              <w:ind w:right="199"/>
              <w:jc w:val="right"/>
              <w:rPr>
                <w:sz w:val="24"/>
              </w:rPr>
            </w:pPr>
            <w:r>
              <w:rPr>
                <w:sz w:val="24"/>
              </w:rPr>
              <w:t>(8.1)</w:t>
            </w:r>
          </w:p>
        </w:tc>
      </w:tr>
    </w:tbl>
    <w:p>
      <w:pPr>
        <w:pStyle w:val="BodyText"/>
        <w:spacing w:before="11"/>
        <w:rPr>
          <w:sz w:val="15"/>
        </w:rPr>
      </w:pPr>
    </w:p>
    <w:p>
      <w:pPr>
        <w:pStyle w:val="BodyText"/>
        <w:spacing w:line="480" w:lineRule="auto" w:before="89"/>
        <w:ind w:left="440" w:right="416"/>
        <w:jc w:val="both"/>
      </w:pPr>
      <w:r>
        <w:rPr/>
        <w:t>Another important blast parameter is the specific impulse, </w:t>
      </w:r>
      <w:r>
        <w:rPr>
          <w:i/>
        </w:rPr>
        <w:t>i</w:t>
      </w:r>
      <w:r>
        <w:rPr/>
        <w:t>, which is defined as the area</w:t>
      </w:r>
      <w:r>
        <w:rPr>
          <w:spacing w:val="1"/>
        </w:rPr>
        <w:t> </w:t>
      </w:r>
      <w:r>
        <w:rPr/>
        <w:t>under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pressure-time</w:t>
      </w:r>
      <w:r>
        <w:rPr>
          <w:spacing w:val="-11"/>
        </w:rPr>
        <w:t> </w:t>
      </w:r>
      <w:r>
        <w:rPr/>
        <w:t>history</w:t>
      </w:r>
      <w:r>
        <w:rPr>
          <w:spacing w:val="-11"/>
        </w:rPr>
        <w:t> </w:t>
      </w:r>
      <w:r>
        <w:rPr/>
        <w:t>curve</w:t>
      </w:r>
      <w:r>
        <w:rPr>
          <w:spacing w:val="-10"/>
        </w:rPr>
        <w:t> </w:t>
      </w:r>
      <w:r>
        <w:rPr/>
        <w:t>from</w:t>
      </w:r>
      <w:r>
        <w:rPr>
          <w:spacing w:val="-12"/>
        </w:rPr>
        <w:t> </w:t>
      </w:r>
      <w:r>
        <w:rPr/>
        <w:t>arrival</w:t>
      </w:r>
      <w:r>
        <w:rPr>
          <w:spacing w:val="-9"/>
        </w:rPr>
        <w:t> </w:t>
      </w:r>
      <w:r>
        <w:rPr/>
        <w:t>to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end</w:t>
      </w:r>
      <w:r>
        <w:rPr>
          <w:spacing w:val="-12"/>
        </w:rPr>
        <w:t> </w:t>
      </w:r>
      <w:r>
        <w:rPr/>
        <w:t>of</w:t>
      </w:r>
      <w:r>
        <w:rPr>
          <w:spacing w:val="-11"/>
        </w:rPr>
        <w:t> </w:t>
      </w:r>
      <w:r>
        <w:rPr/>
        <w:t>the</w:t>
      </w:r>
      <w:r>
        <w:rPr>
          <w:spacing w:val="-10"/>
        </w:rPr>
        <w:t> </w:t>
      </w:r>
      <w:r>
        <w:rPr/>
        <w:t>positive</w:t>
      </w:r>
      <w:r>
        <w:rPr>
          <w:spacing w:val="-10"/>
        </w:rPr>
        <w:t> </w:t>
      </w:r>
      <w:r>
        <w:rPr/>
        <w:t>pressure</w:t>
      </w:r>
      <w:r>
        <w:rPr>
          <w:spacing w:val="-12"/>
        </w:rPr>
        <w:t> </w:t>
      </w:r>
      <w:r>
        <w:rPr/>
        <w:t>phase,</w:t>
      </w:r>
      <w:r>
        <w:rPr>
          <w:spacing w:val="-58"/>
        </w:rPr>
        <w:t> </w:t>
      </w:r>
      <w:r>
        <w:rPr/>
        <w:t>as</w:t>
      </w:r>
      <w:r>
        <w:rPr>
          <w:spacing w:val="-1"/>
        </w:rPr>
        <w:t> </w:t>
      </w:r>
      <w:r>
        <w:rPr/>
        <w:t>shown in</w:t>
      </w:r>
      <w:r>
        <w:rPr>
          <w:spacing w:val="-2"/>
        </w:rPr>
        <w:t> </w:t>
      </w:r>
      <w:r>
        <w:rPr/>
        <w:t>Equation 8.2.  The units</w:t>
      </w:r>
      <w:r>
        <w:rPr>
          <w:spacing w:val="-2"/>
        </w:rPr>
        <w:t> </w:t>
      </w:r>
      <w:r>
        <w:rPr/>
        <w:t>are pressure-time.</w:t>
      </w:r>
    </w:p>
    <w:p>
      <w:pPr>
        <w:pStyle w:val="BodyText"/>
        <w:spacing w:before="2"/>
        <w:rPr>
          <w:sz w:val="15"/>
        </w:rPr>
      </w:pPr>
    </w:p>
    <w:tbl>
      <w:tblPr>
        <w:tblW w:w="0" w:type="auto"/>
        <w:jc w:val="left"/>
        <w:tblInd w:w="288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957"/>
        <w:gridCol w:w="2328"/>
      </w:tblGrid>
      <w:tr>
        <w:trPr>
          <w:trHeight w:val="700" w:hRule="atLeast"/>
        </w:trPr>
        <w:tc>
          <w:tcPr>
            <w:tcW w:w="3957" w:type="dxa"/>
          </w:tcPr>
          <w:p>
            <w:pPr>
              <w:pStyle w:val="TableParagraph"/>
              <w:spacing w:line="183" w:lineRule="exact"/>
              <w:ind w:left="790"/>
              <w:rPr>
                <w:rFonts w:ascii="Cambria Math" w:eastAsia="Cambria Math"/>
                <w:sz w:val="14"/>
              </w:rPr>
            </w:pPr>
            <w:r>
              <w:rPr>
                <w:rFonts w:ascii="Cambria Math" w:eastAsia="Cambria Math"/>
                <w:w w:val="111"/>
                <w:position w:val="4"/>
                <w:sz w:val="17"/>
              </w:rPr>
              <w:t>𝑡</w:t>
            </w:r>
            <w:r>
              <w:rPr>
                <w:rFonts w:ascii="Cambria Math" w:eastAsia="Cambria Math"/>
                <w:spacing w:val="-1"/>
                <w:w w:val="121"/>
                <w:sz w:val="14"/>
              </w:rPr>
              <w:t>𝑎</w:t>
            </w:r>
            <w:r>
              <w:rPr>
                <w:rFonts w:ascii="Cambria Math" w:eastAsia="Cambria Math"/>
                <w:spacing w:val="-1"/>
                <w:w w:val="51"/>
                <w:sz w:val="14"/>
              </w:rPr>
              <w:t>𝑎𝑎𝑎𝑎</w:t>
            </w:r>
            <w:r>
              <w:rPr>
                <w:rFonts w:ascii="Cambria Math" w:eastAsia="Cambria Math"/>
                <w:w w:val="30"/>
                <w:sz w:val="14"/>
              </w:rPr>
              <w:t>𝑔𝑔</w:t>
            </w:r>
            <w:r>
              <w:rPr>
                <w:rFonts w:ascii="Cambria Math" w:eastAsia="Cambria Math"/>
                <w:spacing w:val="-1"/>
                <w:w w:val="105"/>
                <w:sz w:val="14"/>
              </w:rPr>
              <w:t>𝑣</w:t>
            </w:r>
            <w:r>
              <w:rPr>
                <w:rFonts w:ascii="Cambria Math" w:eastAsia="Cambria Math"/>
                <w:spacing w:val="-1"/>
                <w:w w:val="121"/>
                <w:sz w:val="14"/>
              </w:rPr>
              <w:t>𝑎</w:t>
            </w:r>
            <w:r>
              <w:rPr>
                <w:rFonts w:ascii="Cambria Math" w:eastAsia="Cambria Math"/>
                <w:spacing w:val="6"/>
                <w:w w:val="120"/>
                <w:sz w:val="14"/>
              </w:rPr>
              <w:t>𝑙</w:t>
            </w:r>
            <w:r>
              <w:rPr>
                <w:rFonts w:ascii="Cambria Math" w:eastAsia="Cambria Math"/>
                <w:spacing w:val="-1"/>
                <w:w w:val="97"/>
                <w:position w:val="4"/>
                <w:sz w:val="17"/>
              </w:rPr>
              <w:t>+</w:t>
            </w:r>
            <w:r>
              <w:rPr>
                <w:rFonts w:ascii="Cambria Math" w:eastAsia="Cambria Math"/>
                <w:spacing w:val="-25"/>
                <w:w w:val="103"/>
                <w:position w:val="4"/>
                <w:sz w:val="17"/>
              </w:rPr>
              <w:t>𝑇</w:t>
            </w:r>
            <w:r>
              <w:rPr>
                <w:rFonts w:ascii="Cambria Math" w:eastAsia="Cambria Math"/>
                <w:w w:val="122"/>
                <w:sz w:val="14"/>
              </w:rPr>
              <w:t>𝑝</w:t>
            </w:r>
          </w:p>
          <w:p>
            <w:pPr>
              <w:pStyle w:val="TableParagraph"/>
              <w:tabs>
                <w:tab w:pos="1713" w:val="left" w:leader="none"/>
              </w:tabs>
              <w:spacing w:line="275" w:lineRule="exact"/>
              <w:ind w:left="200"/>
              <w:rPr>
                <w:rFonts w:ascii="Cambria Math" w:hAnsi="Cambria Math" w:cs="Cambria Math" w:eastAsia="Cambria Math"/>
                <w:sz w:val="24"/>
                <w:szCs w:val="24"/>
              </w:rPr>
            </w:pPr>
            <w:r>
              <w:rPr>
                <w:rFonts w:ascii="Cambria Math" w:hAnsi="Cambria Math" w:cs="Cambria Math" w:eastAsia="Cambria Math"/>
                <w:w w:val="90"/>
                <w:sz w:val="24"/>
                <w:szCs w:val="24"/>
              </w:rPr>
              <w:t>𝑖𝑖</w:t>
            </w:r>
            <w:r>
              <w:rPr>
                <w:rFonts w:ascii="Cambria Math" w:hAnsi="Cambria Math" w:cs="Cambria Math" w:eastAsia="Cambria Math"/>
                <w:spacing w:val="4"/>
                <w:w w:val="90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w w:val="95"/>
                <w:sz w:val="24"/>
                <w:szCs w:val="24"/>
              </w:rPr>
              <w:t>=</w:t>
            </w:r>
            <w:r>
              <w:rPr>
                <w:rFonts w:ascii="Cambria Math" w:hAnsi="Cambria Math" w:cs="Cambria Math" w:eastAsia="Cambria Math"/>
                <w:spacing w:val="-4"/>
                <w:w w:val="95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w w:val="95"/>
                <w:sz w:val="24"/>
                <w:szCs w:val="24"/>
              </w:rPr>
              <w:t>�</w:t>
              <w:tab/>
            </w:r>
            <w:r>
              <w:rPr>
                <w:rFonts w:ascii="Cambria Math" w:hAnsi="Cambria Math" w:cs="Cambria Math" w:eastAsia="Cambria Math"/>
                <w:sz w:val="24"/>
                <w:szCs w:val="24"/>
              </w:rPr>
              <w:t>𝑝</w:t>
            </w:r>
            <w:r>
              <w:rPr>
                <w:rFonts w:ascii="Cambria Math" w:hAnsi="Cambria Math" w:cs="Cambria Math" w:eastAsia="Cambria Math"/>
                <w:position w:val="1"/>
                <w:sz w:val="24"/>
                <w:szCs w:val="24"/>
              </w:rPr>
              <w:t>(</w:t>
            </w:r>
            <w:r>
              <w:rPr>
                <w:rFonts w:ascii="Cambria Math" w:hAnsi="Cambria Math" w:cs="Cambria Math" w:eastAsia="Cambria Math"/>
                <w:sz w:val="24"/>
                <w:szCs w:val="24"/>
              </w:rPr>
              <w:t>𝑡</w:t>
            </w:r>
            <w:r>
              <w:rPr>
                <w:rFonts w:ascii="Cambria Math" w:hAnsi="Cambria Math" w:cs="Cambria Math" w:eastAsia="Cambria Math"/>
                <w:position w:val="1"/>
                <w:sz w:val="24"/>
                <w:szCs w:val="24"/>
              </w:rPr>
              <w:t>)</w:t>
            </w:r>
            <w:r>
              <w:rPr>
                <w:rFonts w:ascii="Cambria Math" w:hAnsi="Cambria Math" w:cs="Cambria Math" w:eastAsia="Cambria Math"/>
                <w:sz w:val="24"/>
                <w:szCs w:val="24"/>
              </w:rPr>
              <w:t>𝑑𝑡</w:t>
            </w:r>
          </w:p>
          <w:p>
            <w:pPr>
              <w:pStyle w:val="TableParagraph"/>
              <w:spacing w:line="213" w:lineRule="exact" w:before="9"/>
              <w:ind w:left="701"/>
              <w:rPr>
                <w:rFonts w:ascii="Cambria Math" w:eastAsia="Cambria Math"/>
                <w:sz w:val="14"/>
              </w:rPr>
            </w:pPr>
            <w:r>
              <w:rPr>
                <w:rFonts w:ascii="Cambria Math" w:eastAsia="Cambria Math"/>
                <w:w w:val="111"/>
                <w:position w:val="4"/>
                <w:sz w:val="17"/>
              </w:rPr>
              <w:t>𝑡</w:t>
            </w:r>
            <w:r>
              <w:rPr>
                <w:rFonts w:ascii="Cambria Math" w:eastAsia="Cambria Math"/>
                <w:spacing w:val="-1"/>
                <w:w w:val="121"/>
                <w:sz w:val="14"/>
              </w:rPr>
              <w:t>𝑎</w:t>
            </w:r>
            <w:r>
              <w:rPr>
                <w:rFonts w:ascii="Cambria Math" w:eastAsia="Cambria Math"/>
                <w:spacing w:val="-1"/>
                <w:w w:val="51"/>
                <w:sz w:val="14"/>
              </w:rPr>
              <w:t>𝑎𝑎𝑎𝑎</w:t>
            </w:r>
            <w:r>
              <w:rPr>
                <w:rFonts w:ascii="Cambria Math" w:eastAsia="Cambria Math"/>
                <w:w w:val="30"/>
                <w:sz w:val="14"/>
              </w:rPr>
              <w:t>𝑔𝑔</w:t>
            </w:r>
            <w:r>
              <w:rPr>
                <w:rFonts w:ascii="Cambria Math" w:eastAsia="Cambria Math"/>
                <w:spacing w:val="-1"/>
                <w:w w:val="105"/>
                <w:sz w:val="14"/>
              </w:rPr>
              <w:t>𝑣</w:t>
            </w:r>
            <w:r>
              <w:rPr>
                <w:rFonts w:ascii="Cambria Math" w:eastAsia="Cambria Math"/>
                <w:spacing w:val="-1"/>
                <w:w w:val="121"/>
                <w:sz w:val="14"/>
              </w:rPr>
              <w:t>𝑎</w:t>
            </w:r>
            <w:r>
              <w:rPr>
                <w:rFonts w:ascii="Cambria Math" w:eastAsia="Cambria Math"/>
                <w:w w:val="120"/>
                <w:sz w:val="14"/>
              </w:rPr>
              <w:t>𝑙</w:t>
            </w:r>
          </w:p>
        </w:tc>
        <w:tc>
          <w:tcPr>
            <w:tcW w:w="2328" w:type="dxa"/>
          </w:tcPr>
          <w:p>
            <w:pPr>
              <w:pStyle w:val="TableParagraph"/>
              <w:spacing w:before="192"/>
              <w:ind w:right="197"/>
              <w:jc w:val="right"/>
              <w:rPr>
                <w:sz w:val="24"/>
              </w:rPr>
            </w:pPr>
            <w:r>
              <w:rPr>
                <w:sz w:val="24"/>
              </w:rPr>
              <w:t>(8.2)</w:t>
            </w:r>
          </w:p>
        </w:tc>
      </w:tr>
    </w:tbl>
    <w:p>
      <w:pPr>
        <w:pStyle w:val="BodyText"/>
        <w:spacing w:before="8"/>
        <w:rPr>
          <w:sz w:val="13"/>
        </w:rPr>
      </w:pPr>
    </w:p>
    <w:p>
      <w:pPr>
        <w:pStyle w:val="BodyText"/>
        <w:spacing w:line="480" w:lineRule="auto" w:before="90"/>
        <w:ind w:left="440" w:right="403"/>
      </w:pPr>
      <w:r>
        <w:rPr/>
        <w:t>The</w:t>
      </w:r>
      <w:r>
        <w:rPr>
          <w:spacing w:val="12"/>
        </w:rPr>
        <w:t> </w:t>
      </w:r>
      <w:r>
        <w:rPr/>
        <w:t>approximate</w:t>
      </w:r>
      <w:r>
        <w:rPr>
          <w:spacing w:val="13"/>
        </w:rPr>
        <w:t> </w:t>
      </w:r>
      <w:r>
        <w:rPr/>
        <w:t>value</w:t>
      </w:r>
      <w:r>
        <w:rPr>
          <w:spacing w:val="11"/>
        </w:rPr>
        <w:t> </w:t>
      </w:r>
      <w:r>
        <w:rPr/>
        <w:t>of</w:t>
      </w:r>
      <w:r>
        <w:rPr>
          <w:spacing w:val="12"/>
        </w:rPr>
        <w:t> </w:t>
      </w:r>
      <w:r>
        <w:rPr/>
        <w:t>the</w:t>
      </w:r>
      <w:r>
        <w:rPr>
          <w:spacing w:val="12"/>
        </w:rPr>
        <w:t> </w:t>
      </w:r>
      <w:r>
        <w:rPr/>
        <w:t>specific</w:t>
      </w:r>
      <w:r>
        <w:rPr>
          <w:spacing w:val="13"/>
        </w:rPr>
        <w:t> </w:t>
      </w:r>
      <w:r>
        <w:rPr/>
        <w:t>impulse</w:t>
      </w:r>
      <w:r>
        <w:rPr>
          <w:spacing w:val="11"/>
        </w:rPr>
        <w:t> </w:t>
      </w:r>
      <w:r>
        <w:rPr/>
        <w:t>may</w:t>
      </w:r>
      <w:r>
        <w:rPr>
          <w:spacing w:val="13"/>
        </w:rPr>
        <w:t> </w:t>
      </w:r>
      <w:r>
        <w:rPr/>
        <w:t>also</w:t>
      </w:r>
      <w:r>
        <w:rPr>
          <w:spacing w:val="13"/>
        </w:rPr>
        <w:t> </w:t>
      </w:r>
      <w:r>
        <w:rPr/>
        <w:t>be</w:t>
      </w:r>
      <w:r>
        <w:rPr>
          <w:spacing w:val="12"/>
        </w:rPr>
        <w:t> </w:t>
      </w:r>
      <w:r>
        <w:rPr/>
        <w:t>estimated</w:t>
      </w:r>
      <w:r>
        <w:rPr>
          <w:spacing w:val="13"/>
        </w:rPr>
        <w:t> </w:t>
      </w:r>
      <w:r>
        <w:rPr/>
        <w:t>with</w:t>
      </w:r>
      <w:r>
        <w:rPr>
          <w:spacing w:val="12"/>
        </w:rPr>
        <w:t> </w:t>
      </w:r>
      <w:r>
        <w:rPr/>
        <w:t>a</w:t>
      </w:r>
      <w:r>
        <w:rPr>
          <w:spacing w:val="13"/>
        </w:rPr>
        <w:t> </w:t>
      </w:r>
      <w:r>
        <w:rPr/>
        <w:t>simplifying</w:t>
      </w:r>
      <w:r>
        <w:rPr>
          <w:spacing w:val="-57"/>
        </w:rPr>
        <w:t> </w:t>
      </w:r>
      <w:r>
        <w:rPr/>
        <w:t>assumption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linear decay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pressure and</w:t>
      </w:r>
      <w:r>
        <w:rPr>
          <w:spacing w:val="-1"/>
        </w:rPr>
        <w:t> </w:t>
      </w:r>
      <w:r>
        <w:rPr/>
        <w:t>triangular area calculation.</w:t>
      </w:r>
    </w:p>
    <w:p>
      <w:pPr>
        <w:spacing w:after="0" w:line="480" w:lineRule="auto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3"/>
        </w:rPr>
      </w:pPr>
    </w:p>
    <w:p>
      <w:pPr>
        <w:spacing w:line="189" w:lineRule="exact" w:before="0"/>
        <w:ind w:left="2103" w:right="0" w:firstLine="0"/>
        <w:jc w:val="left"/>
        <w:rPr>
          <w:i/>
          <w:sz w:val="19"/>
        </w:rPr>
      </w:pPr>
      <w:r>
        <w:rPr/>
        <w:pict>
          <v:group style="position:absolute;margin-left:184.32663pt;margin-top:-33.604431pt;width:274.05pt;height:251.15pt;mso-position-horizontal-relative:page;mso-position-vertical-relative:paragraph;z-index:-34821120" coordorigin="3687,-672" coordsize="5481,5023">
            <v:line style="position:absolute" from="5295,3629" to="5295,244" stroked="true" strokeweight="1.664228pt" strokecolor="#5b9bd5">
              <v:stroke dashstyle="solid"/>
            </v:line>
            <v:shape style="position:absolute;left:5310;top:263;width:1387;height:3401" coordorigin="5311,264" coordsize="1387,3401" path="m6697,3664l6624,3591,6551,3510,6479,3421,6408,3323,6373,3272,6337,3218,6302,3163,6268,3106,6233,3048,6199,2987,6165,2925,6131,2862,6098,2797,6065,2730,6032,2661,6000,2591,5968,2520,5936,2447,5905,2373,5874,2298,5844,2221,5814,2143,5785,2063,5756,1983,5727,1901,5699,1818,5671,1734,5644,1648,5618,1562,5592,1475,5566,1387,5542,1297,5517,1207,5494,1116,5471,1025,5448,932,5427,838,5406,744,5385,649,5365,554,5346,458,5328,361,5311,264e" filled="false" stroked="true" strokeweight="1.642939pt" strokecolor="#5b9bd5">
              <v:path arrowok="t"/>
              <v:stroke dashstyle="solid"/>
            </v:shape>
            <v:line style="position:absolute" from="4347,-580" to="4337,4258" stroked="true" strokeweight="1.839421pt" strokecolor="#000000">
              <v:stroke dashstyle="solid"/>
            </v:line>
            <v:shape style="position:absolute;left:4281;top:-673;width:121;height:5023" coordorigin="4282,-672" coordsize="121,5023" path="m4392,4240l4282,4240,4336,4350,4392,4240xm4402,-561l4347,-672,4292,-562,4402,-561xe" filled="true" fillcolor="#000000" stroked="false">
              <v:path arrowok="t"/>
              <v:fill type="solid"/>
            </v:shape>
            <v:line style="position:absolute" from="4639,3895" to="4030,3899" stroked="true" strokeweight="1.141288pt" strokecolor="#000000">
              <v:stroke dashstyle="solid"/>
            </v:line>
            <v:line style="position:absolute" from="4639,248" to="4030,252" stroked="true" strokeweight="1.141288pt" strokecolor="#000000">
              <v:stroke dashstyle="solid"/>
            </v:line>
            <v:line style="position:absolute" from="9075,3644" to="3779,3651" stroked="true" strokeweight="1.843519pt" strokecolor="#000000">
              <v:stroke dashstyle="solid"/>
            </v:line>
            <v:shape style="position:absolute;left:3686;top:3588;width:5481;height:118" coordorigin="3687,3588" coordsize="5481,118" path="m3797,3706l3797,3595,3687,3651,3797,3706xm9167,3644l9057,3588,9057,3699,9167,3644xe" filled="true" fillcolor="#000000" stroked="false">
              <v:path arrowok="t"/>
              <v:fill type="solid"/>
            </v:shape>
            <v:shape style="position:absolute;left:6659;top:3619;width:2117;height:490" coordorigin="6659,3620" coordsize="2117,490" path="m8776,3670l8718,3723,8658,3773,8597,3819,8534,3862,8469,3902,8403,3938,8336,3970,8268,4000,8199,4025,8129,4048,8059,4067,7988,4082,7917,4094,7846,4103,7775,4108,7703,4109,7632,4107,7562,4102,7492,4093,7423,4081,7354,4065,7287,4046,7220,4023,7155,3997,7091,3967,7029,3934,6968,3898,6909,3857,6852,3814,6797,3766,6744,3716,6701,3669,6680,3645,6659,3620e" filled="false" stroked="true" strokeweight="1.64448pt" strokecolor="#5b9bd5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165.400497pt;margin-top:.194338pt;width:7.35pt;height:16.25pt;mso-position-horizontal-relative:page;mso-position-vertical-relative:paragraph;z-index:15886336" type="#_x0000_t202" filled="false" stroked="false">
            <v:textbox inset="0,0,0,0">
              <w:txbxContent>
                <w:p>
                  <w:pPr>
                    <w:spacing w:line="324" w:lineRule="exact" w:before="0"/>
                    <w:ind w:left="0" w:right="0" w:firstLine="0"/>
                    <w:jc w:val="left"/>
                    <w:rPr>
                      <w:i/>
                      <w:sz w:val="29"/>
                    </w:rPr>
                  </w:pPr>
                  <w:r>
                    <w:rPr>
                      <w:i/>
                      <w:w w:val="100"/>
                      <w:sz w:val="29"/>
                    </w:rPr>
                    <w:t>p</w:t>
                  </w:r>
                </w:p>
              </w:txbxContent>
            </v:textbox>
            <w10:wrap type="none"/>
          </v:shape>
        </w:pict>
      </w:r>
      <w:r>
        <w:rPr>
          <w:i/>
          <w:w w:val="102"/>
          <w:sz w:val="19"/>
        </w:rPr>
        <w:t>+</w:t>
      </w:r>
    </w:p>
    <w:p>
      <w:pPr>
        <w:spacing w:line="189" w:lineRule="exact" w:before="0"/>
        <w:ind w:left="1735" w:right="0" w:firstLine="0"/>
        <w:jc w:val="left"/>
        <w:rPr>
          <w:i/>
          <w:sz w:val="19"/>
        </w:rPr>
      </w:pPr>
      <w:r>
        <w:rPr>
          <w:i/>
          <w:sz w:val="19"/>
        </w:rPr>
        <w:t>peak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5"/>
        <w:rPr>
          <w:i/>
          <w:sz w:val="19"/>
        </w:rPr>
      </w:pPr>
    </w:p>
    <w:p>
      <w:pPr>
        <w:pStyle w:val="Heading1"/>
        <w:spacing w:before="87"/>
      </w:pPr>
      <w:r>
        <w:rPr/>
        <w:t>Pressure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8"/>
        </w:rPr>
      </w:pPr>
    </w:p>
    <w:p>
      <w:pPr>
        <w:spacing w:after="0"/>
        <w:rPr>
          <w:sz w:val="28"/>
        </w:rPr>
        <w:sectPr>
          <w:pgSz w:w="12240" w:h="15840"/>
          <w:pgMar w:header="0" w:footer="1064" w:top="1500" w:bottom="1260" w:left="1720" w:right="1020"/>
        </w:sectPr>
      </w:pPr>
    </w:p>
    <w:p>
      <w:pPr>
        <w:spacing w:line="374" w:lineRule="exact" w:before="91"/>
        <w:ind w:left="0" w:right="329" w:firstLine="0"/>
        <w:jc w:val="right"/>
        <w:rPr>
          <w:i/>
          <w:sz w:val="19"/>
        </w:rPr>
      </w:pPr>
      <w:r>
        <w:rPr/>
        <w:pict>
          <v:shape style="position:absolute;margin-left:165.400497pt;margin-top:23.024923pt;width:7.35pt;height:16.25pt;mso-position-horizontal-relative:page;mso-position-vertical-relative:paragraph;z-index:15886848" type="#_x0000_t202" filled="false" stroked="false">
            <v:textbox inset="0,0,0,0">
              <w:txbxContent>
                <w:p>
                  <w:pPr>
                    <w:spacing w:line="324" w:lineRule="exact" w:before="0"/>
                    <w:ind w:left="0" w:right="0" w:firstLine="0"/>
                    <w:jc w:val="left"/>
                    <w:rPr>
                      <w:i/>
                      <w:sz w:val="29"/>
                    </w:rPr>
                  </w:pPr>
                  <w:r>
                    <w:rPr>
                      <w:i/>
                      <w:w w:val="100"/>
                      <w:sz w:val="29"/>
                    </w:rPr>
                    <w:t>p</w:t>
                  </w:r>
                </w:p>
              </w:txbxContent>
            </v:textbox>
            <w10:wrap type="none"/>
          </v:shape>
        </w:pict>
      </w:r>
      <w:r>
        <w:rPr>
          <w:i/>
          <w:sz w:val="29"/>
        </w:rPr>
        <w:t>p</w:t>
      </w:r>
      <w:r>
        <w:rPr>
          <w:i/>
          <w:position w:val="-6"/>
          <w:sz w:val="19"/>
        </w:rPr>
        <w:t>0</w:t>
      </w:r>
    </w:p>
    <w:p>
      <w:pPr>
        <w:spacing w:line="181" w:lineRule="exact" w:before="0"/>
        <w:ind w:left="0" w:right="0" w:firstLine="0"/>
        <w:jc w:val="right"/>
        <w:rPr>
          <w:i/>
          <w:sz w:val="19"/>
        </w:rPr>
      </w:pPr>
      <w:r>
        <w:rPr>
          <w:i/>
          <w:w w:val="102"/>
          <w:sz w:val="19"/>
        </w:rPr>
        <w:t>-</w:t>
      </w:r>
    </w:p>
    <w:p>
      <w:pPr>
        <w:spacing w:line="189" w:lineRule="exact" w:before="0"/>
        <w:ind w:left="0" w:right="62" w:firstLine="0"/>
        <w:jc w:val="right"/>
        <w:rPr>
          <w:i/>
          <w:sz w:val="19"/>
        </w:rPr>
      </w:pPr>
      <w:r>
        <w:rPr>
          <w:i/>
          <w:sz w:val="19"/>
        </w:rPr>
        <w:t>peak</w:t>
      </w:r>
    </w:p>
    <w:p>
      <w:pPr>
        <w:pStyle w:val="BodyText"/>
        <w:spacing w:before="5"/>
        <w:rPr>
          <w:i/>
          <w:sz w:val="42"/>
        </w:rPr>
      </w:pPr>
      <w:r>
        <w:rPr/>
        <w:br w:type="column"/>
      </w:r>
      <w:r>
        <w:rPr>
          <w:i/>
          <w:sz w:val="42"/>
        </w:rPr>
      </w:r>
    </w:p>
    <w:p>
      <w:pPr>
        <w:spacing w:before="0"/>
        <w:ind w:left="1093" w:right="0" w:firstLine="0"/>
        <w:jc w:val="left"/>
        <w:rPr>
          <w:i/>
          <w:sz w:val="19"/>
        </w:rPr>
      </w:pPr>
      <w:r>
        <w:rPr>
          <w:i/>
          <w:position w:val="7"/>
          <w:sz w:val="29"/>
        </w:rPr>
        <w:t>t</w:t>
      </w:r>
      <w:r>
        <w:rPr>
          <w:i/>
          <w:sz w:val="19"/>
        </w:rPr>
        <w:t>arrival</w:t>
      </w:r>
    </w:p>
    <w:p>
      <w:pPr>
        <w:pStyle w:val="BodyText"/>
        <w:rPr>
          <w:i/>
          <w:sz w:val="54"/>
        </w:rPr>
      </w:pPr>
      <w:r>
        <w:rPr/>
        <w:br w:type="column"/>
      </w:r>
      <w:r>
        <w:rPr>
          <w:i/>
          <w:sz w:val="54"/>
        </w:rPr>
      </w:r>
    </w:p>
    <w:p>
      <w:pPr>
        <w:pStyle w:val="Heading1"/>
        <w:ind w:left="1591"/>
      </w:pPr>
      <w:r>
        <w:rPr/>
        <w:t>Time,</w:t>
      </w:r>
      <w:r>
        <w:rPr>
          <w:spacing w:val="-6"/>
        </w:rPr>
        <w:t> </w:t>
      </w:r>
      <w:r>
        <w:rPr/>
        <w:t>t</w:t>
      </w:r>
      <w:r>
        <w:rPr>
          <w:spacing w:val="-6"/>
        </w:rPr>
        <w:t> </w:t>
      </w:r>
      <w:r>
        <w:rPr/>
        <w:t>(ms)</w:t>
      </w:r>
    </w:p>
    <w:p>
      <w:pPr>
        <w:spacing w:after="0"/>
        <w:sectPr>
          <w:type w:val="continuous"/>
          <w:pgSz w:w="12240" w:h="15840"/>
          <w:pgMar w:top="1380" w:bottom="280" w:left="1720" w:right="1020"/>
          <w:cols w:num="3" w:equalWidth="0">
            <w:col w:w="2168" w:space="40"/>
            <w:col w:w="1755" w:space="1581"/>
            <w:col w:w="3956"/>
          </w:cols>
        </w:sectPr>
      </w:pPr>
    </w:p>
    <w:p>
      <w:pPr>
        <w:pStyle w:val="BodyText"/>
        <w:spacing w:before="3"/>
        <w:rPr>
          <w:sz w:val="11"/>
        </w:rPr>
      </w:pPr>
    </w:p>
    <w:p>
      <w:pPr>
        <w:pStyle w:val="BodyText"/>
        <w:ind w:left="3562"/>
        <w:rPr>
          <w:sz w:val="20"/>
        </w:rPr>
      </w:pPr>
      <w:r>
        <w:rPr>
          <w:sz w:val="20"/>
        </w:rPr>
        <w:pict>
          <v:group style="width:174.65pt;height:33.25pt;mso-position-horizontal-relative:char;mso-position-vertical-relative:line" coordorigin="0,0" coordsize="3493,665">
            <v:line style="position:absolute" from="11,225" to="3481,252" stroked="true" strokeweight="1.141234pt" strokecolor="#000000">
              <v:stroke dashstyle="solid"/>
            </v:line>
            <v:line style="position:absolute" from="11,431" to="11,0" stroked="true" strokeweight="1.138695pt" strokecolor="#000000">
              <v:stroke dashstyle="solid"/>
            </v:line>
            <v:line style="position:absolute" from="1378,432" to="1378,12" stroked="true" strokeweight="1.138695pt" strokecolor="#000000">
              <v:stroke dashstyle="solid"/>
            </v:line>
            <v:line style="position:absolute" from="3464,467" to="3464,35" stroked="true" strokeweight="1.138695pt" strokecolor="#000000">
              <v:stroke dashstyle="solid"/>
            </v:line>
            <v:shape style="position:absolute;left:534;top:289;width:281;height:376" type="#_x0000_t202" filled="false" stroked="false">
              <v:textbox inset="0,0,0,0">
                <w:txbxContent>
                  <w:p>
                    <w:pPr>
                      <w:spacing w:line="372" w:lineRule="exact" w:before="0"/>
                      <w:ind w:left="0" w:right="0" w:firstLine="0"/>
                      <w:jc w:val="left"/>
                      <w:rPr>
                        <w:i/>
                        <w:sz w:val="19"/>
                      </w:rPr>
                    </w:pPr>
                    <w:r>
                      <w:rPr>
                        <w:i/>
                        <w:sz w:val="29"/>
                      </w:rPr>
                      <w:t>T</w:t>
                    </w:r>
                    <w:r>
                      <w:rPr>
                        <w:i/>
                        <w:position w:val="-6"/>
                        <w:sz w:val="19"/>
                      </w:rPr>
                      <w:t>p</w:t>
                    </w:r>
                  </w:p>
                </w:txbxContent>
              </v:textbox>
              <w10:wrap type="none"/>
            </v:shape>
            <v:shape style="position:absolute;left:2269;top:287;width:281;height:376" type="#_x0000_t202" filled="false" stroked="false">
              <v:textbox inset="0,0,0,0">
                <w:txbxContent>
                  <w:p>
                    <w:pPr>
                      <w:spacing w:line="372" w:lineRule="exact" w:before="0"/>
                      <w:ind w:left="0" w:right="0" w:firstLine="0"/>
                      <w:jc w:val="left"/>
                      <w:rPr>
                        <w:i/>
                        <w:sz w:val="19"/>
                      </w:rPr>
                    </w:pPr>
                    <w:r>
                      <w:rPr>
                        <w:i/>
                        <w:sz w:val="29"/>
                      </w:rPr>
                      <w:t>T</w:t>
                    </w:r>
                    <w:r>
                      <w:rPr>
                        <w:i/>
                        <w:position w:val="-6"/>
                        <w:sz w:val="19"/>
                      </w:rPr>
                      <w:t>n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9"/>
        </w:rPr>
      </w:pPr>
    </w:p>
    <w:p>
      <w:pPr>
        <w:spacing w:before="90"/>
        <w:ind w:left="19" w:right="0" w:firstLine="0"/>
        <w:jc w:val="center"/>
        <w:rPr>
          <w:i/>
          <w:sz w:val="24"/>
        </w:rPr>
      </w:pPr>
      <w:bookmarkStart w:name="_bookmark173" w:id="512"/>
      <w:bookmarkEnd w:id="512"/>
      <w:r>
        <w:rPr/>
      </w:r>
      <w:r>
        <w:rPr>
          <w:i/>
          <w:sz w:val="24"/>
        </w:rPr>
        <w:t>Figure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8-1.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Pressure-time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history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blast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wave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free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air.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9"/>
        <w:rPr>
          <w:i/>
          <w:sz w:val="35"/>
        </w:rPr>
      </w:pPr>
    </w:p>
    <w:p>
      <w:pPr>
        <w:pStyle w:val="BodyText"/>
        <w:spacing w:line="480" w:lineRule="auto"/>
        <w:ind w:left="439" w:right="417" w:firstLine="720"/>
        <w:jc w:val="both"/>
        <w:rPr>
          <w:i/>
        </w:rPr>
      </w:pPr>
      <w:r>
        <w:rPr/>
        <w:t>Air bursts and surfaces bursts, where shock waves reflect off the ground are</w:t>
      </w:r>
      <w:r>
        <w:rPr>
          <w:spacing w:val="1"/>
        </w:rPr>
        <w:t> </w:t>
      </w:r>
      <w:r>
        <w:rPr/>
        <w:t>common.</w:t>
      </w:r>
      <w:r>
        <w:rPr>
          <w:spacing w:val="50"/>
        </w:rPr>
        <w:t> </w:t>
      </w:r>
      <w:r>
        <w:rPr/>
        <w:t>Upon</w:t>
      </w:r>
      <w:r>
        <w:rPr>
          <w:spacing w:val="-5"/>
        </w:rPr>
        <w:t> </w:t>
      </w:r>
      <w:r>
        <w:rPr/>
        <w:t>contact</w:t>
      </w:r>
      <w:r>
        <w:rPr>
          <w:spacing w:val="-6"/>
        </w:rPr>
        <w:t> </w:t>
      </w:r>
      <w:r>
        <w:rPr/>
        <w:t>with</w:t>
      </w:r>
      <w:r>
        <w:rPr>
          <w:spacing w:val="-4"/>
        </w:rPr>
        <w:t> </w:t>
      </w:r>
      <w:r>
        <w:rPr/>
        <w:t>an</w:t>
      </w:r>
      <w:r>
        <w:rPr>
          <w:spacing w:val="-5"/>
        </w:rPr>
        <w:t> </w:t>
      </w:r>
      <w:r>
        <w:rPr/>
        <w:t>object,</w:t>
      </w:r>
      <w:r>
        <w:rPr>
          <w:spacing w:val="-5"/>
        </w:rPr>
        <w:t> </w:t>
      </w:r>
      <w:r>
        <w:rPr/>
        <w:t>such</w:t>
      </w:r>
      <w:r>
        <w:rPr>
          <w:spacing w:val="-6"/>
        </w:rPr>
        <w:t> </w:t>
      </w:r>
      <w:r>
        <w:rPr/>
        <w:t>as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ground</w:t>
      </w:r>
      <w:r>
        <w:rPr>
          <w:spacing w:val="-5"/>
        </w:rPr>
        <w:t> </w:t>
      </w:r>
      <w:r>
        <w:rPr/>
        <w:t>or</w:t>
      </w:r>
      <w:r>
        <w:rPr>
          <w:spacing w:val="-6"/>
        </w:rPr>
        <w:t> </w:t>
      </w:r>
      <w:r>
        <w:rPr/>
        <w:t>a</w:t>
      </w:r>
      <w:r>
        <w:rPr>
          <w:spacing w:val="-4"/>
        </w:rPr>
        <w:t> </w:t>
      </w:r>
      <w:r>
        <w:rPr/>
        <w:t>building,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shock</w:t>
      </w:r>
      <w:r>
        <w:rPr>
          <w:spacing w:val="-5"/>
        </w:rPr>
        <w:t> </w:t>
      </w:r>
      <w:r>
        <w:rPr/>
        <w:t>front</w:t>
      </w:r>
      <w:r>
        <w:rPr>
          <w:spacing w:val="-4"/>
        </w:rPr>
        <w:t> </w:t>
      </w:r>
      <w:r>
        <w:rPr/>
        <w:t>is</w:t>
      </w:r>
      <w:r>
        <w:rPr>
          <w:spacing w:val="-58"/>
        </w:rPr>
        <w:t> </w:t>
      </w:r>
      <w:r>
        <w:rPr/>
        <w:t>reflected, creating additional shock waves.</w:t>
      </w:r>
      <w:r>
        <w:rPr>
          <w:spacing w:val="1"/>
        </w:rPr>
        <w:t> </w:t>
      </w:r>
      <w:r>
        <w:rPr/>
        <w:t>The incident shock wave and its reflections</w:t>
      </w:r>
      <w:r>
        <w:rPr>
          <w:spacing w:val="1"/>
        </w:rPr>
        <w:t> </w:t>
      </w:r>
      <w:r>
        <w:rPr/>
        <w:t>raise the applied pressures as the reflected waves merge with the incident wave.</w:t>
      </w:r>
      <w:r>
        <w:rPr>
          <w:spacing w:val="1"/>
        </w:rPr>
        <w:t> </w:t>
      </w:r>
      <w:r>
        <w:rPr/>
        <w:t>Peak</w:t>
      </w:r>
      <w:r>
        <w:rPr>
          <w:spacing w:val="1"/>
        </w:rPr>
        <w:t> </w:t>
      </w:r>
      <w:r>
        <w:rPr>
          <w:position w:val="1"/>
        </w:rPr>
        <w:t>reflected</w:t>
      </w:r>
      <w:r>
        <w:rPr>
          <w:spacing w:val="-11"/>
          <w:position w:val="1"/>
        </w:rPr>
        <w:t> </w:t>
      </w:r>
      <w:r>
        <w:rPr>
          <w:position w:val="1"/>
        </w:rPr>
        <w:t>pressure,</w:t>
      </w:r>
      <w:r>
        <w:rPr>
          <w:spacing w:val="-11"/>
          <w:position w:val="1"/>
        </w:rPr>
        <w:t> </w:t>
      </w:r>
      <w:r>
        <w:rPr>
          <w:i/>
          <w:position w:val="1"/>
        </w:rPr>
        <w:t>p</w:t>
      </w:r>
      <w:r>
        <w:rPr>
          <w:i/>
          <w:sz w:val="16"/>
        </w:rPr>
        <w:t>r</w:t>
      </w:r>
      <w:r>
        <w:rPr>
          <w:position w:val="1"/>
        </w:rPr>
        <w:t>,</w:t>
      </w:r>
      <w:r>
        <w:rPr>
          <w:spacing w:val="-11"/>
          <w:position w:val="1"/>
        </w:rPr>
        <w:t> </w:t>
      </w:r>
      <w:r>
        <w:rPr>
          <w:position w:val="1"/>
        </w:rPr>
        <w:t>and</w:t>
      </w:r>
      <w:r>
        <w:rPr>
          <w:spacing w:val="-11"/>
          <w:position w:val="1"/>
        </w:rPr>
        <w:t> </w:t>
      </w:r>
      <w:r>
        <w:rPr>
          <w:position w:val="1"/>
        </w:rPr>
        <w:t>reflected</w:t>
      </w:r>
      <w:r>
        <w:rPr>
          <w:spacing w:val="-11"/>
          <w:position w:val="1"/>
        </w:rPr>
        <w:t> </w:t>
      </w:r>
      <w:r>
        <w:rPr>
          <w:position w:val="1"/>
        </w:rPr>
        <w:t>impulse,</w:t>
      </w:r>
      <w:r>
        <w:rPr>
          <w:spacing w:val="-11"/>
          <w:position w:val="1"/>
        </w:rPr>
        <w:t> </w:t>
      </w:r>
      <w:r>
        <w:rPr>
          <w:i/>
          <w:position w:val="1"/>
        </w:rPr>
        <w:t>i</w:t>
      </w:r>
      <w:r>
        <w:rPr>
          <w:i/>
          <w:sz w:val="16"/>
        </w:rPr>
        <w:t>r</w:t>
      </w:r>
      <w:r>
        <w:rPr>
          <w:position w:val="1"/>
        </w:rPr>
        <w:t>,</w:t>
      </w:r>
      <w:r>
        <w:rPr>
          <w:spacing w:val="-11"/>
          <w:position w:val="1"/>
        </w:rPr>
        <w:t> </w:t>
      </w:r>
      <w:r>
        <w:rPr>
          <w:position w:val="1"/>
        </w:rPr>
        <w:t>magnitudes</w:t>
      </w:r>
      <w:r>
        <w:rPr>
          <w:spacing w:val="-11"/>
          <w:position w:val="1"/>
        </w:rPr>
        <w:t> </w:t>
      </w:r>
      <w:r>
        <w:rPr>
          <w:position w:val="1"/>
        </w:rPr>
        <w:t>can</w:t>
      </w:r>
      <w:r>
        <w:rPr>
          <w:spacing w:val="-11"/>
          <w:position w:val="1"/>
        </w:rPr>
        <w:t> </w:t>
      </w:r>
      <w:r>
        <w:rPr>
          <w:position w:val="1"/>
        </w:rPr>
        <w:t>be</w:t>
      </w:r>
      <w:r>
        <w:rPr>
          <w:spacing w:val="-11"/>
          <w:position w:val="1"/>
        </w:rPr>
        <w:t> </w:t>
      </w:r>
      <w:r>
        <w:rPr>
          <w:position w:val="1"/>
        </w:rPr>
        <w:t>significantly</w:t>
      </w:r>
      <w:r>
        <w:rPr>
          <w:spacing w:val="-11"/>
          <w:position w:val="1"/>
        </w:rPr>
        <w:t> </w:t>
      </w:r>
      <w:r>
        <w:rPr>
          <w:position w:val="1"/>
        </w:rPr>
        <w:t>higher</w:t>
      </w:r>
      <w:r>
        <w:rPr>
          <w:spacing w:val="-11"/>
          <w:position w:val="1"/>
        </w:rPr>
        <w:t> </w:t>
      </w:r>
      <w:r>
        <w:rPr>
          <w:position w:val="1"/>
        </w:rPr>
        <w:t>than</w:t>
      </w:r>
      <w:r>
        <w:rPr>
          <w:spacing w:val="-57"/>
          <w:position w:val="1"/>
        </w:rPr>
        <w:t> </w:t>
      </w:r>
      <w:r>
        <w:rPr/>
        <w:t>the</w:t>
      </w:r>
      <w:r>
        <w:rPr>
          <w:spacing w:val="-8"/>
        </w:rPr>
        <w:t> </w:t>
      </w:r>
      <w:r>
        <w:rPr/>
        <w:t>incident</w:t>
      </w:r>
      <w:r>
        <w:rPr>
          <w:spacing w:val="-7"/>
        </w:rPr>
        <w:t> </w:t>
      </w:r>
      <w:r>
        <w:rPr/>
        <w:t>pressure</w:t>
      </w:r>
      <w:r>
        <w:rPr>
          <w:spacing w:val="-7"/>
        </w:rPr>
        <w:t> </w:t>
      </w:r>
      <w:r>
        <w:rPr/>
        <w:t>wave</w:t>
      </w:r>
      <w:r>
        <w:rPr>
          <w:spacing w:val="-6"/>
        </w:rPr>
        <w:t> </w:t>
      </w:r>
      <w:r>
        <w:rPr/>
        <w:t>because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shock</w:t>
      </w:r>
      <w:r>
        <w:rPr>
          <w:spacing w:val="-7"/>
        </w:rPr>
        <w:t> </w:t>
      </w:r>
      <w:r>
        <w:rPr/>
        <w:t>front</w:t>
      </w:r>
      <w:r>
        <w:rPr>
          <w:spacing w:val="-7"/>
        </w:rPr>
        <w:t> </w:t>
      </w:r>
      <w:r>
        <w:rPr/>
        <w:t>is</w:t>
      </w:r>
      <w:r>
        <w:rPr>
          <w:spacing w:val="-6"/>
        </w:rPr>
        <w:t> </w:t>
      </w:r>
      <w:r>
        <w:rPr/>
        <w:t>reinforced</w:t>
      </w:r>
      <w:r>
        <w:rPr>
          <w:spacing w:val="-7"/>
        </w:rPr>
        <w:t> </w:t>
      </w:r>
      <w:r>
        <w:rPr/>
        <w:t>by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additional</w:t>
      </w:r>
      <w:r>
        <w:rPr>
          <w:spacing w:val="-7"/>
        </w:rPr>
        <w:t> </w:t>
      </w:r>
      <w:r>
        <w:rPr/>
        <w:t>reflected</w:t>
      </w:r>
      <w:r>
        <w:rPr>
          <w:spacing w:val="-58"/>
        </w:rPr>
        <w:t> </w:t>
      </w:r>
      <w:r>
        <w:rPr/>
        <w:t>waves [105].</w:t>
      </w:r>
      <w:r>
        <w:rPr>
          <w:spacing w:val="1"/>
        </w:rPr>
        <w:t> </w:t>
      </w:r>
      <w:r>
        <w:rPr/>
        <w:t>These two values can be derived from the peak static overpressure or found</w:t>
      </w:r>
      <w:r>
        <w:rPr>
          <w:spacing w:val="-57"/>
        </w:rPr>
        <w:t> </w:t>
      </w:r>
      <w:r>
        <w:rPr/>
        <w:t>graphically from charts in </w:t>
      </w:r>
      <w:r>
        <w:rPr>
          <w:i/>
        </w:rPr>
        <w:t>UFC 3-340-02, Structures to Resist the Effects of Accidental</w:t>
      </w:r>
      <w:r>
        <w:rPr>
          <w:i/>
          <w:spacing w:val="1"/>
        </w:rPr>
        <w:t> </w:t>
      </w:r>
      <w:r>
        <w:rPr>
          <w:i/>
        </w:rPr>
        <w:t>Explosions</w:t>
      </w:r>
      <w:r>
        <w:rPr>
          <w:i/>
          <w:spacing w:val="-1"/>
        </w:rPr>
        <w:t> </w:t>
      </w:r>
      <w:r>
        <w:rPr/>
        <w:t>[17, 104]</w:t>
      </w:r>
      <w:r>
        <w:rPr>
          <w:i/>
        </w:rPr>
        <w:t>.</w:t>
      </w:r>
    </w:p>
    <w:p>
      <w:pPr>
        <w:spacing w:after="0" w:line="480" w:lineRule="auto"/>
        <w:jc w:val="both"/>
        <w:sectPr>
          <w:type w:val="continuous"/>
          <w:pgSz w:w="12240" w:h="15840"/>
          <w:pgMar w:top="1380" w:bottom="280" w:left="1720" w:right="1020"/>
        </w:sectPr>
      </w:pPr>
    </w:p>
    <w:p>
      <w:pPr>
        <w:pStyle w:val="BodyText"/>
        <w:spacing w:line="480" w:lineRule="auto" w:before="78"/>
        <w:ind w:left="439" w:right="417" w:firstLine="720"/>
        <w:jc w:val="both"/>
      </w:pPr>
      <w:r>
        <w:rPr/>
        <w:t>The</w:t>
      </w:r>
      <w:r>
        <w:rPr>
          <w:spacing w:val="-5"/>
        </w:rPr>
        <w:t> </w:t>
      </w:r>
      <w:r>
        <w:rPr/>
        <w:t>negative</w:t>
      </w:r>
      <w:r>
        <w:rPr>
          <w:spacing w:val="-5"/>
        </w:rPr>
        <w:t> </w:t>
      </w:r>
      <w:r>
        <w:rPr/>
        <w:t>phase</w:t>
      </w:r>
      <w:r>
        <w:rPr>
          <w:spacing w:val="-5"/>
        </w:rPr>
        <w:t> </w:t>
      </w:r>
      <w:r>
        <w:rPr/>
        <w:t>is</w:t>
      </w:r>
      <w:r>
        <w:rPr>
          <w:spacing w:val="-5"/>
        </w:rPr>
        <w:t> </w:t>
      </w:r>
      <w:r>
        <w:rPr/>
        <w:t>analyzed</w:t>
      </w:r>
      <w:r>
        <w:rPr>
          <w:spacing w:val="-5"/>
        </w:rPr>
        <w:t> </w:t>
      </w:r>
      <w:r>
        <w:rPr/>
        <w:t>separately</w:t>
      </w:r>
      <w:r>
        <w:rPr>
          <w:spacing w:val="-5"/>
        </w:rPr>
        <w:t> </w:t>
      </w:r>
      <w:r>
        <w:rPr/>
        <w:t>from</w:t>
      </w:r>
      <w:r>
        <w:rPr>
          <w:spacing w:val="-7"/>
        </w:rPr>
        <w:t> </w:t>
      </w:r>
      <w:r>
        <w:rPr/>
        <w:t>the</w:t>
      </w:r>
      <w:r>
        <w:rPr>
          <w:spacing w:val="-5"/>
        </w:rPr>
        <w:t> </w:t>
      </w:r>
      <w:r>
        <w:rPr/>
        <w:t>positive</w:t>
      </w:r>
      <w:r>
        <w:rPr>
          <w:spacing w:val="-5"/>
        </w:rPr>
        <w:t> </w:t>
      </w:r>
      <w:r>
        <w:rPr/>
        <w:t>pressure</w:t>
      </w:r>
      <w:r>
        <w:rPr>
          <w:spacing w:val="-5"/>
        </w:rPr>
        <w:t> </w:t>
      </w:r>
      <w:r>
        <w:rPr/>
        <w:t>phase</w:t>
      </w:r>
      <w:r>
        <w:rPr>
          <w:spacing w:val="-5"/>
        </w:rPr>
        <w:t> </w:t>
      </w:r>
      <w:r>
        <w:rPr/>
        <w:t>with</w:t>
      </w:r>
      <w:r>
        <w:rPr>
          <w:spacing w:val="-5"/>
        </w:rPr>
        <w:t> </w:t>
      </w:r>
      <w:r>
        <w:rPr/>
        <w:t>its</w:t>
      </w:r>
      <w:r>
        <w:rPr>
          <w:spacing w:val="-58"/>
        </w:rPr>
        <w:t> </w:t>
      </w:r>
      <w:r>
        <w:rPr/>
        <w:t>own set of blast wave parameters, if it is not neglected.</w:t>
      </w:r>
      <w:r>
        <w:rPr>
          <w:spacing w:val="1"/>
        </w:rPr>
        <w:t> </w:t>
      </w:r>
      <w:r>
        <w:rPr/>
        <w:t>In general, the majority of the</w:t>
      </w:r>
      <w:r>
        <w:rPr>
          <w:spacing w:val="1"/>
        </w:rPr>
        <w:t> </w:t>
      </w:r>
      <w:r>
        <w:rPr/>
        <w:t>damage in a blast event is caused by the positive pressure phase, so the negative pressure</w:t>
      </w:r>
      <w:r>
        <w:rPr>
          <w:spacing w:val="1"/>
        </w:rPr>
        <w:t> </w:t>
      </w:r>
      <w:r>
        <w:rPr/>
        <w:t>phase</w:t>
      </w:r>
      <w:r>
        <w:rPr>
          <w:spacing w:val="-8"/>
        </w:rPr>
        <w:t> </w:t>
      </w:r>
      <w:r>
        <w:rPr/>
        <w:t>is</w:t>
      </w:r>
      <w:r>
        <w:rPr>
          <w:spacing w:val="-7"/>
        </w:rPr>
        <w:t> </w:t>
      </w:r>
      <w:r>
        <w:rPr/>
        <w:t>often</w:t>
      </w:r>
      <w:r>
        <w:rPr>
          <w:spacing w:val="-8"/>
        </w:rPr>
        <w:t> </w:t>
      </w:r>
      <w:r>
        <w:rPr/>
        <w:t>ignored.</w:t>
      </w:r>
      <w:r>
        <w:rPr>
          <w:spacing w:val="45"/>
        </w:rPr>
        <w:t> </w:t>
      </w:r>
      <w:r>
        <w:rPr/>
        <w:t>Flexible</w:t>
      </w:r>
      <w:r>
        <w:rPr>
          <w:spacing w:val="-7"/>
        </w:rPr>
        <w:t> </w:t>
      </w:r>
      <w:r>
        <w:rPr/>
        <w:t>type</w:t>
      </w:r>
      <w:r>
        <w:rPr>
          <w:spacing w:val="-9"/>
        </w:rPr>
        <w:t> </w:t>
      </w:r>
      <w:r>
        <w:rPr/>
        <w:t>structures,</w:t>
      </w:r>
      <w:r>
        <w:rPr>
          <w:spacing w:val="-9"/>
        </w:rPr>
        <w:t> </w:t>
      </w:r>
      <w:r>
        <w:rPr/>
        <w:t>such</w:t>
      </w:r>
      <w:r>
        <w:rPr>
          <w:spacing w:val="-8"/>
        </w:rPr>
        <w:t> </w:t>
      </w:r>
      <w:r>
        <w:rPr/>
        <w:t>as</w:t>
      </w:r>
      <w:r>
        <w:rPr>
          <w:spacing w:val="-7"/>
        </w:rPr>
        <w:t> </w:t>
      </w:r>
      <w:r>
        <w:rPr/>
        <w:t>lightweight</w:t>
      </w:r>
      <w:r>
        <w:rPr>
          <w:spacing w:val="-8"/>
        </w:rPr>
        <w:t> </w:t>
      </w:r>
      <w:r>
        <w:rPr/>
        <w:t>steel-frame</w:t>
      </w:r>
      <w:r>
        <w:rPr>
          <w:spacing w:val="-7"/>
        </w:rPr>
        <w:t> </w:t>
      </w:r>
      <w:r>
        <w:rPr/>
        <w:t>structures,</w:t>
      </w:r>
      <w:r>
        <w:rPr>
          <w:spacing w:val="-58"/>
        </w:rPr>
        <w:t> </w:t>
      </w:r>
      <w:r>
        <w:rPr>
          <w:spacing w:val="-1"/>
        </w:rPr>
        <w:t>create</w:t>
      </w:r>
      <w:r>
        <w:rPr>
          <w:spacing w:val="-15"/>
        </w:rPr>
        <w:t> </w:t>
      </w:r>
      <w:r>
        <w:rPr>
          <w:spacing w:val="-1"/>
        </w:rPr>
        <w:t>conditions</w:t>
      </w:r>
      <w:r>
        <w:rPr>
          <w:spacing w:val="-15"/>
        </w:rPr>
        <w:t> </w:t>
      </w:r>
      <w:r>
        <w:rPr>
          <w:spacing w:val="-1"/>
        </w:rPr>
        <w:t>were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negative</w:t>
      </w:r>
      <w:r>
        <w:rPr>
          <w:spacing w:val="-15"/>
        </w:rPr>
        <w:t> </w:t>
      </w:r>
      <w:r>
        <w:rPr/>
        <w:t>blast</w:t>
      </w:r>
      <w:r>
        <w:rPr>
          <w:spacing w:val="-13"/>
        </w:rPr>
        <w:t> </w:t>
      </w:r>
      <w:r>
        <w:rPr/>
        <w:t>wave</w:t>
      </w:r>
      <w:r>
        <w:rPr>
          <w:spacing w:val="-15"/>
        </w:rPr>
        <w:t> </w:t>
      </w:r>
      <w:r>
        <w:rPr/>
        <w:t>parameters</w:t>
      </w:r>
      <w:r>
        <w:rPr>
          <w:spacing w:val="-15"/>
        </w:rPr>
        <w:t> </w:t>
      </w:r>
      <w:r>
        <w:rPr/>
        <w:t>are</w:t>
      </w:r>
      <w:r>
        <w:rPr>
          <w:spacing w:val="-15"/>
        </w:rPr>
        <w:t> </w:t>
      </w:r>
      <w:r>
        <w:rPr/>
        <w:t>needed</w:t>
      </w:r>
      <w:r>
        <w:rPr>
          <w:spacing w:val="-15"/>
        </w:rPr>
        <w:t> </w:t>
      </w:r>
      <w:r>
        <w:rPr/>
        <w:t>for</w:t>
      </w:r>
      <w:r>
        <w:rPr>
          <w:spacing w:val="-13"/>
        </w:rPr>
        <w:t> </w:t>
      </w:r>
      <w:r>
        <w:rPr/>
        <w:t>the</w:t>
      </w:r>
      <w:r>
        <w:rPr>
          <w:spacing w:val="-15"/>
        </w:rPr>
        <w:t> </w:t>
      </w:r>
      <w:r>
        <w:rPr/>
        <w:t>full</w:t>
      </w:r>
      <w:r>
        <w:rPr>
          <w:spacing w:val="-14"/>
        </w:rPr>
        <w:t> </w:t>
      </w:r>
      <w:r>
        <w:rPr/>
        <w:t>blast</w:t>
      </w:r>
      <w:r>
        <w:rPr>
          <w:spacing w:val="-16"/>
        </w:rPr>
        <w:t> </w:t>
      </w:r>
      <w:r>
        <w:rPr/>
        <w:t>wave</w:t>
      </w:r>
      <w:r>
        <w:rPr>
          <w:spacing w:val="-58"/>
        </w:rPr>
        <w:t> </w:t>
      </w:r>
      <w:r>
        <w:rPr/>
        <w:t>effects</w:t>
      </w:r>
      <w:r>
        <w:rPr>
          <w:spacing w:val="-1"/>
        </w:rPr>
        <w:t> </w:t>
      </w:r>
      <w:r>
        <w:rPr/>
        <w:t>on a structure [42].</w:t>
      </w:r>
    </w:p>
    <w:p>
      <w:pPr>
        <w:pStyle w:val="BodyText"/>
        <w:spacing w:line="480" w:lineRule="auto" w:before="160"/>
        <w:ind w:left="439" w:right="416" w:firstLine="720"/>
        <w:jc w:val="both"/>
      </w:pPr>
      <w:r>
        <w:rPr/>
        <w:t>The</w:t>
      </w:r>
      <w:r>
        <w:rPr>
          <w:spacing w:val="-11"/>
        </w:rPr>
        <w:t> </w:t>
      </w:r>
      <w:r>
        <w:rPr/>
        <w:t>standoff</w:t>
      </w:r>
      <w:r>
        <w:rPr>
          <w:spacing w:val="-9"/>
        </w:rPr>
        <w:t> </w:t>
      </w:r>
      <w:r>
        <w:rPr/>
        <w:t>distance,</w:t>
      </w:r>
      <w:r>
        <w:rPr>
          <w:spacing w:val="-10"/>
        </w:rPr>
        <w:t> </w:t>
      </w:r>
      <w:r>
        <w:rPr/>
        <w:t>or</w:t>
      </w:r>
      <w:r>
        <w:rPr>
          <w:spacing w:val="-9"/>
        </w:rPr>
        <w:t> </w:t>
      </w:r>
      <w:r>
        <w:rPr/>
        <w:t>distance</w:t>
      </w:r>
      <w:r>
        <w:rPr>
          <w:spacing w:val="-10"/>
        </w:rPr>
        <w:t> </w:t>
      </w:r>
      <w:r>
        <w:rPr/>
        <w:t>from</w:t>
      </w:r>
      <w:r>
        <w:rPr>
          <w:spacing w:val="-11"/>
        </w:rPr>
        <w:t> </w:t>
      </w:r>
      <w:r>
        <w:rPr/>
        <w:t>the</w:t>
      </w:r>
      <w:r>
        <w:rPr>
          <w:spacing w:val="-10"/>
        </w:rPr>
        <w:t> </w:t>
      </w:r>
      <w:r>
        <w:rPr/>
        <w:t>explosion</w:t>
      </w:r>
      <w:r>
        <w:rPr>
          <w:spacing w:val="-10"/>
        </w:rPr>
        <w:t> </w:t>
      </w:r>
      <w:r>
        <w:rPr/>
        <w:t>to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building</w:t>
      </w:r>
      <w:r>
        <w:rPr>
          <w:spacing w:val="-10"/>
        </w:rPr>
        <w:t> </w:t>
      </w:r>
      <w:r>
        <w:rPr/>
        <w:t>or</w:t>
      </w:r>
      <w:r>
        <w:rPr>
          <w:spacing w:val="-9"/>
        </w:rPr>
        <w:t> </w:t>
      </w:r>
      <w:r>
        <w:rPr/>
        <w:t>other</w:t>
      </w:r>
      <w:r>
        <w:rPr>
          <w:spacing w:val="-9"/>
        </w:rPr>
        <w:t> </w:t>
      </w:r>
      <w:r>
        <w:rPr/>
        <w:t>object</w:t>
      </w:r>
      <w:r>
        <w:rPr>
          <w:spacing w:val="-58"/>
        </w:rPr>
        <w:t> </w:t>
      </w:r>
      <w:r>
        <w:rPr/>
        <w:t>of</w:t>
      </w:r>
      <w:r>
        <w:rPr>
          <w:spacing w:val="-8"/>
        </w:rPr>
        <w:t> </w:t>
      </w:r>
      <w:r>
        <w:rPr/>
        <w:t>design</w:t>
      </w:r>
      <w:r>
        <w:rPr>
          <w:spacing w:val="-7"/>
        </w:rPr>
        <w:t> </w:t>
      </w:r>
      <w:r>
        <w:rPr/>
        <w:t>concern,</w:t>
      </w:r>
      <w:r>
        <w:rPr>
          <w:spacing w:val="-7"/>
        </w:rPr>
        <w:t> </w:t>
      </w:r>
      <w:r>
        <w:rPr/>
        <w:t>is</w:t>
      </w:r>
      <w:r>
        <w:rPr>
          <w:spacing w:val="-7"/>
        </w:rPr>
        <w:t> </w:t>
      </w:r>
      <w:r>
        <w:rPr/>
        <w:t>an</w:t>
      </w:r>
      <w:r>
        <w:rPr>
          <w:spacing w:val="-6"/>
        </w:rPr>
        <w:t> </w:t>
      </w:r>
      <w:r>
        <w:rPr/>
        <w:t>important</w:t>
      </w:r>
      <w:r>
        <w:rPr>
          <w:spacing w:val="-7"/>
        </w:rPr>
        <w:t> </w:t>
      </w:r>
      <w:r>
        <w:rPr/>
        <w:t>consideration</w:t>
      </w:r>
      <w:r>
        <w:rPr>
          <w:spacing w:val="-7"/>
        </w:rPr>
        <w:t> </w:t>
      </w:r>
      <w:r>
        <w:rPr/>
        <w:t>in</w:t>
      </w:r>
      <w:r>
        <w:rPr>
          <w:spacing w:val="-7"/>
        </w:rPr>
        <w:t> </w:t>
      </w:r>
      <w:r>
        <w:rPr/>
        <w:t>force</w:t>
      </w:r>
      <w:r>
        <w:rPr>
          <w:spacing w:val="-6"/>
        </w:rPr>
        <w:t> </w:t>
      </w:r>
      <w:r>
        <w:rPr/>
        <w:t>protection</w:t>
      </w:r>
      <w:r>
        <w:rPr>
          <w:spacing w:val="-7"/>
        </w:rPr>
        <w:t> </w:t>
      </w:r>
      <w:r>
        <w:rPr/>
        <w:t>planning,</w:t>
      </w:r>
      <w:r>
        <w:rPr>
          <w:spacing w:val="-7"/>
        </w:rPr>
        <w:t> </w:t>
      </w:r>
      <w:r>
        <w:rPr/>
        <w:t>as</w:t>
      </w:r>
      <w:r>
        <w:rPr>
          <w:spacing w:val="-7"/>
        </w:rPr>
        <w:t> </w:t>
      </w:r>
      <w:r>
        <w:rPr/>
        <w:t>is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type</w:t>
      </w:r>
      <w:r>
        <w:rPr>
          <w:spacing w:val="-58"/>
        </w:rPr>
        <w:t> </w:t>
      </w:r>
      <w:r>
        <w:rPr/>
        <w:t>and weight of the explosive.</w:t>
      </w:r>
      <w:r>
        <w:rPr>
          <w:spacing w:val="1"/>
        </w:rPr>
        <w:t> </w:t>
      </w:r>
      <w:r>
        <w:rPr/>
        <w:t>For convenience, TNT is used as a common reference and</w:t>
      </w:r>
      <w:r>
        <w:rPr>
          <w:spacing w:val="1"/>
        </w:rPr>
        <w:t> </w:t>
      </w:r>
      <w:r>
        <w:rPr/>
        <w:t>other high explosive charges are converted to an equivalent TNT weight based on a ratio</w:t>
      </w:r>
      <w:r>
        <w:rPr>
          <w:spacing w:val="1"/>
        </w:rPr>
        <w:t> </w:t>
      </w:r>
      <w:r>
        <w:rPr/>
        <w:t>using weights and specific energies of the two explosives.</w:t>
      </w:r>
      <w:r>
        <w:rPr>
          <w:spacing w:val="1"/>
        </w:rPr>
        <w:t> </w:t>
      </w:r>
      <w:r>
        <w:rPr/>
        <w:t>These key variables are often</w:t>
      </w:r>
      <w:r>
        <w:rPr>
          <w:spacing w:val="1"/>
        </w:rPr>
        <w:t> </w:t>
      </w:r>
      <w:r>
        <w:rPr/>
        <w:t>estimated</w:t>
      </w:r>
      <w:r>
        <w:rPr>
          <w:spacing w:val="6"/>
        </w:rPr>
        <w:t> </w:t>
      </w:r>
      <w:r>
        <w:rPr/>
        <w:t>based</w:t>
      </w:r>
      <w:r>
        <w:rPr>
          <w:spacing w:val="6"/>
        </w:rPr>
        <w:t> </w:t>
      </w:r>
      <w:r>
        <w:rPr/>
        <w:t>on</w:t>
      </w:r>
      <w:r>
        <w:rPr>
          <w:spacing w:val="6"/>
        </w:rPr>
        <w:t> </w:t>
      </w:r>
      <w:r>
        <w:rPr/>
        <w:t>local</w:t>
      </w:r>
      <w:r>
        <w:rPr>
          <w:spacing w:val="5"/>
        </w:rPr>
        <w:t> </w:t>
      </w:r>
      <w:r>
        <w:rPr/>
        <w:t>threats</w:t>
      </w:r>
      <w:r>
        <w:rPr>
          <w:spacing w:val="6"/>
        </w:rPr>
        <w:t> </w:t>
      </w:r>
      <w:r>
        <w:rPr/>
        <w:t>and</w:t>
      </w:r>
      <w:r>
        <w:rPr>
          <w:spacing w:val="5"/>
        </w:rPr>
        <w:t> </w:t>
      </w:r>
      <w:r>
        <w:rPr/>
        <w:t>risk</w:t>
      </w:r>
      <w:r>
        <w:rPr>
          <w:spacing w:val="6"/>
        </w:rPr>
        <w:t> </w:t>
      </w:r>
      <w:r>
        <w:rPr/>
        <w:t>assessments.</w:t>
      </w:r>
      <w:r>
        <w:rPr>
          <w:spacing w:val="13"/>
        </w:rPr>
        <w:t> </w:t>
      </w:r>
      <w:r>
        <w:rPr/>
        <w:t>These</w:t>
      </w:r>
      <w:r>
        <w:rPr>
          <w:spacing w:val="5"/>
        </w:rPr>
        <w:t> </w:t>
      </w:r>
      <w:r>
        <w:rPr/>
        <w:t>values</w:t>
      </w:r>
      <w:r>
        <w:rPr>
          <w:spacing w:val="6"/>
        </w:rPr>
        <w:t> </w:t>
      </w:r>
      <w:r>
        <w:rPr/>
        <w:t>are</w:t>
      </w:r>
      <w:r>
        <w:rPr>
          <w:spacing w:val="6"/>
        </w:rPr>
        <w:t> </w:t>
      </w:r>
      <w:r>
        <w:rPr/>
        <w:t>used</w:t>
      </w:r>
      <w:r>
        <w:rPr>
          <w:spacing w:val="6"/>
        </w:rPr>
        <w:t> </w:t>
      </w:r>
      <w:r>
        <w:rPr/>
        <w:t>to</w:t>
      </w:r>
      <w:r>
        <w:rPr>
          <w:spacing w:val="6"/>
        </w:rPr>
        <w:t> </w:t>
      </w:r>
      <w:r>
        <w:rPr/>
        <w:t>calculate</w:t>
      </w:r>
      <w:r>
        <w:rPr>
          <w:spacing w:val="-58"/>
        </w:rPr>
        <w:t> </w:t>
      </w:r>
      <w:r>
        <w:rPr/>
        <w:t>a scaled distance parameter, </w:t>
      </w:r>
      <w:r>
        <w:rPr>
          <w:i/>
        </w:rPr>
        <w:t>Z</w:t>
      </w:r>
      <w:r>
        <w:rPr/>
        <w:t>.</w:t>
      </w:r>
      <w:r>
        <w:rPr>
          <w:spacing w:val="1"/>
        </w:rPr>
        <w:t> </w:t>
      </w:r>
      <w:r>
        <w:rPr/>
        <w:t>The Hopkinson-Cranz, or cube root, is a commonly used</w:t>
      </w:r>
      <w:r>
        <w:rPr>
          <w:spacing w:val="1"/>
        </w:rPr>
        <w:t> </w:t>
      </w:r>
      <w:r>
        <w:rPr/>
        <w:t>scaling</w:t>
      </w:r>
      <w:r>
        <w:rPr>
          <w:spacing w:val="-1"/>
        </w:rPr>
        <w:t> </w:t>
      </w:r>
      <w:r>
        <w:rPr/>
        <w:t>method for spherical</w:t>
      </w:r>
      <w:r>
        <w:rPr>
          <w:spacing w:val="-1"/>
        </w:rPr>
        <w:t> </w:t>
      </w:r>
      <w:r>
        <w:rPr/>
        <w:t>charges</w:t>
      </w:r>
      <w:r>
        <w:rPr>
          <w:spacing w:val="-1"/>
        </w:rPr>
        <w:t> </w:t>
      </w:r>
      <w:r>
        <w:rPr/>
        <w:t>as shown in</w:t>
      </w:r>
      <w:r>
        <w:rPr>
          <w:spacing w:val="-3"/>
        </w:rPr>
        <w:t> </w:t>
      </w:r>
      <w:r>
        <w:rPr/>
        <w:t>Equation 8.3</w:t>
      </w:r>
      <w:r>
        <w:rPr>
          <w:spacing w:val="-2"/>
        </w:rPr>
        <w:t> </w:t>
      </w:r>
      <w:r>
        <w:rPr/>
        <w:t>[104,</w:t>
      </w:r>
      <w:r>
        <w:rPr>
          <w:spacing w:val="-1"/>
        </w:rPr>
        <w:t> </w:t>
      </w:r>
      <w:r>
        <w:rPr/>
        <w:t>105].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14" w:lineRule="exact" w:before="130"/>
        <w:ind w:right="53"/>
        <w:jc w:val="right"/>
        <w:rPr>
          <w:rFonts w:ascii="Cambria Math" w:hAnsi="Cambria Math" w:eastAsia="Cambria Math"/>
          <w:sz w:val="17"/>
        </w:rPr>
      </w:pPr>
      <w:r>
        <w:rPr>
          <w:rFonts w:ascii="Cambria Math" w:hAnsi="Cambria Math" w:eastAsia="Cambria Math"/>
        </w:rPr>
        <w:t>Z</w:t>
      </w:r>
      <w:r>
        <w:rPr>
          <w:rFonts w:ascii="Cambria Math" w:hAnsi="Cambria Math" w:eastAsia="Cambria Math"/>
          <w:spacing w:val="68"/>
        </w:rPr>
        <w:t> </w:t>
      </w:r>
      <w:r>
        <w:rPr>
          <w:rFonts w:ascii="Cambria Math" w:hAnsi="Cambria Math" w:eastAsia="Cambria Math"/>
        </w:rPr>
        <w:t>≡  </w:t>
      </w:r>
      <w:r>
        <w:rPr>
          <w:rFonts w:ascii="Cambria Math" w:hAnsi="Cambria Math" w:eastAsia="Cambria Math"/>
          <w:spacing w:val="10"/>
        </w:rPr>
        <w:t> </w:t>
      </w:r>
      <w:r>
        <w:rPr>
          <w:rFonts w:ascii="Cambria Math" w:hAnsi="Cambria Math" w:eastAsia="Cambria Math"/>
          <w:position w:val="18"/>
          <w:u w:val="single"/>
        </w:rPr>
        <w:t>𝑅</w:t>
      </w:r>
      <w:r>
        <w:rPr>
          <w:rFonts w:ascii="Cambria Math" w:hAnsi="Cambria Math" w:eastAsia="Cambria Math"/>
          <w:position w:val="13"/>
          <w:sz w:val="17"/>
          <w:u w:val="single"/>
        </w:rPr>
        <w:t>𝑑</w:t>
      </w:r>
    </w:p>
    <w:p>
      <w:pPr>
        <w:pStyle w:val="BodyText"/>
        <w:spacing w:line="20" w:lineRule="exact"/>
        <w:ind w:left="4534" w:right="-72"/>
        <w:rPr>
          <w:rFonts w:ascii="Cambria Math"/>
          <w:sz w:val="2"/>
        </w:rPr>
      </w:pPr>
      <w:r>
        <w:rPr>
          <w:rFonts w:ascii="Cambria Math"/>
          <w:sz w:val="2"/>
        </w:rPr>
        <w:pict>
          <v:group style="width:9.25pt;height:.8pt;mso-position-horizontal-relative:char;mso-position-vertical-relative:line" coordorigin="0,0" coordsize="185,16">
            <v:rect style="position:absolute;left:0;top:0;width:185;height:16" filled="true" fillcolor="#000000" stroked="false">
              <v:fill type="solid"/>
            </v:rect>
          </v:group>
        </w:pict>
      </w:r>
      <w:r>
        <w:rPr>
          <w:rFonts w:ascii="Cambria Math"/>
          <w:sz w:val="2"/>
        </w:rPr>
      </w:r>
    </w:p>
    <w:p>
      <w:pPr>
        <w:pStyle w:val="BodyText"/>
        <w:spacing w:line="234" w:lineRule="exact"/>
        <w:jc w:val="right"/>
        <w:rPr>
          <w:rFonts w:ascii="Cambria Math" w:hAnsi="Cambria Math" w:eastAsia="Cambria Math"/>
        </w:rPr>
      </w:pPr>
      <w:r>
        <w:rPr>
          <w:rFonts w:ascii="Cambria Math" w:hAnsi="Cambria Math" w:eastAsia="Cambria Math"/>
          <w:vertAlign w:val="superscript"/>
        </w:rPr>
        <w:t>3</w:t>
      </w:r>
      <w:r>
        <w:rPr>
          <w:rFonts w:ascii="Cambria Math" w:hAnsi="Cambria Math" w:eastAsia="Cambria Math"/>
          <w:vertAlign w:val="baseline"/>
        </w:rPr>
        <w:t>√</w:t>
      </w:r>
      <w:r>
        <w:rPr>
          <w:rFonts w:ascii="Cambria Math" w:hAnsi="Cambria Math" w:eastAsia="Cambria Math"/>
          <w:position w:val="2"/>
          <w:vertAlign w:val="baseline"/>
        </w:rPr>
        <w:t>𝑤</w:t>
      </w:r>
    </w:p>
    <w:p>
      <w:pPr>
        <w:pStyle w:val="BodyText"/>
        <w:rPr>
          <w:rFonts w:ascii="Cambria Math"/>
          <w:sz w:val="26"/>
        </w:rPr>
      </w:pPr>
      <w:r>
        <w:rPr/>
        <w:br w:type="column"/>
      </w:r>
      <w:r>
        <w:rPr>
          <w:rFonts w:ascii="Cambria Math"/>
          <w:sz w:val="26"/>
        </w:rPr>
      </w:r>
    </w:p>
    <w:p>
      <w:pPr>
        <w:pStyle w:val="BodyText"/>
        <w:rPr>
          <w:rFonts w:ascii="Cambria Math"/>
          <w:sz w:val="26"/>
        </w:rPr>
      </w:pPr>
    </w:p>
    <w:p>
      <w:pPr>
        <w:pStyle w:val="BodyText"/>
        <w:spacing w:before="4"/>
        <w:rPr>
          <w:rFonts w:ascii="Cambria Math"/>
          <w:sz w:val="36"/>
        </w:rPr>
      </w:pPr>
    </w:p>
    <w:p>
      <w:pPr>
        <w:pStyle w:val="BodyText"/>
        <w:tabs>
          <w:tab w:pos="1250" w:val="left" w:leader="none"/>
          <w:tab w:pos="1821" w:val="left" w:leader="none"/>
        </w:tabs>
        <w:spacing w:line="276" w:lineRule="exact"/>
        <w:ind w:left="118"/>
      </w:pPr>
      <w:r>
        <w:rPr/>
        <w:t>where</w:t>
        <w:tab/>
      </w:r>
      <w:r>
        <w:rPr>
          <w:i/>
        </w:rPr>
        <w:t>Z</w:t>
      </w:r>
      <w:r>
        <w:rPr>
          <w:i/>
          <w:spacing w:val="-2"/>
        </w:rPr>
        <w:t> </w:t>
      </w:r>
      <w:r>
        <w:rPr>
          <w:i/>
        </w:rPr>
        <w:t>=</w:t>
        <w:tab/>
      </w:r>
      <w:r>
        <w:rPr/>
        <w:t>scaled</w:t>
      </w:r>
      <w:r>
        <w:rPr>
          <w:spacing w:val="-1"/>
        </w:rPr>
        <w:t> </w:t>
      </w:r>
      <w:r>
        <w:rPr/>
        <w:t>distance</w:t>
      </w:r>
    </w:p>
    <w:p>
      <w:pPr>
        <w:tabs>
          <w:tab w:pos="1821" w:val="left" w:leader="none"/>
        </w:tabs>
        <w:spacing w:before="0"/>
        <w:ind w:left="1156" w:right="0" w:firstLine="0"/>
        <w:jc w:val="left"/>
        <w:rPr>
          <w:sz w:val="24"/>
        </w:rPr>
      </w:pPr>
      <w:r>
        <w:rPr>
          <w:i/>
          <w:position w:val="1"/>
          <w:sz w:val="24"/>
        </w:rPr>
        <w:t>R</w:t>
      </w:r>
      <w:r>
        <w:rPr>
          <w:i/>
          <w:sz w:val="16"/>
        </w:rPr>
        <w:t>d</w:t>
      </w:r>
      <w:r>
        <w:rPr>
          <w:i/>
          <w:spacing w:val="19"/>
          <w:sz w:val="16"/>
        </w:rPr>
        <w:t> </w:t>
      </w:r>
      <w:r>
        <w:rPr>
          <w:i/>
          <w:position w:val="1"/>
          <w:sz w:val="24"/>
        </w:rPr>
        <w:t>=</w:t>
        <w:tab/>
      </w:r>
      <w:r>
        <w:rPr>
          <w:position w:val="1"/>
          <w:sz w:val="24"/>
        </w:rPr>
        <w:t>standoff</w:t>
      </w:r>
      <w:r>
        <w:rPr>
          <w:spacing w:val="-15"/>
          <w:position w:val="1"/>
          <w:sz w:val="24"/>
        </w:rPr>
        <w:t> </w:t>
      </w:r>
      <w:r>
        <w:rPr>
          <w:position w:val="1"/>
          <w:sz w:val="24"/>
        </w:rPr>
        <w:t>distance</w:t>
      </w:r>
    </w:p>
    <w:p>
      <w:pPr>
        <w:pStyle w:val="BodyText"/>
        <w:spacing w:before="159"/>
        <w:ind w:left="256"/>
      </w:pPr>
      <w:r>
        <w:rPr/>
        <w:br w:type="column"/>
      </w:r>
      <w:r>
        <w:rPr/>
        <w:t>(8.3)</w:t>
      </w:r>
    </w:p>
    <w:p>
      <w:pPr>
        <w:spacing w:after="0"/>
        <w:sectPr>
          <w:type w:val="continuous"/>
          <w:pgSz w:w="12240" w:h="15840"/>
          <w:pgMar w:top="1380" w:bottom="280" w:left="1720" w:right="1020"/>
          <w:cols w:num="3" w:equalWidth="0">
            <w:col w:w="4712" w:space="40"/>
            <w:col w:w="3455" w:space="39"/>
            <w:col w:w="1254"/>
          </w:cols>
        </w:sectPr>
      </w:pPr>
    </w:p>
    <w:p>
      <w:pPr>
        <w:pStyle w:val="BodyText"/>
        <w:tabs>
          <w:tab w:pos="6573" w:val="left" w:leader="none"/>
        </w:tabs>
        <w:ind w:left="5975"/>
      </w:pPr>
      <w:r>
        <w:rPr>
          <w:i/>
        </w:rPr>
        <w:t>w</w:t>
      </w:r>
      <w:r>
        <w:rPr>
          <w:i/>
          <w:spacing w:val="-1"/>
        </w:rPr>
        <w:t> </w:t>
      </w:r>
      <w:r>
        <w:rPr>
          <w:i/>
        </w:rPr>
        <w:t>=</w:t>
        <w:tab/>
      </w:r>
      <w:r>
        <w:rPr/>
        <w:t>explosive</w:t>
      </w:r>
      <w:r>
        <w:rPr>
          <w:spacing w:val="-3"/>
        </w:rPr>
        <w:t> </w:t>
      </w:r>
      <w:r>
        <w:rPr/>
        <w:t>charge</w:t>
      </w:r>
      <w:r>
        <w:rPr>
          <w:spacing w:val="-2"/>
        </w:rPr>
        <w:t> </w:t>
      </w:r>
      <w:r>
        <w:rPr/>
        <w:t>weight</w:t>
      </w:r>
    </w:p>
    <w:p>
      <w:pPr>
        <w:spacing w:after="0"/>
        <w:sectPr>
          <w:type w:val="continuous"/>
          <w:pgSz w:w="12240" w:h="15840"/>
          <w:pgMar w:top="1380" w:bottom="280" w:left="1720" w:right="1020"/>
        </w:sectPr>
      </w:pPr>
    </w:p>
    <w:p>
      <w:pPr>
        <w:pStyle w:val="BodyText"/>
        <w:spacing w:line="480" w:lineRule="auto" w:before="78"/>
        <w:ind w:left="440" w:right="418"/>
      </w:pPr>
      <w:r>
        <w:rPr/>
        <w:t>Scaled</w:t>
      </w:r>
      <w:r>
        <w:rPr>
          <w:spacing w:val="14"/>
        </w:rPr>
        <w:t> </w:t>
      </w:r>
      <w:r>
        <w:rPr/>
        <w:t>distance</w:t>
      </w:r>
      <w:r>
        <w:rPr>
          <w:spacing w:val="16"/>
        </w:rPr>
        <w:t> </w:t>
      </w:r>
      <w:r>
        <w:rPr/>
        <w:t>also</w:t>
      </w:r>
      <w:r>
        <w:rPr>
          <w:spacing w:val="15"/>
        </w:rPr>
        <w:t> </w:t>
      </w:r>
      <w:r>
        <w:rPr/>
        <w:t>aids</w:t>
      </w:r>
      <w:r>
        <w:rPr>
          <w:spacing w:val="16"/>
        </w:rPr>
        <w:t> </w:t>
      </w:r>
      <w:r>
        <w:rPr/>
        <w:t>in</w:t>
      </w:r>
      <w:r>
        <w:rPr>
          <w:spacing w:val="15"/>
        </w:rPr>
        <w:t> </w:t>
      </w:r>
      <w:r>
        <w:rPr/>
        <w:t>classification</w:t>
      </w:r>
      <w:r>
        <w:rPr>
          <w:spacing w:val="15"/>
        </w:rPr>
        <w:t> </w:t>
      </w:r>
      <w:r>
        <w:rPr/>
        <w:t>of</w:t>
      </w:r>
      <w:r>
        <w:rPr>
          <w:spacing w:val="15"/>
        </w:rPr>
        <w:t> </w:t>
      </w:r>
      <w:r>
        <w:rPr/>
        <w:t>the</w:t>
      </w:r>
      <w:r>
        <w:rPr>
          <w:spacing w:val="16"/>
        </w:rPr>
        <w:t> </w:t>
      </w:r>
      <w:r>
        <w:rPr/>
        <w:t>blast</w:t>
      </w:r>
      <w:r>
        <w:rPr>
          <w:spacing w:val="16"/>
        </w:rPr>
        <w:t> </w:t>
      </w:r>
      <w:r>
        <w:rPr/>
        <w:t>event</w:t>
      </w:r>
      <w:r>
        <w:rPr>
          <w:spacing w:val="16"/>
        </w:rPr>
        <w:t> </w:t>
      </w:r>
      <w:r>
        <w:rPr/>
        <w:t>with</w:t>
      </w:r>
      <w:r>
        <w:rPr>
          <w:spacing w:val="15"/>
        </w:rPr>
        <w:t> </w:t>
      </w:r>
      <w:r>
        <w:rPr/>
        <w:t>respect</w:t>
      </w:r>
      <w:r>
        <w:rPr>
          <w:spacing w:val="15"/>
        </w:rPr>
        <w:t> </w:t>
      </w:r>
      <w:r>
        <w:rPr/>
        <w:t>to</w:t>
      </w:r>
      <w:r>
        <w:rPr>
          <w:spacing w:val="15"/>
        </w:rPr>
        <w:t> </w:t>
      </w:r>
      <w:r>
        <w:rPr/>
        <w:t>proximity</w:t>
      </w:r>
      <w:r>
        <w:rPr>
          <w:spacing w:val="15"/>
        </w:rPr>
        <w:t> </w:t>
      </w:r>
      <w:r>
        <w:rPr/>
        <w:t>as</w:t>
      </w:r>
      <w:r>
        <w:rPr>
          <w:spacing w:val="-57"/>
        </w:rPr>
        <w:t> </w:t>
      </w:r>
      <w:r>
        <w:rPr/>
        <w:t>follows:</w:t>
      </w:r>
    </w:p>
    <w:p>
      <w:pPr>
        <w:pStyle w:val="BodyText"/>
        <w:tabs>
          <w:tab w:pos="4773" w:val="left" w:leader="none"/>
        </w:tabs>
        <w:spacing w:before="159"/>
        <w:ind w:left="3243"/>
      </w:pPr>
      <w:r>
        <w:rPr/>
        <w:t>Far</w:t>
      </w:r>
      <w:r>
        <w:rPr>
          <w:spacing w:val="-1"/>
        </w:rPr>
        <w:t> </w:t>
      </w:r>
      <w:r>
        <w:rPr/>
        <w:t>field:</w:t>
        <w:tab/>
      </w:r>
      <w:r>
        <w:rPr>
          <w:i/>
        </w:rPr>
        <w:t>Z</w:t>
      </w:r>
      <w:r>
        <w:rPr>
          <w:i/>
          <w:spacing w:val="-1"/>
        </w:rPr>
        <w:t> </w:t>
      </w:r>
      <w:r>
        <w:rPr/>
        <w:t>&gt;10</w:t>
      </w:r>
    </w:p>
    <w:p>
      <w:pPr>
        <w:pStyle w:val="BodyText"/>
        <w:tabs>
          <w:tab w:pos="4773" w:val="left" w:leader="none"/>
        </w:tabs>
        <w:ind w:left="3243"/>
      </w:pPr>
      <w:r>
        <w:rPr/>
        <w:t>Near</w:t>
      </w:r>
      <w:r>
        <w:rPr>
          <w:spacing w:val="-1"/>
        </w:rPr>
        <w:t> </w:t>
      </w:r>
      <w:r>
        <w:rPr/>
        <w:t>field:</w:t>
        <w:tab/>
        <w:t>3&lt; </w:t>
      </w:r>
      <w:r>
        <w:rPr>
          <w:i/>
        </w:rPr>
        <w:t>Z</w:t>
      </w:r>
      <w:r>
        <w:rPr>
          <w:i/>
          <w:spacing w:val="-1"/>
        </w:rPr>
        <w:t> </w:t>
      </w:r>
      <w:r>
        <w:rPr/>
        <w:t>&lt;10</w:t>
      </w:r>
    </w:p>
    <w:p>
      <w:pPr>
        <w:pStyle w:val="BodyText"/>
        <w:tabs>
          <w:tab w:pos="4773" w:val="left" w:leader="none"/>
        </w:tabs>
        <w:ind w:left="3243"/>
      </w:pPr>
      <w:r>
        <w:rPr/>
        <w:t>Near</w:t>
      </w:r>
      <w:r>
        <w:rPr>
          <w:spacing w:val="-1"/>
        </w:rPr>
        <w:t> </w:t>
      </w:r>
      <w:r>
        <w:rPr/>
        <w:t>contact:</w:t>
        <w:tab/>
        <w:t>0&lt; </w:t>
      </w:r>
      <w:r>
        <w:rPr>
          <w:i/>
        </w:rPr>
        <w:t>Z</w:t>
      </w:r>
      <w:r>
        <w:rPr>
          <w:i/>
          <w:spacing w:val="-1"/>
        </w:rPr>
        <w:t> </w:t>
      </w:r>
      <w:r>
        <w:rPr/>
        <w:t>&lt;3</w:t>
      </w:r>
    </w:p>
    <w:p>
      <w:pPr>
        <w:tabs>
          <w:tab w:pos="4773" w:val="left" w:leader="none"/>
        </w:tabs>
        <w:spacing w:before="0"/>
        <w:ind w:left="3243" w:right="0" w:firstLine="0"/>
        <w:jc w:val="left"/>
        <w:rPr>
          <w:sz w:val="24"/>
        </w:rPr>
      </w:pPr>
      <w:r>
        <w:rPr>
          <w:sz w:val="24"/>
        </w:rPr>
        <w:t>Contact:</w:t>
        <w:tab/>
      </w:r>
      <w:r>
        <w:rPr>
          <w:i/>
          <w:sz w:val="24"/>
        </w:rPr>
        <w:t>Z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=</w:t>
      </w:r>
      <w:r>
        <w:rPr>
          <w:sz w:val="24"/>
        </w:rPr>
        <w:t>0</w:t>
      </w:r>
    </w:p>
    <w:p>
      <w:pPr>
        <w:pStyle w:val="BodyText"/>
        <w:rPr>
          <w:sz w:val="26"/>
        </w:rPr>
      </w:pPr>
    </w:p>
    <w:p>
      <w:pPr>
        <w:pStyle w:val="BodyText"/>
        <w:spacing w:before="10"/>
        <w:rPr>
          <w:sz w:val="35"/>
        </w:rPr>
      </w:pPr>
    </w:p>
    <w:p>
      <w:pPr>
        <w:pStyle w:val="BodyText"/>
        <w:spacing w:line="480" w:lineRule="auto" w:before="1"/>
        <w:ind w:left="440" w:right="416" w:firstLine="720"/>
        <w:jc w:val="both"/>
      </w:pPr>
      <w:r>
        <w:rPr/>
        <w:t>Proximity to a blast explosion, as well as design and material characteristics of the</w:t>
      </w:r>
      <w:r>
        <w:rPr>
          <w:spacing w:val="-57"/>
        </w:rPr>
        <w:t> </w:t>
      </w:r>
      <w:r>
        <w:rPr/>
        <w:t>structure determine the response and amount of damage sustained.</w:t>
      </w:r>
      <w:r>
        <w:rPr>
          <w:spacing w:val="1"/>
        </w:rPr>
        <w:t> </w:t>
      </w:r>
      <w:r>
        <w:rPr/>
        <w:t>With such extreme</w:t>
      </w:r>
      <w:r>
        <w:rPr>
          <w:spacing w:val="1"/>
        </w:rPr>
        <w:t> </w:t>
      </w:r>
      <w:r>
        <w:rPr/>
        <w:t>loads,</w:t>
      </w:r>
      <w:r>
        <w:rPr>
          <w:spacing w:val="-13"/>
        </w:rPr>
        <w:t> </w:t>
      </w:r>
      <w:r>
        <w:rPr/>
        <w:t>blast</w:t>
      </w:r>
      <w:r>
        <w:rPr>
          <w:spacing w:val="-13"/>
        </w:rPr>
        <w:t> </w:t>
      </w:r>
      <w:r>
        <w:rPr/>
        <w:t>design</w:t>
      </w:r>
      <w:r>
        <w:rPr>
          <w:spacing w:val="-13"/>
        </w:rPr>
        <w:t> </w:t>
      </w:r>
      <w:r>
        <w:rPr/>
        <w:t>often</w:t>
      </w:r>
      <w:r>
        <w:rPr>
          <w:spacing w:val="-13"/>
        </w:rPr>
        <w:t> </w:t>
      </w:r>
      <w:r>
        <w:rPr/>
        <w:t>results</w:t>
      </w:r>
      <w:r>
        <w:rPr>
          <w:spacing w:val="-13"/>
        </w:rPr>
        <w:t> </w:t>
      </w:r>
      <w:r>
        <w:rPr/>
        <w:t>in</w:t>
      </w:r>
      <w:r>
        <w:rPr>
          <w:spacing w:val="-13"/>
        </w:rPr>
        <w:t> </w:t>
      </w:r>
      <w:r>
        <w:rPr/>
        <w:t>high</w:t>
      </w:r>
      <w:r>
        <w:rPr>
          <w:spacing w:val="-13"/>
        </w:rPr>
        <w:t> </w:t>
      </w:r>
      <w:r>
        <w:rPr/>
        <w:t>levels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damage,</w:t>
      </w:r>
      <w:r>
        <w:rPr>
          <w:spacing w:val="-13"/>
        </w:rPr>
        <w:t> </w:t>
      </w:r>
      <w:r>
        <w:rPr/>
        <w:t>and</w:t>
      </w:r>
      <w:r>
        <w:rPr>
          <w:spacing w:val="-12"/>
        </w:rPr>
        <w:t> </w:t>
      </w:r>
      <w:r>
        <w:rPr/>
        <w:t>even</w:t>
      </w:r>
      <w:r>
        <w:rPr>
          <w:spacing w:val="-12"/>
        </w:rPr>
        <w:t> </w:t>
      </w:r>
      <w:r>
        <w:rPr/>
        <w:t>unrepairable</w:t>
      </w:r>
      <w:r>
        <w:rPr>
          <w:spacing w:val="-13"/>
        </w:rPr>
        <w:t> </w:t>
      </w:r>
      <w:r>
        <w:rPr/>
        <w:t>destruction</w:t>
      </w:r>
      <w:r>
        <w:rPr>
          <w:spacing w:val="-58"/>
        </w:rPr>
        <w:t> </w:t>
      </w:r>
      <w:r>
        <w:rPr/>
        <w:t>to the structure.</w:t>
      </w:r>
      <w:r>
        <w:rPr>
          <w:spacing w:val="1"/>
        </w:rPr>
        <w:t> </w:t>
      </w:r>
      <w:r>
        <w:rPr/>
        <w:t>Therefore, it is typical for design to focus on protection of the occupants</w:t>
      </w:r>
      <w:r>
        <w:rPr>
          <w:spacing w:val="1"/>
        </w:rPr>
        <w:t> </w:t>
      </w:r>
      <w:r>
        <w:rPr/>
        <w:t>and other assets within the structure.</w:t>
      </w:r>
      <w:r>
        <w:rPr>
          <w:spacing w:val="1"/>
        </w:rPr>
        <w:t> </w:t>
      </w:r>
      <w:r>
        <w:rPr/>
        <w:t>The blast parameters are determined based on an</w:t>
      </w:r>
      <w:r>
        <w:rPr>
          <w:spacing w:val="1"/>
        </w:rPr>
        <w:t> </w:t>
      </w:r>
      <w:r>
        <w:rPr/>
        <w:t>estimated</w:t>
      </w:r>
      <w:r>
        <w:rPr>
          <w:spacing w:val="-13"/>
        </w:rPr>
        <w:t> </w:t>
      </w:r>
      <w:r>
        <w:rPr/>
        <w:t>threat</w:t>
      </w:r>
      <w:r>
        <w:rPr>
          <w:spacing w:val="-13"/>
        </w:rPr>
        <w:t> </w:t>
      </w:r>
      <w:r>
        <w:rPr/>
        <w:t>of</w:t>
      </w:r>
      <w:r>
        <w:rPr>
          <w:spacing w:val="-13"/>
        </w:rPr>
        <w:t> </w:t>
      </w:r>
      <w:r>
        <w:rPr/>
        <w:t>a</w:t>
      </w:r>
      <w:r>
        <w:rPr>
          <w:spacing w:val="-13"/>
        </w:rPr>
        <w:t> </w:t>
      </w:r>
      <w:r>
        <w:rPr/>
        <w:t>given</w:t>
      </w:r>
      <w:r>
        <w:rPr>
          <w:spacing w:val="-13"/>
        </w:rPr>
        <w:t> </w:t>
      </w:r>
      <w:r>
        <w:rPr/>
        <w:t>explosive</w:t>
      </w:r>
      <w:r>
        <w:rPr>
          <w:spacing w:val="-12"/>
        </w:rPr>
        <w:t> </w:t>
      </w:r>
      <w:r>
        <w:rPr/>
        <w:t>type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weight</w:t>
      </w:r>
      <w:r>
        <w:rPr>
          <w:spacing w:val="-13"/>
        </w:rPr>
        <w:t> </w:t>
      </w:r>
      <w:r>
        <w:rPr/>
        <w:t>as</w:t>
      </w:r>
      <w:r>
        <w:rPr>
          <w:spacing w:val="-13"/>
        </w:rPr>
        <w:t> </w:t>
      </w:r>
      <w:r>
        <w:rPr/>
        <w:t>well</w:t>
      </w:r>
      <w:r>
        <w:rPr>
          <w:spacing w:val="-12"/>
        </w:rPr>
        <w:t> </w:t>
      </w:r>
      <w:r>
        <w:rPr/>
        <w:t>as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distance</w:t>
      </w:r>
      <w:r>
        <w:rPr>
          <w:spacing w:val="-12"/>
        </w:rPr>
        <w:t> </w:t>
      </w:r>
      <w:r>
        <w:rPr/>
        <w:t>of</w:t>
      </w:r>
      <w:r>
        <w:rPr>
          <w:spacing w:val="-14"/>
        </w:rPr>
        <w:t> </w:t>
      </w:r>
      <w:r>
        <w:rPr/>
        <w:t>the</w:t>
      </w:r>
      <w:r>
        <w:rPr>
          <w:spacing w:val="-12"/>
        </w:rPr>
        <w:t> </w:t>
      </w:r>
      <w:r>
        <w:rPr/>
        <w:t>structure</w:t>
      </w:r>
      <w:r>
        <w:rPr>
          <w:spacing w:val="-58"/>
        </w:rPr>
        <w:t> </w:t>
      </w:r>
      <w:r>
        <w:rPr/>
        <w:t>to the potential target.</w:t>
      </w:r>
      <w:r>
        <w:rPr>
          <w:spacing w:val="1"/>
        </w:rPr>
        <w:t> </w:t>
      </w:r>
      <w:r>
        <w:rPr/>
        <w:t>The standoff distance is typically achieved through the use of</w:t>
      </w:r>
      <w:r>
        <w:rPr>
          <w:spacing w:val="1"/>
        </w:rPr>
        <w:t> </w:t>
      </w:r>
      <w:r>
        <w:rPr/>
        <w:t>barriers to restrict encroachment by the threat.</w:t>
      </w:r>
      <w:r>
        <w:rPr>
          <w:spacing w:val="1"/>
        </w:rPr>
        <w:t> </w:t>
      </w:r>
      <w:r>
        <w:rPr/>
        <w:t>At points farther away from the source of</w:t>
      </w:r>
      <w:r>
        <w:rPr>
          <w:spacing w:val="1"/>
        </w:rPr>
        <w:t> </w:t>
      </w:r>
      <w:r>
        <w:rPr/>
        <w:t>the explosion, the peak pressure is lower and the duration of the loading is greater, which</w:t>
      </w:r>
      <w:r>
        <w:rPr>
          <w:spacing w:val="1"/>
        </w:rPr>
        <w:t> </w:t>
      </w:r>
      <w:r>
        <w:rPr/>
        <w:t>is</w:t>
      </w:r>
      <w:r>
        <w:rPr>
          <w:spacing w:val="-1"/>
        </w:rPr>
        <w:t> </w:t>
      </w:r>
      <w:r>
        <w:rPr/>
        <w:t>why standoff</w:t>
      </w:r>
      <w:r>
        <w:rPr>
          <w:spacing w:val="-1"/>
        </w:rPr>
        <w:t> </w:t>
      </w:r>
      <w:r>
        <w:rPr/>
        <w:t>distance</w:t>
      </w:r>
      <w:r>
        <w:rPr>
          <w:spacing w:val="-1"/>
        </w:rPr>
        <w:t> </w:t>
      </w:r>
      <w:r>
        <w:rPr/>
        <w:t>is a critical</w:t>
      </w:r>
      <w:r>
        <w:rPr>
          <w:spacing w:val="-1"/>
        </w:rPr>
        <w:t> </w:t>
      </w:r>
      <w:r>
        <w:rPr/>
        <w:t>measurement.</w:t>
      </w:r>
    </w:p>
    <w:p>
      <w:pPr>
        <w:pStyle w:val="BodyText"/>
        <w:spacing w:line="480" w:lineRule="auto" w:before="160"/>
        <w:ind w:left="440" w:right="416" w:firstLine="720"/>
        <w:jc w:val="both"/>
      </w:pPr>
      <w:r>
        <w:rPr/>
        <w:t>Like</w:t>
      </w:r>
      <w:r>
        <w:rPr>
          <w:spacing w:val="-9"/>
        </w:rPr>
        <w:t> </w:t>
      </w:r>
      <w:r>
        <w:rPr/>
        <w:t>ballistic</w:t>
      </w:r>
      <w:r>
        <w:rPr>
          <w:spacing w:val="-9"/>
        </w:rPr>
        <w:t> </w:t>
      </w:r>
      <w:r>
        <w:rPr/>
        <w:t>penetration,</w:t>
      </w:r>
      <w:r>
        <w:rPr>
          <w:spacing w:val="-9"/>
        </w:rPr>
        <w:t> </w:t>
      </w:r>
      <w:r>
        <w:rPr/>
        <w:t>explosions</w:t>
      </w:r>
      <w:r>
        <w:rPr>
          <w:spacing w:val="-9"/>
        </w:rPr>
        <w:t> </w:t>
      </w:r>
      <w:r>
        <w:rPr/>
        <w:t>that</w:t>
      </w:r>
      <w:r>
        <w:rPr>
          <w:spacing w:val="-8"/>
        </w:rPr>
        <w:t> </w:t>
      </w:r>
      <w:r>
        <w:rPr/>
        <w:t>occur</w:t>
      </w:r>
      <w:r>
        <w:rPr>
          <w:spacing w:val="-10"/>
        </w:rPr>
        <w:t> </w:t>
      </w:r>
      <w:r>
        <w:rPr/>
        <w:t>where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load</w:t>
      </w:r>
      <w:r>
        <w:rPr>
          <w:spacing w:val="-10"/>
        </w:rPr>
        <w:t> </w:t>
      </w:r>
      <w:r>
        <w:rPr/>
        <w:t>is</w:t>
      </w:r>
      <w:r>
        <w:rPr>
          <w:spacing w:val="-8"/>
        </w:rPr>
        <w:t> </w:t>
      </w:r>
      <w:r>
        <w:rPr/>
        <w:t>not</w:t>
      </w:r>
      <w:r>
        <w:rPr>
          <w:spacing w:val="-9"/>
        </w:rPr>
        <w:t> </w:t>
      </w:r>
      <w:r>
        <w:rPr/>
        <w:t>perpendicular</w:t>
      </w:r>
      <w:r>
        <w:rPr>
          <w:spacing w:val="-58"/>
        </w:rPr>
        <w:t> </w:t>
      </w:r>
      <w:r>
        <w:rPr/>
        <w:t>to the structure require the inclusion of an angle of incidence for analysis and design.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angle of incidence results in a peak scaled reflected pressure, reflected impulse, and</w:t>
      </w:r>
      <w:r>
        <w:rPr>
          <w:spacing w:val="1"/>
        </w:rPr>
        <w:t> </w:t>
      </w:r>
      <w:r>
        <w:rPr/>
        <w:t>reflection coefficient. These values may be found based on the peak static overpressure of</w:t>
      </w:r>
      <w:r>
        <w:rPr>
          <w:spacing w:val="-57"/>
        </w:rPr>
        <w:t> </w:t>
      </w:r>
      <w:r>
        <w:rPr/>
        <w:t>a normal loading event and the angle of incidence through equations or graphically with</w:t>
      </w:r>
      <w:r>
        <w:rPr>
          <w:spacing w:val="1"/>
        </w:rPr>
        <w:t> </w:t>
      </w:r>
      <w:r>
        <w:rPr/>
        <w:t>charts</w:t>
      </w:r>
      <w:r>
        <w:rPr>
          <w:spacing w:val="-1"/>
        </w:rPr>
        <w:t> </w:t>
      </w:r>
      <w:r>
        <w:rPr/>
        <w:t>from</w:t>
      </w:r>
      <w:r>
        <w:rPr>
          <w:spacing w:val="-2"/>
        </w:rPr>
        <w:t> </w:t>
      </w:r>
      <w:r>
        <w:rPr>
          <w:i/>
        </w:rPr>
        <w:t>UFC</w:t>
      </w:r>
      <w:r>
        <w:rPr>
          <w:i/>
          <w:spacing w:val="-1"/>
        </w:rPr>
        <w:t> </w:t>
      </w:r>
      <w:r>
        <w:rPr>
          <w:i/>
        </w:rPr>
        <w:t>3-340-20</w:t>
      </w:r>
      <w:r>
        <w:rPr/>
        <w:t>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40" w:right="417" w:firstLine="720"/>
        <w:jc w:val="both"/>
      </w:pPr>
      <w:r>
        <w:rPr/>
        <w:t>The</w:t>
      </w:r>
      <w:r>
        <w:rPr>
          <w:spacing w:val="-6"/>
        </w:rPr>
        <w:t> </w:t>
      </w:r>
      <w:r>
        <w:rPr/>
        <w:t>blast</w:t>
      </w:r>
      <w:r>
        <w:rPr>
          <w:spacing w:val="-5"/>
        </w:rPr>
        <w:t> </w:t>
      </w:r>
      <w:r>
        <w:rPr/>
        <w:t>load</w:t>
      </w:r>
      <w:r>
        <w:rPr>
          <w:spacing w:val="-6"/>
        </w:rPr>
        <w:t> </w:t>
      </w:r>
      <w:r>
        <w:rPr/>
        <w:t>felt</w:t>
      </w:r>
      <w:r>
        <w:rPr>
          <w:spacing w:val="-5"/>
        </w:rPr>
        <w:t> </w:t>
      </w:r>
      <w:r>
        <w:rPr/>
        <w:t>by</w:t>
      </w:r>
      <w:r>
        <w:rPr>
          <w:spacing w:val="-6"/>
        </w:rPr>
        <w:t> </w:t>
      </w:r>
      <w:r>
        <w:rPr/>
        <w:t>a</w:t>
      </w:r>
      <w:r>
        <w:rPr>
          <w:spacing w:val="-7"/>
        </w:rPr>
        <w:t> </w:t>
      </w:r>
      <w:r>
        <w:rPr/>
        <w:t>wall</w:t>
      </w:r>
      <w:r>
        <w:rPr>
          <w:spacing w:val="-5"/>
        </w:rPr>
        <w:t> </w:t>
      </w:r>
      <w:r>
        <w:rPr/>
        <w:t>panel,</w:t>
      </w:r>
      <w:r>
        <w:rPr>
          <w:spacing w:val="-5"/>
        </w:rPr>
        <w:t> </w:t>
      </w:r>
      <w:r>
        <w:rPr/>
        <w:t>depending</w:t>
      </w:r>
      <w:r>
        <w:rPr>
          <w:spacing w:val="-6"/>
        </w:rPr>
        <w:t> </w:t>
      </w:r>
      <w:r>
        <w:rPr/>
        <w:t>on</w:t>
      </w:r>
      <w:r>
        <w:rPr>
          <w:spacing w:val="-6"/>
        </w:rPr>
        <w:t> </w:t>
      </w:r>
      <w:r>
        <w:rPr/>
        <w:t>distance</w:t>
      </w:r>
      <w:r>
        <w:rPr>
          <w:spacing w:val="-5"/>
        </w:rPr>
        <w:t> </w:t>
      </w:r>
      <w:r>
        <w:rPr/>
        <w:t>and</w:t>
      </w:r>
      <w:r>
        <w:rPr>
          <w:spacing w:val="-6"/>
        </w:rPr>
        <w:t> </w:t>
      </w:r>
      <w:r>
        <w:rPr/>
        <w:t>orientation,</w:t>
      </w:r>
      <w:r>
        <w:rPr>
          <w:spacing w:val="-5"/>
        </w:rPr>
        <w:t> </w:t>
      </w:r>
      <w:r>
        <w:rPr/>
        <w:t>will</w:t>
      </w:r>
      <w:r>
        <w:rPr>
          <w:spacing w:val="-6"/>
        </w:rPr>
        <w:t> </w:t>
      </w:r>
      <w:r>
        <w:rPr/>
        <w:t>be</w:t>
      </w:r>
      <w:r>
        <w:rPr>
          <w:spacing w:val="-5"/>
        </w:rPr>
        <w:t> </w:t>
      </w:r>
      <w:r>
        <w:rPr/>
        <w:t>a</w:t>
      </w:r>
      <w:r>
        <w:rPr>
          <w:spacing w:val="-58"/>
        </w:rPr>
        <w:t> </w:t>
      </w:r>
      <w:r>
        <w:rPr/>
        <w:t>combination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blast</w:t>
      </w:r>
      <w:r>
        <w:rPr>
          <w:spacing w:val="-7"/>
        </w:rPr>
        <w:t> </w:t>
      </w:r>
      <w:r>
        <w:rPr/>
        <w:t>effects</w:t>
      </w:r>
      <w:r>
        <w:rPr>
          <w:spacing w:val="-7"/>
        </w:rPr>
        <w:t> </w:t>
      </w:r>
      <w:r>
        <w:rPr/>
        <w:t>including</w:t>
      </w:r>
      <w:r>
        <w:rPr>
          <w:spacing w:val="-7"/>
        </w:rPr>
        <w:t> </w:t>
      </w:r>
      <w:r>
        <w:rPr/>
        <w:t>reflected</w:t>
      </w:r>
      <w:r>
        <w:rPr>
          <w:spacing w:val="-7"/>
        </w:rPr>
        <w:t> </w:t>
      </w:r>
      <w:r>
        <w:rPr/>
        <w:t>overpressure,</w:t>
      </w:r>
      <w:r>
        <w:rPr>
          <w:spacing w:val="-8"/>
        </w:rPr>
        <w:t> </w:t>
      </w:r>
      <w:r>
        <w:rPr/>
        <w:t>static</w:t>
      </w:r>
      <w:r>
        <w:rPr>
          <w:spacing w:val="-8"/>
        </w:rPr>
        <w:t> </w:t>
      </w:r>
      <w:r>
        <w:rPr/>
        <w:t>overpressure,</w:t>
      </w:r>
      <w:r>
        <w:rPr>
          <w:spacing w:val="-7"/>
        </w:rPr>
        <w:t> </w:t>
      </w:r>
      <w:r>
        <w:rPr/>
        <w:t>dynamic</w:t>
      </w:r>
      <w:r>
        <w:rPr>
          <w:spacing w:val="-57"/>
        </w:rPr>
        <w:t> </w:t>
      </w:r>
      <w:r>
        <w:rPr/>
        <w:t>wind pressure, and negative pressure. When the shock wave hits the front facing wall, the</w:t>
      </w:r>
      <w:r>
        <w:rPr>
          <w:spacing w:val="-57"/>
        </w:rPr>
        <w:t> </w:t>
      </w:r>
      <w:r>
        <w:rPr/>
        <w:t>pressure spikes from zero (ambient) to the peak reflected pressure.</w:t>
      </w:r>
      <w:r>
        <w:rPr>
          <w:spacing w:val="1"/>
        </w:rPr>
        <w:t> </w:t>
      </w:r>
      <w:r>
        <w:rPr/>
        <w:t>The pressure then</w:t>
      </w:r>
      <w:r>
        <w:rPr>
          <w:spacing w:val="1"/>
        </w:rPr>
        <w:t> </w:t>
      </w:r>
      <w:r>
        <w:rPr>
          <w:position w:val="1"/>
        </w:rPr>
        <w:t>decays to the stagnation pressure, </w:t>
      </w:r>
      <w:r>
        <w:rPr>
          <w:i/>
          <w:position w:val="1"/>
        </w:rPr>
        <w:t>p</w:t>
      </w:r>
      <w:r>
        <w:rPr>
          <w:i/>
          <w:sz w:val="16"/>
        </w:rPr>
        <w:t>s</w:t>
      </w:r>
      <w:r>
        <w:rPr>
          <w:position w:val="1"/>
        </w:rPr>
        <w:t>, over time. The duration of the decay is known as the</w:t>
      </w:r>
      <w:r>
        <w:rPr>
          <w:spacing w:val="-57"/>
          <w:position w:val="1"/>
        </w:rPr>
        <w:t> </w:t>
      </w:r>
      <w:r>
        <w:rPr>
          <w:position w:val="1"/>
        </w:rPr>
        <w:t>clearing</w:t>
      </w:r>
      <w:r>
        <w:rPr>
          <w:spacing w:val="-9"/>
          <w:position w:val="1"/>
        </w:rPr>
        <w:t> </w:t>
      </w:r>
      <w:r>
        <w:rPr>
          <w:position w:val="1"/>
        </w:rPr>
        <w:t>time,</w:t>
      </w:r>
      <w:r>
        <w:rPr>
          <w:spacing w:val="-9"/>
          <w:position w:val="1"/>
        </w:rPr>
        <w:t> </w:t>
      </w:r>
      <w:r>
        <w:rPr>
          <w:i/>
          <w:position w:val="1"/>
        </w:rPr>
        <w:t>t</w:t>
      </w:r>
      <w:r>
        <w:rPr>
          <w:i/>
          <w:sz w:val="16"/>
        </w:rPr>
        <w:t>c,</w:t>
      </w:r>
      <w:r>
        <w:rPr>
          <w:i/>
          <w:spacing w:val="-7"/>
          <w:sz w:val="16"/>
        </w:rPr>
        <w:t> </w:t>
      </w:r>
      <w:r>
        <w:rPr>
          <w:position w:val="1"/>
        </w:rPr>
        <w:t>which</w:t>
      </w:r>
      <w:r>
        <w:rPr>
          <w:spacing w:val="-9"/>
          <w:position w:val="1"/>
        </w:rPr>
        <w:t> </w:t>
      </w:r>
      <w:r>
        <w:rPr>
          <w:position w:val="1"/>
        </w:rPr>
        <w:t>is</w:t>
      </w:r>
      <w:r>
        <w:rPr>
          <w:spacing w:val="-8"/>
          <w:position w:val="1"/>
        </w:rPr>
        <w:t> </w:t>
      </w:r>
      <w:r>
        <w:rPr>
          <w:position w:val="1"/>
        </w:rPr>
        <w:t>a</w:t>
      </w:r>
      <w:r>
        <w:rPr>
          <w:spacing w:val="-8"/>
          <w:position w:val="1"/>
        </w:rPr>
        <w:t> </w:t>
      </w:r>
      <w:r>
        <w:rPr>
          <w:position w:val="1"/>
        </w:rPr>
        <w:t>function</w:t>
      </w:r>
      <w:r>
        <w:rPr>
          <w:spacing w:val="-8"/>
          <w:position w:val="1"/>
        </w:rPr>
        <w:t> </w:t>
      </w:r>
      <w:r>
        <w:rPr>
          <w:position w:val="1"/>
        </w:rPr>
        <w:t>of</w:t>
      </w:r>
      <w:r>
        <w:rPr>
          <w:spacing w:val="-9"/>
          <w:position w:val="1"/>
        </w:rPr>
        <w:t> </w:t>
      </w:r>
      <w:r>
        <w:rPr>
          <w:position w:val="1"/>
        </w:rPr>
        <w:t>the</w:t>
      </w:r>
      <w:r>
        <w:rPr>
          <w:spacing w:val="-8"/>
          <w:position w:val="1"/>
        </w:rPr>
        <w:t> </w:t>
      </w:r>
      <w:r>
        <w:rPr>
          <w:position w:val="1"/>
        </w:rPr>
        <w:t>structure’s</w:t>
      </w:r>
      <w:r>
        <w:rPr>
          <w:spacing w:val="-8"/>
          <w:position w:val="1"/>
        </w:rPr>
        <w:t> </w:t>
      </w:r>
      <w:r>
        <w:rPr>
          <w:position w:val="1"/>
        </w:rPr>
        <w:t>wall</w:t>
      </w:r>
      <w:r>
        <w:rPr>
          <w:spacing w:val="-8"/>
          <w:position w:val="1"/>
        </w:rPr>
        <w:t> </w:t>
      </w:r>
      <w:r>
        <w:rPr>
          <w:position w:val="1"/>
        </w:rPr>
        <w:t>height</w:t>
      </w:r>
      <w:r>
        <w:rPr>
          <w:spacing w:val="-8"/>
          <w:position w:val="1"/>
        </w:rPr>
        <w:t> </w:t>
      </w:r>
      <w:r>
        <w:rPr>
          <w:position w:val="1"/>
        </w:rPr>
        <w:t>and</w:t>
      </w:r>
      <w:r>
        <w:rPr>
          <w:spacing w:val="-9"/>
          <w:position w:val="1"/>
        </w:rPr>
        <w:t> </w:t>
      </w:r>
      <w:r>
        <w:rPr>
          <w:position w:val="1"/>
        </w:rPr>
        <w:t>width</w:t>
      </w:r>
      <w:r>
        <w:rPr>
          <w:spacing w:val="-9"/>
          <w:position w:val="1"/>
        </w:rPr>
        <w:t> </w:t>
      </w:r>
      <w:r>
        <w:rPr>
          <w:position w:val="1"/>
        </w:rPr>
        <w:t>[42,</w:t>
      </w:r>
      <w:r>
        <w:rPr>
          <w:spacing w:val="-9"/>
          <w:position w:val="1"/>
        </w:rPr>
        <w:t> </w:t>
      </w:r>
      <w:r>
        <w:rPr>
          <w:position w:val="1"/>
        </w:rPr>
        <w:t>104].</w:t>
      </w:r>
      <w:r>
        <w:rPr>
          <w:spacing w:val="44"/>
          <w:position w:val="1"/>
        </w:rPr>
        <w:t> </w:t>
      </w:r>
      <w:r>
        <w:rPr>
          <w:position w:val="1"/>
        </w:rPr>
        <w:t>The</w:t>
      </w:r>
      <w:r>
        <w:rPr>
          <w:spacing w:val="-57"/>
          <w:position w:val="1"/>
        </w:rPr>
        <w:t> </w:t>
      </w:r>
      <w:r>
        <w:rPr/>
        <w:t>resulting load on the wall is dependent on the explosive weight, the standoff distance, and</w:t>
      </w:r>
      <w:r>
        <w:rPr>
          <w:spacing w:val="-57"/>
        </w:rPr>
        <w:t> </w:t>
      </w:r>
      <w:r>
        <w:rPr/>
        <w:t>the</w:t>
      </w:r>
      <w:r>
        <w:rPr>
          <w:spacing w:val="-1"/>
        </w:rPr>
        <w:t> </w:t>
      </w:r>
      <w:r>
        <w:rPr/>
        <w:t>orientation of</w:t>
      </w:r>
      <w:r>
        <w:rPr>
          <w:spacing w:val="-1"/>
        </w:rPr>
        <w:t> </w:t>
      </w:r>
      <w:r>
        <w:rPr/>
        <w:t>the component to the direction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blast.</w:t>
      </w:r>
    </w:p>
    <w:p>
      <w:pPr>
        <w:pStyle w:val="ListParagraph"/>
        <w:numPr>
          <w:ilvl w:val="2"/>
          <w:numId w:val="27"/>
        </w:numPr>
        <w:tabs>
          <w:tab w:pos="980" w:val="left" w:leader="none"/>
        </w:tabs>
        <w:spacing w:line="240" w:lineRule="auto" w:before="161" w:after="0"/>
        <w:ind w:left="980" w:right="0" w:hanging="540"/>
        <w:jc w:val="both"/>
        <w:rPr>
          <w:i/>
          <w:sz w:val="24"/>
        </w:rPr>
      </w:pPr>
      <w:bookmarkStart w:name="8.1.2 Single Degree of Freedom (SDOF) mo" w:id="513"/>
      <w:bookmarkEnd w:id="513"/>
      <w:r>
        <w:rPr/>
      </w:r>
      <w:bookmarkStart w:name="8.1.2 Single Degree of Freedom (SDOF) mo" w:id="514"/>
      <w:bookmarkEnd w:id="514"/>
      <w:r>
        <w:rPr>
          <w:i/>
          <w:sz w:val="24"/>
        </w:rPr>
        <w:t>Single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Degree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Freedom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(SDOF)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model</w:t>
      </w:r>
    </w:p>
    <w:p>
      <w:pPr>
        <w:pStyle w:val="BodyText"/>
        <w:spacing w:before="7"/>
        <w:rPr>
          <w:i/>
          <w:sz w:val="22"/>
        </w:rPr>
      </w:pPr>
    </w:p>
    <w:p>
      <w:pPr>
        <w:pStyle w:val="BodyText"/>
        <w:spacing w:line="480" w:lineRule="auto"/>
        <w:ind w:left="440" w:right="418" w:firstLine="720"/>
        <w:jc w:val="both"/>
      </w:pPr>
      <w:r>
        <w:rPr/>
        <w:t>In blast-resistant design practices, it is common to treat building components as</w:t>
      </w:r>
      <w:r>
        <w:rPr>
          <w:spacing w:val="1"/>
        </w:rPr>
        <w:t> </w:t>
      </w:r>
      <w:r>
        <w:rPr/>
        <w:t>single-degree-of-freedom (SDOF) nonlinear systems.</w:t>
      </w:r>
      <w:r>
        <w:rPr>
          <w:spacing w:val="1"/>
        </w:rPr>
        <w:t> </w:t>
      </w:r>
      <w:r>
        <w:rPr/>
        <w:t>The SDOF model provides insight</w:t>
      </w:r>
      <w:r>
        <w:rPr>
          <w:spacing w:val="1"/>
        </w:rPr>
        <w:t> </w:t>
      </w:r>
      <w:r>
        <w:rPr/>
        <w:t>into the response of an element, such as a structural panel, to a blast threat through a time</w:t>
      </w:r>
      <w:r>
        <w:rPr>
          <w:spacing w:val="1"/>
        </w:rPr>
        <w:t> </w:t>
      </w:r>
      <w:r>
        <w:rPr/>
        <w:t>history analysis.</w:t>
      </w:r>
      <w:r>
        <w:rPr>
          <w:spacing w:val="1"/>
        </w:rPr>
        <w:t> </w:t>
      </w:r>
      <w:r>
        <w:rPr/>
        <w:t>The model uses a mass, which can move in one degree of freedom, with</w:t>
      </w:r>
      <w:r>
        <w:rPr>
          <w:spacing w:val="-57"/>
        </w:rPr>
        <w:t> </w:t>
      </w:r>
      <w:r>
        <w:rPr/>
        <w:t>the</w:t>
      </w:r>
      <w:r>
        <w:rPr>
          <w:spacing w:val="-8"/>
        </w:rPr>
        <w:t> </w:t>
      </w:r>
      <w:r>
        <w:rPr/>
        <w:t>motion</w:t>
      </w:r>
      <w:r>
        <w:rPr>
          <w:spacing w:val="-9"/>
        </w:rPr>
        <w:t> </w:t>
      </w:r>
      <w:r>
        <w:rPr/>
        <w:t>resisted</w:t>
      </w:r>
      <w:r>
        <w:rPr>
          <w:spacing w:val="-9"/>
        </w:rPr>
        <w:t> </w:t>
      </w:r>
      <w:r>
        <w:rPr/>
        <w:t>by</w:t>
      </w:r>
      <w:r>
        <w:rPr>
          <w:spacing w:val="-9"/>
        </w:rPr>
        <w:t> </w:t>
      </w:r>
      <w:r>
        <w:rPr/>
        <w:t>a</w:t>
      </w:r>
      <w:r>
        <w:rPr>
          <w:spacing w:val="-8"/>
        </w:rPr>
        <w:t> </w:t>
      </w:r>
      <w:r>
        <w:rPr/>
        <w:t>spring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/>
        <w:t>damper,</w:t>
      </w:r>
      <w:r>
        <w:rPr>
          <w:spacing w:val="-9"/>
        </w:rPr>
        <w:t> </w:t>
      </w:r>
      <w:r>
        <w:rPr/>
        <w:t>as</w:t>
      </w:r>
      <w:r>
        <w:rPr>
          <w:spacing w:val="-7"/>
        </w:rPr>
        <w:t> </w:t>
      </w:r>
      <w:r>
        <w:rPr/>
        <w:t>shown</w:t>
      </w:r>
      <w:r>
        <w:rPr>
          <w:spacing w:val="-9"/>
        </w:rPr>
        <w:t> </w:t>
      </w:r>
      <w:r>
        <w:rPr/>
        <w:t>in</w:t>
      </w:r>
      <w:r>
        <w:rPr>
          <w:spacing w:val="-9"/>
        </w:rPr>
        <w:t> </w:t>
      </w:r>
      <w:hyperlink w:history="true" w:anchor="_bookmark174">
        <w:r>
          <w:rPr/>
          <w:t>Figure</w:t>
        </w:r>
        <w:r>
          <w:rPr>
            <w:spacing w:val="-8"/>
          </w:rPr>
          <w:t> </w:t>
        </w:r>
        <w:r>
          <w:rPr/>
          <w:t>8-2</w:t>
        </w:r>
      </w:hyperlink>
      <w:r>
        <w:rPr/>
        <w:t>.</w:t>
      </w:r>
      <w:r>
        <w:rPr>
          <w:spacing w:val="43"/>
        </w:rPr>
        <w:t> </w:t>
      </w:r>
      <w:r>
        <w:rPr/>
        <w:t>Using</w:t>
      </w:r>
      <w:r>
        <w:rPr>
          <w:spacing w:val="-9"/>
        </w:rPr>
        <w:t> </w:t>
      </w:r>
      <w:r>
        <w:rPr/>
        <w:t>Newton’s</w:t>
      </w:r>
      <w:r>
        <w:rPr>
          <w:spacing w:val="-8"/>
        </w:rPr>
        <w:t> </w:t>
      </w:r>
      <w:r>
        <w:rPr/>
        <w:t>Law,</w:t>
      </w:r>
      <w:r>
        <w:rPr>
          <w:spacing w:val="-57"/>
        </w:rPr>
        <w:t> </w:t>
      </w:r>
      <w:r>
        <w:rPr/>
        <w:t>the</w:t>
      </w:r>
      <w:r>
        <w:rPr>
          <w:spacing w:val="-10"/>
        </w:rPr>
        <w:t> </w:t>
      </w:r>
      <w:r>
        <w:rPr/>
        <w:t>equation</w:t>
      </w:r>
      <w:r>
        <w:rPr>
          <w:spacing w:val="-11"/>
        </w:rPr>
        <w:t> </w:t>
      </w:r>
      <w:r>
        <w:rPr/>
        <w:t>of</w:t>
      </w:r>
      <w:r>
        <w:rPr>
          <w:spacing w:val="-8"/>
        </w:rPr>
        <w:t> </w:t>
      </w:r>
      <w:r>
        <w:rPr/>
        <w:t>motion</w:t>
      </w:r>
      <w:r>
        <w:rPr>
          <w:spacing w:val="-10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10"/>
        </w:rPr>
        <w:t> </w:t>
      </w:r>
      <w:r>
        <w:rPr/>
        <w:t>SDOF</w:t>
      </w:r>
      <w:r>
        <w:rPr>
          <w:spacing w:val="-9"/>
        </w:rPr>
        <w:t> </w:t>
      </w:r>
      <w:r>
        <w:rPr/>
        <w:t>system</w:t>
      </w:r>
      <w:r>
        <w:rPr>
          <w:spacing w:val="-12"/>
        </w:rPr>
        <w:t> </w:t>
      </w:r>
      <w:r>
        <w:rPr/>
        <w:t>can</w:t>
      </w:r>
      <w:r>
        <w:rPr>
          <w:spacing w:val="-9"/>
        </w:rPr>
        <w:t> </w:t>
      </w:r>
      <w:r>
        <w:rPr/>
        <w:t>be</w:t>
      </w:r>
      <w:r>
        <w:rPr>
          <w:spacing w:val="-10"/>
        </w:rPr>
        <w:t> </w:t>
      </w:r>
      <w:r>
        <w:rPr/>
        <w:t>derived</w:t>
      </w:r>
      <w:r>
        <w:rPr>
          <w:spacing w:val="-10"/>
        </w:rPr>
        <w:t> </w:t>
      </w:r>
      <w:r>
        <w:rPr/>
        <w:t>as</w:t>
      </w:r>
      <w:r>
        <w:rPr>
          <w:spacing w:val="-11"/>
        </w:rPr>
        <w:t> </w:t>
      </w:r>
      <w:r>
        <w:rPr/>
        <w:t>shown</w:t>
      </w:r>
      <w:r>
        <w:rPr>
          <w:spacing w:val="-9"/>
        </w:rPr>
        <w:t> </w:t>
      </w:r>
      <w:r>
        <w:rPr/>
        <w:t>in</w:t>
      </w:r>
      <w:r>
        <w:rPr>
          <w:spacing w:val="-10"/>
        </w:rPr>
        <w:t> </w:t>
      </w:r>
      <w:r>
        <w:rPr/>
        <w:t>Equation</w:t>
      </w:r>
      <w:r>
        <w:rPr>
          <w:spacing w:val="-9"/>
        </w:rPr>
        <w:t> </w:t>
      </w:r>
      <w:r>
        <w:rPr/>
        <w:t>8.4</w:t>
      </w:r>
      <w:r>
        <w:rPr>
          <w:spacing w:val="-10"/>
        </w:rPr>
        <w:t> </w:t>
      </w:r>
      <w:r>
        <w:rPr/>
        <w:t>[104].</w:t>
      </w:r>
    </w:p>
    <w:p>
      <w:pPr>
        <w:pStyle w:val="BodyText"/>
        <w:spacing w:before="10"/>
        <w:rPr>
          <w:sz w:val="16"/>
        </w:rPr>
      </w:pPr>
    </w:p>
    <w:tbl>
      <w:tblPr>
        <w:tblW w:w="0" w:type="auto"/>
        <w:jc w:val="left"/>
        <w:tblInd w:w="2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736"/>
        <w:gridCol w:w="754"/>
        <w:gridCol w:w="2431"/>
      </w:tblGrid>
      <w:tr>
        <w:trPr>
          <w:trHeight w:val="233" w:hRule="atLeast"/>
        </w:trPr>
        <w:tc>
          <w:tcPr>
            <w:tcW w:w="3736" w:type="dxa"/>
          </w:tcPr>
          <w:p>
            <w:pPr>
              <w:pStyle w:val="TableParagraph"/>
              <w:spacing w:line="213" w:lineRule="exact"/>
              <w:ind w:left="200"/>
              <w:rPr>
                <w:rFonts w:ascii="Cambria Math" w:hAnsi="Cambria Math" w:eastAsia="Cambria Math"/>
                <w:sz w:val="24"/>
              </w:rPr>
            </w:pPr>
            <w:r>
              <w:rPr>
                <w:rFonts w:ascii="Cambria Math" w:hAnsi="Cambria Math" w:eastAsia="Cambria Math"/>
                <w:sz w:val="24"/>
              </w:rPr>
              <w:t>𝑚𝑥̈</w:t>
            </w:r>
            <w:r>
              <w:rPr>
                <w:rFonts w:ascii="Cambria Math" w:hAnsi="Cambria Math" w:eastAsia="Cambria Math"/>
                <w:position w:val="1"/>
                <w:sz w:val="24"/>
              </w:rPr>
              <w:t>(</w:t>
            </w:r>
            <w:r>
              <w:rPr>
                <w:rFonts w:ascii="Cambria Math" w:hAnsi="Cambria Math" w:eastAsia="Cambria Math"/>
                <w:sz w:val="24"/>
              </w:rPr>
              <w:t>𝑡</w:t>
            </w:r>
            <w:r>
              <w:rPr>
                <w:rFonts w:ascii="Cambria Math" w:hAnsi="Cambria Math" w:eastAsia="Cambria Math"/>
                <w:position w:val="1"/>
                <w:sz w:val="24"/>
              </w:rPr>
              <w:t>)</w:t>
            </w:r>
            <w:r>
              <w:rPr>
                <w:rFonts w:ascii="Cambria Math" w:hAnsi="Cambria Math" w:eastAsia="Cambria Math"/>
                <w:spacing w:val="6"/>
                <w:position w:val="1"/>
                <w:sz w:val="24"/>
              </w:rPr>
              <w:t> </w:t>
            </w:r>
            <w:r>
              <w:rPr>
                <w:rFonts w:ascii="Cambria Math" w:hAnsi="Cambria Math" w:eastAsia="Cambria Math"/>
                <w:sz w:val="24"/>
              </w:rPr>
              <w:t>+</w:t>
            </w:r>
            <w:r>
              <w:rPr>
                <w:rFonts w:ascii="Cambria Math" w:hAnsi="Cambria Math" w:eastAsia="Cambria Math"/>
                <w:spacing w:val="7"/>
                <w:sz w:val="24"/>
              </w:rPr>
              <w:t> </w:t>
            </w:r>
            <w:r>
              <w:rPr>
                <w:rFonts w:ascii="Cambria Math" w:hAnsi="Cambria Math" w:eastAsia="Cambria Math"/>
                <w:sz w:val="24"/>
              </w:rPr>
              <w:t>𝑐𝑥̇</w:t>
            </w:r>
            <w:r>
              <w:rPr>
                <w:rFonts w:ascii="Cambria Math" w:hAnsi="Cambria Math" w:eastAsia="Cambria Math"/>
                <w:position w:val="1"/>
                <w:sz w:val="24"/>
              </w:rPr>
              <w:t>(</w:t>
            </w:r>
            <w:r>
              <w:rPr>
                <w:rFonts w:ascii="Cambria Math" w:hAnsi="Cambria Math" w:eastAsia="Cambria Math"/>
                <w:sz w:val="24"/>
              </w:rPr>
              <w:t>𝑡</w:t>
            </w:r>
            <w:r>
              <w:rPr>
                <w:rFonts w:ascii="Cambria Math" w:hAnsi="Cambria Math" w:eastAsia="Cambria Math"/>
                <w:position w:val="1"/>
                <w:sz w:val="24"/>
              </w:rPr>
              <w:t>)</w:t>
            </w:r>
            <w:r>
              <w:rPr>
                <w:rFonts w:ascii="Cambria Math" w:hAnsi="Cambria Math" w:eastAsia="Cambria Math"/>
                <w:spacing w:val="7"/>
                <w:position w:val="1"/>
                <w:sz w:val="24"/>
              </w:rPr>
              <w:t> </w:t>
            </w:r>
            <w:r>
              <w:rPr>
                <w:rFonts w:ascii="Cambria Math" w:hAnsi="Cambria Math" w:eastAsia="Cambria Math"/>
                <w:sz w:val="24"/>
              </w:rPr>
              <w:t>+</w:t>
            </w:r>
            <w:r>
              <w:rPr>
                <w:rFonts w:ascii="Cambria Math" w:hAnsi="Cambria Math" w:eastAsia="Cambria Math"/>
                <w:spacing w:val="7"/>
                <w:sz w:val="24"/>
              </w:rPr>
              <w:t> </w:t>
            </w:r>
            <w:r>
              <w:rPr>
                <w:rFonts w:ascii="Cambria Math" w:hAnsi="Cambria Math" w:eastAsia="Cambria Math"/>
                <w:sz w:val="24"/>
              </w:rPr>
              <w:t>𝑘𝑥</w:t>
            </w:r>
            <w:r>
              <w:rPr>
                <w:rFonts w:ascii="Cambria Math" w:hAnsi="Cambria Math" w:eastAsia="Cambria Math"/>
                <w:position w:val="1"/>
                <w:sz w:val="24"/>
              </w:rPr>
              <w:t>(</w:t>
            </w:r>
            <w:r>
              <w:rPr>
                <w:rFonts w:ascii="Cambria Math" w:hAnsi="Cambria Math" w:eastAsia="Cambria Math"/>
                <w:sz w:val="24"/>
              </w:rPr>
              <w:t>𝑡</w:t>
            </w:r>
            <w:r>
              <w:rPr>
                <w:rFonts w:ascii="Cambria Math" w:hAnsi="Cambria Math" w:eastAsia="Cambria Math"/>
                <w:position w:val="1"/>
                <w:sz w:val="24"/>
              </w:rPr>
              <w:t>)</w:t>
            </w:r>
            <w:r>
              <w:rPr>
                <w:rFonts w:ascii="Cambria Math" w:hAnsi="Cambria Math" w:eastAsia="Cambria Math"/>
                <w:spacing w:val="23"/>
                <w:position w:val="1"/>
                <w:sz w:val="24"/>
              </w:rPr>
              <w:t> </w:t>
            </w:r>
            <w:r>
              <w:rPr>
                <w:rFonts w:ascii="Cambria Math" w:hAnsi="Cambria Math" w:eastAsia="Cambria Math"/>
                <w:sz w:val="24"/>
              </w:rPr>
              <w:t>=</w:t>
            </w:r>
            <w:r>
              <w:rPr>
                <w:rFonts w:ascii="Cambria Math" w:hAnsi="Cambria Math" w:eastAsia="Cambria Math"/>
                <w:spacing w:val="22"/>
                <w:sz w:val="24"/>
              </w:rPr>
              <w:t> </w:t>
            </w:r>
            <w:r>
              <w:rPr>
                <w:rFonts w:ascii="Cambria Math" w:hAnsi="Cambria Math" w:eastAsia="Cambria Math"/>
                <w:sz w:val="24"/>
              </w:rPr>
              <w:t>𝐹(𝑡)</w:t>
            </w:r>
          </w:p>
        </w:tc>
        <w:tc>
          <w:tcPr>
            <w:tcW w:w="75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431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92" w:hRule="atLeast"/>
        </w:trPr>
        <w:tc>
          <w:tcPr>
            <w:tcW w:w="373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5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431" w:type="dxa"/>
          </w:tcPr>
          <w:p>
            <w:pPr>
              <w:pStyle w:val="TableParagraph"/>
              <w:spacing w:line="249" w:lineRule="exact"/>
              <w:ind w:right="198"/>
              <w:jc w:val="right"/>
              <w:rPr>
                <w:sz w:val="24"/>
              </w:rPr>
            </w:pPr>
            <w:r>
              <w:rPr>
                <w:sz w:val="24"/>
              </w:rPr>
              <w:t>(8.4)</w:t>
            </w:r>
          </w:p>
        </w:tc>
      </w:tr>
      <w:tr>
        <w:trPr>
          <w:trHeight w:val="414" w:hRule="atLeast"/>
        </w:trPr>
        <w:tc>
          <w:tcPr>
            <w:tcW w:w="3736" w:type="dxa"/>
          </w:tcPr>
          <w:p>
            <w:pPr>
              <w:pStyle w:val="TableParagraph"/>
              <w:spacing w:line="262" w:lineRule="exact" w:before="133"/>
              <w:ind w:right="249"/>
              <w:jc w:val="right"/>
              <w:rPr>
                <w:sz w:val="24"/>
              </w:rPr>
            </w:pPr>
            <w:r>
              <w:rPr>
                <w:sz w:val="24"/>
              </w:rPr>
              <w:t>where</w:t>
            </w:r>
          </w:p>
        </w:tc>
        <w:tc>
          <w:tcPr>
            <w:tcW w:w="754" w:type="dxa"/>
          </w:tcPr>
          <w:p>
            <w:pPr>
              <w:pStyle w:val="TableParagraph"/>
              <w:spacing w:line="260" w:lineRule="exact" w:before="134"/>
              <w:ind w:right="106"/>
              <w:jc w:val="right"/>
              <w:rPr>
                <w:i/>
                <w:sz w:val="24"/>
              </w:rPr>
            </w:pPr>
            <w:r>
              <w:rPr>
                <w:i/>
                <w:sz w:val="24"/>
              </w:rPr>
              <w:t>m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=</w:t>
            </w:r>
          </w:p>
        </w:tc>
        <w:tc>
          <w:tcPr>
            <w:tcW w:w="2431" w:type="dxa"/>
          </w:tcPr>
          <w:p>
            <w:pPr>
              <w:pStyle w:val="TableParagraph"/>
              <w:spacing w:line="262" w:lineRule="exact" w:before="133"/>
              <w:ind w:left="106"/>
              <w:rPr>
                <w:sz w:val="24"/>
              </w:rPr>
            </w:pPr>
            <w:r>
              <w:rPr>
                <w:sz w:val="24"/>
              </w:rPr>
              <w:t>mass</w:t>
            </w:r>
          </w:p>
        </w:tc>
      </w:tr>
      <w:tr>
        <w:trPr>
          <w:trHeight w:val="276" w:hRule="atLeast"/>
        </w:trPr>
        <w:tc>
          <w:tcPr>
            <w:tcW w:w="373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754" w:type="dxa"/>
          </w:tcPr>
          <w:p>
            <w:pPr>
              <w:pStyle w:val="TableParagraph"/>
              <w:spacing w:line="256" w:lineRule="exact"/>
              <w:ind w:right="106"/>
              <w:jc w:val="right"/>
              <w:rPr>
                <w:i/>
                <w:sz w:val="24"/>
              </w:rPr>
            </w:pPr>
            <w:r>
              <w:rPr>
                <w:i/>
                <w:sz w:val="24"/>
              </w:rPr>
              <w:t>c =</w:t>
            </w:r>
          </w:p>
        </w:tc>
        <w:tc>
          <w:tcPr>
            <w:tcW w:w="2431" w:type="dxa"/>
          </w:tcPr>
          <w:p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damping</w:t>
            </w:r>
          </w:p>
        </w:tc>
      </w:tr>
      <w:tr>
        <w:trPr>
          <w:trHeight w:val="275" w:hRule="atLeast"/>
        </w:trPr>
        <w:tc>
          <w:tcPr>
            <w:tcW w:w="373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754" w:type="dxa"/>
          </w:tcPr>
          <w:p>
            <w:pPr>
              <w:pStyle w:val="TableParagraph"/>
              <w:spacing w:line="256" w:lineRule="exact"/>
              <w:ind w:right="106"/>
              <w:jc w:val="right"/>
              <w:rPr>
                <w:i/>
                <w:sz w:val="24"/>
              </w:rPr>
            </w:pPr>
            <w:r>
              <w:rPr>
                <w:i/>
                <w:sz w:val="24"/>
              </w:rPr>
              <w:t>k =</w:t>
            </w:r>
          </w:p>
        </w:tc>
        <w:tc>
          <w:tcPr>
            <w:tcW w:w="2431" w:type="dxa"/>
          </w:tcPr>
          <w:p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stiffness</w:t>
            </w:r>
          </w:p>
        </w:tc>
      </w:tr>
      <w:tr>
        <w:trPr>
          <w:trHeight w:val="275" w:hRule="atLeast"/>
        </w:trPr>
        <w:tc>
          <w:tcPr>
            <w:tcW w:w="373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754" w:type="dxa"/>
          </w:tcPr>
          <w:p>
            <w:pPr>
              <w:pStyle w:val="TableParagraph"/>
              <w:spacing w:line="256" w:lineRule="exact"/>
              <w:ind w:right="106"/>
              <w:jc w:val="right"/>
              <w:rPr>
                <w:i/>
                <w:sz w:val="24"/>
              </w:rPr>
            </w:pPr>
            <w:r>
              <w:rPr>
                <w:i/>
                <w:sz w:val="24"/>
              </w:rPr>
              <w:t>F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=</w:t>
            </w:r>
          </w:p>
        </w:tc>
        <w:tc>
          <w:tcPr>
            <w:tcW w:w="2431" w:type="dxa"/>
          </w:tcPr>
          <w:p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applied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force</w:t>
            </w:r>
          </w:p>
        </w:tc>
      </w:tr>
      <w:tr>
        <w:trPr>
          <w:trHeight w:val="271" w:hRule="atLeast"/>
        </w:trPr>
        <w:tc>
          <w:tcPr>
            <w:tcW w:w="373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754" w:type="dxa"/>
          </w:tcPr>
          <w:p>
            <w:pPr>
              <w:pStyle w:val="TableParagraph"/>
              <w:spacing w:line="251" w:lineRule="exact"/>
              <w:ind w:right="106"/>
              <w:jc w:val="right"/>
              <w:rPr>
                <w:i/>
                <w:sz w:val="24"/>
              </w:rPr>
            </w:pPr>
            <w:r>
              <w:rPr>
                <w:i/>
                <w:sz w:val="24"/>
              </w:rPr>
              <w:t>x =</w:t>
            </w:r>
          </w:p>
        </w:tc>
        <w:tc>
          <w:tcPr>
            <w:tcW w:w="2431" w:type="dxa"/>
          </w:tcPr>
          <w:p>
            <w:pPr>
              <w:pStyle w:val="TableParagraph"/>
              <w:spacing w:line="251" w:lineRule="exact"/>
              <w:ind w:left="106"/>
              <w:rPr>
                <w:sz w:val="24"/>
              </w:rPr>
            </w:pPr>
            <w:r>
              <w:rPr>
                <w:sz w:val="24"/>
              </w:rPr>
              <w:t>displacement</w:t>
            </w:r>
          </w:p>
        </w:tc>
      </w:tr>
    </w:tbl>
    <w:p>
      <w:pPr>
        <w:pStyle w:val="BodyText"/>
        <w:spacing w:before="11"/>
        <w:rPr>
          <w:sz w:val="12"/>
        </w:rPr>
      </w:pPr>
    </w:p>
    <w:p>
      <w:pPr>
        <w:pStyle w:val="BodyText"/>
        <w:spacing w:line="480" w:lineRule="auto" w:before="90"/>
        <w:ind w:left="440" w:right="417" w:firstLine="720"/>
        <w:jc w:val="both"/>
      </w:pPr>
      <w:r>
        <w:rPr/>
        <w:t>Conservatively,</w:t>
      </w:r>
      <w:r>
        <w:rPr>
          <w:spacing w:val="1"/>
        </w:rPr>
        <w:t> </w:t>
      </w:r>
      <w:r>
        <w:rPr/>
        <w:t>damping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usually</w:t>
      </w:r>
      <w:r>
        <w:rPr>
          <w:spacing w:val="1"/>
        </w:rPr>
        <w:t> </w:t>
      </w:r>
      <w:r>
        <w:rPr/>
        <w:t>ignored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blast</w:t>
      </w:r>
      <w:r>
        <w:rPr>
          <w:spacing w:val="1"/>
        </w:rPr>
        <w:t> </w:t>
      </w:r>
      <w:r>
        <w:rPr/>
        <w:t>because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maximum</w:t>
      </w:r>
      <w:r>
        <w:rPr>
          <w:spacing w:val="1"/>
        </w:rPr>
        <w:t> </w:t>
      </w:r>
      <w:r>
        <w:rPr/>
        <w:t>response of the structure and its components is reached in such a short time and there is</w:t>
      </w:r>
      <w:r>
        <w:rPr>
          <w:spacing w:val="1"/>
        </w:rPr>
        <w:t> </w:t>
      </w:r>
      <w:r>
        <w:rPr/>
        <w:t>little</w:t>
      </w:r>
      <w:r>
        <w:rPr>
          <w:spacing w:val="-5"/>
        </w:rPr>
        <w:t> </w:t>
      </w:r>
      <w:r>
        <w:rPr/>
        <w:t>opportunity</w:t>
      </w:r>
      <w:r>
        <w:rPr>
          <w:spacing w:val="-4"/>
        </w:rPr>
        <w:t> </w:t>
      </w:r>
      <w:r>
        <w:rPr/>
        <w:t>for</w:t>
      </w:r>
      <w:r>
        <w:rPr>
          <w:spacing w:val="-4"/>
        </w:rPr>
        <w:t> </w:t>
      </w:r>
      <w:r>
        <w:rPr/>
        <w:t>damping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influence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system.</w:t>
      </w:r>
      <w:r>
        <w:rPr>
          <w:spacing w:val="52"/>
        </w:rPr>
        <w:t> </w:t>
      </w:r>
      <w:r>
        <w:rPr/>
        <w:t>The</w:t>
      </w:r>
      <w:r>
        <w:rPr>
          <w:spacing w:val="-2"/>
        </w:rPr>
        <w:t> </w:t>
      </w:r>
      <w:r>
        <w:rPr/>
        <w:t>element</w:t>
      </w:r>
      <w:r>
        <w:rPr>
          <w:spacing w:val="-4"/>
        </w:rPr>
        <w:t> </w:t>
      </w:r>
      <w:r>
        <w:rPr/>
        <w:t>is</w:t>
      </w:r>
      <w:r>
        <w:rPr>
          <w:spacing w:val="-4"/>
        </w:rPr>
        <w:t> </w:t>
      </w:r>
      <w:r>
        <w:rPr/>
        <w:t>transformed</w:t>
      </w:r>
      <w:r>
        <w:rPr>
          <w:spacing w:val="-4"/>
        </w:rPr>
        <w:t> </w:t>
      </w:r>
      <w:r>
        <w:rPr/>
        <w:t>into</w:t>
      </w:r>
      <w:r>
        <w:rPr>
          <w:spacing w:val="-5"/>
        </w:rPr>
        <w:t> </w:t>
      </w:r>
      <w:r>
        <w:rPr/>
        <w:t>an</w:t>
      </w:r>
    </w:p>
    <w:p>
      <w:pPr>
        <w:pStyle w:val="BodyText"/>
        <w:ind w:left="440"/>
        <w:jc w:val="both"/>
      </w:pPr>
      <w:r>
        <w:rPr/>
        <w:t>equivalent</w:t>
      </w:r>
      <w:r>
        <w:rPr>
          <w:spacing w:val="-9"/>
        </w:rPr>
        <w:t> </w:t>
      </w:r>
      <w:r>
        <w:rPr/>
        <w:t>mass,</w:t>
      </w:r>
      <w:r>
        <w:rPr>
          <w:spacing w:val="-8"/>
        </w:rPr>
        <w:t> </w:t>
      </w:r>
      <w:r>
        <w:rPr/>
        <w:t>stiffness,</w:t>
      </w:r>
      <w:r>
        <w:rPr>
          <w:spacing w:val="-7"/>
        </w:rPr>
        <w:t> </w:t>
      </w:r>
      <w:r>
        <w:rPr/>
        <w:t>dampening</w:t>
      </w:r>
      <w:r>
        <w:rPr>
          <w:spacing w:val="-9"/>
        </w:rPr>
        <w:t> </w:t>
      </w:r>
      <w:r>
        <w:rPr/>
        <w:t>and</w:t>
      </w:r>
      <w:r>
        <w:rPr>
          <w:spacing w:val="-7"/>
        </w:rPr>
        <w:t> </w:t>
      </w:r>
      <w:r>
        <w:rPr/>
        <w:t>force,</w:t>
      </w:r>
      <w:r>
        <w:rPr>
          <w:spacing w:val="-8"/>
        </w:rPr>
        <w:t> </w:t>
      </w:r>
      <w:r>
        <w:rPr/>
        <w:t>as</w:t>
      </w:r>
      <w:r>
        <w:rPr>
          <w:spacing w:val="-8"/>
        </w:rPr>
        <w:t> </w:t>
      </w:r>
      <w:r>
        <w:rPr/>
        <w:t>represented</w:t>
      </w:r>
      <w:r>
        <w:rPr>
          <w:spacing w:val="-8"/>
        </w:rPr>
        <w:t> </w:t>
      </w:r>
      <w:r>
        <w:rPr/>
        <w:t>with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subscript</w:t>
      </w:r>
      <w:r>
        <w:rPr>
          <w:spacing w:val="-6"/>
        </w:rPr>
        <w:t> </w:t>
      </w:r>
      <w:r>
        <w:rPr>
          <w:i/>
        </w:rPr>
        <w:t>e.</w:t>
      </w:r>
      <w:r>
        <w:rPr>
          <w:i/>
          <w:spacing w:val="-11"/>
        </w:rPr>
        <w:t> </w:t>
      </w:r>
      <w:r>
        <w:rPr/>
        <w:t>These</w:t>
      </w:r>
    </w:p>
    <w:p>
      <w:pPr>
        <w:spacing w:after="0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40" w:right="419"/>
        <w:jc w:val="both"/>
      </w:pPr>
      <w:r>
        <w:rPr/>
        <w:t>values are then used to find factor values, which are the ratio of the equivalent system to</w:t>
      </w:r>
      <w:r>
        <w:rPr>
          <w:spacing w:val="1"/>
        </w:rPr>
        <w:t> </w:t>
      </w:r>
      <w:r>
        <w:rPr>
          <w:position w:val="1"/>
        </w:rPr>
        <w:t>the real system.</w:t>
      </w:r>
      <w:r>
        <w:rPr>
          <w:spacing w:val="1"/>
          <w:position w:val="1"/>
        </w:rPr>
        <w:t> </w:t>
      </w:r>
      <w:r>
        <w:rPr>
          <w:position w:val="1"/>
        </w:rPr>
        <w:t>The factors are the equivalent load </w:t>
      </w:r>
      <w:r>
        <w:rPr>
          <w:i/>
          <w:position w:val="1"/>
        </w:rPr>
        <w:t>K</w:t>
      </w:r>
      <w:r>
        <w:rPr>
          <w:i/>
          <w:sz w:val="16"/>
        </w:rPr>
        <w:t>L</w:t>
      </w:r>
      <w:r>
        <w:rPr>
          <w:position w:val="1"/>
        </w:rPr>
        <w:t>, mass </w:t>
      </w:r>
      <w:r>
        <w:rPr>
          <w:i/>
          <w:position w:val="1"/>
        </w:rPr>
        <w:t>K</w:t>
      </w:r>
      <w:r>
        <w:rPr>
          <w:i/>
          <w:sz w:val="16"/>
        </w:rPr>
        <w:t>M</w:t>
      </w:r>
      <w:r>
        <w:rPr>
          <w:position w:val="1"/>
        </w:rPr>
        <w:t>, and stiffness </w:t>
      </w:r>
      <w:r>
        <w:rPr>
          <w:i/>
          <w:position w:val="1"/>
        </w:rPr>
        <w:t>K</w:t>
      </w:r>
      <w:r>
        <w:rPr>
          <w:i/>
          <w:sz w:val="16"/>
        </w:rPr>
        <w:t>S</w:t>
      </w:r>
      <w:r>
        <w:rPr>
          <w:position w:val="1"/>
        </w:rPr>
        <w:t>, as</w:t>
      </w:r>
      <w:r>
        <w:rPr>
          <w:spacing w:val="1"/>
          <w:position w:val="1"/>
        </w:rPr>
        <w:t> </w:t>
      </w:r>
      <w:r>
        <w:rPr/>
        <w:t>defined</w:t>
      </w:r>
      <w:r>
        <w:rPr>
          <w:spacing w:val="-1"/>
        </w:rPr>
        <w:t> </w:t>
      </w:r>
      <w:r>
        <w:rPr/>
        <w:t>in Equation 8.5 [104].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7"/>
        </w:rPr>
      </w:pPr>
    </w:p>
    <w:p>
      <w:pPr>
        <w:pStyle w:val="Heading8"/>
        <w:spacing w:before="88"/>
        <w:ind w:left="940"/>
        <w:jc w:val="center"/>
      </w:pPr>
      <w:r>
        <w:rPr/>
        <w:pict>
          <v:group style="position:absolute;margin-left:281.236694pt;margin-top:-14.150095pt;width:84.9pt;height:127.05pt;mso-position-horizontal-relative:page;mso-position-vertical-relative:paragraph;z-index:-34818560" coordorigin="5625,-283" coordsize="1698,2541">
            <v:shape style="position:absolute;left:6357;top:-278;width:234;height:947" coordorigin="6357,-278" coordsize="234,947" path="m6474,669l6357,553,6415,553,6415,-278,6532,-278,6532,553,6590,553,6474,669xe" filled="true" fillcolor="#000000" stroked="false">
              <v:path arrowok="t"/>
              <v:fill type="solid"/>
            </v:shape>
            <v:shape style="position:absolute;left:6357;top:-278;width:234;height:947" coordorigin="6357,-278" coordsize="234,947" path="m6357,553l6415,553,6415,-278,6532,-278,6532,553,6590,553,6474,669,6357,553xe" filled="false" stroked="true" strokeweight=".528539pt" strokecolor="#000000">
              <v:path arrowok="t"/>
              <v:stroke dashstyle="solid"/>
            </v:shape>
            <v:shape style="position:absolute;left:5630;top:668;width:1688;height:1583" type="#_x0000_t202" filled="true" fillcolor="#dadada" stroked="true" strokeweight=".528085pt" strokecolor="#41719c">
              <v:textbox inset="0,0,0,0">
                <w:txbxContent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10"/>
                      <w:rPr>
                        <w:sz w:val="29"/>
                      </w:rPr>
                    </w:pPr>
                  </w:p>
                  <w:p>
                    <w:pPr>
                      <w:spacing w:before="0"/>
                      <w:ind w:left="568" w:right="568" w:firstLine="0"/>
                      <w:jc w:val="center"/>
                      <w:rPr>
                        <w:sz w:val="25"/>
                      </w:rPr>
                    </w:pPr>
                    <w:r>
                      <w:rPr>
                        <w:sz w:val="25"/>
                      </w:rPr>
                      <w:t>mass</w:t>
                    </w:r>
                  </w:p>
                </w:txbxContent>
              </v:textbox>
              <v:fill type="solid"/>
              <v:stroke dashstyle="solid"/>
              <w10:wrap type="none"/>
            </v:shape>
            <w10:wrap type="none"/>
          </v:group>
        </w:pict>
      </w:r>
      <w:r>
        <w:rPr/>
        <w:t>F(t)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208"/>
        <w:ind w:left="2655" w:right="0" w:firstLine="0"/>
        <w:jc w:val="center"/>
        <w:rPr>
          <w:sz w:val="25"/>
        </w:rPr>
      </w:pPr>
      <w:r>
        <w:rPr/>
        <w:pict>
          <v:line style="position:absolute;mso-position-horizontal-relative:page;mso-position-vertical-relative:paragraph;z-index:-34818048" from="297.436584pt,47.815254pt" to="297.436625pt,74.196074pt" stroked="true" strokeweight="1.181550pt" strokecolor="#000000">
            <v:stroke dashstyle="solid"/>
            <w10:wrap type="none"/>
          </v:line>
        </w:pict>
      </w:r>
      <w:r>
        <w:rPr/>
        <w:pict>
          <v:group style="position:absolute;margin-left:368.834717pt;margin-top:-4.793459pt;width:3.15pt;height:44.6pt;mso-position-horizontal-relative:page;mso-position-vertical-relative:paragraph;z-index:15889408" coordorigin="7377,-96" coordsize="63,892">
            <v:line style="position:absolute" from="7413,-88" to="7408,755" stroked="true" strokeweight=".77736pt" strokecolor="#000000">
              <v:stroke dashstyle="solid"/>
            </v:line>
            <v:shape style="position:absolute;left:7376;top:733;width:63;height:63" coordorigin="7377,734" coordsize="63,63" path="m7407,796l7439,734,7408,755,7377,734,7407,796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sz w:val="25"/>
        </w:rPr>
        <w:t>x(t)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6"/>
        </w:rPr>
      </w:pPr>
      <w:r>
        <w:rPr/>
        <w:pict>
          <v:group style="position:absolute;margin-left:228.997864pt;margin-top:11.734655pt;width:189.35pt;height:80.1pt;mso-position-horizontal-relative:page;mso-position-vertical-relative:paragraph;z-index:-15569408;mso-wrap-distance-left:0;mso-wrap-distance-right:0" coordorigin="4580,235" coordsize="3787,1602">
            <v:rect style="position:absolute;left:4579;top:1417;width:3787;height:419" filled="true" fillcolor="#a7a8a7" stroked="false">
              <v:fill type="solid"/>
            </v:rect>
            <v:line style="position:absolute" from="5941,1418" to="5948,944" stroked="true" strokeweight="1.181565pt" strokecolor="#000000">
              <v:stroke dashstyle="solid"/>
            </v:line>
            <v:line style="position:absolute" from="5716,945" to="6174,945" stroked="true" strokeweight="1.179475pt" strokecolor="#000000">
              <v:stroke dashstyle="solid"/>
            </v:line>
            <v:shape style="position:absolute;left:5719;top:653;width:459;height:311" coordorigin="5719,653" coordsize="459,311" path="m5719,653l5719,964m6178,653l6178,964e" filled="false" stroked="true" strokeweight="1.570332pt" strokecolor="#000000">
              <v:path arrowok="t"/>
              <v:stroke dashstyle="solid"/>
            </v:shape>
            <v:line style="position:absolute" from="6983,1178" to="6983,1418" stroked="true" strokeweight=".77743pt" strokecolor="#000000">
              <v:stroke dashstyle="solid"/>
            </v:line>
            <v:line style="position:absolute" from="7076,840" to="6848,892" stroked="true" strokeweight=".776044pt" strokecolor="#000000">
              <v:stroke dashstyle="solid"/>
            </v:line>
            <v:line style="position:absolute" from="7076,975" to="6851,898" stroked="true" strokeweight=".776127pt" strokecolor="#000000">
              <v:stroke dashstyle="solid"/>
            </v:line>
            <v:line style="position:absolute" from="7076,700" to="6848,755" stroked="true" strokeweight=".77605pt" strokecolor="#000000">
              <v:stroke dashstyle="solid"/>
            </v:line>
            <v:line style="position:absolute" from="7076,836" to="6851,758" stroked="true" strokeweight=".776127pt" strokecolor="#000000">
              <v:stroke dashstyle="solid"/>
            </v:line>
            <v:line style="position:absolute" from="7074,978" to="6848,1028" stroked="true" strokeweight=".776041pt" strokecolor="#000000">
              <v:stroke dashstyle="solid"/>
            </v:line>
            <v:line style="position:absolute" from="7074,1113" to="6848,1028" stroked="true" strokeweight=".776098pt" strokecolor="#000000">
              <v:stroke dashstyle="solid"/>
            </v:line>
            <v:line style="position:absolute" from="6961,235" to="6961,481" stroked="true" strokeweight=".77743pt" strokecolor="#000000">
              <v:stroke dashstyle="solid"/>
            </v:line>
            <v:line style="position:absolute" from="6961,475" to="7074,560" stroked="true" strokeweight=".776433pt" strokecolor="#000000">
              <v:stroke dashstyle="solid"/>
            </v:line>
            <v:line style="position:absolute" from="7074,561" to="6851,615" stroked="true" strokeweight=".776053pt" strokecolor="#000000">
              <v:stroke dashstyle="solid"/>
            </v:line>
            <v:line style="position:absolute" from="7074,696" to="6848,618" stroked="true" strokeweight=".776127pt" strokecolor="#000000">
              <v:stroke dashstyle="solid"/>
            </v:line>
            <v:line style="position:absolute" from="7074,1113" to="6983,1177" stroked="true" strokeweight=".776476pt" strokecolor="#000000">
              <v:stroke dashstyle="solid"/>
            </v:line>
            <v:shape style="position:absolute;left:5399;top:713;width:131;height:275" type="#_x0000_t202" filled="false" stroked="false">
              <v:textbox inset="0,0,0,0">
                <w:txbxContent>
                  <w:p>
                    <w:pPr>
                      <w:spacing w:line="275" w:lineRule="exact" w:before="0"/>
                      <w:ind w:left="0" w:right="0" w:firstLine="0"/>
                      <w:jc w:val="left"/>
                      <w:rPr>
                        <w:sz w:val="25"/>
                      </w:rPr>
                    </w:pPr>
                    <w:r>
                      <w:rPr>
                        <w:w w:val="99"/>
                        <w:sz w:val="25"/>
                      </w:rPr>
                      <w:t>c</w:t>
                    </w:r>
                  </w:p>
                </w:txbxContent>
              </v:textbox>
              <w10:wrap type="none"/>
            </v:shape>
            <v:shape style="position:absolute;left:7342;top:718;width:145;height:275" type="#_x0000_t202" filled="false" stroked="false">
              <v:textbox inset="0,0,0,0">
                <w:txbxContent>
                  <w:p>
                    <w:pPr>
                      <w:spacing w:line="275" w:lineRule="exact" w:before="0"/>
                      <w:ind w:left="0" w:right="0" w:firstLine="0"/>
                      <w:jc w:val="left"/>
                      <w:rPr>
                        <w:sz w:val="25"/>
                      </w:rPr>
                    </w:pPr>
                    <w:r>
                      <w:rPr>
                        <w:w w:val="99"/>
                        <w:sz w:val="25"/>
                      </w:rPr>
                      <w:t>k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10"/>
        <w:rPr>
          <w:sz w:val="10"/>
        </w:rPr>
      </w:pPr>
    </w:p>
    <w:p>
      <w:pPr>
        <w:spacing w:before="90"/>
        <w:ind w:left="18" w:right="0" w:firstLine="0"/>
        <w:jc w:val="center"/>
        <w:rPr>
          <w:i/>
          <w:sz w:val="24"/>
        </w:rPr>
      </w:pPr>
      <w:bookmarkStart w:name="_bookmark174" w:id="515"/>
      <w:bookmarkEnd w:id="515"/>
      <w:r>
        <w:rPr/>
      </w:r>
      <w:r>
        <w:rPr>
          <w:i/>
          <w:sz w:val="24"/>
        </w:rPr>
        <w:t>Figure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8-2.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Single-degree-of-freedom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system.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6"/>
        <w:rPr>
          <w:i/>
          <w:sz w:val="18"/>
        </w:rPr>
      </w:pPr>
    </w:p>
    <w:tbl>
      <w:tblPr>
        <w:tblW w:w="0" w:type="auto"/>
        <w:jc w:val="left"/>
        <w:tblInd w:w="23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039"/>
        <w:gridCol w:w="647"/>
        <w:gridCol w:w="2163"/>
      </w:tblGrid>
      <w:tr>
        <w:trPr>
          <w:trHeight w:val="726" w:hRule="atLeast"/>
        </w:trPr>
        <w:tc>
          <w:tcPr>
            <w:tcW w:w="4039" w:type="dxa"/>
          </w:tcPr>
          <w:p>
            <w:pPr>
              <w:pStyle w:val="TableParagraph"/>
              <w:tabs>
                <w:tab w:pos="2028" w:val="left" w:leader="none"/>
                <w:tab w:pos="3328" w:val="left" w:leader="none"/>
              </w:tabs>
              <w:spacing w:line="207" w:lineRule="exact"/>
              <w:ind w:left="767"/>
              <w:rPr>
                <w:rFonts w:ascii="Cambria Math" w:eastAsia="Cambria Math"/>
                <w:sz w:val="24"/>
              </w:rPr>
            </w:pPr>
            <w:r>
              <w:rPr>
                <w:rFonts w:ascii="Cambria Math" w:eastAsia="Cambria Math"/>
                <w:sz w:val="24"/>
                <w:u w:val="single"/>
              </w:rPr>
              <w:t>𝐹</w:t>
            </w:r>
            <w:r>
              <w:rPr>
                <w:rFonts w:ascii="Cambria Math" w:eastAsia="Cambria Math"/>
                <w:position w:val="-4"/>
                <w:sz w:val="17"/>
                <w:u w:val="single"/>
              </w:rPr>
              <w:t>𝑒</w:t>
            </w:r>
            <w:r>
              <w:rPr>
                <w:rFonts w:ascii="Cambria Math" w:eastAsia="Cambria Math"/>
                <w:sz w:val="24"/>
                <w:u w:val="single"/>
              </w:rPr>
              <w:t>(𝑡)</w:t>
            </w:r>
            <w:r>
              <w:rPr>
                <w:rFonts w:ascii="Cambria Math" w:eastAsia="Cambria Math"/>
                <w:sz w:val="24"/>
              </w:rPr>
              <w:tab/>
            </w:r>
            <w:r>
              <w:rPr>
                <w:rFonts w:ascii="Cambria Math" w:eastAsia="Cambria Math"/>
                <w:sz w:val="24"/>
                <w:u w:val="single"/>
              </w:rPr>
              <w:t>𝑚</w:t>
            </w:r>
            <w:r>
              <w:rPr>
                <w:rFonts w:ascii="Cambria Math" w:eastAsia="Cambria Math"/>
                <w:position w:val="-4"/>
                <w:sz w:val="17"/>
                <w:u w:val="single"/>
              </w:rPr>
              <w:t>𝑒</w:t>
            </w:r>
            <w:r>
              <w:rPr>
                <w:rFonts w:ascii="Cambria Math" w:eastAsia="Cambria Math"/>
                <w:sz w:val="24"/>
                <w:u w:val="single"/>
              </w:rPr>
              <w:t>(𝑡)</w:t>
            </w:r>
            <w:r>
              <w:rPr>
                <w:rFonts w:ascii="Cambria Math" w:eastAsia="Cambria Math"/>
                <w:sz w:val="24"/>
              </w:rPr>
              <w:tab/>
            </w:r>
            <w:r>
              <w:rPr>
                <w:rFonts w:ascii="Cambria Math" w:eastAsia="Cambria Math"/>
                <w:sz w:val="24"/>
                <w:u w:val="single"/>
              </w:rPr>
              <w:t>𝑘</w:t>
            </w:r>
            <w:r>
              <w:rPr>
                <w:rFonts w:ascii="Cambria Math" w:eastAsia="Cambria Math"/>
                <w:position w:val="-4"/>
                <w:sz w:val="17"/>
                <w:u w:val="single"/>
              </w:rPr>
              <w:t>𝑒</w:t>
            </w:r>
            <w:r>
              <w:rPr>
                <w:rFonts w:ascii="Cambria Math" w:eastAsia="Cambria Math"/>
                <w:sz w:val="24"/>
                <w:u w:val="single"/>
              </w:rPr>
              <w:t>(𝑡)</w:t>
            </w:r>
          </w:p>
          <w:p>
            <w:pPr>
              <w:pStyle w:val="TableParagraph"/>
              <w:tabs>
                <w:tab w:pos="2230" w:val="left" w:leader="none"/>
                <w:tab w:pos="2676" w:val="left" w:leader="none"/>
                <w:tab w:pos="3528" w:val="left" w:leader="none"/>
              </w:tabs>
              <w:spacing w:line="168" w:lineRule="auto"/>
              <w:ind w:left="200"/>
              <w:rPr>
                <w:rFonts w:ascii="Cambria Math" w:hAnsi="Cambria Math" w:eastAsia="Cambria Math"/>
                <w:sz w:val="24"/>
              </w:rPr>
            </w:pPr>
            <w:r>
              <w:rPr>
                <w:rFonts w:ascii="Cambria Math" w:hAnsi="Cambria Math" w:eastAsia="Cambria Math"/>
                <w:spacing w:val="-2"/>
                <w:sz w:val="24"/>
              </w:rPr>
              <w:t>𝐾</w:t>
            </w:r>
            <w:r>
              <w:rPr>
                <w:rFonts w:ascii="Cambria Math" w:hAnsi="Cambria Math" w:eastAsia="Cambria Math"/>
                <w:spacing w:val="-2"/>
                <w:position w:val="-4"/>
                <w:sz w:val="17"/>
              </w:rPr>
              <w:t>𝐿</w:t>
            </w:r>
            <w:r>
              <w:rPr>
                <w:rFonts w:ascii="Cambria Math" w:hAnsi="Cambria Math" w:eastAsia="Cambria Math"/>
                <w:spacing w:val="42"/>
                <w:position w:val="-4"/>
                <w:sz w:val="17"/>
              </w:rPr>
              <w:t> </w:t>
            </w:r>
            <w:r>
              <w:rPr>
                <w:rFonts w:ascii="Cambria Math" w:hAnsi="Cambria Math" w:eastAsia="Cambria Math"/>
                <w:spacing w:val="-2"/>
                <w:sz w:val="24"/>
              </w:rPr>
              <w:t>≡</w:t>
            </w:r>
            <w:r>
              <w:rPr>
                <w:rFonts w:ascii="Cambria Math" w:hAnsi="Cambria Math" w:eastAsia="Cambria Math"/>
                <w:spacing w:val="38"/>
                <w:sz w:val="24"/>
              </w:rPr>
              <w:t> </w:t>
            </w:r>
            <w:r>
              <w:rPr>
                <w:rFonts w:ascii="Cambria Math" w:hAnsi="Cambria Math" w:eastAsia="Cambria Math"/>
                <w:spacing w:val="-1"/>
                <w:position w:val="-15"/>
                <w:sz w:val="24"/>
              </w:rPr>
              <w:t>𝐹(𝑡)</w:t>
            </w:r>
            <w:r>
              <w:rPr>
                <w:rFonts w:ascii="Cambria Math" w:hAnsi="Cambria Math" w:eastAsia="Cambria Math"/>
                <w:spacing w:val="11"/>
                <w:position w:val="-15"/>
                <w:sz w:val="24"/>
              </w:rPr>
              <w:t> </w:t>
            </w:r>
            <w:r>
              <w:rPr>
                <w:rFonts w:ascii="Cambria Math" w:hAnsi="Cambria Math" w:eastAsia="Cambria Math"/>
                <w:spacing w:val="-1"/>
                <w:sz w:val="24"/>
              </w:rPr>
              <w:t>,</w:t>
            </w:r>
            <w:r>
              <w:rPr>
                <w:rFonts w:ascii="Cambria Math" w:hAnsi="Cambria Math" w:eastAsia="Cambria Math"/>
                <w:spacing w:val="-13"/>
                <w:sz w:val="24"/>
              </w:rPr>
              <w:t> </w:t>
            </w:r>
            <w:r>
              <w:rPr>
                <w:rFonts w:ascii="Cambria Math" w:hAnsi="Cambria Math" w:eastAsia="Cambria Math"/>
                <w:spacing w:val="-1"/>
                <w:sz w:val="24"/>
              </w:rPr>
              <w:t>𝐾</w:t>
            </w:r>
            <w:r>
              <w:rPr>
                <w:rFonts w:ascii="Cambria Math" w:hAnsi="Cambria Math" w:eastAsia="Cambria Math"/>
                <w:spacing w:val="-1"/>
                <w:position w:val="-4"/>
                <w:sz w:val="17"/>
              </w:rPr>
              <w:t>𝑀</w:t>
            </w:r>
            <w:r>
              <w:rPr>
                <w:rFonts w:ascii="Cambria Math" w:hAnsi="Cambria Math" w:eastAsia="Cambria Math"/>
                <w:spacing w:val="41"/>
                <w:position w:val="-4"/>
                <w:sz w:val="17"/>
              </w:rPr>
              <w:t> </w:t>
            </w:r>
            <w:r>
              <w:rPr>
                <w:rFonts w:ascii="Cambria Math" w:hAnsi="Cambria Math" w:eastAsia="Cambria Math"/>
                <w:spacing w:val="-1"/>
                <w:sz w:val="24"/>
              </w:rPr>
              <w:t>≡</w:t>
              <w:tab/>
            </w:r>
            <w:r>
              <w:rPr>
                <w:rFonts w:ascii="Cambria Math" w:hAnsi="Cambria Math" w:eastAsia="Cambria Math"/>
                <w:position w:val="-15"/>
                <w:sz w:val="24"/>
              </w:rPr>
              <w:t>𝑚</w:t>
              <w:tab/>
            </w:r>
            <w:r>
              <w:rPr>
                <w:rFonts w:ascii="Cambria Math" w:hAnsi="Cambria Math" w:eastAsia="Cambria Math"/>
                <w:spacing w:val="-6"/>
                <w:sz w:val="24"/>
              </w:rPr>
              <w:t>,</w:t>
            </w:r>
            <w:r>
              <w:rPr>
                <w:rFonts w:ascii="Cambria Math" w:hAnsi="Cambria Math" w:eastAsia="Cambria Math"/>
                <w:spacing w:val="-13"/>
                <w:sz w:val="24"/>
              </w:rPr>
              <w:t> </w:t>
            </w:r>
            <w:r>
              <w:rPr>
                <w:rFonts w:ascii="Cambria Math" w:hAnsi="Cambria Math" w:eastAsia="Cambria Math"/>
                <w:spacing w:val="-6"/>
                <w:sz w:val="24"/>
              </w:rPr>
              <w:t>𝐾</w:t>
            </w:r>
            <w:r>
              <w:rPr>
                <w:rFonts w:ascii="Cambria Math" w:hAnsi="Cambria Math" w:eastAsia="Cambria Math"/>
                <w:spacing w:val="-6"/>
                <w:position w:val="-4"/>
                <w:sz w:val="17"/>
              </w:rPr>
              <w:t>𝑆</w:t>
            </w:r>
            <w:r>
              <w:rPr>
                <w:rFonts w:ascii="Cambria Math" w:hAnsi="Cambria Math" w:eastAsia="Cambria Math"/>
                <w:spacing w:val="42"/>
                <w:position w:val="-4"/>
                <w:sz w:val="17"/>
              </w:rPr>
              <w:t> </w:t>
            </w:r>
            <w:r>
              <w:rPr>
                <w:rFonts w:ascii="Cambria Math" w:hAnsi="Cambria Math" w:eastAsia="Cambria Math"/>
                <w:spacing w:val="-5"/>
                <w:sz w:val="24"/>
              </w:rPr>
              <w:t>≡</w:t>
              <w:tab/>
            </w:r>
            <w:r>
              <w:rPr>
                <w:rFonts w:ascii="Cambria Math" w:hAnsi="Cambria Math" w:eastAsia="Cambria Math"/>
                <w:position w:val="-15"/>
                <w:sz w:val="24"/>
              </w:rPr>
              <w:t>𝑘</w:t>
            </w:r>
          </w:p>
        </w:tc>
        <w:tc>
          <w:tcPr>
            <w:tcW w:w="64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163" w:type="dxa"/>
          </w:tcPr>
          <w:p>
            <w:pPr>
              <w:pStyle w:val="TableParagraph"/>
              <w:spacing w:before="144"/>
              <w:ind w:right="198"/>
              <w:jc w:val="right"/>
              <w:rPr>
                <w:sz w:val="24"/>
              </w:rPr>
            </w:pPr>
            <w:r>
              <w:rPr>
                <w:sz w:val="24"/>
              </w:rPr>
              <w:t>(8.5)</w:t>
            </w:r>
          </w:p>
        </w:tc>
      </w:tr>
      <w:tr>
        <w:trPr>
          <w:trHeight w:val="415" w:hRule="atLeast"/>
        </w:trPr>
        <w:tc>
          <w:tcPr>
            <w:tcW w:w="4039" w:type="dxa"/>
          </w:tcPr>
          <w:p>
            <w:pPr>
              <w:pStyle w:val="TableParagraph"/>
              <w:spacing w:line="262" w:lineRule="exact" w:before="134"/>
              <w:ind w:left="2370"/>
              <w:rPr>
                <w:sz w:val="24"/>
              </w:rPr>
            </w:pPr>
            <w:r>
              <w:rPr>
                <w:sz w:val="24"/>
              </w:rPr>
              <w:t>where</w:t>
            </w:r>
          </w:p>
        </w:tc>
        <w:tc>
          <w:tcPr>
            <w:tcW w:w="647" w:type="dxa"/>
          </w:tcPr>
          <w:p>
            <w:pPr>
              <w:pStyle w:val="TableParagraph"/>
              <w:spacing w:line="260" w:lineRule="exact" w:before="135"/>
              <w:ind w:right="106"/>
              <w:jc w:val="right"/>
              <w:rPr>
                <w:i/>
                <w:sz w:val="24"/>
              </w:rPr>
            </w:pPr>
            <w:r>
              <w:rPr>
                <w:i/>
                <w:sz w:val="24"/>
              </w:rPr>
              <w:t>F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=</w:t>
            </w:r>
          </w:p>
        </w:tc>
        <w:tc>
          <w:tcPr>
            <w:tcW w:w="2163" w:type="dxa"/>
          </w:tcPr>
          <w:p>
            <w:pPr>
              <w:pStyle w:val="TableParagraph"/>
              <w:spacing w:line="262" w:lineRule="exact" w:before="134"/>
              <w:ind w:left="107"/>
              <w:rPr>
                <w:sz w:val="24"/>
              </w:rPr>
            </w:pPr>
            <w:r>
              <w:rPr>
                <w:sz w:val="24"/>
              </w:rPr>
              <w:t>force</w:t>
            </w:r>
          </w:p>
        </w:tc>
      </w:tr>
      <w:tr>
        <w:trPr>
          <w:trHeight w:val="276" w:hRule="atLeast"/>
        </w:trPr>
        <w:tc>
          <w:tcPr>
            <w:tcW w:w="403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647" w:type="dxa"/>
          </w:tcPr>
          <w:p>
            <w:pPr>
              <w:pStyle w:val="TableParagraph"/>
              <w:spacing w:line="256" w:lineRule="exact"/>
              <w:ind w:right="106"/>
              <w:jc w:val="right"/>
              <w:rPr>
                <w:i/>
                <w:sz w:val="24"/>
              </w:rPr>
            </w:pPr>
            <w:r>
              <w:rPr>
                <w:i/>
                <w:sz w:val="24"/>
              </w:rPr>
              <w:t>m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=</w:t>
            </w:r>
          </w:p>
        </w:tc>
        <w:tc>
          <w:tcPr>
            <w:tcW w:w="2163" w:type="dxa"/>
          </w:tcPr>
          <w:p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mass</w:t>
            </w:r>
          </w:p>
        </w:tc>
      </w:tr>
      <w:tr>
        <w:trPr>
          <w:trHeight w:val="275" w:hRule="atLeast"/>
        </w:trPr>
        <w:tc>
          <w:tcPr>
            <w:tcW w:w="403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647" w:type="dxa"/>
          </w:tcPr>
          <w:p>
            <w:pPr>
              <w:pStyle w:val="TableParagraph"/>
              <w:spacing w:line="256" w:lineRule="exact"/>
              <w:ind w:right="106"/>
              <w:jc w:val="right"/>
              <w:rPr>
                <w:i/>
                <w:sz w:val="24"/>
              </w:rPr>
            </w:pPr>
            <w:r>
              <w:rPr>
                <w:i/>
                <w:sz w:val="24"/>
              </w:rPr>
              <w:t>k =</w:t>
            </w:r>
          </w:p>
        </w:tc>
        <w:tc>
          <w:tcPr>
            <w:tcW w:w="2163" w:type="dxa"/>
          </w:tcPr>
          <w:p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stiffness</w:t>
            </w:r>
          </w:p>
        </w:tc>
      </w:tr>
      <w:tr>
        <w:trPr>
          <w:trHeight w:val="271" w:hRule="atLeast"/>
        </w:trPr>
        <w:tc>
          <w:tcPr>
            <w:tcW w:w="4686" w:type="dxa"/>
            <w:gridSpan w:val="2"/>
          </w:tcPr>
          <w:p>
            <w:pPr>
              <w:pStyle w:val="TableParagraph"/>
              <w:spacing w:line="251" w:lineRule="exact"/>
              <w:ind w:right="106"/>
              <w:jc w:val="right"/>
              <w:rPr>
                <w:i/>
                <w:sz w:val="24"/>
              </w:rPr>
            </w:pPr>
            <w:r>
              <w:rPr>
                <w:i/>
                <w:sz w:val="24"/>
              </w:rPr>
              <w:t>subscript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e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=</w:t>
            </w:r>
          </w:p>
        </w:tc>
        <w:tc>
          <w:tcPr>
            <w:tcW w:w="2163" w:type="dxa"/>
          </w:tcPr>
          <w:p>
            <w:pPr>
              <w:pStyle w:val="TableParagraph"/>
              <w:spacing w:line="251" w:lineRule="exact"/>
              <w:ind w:left="107"/>
              <w:rPr>
                <w:sz w:val="24"/>
              </w:rPr>
            </w:pPr>
            <w:r>
              <w:rPr>
                <w:sz w:val="24"/>
              </w:rPr>
              <w:t>equivalent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system</w:t>
            </w:r>
          </w:p>
        </w:tc>
      </w:tr>
    </w:tbl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21"/>
        </w:rPr>
      </w:pPr>
    </w:p>
    <w:p>
      <w:pPr>
        <w:pStyle w:val="BodyText"/>
        <w:spacing w:line="480" w:lineRule="auto" w:before="90"/>
        <w:ind w:left="440" w:right="403"/>
      </w:pPr>
      <w:r>
        <w:rPr/>
        <w:t>The</w:t>
      </w:r>
      <w:r>
        <w:rPr>
          <w:spacing w:val="-8"/>
        </w:rPr>
        <w:t> </w:t>
      </w:r>
      <w:r>
        <w:rPr/>
        <w:t>equation</w:t>
      </w:r>
      <w:r>
        <w:rPr>
          <w:spacing w:val="-7"/>
        </w:rPr>
        <w:t> </w:t>
      </w:r>
      <w:r>
        <w:rPr/>
        <w:t>of</w:t>
      </w:r>
      <w:r>
        <w:rPr>
          <w:spacing w:val="-9"/>
        </w:rPr>
        <w:t> </w:t>
      </w:r>
      <w:r>
        <w:rPr/>
        <w:t>motion</w:t>
      </w:r>
      <w:r>
        <w:rPr>
          <w:spacing w:val="-7"/>
        </w:rPr>
        <w:t> </w:t>
      </w:r>
      <w:r>
        <w:rPr/>
        <w:t>for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equivalent</w:t>
      </w:r>
      <w:r>
        <w:rPr>
          <w:spacing w:val="-8"/>
        </w:rPr>
        <w:t> </w:t>
      </w:r>
      <w:r>
        <w:rPr/>
        <w:t>system</w:t>
      </w:r>
      <w:r>
        <w:rPr>
          <w:spacing w:val="-9"/>
        </w:rPr>
        <w:t> </w:t>
      </w:r>
      <w:r>
        <w:rPr/>
        <w:t>is</w:t>
      </w:r>
      <w:r>
        <w:rPr>
          <w:spacing w:val="-7"/>
        </w:rPr>
        <w:t> </w:t>
      </w:r>
      <w:r>
        <w:rPr/>
        <w:t>used</w:t>
      </w:r>
      <w:r>
        <w:rPr>
          <w:spacing w:val="-9"/>
        </w:rPr>
        <w:t> </w:t>
      </w:r>
      <w:r>
        <w:rPr/>
        <w:t>in</w:t>
      </w:r>
      <w:r>
        <w:rPr>
          <w:spacing w:val="-8"/>
        </w:rPr>
        <w:t> </w:t>
      </w:r>
      <w:r>
        <w:rPr/>
        <w:t>conjunction</w:t>
      </w:r>
      <w:r>
        <w:rPr>
          <w:spacing w:val="-7"/>
        </w:rPr>
        <w:t> </w:t>
      </w:r>
      <w:r>
        <w:rPr/>
        <w:t>with</w:t>
      </w:r>
      <w:r>
        <w:rPr>
          <w:spacing w:val="-8"/>
        </w:rPr>
        <w:t> </w:t>
      </w:r>
      <w:r>
        <w:rPr/>
        <w:t>an</w:t>
      </w:r>
      <w:r>
        <w:rPr>
          <w:spacing w:val="-9"/>
        </w:rPr>
        <w:t> </w:t>
      </w:r>
      <w:r>
        <w:rPr/>
        <w:t>evaluation</w:t>
      </w:r>
      <w:r>
        <w:rPr>
          <w:spacing w:val="-57"/>
        </w:rPr>
        <w:t> </w:t>
      </w:r>
      <w:r>
        <w:rPr/>
        <w:t>of</w:t>
      </w:r>
      <w:r>
        <w:rPr>
          <w:spacing w:val="4"/>
        </w:rPr>
        <w:t> </w:t>
      </w:r>
      <w:r>
        <w:rPr/>
        <w:t>the</w:t>
      </w:r>
      <w:r>
        <w:rPr>
          <w:spacing w:val="5"/>
        </w:rPr>
        <w:t> </w:t>
      </w:r>
      <w:r>
        <w:rPr/>
        <w:t>system</w:t>
      </w:r>
      <w:r>
        <w:rPr>
          <w:spacing w:val="4"/>
        </w:rPr>
        <w:t> </w:t>
      </w:r>
      <w:r>
        <w:rPr/>
        <w:t>with</w:t>
      </w:r>
      <w:r>
        <w:rPr>
          <w:spacing w:val="5"/>
        </w:rPr>
        <w:t> </w:t>
      </w:r>
      <w:r>
        <w:rPr/>
        <w:t>static</w:t>
      </w:r>
      <w:r>
        <w:rPr>
          <w:spacing w:val="5"/>
        </w:rPr>
        <w:t> </w:t>
      </w:r>
      <w:r>
        <w:rPr/>
        <w:t>load,</w:t>
      </w:r>
      <w:r>
        <w:rPr>
          <w:spacing w:val="5"/>
        </w:rPr>
        <w:t> </w:t>
      </w:r>
      <w:r>
        <w:rPr/>
        <w:t>or</w:t>
      </w:r>
      <w:r>
        <w:rPr>
          <w:spacing w:val="5"/>
        </w:rPr>
        <w:t> </w:t>
      </w:r>
      <w:r>
        <w:rPr/>
        <w:t>no</w:t>
      </w:r>
      <w:r>
        <w:rPr>
          <w:spacing w:val="4"/>
        </w:rPr>
        <w:t> </w:t>
      </w:r>
      <w:r>
        <w:rPr/>
        <w:t>acceleration,</w:t>
      </w:r>
      <w:r>
        <w:rPr>
          <w:spacing w:val="5"/>
        </w:rPr>
        <w:t> </w:t>
      </w:r>
      <w:r>
        <w:rPr/>
        <w:t>to</w:t>
      </w:r>
      <w:r>
        <w:rPr>
          <w:spacing w:val="5"/>
        </w:rPr>
        <w:t> </w:t>
      </w:r>
      <w:r>
        <w:rPr/>
        <w:t>find</w:t>
      </w:r>
      <w:r>
        <w:rPr>
          <w:spacing w:val="5"/>
        </w:rPr>
        <w:t> </w:t>
      </w:r>
      <w:r>
        <w:rPr/>
        <w:t>the</w:t>
      </w:r>
      <w:r>
        <w:rPr>
          <w:spacing w:val="4"/>
        </w:rPr>
        <w:t> </w:t>
      </w:r>
      <w:r>
        <w:rPr/>
        <w:t>equivalent</w:t>
      </w:r>
      <w:r>
        <w:rPr>
          <w:spacing w:val="4"/>
        </w:rPr>
        <w:t> </w:t>
      </w:r>
      <w:r>
        <w:rPr/>
        <w:t>load</w:t>
      </w:r>
      <w:r>
        <w:rPr>
          <w:spacing w:val="5"/>
        </w:rPr>
        <w:t> </w:t>
      </w:r>
      <w:r>
        <w:rPr/>
        <w:t>and</w:t>
      </w:r>
      <w:r>
        <w:rPr>
          <w:spacing w:val="6"/>
        </w:rPr>
        <w:t> </w:t>
      </w:r>
      <w:r>
        <w:rPr/>
        <w:t>stiffness</w:t>
      </w:r>
    </w:p>
    <w:p>
      <w:pPr>
        <w:spacing w:after="0" w:line="480" w:lineRule="auto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40" w:right="403"/>
      </w:pPr>
      <w:r>
        <w:rPr/>
        <w:t>factors</w:t>
      </w:r>
      <w:r>
        <w:rPr>
          <w:spacing w:val="30"/>
        </w:rPr>
        <w:t> </w:t>
      </w:r>
      <w:r>
        <w:rPr/>
        <w:t>are</w:t>
      </w:r>
      <w:r>
        <w:rPr>
          <w:spacing w:val="29"/>
        </w:rPr>
        <w:t> </w:t>
      </w:r>
      <w:r>
        <w:rPr/>
        <w:t>equal.</w:t>
      </w:r>
      <w:r>
        <w:rPr>
          <w:spacing w:val="2"/>
        </w:rPr>
        <w:t> </w:t>
      </w:r>
      <w:r>
        <w:rPr/>
        <w:t>Based</w:t>
      </w:r>
      <w:r>
        <w:rPr>
          <w:spacing w:val="31"/>
        </w:rPr>
        <w:t> </w:t>
      </w:r>
      <w:r>
        <w:rPr/>
        <w:t>on</w:t>
      </w:r>
      <w:r>
        <w:rPr>
          <w:spacing w:val="31"/>
        </w:rPr>
        <w:t> </w:t>
      </w:r>
      <w:r>
        <w:rPr/>
        <w:t>this</w:t>
      </w:r>
      <w:r>
        <w:rPr>
          <w:spacing w:val="30"/>
        </w:rPr>
        <w:t> </w:t>
      </w:r>
      <w:r>
        <w:rPr/>
        <w:t>equality,</w:t>
      </w:r>
      <w:r>
        <w:rPr>
          <w:spacing w:val="31"/>
        </w:rPr>
        <w:t> </w:t>
      </w:r>
      <w:r>
        <w:rPr/>
        <w:t>a</w:t>
      </w:r>
      <w:r>
        <w:rPr>
          <w:spacing w:val="31"/>
        </w:rPr>
        <w:t> </w:t>
      </w:r>
      <w:r>
        <w:rPr/>
        <w:t>load-mass</w:t>
      </w:r>
      <w:r>
        <w:rPr>
          <w:spacing w:val="31"/>
        </w:rPr>
        <w:t> </w:t>
      </w:r>
      <w:r>
        <w:rPr/>
        <w:t>factor</w:t>
      </w:r>
      <w:r>
        <w:rPr>
          <w:spacing w:val="30"/>
        </w:rPr>
        <w:t> </w:t>
      </w:r>
      <w:r>
        <w:rPr/>
        <w:t>is</w:t>
      </w:r>
      <w:r>
        <w:rPr>
          <w:spacing w:val="31"/>
        </w:rPr>
        <w:t> </w:t>
      </w:r>
      <w:r>
        <w:rPr/>
        <w:t>then</w:t>
      </w:r>
      <w:r>
        <w:rPr>
          <w:spacing w:val="29"/>
        </w:rPr>
        <w:t> </w:t>
      </w:r>
      <w:r>
        <w:rPr/>
        <w:t>used</w:t>
      </w:r>
      <w:r>
        <w:rPr>
          <w:spacing w:val="31"/>
        </w:rPr>
        <w:t> </w:t>
      </w:r>
      <w:r>
        <w:rPr/>
        <w:t>in</w:t>
      </w:r>
      <w:r>
        <w:rPr>
          <w:spacing w:val="30"/>
        </w:rPr>
        <w:t> </w:t>
      </w:r>
      <w:r>
        <w:rPr/>
        <w:t>a</w:t>
      </w:r>
      <w:r>
        <w:rPr>
          <w:spacing w:val="31"/>
        </w:rPr>
        <w:t> </w:t>
      </w:r>
      <w:r>
        <w:rPr/>
        <w:t>revised</w:t>
      </w:r>
      <w:r>
        <w:rPr>
          <w:spacing w:val="-57"/>
        </w:rPr>
        <w:t> </w:t>
      </w:r>
      <w:r>
        <w:rPr/>
        <w:t>equation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motion for elastic</w:t>
      </w:r>
      <w:r>
        <w:rPr>
          <w:spacing w:val="-1"/>
        </w:rPr>
        <w:t> </w:t>
      </w:r>
      <w:r>
        <w:rPr/>
        <w:t>systems, as shown in Equation</w:t>
      </w:r>
      <w:r>
        <w:rPr>
          <w:spacing w:val="-1"/>
        </w:rPr>
        <w:t> </w:t>
      </w:r>
      <w:r>
        <w:rPr/>
        <w:t>8.6.</w:t>
      </w:r>
    </w:p>
    <w:p>
      <w:pPr>
        <w:pStyle w:val="BodyText"/>
        <w:spacing w:before="4"/>
        <w:rPr>
          <w:sz w:val="34"/>
        </w:rPr>
      </w:pPr>
    </w:p>
    <w:p>
      <w:pPr>
        <w:pStyle w:val="BodyText"/>
        <w:tabs>
          <w:tab w:pos="8502" w:val="left" w:leader="none"/>
        </w:tabs>
        <w:ind w:left="3228"/>
      </w:pPr>
      <w:r>
        <w:rPr>
          <w:rFonts w:ascii="Cambria Math" w:hAnsi="Cambria Math" w:eastAsia="Cambria Math"/>
        </w:rPr>
        <w:t>𝐾</w:t>
      </w:r>
      <w:r>
        <w:rPr>
          <w:rFonts w:ascii="Cambria Math" w:hAnsi="Cambria Math" w:eastAsia="Cambria Math"/>
          <w:position w:val="-4"/>
          <w:sz w:val="17"/>
        </w:rPr>
        <w:t>𝐿𝑀</w:t>
      </w:r>
      <w:r>
        <w:rPr>
          <w:rFonts w:ascii="Cambria Math" w:hAnsi="Cambria Math" w:eastAsia="Cambria Math"/>
        </w:rPr>
        <w:t>𝑚𝑥̈</w:t>
      </w:r>
      <w:r>
        <w:rPr>
          <w:rFonts w:ascii="Cambria Math" w:hAnsi="Cambria Math" w:eastAsia="Cambria Math"/>
          <w:spacing w:val="23"/>
        </w:rPr>
        <w:t> </w:t>
      </w:r>
      <w:r>
        <w:rPr>
          <w:rFonts w:ascii="Cambria Math" w:hAnsi="Cambria Math" w:eastAsia="Cambria Math"/>
        </w:rPr>
        <w:t>+ 𝑘𝑥</w:t>
      </w:r>
      <w:r>
        <w:rPr>
          <w:rFonts w:ascii="Cambria Math" w:hAnsi="Cambria Math" w:eastAsia="Cambria Math"/>
          <w:spacing w:val="21"/>
        </w:rPr>
        <w:t> </w:t>
      </w:r>
      <w:r>
        <w:rPr>
          <w:rFonts w:ascii="Cambria Math" w:hAnsi="Cambria Math" w:eastAsia="Cambria Math"/>
        </w:rPr>
        <w:t>=</w:t>
      </w:r>
      <w:r>
        <w:rPr>
          <w:rFonts w:ascii="Cambria Math" w:hAnsi="Cambria Math" w:eastAsia="Cambria Math"/>
          <w:spacing w:val="14"/>
        </w:rPr>
        <w:t> </w:t>
      </w:r>
      <w:r>
        <w:rPr>
          <w:rFonts w:ascii="Cambria Math" w:hAnsi="Cambria Math" w:eastAsia="Cambria Math"/>
        </w:rPr>
        <w:t>𝐹(𝑡)</w:t>
        <w:tab/>
      </w:r>
      <w:r>
        <w:rPr>
          <w:position w:val="1"/>
        </w:rPr>
        <w:t>(8.6)</w:t>
      </w:r>
    </w:p>
    <w:p>
      <w:pPr>
        <w:tabs>
          <w:tab w:pos="5983" w:val="left" w:leader="none"/>
          <w:tab w:pos="7293" w:val="left" w:leader="none"/>
        </w:tabs>
        <w:spacing w:line="308" w:lineRule="exact" w:before="228"/>
        <w:ind w:left="5050" w:right="0" w:firstLine="0"/>
        <w:jc w:val="left"/>
        <w:rPr>
          <w:sz w:val="24"/>
        </w:rPr>
      </w:pPr>
      <w:r>
        <w:rPr>
          <w:sz w:val="24"/>
        </w:rPr>
        <w:t>where</w:t>
        <w:tab/>
      </w:r>
      <w:r>
        <w:rPr>
          <w:i/>
          <w:position w:val="-5"/>
          <w:sz w:val="24"/>
        </w:rPr>
        <w:t>K</w:t>
      </w:r>
      <w:r>
        <w:rPr>
          <w:i/>
          <w:position w:val="-6"/>
          <w:sz w:val="16"/>
        </w:rPr>
        <w:t>LM</w:t>
      </w:r>
      <w:r>
        <w:rPr>
          <w:i/>
          <w:spacing w:val="24"/>
          <w:position w:val="-6"/>
          <w:sz w:val="16"/>
        </w:rPr>
        <w:t> </w:t>
      </w:r>
      <w:r>
        <w:rPr>
          <w:i/>
          <w:position w:val="-5"/>
          <w:sz w:val="24"/>
        </w:rPr>
        <w:t>≡</w:t>
      </w:r>
      <w:r>
        <w:rPr>
          <w:rFonts w:ascii="Cambria Math" w:hAnsi="Cambria Math" w:eastAsia="Cambria Math"/>
          <w:position w:val="8"/>
          <w:sz w:val="17"/>
          <w:u w:val="single"/>
        </w:rPr>
        <w:t>𝐾</w:t>
      </w:r>
      <w:r>
        <w:rPr>
          <w:rFonts w:ascii="Cambria Math" w:hAnsi="Cambria Math" w:eastAsia="Cambria Math"/>
          <w:position w:val="4"/>
          <w:sz w:val="14"/>
          <w:u w:val="single"/>
        </w:rPr>
        <w:t>𝑀</w:t>
      </w:r>
      <w:r>
        <w:rPr>
          <w:rFonts w:ascii="Cambria Math" w:hAnsi="Cambria Math" w:eastAsia="Cambria Math"/>
          <w:spacing w:val="40"/>
          <w:position w:val="4"/>
          <w:sz w:val="14"/>
        </w:rPr>
        <w:t> </w:t>
      </w:r>
      <w:r>
        <w:rPr>
          <w:i/>
          <w:position w:val="-5"/>
          <w:sz w:val="24"/>
        </w:rPr>
        <w:t>=</w:t>
        <w:tab/>
      </w:r>
      <w:r>
        <w:rPr>
          <w:sz w:val="24"/>
        </w:rPr>
        <w:t>load-mass</w:t>
      </w:r>
      <w:r>
        <w:rPr>
          <w:spacing w:val="-1"/>
          <w:sz w:val="24"/>
        </w:rPr>
        <w:t> </w:t>
      </w:r>
      <w:r>
        <w:rPr>
          <w:sz w:val="24"/>
        </w:rPr>
        <w:t>factor</w:t>
      </w:r>
    </w:p>
    <w:p>
      <w:pPr>
        <w:spacing w:line="177" w:lineRule="exact" w:before="0"/>
        <w:ind w:left="6614" w:right="0" w:firstLine="0"/>
        <w:jc w:val="left"/>
        <w:rPr>
          <w:rFonts w:ascii="Cambria Math" w:eastAsia="Cambria Math"/>
          <w:sz w:val="14"/>
        </w:rPr>
      </w:pPr>
      <w:r>
        <w:rPr>
          <w:rFonts w:ascii="Cambria Math" w:eastAsia="Cambria Math"/>
          <w:w w:val="110"/>
          <w:sz w:val="17"/>
        </w:rPr>
        <w:t>𝐾</w:t>
      </w:r>
      <w:r>
        <w:rPr>
          <w:rFonts w:ascii="Cambria Math" w:eastAsia="Cambria Math"/>
          <w:w w:val="110"/>
          <w:position w:val="-2"/>
          <w:sz w:val="14"/>
        </w:rPr>
        <w:t>𝐿</w:t>
      </w:r>
    </w:p>
    <w:p>
      <w:pPr>
        <w:tabs>
          <w:tab w:pos="7293" w:val="left" w:leader="none"/>
        </w:tabs>
        <w:spacing w:before="36"/>
        <w:ind w:left="6682" w:right="0" w:firstLine="0"/>
        <w:jc w:val="left"/>
        <w:rPr>
          <w:sz w:val="24"/>
        </w:rPr>
      </w:pPr>
      <w:r>
        <w:rPr>
          <w:i/>
          <w:sz w:val="24"/>
        </w:rPr>
        <w:t>m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=</w:t>
        <w:tab/>
      </w:r>
      <w:r>
        <w:rPr>
          <w:sz w:val="24"/>
        </w:rPr>
        <w:t>mass</w:t>
      </w:r>
    </w:p>
    <w:p>
      <w:pPr>
        <w:tabs>
          <w:tab w:pos="7293" w:val="left" w:leader="none"/>
        </w:tabs>
        <w:spacing w:before="0"/>
        <w:ind w:left="6748" w:right="0" w:firstLine="0"/>
        <w:jc w:val="left"/>
        <w:rPr>
          <w:sz w:val="24"/>
        </w:rPr>
      </w:pPr>
      <w:r>
        <w:rPr>
          <w:i/>
          <w:sz w:val="24"/>
        </w:rPr>
        <w:t>k =</w:t>
        <w:tab/>
      </w:r>
      <w:r>
        <w:rPr>
          <w:sz w:val="24"/>
        </w:rPr>
        <w:t>stiffness</w:t>
      </w:r>
    </w:p>
    <w:p>
      <w:pPr>
        <w:pStyle w:val="BodyText"/>
        <w:tabs>
          <w:tab w:pos="7293" w:val="left" w:leader="none"/>
        </w:tabs>
        <w:spacing w:line="463" w:lineRule="auto"/>
        <w:ind w:left="440" w:right="418" w:firstLine="6268"/>
      </w:pPr>
      <w:r>
        <w:rPr>
          <w:i/>
        </w:rPr>
        <w:t>F</w:t>
      </w:r>
      <w:r>
        <w:rPr>
          <w:i/>
          <w:spacing w:val="-1"/>
        </w:rPr>
        <w:t> </w:t>
      </w:r>
      <w:r>
        <w:rPr>
          <w:i/>
        </w:rPr>
        <w:t>=</w:t>
        <w:tab/>
      </w:r>
      <w:r>
        <w:rPr/>
        <w:t>applied force</w:t>
      </w:r>
      <w:r>
        <w:rPr>
          <w:spacing w:val="1"/>
        </w:rPr>
        <w:t> </w:t>
      </w:r>
      <w:r>
        <w:rPr>
          <w:position w:val="1"/>
        </w:rPr>
        <w:t>Load-mass</w:t>
      </w:r>
      <w:r>
        <w:rPr>
          <w:spacing w:val="35"/>
          <w:position w:val="1"/>
        </w:rPr>
        <w:t> </w:t>
      </w:r>
      <w:r>
        <w:rPr>
          <w:position w:val="1"/>
        </w:rPr>
        <w:t>factor</w:t>
      </w:r>
      <w:r>
        <w:rPr>
          <w:spacing w:val="35"/>
          <w:position w:val="1"/>
        </w:rPr>
        <w:t> </w:t>
      </w:r>
      <w:r>
        <w:rPr>
          <w:position w:val="1"/>
        </w:rPr>
        <w:t>values,</w:t>
      </w:r>
      <w:r>
        <w:rPr>
          <w:spacing w:val="34"/>
          <w:position w:val="1"/>
        </w:rPr>
        <w:t> </w:t>
      </w:r>
      <w:r>
        <w:rPr>
          <w:i/>
          <w:position w:val="1"/>
        </w:rPr>
        <w:t>K</w:t>
      </w:r>
      <w:r>
        <w:rPr>
          <w:i/>
          <w:sz w:val="16"/>
        </w:rPr>
        <w:t>LM</w:t>
      </w:r>
      <w:r>
        <w:rPr>
          <w:position w:val="1"/>
        </w:rPr>
        <w:t>,</w:t>
      </w:r>
      <w:r>
        <w:rPr>
          <w:spacing w:val="35"/>
          <w:position w:val="1"/>
        </w:rPr>
        <w:t> </w:t>
      </w:r>
      <w:r>
        <w:rPr>
          <w:position w:val="1"/>
        </w:rPr>
        <w:t>for</w:t>
      </w:r>
      <w:r>
        <w:rPr>
          <w:spacing w:val="36"/>
          <w:position w:val="1"/>
        </w:rPr>
        <w:t> </w:t>
      </w:r>
      <w:r>
        <w:rPr>
          <w:position w:val="1"/>
        </w:rPr>
        <w:t>beams</w:t>
      </w:r>
      <w:r>
        <w:rPr>
          <w:spacing w:val="34"/>
          <w:position w:val="1"/>
        </w:rPr>
        <w:t> </w:t>
      </w:r>
      <w:r>
        <w:rPr>
          <w:position w:val="1"/>
        </w:rPr>
        <w:t>and</w:t>
      </w:r>
      <w:r>
        <w:rPr>
          <w:spacing w:val="36"/>
          <w:position w:val="1"/>
        </w:rPr>
        <w:t> </w:t>
      </w:r>
      <w:r>
        <w:rPr>
          <w:position w:val="1"/>
        </w:rPr>
        <w:t>one-way</w:t>
      </w:r>
      <w:r>
        <w:rPr>
          <w:spacing w:val="34"/>
          <w:position w:val="1"/>
        </w:rPr>
        <w:t> </w:t>
      </w:r>
      <w:r>
        <w:rPr>
          <w:position w:val="1"/>
        </w:rPr>
        <w:t>slabs</w:t>
      </w:r>
      <w:r>
        <w:rPr>
          <w:spacing w:val="35"/>
          <w:position w:val="1"/>
        </w:rPr>
        <w:t> </w:t>
      </w:r>
      <w:r>
        <w:rPr>
          <w:position w:val="1"/>
        </w:rPr>
        <w:t>have</w:t>
      </w:r>
      <w:r>
        <w:rPr>
          <w:spacing w:val="35"/>
          <w:position w:val="1"/>
        </w:rPr>
        <w:t> </w:t>
      </w:r>
      <w:r>
        <w:rPr>
          <w:position w:val="1"/>
        </w:rPr>
        <w:t>been</w:t>
      </w:r>
      <w:r>
        <w:rPr>
          <w:spacing w:val="34"/>
          <w:position w:val="1"/>
        </w:rPr>
        <w:t> </w:t>
      </w:r>
      <w:r>
        <w:rPr>
          <w:position w:val="1"/>
        </w:rPr>
        <w:t>established</w:t>
      </w:r>
      <w:r>
        <w:rPr>
          <w:spacing w:val="35"/>
          <w:position w:val="1"/>
        </w:rPr>
        <w:t> </w:t>
      </w:r>
      <w:r>
        <w:rPr>
          <w:position w:val="1"/>
        </w:rPr>
        <w:t>by</w:t>
      </w:r>
      <w:r>
        <w:rPr>
          <w:spacing w:val="-57"/>
          <w:position w:val="1"/>
        </w:rPr>
        <w:t> </w:t>
      </w:r>
      <w:r>
        <w:rPr/>
        <w:t>previous</w:t>
      </w:r>
      <w:r>
        <w:rPr>
          <w:spacing w:val="-2"/>
        </w:rPr>
        <w:t> </w:t>
      </w:r>
      <w:r>
        <w:rPr/>
        <w:t>research</w:t>
      </w:r>
      <w:r>
        <w:rPr>
          <w:spacing w:val="-1"/>
        </w:rPr>
        <w:t> </w:t>
      </w:r>
      <w:r>
        <w:rPr/>
        <w:t>by</w:t>
      </w:r>
      <w:r>
        <w:rPr>
          <w:spacing w:val="-1"/>
        </w:rPr>
        <w:t> </w:t>
      </w:r>
      <w:r>
        <w:rPr/>
        <w:t>Biggs</w:t>
      </w:r>
      <w:r>
        <w:rPr>
          <w:spacing w:val="-1"/>
        </w:rPr>
        <w:t> </w:t>
      </w:r>
      <w:r>
        <w:rPr/>
        <w:t>et</w:t>
      </w:r>
      <w:r>
        <w:rPr>
          <w:spacing w:val="-1"/>
        </w:rPr>
        <w:t> </w:t>
      </w:r>
      <w:r>
        <w:rPr/>
        <w:t>al.</w:t>
      </w:r>
      <w:r>
        <w:rPr>
          <w:spacing w:val="-1"/>
        </w:rPr>
        <w:t> </w:t>
      </w:r>
      <w:r>
        <w:rPr/>
        <w:t>with</w:t>
      </w:r>
      <w:r>
        <w:rPr>
          <w:spacing w:val="-2"/>
        </w:rPr>
        <w:t> </w:t>
      </w:r>
      <w:r>
        <w:rPr/>
        <w:t>respect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boundary</w:t>
      </w:r>
      <w:r>
        <w:rPr>
          <w:spacing w:val="-1"/>
        </w:rPr>
        <w:t> </w:t>
      </w:r>
      <w:r>
        <w:rPr/>
        <w:t>conditions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loadings</w:t>
      </w:r>
      <w:r>
        <w:rPr>
          <w:spacing w:val="-1"/>
        </w:rPr>
        <w:t> </w:t>
      </w:r>
      <w:r>
        <w:rPr/>
        <w:t>[29].</w:t>
      </w:r>
    </w:p>
    <w:p>
      <w:pPr>
        <w:pStyle w:val="BodyText"/>
        <w:spacing w:before="9"/>
        <w:rPr>
          <w:sz w:val="22"/>
        </w:rPr>
      </w:pPr>
    </w:p>
    <w:p>
      <w:pPr>
        <w:pStyle w:val="BodyText"/>
        <w:spacing w:line="480" w:lineRule="auto"/>
        <w:ind w:left="440" w:right="416" w:firstLine="720"/>
        <w:jc w:val="both"/>
      </w:pPr>
      <w:r>
        <w:rPr/>
        <w:t>In Equation 8.6 the stiffness, </w:t>
      </w:r>
      <w:r>
        <w:rPr>
          <w:i/>
        </w:rPr>
        <w:t>k, </w:t>
      </w:r>
      <w:r>
        <w:rPr/>
        <w:t>varies linearly with displacement, as in an elastic</w:t>
      </w:r>
      <w:r>
        <w:rPr>
          <w:spacing w:val="1"/>
        </w:rPr>
        <w:t> </w:t>
      </w:r>
      <w:r>
        <w:rPr/>
        <w:t>spring.</w:t>
      </w:r>
      <w:r>
        <w:rPr>
          <w:spacing w:val="1"/>
        </w:rPr>
        <w:t> </w:t>
      </w:r>
      <w:r>
        <w:rPr/>
        <w:t>However, the resistance of the force is actually non-linear as plastic behavior is</w:t>
      </w:r>
      <w:r>
        <w:rPr>
          <w:spacing w:val="1"/>
        </w:rPr>
        <w:t> </w:t>
      </w:r>
      <w:r>
        <w:rPr/>
        <w:t>exhibited.</w:t>
      </w:r>
      <w:r>
        <w:rPr>
          <w:spacing w:val="35"/>
        </w:rPr>
        <w:t> </w:t>
      </w:r>
      <w:r>
        <w:rPr/>
        <w:t>Therefore,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stiffness</w:t>
      </w:r>
      <w:r>
        <w:rPr>
          <w:spacing w:val="-13"/>
        </w:rPr>
        <w:t> </w:t>
      </w:r>
      <w:r>
        <w:rPr/>
        <w:t>is</w:t>
      </w:r>
      <w:r>
        <w:rPr>
          <w:spacing w:val="-13"/>
        </w:rPr>
        <w:t> </w:t>
      </w:r>
      <w:r>
        <w:rPr/>
        <w:t>modified</w:t>
      </w:r>
      <w:r>
        <w:rPr>
          <w:spacing w:val="-12"/>
        </w:rPr>
        <w:t> </w:t>
      </w:r>
      <w:r>
        <w:rPr/>
        <w:t>as</w:t>
      </w:r>
      <w:r>
        <w:rPr>
          <w:spacing w:val="-13"/>
        </w:rPr>
        <w:t> </w:t>
      </w:r>
      <w:r>
        <w:rPr/>
        <w:t>a</w:t>
      </w:r>
      <w:r>
        <w:rPr>
          <w:spacing w:val="-13"/>
        </w:rPr>
        <w:t> </w:t>
      </w:r>
      <w:r>
        <w:rPr/>
        <w:t>non-linear</w:t>
      </w:r>
      <w:r>
        <w:rPr>
          <w:spacing w:val="-13"/>
        </w:rPr>
        <w:t> </w:t>
      </w:r>
      <w:r>
        <w:rPr/>
        <w:t>resistance,</w:t>
      </w:r>
      <w:r>
        <w:rPr>
          <w:spacing w:val="-12"/>
        </w:rPr>
        <w:t> </w:t>
      </w:r>
      <w:r>
        <w:rPr>
          <w:i/>
        </w:rPr>
        <w:t>R(x),</w:t>
      </w:r>
      <w:r>
        <w:rPr>
          <w:i/>
          <w:spacing w:val="-12"/>
        </w:rPr>
        <w:t> </w:t>
      </w:r>
      <w:r>
        <w:rPr/>
        <w:t>as</w:t>
      </w:r>
      <w:r>
        <w:rPr>
          <w:spacing w:val="-12"/>
        </w:rPr>
        <w:t> </w:t>
      </w:r>
      <w:r>
        <w:rPr/>
        <w:t>a</w:t>
      </w:r>
      <w:r>
        <w:rPr>
          <w:spacing w:val="-12"/>
        </w:rPr>
        <w:t> </w:t>
      </w:r>
      <w:r>
        <w:rPr/>
        <w:t>function</w:t>
      </w:r>
      <w:r>
        <w:rPr>
          <w:spacing w:val="-58"/>
        </w:rPr>
        <w:t> </w:t>
      </w:r>
      <w:r>
        <w:rPr/>
        <w:t>of the displacement, shown in Equation 8.7. [29]. The resistance of the element is used to</w:t>
      </w:r>
      <w:r>
        <w:rPr>
          <w:spacing w:val="1"/>
        </w:rPr>
        <w:t> </w:t>
      </w:r>
      <w:r>
        <w:rPr/>
        <w:t>develop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resistance-displacement function [104].</w:t>
      </w:r>
    </w:p>
    <w:p>
      <w:pPr>
        <w:pStyle w:val="BodyText"/>
        <w:rPr>
          <w:sz w:val="34"/>
        </w:rPr>
      </w:pPr>
    </w:p>
    <w:p>
      <w:pPr>
        <w:pStyle w:val="BodyText"/>
        <w:tabs>
          <w:tab w:pos="8502" w:val="left" w:leader="none"/>
        </w:tabs>
        <w:ind w:left="3206"/>
      </w:pPr>
      <w:r>
        <w:rPr>
          <w:rFonts w:ascii="Cambria Math" w:hAnsi="Cambria Math" w:eastAsia="Cambria Math"/>
        </w:rPr>
        <w:t>𝐾</w:t>
      </w:r>
      <w:r>
        <w:rPr>
          <w:rFonts w:ascii="Cambria Math" w:hAnsi="Cambria Math" w:eastAsia="Cambria Math"/>
          <w:position w:val="-4"/>
          <w:sz w:val="17"/>
        </w:rPr>
        <w:t>𝐿𝑀</w:t>
      </w:r>
      <w:r>
        <w:rPr>
          <w:rFonts w:ascii="Cambria Math" w:hAnsi="Cambria Math" w:eastAsia="Cambria Math"/>
        </w:rPr>
        <w:t>𝑚𝑥̈</w:t>
      </w:r>
      <w:r>
        <w:rPr>
          <w:rFonts w:ascii="Cambria Math" w:hAnsi="Cambria Math" w:eastAsia="Cambria Math"/>
          <w:spacing w:val="25"/>
        </w:rPr>
        <w:t> </w:t>
      </w:r>
      <w:r>
        <w:rPr>
          <w:rFonts w:ascii="Cambria Math" w:hAnsi="Cambria Math" w:eastAsia="Cambria Math"/>
        </w:rPr>
        <w:t>+</w:t>
      </w:r>
      <w:r>
        <w:rPr>
          <w:rFonts w:ascii="Cambria Math" w:hAnsi="Cambria Math" w:eastAsia="Cambria Math"/>
          <w:spacing w:val="2"/>
        </w:rPr>
        <w:t> </w:t>
      </w:r>
      <w:r>
        <w:rPr>
          <w:rFonts w:ascii="Cambria Math" w:hAnsi="Cambria Math" w:eastAsia="Cambria Math"/>
        </w:rPr>
        <w:t>𝑅</w:t>
      </w:r>
      <w:r>
        <w:rPr>
          <w:rFonts w:ascii="Cambria Math" w:hAnsi="Cambria Math" w:eastAsia="Cambria Math"/>
          <w:position w:val="1"/>
        </w:rPr>
        <w:t>(</w:t>
      </w:r>
      <w:r>
        <w:rPr>
          <w:rFonts w:ascii="Cambria Math" w:hAnsi="Cambria Math" w:eastAsia="Cambria Math"/>
        </w:rPr>
        <w:t>𝑥</w:t>
      </w:r>
      <w:r>
        <w:rPr>
          <w:rFonts w:ascii="Cambria Math" w:hAnsi="Cambria Math" w:eastAsia="Cambria Math"/>
          <w:position w:val="1"/>
        </w:rPr>
        <w:t>)</w:t>
      </w:r>
      <w:r>
        <w:rPr>
          <w:rFonts w:ascii="Cambria Math" w:hAnsi="Cambria Math" w:eastAsia="Cambria Math"/>
          <w:spacing w:val="16"/>
          <w:position w:val="1"/>
        </w:rPr>
        <w:t> </w:t>
      </w:r>
      <w:r>
        <w:rPr>
          <w:rFonts w:ascii="Cambria Math" w:hAnsi="Cambria Math" w:eastAsia="Cambria Math"/>
        </w:rPr>
        <w:t>=</w:t>
      </w:r>
      <w:r>
        <w:rPr>
          <w:rFonts w:ascii="Cambria Math" w:hAnsi="Cambria Math" w:eastAsia="Cambria Math"/>
          <w:spacing w:val="15"/>
        </w:rPr>
        <w:t> </w:t>
      </w:r>
      <w:r>
        <w:rPr>
          <w:rFonts w:ascii="Cambria Math" w:hAnsi="Cambria Math" w:eastAsia="Cambria Math"/>
        </w:rPr>
        <w:t>𝐹(𝑡)</w:t>
        <w:tab/>
      </w:r>
      <w:r>
        <w:rPr>
          <w:position w:val="1"/>
        </w:rPr>
        <w:t>(8.7)</w:t>
      </w:r>
    </w:p>
    <w:p>
      <w:pPr>
        <w:pStyle w:val="BodyText"/>
        <w:tabs>
          <w:tab w:pos="1476" w:val="left" w:leader="none"/>
          <w:tab w:pos="2359" w:val="left" w:leader="none"/>
        </w:tabs>
        <w:spacing w:line="305" w:lineRule="exact" w:before="241"/>
        <w:ind w:left="656"/>
        <w:jc w:val="center"/>
      </w:pPr>
      <w:r>
        <w:rPr>
          <w:position w:val="1"/>
        </w:rPr>
        <w:t>where</w:t>
        <w:tab/>
      </w:r>
      <w:r>
        <w:rPr>
          <w:rFonts w:ascii="Cambria Math" w:eastAsia="Cambria Math"/>
        </w:rPr>
        <w:t>𝐾</w:t>
      </w:r>
      <w:r>
        <w:rPr>
          <w:rFonts w:ascii="Cambria Math" w:eastAsia="Cambria Math"/>
          <w:position w:val="-4"/>
          <w:sz w:val="17"/>
        </w:rPr>
        <w:t>𝐿𝑀</w:t>
      </w:r>
      <w:r>
        <w:rPr>
          <w:rFonts w:ascii="Cambria Math" w:eastAsia="Cambria Math"/>
          <w:spacing w:val="38"/>
          <w:position w:val="-4"/>
          <w:sz w:val="17"/>
        </w:rPr>
        <w:t> </w:t>
      </w:r>
      <w:r>
        <w:rPr>
          <w:rFonts w:ascii="Cambria Math" w:eastAsia="Cambria Math"/>
        </w:rPr>
        <w:t>=</w:t>
        <w:tab/>
      </w:r>
      <w:r>
        <w:rPr>
          <w:position w:val="1"/>
        </w:rPr>
        <w:t>load-mass</w:t>
      </w:r>
      <w:r>
        <w:rPr>
          <w:spacing w:val="-2"/>
          <w:position w:val="1"/>
        </w:rPr>
        <w:t> </w:t>
      </w:r>
      <w:r>
        <w:rPr>
          <w:position w:val="1"/>
        </w:rPr>
        <w:t>factor</w:t>
      </w:r>
    </w:p>
    <w:p>
      <w:pPr>
        <w:tabs>
          <w:tab w:pos="1245" w:val="left" w:leader="none"/>
        </w:tabs>
        <w:spacing w:line="259" w:lineRule="exact" w:before="0"/>
        <w:ind w:left="634" w:right="0" w:firstLine="0"/>
        <w:jc w:val="center"/>
        <w:rPr>
          <w:sz w:val="24"/>
        </w:rPr>
      </w:pPr>
      <w:r>
        <w:rPr>
          <w:i/>
          <w:sz w:val="24"/>
        </w:rPr>
        <w:t>m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=</w:t>
        <w:tab/>
      </w:r>
      <w:r>
        <w:rPr>
          <w:sz w:val="24"/>
        </w:rPr>
        <w:t>mass</w:t>
      </w:r>
    </w:p>
    <w:p>
      <w:pPr>
        <w:pStyle w:val="BodyText"/>
        <w:tabs>
          <w:tab w:pos="4583" w:val="left" w:leader="none"/>
        </w:tabs>
        <w:ind w:left="3733"/>
        <w:jc w:val="center"/>
      </w:pPr>
      <w:r>
        <w:rPr>
          <w:i/>
        </w:rPr>
        <w:t>R(x)</w:t>
      </w:r>
      <w:r>
        <w:rPr>
          <w:i/>
          <w:spacing w:val="-3"/>
        </w:rPr>
        <w:t> </w:t>
      </w:r>
      <w:r>
        <w:rPr>
          <w:i/>
        </w:rPr>
        <w:t>=</w:t>
        <w:tab/>
      </w:r>
      <w:r>
        <w:rPr/>
        <w:t>resistance</w:t>
      </w:r>
      <w:r>
        <w:rPr>
          <w:spacing w:val="-1"/>
        </w:rPr>
        <w:t> </w:t>
      </w:r>
      <w:r>
        <w:rPr/>
        <w:t>as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</w:t>
      </w:r>
      <w:r>
        <w:rPr/>
        <w:t>function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displacement</w:t>
      </w:r>
    </w:p>
    <w:p>
      <w:pPr>
        <w:tabs>
          <w:tab w:pos="2025" w:val="left" w:leader="none"/>
        </w:tabs>
        <w:spacing w:before="0"/>
        <w:ind w:left="1441" w:right="0" w:firstLine="0"/>
        <w:jc w:val="center"/>
        <w:rPr>
          <w:sz w:val="24"/>
        </w:rPr>
      </w:pPr>
      <w:r>
        <w:rPr>
          <w:i/>
          <w:sz w:val="24"/>
        </w:rPr>
        <w:t>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=</w:t>
        <w:tab/>
      </w:r>
      <w:r>
        <w:rPr>
          <w:sz w:val="24"/>
        </w:rPr>
        <w:t>applied</w:t>
      </w:r>
      <w:r>
        <w:rPr>
          <w:spacing w:val="-1"/>
          <w:sz w:val="24"/>
        </w:rPr>
        <w:t> </w:t>
      </w:r>
      <w:r>
        <w:rPr>
          <w:sz w:val="24"/>
        </w:rPr>
        <w:t>force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line="480" w:lineRule="auto"/>
        <w:ind w:left="440" w:right="417" w:firstLine="720"/>
        <w:jc w:val="both"/>
      </w:pPr>
      <w:r>
        <w:rPr/>
        <w:t>This type of model assumes structures exhibit elastic-perfectly plastic behavior,</w:t>
      </w:r>
      <w:r>
        <w:rPr>
          <w:spacing w:val="1"/>
        </w:rPr>
        <w:t> </w:t>
      </w:r>
      <w:r>
        <w:rPr/>
        <w:t>loads are uniformly applied and the load shape is triangular or rectangular in nature [75].</w:t>
      </w:r>
      <w:r>
        <w:rPr>
          <w:spacing w:val="1"/>
        </w:rPr>
        <w:t> </w:t>
      </w:r>
      <w:r>
        <w:rPr/>
        <w:t>SDOF models often are the basis of designs, and if necessary, more in-depth techniques</w:t>
      </w:r>
      <w:r>
        <w:rPr>
          <w:spacing w:val="1"/>
        </w:rPr>
        <w:t> </w:t>
      </w:r>
      <w:r>
        <w:rPr/>
        <w:t>such as</w:t>
      </w:r>
      <w:r>
        <w:rPr>
          <w:spacing w:val="1"/>
        </w:rPr>
        <w:t> </w:t>
      </w:r>
      <w:r>
        <w:rPr/>
        <w:t>high fidelity physics</w:t>
      </w:r>
      <w:r>
        <w:rPr>
          <w:spacing w:val="1"/>
        </w:rPr>
        <w:t> </w:t>
      </w:r>
      <w:r>
        <w:rPr/>
        <w:t>based</w:t>
      </w:r>
      <w:r>
        <w:rPr>
          <w:spacing w:val="1"/>
        </w:rPr>
        <w:t> </w:t>
      </w:r>
      <w:r>
        <w:rPr/>
        <w:t>models can</w:t>
      </w:r>
      <w:r>
        <w:rPr>
          <w:spacing w:val="1"/>
        </w:rPr>
        <w:t> </w:t>
      </w:r>
      <w:r>
        <w:rPr/>
        <w:t>follow.</w:t>
      </w:r>
      <w:r>
        <w:rPr>
          <w:spacing w:val="3"/>
        </w:rPr>
        <w:t> </w:t>
      </w:r>
      <w:r>
        <w:rPr>
          <w:i/>
        </w:rPr>
        <w:t>UFC 3-340-02</w:t>
      </w:r>
      <w:r>
        <w:rPr>
          <w:i/>
          <w:spacing w:val="1"/>
        </w:rPr>
        <w:t> </w:t>
      </w:r>
      <w:r>
        <w:rPr/>
        <w:t>provides empirical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40" w:right="417"/>
        <w:jc w:val="both"/>
      </w:pPr>
      <w:r>
        <w:rPr/>
        <w:t>charts for blast parameters to be used in an SDOF analysis.</w:t>
      </w:r>
      <w:r>
        <w:rPr>
          <w:spacing w:val="1"/>
        </w:rPr>
        <w:t> </w:t>
      </w:r>
      <w:r>
        <w:rPr/>
        <w:t>The SDOF model offers an</w:t>
      </w:r>
      <w:r>
        <w:rPr>
          <w:spacing w:val="1"/>
        </w:rPr>
        <w:t> </w:t>
      </w:r>
      <w:r>
        <w:rPr/>
        <w:t>approximation</w:t>
      </w:r>
      <w:r>
        <w:rPr>
          <w:spacing w:val="-1"/>
        </w:rPr>
        <w:t> </w:t>
      </w:r>
      <w:r>
        <w:rPr/>
        <w:t>without significant computational</w:t>
      </w:r>
      <w:r>
        <w:rPr>
          <w:spacing w:val="-1"/>
        </w:rPr>
        <w:t> </w:t>
      </w:r>
      <w:r>
        <w:rPr/>
        <w:t>costs.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/>
        <w:ind w:left="439" w:right="417" w:firstLine="720"/>
        <w:jc w:val="both"/>
      </w:pPr>
      <w:r>
        <w:rPr/>
        <w:t>In an SDOF analysis, blast loads are applied to the evaluated component using</w:t>
      </w:r>
      <w:r>
        <w:rPr>
          <w:spacing w:val="1"/>
        </w:rPr>
        <w:t> </w:t>
      </w:r>
      <w:r>
        <w:rPr/>
        <w:t>numerical integration tools, such as the linear acceleration method.</w:t>
      </w:r>
      <w:r>
        <w:rPr>
          <w:spacing w:val="1"/>
        </w:rPr>
        <w:t> </w:t>
      </w:r>
      <w:r>
        <w:rPr/>
        <w:t>A common technique</w:t>
      </w:r>
      <w:r>
        <w:rPr>
          <w:spacing w:val="-57"/>
        </w:rPr>
        <w:t> </w:t>
      </w:r>
      <w:r>
        <w:rPr/>
        <w:t>used</w:t>
      </w:r>
      <w:r>
        <w:rPr>
          <w:spacing w:val="-7"/>
        </w:rPr>
        <w:t> </w:t>
      </w:r>
      <w:r>
        <w:rPr/>
        <w:t>in</w:t>
      </w:r>
      <w:r>
        <w:rPr>
          <w:spacing w:val="-6"/>
        </w:rPr>
        <w:t> </w:t>
      </w:r>
      <w:r>
        <w:rPr/>
        <w:t>structural</w:t>
      </w:r>
      <w:r>
        <w:rPr>
          <w:spacing w:val="-6"/>
        </w:rPr>
        <w:t> </w:t>
      </w:r>
      <w:r>
        <w:rPr/>
        <w:t>dynamics</w:t>
      </w:r>
      <w:r>
        <w:rPr>
          <w:spacing w:val="-7"/>
        </w:rPr>
        <w:t> </w:t>
      </w:r>
      <w:r>
        <w:rPr/>
        <w:t>to</w:t>
      </w:r>
      <w:r>
        <w:rPr>
          <w:spacing w:val="-6"/>
        </w:rPr>
        <w:t> </w:t>
      </w:r>
      <w:r>
        <w:rPr/>
        <w:t>find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time-history</w:t>
      </w:r>
      <w:r>
        <w:rPr>
          <w:spacing w:val="-6"/>
        </w:rPr>
        <w:t> </w:t>
      </w:r>
      <w:r>
        <w:rPr/>
        <w:t>response</w:t>
      </w:r>
      <w:r>
        <w:rPr>
          <w:spacing w:val="-6"/>
        </w:rPr>
        <w:t> </w:t>
      </w:r>
      <w:r>
        <w:rPr/>
        <w:t>for</w:t>
      </w:r>
      <w:r>
        <w:rPr>
          <w:spacing w:val="-7"/>
        </w:rPr>
        <w:t> </w:t>
      </w:r>
      <w:r>
        <w:rPr/>
        <w:t>non-linear</w:t>
      </w:r>
      <w:r>
        <w:rPr>
          <w:spacing w:val="-6"/>
        </w:rPr>
        <w:t> </w:t>
      </w:r>
      <w:r>
        <w:rPr/>
        <w:t>SDOF</w:t>
      </w:r>
      <w:r>
        <w:rPr>
          <w:spacing w:val="-5"/>
        </w:rPr>
        <w:t> </w:t>
      </w:r>
      <w:r>
        <w:rPr/>
        <w:t>systems</w:t>
      </w:r>
      <w:r>
        <w:rPr>
          <w:spacing w:val="-58"/>
        </w:rPr>
        <w:t> </w:t>
      </w:r>
      <w:r>
        <w:rPr/>
        <w:t>is Newmark’s numerical integration procedure.</w:t>
      </w:r>
      <w:r>
        <w:rPr>
          <w:spacing w:val="1"/>
        </w:rPr>
        <w:t> </w:t>
      </w:r>
      <w:r>
        <w:rPr/>
        <w:t>With this method, the equation of motion</w:t>
      </w:r>
      <w:r>
        <w:rPr>
          <w:spacing w:val="-57"/>
        </w:rPr>
        <w:t> </w:t>
      </w:r>
      <w:r>
        <w:rPr>
          <w:spacing w:val="-1"/>
        </w:rPr>
        <w:t>is</w:t>
      </w:r>
      <w:r>
        <w:rPr>
          <w:spacing w:val="-15"/>
        </w:rPr>
        <w:t> </w:t>
      </w:r>
      <w:r>
        <w:rPr>
          <w:spacing w:val="-1"/>
        </w:rPr>
        <w:t>solved</w:t>
      </w:r>
      <w:r>
        <w:rPr>
          <w:spacing w:val="-15"/>
        </w:rPr>
        <w:t> </w:t>
      </w:r>
      <w:r>
        <w:rPr>
          <w:spacing w:val="-1"/>
        </w:rPr>
        <w:t>using</w:t>
      </w:r>
      <w:r>
        <w:rPr>
          <w:spacing w:val="-15"/>
        </w:rPr>
        <w:t> </w:t>
      </w:r>
      <w:r>
        <w:rPr>
          <w:spacing w:val="-1"/>
        </w:rPr>
        <w:t>an</w:t>
      </w:r>
      <w:r>
        <w:rPr>
          <w:spacing w:val="-15"/>
        </w:rPr>
        <w:t> </w:t>
      </w:r>
      <w:r>
        <w:rPr/>
        <w:t>assumed</w:t>
      </w:r>
      <w:r>
        <w:rPr>
          <w:spacing w:val="-15"/>
        </w:rPr>
        <w:t> </w:t>
      </w:r>
      <w:r>
        <w:rPr/>
        <w:t>linear</w:t>
      </w:r>
      <w:r>
        <w:rPr>
          <w:spacing w:val="-14"/>
        </w:rPr>
        <w:t> </w:t>
      </w:r>
      <w:r>
        <w:rPr/>
        <w:t>acceleration</w:t>
      </w:r>
      <w:r>
        <w:rPr>
          <w:spacing w:val="-15"/>
        </w:rPr>
        <w:t> </w:t>
      </w:r>
      <w:r>
        <w:rPr/>
        <w:t>between</w:t>
      </w:r>
      <w:r>
        <w:rPr>
          <w:spacing w:val="-15"/>
        </w:rPr>
        <w:t> </w:t>
      </w:r>
      <w:r>
        <w:rPr/>
        <w:t>time-steps</w:t>
      </w:r>
      <w:r>
        <w:rPr>
          <w:spacing w:val="-15"/>
        </w:rPr>
        <w:t> </w:t>
      </w:r>
      <w:r>
        <w:rPr/>
        <w:t>and</w:t>
      </w:r>
      <w:r>
        <w:rPr>
          <w:spacing w:val="-15"/>
        </w:rPr>
        <w:t> </w:t>
      </w:r>
      <w:r>
        <w:rPr/>
        <w:t>a</w:t>
      </w:r>
      <w:r>
        <w:rPr>
          <w:spacing w:val="-15"/>
        </w:rPr>
        <w:t> </w:t>
      </w:r>
      <w:r>
        <w:rPr/>
        <w:t>displacement</w:t>
      </w:r>
      <w:r>
        <w:rPr>
          <w:spacing w:val="-14"/>
        </w:rPr>
        <w:t> </w:t>
      </w:r>
      <w:r>
        <w:rPr/>
        <w:t>value</w:t>
      </w:r>
      <w:r>
        <w:rPr>
          <w:spacing w:val="-57"/>
        </w:rPr>
        <w:t> </w:t>
      </w:r>
      <w:r>
        <w:rPr/>
        <w:t>is calculated at each time-step based on the previous and current time-step [104].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allows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identification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maximum</w:t>
      </w:r>
      <w:r>
        <w:rPr>
          <w:spacing w:val="1"/>
        </w:rPr>
        <w:t> </w:t>
      </w:r>
      <w:r>
        <w:rPr/>
        <w:t>displacement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well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any</w:t>
      </w:r>
      <w:r>
        <w:rPr>
          <w:spacing w:val="1"/>
        </w:rPr>
        <w:t> </w:t>
      </w:r>
      <w:r>
        <w:rPr/>
        <w:t>residual</w:t>
      </w:r>
      <w:r>
        <w:rPr>
          <w:spacing w:val="1"/>
        </w:rPr>
        <w:t> </w:t>
      </w:r>
      <w:r>
        <w:rPr/>
        <w:t>displacements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 component.</w:t>
      </w:r>
    </w:p>
    <w:p>
      <w:pPr>
        <w:pStyle w:val="ListParagraph"/>
        <w:numPr>
          <w:ilvl w:val="2"/>
          <w:numId w:val="27"/>
        </w:numPr>
        <w:tabs>
          <w:tab w:pos="980" w:val="left" w:leader="none"/>
        </w:tabs>
        <w:spacing w:line="240" w:lineRule="auto" w:before="161" w:after="0"/>
        <w:ind w:left="980" w:right="0" w:hanging="541"/>
        <w:jc w:val="both"/>
        <w:rPr>
          <w:i/>
          <w:sz w:val="24"/>
        </w:rPr>
      </w:pPr>
      <w:bookmarkStart w:name="8.1.3 Resistance function" w:id="516"/>
      <w:bookmarkEnd w:id="516"/>
      <w:r>
        <w:rPr/>
      </w:r>
      <w:bookmarkStart w:name="8.1.3 Resistance function" w:id="517"/>
      <w:bookmarkEnd w:id="517"/>
      <w:r>
        <w:rPr>
          <w:i/>
          <w:sz w:val="24"/>
        </w:rPr>
        <w:t>R</w:t>
      </w:r>
      <w:r>
        <w:rPr>
          <w:i/>
          <w:sz w:val="24"/>
        </w:rPr>
        <w:t>esistance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function</w:t>
      </w:r>
    </w:p>
    <w:p>
      <w:pPr>
        <w:pStyle w:val="BodyText"/>
        <w:spacing w:before="7"/>
        <w:rPr>
          <w:i/>
          <w:sz w:val="22"/>
        </w:rPr>
      </w:pPr>
    </w:p>
    <w:p>
      <w:pPr>
        <w:pStyle w:val="BodyText"/>
        <w:spacing w:line="480" w:lineRule="auto"/>
        <w:ind w:left="439" w:right="415" w:firstLine="720"/>
        <w:jc w:val="both"/>
      </w:pPr>
      <w:r>
        <w:rPr/>
        <w:t>Based</w:t>
      </w:r>
      <w:r>
        <w:rPr>
          <w:spacing w:val="-7"/>
        </w:rPr>
        <w:t> </w:t>
      </w:r>
      <w:r>
        <w:rPr/>
        <w:t>on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material</w:t>
      </w:r>
      <w:r>
        <w:rPr>
          <w:spacing w:val="-7"/>
        </w:rPr>
        <w:t> </w:t>
      </w:r>
      <w:r>
        <w:rPr/>
        <w:t>characteristics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CLT</w:t>
      </w:r>
      <w:r>
        <w:rPr>
          <w:spacing w:val="-7"/>
        </w:rPr>
        <w:t> </w:t>
      </w:r>
      <w:r>
        <w:rPr/>
        <w:t>panel</w:t>
      </w:r>
      <w:r>
        <w:rPr>
          <w:spacing w:val="-7"/>
        </w:rPr>
        <w:t> </w:t>
      </w:r>
      <w:r>
        <w:rPr/>
        <w:t>as</w:t>
      </w:r>
      <w:r>
        <w:rPr>
          <w:spacing w:val="-6"/>
        </w:rPr>
        <w:t> </w:t>
      </w:r>
      <w:r>
        <w:rPr/>
        <w:t>outlined</w:t>
      </w:r>
      <w:r>
        <w:rPr>
          <w:spacing w:val="-6"/>
        </w:rPr>
        <w:t> </w:t>
      </w:r>
      <w:r>
        <w:rPr/>
        <w:t>by</w:t>
      </w:r>
      <w:r>
        <w:rPr>
          <w:spacing w:val="-8"/>
        </w:rPr>
        <w:t> </w:t>
      </w:r>
      <w:r>
        <w:rPr/>
        <w:t>PRG</w:t>
      </w:r>
      <w:r>
        <w:rPr>
          <w:spacing w:val="-7"/>
        </w:rPr>
        <w:t> </w:t>
      </w:r>
      <w:r>
        <w:rPr/>
        <w:t>320,</w:t>
      </w:r>
      <w:r>
        <w:rPr>
          <w:spacing w:val="-6"/>
        </w:rPr>
        <w:t> </w:t>
      </w:r>
      <w:r>
        <w:rPr/>
        <w:t>the</w:t>
      </w:r>
      <w:r>
        <w:rPr>
          <w:spacing w:val="-58"/>
        </w:rPr>
        <w:t> </w:t>
      </w:r>
      <w:r>
        <w:rPr/>
        <w:t>accepted shear analogy method for design with CLT panels, the procedure of developing</w:t>
      </w:r>
      <w:r>
        <w:rPr>
          <w:spacing w:val="1"/>
        </w:rPr>
        <w:t> </w:t>
      </w:r>
      <w:r>
        <w:rPr/>
        <w:t>resistance</w:t>
      </w:r>
      <w:r>
        <w:rPr>
          <w:spacing w:val="-3"/>
        </w:rPr>
        <w:t> </w:t>
      </w:r>
      <w:r>
        <w:rPr/>
        <w:t>functions</w:t>
      </w:r>
      <w:r>
        <w:rPr>
          <w:spacing w:val="-4"/>
        </w:rPr>
        <w:t> </w:t>
      </w:r>
      <w:r>
        <w:rPr/>
        <w:t>for</w:t>
      </w:r>
      <w:r>
        <w:rPr>
          <w:spacing w:val="-2"/>
        </w:rPr>
        <w:t> </w:t>
      </w:r>
      <w:r>
        <w:rPr/>
        <w:t>other</w:t>
      </w:r>
      <w:r>
        <w:rPr>
          <w:spacing w:val="-3"/>
        </w:rPr>
        <w:t> </w:t>
      </w:r>
      <w:r>
        <w:rPr/>
        <w:t>materials</w:t>
      </w:r>
      <w:r>
        <w:rPr>
          <w:spacing w:val="-3"/>
        </w:rPr>
        <w:t> </w:t>
      </w:r>
      <w:r>
        <w:rPr/>
        <w:t>such</w:t>
      </w:r>
      <w:r>
        <w:rPr>
          <w:spacing w:val="-4"/>
        </w:rPr>
        <w:t> </w:t>
      </w:r>
      <w:r>
        <w:rPr/>
        <w:t>as</w:t>
      </w:r>
      <w:r>
        <w:rPr>
          <w:spacing w:val="-4"/>
        </w:rPr>
        <w:t> </w:t>
      </w:r>
      <w:r>
        <w:rPr/>
        <w:t>steel</w:t>
      </w:r>
      <w:r>
        <w:rPr>
          <w:spacing w:val="-2"/>
        </w:rPr>
        <w:t> </w:t>
      </w:r>
      <w:r>
        <w:rPr/>
        <w:t>and</w:t>
      </w:r>
      <w:r>
        <w:rPr>
          <w:spacing w:val="-4"/>
        </w:rPr>
        <w:t> </w:t>
      </w:r>
      <w:r>
        <w:rPr/>
        <w:t>concrete</w:t>
      </w:r>
      <w:r>
        <w:rPr>
          <w:spacing w:val="-3"/>
        </w:rPr>
        <w:t> </w:t>
      </w:r>
      <w:r>
        <w:rPr/>
        <w:t>members,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/>
        <w:t>data</w:t>
      </w:r>
      <w:r>
        <w:rPr>
          <w:spacing w:val="-4"/>
        </w:rPr>
        <w:t> </w:t>
      </w:r>
      <w:r>
        <w:rPr/>
        <w:t>from</w:t>
      </w:r>
      <w:r>
        <w:rPr>
          <w:spacing w:val="-58"/>
        </w:rPr>
        <w:t> </w:t>
      </w:r>
      <w:r>
        <w:rPr/>
        <w:t>live</w:t>
      </w:r>
      <w:r>
        <w:rPr>
          <w:spacing w:val="-7"/>
        </w:rPr>
        <w:t> </w:t>
      </w:r>
      <w:r>
        <w:rPr/>
        <w:t>blast</w:t>
      </w:r>
      <w:r>
        <w:rPr>
          <w:spacing w:val="-7"/>
        </w:rPr>
        <w:t> </w:t>
      </w:r>
      <w:r>
        <w:rPr/>
        <w:t>testing,</w:t>
      </w:r>
      <w:r>
        <w:rPr>
          <w:spacing w:val="-6"/>
        </w:rPr>
        <w:t> </w:t>
      </w:r>
      <w:r>
        <w:rPr/>
        <w:t>a</w:t>
      </w:r>
      <w:r>
        <w:rPr>
          <w:spacing w:val="-7"/>
        </w:rPr>
        <w:t> </w:t>
      </w:r>
      <w:r>
        <w:rPr/>
        <w:t>resistance</w:t>
      </w:r>
      <w:r>
        <w:rPr>
          <w:spacing w:val="-7"/>
        </w:rPr>
        <w:t> </w:t>
      </w:r>
      <w:r>
        <w:rPr/>
        <w:t>function</w:t>
      </w:r>
      <w:r>
        <w:rPr>
          <w:spacing w:val="-7"/>
        </w:rPr>
        <w:t> </w:t>
      </w:r>
      <w:r>
        <w:rPr/>
        <w:t>for</w:t>
      </w:r>
      <w:r>
        <w:rPr>
          <w:spacing w:val="-6"/>
        </w:rPr>
        <w:t> </w:t>
      </w:r>
      <w:r>
        <w:rPr/>
        <w:t>CLT</w:t>
      </w:r>
      <w:r>
        <w:rPr>
          <w:spacing w:val="-7"/>
        </w:rPr>
        <w:t> </w:t>
      </w:r>
      <w:r>
        <w:rPr/>
        <w:t>was</w:t>
      </w:r>
      <w:r>
        <w:rPr>
          <w:spacing w:val="-7"/>
        </w:rPr>
        <w:t> </w:t>
      </w:r>
      <w:r>
        <w:rPr/>
        <w:t>developed</w:t>
      </w:r>
      <w:r>
        <w:rPr>
          <w:spacing w:val="-7"/>
        </w:rPr>
        <w:t> </w:t>
      </w:r>
      <w:r>
        <w:rPr/>
        <w:t>for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elastic</w:t>
      </w:r>
      <w:r>
        <w:rPr>
          <w:spacing w:val="-8"/>
        </w:rPr>
        <w:t> </w:t>
      </w:r>
      <w:r>
        <w:rPr/>
        <w:t>region.</w:t>
      </w:r>
      <w:r>
        <w:rPr>
          <w:spacing w:val="46"/>
        </w:rPr>
        <w:t> </w:t>
      </w:r>
      <w:r>
        <w:rPr/>
        <w:t>First,</w:t>
      </w:r>
      <w:r>
        <w:rPr>
          <w:spacing w:val="-58"/>
        </w:rPr>
        <w:t> </w:t>
      </w:r>
      <w:r>
        <w:rPr/>
        <w:t>the</w:t>
      </w:r>
      <w:r>
        <w:rPr>
          <w:spacing w:val="1"/>
        </w:rPr>
        <w:t> </w:t>
      </w:r>
      <w:r>
        <w:rPr/>
        <w:t>dynamic</w:t>
      </w:r>
      <w:r>
        <w:rPr>
          <w:spacing w:val="1"/>
        </w:rPr>
        <w:t> </w:t>
      </w:r>
      <w:r>
        <w:rPr/>
        <w:t>moment</w:t>
      </w:r>
      <w:r>
        <w:rPr>
          <w:spacing w:val="1"/>
        </w:rPr>
        <w:t> </w:t>
      </w:r>
      <w:r>
        <w:rPr/>
        <w:t>capacity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panel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calculated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Equation</w:t>
      </w:r>
      <w:r>
        <w:rPr>
          <w:spacing w:val="1"/>
        </w:rPr>
        <w:t> </w:t>
      </w:r>
      <w:r>
        <w:rPr/>
        <w:t>8.8.</w:t>
      </w:r>
      <w:r>
        <w:rPr>
          <w:spacing w:val="1"/>
        </w:rPr>
        <w:t> </w:t>
      </w:r>
      <w:r>
        <w:rPr/>
        <w:t>If</w:t>
      </w:r>
      <w:r>
        <w:rPr>
          <w:spacing w:val="1"/>
        </w:rPr>
        <w:t> </w:t>
      </w:r>
      <w:r>
        <w:rPr/>
        <w:t>incorporated, static and dynamic increase factors could be used to factor the bending</w:t>
      </w:r>
      <w:r>
        <w:rPr>
          <w:spacing w:val="1"/>
        </w:rPr>
        <w:t> </w:t>
      </w:r>
      <w:r>
        <w:rPr/>
        <w:t>strength of the material.</w:t>
      </w:r>
      <w:r>
        <w:rPr>
          <w:spacing w:val="1"/>
        </w:rPr>
        <w:t> </w:t>
      </w:r>
      <w:r>
        <w:rPr/>
        <w:t>A static increase factor accounts for the actual strength of the</w:t>
      </w:r>
      <w:r>
        <w:rPr>
          <w:spacing w:val="1"/>
        </w:rPr>
        <w:t> </w:t>
      </w:r>
      <w:r>
        <w:rPr/>
        <w:t>material, versus the required design strength.</w:t>
      </w:r>
      <w:r>
        <w:rPr>
          <w:spacing w:val="1"/>
        </w:rPr>
        <w:t> </w:t>
      </w:r>
      <w:r>
        <w:rPr/>
        <w:t>A dynamic increase factor provides a</w:t>
      </w:r>
      <w:r>
        <w:rPr>
          <w:spacing w:val="1"/>
        </w:rPr>
        <w:t> </w:t>
      </w:r>
      <w:r>
        <w:rPr/>
        <w:t>simplified</w:t>
      </w:r>
      <w:r>
        <w:rPr>
          <w:spacing w:val="-7"/>
        </w:rPr>
        <w:t> </w:t>
      </w:r>
      <w:r>
        <w:rPr/>
        <w:t>procedure</w:t>
      </w:r>
      <w:r>
        <w:rPr>
          <w:spacing w:val="-6"/>
        </w:rPr>
        <w:t> </w:t>
      </w:r>
      <w:r>
        <w:rPr/>
        <w:t>to</w:t>
      </w:r>
      <w:r>
        <w:rPr>
          <w:spacing w:val="-7"/>
        </w:rPr>
        <w:t> </w:t>
      </w:r>
      <w:r>
        <w:rPr/>
        <w:t>account</w:t>
      </w:r>
      <w:r>
        <w:rPr>
          <w:spacing w:val="-6"/>
        </w:rPr>
        <w:t> </w:t>
      </w:r>
      <w:r>
        <w:rPr/>
        <w:t>for</w:t>
      </w:r>
      <w:r>
        <w:rPr>
          <w:spacing w:val="-7"/>
        </w:rPr>
        <w:t> </w:t>
      </w:r>
      <w:r>
        <w:rPr/>
        <w:t>a</w:t>
      </w:r>
      <w:r>
        <w:rPr>
          <w:spacing w:val="-6"/>
        </w:rPr>
        <w:t> </w:t>
      </w:r>
      <w:r>
        <w:rPr/>
        <w:t>dynamic</w:t>
      </w:r>
      <w:r>
        <w:rPr>
          <w:spacing w:val="-6"/>
        </w:rPr>
        <w:t> </w:t>
      </w:r>
      <w:r>
        <w:rPr/>
        <w:t>increase</w:t>
      </w:r>
      <w:r>
        <w:rPr>
          <w:spacing w:val="-6"/>
        </w:rPr>
        <w:t> </w:t>
      </w:r>
      <w:r>
        <w:rPr/>
        <w:t>in</w:t>
      </w:r>
      <w:r>
        <w:rPr>
          <w:spacing w:val="-7"/>
        </w:rPr>
        <w:t> </w:t>
      </w:r>
      <w:r>
        <w:rPr/>
        <w:t>strength,</w:t>
      </w:r>
      <w:r>
        <w:rPr>
          <w:spacing w:val="-6"/>
        </w:rPr>
        <w:t> </w:t>
      </w:r>
      <w:r>
        <w:rPr/>
        <w:t>given</w:t>
      </w:r>
      <w:r>
        <w:rPr>
          <w:spacing w:val="-6"/>
        </w:rPr>
        <w:t> </w:t>
      </w:r>
      <w:r>
        <w:rPr/>
        <w:t>high</w:t>
      </w:r>
      <w:r>
        <w:rPr>
          <w:spacing w:val="-6"/>
        </w:rPr>
        <w:t> </w:t>
      </w:r>
      <w:r>
        <w:rPr/>
        <w:t>rate</w:t>
      </w:r>
      <w:r>
        <w:rPr>
          <w:spacing w:val="-6"/>
        </w:rPr>
        <w:t> </w:t>
      </w:r>
      <w:r>
        <w:rPr/>
        <w:t>loading</w:t>
      </w:r>
      <w:r>
        <w:rPr>
          <w:spacing w:val="-58"/>
        </w:rPr>
        <w:t> </w:t>
      </w:r>
      <w:r>
        <w:rPr/>
        <w:t>conditions, such as a blast.</w:t>
      </w:r>
      <w:r>
        <w:rPr>
          <w:spacing w:val="1"/>
        </w:rPr>
        <w:t> </w:t>
      </w:r>
      <w:r>
        <w:rPr/>
        <w:t>It is a ratio of the element capacity under dynamic loading to</w:t>
      </w:r>
      <w:r>
        <w:rPr>
          <w:spacing w:val="1"/>
        </w:rPr>
        <w:t> </w:t>
      </w:r>
      <w:r>
        <w:rPr/>
        <w:t>its</w:t>
      </w:r>
      <w:r>
        <w:rPr>
          <w:spacing w:val="-7"/>
        </w:rPr>
        <w:t> </w:t>
      </w:r>
      <w:r>
        <w:rPr/>
        <w:t>capacity</w:t>
      </w:r>
      <w:r>
        <w:rPr>
          <w:spacing w:val="-9"/>
        </w:rPr>
        <w:t> </w:t>
      </w:r>
      <w:r>
        <w:rPr/>
        <w:t>under</w:t>
      </w:r>
      <w:r>
        <w:rPr>
          <w:spacing w:val="-7"/>
        </w:rPr>
        <w:t> </w:t>
      </w:r>
      <w:r>
        <w:rPr/>
        <w:t>static</w:t>
      </w:r>
      <w:r>
        <w:rPr>
          <w:spacing w:val="-8"/>
        </w:rPr>
        <w:t> </w:t>
      </w:r>
      <w:r>
        <w:rPr/>
        <w:t>loading.</w:t>
      </w:r>
      <w:r>
        <w:rPr>
          <w:spacing w:val="46"/>
        </w:rPr>
        <w:t> </w:t>
      </w:r>
      <w:r>
        <w:rPr/>
        <w:t>No</w:t>
      </w:r>
      <w:r>
        <w:rPr>
          <w:spacing w:val="-7"/>
        </w:rPr>
        <w:t> </w:t>
      </w:r>
      <w:r>
        <w:rPr/>
        <w:t>previously</w:t>
      </w:r>
      <w:r>
        <w:rPr>
          <w:spacing w:val="-7"/>
        </w:rPr>
        <w:t> </w:t>
      </w:r>
      <w:r>
        <w:rPr/>
        <w:t>established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industry</w:t>
      </w:r>
      <w:r>
        <w:rPr>
          <w:spacing w:val="-9"/>
        </w:rPr>
        <w:t> </w:t>
      </w:r>
      <w:r>
        <w:rPr/>
        <w:t>accepted</w:t>
      </w:r>
      <w:r>
        <w:rPr>
          <w:spacing w:val="-7"/>
        </w:rPr>
        <w:t> </w:t>
      </w:r>
      <w:r>
        <w:rPr/>
        <w:t>increase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40" w:right="403"/>
      </w:pPr>
      <w:r>
        <w:rPr/>
        <w:t>factors</w:t>
      </w:r>
      <w:r>
        <w:rPr>
          <w:spacing w:val="53"/>
        </w:rPr>
        <w:t> </w:t>
      </w:r>
      <w:r>
        <w:rPr/>
        <w:t>exist</w:t>
      </w:r>
      <w:r>
        <w:rPr>
          <w:spacing w:val="52"/>
        </w:rPr>
        <w:t> </w:t>
      </w:r>
      <w:r>
        <w:rPr/>
        <w:t>for</w:t>
      </w:r>
      <w:r>
        <w:rPr>
          <w:spacing w:val="53"/>
        </w:rPr>
        <w:t> </w:t>
      </w:r>
      <w:r>
        <w:rPr/>
        <w:t>CLT,</w:t>
      </w:r>
      <w:r>
        <w:rPr>
          <w:spacing w:val="53"/>
        </w:rPr>
        <w:t> </w:t>
      </w:r>
      <w:r>
        <w:rPr/>
        <w:t>although</w:t>
      </w:r>
      <w:r>
        <w:rPr>
          <w:spacing w:val="52"/>
        </w:rPr>
        <w:t> </w:t>
      </w:r>
      <w:r>
        <w:rPr/>
        <w:t>some</w:t>
      </w:r>
      <w:r>
        <w:rPr>
          <w:spacing w:val="53"/>
        </w:rPr>
        <w:t> </w:t>
      </w:r>
      <w:r>
        <w:rPr/>
        <w:t>researchers</w:t>
      </w:r>
      <w:r>
        <w:rPr>
          <w:spacing w:val="53"/>
        </w:rPr>
        <w:t> </w:t>
      </w:r>
      <w:r>
        <w:rPr/>
        <w:t>have</w:t>
      </w:r>
      <w:r>
        <w:rPr>
          <w:spacing w:val="53"/>
        </w:rPr>
        <w:t> </w:t>
      </w:r>
      <w:r>
        <w:rPr/>
        <w:t>proposed</w:t>
      </w:r>
      <w:r>
        <w:rPr>
          <w:spacing w:val="53"/>
        </w:rPr>
        <w:t> </w:t>
      </w:r>
      <w:r>
        <w:rPr/>
        <w:t>different</w:t>
      </w:r>
      <w:r>
        <w:rPr>
          <w:spacing w:val="53"/>
        </w:rPr>
        <w:t> </w:t>
      </w:r>
      <w:r>
        <w:rPr/>
        <w:t>values</w:t>
      </w:r>
      <w:r>
        <w:rPr>
          <w:spacing w:val="52"/>
        </w:rPr>
        <w:t> </w:t>
      </w:r>
      <w:r>
        <w:rPr/>
        <w:t>for</w:t>
      </w:r>
      <w:r>
        <w:rPr>
          <w:spacing w:val="-57"/>
        </w:rPr>
        <w:t> </w:t>
      </w:r>
      <w:r>
        <w:rPr/>
        <w:t>dynamic</w:t>
      </w:r>
      <w:r>
        <w:rPr>
          <w:spacing w:val="-1"/>
        </w:rPr>
        <w:t> </w:t>
      </w:r>
      <w:r>
        <w:rPr/>
        <w:t>increase factors</w:t>
      </w:r>
      <w:r>
        <w:rPr>
          <w:spacing w:val="-1"/>
        </w:rPr>
        <w:t> </w:t>
      </w:r>
      <w:r>
        <w:rPr/>
        <w:t>[89, 118].</w:t>
      </w:r>
    </w:p>
    <w:p>
      <w:pPr>
        <w:pStyle w:val="BodyText"/>
        <w:spacing w:before="2"/>
        <w:rPr>
          <w:sz w:val="28"/>
        </w:rPr>
      </w:pPr>
    </w:p>
    <w:tbl>
      <w:tblPr>
        <w:tblW w:w="0" w:type="auto"/>
        <w:jc w:val="left"/>
        <w:tblInd w:w="347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74"/>
        <w:gridCol w:w="874"/>
        <w:gridCol w:w="3147"/>
      </w:tblGrid>
      <w:tr>
        <w:trPr>
          <w:trHeight w:val="358" w:hRule="atLeast"/>
        </w:trPr>
        <w:tc>
          <w:tcPr>
            <w:tcW w:w="1674" w:type="dxa"/>
          </w:tcPr>
          <w:p>
            <w:pPr>
              <w:pStyle w:val="TableParagraph"/>
              <w:spacing w:line="288" w:lineRule="exact"/>
              <w:ind w:left="10"/>
              <w:rPr>
                <w:rFonts w:ascii="Cambria Math" w:eastAsia="Cambria Math"/>
                <w:sz w:val="17"/>
              </w:rPr>
            </w:pPr>
            <w:r>
              <w:rPr>
                <w:rFonts w:ascii="Cambria Math" w:eastAsia="Cambria Math"/>
                <w:spacing w:val="-15"/>
                <w:position w:val="5"/>
                <w:sz w:val="24"/>
              </w:rPr>
              <w:t>𝑀</w:t>
            </w:r>
            <w:r>
              <w:rPr>
                <w:rFonts w:ascii="Cambria Math" w:eastAsia="Cambria Math"/>
                <w:w w:val="110"/>
                <w:sz w:val="17"/>
              </w:rPr>
              <w:t>𝑑</w:t>
            </w:r>
            <w:r>
              <w:rPr>
                <w:rFonts w:ascii="Cambria Math" w:eastAsia="Cambria Math"/>
                <w:w w:val="113"/>
                <w:sz w:val="17"/>
              </w:rPr>
              <w:t>𝑦</w:t>
            </w:r>
            <w:r>
              <w:rPr>
                <w:rFonts w:ascii="Cambria Math" w:eastAsia="Cambria Math"/>
                <w:w w:val="113"/>
                <w:sz w:val="17"/>
              </w:rPr>
              <w:t>𝑛</w:t>
            </w:r>
            <w:r>
              <w:rPr>
                <w:rFonts w:ascii="Cambria Math" w:eastAsia="Cambria Math"/>
                <w:sz w:val="17"/>
              </w:rPr>
              <w:t> </w:t>
            </w:r>
            <w:r>
              <w:rPr>
                <w:rFonts w:ascii="Cambria Math" w:eastAsia="Cambria Math"/>
                <w:spacing w:val="4"/>
                <w:sz w:val="17"/>
              </w:rPr>
              <w:t> </w:t>
            </w:r>
            <w:r>
              <w:rPr>
                <w:rFonts w:ascii="Cambria Math" w:eastAsia="Cambria Math"/>
                <w:position w:val="5"/>
                <w:sz w:val="24"/>
              </w:rPr>
              <w:t>=</w:t>
            </w:r>
            <w:r>
              <w:rPr>
                <w:rFonts w:ascii="Cambria Math" w:eastAsia="Cambria Math"/>
                <w:spacing w:val="13"/>
                <w:position w:val="5"/>
                <w:sz w:val="24"/>
              </w:rPr>
              <w:t> </w:t>
            </w:r>
            <w:r>
              <w:rPr>
                <w:rFonts w:ascii="Cambria Math" w:eastAsia="Cambria Math"/>
                <w:spacing w:val="-38"/>
                <w:w w:val="50"/>
                <w:position w:val="5"/>
                <w:sz w:val="24"/>
              </w:rPr>
              <w:t>𝑓𝑓</w:t>
            </w:r>
            <w:r>
              <w:rPr>
                <w:rFonts w:ascii="Cambria Math" w:eastAsia="Cambria Math"/>
                <w:spacing w:val="14"/>
                <w:w w:val="111"/>
                <w:sz w:val="17"/>
              </w:rPr>
              <w:t>𝑏</w:t>
            </w:r>
            <w:r>
              <w:rPr>
                <w:rFonts w:ascii="Cambria Math" w:eastAsia="Cambria Math"/>
                <w:spacing w:val="-11"/>
                <w:position w:val="5"/>
                <w:sz w:val="24"/>
              </w:rPr>
              <w:t>𝑆</w:t>
            </w:r>
            <w:r>
              <w:rPr>
                <w:rFonts w:ascii="Cambria Math" w:eastAsia="Cambria Math"/>
                <w:spacing w:val="-1"/>
                <w:w w:val="109"/>
                <w:sz w:val="17"/>
              </w:rPr>
              <w:t>𝑒</w:t>
            </w:r>
            <w:r>
              <w:rPr>
                <w:rFonts w:ascii="Cambria Math" w:eastAsia="Cambria Math"/>
                <w:spacing w:val="-1"/>
                <w:w w:val="54"/>
                <w:sz w:val="17"/>
              </w:rPr>
              <w:t>𝑓𝑓𝑓𝑓</w:t>
            </w:r>
          </w:p>
        </w:tc>
        <w:tc>
          <w:tcPr>
            <w:tcW w:w="87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147" w:type="dxa"/>
          </w:tcPr>
          <w:p>
            <w:pPr>
              <w:pStyle w:val="TableParagraph"/>
              <w:spacing w:line="266" w:lineRule="exact"/>
              <w:ind w:right="196"/>
              <w:jc w:val="right"/>
              <w:rPr>
                <w:sz w:val="24"/>
              </w:rPr>
            </w:pPr>
            <w:r>
              <w:rPr>
                <w:sz w:val="24"/>
              </w:rPr>
              <w:t>(8.8)</w:t>
            </w:r>
          </w:p>
        </w:tc>
      </w:tr>
      <w:tr>
        <w:trPr>
          <w:trHeight w:val="342" w:hRule="atLeast"/>
        </w:trPr>
        <w:tc>
          <w:tcPr>
            <w:tcW w:w="1674" w:type="dxa"/>
          </w:tcPr>
          <w:p>
            <w:pPr>
              <w:pStyle w:val="TableParagraph"/>
              <w:spacing w:line="262" w:lineRule="exact" w:before="60"/>
              <w:ind w:left="953"/>
              <w:rPr>
                <w:sz w:val="24"/>
              </w:rPr>
            </w:pPr>
            <w:r>
              <w:rPr>
                <w:sz w:val="24"/>
              </w:rPr>
              <w:t>where</w:t>
            </w:r>
          </w:p>
        </w:tc>
        <w:tc>
          <w:tcPr>
            <w:tcW w:w="874" w:type="dxa"/>
          </w:tcPr>
          <w:p>
            <w:pPr>
              <w:pStyle w:val="TableParagraph"/>
              <w:spacing w:line="261" w:lineRule="exact" w:before="61"/>
              <w:ind w:right="104"/>
              <w:jc w:val="right"/>
              <w:rPr>
                <w:i/>
                <w:sz w:val="24"/>
              </w:rPr>
            </w:pPr>
            <w:r>
              <w:rPr>
                <w:i/>
                <w:position w:val="1"/>
                <w:sz w:val="24"/>
              </w:rPr>
              <w:t>M</w:t>
            </w:r>
            <w:r>
              <w:rPr>
                <w:i/>
                <w:sz w:val="16"/>
              </w:rPr>
              <w:t>dyn</w:t>
            </w:r>
            <w:r>
              <w:rPr>
                <w:i/>
                <w:spacing w:val="-1"/>
                <w:sz w:val="16"/>
              </w:rPr>
              <w:t> </w:t>
            </w:r>
            <w:r>
              <w:rPr>
                <w:i/>
                <w:position w:val="1"/>
                <w:sz w:val="24"/>
              </w:rPr>
              <w:t>=</w:t>
            </w:r>
          </w:p>
        </w:tc>
        <w:tc>
          <w:tcPr>
            <w:tcW w:w="3147" w:type="dxa"/>
          </w:tcPr>
          <w:p>
            <w:pPr>
              <w:pStyle w:val="TableParagraph"/>
              <w:spacing w:line="262" w:lineRule="exact" w:before="60"/>
              <w:ind w:left="108"/>
              <w:rPr>
                <w:sz w:val="24"/>
              </w:rPr>
            </w:pPr>
            <w:r>
              <w:rPr>
                <w:sz w:val="24"/>
              </w:rPr>
              <w:t>dynamic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moment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capacity</w:t>
            </w:r>
          </w:p>
        </w:tc>
      </w:tr>
      <w:tr>
        <w:trPr>
          <w:trHeight w:val="276" w:hRule="atLeast"/>
        </w:trPr>
        <w:tc>
          <w:tcPr>
            <w:tcW w:w="167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874" w:type="dxa"/>
          </w:tcPr>
          <w:p>
            <w:pPr>
              <w:pStyle w:val="TableParagraph"/>
              <w:spacing w:line="256" w:lineRule="exact"/>
              <w:ind w:right="104"/>
              <w:jc w:val="right"/>
              <w:rPr>
                <w:i/>
                <w:sz w:val="24"/>
              </w:rPr>
            </w:pPr>
            <w:r>
              <w:rPr>
                <w:i/>
                <w:position w:val="1"/>
                <w:sz w:val="24"/>
              </w:rPr>
              <w:t>f</w:t>
            </w:r>
            <w:r>
              <w:rPr>
                <w:i/>
                <w:sz w:val="16"/>
              </w:rPr>
              <w:t>b</w:t>
            </w:r>
            <w:r>
              <w:rPr>
                <w:i/>
                <w:spacing w:val="19"/>
                <w:sz w:val="16"/>
              </w:rPr>
              <w:t> </w:t>
            </w:r>
            <w:r>
              <w:rPr>
                <w:i/>
                <w:position w:val="1"/>
                <w:sz w:val="24"/>
              </w:rPr>
              <w:t>=</w:t>
            </w:r>
          </w:p>
        </w:tc>
        <w:tc>
          <w:tcPr>
            <w:tcW w:w="3147" w:type="dxa"/>
          </w:tcPr>
          <w:p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required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bending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strength</w:t>
            </w:r>
          </w:p>
        </w:tc>
      </w:tr>
      <w:tr>
        <w:trPr>
          <w:trHeight w:val="271" w:hRule="atLeast"/>
        </w:trPr>
        <w:tc>
          <w:tcPr>
            <w:tcW w:w="167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874" w:type="dxa"/>
          </w:tcPr>
          <w:p>
            <w:pPr>
              <w:pStyle w:val="TableParagraph"/>
              <w:spacing w:line="251" w:lineRule="exact"/>
              <w:ind w:right="105"/>
              <w:jc w:val="right"/>
              <w:rPr>
                <w:i/>
                <w:sz w:val="24"/>
              </w:rPr>
            </w:pPr>
            <w:r>
              <w:rPr>
                <w:i/>
                <w:position w:val="1"/>
                <w:sz w:val="24"/>
              </w:rPr>
              <w:t>S</w:t>
            </w:r>
            <w:r>
              <w:rPr>
                <w:i/>
                <w:sz w:val="16"/>
              </w:rPr>
              <w:t>eff</w:t>
            </w:r>
            <w:r>
              <w:rPr>
                <w:i/>
                <w:spacing w:val="19"/>
                <w:sz w:val="16"/>
              </w:rPr>
              <w:t> </w:t>
            </w:r>
            <w:r>
              <w:rPr>
                <w:i/>
                <w:position w:val="1"/>
                <w:sz w:val="24"/>
              </w:rPr>
              <w:t>=</w:t>
            </w:r>
          </w:p>
        </w:tc>
        <w:tc>
          <w:tcPr>
            <w:tcW w:w="3147" w:type="dxa"/>
          </w:tcPr>
          <w:p>
            <w:pPr>
              <w:pStyle w:val="TableParagraph"/>
              <w:spacing w:line="251" w:lineRule="exact"/>
              <w:ind w:left="108"/>
              <w:rPr>
                <w:sz w:val="24"/>
              </w:rPr>
            </w:pPr>
            <w:r>
              <w:rPr>
                <w:sz w:val="24"/>
              </w:rPr>
              <w:t>effective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section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modulus</w:t>
            </w:r>
          </w:p>
        </w:tc>
      </w:tr>
    </w:tbl>
    <w:p>
      <w:pPr>
        <w:pStyle w:val="BodyText"/>
        <w:spacing w:before="1"/>
        <w:rPr>
          <w:sz w:val="16"/>
        </w:rPr>
      </w:pPr>
    </w:p>
    <w:p>
      <w:pPr>
        <w:pStyle w:val="BodyText"/>
        <w:spacing w:line="480" w:lineRule="auto" w:before="90"/>
        <w:ind w:left="440" w:right="416" w:firstLine="720"/>
        <w:jc w:val="both"/>
        <w:rPr>
          <w:i/>
        </w:rPr>
      </w:pPr>
      <w:r>
        <w:rPr/>
        <w:t>The resistance function is dependent on the boundary conditions of the member.</w:t>
      </w:r>
      <w:r>
        <w:rPr>
          <w:spacing w:val="1"/>
        </w:rPr>
        <w:t> </w:t>
      </w:r>
      <w:r>
        <w:rPr/>
        <w:t>The</w:t>
      </w:r>
      <w:r>
        <w:rPr>
          <w:spacing w:val="-10"/>
        </w:rPr>
        <w:t> </w:t>
      </w:r>
      <w:r>
        <w:rPr/>
        <w:t>following</w:t>
      </w:r>
      <w:r>
        <w:rPr>
          <w:spacing w:val="-10"/>
        </w:rPr>
        <w:t> </w:t>
      </w:r>
      <w:r>
        <w:rPr/>
        <w:t>example</w:t>
      </w:r>
      <w:r>
        <w:rPr>
          <w:spacing w:val="-8"/>
        </w:rPr>
        <w:t> </w:t>
      </w:r>
      <w:r>
        <w:rPr/>
        <w:t>uses</w:t>
      </w:r>
      <w:r>
        <w:rPr>
          <w:spacing w:val="-10"/>
        </w:rPr>
        <w:t> </w:t>
      </w:r>
      <w:r>
        <w:rPr/>
        <w:t>a</w:t>
      </w:r>
      <w:r>
        <w:rPr>
          <w:spacing w:val="-9"/>
        </w:rPr>
        <w:t> </w:t>
      </w:r>
      <w:r>
        <w:rPr/>
        <w:t>simply</w:t>
      </w:r>
      <w:r>
        <w:rPr>
          <w:spacing w:val="-10"/>
        </w:rPr>
        <w:t> </w:t>
      </w:r>
      <w:r>
        <w:rPr/>
        <w:t>supported</w:t>
      </w:r>
      <w:r>
        <w:rPr>
          <w:spacing w:val="-11"/>
        </w:rPr>
        <w:t> </w:t>
      </w:r>
      <w:r>
        <w:rPr/>
        <w:t>CLT</w:t>
      </w:r>
      <w:r>
        <w:rPr>
          <w:spacing w:val="-10"/>
        </w:rPr>
        <w:t> </w:t>
      </w:r>
      <w:r>
        <w:rPr/>
        <w:t>panel,</w:t>
      </w:r>
      <w:r>
        <w:rPr>
          <w:spacing w:val="-8"/>
        </w:rPr>
        <w:t> </w:t>
      </w:r>
      <w:r>
        <w:rPr/>
        <w:t>which</w:t>
      </w:r>
      <w:r>
        <w:rPr>
          <w:spacing w:val="-10"/>
        </w:rPr>
        <w:t> </w:t>
      </w:r>
      <w:r>
        <w:rPr/>
        <w:t>is</w:t>
      </w:r>
      <w:r>
        <w:rPr>
          <w:spacing w:val="-10"/>
        </w:rPr>
        <w:t> </w:t>
      </w:r>
      <w:r>
        <w:rPr/>
        <w:t>loaded</w:t>
      </w:r>
      <w:r>
        <w:rPr>
          <w:spacing w:val="-10"/>
        </w:rPr>
        <w:t> </w:t>
      </w:r>
      <w:r>
        <w:rPr/>
        <w:t>until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panel</w:t>
      </w:r>
      <w:r>
        <w:rPr>
          <w:spacing w:val="-58"/>
        </w:rPr>
        <w:t> </w:t>
      </w:r>
      <w:r>
        <w:rPr>
          <w:position w:val="1"/>
        </w:rPr>
        <w:t>yields at some displacement, </w:t>
      </w:r>
      <w:r>
        <w:rPr>
          <w:i/>
          <w:position w:val="1"/>
        </w:rPr>
        <w:t>x</w:t>
      </w:r>
      <w:r>
        <w:rPr>
          <w:i/>
          <w:sz w:val="16"/>
        </w:rPr>
        <w:t>e</w:t>
      </w:r>
      <w:r>
        <w:rPr>
          <w:position w:val="1"/>
        </w:rPr>
        <w:t>. A plastic hinge occurs at the location of maximum stress,</w:t>
      </w:r>
      <w:r>
        <w:rPr>
          <w:spacing w:val="-57"/>
          <w:position w:val="1"/>
        </w:rPr>
        <w:t> </w:t>
      </w:r>
      <w:r>
        <w:rPr/>
        <w:t>also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location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/>
        <w:t>maximum</w:t>
      </w:r>
      <w:r>
        <w:rPr>
          <w:spacing w:val="-1"/>
        </w:rPr>
        <w:t> </w:t>
      </w:r>
      <w:r>
        <w:rPr/>
        <w:t>moment,</w:t>
      </w:r>
      <w:r>
        <w:rPr>
          <w:spacing w:val="-1"/>
        </w:rPr>
        <w:t> </w:t>
      </w:r>
      <w:r>
        <w:rPr/>
        <w:t>as</w:t>
      </w:r>
      <w:r>
        <w:rPr>
          <w:spacing w:val="-1"/>
        </w:rPr>
        <w:t> </w:t>
      </w:r>
      <w:r>
        <w:rPr/>
        <w:t>shown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hyperlink w:history="true" w:anchor="_bookmark175">
        <w:r>
          <w:rPr/>
          <w:t>Figure</w:t>
        </w:r>
        <w:r>
          <w:rPr>
            <w:spacing w:val="-1"/>
          </w:rPr>
          <w:t> </w:t>
        </w:r>
        <w:r>
          <w:rPr/>
          <w:t>8-3</w:t>
        </w:r>
        <w:r>
          <w:rPr>
            <w:spacing w:val="-3"/>
          </w:rPr>
          <w:t> </w:t>
        </w:r>
      </w:hyperlink>
      <w:r>
        <w:rPr/>
        <w:t>[104].</w:t>
      </w:r>
      <w:r>
        <w:rPr>
          <w:spacing w:val="59"/>
        </w:rPr>
        <w:t> </w:t>
      </w:r>
      <w:r>
        <w:rPr/>
        <w:t>The panel</w:t>
      </w:r>
      <w:r>
        <w:rPr>
          <w:spacing w:val="-2"/>
        </w:rPr>
        <w:t> </w:t>
      </w:r>
      <w:r>
        <w:rPr/>
        <w:t>has</w:t>
      </w:r>
      <w:r>
        <w:rPr>
          <w:spacing w:val="-1"/>
        </w:rPr>
        <w:t> </w:t>
      </w:r>
      <w:r>
        <w:rPr/>
        <w:t>a</w:t>
      </w:r>
      <w:r>
        <w:rPr>
          <w:spacing w:val="-58"/>
        </w:rPr>
        <w:t> </w:t>
      </w:r>
      <w:r>
        <w:rPr/>
        <w:t>mass,</w:t>
      </w:r>
      <w:r>
        <w:rPr>
          <w:spacing w:val="-1"/>
        </w:rPr>
        <w:t> </w:t>
      </w:r>
      <w:r>
        <w:rPr>
          <w:i/>
        </w:rPr>
        <w:t>m,</w:t>
      </w:r>
      <w:r>
        <w:rPr>
          <w:i/>
          <w:spacing w:val="1"/>
        </w:rPr>
        <w:t> </w:t>
      </w:r>
      <w:r>
        <w:rPr/>
        <w:t>modulus of</w:t>
      </w:r>
      <w:r>
        <w:rPr>
          <w:spacing w:val="-1"/>
        </w:rPr>
        <w:t> </w:t>
      </w:r>
      <w:r>
        <w:rPr/>
        <w:t>elasticity,</w:t>
      </w:r>
      <w:r>
        <w:rPr>
          <w:spacing w:val="-1"/>
        </w:rPr>
        <w:t> </w:t>
      </w:r>
      <w:r>
        <w:rPr>
          <w:i/>
        </w:rPr>
        <w:t>E, </w:t>
      </w:r>
      <w:r>
        <w:rPr/>
        <w:t>and</w:t>
      </w:r>
      <w:r>
        <w:rPr>
          <w:spacing w:val="-2"/>
        </w:rPr>
        <w:t> </w:t>
      </w:r>
      <w:r>
        <w:rPr/>
        <w:t>an area moment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inertia,</w:t>
      </w:r>
      <w:r>
        <w:rPr>
          <w:spacing w:val="-1"/>
        </w:rPr>
        <w:t> </w:t>
      </w:r>
      <w:r>
        <w:rPr>
          <w:i/>
        </w:rPr>
        <w:t>I.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4"/>
        <w:rPr>
          <w:i/>
          <w:sz w:val="21"/>
        </w:rPr>
      </w:pPr>
    </w:p>
    <w:p>
      <w:pPr>
        <w:spacing w:before="94"/>
        <w:ind w:left="42" w:right="242" w:firstLine="0"/>
        <w:jc w:val="center"/>
        <w:rPr>
          <w:sz w:val="17"/>
        </w:rPr>
      </w:pPr>
      <w:r>
        <w:rPr/>
        <w:pict>
          <v:group style="position:absolute;margin-left:169.84845pt;margin-top:17.893856pt;width:299.75pt;height:73pt;mso-position-horizontal-relative:page;mso-position-vertical-relative:paragraph;z-index:-15567360;mso-wrap-distance-left:0;mso-wrap-distance-right:0" coordorigin="3397,358" coordsize="5995,1460">
            <v:rect style="position:absolute;left:3617;top:929;width:5554;height:234" filled="true" fillcolor="#ffd966" stroked="false">
              <v:fill type="solid"/>
            </v:rect>
            <v:rect style="position:absolute;left:3617;top:929;width:5554;height:234" filled="false" stroked="true" strokeweight=".42926pt" strokecolor="#7f6000">
              <v:stroke dashstyle="solid"/>
            </v:rect>
            <v:rect style="position:absolute;left:3617;top:1169;width:1379;height:232" filled="true" fillcolor="#ffd966" stroked="false">
              <v:fill type="solid"/>
            </v:rect>
            <v:rect style="position:absolute;left:3617;top:1169;width:1379;height:232" filled="false" stroked="true" strokeweight=".429234pt" strokecolor="#7f6000">
              <v:stroke dashstyle="solid"/>
            </v:rect>
            <v:shape style="position:absolute;left:4032;top:1169;width:631;height:180" coordorigin="4032,1169" coordsize="631,180" path="m4663,1174l4597,1279,4527,1317,4439,1341,4339,1349,4242,1339,4158,1313,4091,1274,4048,1225,4032,1169e" filled="false" stroked="true" strokeweight=".64378pt" strokecolor="#7f6000">
              <v:path arrowok="t"/>
              <v:stroke dashstyle="solid"/>
            </v:shape>
            <v:shape style="position:absolute;left:3826;top:1169;width:1044;height:231" coordorigin="3826,1170" coordsize="1044,231" path="m4852,1170l4869,1212,4859,1253,4824,1292,4767,1326,4689,1356,4593,1380,4480,1395,4388,1401,4296,1400,4208,1394,4124,1383,4047,1367,3979,1347,3921,1323,3843,1264,3826,1223,3827,1203,3835,1182e" filled="false" stroked="true" strokeweight=".643821pt" strokecolor="#7f6000">
              <v:path arrowok="t"/>
              <v:stroke dashstyle="solid"/>
            </v:shape>
            <v:shape style="position:absolute;left:4121;top:1166;width:453;height:142" coordorigin="4122,1166" coordsize="453,142" path="m4574,1169l4554,1224,4504,1269,4431,1298,4343,1308,4256,1296,4186,1265,4139,1220,4122,1166e" filled="false" stroked="true" strokeweight=".643759pt" strokecolor="#7f6000">
              <v:path arrowok="t"/>
              <v:stroke dashstyle="solid"/>
            </v:shape>
            <v:shape style="position:absolute;left:3698;top:1161;width:212;height:232" coordorigin="3698,1161" coordsize="212,232" path="m3910,1393l3843,1381,3785,1348,3739,1298,3709,1234,3698,1161e" filled="false" stroked="true" strokeweight=".643087pt" strokecolor="#7f6000">
              <v:path arrowok="t"/>
              <v:stroke dashstyle="solid"/>
            </v:shape>
            <v:shape style="position:absolute;left:4737;top:1171;width:217;height:223" coordorigin="4738,1172" coordsize="217,223" path="m4954,1172l4947,1239,4918,1298,4871,1346,4810,1380,4738,1395e" filled="false" stroked="true" strokeweight=".643146pt" strokecolor="#7f6000">
              <v:path arrowok="t"/>
              <v:stroke dashstyle="solid"/>
            </v:shape>
            <v:rect style="position:absolute;left:4995;top:1169;width:1375;height:232" filled="true" fillcolor="#ffd966" stroked="false">
              <v:fill type="solid"/>
            </v:rect>
            <v:rect style="position:absolute;left:4995;top:1169;width:1375;height:232" filled="false" stroked="true" strokeweight=".429234pt" strokecolor="#7f6000">
              <v:stroke dashstyle="solid"/>
            </v:rect>
            <v:shape style="position:absolute;left:6163;top:1169;width:207;height:138" coordorigin="6164,1170" coordsize="207,138" path="m6370,1308l6290,1297,6224,1267,6180,1223,6164,1170e" filled="false" stroked="true" strokeweight=".643449pt" strokecolor="#7f6000">
              <v:path arrowok="t"/>
              <v:stroke dashstyle="solid"/>
            </v:shape>
            <v:shape style="position:absolute;left:6009;top:1167;width:243;height:231" coordorigin="6009,1168" coordsize="243,231" path="m6252,1398l6175,1386,6109,1354,6056,1304,6022,1241,6009,1168e" filled="false" stroked="true" strokeweight=".643203pt" strokecolor="#7f6000">
              <v:path arrowok="t"/>
              <v:stroke dashstyle="solid"/>
            </v:shape>
            <v:shape style="position:absolute;left:5898;top:1172;width:141;height:223" coordorigin="5899,1172" coordsize="141,223" path="m6039,1395l5978,1356,5933,1304,5906,1241,5899,1172e" filled="false" stroked="true" strokeweight=".642871pt" strokecolor="#7f6000">
              <v:path arrowok="t"/>
              <v:stroke dashstyle="solid"/>
            </v:shape>
            <v:shape style="position:absolute;left:5785;top:1169;width:136;height:226" coordorigin="5786,1170" coordsize="136,226" path="m5921,1395l5861,1355,5817,1302,5791,1239,5786,1170e" filled="false" stroked="true" strokeweight=".642815pt" strokecolor="#7f6000">
              <v:path arrowok="t"/>
              <v:stroke dashstyle="solid"/>
            </v:shape>
            <v:shape style="position:absolute;left:5649;top:1167;width:136;height:226" coordorigin="5649,1167" coordsize="136,226" path="m5784,1393l5724,1353,5680,1299,5654,1236,5649,1167e" filled="false" stroked="true" strokeweight=".642815pt" strokecolor="#7f6000">
              <v:path arrowok="t"/>
              <v:stroke dashstyle="solid"/>
            </v:shape>
            <v:shape style="position:absolute;left:5491;top:1172;width:136;height:226" coordorigin="5491,1172" coordsize="136,226" path="m5626,1398l5567,1358,5523,1304,5497,1241,5491,1172e" filled="false" stroked="true" strokeweight=".642815pt" strokecolor="#7f6000">
              <v:path arrowok="t"/>
              <v:stroke dashstyle="solid"/>
            </v:shape>
            <v:shape style="position:absolute;left:5324;top:1169;width:136;height:226" coordorigin="5325,1170" coordsize="136,226" path="m5460,1395l5400,1355,5356,1302,5330,1239,5325,1170e" filled="false" stroked="true" strokeweight=".642815pt" strokecolor="#7f6000">
              <v:path arrowok="t"/>
              <v:stroke dashstyle="solid"/>
            </v:shape>
            <v:shape style="position:absolute;left:5147;top:1167;width:136;height:226" coordorigin="5148,1167" coordsize="136,226" path="m5283,1393l5223,1353,5179,1300,5153,1236,5148,1167e" filled="false" stroked="true" strokeweight=".642815pt" strokecolor="#7f6000">
              <v:path arrowok="t"/>
              <v:stroke dashstyle="solid"/>
            </v:shape>
            <v:rect style="position:absolute;left:6375;top:1169;width:1375;height:232" filled="true" fillcolor="#ffd966" stroked="false">
              <v:fill type="solid"/>
            </v:rect>
            <v:rect style="position:absolute;left:6375;top:1169;width:1375;height:232" filled="false" stroked="true" strokeweight=".429234pt" strokecolor="#7f6000">
              <v:stroke dashstyle="solid"/>
            </v:rect>
            <v:shape style="position:absolute;left:6786;top:1169;width:631;height:180" coordorigin="6787,1169" coordsize="631,180" path="m7417,1174l7351,1279,7281,1317,7194,1341,7094,1349,6996,1339,6912,1313,6845,1274,6802,1225,6787,1169e" filled="false" stroked="true" strokeweight=".64378pt" strokecolor="#7f6000">
              <v:path arrowok="t"/>
              <v:stroke dashstyle="solid"/>
            </v:shape>
            <v:shape style="position:absolute;left:6580;top:1169;width:1044;height:231" coordorigin="6580,1170" coordsize="1044,231" path="m7607,1170l7624,1212,7614,1253,7579,1292,7521,1326,7443,1356,7347,1380,7235,1395,7142,1401,7050,1400,6962,1394,6878,1383,6801,1367,6733,1347,6675,1323,6597,1264,6580,1223,6581,1203,6589,1182e" filled="false" stroked="true" strokeweight=".643821pt" strokecolor="#7f6000">
              <v:path arrowok="t"/>
              <v:stroke dashstyle="solid"/>
            </v:shape>
            <v:shape style="position:absolute;left:6876;top:1166;width:453;height:142" coordorigin="6876,1166" coordsize="453,142" path="m7328,1169l7308,1224,7258,1269,7185,1298,7097,1308,7010,1296,6940,1265,6893,1220,6876,1166e" filled="false" stroked="true" strokeweight=".643759pt" strokecolor="#7f6000">
              <v:path arrowok="t"/>
              <v:stroke dashstyle="solid"/>
            </v:shape>
            <v:shape style="position:absolute;left:6452;top:1161;width:212;height:232" coordorigin="6453,1161" coordsize="212,232" path="m6664,1393l6597,1381,6539,1348,6493,1298,6463,1234,6453,1161e" filled="false" stroked="true" strokeweight=".643087pt" strokecolor="#7f6000">
              <v:path arrowok="t"/>
              <v:stroke dashstyle="solid"/>
            </v:shape>
            <v:shape style="position:absolute;left:7491;top:1171;width:217;height:223" coordorigin="7492,1172" coordsize="217,223" path="m7709,1172l7701,1239,7672,1298,7625,1346,7564,1380,7492,1395e" filled="false" stroked="true" strokeweight=".643146pt" strokecolor="#7f6000">
              <v:path arrowok="t"/>
              <v:stroke dashstyle="solid"/>
            </v:shape>
            <v:rect style="position:absolute;left:7741;top:1171;width:1430;height:232" filled="true" fillcolor="#ffd966" stroked="false">
              <v:fill type="solid"/>
            </v:rect>
            <v:rect style="position:absolute;left:7741;top:1171;width:1430;height:232" filled="false" stroked="true" strokeweight=".429234pt" strokecolor="#7f6000">
              <v:stroke dashstyle="solid"/>
            </v:rect>
            <v:shape style="position:absolute;left:7760;top:1265;width:207;height:138" coordorigin="7760,1265" coordsize="207,138" path="m7760,1265l7840,1276,7906,1305,7950,1349,7966,1403e" filled="false" stroked="true" strokeweight=".643449pt" strokecolor="#7f6000">
              <v:path arrowok="t"/>
              <v:stroke dashstyle="solid"/>
            </v:shape>
            <v:shape style="position:absolute;left:7878;top:1174;width:243;height:231" coordorigin="7879,1174" coordsize="243,231" path="m7879,1174l7955,1186,8022,1219,8074,1269,8109,1332,8121,1405e" filled="false" stroked="true" strokeweight=".643203pt" strokecolor="#7f6000">
              <v:path arrowok="t"/>
              <v:stroke dashstyle="solid"/>
            </v:shape>
            <v:shape style="position:absolute;left:8091;top:1178;width:141;height:223" coordorigin="8091,1178" coordsize="141,223" path="m8091,1178l8152,1216,8197,1269,8225,1331,8232,1400e" filled="false" stroked="true" strokeweight=".642871pt" strokecolor="#7f6000">
              <v:path arrowok="t"/>
              <v:stroke dashstyle="solid"/>
            </v:shape>
            <v:shape style="position:absolute;left:8209;top:1177;width:136;height:226" coordorigin="8210,1177" coordsize="136,226" path="m8210,1177l8269,1217,8313,1271,8339,1334,8345,1403e" filled="false" stroked="true" strokeweight=".642815pt" strokecolor="#7f6000">
              <v:path arrowok="t"/>
              <v:stroke dashstyle="solid"/>
            </v:shape>
            <v:shape style="position:absolute;left:8346;top:1180;width:136;height:226" coordorigin="8346,1180" coordsize="136,226" path="m8346,1180l8406,1220,8450,1273,8476,1337,8481,1406e" filled="false" stroked="true" strokeweight=".642815pt" strokecolor="#7f6000">
              <v:path arrowok="t"/>
              <v:stroke dashstyle="solid"/>
            </v:shape>
            <v:shape style="position:absolute;left:8504;top:1174;width:136;height:226" coordorigin="8504,1175" coordsize="136,226" path="m8504,1175l8564,1215,8608,1268,8634,1331,8639,1400e" filled="false" stroked="true" strokeweight=".642815pt" strokecolor="#7f6000">
              <v:path arrowok="t"/>
              <v:stroke dashstyle="solid"/>
            </v:shape>
            <v:shape style="position:absolute;left:8670;top:1177;width:136;height:226" coordorigin="8670,1178" coordsize="136,226" path="m8670,1178l8730,1217,8774,1271,8800,1334,8806,1403e" filled="false" stroked="true" strokeweight=".642815pt" strokecolor="#7f6000">
              <v:path arrowok="t"/>
              <v:stroke dashstyle="solid"/>
            </v:shape>
            <v:shape style="position:absolute;left:8847;top:1179;width:136;height:226" coordorigin="8848,1180" coordsize="136,226" path="m8848,1180l8907,1220,8951,1273,8977,1336,8983,1405e" filled="false" stroked="true" strokeweight=".642815pt" strokecolor="#7f6000">
              <v:path arrowok="t"/>
              <v:stroke dashstyle="solid"/>
            </v:shape>
            <v:rect style="position:absolute;left:7796;top:697;width:1375;height:232" filled="true" fillcolor="#ffd966" stroked="false">
              <v:fill type="solid"/>
            </v:rect>
            <v:rect style="position:absolute;left:7796;top:697;width:1375;height:232" filled="false" stroked="true" strokeweight=".429234pt" strokecolor="#7f6000">
              <v:stroke dashstyle="solid"/>
            </v:rect>
            <v:shape style="position:absolute;left:8129;top:749;width:631;height:180" coordorigin="8130,750" coordsize="631,180" path="m8130,925l8195,820,8265,782,8353,758,8453,750,8551,760,8635,786,8701,825,8745,874,8760,930e" filled="false" stroked="true" strokeweight=".64378pt" strokecolor="#7f6000">
              <v:path arrowok="t"/>
              <v:stroke dashstyle="solid"/>
            </v:shape>
            <v:shape style="position:absolute;left:7923;top:698;width:1044;height:231" coordorigin="7923,698" coordsize="1044,231" path="m7940,929l7923,887,7933,846,7968,807,8026,772,8104,743,8200,719,8312,704,8405,698,8497,699,8585,705,8669,716,8745,731,8814,752,8872,776,8950,835,8966,876,8965,896,8958,916e" filled="false" stroked="true" strokeweight=".643821pt" strokecolor="#7f6000">
              <v:path arrowok="t"/>
              <v:stroke dashstyle="solid"/>
            </v:shape>
            <v:shape style="position:absolute;left:8218;top:791;width:453;height:142" coordorigin="8219,791" coordsize="453,142" path="m8219,929l8239,875,8289,830,8362,801,8450,791,8536,803,8606,834,8653,878,8671,933e" filled="false" stroked="true" strokeweight=".643759pt" strokecolor="#7f6000">
              <v:path arrowok="t"/>
              <v:stroke dashstyle="solid"/>
            </v:shape>
            <v:shape style="position:absolute;left:8882;top:705;width:212;height:232" coordorigin="8882,706" coordsize="212,232" path="m8882,706l8949,718,9007,751,9053,801,9083,864,9094,938e" filled="false" stroked="true" strokeweight=".643087pt" strokecolor="#7f6000">
              <v:path arrowok="t"/>
              <v:stroke dashstyle="solid"/>
            </v:shape>
            <v:shape style="position:absolute;left:7838;top:704;width:217;height:223" coordorigin="7838,704" coordsize="217,223" path="m7838,927l7846,860,7875,801,7922,753,7983,719,8055,704e" filled="false" stroked="true" strokeweight=".643146pt" strokecolor="#7f6000">
              <v:path arrowok="t"/>
              <v:stroke dashstyle="solid"/>
            </v:shape>
            <v:rect style="position:absolute;left:6421;top:697;width:1375;height:232" filled="true" fillcolor="#ffd966" stroked="false">
              <v:fill type="solid"/>
            </v:rect>
            <v:rect style="position:absolute;left:6421;top:697;width:1375;height:232" filled="false" stroked="true" strokeweight=".429234pt" strokecolor="#7f6000">
              <v:stroke dashstyle="solid"/>
            </v:rect>
            <v:shape style="position:absolute;left:6422;top:791;width:207;height:138" coordorigin="6422,791" coordsize="207,138" path="m6422,791l6503,802,6568,832,6612,875,6629,929e" filled="false" stroked="true" strokeweight=".643449pt" strokecolor="#7f6000">
              <v:path arrowok="t"/>
              <v:stroke dashstyle="solid"/>
            </v:shape>
            <v:shape style="position:absolute;left:6540;top:700;width:243;height:231" coordorigin="6541,701" coordsize="243,231" path="m6541,701l6617,712,6684,745,6736,795,6771,858,6783,931e" filled="false" stroked="true" strokeweight=".643203pt" strokecolor="#7f6000">
              <v:path arrowok="t"/>
              <v:stroke dashstyle="solid"/>
            </v:shape>
            <v:shape style="position:absolute;left:6753;top:704;width:141;height:223" coordorigin="6753,704" coordsize="141,223" path="m6753,704l6814,743,6859,795,6887,858,6894,927e" filled="false" stroked="true" strokeweight=".642871pt" strokecolor="#7f6000">
              <v:path arrowok="t"/>
              <v:stroke dashstyle="solid"/>
            </v:shape>
            <v:shape style="position:absolute;left:6871;top:703;width:136;height:226" coordorigin="6872,704" coordsize="136,226" path="m6872,704l6931,744,6975,797,7001,860,7007,929e" filled="false" stroked="true" strokeweight=".642815pt" strokecolor="#7f6000">
              <v:path arrowok="t"/>
              <v:stroke dashstyle="solid"/>
            </v:shape>
            <v:shape style="position:absolute;left:7008;top:706;width:136;height:226" coordorigin="7008,706" coordsize="136,226" path="m7008,706l7068,746,7112,800,7138,863,7143,932e" filled="false" stroked="true" strokeweight=".642815pt" strokecolor="#7f6000">
              <v:path arrowok="t"/>
              <v:stroke dashstyle="solid"/>
            </v:shape>
            <v:shape style="position:absolute;left:7166;top:701;width:136;height:226" coordorigin="7166,701" coordsize="136,226" path="m7166,701l7226,741,7270,794,7296,858,7301,927e" filled="false" stroked="true" strokeweight=".642815pt" strokecolor="#7f6000">
              <v:path arrowok="t"/>
              <v:stroke dashstyle="solid"/>
            </v:shape>
            <v:shape style="position:absolute;left:7332;top:703;width:136;height:226" coordorigin="7333,704" coordsize="136,226" path="m7333,704l7392,744,7436,797,7462,860,7468,929e" filled="false" stroked="true" strokeweight=".642815pt" strokecolor="#7f6000">
              <v:path arrowok="t"/>
              <v:stroke dashstyle="solid"/>
            </v:shape>
            <v:shape style="position:absolute;left:7509;top:706;width:136;height:226" coordorigin="7510,706" coordsize="136,226" path="m7510,706l7569,746,7613,799,7639,863,7645,932e" filled="false" stroked="true" strokeweight=".642815pt" strokecolor="#7f6000">
              <v:path arrowok="t"/>
              <v:stroke dashstyle="solid"/>
            </v:shape>
            <v:rect style="position:absolute;left:5042;top:697;width:1375;height:232" filled="true" fillcolor="#ffd966" stroked="false">
              <v:fill type="solid"/>
            </v:rect>
            <v:rect style="position:absolute;left:5042;top:697;width:1375;height:232" filled="false" stroked="true" strokeweight=".429234pt" strokecolor="#7f6000">
              <v:stroke dashstyle="solid"/>
            </v:rect>
            <v:shape style="position:absolute;left:5375;top:749;width:631;height:180" coordorigin="5376,750" coordsize="631,180" path="m5376,925l5441,820,5511,782,5599,758,5699,750,5796,760,5881,786,5947,825,5990,874,6006,930e" filled="false" stroked="true" strokeweight=".64378pt" strokecolor="#7f6000">
              <v:path arrowok="t"/>
              <v:stroke dashstyle="solid"/>
            </v:shape>
            <v:shape style="position:absolute;left:5168;top:698;width:1044;height:231" coordorigin="5169,698" coordsize="1044,231" path="m5186,929l5169,887,5179,846,5214,807,5271,772,5349,743,5446,719,5558,704,5651,698,5742,699,5831,705,5914,716,5991,731,6059,752,6117,776,6195,835,6212,876,6211,896,6204,916e" filled="false" stroked="true" strokeweight=".643821pt" strokecolor="#7f6000">
              <v:path arrowok="t"/>
              <v:stroke dashstyle="solid"/>
            </v:shape>
            <v:shape style="position:absolute;left:5464;top:791;width:453;height:142" coordorigin="5464,791" coordsize="453,142" path="m5464,929l5484,875,5534,830,5607,801,5696,791,5782,803,5852,834,5899,878,5916,933e" filled="false" stroked="true" strokeweight=".643759pt" strokecolor="#7f6000">
              <v:path arrowok="t"/>
              <v:stroke dashstyle="solid"/>
            </v:shape>
            <v:shape style="position:absolute;left:6128;top:705;width:212;height:232" coordorigin="6128,706" coordsize="212,232" path="m6128,706l6195,718,6253,751,6299,801,6329,864,6340,938e" filled="false" stroked="true" strokeweight=".643087pt" strokecolor="#7f6000">
              <v:path arrowok="t"/>
              <v:stroke dashstyle="solid"/>
            </v:shape>
            <v:shape style="position:absolute;left:5083;top:704;width:217;height:223" coordorigin="5084,704" coordsize="217,223" path="m5084,927l5092,860,5121,801,5168,753,5229,719,5301,704e" filled="false" stroked="true" strokeweight=".643146pt" strokecolor="#7f6000">
              <v:path arrowok="t"/>
              <v:stroke dashstyle="solid"/>
            </v:shape>
            <v:rect style="position:absolute;left:3617;top:695;width:1422;height:232" filled="true" fillcolor="#ffd966" stroked="false">
              <v:fill type="solid"/>
            </v:rect>
            <v:rect style="position:absolute;left:3617;top:695;width:1422;height:232" filled="false" stroked="true" strokeweight=".429234pt" strokecolor="#7f6000">
              <v:stroke dashstyle="solid"/>
            </v:rect>
            <v:shape style="position:absolute;left:4826;top:696;width:207;height:138" coordorigin="4826,696" coordsize="207,138" path="m5032,834l4952,823,4886,794,4842,750,4826,696e" filled="false" stroked="true" strokeweight=".643449pt" strokecolor="#7f6000">
              <v:path arrowok="t"/>
              <v:stroke dashstyle="solid"/>
            </v:shape>
            <v:shape style="position:absolute;left:4671;top:694;width:243;height:231" coordorigin="4671,694" coordsize="243,231" path="m4914,924l4837,913,4771,880,4718,830,4684,767,4671,694e" filled="false" stroked="true" strokeweight=".643203pt" strokecolor="#7f6000">
              <v:path arrowok="t"/>
              <v:stroke dashstyle="solid"/>
            </v:shape>
            <v:shape style="position:absolute;left:4560;top:698;width:141;height:223" coordorigin="4561,699" coordsize="141,223" path="m4701,921l4641,882,4595,830,4568,767,4561,699e" filled="false" stroked="true" strokeweight=".642871pt" strokecolor="#7f6000">
              <v:path arrowok="t"/>
              <v:stroke dashstyle="solid"/>
            </v:shape>
            <v:shape style="position:absolute;left:4447;top:695;width:136;height:226" coordorigin="4448,696" coordsize="136,226" path="m4583,921l4523,882,4479,828,4453,765,4448,696e" filled="false" stroked="true" strokeweight=".642815pt" strokecolor="#7f6000">
              <v:path arrowok="t"/>
              <v:stroke dashstyle="solid"/>
            </v:shape>
            <v:shape style="position:absolute;left:4311;top:693;width:136;height:226" coordorigin="4311,693" coordsize="136,226" path="m4446,919l4386,879,4342,826,4317,762,4311,693e" filled="false" stroked="true" strokeweight=".642815pt" strokecolor="#7f6000">
              <v:path arrowok="t"/>
              <v:stroke dashstyle="solid"/>
            </v:shape>
            <v:shape style="position:absolute;left:4153;top:698;width:136;height:226" coordorigin="4153,698" coordsize="136,226" path="m4288,924l4229,884,4185,831,4159,767,4153,698e" filled="false" stroked="true" strokeweight=".642815pt" strokecolor="#7f6000">
              <v:path arrowok="t"/>
              <v:stroke dashstyle="solid"/>
            </v:shape>
            <v:shape style="position:absolute;left:3986;top:695;width:136;height:226" coordorigin="3987,696" coordsize="136,226" path="m4122,921l4062,882,4018,828,3992,765,3987,696e" filled="false" stroked="true" strokeweight=".642815pt" strokecolor="#7f6000">
              <v:path arrowok="t"/>
              <v:stroke dashstyle="solid"/>
            </v:shape>
            <v:shape style="position:absolute;left:3809;top:693;width:136;height:226" coordorigin="3810,694" coordsize="136,226" path="m3945,919l3885,879,3841,826,3815,763,3810,694e" filled="false" stroked="true" strokeweight=".642815pt" strokecolor="#7f6000">
              <v:path arrowok="t"/>
              <v:stroke dashstyle="solid"/>
            </v:shape>
            <v:shape style="position:absolute;left:3401;top:1407;width:433;height:406" coordorigin="3401,1408" coordsize="433,406" path="m3834,1813l3401,1813,3618,1408,3834,1813xe" filled="true" fillcolor="#e7e6e6" stroked="false">
              <v:path arrowok="t"/>
              <v:fill type="solid"/>
            </v:shape>
            <v:shape style="position:absolute;left:3401;top:1407;width:433;height:406" coordorigin="3401,1408" coordsize="433,406" path="m3401,1813l3618,1408,3834,1813,3401,1813xe" filled="false" stroked="true" strokeweight=".428798pt" strokecolor="#000000">
              <v:path arrowok="t"/>
              <v:stroke dashstyle="solid"/>
            </v:shape>
            <v:shape style="position:absolute;left:8954;top:1402;width:433;height:406" coordorigin="8955,1403" coordsize="433,406" path="m9388,1809l8955,1809,9171,1403,9388,1809xe" filled="true" fillcolor="#e7e6e6" stroked="false">
              <v:path arrowok="t"/>
              <v:fill type="solid"/>
            </v:shape>
            <v:shape style="position:absolute;left:8954;top:1402;width:433;height:406" coordorigin="8955,1403" coordsize="433,406" path="m8955,1809l9171,1403,9388,1809,8955,1809xe" filled="false" stroked="true" strokeweight=".428798pt" strokecolor="#000000">
              <v:path arrowok="t"/>
              <v:stroke dashstyle="solid"/>
            </v:shape>
            <v:line style="position:absolute" from="6560,378" to="6560,615" stroked="true" strokeweight=".963757pt" strokecolor="#000000">
              <v:stroke dashstyle="solid"/>
            </v:line>
            <v:shape style="position:absolute;left:6531;top:604;width:58;height:58" coordorigin="6531,605" coordsize="58,58" path="m6560,663l6531,605,6589,605,6560,663xe" filled="true" fillcolor="#000000" stroked="false">
              <v:path arrowok="t"/>
              <v:fill type="solid"/>
            </v:shape>
            <v:line style="position:absolute" from="6926,378" to="6926,615" stroked="true" strokeweight=".963757pt" strokecolor="#000000">
              <v:stroke dashstyle="solid"/>
            </v:line>
            <v:shape style="position:absolute;left:6897;top:604;width:58;height:58" coordorigin="6897,605" coordsize="58,58" path="m6926,663l6897,605,6955,605,6926,663xe" filled="true" fillcolor="#000000" stroked="false">
              <v:path arrowok="t"/>
              <v:fill type="solid"/>
            </v:shape>
            <v:line style="position:absolute" from="7322,378" to="7322,615" stroked="true" strokeweight=".963757pt" strokecolor="#000000">
              <v:stroke dashstyle="solid"/>
            </v:line>
            <v:shape style="position:absolute;left:7292;top:604;width:58;height:58" coordorigin="7293,605" coordsize="58,58" path="m7322,663l7293,605,7351,605,7322,663xe" filled="true" fillcolor="#000000" stroked="false">
              <v:path arrowok="t"/>
              <v:fill type="solid"/>
            </v:shape>
            <v:line style="position:absolute" from="6395,378" to="7322,383" stroked="true" strokeweight=".965835pt" strokecolor="#000000">
              <v:stroke dashstyle="solid"/>
            </v:line>
            <v:line style="position:absolute" from="7657,384" to="7657,620" stroked="true" strokeweight=".963757pt" strokecolor="#000000">
              <v:stroke dashstyle="solid"/>
            </v:line>
            <v:shape style="position:absolute;left:7628;top:610;width:58;height:58" coordorigin="7628,611" coordsize="58,58" path="m7657,669l7628,611,7686,611,7657,669xe" filled="true" fillcolor="#000000" stroked="false">
              <v:path arrowok="t"/>
              <v:fill type="solid"/>
            </v:shape>
            <v:line style="position:absolute" from="8044,385" to="8044,622" stroked="true" strokeweight=".963757pt" strokecolor="#000000">
              <v:stroke dashstyle="solid"/>
            </v:line>
            <v:shape style="position:absolute;left:8015;top:612;width:58;height:58" coordorigin="8015,612" coordsize="58,58" path="m8044,670l8015,612,8073,612,8044,670xe" filled="true" fillcolor="#000000" stroked="false">
              <v:path arrowok="t"/>
              <v:fill type="solid"/>
            </v:shape>
            <v:line style="position:absolute" from="7319,384" to="8246,389" stroked="true" strokeweight=".965835pt" strokecolor="#000000">
              <v:stroke dashstyle="solid"/>
            </v:line>
            <v:line style="position:absolute" from="8410,394" to="8410,630" stroked="true" strokeweight=".963757pt" strokecolor="#000000">
              <v:stroke dashstyle="solid"/>
            </v:line>
            <v:shape style="position:absolute;left:8380;top:620;width:58;height:58" coordorigin="8381,621" coordsize="58,58" path="m8410,679l8381,621,8439,621,8410,679xe" filled="true" fillcolor="#000000" stroked="false">
              <v:path arrowok="t"/>
              <v:fill type="solid"/>
            </v:shape>
            <v:line style="position:absolute" from="8776,394" to="8776,630" stroked="true" strokeweight=".963757pt" strokecolor="#000000">
              <v:stroke dashstyle="solid"/>
            </v:line>
            <v:shape style="position:absolute;left:8746;top:620;width:58;height:58" coordorigin="8747,621" coordsize="58,58" path="m8776,679l8747,621,8805,621,8776,679xe" filled="true" fillcolor="#000000" stroked="false">
              <v:path arrowok="t"/>
              <v:fill type="solid"/>
            </v:shape>
            <v:line style="position:absolute" from="9171,394" to="9171,630" stroked="true" strokeweight=".963757pt" strokecolor="#000000">
              <v:stroke dashstyle="solid"/>
            </v:line>
            <v:shape style="position:absolute;left:9142;top:620;width:58;height:58" coordorigin="9142,621" coordsize="58,58" path="m9171,679l9142,621,9200,621,9171,679xe" filled="true" fillcolor="#000000" stroked="false">
              <v:path arrowok="t"/>
              <v:fill type="solid"/>
            </v:shape>
            <v:line style="position:absolute" from="8244,394" to="9171,399" stroked="true" strokeweight=".965835pt" strokecolor="#000000">
              <v:stroke dashstyle="solid"/>
            </v:line>
            <v:line style="position:absolute" from="5472,376" to="5472,613" stroked="true" strokeweight=".963757pt" strokecolor="#000000">
              <v:stroke dashstyle="solid"/>
            </v:line>
            <v:shape style="position:absolute;left:5443;top:603;width:58;height:58" coordorigin="5443,604" coordsize="58,58" path="m5472,662l5443,604,5501,604,5472,662xe" filled="true" fillcolor="#000000" stroked="false">
              <v:path arrowok="t"/>
              <v:fill type="solid"/>
            </v:shape>
            <v:line style="position:absolute" from="5809,376" to="5809,613" stroked="true" strokeweight=".963757pt" strokecolor="#000000">
              <v:stroke dashstyle="solid"/>
            </v:line>
            <v:shape style="position:absolute;left:5780;top:603;width:58;height:58" coordorigin="5780,603" coordsize="58,58" path="m5809,661l5780,603,5838,603,5809,661xe" filled="true" fillcolor="#000000" stroked="false">
              <v:path arrowok="t"/>
              <v:fill type="solid"/>
            </v:shape>
            <v:line style="position:absolute" from="6196,378" to="6196,614" stroked="true" strokeweight=".963757pt" strokecolor="#000000">
              <v:stroke dashstyle="solid"/>
            </v:line>
            <v:shape style="position:absolute;left:6166;top:604;width:58;height:58" coordorigin="6167,605" coordsize="58,58" path="m6196,663l6167,605,6225,605,6196,663xe" filled="true" fillcolor="#000000" stroked="false">
              <v:path arrowok="t"/>
              <v:fill type="solid"/>
            </v:shape>
            <v:line style="position:absolute" from="5471,376" to="6398,382" stroked="true" strokeweight=".965835pt" strokecolor="#000000">
              <v:stroke dashstyle="solid"/>
            </v:line>
            <v:line style="position:absolute" from="4705,374" to="4705,611" stroked="true" strokeweight=".963757pt" strokecolor="#000000">
              <v:stroke dashstyle="solid"/>
            </v:line>
            <v:shape style="position:absolute;left:4676;top:601;width:58;height:58" coordorigin="4676,601" coordsize="58,58" path="m4705,659l4676,601,4734,601,4705,659xe" filled="true" fillcolor="#000000" stroked="false">
              <v:path arrowok="t"/>
              <v:fill type="solid"/>
            </v:shape>
            <v:line style="position:absolute" from="5071,374" to="5071,611" stroked="true" strokeweight=".963757pt" strokecolor="#000000">
              <v:stroke dashstyle="solid"/>
            </v:line>
            <v:shape style="position:absolute;left:5042;top:601;width:58;height:58" coordorigin="5042,601" coordsize="58,58" path="m5071,659l5042,601,5100,601,5071,659xe" filled="true" fillcolor="#000000" stroked="false">
              <v:path arrowok="t"/>
              <v:fill type="solid"/>
            </v:shape>
            <v:line style="position:absolute" from="4540,375" to="5467,380" stroked="true" strokeweight=".965835pt" strokecolor="#000000">
              <v:stroke dashstyle="solid"/>
            </v:line>
            <v:line style="position:absolute" from="3619,369" to="3619,606" stroked="true" strokeweight=".963757pt" strokecolor="#000000">
              <v:stroke dashstyle="solid"/>
            </v:line>
            <v:shape style="position:absolute;left:3590;top:596;width:58;height:58" coordorigin="3590,596" coordsize="58,58" path="m3619,654l3590,596,3648,596,3619,654xe" filled="true" fillcolor="#000000" stroked="false">
              <v:path arrowok="t"/>
              <v:fill type="solid"/>
            </v:shape>
            <v:line style="position:absolute" from="3956,369" to="3956,606" stroked="true" strokeweight=".963757pt" strokecolor="#000000">
              <v:stroke dashstyle="solid"/>
            </v:line>
            <v:shape style="position:absolute;left:3927;top:596;width:58;height:58" coordorigin="3927,596" coordsize="58,58" path="m3956,654l3927,596,3985,596,3956,654xe" filled="true" fillcolor="#000000" stroked="false">
              <v:path arrowok="t"/>
              <v:fill type="solid"/>
            </v:shape>
            <v:line style="position:absolute" from="4343,370" to="4343,607" stroked="true" strokeweight=".963757pt" strokecolor="#000000">
              <v:stroke dashstyle="solid"/>
            </v:line>
            <v:shape style="position:absolute;left:4313;top:597;width:58;height:58" coordorigin="4314,598" coordsize="58,58" path="m4343,655l4314,598,4372,598,4343,655xe" filled="true" fillcolor="#000000" stroked="false">
              <v:path arrowok="t"/>
              <v:fill type="solid"/>
            </v:shape>
            <v:line style="position:absolute" from="3618,369" to="4545,375" stroked="true" strokeweight=".965835pt" strokecolor="#000000">
              <v:stroke dashstyle="solid"/>
            </v:line>
            <v:line style="position:absolute" from="3618,369" to="9171,389" stroked="true" strokeweight="1.107526pt" strokecolor="#000000">
              <v:stroke dashstyle="solid"/>
            </v:line>
            <v:shape style="position:absolute;left:4051;top:1586;width:487;height:191" type="#_x0000_t202" filled="false" stroked="false">
              <v:textbox inset="0,0,0,0">
                <w:txbxContent>
                  <w:p>
                    <w:pPr>
                      <w:spacing w:line="190" w:lineRule="exact" w:before="0"/>
                      <w:ind w:left="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m, E, I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sz w:val="17"/>
        </w:rPr>
        <w:t>w(t)</w:t>
      </w:r>
    </w:p>
    <w:p>
      <w:pPr>
        <w:pStyle w:val="BodyText"/>
        <w:spacing w:before="1"/>
        <w:rPr>
          <w:sz w:val="4"/>
        </w:rPr>
      </w:pPr>
    </w:p>
    <w:p>
      <w:pPr>
        <w:pStyle w:val="BodyText"/>
        <w:spacing w:line="119" w:lineRule="exact"/>
        <w:ind w:left="1891"/>
        <w:rPr>
          <w:sz w:val="11"/>
        </w:rPr>
      </w:pPr>
      <w:r>
        <w:rPr>
          <w:position w:val="-1"/>
          <w:sz w:val="11"/>
        </w:rPr>
        <w:pict>
          <v:group style="width:277.7pt;height:6pt;mso-position-horizontal-relative:char;mso-position-vertical-relative:line" coordorigin="0,0" coordsize="5554,120">
            <v:line style="position:absolute" from="64,39" to="5489,81" stroked="true" strokeweight="1.107521pt" strokecolor="#000000">
              <v:stroke dashstyle="solid"/>
            </v:line>
            <v:shape style="position:absolute;left:-1;top:0;width:5554;height:120" coordorigin="0,0" coordsize="5554,120" path="m77,0l0,38,77,77,77,0xm5554,82l5477,42,5476,120,5554,82xe" filled="true" fillcolor="#000000" stroked="false">
              <v:path arrowok="t"/>
              <v:fill type="solid"/>
            </v:shape>
          </v:group>
        </w:pict>
      </w:r>
      <w:r>
        <w:rPr>
          <w:position w:val="-1"/>
          <w:sz w:val="11"/>
        </w:rPr>
      </w:r>
    </w:p>
    <w:p>
      <w:pPr>
        <w:spacing w:before="126"/>
        <w:ind w:left="0" w:right="206" w:firstLine="0"/>
        <w:jc w:val="center"/>
        <w:rPr>
          <w:sz w:val="17"/>
        </w:rPr>
      </w:pPr>
      <w:r>
        <w:rPr>
          <w:w w:val="100"/>
          <w:sz w:val="17"/>
        </w:rPr>
        <w:t>L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3"/>
        </w:rPr>
      </w:pPr>
      <w:r>
        <w:rPr/>
        <w:pict>
          <v:group style="position:absolute;margin-left:169.84845pt;margin-top:9.656856pt;width:299.75pt;height:33.8pt;mso-position-horizontal-relative:page;mso-position-vertical-relative:paragraph;z-index:-15566336;mso-wrap-distance-left:0;mso-wrap-distance-right:0" coordorigin="3397,193" coordsize="5995,676">
            <v:shape style="position:absolute;left:3401;top:458;width:433;height:406" coordorigin="3401,459" coordsize="433,406" path="m3834,864l3401,864,3618,459,3834,864xe" filled="true" fillcolor="#e7e6e6" stroked="false">
              <v:path arrowok="t"/>
              <v:fill type="solid"/>
            </v:shape>
            <v:shape style="position:absolute;left:3401;top:458;width:433;height:406" coordorigin="3401,459" coordsize="433,406" path="m3401,864l3618,459,3834,864,3401,864xe" filled="false" stroked="true" strokeweight=".428798pt" strokecolor="#000000">
              <v:path arrowok="t"/>
              <v:stroke dashstyle="solid"/>
            </v:shape>
            <v:shape style="position:absolute;left:3609;top:204;width:2621;height:605" coordorigin="3610,205" coordsize="2621,605" path="m6196,810l3610,455,3644,205,6230,560,6196,810xe" filled="true" fillcolor="#ffd966" stroked="false">
              <v:path arrowok="t"/>
              <v:fill type="solid"/>
            </v:shape>
            <v:shape style="position:absolute;left:3609;top:204;width:2621;height:605" coordorigin="3610,205" coordsize="2621,605" path="m3644,205l6230,560,6196,810,3610,455,3644,205xe" filled="false" stroked="true" strokeweight=".429194pt" strokecolor="#7f6000">
              <v:path arrowok="t"/>
              <v:stroke dashstyle="solid"/>
            </v:shape>
            <v:shape style="position:absolute;left:8954;top:453;width:433;height:406" coordorigin="8955,454" coordsize="433,406" path="m9388,859l8955,859,9171,454,9388,859xe" filled="true" fillcolor="#e7e6e6" stroked="false">
              <v:path arrowok="t"/>
              <v:fill type="solid"/>
            </v:shape>
            <v:shape style="position:absolute;left:8954;top:453;width:433;height:406" coordorigin="8955,454" coordsize="433,406" path="m8955,859l9171,454,9388,859,8955,859xe" filled="false" stroked="true" strokeweight=".428798pt" strokecolor="#000000">
              <v:path arrowok="t"/>
              <v:stroke dashstyle="solid"/>
            </v:shape>
            <v:shape style="position:absolute;left:6487;top:197;width:2695;height:641" coordorigin="6487,197" coordsize="2695,641" path="m9182,447l6524,838,6487,588,9145,197,9182,447xe" filled="true" fillcolor="#ffd966" stroked="false">
              <v:path arrowok="t"/>
              <v:fill type="solid"/>
            </v:shape>
            <v:shape style="position:absolute;left:6487;top:197;width:2695;height:641" coordorigin="6487,197" coordsize="2695,641" path="m6487,588l9145,197,9182,447,6524,838,6487,588xe" filled="false" stroked="true" strokeweight=".429192pt" strokecolor="#7f6000">
              <v:path arrowok="t"/>
              <v:stroke dashstyle="solid"/>
            </v:shape>
            <v:shape style="position:absolute;left:6224;top:558;width:262;height:253" type="#_x0000_t75" stroked="false">
              <v:imagedata r:id="rId420" o:title=""/>
            </v:shape>
            <w10:wrap type="topAndBottom"/>
          </v:group>
        </w:pict>
      </w:r>
    </w:p>
    <w:p>
      <w:pPr>
        <w:spacing w:before="97"/>
        <w:ind w:left="42" w:right="215" w:firstLine="0"/>
        <w:jc w:val="center"/>
        <w:rPr>
          <w:sz w:val="17"/>
        </w:rPr>
      </w:pPr>
      <w:r>
        <w:rPr>
          <w:sz w:val="17"/>
        </w:rPr>
        <w:t>Plastic</w:t>
      </w:r>
      <w:r>
        <w:rPr>
          <w:spacing w:val="-1"/>
          <w:sz w:val="17"/>
        </w:rPr>
        <w:t> </w:t>
      </w:r>
      <w:r>
        <w:rPr>
          <w:sz w:val="17"/>
        </w:rPr>
        <w:t>hinge</w:t>
      </w:r>
      <w:r>
        <w:rPr>
          <w:spacing w:val="-1"/>
          <w:sz w:val="17"/>
        </w:rPr>
        <w:t> </w:t>
      </w:r>
      <w:r>
        <w:rPr>
          <w:sz w:val="17"/>
        </w:rPr>
        <w:t>forms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9"/>
        </w:rPr>
      </w:pPr>
    </w:p>
    <w:p>
      <w:pPr>
        <w:spacing w:before="90"/>
        <w:ind w:left="20" w:right="0" w:firstLine="0"/>
        <w:jc w:val="center"/>
        <w:rPr>
          <w:i/>
          <w:sz w:val="24"/>
        </w:rPr>
      </w:pPr>
      <w:bookmarkStart w:name="_bookmark175" w:id="518"/>
      <w:bookmarkEnd w:id="518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8-3.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CLT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panel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with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blast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load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development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plastic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hinge.</w:t>
      </w:r>
    </w:p>
    <w:p>
      <w:pPr>
        <w:spacing w:after="0"/>
        <w:jc w:val="center"/>
        <w:rPr>
          <w:sz w:val="24"/>
        </w:rPr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7"/>
        <w:ind w:left="439" w:right="417" w:firstLine="720"/>
        <w:jc w:val="both"/>
      </w:pPr>
      <w:r>
        <w:rPr/>
        <w:pict>
          <v:shape style="position:absolute;margin-left:275.720001pt;margin-top:122.857658pt;width:268.45pt;height:56.1pt;mso-position-horizontal-relative:page;mso-position-vertical-relative:paragraph;z-index:1589299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798"/>
                    <w:gridCol w:w="862"/>
                    <w:gridCol w:w="1708"/>
                  </w:tblGrid>
                  <w:tr>
                    <w:trPr>
                      <w:trHeight w:val="589" w:hRule="atLeast"/>
                    </w:trPr>
                    <w:tc>
                      <w:tcPr>
                        <w:tcW w:w="2798" w:type="dxa"/>
                      </w:tcPr>
                      <w:p>
                        <w:pPr>
                          <w:pStyle w:val="TableParagraph"/>
                          <w:spacing w:line="191" w:lineRule="exact"/>
                          <w:ind w:right="1445"/>
                          <w:jc w:val="right"/>
                          <w:rPr>
                            <w:rFonts w:ascii="Cambria Math" w:eastAsia="Cambria Math"/>
                            <w:sz w:val="24"/>
                          </w:rPr>
                        </w:pPr>
                        <w:r>
                          <w:rPr>
                            <w:rFonts w:ascii="Cambria Math" w:eastAsia="Cambria Math"/>
                            <w:sz w:val="24"/>
                          </w:rPr>
                          <w:t>𝑤(𝑡)𝐿</w:t>
                        </w:r>
                        <w:r>
                          <w:rPr>
                            <w:rFonts w:ascii="Cambria Math" w:eastAsia="Cambria Math"/>
                            <w:sz w:val="24"/>
                            <w:vertAlign w:val="superscript"/>
                          </w:rPr>
                          <w:t>2</w:t>
                        </w:r>
                      </w:p>
                      <w:p>
                        <w:pPr>
                          <w:pStyle w:val="TableParagraph"/>
                          <w:tabs>
                            <w:tab w:pos="857" w:val="left" w:leader="none"/>
                          </w:tabs>
                          <w:spacing w:line="81" w:lineRule="auto"/>
                          <w:ind w:right="1421"/>
                          <w:jc w:val="right"/>
                          <w:rPr>
                            <w:rFonts w:ascii="Cambria Math" w:eastAsia="Cambria Math"/>
                            <w:sz w:val="17"/>
                          </w:rPr>
                        </w:pPr>
                        <w:r>
                          <w:rPr>
                            <w:rFonts w:ascii="Cambria Math" w:eastAsia="Cambria Math"/>
                            <w:w w:val="110"/>
                            <w:position w:val="-13"/>
                            <w:sz w:val="24"/>
                          </w:rPr>
                          <w:t>=</w:t>
                          <w:tab/>
                        </w:r>
                        <w:r>
                          <w:rPr>
                            <w:rFonts w:ascii="Cambria Math" w:eastAsia="Cambria Math"/>
                            <w:w w:val="110"/>
                            <w:sz w:val="17"/>
                          </w:rPr>
                          <w:t>𝑝</w:t>
                        </w:r>
                      </w:p>
                      <w:p>
                        <w:pPr>
                          <w:pStyle w:val="TableParagraph"/>
                          <w:tabs>
                            <w:tab w:pos="953" w:val="left" w:leader="none"/>
                          </w:tabs>
                          <w:spacing w:line="124" w:lineRule="auto"/>
                          <w:ind w:left="-12"/>
                          <w:rPr>
                            <w:rFonts w:ascii="Cambria Math" w:eastAsia="Cambria Math"/>
                            <w:sz w:val="24"/>
                          </w:rPr>
                        </w:pPr>
                        <w:r>
                          <w:rPr>
                            <w:rFonts w:ascii="Cambria Math" w:eastAsia="Cambria Math"/>
                            <w:w w:val="105"/>
                            <w:sz w:val="17"/>
                          </w:rPr>
                          <w:t>𝑎𝑥,𝑒</w:t>
                          <w:tab/>
                        </w:r>
                        <w:r>
                          <w:rPr>
                            <w:rFonts w:ascii="Cambria Math" w:eastAsia="Cambria Math"/>
                            <w:w w:val="105"/>
                            <w:position w:val="-10"/>
                            <w:sz w:val="24"/>
                          </w:rPr>
                          <w:t>8</w:t>
                        </w:r>
                      </w:p>
                    </w:tc>
                    <w:tc>
                      <w:tcPr>
                        <w:tcW w:w="86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1708" w:type="dxa"/>
                      </w:tcPr>
                      <w:p>
                        <w:pPr>
                          <w:pStyle w:val="TableParagraph"/>
                          <w:spacing w:before="140"/>
                          <w:ind w:left="1048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(8.9)</w:t>
                        </w:r>
                      </w:p>
                    </w:tc>
                  </w:tr>
                  <w:tr>
                    <w:trPr>
                      <w:trHeight w:val="260" w:hRule="atLeast"/>
                    </w:trPr>
                    <w:tc>
                      <w:tcPr>
                        <w:tcW w:w="2798" w:type="dxa"/>
                      </w:tcPr>
                      <w:p>
                        <w:pPr>
                          <w:pStyle w:val="TableParagraph"/>
                          <w:spacing w:line="241" w:lineRule="exact"/>
                          <w:ind w:right="143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where</w:t>
                        </w:r>
                      </w:p>
                    </w:tc>
                    <w:tc>
                      <w:tcPr>
                        <w:tcW w:w="862" w:type="dxa"/>
                      </w:tcPr>
                      <w:p>
                        <w:pPr>
                          <w:pStyle w:val="TableParagraph"/>
                          <w:spacing w:line="241" w:lineRule="exact"/>
                          <w:ind w:right="106"/>
                          <w:jc w:val="right"/>
                          <w:rPr>
                            <w:i/>
                            <w:sz w:val="24"/>
                          </w:rPr>
                        </w:pPr>
                        <w:r>
                          <w:rPr>
                            <w:i/>
                            <w:sz w:val="24"/>
                          </w:rPr>
                          <w:t>w(t)</w:t>
                        </w:r>
                        <w:r>
                          <w:rPr>
                            <w:i/>
                            <w:spacing w:val="-3"/>
                            <w:sz w:val="24"/>
                          </w:rPr>
                          <w:t> </w:t>
                        </w:r>
                        <w:r>
                          <w:rPr>
                            <w:i/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708" w:type="dxa"/>
                      </w:tcPr>
                      <w:p>
                        <w:pPr>
                          <w:pStyle w:val="TableParagraph"/>
                          <w:spacing w:line="241" w:lineRule="exact"/>
                          <w:ind w:left="108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blast</w:t>
                        </w:r>
                        <w:r>
                          <w:rPr>
                            <w:spacing w:val="-2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load</w:t>
                        </w:r>
                      </w:p>
                    </w:tc>
                  </w:tr>
                  <w:tr>
                    <w:trPr>
                      <w:trHeight w:val="271" w:hRule="atLeast"/>
                    </w:trPr>
                    <w:tc>
                      <w:tcPr>
                        <w:tcW w:w="2798" w:type="dxa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862" w:type="dxa"/>
                      </w:tcPr>
                      <w:p>
                        <w:pPr>
                          <w:pStyle w:val="TableParagraph"/>
                          <w:spacing w:line="251" w:lineRule="exact"/>
                          <w:ind w:right="105"/>
                          <w:jc w:val="right"/>
                          <w:rPr>
                            <w:i/>
                            <w:sz w:val="24"/>
                          </w:rPr>
                        </w:pPr>
                        <w:r>
                          <w:rPr>
                            <w:i/>
                            <w:position w:val="1"/>
                            <w:sz w:val="24"/>
                          </w:rPr>
                          <w:t>L</w:t>
                        </w:r>
                        <w:r>
                          <w:rPr>
                            <w:i/>
                            <w:sz w:val="16"/>
                          </w:rPr>
                          <w:t>p</w:t>
                        </w:r>
                        <w:r>
                          <w:rPr>
                            <w:i/>
                            <w:spacing w:val="19"/>
                            <w:sz w:val="16"/>
                          </w:rPr>
                          <w:t> </w:t>
                        </w:r>
                        <w:r>
                          <w:rPr>
                            <w:i/>
                            <w:position w:val="1"/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708" w:type="dxa"/>
                      </w:tcPr>
                      <w:p>
                        <w:pPr>
                          <w:pStyle w:val="TableParagraph"/>
                          <w:spacing w:line="251" w:lineRule="exact"/>
                          <w:ind w:left="108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panel</w:t>
                        </w:r>
                        <w:r>
                          <w:rPr>
                            <w:spacing w:val="-1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length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position w:val="1"/>
        </w:rPr>
        <w:t>Based on mechanics, the maximum elastic moment, </w:t>
      </w:r>
      <w:r>
        <w:rPr>
          <w:i/>
          <w:position w:val="1"/>
        </w:rPr>
        <w:t>M</w:t>
      </w:r>
      <w:r>
        <w:rPr>
          <w:i/>
          <w:sz w:val="16"/>
        </w:rPr>
        <w:t>max,e</w:t>
      </w:r>
      <w:r>
        <w:rPr>
          <w:position w:val="1"/>
        </w:rPr>
        <w:t>, for the panel is given</w:t>
      </w:r>
      <w:r>
        <w:rPr>
          <w:spacing w:val="1"/>
          <w:position w:val="1"/>
        </w:rPr>
        <w:t> </w:t>
      </w:r>
      <w:r>
        <w:rPr>
          <w:position w:val="1"/>
        </w:rPr>
        <w:t>by Equation 8.9 and the displacement, </w:t>
      </w:r>
      <w:r>
        <w:rPr>
          <w:i/>
          <w:position w:val="1"/>
        </w:rPr>
        <w:t>x</w:t>
      </w:r>
      <w:r>
        <w:rPr>
          <w:i/>
          <w:sz w:val="16"/>
        </w:rPr>
        <w:t>e</w:t>
      </w:r>
      <w:r>
        <w:rPr>
          <w:position w:val="1"/>
        </w:rPr>
        <w:t>, is given by Equation 8.10. The force required to</w:t>
      </w:r>
      <w:r>
        <w:rPr>
          <w:spacing w:val="-58"/>
          <w:position w:val="1"/>
        </w:rPr>
        <w:t> </w:t>
      </w:r>
      <w:r>
        <w:rPr>
          <w:position w:val="1"/>
        </w:rPr>
        <w:t>resist</w:t>
      </w:r>
      <w:r>
        <w:rPr>
          <w:spacing w:val="-6"/>
          <w:position w:val="1"/>
        </w:rPr>
        <w:t> </w:t>
      </w:r>
      <w:r>
        <w:rPr>
          <w:position w:val="1"/>
        </w:rPr>
        <w:t>this</w:t>
      </w:r>
      <w:r>
        <w:rPr>
          <w:spacing w:val="-6"/>
          <w:position w:val="1"/>
        </w:rPr>
        <w:t> </w:t>
      </w:r>
      <w:r>
        <w:rPr>
          <w:position w:val="1"/>
        </w:rPr>
        <w:t>deflection,</w:t>
      </w:r>
      <w:r>
        <w:rPr>
          <w:spacing w:val="-6"/>
          <w:position w:val="1"/>
        </w:rPr>
        <w:t> </w:t>
      </w:r>
      <w:r>
        <w:rPr>
          <w:position w:val="1"/>
        </w:rPr>
        <w:t>or</w:t>
      </w:r>
      <w:r>
        <w:rPr>
          <w:spacing w:val="-7"/>
          <w:position w:val="1"/>
        </w:rPr>
        <w:t> </w:t>
      </w:r>
      <w:r>
        <w:rPr>
          <w:position w:val="1"/>
        </w:rPr>
        <w:t>elastic</w:t>
      </w:r>
      <w:r>
        <w:rPr>
          <w:spacing w:val="-6"/>
          <w:position w:val="1"/>
        </w:rPr>
        <w:t> </w:t>
      </w:r>
      <w:r>
        <w:rPr>
          <w:position w:val="1"/>
        </w:rPr>
        <w:t>resistance</w:t>
      </w:r>
      <w:r>
        <w:rPr>
          <w:spacing w:val="-6"/>
          <w:position w:val="1"/>
        </w:rPr>
        <w:t> </w:t>
      </w:r>
      <w:r>
        <w:rPr>
          <w:position w:val="1"/>
        </w:rPr>
        <w:t>of</w:t>
      </w:r>
      <w:r>
        <w:rPr>
          <w:spacing w:val="-6"/>
          <w:position w:val="1"/>
        </w:rPr>
        <w:t> </w:t>
      </w:r>
      <w:r>
        <w:rPr>
          <w:position w:val="1"/>
        </w:rPr>
        <w:t>the</w:t>
      </w:r>
      <w:r>
        <w:rPr>
          <w:spacing w:val="-6"/>
          <w:position w:val="1"/>
        </w:rPr>
        <w:t> </w:t>
      </w:r>
      <w:r>
        <w:rPr>
          <w:position w:val="1"/>
        </w:rPr>
        <w:t>panel,</w:t>
      </w:r>
      <w:r>
        <w:rPr>
          <w:spacing w:val="-6"/>
          <w:position w:val="1"/>
        </w:rPr>
        <w:t> </w:t>
      </w:r>
      <w:r>
        <w:rPr>
          <w:i/>
          <w:position w:val="1"/>
        </w:rPr>
        <w:t>R</w:t>
      </w:r>
      <w:r>
        <w:rPr>
          <w:i/>
          <w:sz w:val="16"/>
        </w:rPr>
        <w:t>u</w:t>
      </w:r>
      <w:r>
        <w:rPr>
          <w:position w:val="1"/>
        </w:rPr>
        <w:t>,</w:t>
      </w:r>
      <w:r>
        <w:rPr>
          <w:spacing w:val="-7"/>
          <w:position w:val="1"/>
        </w:rPr>
        <w:t> </w:t>
      </w:r>
      <w:r>
        <w:rPr>
          <w:position w:val="1"/>
        </w:rPr>
        <w:t>can</w:t>
      </w:r>
      <w:r>
        <w:rPr>
          <w:spacing w:val="-6"/>
          <w:position w:val="1"/>
        </w:rPr>
        <w:t> </w:t>
      </w:r>
      <w:r>
        <w:rPr>
          <w:position w:val="1"/>
        </w:rPr>
        <w:t>be</w:t>
      </w:r>
      <w:r>
        <w:rPr>
          <w:spacing w:val="-6"/>
          <w:position w:val="1"/>
        </w:rPr>
        <w:t> </w:t>
      </w:r>
      <w:r>
        <w:rPr>
          <w:position w:val="1"/>
        </w:rPr>
        <w:t>then</w:t>
      </w:r>
      <w:r>
        <w:rPr>
          <w:spacing w:val="-6"/>
          <w:position w:val="1"/>
        </w:rPr>
        <w:t> </w:t>
      </w:r>
      <w:r>
        <w:rPr>
          <w:position w:val="1"/>
        </w:rPr>
        <w:t>be</w:t>
      </w:r>
      <w:r>
        <w:rPr>
          <w:spacing w:val="-6"/>
          <w:position w:val="1"/>
        </w:rPr>
        <w:t> </w:t>
      </w:r>
      <w:r>
        <w:rPr>
          <w:position w:val="1"/>
        </w:rPr>
        <w:t>found,</w:t>
      </w:r>
      <w:r>
        <w:rPr>
          <w:spacing w:val="-6"/>
          <w:position w:val="1"/>
        </w:rPr>
        <w:t> </w:t>
      </w:r>
      <w:r>
        <w:rPr>
          <w:position w:val="1"/>
        </w:rPr>
        <w:t>by</w:t>
      </w:r>
      <w:r>
        <w:rPr>
          <w:spacing w:val="-6"/>
          <w:position w:val="1"/>
        </w:rPr>
        <w:t> </w:t>
      </w:r>
      <w:r>
        <w:rPr>
          <w:position w:val="1"/>
        </w:rPr>
        <w:t>solving</w:t>
      </w:r>
      <w:r>
        <w:rPr>
          <w:spacing w:val="-58"/>
          <w:position w:val="1"/>
        </w:rPr>
        <w:t> </w:t>
      </w:r>
      <w:r>
        <w:rPr/>
        <w:t>for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load,</w:t>
      </w:r>
      <w:r>
        <w:rPr>
          <w:spacing w:val="-3"/>
        </w:rPr>
        <w:t> </w:t>
      </w:r>
      <w:r>
        <w:rPr>
          <w:i/>
        </w:rPr>
        <w:t>w(t)</w:t>
      </w:r>
      <w:r>
        <w:rPr/>
        <w:t>, and</w:t>
      </w:r>
      <w:r>
        <w:rPr>
          <w:spacing w:val="-1"/>
        </w:rPr>
        <w:t> </w:t>
      </w:r>
      <w:r>
        <w:rPr/>
        <w:t>dividing</w:t>
      </w:r>
      <w:r>
        <w:rPr>
          <w:spacing w:val="-1"/>
        </w:rPr>
        <w:t> </w:t>
      </w:r>
      <w:r>
        <w:rPr/>
        <w:t>by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panel</w:t>
      </w:r>
      <w:r>
        <w:rPr>
          <w:spacing w:val="-1"/>
        </w:rPr>
        <w:t> </w:t>
      </w:r>
      <w:r>
        <w:rPr/>
        <w:t>length,</w:t>
      </w:r>
      <w:r>
        <w:rPr>
          <w:spacing w:val="-1"/>
        </w:rPr>
        <w:t> </w:t>
      </w:r>
      <w:r>
        <w:rPr>
          <w:i/>
        </w:rPr>
        <w:t>L,</w:t>
      </w:r>
      <w:r>
        <w:rPr>
          <w:i/>
          <w:spacing w:val="-1"/>
        </w:rPr>
        <w:t> </w:t>
      </w:r>
      <w:r>
        <w:rPr/>
        <w:t>as shown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Equation</w:t>
      </w:r>
      <w:r>
        <w:rPr>
          <w:spacing w:val="-1"/>
        </w:rPr>
        <w:t> </w:t>
      </w:r>
      <w:r>
        <w:rPr/>
        <w:t>8.11 [104].</w:t>
      </w:r>
    </w:p>
    <w:p>
      <w:pPr>
        <w:pStyle w:val="BodyText"/>
        <w:spacing w:before="7"/>
        <w:rPr>
          <w:sz w:val="30"/>
        </w:rPr>
      </w:pPr>
    </w:p>
    <w:p>
      <w:pPr>
        <w:spacing w:before="0"/>
        <w:ind w:left="42" w:right="2322" w:firstLine="0"/>
        <w:jc w:val="center"/>
        <w:rPr>
          <w:rFonts w:ascii="Cambria Math" w:eastAsia="Cambria Math"/>
          <w:sz w:val="17"/>
        </w:rPr>
      </w:pPr>
      <w:r>
        <w:rPr/>
        <w:pict>
          <v:rect style="position:absolute;margin-left:308.459991pt;margin-top:7.622334pt;width:36.54pt;height:.78pt;mso-position-horizontal-relative:page;mso-position-vertical-relative:paragraph;z-index:15891456" filled="true" fillcolor="#000000" stroked="false">
            <v:fill type="solid"/>
            <w10:wrap type="none"/>
          </v:rect>
        </w:pict>
      </w:r>
      <w:r>
        <w:rPr>
          <w:rFonts w:ascii="Cambria Math" w:eastAsia="Cambria Math"/>
          <w:w w:val="105"/>
          <w:sz w:val="24"/>
        </w:rPr>
        <w:t>𝑀</w:t>
      </w:r>
      <w:r>
        <w:rPr>
          <w:rFonts w:ascii="Cambria Math" w:eastAsia="Cambria Math"/>
          <w:w w:val="105"/>
          <w:position w:val="-4"/>
          <w:sz w:val="17"/>
        </w:rPr>
        <w:t>𝑚</w:t>
      </w: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spacing w:before="11"/>
        <w:rPr>
          <w:rFonts w:ascii="Cambria Math"/>
        </w:rPr>
      </w:pPr>
    </w:p>
    <w:p>
      <w:pPr>
        <w:spacing w:after="0"/>
        <w:rPr>
          <w:rFonts w:ascii="Cambria Math"/>
        </w:rPr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before="10"/>
        <w:rPr>
          <w:rFonts w:ascii="Cambria Math"/>
          <w:sz w:val="23"/>
        </w:rPr>
      </w:pPr>
    </w:p>
    <w:p>
      <w:pPr>
        <w:spacing w:before="0"/>
        <w:ind w:left="0" w:right="0" w:firstLine="0"/>
        <w:jc w:val="right"/>
        <w:rPr>
          <w:rFonts w:ascii="Cambria Math" w:eastAsia="Cambria Math"/>
          <w:sz w:val="17"/>
        </w:rPr>
      </w:pPr>
      <w:r>
        <w:rPr>
          <w:rFonts w:ascii="Cambria Math" w:eastAsia="Cambria Math"/>
          <w:w w:val="105"/>
          <w:sz w:val="24"/>
        </w:rPr>
        <w:t>𝑥</w:t>
      </w:r>
      <w:r>
        <w:rPr>
          <w:rFonts w:ascii="Cambria Math" w:eastAsia="Cambria Math"/>
          <w:w w:val="105"/>
          <w:position w:val="-4"/>
          <w:sz w:val="17"/>
        </w:rPr>
        <w:t>𝑒</w:t>
      </w:r>
    </w:p>
    <w:p>
      <w:pPr>
        <w:pStyle w:val="BodyText"/>
        <w:spacing w:line="234" w:lineRule="exact" w:before="92"/>
        <w:ind w:left="287"/>
        <w:rPr>
          <w:rFonts w:ascii="Cambria Math" w:eastAsia="Cambria Math"/>
        </w:rPr>
      </w:pPr>
      <w:r>
        <w:rPr/>
        <w:br w:type="column"/>
      </w:r>
      <w:r>
        <w:rPr>
          <w:rFonts w:ascii="Cambria Math" w:eastAsia="Cambria Math"/>
        </w:rPr>
        <w:t>5𝑤(𝑡)𝐿</w:t>
      </w:r>
      <w:r>
        <w:rPr>
          <w:rFonts w:ascii="Cambria Math" w:eastAsia="Cambria Math"/>
          <w:vertAlign w:val="superscript"/>
        </w:rPr>
        <w:t>3</w:t>
      </w:r>
    </w:p>
    <w:p>
      <w:pPr>
        <w:pStyle w:val="BodyText"/>
        <w:spacing w:line="174" w:lineRule="exact"/>
        <w:ind w:left="41"/>
        <w:rPr>
          <w:rFonts w:ascii="Cambria Math"/>
        </w:rPr>
      </w:pPr>
      <w:r>
        <w:rPr/>
        <w:pict>
          <v:rect style="position:absolute;margin-left:293.399994pt;margin-top:5.268165pt;width:43.2pt;height:.78pt;mso-position-horizontal-relative:page;mso-position-vertical-relative:paragraph;z-index:15891968" filled="true" fillcolor="#000000" stroked="false">
            <v:fill type="solid"/>
            <w10:wrap type="none"/>
          </v:rect>
        </w:pict>
      </w:r>
      <w:r>
        <w:rPr/>
        <w:pict>
          <v:shape style="position:absolute;margin-left:330.600006pt;margin-top:-4.487285pt;width:5.4pt;height:8.550pt;mso-position-horizontal-relative:page;mso-position-vertical-relative:paragraph;z-index:-34814464" type="#_x0000_t202" filled="false" stroked="false">
            <v:textbox inset="0,0,0,0">
              <w:txbxContent>
                <w:p>
                  <w:pPr>
                    <w:spacing w:line="170" w:lineRule="exact" w:before="0"/>
                    <w:ind w:left="0" w:right="0" w:firstLine="0"/>
                    <w:jc w:val="left"/>
                    <w:rPr>
                      <w:rFonts w:ascii="Cambria Math" w:eastAsia="Cambria Math"/>
                      <w:sz w:val="17"/>
                    </w:rPr>
                  </w:pPr>
                  <w:r>
                    <w:rPr>
                      <w:rFonts w:ascii="Cambria Math" w:eastAsia="Cambria Math"/>
                      <w:w w:val="110"/>
                      <w:sz w:val="17"/>
                    </w:rPr>
                    <w:t>𝑝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24.019989pt;margin-top:5.658165pt;width:214.15pt;height:72.25pt;mso-position-horizontal-relative:page;mso-position-vertical-relative:paragraph;z-index:1589350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932"/>
                    <w:gridCol w:w="862"/>
                    <w:gridCol w:w="2488"/>
                  </w:tblGrid>
                  <w:tr>
                    <w:trPr>
                      <w:trHeight w:val="621" w:hRule="atLeast"/>
                    </w:trPr>
                    <w:tc>
                      <w:tcPr>
                        <w:tcW w:w="932" w:type="dxa"/>
                      </w:tcPr>
                      <w:p>
                        <w:pPr>
                          <w:pStyle w:val="TableParagraph"/>
                          <w:ind w:left="-105"/>
                          <w:rPr>
                            <w:rFonts w:ascii="Cambria Math" w:eastAsia="Cambria Math"/>
                            <w:sz w:val="24"/>
                          </w:rPr>
                        </w:pPr>
                        <w:r>
                          <w:rPr>
                            <w:rFonts w:ascii="Cambria Math" w:eastAsia="Cambria Math"/>
                            <w:sz w:val="24"/>
                          </w:rPr>
                          <w:t>𝐸𝐼</w:t>
                        </w:r>
                      </w:p>
                      <w:p>
                        <w:pPr>
                          <w:pStyle w:val="TableParagraph"/>
                          <w:spacing w:line="262" w:lineRule="exact" w:before="58"/>
                          <w:ind w:left="20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where</w:t>
                        </w:r>
                      </w:p>
                    </w:tc>
                    <w:tc>
                      <w:tcPr>
                        <w:tcW w:w="862" w:type="dxa"/>
                      </w:tcPr>
                      <w:p>
                        <w:pPr>
                          <w:pStyle w:val="TableParagraph"/>
                          <w:spacing w:before="7"/>
                          <w:rPr>
                            <w:sz w:val="29"/>
                          </w:rPr>
                        </w:pPr>
                      </w:p>
                      <w:p>
                        <w:pPr>
                          <w:pStyle w:val="TableParagraph"/>
                          <w:spacing w:line="260" w:lineRule="exact"/>
                          <w:ind w:right="106"/>
                          <w:jc w:val="right"/>
                          <w:rPr>
                            <w:i/>
                            <w:sz w:val="24"/>
                          </w:rPr>
                        </w:pPr>
                        <w:r>
                          <w:rPr>
                            <w:i/>
                            <w:sz w:val="24"/>
                          </w:rPr>
                          <w:t>w(t)</w:t>
                        </w:r>
                        <w:r>
                          <w:rPr>
                            <w:i/>
                            <w:spacing w:val="-3"/>
                            <w:sz w:val="24"/>
                          </w:rPr>
                          <w:t> </w:t>
                        </w:r>
                        <w:r>
                          <w:rPr>
                            <w:i/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2488" w:type="dxa"/>
                      </w:tcPr>
                      <w:p>
                        <w:pPr>
                          <w:pStyle w:val="TableParagraph"/>
                          <w:spacing w:before="5"/>
                          <w:rPr>
                            <w:sz w:val="29"/>
                          </w:rPr>
                        </w:pPr>
                      </w:p>
                      <w:p>
                        <w:pPr>
                          <w:pStyle w:val="TableParagraph"/>
                          <w:spacing w:line="262" w:lineRule="exact" w:before="1"/>
                          <w:ind w:left="108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blast</w:t>
                        </w:r>
                        <w:r>
                          <w:rPr>
                            <w:spacing w:val="-2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load</w:t>
                        </w:r>
                      </w:p>
                    </w:tc>
                  </w:tr>
                  <w:tr>
                    <w:trPr>
                      <w:trHeight w:val="276" w:hRule="atLeast"/>
                    </w:trPr>
                    <w:tc>
                      <w:tcPr>
                        <w:tcW w:w="932" w:type="dxa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862" w:type="dxa"/>
                      </w:tcPr>
                      <w:p>
                        <w:pPr>
                          <w:pStyle w:val="TableParagraph"/>
                          <w:spacing w:line="256" w:lineRule="exact"/>
                          <w:ind w:right="105"/>
                          <w:jc w:val="right"/>
                          <w:rPr>
                            <w:i/>
                            <w:sz w:val="24"/>
                          </w:rPr>
                        </w:pPr>
                        <w:r>
                          <w:rPr>
                            <w:i/>
                            <w:position w:val="1"/>
                            <w:sz w:val="24"/>
                          </w:rPr>
                          <w:t>L</w:t>
                        </w:r>
                        <w:r>
                          <w:rPr>
                            <w:i/>
                            <w:sz w:val="16"/>
                          </w:rPr>
                          <w:t>p</w:t>
                        </w:r>
                        <w:r>
                          <w:rPr>
                            <w:i/>
                            <w:spacing w:val="19"/>
                            <w:sz w:val="16"/>
                          </w:rPr>
                          <w:t> </w:t>
                        </w:r>
                        <w:r>
                          <w:rPr>
                            <w:i/>
                            <w:position w:val="1"/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2488" w:type="dxa"/>
                      </w:tcPr>
                      <w:p>
                        <w:pPr>
                          <w:pStyle w:val="TableParagraph"/>
                          <w:spacing w:line="256" w:lineRule="exact"/>
                          <w:ind w:left="108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panel</w:t>
                        </w:r>
                        <w:r>
                          <w:rPr>
                            <w:spacing w:val="-1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length</w:t>
                        </w:r>
                      </w:p>
                    </w:tc>
                  </w:tr>
                  <w:tr>
                    <w:trPr>
                      <w:trHeight w:val="276" w:hRule="atLeast"/>
                    </w:trPr>
                    <w:tc>
                      <w:tcPr>
                        <w:tcW w:w="932" w:type="dxa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862" w:type="dxa"/>
                      </w:tcPr>
                      <w:p>
                        <w:pPr>
                          <w:pStyle w:val="TableParagraph"/>
                          <w:spacing w:line="256" w:lineRule="exact"/>
                          <w:ind w:right="105"/>
                          <w:jc w:val="right"/>
                          <w:rPr>
                            <w:i/>
                            <w:sz w:val="24"/>
                          </w:rPr>
                        </w:pPr>
                        <w:r>
                          <w:rPr>
                            <w:i/>
                            <w:sz w:val="24"/>
                          </w:rPr>
                          <w:t>E</w:t>
                        </w:r>
                        <w:r>
                          <w:rPr>
                            <w:i/>
                            <w:spacing w:val="-1"/>
                            <w:sz w:val="24"/>
                          </w:rPr>
                          <w:t> </w:t>
                        </w:r>
                        <w:r>
                          <w:rPr>
                            <w:i/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2488" w:type="dxa"/>
                      </w:tcPr>
                      <w:p>
                        <w:pPr>
                          <w:pStyle w:val="TableParagraph"/>
                          <w:spacing w:line="256" w:lineRule="exact"/>
                          <w:ind w:left="108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modulus</w:t>
                        </w:r>
                        <w:r>
                          <w:rPr>
                            <w:spacing w:val="-1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of</w:t>
                        </w:r>
                        <w:r>
                          <w:rPr>
                            <w:spacing w:val="-1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elasticity</w:t>
                        </w:r>
                      </w:p>
                    </w:tc>
                  </w:tr>
                  <w:tr>
                    <w:trPr>
                      <w:trHeight w:val="271" w:hRule="atLeast"/>
                    </w:trPr>
                    <w:tc>
                      <w:tcPr>
                        <w:tcW w:w="932" w:type="dxa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862" w:type="dxa"/>
                      </w:tcPr>
                      <w:p>
                        <w:pPr>
                          <w:pStyle w:val="TableParagraph"/>
                          <w:spacing w:line="251" w:lineRule="exact"/>
                          <w:ind w:right="105"/>
                          <w:jc w:val="right"/>
                          <w:rPr>
                            <w:i/>
                            <w:sz w:val="24"/>
                          </w:rPr>
                        </w:pPr>
                        <w:r>
                          <w:rPr>
                            <w:i/>
                            <w:sz w:val="24"/>
                          </w:rPr>
                          <w:t>I =</w:t>
                        </w:r>
                      </w:p>
                    </w:tc>
                    <w:tc>
                      <w:tcPr>
                        <w:tcW w:w="2488" w:type="dxa"/>
                      </w:tcPr>
                      <w:p>
                        <w:pPr>
                          <w:pStyle w:val="TableParagraph"/>
                          <w:spacing w:line="251" w:lineRule="exact"/>
                          <w:ind w:left="108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area</w:t>
                        </w:r>
                        <w:r>
                          <w:rPr>
                            <w:spacing w:val="-1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moment</w:t>
                        </w:r>
                        <w:r>
                          <w:rPr>
                            <w:spacing w:val="-1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of</w:t>
                        </w:r>
                        <w:r>
                          <w:rPr>
                            <w:spacing w:val="-2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inertia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Cambria Math"/>
        </w:rPr>
        <w:t>=</w:t>
      </w:r>
    </w:p>
    <w:p>
      <w:pPr>
        <w:pStyle w:val="BodyText"/>
        <w:spacing w:line="221" w:lineRule="exact"/>
        <w:ind w:left="395"/>
        <w:rPr>
          <w:rFonts w:ascii="Cambria Math"/>
        </w:rPr>
      </w:pPr>
      <w:r>
        <w:rPr>
          <w:rFonts w:ascii="Cambria Math"/>
        </w:rPr>
        <w:t>384</w:t>
      </w:r>
    </w:p>
    <w:p>
      <w:pPr>
        <w:pStyle w:val="BodyText"/>
        <w:spacing w:before="2"/>
        <w:rPr>
          <w:rFonts w:ascii="Cambria Math"/>
          <w:sz w:val="25"/>
        </w:rPr>
      </w:pPr>
      <w:r>
        <w:rPr/>
        <w:br w:type="column"/>
      </w:r>
      <w:r>
        <w:rPr>
          <w:rFonts w:ascii="Cambria Math"/>
          <w:sz w:val="25"/>
        </w:rPr>
      </w:r>
    </w:p>
    <w:p>
      <w:pPr>
        <w:pStyle w:val="BodyText"/>
        <w:spacing w:before="1"/>
        <w:ind w:right="534"/>
        <w:jc w:val="right"/>
      </w:pPr>
      <w:r>
        <w:rPr/>
        <w:t>(8.10)</w:t>
      </w:r>
    </w:p>
    <w:p>
      <w:pPr>
        <w:spacing w:after="0"/>
        <w:jc w:val="right"/>
        <w:sectPr>
          <w:type w:val="continuous"/>
          <w:pgSz w:w="12240" w:h="15840"/>
          <w:pgMar w:top="1380" w:bottom="280" w:left="1720" w:right="1020"/>
          <w:cols w:num="3" w:equalWidth="0">
            <w:col w:w="3821" w:space="40"/>
            <w:col w:w="1116" w:space="39"/>
            <w:col w:w="448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2240" w:h="15840"/>
          <w:pgMar w:top="1380" w:bottom="280" w:left="1720" w:right="1020"/>
        </w:sectPr>
      </w:pPr>
    </w:p>
    <w:p>
      <w:pPr>
        <w:pStyle w:val="BodyText"/>
        <w:spacing w:before="8"/>
        <w:rPr>
          <w:sz w:val="34"/>
        </w:rPr>
      </w:pPr>
    </w:p>
    <w:p>
      <w:pPr>
        <w:spacing w:before="1"/>
        <w:ind w:left="0" w:right="0" w:firstLine="0"/>
        <w:jc w:val="right"/>
        <w:rPr>
          <w:rFonts w:ascii="Cambria Math" w:eastAsia="Cambria Math"/>
          <w:sz w:val="17"/>
        </w:rPr>
      </w:pPr>
      <w:r>
        <w:rPr>
          <w:rFonts w:ascii="Cambria Math" w:eastAsia="Cambria Math"/>
          <w:w w:val="105"/>
          <w:sz w:val="24"/>
        </w:rPr>
        <w:t>𝑅</w:t>
      </w:r>
      <w:r>
        <w:rPr>
          <w:rFonts w:ascii="Cambria Math" w:eastAsia="Cambria Math"/>
          <w:w w:val="105"/>
          <w:position w:val="-4"/>
          <w:sz w:val="17"/>
        </w:rPr>
        <w:t>𝑢</w:t>
      </w:r>
    </w:p>
    <w:p>
      <w:pPr>
        <w:spacing w:line="252" w:lineRule="exact" w:before="212"/>
        <w:ind w:left="284" w:right="0" w:firstLine="0"/>
        <w:jc w:val="left"/>
        <w:rPr>
          <w:rFonts w:ascii="Cambria Math" w:eastAsia="Cambria Math"/>
          <w:sz w:val="17"/>
        </w:rPr>
      </w:pPr>
      <w:r>
        <w:rPr/>
        <w:br w:type="column"/>
      </w:r>
      <w:r>
        <w:rPr>
          <w:rFonts w:ascii="Cambria Math" w:eastAsia="Cambria Math"/>
          <w:spacing w:val="-1"/>
          <w:w w:val="105"/>
          <w:position w:val="5"/>
          <w:sz w:val="24"/>
          <w:u w:val="single"/>
        </w:rPr>
        <w:t>8𝑀</w:t>
      </w:r>
      <w:r>
        <w:rPr>
          <w:rFonts w:ascii="Cambria Math" w:eastAsia="Cambria Math"/>
          <w:spacing w:val="-1"/>
          <w:w w:val="105"/>
          <w:sz w:val="17"/>
          <w:u w:val="single"/>
        </w:rPr>
        <w:t>𝑢,𝑑𝑦𝑛</w:t>
      </w:r>
    </w:p>
    <w:p>
      <w:pPr>
        <w:pStyle w:val="BodyText"/>
        <w:spacing w:line="157" w:lineRule="exact"/>
        <w:ind w:left="38"/>
        <w:rPr>
          <w:rFonts w:ascii="Cambria Math"/>
        </w:rPr>
      </w:pPr>
      <w:r>
        <w:rPr>
          <w:rFonts w:ascii="Cambria Math"/>
        </w:rPr>
        <w:t>=</w:t>
      </w:r>
    </w:p>
    <w:p>
      <w:pPr>
        <w:spacing w:line="256" w:lineRule="exact" w:before="0"/>
        <w:ind w:left="566" w:right="0" w:firstLine="0"/>
        <w:jc w:val="left"/>
        <w:rPr>
          <w:rFonts w:ascii="Cambria Math" w:eastAsia="Cambria Math"/>
          <w:sz w:val="17"/>
        </w:rPr>
      </w:pPr>
      <w:r>
        <w:rPr>
          <w:rFonts w:ascii="Cambria Math" w:eastAsia="Cambria Math"/>
          <w:w w:val="105"/>
          <w:sz w:val="24"/>
        </w:rPr>
        <w:t>𝐿</w:t>
      </w:r>
      <w:r>
        <w:rPr>
          <w:rFonts w:ascii="Cambria Math" w:eastAsia="Cambria Math"/>
          <w:w w:val="105"/>
          <w:position w:val="-4"/>
          <w:sz w:val="17"/>
        </w:rPr>
        <w:t>𝑝</w:t>
      </w:r>
    </w:p>
    <w:p>
      <w:pPr>
        <w:pStyle w:val="BodyText"/>
        <w:spacing w:before="3"/>
        <w:rPr>
          <w:rFonts w:ascii="Cambria Math"/>
          <w:sz w:val="33"/>
        </w:rPr>
      </w:pPr>
      <w:r>
        <w:rPr/>
        <w:br w:type="column"/>
      </w:r>
      <w:r>
        <w:rPr>
          <w:rFonts w:ascii="Cambria Math"/>
          <w:sz w:val="33"/>
        </w:rPr>
      </w:r>
    </w:p>
    <w:p>
      <w:pPr>
        <w:pStyle w:val="BodyText"/>
        <w:tabs>
          <w:tab w:pos="3746" w:val="left" w:leader="none"/>
        </w:tabs>
        <w:ind w:left="65"/>
      </w:pPr>
      <w:r>
        <w:rPr>
          <w:rFonts w:ascii="Cambria Math" w:eastAsia="Cambria Math"/>
          <w:position w:val="1"/>
        </w:rPr>
        <w:t>[</w:t>
      </w:r>
      <w:r>
        <w:rPr>
          <w:rFonts w:ascii="Cambria Math" w:eastAsia="Cambria Math"/>
        </w:rPr>
        <w:t>𝐹𝑜𝑟𝑐𝑒</w:t>
      </w:r>
      <w:r>
        <w:rPr>
          <w:rFonts w:ascii="Cambria Math" w:eastAsia="Cambria Math"/>
          <w:position w:val="1"/>
        </w:rPr>
        <w:t>]</w:t>
        <w:tab/>
      </w:r>
      <w:r>
        <w:rPr>
          <w:position w:val="-2"/>
        </w:rPr>
        <w:t>(8.11)</w:t>
      </w:r>
    </w:p>
    <w:p>
      <w:pPr>
        <w:spacing w:after="0"/>
        <w:sectPr>
          <w:type w:val="continuous"/>
          <w:pgSz w:w="12240" w:h="15840"/>
          <w:pgMar w:top="1380" w:bottom="280" w:left="1720" w:right="1020"/>
          <w:cols w:num="3" w:equalWidth="0">
            <w:col w:w="3473" w:space="40"/>
            <w:col w:w="1084" w:space="39"/>
            <w:col w:w="486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1"/>
        </w:rPr>
      </w:pPr>
    </w:p>
    <w:p>
      <w:pPr>
        <w:pStyle w:val="BodyText"/>
        <w:spacing w:line="480" w:lineRule="auto"/>
        <w:ind w:left="439" w:right="417"/>
        <w:jc w:val="both"/>
      </w:pPr>
      <w:r>
        <w:rPr/>
        <w:t>The elastic stiffness, </w:t>
      </w:r>
      <w:r>
        <w:rPr>
          <w:i/>
        </w:rPr>
        <w:t>k</w:t>
      </w:r>
      <w:r>
        <w:rPr/>
        <w:t>, can be calculated as shown in Equation 8.12.</w:t>
      </w:r>
      <w:r>
        <w:rPr>
          <w:spacing w:val="1"/>
        </w:rPr>
        <w:t> </w:t>
      </w:r>
      <w:r>
        <w:rPr/>
        <w:t>These three values,</w:t>
      </w:r>
      <w:r>
        <w:rPr>
          <w:spacing w:val="1"/>
        </w:rPr>
        <w:t> </w:t>
      </w:r>
      <w:r>
        <w:rPr>
          <w:position w:val="1"/>
        </w:rPr>
        <w:t>the elastic resistance of the panel, </w:t>
      </w:r>
      <w:r>
        <w:rPr>
          <w:i/>
          <w:position w:val="1"/>
        </w:rPr>
        <w:t>R</w:t>
      </w:r>
      <w:r>
        <w:rPr>
          <w:i/>
          <w:sz w:val="16"/>
        </w:rPr>
        <w:t>u</w:t>
      </w:r>
      <w:r>
        <w:rPr>
          <w:position w:val="1"/>
        </w:rPr>
        <w:t>, the corresponding displacement for the simply</w:t>
      </w:r>
      <w:r>
        <w:rPr>
          <w:spacing w:val="1"/>
          <w:position w:val="1"/>
        </w:rPr>
        <w:t> </w:t>
      </w:r>
      <w:r>
        <w:rPr>
          <w:position w:val="1"/>
        </w:rPr>
        <w:t>supported panel at midspan, </w:t>
      </w:r>
      <w:r>
        <w:rPr>
          <w:i/>
          <w:position w:val="1"/>
        </w:rPr>
        <w:t>x</w:t>
      </w:r>
      <w:r>
        <w:rPr>
          <w:i/>
          <w:sz w:val="16"/>
        </w:rPr>
        <w:t>e</w:t>
      </w:r>
      <w:r>
        <w:rPr>
          <w:position w:val="1"/>
        </w:rPr>
        <w:t>, and the elastic stiffness, </w:t>
      </w:r>
      <w:r>
        <w:rPr>
          <w:i/>
          <w:position w:val="1"/>
        </w:rPr>
        <w:t>k</w:t>
      </w:r>
      <w:r>
        <w:rPr>
          <w:position w:val="1"/>
        </w:rPr>
        <w:t>, form the resistance function as</w:t>
      </w:r>
      <w:r>
        <w:rPr>
          <w:spacing w:val="1"/>
          <w:position w:val="1"/>
        </w:rPr>
        <w:t> </w:t>
      </w:r>
      <w:r>
        <w:rPr/>
        <w:t>shown in </w:t>
      </w:r>
      <w:hyperlink w:history="true" w:anchor="_bookmark176">
        <w:r>
          <w:rPr/>
          <w:t>Figure 8-4 </w:t>
        </w:r>
      </w:hyperlink>
      <w:r>
        <w:rPr/>
        <w:t>[104]. Other boundary conditions can be considered, with changes to</w:t>
      </w:r>
      <w:r>
        <w:rPr>
          <w:spacing w:val="-57"/>
        </w:rPr>
        <w:t> </w:t>
      </w:r>
      <w:r>
        <w:rPr/>
        <w:t>the equations used to find the maximum moment and displacement as appropriate for the</w:t>
      </w:r>
      <w:r>
        <w:rPr>
          <w:spacing w:val="1"/>
        </w:rPr>
        <w:t> </w:t>
      </w:r>
      <w:r>
        <w:rPr/>
        <w:t>determined</w:t>
      </w:r>
      <w:r>
        <w:rPr>
          <w:spacing w:val="-1"/>
        </w:rPr>
        <w:t> </w:t>
      </w:r>
      <w:r>
        <w:rPr/>
        <w:t>conditions.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5"/>
        </w:rPr>
      </w:pPr>
    </w:p>
    <w:p>
      <w:pPr>
        <w:spacing w:before="59"/>
        <w:ind w:left="10" w:right="637" w:firstLine="0"/>
        <w:jc w:val="center"/>
        <w:rPr>
          <w:rFonts w:ascii="Cambria Math" w:eastAsia="Cambria Math"/>
          <w:sz w:val="17"/>
        </w:rPr>
      </w:pPr>
      <w:r>
        <w:rPr/>
        <w:pict>
          <v:shape style="position:absolute;margin-left:268.760010pt;margin-top:-12.093354pt;width:275.4pt;height:21.2pt;mso-position-horizontal-relative:page;mso-position-vertical-relative:paragraph;z-index:1589401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820"/>
                    <w:gridCol w:w="2688"/>
                  </w:tblGrid>
                  <w:tr>
                    <w:trPr>
                      <w:trHeight w:val="423" w:hRule="atLeast"/>
                    </w:trPr>
                    <w:tc>
                      <w:tcPr>
                        <w:tcW w:w="2820" w:type="dxa"/>
                      </w:tcPr>
                      <w:p>
                        <w:pPr>
                          <w:pStyle w:val="TableParagraph"/>
                          <w:spacing w:line="207" w:lineRule="exact"/>
                          <w:ind w:left="652"/>
                          <w:rPr>
                            <w:rFonts w:ascii="Cambria Math" w:eastAsia="Cambria Math"/>
                            <w:sz w:val="17"/>
                          </w:rPr>
                        </w:pPr>
                        <w:r>
                          <w:rPr>
                            <w:rFonts w:ascii="Cambria Math" w:eastAsia="Cambria Math"/>
                            <w:w w:val="105"/>
                            <w:sz w:val="24"/>
                            <w:u w:val="single"/>
                          </w:rPr>
                          <w:t>𝑅</w:t>
                        </w:r>
                        <w:r>
                          <w:rPr>
                            <w:rFonts w:ascii="Cambria Math" w:eastAsia="Cambria Math"/>
                            <w:w w:val="105"/>
                            <w:position w:val="-4"/>
                            <w:sz w:val="17"/>
                            <w:u w:val="single"/>
                          </w:rPr>
                          <w:t>𝑢</w:t>
                        </w:r>
                      </w:p>
                      <w:p>
                        <w:pPr>
                          <w:pStyle w:val="TableParagraph"/>
                          <w:spacing w:line="196" w:lineRule="exact"/>
                          <w:ind w:left="200"/>
                          <w:rPr>
                            <w:rFonts w:ascii="Cambria Math" w:eastAsia="Cambria Math"/>
                            <w:sz w:val="24"/>
                          </w:rPr>
                        </w:pPr>
                        <w:r>
                          <w:rPr>
                            <w:rFonts w:ascii="Cambria Math" w:eastAsia="Cambria Math"/>
                            <w:sz w:val="24"/>
                          </w:rPr>
                          <w:t>𝑘</w:t>
                        </w:r>
                        <w:r>
                          <w:rPr>
                            <w:rFonts w:ascii="Cambria Math" w:eastAsia="Cambria Math"/>
                            <w:spacing w:val="21"/>
                            <w:sz w:val="24"/>
                          </w:rPr>
                          <w:t> </w:t>
                        </w:r>
                        <w:r>
                          <w:rPr>
                            <w:rFonts w:ascii="Cambria Math" w:eastAsia="Cambria Math"/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2688" w:type="dxa"/>
                      </w:tcPr>
                      <w:p>
                        <w:pPr>
                          <w:pStyle w:val="TableParagraph"/>
                          <w:spacing w:line="256" w:lineRule="exact" w:before="147"/>
                          <w:ind w:right="198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(8.12)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Cambria Math" w:eastAsia="Cambria Math"/>
          <w:w w:val="105"/>
          <w:sz w:val="24"/>
        </w:rPr>
        <w:t>𝑥</w:t>
      </w:r>
      <w:r>
        <w:rPr>
          <w:rFonts w:ascii="Cambria Math" w:eastAsia="Cambria Math"/>
          <w:w w:val="105"/>
          <w:position w:val="-4"/>
          <w:sz w:val="17"/>
        </w:rPr>
        <w:t>𝑒</w:t>
      </w: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1"/>
        </w:rPr>
      </w:pPr>
    </w:p>
    <w:p>
      <w:pPr>
        <w:pStyle w:val="BodyText"/>
        <w:spacing w:line="480" w:lineRule="auto" w:before="1"/>
        <w:ind w:left="440" w:right="403" w:firstLine="720"/>
      </w:pPr>
      <w:r>
        <w:rPr/>
        <w:t>A</w:t>
      </w:r>
      <w:r>
        <w:rPr>
          <w:spacing w:val="20"/>
        </w:rPr>
        <w:t> </w:t>
      </w:r>
      <w:r>
        <w:rPr/>
        <w:t>resistance</w:t>
      </w:r>
      <w:r>
        <w:rPr>
          <w:spacing w:val="20"/>
        </w:rPr>
        <w:t> </w:t>
      </w:r>
      <w:r>
        <w:rPr/>
        <w:t>function</w:t>
      </w:r>
      <w:r>
        <w:rPr>
          <w:spacing w:val="20"/>
        </w:rPr>
        <w:t> </w:t>
      </w:r>
      <w:r>
        <w:rPr/>
        <w:t>for</w:t>
      </w:r>
      <w:r>
        <w:rPr>
          <w:spacing w:val="22"/>
        </w:rPr>
        <w:t> </w:t>
      </w:r>
      <w:r>
        <w:rPr/>
        <w:t>CLT</w:t>
      </w:r>
      <w:r>
        <w:rPr>
          <w:spacing w:val="21"/>
        </w:rPr>
        <w:t> </w:t>
      </w:r>
      <w:r>
        <w:rPr/>
        <w:t>will</w:t>
      </w:r>
      <w:r>
        <w:rPr>
          <w:spacing w:val="20"/>
        </w:rPr>
        <w:t> </w:t>
      </w:r>
      <w:r>
        <w:rPr/>
        <w:t>be</w:t>
      </w:r>
      <w:r>
        <w:rPr>
          <w:spacing w:val="22"/>
        </w:rPr>
        <w:t> </w:t>
      </w:r>
      <w:r>
        <w:rPr/>
        <w:t>considerably</w:t>
      </w:r>
      <w:r>
        <w:rPr>
          <w:spacing w:val="21"/>
        </w:rPr>
        <w:t> </w:t>
      </w:r>
      <w:r>
        <w:rPr/>
        <w:t>different</w:t>
      </w:r>
      <w:r>
        <w:rPr>
          <w:spacing w:val="21"/>
        </w:rPr>
        <w:t> </w:t>
      </w:r>
      <w:r>
        <w:rPr/>
        <w:t>from</w:t>
      </w:r>
      <w:r>
        <w:rPr>
          <w:spacing w:val="19"/>
        </w:rPr>
        <w:t> </w:t>
      </w:r>
      <w:r>
        <w:rPr/>
        <w:t>the</w:t>
      </w:r>
      <w:r>
        <w:rPr>
          <w:spacing w:val="22"/>
        </w:rPr>
        <w:t> </w:t>
      </w:r>
      <w:r>
        <w:rPr/>
        <w:t>resistance</w:t>
      </w:r>
      <w:r>
        <w:rPr>
          <w:spacing w:val="-57"/>
        </w:rPr>
        <w:t> </w:t>
      </w:r>
      <w:r>
        <w:rPr>
          <w:spacing w:val="-1"/>
        </w:rPr>
        <w:t>functions</w:t>
      </w:r>
      <w:r>
        <w:rPr>
          <w:spacing w:val="-15"/>
        </w:rPr>
        <w:t> </w:t>
      </w:r>
      <w:r>
        <w:rPr>
          <w:spacing w:val="-1"/>
        </w:rPr>
        <w:t>generally</w:t>
      </w:r>
      <w:r>
        <w:rPr>
          <w:spacing w:val="-15"/>
        </w:rPr>
        <w:t> </w:t>
      </w:r>
      <w:r>
        <w:rPr/>
        <w:t>used</w:t>
      </w:r>
      <w:r>
        <w:rPr>
          <w:spacing w:val="-16"/>
        </w:rPr>
        <w:t> </w:t>
      </w:r>
      <w:r>
        <w:rPr/>
        <w:t>for</w:t>
      </w:r>
      <w:r>
        <w:rPr>
          <w:spacing w:val="-14"/>
        </w:rPr>
        <w:t> </w:t>
      </w:r>
      <w:r>
        <w:rPr/>
        <w:t>steel</w:t>
      </w:r>
      <w:r>
        <w:rPr>
          <w:spacing w:val="-14"/>
        </w:rPr>
        <w:t> </w:t>
      </w:r>
      <w:r>
        <w:rPr/>
        <w:t>or</w:t>
      </w:r>
      <w:r>
        <w:rPr>
          <w:spacing w:val="-14"/>
        </w:rPr>
        <w:t> </w:t>
      </w:r>
      <w:r>
        <w:rPr/>
        <w:t>concrete.</w:t>
      </w:r>
      <w:r>
        <w:rPr>
          <w:spacing w:val="32"/>
        </w:rPr>
        <w:t> </w:t>
      </w:r>
      <w:hyperlink w:history="true" w:anchor="_bookmark176">
        <w:r>
          <w:rPr/>
          <w:t>Figure</w:t>
        </w:r>
        <w:r>
          <w:rPr>
            <w:spacing w:val="-14"/>
          </w:rPr>
          <w:t> </w:t>
        </w:r>
        <w:r>
          <w:rPr/>
          <w:t>8-4</w:t>
        </w:r>
        <w:r>
          <w:rPr>
            <w:spacing w:val="-15"/>
          </w:rPr>
          <w:t> </w:t>
        </w:r>
      </w:hyperlink>
      <w:r>
        <w:rPr/>
        <w:t>illustrates</w:t>
      </w:r>
      <w:r>
        <w:rPr>
          <w:spacing w:val="-16"/>
        </w:rPr>
        <w:t> </w:t>
      </w:r>
      <w:r>
        <w:rPr/>
        <w:t>the</w:t>
      </w:r>
      <w:r>
        <w:rPr>
          <w:spacing w:val="-15"/>
        </w:rPr>
        <w:t> </w:t>
      </w:r>
      <w:r>
        <w:rPr/>
        <w:t>theoretical</w:t>
      </w:r>
      <w:r>
        <w:rPr>
          <w:spacing w:val="-16"/>
        </w:rPr>
        <w:t> </w:t>
      </w:r>
      <w:r>
        <w:rPr/>
        <w:t>response</w:t>
      </w:r>
    </w:p>
    <w:p>
      <w:pPr>
        <w:spacing w:after="0" w:line="480" w:lineRule="auto"/>
        <w:sectPr>
          <w:type w:val="continuous"/>
          <w:pgSz w:w="12240" w:h="15840"/>
          <w:pgMar w:top="1380" w:bottom="280" w:left="1720" w:right="1020"/>
        </w:sectPr>
      </w:pPr>
    </w:p>
    <w:p>
      <w:pPr>
        <w:pStyle w:val="BodyText"/>
        <w:spacing w:line="480" w:lineRule="auto" w:before="78"/>
        <w:ind w:left="440" w:right="417"/>
        <w:jc w:val="both"/>
      </w:pPr>
      <w:r>
        <w:rPr/>
        <w:t>of the wood material in the plastic regime with the dashed line in the plastic regime.</w:t>
      </w:r>
      <w:r>
        <w:rPr>
          <w:spacing w:val="1"/>
        </w:rPr>
        <w:t> </w:t>
      </w:r>
      <w:r>
        <w:rPr/>
        <w:t>Due</w:t>
      </w:r>
      <w:r>
        <w:rPr>
          <w:spacing w:val="-57"/>
        </w:rPr>
        <w:t> </w:t>
      </w:r>
      <w:r>
        <w:rPr/>
        <w:t>to the laminated nature of the wood product, the resistance drops as the plies rupture.</w:t>
      </w:r>
      <w:r>
        <w:rPr>
          <w:spacing w:val="1"/>
        </w:rPr>
        <w:t> </w:t>
      </w:r>
      <w:r>
        <w:rPr/>
        <w:t>Experimentally</w:t>
      </w:r>
      <w:r>
        <w:rPr>
          <w:spacing w:val="-12"/>
        </w:rPr>
        <w:t> </w:t>
      </w:r>
      <w:r>
        <w:rPr/>
        <w:t>derived</w:t>
      </w:r>
      <w:r>
        <w:rPr>
          <w:spacing w:val="-11"/>
        </w:rPr>
        <w:t> </w:t>
      </w:r>
      <w:r>
        <w:rPr/>
        <w:t>static</w:t>
      </w:r>
      <w:r>
        <w:rPr>
          <w:spacing w:val="-11"/>
        </w:rPr>
        <w:t> </w:t>
      </w:r>
      <w:r>
        <w:rPr/>
        <w:t>resistance</w:t>
      </w:r>
      <w:r>
        <w:rPr>
          <w:spacing w:val="-11"/>
        </w:rPr>
        <w:t> </w:t>
      </w:r>
      <w:r>
        <w:rPr/>
        <w:t>curves</w:t>
      </w:r>
      <w:r>
        <w:rPr>
          <w:spacing w:val="-11"/>
        </w:rPr>
        <w:t> </w:t>
      </w:r>
      <w:r>
        <w:rPr/>
        <w:t>for</w:t>
      </w:r>
      <w:r>
        <w:rPr>
          <w:spacing w:val="-11"/>
        </w:rPr>
        <w:t> </w:t>
      </w:r>
      <w:r>
        <w:rPr/>
        <w:t>CLT</w:t>
      </w:r>
      <w:r>
        <w:rPr>
          <w:spacing w:val="-10"/>
        </w:rPr>
        <w:t> </w:t>
      </w:r>
      <w:r>
        <w:rPr/>
        <w:t>panels</w:t>
      </w:r>
      <w:r>
        <w:rPr>
          <w:spacing w:val="-11"/>
        </w:rPr>
        <w:t> </w:t>
      </w:r>
      <w:r>
        <w:rPr/>
        <w:t>from</w:t>
      </w:r>
      <w:r>
        <w:rPr>
          <w:spacing w:val="-13"/>
        </w:rPr>
        <w:t> </w:t>
      </w:r>
      <w:r>
        <w:rPr/>
        <w:t>Poulin</w:t>
      </w:r>
      <w:r>
        <w:rPr>
          <w:spacing w:val="-10"/>
        </w:rPr>
        <w:t> </w:t>
      </w:r>
      <w:r>
        <w:rPr/>
        <w:t>et</w:t>
      </w:r>
      <w:r>
        <w:rPr>
          <w:spacing w:val="-11"/>
        </w:rPr>
        <w:t> </w:t>
      </w:r>
      <w:r>
        <w:rPr/>
        <w:t>al.</w:t>
      </w:r>
      <w:r>
        <w:rPr>
          <w:spacing w:val="-11"/>
        </w:rPr>
        <w:t> </w:t>
      </w:r>
      <w:r>
        <w:rPr/>
        <w:t>show</w:t>
      </w:r>
      <w:r>
        <w:rPr>
          <w:spacing w:val="-12"/>
        </w:rPr>
        <w:t> </w:t>
      </w:r>
      <w:r>
        <w:rPr/>
        <w:t>this</w:t>
      </w:r>
      <w:r>
        <w:rPr>
          <w:spacing w:val="-58"/>
        </w:rPr>
        <w:t> </w:t>
      </w:r>
      <w:r>
        <w:rPr/>
        <w:t>piecewise</w:t>
      </w:r>
      <w:r>
        <w:rPr>
          <w:spacing w:val="-1"/>
        </w:rPr>
        <w:t> </w:t>
      </w:r>
      <w:r>
        <w:rPr/>
        <w:t>type failure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the panel [89].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230"/>
        <w:ind w:left="2666" w:right="0" w:firstLine="0"/>
        <w:jc w:val="left"/>
        <w:rPr>
          <w:sz w:val="23"/>
        </w:rPr>
      </w:pPr>
      <w:r>
        <w:rPr/>
        <w:pict>
          <v:group style="position:absolute;margin-left:185.333847pt;margin-top:31.549759pt;width:279.45pt;height:221.35pt;mso-position-horizontal-relative:page;mso-position-vertical-relative:paragraph;z-index:-34812416" coordorigin="3707,631" coordsize="5589,4427">
            <v:line style="position:absolute" from="5014,5042" to="4981,723" stroked="true" strokeweight="1.533914pt" strokecolor="#000000">
              <v:stroke dashstyle="solid"/>
            </v:line>
            <v:shape style="position:absolute;left:4927;top:633;width:108;height:108" coordorigin="4928,634" coordsize="108,108" path="m4981,634l5035,740,4928,741,4981,634xe" filled="true" fillcolor="#000000" stroked="false">
              <v:path arrowok="t"/>
              <v:fill type="solid"/>
            </v:shape>
            <v:line style="position:absolute" from="4515,4554" to="9206,4554" stroked="true" strokeweight="1.53118pt" strokecolor="#000000">
              <v:stroke dashstyle="solid"/>
            </v:line>
            <v:shape style="position:absolute;left:9187;top:4500;width:108;height:107" coordorigin="9188,4501" coordsize="108,107" path="m9188,4501l9188,4608,9295,4554,9188,4501xe" filled="true" fillcolor="#000000" stroked="false">
              <v:path arrowok="t"/>
              <v:fill type="solid"/>
            </v:shape>
            <v:line style="position:absolute" from="5014,4539" to="6659,1792" stroked="true" strokeweight="1.354864pt" strokecolor="#5b9bd5">
              <v:stroke dashstyle="solid"/>
            </v:line>
            <v:line style="position:absolute" from="4879,1792" to="5100,1792" stroked="true" strokeweight="1.531038pt" strokecolor="#000000">
              <v:stroke dashstyle="solid"/>
            </v:line>
            <v:line style="position:absolute" from="6693,4696" to="6693,4412" stroked="true" strokeweight="1.533823pt" strokecolor="#000000">
              <v:stroke dashstyle="solid"/>
            </v:line>
            <v:shape style="position:absolute;left:3706;top:1793;width:800;height:19" coordorigin="3707,1794" coordsize="800,19" path="m4506,1812l4240,1812,3707,1812,3707,1794,4506,1794,4506,1812xe" filled="true" fillcolor="#000000" stroked="false">
              <v:path arrowok="t"/>
              <v:fill type="solid"/>
            </v:shape>
            <v:line style="position:absolute" from="5611,3576" to="5893,3578" stroked="true" strokeweight="1.353114pt" strokecolor="#5b9bd5">
              <v:stroke dashstyle="solid"/>
            </v:line>
            <v:line style="position:absolute" from="5899,3590" to="5893,3057" stroked="true" strokeweight="1.355463pt" strokecolor="#5b9bd5">
              <v:stroke dashstyle="solid"/>
            </v:line>
            <v:shape style="position:absolute;left:6125;top:3920;width:328;height:19" coordorigin="6125,3921" coordsize="328,19" path="m6453,3939l6289,3939,6125,3939,6125,3921,6453,3921,6453,3939xe" filled="true" fillcolor="#000000" stroked="false">
              <v:path arrowok="t"/>
              <v:fill type="solid"/>
            </v:shape>
            <v:line style="position:absolute" from="6659,634" to="6693,4832" stroked="true" strokeweight=".285368pt" strokecolor="#000000">
              <v:stroke dashstyle="longdash"/>
            </v:line>
            <v:line style="position:absolute" from="5062,977" to="6547,965" stroked="true" strokeweight=".593471pt" strokecolor="#000000">
              <v:stroke dashstyle="solid"/>
            </v:line>
            <v:shape style="position:absolute;left:5014;top:929;width:1580;height:83" coordorigin="5014,929" coordsize="1580,83" path="m5086,1012l5062,977,5085,941,5014,977,5086,1012xm6594,964l6523,929,6547,965,6523,1000,6594,964xe" filled="true" fillcolor="#000000" stroked="false">
              <v:path arrowok="t"/>
              <v:fill type="solid"/>
            </v:shape>
            <v:line style="position:absolute" from="6693,1837" to="6939,3465" stroked="true" strokeweight="1.355462pt" strokecolor="#5b9bd5">
              <v:stroke dashstyle="solid"/>
            </v:line>
            <v:line style="position:absolute" from="6947,3465" to="8057,3161" stroked="true" strokeweight="1.353254pt" strokecolor="#5b9bd5">
              <v:stroke dashstyle="solid"/>
            </v:line>
            <v:line style="position:absolute" from="8066,3158" to="8244,4159" stroked="true" strokeweight="1.355408pt" strokecolor="#5b9bd5">
              <v:stroke dashstyle="solid"/>
            </v:line>
            <v:line style="position:absolute" from="8242,4171" to="9067,3961" stroked="true" strokeweight="1.353217pt" strokecolor="#5b9bd5">
              <v:stroke dashstyle="solid"/>
            </v:line>
            <v:line style="position:absolute" from="6806,977" to="9247,977" stroked="true" strokeweight=".593462pt" strokecolor="#000000">
              <v:stroke dashstyle="solid"/>
            </v:line>
            <v:shape style="position:absolute;left:6758;top:941;width:2537;height:72" coordorigin="6758,942" coordsize="2537,72" path="m6830,942l6758,977,6830,1013,6806,977,6830,942xm9295,977l9223,942,9247,977,9223,1013,9295,977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w w:val="105"/>
          <w:sz w:val="23"/>
        </w:rPr>
        <w:t>Resistance</w:t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0"/>
        </w:rPr>
      </w:pPr>
    </w:p>
    <w:p>
      <w:pPr>
        <w:spacing w:after="0"/>
        <w:rPr>
          <w:sz w:val="20"/>
        </w:rPr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rPr>
          <w:sz w:val="32"/>
        </w:rPr>
      </w:pPr>
    </w:p>
    <w:p>
      <w:pPr>
        <w:spacing w:before="285"/>
        <w:ind w:left="0" w:right="0" w:firstLine="0"/>
        <w:jc w:val="right"/>
        <w:rPr>
          <w:rFonts w:ascii="Cambria Math" w:eastAsia="Cambria Math"/>
          <w:sz w:val="28"/>
        </w:rPr>
      </w:pPr>
      <w:r>
        <w:rPr>
          <w:rFonts w:ascii="Cambria Math" w:eastAsia="Cambria Math"/>
          <w:w w:val="105"/>
          <w:sz w:val="28"/>
        </w:rPr>
        <w:t>𝑅</w:t>
      </w:r>
      <w:r>
        <w:rPr>
          <w:rFonts w:ascii="Cambria Math" w:eastAsia="Cambria Math"/>
          <w:w w:val="105"/>
          <w:position w:val="-5"/>
          <w:sz w:val="20"/>
        </w:rPr>
        <w:t>𝑢</w:t>
      </w:r>
      <w:r>
        <w:rPr>
          <w:rFonts w:ascii="Cambria Math" w:eastAsia="Cambria Math"/>
          <w:spacing w:val="45"/>
          <w:w w:val="105"/>
          <w:position w:val="-5"/>
          <w:sz w:val="20"/>
        </w:rPr>
        <w:t> </w:t>
      </w:r>
      <w:r>
        <w:rPr>
          <w:rFonts w:ascii="Cambria Math" w:eastAsia="Cambria Math"/>
          <w:w w:val="105"/>
          <w:sz w:val="28"/>
        </w:rPr>
        <w:t>=</w:t>
      </w:r>
    </w:p>
    <w:p>
      <w:pPr>
        <w:pStyle w:val="BodyText"/>
        <w:spacing w:before="4"/>
        <w:rPr>
          <w:rFonts w:ascii="Cambria Math"/>
          <w:sz w:val="36"/>
        </w:rPr>
      </w:pPr>
      <w:r>
        <w:rPr/>
        <w:br w:type="column"/>
      </w:r>
      <w:r>
        <w:rPr>
          <w:rFonts w:ascii="Cambria Math"/>
          <w:sz w:val="36"/>
        </w:rPr>
      </w:r>
    </w:p>
    <w:p>
      <w:pPr>
        <w:spacing w:before="0"/>
        <w:ind w:left="38" w:right="0" w:firstLine="0"/>
        <w:jc w:val="center"/>
        <w:rPr>
          <w:rFonts w:ascii="Cambria Math" w:eastAsia="Cambria Math"/>
          <w:sz w:val="20"/>
        </w:rPr>
      </w:pPr>
      <w:r>
        <w:rPr>
          <w:rFonts w:ascii="Cambria Math" w:eastAsia="Cambria Math"/>
          <w:w w:val="105"/>
          <w:position w:val="6"/>
          <w:sz w:val="28"/>
        </w:rPr>
        <w:t>8𝑀</w:t>
      </w:r>
      <w:r>
        <w:rPr>
          <w:rFonts w:ascii="Cambria Math" w:eastAsia="Cambria Math"/>
          <w:w w:val="105"/>
          <w:sz w:val="20"/>
        </w:rPr>
        <w:t>𝑑𝑦𝑛</w:t>
      </w:r>
    </w:p>
    <w:p>
      <w:pPr>
        <w:spacing w:before="47"/>
        <w:ind w:left="47" w:right="0" w:firstLine="0"/>
        <w:jc w:val="center"/>
        <w:rPr>
          <w:rFonts w:ascii="Cambria Math" w:eastAsia="Cambria Math"/>
          <w:sz w:val="28"/>
        </w:rPr>
      </w:pPr>
      <w:r>
        <w:rPr>
          <w:rFonts w:ascii="Cambria Math" w:eastAsia="Cambria Math"/>
          <w:sz w:val="28"/>
        </w:rPr>
        <w:t>𝐿</w:t>
      </w:r>
    </w:p>
    <w:p>
      <w:pPr>
        <w:spacing w:line="259" w:lineRule="auto" w:before="96"/>
        <w:ind w:left="972" w:right="23" w:firstLine="7"/>
        <w:jc w:val="left"/>
        <w:rPr>
          <w:sz w:val="23"/>
        </w:rPr>
      </w:pPr>
      <w:r>
        <w:rPr/>
        <w:br w:type="column"/>
      </w:r>
      <w:r>
        <w:rPr>
          <w:spacing w:val="-1"/>
          <w:w w:val="105"/>
          <w:sz w:val="23"/>
        </w:rPr>
        <w:t>Elastic</w:t>
      </w:r>
      <w:r>
        <w:rPr>
          <w:spacing w:val="-58"/>
          <w:w w:val="105"/>
          <w:sz w:val="23"/>
        </w:rPr>
        <w:t> </w:t>
      </w:r>
      <w:r>
        <w:rPr>
          <w:sz w:val="23"/>
        </w:rPr>
        <w:t>regime</w:t>
      </w:r>
    </w:p>
    <w:p>
      <w:pPr>
        <w:spacing w:line="259" w:lineRule="auto" w:before="96"/>
        <w:ind w:left="1288" w:right="2803" w:firstLine="13"/>
        <w:jc w:val="left"/>
        <w:rPr>
          <w:sz w:val="23"/>
        </w:rPr>
      </w:pPr>
      <w:r>
        <w:rPr/>
        <w:br w:type="column"/>
      </w:r>
      <w:r>
        <w:rPr>
          <w:w w:val="105"/>
          <w:sz w:val="23"/>
        </w:rPr>
        <w:t>Plastic</w:t>
      </w:r>
      <w:r>
        <w:rPr>
          <w:spacing w:val="-58"/>
          <w:w w:val="105"/>
          <w:sz w:val="23"/>
        </w:rPr>
        <w:t> </w:t>
      </w:r>
      <w:r>
        <w:rPr>
          <w:sz w:val="23"/>
        </w:rPr>
        <w:t>regime</w:t>
      </w:r>
    </w:p>
    <w:p>
      <w:pPr>
        <w:spacing w:after="0" w:line="259" w:lineRule="auto"/>
        <w:jc w:val="left"/>
        <w:rPr>
          <w:sz w:val="23"/>
        </w:rPr>
        <w:sectPr>
          <w:type w:val="continuous"/>
          <w:pgSz w:w="12240" w:h="15840"/>
          <w:pgMar w:top="1380" w:bottom="280" w:left="1720" w:right="1020"/>
          <w:cols w:num="4" w:equalWidth="0">
            <w:col w:w="1909" w:space="40"/>
            <w:col w:w="824" w:space="39"/>
            <w:col w:w="1673" w:space="247"/>
            <w:col w:w="4768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6"/>
        </w:rPr>
      </w:pPr>
    </w:p>
    <w:p>
      <w:pPr>
        <w:spacing w:line="480" w:lineRule="exact" w:before="52"/>
        <w:ind w:left="42" w:right="953" w:firstLine="0"/>
        <w:jc w:val="center"/>
        <w:rPr>
          <w:rFonts w:ascii="Cambria Math" w:eastAsia="Cambria Math"/>
          <w:sz w:val="20"/>
        </w:rPr>
      </w:pPr>
      <w:r>
        <w:rPr>
          <w:rFonts w:ascii="Cambria Math" w:eastAsia="Cambria Math"/>
          <w:w w:val="105"/>
          <w:sz w:val="28"/>
        </w:rPr>
        <w:t>𝑘</w:t>
      </w:r>
      <w:r>
        <w:rPr>
          <w:rFonts w:ascii="Cambria Math" w:eastAsia="Cambria Math"/>
          <w:spacing w:val="18"/>
          <w:w w:val="105"/>
          <w:sz w:val="28"/>
        </w:rPr>
        <w:t> </w:t>
      </w:r>
      <w:r>
        <w:rPr>
          <w:rFonts w:ascii="Cambria Math" w:eastAsia="Cambria Math"/>
          <w:w w:val="105"/>
          <w:sz w:val="28"/>
        </w:rPr>
        <w:t>=</w:t>
      </w:r>
      <w:r>
        <w:rPr>
          <w:rFonts w:ascii="Cambria Math" w:eastAsia="Cambria Math"/>
          <w:spacing w:val="9"/>
          <w:w w:val="105"/>
          <w:sz w:val="28"/>
        </w:rPr>
        <w:t> </w:t>
      </w:r>
      <w:r>
        <w:rPr>
          <w:rFonts w:ascii="Cambria Math" w:eastAsia="Cambria Math"/>
          <w:w w:val="105"/>
          <w:position w:val="22"/>
          <w:sz w:val="28"/>
        </w:rPr>
        <w:t>𝑅</w:t>
      </w:r>
      <w:r>
        <w:rPr>
          <w:rFonts w:ascii="Cambria Math" w:eastAsia="Cambria Math"/>
          <w:w w:val="105"/>
          <w:position w:val="16"/>
          <w:sz w:val="20"/>
        </w:rPr>
        <w:t>𝑢</w:t>
      </w:r>
    </w:p>
    <w:p>
      <w:pPr>
        <w:spacing w:line="302" w:lineRule="exact" w:before="0"/>
        <w:ind w:left="42" w:right="420" w:firstLine="0"/>
        <w:jc w:val="center"/>
        <w:rPr>
          <w:rFonts w:ascii="Cambria Math" w:eastAsia="Cambria Math"/>
          <w:sz w:val="20"/>
        </w:rPr>
      </w:pPr>
      <w:r>
        <w:rPr>
          <w:rFonts w:ascii="Cambria Math" w:eastAsia="Cambria Math"/>
          <w:w w:val="110"/>
          <w:sz w:val="28"/>
        </w:rPr>
        <w:t>𝑥</w:t>
      </w:r>
      <w:r>
        <w:rPr>
          <w:rFonts w:ascii="Cambria Math" w:eastAsia="Cambria Math"/>
          <w:w w:val="110"/>
          <w:position w:val="-5"/>
          <w:sz w:val="20"/>
        </w:rPr>
        <w:t>𝑒</w:t>
      </w:r>
    </w:p>
    <w:p>
      <w:pPr>
        <w:pStyle w:val="BodyText"/>
        <w:spacing w:before="6"/>
        <w:rPr>
          <w:rFonts w:ascii="Cambria Math"/>
          <w:sz w:val="25"/>
        </w:rPr>
      </w:pPr>
    </w:p>
    <w:p>
      <w:pPr>
        <w:spacing w:after="0"/>
        <w:rPr>
          <w:rFonts w:ascii="Cambria Math"/>
          <w:sz w:val="25"/>
        </w:rPr>
        <w:sectPr>
          <w:type w:val="continuous"/>
          <w:pgSz w:w="12240" w:h="15840"/>
          <w:pgMar w:top="1380" w:bottom="280" w:left="1720" w:right="1020"/>
        </w:sectPr>
      </w:pPr>
    </w:p>
    <w:p>
      <w:pPr>
        <w:spacing w:line="294" w:lineRule="exact" w:before="304"/>
        <w:ind w:left="0" w:right="8" w:firstLine="0"/>
        <w:jc w:val="right"/>
        <w:rPr>
          <w:rFonts w:ascii="Cambria Math" w:eastAsia="Cambria Math"/>
          <w:sz w:val="28"/>
        </w:rPr>
      </w:pPr>
      <w:r>
        <w:rPr>
          <w:rFonts w:ascii="Cambria Math" w:eastAsia="Cambria Math"/>
          <w:w w:val="110"/>
          <w:sz w:val="28"/>
        </w:rPr>
        <w:t>5𝑅</w:t>
      </w:r>
      <w:r>
        <w:rPr>
          <w:rFonts w:ascii="Cambria Math" w:eastAsia="Cambria Math"/>
          <w:w w:val="110"/>
          <w:position w:val="-5"/>
          <w:sz w:val="20"/>
        </w:rPr>
        <w:t>𝑢</w:t>
      </w:r>
      <w:r>
        <w:rPr>
          <w:rFonts w:ascii="Cambria Math" w:eastAsia="Cambria Math"/>
          <w:w w:val="110"/>
          <w:sz w:val="28"/>
        </w:rPr>
        <w:t>𝐿</w:t>
      </w:r>
      <w:r>
        <w:rPr>
          <w:rFonts w:ascii="Cambria Math" w:eastAsia="Cambria Math"/>
          <w:w w:val="110"/>
          <w:sz w:val="28"/>
          <w:vertAlign w:val="superscript"/>
        </w:rPr>
        <w:t>3</w:t>
      </w:r>
    </w:p>
    <w:p>
      <w:pPr>
        <w:spacing w:line="441" w:lineRule="exact" w:before="0"/>
        <w:ind w:left="0" w:right="0" w:firstLine="0"/>
        <w:jc w:val="right"/>
        <w:rPr>
          <w:rFonts w:ascii="Cambria Math" w:eastAsia="Cambria Math"/>
          <w:sz w:val="28"/>
        </w:rPr>
      </w:pPr>
      <w:r>
        <w:rPr/>
        <w:pict>
          <v:shape style="position:absolute;margin-left:331.689087pt;margin-top:4.891273pt;width:38.450pt;height:.95pt;mso-position-horizontal-relative:page;mso-position-vertical-relative:paragraph;z-index:-34811904" coordorigin="6634,98" coordsize="769,19" path="m7402,116l7146,116,6634,116,6634,98,7402,98,7402,116xe" filled="true" fillcolor="#000000" stroked="false">
            <v:path arrowok="t"/>
            <v:fill type="solid"/>
            <w10:wrap type="none"/>
          </v:shape>
        </w:pict>
      </w:r>
      <w:r>
        <w:rPr>
          <w:rFonts w:ascii="Cambria Math" w:eastAsia="Cambria Math"/>
          <w:w w:val="105"/>
          <w:position w:val="19"/>
          <w:sz w:val="28"/>
        </w:rPr>
        <w:t>𝑥</w:t>
      </w:r>
      <w:r>
        <w:rPr>
          <w:rFonts w:ascii="Cambria Math" w:eastAsia="Cambria Math"/>
          <w:w w:val="105"/>
          <w:position w:val="13"/>
          <w:sz w:val="20"/>
        </w:rPr>
        <w:t>𝑒</w:t>
      </w:r>
      <w:r>
        <w:rPr>
          <w:rFonts w:ascii="Cambria Math" w:eastAsia="Cambria Math"/>
          <w:spacing w:val="33"/>
          <w:w w:val="105"/>
          <w:position w:val="13"/>
          <w:sz w:val="20"/>
        </w:rPr>
        <w:t> </w:t>
      </w:r>
      <w:r>
        <w:rPr>
          <w:rFonts w:ascii="Cambria Math" w:eastAsia="Cambria Math"/>
          <w:w w:val="105"/>
          <w:position w:val="19"/>
          <w:sz w:val="28"/>
        </w:rPr>
        <w:t>=</w:t>
      </w:r>
      <w:r>
        <w:rPr>
          <w:rFonts w:ascii="Cambria Math" w:eastAsia="Cambria Math"/>
          <w:spacing w:val="-1"/>
          <w:w w:val="105"/>
          <w:position w:val="19"/>
          <w:sz w:val="28"/>
        </w:rPr>
        <w:t> </w:t>
      </w:r>
      <w:r>
        <w:rPr>
          <w:rFonts w:ascii="Cambria Math" w:eastAsia="Cambria Math"/>
          <w:w w:val="105"/>
          <w:sz w:val="28"/>
        </w:rPr>
        <w:t>384𝐸𝐼</w:t>
      </w:r>
    </w:p>
    <w:p>
      <w:pPr>
        <w:spacing w:before="97"/>
        <w:ind w:left="1201" w:right="0" w:firstLine="0"/>
        <w:jc w:val="left"/>
        <w:rPr>
          <w:sz w:val="23"/>
        </w:rPr>
      </w:pPr>
      <w:r>
        <w:rPr/>
        <w:br w:type="column"/>
      </w:r>
      <w:r>
        <w:rPr>
          <w:w w:val="105"/>
          <w:sz w:val="23"/>
        </w:rPr>
        <w:t>Displacement</w:t>
      </w:r>
    </w:p>
    <w:p>
      <w:pPr>
        <w:spacing w:after="0"/>
        <w:jc w:val="left"/>
        <w:rPr>
          <w:sz w:val="23"/>
        </w:rPr>
        <w:sectPr>
          <w:type w:val="continuous"/>
          <w:pgSz w:w="12240" w:h="15840"/>
          <w:pgMar w:top="1380" w:bottom="280" w:left="1720" w:right="1020"/>
          <w:cols w:num="2" w:equalWidth="0">
            <w:col w:w="5674" w:space="40"/>
            <w:col w:w="3786"/>
          </w:cols>
        </w:sectPr>
      </w:pPr>
    </w:p>
    <w:p>
      <w:pPr>
        <w:pStyle w:val="BodyText"/>
        <w:spacing w:before="8"/>
        <w:rPr>
          <w:sz w:val="11"/>
        </w:rPr>
      </w:pPr>
    </w:p>
    <w:p>
      <w:pPr>
        <w:spacing w:before="90"/>
        <w:ind w:left="440" w:right="403" w:firstLine="0"/>
        <w:jc w:val="left"/>
        <w:rPr>
          <w:i/>
          <w:sz w:val="24"/>
        </w:rPr>
      </w:pPr>
      <w:bookmarkStart w:name="_bookmark176" w:id="519"/>
      <w:bookmarkEnd w:id="519"/>
      <w:r>
        <w:rPr/>
      </w:r>
      <w:r>
        <w:rPr>
          <w:i/>
          <w:sz w:val="24"/>
        </w:rPr>
        <w:t>Figure</w:t>
      </w:r>
      <w:r>
        <w:rPr>
          <w:i/>
          <w:spacing w:val="3"/>
          <w:sz w:val="24"/>
        </w:rPr>
        <w:t> </w:t>
      </w:r>
      <w:r>
        <w:rPr>
          <w:i/>
          <w:sz w:val="24"/>
        </w:rPr>
        <w:t>8-4.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Proposed</w:t>
      </w:r>
      <w:r>
        <w:rPr>
          <w:i/>
          <w:spacing w:val="3"/>
          <w:sz w:val="24"/>
        </w:rPr>
        <w:t> </w:t>
      </w:r>
      <w:r>
        <w:rPr>
          <w:i/>
          <w:sz w:val="24"/>
        </w:rPr>
        <w:t>resistance</w:t>
      </w:r>
      <w:r>
        <w:rPr>
          <w:i/>
          <w:spacing w:val="3"/>
          <w:sz w:val="24"/>
        </w:rPr>
        <w:t> </w:t>
      </w:r>
      <w:r>
        <w:rPr>
          <w:i/>
          <w:sz w:val="24"/>
        </w:rPr>
        <w:t>function</w:t>
      </w:r>
      <w:r>
        <w:rPr>
          <w:i/>
          <w:spacing w:val="3"/>
          <w:sz w:val="24"/>
        </w:rPr>
        <w:t> </w:t>
      </w:r>
      <w:r>
        <w:rPr>
          <w:i/>
          <w:sz w:val="24"/>
        </w:rPr>
        <w:t>with</w:t>
      </w:r>
      <w:r>
        <w:rPr>
          <w:i/>
          <w:spacing w:val="3"/>
          <w:sz w:val="24"/>
        </w:rPr>
        <w:t> </w:t>
      </w:r>
      <w:r>
        <w:rPr>
          <w:i/>
          <w:sz w:val="24"/>
        </w:rPr>
        <w:t>simply</w:t>
      </w:r>
      <w:r>
        <w:rPr>
          <w:i/>
          <w:spacing w:val="3"/>
          <w:sz w:val="24"/>
        </w:rPr>
        <w:t> </w:t>
      </w:r>
      <w:r>
        <w:rPr>
          <w:i/>
          <w:sz w:val="24"/>
        </w:rPr>
        <w:t>supported</w:t>
      </w:r>
      <w:r>
        <w:rPr>
          <w:i/>
          <w:spacing w:val="3"/>
          <w:sz w:val="24"/>
        </w:rPr>
        <w:t> </w:t>
      </w:r>
      <w:r>
        <w:rPr>
          <w:i/>
          <w:sz w:val="24"/>
        </w:rPr>
        <w:t>boundary</w:t>
      </w:r>
      <w:r>
        <w:rPr>
          <w:i/>
          <w:spacing w:val="4"/>
          <w:sz w:val="24"/>
        </w:rPr>
        <w:t> </w:t>
      </w:r>
      <w:r>
        <w:rPr>
          <w:i/>
          <w:sz w:val="24"/>
        </w:rPr>
        <w:t>conditions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uniform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load.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229"/>
        <w:ind w:left="440" w:right="417" w:firstLine="720"/>
        <w:jc w:val="both"/>
      </w:pPr>
      <w:r>
        <w:rPr/>
        <w:t>The flexural strength of the panel typically controls based on typical CLT panel</w:t>
      </w:r>
      <w:r>
        <w:rPr>
          <w:spacing w:val="1"/>
        </w:rPr>
        <w:t> </w:t>
      </w:r>
      <w:r>
        <w:rPr/>
        <w:t>dimensions</w:t>
      </w:r>
      <w:r>
        <w:rPr>
          <w:spacing w:val="-10"/>
        </w:rPr>
        <w:t> </w:t>
      </w:r>
      <w:r>
        <w:rPr/>
        <w:t>and</w:t>
      </w:r>
      <w:r>
        <w:rPr>
          <w:spacing w:val="-10"/>
        </w:rPr>
        <w:t> </w:t>
      </w:r>
      <w:r>
        <w:rPr/>
        <w:t>loads.</w:t>
      </w:r>
      <w:r>
        <w:rPr>
          <w:spacing w:val="38"/>
        </w:rPr>
        <w:t> </w:t>
      </w:r>
      <w:r>
        <w:rPr/>
        <w:t>However,</w:t>
      </w:r>
      <w:r>
        <w:rPr>
          <w:spacing w:val="-10"/>
        </w:rPr>
        <w:t> </w:t>
      </w:r>
      <w:r>
        <w:rPr/>
        <w:t>shear</w:t>
      </w:r>
      <w:r>
        <w:rPr>
          <w:spacing w:val="-11"/>
        </w:rPr>
        <w:t> </w:t>
      </w:r>
      <w:r>
        <w:rPr/>
        <w:t>is</w:t>
      </w:r>
      <w:r>
        <w:rPr>
          <w:spacing w:val="-10"/>
        </w:rPr>
        <w:t> </w:t>
      </w:r>
      <w:r>
        <w:rPr/>
        <w:t>still</w:t>
      </w:r>
      <w:r>
        <w:rPr>
          <w:spacing w:val="-9"/>
        </w:rPr>
        <w:t> </w:t>
      </w:r>
      <w:r>
        <w:rPr/>
        <w:t>checked.</w:t>
      </w:r>
      <w:r>
        <w:rPr>
          <w:spacing w:val="41"/>
        </w:rPr>
        <w:t> </w:t>
      </w:r>
      <w:r>
        <w:rPr/>
        <w:t>The</w:t>
      </w:r>
      <w:r>
        <w:rPr>
          <w:spacing w:val="-12"/>
        </w:rPr>
        <w:t> </w:t>
      </w:r>
      <w:r>
        <w:rPr/>
        <w:t>actual</w:t>
      </w:r>
      <w:r>
        <w:rPr>
          <w:spacing w:val="-9"/>
        </w:rPr>
        <w:t> </w:t>
      </w:r>
      <w:r>
        <w:rPr/>
        <w:t>shear</w:t>
      </w:r>
      <w:r>
        <w:rPr>
          <w:spacing w:val="-11"/>
        </w:rPr>
        <w:t> </w:t>
      </w:r>
      <w:r>
        <w:rPr/>
        <w:t>is</w:t>
      </w:r>
      <w:r>
        <w:rPr>
          <w:spacing w:val="-10"/>
        </w:rPr>
        <w:t> </w:t>
      </w:r>
      <w:r>
        <w:rPr/>
        <w:t>evaluated</w:t>
      </w:r>
      <w:r>
        <w:rPr>
          <w:spacing w:val="-10"/>
        </w:rPr>
        <w:t> </w:t>
      </w:r>
      <w:r>
        <w:rPr/>
        <w:t>using</w:t>
      </w:r>
      <w:r>
        <w:rPr>
          <w:spacing w:val="-58"/>
        </w:rPr>
        <w:t> </w:t>
      </w:r>
      <w:r>
        <w:rPr/>
        <w:t>the shear analogy method and the PRG 320 required design values.</w:t>
      </w:r>
      <w:r>
        <w:rPr>
          <w:spacing w:val="1"/>
        </w:rPr>
        <w:t> </w:t>
      </w:r>
      <w:r>
        <w:rPr/>
        <w:t>The actual shear</w:t>
      </w:r>
      <w:r>
        <w:rPr>
          <w:spacing w:val="1"/>
        </w:rPr>
        <w:t> </w:t>
      </w:r>
      <w:r>
        <w:rPr>
          <w:position w:val="1"/>
        </w:rPr>
        <w:t>capacity, </w:t>
      </w:r>
      <w:r>
        <w:rPr>
          <w:i/>
          <w:position w:val="1"/>
        </w:rPr>
        <w:t>V</w:t>
      </w:r>
      <w:r>
        <w:rPr>
          <w:i/>
          <w:sz w:val="16"/>
        </w:rPr>
        <w:t>n</w:t>
      </w:r>
      <w:r>
        <w:rPr>
          <w:position w:val="1"/>
        </w:rPr>
        <w:t>, is calculated as shown in Equation 8.13.</w:t>
      </w:r>
      <w:r>
        <w:rPr>
          <w:spacing w:val="1"/>
          <w:position w:val="1"/>
        </w:rPr>
        <w:t> </w:t>
      </w:r>
      <w:r>
        <w:rPr>
          <w:position w:val="1"/>
        </w:rPr>
        <w:t>This value is then compared to the</w:t>
      </w:r>
      <w:r>
        <w:rPr>
          <w:spacing w:val="1"/>
          <w:position w:val="1"/>
        </w:rPr>
        <w:t> </w:t>
      </w:r>
      <w:r>
        <w:rPr>
          <w:position w:val="1"/>
        </w:rPr>
        <w:t>assumed</w:t>
      </w:r>
      <w:r>
        <w:rPr>
          <w:spacing w:val="-6"/>
          <w:position w:val="1"/>
        </w:rPr>
        <w:t> </w:t>
      </w:r>
      <w:r>
        <w:rPr>
          <w:position w:val="1"/>
        </w:rPr>
        <w:t>shear</w:t>
      </w:r>
      <w:r>
        <w:rPr>
          <w:spacing w:val="-5"/>
          <w:position w:val="1"/>
        </w:rPr>
        <w:t> </w:t>
      </w:r>
      <w:r>
        <w:rPr>
          <w:position w:val="1"/>
        </w:rPr>
        <w:t>capacity,</w:t>
      </w:r>
      <w:r>
        <w:rPr>
          <w:spacing w:val="-6"/>
          <w:position w:val="1"/>
        </w:rPr>
        <w:t> </w:t>
      </w:r>
      <w:r>
        <w:rPr>
          <w:i/>
          <w:position w:val="1"/>
        </w:rPr>
        <w:t>V</w:t>
      </w:r>
      <w:r>
        <w:rPr>
          <w:i/>
          <w:sz w:val="16"/>
        </w:rPr>
        <w:t>u</w:t>
      </w:r>
      <w:r>
        <w:rPr>
          <w:position w:val="1"/>
        </w:rPr>
        <w:t>,</w:t>
      </w:r>
      <w:r>
        <w:rPr>
          <w:spacing w:val="-5"/>
          <w:position w:val="1"/>
        </w:rPr>
        <w:t> </w:t>
      </w:r>
      <w:r>
        <w:rPr>
          <w:position w:val="1"/>
        </w:rPr>
        <w:t>based</w:t>
      </w:r>
      <w:r>
        <w:rPr>
          <w:spacing w:val="-5"/>
          <w:position w:val="1"/>
        </w:rPr>
        <w:t> </w:t>
      </w:r>
      <w:r>
        <w:rPr>
          <w:position w:val="1"/>
        </w:rPr>
        <w:t>on</w:t>
      </w:r>
      <w:r>
        <w:rPr>
          <w:spacing w:val="-6"/>
          <w:position w:val="1"/>
        </w:rPr>
        <w:t> </w:t>
      </w:r>
      <w:r>
        <w:rPr>
          <w:position w:val="1"/>
        </w:rPr>
        <w:t>the</w:t>
      </w:r>
      <w:r>
        <w:rPr>
          <w:spacing w:val="-5"/>
          <w:position w:val="1"/>
        </w:rPr>
        <w:t> </w:t>
      </w:r>
      <w:r>
        <w:rPr>
          <w:position w:val="1"/>
        </w:rPr>
        <w:t>flexural</w:t>
      </w:r>
      <w:r>
        <w:rPr>
          <w:spacing w:val="-7"/>
          <w:position w:val="1"/>
        </w:rPr>
        <w:t> </w:t>
      </w:r>
      <w:r>
        <w:rPr>
          <w:position w:val="1"/>
        </w:rPr>
        <w:t>response,</w:t>
      </w:r>
      <w:r>
        <w:rPr>
          <w:spacing w:val="-6"/>
          <w:position w:val="1"/>
        </w:rPr>
        <w:t> </w:t>
      </w:r>
      <w:r>
        <w:rPr>
          <w:position w:val="1"/>
        </w:rPr>
        <w:t>as</w:t>
      </w:r>
      <w:r>
        <w:rPr>
          <w:spacing w:val="-6"/>
          <w:position w:val="1"/>
        </w:rPr>
        <w:t> </w:t>
      </w:r>
      <w:r>
        <w:rPr>
          <w:position w:val="1"/>
        </w:rPr>
        <w:t>calculated</w:t>
      </w:r>
      <w:r>
        <w:rPr>
          <w:spacing w:val="-6"/>
          <w:position w:val="1"/>
        </w:rPr>
        <w:t> </w:t>
      </w:r>
      <w:r>
        <w:rPr>
          <w:position w:val="1"/>
        </w:rPr>
        <w:t>in</w:t>
      </w:r>
      <w:r>
        <w:rPr>
          <w:spacing w:val="-6"/>
          <w:position w:val="1"/>
        </w:rPr>
        <w:t> </w:t>
      </w:r>
      <w:r>
        <w:rPr>
          <w:position w:val="1"/>
        </w:rPr>
        <w:t>Equation</w:t>
      </w:r>
      <w:r>
        <w:rPr>
          <w:spacing w:val="-5"/>
          <w:position w:val="1"/>
        </w:rPr>
        <w:t> </w:t>
      </w:r>
      <w:r>
        <w:rPr>
          <w:position w:val="1"/>
        </w:rPr>
        <w:t>8.14.</w:t>
      </w:r>
    </w:p>
    <w:p>
      <w:pPr>
        <w:spacing w:after="0" w:line="480" w:lineRule="auto"/>
        <w:jc w:val="both"/>
        <w:sectPr>
          <w:type w:val="continuous"/>
          <w:pgSz w:w="12240" w:h="15840"/>
          <w:pgMar w:top="1380" w:bottom="280" w:left="1720" w:right="1020"/>
        </w:sectPr>
      </w:pPr>
    </w:p>
    <w:p>
      <w:pPr>
        <w:pStyle w:val="BodyText"/>
        <w:spacing w:line="480" w:lineRule="auto" w:before="78"/>
        <w:ind w:left="440" w:right="417"/>
        <w:jc w:val="both"/>
      </w:pPr>
      <w:r>
        <w:rPr/>
        <w:pict>
          <v:rect style="position:absolute;margin-left:289.079987pt;margin-top:137.804153pt;width:11.28pt;height:.779pt;mso-position-horizontal-relative:page;mso-position-vertical-relative:paragraph;z-index:-34810880" filled="true" fillcolor="#000000" stroked="false">
            <v:fill type="solid"/>
            <w10:wrap type="none"/>
          </v:rect>
        </w:pict>
      </w:r>
      <w:r>
        <w:rPr/>
        <w:pict>
          <v:rect style="position:absolute;margin-left:392.940002pt;margin-top:204.103149pt;width:11.28pt;height:.78pt;mso-position-horizontal-relative:page;mso-position-vertical-relative:paragraph;z-index:-34810368" filled="true" fillcolor="#000000" stroked="false">
            <v:fill type="solid"/>
            <w10:wrap type="none"/>
          </v:rect>
        </w:pict>
      </w:r>
      <w:r>
        <w:rPr/>
        <w:pict>
          <v:rect style="position:absolute;margin-left:299.339996pt;margin-top:497.820007pt;width:57.18pt;height:.78pt;mso-position-horizontal-relative:page;mso-position-vertical-relative:page;z-index:-34809856" filled="true" fillcolor="#000000" stroked="false">
            <v:fill type="solid"/>
            <w10:wrap type="none"/>
          </v:rect>
        </w:pict>
      </w:r>
      <w:r>
        <w:rPr/>
        <w:t>If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assumed</w:t>
      </w:r>
      <w:r>
        <w:rPr>
          <w:spacing w:val="-3"/>
        </w:rPr>
        <w:t> </w:t>
      </w:r>
      <w:r>
        <w:rPr/>
        <w:t>shear</w:t>
      </w:r>
      <w:r>
        <w:rPr>
          <w:spacing w:val="-3"/>
        </w:rPr>
        <w:t> </w:t>
      </w:r>
      <w:r>
        <w:rPr/>
        <w:t>is</w:t>
      </w:r>
      <w:r>
        <w:rPr>
          <w:spacing w:val="-2"/>
        </w:rPr>
        <w:t> </w:t>
      </w:r>
      <w:r>
        <w:rPr/>
        <w:t>less</w:t>
      </w:r>
      <w:r>
        <w:rPr>
          <w:spacing w:val="-1"/>
        </w:rPr>
        <w:t> </w:t>
      </w:r>
      <w:r>
        <w:rPr/>
        <w:t>than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actual</w:t>
      </w:r>
      <w:r>
        <w:rPr>
          <w:spacing w:val="-2"/>
        </w:rPr>
        <w:t> </w:t>
      </w:r>
      <w:r>
        <w:rPr/>
        <w:t>shear,</w:t>
      </w:r>
      <w:r>
        <w:rPr>
          <w:spacing w:val="-4"/>
        </w:rPr>
        <w:t> </w:t>
      </w:r>
      <w:r>
        <w:rPr/>
        <w:t>then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flexural</w:t>
      </w:r>
      <w:r>
        <w:rPr>
          <w:spacing w:val="-2"/>
        </w:rPr>
        <w:t> </w:t>
      </w:r>
      <w:r>
        <w:rPr/>
        <w:t>response</w:t>
      </w:r>
      <w:r>
        <w:rPr>
          <w:spacing w:val="-2"/>
        </w:rPr>
        <w:t> </w:t>
      </w:r>
      <w:r>
        <w:rPr/>
        <w:t>is</w:t>
      </w:r>
      <w:r>
        <w:rPr>
          <w:spacing w:val="-2"/>
        </w:rPr>
        <w:t> </w:t>
      </w:r>
      <w:r>
        <w:rPr/>
        <w:t>appropriate.</w:t>
      </w:r>
      <w:r>
        <w:rPr>
          <w:spacing w:val="-57"/>
        </w:rPr>
        <w:t> </w:t>
      </w:r>
      <w:r>
        <w:rPr/>
        <w:t>However,</w:t>
      </w:r>
      <w:r>
        <w:rPr>
          <w:spacing w:val="-6"/>
        </w:rPr>
        <w:t> </w:t>
      </w:r>
      <w:r>
        <w:rPr/>
        <w:t>if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assumed</w:t>
      </w:r>
      <w:r>
        <w:rPr>
          <w:spacing w:val="-6"/>
        </w:rPr>
        <w:t> </w:t>
      </w:r>
      <w:r>
        <w:rPr/>
        <w:t>shear</w:t>
      </w:r>
      <w:r>
        <w:rPr>
          <w:spacing w:val="-6"/>
        </w:rPr>
        <w:t> </w:t>
      </w:r>
      <w:r>
        <w:rPr/>
        <w:t>is</w:t>
      </w:r>
      <w:r>
        <w:rPr>
          <w:spacing w:val="-7"/>
        </w:rPr>
        <w:t> </w:t>
      </w:r>
      <w:r>
        <w:rPr/>
        <w:t>less</w:t>
      </w:r>
      <w:r>
        <w:rPr>
          <w:spacing w:val="-7"/>
        </w:rPr>
        <w:t> </w:t>
      </w:r>
      <w:r>
        <w:rPr/>
        <w:t>than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actual</w:t>
      </w:r>
      <w:r>
        <w:rPr>
          <w:spacing w:val="-6"/>
        </w:rPr>
        <w:t> </w:t>
      </w:r>
      <w:r>
        <w:rPr/>
        <w:t>shear,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resistance</w:t>
      </w:r>
      <w:r>
        <w:rPr>
          <w:spacing w:val="-7"/>
        </w:rPr>
        <w:t> </w:t>
      </w:r>
      <w:r>
        <w:rPr/>
        <w:t>function</w:t>
      </w:r>
      <w:r>
        <w:rPr>
          <w:spacing w:val="-6"/>
        </w:rPr>
        <w:t> </w:t>
      </w:r>
      <w:r>
        <w:rPr/>
        <w:t>must</w:t>
      </w:r>
      <w:r>
        <w:rPr>
          <w:spacing w:val="-6"/>
        </w:rPr>
        <w:t> </w:t>
      </w:r>
      <w:r>
        <w:rPr/>
        <w:t>be</w:t>
      </w:r>
      <w:r>
        <w:rPr>
          <w:spacing w:val="-57"/>
        </w:rPr>
        <w:t> </w:t>
      </w:r>
      <w:r>
        <w:rPr/>
        <w:t>recalculated based on the shear response. The ultimate shear resistance and corresponding</w:t>
      </w:r>
      <w:r>
        <w:rPr>
          <w:spacing w:val="-57"/>
        </w:rPr>
        <w:t> </w:t>
      </w:r>
      <w:r>
        <w:rPr/>
        <w:t>displacement</w:t>
      </w:r>
      <w:r>
        <w:rPr>
          <w:spacing w:val="-1"/>
        </w:rPr>
        <w:t> </w:t>
      </w:r>
      <w:r>
        <w:rPr/>
        <w:t>are</w:t>
      </w:r>
      <w:r>
        <w:rPr>
          <w:spacing w:val="-1"/>
        </w:rPr>
        <w:t> </w:t>
      </w:r>
      <w:r>
        <w:rPr/>
        <w:t>calculated</w:t>
      </w:r>
      <w:r>
        <w:rPr>
          <w:spacing w:val="-1"/>
        </w:rPr>
        <w:t> </w:t>
      </w:r>
      <w:r>
        <w:rPr/>
        <w:t>as shown in</w:t>
      </w:r>
      <w:r>
        <w:rPr>
          <w:spacing w:val="-1"/>
        </w:rPr>
        <w:t> </w:t>
      </w:r>
      <w:r>
        <w:rPr/>
        <w:t>Equation</w:t>
      </w:r>
      <w:r>
        <w:rPr>
          <w:spacing w:val="-2"/>
        </w:rPr>
        <w:t> </w:t>
      </w:r>
      <w:r>
        <w:rPr/>
        <w:t>8.15 and</w:t>
      </w:r>
      <w:r>
        <w:rPr>
          <w:spacing w:val="-1"/>
        </w:rPr>
        <w:t> </w:t>
      </w:r>
      <w:r>
        <w:rPr/>
        <w:t>8.16 respectively.</w:t>
      </w:r>
    </w:p>
    <w:p>
      <w:pPr>
        <w:pStyle w:val="BodyText"/>
        <w:spacing w:before="5"/>
        <w:rPr>
          <w:sz w:val="15"/>
        </w:rPr>
      </w:pPr>
    </w:p>
    <w:tbl>
      <w:tblPr>
        <w:tblW w:w="0" w:type="auto"/>
        <w:jc w:val="left"/>
        <w:tblInd w:w="326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19"/>
        <w:gridCol w:w="1167"/>
        <w:gridCol w:w="2251"/>
      </w:tblGrid>
      <w:tr>
        <w:trPr>
          <w:trHeight w:val="812" w:hRule="atLeast"/>
        </w:trPr>
        <w:tc>
          <w:tcPr>
            <w:tcW w:w="2719" w:type="dxa"/>
          </w:tcPr>
          <w:p>
            <w:pPr>
              <w:pStyle w:val="TableParagraph"/>
              <w:spacing w:line="191" w:lineRule="exact"/>
              <w:ind w:left="800"/>
              <w:rPr>
                <w:rFonts w:ascii="Cambria Math" w:eastAsia="Cambria Math"/>
                <w:sz w:val="24"/>
              </w:rPr>
            </w:pPr>
            <w:r>
              <w:rPr>
                <w:rFonts w:ascii="Cambria Math" w:eastAsia="Cambria Math"/>
                <w:sz w:val="24"/>
              </w:rPr>
              <w:t>𝐼𝑏</w:t>
            </w:r>
          </w:p>
          <w:p>
            <w:pPr>
              <w:pStyle w:val="TableParagraph"/>
              <w:spacing w:line="163" w:lineRule="auto"/>
              <w:ind w:left="-84"/>
              <w:rPr>
                <w:rFonts w:ascii="Cambria Math" w:hAnsi="Cambria Math" w:cs="Cambria Math" w:eastAsia="Cambria Math"/>
                <w:sz w:val="24"/>
                <w:szCs w:val="24"/>
              </w:rPr>
            </w:pPr>
            <w:r>
              <w:rPr>
                <w:rFonts w:ascii="Cambria Math" w:hAnsi="Cambria Math" w:cs="Cambria Math" w:eastAsia="Cambria Math"/>
                <w:spacing w:val="-57"/>
                <w:sz w:val="24"/>
                <w:szCs w:val="24"/>
              </w:rPr>
              <w:t>𝑉</w:t>
            </w:r>
            <w:r>
              <w:rPr>
                <w:rFonts w:ascii="Cambria Math" w:hAnsi="Cambria Math" w:cs="Cambria Math" w:eastAsia="Cambria Math"/>
                <w:w w:val="120"/>
                <w:sz w:val="24"/>
                <w:szCs w:val="24"/>
                <w:vertAlign w:val="subscript"/>
              </w:rPr>
              <w:t>𝑛</w:t>
            </w:r>
            <w:r>
              <w:rPr>
                <w:rFonts w:ascii="Cambria Math" w:hAnsi="Cambria Math" w:cs="Cambria Math" w:eastAsia="Cambria Math"/>
                <w:spacing w:val="26"/>
                <w:sz w:val="24"/>
                <w:szCs w:val="24"/>
                <w:vertAlign w:val="baseline"/>
              </w:rPr>
              <w:t> </w:t>
            </w:r>
            <w:r>
              <w:rPr>
                <w:rFonts w:ascii="Cambria Math" w:hAnsi="Cambria Math" w:cs="Cambria Math" w:eastAsia="Cambria Math"/>
                <w:sz w:val="24"/>
                <w:szCs w:val="24"/>
                <w:vertAlign w:val="baseline"/>
              </w:rPr>
              <w:t>=</w:t>
            </w:r>
            <w:r>
              <w:rPr>
                <w:rFonts w:ascii="Cambria Math" w:hAnsi="Cambria Math" w:cs="Cambria Math" w:eastAsia="Cambria Math"/>
                <w:spacing w:val="13"/>
                <w:sz w:val="24"/>
                <w:szCs w:val="24"/>
                <w:vertAlign w:val="baseline"/>
              </w:rPr>
              <w:t> </w:t>
            </w:r>
            <w:r>
              <w:rPr>
                <w:rFonts w:ascii="Cambria Math" w:hAnsi="Cambria Math" w:cs="Cambria Math" w:eastAsia="Cambria Math"/>
                <w:spacing w:val="-47"/>
                <w:w w:val="50"/>
                <w:sz w:val="24"/>
                <w:szCs w:val="24"/>
                <w:vertAlign w:val="baseline"/>
              </w:rPr>
              <w:t>𝑓𝑓</w:t>
            </w:r>
            <w:r>
              <w:rPr>
                <w:rFonts w:ascii="Cambria Math" w:hAnsi="Cambria Math" w:cs="Cambria Math" w:eastAsia="Cambria Math"/>
                <w:w w:val="110"/>
                <w:sz w:val="24"/>
                <w:szCs w:val="24"/>
                <w:vertAlign w:val="subscript"/>
              </w:rPr>
              <w:t>𝑣</w:t>
            </w:r>
            <w:r>
              <w:rPr>
                <w:rFonts w:ascii="Cambria Math" w:hAnsi="Cambria Math" w:cs="Cambria Math" w:eastAsia="Cambria Math"/>
                <w:sz w:val="24"/>
                <w:szCs w:val="24"/>
                <w:vertAlign w:val="baseline"/>
              </w:rPr>
              <w:t> </w:t>
            </w:r>
            <w:r>
              <w:rPr>
                <w:rFonts w:ascii="Cambria Math" w:hAnsi="Cambria Math" w:cs="Cambria Math" w:eastAsia="Cambria Math"/>
                <w:w w:val="49"/>
                <w:sz w:val="24"/>
                <w:szCs w:val="24"/>
                <w:vertAlign w:val="baseline"/>
              </w:rPr>
              <w:t>�</w:t>
            </w:r>
            <w:r>
              <w:rPr>
                <w:rFonts w:ascii="Cambria Math" w:hAnsi="Cambria Math" w:cs="Cambria Math" w:eastAsia="Cambria Math"/>
                <w:spacing w:val="-26"/>
                <w:sz w:val="24"/>
                <w:szCs w:val="24"/>
                <w:vertAlign w:val="baseline"/>
              </w:rPr>
              <w:t> </w:t>
            </w:r>
            <w:r>
              <w:rPr>
                <w:rFonts w:ascii="Cambria Math" w:hAnsi="Cambria Math" w:cs="Cambria Math" w:eastAsia="Cambria Math"/>
                <w:w w:val="50"/>
                <w:position w:val="-15"/>
                <w:sz w:val="24"/>
                <w:szCs w:val="24"/>
                <w:vertAlign w:val="baseline"/>
              </w:rPr>
              <w:t>𝑄𝑄</w:t>
            </w:r>
            <w:r>
              <w:rPr>
                <w:rFonts w:ascii="Cambria Math" w:hAnsi="Cambria Math" w:cs="Cambria Math" w:eastAsia="Cambria Math"/>
                <w:spacing w:val="-18"/>
                <w:position w:val="-15"/>
                <w:sz w:val="24"/>
                <w:szCs w:val="24"/>
                <w:vertAlign w:val="baseline"/>
              </w:rPr>
              <w:t> </w:t>
            </w:r>
            <w:r>
              <w:rPr>
                <w:rFonts w:ascii="Cambria Math" w:hAnsi="Cambria Math" w:cs="Cambria Math" w:eastAsia="Cambria Math"/>
                <w:w w:val="49"/>
                <w:sz w:val="24"/>
                <w:szCs w:val="24"/>
                <w:vertAlign w:val="baseline"/>
              </w:rPr>
              <w:t>�</w:t>
            </w:r>
          </w:p>
          <w:p>
            <w:pPr>
              <w:pStyle w:val="TableParagraph"/>
              <w:spacing w:line="132" w:lineRule="exact"/>
              <w:ind w:left="1128" w:right="1259"/>
              <w:jc w:val="center"/>
              <w:rPr>
                <w:rFonts w:ascii="Cambria Math" w:eastAsia="Cambria Math"/>
                <w:sz w:val="17"/>
              </w:rPr>
            </w:pPr>
            <w:r>
              <w:rPr>
                <w:rFonts w:ascii="Cambria Math" w:eastAsia="Cambria Math"/>
                <w:spacing w:val="-1"/>
                <w:w w:val="109"/>
                <w:sz w:val="17"/>
              </w:rPr>
              <w:t>𝑒</w:t>
            </w:r>
            <w:r>
              <w:rPr>
                <w:rFonts w:ascii="Cambria Math" w:eastAsia="Cambria Math"/>
                <w:spacing w:val="-1"/>
                <w:w w:val="54"/>
                <w:sz w:val="17"/>
              </w:rPr>
              <w:t>𝑓𝑓𝑓𝑓</w:t>
            </w:r>
          </w:p>
        </w:tc>
        <w:tc>
          <w:tcPr>
            <w:tcW w:w="116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251" w:type="dxa"/>
          </w:tcPr>
          <w:p>
            <w:pPr>
              <w:pStyle w:val="TableParagraph"/>
              <w:spacing w:before="111"/>
              <w:ind w:left="1471"/>
              <w:rPr>
                <w:sz w:val="24"/>
              </w:rPr>
            </w:pPr>
            <w:r>
              <w:rPr>
                <w:sz w:val="24"/>
              </w:rPr>
              <w:t>(8.13)</w:t>
            </w:r>
          </w:p>
        </w:tc>
      </w:tr>
      <w:tr>
        <w:trPr>
          <w:trHeight w:val="502" w:hRule="atLeast"/>
        </w:trPr>
        <w:tc>
          <w:tcPr>
            <w:tcW w:w="2719" w:type="dxa"/>
          </w:tcPr>
          <w:p>
            <w:pPr>
              <w:pStyle w:val="TableParagraph"/>
              <w:spacing w:line="263" w:lineRule="exact" w:before="220"/>
              <w:ind w:left="1433"/>
              <w:rPr>
                <w:sz w:val="24"/>
              </w:rPr>
            </w:pPr>
            <w:r>
              <w:rPr>
                <w:sz w:val="24"/>
              </w:rPr>
              <w:t>where</w:t>
            </w:r>
          </w:p>
        </w:tc>
        <w:tc>
          <w:tcPr>
            <w:tcW w:w="1167" w:type="dxa"/>
          </w:tcPr>
          <w:p>
            <w:pPr>
              <w:pStyle w:val="TableParagraph"/>
              <w:spacing w:line="262" w:lineRule="exact" w:before="220"/>
              <w:ind w:left="699"/>
              <w:rPr>
                <w:i/>
                <w:sz w:val="24"/>
              </w:rPr>
            </w:pPr>
            <w:r>
              <w:rPr>
                <w:i/>
                <w:position w:val="1"/>
                <w:sz w:val="24"/>
              </w:rPr>
              <w:t>f</w:t>
            </w:r>
            <w:r>
              <w:rPr>
                <w:i/>
                <w:sz w:val="16"/>
              </w:rPr>
              <w:t>v</w:t>
            </w:r>
            <w:r>
              <w:rPr>
                <w:i/>
                <w:spacing w:val="18"/>
                <w:sz w:val="16"/>
              </w:rPr>
              <w:t> </w:t>
            </w:r>
            <w:r>
              <w:rPr>
                <w:i/>
                <w:position w:val="1"/>
                <w:sz w:val="24"/>
              </w:rPr>
              <w:t>=</w:t>
            </w:r>
          </w:p>
        </w:tc>
        <w:tc>
          <w:tcPr>
            <w:tcW w:w="2251" w:type="dxa"/>
          </w:tcPr>
          <w:p>
            <w:pPr>
              <w:pStyle w:val="TableParagraph"/>
              <w:spacing w:line="263" w:lineRule="exact" w:before="220"/>
              <w:ind w:left="108"/>
              <w:rPr>
                <w:sz w:val="24"/>
              </w:rPr>
            </w:pPr>
            <w:r>
              <w:rPr>
                <w:sz w:val="24"/>
              </w:rPr>
              <w:t>shear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strength</w:t>
            </w:r>
          </w:p>
        </w:tc>
      </w:tr>
      <w:tr>
        <w:trPr>
          <w:trHeight w:val="840" w:hRule="atLeast"/>
        </w:trPr>
        <w:tc>
          <w:tcPr>
            <w:tcW w:w="2719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167" w:type="dxa"/>
          </w:tcPr>
          <w:p>
            <w:pPr>
              <w:pStyle w:val="TableParagraph"/>
              <w:spacing w:line="202" w:lineRule="exact"/>
              <w:ind w:left="158"/>
              <w:rPr>
                <w:rFonts w:ascii="Cambria Math" w:eastAsia="Cambria Math"/>
                <w:sz w:val="24"/>
              </w:rPr>
            </w:pPr>
            <w:r>
              <w:rPr>
                <w:rFonts w:ascii="Cambria Math" w:eastAsia="Cambria Math"/>
                <w:sz w:val="24"/>
              </w:rPr>
              <w:t>𝐼𝑏</w:t>
            </w:r>
          </w:p>
          <w:p>
            <w:pPr>
              <w:pStyle w:val="TableParagraph"/>
              <w:tabs>
                <w:tab w:pos="880" w:val="left" w:leader="none"/>
              </w:tabs>
              <w:spacing w:line="163" w:lineRule="auto"/>
              <w:ind w:left="39"/>
              <w:rPr>
                <w:rFonts w:ascii="Cambria Math" w:hAnsi="Cambria Math" w:cs="Cambria Math" w:eastAsia="Cambria Math"/>
                <w:sz w:val="24"/>
                <w:szCs w:val="24"/>
              </w:rPr>
            </w:pPr>
            <w:r>
              <w:rPr>
                <w:rFonts w:ascii="Cambria Math" w:hAnsi="Cambria Math" w:cs="Cambria Math" w:eastAsia="Cambria Math"/>
                <w:w w:val="45"/>
                <w:sz w:val="24"/>
                <w:szCs w:val="24"/>
              </w:rPr>
              <w:t>�</w:t>
            </w:r>
            <w:r>
              <w:rPr>
                <w:rFonts w:ascii="Cambria Math" w:hAnsi="Cambria Math" w:cs="Cambria Math" w:eastAsia="Cambria Math"/>
                <w:spacing w:val="6"/>
                <w:w w:val="45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w w:val="45"/>
                <w:position w:val="-15"/>
                <w:sz w:val="24"/>
                <w:szCs w:val="24"/>
              </w:rPr>
              <w:t>𝑄𝑄</w:t>
            </w:r>
            <w:r>
              <w:rPr>
                <w:rFonts w:ascii="Cambria Math" w:hAnsi="Cambria Math" w:cs="Cambria Math" w:eastAsia="Cambria Math"/>
                <w:spacing w:val="16"/>
                <w:w w:val="45"/>
                <w:position w:val="-15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w w:val="45"/>
                <w:sz w:val="24"/>
                <w:szCs w:val="24"/>
              </w:rPr>
              <w:t>�</w:t>
              <w:tab/>
            </w:r>
            <w:r>
              <w:rPr>
                <w:rFonts w:ascii="Cambria Math" w:hAnsi="Cambria Math" w:cs="Cambria Math" w:eastAsia="Cambria Math"/>
                <w:w w:val="90"/>
                <w:sz w:val="24"/>
                <w:szCs w:val="24"/>
              </w:rPr>
              <w:t>=</w:t>
            </w:r>
          </w:p>
          <w:p>
            <w:pPr>
              <w:pStyle w:val="TableParagraph"/>
              <w:spacing w:line="132" w:lineRule="exact"/>
              <w:ind w:left="502"/>
              <w:rPr>
                <w:rFonts w:ascii="Cambria Math" w:eastAsia="Cambria Math"/>
                <w:sz w:val="17"/>
              </w:rPr>
            </w:pPr>
            <w:r>
              <w:rPr>
                <w:rFonts w:ascii="Cambria Math" w:eastAsia="Cambria Math"/>
                <w:spacing w:val="-1"/>
                <w:w w:val="109"/>
                <w:sz w:val="17"/>
              </w:rPr>
              <w:t>𝑒</w:t>
            </w:r>
            <w:r>
              <w:rPr>
                <w:rFonts w:ascii="Cambria Math" w:eastAsia="Cambria Math"/>
                <w:spacing w:val="-1"/>
                <w:w w:val="54"/>
                <w:sz w:val="17"/>
              </w:rPr>
              <w:t>𝑓𝑓𝑓𝑓</w:t>
            </w:r>
          </w:p>
        </w:tc>
        <w:tc>
          <w:tcPr>
            <w:tcW w:w="2251" w:type="dxa"/>
          </w:tcPr>
          <w:p>
            <w:pPr>
              <w:pStyle w:val="TableParagraph"/>
              <w:spacing w:line="278" w:lineRule="exact" w:after="26"/>
              <w:ind w:left="511" w:right="615"/>
              <w:jc w:val="center"/>
              <w:rPr>
                <w:rFonts w:ascii="Cambria Math" w:eastAsia="Cambria Math"/>
                <w:sz w:val="17"/>
              </w:rPr>
            </w:pPr>
            <w:r>
              <w:rPr>
                <w:rFonts w:ascii="Cambria Math" w:eastAsia="Cambria Math"/>
                <w:position w:val="5"/>
                <w:sz w:val="24"/>
              </w:rPr>
              <w:t>𝐸</w:t>
            </w:r>
            <w:r>
              <w:rPr>
                <w:rFonts w:ascii="Cambria Math" w:eastAsia="Cambria Math"/>
                <w:spacing w:val="-15"/>
                <w:position w:val="5"/>
                <w:sz w:val="24"/>
              </w:rPr>
              <w:t>𝐼</w:t>
            </w:r>
            <w:r>
              <w:rPr>
                <w:rFonts w:ascii="Cambria Math" w:eastAsia="Cambria Math"/>
                <w:spacing w:val="-1"/>
                <w:w w:val="109"/>
                <w:sz w:val="17"/>
              </w:rPr>
              <w:t>𝑒</w:t>
            </w:r>
            <w:r>
              <w:rPr>
                <w:rFonts w:ascii="Cambria Math" w:eastAsia="Cambria Math"/>
                <w:spacing w:val="-1"/>
                <w:w w:val="54"/>
                <w:sz w:val="17"/>
              </w:rPr>
              <w:t>𝑓𝑓𝑓𝑓</w:t>
            </w:r>
          </w:p>
          <w:p>
            <w:pPr>
              <w:pStyle w:val="TableParagraph"/>
              <w:spacing w:line="20" w:lineRule="exact"/>
              <w:ind w:left="523"/>
              <w:rPr>
                <w:sz w:val="2"/>
              </w:rPr>
            </w:pPr>
            <w:r>
              <w:rPr>
                <w:sz w:val="2"/>
              </w:rPr>
              <w:pict>
                <v:group style="width:55.6pt;height:.8pt;mso-position-horizontal-relative:char;mso-position-vertical-relative:line" coordorigin="0,0" coordsize="1112,16">
                  <v:rect style="position:absolute;left:0;top:0;width:1112;height:16" filled="true" fillcolor="#000000" stroked="false">
                    <v:fill type="solid"/>
                  </v:rect>
                </v:group>
              </w:pict>
            </w:r>
            <w:r>
              <w:rPr>
                <w:sz w:val="2"/>
              </w:rPr>
            </w:r>
          </w:p>
          <w:p>
            <w:pPr>
              <w:pStyle w:val="TableParagraph"/>
              <w:spacing w:line="209" w:lineRule="exact" w:before="31"/>
              <w:ind w:left="511" w:right="670"/>
              <w:jc w:val="center"/>
              <w:rPr>
                <w:rFonts w:ascii="Cambria Math" w:hAnsi="Cambria Math" w:eastAsia="Cambria Math"/>
                <w:sz w:val="24"/>
              </w:rPr>
            </w:pPr>
            <w:r>
              <w:rPr>
                <w:rFonts w:ascii="Cambria Math" w:hAnsi="Cambria Math" w:eastAsia="Cambria Math"/>
                <w:position w:val="1"/>
                <w:sz w:val="24"/>
              </w:rPr>
              <w:t>∑</w:t>
            </w:r>
            <w:r>
              <w:rPr>
                <w:rFonts w:ascii="Cambria Math" w:hAnsi="Cambria Math" w:eastAsia="Cambria Math"/>
                <w:position w:val="1"/>
                <w:sz w:val="24"/>
                <w:vertAlign w:val="superscript"/>
              </w:rPr>
              <w:t>𝑛/2</w:t>
            </w:r>
            <w:r>
              <w:rPr>
                <w:rFonts w:ascii="Cambria Math" w:hAnsi="Cambria Math" w:eastAsia="Cambria Math"/>
                <w:spacing w:val="-9"/>
                <w:position w:val="1"/>
                <w:sz w:val="24"/>
                <w:vertAlign w:val="baseline"/>
              </w:rPr>
              <w:t> </w:t>
            </w:r>
            <w:r>
              <w:rPr>
                <w:rFonts w:ascii="Cambria Math" w:hAnsi="Cambria Math" w:eastAsia="Cambria Math"/>
                <w:sz w:val="24"/>
                <w:vertAlign w:val="baseline"/>
              </w:rPr>
              <w:t>𝐸</w:t>
            </w:r>
            <w:r>
              <w:rPr>
                <w:rFonts w:ascii="Cambria Math" w:hAnsi="Cambria Math" w:eastAsia="Cambria Math"/>
                <w:spacing w:val="18"/>
                <w:sz w:val="24"/>
                <w:vertAlign w:val="baseline"/>
              </w:rPr>
              <w:t> </w:t>
            </w:r>
            <w:r>
              <w:rPr>
                <w:rFonts w:ascii="Cambria Math" w:hAnsi="Cambria Math" w:eastAsia="Cambria Math"/>
                <w:sz w:val="24"/>
                <w:vertAlign w:val="baseline"/>
              </w:rPr>
              <w:t>ℎ</w:t>
            </w:r>
            <w:r>
              <w:rPr>
                <w:rFonts w:ascii="Cambria Math" w:hAnsi="Cambria Math" w:eastAsia="Cambria Math"/>
                <w:spacing w:val="33"/>
                <w:sz w:val="24"/>
                <w:vertAlign w:val="baseline"/>
              </w:rPr>
              <w:t> </w:t>
            </w:r>
            <w:r>
              <w:rPr>
                <w:rFonts w:ascii="Cambria Math" w:hAnsi="Cambria Math" w:eastAsia="Cambria Math"/>
                <w:sz w:val="24"/>
                <w:vertAlign w:val="baseline"/>
              </w:rPr>
              <w:t>𝑧</w:t>
            </w:r>
          </w:p>
          <w:p>
            <w:pPr>
              <w:pStyle w:val="TableParagraph"/>
              <w:spacing w:line="115" w:lineRule="auto"/>
              <w:ind w:left="693"/>
              <w:rPr>
                <w:rFonts w:ascii="Cambria Math" w:eastAsia="Cambria Math"/>
                <w:sz w:val="17"/>
              </w:rPr>
            </w:pPr>
            <w:r>
              <w:rPr>
                <w:rFonts w:ascii="Cambria Math" w:eastAsia="Cambria Math"/>
                <w:w w:val="28"/>
                <w:position w:val="-2"/>
                <w:sz w:val="17"/>
              </w:rPr>
              <w:t>𝑔</w:t>
            </w:r>
            <w:r>
              <w:rPr>
                <w:rFonts w:ascii="Cambria Math" w:eastAsia="Cambria Math"/>
                <w:spacing w:val="5"/>
                <w:w w:val="28"/>
                <w:position w:val="-2"/>
                <w:sz w:val="17"/>
              </w:rPr>
              <w:t>𝑔</w:t>
            </w:r>
            <w:r>
              <w:rPr>
                <w:rFonts w:ascii="Cambria Math" w:eastAsia="Cambria Math"/>
                <w:spacing w:val="-1"/>
                <w:w w:val="97"/>
                <w:position w:val="-2"/>
                <w:sz w:val="17"/>
              </w:rPr>
              <w:t>=</w:t>
            </w:r>
            <w:r>
              <w:rPr>
                <w:rFonts w:ascii="Cambria Math" w:eastAsia="Cambria Math"/>
                <w:w w:val="104"/>
                <w:position w:val="-2"/>
                <w:sz w:val="17"/>
              </w:rPr>
              <w:t>1</w:t>
            </w:r>
            <w:r>
              <w:rPr>
                <w:rFonts w:ascii="Cambria Math" w:eastAsia="Cambria Math"/>
                <w:position w:val="-2"/>
                <w:sz w:val="17"/>
              </w:rPr>
              <w:t>    </w:t>
            </w:r>
            <w:r>
              <w:rPr>
                <w:rFonts w:ascii="Cambria Math" w:eastAsia="Cambria Math"/>
                <w:spacing w:val="-3"/>
                <w:position w:val="-2"/>
                <w:sz w:val="17"/>
              </w:rPr>
              <w:t> </w:t>
            </w:r>
            <w:r>
              <w:rPr>
                <w:rFonts w:ascii="Cambria Math" w:eastAsia="Cambria Math"/>
                <w:w w:val="28"/>
                <w:sz w:val="17"/>
              </w:rPr>
              <w:t>𝑔𝑔</w:t>
            </w:r>
            <w:r>
              <w:rPr>
                <w:rFonts w:ascii="Cambria Math" w:eastAsia="Cambria Math"/>
                <w:sz w:val="17"/>
              </w:rPr>
              <w:t>   </w:t>
            </w:r>
            <w:r>
              <w:rPr>
                <w:rFonts w:ascii="Cambria Math" w:eastAsia="Cambria Math"/>
                <w:spacing w:val="-1"/>
                <w:sz w:val="17"/>
              </w:rPr>
              <w:t> </w:t>
            </w:r>
            <w:r>
              <w:rPr>
                <w:rFonts w:ascii="Cambria Math" w:eastAsia="Cambria Math"/>
                <w:w w:val="28"/>
                <w:sz w:val="17"/>
              </w:rPr>
              <w:t>𝑔𝑔</w:t>
            </w:r>
            <w:r>
              <w:rPr>
                <w:rFonts w:ascii="Cambria Math" w:eastAsia="Cambria Math"/>
                <w:sz w:val="17"/>
              </w:rPr>
              <w:t>  </w:t>
            </w:r>
            <w:r>
              <w:rPr>
                <w:rFonts w:ascii="Cambria Math" w:eastAsia="Cambria Math"/>
                <w:spacing w:val="13"/>
                <w:sz w:val="17"/>
              </w:rPr>
              <w:t> </w:t>
            </w:r>
            <w:r>
              <w:rPr>
                <w:rFonts w:ascii="Cambria Math" w:eastAsia="Cambria Math"/>
                <w:w w:val="28"/>
                <w:sz w:val="17"/>
              </w:rPr>
              <w:t>𝑔𝑔</w:t>
            </w:r>
          </w:p>
        </w:tc>
      </w:tr>
      <w:tr>
        <w:trPr>
          <w:trHeight w:val="668" w:hRule="atLeast"/>
        </w:trPr>
        <w:tc>
          <w:tcPr>
            <w:tcW w:w="6137" w:type="dxa"/>
            <w:gridSpan w:val="3"/>
          </w:tcPr>
          <w:p>
            <w:pPr>
              <w:pStyle w:val="TableParagraph"/>
              <w:spacing w:line="270" w:lineRule="atLeast" w:before="96"/>
              <w:ind w:left="2236"/>
              <w:rPr>
                <w:sz w:val="24"/>
              </w:rPr>
            </w:pPr>
            <w:r>
              <w:rPr>
                <w:sz w:val="24"/>
              </w:rPr>
              <w:t>[based</w:t>
            </w:r>
            <w:r>
              <w:rPr>
                <w:spacing w:val="32"/>
                <w:sz w:val="24"/>
              </w:rPr>
              <w:t> </w:t>
            </w:r>
            <w:r>
              <w:rPr>
                <w:sz w:val="24"/>
              </w:rPr>
              <w:t>on</w:t>
            </w:r>
            <w:r>
              <w:rPr>
                <w:spacing w:val="33"/>
                <w:sz w:val="24"/>
              </w:rPr>
              <w:t> </w:t>
            </w:r>
            <w:r>
              <w:rPr>
                <w:sz w:val="24"/>
              </w:rPr>
              <w:t>shear</w:t>
            </w:r>
            <w:r>
              <w:rPr>
                <w:spacing w:val="32"/>
                <w:sz w:val="24"/>
              </w:rPr>
              <w:t> </w:t>
            </w:r>
            <w:r>
              <w:rPr>
                <w:sz w:val="24"/>
              </w:rPr>
              <w:t>analogy</w:t>
            </w:r>
            <w:r>
              <w:rPr>
                <w:spacing w:val="34"/>
                <w:sz w:val="24"/>
              </w:rPr>
              <w:t> </w:t>
            </w:r>
            <w:r>
              <w:rPr>
                <w:sz w:val="24"/>
              </w:rPr>
              <w:t>method,</w:t>
            </w:r>
            <w:r>
              <w:rPr>
                <w:spacing w:val="32"/>
                <w:sz w:val="24"/>
              </w:rPr>
              <w:t> </w:t>
            </w:r>
            <w:r>
              <w:rPr>
                <w:sz w:val="24"/>
              </w:rPr>
              <w:t>see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Chapter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4]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2"/>
        </w:rPr>
      </w:pPr>
    </w:p>
    <w:tbl>
      <w:tblPr>
        <w:tblW w:w="0" w:type="auto"/>
        <w:jc w:val="left"/>
        <w:tblInd w:w="362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15"/>
        <w:gridCol w:w="693"/>
        <w:gridCol w:w="3536"/>
      </w:tblGrid>
      <w:tr>
        <w:trPr>
          <w:trHeight w:val="700" w:hRule="atLeast"/>
        </w:trPr>
        <w:tc>
          <w:tcPr>
            <w:tcW w:w="1315" w:type="dxa"/>
          </w:tcPr>
          <w:p>
            <w:pPr>
              <w:pStyle w:val="TableParagraph"/>
              <w:spacing w:line="207" w:lineRule="exact"/>
              <w:ind w:left="635"/>
              <w:rPr>
                <w:rFonts w:ascii="Cambria Math" w:eastAsia="Cambria Math"/>
                <w:sz w:val="17"/>
              </w:rPr>
            </w:pPr>
            <w:r>
              <w:rPr>
                <w:rFonts w:ascii="Cambria Math" w:eastAsia="Cambria Math"/>
                <w:w w:val="105"/>
                <w:sz w:val="24"/>
                <w:u w:val="single"/>
              </w:rPr>
              <w:t>𝑅</w:t>
            </w:r>
            <w:r>
              <w:rPr>
                <w:rFonts w:ascii="Cambria Math" w:eastAsia="Cambria Math"/>
                <w:w w:val="105"/>
                <w:position w:val="-4"/>
                <w:sz w:val="17"/>
                <w:u w:val="single"/>
              </w:rPr>
              <w:t>𝑢</w:t>
            </w:r>
          </w:p>
          <w:p>
            <w:pPr>
              <w:pStyle w:val="TableParagraph"/>
              <w:spacing w:line="168" w:lineRule="auto"/>
              <w:ind w:left="106"/>
              <w:rPr>
                <w:rFonts w:ascii="Cambria Math" w:eastAsia="Cambria Math"/>
                <w:sz w:val="24"/>
              </w:rPr>
            </w:pPr>
            <w:r>
              <w:rPr>
                <w:rFonts w:ascii="Cambria Math" w:eastAsia="Cambria Math"/>
                <w:w w:val="105"/>
                <w:sz w:val="24"/>
              </w:rPr>
              <w:t>𝑉</w:t>
            </w:r>
            <w:r>
              <w:rPr>
                <w:rFonts w:ascii="Cambria Math" w:eastAsia="Cambria Math"/>
                <w:w w:val="105"/>
                <w:position w:val="-4"/>
                <w:sz w:val="17"/>
              </w:rPr>
              <w:t>𝑢</w:t>
            </w:r>
            <w:r>
              <w:rPr>
                <w:rFonts w:ascii="Cambria Math" w:eastAsia="Cambria Math"/>
                <w:spacing w:val="13"/>
                <w:w w:val="105"/>
                <w:position w:val="-4"/>
                <w:sz w:val="17"/>
              </w:rPr>
              <w:t> </w:t>
            </w:r>
            <w:r>
              <w:rPr>
                <w:rFonts w:ascii="Cambria Math" w:eastAsia="Cambria Math"/>
                <w:w w:val="105"/>
                <w:sz w:val="24"/>
              </w:rPr>
              <w:t>=</w:t>
            </w:r>
            <w:r>
              <w:rPr>
                <w:rFonts w:ascii="Cambria Math" w:eastAsia="Cambria Math"/>
                <w:spacing w:val="34"/>
                <w:w w:val="105"/>
                <w:sz w:val="24"/>
              </w:rPr>
              <w:t> </w:t>
            </w:r>
            <w:r>
              <w:rPr>
                <w:rFonts w:ascii="Cambria Math" w:eastAsia="Cambria Math"/>
                <w:w w:val="105"/>
                <w:position w:val="-15"/>
                <w:sz w:val="24"/>
              </w:rPr>
              <w:t>2</w:t>
            </w:r>
          </w:p>
        </w:tc>
        <w:tc>
          <w:tcPr>
            <w:tcW w:w="69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536" w:type="dxa"/>
          </w:tcPr>
          <w:p>
            <w:pPr>
              <w:pStyle w:val="TableParagraph"/>
              <w:spacing w:before="122"/>
              <w:ind w:right="199"/>
              <w:jc w:val="right"/>
              <w:rPr>
                <w:sz w:val="24"/>
              </w:rPr>
            </w:pPr>
            <w:r>
              <w:rPr>
                <w:sz w:val="24"/>
              </w:rPr>
              <w:t>(8.14)</w:t>
            </w:r>
          </w:p>
        </w:tc>
      </w:tr>
      <w:tr>
        <w:trPr>
          <w:trHeight w:val="384" w:hRule="atLeast"/>
        </w:trPr>
        <w:tc>
          <w:tcPr>
            <w:tcW w:w="1315" w:type="dxa"/>
          </w:tcPr>
          <w:p>
            <w:pPr>
              <w:pStyle w:val="TableParagraph"/>
              <w:spacing w:line="257" w:lineRule="exact" w:before="107"/>
              <w:ind w:left="620"/>
              <w:rPr>
                <w:sz w:val="24"/>
              </w:rPr>
            </w:pPr>
            <w:r>
              <w:rPr>
                <w:sz w:val="24"/>
              </w:rPr>
              <w:t>where</w:t>
            </w:r>
          </w:p>
        </w:tc>
        <w:tc>
          <w:tcPr>
            <w:tcW w:w="693" w:type="dxa"/>
          </w:tcPr>
          <w:p>
            <w:pPr>
              <w:pStyle w:val="TableParagraph"/>
              <w:spacing w:line="256" w:lineRule="exact" w:before="108"/>
              <w:ind w:left="107"/>
              <w:rPr>
                <w:i/>
                <w:sz w:val="24"/>
              </w:rPr>
            </w:pPr>
            <w:r>
              <w:rPr>
                <w:i/>
                <w:position w:val="1"/>
                <w:sz w:val="24"/>
              </w:rPr>
              <w:t>R</w:t>
            </w:r>
            <w:r>
              <w:rPr>
                <w:i/>
                <w:sz w:val="16"/>
              </w:rPr>
              <w:t>u</w:t>
            </w:r>
            <w:r>
              <w:rPr>
                <w:i/>
                <w:spacing w:val="19"/>
                <w:sz w:val="16"/>
              </w:rPr>
              <w:t> </w:t>
            </w:r>
            <w:r>
              <w:rPr>
                <w:i/>
                <w:position w:val="1"/>
                <w:sz w:val="24"/>
              </w:rPr>
              <w:t>=</w:t>
            </w:r>
          </w:p>
        </w:tc>
        <w:tc>
          <w:tcPr>
            <w:tcW w:w="3536" w:type="dxa"/>
          </w:tcPr>
          <w:p>
            <w:pPr>
              <w:pStyle w:val="TableParagraph"/>
              <w:spacing w:line="257" w:lineRule="exact" w:before="107"/>
              <w:ind w:right="213"/>
              <w:jc w:val="right"/>
              <w:rPr>
                <w:sz w:val="24"/>
              </w:rPr>
            </w:pPr>
            <w:r>
              <w:rPr>
                <w:sz w:val="24"/>
              </w:rPr>
              <w:t>force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required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resist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deflection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</w:pPr>
    </w:p>
    <w:tbl>
      <w:tblPr>
        <w:tblW w:w="0" w:type="auto"/>
        <w:jc w:val="left"/>
        <w:tblInd w:w="323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00"/>
        <w:gridCol w:w="1033"/>
        <w:gridCol w:w="3001"/>
      </w:tblGrid>
      <w:tr>
        <w:trPr>
          <w:trHeight w:val="348" w:hRule="atLeast"/>
        </w:trPr>
        <w:tc>
          <w:tcPr>
            <w:tcW w:w="1900" w:type="dxa"/>
          </w:tcPr>
          <w:p>
            <w:pPr>
              <w:pStyle w:val="TableParagraph"/>
              <w:spacing w:line="307" w:lineRule="exact"/>
              <w:ind w:right="105"/>
              <w:jc w:val="right"/>
              <w:rPr>
                <w:rFonts w:ascii="Cambria Math" w:hAnsi="Cambria Math" w:eastAsia="Cambria Math"/>
                <w:sz w:val="17"/>
              </w:rPr>
            </w:pPr>
            <w:r>
              <w:rPr>
                <w:rFonts w:ascii="Cambria Math" w:hAnsi="Cambria Math" w:eastAsia="Cambria Math"/>
                <w:w w:val="105"/>
                <w:position w:val="5"/>
                <w:sz w:val="24"/>
              </w:rPr>
              <w:t>𝑅</w:t>
            </w:r>
            <w:r>
              <w:rPr>
                <w:rFonts w:ascii="Cambria Math" w:hAnsi="Cambria Math" w:eastAsia="Cambria Math"/>
                <w:w w:val="105"/>
                <w:sz w:val="17"/>
              </w:rPr>
              <w:t>𝑢,𝑠ℎ𝑒𝑎𝑟</w:t>
            </w:r>
            <w:r>
              <w:rPr>
                <w:rFonts w:ascii="Cambria Math" w:hAnsi="Cambria Math" w:eastAsia="Cambria Math"/>
                <w:spacing w:val="20"/>
                <w:w w:val="105"/>
                <w:sz w:val="17"/>
              </w:rPr>
              <w:t> </w:t>
            </w:r>
            <w:r>
              <w:rPr>
                <w:rFonts w:ascii="Cambria Math" w:hAnsi="Cambria Math" w:eastAsia="Cambria Math"/>
                <w:w w:val="105"/>
                <w:position w:val="5"/>
                <w:sz w:val="24"/>
              </w:rPr>
              <w:t>=</w:t>
            </w:r>
            <w:r>
              <w:rPr>
                <w:rFonts w:ascii="Cambria Math" w:hAnsi="Cambria Math" w:eastAsia="Cambria Math"/>
                <w:spacing w:val="-6"/>
                <w:w w:val="105"/>
                <w:position w:val="5"/>
                <w:sz w:val="24"/>
              </w:rPr>
              <w:t> </w:t>
            </w:r>
            <w:r>
              <w:rPr>
                <w:rFonts w:ascii="Cambria Math" w:hAnsi="Cambria Math" w:eastAsia="Cambria Math"/>
                <w:w w:val="105"/>
                <w:position w:val="5"/>
                <w:sz w:val="24"/>
              </w:rPr>
              <w:t>2𝑉</w:t>
            </w:r>
            <w:r>
              <w:rPr>
                <w:rFonts w:ascii="Cambria Math" w:hAnsi="Cambria Math" w:eastAsia="Cambria Math"/>
                <w:w w:val="105"/>
                <w:sz w:val="17"/>
              </w:rPr>
              <w:t>𝑛</w:t>
            </w:r>
          </w:p>
        </w:tc>
        <w:tc>
          <w:tcPr>
            <w:tcW w:w="103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001" w:type="dxa"/>
          </w:tcPr>
          <w:p>
            <w:pPr>
              <w:pStyle w:val="TableParagraph"/>
              <w:spacing w:line="266" w:lineRule="exact"/>
              <w:ind w:right="196"/>
              <w:jc w:val="right"/>
              <w:rPr>
                <w:sz w:val="24"/>
              </w:rPr>
            </w:pPr>
            <w:r>
              <w:rPr>
                <w:sz w:val="24"/>
              </w:rPr>
              <w:t>(8.15)</w:t>
            </w:r>
          </w:p>
        </w:tc>
      </w:tr>
      <w:tr>
        <w:trPr>
          <w:trHeight w:val="817" w:hRule="atLeast"/>
        </w:trPr>
        <w:tc>
          <w:tcPr>
            <w:tcW w:w="2933" w:type="dxa"/>
            <w:gridSpan w:val="2"/>
          </w:tcPr>
          <w:p>
            <w:pPr>
              <w:pStyle w:val="TableParagraph"/>
              <w:spacing w:line="272" w:lineRule="exact" w:before="52"/>
              <w:ind w:left="1038"/>
              <w:rPr>
                <w:rFonts w:ascii="Cambria Math" w:hAnsi="Cambria Math" w:eastAsia="Cambria Math"/>
                <w:sz w:val="17"/>
              </w:rPr>
            </w:pPr>
            <w:r>
              <w:rPr>
                <w:rFonts w:ascii="Cambria Math" w:hAnsi="Cambria Math" w:eastAsia="Cambria Math"/>
                <w:w w:val="105"/>
                <w:position w:val="5"/>
                <w:sz w:val="24"/>
              </w:rPr>
              <w:t>5𝑅</w:t>
            </w:r>
            <w:r>
              <w:rPr>
                <w:rFonts w:ascii="Cambria Math" w:hAnsi="Cambria Math" w:eastAsia="Cambria Math"/>
                <w:w w:val="105"/>
                <w:sz w:val="17"/>
              </w:rPr>
              <w:t>𝑢,𝑠ℎ𝑒𝑎𝑟</w:t>
            </w:r>
            <w:r>
              <w:rPr>
                <w:rFonts w:ascii="Cambria Math" w:hAnsi="Cambria Math" w:eastAsia="Cambria Math"/>
                <w:w w:val="105"/>
                <w:position w:val="5"/>
                <w:sz w:val="24"/>
              </w:rPr>
              <w:t>𝐿</w:t>
            </w:r>
            <w:r>
              <w:rPr>
                <w:rFonts w:ascii="Cambria Math" w:hAnsi="Cambria Math" w:eastAsia="Cambria Math"/>
                <w:w w:val="105"/>
                <w:position w:val="14"/>
                <w:sz w:val="17"/>
              </w:rPr>
              <w:t>3</w:t>
            </w:r>
          </w:p>
          <w:p>
            <w:pPr>
              <w:pStyle w:val="TableParagraph"/>
              <w:spacing w:line="117" w:lineRule="auto"/>
              <w:ind w:left="-24"/>
              <w:rPr>
                <w:rFonts w:ascii="Cambria Math" w:hAnsi="Cambria Math" w:eastAsia="Cambria Math"/>
                <w:sz w:val="24"/>
              </w:rPr>
            </w:pPr>
            <w:r>
              <w:rPr>
                <w:rFonts w:ascii="Cambria Math" w:hAnsi="Cambria Math" w:eastAsia="Cambria Math"/>
                <w:w w:val="105"/>
                <w:position w:val="5"/>
                <w:sz w:val="24"/>
              </w:rPr>
              <w:t>𝑥</w:t>
            </w:r>
            <w:r>
              <w:rPr>
                <w:rFonts w:ascii="Cambria Math" w:hAnsi="Cambria Math" w:eastAsia="Cambria Math"/>
                <w:w w:val="105"/>
                <w:sz w:val="17"/>
              </w:rPr>
              <w:t>𝑒,𝑠ℎ𝑒𝑎𝑟</w:t>
            </w:r>
            <w:r>
              <w:rPr>
                <w:rFonts w:ascii="Cambria Math" w:hAnsi="Cambria Math" w:eastAsia="Cambria Math"/>
                <w:spacing w:val="34"/>
                <w:w w:val="105"/>
                <w:sz w:val="17"/>
              </w:rPr>
              <w:t> </w:t>
            </w:r>
            <w:r>
              <w:rPr>
                <w:rFonts w:ascii="Cambria Math" w:hAnsi="Cambria Math" w:eastAsia="Cambria Math"/>
                <w:w w:val="105"/>
                <w:position w:val="5"/>
                <w:sz w:val="24"/>
              </w:rPr>
              <w:t>=</w:t>
            </w:r>
            <w:r>
              <w:rPr>
                <w:rFonts w:ascii="Cambria Math" w:hAnsi="Cambria Math" w:eastAsia="Cambria Math"/>
                <w:spacing w:val="37"/>
                <w:w w:val="105"/>
                <w:position w:val="5"/>
                <w:sz w:val="24"/>
              </w:rPr>
              <w:t> </w:t>
            </w:r>
            <w:r>
              <w:rPr>
                <w:rFonts w:ascii="Cambria Math" w:hAnsi="Cambria Math" w:eastAsia="Cambria Math"/>
                <w:w w:val="105"/>
                <w:position w:val="-10"/>
                <w:sz w:val="24"/>
              </w:rPr>
              <w:t>384𝐸𝐼</w:t>
            </w:r>
          </w:p>
          <w:p>
            <w:pPr>
              <w:pStyle w:val="TableParagraph"/>
              <w:spacing w:line="117" w:lineRule="exact"/>
              <w:ind w:left="1757"/>
              <w:rPr>
                <w:rFonts w:ascii="Cambria Math" w:eastAsia="Cambria Math"/>
                <w:sz w:val="17"/>
              </w:rPr>
            </w:pPr>
            <w:r>
              <w:rPr>
                <w:rFonts w:ascii="Cambria Math" w:eastAsia="Cambria Math"/>
                <w:w w:val="115"/>
                <w:sz w:val="17"/>
              </w:rPr>
              <w:t>𝑎𝑝𝑝</w:t>
            </w:r>
          </w:p>
        </w:tc>
        <w:tc>
          <w:tcPr>
            <w:tcW w:w="3001" w:type="dxa"/>
          </w:tcPr>
          <w:p>
            <w:pPr>
              <w:pStyle w:val="TableParagraph"/>
              <w:spacing w:before="72"/>
              <w:ind w:right="196"/>
              <w:jc w:val="right"/>
              <w:rPr>
                <w:sz w:val="24"/>
              </w:rPr>
            </w:pPr>
            <w:r>
              <w:rPr>
                <w:sz w:val="24"/>
              </w:rPr>
              <w:t>(8.16)</w:t>
            </w:r>
          </w:p>
        </w:tc>
      </w:tr>
      <w:tr>
        <w:trPr>
          <w:trHeight w:val="901" w:hRule="atLeast"/>
        </w:trPr>
        <w:tc>
          <w:tcPr>
            <w:tcW w:w="1900" w:type="dxa"/>
          </w:tcPr>
          <w:p>
            <w:pPr>
              <w:pStyle w:val="TableParagraph"/>
              <w:spacing w:before="73"/>
              <w:ind w:right="119"/>
              <w:jc w:val="right"/>
              <w:rPr>
                <w:sz w:val="24"/>
              </w:rPr>
            </w:pPr>
            <w:r>
              <w:rPr>
                <w:sz w:val="24"/>
              </w:rPr>
              <w:t>where</w:t>
            </w:r>
          </w:p>
        </w:tc>
        <w:tc>
          <w:tcPr>
            <w:tcW w:w="1033" w:type="dxa"/>
          </w:tcPr>
          <w:p>
            <w:pPr>
              <w:pStyle w:val="TableParagraph"/>
              <w:spacing w:before="74"/>
              <w:ind w:left="121"/>
              <w:rPr>
                <w:rFonts w:ascii="Cambria Math" w:eastAsia="Cambria Math"/>
                <w:sz w:val="24"/>
              </w:rPr>
            </w:pPr>
            <w:r>
              <w:rPr>
                <w:rFonts w:ascii="Cambria Math" w:eastAsia="Cambria Math"/>
                <w:w w:val="105"/>
                <w:sz w:val="24"/>
              </w:rPr>
              <w:t>𝐸𝐼</w:t>
            </w:r>
            <w:r>
              <w:rPr>
                <w:rFonts w:ascii="Cambria Math" w:eastAsia="Cambria Math"/>
                <w:w w:val="105"/>
                <w:position w:val="-4"/>
                <w:sz w:val="17"/>
              </w:rPr>
              <w:t>𝑎𝑝𝑝</w:t>
            </w:r>
            <w:r>
              <w:rPr>
                <w:rFonts w:ascii="Cambria Math" w:eastAsia="Cambria Math"/>
                <w:spacing w:val="30"/>
                <w:w w:val="105"/>
                <w:position w:val="-4"/>
                <w:sz w:val="17"/>
              </w:rPr>
              <w:t> </w:t>
            </w:r>
            <w:r>
              <w:rPr>
                <w:rFonts w:ascii="Cambria Math" w:eastAsia="Cambria Math"/>
                <w:w w:val="105"/>
                <w:sz w:val="24"/>
              </w:rPr>
              <w:t>=</w:t>
            </w:r>
          </w:p>
        </w:tc>
        <w:tc>
          <w:tcPr>
            <w:tcW w:w="3001" w:type="dxa"/>
          </w:tcPr>
          <w:p>
            <w:pPr>
              <w:pStyle w:val="TableParagraph"/>
              <w:spacing w:line="270" w:lineRule="atLeast" w:before="53"/>
              <w:ind w:left="108" w:right="293"/>
              <w:rPr>
                <w:sz w:val="24"/>
              </w:rPr>
            </w:pPr>
            <w:r>
              <w:rPr>
                <w:sz w:val="24"/>
              </w:rPr>
              <w:t>apparent bending stiffness,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[based on shear analogy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method,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see Chapter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4]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552" w:lineRule="exact" w:before="31"/>
        <w:ind w:left="440" w:right="417" w:firstLine="720"/>
        <w:jc w:val="both"/>
      </w:pPr>
      <w:r>
        <w:rPr/>
        <w:t>With the concerns of rolling shear for the crosswise layers of the CLT, this</w:t>
      </w:r>
      <w:r>
        <w:rPr>
          <w:spacing w:val="1"/>
        </w:rPr>
        <w:t> </w:t>
      </w:r>
      <w:r>
        <w:rPr/>
        <w:t>parameter</w:t>
      </w:r>
      <w:r>
        <w:rPr>
          <w:spacing w:val="-2"/>
        </w:rPr>
        <w:t> </w:t>
      </w:r>
      <w:r>
        <w:rPr/>
        <w:t>likely</w:t>
      </w:r>
      <w:r>
        <w:rPr>
          <w:spacing w:val="-1"/>
        </w:rPr>
        <w:t> </w:t>
      </w:r>
      <w:r>
        <w:rPr/>
        <w:t>needs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be</w:t>
      </w:r>
      <w:r>
        <w:rPr>
          <w:spacing w:val="-2"/>
        </w:rPr>
        <w:t> </w:t>
      </w:r>
      <w:r>
        <w:rPr/>
        <w:t>incorporated</w:t>
      </w:r>
      <w:r>
        <w:rPr>
          <w:spacing w:val="-3"/>
        </w:rPr>
        <w:t> </w:t>
      </w:r>
      <w:r>
        <w:rPr/>
        <w:t>into</w:t>
      </w:r>
      <w:r>
        <w:rPr>
          <w:spacing w:val="-4"/>
        </w:rPr>
        <w:t> </w:t>
      </w:r>
      <w:r>
        <w:rPr/>
        <w:t>the</w:t>
      </w:r>
      <w:r>
        <w:rPr>
          <w:spacing w:val="-1"/>
        </w:rPr>
        <w:t> </w:t>
      </w:r>
      <w:r>
        <w:rPr/>
        <w:t>calculations</w:t>
      </w:r>
      <w:r>
        <w:rPr>
          <w:spacing w:val="-2"/>
        </w:rPr>
        <w:t> </w:t>
      </w:r>
      <w:r>
        <w:rPr/>
        <w:t>as</w:t>
      </w:r>
      <w:r>
        <w:rPr>
          <w:spacing w:val="-1"/>
        </w:rPr>
        <w:t> </w:t>
      </w:r>
      <w:r>
        <w:rPr/>
        <w:t>well.</w:t>
      </w:r>
      <w:r>
        <w:rPr>
          <w:spacing w:val="57"/>
        </w:rPr>
        <w:t> </w:t>
      </w:r>
      <w:r>
        <w:rPr/>
        <w:t>A</w:t>
      </w:r>
      <w:r>
        <w:rPr>
          <w:spacing w:val="-4"/>
        </w:rPr>
        <w:t> </w:t>
      </w:r>
      <w:r>
        <w:rPr/>
        <w:t>methodology</w:t>
      </w:r>
      <w:r>
        <w:rPr>
          <w:spacing w:val="-1"/>
        </w:rPr>
        <w:t> </w:t>
      </w:r>
      <w:r>
        <w:rPr/>
        <w:t>of</w:t>
      </w:r>
      <w:r>
        <w:rPr>
          <w:spacing w:val="-58"/>
        </w:rPr>
        <w:t> </w:t>
      </w:r>
      <w:r>
        <w:rPr/>
        <w:t>checking for rolling shear does not currently have a standard procedure.</w:t>
      </w:r>
      <w:r>
        <w:rPr>
          <w:spacing w:val="60"/>
        </w:rPr>
        <w:t> </w:t>
      </w:r>
      <w:r>
        <w:rPr/>
        <w:t>In this research,</w:t>
      </w:r>
      <w:r>
        <w:rPr>
          <w:spacing w:val="1"/>
        </w:rPr>
        <w:t> </w:t>
      </w:r>
      <w:r>
        <w:rPr/>
        <w:t>it</w:t>
      </w:r>
      <w:r>
        <w:rPr>
          <w:spacing w:val="-1"/>
        </w:rPr>
        <w:t> </w:t>
      </w:r>
      <w:r>
        <w:rPr/>
        <w:t>will</w:t>
      </w:r>
      <w:r>
        <w:rPr>
          <w:spacing w:val="-1"/>
        </w:rPr>
        <w:t> </w:t>
      </w:r>
      <w:r>
        <w:rPr/>
        <w:t>be</w:t>
      </w:r>
      <w:r>
        <w:rPr>
          <w:spacing w:val="-1"/>
        </w:rPr>
        <w:t> </w:t>
      </w:r>
      <w:r>
        <w:rPr/>
        <w:t>treated</w:t>
      </w:r>
      <w:r>
        <w:rPr>
          <w:spacing w:val="-1"/>
        </w:rPr>
        <w:t> </w:t>
      </w:r>
      <w:r>
        <w:rPr/>
        <w:t>as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second</w:t>
      </w:r>
      <w:r>
        <w:rPr>
          <w:spacing w:val="-1"/>
        </w:rPr>
        <w:t> </w:t>
      </w:r>
      <w:r>
        <w:rPr/>
        <w:t>shear</w:t>
      </w:r>
      <w:r>
        <w:rPr>
          <w:spacing w:val="-1"/>
        </w:rPr>
        <w:t> </w:t>
      </w:r>
      <w:r>
        <w:rPr/>
        <w:t>failure response</w:t>
      </w:r>
      <w:r>
        <w:rPr>
          <w:spacing w:val="-1"/>
        </w:rPr>
        <w:t> </w:t>
      </w:r>
      <w:r>
        <w:rPr/>
        <w:t>check</w:t>
      </w:r>
      <w:r>
        <w:rPr>
          <w:spacing w:val="-1"/>
        </w:rPr>
        <w:t> </w:t>
      </w:r>
      <w:r>
        <w:rPr/>
        <w:t>unless</w:t>
      </w:r>
      <w:r>
        <w:rPr>
          <w:spacing w:val="-1"/>
        </w:rPr>
        <w:t> </w:t>
      </w:r>
      <w:r>
        <w:rPr/>
        <w:t>otherwise</w:t>
      </w:r>
      <w:r>
        <w:rPr>
          <w:spacing w:val="-1"/>
        </w:rPr>
        <w:t> </w:t>
      </w:r>
      <w:r>
        <w:rPr/>
        <w:t>detailed.</w:t>
      </w:r>
    </w:p>
    <w:p>
      <w:pPr>
        <w:spacing w:after="0" w:line="552" w:lineRule="exact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spacing w:before="79"/>
        <w:ind w:left="440" w:right="0" w:firstLine="0"/>
        <w:jc w:val="left"/>
        <w:rPr>
          <w:i/>
          <w:sz w:val="24"/>
        </w:rPr>
      </w:pPr>
      <w:bookmarkStart w:name="8.1.4 Blast design and Levels of protect" w:id="520"/>
      <w:bookmarkEnd w:id="520"/>
      <w:r>
        <w:rPr/>
      </w:r>
      <w:r>
        <w:rPr>
          <w:i/>
          <w:sz w:val="24"/>
        </w:rPr>
        <w:t>8.1.4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Blast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design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Levels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protection</w:t>
      </w:r>
    </w:p>
    <w:p>
      <w:pPr>
        <w:pStyle w:val="BodyText"/>
        <w:spacing w:before="7"/>
        <w:rPr>
          <w:i/>
          <w:sz w:val="22"/>
        </w:rPr>
      </w:pPr>
    </w:p>
    <w:p>
      <w:pPr>
        <w:pStyle w:val="BodyText"/>
        <w:spacing w:line="480" w:lineRule="auto"/>
        <w:ind w:left="440" w:right="472" w:firstLine="720"/>
      </w:pPr>
      <w:r>
        <w:rPr/>
        <w:t>While blast design is component based, the performance criteria desired is</w:t>
      </w:r>
      <w:r>
        <w:rPr>
          <w:spacing w:val="1"/>
        </w:rPr>
        <w:t> </w:t>
      </w:r>
      <w:r>
        <w:rPr/>
        <w:t>typically tied to goals of the entire building system or structure.</w:t>
      </w:r>
      <w:r>
        <w:rPr>
          <w:spacing w:val="1"/>
        </w:rPr>
        <w:t> </w:t>
      </w:r>
      <w:r>
        <w:rPr/>
        <w:t>Approaches established</w:t>
      </w:r>
      <w:r>
        <w:rPr>
          <w:spacing w:val="1"/>
        </w:rPr>
        <w:t> </w:t>
      </w:r>
      <w:r>
        <w:rPr/>
        <w:t>by ASCE and the U.S. Army Corps of Engineers, Protective Design Center both use</w:t>
      </w:r>
      <w:r>
        <w:rPr>
          <w:spacing w:val="1"/>
        </w:rPr>
        <w:t> </w:t>
      </w:r>
      <w:r>
        <w:rPr/>
        <w:t>building Levels of Protection (LOP), which are performance goals and expected damage</w:t>
      </w:r>
      <w:r>
        <w:rPr>
          <w:spacing w:val="1"/>
        </w:rPr>
        <w:t> </w:t>
      </w:r>
      <w:r>
        <w:rPr/>
        <w:t>levels based on the individual element response.</w:t>
      </w:r>
      <w:r>
        <w:rPr>
          <w:spacing w:val="1"/>
        </w:rPr>
        <w:t> </w:t>
      </w:r>
      <w:hyperlink w:history="true" w:anchor="_bookmark177">
        <w:r>
          <w:rPr/>
          <w:t>Table 8-1</w:t>
        </w:r>
      </w:hyperlink>
      <w:r>
        <w:rPr/>
        <w:t> shows the defined levels</w:t>
      </w:r>
      <w:r>
        <w:rPr>
          <w:spacing w:val="1"/>
        </w:rPr>
        <w:t> </w:t>
      </w:r>
      <w:r>
        <w:rPr/>
        <w:t>associated with desired performance goals.</w:t>
      </w:r>
      <w:r>
        <w:rPr>
          <w:spacing w:val="1"/>
        </w:rPr>
        <w:t> </w:t>
      </w:r>
      <w:hyperlink w:history="true" w:anchor="_bookmark178">
        <w:r>
          <w:rPr/>
          <w:t>Table 8-2</w:t>
        </w:r>
      </w:hyperlink>
      <w:r>
        <w:rPr/>
        <w:t> shows the Level of Protection</w:t>
      </w:r>
      <w:r>
        <w:rPr>
          <w:spacing w:val="1"/>
        </w:rPr>
        <w:t> </w:t>
      </w:r>
      <w:r>
        <w:rPr/>
        <w:t>rating associated with component damage levels.</w:t>
      </w:r>
      <w:r>
        <w:rPr>
          <w:spacing w:val="1"/>
        </w:rPr>
        <w:t> </w:t>
      </w:r>
      <w:r>
        <w:rPr/>
        <w:t>Primary components are elements</w:t>
      </w:r>
      <w:r>
        <w:rPr>
          <w:spacing w:val="1"/>
        </w:rPr>
        <w:t> </w:t>
      </w:r>
      <w:r>
        <w:rPr/>
        <w:t>whose loss could potentially affect the overall structural integrity, and would affect other</w:t>
      </w:r>
      <w:r>
        <w:rPr>
          <w:spacing w:val="-57"/>
        </w:rPr>
        <w:t> </w:t>
      </w:r>
      <w:r>
        <w:rPr/>
        <w:t>components, such as columns, girders, and load-bearing components.</w:t>
      </w:r>
      <w:r>
        <w:rPr>
          <w:spacing w:val="1"/>
        </w:rPr>
        <w:t> </w:t>
      </w:r>
      <w:r>
        <w:rPr/>
        <w:t>Secondary</w:t>
      </w:r>
      <w:r>
        <w:rPr>
          <w:spacing w:val="1"/>
        </w:rPr>
        <w:t> </w:t>
      </w:r>
      <w:r>
        <w:rPr/>
        <w:t>components are usually supported by primary components and can fail without</w:t>
      </w:r>
      <w:r>
        <w:rPr>
          <w:spacing w:val="1"/>
        </w:rPr>
        <w:t> </w:t>
      </w:r>
      <w:r>
        <w:rPr/>
        <w:t>widespread damage.</w:t>
      </w:r>
      <w:r>
        <w:rPr>
          <w:spacing w:val="1"/>
        </w:rPr>
        <w:t> </w:t>
      </w:r>
      <w:r>
        <w:rPr/>
        <w:t>Elements that fall into this category include non-load bearing walls,</w:t>
      </w:r>
      <w:r>
        <w:rPr>
          <w:spacing w:val="-57"/>
        </w:rPr>
        <w:t> </w:t>
      </w:r>
      <w:r>
        <w:rPr/>
        <w:t>studs, purlins, joists.</w:t>
      </w:r>
      <w:r>
        <w:rPr>
          <w:spacing w:val="60"/>
        </w:rPr>
        <w:t> </w:t>
      </w:r>
      <w:r>
        <w:rPr/>
        <w:t>Nonstructural components are not typically designed specifically</w:t>
      </w:r>
      <w:r>
        <w:rPr>
          <w:spacing w:val="1"/>
        </w:rPr>
        <w:t> </w:t>
      </w:r>
      <w:r>
        <w:rPr/>
        <w:t>for blast loads, they include interior non-load bearing walls, and architectural items</w:t>
      </w:r>
      <w:r>
        <w:rPr>
          <w:spacing w:val="1"/>
        </w:rPr>
        <w:t> </w:t>
      </w:r>
      <w:r>
        <w:rPr/>
        <w:t>affixed</w:t>
      </w:r>
      <w:r>
        <w:rPr>
          <w:spacing w:val="-1"/>
        </w:rPr>
        <w:t> </w:t>
      </w:r>
      <w:r>
        <w:rPr/>
        <w:t>to structural components.</w:t>
      </w:r>
    </w:p>
    <w:p>
      <w:pPr>
        <w:pStyle w:val="BodyText"/>
        <w:spacing w:before="162"/>
        <w:ind w:left="440"/>
      </w:pPr>
      <w:r>
        <w:rPr/>
        <w:t>Damage</w:t>
      </w:r>
      <w:r>
        <w:rPr>
          <w:spacing w:val="-1"/>
        </w:rPr>
        <w:t> </w:t>
      </w:r>
      <w:r>
        <w:rPr/>
        <w:t>levels</w:t>
      </w:r>
      <w:r>
        <w:rPr>
          <w:spacing w:val="-1"/>
        </w:rPr>
        <w:t> </w:t>
      </w:r>
      <w:r>
        <w:rPr/>
        <w:t>used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hyperlink w:history="true" w:anchor="_bookmark179">
        <w:r>
          <w:rPr/>
          <w:t>Table</w:t>
        </w:r>
        <w:r>
          <w:rPr>
            <w:spacing w:val="-1"/>
          </w:rPr>
          <w:t> </w:t>
        </w:r>
        <w:r>
          <w:rPr/>
          <w:t>8-2</w:t>
        </w:r>
        <w:r>
          <w:rPr>
            <w:spacing w:val="-2"/>
          </w:rPr>
          <w:t> </w:t>
        </w:r>
      </w:hyperlink>
      <w:r>
        <w:rPr/>
        <w:t>can</w:t>
      </w:r>
      <w:r>
        <w:rPr>
          <w:spacing w:val="-3"/>
        </w:rPr>
        <w:t> </w:t>
      </w:r>
      <w:r>
        <w:rPr/>
        <w:t>be</w:t>
      </w:r>
      <w:r>
        <w:rPr>
          <w:spacing w:val="-1"/>
        </w:rPr>
        <w:t> </w:t>
      </w:r>
      <w:r>
        <w:rPr/>
        <w:t>defined</w:t>
      </w:r>
      <w:r>
        <w:rPr>
          <w:spacing w:val="-2"/>
        </w:rPr>
        <w:t> </w:t>
      </w:r>
      <w:r>
        <w:rPr/>
        <w:t>as</w:t>
      </w:r>
      <w:r>
        <w:rPr>
          <w:spacing w:val="-1"/>
        </w:rPr>
        <w:t> </w:t>
      </w:r>
      <w:r>
        <w:rPr/>
        <w:t>follows:</w:t>
      </w:r>
    </w:p>
    <w:p>
      <w:pPr>
        <w:pStyle w:val="BodyText"/>
        <w:rPr>
          <w:sz w:val="20"/>
        </w:rPr>
      </w:pPr>
    </w:p>
    <w:p>
      <w:pPr>
        <w:pStyle w:val="BodyText"/>
        <w:spacing w:before="4" w:after="1"/>
        <w:rPr>
          <w:sz w:val="17"/>
        </w:rPr>
      </w:pPr>
    </w:p>
    <w:tbl>
      <w:tblPr>
        <w:tblW w:w="0" w:type="auto"/>
        <w:jc w:val="left"/>
        <w:tblInd w:w="16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35"/>
        <w:gridCol w:w="6301"/>
      </w:tblGrid>
      <w:tr>
        <w:trPr>
          <w:trHeight w:val="248" w:hRule="atLeast"/>
        </w:trPr>
        <w:tc>
          <w:tcPr>
            <w:tcW w:w="1335" w:type="dxa"/>
          </w:tcPr>
          <w:p>
            <w:pPr>
              <w:pStyle w:val="TableParagraph"/>
              <w:spacing w:line="228" w:lineRule="exact"/>
              <w:ind w:right="107"/>
              <w:jc w:val="right"/>
              <w:rPr>
                <w:sz w:val="22"/>
              </w:rPr>
            </w:pPr>
            <w:r>
              <w:rPr>
                <w:sz w:val="22"/>
              </w:rPr>
              <w:t>Hazardous:</w:t>
            </w:r>
          </w:p>
        </w:tc>
        <w:tc>
          <w:tcPr>
            <w:tcW w:w="6301" w:type="dxa"/>
          </w:tcPr>
          <w:p>
            <w:pPr>
              <w:pStyle w:val="TableParagraph"/>
              <w:spacing w:line="228" w:lineRule="exact"/>
              <w:ind w:left="106"/>
              <w:rPr>
                <w:sz w:val="22"/>
              </w:rPr>
            </w:pPr>
            <w:r>
              <w:rPr>
                <w:sz w:val="22"/>
              </w:rPr>
              <w:t>likely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fail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produce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debris</w:t>
            </w:r>
          </w:p>
        </w:tc>
      </w:tr>
      <w:tr>
        <w:trPr>
          <w:trHeight w:val="279" w:hRule="atLeast"/>
        </w:trPr>
        <w:tc>
          <w:tcPr>
            <w:tcW w:w="1335" w:type="dxa"/>
          </w:tcPr>
          <w:p>
            <w:pPr>
              <w:pStyle w:val="TableParagraph"/>
              <w:spacing w:line="248" w:lineRule="exact"/>
              <w:ind w:right="105"/>
              <w:jc w:val="right"/>
              <w:rPr>
                <w:sz w:val="22"/>
              </w:rPr>
            </w:pPr>
            <w:r>
              <w:rPr>
                <w:sz w:val="22"/>
              </w:rPr>
              <w:t>Heavy:</w:t>
            </w:r>
          </w:p>
        </w:tc>
        <w:tc>
          <w:tcPr>
            <w:tcW w:w="6301" w:type="dxa"/>
          </w:tcPr>
          <w:p>
            <w:pPr>
              <w:pStyle w:val="TableParagraph"/>
              <w:spacing w:line="248" w:lineRule="exact"/>
              <w:ind w:left="106"/>
              <w:rPr>
                <w:sz w:val="22"/>
              </w:rPr>
            </w:pPr>
            <w:r>
              <w:rPr>
                <w:sz w:val="22"/>
              </w:rPr>
              <w:t>unlikely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fail,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significant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permanent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deflections,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not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repairable</w:t>
            </w:r>
          </w:p>
        </w:tc>
      </w:tr>
      <w:tr>
        <w:trPr>
          <w:trHeight w:val="785" w:hRule="atLeast"/>
        </w:trPr>
        <w:tc>
          <w:tcPr>
            <w:tcW w:w="1335" w:type="dxa"/>
          </w:tcPr>
          <w:p>
            <w:pPr>
              <w:pStyle w:val="TableParagraph"/>
              <w:spacing w:before="21"/>
              <w:ind w:right="107"/>
              <w:jc w:val="right"/>
              <w:rPr>
                <w:sz w:val="22"/>
              </w:rPr>
            </w:pPr>
            <w:r>
              <w:rPr>
                <w:sz w:val="22"/>
              </w:rPr>
              <w:t>Moderate:</w:t>
            </w:r>
          </w:p>
        </w:tc>
        <w:tc>
          <w:tcPr>
            <w:tcW w:w="6301" w:type="dxa"/>
          </w:tcPr>
          <w:p>
            <w:pPr>
              <w:pStyle w:val="TableParagraph"/>
              <w:spacing w:line="250" w:lineRule="atLeast" w:before="6"/>
              <w:ind w:left="106" w:right="183"/>
              <w:rPr>
                <w:sz w:val="22"/>
              </w:rPr>
            </w:pPr>
            <w:r>
              <w:rPr>
                <w:sz w:val="22"/>
              </w:rPr>
              <w:t>unlikely to fail, probably some permanent deflection that is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repairable, although replacement may be preferable for economic or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aesthetic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reasons</w:t>
            </w:r>
          </w:p>
        </w:tc>
      </w:tr>
      <w:tr>
        <w:trPr>
          <w:trHeight w:val="248" w:hRule="atLeast"/>
        </w:trPr>
        <w:tc>
          <w:tcPr>
            <w:tcW w:w="1335" w:type="dxa"/>
          </w:tcPr>
          <w:p>
            <w:pPr>
              <w:pStyle w:val="TableParagraph"/>
              <w:spacing w:line="228" w:lineRule="exact"/>
              <w:ind w:right="106"/>
              <w:jc w:val="right"/>
              <w:rPr>
                <w:sz w:val="22"/>
              </w:rPr>
            </w:pPr>
            <w:r>
              <w:rPr>
                <w:sz w:val="22"/>
              </w:rPr>
              <w:t>Superficial:</w:t>
            </w:r>
          </w:p>
        </w:tc>
        <w:tc>
          <w:tcPr>
            <w:tcW w:w="6301" w:type="dxa"/>
          </w:tcPr>
          <w:p>
            <w:pPr>
              <w:pStyle w:val="TableParagraph"/>
              <w:spacing w:line="228" w:lineRule="exact"/>
              <w:ind w:left="106"/>
              <w:rPr>
                <w:sz w:val="22"/>
              </w:rPr>
            </w:pPr>
            <w:r>
              <w:rPr>
                <w:sz w:val="22"/>
              </w:rPr>
              <w:t>unlikely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exhibit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any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visible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damage</w:t>
            </w:r>
          </w:p>
        </w:tc>
      </w:tr>
    </w:tbl>
    <w:p>
      <w:pPr>
        <w:spacing w:after="0" w:line="228" w:lineRule="exact"/>
        <w:rPr>
          <w:sz w:val="22"/>
        </w:rPr>
        <w:sectPr>
          <w:pgSz w:w="12240" w:h="15840"/>
          <w:pgMar w:header="0" w:footer="1064" w:top="1360" w:bottom="1260" w:left="1720" w:right="1020"/>
        </w:sectPr>
      </w:pPr>
    </w:p>
    <w:p>
      <w:pPr>
        <w:spacing w:before="79"/>
        <w:ind w:left="21" w:right="0" w:firstLine="0"/>
        <w:jc w:val="center"/>
        <w:rPr>
          <w:i/>
          <w:sz w:val="24"/>
        </w:rPr>
      </w:pPr>
      <w:bookmarkStart w:name="_bookmark177" w:id="521"/>
      <w:bookmarkEnd w:id="521"/>
      <w:r>
        <w:rPr/>
      </w:r>
      <w:r>
        <w:rPr>
          <w:i/>
          <w:sz w:val="24"/>
        </w:rPr>
        <w:t>Table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8-1.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Building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Levels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Protection,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adapted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from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[44].</w:t>
      </w:r>
    </w:p>
    <w:p>
      <w:pPr>
        <w:pStyle w:val="BodyText"/>
        <w:spacing w:before="5" w:after="1"/>
        <w:rPr>
          <w:i/>
          <w:sz w:val="17"/>
        </w:rPr>
      </w:pPr>
    </w:p>
    <w:tbl>
      <w:tblPr>
        <w:tblW w:w="0" w:type="auto"/>
        <w:jc w:val="left"/>
        <w:tblInd w:w="4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02"/>
        <w:gridCol w:w="3659"/>
        <w:gridCol w:w="2970"/>
      </w:tblGrid>
      <w:tr>
        <w:trPr>
          <w:trHeight w:val="767" w:hRule="atLeast"/>
        </w:trPr>
        <w:tc>
          <w:tcPr>
            <w:tcW w:w="2002" w:type="dxa"/>
            <w:shd w:val="clear" w:color="auto" w:fill="DADADA"/>
          </w:tcPr>
          <w:p>
            <w:pPr>
              <w:pStyle w:val="TableParagraph"/>
              <w:spacing w:before="3"/>
              <w:rPr>
                <w:i/>
                <w:sz w:val="22"/>
              </w:rPr>
            </w:pPr>
          </w:p>
          <w:p>
            <w:pPr>
              <w:pStyle w:val="TableParagraph"/>
              <w:ind w:left="91" w:right="8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Level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of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Protection</w:t>
            </w:r>
          </w:p>
        </w:tc>
        <w:tc>
          <w:tcPr>
            <w:tcW w:w="3659" w:type="dxa"/>
            <w:shd w:val="clear" w:color="auto" w:fill="DADADA"/>
          </w:tcPr>
          <w:p>
            <w:pPr>
              <w:pStyle w:val="TableParagraph"/>
              <w:spacing w:before="3"/>
              <w:rPr>
                <w:i/>
                <w:sz w:val="22"/>
              </w:rPr>
            </w:pPr>
          </w:p>
          <w:p>
            <w:pPr>
              <w:pStyle w:val="TableParagraph"/>
              <w:ind w:left="490"/>
              <w:rPr>
                <w:b/>
                <w:sz w:val="22"/>
              </w:rPr>
            </w:pPr>
            <w:r>
              <w:rPr>
                <w:b/>
                <w:sz w:val="22"/>
              </w:rPr>
              <w:t>Building</w:t>
            </w:r>
            <w:r>
              <w:rPr>
                <w:b/>
                <w:spacing w:val="-4"/>
                <w:sz w:val="22"/>
              </w:rPr>
              <w:t> </w:t>
            </w:r>
            <w:r>
              <w:rPr>
                <w:b/>
                <w:sz w:val="22"/>
              </w:rPr>
              <w:t>Performance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Goals</w:t>
            </w:r>
          </w:p>
        </w:tc>
        <w:tc>
          <w:tcPr>
            <w:tcW w:w="2970" w:type="dxa"/>
            <w:shd w:val="clear" w:color="auto" w:fill="DADADA"/>
          </w:tcPr>
          <w:p>
            <w:pPr>
              <w:pStyle w:val="TableParagraph"/>
              <w:spacing w:before="3"/>
              <w:rPr>
                <w:i/>
                <w:sz w:val="22"/>
              </w:rPr>
            </w:pPr>
          </w:p>
          <w:p>
            <w:pPr>
              <w:pStyle w:val="TableParagraph"/>
              <w:ind w:left="287"/>
              <w:rPr>
                <w:b/>
                <w:sz w:val="22"/>
              </w:rPr>
            </w:pPr>
            <w:r>
              <w:rPr>
                <w:b/>
                <w:sz w:val="22"/>
              </w:rPr>
              <w:t>Overall</w:t>
            </w:r>
            <w:r>
              <w:rPr>
                <w:b/>
                <w:spacing w:val="-4"/>
                <w:sz w:val="22"/>
              </w:rPr>
              <w:t> </w:t>
            </w:r>
            <w:r>
              <w:rPr>
                <w:b/>
                <w:sz w:val="22"/>
              </w:rPr>
              <w:t>Building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Damage</w:t>
            </w:r>
          </w:p>
        </w:tc>
      </w:tr>
      <w:tr>
        <w:trPr>
          <w:trHeight w:val="1012" w:hRule="atLeast"/>
        </w:trPr>
        <w:tc>
          <w:tcPr>
            <w:tcW w:w="2002" w:type="dxa"/>
          </w:tcPr>
          <w:p>
            <w:pPr>
              <w:pStyle w:val="TableParagraph"/>
              <w:spacing w:before="9"/>
              <w:rPr>
                <w:i/>
                <w:sz w:val="32"/>
              </w:rPr>
            </w:pPr>
          </w:p>
          <w:p>
            <w:pPr>
              <w:pStyle w:val="TableParagraph"/>
              <w:ind w:left="91" w:right="82"/>
              <w:jc w:val="center"/>
              <w:rPr>
                <w:sz w:val="22"/>
              </w:rPr>
            </w:pPr>
            <w:r>
              <w:rPr>
                <w:sz w:val="22"/>
              </w:rPr>
              <w:t>I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(Very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low)</w:t>
            </w:r>
          </w:p>
        </w:tc>
        <w:tc>
          <w:tcPr>
            <w:tcW w:w="3659" w:type="dxa"/>
          </w:tcPr>
          <w:p>
            <w:pPr>
              <w:pStyle w:val="TableParagraph"/>
              <w:spacing w:line="254" w:lineRule="exact"/>
              <w:ind w:left="107" w:right="399"/>
              <w:rPr>
                <w:sz w:val="22"/>
              </w:rPr>
            </w:pPr>
            <w:r>
              <w:rPr>
                <w:i/>
                <w:sz w:val="22"/>
              </w:rPr>
              <w:t>Collapse prevention</w:t>
            </w:r>
            <w:r>
              <w:rPr>
                <w:sz w:val="22"/>
              </w:rPr>
              <w:t>: surviving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occupants likely able to evacuate,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building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not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reusable;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contents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may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not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remain intact</w:t>
            </w:r>
          </w:p>
        </w:tc>
        <w:tc>
          <w:tcPr>
            <w:tcW w:w="2970" w:type="dxa"/>
          </w:tcPr>
          <w:p>
            <w:pPr>
              <w:pStyle w:val="TableParagraph"/>
              <w:spacing w:line="254" w:lineRule="exact"/>
              <w:ind w:left="107" w:right="203"/>
              <w:rPr>
                <w:sz w:val="22"/>
              </w:rPr>
            </w:pPr>
            <w:r>
              <w:rPr>
                <w:sz w:val="22"/>
              </w:rPr>
              <w:t>Damage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expected,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up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onset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of total collapse but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progressive collapse is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unlikely</w:t>
            </w:r>
          </w:p>
        </w:tc>
      </w:tr>
      <w:tr>
        <w:trPr>
          <w:trHeight w:val="1260" w:hRule="atLeast"/>
        </w:trPr>
        <w:tc>
          <w:tcPr>
            <w:tcW w:w="2002" w:type="dx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5"/>
              <w:rPr>
                <w:i/>
                <w:sz w:val="19"/>
              </w:rPr>
            </w:pPr>
          </w:p>
          <w:p>
            <w:pPr>
              <w:pStyle w:val="TableParagraph"/>
              <w:ind w:left="90" w:right="82"/>
              <w:jc w:val="center"/>
              <w:rPr>
                <w:sz w:val="22"/>
              </w:rPr>
            </w:pPr>
            <w:r>
              <w:rPr>
                <w:sz w:val="22"/>
              </w:rPr>
              <w:t>II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(Low)</w:t>
            </w:r>
          </w:p>
        </w:tc>
        <w:tc>
          <w:tcPr>
            <w:tcW w:w="3659" w:type="dxa"/>
          </w:tcPr>
          <w:p>
            <w:pPr>
              <w:pStyle w:val="TableParagraph"/>
              <w:ind w:left="107" w:right="190"/>
              <w:rPr>
                <w:sz w:val="22"/>
              </w:rPr>
            </w:pPr>
            <w:r>
              <w:rPr>
                <w:i/>
                <w:sz w:val="22"/>
              </w:rPr>
              <w:t>Life</w:t>
            </w:r>
            <w:r>
              <w:rPr>
                <w:i/>
                <w:spacing w:val="-5"/>
                <w:sz w:val="22"/>
              </w:rPr>
              <w:t> </w:t>
            </w:r>
            <w:r>
              <w:rPr>
                <w:i/>
                <w:sz w:val="22"/>
              </w:rPr>
              <w:t>safety</w:t>
            </w:r>
            <w:r>
              <w:rPr>
                <w:sz w:val="22"/>
              </w:rPr>
              <w:t>: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surviving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occupants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likely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able to evacuate and return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temporarily; contents likely intact for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retrieval</w:t>
            </w:r>
          </w:p>
        </w:tc>
        <w:tc>
          <w:tcPr>
            <w:tcW w:w="2970" w:type="dxa"/>
          </w:tcPr>
          <w:p>
            <w:pPr>
              <w:pStyle w:val="TableParagraph"/>
              <w:ind w:left="107" w:right="333"/>
              <w:rPr>
                <w:sz w:val="22"/>
              </w:rPr>
            </w:pPr>
            <w:r>
              <w:rPr>
                <w:sz w:val="22"/>
              </w:rPr>
              <w:t>Damage expected, such that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building is not likely to be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economically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repairable,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but</w:t>
            </w:r>
          </w:p>
          <w:p>
            <w:pPr>
              <w:pStyle w:val="TableParagraph"/>
              <w:spacing w:line="254" w:lineRule="exact"/>
              <w:ind w:left="107" w:right="841"/>
              <w:rPr>
                <w:sz w:val="22"/>
              </w:rPr>
            </w:pPr>
            <w:r>
              <w:rPr>
                <w:sz w:val="22"/>
              </w:rPr>
              <w:t>progressive collapse is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unlikely</w:t>
            </w:r>
          </w:p>
        </w:tc>
      </w:tr>
      <w:tr>
        <w:trPr>
          <w:trHeight w:val="1511" w:hRule="atLeast"/>
        </w:trPr>
        <w:tc>
          <w:tcPr>
            <w:tcW w:w="2002" w:type="dx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3"/>
              <w:rPr>
                <w:i/>
                <w:sz w:val="30"/>
              </w:rPr>
            </w:pPr>
          </w:p>
          <w:p>
            <w:pPr>
              <w:pStyle w:val="TableParagraph"/>
              <w:ind w:left="89" w:right="82"/>
              <w:jc w:val="center"/>
              <w:rPr>
                <w:sz w:val="22"/>
              </w:rPr>
            </w:pPr>
            <w:r>
              <w:rPr>
                <w:sz w:val="22"/>
              </w:rPr>
              <w:t>III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(Medium)</w:t>
            </w:r>
          </w:p>
        </w:tc>
        <w:tc>
          <w:tcPr>
            <w:tcW w:w="3659" w:type="dxa"/>
          </w:tcPr>
          <w:p>
            <w:pPr>
              <w:pStyle w:val="TableParagraph"/>
              <w:ind w:left="107" w:right="198"/>
              <w:rPr>
                <w:sz w:val="22"/>
              </w:rPr>
            </w:pPr>
            <w:r>
              <w:rPr>
                <w:i/>
                <w:sz w:val="22"/>
              </w:rPr>
              <w:t>Property preservation</w:t>
            </w:r>
            <w:r>
              <w:rPr>
                <w:sz w:val="22"/>
              </w:rPr>
              <w:t>: surviving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occupants may have to evacuate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temporarily, likely able to return after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repairs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clean-up;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contents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likely</w:t>
            </w:r>
          </w:p>
          <w:p>
            <w:pPr>
              <w:pStyle w:val="TableParagraph"/>
              <w:spacing w:line="254" w:lineRule="exact"/>
              <w:ind w:left="107" w:right="449"/>
              <w:rPr>
                <w:sz w:val="22"/>
              </w:rPr>
            </w:pPr>
            <w:r>
              <w:rPr>
                <w:sz w:val="22"/>
              </w:rPr>
              <w:t>remain at least partially functional,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may be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impaired for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time</w:t>
            </w:r>
          </w:p>
        </w:tc>
        <w:tc>
          <w:tcPr>
            <w:tcW w:w="2970" w:type="dxa"/>
          </w:tcPr>
          <w:p>
            <w:pPr>
              <w:pStyle w:val="TableParagraph"/>
              <w:ind w:left="107" w:right="285"/>
              <w:rPr>
                <w:sz w:val="22"/>
              </w:rPr>
            </w:pPr>
            <w:r>
              <w:rPr>
                <w:sz w:val="22"/>
              </w:rPr>
              <w:t>Damage is expected, but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building is expected to be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economically repairable, and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progressive collapse is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unlikely</w:t>
            </w:r>
          </w:p>
        </w:tc>
      </w:tr>
      <w:tr>
        <w:trPr>
          <w:trHeight w:val="1257" w:hRule="atLeast"/>
        </w:trPr>
        <w:tc>
          <w:tcPr>
            <w:tcW w:w="2002" w:type="dx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"/>
              <w:rPr>
                <w:i/>
                <w:sz w:val="19"/>
              </w:rPr>
            </w:pPr>
          </w:p>
          <w:p>
            <w:pPr>
              <w:pStyle w:val="TableParagraph"/>
              <w:spacing w:before="1"/>
              <w:ind w:left="90" w:right="82"/>
              <w:jc w:val="center"/>
              <w:rPr>
                <w:sz w:val="22"/>
              </w:rPr>
            </w:pPr>
            <w:r>
              <w:rPr>
                <w:sz w:val="22"/>
              </w:rPr>
              <w:t>IV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(High)</w:t>
            </w:r>
          </w:p>
        </w:tc>
        <w:tc>
          <w:tcPr>
            <w:tcW w:w="3659" w:type="dxa"/>
          </w:tcPr>
          <w:p>
            <w:pPr>
              <w:pStyle w:val="TableParagraph"/>
              <w:ind w:left="107" w:right="179"/>
              <w:rPr>
                <w:sz w:val="22"/>
              </w:rPr>
            </w:pPr>
            <w:r>
              <w:rPr>
                <w:i/>
                <w:sz w:val="22"/>
              </w:rPr>
              <w:t>Continuous occupancy</w:t>
            </w:r>
            <w:r>
              <w:rPr>
                <w:sz w:val="22"/>
              </w:rPr>
              <w:t>: All occupants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likely able to stay and maintain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operations without interruption;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contents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will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likely remain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fully</w:t>
            </w:r>
          </w:p>
          <w:p>
            <w:pPr>
              <w:pStyle w:val="TableParagraph"/>
              <w:spacing w:line="234" w:lineRule="exact"/>
              <w:ind w:left="107"/>
              <w:rPr>
                <w:sz w:val="22"/>
              </w:rPr>
            </w:pPr>
            <w:r>
              <w:rPr>
                <w:sz w:val="22"/>
              </w:rPr>
              <w:t>functional</w:t>
            </w:r>
          </w:p>
        </w:tc>
        <w:tc>
          <w:tcPr>
            <w:tcW w:w="2970" w:type="dxa"/>
          </w:tcPr>
          <w:p>
            <w:pPr>
              <w:pStyle w:val="TableParagraph"/>
              <w:ind w:left="107" w:right="481"/>
              <w:rPr>
                <w:sz w:val="22"/>
              </w:rPr>
            </w:pPr>
            <w:r>
              <w:rPr>
                <w:sz w:val="22"/>
              </w:rPr>
              <w:t>Only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superficial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damage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expected</w:t>
            </w:r>
          </w:p>
        </w:tc>
      </w:tr>
    </w:tbl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4"/>
        <w:rPr>
          <w:i/>
          <w:sz w:val="37"/>
        </w:rPr>
      </w:pPr>
    </w:p>
    <w:p>
      <w:pPr>
        <w:spacing w:before="0"/>
        <w:ind w:left="20" w:right="0" w:firstLine="0"/>
        <w:jc w:val="center"/>
        <w:rPr>
          <w:i/>
          <w:sz w:val="24"/>
        </w:rPr>
      </w:pPr>
      <w:bookmarkStart w:name="_bookmark178" w:id="522"/>
      <w:bookmarkEnd w:id="522"/>
      <w:r>
        <w:rPr/>
      </w:r>
      <w:bookmarkStart w:name="_bookmark179" w:id="523"/>
      <w:bookmarkEnd w:id="523"/>
      <w:r>
        <w:rPr/>
      </w:r>
      <w:r>
        <w:rPr>
          <w:i/>
          <w:sz w:val="24"/>
        </w:rPr>
        <w:t>Table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8-2.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Expected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Component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Damage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Each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Level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Protection,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adapted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from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[44].</w:t>
      </w:r>
    </w:p>
    <w:p>
      <w:pPr>
        <w:pStyle w:val="BodyText"/>
        <w:spacing w:before="4"/>
        <w:rPr>
          <w:i/>
          <w:sz w:val="17"/>
        </w:rPr>
      </w:pPr>
    </w:p>
    <w:tbl>
      <w:tblPr>
        <w:tblW w:w="0" w:type="auto"/>
        <w:jc w:val="left"/>
        <w:tblInd w:w="6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01"/>
        <w:gridCol w:w="1840"/>
        <w:gridCol w:w="1900"/>
        <w:gridCol w:w="1980"/>
      </w:tblGrid>
      <w:tr>
        <w:trPr>
          <w:trHeight w:val="300" w:hRule="atLeast"/>
        </w:trPr>
        <w:tc>
          <w:tcPr>
            <w:tcW w:w="2501" w:type="dxa"/>
            <w:vMerge w:val="restart"/>
            <w:shd w:val="clear" w:color="auto" w:fill="DADAD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7"/>
              <w:rPr>
                <w:i/>
                <w:sz w:val="32"/>
              </w:rPr>
            </w:pPr>
          </w:p>
          <w:p>
            <w:pPr>
              <w:pStyle w:val="TableParagraph"/>
              <w:spacing w:line="233" w:lineRule="exact"/>
              <w:ind w:left="357"/>
              <w:rPr>
                <w:b/>
                <w:sz w:val="22"/>
              </w:rPr>
            </w:pPr>
            <w:r>
              <w:rPr>
                <w:b/>
                <w:sz w:val="22"/>
              </w:rPr>
              <w:t>Level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of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Protection</w:t>
            </w:r>
          </w:p>
        </w:tc>
        <w:tc>
          <w:tcPr>
            <w:tcW w:w="5720" w:type="dxa"/>
            <w:gridSpan w:val="3"/>
            <w:shd w:val="clear" w:color="auto" w:fill="DADADA"/>
          </w:tcPr>
          <w:p>
            <w:pPr>
              <w:pStyle w:val="TableParagraph"/>
              <w:spacing w:line="233" w:lineRule="exact" w:before="47"/>
              <w:ind w:left="1567"/>
              <w:rPr>
                <w:b/>
                <w:sz w:val="22"/>
              </w:rPr>
            </w:pPr>
            <w:r>
              <w:rPr>
                <w:b/>
                <w:sz w:val="22"/>
              </w:rPr>
              <w:t>Component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Damage</w:t>
            </w:r>
            <w:r>
              <w:rPr>
                <w:b/>
                <w:spacing w:val="-5"/>
                <w:sz w:val="22"/>
              </w:rPr>
              <w:t> </w:t>
            </w:r>
            <w:r>
              <w:rPr>
                <w:b/>
                <w:sz w:val="22"/>
              </w:rPr>
              <w:t>Levels</w:t>
            </w:r>
          </w:p>
        </w:tc>
      </w:tr>
      <w:tr>
        <w:trPr>
          <w:trHeight w:val="869" w:hRule="atLeast"/>
        </w:trPr>
        <w:tc>
          <w:tcPr>
            <w:tcW w:w="2501" w:type="dxa"/>
            <w:vMerge/>
            <w:tcBorders>
              <w:top w:val="nil"/>
            </w:tcBorders>
            <w:shd w:val="clear" w:color="auto" w:fill="DADADA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40" w:type="dxa"/>
            <w:shd w:val="clear" w:color="auto" w:fill="DADADA"/>
          </w:tcPr>
          <w:p>
            <w:pPr>
              <w:pStyle w:val="TableParagraph"/>
              <w:spacing w:line="250" w:lineRule="atLeast" w:before="90"/>
              <w:ind w:left="368" w:right="36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Primary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Structural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pacing w:val="-1"/>
                <w:sz w:val="22"/>
              </w:rPr>
              <w:t>Component</w:t>
            </w:r>
          </w:p>
        </w:tc>
        <w:tc>
          <w:tcPr>
            <w:tcW w:w="1900" w:type="dxa"/>
            <w:shd w:val="clear" w:color="auto" w:fill="DADADA"/>
          </w:tcPr>
          <w:p>
            <w:pPr>
              <w:pStyle w:val="TableParagraph"/>
              <w:spacing w:line="250" w:lineRule="atLeast" w:before="90"/>
              <w:ind w:left="355" w:right="348" w:firstLine="98"/>
              <w:jc w:val="both"/>
              <w:rPr>
                <w:b/>
                <w:sz w:val="22"/>
              </w:rPr>
            </w:pPr>
            <w:r>
              <w:rPr>
                <w:b/>
                <w:sz w:val="22"/>
              </w:rPr>
              <w:t>Secondary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Structural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pacing w:val="-1"/>
                <w:sz w:val="22"/>
              </w:rPr>
              <w:t>Components</w:t>
            </w:r>
          </w:p>
        </w:tc>
        <w:tc>
          <w:tcPr>
            <w:tcW w:w="1980" w:type="dxa"/>
            <w:shd w:val="clear" w:color="auto" w:fill="DADADA"/>
          </w:tcPr>
          <w:p>
            <w:pPr>
              <w:pStyle w:val="TableParagraph"/>
              <w:spacing w:before="10"/>
              <w:rPr>
                <w:i/>
                <w:sz w:val="29"/>
              </w:rPr>
            </w:pPr>
          </w:p>
          <w:p>
            <w:pPr>
              <w:pStyle w:val="TableParagraph"/>
              <w:spacing w:line="250" w:lineRule="atLeast"/>
              <w:ind w:left="396" w:right="308" w:hanging="74"/>
              <w:rPr>
                <w:b/>
                <w:sz w:val="22"/>
              </w:rPr>
            </w:pPr>
            <w:r>
              <w:rPr>
                <w:b/>
                <w:spacing w:val="-1"/>
                <w:sz w:val="22"/>
              </w:rPr>
              <w:t>Nonstructural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Components</w:t>
            </w:r>
          </w:p>
        </w:tc>
      </w:tr>
      <w:tr>
        <w:trPr>
          <w:trHeight w:val="299" w:hRule="atLeast"/>
        </w:trPr>
        <w:tc>
          <w:tcPr>
            <w:tcW w:w="2501" w:type="dxa"/>
          </w:tcPr>
          <w:p>
            <w:pPr>
              <w:pStyle w:val="TableParagraph"/>
              <w:spacing w:line="234" w:lineRule="exact" w:before="45"/>
              <w:ind w:right="96"/>
              <w:jc w:val="right"/>
              <w:rPr>
                <w:sz w:val="22"/>
              </w:rPr>
            </w:pPr>
            <w:r>
              <w:rPr>
                <w:sz w:val="22"/>
              </w:rPr>
              <w:t>I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(Very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low)</w:t>
            </w:r>
          </w:p>
        </w:tc>
        <w:tc>
          <w:tcPr>
            <w:tcW w:w="1840" w:type="dxa"/>
          </w:tcPr>
          <w:p>
            <w:pPr>
              <w:pStyle w:val="TableParagraph"/>
              <w:spacing w:line="234" w:lineRule="exact" w:before="45"/>
              <w:ind w:left="364" w:right="360"/>
              <w:jc w:val="center"/>
              <w:rPr>
                <w:sz w:val="22"/>
              </w:rPr>
            </w:pPr>
            <w:r>
              <w:rPr>
                <w:sz w:val="22"/>
              </w:rPr>
              <w:t>Heavy</w:t>
            </w:r>
          </w:p>
        </w:tc>
        <w:tc>
          <w:tcPr>
            <w:tcW w:w="1900" w:type="dxa"/>
          </w:tcPr>
          <w:p>
            <w:pPr>
              <w:pStyle w:val="TableParagraph"/>
              <w:spacing w:line="234" w:lineRule="exact" w:before="45"/>
              <w:ind w:left="445" w:right="438"/>
              <w:jc w:val="center"/>
              <w:rPr>
                <w:sz w:val="22"/>
              </w:rPr>
            </w:pPr>
            <w:r>
              <w:rPr>
                <w:sz w:val="22"/>
              </w:rPr>
              <w:t>Hazardous</w:t>
            </w:r>
          </w:p>
        </w:tc>
        <w:tc>
          <w:tcPr>
            <w:tcW w:w="1980" w:type="dxa"/>
          </w:tcPr>
          <w:p>
            <w:pPr>
              <w:pStyle w:val="TableParagraph"/>
              <w:spacing w:line="234" w:lineRule="exact" w:before="45"/>
              <w:ind w:left="485" w:right="478"/>
              <w:jc w:val="center"/>
              <w:rPr>
                <w:sz w:val="22"/>
              </w:rPr>
            </w:pPr>
            <w:r>
              <w:rPr>
                <w:sz w:val="22"/>
              </w:rPr>
              <w:t>Hazardous</w:t>
            </w:r>
          </w:p>
        </w:tc>
      </w:tr>
      <w:tr>
        <w:trPr>
          <w:trHeight w:val="300" w:hRule="atLeast"/>
        </w:trPr>
        <w:tc>
          <w:tcPr>
            <w:tcW w:w="2501" w:type="dxa"/>
          </w:tcPr>
          <w:p>
            <w:pPr>
              <w:pStyle w:val="TableParagraph"/>
              <w:spacing w:line="234" w:lineRule="exact" w:before="46"/>
              <w:ind w:right="98"/>
              <w:jc w:val="right"/>
              <w:rPr>
                <w:sz w:val="22"/>
              </w:rPr>
            </w:pPr>
            <w:r>
              <w:rPr>
                <w:sz w:val="22"/>
              </w:rPr>
              <w:t>II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(Low)</w:t>
            </w:r>
          </w:p>
        </w:tc>
        <w:tc>
          <w:tcPr>
            <w:tcW w:w="1840" w:type="dxa"/>
          </w:tcPr>
          <w:p>
            <w:pPr>
              <w:pStyle w:val="TableParagraph"/>
              <w:spacing w:line="234" w:lineRule="exact" w:before="46"/>
              <w:ind w:right="488"/>
              <w:jc w:val="right"/>
              <w:rPr>
                <w:sz w:val="22"/>
              </w:rPr>
            </w:pPr>
            <w:r>
              <w:rPr>
                <w:sz w:val="22"/>
              </w:rPr>
              <w:t>Moderate</w:t>
            </w:r>
          </w:p>
        </w:tc>
        <w:tc>
          <w:tcPr>
            <w:tcW w:w="1900" w:type="dxa"/>
          </w:tcPr>
          <w:p>
            <w:pPr>
              <w:pStyle w:val="TableParagraph"/>
              <w:spacing w:line="234" w:lineRule="exact" w:before="46"/>
              <w:ind w:left="445" w:right="439"/>
              <w:jc w:val="center"/>
              <w:rPr>
                <w:sz w:val="22"/>
              </w:rPr>
            </w:pPr>
            <w:r>
              <w:rPr>
                <w:sz w:val="22"/>
              </w:rPr>
              <w:t>Heavy</w:t>
            </w:r>
          </w:p>
        </w:tc>
        <w:tc>
          <w:tcPr>
            <w:tcW w:w="1980" w:type="dxa"/>
          </w:tcPr>
          <w:p>
            <w:pPr>
              <w:pStyle w:val="TableParagraph"/>
              <w:spacing w:line="234" w:lineRule="exact" w:before="46"/>
              <w:ind w:left="485" w:right="478"/>
              <w:jc w:val="center"/>
              <w:rPr>
                <w:sz w:val="22"/>
              </w:rPr>
            </w:pPr>
            <w:r>
              <w:rPr>
                <w:sz w:val="22"/>
              </w:rPr>
              <w:t>Heavy</w:t>
            </w:r>
          </w:p>
        </w:tc>
      </w:tr>
      <w:tr>
        <w:trPr>
          <w:trHeight w:val="299" w:hRule="atLeast"/>
        </w:trPr>
        <w:tc>
          <w:tcPr>
            <w:tcW w:w="2501" w:type="dxa"/>
          </w:tcPr>
          <w:p>
            <w:pPr>
              <w:pStyle w:val="TableParagraph"/>
              <w:spacing w:line="234" w:lineRule="exact" w:before="45"/>
              <w:ind w:right="99"/>
              <w:jc w:val="right"/>
              <w:rPr>
                <w:sz w:val="22"/>
              </w:rPr>
            </w:pPr>
            <w:r>
              <w:rPr>
                <w:sz w:val="22"/>
              </w:rPr>
              <w:t>III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(Medium)</w:t>
            </w:r>
          </w:p>
        </w:tc>
        <w:tc>
          <w:tcPr>
            <w:tcW w:w="1840" w:type="dxa"/>
          </w:tcPr>
          <w:p>
            <w:pPr>
              <w:pStyle w:val="TableParagraph"/>
              <w:spacing w:line="234" w:lineRule="exact" w:before="45"/>
              <w:ind w:right="428"/>
              <w:jc w:val="right"/>
              <w:rPr>
                <w:sz w:val="22"/>
              </w:rPr>
            </w:pPr>
            <w:r>
              <w:rPr>
                <w:sz w:val="22"/>
              </w:rPr>
              <w:t>Superficial</w:t>
            </w:r>
          </w:p>
        </w:tc>
        <w:tc>
          <w:tcPr>
            <w:tcW w:w="1900" w:type="dxa"/>
          </w:tcPr>
          <w:p>
            <w:pPr>
              <w:pStyle w:val="TableParagraph"/>
              <w:spacing w:line="234" w:lineRule="exact" w:before="45"/>
              <w:ind w:left="445" w:right="438"/>
              <w:jc w:val="center"/>
              <w:rPr>
                <w:sz w:val="22"/>
              </w:rPr>
            </w:pPr>
            <w:r>
              <w:rPr>
                <w:sz w:val="22"/>
              </w:rPr>
              <w:t>Moderate</w:t>
            </w:r>
          </w:p>
        </w:tc>
        <w:tc>
          <w:tcPr>
            <w:tcW w:w="1980" w:type="dxa"/>
          </w:tcPr>
          <w:p>
            <w:pPr>
              <w:pStyle w:val="TableParagraph"/>
              <w:spacing w:line="234" w:lineRule="exact" w:before="45"/>
              <w:ind w:left="485" w:right="477"/>
              <w:jc w:val="center"/>
              <w:rPr>
                <w:sz w:val="22"/>
              </w:rPr>
            </w:pPr>
            <w:r>
              <w:rPr>
                <w:sz w:val="22"/>
              </w:rPr>
              <w:t>Moderate</w:t>
            </w:r>
          </w:p>
        </w:tc>
      </w:tr>
      <w:tr>
        <w:trPr>
          <w:trHeight w:val="300" w:hRule="atLeast"/>
        </w:trPr>
        <w:tc>
          <w:tcPr>
            <w:tcW w:w="2501" w:type="dxa"/>
          </w:tcPr>
          <w:p>
            <w:pPr>
              <w:pStyle w:val="TableParagraph"/>
              <w:spacing w:line="236" w:lineRule="exact" w:before="45"/>
              <w:ind w:right="97"/>
              <w:jc w:val="right"/>
              <w:rPr>
                <w:sz w:val="22"/>
              </w:rPr>
            </w:pPr>
            <w:r>
              <w:rPr>
                <w:sz w:val="22"/>
              </w:rPr>
              <w:t>IV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(High)</w:t>
            </w:r>
          </w:p>
        </w:tc>
        <w:tc>
          <w:tcPr>
            <w:tcW w:w="1840" w:type="dxa"/>
          </w:tcPr>
          <w:p>
            <w:pPr>
              <w:pStyle w:val="TableParagraph"/>
              <w:spacing w:line="236" w:lineRule="exact" w:before="45"/>
              <w:ind w:right="428"/>
              <w:jc w:val="right"/>
              <w:rPr>
                <w:sz w:val="22"/>
              </w:rPr>
            </w:pPr>
            <w:r>
              <w:rPr>
                <w:sz w:val="22"/>
              </w:rPr>
              <w:t>Superficial</w:t>
            </w:r>
          </w:p>
        </w:tc>
        <w:tc>
          <w:tcPr>
            <w:tcW w:w="1900" w:type="dxa"/>
          </w:tcPr>
          <w:p>
            <w:pPr>
              <w:pStyle w:val="TableParagraph"/>
              <w:spacing w:line="236" w:lineRule="exact" w:before="45"/>
              <w:ind w:left="445" w:right="439"/>
              <w:jc w:val="center"/>
              <w:rPr>
                <w:sz w:val="22"/>
              </w:rPr>
            </w:pPr>
            <w:r>
              <w:rPr>
                <w:sz w:val="22"/>
              </w:rPr>
              <w:t>Superficial</w:t>
            </w:r>
          </w:p>
        </w:tc>
        <w:tc>
          <w:tcPr>
            <w:tcW w:w="1980" w:type="dxa"/>
          </w:tcPr>
          <w:p>
            <w:pPr>
              <w:pStyle w:val="TableParagraph"/>
              <w:spacing w:line="236" w:lineRule="exact" w:before="45"/>
              <w:ind w:left="485" w:right="478"/>
              <w:jc w:val="center"/>
              <w:rPr>
                <w:sz w:val="22"/>
              </w:rPr>
            </w:pPr>
            <w:r>
              <w:rPr>
                <w:sz w:val="22"/>
              </w:rPr>
              <w:t>Superficial</w:t>
            </w:r>
          </w:p>
        </w:tc>
      </w:tr>
    </w:tbl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10"/>
        <w:rPr>
          <w:i/>
          <w:sz w:val="33"/>
        </w:rPr>
      </w:pPr>
    </w:p>
    <w:p>
      <w:pPr>
        <w:pStyle w:val="Heading9"/>
        <w:numPr>
          <w:ilvl w:val="1"/>
          <w:numId w:val="27"/>
        </w:numPr>
        <w:tabs>
          <w:tab w:pos="800" w:val="left" w:leader="none"/>
        </w:tabs>
        <w:spacing w:line="240" w:lineRule="auto" w:before="0" w:after="0"/>
        <w:ind w:left="800" w:right="0" w:hanging="360"/>
        <w:jc w:val="left"/>
      </w:pPr>
      <w:bookmarkStart w:name="_TOC_250013" w:id="524"/>
      <w:bookmarkStart w:name="8.2 Previous work with CLT and blast" w:id="525"/>
      <w:r>
        <w:rPr>
          <w:b w:val="0"/>
        </w:rPr>
      </w:r>
      <w:bookmarkEnd w:id="525"/>
      <w:bookmarkStart w:name="8.2 Previous work with CLT and blast" w:id="526"/>
      <w:r>
        <w:rPr/>
        <w:t>P</w:t>
      </w:r>
      <w:r>
        <w:rPr/>
        <w:t>revious</w:t>
      </w:r>
      <w:r>
        <w:rPr>
          <w:spacing w:val="-2"/>
        </w:rPr>
        <w:t> </w:t>
      </w:r>
      <w:r>
        <w:rPr/>
        <w:t>work with</w:t>
      </w:r>
      <w:r>
        <w:rPr>
          <w:spacing w:val="-3"/>
        </w:rPr>
        <w:t> </w:t>
      </w:r>
      <w:r>
        <w:rPr/>
        <w:t>CLT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bookmarkEnd w:id="524"/>
      <w:r>
        <w:rPr/>
        <w:t>blast</w:t>
      </w:r>
    </w:p>
    <w:p>
      <w:pPr>
        <w:pStyle w:val="BodyText"/>
        <w:spacing w:before="6"/>
        <w:rPr>
          <w:b/>
          <w:sz w:val="22"/>
        </w:rPr>
      </w:pPr>
    </w:p>
    <w:p>
      <w:pPr>
        <w:pStyle w:val="BodyText"/>
        <w:spacing w:line="480" w:lineRule="auto"/>
        <w:ind w:left="439" w:right="403" w:firstLine="720"/>
      </w:pPr>
      <w:r>
        <w:rPr/>
        <w:t>As</w:t>
      </w:r>
      <w:r>
        <w:rPr>
          <w:spacing w:val="17"/>
        </w:rPr>
        <w:t> </w:t>
      </w:r>
      <w:r>
        <w:rPr/>
        <w:t>a</w:t>
      </w:r>
      <w:r>
        <w:rPr>
          <w:spacing w:val="18"/>
        </w:rPr>
        <w:t> </w:t>
      </w:r>
      <w:r>
        <w:rPr/>
        <w:t>newer</w:t>
      </w:r>
      <w:r>
        <w:rPr>
          <w:spacing w:val="19"/>
        </w:rPr>
        <w:t> </w:t>
      </w:r>
      <w:r>
        <w:rPr/>
        <w:t>construction</w:t>
      </w:r>
      <w:r>
        <w:rPr>
          <w:spacing w:val="18"/>
        </w:rPr>
        <w:t> </w:t>
      </w:r>
      <w:r>
        <w:rPr/>
        <w:t>material,</w:t>
      </w:r>
      <w:r>
        <w:rPr>
          <w:spacing w:val="18"/>
        </w:rPr>
        <w:t> </w:t>
      </w:r>
      <w:r>
        <w:rPr/>
        <w:t>minimal</w:t>
      </w:r>
      <w:r>
        <w:rPr>
          <w:spacing w:val="17"/>
        </w:rPr>
        <w:t> </w:t>
      </w:r>
      <w:r>
        <w:rPr/>
        <w:t>research</w:t>
      </w:r>
      <w:r>
        <w:rPr>
          <w:spacing w:val="18"/>
        </w:rPr>
        <w:t> </w:t>
      </w:r>
      <w:r>
        <w:rPr/>
        <w:t>has</w:t>
      </w:r>
      <w:r>
        <w:rPr>
          <w:spacing w:val="18"/>
        </w:rPr>
        <w:t> </w:t>
      </w:r>
      <w:r>
        <w:rPr/>
        <w:t>been</w:t>
      </w:r>
      <w:r>
        <w:rPr>
          <w:spacing w:val="18"/>
        </w:rPr>
        <w:t> </w:t>
      </w:r>
      <w:r>
        <w:rPr/>
        <w:t>conducted</w:t>
      </w:r>
      <w:r>
        <w:rPr>
          <w:spacing w:val="17"/>
        </w:rPr>
        <w:t> </w:t>
      </w:r>
      <w:r>
        <w:rPr/>
        <w:t>on</w:t>
      </w:r>
      <w:r>
        <w:rPr>
          <w:spacing w:val="18"/>
        </w:rPr>
        <w:t> </w:t>
      </w:r>
      <w:r>
        <w:rPr/>
        <w:t>CLT</w:t>
      </w:r>
      <w:r>
        <w:rPr>
          <w:spacing w:val="-57"/>
        </w:rPr>
        <w:t> </w:t>
      </w:r>
      <w:r>
        <w:rPr/>
        <w:t>performance</w:t>
      </w:r>
      <w:r>
        <w:rPr>
          <w:spacing w:val="-6"/>
        </w:rPr>
        <w:t> </w:t>
      </w:r>
      <w:r>
        <w:rPr/>
        <w:t>under</w:t>
      </w:r>
      <w:r>
        <w:rPr>
          <w:spacing w:val="-5"/>
        </w:rPr>
        <w:t> </w:t>
      </w:r>
      <w:r>
        <w:rPr/>
        <w:t>blast</w:t>
      </w:r>
      <w:r>
        <w:rPr>
          <w:spacing w:val="-6"/>
        </w:rPr>
        <w:t> </w:t>
      </w:r>
      <w:r>
        <w:rPr/>
        <w:t>loading</w:t>
      </w:r>
      <w:r>
        <w:rPr>
          <w:spacing w:val="-5"/>
        </w:rPr>
        <w:t> </w:t>
      </w:r>
      <w:r>
        <w:rPr/>
        <w:t>conditions.</w:t>
      </w:r>
      <w:r>
        <w:rPr>
          <w:spacing w:val="49"/>
        </w:rPr>
        <w:t> </w:t>
      </w:r>
      <w:r>
        <w:rPr/>
        <w:t>The</w:t>
      </w:r>
      <w:r>
        <w:rPr>
          <w:spacing w:val="-5"/>
        </w:rPr>
        <w:t> </w:t>
      </w:r>
      <w:r>
        <w:rPr/>
        <w:t>majority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dynamic</w:t>
      </w:r>
      <w:r>
        <w:rPr>
          <w:spacing w:val="-5"/>
        </w:rPr>
        <w:t> </w:t>
      </w:r>
      <w:r>
        <w:rPr/>
        <w:t>loading</w:t>
      </w:r>
      <w:r>
        <w:rPr>
          <w:spacing w:val="-5"/>
        </w:rPr>
        <w:t> </w:t>
      </w:r>
      <w:r>
        <w:rPr/>
        <w:t>research</w:t>
      </w:r>
      <w:r>
        <w:rPr>
          <w:spacing w:val="-5"/>
        </w:rPr>
        <w:t> </w:t>
      </w:r>
      <w:r>
        <w:rPr/>
        <w:t>on</w:t>
      </w:r>
    </w:p>
    <w:p>
      <w:pPr>
        <w:spacing w:after="0" w:line="480" w:lineRule="auto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39" w:right="417"/>
        <w:jc w:val="both"/>
      </w:pPr>
      <w:r>
        <w:rPr/>
        <w:t>CLT</w:t>
      </w:r>
      <w:r>
        <w:rPr>
          <w:spacing w:val="-8"/>
        </w:rPr>
        <w:t> </w:t>
      </w:r>
      <w:r>
        <w:rPr/>
        <w:t>has</w:t>
      </w:r>
      <w:r>
        <w:rPr>
          <w:spacing w:val="-6"/>
        </w:rPr>
        <w:t> </w:t>
      </w:r>
      <w:r>
        <w:rPr/>
        <w:t>focused</w:t>
      </w:r>
      <w:r>
        <w:rPr>
          <w:spacing w:val="-6"/>
        </w:rPr>
        <w:t> </w:t>
      </w:r>
      <w:r>
        <w:rPr/>
        <w:t>on</w:t>
      </w:r>
      <w:r>
        <w:rPr>
          <w:spacing w:val="-6"/>
        </w:rPr>
        <w:t> </w:t>
      </w:r>
      <w:r>
        <w:rPr/>
        <w:t>seismic</w:t>
      </w:r>
      <w:r>
        <w:rPr>
          <w:spacing w:val="-6"/>
        </w:rPr>
        <w:t> </w:t>
      </w:r>
      <w:r>
        <w:rPr/>
        <w:t>loads</w:t>
      </w:r>
      <w:r>
        <w:rPr>
          <w:spacing w:val="-6"/>
        </w:rPr>
        <w:t> </w:t>
      </w:r>
      <w:r>
        <w:rPr/>
        <w:t>with</w:t>
      </w:r>
      <w:r>
        <w:rPr>
          <w:spacing w:val="-6"/>
        </w:rPr>
        <w:t> </w:t>
      </w:r>
      <w:r>
        <w:rPr/>
        <w:t>testing</w:t>
      </w:r>
      <w:r>
        <w:rPr>
          <w:spacing w:val="-7"/>
        </w:rPr>
        <w:t> </w:t>
      </w:r>
      <w:r>
        <w:rPr/>
        <w:t>effort</w:t>
      </w:r>
      <w:r>
        <w:rPr>
          <w:spacing w:val="-6"/>
        </w:rPr>
        <w:t> </w:t>
      </w:r>
      <w:r>
        <w:rPr/>
        <w:t>examining</w:t>
      </w:r>
      <w:r>
        <w:rPr>
          <w:spacing w:val="-6"/>
        </w:rPr>
        <w:t> </w:t>
      </w:r>
      <w:r>
        <w:rPr/>
        <w:t>in-plane</w:t>
      </w:r>
      <w:r>
        <w:rPr>
          <w:spacing w:val="-6"/>
        </w:rPr>
        <w:t> </w:t>
      </w:r>
      <w:r>
        <w:rPr/>
        <w:t>shear</w:t>
      </w:r>
      <w:r>
        <w:rPr>
          <w:spacing w:val="-6"/>
        </w:rPr>
        <w:t> </w:t>
      </w:r>
      <w:r>
        <w:rPr/>
        <w:t>response</w:t>
      </w:r>
      <w:r>
        <w:rPr>
          <w:spacing w:val="-6"/>
        </w:rPr>
        <w:t> </w:t>
      </w:r>
      <w:r>
        <w:rPr/>
        <w:t>in</w:t>
      </w:r>
      <w:r>
        <w:rPr>
          <w:spacing w:val="-58"/>
        </w:rPr>
        <w:t> </w:t>
      </w:r>
      <w:r>
        <w:rPr/>
        <w:t>the CLT panels as well as a systematic response and appropriate connections [118].</w:t>
      </w:r>
      <w:r>
        <w:rPr>
          <w:spacing w:val="1"/>
        </w:rPr>
        <w:t> </w:t>
      </w:r>
      <w:r>
        <w:rPr/>
        <w:t>Compared</w:t>
      </w:r>
      <w:r>
        <w:rPr>
          <w:spacing w:val="-5"/>
        </w:rPr>
        <w:t> </w:t>
      </w:r>
      <w:r>
        <w:rPr/>
        <w:t>to</w:t>
      </w:r>
      <w:r>
        <w:rPr>
          <w:spacing w:val="-4"/>
        </w:rPr>
        <w:t> </w:t>
      </w:r>
      <w:r>
        <w:rPr/>
        <w:t>reinforced</w:t>
      </w:r>
      <w:r>
        <w:rPr>
          <w:spacing w:val="-6"/>
        </w:rPr>
        <w:t> </w:t>
      </w:r>
      <w:r>
        <w:rPr/>
        <w:t>concrete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/>
        <w:t>steel,</w:t>
      </w:r>
      <w:r>
        <w:rPr>
          <w:spacing w:val="-4"/>
        </w:rPr>
        <w:t> </w:t>
      </w:r>
      <w:r>
        <w:rPr/>
        <w:t>minimal</w:t>
      </w:r>
      <w:r>
        <w:rPr>
          <w:spacing w:val="-3"/>
        </w:rPr>
        <w:t> </w:t>
      </w:r>
      <w:r>
        <w:rPr/>
        <w:t>research</w:t>
      </w:r>
      <w:r>
        <w:rPr>
          <w:spacing w:val="-5"/>
        </w:rPr>
        <w:t> </w:t>
      </w:r>
      <w:r>
        <w:rPr/>
        <w:t>has</w:t>
      </w:r>
      <w:r>
        <w:rPr>
          <w:spacing w:val="-4"/>
        </w:rPr>
        <w:t> </w:t>
      </w:r>
      <w:r>
        <w:rPr/>
        <w:t>been</w:t>
      </w:r>
      <w:r>
        <w:rPr>
          <w:spacing w:val="-4"/>
        </w:rPr>
        <w:t> </w:t>
      </w:r>
      <w:r>
        <w:rPr/>
        <w:t>conducted</w:t>
      </w:r>
      <w:r>
        <w:rPr>
          <w:spacing w:val="-4"/>
        </w:rPr>
        <w:t> </w:t>
      </w:r>
      <w:r>
        <w:rPr/>
        <w:t>on</w:t>
      </w:r>
      <w:r>
        <w:rPr>
          <w:spacing w:val="-5"/>
        </w:rPr>
        <w:t> </w:t>
      </w:r>
      <w:r>
        <w:rPr/>
        <w:t>light-</w:t>
      </w:r>
      <w:r>
        <w:rPr>
          <w:spacing w:val="-58"/>
        </w:rPr>
        <w:t> </w:t>
      </w:r>
      <w:r>
        <w:rPr/>
        <w:t>frame timber construction and blast loads resulting in less information on wood response</w:t>
      </w:r>
      <w:r>
        <w:rPr>
          <w:spacing w:val="1"/>
        </w:rPr>
        <w:t> </w:t>
      </w:r>
      <w:r>
        <w:rPr/>
        <w:t>to high strain rate effects in terms of resistance and stiffness.</w:t>
      </w:r>
      <w:r>
        <w:rPr>
          <w:spacing w:val="1"/>
        </w:rPr>
        <w:t> </w:t>
      </w:r>
      <w:r>
        <w:rPr/>
        <w:t>Generally, the damage to</w:t>
      </w:r>
      <w:r>
        <w:rPr>
          <w:spacing w:val="1"/>
        </w:rPr>
        <w:t> </w:t>
      </w:r>
      <w:r>
        <w:rPr/>
        <w:t>wood</w:t>
      </w:r>
      <w:r>
        <w:rPr>
          <w:spacing w:val="-11"/>
        </w:rPr>
        <w:t> </w:t>
      </w:r>
      <w:r>
        <w:rPr/>
        <w:t>exposed</w:t>
      </w:r>
      <w:r>
        <w:rPr>
          <w:spacing w:val="-11"/>
        </w:rPr>
        <w:t> </w:t>
      </w:r>
      <w:r>
        <w:rPr/>
        <w:t>to</w:t>
      </w:r>
      <w:r>
        <w:rPr>
          <w:spacing w:val="-11"/>
        </w:rPr>
        <w:t> </w:t>
      </w:r>
      <w:r>
        <w:rPr/>
        <w:t>a</w:t>
      </w:r>
      <w:r>
        <w:rPr>
          <w:spacing w:val="-11"/>
        </w:rPr>
        <w:t> </w:t>
      </w:r>
      <w:r>
        <w:rPr/>
        <w:t>blast</w:t>
      </w:r>
      <w:r>
        <w:rPr>
          <w:spacing w:val="-12"/>
        </w:rPr>
        <w:t> </w:t>
      </w:r>
      <w:r>
        <w:rPr/>
        <w:t>is</w:t>
      </w:r>
      <w:r>
        <w:rPr>
          <w:spacing w:val="-11"/>
        </w:rPr>
        <w:t> </w:t>
      </w:r>
      <w:r>
        <w:rPr/>
        <w:t>catastrophic</w:t>
      </w:r>
      <w:r>
        <w:rPr>
          <w:spacing w:val="-11"/>
        </w:rPr>
        <w:t> </w:t>
      </w:r>
      <w:r>
        <w:rPr/>
        <w:t>and</w:t>
      </w:r>
      <w:r>
        <w:rPr>
          <w:spacing w:val="-11"/>
        </w:rPr>
        <w:t> </w:t>
      </w:r>
      <w:r>
        <w:rPr/>
        <w:t>wood</w:t>
      </w:r>
      <w:r>
        <w:rPr>
          <w:spacing w:val="-12"/>
        </w:rPr>
        <w:t> </w:t>
      </w:r>
      <w:r>
        <w:rPr/>
        <w:t>has</w:t>
      </w:r>
      <w:r>
        <w:rPr>
          <w:spacing w:val="-11"/>
        </w:rPr>
        <w:t> </w:t>
      </w:r>
      <w:r>
        <w:rPr/>
        <w:t>not</w:t>
      </w:r>
      <w:r>
        <w:rPr>
          <w:spacing w:val="-11"/>
        </w:rPr>
        <w:t> </w:t>
      </w:r>
      <w:r>
        <w:rPr/>
        <w:t>been</w:t>
      </w:r>
      <w:r>
        <w:rPr>
          <w:spacing w:val="-12"/>
        </w:rPr>
        <w:t> </w:t>
      </w:r>
      <w:r>
        <w:rPr/>
        <w:t>seen</w:t>
      </w:r>
      <w:r>
        <w:rPr>
          <w:spacing w:val="-11"/>
        </w:rPr>
        <w:t> </w:t>
      </w:r>
      <w:r>
        <w:rPr/>
        <w:t>as</w:t>
      </w:r>
      <w:r>
        <w:rPr>
          <w:spacing w:val="-11"/>
        </w:rPr>
        <w:t> </w:t>
      </w:r>
      <w:r>
        <w:rPr/>
        <w:t>a</w:t>
      </w:r>
      <w:r>
        <w:rPr>
          <w:spacing w:val="-11"/>
        </w:rPr>
        <w:t> </w:t>
      </w:r>
      <w:r>
        <w:rPr/>
        <w:t>preferable</w:t>
      </w:r>
      <w:r>
        <w:rPr>
          <w:spacing w:val="-11"/>
        </w:rPr>
        <w:t> </w:t>
      </w:r>
      <w:r>
        <w:rPr/>
        <w:t>material</w:t>
      </w:r>
      <w:r>
        <w:rPr>
          <w:spacing w:val="-58"/>
        </w:rPr>
        <w:t> </w:t>
      </w:r>
      <w:r>
        <w:rPr/>
        <w:t>for</w:t>
      </w:r>
      <w:r>
        <w:rPr>
          <w:spacing w:val="-1"/>
        </w:rPr>
        <w:t> </w:t>
      </w:r>
      <w:r>
        <w:rPr/>
        <w:t>protective design.</w:t>
      </w:r>
    </w:p>
    <w:p>
      <w:pPr>
        <w:pStyle w:val="ListParagraph"/>
        <w:numPr>
          <w:ilvl w:val="2"/>
          <w:numId w:val="27"/>
        </w:numPr>
        <w:tabs>
          <w:tab w:pos="980" w:val="left" w:leader="none"/>
        </w:tabs>
        <w:spacing w:line="240" w:lineRule="auto" w:before="161" w:after="0"/>
        <w:ind w:left="980" w:right="0" w:hanging="541"/>
        <w:jc w:val="both"/>
        <w:rPr>
          <w:i/>
          <w:sz w:val="24"/>
        </w:rPr>
      </w:pPr>
      <w:bookmarkStart w:name="8.2.1 Load duration factor" w:id="527"/>
      <w:bookmarkEnd w:id="527"/>
      <w:r>
        <w:rPr/>
      </w:r>
      <w:bookmarkStart w:name="8.2.1 Load duration factor" w:id="528"/>
      <w:bookmarkEnd w:id="528"/>
      <w:r>
        <w:rPr>
          <w:i/>
          <w:sz w:val="24"/>
        </w:rPr>
        <w:t>L</w:t>
      </w:r>
      <w:r>
        <w:rPr>
          <w:i/>
          <w:sz w:val="24"/>
        </w:rPr>
        <w:t>oad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duration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factor</w:t>
      </w:r>
    </w:p>
    <w:p>
      <w:pPr>
        <w:pStyle w:val="BodyText"/>
        <w:spacing w:before="7"/>
        <w:rPr>
          <w:i/>
          <w:sz w:val="22"/>
        </w:rPr>
      </w:pPr>
    </w:p>
    <w:p>
      <w:pPr>
        <w:pStyle w:val="BodyText"/>
        <w:spacing w:line="480" w:lineRule="auto"/>
        <w:ind w:left="439" w:right="416" w:firstLine="720"/>
        <w:jc w:val="both"/>
      </w:pPr>
      <w:r>
        <w:rPr/>
        <w:t>Wood is known for greater load capacity for short durations of loading. According</w:t>
      </w:r>
      <w:r>
        <w:rPr>
          <w:spacing w:val="-58"/>
        </w:rPr>
        <w:t> </w:t>
      </w:r>
      <w:r>
        <w:rPr/>
        <w:t>to the </w:t>
      </w:r>
      <w:r>
        <w:rPr>
          <w:i/>
        </w:rPr>
        <w:t>National Design Specification for Wood Construction (NDS) </w:t>
      </w:r>
      <w:r>
        <w:rPr/>
        <w:t>in allowable stress</w:t>
      </w:r>
      <w:r>
        <w:rPr>
          <w:spacing w:val="1"/>
        </w:rPr>
        <w:t> </w:t>
      </w:r>
      <w:r>
        <w:rPr>
          <w:position w:val="1"/>
        </w:rPr>
        <w:t>design (ASD), load durations factors, </w:t>
      </w:r>
      <w:r>
        <w:rPr>
          <w:i/>
          <w:position w:val="1"/>
        </w:rPr>
        <w:t>C</w:t>
      </w:r>
      <w:r>
        <w:rPr>
          <w:i/>
          <w:sz w:val="16"/>
        </w:rPr>
        <w:t>D</w:t>
      </w:r>
      <w:r>
        <w:rPr>
          <w:position w:val="1"/>
        </w:rPr>
        <w:t>, can be used to adjust reference design values,</w:t>
      </w:r>
      <w:r>
        <w:rPr>
          <w:spacing w:val="1"/>
          <w:position w:val="1"/>
        </w:rPr>
        <w:t> </w:t>
      </w:r>
      <w:r>
        <w:rPr/>
        <w:t>which apply to normal load durations, when the duration of the full maximum load is less</w:t>
      </w:r>
      <w:r>
        <w:rPr>
          <w:spacing w:val="-57"/>
        </w:rPr>
        <w:t> </w:t>
      </w:r>
      <w:r>
        <w:rPr/>
        <w:t>than the normal load duration.</w:t>
      </w:r>
      <w:r>
        <w:rPr>
          <w:spacing w:val="1"/>
        </w:rPr>
        <w:t> </w:t>
      </w:r>
      <w:r>
        <w:rPr/>
        <w:t>With wood, normal load duration typically refers to a full</w:t>
      </w:r>
      <w:r>
        <w:rPr>
          <w:spacing w:val="1"/>
        </w:rPr>
        <w:t> </w:t>
      </w:r>
      <w:r>
        <w:rPr/>
        <w:t>design load for a cumulative duration of ten years.</w:t>
      </w:r>
      <w:r>
        <w:rPr>
          <w:spacing w:val="1"/>
        </w:rPr>
        <w:t> </w:t>
      </w:r>
      <w:r>
        <w:rPr/>
        <w:t>The U.S. design standard also states</w:t>
      </w:r>
      <w:r>
        <w:rPr>
          <w:spacing w:val="1"/>
        </w:rPr>
        <w:t> </w:t>
      </w:r>
      <w:r>
        <w:rPr>
          <w:position w:val="1"/>
        </w:rPr>
        <w:t>that</w:t>
      </w:r>
      <w:r>
        <w:rPr>
          <w:spacing w:val="-6"/>
          <w:position w:val="1"/>
        </w:rPr>
        <w:t> </w:t>
      </w:r>
      <w:r>
        <w:rPr>
          <w:position w:val="1"/>
        </w:rPr>
        <w:t>the</w:t>
      </w:r>
      <w:r>
        <w:rPr>
          <w:spacing w:val="-5"/>
          <w:position w:val="1"/>
        </w:rPr>
        <w:t> </w:t>
      </w:r>
      <w:r>
        <w:rPr>
          <w:position w:val="1"/>
        </w:rPr>
        <w:t>modulus</w:t>
      </w:r>
      <w:r>
        <w:rPr>
          <w:spacing w:val="-5"/>
          <w:position w:val="1"/>
        </w:rPr>
        <w:t> </w:t>
      </w:r>
      <w:r>
        <w:rPr>
          <w:position w:val="1"/>
        </w:rPr>
        <w:t>of</w:t>
      </w:r>
      <w:r>
        <w:rPr>
          <w:spacing w:val="-6"/>
          <w:position w:val="1"/>
        </w:rPr>
        <w:t> </w:t>
      </w:r>
      <w:r>
        <w:rPr>
          <w:position w:val="1"/>
        </w:rPr>
        <w:t>elasticity,</w:t>
      </w:r>
      <w:r>
        <w:rPr>
          <w:spacing w:val="-5"/>
          <w:position w:val="1"/>
        </w:rPr>
        <w:t> </w:t>
      </w:r>
      <w:r>
        <w:rPr>
          <w:i/>
          <w:position w:val="1"/>
        </w:rPr>
        <w:t>E</w:t>
      </w:r>
      <w:r>
        <w:rPr>
          <w:position w:val="1"/>
        </w:rPr>
        <w:t>,</w:t>
      </w:r>
      <w:r>
        <w:rPr>
          <w:spacing w:val="-5"/>
          <w:position w:val="1"/>
        </w:rPr>
        <w:t> </w:t>
      </w:r>
      <w:r>
        <w:rPr>
          <w:position w:val="1"/>
        </w:rPr>
        <w:t>modulus</w:t>
      </w:r>
      <w:r>
        <w:rPr>
          <w:spacing w:val="-5"/>
          <w:position w:val="1"/>
        </w:rPr>
        <w:t> </w:t>
      </w:r>
      <w:r>
        <w:rPr>
          <w:position w:val="1"/>
        </w:rPr>
        <w:t>of</w:t>
      </w:r>
      <w:r>
        <w:rPr>
          <w:spacing w:val="-6"/>
          <w:position w:val="1"/>
        </w:rPr>
        <w:t> </w:t>
      </w:r>
      <w:r>
        <w:rPr>
          <w:position w:val="1"/>
        </w:rPr>
        <w:t>elasticity</w:t>
      </w:r>
      <w:r>
        <w:rPr>
          <w:spacing w:val="-4"/>
          <w:position w:val="1"/>
        </w:rPr>
        <w:t> </w:t>
      </w:r>
      <w:r>
        <w:rPr>
          <w:position w:val="1"/>
        </w:rPr>
        <w:t>for</w:t>
      </w:r>
      <w:r>
        <w:rPr>
          <w:spacing w:val="-5"/>
          <w:position w:val="1"/>
        </w:rPr>
        <w:t> </w:t>
      </w:r>
      <w:r>
        <w:rPr>
          <w:position w:val="1"/>
        </w:rPr>
        <w:t>beam</w:t>
      </w:r>
      <w:r>
        <w:rPr>
          <w:spacing w:val="-7"/>
          <w:position w:val="1"/>
        </w:rPr>
        <w:t> </w:t>
      </w:r>
      <w:r>
        <w:rPr>
          <w:position w:val="1"/>
        </w:rPr>
        <w:t>and</w:t>
      </w:r>
      <w:r>
        <w:rPr>
          <w:spacing w:val="-5"/>
          <w:position w:val="1"/>
        </w:rPr>
        <w:t> </w:t>
      </w:r>
      <w:r>
        <w:rPr>
          <w:position w:val="1"/>
        </w:rPr>
        <w:t>column</w:t>
      </w:r>
      <w:r>
        <w:rPr>
          <w:spacing w:val="-5"/>
          <w:position w:val="1"/>
        </w:rPr>
        <w:t> </w:t>
      </w:r>
      <w:r>
        <w:rPr>
          <w:position w:val="1"/>
        </w:rPr>
        <w:t>stability,</w:t>
      </w:r>
      <w:r>
        <w:rPr>
          <w:spacing w:val="-6"/>
          <w:position w:val="1"/>
        </w:rPr>
        <w:t> </w:t>
      </w:r>
      <w:r>
        <w:rPr>
          <w:i/>
          <w:position w:val="1"/>
        </w:rPr>
        <w:t>E</w:t>
      </w:r>
      <w:r>
        <w:rPr>
          <w:i/>
          <w:sz w:val="16"/>
        </w:rPr>
        <w:t>min</w:t>
      </w:r>
      <w:r>
        <w:rPr>
          <w:i/>
          <w:position w:val="1"/>
        </w:rPr>
        <w:t>,</w:t>
      </w:r>
      <w:r>
        <w:rPr>
          <w:i/>
          <w:spacing w:val="-57"/>
          <w:position w:val="1"/>
        </w:rPr>
        <w:t> </w:t>
      </w:r>
      <w:r>
        <w:rPr>
          <w:position w:val="1"/>
        </w:rPr>
        <w:t>and compression perpendicular to grain, </w:t>
      </w:r>
      <w:r>
        <w:rPr>
          <w:i/>
          <w:position w:val="1"/>
        </w:rPr>
        <w:t>F</w:t>
      </w:r>
      <w:r>
        <w:rPr>
          <w:i/>
          <w:sz w:val="16"/>
        </w:rPr>
        <w:t>c┴, </w:t>
      </w:r>
      <w:r>
        <w:rPr>
          <w:position w:val="1"/>
        </w:rPr>
        <w:t>should not be factored however.</w:t>
      </w:r>
      <w:r>
        <w:rPr>
          <w:spacing w:val="1"/>
          <w:position w:val="1"/>
        </w:rPr>
        <w:t> </w:t>
      </w:r>
      <w:r>
        <w:rPr>
          <w:position w:val="1"/>
        </w:rPr>
        <w:t>The load</w:t>
      </w:r>
      <w:r>
        <w:rPr>
          <w:spacing w:val="1"/>
          <w:position w:val="1"/>
        </w:rPr>
        <w:t> </w:t>
      </w:r>
      <w:r>
        <w:rPr/>
        <w:t>duration factor provided for impact loading is 2.0.</w:t>
      </w:r>
      <w:r>
        <w:rPr>
          <w:spacing w:val="1"/>
        </w:rPr>
        <w:t> </w:t>
      </w:r>
      <w:r>
        <w:rPr/>
        <w:t>In LRFD design, the time effect factor</w:t>
      </w:r>
      <w:r>
        <w:rPr>
          <w:spacing w:val="-57"/>
        </w:rPr>
        <w:t> </w:t>
      </w:r>
      <w:r>
        <w:rPr/>
        <w:t>for</w:t>
      </w:r>
      <w:r>
        <w:rPr>
          <w:spacing w:val="-1"/>
        </w:rPr>
        <w:t> </w:t>
      </w:r>
      <w:r>
        <w:rPr/>
        <w:t>impact is given as 1.25 [19].</w:t>
      </w:r>
    </w:p>
    <w:p>
      <w:pPr>
        <w:pStyle w:val="ListParagraph"/>
        <w:numPr>
          <w:ilvl w:val="2"/>
          <w:numId w:val="27"/>
        </w:numPr>
        <w:tabs>
          <w:tab w:pos="980" w:val="left" w:leader="none"/>
        </w:tabs>
        <w:spacing w:line="240" w:lineRule="auto" w:before="161" w:after="0"/>
        <w:ind w:left="980" w:right="0" w:hanging="540"/>
        <w:jc w:val="both"/>
        <w:rPr>
          <w:i/>
          <w:sz w:val="24"/>
        </w:rPr>
      </w:pPr>
      <w:bookmarkStart w:name="8.2.2 Shock tube testing" w:id="529"/>
      <w:bookmarkEnd w:id="529"/>
      <w:r>
        <w:rPr/>
      </w:r>
      <w:bookmarkStart w:name="8.2.2 Shock tube testing" w:id="530"/>
      <w:bookmarkEnd w:id="530"/>
      <w:r>
        <w:rPr>
          <w:i/>
          <w:sz w:val="24"/>
        </w:rPr>
        <w:t>Shock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tube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testing</w:t>
      </w:r>
    </w:p>
    <w:p>
      <w:pPr>
        <w:pStyle w:val="BodyText"/>
        <w:spacing w:before="8"/>
        <w:rPr>
          <w:i/>
          <w:sz w:val="22"/>
        </w:rPr>
      </w:pPr>
    </w:p>
    <w:p>
      <w:pPr>
        <w:pStyle w:val="BodyText"/>
        <w:spacing w:line="480" w:lineRule="auto"/>
        <w:ind w:left="439" w:right="417" w:firstLine="720"/>
        <w:jc w:val="both"/>
      </w:pPr>
      <w:r>
        <w:rPr/>
        <w:t>Lacroix and Doudak used shock tube testing to examine the response of two</w:t>
      </w:r>
      <w:r>
        <w:rPr>
          <w:spacing w:val="1"/>
        </w:rPr>
        <w:t> </w:t>
      </w:r>
      <w:r>
        <w:rPr/>
        <w:t>different</w:t>
      </w:r>
      <w:r>
        <w:rPr>
          <w:spacing w:val="-4"/>
        </w:rPr>
        <w:t> </w:t>
      </w:r>
      <w:r>
        <w:rPr/>
        <w:t>light-frame</w:t>
      </w:r>
      <w:r>
        <w:rPr>
          <w:spacing w:val="-5"/>
        </w:rPr>
        <w:t> </w:t>
      </w:r>
      <w:r>
        <w:rPr/>
        <w:t>wood</w:t>
      </w:r>
      <w:r>
        <w:rPr>
          <w:spacing w:val="-5"/>
        </w:rPr>
        <w:t> </w:t>
      </w:r>
      <w:r>
        <w:rPr/>
        <w:t>construction</w:t>
      </w:r>
      <w:r>
        <w:rPr>
          <w:spacing w:val="-4"/>
        </w:rPr>
        <w:t> </w:t>
      </w:r>
      <w:r>
        <w:rPr/>
        <w:t>types,</w:t>
      </w:r>
      <w:r>
        <w:rPr>
          <w:spacing w:val="-5"/>
        </w:rPr>
        <w:t> </w:t>
      </w:r>
      <w:r>
        <w:rPr/>
        <w:t>0.4375-inch</w:t>
      </w:r>
      <w:r>
        <w:rPr>
          <w:spacing w:val="-5"/>
        </w:rPr>
        <w:t> </w:t>
      </w:r>
      <w:r>
        <w:rPr/>
        <w:t>(11-mm)</w:t>
      </w:r>
      <w:r>
        <w:rPr>
          <w:spacing w:val="-2"/>
        </w:rPr>
        <w:t> </w:t>
      </w:r>
      <w:r>
        <w:rPr/>
        <w:t>oriented</w:t>
      </w:r>
      <w:r>
        <w:rPr>
          <w:spacing w:val="-5"/>
        </w:rPr>
        <w:t> </w:t>
      </w:r>
      <w:r>
        <w:rPr/>
        <w:t>strand</w:t>
      </w:r>
      <w:r>
        <w:rPr>
          <w:spacing w:val="-5"/>
        </w:rPr>
        <w:t> </w:t>
      </w:r>
      <w:r>
        <w:rPr/>
        <w:t>board</w:t>
      </w:r>
      <w:r>
        <w:rPr>
          <w:spacing w:val="-57"/>
        </w:rPr>
        <w:t> </w:t>
      </w:r>
      <w:r>
        <w:rPr/>
        <w:t>(OSB) and 0.75-inch (18.5-mm) plywood sheathed 2x6 studs, under a simulated blast</w:t>
      </w:r>
      <w:r>
        <w:rPr>
          <w:spacing w:val="1"/>
        </w:rPr>
        <w:t> </w:t>
      </w:r>
      <w:r>
        <w:rPr/>
        <w:t>loads.</w:t>
      </w:r>
      <w:r>
        <w:rPr>
          <w:spacing w:val="2"/>
        </w:rPr>
        <w:t> </w:t>
      </w:r>
      <w:r>
        <w:rPr/>
        <w:t>A</w:t>
      </w:r>
      <w:r>
        <w:rPr>
          <w:spacing w:val="28"/>
        </w:rPr>
        <w:t> </w:t>
      </w:r>
      <w:r>
        <w:rPr/>
        <w:t>strong</w:t>
      </w:r>
      <w:r>
        <w:rPr>
          <w:spacing w:val="31"/>
        </w:rPr>
        <w:t> </w:t>
      </w:r>
      <w:r>
        <w:rPr/>
        <w:t>correlation</w:t>
      </w:r>
      <w:r>
        <w:rPr>
          <w:spacing w:val="31"/>
        </w:rPr>
        <w:t> </w:t>
      </w:r>
      <w:r>
        <w:rPr/>
        <w:t>between</w:t>
      </w:r>
      <w:r>
        <w:rPr>
          <w:spacing w:val="31"/>
        </w:rPr>
        <w:t> </w:t>
      </w:r>
      <w:r>
        <w:rPr/>
        <w:t>increase</w:t>
      </w:r>
      <w:r>
        <w:rPr>
          <w:spacing w:val="29"/>
        </w:rPr>
        <w:t> </w:t>
      </w:r>
      <w:r>
        <w:rPr/>
        <w:t>in</w:t>
      </w:r>
      <w:r>
        <w:rPr>
          <w:spacing w:val="31"/>
        </w:rPr>
        <w:t> </w:t>
      </w:r>
      <w:r>
        <w:rPr/>
        <w:t>strain</w:t>
      </w:r>
      <w:r>
        <w:rPr>
          <w:spacing w:val="30"/>
        </w:rPr>
        <w:t> </w:t>
      </w:r>
      <w:r>
        <w:rPr/>
        <w:t>rate</w:t>
      </w:r>
      <w:r>
        <w:rPr>
          <w:spacing w:val="30"/>
        </w:rPr>
        <w:t> </w:t>
      </w:r>
      <w:r>
        <w:rPr/>
        <w:t>and</w:t>
      </w:r>
      <w:r>
        <w:rPr>
          <w:spacing w:val="30"/>
        </w:rPr>
        <w:t> </w:t>
      </w:r>
      <w:r>
        <w:rPr/>
        <w:t>increased</w:t>
      </w:r>
      <w:r>
        <w:rPr>
          <w:spacing w:val="31"/>
        </w:rPr>
        <w:t> </w:t>
      </w:r>
      <w:r>
        <w:rPr/>
        <w:t>strength</w:t>
      </w:r>
      <w:r>
        <w:rPr>
          <w:spacing w:val="29"/>
        </w:rPr>
        <w:t> </w:t>
      </w:r>
      <w:r>
        <w:rPr/>
        <w:t>was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40" w:right="419"/>
        <w:jc w:val="both"/>
      </w:pPr>
      <w:r>
        <w:rPr/>
        <w:t>observed.</w:t>
      </w:r>
      <w:r>
        <w:rPr>
          <w:spacing w:val="-3"/>
        </w:rPr>
        <w:t> </w:t>
      </w:r>
      <w:r>
        <w:rPr/>
        <w:t>This</w:t>
      </w:r>
      <w:r>
        <w:rPr>
          <w:spacing w:val="-2"/>
        </w:rPr>
        <w:t> </w:t>
      </w:r>
      <w:r>
        <w:rPr/>
        <w:t>study</w:t>
      </w:r>
      <w:r>
        <w:rPr>
          <w:spacing w:val="-2"/>
        </w:rPr>
        <w:t> </w:t>
      </w:r>
      <w:r>
        <w:rPr/>
        <w:t>yielded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/>
        <w:t>proposed</w:t>
      </w:r>
      <w:r>
        <w:rPr>
          <w:spacing w:val="-2"/>
        </w:rPr>
        <w:t> </w:t>
      </w:r>
      <w:r>
        <w:rPr/>
        <w:t>DIF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1.4</w:t>
      </w:r>
      <w:r>
        <w:rPr>
          <w:spacing w:val="-2"/>
        </w:rPr>
        <w:t> </w:t>
      </w:r>
      <w:r>
        <w:rPr/>
        <w:t>over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strain</w:t>
      </w:r>
      <w:r>
        <w:rPr>
          <w:spacing w:val="-2"/>
        </w:rPr>
        <w:t> </w:t>
      </w:r>
      <w:r>
        <w:rPr/>
        <w:t>rate</w:t>
      </w:r>
      <w:r>
        <w:rPr>
          <w:spacing w:val="-2"/>
        </w:rPr>
        <w:t> </w:t>
      </w:r>
      <w:r>
        <w:rPr/>
        <w:t>range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1.67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1.65</w:t>
      </w:r>
      <w:r>
        <w:rPr>
          <w:spacing w:val="-57"/>
        </w:rPr>
        <w:t> </w:t>
      </w:r>
      <w:r>
        <w:rPr/>
        <w:t>x</w:t>
      </w:r>
      <w:r>
        <w:rPr>
          <w:spacing w:val="-1"/>
        </w:rPr>
        <w:t> </w:t>
      </w:r>
      <w:r>
        <w:rPr/>
        <w:t>10</w:t>
      </w:r>
      <w:r>
        <w:rPr>
          <w:vertAlign w:val="superscript"/>
        </w:rPr>
        <w:t>3</w:t>
      </w:r>
      <w:r>
        <w:rPr>
          <w:spacing w:val="-1"/>
          <w:vertAlign w:val="baseline"/>
        </w:rPr>
        <w:t> </w:t>
      </w:r>
      <w:r>
        <w:rPr>
          <w:vertAlign w:val="baseline"/>
        </w:rPr>
        <w:t>s</w:t>
      </w:r>
      <w:r>
        <w:rPr>
          <w:vertAlign w:val="superscript"/>
        </w:rPr>
        <w:t>-1</w:t>
      </w:r>
      <w:r>
        <w:rPr>
          <w:spacing w:val="-1"/>
          <w:vertAlign w:val="baseline"/>
        </w:rPr>
        <w:t> </w:t>
      </w:r>
      <w:r>
        <w:rPr>
          <w:vertAlign w:val="baseline"/>
        </w:rPr>
        <w:t>with</w:t>
      </w:r>
      <w:r>
        <w:rPr>
          <w:spacing w:val="-1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researcher’s</w:t>
      </w:r>
      <w:r>
        <w:rPr>
          <w:spacing w:val="-1"/>
          <w:vertAlign w:val="baseline"/>
        </w:rPr>
        <w:t> </w:t>
      </w:r>
      <w:r>
        <w:rPr>
          <w:vertAlign w:val="baseline"/>
        </w:rPr>
        <w:t>acknowledgement</w:t>
      </w:r>
      <w:r>
        <w:rPr>
          <w:spacing w:val="-1"/>
          <w:vertAlign w:val="baseline"/>
        </w:rPr>
        <w:t> </w:t>
      </w:r>
      <w:r>
        <w:rPr>
          <w:vertAlign w:val="baseline"/>
        </w:rPr>
        <w:t>that</w:t>
      </w:r>
      <w:r>
        <w:rPr>
          <w:spacing w:val="-1"/>
          <w:vertAlign w:val="baseline"/>
        </w:rPr>
        <w:t> </w:t>
      </w:r>
      <w:r>
        <w:rPr>
          <w:vertAlign w:val="baseline"/>
        </w:rPr>
        <w:t>more</w:t>
      </w:r>
      <w:r>
        <w:rPr>
          <w:spacing w:val="-1"/>
          <w:vertAlign w:val="baseline"/>
        </w:rPr>
        <w:t> </w:t>
      </w:r>
      <w:r>
        <w:rPr>
          <w:vertAlign w:val="baseline"/>
        </w:rPr>
        <w:t>testing</w:t>
      </w:r>
      <w:r>
        <w:rPr>
          <w:spacing w:val="-1"/>
          <w:vertAlign w:val="baseline"/>
        </w:rPr>
        <w:t> </w:t>
      </w:r>
      <w:r>
        <w:rPr>
          <w:vertAlign w:val="baseline"/>
        </w:rPr>
        <w:t>is</w:t>
      </w:r>
      <w:r>
        <w:rPr>
          <w:spacing w:val="-1"/>
          <w:vertAlign w:val="baseline"/>
        </w:rPr>
        <w:t> </w:t>
      </w:r>
      <w:r>
        <w:rPr>
          <w:vertAlign w:val="baseline"/>
        </w:rPr>
        <w:t>necessary</w:t>
      </w:r>
      <w:r>
        <w:rPr>
          <w:spacing w:val="-1"/>
          <w:vertAlign w:val="baseline"/>
        </w:rPr>
        <w:t> </w:t>
      </w:r>
      <w:r>
        <w:rPr>
          <w:vertAlign w:val="baseline"/>
        </w:rPr>
        <w:t>[74].</w:t>
      </w:r>
    </w:p>
    <w:p>
      <w:pPr>
        <w:pStyle w:val="BodyText"/>
        <w:spacing w:line="480" w:lineRule="auto" w:before="240"/>
        <w:ind w:left="439" w:right="417" w:firstLine="720"/>
        <w:jc w:val="both"/>
      </w:pPr>
      <w:r>
        <w:rPr/>
        <w:t>A</w:t>
      </w:r>
      <w:r>
        <w:rPr>
          <w:spacing w:val="-9"/>
        </w:rPr>
        <w:t> </w:t>
      </w:r>
      <w:r>
        <w:rPr/>
        <w:t>recent</w:t>
      </w:r>
      <w:r>
        <w:rPr>
          <w:spacing w:val="-8"/>
        </w:rPr>
        <w:t> </w:t>
      </w:r>
      <w:r>
        <w:rPr/>
        <w:t>study</w:t>
      </w:r>
      <w:r>
        <w:rPr>
          <w:spacing w:val="-9"/>
        </w:rPr>
        <w:t> </w:t>
      </w:r>
      <w:r>
        <w:rPr/>
        <w:t>published</w:t>
      </w:r>
      <w:r>
        <w:rPr>
          <w:spacing w:val="-9"/>
        </w:rPr>
        <w:t> </w:t>
      </w:r>
      <w:r>
        <w:rPr/>
        <w:t>by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same</w:t>
      </w:r>
      <w:r>
        <w:rPr>
          <w:spacing w:val="-6"/>
        </w:rPr>
        <w:t> </w:t>
      </w:r>
      <w:r>
        <w:rPr/>
        <w:t>research</w:t>
      </w:r>
      <w:r>
        <w:rPr>
          <w:spacing w:val="-9"/>
        </w:rPr>
        <w:t> </w:t>
      </w:r>
      <w:r>
        <w:rPr/>
        <w:t>team</w:t>
      </w:r>
      <w:r>
        <w:rPr>
          <w:spacing w:val="-9"/>
        </w:rPr>
        <w:t> </w:t>
      </w:r>
      <w:r>
        <w:rPr/>
        <w:t>in</w:t>
      </w:r>
      <w:r>
        <w:rPr>
          <w:spacing w:val="-8"/>
        </w:rPr>
        <w:t> </w:t>
      </w:r>
      <w:r>
        <w:rPr/>
        <w:t>February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2018,</w:t>
      </w:r>
      <w:r>
        <w:rPr>
          <w:spacing w:val="-8"/>
        </w:rPr>
        <w:t> </w:t>
      </w:r>
      <w:r>
        <w:rPr/>
        <w:t>examined</w:t>
      </w:r>
      <w:r>
        <w:rPr>
          <w:spacing w:val="-58"/>
        </w:rPr>
        <w:t> </w:t>
      </w:r>
      <w:r>
        <w:rPr/>
        <w:t>shock tube testing to simulate blast loads on CLT test specimens.</w:t>
      </w:r>
      <w:r>
        <w:rPr>
          <w:spacing w:val="1"/>
        </w:rPr>
        <w:t> </w:t>
      </w:r>
      <w:r>
        <w:rPr/>
        <w:t>Their work presented a</w:t>
      </w:r>
      <w:r>
        <w:rPr>
          <w:spacing w:val="-57"/>
        </w:rPr>
        <w:t> </w:t>
      </w:r>
      <w:r>
        <w:rPr/>
        <w:t>dynamic</w:t>
      </w:r>
      <w:r>
        <w:rPr>
          <w:spacing w:val="-7"/>
        </w:rPr>
        <w:t> </w:t>
      </w:r>
      <w:r>
        <w:rPr/>
        <w:t>increase</w:t>
      </w:r>
      <w:r>
        <w:rPr>
          <w:spacing w:val="-7"/>
        </w:rPr>
        <w:t> </w:t>
      </w:r>
      <w:r>
        <w:rPr/>
        <w:t>factor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1.28</w:t>
      </w:r>
      <w:r>
        <w:rPr>
          <w:spacing w:val="-6"/>
        </w:rPr>
        <w:t> </w:t>
      </w:r>
      <w:r>
        <w:rPr/>
        <w:t>for</w:t>
      </w:r>
      <w:r>
        <w:rPr>
          <w:spacing w:val="-7"/>
        </w:rPr>
        <w:t> </w:t>
      </w:r>
      <w:r>
        <w:rPr/>
        <w:t>3-ply</w:t>
      </w:r>
      <w:r>
        <w:rPr>
          <w:spacing w:val="-6"/>
        </w:rPr>
        <w:t> </w:t>
      </w:r>
      <w:r>
        <w:rPr/>
        <w:t>and</w:t>
      </w:r>
      <w:r>
        <w:rPr>
          <w:spacing w:val="-7"/>
        </w:rPr>
        <w:t> </w:t>
      </w:r>
      <w:r>
        <w:rPr/>
        <w:t>5-ply</w:t>
      </w:r>
      <w:r>
        <w:rPr>
          <w:spacing w:val="-7"/>
        </w:rPr>
        <w:t> </w:t>
      </w:r>
      <w:r>
        <w:rPr/>
        <w:t>CLT</w:t>
      </w:r>
      <w:r>
        <w:rPr>
          <w:spacing w:val="-8"/>
        </w:rPr>
        <w:t> </w:t>
      </w:r>
      <w:r>
        <w:rPr/>
        <w:t>panels</w:t>
      </w:r>
      <w:r>
        <w:rPr>
          <w:spacing w:val="-7"/>
        </w:rPr>
        <w:t> </w:t>
      </w:r>
      <w:r>
        <w:rPr/>
        <w:t>for</w:t>
      </w:r>
      <w:r>
        <w:rPr>
          <w:spacing w:val="-7"/>
        </w:rPr>
        <w:t> </w:t>
      </w:r>
      <w:r>
        <w:rPr/>
        <w:t>blast</w:t>
      </w:r>
      <w:r>
        <w:rPr>
          <w:spacing w:val="-7"/>
        </w:rPr>
        <w:t> </w:t>
      </w:r>
      <w:r>
        <w:rPr/>
        <w:t>resistance.</w:t>
      </w:r>
      <w:r>
        <w:rPr>
          <w:spacing w:val="47"/>
        </w:rPr>
        <w:t> </w:t>
      </w:r>
      <w:r>
        <w:rPr/>
        <w:t>Based</w:t>
      </w:r>
      <w:r>
        <w:rPr>
          <w:spacing w:val="-58"/>
        </w:rPr>
        <w:t> </w:t>
      </w:r>
      <w:r>
        <w:rPr/>
        <w:t>on</w:t>
      </w:r>
      <w:r>
        <w:rPr>
          <w:spacing w:val="-8"/>
        </w:rPr>
        <w:t> </w:t>
      </w:r>
      <w:r>
        <w:rPr/>
        <w:t>their</w:t>
      </w:r>
      <w:r>
        <w:rPr>
          <w:spacing w:val="-8"/>
        </w:rPr>
        <w:t> </w:t>
      </w:r>
      <w:r>
        <w:rPr/>
        <w:t>set-up</w:t>
      </w:r>
      <w:r>
        <w:rPr>
          <w:spacing w:val="-8"/>
        </w:rPr>
        <w:t> </w:t>
      </w:r>
      <w:r>
        <w:rPr/>
        <w:t>with</w:t>
      </w:r>
      <w:r>
        <w:rPr>
          <w:spacing w:val="-7"/>
        </w:rPr>
        <w:t> </w:t>
      </w:r>
      <w:r>
        <w:rPr/>
        <w:t>simply</w:t>
      </w:r>
      <w:r>
        <w:rPr>
          <w:spacing w:val="-7"/>
        </w:rPr>
        <w:t> </w:t>
      </w:r>
      <w:r>
        <w:rPr/>
        <w:t>supported</w:t>
      </w:r>
      <w:r>
        <w:rPr>
          <w:spacing w:val="-8"/>
        </w:rPr>
        <w:t> </w:t>
      </w:r>
      <w:r>
        <w:rPr/>
        <w:t>end</w:t>
      </w:r>
      <w:r>
        <w:rPr>
          <w:spacing w:val="-7"/>
        </w:rPr>
        <w:t> </w:t>
      </w:r>
      <w:r>
        <w:rPr/>
        <w:t>conditions,</w:t>
      </w:r>
      <w:r>
        <w:rPr>
          <w:spacing w:val="-8"/>
        </w:rPr>
        <w:t> </w:t>
      </w:r>
      <w:r>
        <w:rPr/>
        <w:t>free</w:t>
      </w:r>
      <w:r>
        <w:rPr>
          <w:spacing w:val="-8"/>
        </w:rPr>
        <w:t> </w:t>
      </w:r>
      <w:r>
        <w:rPr/>
        <w:t>vertical</w:t>
      </w:r>
      <w:r>
        <w:rPr>
          <w:spacing w:val="-8"/>
        </w:rPr>
        <w:t> </w:t>
      </w:r>
      <w:r>
        <w:rPr/>
        <w:t>edges,</w:t>
      </w:r>
      <w:r>
        <w:rPr>
          <w:spacing w:val="-11"/>
        </w:rPr>
        <w:t> </w:t>
      </w:r>
      <w:r>
        <w:rPr/>
        <w:t>one-way</w:t>
      </w:r>
      <w:r>
        <w:rPr>
          <w:spacing w:val="-7"/>
        </w:rPr>
        <w:t> </w:t>
      </w:r>
      <w:r>
        <w:rPr/>
        <w:t>bending</w:t>
      </w:r>
      <w:r>
        <w:rPr>
          <w:spacing w:val="-58"/>
        </w:rPr>
        <w:t> </w:t>
      </w:r>
      <w:r>
        <w:rPr/>
        <w:t>and both static and dynamic testing, they found no increase in stiffness.</w:t>
      </w:r>
      <w:r>
        <w:rPr>
          <w:spacing w:val="1"/>
        </w:rPr>
        <w:t> </w:t>
      </w:r>
      <w:r>
        <w:rPr/>
        <w:t>The simulated</w:t>
      </w:r>
      <w:r>
        <w:rPr>
          <w:spacing w:val="1"/>
        </w:rPr>
        <w:t> </w:t>
      </w:r>
      <w:r>
        <w:rPr/>
        <w:t>blast load was designed to replicate far-field conditions with a uniform loading and</w:t>
      </w:r>
      <w:r>
        <w:rPr>
          <w:spacing w:val="1"/>
        </w:rPr>
        <w:t> </w:t>
      </w:r>
      <w:r>
        <w:rPr/>
        <w:t>minimal local damage.</w:t>
      </w:r>
      <w:r>
        <w:rPr>
          <w:spacing w:val="1"/>
        </w:rPr>
        <w:t> </w:t>
      </w:r>
      <w:r>
        <w:rPr/>
        <w:t>Previously, the group had examined differences in failure modes</w:t>
      </w:r>
      <w:r>
        <w:rPr>
          <w:spacing w:val="1"/>
        </w:rPr>
        <w:t> </w:t>
      </w:r>
      <w:r>
        <w:rPr/>
        <w:t>between static and dynamic loading.</w:t>
      </w:r>
      <w:r>
        <w:rPr>
          <w:spacing w:val="1"/>
        </w:rPr>
        <w:t> </w:t>
      </w:r>
      <w:r>
        <w:rPr/>
        <w:t>Other research on high strain rates on wood, in the</w:t>
      </w:r>
      <w:r>
        <w:rPr>
          <w:spacing w:val="1"/>
        </w:rPr>
        <w:t> </w:t>
      </w:r>
      <w:r>
        <w:rPr/>
        <w:t>realm of impact loading, indicated that an increased flexural strength could be expected</w:t>
      </w:r>
      <w:r>
        <w:rPr>
          <w:spacing w:val="1"/>
        </w:rPr>
        <w:t> </w:t>
      </w:r>
      <w:r>
        <w:rPr/>
        <w:t>[89].</w:t>
      </w:r>
    </w:p>
    <w:p>
      <w:pPr>
        <w:pStyle w:val="BodyText"/>
        <w:spacing w:line="480" w:lineRule="auto" w:before="160"/>
        <w:ind w:left="439" w:right="418" w:firstLine="720"/>
        <w:jc w:val="both"/>
      </w:pPr>
      <w:r>
        <w:rPr/>
        <w:t>The shock tube testing observed failure through rolling shear in some but not all</w:t>
      </w:r>
      <w:r>
        <w:rPr>
          <w:spacing w:val="1"/>
        </w:rPr>
        <w:t> </w:t>
      </w:r>
      <w:r>
        <w:rPr/>
        <w:t>test specimens under the same loading and end conditions.</w:t>
      </w:r>
      <w:r>
        <w:rPr>
          <w:spacing w:val="1"/>
        </w:rPr>
        <w:t> </w:t>
      </w:r>
      <w:r>
        <w:rPr/>
        <w:t>The researchers hypothesized</w:t>
      </w:r>
      <w:r>
        <w:rPr>
          <w:spacing w:val="1"/>
        </w:rPr>
        <w:t> </w:t>
      </w:r>
      <w:r>
        <w:rPr/>
        <w:t>that the increased strength experienced in the high strain loading effectively delayed a</w:t>
      </w:r>
      <w:r>
        <w:rPr>
          <w:spacing w:val="1"/>
        </w:rPr>
        <w:t> </w:t>
      </w:r>
      <w:r>
        <w:rPr/>
        <w:t>flexural</w:t>
      </w:r>
      <w:r>
        <w:rPr>
          <w:spacing w:val="-2"/>
        </w:rPr>
        <w:t> </w:t>
      </w:r>
      <w:r>
        <w:rPr/>
        <w:t>mode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failure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allowed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rolling</w:t>
      </w:r>
      <w:r>
        <w:rPr>
          <w:spacing w:val="-1"/>
        </w:rPr>
        <w:t> </w:t>
      </w:r>
      <w:r>
        <w:rPr/>
        <w:t>shear</w:t>
      </w:r>
      <w:r>
        <w:rPr>
          <w:spacing w:val="-2"/>
        </w:rPr>
        <w:t> </w:t>
      </w:r>
      <w:r>
        <w:rPr/>
        <w:t>failure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occur</w:t>
      </w:r>
      <w:r>
        <w:rPr>
          <w:spacing w:val="-1"/>
        </w:rPr>
        <w:t> </w:t>
      </w:r>
      <w:r>
        <w:rPr/>
        <w:t>[89].</w:t>
      </w:r>
      <w:r>
        <w:rPr>
          <w:spacing w:val="58"/>
        </w:rPr>
        <w:t> </w:t>
      </w:r>
      <w:r>
        <w:rPr/>
        <w:t>However,</w:t>
      </w:r>
      <w:r>
        <w:rPr>
          <w:spacing w:val="-3"/>
        </w:rPr>
        <w:t> </w:t>
      </w:r>
      <w:r>
        <w:rPr/>
        <w:t>this</w:t>
      </w:r>
      <w:r>
        <w:rPr>
          <w:spacing w:val="-58"/>
        </w:rPr>
        <w:t> </w:t>
      </w:r>
      <w:r>
        <w:rPr/>
        <w:t>does</w:t>
      </w:r>
      <w:r>
        <w:rPr>
          <w:spacing w:val="-6"/>
        </w:rPr>
        <w:t> </w:t>
      </w:r>
      <w:r>
        <w:rPr/>
        <w:t>not</w:t>
      </w:r>
      <w:r>
        <w:rPr>
          <w:spacing w:val="-6"/>
        </w:rPr>
        <w:t> </w:t>
      </w:r>
      <w:r>
        <w:rPr/>
        <w:t>explain</w:t>
      </w:r>
      <w:r>
        <w:rPr>
          <w:spacing w:val="-6"/>
        </w:rPr>
        <w:t> </w:t>
      </w:r>
      <w:r>
        <w:rPr/>
        <w:t>why</w:t>
      </w:r>
      <w:r>
        <w:rPr>
          <w:spacing w:val="-5"/>
        </w:rPr>
        <w:t> </w:t>
      </w:r>
      <w:r>
        <w:rPr/>
        <w:t>some</w:t>
      </w:r>
      <w:r>
        <w:rPr>
          <w:spacing w:val="-6"/>
        </w:rPr>
        <w:t> </w:t>
      </w:r>
      <w:r>
        <w:rPr/>
        <w:t>specimens</w:t>
      </w:r>
      <w:r>
        <w:rPr>
          <w:spacing w:val="-5"/>
        </w:rPr>
        <w:t> </w:t>
      </w:r>
      <w:r>
        <w:rPr/>
        <w:t>experienced</w:t>
      </w:r>
      <w:r>
        <w:rPr>
          <w:spacing w:val="-5"/>
        </w:rPr>
        <w:t> </w:t>
      </w:r>
      <w:r>
        <w:rPr/>
        <w:t>rolling</w:t>
      </w:r>
      <w:r>
        <w:rPr>
          <w:spacing w:val="-7"/>
        </w:rPr>
        <w:t> </w:t>
      </w:r>
      <w:r>
        <w:rPr/>
        <w:t>shear</w:t>
      </w:r>
      <w:r>
        <w:rPr>
          <w:spacing w:val="-5"/>
        </w:rPr>
        <w:t> </w:t>
      </w:r>
      <w:r>
        <w:rPr/>
        <w:t>failure</w:t>
      </w:r>
      <w:r>
        <w:rPr>
          <w:spacing w:val="-7"/>
        </w:rPr>
        <w:t> </w:t>
      </w:r>
      <w:r>
        <w:rPr/>
        <w:t>and</w:t>
      </w:r>
      <w:r>
        <w:rPr>
          <w:spacing w:val="-5"/>
        </w:rPr>
        <w:t> </w:t>
      </w:r>
      <w:r>
        <w:rPr/>
        <w:t>others</w:t>
      </w:r>
      <w:r>
        <w:rPr>
          <w:spacing w:val="-5"/>
        </w:rPr>
        <w:t> </w:t>
      </w:r>
      <w:r>
        <w:rPr/>
        <w:t>did</w:t>
      </w:r>
      <w:r>
        <w:rPr>
          <w:spacing w:val="-6"/>
        </w:rPr>
        <w:t> </w:t>
      </w:r>
      <w:r>
        <w:rPr/>
        <w:t>not.</w:t>
      </w:r>
    </w:p>
    <w:p>
      <w:pPr>
        <w:pStyle w:val="BodyText"/>
        <w:spacing w:line="480" w:lineRule="auto" w:before="160"/>
        <w:ind w:left="439" w:right="417" w:firstLine="720"/>
        <w:jc w:val="both"/>
      </w:pPr>
      <w:r>
        <w:rPr/>
        <w:t>A</w:t>
      </w:r>
      <w:r>
        <w:rPr>
          <w:spacing w:val="-15"/>
        </w:rPr>
        <w:t> </w:t>
      </w:r>
      <w:r>
        <w:rPr/>
        <w:t>drawback</w:t>
      </w:r>
      <w:r>
        <w:rPr>
          <w:spacing w:val="-13"/>
        </w:rPr>
        <w:t> </w:t>
      </w:r>
      <w:r>
        <w:rPr/>
        <w:t>to</w:t>
      </w:r>
      <w:r>
        <w:rPr>
          <w:spacing w:val="-15"/>
        </w:rPr>
        <w:t> </w:t>
      </w:r>
      <w:r>
        <w:rPr/>
        <w:t>the</w:t>
      </w:r>
      <w:r>
        <w:rPr>
          <w:spacing w:val="-14"/>
        </w:rPr>
        <w:t> </w:t>
      </w:r>
      <w:r>
        <w:rPr/>
        <w:t>shock</w:t>
      </w:r>
      <w:r>
        <w:rPr>
          <w:spacing w:val="-14"/>
        </w:rPr>
        <w:t> </w:t>
      </w:r>
      <w:r>
        <w:rPr/>
        <w:t>tube</w:t>
      </w:r>
      <w:r>
        <w:rPr>
          <w:spacing w:val="-14"/>
        </w:rPr>
        <w:t> </w:t>
      </w:r>
      <w:r>
        <w:rPr/>
        <w:t>testing</w:t>
      </w:r>
      <w:r>
        <w:rPr>
          <w:spacing w:val="-15"/>
        </w:rPr>
        <w:t> </w:t>
      </w:r>
      <w:r>
        <w:rPr/>
        <w:t>is</w:t>
      </w:r>
      <w:r>
        <w:rPr>
          <w:spacing w:val="-14"/>
        </w:rPr>
        <w:t> </w:t>
      </w:r>
      <w:r>
        <w:rPr/>
        <w:t>that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experimental</w:t>
      </w:r>
      <w:r>
        <w:rPr>
          <w:spacing w:val="-14"/>
        </w:rPr>
        <w:t> </w:t>
      </w:r>
      <w:r>
        <w:rPr/>
        <w:t>setup</w:t>
      </w:r>
      <w:r>
        <w:rPr>
          <w:spacing w:val="-15"/>
        </w:rPr>
        <w:t> </w:t>
      </w:r>
      <w:r>
        <w:rPr/>
        <w:t>induces</w:t>
      </w:r>
      <w:r>
        <w:rPr>
          <w:spacing w:val="-13"/>
        </w:rPr>
        <w:t> </w:t>
      </w:r>
      <w:r>
        <w:rPr/>
        <w:t>multiple</w:t>
      </w:r>
      <w:r>
        <w:rPr>
          <w:spacing w:val="-58"/>
        </w:rPr>
        <w:t> </w:t>
      </w:r>
      <w:r>
        <w:rPr/>
        <w:t>impulses</w:t>
      </w:r>
      <w:r>
        <w:rPr>
          <w:spacing w:val="-11"/>
        </w:rPr>
        <w:t> </w:t>
      </w:r>
      <w:r>
        <w:rPr/>
        <w:t>on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test</w:t>
      </w:r>
      <w:r>
        <w:rPr>
          <w:spacing w:val="-12"/>
        </w:rPr>
        <w:t> </w:t>
      </w:r>
      <w:r>
        <w:rPr/>
        <w:t>specimen</w:t>
      </w:r>
      <w:r>
        <w:rPr>
          <w:spacing w:val="-11"/>
        </w:rPr>
        <w:t> </w:t>
      </w:r>
      <w:r>
        <w:rPr/>
        <w:t>due</w:t>
      </w:r>
      <w:r>
        <w:rPr>
          <w:spacing w:val="-11"/>
        </w:rPr>
        <w:t> </w:t>
      </w:r>
      <w:r>
        <w:rPr/>
        <w:t>to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reflection</w:t>
      </w:r>
      <w:r>
        <w:rPr>
          <w:spacing w:val="-12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shock</w:t>
      </w:r>
      <w:r>
        <w:rPr>
          <w:spacing w:val="-12"/>
        </w:rPr>
        <w:t> </w:t>
      </w:r>
      <w:r>
        <w:rPr/>
        <w:t>waves</w:t>
      </w:r>
      <w:r>
        <w:rPr>
          <w:spacing w:val="-11"/>
        </w:rPr>
        <w:t> </w:t>
      </w:r>
      <w:r>
        <w:rPr/>
        <w:t>in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tube</w:t>
      </w:r>
      <w:r>
        <w:rPr>
          <w:spacing w:val="-12"/>
        </w:rPr>
        <w:t> </w:t>
      </w:r>
      <w:r>
        <w:rPr/>
        <w:t>apparatus</w:t>
      </w:r>
      <w:r>
        <w:rPr>
          <w:spacing w:val="-58"/>
        </w:rPr>
        <w:t> </w:t>
      </w:r>
      <w:r>
        <w:rPr/>
        <w:t>unless</w:t>
      </w:r>
      <w:r>
        <w:rPr>
          <w:spacing w:val="-9"/>
        </w:rPr>
        <w:t> </w:t>
      </w:r>
      <w:r>
        <w:rPr/>
        <w:t>the</w:t>
      </w:r>
      <w:r>
        <w:rPr>
          <w:spacing w:val="-7"/>
        </w:rPr>
        <w:t> </w:t>
      </w:r>
      <w:r>
        <w:rPr/>
        <w:t>pressurized</w:t>
      </w:r>
      <w:r>
        <w:rPr>
          <w:spacing w:val="-7"/>
        </w:rPr>
        <w:t> </w:t>
      </w:r>
      <w:r>
        <w:rPr/>
        <w:t>gas</w:t>
      </w:r>
      <w:r>
        <w:rPr>
          <w:spacing w:val="-7"/>
        </w:rPr>
        <w:t> </w:t>
      </w:r>
      <w:r>
        <w:rPr/>
        <w:t>is</w:t>
      </w:r>
      <w:r>
        <w:rPr>
          <w:spacing w:val="-8"/>
        </w:rPr>
        <w:t> </w:t>
      </w:r>
      <w:r>
        <w:rPr/>
        <w:t>allowed</w:t>
      </w:r>
      <w:r>
        <w:rPr>
          <w:spacing w:val="-9"/>
        </w:rPr>
        <w:t> </w:t>
      </w:r>
      <w:r>
        <w:rPr/>
        <w:t>to</w:t>
      </w:r>
      <w:r>
        <w:rPr>
          <w:spacing w:val="-7"/>
        </w:rPr>
        <w:t> </w:t>
      </w:r>
      <w:r>
        <w:rPr/>
        <w:t>vent</w:t>
      </w:r>
      <w:r>
        <w:rPr>
          <w:spacing w:val="-7"/>
        </w:rPr>
        <w:t> </w:t>
      </w:r>
      <w:r>
        <w:rPr/>
        <w:t>and</w:t>
      </w:r>
      <w:r>
        <w:rPr>
          <w:spacing w:val="-9"/>
        </w:rPr>
        <w:t> </w:t>
      </w:r>
      <w:r>
        <w:rPr/>
        <w:t>dissipate.</w:t>
      </w:r>
      <w:r>
        <w:rPr>
          <w:spacing w:val="45"/>
        </w:rPr>
        <w:t> </w:t>
      </w:r>
      <w:r>
        <w:rPr/>
        <w:t>The</w:t>
      </w:r>
      <w:r>
        <w:rPr>
          <w:spacing w:val="-7"/>
        </w:rPr>
        <w:t> </w:t>
      </w:r>
      <w:r>
        <w:rPr/>
        <w:t>pressure-time</w:t>
      </w:r>
      <w:r>
        <w:rPr>
          <w:spacing w:val="-7"/>
        </w:rPr>
        <w:t> </w:t>
      </w:r>
      <w:r>
        <w:rPr/>
        <w:t>history</w:t>
      </w:r>
      <w:r>
        <w:rPr>
          <w:spacing w:val="-7"/>
        </w:rPr>
        <w:t> </w:t>
      </w:r>
      <w:r>
        <w:rPr/>
        <w:t>plots</w:t>
      </w:r>
      <w:r>
        <w:rPr>
          <w:spacing w:val="-58"/>
        </w:rPr>
        <w:t> </w:t>
      </w:r>
      <w:r>
        <w:rPr/>
        <w:t>tend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multiple</w:t>
      </w:r>
      <w:r>
        <w:rPr>
          <w:spacing w:val="1"/>
        </w:rPr>
        <w:t> </w:t>
      </w:r>
      <w:r>
        <w:rPr/>
        <w:t>peaks</w:t>
      </w:r>
      <w:r>
        <w:rPr>
          <w:spacing w:val="1"/>
        </w:rPr>
        <w:t> </w:t>
      </w:r>
      <w:r>
        <w:rPr/>
        <w:t>demonstrating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repeated</w:t>
      </w:r>
      <w:r>
        <w:rPr>
          <w:spacing w:val="1"/>
        </w:rPr>
        <w:t> </w:t>
      </w:r>
      <w:r>
        <w:rPr/>
        <w:t>blast-type</w:t>
      </w:r>
      <w:r>
        <w:rPr>
          <w:spacing w:val="1"/>
        </w:rPr>
        <w:t> </w:t>
      </w:r>
      <w:r>
        <w:rPr/>
        <w:t>loadings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experienced.</w:t>
      </w:r>
      <w:r>
        <w:rPr>
          <w:spacing w:val="65"/>
        </w:rPr>
        <w:t> </w:t>
      </w:r>
      <w:r>
        <w:rPr/>
        <w:t>While</w:t>
      </w:r>
      <w:r>
        <w:rPr>
          <w:spacing w:val="2"/>
        </w:rPr>
        <w:t> </w:t>
      </w:r>
      <w:r>
        <w:rPr/>
        <w:t>recorded</w:t>
      </w:r>
      <w:r>
        <w:rPr>
          <w:spacing w:val="2"/>
        </w:rPr>
        <w:t> </w:t>
      </w:r>
      <w:r>
        <w:rPr/>
        <w:t>loads,</w:t>
      </w:r>
      <w:r>
        <w:rPr>
          <w:spacing w:val="1"/>
        </w:rPr>
        <w:t> </w:t>
      </w:r>
      <w:r>
        <w:rPr/>
        <w:t>displacements</w:t>
      </w:r>
      <w:r>
        <w:rPr>
          <w:spacing w:val="2"/>
        </w:rPr>
        <w:t> </w:t>
      </w:r>
      <w:r>
        <w:rPr/>
        <w:t>and</w:t>
      </w:r>
      <w:r>
        <w:rPr>
          <w:spacing w:val="2"/>
        </w:rPr>
        <w:t> </w:t>
      </w:r>
      <w:r>
        <w:rPr/>
        <w:t>strain</w:t>
      </w:r>
      <w:r>
        <w:rPr>
          <w:spacing w:val="2"/>
        </w:rPr>
        <w:t> </w:t>
      </w:r>
      <w:r>
        <w:rPr/>
        <w:t>data</w:t>
      </w:r>
      <w:r>
        <w:rPr>
          <w:spacing w:val="2"/>
        </w:rPr>
        <w:t> </w:t>
      </w:r>
      <w:r>
        <w:rPr/>
        <w:t>can</w:t>
      </w:r>
      <w:r>
        <w:rPr>
          <w:spacing w:val="2"/>
        </w:rPr>
        <w:t> </w:t>
      </w:r>
      <w:r>
        <w:rPr/>
        <w:t>be</w:t>
      </w:r>
      <w:r>
        <w:rPr>
          <w:spacing w:val="1"/>
        </w:rPr>
        <w:t> </w:t>
      </w:r>
      <w:r>
        <w:rPr/>
        <w:t>attributed</w:t>
      </w:r>
      <w:r>
        <w:rPr>
          <w:spacing w:val="2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40" w:right="418"/>
        <w:jc w:val="both"/>
      </w:pPr>
      <w:r>
        <w:rPr/>
        <w:t>initial impulse by evaluation of the time of the reading, the observed damage and failure</w:t>
      </w:r>
      <w:r>
        <w:rPr>
          <w:spacing w:val="1"/>
        </w:rPr>
        <w:t> </w:t>
      </w:r>
      <w:r>
        <w:rPr/>
        <w:t>modes</w:t>
      </w:r>
      <w:r>
        <w:rPr>
          <w:spacing w:val="-1"/>
        </w:rPr>
        <w:t> </w:t>
      </w:r>
      <w:r>
        <w:rPr/>
        <w:t>post-test may be harder</w:t>
      </w:r>
      <w:r>
        <w:rPr>
          <w:spacing w:val="-1"/>
        </w:rPr>
        <w:t> </w:t>
      </w:r>
      <w:r>
        <w:rPr/>
        <w:t>to ascribe.</w:t>
      </w:r>
    </w:p>
    <w:p>
      <w:pPr>
        <w:pStyle w:val="ListParagraph"/>
        <w:numPr>
          <w:ilvl w:val="2"/>
          <w:numId w:val="27"/>
        </w:numPr>
        <w:tabs>
          <w:tab w:pos="980" w:val="left" w:leader="none"/>
        </w:tabs>
        <w:spacing w:line="240" w:lineRule="auto" w:before="161" w:after="0"/>
        <w:ind w:left="980" w:right="0" w:hanging="540"/>
        <w:jc w:val="both"/>
        <w:rPr>
          <w:i/>
          <w:sz w:val="24"/>
        </w:rPr>
      </w:pPr>
      <w:bookmarkStart w:name="8.2.3 Live-Blast Testing" w:id="531"/>
      <w:bookmarkEnd w:id="531"/>
      <w:r>
        <w:rPr/>
      </w:r>
      <w:bookmarkStart w:name="8.2.3 Live-Blast Testing" w:id="532"/>
      <w:bookmarkEnd w:id="532"/>
      <w:r>
        <w:rPr>
          <w:i/>
          <w:sz w:val="24"/>
        </w:rPr>
        <w:t>L</w:t>
      </w:r>
      <w:r>
        <w:rPr>
          <w:i/>
          <w:sz w:val="24"/>
        </w:rPr>
        <w:t>ive-Blast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Testing</w:t>
      </w:r>
    </w:p>
    <w:p>
      <w:pPr>
        <w:pStyle w:val="BodyText"/>
        <w:spacing w:before="7"/>
        <w:rPr>
          <w:i/>
          <w:sz w:val="22"/>
        </w:rPr>
      </w:pPr>
    </w:p>
    <w:p>
      <w:pPr>
        <w:pStyle w:val="BodyText"/>
        <w:spacing w:line="480" w:lineRule="auto"/>
        <w:ind w:left="439" w:right="417" w:firstLine="720"/>
        <w:jc w:val="both"/>
      </w:pPr>
      <w:r>
        <w:rPr/>
        <w:t>A cooperative effort between WoodWorks, Karagozian and Case Inc., and the Air</w:t>
      </w:r>
      <w:r>
        <w:rPr>
          <w:spacing w:val="-57"/>
        </w:rPr>
        <w:t> </w:t>
      </w:r>
      <w:r>
        <w:rPr/>
        <w:t>Force</w:t>
      </w:r>
      <w:r>
        <w:rPr>
          <w:spacing w:val="-2"/>
        </w:rPr>
        <w:t> </w:t>
      </w:r>
      <w:r>
        <w:rPr/>
        <w:t>Civil</w:t>
      </w:r>
      <w:r>
        <w:rPr>
          <w:spacing w:val="-3"/>
        </w:rPr>
        <w:t> </w:t>
      </w:r>
      <w:r>
        <w:rPr/>
        <w:t>Engineer</w:t>
      </w:r>
      <w:r>
        <w:rPr>
          <w:spacing w:val="-2"/>
        </w:rPr>
        <w:t> </w:t>
      </w:r>
      <w:r>
        <w:rPr/>
        <w:t>Center,</w:t>
      </w:r>
      <w:r>
        <w:rPr>
          <w:spacing w:val="-3"/>
        </w:rPr>
        <w:t> </w:t>
      </w:r>
      <w:r>
        <w:rPr/>
        <w:t>funded</w:t>
      </w:r>
      <w:r>
        <w:rPr>
          <w:spacing w:val="-4"/>
        </w:rPr>
        <w:t> </w:t>
      </w:r>
      <w:r>
        <w:rPr/>
        <w:t>by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U.S</w:t>
      </w:r>
      <w:r>
        <w:rPr>
          <w:spacing w:val="-3"/>
        </w:rPr>
        <w:t> </w:t>
      </w:r>
      <w:r>
        <w:rPr/>
        <w:t>Forest</w:t>
      </w:r>
      <w:r>
        <w:rPr>
          <w:spacing w:val="-2"/>
        </w:rPr>
        <w:t> </w:t>
      </w:r>
      <w:r>
        <w:rPr/>
        <w:t>Service,</w:t>
      </w:r>
      <w:r>
        <w:rPr>
          <w:spacing w:val="-3"/>
        </w:rPr>
        <w:t> </w:t>
      </w:r>
      <w:r>
        <w:rPr/>
        <w:t>conducted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/>
        <w:t>series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live-</w:t>
      </w:r>
      <w:r>
        <w:rPr>
          <w:spacing w:val="-58"/>
        </w:rPr>
        <w:t> </w:t>
      </w:r>
      <w:r>
        <w:rPr/>
        <w:t>blast tests to investigate the resistance of CLT construction to air-blast loads in October</w:t>
      </w:r>
      <w:r>
        <w:rPr>
          <w:spacing w:val="1"/>
        </w:rPr>
        <w:t> </w:t>
      </w:r>
      <w:r>
        <w:rPr/>
        <w:t>2016.</w:t>
      </w:r>
      <w:r>
        <w:rPr>
          <w:spacing w:val="42"/>
        </w:rPr>
        <w:t> </w:t>
      </w:r>
      <w:r>
        <w:rPr/>
        <w:t>The</w:t>
      </w:r>
      <w:r>
        <w:rPr>
          <w:spacing w:val="-8"/>
        </w:rPr>
        <w:t> </w:t>
      </w:r>
      <w:r>
        <w:rPr/>
        <w:t>test</w:t>
      </w:r>
      <w:r>
        <w:rPr>
          <w:spacing w:val="-9"/>
        </w:rPr>
        <w:t> </w:t>
      </w:r>
      <w:r>
        <w:rPr/>
        <w:t>set-up</w:t>
      </w:r>
      <w:r>
        <w:rPr>
          <w:spacing w:val="-9"/>
        </w:rPr>
        <w:t> </w:t>
      </w:r>
      <w:r>
        <w:rPr/>
        <w:t>included</w:t>
      </w:r>
      <w:r>
        <w:rPr>
          <w:spacing w:val="-9"/>
        </w:rPr>
        <w:t> </w:t>
      </w:r>
      <w:r>
        <w:rPr/>
        <w:t>three</w:t>
      </w:r>
      <w:r>
        <w:rPr>
          <w:spacing w:val="-11"/>
        </w:rPr>
        <w:t> </w:t>
      </w:r>
      <w:r>
        <w:rPr/>
        <w:t>two-story,</w:t>
      </w:r>
      <w:r>
        <w:rPr>
          <w:spacing w:val="-9"/>
        </w:rPr>
        <w:t> </w:t>
      </w:r>
      <w:r>
        <w:rPr/>
        <w:t>single-bay</w:t>
      </w:r>
      <w:r>
        <w:rPr>
          <w:spacing w:val="-9"/>
        </w:rPr>
        <w:t> </w:t>
      </w:r>
      <w:r>
        <w:rPr/>
        <w:t>CLT</w:t>
      </w:r>
      <w:r>
        <w:rPr>
          <w:spacing w:val="-9"/>
        </w:rPr>
        <w:t> </w:t>
      </w:r>
      <w:r>
        <w:rPr/>
        <w:t>structures,</w:t>
      </w:r>
      <w:r>
        <w:rPr>
          <w:spacing w:val="-11"/>
        </w:rPr>
        <w:t> </w:t>
      </w:r>
      <w:r>
        <w:rPr/>
        <w:t>approximate</w:t>
      </w:r>
      <w:r>
        <w:rPr>
          <w:spacing w:val="-8"/>
        </w:rPr>
        <w:t> </w:t>
      </w:r>
      <w:r>
        <w:rPr/>
        <w:t>50</w:t>
      </w:r>
      <w:r>
        <w:rPr>
          <w:spacing w:val="-58"/>
        </w:rPr>
        <w:t> </w:t>
      </w:r>
      <w:r>
        <w:rPr/>
        <w:t>square feet (4.57 square meters) in size, subjected to three different explosive loads of 32-</w:t>
      </w:r>
      <w:r>
        <w:rPr>
          <w:spacing w:val="-57"/>
        </w:rPr>
        <w:t> </w:t>
      </w:r>
      <w:r>
        <w:rPr/>
        <w:t>lb</w:t>
      </w:r>
      <w:r>
        <w:rPr>
          <w:spacing w:val="7"/>
        </w:rPr>
        <w:t> </w:t>
      </w:r>
      <w:r>
        <w:rPr/>
        <w:t>(14.5-kg),</w:t>
      </w:r>
      <w:r>
        <w:rPr>
          <w:spacing w:val="7"/>
        </w:rPr>
        <w:t> </w:t>
      </w:r>
      <w:r>
        <w:rPr/>
        <w:t>67-lb</w:t>
      </w:r>
      <w:r>
        <w:rPr>
          <w:spacing w:val="7"/>
        </w:rPr>
        <w:t> </w:t>
      </w:r>
      <w:r>
        <w:rPr/>
        <w:t>(30.4-kg)</w:t>
      </w:r>
      <w:r>
        <w:rPr>
          <w:spacing w:val="8"/>
        </w:rPr>
        <w:t> </w:t>
      </w:r>
      <w:r>
        <w:rPr/>
        <w:t>and</w:t>
      </w:r>
      <w:r>
        <w:rPr>
          <w:spacing w:val="8"/>
        </w:rPr>
        <w:t> </w:t>
      </w:r>
      <w:r>
        <w:rPr/>
        <w:t>199-lb</w:t>
      </w:r>
      <w:r>
        <w:rPr>
          <w:spacing w:val="8"/>
        </w:rPr>
        <w:t> </w:t>
      </w:r>
      <w:r>
        <w:rPr/>
        <w:t>(90.3-kg).</w:t>
      </w:r>
      <w:r>
        <w:rPr>
          <w:spacing w:val="17"/>
        </w:rPr>
        <w:t> </w:t>
      </w:r>
      <w:r>
        <w:rPr/>
        <w:t>The</w:t>
      </w:r>
      <w:r>
        <w:rPr>
          <w:spacing w:val="8"/>
        </w:rPr>
        <w:t> </w:t>
      </w:r>
      <w:r>
        <w:rPr/>
        <w:t>objectives</w:t>
      </w:r>
      <w:r>
        <w:rPr>
          <w:spacing w:val="7"/>
        </w:rPr>
        <w:t> </w:t>
      </w:r>
      <w:r>
        <w:rPr/>
        <w:t>of</w:t>
      </w:r>
      <w:r>
        <w:rPr>
          <w:spacing w:val="7"/>
        </w:rPr>
        <w:t> </w:t>
      </w:r>
      <w:r>
        <w:rPr/>
        <w:t>the</w:t>
      </w:r>
      <w:r>
        <w:rPr>
          <w:spacing w:val="7"/>
        </w:rPr>
        <w:t> </w:t>
      </w:r>
      <w:r>
        <w:rPr/>
        <w:t>study</w:t>
      </w:r>
      <w:r>
        <w:rPr>
          <w:spacing w:val="8"/>
        </w:rPr>
        <w:t> </w:t>
      </w:r>
      <w:r>
        <w:rPr/>
        <w:t>included:</w:t>
      </w:r>
    </w:p>
    <w:p>
      <w:pPr>
        <w:pStyle w:val="BodyText"/>
        <w:spacing w:line="480" w:lineRule="auto"/>
        <w:ind w:left="439" w:right="417"/>
        <w:jc w:val="both"/>
      </w:pPr>
      <w:r>
        <w:rPr/>
        <w:t>(1)</w:t>
      </w:r>
      <w:r>
        <w:rPr>
          <w:spacing w:val="-7"/>
        </w:rPr>
        <w:t> </w:t>
      </w:r>
      <w:r>
        <w:rPr/>
        <w:t>investigate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system-level</w:t>
      </w:r>
      <w:r>
        <w:rPr>
          <w:spacing w:val="-7"/>
        </w:rPr>
        <w:t> </w:t>
      </w:r>
      <w:r>
        <w:rPr/>
        <w:t>response</w:t>
      </w:r>
      <w:r>
        <w:rPr>
          <w:spacing w:val="-6"/>
        </w:rPr>
        <w:t> </w:t>
      </w:r>
      <w:r>
        <w:rPr/>
        <w:t>of</w:t>
      </w:r>
      <w:r>
        <w:rPr>
          <w:spacing w:val="-8"/>
        </w:rPr>
        <w:t> </w:t>
      </w:r>
      <w:r>
        <w:rPr/>
        <w:t>CLT</w:t>
      </w:r>
      <w:r>
        <w:rPr>
          <w:spacing w:val="-5"/>
        </w:rPr>
        <w:t> </w:t>
      </w:r>
      <w:r>
        <w:rPr/>
        <w:t>structures</w:t>
      </w:r>
      <w:r>
        <w:rPr>
          <w:spacing w:val="-8"/>
        </w:rPr>
        <w:t> </w:t>
      </w:r>
      <w:r>
        <w:rPr/>
        <w:t>to</w:t>
      </w:r>
      <w:r>
        <w:rPr>
          <w:spacing w:val="-6"/>
        </w:rPr>
        <w:t> </w:t>
      </w:r>
      <w:r>
        <w:rPr/>
        <w:t>explosive</w:t>
      </w:r>
      <w:r>
        <w:rPr>
          <w:spacing w:val="-8"/>
        </w:rPr>
        <w:t> </w:t>
      </w:r>
      <w:r>
        <w:rPr/>
        <w:t>loads,</w:t>
      </w:r>
      <w:r>
        <w:rPr>
          <w:spacing w:val="-6"/>
        </w:rPr>
        <w:t> </w:t>
      </w:r>
      <w:r>
        <w:rPr/>
        <w:t>specifically</w:t>
      </w:r>
      <w:r>
        <w:rPr>
          <w:spacing w:val="-58"/>
        </w:rPr>
        <w:t> </w:t>
      </w:r>
      <w:r>
        <w:rPr/>
        <w:t>air-blast explosives; (2) compare response of test structure to predicted single-degree-of-</w:t>
      </w:r>
      <w:r>
        <w:rPr>
          <w:spacing w:val="1"/>
        </w:rPr>
        <w:t> </w:t>
      </w:r>
      <w:r>
        <w:rPr/>
        <w:t>freedom (SDOF) analysis methods and (3) examine responses of the CLT panels around</w:t>
      </w:r>
      <w:r>
        <w:rPr>
          <w:spacing w:val="1"/>
        </w:rPr>
        <w:t> </w:t>
      </w:r>
      <w:r>
        <w:rPr/>
        <w:t>window and door openings and well as various connection configurations under high</w:t>
      </w:r>
      <w:r>
        <w:rPr>
          <w:spacing w:val="1"/>
        </w:rPr>
        <w:t> </w:t>
      </w:r>
      <w:r>
        <w:rPr/>
        <w:t>explosive</w:t>
      </w:r>
      <w:r>
        <w:rPr>
          <w:spacing w:val="-1"/>
        </w:rPr>
        <w:t> </w:t>
      </w:r>
      <w:r>
        <w:rPr/>
        <w:t>loading conditions [118].</w:t>
      </w:r>
    </w:p>
    <w:p>
      <w:pPr>
        <w:pStyle w:val="BodyText"/>
        <w:spacing w:line="480" w:lineRule="auto" w:before="160"/>
        <w:ind w:left="439" w:right="417" w:firstLine="720"/>
        <w:jc w:val="both"/>
      </w:pPr>
      <w:r>
        <w:rPr/>
        <w:t>Prior to the live-blast testing, quasi-static testing was conducted to investigate the</w:t>
      </w:r>
      <w:r>
        <w:rPr>
          <w:spacing w:val="1"/>
        </w:rPr>
        <w:t> </w:t>
      </w:r>
      <w:r>
        <w:rPr/>
        <w:t>bending response of the CLT panels in their major strength direction under a uniformly</w:t>
      </w:r>
      <w:r>
        <w:rPr>
          <w:spacing w:val="1"/>
        </w:rPr>
        <w:t> </w:t>
      </w:r>
      <w:r>
        <w:rPr/>
        <w:t>applied</w:t>
      </w:r>
      <w:r>
        <w:rPr>
          <w:spacing w:val="-10"/>
        </w:rPr>
        <w:t> </w:t>
      </w:r>
      <w:r>
        <w:rPr/>
        <w:t>quasi-static</w:t>
      </w:r>
      <w:r>
        <w:rPr>
          <w:spacing w:val="-10"/>
        </w:rPr>
        <w:t> </w:t>
      </w:r>
      <w:r>
        <w:rPr/>
        <w:t>load.</w:t>
      </w:r>
      <w:r>
        <w:rPr>
          <w:spacing w:val="41"/>
        </w:rPr>
        <w:t> </w:t>
      </w:r>
      <w:r>
        <w:rPr/>
        <w:t>The</w:t>
      </w:r>
      <w:r>
        <w:rPr>
          <w:spacing w:val="-10"/>
        </w:rPr>
        <w:t> </w:t>
      </w:r>
      <w:r>
        <w:rPr/>
        <w:t>test</w:t>
      </w:r>
      <w:r>
        <w:rPr>
          <w:spacing w:val="-8"/>
        </w:rPr>
        <w:t> </w:t>
      </w:r>
      <w:r>
        <w:rPr/>
        <w:t>set-up</w:t>
      </w:r>
      <w:r>
        <w:rPr>
          <w:spacing w:val="-10"/>
        </w:rPr>
        <w:t> </w:t>
      </w:r>
      <w:r>
        <w:rPr/>
        <w:t>for</w:t>
      </w:r>
      <w:r>
        <w:rPr>
          <w:spacing w:val="-9"/>
        </w:rPr>
        <w:t> </w:t>
      </w:r>
      <w:r>
        <w:rPr/>
        <w:t>this</w:t>
      </w:r>
      <w:r>
        <w:rPr>
          <w:spacing w:val="-9"/>
        </w:rPr>
        <w:t> </w:t>
      </w:r>
      <w:r>
        <w:rPr/>
        <w:t>loading</w:t>
      </w:r>
      <w:r>
        <w:rPr>
          <w:spacing w:val="-10"/>
        </w:rPr>
        <w:t> </w:t>
      </w:r>
      <w:r>
        <w:rPr/>
        <w:t>used</w:t>
      </w:r>
      <w:r>
        <w:rPr>
          <w:spacing w:val="-10"/>
        </w:rPr>
        <w:t> </w:t>
      </w:r>
      <w:r>
        <w:rPr/>
        <w:t>rubber</w:t>
      </w:r>
      <w:r>
        <w:rPr>
          <w:spacing w:val="-8"/>
        </w:rPr>
        <w:t> </w:t>
      </w:r>
      <w:r>
        <w:rPr/>
        <w:t>water</w:t>
      </w:r>
      <w:r>
        <w:rPr>
          <w:spacing w:val="-11"/>
        </w:rPr>
        <w:t> </w:t>
      </w:r>
      <w:r>
        <w:rPr/>
        <w:t>bladders</w:t>
      </w:r>
      <w:r>
        <w:rPr>
          <w:spacing w:val="-10"/>
        </w:rPr>
        <w:t> </w:t>
      </w:r>
      <w:r>
        <w:rPr/>
        <w:t>which</w:t>
      </w:r>
      <w:r>
        <w:rPr>
          <w:spacing w:val="-57"/>
        </w:rPr>
        <w:t> </w:t>
      </w:r>
      <w:r>
        <w:rPr/>
        <w:t>allowed for the controlled quasi-static pressure application.</w:t>
      </w:r>
      <w:r>
        <w:rPr>
          <w:spacing w:val="1"/>
        </w:rPr>
        <w:t> </w:t>
      </w:r>
      <w:r>
        <w:rPr/>
        <w:t>A series of shock tube tests</w:t>
      </w:r>
      <w:r>
        <w:rPr>
          <w:spacing w:val="1"/>
        </w:rPr>
        <w:t> </w:t>
      </w:r>
      <w:r>
        <w:rPr/>
        <w:t>were also performed within the elastic range of the panel response.</w:t>
      </w:r>
      <w:r>
        <w:rPr>
          <w:spacing w:val="60"/>
        </w:rPr>
        <w:t> </w:t>
      </w:r>
      <w:r>
        <w:rPr/>
        <w:t>Based on these tests,</w:t>
      </w:r>
      <w:r>
        <w:rPr>
          <w:spacing w:val="1"/>
        </w:rPr>
        <w:t> </w:t>
      </w:r>
      <w:r>
        <w:rPr/>
        <w:t>it</w:t>
      </w:r>
      <w:r>
        <w:rPr>
          <w:spacing w:val="-7"/>
        </w:rPr>
        <w:t> </w:t>
      </w:r>
      <w:r>
        <w:rPr/>
        <w:t>was</w:t>
      </w:r>
      <w:r>
        <w:rPr>
          <w:spacing w:val="-7"/>
        </w:rPr>
        <w:t> </w:t>
      </w:r>
      <w:r>
        <w:rPr/>
        <w:t>concluded</w:t>
      </w:r>
      <w:r>
        <w:rPr>
          <w:spacing w:val="-7"/>
        </w:rPr>
        <w:t> </w:t>
      </w:r>
      <w:r>
        <w:rPr/>
        <w:t>that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shear</w:t>
      </w:r>
      <w:r>
        <w:rPr>
          <w:spacing w:val="-7"/>
        </w:rPr>
        <w:t> </w:t>
      </w:r>
      <w:r>
        <w:rPr/>
        <w:t>analogy</w:t>
      </w:r>
      <w:r>
        <w:rPr>
          <w:spacing w:val="-6"/>
        </w:rPr>
        <w:t> </w:t>
      </w:r>
      <w:r>
        <w:rPr/>
        <w:t>model</w:t>
      </w:r>
      <w:r>
        <w:rPr>
          <w:spacing w:val="-7"/>
        </w:rPr>
        <w:t> </w:t>
      </w:r>
      <w:r>
        <w:rPr/>
        <w:t>could</w:t>
      </w:r>
      <w:r>
        <w:rPr>
          <w:spacing w:val="-7"/>
        </w:rPr>
        <w:t> </w:t>
      </w:r>
      <w:r>
        <w:rPr/>
        <w:t>compute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stiffness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strengths</w:t>
      </w:r>
      <w:r>
        <w:rPr>
          <w:spacing w:val="-6"/>
        </w:rPr>
        <w:t> </w:t>
      </w:r>
      <w:r>
        <w:rPr/>
        <w:t>of</w:t>
      </w:r>
      <w:r>
        <w:rPr>
          <w:spacing w:val="-58"/>
        </w:rPr>
        <w:t> </w:t>
      </w:r>
      <w:r>
        <w:rPr/>
        <w:t>the panel response in the elastic range of uniformly-applied transient load.</w:t>
      </w:r>
      <w:r>
        <w:rPr>
          <w:spacing w:val="1"/>
        </w:rPr>
        <w:t> </w:t>
      </w:r>
      <w:r>
        <w:rPr/>
        <w:t>An effective</w:t>
      </w:r>
      <w:r>
        <w:rPr>
          <w:spacing w:val="1"/>
        </w:rPr>
        <w:t> </w:t>
      </w:r>
      <w:r>
        <w:rPr>
          <w:position w:val="1"/>
        </w:rPr>
        <w:t>increase</w:t>
      </w:r>
      <w:r>
        <w:rPr>
          <w:spacing w:val="-13"/>
          <w:position w:val="1"/>
        </w:rPr>
        <w:t> </w:t>
      </w:r>
      <w:r>
        <w:rPr>
          <w:position w:val="1"/>
        </w:rPr>
        <w:t>factor</w:t>
      </w:r>
      <w:r>
        <w:rPr>
          <w:spacing w:val="-12"/>
          <w:position w:val="1"/>
        </w:rPr>
        <w:t> </w:t>
      </w:r>
      <w:r>
        <w:rPr>
          <w:position w:val="1"/>
        </w:rPr>
        <w:t>of</w:t>
      </w:r>
      <w:r>
        <w:rPr>
          <w:spacing w:val="-13"/>
          <w:position w:val="1"/>
        </w:rPr>
        <w:t> </w:t>
      </w:r>
      <w:r>
        <w:rPr>
          <w:position w:val="1"/>
        </w:rPr>
        <w:t>1.25,</w:t>
      </w:r>
      <w:r>
        <w:rPr>
          <w:spacing w:val="-12"/>
          <w:position w:val="1"/>
        </w:rPr>
        <w:t> </w:t>
      </w:r>
      <w:r>
        <w:rPr>
          <w:position w:val="1"/>
        </w:rPr>
        <w:t>based</w:t>
      </w:r>
      <w:r>
        <w:rPr>
          <w:spacing w:val="-12"/>
          <w:position w:val="1"/>
        </w:rPr>
        <w:t> </w:t>
      </w:r>
      <w:r>
        <w:rPr>
          <w:position w:val="1"/>
        </w:rPr>
        <w:t>on</w:t>
      </w:r>
      <w:r>
        <w:rPr>
          <w:spacing w:val="-13"/>
          <w:position w:val="1"/>
        </w:rPr>
        <w:t> </w:t>
      </w:r>
      <w:r>
        <w:rPr>
          <w:position w:val="1"/>
        </w:rPr>
        <w:t>load</w:t>
      </w:r>
      <w:r>
        <w:rPr>
          <w:spacing w:val="-13"/>
          <w:position w:val="1"/>
        </w:rPr>
        <w:t> </w:t>
      </w:r>
      <w:r>
        <w:rPr>
          <w:position w:val="1"/>
        </w:rPr>
        <w:t>duration</w:t>
      </w:r>
      <w:r>
        <w:rPr>
          <w:spacing w:val="-13"/>
          <w:position w:val="1"/>
        </w:rPr>
        <w:t> </w:t>
      </w:r>
      <w:r>
        <w:rPr>
          <w:position w:val="1"/>
        </w:rPr>
        <w:t>factor,</w:t>
      </w:r>
      <w:r>
        <w:rPr>
          <w:spacing w:val="-12"/>
          <w:position w:val="1"/>
        </w:rPr>
        <w:t> </w:t>
      </w:r>
      <w:r>
        <w:rPr>
          <w:i/>
          <w:position w:val="1"/>
        </w:rPr>
        <w:t>C</w:t>
      </w:r>
      <w:r>
        <w:rPr>
          <w:i/>
          <w:sz w:val="16"/>
        </w:rPr>
        <w:t>D</w:t>
      </w:r>
      <w:r>
        <w:rPr>
          <w:position w:val="1"/>
        </w:rPr>
        <w:t>,</w:t>
      </w:r>
      <w:r>
        <w:rPr>
          <w:spacing w:val="-12"/>
          <w:position w:val="1"/>
        </w:rPr>
        <w:t> </w:t>
      </w:r>
      <w:r>
        <w:rPr>
          <w:position w:val="1"/>
        </w:rPr>
        <w:t>from</w:t>
      </w:r>
      <w:r>
        <w:rPr>
          <w:spacing w:val="-13"/>
          <w:position w:val="1"/>
        </w:rPr>
        <w:t> </w:t>
      </w:r>
      <w:r>
        <w:rPr>
          <w:position w:val="1"/>
        </w:rPr>
        <w:t>the</w:t>
      </w:r>
      <w:r>
        <w:rPr>
          <w:spacing w:val="-12"/>
          <w:position w:val="1"/>
        </w:rPr>
        <w:t> </w:t>
      </w:r>
      <w:r>
        <w:rPr>
          <w:position w:val="1"/>
        </w:rPr>
        <w:t>NDS</w:t>
      </w:r>
      <w:r>
        <w:rPr>
          <w:spacing w:val="-13"/>
          <w:position w:val="1"/>
        </w:rPr>
        <w:t> </w:t>
      </w:r>
      <w:r>
        <w:rPr>
          <w:position w:val="1"/>
        </w:rPr>
        <w:t>and</w:t>
      </w:r>
      <w:r>
        <w:rPr>
          <w:spacing w:val="-13"/>
          <w:position w:val="1"/>
        </w:rPr>
        <w:t> </w:t>
      </w:r>
      <w:r>
        <w:rPr>
          <w:position w:val="1"/>
        </w:rPr>
        <w:t>the</w:t>
      </w:r>
      <w:r>
        <w:rPr>
          <w:spacing w:val="-12"/>
          <w:position w:val="1"/>
        </w:rPr>
        <w:t> </w:t>
      </w:r>
      <w:r>
        <w:rPr>
          <w:position w:val="1"/>
        </w:rPr>
        <w:t>PRG</w:t>
      </w:r>
      <w:r>
        <w:rPr>
          <w:spacing w:val="-14"/>
          <w:position w:val="1"/>
        </w:rPr>
        <w:t> </w:t>
      </w:r>
      <w:r>
        <w:rPr>
          <w:position w:val="1"/>
        </w:rPr>
        <w:t>320’s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40" w:right="418"/>
        <w:jc w:val="both"/>
      </w:pPr>
      <w:r>
        <w:rPr/>
        <w:t>10-minute duration factor, was determined to convert published CLT design values to</w:t>
      </w:r>
      <w:r>
        <w:rPr>
          <w:spacing w:val="1"/>
        </w:rPr>
        <w:t> </w:t>
      </w:r>
      <w:r>
        <w:rPr/>
        <w:t>impact</w:t>
      </w:r>
      <w:r>
        <w:rPr>
          <w:spacing w:val="-1"/>
        </w:rPr>
        <w:t> </w:t>
      </w:r>
      <w:r>
        <w:rPr/>
        <w:t>load factored design values [118].</w:t>
      </w:r>
    </w:p>
    <w:p>
      <w:pPr>
        <w:pStyle w:val="BodyText"/>
        <w:spacing w:line="480" w:lineRule="auto" w:before="159"/>
        <w:ind w:left="439" w:right="417" w:firstLine="720"/>
        <w:jc w:val="both"/>
      </w:pPr>
      <w:r>
        <w:rPr/>
        <w:t>A TNT charge of designated weight was elevated 18-inches off the ground above</w:t>
      </w:r>
      <w:r>
        <w:rPr>
          <w:spacing w:val="1"/>
        </w:rPr>
        <w:t> </w:t>
      </w:r>
      <w:r>
        <w:rPr/>
        <w:t>compacted</w:t>
      </w:r>
      <w:r>
        <w:rPr>
          <w:spacing w:val="-9"/>
        </w:rPr>
        <w:t> </w:t>
      </w:r>
      <w:r>
        <w:rPr/>
        <w:t>soil</w:t>
      </w:r>
      <w:r>
        <w:rPr>
          <w:spacing w:val="-8"/>
        </w:rPr>
        <w:t> </w:t>
      </w:r>
      <w:r>
        <w:rPr/>
        <w:t>as</w:t>
      </w:r>
      <w:r>
        <w:rPr>
          <w:spacing w:val="-8"/>
        </w:rPr>
        <w:t> </w:t>
      </w:r>
      <w:r>
        <w:rPr/>
        <w:t>a</w:t>
      </w:r>
      <w:r>
        <w:rPr>
          <w:spacing w:val="-8"/>
        </w:rPr>
        <w:t> </w:t>
      </w:r>
      <w:r>
        <w:rPr/>
        <w:t>standoff</w:t>
      </w:r>
      <w:r>
        <w:rPr>
          <w:spacing w:val="-9"/>
        </w:rPr>
        <w:t> </w:t>
      </w:r>
      <w:r>
        <w:rPr/>
        <w:t>distance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75-feet</w:t>
      </w:r>
      <w:r>
        <w:rPr>
          <w:spacing w:val="-8"/>
        </w:rPr>
        <w:t> </w:t>
      </w:r>
      <w:r>
        <w:rPr/>
        <w:t>for</w:t>
      </w:r>
      <w:r>
        <w:rPr>
          <w:spacing w:val="-8"/>
        </w:rPr>
        <w:t> </w:t>
      </w:r>
      <w:r>
        <w:rPr/>
        <w:t>all</w:t>
      </w:r>
      <w:r>
        <w:rPr>
          <w:spacing w:val="-8"/>
        </w:rPr>
        <w:t> </w:t>
      </w:r>
      <w:r>
        <w:rPr/>
        <w:t>three</w:t>
      </w:r>
      <w:r>
        <w:rPr>
          <w:spacing w:val="-8"/>
        </w:rPr>
        <w:t> </w:t>
      </w:r>
      <w:r>
        <w:rPr/>
        <w:t>tests.</w:t>
      </w:r>
      <w:r>
        <w:rPr>
          <w:spacing w:val="43"/>
        </w:rPr>
        <w:t> </w:t>
      </w:r>
      <w:r>
        <w:rPr/>
        <w:t>Using</w:t>
      </w:r>
      <w:r>
        <w:rPr>
          <w:spacing w:val="-9"/>
        </w:rPr>
        <w:t> </w:t>
      </w:r>
      <w:r>
        <w:rPr/>
        <w:t>an</w:t>
      </w:r>
      <w:r>
        <w:rPr>
          <w:spacing w:val="-8"/>
        </w:rPr>
        <w:t> </w:t>
      </w:r>
      <w:r>
        <w:rPr/>
        <w:t>arena</w:t>
      </w:r>
      <w:r>
        <w:rPr>
          <w:spacing w:val="-8"/>
        </w:rPr>
        <w:t> </w:t>
      </w:r>
      <w:r>
        <w:rPr/>
        <w:t>style</w:t>
      </w:r>
      <w:r>
        <w:rPr>
          <w:spacing w:val="-8"/>
        </w:rPr>
        <w:t> </w:t>
      </w:r>
      <w:r>
        <w:rPr/>
        <w:t>site</w:t>
      </w:r>
      <w:r>
        <w:rPr>
          <w:spacing w:val="-58"/>
        </w:rPr>
        <w:t> </w:t>
      </w:r>
      <w:r>
        <w:rPr/>
        <w:t>plan, the three structures were placed so their front face was an equal distance from the</w:t>
      </w:r>
      <w:r>
        <w:rPr>
          <w:spacing w:val="1"/>
        </w:rPr>
        <w:t> </w:t>
      </w:r>
      <w:r>
        <w:rPr/>
        <w:t>center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explosive</w:t>
      </w:r>
      <w:r>
        <w:rPr>
          <w:spacing w:val="-8"/>
        </w:rPr>
        <w:t> </w:t>
      </w:r>
      <w:r>
        <w:rPr/>
        <w:t>charge,</w:t>
      </w:r>
      <w:r>
        <w:rPr>
          <w:spacing w:val="-9"/>
        </w:rPr>
        <w:t> </w:t>
      </w:r>
      <w:r>
        <w:rPr/>
        <w:t>as</w:t>
      </w:r>
      <w:r>
        <w:rPr>
          <w:spacing w:val="-7"/>
        </w:rPr>
        <w:t> </w:t>
      </w:r>
      <w:r>
        <w:rPr/>
        <w:t>shown</w:t>
      </w:r>
      <w:r>
        <w:rPr>
          <w:spacing w:val="-7"/>
        </w:rPr>
        <w:t> </w:t>
      </w:r>
      <w:r>
        <w:rPr/>
        <w:t>in</w:t>
      </w:r>
      <w:r>
        <w:rPr>
          <w:spacing w:val="-7"/>
        </w:rPr>
        <w:t> </w:t>
      </w:r>
      <w:hyperlink w:history="true" w:anchor="_bookmark180">
        <w:r>
          <w:rPr/>
          <w:t>Figure</w:t>
        </w:r>
        <w:r>
          <w:rPr>
            <w:spacing w:val="-7"/>
          </w:rPr>
          <w:t> </w:t>
        </w:r>
        <w:r>
          <w:rPr/>
          <w:t>8-5</w:t>
        </w:r>
      </w:hyperlink>
      <w:r>
        <w:rPr/>
        <w:t>.</w:t>
      </w:r>
      <w:r>
        <w:rPr>
          <w:spacing w:val="44"/>
        </w:rPr>
        <w:t> </w:t>
      </w:r>
      <w:r>
        <w:rPr/>
        <w:t>The</w:t>
      </w:r>
      <w:r>
        <w:rPr>
          <w:spacing w:val="-8"/>
        </w:rPr>
        <w:t> </w:t>
      </w:r>
      <w:r>
        <w:rPr/>
        <w:t>structures</w:t>
      </w:r>
      <w:r>
        <w:rPr>
          <w:spacing w:val="-8"/>
        </w:rPr>
        <w:t> </w:t>
      </w:r>
      <w:r>
        <w:rPr/>
        <w:t>were</w:t>
      </w:r>
      <w:r>
        <w:rPr>
          <w:spacing w:val="-7"/>
        </w:rPr>
        <w:t> </w:t>
      </w:r>
      <w:r>
        <w:rPr/>
        <w:t>spaced</w:t>
      </w:r>
      <w:r>
        <w:rPr>
          <w:spacing w:val="-9"/>
        </w:rPr>
        <w:t> </w:t>
      </w:r>
      <w:r>
        <w:rPr/>
        <w:t>to</w:t>
      </w:r>
      <w:r>
        <w:rPr>
          <w:spacing w:val="-9"/>
        </w:rPr>
        <w:t> </w:t>
      </w:r>
      <w:r>
        <w:rPr/>
        <w:t>limit</w:t>
      </w:r>
      <w:r>
        <w:rPr>
          <w:spacing w:val="-58"/>
        </w:rPr>
        <w:t> </w:t>
      </w:r>
      <w:r>
        <w:rPr/>
        <w:t>the</w:t>
      </w:r>
      <w:r>
        <w:rPr>
          <w:spacing w:val="-1"/>
        </w:rPr>
        <w:t> </w:t>
      </w:r>
      <w:r>
        <w:rPr/>
        <w:t>shockwave reflections between each other</w:t>
      </w:r>
      <w:r>
        <w:rPr>
          <w:spacing w:val="-1"/>
        </w:rPr>
        <w:t> </w:t>
      </w:r>
      <w:r>
        <w:rPr/>
        <w:t>[118].</w:t>
      </w:r>
    </w:p>
    <w:p>
      <w:pPr>
        <w:pStyle w:val="BodyText"/>
        <w:spacing w:line="480" w:lineRule="auto" w:before="160"/>
        <w:ind w:left="439" w:right="417" w:firstLine="720"/>
        <w:jc w:val="both"/>
      </w:pPr>
      <w:r>
        <w:rPr/>
        <w:t>Each structure was built from a different grade of CLT panel produced by a</w:t>
      </w:r>
      <w:r>
        <w:rPr>
          <w:spacing w:val="1"/>
        </w:rPr>
        <w:t> </w:t>
      </w:r>
      <w:r>
        <w:rPr/>
        <w:t>different manufacturer and certified by a third party for meeting PRG 320 standards.</w:t>
      </w:r>
      <w:r>
        <w:rPr>
          <w:spacing w:val="1"/>
        </w:rPr>
        <w:t> </w:t>
      </w:r>
      <w:r>
        <w:rPr/>
        <w:t>Grades included were E1, V1 and V4.</w:t>
      </w:r>
      <w:r>
        <w:rPr>
          <w:spacing w:val="1"/>
        </w:rPr>
        <w:t> </w:t>
      </w:r>
      <w:r>
        <w:rPr/>
        <w:t>The wall and roof panels were all 3-ply panels and</w:t>
      </w:r>
      <w:r>
        <w:rPr>
          <w:spacing w:val="-57"/>
        </w:rPr>
        <w:t> </w:t>
      </w:r>
      <w:r>
        <w:rPr/>
        <w:t>the</w:t>
      </w:r>
      <w:r>
        <w:rPr>
          <w:spacing w:val="-14"/>
        </w:rPr>
        <w:t> </w:t>
      </w:r>
      <w:r>
        <w:rPr/>
        <w:t>floor</w:t>
      </w:r>
      <w:r>
        <w:rPr>
          <w:spacing w:val="-13"/>
        </w:rPr>
        <w:t> </w:t>
      </w:r>
      <w:r>
        <w:rPr/>
        <w:t>panel</w:t>
      </w:r>
      <w:r>
        <w:rPr>
          <w:spacing w:val="-14"/>
        </w:rPr>
        <w:t> </w:t>
      </w:r>
      <w:r>
        <w:rPr/>
        <w:t>for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second</w:t>
      </w:r>
      <w:r>
        <w:rPr>
          <w:spacing w:val="-14"/>
        </w:rPr>
        <w:t> </w:t>
      </w:r>
      <w:r>
        <w:rPr/>
        <w:t>story</w:t>
      </w:r>
      <w:r>
        <w:rPr>
          <w:spacing w:val="-15"/>
        </w:rPr>
        <w:t> </w:t>
      </w:r>
      <w:r>
        <w:rPr/>
        <w:t>was</w:t>
      </w:r>
      <w:r>
        <w:rPr>
          <w:spacing w:val="-13"/>
        </w:rPr>
        <w:t> </w:t>
      </w:r>
      <w:r>
        <w:rPr/>
        <w:t>a</w:t>
      </w:r>
      <w:r>
        <w:rPr>
          <w:spacing w:val="-13"/>
        </w:rPr>
        <w:t> </w:t>
      </w:r>
      <w:r>
        <w:rPr/>
        <w:t>5-ply</w:t>
      </w:r>
      <w:r>
        <w:rPr>
          <w:spacing w:val="-15"/>
        </w:rPr>
        <w:t> </w:t>
      </w:r>
      <w:r>
        <w:rPr/>
        <w:t>panel.</w:t>
      </w:r>
      <w:r>
        <w:rPr>
          <w:spacing w:val="32"/>
        </w:rPr>
        <w:t> </w:t>
      </w:r>
      <w:r>
        <w:rPr/>
        <w:t>Each</w:t>
      </w:r>
      <w:r>
        <w:rPr>
          <w:spacing w:val="-14"/>
        </w:rPr>
        <w:t> </w:t>
      </w:r>
      <w:r>
        <w:rPr/>
        <w:t>grade</w:t>
      </w:r>
      <w:r>
        <w:rPr>
          <w:spacing w:val="-14"/>
        </w:rPr>
        <w:t> </w:t>
      </w:r>
      <w:r>
        <w:rPr/>
        <w:t>of</w:t>
      </w:r>
      <w:r>
        <w:rPr>
          <w:spacing w:val="-14"/>
        </w:rPr>
        <w:t> </w:t>
      </w:r>
      <w:r>
        <w:rPr/>
        <w:t>panel</w:t>
      </w:r>
      <w:r>
        <w:rPr>
          <w:spacing w:val="-14"/>
        </w:rPr>
        <w:t> </w:t>
      </w:r>
      <w:r>
        <w:rPr/>
        <w:t>varied</w:t>
      </w:r>
      <w:r>
        <w:rPr>
          <w:spacing w:val="-14"/>
        </w:rPr>
        <w:t> </w:t>
      </w:r>
      <w:r>
        <w:rPr/>
        <w:t>in</w:t>
      </w:r>
      <w:r>
        <w:rPr>
          <w:spacing w:val="-14"/>
        </w:rPr>
        <w:t> </w:t>
      </w:r>
      <w:r>
        <w:rPr/>
        <w:t>lamella</w:t>
      </w:r>
      <w:r>
        <w:rPr>
          <w:spacing w:val="-58"/>
        </w:rPr>
        <w:t> </w:t>
      </w:r>
      <w:r>
        <w:rPr/>
        <w:t>width, board length and finger jointing but all were consistent with PRG 320 standards.</w:t>
      </w:r>
      <w:r>
        <w:rPr>
          <w:spacing w:val="1"/>
        </w:rPr>
        <w:t> </w:t>
      </w:r>
      <w:r>
        <w:rPr/>
        <w:t>Panels were jointed with a splice connection of half-lapped joints and self-tapping screws</w:t>
      </w:r>
      <w:r>
        <w:rPr>
          <w:spacing w:val="-57"/>
        </w:rPr>
        <w:t> </w:t>
      </w:r>
      <w:r>
        <w:rPr/>
        <w:t>of</w:t>
      </w:r>
      <w:r>
        <w:rPr>
          <w:spacing w:val="-2"/>
        </w:rPr>
        <w:t> </w:t>
      </w:r>
      <w:r>
        <w:rPr/>
        <w:t>a length to engage all</w:t>
      </w:r>
      <w:r>
        <w:rPr>
          <w:spacing w:val="-1"/>
        </w:rPr>
        <w:t> </w:t>
      </w:r>
      <w:r>
        <w:rPr/>
        <w:t>plies,</w:t>
      </w:r>
      <w:r>
        <w:rPr>
          <w:spacing w:val="-2"/>
        </w:rPr>
        <w:t> </w:t>
      </w:r>
      <w:r>
        <w:rPr/>
        <w:t>as</w:t>
      </w:r>
      <w:r>
        <w:rPr>
          <w:spacing w:val="-1"/>
        </w:rPr>
        <w:t> </w:t>
      </w:r>
      <w:r>
        <w:rPr/>
        <w:t>shown in </w:t>
      </w:r>
      <w:hyperlink w:history="true" w:anchor="_bookmark181">
        <w:r>
          <w:rPr/>
          <w:t>Figure</w:t>
        </w:r>
        <w:r>
          <w:rPr>
            <w:spacing w:val="-1"/>
          </w:rPr>
          <w:t> </w:t>
        </w:r>
        <w:r>
          <w:rPr/>
          <w:t>8-6</w:t>
        </w:r>
      </w:hyperlink>
      <w:r>
        <w:rPr/>
        <w:t> [118].</w:t>
      </w:r>
    </w:p>
    <w:p>
      <w:pPr>
        <w:pStyle w:val="BodyText"/>
        <w:spacing w:line="480" w:lineRule="auto" w:before="160"/>
        <w:ind w:left="439" w:right="417" w:firstLine="720"/>
        <w:jc w:val="both"/>
      </w:pPr>
      <w:r>
        <w:rPr/>
        <w:t>The structures were anchored to an existing concrete slab with a generally over-</w:t>
      </w:r>
      <w:r>
        <w:rPr>
          <w:spacing w:val="1"/>
        </w:rPr>
        <w:t> </w:t>
      </w:r>
      <w:r>
        <w:rPr/>
        <w:t>designed</w:t>
      </w:r>
      <w:r>
        <w:rPr>
          <w:spacing w:val="-13"/>
        </w:rPr>
        <w:t> </w:t>
      </w:r>
      <w:r>
        <w:rPr/>
        <w:t>connections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steel</w:t>
      </w:r>
      <w:r>
        <w:rPr>
          <w:spacing w:val="-11"/>
        </w:rPr>
        <w:t> </w:t>
      </w:r>
      <w:r>
        <w:rPr/>
        <w:t>angles,</w:t>
      </w:r>
      <w:r>
        <w:rPr>
          <w:spacing w:val="-12"/>
        </w:rPr>
        <w:t> </w:t>
      </w:r>
      <w:r>
        <w:rPr/>
        <w:t>intending</w:t>
      </w:r>
      <w:r>
        <w:rPr>
          <w:spacing w:val="-12"/>
        </w:rPr>
        <w:t> </w:t>
      </w:r>
      <w:r>
        <w:rPr/>
        <w:t>to</w:t>
      </w:r>
      <w:r>
        <w:rPr>
          <w:spacing w:val="-12"/>
        </w:rPr>
        <w:t> </w:t>
      </w:r>
      <w:r>
        <w:rPr/>
        <w:t>fix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structure</w:t>
      </w:r>
      <w:r>
        <w:rPr>
          <w:spacing w:val="-11"/>
        </w:rPr>
        <w:t> </w:t>
      </w:r>
      <w:r>
        <w:rPr/>
        <w:t>and</w:t>
      </w:r>
      <w:r>
        <w:rPr>
          <w:spacing w:val="-11"/>
        </w:rPr>
        <w:t> </w:t>
      </w:r>
      <w:r>
        <w:rPr/>
        <w:t>allow</w:t>
      </w:r>
      <w:r>
        <w:rPr>
          <w:spacing w:val="-13"/>
        </w:rPr>
        <w:t> </w:t>
      </w:r>
      <w:r>
        <w:rPr/>
        <w:t>for</w:t>
      </w:r>
      <w:r>
        <w:rPr>
          <w:spacing w:val="-11"/>
        </w:rPr>
        <w:t> </w:t>
      </w:r>
      <w:r>
        <w:rPr/>
        <w:t>CLT</w:t>
      </w:r>
      <w:r>
        <w:rPr>
          <w:spacing w:val="-11"/>
        </w:rPr>
        <w:t> </w:t>
      </w:r>
      <w:r>
        <w:rPr/>
        <w:t>panel</w:t>
      </w:r>
      <w:r>
        <w:rPr>
          <w:spacing w:val="-58"/>
        </w:rPr>
        <w:t> </w:t>
      </w:r>
      <w:r>
        <w:rPr/>
        <w:t>damage as opposed to connection failure at the anchored interface between the concrete</w:t>
      </w:r>
      <w:r>
        <w:rPr>
          <w:spacing w:val="1"/>
        </w:rPr>
        <w:t> </w:t>
      </w:r>
      <w:r>
        <w:rPr/>
        <w:t>slab</w:t>
      </w:r>
      <w:r>
        <w:rPr>
          <w:spacing w:val="-13"/>
        </w:rPr>
        <w:t> </w:t>
      </w:r>
      <w:r>
        <w:rPr/>
        <w:t>and</w:t>
      </w:r>
      <w:r>
        <w:rPr>
          <w:spacing w:val="-12"/>
        </w:rPr>
        <w:t> </w:t>
      </w:r>
      <w:r>
        <w:rPr/>
        <w:t>mass</w:t>
      </w:r>
      <w:r>
        <w:rPr>
          <w:spacing w:val="-12"/>
        </w:rPr>
        <w:t> </w:t>
      </w:r>
      <w:r>
        <w:rPr/>
        <w:t>timber</w:t>
      </w:r>
      <w:r>
        <w:rPr>
          <w:spacing w:val="-12"/>
        </w:rPr>
        <w:t> </w:t>
      </w:r>
      <w:r>
        <w:rPr/>
        <w:t>structure.</w:t>
      </w:r>
      <w:r>
        <w:rPr>
          <w:spacing w:val="36"/>
        </w:rPr>
        <w:t> </w:t>
      </w:r>
      <w:r>
        <w:rPr/>
        <w:t>Pressure</w:t>
      </w:r>
      <w:r>
        <w:rPr>
          <w:spacing w:val="-12"/>
        </w:rPr>
        <w:t> </w:t>
      </w:r>
      <w:r>
        <w:rPr/>
        <w:t>gauges</w:t>
      </w:r>
      <w:r>
        <w:rPr>
          <w:spacing w:val="-13"/>
        </w:rPr>
        <w:t> </w:t>
      </w:r>
      <w:r>
        <w:rPr/>
        <w:t>were</w:t>
      </w:r>
      <w:r>
        <w:rPr>
          <w:spacing w:val="-12"/>
        </w:rPr>
        <w:t> </w:t>
      </w:r>
      <w:r>
        <w:rPr/>
        <w:t>placed</w:t>
      </w:r>
      <w:r>
        <w:rPr>
          <w:spacing w:val="-13"/>
        </w:rPr>
        <w:t> </w:t>
      </w:r>
      <w:r>
        <w:rPr/>
        <w:t>to</w:t>
      </w:r>
      <w:r>
        <w:rPr>
          <w:spacing w:val="-12"/>
        </w:rPr>
        <w:t> </w:t>
      </w:r>
      <w:r>
        <w:rPr/>
        <w:t>measure</w:t>
      </w:r>
      <w:r>
        <w:rPr>
          <w:spacing w:val="-12"/>
        </w:rPr>
        <w:t> </w:t>
      </w:r>
      <w:r>
        <w:rPr/>
        <w:t>reflected</w:t>
      </w:r>
      <w:r>
        <w:rPr>
          <w:spacing w:val="-12"/>
        </w:rPr>
        <w:t> </w:t>
      </w:r>
      <w:r>
        <w:rPr/>
        <w:t>pressure,</w:t>
      </w:r>
      <w:r>
        <w:rPr>
          <w:spacing w:val="-58"/>
        </w:rPr>
        <w:t> </w:t>
      </w:r>
      <w:r>
        <w:rPr/>
        <w:t>internal</w:t>
      </w:r>
      <w:r>
        <w:rPr>
          <w:spacing w:val="-6"/>
        </w:rPr>
        <w:t> </w:t>
      </w:r>
      <w:r>
        <w:rPr/>
        <w:t>pressure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each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three</w:t>
      </w:r>
      <w:r>
        <w:rPr>
          <w:spacing w:val="-6"/>
        </w:rPr>
        <w:t> </w:t>
      </w:r>
      <w:r>
        <w:rPr/>
        <w:t>structures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incident</w:t>
      </w:r>
      <w:r>
        <w:rPr>
          <w:spacing w:val="-6"/>
        </w:rPr>
        <w:t> </w:t>
      </w:r>
      <w:r>
        <w:rPr/>
        <w:t>overpressure</w:t>
      </w:r>
      <w:r>
        <w:rPr>
          <w:spacing w:val="-6"/>
        </w:rPr>
        <w:t> </w:t>
      </w:r>
      <w:r>
        <w:rPr/>
        <w:t>at</w:t>
      </w:r>
      <w:r>
        <w:rPr>
          <w:spacing w:val="-6"/>
        </w:rPr>
        <w:t> </w:t>
      </w:r>
      <w:r>
        <w:rPr/>
        <w:t>a</w:t>
      </w:r>
      <w:r>
        <w:rPr>
          <w:spacing w:val="-6"/>
        </w:rPr>
        <w:t> </w:t>
      </w:r>
      <w:r>
        <w:rPr/>
        <w:t>gauge</w:t>
      </w:r>
      <w:r>
        <w:rPr>
          <w:spacing w:val="-6"/>
        </w:rPr>
        <w:t> </w:t>
      </w:r>
      <w:r>
        <w:rPr/>
        <w:t>places</w:t>
      </w:r>
      <w:r>
        <w:rPr>
          <w:spacing w:val="-57"/>
        </w:rPr>
        <w:t> </w:t>
      </w:r>
      <w:r>
        <w:rPr/>
        <w:t>75-feet away from the explosive charge.</w:t>
      </w:r>
      <w:r>
        <w:rPr>
          <w:spacing w:val="1"/>
        </w:rPr>
        <w:t> </w:t>
      </w:r>
      <w:r>
        <w:rPr/>
        <w:t>Displacement gauges were also used to measure</w:t>
      </w:r>
      <w:r>
        <w:rPr>
          <w:spacing w:val="-57"/>
        </w:rPr>
        <w:t> </w:t>
      </w:r>
      <w:r>
        <w:rPr/>
        <w:t>out-of-plane</w:t>
      </w:r>
      <w:r>
        <w:rPr>
          <w:spacing w:val="-2"/>
        </w:rPr>
        <w:t> </w:t>
      </w:r>
      <w:r>
        <w:rPr/>
        <w:t>displacement of</w:t>
      </w:r>
      <w:r>
        <w:rPr>
          <w:spacing w:val="-1"/>
        </w:rPr>
        <w:t> </w:t>
      </w:r>
      <w:r>
        <w:rPr/>
        <w:t>the wall panels [118].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before="6"/>
        <w:rPr>
          <w:sz w:val="23"/>
        </w:rPr>
      </w:pPr>
    </w:p>
    <w:p>
      <w:pPr>
        <w:pStyle w:val="BodyText"/>
        <w:ind w:left="1640"/>
        <w:rPr>
          <w:sz w:val="20"/>
        </w:rPr>
      </w:pPr>
      <w:r>
        <w:rPr>
          <w:sz w:val="20"/>
        </w:rPr>
        <w:pict>
          <v:group style="width:305.25pt;height:212.25pt;mso-position-horizontal-relative:char;mso-position-vertical-relative:line" coordorigin="0,0" coordsize="6105,4245">
            <v:shape style="position:absolute;left:638;top:1073;width:4968;height:3167" coordorigin="639,1073" coordsize="4968,3167" path="m639,3590l640,3513,643,3436,649,3361,657,3285,667,3211,679,3137,693,3064,709,2992,728,2921,748,2850,770,2780,794,2712,820,2644,848,2577,878,2511,910,2446,943,2382,978,2320,1015,2258,1053,2198,1093,2138,1135,2080,1178,2024,1223,1968,1269,1914,1317,1862,1366,1810,1417,1760,1469,1712,1522,1665,1577,1620,1633,1576,1690,1534,1749,1493,1808,1454,1869,1417,1931,1381,1994,1348,2058,1316,2123,1285,2189,1257,2256,1231,2324,1206,2393,1184,2462,1163,2533,1145,2604,1128,2676,1114,2749,1102,2822,1091,2896,1084,2971,1078,3047,1074,3123,1073,3198,1074,3274,1078,3349,1084,3423,1091,3496,1102,3569,1114,3641,1128,3712,1145,3783,1163,3852,1184,3921,1206,3989,1231,4056,1257,4122,1285,4187,1316,4251,1348,4314,1381,4376,1417,4437,1454,4496,1493,4555,1534,4612,1576,4668,1620,4723,1665,4776,1712,4828,1760,4879,1810,4928,1862,4976,1914,5022,1968,5067,2024,5110,2080,5152,2138,5192,2198,5230,2258,5267,2320,5302,2382,5335,2446,5367,2511,5397,2577,5425,2644,5451,2712,5475,2780,5497,2850,5517,2921,5536,2992,5552,3064,5566,3137,5578,3211,5588,3285,5596,3361,5602,3436,5605,3513,5606,3590,5605,3667,5602,3743,5596,3819,5588,3894,5578,3968,5566,4042,5552,4115,5536,4187,5522,4240e" filled="false" stroked="true" strokeweight=".450656pt" strokecolor="#000000">
              <v:path arrowok="t"/>
              <v:stroke dashstyle="solid"/>
            </v:shape>
            <v:rect style="position:absolute;left:0;top:3400;width:6105;height:839" filled="true" fillcolor="#ffffff" stroked="false">
              <v:fill type="solid"/>
            </v:rect>
            <v:shape style="position:absolute;left:290;top:538;width:1594;height:1599" coordorigin="290,539" coordsize="1594,1599" path="m1884,1290l1049,2137,290,1386,1125,539,1884,1290xe" filled="true" fillcolor="#7f6000" stroked="false">
              <v:path arrowok="t"/>
              <v:fill opacity="46003f" type="solid"/>
            </v:shape>
            <v:shape style="position:absolute;left:290;top:538;width:1594;height:1599" coordorigin="290,539" coordsize="1594,1599" path="m290,1386l1125,539,1884,1290,1049,2137,290,1386xe" filled="false" stroked="true" strokeweight=".450446pt" strokecolor="#000000">
              <v:path arrowok="t"/>
              <v:stroke dashstyle="solid"/>
            </v:shape>
            <v:shape style="position:absolute;left:927;top:1210;width:312;height:240" type="#_x0000_t75" stroked="false">
              <v:imagedata r:id="rId421" o:title=""/>
            </v:shape>
            <v:shape style="position:absolute;left:4358;top:543;width:1596;height:1594" coordorigin="4359,544" coordsize="1596,1594" path="m5228,2137l4359,1326,5085,544,5955,1354,5228,2137xe" filled="true" fillcolor="#7f6000" stroked="false">
              <v:path arrowok="t"/>
              <v:fill opacity="46003f" type="solid"/>
            </v:shape>
            <v:shape style="position:absolute;left:4358;top:543;width:1596;height:1594" coordorigin="4359,544" coordsize="1596,1594" path="m5085,544l5955,1354,5228,2137,4359,1326,5085,544xe" filled="false" stroked="true" strokeweight=".450444pt" strokecolor="#000000">
              <v:path arrowok="t"/>
              <v:stroke dashstyle="solid"/>
            </v:shape>
            <v:shape style="position:absolute;left:5045;top:1181;width:254;height:310" type="#_x0000_t75" stroked="false">
              <v:imagedata r:id="rId422" o:title=""/>
            </v:shape>
            <v:line style="position:absolute" from="3123,1073" to="3123,3401" stroked="true" strokeweight=".224959pt" strokecolor="#000000">
              <v:stroke dashstyle="longdash"/>
            </v:line>
            <v:line style="position:absolute" from="4793,1731" to="3145,3401" stroked="true" strokeweight=".225216pt" strokecolor="#000000">
              <v:stroke dashstyle="longdash"/>
            </v:line>
            <v:line style="position:absolute" from="1466,1714" to="3076,3401" stroked="true" strokeweight=".225207pt" strokecolor="#000000">
              <v:stroke dashstyle="longdash"/>
            </v:line>
            <v:line style="position:absolute" from="639,3401" to="5606,3401" stroked="true" strokeweight=".225479pt" strokecolor="#000000">
              <v:stroke dashstyle="solid"/>
            </v:line>
            <v:shape style="position:absolute;left:2798;top:3076;width:648;height:650" type="#_x0000_t75" stroked="false">
              <v:imagedata r:id="rId423" o:title=""/>
            </v:shape>
            <v:shape style="position:absolute;left:2798;top:3076;width:648;height:650" coordorigin="2799,3076" coordsize="648,650" path="m3123,3251l3234,3076,3223,3236,3350,3210,3300,3296,3431,3321,3327,3391,3446,3476,3304,3465,3343,3620,3219,3511,3196,3670,3114,3525,3053,3726,3030,3546,2941,3606,2969,3495,2803,3515,2910,3430,2799,3335,2937,3305,2810,3145,3018,3266,3049,3145,3123,3251xe" filled="false" stroked="true" strokeweight=".450436pt" strokecolor="#000000">
              <v:path arrowok="t"/>
              <v:stroke dashstyle="solid"/>
            </v:shape>
            <v:shape style="position:absolute;left:2898;top:3850;width:465;height:240" type="#_x0000_t202" filled="false" stroked="false">
              <v:textbox inset="0,0,0,0">
                <w:txbxContent>
                  <w:p>
                    <w:pPr>
                      <w:spacing w:line="238" w:lineRule="exact" w:before="0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w w:val="105"/>
                        <w:sz w:val="21"/>
                      </w:rPr>
                      <w:t>Blast</w:t>
                    </w:r>
                  </w:p>
                </w:txbxContent>
              </v:textbox>
              <w10:wrap type="none"/>
            </v:shape>
            <v:shape style="position:absolute;left:2528;top:4;width:1188;height:1069" type="#_x0000_t202" filled="true" fillcolor="#7f6000" stroked="true" strokeweight=".450501pt" strokecolor="#000000">
              <v:textbox inset="0,0,0,0">
                <w:txbxContent>
                  <w:p>
                    <w:pPr>
                      <w:spacing w:line="240" w:lineRule="auto" w:before="9"/>
                      <w:rPr>
                        <w:sz w:val="33"/>
                      </w:rPr>
                    </w:pPr>
                  </w:p>
                  <w:p>
                    <w:pPr>
                      <w:spacing w:before="0"/>
                      <w:ind w:left="430" w:right="430" w:firstLine="0"/>
                      <w:jc w:val="center"/>
                      <w:rPr>
                        <w:sz w:val="25"/>
                      </w:rPr>
                    </w:pPr>
                    <w:r>
                      <w:rPr>
                        <w:sz w:val="25"/>
                      </w:rPr>
                      <w:t>E1</w:t>
                    </w:r>
                  </w:p>
                </w:txbxContent>
              </v:textbox>
              <v:fill opacity="46003f" type="solid"/>
              <v:stroke dashstyle="solid"/>
              <w10:wrap type="none"/>
            </v:shape>
          </v:group>
        </w:pict>
      </w:r>
      <w:r>
        <w:rPr>
          <w:sz w:val="20"/>
        </w:rPr>
      </w:r>
    </w:p>
    <w:p>
      <w:pPr>
        <w:spacing w:before="135"/>
        <w:ind w:left="18" w:right="0" w:firstLine="0"/>
        <w:jc w:val="center"/>
        <w:rPr>
          <w:i/>
          <w:sz w:val="24"/>
        </w:rPr>
      </w:pPr>
      <w:bookmarkStart w:name="_bookmark180" w:id="533"/>
      <w:bookmarkEnd w:id="533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8-5.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Schematic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live-test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set-up.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1"/>
        </w:rPr>
      </w:pPr>
      <w:r>
        <w:rPr/>
        <w:pict>
          <v:group style="position:absolute;margin-left:142.94072pt;margin-top:14.091148pt;width:362.95pt;height:110.1pt;mso-position-horizontal-relative:page;mso-position-vertical-relative:paragraph;z-index:-15559168;mso-wrap-distance-left:0;mso-wrap-distance-right:0" coordorigin="2859,282" coordsize="7259,2202">
            <v:rect style="position:absolute;left:7212;top:1133;width:1444;height:244" filled="true" fillcolor="#ffd966" stroked="false">
              <v:fill type="solid"/>
            </v:rect>
            <v:rect style="position:absolute;left:7212;top:1133;width:1444;height:244" filled="false" stroked="true" strokeweight=".450723pt" strokecolor="#7f6000">
              <v:stroke dashstyle="solid"/>
            </v:rect>
            <v:shape style="position:absolute;left:7561;top:1188;width:662;height:189" coordorigin="7562,1189" coordsize="662,189" path="m7562,1373l7611,1278,7665,1241,7733,1212,7813,1194,7901,1189,7988,1197,8065,1216,8130,1246,8180,1284,8212,1328,8224,1378e" filled="false" stroked="true" strokeweight=".676028pt" strokecolor="#7f6000">
              <v:path arrowok="t"/>
              <v:stroke dashstyle="solid"/>
            </v:shape>
            <v:shape style="position:absolute;left:7345;top:1134;width:1095;height:243" coordorigin="7345,1134" coordsize="1095,243" path="m7363,1377l7345,1338,7350,1300,7375,1264,7481,1200,7558,1174,7649,1154,7753,1140,7851,1134,7947,1135,8040,1141,8128,1153,8208,1169,8280,1191,8341,1216,8423,1278,8440,1321,8439,1342,8431,1364e" filled="false" stroked="true" strokeweight=".676056pt" strokecolor="#7f6000">
              <v:path arrowok="t"/>
              <v:stroke dashstyle="solid"/>
            </v:shape>
            <v:shape style="position:absolute;left:7655;top:1232;width:475;height:149" coordorigin="7655,1232" coordsize="475,149" path="m7655,1377l7676,1320,7729,1273,7805,1242,7898,1232,7989,1245,8062,1277,8112,1324,8130,1381e" filled="false" stroked="true" strokeweight=".675963pt" strokecolor="#7f6000">
              <v:path arrowok="t"/>
              <v:stroke dashstyle="solid"/>
            </v:shape>
            <v:shape style="position:absolute;left:8352;top:1142;width:223;height:244" coordorigin="8352,1142" coordsize="223,244" path="m8352,1142l8422,1155,8483,1189,8532,1242,8563,1309,8574,1386e" filled="false" stroked="true" strokeweight=".675252pt" strokecolor="#7f6000">
              <v:path arrowok="t"/>
              <v:stroke dashstyle="solid"/>
            </v:shape>
            <v:shape style="position:absolute;left:7255;top:1140;width:228;height:234" coordorigin="7256,1141" coordsize="228,234" path="m7256,1375l7264,1305,7294,1242,7344,1192,7408,1157,7483,1141e" filled="false" stroked="true" strokeweight=".675374pt" strokecolor="#7f6000">
              <v:path arrowok="t"/>
              <v:stroke dashstyle="solid"/>
            </v:shape>
            <v:rect style="position:absolute;left:5768;top:1133;width:1444;height:244" filled="true" fillcolor="#ffd966" stroked="false">
              <v:fill type="solid"/>
            </v:rect>
            <v:rect style="position:absolute;left:5768;top:1133;width:1444;height:244" filled="false" stroked="true" strokeweight=".450723pt" strokecolor="#7f6000">
              <v:stroke dashstyle="solid"/>
            </v:rect>
            <v:shape style="position:absolute;left:5768;top:1232;width:217;height:145" coordorigin="5769,1232" coordsize="217,145" path="m5769,1232l5853,1243,5922,1274,5968,1320,5985,1377e" filled="false" stroked="true" strokeweight=".675614pt" strokecolor="#7f6000">
              <v:path arrowok="t"/>
              <v:stroke dashstyle="solid"/>
            </v:shape>
            <v:shape style="position:absolute;left:5893;top:1136;width:255;height:242" coordorigin="5893,1137" coordsize="255,242" path="m5893,1137l5974,1149,6044,1184,6099,1236,6135,1302,6148,1379e" filled="false" stroked="true" strokeweight=".675399pt" strokecolor="#7f6000">
              <v:path arrowok="t"/>
              <v:stroke dashstyle="solid"/>
            </v:shape>
            <v:shape style="position:absolute;left:6116;top:1140;width:148;height:234" coordorigin="6117,1141" coordsize="148,234" path="m6117,1141l6180,1181,6228,1236,6257,1302,6264,1374e" filled="false" stroked="true" strokeweight=".675023pt" strokecolor="#7f6000">
              <v:path arrowok="t"/>
              <v:stroke dashstyle="solid"/>
            </v:shape>
            <v:shape style="position:absolute;left:6240;top:1140;width:142;height:237" coordorigin="6241,1140" coordsize="142,237" path="m6241,1140l6304,1182,6350,1238,6377,1305,6383,1377e" filled="false" stroked="true" strokeweight=".675018pt" strokecolor="#7f6000">
              <v:path arrowok="t"/>
              <v:stroke dashstyle="solid"/>
            </v:shape>
            <v:shape style="position:absolute;left:6384;top:1142;width:142;height:237" coordorigin="6384,1143" coordsize="142,237" path="m6384,1143l6447,1185,6493,1241,6520,1307,6526,1380e" filled="false" stroked="true" strokeweight=".675018pt" strokecolor="#7f6000">
              <v:path arrowok="t"/>
              <v:stroke dashstyle="solid"/>
            </v:shape>
            <v:shape style="position:absolute;left:6549;top:1137;width:142;height:237" coordorigin="6550,1137" coordsize="142,237" path="m6550,1137l6613,1179,6659,1235,6686,1302,6692,1374e" filled="false" stroked="true" strokeweight=".675018pt" strokecolor="#7f6000">
              <v:path arrowok="t"/>
              <v:stroke dashstyle="solid"/>
            </v:shape>
            <v:shape style="position:absolute;left:6724;top:1140;width:142;height:237" coordorigin="6725,1140" coordsize="142,237" path="m6725,1140l6788,1182,6834,1238,6861,1305,6867,1377e" filled="false" stroked="true" strokeweight=".675018pt" strokecolor="#7f6000">
              <v:path arrowok="t"/>
              <v:stroke dashstyle="solid"/>
            </v:shape>
            <v:shape style="position:absolute;left:6910;top:1142;width:142;height:237" coordorigin="6911,1143" coordsize="142,237" path="m6911,1143l6973,1184,7020,1241,7047,1307,7053,1379e" filled="false" stroked="true" strokeweight=".675018pt" strokecolor="#7f6000">
              <v:path arrowok="t"/>
              <v:stroke dashstyle="solid"/>
            </v:shape>
            <v:rect style="position:absolute;left:4319;top:1133;width:1444;height:244" filled="true" fillcolor="#ffd966" stroked="false">
              <v:fill type="solid"/>
            </v:rect>
            <v:rect style="position:absolute;left:4319;top:1133;width:1444;height:244" filled="false" stroked="true" strokeweight=".450723pt" strokecolor="#7f6000">
              <v:stroke dashstyle="solid"/>
            </v:rect>
            <v:shape style="position:absolute;left:4669;top:1188;width:662;height:189" coordorigin="4670,1189" coordsize="662,189" path="m4670,1373l4719,1278,4773,1241,4841,1212,4921,1194,5009,1189,5095,1197,5173,1216,5238,1246,5288,1284,5320,1328,5332,1378e" filled="false" stroked="true" strokeweight=".676028pt" strokecolor="#7f6000">
              <v:path arrowok="t"/>
              <v:stroke dashstyle="solid"/>
            </v:shape>
            <v:shape style="position:absolute;left:4453;top:1134;width:1095;height:243" coordorigin="4453,1134" coordsize="1095,243" path="m4471,1377l4453,1338,4458,1300,4483,1264,4589,1200,4666,1174,4757,1154,4861,1140,4959,1134,5055,1135,5148,1141,5236,1153,5316,1169,5388,1191,5449,1216,5531,1278,5548,1321,5547,1342,5539,1364e" filled="false" stroked="true" strokeweight=".676056pt" strokecolor="#7f6000">
              <v:path arrowok="t"/>
              <v:stroke dashstyle="solid"/>
            </v:shape>
            <v:shape style="position:absolute;left:4763;top:1232;width:475;height:149" coordorigin="4763,1232" coordsize="475,149" path="m4763,1377l4784,1320,4837,1273,4913,1242,5006,1232,5097,1245,5170,1277,5220,1324,5238,1381e" filled="false" stroked="true" strokeweight=".675963pt" strokecolor="#7f6000">
              <v:path arrowok="t"/>
              <v:stroke dashstyle="solid"/>
            </v:shape>
            <v:shape style="position:absolute;left:5460;top:1142;width:223;height:244" coordorigin="5460,1142" coordsize="223,244" path="m5460,1142l5530,1155,5591,1189,5639,1242,5671,1309,5682,1386e" filled="false" stroked="true" strokeweight=".675252pt" strokecolor="#7f6000">
              <v:path arrowok="t"/>
              <v:stroke dashstyle="solid"/>
            </v:shape>
            <v:shape style="position:absolute;left:4363;top:1140;width:228;height:234" coordorigin="4364,1141" coordsize="228,234" path="m4364,1375l4372,1305,4402,1242,4451,1192,4516,1157,4591,1141e" filled="false" stroked="true" strokeweight=".675374pt" strokecolor="#7f6000">
              <v:path arrowok="t"/>
              <v:stroke dashstyle="solid"/>
            </v:shape>
            <v:rect style="position:absolute;left:2866;top:1135;width:1444;height:240" filled="true" fillcolor="#ffd966" stroked="false">
              <v:fill type="solid"/>
            </v:rect>
            <v:rect style="position:absolute;left:2866;top:1135;width:1444;height:240" filled="false" stroked="true" strokeweight=".450724pt" strokecolor="#7f6000">
              <v:stroke dashstyle="solid"/>
            </v:rect>
            <v:shape style="position:absolute;left:4092;top:1136;width:217;height:143" coordorigin="4093,1136" coordsize="217,143" path="m4309,1279l4225,1268,4156,1237,4110,1192,4093,1136e" filled="false" stroked="true" strokeweight=".675624pt" strokecolor="#7f6000">
              <v:path arrowok="t"/>
              <v:stroke dashstyle="solid"/>
            </v:shape>
            <v:shape style="position:absolute;left:3930;top:1134;width:255;height:239" coordorigin="3930,1134" coordsize="255,239" path="m4185,1372l4104,1360,4035,1326,3979,1275,3943,1209,3930,1134e" filled="false" stroked="true" strokeweight=".675411pt" strokecolor="#7f6000">
              <v:path arrowok="t"/>
              <v:stroke dashstyle="solid"/>
            </v:shape>
            <v:shape style="position:absolute;left:3814;top:1138;width:149;height:231" coordorigin="3814,1139" coordsize="149,231" path="m3963,1369l3899,1329,3851,1275,3822,1210,3814,1139e" filled="false" stroked="true" strokeweight=".675037pt" strokecolor="#7f6000">
              <v:path arrowok="t"/>
              <v:stroke dashstyle="solid"/>
            </v:shape>
            <v:shape style="position:absolute;left:3695;top:1135;width:144;height:234" coordorigin="3696,1136" coordsize="144,234" path="m3839,1370l3776,1328,3729,1273,3701,1207,3696,1136e" filled="false" stroked="true" strokeweight=".675031pt" strokecolor="#7f6000">
              <v:path arrowok="t"/>
              <v:stroke dashstyle="solid"/>
            </v:shape>
            <v:shape style="position:absolute;left:3552;top:1133;width:144;height:234" coordorigin="3552,1133" coordsize="144,234" path="m3695,1367l3632,1326,3585,1270,3558,1205,3552,1133e" filled="false" stroked="true" strokeweight=".675031pt" strokecolor="#7f6000">
              <v:path arrowok="t"/>
              <v:stroke dashstyle="solid"/>
            </v:shape>
            <v:shape style="position:absolute;left:3386;top:1138;width:144;height:234" coordorigin="3386,1138" coordsize="144,234" path="m3530,1372l3466,1331,3420,1276,3392,1210,3386,1138e" filled="false" stroked="true" strokeweight=".675031pt" strokecolor="#7f6000">
              <v:path arrowok="t"/>
              <v:stroke dashstyle="solid"/>
            </v:shape>
            <v:shape style="position:absolute;left:3211;top:1135;width:144;height:234" coordorigin="3212,1136" coordsize="144,234" path="m3355,1370l3292,1328,3245,1273,3217,1207,3212,1136e" filled="false" stroked="true" strokeweight=".675031pt" strokecolor="#7f6000">
              <v:path arrowok="t"/>
              <v:stroke dashstyle="solid"/>
            </v:shape>
            <v:shape style="position:absolute;left:3025;top:1133;width:144;height:234" coordorigin="3026,1133" coordsize="144,234" path="m3169,1367l3106,1326,3059,1271,3031,1205,3026,1133e" filled="false" stroked="true" strokeweight=".675031pt" strokecolor="#7f6000">
              <v:path arrowok="t"/>
              <v:stroke dashstyle="solid"/>
            </v:shape>
            <v:rect style="position:absolute;left:2866;top:1380;width:7247;height:246" filled="true" fillcolor="#ffd966" stroked="false">
              <v:fill type="solid"/>
            </v:rect>
            <v:rect style="position:absolute;left:2866;top:1380;width:7247;height:246" filled="false" stroked="true" strokeweight=".450746pt" strokecolor="#7f6000">
              <v:stroke dashstyle="solid"/>
            </v:rect>
            <v:rect style="position:absolute;left:2863;top:1632;width:1444;height:244" filled="true" fillcolor="#ffd966" stroked="false">
              <v:fill type="solid"/>
            </v:rect>
            <v:rect style="position:absolute;left:2863;top:1632;width:1444;height:244" filled="false" stroked="true" strokeweight=".450723pt" strokecolor="#7f6000">
              <v:stroke dashstyle="solid"/>
            </v:rect>
            <v:shape style="position:absolute;left:3295;top:1632;width:662;height:189" coordorigin="3295,1632" coordsize="662,189" path="m3957,1637l3908,1732,3854,1769,3786,1798,3706,1816,3618,1821,3531,1813,3454,1794,3389,1764,3339,1726,3307,1682,3295,1632e" filled="false" stroked="true" strokeweight=".676028pt" strokecolor="#7f6000">
              <v:path arrowok="t"/>
              <v:stroke dashstyle="solid"/>
            </v:shape>
            <v:shape style="position:absolute;left:3078;top:1632;width:1095;height:243" coordorigin="3079,1633" coordsize="1095,243" path="m4156,1633l4174,1672,4169,1710,4144,1746,4038,1810,3961,1836,3870,1856,3766,1870,3668,1875,3572,1875,3479,1869,3391,1857,3311,1841,3239,1819,3178,1794,3096,1732,3079,1689,3080,1668,3088,1646e" filled="false" stroked="true" strokeweight=".676056pt" strokecolor="#7f6000">
              <v:path arrowok="t"/>
              <v:stroke dashstyle="solid"/>
            </v:shape>
            <v:shape style="position:absolute;left:3389;top:1629;width:475;height:149" coordorigin="3389,1629" coordsize="475,149" path="m3864,1633l3843,1690,3790,1737,3714,1768,3621,1778,3530,1765,3457,1733,3407,1686,3389,1629e" filled="false" stroked="true" strokeweight=".675963pt" strokecolor="#7f6000">
              <v:path arrowok="t"/>
              <v:stroke dashstyle="solid"/>
            </v:shape>
            <v:shape style="position:absolute;left:2944;top:1624;width:223;height:244" coordorigin="2944,1624" coordsize="223,244" path="m3167,1867l3097,1855,3036,1820,2987,1768,2956,1701,2944,1624e" filled="false" stroked="true" strokeweight=".675252pt" strokecolor="#7f6000">
              <v:path arrowok="t"/>
              <v:stroke dashstyle="solid"/>
            </v:shape>
            <v:shape style="position:absolute;left:4035;top:1635;width:228;height:234" coordorigin="4036,1635" coordsize="228,234" path="m4263,1635l4255,1705,4225,1768,4175,1818,4111,1853,4036,1869e" filled="false" stroked="true" strokeweight=".675374pt" strokecolor="#7f6000">
              <v:path arrowok="t"/>
              <v:stroke dashstyle="solid"/>
            </v:shape>
            <v:rect style="position:absolute;left:4306;top:1632;width:1444;height:244" filled="true" fillcolor="#ffd966" stroked="false">
              <v:fill type="solid"/>
            </v:rect>
            <v:rect style="position:absolute;left:4306;top:1632;width:1444;height:244" filled="false" stroked="true" strokeweight=".450723pt" strokecolor="#7f6000">
              <v:stroke dashstyle="solid"/>
            </v:rect>
            <v:shape style="position:absolute;left:5533;top:1633;width:217;height:145" coordorigin="5534,1633" coordsize="217,145" path="m5750,1778l5666,1767,5597,1736,5551,1690,5534,1633e" filled="false" stroked="true" strokeweight=".675614pt" strokecolor="#7f6000">
              <v:path arrowok="t"/>
              <v:stroke dashstyle="solid"/>
            </v:shape>
            <v:shape style="position:absolute;left:5371;top:1631;width:255;height:242" coordorigin="5371,1631" coordsize="255,242" path="m5626,1873l5545,1861,5475,1826,5420,1774,5384,1708,5371,1631e" filled="false" stroked="true" strokeweight=".675399pt" strokecolor="#7f6000">
              <v:path arrowok="t"/>
              <v:stroke dashstyle="solid"/>
            </v:shape>
            <v:shape style="position:absolute;left:5254;top:1635;width:148;height:234" coordorigin="5255,1636" coordsize="148,234" path="m5402,1869l5339,1829,5291,1774,5262,1708,5255,1636e" filled="false" stroked="true" strokeweight=".675023pt" strokecolor="#7f6000">
              <v:path arrowok="t"/>
              <v:stroke dashstyle="solid"/>
            </v:shape>
            <v:shape style="position:absolute;left:5136;top:1632;width:142;height:237" coordorigin="5136,1633" coordsize="142,237" path="m5278,1870l5215,1828,5169,1772,5142,1705,5136,1633e" filled="false" stroked="true" strokeweight=".675018pt" strokecolor="#7f6000">
              <v:path arrowok="t"/>
              <v:stroke dashstyle="solid"/>
            </v:shape>
            <v:shape style="position:absolute;left:4992;top:1630;width:142;height:237" coordorigin="4993,1630" coordsize="142,237" path="m5135,1867l5072,1825,5026,1769,4998,1703,4993,1630e" filled="false" stroked="true" strokeweight=".675018pt" strokecolor="#7f6000">
              <v:path arrowok="t"/>
              <v:stroke dashstyle="solid"/>
            </v:shape>
            <v:shape style="position:absolute;left:4827;top:1635;width:142;height:237" coordorigin="4827,1636" coordsize="142,237" path="m4969,1872l4906,1831,4860,1774,4833,1708,4827,1636e" filled="false" stroked="true" strokeweight=".675018pt" strokecolor="#7f6000">
              <v:path arrowok="t"/>
              <v:stroke dashstyle="solid"/>
            </v:shape>
            <v:shape style="position:absolute;left:4652;top:1632;width:142;height:237" coordorigin="4652,1633" coordsize="142,237" path="m4794,1870l4731,1828,4685,1772,4658,1705,4652,1633e" filled="false" stroked="true" strokeweight=".675018pt" strokecolor="#7f6000">
              <v:path arrowok="t"/>
              <v:stroke dashstyle="solid"/>
            </v:shape>
            <v:shape style="position:absolute;left:4466;top:1630;width:142;height:237" coordorigin="4466,1631" coordsize="142,237" path="m4608,1867l4545,1826,4499,1769,4472,1703,4466,1631e" filled="false" stroked="true" strokeweight=".675018pt" strokecolor="#7f6000">
              <v:path arrowok="t"/>
              <v:stroke dashstyle="solid"/>
            </v:shape>
            <v:rect style="position:absolute;left:5755;top:1632;width:1444;height:244" filled="true" fillcolor="#ffd966" stroked="false">
              <v:fill type="solid"/>
            </v:rect>
            <v:rect style="position:absolute;left:5755;top:1632;width:1444;height:244" filled="false" stroked="true" strokeweight=".450723pt" strokecolor="#7f6000">
              <v:stroke dashstyle="solid"/>
            </v:rect>
            <v:shape style="position:absolute;left:6187;top:1632;width:662;height:189" coordorigin="6187,1632" coordsize="662,189" path="m6849,1637l6800,1732,6746,1769,6678,1798,6598,1816,6510,1821,6424,1813,6346,1794,6281,1764,6231,1726,6199,1682,6187,1632e" filled="false" stroked="true" strokeweight=".676028pt" strokecolor="#7f6000">
              <v:path arrowok="t"/>
              <v:stroke dashstyle="solid"/>
            </v:shape>
            <v:shape style="position:absolute;left:5970;top:1632;width:1095;height:243" coordorigin="5971,1633" coordsize="1095,243" path="m7048,1633l7066,1672,7061,1710,7036,1746,6930,1810,6853,1836,6762,1856,6658,1870,6560,1875,6464,1875,6371,1869,6283,1857,6203,1841,6131,1819,6070,1794,5988,1732,5971,1689,5972,1668,5980,1646e" filled="false" stroked="true" strokeweight=".676056pt" strokecolor="#7f6000">
              <v:path arrowok="t"/>
              <v:stroke dashstyle="solid"/>
            </v:shape>
            <v:shape style="position:absolute;left:6281;top:1629;width:475;height:149" coordorigin="6281,1629" coordsize="475,149" path="m6756,1633l6735,1690,6682,1737,6606,1768,6513,1778,6422,1765,6349,1733,6299,1686,6281,1629e" filled="false" stroked="true" strokeweight=".675963pt" strokecolor="#7f6000">
              <v:path arrowok="t"/>
              <v:stroke dashstyle="solid"/>
            </v:shape>
            <v:shape style="position:absolute;left:5836;top:1624;width:223;height:244" coordorigin="5837,1624" coordsize="223,244" path="m6059,1867l5989,1855,5928,1820,5879,1768,5848,1701,5837,1624e" filled="false" stroked="true" strokeweight=".675252pt" strokecolor="#7f6000">
              <v:path arrowok="t"/>
              <v:stroke dashstyle="solid"/>
            </v:shape>
            <v:shape style="position:absolute;left:6927;top:1635;width:228;height:234" coordorigin="6928,1635" coordsize="228,234" path="m7155,1635l7147,1705,7117,1768,7068,1818,7003,1853,6928,1869e" filled="false" stroked="true" strokeweight=".675374pt" strokecolor="#7f6000">
              <v:path arrowok="t"/>
              <v:stroke dashstyle="solid"/>
            </v:shape>
            <v:rect style="position:absolute;left:7209;top:1635;width:1483;height:244" filled="true" fillcolor="#ffd966" stroked="false">
              <v:fill type="solid"/>
            </v:rect>
            <v:rect style="position:absolute;left:7209;top:1635;width:1483;height:244" filled="false" stroked="true" strokeweight=".450726pt" strokecolor="#7f6000">
              <v:stroke dashstyle="solid"/>
            </v:rect>
            <v:shape style="position:absolute;left:7209;top:1733;width:217;height:145" coordorigin="7210,1733" coordsize="217,145" path="m7210,1733l7294,1744,7363,1775,7409,1821,7426,1878e" filled="false" stroked="true" strokeweight=".675614pt" strokecolor="#7f6000">
              <v:path arrowok="t"/>
              <v:stroke dashstyle="solid"/>
            </v:shape>
            <v:shape style="position:absolute;left:7334;top:1638;width:255;height:242" coordorigin="7334,1638" coordsize="255,242" path="m7334,1638l7415,1650,7484,1685,7540,1737,7576,1803,7589,1880e" filled="false" stroked="true" strokeweight=".675399pt" strokecolor="#7f6000">
              <v:path arrowok="t"/>
              <v:stroke dashstyle="solid"/>
            </v:shape>
            <v:shape style="position:absolute;left:7557;top:1641;width:148;height:234" coordorigin="7557,1642" coordsize="148,234" path="m7557,1642l7621,1682,7669,1737,7697,1803,7705,1875e" filled="false" stroked="true" strokeweight=".675023pt" strokecolor="#7f6000">
              <v:path arrowok="t"/>
              <v:stroke dashstyle="solid"/>
            </v:shape>
            <v:shape style="position:absolute;left:7681;top:1641;width:142;height:237" coordorigin="7682,1641" coordsize="142,237" path="m7682,1641l7744,1683,7791,1739,7818,1806,7823,1878e" filled="false" stroked="true" strokeweight=".675018pt" strokecolor="#7f6000">
              <v:path arrowok="t"/>
              <v:stroke dashstyle="solid"/>
            </v:shape>
            <v:shape style="position:absolute;left:7825;top:1643;width:142;height:237" coordorigin="7825,1644" coordsize="142,237" path="m7825,1644l7888,1686,7934,1742,7961,1808,7967,1881e" filled="false" stroked="true" strokeweight=".675018pt" strokecolor="#7f6000">
              <v:path arrowok="t"/>
              <v:stroke dashstyle="solid"/>
            </v:shape>
            <v:shape style="position:absolute;left:7990;top:1638;width:142;height:237" coordorigin="7991,1639" coordsize="142,237" path="m7991,1639l8053,1680,8100,1737,8127,1803,8133,1875e" filled="false" stroked="true" strokeweight=".675018pt" strokecolor="#7f6000">
              <v:path arrowok="t"/>
              <v:stroke dashstyle="solid"/>
            </v:shape>
            <v:shape style="position:absolute;left:8165;top:1641;width:142;height:237" coordorigin="8166,1641" coordsize="142,237" path="m8166,1641l8228,1683,8274,1739,8302,1806,8307,1878e" filled="false" stroked="true" strokeweight=".675018pt" strokecolor="#7f6000">
              <v:path arrowok="t"/>
              <v:stroke dashstyle="solid"/>
            </v:shape>
            <v:shape style="position:absolute;left:8351;top:1643;width:142;height:237" coordorigin="8352,1644" coordsize="142,237" path="m8352,1644l8414,1685,8460,1742,8488,1808,8493,1880e" filled="false" stroked="true" strokeweight=".675018pt" strokecolor="#7f6000">
              <v:path arrowok="t"/>
              <v:stroke dashstyle="solid"/>
            </v:shape>
            <v:line style="position:absolute" from="5771,1129" to="5779,1521" stroked="true" strokeweight="1.160339pt" strokecolor="#7f6000">
              <v:stroke dashstyle="solid"/>
            </v:line>
            <v:line style="position:absolute" from="5766,1514" to="7209,1512" stroked="true" strokeweight="1.162968pt" strokecolor="#7f6000">
              <v:stroke dashstyle="solid"/>
            </v:line>
            <v:line style="position:absolute" from="7201,1499" to="7202,1884" stroked="true" strokeweight="1.160338pt" strokecolor="#7f6000">
              <v:stroke dashstyle="solid"/>
            </v:line>
            <v:rect style="position:absolute;left:8666;top:1134;width:1444;height:244" filled="true" fillcolor="#ffd966" stroked="false">
              <v:fill type="solid"/>
            </v:rect>
            <v:rect style="position:absolute;left:8666;top:1134;width:1444;height:244" filled="false" stroked="true" strokeweight=".450723pt" strokecolor="#7f6000">
              <v:stroke dashstyle="solid"/>
            </v:rect>
            <v:shape style="position:absolute;left:8666;top:1232;width:217;height:145" coordorigin="8666,1233" coordsize="217,145" path="m8666,1233l8751,1244,8820,1275,8866,1321,8883,1377e" filled="false" stroked="true" strokeweight=".675614pt" strokecolor="#7f6000">
              <v:path arrowok="t"/>
              <v:stroke dashstyle="solid"/>
            </v:shape>
            <v:shape style="position:absolute;left:8790;top:1137;width:255;height:242" coordorigin="8791,1137" coordsize="255,242" path="m8791,1137l8871,1150,8941,1184,8996,1237,9032,1303,9045,1379e" filled="false" stroked="true" strokeweight=".675399pt" strokecolor="#7f6000">
              <v:path arrowok="t"/>
              <v:stroke dashstyle="solid"/>
            </v:shape>
            <v:shape style="position:absolute;left:9014;top:1141;width:148;height:234" coordorigin="9014,1141" coordsize="148,234" path="m9014,1141l9078,1182,9125,1237,9154,1302,9162,1375e" filled="false" stroked="true" strokeweight=".675023pt" strokecolor="#7f6000">
              <v:path arrowok="t"/>
              <v:stroke dashstyle="solid"/>
            </v:shape>
            <v:shape style="position:absolute;left:9138;top:1140;width:142;height:237" coordorigin="9138,1141" coordsize="142,237" path="m9138,1141l9201,1182,9247,1239,9275,1305,9280,1377e" filled="false" stroked="true" strokeweight=".675018pt" strokecolor="#7f6000">
              <v:path arrowok="t"/>
              <v:stroke dashstyle="solid"/>
            </v:shape>
            <v:shape style="position:absolute;left:9281;top:1143;width:142;height:237" coordorigin="9282,1143" coordsize="142,237" path="m9282,1143l9345,1185,9391,1241,9418,1308,9424,1380e" filled="false" stroked="true" strokeweight=".675018pt" strokecolor="#7f6000">
              <v:path arrowok="t"/>
              <v:stroke dashstyle="solid"/>
            </v:shape>
            <v:shape style="position:absolute;left:9447;top:1137;width:142;height:237" coordorigin="9448,1138" coordsize="142,237" path="m9448,1138l9510,1180,9557,1236,9584,1302,9589,1375e" filled="false" stroked="true" strokeweight=".675018pt" strokecolor="#7f6000">
              <v:path arrowok="t"/>
              <v:stroke dashstyle="solid"/>
            </v:shape>
            <v:shape style="position:absolute;left:9622;top:1140;width:142;height:237" coordorigin="9622,1141" coordsize="142,237" path="m9622,1141l9685,1183,9731,1239,9759,1305,9764,1377e" filled="false" stroked="true" strokeweight=".675018pt" strokecolor="#7f6000">
              <v:path arrowok="t"/>
              <v:stroke dashstyle="solid"/>
            </v:shape>
            <v:shape style="position:absolute;left:9808;top:1143;width:142;height:237" coordorigin="9808,1143" coordsize="142,237" path="m9808,1143l9871,1185,9917,1241,9944,1308,9950,1380e" filled="false" stroked="true" strokeweight=".675018pt" strokecolor="#7f6000">
              <v:path arrowok="t"/>
              <v:stroke dashstyle="solid"/>
            </v:shape>
            <v:rect style="position:absolute;left:8666;top:1634;width:1444;height:244" filled="true" fillcolor="#ffd966" stroked="false">
              <v:fill type="solid"/>
            </v:rect>
            <v:rect style="position:absolute;left:8666;top:1634;width:1444;height:244" filled="false" stroked="true" strokeweight=".450723pt" strokecolor="#7f6000">
              <v:stroke dashstyle="solid"/>
            </v:rect>
            <v:shape style="position:absolute;left:9016;top:1689;width:662;height:189" coordorigin="9017,1689" coordsize="662,189" path="m9017,1873l9066,1778,9120,1741,9188,1712,9268,1694,9356,1689,9442,1697,9520,1716,9585,1746,9635,1784,9667,1829,9679,1878e" filled="false" stroked="true" strokeweight=".676028pt" strokecolor="#7f6000">
              <v:path arrowok="t"/>
              <v:stroke dashstyle="solid"/>
            </v:shape>
            <v:shape style="position:absolute;left:8800;top:1634;width:1095;height:243" coordorigin="8800,1635" coordsize="1095,243" path="m8818,1877l8800,1839,8805,1801,8830,1764,8936,1700,9013,1675,9104,1654,9208,1641,9306,1635,9402,1635,9495,1641,9583,1653,9663,1670,9735,1691,9796,1716,9878,1779,9895,1821,9894,1843,9886,1864e" filled="false" stroked="true" strokeweight=".676056pt" strokecolor="#7f6000">
              <v:path arrowok="t"/>
              <v:stroke dashstyle="solid"/>
            </v:shape>
            <v:shape style="position:absolute;left:9110;top:1732;width:475;height:149" coordorigin="9110,1732" coordsize="475,149" path="m9110,1878l9131,1820,9184,1773,9260,1743,9353,1732,9444,1745,9517,1777,9567,1824,9585,1881e" filled="false" stroked="true" strokeweight=".675963pt" strokecolor="#7f6000">
              <v:path arrowok="t"/>
              <v:stroke dashstyle="solid"/>
            </v:shape>
            <v:shape style="position:absolute;left:9807;top:1642;width:223;height:244" coordorigin="9807,1643" coordsize="223,244" path="m9807,1643l9877,1655,9938,1690,9986,1742,10018,1809,10029,1886e" filled="false" stroked="true" strokeweight=".675252pt" strokecolor="#7f6000">
              <v:path arrowok="t"/>
              <v:stroke dashstyle="solid"/>
            </v:shape>
            <v:shape style="position:absolute;left:8710;top:1641;width:228;height:234" coordorigin="8711,1641" coordsize="228,234" path="m8711,1875l8719,1805,8749,1743,8798,1692,8863,1657,8938,1641e" filled="false" stroked="true" strokeweight=".675374pt" strokecolor="#7f6000">
              <v:path arrowok="t"/>
              <v:stroke dashstyle="solid"/>
            </v:shape>
            <v:line style="position:absolute" from="6488,293" to="6518,2471" stroked="true" strokeweight="1.160301pt" strokecolor="#808080">
              <v:stroke dashstyle="solid"/>
            </v:line>
            <v:line style="position:absolute" from="6228,1267" to="6243,1874" stroked="true" strokeweight="1.160318pt" strokecolor="#000000">
              <v:stroke dashstyle="solid"/>
            </v:line>
            <v:line style="position:absolute" from="6760,1277" to="6771,1885" stroked="true" strokeweight="1.160317pt" strokecolor="#000000">
              <v:stroke dashstyle="solid"/>
            </v:line>
            <v:shape style="position:absolute;left:6153;top:1885;width:698;height:6" coordorigin="6154,1886" coordsize="698,6" path="m6154,1886l6317,1886m6687,1891l6851,1891e" filled="false" stroked="true" strokeweight="1.179723pt" strokecolor="#000000">
              <v:path arrowok="t"/>
              <v:stroke dashstyle="solid"/>
            </v:shape>
            <v:line style="position:absolute" from="6887,2273" to="6812,2002" stroked="true" strokeweight="1.011944pt" strokecolor="#000000">
              <v:stroke dashstyle="solid"/>
            </v:line>
            <v:shape style="position:absolute;left:6785;top:1952;width:59;height:67" coordorigin="6786,1953" coordsize="59,67" path="m6799,1953l6844,2003,6786,2019,6799,1953xe" filled="true" fillcolor="#000000" stroked="false">
              <v:path arrowok="t"/>
              <v:fill type="solid"/>
            </v:shape>
            <v:line style="position:absolute" from="6876,2254" to="6305,1956" stroked="true" strokeweight="1.013708pt" strokecolor="#000000">
              <v:stroke dashstyle="solid"/>
            </v:line>
            <v:shape style="position:absolute;left:6260;top:1932;width:68;height:56" coordorigin="6260,1933" coordsize="68,56" path="m6260,1933l6328,1934,6300,1988,6260,1933xe" filled="true" fillcolor="#000000" stroked="false">
              <v:path arrowok="t"/>
              <v:fill type="solid"/>
            </v:shape>
            <v:shape style="position:absolute;left:6552;top:331;width:1284;height:201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Splice</w:t>
                    </w:r>
                    <w:r>
                      <w:rPr>
                        <w:b/>
                        <w:spacing w:val="-6"/>
                        <w:sz w:val="18"/>
                      </w:rPr>
                      <w:t> </w:t>
                    </w:r>
                    <w:r>
                      <w:rPr>
                        <w:b/>
                        <w:sz w:val="18"/>
                      </w:rPr>
                      <w:t>centerline</w:t>
                    </w:r>
                  </w:p>
                </w:txbxContent>
              </v:textbox>
              <w10:wrap type="none"/>
            </v:shape>
            <v:shape style="position:absolute;left:3202;top:844;width:1553;height:201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pacing w:val="-1"/>
                        <w:sz w:val="18"/>
                      </w:rPr>
                      <w:t>3-ply</w:t>
                    </w:r>
                    <w:r>
                      <w:rPr>
                        <w:b/>
                        <w:spacing w:val="-10"/>
                        <w:sz w:val="18"/>
                      </w:rPr>
                      <w:t> </w:t>
                    </w:r>
                    <w:r>
                      <w:rPr>
                        <w:b/>
                        <w:sz w:val="18"/>
                      </w:rPr>
                      <w:t>CLT</w:t>
                    </w:r>
                    <w:r>
                      <w:rPr>
                        <w:b/>
                        <w:spacing w:val="-11"/>
                        <w:sz w:val="18"/>
                      </w:rPr>
                      <w:t> </w:t>
                    </w:r>
                    <w:r>
                      <w:rPr>
                        <w:b/>
                        <w:sz w:val="18"/>
                      </w:rPr>
                      <w:t>panel</w:t>
                    </w:r>
                    <w:r>
                      <w:rPr>
                        <w:b/>
                        <w:spacing w:val="-10"/>
                        <w:sz w:val="18"/>
                      </w:rPr>
                      <w:t> </w:t>
                    </w:r>
                    <w:r>
                      <w:rPr>
                        <w:b/>
                        <w:sz w:val="18"/>
                      </w:rPr>
                      <w:t>‘A’</w:t>
                    </w:r>
                  </w:p>
                </w:txbxContent>
              </v:textbox>
              <w10:wrap type="none"/>
            </v:shape>
            <v:shape style="position:absolute;left:8217;top:826;width:1555;height:201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3-ply</w:t>
                    </w:r>
                    <w:r>
                      <w:rPr>
                        <w:b/>
                        <w:spacing w:val="-9"/>
                        <w:sz w:val="18"/>
                      </w:rPr>
                      <w:t> </w:t>
                    </w:r>
                    <w:r>
                      <w:rPr>
                        <w:b/>
                        <w:sz w:val="18"/>
                      </w:rPr>
                      <w:t>CLT</w:t>
                    </w:r>
                    <w:r>
                      <w:rPr>
                        <w:b/>
                        <w:spacing w:val="-9"/>
                        <w:sz w:val="18"/>
                      </w:rPr>
                      <w:t> </w:t>
                    </w:r>
                    <w:r>
                      <w:rPr>
                        <w:b/>
                        <w:sz w:val="18"/>
                      </w:rPr>
                      <w:t>panel</w:t>
                    </w:r>
                    <w:r>
                      <w:rPr>
                        <w:b/>
                        <w:spacing w:val="-8"/>
                        <w:sz w:val="18"/>
                      </w:rPr>
                      <w:t> </w:t>
                    </w:r>
                    <w:r>
                      <w:rPr>
                        <w:b/>
                        <w:sz w:val="18"/>
                      </w:rPr>
                      <w:t>‘B’</w:t>
                    </w:r>
                  </w:p>
                </w:txbxContent>
              </v:textbox>
              <w10:wrap type="none"/>
            </v:shape>
            <v:shape style="position:absolute;left:6679;top:2283;width:1337;height:201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Staggered</w:t>
                    </w:r>
                    <w:r>
                      <w:rPr>
                        <w:b/>
                        <w:spacing w:val="-11"/>
                        <w:sz w:val="18"/>
                      </w:rPr>
                      <w:t> </w:t>
                    </w:r>
                    <w:r>
                      <w:rPr>
                        <w:b/>
                        <w:sz w:val="18"/>
                      </w:rPr>
                      <w:t>screws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spacing w:before="194"/>
        <w:ind w:left="20" w:right="0" w:firstLine="0"/>
        <w:jc w:val="center"/>
        <w:rPr>
          <w:i/>
          <w:sz w:val="24"/>
        </w:rPr>
      </w:pPr>
      <w:bookmarkStart w:name="_bookmark181" w:id="534"/>
      <w:bookmarkEnd w:id="534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8-6.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Wall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panel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splice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detail.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2"/>
        <w:rPr>
          <w:i/>
          <w:sz w:val="37"/>
        </w:rPr>
      </w:pPr>
    </w:p>
    <w:p>
      <w:pPr>
        <w:pStyle w:val="BodyText"/>
        <w:spacing w:line="480" w:lineRule="auto"/>
        <w:ind w:left="439" w:right="417" w:firstLine="720"/>
        <w:jc w:val="both"/>
      </w:pPr>
      <w:r>
        <w:rPr/>
        <w:t>With the first two explosive loads, which were designed to displace all the grades</w:t>
      </w:r>
      <w:r>
        <w:rPr>
          <w:spacing w:val="1"/>
        </w:rPr>
        <w:t> </w:t>
      </w:r>
      <w:r>
        <w:rPr/>
        <w:t>to their respective elastic limits, based on the quasi-static test results, no damage or</w:t>
      </w:r>
      <w:r>
        <w:rPr>
          <w:spacing w:val="1"/>
        </w:rPr>
        <w:t> </w:t>
      </w:r>
      <w:r>
        <w:rPr/>
        <w:t>permanent deformation was observed. Some knots dislodged from the panels but the CLT</w:t>
      </w:r>
      <w:r>
        <w:rPr>
          <w:spacing w:val="-57"/>
        </w:rPr>
        <w:t> </w:t>
      </w:r>
      <w:r>
        <w:rPr/>
        <w:t>structures</w:t>
      </w:r>
      <w:r>
        <w:rPr>
          <w:spacing w:val="-9"/>
        </w:rPr>
        <w:t> </w:t>
      </w:r>
      <w:r>
        <w:rPr/>
        <w:t>withstood</w:t>
      </w:r>
      <w:r>
        <w:rPr>
          <w:spacing w:val="-9"/>
        </w:rPr>
        <w:t> </w:t>
      </w:r>
      <w:r>
        <w:rPr/>
        <w:t>the</w:t>
      </w:r>
      <w:r>
        <w:rPr>
          <w:spacing w:val="-7"/>
        </w:rPr>
        <w:t> </w:t>
      </w:r>
      <w:r>
        <w:rPr/>
        <w:t>blast</w:t>
      </w:r>
      <w:r>
        <w:rPr>
          <w:spacing w:val="-8"/>
        </w:rPr>
        <w:t> </w:t>
      </w:r>
      <w:r>
        <w:rPr/>
        <w:t>impact</w:t>
      </w:r>
      <w:r>
        <w:rPr>
          <w:spacing w:val="-7"/>
        </w:rPr>
        <w:t> </w:t>
      </w:r>
      <w:r>
        <w:rPr/>
        <w:t>with</w:t>
      </w:r>
      <w:r>
        <w:rPr>
          <w:spacing w:val="-8"/>
        </w:rPr>
        <w:t> </w:t>
      </w:r>
      <w:r>
        <w:rPr/>
        <w:t>no</w:t>
      </w:r>
      <w:r>
        <w:rPr>
          <w:spacing w:val="-7"/>
        </w:rPr>
        <w:t> </w:t>
      </w:r>
      <w:r>
        <w:rPr/>
        <w:t>signs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damage.</w:t>
      </w:r>
      <w:r>
        <w:rPr>
          <w:spacing w:val="45"/>
        </w:rPr>
        <w:t> </w:t>
      </w:r>
      <w:r>
        <w:rPr/>
        <w:t>The</w:t>
      </w:r>
      <w:r>
        <w:rPr>
          <w:spacing w:val="-7"/>
        </w:rPr>
        <w:t> </w:t>
      </w:r>
      <w:r>
        <w:rPr/>
        <w:t>third</w:t>
      </w:r>
      <w:r>
        <w:rPr>
          <w:spacing w:val="-7"/>
        </w:rPr>
        <w:t> </w:t>
      </w:r>
      <w:r>
        <w:rPr/>
        <w:t>test</w:t>
      </w:r>
      <w:r>
        <w:rPr>
          <w:spacing w:val="-7"/>
        </w:rPr>
        <w:t> </w:t>
      </w:r>
      <w:r>
        <w:rPr/>
        <w:t>was</w:t>
      </w:r>
      <w:r>
        <w:rPr>
          <w:spacing w:val="-7"/>
        </w:rPr>
        <w:t> </w:t>
      </w:r>
      <w:r>
        <w:rPr/>
        <w:t>designed</w:t>
      </w:r>
    </w:p>
    <w:p>
      <w:pPr>
        <w:spacing w:after="0" w:line="480" w:lineRule="auto"/>
        <w:jc w:val="both"/>
        <w:sectPr>
          <w:pgSz w:w="12240" w:h="15840"/>
          <w:pgMar w:header="0" w:footer="1064" w:top="1500" w:bottom="1260" w:left="1720" w:right="1020"/>
        </w:sectPr>
      </w:pPr>
    </w:p>
    <w:p>
      <w:pPr>
        <w:pStyle w:val="BodyText"/>
        <w:spacing w:line="480" w:lineRule="auto" w:before="78"/>
        <w:ind w:left="440" w:right="417"/>
        <w:jc w:val="both"/>
      </w:pPr>
      <w:r>
        <w:rPr/>
        <w:t>to cause residual displacement of the Grade E1 panel, with the highest bending strength</w:t>
      </w:r>
      <w:r>
        <w:rPr>
          <w:spacing w:val="1"/>
        </w:rPr>
        <w:t> </w:t>
      </w:r>
      <w:r>
        <w:rPr/>
        <w:t>and modulus of elasticity.</w:t>
      </w:r>
      <w:r>
        <w:rPr>
          <w:spacing w:val="1"/>
        </w:rPr>
        <w:t> </w:t>
      </w:r>
      <w:r>
        <w:rPr/>
        <w:t>The explosive weight was selected with the intent of causing</w:t>
      </w:r>
      <w:r>
        <w:rPr>
          <w:spacing w:val="1"/>
        </w:rPr>
        <w:t> </w:t>
      </w:r>
      <w:r>
        <w:rPr/>
        <w:t>displacement up to 1.5 times its elastic limit [118].</w:t>
      </w:r>
      <w:r>
        <w:rPr>
          <w:spacing w:val="1"/>
        </w:rPr>
        <w:t> </w:t>
      </w:r>
      <w:r>
        <w:rPr/>
        <w:t>Despite those expectations, visible</w:t>
      </w:r>
      <w:r>
        <w:rPr>
          <w:spacing w:val="1"/>
        </w:rPr>
        <w:t> </w:t>
      </w:r>
      <w:r>
        <w:rPr/>
        <w:t>damage</w:t>
      </w:r>
      <w:r>
        <w:rPr>
          <w:spacing w:val="-11"/>
        </w:rPr>
        <w:t> </w:t>
      </w:r>
      <w:r>
        <w:rPr/>
        <w:t>to</w:t>
      </w:r>
      <w:r>
        <w:rPr>
          <w:spacing w:val="-10"/>
        </w:rPr>
        <w:t> </w:t>
      </w:r>
      <w:r>
        <w:rPr/>
        <w:t>all</w:t>
      </w:r>
      <w:r>
        <w:rPr>
          <w:spacing w:val="-10"/>
        </w:rPr>
        <w:t> </w:t>
      </w:r>
      <w:r>
        <w:rPr/>
        <w:t>three</w:t>
      </w:r>
      <w:r>
        <w:rPr>
          <w:spacing w:val="-10"/>
        </w:rPr>
        <w:t> </w:t>
      </w:r>
      <w:r>
        <w:rPr/>
        <w:t>structures</w:t>
      </w:r>
      <w:r>
        <w:rPr>
          <w:spacing w:val="-11"/>
        </w:rPr>
        <w:t> </w:t>
      </w:r>
      <w:r>
        <w:rPr/>
        <w:t>was</w:t>
      </w:r>
      <w:r>
        <w:rPr>
          <w:spacing w:val="-10"/>
        </w:rPr>
        <w:t> </w:t>
      </w:r>
      <w:r>
        <w:rPr/>
        <w:t>only</w:t>
      </w:r>
      <w:r>
        <w:rPr>
          <w:spacing w:val="-11"/>
        </w:rPr>
        <w:t> </w:t>
      </w:r>
      <w:r>
        <w:rPr/>
        <w:t>observable</w:t>
      </w:r>
      <w:r>
        <w:rPr>
          <w:spacing w:val="-11"/>
        </w:rPr>
        <w:t> </w:t>
      </w:r>
      <w:r>
        <w:rPr/>
        <w:t>after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third</w:t>
      </w:r>
      <w:r>
        <w:rPr>
          <w:spacing w:val="-11"/>
        </w:rPr>
        <w:t> </w:t>
      </w:r>
      <w:r>
        <w:rPr/>
        <w:t>test.</w:t>
      </w:r>
      <w:r>
        <w:rPr>
          <w:spacing w:val="40"/>
        </w:rPr>
        <w:t> </w:t>
      </w:r>
      <w:r>
        <w:rPr/>
        <w:t>Both</w:t>
      </w:r>
      <w:r>
        <w:rPr>
          <w:spacing w:val="-12"/>
        </w:rPr>
        <w:t> </w:t>
      </w:r>
      <w:r>
        <w:rPr/>
        <w:t>the</w:t>
      </w:r>
      <w:r>
        <w:rPr>
          <w:spacing w:val="-10"/>
        </w:rPr>
        <w:t> </w:t>
      </w:r>
      <w:r>
        <w:rPr/>
        <w:t>interior</w:t>
      </w:r>
      <w:r>
        <w:rPr>
          <w:spacing w:val="-12"/>
        </w:rPr>
        <w:t> </w:t>
      </w:r>
      <w:r>
        <w:rPr/>
        <w:t>and</w:t>
      </w:r>
      <w:r>
        <w:rPr>
          <w:spacing w:val="-57"/>
        </w:rPr>
        <w:t> </w:t>
      </w:r>
      <w:r>
        <w:rPr/>
        <w:t>exterior faces of the first floor wall panels facing the charge experienced visible lamella</w:t>
      </w:r>
      <w:r>
        <w:rPr>
          <w:spacing w:val="1"/>
        </w:rPr>
        <w:t> </w:t>
      </w:r>
      <w:r>
        <w:rPr/>
        <w:t>fracture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/>
        <w:t>plastic deformation</w:t>
      </w:r>
      <w:r>
        <w:rPr>
          <w:spacing w:val="-1"/>
        </w:rPr>
        <w:t> </w:t>
      </w:r>
      <w:r>
        <w:rPr/>
        <w:t>on the</w:t>
      </w:r>
      <w:r>
        <w:rPr>
          <w:spacing w:val="-1"/>
        </w:rPr>
        <w:t> </w:t>
      </w:r>
      <w:r>
        <w:rPr/>
        <w:t>outermost and</w:t>
      </w:r>
      <w:r>
        <w:rPr>
          <w:spacing w:val="-1"/>
        </w:rPr>
        <w:t> </w:t>
      </w:r>
      <w:r>
        <w:rPr/>
        <w:t>innermost plies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panel.</w:t>
      </w:r>
    </w:p>
    <w:p>
      <w:pPr>
        <w:pStyle w:val="BodyText"/>
        <w:spacing w:line="480" w:lineRule="auto" w:before="160"/>
        <w:ind w:left="440" w:right="417" w:firstLine="720"/>
        <w:jc w:val="both"/>
      </w:pPr>
      <w:r>
        <w:rPr/>
        <w:t>The parties of the cooperative effort created a SDOF model, independent of the</w:t>
      </w:r>
      <w:r>
        <w:rPr>
          <w:spacing w:val="1"/>
        </w:rPr>
        <w:t> </w:t>
      </w:r>
      <w:r>
        <w:rPr/>
        <w:t>model created in this research.</w:t>
      </w:r>
      <w:r>
        <w:rPr>
          <w:spacing w:val="1"/>
        </w:rPr>
        <w:t> </w:t>
      </w:r>
      <w:r>
        <w:rPr/>
        <w:t>Their model used a DIF of 1.25 and assumed simple pin-</w:t>
      </w:r>
      <w:r>
        <w:rPr>
          <w:spacing w:val="1"/>
        </w:rPr>
        <w:t> </w:t>
      </w:r>
      <w:r>
        <w:rPr/>
        <w:t>roller</w:t>
      </w:r>
      <w:r>
        <w:rPr>
          <w:spacing w:val="1"/>
        </w:rPr>
        <w:t> </w:t>
      </w:r>
      <w:r>
        <w:rPr/>
        <w:t>(simply</w:t>
      </w:r>
      <w:r>
        <w:rPr>
          <w:spacing w:val="1"/>
        </w:rPr>
        <w:t> </w:t>
      </w:r>
      <w:r>
        <w:rPr/>
        <w:t>supported)</w:t>
      </w:r>
      <w:r>
        <w:rPr>
          <w:spacing w:val="1"/>
        </w:rPr>
        <w:t> </w:t>
      </w:r>
      <w:r>
        <w:rPr/>
        <w:t>boundary</w:t>
      </w:r>
      <w:r>
        <w:rPr>
          <w:spacing w:val="1"/>
        </w:rPr>
        <w:t> </w:t>
      </w:r>
      <w:r>
        <w:rPr/>
        <w:t>conditions.</w:t>
      </w:r>
      <w:r>
        <w:rPr>
          <w:spacing w:val="1"/>
        </w:rPr>
        <w:t> </w:t>
      </w:r>
      <w:r>
        <w:rPr/>
        <w:t>General</w:t>
      </w:r>
      <w:r>
        <w:rPr>
          <w:spacing w:val="1"/>
        </w:rPr>
        <w:t> </w:t>
      </w:r>
      <w:r>
        <w:rPr/>
        <w:t>observations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model</w:t>
      </w:r>
      <w:r>
        <w:rPr>
          <w:spacing w:val="-57"/>
        </w:rPr>
        <w:t> </w:t>
      </w:r>
      <w:r>
        <w:rPr/>
        <w:t>included that the predicted displacements exceeded the measured value.</w:t>
      </w:r>
      <w:r>
        <w:rPr>
          <w:spacing w:val="1"/>
        </w:rPr>
        <w:t> </w:t>
      </w:r>
      <w:r>
        <w:rPr/>
        <w:t>Differences</w:t>
      </w:r>
      <w:r>
        <w:rPr>
          <w:spacing w:val="1"/>
        </w:rPr>
        <w:t> </w:t>
      </w:r>
      <w:r>
        <w:rPr/>
        <w:t>between the test data and model predictions for the fundamental period were attributed to</w:t>
      </w:r>
      <w:r>
        <w:rPr>
          <w:spacing w:val="1"/>
        </w:rPr>
        <w:t> </w:t>
      </w:r>
      <w:r>
        <w:rPr/>
        <w:t>the actual test conditions having a level of fixity not well represented by the SDOF model</w:t>
      </w:r>
      <w:r>
        <w:rPr>
          <w:spacing w:val="-57"/>
        </w:rPr>
        <w:t> </w:t>
      </w:r>
      <w:r>
        <w:rPr/>
        <w:t>assumption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no rotation</w:t>
      </w:r>
      <w:r>
        <w:rPr>
          <w:spacing w:val="-1"/>
        </w:rPr>
        <w:t> </w:t>
      </w:r>
      <w:r>
        <w:rPr/>
        <w:t>restraint with</w:t>
      </w:r>
      <w:r>
        <w:rPr>
          <w:spacing w:val="-1"/>
        </w:rPr>
        <w:t> </w:t>
      </w:r>
      <w:r>
        <w:rPr/>
        <w:t>simply supported</w:t>
      </w:r>
      <w:r>
        <w:rPr>
          <w:spacing w:val="-1"/>
        </w:rPr>
        <w:t> </w:t>
      </w:r>
      <w:r>
        <w:rPr/>
        <w:t>conditions [118].</w:t>
      </w:r>
    </w:p>
    <w:p>
      <w:pPr>
        <w:pStyle w:val="Heading9"/>
        <w:numPr>
          <w:ilvl w:val="1"/>
          <w:numId w:val="27"/>
        </w:numPr>
        <w:tabs>
          <w:tab w:pos="800" w:val="left" w:leader="none"/>
        </w:tabs>
        <w:spacing w:line="240" w:lineRule="auto" w:before="162" w:after="0"/>
        <w:ind w:left="800" w:right="0" w:hanging="360"/>
        <w:jc w:val="both"/>
      </w:pPr>
      <w:bookmarkStart w:name="_TOC_250012" w:id="535"/>
      <w:bookmarkStart w:name="8.3 SDOF model development and validatio" w:id="536"/>
      <w:r>
        <w:rPr>
          <w:b w:val="0"/>
        </w:rPr>
      </w:r>
      <w:bookmarkEnd w:id="536"/>
      <w:bookmarkStart w:name="8.3 SDOF model development and validatio" w:id="537"/>
      <w:r>
        <w:rPr/>
        <w:t>S</w:t>
      </w:r>
      <w:r>
        <w:rPr/>
        <w:t>DOF</w:t>
      </w:r>
      <w:r>
        <w:rPr>
          <w:spacing w:val="-4"/>
        </w:rPr>
        <w:t> </w:t>
      </w:r>
      <w:r>
        <w:rPr/>
        <w:t>model</w:t>
      </w:r>
      <w:r>
        <w:rPr>
          <w:spacing w:val="-2"/>
        </w:rPr>
        <w:t> </w:t>
      </w:r>
      <w:r>
        <w:rPr/>
        <w:t>development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/>
        <w:t>validation: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/>
        <w:t>CLT</w:t>
      </w:r>
      <w:r>
        <w:rPr>
          <w:spacing w:val="-3"/>
        </w:rPr>
        <w:t> </w:t>
      </w:r>
      <w:r>
        <w:rPr/>
        <w:t>blast</w:t>
      </w:r>
      <w:r>
        <w:rPr>
          <w:spacing w:val="-2"/>
        </w:rPr>
        <w:t> </w:t>
      </w:r>
      <w:r>
        <w:rPr/>
        <w:t>analysis</w:t>
      </w:r>
      <w:r>
        <w:rPr>
          <w:spacing w:val="-2"/>
        </w:rPr>
        <w:t> </w:t>
      </w:r>
      <w:bookmarkEnd w:id="535"/>
      <w:r>
        <w:rPr/>
        <w:t>tool</w:t>
      </w:r>
    </w:p>
    <w:p>
      <w:pPr>
        <w:pStyle w:val="ListParagraph"/>
        <w:numPr>
          <w:ilvl w:val="2"/>
          <w:numId w:val="27"/>
        </w:numPr>
        <w:tabs>
          <w:tab w:pos="980" w:val="left" w:leader="none"/>
        </w:tabs>
        <w:spacing w:line="240" w:lineRule="auto" w:before="140" w:after="0"/>
        <w:ind w:left="980" w:right="0" w:hanging="540"/>
        <w:jc w:val="both"/>
        <w:rPr>
          <w:i/>
          <w:sz w:val="24"/>
        </w:rPr>
      </w:pPr>
      <w:bookmarkStart w:name="8.3.1 Model development with incorporati" w:id="538"/>
      <w:bookmarkEnd w:id="538"/>
      <w:r>
        <w:rPr/>
      </w:r>
      <w:bookmarkStart w:name="8.3.1 Model development with incorporati" w:id="539"/>
      <w:bookmarkEnd w:id="539"/>
      <w:r>
        <w:rPr>
          <w:i/>
          <w:sz w:val="24"/>
        </w:rPr>
        <w:t>Model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development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with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incorporation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CLT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parameters</w:t>
      </w:r>
    </w:p>
    <w:p>
      <w:pPr>
        <w:pStyle w:val="BodyText"/>
        <w:spacing w:before="9"/>
        <w:rPr>
          <w:i/>
          <w:sz w:val="22"/>
        </w:rPr>
      </w:pPr>
    </w:p>
    <w:p>
      <w:pPr>
        <w:pStyle w:val="BodyText"/>
        <w:spacing w:line="480" w:lineRule="auto"/>
        <w:ind w:left="440" w:right="417" w:firstLine="720"/>
        <w:jc w:val="both"/>
      </w:pPr>
      <w:r>
        <w:rPr/>
        <w:t>Using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computer</w:t>
      </w:r>
      <w:r>
        <w:rPr>
          <w:spacing w:val="-6"/>
        </w:rPr>
        <w:t> </w:t>
      </w:r>
      <w:r>
        <w:rPr/>
        <w:t>software</w:t>
      </w:r>
      <w:r>
        <w:rPr>
          <w:spacing w:val="-6"/>
        </w:rPr>
        <w:t> </w:t>
      </w:r>
      <w:r>
        <w:rPr/>
        <w:t>Mathcad,</w:t>
      </w:r>
      <w:r>
        <w:rPr>
          <w:spacing w:val="-7"/>
        </w:rPr>
        <w:t> </w:t>
      </w:r>
      <w:r>
        <w:rPr/>
        <w:t>a</w:t>
      </w:r>
      <w:r>
        <w:rPr>
          <w:spacing w:val="-6"/>
        </w:rPr>
        <w:t> </w:t>
      </w:r>
      <w:r>
        <w:rPr/>
        <w:t>tool</w:t>
      </w:r>
      <w:r>
        <w:rPr>
          <w:spacing w:val="-6"/>
        </w:rPr>
        <w:t> </w:t>
      </w:r>
      <w:r>
        <w:rPr/>
        <w:t>was</w:t>
      </w:r>
      <w:r>
        <w:rPr>
          <w:spacing w:val="-6"/>
        </w:rPr>
        <w:t> </w:t>
      </w:r>
      <w:r>
        <w:rPr/>
        <w:t>developed</w:t>
      </w:r>
      <w:r>
        <w:rPr>
          <w:spacing w:val="-8"/>
        </w:rPr>
        <w:t> </w:t>
      </w:r>
      <w:r>
        <w:rPr/>
        <w:t>for</w:t>
      </w:r>
      <w:r>
        <w:rPr>
          <w:spacing w:val="-6"/>
        </w:rPr>
        <w:t> </w:t>
      </w:r>
      <w:r>
        <w:rPr/>
        <w:t>blast</w:t>
      </w:r>
      <w:r>
        <w:rPr>
          <w:spacing w:val="-7"/>
        </w:rPr>
        <w:t> </w:t>
      </w:r>
      <w:r>
        <w:rPr/>
        <w:t>load</w:t>
      </w:r>
      <w:r>
        <w:rPr>
          <w:spacing w:val="-6"/>
        </w:rPr>
        <w:t> </w:t>
      </w:r>
      <w:r>
        <w:rPr/>
        <w:t>analysis</w:t>
      </w:r>
      <w:r>
        <w:rPr>
          <w:spacing w:val="-58"/>
        </w:rPr>
        <w:t> </w:t>
      </w:r>
      <w:r>
        <w:rPr/>
        <w:t>of CLT using an SDOF model.</w:t>
      </w:r>
      <w:r>
        <w:rPr>
          <w:spacing w:val="1"/>
        </w:rPr>
        <w:t> </w:t>
      </w:r>
      <w:r>
        <w:rPr/>
        <w:t>The tool allows for user specified input parameters that</w:t>
      </w:r>
      <w:r>
        <w:rPr>
          <w:spacing w:val="1"/>
        </w:rPr>
        <w:t> </w:t>
      </w:r>
      <w:r>
        <w:rPr/>
        <w:t>include CLT panel properties and dimensions, the explosive threat of concern, and the</w:t>
      </w:r>
      <w:r>
        <w:rPr>
          <w:spacing w:val="1"/>
        </w:rPr>
        <w:t> </w:t>
      </w:r>
      <w:r>
        <w:rPr/>
        <w:t>structure and blast geometry.</w:t>
      </w:r>
      <w:r>
        <w:rPr>
          <w:spacing w:val="1"/>
        </w:rPr>
        <w:t> </w:t>
      </w:r>
      <w:r>
        <w:rPr/>
        <w:t>It incorporates the shear analogy method of CLT design to</w:t>
      </w:r>
      <w:r>
        <w:rPr>
          <w:spacing w:val="1"/>
        </w:rPr>
        <w:t> </w:t>
      </w:r>
      <w:r>
        <w:rPr/>
        <w:t>account</w:t>
      </w:r>
      <w:r>
        <w:rPr>
          <w:spacing w:val="-14"/>
        </w:rPr>
        <w:t> </w:t>
      </w:r>
      <w:r>
        <w:rPr/>
        <w:t>for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cross-oriented</w:t>
      </w:r>
      <w:r>
        <w:rPr>
          <w:spacing w:val="-13"/>
        </w:rPr>
        <w:t> </w:t>
      </w:r>
      <w:r>
        <w:rPr/>
        <w:t>lamella</w:t>
      </w:r>
      <w:r>
        <w:rPr>
          <w:spacing w:val="-14"/>
        </w:rPr>
        <w:t> </w:t>
      </w:r>
      <w:r>
        <w:rPr/>
        <w:t>in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transverse</w:t>
      </w:r>
      <w:r>
        <w:rPr>
          <w:spacing w:val="-14"/>
        </w:rPr>
        <w:t> </w:t>
      </w:r>
      <w:r>
        <w:rPr/>
        <w:t>plies,</w:t>
      </w:r>
      <w:r>
        <w:rPr>
          <w:spacing w:val="-13"/>
        </w:rPr>
        <w:t> </w:t>
      </w:r>
      <w:r>
        <w:rPr/>
        <w:t>develops</w:t>
      </w:r>
      <w:r>
        <w:rPr>
          <w:spacing w:val="-14"/>
        </w:rPr>
        <w:t> </w:t>
      </w:r>
      <w:r>
        <w:rPr/>
        <w:t>a</w:t>
      </w:r>
      <w:r>
        <w:rPr>
          <w:spacing w:val="-12"/>
        </w:rPr>
        <w:t> </w:t>
      </w:r>
      <w:r>
        <w:rPr/>
        <w:t>resistance</w:t>
      </w:r>
      <w:r>
        <w:rPr>
          <w:spacing w:val="-14"/>
        </w:rPr>
        <w:t> </w:t>
      </w:r>
      <w:r>
        <w:rPr/>
        <w:t>function</w:t>
      </w:r>
      <w:r>
        <w:rPr>
          <w:spacing w:val="-58"/>
        </w:rPr>
        <w:t> </w:t>
      </w:r>
      <w:r>
        <w:rPr/>
        <w:t>for the elastic regime of the specified panel and runs a linear acceleration methodology to</w:t>
      </w:r>
      <w:r>
        <w:rPr>
          <w:spacing w:val="-57"/>
        </w:rPr>
        <w:t> </w:t>
      </w:r>
      <w:r>
        <w:rPr/>
        <w:t>find</w:t>
      </w:r>
      <w:r>
        <w:rPr>
          <w:spacing w:val="-1"/>
        </w:rPr>
        <w:t> </w:t>
      </w:r>
      <w:r>
        <w:rPr/>
        <w:t>the time-history response of</w:t>
      </w:r>
      <w:r>
        <w:rPr>
          <w:spacing w:val="-1"/>
        </w:rPr>
        <w:t> </w:t>
      </w:r>
      <w:r>
        <w:rPr/>
        <w:t>the element.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40" w:right="416" w:firstLine="720"/>
        <w:jc w:val="both"/>
      </w:pPr>
      <w:r>
        <w:rPr/>
        <w:t>The</w:t>
      </w:r>
      <w:r>
        <w:rPr>
          <w:spacing w:val="-11"/>
        </w:rPr>
        <w:t> </w:t>
      </w:r>
      <w:r>
        <w:rPr/>
        <w:t>model</w:t>
      </w:r>
      <w:r>
        <w:rPr>
          <w:spacing w:val="-9"/>
        </w:rPr>
        <w:t> </w:t>
      </w:r>
      <w:r>
        <w:rPr/>
        <w:t>currently</w:t>
      </w:r>
      <w:r>
        <w:rPr>
          <w:spacing w:val="-11"/>
        </w:rPr>
        <w:t> </w:t>
      </w:r>
      <w:r>
        <w:rPr/>
        <w:t>uses</w:t>
      </w:r>
      <w:r>
        <w:rPr>
          <w:spacing w:val="-11"/>
        </w:rPr>
        <w:t> </w:t>
      </w:r>
      <w:r>
        <w:rPr/>
        <w:t>a</w:t>
      </w:r>
      <w:r>
        <w:rPr>
          <w:spacing w:val="-11"/>
        </w:rPr>
        <w:t> </w:t>
      </w:r>
      <w:r>
        <w:rPr/>
        <w:t>perfectly</w:t>
      </w:r>
      <w:r>
        <w:rPr>
          <w:spacing w:val="-11"/>
        </w:rPr>
        <w:t> </w:t>
      </w:r>
      <w:r>
        <w:rPr/>
        <w:t>plastic</w:t>
      </w:r>
      <w:r>
        <w:rPr>
          <w:spacing w:val="-10"/>
        </w:rPr>
        <w:t> </w:t>
      </w:r>
      <w:r>
        <w:rPr/>
        <w:t>response</w:t>
      </w:r>
      <w:r>
        <w:rPr>
          <w:spacing w:val="-11"/>
        </w:rPr>
        <w:t> </w:t>
      </w:r>
      <w:r>
        <w:rPr/>
        <w:t>to</w:t>
      </w:r>
      <w:r>
        <w:rPr>
          <w:spacing w:val="-10"/>
        </w:rPr>
        <w:t> </w:t>
      </w:r>
      <w:r>
        <w:rPr/>
        <w:t>indicate</w:t>
      </w:r>
      <w:r>
        <w:rPr>
          <w:spacing w:val="-11"/>
        </w:rPr>
        <w:t> </w:t>
      </w:r>
      <w:r>
        <w:rPr/>
        <w:t>that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CLT</w:t>
      </w:r>
      <w:r>
        <w:rPr>
          <w:spacing w:val="-11"/>
        </w:rPr>
        <w:t> </w:t>
      </w:r>
      <w:r>
        <w:rPr/>
        <w:t>panel</w:t>
      </w:r>
      <w:r>
        <w:rPr>
          <w:spacing w:val="-57"/>
        </w:rPr>
        <w:t> </w:t>
      </w:r>
      <w:r>
        <w:rPr/>
        <w:t>experiences rupture of an outer ply.</w:t>
      </w:r>
      <w:r>
        <w:rPr>
          <w:spacing w:val="1"/>
        </w:rPr>
        <w:t> </w:t>
      </w:r>
      <w:r>
        <w:rPr/>
        <w:t>If the model predicts inelastic behavior or residual</w:t>
      </w:r>
      <w:r>
        <w:rPr>
          <w:spacing w:val="1"/>
        </w:rPr>
        <w:t> </w:t>
      </w:r>
      <w:r>
        <w:rPr/>
        <w:t>deformation, that indicates rupture of the outermost ply.</w:t>
      </w:r>
      <w:r>
        <w:rPr>
          <w:spacing w:val="1"/>
        </w:rPr>
        <w:t> </w:t>
      </w:r>
      <w:r>
        <w:rPr/>
        <w:t>It does not accurately predict the</w:t>
      </w:r>
      <w:r>
        <w:rPr>
          <w:spacing w:val="-57"/>
        </w:rPr>
        <w:t> </w:t>
      </w:r>
      <w:r>
        <w:rPr/>
        <w:t>behavior of the plastic regime due to a lack of data for the material’s response in that</w:t>
      </w:r>
      <w:r>
        <w:rPr>
          <w:spacing w:val="1"/>
        </w:rPr>
        <w:t> </w:t>
      </w:r>
      <w:r>
        <w:rPr/>
        <w:t>regime.</w:t>
      </w:r>
      <w:r>
        <w:rPr>
          <w:spacing w:val="1"/>
        </w:rPr>
        <w:t> </w:t>
      </w:r>
      <w:r>
        <w:rPr/>
        <w:t>The model estimates the displacement that will cause the rupture of a ply based</w:t>
      </w:r>
      <w:r>
        <w:rPr>
          <w:spacing w:val="1"/>
        </w:rPr>
        <w:t> </w:t>
      </w:r>
      <w:r>
        <w:rPr/>
        <w:t>on</w:t>
      </w:r>
      <w:r>
        <w:rPr>
          <w:spacing w:val="-1"/>
        </w:rPr>
        <w:t> </w:t>
      </w:r>
      <w:r>
        <w:rPr/>
        <w:t>the CLT</w:t>
      </w:r>
      <w:r>
        <w:rPr>
          <w:spacing w:val="-1"/>
        </w:rPr>
        <w:t> </w:t>
      </w:r>
      <w:r>
        <w:rPr/>
        <w:t>panel strengths.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/>
        <w:ind w:left="439" w:right="417" w:firstLine="720"/>
        <w:jc w:val="both"/>
      </w:pPr>
      <w:r>
        <w:rPr/>
        <w:t>Results produced by the tool include plots of the force-time history, resistance-</w:t>
      </w:r>
      <w:r>
        <w:rPr>
          <w:spacing w:val="1"/>
        </w:rPr>
        <w:t> </w:t>
      </w:r>
      <w:r>
        <w:rPr/>
        <w:t>displacement, displacement-time history and dynamic shear history.</w:t>
      </w:r>
      <w:r>
        <w:rPr>
          <w:spacing w:val="1"/>
        </w:rPr>
        <w:t> </w:t>
      </w:r>
      <w:r>
        <w:rPr/>
        <w:t>Additionally, the</w:t>
      </w:r>
      <w:r>
        <w:rPr>
          <w:spacing w:val="1"/>
        </w:rPr>
        <w:t> </w:t>
      </w:r>
      <w:r>
        <w:rPr/>
        <w:t>maximum</w:t>
      </w:r>
      <w:r>
        <w:rPr>
          <w:spacing w:val="1"/>
        </w:rPr>
        <w:t> </w:t>
      </w:r>
      <w:r>
        <w:rPr/>
        <w:t>displacement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panel,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maximum</w:t>
      </w:r>
      <w:r>
        <w:rPr>
          <w:spacing w:val="1"/>
        </w:rPr>
        <w:t> </w:t>
      </w:r>
      <w:r>
        <w:rPr/>
        <w:t>rebound</w:t>
      </w:r>
      <w:r>
        <w:rPr>
          <w:spacing w:val="1"/>
        </w:rPr>
        <w:t> </w:t>
      </w:r>
      <w:r>
        <w:rPr/>
        <w:t>displacement,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maximum dynamic shear load are all identified.</w:t>
      </w:r>
      <w:r>
        <w:rPr>
          <w:spacing w:val="1"/>
        </w:rPr>
        <w:t> </w:t>
      </w:r>
      <w:r>
        <w:rPr/>
        <w:t>The expected damage and level of</w:t>
      </w:r>
      <w:r>
        <w:rPr>
          <w:spacing w:val="1"/>
        </w:rPr>
        <w:t> </w:t>
      </w:r>
      <w:r>
        <w:rPr/>
        <w:t>protection</w:t>
      </w:r>
      <w:r>
        <w:rPr>
          <w:spacing w:val="-5"/>
        </w:rPr>
        <w:t> </w:t>
      </w:r>
      <w:r>
        <w:rPr/>
        <w:t>are</w:t>
      </w:r>
      <w:r>
        <w:rPr>
          <w:spacing w:val="-2"/>
        </w:rPr>
        <w:t> </w:t>
      </w:r>
      <w:r>
        <w:rPr/>
        <w:t>estimated</w:t>
      </w:r>
      <w:r>
        <w:rPr>
          <w:spacing w:val="-4"/>
        </w:rPr>
        <w:t> </w:t>
      </w:r>
      <w:r>
        <w:rPr/>
        <w:t>based</w:t>
      </w:r>
      <w:r>
        <w:rPr>
          <w:spacing w:val="-4"/>
        </w:rPr>
        <w:t> </w:t>
      </w:r>
      <w:r>
        <w:rPr/>
        <w:t>ranges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5"/>
        </w:rPr>
        <w:t> </w:t>
      </w:r>
      <w:r>
        <w:rPr/>
        <w:t>ductility</w:t>
      </w:r>
      <w:r>
        <w:rPr>
          <w:spacing w:val="-4"/>
        </w:rPr>
        <w:t> </w:t>
      </w:r>
      <w:r>
        <w:rPr/>
        <w:t>ratio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support</w:t>
      </w:r>
      <w:r>
        <w:rPr>
          <w:spacing w:val="-3"/>
        </w:rPr>
        <w:t> </w:t>
      </w:r>
      <w:r>
        <w:rPr/>
        <w:t>rotation</w:t>
      </w:r>
      <w:r>
        <w:rPr>
          <w:spacing w:val="-4"/>
        </w:rPr>
        <w:t> </w:t>
      </w:r>
      <w:r>
        <w:rPr/>
        <w:t>as</w:t>
      </w:r>
      <w:r>
        <w:rPr>
          <w:spacing w:val="-3"/>
        </w:rPr>
        <w:t> </w:t>
      </w:r>
      <w:r>
        <w:rPr/>
        <w:t>used</w:t>
      </w:r>
      <w:r>
        <w:rPr>
          <w:spacing w:val="-3"/>
        </w:rPr>
        <w:t> </w:t>
      </w:r>
      <w:r>
        <w:rPr/>
        <w:t>for</w:t>
      </w:r>
      <w:r>
        <w:rPr>
          <w:spacing w:val="-58"/>
        </w:rPr>
        <w:t> </w:t>
      </w:r>
      <w:r>
        <w:rPr>
          <w:spacing w:val="-1"/>
        </w:rPr>
        <w:t>reinforced</w:t>
      </w:r>
      <w:r>
        <w:rPr>
          <w:spacing w:val="-14"/>
        </w:rPr>
        <w:t> </w:t>
      </w:r>
      <w:r>
        <w:rPr>
          <w:spacing w:val="-1"/>
        </w:rPr>
        <w:t>concrete</w:t>
      </w:r>
      <w:r>
        <w:rPr>
          <w:spacing w:val="-13"/>
        </w:rPr>
        <w:t> </w:t>
      </w:r>
      <w:r>
        <w:rPr/>
        <w:t>and</w:t>
      </w:r>
      <w:r>
        <w:rPr>
          <w:spacing w:val="-15"/>
        </w:rPr>
        <w:t> </w:t>
      </w:r>
      <w:r>
        <w:rPr/>
        <w:t>steel.</w:t>
      </w:r>
      <w:r>
        <w:rPr>
          <w:spacing w:val="33"/>
        </w:rPr>
        <w:t> </w:t>
      </w:r>
      <w:r>
        <w:rPr/>
        <w:t>These</w:t>
      </w:r>
      <w:r>
        <w:rPr>
          <w:spacing w:val="-15"/>
        </w:rPr>
        <w:t> </w:t>
      </w:r>
      <w:r>
        <w:rPr/>
        <w:t>expected</w:t>
      </w:r>
      <w:r>
        <w:rPr>
          <w:spacing w:val="-14"/>
        </w:rPr>
        <w:t> </w:t>
      </w:r>
      <w:r>
        <w:rPr/>
        <w:t>behaviors</w:t>
      </w:r>
      <w:r>
        <w:rPr>
          <w:spacing w:val="-12"/>
        </w:rPr>
        <w:t> </w:t>
      </w:r>
      <w:r>
        <w:rPr/>
        <w:t>also</w:t>
      </w:r>
      <w:r>
        <w:rPr>
          <w:spacing w:val="-15"/>
        </w:rPr>
        <w:t> </w:t>
      </w:r>
      <w:r>
        <w:rPr/>
        <w:t>need</w:t>
      </w:r>
      <w:r>
        <w:rPr>
          <w:spacing w:val="-14"/>
        </w:rPr>
        <w:t> </w:t>
      </w:r>
      <w:r>
        <w:rPr/>
        <w:t>to</w:t>
      </w:r>
      <w:r>
        <w:rPr>
          <w:spacing w:val="-14"/>
        </w:rPr>
        <w:t> </w:t>
      </w:r>
      <w:r>
        <w:rPr/>
        <w:t>be</w:t>
      </w:r>
      <w:r>
        <w:rPr>
          <w:spacing w:val="-13"/>
        </w:rPr>
        <w:t> </w:t>
      </w:r>
      <w:r>
        <w:rPr/>
        <w:t>examined</w:t>
      </w:r>
      <w:r>
        <w:rPr>
          <w:spacing w:val="-14"/>
        </w:rPr>
        <w:t> </w:t>
      </w:r>
      <w:r>
        <w:rPr/>
        <w:t>for</w:t>
      </w:r>
      <w:r>
        <w:rPr>
          <w:spacing w:val="-12"/>
        </w:rPr>
        <w:t> </w:t>
      </w:r>
      <w:r>
        <w:rPr/>
        <w:t>CLT.</w:t>
      </w:r>
    </w:p>
    <w:p>
      <w:pPr>
        <w:pStyle w:val="BodyText"/>
        <w:spacing w:line="480" w:lineRule="auto" w:before="232"/>
        <w:ind w:left="439" w:right="417" w:firstLine="720"/>
        <w:jc w:val="both"/>
      </w:pPr>
      <w:r>
        <w:rPr/>
        <w:t>For</w:t>
      </w:r>
      <w:r>
        <w:rPr>
          <w:spacing w:val="-8"/>
        </w:rPr>
        <w:t> </w:t>
      </w:r>
      <w:r>
        <w:rPr/>
        <w:t>CLT</w:t>
      </w:r>
      <w:r>
        <w:rPr>
          <w:spacing w:val="-8"/>
        </w:rPr>
        <w:t> </w:t>
      </w:r>
      <w:r>
        <w:rPr/>
        <w:t>panel</w:t>
      </w:r>
      <w:r>
        <w:rPr>
          <w:spacing w:val="-7"/>
        </w:rPr>
        <w:t> </w:t>
      </w:r>
      <w:r>
        <w:rPr/>
        <w:t>properties,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tool</w:t>
      </w:r>
      <w:r>
        <w:rPr>
          <w:spacing w:val="-7"/>
        </w:rPr>
        <w:t> </w:t>
      </w:r>
      <w:r>
        <w:rPr/>
        <w:t>is</w:t>
      </w:r>
      <w:r>
        <w:rPr>
          <w:spacing w:val="-8"/>
        </w:rPr>
        <w:t> </w:t>
      </w:r>
      <w:r>
        <w:rPr/>
        <w:t>capable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calculating</w:t>
      </w:r>
      <w:r>
        <w:rPr>
          <w:spacing w:val="-10"/>
        </w:rPr>
        <w:t> </w:t>
      </w:r>
      <w:r>
        <w:rPr/>
        <w:t>analysis</w:t>
      </w:r>
      <w:r>
        <w:rPr>
          <w:spacing w:val="-7"/>
        </w:rPr>
        <w:t> </w:t>
      </w:r>
      <w:r>
        <w:rPr/>
        <w:t>for</w:t>
      </w:r>
      <w:r>
        <w:rPr>
          <w:spacing w:val="-7"/>
        </w:rPr>
        <w:t> </w:t>
      </w:r>
      <w:r>
        <w:rPr/>
        <w:t>four</w:t>
      </w:r>
      <w:r>
        <w:rPr>
          <w:spacing w:val="-7"/>
        </w:rPr>
        <w:t> </w:t>
      </w:r>
      <w:r>
        <w:rPr/>
        <w:t>grades</w:t>
      </w:r>
      <w:r>
        <w:rPr>
          <w:spacing w:val="-58"/>
        </w:rPr>
        <w:t> </w:t>
      </w:r>
      <w:r>
        <w:rPr/>
        <w:t>or CLT: E1, V1, V3 and V4 based on the PRG 320 allowable design properties.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number of plies in the panel can range in odd numbers from 3-ply to 9-ply.</w:t>
      </w:r>
      <w:r>
        <w:rPr>
          <w:spacing w:val="1"/>
        </w:rPr>
        <w:t> </w:t>
      </w:r>
      <w:r>
        <w:rPr/>
        <w:t>Both of these</w:t>
      </w:r>
      <w:r>
        <w:rPr>
          <w:spacing w:val="-57"/>
        </w:rPr>
        <w:t> </w:t>
      </w:r>
      <w:r>
        <w:rPr/>
        <w:t>choices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made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selection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radio</w:t>
      </w:r>
      <w:r>
        <w:rPr>
          <w:spacing w:val="1"/>
        </w:rPr>
        <w:t> </w:t>
      </w:r>
      <w:r>
        <w:rPr/>
        <w:t>button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given</w:t>
      </w:r>
      <w:r>
        <w:rPr>
          <w:spacing w:val="1"/>
        </w:rPr>
        <w:t> </w:t>
      </w:r>
      <w:r>
        <w:rPr/>
        <w:t>available</w:t>
      </w:r>
      <w:r>
        <w:rPr>
          <w:spacing w:val="1"/>
        </w:rPr>
        <w:t> </w:t>
      </w:r>
      <w:r>
        <w:rPr/>
        <w:t>options.</w:t>
      </w:r>
      <w:r>
        <w:rPr>
          <w:spacing w:val="1"/>
        </w:rPr>
        <w:t> </w:t>
      </w:r>
      <w:r>
        <w:rPr/>
        <w:t>Additional grades could be added to the model in the future if necessary with slight</w:t>
      </w:r>
      <w:r>
        <w:rPr>
          <w:spacing w:val="1"/>
        </w:rPr>
        <w:t> </w:t>
      </w:r>
      <w:r>
        <w:rPr/>
        <w:t>modification.</w:t>
      </w:r>
      <w:r>
        <w:rPr>
          <w:spacing w:val="1"/>
        </w:rPr>
        <w:t> </w:t>
      </w:r>
      <w:r>
        <w:rPr/>
        <w:t>The ply thickness, panel height and panel volumetric density are all values</w:t>
      </w:r>
      <w:r>
        <w:rPr>
          <w:spacing w:val="1"/>
        </w:rPr>
        <w:t> </w:t>
      </w:r>
      <w:r>
        <w:rPr/>
        <w:t>that the user should specify based on the actual panel specifications.</w:t>
      </w:r>
      <w:r>
        <w:rPr>
          <w:spacing w:val="1"/>
        </w:rPr>
        <w:t> </w:t>
      </w:r>
      <w:r>
        <w:rPr/>
        <w:t>Average values for</w:t>
      </w:r>
      <w:r>
        <w:rPr>
          <w:spacing w:val="1"/>
        </w:rPr>
        <w:t> </w:t>
      </w:r>
      <w:r>
        <w:rPr/>
        <w:t>ply</w:t>
      </w:r>
      <w:r>
        <w:rPr>
          <w:spacing w:val="1"/>
        </w:rPr>
        <w:t> </w:t>
      </w:r>
      <w:r>
        <w:rPr/>
        <w:t>thickness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density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appropriate</w:t>
      </w:r>
      <w:r>
        <w:rPr>
          <w:spacing w:val="1"/>
        </w:rPr>
        <w:t> </w:t>
      </w:r>
      <w:r>
        <w:rPr/>
        <w:t>if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variability.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member</w:t>
      </w:r>
      <w:r>
        <w:rPr>
          <w:spacing w:val="1"/>
        </w:rPr>
        <w:t> </w:t>
      </w:r>
      <w:r>
        <w:rPr/>
        <w:t>end</w:t>
      </w:r>
      <w:r>
        <w:rPr>
          <w:spacing w:val="1"/>
        </w:rPr>
        <w:t> </w:t>
      </w:r>
      <w:r>
        <w:rPr/>
        <w:t>conditions,</w:t>
      </w:r>
      <w:r>
        <w:rPr>
          <w:spacing w:val="-13"/>
        </w:rPr>
        <w:t> </w:t>
      </w:r>
      <w:r>
        <w:rPr/>
        <w:t>panel</w:t>
      </w:r>
      <w:r>
        <w:rPr>
          <w:spacing w:val="-12"/>
        </w:rPr>
        <w:t> </w:t>
      </w:r>
      <w:r>
        <w:rPr/>
        <w:t>type</w:t>
      </w:r>
      <w:r>
        <w:rPr>
          <w:spacing w:val="-11"/>
        </w:rPr>
        <w:t> </w:t>
      </w:r>
      <w:r>
        <w:rPr/>
        <w:t>and</w:t>
      </w:r>
      <w:r>
        <w:rPr>
          <w:spacing w:val="-11"/>
        </w:rPr>
        <w:t> </w:t>
      </w:r>
      <w:r>
        <w:rPr/>
        <w:t>member</w:t>
      </w:r>
      <w:r>
        <w:rPr>
          <w:spacing w:val="-12"/>
        </w:rPr>
        <w:t> </w:t>
      </w:r>
      <w:r>
        <w:rPr/>
        <w:t>classification</w:t>
      </w:r>
      <w:r>
        <w:rPr>
          <w:spacing w:val="-11"/>
        </w:rPr>
        <w:t> </w:t>
      </w:r>
      <w:r>
        <w:rPr/>
        <w:t>are</w:t>
      </w:r>
      <w:r>
        <w:rPr>
          <w:spacing w:val="-11"/>
        </w:rPr>
        <w:t> </w:t>
      </w:r>
      <w:r>
        <w:rPr/>
        <w:t>all</w:t>
      </w:r>
      <w:r>
        <w:rPr>
          <w:spacing w:val="-12"/>
        </w:rPr>
        <w:t> </w:t>
      </w:r>
      <w:r>
        <w:rPr/>
        <w:t>selected</w:t>
      </w:r>
      <w:r>
        <w:rPr>
          <w:spacing w:val="-11"/>
        </w:rPr>
        <w:t> </w:t>
      </w:r>
      <w:r>
        <w:rPr/>
        <w:t>from</w:t>
      </w:r>
      <w:r>
        <w:rPr>
          <w:spacing w:val="-14"/>
        </w:rPr>
        <w:t> </w:t>
      </w:r>
      <w:r>
        <w:rPr/>
        <w:t>radio</w:t>
      </w:r>
      <w:r>
        <w:rPr>
          <w:spacing w:val="-11"/>
        </w:rPr>
        <w:t> </w:t>
      </w:r>
      <w:r>
        <w:rPr/>
        <w:t>button</w:t>
      </w:r>
      <w:r>
        <w:rPr>
          <w:spacing w:val="-12"/>
        </w:rPr>
        <w:t> </w:t>
      </w:r>
      <w:r>
        <w:rPr/>
        <w:t>options.</w:t>
      </w:r>
      <w:r>
        <w:rPr>
          <w:spacing w:val="-58"/>
        </w:rPr>
        <w:t> </w:t>
      </w:r>
      <w:hyperlink w:history="true" w:anchor="_bookmark182">
        <w:r>
          <w:rPr/>
          <w:t>Figure 8-7 </w:t>
        </w:r>
      </w:hyperlink>
      <w:r>
        <w:rPr/>
        <w:t>exhibits the panel properties and dimensions section of the user specified input</w:t>
      </w:r>
      <w:r>
        <w:rPr>
          <w:spacing w:val="-57"/>
        </w:rPr>
        <w:t> </w:t>
      </w:r>
      <w:r>
        <w:rPr/>
        <w:t>step.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ind w:left="617"/>
        <w:rPr>
          <w:sz w:val="20"/>
        </w:rPr>
      </w:pPr>
      <w:r>
        <w:rPr>
          <w:sz w:val="20"/>
        </w:rPr>
        <w:drawing>
          <wp:inline distT="0" distB="0" distL="0" distR="0">
            <wp:extent cx="5186177" cy="3202876"/>
            <wp:effectExtent l="0" t="0" r="0" b="0"/>
            <wp:docPr id="233" name="image4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414.png"/>
                    <pic:cNvPicPr/>
                  </pic:nvPicPr>
                  <pic:blipFill>
                    <a:blip r:embed="rId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6177" cy="3202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"/>
        <w:rPr>
          <w:sz w:val="29"/>
        </w:rPr>
      </w:pPr>
    </w:p>
    <w:p>
      <w:pPr>
        <w:spacing w:before="90"/>
        <w:ind w:left="462" w:right="0" w:firstLine="0"/>
        <w:jc w:val="left"/>
        <w:rPr>
          <w:i/>
          <w:sz w:val="24"/>
        </w:rPr>
      </w:pPr>
      <w:bookmarkStart w:name="_bookmark182" w:id="540"/>
      <w:bookmarkEnd w:id="540"/>
      <w:r>
        <w:rPr/>
      </w:r>
      <w:r>
        <w:rPr>
          <w:i/>
          <w:sz w:val="24"/>
        </w:rPr>
        <w:t>Figure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8-7.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Panel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properties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dimensional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inputs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CLT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blast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load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analysis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tool.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9"/>
        <w:rPr>
          <w:i/>
          <w:sz w:val="31"/>
        </w:rPr>
      </w:pPr>
    </w:p>
    <w:p>
      <w:pPr>
        <w:pStyle w:val="BodyText"/>
        <w:spacing w:line="480" w:lineRule="auto"/>
        <w:ind w:left="440" w:right="416" w:firstLine="720"/>
        <w:jc w:val="both"/>
      </w:pPr>
      <w:r>
        <w:rPr/>
        <w:t>After the panel properties are identified, the user can input the explosive threat</w:t>
      </w:r>
      <w:r>
        <w:rPr>
          <w:spacing w:val="1"/>
        </w:rPr>
        <w:t> </w:t>
      </w:r>
      <w:r>
        <w:rPr/>
        <w:t>information. This includes the explosive type and the explosive weight. The structure and</w:t>
      </w:r>
      <w:r>
        <w:rPr>
          <w:spacing w:val="-57"/>
        </w:rPr>
        <w:t> </w:t>
      </w:r>
      <w:r>
        <w:rPr/>
        <w:t>blast geometry must also be specified for the tool to incorporate into the analysis. This</w:t>
      </w:r>
      <w:r>
        <w:rPr>
          <w:spacing w:val="1"/>
        </w:rPr>
        <w:t> </w:t>
      </w:r>
      <w:r>
        <w:rPr/>
        <w:t>includes the orientation of the exposed ply face to the blast, the structural dimensions of</w:t>
      </w:r>
      <w:r>
        <w:rPr>
          <w:spacing w:val="1"/>
        </w:rPr>
        <w:t> </w:t>
      </w:r>
      <w:r>
        <w:rPr/>
        <w:t>the building, the global hazard orientation, the member location with respect to the threat,</w:t>
      </w:r>
      <w:r>
        <w:rPr>
          <w:spacing w:val="-57"/>
        </w:rPr>
        <w:t> </w:t>
      </w:r>
      <w:r>
        <w:rPr/>
        <w:t>the story height, the total number of stories above ground level and the selected design</w:t>
      </w:r>
      <w:r>
        <w:rPr>
          <w:spacing w:val="1"/>
        </w:rPr>
        <w:t> </w:t>
      </w:r>
      <w:r>
        <w:rPr/>
        <w:t>story level.</w:t>
      </w:r>
      <w:r>
        <w:rPr>
          <w:spacing w:val="1"/>
        </w:rPr>
        <w:t> </w:t>
      </w:r>
      <w:r>
        <w:rPr/>
        <w:t>For the blast geometry, the perpendicular distance from the explosive threat</w:t>
      </w:r>
      <w:r>
        <w:rPr>
          <w:spacing w:val="1"/>
        </w:rPr>
        <w:t> </w:t>
      </w:r>
      <w:r>
        <w:rPr/>
        <w:t>location to the CLT panel or designed member must be identified as well as the desired</w:t>
      </w:r>
      <w:r>
        <w:rPr>
          <w:spacing w:val="1"/>
        </w:rPr>
        <w:t> </w:t>
      </w:r>
      <w:r>
        <w:rPr/>
        <w:t>load calculation basis with the options of field test data or UFC.</w:t>
      </w:r>
      <w:r>
        <w:rPr>
          <w:spacing w:val="1"/>
        </w:rPr>
        <w:t> </w:t>
      </w:r>
      <w:r>
        <w:rPr/>
        <w:t>If UFC is selected, the</w:t>
      </w:r>
      <w:r>
        <w:rPr>
          <w:spacing w:val="1"/>
        </w:rPr>
        <w:t> </w:t>
      </w:r>
      <w:r>
        <w:rPr/>
        <w:t>load</w:t>
      </w:r>
      <w:r>
        <w:rPr>
          <w:spacing w:val="6"/>
        </w:rPr>
        <w:t> </w:t>
      </w:r>
      <w:r>
        <w:rPr/>
        <w:t>calculations</w:t>
      </w:r>
      <w:r>
        <w:rPr>
          <w:spacing w:val="6"/>
        </w:rPr>
        <w:t> </w:t>
      </w:r>
      <w:r>
        <w:rPr/>
        <w:t>are</w:t>
      </w:r>
      <w:r>
        <w:rPr>
          <w:spacing w:val="6"/>
        </w:rPr>
        <w:t> </w:t>
      </w:r>
      <w:r>
        <w:rPr/>
        <w:t>based</w:t>
      </w:r>
      <w:r>
        <w:rPr>
          <w:spacing w:val="7"/>
        </w:rPr>
        <w:t> </w:t>
      </w:r>
      <w:r>
        <w:rPr/>
        <w:t>on</w:t>
      </w:r>
      <w:r>
        <w:rPr>
          <w:spacing w:val="5"/>
        </w:rPr>
        <w:t> </w:t>
      </w:r>
      <w:r>
        <w:rPr/>
        <w:t>the</w:t>
      </w:r>
      <w:r>
        <w:rPr>
          <w:spacing w:val="6"/>
        </w:rPr>
        <w:t> </w:t>
      </w:r>
      <w:r>
        <w:rPr>
          <w:i/>
        </w:rPr>
        <w:t>UFC</w:t>
      </w:r>
      <w:r>
        <w:rPr>
          <w:i/>
          <w:spacing w:val="6"/>
        </w:rPr>
        <w:t> </w:t>
      </w:r>
      <w:r>
        <w:rPr>
          <w:i/>
        </w:rPr>
        <w:t>3-340-02</w:t>
      </w:r>
      <w:r>
        <w:rPr>
          <w:i/>
          <w:spacing w:val="6"/>
        </w:rPr>
        <w:t> </w:t>
      </w:r>
      <w:r>
        <w:rPr/>
        <w:t>empirical</w:t>
      </w:r>
      <w:r>
        <w:rPr>
          <w:spacing w:val="4"/>
        </w:rPr>
        <w:t> </w:t>
      </w:r>
      <w:r>
        <w:rPr/>
        <w:t>equations</w:t>
      </w:r>
      <w:r>
        <w:rPr>
          <w:spacing w:val="6"/>
        </w:rPr>
        <w:t> </w:t>
      </w:r>
      <w:r>
        <w:rPr/>
        <w:t>and</w:t>
      </w:r>
      <w:r>
        <w:rPr>
          <w:spacing w:val="7"/>
        </w:rPr>
        <w:t> </w:t>
      </w:r>
      <w:r>
        <w:rPr/>
        <w:t>plots</w:t>
      </w:r>
      <w:r>
        <w:rPr>
          <w:spacing w:val="5"/>
        </w:rPr>
        <w:t> </w:t>
      </w:r>
      <w:r>
        <w:rPr/>
        <w:t>given</w:t>
      </w:r>
      <w:r>
        <w:rPr>
          <w:spacing w:val="6"/>
        </w:rPr>
        <w:t> </w:t>
      </w:r>
      <w:r>
        <w:rPr/>
        <w:t>the</w:t>
      </w:r>
    </w:p>
    <w:p>
      <w:pPr>
        <w:spacing w:after="0" w:line="480" w:lineRule="auto"/>
        <w:jc w:val="both"/>
        <w:sectPr>
          <w:pgSz w:w="12240" w:h="15840"/>
          <w:pgMar w:header="0" w:footer="1064" w:top="1500" w:bottom="1260" w:left="1720" w:right="1020"/>
        </w:sectPr>
      </w:pPr>
    </w:p>
    <w:p>
      <w:pPr>
        <w:pStyle w:val="BodyText"/>
        <w:spacing w:line="480" w:lineRule="auto" w:before="78"/>
        <w:ind w:left="439" w:right="403"/>
      </w:pPr>
      <w:r>
        <w:rPr/>
        <w:t>explosive</w:t>
      </w:r>
      <w:r>
        <w:rPr>
          <w:spacing w:val="-5"/>
        </w:rPr>
        <w:t> </w:t>
      </w:r>
      <w:r>
        <w:rPr/>
        <w:t>weight</w:t>
      </w:r>
      <w:r>
        <w:rPr>
          <w:spacing w:val="-5"/>
        </w:rPr>
        <w:t> </w:t>
      </w:r>
      <w:r>
        <w:rPr/>
        <w:t>and</w:t>
      </w:r>
      <w:r>
        <w:rPr>
          <w:spacing w:val="-6"/>
        </w:rPr>
        <w:t> </w:t>
      </w:r>
      <w:r>
        <w:rPr/>
        <w:t>identified</w:t>
      </w:r>
      <w:r>
        <w:rPr>
          <w:spacing w:val="-5"/>
        </w:rPr>
        <w:t> </w:t>
      </w:r>
      <w:r>
        <w:rPr/>
        <w:t>distance</w:t>
      </w:r>
      <w:r>
        <w:rPr>
          <w:spacing w:val="-4"/>
        </w:rPr>
        <w:t> </w:t>
      </w:r>
      <w:r>
        <w:rPr/>
        <w:t>from</w:t>
      </w:r>
      <w:r>
        <w:rPr>
          <w:spacing w:val="-7"/>
        </w:rPr>
        <w:t> </w:t>
      </w:r>
      <w:r>
        <w:rPr/>
        <w:t>the</w:t>
      </w:r>
      <w:r>
        <w:rPr>
          <w:spacing w:val="-4"/>
        </w:rPr>
        <w:t> </w:t>
      </w:r>
      <w:r>
        <w:rPr/>
        <w:t>hazard</w:t>
      </w:r>
      <w:r>
        <w:rPr>
          <w:spacing w:val="-5"/>
        </w:rPr>
        <w:t> </w:t>
      </w:r>
      <w:r>
        <w:rPr/>
        <w:t>to</w:t>
      </w:r>
      <w:r>
        <w:rPr>
          <w:spacing w:val="-6"/>
        </w:rPr>
        <w:t> </w:t>
      </w:r>
      <w:r>
        <w:rPr/>
        <w:t>member.</w:t>
      </w:r>
      <w:r>
        <w:rPr>
          <w:spacing w:val="-4"/>
        </w:rPr>
        <w:t> </w:t>
      </w:r>
      <w:hyperlink w:history="true" w:anchor="_bookmark183">
        <w:r>
          <w:rPr/>
          <w:t>Figure</w:t>
        </w:r>
        <w:r>
          <w:rPr>
            <w:spacing w:val="-3"/>
          </w:rPr>
          <w:t> </w:t>
        </w:r>
        <w:r>
          <w:rPr/>
          <w:t>8-8</w:t>
        </w:r>
        <w:r>
          <w:rPr>
            <w:spacing w:val="-6"/>
          </w:rPr>
          <w:t> </w:t>
        </w:r>
      </w:hyperlink>
      <w:r>
        <w:rPr/>
        <w:t>shows</w:t>
      </w:r>
      <w:r>
        <w:rPr>
          <w:spacing w:val="-4"/>
        </w:rPr>
        <w:t> </w:t>
      </w:r>
      <w:r>
        <w:rPr/>
        <w:t>the</w:t>
      </w:r>
      <w:r>
        <w:rPr>
          <w:spacing w:val="-57"/>
        </w:rPr>
        <w:t> </w:t>
      </w:r>
      <w:r>
        <w:rPr/>
        <w:t>explosive</w:t>
      </w:r>
      <w:r>
        <w:rPr>
          <w:spacing w:val="-1"/>
        </w:rPr>
        <w:t> </w:t>
      </w:r>
      <w:r>
        <w:rPr/>
        <w:t>threat</w:t>
      </w:r>
      <w:r>
        <w:rPr>
          <w:spacing w:val="-1"/>
        </w:rPr>
        <w:t> </w:t>
      </w:r>
      <w:r>
        <w:rPr/>
        <w:t>and structure</w:t>
      </w:r>
      <w:r>
        <w:rPr>
          <w:spacing w:val="-1"/>
        </w:rPr>
        <w:t> </w:t>
      </w:r>
      <w:r>
        <w:rPr/>
        <w:t>and blast</w:t>
      </w:r>
      <w:r>
        <w:rPr>
          <w:spacing w:val="-1"/>
        </w:rPr>
        <w:t> </w:t>
      </w:r>
      <w:r>
        <w:rPr/>
        <w:t>geometry inputs.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332">
            <wp:simplePos x="0" y="0"/>
            <wp:positionH relativeFrom="page">
              <wp:posOffset>1876488</wp:posOffset>
            </wp:positionH>
            <wp:positionV relativeFrom="paragraph">
              <wp:posOffset>194484</wp:posOffset>
            </wp:positionV>
            <wp:extent cx="4462464" cy="3807523"/>
            <wp:effectExtent l="0" t="0" r="0" b="0"/>
            <wp:wrapTopAndBottom/>
            <wp:docPr id="235" name="image4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415.png"/>
                    <pic:cNvPicPr/>
                  </pic:nvPicPr>
                  <pic:blipFill>
                    <a:blip r:embed="rId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2464" cy="38075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sz w:val="32"/>
        </w:rPr>
      </w:pPr>
    </w:p>
    <w:p>
      <w:pPr>
        <w:spacing w:before="0"/>
        <w:ind w:left="623" w:right="0" w:firstLine="0"/>
        <w:jc w:val="left"/>
        <w:rPr>
          <w:i/>
          <w:sz w:val="24"/>
        </w:rPr>
      </w:pPr>
      <w:bookmarkStart w:name="_bookmark183" w:id="541"/>
      <w:bookmarkEnd w:id="541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8-8.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Threat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structure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geometry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inputs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CLT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blast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load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analysis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tool.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2"/>
        <w:rPr>
          <w:i/>
          <w:sz w:val="27"/>
        </w:rPr>
      </w:pPr>
    </w:p>
    <w:p>
      <w:pPr>
        <w:pStyle w:val="BodyText"/>
        <w:spacing w:line="480" w:lineRule="auto"/>
        <w:ind w:left="439" w:right="417" w:firstLine="720"/>
        <w:jc w:val="both"/>
      </w:pPr>
      <w:r>
        <w:rPr/>
        <w:t>The</w:t>
      </w:r>
      <w:r>
        <w:rPr>
          <w:spacing w:val="-4"/>
        </w:rPr>
        <w:t> </w:t>
      </w:r>
      <w:r>
        <w:rPr/>
        <w:t>strong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/>
        <w:t>weak</w:t>
      </w:r>
      <w:r>
        <w:rPr>
          <w:spacing w:val="-4"/>
        </w:rPr>
        <w:t> </w:t>
      </w:r>
      <w:r>
        <w:rPr/>
        <w:t>axis</w:t>
      </w:r>
      <w:r>
        <w:rPr>
          <w:spacing w:val="-3"/>
        </w:rPr>
        <w:t> </w:t>
      </w:r>
      <w:r>
        <w:rPr/>
        <w:t>refer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the</w:t>
      </w:r>
      <w:r>
        <w:rPr>
          <w:spacing w:val="-5"/>
        </w:rPr>
        <w:t> </w:t>
      </w:r>
      <w:r>
        <w:rPr/>
        <w:t>direction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3"/>
        </w:rPr>
        <w:t> </w:t>
      </w:r>
      <w:r>
        <w:rPr/>
        <w:t>wood</w:t>
      </w:r>
      <w:r>
        <w:rPr>
          <w:spacing w:val="-4"/>
        </w:rPr>
        <w:t> </w:t>
      </w:r>
      <w:r>
        <w:rPr/>
        <w:t>lamella</w:t>
      </w:r>
      <w:r>
        <w:rPr>
          <w:spacing w:val="-3"/>
        </w:rPr>
        <w:t> </w:t>
      </w:r>
      <w:r>
        <w:rPr/>
        <w:t>on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exposed</w:t>
      </w:r>
      <w:r>
        <w:rPr>
          <w:spacing w:val="-58"/>
        </w:rPr>
        <w:t> </w:t>
      </w:r>
      <w:r>
        <w:rPr/>
        <w:t>face of the CLT.</w:t>
      </w:r>
      <w:r>
        <w:rPr>
          <w:spacing w:val="1"/>
        </w:rPr>
        <w:t> </w:t>
      </w:r>
      <w:r>
        <w:rPr/>
        <w:t>The global hazard orientation specifies the structural dimension that is</w:t>
      </w:r>
      <w:r>
        <w:rPr>
          <w:spacing w:val="1"/>
        </w:rPr>
        <w:t> </w:t>
      </w:r>
      <w:r>
        <w:rPr/>
        <w:t>perpendicular</w:t>
      </w:r>
      <w:r>
        <w:rPr>
          <w:spacing w:val="-12"/>
        </w:rPr>
        <w:t> </w:t>
      </w:r>
      <w:r>
        <w:rPr/>
        <w:t>to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explosive</w:t>
      </w:r>
      <w:r>
        <w:rPr>
          <w:spacing w:val="-12"/>
        </w:rPr>
        <w:t> </w:t>
      </w:r>
      <w:r>
        <w:rPr/>
        <w:t>threat.</w:t>
      </w:r>
      <w:r>
        <w:rPr>
          <w:spacing w:val="37"/>
        </w:rPr>
        <w:t> </w:t>
      </w:r>
      <w:r>
        <w:rPr/>
        <w:t>The</w:t>
      </w:r>
      <w:r>
        <w:rPr>
          <w:spacing w:val="-11"/>
        </w:rPr>
        <w:t> </w:t>
      </w:r>
      <w:r>
        <w:rPr/>
        <w:t>designation</w:t>
      </w:r>
      <w:r>
        <w:rPr>
          <w:spacing w:val="-11"/>
        </w:rPr>
        <w:t> </w:t>
      </w:r>
      <w:r>
        <w:rPr/>
        <w:t>of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design</w:t>
      </w:r>
      <w:r>
        <w:rPr>
          <w:spacing w:val="-11"/>
        </w:rPr>
        <w:t> </w:t>
      </w:r>
      <w:r>
        <w:rPr/>
        <w:t>story</w:t>
      </w:r>
      <w:r>
        <w:rPr>
          <w:spacing w:val="-12"/>
        </w:rPr>
        <w:t> </w:t>
      </w:r>
      <w:r>
        <w:rPr/>
        <w:t>level,</w:t>
      </w:r>
      <w:r>
        <w:rPr>
          <w:spacing w:val="-12"/>
        </w:rPr>
        <w:t> </w:t>
      </w:r>
      <w:r>
        <w:rPr/>
        <w:t>determines</w:t>
      </w:r>
      <w:r>
        <w:rPr>
          <w:spacing w:val="-57"/>
        </w:rPr>
        <w:t> </w:t>
      </w:r>
      <w:r>
        <w:rPr/>
        <w:t>the</w:t>
      </w:r>
      <w:r>
        <w:rPr>
          <w:spacing w:val="-1"/>
        </w:rPr>
        <w:t> </w:t>
      </w:r>
      <w:r>
        <w:rPr/>
        <w:t>angle of</w:t>
      </w:r>
      <w:r>
        <w:rPr>
          <w:spacing w:val="-1"/>
        </w:rPr>
        <w:t> </w:t>
      </w:r>
      <w:r>
        <w:rPr/>
        <w:t>incidence for</w:t>
      </w:r>
      <w:r>
        <w:rPr>
          <w:spacing w:val="-1"/>
        </w:rPr>
        <w:t> </w:t>
      </w:r>
      <w:r>
        <w:rPr/>
        <w:t>the blast parameter calculations.</w:t>
      </w:r>
    </w:p>
    <w:p>
      <w:pPr>
        <w:pStyle w:val="BodyText"/>
        <w:spacing w:line="480" w:lineRule="auto" w:before="153"/>
        <w:ind w:left="439" w:right="419" w:firstLine="720"/>
        <w:jc w:val="both"/>
      </w:pPr>
      <w:r>
        <w:rPr/>
        <w:t>The user must also specify the member static loads.</w:t>
      </w:r>
      <w:r>
        <w:rPr>
          <w:spacing w:val="1"/>
        </w:rPr>
        <w:t> </w:t>
      </w:r>
      <w:r>
        <w:rPr/>
        <w:t>This includes the number of</w:t>
      </w:r>
      <w:r>
        <w:rPr>
          <w:spacing w:val="1"/>
        </w:rPr>
        <w:t> </w:t>
      </w:r>
      <w:r>
        <w:rPr/>
        <w:t>ply</w:t>
      </w:r>
      <w:r>
        <w:rPr>
          <w:spacing w:val="37"/>
        </w:rPr>
        <w:t> </w:t>
      </w:r>
      <w:r>
        <w:rPr/>
        <w:t>in</w:t>
      </w:r>
      <w:r>
        <w:rPr>
          <w:spacing w:val="37"/>
        </w:rPr>
        <w:t> </w:t>
      </w:r>
      <w:r>
        <w:rPr/>
        <w:t>the</w:t>
      </w:r>
      <w:r>
        <w:rPr>
          <w:spacing w:val="37"/>
        </w:rPr>
        <w:t> </w:t>
      </w:r>
      <w:r>
        <w:rPr/>
        <w:t>floor</w:t>
      </w:r>
      <w:r>
        <w:rPr>
          <w:spacing w:val="37"/>
        </w:rPr>
        <w:t> </w:t>
      </w:r>
      <w:r>
        <w:rPr/>
        <w:t>panel,</w:t>
      </w:r>
      <w:r>
        <w:rPr>
          <w:spacing w:val="36"/>
        </w:rPr>
        <w:t> </w:t>
      </w:r>
      <w:r>
        <w:rPr/>
        <w:t>ranging</w:t>
      </w:r>
      <w:r>
        <w:rPr>
          <w:spacing w:val="37"/>
        </w:rPr>
        <w:t> </w:t>
      </w:r>
      <w:r>
        <w:rPr/>
        <w:t>from</w:t>
      </w:r>
      <w:r>
        <w:rPr>
          <w:spacing w:val="36"/>
        </w:rPr>
        <w:t> </w:t>
      </w:r>
      <w:r>
        <w:rPr/>
        <w:t>3-ply</w:t>
      </w:r>
      <w:r>
        <w:rPr>
          <w:spacing w:val="37"/>
        </w:rPr>
        <w:t> </w:t>
      </w:r>
      <w:r>
        <w:rPr/>
        <w:t>to</w:t>
      </w:r>
      <w:r>
        <w:rPr>
          <w:spacing w:val="37"/>
        </w:rPr>
        <w:t> </w:t>
      </w:r>
      <w:r>
        <w:rPr/>
        <w:t>9-ply.</w:t>
      </w:r>
      <w:r>
        <w:rPr>
          <w:spacing w:val="16"/>
        </w:rPr>
        <w:t> </w:t>
      </w:r>
      <w:r>
        <w:rPr/>
        <w:t>Unfactored</w:t>
      </w:r>
      <w:r>
        <w:rPr>
          <w:spacing w:val="37"/>
        </w:rPr>
        <w:t> </w:t>
      </w:r>
      <w:r>
        <w:rPr/>
        <w:t>gravity</w:t>
      </w:r>
      <w:r>
        <w:rPr>
          <w:spacing w:val="36"/>
        </w:rPr>
        <w:t> </w:t>
      </w:r>
      <w:r>
        <w:rPr/>
        <w:t>loads,</w:t>
      </w:r>
      <w:r>
        <w:rPr>
          <w:spacing w:val="37"/>
        </w:rPr>
        <w:t> </w:t>
      </w:r>
      <w:r>
        <w:rPr/>
        <w:t>as</w:t>
      </w:r>
      <w:r>
        <w:rPr>
          <w:spacing w:val="36"/>
        </w:rPr>
        <w:t> </w:t>
      </w:r>
      <w:r>
        <w:rPr/>
        <w:t>any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40" w:right="417"/>
        <w:jc w:val="both"/>
      </w:pPr>
      <w:r>
        <w:rPr/>
        <w:t>additional loads applied directly on the panel, which typically occur with roof and floor</w:t>
      </w:r>
      <w:r>
        <w:rPr>
          <w:spacing w:val="1"/>
        </w:rPr>
        <w:t> </w:t>
      </w:r>
      <w:r>
        <w:rPr/>
        <w:t>panels, the tributary area and load eccentricity can all be specified as applicable. Next, the</w:t>
      </w:r>
      <w:r>
        <w:rPr>
          <w:spacing w:val="-58"/>
        </w:rPr>
        <w:t> </w:t>
      </w:r>
      <w:r>
        <w:rPr/>
        <w:t>user can specify any desired factoring, like the 0.85 conservatism reduction factor applied</w:t>
      </w:r>
      <w:r>
        <w:rPr>
          <w:spacing w:val="-57"/>
        </w:rPr>
        <w:t> </w:t>
      </w:r>
      <w:r>
        <w:rPr/>
        <w:t>in PRG 320 to the calculated moment capacities. The default for this input is 1.0 meaning</w:t>
      </w:r>
      <w:r>
        <w:rPr>
          <w:spacing w:val="-57"/>
        </w:rPr>
        <w:t> </w:t>
      </w:r>
      <w:r>
        <w:rPr/>
        <w:t>no</w:t>
      </w:r>
      <w:r>
        <w:rPr>
          <w:spacing w:val="-1"/>
        </w:rPr>
        <w:t> </w:t>
      </w:r>
      <w:r>
        <w:rPr/>
        <w:t>factoring</w:t>
      </w:r>
      <w:r>
        <w:rPr>
          <w:spacing w:val="-2"/>
        </w:rPr>
        <w:t> </w:t>
      </w:r>
      <w:r>
        <w:rPr/>
        <w:t>is incorporated in the</w:t>
      </w:r>
      <w:r>
        <w:rPr>
          <w:spacing w:val="-1"/>
        </w:rPr>
        <w:t> </w:t>
      </w:r>
      <w:r>
        <w:rPr/>
        <w:t>calculations.</w:t>
      </w:r>
    </w:p>
    <w:p>
      <w:pPr>
        <w:pStyle w:val="BodyText"/>
        <w:spacing w:line="480" w:lineRule="auto" w:before="159"/>
        <w:ind w:left="439" w:right="417" w:firstLine="720"/>
        <w:jc w:val="both"/>
      </w:pPr>
      <w:r>
        <w:rPr/>
        <w:t>Lastly, the user can determine whether to consider rolling shear or not.</w:t>
      </w:r>
      <w:r>
        <w:rPr>
          <w:spacing w:val="1"/>
        </w:rPr>
        <w:t> </w:t>
      </w:r>
      <w:r>
        <w:rPr/>
        <w:t>While it</w:t>
      </w:r>
      <w:r>
        <w:rPr>
          <w:spacing w:val="1"/>
        </w:rPr>
        <w:t> </w:t>
      </w:r>
      <w:r>
        <w:rPr/>
        <w:t>seems intuitive to incorporate rolling shear, further analysis of the failure mode and its</w:t>
      </w:r>
      <w:r>
        <w:rPr>
          <w:spacing w:val="1"/>
        </w:rPr>
        <w:t> </w:t>
      </w:r>
      <w:r>
        <w:rPr/>
        <w:t>occurrence with blast loading is required as inclusion of the parameter tends to predict</w:t>
      </w:r>
      <w:r>
        <w:rPr>
          <w:spacing w:val="1"/>
        </w:rPr>
        <w:t> </w:t>
      </w:r>
      <w:r>
        <w:rPr/>
        <w:t>rolling shear failure more frequently than it occurs in testing.</w:t>
      </w:r>
      <w:r>
        <w:rPr>
          <w:spacing w:val="1"/>
        </w:rPr>
        <w:t> </w:t>
      </w:r>
      <w:hyperlink w:history="true" w:anchor="_bookmark184">
        <w:r>
          <w:rPr/>
          <w:t>Figure 8-9 </w:t>
        </w:r>
      </w:hyperlink>
      <w:r>
        <w:rPr/>
        <w:t>shows the static</w:t>
      </w:r>
      <w:r>
        <w:rPr>
          <w:spacing w:val="1"/>
        </w:rPr>
        <w:t> </w:t>
      </w:r>
      <w:r>
        <w:rPr/>
        <w:t>load</w:t>
      </w:r>
      <w:r>
        <w:rPr>
          <w:spacing w:val="-1"/>
        </w:rPr>
        <w:t> </w:t>
      </w:r>
      <w:r>
        <w:rPr/>
        <w:t>and other analysis parameter</w:t>
      </w:r>
      <w:r>
        <w:rPr>
          <w:spacing w:val="-1"/>
        </w:rPr>
        <w:t> </w:t>
      </w:r>
      <w:r>
        <w:rPr/>
        <w:t>input section of</w:t>
      </w:r>
      <w:r>
        <w:rPr>
          <w:spacing w:val="-1"/>
        </w:rPr>
        <w:t> </w:t>
      </w:r>
      <w:r>
        <w:rPr/>
        <w:t>the tool.</w:t>
      </w:r>
    </w:p>
    <w:p>
      <w:pPr>
        <w:pStyle w:val="BodyText"/>
        <w:spacing w:line="480" w:lineRule="auto" w:before="160"/>
        <w:ind w:left="440" w:right="420" w:firstLine="720"/>
      </w:pPr>
      <w:r>
        <w:rPr/>
        <w:t>Properties of the CLT panel were addressed next.</w:t>
      </w:r>
      <w:r>
        <w:rPr>
          <w:spacing w:val="1"/>
        </w:rPr>
        <w:t> </w:t>
      </w:r>
      <w:r>
        <w:rPr/>
        <w:t>Areal density was calculated</w:t>
      </w:r>
      <w:r>
        <w:rPr>
          <w:spacing w:val="1"/>
        </w:rPr>
        <w:t> </w:t>
      </w:r>
      <w:r>
        <w:rPr/>
        <w:t>based on user inputs.</w:t>
      </w:r>
      <w:r>
        <w:rPr>
          <w:spacing w:val="1"/>
        </w:rPr>
        <w:t> </w:t>
      </w:r>
      <w:r>
        <w:rPr/>
        <w:t>Based on the shear analogy method, detailed in Chapter 4, strength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stiffness section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were determined</w:t>
      </w:r>
      <w:r>
        <w:rPr>
          <w:spacing w:val="2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defined</w:t>
      </w:r>
      <w:r>
        <w:rPr>
          <w:spacing w:val="1"/>
        </w:rPr>
        <w:t> </w:t>
      </w:r>
      <w:r>
        <w:rPr/>
        <w:t>CLT panel.</w:t>
      </w:r>
      <w:r>
        <w:rPr>
          <w:spacing w:val="61"/>
        </w:rPr>
        <w:t> </w:t>
      </w:r>
      <w:r>
        <w:rPr/>
        <w:t>This</w:t>
      </w:r>
      <w:r>
        <w:rPr>
          <w:spacing w:val="1"/>
        </w:rPr>
        <w:t> </w:t>
      </w:r>
      <w:r>
        <w:rPr/>
        <w:t>included section properties such as effective stiffness, apparent stiffness, effective section</w:t>
      </w:r>
      <w:r>
        <w:rPr>
          <w:spacing w:val="-57"/>
        </w:rPr>
        <w:t> </w:t>
      </w:r>
      <w:r>
        <w:rPr/>
        <w:t>modulus, effective shear stiffness and effective shear parameters.</w:t>
      </w:r>
      <w:r>
        <w:rPr>
          <w:spacing w:val="1"/>
        </w:rPr>
        <w:t> </w:t>
      </w:r>
      <w:r>
        <w:rPr/>
        <w:t>Additionally, material</w:t>
      </w:r>
      <w:r>
        <w:rPr>
          <w:spacing w:val="1"/>
        </w:rPr>
        <w:t> </w:t>
      </w:r>
      <w:r>
        <w:rPr/>
        <w:t>properties were</w:t>
      </w:r>
      <w:r>
        <w:rPr>
          <w:spacing w:val="1"/>
        </w:rPr>
        <w:t> </w:t>
      </w:r>
      <w:r>
        <w:rPr/>
        <w:t>defined</w:t>
      </w:r>
      <w:r>
        <w:rPr>
          <w:spacing w:val="-2"/>
        </w:rPr>
        <w:t> </w:t>
      </w:r>
      <w:r>
        <w:rPr/>
        <w:t>in</w:t>
      </w:r>
      <w:r>
        <w:rPr>
          <w:spacing w:val="1"/>
        </w:rPr>
        <w:t> </w:t>
      </w:r>
      <w:r>
        <w:rPr/>
        <w:t>accordance</w:t>
      </w:r>
      <w:r>
        <w:rPr>
          <w:spacing w:val="1"/>
        </w:rPr>
        <w:t> </w:t>
      </w:r>
      <w:r>
        <w:rPr/>
        <w:t>with the allowable</w:t>
      </w:r>
      <w:r>
        <w:rPr>
          <w:spacing w:val="1"/>
        </w:rPr>
        <w:t> </w:t>
      </w:r>
      <w:r>
        <w:rPr/>
        <w:t>design properties</w:t>
      </w:r>
      <w:r>
        <w:rPr>
          <w:spacing w:val="1"/>
        </w:rPr>
        <w:t> </w:t>
      </w:r>
      <w:r>
        <w:rPr/>
        <w:t>of PRG</w:t>
      </w:r>
      <w:r>
        <w:rPr>
          <w:spacing w:val="-1"/>
        </w:rPr>
        <w:t> </w:t>
      </w:r>
      <w:r>
        <w:rPr/>
        <w:t>320</w:t>
      </w:r>
      <w:r>
        <w:rPr>
          <w:spacing w:val="1"/>
        </w:rPr>
        <w:t> </w:t>
      </w:r>
      <w:r>
        <w:rPr/>
        <w:t>by CLT grade.</w:t>
      </w:r>
      <w:r>
        <w:rPr>
          <w:spacing w:val="60"/>
        </w:rPr>
        <w:t> </w:t>
      </w:r>
      <w:hyperlink w:history="true" w:anchor="_bookmark185">
        <w:r>
          <w:rPr/>
          <w:t>Figure 8-10</w:t>
        </w:r>
      </w:hyperlink>
      <w:r>
        <w:rPr/>
        <w:t> shows the calculated CLT design parameters for</w:t>
      </w:r>
      <w:r>
        <w:rPr>
          <w:spacing w:val="1"/>
        </w:rPr>
        <w:t> </w:t>
      </w:r>
      <w:r>
        <w:rPr/>
        <w:t>incorporation into the blast load analysis.</w:t>
      </w:r>
      <w:r>
        <w:rPr>
          <w:spacing w:val="1"/>
        </w:rPr>
        <w:t> </w:t>
      </w:r>
      <w:r>
        <w:rPr/>
        <w:t>All values were all calculated based on the user</w:t>
      </w:r>
      <w:r>
        <w:rPr>
          <w:spacing w:val="-58"/>
        </w:rPr>
        <w:t> </w:t>
      </w:r>
      <w:r>
        <w:rPr/>
        <w:t>specified</w:t>
      </w:r>
      <w:r>
        <w:rPr>
          <w:spacing w:val="-3"/>
        </w:rPr>
        <w:t> </w:t>
      </w:r>
      <w:r>
        <w:rPr/>
        <w:t>inputs for the</w:t>
      </w:r>
      <w:r>
        <w:rPr>
          <w:spacing w:val="-1"/>
        </w:rPr>
        <w:t> </w:t>
      </w:r>
      <w:r>
        <w:rPr/>
        <w:t>panel using the</w:t>
      </w:r>
      <w:r>
        <w:rPr>
          <w:spacing w:val="-1"/>
        </w:rPr>
        <w:t> </w:t>
      </w:r>
      <w:r>
        <w:rPr/>
        <w:t>shear</w:t>
      </w:r>
      <w:r>
        <w:rPr>
          <w:spacing w:val="-1"/>
        </w:rPr>
        <w:t> </w:t>
      </w:r>
      <w:r>
        <w:rPr/>
        <w:t>analogy method.</w:t>
      </w:r>
    </w:p>
    <w:p>
      <w:pPr>
        <w:spacing w:after="0" w:line="480" w:lineRule="auto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before="2"/>
        <w:rPr>
          <w:sz w:val="4"/>
        </w:rPr>
      </w:pPr>
    </w:p>
    <w:p>
      <w:pPr>
        <w:pStyle w:val="BodyText"/>
        <w:ind w:left="1514"/>
        <w:rPr>
          <w:sz w:val="20"/>
        </w:rPr>
      </w:pPr>
      <w:r>
        <w:rPr>
          <w:sz w:val="20"/>
        </w:rPr>
        <w:drawing>
          <wp:inline distT="0" distB="0" distL="0" distR="0">
            <wp:extent cx="4137851" cy="1764792"/>
            <wp:effectExtent l="0" t="0" r="0" b="0"/>
            <wp:docPr id="237" name="image4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416.jpeg"/>
                    <pic:cNvPicPr/>
                  </pic:nvPicPr>
                  <pic:blipFill>
                    <a:blip r:embed="rId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7851" cy="1764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3"/>
        </w:rPr>
      </w:pPr>
    </w:p>
    <w:p>
      <w:pPr>
        <w:spacing w:before="0"/>
        <w:ind w:left="440" w:right="826" w:firstLine="0"/>
        <w:jc w:val="left"/>
        <w:rPr>
          <w:i/>
          <w:sz w:val="24"/>
        </w:rPr>
      </w:pPr>
      <w:bookmarkStart w:name="_bookmark184" w:id="542"/>
      <w:bookmarkEnd w:id="542"/>
      <w:r>
        <w:rPr/>
      </w:r>
      <w:r>
        <w:rPr>
          <w:i/>
          <w:sz w:val="24"/>
        </w:rPr>
        <w:t>Figure 8-9. Static load and other analysis parameters for the CLT blast load analysis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tool.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4"/>
        <w:rPr>
          <w:i/>
          <w:sz w:val="16"/>
        </w:rPr>
      </w:pPr>
      <w:r>
        <w:rPr/>
        <w:drawing>
          <wp:anchor distT="0" distB="0" distL="0" distR="0" allowOverlap="1" layoutInCell="1" locked="0" behindDoc="0" simplePos="0" relativeHeight="333">
            <wp:simplePos x="0" y="0"/>
            <wp:positionH relativeFrom="page">
              <wp:posOffset>1971675</wp:posOffset>
            </wp:positionH>
            <wp:positionV relativeFrom="paragraph">
              <wp:posOffset>144328</wp:posOffset>
            </wp:positionV>
            <wp:extent cx="3704593" cy="4136517"/>
            <wp:effectExtent l="0" t="0" r="0" b="0"/>
            <wp:wrapTopAndBottom/>
            <wp:docPr id="239" name="image4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417.png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4593" cy="41365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i/>
          <w:sz w:val="33"/>
        </w:rPr>
      </w:pPr>
    </w:p>
    <w:p>
      <w:pPr>
        <w:spacing w:before="1"/>
        <w:ind w:left="21" w:right="0" w:firstLine="0"/>
        <w:jc w:val="center"/>
        <w:rPr>
          <w:i/>
          <w:sz w:val="24"/>
        </w:rPr>
      </w:pPr>
      <w:bookmarkStart w:name="_bookmark185" w:id="543"/>
      <w:bookmarkEnd w:id="543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8-10.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CLT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design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parameters.</w:t>
      </w:r>
    </w:p>
    <w:p>
      <w:pPr>
        <w:spacing w:after="0"/>
        <w:jc w:val="center"/>
        <w:rPr>
          <w:sz w:val="24"/>
        </w:rPr>
        <w:sectPr>
          <w:pgSz w:w="12240" w:h="15840"/>
          <w:pgMar w:header="0" w:footer="1064" w:top="1500" w:bottom="1260" w:left="1720" w:right="1020"/>
        </w:sectPr>
      </w:pPr>
    </w:p>
    <w:p>
      <w:pPr>
        <w:pStyle w:val="BodyText"/>
        <w:spacing w:line="480" w:lineRule="auto" w:before="78"/>
        <w:ind w:left="439" w:right="418" w:firstLine="720"/>
        <w:jc w:val="both"/>
      </w:pPr>
      <w:r>
        <w:rPr/>
        <w:t>The equivalent TNT explosive weight is calculated if the explosive is another type</w:t>
      </w:r>
      <w:r>
        <w:rPr>
          <w:spacing w:val="-57"/>
        </w:rPr>
        <w:t> </w:t>
      </w:r>
      <w:r>
        <w:rPr/>
        <w:t>of explosive based on use of TNT as the reference explosive.</w:t>
      </w:r>
      <w:r>
        <w:rPr>
          <w:spacing w:val="1"/>
        </w:rPr>
        <w:t> </w:t>
      </w:r>
      <w:r>
        <w:rPr/>
        <w:t>This equivalent weight is</w:t>
      </w:r>
      <w:r>
        <w:rPr>
          <w:spacing w:val="1"/>
        </w:rPr>
        <w:t> </w:t>
      </w:r>
      <w:r>
        <w:rPr/>
        <w:t>found based on specific energy and weight ratios between the designated explosive and</w:t>
      </w:r>
      <w:r>
        <w:rPr>
          <w:spacing w:val="1"/>
        </w:rPr>
        <w:t> </w:t>
      </w:r>
      <w:r>
        <w:rPr/>
        <w:t>TNT.</w:t>
      </w:r>
      <w:r>
        <w:rPr>
          <w:spacing w:val="1"/>
        </w:rPr>
        <w:t> </w:t>
      </w:r>
      <w:r>
        <w:rPr/>
        <w:t>The angle of incidence for the blast event is calculated based on the story under</w:t>
      </w:r>
      <w:r>
        <w:rPr>
          <w:spacing w:val="1"/>
        </w:rPr>
        <w:t> </w:t>
      </w:r>
      <w:r>
        <w:rPr/>
        <w:t>consideration</w:t>
      </w:r>
      <w:r>
        <w:rPr>
          <w:spacing w:val="-11"/>
        </w:rPr>
        <w:t> </w:t>
      </w:r>
      <w:r>
        <w:rPr/>
        <w:t>and</w:t>
      </w:r>
      <w:r>
        <w:rPr>
          <w:spacing w:val="-10"/>
        </w:rPr>
        <w:t> </w:t>
      </w:r>
      <w:r>
        <w:rPr/>
        <w:t>geometry</w:t>
      </w:r>
      <w:r>
        <w:rPr>
          <w:spacing w:val="-10"/>
        </w:rPr>
        <w:t> </w:t>
      </w:r>
      <w:r>
        <w:rPr/>
        <w:t>specified</w:t>
      </w:r>
      <w:r>
        <w:rPr>
          <w:spacing w:val="-11"/>
        </w:rPr>
        <w:t> </w:t>
      </w:r>
      <w:r>
        <w:rPr/>
        <w:t>for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story</w:t>
      </w:r>
      <w:r>
        <w:rPr>
          <w:spacing w:val="-11"/>
        </w:rPr>
        <w:t> </w:t>
      </w:r>
      <w:r>
        <w:rPr/>
        <w:t>height.</w:t>
      </w:r>
      <w:r>
        <w:rPr>
          <w:spacing w:val="40"/>
        </w:rPr>
        <w:t> </w:t>
      </w:r>
      <w:hyperlink w:history="true" w:anchor="_bookmark186">
        <w:r>
          <w:rPr/>
          <w:t>Figure</w:t>
        </w:r>
        <w:r>
          <w:rPr>
            <w:spacing w:val="-9"/>
          </w:rPr>
          <w:t> </w:t>
        </w:r>
        <w:r>
          <w:rPr/>
          <w:t>8-11</w:t>
        </w:r>
        <w:r>
          <w:rPr>
            <w:spacing w:val="-10"/>
          </w:rPr>
          <w:t> </w:t>
        </w:r>
      </w:hyperlink>
      <w:r>
        <w:rPr/>
        <w:t>shows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inclusion</w:t>
      </w:r>
      <w:r>
        <w:rPr>
          <w:spacing w:val="-58"/>
        </w:rPr>
        <w:t> </w:t>
      </w:r>
      <w:r>
        <w:rPr/>
        <w:t>of</w:t>
      </w:r>
      <w:r>
        <w:rPr>
          <w:spacing w:val="-2"/>
        </w:rPr>
        <w:t> </w:t>
      </w:r>
      <w:r>
        <w:rPr/>
        <w:t>these parameters in the CLT</w:t>
      </w:r>
      <w:r>
        <w:rPr>
          <w:spacing w:val="-1"/>
        </w:rPr>
        <w:t> </w:t>
      </w:r>
      <w:r>
        <w:rPr/>
        <w:t>blast</w:t>
      </w:r>
      <w:r>
        <w:rPr>
          <w:spacing w:val="-2"/>
        </w:rPr>
        <w:t> </w:t>
      </w:r>
      <w:r>
        <w:rPr/>
        <w:t>load analysis tool.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334">
            <wp:simplePos x="0" y="0"/>
            <wp:positionH relativeFrom="page">
              <wp:posOffset>2647950</wp:posOffset>
            </wp:positionH>
            <wp:positionV relativeFrom="paragraph">
              <wp:posOffset>127432</wp:posOffset>
            </wp:positionV>
            <wp:extent cx="3185605" cy="1511141"/>
            <wp:effectExtent l="0" t="0" r="0" b="0"/>
            <wp:wrapTopAndBottom/>
            <wp:docPr id="241" name="image4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418.png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5605" cy="15111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6"/>
        </w:rPr>
      </w:pPr>
    </w:p>
    <w:p>
      <w:pPr>
        <w:pStyle w:val="BodyText"/>
        <w:spacing w:before="5"/>
        <w:rPr>
          <w:sz w:val="31"/>
        </w:rPr>
      </w:pPr>
    </w:p>
    <w:p>
      <w:pPr>
        <w:spacing w:before="1"/>
        <w:ind w:left="439" w:right="403" w:firstLine="0"/>
        <w:jc w:val="left"/>
        <w:rPr>
          <w:i/>
          <w:sz w:val="24"/>
        </w:rPr>
      </w:pPr>
      <w:bookmarkStart w:name="_bookmark186" w:id="544"/>
      <w:bookmarkEnd w:id="544"/>
      <w:r>
        <w:rPr/>
      </w:r>
      <w:r>
        <w:rPr>
          <w:i/>
          <w:sz w:val="24"/>
        </w:rPr>
        <w:t>Figure</w:t>
      </w:r>
      <w:r>
        <w:rPr>
          <w:i/>
          <w:spacing w:val="29"/>
          <w:sz w:val="24"/>
        </w:rPr>
        <w:t> </w:t>
      </w:r>
      <w:r>
        <w:rPr>
          <w:i/>
          <w:sz w:val="24"/>
        </w:rPr>
        <w:t>8-11.</w:t>
      </w:r>
      <w:r>
        <w:rPr>
          <w:i/>
          <w:spacing w:val="29"/>
          <w:sz w:val="24"/>
        </w:rPr>
        <w:t> </w:t>
      </w:r>
      <w:r>
        <w:rPr>
          <w:i/>
          <w:sz w:val="24"/>
        </w:rPr>
        <w:t>Equivalent</w:t>
      </w:r>
      <w:r>
        <w:rPr>
          <w:i/>
          <w:spacing w:val="29"/>
          <w:sz w:val="24"/>
        </w:rPr>
        <w:t> </w:t>
      </w:r>
      <w:r>
        <w:rPr>
          <w:i/>
          <w:sz w:val="24"/>
        </w:rPr>
        <w:t>explosive</w:t>
      </w:r>
      <w:r>
        <w:rPr>
          <w:i/>
          <w:spacing w:val="29"/>
          <w:sz w:val="24"/>
        </w:rPr>
        <w:t> </w:t>
      </w:r>
      <w:r>
        <w:rPr>
          <w:i/>
          <w:sz w:val="24"/>
        </w:rPr>
        <w:t>weight</w:t>
      </w:r>
      <w:r>
        <w:rPr>
          <w:i/>
          <w:spacing w:val="29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29"/>
          <w:sz w:val="24"/>
        </w:rPr>
        <w:t> </w:t>
      </w:r>
      <w:r>
        <w:rPr>
          <w:i/>
          <w:sz w:val="24"/>
        </w:rPr>
        <w:t>angle</w:t>
      </w:r>
      <w:r>
        <w:rPr>
          <w:i/>
          <w:spacing w:val="29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29"/>
          <w:sz w:val="24"/>
        </w:rPr>
        <w:t> </w:t>
      </w:r>
      <w:r>
        <w:rPr>
          <w:i/>
          <w:sz w:val="24"/>
        </w:rPr>
        <w:t>incidence</w:t>
      </w:r>
      <w:r>
        <w:rPr>
          <w:i/>
          <w:spacing w:val="28"/>
          <w:sz w:val="24"/>
        </w:rPr>
        <w:t> </w:t>
      </w:r>
      <w:r>
        <w:rPr>
          <w:i/>
          <w:sz w:val="24"/>
        </w:rPr>
        <w:t>parameters</w:t>
      </w:r>
      <w:r>
        <w:rPr>
          <w:i/>
          <w:spacing w:val="29"/>
          <w:sz w:val="24"/>
        </w:rPr>
        <w:t> </w:t>
      </w:r>
      <w:r>
        <w:rPr>
          <w:i/>
          <w:sz w:val="24"/>
        </w:rPr>
        <w:t>are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determined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based on user inputs.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228"/>
        <w:ind w:left="439" w:right="417" w:firstLine="720"/>
        <w:jc w:val="both"/>
      </w:pPr>
      <w:r>
        <w:rPr/>
        <w:t>The tool incorporates UFC 3-340-20 figure data so if the user selected UFC as the</w:t>
      </w:r>
      <w:r>
        <w:rPr>
          <w:spacing w:val="-57"/>
        </w:rPr>
        <w:t> </w:t>
      </w:r>
      <w:r>
        <w:rPr/>
        <w:t>load calculation source, in the absence of field data, the blast parameters could still be</w:t>
      </w:r>
      <w:r>
        <w:rPr>
          <w:spacing w:val="1"/>
        </w:rPr>
        <w:t> </w:t>
      </w:r>
      <w:r>
        <w:rPr>
          <w:spacing w:val="-1"/>
        </w:rPr>
        <w:t>estimated</w:t>
      </w:r>
      <w:r>
        <w:rPr>
          <w:spacing w:val="-14"/>
        </w:rPr>
        <w:t> </w:t>
      </w:r>
      <w:r>
        <w:rPr>
          <w:spacing w:val="-1"/>
        </w:rPr>
        <w:t>based</w:t>
      </w:r>
      <w:r>
        <w:rPr>
          <w:spacing w:val="-14"/>
        </w:rPr>
        <w:t> </w:t>
      </w:r>
      <w:r>
        <w:rPr>
          <w:spacing w:val="-1"/>
        </w:rPr>
        <w:t>on</w:t>
      </w:r>
      <w:r>
        <w:rPr>
          <w:spacing w:val="-14"/>
        </w:rPr>
        <w:t> </w:t>
      </w:r>
      <w:r>
        <w:rPr>
          <w:spacing w:val="-1"/>
        </w:rPr>
        <w:t>the</w:t>
      </w:r>
      <w:r>
        <w:rPr>
          <w:spacing w:val="-13"/>
        </w:rPr>
        <w:t> </w:t>
      </w:r>
      <w:r>
        <w:rPr>
          <w:spacing w:val="-1"/>
        </w:rPr>
        <w:t>scaled</w:t>
      </w:r>
      <w:r>
        <w:rPr>
          <w:spacing w:val="-14"/>
        </w:rPr>
        <w:t> </w:t>
      </w:r>
      <w:r>
        <w:rPr/>
        <w:t>distance.</w:t>
      </w:r>
      <w:r>
        <w:rPr>
          <w:spacing w:val="34"/>
        </w:rPr>
        <w:t> </w:t>
      </w:r>
      <w:r>
        <w:rPr/>
        <w:t>UFC</w:t>
      </w:r>
      <w:r>
        <w:rPr>
          <w:spacing w:val="-14"/>
        </w:rPr>
        <w:t> </w:t>
      </w:r>
      <w:r>
        <w:rPr/>
        <w:t>Figure</w:t>
      </w:r>
      <w:r>
        <w:rPr>
          <w:spacing w:val="-12"/>
        </w:rPr>
        <w:t> </w:t>
      </w:r>
      <w:r>
        <w:rPr/>
        <w:t>2-15</w:t>
      </w:r>
      <w:r>
        <w:rPr>
          <w:i/>
        </w:rPr>
        <w:t>,</w:t>
      </w:r>
      <w:r>
        <w:rPr>
          <w:i/>
          <w:spacing w:val="-15"/>
        </w:rPr>
        <w:t> </w:t>
      </w:r>
      <w:r>
        <w:rPr>
          <w:i/>
        </w:rPr>
        <w:t>Positive</w:t>
      </w:r>
      <w:r>
        <w:rPr>
          <w:i/>
          <w:spacing w:val="-15"/>
        </w:rPr>
        <w:t> </w:t>
      </w:r>
      <w:r>
        <w:rPr>
          <w:i/>
        </w:rPr>
        <w:t>Shock</w:t>
      </w:r>
      <w:r>
        <w:rPr>
          <w:i/>
          <w:spacing w:val="-14"/>
        </w:rPr>
        <w:t> </w:t>
      </w:r>
      <w:r>
        <w:rPr>
          <w:i/>
        </w:rPr>
        <w:t>Wave</w:t>
      </w:r>
      <w:r>
        <w:rPr>
          <w:i/>
          <w:spacing w:val="-13"/>
        </w:rPr>
        <w:t> </w:t>
      </w:r>
      <w:r>
        <w:rPr>
          <w:i/>
        </w:rPr>
        <w:t>Parameters</w:t>
      </w:r>
      <w:r>
        <w:rPr>
          <w:i/>
          <w:spacing w:val="-58"/>
        </w:rPr>
        <w:t> </w:t>
      </w:r>
      <w:r>
        <w:rPr>
          <w:i/>
        </w:rPr>
        <w:t>for a Hemispherical TNT Explosion on the Surface at Sea Level </w:t>
      </w:r>
      <w:r>
        <w:rPr/>
        <w:t>is reproduced in </w:t>
      </w:r>
      <w:hyperlink w:history="true" w:anchor="_bookmark187">
        <w:r>
          <w:rPr/>
          <w:t>Figure</w:t>
        </w:r>
      </w:hyperlink>
      <w:r>
        <w:rPr>
          <w:spacing w:val="1"/>
        </w:rPr>
        <w:t> </w:t>
      </w:r>
      <w:hyperlink w:history="true" w:anchor="_bookmark187">
        <w:r>
          <w:rPr/>
          <w:t>8-12</w:t>
        </w:r>
      </w:hyperlink>
      <w:r>
        <w:rPr/>
        <w:t>.</w:t>
      </w:r>
      <w:r>
        <w:rPr>
          <w:spacing w:val="1"/>
        </w:rPr>
        <w:t> </w:t>
      </w:r>
      <w:r>
        <w:rPr/>
        <w:t>From UFC Figure 2-15, the incident pressure, incident impulse, impulse duration,</w:t>
      </w:r>
      <w:r>
        <w:rPr>
          <w:spacing w:val="1"/>
        </w:rPr>
        <w:t> </w:t>
      </w:r>
      <w:r>
        <w:rPr/>
        <w:t>reflected pressure, reflected impulse, shock front velocity, and length of wave can all be</w:t>
      </w:r>
      <w:r>
        <w:rPr>
          <w:spacing w:val="1"/>
        </w:rPr>
        <w:t> </w:t>
      </w:r>
      <w:r>
        <w:rPr/>
        <w:t>estimated</w:t>
      </w:r>
      <w:r>
        <w:rPr>
          <w:spacing w:val="-1"/>
        </w:rPr>
        <w:t> </w:t>
      </w:r>
      <w:r>
        <w:rPr/>
        <w:t>with a given</w:t>
      </w:r>
      <w:r>
        <w:rPr>
          <w:spacing w:val="-2"/>
        </w:rPr>
        <w:t> </w:t>
      </w:r>
      <w:r>
        <w:rPr/>
        <w:t>scaled distance.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40" w:right="403" w:firstLine="720"/>
      </w:pPr>
      <w:r>
        <w:rPr/>
        <w:t>Additional</w:t>
      </w:r>
      <w:r>
        <w:rPr>
          <w:spacing w:val="1"/>
        </w:rPr>
        <w:t> </w:t>
      </w:r>
      <w:r>
        <w:rPr/>
        <w:t>UFC</w:t>
      </w:r>
      <w:r>
        <w:rPr>
          <w:spacing w:val="1"/>
        </w:rPr>
        <w:t> </w:t>
      </w:r>
      <w:r>
        <w:rPr/>
        <w:t>figures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parameters</w:t>
      </w:r>
      <w:r>
        <w:rPr>
          <w:spacing w:val="1"/>
        </w:rPr>
        <w:t> </w:t>
      </w:r>
      <w:r>
        <w:rPr/>
        <w:t>built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tool</w:t>
      </w:r>
      <w:r>
        <w:rPr>
          <w:spacing w:val="1"/>
        </w:rPr>
        <w:t> </w:t>
      </w:r>
      <w:r>
        <w:rPr/>
        <w:t>include</w:t>
      </w:r>
      <w:r>
        <w:rPr>
          <w:spacing w:val="1"/>
        </w:rPr>
        <w:t> </w:t>
      </w:r>
      <w:r>
        <w:rPr/>
        <w:t>the</w:t>
      </w:r>
      <w:r>
        <w:rPr>
          <w:spacing w:val="-57"/>
        </w:rPr>
        <w:t> </w:t>
      </w:r>
      <w:r>
        <w:rPr/>
        <w:t>following:</w:t>
      </w:r>
    </w:p>
    <w:p>
      <w:pPr>
        <w:pStyle w:val="BodyText"/>
        <w:spacing w:before="10"/>
        <w:rPr>
          <w:sz w:val="14"/>
        </w:rPr>
      </w:pPr>
    </w:p>
    <w:tbl>
      <w:tblPr>
        <w:tblW w:w="0" w:type="auto"/>
        <w:jc w:val="left"/>
        <w:tblInd w:w="4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39"/>
        <w:gridCol w:w="4284"/>
        <w:gridCol w:w="3218"/>
      </w:tblGrid>
      <w:tr>
        <w:trPr>
          <w:trHeight w:val="496" w:hRule="atLeast"/>
        </w:trPr>
        <w:tc>
          <w:tcPr>
            <w:tcW w:w="113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43" w:lineRule="exact"/>
              <w:ind w:left="108"/>
              <w:rPr>
                <w:b/>
                <w:sz w:val="22"/>
              </w:rPr>
            </w:pPr>
            <w:r>
              <w:rPr>
                <w:b/>
                <w:sz w:val="22"/>
              </w:rPr>
              <w:t>UFC</w:t>
            </w:r>
          </w:p>
          <w:p>
            <w:pPr>
              <w:pStyle w:val="TableParagraph"/>
              <w:spacing w:line="233" w:lineRule="exact"/>
              <w:ind w:left="108"/>
              <w:rPr>
                <w:b/>
                <w:sz w:val="22"/>
              </w:rPr>
            </w:pPr>
            <w:r>
              <w:rPr>
                <w:b/>
                <w:sz w:val="22"/>
              </w:rPr>
              <w:t>Figure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#</w:t>
            </w:r>
          </w:p>
        </w:tc>
        <w:tc>
          <w:tcPr>
            <w:tcW w:w="428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2"/>
              <w:rPr>
                <w:sz w:val="21"/>
              </w:rPr>
            </w:pPr>
          </w:p>
          <w:p>
            <w:pPr>
              <w:pStyle w:val="TableParagraph"/>
              <w:spacing w:line="233" w:lineRule="exact"/>
              <w:ind w:left="207"/>
              <w:rPr>
                <w:b/>
                <w:sz w:val="22"/>
              </w:rPr>
            </w:pPr>
            <w:r>
              <w:rPr>
                <w:b/>
                <w:sz w:val="22"/>
              </w:rPr>
              <w:t>Figure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Title</w:t>
            </w:r>
          </w:p>
        </w:tc>
        <w:tc>
          <w:tcPr>
            <w:tcW w:w="321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2"/>
              <w:rPr>
                <w:sz w:val="21"/>
              </w:rPr>
            </w:pPr>
          </w:p>
          <w:p>
            <w:pPr>
              <w:pStyle w:val="TableParagraph"/>
              <w:spacing w:line="233" w:lineRule="exact"/>
              <w:ind w:left="116"/>
              <w:rPr>
                <w:b/>
                <w:sz w:val="22"/>
              </w:rPr>
            </w:pPr>
            <w:r>
              <w:rPr>
                <w:b/>
                <w:sz w:val="22"/>
              </w:rPr>
              <w:t>Blast</w:t>
            </w:r>
            <w:r>
              <w:rPr>
                <w:b/>
                <w:spacing w:val="-5"/>
                <w:sz w:val="22"/>
              </w:rPr>
              <w:t> </w:t>
            </w:r>
            <w:r>
              <w:rPr>
                <w:b/>
                <w:sz w:val="22"/>
              </w:rPr>
              <w:t>parameter</w:t>
            </w:r>
          </w:p>
        </w:tc>
      </w:tr>
      <w:tr>
        <w:trPr>
          <w:trHeight w:val="1106" w:hRule="atLeast"/>
        </w:trPr>
        <w:tc>
          <w:tcPr>
            <w:tcW w:w="113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1" w:lineRule="exact"/>
              <w:ind w:left="286" w:right="186"/>
              <w:jc w:val="center"/>
              <w:rPr>
                <w:sz w:val="22"/>
              </w:rPr>
            </w:pPr>
            <w:r>
              <w:rPr>
                <w:sz w:val="22"/>
              </w:rPr>
              <w:t>2-3</w:t>
            </w:r>
          </w:p>
        </w:tc>
        <w:tc>
          <w:tcPr>
            <w:tcW w:w="4284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6" w:lineRule="exact"/>
              <w:ind w:left="207" w:right="518"/>
              <w:rPr>
                <w:sz w:val="24"/>
              </w:rPr>
            </w:pPr>
            <w:r>
              <w:rPr>
                <w:sz w:val="24"/>
              </w:rPr>
              <w:t>Peak Incident Pressure versus Peak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Dynamic Pressure, Density of Air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Behind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Shock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Front,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Particle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Velocity</w:t>
            </w:r>
          </w:p>
        </w:tc>
        <w:tc>
          <w:tcPr>
            <w:tcW w:w="3218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1" w:lineRule="exact"/>
              <w:ind w:left="116"/>
              <w:rPr>
                <w:i/>
                <w:sz w:val="22"/>
              </w:rPr>
            </w:pPr>
            <w:r>
              <w:rPr>
                <w:sz w:val="22"/>
              </w:rPr>
              <w:t>dynamic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pressure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(blast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wind),</w:t>
            </w:r>
            <w:r>
              <w:rPr>
                <w:spacing w:val="-2"/>
                <w:sz w:val="22"/>
              </w:rPr>
              <w:t> </w:t>
            </w:r>
            <w:r>
              <w:rPr>
                <w:i/>
                <w:sz w:val="22"/>
              </w:rPr>
              <w:t>q</w:t>
            </w:r>
          </w:p>
        </w:tc>
      </w:tr>
      <w:tr>
        <w:trPr>
          <w:trHeight w:val="552" w:hRule="atLeast"/>
        </w:trPr>
        <w:tc>
          <w:tcPr>
            <w:tcW w:w="1139" w:type="dxa"/>
          </w:tcPr>
          <w:p>
            <w:pPr>
              <w:pStyle w:val="TableParagraph"/>
              <w:spacing w:line="249" w:lineRule="exact"/>
              <w:ind w:left="286" w:right="186"/>
              <w:jc w:val="center"/>
              <w:rPr>
                <w:sz w:val="22"/>
              </w:rPr>
            </w:pPr>
            <w:r>
              <w:rPr>
                <w:sz w:val="22"/>
              </w:rPr>
              <w:t>2-196</w:t>
            </w:r>
          </w:p>
        </w:tc>
        <w:tc>
          <w:tcPr>
            <w:tcW w:w="4284" w:type="dxa"/>
          </w:tcPr>
          <w:p>
            <w:pPr>
              <w:pStyle w:val="TableParagraph"/>
              <w:spacing w:line="271" w:lineRule="exact"/>
              <w:ind w:left="207"/>
              <w:rPr>
                <w:sz w:val="24"/>
              </w:rPr>
            </w:pPr>
            <w:r>
              <w:rPr>
                <w:sz w:val="24"/>
              </w:rPr>
              <w:t>Peak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Equivalent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Uniform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Roof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Pressures</w:t>
            </w:r>
          </w:p>
        </w:tc>
        <w:tc>
          <w:tcPr>
            <w:tcW w:w="3218" w:type="dxa"/>
          </w:tcPr>
          <w:p>
            <w:pPr>
              <w:pStyle w:val="TableParagraph"/>
              <w:spacing w:line="271" w:lineRule="exact"/>
              <w:ind w:left="116"/>
              <w:rPr>
                <w:sz w:val="24"/>
              </w:rPr>
            </w:pPr>
            <w:r>
              <w:rPr>
                <w:sz w:val="24"/>
              </w:rPr>
              <w:t>equivalent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pressure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reduction</w:t>
            </w:r>
          </w:p>
          <w:p>
            <w:pPr>
              <w:pStyle w:val="TableParagraph"/>
              <w:spacing w:line="261" w:lineRule="exact"/>
              <w:ind w:left="116"/>
              <w:rPr>
                <w:i/>
                <w:sz w:val="16"/>
              </w:rPr>
            </w:pPr>
            <w:r>
              <w:rPr>
                <w:position w:val="1"/>
                <w:sz w:val="24"/>
              </w:rPr>
              <w:t>factor,</w:t>
            </w:r>
            <w:r>
              <w:rPr>
                <w:spacing w:val="-1"/>
                <w:position w:val="1"/>
                <w:sz w:val="24"/>
              </w:rPr>
              <w:t> </w:t>
            </w:r>
            <w:r>
              <w:rPr>
                <w:i/>
                <w:position w:val="1"/>
                <w:sz w:val="24"/>
              </w:rPr>
              <w:t>C</w:t>
            </w:r>
            <w:r>
              <w:rPr>
                <w:i/>
                <w:sz w:val="16"/>
              </w:rPr>
              <w:t>e</w:t>
            </w:r>
          </w:p>
        </w:tc>
      </w:tr>
      <w:tr>
        <w:trPr>
          <w:trHeight w:val="506" w:hRule="atLeast"/>
        </w:trPr>
        <w:tc>
          <w:tcPr>
            <w:tcW w:w="1139" w:type="dxa"/>
          </w:tcPr>
          <w:p>
            <w:pPr>
              <w:pStyle w:val="TableParagraph"/>
              <w:spacing w:line="248" w:lineRule="exact"/>
              <w:ind w:left="286" w:right="186"/>
              <w:jc w:val="center"/>
              <w:rPr>
                <w:sz w:val="22"/>
              </w:rPr>
            </w:pPr>
            <w:r>
              <w:rPr>
                <w:sz w:val="22"/>
              </w:rPr>
              <w:t>2-193</w:t>
            </w:r>
          </w:p>
        </w:tc>
        <w:tc>
          <w:tcPr>
            <w:tcW w:w="4284" w:type="dxa"/>
          </w:tcPr>
          <w:p>
            <w:pPr>
              <w:pStyle w:val="TableParagraph"/>
              <w:spacing w:line="248" w:lineRule="exact"/>
              <w:ind w:left="207"/>
              <w:rPr>
                <w:sz w:val="22"/>
              </w:rPr>
            </w:pPr>
            <w:r>
              <w:rPr>
                <w:sz w:val="22"/>
              </w:rPr>
              <w:t>Reflected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Pressure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Coefficient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versus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Angle</w:t>
            </w:r>
          </w:p>
          <w:p>
            <w:pPr>
              <w:pStyle w:val="TableParagraph"/>
              <w:spacing w:line="238" w:lineRule="exact"/>
              <w:ind w:left="207"/>
              <w:rPr>
                <w:sz w:val="22"/>
              </w:rPr>
            </w:pPr>
            <w:r>
              <w:rPr>
                <w:sz w:val="22"/>
              </w:rPr>
              <w:t>of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Incidence</w:t>
            </w:r>
          </w:p>
        </w:tc>
        <w:tc>
          <w:tcPr>
            <w:tcW w:w="3218" w:type="dxa"/>
          </w:tcPr>
          <w:p>
            <w:pPr>
              <w:pStyle w:val="TableParagraph"/>
              <w:spacing w:line="248" w:lineRule="exact"/>
              <w:ind w:left="116"/>
              <w:rPr>
                <w:i/>
                <w:sz w:val="22"/>
              </w:rPr>
            </w:pPr>
            <w:r>
              <w:rPr>
                <w:sz w:val="22"/>
              </w:rPr>
              <w:t>reflected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pressure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coefficient,</w:t>
            </w:r>
            <w:r>
              <w:rPr>
                <w:spacing w:val="-3"/>
                <w:sz w:val="22"/>
              </w:rPr>
              <w:t> </w:t>
            </w:r>
            <w:r>
              <w:rPr>
                <w:i/>
                <w:sz w:val="22"/>
              </w:rPr>
              <w:t>C</w:t>
            </w:r>
            <w:r>
              <w:rPr>
                <w:i/>
                <w:sz w:val="22"/>
                <w:vertAlign w:val="subscript"/>
              </w:rPr>
              <w:t>rα</w:t>
            </w:r>
          </w:p>
        </w:tc>
      </w:tr>
      <w:tr>
        <w:trPr>
          <w:trHeight w:val="500" w:hRule="atLeast"/>
        </w:trPr>
        <w:tc>
          <w:tcPr>
            <w:tcW w:w="1139" w:type="dxa"/>
          </w:tcPr>
          <w:p>
            <w:pPr>
              <w:pStyle w:val="TableParagraph"/>
              <w:spacing w:line="248" w:lineRule="exact"/>
              <w:ind w:left="286" w:right="188"/>
              <w:jc w:val="center"/>
              <w:rPr>
                <w:sz w:val="22"/>
              </w:rPr>
            </w:pPr>
            <w:r>
              <w:rPr>
                <w:sz w:val="22"/>
              </w:rPr>
              <w:t>2-194b</w:t>
            </w:r>
          </w:p>
        </w:tc>
        <w:tc>
          <w:tcPr>
            <w:tcW w:w="4284" w:type="dxa"/>
          </w:tcPr>
          <w:p>
            <w:pPr>
              <w:pStyle w:val="TableParagraph"/>
              <w:spacing w:line="248" w:lineRule="exact"/>
              <w:ind w:left="207"/>
              <w:rPr>
                <w:sz w:val="22"/>
              </w:rPr>
            </w:pPr>
            <w:r>
              <w:rPr>
                <w:sz w:val="22"/>
              </w:rPr>
              <w:t>Reflected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Scale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Impulse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versus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Angle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of</w:t>
            </w:r>
          </w:p>
          <w:p>
            <w:pPr>
              <w:pStyle w:val="TableParagraph"/>
              <w:spacing w:line="232" w:lineRule="exact"/>
              <w:ind w:left="207"/>
              <w:rPr>
                <w:sz w:val="22"/>
              </w:rPr>
            </w:pPr>
            <w:r>
              <w:rPr>
                <w:sz w:val="22"/>
              </w:rPr>
              <w:t>Incidence</w:t>
            </w:r>
          </w:p>
        </w:tc>
        <w:tc>
          <w:tcPr>
            <w:tcW w:w="3218" w:type="dxa"/>
          </w:tcPr>
          <w:p>
            <w:pPr>
              <w:pStyle w:val="TableParagraph"/>
              <w:spacing w:line="266" w:lineRule="exact"/>
              <w:ind w:left="116"/>
              <w:rPr>
                <w:rFonts w:ascii="Calibri Light" w:hAnsi="Calibri Light"/>
                <w:i/>
                <w:sz w:val="22"/>
              </w:rPr>
            </w:pPr>
            <w:r>
              <w:rPr>
                <w:sz w:val="22"/>
              </w:rPr>
              <w:t>reflected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scaled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impulse,</w:t>
            </w:r>
            <w:r>
              <w:rPr>
                <w:spacing w:val="-3"/>
                <w:sz w:val="22"/>
              </w:rPr>
              <w:t> </w:t>
            </w:r>
            <w:r>
              <w:rPr>
                <w:i/>
                <w:sz w:val="22"/>
              </w:rPr>
              <w:t>i</w:t>
            </w:r>
            <w:r>
              <w:rPr>
                <w:rFonts w:ascii="Calibri Light" w:hAnsi="Calibri Light"/>
                <w:i/>
                <w:sz w:val="22"/>
                <w:vertAlign w:val="subscript"/>
              </w:rPr>
              <w:t>rα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335">
            <wp:simplePos x="0" y="0"/>
            <wp:positionH relativeFrom="page">
              <wp:posOffset>2422852</wp:posOffset>
            </wp:positionH>
            <wp:positionV relativeFrom="paragraph">
              <wp:posOffset>150583</wp:posOffset>
            </wp:positionV>
            <wp:extent cx="3394707" cy="4142232"/>
            <wp:effectExtent l="0" t="0" r="0" b="0"/>
            <wp:wrapTopAndBottom/>
            <wp:docPr id="243" name="image4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419.png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4707" cy="41422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22"/>
        </w:rPr>
      </w:pPr>
    </w:p>
    <w:p>
      <w:pPr>
        <w:spacing w:before="90"/>
        <w:ind w:left="440" w:right="418" w:firstLine="0"/>
        <w:jc w:val="left"/>
        <w:rPr>
          <w:i/>
          <w:sz w:val="24"/>
        </w:rPr>
      </w:pPr>
      <w:bookmarkStart w:name="_bookmark187" w:id="545"/>
      <w:bookmarkEnd w:id="545"/>
      <w:r>
        <w:rPr/>
      </w:r>
      <w:r>
        <w:rPr>
          <w:i/>
          <w:sz w:val="24"/>
        </w:rPr>
        <w:t>Figure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8-12.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Empirically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derived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curves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used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estimate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blast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parameters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UFC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Figure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2-15 [17].</w:t>
      </w:r>
    </w:p>
    <w:p>
      <w:pPr>
        <w:spacing w:after="0"/>
        <w:jc w:val="left"/>
        <w:rPr>
          <w:sz w:val="24"/>
        </w:rPr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39" w:right="416" w:firstLine="720"/>
        <w:jc w:val="both"/>
      </w:pPr>
      <w:hyperlink w:history="true" w:anchor="_bookmark188">
        <w:r>
          <w:rPr/>
          <w:t>Figure 8-13 </w:t>
        </w:r>
      </w:hyperlink>
      <w:r>
        <w:rPr/>
        <w:t>shows the blast parameters derived from the UFC figures in the tool.</w:t>
      </w:r>
      <w:r>
        <w:rPr>
          <w:spacing w:val="1"/>
        </w:rPr>
        <w:t> </w:t>
      </w:r>
      <w:r>
        <w:rPr/>
        <w:t>If field data is selected, then those user-specified values supersede the UFC values. The</w:t>
      </w:r>
      <w:r>
        <w:rPr>
          <w:spacing w:val="1"/>
        </w:rPr>
        <w:t> </w:t>
      </w:r>
      <w:r>
        <w:rPr/>
        <w:t>dynamic</w:t>
      </w:r>
      <w:r>
        <w:rPr>
          <w:spacing w:val="-5"/>
        </w:rPr>
        <w:t> </w:t>
      </w:r>
      <w:r>
        <w:rPr/>
        <w:t>pressure,</w:t>
      </w:r>
      <w:r>
        <w:rPr>
          <w:spacing w:val="-5"/>
        </w:rPr>
        <w:t> </w:t>
      </w:r>
      <w:r>
        <w:rPr>
          <w:i/>
        </w:rPr>
        <w:t>q</w:t>
      </w:r>
      <w:r>
        <w:rPr/>
        <w:t>,</w:t>
      </w:r>
      <w:r>
        <w:rPr>
          <w:spacing w:val="-6"/>
        </w:rPr>
        <w:t> </w:t>
      </w:r>
      <w:r>
        <w:rPr/>
        <w:t>is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air</w:t>
      </w:r>
      <w:r>
        <w:rPr>
          <w:spacing w:val="-5"/>
        </w:rPr>
        <w:t> </w:t>
      </w:r>
      <w:r>
        <w:rPr/>
        <w:t>movement</w:t>
      </w:r>
      <w:r>
        <w:rPr>
          <w:spacing w:val="-5"/>
        </w:rPr>
        <w:t> </w:t>
      </w:r>
      <w:r>
        <w:rPr/>
        <w:t>caused</w:t>
      </w:r>
      <w:r>
        <w:rPr>
          <w:spacing w:val="-5"/>
        </w:rPr>
        <w:t> </w:t>
      </w:r>
      <w:r>
        <w:rPr/>
        <w:t>by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blast</w:t>
      </w:r>
      <w:r>
        <w:rPr>
          <w:spacing w:val="-6"/>
        </w:rPr>
        <w:t> </w:t>
      </w:r>
      <w:r>
        <w:rPr/>
        <w:t>and</w:t>
      </w:r>
      <w:r>
        <w:rPr>
          <w:spacing w:val="-5"/>
        </w:rPr>
        <w:t> </w:t>
      </w:r>
      <w:r>
        <w:rPr/>
        <w:t>has</w:t>
      </w:r>
      <w:r>
        <w:rPr>
          <w:spacing w:val="-4"/>
        </w:rPr>
        <w:t> </w:t>
      </w:r>
      <w:r>
        <w:rPr/>
        <w:t>a</w:t>
      </w:r>
      <w:r>
        <w:rPr>
          <w:spacing w:val="-6"/>
        </w:rPr>
        <w:t> </w:t>
      </w:r>
      <w:r>
        <w:rPr/>
        <w:t>corresponding</w:t>
      </w:r>
      <w:r>
        <w:rPr>
          <w:spacing w:val="-6"/>
        </w:rPr>
        <w:t> </w:t>
      </w:r>
      <w:r>
        <w:rPr/>
        <w:t>drag</w:t>
      </w:r>
      <w:r>
        <w:rPr>
          <w:spacing w:val="-58"/>
        </w:rPr>
        <w:t> </w:t>
      </w:r>
      <w:r>
        <w:rPr>
          <w:position w:val="1"/>
        </w:rPr>
        <w:t>coefficient, </w:t>
      </w:r>
      <w:r>
        <w:rPr>
          <w:i/>
          <w:position w:val="1"/>
        </w:rPr>
        <w:t>C</w:t>
      </w:r>
      <w:r>
        <w:rPr>
          <w:i/>
          <w:sz w:val="16"/>
        </w:rPr>
        <w:t>d</w:t>
      </w:r>
      <w:r>
        <w:rPr>
          <w:position w:val="1"/>
        </w:rPr>
        <w:t>.</w:t>
      </w:r>
      <w:r>
        <w:rPr>
          <w:spacing w:val="1"/>
          <w:position w:val="1"/>
        </w:rPr>
        <w:t> </w:t>
      </w:r>
      <w:r>
        <w:rPr>
          <w:position w:val="1"/>
        </w:rPr>
        <w:t>The dynamic pressure is dependent on the peak overpressure of the blast</w:t>
      </w:r>
      <w:r>
        <w:rPr>
          <w:spacing w:val="1"/>
          <w:position w:val="1"/>
        </w:rPr>
        <w:t> </w:t>
      </w:r>
      <w:r>
        <w:rPr>
          <w:position w:val="1"/>
        </w:rPr>
        <w:t>wave.</w:t>
      </w:r>
      <w:r>
        <w:rPr>
          <w:spacing w:val="1"/>
          <w:position w:val="1"/>
        </w:rPr>
        <w:t> </w:t>
      </w:r>
      <w:r>
        <w:rPr>
          <w:position w:val="1"/>
        </w:rPr>
        <w:t>The equivalent pressure reduction factor, </w:t>
      </w:r>
      <w:r>
        <w:rPr>
          <w:i/>
          <w:position w:val="1"/>
        </w:rPr>
        <w:t>C</w:t>
      </w:r>
      <w:r>
        <w:rPr>
          <w:i/>
          <w:sz w:val="16"/>
        </w:rPr>
        <w:t>e</w:t>
      </w:r>
      <w:r>
        <w:rPr>
          <w:position w:val="1"/>
        </w:rPr>
        <w:t>, accounts for the lessened loaded</w:t>
      </w:r>
      <w:r>
        <w:rPr>
          <w:spacing w:val="1"/>
          <w:position w:val="1"/>
        </w:rPr>
        <w:t> </w:t>
      </w:r>
      <w:r>
        <w:rPr/>
        <w:t>experienced</w:t>
      </w:r>
      <w:r>
        <w:rPr>
          <w:spacing w:val="-11"/>
        </w:rPr>
        <w:t> </w:t>
      </w:r>
      <w:r>
        <w:rPr/>
        <w:t>by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sidewalls</w:t>
      </w:r>
      <w:r>
        <w:rPr>
          <w:spacing w:val="-9"/>
        </w:rPr>
        <w:t> </w:t>
      </w:r>
      <w:r>
        <w:rPr/>
        <w:t>and</w:t>
      </w:r>
      <w:r>
        <w:rPr>
          <w:spacing w:val="-11"/>
        </w:rPr>
        <w:t> </w:t>
      </w:r>
      <w:r>
        <w:rPr/>
        <w:t>roof,</w:t>
      </w:r>
      <w:r>
        <w:rPr>
          <w:spacing w:val="-9"/>
        </w:rPr>
        <w:t> </w:t>
      </w:r>
      <w:r>
        <w:rPr/>
        <w:t>should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analyzed</w:t>
      </w:r>
      <w:r>
        <w:rPr>
          <w:spacing w:val="-10"/>
        </w:rPr>
        <w:t> </w:t>
      </w:r>
      <w:r>
        <w:rPr/>
        <w:t>member</w:t>
      </w:r>
      <w:r>
        <w:rPr>
          <w:spacing w:val="-8"/>
        </w:rPr>
        <w:t> </w:t>
      </w:r>
      <w:r>
        <w:rPr/>
        <w:t>be</w:t>
      </w:r>
      <w:r>
        <w:rPr>
          <w:spacing w:val="-10"/>
        </w:rPr>
        <w:t> </w:t>
      </w:r>
      <w:r>
        <w:rPr/>
        <w:t>one</w:t>
      </w:r>
      <w:r>
        <w:rPr>
          <w:spacing w:val="-9"/>
        </w:rPr>
        <w:t> </w:t>
      </w:r>
      <w:r>
        <w:rPr/>
        <w:t>of</w:t>
      </w:r>
      <w:r>
        <w:rPr>
          <w:spacing w:val="-11"/>
        </w:rPr>
        <w:t> </w:t>
      </w:r>
      <w:r>
        <w:rPr/>
        <w:t>those</w:t>
      </w:r>
      <w:r>
        <w:rPr>
          <w:spacing w:val="-9"/>
        </w:rPr>
        <w:t> </w:t>
      </w:r>
      <w:r>
        <w:rPr/>
        <w:t>panels.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336">
            <wp:simplePos x="0" y="0"/>
            <wp:positionH relativeFrom="page">
              <wp:posOffset>2161539</wp:posOffset>
            </wp:positionH>
            <wp:positionV relativeFrom="paragraph">
              <wp:posOffset>240491</wp:posOffset>
            </wp:positionV>
            <wp:extent cx="3457572" cy="4736306"/>
            <wp:effectExtent l="0" t="0" r="0" b="0"/>
            <wp:wrapTopAndBottom/>
            <wp:docPr id="245" name="image4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420.png"/>
                    <pic:cNvPicPr/>
                  </pic:nvPicPr>
                  <pic:blipFill>
                    <a:blip r:embed="rId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7572" cy="47363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3"/>
        </w:rPr>
      </w:pPr>
    </w:p>
    <w:p>
      <w:pPr>
        <w:spacing w:before="0"/>
        <w:ind w:left="19" w:right="0" w:firstLine="0"/>
        <w:jc w:val="center"/>
        <w:rPr>
          <w:i/>
          <w:sz w:val="24"/>
        </w:rPr>
      </w:pPr>
      <w:bookmarkStart w:name="_bookmark188" w:id="546"/>
      <w:bookmarkEnd w:id="546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8-13.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Blast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parameters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based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on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UFC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figures.</w:t>
      </w:r>
    </w:p>
    <w:p>
      <w:pPr>
        <w:spacing w:after="0"/>
        <w:jc w:val="center"/>
        <w:rPr>
          <w:sz w:val="24"/>
        </w:rPr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40" w:right="417" w:firstLine="720"/>
        <w:jc w:val="both"/>
      </w:pPr>
      <w:r>
        <w:rPr/>
        <w:t>Next, the tool determines the design peak pressure, impulse and duration based in</w:t>
      </w:r>
      <w:r>
        <w:rPr>
          <w:spacing w:val="1"/>
        </w:rPr>
        <w:t> </w:t>
      </w:r>
      <w:r>
        <w:rPr/>
        <w:t>the</w:t>
      </w:r>
      <w:r>
        <w:rPr>
          <w:spacing w:val="-6"/>
        </w:rPr>
        <w:t> </w:t>
      </w:r>
      <w:r>
        <w:rPr/>
        <w:t>blast</w:t>
      </w:r>
      <w:r>
        <w:rPr>
          <w:spacing w:val="-6"/>
        </w:rPr>
        <w:t> </w:t>
      </w:r>
      <w:r>
        <w:rPr/>
        <w:t>environment,</w:t>
      </w:r>
      <w:r>
        <w:rPr>
          <w:spacing w:val="-5"/>
        </w:rPr>
        <w:t> </w:t>
      </w:r>
      <w:r>
        <w:rPr/>
        <w:t>building</w:t>
      </w:r>
      <w:r>
        <w:rPr>
          <w:spacing w:val="-6"/>
        </w:rPr>
        <w:t> </w:t>
      </w:r>
      <w:r>
        <w:rPr/>
        <w:t>geometry</w:t>
      </w:r>
      <w:r>
        <w:rPr>
          <w:spacing w:val="-7"/>
        </w:rPr>
        <w:t> </w:t>
      </w:r>
      <w:r>
        <w:rPr/>
        <w:t>and</w:t>
      </w:r>
      <w:r>
        <w:rPr>
          <w:spacing w:val="-5"/>
        </w:rPr>
        <w:t> </w:t>
      </w:r>
      <w:r>
        <w:rPr/>
        <w:t>location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member</w:t>
      </w:r>
      <w:r>
        <w:rPr>
          <w:spacing w:val="-5"/>
        </w:rPr>
        <w:t> </w:t>
      </w:r>
      <w:r>
        <w:rPr/>
        <w:t>under</w:t>
      </w:r>
      <w:r>
        <w:rPr>
          <w:spacing w:val="-5"/>
        </w:rPr>
        <w:t> </w:t>
      </w:r>
      <w:r>
        <w:rPr/>
        <w:t>consideration.</w:t>
      </w:r>
      <w:r>
        <w:rPr>
          <w:spacing w:val="-58"/>
        </w:rPr>
        <w:t> </w:t>
      </w:r>
      <w:r>
        <w:rPr/>
        <w:t>Clearing effects are checked for applicability and a waveform parameter for Friedlander</w:t>
      </w:r>
      <w:r>
        <w:rPr>
          <w:spacing w:val="1"/>
        </w:rPr>
        <w:t> </w:t>
      </w:r>
      <w:r>
        <w:rPr/>
        <w:t>equation is calculated.</w:t>
      </w:r>
      <w:r>
        <w:rPr>
          <w:spacing w:val="1"/>
        </w:rPr>
        <w:t> </w:t>
      </w:r>
      <w:r>
        <w:rPr/>
        <w:t>Static axially loads are determined based on previous user inputs</w:t>
      </w:r>
      <w:r>
        <w:rPr>
          <w:spacing w:val="1"/>
        </w:rPr>
        <w:t> </w:t>
      </w:r>
      <w:r>
        <w:rPr/>
        <w:t>for</w:t>
      </w:r>
      <w:r>
        <w:rPr>
          <w:spacing w:val="-10"/>
        </w:rPr>
        <w:t> </w:t>
      </w:r>
      <w:r>
        <w:rPr/>
        <w:t>self-weight,</w:t>
      </w:r>
      <w:r>
        <w:rPr>
          <w:spacing w:val="-10"/>
        </w:rPr>
        <w:t> </w:t>
      </w:r>
      <w:r>
        <w:rPr/>
        <w:t>floor</w:t>
      </w:r>
      <w:r>
        <w:rPr>
          <w:spacing w:val="-10"/>
        </w:rPr>
        <w:t> </w:t>
      </w:r>
      <w:r>
        <w:rPr/>
        <w:t>panel</w:t>
      </w:r>
      <w:r>
        <w:rPr>
          <w:spacing w:val="-9"/>
        </w:rPr>
        <w:t> </w:t>
      </w:r>
      <w:r>
        <w:rPr/>
        <w:t>weight</w:t>
      </w:r>
      <w:r>
        <w:rPr>
          <w:spacing w:val="-11"/>
        </w:rPr>
        <w:t> </w:t>
      </w:r>
      <w:r>
        <w:rPr/>
        <w:t>and</w:t>
      </w:r>
      <w:r>
        <w:rPr>
          <w:spacing w:val="-11"/>
        </w:rPr>
        <w:t> </w:t>
      </w:r>
      <w:r>
        <w:rPr/>
        <w:t>any</w:t>
      </w:r>
      <w:r>
        <w:rPr>
          <w:spacing w:val="-10"/>
        </w:rPr>
        <w:t> </w:t>
      </w:r>
      <w:r>
        <w:rPr/>
        <w:t>additional</w:t>
      </w:r>
      <w:r>
        <w:rPr>
          <w:spacing w:val="-10"/>
        </w:rPr>
        <w:t> </w:t>
      </w:r>
      <w:r>
        <w:rPr/>
        <w:t>gravity</w:t>
      </w:r>
      <w:r>
        <w:rPr>
          <w:spacing w:val="-11"/>
        </w:rPr>
        <w:t> </w:t>
      </w:r>
      <w:r>
        <w:rPr/>
        <w:t>loads.</w:t>
      </w:r>
      <w:r>
        <w:rPr>
          <w:spacing w:val="40"/>
        </w:rPr>
        <w:t> </w:t>
      </w:r>
      <w:hyperlink w:history="true" w:anchor="_bookmark189">
        <w:r>
          <w:rPr/>
          <w:t>Figure</w:t>
        </w:r>
        <w:r>
          <w:rPr>
            <w:spacing w:val="-9"/>
          </w:rPr>
          <w:t> </w:t>
        </w:r>
        <w:r>
          <w:rPr/>
          <w:t>8-14</w:t>
        </w:r>
        <w:r>
          <w:rPr>
            <w:spacing w:val="-11"/>
          </w:rPr>
          <w:t> </w:t>
        </w:r>
      </w:hyperlink>
      <w:r>
        <w:rPr/>
        <w:t>shows</w:t>
      </w:r>
      <w:r>
        <w:rPr>
          <w:spacing w:val="-10"/>
        </w:rPr>
        <w:t> </w:t>
      </w:r>
      <w:r>
        <w:rPr/>
        <w:t>the</w:t>
      </w:r>
      <w:r>
        <w:rPr>
          <w:spacing w:val="-58"/>
        </w:rPr>
        <w:t> </w:t>
      </w:r>
      <w:r>
        <w:rPr/>
        <w:t>design</w:t>
      </w:r>
      <w:r>
        <w:rPr>
          <w:spacing w:val="-1"/>
        </w:rPr>
        <w:t> </w:t>
      </w:r>
      <w:r>
        <w:rPr/>
        <w:t>loads</w:t>
      </w:r>
      <w:r>
        <w:rPr>
          <w:spacing w:val="-1"/>
        </w:rPr>
        <w:t> </w:t>
      </w:r>
      <w:r>
        <w:rPr/>
        <w:t>variables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the tool.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337">
            <wp:simplePos x="0" y="0"/>
            <wp:positionH relativeFrom="page">
              <wp:posOffset>1676400</wp:posOffset>
            </wp:positionH>
            <wp:positionV relativeFrom="paragraph">
              <wp:posOffset>190492</wp:posOffset>
            </wp:positionV>
            <wp:extent cx="4805703" cy="2751296"/>
            <wp:effectExtent l="0" t="0" r="0" b="0"/>
            <wp:wrapTopAndBottom/>
            <wp:docPr id="247" name="image4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421.jpeg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5703" cy="2751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6"/>
        </w:rPr>
      </w:pPr>
    </w:p>
    <w:p>
      <w:pPr>
        <w:pStyle w:val="BodyText"/>
        <w:spacing w:before="3"/>
        <w:rPr>
          <w:sz w:val="21"/>
        </w:rPr>
      </w:pPr>
    </w:p>
    <w:p>
      <w:pPr>
        <w:spacing w:before="0"/>
        <w:ind w:left="1045" w:right="0" w:firstLine="0"/>
        <w:jc w:val="left"/>
        <w:rPr>
          <w:i/>
          <w:sz w:val="24"/>
        </w:rPr>
      </w:pPr>
      <w:bookmarkStart w:name="_bookmark189" w:id="547"/>
      <w:bookmarkEnd w:id="547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8-14.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Design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loads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determined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CLT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blast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load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analysis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tool.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229"/>
        <w:ind w:left="439" w:right="417" w:firstLine="720"/>
        <w:jc w:val="both"/>
      </w:pPr>
      <w:r>
        <w:rPr/>
        <w:t>In</w:t>
      </w:r>
      <w:r>
        <w:rPr>
          <w:spacing w:val="-13"/>
        </w:rPr>
        <w:t> </w:t>
      </w:r>
      <w:r>
        <w:rPr/>
        <w:t>preparation</w:t>
      </w:r>
      <w:r>
        <w:rPr>
          <w:spacing w:val="-13"/>
        </w:rPr>
        <w:t> </w:t>
      </w:r>
      <w:r>
        <w:rPr/>
        <w:t>for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linear</w:t>
      </w:r>
      <w:r>
        <w:rPr>
          <w:spacing w:val="-13"/>
        </w:rPr>
        <w:t> </w:t>
      </w:r>
      <w:r>
        <w:rPr/>
        <w:t>acceleration</w:t>
      </w:r>
      <w:r>
        <w:rPr>
          <w:spacing w:val="-13"/>
        </w:rPr>
        <w:t> </w:t>
      </w:r>
      <w:r>
        <w:rPr/>
        <w:t>method</w:t>
      </w:r>
      <w:r>
        <w:rPr>
          <w:spacing w:val="-13"/>
        </w:rPr>
        <w:t> </w:t>
      </w:r>
      <w:r>
        <w:rPr/>
        <w:t>numerical</w:t>
      </w:r>
      <w:r>
        <w:rPr>
          <w:spacing w:val="-14"/>
        </w:rPr>
        <w:t> </w:t>
      </w:r>
      <w:r>
        <w:rPr/>
        <w:t>integration,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member</w:t>
      </w:r>
      <w:r>
        <w:rPr>
          <w:spacing w:val="-57"/>
        </w:rPr>
        <w:t> </w:t>
      </w:r>
      <w:r>
        <w:rPr/>
        <w:t>mass was determined based on the density and dimensions of the specified panel.</w:t>
      </w:r>
      <w:r>
        <w:rPr>
          <w:spacing w:val="1"/>
        </w:rPr>
        <w:t> </w:t>
      </w:r>
      <w:r>
        <w:rPr/>
        <w:t>Static</w:t>
      </w:r>
      <w:r>
        <w:rPr>
          <w:spacing w:val="1"/>
        </w:rPr>
        <w:t> </w:t>
      </w:r>
      <w:r>
        <w:rPr/>
        <w:t>loads beyond the self-weight would be included if there were any on the panel.</w:t>
      </w:r>
      <w:r>
        <w:rPr>
          <w:spacing w:val="1"/>
        </w:rPr>
        <w:t> </w:t>
      </w:r>
      <w:hyperlink w:history="true" w:anchor="_bookmark190">
        <w:r>
          <w:rPr/>
          <w:t>Figure</w:t>
        </w:r>
      </w:hyperlink>
      <w:r>
        <w:rPr>
          <w:spacing w:val="1"/>
        </w:rPr>
        <w:t> </w:t>
      </w:r>
      <w:hyperlink w:history="true" w:anchor="_bookmark190">
        <w:r>
          <w:rPr/>
          <w:t>8-15</w:t>
        </w:r>
      </w:hyperlink>
      <w:r>
        <w:rPr>
          <w:spacing w:val="-1"/>
        </w:rPr>
        <w:t> </w:t>
      </w:r>
      <w:r>
        <w:rPr/>
        <w:t>shows the</w:t>
      </w:r>
      <w:r>
        <w:rPr>
          <w:spacing w:val="-1"/>
        </w:rPr>
        <w:t> </w:t>
      </w:r>
      <w:r>
        <w:rPr/>
        <w:t>tool calculation steps</w:t>
      </w:r>
      <w:r>
        <w:rPr>
          <w:spacing w:val="-1"/>
        </w:rPr>
        <w:t> </w:t>
      </w:r>
      <w:r>
        <w:rPr/>
        <w:t>for determining member mass.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before="9"/>
        <w:rPr>
          <w:sz w:val="3"/>
        </w:rPr>
      </w:pPr>
    </w:p>
    <w:p>
      <w:pPr>
        <w:pStyle w:val="BodyText"/>
        <w:ind w:left="2130"/>
        <w:rPr>
          <w:sz w:val="20"/>
        </w:rPr>
      </w:pPr>
      <w:r>
        <w:rPr>
          <w:sz w:val="20"/>
        </w:rPr>
        <w:drawing>
          <wp:inline distT="0" distB="0" distL="0" distR="0">
            <wp:extent cx="3259788" cy="1314830"/>
            <wp:effectExtent l="0" t="0" r="0" b="0"/>
            <wp:docPr id="249" name="image4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422.jpeg"/>
                    <pic:cNvPicPr/>
                  </pic:nvPicPr>
                  <pic:blipFill>
                    <a:blip r:embed="rId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9788" cy="1314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9"/>
        </w:rPr>
      </w:pPr>
    </w:p>
    <w:p>
      <w:pPr>
        <w:spacing w:before="90"/>
        <w:ind w:left="850" w:right="0" w:firstLine="0"/>
        <w:jc w:val="left"/>
        <w:rPr>
          <w:i/>
          <w:sz w:val="24"/>
        </w:rPr>
      </w:pPr>
      <w:bookmarkStart w:name="_bookmark190" w:id="548"/>
      <w:bookmarkEnd w:id="548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8-15.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Calculation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member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mass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CLT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blast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load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analysis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tool.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229"/>
        <w:ind w:left="440" w:right="417" w:firstLine="720"/>
        <w:jc w:val="both"/>
      </w:pPr>
      <w:r>
        <w:rPr/>
        <w:t>The first step of determining the resistance function for the specified CLT panel</w:t>
      </w:r>
      <w:r>
        <w:rPr>
          <w:spacing w:val="1"/>
        </w:rPr>
        <w:t> </w:t>
      </w:r>
      <w:r>
        <w:rPr/>
        <w:t>member is determination of the dynamic moment capacity of the member. The tool is set-</w:t>
      </w:r>
      <w:r>
        <w:rPr>
          <w:spacing w:val="-57"/>
        </w:rPr>
        <w:t> </w:t>
      </w:r>
      <w:r>
        <w:rPr/>
        <w:t>up to incorporate specified static and dynamic increase factors if applicable.</w:t>
      </w:r>
      <w:r>
        <w:rPr>
          <w:spacing w:val="1"/>
        </w:rPr>
        <w:t> </w:t>
      </w:r>
      <w:r>
        <w:rPr/>
        <w:t>For this</w:t>
      </w:r>
      <w:r>
        <w:rPr>
          <w:spacing w:val="1"/>
        </w:rPr>
        <w:t> </w:t>
      </w:r>
      <w:r>
        <w:rPr/>
        <w:t>research, the increase factors were both set to 1.0 as definitive factors have not yet been</w:t>
      </w:r>
      <w:r>
        <w:rPr>
          <w:spacing w:val="1"/>
        </w:rPr>
        <w:t> </w:t>
      </w:r>
      <w:r>
        <w:rPr/>
        <w:t>established and more testing is required to evaluate the need for them.</w:t>
      </w:r>
      <w:r>
        <w:rPr>
          <w:spacing w:val="1"/>
        </w:rPr>
        <w:t> </w:t>
      </w:r>
      <w:r>
        <w:rPr/>
        <w:t>The calculated</w:t>
      </w:r>
      <w:r>
        <w:rPr>
          <w:spacing w:val="1"/>
        </w:rPr>
        <w:t> </w:t>
      </w:r>
      <w:r>
        <w:rPr/>
        <w:t>dynamic moment capacity of the member is then used in finding the ultimate resistance,</w:t>
      </w:r>
      <w:r>
        <w:rPr>
          <w:spacing w:val="1"/>
        </w:rPr>
        <w:t> </w:t>
      </w:r>
      <w:r>
        <w:rPr/>
        <w:t>elastic</w:t>
      </w:r>
      <w:r>
        <w:rPr>
          <w:spacing w:val="-1"/>
        </w:rPr>
        <w:t> </w:t>
      </w:r>
      <w:r>
        <w:rPr/>
        <w:t>displacement</w:t>
      </w:r>
      <w:r>
        <w:rPr>
          <w:spacing w:val="-1"/>
        </w:rPr>
        <w:t> </w:t>
      </w:r>
      <w:r>
        <w:rPr/>
        <w:t>and stiffness</w:t>
      </w:r>
      <w:r>
        <w:rPr>
          <w:spacing w:val="-1"/>
        </w:rPr>
        <w:t> </w:t>
      </w:r>
      <w:r>
        <w:rPr/>
        <w:t>based on</w:t>
      </w:r>
      <w:r>
        <w:rPr>
          <w:spacing w:val="-1"/>
        </w:rPr>
        <w:t> </w:t>
      </w:r>
      <w:r>
        <w:rPr/>
        <w:t>the specified</w:t>
      </w:r>
      <w:r>
        <w:rPr>
          <w:spacing w:val="-1"/>
        </w:rPr>
        <w:t> </w:t>
      </w:r>
      <w:r>
        <w:rPr/>
        <w:t>boundary conditions.</w:t>
      </w:r>
    </w:p>
    <w:p>
      <w:pPr>
        <w:pStyle w:val="BodyText"/>
        <w:spacing w:line="480" w:lineRule="auto" w:before="160"/>
        <w:ind w:left="440" w:right="416" w:firstLine="720"/>
        <w:jc w:val="both"/>
      </w:pPr>
      <w:r>
        <w:rPr/>
        <w:t>The shear response is then checked.</w:t>
      </w:r>
      <w:r>
        <w:rPr>
          <w:spacing w:val="1"/>
        </w:rPr>
        <w:t> </w:t>
      </w:r>
      <w:r>
        <w:rPr/>
        <w:t>The tool is set-up to include the rolling shear</w:t>
      </w:r>
      <w:r>
        <w:rPr>
          <w:spacing w:val="-57"/>
        </w:rPr>
        <w:t> </w:t>
      </w:r>
      <w:r>
        <w:rPr/>
        <w:t>capacity as well. This feature needs more blast testing for validation as when rolling shear</w:t>
      </w:r>
      <w:r>
        <w:rPr>
          <w:spacing w:val="-58"/>
        </w:rPr>
        <w:t> </w:t>
      </w:r>
      <w:r>
        <w:rPr/>
        <w:t>is</w:t>
      </w:r>
      <w:r>
        <w:rPr>
          <w:spacing w:val="-5"/>
        </w:rPr>
        <w:t> </w:t>
      </w:r>
      <w:r>
        <w:rPr/>
        <w:t>considered,</w:t>
      </w:r>
      <w:r>
        <w:rPr>
          <w:spacing w:val="-4"/>
        </w:rPr>
        <w:t> </w:t>
      </w:r>
      <w:r>
        <w:rPr/>
        <w:t>based</w:t>
      </w:r>
      <w:r>
        <w:rPr>
          <w:spacing w:val="-6"/>
        </w:rPr>
        <w:t> </w:t>
      </w:r>
      <w:r>
        <w:rPr/>
        <w:t>on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user</w:t>
      </w:r>
      <w:r>
        <w:rPr>
          <w:spacing w:val="-5"/>
        </w:rPr>
        <w:t> </w:t>
      </w:r>
      <w:r>
        <w:rPr/>
        <w:t>option,</w:t>
      </w:r>
      <w:r>
        <w:rPr>
          <w:spacing w:val="-5"/>
        </w:rPr>
        <w:t> </w:t>
      </w:r>
      <w:r>
        <w:rPr/>
        <w:t>a</w:t>
      </w:r>
      <w:r>
        <w:rPr>
          <w:spacing w:val="-4"/>
        </w:rPr>
        <w:t> </w:t>
      </w:r>
      <w:r>
        <w:rPr/>
        <w:t>shear</w:t>
      </w:r>
      <w:r>
        <w:rPr>
          <w:spacing w:val="-5"/>
        </w:rPr>
        <w:t> </w:t>
      </w:r>
      <w:r>
        <w:rPr/>
        <w:t>failure</w:t>
      </w:r>
      <w:r>
        <w:rPr>
          <w:spacing w:val="-6"/>
        </w:rPr>
        <w:t> </w:t>
      </w:r>
      <w:r>
        <w:rPr/>
        <w:t>prediction</w:t>
      </w:r>
      <w:r>
        <w:rPr>
          <w:spacing w:val="-4"/>
        </w:rPr>
        <w:t> </w:t>
      </w:r>
      <w:r>
        <w:rPr/>
        <w:t>occurs</w:t>
      </w:r>
      <w:r>
        <w:rPr>
          <w:spacing w:val="-5"/>
        </w:rPr>
        <w:t> </w:t>
      </w:r>
      <w:r>
        <w:rPr/>
        <w:t>when</w:t>
      </w:r>
      <w:r>
        <w:rPr>
          <w:spacing w:val="-4"/>
        </w:rPr>
        <w:t> </w:t>
      </w:r>
      <w:r>
        <w:rPr/>
        <w:t>test</w:t>
      </w:r>
      <w:r>
        <w:rPr>
          <w:spacing w:val="-6"/>
        </w:rPr>
        <w:t> </w:t>
      </w:r>
      <w:r>
        <w:rPr/>
        <w:t>results</w:t>
      </w:r>
      <w:r>
        <w:rPr>
          <w:spacing w:val="-4"/>
        </w:rPr>
        <w:t> </w:t>
      </w:r>
      <w:r>
        <w:rPr/>
        <w:t>do</w:t>
      </w:r>
      <w:r>
        <w:rPr>
          <w:spacing w:val="-58"/>
        </w:rPr>
        <w:t> </w:t>
      </w:r>
      <w:r>
        <w:rPr/>
        <w:t>not present that failure mode. The occurrence of rolling shear failure under blast loads has</w:t>
      </w:r>
      <w:r>
        <w:rPr>
          <w:spacing w:val="-58"/>
        </w:rPr>
        <w:t> </w:t>
      </w:r>
      <w:r>
        <w:rPr/>
        <w:t>been observed inconsistently in panel testing using shock tubes but was not observed in</w:t>
      </w:r>
      <w:r>
        <w:rPr>
          <w:spacing w:val="1"/>
        </w:rPr>
        <w:t> </w:t>
      </w:r>
      <w:r>
        <w:rPr/>
        <w:t>live blast testing.</w:t>
      </w:r>
      <w:r>
        <w:rPr>
          <w:spacing w:val="1"/>
        </w:rPr>
        <w:t> </w:t>
      </w:r>
      <w:r>
        <w:rPr/>
        <w:t>The absence of rolling shear failure may be attributed to the physical</w:t>
      </w:r>
      <w:r>
        <w:rPr>
          <w:spacing w:val="1"/>
        </w:rPr>
        <w:t> </w:t>
      </w:r>
      <w:r>
        <w:rPr/>
        <w:t>connections</w:t>
      </w:r>
      <w:r>
        <w:rPr>
          <w:spacing w:val="-5"/>
        </w:rPr>
        <w:t> </w:t>
      </w:r>
      <w:r>
        <w:rPr/>
        <w:t>at</w:t>
      </w:r>
      <w:r>
        <w:rPr>
          <w:spacing w:val="-3"/>
        </w:rPr>
        <w:t> </w:t>
      </w:r>
      <w:r>
        <w:rPr/>
        <w:t>the</w:t>
      </w:r>
      <w:r>
        <w:rPr>
          <w:spacing w:val="-5"/>
        </w:rPr>
        <w:t> </w:t>
      </w:r>
      <w:r>
        <w:rPr/>
        <w:t>edges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front</w:t>
      </w:r>
      <w:r>
        <w:rPr>
          <w:spacing w:val="-5"/>
        </w:rPr>
        <w:t> </w:t>
      </w:r>
      <w:r>
        <w:rPr/>
        <w:t>wall</w:t>
      </w:r>
      <w:r>
        <w:rPr>
          <w:spacing w:val="-3"/>
        </w:rPr>
        <w:t> </w:t>
      </w:r>
      <w:r>
        <w:rPr/>
        <w:t>with</w:t>
      </w:r>
      <w:r>
        <w:rPr>
          <w:spacing w:val="-5"/>
        </w:rPr>
        <w:t> </w:t>
      </w:r>
      <w:r>
        <w:rPr/>
        <w:t>the</w:t>
      </w:r>
      <w:r>
        <w:rPr>
          <w:spacing w:val="-3"/>
        </w:rPr>
        <w:t> </w:t>
      </w:r>
      <w:r>
        <w:rPr/>
        <w:t>sidewalls,</w:t>
      </w:r>
      <w:r>
        <w:rPr>
          <w:spacing w:val="-5"/>
        </w:rPr>
        <w:t> </w:t>
      </w:r>
      <w:r>
        <w:rPr/>
        <w:t>whereas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panel</w:t>
      </w:r>
      <w:r>
        <w:rPr>
          <w:spacing w:val="-3"/>
        </w:rPr>
        <w:t> </w:t>
      </w:r>
      <w:r>
        <w:rPr/>
        <w:t>shock</w:t>
      </w:r>
      <w:r>
        <w:rPr>
          <w:spacing w:val="-4"/>
        </w:rPr>
        <w:t> </w:t>
      </w:r>
      <w:r>
        <w:rPr/>
        <w:t>tube</w:t>
      </w:r>
      <w:r>
        <w:rPr>
          <w:spacing w:val="-58"/>
        </w:rPr>
        <w:t> </w:t>
      </w:r>
      <w:r>
        <w:rPr/>
        <w:t>testing had free vertical edges.</w:t>
      </w:r>
      <w:r>
        <w:rPr>
          <w:spacing w:val="1"/>
        </w:rPr>
        <w:t> </w:t>
      </w:r>
      <w:r>
        <w:rPr/>
        <w:t>More in-depth analysis and additional testing of CLT for</w:t>
      </w:r>
      <w:r>
        <w:rPr>
          <w:spacing w:val="1"/>
        </w:rPr>
        <w:t> </w:t>
      </w:r>
      <w:r>
        <w:rPr/>
        <w:t>rolling</w:t>
      </w:r>
      <w:r>
        <w:rPr>
          <w:spacing w:val="-1"/>
        </w:rPr>
        <w:t> </w:t>
      </w:r>
      <w:r>
        <w:rPr/>
        <w:t>shear</w:t>
      </w:r>
      <w:r>
        <w:rPr>
          <w:spacing w:val="-1"/>
        </w:rPr>
        <w:t> </w:t>
      </w:r>
      <w:r>
        <w:rPr/>
        <w:t>failure with</w:t>
      </w:r>
      <w:r>
        <w:rPr>
          <w:spacing w:val="-2"/>
        </w:rPr>
        <w:t> </w:t>
      </w:r>
      <w:r>
        <w:rPr/>
        <w:t>blast</w:t>
      </w:r>
      <w:r>
        <w:rPr>
          <w:spacing w:val="-1"/>
        </w:rPr>
        <w:t> </w:t>
      </w:r>
      <w:r>
        <w:rPr/>
        <w:t>loading is needed.</w:t>
      </w:r>
    </w:p>
    <w:p>
      <w:pPr>
        <w:spacing w:after="0" w:line="480" w:lineRule="auto"/>
        <w:jc w:val="both"/>
        <w:sectPr>
          <w:pgSz w:w="12240" w:h="15840"/>
          <w:pgMar w:header="0" w:footer="1064" w:top="1500" w:bottom="1260" w:left="1720" w:right="1020"/>
        </w:sectPr>
      </w:pPr>
    </w:p>
    <w:p>
      <w:pPr>
        <w:pStyle w:val="BodyText"/>
        <w:spacing w:line="480" w:lineRule="auto" w:before="78"/>
        <w:ind w:left="440" w:right="417" w:firstLine="720"/>
        <w:jc w:val="both"/>
      </w:pPr>
      <w:hyperlink w:history="true" w:anchor="_bookmark191">
        <w:r>
          <w:rPr/>
          <w:t>Figure 8-16 </w:t>
        </w:r>
      </w:hyperlink>
      <w:r>
        <w:rPr/>
        <w:t>shows the resistance function development section of the tool.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resistance function is described as bilinear or equivalent bilinear function because the tool</w:t>
      </w:r>
      <w:r>
        <w:rPr>
          <w:spacing w:val="-57"/>
        </w:rPr>
        <w:t> </w:t>
      </w:r>
      <w:r>
        <w:rPr/>
        <w:t>is set-up to incorporate the various components of the blast loads experienced by a front</w:t>
      </w:r>
      <w:r>
        <w:rPr>
          <w:spacing w:val="1"/>
        </w:rPr>
        <w:t> </w:t>
      </w:r>
      <w:r>
        <w:rPr/>
        <w:t>wall section.</w:t>
      </w:r>
      <w:r>
        <w:rPr>
          <w:spacing w:val="1"/>
        </w:rPr>
        <w:t> </w:t>
      </w:r>
      <w:r>
        <w:rPr/>
        <w:t>For the initial version of the tool, only the elastic portion is utilized.</w:t>
      </w:r>
      <w:r>
        <w:rPr>
          <w:spacing w:val="1"/>
        </w:rPr>
        <w:t> </w:t>
      </w:r>
      <w:r>
        <w:rPr/>
        <w:t>However,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tool</w:t>
      </w:r>
      <w:r>
        <w:rPr>
          <w:spacing w:val="-2"/>
        </w:rPr>
        <w:t> </w:t>
      </w:r>
      <w:r>
        <w:rPr/>
        <w:t>is</w:t>
      </w:r>
      <w:r>
        <w:rPr>
          <w:spacing w:val="-2"/>
        </w:rPr>
        <w:t> </w:t>
      </w:r>
      <w:r>
        <w:rPr/>
        <w:t>set-up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allow</w:t>
      </w:r>
      <w:r>
        <w:rPr>
          <w:spacing w:val="-2"/>
        </w:rPr>
        <w:t> </w:t>
      </w:r>
      <w:r>
        <w:rPr/>
        <w:t>for</w:t>
      </w:r>
      <w:r>
        <w:rPr>
          <w:spacing w:val="-1"/>
        </w:rPr>
        <w:t> </w:t>
      </w:r>
      <w:r>
        <w:rPr/>
        <w:t>future</w:t>
      </w:r>
      <w:r>
        <w:rPr>
          <w:spacing w:val="-2"/>
        </w:rPr>
        <w:t> </w:t>
      </w:r>
      <w:r>
        <w:rPr/>
        <w:t>inclusion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plastic</w:t>
      </w:r>
      <w:r>
        <w:rPr>
          <w:spacing w:val="-2"/>
        </w:rPr>
        <w:t> </w:t>
      </w:r>
      <w:r>
        <w:rPr/>
        <w:t>regime</w:t>
      </w:r>
      <w:r>
        <w:rPr>
          <w:spacing w:val="-1"/>
        </w:rPr>
        <w:t> </w:t>
      </w:r>
      <w:r>
        <w:rPr/>
        <w:t>once</w:t>
      </w:r>
      <w:r>
        <w:rPr>
          <w:spacing w:val="-1"/>
        </w:rPr>
        <w:t> </w:t>
      </w:r>
      <w:r>
        <w:rPr/>
        <w:t>there</w:t>
      </w:r>
      <w:r>
        <w:rPr>
          <w:spacing w:val="-1"/>
        </w:rPr>
        <w:t> </w:t>
      </w:r>
      <w:r>
        <w:rPr/>
        <w:t>is</w:t>
      </w:r>
      <w:r>
        <w:rPr>
          <w:spacing w:val="-58"/>
        </w:rPr>
        <w:t> </w:t>
      </w:r>
      <w:r>
        <w:rPr/>
        <w:t>data to calibrate it.</w:t>
      </w:r>
      <w:r>
        <w:rPr>
          <w:spacing w:val="1"/>
        </w:rPr>
        <w:t> </w:t>
      </w:r>
      <w:r>
        <w:rPr/>
        <w:t>With the blast load, the pressure acting on the front wall of a structure</w:t>
      </w:r>
      <w:r>
        <w:rPr>
          <w:spacing w:val="-57"/>
        </w:rPr>
        <w:t> </w:t>
      </w:r>
      <w:r>
        <w:rPr>
          <w:position w:val="1"/>
        </w:rPr>
        <w:t>starts with the jump to the reflected pressure, </w:t>
      </w:r>
      <w:r>
        <w:rPr>
          <w:i/>
          <w:position w:val="1"/>
        </w:rPr>
        <w:t>p</w:t>
      </w:r>
      <w:r>
        <w:rPr>
          <w:i/>
          <w:sz w:val="16"/>
        </w:rPr>
        <w:t>r</w:t>
      </w:r>
      <w:r>
        <w:rPr>
          <w:position w:val="1"/>
        </w:rPr>
        <w:t>, a function of the incident pressure, and</w:t>
      </w:r>
      <w:r>
        <w:rPr>
          <w:spacing w:val="1"/>
          <w:position w:val="1"/>
        </w:rPr>
        <w:t> </w:t>
      </w:r>
      <w:r>
        <w:rPr>
          <w:spacing w:val="-1"/>
          <w:position w:val="1"/>
        </w:rPr>
        <w:t>decays</w:t>
      </w:r>
      <w:r>
        <w:rPr>
          <w:spacing w:val="-13"/>
          <w:position w:val="1"/>
        </w:rPr>
        <w:t> </w:t>
      </w:r>
      <w:r>
        <w:rPr>
          <w:spacing w:val="-1"/>
          <w:position w:val="1"/>
        </w:rPr>
        <w:t>to</w:t>
      </w:r>
      <w:r>
        <w:rPr>
          <w:spacing w:val="-14"/>
          <w:position w:val="1"/>
        </w:rPr>
        <w:t> </w:t>
      </w:r>
      <w:r>
        <w:rPr>
          <w:spacing w:val="-1"/>
          <w:position w:val="1"/>
        </w:rPr>
        <w:t>the</w:t>
      </w:r>
      <w:r>
        <w:rPr>
          <w:spacing w:val="-14"/>
          <w:position w:val="1"/>
        </w:rPr>
        <w:t> </w:t>
      </w:r>
      <w:r>
        <w:rPr>
          <w:spacing w:val="-1"/>
          <w:position w:val="1"/>
        </w:rPr>
        <w:t>stagnation</w:t>
      </w:r>
      <w:r>
        <w:rPr>
          <w:spacing w:val="-14"/>
          <w:position w:val="1"/>
        </w:rPr>
        <w:t> </w:t>
      </w:r>
      <w:r>
        <w:rPr>
          <w:position w:val="1"/>
        </w:rPr>
        <w:t>pressure,</w:t>
      </w:r>
      <w:r>
        <w:rPr>
          <w:spacing w:val="-14"/>
          <w:position w:val="1"/>
        </w:rPr>
        <w:t> </w:t>
      </w:r>
      <w:r>
        <w:rPr>
          <w:i/>
          <w:position w:val="1"/>
        </w:rPr>
        <w:t>p</w:t>
      </w:r>
      <w:r>
        <w:rPr>
          <w:i/>
          <w:sz w:val="16"/>
        </w:rPr>
        <w:t>s</w:t>
      </w:r>
      <w:r>
        <w:rPr>
          <w:position w:val="1"/>
        </w:rPr>
        <w:t>.</w:t>
      </w:r>
      <w:r>
        <w:rPr>
          <w:spacing w:val="34"/>
          <w:position w:val="1"/>
        </w:rPr>
        <w:t> </w:t>
      </w:r>
      <w:r>
        <w:rPr>
          <w:position w:val="1"/>
        </w:rPr>
        <w:t>The</w:t>
      </w:r>
      <w:r>
        <w:rPr>
          <w:spacing w:val="-13"/>
          <w:position w:val="1"/>
        </w:rPr>
        <w:t> </w:t>
      </w:r>
      <w:r>
        <w:rPr>
          <w:position w:val="1"/>
        </w:rPr>
        <w:t>stagnation</w:t>
      </w:r>
      <w:r>
        <w:rPr>
          <w:spacing w:val="-13"/>
          <w:position w:val="1"/>
        </w:rPr>
        <w:t> </w:t>
      </w:r>
      <w:r>
        <w:rPr>
          <w:position w:val="1"/>
        </w:rPr>
        <w:t>pressure</w:t>
      </w:r>
      <w:r>
        <w:rPr>
          <w:spacing w:val="-13"/>
          <w:position w:val="1"/>
        </w:rPr>
        <w:t> </w:t>
      </w:r>
      <w:r>
        <w:rPr>
          <w:position w:val="1"/>
        </w:rPr>
        <w:t>is</w:t>
      </w:r>
      <w:r>
        <w:rPr>
          <w:spacing w:val="-12"/>
          <w:position w:val="1"/>
        </w:rPr>
        <w:t> </w:t>
      </w:r>
      <w:r>
        <w:rPr>
          <w:position w:val="1"/>
        </w:rPr>
        <w:t>the</w:t>
      </w:r>
      <w:r>
        <w:rPr>
          <w:spacing w:val="-13"/>
          <w:position w:val="1"/>
        </w:rPr>
        <w:t> </w:t>
      </w:r>
      <w:r>
        <w:rPr>
          <w:position w:val="1"/>
        </w:rPr>
        <w:t>incident</w:t>
      </w:r>
      <w:r>
        <w:rPr>
          <w:spacing w:val="-13"/>
          <w:position w:val="1"/>
        </w:rPr>
        <w:t> </w:t>
      </w:r>
      <w:r>
        <w:rPr>
          <w:position w:val="1"/>
        </w:rPr>
        <w:t>pressure</w:t>
      </w:r>
      <w:r>
        <w:rPr>
          <w:spacing w:val="-12"/>
          <w:position w:val="1"/>
        </w:rPr>
        <w:t> </w:t>
      </w:r>
      <w:r>
        <w:rPr>
          <w:position w:val="1"/>
        </w:rPr>
        <w:t>added</w:t>
      </w:r>
      <w:r>
        <w:rPr>
          <w:spacing w:val="-58"/>
          <w:position w:val="1"/>
        </w:rPr>
        <w:t> </w:t>
      </w:r>
      <w:r>
        <w:rPr>
          <w:position w:val="1"/>
        </w:rPr>
        <w:t>to</w:t>
      </w:r>
      <w:r>
        <w:rPr>
          <w:spacing w:val="-1"/>
          <w:position w:val="1"/>
        </w:rPr>
        <w:t> </w:t>
      </w:r>
      <w:r>
        <w:rPr>
          <w:position w:val="1"/>
        </w:rPr>
        <w:t>the net dynamic pressure, </w:t>
      </w:r>
      <w:r>
        <w:rPr>
          <w:i/>
          <w:position w:val="1"/>
        </w:rPr>
        <w:t>C</w:t>
      </w:r>
      <w:r>
        <w:rPr>
          <w:i/>
          <w:sz w:val="16"/>
        </w:rPr>
        <w:t>d</w:t>
      </w:r>
      <w:r>
        <w:rPr>
          <w:i/>
          <w:position w:val="1"/>
        </w:rPr>
        <w:t>q </w:t>
      </w:r>
      <w:r>
        <w:rPr>
          <w:position w:val="1"/>
        </w:rPr>
        <w:t>[104].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338">
            <wp:simplePos x="0" y="0"/>
            <wp:positionH relativeFrom="page">
              <wp:posOffset>1885950</wp:posOffset>
            </wp:positionH>
            <wp:positionV relativeFrom="paragraph">
              <wp:posOffset>113474</wp:posOffset>
            </wp:positionV>
            <wp:extent cx="4368300" cy="3634740"/>
            <wp:effectExtent l="0" t="0" r="0" b="0"/>
            <wp:wrapTopAndBottom/>
            <wp:docPr id="251" name="image4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423.png"/>
                    <pic:cNvPicPr/>
                  </pic:nvPicPr>
                  <pic:blipFill>
                    <a:blip r:embed="rId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8300" cy="3634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35"/>
        </w:rPr>
      </w:pPr>
    </w:p>
    <w:p>
      <w:pPr>
        <w:spacing w:before="0"/>
        <w:ind w:left="1073" w:right="0" w:firstLine="0"/>
        <w:jc w:val="left"/>
        <w:rPr>
          <w:i/>
          <w:sz w:val="24"/>
        </w:rPr>
      </w:pPr>
      <w:bookmarkStart w:name="_bookmark191" w:id="549"/>
      <w:bookmarkEnd w:id="549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8-16.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Resistance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function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development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CLT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blast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analysis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tool.</w:t>
      </w:r>
    </w:p>
    <w:p>
      <w:pPr>
        <w:spacing w:after="0"/>
        <w:jc w:val="left"/>
        <w:rPr>
          <w:sz w:val="24"/>
        </w:rPr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39" w:right="416" w:firstLine="720"/>
        <w:jc w:val="both"/>
      </w:pPr>
      <w:r>
        <w:rPr/>
        <w:t>The front wall pressure-time history can be plotted with a bilinear curve including</w:t>
      </w:r>
      <w:r>
        <w:rPr>
          <w:spacing w:val="-57"/>
        </w:rPr>
        <w:t> </w:t>
      </w:r>
      <w:r>
        <w:rPr/>
        <w:t>the different blast load components as shown in </w:t>
      </w:r>
      <w:hyperlink w:history="true" w:anchor="_bookmark192">
        <w:r>
          <w:rPr/>
          <w:t>Figure 8-17.</w:t>
        </w:r>
      </w:hyperlink>
      <w:r>
        <w:rPr>
          <w:spacing w:val="1"/>
        </w:rPr>
        <w:t> </w:t>
      </w:r>
      <w:r>
        <w:rPr/>
        <w:t>An equivalent load can be</w:t>
      </w:r>
      <w:r>
        <w:rPr>
          <w:spacing w:val="1"/>
        </w:rPr>
        <w:t> </w:t>
      </w:r>
      <w:r>
        <w:rPr>
          <w:position w:val="1"/>
        </w:rPr>
        <w:t>found</w:t>
      </w:r>
      <w:r>
        <w:rPr>
          <w:spacing w:val="-11"/>
          <w:position w:val="1"/>
        </w:rPr>
        <w:t> </w:t>
      </w:r>
      <w:r>
        <w:rPr>
          <w:position w:val="1"/>
        </w:rPr>
        <w:t>using</w:t>
      </w:r>
      <w:r>
        <w:rPr>
          <w:spacing w:val="-11"/>
          <w:position w:val="1"/>
        </w:rPr>
        <w:t> </w:t>
      </w:r>
      <w:r>
        <w:rPr>
          <w:position w:val="1"/>
        </w:rPr>
        <w:t>the</w:t>
      </w:r>
      <w:r>
        <w:rPr>
          <w:spacing w:val="-11"/>
          <w:position w:val="1"/>
        </w:rPr>
        <w:t> </w:t>
      </w:r>
      <w:r>
        <w:rPr>
          <w:position w:val="1"/>
        </w:rPr>
        <w:t>peak</w:t>
      </w:r>
      <w:r>
        <w:rPr>
          <w:spacing w:val="-11"/>
          <w:position w:val="1"/>
        </w:rPr>
        <w:t> </w:t>
      </w:r>
      <w:r>
        <w:rPr>
          <w:position w:val="1"/>
        </w:rPr>
        <w:t>reflected</w:t>
      </w:r>
      <w:r>
        <w:rPr>
          <w:spacing w:val="-11"/>
          <w:position w:val="1"/>
        </w:rPr>
        <w:t> </w:t>
      </w:r>
      <w:r>
        <w:rPr>
          <w:position w:val="1"/>
        </w:rPr>
        <w:t>pressure,</w:t>
      </w:r>
      <w:r>
        <w:rPr>
          <w:spacing w:val="-11"/>
          <w:position w:val="1"/>
        </w:rPr>
        <w:t> </w:t>
      </w:r>
      <w:r>
        <w:rPr>
          <w:i/>
          <w:position w:val="1"/>
        </w:rPr>
        <w:t>p</w:t>
      </w:r>
      <w:r>
        <w:rPr>
          <w:i/>
          <w:sz w:val="16"/>
        </w:rPr>
        <w:t>r</w:t>
      </w:r>
      <w:r>
        <w:rPr>
          <w:position w:val="1"/>
        </w:rPr>
        <w:t>,</w:t>
      </w:r>
      <w:r>
        <w:rPr>
          <w:spacing w:val="-11"/>
          <w:position w:val="1"/>
        </w:rPr>
        <w:t> </w:t>
      </w:r>
      <w:r>
        <w:rPr>
          <w:position w:val="1"/>
        </w:rPr>
        <w:t>and</w:t>
      </w:r>
      <w:r>
        <w:rPr>
          <w:spacing w:val="-10"/>
          <w:position w:val="1"/>
        </w:rPr>
        <w:t> </w:t>
      </w:r>
      <w:r>
        <w:rPr>
          <w:position w:val="1"/>
        </w:rPr>
        <w:t>the</w:t>
      </w:r>
      <w:r>
        <w:rPr>
          <w:spacing w:val="-11"/>
          <w:position w:val="1"/>
        </w:rPr>
        <w:t> </w:t>
      </w:r>
      <w:r>
        <w:rPr>
          <w:position w:val="1"/>
        </w:rPr>
        <w:t>impulse</w:t>
      </w:r>
      <w:r>
        <w:rPr>
          <w:spacing w:val="-11"/>
          <w:position w:val="1"/>
        </w:rPr>
        <w:t> </w:t>
      </w:r>
      <w:r>
        <w:rPr>
          <w:position w:val="1"/>
        </w:rPr>
        <w:t>for</w:t>
      </w:r>
      <w:r>
        <w:rPr>
          <w:spacing w:val="-11"/>
          <w:position w:val="1"/>
        </w:rPr>
        <w:t> </w:t>
      </w:r>
      <w:r>
        <w:rPr>
          <w:position w:val="1"/>
        </w:rPr>
        <w:t>each</w:t>
      </w:r>
      <w:r>
        <w:rPr>
          <w:spacing w:val="-11"/>
          <w:position w:val="1"/>
        </w:rPr>
        <w:t> </w:t>
      </w:r>
      <w:r>
        <w:rPr>
          <w:position w:val="1"/>
        </w:rPr>
        <w:t>load</w:t>
      </w:r>
      <w:r>
        <w:rPr>
          <w:spacing w:val="-11"/>
          <w:position w:val="1"/>
        </w:rPr>
        <w:t> </w:t>
      </w:r>
      <w:r>
        <w:rPr>
          <w:position w:val="1"/>
        </w:rPr>
        <w:t>shape</w:t>
      </w:r>
      <w:r>
        <w:rPr>
          <w:spacing w:val="-11"/>
          <w:position w:val="1"/>
        </w:rPr>
        <w:t> </w:t>
      </w:r>
      <w:r>
        <w:rPr>
          <w:position w:val="1"/>
        </w:rPr>
        <w:t>or</w:t>
      </w:r>
      <w:r>
        <w:rPr>
          <w:spacing w:val="-11"/>
          <w:position w:val="1"/>
        </w:rPr>
        <w:t> </w:t>
      </w:r>
      <w:r>
        <w:rPr>
          <w:position w:val="1"/>
        </w:rPr>
        <w:t>the</w:t>
      </w:r>
      <w:r>
        <w:rPr>
          <w:spacing w:val="-11"/>
          <w:position w:val="1"/>
        </w:rPr>
        <w:t> </w:t>
      </w:r>
      <w:r>
        <w:rPr>
          <w:position w:val="1"/>
        </w:rPr>
        <w:t>areas</w:t>
      </w:r>
      <w:r>
        <w:rPr>
          <w:spacing w:val="-58"/>
          <w:position w:val="1"/>
        </w:rPr>
        <w:t> </w:t>
      </w:r>
      <w:r>
        <w:rPr/>
        <w:t>under</w:t>
      </w:r>
      <w:r>
        <w:rPr>
          <w:spacing w:val="-9"/>
        </w:rPr>
        <w:t> </w:t>
      </w:r>
      <w:r>
        <w:rPr/>
        <w:t>each</w:t>
      </w:r>
      <w:r>
        <w:rPr>
          <w:spacing w:val="-10"/>
        </w:rPr>
        <w:t> </w:t>
      </w:r>
      <w:r>
        <w:rPr/>
        <w:t>section</w:t>
      </w:r>
      <w:r>
        <w:rPr>
          <w:spacing w:val="-10"/>
        </w:rPr>
        <w:t> </w:t>
      </w:r>
      <w:r>
        <w:rPr/>
        <w:t>of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curve.</w:t>
      </w:r>
      <w:r>
        <w:rPr>
          <w:spacing w:val="42"/>
        </w:rPr>
        <w:t> </w:t>
      </w:r>
      <w:r>
        <w:rPr/>
        <w:t>This</w:t>
      </w:r>
      <w:r>
        <w:rPr>
          <w:spacing w:val="-10"/>
        </w:rPr>
        <w:t> </w:t>
      </w:r>
      <w:r>
        <w:rPr/>
        <w:t>equivalent</w:t>
      </w:r>
      <w:r>
        <w:rPr>
          <w:spacing w:val="-9"/>
        </w:rPr>
        <w:t> </w:t>
      </w:r>
      <w:r>
        <w:rPr/>
        <w:t>load</w:t>
      </w:r>
      <w:r>
        <w:rPr>
          <w:spacing w:val="-10"/>
        </w:rPr>
        <w:t> </w:t>
      </w:r>
      <w:r>
        <w:rPr/>
        <w:t>will</w:t>
      </w:r>
      <w:r>
        <w:rPr>
          <w:spacing w:val="-9"/>
        </w:rPr>
        <w:t> </w:t>
      </w:r>
      <w:r>
        <w:rPr/>
        <w:t>provide</w:t>
      </w:r>
      <w:r>
        <w:rPr>
          <w:spacing w:val="-10"/>
        </w:rPr>
        <w:t> </w:t>
      </w:r>
      <w:r>
        <w:rPr/>
        <w:t>an</w:t>
      </w:r>
      <w:r>
        <w:rPr>
          <w:spacing w:val="-9"/>
        </w:rPr>
        <w:t> </w:t>
      </w:r>
      <w:r>
        <w:rPr/>
        <w:t>associated</w:t>
      </w:r>
      <w:r>
        <w:rPr>
          <w:spacing w:val="-10"/>
        </w:rPr>
        <w:t> </w:t>
      </w:r>
      <w:r>
        <w:rPr/>
        <w:t>equivalent</w:t>
      </w:r>
      <w:r>
        <w:rPr>
          <w:spacing w:val="-58"/>
        </w:rPr>
        <w:t> </w:t>
      </w:r>
      <w:r>
        <w:rPr>
          <w:position w:val="1"/>
        </w:rPr>
        <w:t>impulse, </w:t>
      </w:r>
      <w:r>
        <w:rPr>
          <w:i/>
          <w:position w:val="1"/>
        </w:rPr>
        <w:t>I</w:t>
      </w:r>
      <w:r>
        <w:rPr>
          <w:i/>
          <w:sz w:val="16"/>
        </w:rPr>
        <w:t>e</w:t>
      </w:r>
      <w:r>
        <w:rPr>
          <w:sz w:val="16"/>
        </w:rPr>
        <w:t>,</w:t>
      </w:r>
      <w:r>
        <w:rPr>
          <w:spacing w:val="1"/>
          <w:sz w:val="16"/>
        </w:rPr>
        <w:t> </w:t>
      </w:r>
      <w:r>
        <w:rPr>
          <w:position w:val="1"/>
        </w:rPr>
        <w:t>and equivalent duration, </w:t>
      </w:r>
      <w:r>
        <w:rPr>
          <w:i/>
          <w:position w:val="1"/>
        </w:rPr>
        <w:t>T</w:t>
      </w:r>
      <w:r>
        <w:rPr>
          <w:i/>
          <w:sz w:val="16"/>
        </w:rPr>
        <w:t>e</w:t>
      </w:r>
      <w:r>
        <w:rPr>
          <w:position w:val="1"/>
        </w:rPr>
        <w:t>.</w:t>
      </w:r>
      <w:r>
        <w:rPr>
          <w:spacing w:val="1"/>
          <w:position w:val="1"/>
        </w:rPr>
        <w:t> </w:t>
      </w:r>
      <w:r>
        <w:rPr>
          <w:position w:val="1"/>
        </w:rPr>
        <w:t>The fictitious duration of the positive phase of</w:t>
      </w:r>
      <w:r>
        <w:rPr>
          <w:spacing w:val="1"/>
          <w:position w:val="1"/>
        </w:rPr>
        <w:t> </w:t>
      </w:r>
      <w:r>
        <w:rPr>
          <w:position w:val="1"/>
        </w:rPr>
        <w:t>static overpressure is annotated with </w:t>
      </w:r>
      <w:r>
        <w:rPr>
          <w:i/>
          <w:position w:val="1"/>
        </w:rPr>
        <w:t>t</w:t>
      </w:r>
      <w:r>
        <w:rPr>
          <w:i/>
          <w:sz w:val="16"/>
        </w:rPr>
        <w:t>so,f</w:t>
      </w:r>
      <w:r>
        <w:rPr>
          <w:position w:val="1"/>
        </w:rPr>
        <w:t>.</w:t>
      </w:r>
      <w:r>
        <w:rPr>
          <w:spacing w:val="1"/>
          <w:position w:val="1"/>
        </w:rPr>
        <w:t> </w:t>
      </w:r>
      <w:r>
        <w:rPr>
          <w:position w:val="1"/>
        </w:rPr>
        <w:t>The very short durations in this type of loading</w:t>
      </w:r>
      <w:r>
        <w:rPr>
          <w:spacing w:val="1"/>
          <w:position w:val="1"/>
        </w:rPr>
        <w:t> </w:t>
      </w:r>
      <w:r>
        <w:rPr/>
        <w:t>require an extra check for accuracy; this check compares the reflected pressure impulse</w:t>
      </w:r>
      <w:r>
        <w:rPr>
          <w:spacing w:val="1"/>
        </w:rPr>
        <w:t> </w:t>
      </w:r>
      <w:r>
        <w:rPr/>
        <w:t>and associated fictitious duration to the equivalent values.</w:t>
      </w:r>
      <w:r>
        <w:rPr>
          <w:spacing w:val="1"/>
        </w:rPr>
        <w:t> </w:t>
      </w:r>
      <w:r>
        <w:rPr/>
        <w:t>The smaller impulse value is</w:t>
      </w:r>
      <w:r>
        <w:rPr>
          <w:spacing w:val="1"/>
        </w:rPr>
        <w:t> </w:t>
      </w:r>
      <w:r>
        <w:rPr/>
        <w:t>used</w:t>
      </w:r>
      <w:r>
        <w:rPr>
          <w:spacing w:val="-1"/>
        </w:rPr>
        <w:t> </w:t>
      </w:r>
      <w:r>
        <w:rPr/>
        <w:t>in calculations of</w:t>
      </w:r>
      <w:r>
        <w:rPr>
          <w:spacing w:val="-1"/>
        </w:rPr>
        <w:t> </w:t>
      </w:r>
      <w:r>
        <w:rPr/>
        <w:t>the wall blast</w:t>
      </w:r>
      <w:r>
        <w:rPr>
          <w:spacing w:val="-1"/>
        </w:rPr>
        <w:t> </w:t>
      </w:r>
      <w:r>
        <w:rPr/>
        <w:t>loading</w:t>
      </w:r>
      <w:r>
        <w:rPr>
          <w:spacing w:val="-1"/>
        </w:rPr>
        <w:t> </w:t>
      </w:r>
      <w:r>
        <w:rPr/>
        <w:t>[104].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5"/>
        </w:rPr>
      </w:pPr>
    </w:p>
    <w:p>
      <w:pPr>
        <w:spacing w:before="91"/>
        <w:ind w:left="2126" w:right="0" w:firstLine="0"/>
        <w:jc w:val="left"/>
        <w:rPr>
          <w:sz w:val="23"/>
        </w:rPr>
      </w:pPr>
      <w:r>
        <w:rPr/>
        <w:pict>
          <v:group style="position:absolute;margin-left:213.575684pt;margin-top:9.752271pt;width:197.8pt;height:197.15pt;mso-position-horizontal-relative:page;mso-position-vertical-relative:paragraph;z-index:-34804736" coordorigin="4272,195" coordsize="3956,3943">
            <v:line style="position:absolute" from="7551,3588" to="5587,2693" stroked="true" strokeweight="1.308914pt" strokecolor="#5b9bd5">
              <v:stroke dashstyle="solid"/>
            </v:line>
            <v:line style="position:absolute" from="5577,2691" to="4791,2289" stroked="true" strokeweight="1.171005pt" strokecolor="#5b9bd5">
              <v:stroke dashstyle="solid"/>
            </v:line>
            <v:line style="position:absolute" from="5587,2691" to="4791,841" stroked="true" strokeweight="1.306829pt" strokecolor="#5b9bd5">
              <v:stroke dashstyle="solid"/>
            </v:line>
            <v:line style="position:absolute" from="8154,3589" to="4344,3589" stroked="true" strokeweight="1.447262pt" strokecolor="#000000">
              <v:stroke dashstyle="solid"/>
            </v:line>
            <v:shape style="position:absolute;left:4271;top:3545;width:3956;height:87" coordorigin="4272,3545" coordsize="3956,87" path="m4358,3545l4272,3589,4358,3632,4358,3545xm8227,3589l8140,3545,8140,3632,8227,3589xe" filled="true" fillcolor="#000000" stroked="false">
              <v:path arrowok="t"/>
              <v:fill type="solid"/>
            </v:shape>
            <v:line style="position:absolute" from="4791,267" to="4783,4066" stroked="true" strokeweight="1.443867pt" strokecolor="#000000">
              <v:stroke dashstyle="solid"/>
            </v:line>
            <v:shape style="position:absolute;left:4739;top:195;width:95;height:3943" coordorigin="4740,195" coordsize="95,3943" path="m4827,4051l4740,4051,4783,4138,4827,4051xm4835,282l4791,195,4748,282,4835,282xe" filled="true" fillcolor="#000000" stroked="false">
              <v:path arrowok="t"/>
              <v:fill type="solid"/>
            </v:shape>
            <v:line style="position:absolute" from="5586,2728" to="5585,3589" stroked="true" strokeweight="1.168883pt" strokecolor="#5b9bd5">
              <v:stroke dashstyle="solid"/>
            </v:line>
            <v:line style="position:absolute" from="4791,841" to="6360,3573" stroked="true" strokeweight="1.307115pt" strokecolor="#ffc000">
              <v:stroke dashstyle="solid"/>
            </v:line>
            <v:line style="position:absolute" from="6447,1856" to="5662,2147" stroked="true" strokeweight=".895656pt" strokecolor="#000000">
              <v:stroke dashstyle="solid"/>
            </v:line>
            <v:shape style="position:absolute;left:5608;top:2110;width:77;height:65" coordorigin="5608,2111" coordsize="77,65" path="m5684,2175l5661,2111,5608,2167,5684,2175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sz w:val="23"/>
        </w:rPr>
        <w:t>Pressure</w:t>
      </w:r>
    </w:p>
    <w:p>
      <w:pPr>
        <w:pStyle w:val="BodyText"/>
        <w:spacing w:before="9"/>
        <w:rPr>
          <w:sz w:val="22"/>
        </w:rPr>
      </w:pPr>
    </w:p>
    <w:p>
      <w:pPr>
        <w:spacing w:before="90"/>
        <w:ind w:left="2743" w:right="0" w:firstLine="0"/>
        <w:jc w:val="left"/>
        <w:rPr>
          <w:sz w:val="15"/>
        </w:rPr>
      </w:pPr>
      <w:r>
        <w:rPr>
          <w:sz w:val="23"/>
        </w:rPr>
        <w:t>p</w:t>
      </w:r>
      <w:r>
        <w:rPr>
          <w:position w:val="-5"/>
          <w:sz w:val="15"/>
        </w:rPr>
        <w:t>r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1"/>
        </w:rPr>
      </w:pPr>
    </w:p>
    <w:p>
      <w:pPr>
        <w:spacing w:line="249" w:lineRule="auto" w:before="0"/>
        <w:ind w:left="4594" w:right="3907" w:firstLine="0"/>
        <w:jc w:val="center"/>
        <w:rPr>
          <w:sz w:val="23"/>
        </w:rPr>
      </w:pPr>
      <w:r>
        <w:rPr>
          <w:spacing w:val="-1"/>
          <w:sz w:val="23"/>
        </w:rPr>
        <w:t>Equivalent</w:t>
      </w:r>
      <w:r>
        <w:rPr>
          <w:spacing w:val="-55"/>
          <w:sz w:val="23"/>
        </w:rPr>
        <w:t> </w:t>
      </w:r>
      <w:r>
        <w:rPr>
          <w:sz w:val="23"/>
        </w:rPr>
        <w:t>Load</w:t>
      </w:r>
    </w:p>
    <w:p>
      <w:pPr>
        <w:spacing w:before="111"/>
        <w:ind w:left="42" w:right="3895" w:firstLine="0"/>
        <w:jc w:val="center"/>
        <w:rPr>
          <w:sz w:val="15"/>
        </w:rPr>
      </w:pPr>
      <w:r>
        <w:rPr>
          <w:sz w:val="23"/>
        </w:rPr>
        <w:t>p</w:t>
      </w:r>
      <w:r>
        <w:rPr>
          <w:position w:val="-5"/>
          <w:sz w:val="15"/>
        </w:rPr>
        <w:t>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9"/>
        </w:rPr>
      </w:pPr>
    </w:p>
    <w:p>
      <w:pPr>
        <w:spacing w:after="0"/>
        <w:rPr>
          <w:sz w:val="29"/>
        </w:rPr>
        <w:sectPr>
          <w:pgSz w:w="12240" w:h="15840"/>
          <w:pgMar w:header="0" w:footer="1064" w:top="1360" w:bottom="1260" w:left="1720" w:right="1020"/>
        </w:sectPr>
      </w:pPr>
    </w:p>
    <w:p>
      <w:pPr>
        <w:spacing w:line="298" w:lineRule="exact" w:before="90"/>
        <w:ind w:left="2241" w:right="2354" w:firstLine="0"/>
        <w:jc w:val="center"/>
        <w:rPr>
          <w:sz w:val="15"/>
        </w:rPr>
      </w:pPr>
      <w:r>
        <w:rPr>
          <w:sz w:val="23"/>
        </w:rPr>
        <w:t>p</w:t>
      </w:r>
      <w:r>
        <w:rPr>
          <w:position w:val="-5"/>
          <w:sz w:val="15"/>
        </w:rPr>
        <w:t>0</w:t>
      </w:r>
    </w:p>
    <w:p>
      <w:pPr>
        <w:tabs>
          <w:tab w:pos="4632" w:val="left" w:leader="none"/>
        </w:tabs>
        <w:spacing w:line="298" w:lineRule="exact" w:before="0"/>
        <w:ind w:left="3798" w:right="0" w:firstLine="0"/>
        <w:jc w:val="center"/>
        <w:rPr>
          <w:sz w:val="15"/>
        </w:rPr>
      </w:pPr>
      <w:r>
        <w:rPr>
          <w:sz w:val="23"/>
        </w:rPr>
        <w:t>t</w:t>
      </w:r>
      <w:r>
        <w:rPr>
          <w:position w:val="-5"/>
          <w:sz w:val="15"/>
        </w:rPr>
        <w:t>c</w:t>
        <w:tab/>
      </w:r>
      <w:r>
        <w:rPr>
          <w:spacing w:val="-11"/>
          <w:sz w:val="23"/>
        </w:rPr>
        <w:t>T</w:t>
      </w:r>
      <w:r>
        <w:rPr>
          <w:spacing w:val="-11"/>
          <w:position w:val="-5"/>
          <w:sz w:val="15"/>
        </w:rPr>
        <w:t>e</w:t>
      </w:r>
    </w:p>
    <w:p>
      <w:pPr>
        <w:pStyle w:val="BodyText"/>
        <w:spacing w:before="7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spacing w:before="0"/>
        <w:ind w:left="0" w:right="0" w:firstLine="0"/>
        <w:jc w:val="right"/>
        <w:rPr>
          <w:sz w:val="15"/>
        </w:rPr>
      </w:pPr>
      <w:r>
        <w:rPr>
          <w:position w:val="6"/>
          <w:sz w:val="23"/>
        </w:rPr>
        <w:t>t</w:t>
      </w:r>
      <w:r>
        <w:rPr>
          <w:sz w:val="15"/>
        </w:rPr>
        <w:t>so,f</w:t>
      </w:r>
    </w:p>
    <w:p>
      <w:pPr>
        <w:pStyle w:val="BodyText"/>
      </w:pPr>
      <w:r>
        <w:rPr/>
        <w:br w:type="column"/>
      </w:r>
      <w:r>
        <w:rPr/>
      </w:r>
    </w:p>
    <w:p>
      <w:pPr>
        <w:pStyle w:val="BodyText"/>
        <w:spacing w:before="4"/>
        <w:rPr>
          <w:sz w:val="22"/>
        </w:rPr>
      </w:pPr>
    </w:p>
    <w:p>
      <w:pPr>
        <w:spacing w:before="0"/>
        <w:ind w:left="195" w:right="0" w:firstLine="0"/>
        <w:jc w:val="left"/>
        <w:rPr>
          <w:sz w:val="23"/>
        </w:rPr>
      </w:pPr>
      <w:r>
        <w:rPr>
          <w:sz w:val="23"/>
        </w:rPr>
        <w:t>Time,</w:t>
      </w:r>
      <w:r>
        <w:rPr>
          <w:spacing w:val="-6"/>
          <w:sz w:val="23"/>
        </w:rPr>
        <w:t> </w:t>
      </w:r>
      <w:r>
        <w:rPr>
          <w:sz w:val="23"/>
        </w:rPr>
        <w:t>t</w:t>
      </w:r>
      <w:r>
        <w:rPr>
          <w:spacing w:val="-7"/>
          <w:sz w:val="23"/>
        </w:rPr>
        <w:t> </w:t>
      </w:r>
      <w:r>
        <w:rPr>
          <w:sz w:val="23"/>
        </w:rPr>
        <w:t>(ms)</w:t>
      </w:r>
    </w:p>
    <w:p>
      <w:pPr>
        <w:spacing w:after="0"/>
        <w:jc w:val="left"/>
        <w:rPr>
          <w:sz w:val="23"/>
        </w:rPr>
        <w:sectPr>
          <w:type w:val="continuous"/>
          <w:pgSz w:w="12240" w:h="15840"/>
          <w:pgMar w:top="1380" w:bottom="280" w:left="1720" w:right="1020"/>
          <w:cols w:num="3" w:equalWidth="0">
            <w:col w:w="4825" w:space="40"/>
            <w:col w:w="1108" w:space="39"/>
            <w:col w:w="3488"/>
          </w:cols>
        </w:sectPr>
      </w:pPr>
    </w:p>
    <w:p>
      <w:pPr>
        <w:pStyle w:val="BodyText"/>
        <w:spacing w:before="3"/>
        <w:rPr>
          <w:sz w:val="23"/>
        </w:rPr>
      </w:pPr>
    </w:p>
    <w:p>
      <w:pPr>
        <w:spacing w:before="90"/>
        <w:ind w:left="21" w:right="0" w:firstLine="0"/>
        <w:jc w:val="center"/>
        <w:rPr>
          <w:i/>
          <w:sz w:val="24"/>
        </w:rPr>
      </w:pPr>
      <w:bookmarkStart w:name="_bookmark192" w:id="550"/>
      <w:bookmarkEnd w:id="550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8-17.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Pressure-time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history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bilinear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function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front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walls.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229"/>
        <w:ind w:left="440" w:right="417" w:firstLine="720"/>
        <w:jc w:val="both"/>
      </w:pPr>
      <w:r>
        <w:rPr/>
        <w:t>The</w:t>
      </w:r>
      <w:r>
        <w:rPr>
          <w:spacing w:val="1"/>
        </w:rPr>
        <w:t> </w:t>
      </w:r>
      <w:r>
        <w:rPr/>
        <w:t>tool</w:t>
      </w:r>
      <w:r>
        <w:rPr>
          <w:spacing w:val="1"/>
        </w:rPr>
        <w:t> </w:t>
      </w:r>
      <w:r>
        <w:rPr/>
        <w:t>then</w:t>
      </w:r>
      <w:r>
        <w:rPr>
          <w:spacing w:val="1"/>
        </w:rPr>
        <w:t> </w:t>
      </w:r>
      <w:r>
        <w:rPr/>
        <w:t>conducts</w:t>
      </w:r>
      <w:r>
        <w:rPr>
          <w:spacing w:val="1"/>
        </w:rPr>
        <w:t> </w:t>
      </w:r>
      <w:r>
        <w:rPr/>
        <w:t>numerical</w:t>
      </w:r>
      <w:r>
        <w:rPr>
          <w:spacing w:val="1"/>
        </w:rPr>
        <w:t> </w:t>
      </w:r>
      <w:r>
        <w:rPr/>
        <w:t>integration</w:t>
      </w:r>
      <w:r>
        <w:rPr>
          <w:spacing w:val="1"/>
        </w:rPr>
        <w:t> </w:t>
      </w:r>
      <w:r>
        <w:rPr/>
        <w:t>running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linear</w:t>
      </w:r>
      <w:r>
        <w:rPr>
          <w:spacing w:val="1"/>
        </w:rPr>
        <w:t> </w:t>
      </w:r>
      <w:r>
        <w:rPr/>
        <w:t>acceleration</w:t>
      </w:r>
      <w:r>
        <w:rPr>
          <w:spacing w:val="1"/>
        </w:rPr>
        <w:t> </w:t>
      </w:r>
      <w:r>
        <w:rPr/>
        <w:t>method with the bilinear resistance functions to produce the time-history response of the</w:t>
      </w:r>
      <w:r>
        <w:rPr>
          <w:spacing w:val="1"/>
        </w:rPr>
        <w:t> </w:t>
      </w:r>
      <w:r>
        <w:rPr/>
        <w:t>member.</w:t>
      </w:r>
      <w:r>
        <w:rPr>
          <w:spacing w:val="6"/>
        </w:rPr>
        <w:t> </w:t>
      </w:r>
      <w:r>
        <w:rPr/>
        <w:t>This</w:t>
      </w:r>
      <w:r>
        <w:rPr>
          <w:spacing w:val="1"/>
        </w:rPr>
        <w:t> </w:t>
      </w:r>
      <w:r>
        <w:rPr/>
        <w:t>means</w:t>
      </w:r>
      <w:r>
        <w:rPr>
          <w:spacing w:val="2"/>
        </w:rPr>
        <w:t> </w:t>
      </w:r>
      <w:r>
        <w:rPr/>
        <w:t>incremental</w:t>
      </w:r>
      <w:r>
        <w:rPr>
          <w:spacing w:val="3"/>
        </w:rPr>
        <w:t> </w:t>
      </w:r>
      <w:r>
        <w:rPr/>
        <w:t>solutions are</w:t>
      </w:r>
      <w:r>
        <w:rPr>
          <w:spacing w:val="2"/>
        </w:rPr>
        <w:t> </w:t>
      </w:r>
      <w:r>
        <w:rPr/>
        <w:t>found</w:t>
      </w:r>
      <w:r>
        <w:rPr>
          <w:spacing w:val="2"/>
        </w:rPr>
        <w:t> </w:t>
      </w:r>
      <w:r>
        <w:rPr/>
        <w:t>at</w:t>
      </w:r>
      <w:r>
        <w:rPr>
          <w:spacing w:val="3"/>
        </w:rPr>
        <w:t> </w:t>
      </w:r>
      <w:r>
        <w:rPr/>
        <w:t>each time</w:t>
      </w:r>
      <w:r>
        <w:rPr>
          <w:spacing w:val="2"/>
        </w:rPr>
        <w:t> </w:t>
      </w:r>
      <w:r>
        <w:rPr/>
        <w:t>step,</w:t>
      </w:r>
      <w:r>
        <w:rPr>
          <w:spacing w:val="2"/>
        </w:rPr>
        <w:t> </w:t>
      </w:r>
      <w:r>
        <w:rPr/>
        <w:t>and</w:t>
      </w:r>
      <w:r>
        <w:rPr>
          <w:spacing w:val="2"/>
        </w:rPr>
        <w:t> </w:t>
      </w:r>
      <w:r>
        <w:rPr/>
        <w:t>results</w:t>
      </w:r>
      <w:r>
        <w:rPr>
          <w:spacing w:val="1"/>
        </w:rPr>
        <w:t> </w:t>
      </w:r>
      <w:r>
        <w:rPr/>
        <w:t>of the</w:t>
      </w:r>
    </w:p>
    <w:p>
      <w:pPr>
        <w:spacing w:after="0" w:line="480" w:lineRule="auto"/>
        <w:jc w:val="both"/>
        <w:sectPr>
          <w:type w:val="continuous"/>
          <w:pgSz w:w="12240" w:h="15840"/>
          <w:pgMar w:top="1380" w:bottom="280" w:left="1720" w:right="1020"/>
        </w:sectPr>
      </w:pPr>
    </w:p>
    <w:p>
      <w:pPr>
        <w:pStyle w:val="BodyText"/>
        <w:spacing w:line="480" w:lineRule="auto" w:before="78"/>
        <w:ind w:left="440" w:right="417"/>
        <w:jc w:val="both"/>
      </w:pPr>
      <w:r>
        <w:rPr/>
        <w:t>previous</w:t>
      </w:r>
      <w:r>
        <w:rPr>
          <w:spacing w:val="-11"/>
        </w:rPr>
        <w:t> </w:t>
      </w:r>
      <w:r>
        <w:rPr/>
        <w:t>and</w:t>
      </w:r>
      <w:r>
        <w:rPr>
          <w:spacing w:val="-10"/>
        </w:rPr>
        <w:t> </w:t>
      </w:r>
      <w:r>
        <w:rPr/>
        <w:t>current</w:t>
      </w:r>
      <w:r>
        <w:rPr>
          <w:spacing w:val="-9"/>
        </w:rPr>
        <w:t> </w:t>
      </w:r>
      <w:r>
        <w:rPr/>
        <w:t>time</w:t>
      </w:r>
      <w:r>
        <w:rPr>
          <w:spacing w:val="-8"/>
        </w:rPr>
        <w:t> </w:t>
      </w:r>
      <w:r>
        <w:rPr/>
        <w:t>step</w:t>
      </w:r>
      <w:r>
        <w:rPr>
          <w:spacing w:val="-9"/>
        </w:rPr>
        <w:t> </w:t>
      </w:r>
      <w:r>
        <w:rPr/>
        <w:t>help</w:t>
      </w:r>
      <w:r>
        <w:rPr>
          <w:spacing w:val="-10"/>
        </w:rPr>
        <w:t> </w:t>
      </w:r>
      <w:r>
        <w:rPr/>
        <w:t>predict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acceleration</w:t>
      </w:r>
      <w:r>
        <w:rPr>
          <w:spacing w:val="-10"/>
        </w:rPr>
        <w:t> </w:t>
      </w:r>
      <w:r>
        <w:rPr/>
        <w:t>and</w:t>
      </w:r>
      <w:r>
        <w:rPr>
          <w:spacing w:val="-9"/>
        </w:rPr>
        <w:t> </w:t>
      </w:r>
      <w:r>
        <w:rPr/>
        <w:t>velocity</w:t>
      </w:r>
      <w:r>
        <w:rPr>
          <w:spacing w:val="-10"/>
        </w:rPr>
        <w:t> </w:t>
      </w:r>
      <w:r>
        <w:rPr/>
        <w:t>using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equation</w:t>
      </w:r>
      <w:r>
        <w:rPr>
          <w:spacing w:val="-58"/>
        </w:rPr>
        <w:t> </w:t>
      </w:r>
      <w:r>
        <w:rPr/>
        <w:t>of motion through the history of the blast load event. Small time periods provide accurate</w:t>
      </w:r>
      <w:r>
        <w:rPr>
          <w:spacing w:val="-57"/>
        </w:rPr>
        <w:t> </w:t>
      </w:r>
      <w:r>
        <w:rPr/>
        <w:t>and stable solutions; for an SDOF system this is typically 0.10 of the duration time [104].</w:t>
      </w:r>
      <w:r>
        <w:rPr>
          <w:spacing w:val="-57"/>
        </w:rPr>
        <w:t> </w:t>
      </w:r>
      <w:r>
        <w:rPr/>
        <w:t>The</w:t>
      </w:r>
      <w:r>
        <w:rPr>
          <w:spacing w:val="-1"/>
        </w:rPr>
        <w:t> </w:t>
      </w:r>
      <w:r>
        <w:rPr/>
        <w:t>time step in</w:t>
      </w:r>
      <w:r>
        <w:rPr>
          <w:spacing w:val="-1"/>
        </w:rPr>
        <w:t> </w:t>
      </w:r>
      <w:r>
        <w:rPr/>
        <w:t>the CLT</w:t>
      </w:r>
      <w:r>
        <w:rPr>
          <w:spacing w:val="-1"/>
        </w:rPr>
        <w:t> </w:t>
      </w:r>
      <w:r>
        <w:rPr/>
        <w:t>blast analysis</w:t>
      </w:r>
      <w:r>
        <w:rPr>
          <w:spacing w:val="-1"/>
        </w:rPr>
        <w:t> </w:t>
      </w:r>
      <w:r>
        <w:rPr/>
        <w:t>tool is set to</w:t>
      </w:r>
      <w:r>
        <w:rPr>
          <w:spacing w:val="-1"/>
        </w:rPr>
        <w:t> </w:t>
      </w:r>
      <w:r>
        <w:rPr/>
        <w:t>0.00001 sec.</w:t>
      </w:r>
    </w:p>
    <w:p>
      <w:pPr>
        <w:pStyle w:val="BodyText"/>
        <w:spacing w:line="480" w:lineRule="auto" w:before="159"/>
        <w:ind w:left="439" w:right="417" w:firstLine="720"/>
        <w:jc w:val="both"/>
      </w:pPr>
      <w:r>
        <w:rPr/>
        <w:t>This numerical evaluation of the dynamic response of the member produces the</w:t>
      </w:r>
      <w:r>
        <w:rPr>
          <w:spacing w:val="1"/>
        </w:rPr>
        <w:t> </w:t>
      </w:r>
      <w:r>
        <w:rPr/>
        <w:t>results,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include</w:t>
      </w:r>
      <w:r>
        <w:rPr>
          <w:spacing w:val="1"/>
        </w:rPr>
        <w:t> </w:t>
      </w:r>
      <w:r>
        <w:rPr/>
        <w:t>plots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Force-Time</w:t>
      </w:r>
      <w:r>
        <w:rPr>
          <w:spacing w:val="1"/>
        </w:rPr>
        <w:t> </w:t>
      </w:r>
      <w:r>
        <w:rPr/>
        <w:t>History,</w:t>
      </w:r>
      <w:r>
        <w:rPr>
          <w:spacing w:val="1"/>
        </w:rPr>
        <w:t> </w:t>
      </w:r>
      <w:r>
        <w:rPr/>
        <w:t>Resistance-Displacement,</w:t>
      </w:r>
      <w:r>
        <w:rPr>
          <w:spacing w:val="1"/>
        </w:rPr>
        <w:t> </w:t>
      </w:r>
      <w:r>
        <w:rPr/>
        <w:t>Displacement-Time</w:t>
      </w:r>
      <w:r>
        <w:rPr>
          <w:spacing w:val="1"/>
        </w:rPr>
        <w:t> </w:t>
      </w:r>
      <w:r>
        <w:rPr/>
        <w:t>History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Dynamic</w:t>
      </w:r>
      <w:r>
        <w:rPr>
          <w:spacing w:val="1"/>
        </w:rPr>
        <w:t> </w:t>
      </w:r>
      <w:r>
        <w:rPr/>
        <w:t>Shear</w:t>
      </w:r>
      <w:r>
        <w:rPr>
          <w:spacing w:val="1"/>
        </w:rPr>
        <w:t> </w:t>
      </w:r>
      <w:r>
        <w:rPr/>
        <w:t>History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shown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hyperlink w:history="true" w:anchor="_bookmark193">
        <w:r>
          <w:rPr/>
          <w:t>Figure</w:t>
        </w:r>
        <w:r>
          <w:rPr>
            <w:spacing w:val="1"/>
          </w:rPr>
          <w:t> </w:t>
        </w:r>
        <w:r>
          <w:rPr/>
          <w:t>8-18.</w:t>
        </w:r>
      </w:hyperlink>
      <w:r>
        <w:rPr>
          <w:spacing w:val="1"/>
        </w:rPr>
        <w:t> </w:t>
      </w:r>
      <w:r>
        <w:rPr/>
        <w:t>Additionally, values are determined for the maximum displacement in the positive phase,</w:t>
      </w:r>
      <w:r>
        <w:rPr>
          <w:spacing w:val="1"/>
        </w:rPr>
        <w:t> </w:t>
      </w:r>
      <w:r>
        <w:rPr/>
        <w:t>the maximum rebound displacement, from the negative phase, the residual displacement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the maximum</w:t>
      </w:r>
      <w:r>
        <w:rPr>
          <w:spacing w:val="-1"/>
        </w:rPr>
        <w:t> </w:t>
      </w:r>
      <w:r>
        <w:rPr/>
        <w:t>dynamic shear</w:t>
      </w:r>
      <w:r>
        <w:rPr>
          <w:spacing w:val="-1"/>
        </w:rPr>
        <w:t> </w:t>
      </w:r>
      <w:r>
        <w:rPr/>
        <w:t>and displayed</w:t>
      </w:r>
      <w:r>
        <w:rPr>
          <w:spacing w:val="-2"/>
        </w:rPr>
        <w:t> </w:t>
      </w:r>
      <w:r>
        <w:rPr/>
        <w:t>as shown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hyperlink w:history="true" w:anchor="_bookmark194">
        <w:r>
          <w:rPr/>
          <w:t>Figure 8-19.</w:t>
        </w:r>
      </w:hyperlink>
    </w:p>
    <w:p>
      <w:pPr>
        <w:pStyle w:val="BodyText"/>
        <w:spacing w:line="480" w:lineRule="auto" w:before="160"/>
        <w:ind w:left="440" w:right="417" w:firstLine="720"/>
        <w:jc w:val="both"/>
      </w:pPr>
      <w:r>
        <w:rPr/>
        <w:t>While the maximum rebound displacement is displayed, this calculation needs</w:t>
      </w:r>
      <w:r>
        <w:rPr>
          <w:spacing w:val="1"/>
        </w:rPr>
        <w:t> </w:t>
      </w:r>
      <w:r>
        <w:rPr/>
        <w:t>further</w:t>
      </w:r>
      <w:r>
        <w:rPr>
          <w:spacing w:val="-13"/>
        </w:rPr>
        <w:t> </w:t>
      </w:r>
      <w:r>
        <w:rPr/>
        <w:t>evaluation</w:t>
      </w:r>
      <w:r>
        <w:rPr>
          <w:spacing w:val="-13"/>
        </w:rPr>
        <w:t> </w:t>
      </w:r>
      <w:r>
        <w:rPr/>
        <w:t>due</w:t>
      </w:r>
      <w:r>
        <w:rPr>
          <w:spacing w:val="-13"/>
        </w:rPr>
        <w:t> </w:t>
      </w:r>
      <w:r>
        <w:rPr/>
        <w:t>to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lightweight</w:t>
      </w:r>
      <w:r>
        <w:rPr>
          <w:spacing w:val="-13"/>
        </w:rPr>
        <w:t> </w:t>
      </w:r>
      <w:r>
        <w:rPr/>
        <w:t>nature</w:t>
      </w:r>
      <w:r>
        <w:rPr>
          <w:spacing w:val="-12"/>
        </w:rPr>
        <w:t> </w:t>
      </w:r>
      <w:r>
        <w:rPr/>
        <w:t>of</w:t>
      </w:r>
      <w:r>
        <w:rPr>
          <w:spacing w:val="-14"/>
        </w:rPr>
        <w:t> </w:t>
      </w:r>
      <w:r>
        <w:rPr/>
        <w:t>the</w:t>
      </w:r>
      <w:r>
        <w:rPr>
          <w:spacing w:val="-12"/>
        </w:rPr>
        <w:t> </w:t>
      </w:r>
      <w:r>
        <w:rPr/>
        <w:t>CLT</w:t>
      </w:r>
      <w:r>
        <w:rPr>
          <w:spacing w:val="-12"/>
        </w:rPr>
        <w:t> </w:t>
      </w:r>
      <w:r>
        <w:rPr/>
        <w:t>material.</w:t>
      </w:r>
      <w:r>
        <w:rPr>
          <w:spacing w:val="35"/>
        </w:rPr>
        <w:t> </w:t>
      </w:r>
      <w:r>
        <w:rPr/>
        <w:t>The</w:t>
      </w:r>
      <w:r>
        <w:rPr>
          <w:spacing w:val="-12"/>
        </w:rPr>
        <w:t> </w:t>
      </w:r>
      <w:r>
        <w:rPr/>
        <w:t>negative</w:t>
      </w:r>
      <w:r>
        <w:rPr>
          <w:spacing w:val="-13"/>
        </w:rPr>
        <w:t> </w:t>
      </w:r>
      <w:r>
        <w:rPr/>
        <w:t>pressure</w:t>
      </w:r>
      <w:r>
        <w:rPr>
          <w:spacing w:val="-57"/>
        </w:rPr>
        <w:t> </w:t>
      </w:r>
      <w:r>
        <w:rPr/>
        <w:t>phase generally has limited impact with robust steel and reinforced concrete designs but</w:t>
      </w:r>
      <w:r>
        <w:rPr>
          <w:spacing w:val="1"/>
        </w:rPr>
        <w:t> </w:t>
      </w:r>
      <w:r>
        <w:rPr/>
        <w:t>with</w:t>
      </w:r>
      <w:r>
        <w:rPr>
          <w:spacing w:val="-8"/>
        </w:rPr>
        <w:t> </w:t>
      </w:r>
      <w:r>
        <w:rPr/>
        <w:t>flexible</w:t>
      </w:r>
      <w:r>
        <w:rPr>
          <w:spacing w:val="-8"/>
        </w:rPr>
        <w:t> </w:t>
      </w:r>
      <w:r>
        <w:rPr/>
        <w:t>materials</w:t>
      </w:r>
      <w:r>
        <w:rPr>
          <w:spacing w:val="-8"/>
        </w:rPr>
        <w:t> </w:t>
      </w:r>
      <w:r>
        <w:rPr/>
        <w:t>like</w:t>
      </w:r>
      <w:r>
        <w:rPr>
          <w:spacing w:val="-7"/>
        </w:rPr>
        <w:t> </w:t>
      </w:r>
      <w:r>
        <w:rPr/>
        <w:t>wood,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behavior</w:t>
      </w:r>
      <w:r>
        <w:rPr>
          <w:spacing w:val="-8"/>
        </w:rPr>
        <w:t> </w:t>
      </w:r>
      <w:r>
        <w:rPr/>
        <w:t>is</w:t>
      </w:r>
      <w:r>
        <w:rPr>
          <w:spacing w:val="-8"/>
        </w:rPr>
        <w:t> </w:t>
      </w:r>
      <w:r>
        <w:rPr/>
        <w:t>different.</w:t>
      </w:r>
      <w:r>
        <w:rPr>
          <w:spacing w:val="45"/>
        </w:rPr>
        <w:t> </w:t>
      </w:r>
      <w:r>
        <w:rPr/>
        <w:t>While</w:t>
      </w:r>
      <w:r>
        <w:rPr>
          <w:spacing w:val="-8"/>
        </w:rPr>
        <w:t> </w:t>
      </w:r>
      <w:r>
        <w:rPr/>
        <w:t>outside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scope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this</w:t>
      </w:r>
      <w:r>
        <w:rPr>
          <w:spacing w:val="-58"/>
        </w:rPr>
        <w:t> </w:t>
      </w:r>
      <w:r>
        <w:rPr/>
        <w:t>research, there is the opportunity to add the negative phase parameters and incorporate</w:t>
      </w:r>
      <w:r>
        <w:rPr>
          <w:spacing w:val="1"/>
        </w:rPr>
        <w:t> </w:t>
      </w:r>
      <w:r>
        <w:rPr/>
        <w:t>them</w:t>
      </w:r>
      <w:r>
        <w:rPr>
          <w:spacing w:val="-2"/>
        </w:rPr>
        <w:t> </w:t>
      </w:r>
      <w:r>
        <w:rPr/>
        <w:t>into</w:t>
      </w:r>
      <w:r>
        <w:rPr>
          <w:spacing w:val="-1"/>
        </w:rPr>
        <w:t> </w:t>
      </w:r>
      <w:r>
        <w:rPr/>
        <w:t>future work.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ind w:left="1050"/>
        <w:rPr>
          <w:sz w:val="20"/>
        </w:rPr>
      </w:pPr>
      <w:r>
        <w:rPr>
          <w:sz w:val="20"/>
        </w:rPr>
        <w:drawing>
          <wp:inline distT="0" distB="0" distL="0" distR="0">
            <wp:extent cx="4712010" cy="4047744"/>
            <wp:effectExtent l="0" t="0" r="0" b="0"/>
            <wp:docPr id="253" name="image4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424.png"/>
                    <pic:cNvPicPr/>
                  </pic:nvPicPr>
                  <pic:blipFill>
                    <a:blip r:embed="rId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2010" cy="4047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rPr>
          <w:sz w:val="29"/>
        </w:rPr>
      </w:pPr>
    </w:p>
    <w:p>
      <w:pPr>
        <w:spacing w:before="90"/>
        <w:ind w:left="21" w:right="0" w:firstLine="0"/>
        <w:jc w:val="center"/>
        <w:rPr>
          <w:i/>
          <w:sz w:val="24"/>
        </w:rPr>
      </w:pPr>
      <w:bookmarkStart w:name="_bookmark193" w:id="551"/>
      <w:bookmarkEnd w:id="551"/>
      <w:r>
        <w:rPr/>
      </w:r>
      <w:r>
        <w:rPr>
          <w:i/>
          <w:sz w:val="24"/>
        </w:rPr>
        <w:t>Figure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8-18.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Resulting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plots from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CLT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blast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analysis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tool.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6"/>
        <w:rPr>
          <w:i/>
          <w:sz w:val="13"/>
        </w:rPr>
      </w:pPr>
      <w:r>
        <w:rPr/>
        <w:drawing>
          <wp:anchor distT="0" distB="0" distL="0" distR="0" allowOverlap="1" layoutInCell="1" locked="0" behindDoc="0" simplePos="0" relativeHeight="340">
            <wp:simplePos x="0" y="0"/>
            <wp:positionH relativeFrom="page">
              <wp:posOffset>1467389</wp:posOffset>
            </wp:positionH>
            <wp:positionV relativeFrom="paragraph">
              <wp:posOffset>123952</wp:posOffset>
            </wp:positionV>
            <wp:extent cx="5295141" cy="1383887"/>
            <wp:effectExtent l="0" t="0" r="0" b="0"/>
            <wp:wrapTopAndBottom/>
            <wp:docPr id="255" name="image4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425.png"/>
                    <pic:cNvPicPr/>
                  </pic:nvPicPr>
                  <pic:blipFill>
                    <a:blip r:embed="rId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5141" cy="1383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i/>
          <w:sz w:val="26"/>
        </w:rPr>
      </w:pPr>
    </w:p>
    <w:p>
      <w:pPr>
        <w:pStyle w:val="BodyText"/>
        <w:spacing w:before="6"/>
        <w:rPr>
          <w:i/>
          <w:sz w:val="28"/>
        </w:rPr>
      </w:pPr>
    </w:p>
    <w:p>
      <w:pPr>
        <w:spacing w:before="0"/>
        <w:ind w:left="20" w:right="0" w:firstLine="0"/>
        <w:jc w:val="center"/>
        <w:rPr>
          <w:i/>
          <w:sz w:val="24"/>
        </w:rPr>
      </w:pPr>
      <w:bookmarkStart w:name="_bookmark194" w:id="552"/>
      <w:bookmarkEnd w:id="552"/>
      <w:r>
        <w:rPr/>
      </w:r>
      <w:r>
        <w:rPr>
          <w:i/>
          <w:sz w:val="24"/>
        </w:rPr>
        <w:t>Figure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8-19.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Values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key results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from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CLT blast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analysis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tool.</w:t>
      </w:r>
    </w:p>
    <w:p>
      <w:pPr>
        <w:spacing w:after="0"/>
        <w:jc w:val="center"/>
        <w:rPr>
          <w:sz w:val="24"/>
        </w:rPr>
        <w:sectPr>
          <w:pgSz w:w="12240" w:h="15840"/>
          <w:pgMar w:header="0" w:footer="1064" w:top="1440" w:bottom="1260" w:left="1720" w:right="1020"/>
        </w:sectPr>
      </w:pPr>
    </w:p>
    <w:p>
      <w:pPr>
        <w:pStyle w:val="BodyText"/>
        <w:spacing w:line="480" w:lineRule="auto" w:before="77"/>
        <w:ind w:left="440" w:right="417" w:firstLine="720"/>
        <w:jc w:val="both"/>
      </w:pPr>
      <w:r>
        <w:rPr>
          <w:position w:val="1"/>
        </w:rPr>
        <w:t>The maximum support rotation, </w:t>
      </w:r>
      <w:r>
        <w:rPr>
          <w:i/>
          <w:position w:val="1"/>
        </w:rPr>
        <w:t>θ</w:t>
      </w:r>
      <w:r>
        <w:rPr>
          <w:i/>
          <w:sz w:val="16"/>
        </w:rPr>
        <w:t>r</w:t>
      </w:r>
      <w:r>
        <w:rPr>
          <w:position w:val="1"/>
        </w:rPr>
        <w:t>, and ductility ratio, μ, were computed using</w:t>
      </w:r>
      <w:r>
        <w:rPr>
          <w:spacing w:val="1"/>
          <w:position w:val="1"/>
        </w:rPr>
        <w:t> </w:t>
      </w:r>
      <w:r>
        <w:rPr/>
        <w:t>Equation 8.17 and Equation 8.18, in order to categorize the expected element damage of</w:t>
      </w:r>
      <w:r>
        <w:rPr>
          <w:spacing w:val="1"/>
        </w:rPr>
        <w:t> </w:t>
      </w:r>
      <w:r>
        <w:rPr/>
        <w:t>the element and Level of Protection provided against the specified explosive threat [104].</w:t>
      </w:r>
      <w:r>
        <w:rPr>
          <w:spacing w:val="-57"/>
        </w:rPr>
        <w:t> </w:t>
      </w:r>
      <w:r>
        <w:rPr/>
        <w:t>These categorizations were based on values associated with reinforced concrete and steel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should be examined more in-depth with</w:t>
      </w:r>
      <w:r>
        <w:rPr>
          <w:spacing w:val="-1"/>
        </w:rPr>
        <w:t> </w:t>
      </w:r>
      <w:r>
        <w:rPr/>
        <w:t>CLT.</w:t>
      </w:r>
    </w:p>
    <w:p>
      <w:pPr>
        <w:pStyle w:val="BodyText"/>
        <w:spacing w:before="9" w:after="1"/>
        <w:rPr>
          <w:sz w:val="14"/>
        </w:rPr>
      </w:pPr>
    </w:p>
    <w:tbl>
      <w:tblPr>
        <w:tblW w:w="0" w:type="auto"/>
        <w:jc w:val="left"/>
        <w:tblInd w:w="301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67"/>
        <w:gridCol w:w="856"/>
        <w:gridCol w:w="2652"/>
      </w:tblGrid>
      <w:tr>
        <w:trPr>
          <w:trHeight w:val="706" w:hRule="atLeast"/>
        </w:trPr>
        <w:tc>
          <w:tcPr>
            <w:tcW w:w="2467" w:type="dxa"/>
          </w:tcPr>
          <w:p>
            <w:pPr>
              <w:pStyle w:val="TableParagraph"/>
              <w:spacing w:line="341" w:lineRule="exact"/>
              <w:ind w:left="200"/>
              <w:rPr>
                <w:rFonts w:ascii="Cambria Math" w:hAnsi="Cambria Math" w:cs="Cambria Math" w:eastAsia="Cambria Math"/>
                <w:sz w:val="24"/>
                <w:szCs w:val="24"/>
              </w:rPr>
            </w:pPr>
            <w:r>
              <w:rPr>
                <w:rFonts w:ascii="Cambria Math" w:hAnsi="Cambria Math" w:cs="Cambria Math" w:eastAsia="Cambria Math"/>
                <w:w w:val="50"/>
                <w:sz w:val="24"/>
                <w:szCs w:val="24"/>
              </w:rPr>
              <w:t>𝜃𝜃</w:t>
            </w:r>
            <w:r>
              <w:rPr>
                <w:rFonts w:ascii="Cambria Math" w:hAnsi="Cambria Math" w:cs="Cambria Math" w:eastAsia="Cambria Math"/>
                <w:sz w:val="24"/>
                <w:szCs w:val="24"/>
              </w:rPr>
              <w:t>  </w:t>
            </w:r>
            <w:r>
              <w:rPr>
                <w:rFonts w:ascii="Cambria Math" w:hAnsi="Cambria Math" w:cs="Cambria Math" w:eastAsia="Cambria Math"/>
                <w:spacing w:val="-1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sz w:val="24"/>
                <w:szCs w:val="24"/>
              </w:rPr>
              <w:t>=</w:t>
            </w:r>
            <w:r>
              <w:rPr>
                <w:rFonts w:ascii="Cambria Math" w:hAnsi="Cambria Math" w:cs="Cambria Math" w:eastAsia="Cambria Math"/>
                <w:spacing w:val="13"/>
                <w:sz w:val="24"/>
                <w:szCs w:val="24"/>
              </w:rPr>
              <w:t> </w:t>
            </w:r>
            <w:r>
              <w:rPr>
                <w:rFonts w:ascii="Cambria Math" w:hAnsi="Cambria Math" w:cs="Cambria Math" w:eastAsia="Cambria Math"/>
                <w:sz w:val="24"/>
                <w:szCs w:val="24"/>
              </w:rPr>
              <w:t>tan</w:t>
            </w:r>
            <w:r>
              <w:rPr>
                <w:rFonts w:ascii="Cambria Math" w:hAnsi="Cambria Math" w:cs="Cambria Math" w:eastAsia="Cambria Math"/>
                <w:spacing w:val="-1"/>
                <w:w w:val="103"/>
                <w:sz w:val="24"/>
                <w:szCs w:val="24"/>
                <w:vertAlign w:val="superscript"/>
              </w:rPr>
              <w:t>−</w:t>
            </w:r>
            <w:r>
              <w:rPr>
                <w:rFonts w:ascii="Cambria Math" w:hAnsi="Cambria Math" w:cs="Cambria Math" w:eastAsia="Cambria Math"/>
                <w:w w:val="111"/>
                <w:sz w:val="24"/>
                <w:szCs w:val="24"/>
                <w:vertAlign w:val="superscript"/>
              </w:rPr>
              <w:t>1</w:t>
            </w:r>
            <w:r>
              <w:rPr>
                <w:rFonts w:ascii="Cambria Math" w:hAnsi="Cambria Math" w:cs="Cambria Math" w:eastAsia="Cambria Math"/>
                <w:spacing w:val="-6"/>
                <w:sz w:val="24"/>
                <w:szCs w:val="24"/>
                <w:vertAlign w:val="baseline"/>
              </w:rPr>
              <w:t> </w:t>
            </w:r>
            <w:r>
              <w:rPr>
                <w:rFonts w:ascii="Cambria Math" w:hAnsi="Cambria Math" w:cs="Cambria Math" w:eastAsia="Cambria Math"/>
                <w:w w:val="49"/>
                <w:sz w:val="24"/>
                <w:szCs w:val="24"/>
                <w:vertAlign w:val="baseline"/>
              </w:rPr>
              <w:t>�</w:t>
            </w:r>
            <w:r>
              <w:rPr>
                <w:rFonts w:ascii="Cambria Math" w:hAnsi="Cambria Math" w:cs="Cambria Math" w:eastAsia="Cambria Math"/>
                <w:position w:val="18"/>
                <w:sz w:val="24"/>
                <w:szCs w:val="24"/>
                <w:u w:val="single"/>
                <w:vertAlign w:val="baseline"/>
              </w:rPr>
              <w:t>2</w:t>
            </w:r>
            <w:r>
              <w:rPr>
                <w:rFonts w:ascii="Cambria Math" w:hAnsi="Cambria Math" w:cs="Cambria Math" w:eastAsia="Cambria Math"/>
                <w:spacing w:val="-3"/>
                <w:position w:val="18"/>
                <w:sz w:val="24"/>
                <w:szCs w:val="24"/>
                <w:u w:val="single"/>
                <w:vertAlign w:val="baseline"/>
              </w:rPr>
              <w:t>𝑥</w:t>
            </w:r>
            <w:r>
              <w:rPr>
                <w:rFonts w:ascii="Cambria Math" w:hAnsi="Cambria Math" w:cs="Cambria Math" w:eastAsia="Cambria Math"/>
                <w:w w:val="111"/>
                <w:position w:val="13"/>
                <w:sz w:val="17"/>
                <w:szCs w:val="17"/>
                <w:u w:val="single"/>
                <w:vertAlign w:val="baseline"/>
              </w:rPr>
              <w:t>𝑚𝑎</w:t>
            </w:r>
            <w:r>
              <w:rPr>
                <w:rFonts w:ascii="Cambria Math" w:hAnsi="Cambria Math" w:cs="Cambria Math" w:eastAsia="Cambria Math"/>
                <w:spacing w:val="14"/>
                <w:w w:val="111"/>
                <w:position w:val="13"/>
                <w:sz w:val="17"/>
                <w:szCs w:val="17"/>
                <w:u w:val="single"/>
                <w:vertAlign w:val="baseline"/>
              </w:rPr>
              <w:t>𝑥</w:t>
            </w:r>
            <w:r>
              <w:rPr>
                <w:rFonts w:ascii="Cambria Math" w:hAnsi="Cambria Math" w:cs="Cambria Math" w:eastAsia="Cambria Math"/>
                <w:w w:val="49"/>
                <w:sz w:val="24"/>
                <w:szCs w:val="24"/>
                <w:vertAlign w:val="baseline"/>
              </w:rPr>
              <w:t>�</w:t>
            </w:r>
          </w:p>
          <w:p>
            <w:pPr>
              <w:pStyle w:val="TableParagraph"/>
              <w:tabs>
                <w:tab w:pos="1714" w:val="left" w:leader="none"/>
              </w:tabs>
              <w:spacing w:line="81" w:lineRule="auto"/>
              <w:ind w:left="321"/>
              <w:rPr>
                <w:rFonts w:ascii="Cambria Math" w:eastAsia="Cambria Math"/>
                <w:sz w:val="24"/>
              </w:rPr>
            </w:pPr>
            <w:r>
              <w:rPr>
                <w:rFonts w:ascii="Cambria Math" w:eastAsia="Cambria Math"/>
                <w:w w:val="105"/>
                <w:sz w:val="17"/>
              </w:rPr>
              <w:t>𝑟</w:t>
              <w:tab/>
            </w:r>
            <w:r>
              <w:rPr>
                <w:rFonts w:ascii="Cambria Math" w:eastAsia="Cambria Math"/>
                <w:w w:val="105"/>
                <w:position w:val="-10"/>
                <w:sz w:val="24"/>
              </w:rPr>
              <w:t>𝐿</w:t>
            </w:r>
          </w:p>
        </w:tc>
        <w:tc>
          <w:tcPr>
            <w:tcW w:w="85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652" w:type="dxa"/>
          </w:tcPr>
          <w:p>
            <w:pPr>
              <w:pStyle w:val="TableParagraph"/>
              <w:spacing w:line="266" w:lineRule="exact"/>
              <w:ind w:right="297"/>
              <w:jc w:val="right"/>
              <w:rPr>
                <w:sz w:val="24"/>
              </w:rPr>
            </w:pPr>
            <w:r>
              <w:rPr>
                <w:sz w:val="24"/>
              </w:rPr>
              <w:t>(8.17)</w:t>
            </w:r>
          </w:p>
        </w:tc>
      </w:tr>
      <w:tr>
        <w:trPr>
          <w:trHeight w:val="394" w:hRule="atLeast"/>
        </w:trPr>
        <w:tc>
          <w:tcPr>
            <w:tcW w:w="2467" w:type="dxa"/>
          </w:tcPr>
          <w:p>
            <w:pPr>
              <w:pStyle w:val="TableParagraph"/>
              <w:spacing w:line="262" w:lineRule="exact" w:before="112"/>
              <w:ind w:right="106"/>
              <w:jc w:val="right"/>
              <w:rPr>
                <w:sz w:val="24"/>
              </w:rPr>
            </w:pPr>
            <w:r>
              <w:rPr>
                <w:sz w:val="24"/>
              </w:rPr>
              <w:t>where</w:t>
            </w:r>
          </w:p>
        </w:tc>
        <w:tc>
          <w:tcPr>
            <w:tcW w:w="856" w:type="dxa"/>
          </w:tcPr>
          <w:p>
            <w:pPr>
              <w:pStyle w:val="TableParagraph"/>
              <w:spacing w:line="261" w:lineRule="exact" w:before="113"/>
              <w:ind w:left="107"/>
              <w:rPr>
                <w:i/>
                <w:sz w:val="24"/>
              </w:rPr>
            </w:pPr>
            <w:r>
              <w:rPr>
                <w:i/>
                <w:position w:val="1"/>
                <w:sz w:val="24"/>
              </w:rPr>
              <w:t>x</w:t>
            </w:r>
            <w:r>
              <w:rPr>
                <w:i/>
                <w:sz w:val="16"/>
              </w:rPr>
              <w:t>max</w:t>
            </w:r>
            <w:r>
              <w:rPr>
                <w:i/>
                <w:spacing w:val="18"/>
                <w:sz w:val="16"/>
              </w:rPr>
              <w:t> </w:t>
            </w:r>
            <w:r>
              <w:rPr>
                <w:i/>
                <w:position w:val="1"/>
                <w:sz w:val="24"/>
              </w:rPr>
              <w:t>=</w:t>
            </w:r>
          </w:p>
        </w:tc>
        <w:tc>
          <w:tcPr>
            <w:tcW w:w="2652" w:type="dxa"/>
          </w:tcPr>
          <w:p>
            <w:pPr>
              <w:pStyle w:val="TableParagraph"/>
              <w:spacing w:line="262" w:lineRule="exact" w:before="112"/>
              <w:ind w:left="151"/>
              <w:rPr>
                <w:sz w:val="24"/>
              </w:rPr>
            </w:pPr>
            <w:r>
              <w:rPr>
                <w:sz w:val="24"/>
              </w:rPr>
              <w:t>maximum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displacement</w:t>
            </w:r>
          </w:p>
        </w:tc>
      </w:tr>
      <w:tr>
        <w:trPr>
          <w:trHeight w:val="272" w:hRule="atLeast"/>
        </w:trPr>
        <w:tc>
          <w:tcPr>
            <w:tcW w:w="246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856" w:type="dxa"/>
          </w:tcPr>
          <w:p>
            <w:pPr>
              <w:pStyle w:val="TableParagraph"/>
              <w:spacing w:line="252" w:lineRule="exact"/>
              <w:ind w:left="107"/>
              <w:rPr>
                <w:i/>
                <w:sz w:val="24"/>
              </w:rPr>
            </w:pPr>
            <w:r>
              <w:rPr>
                <w:i/>
                <w:sz w:val="24"/>
              </w:rPr>
              <w:t>L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=</w:t>
            </w:r>
          </w:p>
        </w:tc>
        <w:tc>
          <w:tcPr>
            <w:tcW w:w="2652" w:type="dxa"/>
          </w:tcPr>
          <w:p>
            <w:pPr>
              <w:pStyle w:val="TableParagraph"/>
              <w:spacing w:line="252" w:lineRule="exact"/>
              <w:ind w:left="151"/>
              <w:rPr>
                <w:sz w:val="24"/>
              </w:rPr>
            </w:pPr>
            <w:r>
              <w:rPr>
                <w:sz w:val="24"/>
              </w:rPr>
              <w:t>length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element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 w:after="1"/>
        <w:rPr>
          <w:sz w:val="22"/>
        </w:rPr>
      </w:pPr>
    </w:p>
    <w:tbl>
      <w:tblPr>
        <w:tblW w:w="0" w:type="auto"/>
        <w:jc w:val="left"/>
        <w:tblInd w:w="35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35"/>
        <w:gridCol w:w="856"/>
        <w:gridCol w:w="2652"/>
      </w:tblGrid>
      <w:tr>
        <w:trPr>
          <w:trHeight w:val="599" w:hRule="atLeast"/>
        </w:trPr>
        <w:tc>
          <w:tcPr>
            <w:tcW w:w="1935" w:type="dxa"/>
          </w:tcPr>
          <w:p>
            <w:pPr>
              <w:pStyle w:val="TableParagraph"/>
              <w:spacing w:line="162" w:lineRule="exact"/>
              <w:ind w:left="181" w:right="321"/>
              <w:jc w:val="center"/>
              <w:rPr>
                <w:rFonts w:ascii="Cambria Math" w:eastAsia="Cambria Math"/>
                <w:sz w:val="17"/>
              </w:rPr>
            </w:pPr>
            <w:r>
              <w:rPr>
                <w:rFonts w:ascii="Cambria Math" w:eastAsia="Cambria Math"/>
                <w:w w:val="110"/>
                <w:position w:val="5"/>
                <w:sz w:val="24"/>
                <w:u w:val="single"/>
              </w:rPr>
              <w:t>𝑥</w:t>
            </w:r>
            <w:r>
              <w:rPr>
                <w:rFonts w:ascii="Cambria Math" w:eastAsia="Cambria Math"/>
                <w:w w:val="110"/>
                <w:sz w:val="17"/>
                <w:u w:val="single"/>
              </w:rPr>
              <w:t>𝑚𝑎𝑥</w:t>
            </w:r>
          </w:p>
          <w:p>
            <w:pPr>
              <w:pStyle w:val="TableParagraph"/>
              <w:spacing w:line="154" w:lineRule="exact"/>
              <w:ind w:left="181" w:right="1330"/>
              <w:jc w:val="center"/>
              <w:rPr>
                <w:rFonts w:ascii="Cambria Math" w:eastAsia="Cambria Math"/>
                <w:sz w:val="24"/>
              </w:rPr>
            </w:pPr>
            <w:r>
              <w:rPr>
                <w:rFonts w:ascii="Cambria Math" w:eastAsia="Cambria Math"/>
                <w:sz w:val="24"/>
              </w:rPr>
              <w:t>𝜇</w:t>
            </w:r>
            <w:r>
              <w:rPr>
                <w:rFonts w:ascii="Cambria Math" w:eastAsia="Cambria Math"/>
                <w:spacing w:val="19"/>
                <w:sz w:val="24"/>
              </w:rPr>
              <w:t> </w:t>
            </w:r>
            <w:r>
              <w:rPr>
                <w:rFonts w:ascii="Cambria Math" w:eastAsia="Cambria Math"/>
                <w:sz w:val="24"/>
              </w:rPr>
              <w:t>=</w:t>
            </w:r>
          </w:p>
          <w:p>
            <w:pPr>
              <w:pStyle w:val="TableParagraph"/>
              <w:spacing w:line="256" w:lineRule="exact"/>
              <w:ind w:left="181" w:right="323"/>
              <w:jc w:val="center"/>
              <w:rPr>
                <w:rFonts w:ascii="Cambria Math" w:eastAsia="Cambria Math"/>
                <w:sz w:val="17"/>
              </w:rPr>
            </w:pPr>
            <w:r>
              <w:rPr>
                <w:rFonts w:ascii="Cambria Math" w:eastAsia="Cambria Math"/>
                <w:w w:val="105"/>
                <w:sz w:val="24"/>
              </w:rPr>
              <w:t>𝑥</w:t>
            </w:r>
            <w:r>
              <w:rPr>
                <w:rFonts w:ascii="Cambria Math" w:eastAsia="Cambria Math"/>
                <w:w w:val="105"/>
                <w:position w:val="-4"/>
                <w:sz w:val="17"/>
              </w:rPr>
              <w:t>𝑒</w:t>
            </w:r>
          </w:p>
        </w:tc>
        <w:tc>
          <w:tcPr>
            <w:tcW w:w="85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652" w:type="dxa"/>
          </w:tcPr>
          <w:p>
            <w:pPr>
              <w:pStyle w:val="TableParagraph"/>
              <w:spacing w:line="266" w:lineRule="exact"/>
              <w:ind w:right="297"/>
              <w:jc w:val="right"/>
              <w:rPr>
                <w:sz w:val="24"/>
              </w:rPr>
            </w:pPr>
            <w:r>
              <w:rPr>
                <w:sz w:val="24"/>
              </w:rPr>
              <w:t>(8.18)</w:t>
            </w:r>
          </w:p>
        </w:tc>
      </w:tr>
      <w:tr>
        <w:trPr>
          <w:trHeight w:val="496" w:hRule="atLeast"/>
        </w:trPr>
        <w:tc>
          <w:tcPr>
            <w:tcW w:w="1935" w:type="dxa"/>
          </w:tcPr>
          <w:p>
            <w:pPr>
              <w:pStyle w:val="TableParagraph"/>
              <w:spacing w:line="263" w:lineRule="exact" w:before="213"/>
              <w:ind w:left="1240"/>
              <w:rPr>
                <w:sz w:val="24"/>
              </w:rPr>
            </w:pPr>
            <w:r>
              <w:rPr>
                <w:sz w:val="24"/>
              </w:rPr>
              <w:t>where</w:t>
            </w:r>
          </w:p>
        </w:tc>
        <w:tc>
          <w:tcPr>
            <w:tcW w:w="856" w:type="dxa"/>
          </w:tcPr>
          <w:p>
            <w:pPr>
              <w:pStyle w:val="TableParagraph"/>
              <w:spacing w:line="262" w:lineRule="exact" w:before="214"/>
              <w:ind w:left="108"/>
              <w:rPr>
                <w:i/>
                <w:sz w:val="24"/>
              </w:rPr>
            </w:pPr>
            <w:r>
              <w:rPr>
                <w:i/>
                <w:position w:val="1"/>
                <w:sz w:val="24"/>
              </w:rPr>
              <w:t>x</w:t>
            </w:r>
            <w:r>
              <w:rPr>
                <w:i/>
                <w:sz w:val="16"/>
              </w:rPr>
              <w:t>max</w:t>
            </w:r>
            <w:r>
              <w:rPr>
                <w:i/>
                <w:spacing w:val="18"/>
                <w:sz w:val="16"/>
              </w:rPr>
              <w:t> </w:t>
            </w:r>
            <w:r>
              <w:rPr>
                <w:i/>
                <w:position w:val="1"/>
                <w:sz w:val="24"/>
              </w:rPr>
              <w:t>=</w:t>
            </w:r>
          </w:p>
        </w:tc>
        <w:tc>
          <w:tcPr>
            <w:tcW w:w="2652" w:type="dxa"/>
          </w:tcPr>
          <w:p>
            <w:pPr>
              <w:pStyle w:val="TableParagraph"/>
              <w:spacing w:line="263" w:lineRule="exact" w:before="213"/>
              <w:ind w:left="152"/>
              <w:rPr>
                <w:sz w:val="24"/>
              </w:rPr>
            </w:pPr>
            <w:r>
              <w:rPr>
                <w:sz w:val="24"/>
              </w:rPr>
              <w:t>maximum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displacement</w:t>
            </w:r>
          </w:p>
        </w:tc>
      </w:tr>
      <w:tr>
        <w:trPr>
          <w:trHeight w:val="272" w:hRule="atLeast"/>
        </w:trPr>
        <w:tc>
          <w:tcPr>
            <w:tcW w:w="193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856" w:type="dxa"/>
          </w:tcPr>
          <w:p>
            <w:pPr>
              <w:pStyle w:val="TableParagraph"/>
              <w:spacing w:line="253" w:lineRule="exact"/>
              <w:ind w:left="108"/>
              <w:rPr>
                <w:i/>
                <w:sz w:val="24"/>
              </w:rPr>
            </w:pPr>
            <w:r>
              <w:rPr>
                <w:i/>
                <w:position w:val="1"/>
                <w:sz w:val="24"/>
              </w:rPr>
              <w:t>x</w:t>
            </w:r>
            <w:r>
              <w:rPr>
                <w:i/>
                <w:sz w:val="16"/>
              </w:rPr>
              <w:t>e</w:t>
            </w:r>
            <w:r>
              <w:rPr>
                <w:i/>
                <w:spacing w:val="-2"/>
                <w:sz w:val="16"/>
              </w:rPr>
              <w:t> </w:t>
            </w:r>
            <w:r>
              <w:rPr>
                <w:i/>
                <w:position w:val="1"/>
                <w:sz w:val="24"/>
              </w:rPr>
              <w:t>=</w:t>
            </w:r>
          </w:p>
        </w:tc>
        <w:tc>
          <w:tcPr>
            <w:tcW w:w="2652" w:type="dxa"/>
          </w:tcPr>
          <w:p>
            <w:pPr>
              <w:pStyle w:val="TableParagraph"/>
              <w:spacing w:line="253" w:lineRule="exact"/>
              <w:ind w:left="152"/>
              <w:rPr>
                <w:sz w:val="24"/>
              </w:rPr>
            </w:pPr>
            <w:r>
              <w:rPr>
                <w:sz w:val="24"/>
              </w:rPr>
              <w:t>elastic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displacement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line="480" w:lineRule="auto"/>
        <w:ind w:left="440" w:right="417" w:firstLine="720"/>
        <w:jc w:val="both"/>
      </w:pPr>
      <w:r>
        <w:rPr/>
        <w:t>Based in the user specified classification of the element type (primary, secondary,</w:t>
      </w:r>
      <w:r>
        <w:rPr>
          <w:spacing w:val="1"/>
        </w:rPr>
        <w:t> </w:t>
      </w:r>
      <w:r>
        <w:rPr/>
        <w:t>nonstructural) and the tool computed values for ductility ratio and maximum support</w:t>
      </w:r>
      <w:r>
        <w:rPr>
          <w:spacing w:val="1"/>
        </w:rPr>
        <w:t> </w:t>
      </w:r>
      <w:r>
        <w:rPr/>
        <w:t>rotation, the expected damage and associated Level of Protection were predicted.</w:t>
      </w:r>
      <w:r>
        <w:rPr>
          <w:spacing w:val="1"/>
        </w:rPr>
        <w:t> </w:t>
      </w:r>
      <w:hyperlink w:history="true" w:anchor="_bookmark195">
        <w:r>
          <w:rPr/>
          <w:t>Figure</w:t>
        </w:r>
      </w:hyperlink>
      <w:r>
        <w:rPr>
          <w:spacing w:val="1"/>
        </w:rPr>
        <w:t> </w:t>
      </w:r>
      <w:hyperlink w:history="true" w:anchor="_bookmark195">
        <w:r>
          <w:rPr/>
          <w:t>8-20</w:t>
        </w:r>
      </w:hyperlink>
      <w:r>
        <w:rPr>
          <w:spacing w:val="-1"/>
        </w:rPr>
        <w:t> </w:t>
      </w:r>
      <w:r>
        <w:rPr/>
        <w:t>shows the tool output for Level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Protection.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ind w:left="1384"/>
        <w:rPr>
          <w:sz w:val="20"/>
        </w:rPr>
      </w:pPr>
      <w:r>
        <w:rPr>
          <w:sz w:val="20"/>
        </w:rPr>
        <w:drawing>
          <wp:inline distT="0" distB="0" distL="0" distR="0">
            <wp:extent cx="4186713" cy="1896046"/>
            <wp:effectExtent l="0" t="0" r="0" b="0"/>
            <wp:docPr id="257" name="image4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426.png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6713" cy="1896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9"/>
        </w:rPr>
      </w:pPr>
    </w:p>
    <w:p>
      <w:pPr>
        <w:spacing w:before="90"/>
        <w:ind w:left="440" w:right="0" w:firstLine="0"/>
        <w:jc w:val="left"/>
        <w:rPr>
          <w:i/>
          <w:sz w:val="24"/>
        </w:rPr>
      </w:pPr>
      <w:bookmarkStart w:name="_bookmark195" w:id="553"/>
      <w:bookmarkEnd w:id="553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8-20.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Expected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Level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Protection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determined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by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CLT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blast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analysis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tool.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8"/>
        <w:rPr>
          <w:i/>
          <w:sz w:val="35"/>
        </w:rPr>
      </w:pPr>
    </w:p>
    <w:p>
      <w:pPr>
        <w:pStyle w:val="ListParagraph"/>
        <w:numPr>
          <w:ilvl w:val="2"/>
          <w:numId w:val="27"/>
        </w:numPr>
        <w:tabs>
          <w:tab w:pos="980" w:val="left" w:leader="none"/>
        </w:tabs>
        <w:spacing w:line="240" w:lineRule="auto" w:before="1" w:after="0"/>
        <w:ind w:left="980" w:right="0" w:hanging="540"/>
        <w:jc w:val="both"/>
        <w:rPr>
          <w:i/>
          <w:sz w:val="24"/>
        </w:rPr>
      </w:pPr>
      <w:bookmarkStart w:name="8.3.2 Validation of the CLT blast analys" w:id="554"/>
      <w:bookmarkEnd w:id="554"/>
      <w:r>
        <w:rPr/>
      </w:r>
      <w:bookmarkStart w:name="8.3.2 Validation of the CLT blast analys" w:id="555"/>
      <w:bookmarkEnd w:id="555"/>
      <w:r>
        <w:rPr>
          <w:i/>
          <w:sz w:val="24"/>
        </w:rPr>
        <w:t>V</w:t>
      </w:r>
      <w:r>
        <w:rPr>
          <w:i/>
          <w:sz w:val="24"/>
        </w:rPr>
        <w:t>alidation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CLT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blast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analysis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tool</w:t>
      </w:r>
    </w:p>
    <w:p>
      <w:pPr>
        <w:pStyle w:val="BodyText"/>
        <w:spacing w:before="7"/>
        <w:rPr>
          <w:i/>
          <w:sz w:val="22"/>
        </w:rPr>
      </w:pPr>
    </w:p>
    <w:p>
      <w:pPr>
        <w:pStyle w:val="BodyText"/>
        <w:spacing w:line="480" w:lineRule="auto"/>
        <w:ind w:left="439" w:right="416" w:firstLine="720"/>
        <w:jc w:val="both"/>
      </w:pPr>
      <w:r>
        <w:rPr/>
        <w:t>The observations and field data from the live blast testing previously detailed</w:t>
      </w:r>
      <w:r>
        <w:rPr>
          <w:spacing w:val="1"/>
        </w:rPr>
        <w:t> </w:t>
      </w:r>
      <w:r>
        <w:rPr/>
        <w:t>provided an opportunity to validate the CLT blast analysis tool.</w:t>
      </w:r>
      <w:r>
        <w:rPr>
          <w:spacing w:val="1"/>
        </w:rPr>
        <w:t> </w:t>
      </w:r>
      <w:r>
        <w:rPr/>
        <w:t>The parameters were set</w:t>
      </w:r>
      <w:r>
        <w:rPr>
          <w:spacing w:val="1"/>
        </w:rPr>
        <w:t> </w:t>
      </w:r>
      <w:r>
        <w:rPr/>
        <w:t>in the tool to the actual physical parameters of the live blast tests and the results in terms</w:t>
      </w:r>
      <w:r>
        <w:rPr>
          <w:spacing w:val="1"/>
        </w:rPr>
        <w:t> </w:t>
      </w:r>
      <w:r>
        <w:rPr/>
        <w:t>of</w:t>
      </w:r>
      <w:r>
        <w:rPr>
          <w:spacing w:val="-6"/>
        </w:rPr>
        <w:t> </w:t>
      </w:r>
      <w:r>
        <w:rPr/>
        <w:t>inbound</w:t>
      </w:r>
      <w:r>
        <w:rPr>
          <w:spacing w:val="-5"/>
        </w:rPr>
        <w:t> </w:t>
      </w:r>
      <w:r>
        <w:rPr/>
        <w:t>displacement</w:t>
      </w:r>
      <w:r>
        <w:rPr>
          <w:spacing w:val="-3"/>
        </w:rPr>
        <w:t> </w:t>
      </w:r>
      <w:r>
        <w:rPr/>
        <w:t>(positive</w:t>
      </w:r>
      <w:r>
        <w:rPr>
          <w:spacing w:val="-5"/>
        </w:rPr>
        <w:t> </w:t>
      </w:r>
      <w:r>
        <w:rPr/>
        <w:t>phase)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/>
        <w:t>expected</w:t>
      </w:r>
      <w:r>
        <w:rPr>
          <w:spacing w:val="-5"/>
        </w:rPr>
        <w:t> </w:t>
      </w:r>
      <w:r>
        <w:rPr/>
        <w:t>damage</w:t>
      </w:r>
      <w:r>
        <w:rPr>
          <w:spacing w:val="-5"/>
        </w:rPr>
        <w:t> </w:t>
      </w:r>
      <w:r>
        <w:rPr/>
        <w:t>were</w:t>
      </w:r>
      <w:r>
        <w:rPr>
          <w:spacing w:val="-5"/>
        </w:rPr>
        <w:t> </w:t>
      </w:r>
      <w:r>
        <w:rPr/>
        <w:t>compared</w:t>
      </w:r>
      <w:r>
        <w:rPr>
          <w:spacing w:val="-4"/>
        </w:rPr>
        <w:t> </w:t>
      </w:r>
      <w:r>
        <w:rPr/>
        <w:t>to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data</w:t>
      </w:r>
      <w:r>
        <w:rPr>
          <w:spacing w:val="-58"/>
        </w:rPr>
        <w:t> </w:t>
      </w:r>
      <w:r>
        <w:rPr/>
        <w:t>gathered observed at the actual tests.</w:t>
      </w:r>
      <w:r>
        <w:rPr>
          <w:spacing w:val="1"/>
        </w:rPr>
        <w:t> </w:t>
      </w:r>
      <w:r>
        <w:rPr/>
        <w:t>A percent difference was calculated to compare the</w:t>
      </w:r>
      <w:r>
        <w:rPr>
          <w:spacing w:val="1"/>
        </w:rPr>
        <w:t> </w:t>
      </w:r>
      <w:r>
        <w:rPr/>
        <w:t>tool predicted displacement based on the UFC load calculations to the actual gauge</w:t>
      </w:r>
      <w:r>
        <w:rPr>
          <w:spacing w:val="1"/>
        </w:rPr>
        <w:t> </w:t>
      </w:r>
      <w:r>
        <w:rPr/>
        <w:t>recorded displacements.</w:t>
      </w:r>
      <w:r>
        <w:rPr>
          <w:spacing w:val="1"/>
        </w:rPr>
        <w:t> </w:t>
      </w:r>
      <w:r>
        <w:rPr/>
        <w:t>The tool predicted displacements based on the input of the field</w:t>
      </w:r>
      <w:r>
        <w:rPr>
          <w:spacing w:val="1"/>
        </w:rPr>
        <w:t> </w:t>
      </w:r>
      <w:r>
        <w:rPr/>
        <w:t>recorded</w:t>
      </w:r>
      <w:r>
        <w:rPr>
          <w:spacing w:val="-12"/>
        </w:rPr>
        <w:t> </w:t>
      </w:r>
      <w:r>
        <w:rPr/>
        <w:t>values</w:t>
      </w:r>
      <w:r>
        <w:rPr>
          <w:spacing w:val="-11"/>
        </w:rPr>
        <w:t> </w:t>
      </w:r>
      <w:r>
        <w:rPr/>
        <w:t>and</w:t>
      </w:r>
      <w:r>
        <w:rPr>
          <w:spacing w:val="-12"/>
        </w:rPr>
        <w:t> </w:t>
      </w:r>
      <w:r>
        <w:rPr/>
        <w:t>calculations</w:t>
      </w:r>
      <w:r>
        <w:rPr>
          <w:spacing w:val="-11"/>
        </w:rPr>
        <w:t> </w:t>
      </w:r>
      <w:r>
        <w:rPr/>
        <w:t>for</w:t>
      </w:r>
      <w:r>
        <w:rPr>
          <w:spacing w:val="-12"/>
        </w:rPr>
        <w:t> </w:t>
      </w:r>
      <w:r>
        <w:rPr/>
        <w:t>peak</w:t>
      </w:r>
      <w:r>
        <w:rPr>
          <w:spacing w:val="-11"/>
        </w:rPr>
        <w:t> </w:t>
      </w:r>
      <w:r>
        <w:rPr/>
        <w:t>reflected</w:t>
      </w:r>
      <w:r>
        <w:rPr>
          <w:spacing w:val="-12"/>
        </w:rPr>
        <w:t> </w:t>
      </w:r>
      <w:r>
        <w:rPr/>
        <w:t>pressure,</w:t>
      </w:r>
      <w:r>
        <w:rPr>
          <w:spacing w:val="-12"/>
        </w:rPr>
        <w:t> </w:t>
      </w:r>
      <w:r>
        <w:rPr/>
        <w:t>reflected</w:t>
      </w:r>
      <w:r>
        <w:rPr>
          <w:spacing w:val="-12"/>
        </w:rPr>
        <w:t> </w:t>
      </w:r>
      <w:r>
        <w:rPr/>
        <w:t>impulse</w:t>
      </w:r>
      <w:r>
        <w:rPr>
          <w:spacing w:val="-11"/>
        </w:rPr>
        <w:t> </w:t>
      </w:r>
      <w:r>
        <w:rPr/>
        <w:t>and</w:t>
      </w:r>
      <w:r>
        <w:rPr>
          <w:spacing w:val="-12"/>
        </w:rPr>
        <w:t> </w:t>
      </w:r>
      <w:r>
        <w:rPr/>
        <w:t>positive</w:t>
      </w:r>
      <w:r>
        <w:rPr>
          <w:spacing w:val="-57"/>
        </w:rPr>
        <w:t> </w:t>
      </w:r>
      <w:r>
        <w:rPr/>
        <w:t>phase duration, were also compared to the gauge recorded displacements.</w:t>
      </w:r>
      <w:r>
        <w:rPr>
          <w:spacing w:val="1"/>
        </w:rPr>
        <w:t> </w:t>
      </w:r>
      <w:r>
        <w:rPr/>
        <w:t>Rolling shear</w:t>
      </w:r>
      <w:r>
        <w:rPr>
          <w:spacing w:val="1"/>
        </w:rPr>
        <w:t> </w:t>
      </w:r>
      <w:r>
        <w:rPr/>
        <w:t>was</w:t>
      </w:r>
      <w:r>
        <w:rPr>
          <w:spacing w:val="-13"/>
        </w:rPr>
        <w:t> </w:t>
      </w:r>
      <w:r>
        <w:rPr/>
        <w:t>not</w:t>
      </w:r>
      <w:r>
        <w:rPr>
          <w:spacing w:val="-12"/>
        </w:rPr>
        <w:t> </w:t>
      </w:r>
      <w:r>
        <w:rPr/>
        <w:t>considered</w:t>
      </w:r>
      <w:r>
        <w:rPr>
          <w:spacing w:val="-13"/>
        </w:rPr>
        <w:t> </w:t>
      </w:r>
      <w:r>
        <w:rPr/>
        <w:t>in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shear</w:t>
      </w:r>
      <w:r>
        <w:rPr>
          <w:spacing w:val="-12"/>
        </w:rPr>
        <w:t> </w:t>
      </w:r>
      <w:r>
        <w:rPr/>
        <w:t>response</w:t>
      </w:r>
      <w:r>
        <w:rPr>
          <w:spacing w:val="-12"/>
        </w:rPr>
        <w:t> </w:t>
      </w:r>
      <w:r>
        <w:rPr/>
        <w:t>check</w:t>
      </w:r>
      <w:r>
        <w:rPr>
          <w:spacing w:val="-12"/>
        </w:rPr>
        <w:t> </w:t>
      </w:r>
      <w:r>
        <w:rPr/>
        <w:t>for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resistance</w:t>
      </w:r>
      <w:r>
        <w:rPr>
          <w:spacing w:val="-12"/>
        </w:rPr>
        <w:t> </w:t>
      </w:r>
      <w:r>
        <w:rPr/>
        <w:t>function.</w:t>
      </w:r>
      <w:r>
        <w:rPr>
          <w:spacing w:val="-12"/>
        </w:rPr>
        <w:t> </w:t>
      </w:r>
      <w:hyperlink w:history="true" w:anchor="_bookmark196">
        <w:r>
          <w:rPr/>
          <w:t>Table</w:t>
        </w:r>
        <w:r>
          <w:rPr>
            <w:spacing w:val="-12"/>
          </w:rPr>
          <w:t> </w:t>
        </w:r>
        <w:r>
          <w:rPr/>
          <w:t>8-3</w:t>
        </w:r>
        <w:r>
          <w:rPr>
            <w:spacing w:val="-12"/>
          </w:rPr>
          <w:t> </w:t>
        </w:r>
      </w:hyperlink>
      <w:r>
        <w:rPr/>
        <w:t>shows</w:t>
      </w:r>
      <w:r>
        <w:rPr>
          <w:spacing w:val="-58"/>
        </w:rPr>
        <w:t> </w:t>
      </w:r>
      <w:r>
        <w:rPr/>
        <w:t>the blast parameters used for the three shots for both UFC load calculations and field data</w:t>
      </w:r>
      <w:r>
        <w:rPr>
          <w:spacing w:val="-57"/>
        </w:rPr>
        <w:t> </w:t>
      </w:r>
      <w:r>
        <w:rPr/>
        <w:t>based</w:t>
      </w:r>
      <w:r>
        <w:rPr>
          <w:spacing w:val="-1"/>
        </w:rPr>
        <w:t> </w:t>
      </w:r>
      <w:r>
        <w:rPr/>
        <w:t>load</w:t>
      </w:r>
      <w:r>
        <w:rPr>
          <w:spacing w:val="-2"/>
        </w:rPr>
        <w:t> </w:t>
      </w:r>
      <w:r>
        <w:rPr/>
        <w:t>calculations.</w:t>
      </w:r>
    </w:p>
    <w:p>
      <w:pPr>
        <w:spacing w:after="0" w:line="480" w:lineRule="auto"/>
        <w:jc w:val="both"/>
        <w:sectPr>
          <w:pgSz w:w="12240" w:h="15840"/>
          <w:pgMar w:header="0" w:footer="1064" w:top="1500" w:bottom="1260" w:left="1720" w:right="1020"/>
        </w:sectPr>
      </w:pPr>
    </w:p>
    <w:p>
      <w:pPr>
        <w:spacing w:before="79"/>
        <w:ind w:left="20" w:right="0" w:firstLine="0"/>
        <w:jc w:val="center"/>
        <w:rPr>
          <w:i/>
          <w:sz w:val="24"/>
        </w:rPr>
      </w:pPr>
      <w:bookmarkStart w:name="_bookmark196" w:id="556"/>
      <w:bookmarkEnd w:id="556"/>
      <w:r>
        <w:rPr/>
      </w:r>
      <w:r>
        <w:rPr>
          <w:i/>
          <w:sz w:val="24"/>
        </w:rPr>
        <w:t>Table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8-3.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Blast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parameters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load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calculations,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UFC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field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data.</w:t>
      </w:r>
    </w:p>
    <w:p>
      <w:pPr>
        <w:pStyle w:val="BodyText"/>
        <w:spacing w:before="5" w:after="1"/>
        <w:rPr>
          <w:i/>
          <w:sz w:val="17"/>
        </w:rPr>
      </w:pPr>
    </w:p>
    <w:tbl>
      <w:tblPr>
        <w:tblW w:w="0" w:type="auto"/>
        <w:jc w:val="left"/>
        <w:tblInd w:w="4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5"/>
        <w:gridCol w:w="671"/>
        <w:gridCol w:w="1109"/>
        <w:gridCol w:w="672"/>
        <w:gridCol w:w="1110"/>
        <w:gridCol w:w="714"/>
        <w:gridCol w:w="1110"/>
      </w:tblGrid>
      <w:tr>
        <w:trPr>
          <w:trHeight w:val="299" w:hRule="atLeast"/>
        </w:trPr>
        <w:tc>
          <w:tcPr>
            <w:tcW w:w="3245" w:type="dxa"/>
            <w:vMerge w:val="restart"/>
            <w:shd w:val="clear" w:color="auto" w:fill="C0C0C0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213"/>
              <w:ind w:left="928"/>
              <w:rPr>
                <w:sz w:val="22"/>
              </w:rPr>
            </w:pPr>
            <w:r>
              <w:rPr>
                <w:sz w:val="22"/>
              </w:rPr>
              <w:t>Blast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parameter</w:t>
            </w:r>
          </w:p>
        </w:tc>
        <w:tc>
          <w:tcPr>
            <w:tcW w:w="1780" w:type="dxa"/>
            <w:gridSpan w:val="2"/>
            <w:shd w:val="clear" w:color="auto" w:fill="C0C0C0"/>
          </w:tcPr>
          <w:p>
            <w:pPr>
              <w:pStyle w:val="TableParagraph"/>
              <w:spacing w:line="234" w:lineRule="exact" w:before="45"/>
              <w:ind w:left="583" w:right="578"/>
              <w:jc w:val="center"/>
              <w:rPr>
                <w:sz w:val="22"/>
              </w:rPr>
            </w:pPr>
            <w:r>
              <w:rPr>
                <w:sz w:val="22"/>
              </w:rPr>
              <w:t>Shot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1</w:t>
            </w:r>
          </w:p>
        </w:tc>
        <w:tc>
          <w:tcPr>
            <w:tcW w:w="1782" w:type="dxa"/>
            <w:gridSpan w:val="2"/>
            <w:shd w:val="clear" w:color="auto" w:fill="C0C0C0"/>
          </w:tcPr>
          <w:p>
            <w:pPr>
              <w:pStyle w:val="TableParagraph"/>
              <w:spacing w:line="234" w:lineRule="exact" w:before="45"/>
              <w:ind w:left="585" w:right="578"/>
              <w:jc w:val="center"/>
              <w:rPr>
                <w:sz w:val="22"/>
              </w:rPr>
            </w:pPr>
            <w:r>
              <w:rPr>
                <w:sz w:val="22"/>
              </w:rPr>
              <w:t>Shot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2</w:t>
            </w:r>
          </w:p>
        </w:tc>
        <w:tc>
          <w:tcPr>
            <w:tcW w:w="1824" w:type="dxa"/>
            <w:gridSpan w:val="2"/>
            <w:shd w:val="clear" w:color="auto" w:fill="C0C0C0"/>
          </w:tcPr>
          <w:p>
            <w:pPr>
              <w:pStyle w:val="TableParagraph"/>
              <w:spacing w:line="234" w:lineRule="exact" w:before="45"/>
              <w:ind w:left="607" w:right="599"/>
              <w:jc w:val="center"/>
              <w:rPr>
                <w:sz w:val="22"/>
              </w:rPr>
            </w:pPr>
            <w:r>
              <w:rPr>
                <w:sz w:val="22"/>
              </w:rPr>
              <w:t>Shot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3</w:t>
            </w:r>
          </w:p>
        </w:tc>
      </w:tr>
      <w:tr>
        <w:trPr>
          <w:trHeight w:val="926" w:hRule="atLeast"/>
        </w:trPr>
        <w:tc>
          <w:tcPr>
            <w:tcW w:w="3245" w:type="dxa"/>
            <w:vMerge/>
            <w:tcBorders>
              <w:top w:val="nil"/>
            </w:tcBorders>
            <w:shd w:val="clear" w:color="auto" w:fill="C0C0C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71" w:type="dxa"/>
            <w:shd w:val="clear" w:color="auto" w:fill="C0C0C0"/>
          </w:tcPr>
          <w:p>
            <w:pPr>
              <w:pStyle w:val="TableParagraph"/>
              <w:spacing w:before="82"/>
              <w:ind w:left="144" w:right="99" w:hanging="38"/>
              <w:jc w:val="both"/>
              <w:rPr>
                <w:sz w:val="22"/>
              </w:rPr>
            </w:pPr>
            <w:r>
              <w:rPr>
                <w:sz w:val="22"/>
              </w:rPr>
              <w:t>Field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Test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data</w:t>
            </w:r>
          </w:p>
        </w:tc>
        <w:tc>
          <w:tcPr>
            <w:tcW w:w="1109" w:type="dxa"/>
            <w:shd w:val="clear" w:color="auto" w:fill="C0C0C0"/>
          </w:tcPr>
          <w:p>
            <w:pPr>
              <w:pStyle w:val="TableParagraph"/>
              <w:spacing w:before="208"/>
              <w:ind w:left="86" w:right="78"/>
              <w:jc w:val="center"/>
              <w:rPr>
                <w:sz w:val="22"/>
              </w:rPr>
            </w:pPr>
            <w:r>
              <w:rPr>
                <w:sz w:val="22"/>
              </w:rPr>
              <w:t>UFC</w:t>
            </w:r>
          </w:p>
          <w:p>
            <w:pPr>
              <w:pStyle w:val="TableParagraph"/>
              <w:ind w:left="86" w:right="81"/>
              <w:jc w:val="center"/>
              <w:rPr>
                <w:sz w:val="22"/>
              </w:rPr>
            </w:pPr>
            <w:r>
              <w:rPr>
                <w:sz w:val="22"/>
              </w:rPr>
              <w:t>calculated</w:t>
            </w:r>
          </w:p>
        </w:tc>
        <w:tc>
          <w:tcPr>
            <w:tcW w:w="672" w:type="dxa"/>
            <w:shd w:val="clear" w:color="auto" w:fill="C0C0C0"/>
          </w:tcPr>
          <w:p>
            <w:pPr>
              <w:pStyle w:val="TableParagraph"/>
              <w:spacing w:before="82"/>
              <w:ind w:left="145" w:right="99" w:hanging="38"/>
              <w:jc w:val="both"/>
              <w:rPr>
                <w:sz w:val="22"/>
              </w:rPr>
            </w:pPr>
            <w:r>
              <w:rPr>
                <w:sz w:val="22"/>
              </w:rPr>
              <w:t>Field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Test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data</w:t>
            </w:r>
          </w:p>
        </w:tc>
        <w:tc>
          <w:tcPr>
            <w:tcW w:w="1110" w:type="dxa"/>
            <w:shd w:val="clear" w:color="auto" w:fill="C0C0C0"/>
          </w:tcPr>
          <w:p>
            <w:pPr>
              <w:pStyle w:val="TableParagraph"/>
              <w:spacing w:before="208"/>
              <w:ind w:left="87" w:right="80"/>
              <w:jc w:val="center"/>
              <w:rPr>
                <w:sz w:val="22"/>
              </w:rPr>
            </w:pPr>
            <w:r>
              <w:rPr>
                <w:sz w:val="22"/>
              </w:rPr>
              <w:t>UFC</w:t>
            </w:r>
          </w:p>
          <w:p>
            <w:pPr>
              <w:pStyle w:val="TableParagraph"/>
              <w:ind w:left="87" w:right="81"/>
              <w:jc w:val="center"/>
              <w:rPr>
                <w:sz w:val="22"/>
              </w:rPr>
            </w:pPr>
            <w:r>
              <w:rPr>
                <w:sz w:val="22"/>
              </w:rPr>
              <w:t>calculated</w:t>
            </w:r>
          </w:p>
        </w:tc>
        <w:tc>
          <w:tcPr>
            <w:tcW w:w="714" w:type="dxa"/>
            <w:shd w:val="clear" w:color="auto" w:fill="C0C0C0"/>
          </w:tcPr>
          <w:p>
            <w:pPr>
              <w:pStyle w:val="TableParagraph"/>
              <w:spacing w:before="82"/>
              <w:ind w:left="167" w:right="120" w:hanging="38"/>
              <w:jc w:val="both"/>
              <w:rPr>
                <w:sz w:val="22"/>
              </w:rPr>
            </w:pPr>
            <w:r>
              <w:rPr>
                <w:sz w:val="22"/>
              </w:rPr>
              <w:t>Field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Test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data</w:t>
            </w:r>
          </w:p>
        </w:tc>
        <w:tc>
          <w:tcPr>
            <w:tcW w:w="1110" w:type="dxa"/>
            <w:shd w:val="clear" w:color="auto" w:fill="C0C0C0"/>
          </w:tcPr>
          <w:p>
            <w:pPr>
              <w:pStyle w:val="TableParagraph"/>
              <w:spacing w:before="208"/>
              <w:ind w:left="87" w:right="80"/>
              <w:jc w:val="center"/>
              <w:rPr>
                <w:sz w:val="22"/>
              </w:rPr>
            </w:pPr>
            <w:r>
              <w:rPr>
                <w:sz w:val="22"/>
              </w:rPr>
              <w:t>UFC</w:t>
            </w:r>
          </w:p>
          <w:p>
            <w:pPr>
              <w:pStyle w:val="TableParagraph"/>
              <w:ind w:left="87" w:right="81"/>
              <w:jc w:val="center"/>
              <w:rPr>
                <w:sz w:val="22"/>
              </w:rPr>
            </w:pPr>
            <w:r>
              <w:rPr>
                <w:sz w:val="22"/>
              </w:rPr>
              <w:t>calculated</w:t>
            </w:r>
          </w:p>
        </w:tc>
      </w:tr>
      <w:tr>
        <w:trPr>
          <w:trHeight w:val="329" w:hRule="atLeast"/>
        </w:trPr>
        <w:tc>
          <w:tcPr>
            <w:tcW w:w="3245" w:type="dxa"/>
          </w:tcPr>
          <w:p>
            <w:pPr>
              <w:pStyle w:val="TableParagraph"/>
              <w:spacing w:line="234" w:lineRule="exact" w:before="75"/>
              <w:ind w:left="107"/>
              <w:rPr>
                <w:sz w:val="22"/>
              </w:rPr>
            </w:pPr>
            <w:r>
              <w:rPr>
                <w:sz w:val="22"/>
              </w:rPr>
              <w:t>Peak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reflected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pressure,</w:t>
            </w:r>
            <w:r>
              <w:rPr>
                <w:spacing w:val="-2"/>
                <w:sz w:val="22"/>
              </w:rPr>
              <w:t> </w:t>
            </w:r>
            <w:r>
              <w:rPr>
                <w:i/>
                <w:sz w:val="22"/>
              </w:rPr>
              <w:t>p</w:t>
            </w:r>
            <w:r>
              <w:rPr>
                <w:i/>
                <w:sz w:val="22"/>
                <w:vertAlign w:val="subscript"/>
              </w:rPr>
              <w:t>r</w:t>
            </w:r>
            <w:r>
              <w:rPr>
                <w:i/>
                <w:spacing w:val="-4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(psi)</w:t>
            </w:r>
          </w:p>
        </w:tc>
        <w:tc>
          <w:tcPr>
            <w:tcW w:w="671" w:type="dxa"/>
          </w:tcPr>
          <w:p>
            <w:pPr>
              <w:pStyle w:val="TableParagraph"/>
              <w:spacing w:line="234" w:lineRule="exact" w:before="75"/>
              <w:ind w:left="141"/>
              <w:rPr>
                <w:sz w:val="22"/>
              </w:rPr>
            </w:pPr>
            <w:r>
              <w:rPr>
                <w:sz w:val="22"/>
              </w:rPr>
              <w:t>5.05</w:t>
            </w:r>
          </w:p>
        </w:tc>
        <w:tc>
          <w:tcPr>
            <w:tcW w:w="1109" w:type="dxa"/>
          </w:tcPr>
          <w:p>
            <w:pPr>
              <w:pStyle w:val="TableParagraph"/>
              <w:spacing w:line="234" w:lineRule="exact" w:before="75"/>
              <w:ind w:left="306"/>
              <w:rPr>
                <w:sz w:val="22"/>
              </w:rPr>
            </w:pPr>
            <w:r>
              <w:rPr>
                <w:sz w:val="22"/>
              </w:rPr>
              <w:t>5.031</w:t>
            </w:r>
          </w:p>
        </w:tc>
        <w:tc>
          <w:tcPr>
            <w:tcW w:w="672" w:type="dxa"/>
          </w:tcPr>
          <w:p>
            <w:pPr>
              <w:pStyle w:val="TableParagraph"/>
              <w:spacing w:line="234" w:lineRule="exact" w:before="75"/>
              <w:ind w:left="122" w:right="114"/>
              <w:jc w:val="center"/>
              <w:rPr>
                <w:sz w:val="22"/>
              </w:rPr>
            </w:pPr>
            <w:r>
              <w:rPr>
                <w:sz w:val="22"/>
              </w:rPr>
              <w:t>7.94</w:t>
            </w:r>
          </w:p>
        </w:tc>
        <w:tc>
          <w:tcPr>
            <w:tcW w:w="1110" w:type="dxa"/>
          </w:tcPr>
          <w:p>
            <w:pPr>
              <w:pStyle w:val="TableParagraph"/>
              <w:spacing w:line="234" w:lineRule="exact" w:before="75"/>
              <w:ind w:right="296"/>
              <w:jc w:val="right"/>
              <w:rPr>
                <w:sz w:val="22"/>
              </w:rPr>
            </w:pPr>
            <w:r>
              <w:rPr>
                <w:sz w:val="22"/>
              </w:rPr>
              <w:t>7.361</w:t>
            </w:r>
          </w:p>
        </w:tc>
        <w:tc>
          <w:tcPr>
            <w:tcW w:w="714" w:type="dxa"/>
          </w:tcPr>
          <w:p>
            <w:pPr>
              <w:pStyle w:val="TableParagraph"/>
              <w:spacing w:line="234" w:lineRule="exact" w:before="75"/>
              <w:ind w:left="88" w:right="79"/>
              <w:jc w:val="center"/>
              <w:rPr>
                <w:sz w:val="22"/>
              </w:rPr>
            </w:pPr>
            <w:r>
              <w:rPr>
                <w:sz w:val="22"/>
              </w:rPr>
              <w:t>13.2</w:t>
            </w:r>
          </w:p>
        </w:tc>
        <w:tc>
          <w:tcPr>
            <w:tcW w:w="1110" w:type="dxa"/>
          </w:tcPr>
          <w:p>
            <w:pPr>
              <w:pStyle w:val="TableParagraph"/>
              <w:spacing w:line="234" w:lineRule="exact" w:before="75"/>
              <w:ind w:left="87" w:right="79"/>
              <w:jc w:val="center"/>
              <w:rPr>
                <w:sz w:val="22"/>
              </w:rPr>
            </w:pPr>
            <w:r>
              <w:rPr>
                <w:sz w:val="22"/>
              </w:rPr>
              <w:t>14.061</w:t>
            </w:r>
          </w:p>
        </w:tc>
      </w:tr>
      <w:tr>
        <w:trPr>
          <w:trHeight w:val="330" w:hRule="atLeast"/>
        </w:trPr>
        <w:tc>
          <w:tcPr>
            <w:tcW w:w="3245" w:type="dxa"/>
          </w:tcPr>
          <w:p>
            <w:pPr>
              <w:pStyle w:val="TableParagraph"/>
              <w:spacing w:line="234" w:lineRule="exact" w:before="76"/>
              <w:ind w:left="107"/>
              <w:rPr>
                <w:sz w:val="22"/>
              </w:rPr>
            </w:pPr>
            <w:r>
              <w:rPr>
                <w:sz w:val="22"/>
              </w:rPr>
              <w:t>Reflected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impulse,</w:t>
            </w:r>
            <w:r>
              <w:rPr>
                <w:spacing w:val="-3"/>
                <w:sz w:val="22"/>
              </w:rPr>
              <w:t> </w:t>
            </w:r>
            <w:r>
              <w:rPr>
                <w:i/>
                <w:sz w:val="22"/>
              </w:rPr>
              <w:t>i</w:t>
            </w:r>
            <w:r>
              <w:rPr>
                <w:i/>
                <w:sz w:val="22"/>
                <w:vertAlign w:val="subscript"/>
              </w:rPr>
              <w:t>r</w:t>
            </w:r>
            <w:r>
              <w:rPr>
                <w:i/>
                <w:spacing w:val="-4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(psi-ms)</w:t>
            </w:r>
          </w:p>
        </w:tc>
        <w:tc>
          <w:tcPr>
            <w:tcW w:w="671" w:type="dxa"/>
          </w:tcPr>
          <w:p>
            <w:pPr>
              <w:pStyle w:val="TableParagraph"/>
              <w:spacing w:line="234" w:lineRule="exact" w:before="76"/>
              <w:ind w:left="141"/>
              <w:rPr>
                <w:sz w:val="22"/>
              </w:rPr>
            </w:pPr>
            <w:r>
              <w:rPr>
                <w:sz w:val="22"/>
              </w:rPr>
              <w:t>19.9</w:t>
            </w:r>
          </w:p>
        </w:tc>
        <w:tc>
          <w:tcPr>
            <w:tcW w:w="1109" w:type="dxa"/>
          </w:tcPr>
          <w:p>
            <w:pPr>
              <w:pStyle w:val="TableParagraph"/>
              <w:spacing w:line="234" w:lineRule="exact" w:before="76"/>
              <w:ind w:left="251"/>
              <w:rPr>
                <w:sz w:val="22"/>
              </w:rPr>
            </w:pPr>
            <w:r>
              <w:rPr>
                <w:sz w:val="22"/>
              </w:rPr>
              <w:t>22.488</w:t>
            </w:r>
          </w:p>
        </w:tc>
        <w:tc>
          <w:tcPr>
            <w:tcW w:w="672" w:type="dxa"/>
          </w:tcPr>
          <w:p>
            <w:pPr>
              <w:pStyle w:val="TableParagraph"/>
              <w:spacing w:line="234" w:lineRule="exact" w:before="76"/>
              <w:ind w:left="121" w:right="114"/>
              <w:jc w:val="center"/>
              <w:rPr>
                <w:sz w:val="22"/>
              </w:rPr>
            </w:pPr>
            <w:r>
              <w:rPr>
                <w:sz w:val="22"/>
              </w:rPr>
              <w:t>32.9</w:t>
            </w:r>
          </w:p>
        </w:tc>
        <w:tc>
          <w:tcPr>
            <w:tcW w:w="1110" w:type="dxa"/>
          </w:tcPr>
          <w:p>
            <w:pPr>
              <w:pStyle w:val="TableParagraph"/>
              <w:spacing w:line="234" w:lineRule="exact" w:before="76"/>
              <w:ind w:right="240"/>
              <w:jc w:val="right"/>
              <w:rPr>
                <w:sz w:val="22"/>
              </w:rPr>
            </w:pPr>
            <w:r>
              <w:rPr>
                <w:sz w:val="22"/>
              </w:rPr>
              <w:t>37.446</w:t>
            </w:r>
          </w:p>
        </w:tc>
        <w:tc>
          <w:tcPr>
            <w:tcW w:w="714" w:type="dxa"/>
          </w:tcPr>
          <w:p>
            <w:pPr>
              <w:pStyle w:val="TableParagraph"/>
              <w:spacing w:line="234" w:lineRule="exact" w:before="76"/>
              <w:ind w:left="88" w:right="79"/>
              <w:jc w:val="center"/>
              <w:rPr>
                <w:sz w:val="22"/>
              </w:rPr>
            </w:pPr>
            <w:r>
              <w:rPr>
                <w:sz w:val="22"/>
              </w:rPr>
              <w:t>65.7</w:t>
            </w:r>
          </w:p>
        </w:tc>
        <w:tc>
          <w:tcPr>
            <w:tcW w:w="1110" w:type="dxa"/>
          </w:tcPr>
          <w:p>
            <w:pPr>
              <w:pStyle w:val="TableParagraph"/>
              <w:spacing w:line="234" w:lineRule="exact" w:before="76"/>
              <w:ind w:left="87" w:right="79"/>
              <w:jc w:val="center"/>
              <w:rPr>
                <w:sz w:val="22"/>
              </w:rPr>
            </w:pPr>
            <w:r>
              <w:rPr>
                <w:sz w:val="22"/>
              </w:rPr>
              <w:t>79.992</w:t>
            </w:r>
          </w:p>
        </w:tc>
      </w:tr>
      <w:tr>
        <w:trPr>
          <w:trHeight w:val="329" w:hRule="atLeast"/>
        </w:trPr>
        <w:tc>
          <w:tcPr>
            <w:tcW w:w="3245" w:type="dxa"/>
          </w:tcPr>
          <w:p>
            <w:pPr>
              <w:pStyle w:val="TableParagraph"/>
              <w:spacing w:line="234" w:lineRule="exact" w:before="75"/>
              <w:ind w:left="107"/>
              <w:rPr>
                <w:sz w:val="22"/>
              </w:rPr>
            </w:pPr>
            <w:r>
              <w:rPr>
                <w:sz w:val="22"/>
              </w:rPr>
              <w:t>Duration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positive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phase,</w:t>
            </w:r>
            <w:r>
              <w:rPr>
                <w:spacing w:val="-3"/>
                <w:sz w:val="22"/>
              </w:rPr>
              <w:t> </w:t>
            </w:r>
            <w:r>
              <w:rPr>
                <w:i/>
                <w:sz w:val="22"/>
              </w:rPr>
              <w:t>t</w:t>
            </w:r>
            <w:r>
              <w:rPr>
                <w:i/>
                <w:sz w:val="22"/>
                <w:vertAlign w:val="subscript"/>
              </w:rPr>
              <w:t>d</w:t>
            </w:r>
            <w:r>
              <w:rPr>
                <w:i/>
                <w:spacing w:val="-2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(ms)</w:t>
            </w:r>
          </w:p>
        </w:tc>
        <w:tc>
          <w:tcPr>
            <w:tcW w:w="671" w:type="dxa"/>
          </w:tcPr>
          <w:p>
            <w:pPr>
              <w:pStyle w:val="TableParagraph"/>
              <w:spacing w:line="234" w:lineRule="exact" w:before="75"/>
              <w:ind w:left="141"/>
              <w:rPr>
                <w:sz w:val="22"/>
              </w:rPr>
            </w:pPr>
            <w:r>
              <w:rPr>
                <w:sz w:val="22"/>
              </w:rPr>
              <w:t>8.56</w:t>
            </w:r>
          </w:p>
        </w:tc>
        <w:tc>
          <w:tcPr>
            <w:tcW w:w="1109" w:type="dxa"/>
          </w:tcPr>
          <w:p>
            <w:pPr>
              <w:pStyle w:val="TableParagraph"/>
              <w:spacing w:line="234" w:lineRule="exact" w:before="75"/>
              <w:ind w:left="251"/>
              <w:rPr>
                <w:sz w:val="22"/>
              </w:rPr>
            </w:pPr>
            <w:r>
              <w:rPr>
                <w:sz w:val="22"/>
              </w:rPr>
              <w:t>11.436</w:t>
            </w:r>
          </w:p>
        </w:tc>
        <w:tc>
          <w:tcPr>
            <w:tcW w:w="672" w:type="dxa"/>
          </w:tcPr>
          <w:p>
            <w:pPr>
              <w:pStyle w:val="TableParagraph"/>
              <w:spacing w:line="234" w:lineRule="exact" w:before="75"/>
              <w:ind w:left="122" w:right="114"/>
              <w:jc w:val="center"/>
              <w:rPr>
                <w:sz w:val="22"/>
              </w:rPr>
            </w:pPr>
            <w:r>
              <w:rPr>
                <w:sz w:val="22"/>
              </w:rPr>
              <w:t>9.42</w:t>
            </w:r>
          </w:p>
        </w:tc>
        <w:tc>
          <w:tcPr>
            <w:tcW w:w="1110" w:type="dxa"/>
          </w:tcPr>
          <w:p>
            <w:pPr>
              <w:pStyle w:val="TableParagraph"/>
              <w:spacing w:line="234" w:lineRule="exact" w:before="75"/>
              <w:ind w:right="240"/>
              <w:jc w:val="right"/>
              <w:rPr>
                <w:sz w:val="22"/>
              </w:rPr>
            </w:pPr>
            <w:r>
              <w:rPr>
                <w:sz w:val="22"/>
              </w:rPr>
              <w:t>13.507</w:t>
            </w:r>
          </w:p>
        </w:tc>
        <w:tc>
          <w:tcPr>
            <w:tcW w:w="714" w:type="dxa"/>
          </w:tcPr>
          <w:p>
            <w:pPr>
              <w:pStyle w:val="TableParagraph"/>
              <w:spacing w:line="234" w:lineRule="exact" w:before="75"/>
              <w:ind w:left="88" w:right="81"/>
              <w:jc w:val="center"/>
              <w:rPr>
                <w:sz w:val="22"/>
              </w:rPr>
            </w:pPr>
            <w:r>
              <w:rPr>
                <w:sz w:val="22"/>
              </w:rPr>
              <w:t>11.26</w:t>
            </w:r>
          </w:p>
        </w:tc>
        <w:tc>
          <w:tcPr>
            <w:tcW w:w="1110" w:type="dxa"/>
          </w:tcPr>
          <w:p>
            <w:pPr>
              <w:pStyle w:val="TableParagraph"/>
              <w:spacing w:line="234" w:lineRule="exact" w:before="75"/>
              <w:ind w:left="87" w:right="79"/>
              <w:jc w:val="center"/>
              <w:rPr>
                <w:sz w:val="22"/>
              </w:rPr>
            </w:pPr>
            <w:r>
              <w:rPr>
                <w:sz w:val="22"/>
              </w:rPr>
              <w:t>17.108</w:t>
            </w:r>
          </w:p>
        </w:tc>
      </w:tr>
    </w:tbl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169"/>
        <w:ind w:left="439" w:right="417" w:firstLine="720"/>
        <w:jc w:val="both"/>
      </w:pPr>
      <w:hyperlink w:history="true" w:anchor="_bookmark197">
        <w:r>
          <w:rPr/>
          <w:t>Table 8-4 </w:t>
        </w:r>
      </w:hyperlink>
      <w:r>
        <w:rPr/>
        <w:t>shows the gauge displacement data, tool UFC based displacement, tool</w:t>
      </w:r>
      <w:r>
        <w:rPr>
          <w:spacing w:val="1"/>
        </w:rPr>
        <w:t> </w:t>
      </w:r>
      <w:r>
        <w:rPr>
          <w:spacing w:val="-1"/>
        </w:rPr>
        <w:t>field</w:t>
      </w:r>
      <w:r>
        <w:rPr>
          <w:spacing w:val="-12"/>
        </w:rPr>
        <w:t> </w:t>
      </w:r>
      <w:r>
        <w:rPr>
          <w:spacing w:val="-1"/>
        </w:rPr>
        <w:t>data</w:t>
      </w:r>
      <w:r>
        <w:rPr>
          <w:spacing w:val="-12"/>
        </w:rPr>
        <w:t> </w:t>
      </w:r>
      <w:r>
        <w:rPr>
          <w:spacing w:val="-1"/>
        </w:rPr>
        <w:t>based</w:t>
      </w:r>
      <w:r>
        <w:rPr>
          <w:spacing w:val="-11"/>
        </w:rPr>
        <w:t> </w:t>
      </w:r>
      <w:r>
        <w:rPr>
          <w:spacing w:val="-1"/>
        </w:rPr>
        <w:t>displacement</w:t>
      </w:r>
      <w:r>
        <w:rPr>
          <w:spacing w:val="-12"/>
        </w:rPr>
        <w:t> </w:t>
      </w:r>
      <w:r>
        <w:rPr/>
        <w:t>and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percentage</w:t>
      </w:r>
      <w:r>
        <w:rPr>
          <w:spacing w:val="-15"/>
        </w:rPr>
        <w:t> </w:t>
      </w:r>
      <w:r>
        <w:rPr/>
        <w:t>differences</w:t>
      </w:r>
      <w:r>
        <w:rPr>
          <w:spacing w:val="-12"/>
        </w:rPr>
        <w:t> </w:t>
      </w:r>
      <w:r>
        <w:rPr/>
        <w:t>for</w:t>
      </w:r>
      <w:r>
        <w:rPr>
          <w:spacing w:val="-11"/>
        </w:rPr>
        <w:t> </w:t>
      </w:r>
      <w:r>
        <w:rPr/>
        <w:t>each</w:t>
      </w:r>
      <w:r>
        <w:rPr>
          <w:spacing w:val="-12"/>
        </w:rPr>
        <w:t> </w:t>
      </w:r>
      <w:r>
        <w:rPr/>
        <w:t>of</w:t>
      </w:r>
      <w:r>
        <w:rPr>
          <w:spacing w:val="-13"/>
        </w:rPr>
        <w:t> </w:t>
      </w:r>
      <w:r>
        <w:rPr/>
        <w:t>the</w:t>
      </w:r>
      <w:r>
        <w:rPr>
          <w:spacing w:val="-11"/>
        </w:rPr>
        <w:t> </w:t>
      </w:r>
      <w:r>
        <w:rPr/>
        <w:t>three</w:t>
      </w:r>
      <w:r>
        <w:rPr>
          <w:spacing w:val="-13"/>
        </w:rPr>
        <w:t> </w:t>
      </w:r>
      <w:r>
        <w:rPr/>
        <w:t>structures</w:t>
      </w:r>
      <w:r>
        <w:rPr>
          <w:spacing w:val="-57"/>
        </w:rPr>
        <w:t> </w:t>
      </w:r>
      <w:r>
        <w:rPr/>
        <w:t>and all three test shots for the fixed-pinned member end-conditions for the front wall,</w:t>
      </w:r>
      <w:r>
        <w:rPr>
          <w:spacing w:val="1"/>
        </w:rPr>
        <w:t> </w:t>
      </w:r>
      <w:r>
        <w:rPr/>
        <w:t>ground level.</w:t>
      </w:r>
      <w:r>
        <w:rPr>
          <w:spacing w:val="1"/>
        </w:rPr>
        <w:t> </w:t>
      </w:r>
      <w:r>
        <w:rPr/>
        <w:t>This end condition classification in the blast analysis tool seemed the most</w:t>
      </w:r>
      <w:r>
        <w:rPr>
          <w:spacing w:val="1"/>
        </w:rPr>
        <w:t> </w:t>
      </w:r>
      <w:r>
        <w:rPr/>
        <w:t>applicable based on the rigid steel angle connections used to affix the CLT structures to</w:t>
      </w:r>
      <w:r>
        <w:rPr>
          <w:spacing w:val="1"/>
        </w:rPr>
        <w:t> </w:t>
      </w:r>
      <w:r>
        <w:rPr/>
        <w:t>the concrete</w:t>
      </w:r>
      <w:r>
        <w:rPr>
          <w:spacing w:val="-2"/>
        </w:rPr>
        <w:t> </w:t>
      </w:r>
      <w:r>
        <w:rPr/>
        <w:t>slab.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/>
        <w:ind w:left="439" w:right="418" w:firstLine="720"/>
        <w:jc w:val="both"/>
      </w:pPr>
      <w:r>
        <w:rPr/>
        <w:t>The</w:t>
      </w:r>
      <w:r>
        <w:rPr>
          <w:spacing w:val="-9"/>
        </w:rPr>
        <w:t> </w:t>
      </w:r>
      <w:r>
        <w:rPr/>
        <w:t>tool</w:t>
      </w:r>
      <w:r>
        <w:rPr>
          <w:spacing w:val="-9"/>
        </w:rPr>
        <w:t> </w:t>
      </w:r>
      <w:r>
        <w:rPr/>
        <w:t>predictions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inbound</w:t>
      </w:r>
      <w:r>
        <w:rPr>
          <w:spacing w:val="-9"/>
        </w:rPr>
        <w:t> </w:t>
      </w:r>
      <w:r>
        <w:rPr/>
        <w:t>displacement</w:t>
      </w:r>
      <w:r>
        <w:rPr>
          <w:spacing w:val="-9"/>
        </w:rPr>
        <w:t> </w:t>
      </w:r>
      <w:r>
        <w:rPr/>
        <w:t>are</w:t>
      </w:r>
      <w:r>
        <w:rPr>
          <w:spacing w:val="-10"/>
        </w:rPr>
        <w:t> </w:t>
      </w:r>
      <w:r>
        <w:rPr/>
        <w:t>generally</w:t>
      </w:r>
      <w:r>
        <w:rPr>
          <w:spacing w:val="-10"/>
        </w:rPr>
        <w:t> </w:t>
      </w:r>
      <w:r>
        <w:rPr/>
        <w:t>in</w:t>
      </w:r>
      <w:r>
        <w:rPr>
          <w:spacing w:val="-10"/>
        </w:rPr>
        <w:t> </w:t>
      </w:r>
      <w:r>
        <w:rPr/>
        <w:t>good</w:t>
      </w:r>
      <w:r>
        <w:rPr>
          <w:spacing w:val="-10"/>
        </w:rPr>
        <w:t> </w:t>
      </w:r>
      <w:r>
        <w:rPr/>
        <w:t>agreement</w:t>
      </w:r>
      <w:r>
        <w:rPr>
          <w:spacing w:val="-8"/>
        </w:rPr>
        <w:t> </w:t>
      </w:r>
      <w:r>
        <w:rPr/>
        <w:t>with</w:t>
      </w:r>
      <w:r>
        <w:rPr>
          <w:spacing w:val="-58"/>
        </w:rPr>
        <w:t> </w:t>
      </w:r>
      <w:r>
        <w:rPr/>
        <w:t>the actual displacements of the live blast tests for the first two shots because the panels</w:t>
      </w:r>
      <w:r>
        <w:rPr>
          <w:spacing w:val="1"/>
        </w:rPr>
        <w:t> </w:t>
      </w:r>
      <w:r>
        <w:rPr/>
        <w:t>exhibited an elastic response.</w:t>
      </w:r>
      <w:r>
        <w:rPr>
          <w:spacing w:val="1"/>
        </w:rPr>
        <w:t> </w:t>
      </w:r>
      <w:r>
        <w:rPr/>
        <w:t>For the percentage difference based on the UFC load</w:t>
      </w:r>
      <w:r>
        <w:rPr>
          <w:spacing w:val="1"/>
        </w:rPr>
        <w:t> </w:t>
      </w:r>
      <w:r>
        <w:rPr/>
        <w:t>calculations, the majority of differences were less than 10 percent.</w:t>
      </w:r>
      <w:r>
        <w:rPr>
          <w:spacing w:val="1"/>
        </w:rPr>
        <w:t> </w:t>
      </w:r>
      <w:r>
        <w:rPr/>
        <w:t>The field data based</w:t>
      </w:r>
      <w:r>
        <w:rPr>
          <w:spacing w:val="1"/>
        </w:rPr>
        <w:t> </w:t>
      </w:r>
      <w:r>
        <w:rPr/>
        <w:t>displacement values were mostly under-predicted ranging from about 4 percent to 15</w:t>
      </w:r>
      <w:r>
        <w:rPr>
          <w:spacing w:val="1"/>
        </w:rPr>
        <w:t> </w:t>
      </w:r>
      <w:r>
        <w:rPr/>
        <w:t>percent</w:t>
      </w:r>
      <w:r>
        <w:rPr>
          <w:spacing w:val="-13"/>
        </w:rPr>
        <w:t> </w:t>
      </w:r>
      <w:r>
        <w:rPr/>
        <w:t>difference</w:t>
      </w:r>
      <w:r>
        <w:rPr>
          <w:spacing w:val="-13"/>
        </w:rPr>
        <w:t> </w:t>
      </w:r>
      <w:r>
        <w:rPr/>
        <w:t>from</w:t>
      </w:r>
      <w:r>
        <w:rPr>
          <w:spacing w:val="-15"/>
        </w:rPr>
        <w:t> </w:t>
      </w:r>
      <w:r>
        <w:rPr/>
        <w:t>the</w:t>
      </w:r>
      <w:r>
        <w:rPr>
          <w:spacing w:val="-12"/>
        </w:rPr>
        <w:t> </w:t>
      </w:r>
      <w:r>
        <w:rPr/>
        <w:t>actual</w:t>
      </w:r>
      <w:r>
        <w:rPr>
          <w:spacing w:val="-13"/>
        </w:rPr>
        <w:t> </w:t>
      </w:r>
      <w:r>
        <w:rPr/>
        <w:t>displacement</w:t>
      </w:r>
      <w:r>
        <w:rPr>
          <w:spacing w:val="-13"/>
        </w:rPr>
        <w:t> </w:t>
      </w:r>
      <w:r>
        <w:rPr/>
        <w:t>for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first</w:t>
      </w:r>
      <w:r>
        <w:rPr>
          <w:spacing w:val="-14"/>
        </w:rPr>
        <w:t> </w:t>
      </w:r>
      <w:r>
        <w:rPr/>
        <w:t>two</w:t>
      </w:r>
      <w:r>
        <w:rPr>
          <w:spacing w:val="-12"/>
        </w:rPr>
        <w:t> </w:t>
      </w:r>
      <w:r>
        <w:rPr/>
        <w:t>shots.</w:t>
      </w:r>
      <w:r>
        <w:rPr>
          <w:spacing w:val="34"/>
        </w:rPr>
        <w:t> </w:t>
      </w:r>
      <w:r>
        <w:rPr/>
        <w:t>The</w:t>
      </w:r>
      <w:r>
        <w:rPr>
          <w:spacing w:val="-12"/>
        </w:rPr>
        <w:t> </w:t>
      </w:r>
      <w:r>
        <w:rPr/>
        <w:t>field</w:t>
      </w:r>
      <w:r>
        <w:rPr>
          <w:spacing w:val="-14"/>
        </w:rPr>
        <w:t> </w:t>
      </w:r>
      <w:r>
        <w:rPr/>
        <w:t>data</w:t>
      </w:r>
      <w:r>
        <w:rPr>
          <w:spacing w:val="-13"/>
        </w:rPr>
        <w:t> </w:t>
      </w:r>
      <w:r>
        <w:rPr/>
        <w:t>based</w:t>
      </w:r>
      <w:r>
        <w:rPr>
          <w:spacing w:val="-58"/>
        </w:rPr>
        <w:t> </w:t>
      </w:r>
      <w:r>
        <w:rPr/>
        <w:t>displacements</w:t>
      </w:r>
      <w:r>
        <w:rPr>
          <w:spacing w:val="-8"/>
        </w:rPr>
        <w:t> </w:t>
      </w:r>
      <w:r>
        <w:rPr/>
        <w:t>appeared</w:t>
      </w:r>
      <w:r>
        <w:rPr>
          <w:spacing w:val="-7"/>
        </w:rPr>
        <w:t> </w:t>
      </w:r>
      <w:r>
        <w:rPr/>
        <w:t>to</w:t>
      </w:r>
      <w:r>
        <w:rPr>
          <w:spacing w:val="-7"/>
        </w:rPr>
        <w:t> </w:t>
      </w:r>
      <w:r>
        <w:rPr/>
        <w:t>have</w:t>
      </w:r>
      <w:r>
        <w:rPr>
          <w:spacing w:val="-8"/>
        </w:rPr>
        <w:t> </w:t>
      </w:r>
      <w:r>
        <w:rPr/>
        <w:t>slightly</w:t>
      </w:r>
      <w:r>
        <w:rPr>
          <w:spacing w:val="-7"/>
        </w:rPr>
        <w:t> </w:t>
      </w:r>
      <w:r>
        <w:rPr/>
        <w:t>higher</w:t>
      </w:r>
      <w:r>
        <w:rPr>
          <w:spacing w:val="-8"/>
        </w:rPr>
        <w:t> </w:t>
      </w:r>
      <w:r>
        <w:rPr/>
        <w:t>percent</w:t>
      </w:r>
      <w:r>
        <w:rPr>
          <w:spacing w:val="-7"/>
        </w:rPr>
        <w:t> </w:t>
      </w:r>
      <w:r>
        <w:rPr/>
        <w:t>difference</w:t>
      </w:r>
      <w:r>
        <w:rPr>
          <w:spacing w:val="-7"/>
        </w:rPr>
        <w:t> </w:t>
      </w:r>
      <w:r>
        <w:rPr/>
        <w:t>across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entire</w:t>
      </w:r>
      <w:r>
        <w:rPr>
          <w:spacing w:val="-7"/>
        </w:rPr>
        <w:t> </w:t>
      </w:r>
      <w:r>
        <w:rPr/>
        <w:t>dataset,</w:t>
      </w:r>
      <w:r>
        <w:rPr>
          <w:spacing w:val="-58"/>
        </w:rPr>
        <w:t> </w:t>
      </w:r>
      <w:r>
        <w:rPr/>
        <w:t>with</w:t>
      </w:r>
      <w:r>
        <w:rPr>
          <w:spacing w:val="-1"/>
        </w:rPr>
        <w:t> </w:t>
      </w:r>
      <w:r>
        <w:rPr/>
        <w:t>most under-predicting</w:t>
      </w:r>
      <w:r>
        <w:rPr>
          <w:spacing w:val="-1"/>
        </w:rPr>
        <w:t> </w:t>
      </w:r>
      <w:r>
        <w:rPr/>
        <w:t>the displacement in</w:t>
      </w:r>
      <w:r>
        <w:rPr>
          <w:spacing w:val="-1"/>
        </w:rPr>
        <w:t> </w:t>
      </w:r>
      <w:r>
        <w:rPr/>
        <w:t>the range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4 to</w:t>
      </w:r>
      <w:r>
        <w:rPr>
          <w:spacing w:val="-1"/>
        </w:rPr>
        <w:t> </w:t>
      </w:r>
      <w:r>
        <w:rPr/>
        <w:t>15 percent.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spacing w:before="79"/>
        <w:ind w:left="440" w:right="0" w:firstLine="0"/>
        <w:jc w:val="left"/>
        <w:rPr>
          <w:i/>
          <w:sz w:val="24"/>
        </w:rPr>
      </w:pPr>
      <w:bookmarkStart w:name="_bookmark197" w:id="557"/>
      <w:bookmarkEnd w:id="557"/>
      <w:r>
        <w:rPr/>
      </w:r>
      <w:r>
        <w:rPr>
          <w:i/>
          <w:sz w:val="24"/>
        </w:rPr>
        <w:t>Table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8-4.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Tool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predicted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versus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actual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displacements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using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fixed-pinned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end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conditions.</w:t>
      </w:r>
    </w:p>
    <w:p>
      <w:pPr>
        <w:pStyle w:val="BodyText"/>
        <w:spacing w:before="5" w:after="1"/>
        <w:rPr>
          <w:i/>
          <w:sz w:val="17"/>
        </w:rPr>
      </w:pPr>
    </w:p>
    <w:tbl>
      <w:tblPr>
        <w:tblW w:w="0" w:type="auto"/>
        <w:jc w:val="left"/>
        <w:tblInd w:w="4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20"/>
        <w:gridCol w:w="931"/>
        <w:gridCol w:w="1548"/>
        <w:gridCol w:w="1613"/>
        <w:gridCol w:w="1159"/>
        <w:gridCol w:w="1603"/>
        <w:gridCol w:w="1160"/>
      </w:tblGrid>
      <w:tr>
        <w:trPr>
          <w:trHeight w:val="1264" w:hRule="atLeast"/>
        </w:trPr>
        <w:tc>
          <w:tcPr>
            <w:tcW w:w="620" w:type="dxa"/>
            <w:shd w:val="clear" w:color="auto" w:fill="C0C0C0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9"/>
              <w:rPr>
                <w:i/>
                <w:sz w:val="19"/>
              </w:rPr>
            </w:pPr>
          </w:p>
          <w:p>
            <w:pPr>
              <w:pStyle w:val="TableParagraph"/>
              <w:ind w:left="88" w:right="78"/>
              <w:jc w:val="center"/>
              <w:rPr>
                <w:sz w:val="22"/>
              </w:rPr>
            </w:pPr>
            <w:r>
              <w:rPr>
                <w:sz w:val="22"/>
              </w:rPr>
              <w:t>Shot</w:t>
            </w:r>
          </w:p>
        </w:tc>
        <w:tc>
          <w:tcPr>
            <w:tcW w:w="931" w:type="dxa"/>
            <w:shd w:val="clear" w:color="auto" w:fill="C0C0C0"/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spacing w:line="252" w:lineRule="exact"/>
              <w:ind w:left="252"/>
              <w:rPr>
                <w:sz w:val="22"/>
              </w:rPr>
            </w:pPr>
            <w:r>
              <w:rPr>
                <w:sz w:val="22"/>
              </w:rPr>
              <w:t>TNT</w:t>
            </w:r>
          </w:p>
          <w:p>
            <w:pPr>
              <w:pStyle w:val="TableParagraph"/>
              <w:ind w:left="278" w:right="112" w:hanging="137"/>
              <w:rPr>
                <w:sz w:val="22"/>
              </w:rPr>
            </w:pPr>
            <w:r>
              <w:rPr>
                <w:sz w:val="22"/>
              </w:rPr>
              <w:t>Weight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[lb.]</w:t>
            </w:r>
          </w:p>
        </w:tc>
        <w:tc>
          <w:tcPr>
            <w:tcW w:w="1548" w:type="dxa"/>
            <w:shd w:val="clear" w:color="auto" w:fill="C0C0C0"/>
          </w:tcPr>
          <w:p>
            <w:pPr>
              <w:pStyle w:val="TableParagraph"/>
              <w:ind w:left="193" w:right="182" w:hanging="1"/>
              <w:jc w:val="center"/>
              <w:rPr>
                <w:sz w:val="22"/>
              </w:rPr>
            </w:pPr>
            <w:r>
              <w:rPr>
                <w:sz w:val="22"/>
              </w:rPr>
              <w:t>Inbound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1"/>
                <w:sz w:val="22"/>
              </w:rPr>
              <w:t>displacement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(gauge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recorded)</w:t>
            </w:r>
          </w:p>
          <w:p>
            <w:pPr>
              <w:pStyle w:val="TableParagraph"/>
              <w:spacing w:line="234" w:lineRule="exact"/>
              <w:ind w:left="558" w:right="549"/>
              <w:jc w:val="center"/>
              <w:rPr>
                <w:sz w:val="22"/>
              </w:rPr>
            </w:pPr>
            <w:r>
              <w:rPr>
                <w:sz w:val="22"/>
              </w:rPr>
              <w:t>[in]</w:t>
            </w:r>
          </w:p>
        </w:tc>
        <w:tc>
          <w:tcPr>
            <w:tcW w:w="1613" w:type="dxa"/>
            <w:shd w:val="clear" w:color="auto" w:fill="C0C0C0"/>
          </w:tcPr>
          <w:p>
            <w:pPr>
              <w:pStyle w:val="TableParagraph"/>
              <w:ind w:left="135" w:right="125"/>
              <w:jc w:val="center"/>
              <w:rPr>
                <w:sz w:val="22"/>
              </w:rPr>
            </w:pPr>
            <w:r>
              <w:rPr>
                <w:sz w:val="22"/>
              </w:rPr>
              <w:t>SDOF inbound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model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displacement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(UFC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loads)</w:t>
            </w:r>
          </w:p>
          <w:p>
            <w:pPr>
              <w:pStyle w:val="TableParagraph"/>
              <w:spacing w:line="234" w:lineRule="exact"/>
              <w:ind w:left="134" w:right="125"/>
              <w:jc w:val="center"/>
              <w:rPr>
                <w:sz w:val="22"/>
              </w:rPr>
            </w:pPr>
            <w:r>
              <w:rPr>
                <w:sz w:val="22"/>
              </w:rPr>
              <w:t>[in]</w:t>
            </w:r>
          </w:p>
        </w:tc>
        <w:tc>
          <w:tcPr>
            <w:tcW w:w="1159" w:type="dxa"/>
            <w:shd w:val="clear" w:color="auto" w:fill="C0C0C0"/>
          </w:tcPr>
          <w:p>
            <w:pPr>
              <w:pStyle w:val="TableParagraph"/>
              <w:spacing w:before="9"/>
              <w:rPr>
                <w:i/>
                <w:sz w:val="32"/>
              </w:rPr>
            </w:pPr>
          </w:p>
          <w:p>
            <w:pPr>
              <w:pStyle w:val="TableParagraph"/>
              <w:ind w:left="134" w:right="113" w:firstLine="116"/>
              <w:rPr>
                <w:sz w:val="22"/>
              </w:rPr>
            </w:pPr>
            <w:r>
              <w:rPr>
                <w:sz w:val="22"/>
              </w:rPr>
              <w:t>Percent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1"/>
                <w:sz w:val="22"/>
              </w:rPr>
              <w:t>difference</w:t>
            </w:r>
          </w:p>
        </w:tc>
        <w:tc>
          <w:tcPr>
            <w:tcW w:w="1603" w:type="dxa"/>
            <w:shd w:val="clear" w:color="auto" w:fill="C0C0C0"/>
          </w:tcPr>
          <w:p>
            <w:pPr>
              <w:pStyle w:val="TableParagraph"/>
              <w:ind w:left="132" w:right="119"/>
              <w:jc w:val="center"/>
              <w:rPr>
                <w:sz w:val="22"/>
              </w:rPr>
            </w:pPr>
            <w:r>
              <w:rPr>
                <w:sz w:val="22"/>
              </w:rPr>
              <w:t>SDOF inbound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model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displacement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(field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data)</w:t>
            </w:r>
          </w:p>
          <w:p>
            <w:pPr>
              <w:pStyle w:val="TableParagraph"/>
              <w:spacing w:line="234" w:lineRule="exact"/>
              <w:ind w:left="128" w:right="119"/>
              <w:jc w:val="center"/>
              <w:rPr>
                <w:sz w:val="22"/>
              </w:rPr>
            </w:pPr>
            <w:r>
              <w:rPr>
                <w:sz w:val="22"/>
              </w:rPr>
              <w:t>[in]</w:t>
            </w:r>
          </w:p>
        </w:tc>
        <w:tc>
          <w:tcPr>
            <w:tcW w:w="1160" w:type="dxa"/>
            <w:shd w:val="clear" w:color="auto" w:fill="C0C0C0"/>
          </w:tcPr>
          <w:p>
            <w:pPr>
              <w:pStyle w:val="TableParagraph"/>
              <w:spacing w:before="9"/>
              <w:rPr>
                <w:i/>
                <w:sz w:val="32"/>
              </w:rPr>
            </w:pPr>
          </w:p>
          <w:p>
            <w:pPr>
              <w:pStyle w:val="TableParagraph"/>
              <w:ind w:left="134" w:right="114" w:firstLine="116"/>
              <w:rPr>
                <w:sz w:val="22"/>
              </w:rPr>
            </w:pPr>
            <w:r>
              <w:rPr>
                <w:sz w:val="22"/>
              </w:rPr>
              <w:t>Percent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1"/>
                <w:sz w:val="22"/>
              </w:rPr>
              <w:t>difference</w:t>
            </w:r>
          </w:p>
        </w:tc>
      </w:tr>
      <w:tr>
        <w:trPr>
          <w:trHeight w:val="299" w:hRule="atLeast"/>
        </w:trPr>
        <w:tc>
          <w:tcPr>
            <w:tcW w:w="620" w:type="dxa"/>
            <w:shd w:val="clear" w:color="auto" w:fill="C0C0C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31" w:type="dxa"/>
            <w:shd w:val="clear" w:color="auto" w:fill="C0C0C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083" w:type="dxa"/>
            <w:gridSpan w:val="5"/>
            <w:shd w:val="clear" w:color="auto" w:fill="C0C0C0"/>
          </w:tcPr>
          <w:p>
            <w:pPr>
              <w:pStyle w:val="TableParagraph"/>
              <w:spacing w:line="234" w:lineRule="exact" w:before="45"/>
              <w:ind w:left="1763"/>
              <w:rPr>
                <w:sz w:val="22"/>
              </w:rPr>
            </w:pPr>
            <w:r>
              <w:rPr>
                <w:sz w:val="22"/>
              </w:rPr>
              <w:t>CLT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grade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E-1,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front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face,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Ground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level</w:t>
            </w:r>
          </w:p>
        </w:tc>
      </w:tr>
      <w:tr>
        <w:trPr>
          <w:trHeight w:val="300" w:hRule="atLeast"/>
        </w:trPr>
        <w:tc>
          <w:tcPr>
            <w:tcW w:w="620" w:type="dxa"/>
          </w:tcPr>
          <w:p>
            <w:pPr>
              <w:pStyle w:val="TableParagraph"/>
              <w:spacing w:line="234" w:lineRule="exact" w:before="46"/>
              <w:ind w:left="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1</w:t>
            </w:r>
          </w:p>
        </w:tc>
        <w:tc>
          <w:tcPr>
            <w:tcW w:w="931" w:type="dxa"/>
          </w:tcPr>
          <w:p>
            <w:pPr>
              <w:pStyle w:val="TableParagraph"/>
              <w:spacing w:line="234" w:lineRule="exact" w:before="46"/>
              <w:ind w:left="355"/>
              <w:rPr>
                <w:sz w:val="22"/>
              </w:rPr>
            </w:pPr>
            <w:r>
              <w:rPr>
                <w:sz w:val="22"/>
              </w:rPr>
              <w:t>32</w:t>
            </w:r>
          </w:p>
        </w:tc>
        <w:tc>
          <w:tcPr>
            <w:tcW w:w="1548" w:type="dxa"/>
            <w:shd w:val="clear" w:color="auto" w:fill="DADADA"/>
          </w:tcPr>
          <w:p>
            <w:pPr>
              <w:pStyle w:val="TableParagraph"/>
              <w:spacing w:line="234" w:lineRule="exact" w:before="46"/>
              <w:ind w:left="559" w:right="549"/>
              <w:jc w:val="center"/>
              <w:rPr>
                <w:sz w:val="22"/>
              </w:rPr>
            </w:pPr>
            <w:r>
              <w:rPr>
                <w:sz w:val="22"/>
              </w:rPr>
              <w:t>1.09</w:t>
            </w:r>
          </w:p>
        </w:tc>
        <w:tc>
          <w:tcPr>
            <w:tcW w:w="1613" w:type="dxa"/>
          </w:tcPr>
          <w:p>
            <w:pPr>
              <w:pStyle w:val="TableParagraph"/>
              <w:spacing w:line="234" w:lineRule="exact" w:before="46"/>
              <w:ind w:left="558"/>
              <w:rPr>
                <w:sz w:val="22"/>
              </w:rPr>
            </w:pPr>
            <w:r>
              <w:rPr>
                <w:sz w:val="22"/>
              </w:rPr>
              <w:t>1.217</w:t>
            </w:r>
          </w:p>
        </w:tc>
        <w:tc>
          <w:tcPr>
            <w:tcW w:w="1159" w:type="dxa"/>
          </w:tcPr>
          <w:p>
            <w:pPr>
              <w:pStyle w:val="TableParagraph"/>
              <w:spacing w:line="234" w:lineRule="exact" w:before="46"/>
              <w:ind w:left="221" w:right="208"/>
              <w:jc w:val="center"/>
              <w:rPr>
                <w:sz w:val="22"/>
              </w:rPr>
            </w:pPr>
            <w:r>
              <w:rPr>
                <w:sz w:val="22"/>
              </w:rPr>
              <w:t>11.65%</w:t>
            </w:r>
          </w:p>
        </w:tc>
        <w:tc>
          <w:tcPr>
            <w:tcW w:w="1603" w:type="dxa"/>
          </w:tcPr>
          <w:p>
            <w:pPr>
              <w:pStyle w:val="TableParagraph"/>
              <w:spacing w:line="234" w:lineRule="exact" w:before="46"/>
              <w:ind w:right="541"/>
              <w:jc w:val="right"/>
              <w:rPr>
                <w:sz w:val="22"/>
              </w:rPr>
            </w:pPr>
            <w:r>
              <w:rPr>
                <w:sz w:val="22"/>
              </w:rPr>
              <w:t>1.101</w:t>
            </w:r>
          </w:p>
        </w:tc>
        <w:tc>
          <w:tcPr>
            <w:tcW w:w="1160" w:type="dxa"/>
          </w:tcPr>
          <w:p>
            <w:pPr>
              <w:pStyle w:val="TableParagraph"/>
              <w:spacing w:line="234" w:lineRule="exact" w:before="46"/>
              <w:ind w:left="176" w:right="165"/>
              <w:jc w:val="center"/>
              <w:rPr>
                <w:sz w:val="22"/>
              </w:rPr>
            </w:pPr>
            <w:r>
              <w:rPr>
                <w:sz w:val="22"/>
              </w:rPr>
              <w:t>1.01%</w:t>
            </w:r>
          </w:p>
        </w:tc>
      </w:tr>
      <w:tr>
        <w:trPr>
          <w:trHeight w:val="299" w:hRule="atLeast"/>
        </w:trPr>
        <w:tc>
          <w:tcPr>
            <w:tcW w:w="620" w:type="dxa"/>
          </w:tcPr>
          <w:p>
            <w:pPr>
              <w:pStyle w:val="TableParagraph"/>
              <w:spacing w:line="234" w:lineRule="exact" w:before="45"/>
              <w:ind w:left="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2</w:t>
            </w:r>
          </w:p>
        </w:tc>
        <w:tc>
          <w:tcPr>
            <w:tcW w:w="931" w:type="dxa"/>
          </w:tcPr>
          <w:p>
            <w:pPr>
              <w:pStyle w:val="TableParagraph"/>
              <w:spacing w:line="234" w:lineRule="exact" w:before="45"/>
              <w:ind w:left="355"/>
              <w:rPr>
                <w:sz w:val="22"/>
              </w:rPr>
            </w:pPr>
            <w:r>
              <w:rPr>
                <w:sz w:val="22"/>
              </w:rPr>
              <w:t>67</w:t>
            </w:r>
          </w:p>
        </w:tc>
        <w:tc>
          <w:tcPr>
            <w:tcW w:w="1548" w:type="dxa"/>
            <w:shd w:val="clear" w:color="auto" w:fill="DADADA"/>
          </w:tcPr>
          <w:p>
            <w:pPr>
              <w:pStyle w:val="TableParagraph"/>
              <w:spacing w:line="234" w:lineRule="exact" w:before="45"/>
              <w:ind w:left="559" w:right="549"/>
              <w:jc w:val="center"/>
              <w:rPr>
                <w:sz w:val="22"/>
              </w:rPr>
            </w:pPr>
            <w:r>
              <w:rPr>
                <w:sz w:val="22"/>
              </w:rPr>
              <w:t>1.96</w:t>
            </w:r>
          </w:p>
        </w:tc>
        <w:tc>
          <w:tcPr>
            <w:tcW w:w="1613" w:type="dxa"/>
          </w:tcPr>
          <w:p>
            <w:pPr>
              <w:pStyle w:val="TableParagraph"/>
              <w:spacing w:line="234" w:lineRule="exact" w:before="45"/>
              <w:ind w:left="558"/>
              <w:rPr>
                <w:sz w:val="22"/>
              </w:rPr>
            </w:pPr>
            <w:r>
              <w:rPr>
                <w:sz w:val="22"/>
              </w:rPr>
              <w:t>1.978</w:t>
            </w:r>
          </w:p>
        </w:tc>
        <w:tc>
          <w:tcPr>
            <w:tcW w:w="1159" w:type="dxa"/>
          </w:tcPr>
          <w:p>
            <w:pPr>
              <w:pStyle w:val="TableParagraph"/>
              <w:spacing w:line="234" w:lineRule="exact" w:before="45"/>
              <w:ind w:left="219" w:right="208"/>
              <w:jc w:val="center"/>
              <w:rPr>
                <w:sz w:val="22"/>
              </w:rPr>
            </w:pPr>
            <w:r>
              <w:rPr>
                <w:sz w:val="22"/>
              </w:rPr>
              <w:t>0.92%</w:t>
            </w:r>
          </w:p>
        </w:tc>
        <w:tc>
          <w:tcPr>
            <w:tcW w:w="1603" w:type="dxa"/>
          </w:tcPr>
          <w:p>
            <w:pPr>
              <w:pStyle w:val="TableParagraph"/>
              <w:spacing w:line="234" w:lineRule="exact" w:before="45"/>
              <w:ind w:right="541"/>
              <w:jc w:val="right"/>
              <w:rPr>
                <w:sz w:val="22"/>
              </w:rPr>
            </w:pPr>
            <w:r>
              <w:rPr>
                <w:sz w:val="22"/>
              </w:rPr>
              <w:t>1.801</w:t>
            </w:r>
          </w:p>
        </w:tc>
        <w:tc>
          <w:tcPr>
            <w:tcW w:w="1160" w:type="dxa"/>
          </w:tcPr>
          <w:p>
            <w:pPr>
              <w:pStyle w:val="TableParagraph"/>
              <w:spacing w:line="234" w:lineRule="exact" w:before="45"/>
              <w:ind w:left="177" w:right="165"/>
              <w:jc w:val="center"/>
              <w:rPr>
                <w:sz w:val="22"/>
              </w:rPr>
            </w:pPr>
            <w:r>
              <w:rPr>
                <w:sz w:val="22"/>
              </w:rPr>
              <w:t>-8.11%</w:t>
            </w:r>
          </w:p>
        </w:tc>
      </w:tr>
      <w:tr>
        <w:trPr>
          <w:trHeight w:val="299" w:hRule="atLeast"/>
        </w:trPr>
        <w:tc>
          <w:tcPr>
            <w:tcW w:w="620" w:type="dxa"/>
          </w:tcPr>
          <w:p>
            <w:pPr>
              <w:pStyle w:val="TableParagraph"/>
              <w:spacing w:line="233" w:lineRule="exact" w:before="46"/>
              <w:ind w:left="8"/>
              <w:jc w:val="center"/>
              <w:rPr>
                <w:i/>
                <w:sz w:val="22"/>
              </w:rPr>
            </w:pPr>
            <w:r>
              <w:rPr>
                <w:i/>
                <w:w w:val="99"/>
                <w:sz w:val="22"/>
              </w:rPr>
              <w:t>3</w:t>
            </w:r>
          </w:p>
        </w:tc>
        <w:tc>
          <w:tcPr>
            <w:tcW w:w="931" w:type="dxa"/>
          </w:tcPr>
          <w:p>
            <w:pPr>
              <w:pStyle w:val="TableParagraph"/>
              <w:spacing w:line="233" w:lineRule="exact" w:before="46"/>
              <w:ind w:left="300"/>
              <w:rPr>
                <w:i/>
                <w:sz w:val="22"/>
              </w:rPr>
            </w:pPr>
            <w:r>
              <w:rPr>
                <w:i/>
                <w:sz w:val="22"/>
              </w:rPr>
              <w:t>199</w:t>
            </w:r>
          </w:p>
        </w:tc>
        <w:tc>
          <w:tcPr>
            <w:tcW w:w="1548" w:type="dxa"/>
            <w:shd w:val="clear" w:color="auto" w:fill="DADADA"/>
          </w:tcPr>
          <w:p>
            <w:pPr>
              <w:pStyle w:val="TableParagraph"/>
              <w:spacing w:line="233" w:lineRule="exact" w:before="46"/>
              <w:ind w:left="559" w:right="549"/>
              <w:jc w:val="center"/>
              <w:rPr>
                <w:i/>
                <w:sz w:val="22"/>
              </w:rPr>
            </w:pPr>
            <w:r>
              <w:rPr>
                <w:i/>
                <w:sz w:val="22"/>
              </w:rPr>
              <w:t>3.9</w:t>
            </w:r>
          </w:p>
        </w:tc>
        <w:tc>
          <w:tcPr>
            <w:tcW w:w="1613" w:type="dxa"/>
          </w:tcPr>
          <w:p>
            <w:pPr>
              <w:pStyle w:val="TableParagraph"/>
              <w:spacing w:line="233" w:lineRule="exact" w:before="46"/>
              <w:ind w:left="558"/>
              <w:rPr>
                <w:i/>
                <w:sz w:val="22"/>
              </w:rPr>
            </w:pPr>
            <w:r>
              <w:rPr>
                <w:i/>
                <w:sz w:val="22"/>
              </w:rPr>
              <w:t>4.029</w:t>
            </w:r>
          </w:p>
        </w:tc>
        <w:tc>
          <w:tcPr>
            <w:tcW w:w="1159" w:type="dxa"/>
          </w:tcPr>
          <w:p>
            <w:pPr>
              <w:pStyle w:val="TableParagraph"/>
              <w:spacing w:line="233" w:lineRule="exact" w:before="46"/>
              <w:ind w:left="220" w:right="208"/>
              <w:jc w:val="center"/>
              <w:rPr>
                <w:i/>
                <w:sz w:val="22"/>
              </w:rPr>
            </w:pPr>
            <w:r>
              <w:rPr>
                <w:i/>
                <w:sz w:val="22"/>
              </w:rPr>
              <w:t>3.31%</w:t>
            </w:r>
          </w:p>
        </w:tc>
        <w:tc>
          <w:tcPr>
            <w:tcW w:w="1603" w:type="dxa"/>
          </w:tcPr>
          <w:p>
            <w:pPr>
              <w:pStyle w:val="TableParagraph"/>
              <w:spacing w:line="233" w:lineRule="exact" w:before="46"/>
              <w:ind w:right="541"/>
              <w:jc w:val="right"/>
              <w:rPr>
                <w:i/>
                <w:sz w:val="22"/>
              </w:rPr>
            </w:pPr>
            <w:r>
              <w:rPr>
                <w:i/>
                <w:sz w:val="22"/>
              </w:rPr>
              <w:t>3.498</w:t>
            </w:r>
          </w:p>
        </w:tc>
        <w:tc>
          <w:tcPr>
            <w:tcW w:w="1160" w:type="dxa"/>
          </w:tcPr>
          <w:p>
            <w:pPr>
              <w:pStyle w:val="TableParagraph"/>
              <w:spacing w:line="233" w:lineRule="exact" w:before="46"/>
              <w:ind w:left="178" w:right="165"/>
              <w:jc w:val="center"/>
              <w:rPr>
                <w:i/>
                <w:sz w:val="22"/>
              </w:rPr>
            </w:pPr>
            <w:r>
              <w:rPr>
                <w:i/>
                <w:sz w:val="22"/>
              </w:rPr>
              <w:t>-10.31%</w:t>
            </w:r>
          </w:p>
        </w:tc>
      </w:tr>
      <w:tr>
        <w:trPr>
          <w:trHeight w:val="300" w:hRule="atLeast"/>
        </w:trPr>
        <w:tc>
          <w:tcPr>
            <w:tcW w:w="620" w:type="dxa"/>
            <w:tcBorders>
              <w:bottom w:val="nil"/>
            </w:tcBorders>
            <w:shd w:val="clear" w:color="auto" w:fill="C0C0C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31" w:type="dxa"/>
            <w:shd w:val="clear" w:color="auto" w:fill="C0C0C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083" w:type="dxa"/>
            <w:gridSpan w:val="5"/>
            <w:shd w:val="clear" w:color="auto" w:fill="C0C0C0"/>
          </w:tcPr>
          <w:p>
            <w:pPr>
              <w:pStyle w:val="TableParagraph"/>
              <w:spacing w:line="234" w:lineRule="exact" w:before="46"/>
              <w:ind w:left="1751"/>
              <w:rPr>
                <w:sz w:val="22"/>
              </w:rPr>
            </w:pPr>
            <w:r>
              <w:rPr>
                <w:sz w:val="22"/>
              </w:rPr>
              <w:t>CLT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grade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V-1,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front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face,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Ground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level</w:t>
            </w:r>
          </w:p>
        </w:tc>
      </w:tr>
      <w:tr>
        <w:trPr>
          <w:trHeight w:val="299" w:hRule="atLeast"/>
        </w:trPr>
        <w:tc>
          <w:tcPr>
            <w:tcW w:w="620" w:type="dxa"/>
            <w:tcBorders>
              <w:top w:val="nil"/>
            </w:tcBorders>
          </w:tcPr>
          <w:p>
            <w:pPr>
              <w:pStyle w:val="TableParagraph"/>
              <w:spacing w:line="234" w:lineRule="exact" w:before="45"/>
              <w:ind w:left="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1</w:t>
            </w:r>
          </w:p>
        </w:tc>
        <w:tc>
          <w:tcPr>
            <w:tcW w:w="931" w:type="dxa"/>
          </w:tcPr>
          <w:p>
            <w:pPr>
              <w:pStyle w:val="TableParagraph"/>
              <w:spacing w:line="234" w:lineRule="exact" w:before="45"/>
              <w:ind w:left="355"/>
              <w:rPr>
                <w:sz w:val="22"/>
              </w:rPr>
            </w:pPr>
            <w:r>
              <w:rPr>
                <w:sz w:val="22"/>
              </w:rPr>
              <w:t>32</w:t>
            </w:r>
          </w:p>
        </w:tc>
        <w:tc>
          <w:tcPr>
            <w:tcW w:w="1548" w:type="dxa"/>
            <w:shd w:val="clear" w:color="auto" w:fill="DADADA"/>
          </w:tcPr>
          <w:p>
            <w:pPr>
              <w:pStyle w:val="TableParagraph"/>
              <w:spacing w:line="234" w:lineRule="exact" w:before="45"/>
              <w:ind w:left="559" w:right="549"/>
              <w:jc w:val="center"/>
              <w:rPr>
                <w:sz w:val="22"/>
              </w:rPr>
            </w:pPr>
            <w:r>
              <w:rPr>
                <w:sz w:val="22"/>
              </w:rPr>
              <w:t>1.18</w:t>
            </w:r>
          </w:p>
        </w:tc>
        <w:tc>
          <w:tcPr>
            <w:tcW w:w="1613" w:type="dxa"/>
          </w:tcPr>
          <w:p>
            <w:pPr>
              <w:pStyle w:val="TableParagraph"/>
              <w:spacing w:line="234" w:lineRule="exact" w:before="45"/>
              <w:ind w:left="558"/>
              <w:rPr>
                <w:sz w:val="22"/>
              </w:rPr>
            </w:pPr>
            <w:r>
              <w:rPr>
                <w:sz w:val="22"/>
              </w:rPr>
              <w:t>1.206</w:t>
            </w:r>
          </w:p>
        </w:tc>
        <w:tc>
          <w:tcPr>
            <w:tcW w:w="1159" w:type="dxa"/>
          </w:tcPr>
          <w:p>
            <w:pPr>
              <w:pStyle w:val="TableParagraph"/>
              <w:spacing w:line="234" w:lineRule="exact" w:before="45"/>
              <w:ind w:left="219" w:right="208"/>
              <w:jc w:val="center"/>
              <w:rPr>
                <w:sz w:val="22"/>
              </w:rPr>
            </w:pPr>
            <w:r>
              <w:rPr>
                <w:sz w:val="22"/>
              </w:rPr>
              <w:t>2.20%</w:t>
            </w:r>
          </w:p>
        </w:tc>
        <w:tc>
          <w:tcPr>
            <w:tcW w:w="1603" w:type="dxa"/>
          </w:tcPr>
          <w:p>
            <w:pPr>
              <w:pStyle w:val="TableParagraph"/>
              <w:spacing w:line="234" w:lineRule="exact" w:before="45"/>
              <w:ind w:right="541"/>
              <w:jc w:val="right"/>
              <w:rPr>
                <w:sz w:val="22"/>
              </w:rPr>
            </w:pPr>
            <w:r>
              <w:rPr>
                <w:sz w:val="22"/>
              </w:rPr>
              <w:t>1.091</w:t>
            </w:r>
          </w:p>
        </w:tc>
        <w:tc>
          <w:tcPr>
            <w:tcW w:w="1160" w:type="dxa"/>
          </w:tcPr>
          <w:p>
            <w:pPr>
              <w:pStyle w:val="TableParagraph"/>
              <w:spacing w:line="234" w:lineRule="exact" w:before="45"/>
              <w:ind w:left="177" w:right="165"/>
              <w:jc w:val="center"/>
              <w:rPr>
                <w:sz w:val="22"/>
              </w:rPr>
            </w:pPr>
            <w:r>
              <w:rPr>
                <w:sz w:val="22"/>
              </w:rPr>
              <w:t>-7.54%</w:t>
            </w:r>
          </w:p>
        </w:tc>
      </w:tr>
      <w:tr>
        <w:trPr>
          <w:trHeight w:val="299" w:hRule="atLeast"/>
        </w:trPr>
        <w:tc>
          <w:tcPr>
            <w:tcW w:w="620" w:type="dxa"/>
          </w:tcPr>
          <w:p>
            <w:pPr>
              <w:pStyle w:val="TableParagraph"/>
              <w:spacing w:line="234" w:lineRule="exact" w:before="45"/>
              <w:ind w:left="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2</w:t>
            </w:r>
          </w:p>
        </w:tc>
        <w:tc>
          <w:tcPr>
            <w:tcW w:w="931" w:type="dxa"/>
          </w:tcPr>
          <w:p>
            <w:pPr>
              <w:pStyle w:val="TableParagraph"/>
              <w:spacing w:line="234" w:lineRule="exact" w:before="45"/>
              <w:ind w:left="355"/>
              <w:rPr>
                <w:sz w:val="22"/>
              </w:rPr>
            </w:pPr>
            <w:r>
              <w:rPr>
                <w:sz w:val="22"/>
              </w:rPr>
              <w:t>67</w:t>
            </w:r>
          </w:p>
        </w:tc>
        <w:tc>
          <w:tcPr>
            <w:tcW w:w="1548" w:type="dxa"/>
            <w:shd w:val="clear" w:color="auto" w:fill="DADADA"/>
          </w:tcPr>
          <w:p>
            <w:pPr>
              <w:pStyle w:val="TableParagraph"/>
              <w:spacing w:line="234" w:lineRule="exact" w:before="45"/>
              <w:ind w:left="559" w:right="549"/>
              <w:jc w:val="center"/>
              <w:rPr>
                <w:sz w:val="22"/>
              </w:rPr>
            </w:pPr>
            <w:r>
              <w:rPr>
                <w:sz w:val="22"/>
              </w:rPr>
              <w:t>2.04</w:t>
            </w:r>
          </w:p>
        </w:tc>
        <w:tc>
          <w:tcPr>
            <w:tcW w:w="1613" w:type="dxa"/>
          </w:tcPr>
          <w:p>
            <w:pPr>
              <w:pStyle w:val="TableParagraph"/>
              <w:spacing w:line="234" w:lineRule="exact" w:before="45"/>
              <w:ind w:left="558"/>
              <w:rPr>
                <w:sz w:val="22"/>
              </w:rPr>
            </w:pPr>
            <w:r>
              <w:rPr>
                <w:sz w:val="22"/>
              </w:rPr>
              <w:t>1.938</w:t>
            </w:r>
          </w:p>
        </w:tc>
        <w:tc>
          <w:tcPr>
            <w:tcW w:w="1159" w:type="dxa"/>
          </w:tcPr>
          <w:p>
            <w:pPr>
              <w:pStyle w:val="TableParagraph"/>
              <w:spacing w:line="234" w:lineRule="exact" w:before="45"/>
              <w:ind w:left="221" w:right="208"/>
              <w:jc w:val="center"/>
              <w:rPr>
                <w:sz w:val="22"/>
              </w:rPr>
            </w:pPr>
            <w:r>
              <w:rPr>
                <w:sz w:val="22"/>
              </w:rPr>
              <w:t>-5.00%</w:t>
            </w:r>
          </w:p>
        </w:tc>
        <w:tc>
          <w:tcPr>
            <w:tcW w:w="1603" w:type="dxa"/>
          </w:tcPr>
          <w:p>
            <w:pPr>
              <w:pStyle w:val="TableParagraph"/>
              <w:spacing w:line="234" w:lineRule="exact" w:before="45"/>
              <w:ind w:right="541"/>
              <w:jc w:val="right"/>
              <w:rPr>
                <w:sz w:val="22"/>
              </w:rPr>
            </w:pPr>
            <w:r>
              <w:rPr>
                <w:sz w:val="22"/>
              </w:rPr>
              <w:t>1.773</w:t>
            </w:r>
          </w:p>
        </w:tc>
        <w:tc>
          <w:tcPr>
            <w:tcW w:w="1160" w:type="dxa"/>
          </w:tcPr>
          <w:p>
            <w:pPr>
              <w:pStyle w:val="TableParagraph"/>
              <w:spacing w:line="234" w:lineRule="exact" w:before="45"/>
              <w:ind w:left="178" w:right="165"/>
              <w:jc w:val="center"/>
              <w:rPr>
                <w:sz w:val="22"/>
              </w:rPr>
            </w:pPr>
            <w:r>
              <w:rPr>
                <w:sz w:val="22"/>
              </w:rPr>
              <w:t>-13.09%</w:t>
            </w:r>
          </w:p>
        </w:tc>
      </w:tr>
      <w:tr>
        <w:trPr>
          <w:trHeight w:val="300" w:hRule="atLeast"/>
        </w:trPr>
        <w:tc>
          <w:tcPr>
            <w:tcW w:w="620" w:type="dxa"/>
          </w:tcPr>
          <w:p>
            <w:pPr>
              <w:pStyle w:val="TableParagraph"/>
              <w:spacing w:line="233" w:lineRule="exact" w:before="47"/>
              <w:ind w:left="8"/>
              <w:jc w:val="center"/>
              <w:rPr>
                <w:i/>
                <w:sz w:val="22"/>
              </w:rPr>
            </w:pPr>
            <w:r>
              <w:rPr>
                <w:i/>
                <w:w w:val="99"/>
                <w:sz w:val="22"/>
              </w:rPr>
              <w:t>3</w:t>
            </w:r>
          </w:p>
        </w:tc>
        <w:tc>
          <w:tcPr>
            <w:tcW w:w="931" w:type="dxa"/>
          </w:tcPr>
          <w:p>
            <w:pPr>
              <w:pStyle w:val="TableParagraph"/>
              <w:spacing w:line="233" w:lineRule="exact" w:before="47"/>
              <w:ind w:left="300"/>
              <w:rPr>
                <w:i/>
                <w:sz w:val="22"/>
              </w:rPr>
            </w:pPr>
            <w:r>
              <w:rPr>
                <w:i/>
                <w:sz w:val="22"/>
              </w:rPr>
              <w:t>199</w:t>
            </w:r>
          </w:p>
        </w:tc>
        <w:tc>
          <w:tcPr>
            <w:tcW w:w="1548" w:type="dxa"/>
            <w:shd w:val="clear" w:color="auto" w:fill="DADADA"/>
          </w:tcPr>
          <w:p>
            <w:pPr>
              <w:pStyle w:val="TableParagraph"/>
              <w:spacing w:line="233" w:lineRule="exact" w:before="47"/>
              <w:ind w:left="559" w:right="549"/>
              <w:jc w:val="center"/>
              <w:rPr>
                <w:i/>
                <w:sz w:val="22"/>
              </w:rPr>
            </w:pPr>
            <w:r>
              <w:rPr>
                <w:i/>
                <w:sz w:val="22"/>
              </w:rPr>
              <w:t>4.28</w:t>
            </w:r>
          </w:p>
        </w:tc>
        <w:tc>
          <w:tcPr>
            <w:tcW w:w="1613" w:type="dxa"/>
          </w:tcPr>
          <w:p>
            <w:pPr>
              <w:pStyle w:val="TableParagraph"/>
              <w:spacing w:line="233" w:lineRule="exact" w:before="47"/>
              <w:ind w:left="558"/>
              <w:rPr>
                <w:i/>
                <w:sz w:val="22"/>
              </w:rPr>
            </w:pPr>
            <w:r>
              <w:rPr>
                <w:i/>
                <w:sz w:val="22"/>
              </w:rPr>
              <w:t>5.478</w:t>
            </w:r>
          </w:p>
        </w:tc>
        <w:tc>
          <w:tcPr>
            <w:tcW w:w="1159" w:type="dxa"/>
          </w:tcPr>
          <w:p>
            <w:pPr>
              <w:pStyle w:val="TableParagraph"/>
              <w:spacing w:line="233" w:lineRule="exact" w:before="47"/>
              <w:ind w:left="221" w:right="208"/>
              <w:jc w:val="center"/>
              <w:rPr>
                <w:i/>
                <w:sz w:val="22"/>
              </w:rPr>
            </w:pPr>
            <w:r>
              <w:rPr>
                <w:i/>
                <w:color w:val="FF0000"/>
                <w:sz w:val="22"/>
              </w:rPr>
              <w:t>27.99%</w:t>
            </w:r>
          </w:p>
        </w:tc>
        <w:tc>
          <w:tcPr>
            <w:tcW w:w="1603" w:type="dxa"/>
          </w:tcPr>
          <w:p>
            <w:pPr>
              <w:pStyle w:val="TableParagraph"/>
              <w:spacing w:line="233" w:lineRule="exact" w:before="47"/>
              <w:ind w:right="541"/>
              <w:jc w:val="right"/>
              <w:rPr>
                <w:i/>
                <w:sz w:val="22"/>
              </w:rPr>
            </w:pPr>
            <w:r>
              <w:rPr>
                <w:i/>
                <w:sz w:val="22"/>
              </w:rPr>
              <w:t>4.095</w:t>
            </w:r>
          </w:p>
        </w:tc>
        <w:tc>
          <w:tcPr>
            <w:tcW w:w="1160" w:type="dxa"/>
          </w:tcPr>
          <w:p>
            <w:pPr>
              <w:pStyle w:val="TableParagraph"/>
              <w:spacing w:line="233" w:lineRule="exact" w:before="47"/>
              <w:ind w:left="178" w:right="165"/>
              <w:jc w:val="center"/>
              <w:rPr>
                <w:i/>
                <w:sz w:val="22"/>
              </w:rPr>
            </w:pPr>
            <w:r>
              <w:rPr>
                <w:i/>
                <w:sz w:val="22"/>
              </w:rPr>
              <w:t>-4.32%</w:t>
            </w:r>
          </w:p>
        </w:tc>
      </w:tr>
      <w:tr>
        <w:trPr>
          <w:trHeight w:val="299" w:hRule="atLeast"/>
        </w:trPr>
        <w:tc>
          <w:tcPr>
            <w:tcW w:w="620" w:type="dxa"/>
            <w:tcBorders>
              <w:bottom w:val="nil"/>
            </w:tcBorders>
            <w:shd w:val="clear" w:color="auto" w:fill="C0C0C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31" w:type="dxa"/>
            <w:shd w:val="clear" w:color="auto" w:fill="C0C0C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083" w:type="dxa"/>
            <w:gridSpan w:val="5"/>
            <w:shd w:val="clear" w:color="auto" w:fill="C0C0C0"/>
          </w:tcPr>
          <w:p>
            <w:pPr>
              <w:pStyle w:val="TableParagraph"/>
              <w:spacing w:line="234" w:lineRule="exact" w:before="45"/>
              <w:ind w:left="1280" w:right="1272"/>
              <w:jc w:val="center"/>
              <w:rPr>
                <w:sz w:val="22"/>
              </w:rPr>
            </w:pPr>
            <w:r>
              <w:rPr>
                <w:sz w:val="22"/>
              </w:rPr>
              <w:t>CLT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grade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V-4,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front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face,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Ground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level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(h=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10-ft)</w:t>
            </w:r>
          </w:p>
        </w:tc>
      </w:tr>
      <w:tr>
        <w:trPr>
          <w:trHeight w:val="299" w:hRule="atLeast"/>
        </w:trPr>
        <w:tc>
          <w:tcPr>
            <w:tcW w:w="620" w:type="dxa"/>
            <w:tcBorders>
              <w:top w:val="nil"/>
            </w:tcBorders>
          </w:tcPr>
          <w:p>
            <w:pPr>
              <w:pStyle w:val="TableParagraph"/>
              <w:spacing w:line="234" w:lineRule="exact" w:before="45"/>
              <w:ind w:left="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1</w:t>
            </w:r>
          </w:p>
        </w:tc>
        <w:tc>
          <w:tcPr>
            <w:tcW w:w="931" w:type="dxa"/>
          </w:tcPr>
          <w:p>
            <w:pPr>
              <w:pStyle w:val="TableParagraph"/>
              <w:spacing w:line="234" w:lineRule="exact" w:before="45"/>
              <w:ind w:left="355"/>
              <w:rPr>
                <w:sz w:val="22"/>
              </w:rPr>
            </w:pPr>
            <w:r>
              <w:rPr>
                <w:sz w:val="22"/>
              </w:rPr>
              <w:t>32</w:t>
            </w:r>
          </w:p>
        </w:tc>
        <w:tc>
          <w:tcPr>
            <w:tcW w:w="1548" w:type="dxa"/>
            <w:shd w:val="clear" w:color="auto" w:fill="DADADA"/>
          </w:tcPr>
          <w:p>
            <w:pPr>
              <w:pStyle w:val="TableParagraph"/>
              <w:spacing w:line="234" w:lineRule="exact" w:before="45"/>
              <w:ind w:left="559" w:right="549"/>
              <w:jc w:val="center"/>
              <w:rPr>
                <w:sz w:val="22"/>
              </w:rPr>
            </w:pPr>
            <w:r>
              <w:rPr>
                <w:sz w:val="22"/>
              </w:rPr>
              <w:t>1.07</w:t>
            </w:r>
          </w:p>
        </w:tc>
        <w:tc>
          <w:tcPr>
            <w:tcW w:w="1613" w:type="dxa"/>
          </w:tcPr>
          <w:p>
            <w:pPr>
              <w:pStyle w:val="TableParagraph"/>
              <w:spacing w:line="234" w:lineRule="exact" w:before="45"/>
              <w:ind w:left="558"/>
              <w:rPr>
                <w:sz w:val="22"/>
              </w:rPr>
            </w:pPr>
            <w:r>
              <w:rPr>
                <w:sz w:val="22"/>
              </w:rPr>
              <w:t>1.044</w:t>
            </w:r>
          </w:p>
        </w:tc>
        <w:tc>
          <w:tcPr>
            <w:tcW w:w="1159" w:type="dxa"/>
          </w:tcPr>
          <w:p>
            <w:pPr>
              <w:pStyle w:val="TableParagraph"/>
              <w:spacing w:line="234" w:lineRule="exact" w:before="45"/>
              <w:ind w:left="221" w:right="208"/>
              <w:jc w:val="center"/>
              <w:rPr>
                <w:sz w:val="22"/>
              </w:rPr>
            </w:pPr>
            <w:r>
              <w:rPr>
                <w:sz w:val="22"/>
              </w:rPr>
              <w:t>-2.43%</w:t>
            </w:r>
          </w:p>
        </w:tc>
        <w:tc>
          <w:tcPr>
            <w:tcW w:w="1603" w:type="dxa"/>
          </w:tcPr>
          <w:p>
            <w:pPr>
              <w:pStyle w:val="TableParagraph"/>
              <w:spacing w:line="234" w:lineRule="exact" w:before="45"/>
              <w:ind w:right="541"/>
              <w:jc w:val="right"/>
              <w:rPr>
                <w:sz w:val="22"/>
              </w:rPr>
            </w:pPr>
            <w:r>
              <w:rPr>
                <w:sz w:val="22"/>
              </w:rPr>
              <w:t>0.951</w:t>
            </w:r>
          </w:p>
        </w:tc>
        <w:tc>
          <w:tcPr>
            <w:tcW w:w="1160" w:type="dxa"/>
          </w:tcPr>
          <w:p>
            <w:pPr>
              <w:pStyle w:val="TableParagraph"/>
              <w:spacing w:line="234" w:lineRule="exact" w:before="45"/>
              <w:ind w:left="178" w:right="165"/>
              <w:jc w:val="center"/>
              <w:rPr>
                <w:sz w:val="22"/>
              </w:rPr>
            </w:pPr>
            <w:r>
              <w:rPr>
                <w:sz w:val="22"/>
              </w:rPr>
              <w:t>-11.12%</w:t>
            </w:r>
          </w:p>
        </w:tc>
      </w:tr>
      <w:tr>
        <w:trPr>
          <w:trHeight w:val="300" w:hRule="atLeast"/>
        </w:trPr>
        <w:tc>
          <w:tcPr>
            <w:tcW w:w="620" w:type="dxa"/>
          </w:tcPr>
          <w:p>
            <w:pPr>
              <w:pStyle w:val="TableParagraph"/>
              <w:spacing w:line="234" w:lineRule="exact" w:before="46"/>
              <w:ind w:left="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2</w:t>
            </w:r>
          </w:p>
        </w:tc>
        <w:tc>
          <w:tcPr>
            <w:tcW w:w="931" w:type="dxa"/>
          </w:tcPr>
          <w:p>
            <w:pPr>
              <w:pStyle w:val="TableParagraph"/>
              <w:spacing w:line="234" w:lineRule="exact" w:before="46"/>
              <w:ind w:left="355"/>
              <w:rPr>
                <w:sz w:val="22"/>
              </w:rPr>
            </w:pPr>
            <w:r>
              <w:rPr>
                <w:sz w:val="22"/>
              </w:rPr>
              <w:t>67</w:t>
            </w:r>
          </w:p>
        </w:tc>
        <w:tc>
          <w:tcPr>
            <w:tcW w:w="1548" w:type="dxa"/>
            <w:shd w:val="clear" w:color="auto" w:fill="DADADA"/>
          </w:tcPr>
          <w:p>
            <w:pPr>
              <w:pStyle w:val="TableParagraph"/>
              <w:spacing w:line="234" w:lineRule="exact" w:before="46"/>
              <w:ind w:left="559" w:right="549"/>
              <w:jc w:val="center"/>
              <w:rPr>
                <w:sz w:val="22"/>
              </w:rPr>
            </w:pPr>
            <w:r>
              <w:rPr>
                <w:sz w:val="22"/>
              </w:rPr>
              <w:t>1.83</w:t>
            </w:r>
          </w:p>
        </w:tc>
        <w:tc>
          <w:tcPr>
            <w:tcW w:w="1613" w:type="dxa"/>
          </w:tcPr>
          <w:p>
            <w:pPr>
              <w:pStyle w:val="TableParagraph"/>
              <w:spacing w:line="234" w:lineRule="exact" w:before="46"/>
              <w:ind w:left="558"/>
              <w:rPr>
                <w:sz w:val="22"/>
              </w:rPr>
            </w:pPr>
            <w:r>
              <w:rPr>
                <w:sz w:val="22"/>
              </w:rPr>
              <w:t>1.676</w:t>
            </w:r>
          </w:p>
        </w:tc>
        <w:tc>
          <w:tcPr>
            <w:tcW w:w="1159" w:type="dxa"/>
          </w:tcPr>
          <w:p>
            <w:pPr>
              <w:pStyle w:val="TableParagraph"/>
              <w:spacing w:line="234" w:lineRule="exact" w:before="46"/>
              <w:ind w:left="221" w:right="208"/>
              <w:jc w:val="center"/>
              <w:rPr>
                <w:sz w:val="22"/>
              </w:rPr>
            </w:pPr>
            <w:r>
              <w:rPr>
                <w:sz w:val="22"/>
              </w:rPr>
              <w:t>-8.42%</w:t>
            </w:r>
          </w:p>
        </w:tc>
        <w:tc>
          <w:tcPr>
            <w:tcW w:w="1603" w:type="dxa"/>
          </w:tcPr>
          <w:p>
            <w:pPr>
              <w:pStyle w:val="TableParagraph"/>
              <w:spacing w:line="234" w:lineRule="exact" w:before="46"/>
              <w:ind w:right="541"/>
              <w:jc w:val="right"/>
              <w:rPr>
                <w:sz w:val="22"/>
              </w:rPr>
            </w:pPr>
            <w:r>
              <w:rPr>
                <w:sz w:val="22"/>
              </w:rPr>
              <w:t>1.551</w:t>
            </w:r>
          </w:p>
        </w:tc>
        <w:tc>
          <w:tcPr>
            <w:tcW w:w="1160" w:type="dxa"/>
          </w:tcPr>
          <w:p>
            <w:pPr>
              <w:pStyle w:val="TableParagraph"/>
              <w:spacing w:line="234" w:lineRule="exact" w:before="46"/>
              <w:ind w:left="178" w:right="165"/>
              <w:jc w:val="center"/>
              <w:rPr>
                <w:sz w:val="22"/>
              </w:rPr>
            </w:pPr>
            <w:r>
              <w:rPr>
                <w:sz w:val="22"/>
              </w:rPr>
              <w:t>-15.25%</w:t>
            </w:r>
          </w:p>
        </w:tc>
      </w:tr>
      <w:tr>
        <w:trPr>
          <w:trHeight w:val="299" w:hRule="atLeast"/>
        </w:trPr>
        <w:tc>
          <w:tcPr>
            <w:tcW w:w="620" w:type="dxa"/>
          </w:tcPr>
          <w:p>
            <w:pPr>
              <w:pStyle w:val="TableParagraph"/>
              <w:spacing w:line="233" w:lineRule="exact" w:before="46"/>
              <w:ind w:left="8"/>
              <w:jc w:val="center"/>
              <w:rPr>
                <w:i/>
                <w:sz w:val="22"/>
              </w:rPr>
            </w:pPr>
            <w:r>
              <w:rPr>
                <w:i/>
                <w:w w:val="99"/>
                <w:sz w:val="22"/>
              </w:rPr>
              <w:t>3</w:t>
            </w:r>
          </w:p>
        </w:tc>
        <w:tc>
          <w:tcPr>
            <w:tcW w:w="931" w:type="dxa"/>
          </w:tcPr>
          <w:p>
            <w:pPr>
              <w:pStyle w:val="TableParagraph"/>
              <w:spacing w:line="233" w:lineRule="exact" w:before="46"/>
              <w:ind w:left="300"/>
              <w:rPr>
                <w:i/>
                <w:sz w:val="22"/>
              </w:rPr>
            </w:pPr>
            <w:r>
              <w:rPr>
                <w:i/>
                <w:sz w:val="22"/>
              </w:rPr>
              <w:t>199</w:t>
            </w:r>
          </w:p>
        </w:tc>
        <w:tc>
          <w:tcPr>
            <w:tcW w:w="1548" w:type="dxa"/>
            <w:shd w:val="clear" w:color="auto" w:fill="DADADA"/>
          </w:tcPr>
          <w:p>
            <w:pPr>
              <w:pStyle w:val="TableParagraph"/>
              <w:spacing w:line="233" w:lineRule="exact" w:before="46"/>
              <w:ind w:left="559" w:right="549"/>
              <w:jc w:val="center"/>
              <w:rPr>
                <w:i/>
                <w:sz w:val="22"/>
              </w:rPr>
            </w:pPr>
            <w:r>
              <w:rPr>
                <w:i/>
                <w:sz w:val="22"/>
              </w:rPr>
              <w:t>4.57</w:t>
            </w:r>
          </w:p>
        </w:tc>
        <w:tc>
          <w:tcPr>
            <w:tcW w:w="1613" w:type="dxa"/>
          </w:tcPr>
          <w:p>
            <w:pPr>
              <w:pStyle w:val="TableParagraph"/>
              <w:spacing w:line="233" w:lineRule="exact" w:before="46"/>
              <w:ind w:left="613"/>
              <w:rPr>
                <w:i/>
                <w:sz w:val="22"/>
              </w:rPr>
            </w:pPr>
            <w:r>
              <w:rPr>
                <w:i/>
                <w:sz w:val="22"/>
              </w:rPr>
              <w:t>4.35</w:t>
            </w:r>
          </w:p>
        </w:tc>
        <w:tc>
          <w:tcPr>
            <w:tcW w:w="1159" w:type="dxa"/>
          </w:tcPr>
          <w:p>
            <w:pPr>
              <w:pStyle w:val="TableParagraph"/>
              <w:spacing w:line="233" w:lineRule="exact" w:before="46"/>
              <w:ind w:left="221" w:right="208"/>
              <w:jc w:val="center"/>
              <w:rPr>
                <w:i/>
                <w:sz w:val="22"/>
              </w:rPr>
            </w:pPr>
            <w:r>
              <w:rPr>
                <w:i/>
                <w:sz w:val="22"/>
              </w:rPr>
              <w:t>-4.81%</w:t>
            </w:r>
          </w:p>
        </w:tc>
        <w:tc>
          <w:tcPr>
            <w:tcW w:w="1603" w:type="dxa"/>
          </w:tcPr>
          <w:p>
            <w:pPr>
              <w:pStyle w:val="TableParagraph"/>
              <w:spacing w:line="233" w:lineRule="exact" w:before="46"/>
              <w:ind w:right="541"/>
              <w:jc w:val="right"/>
              <w:rPr>
                <w:i/>
                <w:sz w:val="22"/>
              </w:rPr>
            </w:pPr>
            <w:r>
              <w:rPr>
                <w:i/>
                <w:sz w:val="22"/>
              </w:rPr>
              <w:t>3.403</w:t>
            </w:r>
          </w:p>
        </w:tc>
        <w:tc>
          <w:tcPr>
            <w:tcW w:w="1160" w:type="dxa"/>
          </w:tcPr>
          <w:p>
            <w:pPr>
              <w:pStyle w:val="TableParagraph"/>
              <w:spacing w:line="233" w:lineRule="exact" w:before="46"/>
              <w:ind w:left="178" w:right="165"/>
              <w:jc w:val="center"/>
              <w:rPr>
                <w:i/>
                <w:sz w:val="22"/>
              </w:rPr>
            </w:pPr>
            <w:r>
              <w:rPr>
                <w:i/>
                <w:color w:val="FF0000"/>
                <w:sz w:val="22"/>
              </w:rPr>
              <w:t>-25.54%</w:t>
            </w:r>
          </w:p>
        </w:tc>
      </w:tr>
    </w:tbl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9"/>
        <w:rPr>
          <w:i/>
          <w:sz w:val="38"/>
        </w:rPr>
      </w:pPr>
    </w:p>
    <w:p>
      <w:pPr>
        <w:pStyle w:val="BodyText"/>
        <w:spacing w:line="480" w:lineRule="auto"/>
        <w:ind w:left="440" w:right="417" w:firstLine="720"/>
        <w:jc w:val="both"/>
      </w:pPr>
      <w:r>
        <w:rPr/>
        <w:t>With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third</w:t>
      </w:r>
      <w:r>
        <w:rPr>
          <w:spacing w:val="-6"/>
        </w:rPr>
        <w:t> </w:t>
      </w:r>
      <w:r>
        <w:rPr/>
        <w:t>shot,</w:t>
      </w:r>
      <w:r>
        <w:rPr>
          <w:spacing w:val="-6"/>
        </w:rPr>
        <w:t> </w:t>
      </w:r>
      <w:r>
        <w:rPr/>
        <w:t>highlighted</w:t>
      </w:r>
      <w:r>
        <w:rPr>
          <w:spacing w:val="-6"/>
        </w:rPr>
        <w:t> </w:t>
      </w:r>
      <w:r>
        <w:rPr/>
        <w:t>in</w:t>
      </w:r>
      <w:r>
        <w:rPr>
          <w:spacing w:val="-7"/>
        </w:rPr>
        <w:t> </w:t>
      </w:r>
      <w:r>
        <w:rPr/>
        <w:t>italics</w:t>
      </w:r>
      <w:r>
        <w:rPr>
          <w:spacing w:val="-6"/>
        </w:rPr>
        <w:t> </w:t>
      </w:r>
      <w:r>
        <w:rPr/>
        <w:t>on</w:t>
      </w:r>
      <w:r>
        <w:rPr>
          <w:spacing w:val="-6"/>
        </w:rPr>
        <w:t> </w:t>
      </w:r>
      <w:hyperlink w:history="true" w:anchor="_bookmark197">
        <w:r>
          <w:rPr/>
          <w:t>Table</w:t>
        </w:r>
        <w:r>
          <w:rPr>
            <w:spacing w:val="-7"/>
          </w:rPr>
          <w:t> </w:t>
        </w:r>
        <w:r>
          <w:rPr/>
          <w:t>8-4</w:t>
        </w:r>
      </w:hyperlink>
      <w:r>
        <w:rPr/>
        <w:t>,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model</w:t>
      </w:r>
      <w:r>
        <w:rPr>
          <w:spacing w:val="-6"/>
        </w:rPr>
        <w:t> </w:t>
      </w:r>
      <w:r>
        <w:rPr/>
        <w:t>predicted</w:t>
      </w:r>
      <w:r>
        <w:rPr>
          <w:spacing w:val="-6"/>
        </w:rPr>
        <w:t> </w:t>
      </w:r>
      <w:r>
        <w:rPr/>
        <w:t>that</w:t>
      </w:r>
      <w:r>
        <w:rPr>
          <w:spacing w:val="-6"/>
        </w:rPr>
        <w:t> </w:t>
      </w:r>
      <w:r>
        <w:rPr/>
        <w:t>the</w:t>
      </w:r>
      <w:r>
        <w:rPr>
          <w:spacing w:val="-58"/>
        </w:rPr>
        <w:t> </w:t>
      </w:r>
      <w:r>
        <w:rPr/>
        <w:t>panel</w:t>
      </w:r>
      <w:r>
        <w:rPr>
          <w:spacing w:val="1"/>
        </w:rPr>
        <w:t> </w:t>
      </w:r>
      <w:r>
        <w:rPr/>
        <w:t>ruptured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two</w:t>
      </w:r>
      <w:r>
        <w:rPr>
          <w:spacing w:val="1"/>
        </w:rPr>
        <w:t> </w:t>
      </w:r>
      <w:r>
        <w:rPr/>
        <w:t>visually</w:t>
      </w:r>
      <w:r>
        <w:rPr>
          <w:spacing w:val="1"/>
        </w:rPr>
        <w:t> </w:t>
      </w:r>
      <w:r>
        <w:rPr/>
        <w:t>graded</w:t>
      </w:r>
      <w:r>
        <w:rPr>
          <w:spacing w:val="1"/>
        </w:rPr>
        <w:t> </w:t>
      </w:r>
      <w:r>
        <w:rPr/>
        <w:t>CLT</w:t>
      </w:r>
      <w:r>
        <w:rPr>
          <w:spacing w:val="1"/>
        </w:rPr>
        <w:t> </w:t>
      </w:r>
      <w:r>
        <w:rPr/>
        <w:t>panels</w:t>
      </w:r>
      <w:r>
        <w:rPr>
          <w:spacing w:val="1"/>
        </w:rPr>
        <w:t> </w:t>
      </w:r>
      <w:r>
        <w:rPr/>
        <w:t>based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computed</w:t>
      </w:r>
      <w:r>
        <w:rPr>
          <w:spacing w:val="1"/>
        </w:rPr>
        <w:t> </w:t>
      </w:r>
      <w:r>
        <w:rPr/>
        <w:t>displacements.</w:t>
      </w:r>
      <w:r>
        <w:rPr>
          <w:spacing w:val="1"/>
        </w:rPr>
        <w:t> </w:t>
      </w:r>
      <w:r>
        <w:rPr/>
        <w:t>The calculated displacement values are therefore inaccurately predicted</w:t>
      </w:r>
      <w:r>
        <w:rPr>
          <w:spacing w:val="1"/>
        </w:rPr>
        <w:t> </w:t>
      </w:r>
      <w:r>
        <w:rPr/>
        <w:t>because the model has not been validated for response after rupture of an outer ply.</w:t>
      </w:r>
      <w:r>
        <w:rPr>
          <w:spacing w:val="60"/>
        </w:rPr>
        <w:t> </w:t>
      </w:r>
      <w:r>
        <w:rPr/>
        <w:t>This</w:t>
      </w:r>
      <w:r>
        <w:rPr>
          <w:spacing w:val="1"/>
        </w:rPr>
        <w:t> </w:t>
      </w:r>
      <w:r>
        <w:rPr/>
        <w:t>is</w:t>
      </w:r>
      <w:r>
        <w:rPr>
          <w:spacing w:val="-8"/>
        </w:rPr>
        <w:t> </w:t>
      </w:r>
      <w:r>
        <w:rPr/>
        <w:t>illustrated</w:t>
      </w:r>
      <w:r>
        <w:rPr>
          <w:spacing w:val="-9"/>
        </w:rPr>
        <w:t> </w:t>
      </w:r>
      <w:r>
        <w:rPr/>
        <w:t>with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two</w:t>
      </w:r>
      <w:r>
        <w:rPr>
          <w:spacing w:val="-7"/>
        </w:rPr>
        <w:t> </w:t>
      </w:r>
      <w:r>
        <w:rPr/>
        <w:t>percentage</w:t>
      </w:r>
      <w:r>
        <w:rPr>
          <w:spacing w:val="-8"/>
        </w:rPr>
        <w:t> </w:t>
      </w:r>
      <w:r>
        <w:rPr/>
        <w:t>differences</w:t>
      </w:r>
      <w:r>
        <w:rPr>
          <w:spacing w:val="-7"/>
        </w:rPr>
        <w:t> </w:t>
      </w:r>
      <w:r>
        <w:rPr/>
        <w:t>in</w:t>
      </w:r>
      <w:r>
        <w:rPr>
          <w:spacing w:val="-7"/>
        </w:rPr>
        <w:t> </w:t>
      </w:r>
      <w:r>
        <w:rPr/>
        <w:t>excess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25</w:t>
      </w:r>
      <w:r>
        <w:rPr>
          <w:spacing w:val="-7"/>
        </w:rPr>
        <w:t> </w:t>
      </w:r>
      <w:r>
        <w:rPr/>
        <w:t>percent.</w:t>
      </w:r>
      <w:r>
        <w:rPr>
          <w:spacing w:val="44"/>
        </w:rPr>
        <w:t> </w:t>
      </w:r>
      <w:r>
        <w:rPr/>
        <w:t>More</w:t>
      </w:r>
      <w:r>
        <w:rPr>
          <w:spacing w:val="-7"/>
        </w:rPr>
        <w:t> </w:t>
      </w:r>
      <w:r>
        <w:rPr/>
        <w:t>testing</w:t>
      </w:r>
      <w:r>
        <w:rPr>
          <w:spacing w:val="-9"/>
        </w:rPr>
        <w:t> </w:t>
      </w:r>
      <w:r>
        <w:rPr/>
        <w:t>and</w:t>
      </w:r>
      <w:r>
        <w:rPr>
          <w:spacing w:val="-58"/>
        </w:rPr>
        <w:t> </w:t>
      </w:r>
      <w:r>
        <w:rPr/>
        <w:t>data is needed for response of the panels in the plastic regime to develop a model for that</w:t>
      </w:r>
      <w:r>
        <w:rPr>
          <w:spacing w:val="1"/>
        </w:rPr>
        <w:t> </w:t>
      </w:r>
      <w:r>
        <w:rPr/>
        <w:t>regime.</w:t>
      </w:r>
      <w:r>
        <w:rPr>
          <w:spacing w:val="1"/>
        </w:rPr>
        <w:t> </w:t>
      </w:r>
      <w:r>
        <w:rPr/>
        <w:t>This is necessary to more accurately predict the panel response upon rupture of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outer ply.</w:t>
      </w:r>
    </w:p>
    <w:p>
      <w:pPr>
        <w:pStyle w:val="BodyText"/>
        <w:spacing w:line="480" w:lineRule="auto" w:before="159"/>
        <w:ind w:left="440" w:right="419" w:firstLine="720"/>
        <w:jc w:val="both"/>
      </w:pPr>
      <w:r>
        <w:rPr/>
        <w:t>The CLT tool predictions for the V4 panel were consistently under-predicted for</w:t>
      </w:r>
      <w:r>
        <w:rPr>
          <w:spacing w:val="1"/>
        </w:rPr>
        <w:t> </w:t>
      </w:r>
      <w:r>
        <w:rPr/>
        <w:t>both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UFC</w:t>
      </w:r>
      <w:r>
        <w:rPr>
          <w:spacing w:val="-9"/>
        </w:rPr>
        <w:t> </w:t>
      </w:r>
      <w:r>
        <w:rPr/>
        <w:t>load</w:t>
      </w:r>
      <w:r>
        <w:rPr>
          <w:spacing w:val="-7"/>
        </w:rPr>
        <w:t> </w:t>
      </w:r>
      <w:r>
        <w:rPr/>
        <w:t>calculations</w:t>
      </w:r>
      <w:r>
        <w:rPr>
          <w:spacing w:val="-7"/>
        </w:rPr>
        <w:t> </w:t>
      </w:r>
      <w:r>
        <w:rPr/>
        <w:t>and</w:t>
      </w:r>
      <w:r>
        <w:rPr>
          <w:spacing w:val="-10"/>
        </w:rPr>
        <w:t> </w:t>
      </w:r>
      <w:r>
        <w:rPr/>
        <w:t>the</w:t>
      </w:r>
      <w:r>
        <w:rPr>
          <w:spacing w:val="-7"/>
        </w:rPr>
        <w:t> </w:t>
      </w:r>
      <w:r>
        <w:rPr/>
        <w:t>field</w:t>
      </w:r>
      <w:r>
        <w:rPr>
          <w:spacing w:val="-9"/>
        </w:rPr>
        <w:t> </w:t>
      </w:r>
      <w:r>
        <w:rPr/>
        <w:t>data</w:t>
      </w:r>
      <w:r>
        <w:rPr>
          <w:spacing w:val="-11"/>
        </w:rPr>
        <w:t> </w:t>
      </w:r>
      <w:r>
        <w:rPr/>
        <w:t>based</w:t>
      </w:r>
      <w:r>
        <w:rPr>
          <w:spacing w:val="-7"/>
        </w:rPr>
        <w:t> </w:t>
      </w:r>
      <w:r>
        <w:rPr/>
        <w:t>load</w:t>
      </w:r>
      <w:r>
        <w:rPr>
          <w:spacing w:val="-8"/>
        </w:rPr>
        <w:t> </w:t>
      </w:r>
      <w:r>
        <w:rPr/>
        <w:t>calculations.</w:t>
      </w:r>
      <w:r>
        <w:rPr>
          <w:spacing w:val="44"/>
        </w:rPr>
        <w:t> </w:t>
      </w:r>
      <w:r>
        <w:rPr/>
        <w:t>Whereas,</w:t>
      </w:r>
      <w:r>
        <w:rPr>
          <w:spacing w:val="-8"/>
        </w:rPr>
        <w:t> </w:t>
      </w:r>
      <w:r>
        <w:rPr/>
        <w:t>all</w:t>
      </w:r>
      <w:r>
        <w:rPr>
          <w:spacing w:val="-8"/>
        </w:rPr>
        <w:t> </w:t>
      </w:r>
      <w:r>
        <w:rPr/>
        <w:t>but</w:t>
      </w:r>
      <w:r>
        <w:rPr>
          <w:spacing w:val="-58"/>
        </w:rPr>
        <w:t> </w:t>
      </w:r>
      <w:r>
        <w:rPr/>
        <w:t>one</w:t>
      </w:r>
      <w:r>
        <w:rPr>
          <w:spacing w:val="2"/>
        </w:rPr>
        <w:t> </w:t>
      </w:r>
      <w:r>
        <w:rPr/>
        <w:t>other</w:t>
      </w:r>
      <w:r>
        <w:rPr>
          <w:spacing w:val="3"/>
        </w:rPr>
        <w:t> </w:t>
      </w:r>
      <w:r>
        <w:rPr/>
        <w:t>displacement</w:t>
      </w:r>
      <w:r>
        <w:rPr>
          <w:spacing w:val="3"/>
        </w:rPr>
        <w:t> </w:t>
      </w:r>
      <w:r>
        <w:rPr/>
        <w:t>value</w:t>
      </w:r>
      <w:r>
        <w:rPr>
          <w:spacing w:val="2"/>
        </w:rPr>
        <w:t> </w:t>
      </w:r>
      <w:r>
        <w:rPr/>
        <w:t>was</w:t>
      </w:r>
      <w:r>
        <w:rPr>
          <w:spacing w:val="2"/>
        </w:rPr>
        <w:t> </w:t>
      </w:r>
      <w:r>
        <w:rPr/>
        <w:t>over-predicted</w:t>
      </w:r>
      <w:r>
        <w:rPr>
          <w:spacing w:val="2"/>
        </w:rPr>
        <w:t> </w:t>
      </w:r>
      <w:r>
        <w:rPr/>
        <w:t>for</w:t>
      </w:r>
      <w:r>
        <w:rPr>
          <w:spacing w:val="3"/>
        </w:rPr>
        <w:t> </w:t>
      </w:r>
      <w:r>
        <w:rPr/>
        <w:t>both</w:t>
      </w:r>
      <w:r>
        <w:rPr>
          <w:spacing w:val="2"/>
        </w:rPr>
        <w:t> </w:t>
      </w:r>
      <w:r>
        <w:rPr/>
        <w:t>V1</w:t>
      </w:r>
      <w:r>
        <w:rPr>
          <w:spacing w:val="2"/>
        </w:rPr>
        <w:t> </w:t>
      </w:r>
      <w:r>
        <w:rPr/>
        <w:t>and</w:t>
      </w:r>
      <w:r>
        <w:rPr>
          <w:spacing w:val="2"/>
        </w:rPr>
        <w:t> </w:t>
      </w:r>
      <w:r>
        <w:rPr/>
        <w:t>E1</w:t>
      </w:r>
      <w:r>
        <w:rPr>
          <w:spacing w:val="2"/>
        </w:rPr>
        <w:t> </w:t>
      </w:r>
      <w:r>
        <w:rPr/>
        <w:t>CLT</w:t>
      </w:r>
      <w:r>
        <w:rPr>
          <w:spacing w:val="2"/>
        </w:rPr>
        <w:t> </w:t>
      </w:r>
      <w:r>
        <w:rPr/>
        <w:t>using</w:t>
      </w:r>
      <w:r>
        <w:rPr>
          <w:spacing w:val="3"/>
        </w:rPr>
        <w:t> </w:t>
      </w:r>
      <w:r>
        <w:rPr/>
        <w:t>the</w:t>
      </w:r>
      <w:r>
        <w:rPr>
          <w:spacing w:val="2"/>
        </w:rPr>
        <w:t> </w:t>
      </w:r>
      <w:r>
        <w:rPr/>
        <w:t>UFC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40" w:right="418"/>
        <w:jc w:val="both"/>
      </w:pPr>
      <w:r>
        <w:rPr/>
        <w:t>load calculations.</w:t>
      </w:r>
      <w:r>
        <w:rPr>
          <w:spacing w:val="1"/>
        </w:rPr>
        <w:t> </w:t>
      </w:r>
      <w:r>
        <w:rPr/>
        <w:t>Field data based calculations under-predicted the displacement for five</w:t>
      </w:r>
      <w:r>
        <w:rPr>
          <w:spacing w:val="-57"/>
        </w:rPr>
        <w:t> </w:t>
      </w:r>
      <w:r>
        <w:rPr/>
        <w:t>of</w:t>
      </w:r>
      <w:r>
        <w:rPr>
          <w:spacing w:val="-2"/>
        </w:rPr>
        <w:t> </w:t>
      </w:r>
      <w:r>
        <w:rPr/>
        <w:t>the six values for V1 and E1 CLT.</w:t>
      </w:r>
    </w:p>
    <w:p>
      <w:pPr>
        <w:pStyle w:val="BodyText"/>
        <w:spacing w:line="480" w:lineRule="auto" w:before="159"/>
        <w:ind w:left="439" w:right="417" w:firstLine="720"/>
        <w:jc w:val="both"/>
      </w:pPr>
      <w:r>
        <w:rPr/>
        <w:t>Based</w:t>
      </w:r>
      <w:r>
        <w:rPr>
          <w:spacing w:val="-7"/>
        </w:rPr>
        <w:t> </w:t>
      </w:r>
      <w:r>
        <w:rPr/>
        <w:t>on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CLT</w:t>
      </w:r>
      <w:r>
        <w:rPr>
          <w:spacing w:val="-7"/>
        </w:rPr>
        <w:t> </w:t>
      </w:r>
      <w:r>
        <w:rPr/>
        <w:t>blast</w:t>
      </w:r>
      <w:r>
        <w:rPr>
          <w:spacing w:val="-8"/>
        </w:rPr>
        <w:t> </w:t>
      </w:r>
      <w:r>
        <w:rPr/>
        <w:t>analysis</w:t>
      </w:r>
      <w:r>
        <w:rPr>
          <w:spacing w:val="-6"/>
        </w:rPr>
        <w:t> </w:t>
      </w:r>
      <w:r>
        <w:rPr/>
        <w:t>tool,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expected</w:t>
      </w:r>
      <w:r>
        <w:rPr>
          <w:spacing w:val="-6"/>
        </w:rPr>
        <w:t> </w:t>
      </w:r>
      <w:r>
        <w:rPr/>
        <w:t>damage</w:t>
      </w:r>
      <w:r>
        <w:rPr>
          <w:spacing w:val="-7"/>
        </w:rPr>
        <w:t> </w:t>
      </w:r>
      <w:r>
        <w:rPr/>
        <w:t>and</w:t>
      </w:r>
      <w:r>
        <w:rPr>
          <w:spacing w:val="-6"/>
        </w:rPr>
        <w:t> </w:t>
      </w:r>
      <w:r>
        <w:rPr/>
        <w:t>Level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Protection</w:t>
      </w:r>
      <w:r>
        <w:rPr>
          <w:spacing w:val="-58"/>
        </w:rPr>
        <w:t> </w:t>
      </w:r>
      <w:r>
        <w:rPr/>
        <w:t>for the specified panel are rated in accordance with the </w:t>
      </w:r>
      <w:r>
        <w:rPr>
          <w:i/>
        </w:rPr>
        <w:t>ASCE 59-11, Blast Protection of</w:t>
      </w:r>
      <w:r>
        <w:rPr>
          <w:i/>
          <w:spacing w:val="1"/>
        </w:rPr>
        <w:t> </w:t>
      </w:r>
      <w:r>
        <w:rPr>
          <w:i/>
        </w:rPr>
        <w:t>Buildings </w:t>
      </w:r>
      <w:r>
        <w:rPr/>
        <w:t>as depicted in </w:t>
      </w:r>
      <w:hyperlink w:history="true" w:anchor="_bookmark198">
        <w:r>
          <w:rPr/>
          <w:t>Table 8-5</w:t>
        </w:r>
      </w:hyperlink>
      <w:r>
        <w:rPr/>
        <w:t>.</w:t>
      </w:r>
      <w:r>
        <w:rPr>
          <w:spacing w:val="1"/>
        </w:rPr>
        <w:t> </w:t>
      </w:r>
      <w:r>
        <w:rPr/>
        <w:t>It should be noted that the actual observed damaged</w:t>
      </w:r>
      <w:r>
        <w:rPr>
          <w:spacing w:val="1"/>
        </w:rPr>
        <w:t> </w:t>
      </w:r>
      <w:r>
        <w:rPr/>
        <w:t>can</w:t>
      </w:r>
      <w:r>
        <w:rPr>
          <w:spacing w:val="-7"/>
        </w:rPr>
        <w:t> </w:t>
      </w:r>
      <w:r>
        <w:rPr/>
        <w:t>be</w:t>
      </w:r>
      <w:r>
        <w:rPr>
          <w:spacing w:val="-7"/>
        </w:rPr>
        <w:t> </w:t>
      </w:r>
      <w:r>
        <w:rPr/>
        <w:t>described</w:t>
      </w:r>
      <w:r>
        <w:rPr>
          <w:spacing w:val="-7"/>
        </w:rPr>
        <w:t> </w:t>
      </w:r>
      <w:r>
        <w:rPr/>
        <w:t>as</w:t>
      </w:r>
      <w:r>
        <w:rPr>
          <w:spacing w:val="-7"/>
        </w:rPr>
        <w:t> </w:t>
      </w:r>
      <w:r>
        <w:rPr/>
        <w:t>superficial</w:t>
      </w:r>
      <w:r>
        <w:rPr>
          <w:spacing w:val="-7"/>
        </w:rPr>
        <w:t> </w:t>
      </w:r>
      <w:r>
        <w:rPr/>
        <w:t>for</w:t>
      </w:r>
      <w:r>
        <w:rPr>
          <w:spacing w:val="-6"/>
        </w:rPr>
        <w:t> </w:t>
      </w:r>
      <w:r>
        <w:rPr/>
        <w:t>all</w:t>
      </w:r>
      <w:r>
        <w:rPr>
          <w:spacing w:val="-8"/>
        </w:rPr>
        <w:t> </w:t>
      </w:r>
      <w:r>
        <w:rPr/>
        <w:t>three</w:t>
      </w:r>
      <w:r>
        <w:rPr>
          <w:spacing w:val="-7"/>
        </w:rPr>
        <w:t> </w:t>
      </w:r>
      <w:r>
        <w:rPr/>
        <w:t>structures</w:t>
      </w:r>
      <w:r>
        <w:rPr>
          <w:spacing w:val="-7"/>
        </w:rPr>
        <w:t> </w:t>
      </w:r>
      <w:r>
        <w:rPr/>
        <w:t>for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first</w:t>
      </w:r>
      <w:r>
        <w:rPr>
          <w:spacing w:val="-8"/>
        </w:rPr>
        <w:t> </w:t>
      </w:r>
      <w:r>
        <w:rPr/>
        <w:t>two</w:t>
      </w:r>
      <w:r>
        <w:rPr>
          <w:spacing w:val="-7"/>
        </w:rPr>
        <w:t> </w:t>
      </w:r>
      <w:r>
        <w:rPr/>
        <w:t>blasts</w:t>
      </w:r>
      <w:r>
        <w:rPr>
          <w:spacing w:val="-7"/>
        </w:rPr>
        <w:t> </w:t>
      </w:r>
      <w:r>
        <w:rPr/>
        <w:t>with</w:t>
      </w:r>
      <w:r>
        <w:rPr>
          <w:spacing w:val="-7"/>
        </w:rPr>
        <w:t> </w:t>
      </w:r>
      <w:r>
        <w:rPr/>
        <w:t>32-lb</w:t>
      </w:r>
      <w:r>
        <w:rPr>
          <w:spacing w:val="-8"/>
        </w:rPr>
        <w:t> </w:t>
      </w:r>
      <w:r>
        <w:rPr/>
        <w:t>and</w:t>
      </w:r>
      <w:r>
        <w:rPr>
          <w:spacing w:val="-58"/>
        </w:rPr>
        <w:t> </w:t>
      </w:r>
      <w:r>
        <w:rPr/>
        <w:t>67-lb TNT weights.</w:t>
      </w:r>
      <w:r>
        <w:rPr>
          <w:spacing w:val="1"/>
        </w:rPr>
        <w:t> </w:t>
      </w:r>
      <w:r>
        <w:rPr/>
        <w:t>There was no visible evidence of damage aside from a few knots</w:t>
      </w:r>
      <w:r>
        <w:rPr>
          <w:spacing w:val="1"/>
        </w:rPr>
        <w:t> </w:t>
      </w:r>
      <w:r>
        <w:rPr/>
        <w:t>displaced</w:t>
      </w:r>
      <w:r>
        <w:rPr>
          <w:spacing w:val="-1"/>
        </w:rPr>
        <w:t> </w:t>
      </w:r>
      <w:r>
        <w:rPr/>
        <w:t>from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plies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there</w:t>
      </w:r>
      <w:r>
        <w:rPr>
          <w:spacing w:val="-1"/>
        </w:rPr>
        <w:t> </w:t>
      </w:r>
      <w:r>
        <w:rPr/>
        <w:t>was no</w:t>
      </w:r>
      <w:r>
        <w:rPr>
          <w:spacing w:val="-1"/>
        </w:rPr>
        <w:t> </w:t>
      </w:r>
      <w:r>
        <w:rPr/>
        <w:t>sign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permanent</w:t>
      </w:r>
      <w:r>
        <w:rPr>
          <w:spacing w:val="-1"/>
        </w:rPr>
        <w:t> </w:t>
      </w:r>
      <w:r>
        <w:rPr/>
        <w:t>deformation</w:t>
      </w:r>
      <w:r>
        <w:rPr>
          <w:spacing w:val="-3"/>
        </w:rPr>
        <w:t> </w:t>
      </w:r>
      <w:r>
        <w:rPr/>
        <w:t>or ply</w:t>
      </w:r>
      <w:r>
        <w:rPr>
          <w:spacing w:val="-1"/>
        </w:rPr>
        <w:t> </w:t>
      </w:r>
      <w:r>
        <w:rPr/>
        <w:t>rupture.</w:t>
      </w:r>
    </w:p>
    <w:p>
      <w:pPr>
        <w:pStyle w:val="BodyText"/>
        <w:spacing w:line="480" w:lineRule="auto" w:before="160"/>
        <w:ind w:left="439" w:right="416" w:firstLine="780"/>
        <w:jc w:val="both"/>
      </w:pPr>
      <w:r>
        <w:rPr/>
        <w:t>For the third blast of 199-lb, the actual damage was moderate with some visible</w:t>
      </w:r>
      <w:r>
        <w:rPr>
          <w:spacing w:val="1"/>
        </w:rPr>
        <w:t> </w:t>
      </w:r>
      <w:r>
        <w:rPr>
          <w:spacing w:val="-1"/>
        </w:rPr>
        <w:t>damage.</w:t>
      </w:r>
      <w:r>
        <w:rPr>
          <w:spacing w:val="32"/>
        </w:rPr>
        <w:t> </w:t>
      </w:r>
      <w:r>
        <w:rPr>
          <w:spacing w:val="-1"/>
        </w:rPr>
        <w:t>The</w:t>
      </w:r>
      <w:r>
        <w:rPr>
          <w:spacing w:val="-15"/>
        </w:rPr>
        <w:t> </w:t>
      </w:r>
      <w:r>
        <w:rPr>
          <w:spacing w:val="-1"/>
        </w:rPr>
        <w:t>extent</w:t>
      </w:r>
      <w:r>
        <w:rPr>
          <w:spacing w:val="-14"/>
        </w:rPr>
        <w:t> </w:t>
      </w:r>
      <w:r>
        <w:rPr>
          <w:spacing w:val="-1"/>
        </w:rPr>
        <w:t>of</w:t>
      </w:r>
      <w:r>
        <w:rPr>
          <w:spacing w:val="-16"/>
        </w:rPr>
        <w:t> </w:t>
      </w:r>
      <w:r>
        <w:rPr/>
        <w:t>the</w:t>
      </w:r>
      <w:r>
        <w:rPr>
          <w:spacing w:val="-15"/>
        </w:rPr>
        <w:t> </w:t>
      </w:r>
      <w:r>
        <w:rPr/>
        <w:t>damage</w:t>
      </w:r>
      <w:r>
        <w:rPr>
          <w:spacing w:val="-13"/>
        </w:rPr>
        <w:t> </w:t>
      </w:r>
      <w:r>
        <w:rPr/>
        <w:t>was</w:t>
      </w:r>
      <w:r>
        <w:rPr>
          <w:spacing w:val="-15"/>
        </w:rPr>
        <w:t> </w:t>
      </w:r>
      <w:r>
        <w:rPr/>
        <w:t>fracture</w:t>
      </w:r>
      <w:r>
        <w:rPr>
          <w:spacing w:val="-14"/>
        </w:rPr>
        <w:t> </w:t>
      </w:r>
      <w:r>
        <w:rPr/>
        <w:t>of</w:t>
      </w:r>
      <w:r>
        <w:rPr>
          <w:spacing w:val="-16"/>
        </w:rPr>
        <w:t> </w:t>
      </w:r>
      <w:r>
        <w:rPr/>
        <w:t>individual</w:t>
      </w:r>
      <w:r>
        <w:rPr>
          <w:spacing w:val="-14"/>
        </w:rPr>
        <w:t> </w:t>
      </w:r>
      <w:r>
        <w:rPr/>
        <w:t>sawn</w:t>
      </w:r>
      <w:r>
        <w:rPr>
          <w:spacing w:val="-15"/>
        </w:rPr>
        <w:t> </w:t>
      </w:r>
      <w:r>
        <w:rPr/>
        <w:t>timbers</w:t>
      </w:r>
      <w:r>
        <w:rPr>
          <w:spacing w:val="-15"/>
        </w:rPr>
        <w:t> </w:t>
      </w:r>
      <w:r>
        <w:rPr/>
        <w:t>in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outermost</w:t>
      </w:r>
      <w:r>
        <w:rPr>
          <w:spacing w:val="-57"/>
        </w:rPr>
        <w:t> </w:t>
      </w:r>
      <w:r>
        <w:rPr/>
        <w:t>plies, with some plastic deformation, as the fractured section did not return to lie flat with</w:t>
      </w:r>
      <w:r>
        <w:rPr>
          <w:spacing w:val="-57"/>
        </w:rPr>
        <w:t> </w:t>
      </w:r>
      <w:r>
        <w:rPr/>
        <w:t>the</w:t>
      </w:r>
      <w:r>
        <w:rPr>
          <w:spacing w:val="1"/>
        </w:rPr>
        <w:t> </w:t>
      </w:r>
      <w:r>
        <w:rPr/>
        <w:t>rest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panel.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CLT</w:t>
      </w:r>
      <w:r>
        <w:rPr>
          <w:spacing w:val="1"/>
        </w:rPr>
        <w:t> </w:t>
      </w:r>
      <w:r>
        <w:rPr/>
        <w:t>grade</w:t>
      </w:r>
      <w:r>
        <w:rPr>
          <w:spacing w:val="1"/>
        </w:rPr>
        <w:t> </w:t>
      </w:r>
      <w:r>
        <w:rPr/>
        <w:t>V1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E1</w:t>
      </w:r>
      <w:r>
        <w:rPr>
          <w:spacing w:val="1"/>
        </w:rPr>
        <w:t> </w:t>
      </w:r>
      <w:r>
        <w:rPr/>
        <w:t>structures,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damage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approximately mid-height and mid-width of the ground floor front panel on both the</w:t>
      </w:r>
      <w:r>
        <w:rPr>
          <w:spacing w:val="1"/>
        </w:rPr>
        <w:t> </w:t>
      </w:r>
      <w:r>
        <w:rPr/>
        <w:t>exterior ply and the interior ply.</w:t>
      </w:r>
      <w:r>
        <w:rPr>
          <w:spacing w:val="1"/>
        </w:rPr>
        <w:t> </w:t>
      </w:r>
      <w:r>
        <w:rPr/>
        <w:t>For the CLT grade V4 structure, the majority of the</w:t>
      </w:r>
      <w:r>
        <w:rPr>
          <w:spacing w:val="1"/>
        </w:rPr>
        <w:t> </w:t>
      </w:r>
      <w:r>
        <w:rPr/>
        <w:t>observed damage was on the interior face, ground floor, front panel and small pieces of</w:t>
      </w:r>
      <w:r>
        <w:rPr>
          <w:spacing w:val="1"/>
        </w:rPr>
        <w:t> </w:t>
      </w:r>
      <w:r>
        <w:rPr/>
        <w:t>debris,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observed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two</w:t>
      </w:r>
      <w:r>
        <w:rPr>
          <w:spacing w:val="1"/>
        </w:rPr>
        <w:t> </w:t>
      </w:r>
      <w:r>
        <w:rPr/>
        <w:t>structures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found</w:t>
      </w:r>
      <w:r>
        <w:rPr>
          <w:spacing w:val="1"/>
        </w:rPr>
        <w:t> </w:t>
      </w:r>
      <w:r>
        <w:rPr/>
        <w:t>inside</w:t>
      </w:r>
      <w:r>
        <w:rPr>
          <w:spacing w:val="1"/>
        </w:rPr>
        <w:t> </w:t>
      </w:r>
      <w:r>
        <w:rPr/>
        <w:t>[118].</w:t>
      </w:r>
      <w:r>
        <w:rPr>
          <w:spacing w:val="1"/>
        </w:rPr>
        <w:t> </w:t>
      </w:r>
      <w:r>
        <w:rPr/>
        <w:t>Residual</w:t>
      </w:r>
      <w:r>
        <w:rPr>
          <w:spacing w:val="1"/>
        </w:rPr>
        <w:t> </w:t>
      </w:r>
      <w:r>
        <w:rPr/>
        <w:t>displacement values were not reported.</w:t>
      </w:r>
      <w:r>
        <w:rPr>
          <w:spacing w:val="1"/>
        </w:rPr>
        <w:t> </w:t>
      </w:r>
      <w:r>
        <w:rPr/>
        <w:t>This may be due to the difficulty in accurately</w:t>
      </w:r>
      <w:r>
        <w:rPr>
          <w:spacing w:val="1"/>
        </w:rPr>
        <w:t> </w:t>
      </w:r>
      <w:r>
        <w:rPr/>
        <w:t>measuring displacement with the individual timbers fracturing – if the gauge was not</w:t>
      </w:r>
      <w:r>
        <w:rPr>
          <w:spacing w:val="1"/>
        </w:rPr>
        <w:t> </w:t>
      </w:r>
      <w:r>
        <w:rPr/>
        <w:t>aligned</w:t>
      </w:r>
      <w:r>
        <w:rPr>
          <w:spacing w:val="-11"/>
        </w:rPr>
        <w:t> </w:t>
      </w:r>
      <w:r>
        <w:rPr/>
        <w:t>with</w:t>
      </w:r>
      <w:r>
        <w:rPr>
          <w:spacing w:val="-11"/>
        </w:rPr>
        <w:t> </w:t>
      </w:r>
      <w:r>
        <w:rPr/>
        <w:t>the</w:t>
      </w:r>
      <w:r>
        <w:rPr>
          <w:spacing w:val="-10"/>
        </w:rPr>
        <w:t> </w:t>
      </w:r>
      <w:r>
        <w:rPr/>
        <w:t>specific</w:t>
      </w:r>
      <w:r>
        <w:rPr>
          <w:spacing w:val="-11"/>
        </w:rPr>
        <w:t> </w:t>
      </w:r>
      <w:r>
        <w:rPr/>
        <w:t>timber</w:t>
      </w:r>
      <w:r>
        <w:rPr>
          <w:spacing w:val="-9"/>
        </w:rPr>
        <w:t> </w:t>
      </w:r>
      <w:r>
        <w:rPr/>
        <w:t>which</w:t>
      </w:r>
      <w:r>
        <w:rPr>
          <w:spacing w:val="-11"/>
        </w:rPr>
        <w:t> </w:t>
      </w:r>
      <w:r>
        <w:rPr/>
        <w:t>fractured,</w:t>
      </w:r>
      <w:r>
        <w:rPr>
          <w:spacing w:val="-11"/>
        </w:rPr>
        <w:t> </w:t>
      </w:r>
      <w:r>
        <w:rPr/>
        <w:t>but</w:t>
      </w:r>
      <w:r>
        <w:rPr>
          <w:spacing w:val="-9"/>
        </w:rPr>
        <w:t> </w:t>
      </w:r>
      <w:r>
        <w:rPr/>
        <w:t>rather</w:t>
      </w:r>
      <w:r>
        <w:rPr>
          <w:spacing w:val="-9"/>
        </w:rPr>
        <w:t> </w:t>
      </w:r>
      <w:r>
        <w:rPr/>
        <w:t>a</w:t>
      </w:r>
      <w:r>
        <w:rPr>
          <w:spacing w:val="-11"/>
        </w:rPr>
        <w:t> </w:t>
      </w:r>
      <w:r>
        <w:rPr/>
        <w:t>timber</w:t>
      </w:r>
      <w:r>
        <w:rPr>
          <w:spacing w:val="-9"/>
        </w:rPr>
        <w:t> </w:t>
      </w:r>
      <w:r>
        <w:rPr/>
        <w:t>which</w:t>
      </w:r>
      <w:r>
        <w:rPr>
          <w:spacing w:val="-11"/>
        </w:rPr>
        <w:t> </w:t>
      </w:r>
      <w:r>
        <w:rPr/>
        <w:t>did</w:t>
      </w:r>
      <w:r>
        <w:rPr>
          <w:spacing w:val="-10"/>
        </w:rPr>
        <w:t> </w:t>
      </w:r>
      <w:r>
        <w:rPr/>
        <w:t>not</w:t>
      </w:r>
      <w:r>
        <w:rPr>
          <w:spacing w:val="-9"/>
        </w:rPr>
        <w:t> </w:t>
      </w:r>
      <w:r>
        <w:rPr/>
        <w:t>fracture,</w:t>
      </w:r>
      <w:r>
        <w:rPr>
          <w:spacing w:val="-58"/>
        </w:rPr>
        <w:t> </w:t>
      </w:r>
      <w:r>
        <w:rPr/>
        <w:t>the</w:t>
      </w:r>
      <w:r>
        <w:rPr>
          <w:spacing w:val="-1"/>
        </w:rPr>
        <w:t> </w:t>
      </w:r>
      <w:r>
        <w:rPr/>
        <w:t>measurement would</w:t>
      </w:r>
      <w:r>
        <w:rPr>
          <w:spacing w:val="1"/>
        </w:rPr>
        <w:t> </w:t>
      </w:r>
      <w:r>
        <w:rPr/>
        <w:t>not represent</w:t>
      </w:r>
      <w:r>
        <w:rPr>
          <w:spacing w:val="-1"/>
        </w:rPr>
        <w:t> </w:t>
      </w:r>
      <w:r>
        <w:rPr/>
        <w:t>the entire panel.</w:t>
      </w:r>
    </w:p>
    <w:p>
      <w:pPr>
        <w:pStyle w:val="BodyText"/>
        <w:spacing w:line="480" w:lineRule="auto" w:before="152"/>
        <w:ind w:left="439" w:right="418" w:firstLine="720"/>
        <w:jc w:val="both"/>
      </w:pPr>
      <w:r>
        <w:rPr/>
        <w:t>The</w:t>
      </w:r>
      <w:r>
        <w:rPr>
          <w:spacing w:val="-13"/>
        </w:rPr>
        <w:t> </w:t>
      </w:r>
      <w:r>
        <w:rPr/>
        <w:t>tool</w:t>
      </w:r>
      <w:r>
        <w:rPr>
          <w:spacing w:val="-13"/>
        </w:rPr>
        <w:t> </w:t>
      </w:r>
      <w:r>
        <w:rPr/>
        <w:t>computed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ductility</w:t>
      </w:r>
      <w:r>
        <w:rPr>
          <w:spacing w:val="-15"/>
        </w:rPr>
        <w:t> </w:t>
      </w:r>
      <w:r>
        <w:rPr/>
        <w:t>ratio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support</w:t>
      </w:r>
      <w:r>
        <w:rPr>
          <w:spacing w:val="-13"/>
        </w:rPr>
        <w:t> </w:t>
      </w:r>
      <w:r>
        <w:rPr/>
        <w:t>rotation</w:t>
      </w:r>
      <w:r>
        <w:rPr>
          <w:spacing w:val="-13"/>
        </w:rPr>
        <w:t> </w:t>
      </w:r>
      <w:r>
        <w:rPr/>
        <w:t>using</w:t>
      </w:r>
      <w:r>
        <w:rPr>
          <w:spacing w:val="-13"/>
        </w:rPr>
        <w:t> </w:t>
      </w:r>
      <w:r>
        <w:rPr/>
        <w:t>both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UFC</w:t>
      </w:r>
      <w:r>
        <w:rPr>
          <w:spacing w:val="-14"/>
        </w:rPr>
        <w:t> </w:t>
      </w:r>
      <w:r>
        <w:rPr/>
        <w:t>based</w:t>
      </w:r>
      <w:r>
        <w:rPr>
          <w:spacing w:val="-58"/>
        </w:rPr>
        <w:t> </w:t>
      </w:r>
      <w:r>
        <w:rPr/>
        <w:t>blast</w:t>
      </w:r>
      <w:r>
        <w:rPr>
          <w:spacing w:val="1"/>
        </w:rPr>
        <w:t> </w:t>
      </w:r>
      <w:r>
        <w:rPr/>
        <w:t>parameters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field</w:t>
      </w:r>
      <w:r>
        <w:rPr>
          <w:spacing w:val="1"/>
        </w:rPr>
        <w:t> </w:t>
      </w:r>
      <w:r>
        <w:rPr/>
        <w:t>measured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based</w:t>
      </w:r>
      <w:r>
        <w:rPr>
          <w:spacing w:val="1"/>
        </w:rPr>
        <w:t> </w:t>
      </w:r>
      <w:r>
        <w:rPr/>
        <w:t>parameters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determine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corresponding</w:t>
      </w:r>
      <w:r>
        <w:rPr>
          <w:spacing w:val="6"/>
        </w:rPr>
        <w:t> </w:t>
      </w:r>
      <w:r>
        <w:rPr/>
        <w:t>expected</w:t>
      </w:r>
      <w:r>
        <w:rPr>
          <w:spacing w:val="6"/>
        </w:rPr>
        <w:t> </w:t>
      </w:r>
      <w:r>
        <w:rPr/>
        <w:t>damage</w:t>
      </w:r>
      <w:r>
        <w:rPr>
          <w:spacing w:val="6"/>
        </w:rPr>
        <w:t> </w:t>
      </w:r>
      <w:r>
        <w:rPr/>
        <w:t>and</w:t>
      </w:r>
      <w:r>
        <w:rPr>
          <w:spacing w:val="7"/>
        </w:rPr>
        <w:t> </w:t>
      </w:r>
      <w:r>
        <w:rPr/>
        <w:t>Level</w:t>
      </w:r>
      <w:r>
        <w:rPr>
          <w:spacing w:val="5"/>
        </w:rPr>
        <w:t> </w:t>
      </w:r>
      <w:r>
        <w:rPr/>
        <w:t>of</w:t>
      </w:r>
      <w:r>
        <w:rPr>
          <w:spacing w:val="6"/>
        </w:rPr>
        <w:t> </w:t>
      </w:r>
      <w:r>
        <w:rPr/>
        <w:t>Protection</w:t>
      </w:r>
      <w:r>
        <w:rPr>
          <w:spacing w:val="6"/>
        </w:rPr>
        <w:t> </w:t>
      </w:r>
      <w:r>
        <w:rPr/>
        <w:t>rating.</w:t>
      </w:r>
      <w:r>
        <w:rPr>
          <w:spacing w:val="14"/>
        </w:rPr>
        <w:t> </w:t>
      </w:r>
      <w:r>
        <w:rPr/>
        <w:t>For</w:t>
      </w:r>
      <w:r>
        <w:rPr>
          <w:spacing w:val="5"/>
        </w:rPr>
        <w:t> </w:t>
      </w:r>
      <w:r>
        <w:rPr/>
        <w:t>the</w:t>
      </w:r>
      <w:r>
        <w:rPr>
          <w:spacing w:val="6"/>
        </w:rPr>
        <w:t> </w:t>
      </w:r>
      <w:r>
        <w:rPr/>
        <w:t>E1</w:t>
      </w:r>
      <w:r>
        <w:rPr>
          <w:spacing w:val="6"/>
        </w:rPr>
        <w:t> </w:t>
      </w:r>
      <w:r>
        <w:rPr/>
        <w:t>structure,</w:t>
      </w:r>
      <w:r>
        <w:rPr>
          <w:spacing w:val="7"/>
        </w:rPr>
        <w:t> </w:t>
      </w:r>
      <w:r>
        <w:rPr/>
        <w:t>the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40" w:right="417"/>
        <w:jc w:val="both"/>
      </w:pPr>
      <w:r>
        <w:rPr/>
        <w:t>tool predicted moderate damage based on the UFC based parameters and a low Level of</w:t>
      </w:r>
      <w:r>
        <w:rPr>
          <w:spacing w:val="1"/>
        </w:rPr>
        <w:t> </w:t>
      </w:r>
      <w:r>
        <w:rPr/>
        <w:t>Protection for the third blast.</w:t>
      </w:r>
      <w:r>
        <w:rPr>
          <w:spacing w:val="1"/>
        </w:rPr>
        <w:t> </w:t>
      </w:r>
      <w:r>
        <w:rPr/>
        <w:t>However, for the V1 and V4 structures, the tool predicted</w:t>
      </w:r>
      <w:r>
        <w:rPr>
          <w:spacing w:val="1"/>
        </w:rPr>
        <w:t> </w:t>
      </w:r>
      <w:r>
        <w:rPr/>
        <w:t>collapse and hazardous levels of damage with collapse extremely likely for Level of</w:t>
      </w:r>
      <w:r>
        <w:rPr>
          <w:spacing w:val="1"/>
        </w:rPr>
        <w:t> </w:t>
      </w:r>
      <w:r>
        <w:rPr/>
        <w:t>Protection.</w:t>
      </w:r>
      <w:r>
        <w:rPr>
          <w:spacing w:val="1"/>
        </w:rPr>
        <w:t> </w:t>
      </w:r>
      <w:r>
        <w:rPr/>
        <w:t>Both of these expected damage predictions indicate that the model predicted</w:t>
      </w:r>
      <w:r>
        <w:rPr>
          <w:spacing w:val="1"/>
        </w:rPr>
        <w:t> </w:t>
      </w:r>
      <w:r>
        <w:rPr/>
        <w:t>rupture of the panel.</w:t>
      </w:r>
      <w:r>
        <w:rPr>
          <w:spacing w:val="1"/>
        </w:rPr>
        <w:t> </w:t>
      </w:r>
      <w:r>
        <w:rPr/>
        <w:t>It should be noted that while the panels experienced rupture of plies,</w:t>
      </w:r>
      <w:r>
        <w:rPr>
          <w:spacing w:val="-57"/>
        </w:rPr>
        <w:t> </w:t>
      </w:r>
      <w:r>
        <w:rPr/>
        <w:t>the overall structure was not in danger of collapse.</w:t>
      </w:r>
      <w:r>
        <w:rPr>
          <w:spacing w:val="1"/>
        </w:rPr>
        <w:t> </w:t>
      </w:r>
      <w:r>
        <w:rPr/>
        <w:t>This furthers the recommendation of</w:t>
      </w:r>
      <w:r>
        <w:rPr>
          <w:spacing w:val="1"/>
        </w:rPr>
        <w:t> </w:t>
      </w:r>
      <w:r>
        <w:rPr/>
        <w:t>future work related to assessing the appropriate values for ductility ratio and support</w:t>
      </w:r>
      <w:r>
        <w:rPr>
          <w:spacing w:val="1"/>
        </w:rPr>
        <w:t> </w:t>
      </w:r>
      <w:r>
        <w:rPr/>
        <w:t>rotation</w:t>
      </w:r>
      <w:r>
        <w:rPr>
          <w:spacing w:val="-1"/>
        </w:rPr>
        <w:t> </w:t>
      </w:r>
      <w:r>
        <w:rPr/>
        <w:t>corresponding to expected</w:t>
      </w:r>
      <w:r>
        <w:rPr>
          <w:spacing w:val="-1"/>
        </w:rPr>
        <w:t> </w:t>
      </w:r>
      <w:r>
        <w:rPr/>
        <w:t>damage and</w:t>
      </w:r>
      <w:r>
        <w:rPr>
          <w:spacing w:val="1"/>
        </w:rPr>
        <w:t> </w:t>
      </w:r>
      <w:r>
        <w:rPr/>
        <w:t>Levels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Protection.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spacing w:before="231"/>
        <w:ind w:left="18" w:right="0" w:firstLine="0"/>
        <w:jc w:val="center"/>
        <w:rPr>
          <w:i/>
          <w:sz w:val="24"/>
        </w:rPr>
      </w:pPr>
      <w:bookmarkStart w:name="_bookmark198" w:id="558"/>
      <w:bookmarkEnd w:id="558"/>
      <w:r>
        <w:rPr/>
      </w:r>
      <w:r>
        <w:rPr>
          <w:i/>
          <w:sz w:val="24"/>
        </w:rPr>
        <w:t>Table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8-5.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Predicted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Level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Protection.</w:t>
      </w:r>
    </w:p>
    <w:p>
      <w:pPr>
        <w:pStyle w:val="BodyText"/>
        <w:spacing w:before="5"/>
        <w:rPr>
          <w:i/>
          <w:sz w:val="17"/>
        </w:rPr>
      </w:pPr>
    </w:p>
    <w:tbl>
      <w:tblPr>
        <w:tblW w:w="0" w:type="auto"/>
        <w:jc w:val="left"/>
        <w:tblInd w:w="4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30"/>
        <w:gridCol w:w="900"/>
        <w:gridCol w:w="1080"/>
        <w:gridCol w:w="1080"/>
        <w:gridCol w:w="990"/>
        <w:gridCol w:w="1080"/>
        <w:gridCol w:w="1350"/>
        <w:gridCol w:w="1525"/>
      </w:tblGrid>
      <w:tr>
        <w:trPr>
          <w:trHeight w:val="1200" w:hRule="atLeast"/>
        </w:trPr>
        <w:tc>
          <w:tcPr>
            <w:tcW w:w="630" w:type="dxa"/>
            <w:shd w:val="clear" w:color="auto" w:fill="C0C0C0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96"/>
              <w:ind w:left="93" w:right="83"/>
              <w:jc w:val="center"/>
              <w:rPr>
                <w:sz w:val="22"/>
              </w:rPr>
            </w:pPr>
            <w:r>
              <w:rPr>
                <w:sz w:val="22"/>
              </w:rPr>
              <w:t>Shot</w:t>
            </w:r>
          </w:p>
        </w:tc>
        <w:tc>
          <w:tcPr>
            <w:tcW w:w="900" w:type="dxa"/>
            <w:shd w:val="clear" w:color="auto" w:fill="C0C0C0"/>
          </w:tcPr>
          <w:p>
            <w:pPr>
              <w:pStyle w:val="TableParagraph"/>
              <w:rPr>
                <w:i/>
                <w:sz w:val="19"/>
              </w:rPr>
            </w:pPr>
          </w:p>
          <w:p>
            <w:pPr>
              <w:pStyle w:val="TableParagraph"/>
              <w:ind w:left="236"/>
              <w:rPr>
                <w:sz w:val="22"/>
              </w:rPr>
            </w:pPr>
            <w:r>
              <w:rPr>
                <w:sz w:val="22"/>
              </w:rPr>
              <w:t>TNT</w:t>
            </w:r>
          </w:p>
          <w:p>
            <w:pPr>
              <w:pStyle w:val="TableParagraph"/>
              <w:spacing w:before="1"/>
              <w:ind w:left="262" w:right="97" w:hanging="137"/>
              <w:rPr>
                <w:sz w:val="22"/>
              </w:rPr>
            </w:pPr>
            <w:r>
              <w:rPr>
                <w:sz w:val="22"/>
              </w:rPr>
              <w:t>Weight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[lb.]</w:t>
            </w:r>
          </w:p>
        </w:tc>
        <w:tc>
          <w:tcPr>
            <w:tcW w:w="1080" w:type="dxa"/>
            <w:shd w:val="clear" w:color="auto" w:fill="C0C0C0"/>
          </w:tcPr>
          <w:p>
            <w:pPr>
              <w:pStyle w:val="TableParagraph"/>
              <w:rPr>
                <w:i/>
                <w:sz w:val="19"/>
              </w:rPr>
            </w:pPr>
          </w:p>
          <w:p>
            <w:pPr>
              <w:pStyle w:val="TableParagraph"/>
              <w:ind w:left="141" w:right="131" w:firstLine="6"/>
              <w:jc w:val="both"/>
              <w:rPr>
                <w:sz w:val="22"/>
              </w:rPr>
            </w:pPr>
            <w:r>
              <w:rPr>
                <w:sz w:val="22"/>
              </w:rPr>
              <w:t>Ductility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Ratio (μ)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(UFC)</w:t>
            </w:r>
          </w:p>
        </w:tc>
        <w:tc>
          <w:tcPr>
            <w:tcW w:w="1080" w:type="dxa"/>
            <w:shd w:val="clear" w:color="auto" w:fill="C0C0C0"/>
          </w:tcPr>
          <w:p>
            <w:pPr>
              <w:pStyle w:val="TableParagraph"/>
              <w:rPr>
                <w:i/>
                <w:sz w:val="19"/>
              </w:rPr>
            </w:pPr>
          </w:p>
          <w:p>
            <w:pPr>
              <w:pStyle w:val="TableParagraph"/>
              <w:ind w:left="141" w:right="131" w:firstLine="6"/>
              <w:jc w:val="both"/>
              <w:rPr>
                <w:sz w:val="22"/>
              </w:rPr>
            </w:pPr>
            <w:r>
              <w:rPr>
                <w:sz w:val="22"/>
              </w:rPr>
              <w:t>Ductility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Ratio (μ)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(field)</w:t>
            </w:r>
          </w:p>
        </w:tc>
        <w:tc>
          <w:tcPr>
            <w:tcW w:w="990" w:type="dxa"/>
            <w:shd w:val="clear" w:color="auto" w:fill="C0C0C0"/>
          </w:tcPr>
          <w:p>
            <w:pPr>
              <w:pStyle w:val="TableParagraph"/>
              <w:spacing w:before="93"/>
              <w:ind w:left="115" w:right="105" w:firstLine="31"/>
              <w:jc w:val="both"/>
              <w:rPr>
                <w:sz w:val="22"/>
              </w:rPr>
            </w:pPr>
            <w:r>
              <w:rPr>
                <w:sz w:val="22"/>
              </w:rPr>
              <w:t>Support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Rotation</w:t>
            </w:r>
            <w:r>
              <w:rPr>
                <w:spacing w:val="-54"/>
                <w:sz w:val="22"/>
              </w:rPr>
              <w:t> </w:t>
            </w:r>
            <w:r>
              <w:rPr>
                <w:sz w:val="22"/>
              </w:rPr>
              <w:t>[degree]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(UFC)</w:t>
            </w:r>
          </w:p>
        </w:tc>
        <w:tc>
          <w:tcPr>
            <w:tcW w:w="1080" w:type="dxa"/>
            <w:shd w:val="clear" w:color="auto" w:fill="C0C0C0"/>
          </w:tcPr>
          <w:p>
            <w:pPr>
              <w:pStyle w:val="TableParagraph"/>
              <w:spacing w:before="93"/>
              <w:ind w:left="160" w:right="149" w:firstLine="30"/>
              <w:jc w:val="both"/>
              <w:rPr>
                <w:sz w:val="22"/>
              </w:rPr>
            </w:pPr>
            <w:r>
              <w:rPr>
                <w:sz w:val="22"/>
              </w:rPr>
              <w:t>Support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Rotation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[degree]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(field)</w:t>
            </w:r>
          </w:p>
        </w:tc>
        <w:tc>
          <w:tcPr>
            <w:tcW w:w="1350" w:type="dxa"/>
            <w:shd w:val="clear" w:color="auto" w:fill="C0C0C0"/>
          </w:tcPr>
          <w:p>
            <w:pPr>
              <w:pStyle w:val="TableParagraph"/>
              <w:rPr>
                <w:i/>
                <w:sz w:val="19"/>
              </w:rPr>
            </w:pPr>
          </w:p>
          <w:p>
            <w:pPr>
              <w:pStyle w:val="TableParagraph"/>
              <w:ind w:left="130" w:right="120" w:hanging="1"/>
              <w:jc w:val="center"/>
              <w:rPr>
                <w:sz w:val="22"/>
              </w:rPr>
            </w:pPr>
            <w:r>
              <w:rPr>
                <w:sz w:val="22"/>
              </w:rPr>
              <w:t>Expected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Damage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1"/>
                <w:sz w:val="22"/>
              </w:rPr>
              <w:t>(UFC/Field)</w:t>
            </w:r>
          </w:p>
        </w:tc>
        <w:tc>
          <w:tcPr>
            <w:tcW w:w="1525" w:type="dxa"/>
            <w:shd w:val="clear" w:color="auto" w:fill="C0C0C0"/>
          </w:tcPr>
          <w:p>
            <w:pPr>
              <w:pStyle w:val="TableParagraph"/>
              <w:rPr>
                <w:i/>
                <w:sz w:val="19"/>
              </w:rPr>
            </w:pPr>
          </w:p>
          <w:p>
            <w:pPr>
              <w:pStyle w:val="TableParagraph"/>
              <w:ind w:left="218" w:right="207"/>
              <w:jc w:val="center"/>
              <w:rPr>
                <w:sz w:val="22"/>
              </w:rPr>
            </w:pPr>
            <w:r>
              <w:rPr>
                <w:sz w:val="22"/>
              </w:rPr>
              <w:t>Level 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Protection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1"/>
                <w:sz w:val="22"/>
              </w:rPr>
              <w:t>(UFC/Field)</w:t>
            </w:r>
          </w:p>
        </w:tc>
      </w:tr>
      <w:tr>
        <w:trPr>
          <w:trHeight w:val="299" w:hRule="atLeast"/>
        </w:trPr>
        <w:tc>
          <w:tcPr>
            <w:tcW w:w="630" w:type="dxa"/>
            <w:shd w:val="clear" w:color="auto" w:fill="C0C0C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00" w:type="dxa"/>
            <w:shd w:val="clear" w:color="auto" w:fill="C0C0C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105" w:type="dxa"/>
            <w:gridSpan w:val="6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line="234" w:lineRule="exact" w:before="45"/>
              <w:ind w:left="1774"/>
              <w:rPr>
                <w:sz w:val="22"/>
              </w:rPr>
            </w:pPr>
            <w:r>
              <w:rPr>
                <w:sz w:val="22"/>
              </w:rPr>
              <w:t>CLT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grade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E-1,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front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face,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Ground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level</w:t>
            </w:r>
          </w:p>
        </w:tc>
      </w:tr>
      <w:tr>
        <w:trPr>
          <w:trHeight w:val="506" w:hRule="atLeast"/>
        </w:trPr>
        <w:tc>
          <w:tcPr>
            <w:tcW w:w="630" w:type="dxa"/>
          </w:tcPr>
          <w:p>
            <w:pPr>
              <w:pStyle w:val="TableParagraph"/>
              <w:spacing w:before="124"/>
              <w:ind w:left="7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1</w:t>
            </w:r>
          </w:p>
        </w:tc>
        <w:tc>
          <w:tcPr>
            <w:tcW w:w="900" w:type="dxa"/>
          </w:tcPr>
          <w:p>
            <w:pPr>
              <w:pStyle w:val="TableParagraph"/>
              <w:spacing w:before="124"/>
              <w:ind w:left="110" w:right="101"/>
              <w:jc w:val="center"/>
              <w:rPr>
                <w:sz w:val="22"/>
              </w:rPr>
            </w:pPr>
            <w:r>
              <w:rPr>
                <w:sz w:val="22"/>
              </w:rPr>
              <w:t>32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4"/>
              <w:ind w:left="292"/>
              <w:rPr>
                <w:sz w:val="22"/>
              </w:rPr>
            </w:pPr>
            <w:r>
              <w:rPr>
                <w:sz w:val="22"/>
              </w:rPr>
              <w:t>0.327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4"/>
              <w:ind w:left="292"/>
              <w:rPr>
                <w:sz w:val="22"/>
              </w:rPr>
            </w:pPr>
            <w:r>
              <w:rPr>
                <w:sz w:val="22"/>
              </w:rPr>
              <w:t>0.296</w:t>
            </w:r>
          </w:p>
        </w:tc>
        <w:tc>
          <w:tcPr>
            <w:tcW w:w="990" w:type="dxa"/>
          </w:tcPr>
          <w:p>
            <w:pPr>
              <w:pStyle w:val="TableParagraph"/>
              <w:spacing w:before="124"/>
              <w:ind w:left="226" w:right="218"/>
              <w:jc w:val="center"/>
              <w:rPr>
                <w:sz w:val="22"/>
              </w:rPr>
            </w:pPr>
            <w:r>
              <w:rPr>
                <w:sz w:val="22"/>
              </w:rPr>
              <w:t>0.968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4"/>
              <w:ind w:left="292"/>
              <w:rPr>
                <w:sz w:val="22"/>
              </w:rPr>
            </w:pPr>
            <w:r>
              <w:rPr>
                <w:sz w:val="22"/>
              </w:rPr>
              <w:t>0.876</w:t>
            </w:r>
          </w:p>
        </w:tc>
        <w:tc>
          <w:tcPr>
            <w:tcW w:w="1350" w:type="dxa"/>
          </w:tcPr>
          <w:p>
            <w:pPr>
              <w:pStyle w:val="TableParagraph"/>
              <w:spacing w:line="254" w:lineRule="exact"/>
              <w:ind w:left="191" w:right="132" w:hanging="30"/>
              <w:rPr>
                <w:sz w:val="22"/>
              </w:rPr>
            </w:pPr>
            <w:r>
              <w:rPr>
                <w:sz w:val="22"/>
              </w:rPr>
              <w:t>Superficial/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Superficial</w:t>
            </w:r>
          </w:p>
        </w:tc>
        <w:tc>
          <w:tcPr>
            <w:tcW w:w="1525" w:type="dxa"/>
          </w:tcPr>
          <w:p>
            <w:pPr>
              <w:pStyle w:val="TableParagraph"/>
              <w:spacing w:before="124"/>
              <w:ind w:left="216" w:right="207"/>
              <w:jc w:val="center"/>
              <w:rPr>
                <w:sz w:val="22"/>
              </w:rPr>
            </w:pPr>
            <w:r>
              <w:rPr>
                <w:sz w:val="22"/>
              </w:rPr>
              <w:t>Med/Med</w:t>
            </w:r>
          </w:p>
        </w:tc>
      </w:tr>
      <w:tr>
        <w:trPr>
          <w:trHeight w:val="503" w:hRule="atLeast"/>
        </w:trPr>
        <w:tc>
          <w:tcPr>
            <w:tcW w:w="630" w:type="dxa"/>
          </w:tcPr>
          <w:p>
            <w:pPr>
              <w:pStyle w:val="TableParagraph"/>
              <w:spacing w:before="122"/>
              <w:ind w:left="7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2</w:t>
            </w:r>
          </w:p>
        </w:tc>
        <w:tc>
          <w:tcPr>
            <w:tcW w:w="900" w:type="dxa"/>
          </w:tcPr>
          <w:p>
            <w:pPr>
              <w:pStyle w:val="TableParagraph"/>
              <w:spacing w:before="122"/>
              <w:ind w:left="110" w:right="101"/>
              <w:jc w:val="center"/>
              <w:rPr>
                <w:sz w:val="22"/>
              </w:rPr>
            </w:pPr>
            <w:r>
              <w:rPr>
                <w:sz w:val="22"/>
              </w:rPr>
              <w:t>67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2"/>
              <w:ind w:left="292"/>
              <w:rPr>
                <w:sz w:val="22"/>
              </w:rPr>
            </w:pPr>
            <w:r>
              <w:rPr>
                <w:sz w:val="22"/>
              </w:rPr>
              <w:t>0.531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2"/>
              <w:ind w:left="292"/>
              <w:rPr>
                <w:sz w:val="22"/>
              </w:rPr>
            </w:pPr>
            <w:r>
              <w:rPr>
                <w:sz w:val="22"/>
              </w:rPr>
              <w:t>0.484</w:t>
            </w:r>
          </w:p>
        </w:tc>
        <w:tc>
          <w:tcPr>
            <w:tcW w:w="990" w:type="dxa"/>
          </w:tcPr>
          <w:p>
            <w:pPr>
              <w:pStyle w:val="TableParagraph"/>
              <w:spacing w:before="122"/>
              <w:ind w:left="226" w:right="218"/>
              <w:jc w:val="center"/>
              <w:rPr>
                <w:sz w:val="22"/>
              </w:rPr>
            </w:pPr>
            <w:r>
              <w:rPr>
                <w:sz w:val="22"/>
              </w:rPr>
              <w:t>1.574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2"/>
              <w:ind w:left="292"/>
              <w:rPr>
                <w:sz w:val="22"/>
              </w:rPr>
            </w:pPr>
            <w:r>
              <w:rPr>
                <w:sz w:val="22"/>
              </w:rPr>
              <w:t>1.433</w:t>
            </w:r>
          </w:p>
        </w:tc>
        <w:tc>
          <w:tcPr>
            <w:tcW w:w="1350" w:type="dxa"/>
          </w:tcPr>
          <w:p>
            <w:pPr>
              <w:pStyle w:val="TableParagraph"/>
              <w:spacing w:line="249" w:lineRule="exact"/>
              <w:ind w:left="161"/>
              <w:rPr>
                <w:sz w:val="22"/>
              </w:rPr>
            </w:pPr>
            <w:r>
              <w:rPr>
                <w:sz w:val="22"/>
              </w:rPr>
              <w:t>Superficial/</w:t>
            </w:r>
          </w:p>
          <w:p>
            <w:pPr>
              <w:pStyle w:val="TableParagraph"/>
              <w:spacing w:line="234" w:lineRule="exact"/>
              <w:ind w:left="191"/>
              <w:rPr>
                <w:sz w:val="22"/>
              </w:rPr>
            </w:pPr>
            <w:r>
              <w:rPr>
                <w:sz w:val="22"/>
              </w:rPr>
              <w:t>Superficial</w:t>
            </w:r>
          </w:p>
        </w:tc>
        <w:tc>
          <w:tcPr>
            <w:tcW w:w="1525" w:type="dxa"/>
          </w:tcPr>
          <w:p>
            <w:pPr>
              <w:pStyle w:val="TableParagraph"/>
              <w:spacing w:before="122"/>
              <w:ind w:left="216" w:right="207"/>
              <w:jc w:val="center"/>
              <w:rPr>
                <w:sz w:val="22"/>
              </w:rPr>
            </w:pPr>
            <w:r>
              <w:rPr>
                <w:sz w:val="22"/>
              </w:rPr>
              <w:t>Med/Med</w:t>
            </w:r>
          </w:p>
        </w:tc>
      </w:tr>
      <w:tr>
        <w:trPr>
          <w:trHeight w:val="506" w:hRule="atLeast"/>
        </w:trPr>
        <w:tc>
          <w:tcPr>
            <w:tcW w:w="630" w:type="dxa"/>
          </w:tcPr>
          <w:p>
            <w:pPr>
              <w:pStyle w:val="TableParagraph"/>
              <w:spacing w:before="124"/>
              <w:ind w:left="7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3</w:t>
            </w:r>
          </w:p>
        </w:tc>
        <w:tc>
          <w:tcPr>
            <w:tcW w:w="900" w:type="dxa"/>
          </w:tcPr>
          <w:p>
            <w:pPr>
              <w:pStyle w:val="TableParagraph"/>
              <w:spacing w:before="124"/>
              <w:ind w:left="110" w:right="101"/>
              <w:jc w:val="center"/>
              <w:rPr>
                <w:sz w:val="22"/>
              </w:rPr>
            </w:pPr>
            <w:r>
              <w:rPr>
                <w:sz w:val="22"/>
              </w:rPr>
              <w:t>199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4"/>
              <w:ind w:left="292"/>
              <w:rPr>
                <w:sz w:val="22"/>
              </w:rPr>
            </w:pPr>
            <w:r>
              <w:rPr>
                <w:sz w:val="22"/>
              </w:rPr>
              <w:t>1.082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4"/>
              <w:ind w:left="346"/>
              <w:rPr>
                <w:sz w:val="22"/>
              </w:rPr>
            </w:pPr>
            <w:r>
              <w:rPr>
                <w:sz w:val="22"/>
              </w:rPr>
              <w:t>0.94</w:t>
            </w:r>
          </w:p>
        </w:tc>
        <w:tc>
          <w:tcPr>
            <w:tcW w:w="990" w:type="dxa"/>
          </w:tcPr>
          <w:p>
            <w:pPr>
              <w:pStyle w:val="TableParagraph"/>
              <w:spacing w:before="124"/>
              <w:ind w:left="226" w:right="217"/>
              <w:jc w:val="center"/>
              <w:rPr>
                <w:sz w:val="22"/>
              </w:rPr>
            </w:pPr>
            <w:r>
              <w:rPr>
                <w:sz w:val="22"/>
              </w:rPr>
              <w:t>3.203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4"/>
              <w:ind w:left="292"/>
              <w:rPr>
                <w:sz w:val="22"/>
              </w:rPr>
            </w:pPr>
            <w:r>
              <w:rPr>
                <w:sz w:val="22"/>
              </w:rPr>
              <w:t>2.781</w:t>
            </w:r>
          </w:p>
        </w:tc>
        <w:tc>
          <w:tcPr>
            <w:tcW w:w="1350" w:type="dxa"/>
          </w:tcPr>
          <w:p>
            <w:pPr>
              <w:pStyle w:val="TableParagraph"/>
              <w:spacing w:line="254" w:lineRule="exact"/>
              <w:ind w:left="191" w:right="174" w:firstLine="31"/>
              <w:rPr>
                <w:sz w:val="22"/>
              </w:rPr>
            </w:pPr>
            <w:r>
              <w:rPr>
                <w:sz w:val="22"/>
              </w:rPr>
              <w:t>Moderate/</w:t>
            </w:r>
            <w:r>
              <w:rPr>
                <w:spacing w:val="-52"/>
                <w:sz w:val="22"/>
              </w:rPr>
              <w:t> </w:t>
            </w:r>
            <w:r>
              <w:rPr>
                <w:spacing w:val="-1"/>
                <w:sz w:val="22"/>
              </w:rPr>
              <w:t>Superficial</w:t>
            </w:r>
          </w:p>
        </w:tc>
        <w:tc>
          <w:tcPr>
            <w:tcW w:w="1525" w:type="dxa"/>
          </w:tcPr>
          <w:p>
            <w:pPr>
              <w:pStyle w:val="TableParagraph"/>
              <w:spacing w:before="124"/>
              <w:ind w:left="215" w:right="207"/>
              <w:jc w:val="center"/>
              <w:rPr>
                <w:sz w:val="22"/>
              </w:rPr>
            </w:pPr>
            <w:r>
              <w:rPr>
                <w:sz w:val="22"/>
              </w:rPr>
              <w:t>Low/Med</w:t>
            </w:r>
          </w:p>
        </w:tc>
      </w:tr>
      <w:tr>
        <w:trPr>
          <w:trHeight w:val="297" w:hRule="atLeast"/>
        </w:trPr>
        <w:tc>
          <w:tcPr>
            <w:tcW w:w="630" w:type="dxa"/>
            <w:shd w:val="clear" w:color="auto" w:fill="C0C0C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00" w:type="dxa"/>
            <w:shd w:val="clear" w:color="auto" w:fill="C0C0C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105" w:type="dxa"/>
            <w:gridSpan w:val="6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before="20"/>
              <w:ind w:left="1762"/>
              <w:rPr>
                <w:sz w:val="22"/>
              </w:rPr>
            </w:pPr>
            <w:r>
              <w:rPr>
                <w:sz w:val="22"/>
              </w:rPr>
              <w:t>CLT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grade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V-1,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front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face,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Ground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level</w:t>
            </w:r>
          </w:p>
        </w:tc>
      </w:tr>
      <w:tr>
        <w:trPr>
          <w:trHeight w:val="506" w:hRule="atLeast"/>
        </w:trPr>
        <w:tc>
          <w:tcPr>
            <w:tcW w:w="630" w:type="dxa"/>
          </w:tcPr>
          <w:p>
            <w:pPr>
              <w:pStyle w:val="TableParagraph"/>
              <w:spacing w:before="125"/>
              <w:ind w:left="7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1</w:t>
            </w:r>
          </w:p>
        </w:tc>
        <w:tc>
          <w:tcPr>
            <w:tcW w:w="900" w:type="dxa"/>
          </w:tcPr>
          <w:p>
            <w:pPr>
              <w:pStyle w:val="TableParagraph"/>
              <w:spacing w:before="125"/>
              <w:ind w:left="110" w:right="101"/>
              <w:jc w:val="center"/>
              <w:rPr>
                <w:sz w:val="22"/>
              </w:rPr>
            </w:pPr>
            <w:r>
              <w:rPr>
                <w:sz w:val="22"/>
              </w:rPr>
              <w:t>32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5"/>
              <w:ind w:left="292"/>
              <w:rPr>
                <w:sz w:val="22"/>
              </w:rPr>
            </w:pPr>
            <w:r>
              <w:rPr>
                <w:sz w:val="22"/>
              </w:rPr>
              <w:t>0.713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5"/>
              <w:ind w:left="292"/>
              <w:rPr>
                <w:sz w:val="22"/>
              </w:rPr>
            </w:pPr>
            <w:r>
              <w:rPr>
                <w:sz w:val="22"/>
              </w:rPr>
              <w:t>0.645</w:t>
            </w:r>
          </w:p>
        </w:tc>
        <w:tc>
          <w:tcPr>
            <w:tcW w:w="990" w:type="dxa"/>
          </w:tcPr>
          <w:p>
            <w:pPr>
              <w:pStyle w:val="TableParagraph"/>
              <w:spacing w:before="125"/>
              <w:ind w:left="226" w:right="218"/>
              <w:jc w:val="center"/>
              <w:rPr>
                <w:sz w:val="22"/>
              </w:rPr>
            </w:pPr>
            <w:r>
              <w:rPr>
                <w:sz w:val="22"/>
              </w:rPr>
              <w:t>0.959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5"/>
              <w:ind w:left="292"/>
              <w:rPr>
                <w:sz w:val="22"/>
              </w:rPr>
            </w:pPr>
            <w:r>
              <w:rPr>
                <w:sz w:val="22"/>
              </w:rPr>
              <w:t>0.868</w:t>
            </w:r>
          </w:p>
        </w:tc>
        <w:tc>
          <w:tcPr>
            <w:tcW w:w="1350" w:type="dxa"/>
          </w:tcPr>
          <w:p>
            <w:pPr>
              <w:pStyle w:val="TableParagraph"/>
              <w:spacing w:line="254" w:lineRule="exact"/>
              <w:ind w:left="191" w:right="132" w:hanging="30"/>
              <w:rPr>
                <w:sz w:val="22"/>
              </w:rPr>
            </w:pPr>
            <w:r>
              <w:rPr>
                <w:sz w:val="22"/>
              </w:rPr>
              <w:t>Superficial/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Superficial</w:t>
            </w:r>
          </w:p>
        </w:tc>
        <w:tc>
          <w:tcPr>
            <w:tcW w:w="1525" w:type="dxa"/>
          </w:tcPr>
          <w:p>
            <w:pPr>
              <w:pStyle w:val="TableParagraph"/>
              <w:spacing w:before="125"/>
              <w:ind w:left="216" w:right="207"/>
              <w:jc w:val="center"/>
              <w:rPr>
                <w:sz w:val="22"/>
              </w:rPr>
            </w:pPr>
            <w:r>
              <w:rPr>
                <w:sz w:val="22"/>
              </w:rPr>
              <w:t>Med/Med</w:t>
            </w:r>
          </w:p>
        </w:tc>
      </w:tr>
      <w:tr>
        <w:trPr>
          <w:trHeight w:val="503" w:hRule="atLeast"/>
        </w:trPr>
        <w:tc>
          <w:tcPr>
            <w:tcW w:w="630" w:type="dxa"/>
          </w:tcPr>
          <w:p>
            <w:pPr>
              <w:pStyle w:val="TableParagraph"/>
              <w:spacing w:before="123"/>
              <w:ind w:left="7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2</w:t>
            </w:r>
          </w:p>
        </w:tc>
        <w:tc>
          <w:tcPr>
            <w:tcW w:w="900" w:type="dxa"/>
          </w:tcPr>
          <w:p>
            <w:pPr>
              <w:pStyle w:val="TableParagraph"/>
              <w:spacing w:before="123"/>
              <w:ind w:left="110" w:right="101"/>
              <w:jc w:val="center"/>
              <w:rPr>
                <w:sz w:val="22"/>
              </w:rPr>
            </w:pPr>
            <w:r>
              <w:rPr>
                <w:sz w:val="22"/>
              </w:rPr>
              <w:t>67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3"/>
              <w:ind w:left="292"/>
              <w:rPr>
                <w:sz w:val="22"/>
              </w:rPr>
            </w:pPr>
            <w:r>
              <w:rPr>
                <w:sz w:val="22"/>
              </w:rPr>
              <w:t>1.146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3"/>
              <w:ind w:left="292"/>
              <w:rPr>
                <w:sz w:val="22"/>
              </w:rPr>
            </w:pPr>
            <w:r>
              <w:rPr>
                <w:sz w:val="22"/>
              </w:rPr>
              <w:t>1.049</w:t>
            </w:r>
          </w:p>
        </w:tc>
        <w:tc>
          <w:tcPr>
            <w:tcW w:w="990" w:type="dxa"/>
          </w:tcPr>
          <w:p>
            <w:pPr>
              <w:pStyle w:val="TableParagraph"/>
              <w:spacing w:before="123"/>
              <w:ind w:left="226" w:right="218"/>
              <w:jc w:val="center"/>
              <w:rPr>
                <w:sz w:val="22"/>
              </w:rPr>
            </w:pPr>
            <w:r>
              <w:rPr>
                <w:sz w:val="22"/>
              </w:rPr>
              <w:t>1.542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3"/>
              <w:ind w:left="292"/>
              <w:rPr>
                <w:sz w:val="22"/>
              </w:rPr>
            </w:pPr>
            <w:r>
              <w:rPr>
                <w:sz w:val="22"/>
              </w:rPr>
              <w:t>1.411</w:t>
            </w:r>
          </w:p>
        </w:tc>
        <w:tc>
          <w:tcPr>
            <w:tcW w:w="1350" w:type="dxa"/>
          </w:tcPr>
          <w:p>
            <w:pPr>
              <w:pStyle w:val="TableParagraph"/>
              <w:spacing w:line="249" w:lineRule="exact"/>
              <w:ind w:left="223"/>
              <w:rPr>
                <w:sz w:val="22"/>
              </w:rPr>
            </w:pPr>
            <w:r>
              <w:rPr>
                <w:sz w:val="22"/>
              </w:rPr>
              <w:t>Moderate/</w:t>
            </w:r>
          </w:p>
          <w:p>
            <w:pPr>
              <w:pStyle w:val="TableParagraph"/>
              <w:spacing w:line="234" w:lineRule="exact"/>
              <w:ind w:left="253"/>
              <w:rPr>
                <w:sz w:val="22"/>
              </w:rPr>
            </w:pPr>
            <w:r>
              <w:rPr>
                <w:sz w:val="22"/>
              </w:rPr>
              <w:t>Moderate</w:t>
            </w:r>
          </w:p>
        </w:tc>
        <w:tc>
          <w:tcPr>
            <w:tcW w:w="1525" w:type="dxa"/>
          </w:tcPr>
          <w:p>
            <w:pPr>
              <w:pStyle w:val="TableParagraph"/>
              <w:spacing w:before="123"/>
              <w:ind w:left="217" w:right="207"/>
              <w:jc w:val="center"/>
              <w:rPr>
                <w:sz w:val="22"/>
              </w:rPr>
            </w:pPr>
            <w:r>
              <w:rPr>
                <w:sz w:val="22"/>
              </w:rPr>
              <w:t>Low/Low</w:t>
            </w:r>
          </w:p>
        </w:tc>
      </w:tr>
      <w:tr>
        <w:trPr>
          <w:trHeight w:val="506" w:hRule="atLeast"/>
        </w:trPr>
        <w:tc>
          <w:tcPr>
            <w:tcW w:w="630" w:type="dxa"/>
          </w:tcPr>
          <w:p>
            <w:pPr>
              <w:pStyle w:val="TableParagraph"/>
              <w:spacing w:before="125"/>
              <w:ind w:left="7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3</w:t>
            </w:r>
          </w:p>
        </w:tc>
        <w:tc>
          <w:tcPr>
            <w:tcW w:w="900" w:type="dxa"/>
          </w:tcPr>
          <w:p>
            <w:pPr>
              <w:pStyle w:val="TableParagraph"/>
              <w:spacing w:before="125"/>
              <w:ind w:left="110" w:right="101"/>
              <w:jc w:val="center"/>
              <w:rPr>
                <w:sz w:val="22"/>
              </w:rPr>
            </w:pPr>
            <w:r>
              <w:rPr>
                <w:sz w:val="22"/>
              </w:rPr>
              <w:t>199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5"/>
              <w:ind w:left="346"/>
              <w:rPr>
                <w:sz w:val="22"/>
              </w:rPr>
            </w:pPr>
            <w:r>
              <w:rPr>
                <w:sz w:val="22"/>
              </w:rPr>
              <w:t>3.24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5"/>
              <w:ind w:left="292"/>
              <w:rPr>
                <w:sz w:val="22"/>
              </w:rPr>
            </w:pPr>
            <w:r>
              <w:rPr>
                <w:sz w:val="22"/>
              </w:rPr>
              <w:t>2.421</w:t>
            </w:r>
          </w:p>
        </w:tc>
        <w:tc>
          <w:tcPr>
            <w:tcW w:w="990" w:type="dxa"/>
          </w:tcPr>
          <w:p>
            <w:pPr>
              <w:pStyle w:val="TableParagraph"/>
              <w:spacing w:before="125"/>
              <w:ind w:left="226" w:right="217"/>
              <w:jc w:val="center"/>
              <w:rPr>
                <w:sz w:val="22"/>
              </w:rPr>
            </w:pPr>
            <w:r>
              <w:rPr>
                <w:sz w:val="22"/>
              </w:rPr>
              <w:t>4.351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5"/>
              <w:ind w:left="292"/>
              <w:rPr>
                <w:sz w:val="22"/>
              </w:rPr>
            </w:pPr>
            <w:r>
              <w:rPr>
                <w:sz w:val="22"/>
              </w:rPr>
              <w:t>3.255</w:t>
            </w:r>
          </w:p>
        </w:tc>
        <w:tc>
          <w:tcPr>
            <w:tcW w:w="1350" w:type="dxa"/>
          </w:tcPr>
          <w:p>
            <w:pPr>
              <w:pStyle w:val="TableParagraph"/>
              <w:spacing w:line="254" w:lineRule="exact"/>
              <w:ind w:left="357" w:right="239" w:hanging="99"/>
              <w:rPr>
                <w:sz w:val="22"/>
              </w:rPr>
            </w:pPr>
            <w:r>
              <w:rPr>
                <w:spacing w:val="-1"/>
                <w:sz w:val="22"/>
              </w:rPr>
              <w:t>Collapse/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Hazard</w:t>
            </w:r>
          </w:p>
        </w:tc>
        <w:tc>
          <w:tcPr>
            <w:tcW w:w="1525" w:type="dxa"/>
          </w:tcPr>
          <w:p>
            <w:pPr>
              <w:pStyle w:val="TableParagraph"/>
              <w:spacing w:line="254" w:lineRule="exact"/>
              <w:ind w:left="376" w:right="326" w:hanging="30"/>
              <w:rPr>
                <w:sz w:val="22"/>
              </w:rPr>
            </w:pPr>
            <w:r>
              <w:rPr>
                <w:spacing w:val="-1"/>
                <w:sz w:val="22"/>
              </w:rPr>
              <w:t>Collapse/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Collapse</w:t>
            </w:r>
          </w:p>
        </w:tc>
      </w:tr>
      <w:tr>
        <w:trPr>
          <w:trHeight w:val="297" w:hRule="atLeast"/>
        </w:trPr>
        <w:tc>
          <w:tcPr>
            <w:tcW w:w="630" w:type="dxa"/>
            <w:shd w:val="clear" w:color="auto" w:fill="C0C0C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00" w:type="dxa"/>
            <w:shd w:val="clear" w:color="auto" w:fill="C0C0C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105" w:type="dxa"/>
            <w:gridSpan w:val="6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before="20"/>
              <w:ind w:left="1292" w:right="1288"/>
              <w:jc w:val="center"/>
              <w:rPr>
                <w:sz w:val="22"/>
              </w:rPr>
            </w:pPr>
            <w:r>
              <w:rPr>
                <w:sz w:val="22"/>
              </w:rPr>
              <w:t>CLT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grade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V-4,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front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face,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Ground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level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(h=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10-ft)</w:t>
            </w:r>
          </w:p>
        </w:tc>
      </w:tr>
      <w:tr>
        <w:trPr>
          <w:trHeight w:val="506" w:hRule="atLeast"/>
        </w:trPr>
        <w:tc>
          <w:tcPr>
            <w:tcW w:w="630" w:type="dxa"/>
          </w:tcPr>
          <w:p>
            <w:pPr>
              <w:pStyle w:val="TableParagraph"/>
              <w:spacing w:before="125"/>
              <w:ind w:left="7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1</w:t>
            </w:r>
          </w:p>
        </w:tc>
        <w:tc>
          <w:tcPr>
            <w:tcW w:w="900" w:type="dxa"/>
          </w:tcPr>
          <w:p>
            <w:pPr>
              <w:pStyle w:val="TableParagraph"/>
              <w:spacing w:before="125"/>
              <w:ind w:left="110" w:right="101"/>
              <w:jc w:val="center"/>
              <w:rPr>
                <w:sz w:val="22"/>
              </w:rPr>
            </w:pPr>
            <w:r>
              <w:rPr>
                <w:sz w:val="22"/>
              </w:rPr>
              <w:t>32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5"/>
              <w:ind w:left="292"/>
              <w:rPr>
                <w:sz w:val="22"/>
              </w:rPr>
            </w:pPr>
            <w:r>
              <w:rPr>
                <w:sz w:val="22"/>
              </w:rPr>
              <w:t>0.645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5"/>
              <w:ind w:left="292"/>
              <w:rPr>
                <w:sz w:val="22"/>
              </w:rPr>
            </w:pPr>
            <w:r>
              <w:rPr>
                <w:sz w:val="22"/>
              </w:rPr>
              <w:t>0.588</w:t>
            </w:r>
          </w:p>
        </w:tc>
        <w:tc>
          <w:tcPr>
            <w:tcW w:w="990" w:type="dxa"/>
          </w:tcPr>
          <w:p>
            <w:pPr>
              <w:pStyle w:val="TableParagraph"/>
              <w:spacing w:before="125"/>
              <w:ind w:left="226" w:right="218"/>
              <w:jc w:val="center"/>
              <w:rPr>
                <w:sz w:val="22"/>
              </w:rPr>
            </w:pPr>
            <w:r>
              <w:rPr>
                <w:sz w:val="22"/>
              </w:rPr>
              <w:t>0.997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5"/>
              <w:ind w:left="292"/>
              <w:rPr>
                <w:sz w:val="22"/>
              </w:rPr>
            </w:pPr>
            <w:r>
              <w:rPr>
                <w:sz w:val="22"/>
              </w:rPr>
              <w:t>0.908</w:t>
            </w:r>
          </w:p>
        </w:tc>
        <w:tc>
          <w:tcPr>
            <w:tcW w:w="1350" w:type="dxa"/>
          </w:tcPr>
          <w:p>
            <w:pPr>
              <w:pStyle w:val="TableParagraph"/>
              <w:spacing w:line="252" w:lineRule="exact"/>
              <w:ind w:left="191" w:right="132" w:hanging="30"/>
              <w:rPr>
                <w:sz w:val="22"/>
              </w:rPr>
            </w:pPr>
            <w:r>
              <w:rPr>
                <w:sz w:val="22"/>
              </w:rPr>
              <w:t>Superficial/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Superficial</w:t>
            </w:r>
          </w:p>
        </w:tc>
        <w:tc>
          <w:tcPr>
            <w:tcW w:w="1525" w:type="dxa"/>
          </w:tcPr>
          <w:p>
            <w:pPr>
              <w:pStyle w:val="TableParagraph"/>
              <w:spacing w:before="125"/>
              <w:ind w:left="216" w:right="207"/>
              <w:jc w:val="center"/>
              <w:rPr>
                <w:sz w:val="22"/>
              </w:rPr>
            </w:pPr>
            <w:r>
              <w:rPr>
                <w:sz w:val="22"/>
              </w:rPr>
              <w:t>Med/Med</w:t>
            </w:r>
          </w:p>
        </w:tc>
      </w:tr>
      <w:tr>
        <w:trPr>
          <w:trHeight w:val="505" w:hRule="atLeast"/>
        </w:trPr>
        <w:tc>
          <w:tcPr>
            <w:tcW w:w="630" w:type="dxa"/>
          </w:tcPr>
          <w:p>
            <w:pPr>
              <w:pStyle w:val="TableParagraph"/>
              <w:spacing w:before="125"/>
              <w:ind w:left="7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2</w:t>
            </w:r>
          </w:p>
        </w:tc>
        <w:tc>
          <w:tcPr>
            <w:tcW w:w="900" w:type="dxa"/>
          </w:tcPr>
          <w:p>
            <w:pPr>
              <w:pStyle w:val="TableParagraph"/>
              <w:spacing w:before="125"/>
              <w:ind w:left="110" w:right="101"/>
              <w:jc w:val="center"/>
              <w:rPr>
                <w:sz w:val="22"/>
              </w:rPr>
            </w:pPr>
            <w:r>
              <w:rPr>
                <w:sz w:val="22"/>
              </w:rPr>
              <w:t>67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5"/>
              <w:ind w:left="292"/>
              <w:rPr>
                <w:sz w:val="22"/>
              </w:rPr>
            </w:pPr>
            <w:r>
              <w:rPr>
                <w:sz w:val="22"/>
              </w:rPr>
              <w:t>1.036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5"/>
              <w:ind w:left="292"/>
              <w:rPr>
                <w:sz w:val="22"/>
              </w:rPr>
            </w:pPr>
            <w:r>
              <w:rPr>
                <w:sz w:val="22"/>
              </w:rPr>
              <w:t>0.959</w:t>
            </w:r>
          </w:p>
        </w:tc>
        <w:tc>
          <w:tcPr>
            <w:tcW w:w="990" w:type="dxa"/>
          </w:tcPr>
          <w:p>
            <w:pPr>
              <w:pStyle w:val="TableParagraph"/>
              <w:spacing w:before="125"/>
              <w:ind w:left="226" w:right="216"/>
              <w:jc w:val="center"/>
              <w:rPr>
                <w:sz w:val="22"/>
              </w:rPr>
            </w:pPr>
            <w:r>
              <w:rPr>
                <w:sz w:val="22"/>
              </w:rPr>
              <w:t>1.6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5"/>
              <w:ind w:left="292"/>
              <w:rPr>
                <w:sz w:val="22"/>
              </w:rPr>
            </w:pPr>
            <w:r>
              <w:rPr>
                <w:sz w:val="22"/>
              </w:rPr>
              <w:t>1.481</w:t>
            </w:r>
          </w:p>
        </w:tc>
        <w:tc>
          <w:tcPr>
            <w:tcW w:w="1350" w:type="dxa"/>
          </w:tcPr>
          <w:p>
            <w:pPr>
              <w:pStyle w:val="TableParagraph"/>
              <w:spacing w:line="252" w:lineRule="exact"/>
              <w:ind w:left="191" w:right="174" w:firstLine="31"/>
              <w:rPr>
                <w:sz w:val="22"/>
              </w:rPr>
            </w:pPr>
            <w:r>
              <w:rPr>
                <w:sz w:val="22"/>
              </w:rPr>
              <w:t>Moderate/</w:t>
            </w:r>
            <w:r>
              <w:rPr>
                <w:spacing w:val="-52"/>
                <w:sz w:val="22"/>
              </w:rPr>
              <w:t> </w:t>
            </w:r>
            <w:r>
              <w:rPr>
                <w:spacing w:val="-1"/>
                <w:sz w:val="22"/>
              </w:rPr>
              <w:t>Superficial</w:t>
            </w:r>
          </w:p>
        </w:tc>
        <w:tc>
          <w:tcPr>
            <w:tcW w:w="1525" w:type="dxa"/>
          </w:tcPr>
          <w:p>
            <w:pPr>
              <w:pStyle w:val="TableParagraph"/>
              <w:spacing w:before="125"/>
              <w:ind w:left="215" w:right="207"/>
              <w:jc w:val="center"/>
              <w:rPr>
                <w:sz w:val="22"/>
              </w:rPr>
            </w:pPr>
            <w:r>
              <w:rPr>
                <w:sz w:val="22"/>
              </w:rPr>
              <w:t>Low/Med</w:t>
            </w:r>
          </w:p>
        </w:tc>
      </w:tr>
      <w:tr>
        <w:trPr>
          <w:trHeight w:val="507" w:hRule="atLeast"/>
        </w:trPr>
        <w:tc>
          <w:tcPr>
            <w:tcW w:w="630" w:type="dxa"/>
          </w:tcPr>
          <w:p>
            <w:pPr>
              <w:pStyle w:val="TableParagraph"/>
              <w:spacing w:before="125"/>
              <w:ind w:left="7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3</w:t>
            </w:r>
          </w:p>
        </w:tc>
        <w:tc>
          <w:tcPr>
            <w:tcW w:w="900" w:type="dxa"/>
          </w:tcPr>
          <w:p>
            <w:pPr>
              <w:pStyle w:val="TableParagraph"/>
              <w:spacing w:before="125"/>
              <w:ind w:left="110" w:right="101"/>
              <w:jc w:val="center"/>
              <w:rPr>
                <w:sz w:val="22"/>
              </w:rPr>
            </w:pPr>
            <w:r>
              <w:rPr>
                <w:sz w:val="22"/>
              </w:rPr>
              <w:t>199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5"/>
              <w:ind w:left="346"/>
              <w:rPr>
                <w:sz w:val="22"/>
              </w:rPr>
            </w:pPr>
            <w:r>
              <w:rPr>
                <w:sz w:val="22"/>
              </w:rPr>
              <w:t>2.69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5"/>
              <w:ind w:left="292"/>
              <w:rPr>
                <w:sz w:val="22"/>
              </w:rPr>
            </w:pPr>
            <w:r>
              <w:rPr>
                <w:sz w:val="22"/>
              </w:rPr>
              <w:t>2.081</w:t>
            </w:r>
          </w:p>
        </w:tc>
        <w:tc>
          <w:tcPr>
            <w:tcW w:w="990" w:type="dxa"/>
          </w:tcPr>
          <w:p>
            <w:pPr>
              <w:pStyle w:val="TableParagraph"/>
              <w:spacing w:before="125"/>
              <w:ind w:left="226" w:right="217"/>
              <w:jc w:val="center"/>
              <w:rPr>
                <w:sz w:val="22"/>
              </w:rPr>
            </w:pPr>
            <w:r>
              <w:rPr>
                <w:sz w:val="22"/>
              </w:rPr>
              <w:t>4.146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5"/>
              <w:ind w:left="346"/>
              <w:rPr>
                <w:sz w:val="22"/>
              </w:rPr>
            </w:pPr>
            <w:r>
              <w:rPr>
                <w:sz w:val="22"/>
              </w:rPr>
              <w:t>3.21</w:t>
            </w:r>
          </w:p>
        </w:tc>
        <w:tc>
          <w:tcPr>
            <w:tcW w:w="1350" w:type="dxa"/>
          </w:tcPr>
          <w:p>
            <w:pPr>
              <w:pStyle w:val="TableParagraph"/>
              <w:spacing w:line="254" w:lineRule="exact"/>
              <w:ind w:left="357" w:right="298" w:hanging="32"/>
              <w:rPr>
                <w:sz w:val="22"/>
              </w:rPr>
            </w:pPr>
            <w:r>
              <w:rPr>
                <w:sz w:val="22"/>
              </w:rPr>
              <w:t>Hazard/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Hazard</w:t>
            </w:r>
          </w:p>
        </w:tc>
        <w:tc>
          <w:tcPr>
            <w:tcW w:w="1525" w:type="dxa"/>
          </w:tcPr>
          <w:p>
            <w:pPr>
              <w:pStyle w:val="TableParagraph"/>
              <w:spacing w:line="254" w:lineRule="exact"/>
              <w:ind w:left="376" w:right="326" w:hanging="30"/>
              <w:rPr>
                <w:sz w:val="22"/>
              </w:rPr>
            </w:pPr>
            <w:r>
              <w:rPr>
                <w:spacing w:val="-1"/>
                <w:sz w:val="22"/>
              </w:rPr>
              <w:t>Collapse/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Collapse</w:t>
            </w:r>
          </w:p>
        </w:tc>
      </w:tr>
    </w:tbl>
    <w:p>
      <w:pPr>
        <w:spacing w:after="0" w:line="254" w:lineRule="exact"/>
        <w:rPr>
          <w:sz w:val="22"/>
        </w:rPr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40" w:right="418" w:firstLine="720"/>
        <w:jc w:val="both"/>
      </w:pPr>
      <w:r>
        <w:rPr/>
        <w:t>Reasons for the discrepancies between the tool prediction and the actual observed</w:t>
      </w:r>
      <w:r>
        <w:rPr>
          <w:spacing w:val="1"/>
        </w:rPr>
        <w:t> </w:t>
      </w:r>
      <w:r>
        <w:rPr/>
        <w:t>effects</w:t>
      </w:r>
      <w:r>
        <w:rPr>
          <w:spacing w:val="18"/>
        </w:rPr>
        <w:t> </w:t>
      </w:r>
      <w:r>
        <w:rPr/>
        <w:t>may</w:t>
      </w:r>
      <w:r>
        <w:rPr>
          <w:spacing w:val="20"/>
        </w:rPr>
        <w:t> </w:t>
      </w:r>
      <w:r>
        <w:rPr/>
        <w:t>include</w:t>
      </w:r>
      <w:r>
        <w:rPr>
          <w:spacing w:val="18"/>
        </w:rPr>
        <w:t> </w:t>
      </w:r>
      <w:r>
        <w:rPr/>
        <w:t>that</w:t>
      </w:r>
      <w:r>
        <w:rPr>
          <w:spacing w:val="18"/>
        </w:rPr>
        <w:t> </w:t>
      </w:r>
      <w:r>
        <w:rPr/>
        <w:t>the</w:t>
      </w:r>
      <w:r>
        <w:rPr>
          <w:spacing w:val="19"/>
        </w:rPr>
        <w:t> </w:t>
      </w:r>
      <w:r>
        <w:rPr/>
        <w:t>panels</w:t>
      </w:r>
      <w:r>
        <w:rPr>
          <w:spacing w:val="19"/>
        </w:rPr>
        <w:t> </w:t>
      </w:r>
      <w:r>
        <w:rPr/>
        <w:t>are</w:t>
      </w:r>
      <w:r>
        <w:rPr>
          <w:spacing w:val="19"/>
        </w:rPr>
        <w:t> </w:t>
      </w:r>
      <w:r>
        <w:rPr/>
        <w:t>stronger</w:t>
      </w:r>
      <w:r>
        <w:rPr>
          <w:spacing w:val="17"/>
        </w:rPr>
        <w:t> </w:t>
      </w:r>
      <w:r>
        <w:rPr/>
        <w:t>than</w:t>
      </w:r>
      <w:r>
        <w:rPr>
          <w:spacing w:val="19"/>
        </w:rPr>
        <w:t> </w:t>
      </w:r>
      <w:r>
        <w:rPr/>
        <w:t>the</w:t>
      </w:r>
      <w:r>
        <w:rPr>
          <w:spacing w:val="18"/>
        </w:rPr>
        <w:t> </w:t>
      </w:r>
      <w:r>
        <w:rPr/>
        <w:t>required</w:t>
      </w:r>
      <w:r>
        <w:rPr>
          <w:spacing w:val="19"/>
        </w:rPr>
        <w:t> </w:t>
      </w:r>
      <w:r>
        <w:rPr/>
        <w:t>design</w:t>
      </w:r>
      <w:r>
        <w:rPr>
          <w:spacing w:val="18"/>
        </w:rPr>
        <w:t> </w:t>
      </w:r>
      <w:r>
        <w:rPr/>
        <w:t>values</w:t>
      </w:r>
      <w:r>
        <w:rPr>
          <w:spacing w:val="19"/>
        </w:rPr>
        <w:t> </w:t>
      </w:r>
      <w:r>
        <w:rPr/>
        <w:t>of</w:t>
      </w:r>
      <w:r>
        <w:rPr>
          <w:spacing w:val="18"/>
        </w:rPr>
        <w:t> </w:t>
      </w:r>
      <w:r>
        <w:rPr/>
        <w:t>PRG</w:t>
      </w:r>
    </w:p>
    <w:p>
      <w:pPr>
        <w:pStyle w:val="BodyText"/>
        <w:spacing w:line="480" w:lineRule="auto"/>
        <w:ind w:left="440" w:right="417"/>
        <w:jc w:val="both"/>
      </w:pPr>
      <w:r>
        <w:rPr/>
        <w:t>320.</w:t>
      </w:r>
      <w:r>
        <w:rPr>
          <w:spacing w:val="1"/>
        </w:rPr>
        <w:t> </w:t>
      </w:r>
      <w:r>
        <w:rPr/>
        <w:t>A SIF and DIF may need to be determined to account for the additional strength of</w:t>
      </w:r>
      <w:r>
        <w:rPr>
          <w:spacing w:val="1"/>
        </w:rPr>
        <w:t> </w:t>
      </w:r>
      <w:r>
        <w:rPr/>
        <w:t>the panels. Validation of the tool beyond the elastic regime was not possible without blast</w:t>
      </w:r>
      <w:r>
        <w:rPr>
          <w:spacing w:val="-57"/>
        </w:rPr>
        <w:t> </w:t>
      </w:r>
      <w:r>
        <w:rPr/>
        <w:t>test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plastic</w:t>
      </w:r>
      <w:r>
        <w:rPr>
          <w:spacing w:val="1"/>
        </w:rPr>
        <w:t> </w:t>
      </w:r>
      <w:r>
        <w:rPr/>
        <w:t>regime.</w:t>
      </w:r>
      <w:r>
        <w:rPr>
          <w:spacing w:val="1"/>
        </w:rPr>
        <w:t> </w:t>
      </w:r>
      <w:r>
        <w:rPr/>
        <w:t>Additionally,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negative</w:t>
      </w:r>
      <w:r>
        <w:rPr>
          <w:spacing w:val="1"/>
        </w:rPr>
        <w:t> </w:t>
      </w:r>
      <w:r>
        <w:rPr/>
        <w:t>pressure</w:t>
      </w:r>
      <w:r>
        <w:rPr>
          <w:spacing w:val="1"/>
        </w:rPr>
        <w:t> </w:t>
      </w:r>
      <w:r>
        <w:rPr/>
        <w:t>phase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not</w:t>
      </w:r>
      <w:r>
        <w:rPr>
          <w:spacing w:val="-57"/>
        </w:rPr>
        <w:t> </w:t>
      </w:r>
      <w:r>
        <w:rPr/>
        <w:t>accurately</w:t>
      </w:r>
      <w:r>
        <w:rPr>
          <w:spacing w:val="-8"/>
        </w:rPr>
        <w:t> </w:t>
      </w:r>
      <w:r>
        <w:rPr/>
        <w:t>represented</w:t>
      </w:r>
      <w:r>
        <w:rPr>
          <w:spacing w:val="-6"/>
        </w:rPr>
        <w:t> </w:t>
      </w:r>
      <w:r>
        <w:rPr/>
        <w:t>in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tool.</w:t>
      </w:r>
      <w:r>
        <w:rPr>
          <w:spacing w:val="48"/>
        </w:rPr>
        <w:t> </w:t>
      </w:r>
      <w:r>
        <w:rPr/>
        <w:t>Future</w:t>
      </w:r>
      <w:r>
        <w:rPr>
          <w:spacing w:val="-6"/>
        </w:rPr>
        <w:t> </w:t>
      </w:r>
      <w:r>
        <w:rPr/>
        <w:t>modifications</w:t>
      </w:r>
      <w:r>
        <w:rPr>
          <w:spacing w:val="-7"/>
        </w:rPr>
        <w:t> </w:t>
      </w:r>
      <w:r>
        <w:rPr/>
        <w:t>to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tool</w:t>
      </w:r>
      <w:r>
        <w:rPr>
          <w:spacing w:val="-6"/>
        </w:rPr>
        <w:t> </w:t>
      </w:r>
      <w:r>
        <w:rPr/>
        <w:t>could</w:t>
      </w:r>
      <w:r>
        <w:rPr>
          <w:spacing w:val="-8"/>
        </w:rPr>
        <w:t> </w:t>
      </w:r>
      <w:r>
        <w:rPr/>
        <w:t>incorporate</w:t>
      </w:r>
      <w:r>
        <w:rPr>
          <w:spacing w:val="-6"/>
        </w:rPr>
        <w:t> </w:t>
      </w:r>
      <w:r>
        <w:rPr/>
        <w:t>more</w:t>
      </w:r>
      <w:r>
        <w:rPr>
          <w:spacing w:val="-58"/>
        </w:rPr>
        <w:t> </w:t>
      </w:r>
      <w:r>
        <w:rPr/>
        <w:t>accurate rebound displacements with additional validation using plastic regime data and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calculation of</w:t>
      </w:r>
      <w:r>
        <w:rPr>
          <w:spacing w:val="-1"/>
        </w:rPr>
        <w:t> </w:t>
      </w:r>
      <w:r>
        <w:rPr/>
        <w:t>negative phase blast parameters.</w:t>
      </w:r>
    </w:p>
    <w:p>
      <w:pPr>
        <w:pStyle w:val="ListParagraph"/>
        <w:numPr>
          <w:ilvl w:val="2"/>
          <w:numId w:val="27"/>
        </w:numPr>
        <w:tabs>
          <w:tab w:pos="980" w:val="left" w:leader="none"/>
        </w:tabs>
        <w:spacing w:line="240" w:lineRule="auto" w:before="161" w:after="0"/>
        <w:ind w:left="980" w:right="0" w:hanging="540"/>
        <w:jc w:val="both"/>
        <w:rPr>
          <w:i/>
          <w:sz w:val="24"/>
        </w:rPr>
      </w:pPr>
      <w:bookmarkStart w:name="8.3.3 Model with proposed Dynamic Increa" w:id="559"/>
      <w:bookmarkEnd w:id="559"/>
      <w:r>
        <w:rPr/>
      </w:r>
      <w:bookmarkStart w:name="8.3.3 Model with proposed Dynamic Increa" w:id="560"/>
      <w:bookmarkEnd w:id="560"/>
      <w:r>
        <w:rPr>
          <w:i/>
          <w:sz w:val="24"/>
        </w:rPr>
        <w:t>Model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with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proposed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Dynamic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Increase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Factor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(DIF)</w:t>
      </w:r>
    </w:p>
    <w:p>
      <w:pPr>
        <w:pStyle w:val="BodyText"/>
        <w:spacing w:before="7"/>
        <w:rPr>
          <w:i/>
          <w:sz w:val="22"/>
        </w:rPr>
      </w:pPr>
    </w:p>
    <w:p>
      <w:pPr>
        <w:pStyle w:val="BodyText"/>
        <w:spacing w:line="480" w:lineRule="auto"/>
        <w:ind w:left="440" w:right="416" w:firstLine="720"/>
        <w:jc w:val="both"/>
      </w:pPr>
      <w:r>
        <w:rPr/>
        <w:t>Using the dynamic increase factor of 1.28 proposed by Poulin et al. the CLT blast</w:t>
      </w:r>
      <w:r>
        <w:rPr>
          <w:spacing w:val="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tool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re-run</w:t>
      </w:r>
      <w:r>
        <w:rPr>
          <w:spacing w:val="1"/>
        </w:rPr>
        <w:t> </w:t>
      </w:r>
      <w:r>
        <w:rPr/>
        <w:t>[89].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DIF</w:t>
      </w:r>
      <w:r>
        <w:rPr>
          <w:spacing w:val="1"/>
        </w:rPr>
        <w:t> </w:t>
      </w:r>
      <w:r>
        <w:rPr/>
        <w:t>appears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improve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predicted</w:t>
      </w:r>
      <w:r>
        <w:rPr>
          <w:spacing w:val="1"/>
        </w:rPr>
        <w:t> </w:t>
      </w:r>
      <w:r>
        <w:rPr/>
        <w:t>inbound</w:t>
      </w:r>
      <w:r>
        <w:rPr>
          <w:spacing w:val="1"/>
        </w:rPr>
        <w:t> </w:t>
      </w:r>
      <w:r>
        <w:rPr/>
        <w:t>displacement</w:t>
      </w:r>
      <w:r>
        <w:rPr>
          <w:spacing w:val="-12"/>
        </w:rPr>
        <w:t> </w:t>
      </w:r>
      <w:r>
        <w:rPr/>
        <w:t>for</w:t>
      </w:r>
      <w:r>
        <w:rPr>
          <w:spacing w:val="-12"/>
        </w:rPr>
        <w:t> </w:t>
      </w:r>
      <w:r>
        <w:rPr/>
        <w:t>larger</w:t>
      </w:r>
      <w:r>
        <w:rPr>
          <w:spacing w:val="-12"/>
        </w:rPr>
        <w:t> </w:t>
      </w:r>
      <w:r>
        <w:rPr/>
        <w:t>blast</w:t>
      </w:r>
      <w:r>
        <w:rPr>
          <w:spacing w:val="-12"/>
        </w:rPr>
        <w:t> </w:t>
      </w:r>
      <w:r>
        <w:rPr/>
        <w:t>loads</w:t>
      </w:r>
      <w:r>
        <w:rPr>
          <w:spacing w:val="-12"/>
        </w:rPr>
        <w:t> </w:t>
      </w:r>
      <w:r>
        <w:rPr/>
        <w:t>but</w:t>
      </w:r>
      <w:r>
        <w:rPr>
          <w:spacing w:val="-12"/>
        </w:rPr>
        <w:t> </w:t>
      </w:r>
      <w:r>
        <w:rPr/>
        <w:t>more</w:t>
      </w:r>
      <w:r>
        <w:rPr>
          <w:spacing w:val="-12"/>
        </w:rPr>
        <w:t> </w:t>
      </w:r>
      <w:r>
        <w:rPr/>
        <w:t>testing</w:t>
      </w:r>
      <w:r>
        <w:rPr>
          <w:spacing w:val="-11"/>
        </w:rPr>
        <w:t> </w:t>
      </w:r>
      <w:r>
        <w:rPr/>
        <w:t>is</w:t>
      </w:r>
      <w:r>
        <w:rPr>
          <w:spacing w:val="-12"/>
        </w:rPr>
        <w:t> </w:t>
      </w:r>
      <w:r>
        <w:rPr/>
        <w:t>needed.</w:t>
      </w:r>
      <w:r>
        <w:rPr>
          <w:spacing w:val="34"/>
        </w:rPr>
        <w:t> </w:t>
      </w:r>
      <w:r>
        <w:rPr/>
        <w:t>At</w:t>
      </w:r>
      <w:r>
        <w:rPr>
          <w:spacing w:val="-11"/>
        </w:rPr>
        <w:t> </w:t>
      </w:r>
      <w:r>
        <w:rPr/>
        <w:t>the</w:t>
      </w:r>
      <w:r>
        <w:rPr>
          <w:spacing w:val="-13"/>
        </w:rPr>
        <w:t> </w:t>
      </w:r>
      <w:r>
        <w:rPr/>
        <w:t>smallest</w:t>
      </w:r>
      <w:r>
        <w:rPr>
          <w:spacing w:val="-12"/>
        </w:rPr>
        <w:t> </w:t>
      </w:r>
      <w:r>
        <w:rPr/>
        <w:t>blast</w:t>
      </w:r>
      <w:r>
        <w:rPr>
          <w:spacing w:val="-12"/>
        </w:rPr>
        <w:t> </w:t>
      </w:r>
      <w:r>
        <w:rPr/>
        <w:t>weight,</w:t>
      </w:r>
      <w:r>
        <w:rPr>
          <w:spacing w:val="-57"/>
        </w:rPr>
        <w:t> </w:t>
      </w:r>
      <w:r>
        <w:rPr/>
        <w:t>the displacement predictions were unchanged for all three grades of CLT.</w:t>
      </w:r>
      <w:r>
        <w:rPr>
          <w:spacing w:val="1"/>
        </w:rPr>
        <w:t> </w:t>
      </w:r>
      <w:r>
        <w:rPr/>
        <w:t>For the second</w:t>
      </w:r>
      <w:r>
        <w:rPr>
          <w:spacing w:val="-57"/>
        </w:rPr>
        <w:t> </w:t>
      </w:r>
      <w:r>
        <w:rPr/>
        <w:t>shot, the displacement values were unchanged for the E1 panel, and improved for the V1</w:t>
      </w:r>
      <w:r>
        <w:rPr>
          <w:spacing w:val="1"/>
        </w:rPr>
        <w:t> </w:t>
      </w:r>
      <w:r>
        <w:rPr/>
        <w:t>panel for both the UFC and field data loads.</w:t>
      </w:r>
      <w:r>
        <w:rPr>
          <w:spacing w:val="1"/>
        </w:rPr>
        <w:t> </w:t>
      </w:r>
      <w:r>
        <w:rPr/>
        <w:t>For the V4 panel, the UFC load provided a</w:t>
      </w:r>
      <w:r>
        <w:rPr>
          <w:spacing w:val="1"/>
        </w:rPr>
        <w:t> </w:t>
      </w:r>
      <w:r>
        <w:rPr/>
        <w:t>smaller percent difference for the second shot. The field data based displacement resulted</w:t>
      </w:r>
      <w:r>
        <w:rPr>
          <w:spacing w:val="-57"/>
        </w:rPr>
        <w:t> </w:t>
      </w:r>
      <w:r>
        <w:rPr/>
        <w:t>in the same value calculated without the DIF.</w:t>
      </w:r>
      <w:r>
        <w:rPr>
          <w:spacing w:val="1"/>
        </w:rPr>
        <w:t> </w:t>
      </w:r>
      <w:r>
        <w:rPr/>
        <w:t>The improved percent differences are</w:t>
      </w:r>
      <w:r>
        <w:rPr>
          <w:spacing w:val="1"/>
        </w:rPr>
        <w:t> </w:t>
      </w:r>
      <w:r>
        <w:rPr/>
        <w:t>highlighted in blue on </w:t>
      </w:r>
      <w:hyperlink w:history="true" w:anchor="_bookmark199">
        <w:r>
          <w:rPr/>
          <w:t>Table 8-6</w:t>
        </w:r>
      </w:hyperlink>
      <w:r>
        <w:rPr/>
        <w:t>.</w:t>
      </w:r>
      <w:r>
        <w:rPr>
          <w:spacing w:val="1"/>
        </w:rPr>
        <w:t> </w:t>
      </w:r>
      <w:r>
        <w:rPr/>
        <w:t>The addition of the DIF accounts for higher strengths</w:t>
      </w:r>
      <w:r>
        <w:rPr>
          <w:spacing w:val="1"/>
        </w:rPr>
        <w:t> </w:t>
      </w:r>
      <w:r>
        <w:rPr/>
        <w:t>achieved at the high strain rates of the dynamic loading. The model still has the limitation</w:t>
      </w:r>
      <w:r>
        <w:rPr>
          <w:spacing w:val="-57"/>
        </w:rPr>
        <w:t> </w:t>
      </w:r>
      <w:r>
        <w:rPr/>
        <w:t>for the third test shot where the panels responded beyond the elastic regime.</w:t>
      </w:r>
      <w:r>
        <w:rPr>
          <w:spacing w:val="1"/>
        </w:rPr>
        <w:t> </w:t>
      </w:r>
      <w:r>
        <w:rPr/>
        <w:t>This means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displacement values for the third</w:t>
      </w:r>
      <w:r>
        <w:rPr>
          <w:spacing w:val="-3"/>
        </w:rPr>
        <w:t> </w:t>
      </w:r>
      <w:r>
        <w:rPr/>
        <w:t>shot are</w:t>
      </w:r>
      <w:r>
        <w:rPr>
          <w:spacing w:val="-1"/>
        </w:rPr>
        <w:t> </w:t>
      </w:r>
      <w:r>
        <w:rPr/>
        <w:t>still</w:t>
      </w:r>
      <w:r>
        <w:rPr>
          <w:spacing w:val="-1"/>
        </w:rPr>
        <w:t> </w:t>
      </w:r>
      <w:r>
        <w:rPr/>
        <w:t>inaccurate.</w:t>
      </w:r>
    </w:p>
    <w:p>
      <w:pPr>
        <w:pStyle w:val="BodyText"/>
        <w:spacing w:before="11"/>
        <w:rPr>
          <w:sz w:val="20"/>
        </w:rPr>
      </w:pPr>
    </w:p>
    <w:p>
      <w:pPr>
        <w:pStyle w:val="BodyText"/>
        <w:spacing w:line="480" w:lineRule="auto"/>
        <w:ind w:left="440" w:right="417" w:firstLine="720"/>
        <w:jc w:val="both"/>
      </w:pPr>
      <w:r>
        <w:rPr/>
        <w:t>Based</w:t>
      </w:r>
      <w:r>
        <w:rPr>
          <w:spacing w:val="-7"/>
        </w:rPr>
        <w:t> </w:t>
      </w:r>
      <w:r>
        <w:rPr/>
        <w:t>on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inclusion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6"/>
        </w:rPr>
        <w:t> </w:t>
      </w:r>
      <w:r>
        <w:rPr/>
        <w:t>DIF,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CLT</w:t>
      </w:r>
      <w:r>
        <w:rPr>
          <w:spacing w:val="-7"/>
        </w:rPr>
        <w:t> </w:t>
      </w:r>
      <w:r>
        <w:rPr/>
        <w:t>blast</w:t>
      </w:r>
      <w:r>
        <w:rPr>
          <w:spacing w:val="-8"/>
        </w:rPr>
        <w:t> </w:t>
      </w:r>
      <w:r>
        <w:rPr/>
        <w:t>analysis</w:t>
      </w:r>
      <w:r>
        <w:rPr>
          <w:spacing w:val="-6"/>
        </w:rPr>
        <w:t> </w:t>
      </w:r>
      <w:r>
        <w:rPr/>
        <w:t>tool</w:t>
      </w:r>
      <w:r>
        <w:rPr>
          <w:spacing w:val="-8"/>
        </w:rPr>
        <w:t> </w:t>
      </w:r>
      <w:r>
        <w:rPr/>
        <w:t>predicted</w:t>
      </w:r>
      <w:r>
        <w:rPr>
          <w:spacing w:val="-7"/>
        </w:rPr>
        <w:t> </w:t>
      </w:r>
      <w:r>
        <w:rPr/>
        <w:t>that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E1</w:t>
      </w:r>
      <w:r>
        <w:rPr>
          <w:spacing w:val="-58"/>
        </w:rPr>
        <w:t> </w:t>
      </w:r>
      <w:r>
        <w:rPr/>
        <w:t>panel</w:t>
      </w:r>
      <w:r>
        <w:rPr>
          <w:spacing w:val="23"/>
        </w:rPr>
        <w:t> </w:t>
      </w:r>
      <w:r>
        <w:rPr/>
        <w:t>would</w:t>
      </w:r>
      <w:r>
        <w:rPr>
          <w:spacing w:val="21"/>
        </w:rPr>
        <w:t> </w:t>
      </w:r>
      <w:r>
        <w:rPr/>
        <w:t>only</w:t>
      </w:r>
      <w:r>
        <w:rPr>
          <w:spacing w:val="23"/>
        </w:rPr>
        <w:t> </w:t>
      </w:r>
      <w:r>
        <w:rPr/>
        <w:t>experience</w:t>
      </w:r>
      <w:r>
        <w:rPr>
          <w:spacing w:val="23"/>
        </w:rPr>
        <w:t> </w:t>
      </w:r>
      <w:r>
        <w:rPr/>
        <w:t>superficial</w:t>
      </w:r>
      <w:r>
        <w:rPr>
          <w:spacing w:val="23"/>
        </w:rPr>
        <w:t> </w:t>
      </w:r>
      <w:r>
        <w:rPr/>
        <w:t>damage,</w:t>
      </w:r>
      <w:r>
        <w:rPr>
          <w:spacing w:val="23"/>
        </w:rPr>
        <w:t> </w:t>
      </w:r>
      <w:r>
        <w:rPr/>
        <w:t>shown</w:t>
      </w:r>
      <w:r>
        <w:rPr>
          <w:spacing w:val="24"/>
        </w:rPr>
        <w:t> </w:t>
      </w:r>
      <w:r>
        <w:rPr/>
        <w:t>in</w:t>
      </w:r>
      <w:r>
        <w:rPr>
          <w:spacing w:val="24"/>
        </w:rPr>
        <w:t> </w:t>
      </w:r>
      <w:hyperlink w:history="true" w:anchor="_bookmark200">
        <w:r>
          <w:rPr/>
          <w:t>Table</w:t>
        </w:r>
        <w:r>
          <w:rPr>
            <w:spacing w:val="23"/>
          </w:rPr>
          <w:t> </w:t>
        </w:r>
        <w:r>
          <w:rPr/>
          <w:t>8-7</w:t>
        </w:r>
      </w:hyperlink>
      <w:r>
        <w:rPr/>
        <w:t>.</w:t>
      </w:r>
      <w:r>
        <w:rPr>
          <w:spacing w:val="48"/>
        </w:rPr>
        <w:t> </w:t>
      </w:r>
      <w:r>
        <w:rPr/>
        <w:t>Since</w:t>
      </w:r>
      <w:r>
        <w:rPr>
          <w:spacing w:val="23"/>
        </w:rPr>
        <w:t> </w:t>
      </w:r>
      <w:r>
        <w:rPr/>
        <w:t>the</w:t>
      </w:r>
      <w:r>
        <w:rPr>
          <w:spacing w:val="23"/>
        </w:rPr>
        <w:t> </w:t>
      </w:r>
      <w:r>
        <w:rPr/>
        <w:t>actual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40" w:right="416"/>
        <w:jc w:val="both"/>
        <w:rPr>
          <w:sz w:val="22"/>
        </w:rPr>
      </w:pPr>
      <w:r>
        <w:rPr/>
        <w:t>damage was fracture of the sawn timbers in the outermost plies at the center of the panel,</w:t>
      </w:r>
      <w:r>
        <w:rPr>
          <w:spacing w:val="1"/>
        </w:rPr>
        <w:t> </w:t>
      </w:r>
      <w:r>
        <w:rPr/>
        <w:t>this</w:t>
      </w:r>
      <w:r>
        <w:rPr>
          <w:spacing w:val="-5"/>
        </w:rPr>
        <w:t> </w:t>
      </w:r>
      <w:r>
        <w:rPr/>
        <w:t>revised</w:t>
      </w:r>
      <w:r>
        <w:rPr>
          <w:spacing w:val="-4"/>
        </w:rPr>
        <w:t> </w:t>
      </w:r>
      <w:r>
        <w:rPr/>
        <w:t>damage</w:t>
      </w:r>
      <w:r>
        <w:rPr>
          <w:spacing w:val="-3"/>
        </w:rPr>
        <w:t> </w:t>
      </w:r>
      <w:r>
        <w:rPr/>
        <w:t>estimate</w:t>
      </w:r>
      <w:r>
        <w:rPr>
          <w:spacing w:val="-3"/>
        </w:rPr>
        <w:t> </w:t>
      </w:r>
      <w:r>
        <w:rPr/>
        <w:t>seems</w:t>
      </w:r>
      <w:r>
        <w:rPr>
          <w:spacing w:val="-1"/>
        </w:rPr>
        <w:t> </w:t>
      </w:r>
      <w:r>
        <w:rPr/>
        <w:t>to</w:t>
      </w:r>
      <w:r>
        <w:rPr>
          <w:spacing w:val="-4"/>
        </w:rPr>
        <w:t> </w:t>
      </w:r>
      <w:r>
        <w:rPr/>
        <w:t>under</w:t>
      </w:r>
      <w:r>
        <w:rPr>
          <w:spacing w:val="-3"/>
        </w:rPr>
        <w:t> </w:t>
      </w:r>
      <w:r>
        <w:rPr/>
        <w:t>predict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expected</w:t>
      </w:r>
      <w:r>
        <w:rPr>
          <w:spacing w:val="-4"/>
        </w:rPr>
        <w:t> </w:t>
      </w:r>
      <w:r>
        <w:rPr/>
        <w:t>damage</w:t>
      </w:r>
      <w:r>
        <w:rPr>
          <w:spacing w:val="-1"/>
        </w:rPr>
        <w:t> </w:t>
      </w:r>
      <w:r>
        <w:rPr/>
        <w:t>for</w:t>
      </w:r>
      <w:r>
        <w:rPr>
          <w:spacing w:val="-3"/>
        </w:rPr>
        <w:t> </w:t>
      </w:r>
      <w:r>
        <w:rPr/>
        <w:t>this</w:t>
      </w:r>
      <w:r>
        <w:rPr>
          <w:spacing w:val="-2"/>
        </w:rPr>
        <w:t> </w:t>
      </w:r>
      <w:r>
        <w:rPr/>
        <w:t>grade</w:t>
      </w:r>
      <w:r>
        <w:rPr>
          <w:spacing w:val="-3"/>
        </w:rPr>
        <w:t> </w:t>
      </w:r>
      <w:r>
        <w:rPr/>
        <w:t>of</w:t>
      </w:r>
      <w:r>
        <w:rPr>
          <w:spacing w:val="-58"/>
        </w:rPr>
        <w:t> </w:t>
      </w:r>
      <w:r>
        <w:rPr/>
        <w:t>CLT.</w:t>
      </w:r>
      <w:r>
        <w:rPr>
          <w:spacing w:val="42"/>
        </w:rPr>
        <w:t> </w:t>
      </w:r>
      <w:r>
        <w:rPr/>
        <w:t>The</w:t>
      </w:r>
      <w:r>
        <w:rPr>
          <w:spacing w:val="-8"/>
        </w:rPr>
        <w:t> </w:t>
      </w:r>
      <w:r>
        <w:rPr/>
        <w:t>two</w:t>
      </w:r>
      <w:r>
        <w:rPr>
          <w:spacing w:val="-9"/>
        </w:rPr>
        <w:t> </w:t>
      </w:r>
      <w:r>
        <w:rPr/>
        <w:t>visually</w:t>
      </w:r>
      <w:r>
        <w:rPr>
          <w:spacing w:val="-10"/>
        </w:rPr>
        <w:t> </w:t>
      </w:r>
      <w:r>
        <w:rPr/>
        <w:t>graded</w:t>
      </w:r>
      <w:r>
        <w:rPr>
          <w:spacing w:val="-9"/>
        </w:rPr>
        <w:t> </w:t>
      </w:r>
      <w:r>
        <w:rPr/>
        <w:t>panels,</w:t>
      </w:r>
      <w:r>
        <w:rPr>
          <w:spacing w:val="-9"/>
        </w:rPr>
        <w:t> </w:t>
      </w:r>
      <w:r>
        <w:rPr/>
        <w:t>V1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/>
        <w:t>V4,</w:t>
      </w:r>
      <w:r>
        <w:rPr>
          <w:spacing w:val="-10"/>
        </w:rPr>
        <w:t> </w:t>
      </w:r>
      <w:r>
        <w:rPr/>
        <w:t>were</w:t>
      </w:r>
      <w:r>
        <w:rPr>
          <w:spacing w:val="-10"/>
        </w:rPr>
        <w:t> </w:t>
      </w:r>
      <w:r>
        <w:rPr/>
        <w:t>still</w:t>
      </w:r>
      <w:r>
        <w:rPr>
          <w:spacing w:val="-11"/>
        </w:rPr>
        <w:t> </w:t>
      </w:r>
      <w:r>
        <w:rPr/>
        <w:t>expected</w:t>
      </w:r>
      <w:r>
        <w:rPr>
          <w:spacing w:val="-10"/>
        </w:rPr>
        <w:t> </w:t>
      </w:r>
      <w:r>
        <w:rPr/>
        <w:t>to</w:t>
      </w:r>
      <w:r>
        <w:rPr>
          <w:spacing w:val="-10"/>
        </w:rPr>
        <w:t> </w:t>
      </w:r>
      <w:r>
        <w:rPr/>
        <w:t>receive</w:t>
      </w:r>
      <w:r>
        <w:rPr>
          <w:spacing w:val="-10"/>
        </w:rPr>
        <w:t> </w:t>
      </w:r>
      <w:r>
        <w:rPr/>
        <w:t>heavy</w:t>
      </w:r>
      <w:r>
        <w:rPr>
          <w:spacing w:val="-9"/>
        </w:rPr>
        <w:t> </w:t>
      </w:r>
      <w:r>
        <w:rPr/>
        <w:t>and</w:t>
      </w:r>
      <w:r>
        <w:rPr>
          <w:spacing w:val="-58"/>
        </w:rPr>
        <w:t> </w:t>
      </w:r>
      <w:r>
        <w:rPr/>
        <w:t>hazardous levels of damage which seems excessive given the panel was still standing and</w:t>
      </w:r>
      <w:r>
        <w:rPr>
          <w:spacing w:val="-57"/>
        </w:rPr>
        <w:t> </w:t>
      </w:r>
      <w:r>
        <w:rPr/>
        <w:t>appeared</w:t>
      </w:r>
      <w:r>
        <w:rPr>
          <w:spacing w:val="-8"/>
        </w:rPr>
        <w:t> </w:t>
      </w:r>
      <w:r>
        <w:rPr/>
        <w:t>structurally</w:t>
      </w:r>
      <w:r>
        <w:rPr>
          <w:spacing w:val="-7"/>
        </w:rPr>
        <w:t> </w:t>
      </w:r>
      <w:r>
        <w:rPr/>
        <w:t>sound.</w:t>
      </w:r>
      <w:r>
        <w:rPr>
          <w:spacing w:val="46"/>
        </w:rPr>
        <w:t> </w:t>
      </w:r>
      <w:r>
        <w:rPr/>
        <w:t>The</w:t>
      </w:r>
      <w:r>
        <w:rPr>
          <w:spacing w:val="-8"/>
        </w:rPr>
        <w:t> </w:t>
      </w:r>
      <w:r>
        <w:rPr/>
        <w:t>observed</w:t>
      </w:r>
      <w:r>
        <w:rPr>
          <w:spacing w:val="-7"/>
        </w:rPr>
        <w:t> </w:t>
      </w:r>
      <w:r>
        <w:rPr/>
        <w:t>damage</w:t>
      </w:r>
      <w:r>
        <w:rPr>
          <w:spacing w:val="-7"/>
        </w:rPr>
        <w:t> </w:t>
      </w:r>
      <w:r>
        <w:rPr/>
        <w:t>was</w:t>
      </w:r>
      <w:r>
        <w:rPr>
          <w:spacing w:val="-6"/>
        </w:rPr>
        <w:t> </w:t>
      </w:r>
      <w:r>
        <w:rPr/>
        <w:t>most</w:t>
      </w:r>
      <w:r>
        <w:rPr>
          <w:spacing w:val="-8"/>
        </w:rPr>
        <w:t> </w:t>
      </w:r>
      <w:r>
        <w:rPr/>
        <w:t>consistent</w:t>
      </w:r>
      <w:r>
        <w:rPr>
          <w:spacing w:val="-8"/>
        </w:rPr>
        <w:t> </w:t>
      </w:r>
      <w:r>
        <w:rPr/>
        <w:t>with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moderate</w:t>
      </w:r>
      <w:r>
        <w:rPr>
          <w:spacing w:val="-58"/>
        </w:rPr>
        <w:t> </w:t>
      </w:r>
      <w:r>
        <w:rPr/>
        <w:t>damage</w:t>
      </w:r>
      <w:r>
        <w:rPr>
          <w:spacing w:val="-2"/>
        </w:rPr>
        <w:t> </w:t>
      </w:r>
      <w:r>
        <w:rPr/>
        <w:t>rating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that</w:t>
      </w:r>
      <w:r>
        <w:rPr>
          <w:spacing w:val="-2"/>
        </w:rPr>
        <w:t> </w:t>
      </w:r>
      <w:r>
        <w:rPr/>
        <w:t>there</w:t>
      </w:r>
      <w:r>
        <w:rPr>
          <w:spacing w:val="-2"/>
        </w:rPr>
        <w:t> </w:t>
      </w:r>
      <w:r>
        <w:rPr/>
        <w:t>was</w:t>
      </w:r>
      <w:r>
        <w:rPr>
          <w:spacing w:val="-2"/>
        </w:rPr>
        <w:t> </w:t>
      </w:r>
      <w:r>
        <w:rPr/>
        <w:t>some</w:t>
      </w:r>
      <w:r>
        <w:rPr>
          <w:spacing w:val="-2"/>
        </w:rPr>
        <w:t> </w:t>
      </w:r>
      <w:r>
        <w:rPr/>
        <w:t>fractured</w:t>
      </w:r>
      <w:r>
        <w:rPr>
          <w:spacing w:val="-3"/>
        </w:rPr>
        <w:t> </w:t>
      </w:r>
      <w:r>
        <w:rPr/>
        <w:t>timbers</w:t>
      </w:r>
      <w:r>
        <w:rPr>
          <w:spacing w:val="-2"/>
        </w:rPr>
        <w:t> </w:t>
      </w:r>
      <w:r>
        <w:rPr/>
        <w:t>but</w:t>
      </w:r>
      <w:r>
        <w:rPr>
          <w:spacing w:val="-2"/>
        </w:rPr>
        <w:t> </w:t>
      </w:r>
      <w:r>
        <w:rPr/>
        <w:t>repair</w:t>
      </w:r>
      <w:r>
        <w:rPr>
          <w:spacing w:val="-2"/>
        </w:rPr>
        <w:t> </w:t>
      </w:r>
      <w:r>
        <w:rPr/>
        <w:t>seemed</w:t>
      </w:r>
      <w:r>
        <w:rPr>
          <w:spacing w:val="-3"/>
        </w:rPr>
        <w:t> </w:t>
      </w:r>
      <w:r>
        <w:rPr/>
        <w:t>possible</w:t>
      </w:r>
      <w:r>
        <w:rPr>
          <w:spacing w:val="-2"/>
        </w:rPr>
        <w:t> </w:t>
      </w:r>
      <w:r>
        <w:rPr/>
        <w:t>and</w:t>
      </w:r>
      <w:r>
        <w:rPr>
          <w:spacing w:val="-4"/>
        </w:rPr>
        <w:t> </w:t>
      </w:r>
      <w:r>
        <w:rPr/>
        <w:t>the</w:t>
      </w:r>
      <w:r>
        <w:rPr>
          <w:spacing w:val="-58"/>
        </w:rPr>
        <w:t> </w:t>
      </w:r>
      <w:r>
        <w:rPr/>
        <w:t>panel</w:t>
      </w:r>
      <w:r>
        <w:rPr>
          <w:spacing w:val="-1"/>
        </w:rPr>
        <w:t> </w:t>
      </w:r>
      <w:r>
        <w:rPr/>
        <w:t>appeared </w:t>
      </w:r>
      <w:r>
        <w:rPr>
          <w:sz w:val="22"/>
        </w:rPr>
        <w:t>unlikely to fail.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spacing w:before="184"/>
        <w:ind w:left="439" w:right="546" w:firstLine="0"/>
        <w:jc w:val="both"/>
        <w:rPr>
          <w:i/>
          <w:sz w:val="24"/>
        </w:rPr>
      </w:pPr>
      <w:bookmarkStart w:name="_bookmark199" w:id="561"/>
      <w:bookmarkEnd w:id="561"/>
      <w:r>
        <w:rPr/>
      </w:r>
      <w:r>
        <w:rPr>
          <w:i/>
          <w:sz w:val="24"/>
        </w:rPr>
        <w:t>Table 8-6. Tool predicted versus actual displacements using fixed-pinned end conditions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using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DIF.</w:t>
      </w:r>
    </w:p>
    <w:p>
      <w:pPr>
        <w:pStyle w:val="BodyText"/>
        <w:spacing w:before="6"/>
        <w:rPr>
          <w:i/>
          <w:sz w:val="17"/>
        </w:rPr>
      </w:pPr>
    </w:p>
    <w:tbl>
      <w:tblPr>
        <w:tblW w:w="0" w:type="auto"/>
        <w:jc w:val="left"/>
        <w:tblInd w:w="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20"/>
        <w:gridCol w:w="921"/>
        <w:gridCol w:w="1522"/>
        <w:gridCol w:w="1576"/>
        <w:gridCol w:w="1152"/>
        <w:gridCol w:w="1568"/>
        <w:gridCol w:w="1152"/>
      </w:tblGrid>
      <w:tr>
        <w:trPr>
          <w:trHeight w:val="1264" w:hRule="atLeast"/>
        </w:trPr>
        <w:tc>
          <w:tcPr>
            <w:tcW w:w="620" w:type="dxa"/>
            <w:shd w:val="clear" w:color="auto" w:fill="C0C0C0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0"/>
              <w:rPr>
                <w:i/>
                <w:sz w:val="19"/>
              </w:rPr>
            </w:pPr>
          </w:p>
          <w:p>
            <w:pPr>
              <w:pStyle w:val="TableParagraph"/>
              <w:ind w:left="88" w:right="78"/>
              <w:jc w:val="center"/>
              <w:rPr>
                <w:sz w:val="22"/>
              </w:rPr>
            </w:pPr>
            <w:r>
              <w:rPr>
                <w:sz w:val="22"/>
              </w:rPr>
              <w:t>Shot</w:t>
            </w:r>
          </w:p>
        </w:tc>
        <w:tc>
          <w:tcPr>
            <w:tcW w:w="921" w:type="dxa"/>
            <w:shd w:val="clear" w:color="auto" w:fill="C0C0C0"/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ind w:left="247"/>
              <w:rPr>
                <w:sz w:val="22"/>
              </w:rPr>
            </w:pPr>
            <w:r>
              <w:rPr>
                <w:sz w:val="22"/>
              </w:rPr>
              <w:t>TNT</w:t>
            </w:r>
          </w:p>
          <w:p>
            <w:pPr>
              <w:pStyle w:val="TableParagraph"/>
              <w:ind w:left="273" w:right="107" w:hanging="137"/>
              <w:rPr>
                <w:sz w:val="22"/>
              </w:rPr>
            </w:pPr>
            <w:r>
              <w:rPr>
                <w:sz w:val="22"/>
              </w:rPr>
              <w:t>Weight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[lb.]</w:t>
            </w:r>
          </w:p>
        </w:tc>
        <w:tc>
          <w:tcPr>
            <w:tcW w:w="1522" w:type="dxa"/>
            <w:shd w:val="clear" w:color="auto" w:fill="C0C0C0"/>
          </w:tcPr>
          <w:p>
            <w:pPr>
              <w:pStyle w:val="TableParagraph"/>
              <w:ind w:left="180" w:right="168" w:hanging="1"/>
              <w:jc w:val="center"/>
              <w:rPr>
                <w:sz w:val="22"/>
              </w:rPr>
            </w:pPr>
            <w:r>
              <w:rPr>
                <w:sz w:val="22"/>
              </w:rPr>
              <w:t>Inbound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1"/>
                <w:sz w:val="22"/>
              </w:rPr>
              <w:t>displacement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(gauge</w:t>
            </w:r>
          </w:p>
          <w:p>
            <w:pPr>
              <w:pStyle w:val="TableParagraph"/>
              <w:spacing w:line="252" w:lineRule="exact"/>
              <w:ind w:left="339" w:right="328"/>
              <w:jc w:val="center"/>
              <w:rPr>
                <w:sz w:val="22"/>
              </w:rPr>
            </w:pPr>
            <w:r>
              <w:rPr>
                <w:sz w:val="22"/>
              </w:rPr>
              <w:t>recorded)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[in]</w:t>
            </w:r>
          </w:p>
        </w:tc>
        <w:tc>
          <w:tcPr>
            <w:tcW w:w="1576" w:type="dxa"/>
            <w:shd w:val="clear" w:color="auto" w:fill="C0C0C0"/>
          </w:tcPr>
          <w:p>
            <w:pPr>
              <w:pStyle w:val="TableParagraph"/>
              <w:ind w:left="120" w:right="104"/>
              <w:jc w:val="center"/>
              <w:rPr>
                <w:sz w:val="22"/>
              </w:rPr>
            </w:pPr>
            <w:r>
              <w:rPr>
                <w:sz w:val="22"/>
              </w:rPr>
              <w:t>SDOF inbound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model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displacement</w:t>
            </w:r>
          </w:p>
          <w:p>
            <w:pPr>
              <w:pStyle w:val="TableParagraph"/>
              <w:spacing w:line="252" w:lineRule="exact"/>
              <w:ind w:left="118" w:right="104"/>
              <w:jc w:val="center"/>
              <w:rPr>
                <w:sz w:val="22"/>
              </w:rPr>
            </w:pPr>
            <w:r>
              <w:rPr>
                <w:sz w:val="22"/>
              </w:rPr>
              <w:t>(UFC loads)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[in]</w:t>
            </w:r>
          </w:p>
        </w:tc>
        <w:tc>
          <w:tcPr>
            <w:tcW w:w="1152" w:type="dxa"/>
            <w:shd w:val="clear" w:color="auto" w:fill="C0C0C0"/>
          </w:tcPr>
          <w:p>
            <w:pPr>
              <w:pStyle w:val="TableParagraph"/>
              <w:spacing w:before="9"/>
              <w:rPr>
                <w:i/>
                <w:sz w:val="32"/>
              </w:rPr>
            </w:pPr>
          </w:p>
          <w:p>
            <w:pPr>
              <w:pStyle w:val="TableParagraph"/>
              <w:ind w:left="133" w:right="107" w:firstLine="116"/>
              <w:rPr>
                <w:sz w:val="22"/>
              </w:rPr>
            </w:pPr>
            <w:r>
              <w:rPr>
                <w:sz w:val="22"/>
              </w:rPr>
              <w:t>Percent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1"/>
                <w:sz w:val="22"/>
              </w:rPr>
              <w:t>difference</w:t>
            </w:r>
          </w:p>
        </w:tc>
        <w:tc>
          <w:tcPr>
            <w:tcW w:w="1568" w:type="dxa"/>
            <w:shd w:val="clear" w:color="auto" w:fill="C0C0C0"/>
          </w:tcPr>
          <w:p>
            <w:pPr>
              <w:pStyle w:val="TableParagraph"/>
              <w:ind w:left="118" w:right="97"/>
              <w:jc w:val="center"/>
              <w:rPr>
                <w:sz w:val="22"/>
              </w:rPr>
            </w:pPr>
            <w:r>
              <w:rPr>
                <w:sz w:val="22"/>
              </w:rPr>
              <w:t>SDOF inbound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model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displacement</w:t>
            </w:r>
          </w:p>
          <w:p>
            <w:pPr>
              <w:pStyle w:val="TableParagraph"/>
              <w:spacing w:line="252" w:lineRule="exact"/>
              <w:ind w:left="302" w:right="284"/>
              <w:jc w:val="center"/>
              <w:rPr>
                <w:sz w:val="22"/>
              </w:rPr>
            </w:pPr>
            <w:r>
              <w:rPr>
                <w:spacing w:val="-1"/>
                <w:sz w:val="22"/>
              </w:rPr>
              <w:t>(field </w:t>
            </w:r>
            <w:r>
              <w:rPr>
                <w:sz w:val="22"/>
              </w:rPr>
              <w:t>data)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[in]</w:t>
            </w:r>
          </w:p>
        </w:tc>
        <w:tc>
          <w:tcPr>
            <w:tcW w:w="1152" w:type="dxa"/>
            <w:shd w:val="clear" w:color="auto" w:fill="C0C0C0"/>
          </w:tcPr>
          <w:p>
            <w:pPr>
              <w:pStyle w:val="TableParagraph"/>
              <w:spacing w:before="9"/>
              <w:rPr>
                <w:i/>
                <w:sz w:val="32"/>
              </w:rPr>
            </w:pPr>
          </w:p>
          <w:p>
            <w:pPr>
              <w:pStyle w:val="TableParagraph"/>
              <w:ind w:left="135" w:right="105" w:firstLine="116"/>
              <w:rPr>
                <w:sz w:val="22"/>
              </w:rPr>
            </w:pPr>
            <w:r>
              <w:rPr>
                <w:sz w:val="22"/>
              </w:rPr>
              <w:t>Percent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1"/>
                <w:sz w:val="22"/>
              </w:rPr>
              <w:t>difference</w:t>
            </w:r>
          </w:p>
        </w:tc>
      </w:tr>
      <w:tr>
        <w:trPr>
          <w:trHeight w:val="300" w:hRule="atLeast"/>
        </w:trPr>
        <w:tc>
          <w:tcPr>
            <w:tcW w:w="620" w:type="dxa"/>
            <w:shd w:val="clear" w:color="auto" w:fill="C0C0C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21" w:type="dxa"/>
            <w:shd w:val="clear" w:color="auto" w:fill="C0C0C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970" w:type="dxa"/>
            <w:gridSpan w:val="5"/>
            <w:shd w:val="clear" w:color="auto" w:fill="C0C0C0"/>
          </w:tcPr>
          <w:p>
            <w:pPr>
              <w:pStyle w:val="TableParagraph"/>
              <w:spacing w:line="234" w:lineRule="exact" w:before="46"/>
              <w:ind w:left="1709"/>
              <w:rPr>
                <w:sz w:val="22"/>
              </w:rPr>
            </w:pPr>
            <w:r>
              <w:rPr>
                <w:sz w:val="22"/>
              </w:rPr>
              <w:t>CLT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grade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E-1,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front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face,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Ground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level</w:t>
            </w:r>
          </w:p>
        </w:tc>
      </w:tr>
      <w:tr>
        <w:trPr>
          <w:trHeight w:val="299" w:hRule="atLeast"/>
        </w:trPr>
        <w:tc>
          <w:tcPr>
            <w:tcW w:w="620" w:type="dxa"/>
          </w:tcPr>
          <w:p>
            <w:pPr>
              <w:pStyle w:val="TableParagraph"/>
              <w:spacing w:line="234" w:lineRule="exact" w:before="45"/>
              <w:ind w:left="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1</w:t>
            </w:r>
          </w:p>
        </w:tc>
        <w:tc>
          <w:tcPr>
            <w:tcW w:w="921" w:type="dxa"/>
          </w:tcPr>
          <w:p>
            <w:pPr>
              <w:pStyle w:val="TableParagraph"/>
              <w:spacing w:line="234" w:lineRule="exact" w:before="45"/>
              <w:ind w:left="276" w:right="265"/>
              <w:jc w:val="center"/>
              <w:rPr>
                <w:sz w:val="22"/>
              </w:rPr>
            </w:pPr>
            <w:r>
              <w:rPr>
                <w:sz w:val="22"/>
              </w:rPr>
              <w:t>32</w:t>
            </w:r>
          </w:p>
        </w:tc>
        <w:tc>
          <w:tcPr>
            <w:tcW w:w="1522" w:type="dxa"/>
            <w:shd w:val="clear" w:color="auto" w:fill="DADADA"/>
          </w:tcPr>
          <w:p>
            <w:pPr>
              <w:pStyle w:val="TableParagraph"/>
              <w:spacing w:line="234" w:lineRule="exact" w:before="45"/>
              <w:ind w:left="339" w:right="328"/>
              <w:jc w:val="center"/>
              <w:rPr>
                <w:sz w:val="22"/>
              </w:rPr>
            </w:pPr>
            <w:r>
              <w:rPr>
                <w:sz w:val="22"/>
              </w:rPr>
              <w:t>1.09</w:t>
            </w:r>
          </w:p>
        </w:tc>
        <w:tc>
          <w:tcPr>
            <w:tcW w:w="1576" w:type="dxa"/>
          </w:tcPr>
          <w:p>
            <w:pPr>
              <w:pStyle w:val="TableParagraph"/>
              <w:spacing w:line="234" w:lineRule="exact" w:before="45"/>
              <w:ind w:left="118" w:right="104"/>
              <w:jc w:val="center"/>
              <w:rPr>
                <w:sz w:val="22"/>
              </w:rPr>
            </w:pPr>
            <w:r>
              <w:rPr>
                <w:sz w:val="22"/>
              </w:rPr>
              <w:t>1.217</w:t>
            </w:r>
          </w:p>
        </w:tc>
        <w:tc>
          <w:tcPr>
            <w:tcW w:w="1152" w:type="dxa"/>
          </w:tcPr>
          <w:p>
            <w:pPr>
              <w:pStyle w:val="TableParagraph"/>
              <w:spacing w:line="234" w:lineRule="exact" w:before="45"/>
              <w:ind w:left="126" w:right="109"/>
              <w:jc w:val="center"/>
              <w:rPr>
                <w:sz w:val="22"/>
              </w:rPr>
            </w:pPr>
            <w:r>
              <w:rPr>
                <w:sz w:val="22"/>
              </w:rPr>
              <w:t>11.65%</w:t>
            </w:r>
          </w:p>
        </w:tc>
        <w:tc>
          <w:tcPr>
            <w:tcW w:w="1568" w:type="dxa"/>
          </w:tcPr>
          <w:p>
            <w:pPr>
              <w:pStyle w:val="TableParagraph"/>
              <w:spacing w:line="234" w:lineRule="exact" w:before="45"/>
              <w:ind w:left="116" w:right="97"/>
              <w:jc w:val="center"/>
              <w:rPr>
                <w:sz w:val="22"/>
              </w:rPr>
            </w:pPr>
            <w:r>
              <w:rPr>
                <w:sz w:val="22"/>
              </w:rPr>
              <w:t>1.101</w:t>
            </w:r>
          </w:p>
        </w:tc>
        <w:tc>
          <w:tcPr>
            <w:tcW w:w="1152" w:type="dxa"/>
          </w:tcPr>
          <w:p>
            <w:pPr>
              <w:pStyle w:val="TableParagraph"/>
              <w:spacing w:line="234" w:lineRule="exact" w:before="45"/>
              <w:ind w:left="126" w:right="105"/>
              <w:jc w:val="center"/>
              <w:rPr>
                <w:sz w:val="22"/>
              </w:rPr>
            </w:pPr>
            <w:r>
              <w:rPr>
                <w:sz w:val="22"/>
              </w:rPr>
              <w:t>1.01%</w:t>
            </w:r>
          </w:p>
        </w:tc>
      </w:tr>
      <w:tr>
        <w:trPr>
          <w:trHeight w:val="299" w:hRule="atLeast"/>
        </w:trPr>
        <w:tc>
          <w:tcPr>
            <w:tcW w:w="620" w:type="dxa"/>
          </w:tcPr>
          <w:p>
            <w:pPr>
              <w:pStyle w:val="TableParagraph"/>
              <w:spacing w:line="234" w:lineRule="exact" w:before="45"/>
              <w:ind w:left="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2</w:t>
            </w:r>
          </w:p>
        </w:tc>
        <w:tc>
          <w:tcPr>
            <w:tcW w:w="921" w:type="dxa"/>
          </w:tcPr>
          <w:p>
            <w:pPr>
              <w:pStyle w:val="TableParagraph"/>
              <w:spacing w:line="234" w:lineRule="exact" w:before="45"/>
              <w:ind w:left="276" w:right="265"/>
              <w:jc w:val="center"/>
              <w:rPr>
                <w:sz w:val="22"/>
              </w:rPr>
            </w:pPr>
            <w:r>
              <w:rPr>
                <w:sz w:val="22"/>
              </w:rPr>
              <w:t>67</w:t>
            </w:r>
          </w:p>
        </w:tc>
        <w:tc>
          <w:tcPr>
            <w:tcW w:w="1522" w:type="dxa"/>
            <w:shd w:val="clear" w:color="auto" w:fill="DADADA"/>
          </w:tcPr>
          <w:p>
            <w:pPr>
              <w:pStyle w:val="TableParagraph"/>
              <w:spacing w:line="234" w:lineRule="exact" w:before="45"/>
              <w:ind w:left="339" w:right="328"/>
              <w:jc w:val="center"/>
              <w:rPr>
                <w:sz w:val="22"/>
              </w:rPr>
            </w:pPr>
            <w:r>
              <w:rPr>
                <w:sz w:val="22"/>
              </w:rPr>
              <w:t>1.96</w:t>
            </w:r>
          </w:p>
        </w:tc>
        <w:tc>
          <w:tcPr>
            <w:tcW w:w="1576" w:type="dxa"/>
          </w:tcPr>
          <w:p>
            <w:pPr>
              <w:pStyle w:val="TableParagraph"/>
              <w:spacing w:line="234" w:lineRule="exact" w:before="45"/>
              <w:ind w:left="118" w:right="104"/>
              <w:jc w:val="center"/>
              <w:rPr>
                <w:sz w:val="22"/>
              </w:rPr>
            </w:pPr>
            <w:r>
              <w:rPr>
                <w:sz w:val="22"/>
              </w:rPr>
              <w:t>1.978</w:t>
            </w:r>
          </w:p>
        </w:tc>
        <w:tc>
          <w:tcPr>
            <w:tcW w:w="1152" w:type="dxa"/>
          </w:tcPr>
          <w:p>
            <w:pPr>
              <w:pStyle w:val="TableParagraph"/>
              <w:spacing w:line="234" w:lineRule="exact" w:before="45"/>
              <w:ind w:left="125" w:right="109"/>
              <w:jc w:val="center"/>
              <w:rPr>
                <w:sz w:val="22"/>
              </w:rPr>
            </w:pPr>
            <w:r>
              <w:rPr>
                <w:sz w:val="22"/>
              </w:rPr>
              <w:t>0.92%</w:t>
            </w:r>
          </w:p>
        </w:tc>
        <w:tc>
          <w:tcPr>
            <w:tcW w:w="1568" w:type="dxa"/>
          </w:tcPr>
          <w:p>
            <w:pPr>
              <w:pStyle w:val="TableParagraph"/>
              <w:spacing w:line="234" w:lineRule="exact" w:before="45"/>
              <w:ind w:left="116" w:right="97"/>
              <w:jc w:val="center"/>
              <w:rPr>
                <w:sz w:val="22"/>
              </w:rPr>
            </w:pPr>
            <w:r>
              <w:rPr>
                <w:sz w:val="22"/>
              </w:rPr>
              <w:t>1.801</w:t>
            </w:r>
          </w:p>
        </w:tc>
        <w:tc>
          <w:tcPr>
            <w:tcW w:w="1152" w:type="dxa"/>
          </w:tcPr>
          <w:p>
            <w:pPr>
              <w:pStyle w:val="TableParagraph"/>
              <w:spacing w:line="234" w:lineRule="exact" w:before="45"/>
              <w:ind w:left="126" w:right="104"/>
              <w:jc w:val="center"/>
              <w:rPr>
                <w:sz w:val="22"/>
              </w:rPr>
            </w:pPr>
            <w:r>
              <w:rPr>
                <w:sz w:val="22"/>
              </w:rPr>
              <w:t>-8.11%</w:t>
            </w:r>
          </w:p>
        </w:tc>
      </w:tr>
      <w:tr>
        <w:trPr>
          <w:trHeight w:val="300" w:hRule="atLeast"/>
        </w:trPr>
        <w:tc>
          <w:tcPr>
            <w:tcW w:w="620" w:type="dxa"/>
          </w:tcPr>
          <w:p>
            <w:pPr>
              <w:pStyle w:val="TableParagraph"/>
              <w:spacing w:line="233" w:lineRule="exact" w:before="47"/>
              <w:ind w:left="8"/>
              <w:jc w:val="center"/>
              <w:rPr>
                <w:i/>
                <w:sz w:val="22"/>
              </w:rPr>
            </w:pPr>
            <w:r>
              <w:rPr>
                <w:i/>
                <w:w w:val="99"/>
                <w:sz w:val="22"/>
              </w:rPr>
              <w:t>3</w:t>
            </w:r>
          </w:p>
        </w:tc>
        <w:tc>
          <w:tcPr>
            <w:tcW w:w="921" w:type="dxa"/>
          </w:tcPr>
          <w:p>
            <w:pPr>
              <w:pStyle w:val="TableParagraph"/>
              <w:spacing w:line="233" w:lineRule="exact" w:before="47"/>
              <w:ind w:left="276" w:right="265"/>
              <w:jc w:val="center"/>
              <w:rPr>
                <w:i/>
                <w:sz w:val="22"/>
              </w:rPr>
            </w:pPr>
            <w:r>
              <w:rPr>
                <w:i/>
                <w:sz w:val="22"/>
              </w:rPr>
              <w:t>199</w:t>
            </w:r>
          </w:p>
        </w:tc>
        <w:tc>
          <w:tcPr>
            <w:tcW w:w="1522" w:type="dxa"/>
            <w:shd w:val="clear" w:color="auto" w:fill="DADADA"/>
          </w:tcPr>
          <w:p>
            <w:pPr>
              <w:pStyle w:val="TableParagraph"/>
              <w:spacing w:line="233" w:lineRule="exact" w:before="47"/>
              <w:ind w:left="338" w:right="328"/>
              <w:jc w:val="center"/>
              <w:rPr>
                <w:i/>
                <w:sz w:val="22"/>
              </w:rPr>
            </w:pPr>
            <w:r>
              <w:rPr>
                <w:i/>
                <w:sz w:val="22"/>
              </w:rPr>
              <w:t>3.9</w:t>
            </w:r>
          </w:p>
        </w:tc>
        <w:tc>
          <w:tcPr>
            <w:tcW w:w="1576" w:type="dxa"/>
          </w:tcPr>
          <w:p>
            <w:pPr>
              <w:pStyle w:val="TableParagraph"/>
              <w:spacing w:line="233" w:lineRule="exact" w:before="47"/>
              <w:ind w:left="118" w:right="104"/>
              <w:jc w:val="center"/>
              <w:rPr>
                <w:i/>
                <w:sz w:val="22"/>
              </w:rPr>
            </w:pPr>
            <w:r>
              <w:rPr>
                <w:i/>
                <w:sz w:val="22"/>
              </w:rPr>
              <w:t>4.066</w:t>
            </w:r>
          </w:p>
        </w:tc>
        <w:tc>
          <w:tcPr>
            <w:tcW w:w="1152" w:type="dxa"/>
          </w:tcPr>
          <w:p>
            <w:pPr>
              <w:pStyle w:val="TableParagraph"/>
              <w:spacing w:line="233" w:lineRule="exact" w:before="47"/>
              <w:ind w:left="125" w:right="109"/>
              <w:jc w:val="center"/>
              <w:rPr>
                <w:i/>
                <w:sz w:val="22"/>
              </w:rPr>
            </w:pPr>
            <w:r>
              <w:rPr>
                <w:i/>
                <w:sz w:val="22"/>
              </w:rPr>
              <w:t>4.26%</w:t>
            </w:r>
          </w:p>
        </w:tc>
        <w:tc>
          <w:tcPr>
            <w:tcW w:w="1568" w:type="dxa"/>
          </w:tcPr>
          <w:p>
            <w:pPr>
              <w:pStyle w:val="TableParagraph"/>
              <w:spacing w:line="233" w:lineRule="exact" w:before="47"/>
              <w:ind w:left="116" w:right="97"/>
              <w:jc w:val="center"/>
              <w:rPr>
                <w:i/>
                <w:sz w:val="22"/>
              </w:rPr>
            </w:pPr>
            <w:r>
              <w:rPr>
                <w:i/>
                <w:sz w:val="22"/>
              </w:rPr>
              <w:t>3.524</w:t>
            </w:r>
          </w:p>
        </w:tc>
        <w:tc>
          <w:tcPr>
            <w:tcW w:w="1152" w:type="dxa"/>
          </w:tcPr>
          <w:p>
            <w:pPr>
              <w:pStyle w:val="TableParagraph"/>
              <w:spacing w:line="233" w:lineRule="exact" w:before="47"/>
              <w:ind w:left="126" w:right="103"/>
              <w:jc w:val="center"/>
              <w:rPr>
                <w:i/>
                <w:sz w:val="22"/>
              </w:rPr>
            </w:pPr>
            <w:r>
              <w:rPr>
                <w:i/>
                <w:sz w:val="22"/>
              </w:rPr>
              <w:t>-9.64%</w:t>
            </w:r>
          </w:p>
        </w:tc>
      </w:tr>
      <w:tr>
        <w:trPr>
          <w:trHeight w:val="299" w:hRule="atLeast"/>
        </w:trPr>
        <w:tc>
          <w:tcPr>
            <w:tcW w:w="620" w:type="dxa"/>
            <w:shd w:val="clear" w:color="auto" w:fill="C0C0C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21" w:type="dxa"/>
            <w:shd w:val="clear" w:color="auto" w:fill="C0C0C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970" w:type="dxa"/>
            <w:gridSpan w:val="5"/>
            <w:shd w:val="clear" w:color="auto" w:fill="C0C0C0"/>
          </w:tcPr>
          <w:p>
            <w:pPr>
              <w:pStyle w:val="TableParagraph"/>
              <w:spacing w:line="234" w:lineRule="exact" w:before="45"/>
              <w:ind w:left="1697"/>
              <w:rPr>
                <w:sz w:val="22"/>
              </w:rPr>
            </w:pPr>
            <w:r>
              <w:rPr>
                <w:sz w:val="22"/>
              </w:rPr>
              <w:t>CLT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grade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V-1,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front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face,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Ground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level</w:t>
            </w:r>
          </w:p>
        </w:tc>
      </w:tr>
      <w:tr>
        <w:trPr>
          <w:trHeight w:val="299" w:hRule="atLeast"/>
        </w:trPr>
        <w:tc>
          <w:tcPr>
            <w:tcW w:w="620" w:type="dxa"/>
          </w:tcPr>
          <w:p>
            <w:pPr>
              <w:pStyle w:val="TableParagraph"/>
              <w:spacing w:line="234" w:lineRule="exact" w:before="45"/>
              <w:ind w:left="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1</w:t>
            </w:r>
          </w:p>
        </w:tc>
        <w:tc>
          <w:tcPr>
            <w:tcW w:w="921" w:type="dxa"/>
          </w:tcPr>
          <w:p>
            <w:pPr>
              <w:pStyle w:val="TableParagraph"/>
              <w:spacing w:line="234" w:lineRule="exact" w:before="45"/>
              <w:ind w:left="276" w:right="265"/>
              <w:jc w:val="center"/>
              <w:rPr>
                <w:sz w:val="22"/>
              </w:rPr>
            </w:pPr>
            <w:r>
              <w:rPr>
                <w:sz w:val="22"/>
              </w:rPr>
              <w:t>32</w:t>
            </w:r>
          </w:p>
        </w:tc>
        <w:tc>
          <w:tcPr>
            <w:tcW w:w="1522" w:type="dxa"/>
            <w:shd w:val="clear" w:color="auto" w:fill="DADADA"/>
          </w:tcPr>
          <w:p>
            <w:pPr>
              <w:pStyle w:val="TableParagraph"/>
              <w:spacing w:line="234" w:lineRule="exact" w:before="45"/>
              <w:ind w:left="339" w:right="328"/>
              <w:jc w:val="center"/>
              <w:rPr>
                <w:sz w:val="22"/>
              </w:rPr>
            </w:pPr>
            <w:r>
              <w:rPr>
                <w:sz w:val="22"/>
              </w:rPr>
              <w:t>1.18</w:t>
            </w:r>
          </w:p>
        </w:tc>
        <w:tc>
          <w:tcPr>
            <w:tcW w:w="1576" w:type="dxa"/>
          </w:tcPr>
          <w:p>
            <w:pPr>
              <w:pStyle w:val="TableParagraph"/>
              <w:spacing w:line="234" w:lineRule="exact" w:before="45"/>
              <w:ind w:left="118" w:right="104"/>
              <w:jc w:val="center"/>
              <w:rPr>
                <w:sz w:val="22"/>
              </w:rPr>
            </w:pPr>
            <w:r>
              <w:rPr>
                <w:sz w:val="22"/>
              </w:rPr>
              <w:t>1.206</w:t>
            </w:r>
          </w:p>
        </w:tc>
        <w:tc>
          <w:tcPr>
            <w:tcW w:w="1152" w:type="dxa"/>
          </w:tcPr>
          <w:p>
            <w:pPr>
              <w:pStyle w:val="TableParagraph"/>
              <w:spacing w:line="234" w:lineRule="exact" w:before="45"/>
              <w:ind w:left="125" w:right="109"/>
              <w:jc w:val="center"/>
              <w:rPr>
                <w:sz w:val="22"/>
              </w:rPr>
            </w:pPr>
            <w:r>
              <w:rPr>
                <w:sz w:val="22"/>
              </w:rPr>
              <w:t>2.20%</w:t>
            </w:r>
          </w:p>
        </w:tc>
        <w:tc>
          <w:tcPr>
            <w:tcW w:w="1568" w:type="dxa"/>
          </w:tcPr>
          <w:p>
            <w:pPr>
              <w:pStyle w:val="TableParagraph"/>
              <w:spacing w:line="234" w:lineRule="exact" w:before="45"/>
              <w:ind w:left="116" w:right="97"/>
              <w:jc w:val="center"/>
              <w:rPr>
                <w:sz w:val="22"/>
              </w:rPr>
            </w:pPr>
            <w:r>
              <w:rPr>
                <w:sz w:val="22"/>
              </w:rPr>
              <w:t>1.091</w:t>
            </w:r>
          </w:p>
        </w:tc>
        <w:tc>
          <w:tcPr>
            <w:tcW w:w="1152" w:type="dxa"/>
          </w:tcPr>
          <w:p>
            <w:pPr>
              <w:pStyle w:val="TableParagraph"/>
              <w:spacing w:line="234" w:lineRule="exact" w:before="45"/>
              <w:ind w:left="126" w:right="104"/>
              <w:jc w:val="center"/>
              <w:rPr>
                <w:sz w:val="22"/>
              </w:rPr>
            </w:pPr>
            <w:r>
              <w:rPr>
                <w:sz w:val="22"/>
              </w:rPr>
              <w:t>-7.54%</w:t>
            </w:r>
          </w:p>
        </w:tc>
      </w:tr>
      <w:tr>
        <w:trPr>
          <w:trHeight w:val="300" w:hRule="atLeast"/>
        </w:trPr>
        <w:tc>
          <w:tcPr>
            <w:tcW w:w="620" w:type="dxa"/>
          </w:tcPr>
          <w:p>
            <w:pPr>
              <w:pStyle w:val="TableParagraph"/>
              <w:spacing w:line="234" w:lineRule="exact" w:before="46"/>
              <w:ind w:left="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2</w:t>
            </w:r>
          </w:p>
        </w:tc>
        <w:tc>
          <w:tcPr>
            <w:tcW w:w="921" w:type="dxa"/>
          </w:tcPr>
          <w:p>
            <w:pPr>
              <w:pStyle w:val="TableParagraph"/>
              <w:spacing w:line="234" w:lineRule="exact" w:before="46"/>
              <w:ind w:left="276" w:right="265"/>
              <w:jc w:val="center"/>
              <w:rPr>
                <w:sz w:val="22"/>
              </w:rPr>
            </w:pPr>
            <w:r>
              <w:rPr>
                <w:sz w:val="22"/>
              </w:rPr>
              <w:t>67</w:t>
            </w:r>
          </w:p>
        </w:tc>
        <w:tc>
          <w:tcPr>
            <w:tcW w:w="1522" w:type="dxa"/>
            <w:shd w:val="clear" w:color="auto" w:fill="DADADA"/>
          </w:tcPr>
          <w:p>
            <w:pPr>
              <w:pStyle w:val="TableParagraph"/>
              <w:spacing w:line="234" w:lineRule="exact" w:before="46"/>
              <w:ind w:left="339" w:right="328"/>
              <w:jc w:val="center"/>
              <w:rPr>
                <w:sz w:val="22"/>
              </w:rPr>
            </w:pPr>
            <w:r>
              <w:rPr>
                <w:sz w:val="22"/>
              </w:rPr>
              <w:t>2.04</w:t>
            </w:r>
          </w:p>
        </w:tc>
        <w:tc>
          <w:tcPr>
            <w:tcW w:w="1576" w:type="dxa"/>
          </w:tcPr>
          <w:p>
            <w:pPr>
              <w:pStyle w:val="TableParagraph"/>
              <w:spacing w:line="234" w:lineRule="exact" w:before="46"/>
              <w:ind w:left="118" w:right="104"/>
              <w:jc w:val="center"/>
              <w:rPr>
                <w:sz w:val="22"/>
              </w:rPr>
            </w:pPr>
            <w:r>
              <w:rPr>
                <w:sz w:val="22"/>
              </w:rPr>
              <w:t>1.96</w:t>
            </w:r>
          </w:p>
        </w:tc>
        <w:tc>
          <w:tcPr>
            <w:tcW w:w="1152" w:type="dxa"/>
          </w:tcPr>
          <w:p>
            <w:pPr>
              <w:pStyle w:val="TableParagraph"/>
              <w:spacing w:line="234" w:lineRule="exact" w:before="46"/>
              <w:ind w:left="126" w:right="109"/>
              <w:jc w:val="center"/>
              <w:rPr>
                <w:sz w:val="22"/>
              </w:rPr>
            </w:pPr>
            <w:r>
              <w:rPr>
                <w:color w:val="0070C0"/>
                <w:sz w:val="22"/>
              </w:rPr>
              <w:t>-3.92%</w:t>
            </w:r>
          </w:p>
        </w:tc>
        <w:tc>
          <w:tcPr>
            <w:tcW w:w="1568" w:type="dxa"/>
          </w:tcPr>
          <w:p>
            <w:pPr>
              <w:pStyle w:val="TableParagraph"/>
              <w:spacing w:line="234" w:lineRule="exact" w:before="46"/>
              <w:ind w:left="116" w:right="97"/>
              <w:jc w:val="center"/>
              <w:rPr>
                <w:sz w:val="22"/>
              </w:rPr>
            </w:pPr>
            <w:r>
              <w:rPr>
                <w:sz w:val="22"/>
              </w:rPr>
              <w:t>1.785</w:t>
            </w:r>
          </w:p>
        </w:tc>
        <w:tc>
          <w:tcPr>
            <w:tcW w:w="1152" w:type="dxa"/>
          </w:tcPr>
          <w:p>
            <w:pPr>
              <w:pStyle w:val="TableParagraph"/>
              <w:spacing w:line="234" w:lineRule="exact" w:before="46"/>
              <w:ind w:left="126" w:right="103"/>
              <w:jc w:val="center"/>
              <w:rPr>
                <w:sz w:val="22"/>
              </w:rPr>
            </w:pPr>
            <w:r>
              <w:rPr>
                <w:color w:val="0070C0"/>
                <w:sz w:val="22"/>
              </w:rPr>
              <w:t>-12.50%</w:t>
            </w:r>
          </w:p>
        </w:tc>
      </w:tr>
      <w:tr>
        <w:trPr>
          <w:trHeight w:val="299" w:hRule="atLeast"/>
        </w:trPr>
        <w:tc>
          <w:tcPr>
            <w:tcW w:w="620" w:type="dxa"/>
          </w:tcPr>
          <w:p>
            <w:pPr>
              <w:pStyle w:val="TableParagraph"/>
              <w:spacing w:line="233" w:lineRule="exact" w:before="46"/>
              <w:ind w:left="8"/>
              <w:jc w:val="center"/>
              <w:rPr>
                <w:i/>
                <w:sz w:val="22"/>
              </w:rPr>
            </w:pPr>
            <w:r>
              <w:rPr>
                <w:i/>
                <w:w w:val="99"/>
                <w:sz w:val="22"/>
              </w:rPr>
              <w:t>3</w:t>
            </w:r>
          </w:p>
        </w:tc>
        <w:tc>
          <w:tcPr>
            <w:tcW w:w="921" w:type="dxa"/>
          </w:tcPr>
          <w:p>
            <w:pPr>
              <w:pStyle w:val="TableParagraph"/>
              <w:spacing w:line="233" w:lineRule="exact" w:before="46"/>
              <w:ind w:left="276" w:right="265"/>
              <w:jc w:val="center"/>
              <w:rPr>
                <w:i/>
                <w:sz w:val="22"/>
              </w:rPr>
            </w:pPr>
            <w:r>
              <w:rPr>
                <w:i/>
                <w:sz w:val="22"/>
              </w:rPr>
              <w:t>199</w:t>
            </w:r>
          </w:p>
        </w:tc>
        <w:tc>
          <w:tcPr>
            <w:tcW w:w="1522" w:type="dxa"/>
            <w:shd w:val="clear" w:color="auto" w:fill="DADADA"/>
          </w:tcPr>
          <w:p>
            <w:pPr>
              <w:pStyle w:val="TableParagraph"/>
              <w:spacing w:line="233" w:lineRule="exact" w:before="46"/>
              <w:ind w:left="339" w:right="328"/>
              <w:jc w:val="center"/>
              <w:rPr>
                <w:i/>
                <w:sz w:val="22"/>
              </w:rPr>
            </w:pPr>
            <w:r>
              <w:rPr>
                <w:i/>
                <w:sz w:val="22"/>
              </w:rPr>
              <w:t>4.28</w:t>
            </w:r>
          </w:p>
        </w:tc>
        <w:tc>
          <w:tcPr>
            <w:tcW w:w="1576" w:type="dxa"/>
          </w:tcPr>
          <w:p>
            <w:pPr>
              <w:pStyle w:val="TableParagraph"/>
              <w:spacing w:line="233" w:lineRule="exact" w:before="46"/>
              <w:ind w:left="118" w:right="104"/>
              <w:jc w:val="center"/>
              <w:rPr>
                <w:i/>
                <w:sz w:val="22"/>
              </w:rPr>
            </w:pPr>
            <w:r>
              <w:rPr>
                <w:i/>
                <w:sz w:val="22"/>
              </w:rPr>
              <w:t>4.608</w:t>
            </w:r>
          </w:p>
        </w:tc>
        <w:tc>
          <w:tcPr>
            <w:tcW w:w="1152" w:type="dxa"/>
          </w:tcPr>
          <w:p>
            <w:pPr>
              <w:pStyle w:val="TableParagraph"/>
              <w:spacing w:line="233" w:lineRule="exact" w:before="46"/>
              <w:ind w:left="125" w:right="109"/>
              <w:jc w:val="center"/>
              <w:rPr>
                <w:i/>
                <w:sz w:val="22"/>
              </w:rPr>
            </w:pPr>
            <w:r>
              <w:rPr>
                <w:i/>
                <w:sz w:val="22"/>
              </w:rPr>
              <w:t>7.66%</w:t>
            </w:r>
          </w:p>
        </w:tc>
        <w:tc>
          <w:tcPr>
            <w:tcW w:w="1568" w:type="dxa"/>
          </w:tcPr>
          <w:p>
            <w:pPr>
              <w:pStyle w:val="TableParagraph"/>
              <w:spacing w:line="233" w:lineRule="exact" w:before="46"/>
              <w:ind w:left="116" w:right="97"/>
              <w:jc w:val="center"/>
              <w:rPr>
                <w:i/>
                <w:sz w:val="22"/>
              </w:rPr>
            </w:pPr>
            <w:r>
              <w:rPr>
                <w:i/>
                <w:sz w:val="22"/>
              </w:rPr>
              <w:t>3.666</w:t>
            </w:r>
          </w:p>
        </w:tc>
        <w:tc>
          <w:tcPr>
            <w:tcW w:w="1152" w:type="dxa"/>
          </w:tcPr>
          <w:p>
            <w:pPr>
              <w:pStyle w:val="TableParagraph"/>
              <w:spacing w:line="233" w:lineRule="exact" w:before="46"/>
              <w:ind w:left="126" w:right="103"/>
              <w:jc w:val="center"/>
              <w:rPr>
                <w:i/>
                <w:sz w:val="22"/>
              </w:rPr>
            </w:pPr>
            <w:r>
              <w:rPr>
                <w:i/>
                <w:sz w:val="22"/>
              </w:rPr>
              <w:t>-14.35%</w:t>
            </w:r>
          </w:p>
        </w:tc>
      </w:tr>
      <w:tr>
        <w:trPr>
          <w:trHeight w:val="299" w:hRule="atLeast"/>
        </w:trPr>
        <w:tc>
          <w:tcPr>
            <w:tcW w:w="620" w:type="dxa"/>
            <w:shd w:val="clear" w:color="auto" w:fill="C0C0C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21" w:type="dxa"/>
            <w:shd w:val="clear" w:color="auto" w:fill="C0C0C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970" w:type="dxa"/>
            <w:gridSpan w:val="5"/>
            <w:shd w:val="clear" w:color="auto" w:fill="C0C0C0"/>
          </w:tcPr>
          <w:p>
            <w:pPr>
              <w:pStyle w:val="TableParagraph"/>
              <w:spacing w:line="234" w:lineRule="exact" w:before="45"/>
              <w:ind w:left="1227" w:right="1213"/>
              <w:jc w:val="center"/>
              <w:rPr>
                <w:sz w:val="22"/>
              </w:rPr>
            </w:pPr>
            <w:r>
              <w:rPr>
                <w:sz w:val="22"/>
              </w:rPr>
              <w:t>CLT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grade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V-4,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front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face,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Ground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level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(h=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10-ft)</w:t>
            </w:r>
          </w:p>
        </w:tc>
      </w:tr>
      <w:tr>
        <w:trPr>
          <w:trHeight w:val="300" w:hRule="atLeast"/>
        </w:trPr>
        <w:tc>
          <w:tcPr>
            <w:tcW w:w="620" w:type="dxa"/>
          </w:tcPr>
          <w:p>
            <w:pPr>
              <w:pStyle w:val="TableParagraph"/>
              <w:spacing w:line="234" w:lineRule="exact" w:before="46"/>
              <w:ind w:left="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1</w:t>
            </w:r>
          </w:p>
        </w:tc>
        <w:tc>
          <w:tcPr>
            <w:tcW w:w="921" w:type="dxa"/>
          </w:tcPr>
          <w:p>
            <w:pPr>
              <w:pStyle w:val="TableParagraph"/>
              <w:spacing w:line="234" w:lineRule="exact" w:before="46"/>
              <w:ind w:left="276" w:right="265"/>
              <w:jc w:val="center"/>
              <w:rPr>
                <w:sz w:val="22"/>
              </w:rPr>
            </w:pPr>
            <w:r>
              <w:rPr>
                <w:sz w:val="22"/>
              </w:rPr>
              <w:t>32</w:t>
            </w:r>
          </w:p>
        </w:tc>
        <w:tc>
          <w:tcPr>
            <w:tcW w:w="1522" w:type="dxa"/>
            <w:shd w:val="clear" w:color="auto" w:fill="DADADA"/>
          </w:tcPr>
          <w:p>
            <w:pPr>
              <w:pStyle w:val="TableParagraph"/>
              <w:spacing w:line="234" w:lineRule="exact" w:before="46"/>
              <w:ind w:left="339" w:right="328"/>
              <w:jc w:val="center"/>
              <w:rPr>
                <w:sz w:val="22"/>
              </w:rPr>
            </w:pPr>
            <w:r>
              <w:rPr>
                <w:sz w:val="22"/>
              </w:rPr>
              <w:t>1.07</w:t>
            </w:r>
          </w:p>
        </w:tc>
        <w:tc>
          <w:tcPr>
            <w:tcW w:w="1576" w:type="dxa"/>
          </w:tcPr>
          <w:p>
            <w:pPr>
              <w:pStyle w:val="TableParagraph"/>
              <w:spacing w:line="234" w:lineRule="exact" w:before="46"/>
              <w:ind w:left="118" w:right="104"/>
              <w:jc w:val="center"/>
              <w:rPr>
                <w:sz w:val="22"/>
              </w:rPr>
            </w:pPr>
            <w:r>
              <w:rPr>
                <w:sz w:val="22"/>
              </w:rPr>
              <w:t>1.044</w:t>
            </w:r>
          </w:p>
        </w:tc>
        <w:tc>
          <w:tcPr>
            <w:tcW w:w="1152" w:type="dxa"/>
          </w:tcPr>
          <w:p>
            <w:pPr>
              <w:pStyle w:val="TableParagraph"/>
              <w:spacing w:line="234" w:lineRule="exact" w:before="46"/>
              <w:ind w:left="126" w:right="109"/>
              <w:jc w:val="center"/>
              <w:rPr>
                <w:sz w:val="22"/>
              </w:rPr>
            </w:pPr>
            <w:r>
              <w:rPr>
                <w:sz w:val="22"/>
              </w:rPr>
              <w:t>-2.43%</w:t>
            </w:r>
          </w:p>
        </w:tc>
        <w:tc>
          <w:tcPr>
            <w:tcW w:w="1568" w:type="dxa"/>
          </w:tcPr>
          <w:p>
            <w:pPr>
              <w:pStyle w:val="TableParagraph"/>
              <w:spacing w:line="234" w:lineRule="exact" w:before="46"/>
              <w:ind w:left="116" w:right="97"/>
              <w:jc w:val="center"/>
              <w:rPr>
                <w:sz w:val="22"/>
              </w:rPr>
            </w:pPr>
            <w:r>
              <w:rPr>
                <w:sz w:val="22"/>
              </w:rPr>
              <w:t>0.951</w:t>
            </w:r>
          </w:p>
        </w:tc>
        <w:tc>
          <w:tcPr>
            <w:tcW w:w="1152" w:type="dxa"/>
          </w:tcPr>
          <w:p>
            <w:pPr>
              <w:pStyle w:val="TableParagraph"/>
              <w:spacing w:line="234" w:lineRule="exact" w:before="46"/>
              <w:ind w:left="126" w:right="103"/>
              <w:jc w:val="center"/>
              <w:rPr>
                <w:sz w:val="22"/>
              </w:rPr>
            </w:pPr>
            <w:r>
              <w:rPr>
                <w:sz w:val="22"/>
              </w:rPr>
              <w:t>-11.12%</w:t>
            </w:r>
          </w:p>
        </w:tc>
      </w:tr>
      <w:tr>
        <w:trPr>
          <w:trHeight w:val="299" w:hRule="atLeast"/>
        </w:trPr>
        <w:tc>
          <w:tcPr>
            <w:tcW w:w="620" w:type="dxa"/>
          </w:tcPr>
          <w:p>
            <w:pPr>
              <w:pStyle w:val="TableParagraph"/>
              <w:spacing w:line="234" w:lineRule="exact" w:before="45"/>
              <w:ind w:left="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2</w:t>
            </w:r>
          </w:p>
        </w:tc>
        <w:tc>
          <w:tcPr>
            <w:tcW w:w="921" w:type="dxa"/>
          </w:tcPr>
          <w:p>
            <w:pPr>
              <w:pStyle w:val="TableParagraph"/>
              <w:spacing w:line="234" w:lineRule="exact" w:before="45"/>
              <w:ind w:left="276" w:right="265"/>
              <w:jc w:val="center"/>
              <w:rPr>
                <w:sz w:val="22"/>
              </w:rPr>
            </w:pPr>
            <w:r>
              <w:rPr>
                <w:sz w:val="22"/>
              </w:rPr>
              <w:t>67</w:t>
            </w:r>
          </w:p>
        </w:tc>
        <w:tc>
          <w:tcPr>
            <w:tcW w:w="1522" w:type="dxa"/>
            <w:shd w:val="clear" w:color="auto" w:fill="DADADA"/>
          </w:tcPr>
          <w:p>
            <w:pPr>
              <w:pStyle w:val="TableParagraph"/>
              <w:spacing w:line="234" w:lineRule="exact" w:before="45"/>
              <w:ind w:left="339" w:right="328"/>
              <w:jc w:val="center"/>
              <w:rPr>
                <w:sz w:val="22"/>
              </w:rPr>
            </w:pPr>
            <w:r>
              <w:rPr>
                <w:sz w:val="22"/>
              </w:rPr>
              <w:t>1.83</w:t>
            </w:r>
          </w:p>
        </w:tc>
        <w:tc>
          <w:tcPr>
            <w:tcW w:w="1576" w:type="dxa"/>
          </w:tcPr>
          <w:p>
            <w:pPr>
              <w:pStyle w:val="TableParagraph"/>
              <w:spacing w:line="234" w:lineRule="exact" w:before="45"/>
              <w:ind w:left="118" w:right="104"/>
              <w:jc w:val="center"/>
              <w:rPr>
                <w:sz w:val="22"/>
              </w:rPr>
            </w:pPr>
            <w:r>
              <w:rPr>
                <w:sz w:val="22"/>
              </w:rPr>
              <w:t>1.685</w:t>
            </w:r>
          </w:p>
        </w:tc>
        <w:tc>
          <w:tcPr>
            <w:tcW w:w="1152" w:type="dxa"/>
          </w:tcPr>
          <w:p>
            <w:pPr>
              <w:pStyle w:val="TableParagraph"/>
              <w:spacing w:line="234" w:lineRule="exact" w:before="45"/>
              <w:ind w:left="126" w:right="109"/>
              <w:jc w:val="center"/>
              <w:rPr>
                <w:sz w:val="22"/>
              </w:rPr>
            </w:pPr>
            <w:r>
              <w:rPr>
                <w:color w:val="0070C0"/>
                <w:sz w:val="22"/>
              </w:rPr>
              <w:t>-7.92%</w:t>
            </w:r>
          </w:p>
        </w:tc>
        <w:tc>
          <w:tcPr>
            <w:tcW w:w="1568" w:type="dxa"/>
          </w:tcPr>
          <w:p>
            <w:pPr>
              <w:pStyle w:val="TableParagraph"/>
              <w:spacing w:line="234" w:lineRule="exact" w:before="45"/>
              <w:ind w:left="116" w:right="97"/>
              <w:jc w:val="center"/>
              <w:rPr>
                <w:sz w:val="22"/>
              </w:rPr>
            </w:pPr>
            <w:r>
              <w:rPr>
                <w:sz w:val="22"/>
              </w:rPr>
              <w:t>1.551</w:t>
            </w:r>
          </w:p>
        </w:tc>
        <w:tc>
          <w:tcPr>
            <w:tcW w:w="1152" w:type="dxa"/>
          </w:tcPr>
          <w:p>
            <w:pPr>
              <w:pStyle w:val="TableParagraph"/>
              <w:spacing w:line="234" w:lineRule="exact" w:before="45"/>
              <w:ind w:left="126" w:right="103"/>
              <w:jc w:val="center"/>
              <w:rPr>
                <w:sz w:val="22"/>
              </w:rPr>
            </w:pPr>
            <w:r>
              <w:rPr>
                <w:sz w:val="22"/>
              </w:rPr>
              <w:t>-15.25%</w:t>
            </w:r>
          </w:p>
        </w:tc>
      </w:tr>
      <w:tr>
        <w:trPr>
          <w:trHeight w:val="300" w:hRule="atLeast"/>
        </w:trPr>
        <w:tc>
          <w:tcPr>
            <w:tcW w:w="620" w:type="dxa"/>
          </w:tcPr>
          <w:p>
            <w:pPr>
              <w:pStyle w:val="TableParagraph"/>
              <w:spacing w:line="234" w:lineRule="exact" w:before="46"/>
              <w:ind w:left="8"/>
              <w:jc w:val="center"/>
              <w:rPr>
                <w:i/>
                <w:sz w:val="22"/>
              </w:rPr>
            </w:pPr>
            <w:r>
              <w:rPr>
                <w:i/>
                <w:w w:val="99"/>
                <w:sz w:val="22"/>
              </w:rPr>
              <w:t>3</w:t>
            </w:r>
          </w:p>
        </w:tc>
        <w:tc>
          <w:tcPr>
            <w:tcW w:w="921" w:type="dxa"/>
          </w:tcPr>
          <w:p>
            <w:pPr>
              <w:pStyle w:val="TableParagraph"/>
              <w:spacing w:line="234" w:lineRule="exact" w:before="46"/>
              <w:ind w:left="276" w:right="265"/>
              <w:jc w:val="center"/>
              <w:rPr>
                <w:i/>
                <w:sz w:val="22"/>
              </w:rPr>
            </w:pPr>
            <w:r>
              <w:rPr>
                <w:i/>
                <w:sz w:val="22"/>
              </w:rPr>
              <w:t>199</w:t>
            </w:r>
          </w:p>
        </w:tc>
        <w:tc>
          <w:tcPr>
            <w:tcW w:w="1522" w:type="dxa"/>
            <w:shd w:val="clear" w:color="auto" w:fill="DADADA"/>
          </w:tcPr>
          <w:p>
            <w:pPr>
              <w:pStyle w:val="TableParagraph"/>
              <w:spacing w:line="234" w:lineRule="exact" w:before="46"/>
              <w:ind w:left="339" w:right="328"/>
              <w:jc w:val="center"/>
              <w:rPr>
                <w:i/>
                <w:sz w:val="22"/>
              </w:rPr>
            </w:pPr>
            <w:r>
              <w:rPr>
                <w:i/>
                <w:sz w:val="22"/>
              </w:rPr>
              <w:t>4.57</w:t>
            </w:r>
          </w:p>
        </w:tc>
        <w:tc>
          <w:tcPr>
            <w:tcW w:w="1576" w:type="dxa"/>
          </w:tcPr>
          <w:p>
            <w:pPr>
              <w:pStyle w:val="TableParagraph"/>
              <w:spacing w:line="234" w:lineRule="exact" w:before="46"/>
              <w:ind w:left="118" w:right="104"/>
              <w:jc w:val="center"/>
              <w:rPr>
                <w:i/>
                <w:sz w:val="22"/>
              </w:rPr>
            </w:pPr>
            <w:r>
              <w:rPr>
                <w:i/>
                <w:sz w:val="22"/>
              </w:rPr>
              <w:t>3.723</w:t>
            </w:r>
          </w:p>
        </w:tc>
        <w:tc>
          <w:tcPr>
            <w:tcW w:w="1152" w:type="dxa"/>
          </w:tcPr>
          <w:p>
            <w:pPr>
              <w:pStyle w:val="TableParagraph"/>
              <w:spacing w:line="234" w:lineRule="exact" w:before="46"/>
              <w:ind w:left="126" w:right="109"/>
              <w:jc w:val="center"/>
              <w:rPr>
                <w:i/>
                <w:sz w:val="22"/>
              </w:rPr>
            </w:pPr>
            <w:r>
              <w:rPr>
                <w:i/>
                <w:sz w:val="22"/>
              </w:rPr>
              <w:t>-18.53%</w:t>
            </w:r>
          </w:p>
        </w:tc>
        <w:tc>
          <w:tcPr>
            <w:tcW w:w="1568" w:type="dxa"/>
          </w:tcPr>
          <w:p>
            <w:pPr>
              <w:pStyle w:val="TableParagraph"/>
              <w:spacing w:line="234" w:lineRule="exact" w:before="46"/>
              <w:ind w:left="116" w:right="97"/>
              <w:jc w:val="center"/>
              <w:rPr>
                <w:i/>
                <w:sz w:val="22"/>
              </w:rPr>
            </w:pPr>
            <w:r>
              <w:rPr>
                <w:i/>
                <w:sz w:val="22"/>
              </w:rPr>
              <w:t>3.077</w:t>
            </w:r>
          </w:p>
        </w:tc>
        <w:tc>
          <w:tcPr>
            <w:tcW w:w="1152" w:type="dxa"/>
          </w:tcPr>
          <w:p>
            <w:pPr>
              <w:pStyle w:val="TableParagraph"/>
              <w:spacing w:line="234" w:lineRule="exact" w:before="46"/>
              <w:ind w:left="126" w:right="103"/>
              <w:jc w:val="center"/>
              <w:rPr>
                <w:i/>
                <w:sz w:val="22"/>
              </w:rPr>
            </w:pPr>
            <w:r>
              <w:rPr>
                <w:i/>
                <w:sz w:val="22"/>
              </w:rPr>
              <w:t>-32.67%</w:t>
            </w:r>
          </w:p>
        </w:tc>
      </w:tr>
    </w:tbl>
    <w:p>
      <w:pPr>
        <w:spacing w:after="0" w:line="234" w:lineRule="exact"/>
        <w:jc w:val="center"/>
        <w:rPr>
          <w:sz w:val="22"/>
        </w:rPr>
        <w:sectPr>
          <w:pgSz w:w="12240" w:h="15840"/>
          <w:pgMar w:header="0" w:footer="1064" w:top="1360" w:bottom="1260" w:left="1720" w:right="1020"/>
        </w:sectPr>
      </w:pPr>
    </w:p>
    <w:p>
      <w:pPr>
        <w:spacing w:before="79"/>
        <w:ind w:left="18" w:right="0" w:firstLine="0"/>
        <w:jc w:val="center"/>
        <w:rPr>
          <w:i/>
          <w:sz w:val="24"/>
        </w:rPr>
      </w:pPr>
      <w:bookmarkStart w:name="_bookmark200" w:id="562"/>
      <w:bookmarkEnd w:id="562"/>
      <w:r>
        <w:rPr/>
      </w:r>
      <w:r>
        <w:rPr>
          <w:i/>
          <w:sz w:val="24"/>
        </w:rPr>
        <w:t>Table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8-7.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Predicted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Level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Protection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using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DIF.</w:t>
      </w:r>
    </w:p>
    <w:p>
      <w:pPr>
        <w:pStyle w:val="BodyText"/>
        <w:spacing w:before="5" w:after="1"/>
        <w:rPr>
          <w:i/>
          <w:sz w:val="17"/>
        </w:rPr>
      </w:pPr>
    </w:p>
    <w:tbl>
      <w:tblPr>
        <w:tblW w:w="0" w:type="auto"/>
        <w:jc w:val="left"/>
        <w:tblInd w:w="4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30"/>
        <w:gridCol w:w="900"/>
        <w:gridCol w:w="1080"/>
        <w:gridCol w:w="1080"/>
        <w:gridCol w:w="990"/>
        <w:gridCol w:w="1080"/>
        <w:gridCol w:w="1350"/>
        <w:gridCol w:w="1525"/>
      </w:tblGrid>
      <w:tr>
        <w:trPr>
          <w:trHeight w:val="1199" w:hRule="atLeast"/>
        </w:trPr>
        <w:tc>
          <w:tcPr>
            <w:tcW w:w="630" w:type="dxa"/>
            <w:shd w:val="clear" w:color="auto" w:fill="C0C0C0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95"/>
              <w:ind w:left="93" w:right="83"/>
              <w:jc w:val="center"/>
              <w:rPr>
                <w:sz w:val="22"/>
              </w:rPr>
            </w:pPr>
            <w:r>
              <w:rPr>
                <w:sz w:val="22"/>
              </w:rPr>
              <w:t>Shot</w:t>
            </w:r>
          </w:p>
        </w:tc>
        <w:tc>
          <w:tcPr>
            <w:tcW w:w="900" w:type="dxa"/>
            <w:shd w:val="clear" w:color="auto" w:fill="C0C0C0"/>
          </w:tcPr>
          <w:p>
            <w:pPr>
              <w:pStyle w:val="TableParagraph"/>
              <w:rPr>
                <w:i/>
                <w:sz w:val="19"/>
              </w:rPr>
            </w:pPr>
          </w:p>
          <w:p>
            <w:pPr>
              <w:pStyle w:val="TableParagraph"/>
              <w:spacing w:line="252" w:lineRule="exact"/>
              <w:ind w:left="236"/>
              <w:rPr>
                <w:sz w:val="22"/>
              </w:rPr>
            </w:pPr>
            <w:r>
              <w:rPr>
                <w:sz w:val="22"/>
              </w:rPr>
              <w:t>TNT</w:t>
            </w:r>
          </w:p>
          <w:p>
            <w:pPr>
              <w:pStyle w:val="TableParagraph"/>
              <w:ind w:left="262" w:right="97" w:hanging="137"/>
              <w:rPr>
                <w:sz w:val="22"/>
              </w:rPr>
            </w:pPr>
            <w:r>
              <w:rPr>
                <w:sz w:val="22"/>
              </w:rPr>
              <w:t>Weight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[lb.]</w:t>
            </w:r>
          </w:p>
        </w:tc>
        <w:tc>
          <w:tcPr>
            <w:tcW w:w="1080" w:type="dxa"/>
            <w:shd w:val="clear" w:color="auto" w:fill="C0C0C0"/>
          </w:tcPr>
          <w:p>
            <w:pPr>
              <w:pStyle w:val="TableParagraph"/>
              <w:rPr>
                <w:i/>
                <w:sz w:val="19"/>
              </w:rPr>
            </w:pPr>
          </w:p>
          <w:p>
            <w:pPr>
              <w:pStyle w:val="TableParagraph"/>
              <w:ind w:left="141" w:right="131" w:firstLine="6"/>
              <w:jc w:val="both"/>
              <w:rPr>
                <w:sz w:val="22"/>
              </w:rPr>
            </w:pPr>
            <w:r>
              <w:rPr>
                <w:sz w:val="22"/>
              </w:rPr>
              <w:t>Ductility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Ratio (μ)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(UFC)</w:t>
            </w:r>
          </w:p>
        </w:tc>
        <w:tc>
          <w:tcPr>
            <w:tcW w:w="1080" w:type="dxa"/>
            <w:shd w:val="clear" w:color="auto" w:fill="C0C0C0"/>
          </w:tcPr>
          <w:p>
            <w:pPr>
              <w:pStyle w:val="TableParagraph"/>
              <w:rPr>
                <w:i/>
                <w:sz w:val="19"/>
              </w:rPr>
            </w:pPr>
          </w:p>
          <w:p>
            <w:pPr>
              <w:pStyle w:val="TableParagraph"/>
              <w:ind w:left="141" w:right="131" w:firstLine="6"/>
              <w:jc w:val="both"/>
              <w:rPr>
                <w:sz w:val="22"/>
              </w:rPr>
            </w:pPr>
            <w:r>
              <w:rPr>
                <w:sz w:val="22"/>
              </w:rPr>
              <w:t>Ductility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Ratio (μ)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(field)</w:t>
            </w:r>
          </w:p>
        </w:tc>
        <w:tc>
          <w:tcPr>
            <w:tcW w:w="990" w:type="dxa"/>
            <w:shd w:val="clear" w:color="auto" w:fill="C0C0C0"/>
          </w:tcPr>
          <w:p>
            <w:pPr>
              <w:pStyle w:val="TableParagraph"/>
              <w:spacing w:before="92"/>
              <w:ind w:left="115" w:right="105" w:firstLine="31"/>
              <w:jc w:val="both"/>
              <w:rPr>
                <w:sz w:val="22"/>
              </w:rPr>
            </w:pPr>
            <w:r>
              <w:rPr>
                <w:sz w:val="22"/>
              </w:rPr>
              <w:t>Support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Rotation</w:t>
            </w:r>
            <w:r>
              <w:rPr>
                <w:spacing w:val="-54"/>
                <w:sz w:val="22"/>
              </w:rPr>
              <w:t> </w:t>
            </w:r>
            <w:r>
              <w:rPr>
                <w:sz w:val="22"/>
              </w:rPr>
              <w:t>[degree]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(UFC)</w:t>
            </w:r>
          </w:p>
        </w:tc>
        <w:tc>
          <w:tcPr>
            <w:tcW w:w="1080" w:type="dxa"/>
            <w:shd w:val="clear" w:color="auto" w:fill="C0C0C0"/>
          </w:tcPr>
          <w:p>
            <w:pPr>
              <w:pStyle w:val="TableParagraph"/>
              <w:spacing w:before="92"/>
              <w:ind w:left="160" w:right="149" w:firstLine="30"/>
              <w:jc w:val="both"/>
              <w:rPr>
                <w:sz w:val="22"/>
              </w:rPr>
            </w:pPr>
            <w:r>
              <w:rPr>
                <w:sz w:val="22"/>
              </w:rPr>
              <w:t>Support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Rotation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[degree]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(field)</w:t>
            </w:r>
          </w:p>
        </w:tc>
        <w:tc>
          <w:tcPr>
            <w:tcW w:w="1350" w:type="dxa"/>
            <w:shd w:val="clear" w:color="auto" w:fill="C0C0C0"/>
          </w:tcPr>
          <w:p>
            <w:pPr>
              <w:pStyle w:val="TableParagraph"/>
              <w:rPr>
                <w:i/>
                <w:sz w:val="19"/>
              </w:rPr>
            </w:pPr>
          </w:p>
          <w:p>
            <w:pPr>
              <w:pStyle w:val="TableParagraph"/>
              <w:ind w:left="130" w:right="120" w:hanging="1"/>
              <w:jc w:val="center"/>
              <w:rPr>
                <w:sz w:val="22"/>
              </w:rPr>
            </w:pPr>
            <w:r>
              <w:rPr>
                <w:sz w:val="22"/>
              </w:rPr>
              <w:t>Expected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Damage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1"/>
                <w:sz w:val="22"/>
              </w:rPr>
              <w:t>(UFC/Field)</w:t>
            </w:r>
          </w:p>
        </w:tc>
        <w:tc>
          <w:tcPr>
            <w:tcW w:w="1525" w:type="dxa"/>
            <w:shd w:val="clear" w:color="auto" w:fill="C0C0C0"/>
          </w:tcPr>
          <w:p>
            <w:pPr>
              <w:pStyle w:val="TableParagraph"/>
              <w:rPr>
                <w:i/>
                <w:sz w:val="19"/>
              </w:rPr>
            </w:pPr>
          </w:p>
          <w:p>
            <w:pPr>
              <w:pStyle w:val="TableParagraph"/>
              <w:ind w:left="218" w:right="207"/>
              <w:jc w:val="center"/>
              <w:rPr>
                <w:sz w:val="22"/>
              </w:rPr>
            </w:pPr>
            <w:r>
              <w:rPr>
                <w:sz w:val="22"/>
              </w:rPr>
              <w:t>Level 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Protection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1"/>
                <w:sz w:val="22"/>
              </w:rPr>
              <w:t>(UFC/Field)</w:t>
            </w:r>
          </w:p>
        </w:tc>
      </w:tr>
      <w:tr>
        <w:trPr>
          <w:trHeight w:val="299" w:hRule="atLeast"/>
        </w:trPr>
        <w:tc>
          <w:tcPr>
            <w:tcW w:w="630" w:type="dxa"/>
            <w:shd w:val="clear" w:color="auto" w:fill="C0C0C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00" w:type="dxa"/>
            <w:shd w:val="clear" w:color="auto" w:fill="C0C0C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105" w:type="dxa"/>
            <w:gridSpan w:val="6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line="234" w:lineRule="exact" w:before="45"/>
              <w:ind w:left="1774"/>
              <w:rPr>
                <w:sz w:val="22"/>
              </w:rPr>
            </w:pPr>
            <w:r>
              <w:rPr>
                <w:sz w:val="22"/>
              </w:rPr>
              <w:t>CLT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grade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E-1,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front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face,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Ground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level</w:t>
            </w:r>
          </w:p>
        </w:tc>
      </w:tr>
      <w:tr>
        <w:trPr>
          <w:trHeight w:val="505" w:hRule="atLeast"/>
        </w:trPr>
        <w:tc>
          <w:tcPr>
            <w:tcW w:w="630" w:type="dxa"/>
          </w:tcPr>
          <w:p>
            <w:pPr>
              <w:pStyle w:val="TableParagraph"/>
              <w:spacing w:before="125"/>
              <w:ind w:left="7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1</w:t>
            </w:r>
          </w:p>
        </w:tc>
        <w:tc>
          <w:tcPr>
            <w:tcW w:w="900" w:type="dxa"/>
          </w:tcPr>
          <w:p>
            <w:pPr>
              <w:pStyle w:val="TableParagraph"/>
              <w:spacing w:before="125"/>
              <w:ind w:left="110" w:right="101"/>
              <w:jc w:val="center"/>
              <w:rPr>
                <w:sz w:val="22"/>
              </w:rPr>
            </w:pPr>
            <w:r>
              <w:rPr>
                <w:sz w:val="22"/>
              </w:rPr>
              <w:t>32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5"/>
              <w:ind w:left="118" w:right="108"/>
              <w:jc w:val="center"/>
              <w:rPr>
                <w:sz w:val="22"/>
              </w:rPr>
            </w:pPr>
            <w:r>
              <w:rPr>
                <w:sz w:val="22"/>
              </w:rPr>
              <w:t>0.255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5"/>
              <w:ind w:left="292"/>
              <w:rPr>
                <w:sz w:val="22"/>
              </w:rPr>
            </w:pPr>
            <w:r>
              <w:rPr>
                <w:sz w:val="22"/>
              </w:rPr>
              <w:t>0.231</w:t>
            </w:r>
          </w:p>
        </w:tc>
        <w:tc>
          <w:tcPr>
            <w:tcW w:w="990" w:type="dxa"/>
          </w:tcPr>
          <w:p>
            <w:pPr>
              <w:pStyle w:val="TableParagraph"/>
              <w:spacing w:before="125"/>
              <w:ind w:left="246"/>
              <w:rPr>
                <w:sz w:val="22"/>
              </w:rPr>
            </w:pPr>
            <w:r>
              <w:rPr>
                <w:sz w:val="22"/>
              </w:rPr>
              <w:t>0.968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5"/>
              <w:ind w:left="292"/>
              <w:rPr>
                <w:sz w:val="22"/>
              </w:rPr>
            </w:pPr>
            <w:r>
              <w:rPr>
                <w:sz w:val="22"/>
              </w:rPr>
              <w:t>0.876</w:t>
            </w:r>
          </w:p>
        </w:tc>
        <w:tc>
          <w:tcPr>
            <w:tcW w:w="1350" w:type="dxa"/>
          </w:tcPr>
          <w:p>
            <w:pPr>
              <w:pStyle w:val="TableParagraph"/>
              <w:spacing w:line="254" w:lineRule="exact"/>
              <w:ind w:left="191" w:right="132" w:hanging="30"/>
              <w:rPr>
                <w:sz w:val="22"/>
              </w:rPr>
            </w:pPr>
            <w:r>
              <w:rPr>
                <w:sz w:val="22"/>
              </w:rPr>
              <w:t>Superficial/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Superficial</w:t>
            </w:r>
          </w:p>
        </w:tc>
        <w:tc>
          <w:tcPr>
            <w:tcW w:w="1525" w:type="dxa"/>
          </w:tcPr>
          <w:p>
            <w:pPr>
              <w:pStyle w:val="TableParagraph"/>
              <w:spacing w:before="125"/>
              <w:ind w:left="216" w:right="207"/>
              <w:jc w:val="center"/>
              <w:rPr>
                <w:sz w:val="22"/>
              </w:rPr>
            </w:pPr>
            <w:r>
              <w:rPr>
                <w:sz w:val="22"/>
              </w:rPr>
              <w:t>Med/Med</w:t>
            </w:r>
          </w:p>
        </w:tc>
      </w:tr>
      <w:tr>
        <w:trPr>
          <w:trHeight w:val="504" w:hRule="atLeast"/>
        </w:trPr>
        <w:tc>
          <w:tcPr>
            <w:tcW w:w="630" w:type="dxa"/>
          </w:tcPr>
          <w:p>
            <w:pPr>
              <w:pStyle w:val="TableParagraph"/>
              <w:spacing w:before="123"/>
              <w:ind w:left="7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2</w:t>
            </w:r>
          </w:p>
        </w:tc>
        <w:tc>
          <w:tcPr>
            <w:tcW w:w="900" w:type="dxa"/>
          </w:tcPr>
          <w:p>
            <w:pPr>
              <w:pStyle w:val="TableParagraph"/>
              <w:spacing w:before="123"/>
              <w:ind w:left="110" w:right="101"/>
              <w:jc w:val="center"/>
              <w:rPr>
                <w:sz w:val="22"/>
              </w:rPr>
            </w:pPr>
            <w:r>
              <w:rPr>
                <w:sz w:val="22"/>
              </w:rPr>
              <w:t>67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3"/>
              <w:ind w:left="118" w:right="108"/>
              <w:jc w:val="center"/>
              <w:rPr>
                <w:sz w:val="22"/>
              </w:rPr>
            </w:pPr>
            <w:r>
              <w:rPr>
                <w:sz w:val="22"/>
              </w:rPr>
              <w:t>0.415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3"/>
              <w:ind w:left="292"/>
              <w:rPr>
                <w:sz w:val="22"/>
              </w:rPr>
            </w:pPr>
            <w:r>
              <w:rPr>
                <w:sz w:val="22"/>
              </w:rPr>
              <w:t>0.378</w:t>
            </w:r>
          </w:p>
        </w:tc>
        <w:tc>
          <w:tcPr>
            <w:tcW w:w="990" w:type="dxa"/>
          </w:tcPr>
          <w:p>
            <w:pPr>
              <w:pStyle w:val="TableParagraph"/>
              <w:spacing w:before="123"/>
              <w:ind w:left="246"/>
              <w:rPr>
                <w:sz w:val="22"/>
              </w:rPr>
            </w:pPr>
            <w:r>
              <w:rPr>
                <w:sz w:val="22"/>
              </w:rPr>
              <w:t>1.574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3"/>
              <w:ind w:left="292"/>
              <w:rPr>
                <w:sz w:val="22"/>
              </w:rPr>
            </w:pPr>
            <w:r>
              <w:rPr>
                <w:sz w:val="22"/>
              </w:rPr>
              <w:t>1.433</w:t>
            </w:r>
          </w:p>
        </w:tc>
        <w:tc>
          <w:tcPr>
            <w:tcW w:w="1350" w:type="dxa"/>
          </w:tcPr>
          <w:p>
            <w:pPr>
              <w:pStyle w:val="TableParagraph"/>
              <w:spacing w:line="249" w:lineRule="exact"/>
              <w:ind w:left="161"/>
              <w:rPr>
                <w:sz w:val="22"/>
              </w:rPr>
            </w:pPr>
            <w:r>
              <w:rPr>
                <w:sz w:val="22"/>
              </w:rPr>
              <w:t>Superficial/</w:t>
            </w:r>
          </w:p>
          <w:p>
            <w:pPr>
              <w:pStyle w:val="TableParagraph"/>
              <w:spacing w:line="234" w:lineRule="exact"/>
              <w:ind w:left="191"/>
              <w:rPr>
                <w:sz w:val="22"/>
              </w:rPr>
            </w:pPr>
            <w:r>
              <w:rPr>
                <w:sz w:val="22"/>
              </w:rPr>
              <w:t>Superficial</w:t>
            </w:r>
          </w:p>
        </w:tc>
        <w:tc>
          <w:tcPr>
            <w:tcW w:w="1525" w:type="dxa"/>
          </w:tcPr>
          <w:p>
            <w:pPr>
              <w:pStyle w:val="TableParagraph"/>
              <w:spacing w:before="123"/>
              <w:ind w:left="216" w:right="207"/>
              <w:jc w:val="center"/>
              <w:rPr>
                <w:sz w:val="22"/>
              </w:rPr>
            </w:pPr>
            <w:r>
              <w:rPr>
                <w:sz w:val="22"/>
              </w:rPr>
              <w:t>Med/Med</w:t>
            </w:r>
          </w:p>
        </w:tc>
      </w:tr>
      <w:tr>
        <w:trPr>
          <w:trHeight w:val="505" w:hRule="atLeast"/>
        </w:trPr>
        <w:tc>
          <w:tcPr>
            <w:tcW w:w="630" w:type="dxa"/>
          </w:tcPr>
          <w:p>
            <w:pPr>
              <w:pStyle w:val="TableParagraph"/>
              <w:spacing w:before="125"/>
              <w:ind w:left="7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3</w:t>
            </w:r>
          </w:p>
        </w:tc>
        <w:tc>
          <w:tcPr>
            <w:tcW w:w="900" w:type="dxa"/>
          </w:tcPr>
          <w:p>
            <w:pPr>
              <w:pStyle w:val="TableParagraph"/>
              <w:spacing w:before="125"/>
              <w:ind w:left="110" w:right="101"/>
              <w:jc w:val="center"/>
              <w:rPr>
                <w:sz w:val="22"/>
              </w:rPr>
            </w:pPr>
            <w:r>
              <w:rPr>
                <w:sz w:val="22"/>
              </w:rPr>
              <w:t>199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5"/>
              <w:ind w:left="118" w:right="108"/>
              <w:jc w:val="center"/>
              <w:rPr>
                <w:sz w:val="22"/>
              </w:rPr>
            </w:pPr>
            <w:r>
              <w:rPr>
                <w:sz w:val="22"/>
              </w:rPr>
              <w:t>0.853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5"/>
              <w:ind w:left="292"/>
              <w:rPr>
                <w:sz w:val="22"/>
              </w:rPr>
            </w:pPr>
            <w:r>
              <w:rPr>
                <w:sz w:val="22"/>
              </w:rPr>
              <w:t>0.739</w:t>
            </w:r>
          </w:p>
        </w:tc>
        <w:tc>
          <w:tcPr>
            <w:tcW w:w="990" w:type="dxa"/>
          </w:tcPr>
          <w:p>
            <w:pPr>
              <w:pStyle w:val="TableParagraph"/>
              <w:spacing w:before="125"/>
              <w:ind w:left="247"/>
              <w:rPr>
                <w:sz w:val="22"/>
              </w:rPr>
            </w:pPr>
            <w:r>
              <w:rPr>
                <w:sz w:val="22"/>
              </w:rPr>
              <w:t>3.232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5"/>
              <w:ind w:left="292"/>
              <w:rPr>
                <w:sz w:val="22"/>
              </w:rPr>
            </w:pPr>
            <w:r>
              <w:rPr>
                <w:sz w:val="22"/>
              </w:rPr>
              <w:t>2.802</w:t>
            </w:r>
          </w:p>
        </w:tc>
        <w:tc>
          <w:tcPr>
            <w:tcW w:w="1350" w:type="dxa"/>
          </w:tcPr>
          <w:p>
            <w:pPr>
              <w:pStyle w:val="TableParagraph"/>
              <w:spacing w:line="254" w:lineRule="exact"/>
              <w:ind w:left="191" w:right="132" w:hanging="30"/>
              <w:rPr>
                <w:sz w:val="22"/>
              </w:rPr>
            </w:pPr>
            <w:r>
              <w:rPr>
                <w:sz w:val="22"/>
              </w:rPr>
              <w:t>Superficial/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Superficial</w:t>
            </w:r>
          </w:p>
        </w:tc>
        <w:tc>
          <w:tcPr>
            <w:tcW w:w="1525" w:type="dxa"/>
          </w:tcPr>
          <w:p>
            <w:pPr>
              <w:pStyle w:val="TableParagraph"/>
              <w:spacing w:before="125"/>
              <w:ind w:left="216" w:right="207"/>
              <w:jc w:val="center"/>
              <w:rPr>
                <w:sz w:val="22"/>
              </w:rPr>
            </w:pPr>
            <w:r>
              <w:rPr>
                <w:sz w:val="22"/>
              </w:rPr>
              <w:t>Med/Med</w:t>
            </w:r>
          </w:p>
        </w:tc>
      </w:tr>
      <w:tr>
        <w:trPr>
          <w:trHeight w:val="298" w:hRule="atLeast"/>
        </w:trPr>
        <w:tc>
          <w:tcPr>
            <w:tcW w:w="630" w:type="dxa"/>
            <w:shd w:val="clear" w:color="auto" w:fill="C0C0C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00" w:type="dxa"/>
            <w:shd w:val="clear" w:color="auto" w:fill="C0C0C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105" w:type="dxa"/>
            <w:gridSpan w:val="6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before="20"/>
              <w:ind w:left="1762"/>
              <w:rPr>
                <w:sz w:val="22"/>
              </w:rPr>
            </w:pPr>
            <w:r>
              <w:rPr>
                <w:sz w:val="22"/>
              </w:rPr>
              <w:t>CLT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grade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V-1,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front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face,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Ground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level</w:t>
            </w:r>
          </w:p>
        </w:tc>
      </w:tr>
      <w:tr>
        <w:trPr>
          <w:trHeight w:val="506" w:hRule="atLeast"/>
        </w:trPr>
        <w:tc>
          <w:tcPr>
            <w:tcW w:w="630" w:type="dxa"/>
          </w:tcPr>
          <w:p>
            <w:pPr>
              <w:pStyle w:val="TableParagraph"/>
              <w:spacing w:before="124"/>
              <w:ind w:left="7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1</w:t>
            </w:r>
          </w:p>
        </w:tc>
        <w:tc>
          <w:tcPr>
            <w:tcW w:w="900" w:type="dxa"/>
          </w:tcPr>
          <w:p>
            <w:pPr>
              <w:pStyle w:val="TableParagraph"/>
              <w:spacing w:before="124"/>
              <w:ind w:left="110" w:right="101"/>
              <w:jc w:val="center"/>
              <w:rPr>
                <w:sz w:val="22"/>
              </w:rPr>
            </w:pPr>
            <w:r>
              <w:rPr>
                <w:sz w:val="22"/>
              </w:rPr>
              <w:t>32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4"/>
              <w:ind w:left="118" w:right="108"/>
              <w:jc w:val="center"/>
              <w:rPr>
                <w:sz w:val="22"/>
              </w:rPr>
            </w:pPr>
            <w:r>
              <w:rPr>
                <w:sz w:val="22"/>
              </w:rPr>
              <w:t>0.557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4"/>
              <w:ind w:left="292"/>
              <w:rPr>
                <w:sz w:val="22"/>
              </w:rPr>
            </w:pPr>
            <w:r>
              <w:rPr>
                <w:sz w:val="22"/>
              </w:rPr>
              <w:t>0.504</w:t>
            </w:r>
          </w:p>
        </w:tc>
        <w:tc>
          <w:tcPr>
            <w:tcW w:w="990" w:type="dxa"/>
          </w:tcPr>
          <w:p>
            <w:pPr>
              <w:pStyle w:val="TableParagraph"/>
              <w:spacing w:before="124"/>
              <w:ind w:left="246"/>
              <w:rPr>
                <w:sz w:val="22"/>
              </w:rPr>
            </w:pPr>
            <w:r>
              <w:rPr>
                <w:sz w:val="22"/>
              </w:rPr>
              <w:t>0.959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4"/>
              <w:ind w:left="292"/>
              <w:rPr>
                <w:sz w:val="22"/>
              </w:rPr>
            </w:pPr>
            <w:r>
              <w:rPr>
                <w:sz w:val="22"/>
              </w:rPr>
              <w:t>0.868</w:t>
            </w:r>
          </w:p>
        </w:tc>
        <w:tc>
          <w:tcPr>
            <w:tcW w:w="1350" w:type="dxa"/>
          </w:tcPr>
          <w:p>
            <w:pPr>
              <w:pStyle w:val="TableParagraph"/>
              <w:spacing w:line="254" w:lineRule="exact"/>
              <w:ind w:left="191" w:right="132" w:hanging="30"/>
              <w:rPr>
                <w:sz w:val="22"/>
              </w:rPr>
            </w:pPr>
            <w:r>
              <w:rPr>
                <w:sz w:val="22"/>
              </w:rPr>
              <w:t>Superficial/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Superficial</w:t>
            </w:r>
          </w:p>
        </w:tc>
        <w:tc>
          <w:tcPr>
            <w:tcW w:w="1525" w:type="dxa"/>
          </w:tcPr>
          <w:p>
            <w:pPr>
              <w:pStyle w:val="TableParagraph"/>
              <w:spacing w:before="124"/>
              <w:ind w:left="216" w:right="207"/>
              <w:jc w:val="center"/>
              <w:rPr>
                <w:sz w:val="22"/>
              </w:rPr>
            </w:pPr>
            <w:r>
              <w:rPr>
                <w:sz w:val="22"/>
              </w:rPr>
              <w:t>Med/Med</w:t>
            </w:r>
          </w:p>
        </w:tc>
      </w:tr>
      <w:tr>
        <w:trPr>
          <w:trHeight w:val="502" w:hRule="atLeast"/>
        </w:trPr>
        <w:tc>
          <w:tcPr>
            <w:tcW w:w="630" w:type="dxa"/>
          </w:tcPr>
          <w:p>
            <w:pPr>
              <w:pStyle w:val="TableParagraph"/>
              <w:spacing w:before="122"/>
              <w:ind w:left="7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2</w:t>
            </w:r>
          </w:p>
        </w:tc>
        <w:tc>
          <w:tcPr>
            <w:tcW w:w="900" w:type="dxa"/>
          </w:tcPr>
          <w:p>
            <w:pPr>
              <w:pStyle w:val="TableParagraph"/>
              <w:spacing w:before="122"/>
              <w:ind w:left="110" w:right="101"/>
              <w:jc w:val="center"/>
              <w:rPr>
                <w:sz w:val="22"/>
              </w:rPr>
            </w:pPr>
            <w:r>
              <w:rPr>
                <w:sz w:val="22"/>
              </w:rPr>
              <w:t>67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2"/>
              <w:ind w:left="118" w:right="108"/>
              <w:jc w:val="center"/>
              <w:rPr>
                <w:sz w:val="22"/>
              </w:rPr>
            </w:pPr>
            <w:r>
              <w:rPr>
                <w:sz w:val="22"/>
              </w:rPr>
              <w:t>0.905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2"/>
              <w:ind w:left="292"/>
              <w:rPr>
                <w:sz w:val="22"/>
              </w:rPr>
            </w:pPr>
            <w:r>
              <w:rPr>
                <w:sz w:val="22"/>
              </w:rPr>
              <w:t>0.825</w:t>
            </w:r>
          </w:p>
        </w:tc>
        <w:tc>
          <w:tcPr>
            <w:tcW w:w="990" w:type="dxa"/>
          </w:tcPr>
          <w:p>
            <w:pPr>
              <w:pStyle w:val="TableParagraph"/>
              <w:spacing w:before="122"/>
              <w:ind w:left="246"/>
              <w:rPr>
                <w:sz w:val="22"/>
              </w:rPr>
            </w:pPr>
            <w:r>
              <w:rPr>
                <w:sz w:val="22"/>
              </w:rPr>
              <w:t>1.559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2"/>
              <w:ind w:left="346"/>
              <w:rPr>
                <w:sz w:val="22"/>
              </w:rPr>
            </w:pPr>
            <w:r>
              <w:rPr>
                <w:sz w:val="22"/>
              </w:rPr>
              <w:t>1.42</w:t>
            </w:r>
          </w:p>
        </w:tc>
        <w:tc>
          <w:tcPr>
            <w:tcW w:w="1350" w:type="dxa"/>
          </w:tcPr>
          <w:p>
            <w:pPr>
              <w:pStyle w:val="TableParagraph"/>
              <w:spacing w:line="252" w:lineRule="exact"/>
              <w:ind w:left="191" w:right="132" w:hanging="30"/>
              <w:rPr>
                <w:sz w:val="22"/>
              </w:rPr>
            </w:pPr>
            <w:r>
              <w:rPr>
                <w:sz w:val="22"/>
              </w:rPr>
              <w:t>Superficial/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Superficial</w:t>
            </w:r>
          </w:p>
        </w:tc>
        <w:tc>
          <w:tcPr>
            <w:tcW w:w="1525" w:type="dxa"/>
          </w:tcPr>
          <w:p>
            <w:pPr>
              <w:pStyle w:val="TableParagraph"/>
              <w:spacing w:before="122"/>
              <w:ind w:left="216" w:right="207"/>
              <w:jc w:val="center"/>
              <w:rPr>
                <w:sz w:val="22"/>
              </w:rPr>
            </w:pPr>
            <w:r>
              <w:rPr>
                <w:sz w:val="22"/>
              </w:rPr>
              <w:t>Med/Med</w:t>
            </w:r>
          </w:p>
        </w:tc>
      </w:tr>
      <w:tr>
        <w:trPr>
          <w:trHeight w:val="505" w:hRule="atLeast"/>
        </w:trPr>
        <w:tc>
          <w:tcPr>
            <w:tcW w:w="630" w:type="dxa"/>
          </w:tcPr>
          <w:p>
            <w:pPr>
              <w:pStyle w:val="TableParagraph"/>
              <w:spacing w:before="124"/>
              <w:ind w:left="7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3</w:t>
            </w:r>
          </w:p>
        </w:tc>
        <w:tc>
          <w:tcPr>
            <w:tcW w:w="900" w:type="dxa"/>
          </w:tcPr>
          <w:p>
            <w:pPr>
              <w:pStyle w:val="TableParagraph"/>
              <w:spacing w:before="124"/>
              <w:ind w:left="110" w:right="101"/>
              <w:jc w:val="center"/>
              <w:rPr>
                <w:sz w:val="22"/>
              </w:rPr>
            </w:pPr>
            <w:r>
              <w:rPr>
                <w:sz w:val="22"/>
              </w:rPr>
              <w:t>199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4"/>
              <w:ind w:left="118" w:right="108"/>
              <w:jc w:val="center"/>
              <w:rPr>
                <w:sz w:val="22"/>
              </w:rPr>
            </w:pPr>
            <w:r>
              <w:rPr>
                <w:sz w:val="22"/>
              </w:rPr>
              <w:t>2.129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4"/>
              <w:ind w:left="292"/>
              <w:rPr>
                <w:sz w:val="22"/>
              </w:rPr>
            </w:pPr>
            <w:r>
              <w:rPr>
                <w:sz w:val="22"/>
              </w:rPr>
              <w:t>1.694</w:t>
            </w:r>
          </w:p>
        </w:tc>
        <w:tc>
          <w:tcPr>
            <w:tcW w:w="990" w:type="dxa"/>
          </w:tcPr>
          <w:p>
            <w:pPr>
              <w:pStyle w:val="TableParagraph"/>
              <w:spacing w:before="124"/>
              <w:ind w:left="247"/>
              <w:rPr>
                <w:sz w:val="22"/>
              </w:rPr>
            </w:pPr>
            <w:r>
              <w:rPr>
                <w:sz w:val="22"/>
              </w:rPr>
              <w:t>3.662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4"/>
              <w:ind w:left="292"/>
              <w:rPr>
                <w:sz w:val="22"/>
              </w:rPr>
            </w:pPr>
            <w:r>
              <w:rPr>
                <w:sz w:val="22"/>
              </w:rPr>
              <w:t>2.915</w:t>
            </w:r>
          </w:p>
        </w:tc>
        <w:tc>
          <w:tcPr>
            <w:tcW w:w="1350" w:type="dxa"/>
          </w:tcPr>
          <w:p>
            <w:pPr>
              <w:pStyle w:val="TableParagraph"/>
              <w:spacing w:line="252" w:lineRule="exact"/>
              <w:ind w:left="387" w:right="155" w:hanging="214"/>
              <w:rPr>
                <w:sz w:val="22"/>
              </w:rPr>
            </w:pPr>
            <w:r>
              <w:rPr>
                <w:spacing w:val="-1"/>
                <w:sz w:val="22"/>
              </w:rPr>
              <w:t>Hazardous/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Heavy</w:t>
            </w:r>
          </w:p>
        </w:tc>
        <w:tc>
          <w:tcPr>
            <w:tcW w:w="1525" w:type="dxa"/>
          </w:tcPr>
          <w:p>
            <w:pPr>
              <w:pStyle w:val="TableParagraph"/>
              <w:spacing w:line="252" w:lineRule="exact"/>
              <w:ind w:left="313" w:right="296" w:firstLine="33"/>
              <w:rPr>
                <w:sz w:val="22"/>
              </w:rPr>
            </w:pPr>
            <w:r>
              <w:rPr>
                <w:sz w:val="22"/>
              </w:rPr>
              <w:t>Collapse/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Very</w:t>
            </w:r>
            <w:r>
              <w:rPr>
                <w:spacing w:val="-13"/>
                <w:sz w:val="22"/>
              </w:rPr>
              <w:t> </w:t>
            </w:r>
            <w:r>
              <w:rPr>
                <w:sz w:val="22"/>
              </w:rPr>
              <w:t>Low</w:t>
            </w:r>
          </w:p>
        </w:tc>
      </w:tr>
      <w:tr>
        <w:trPr>
          <w:trHeight w:val="300" w:hRule="atLeast"/>
        </w:trPr>
        <w:tc>
          <w:tcPr>
            <w:tcW w:w="630" w:type="dxa"/>
            <w:shd w:val="clear" w:color="auto" w:fill="C0C0C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00" w:type="dxa"/>
            <w:shd w:val="clear" w:color="auto" w:fill="C0C0C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105" w:type="dxa"/>
            <w:gridSpan w:val="6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before="22"/>
              <w:ind w:left="1292" w:right="1288"/>
              <w:jc w:val="center"/>
              <w:rPr>
                <w:sz w:val="22"/>
              </w:rPr>
            </w:pPr>
            <w:r>
              <w:rPr>
                <w:sz w:val="22"/>
              </w:rPr>
              <w:t>CLT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grade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V-4,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front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face,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Ground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level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(h=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10-ft)</w:t>
            </w:r>
          </w:p>
        </w:tc>
      </w:tr>
      <w:tr>
        <w:trPr>
          <w:trHeight w:val="506" w:hRule="atLeast"/>
        </w:trPr>
        <w:tc>
          <w:tcPr>
            <w:tcW w:w="630" w:type="dxa"/>
          </w:tcPr>
          <w:p>
            <w:pPr>
              <w:pStyle w:val="TableParagraph"/>
              <w:spacing w:before="124"/>
              <w:ind w:left="7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1</w:t>
            </w:r>
          </w:p>
        </w:tc>
        <w:tc>
          <w:tcPr>
            <w:tcW w:w="900" w:type="dxa"/>
          </w:tcPr>
          <w:p>
            <w:pPr>
              <w:pStyle w:val="TableParagraph"/>
              <w:spacing w:before="124"/>
              <w:ind w:left="110" w:right="101"/>
              <w:jc w:val="center"/>
              <w:rPr>
                <w:sz w:val="22"/>
              </w:rPr>
            </w:pPr>
            <w:r>
              <w:rPr>
                <w:sz w:val="22"/>
              </w:rPr>
              <w:t>32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4"/>
              <w:ind w:left="118" w:right="108"/>
              <w:jc w:val="center"/>
              <w:rPr>
                <w:sz w:val="22"/>
              </w:rPr>
            </w:pPr>
            <w:r>
              <w:rPr>
                <w:sz w:val="22"/>
              </w:rPr>
              <w:t>0.504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4"/>
              <w:ind w:left="292"/>
              <w:rPr>
                <w:sz w:val="22"/>
              </w:rPr>
            </w:pPr>
            <w:r>
              <w:rPr>
                <w:sz w:val="22"/>
              </w:rPr>
              <w:t>0.459</w:t>
            </w:r>
          </w:p>
        </w:tc>
        <w:tc>
          <w:tcPr>
            <w:tcW w:w="990" w:type="dxa"/>
          </w:tcPr>
          <w:p>
            <w:pPr>
              <w:pStyle w:val="TableParagraph"/>
              <w:spacing w:before="124"/>
              <w:ind w:left="246"/>
              <w:rPr>
                <w:sz w:val="22"/>
              </w:rPr>
            </w:pPr>
            <w:r>
              <w:rPr>
                <w:sz w:val="22"/>
              </w:rPr>
              <w:t>0.997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4"/>
              <w:ind w:left="292"/>
              <w:rPr>
                <w:sz w:val="22"/>
              </w:rPr>
            </w:pPr>
            <w:r>
              <w:rPr>
                <w:sz w:val="22"/>
              </w:rPr>
              <w:t>0.908</w:t>
            </w:r>
          </w:p>
        </w:tc>
        <w:tc>
          <w:tcPr>
            <w:tcW w:w="1350" w:type="dxa"/>
          </w:tcPr>
          <w:p>
            <w:pPr>
              <w:pStyle w:val="TableParagraph"/>
              <w:spacing w:line="254" w:lineRule="exact"/>
              <w:ind w:left="191" w:right="132" w:hanging="30"/>
              <w:rPr>
                <w:sz w:val="22"/>
              </w:rPr>
            </w:pPr>
            <w:r>
              <w:rPr>
                <w:sz w:val="22"/>
              </w:rPr>
              <w:t>Superficial/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Superficial</w:t>
            </w:r>
          </w:p>
        </w:tc>
        <w:tc>
          <w:tcPr>
            <w:tcW w:w="1525" w:type="dxa"/>
          </w:tcPr>
          <w:p>
            <w:pPr>
              <w:pStyle w:val="TableParagraph"/>
              <w:spacing w:before="124"/>
              <w:ind w:left="216" w:right="207"/>
              <w:jc w:val="center"/>
              <w:rPr>
                <w:sz w:val="22"/>
              </w:rPr>
            </w:pPr>
            <w:r>
              <w:rPr>
                <w:sz w:val="22"/>
              </w:rPr>
              <w:t>Med/Med</w:t>
            </w:r>
          </w:p>
        </w:tc>
      </w:tr>
      <w:tr>
        <w:trPr>
          <w:trHeight w:val="504" w:hRule="atLeast"/>
        </w:trPr>
        <w:tc>
          <w:tcPr>
            <w:tcW w:w="630" w:type="dxa"/>
          </w:tcPr>
          <w:p>
            <w:pPr>
              <w:pStyle w:val="TableParagraph"/>
              <w:spacing w:before="122"/>
              <w:ind w:left="7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2</w:t>
            </w:r>
          </w:p>
        </w:tc>
        <w:tc>
          <w:tcPr>
            <w:tcW w:w="900" w:type="dxa"/>
          </w:tcPr>
          <w:p>
            <w:pPr>
              <w:pStyle w:val="TableParagraph"/>
              <w:spacing w:before="122"/>
              <w:ind w:left="110" w:right="101"/>
              <w:jc w:val="center"/>
              <w:rPr>
                <w:sz w:val="22"/>
              </w:rPr>
            </w:pPr>
            <w:r>
              <w:rPr>
                <w:sz w:val="22"/>
              </w:rPr>
              <w:t>67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2"/>
              <w:ind w:left="118" w:right="108"/>
              <w:jc w:val="center"/>
              <w:rPr>
                <w:sz w:val="22"/>
              </w:rPr>
            </w:pPr>
            <w:r>
              <w:rPr>
                <w:sz w:val="22"/>
              </w:rPr>
              <w:t>0.814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2"/>
              <w:ind w:left="292"/>
              <w:rPr>
                <w:sz w:val="22"/>
              </w:rPr>
            </w:pPr>
            <w:r>
              <w:rPr>
                <w:sz w:val="22"/>
              </w:rPr>
              <w:t>0.749</w:t>
            </w:r>
          </w:p>
        </w:tc>
        <w:tc>
          <w:tcPr>
            <w:tcW w:w="990" w:type="dxa"/>
          </w:tcPr>
          <w:p>
            <w:pPr>
              <w:pStyle w:val="TableParagraph"/>
              <w:spacing w:before="122"/>
              <w:ind w:left="246"/>
              <w:rPr>
                <w:sz w:val="22"/>
              </w:rPr>
            </w:pPr>
            <w:r>
              <w:rPr>
                <w:sz w:val="22"/>
              </w:rPr>
              <w:t>1.608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2"/>
              <w:ind w:left="292"/>
              <w:rPr>
                <w:sz w:val="22"/>
              </w:rPr>
            </w:pPr>
            <w:r>
              <w:rPr>
                <w:sz w:val="22"/>
              </w:rPr>
              <w:t>1.481</w:t>
            </w:r>
          </w:p>
        </w:tc>
        <w:tc>
          <w:tcPr>
            <w:tcW w:w="1350" w:type="dxa"/>
          </w:tcPr>
          <w:p>
            <w:pPr>
              <w:pStyle w:val="TableParagraph"/>
              <w:spacing w:line="249" w:lineRule="exact"/>
              <w:ind w:left="161"/>
              <w:rPr>
                <w:sz w:val="22"/>
              </w:rPr>
            </w:pPr>
            <w:r>
              <w:rPr>
                <w:sz w:val="22"/>
              </w:rPr>
              <w:t>Superficial/</w:t>
            </w:r>
          </w:p>
          <w:p>
            <w:pPr>
              <w:pStyle w:val="TableParagraph"/>
              <w:spacing w:line="234" w:lineRule="exact"/>
              <w:ind w:left="191"/>
              <w:rPr>
                <w:sz w:val="22"/>
              </w:rPr>
            </w:pPr>
            <w:r>
              <w:rPr>
                <w:sz w:val="22"/>
              </w:rPr>
              <w:t>Superficial</w:t>
            </w:r>
          </w:p>
        </w:tc>
        <w:tc>
          <w:tcPr>
            <w:tcW w:w="1525" w:type="dxa"/>
          </w:tcPr>
          <w:p>
            <w:pPr>
              <w:pStyle w:val="TableParagraph"/>
              <w:spacing w:before="122"/>
              <w:ind w:left="216" w:right="207"/>
              <w:jc w:val="center"/>
              <w:rPr>
                <w:sz w:val="22"/>
              </w:rPr>
            </w:pPr>
            <w:r>
              <w:rPr>
                <w:sz w:val="22"/>
              </w:rPr>
              <w:t>Med/Med</w:t>
            </w:r>
          </w:p>
        </w:tc>
      </w:tr>
      <w:tr>
        <w:trPr>
          <w:trHeight w:val="505" w:hRule="atLeast"/>
        </w:trPr>
        <w:tc>
          <w:tcPr>
            <w:tcW w:w="630" w:type="dxa"/>
          </w:tcPr>
          <w:p>
            <w:pPr>
              <w:pStyle w:val="TableParagraph"/>
              <w:spacing w:before="124"/>
              <w:ind w:left="7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3</w:t>
            </w:r>
          </w:p>
        </w:tc>
        <w:tc>
          <w:tcPr>
            <w:tcW w:w="900" w:type="dxa"/>
          </w:tcPr>
          <w:p>
            <w:pPr>
              <w:pStyle w:val="TableParagraph"/>
              <w:spacing w:before="124"/>
              <w:ind w:left="110" w:right="101"/>
              <w:jc w:val="center"/>
              <w:rPr>
                <w:sz w:val="22"/>
              </w:rPr>
            </w:pPr>
            <w:r>
              <w:rPr>
                <w:sz w:val="22"/>
              </w:rPr>
              <w:t>199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4"/>
              <w:ind w:left="118" w:right="108"/>
              <w:jc w:val="center"/>
              <w:rPr>
                <w:sz w:val="22"/>
              </w:rPr>
            </w:pPr>
            <w:r>
              <w:rPr>
                <w:sz w:val="22"/>
              </w:rPr>
              <w:t>1.799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4"/>
              <w:ind w:left="292"/>
              <w:rPr>
                <w:sz w:val="22"/>
              </w:rPr>
            </w:pPr>
            <w:r>
              <w:rPr>
                <w:sz w:val="22"/>
              </w:rPr>
              <w:t>1.487</w:t>
            </w:r>
          </w:p>
        </w:tc>
        <w:tc>
          <w:tcPr>
            <w:tcW w:w="990" w:type="dxa"/>
          </w:tcPr>
          <w:p>
            <w:pPr>
              <w:pStyle w:val="TableParagraph"/>
              <w:spacing w:before="124"/>
              <w:ind w:left="247"/>
              <w:rPr>
                <w:sz w:val="22"/>
              </w:rPr>
            </w:pPr>
            <w:r>
              <w:rPr>
                <w:sz w:val="22"/>
              </w:rPr>
              <w:t>3.551</w:t>
            </w:r>
          </w:p>
        </w:tc>
        <w:tc>
          <w:tcPr>
            <w:tcW w:w="1080" w:type="dxa"/>
          </w:tcPr>
          <w:p>
            <w:pPr>
              <w:pStyle w:val="TableParagraph"/>
              <w:spacing w:before="124"/>
              <w:ind w:left="292"/>
              <w:rPr>
                <w:sz w:val="22"/>
              </w:rPr>
            </w:pPr>
            <w:r>
              <w:rPr>
                <w:sz w:val="22"/>
              </w:rPr>
              <w:t>2.936</w:t>
            </w:r>
          </w:p>
        </w:tc>
        <w:tc>
          <w:tcPr>
            <w:tcW w:w="1350" w:type="dxa"/>
          </w:tcPr>
          <w:p>
            <w:pPr>
              <w:pStyle w:val="TableParagraph"/>
              <w:spacing w:line="254" w:lineRule="exact"/>
              <w:ind w:left="387" w:right="327" w:hanging="30"/>
              <w:rPr>
                <w:sz w:val="22"/>
              </w:rPr>
            </w:pPr>
            <w:r>
              <w:rPr>
                <w:sz w:val="22"/>
              </w:rPr>
              <w:t>Heavy/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Heavy</w:t>
            </w:r>
          </w:p>
        </w:tc>
        <w:tc>
          <w:tcPr>
            <w:tcW w:w="1525" w:type="dxa"/>
          </w:tcPr>
          <w:p>
            <w:pPr>
              <w:pStyle w:val="TableParagraph"/>
              <w:spacing w:line="254" w:lineRule="exact"/>
              <w:ind w:left="313" w:right="252" w:hanging="30"/>
              <w:rPr>
                <w:sz w:val="22"/>
              </w:rPr>
            </w:pPr>
            <w:r>
              <w:rPr>
                <w:sz w:val="22"/>
              </w:rPr>
              <w:t>Very Low/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Very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Low</w:t>
            </w:r>
          </w:p>
        </w:tc>
      </w:tr>
    </w:tbl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9"/>
        <w:rPr>
          <w:i/>
          <w:sz w:val="35"/>
        </w:rPr>
      </w:pPr>
    </w:p>
    <w:p>
      <w:pPr>
        <w:pStyle w:val="Heading9"/>
        <w:numPr>
          <w:ilvl w:val="1"/>
          <w:numId w:val="27"/>
        </w:numPr>
        <w:tabs>
          <w:tab w:pos="800" w:val="left" w:leader="none"/>
        </w:tabs>
        <w:spacing w:line="240" w:lineRule="auto" w:before="0" w:after="0"/>
        <w:ind w:left="800" w:right="0" w:hanging="360"/>
        <w:jc w:val="both"/>
      </w:pPr>
      <w:bookmarkStart w:name="_TOC_250011" w:id="563"/>
      <w:bookmarkStart w:name="8.4 Model predictions" w:id="564"/>
      <w:r>
        <w:rPr>
          <w:b w:val="0"/>
        </w:rPr>
      </w:r>
      <w:bookmarkEnd w:id="564"/>
      <w:bookmarkStart w:name="8.4 Model predictions" w:id="565"/>
      <w:r>
        <w:rPr/>
        <w:t>M</w:t>
      </w:r>
      <w:r>
        <w:rPr/>
        <w:t>odel</w:t>
      </w:r>
      <w:r>
        <w:rPr>
          <w:spacing w:val="-6"/>
        </w:rPr>
        <w:t> </w:t>
      </w:r>
      <w:bookmarkEnd w:id="563"/>
      <w:r>
        <w:rPr/>
        <w:t>predictions</w:t>
      </w:r>
    </w:p>
    <w:p>
      <w:pPr>
        <w:pStyle w:val="ListParagraph"/>
        <w:numPr>
          <w:ilvl w:val="2"/>
          <w:numId w:val="27"/>
        </w:numPr>
        <w:tabs>
          <w:tab w:pos="980" w:val="left" w:leader="none"/>
        </w:tabs>
        <w:spacing w:line="240" w:lineRule="auto" w:before="141" w:after="0"/>
        <w:ind w:left="980" w:right="0" w:hanging="540"/>
        <w:jc w:val="both"/>
        <w:rPr>
          <w:i/>
          <w:sz w:val="24"/>
        </w:rPr>
      </w:pPr>
      <w:bookmarkStart w:name="8.4.1 Effect of end conditions" w:id="566"/>
      <w:bookmarkEnd w:id="566"/>
      <w:r>
        <w:rPr/>
      </w:r>
      <w:bookmarkStart w:name="8.4.1 Effect of end conditions" w:id="567"/>
      <w:bookmarkEnd w:id="567"/>
      <w:r>
        <w:rPr>
          <w:i/>
          <w:sz w:val="24"/>
        </w:rPr>
        <w:t>E</w:t>
      </w:r>
      <w:r>
        <w:rPr>
          <w:i/>
          <w:sz w:val="24"/>
        </w:rPr>
        <w:t>ffect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end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conditions</w:t>
      </w:r>
    </w:p>
    <w:p>
      <w:pPr>
        <w:pStyle w:val="BodyText"/>
        <w:spacing w:before="8"/>
        <w:rPr>
          <w:i/>
          <w:sz w:val="22"/>
        </w:rPr>
      </w:pPr>
    </w:p>
    <w:p>
      <w:pPr>
        <w:pStyle w:val="BodyText"/>
        <w:spacing w:line="480" w:lineRule="auto"/>
        <w:ind w:left="440" w:right="417" w:firstLine="720"/>
        <w:jc w:val="both"/>
      </w:pPr>
      <w:r>
        <w:rPr/>
        <w:t>With the boundary conditions adjusted to simply supported, and no other changes</w:t>
      </w:r>
      <w:r>
        <w:rPr>
          <w:spacing w:val="1"/>
        </w:rPr>
        <w:t> </w:t>
      </w:r>
      <w:r>
        <w:rPr/>
        <w:t>are made with the user specifications of the tool, there is significantly worse agreement</w:t>
      </w:r>
      <w:r>
        <w:rPr>
          <w:spacing w:val="1"/>
        </w:rPr>
        <w:t> </w:t>
      </w:r>
      <w:r>
        <w:rPr/>
        <w:t>between the predicted displacements and the actual values as signified by the percent</w:t>
      </w:r>
      <w:r>
        <w:rPr>
          <w:spacing w:val="1"/>
        </w:rPr>
        <w:t> </w:t>
      </w:r>
      <w:r>
        <w:rPr/>
        <w:t>differences in </w:t>
      </w:r>
      <w:hyperlink w:history="true" w:anchor="_bookmark201">
        <w:r>
          <w:rPr/>
          <w:t>Table 8-8</w:t>
        </w:r>
      </w:hyperlink>
      <w:r>
        <w:rPr/>
        <w:t>.</w:t>
      </w:r>
      <w:r>
        <w:rPr>
          <w:spacing w:val="60"/>
        </w:rPr>
        <w:t> </w:t>
      </w:r>
      <w:r>
        <w:rPr/>
        <w:t>The smallest percent difference in displacement values is over</w:t>
      </w:r>
      <w:r>
        <w:rPr>
          <w:spacing w:val="1"/>
        </w:rPr>
        <w:t> </w:t>
      </w:r>
      <w:r>
        <w:rPr/>
        <w:t>10 percent, and the highest is over 160 percent.</w:t>
      </w:r>
      <w:r>
        <w:rPr>
          <w:spacing w:val="1"/>
        </w:rPr>
        <w:t> </w:t>
      </w:r>
      <w:r>
        <w:rPr/>
        <w:t>The tool consistently over-predicted the</w:t>
      </w:r>
      <w:r>
        <w:rPr>
          <w:spacing w:val="1"/>
        </w:rPr>
        <w:t> </w:t>
      </w:r>
      <w:r>
        <w:rPr/>
        <w:t>displacements using the simply supported end conditions.</w:t>
      </w:r>
      <w:r>
        <w:rPr>
          <w:spacing w:val="1"/>
        </w:rPr>
        <w:t> </w:t>
      </w:r>
      <w:r>
        <w:rPr/>
        <w:t>This disagreement between the</w:t>
      </w:r>
      <w:r>
        <w:rPr>
          <w:spacing w:val="-57"/>
        </w:rPr>
        <w:t> </w:t>
      </w:r>
      <w:r>
        <w:rPr/>
        <w:t>model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actual</w:t>
      </w:r>
      <w:r>
        <w:rPr>
          <w:spacing w:val="-4"/>
        </w:rPr>
        <w:t> </w:t>
      </w:r>
      <w:r>
        <w:rPr/>
        <w:t>displacements</w:t>
      </w:r>
      <w:r>
        <w:rPr>
          <w:spacing w:val="-2"/>
        </w:rPr>
        <w:t> </w:t>
      </w:r>
      <w:r>
        <w:rPr/>
        <w:t>makes</w:t>
      </w:r>
      <w:r>
        <w:rPr>
          <w:spacing w:val="-5"/>
        </w:rPr>
        <w:t> </w:t>
      </w:r>
      <w:r>
        <w:rPr/>
        <w:t>sense</w:t>
      </w:r>
      <w:r>
        <w:rPr>
          <w:spacing w:val="-4"/>
        </w:rPr>
        <w:t> </w:t>
      </w:r>
      <w:r>
        <w:rPr/>
        <w:t>given</w:t>
      </w:r>
      <w:r>
        <w:rPr>
          <w:spacing w:val="-5"/>
        </w:rPr>
        <w:t> </w:t>
      </w:r>
      <w:r>
        <w:rPr/>
        <w:t>that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actual</w:t>
      </w:r>
      <w:r>
        <w:rPr>
          <w:spacing w:val="-6"/>
        </w:rPr>
        <w:t> </w:t>
      </w:r>
      <w:r>
        <w:rPr/>
        <w:t>end</w:t>
      </w:r>
      <w:r>
        <w:rPr>
          <w:spacing w:val="-4"/>
        </w:rPr>
        <w:t> </w:t>
      </w:r>
      <w:r>
        <w:rPr/>
        <w:t>conditions</w:t>
      </w:r>
      <w:r>
        <w:rPr>
          <w:spacing w:val="-5"/>
        </w:rPr>
        <w:t> </w:t>
      </w:r>
      <w:r>
        <w:rPr/>
        <w:t>were</w:t>
      </w:r>
      <w:r>
        <w:rPr>
          <w:spacing w:val="-4"/>
        </w:rPr>
        <w:t> </w:t>
      </w:r>
      <w:r>
        <w:rPr/>
        <w:t>not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40" w:right="418"/>
      </w:pPr>
      <w:r>
        <w:rPr/>
        <w:t>very</w:t>
      </w:r>
      <w:r>
        <w:rPr>
          <w:spacing w:val="-13"/>
        </w:rPr>
        <w:t> </w:t>
      </w:r>
      <w:r>
        <w:rPr/>
        <w:t>representative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a</w:t>
      </w:r>
      <w:r>
        <w:rPr>
          <w:spacing w:val="-13"/>
        </w:rPr>
        <w:t> </w:t>
      </w:r>
      <w:r>
        <w:rPr/>
        <w:t>simply</w:t>
      </w:r>
      <w:r>
        <w:rPr>
          <w:spacing w:val="-13"/>
        </w:rPr>
        <w:t> </w:t>
      </w:r>
      <w:r>
        <w:rPr/>
        <w:t>supported</w:t>
      </w:r>
      <w:r>
        <w:rPr>
          <w:spacing w:val="-13"/>
        </w:rPr>
        <w:t> </w:t>
      </w:r>
      <w:r>
        <w:rPr/>
        <w:t>system</w:t>
      </w:r>
      <w:r>
        <w:rPr>
          <w:spacing w:val="-13"/>
        </w:rPr>
        <w:t> </w:t>
      </w:r>
      <w:r>
        <w:rPr/>
        <w:t>with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robust</w:t>
      </w:r>
      <w:r>
        <w:rPr>
          <w:spacing w:val="-13"/>
        </w:rPr>
        <w:t> </w:t>
      </w:r>
      <w:r>
        <w:rPr/>
        <w:t>connection</w:t>
      </w:r>
      <w:r>
        <w:rPr>
          <w:spacing w:val="-13"/>
        </w:rPr>
        <w:t> </w:t>
      </w:r>
      <w:r>
        <w:rPr/>
        <w:t>to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concrete</w:t>
      </w:r>
      <w:r>
        <w:rPr>
          <w:spacing w:val="-57"/>
        </w:rPr>
        <w:t> </w:t>
      </w:r>
      <w:r>
        <w:rPr/>
        <w:t>slab.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spacing w:before="231"/>
        <w:ind w:left="440" w:right="1140" w:firstLine="0"/>
        <w:jc w:val="left"/>
        <w:rPr>
          <w:i/>
          <w:sz w:val="24"/>
        </w:rPr>
      </w:pPr>
      <w:bookmarkStart w:name="_bookmark201" w:id="568"/>
      <w:bookmarkEnd w:id="568"/>
      <w:r>
        <w:rPr/>
      </w:r>
      <w:r>
        <w:rPr>
          <w:i/>
          <w:sz w:val="24"/>
        </w:rPr>
        <w:t>Table 8-8. Tool predicted versus actual displacements using simply supported end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conditions.</w:t>
      </w:r>
    </w:p>
    <w:p>
      <w:pPr>
        <w:pStyle w:val="BodyText"/>
        <w:spacing w:before="4" w:after="1"/>
        <w:rPr>
          <w:i/>
          <w:sz w:val="17"/>
        </w:rPr>
      </w:pPr>
    </w:p>
    <w:tbl>
      <w:tblPr>
        <w:tblW w:w="0" w:type="auto"/>
        <w:jc w:val="left"/>
        <w:tblInd w:w="4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20"/>
        <w:gridCol w:w="924"/>
        <w:gridCol w:w="1556"/>
        <w:gridCol w:w="1615"/>
        <w:gridCol w:w="1155"/>
        <w:gridCol w:w="1607"/>
        <w:gridCol w:w="1155"/>
      </w:tblGrid>
      <w:tr>
        <w:trPr>
          <w:trHeight w:val="1265" w:hRule="atLeast"/>
        </w:trPr>
        <w:tc>
          <w:tcPr>
            <w:tcW w:w="620" w:type="dxa"/>
            <w:shd w:val="clear" w:color="auto" w:fill="C0C0C0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0"/>
              <w:rPr>
                <w:i/>
                <w:sz w:val="19"/>
              </w:rPr>
            </w:pPr>
          </w:p>
          <w:p>
            <w:pPr>
              <w:pStyle w:val="TableParagraph"/>
              <w:ind w:left="88" w:right="78"/>
              <w:jc w:val="center"/>
              <w:rPr>
                <w:sz w:val="22"/>
              </w:rPr>
            </w:pPr>
            <w:r>
              <w:rPr>
                <w:sz w:val="22"/>
              </w:rPr>
              <w:t>Shot</w:t>
            </w:r>
          </w:p>
        </w:tc>
        <w:tc>
          <w:tcPr>
            <w:tcW w:w="924" w:type="dxa"/>
            <w:shd w:val="clear" w:color="auto" w:fill="C0C0C0"/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ind w:left="248"/>
              <w:rPr>
                <w:sz w:val="22"/>
              </w:rPr>
            </w:pPr>
            <w:r>
              <w:rPr>
                <w:sz w:val="22"/>
              </w:rPr>
              <w:t>TNT</w:t>
            </w:r>
          </w:p>
          <w:p>
            <w:pPr>
              <w:pStyle w:val="TableParagraph"/>
              <w:ind w:left="275" w:right="108" w:hanging="137"/>
              <w:rPr>
                <w:sz w:val="22"/>
              </w:rPr>
            </w:pPr>
            <w:r>
              <w:rPr>
                <w:sz w:val="22"/>
              </w:rPr>
              <w:t>Weight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[lb.]</w:t>
            </w:r>
          </w:p>
        </w:tc>
        <w:tc>
          <w:tcPr>
            <w:tcW w:w="1556" w:type="dxa"/>
            <w:shd w:val="clear" w:color="auto" w:fill="C0C0C0"/>
          </w:tcPr>
          <w:p>
            <w:pPr>
              <w:pStyle w:val="TableParagraph"/>
              <w:spacing w:before="3"/>
              <w:rPr>
                <w:i/>
                <w:sz w:val="20"/>
              </w:rPr>
            </w:pPr>
          </w:p>
          <w:p>
            <w:pPr>
              <w:pStyle w:val="TableParagraph"/>
              <w:spacing w:line="250" w:lineRule="atLeast"/>
              <w:ind w:left="170" w:right="157" w:firstLine="1"/>
              <w:jc w:val="center"/>
              <w:rPr>
                <w:sz w:val="22"/>
              </w:rPr>
            </w:pPr>
            <w:r>
              <w:rPr>
                <w:sz w:val="22"/>
              </w:rPr>
              <w:t>Inbound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displacement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(gauge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recorded)</w:t>
            </w:r>
            <w:r>
              <w:rPr>
                <w:spacing w:val="-12"/>
                <w:sz w:val="22"/>
              </w:rPr>
              <w:t> </w:t>
            </w:r>
            <w:r>
              <w:rPr>
                <w:sz w:val="22"/>
              </w:rPr>
              <w:t>[in]</w:t>
            </w:r>
          </w:p>
        </w:tc>
        <w:tc>
          <w:tcPr>
            <w:tcW w:w="1615" w:type="dxa"/>
            <w:shd w:val="clear" w:color="auto" w:fill="C0C0C0"/>
          </w:tcPr>
          <w:p>
            <w:pPr>
              <w:pStyle w:val="TableParagraph"/>
              <w:ind w:left="138" w:right="125"/>
              <w:jc w:val="center"/>
              <w:rPr>
                <w:sz w:val="22"/>
              </w:rPr>
            </w:pPr>
            <w:r>
              <w:rPr>
                <w:sz w:val="22"/>
              </w:rPr>
              <w:t>SDOF inbound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model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displacement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(UFC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loads)</w:t>
            </w:r>
          </w:p>
          <w:p>
            <w:pPr>
              <w:pStyle w:val="TableParagraph"/>
              <w:spacing w:line="234" w:lineRule="exact"/>
              <w:ind w:left="135" w:right="125"/>
              <w:jc w:val="center"/>
              <w:rPr>
                <w:sz w:val="22"/>
              </w:rPr>
            </w:pPr>
            <w:r>
              <w:rPr>
                <w:sz w:val="22"/>
              </w:rPr>
              <w:t>[in]</w:t>
            </w:r>
          </w:p>
        </w:tc>
        <w:tc>
          <w:tcPr>
            <w:tcW w:w="1155" w:type="dxa"/>
            <w:shd w:val="clear" w:color="auto" w:fill="C0C0C0"/>
          </w:tcPr>
          <w:p>
            <w:pPr>
              <w:pStyle w:val="TableParagraph"/>
              <w:spacing w:before="10"/>
              <w:rPr>
                <w:i/>
                <w:sz w:val="32"/>
              </w:rPr>
            </w:pPr>
          </w:p>
          <w:p>
            <w:pPr>
              <w:pStyle w:val="TableParagraph"/>
              <w:spacing w:before="1"/>
              <w:ind w:left="132" w:right="111" w:firstLine="116"/>
              <w:rPr>
                <w:sz w:val="22"/>
              </w:rPr>
            </w:pPr>
            <w:r>
              <w:rPr>
                <w:sz w:val="22"/>
              </w:rPr>
              <w:t>Percent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1"/>
                <w:sz w:val="22"/>
              </w:rPr>
              <w:t>difference</w:t>
            </w:r>
          </w:p>
        </w:tc>
        <w:tc>
          <w:tcPr>
            <w:tcW w:w="1607" w:type="dxa"/>
            <w:shd w:val="clear" w:color="auto" w:fill="C0C0C0"/>
          </w:tcPr>
          <w:p>
            <w:pPr>
              <w:pStyle w:val="TableParagraph"/>
              <w:spacing w:before="3"/>
              <w:rPr>
                <w:i/>
                <w:sz w:val="20"/>
              </w:rPr>
            </w:pPr>
          </w:p>
          <w:p>
            <w:pPr>
              <w:pStyle w:val="TableParagraph"/>
              <w:spacing w:line="250" w:lineRule="atLeast"/>
              <w:ind w:left="132" w:right="117" w:hanging="1"/>
              <w:jc w:val="center"/>
              <w:rPr>
                <w:sz w:val="22"/>
              </w:rPr>
            </w:pPr>
            <w:r>
              <w:rPr>
                <w:sz w:val="22"/>
              </w:rPr>
              <w:t>SDOF inbound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model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displacement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(field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data)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[in]</w:t>
            </w:r>
          </w:p>
        </w:tc>
        <w:tc>
          <w:tcPr>
            <w:tcW w:w="1155" w:type="dxa"/>
            <w:shd w:val="clear" w:color="auto" w:fill="C0C0C0"/>
          </w:tcPr>
          <w:p>
            <w:pPr>
              <w:pStyle w:val="TableParagraph"/>
              <w:spacing w:before="10"/>
              <w:rPr>
                <w:i/>
                <w:sz w:val="32"/>
              </w:rPr>
            </w:pPr>
          </w:p>
          <w:p>
            <w:pPr>
              <w:pStyle w:val="TableParagraph"/>
              <w:spacing w:before="1"/>
              <w:ind w:left="133" w:right="110" w:firstLine="116"/>
              <w:rPr>
                <w:sz w:val="22"/>
              </w:rPr>
            </w:pPr>
            <w:r>
              <w:rPr>
                <w:sz w:val="22"/>
              </w:rPr>
              <w:t>Percent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1"/>
                <w:sz w:val="22"/>
              </w:rPr>
              <w:t>difference</w:t>
            </w:r>
          </w:p>
        </w:tc>
      </w:tr>
      <w:tr>
        <w:trPr>
          <w:trHeight w:val="299" w:hRule="atLeast"/>
        </w:trPr>
        <w:tc>
          <w:tcPr>
            <w:tcW w:w="620" w:type="dxa"/>
            <w:shd w:val="clear" w:color="auto" w:fill="C0C0C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24" w:type="dxa"/>
            <w:shd w:val="clear" w:color="auto" w:fill="C0C0C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088" w:type="dxa"/>
            <w:gridSpan w:val="5"/>
            <w:shd w:val="clear" w:color="auto" w:fill="C0C0C0"/>
          </w:tcPr>
          <w:p>
            <w:pPr>
              <w:pStyle w:val="TableParagraph"/>
              <w:spacing w:line="234" w:lineRule="exact" w:before="45"/>
              <w:ind w:left="1767"/>
              <w:rPr>
                <w:sz w:val="22"/>
              </w:rPr>
            </w:pPr>
            <w:r>
              <w:rPr>
                <w:sz w:val="22"/>
              </w:rPr>
              <w:t>CLT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grade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E-1,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front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face,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Ground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level</w:t>
            </w:r>
          </w:p>
        </w:tc>
      </w:tr>
      <w:tr>
        <w:trPr>
          <w:trHeight w:val="300" w:hRule="atLeast"/>
        </w:trPr>
        <w:tc>
          <w:tcPr>
            <w:tcW w:w="620" w:type="dxa"/>
          </w:tcPr>
          <w:p>
            <w:pPr>
              <w:pStyle w:val="TableParagraph"/>
              <w:spacing w:line="234" w:lineRule="exact" w:before="46"/>
              <w:ind w:left="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1</w:t>
            </w:r>
          </w:p>
        </w:tc>
        <w:tc>
          <w:tcPr>
            <w:tcW w:w="924" w:type="dxa"/>
          </w:tcPr>
          <w:p>
            <w:pPr>
              <w:pStyle w:val="TableParagraph"/>
              <w:spacing w:line="234" w:lineRule="exact" w:before="46"/>
              <w:ind w:left="194" w:right="184"/>
              <w:jc w:val="center"/>
              <w:rPr>
                <w:sz w:val="22"/>
              </w:rPr>
            </w:pPr>
            <w:r>
              <w:rPr>
                <w:sz w:val="22"/>
              </w:rPr>
              <w:t>32</w:t>
            </w:r>
          </w:p>
        </w:tc>
        <w:tc>
          <w:tcPr>
            <w:tcW w:w="1556" w:type="dxa"/>
            <w:shd w:val="clear" w:color="auto" w:fill="DADADA"/>
          </w:tcPr>
          <w:p>
            <w:pPr>
              <w:pStyle w:val="TableParagraph"/>
              <w:spacing w:line="234" w:lineRule="exact" w:before="46"/>
              <w:ind w:left="525" w:right="513"/>
              <w:jc w:val="center"/>
              <w:rPr>
                <w:sz w:val="22"/>
              </w:rPr>
            </w:pPr>
            <w:r>
              <w:rPr>
                <w:sz w:val="22"/>
              </w:rPr>
              <w:t>1.09</w:t>
            </w:r>
          </w:p>
        </w:tc>
        <w:tc>
          <w:tcPr>
            <w:tcW w:w="1615" w:type="dxa"/>
          </w:tcPr>
          <w:p>
            <w:pPr>
              <w:pStyle w:val="TableParagraph"/>
              <w:spacing w:line="234" w:lineRule="exact" w:before="46"/>
              <w:ind w:left="137" w:right="125"/>
              <w:jc w:val="center"/>
              <w:rPr>
                <w:sz w:val="22"/>
              </w:rPr>
            </w:pPr>
            <w:r>
              <w:rPr>
                <w:sz w:val="22"/>
              </w:rPr>
              <w:t>1.545</w:t>
            </w:r>
          </w:p>
        </w:tc>
        <w:tc>
          <w:tcPr>
            <w:tcW w:w="1155" w:type="dxa"/>
          </w:tcPr>
          <w:p>
            <w:pPr>
              <w:pStyle w:val="TableParagraph"/>
              <w:spacing w:line="234" w:lineRule="exact" w:before="46"/>
              <w:ind w:left="164" w:right="151"/>
              <w:jc w:val="center"/>
              <w:rPr>
                <w:sz w:val="22"/>
              </w:rPr>
            </w:pPr>
            <w:r>
              <w:rPr>
                <w:color w:val="FF0000"/>
                <w:sz w:val="22"/>
              </w:rPr>
              <w:t>41.74%</w:t>
            </w:r>
          </w:p>
        </w:tc>
        <w:tc>
          <w:tcPr>
            <w:tcW w:w="1607" w:type="dxa"/>
          </w:tcPr>
          <w:p>
            <w:pPr>
              <w:pStyle w:val="TableParagraph"/>
              <w:spacing w:line="234" w:lineRule="exact" w:before="46"/>
              <w:ind w:left="537" w:right="525"/>
              <w:jc w:val="center"/>
              <w:rPr>
                <w:sz w:val="22"/>
              </w:rPr>
            </w:pPr>
            <w:r>
              <w:rPr>
                <w:sz w:val="22"/>
              </w:rPr>
              <w:t>1.387</w:t>
            </w:r>
          </w:p>
        </w:tc>
        <w:tc>
          <w:tcPr>
            <w:tcW w:w="1155" w:type="dxa"/>
          </w:tcPr>
          <w:p>
            <w:pPr>
              <w:pStyle w:val="TableParagraph"/>
              <w:spacing w:line="234" w:lineRule="exact" w:before="46"/>
              <w:ind w:left="164" w:right="150"/>
              <w:jc w:val="center"/>
              <w:rPr>
                <w:sz w:val="22"/>
              </w:rPr>
            </w:pPr>
            <w:r>
              <w:rPr>
                <w:color w:val="FF0000"/>
                <w:sz w:val="22"/>
              </w:rPr>
              <w:t>27.25%</w:t>
            </w:r>
          </w:p>
        </w:tc>
      </w:tr>
      <w:tr>
        <w:trPr>
          <w:trHeight w:val="299" w:hRule="atLeast"/>
        </w:trPr>
        <w:tc>
          <w:tcPr>
            <w:tcW w:w="620" w:type="dxa"/>
          </w:tcPr>
          <w:p>
            <w:pPr>
              <w:pStyle w:val="TableParagraph"/>
              <w:spacing w:line="234" w:lineRule="exact" w:before="45"/>
              <w:ind w:left="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2</w:t>
            </w:r>
          </w:p>
        </w:tc>
        <w:tc>
          <w:tcPr>
            <w:tcW w:w="924" w:type="dxa"/>
          </w:tcPr>
          <w:p>
            <w:pPr>
              <w:pStyle w:val="TableParagraph"/>
              <w:spacing w:line="234" w:lineRule="exact" w:before="45"/>
              <w:ind w:left="194" w:right="184"/>
              <w:jc w:val="center"/>
              <w:rPr>
                <w:sz w:val="22"/>
              </w:rPr>
            </w:pPr>
            <w:r>
              <w:rPr>
                <w:sz w:val="22"/>
              </w:rPr>
              <w:t>67</w:t>
            </w:r>
          </w:p>
        </w:tc>
        <w:tc>
          <w:tcPr>
            <w:tcW w:w="1556" w:type="dxa"/>
            <w:shd w:val="clear" w:color="auto" w:fill="DADADA"/>
          </w:tcPr>
          <w:p>
            <w:pPr>
              <w:pStyle w:val="TableParagraph"/>
              <w:spacing w:line="234" w:lineRule="exact" w:before="45"/>
              <w:ind w:left="525" w:right="513"/>
              <w:jc w:val="center"/>
              <w:rPr>
                <w:sz w:val="22"/>
              </w:rPr>
            </w:pPr>
            <w:r>
              <w:rPr>
                <w:sz w:val="22"/>
              </w:rPr>
              <w:t>1.96</w:t>
            </w:r>
          </w:p>
        </w:tc>
        <w:tc>
          <w:tcPr>
            <w:tcW w:w="1615" w:type="dxa"/>
          </w:tcPr>
          <w:p>
            <w:pPr>
              <w:pStyle w:val="TableParagraph"/>
              <w:spacing w:line="234" w:lineRule="exact" w:before="45"/>
              <w:ind w:left="137" w:right="125"/>
              <w:jc w:val="center"/>
              <w:rPr>
                <w:sz w:val="22"/>
              </w:rPr>
            </w:pPr>
            <w:r>
              <w:rPr>
                <w:sz w:val="22"/>
              </w:rPr>
              <w:t>2.528</w:t>
            </w:r>
          </w:p>
        </w:tc>
        <w:tc>
          <w:tcPr>
            <w:tcW w:w="1155" w:type="dxa"/>
          </w:tcPr>
          <w:p>
            <w:pPr>
              <w:pStyle w:val="TableParagraph"/>
              <w:spacing w:line="234" w:lineRule="exact" w:before="45"/>
              <w:ind w:left="164" w:right="151"/>
              <w:jc w:val="center"/>
              <w:rPr>
                <w:sz w:val="22"/>
              </w:rPr>
            </w:pPr>
            <w:r>
              <w:rPr>
                <w:color w:val="FF0000"/>
                <w:sz w:val="22"/>
              </w:rPr>
              <w:t>28.98%</w:t>
            </w:r>
          </w:p>
        </w:tc>
        <w:tc>
          <w:tcPr>
            <w:tcW w:w="1607" w:type="dxa"/>
          </w:tcPr>
          <w:p>
            <w:pPr>
              <w:pStyle w:val="TableParagraph"/>
              <w:spacing w:line="234" w:lineRule="exact" w:before="45"/>
              <w:ind w:left="537" w:right="525"/>
              <w:jc w:val="center"/>
              <w:rPr>
                <w:sz w:val="22"/>
              </w:rPr>
            </w:pPr>
            <w:r>
              <w:rPr>
                <w:sz w:val="22"/>
              </w:rPr>
              <w:t>2.273</w:t>
            </w:r>
          </w:p>
        </w:tc>
        <w:tc>
          <w:tcPr>
            <w:tcW w:w="1155" w:type="dxa"/>
          </w:tcPr>
          <w:p>
            <w:pPr>
              <w:pStyle w:val="TableParagraph"/>
              <w:spacing w:line="234" w:lineRule="exact" w:before="45"/>
              <w:ind w:left="164" w:right="150"/>
              <w:jc w:val="center"/>
              <w:rPr>
                <w:sz w:val="22"/>
              </w:rPr>
            </w:pPr>
            <w:r>
              <w:rPr>
                <w:sz w:val="22"/>
              </w:rPr>
              <w:t>15.97%</w:t>
            </w:r>
          </w:p>
        </w:tc>
      </w:tr>
      <w:tr>
        <w:trPr>
          <w:trHeight w:val="299" w:hRule="atLeast"/>
        </w:trPr>
        <w:tc>
          <w:tcPr>
            <w:tcW w:w="620" w:type="dxa"/>
          </w:tcPr>
          <w:p>
            <w:pPr>
              <w:pStyle w:val="TableParagraph"/>
              <w:spacing w:line="234" w:lineRule="exact" w:before="45"/>
              <w:ind w:left="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3</w:t>
            </w:r>
          </w:p>
        </w:tc>
        <w:tc>
          <w:tcPr>
            <w:tcW w:w="924" w:type="dxa"/>
          </w:tcPr>
          <w:p>
            <w:pPr>
              <w:pStyle w:val="TableParagraph"/>
              <w:spacing w:line="234" w:lineRule="exact" w:before="45"/>
              <w:ind w:left="194" w:right="184"/>
              <w:jc w:val="center"/>
              <w:rPr>
                <w:sz w:val="22"/>
              </w:rPr>
            </w:pPr>
            <w:r>
              <w:rPr>
                <w:sz w:val="22"/>
              </w:rPr>
              <w:t>199</w:t>
            </w:r>
          </w:p>
        </w:tc>
        <w:tc>
          <w:tcPr>
            <w:tcW w:w="1556" w:type="dxa"/>
            <w:shd w:val="clear" w:color="auto" w:fill="DADADA"/>
          </w:tcPr>
          <w:p>
            <w:pPr>
              <w:pStyle w:val="TableParagraph"/>
              <w:spacing w:line="234" w:lineRule="exact" w:before="45"/>
              <w:ind w:left="524" w:right="513"/>
              <w:jc w:val="center"/>
              <w:rPr>
                <w:sz w:val="22"/>
              </w:rPr>
            </w:pPr>
            <w:r>
              <w:rPr>
                <w:sz w:val="22"/>
              </w:rPr>
              <w:t>3.9</w:t>
            </w:r>
          </w:p>
        </w:tc>
        <w:tc>
          <w:tcPr>
            <w:tcW w:w="1615" w:type="dxa"/>
          </w:tcPr>
          <w:p>
            <w:pPr>
              <w:pStyle w:val="TableParagraph"/>
              <w:spacing w:line="234" w:lineRule="exact" w:before="45"/>
              <w:ind w:left="137" w:right="125"/>
              <w:jc w:val="center"/>
              <w:rPr>
                <w:sz w:val="22"/>
              </w:rPr>
            </w:pPr>
            <w:r>
              <w:rPr>
                <w:sz w:val="22"/>
              </w:rPr>
              <w:t>5.872</w:t>
            </w:r>
          </w:p>
        </w:tc>
        <w:tc>
          <w:tcPr>
            <w:tcW w:w="1155" w:type="dxa"/>
          </w:tcPr>
          <w:p>
            <w:pPr>
              <w:pStyle w:val="TableParagraph"/>
              <w:spacing w:line="234" w:lineRule="exact" w:before="45"/>
              <w:ind w:left="164" w:right="151"/>
              <w:jc w:val="center"/>
              <w:rPr>
                <w:sz w:val="22"/>
              </w:rPr>
            </w:pPr>
            <w:r>
              <w:rPr>
                <w:color w:val="FF0000"/>
                <w:sz w:val="22"/>
              </w:rPr>
              <w:t>50.56%</w:t>
            </w:r>
          </w:p>
        </w:tc>
        <w:tc>
          <w:tcPr>
            <w:tcW w:w="1607" w:type="dxa"/>
          </w:tcPr>
          <w:p>
            <w:pPr>
              <w:pStyle w:val="TableParagraph"/>
              <w:spacing w:line="234" w:lineRule="exact" w:before="45"/>
              <w:ind w:left="537" w:right="525"/>
              <w:jc w:val="center"/>
              <w:rPr>
                <w:sz w:val="22"/>
              </w:rPr>
            </w:pPr>
            <w:r>
              <w:rPr>
                <w:sz w:val="22"/>
              </w:rPr>
              <w:t>4.614</w:t>
            </w:r>
          </w:p>
        </w:tc>
        <w:tc>
          <w:tcPr>
            <w:tcW w:w="1155" w:type="dxa"/>
          </w:tcPr>
          <w:p>
            <w:pPr>
              <w:pStyle w:val="TableParagraph"/>
              <w:spacing w:line="234" w:lineRule="exact" w:before="45"/>
              <w:ind w:left="164" w:right="150"/>
              <w:jc w:val="center"/>
              <w:rPr>
                <w:sz w:val="22"/>
              </w:rPr>
            </w:pPr>
            <w:r>
              <w:rPr>
                <w:sz w:val="22"/>
              </w:rPr>
              <w:t>18.31%</w:t>
            </w:r>
          </w:p>
        </w:tc>
      </w:tr>
      <w:tr>
        <w:trPr>
          <w:trHeight w:val="300" w:hRule="atLeast"/>
        </w:trPr>
        <w:tc>
          <w:tcPr>
            <w:tcW w:w="620" w:type="dxa"/>
            <w:shd w:val="clear" w:color="auto" w:fill="C0C0C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24" w:type="dxa"/>
            <w:shd w:val="clear" w:color="auto" w:fill="C0C0C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088" w:type="dxa"/>
            <w:gridSpan w:val="5"/>
            <w:shd w:val="clear" w:color="auto" w:fill="C0C0C0"/>
          </w:tcPr>
          <w:p>
            <w:pPr>
              <w:pStyle w:val="TableParagraph"/>
              <w:spacing w:line="234" w:lineRule="exact" w:before="46"/>
              <w:ind w:left="1755"/>
              <w:rPr>
                <w:sz w:val="22"/>
              </w:rPr>
            </w:pPr>
            <w:r>
              <w:rPr>
                <w:sz w:val="22"/>
              </w:rPr>
              <w:t>CLT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grade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V-1,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front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face,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Ground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level</w:t>
            </w:r>
          </w:p>
        </w:tc>
      </w:tr>
      <w:tr>
        <w:trPr>
          <w:trHeight w:val="299" w:hRule="atLeast"/>
        </w:trPr>
        <w:tc>
          <w:tcPr>
            <w:tcW w:w="620" w:type="dxa"/>
          </w:tcPr>
          <w:p>
            <w:pPr>
              <w:pStyle w:val="TableParagraph"/>
              <w:spacing w:line="234" w:lineRule="exact" w:before="45"/>
              <w:ind w:left="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1</w:t>
            </w:r>
          </w:p>
        </w:tc>
        <w:tc>
          <w:tcPr>
            <w:tcW w:w="924" w:type="dxa"/>
          </w:tcPr>
          <w:p>
            <w:pPr>
              <w:pStyle w:val="TableParagraph"/>
              <w:spacing w:line="234" w:lineRule="exact" w:before="45"/>
              <w:ind w:left="194" w:right="184"/>
              <w:jc w:val="center"/>
              <w:rPr>
                <w:sz w:val="22"/>
              </w:rPr>
            </w:pPr>
            <w:r>
              <w:rPr>
                <w:sz w:val="22"/>
              </w:rPr>
              <w:t>32</w:t>
            </w:r>
          </w:p>
        </w:tc>
        <w:tc>
          <w:tcPr>
            <w:tcW w:w="1556" w:type="dxa"/>
            <w:shd w:val="clear" w:color="auto" w:fill="DADADA"/>
          </w:tcPr>
          <w:p>
            <w:pPr>
              <w:pStyle w:val="TableParagraph"/>
              <w:spacing w:line="234" w:lineRule="exact" w:before="45"/>
              <w:ind w:left="525" w:right="513"/>
              <w:jc w:val="center"/>
              <w:rPr>
                <w:sz w:val="22"/>
              </w:rPr>
            </w:pPr>
            <w:r>
              <w:rPr>
                <w:sz w:val="22"/>
              </w:rPr>
              <w:t>1.18</w:t>
            </w:r>
          </w:p>
        </w:tc>
        <w:tc>
          <w:tcPr>
            <w:tcW w:w="1615" w:type="dxa"/>
          </w:tcPr>
          <w:p>
            <w:pPr>
              <w:pStyle w:val="TableParagraph"/>
              <w:spacing w:line="234" w:lineRule="exact" w:before="45"/>
              <w:ind w:left="137" w:right="125"/>
              <w:jc w:val="center"/>
              <w:rPr>
                <w:sz w:val="22"/>
              </w:rPr>
            </w:pPr>
            <w:r>
              <w:rPr>
                <w:sz w:val="22"/>
              </w:rPr>
              <w:t>1.559</w:t>
            </w:r>
          </w:p>
        </w:tc>
        <w:tc>
          <w:tcPr>
            <w:tcW w:w="1155" w:type="dxa"/>
          </w:tcPr>
          <w:p>
            <w:pPr>
              <w:pStyle w:val="TableParagraph"/>
              <w:spacing w:line="234" w:lineRule="exact" w:before="45"/>
              <w:ind w:left="164" w:right="151"/>
              <w:jc w:val="center"/>
              <w:rPr>
                <w:sz w:val="22"/>
              </w:rPr>
            </w:pPr>
            <w:r>
              <w:rPr>
                <w:color w:val="FF0000"/>
                <w:sz w:val="22"/>
              </w:rPr>
              <w:t>32.12%</w:t>
            </w:r>
          </w:p>
        </w:tc>
        <w:tc>
          <w:tcPr>
            <w:tcW w:w="1607" w:type="dxa"/>
          </w:tcPr>
          <w:p>
            <w:pPr>
              <w:pStyle w:val="TableParagraph"/>
              <w:spacing w:line="234" w:lineRule="exact" w:before="45"/>
              <w:ind w:left="537" w:right="524"/>
              <w:jc w:val="center"/>
              <w:rPr>
                <w:sz w:val="22"/>
              </w:rPr>
            </w:pPr>
            <w:r>
              <w:rPr>
                <w:sz w:val="22"/>
              </w:rPr>
              <w:t>1.41</w:t>
            </w:r>
          </w:p>
        </w:tc>
        <w:tc>
          <w:tcPr>
            <w:tcW w:w="1155" w:type="dxa"/>
          </w:tcPr>
          <w:p>
            <w:pPr>
              <w:pStyle w:val="TableParagraph"/>
              <w:spacing w:line="234" w:lineRule="exact" w:before="45"/>
              <w:ind w:left="164" w:right="150"/>
              <w:jc w:val="center"/>
              <w:rPr>
                <w:sz w:val="22"/>
              </w:rPr>
            </w:pPr>
            <w:r>
              <w:rPr>
                <w:sz w:val="22"/>
              </w:rPr>
              <w:t>19.49%</w:t>
            </w:r>
          </w:p>
        </w:tc>
      </w:tr>
      <w:tr>
        <w:trPr>
          <w:trHeight w:val="299" w:hRule="atLeast"/>
        </w:trPr>
        <w:tc>
          <w:tcPr>
            <w:tcW w:w="620" w:type="dxa"/>
          </w:tcPr>
          <w:p>
            <w:pPr>
              <w:pStyle w:val="TableParagraph"/>
              <w:spacing w:line="234" w:lineRule="exact" w:before="45"/>
              <w:ind w:left="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2</w:t>
            </w:r>
          </w:p>
        </w:tc>
        <w:tc>
          <w:tcPr>
            <w:tcW w:w="924" w:type="dxa"/>
          </w:tcPr>
          <w:p>
            <w:pPr>
              <w:pStyle w:val="TableParagraph"/>
              <w:spacing w:line="234" w:lineRule="exact" w:before="45"/>
              <w:ind w:left="194" w:right="184"/>
              <w:jc w:val="center"/>
              <w:rPr>
                <w:sz w:val="22"/>
              </w:rPr>
            </w:pPr>
            <w:r>
              <w:rPr>
                <w:sz w:val="22"/>
              </w:rPr>
              <w:t>67</w:t>
            </w:r>
          </w:p>
        </w:tc>
        <w:tc>
          <w:tcPr>
            <w:tcW w:w="1556" w:type="dxa"/>
            <w:shd w:val="clear" w:color="auto" w:fill="DADADA"/>
          </w:tcPr>
          <w:p>
            <w:pPr>
              <w:pStyle w:val="TableParagraph"/>
              <w:spacing w:line="234" w:lineRule="exact" w:before="45"/>
              <w:ind w:left="525" w:right="513"/>
              <w:jc w:val="center"/>
              <w:rPr>
                <w:sz w:val="22"/>
              </w:rPr>
            </w:pPr>
            <w:r>
              <w:rPr>
                <w:sz w:val="22"/>
              </w:rPr>
              <w:t>2.04</w:t>
            </w:r>
          </w:p>
        </w:tc>
        <w:tc>
          <w:tcPr>
            <w:tcW w:w="1615" w:type="dxa"/>
          </w:tcPr>
          <w:p>
            <w:pPr>
              <w:pStyle w:val="TableParagraph"/>
              <w:spacing w:line="234" w:lineRule="exact" w:before="45"/>
              <w:ind w:left="137" w:right="125"/>
              <w:jc w:val="center"/>
              <w:rPr>
                <w:sz w:val="22"/>
              </w:rPr>
            </w:pPr>
            <w:r>
              <w:rPr>
                <w:sz w:val="22"/>
              </w:rPr>
              <w:t>2.891</w:t>
            </w:r>
          </w:p>
        </w:tc>
        <w:tc>
          <w:tcPr>
            <w:tcW w:w="1155" w:type="dxa"/>
          </w:tcPr>
          <w:p>
            <w:pPr>
              <w:pStyle w:val="TableParagraph"/>
              <w:spacing w:line="234" w:lineRule="exact" w:before="45"/>
              <w:ind w:left="164" w:right="151"/>
              <w:jc w:val="center"/>
              <w:rPr>
                <w:sz w:val="22"/>
              </w:rPr>
            </w:pPr>
            <w:r>
              <w:rPr>
                <w:color w:val="FF0000"/>
                <w:sz w:val="22"/>
              </w:rPr>
              <w:t>41.72%</w:t>
            </w:r>
          </w:p>
        </w:tc>
        <w:tc>
          <w:tcPr>
            <w:tcW w:w="1607" w:type="dxa"/>
          </w:tcPr>
          <w:p>
            <w:pPr>
              <w:pStyle w:val="TableParagraph"/>
              <w:spacing w:line="234" w:lineRule="exact" w:before="45"/>
              <w:ind w:left="537" w:right="525"/>
              <w:jc w:val="center"/>
              <w:rPr>
                <w:sz w:val="22"/>
              </w:rPr>
            </w:pPr>
            <w:r>
              <w:rPr>
                <w:sz w:val="22"/>
              </w:rPr>
              <w:t>2.454</w:t>
            </w:r>
          </w:p>
        </w:tc>
        <w:tc>
          <w:tcPr>
            <w:tcW w:w="1155" w:type="dxa"/>
          </w:tcPr>
          <w:p>
            <w:pPr>
              <w:pStyle w:val="TableParagraph"/>
              <w:spacing w:line="234" w:lineRule="exact" w:before="45"/>
              <w:ind w:left="164" w:right="150"/>
              <w:jc w:val="center"/>
              <w:rPr>
                <w:sz w:val="22"/>
              </w:rPr>
            </w:pPr>
            <w:r>
              <w:rPr>
                <w:sz w:val="22"/>
              </w:rPr>
              <w:t>20.29%</w:t>
            </w:r>
          </w:p>
        </w:tc>
      </w:tr>
      <w:tr>
        <w:trPr>
          <w:trHeight w:val="300" w:hRule="atLeast"/>
        </w:trPr>
        <w:tc>
          <w:tcPr>
            <w:tcW w:w="620" w:type="dxa"/>
          </w:tcPr>
          <w:p>
            <w:pPr>
              <w:pStyle w:val="TableParagraph"/>
              <w:spacing w:line="234" w:lineRule="exact" w:before="46"/>
              <w:ind w:left="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3</w:t>
            </w:r>
          </w:p>
        </w:tc>
        <w:tc>
          <w:tcPr>
            <w:tcW w:w="924" w:type="dxa"/>
          </w:tcPr>
          <w:p>
            <w:pPr>
              <w:pStyle w:val="TableParagraph"/>
              <w:spacing w:line="234" w:lineRule="exact" w:before="46"/>
              <w:ind w:left="194" w:right="184"/>
              <w:jc w:val="center"/>
              <w:rPr>
                <w:sz w:val="22"/>
              </w:rPr>
            </w:pPr>
            <w:r>
              <w:rPr>
                <w:sz w:val="22"/>
              </w:rPr>
              <w:t>199</w:t>
            </w:r>
          </w:p>
        </w:tc>
        <w:tc>
          <w:tcPr>
            <w:tcW w:w="1556" w:type="dxa"/>
            <w:shd w:val="clear" w:color="auto" w:fill="DADADA"/>
          </w:tcPr>
          <w:p>
            <w:pPr>
              <w:pStyle w:val="TableParagraph"/>
              <w:spacing w:line="234" w:lineRule="exact" w:before="46"/>
              <w:ind w:left="525" w:right="513"/>
              <w:jc w:val="center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  <w:tc>
          <w:tcPr>
            <w:tcW w:w="1615" w:type="dxa"/>
          </w:tcPr>
          <w:p>
            <w:pPr>
              <w:pStyle w:val="TableParagraph"/>
              <w:spacing w:line="234" w:lineRule="exact" w:before="46"/>
              <w:ind w:left="137" w:right="125"/>
              <w:jc w:val="center"/>
              <w:rPr>
                <w:sz w:val="22"/>
              </w:rPr>
            </w:pPr>
            <w:r>
              <w:rPr>
                <w:sz w:val="22"/>
              </w:rPr>
              <w:t>11.159</w:t>
            </w:r>
          </w:p>
        </w:tc>
        <w:tc>
          <w:tcPr>
            <w:tcW w:w="1155" w:type="dxa"/>
          </w:tcPr>
          <w:p>
            <w:pPr>
              <w:pStyle w:val="TableParagraph"/>
              <w:spacing w:line="234" w:lineRule="exact" w:before="46"/>
              <w:ind w:left="164" w:right="151"/>
              <w:jc w:val="center"/>
              <w:rPr>
                <w:sz w:val="22"/>
              </w:rPr>
            </w:pPr>
            <w:r>
              <w:rPr>
                <w:color w:val="FF0000"/>
                <w:sz w:val="22"/>
              </w:rPr>
              <w:t>160.72%</w:t>
            </w:r>
          </w:p>
        </w:tc>
        <w:tc>
          <w:tcPr>
            <w:tcW w:w="1607" w:type="dxa"/>
          </w:tcPr>
          <w:p>
            <w:pPr>
              <w:pStyle w:val="TableParagraph"/>
              <w:spacing w:line="234" w:lineRule="exact" w:before="46"/>
              <w:ind w:left="537" w:right="525"/>
              <w:jc w:val="center"/>
              <w:rPr>
                <w:sz w:val="22"/>
              </w:rPr>
            </w:pPr>
            <w:r>
              <w:rPr>
                <w:sz w:val="22"/>
              </w:rPr>
              <w:t>7.727</w:t>
            </w:r>
          </w:p>
        </w:tc>
        <w:tc>
          <w:tcPr>
            <w:tcW w:w="1155" w:type="dxa"/>
          </w:tcPr>
          <w:p>
            <w:pPr>
              <w:pStyle w:val="TableParagraph"/>
              <w:spacing w:line="234" w:lineRule="exact" w:before="46"/>
              <w:ind w:left="164" w:right="150"/>
              <w:jc w:val="center"/>
              <w:rPr>
                <w:sz w:val="22"/>
              </w:rPr>
            </w:pPr>
            <w:r>
              <w:rPr>
                <w:color w:val="FF0000"/>
                <w:sz w:val="22"/>
              </w:rPr>
              <w:t>80.54%</w:t>
            </w:r>
          </w:p>
        </w:tc>
      </w:tr>
      <w:tr>
        <w:trPr>
          <w:trHeight w:val="299" w:hRule="atLeast"/>
        </w:trPr>
        <w:tc>
          <w:tcPr>
            <w:tcW w:w="620" w:type="dxa"/>
            <w:shd w:val="clear" w:color="auto" w:fill="C0C0C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24" w:type="dxa"/>
            <w:shd w:val="clear" w:color="auto" w:fill="C0C0C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088" w:type="dxa"/>
            <w:gridSpan w:val="5"/>
            <w:shd w:val="clear" w:color="auto" w:fill="C0C0C0"/>
          </w:tcPr>
          <w:p>
            <w:pPr>
              <w:pStyle w:val="TableParagraph"/>
              <w:spacing w:line="234" w:lineRule="exact" w:before="45"/>
              <w:ind w:left="1285" w:right="1272"/>
              <w:jc w:val="center"/>
              <w:rPr>
                <w:sz w:val="22"/>
              </w:rPr>
            </w:pPr>
            <w:r>
              <w:rPr>
                <w:sz w:val="22"/>
              </w:rPr>
              <w:t>CLT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grade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V-4,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front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face,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Ground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level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(h=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10-ft)</w:t>
            </w:r>
          </w:p>
        </w:tc>
      </w:tr>
      <w:tr>
        <w:trPr>
          <w:trHeight w:val="299" w:hRule="atLeast"/>
        </w:trPr>
        <w:tc>
          <w:tcPr>
            <w:tcW w:w="620" w:type="dxa"/>
          </w:tcPr>
          <w:p>
            <w:pPr>
              <w:pStyle w:val="TableParagraph"/>
              <w:spacing w:line="234" w:lineRule="exact" w:before="45"/>
              <w:ind w:left="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1</w:t>
            </w:r>
          </w:p>
        </w:tc>
        <w:tc>
          <w:tcPr>
            <w:tcW w:w="924" w:type="dxa"/>
          </w:tcPr>
          <w:p>
            <w:pPr>
              <w:pStyle w:val="TableParagraph"/>
              <w:spacing w:line="234" w:lineRule="exact" w:before="45"/>
              <w:ind w:left="194" w:right="184"/>
              <w:jc w:val="center"/>
              <w:rPr>
                <w:sz w:val="22"/>
              </w:rPr>
            </w:pPr>
            <w:r>
              <w:rPr>
                <w:sz w:val="22"/>
              </w:rPr>
              <w:t>32</w:t>
            </w:r>
          </w:p>
        </w:tc>
        <w:tc>
          <w:tcPr>
            <w:tcW w:w="1556" w:type="dxa"/>
            <w:shd w:val="clear" w:color="auto" w:fill="DADADA"/>
          </w:tcPr>
          <w:p>
            <w:pPr>
              <w:pStyle w:val="TableParagraph"/>
              <w:spacing w:line="234" w:lineRule="exact" w:before="45"/>
              <w:ind w:left="525" w:right="513"/>
              <w:jc w:val="center"/>
              <w:rPr>
                <w:sz w:val="22"/>
              </w:rPr>
            </w:pPr>
            <w:r>
              <w:rPr>
                <w:sz w:val="22"/>
              </w:rPr>
              <w:t>1.07</w:t>
            </w:r>
          </w:p>
        </w:tc>
        <w:tc>
          <w:tcPr>
            <w:tcW w:w="1615" w:type="dxa"/>
          </w:tcPr>
          <w:p>
            <w:pPr>
              <w:pStyle w:val="TableParagraph"/>
              <w:spacing w:line="234" w:lineRule="exact" w:before="45"/>
              <w:ind w:left="137" w:right="125"/>
              <w:jc w:val="center"/>
              <w:rPr>
                <w:sz w:val="22"/>
              </w:rPr>
            </w:pPr>
            <w:r>
              <w:rPr>
                <w:sz w:val="22"/>
              </w:rPr>
              <w:t>1.313</w:t>
            </w:r>
          </w:p>
        </w:tc>
        <w:tc>
          <w:tcPr>
            <w:tcW w:w="1155" w:type="dxa"/>
          </w:tcPr>
          <w:p>
            <w:pPr>
              <w:pStyle w:val="TableParagraph"/>
              <w:spacing w:line="234" w:lineRule="exact" w:before="45"/>
              <w:ind w:left="164" w:right="151"/>
              <w:jc w:val="center"/>
              <w:rPr>
                <w:sz w:val="22"/>
              </w:rPr>
            </w:pPr>
            <w:r>
              <w:rPr>
                <w:color w:val="FF0000"/>
                <w:sz w:val="22"/>
              </w:rPr>
              <w:t>22.71%</w:t>
            </w:r>
          </w:p>
        </w:tc>
        <w:tc>
          <w:tcPr>
            <w:tcW w:w="1607" w:type="dxa"/>
          </w:tcPr>
          <w:p>
            <w:pPr>
              <w:pStyle w:val="TableParagraph"/>
              <w:spacing w:line="234" w:lineRule="exact" w:before="45"/>
              <w:ind w:left="537" w:right="525"/>
              <w:jc w:val="center"/>
              <w:rPr>
                <w:sz w:val="22"/>
              </w:rPr>
            </w:pPr>
            <w:r>
              <w:rPr>
                <w:sz w:val="22"/>
              </w:rPr>
              <w:t>1.195</w:t>
            </w:r>
          </w:p>
        </w:tc>
        <w:tc>
          <w:tcPr>
            <w:tcW w:w="1155" w:type="dxa"/>
          </w:tcPr>
          <w:p>
            <w:pPr>
              <w:pStyle w:val="TableParagraph"/>
              <w:spacing w:line="234" w:lineRule="exact" w:before="45"/>
              <w:ind w:left="164" w:right="150"/>
              <w:jc w:val="center"/>
              <w:rPr>
                <w:sz w:val="22"/>
              </w:rPr>
            </w:pPr>
            <w:r>
              <w:rPr>
                <w:sz w:val="22"/>
              </w:rPr>
              <w:t>11.68%</w:t>
            </w:r>
          </w:p>
        </w:tc>
      </w:tr>
      <w:tr>
        <w:trPr>
          <w:trHeight w:val="300" w:hRule="atLeast"/>
        </w:trPr>
        <w:tc>
          <w:tcPr>
            <w:tcW w:w="620" w:type="dxa"/>
          </w:tcPr>
          <w:p>
            <w:pPr>
              <w:pStyle w:val="TableParagraph"/>
              <w:spacing w:line="234" w:lineRule="exact" w:before="46"/>
              <w:ind w:left="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2</w:t>
            </w:r>
          </w:p>
        </w:tc>
        <w:tc>
          <w:tcPr>
            <w:tcW w:w="924" w:type="dxa"/>
          </w:tcPr>
          <w:p>
            <w:pPr>
              <w:pStyle w:val="TableParagraph"/>
              <w:spacing w:line="234" w:lineRule="exact" w:before="46"/>
              <w:ind w:left="194" w:right="184"/>
              <w:jc w:val="center"/>
              <w:rPr>
                <w:sz w:val="22"/>
              </w:rPr>
            </w:pPr>
            <w:r>
              <w:rPr>
                <w:sz w:val="22"/>
              </w:rPr>
              <w:t>67</w:t>
            </w:r>
          </w:p>
        </w:tc>
        <w:tc>
          <w:tcPr>
            <w:tcW w:w="1556" w:type="dxa"/>
            <w:shd w:val="clear" w:color="auto" w:fill="DADADA"/>
          </w:tcPr>
          <w:p>
            <w:pPr>
              <w:pStyle w:val="TableParagraph"/>
              <w:spacing w:line="234" w:lineRule="exact" w:before="46"/>
              <w:ind w:left="525" w:right="513"/>
              <w:jc w:val="center"/>
              <w:rPr>
                <w:sz w:val="22"/>
              </w:rPr>
            </w:pPr>
            <w:r>
              <w:rPr>
                <w:sz w:val="22"/>
              </w:rPr>
              <w:t>1.83</w:t>
            </w:r>
          </w:p>
        </w:tc>
        <w:tc>
          <w:tcPr>
            <w:tcW w:w="1615" w:type="dxa"/>
          </w:tcPr>
          <w:p>
            <w:pPr>
              <w:pStyle w:val="TableParagraph"/>
              <w:spacing w:line="234" w:lineRule="exact" w:before="46"/>
              <w:ind w:left="137" w:right="125"/>
              <w:jc w:val="center"/>
              <w:rPr>
                <w:sz w:val="22"/>
              </w:rPr>
            </w:pPr>
            <w:r>
              <w:rPr>
                <w:sz w:val="22"/>
              </w:rPr>
              <w:t>2.351</w:t>
            </w:r>
          </w:p>
        </w:tc>
        <w:tc>
          <w:tcPr>
            <w:tcW w:w="1155" w:type="dxa"/>
          </w:tcPr>
          <w:p>
            <w:pPr>
              <w:pStyle w:val="TableParagraph"/>
              <w:spacing w:line="234" w:lineRule="exact" w:before="46"/>
              <w:ind w:left="164" w:right="151"/>
              <w:jc w:val="center"/>
              <w:rPr>
                <w:sz w:val="22"/>
              </w:rPr>
            </w:pPr>
            <w:r>
              <w:rPr>
                <w:color w:val="FF0000"/>
                <w:sz w:val="22"/>
              </w:rPr>
              <w:t>28.47%</w:t>
            </w:r>
          </w:p>
        </w:tc>
        <w:tc>
          <w:tcPr>
            <w:tcW w:w="1607" w:type="dxa"/>
          </w:tcPr>
          <w:p>
            <w:pPr>
              <w:pStyle w:val="TableParagraph"/>
              <w:spacing w:line="234" w:lineRule="exact" w:before="46"/>
              <w:ind w:left="537" w:right="525"/>
              <w:jc w:val="center"/>
              <w:rPr>
                <w:sz w:val="22"/>
              </w:rPr>
            </w:pPr>
            <w:r>
              <w:rPr>
                <w:sz w:val="22"/>
              </w:rPr>
              <w:t>2.027</w:t>
            </w:r>
          </w:p>
        </w:tc>
        <w:tc>
          <w:tcPr>
            <w:tcW w:w="1155" w:type="dxa"/>
          </w:tcPr>
          <w:p>
            <w:pPr>
              <w:pStyle w:val="TableParagraph"/>
              <w:spacing w:line="234" w:lineRule="exact" w:before="46"/>
              <w:ind w:left="164" w:right="150"/>
              <w:jc w:val="center"/>
              <w:rPr>
                <w:sz w:val="22"/>
              </w:rPr>
            </w:pPr>
            <w:r>
              <w:rPr>
                <w:sz w:val="22"/>
              </w:rPr>
              <w:t>10.77%</w:t>
            </w:r>
          </w:p>
        </w:tc>
      </w:tr>
      <w:tr>
        <w:trPr>
          <w:trHeight w:val="299" w:hRule="atLeast"/>
        </w:trPr>
        <w:tc>
          <w:tcPr>
            <w:tcW w:w="620" w:type="dxa"/>
          </w:tcPr>
          <w:p>
            <w:pPr>
              <w:pStyle w:val="TableParagraph"/>
              <w:spacing w:line="234" w:lineRule="exact" w:before="45"/>
              <w:ind w:left="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3</w:t>
            </w:r>
          </w:p>
        </w:tc>
        <w:tc>
          <w:tcPr>
            <w:tcW w:w="924" w:type="dxa"/>
          </w:tcPr>
          <w:p>
            <w:pPr>
              <w:pStyle w:val="TableParagraph"/>
              <w:spacing w:line="234" w:lineRule="exact" w:before="45"/>
              <w:ind w:left="194" w:right="184"/>
              <w:jc w:val="center"/>
              <w:rPr>
                <w:sz w:val="22"/>
              </w:rPr>
            </w:pPr>
            <w:r>
              <w:rPr>
                <w:sz w:val="22"/>
              </w:rPr>
              <w:t>199</w:t>
            </w:r>
          </w:p>
        </w:tc>
        <w:tc>
          <w:tcPr>
            <w:tcW w:w="1556" w:type="dxa"/>
            <w:shd w:val="clear" w:color="auto" w:fill="DADADA"/>
          </w:tcPr>
          <w:p>
            <w:pPr>
              <w:pStyle w:val="TableParagraph"/>
              <w:spacing w:line="234" w:lineRule="exact" w:before="45"/>
              <w:ind w:left="525" w:right="513"/>
              <w:jc w:val="center"/>
              <w:rPr>
                <w:sz w:val="22"/>
              </w:rPr>
            </w:pPr>
            <w:r>
              <w:rPr>
                <w:sz w:val="22"/>
              </w:rPr>
              <w:t>4.57</w:t>
            </w:r>
          </w:p>
        </w:tc>
        <w:tc>
          <w:tcPr>
            <w:tcW w:w="1615" w:type="dxa"/>
          </w:tcPr>
          <w:p>
            <w:pPr>
              <w:pStyle w:val="TableParagraph"/>
              <w:spacing w:line="234" w:lineRule="exact" w:before="45"/>
              <w:ind w:left="137" w:right="125"/>
              <w:jc w:val="center"/>
              <w:rPr>
                <w:sz w:val="22"/>
              </w:rPr>
            </w:pPr>
            <w:r>
              <w:rPr>
                <w:sz w:val="22"/>
              </w:rPr>
              <w:t>8.821</w:t>
            </w:r>
          </w:p>
        </w:tc>
        <w:tc>
          <w:tcPr>
            <w:tcW w:w="1155" w:type="dxa"/>
          </w:tcPr>
          <w:p>
            <w:pPr>
              <w:pStyle w:val="TableParagraph"/>
              <w:spacing w:line="234" w:lineRule="exact" w:before="45"/>
              <w:ind w:left="164" w:right="151"/>
              <w:jc w:val="center"/>
              <w:rPr>
                <w:sz w:val="22"/>
              </w:rPr>
            </w:pPr>
            <w:r>
              <w:rPr>
                <w:color w:val="FF0000"/>
                <w:sz w:val="22"/>
              </w:rPr>
              <w:t>93.02%</w:t>
            </w:r>
          </w:p>
        </w:tc>
        <w:tc>
          <w:tcPr>
            <w:tcW w:w="1607" w:type="dxa"/>
          </w:tcPr>
          <w:p>
            <w:pPr>
              <w:pStyle w:val="TableParagraph"/>
              <w:spacing w:line="234" w:lineRule="exact" w:before="45"/>
              <w:ind w:left="537" w:right="525"/>
              <w:jc w:val="center"/>
              <w:rPr>
                <w:sz w:val="22"/>
              </w:rPr>
            </w:pPr>
            <w:r>
              <w:rPr>
                <w:sz w:val="22"/>
              </w:rPr>
              <w:t>6.208</w:t>
            </w:r>
          </w:p>
        </w:tc>
        <w:tc>
          <w:tcPr>
            <w:tcW w:w="1155" w:type="dxa"/>
          </w:tcPr>
          <w:p>
            <w:pPr>
              <w:pStyle w:val="TableParagraph"/>
              <w:spacing w:line="234" w:lineRule="exact" w:before="45"/>
              <w:ind w:left="164" w:right="150"/>
              <w:jc w:val="center"/>
              <w:rPr>
                <w:sz w:val="22"/>
              </w:rPr>
            </w:pPr>
            <w:r>
              <w:rPr>
                <w:color w:val="FF0000"/>
                <w:sz w:val="22"/>
              </w:rPr>
              <w:t>35.84%</w:t>
            </w:r>
          </w:p>
        </w:tc>
      </w:tr>
    </w:tbl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169"/>
        <w:ind w:left="439" w:right="417" w:firstLine="720"/>
        <w:jc w:val="both"/>
      </w:pPr>
      <w:r>
        <w:rPr/>
        <w:t>With the boundary conditions changed to a fixed-fixed system, and no other</w:t>
      </w:r>
      <w:r>
        <w:rPr>
          <w:spacing w:val="1"/>
        </w:rPr>
        <w:t> </w:t>
      </w:r>
      <w:r>
        <w:rPr/>
        <w:t>changes made with the user specifications of the tool, there is worse agreement between</w:t>
      </w:r>
      <w:r>
        <w:rPr>
          <w:spacing w:val="1"/>
        </w:rPr>
        <w:t> </w:t>
      </w:r>
      <w:r>
        <w:rPr/>
        <w:t>the predicted displacements and the actual values than the fixed-pinned condition, but</w:t>
      </w:r>
      <w:r>
        <w:rPr>
          <w:spacing w:val="1"/>
        </w:rPr>
        <w:t> </w:t>
      </w:r>
      <w:r>
        <w:rPr/>
        <w:t>better</w:t>
      </w:r>
      <w:r>
        <w:rPr>
          <w:spacing w:val="1"/>
        </w:rPr>
        <w:t> </w:t>
      </w:r>
      <w:r>
        <w:rPr/>
        <w:t>agreement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simply</w:t>
      </w:r>
      <w:r>
        <w:rPr>
          <w:spacing w:val="1"/>
        </w:rPr>
        <w:t> </w:t>
      </w:r>
      <w:r>
        <w:rPr/>
        <w:t>supported</w:t>
      </w:r>
      <w:r>
        <w:rPr>
          <w:spacing w:val="1"/>
        </w:rPr>
        <w:t> </w:t>
      </w:r>
      <w:r>
        <w:rPr/>
        <w:t>scenario,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illustrated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percent</w:t>
      </w:r>
      <w:r>
        <w:rPr>
          <w:spacing w:val="1"/>
        </w:rPr>
        <w:t> </w:t>
      </w:r>
      <w:r>
        <w:rPr/>
        <w:t>differences</w:t>
      </w:r>
      <w:r>
        <w:rPr>
          <w:spacing w:val="-7"/>
        </w:rPr>
        <w:t> </w:t>
      </w:r>
      <w:r>
        <w:rPr/>
        <w:t>in</w:t>
      </w:r>
      <w:r>
        <w:rPr>
          <w:spacing w:val="-6"/>
        </w:rPr>
        <w:t> </w:t>
      </w:r>
      <w:hyperlink w:history="true" w:anchor="_bookmark202">
        <w:r>
          <w:rPr/>
          <w:t>Table</w:t>
        </w:r>
        <w:r>
          <w:rPr>
            <w:spacing w:val="-6"/>
          </w:rPr>
          <w:t> </w:t>
        </w:r>
        <w:r>
          <w:rPr/>
          <w:t>8-9</w:t>
        </w:r>
      </w:hyperlink>
      <w:r>
        <w:rPr/>
        <w:t>.</w:t>
      </w:r>
      <w:r>
        <w:rPr>
          <w:spacing w:val="45"/>
        </w:rPr>
        <w:t> </w:t>
      </w:r>
      <w:r>
        <w:rPr/>
        <w:t>The</w:t>
      </w:r>
      <w:r>
        <w:rPr>
          <w:spacing w:val="-6"/>
        </w:rPr>
        <w:t> </w:t>
      </w:r>
      <w:r>
        <w:rPr/>
        <w:t>percent</w:t>
      </w:r>
      <w:r>
        <w:rPr>
          <w:spacing w:val="-8"/>
        </w:rPr>
        <w:t> </w:t>
      </w:r>
      <w:r>
        <w:rPr/>
        <w:t>differences</w:t>
      </w:r>
      <w:r>
        <w:rPr>
          <w:spacing w:val="-7"/>
        </w:rPr>
        <w:t> </w:t>
      </w:r>
      <w:r>
        <w:rPr/>
        <w:t>in</w:t>
      </w:r>
      <w:r>
        <w:rPr>
          <w:spacing w:val="-6"/>
        </w:rPr>
        <w:t> </w:t>
      </w:r>
      <w:r>
        <w:rPr/>
        <w:t>displacement</w:t>
      </w:r>
      <w:r>
        <w:rPr>
          <w:spacing w:val="-7"/>
        </w:rPr>
        <w:t> </w:t>
      </w:r>
      <w:r>
        <w:rPr/>
        <w:t>values</w:t>
      </w:r>
      <w:r>
        <w:rPr>
          <w:spacing w:val="-6"/>
        </w:rPr>
        <w:t> </w:t>
      </w:r>
      <w:r>
        <w:rPr/>
        <w:t>are</w:t>
      </w:r>
      <w:r>
        <w:rPr>
          <w:spacing w:val="-6"/>
        </w:rPr>
        <w:t> </w:t>
      </w:r>
      <w:r>
        <w:rPr/>
        <w:t>close</w:t>
      </w:r>
      <w:r>
        <w:rPr>
          <w:spacing w:val="-8"/>
        </w:rPr>
        <w:t> </w:t>
      </w:r>
      <w:r>
        <w:rPr/>
        <w:t>to</w:t>
      </w:r>
      <w:r>
        <w:rPr>
          <w:spacing w:val="-7"/>
        </w:rPr>
        <w:t> </w:t>
      </w:r>
      <w:r>
        <w:rPr/>
        <w:t>those</w:t>
      </w:r>
      <w:r>
        <w:rPr>
          <w:spacing w:val="-58"/>
        </w:rPr>
        <w:t> </w:t>
      </w:r>
      <w:r>
        <w:rPr/>
        <w:t>for the fixed-pinned end condition however, the over-predictions present a slightly higher</w:t>
      </w:r>
      <w:r>
        <w:rPr>
          <w:spacing w:val="-57"/>
        </w:rPr>
        <w:t> </w:t>
      </w:r>
      <w:r>
        <w:rPr/>
        <w:t>percent</w:t>
      </w:r>
      <w:r>
        <w:rPr>
          <w:spacing w:val="-10"/>
        </w:rPr>
        <w:t> </w:t>
      </w:r>
      <w:r>
        <w:rPr/>
        <w:t>difference</w:t>
      </w:r>
      <w:r>
        <w:rPr>
          <w:spacing w:val="-11"/>
        </w:rPr>
        <w:t> </w:t>
      </w:r>
      <w:r>
        <w:rPr/>
        <w:t>and</w:t>
      </w:r>
      <w:r>
        <w:rPr>
          <w:spacing w:val="-10"/>
        </w:rPr>
        <w:t> </w:t>
      </w:r>
      <w:r>
        <w:rPr/>
        <w:t>the</w:t>
      </w:r>
      <w:r>
        <w:rPr>
          <w:spacing w:val="-11"/>
        </w:rPr>
        <w:t> </w:t>
      </w:r>
      <w:r>
        <w:rPr/>
        <w:t>under-predictions</w:t>
      </w:r>
      <w:r>
        <w:rPr>
          <w:spacing w:val="-10"/>
        </w:rPr>
        <w:t> </w:t>
      </w:r>
      <w:r>
        <w:rPr/>
        <w:t>offer</w:t>
      </w:r>
      <w:r>
        <w:rPr>
          <w:spacing w:val="-9"/>
        </w:rPr>
        <w:t> </w:t>
      </w:r>
      <w:r>
        <w:rPr/>
        <w:t>a</w:t>
      </w:r>
      <w:r>
        <w:rPr>
          <w:spacing w:val="-11"/>
        </w:rPr>
        <w:t> </w:t>
      </w:r>
      <w:r>
        <w:rPr/>
        <w:t>slightly</w:t>
      </w:r>
      <w:r>
        <w:rPr>
          <w:spacing w:val="-10"/>
        </w:rPr>
        <w:t> </w:t>
      </w:r>
      <w:r>
        <w:rPr/>
        <w:t>smaller</w:t>
      </w:r>
      <w:r>
        <w:rPr>
          <w:spacing w:val="-10"/>
        </w:rPr>
        <w:t> </w:t>
      </w:r>
      <w:r>
        <w:rPr/>
        <w:t>percent</w:t>
      </w:r>
      <w:r>
        <w:rPr>
          <w:spacing w:val="-11"/>
        </w:rPr>
        <w:t> </w:t>
      </w:r>
      <w:r>
        <w:rPr/>
        <w:t>difference.</w:t>
      </w:r>
      <w:r>
        <w:rPr>
          <w:spacing w:val="39"/>
        </w:rPr>
        <w:t> </w:t>
      </w:r>
      <w:r>
        <w:rPr/>
        <w:t>As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40" w:right="418"/>
      </w:pPr>
      <w:r>
        <w:rPr/>
        <w:t>seen</w:t>
      </w:r>
      <w:r>
        <w:rPr>
          <w:spacing w:val="-12"/>
        </w:rPr>
        <w:t> </w:t>
      </w:r>
      <w:r>
        <w:rPr/>
        <w:t>with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fixed-pinned</w:t>
      </w:r>
      <w:r>
        <w:rPr>
          <w:spacing w:val="-11"/>
        </w:rPr>
        <w:t> </w:t>
      </w:r>
      <w:r>
        <w:rPr/>
        <w:t>end</w:t>
      </w:r>
      <w:r>
        <w:rPr>
          <w:spacing w:val="-11"/>
        </w:rPr>
        <w:t> </w:t>
      </w:r>
      <w:r>
        <w:rPr/>
        <w:t>conditions,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predicted</w:t>
      </w:r>
      <w:r>
        <w:rPr>
          <w:spacing w:val="-12"/>
        </w:rPr>
        <w:t> </w:t>
      </w:r>
      <w:r>
        <w:rPr/>
        <w:t>displacements</w:t>
      </w:r>
      <w:r>
        <w:rPr>
          <w:spacing w:val="-11"/>
        </w:rPr>
        <w:t> </w:t>
      </w:r>
      <w:r>
        <w:rPr/>
        <w:t>for</w:t>
      </w:r>
      <w:r>
        <w:rPr>
          <w:spacing w:val="-9"/>
        </w:rPr>
        <w:t> </w:t>
      </w:r>
      <w:r>
        <w:rPr/>
        <w:t>the</w:t>
      </w:r>
      <w:r>
        <w:rPr>
          <w:spacing w:val="-12"/>
        </w:rPr>
        <w:t> </w:t>
      </w:r>
      <w:r>
        <w:rPr/>
        <w:t>V4</w:t>
      </w:r>
      <w:r>
        <w:rPr>
          <w:spacing w:val="-11"/>
        </w:rPr>
        <w:t> </w:t>
      </w:r>
      <w:r>
        <w:rPr/>
        <w:t>structure</w:t>
      </w:r>
      <w:r>
        <w:rPr>
          <w:spacing w:val="-57"/>
        </w:rPr>
        <w:t> </w:t>
      </w:r>
      <w:r>
        <w:rPr/>
        <w:t>were</w:t>
      </w:r>
      <w:r>
        <w:rPr>
          <w:spacing w:val="-1"/>
        </w:rPr>
        <w:t> </w:t>
      </w:r>
      <w:r>
        <w:rPr/>
        <w:t>consistently under-predicted.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spacing w:before="231"/>
        <w:ind w:left="567" w:right="0" w:firstLine="0"/>
        <w:jc w:val="left"/>
        <w:rPr>
          <w:i/>
          <w:sz w:val="24"/>
        </w:rPr>
      </w:pPr>
      <w:bookmarkStart w:name="_bookmark202" w:id="569"/>
      <w:bookmarkEnd w:id="569"/>
      <w:r>
        <w:rPr/>
      </w:r>
      <w:r>
        <w:rPr>
          <w:i/>
          <w:sz w:val="24"/>
        </w:rPr>
        <w:t>Table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8-9.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Tool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predicted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versus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actual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displacements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using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fixed-fixed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end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conditions.</w:t>
      </w:r>
    </w:p>
    <w:p>
      <w:pPr>
        <w:pStyle w:val="BodyText"/>
        <w:spacing w:before="6"/>
        <w:rPr>
          <w:i/>
          <w:sz w:val="17"/>
        </w:rPr>
      </w:pPr>
    </w:p>
    <w:tbl>
      <w:tblPr>
        <w:tblW w:w="0" w:type="auto"/>
        <w:jc w:val="left"/>
        <w:tblInd w:w="4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20"/>
        <w:gridCol w:w="898"/>
        <w:gridCol w:w="1548"/>
        <w:gridCol w:w="1639"/>
        <w:gridCol w:w="1160"/>
        <w:gridCol w:w="1602"/>
        <w:gridCol w:w="1160"/>
      </w:tblGrid>
      <w:tr>
        <w:trPr>
          <w:trHeight w:val="1264" w:hRule="atLeast"/>
        </w:trPr>
        <w:tc>
          <w:tcPr>
            <w:tcW w:w="620" w:type="dxa"/>
            <w:shd w:val="clear" w:color="auto" w:fill="C0C0C0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9"/>
              <w:rPr>
                <w:i/>
                <w:sz w:val="19"/>
              </w:rPr>
            </w:pPr>
          </w:p>
          <w:p>
            <w:pPr>
              <w:pStyle w:val="TableParagraph"/>
              <w:ind w:left="88" w:right="78"/>
              <w:jc w:val="center"/>
              <w:rPr>
                <w:sz w:val="22"/>
              </w:rPr>
            </w:pPr>
            <w:r>
              <w:rPr>
                <w:sz w:val="22"/>
              </w:rPr>
              <w:t>Shot</w:t>
            </w:r>
          </w:p>
        </w:tc>
        <w:tc>
          <w:tcPr>
            <w:tcW w:w="898" w:type="dxa"/>
            <w:shd w:val="clear" w:color="auto" w:fill="C0C0C0"/>
          </w:tcPr>
          <w:p>
            <w:pPr>
              <w:pStyle w:val="TableParagraph"/>
              <w:spacing w:before="8"/>
              <w:rPr>
                <w:i/>
                <w:sz w:val="21"/>
              </w:rPr>
            </w:pPr>
          </w:p>
          <w:p>
            <w:pPr>
              <w:pStyle w:val="TableParagraph"/>
              <w:spacing w:before="1"/>
              <w:ind w:left="235"/>
              <w:rPr>
                <w:sz w:val="22"/>
              </w:rPr>
            </w:pPr>
            <w:r>
              <w:rPr>
                <w:sz w:val="22"/>
              </w:rPr>
              <w:t>TNT</w:t>
            </w:r>
          </w:p>
          <w:p>
            <w:pPr>
              <w:pStyle w:val="TableParagraph"/>
              <w:ind w:left="263" w:right="95" w:hanging="138"/>
              <w:rPr>
                <w:sz w:val="22"/>
              </w:rPr>
            </w:pPr>
            <w:r>
              <w:rPr>
                <w:sz w:val="22"/>
              </w:rPr>
              <w:t>Weight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[lb.]</w:t>
            </w:r>
          </w:p>
        </w:tc>
        <w:tc>
          <w:tcPr>
            <w:tcW w:w="1548" w:type="dxa"/>
            <w:shd w:val="clear" w:color="auto" w:fill="C0C0C0"/>
          </w:tcPr>
          <w:p>
            <w:pPr>
              <w:pStyle w:val="TableParagraph"/>
              <w:ind w:left="195" w:right="180" w:hanging="1"/>
              <w:jc w:val="center"/>
              <w:rPr>
                <w:sz w:val="22"/>
              </w:rPr>
            </w:pPr>
            <w:r>
              <w:rPr>
                <w:sz w:val="22"/>
              </w:rPr>
              <w:t>Inbound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1"/>
                <w:sz w:val="22"/>
              </w:rPr>
              <w:t>displacement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(gauge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recorded)</w:t>
            </w:r>
          </w:p>
          <w:p>
            <w:pPr>
              <w:pStyle w:val="TableParagraph"/>
              <w:spacing w:line="234" w:lineRule="exact"/>
              <w:ind w:left="561" w:right="548"/>
              <w:jc w:val="center"/>
              <w:rPr>
                <w:sz w:val="22"/>
              </w:rPr>
            </w:pPr>
            <w:r>
              <w:rPr>
                <w:sz w:val="22"/>
              </w:rPr>
              <w:t>[in]</w:t>
            </w:r>
          </w:p>
        </w:tc>
        <w:tc>
          <w:tcPr>
            <w:tcW w:w="1639" w:type="dxa"/>
            <w:shd w:val="clear" w:color="auto" w:fill="C0C0C0"/>
          </w:tcPr>
          <w:p>
            <w:pPr>
              <w:pStyle w:val="TableParagraph"/>
              <w:ind w:left="153" w:right="134"/>
              <w:jc w:val="center"/>
              <w:rPr>
                <w:sz w:val="22"/>
              </w:rPr>
            </w:pPr>
            <w:r>
              <w:rPr>
                <w:sz w:val="22"/>
              </w:rPr>
              <w:t>SDOF inbound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model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displacement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(UFC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loads)</w:t>
            </w:r>
          </w:p>
          <w:p>
            <w:pPr>
              <w:pStyle w:val="TableParagraph"/>
              <w:spacing w:line="234" w:lineRule="exact"/>
              <w:ind w:left="149" w:right="134"/>
              <w:jc w:val="center"/>
              <w:rPr>
                <w:sz w:val="22"/>
              </w:rPr>
            </w:pPr>
            <w:r>
              <w:rPr>
                <w:sz w:val="22"/>
              </w:rPr>
              <w:t>[in]</w:t>
            </w:r>
          </w:p>
        </w:tc>
        <w:tc>
          <w:tcPr>
            <w:tcW w:w="1160" w:type="dxa"/>
            <w:shd w:val="clear" w:color="auto" w:fill="C0C0C0"/>
          </w:tcPr>
          <w:p>
            <w:pPr>
              <w:pStyle w:val="TableParagraph"/>
              <w:spacing w:before="9"/>
              <w:rPr>
                <w:i/>
                <w:sz w:val="32"/>
              </w:rPr>
            </w:pPr>
          </w:p>
          <w:p>
            <w:pPr>
              <w:pStyle w:val="TableParagraph"/>
              <w:ind w:left="138" w:right="110" w:firstLine="116"/>
              <w:rPr>
                <w:sz w:val="22"/>
              </w:rPr>
            </w:pPr>
            <w:r>
              <w:rPr>
                <w:sz w:val="22"/>
              </w:rPr>
              <w:t>Percent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1"/>
                <w:sz w:val="22"/>
              </w:rPr>
              <w:t>difference</w:t>
            </w:r>
          </w:p>
        </w:tc>
        <w:tc>
          <w:tcPr>
            <w:tcW w:w="1602" w:type="dxa"/>
            <w:shd w:val="clear" w:color="auto" w:fill="C0C0C0"/>
          </w:tcPr>
          <w:p>
            <w:pPr>
              <w:pStyle w:val="TableParagraph"/>
              <w:ind w:left="137" w:right="113"/>
              <w:jc w:val="center"/>
              <w:rPr>
                <w:sz w:val="22"/>
              </w:rPr>
            </w:pPr>
            <w:r>
              <w:rPr>
                <w:sz w:val="22"/>
              </w:rPr>
              <w:t>SDOF inbound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model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displacement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(field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data)</w:t>
            </w:r>
          </w:p>
          <w:p>
            <w:pPr>
              <w:pStyle w:val="TableParagraph"/>
              <w:spacing w:line="234" w:lineRule="exact"/>
              <w:ind w:left="135" w:right="113"/>
              <w:jc w:val="center"/>
              <w:rPr>
                <w:sz w:val="22"/>
              </w:rPr>
            </w:pPr>
            <w:r>
              <w:rPr>
                <w:sz w:val="22"/>
              </w:rPr>
              <w:t>[in]</w:t>
            </w:r>
          </w:p>
        </w:tc>
        <w:tc>
          <w:tcPr>
            <w:tcW w:w="1160" w:type="dxa"/>
            <w:shd w:val="clear" w:color="auto" w:fill="C0C0C0"/>
          </w:tcPr>
          <w:p>
            <w:pPr>
              <w:pStyle w:val="TableParagraph"/>
              <w:spacing w:before="9"/>
              <w:rPr>
                <w:i/>
                <w:sz w:val="32"/>
              </w:rPr>
            </w:pPr>
          </w:p>
          <w:p>
            <w:pPr>
              <w:pStyle w:val="TableParagraph"/>
              <w:ind w:left="140" w:right="108" w:firstLine="116"/>
              <w:rPr>
                <w:sz w:val="22"/>
              </w:rPr>
            </w:pPr>
            <w:r>
              <w:rPr>
                <w:sz w:val="22"/>
              </w:rPr>
              <w:t>Percent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1"/>
                <w:sz w:val="22"/>
              </w:rPr>
              <w:t>difference</w:t>
            </w:r>
          </w:p>
        </w:tc>
      </w:tr>
      <w:tr>
        <w:trPr>
          <w:trHeight w:val="299" w:hRule="atLeast"/>
        </w:trPr>
        <w:tc>
          <w:tcPr>
            <w:tcW w:w="620" w:type="dxa"/>
            <w:shd w:val="clear" w:color="auto" w:fill="C0C0C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98" w:type="dxa"/>
            <w:shd w:val="clear" w:color="auto" w:fill="C0C0C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109" w:type="dxa"/>
            <w:gridSpan w:val="5"/>
            <w:shd w:val="clear" w:color="auto" w:fill="C0C0C0"/>
          </w:tcPr>
          <w:p>
            <w:pPr>
              <w:pStyle w:val="TableParagraph"/>
              <w:spacing w:line="234" w:lineRule="exact" w:before="45"/>
              <w:ind w:left="1781"/>
              <w:rPr>
                <w:sz w:val="22"/>
              </w:rPr>
            </w:pPr>
            <w:r>
              <w:rPr>
                <w:sz w:val="22"/>
              </w:rPr>
              <w:t>CLT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grade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E-1,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front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face,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Ground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level</w:t>
            </w:r>
          </w:p>
        </w:tc>
      </w:tr>
      <w:tr>
        <w:trPr>
          <w:trHeight w:val="300" w:hRule="atLeast"/>
        </w:trPr>
        <w:tc>
          <w:tcPr>
            <w:tcW w:w="620" w:type="dxa"/>
          </w:tcPr>
          <w:p>
            <w:pPr>
              <w:pStyle w:val="TableParagraph"/>
              <w:spacing w:line="234" w:lineRule="exact" w:before="46"/>
              <w:ind w:left="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1</w:t>
            </w:r>
          </w:p>
        </w:tc>
        <w:tc>
          <w:tcPr>
            <w:tcW w:w="898" w:type="dxa"/>
          </w:tcPr>
          <w:p>
            <w:pPr>
              <w:pStyle w:val="TableParagraph"/>
              <w:spacing w:line="234" w:lineRule="exact" w:before="46"/>
              <w:ind w:right="325"/>
              <w:jc w:val="right"/>
              <w:rPr>
                <w:sz w:val="22"/>
              </w:rPr>
            </w:pPr>
            <w:r>
              <w:rPr>
                <w:sz w:val="22"/>
              </w:rPr>
              <w:t>32</w:t>
            </w:r>
          </w:p>
        </w:tc>
        <w:tc>
          <w:tcPr>
            <w:tcW w:w="1548" w:type="dxa"/>
            <w:shd w:val="clear" w:color="auto" w:fill="DADADA"/>
          </w:tcPr>
          <w:p>
            <w:pPr>
              <w:pStyle w:val="TableParagraph"/>
              <w:spacing w:line="234" w:lineRule="exact" w:before="46"/>
              <w:ind w:left="561" w:right="547"/>
              <w:jc w:val="center"/>
              <w:rPr>
                <w:sz w:val="22"/>
              </w:rPr>
            </w:pPr>
            <w:r>
              <w:rPr>
                <w:sz w:val="22"/>
              </w:rPr>
              <w:t>1.09</w:t>
            </w:r>
          </w:p>
        </w:tc>
        <w:tc>
          <w:tcPr>
            <w:tcW w:w="1639" w:type="dxa"/>
          </w:tcPr>
          <w:p>
            <w:pPr>
              <w:pStyle w:val="TableParagraph"/>
              <w:spacing w:line="234" w:lineRule="exact" w:before="46"/>
              <w:ind w:left="151" w:right="134"/>
              <w:jc w:val="center"/>
              <w:rPr>
                <w:sz w:val="22"/>
              </w:rPr>
            </w:pPr>
            <w:r>
              <w:rPr>
                <w:sz w:val="22"/>
              </w:rPr>
              <w:t>1.238</w:t>
            </w:r>
          </w:p>
        </w:tc>
        <w:tc>
          <w:tcPr>
            <w:tcW w:w="1160" w:type="dxa"/>
          </w:tcPr>
          <w:p>
            <w:pPr>
              <w:pStyle w:val="TableParagraph"/>
              <w:spacing w:line="234" w:lineRule="exact" w:before="46"/>
              <w:ind w:left="183" w:right="165"/>
              <w:jc w:val="center"/>
              <w:rPr>
                <w:sz w:val="22"/>
              </w:rPr>
            </w:pPr>
            <w:r>
              <w:rPr>
                <w:sz w:val="22"/>
              </w:rPr>
              <w:t>13.58%</w:t>
            </w:r>
          </w:p>
        </w:tc>
        <w:tc>
          <w:tcPr>
            <w:tcW w:w="1602" w:type="dxa"/>
          </w:tcPr>
          <w:p>
            <w:pPr>
              <w:pStyle w:val="TableParagraph"/>
              <w:spacing w:line="234" w:lineRule="exact" w:before="46"/>
              <w:ind w:left="135" w:right="113"/>
              <w:jc w:val="center"/>
              <w:rPr>
                <w:sz w:val="22"/>
              </w:rPr>
            </w:pPr>
            <w:r>
              <w:rPr>
                <w:sz w:val="22"/>
              </w:rPr>
              <w:t>1.119</w:t>
            </w:r>
          </w:p>
        </w:tc>
        <w:tc>
          <w:tcPr>
            <w:tcW w:w="1160" w:type="dxa"/>
          </w:tcPr>
          <w:p>
            <w:pPr>
              <w:pStyle w:val="TableParagraph"/>
              <w:spacing w:line="234" w:lineRule="exact" w:before="46"/>
              <w:ind w:left="185" w:right="160"/>
              <w:jc w:val="center"/>
              <w:rPr>
                <w:sz w:val="22"/>
              </w:rPr>
            </w:pPr>
            <w:r>
              <w:rPr>
                <w:sz w:val="22"/>
              </w:rPr>
              <w:t>2.66%</w:t>
            </w:r>
          </w:p>
        </w:tc>
      </w:tr>
      <w:tr>
        <w:trPr>
          <w:trHeight w:val="299" w:hRule="atLeast"/>
        </w:trPr>
        <w:tc>
          <w:tcPr>
            <w:tcW w:w="620" w:type="dxa"/>
          </w:tcPr>
          <w:p>
            <w:pPr>
              <w:pStyle w:val="TableParagraph"/>
              <w:spacing w:line="234" w:lineRule="exact" w:before="45"/>
              <w:ind w:left="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2</w:t>
            </w:r>
          </w:p>
        </w:tc>
        <w:tc>
          <w:tcPr>
            <w:tcW w:w="898" w:type="dxa"/>
          </w:tcPr>
          <w:p>
            <w:pPr>
              <w:pStyle w:val="TableParagraph"/>
              <w:spacing w:line="234" w:lineRule="exact" w:before="45"/>
              <w:ind w:right="325"/>
              <w:jc w:val="right"/>
              <w:rPr>
                <w:sz w:val="22"/>
              </w:rPr>
            </w:pPr>
            <w:r>
              <w:rPr>
                <w:sz w:val="22"/>
              </w:rPr>
              <w:t>67</w:t>
            </w:r>
          </w:p>
        </w:tc>
        <w:tc>
          <w:tcPr>
            <w:tcW w:w="1548" w:type="dxa"/>
            <w:shd w:val="clear" w:color="auto" w:fill="DADADA"/>
          </w:tcPr>
          <w:p>
            <w:pPr>
              <w:pStyle w:val="TableParagraph"/>
              <w:spacing w:line="234" w:lineRule="exact" w:before="45"/>
              <w:ind w:left="561" w:right="547"/>
              <w:jc w:val="center"/>
              <w:rPr>
                <w:sz w:val="22"/>
              </w:rPr>
            </w:pPr>
            <w:r>
              <w:rPr>
                <w:sz w:val="22"/>
              </w:rPr>
              <w:t>1.96</w:t>
            </w:r>
          </w:p>
        </w:tc>
        <w:tc>
          <w:tcPr>
            <w:tcW w:w="1639" w:type="dxa"/>
          </w:tcPr>
          <w:p>
            <w:pPr>
              <w:pStyle w:val="TableParagraph"/>
              <w:spacing w:line="234" w:lineRule="exact" w:before="45"/>
              <w:ind w:left="151" w:right="134"/>
              <w:jc w:val="center"/>
              <w:rPr>
                <w:sz w:val="22"/>
              </w:rPr>
            </w:pPr>
            <w:r>
              <w:rPr>
                <w:sz w:val="22"/>
              </w:rPr>
              <w:t>2.014</w:t>
            </w:r>
          </w:p>
        </w:tc>
        <w:tc>
          <w:tcPr>
            <w:tcW w:w="1160" w:type="dxa"/>
          </w:tcPr>
          <w:p>
            <w:pPr>
              <w:pStyle w:val="TableParagraph"/>
              <w:spacing w:line="234" w:lineRule="exact" w:before="45"/>
              <w:ind w:left="185" w:right="165"/>
              <w:jc w:val="center"/>
              <w:rPr>
                <w:sz w:val="22"/>
              </w:rPr>
            </w:pPr>
            <w:r>
              <w:rPr>
                <w:sz w:val="22"/>
              </w:rPr>
              <w:t>2.76%</w:t>
            </w:r>
          </w:p>
        </w:tc>
        <w:tc>
          <w:tcPr>
            <w:tcW w:w="1602" w:type="dxa"/>
          </w:tcPr>
          <w:p>
            <w:pPr>
              <w:pStyle w:val="TableParagraph"/>
              <w:spacing w:line="234" w:lineRule="exact" w:before="45"/>
              <w:ind w:left="135" w:right="113"/>
              <w:jc w:val="center"/>
              <w:rPr>
                <w:sz w:val="22"/>
              </w:rPr>
            </w:pPr>
            <w:r>
              <w:rPr>
                <w:sz w:val="22"/>
              </w:rPr>
              <w:t>1.831</w:t>
            </w:r>
          </w:p>
        </w:tc>
        <w:tc>
          <w:tcPr>
            <w:tcW w:w="1160" w:type="dxa"/>
          </w:tcPr>
          <w:p>
            <w:pPr>
              <w:pStyle w:val="TableParagraph"/>
              <w:spacing w:line="234" w:lineRule="exact" w:before="45"/>
              <w:ind w:left="185" w:right="161"/>
              <w:jc w:val="center"/>
              <w:rPr>
                <w:sz w:val="22"/>
              </w:rPr>
            </w:pPr>
            <w:r>
              <w:rPr>
                <w:sz w:val="22"/>
              </w:rPr>
              <w:t>-6.58%</w:t>
            </w:r>
          </w:p>
        </w:tc>
      </w:tr>
      <w:tr>
        <w:trPr>
          <w:trHeight w:val="299" w:hRule="atLeast"/>
        </w:trPr>
        <w:tc>
          <w:tcPr>
            <w:tcW w:w="620" w:type="dxa"/>
          </w:tcPr>
          <w:p>
            <w:pPr>
              <w:pStyle w:val="TableParagraph"/>
              <w:spacing w:line="234" w:lineRule="exact" w:before="45"/>
              <w:ind w:left="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3</w:t>
            </w:r>
          </w:p>
        </w:tc>
        <w:tc>
          <w:tcPr>
            <w:tcW w:w="898" w:type="dxa"/>
          </w:tcPr>
          <w:p>
            <w:pPr>
              <w:pStyle w:val="TableParagraph"/>
              <w:spacing w:line="234" w:lineRule="exact" w:before="45"/>
              <w:ind w:right="270"/>
              <w:jc w:val="right"/>
              <w:rPr>
                <w:sz w:val="22"/>
              </w:rPr>
            </w:pPr>
            <w:r>
              <w:rPr>
                <w:sz w:val="22"/>
              </w:rPr>
              <w:t>199</w:t>
            </w:r>
          </w:p>
        </w:tc>
        <w:tc>
          <w:tcPr>
            <w:tcW w:w="1548" w:type="dxa"/>
            <w:shd w:val="clear" w:color="auto" w:fill="DADADA"/>
          </w:tcPr>
          <w:p>
            <w:pPr>
              <w:pStyle w:val="TableParagraph"/>
              <w:spacing w:line="234" w:lineRule="exact" w:before="45"/>
              <w:ind w:left="561" w:right="548"/>
              <w:jc w:val="center"/>
              <w:rPr>
                <w:sz w:val="22"/>
              </w:rPr>
            </w:pPr>
            <w:r>
              <w:rPr>
                <w:sz w:val="22"/>
              </w:rPr>
              <w:t>3.9</w:t>
            </w:r>
          </w:p>
        </w:tc>
        <w:tc>
          <w:tcPr>
            <w:tcW w:w="1639" w:type="dxa"/>
          </w:tcPr>
          <w:p>
            <w:pPr>
              <w:pStyle w:val="TableParagraph"/>
              <w:spacing w:line="234" w:lineRule="exact" w:before="45"/>
              <w:ind w:left="151" w:right="134"/>
              <w:jc w:val="center"/>
              <w:rPr>
                <w:sz w:val="22"/>
              </w:rPr>
            </w:pPr>
            <w:r>
              <w:rPr>
                <w:sz w:val="22"/>
              </w:rPr>
              <w:t>4.108</w:t>
            </w:r>
          </w:p>
        </w:tc>
        <w:tc>
          <w:tcPr>
            <w:tcW w:w="1160" w:type="dxa"/>
          </w:tcPr>
          <w:p>
            <w:pPr>
              <w:pStyle w:val="TableParagraph"/>
              <w:spacing w:line="234" w:lineRule="exact" w:before="45"/>
              <w:ind w:left="185" w:right="165"/>
              <w:jc w:val="center"/>
              <w:rPr>
                <w:sz w:val="22"/>
              </w:rPr>
            </w:pPr>
            <w:r>
              <w:rPr>
                <w:sz w:val="22"/>
              </w:rPr>
              <w:t>5.33%</w:t>
            </w:r>
          </w:p>
        </w:tc>
        <w:tc>
          <w:tcPr>
            <w:tcW w:w="1602" w:type="dxa"/>
          </w:tcPr>
          <w:p>
            <w:pPr>
              <w:pStyle w:val="TableParagraph"/>
              <w:spacing w:line="234" w:lineRule="exact" w:before="45"/>
              <w:ind w:left="135" w:right="113"/>
              <w:jc w:val="center"/>
              <w:rPr>
                <w:sz w:val="22"/>
              </w:rPr>
            </w:pPr>
            <w:r>
              <w:rPr>
                <w:sz w:val="22"/>
              </w:rPr>
              <w:t>3.585</w:t>
            </w:r>
          </w:p>
        </w:tc>
        <w:tc>
          <w:tcPr>
            <w:tcW w:w="1160" w:type="dxa"/>
          </w:tcPr>
          <w:p>
            <w:pPr>
              <w:pStyle w:val="TableParagraph"/>
              <w:spacing w:line="234" w:lineRule="exact" w:before="45"/>
              <w:ind w:left="185" w:right="161"/>
              <w:jc w:val="center"/>
              <w:rPr>
                <w:sz w:val="22"/>
              </w:rPr>
            </w:pPr>
            <w:r>
              <w:rPr>
                <w:sz w:val="22"/>
              </w:rPr>
              <w:t>-8.08%</w:t>
            </w:r>
          </w:p>
        </w:tc>
      </w:tr>
      <w:tr>
        <w:trPr>
          <w:trHeight w:val="300" w:hRule="atLeast"/>
        </w:trPr>
        <w:tc>
          <w:tcPr>
            <w:tcW w:w="620" w:type="dxa"/>
            <w:shd w:val="clear" w:color="auto" w:fill="C0C0C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98" w:type="dxa"/>
            <w:shd w:val="clear" w:color="auto" w:fill="C0C0C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109" w:type="dxa"/>
            <w:gridSpan w:val="5"/>
            <w:shd w:val="clear" w:color="auto" w:fill="C0C0C0"/>
          </w:tcPr>
          <w:p>
            <w:pPr>
              <w:pStyle w:val="TableParagraph"/>
              <w:spacing w:line="234" w:lineRule="exact" w:before="46"/>
              <w:ind w:left="1768"/>
              <w:rPr>
                <w:sz w:val="22"/>
              </w:rPr>
            </w:pPr>
            <w:r>
              <w:rPr>
                <w:sz w:val="22"/>
              </w:rPr>
              <w:t>CLT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grade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V-1,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front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face,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Ground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level</w:t>
            </w:r>
          </w:p>
        </w:tc>
      </w:tr>
      <w:tr>
        <w:trPr>
          <w:trHeight w:val="299" w:hRule="atLeast"/>
        </w:trPr>
        <w:tc>
          <w:tcPr>
            <w:tcW w:w="620" w:type="dxa"/>
          </w:tcPr>
          <w:p>
            <w:pPr>
              <w:pStyle w:val="TableParagraph"/>
              <w:spacing w:line="234" w:lineRule="exact" w:before="45"/>
              <w:ind w:left="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1</w:t>
            </w:r>
          </w:p>
        </w:tc>
        <w:tc>
          <w:tcPr>
            <w:tcW w:w="898" w:type="dxa"/>
          </w:tcPr>
          <w:p>
            <w:pPr>
              <w:pStyle w:val="TableParagraph"/>
              <w:spacing w:line="234" w:lineRule="exact" w:before="45"/>
              <w:ind w:right="325"/>
              <w:jc w:val="right"/>
              <w:rPr>
                <w:sz w:val="22"/>
              </w:rPr>
            </w:pPr>
            <w:r>
              <w:rPr>
                <w:sz w:val="22"/>
              </w:rPr>
              <w:t>32</w:t>
            </w:r>
          </w:p>
        </w:tc>
        <w:tc>
          <w:tcPr>
            <w:tcW w:w="1548" w:type="dxa"/>
            <w:shd w:val="clear" w:color="auto" w:fill="DADADA"/>
          </w:tcPr>
          <w:p>
            <w:pPr>
              <w:pStyle w:val="TableParagraph"/>
              <w:spacing w:line="234" w:lineRule="exact" w:before="45"/>
              <w:ind w:left="561" w:right="547"/>
              <w:jc w:val="center"/>
              <w:rPr>
                <w:sz w:val="22"/>
              </w:rPr>
            </w:pPr>
            <w:r>
              <w:rPr>
                <w:sz w:val="22"/>
              </w:rPr>
              <w:t>1.18</w:t>
            </w:r>
          </w:p>
        </w:tc>
        <w:tc>
          <w:tcPr>
            <w:tcW w:w="1639" w:type="dxa"/>
          </w:tcPr>
          <w:p>
            <w:pPr>
              <w:pStyle w:val="TableParagraph"/>
              <w:spacing w:line="234" w:lineRule="exact" w:before="45"/>
              <w:ind w:left="151" w:right="134"/>
              <w:jc w:val="center"/>
              <w:rPr>
                <w:sz w:val="22"/>
              </w:rPr>
            </w:pPr>
            <w:r>
              <w:rPr>
                <w:sz w:val="22"/>
              </w:rPr>
              <w:t>1.227</w:t>
            </w:r>
          </w:p>
        </w:tc>
        <w:tc>
          <w:tcPr>
            <w:tcW w:w="1160" w:type="dxa"/>
          </w:tcPr>
          <w:p>
            <w:pPr>
              <w:pStyle w:val="TableParagraph"/>
              <w:spacing w:line="234" w:lineRule="exact" w:before="45"/>
              <w:ind w:left="185" w:right="165"/>
              <w:jc w:val="center"/>
              <w:rPr>
                <w:sz w:val="22"/>
              </w:rPr>
            </w:pPr>
            <w:r>
              <w:rPr>
                <w:sz w:val="22"/>
              </w:rPr>
              <w:t>3.98%</w:t>
            </w:r>
          </w:p>
        </w:tc>
        <w:tc>
          <w:tcPr>
            <w:tcW w:w="1602" w:type="dxa"/>
          </w:tcPr>
          <w:p>
            <w:pPr>
              <w:pStyle w:val="TableParagraph"/>
              <w:spacing w:line="234" w:lineRule="exact" w:before="45"/>
              <w:ind w:left="137" w:right="113"/>
              <w:jc w:val="center"/>
              <w:rPr>
                <w:sz w:val="22"/>
              </w:rPr>
            </w:pPr>
            <w:r>
              <w:rPr>
                <w:sz w:val="22"/>
              </w:rPr>
              <w:t>1.11</w:t>
            </w:r>
          </w:p>
        </w:tc>
        <w:tc>
          <w:tcPr>
            <w:tcW w:w="1160" w:type="dxa"/>
          </w:tcPr>
          <w:p>
            <w:pPr>
              <w:pStyle w:val="TableParagraph"/>
              <w:spacing w:line="234" w:lineRule="exact" w:before="45"/>
              <w:ind w:left="185" w:right="161"/>
              <w:jc w:val="center"/>
              <w:rPr>
                <w:sz w:val="22"/>
              </w:rPr>
            </w:pPr>
            <w:r>
              <w:rPr>
                <w:sz w:val="22"/>
              </w:rPr>
              <w:t>-5.93%</w:t>
            </w:r>
          </w:p>
        </w:tc>
      </w:tr>
      <w:tr>
        <w:trPr>
          <w:trHeight w:val="299" w:hRule="atLeast"/>
        </w:trPr>
        <w:tc>
          <w:tcPr>
            <w:tcW w:w="620" w:type="dxa"/>
          </w:tcPr>
          <w:p>
            <w:pPr>
              <w:pStyle w:val="TableParagraph"/>
              <w:spacing w:line="234" w:lineRule="exact" w:before="45"/>
              <w:ind w:left="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2</w:t>
            </w:r>
          </w:p>
        </w:tc>
        <w:tc>
          <w:tcPr>
            <w:tcW w:w="898" w:type="dxa"/>
          </w:tcPr>
          <w:p>
            <w:pPr>
              <w:pStyle w:val="TableParagraph"/>
              <w:spacing w:line="234" w:lineRule="exact" w:before="45"/>
              <w:ind w:right="325"/>
              <w:jc w:val="right"/>
              <w:rPr>
                <w:sz w:val="22"/>
              </w:rPr>
            </w:pPr>
            <w:r>
              <w:rPr>
                <w:sz w:val="22"/>
              </w:rPr>
              <w:t>67</w:t>
            </w:r>
          </w:p>
        </w:tc>
        <w:tc>
          <w:tcPr>
            <w:tcW w:w="1548" w:type="dxa"/>
            <w:shd w:val="clear" w:color="auto" w:fill="DADADA"/>
          </w:tcPr>
          <w:p>
            <w:pPr>
              <w:pStyle w:val="TableParagraph"/>
              <w:spacing w:line="234" w:lineRule="exact" w:before="45"/>
              <w:ind w:left="561" w:right="547"/>
              <w:jc w:val="center"/>
              <w:rPr>
                <w:sz w:val="22"/>
              </w:rPr>
            </w:pPr>
            <w:r>
              <w:rPr>
                <w:sz w:val="22"/>
              </w:rPr>
              <w:t>2.04</w:t>
            </w:r>
          </w:p>
        </w:tc>
        <w:tc>
          <w:tcPr>
            <w:tcW w:w="1639" w:type="dxa"/>
          </w:tcPr>
          <w:p>
            <w:pPr>
              <w:pStyle w:val="TableParagraph"/>
              <w:spacing w:line="234" w:lineRule="exact" w:before="45"/>
              <w:ind w:left="151" w:right="134"/>
              <w:jc w:val="center"/>
              <w:rPr>
                <w:sz w:val="22"/>
              </w:rPr>
            </w:pPr>
            <w:r>
              <w:rPr>
                <w:sz w:val="22"/>
              </w:rPr>
              <w:t>1.973</w:t>
            </w:r>
          </w:p>
        </w:tc>
        <w:tc>
          <w:tcPr>
            <w:tcW w:w="1160" w:type="dxa"/>
          </w:tcPr>
          <w:p>
            <w:pPr>
              <w:pStyle w:val="TableParagraph"/>
              <w:spacing w:line="234" w:lineRule="exact" w:before="45"/>
              <w:ind w:left="183" w:right="165"/>
              <w:jc w:val="center"/>
              <w:rPr>
                <w:sz w:val="22"/>
              </w:rPr>
            </w:pPr>
            <w:r>
              <w:rPr>
                <w:sz w:val="22"/>
              </w:rPr>
              <w:t>-3.28%</w:t>
            </w:r>
          </w:p>
        </w:tc>
        <w:tc>
          <w:tcPr>
            <w:tcW w:w="1602" w:type="dxa"/>
          </w:tcPr>
          <w:p>
            <w:pPr>
              <w:pStyle w:val="TableParagraph"/>
              <w:spacing w:line="234" w:lineRule="exact" w:before="45"/>
              <w:ind w:left="135" w:right="113"/>
              <w:jc w:val="center"/>
              <w:rPr>
                <w:sz w:val="22"/>
              </w:rPr>
            </w:pPr>
            <w:r>
              <w:rPr>
                <w:sz w:val="22"/>
              </w:rPr>
              <w:t>1.806</w:t>
            </w:r>
          </w:p>
        </w:tc>
        <w:tc>
          <w:tcPr>
            <w:tcW w:w="1160" w:type="dxa"/>
          </w:tcPr>
          <w:p>
            <w:pPr>
              <w:pStyle w:val="TableParagraph"/>
              <w:spacing w:line="234" w:lineRule="exact" w:before="45"/>
              <w:ind w:left="185" w:right="158"/>
              <w:jc w:val="center"/>
              <w:rPr>
                <w:sz w:val="22"/>
              </w:rPr>
            </w:pPr>
            <w:r>
              <w:rPr>
                <w:sz w:val="22"/>
              </w:rPr>
              <w:t>-11.47%</w:t>
            </w:r>
          </w:p>
        </w:tc>
      </w:tr>
      <w:tr>
        <w:trPr>
          <w:trHeight w:val="300" w:hRule="atLeast"/>
        </w:trPr>
        <w:tc>
          <w:tcPr>
            <w:tcW w:w="620" w:type="dxa"/>
          </w:tcPr>
          <w:p>
            <w:pPr>
              <w:pStyle w:val="TableParagraph"/>
              <w:spacing w:line="234" w:lineRule="exact" w:before="46"/>
              <w:ind w:left="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3</w:t>
            </w:r>
          </w:p>
        </w:tc>
        <w:tc>
          <w:tcPr>
            <w:tcW w:w="898" w:type="dxa"/>
          </w:tcPr>
          <w:p>
            <w:pPr>
              <w:pStyle w:val="TableParagraph"/>
              <w:spacing w:line="234" w:lineRule="exact" w:before="46"/>
              <w:ind w:right="270"/>
              <w:jc w:val="right"/>
              <w:rPr>
                <w:sz w:val="22"/>
              </w:rPr>
            </w:pPr>
            <w:r>
              <w:rPr>
                <w:sz w:val="22"/>
              </w:rPr>
              <w:t>199</w:t>
            </w:r>
          </w:p>
        </w:tc>
        <w:tc>
          <w:tcPr>
            <w:tcW w:w="1548" w:type="dxa"/>
            <w:shd w:val="clear" w:color="auto" w:fill="DADADA"/>
          </w:tcPr>
          <w:p>
            <w:pPr>
              <w:pStyle w:val="TableParagraph"/>
              <w:spacing w:line="234" w:lineRule="exact" w:before="46"/>
              <w:ind w:left="561" w:right="547"/>
              <w:jc w:val="center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  <w:tc>
          <w:tcPr>
            <w:tcW w:w="1639" w:type="dxa"/>
          </w:tcPr>
          <w:p>
            <w:pPr>
              <w:pStyle w:val="TableParagraph"/>
              <w:spacing w:line="234" w:lineRule="exact" w:before="46"/>
              <w:ind w:left="151" w:right="134"/>
              <w:jc w:val="center"/>
              <w:rPr>
                <w:sz w:val="22"/>
              </w:rPr>
            </w:pPr>
            <w:r>
              <w:rPr>
                <w:sz w:val="22"/>
              </w:rPr>
              <w:t>5.516</w:t>
            </w:r>
          </w:p>
        </w:tc>
        <w:tc>
          <w:tcPr>
            <w:tcW w:w="1160" w:type="dxa"/>
          </w:tcPr>
          <w:p>
            <w:pPr>
              <w:pStyle w:val="TableParagraph"/>
              <w:spacing w:line="234" w:lineRule="exact" w:before="46"/>
              <w:ind w:left="183" w:right="165"/>
              <w:jc w:val="center"/>
              <w:rPr>
                <w:sz w:val="22"/>
              </w:rPr>
            </w:pPr>
            <w:r>
              <w:rPr>
                <w:color w:val="FF0000"/>
                <w:sz w:val="22"/>
              </w:rPr>
              <w:t>28.88%</w:t>
            </w:r>
          </w:p>
        </w:tc>
        <w:tc>
          <w:tcPr>
            <w:tcW w:w="1602" w:type="dxa"/>
          </w:tcPr>
          <w:p>
            <w:pPr>
              <w:pStyle w:val="TableParagraph"/>
              <w:spacing w:line="234" w:lineRule="exact" w:before="46"/>
              <w:ind w:left="135" w:right="113"/>
              <w:jc w:val="center"/>
              <w:rPr>
                <w:sz w:val="22"/>
              </w:rPr>
            </w:pPr>
            <w:r>
              <w:rPr>
                <w:sz w:val="22"/>
              </w:rPr>
              <w:t>4.178</w:t>
            </w:r>
          </w:p>
        </w:tc>
        <w:tc>
          <w:tcPr>
            <w:tcW w:w="1160" w:type="dxa"/>
          </w:tcPr>
          <w:p>
            <w:pPr>
              <w:pStyle w:val="TableParagraph"/>
              <w:spacing w:line="234" w:lineRule="exact" w:before="46"/>
              <w:ind w:left="185" w:right="161"/>
              <w:jc w:val="center"/>
              <w:rPr>
                <w:sz w:val="22"/>
              </w:rPr>
            </w:pPr>
            <w:r>
              <w:rPr>
                <w:sz w:val="22"/>
              </w:rPr>
              <w:t>-2.38%</w:t>
            </w:r>
          </w:p>
        </w:tc>
      </w:tr>
      <w:tr>
        <w:trPr>
          <w:trHeight w:val="299" w:hRule="atLeast"/>
        </w:trPr>
        <w:tc>
          <w:tcPr>
            <w:tcW w:w="620" w:type="dxa"/>
            <w:shd w:val="clear" w:color="auto" w:fill="C0C0C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98" w:type="dxa"/>
            <w:shd w:val="clear" w:color="auto" w:fill="C0C0C0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109" w:type="dxa"/>
            <w:gridSpan w:val="5"/>
            <w:shd w:val="clear" w:color="auto" w:fill="C0C0C0"/>
          </w:tcPr>
          <w:p>
            <w:pPr>
              <w:pStyle w:val="TableParagraph"/>
              <w:spacing w:line="234" w:lineRule="exact" w:before="45"/>
              <w:ind w:left="1299" w:right="1279"/>
              <w:jc w:val="center"/>
              <w:rPr>
                <w:sz w:val="22"/>
              </w:rPr>
            </w:pPr>
            <w:r>
              <w:rPr>
                <w:sz w:val="22"/>
              </w:rPr>
              <w:t>CLT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grade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V-4,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front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face,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Ground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level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(h=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10-ft)</w:t>
            </w:r>
          </w:p>
        </w:tc>
      </w:tr>
      <w:tr>
        <w:trPr>
          <w:trHeight w:val="299" w:hRule="atLeast"/>
        </w:trPr>
        <w:tc>
          <w:tcPr>
            <w:tcW w:w="620" w:type="dxa"/>
          </w:tcPr>
          <w:p>
            <w:pPr>
              <w:pStyle w:val="TableParagraph"/>
              <w:spacing w:line="234" w:lineRule="exact" w:before="45"/>
              <w:ind w:left="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1</w:t>
            </w:r>
          </w:p>
        </w:tc>
        <w:tc>
          <w:tcPr>
            <w:tcW w:w="898" w:type="dxa"/>
          </w:tcPr>
          <w:p>
            <w:pPr>
              <w:pStyle w:val="TableParagraph"/>
              <w:spacing w:line="234" w:lineRule="exact" w:before="45"/>
              <w:ind w:right="325"/>
              <w:jc w:val="right"/>
              <w:rPr>
                <w:sz w:val="22"/>
              </w:rPr>
            </w:pPr>
            <w:r>
              <w:rPr>
                <w:sz w:val="22"/>
              </w:rPr>
              <w:t>32</w:t>
            </w:r>
          </w:p>
        </w:tc>
        <w:tc>
          <w:tcPr>
            <w:tcW w:w="1548" w:type="dxa"/>
            <w:shd w:val="clear" w:color="auto" w:fill="DADADA"/>
          </w:tcPr>
          <w:p>
            <w:pPr>
              <w:pStyle w:val="TableParagraph"/>
              <w:spacing w:line="234" w:lineRule="exact" w:before="45"/>
              <w:ind w:left="561" w:right="547"/>
              <w:jc w:val="center"/>
              <w:rPr>
                <w:sz w:val="22"/>
              </w:rPr>
            </w:pPr>
            <w:r>
              <w:rPr>
                <w:sz w:val="22"/>
              </w:rPr>
              <w:t>1.07</w:t>
            </w:r>
          </w:p>
        </w:tc>
        <w:tc>
          <w:tcPr>
            <w:tcW w:w="1639" w:type="dxa"/>
          </w:tcPr>
          <w:p>
            <w:pPr>
              <w:pStyle w:val="TableParagraph"/>
              <w:spacing w:line="234" w:lineRule="exact" w:before="45"/>
              <w:ind w:left="151" w:right="134"/>
              <w:jc w:val="center"/>
              <w:rPr>
                <w:sz w:val="22"/>
              </w:rPr>
            </w:pPr>
            <w:r>
              <w:rPr>
                <w:sz w:val="22"/>
              </w:rPr>
              <w:t>1.062</w:t>
            </w:r>
          </w:p>
        </w:tc>
        <w:tc>
          <w:tcPr>
            <w:tcW w:w="1160" w:type="dxa"/>
          </w:tcPr>
          <w:p>
            <w:pPr>
              <w:pStyle w:val="TableParagraph"/>
              <w:spacing w:line="234" w:lineRule="exact" w:before="45"/>
              <w:ind w:left="183" w:right="165"/>
              <w:jc w:val="center"/>
              <w:rPr>
                <w:sz w:val="22"/>
              </w:rPr>
            </w:pPr>
            <w:r>
              <w:rPr>
                <w:sz w:val="22"/>
              </w:rPr>
              <w:t>-0.75%</w:t>
            </w:r>
          </w:p>
        </w:tc>
        <w:tc>
          <w:tcPr>
            <w:tcW w:w="1602" w:type="dxa"/>
          </w:tcPr>
          <w:p>
            <w:pPr>
              <w:pStyle w:val="TableParagraph"/>
              <w:spacing w:line="234" w:lineRule="exact" w:before="45"/>
              <w:ind w:left="135" w:right="113"/>
              <w:jc w:val="center"/>
              <w:rPr>
                <w:sz w:val="22"/>
              </w:rPr>
            </w:pPr>
            <w:r>
              <w:rPr>
                <w:sz w:val="22"/>
              </w:rPr>
              <w:t>0.967</w:t>
            </w:r>
          </w:p>
        </w:tc>
        <w:tc>
          <w:tcPr>
            <w:tcW w:w="1160" w:type="dxa"/>
          </w:tcPr>
          <w:p>
            <w:pPr>
              <w:pStyle w:val="TableParagraph"/>
              <w:spacing w:line="234" w:lineRule="exact" w:before="45"/>
              <w:ind w:left="185" w:right="161"/>
              <w:jc w:val="center"/>
              <w:rPr>
                <w:sz w:val="22"/>
              </w:rPr>
            </w:pPr>
            <w:r>
              <w:rPr>
                <w:sz w:val="22"/>
              </w:rPr>
              <w:t>-9.63%</w:t>
            </w:r>
          </w:p>
        </w:tc>
      </w:tr>
      <w:tr>
        <w:trPr>
          <w:trHeight w:val="300" w:hRule="atLeast"/>
        </w:trPr>
        <w:tc>
          <w:tcPr>
            <w:tcW w:w="620" w:type="dxa"/>
          </w:tcPr>
          <w:p>
            <w:pPr>
              <w:pStyle w:val="TableParagraph"/>
              <w:spacing w:line="234" w:lineRule="exact" w:before="46"/>
              <w:ind w:left="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2</w:t>
            </w:r>
          </w:p>
        </w:tc>
        <w:tc>
          <w:tcPr>
            <w:tcW w:w="898" w:type="dxa"/>
          </w:tcPr>
          <w:p>
            <w:pPr>
              <w:pStyle w:val="TableParagraph"/>
              <w:spacing w:line="234" w:lineRule="exact" w:before="46"/>
              <w:ind w:right="325"/>
              <w:jc w:val="right"/>
              <w:rPr>
                <w:sz w:val="22"/>
              </w:rPr>
            </w:pPr>
            <w:r>
              <w:rPr>
                <w:sz w:val="22"/>
              </w:rPr>
              <w:t>67</w:t>
            </w:r>
          </w:p>
        </w:tc>
        <w:tc>
          <w:tcPr>
            <w:tcW w:w="1548" w:type="dxa"/>
            <w:shd w:val="clear" w:color="auto" w:fill="DADADA"/>
          </w:tcPr>
          <w:p>
            <w:pPr>
              <w:pStyle w:val="TableParagraph"/>
              <w:spacing w:line="234" w:lineRule="exact" w:before="46"/>
              <w:ind w:left="561" w:right="547"/>
              <w:jc w:val="center"/>
              <w:rPr>
                <w:sz w:val="22"/>
              </w:rPr>
            </w:pPr>
            <w:r>
              <w:rPr>
                <w:sz w:val="22"/>
              </w:rPr>
              <w:t>1.83</w:t>
            </w:r>
          </w:p>
        </w:tc>
        <w:tc>
          <w:tcPr>
            <w:tcW w:w="1639" w:type="dxa"/>
          </w:tcPr>
          <w:p>
            <w:pPr>
              <w:pStyle w:val="TableParagraph"/>
              <w:spacing w:line="234" w:lineRule="exact" w:before="46"/>
              <w:ind w:left="151" w:right="134"/>
              <w:jc w:val="center"/>
              <w:rPr>
                <w:sz w:val="22"/>
              </w:rPr>
            </w:pPr>
            <w:r>
              <w:rPr>
                <w:sz w:val="22"/>
              </w:rPr>
              <w:t>1.71</w:t>
            </w:r>
          </w:p>
        </w:tc>
        <w:tc>
          <w:tcPr>
            <w:tcW w:w="1160" w:type="dxa"/>
          </w:tcPr>
          <w:p>
            <w:pPr>
              <w:pStyle w:val="TableParagraph"/>
              <w:spacing w:line="234" w:lineRule="exact" w:before="46"/>
              <w:ind w:left="183" w:right="165"/>
              <w:jc w:val="center"/>
              <w:rPr>
                <w:sz w:val="22"/>
              </w:rPr>
            </w:pPr>
            <w:r>
              <w:rPr>
                <w:sz w:val="22"/>
              </w:rPr>
              <w:t>-6.56%</w:t>
            </w:r>
          </w:p>
        </w:tc>
        <w:tc>
          <w:tcPr>
            <w:tcW w:w="1602" w:type="dxa"/>
          </w:tcPr>
          <w:p>
            <w:pPr>
              <w:pStyle w:val="TableParagraph"/>
              <w:spacing w:line="234" w:lineRule="exact" w:before="46"/>
              <w:ind w:left="135" w:right="113"/>
              <w:jc w:val="center"/>
              <w:rPr>
                <w:sz w:val="22"/>
              </w:rPr>
            </w:pPr>
            <w:r>
              <w:rPr>
                <w:sz w:val="22"/>
              </w:rPr>
              <w:t>1.578</w:t>
            </w:r>
          </w:p>
        </w:tc>
        <w:tc>
          <w:tcPr>
            <w:tcW w:w="1160" w:type="dxa"/>
          </w:tcPr>
          <w:p>
            <w:pPr>
              <w:pStyle w:val="TableParagraph"/>
              <w:spacing w:line="234" w:lineRule="exact" w:before="46"/>
              <w:ind w:left="185" w:right="158"/>
              <w:jc w:val="center"/>
              <w:rPr>
                <w:sz w:val="22"/>
              </w:rPr>
            </w:pPr>
            <w:r>
              <w:rPr>
                <w:sz w:val="22"/>
              </w:rPr>
              <w:t>-13.77%</w:t>
            </w:r>
          </w:p>
        </w:tc>
      </w:tr>
      <w:tr>
        <w:trPr>
          <w:trHeight w:val="299" w:hRule="atLeast"/>
        </w:trPr>
        <w:tc>
          <w:tcPr>
            <w:tcW w:w="620" w:type="dxa"/>
          </w:tcPr>
          <w:p>
            <w:pPr>
              <w:pStyle w:val="TableParagraph"/>
              <w:spacing w:line="234" w:lineRule="exact" w:before="45"/>
              <w:ind w:left="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3</w:t>
            </w:r>
          </w:p>
        </w:tc>
        <w:tc>
          <w:tcPr>
            <w:tcW w:w="898" w:type="dxa"/>
          </w:tcPr>
          <w:p>
            <w:pPr>
              <w:pStyle w:val="TableParagraph"/>
              <w:spacing w:line="234" w:lineRule="exact" w:before="45"/>
              <w:ind w:right="270"/>
              <w:jc w:val="right"/>
              <w:rPr>
                <w:sz w:val="22"/>
              </w:rPr>
            </w:pPr>
            <w:r>
              <w:rPr>
                <w:sz w:val="22"/>
              </w:rPr>
              <w:t>199</w:t>
            </w:r>
          </w:p>
        </w:tc>
        <w:tc>
          <w:tcPr>
            <w:tcW w:w="1548" w:type="dxa"/>
            <w:shd w:val="clear" w:color="auto" w:fill="DADADA"/>
          </w:tcPr>
          <w:p>
            <w:pPr>
              <w:pStyle w:val="TableParagraph"/>
              <w:spacing w:line="234" w:lineRule="exact" w:before="45"/>
              <w:ind w:left="561" w:right="547"/>
              <w:jc w:val="center"/>
              <w:rPr>
                <w:sz w:val="22"/>
              </w:rPr>
            </w:pPr>
            <w:r>
              <w:rPr>
                <w:sz w:val="22"/>
              </w:rPr>
              <w:t>4.57</w:t>
            </w:r>
          </w:p>
        </w:tc>
        <w:tc>
          <w:tcPr>
            <w:tcW w:w="1639" w:type="dxa"/>
          </w:tcPr>
          <w:p>
            <w:pPr>
              <w:pStyle w:val="TableParagraph"/>
              <w:spacing w:line="234" w:lineRule="exact" w:before="45"/>
              <w:ind w:left="151" w:right="134"/>
              <w:jc w:val="center"/>
              <w:rPr>
                <w:sz w:val="22"/>
              </w:rPr>
            </w:pPr>
            <w:r>
              <w:rPr>
                <w:sz w:val="22"/>
              </w:rPr>
              <w:t>4.389</w:t>
            </w:r>
          </w:p>
        </w:tc>
        <w:tc>
          <w:tcPr>
            <w:tcW w:w="1160" w:type="dxa"/>
          </w:tcPr>
          <w:p>
            <w:pPr>
              <w:pStyle w:val="TableParagraph"/>
              <w:spacing w:line="234" w:lineRule="exact" w:before="45"/>
              <w:ind w:left="183" w:right="165"/>
              <w:jc w:val="center"/>
              <w:rPr>
                <w:sz w:val="22"/>
              </w:rPr>
            </w:pPr>
            <w:r>
              <w:rPr>
                <w:sz w:val="22"/>
              </w:rPr>
              <w:t>-3.96%</w:t>
            </w:r>
          </w:p>
        </w:tc>
        <w:tc>
          <w:tcPr>
            <w:tcW w:w="1602" w:type="dxa"/>
          </w:tcPr>
          <w:p>
            <w:pPr>
              <w:pStyle w:val="TableParagraph"/>
              <w:spacing w:line="234" w:lineRule="exact" w:before="45"/>
              <w:ind w:left="135" w:right="113"/>
              <w:jc w:val="center"/>
              <w:rPr>
                <w:sz w:val="22"/>
              </w:rPr>
            </w:pPr>
            <w:r>
              <w:rPr>
                <w:sz w:val="22"/>
              </w:rPr>
              <w:t>3.437</w:t>
            </w:r>
          </w:p>
        </w:tc>
        <w:tc>
          <w:tcPr>
            <w:tcW w:w="1160" w:type="dxa"/>
          </w:tcPr>
          <w:p>
            <w:pPr>
              <w:pStyle w:val="TableParagraph"/>
              <w:spacing w:line="234" w:lineRule="exact" w:before="45"/>
              <w:ind w:left="185" w:right="158"/>
              <w:jc w:val="center"/>
              <w:rPr>
                <w:sz w:val="22"/>
              </w:rPr>
            </w:pPr>
            <w:r>
              <w:rPr>
                <w:color w:val="FF0000"/>
                <w:sz w:val="22"/>
              </w:rPr>
              <w:t>-24.79%</w:t>
            </w:r>
          </w:p>
        </w:tc>
      </w:tr>
    </w:tbl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9"/>
        <w:rPr>
          <w:i/>
          <w:sz w:val="35"/>
        </w:rPr>
      </w:pPr>
    </w:p>
    <w:p>
      <w:pPr>
        <w:pStyle w:val="ListParagraph"/>
        <w:numPr>
          <w:ilvl w:val="2"/>
          <w:numId w:val="27"/>
        </w:numPr>
        <w:tabs>
          <w:tab w:pos="980" w:val="left" w:leader="none"/>
        </w:tabs>
        <w:spacing w:line="240" w:lineRule="auto" w:before="0" w:after="0"/>
        <w:ind w:left="980" w:right="0" w:hanging="540"/>
        <w:jc w:val="both"/>
        <w:rPr>
          <w:i/>
          <w:sz w:val="24"/>
        </w:rPr>
      </w:pPr>
      <w:bookmarkStart w:name="8.4.2 Effect of rolling shear" w:id="570"/>
      <w:bookmarkEnd w:id="570"/>
      <w:r>
        <w:rPr/>
      </w:r>
      <w:bookmarkStart w:name="8.4.2 Effect of rolling shear" w:id="571"/>
      <w:bookmarkEnd w:id="571"/>
      <w:r>
        <w:rPr>
          <w:i/>
          <w:sz w:val="24"/>
        </w:rPr>
        <w:t>E</w:t>
      </w:r>
      <w:r>
        <w:rPr>
          <w:i/>
          <w:sz w:val="24"/>
        </w:rPr>
        <w:t>ffect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rolling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shear</w:t>
      </w:r>
    </w:p>
    <w:p>
      <w:pPr>
        <w:pStyle w:val="BodyText"/>
        <w:spacing w:before="7"/>
        <w:rPr>
          <w:i/>
          <w:sz w:val="22"/>
        </w:rPr>
      </w:pPr>
    </w:p>
    <w:p>
      <w:pPr>
        <w:pStyle w:val="BodyText"/>
        <w:spacing w:line="480" w:lineRule="auto"/>
        <w:ind w:left="439" w:right="417" w:firstLine="720"/>
        <w:jc w:val="both"/>
      </w:pPr>
      <w:r>
        <w:rPr/>
        <w:t>When rolling shear is considered in the tool, the failure response changed for only</w:t>
      </w:r>
      <w:r>
        <w:rPr>
          <w:spacing w:val="-57"/>
        </w:rPr>
        <w:t> </w:t>
      </w:r>
      <w:r>
        <w:rPr/>
        <w:t>one of the four considered CLT grades, E1, as shown in </w:t>
      </w:r>
      <w:hyperlink w:history="true" w:anchor="_bookmark203">
        <w:r>
          <w:rPr/>
          <w:t>Table 8-10.</w:t>
        </w:r>
      </w:hyperlink>
      <w:r>
        <w:rPr/>
        <w:t> This was the case for</w:t>
      </w:r>
      <w:r>
        <w:rPr>
          <w:spacing w:val="-57"/>
        </w:rPr>
        <w:t> </w:t>
      </w:r>
      <w:r>
        <w:rPr/>
        <w:t>both fixed-pinned and fixed-fixed end conditions.</w:t>
      </w:r>
      <w:r>
        <w:rPr>
          <w:spacing w:val="1"/>
        </w:rPr>
        <w:t> </w:t>
      </w:r>
      <w:r>
        <w:rPr/>
        <w:t>For the simply supported condition, all</w:t>
      </w:r>
      <w:r>
        <w:rPr>
          <w:spacing w:val="-57"/>
        </w:rPr>
        <w:t> </w:t>
      </w:r>
      <w:r>
        <w:rPr/>
        <w:t>grades of CLT investigated were found to have a failure response in flexure in the</w:t>
      </w:r>
      <w:r>
        <w:rPr>
          <w:spacing w:val="1"/>
        </w:rPr>
        <w:t> </w:t>
      </w:r>
      <w:r>
        <w:rPr/>
        <w:t>development of the resistance function.</w:t>
      </w:r>
      <w:r>
        <w:rPr>
          <w:spacing w:val="1"/>
        </w:rPr>
        <w:t> </w:t>
      </w:r>
      <w:r>
        <w:rPr/>
        <w:t>This shear failure response corresponds with a</w:t>
      </w:r>
      <w:r>
        <w:rPr>
          <w:spacing w:val="1"/>
        </w:rPr>
        <w:t> </w:t>
      </w:r>
      <w:r>
        <w:rPr/>
        <w:t>lower</w:t>
      </w:r>
      <w:r>
        <w:rPr>
          <w:spacing w:val="-13"/>
        </w:rPr>
        <w:t> </w:t>
      </w:r>
      <w:r>
        <w:rPr/>
        <w:t>required</w:t>
      </w:r>
      <w:r>
        <w:rPr>
          <w:spacing w:val="-13"/>
        </w:rPr>
        <w:t> </w:t>
      </w:r>
      <w:r>
        <w:rPr/>
        <w:t>shear</w:t>
      </w:r>
      <w:r>
        <w:rPr>
          <w:spacing w:val="-13"/>
        </w:rPr>
        <w:t> </w:t>
      </w:r>
      <w:r>
        <w:rPr/>
        <w:t>strength</w:t>
      </w:r>
      <w:r>
        <w:rPr>
          <w:spacing w:val="-13"/>
        </w:rPr>
        <w:t> </w:t>
      </w:r>
      <w:r>
        <w:rPr/>
        <w:t>for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E1</w:t>
      </w:r>
      <w:r>
        <w:rPr>
          <w:spacing w:val="-13"/>
        </w:rPr>
        <w:t> </w:t>
      </w:r>
      <w:r>
        <w:rPr/>
        <w:t>graded</w:t>
      </w:r>
      <w:r>
        <w:rPr>
          <w:spacing w:val="-13"/>
        </w:rPr>
        <w:t> </w:t>
      </w:r>
      <w:r>
        <w:rPr/>
        <w:t>CLT</w:t>
      </w:r>
      <w:r>
        <w:rPr>
          <w:spacing w:val="-14"/>
        </w:rPr>
        <w:t> </w:t>
      </w:r>
      <w:r>
        <w:rPr/>
        <w:t>panels</w:t>
      </w:r>
      <w:r>
        <w:rPr>
          <w:spacing w:val="-13"/>
        </w:rPr>
        <w:t> </w:t>
      </w:r>
      <w:r>
        <w:rPr/>
        <w:t>per</w:t>
      </w:r>
      <w:r>
        <w:rPr>
          <w:spacing w:val="-13"/>
        </w:rPr>
        <w:t> </w:t>
      </w:r>
      <w:r>
        <w:rPr/>
        <w:t>PRG</w:t>
      </w:r>
      <w:r>
        <w:rPr>
          <w:spacing w:val="-14"/>
        </w:rPr>
        <w:t> </w:t>
      </w:r>
      <w:r>
        <w:rPr/>
        <w:t>320</w:t>
      </w:r>
      <w:r>
        <w:rPr>
          <w:spacing w:val="-11"/>
        </w:rPr>
        <w:t> </w:t>
      </w:r>
      <w:r>
        <w:rPr/>
        <w:t>design</w:t>
      </w:r>
      <w:r>
        <w:rPr>
          <w:spacing w:val="-13"/>
        </w:rPr>
        <w:t> </w:t>
      </w:r>
      <w:r>
        <w:rPr/>
        <w:t>properties.</w:t>
      </w:r>
      <w:r>
        <w:rPr>
          <w:spacing w:val="-58"/>
        </w:rPr>
        <w:t> </w:t>
      </w:r>
      <w:r>
        <w:rPr/>
        <w:t>For</w:t>
      </w:r>
      <w:r>
        <w:rPr>
          <w:spacing w:val="18"/>
        </w:rPr>
        <w:t> </w:t>
      </w:r>
      <w:r>
        <w:rPr/>
        <w:t>the</w:t>
      </w:r>
      <w:r>
        <w:rPr>
          <w:spacing w:val="18"/>
        </w:rPr>
        <w:t> </w:t>
      </w:r>
      <w:r>
        <w:rPr/>
        <w:t>two</w:t>
      </w:r>
      <w:r>
        <w:rPr>
          <w:spacing w:val="18"/>
        </w:rPr>
        <w:t> </w:t>
      </w:r>
      <w:r>
        <w:rPr/>
        <w:t>conditions</w:t>
      </w:r>
      <w:r>
        <w:rPr>
          <w:spacing w:val="18"/>
        </w:rPr>
        <w:t> </w:t>
      </w:r>
      <w:r>
        <w:rPr/>
        <w:t>with</w:t>
      </w:r>
      <w:r>
        <w:rPr>
          <w:spacing w:val="18"/>
        </w:rPr>
        <w:t> </w:t>
      </w:r>
      <w:r>
        <w:rPr/>
        <w:t>E1</w:t>
      </w:r>
      <w:r>
        <w:rPr>
          <w:spacing w:val="18"/>
        </w:rPr>
        <w:t> </w:t>
      </w:r>
      <w:r>
        <w:rPr/>
        <w:t>shear</w:t>
      </w:r>
      <w:r>
        <w:rPr>
          <w:spacing w:val="18"/>
        </w:rPr>
        <w:t> </w:t>
      </w:r>
      <w:r>
        <w:rPr/>
        <w:t>failure</w:t>
      </w:r>
      <w:r>
        <w:rPr>
          <w:spacing w:val="18"/>
        </w:rPr>
        <w:t> </w:t>
      </w:r>
      <w:r>
        <w:rPr/>
        <w:t>response,</w:t>
      </w:r>
      <w:r>
        <w:rPr>
          <w:spacing w:val="18"/>
        </w:rPr>
        <w:t> </w:t>
      </w:r>
      <w:r>
        <w:rPr/>
        <w:t>the</w:t>
      </w:r>
      <w:r>
        <w:rPr>
          <w:spacing w:val="17"/>
        </w:rPr>
        <w:t> </w:t>
      </w:r>
      <w:r>
        <w:rPr/>
        <w:t>displacement</w:t>
      </w:r>
      <w:r>
        <w:rPr>
          <w:spacing w:val="18"/>
        </w:rPr>
        <w:t> </w:t>
      </w:r>
      <w:r>
        <w:rPr/>
        <w:t>values</w:t>
      </w:r>
      <w:r>
        <w:rPr>
          <w:spacing w:val="18"/>
        </w:rPr>
        <w:t> </w:t>
      </w:r>
      <w:r>
        <w:rPr/>
        <w:t>changed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40" w:right="417"/>
        <w:jc w:val="both"/>
      </w:pPr>
      <w:r>
        <w:rPr/>
        <w:t>when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rolling</w:t>
      </w:r>
      <w:r>
        <w:rPr>
          <w:spacing w:val="1"/>
        </w:rPr>
        <w:t> </w:t>
      </w:r>
      <w:r>
        <w:rPr/>
        <w:t>shear</w:t>
      </w:r>
      <w:r>
        <w:rPr>
          <w:spacing w:val="1"/>
        </w:rPr>
        <w:t> </w:t>
      </w:r>
      <w:r>
        <w:rPr/>
        <w:t>response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calculation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displacement</w:t>
      </w:r>
      <w:r>
        <w:rPr>
          <w:spacing w:val="1"/>
        </w:rPr>
        <w:t> </w:t>
      </w:r>
      <w:r>
        <w:rPr/>
        <w:t>predictions for that grade.</w:t>
      </w:r>
      <w:r>
        <w:rPr>
          <w:spacing w:val="1"/>
        </w:rPr>
        <w:t> </w:t>
      </w:r>
      <w:r>
        <w:rPr/>
        <w:t>For fixed-pinned conditions, the values were over-predicted in</w:t>
      </w:r>
      <w:r>
        <w:rPr>
          <w:spacing w:val="-57"/>
        </w:rPr>
        <w:t> </w:t>
      </w:r>
      <w:r>
        <w:rPr/>
        <w:t>the</w:t>
      </w:r>
      <w:r>
        <w:rPr>
          <w:spacing w:val="-8"/>
        </w:rPr>
        <w:t> </w:t>
      </w:r>
      <w:r>
        <w:rPr/>
        <w:t>range</w:t>
      </w:r>
      <w:r>
        <w:rPr>
          <w:spacing w:val="-7"/>
        </w:rPr>
        <w:t> </w:t>
      </w:r>
      <w:r>
        <w:rPr/>
        <w:t>of</w:t>
      </w:r>
      <w:r>
        <w:rPr>
          <w:spacing w:val="-9"/>
        </w:rPr>
        <w:t> </w:t>
      </w:r>
      <w:r>
        <w:rPr/>
        <w:t>almost</w:t>
      </w:r>
      <w:r>
        <w:rPr>
          <w:spacing w:val="-7"/>
        </w:rPr>
        <w:t> </w:t>
      </w:r>
      <w:r>
        <w:rPr/>
        <w:t>42</w:t>
      </w:r>
      <w:r>
        <w:rPr>
          <w:spacing w:val="-9"/>
        </w:rPr>
        <w:t> </w:t>
      </w:r>
      <w:r>
        <w:rPr/>
        <w:t>percent</w:t>
      </w:r>
      <w:r>
        <w:rPr>
          <w:spacing w:val="-7"/>
        </w:rPr>
        <w:t> </w:t>
      </w:r>
      <w:r>
        <w:rPr/>
        <w:t>to</w:t>
      </w:r>
      <w:r>
        <w:rPr>
          <w:spacing w:val="-9"/>
        </w:rPr>
        <w:t> </w:t>
      </w:r>
      <w:r>
        <w:rPr/>
        <w:t>over</w:t>
      </w:r>
      <w:r>
        <w:rPr>
          <w:spacing w:val="-8"/>
        </w:rPr>
        <w:t> </w:t>
      </w:r>
      <w:r>
        <w:rPr/>
        <w:t>75</w:t>
      </w:r>
      <w:r>
        <w:rPr>
          <w:spacing w:val="-9"/>
        </w:rPr>
        <w:t> </w:t>
      </w:r>
      <w:r>
        <w:rPr/>
        <w:t>percent</w:t>
      </w:r>
      <w:r>
        <w:rPr>
          <w:spacing w:val="-7"/>
        </w:rPr>
        <w:t> </w:t>
      </w:r>
      <w:r>
        <w:rPr/>
        <w:t>above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actual</w:t>
      </w:r>
      <w:r>
        <w:rPr>
          <w:spacing w:val="-8"/>
        </w:rPr>
        <w:t> </w:t>
      </w:r>
      <w:r>
        <w:rPr/>
        <w:t>observed</w:t>
      </w:r>
      <w:r>
        <w:rPr>
          <w:spacing w:val="-9"/>
        </w:rPr>
        <w:t> </w:t>
      </w:r>
      <w:r>
        <w:rPr/>
        <w:t>displacements,</w:t>
      </w:r>
      <w:r>
        <w:rPr>
          <w:spacing w:val="-58"/>
        </w:rPr>
        <w:t> </w:t>
      </w:r>
      <w:r>
        <w:rPr>
          <w:spacing w:val="-1"/>
        </w:rPr>
        <w:t>as</w:t>
      </w:r>
      <w:r>
        <w:rPr>
          <w:spacing w:val="-13"/>
        </w:rPr>
        <w:t> </w:t>
      </w:r>
      <w:r>
        <w:rPr>
          <w:spacing w:val="-1"/>
        </w:rPr>
        <w:t>shown</w:t>
      </w:r>
      <w:r>
        <w:rPr>
          <w:spacing w:val="-14"/>
        </w:rPr>
        <w:t> </w:t>
      </w:r>
      <w:r>
        <w:rPr>
          <w:spacing w:val="-1"/>
        </w:rPr>
        <w:t>in</w:t>
      </w:r>
      <w:r>
        <w:rPr>
          <w:spacing w:val="-16"/>
        </w:rPr>
        <w:t> </w:t>
      </w:r>
      <w:hyperlink w:history="true" w:anchor="_bookmark204">
        <w:r>
          <w:rPr>
            <w:spacing w:val="-1"/>
          </w:rPr>
          <w:t>Table</w:t>
        </w:r>
        <w:r>
          <w:rPr>
            <w:spacing w:val="-13"/>
          </w:rPr>
          <w:t> </w:t>
        </w:r>
        <w:r>
          <w:rPr/>
          <w:t>8-11</w:t>
        </w:r>
      </w:hyperlink>
      <w:r>
        <w:rPr/>
        <w:t>.</w:t>
      </w:r>
      <w:r>
        <w:rPr>
          <w:spacing w:val="31"/>
        </w:rPr>
        <w:t> </w:t>
      </w:r>
      <w:r>
        <w:rPr/>
        <w:t>This</w:t>
      </w:r>
      <w:r>
        <w:rPr>
          <w:spacing w:val="-13"/>
        </w:rPr>
        <w:t> </w:t>
      </w:r>
      <w:r>
        <w:rPr/>
        <w:t>high</w:t>
      </w:r>
      <w:r>
        <w:rPr>
          <w:spacing w:val="-14"/>
        </w:rPr>
        <w:t> </w:t>
      </w:r>
      <w:r>
        <w:rPr/>
        <w:t>percentage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over-prediction</w:t>
      </w:r>
      <w:r>
        <w:rPr>
          <w:spacing w:val="-14"/>
        </w:rPr>
        <w:t> </w:t>
      </w:r>
      <w:r>
        <w:rPr/>
        <w:t>indicates</w:t>
      </w:r>
      <w:r>
        <w:rPr>
          <w:spacing w:val="-15"/>
        </w:rPr>
        <w:t> </w:t>
      </w:r>
      <w:r>
        <w:rPr/>
        <w:t>that</w:t>
      </w:r>
      <w:r>
        <w:rPr>
          <w:spacing w:val="-14"/>
        </w:rPr>
        <w:t> </w:t>
      </w:r>
      <w:r>
        <w:rPr/>
        <w:t>the</w:t>
      </w:r>
      <w:r>
        <w:rPr>
          <w:spacing w:val="-15"/>
        </w:rPr>
        <w:t> </w:t>
      </w:r>
      <w:r>
        <w:rPr/>
        <w:t>expected</w:t>
      </w:r>
      <w:r>
        <w:rPr>
          <w:spacing w:val="-57"/>
        </w:rPr>
        <w:t> </w:t>
      </w:r>
      <w:r>
        <w:rPr/>
        <w:t>shear</w:t>
      </w:r>
      <w:r>
        <w:rPr>
          <w:spacing w:val="-6"/>
        </w:rPr>
        <w:t> </w:t>
      </w:r>
      <w:r>
        <w:rPr/>
        <w:t>response</w:t>
      </w:r>
      <w:r>
        <w:rPr>
          <w:spacing w:val="-6"/>
        </w:rPr>
        <w:t> </w:t>
      </w:r>
      <w:r>
        <w:rPr/>
        <w:t>was</w:t>
      </w:r>
      <w:r>
        <w:rPr>
          <w:spacing w:val="-6"/>
        </w:rPr>
        <w:t> </w:t>
      </w:r>
      <w:r>
        <w:rPr/>
        <w:t>likely</w:t>
      </w:r>
      <w:r>
        <w:rPr>
          <w:spacing w:val="-6"/>
        </w:rPr>
        <w:t> </w:t>
      </w:r>
      <w:r>
        <w:rPr/>
        <w:t>not</w:t>
      </w:r>
      <w:r>
        <w:rPr>
          <w:spacing w:val="-6"/>
        </w:rPr>
        <w:t> </w:t>
      </w:r>
      <w:r>
        <w:rPr/>
        <w:t>experienced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actual</w:t>
      </w:r>
      <w:r>
        <w:rPr>
          <w:spacing w:val="-6"/>
        </w:rPr>
        <w:t> </w:t>
      </w:r>
      <w:r>
        <w:rPr/>
        <w:t>testing.</w:t>
      </w:r>
      <w:r>
        <w:rPr>
          <w:spacing w:val="48"/>
        </w:rPr>
        <w:t> </w:t>
      </w:r>
      <w:r>
        <w:rPr/>
        <w:t>One</w:t>
      </w:r>
      <w:r>
        <w:rPr>
          <w:spacing w:val="-5"/>
        </w:rPr>
        <w:t> </w:t>
      </w:r>
      <w:r>
        <w:rPr/>
        <w:t>reason</w:t>
      </w:r>
      <w:r>
        <w:rPr>
          <w:spacing w:val="-6"/>
        </w:rPr>
        <w:t> </w:t>
      </w:r>
      <w:r>
        <w:rPr/>
        <w:t>that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rolling</w:t>
      </w:r>
      <w:r>
        <w:rPr>
          <w:spacing w:val="-58"/>
        </w:rPr>
        <w:t> </w:t>
      </w:r>
      <w:r>
        <w:rPr/>
        <w:t>shear failure was not experienced may be attributed to the panel edge connections to the</w:t>
      </w:r>
      <w:r>
        <w:rPr>
          <w:spacing w:val="1"/>
        </w:rPr>
        <w:t> </w:t>
      </w:r>
      <w:r>
        <w:rPr/>
        <w:t>side</w:t>
      </w:r>
      <w:r>
        <w:rPr>
          <w:spacing w:val="-1"/>
        </w:rPr>
        <w:t> </w:t>
      </w:r>
      <w:r>
        <w:rPr/>
        <w:t>walls.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34"/>
        </w:rPr>
      </w:pPr>
    </w:p>
    <w:p>
      <w:pPr>
        <w:spacing w:before="0"/>
        <w:ind w:left="440" w:right="1010" w:firstLine="0"/>
        <w:jc w:val="left"/>
        <w:rPr>
          <w:i/>
          <w:sz w:val="24"/>
        </w:rPr>
      </w:pPr>
      <w:bookmarkStart w:name="_bookmark203" w:id="572"/>
      <w:bookmarkEnd w:id="572"/>
      <w:r>
        <w:rPr/>
      </w:r>
      <w:r>
        <w:rPr>
          <w:i/>
          <w:sz w:val="24"/>
        </w:rPr>
        <w:t>Table 8-10. Governing failure response for resistance function for fixed-pinned and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fixed-fixed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end conditions.</w:t>
      </w:r>
    </w:p>
    <w:p>
      <w:pPr>
        <w:pStyle w:val="BodyText"/>
        <w:spacing w:before="5" w:after="1"/>
        <w:rPr>
          <w:i/>
          <w:sz w:val="17"/>
        </w:rPr>
      </w:pPr>
    </w:p>
    <w:tbl>
      <w:tblPr>
        <w:tblW w:w="0" w:type="auto"/>
        <w:jc w:val="left"/>
        <w:tblInd w:w="4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60"/>
        <w:gridCol w:w="959"/>
        <w:gridCol w:w="1473"/>
        <w:gridCol w:w="1555"/>
        <w:gridCol w:w="1711"/>
        <w:gridCol w:w="1801"/>
      </w:tblGrid>
      <w:tr>
        <w:trPr>
          <w:trHeight w:val="299" w:hRule="atLeast"/>
        </w:trPr>
        <w:tc>
          <w:tcPr>
            <w:tcW w:w="960" w:type="dxa"/>
            <w:vMerge w:val="restart"/>
            <w:shd w:val="clear" w:color="auto" w:fill="C0C0C0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line="234" w:lineRule="exact" w:before="178"/>
              <w:ind w:left="278"/>
              <w:rPr>
                <w:sz w:val="22"/>
              </w:rPr>
            </w:pPr>
            <w:r>
              <w:rPr>
                <w:sz w:val="22"/>
              </w:rPr>
              <w:t>Shot</w:t>
            </w:r>
          </w:p>
        </w:tc>
        <w:tc>
          <w:tcPr>
            <w:tcW w:w="959" w:type="dxa"/>
            <w:vMerge w:val="restart"/>
            <w:shd w:val="clear" w:color="auto" w:fill="C0C0C0"/>
          </w:tcPr>
          <w:p>
            <w:pPr>
              <w:pStyle w:val="TableParagraph"/>
              <w:spacing w:before="5"/>
              <w:rPr>
                <w:i/>
                <w:sz w:val="19"/>
              </w:rPr>
            </w:pPr>
          </w:p>
          <w:p>
            <w:pPr>
              <w:pStyle w:val="TableParagraph"/>
              <w:ind w:left="265"/>
              <w:rPr>
                <w:sz w:val="22"/>
              </w:rPr>
            </w:pPr>
            <w:r>
              <w:rPr>
                <w:sz w:val="22"/>
              </w:rPr>
              <w:t>TNT</w:t>
            </w:r>
          </w:p>
          <w:p>
            <w:pPr>
              <w:pStyle w:val="TableParagraph"/>
              <w:spacing w:line="250" w:lineRule="atLeast"/>
              <w:ind w:left="292" w:right="127" w:hanging="138"/>
              <w:rPr>
                <w:sz w:val="22"/>
              </w:rPr>
            </w:pPr>
            <w:r>
              <w:rPr>
                <w:sz w:val="22"/>
              </w:rPr>
              <w:t>Weight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[lb.]</w:t>
            </w:r>
          </w:p>
        </w:tc>
        <w:tc>
          <w:tcPr>
            <w:tcW w:w="6540" w:type="dxa"/>
            <w:gridSpan w:val="4"/>
            <w:shd w:val="clear" w:color="auto" w:fill="C0C0C0"/>
          </w:tcPr>
          <w:p>
            <w:pPr>
              <w:pStyle w:val="TableParagraph"/>
              <w:spacing w:line="234" w:lineRule="exact" w:before="45"/>
              <w:ind w:left="823" w:right="817"/>
              <w:jc w:val="center"/>
              <w:rPr>
                <w:sz w:val="22"/>
              </w:rPr>
            </w:pPr>
            <w:r>
              <w:rPr>
                <w:sz w:val="22"/>
              </w:rPr>
              <w:t>CLT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grade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-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fixed-pinned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&amp;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fixed-fixed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end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conditions</w:t>
            </w:r>
          </w:p>
        </w:tc>
      </w:tr>
      <w:tr>
        <w:trPr>
          <w:trHeight w:val="675" w:hRule="atLeast"/>
        </w:trPr>
        <w:tc>
          <w:tcPr>
            <w:tcW w:w="960" w:type="dxa"/>
            <w:vMerge/>
            <w:tcBorders>
              <w:top w:val="nil"/>
            </w:tcBorders>
            <w:shd w:val="clear" w:color="auto" w:fill="C0C0C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59" w:type="dxa"/>
            <w:vMerge/>
            <w:tcBorders>
              <w:top w:val="nil"/>
            </w:tcBorders>
            <w:shd w:val="clear" w:color="auto" w:fill="C0C0C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73" w:type="dxa"/>
            <w:shd w:val="clear" w:color="auto" w:fill="C0C0C0"/>
          </w:tcPr>
          <w:p>
            <w:pPr>
              <w:pStyle w:val="TableParagraph"/>
              <w:spacing w:before="209"/>
              <w:ind w:left="482" w:right="475"/>
              <w:jc w:val="center"/>
              <w:rPr>
                <w:sz w:val="22"/>
              </w:rPr>
            </w:pPr>
            <w:r>
              <w:rPr>
                <w:sz w:val="22"/>
              </w:rPr>
              <w:t>E1</w:t>
            </w:r>
          </w:p>
        </w:tc>
        <w:tc>
          <w:tcPr>
            <w:tcW w:w="1555" w:type="dxa"/>
            <w:shd w:val="clear" w:color="auto" w:fill="C0C0C0"/>
          </w:tcPr>
          <w:p>
            <w:pPr>
              <w:pStyle w:val="TableParagraph"/>
              <w:spacing w:before="209"/>
              <w:ind w:left="441" w:right="437"/>
              <w:jc w:val="center"/>
              <w:rPr>
                <w:sz w:val="22"/>
              </w:rPr>
            </w:pPr>
            <w:r>
              <w:rPr>
                <w:sz w:val="22"/>
              </w:rPr>
              <w:t>V1</w:t>
            </w:r>
          </w:p>
        </w:tc>
        <w:tc>
          <w:tcPr>
            <w:tcW w:w="1711" w:type="dxa"/>
            <w:shd w:val="clear" w:color="auto" w:fill="C0C0C0"/>
          </w:tcPr>
          <w:p>
            <w:pPr>
              <w:pStyle w:val="TableParagraph"/>
              <w:spacing w:before="209"/>
              <w:ind w:left="103" w:right="101"/>
              <w:jc w:val="center"/>
              <w:rPr>
                <w:sz w:val="22"/>
              </w:rPr>
            </w:pPr>
            <w:r>
              <w:rPr>
                <w:sz w:val="22"/>
              </w:rPr>
              <w:t>V4</w:t>
            </w:r>
          </w:p>
        </w:tc>
        <w:tc>
          <w:tcPr>
            <w:tcW w:w="1801" w:type="dxa"/>
            <w:shd w:val="clear" w:color="auto" w:fill="C0C0C0"/>
          </w:tcPr>
          <w:p>
            <w:pPr>
              <w:pStyle w:val="TableParagraph"/>
              <w:spacing w:before="209"/>
              <w:ind w:left="564" w:right="562"/>
              <w:jc w:val="center"/>
              <w:rPr>
                <w:sz w:val="22"/>
              </w:rPr>
            </w:pPr>
            <w:r>
              <w:rPr>
                <w:sz w:val="22"/>
              </w:rPr>
              <w:t>V3</w:t>
            </w:r>
          </w:p>
        </w:tc>
      </w:tr>
      <w:tr>
        <w:trPr>
          <w:trHeight w:val="299" w:hRule="atLeast"/>
        </w:trPr>
        <w:tc>
          <w:tcPr>
            <w:tcW w:w="960" w:type="dxa"/>
          </w:tcPr>
          <w:p>
            <w:pPr>
              <w:pStyle w:val="TableParagraph"/>
              <w:spacing w:line="234" w:lineRule="exact" w:before="45"/>
              <w:ind w:left="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1</w:t>
            </w:r>
          </w:p>
        </w:tc>
        <w:tc>
          <w:tcPr>
            <w:tcW w:w="959" w:type="dxa"/>
          </w:tcPr>
          <w:p>
            <w:pPr>
              <w:pStyle w:val="TableParagraph"/>
              <w:spacing w:line="234" w:lineRule="exact" w:before="45"/>
              <w:ind w:left="179" w:right="169"/>
              <w:jc w:val="center"/>
              <w:rPr>
                <w:sz w:val="22"/>
              </w:rPr>
            </w:pPr>
            <w:r>
              <w:rPr>
                <w:sz w:val="22"/>
              </w:rPr>
              <w:t>32</w:t>
            </w:r>
          </w:p>
        </w:tc>
        <w:tc>
          <w:tcPr>
            <w:tcW w:w="1473" w:type="dxa"/>
          </w:tcPr>
          <w:p>
            <w:pPr>
              <w:pStyle w:val="TableParagraph"/>
              <w:spacing w:line="234" w:lineRule="exact" w:before="45"/>
              <w:ind w:left="482" w:right="475"/>
              <w:jc w:val="center"/>
              <w:rPr>
                <w:sz w:val="22"/>
              </w:rPr>
            </w:pPr>
            <w:r>
              <w:rPr>
                <w:sz w:val="22"/>
              </w:rPr>
              <w:t>shear</w:t>
            </w:r>
          </w:p>
        </w:tc>
        <w:tc>
          <w:tcPr>
            <w:tcW w:w="1555" w:type="dxa"/>
          </w:tcPr>
          <w:p>
            <w:pPr>
              <w:pStyle w:val="TableParagraph"/>
              <w:spacing w:line="234" w:lineRule="exact" w:before="45"/>
              <w:ind w:left="444" w:right="437"/>
              <w:jc w:val="center"/>
              <w:rPr>
                <w:sz w:val="22"/>
              </w:rPr>
            </w:pPr>
            <w:r>
              <w:rPr>
                <w:sz w:val="22"/>
              </w:rPr>
              <w:t>flexure</w:t>
            </w:r>
          </w:p>
        </w:tc>
        <w:tc>
          <w:tcPr>
            <w:tcW w:w="1711" w:type="dxa"/>
          </w:tcPr>
          <w:p>
            <w:pPr>
              <w:pStyle w:val="TableParagraph"/>
              <w:spacing w:line="234" w:lineRule="exact" w:before="45"/>
              <w:ind w:left="106" w:right="101"/>
              <w:jc w:val="center"/>
              <w:rPr>
                <w:sz w:val="22"/>
              </w:rPr>
            </w:pPr>
            <w:r>
              <w:rPr>
                <w:sz w:val="22"/>
              </w:rPr>
              <w:t>flexure</w:t>
            </w:r>
          </w:p>
        </w:tc>
        <w:tc>
          <w:tcPr>
            <w:tcW w:w="1801" w:type="dxa"/>
          </w:tcPr>
          <w:p>
            <w:pPr>
              <w:pStyle w:val="TableParagraph"/>
              <w:spacing w:line="234" w:lineRule="exact" w:before="45"/>
              <w:ind w:left="564" w:right="563"/>
              <w:jc w:val="center"/>
              <w:rPr>
                <w:sz w:val="22"/>
              </w:rPr>
            </w:pPr>
            <w:r>
              <w:rPr>
                <w:sz w:val="22"/>
              </w:rPr>
              <w:t>flexure</w:t>
            </w:r>
          </w:p>
        </w:tc>
      </w:tr>
      <w:tr>
        <w:trPr>
          <w:trHeight w:val="299" w:hRule="atLeast"/>
        </w:trPr>
        <w:tc>
          <w:tcPr>
            <w:tcW w:w="960" w:type="dxa"/>
          </w:tcPr>
          <w:p>
            <w:pPr>
              <w:pStyle w:val="TableParagraph"/>
              <w:spacing w:line="234" w:lineRule="exact" w:before="45"/>
              <w:ind w:left="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2</w:t>
            </w:r>
          </w:p>
        </w:tc>
        <w:tc>
          <w:tcPr>
            <w:tcW w:w="959" w:type="dxa"/>
          </w:tcPr>
          <w:p>
            <w:pPr>
              <w:pStyle w:val="TableParagraph"/>
              <w:spacing w:line="234" w:lineRule="exact" w:before="45"/>
              <w:ind w:left="179" w:right="169"/>
              <w:jc w:val="center"/>
              <w:rPr>
                <w:sz w:val="22"/>
              </w:rPr>
            </w:pPr>
            <w:r>
              <w:rPr>
                <w:sz w:val="22"/>
              </w:rPr>
              <w:t>67</w:t>
            </w:r>
          </w:p>
        </w:tc>
        <w:tc>
          <w:tcPr>
            <w:tcW w:w="1473" w:type="dxa"/>
          </w:tcPr>
          <w:p>
            <w:pPr>
              <w:pStyle w:val="TableParagraph"/>
              <w:spacing w:line="234" w:lineRule="exact" w:before="45"/>
              <w:ind w:left="482" w:right="475"/>
              <w:jc w:val="center"/>
              <w:rPr>
                <w:sz w:val="22"/>
              </w:rPr>
            </w:pPr>
            <w:r>
              <w:rPr>
                <w:sz w:val="22"/>
              </w:rPr>
              <w:t>shear</w:t>
            </w:r>
          </w:p>
        </w:tc>
        <w:tc>
          <w:tcPr>
            <w:tcW w:w="1555" w:type="dxa"/>
          </w:tcPr>
          <w:p>
            <w:pPr>
              <w:pStyle w:val="TableParagraph"/>
              <w:spacing w:line="234" w:lineRule="exact" w:before="45"/>
              <w:ind w:left="444" w:right="437"/>
              <w:jc w:val="center"/>
              <w:rPr>
                <w:sz w:val="22"/>
              </w:rPr>
            </w:pPr>
            <w:r>
              <w:rPr>
                <w:sz w:val="22"/>
              </w:rPr>
              <w:t>flexure</w:t>
            </w:r>
          </w:p>
        </w:tc>
        <w:tc>
          <w:tcPr>
            <w:tcW w:w="1711" w:type="dxa"/>
          </w:tcPr>
          <w:p>
            <w:pPr>
              <w:pStyle w:val="TableParagraph"/>
              <w:spacing w:line="234" w:lineRule="exact" w:before="45"/>
              <w:ind w:left="106" w:right="101"/>
              <w:jc w:val="center"/>
              <w:rPr>
                <w:sz w:val="22"/>
              </w:rPr>
            </w:pPr>
            <w:r>
              <w:rPr>
                <w:sz w:val="22"/>
              </w:rPr>
              <w:t>flexure</w:t>
            </w:r>
          </w:p>
        </w:tc>
        <w:tc>
          <w:tcPr>
            <w:tcW w:w="1801" w:type="dxa"/>
          </w:tcPr>
          <w:p>
            <w:pPr>
              <w:pStyle w:val="TableParagraph"/>
              <w:spacing w:line="234" w:lineRule="exact" w:before="45"/>
              <w:ind w:left="564" w:right="563"/>
              <w:jc w:val="center"/>
              <w:rPr>
                <w:sz w:val="22"/>
              </w:rPr>
            </w:pPr>
            <w:r>
              <w:rPr>
                <w:sz w:val="22"/>
              </w:rPr>
              <w:t>flexure</w:t>
            </w:r>
          </w:p>
        </w:tc>
      </w:tr>
      <w:tr>
        <w:trPr>
          <w:trHeight w:val="300" w:hRule="atLeast"/>
        </w:trPr>
        <w:tc>
          <w:tcPr>
            <w:tcW w:w="960" w:type="dxa"/>
          </w:tcPr>
          <w:p>
            <w:pPr>
              <w:pStyle w:val="TableParagraph"/>
              <w:spacing w:line="234" w:lineRule="exact" w:before="46"/>
              <w:ind w:left="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3</w:t>
            </w:r>
          </w:p>
        </w:tc>
        <w:tc>
          <w:tcPr>
            <w:tcW w:w="959" w:type="dxa"/>
          </w:tcPr>
          <w:p>
            <w:pPr>
              <w:pStyle w:val="TableParagraph"/>
              <w:spacing w:line="234" w:lineRule="exact" w:before="46"/>
              <w:ind w:left="179" w:right="169"/>
              <w:jc w:val="center"/>
              <w:rPr>
                <w:sz w:val="22"/>
              </w:rPr>
            </w:pPr>
            <w:r>
              <w:rPr>
                <w:sz w:val="22"/>
              </w:rPr>
              <w:t>199</w:t>
            </w:r>
          </w:p>
        </w:tc>
        <w:tc>
          <w:tcPr>
            <w:tcW w:w="1473" w:type="dxa"/>
          </w:tcPr>
          <w:p>
            <w:pPr>
              <w:pStyle w:val="TableParagraph"/>
              <w:spacing w:line="234" w:lineRule="exact" w:before="46"/>
              <w:ind w:left="482" w:right="475"/>
              <w:jc w:val="center"/>
              <w:rPr>
                <w:sz w:val="22"/>
              </w:rPr>
            </w:pPr>
            <w:r>
              <w:rPr>
                <w:sz w:val="22"/>
              </w:rPr>
              <w:t>shear</w:t>
            </w:r>
          </w:p>
        </w:tc>
        <w:tc>
          <w:tcPr>
            <w:tcW w:w="1555" w:type="dxa"/>
          </w:tcPr>
          <w:p>
            <w:pPr>
              <w:pStyle w:val="TableParagraph"/>
              <w:spacing w:line="234" w:lineRule="exact" w:before="46"/>
              <w:ind w:left="444" w:right="437"/>
              <w:jc w:val="center"/>
              <w:rPr>
                <w:sz w:val="22"/>
              </w:rPr>
            </w:pPr>
            <w:r>
              <w:rPr>
                <w:sz w:val="22"/>
              </w:rPr>
              <w:t>flexure</w:t>
            </w:r>
          </w:p>
        </w:tc>
        <w:tc>
          <w:tcPr>
            <w:tcW w:w="1711" w:type="dxa"/>
          </w:tcPr>
          <w:p>
            <w:pPr>
              <w:pStyle w:val="TableParagraph"/>
              <w:spacing w:line="234" w:lineRule="exact" w:before="46"/>
              <w:ind w:left="106" w:right="101"/>
              <w:jc w:val="center"/>
              <w:rPr>
                <w:sz w:val="22"/>
              </w:rPr>
            </w:pPr>
            <w:r>
              <w:rPr>
                <w:sz w:val="22"/>
              </w:rPr>
              <w:t>flexure</w:t>
            </w:r>
          </w:p>
        </w:tc>
        <w:tc>
          <w:tcPr>
            <w:tcW w:w="1801" w:type="dxa"/>
          </w:tcPr>
          <w:p>
            <w:pPr>
              <w:pStyle w:val="TableParagraph"/>
              <w:spacing w:line="234" w:lineRule="exact" w:before="46"/>
              <w:ind w:left="564" w:right="563"/>
              <w:jc w:val="center"/>
              <w:rPr>
                <w:sz w:val="22"/>
              </w:rPr>
            </w:pPr>
            <w:r>
              <w:rPr>
                <w:sz w:val="22"/>
              </w:rPr>
              <w:t>flexure</w:t>
            </w:r>
          </w:p>
        </w:tc>
      </w:tr>
    </w:tbl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9"/>
        <w:rPr>
          <w:i/>
          <w:sz w:val="35"/>
        </w:rPr>
      </w:pPr>
    </w:p>
    <w:p>
      <w:pPr>
        <w:spacing w:before="0"/>
        <w:ind w:left="440" w:right="403" w:firstLine="0"/>
        <w:jc w:val="left"/>
        <w:rPr>
          <w:i/>
          <w:sz w:val="24"/>
        </w:rPr>
      </w:pPr>
      <w:bookmarkStart w:name="_bookmark204" w:id="573"/>
      <w:bookmarkEnd w:id="573"/>
      <w:r>
        <w:rPr/>
      </w:r>
      <w:r>
        <w:rPr>
          <w:i/>
          <w:sz w:val="24"/>
        </w:rPr>
        <w:t>Table</w:t>
      </w:r>
      <w:r>
        <w:rPr>
          <w:i/>
          <w:spacing w:val="-12"/>
          <w:sz w:val="24"/>
        </w:rPr>
        <w:t> </w:t>
      </w:r>
      <w:r>
        <w:rPr>
          <w:i/>
          <w:sz w:val="24"/>
        </w:rPr>
        <w:t>8-11.</w:t>
      </w:r>
      <w:r>
        <w:rPr>
          <w:i/>
          <w:spacing w:val="-12"/>
          <w:sz w:val="24"/>
        </w:rPr>
        <w:t> </w:t>
      </w:r>
      <w:r>
        <w:rPr>
          <w:i/>
          <w:sz w:val="24"/>
        </w:rPr>
        <w:t>Displacement</w:t>
      </w:r>
      <w:r>
        <w:rPr>
          <w:i/>
          <w:spacing w:val="-11"/>
          <w:sz w:val="24"/>
        </w:rPr>
        <w:t> </w:t>
      </w:r>
      <w:r>
        <w:rPr>
          <w:i/>
          <w:sz w:val="24"/>
        </w:rPr>
        <w:t>values</w:t>
      </w:r>
      <w:r>
        <w:rPr>
          <w:i/>
          <w:spacing w:val="-12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12"/>
          <w:sz w:val="24"/>
        </w:rPr>
        <w:t> </w:t>
      </w:r>
      <w:r>
        <w:rPr>
          <w:i/>
          <w:sz w:val="24"/>
        </w:rPr>
        <w:t>E1</w:t>
      </w:r>
      <w:r>
        <w:rPr>
          <w:i/>
          <w:spacing w:val="-11"/>
          <w:sz w:val="24"/>
        </w:rPr>
        <w:t> </w:t>
      </w:r>
      <w:r>
        <w:rPr>
          <w:i/>
          <w:sz w:val="24"/>
        </w:rPr>
        <w:t>CLT</w:t>
      </w:r>
      <w:r>
        <w:rPr>
          <w:i/>
          <w:spacing w:val="-12"/>
          <w:sz w:val="24"/>
        </w:rPr>
        <w:t> </w:t>
      </w:r>
      <w:r>
        <w:rPr>
          <w:i/>
          <w:sz w:val="24"/>
        </w:rPr>
        <w:t>based</w:t>
      </w:r>
      <w:r>
        <w:rPr>
          <w:i/>
          <w:spacing w:val="-11"/>
          <w:sz w:val="24"/>
        </w:rPr>
        <w:t> </w:t>
      </w:r>
      <w:r>
        <w:rPr>
          <w:i/>
          <w:sz w:val="24"/>
        </w:rPr>
        <w:t>on</w:t>
      </w:r>
      <w:r>
        <w:rPr>
          <w:i/>
          <w:spacing w:val="-11"/>
          <w:sz w:val="24"/>
        </w:rPr>
        <w:t> </w:t>
      </w:r>
      <w:r>
        <w:rPr>
          <w:i/>
          <w:sz w:val="24"/>
        </w:rPr>
        <w:t>shear</w:t>
      </w:r>
      <w:r>
        <w:rPr>
          <w:i/>
          <w:spacing w:val="-13"/>
          <w:sz w:val="24"/>
        </w:rPr>
        <w:t> </w:t>
      </w:r>
      <w:r>
        <w:rPr>
          <w:i/>
          <w:sz w:val="24"/>
        </w:rPr>
        <w:t>failure</w:t>
      </w:r>
      <w:r>
        <w:rPr>
          <w:i/>
          <w:spacing w:val="-12"/>
          <w:sz w:val="24"/>
        </w:rPr>
        <w:t> </w:t>
      </w:r>
      <w:r>
        <w:rPr>
          <w:i/>
          <w:sz w:val="24"/>
        </w:rPr>
        <w:t>response,</w:t>
      </w:r>
      <w:r>
        <w:rPr>
          <w:i/>
          <w:spacing w:val="-11"/>
          <w:sz w:val="24"/>
        </w:rPr>
        <w:t> </w:t>
      </w:r>
      <w:r>
        <w:rPr>
          <w:i/>
          <w:sz w:val="24"/>
        </w:rPr>
        <w:t>fixed-pinned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end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conditions.</w:t>
      </w:r>
    </w:p>
    <w:p>
      <w:pPr>
        <w:pStyle w:val="BodyText"/>
        <w:spacing w:before="4"/>
        <w:rPr>
          <w:i/>
          <w:sz w:val="17"/>
        </w:rPr>
      </w:pPr>
    </w:p>
    <w:tbl>
      <w:tblPr>
        <w:tblW w:w="0" w:type="auto"/>
        <w:jc w:val="left"/>
        <w:tblInd w:w="4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20"/>
        <w:gridCol w:w="900"/>
        <w:gridCol w:w="1555"/>
        <w:gridCol w:w="1616"/>
        <w:gridCol w:w="1162"/>
        <w:gridCol w:w="1612"/>
        <w:gridCol w:w="1162"/>
      </w:tblGrid>
      <w:tr>
        <w:trPr>
          <w:trHeight w:val="1265" w:hRule="atLeast"/>
        </w:trPr>
        <w:tc>
          <w:tcPr>
            <w:tcW w:w="620" w:type="dxa"/>
            <w:vMerge w:val="restart"/>
            <w:shd w:val="clear" w:color="auto" w:fill="C0C0C0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4"/>
              <w:rPr>
                <w:i/>
                <w:sz w:val="33"/>
              </w:rPr>
            </w:pPr>
          </w:p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Shot</w:t>
            </w:r>
          </w:p>
        </w:tc>
        <w:tc>
          <w:tcPr>
            <w:tcW w:w="900" w:type="dxa"/>
            <w:vMerge w:val="restart"/>
            <w:shd w:val="clear" w:color="auto" w:fill="C0C0C0"/>
          </w:tcPr>
          <w:p>
            <w:pPr>
              <w:pStyle w:val="TableParagraph"/>
              <w:spacing w:before="3"/>
              <w:rPr>
                <w:i/>
                <w:sz w:val="35"/>
              </w:rPr>
            </w:pPr>
          </w:p>
          <w:p>
            <w:pPr>
              <w:pStyle w:val="TableParagraph"/>
              <w:spacing w:before="1"/>
              <w:ind w:left="236"/>
              <w:rPr>
                <w:sz w:val="22"/>
              </w:rPr>
            </w:pPr>
            <w:r>
              <w:rPr>
                <w:sz w:val="22"/>
              </w:rPr>
              <w:t>TNT</w:t>
            </w:r>
          </w:p>
          <w:p>
            <w:pPr>
              <w:pStyle w:val="TableParagraph"/>
              <w:ind w:left="263" w:right="96" w:hanging="137"/>
              <w:rPr>
                <w:sz w:val="22"/>
              </w:rPr>
            </w:pPr>
            <w:r>
              <w:rPr>
                <w:sz w:val="22"/>
              </w:rPr>
              <w:t>Weight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[lb.]</w:t>
            </w:r>
          </w:p>
        </w:tc>
        <w:tc>
          <w:tcPr>
            <w:tcW w:w="1555" w:type="dxa"/>
            <w:shd w:val="clear" w:color="auto" w:fill="C0C0C0"/>
          </w:tcPr>
          <w:p>
            <w:pPr>
              <w:pStyle w:val="TableParagraph"/>
              <w:spacing w:line="254" w:lineRule="exact"/>
              <w:ind w:left="196" w:right="185" w:firstLine="1"/>
              <w:jc w:val="center"/>
              <w:rPr>
                <w:sz w:val="22"/>
              </w:rPr>
            </w:pPr>
            <w:r>
              <w:rPr>
                <w:sz w:val="22"/>
              </w:rPr>
              <w:t>Inbound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1"/>
                <w:sz w:val="22"/>
              </w:rPr>
              <w:t>displacement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(gauge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recorded)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[in]</w:t>
            </w:r>
          </w:p>
        </w:tc>
        <w:tc>
          <w:tcPr>
            <w:tcW w:w="1616" w:type="dxa"/>
            <w:shd w:val="clear" w:color="auto" w:fill="C0C0C0"/>
          </w:tcPr>
          <w:p>
            <w:pPr>
              <w:pStyle w:val="TableParagraph"/>
              <w:spacing w:line="254" w:lineRule="exact"/>
              <w:ind w:left="139" w:right="125"/>
              <w:jc w:val="center"/>
              <w:rPr>
                <w:sz w:val="22"/>
              </w:rPr>
            </w:pPr>
            <w:r>
              <w:rPr>
                <w:sz w:val="22"/>
              </w:rPr>
              <w:t>SDOF inbound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model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displacement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(UFC loads)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[in]</w:t>
            </w:r>
          </w:p>
        </w:tc>
        <w:tc>
          <w:tcPr>
            <w:tcW w:w="1162" w:type="dxa"/>
            <w:shd w:val="clear" w:color="auto" w:fill="C0C0C0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line="250" w:lineRule="atLeast" w:before="187"/>
              <w:ind w:left="136" w:right="114" w:firstLine="116"/>
              <w:rPr>
                <w:sz w:val="22"/>
              </w:rPr>
            </w:pPr>
            <w:r>
              <w:rPr>
                <w:sz w:val="22"/>
              </w:rPr>
              <w:t>Percent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1"/>
                <w:sz w:val="22"/>
              </w:rPr>
              <w:t>difference</w:t>
            </w:r>
          </w:p>
        </w:tc>
        <w:tc>
          <w:tcPr>
            <w:tcW w:w="1612" w:type="dxa"/>
            <w:shd w:val="clear" w:color="auto" w:fill="C0C0C0"/>
          </w:tcPr>
          <w:p>
            <w:pPr>
              <w:pStyle w:val="TableParagraph"/>
              <w:spacing w:line="254" w:lineRule="exact"/>
              <w:ind w:left="137" w:right="123"/>
              <w:jc w:val="center"/>
              <w:rPr>
                <w:sz w:val="22"/>
              </w:rPr>
            </w:pPr>
            <w:r>
              <w:rPr>
                <w:sz w:val="22"/>
              </w:rPr>
              <w:t>SDOF inbound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model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displacement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(field</w:t>
            </w:r>
            <w:r>
              <w:rPr>
                <w:spacing w:val="55"/>
                <w:sz w:val="22"/>
              </w:rPr>
              <w:t> </w:t>
            </w:r>
            <w:r>
              <w:rPr>
                <w:sz w:val="22"/>
              </w:rPr>
              <w:t>data)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[in]</w:t>
            </w:r>
          </w:p>
        </w:tc>
        <w:tc>
          <w:tcPr>
            <w:tcW w:w="1162" w:type="dxa"/>
            <w:shd w:val="clear" w:color="auto" w:fill="C0C0C0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line="250" w:lineRule="atLeast" w:before="187"/>
              <w:ind w:left="137" w:right="113" w:firstLine="116"/>
              <w:rPr>
                <w:sz w:val="22"/>
              </w:rPr>
            </w:pPr>
            <w:r>
              <w:rPr>
                <w:sz w:val="22"/>
              </w:rPr>
              <w:t>Percent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1"/>
                <w:sz w:val="22"/>
              </w:rPr>
              <w:t>difference</w:t>
            </w:r>
          </w:p>
        </w:tc>
      </w:tr>
      <w:tr>
        <w:trPr>
          <w:trHeight w:val="295" w:hRule="atLeast"/>
        </w:trPr>
        <w:tc>
          <w:tcPr>
            <w:tcW w:w="620" w:type="dxa"/>
            <w:vMerge/>
            <w:tcBorders>
              <w:top w:val="nil"/>
            </w:tcBorders>
            <w:shd w:val="clear" w:color="auto" w:fill="C0C0C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00" w:type="dxa"/>
            <w:vMerge/>
            <w:tcBorders>
              <w:top w:val="nil"/>
            </w:tcBorders>
            <w:shd w:val="clear" w:color="auto" w:fill="C0C0C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107" w:type="dxa"/>
            <w:gridSpan w:val="5"/>
            <w:shd w:val="clear" w:color="auto" w:fill="C0C0C0"/>
          </w:tcPr>
          <w:p>
            <w:pPr>
              <w:pStyle w:val="TableParagraph"/>
              <w:spacing w:line="234" w:lineRule="exact" w:before="41"/>
              <w:ind w:left="1777"/>
              <w:rPr>
                <w:sz w:val="22"/>
              </w:rPr>
            </w:pPr>
            <w:r>
              <w:rPr>
                <w:sz w:val="22"/>
              </w:rPr>
              <w:t>CLT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grade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E-1,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front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face,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Ground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level</w:t>
            </w:r>
          </w:p>
        </w:tc>
      </w:tr>
      <w:tr>
        <w:trPr>
          <w:trHeight w:val="299" w:hRule="atLeast"/>
        </w:trPr>
        <w:tc>
          <w:tcPr>
            <w:tcW w:w="620" w:type="dxa"/>
          </w:tcPr>
          <w:p>
            <w:pPr>
              <w:pStyle w:val="TableParagraph"/>
              <w:spacing w:line="234" w:lineRule="exact" w:before="45"/>
              <w:ind w:left="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1</w:t>
            </w:r>
          </w:p>
        </w:tc>
        <w:tc>
          <w:tcPr>
            <w:tcW w:w="900" w:type="dxa"/>
          </w:tcPr>
          <w:p>
            <w:pPr>
              <w:pStyle w:val="TableParagraph"/>
              <w:spacing w:line="234" w:lineRule="exact" w:before="45"/>
              <w:ind w:left="111" w:right="101"/>
              <w:jc w:val="center"/>
              <w:rPr>
                <w:sz w:val="22"/>
              </w:rPr>
            </w:pPr>
            <w:r>
              <w:rPr>
                <w:sz w:val="22"/>
              </w:rPr>
              <w:t>32</w:t>
            </w:r>
          </w:p>
        </w:tc>
        <w:tc>
          <w:tcPr>
            <w:tcW w:w="1555" w:type="dxa"/>
            <w:shd w:val="clear" w:color="auto" w:fill="DADADA"/>
          </w:tcPr>
          <w:p>
            <w:pPr>
              <w:pStyle w:val="TableParagraph"/>
              <w:spacing w:line="234" w:lineRule="exact" w:before="45"/>
              <w:ind w:right="571"/>
              <w:jc w:val="right"/>
              <w:rPr>
                <w:sz w:val="22"/>
              </w:rPr>
            </w:pPr>
            <w:r>
              <w:rPr>
                <w:sz w:val="22"/>
              </w:rPr>
              <w:t>1.09</w:t>
            </w:r>
          </w:p>
        </w:tc>
        <w:tc>
          <w:tcPr>
            <w:tcW w:w="1616" w:type="dxa"/>
          </w:tcPr>
          <w:p>
            <w:pPr>
              <w:pStyle w:val="TableParagraph"/>
              <w:spacing w:line="234" w:lineRule="exact" w:before="45"/>
              <w:ind w:left="138" w:right="125"/>
              <w:jc w:val="center"/>
              <w:rPr>
                <w:sz w:val="22"/>
              </w:rPr>
            </w:pPr>
            <w:r>
              <w:rPr>
                <w:sz w:val="22"/>
              </w:rPr>
              <w:t>1.911</w:t>
            </w:r>
          </w:p>
        </w:tc>
        <w:tc>
          <w:tcPr>
            <w:tcW w:w="1162" w:type="dxa"/>
          </w:tcPr>
          <w:p>
            <w:pPr>
              <w:pStyle w:val="TableParagraph"/>
              <w:spacing w:line="234" w:lineRule="exact" w:before="45"/>
              <w:ind w:left="221" w:right="208"/>
              <w:jc w:val="center"/>
              <w:rPr>
                <w:sz w:val="22"/>
              </w:rPr>
            </w:pPr>
            <w:r>
              <w:rPr>
                <w:color w:val="FF0000"/>
                <w:sz w:val="22"/>
              </w:rPr>
              <w:t>75.32%</w:t>
            </w:r>
          </w:p>
        </w:tc>
        <w:tc>
          <w:tcPr>
            <w:tcW w:w="1612" w:type="dxa"/>
          </w:tcPr>
          <w:p>
            <w:pPr>
              <w:pStyle w:val="TableParagraph"/>
              <w:spacing w:line="234" w:lineRule="exact" w:before="45"/>
              <w:ind w:left="135" w:right="123"/>
              <w:jc w:val="center"/>
              <w:rPr>
                <w:sz w:val="22"/>
              </w:rPr>
            </w:pPr>
            <w:r>
              <w:rPr>
                <w:sz w:val="22"/>
              </w:rPr>
              <w:t>1.709</w:t>
            </w:r>
          </w:p>
        </w:tc>
        <w:tc>
          <w:tcPr>
            <w:tcW w:w="1162" w:type="dxa"/>
          </w:tcPr>
          <w:p>
            <w:pPr>
              <w:pStyle w:val="TableParagraph"/>
              <w:spacing w:line="234" w:lineRule="exact" w:before="45"/>
              <w:ind w:left="223" w:right="207"/>
              <w:jc w:val="center"/>
              <w:rPr>
                <w:sz w:val="22"/>
              </w:rPr>
            </w:pPr>
            <w:r>
              <w:rPr>
                <w:color w:val="FF0000"/>
                <w:sz w:val="22"/>
              </w:rPr>
              <w:t>56.79%</w:t>
            </w:r>
          </w:p>
        </w:tc>
      </w:tr>
      <w:tr>
        <w:trPr>
          <w:trHeight w:val="300" w:hRule="atLeast"/>
        </w:trPr>
        <w:tc>
          <w:tcPr>
            <w:tcW w:w="620" w:type="dxa"/>
          </w:tcPr>
          <w:p>
            <w:pPr>
              <w:pStyle w:val="TableParagraph"/>
              <w:spacing w:line="234" w:lineRule="exact" w:before="46"/>
              <w:ind w:left="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2</w:t>
            </w:r>
          </w:p>
        </w:tc>
        <w:tc>
          <w:tcPr>
            <w:tcW w:w="900" w:type="dxa"/>
          </w:tcPr>
          <w:p>
            <w:pPr>
              <w:pStyle w:val="TableParagraph"/>
              <w:spacing w:line="234" w:lineRule="exact" w:before="46"/>
              <w:ind w:left="111" w:right="101"/>
              <w:jc w:val="center"/>
              <w:rPr>
                <w:sz w:val="22"/>
              </w:rPr>
            </w:pPr>
            <w:r>
              <w:rPr>
                <w:sz w:val="22"/>
              </w:rPr>
              <w:t>67</w:t>
            </w:r>
          </w:p>
        </w:tc>
        <w:tc>
          <w:tcPr>
            <w:tcW w:w="1555" w:type="dxa"/>
            <w:shd w:val="clear" w:color="auto" w:fill="DADADA"/>
          </w:tcPr>
          <w:p>
            <w:pPr>
              <w:pStyle w:val="TableParagraph"/>
              <w:spacing w:line="234" w:lineRule="exact" w:before="46"/>
              <w:ind w:right="571"/>
              <w:jc w:val="right"/>
              <w:rPr>
                <w:sz w:val="22"/>
              </w:rPr>
            </w:pPr>
            <w:r>
              <w:rPr>
                <w:sz w:val="22"/>
              </w:rPr>
              <w:t>1.96</w:t>
            </w:r>
          </w:p>
        </w:tc>
        <w:tc>
          <w:tcPr>
            <w:tcW w:w="1616" w:type="dxa"/>
          </w:tcPr>
          <w:p>
            <w:pPr>
              <w:pStyle w:val="TableParagraph"/>
              <w:spacing w:line="234" w:lineRule="exact" w:before="46"/>
              <w:ind w:left="138" w:right="125"/>
              <w:jc w:val="center"/>
              <w:rPr>
                <w:sz w:val="22"/>
              </w:rPr>
            </w:pPr>
            <w:r>
              <w:rPr>
                <w:sz w:val="22"/>
              </w:rPr>
              <w:t>3.138</w:t>
            </w:r>
          </w:p>
        </w:tc>
        <w:tc>
          <w:tcPr>
            <w:tcW w:w="1162" w:type="dxa"/>
          </w:tcPr>
          <w:p>
            <w:pPr>
              <w:pStyle w:val="TableParagraph"/>
              <w:spacing w:line="234" w:lineRule="exact" w:before="46"/>
              <w:ind w:left="221" w:right="208"/>
              <w:jc w:val="center"/>
              <w:rPr>
                <w:sz w:val="22"/>
              </w:rPr>
            </w:pPr>
            <w:r>
              <w:rPr>
                <w:color w:val="FF0000"/>
                <w:sz w:val="22"/>
              </w:rPr>
              <w:t>60.10%</w:t>
            </w:r>
          </w:p>
        </w:tc>
        <w:tc>
          <w:tcPr>
            <w:tcW w:w="1612" w:type="dxa"/>
          </w:tcPr>
          <w:p>
            <w:pPr>
              <w:pStyle w:val="TableParagraph"/>
              <w:spacing w:line="234" w:lineRule="exact" w:before="46"/>
              <w:ind w:left="135" w:right="123"/>
              <w:jc w:val="center"/>
              <w:rPr>
                <w:sz w:val="22"/>
              </w:rPr>
            </w:pPr>
            <w:r>
              <w:rPr>
                <w:sz w:val="22"/>
              </w:rPr>
              <w:t>2.802</w:t>
            </w:r>
          </w:p>
        </w:tc>
        <w:tc>
          <w:tcPr>
            <w:tcW w:w="1162" w:type="dxa"/>
          </w:tcPr>
          <w:p>
            <w:pPr>
              <w:pStyle w:val="TableParagraph"/>
              <w:spacing w:line="234" w:lineRule="exact" w:before="46"/>
              <w:ind w:left="223" w:right="207"/>
              <w:jc w:val="center"/>
              <w:rPr>
                <w:sz w:val="22"/>
              </w:rPr>
            </w:pPr>
            <w:r>
              <w:rPr>
                <w:color w:val="FF0000"/>
                <w:sz w:val="22"/>
              </w:rPr>
              <w:t>42.96%</w:t>
            </w:r>
          </w:p>
        </w:tc>
      </w:tr>
      <w:tr>
        <w:trPr>
          <w:trHeight w:val="299" w:hRule="atLeast"/>
        </w:trPr>
        <w:tc>
          <w:tcPr>
            <w:tcW w:w="620" w:type="dxa"/>
          </w:tcPr>
          <w:p>
            <w:pPr>
              <w:pStyle w:val="TableParagraph"/>
              <w:spacing w:line="234" w:lineRule="exact" w:before="45"/>
              <w:ind w:left="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3</w:t>
            </w:r>
          </w:p>
        </w:tc>
        <w:tc>
          <w:tcPr>
            <w:tcW w:w="900" w:type="dxa"/>
          </w:tcPr>
          <w:p>
            <w:pPr>
              <w:pStyle w:val="TableParagraph"/>
              <w:spacing w:line="234" w:lineRule="exact" w:before="45"/>
              <w:ind w:left="111" w:right="101"/>
              <w:jc w:val="center"/>
              <w:rPr>
                <w:sz w:val="22"/>
              </w:rPr>
            </w:pPr>
            <w:r>
              <w:rPr>
                <w:sz w:val="22"/>
              </w:rPr>
              <w:t>199</w:t>
            </w:r>
          </w:p>
        </w:tc>
        <w:tc>
          <w:tcPr>
            <w:tcW w:w="1555" w:type="dxa"/>
            <w:shd w:val="clear" w:color="auto" w:fill="DADADA"/>
          </w:tcPr>
          <w:p>
            <w:pPr>
              <w:pStyle w:val="TableParagraph"/>
              <w:spacing w:line="234" w:lineRule="exact" w:before="45"/>
              <w:ind w:right="627"/>
              <w:jc w:val="right"/>
              <w:rPr>
                <w:sz w:val="22"/>
              </w:rPr>
            </w:pPr>
            <w:r>
              <w:rPr>
                <w:sz w:val="22"/>
              </w:rPr>
              <w:t>3.9</w:t>
            </w:r>
          </w:p>
        </w:tc>
        <w:tc>
          <w:tcPr>
            <w:tcW w:w="1616" w:type="dxa"/>
          </w:tcPr>
          <w:p>
            <w:pPr>
              <w:pStyle w:val="TableParagraph"/>
              <w:spacing w:line="234" w:lineRule="exact" w:before="45"/>
              <w:ind w:left="138" w:right="125"/>
              <w:jc w:val="center"/>
              <w:rPr>
                <w:sz w:val="22"/>
              </w:rPr>
            </w:pPr>
            <w:r>
              <w:rPr>
                <w:sz w:val="22"/>
              </w:rPr>
              <w:t>6.492</w:t>
            </w:r>
          </w:p>
        </w:tc>
        <w:tc>
          <w:tcPr>
            <w:tcW w:w="1162" w:type="dxa"/>
          </w:tcPr>
          <w:p>
            <w:pPr>
              <w:pStyle w:val="TableParagraph"/>
              <w:spacing w:line="234" w:lineRule="exact" w:before="45"/>
              <w:ind w:left="221" w:right="208"/>
              <w:jc w:val="center"/>
              <w:rPr>
                <w:sz w:val="22"/>
              </w:rPr>
            </w:pPr>
            <w:r>
              <w:rPr>
                <w:color w:val="FF0000"/>
                <w:sz w:val="22"/>
              </w:rPr>
              <w:t>66.46%</w:t>
            </w:r>
          </w:p>
        </w:tc>
        <w:tc>
          <w:tcPr>
            <w:tcW w:w="1612" w:type="dxa"/>
          </w:tcPr>
          <w:p>
            <w:pPr>
              <w:pStyle w:val="TableParagraph"/>
              <w:spacing w:line="234" w:lineRule="exact" w:before="45"/>
              <w:ind w:left="135" w:right="123"/>
              <w:jc w:val="center"/>
              <w:rPr>
                <w:sz w:val="22"/>
              </w:rPr>
            </w:pPr>
            <w:r>
              <w:rPr>
                <w:sz w:val="22"/>
              </w:rPr>
              <w:t>5.529</w:t>
            </w:r>
          </w:p>
        </w:tc>
        <w:tc>
          <w:tcPr>
            <w:tcW w:w="1162" w:type="dxa"/>
          </w:tcPr>
          <w:p>
            <w:pPr>
              <w:pStyle w:val="TableParagraph"/>
              <w:spacing w:line="234" w:lineRule="exact" w:before="45"/>
              <w:ind w:left="223" w:right="207"/>
              <w:jc w:val="center"/>
              <w:rPr>
                <w:sz w:val="22"/>
              </w:rPr>
            </w:pPr>
            <w:r>
              <w:rPr>
                <w:color w:val="FF0000"/>
                <w:sz w:val="22"/>
              </w:rPr>
              <w:t>41.77%</w:t>
            </w:r>
          </w:p>
        </w:tc>
      </w:tr>
    </w:tbl>
    <w:p>
      <w:pPr>
        <w:spacing w:after="0" w:line="234" w:lineRule="exact"/>
        <w:jc w:val="center"/>
        <w:rPr>
          <w:sz w:val="22"/>
        </w:rPr>
        <w:sectPr>
          <w:pgSz w:w="12240" w:h="15840"/>
          <w:pgMar w:header="0" w:footer="1064" w:top="1360" w:bottom="1260" w:left="1720" w:right="1020"/>
        </w:sectPr>
      </w:pPr>
    </w:p>
    <w:p>
      <w:pPr>
        <w:pStyle w:val="ListParagraph"/>
        <w:numPr>
          <w:ilvl w:val="2"/>
          <w:numId w:val="27"/>
        </w:numPr>
        <w:tabs>
          <w:tab w:pos="980" w:val="left" w:leader="none"/>
        </w:tabs>
        <w:spacing w:line="240" w:lineRule="auto" w:before="79" w:after="0"/>
        <w:ind w:left="980" w:right="0" w:hanging="540"/>
        <w:jc w:val="both"/>
        <w:rPr>
          <w:i/>
          <w:sz w:val="24"/>
        </w:rPr>
      </w:pPr>
      <w:bookmarkStart w:name="8.4.3 Predictions for CLT Grade V3, Sout" w:id="574"/>
      <w:bookmarkEnd w:id="574"/>
      <w:r>
        <w:rPr/>
      </w:r>
      <w:bookmarkStart w:name="8.4.3 Predictions for CLT Grade V3, Sout" w:id="575"/>
      <w:bookmarkEnd w:id="575"/>
      <w:r>
        <w:rPr>
          <w:i/>
          <w:sz w:val="24"/>
        </w:rPr>
        <w:t>P</w:t>
      </w:r>
      <w:r>
        <w:rPr>
          <w:i/>
          <w:sz w:val="24"/>
        </w:rPr>
        <w:t>redictions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CLT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Grade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V3,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Southern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Yellow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Pine</w:t>
      </w:r>
    </w:p>
    <w:p>
      <w:pPr>
        <w:pStyle w:val="BodyText"/>
        <w:spacing w:before="7"/>
        <w:rPr>
          <w:i/>
          <w:sz w:val="22"/>
        </w:rPr>
      </w:pPr>
    </w:p>
    <w:p>
      <w:pPr>
        <w:pStyle w:val="BodyText"/>
        <w:spacing w:line="480" w:lineRule="auto"/>
        <w:ind w:left="439" w:right="417" w:firstLine="720"/>
        <w:jc w:val="both"/>
      </w:pPr>
      <w:r>
        <w:rPr/>
        <w:t>Due to the lack of commercially available V3 graded CLT, there was not a fourth</w:t>
      </w:r>
      <w:r>
        <w:rPr>
          <w:spacing w:val="1"/>
        </w:rPr>
        <w:t> </w:t>
      </w:r>
      <w:r>
        <w:rPr/>
        <w:t>structure made of that grade to include in the live blast tests.</w:t>
      </w:r>
      <w:r>
        <w:rPr>
          <w:spacing w:val="1"/>
        </w:rPr>
        <w:t> </w:t>
      </w:r>
      <w:r>
        <w:rPr/>
        <w:t>However, based on the PRG</w:t>
      </w:r>
      <w:r>
        <w:rPr>
          <w:spacing w:val="-57"/>
        </w:rPr>
        <w:t> </w:t>
      </w:r>
      <w:r>
        <w:rPr/>
        <w:t>320 required design properties, this grade was incorporated into the CLT blast analysis</w:t>
      </w:r>
      <w:r>
        <w:rPr>
          <w:spacing w:val="1"/>
        </w:rPr>
        <w:t> </w:t>
      </w:r>
      <w:r>
        <w:rPr/>
        <w:t>tool.</w:t>
      </w:r>
      <w:r>
        <w:rPr>
          <w:spacing w:val="1"/>
        </w:rPr>
        <w:t> </w:t>
      </w:r>
      <w:r>
        <w:rPr/>
        <w:t>This allowed for predictions to be developed for the material.</w:t>
      </w:r>
      <w:r>
        <w:rPr>
          <w:spacing w:val="60"/>
        </w:rPr>
        <w:t> </w:t>
      </w:r>
      <w:hyperlink w:history="true" w:anchor="_bookmark205">
        <w:r>
          <w:rPr/>
          <w:t>Table 8-12 </w:t>
        </w:r>
      </w:hyperlink>
      <w:r>
        <w:rPr/>
        <w:t>presents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inbound</w:t>
      </w:r>
      <w:r>
        <w:rPr>
          <w:spacing w:val="1"/>
        </w:rPr>
        <w:t> </w:t>
      </w:r>
      <w:r>
        <w:rPr/>
        <w:t>(positive</w:t>
      </w:r>
      <w:r>
        <w:rPr>
          <w:spacing w:val="1"/>
        </w:rPr>
        <w:t> </w:t>
      </w:r>
      <w:r>
        <w:rPr/>
        <w:t>pressure</w:t>
      </w:r>
      <w:r>
        <w:rPr>
          <w:spacing w:val="1"/>
        </w:rPr>
        <w:t> </w:t>
      </w:r>
      <w:r>
        <w:rPr/>
        <w:t>phase)</w:t>
      </w:r>
      <w:r>
        <w:rPr>
          <w:spacing w:val="1"/>
        </w:rPr>
        <w:t> </w:t>
      </w:r>
      <w:r>
        <w:rPr/>
        <w:t>displacement,</w:t>
      </w:r>
      <w:r>
        <w:rPr>
          <w:spacing w:val="1"/>
        </w:rPr>
        <w:t> </w:t>
      </w:r>
      <w:r>
        <w:rPr/>
        <w:t>ductility</w:t>
      </w:r>
      <w:r>
        <w:rPr>
          <w:spacing w:val="1"/>
        </w:rPr>
        <w:t> </w:t>
      </w:r>
      <w:r>
        <w:rPr/>
        <w:t>ratio,</w:t>
      </w:r>
      <w:r>
        <w:rPr>
          <w:spacing w:val="1"/>
        </w:rPr>
        <w:t> </w:t>
      </w:r>
      <w:r>
        <w:rPr/>
        <w:t>support</w:t>
      </w:r>
      <w:r>
        <w:rPr>
          <w:spacing w:val="1"/>
        </w:rPr>
        <w:t> </w:t>
      </w:r>
      <w:r>
        <w:rPr/>
        <w:t>rotation,</w:t>
      </w:r>
      <w:r>
        <w:rPr>
          <w:spacing w:val="1"/>
        </w:rPr>
        <w:t> </w:t>
      </w:r>
      <w:r>
        <w:rPr/>
        <w:t>expected damage and Level of Protection for the ground floor, front wall panel of a</w:t>
      </w:r>
      <w:r>
        <w:rPr>
          <w:spacing w:val="1"/>
        </w:rPr>
        <w:t> </w:t>
      </w:r>
      <w:r>
        <w:rPr/>
        <w:t>structure build to the same specifications and dimensions as the E1 and V1 graded CLT</w:t>
      </w:r>
      <w:r>
        <w:rPr>
          <w:spacing w:val="1"/>
        </w:rPr>
        <w:t> </w:t>
      </w:r>
      <w:r>
        <w:rPr/>
        <w:t>structures in the live blast tests.</w:t>
      </w:r>
      <w:r>
        <w:rPr>
          <w:spacing w:val="1"/>
        </w:rPr>
        <w:t> </w:t>
      </w:r>
      <w:r>
        <w:rPr/>
        <w:t>The table includes the three variations of end conditions</w:t>
      </w:r>
      <w:r>
        <w:rPr>
          <w:spacing w:val="1"/>
        </w:rPr>
        <w:t> </w:t>
      </w:r>
      <w:r>
        <w:rPr/>
        <w:t>investigated</w:t>
      </w:r>
      <w:r>
        <w:rPr>
          <w:spacing w:val="-12"/>
        </w:rPr>
        <w:t> </w:t>
      </w:r>
      <w:r>
        <w:rPr/>
        <w:t>in</w:t>
      </w:r>
      <w:r>
        <w:rPr>
          <w:spacing w:val="-10"/>
        </w:rPr>
        <w:t> </w:t>
      </w:r>
      <w:r>
        <w:rPr/>
        <w:t>the</w:t>
      </w:r>
      <w:r>
        <w:rPr>
          <w:spacing w:val="-12"/>
        </w:rPr>
        <w:t> </w:t>
      </w:r>
      <w:r>
        <w:rPr/>
        <w:t>tool</w:t>
      </w:r>
      <w:r>
        <w:rPr>
          <w:spacing w:val="-9"/>
        </w:rPr>
        <w:t> </w:t>
      </w:r>
      <w:r>
        <w:rPr/>
        <w:t>but</w:t>
      </w:r>
      <w:r>
        <w:rPr>
          <w:spacing w:val="-10"/>
        </w:rPr>
        <w:t> </w:t>
      </w:r>
      <w:r>
        <w:rPr/>
        <w:t>consideration</w:t>
      </w:r>
      <w:r>
        <w:rPr>
          <w:spacing w:val="-10"/>
        </w:rPr>
        <w:t> </w:t>
      </w:r>
      <w:r>
        <w:rPr/>
        <w:t>for</w:t>
      </w:r>
      <w:r>
        <w:rPr>
          <w:spacing w:val="-9"/>
        </w:rPr>
        <w:t> </w:t>
      </w:r>
      <w:r>
        <w:rPr/>
        <w:t>the</w:t>
      </w:r>
      <w:r>
        <w:rPr>
          <w:spacing w:val="-12"/>
        </w:rPr>
        <w:t> </w:t>
      </w:r>
      <w:r>
        <w:rPr/>
        <w:t>connection</w:t>
      </w:r>
      <w:r>
        <w:rPr>
          <w:spacing w:val="-10"/>
        </w:rPr>
        <w:t> </w:t>
      </w:r>
      <w:r>
        <w:rPr/>
        <w:t>details</w:t>
      </w:r>
      <w:r>
        <w:rPr>
          <w:spacing w:val="-11"/>
        </w:rPr>
        <w:t> </w:t>
      </w:r>
      <w:r>
        <w:rPr/>
        <w:t>used</w:t>
      </w:r>
      <w:r>
        <w:rPr>
          <w:spacing w:val="-10"/>
        </w:rPr>
        <w:t> </w:t>
      </w:r>
      <w:r>
        <w:rPr/>
        <w:t>must</w:t>
      </w:r>
      <w:r>
        <w:rPr>
          <w:spacing w:val="-9"/>
        </w:rPr>
        <w:t> </w:t>
      </w:r>
      <w:r>
        <w:rPr/>
        <w:t>be</w:t>
      </w:r>
      <w:r>
        <w:rPr>
          <w:spacing w:val="-11"/>
        </w:rPr>
        <w:t> </w:t>
      </w:r>
      <w:r>
        <w:rPr/>
        <w:t>accounted</w:t>
      </w:r>
      <w:r>
        <w:rPr>
          <w:spacing w:val="-58"/>
        </w:rPr>
        <w:t> </w:t>
      </w:r>
      <w:r>
        <w:rPr/>
        <w:t>for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validating</w:t>
      </w:r>
      <w:r>
        <w:rPr>
          <w:spacing w:val="-6"/>
        </w:rPr>
        <w:t> </w:t>
      </w:r>
      <w:r>
        <w:rPr/>
        <w:t>agreement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/>
        <w:t>actual</w:t>
      </w:r>
      <w:r>
        <w:rPr>
          <w:spacing w:val="-7"/>
        </w:rPr>
        <w:t> </w:t>
      </w:r>
      <w:r>
        <w:rPr/>
        <w:t>test</w:t>
      </w:r>
      <w:r>
        <w:rPr>
          <w:spacing w:val="-6"/>
        </w:rPr>
        <w:t> </w:t>
      </w:r>
      <w:r>
        <w:rPr/>
        <w:t>results.</w:t>
      </w:r>
      <w:r>
        <w:rPr>
          <w:spacing w:val="48"/>
        </w:rPr>
        <w:t> </w:t>
      </w:r>
      <w:r>
        <w:rPr/>
        <w:t>The</w:t>
      </w:r>
      <w:r>
        <w:rPr>
          <w:spacing w:val="-6"/>
        </w:rPr>
        <w:t> </w:t>
      </w:r>
      <w:r>
        <w:rPr/>
        <w:t>tool</w:t>
      </w:r>
      <w:r>
        <w:rPr>
          <w:spacing w:val="-6"/>
        </w:rPr>
        <w:t> </w:t>
      </w:r>
      <w:r>
        <w:rPr/>
        <w:t>also</w:t>
      </w:r>
      <w:r>
        <w:rPr>
          <w:spacing w:val="-6"/>
        </w:rPr>
        <w:t> </w:t>
      </w:r>
      <w:r>
        <w:rPr/>
        <w:t>predicts</w:t>
      </w:r>
      <w:r>
        <w:rPr>
          <w:spacing w:val="-6"/>
        </w:rPr>
        <w:t> </w:t>
      </w:r>
      <w:r>
        <w:rPr/>
        <w:t>collapse</w:t>
      </w:r>
      <w:r>
        <w:rPr>
          <w:spacing w:val="-6"/>
        </w:rPr>
        <w:t> </w:t>
      </w:r>
      <w:r>
        <w:rPr/>
        <w:t>for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V3</w:t>
      </w:r>
      <w:r>
        <w:rPr>
          <w:spacing w:val="-58"/>
        </w:rPr>
        <w:t> </w:t>
      </w:r>
      <w:r>
        <w:rPr/>
        <w:t>structure given the third blast load, as it did with the V1 structure.</w:t>
      </w:r>
      <w:r>
        <w:rPr>
          <w:spacing w:val="1"/>
        </w:rPr>
        <w:t> </w:t>
      </w:r>
      <w:r>
        <w:rPr/>
        <w:t>This indicates that the</w:t>
      </w:r>
      <w:r>
        <w:rPr>
          <w:spacing w:val="1"/>
        </w:rPr>
        <w:t> </w:t>
      </w:r>
      <w:r>
        <w:rPr>
          <w:spacing w:val="-1"/>
        </w:rPr>
        <w:t>panel</w:t>
      </w:r>
      <w:r>
        <w:rPr>
          <w:spacing w:val="-13"/>
        </w:rPr>
        <w:t> </w:t>
      </w:r>
      <w:r>
        <w:rPr/>
        <w:t>response</w:t>
      </w:r>
      <w:r>
        <w:rPr>
          <w:spacing w:val="-13"/>
        </w:rPr>
        <w:t> </w:t>
      </w:r>
      <w:r>
        <w:rPr/>
        <w:t>will</w:t>
      </w:r>
      <w:r>
        <w:rPr>
          <w:spacing w:val="-14"/>
        </w:rPr>
        <w:t> </w:t>
      </w:r>
      <w:r>
        <w:rPr/>
        <w:t>likely</w:t>
      </w:r>
      <w:r>
        <w:rPr>
          <w:spacing w:val="-15"/>
        </w:rPr>
        <w:t> </w:t>
      </w:r>
      <w:r>
        <w:rPr/>
        <w:t>extend</w:t>
      </w:r>
      <w:r>
        <w:rPr>
          <w:spacing w:val="-13"/>
        </w:rPr>
        <w:t> </w:t>
      </w:r>
      <w:r>
        <w:rPr/>
        <w:t>beyond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elastic</w:t>
      </w:r>
      <w:r>
        <w:rPr>
          <w:spacing w:val="-13"/>
        </w:rPr>
        <w:t> </w:t>
      </w:r>
      <w:r>
        <w:rPr/>
        <w:t>regime.</w:t>
      </w:r>
      <w:r>
        <w:rPr>
          <w:spacing w:val="-13"/>
        </w:rPr>
        <w:t> </w:t>
      </w:r>
      <w:r>
        <w:rPr/>
        <w:t>Generally,</w:t>
      </w:r>
      <w:r>
        <w:rPr>
          <w:spacing w:val="-12"/>
        </w:rPr>
        <w:t> </w:t>
      </w:r>
      <w:r>
        <w:rPr/>
        <w:t>the</w:t>
      </w:r>
      <w:r>
        <w:rPr>
          <w:spacing w:val="-14"/>
        </w:rPr>
        <w:t> </w:t>
      </w:r>
      <w:r>
        <w:rPr/>
        <w:t>predicted</w:t>
      </w:r>
      <w:r>
        <w:rPr>
          <w:spacing w:val="-13"/>
        </w:rPr>
        <w:t> </w:t>
      </w:r>
      <w:r>
        <w:rPr/>
        <w:t>values</w:t>
      </w:r>
      <w:r>
        <w:rPr>
          <w:spacing w:val="-58"/>
        </w:rPr>
        <w:t> </w:t>
      </w:r>
      <w:r>
        <w:rPr/>
        <w:t>align close to the model’s predictions for the V1 CLT structure.</w:t>
      </w:r>
      <w:r>
        <w:rPr>
          <w:spacing w:val="1"/>
        </w:rPr>
        <w:t> </w:t>
      </w:r>
      <w:r>
        <w:rPr/>
        <w:t>Based on the live test</w:t>
      </w:r>
      <w:r>
        <w:rPr>
          <w:spacing w:val="1"/>
        </w:rPr>
        <w:t> </w:t>
      </w:r>
      <w:r>
        <w:rPr/>
        <w:t>results and lack of damage despite the tool predictions, more testing and calibration is</w:t>
      </w:r>
      <w:r>
        <w:rPr>
          <w:spacing w:val="1"/>
        </w:rPr>
        <w:t> </w:t>
      </w:r>
      <w:r>
        <w:rPr/>
        <w:t>needed</w:t>
      </w:r>
      <w:r>
        <w:rPr>
          <w:spacing w:val="-1"/>
        </w:rPr>
        <w:t> </w:t>
      </w:r>
      <w:r>
        <w:rPr/>
        <w:t>for the larger blast loading.</w:t>
      </w:r>
    </w:p>
    <w:p>
      <w:pPr>
        <w:spacing w:before="162"/>
        <w:ind w:left="439" w:right="0" w:firstLine="0"/>
        <w:jc w:val="both"/>
        <w:rPr>
          <w:i/>
          <w:sz w:val="24"/>
        </w:rPr>
      </w:pPr>
      <w:bookmarkStart w:name="8.4.4. The CLT blast analysis tool – fut" w:id="576"/>
      <w:bookmarkEnd w:id="576"/>
      <w:r>
        <w:rPr/>
      </w:r>
      <w:r>
        <w:rPr>
          <w:i/>
          <w:sz w:val="24"/>
        </w:rPr>
        <w:t>8.4.4.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CLT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blast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analysis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tool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–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future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development</w:t>
      </w:r>
    </w:p>
    <w:p>
      <w:pPr>
        <w:pStyle w:val="BodyText"/>
        <w:spacing w:before="7"/>
        <w:rPr>
          <w:i/>
          <w:sz w:val="22"/>
        </w:rPr>
      </w:pPr>
    </w:p>
    <w:p>
      <w:pPr>
        <w:pStyle w:val="BodyText"/>
        <w:spacing w:line="480" w:lineRule="auto"/>
        <w:ind w:left="439" w:right="417" w:firstLine="720"/>
        <w:jc w:val="both"/>
      </w:pPr>
      <w:r>
        <w:rPr/>
        <w:t>The</w:t>
      </w:r>
      <w:r>
        <w:rPr>
          <w:spacing w:val="1"/>
        </w:rPr>
        <w:t> </w:t>
      </w:r>
      <w:r>
        <w:rPr/>
        <w:t>CLT</w:t>
      </w:r>
      <w:r>
        <w:rPr>
          <w:spacing w:val="1"/>
        </w:rPr>
        <w:t> </w:t>
      </w:r>
      <w:r>
        <w:rPr/>
        <w:t>blast</w:t>
      </w:r>
      <w:r>
        <w:rPr>
          <w:spacing w:val="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tool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built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allow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exploring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variety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characteristics that could be changed to include but not limited to: ply quantity, wood</w:t>
      </w:r>
      <w:r>
        <w:rPr>
          <w:spacing w:val="1"/>
        </w:rPr>
        <w:t> </w:t>
      </w:r>
      <w:r>
        <w:rPr/>
        <w:t>density,</w:t>
      </w:r>
      <w:r>
        <w:rPr>
          <w:spacing w:val="-4"/>
        </w:rPr>
        <w:t> </w:t>
      </w:r>
      <w:r>
        <w:rPr/>
        <w:t>static</w:t>
      </w:r>
      <w:r>
        <w:rPr>
          <w:spacing w:val="-4"/>
        </w:rPr>
        <w:t> </w:t>
      </w:r>
      <w:r>
        <w:rPr/>
        <w:t>loading,</w:t>
      </w:r>
      <w:r>
        <w:rPr>
          <w:spacing w:val="-4"/>
        </w:rPr>
        <w:t> </w:t>
      </w:r>
      <w:r>
        <w:rPr/>
        <w:t>dimensions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panel,</w:t>
      </w:r>
      <w:r>
        <w:rPr>
          <w:spacing w:val="-5"/>
        </w:rPr>
        <w:t> </w:t>
      </w:r>
      <w:r>
        <w:rPr/>
        <w:t>location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panel,</w:t>
      </w:r>
      <w:r>
        <w:rPr>
          <w:spacing w:val="-3"/>
        </w:rPr>
        <w:t> </w:t>
      </w:r>
      <w:r>
        <w:rPr/>
        <w:t>location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blast,</w:t>
      </w:r>
      <w:r>
        <w:rPr>
          <w:spacing w:val="-58"/>
        </w:rPr>
        <w:t> </w:t>
      </w:r>
      <w:r>
        <w:rPr/>
        <w:t>and</w:t>
      </w:r>
      <w:r>
        <w:rPr>
          <w:spacing w:val="-3"/>
        </w:rPr>
        <w:t> </w:t>
      </w:r>
      <w:r>
        <w:rPr/>
        <w:t>size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/>
        <w:t>type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explosive.</w:t>
      </w:r>
      <w:r>
        <w:rPr>
          <w:spacing w:val="56"/>
        </w:rPr>
        <w:t> </w:t>
      </w:r>
      <w:r>
        <w:rPr/>
        <w:t>Based</w:t>
      </w:r>
      <w:r>
        <w:rPr>
          <w:spacing w:val="-3"/>
        </w:rPr>
        <w:t> </w:t>
      </w:r>
      <w:r>
        <w:rPr/>
        <w:t>on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validation</w:t>
      </w:r>
      <w:r>
        <w:rPr>
          <w:spacing w:val="-2"/>
        </w:rPr>
        <w:t> </w:t>
      </w:r>
      <w:r>
        <w:rPr/>
        <w:t>with</w:t>
      </w:r>
      <w:r>
        <w:rPr>
          <w:spacing w:val="-4"/>
        </w:rPr>
        <w:t> </w:t>
      </w:r>
      <w:r>
        <w:rPr/>
        <w:t>the</w:t>
      </w:r>
      <w:r>
        <w:rPr>
          <w:spacing w:val="-1"/>
        </w:rPr>
        <w:t> </w:t>
      </w:r>
      <w:r>
        <w:rPr/>
        <w:t>live</w:t>
      </w:r>
      <w:r>
        <w:rPr>
          <w:spacing w:val="-2"/>
        </w:rPr>
        <w:t> </w:t>
      </w:r>
      <w:r>
        <w:rPr/>
        <w:t>blast</w:t>
      </w:r>
      <w:r>
        <w:rPr>
          <w:spacing w:val="-2"/>
        </w:rPr>
        <w:t> </w:t>
      </w:r>
      <w:r>
        <w:rPr/>
        <w:t>testing,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tool</w:t>
      </w:r>
      <w:r>
        <w:rPr>
          <w:spacing w:val="-58"/>
        </w:rPr>
        <w:t> </w:t>
      </w:r>
      <w:r>
        <w:rPr/>
        <w:t>provides good agreement for the front wall, ground level element in terms of maximum</w:t>
      </w:r>
      <w:r>
        <w:rPr>
          <w:spacing w:val="1"/>
        </w:rPr>
        <w:t> </w:t>
      </w:r>
      <w:r>
        <w:rPr/>
        <w:t>displacement</w:t>
      </w:r>
      <w:r>
        <w:rPr>
          <w:spacing w:val="56"/>
        </w:rPr>
        <w:t> </w:t>
      </w:r>
      <w:r>
        <w:rPr/>
        <w:t>in</w:t>
      </w:r>
      <w:r>
        <w:rPr>
          <w:spacing w:val="56"/>
        </w:rPr>
        <w:t> </w:t>
      </w:r>
      <w:r>
        <w:rPr/>
        <w:t>the</w:t>
      </w:r>
      <w:r>
        <w:rPr>
          <w:spacing w:val="56"/>
        </w:rPr>
        <w:t> </w:t>
      </w:r>
      <w:r>
        <w:rPr/>
        <w:t>positive</w:t>
      </w:r>
      <w:r>
        <w:rPr>
          <w:spacing w:val="55"/>
        </w:rPr>
        <w:t> </w:t>
      </w:r>
      <w:r>
        <w:rPr/>
        <w:t>phase</w:t>
      </w:r>
      <w:r>
        <w:rPr>
          <w:spacing w:val="55"/>
        </w:rPr>
        <w:t> </w:t>
      </w:r>
      <w:r>
        <w:rPr/>
        <w:t>of</w:t>
      </w:r>
      <w:r>
        <w:rPr>
          <w:spacing w:val="55"/>
        </w:rPr>
        <w:t> </w:t>
      </w:r>
      <w:r>
        <w:rPr/>
        <w:t>the</w:t>
      </w:r>
      <w:r>
        <w:rPr>
          <w:spacing w:val="55"/>
        </w:rPr>
        <w:t> </w:t>
      </w:r>
      <w:r>
        <w:rPr/>
        <w:t>loading</w:t>
      </w:r>
      <w:r>
        <w:rPr>
          <w:spacing w:val="56"/>
        </w:rPr>
        <w:t> </w:t>
      </w:r>
      <w:r>
        <w:rPr/>
        <w:t>in</w:t>
      </w:r>
      <w:r>
        <w:rPr>
          <w:spacing w:val="56"/>
        </w:rPr>
        <w:t> </w:t>
      </w:r>
      <w:r>
        <w:rPr/>
        <w:t>the</w:t>
      </w:r>
      <w:r>
        <w:rPr>
          <w:spacing w:val="55"/>
        </w:rPr>
        <w:t> </w:t>
      </w:r>
      <w:r>
        <w:rPr/>
        <w:t>elastic</w:t>
      </w:r>
      <w:r>
        <w:rPr>
          <w:spacing w:val="54"/>
        </w:rPr>
        <w:t> </w:t>
      </w:r>
      <w:r>
        <w:rPr/>
        <w:t>regime.</w:t>
      </w:r>
      <w:r>
        <w:rPr>
          <w:spacing w:val="55"/>
        </w:rPr>
        <w:t> </w:t>
      </w:r>
      <w:r>
        <w:rPr/>
        <w:t>Additional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spacing w:line="480" w:lineRule="auto" w:before="78"/>
        <w:ind w:left="440" w:right="417"/>
        <w:jc w:val="both"/>
      </w:pPr>
      <w:r>
        <w:rPr/>
        <w:t>validation</w:t>
      </w:r>
      <w:r>
        <w:rPr>
          <w:spacing w:val="1"/>
        </w:rPr>
        <w:t> </w:t>
      </w:r>
      <w:r>
        <w:rPr/>
        <w:t>could</w:t>
      </w:r>
      <w:r>
        <w:rPr>
          <w:spacing w:val="1"/>
        </w:rPr>
        <w:t> </w:t>
      </w:r>
      <w:r>
        <w:rPr/>
        <w:t>examine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second</w:t>
      </w:r>
      <w:r>
        <w:rPr>
          <w:spacing w:val="1"/>
        </w:rPr>
        <w:t> </w:t>
      </w:r>
      <w:r>
        <w:rPr/>
        <w:t>floor</w:t>
      </w:r>
      <w:r>
        <w:rPr>
          <w:spacing w:val="1"/>
        </w:rPr>
        <w:t> </w:t>
      </w:r>
      <w:r>
        <w:rPr/>
        <w:t>displacement</w:t>
      </w:r>
      <w:r>
        <w:rPr>
          <w:spacing w:val="1"/>
        </w:rPr>
        <w:t> </w:t>
      </w:r>
      <w:r>
        <w:rPr/>
        <w:t>values</w:t>
      </w:r>
      <w:r>
        <w:rPr>
          <w:spacing w:val="1"/>
        </w:rPr>
        <w:t> </w:t>
      </w:r>
      <w:r>
        <w:rPr/>
        <w:t>given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currently</w:t>
      </w:r>
      <w:r>
        <w:rPr>
          <w:spacing w:val="1"/>
        </w:rPr>
        <w:t> </w:t>
      </w:r>
      <w:r>
        <w:rPr/>
        <w:t>available</w:t>
      </w:r>
      <w:r>
        <w:rPr>
          <w:spacing w:val="-13"/>
        </w:rPr>
        <w:t> </w:t>
      </w:r>
      <w:r>
        <w:rPr/>
        <w:t>test</w:t>
      </w:r>
      <w:r>
        <w:rPr>
          <w:spacing w:val="-12"/>
        </w:rPr>
        <w:t> </w:t>
      </w:r>
      <w:r>
        <w:rPr/>
        <w:t>data.</w:t>
      </w:r>
      <w:r>
        <w:rPr>
          <w:spacing w:val="36"/>
        </w:rPr>
        <w:t> </w:t>
      </w:r>
      <w:r>
        <w:rPr/>
        <w:t>The</w:t>
      </w:r>
      <w:r>
        <w:rPr>
          <w:spacing w:val="-12"/>
        </w:rPr>
        <w:t> </w:t>
      </w:r>
      <w:r>
        <w:rPr/>
        <w:t>four</w:t>
      </w:r>
      <w:r>
        <w:rPr>
          <w:spacing w:val="-13"/>
        </w:rPr>
        <w:t> </w:t>
      </w:r>
      <w:r>
        <w:rPr/>
        <w:t>largest</w:t>
      </w:r>
      <w:r>
        <w:rPr>
          <w:spacing w:val="-12"/>
        </w:rPr>
        <w:t> </w:t>
      </w:r>
      <w:r>
        <w:rPr/>
        <w:t>areas</w:t>
      </w:r>
      <w:r>
        <w:rPr>
          <w:spacing w:val="-12"/>
        </w:rPr>
        <w:t> </w:t>
      </w:r>
      <w:r>
        <w:rPr/>
        <w:t>that</w:t>
      </w:r>
      <w:r>
        <w:rPr>
          <w:spacing w:val="-12"/>
        </w:rPr>
        <w:t> </w:t>
      </w:r>
      <w:r>
        <w:rPr/>
        <w:t>need</w:t>
      </w:r>
      <w:r>
        <w:rPr>
          <w:spacing w:val="-12"/>
        </w:rPr>
        <w:t> </w:t>
      </w:r>
      <w:r>
        <w:rPr/>
        <w:t>further</w:t>
      </w:r>
      <w:r>
        <w:rPr>
          <w:spacing w:val="-12"/>
        </w:rPr>
        <w:t> </w:t>
      </w:r>
      <w:r>
        <w:rPr/>
        <w:t>investigation</w:t>
      </w:r>
      <w:r>
        <w:rPr>
          <w:spacing w:val="-13"/>
        </w:rPr>
        <w:t> </w:t>
      </w:r>
      <w:r>
        <w:rPr/>
        <w:t>with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CLT</w:t>
      </w:r>
      <w:r>
        <w:rPr>
          <w:spacing w:val="-13"/>
        </w:rPr>
        <w:t> </w:t>
      </w:r>
      <w:r>
        <w:rPr/>
        <w:t>blast</w:t>
      </w:r>
      <w:r>
        <w:rPr>
          <w:spacing w:val="-58"/>
        </w:rPr>
        <w:t> </w:t>
      </w:r>
      <w:r>
        <w:rPr/>
        <w:t>analysis tool are: 1) testing of CLT panels in the plastic regime, 2) the refinement for</w:t>
      </w:r>
      <w:r>
        <w:rPr>
          <w:spacing w:val="1"/>
        </w:rPr>
        <w:t> </w:t>
      </w:r>
      <w:r>
        <w:rPr/>
        <w:t>inclusion of the negative phase by adjusting the rebound blast parameters, 3) further</w:t>
      </w:r>
      <w:r>
        <w:rPr>
          <w:spacing w:val="1"/>
        </w:rPr>
        <w:t> </w:t>
      </w:r>
      <w:r>
        <w:rPr/>
        <w:t>investigation</w:t>
      </w:r>
      <w:r>
        <w:rPr>
          <w:spacing w:val="-8"/>
        </w:rPr>
        <w:t> </w:t>
      </w:r>
      <w:r>
        <w:rPr/>
        <w:t>with</w:t>
      </w:r>
      <w:r>
        <w:rPr>
          <w:spacing w:val="-7"/>
        </w:rPr>
        <w:t> </w:t>
      </w:r>
      <w:r>
        <w:rPr/>
        <w:t>rolling</w:t>
      </w:r>
      <w:r>
        <w:rPr>
          <w:spacing w:val="-7"/>
        </w:rPr>
        <w:t> </w:t>
      </w:r>
      <w:r>
        <w:rPr/>
        <w:t>shear</w:t>
      </w:r>
      <w:r>
        <w:rPr>
          <w:spacing w:val="-7"/>
        </w:rPr>
        <w:t> </w:t>
      </w:r>
      <w:r>
        <w:rPr/>
        <w:t>and</w:t>
      </w:r>
      <w:r>
        <w:rPr>
          <w:spacing w:val="-10"/>
        </w:rPr>
        <w:t> </w:t>
      </w:r>
      <w:r>
        <w:rPr/>
        <w:t>blast</w:t>
      </w:r>
      <w:r>
        <w:rPr>
          <w:spacing w:val="-8"/>
        </w:rPr>
        <w:t> </w:t>
      </w:r>
      <w:r>
        <w:rPr/>
        <w:t>response,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4)</w:t>
      </w:r>
      <w:r>
        <w:rPr>
          <w:spacing w:val="-7"/>
        </w:rPr>
        <w:t> </w:t>
      </w:r>
      <w:r>
        <w:rPr/>
        <w:t>further</w:t>
      </w:r>
      <w:r>
        <w:rPr>
          <w:spacing w:val="-9"/>
        </w:rPr>
        <w:t> </w:t>
      </w:r>
      <w:r>
        <w:rPr/>
        <w:t>exploration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a</w:t>
      </w:r>
      <w:r>
        <w:rPr>
          <w:spacing w:val="-7"/>
        </w:rPr>
        <w:t> </w:t>
      </w:r>
      <w:r>
        <w:rPr/>
        <w:t>dynamic</w:t>
      </w:r>
      <w:r>
        <w:rPr>
          <w:spacing w:val="-58"/>
        </w:rPr>
        <w:t> </w:t>
      </w:r>
      <w:r>
        <w:rPr/>
        <w:t>increase</w:t>
      </w:r>
      <w:r>
        <w:rPr>
          <w:spacing w:val="-2"/>
        </w:rPr>
        <w:t> </w:t>
      </w:r>
      <w:r>
        <w:rPr/>
        <w:t>factor</w:t>
      </w:r>
      <w:r>
        <w:rPr>
          <w:spacing w:val="-1"/>
        </w:rPr>
        <w:t> </w:t>
      </w:r>
      <w:r>
        <w:rPr/>
        <w:t>based</w:t>
      </w:r>
      <w:r>
        <w:rPr>
          <w:spacing w:val="-3"/>
        </w:rPr>
        <w:t> </w:t>
      </w:r>
      <w:r>
        <w:rPr/>
        <w:t>on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indicated</w:t>
      </w:r>
      <w:r>
        <w:rPr>
          <w:spacing w:val="-1"/>
        </w:rPr>
        <w:t> </w:t>
      </w:r>
      <w:r>
        <w:rPr/>
        <w:t>increased</w:t>
      </w:r>
      <w:r>
        <w:rPr>
          <w:spacing w:val="-3"/>
        </w:rPr>
        <w:t> </w:t>
      </w:r>
      <w:r>
        <w:rPr/>
        <w:t>strength</w:t>
      </w:r>
      <w:r>
        <w:rPr>
          <w:spacing w:val="-1"/>
        </w:rPr>
        <w:t> </w:t>
      </w:r>
      <w:r>
        <w:rPr/>
        <w:t>of</w:t>
      </w:r>
      <w:r>
        <w:rPr>
          <w:spacing w:val="-3"/>
        </w:rPr>
        <w:t> </w:t>
      </w:r>
      <w:r>
        <w:rPr/>
        <w:t>CLT</w:t>
      </w:r>
      <w:r>
        <w:rPr>
          <w:spacing w:val="-2"/>
        </w:rPr>
        <w:t> </w:t>
      </w:r>
      <w:r>
        <w:rPr/>
        <w:t>under</w:t>
      </w:r>
      <w:r>
        <w:rPr>
          <w:spacing w:val="-1"/>
        </w:rPr>
        <w:t> </w:t>
      </w:r>
      <w:r>
        <w:rPr/>
        <w:t>high</w:t>
      </w:r>
      <w:r>
        <w:rPr>
          <w:spacing w:val="-1"/>
        </w:rPr>
        <w:t> </w:t>
      </w:r>
      <w:r>
        <w:rPr/>
        <w:t>strain</w:t>
      </w:r>
      <w:r>
        <w:rPr>
          <w:spacing w:val="-3"/>
        </w:rPr>
        <w:t> </w:t>
      </w:r>
      <w:r>
        <w:rPr/>
        <w:t>loading</w:t>
      </w:r>
      <w:r>
        <w:rPr>
          <w:spacing w:val="-58"/>
        </w:rPr>
        <w:t> </w:t>
      </w:r>
      <w:r>
        <w:rPr/>
        <w:t>such</w:t>
      </w:r>
      <w:r>
        <w:rPr>
          <w:spacing w:val="-1"/>
        </w:rPr>
        <w:t> </w:t>
      </w:r>
      <w:r>
        <w:rPr/>
        <w:t>as a blast load.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/>
        <w:ind w:left="439" w:right="418" w:firstLine="720"/>
        <w:jc w:val="both"/>
      </w:pPr>
      <w:r>
        <w:rPr/>
        <w:t>The</w:t>
      </w:r>
      <w:r>
        <w:rPr>
          <w:spacing w:val="1"/>
        </w:rPr>
        <w:t> </w:t>
      </w:r>
      <w:r>
        <w:rPr/>
        <w:t>hydraulic</w:t>
      </w:r>
      <w:r>
        <w:rPr>
          <w:spacing w:val="1"/>
        </w:rPr>
        <w:t> </w:t>
      </w:r>
      <w:r>
        <w:rPr/>
        <w:t>blast</w:t>
      </w:r>
      <w:r>
        <w:rPr>
          <w:spacing w:val="1"/>
        </w:rPr>
        <w:t> </w:t>
      </w:r>
      <w:r>
        <w:rPr/>
        <w:t>generator</w:t>
      </w:r>
      <w:r>
        <w:rPr>
          <w:spacing w:val="1"/>
        </w:rPr>
        <w:t> </w:t>
      </w:r>
      <w:r>
        <w:rPr/>
        <w:t>set-up</w:t>
      </w:r>
      <w:r>
        <w:rPr>
          <w:spacing w:val="1"/>
        </w:rPr>
        <w:t> </w:t>
      </w:r>
      <w:r>
        <w:rPr/>
        <w:t>like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one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Georgia</w:t>
      </w:r>
      <w:r>
        <w:rPr>
          <w:spacing w:val="1"/>
        </w:rPr>
        <w:t> </w:t>
      </w:r>
      <w:r>
        <w:rPr/>
        <w:t>Institute</w:t>
      </w:r>
      <w:r>
        <w:rPr>
          <w:spacing w:val="1"/>
        </w:rPr>
        <w:t> </w:t>
      </w:r>
      <w:r>
        <w:rPr/>
        <w:t>of</w:t>
      </w:r>
      <w:r>
        <w:rPr>
          <w:spacing w:val="-57"/>
        </w:rPr>
        <w:t> </w:t>
      </w:r>
      <w:r>
        <w:rPr/>
        <w:t>Technology’s</w:t>
      </w:r>
      <w:r>
        <w:rPr>
          <w:spacing w:val="-8"/>
        </w:rPr>
        <w:t> </w:t>
      </w:r>
      <w:r>
        <w:rPr/>
        <w:t>Structural</w:t>
      </w:r>
      <w:r>
        <w:rPr>
          <w:spacing w:val="-8"/>
        </w:rPr>
        <w:t> </w:t>
      </w:r>
      <w:r>
        <w:rPr/>
        <w:t>Engineering</w:t>
      </w:r>
      <w:r>
        <w:rPr>
          <w:spacing w:val="-9"/>
        </w:rPr>
        <w:t> </w:t>
      </w:r>
      <w:r>
        <w:rPr/>
        <w:t>and</w:t>
      </w:r>
      <w:r>
        <w:rPr>
          <w:spacing w:val="-7"/>
        </w:rPr>
        <w:t> </w:t>
      </w:r>
      <w:r>
        <w:rPr/>
        <w:t>Materials</w:t>
      </w:r>
      <w:r>
        <w:rPr>
          <w:spacing w:val="-7"/>
        </w:rPr>
        <w:t> </w:t>
      </w:r>
      <w:r>
        <w:rPr/>
        <w:t>Laboratory</w:t>
      </w:r>
      <w:r>
        <w:rPr>
          <w:spacing w:val="-9"/>
        </w:rPr>
        <w:t> </w:t>
      </w:r>
      <w:r>
        <w:rPr/>
        <w:t>can</w:t>
      </w:r>
      <w:r>
        <w:rPr>
          <w:spacing w:val="-7"/>
        </w:rPr>
        <w:t> </w:t>
      </w:r>
      <w:r>
        <w:rPr/>
        <w:t>be</w:t>
      </w:r>
      <w:r>
        <w:rPr>
          <w:spacing w:val="-8"/>
        </w:rPr>
        <w:t> </w:t>
      </w:r>
      <w:r>
        <w:rPr/>
        <w:t>used</w:t>
      </w:r>
      <w:r>
        <w:rPr>
          <w:spacing w:val="-10"/>
        </w:rPr>
        <w:t> </w:t>
      </w:r>
      <w:r>
        <w:rPr/>
        <w:t>in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future</w:t>
      </w:r>
      <w:r>
        <w:rPr>
          <w:spacing w:val="-10"/>
        </w:rPr>
        <w:t> </w:t>
      </w:r>
      <w:r>
        <w:rPr/>
        <w:t>to</w:t>
      </w:r>
      <w:r>
        <w:rPr>
          <w:spacing w:val="-58"/>
        </w:rPr>
        <w:t> </w:t>
      </w:r>
      <w:r>
        <w:rPr/>
        <w:t>experimentally derive the resistance function of CLT panels in the plastic regime.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>
          <w:spacing w:val="-1"/>
        </w:rPr>
        <w:t>applying</w:t>
      </w:r>
      <w:r>
        <w:rPr>
          <w:spacing w:val="-16"/>
        </w:rPr>
        <w:t> </w:t>
      </w:r>
      <w:r>
        <w:rPr>
          <w:spacing w:val="-1"/>
        </w:rPr>
        <w:t>an</w:t>
      </w:r>
      <w:r>
        <w:rPr>
          <w:spacing w:val="-15"/>
        </w:rPr>
        <w:t> </w:t>
      </w:r>
      <w:r>
        <w:rPr>
          <w:spacing w:val="-1"/>
        </w:rPr>
        <w:t>impulsive</w:t>
      </w:r>
      <w:r>
        <w:rPr>
          <w:spacing w:val="-15"/>
        </w:rPr>
        <w:t> </w:t>
      </w:r>
      <w:r>
        <w:rPr>
          <w:spacing w:val="-1"/>
        </w:rPr>
        <w:t>blast-like</w:t>
      </w:r>
      <w:r>
        <w:rPr>
          <w:spacing w:val="-15"/>
        </w:rPr>
        <w:t> </w:t>
      </w:r>
      <w:r>
        <w:rPr/>
        <w:t>load</w:t>
      </w:r>
      <w:r>
        <w:rPr>
          <w:spacing w:val="-16"/>
        </w:rPr>
        <w:t> </w:t>
      </w:r>
      <w:r>
        <w:rPr/>
        <w:t>to</w:t>
      </w:r>
      <w:r>
        <w:rPr>
          <w:spacing w:val="-14"/>
        </w:rPr>
        <w:t> </w:t>
      </w:r>
      <w:r>
        <w:rPr/>
        <w:t>a</w:t>
      </w:r>
      <w:r>
        <w:rPr>
          <w:spacing w:val="-14"/>
        </w:rPr>
        <w:t> </w:t>
      </w:r>
      <w:r>
        <w:rPr/>
        <w:t>CLT</w:t>
      </w:r>
      <w:r>
        <w:rPr>
          <w:spacing w:val="-15"/>
        </w:rPr>
        <w:t> </w:t>
      </w:r>
      <w:r>
        <w:rPr/>
        <w:t>test</w:t>
      </w:r>
      <w:r>
        <w:rPr>
          <w:spacing w:val="-15"/>
        </w:rPr>
        <w:t> </w:t>
      </w:r>
      <w:r>
        <w:rPr/>
        <w:t>panel</w:t>
      </w:r>
      <w:r>
        <w:rPr>
          <w:spacing w:val="-14"/>
        </w:rPr>
        <w:t> </w:t>
      </w:r>
      <w:r>
        <w:rPr/>
        <w:t>with</w:t>
      </w:r>
      <w:r>
        <w:rPr>
          <w:spacing w:val="-14"/>
        </w:rPr>
        <w:t> </w:t>
      </w:r>
      <w:r>
        <w:rPr/>
        <w:t>a</w:t>
      </w:r>
      <w:r>
        <w:rPr>
          <w:spacing w:val="-16"/>
        </w:rPr>
        <w:t> </w:t>
      </w:r>
      <w:r>
        <w:rPr/>
        <w:t>mass</w:t>
      </w:r>
      <w:r>
        <w:rPr>
          <w:spacing w:val="-15"/>
        </w:rPr>
        <w:t> </w:t>
      </w:r>
      <w:r>
        <w:rPr/>
        <w:t>in</w:t>
      </w:r>
      <w:r>
        <w:rPr>
          <w:spacing w:val="-14"/>
        </w:rPr>
        <w:t> </w:t>
      </w:r>
      <w:r>
        <w:rPr/>
        <w:t>a</w:t>
      </w:r>
      <w:r>
        <w:rPr>
          <w:spacing w:val="-15"/>
        </w:rPr>
        <w:t> </w:t>
      </w:r>
      <w:r>
        <w:rPr/>
        <w:t>controlled</w:t>
      </w:r>
      <w:r>
        <w:rPr>
          <w:spacing w:val="-14"/>
        </w:rPr>
        <w:t> </w:t>
      </w:r>
      <w:r>
        <w:rPr/>
        <w:t>manner</w:t>
      </w:r>
      <w:r>
        <w:rPr>
          <w:spacing w:val="-58"/>
        </w:rPr>
        <w:t> </w:t>
      </w:r>
      <w:r>
        <w:rPr/>
        <w:t>data can be collected on the material response and displacement as the panel enters the</w:t>
      </w:r>
      <w:r>
        <w:rPr>
          <w:spacing w:val="1"/>
        </w:rPr>
        <w:t> </w:t>
      </w:r>
      <w:r>
        <w:rPr/>
        <w:t>plastic</w:t>
      </w:r>
      <w:r>
        <w:rPr>
          <w:spacing w:val="-11"/>
        </w:rPr>
        <w:t> </w:t>
      </w:r>
      <w:r>
        <w:rPr/>
        <w:t>regime</w:t>
      </w:r>
      <w:r>
        <w:rPr>
          <w:spacing w:val="-8"/>
        </w:rPr>
        <w:t> </w:t>
      </w:r>
      <w:r>
        <w:rPr/>
        <w:t>and</w:t>
      </w:r>
      <w:r>
        <w:rPr>
          <w:spacing w:val="-10"/>
        </w:rPr>
        <w:t> </w:t>
      </w:r>
      <w:r>
        <w:rPr/>
        <w:t>experiences</w:t>
      </w:r>
      <w:r>
        <w:rPr>
          <w:spacing w:val="-10"/>
        </w:rPr>
        <w:t> </w:t>
      </w:r>
      <w:r>
        <w:rPr/>
        <w:t>rupture</w:t>
      </w:r>
      <w:r>
        <w:rPr>
          <w:spacing w:val="-10"/>
        </w:rPr>
        <w:t> </w:t>
      </w:r>
      <w:r>
        <w:rPr/>
        <w:t>in</w:t>
      </w:r>
      <w:r>
        <w:rPr>
          <w:spacing w:val="-11"/>
        </w:rPr>
        <w:t> </w:t>
      </w:r>
      <w:r>
        <w:rPr/>
        <w:t>the</w:t>
      </w:r>
      <w:r>
        <w:rPr>
          <w:spacing w:val="-10"/>
        </w:rPr>
        <w:t> </w:t>
      </w:r>
      <w:r>
        <w:rPr/>
        <w:t>outermost</w:t>
      </w:r>
      <w:r>
        <w:rPr>
          <w:spacing w:val="-9"/>
        </w:rPr>
        <w:t> </w:t>
      </w:r>
      <w:r>
        <w:rPr/>
        <w:t>ply.</w:t>
      </w:r>
      <w:r>
        <w:rPr>
          <w:spacing w:val="41"/>
        </w:rPr>
        <w:t> </w:t>
      </w:r>
      <w:r>
        <w:rPr/>
        <w:t>The</w:t>
      </w:r>
      <w:r>
        <w:rPr>
          <w:spacing w:val="-10"/>
        </w:rPr>
        <w:t> </w:t>
      </w:r>
      <w:r>
        <w:rPr/>
        <w:t>blast</w:t>
      </w:r>
      <w:r>
        <w:rPr>
          <w:spacing w:val="-10"/>
        </w:rPr>
        <w:t> </w:t>
      </w:r>
      <w:r>
        <w:rPr/>
        <w:t>generator</w:t>
      </w:r>
      <w:r>
        <w:rPr>
          <w:spacing w:val="-9"/>
        </w:rPr>
        <w:t> </w:t>
      </w:r>
      <w:r>
        <w:rPr/>
        <w:t>allows</w:t>
      </w:r>
      <w:r>
        <w:rPr>
          <w:spacing w:val="-10"/>
        </w:rPr>
        <w:t> </w:t>
      </w:r>
      <w:r>
        <w:rPr/>
        <w:t>for</w:t>
      </w:r>
      <w:r>
        <w:rPr>
          <w:spacing w:val="-58"/>
        </w:rPr>
        <w:t> </w:t>
      </w:r>
      <w:r>
        <w:rPr/>
        <w:t>full-scale testing with repeatable load configurations thus multiple CLT grades and panel</w:t>
      </w:r>
      <w:r>
        <w:rPr>
          <w:spacing w:val="1"/>
        </w:rPr>
        <w:t> </w:t>
      </w:r>
      <w:r>
        <w:rPr/>
        <w:t>layups</w:t>
      </w:r>
      <w:r>
        <w:rPr>
          <w:spacing w:val="-1"/>
        </w:rPr>
        <w:t> </w:t>
      </w:r>
      <w:r>
        <w:rPr/>
        <w:t>could</w:t>
      </w:r>
      <w:r>
        <w:rPr>
          <w:spacing w:val="-2"/>
        </w:rPr>
        <w:t> </w:t>
      </w:r>
      <w:r>
        <w:rPr/>
        <w:t>be</w:t>
      </w:r>
      <w:r>
        <w:rPr>
          <w:spacing w:val="-1"/>
        </w:rPr>
        <w:t> </w:t>
      </w:r>
      <w:r>
        <w:rPr/>
        <w:t>tested and</w:t>
      </w:r>
      <w:r>
        <w:rPr>
          <w:spacing w:val="-1"/>
        </w:rPr>
        <w:t> </w:t>
      </w:r>
      <w:r>
        <w:rPr/>
        <w:t>used to</w:t>
      </w:r>
      <w:r>
        <w:rPr>
          <w:spacing w:val="-1"/>
        </w:rPr>
        <w:t> </w:t>
      </w:r>
      <w:r>
        <w:rPr/>
        <w:t>expand the</w:t>
      </w:r>
      <w:r>
        <w:rPr>
          <w:spacing w:val="-1"/>
        </w:rPr>
        <w:t> </w:t>
      </w:r>
      <w:r>
        <w:rPr/>
        <w:t>model and</w:t>
      </w:r>
      <w:r>
        <w:rPr>
          <w:spacing w:val="-1"/>
        </w:rPr>
        <w:t> </w:t>
      </w:r>
      <w:r>
        <w:rPr/>
        <w:t>improve its</w:t>
      </w:r>
      <w:r>
        <w:rPr>
          <w:spacing w:val="-1"/>
        </w:rPr>
        <w:t> </w:t>
      </w:r>
      <w:r>
        <w:rPr/>
        <w:t>predictions.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ind w:left="439"/>
      </w:pPr>
      <w:r>
        <w:rPr/>
        <w:t>.</w:t>
      </w:r>
    </w:p>
    <w:p>
      <w:pPr>
        <w:spacing w:after="0"/>
        <w:sectPr>
          <w:pgSz w:w="12240" w:h="15840"/>
          <w:pgMar w:header="0" w:footer="1064" w:top="1360" w:bottom="1260" w:left="1720" w:right="1020"/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48.904297pt;margin-top:312.5pt;width:15.3pt;height:20pt;mso-position-horizontal-relative:page;mso-position-vertical-relative:page;z-index:15903232" type="#_x0000_t202" filled="false" stroked="false">
            <v:textbox inset="0,0,0,0" style="layout-flow:vertical">
              <w:txbxContent>
                <w:p>
                  <w:pPr>
                    <w:pStyle w:val="BodyText"/>
                    <w:spacing w:before="10"/>
                    <w:ind w:left="20"/>
                  </w:pPr>
                  <w:r>
                    <w:rPr/>
                    <w:t>349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0"/>
        </w:rPr>
      </w:pPr>
    </w:p>
    <w:p>
      <w:pPr>
        <w:spacing w:before="90"/>
        <w:ind w:left="1945" w:right="1966" w:firstLine="0"/>
        <w:jc w:val="center"/>
        <w:rPr>
          <w:i/>
          <w:sz w:val="24"/>
        </w:rPr>
      </w:pPr>
      <w:bookmarkStart w:name="_bookmark205" w:id="577"/>
      <w:bookmarkEnd w:id="577"/>
      <w:r>
        <w:rPr/>
      </w:r>
      <w:r>
        <w:rPr>
          <w:i/>
          <w:sz w:val="24"/>
        </w:rPr>
        <w:t>Table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8-12.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CLT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blast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load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analysis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tool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predictions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V3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grades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CLT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(Southern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Yellow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Pine).</w:t>
      </w:r>
    </w:p>
    <w:p>
      <w:pPr>
        <w:pStyle w:val="BodyText"/>
        <w:spacing w:before="6"/>
        <w:rPr>
          <w:i/>
          <w:sz w:val="17"/>
        </w:r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23"/>
        <w:gridCol w:w="864"/>
        <w:gridCol w:w="1376"/>
        <w:gridCol w:w="1377"/>
        <w:gridCol w:w="1077"/>
        <w:gridCol w:w="1076"/>
        <w:gridCol w:w="1090"/>
        <w:gridCol w:w="1086"/>
        <w:gridCol w:w="2248"/>
        <w:gridCol w:w="2128"/>
      </w:tblGrid>
      <w:tr>
        <w:trPr>
          <w:trHeight w:val="299" w:hRule="atLeast"/>
        </w:trPr>
        <w:tc>
          <w:tcPr>
            <w:tcW w:w="4240" w:type="dxa"/>
            <w:gridSpan w:val="4"/>
            <w:shd w:val="clear" w:color="auto" w:fill="C0C0C0"/>
          </w:tcPr>
          <w:p>
            <w:pPr>
              <w:pStyle w:val="TableParagraph"/>
              <w:spacing w:line="234" w:lineRule="exact" w:before="45"/>
              <w:ind w:left="1019"/>
              <w:rPr>
                <w:sz w:val="22"/>
              </w:rPr>
            </w:pPr>
            <w:r>
              <w:rPr>
                <w:sz w:val="22"/>
              </w:rPr>
              <w:t>Fixed-pin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end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conditions</w:t>
            </w:r>
          </w:p>
        </w:tc>
        <w:tc>
          <w:tcPr>
            <w:tcW w:w="8705" w:type="dxa"/>
            <w:gridSpan w:val="6"/>
            <w:shd w:val="clear" w:color="auto" w:fill="C0C0C0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1264" w:hRule="atLeast"/>
        </w:trPr>
        <w:tc>
          <w:tcPr>
            <w:tcW w:w="623" w:type="dxa"/>
            <w:shd w:val="clear" w:color="auto" w:fill="C0C0C0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0"/>
              <w:rPr>
                <w:i/>
                <w:sz w:val="19"/>
              </w:rPr>
            </w:pPr>
          </w:p>
          <w:p>
            <w:pPr>
              <w:pStyle w:val="TableParagraph"/>
              <w:ind w:left="89" w:right="80"/>
              <w:jc w:val="center"/>
              <w:rPr>
                <w:sz w:val="22"/>
              </w:rPr>
            </w:pPr>
            <w:r>
              <w:rPr>
                <w:sz w:val="22"/>
              </w:rPr>
              <w:t>Shot</w:t>
            </w:r>
          </w:p>
        </w:tc>
        <w:tc>
          <w:tcPr>
            <w:tcW w:w="864" w:type="dxa"/>
            <w:shd w:val="clear" w:color="auto" w:fill="C0C0C0"/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ind w:left="217"/>
              <w:rPr>
                <w:sz w:val="22"/>
              </w:rPr>
            </w:pPr>
            <w:r>
              <w:rPr>
                <w:sz w:val="22"/>
              </w:rPr>
              <w:t>TNT</w:t>
            </w:r>
          </w:p>
          <w:p>
            <w:pPr>
              <w:pStyle w:val="TableParagraph"/>
              <w:ind w:left="244" w:right="79" w:hanging="137"/>
              <w:rPr>
                <w:sz w:val="22"/>
              </w:rPr>
            </w:pPr>
            <w:r>
              <w:rPr>
                <w:sz w:val="22"/>
              </w:rPr>
              <w:t>Weight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[lb.]</w:t>
            </w:r>
          </w:p>
        </w:tc>
        <w:tc>
          <w:tcPr>
            <w:tcW w:w="1376" w:type="dxa"/>
            <w:shd w:val="clear" w:color="auto" w:fill="C0C0C0"/>
          </w:tcPr>
          <w:p>
            <w:pPr>
              <w:pStyle w:val="TableParagraph"/>
              <w:ind w:left="106" w:right="97" w:firstLine="1"/>
              <w:jc w:val="center"/>
              <w:rPr>
                <w:sz w:val="22"/>
              </w:rPr>
            </w:pPr>
            <w:r>
              <w:rPr>
                <w:sz w:val="22"/>
              </w:rPr>
              <w:t>Inbound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model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1"/>
                <w:sz w:val="22"/>
              </w:rPr>
              <w:t>displacement</w:t>
            </w:r>
          </w:p>
          <w:p>
            <w:pPr>
              <w:pStyle w:val="TableParagraph"/>
              <w:spacing w:line="252" w:lineRule="exact"/>
              <w:ind w:left="139" w:right="131"/>
              <w:jc w:val="center"/>
              <w:rPr>
                <w:sz w:val="22"/>
              </w:rPr>
            </w:pPr>
            <w:r>
              <w:rPr>
                <w:sz w:val="22"/>
              </w:rPr>
              <w:t>(UFC loads)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[in]</w:t>
            </w:r>
          </w:p>
        </w:tc>
        <w:tc>
          <w:tcPr>
            <w:tcW w:w="1377" w:type="dxa"/>
            <w:shd w:val="clear" w:color="auto" w:fill="C0C0C0"/>
          </w:tcPr>
          <w:p>
            <w:pPr>
              <w:pStyle w:val="TableParagraph"/>
              <w:ind w:left="107" w:right="96" w:firstLine="1"/>
              <w:jc w:val="center"/>
              <w:rPr>
                <w:sz w:val="22"/>
              </w:rPr>
            </w:pPr>
            <w:r>
              <w:rPr>
                <w:sz w:val="22"/>
              </w:rPr>
              <w:t>Inbound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model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1"/>
                <w:sz w:val="22"/>
              </w:rPr>
              <w:t>displacement</w:t>
            </w:r>
          </w:p>
          <w:p>
            <w:pPr>
              <w:pStyle w:val="TableParagraph"/>
              <w:spacing w:line="252" w:lineRule="exact"/>
              <w:ind w:left="202" w:right="191"/>
              <w:jc w:val="center"/>
              <w:rPr>
                <w:sz w:val="22"/>
              </w:rPr>
            </w:pPr>
            <w:r>
              <w:rPr>
                <w:sz w:val="22"/>
              </w:rPr>
              <w:t>(field data)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[in]</w:t>
            </w:r>
          </w:p>
        </w:tc>
        <w:tc>
          <w:tcPr>
            <w:tcW w:w="1077" w:type="dxa"/>
            <w:shd w:val="clear" w:color="auto" w:fill="C0C0C0"/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ind w:left="139" w:right="129" w:firstLine="6"/>
              <w:jc w:val="both"/>
              <w:rPr>
                <w:sz w:val="22"/>
              </w:rPr>
            </w:pPr>
            <w:r>
              <w:rPr>
                <w:sz w:val="22"/>
              </w:rPr>
              <w:t>Ductility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Ratio (μ)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(UFC)</w:t>
            </w:r>
          </w:p>
        </w:tc>
        <w:tc>
          <w:tcPr>
            <w:tcW w:w="1076" w:type="dxa"/>
            <w:shd w:val="clear" w:color="auto" w:fill="C0C0C0"/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ind w:left="141" w:right="126" w:firstLine="6"/>
              <w:jc w:val="both"/>
              <w:rPr>
                <w:sz w:val="22"/>
              </w:rPr>
            </w:pPr>
            <w:r>
              <w:rPr>
                <w:sz w:val="22"/>
              </w:rPr>
              <w:t>Ductility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Ratio (μ)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(field)</w:t>
            </w:r>
          </w:p>
        </w:tc>
        <w:tc>
          <w:tcPr>
            <w:tcW w:w="1090" w:type="dxa"/>
            <w:shd w:val="clear" w:color="auto" w:fill="C0C0C0"/>
          </w:tcPr>
          <w:p>
            <w:pPr>
              <w:pStyle w:val="TableParagraph"/>
              <w:spacing w:before="125"/>
              <w:ind w:left="167" w:right="152" w:firstLine="30"/>
              <w:jc w:val="both"/>
              <w:rPr>
                <w:sz w:val="22"/>
              </w:rPr>
            </w:pPr>
            <w:r>
              <w:rPr>
                <w:sz w:val="22"/>
              </w:rPr>
              <w:t>Support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Rotation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(degree)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(UFC)</w:t>
            </w:r>
          </w:p>
        </w:tc>
        <w:tc>
          <w:tcPr>
            <w:tcW w:w="1086" w:type="dxa"/>
            <w:shd w:val="clear" w:color="auto" w:fill="C0C0C0"/>
          </w:tcPr>
          <w:p>
            <w:pPr>
              <w:pStyle w:val="TableParagraph"/>
              <w:spacing w:before="125"/>
              <w:ind w:left="166" w:right="149" w:firstLine="31"/>
              <w:jc w:val="both"/>
              <w:rPr>
                <w:sz w:val="22"/>
              </w:rPr>
            </w:pPr>
            <w:r>
              <w:rPr>
                <w:sz w:val="22"/>
              </w:rPr>
              <w:t>Support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Rotation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(degree)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(field)</w:t>
            </w:r>
          </w:p>
        </w:tc>
        <w:tc>
          <w:tcPr>
            <w:tcW w:w="2248" w:type="dxa"/>
            <w:shd w:val="clear" w:color="auto" w:fill="C0C0C0"/>
          </w:tcPr>
          <w:p>
            <w:pPr>
              <w:pStyle w:val="TableParagraph"/>
              <w:spacing w:before="9"/>
              <w:rPr>
                <w:i/>
                <w:sz w:val="32"/>
              </w:rPr>
            </w:pPr>
          </w:p>
          <w:p>
            <w:pPr>
              <w:pStyle w:val="TableParagraph"/>
              <w:ind w:left="583" w:right="288" w:hanging="260"/>
              <w:rPr>
                <w:sz w:val="22"/>
              </w:rPr>
            </w:pPr>
            <w:r>
              <w:rPr>
                <w:sz w:val="22"/>
              </w:rPr>
              <w:t>Expected Damage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(UFC/Field)</w:t>
            </w:r>
          </w:p>
        </w:tc>
        <w:tc>
          <w:tcPr>
            <w:tcW w:w="2128" w:type="dxa"/>
            <w:shd w:val="clear" w:color="auto" w:fill="C0C0C0"/>
          </w:tcPr>
          <w:p>
            <w:pPr>
              <w:pStyle w:val="TableParagraph"/>
              <w:spacing w:before="9"/>
              <w:rPr>
                <w:i/>
                <w:sz w:val="32"/>
              </w:rPr>
            </w:pPr>
          </w:p>
          <w:p>
            <w:pPr>
              <w:pStyle w:val="TableParagraph"/>
              <w:ind w:left="523" w:right="181" w:hanging="305"/>
              <w:rPr>
                <w:sz w:val="22"/>
              </w:rPr>
            </w:pPr>
            <w:r>
              <w:rPr>
                <w:sz w:val="22"/>
              </w:rPr>
              <w:t>Level of Protection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(UFC/Field)</w:t>
            </w:r>
          </w:p>
        </w:tc>
      </w:tr>
      <w:tr>
        <w:trPr>
          <w:trHeight w:val="300" w:hRule="atLeast"/>
        </w:trPr>
        <w:tc>
          <w:tcPr>
            <w:tcW w:w="623" w:type="dxa"/>
          </w:tcPr>
          <w:p>
            <w:pPr>
              <w:pStyle w:val="TableParagraph"/>
              <w:spacing w:before="22"/>
              <w:ind w:left="7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1</w:t>
            </w:r>
          </w:p>
        </w:tc>
        <w:tc>
          <w:tcPr>
            <w:tcW w:w="864" w:type="dxa"/>
          </w:tcPr>
          <w:p>
            <w:pPr>
              <w:pStyle w:val="TableParagraph"/>
              <w:spacing w:before="22"/>
              <w:ind w:left="321"/>
              <w:rPr>
                <w:sz w:val="22"/>
              </w:rPr>
            </w:pPr>
            <w:r>
              <w:rPr>
                <w:sz w:val="22"/>
              </w:rPr>
              <w:t>32</w:t>
            </w:r>
          </w:p>
        </w:tc>
        <w:tc>
          <w:tcPr>
            <w:tcW w:w="1376" w:type="dxa"/>
          </w:tcPr>
          <w:p>
            <w:pPr>
              <w:pStyle w:val="TableParagraph"/>
              <w:spacing w:before="22"/>
              <w:ind w:left="139" w:right="130"/>
              <w:jc w:val="center"/>
              <w:rPr>
                <w:sz w:val="22"/>
              </w:rPr>
            </w:pPr>
            <w:r>
              <w:rPr>
                <w:sz w:val="22"/>
              </w:rPr>
              <w:t>1.206</w:t>
            </w:r>
          </w:p>
        </w:tc>
        <w:tc>
          <w:tcPr>
            <w:tcW w:w="1377" w:type="dxa"/>
          </w:tcPr>
          <w:p>
            <w:pPr>
              <w:pStyle w:val="TableParagraph"/>
              <w:spacing w:before="22"/>
              <w:ind w:left="202" w:right="191"/>
              <w:jc w:val="center"/>
              <w:rPr>
                <w:sz w:val="22"/>
              </w:rPr>
            </w:pPr>
            <w:r>
              <w:rPr>
                <w:sz w:val="22"/>
              </w:rPr>
              <w:t>1.091</w:t>
            </w:r>
          </w:p>
        </w:tc>
        <w:tc>
          <w:tcPr>
            <w:tcW w:w="1077" w:type="dxa"/>
          </w:tcPr>
          <w:p>
            <w:pPr>
              <w:pStyle w:val="TableParagraph"/>
              <w:spacing w:before="22"/>
              <w:ind w:left="291"/>
              <w:rPr>
                <w:sz w:val="22"/>
              </w:rPr>
            </w:pPr>
            <w:r>
              <w:rPr>
                <w:sz w:val="22"/>
              </w:rPr>
              <w:t>0.658</w:t>
            </w:r>
          </w:p>
        </w:tc>
        <w:tc>
          <w:tcPr>
            <w:tcW w:w="1076" w:type="dxa"/>
          </w:tcPr>
          <w:p>
            <w:pPr>
              <w:pStyle w:val="TableParagraph"/>
              <w:spacing w:before="22"/>
              <w:ind w:left="292"/>
              <w:rPr>
                <w:sz w:val="22"/>
              </w:rPr>
            </w:pPr>
            <w:r>
              <w:rPr>
                <w:sz w:val="22"/>
              </w:rPr>
              <w:t>0.596</w:t>
            </w:r>
          </w:p>
        </w:tc>
        <w:tc>
          <w:tcPr>
            <w:tcW w:w="1090" w:type="dxa"/>
          </w:tcPr>
          <w:p>
            <w:pPr>
              <w:pStyle w:val="TableParagraph"/>
              <w:spacing w:before="22"/>
              <w:ind w:left="299"/>
              <w:rPr>
                <w:sz w:val="22"/>
              </w:rPr>
            </w:pPr>
            <w:r>
              <w:rPr>
                <w:sz w:val="22"/>
              </w:rPr>
              <w:t>0.959</w:t>
            </w:r>
          </w:p>
        </w:tc>
        <w:tc>
          <w:tcPr>
            <w:tcW w:w="1086" w:type="dxa"/>
          </w:tcPr>
          <w:p>
            <w:pPr>
              <w:pStyle w:val="TableParagraph"/>
              <w:spacing w:before="22"/>
              <w:ind w:left="172" w:right="156"/>
              <w:jc w:val="center"/>
              <w:rPr>
                <w:sz w:val="22"/>
              </w:rPr>
            </w:pPr>
            <w:r>
              <w:rPr>
                <w:sz w:val="22"/>
              </w:rPr>
              <w:t>0.868</w:t>
            </w:r>
          </w:p>
        </w:tc>
        <w:tc>
          <w:tcPr>
            <w:tcW w:w="2248" w:type="dxa"/>
          </w:tcPr>
          <w:p>
            <w:pPr>
              <w:pStyle w:val="TableParagraph"/>
              <w:spacing w:before="22"/>
              <w:ind w:left="111" w:right="95"/>
              <w:jc w:val="center"/>
              <w:rPr>
                <w:sz w:val="22"/>
              </w:rPr>
            </w:pPr>
            <w:r>
              <w:rPr>
                <w:sz w:val="22"/>
              </w:rPr>
              <w:t>Superficial/Superficial</w:t>
            </w:r>
          </w:p>
        </w:tc>
        <w:tc>
          <w:tcPr>
            <w:tcW w:w="2128" w:type="dxa"/>
          </w:tcPr>
          <w:p>
            <w:pPr>
              <w:pStyle w:val="TableParagraph"/>
              <w:spacing w:before="22"/>
              <w:ind w:left="120" w:right="102"/>
              <w:jc w:val="center"/>
              <w:rPr>
                <w:sz w:val="22"/>
              </w:rPr>
            </w:pPr>
            <w:r>
              <w:rPr>
                <w:sz w:val="22"/>
              </w:rPr>
              <w:t>Medium/Medium</w:t>
            </w:r>
          </w:p>
        </w:tc>
      </w:tr>
      <w:tr>
        <w:trPr>
          <w:trHeight w:val="299" w:hRule="atLeast"/>
        </w:trPr>
        <w:tc>
          <w:tcPr>
            <w:tcW w:w="623" w:type="dxa"/>
          </w:tcPr>
          <w:p>
            <w:pPr>
              <w:pStyle w:val="TableParagraph"/>
              <w:spacing w:before="21"/>
              <w:ind w:left="7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2</w:t>
            </w:r>
          </w:p>
        </w:tc>
        <w:tc>
          <w:tcPr>
            <w:tcW w:w="864" w:type="dxa"/>
          </w:tcPr>
          <w:p>
            <w:pPr>
              <w:pStyle w:val="TableParagraph"/>
              <w:spacing w:before="21"/>
              <w:ind w:left="321"/>
              <w:rPr>
                <w:sz w:val="22"/>
              </w:rPr>
            </w:pPr>
            <w:r>
              <w:rPr>
                <w:sz w:val="22"/>
              </w:rPr>
              <w:t>67</w:t>
            </w:r>
          </w:p>
        </w:tc>
        <w:tc>
          <w:tcPr>
            <w:tcW w:w="1376" w:type="dxa"/>
          </w:tcPr>
          <w:p>
            <w:pPr>
              <w:pStyle w:val="TableParagraph"/>
              <w:spacing w:before="21"/>
              <w:ind w:left="139" w:right="130"/>
              <w:jc w:val="center"/>
              <w:rPr>
                <w:sz w:val="22"/>
              </w:rPr>
            </w:pPr>
            <w:r>
              <w:rPr>
                <w:sz w:val="22"/>
              </w:rPr>
              <w:t>1.944</w:t>
            </w:r>
          </w:p>
        </w:tc>
        <w:tc>
          <w:tcPr>
            <w:tcW w:w="1377" w:type="dxa"/>
          </w:tcPr>
          <w:p>
            <w:pPr>
              <w:pStyle w:val="TableParagraph"/>
              <w:spacing w:before="21"/>
              <w:ind w:left="202" w:right="191"/>
              <w:jc w:val="center"/>
              <w:rPr>
                <w:sz w:val="22"/>
              </w:rPr>
            </w:pPr>
            <w:r>
              <w:rPr>
                <w:sz w:val="22"/>
              </w:rPr>
              <w:t>1.785</w:t>
            </w:r>
          </w:p>
        </w:tc>
        <w:tc>
          <w:tcPr>
            <w:tcW w:w="1077" w:type="dxa"/>
          </w:tcPr>
          <w:p>
            <w:pPr>
              <w:pStyle w:val="TableParagraph"/>
              <w:spacing w:before="21"/>
              <w:ind w:left="291"/>
              <w:rPr>
                <w:sz w:val="22"/>
              </w:rPr>
            </w:pPr>
            <w:r>
              <w:rPr>
                <w:sz w:val="22"/>
              </w:rPr>
              <w:t>1.061</w:t>
            </w:r>
          </w:p>
        </w:tc>
        <w:tc>
          <w:tcPr>
            <w:tcW w:w="1076" w:type="dxa"/>
          </w:tcPr>
          <w:p>
            <w:pPr>
              <w:pStyle w:val="TableParagraph"/>
              <w:spacing w:before="21"/>
              <w:ind w:left="292"/>
              <w:rPr>
                <w:sz w:val="22"/>
              </w:rPr>
            </w:pPr>
            <w:r>
              <w:rPr>
                <w:sz w:val="22"/>
              </w:rPr>
              <w:t>0.975</w:t>
            </w:r>
          </w:p>
        </w:tc>
        <w:tc>
          <w:tcPr>
            <w:tcW w:w="1090" w:type="dxa"/>
          </w:tcPr>
          <w:p>
            <w:pPr>
              <w:pStyle w:val="TableParagraph"/>
              <w:spacing w:before="21"/>
              <w:ind w:left="299"/>
              <w:rPr>
                <w:sz w:val="22"/>
              </w:rPr>
            </w:pPr>
            <w:r>
              <w:rPr>
                <w:sz w:val="22"/>
              </w:rPr>
              <w:t>1.547</w:t>
            </w:r>
          </w:p>
        </w:tc>
        <w:tc>
          <w:tcPr>
            <w:tcW w:w="1086" w:type="dxa"/>
          </w:tcPr>
          <w:p>
            <w:pPr>
              <w:pStyle w:val="TableParagraph"/>
              <w:spacing w:before="21"/>
              <w:ind w:left="172" w:right="154"/>
              <w:jc w:val="center"/>
              <w:rPr>
                <w:sz w:val="22"/>
              </w:rPr>
            </w:pPr>
            <w:r>
              <w:rPr>
                <w:sz w:val="22"/>
              </w:rPr>
              <w:t>1.42</w:t>
            </w:r>
          </w:p>
        </w:tc>
        <w:tc>
          <w:tcPr>
            <w:tcW w:w="2248" w:type="dxa"/>
          </w:tcPr>
          <w:p>
            <w:pPr>
              <w:pStyle w:val="TableParagraph"/>
              <w:spacing w:before="21"/>
              <w:ind w:left="109" w:right="95"/>
              <w:jc w:val="center"/>
              <w:rPr>
                <w:sz w:val="22"/>
              </w:rPr>
            </w:pPr>
            <w:r>
              <w:rPr>
                <w:sz w:val="22"/>
              </w:rPr>
              <w:t>Moderate/Superficial</w:t>
            </w:r>
          </w:p>
        </w:tc>
        <w:tc>
          <w:tcPr>
            <w:tcW w:w="2128" w:type="dxa"/>
          </w:tcPr>
          <w:p>
            <w:pPr>
              <w:pStyle w:val="TableParagraph"/>
              <w:spacing w:before="21"/>
              <w:ind w:left="121" w:right="101"/>
              <w:jc w:val="center"/>
              <w:rPr>
                <w:sz w:val="22"/>
              </w:rPr>
            </w:pPr>
            <w:r>
              <w:rPr>
                <w:sz w:val="22"/>
              </w:rPr>
              <w:t>Low/Medium</w:t>
            </w:r>
          </w:p>
        </w:tc>
      </w:tr>
      <w:tr>
        <w:trPr>
          <w:trHeight w:val="299" w:hRule="atLeast"/>
        </w:trPr>
        <w:tc>
          <w:tcPr>
            <w:tcW w:w="623" w:type="dxa"/>
          </w:tcPr>
          <w:p>
            <w:pPr>
              <w:pStyle w:val="TableParagraph"/>
              <w:spacing w:before="22"/>
              <w:ind w:left="7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3</w:t>
            </w:r>
          </w:p>
        </w:tc>
        <w:tc>
          <w:tcPr>
            <w:tcW w:w="864" w:type="dxa"/>
          </w:tcPr>
          <w:p>
            <w:pPr>
              <w:pStyle w:val="TableParagraph"/>
              <w:spacing w:before="22"/>
              <w:ind w:left="265"/>
              <w:rPr>
                <w:sz w:val="22"/>
              </w:rPr>
            </w:pPr>
            <w:r>
              <w:rPr>
                <w:sz w:val="22"/>
              </w:rPr>
              <w:t>199</w:t>
            </w:r>
          </w:p>
        </w:tc>
        <w:tc>
          <w:tcPr>
            <w:tcW w:w="1376" w:type="dxa"/>
          </w:tcPr>
          <w:p>
            <w:pPr>
              <w:pStyle w:val="TableParagraph"/>
              <w:spacing w:before="22"/>
              <w:ind w:left="139" w:right="130"/>
              <w:jc w:val="center"/>
              <w:rPr>
                <w:sz w:val="22"/>
              </w:rPr>
            </w:pPr>
            <w:r>
              <w:rPr>
                <w:sz w:val="22"/>
              </w:rPr>
              <w:t>5.148</w:t>
            </w:r>
          </w:p>
        </w:tc>
        <w:tc>
          <w:tcPr>
            <w:tcW w:w="1377" w:type="dxa"/>
          </w:tcPr>
          <w:p>
            <w:pPr>
              <w:pStyle w:val="TableParagraph"/>
              <w:spacing w:before="22"/>
              <w:ind w:left="202" w:right="191"/>
              <w:jc w:val="center"/>
              <w:rPr>
                <w:sz w:val="22"/>
              </w:rPr>
            </w:pPr>
            <w:r>
              <w:rPr>
                <w:sz w:val="22"/>
              </w:rPr>
              <w:t>3.956</w:t>
            </w:r>
          </w:p>
        </w:tc>
        <w:tc>
          <w:tcPr>
            <w:tcW w:w="1077" w:type="dxa"/>
          </w:tcPr>
          <w:p>
            <w:pPr>
              <w:pStyle w:val="TableParagraph"/>
              <w:spacing w:before="22"/>
              <w:ind w:left="345"/>
              <w:rPr>
                <w:sz w:val="22"/>
              </w:rPr>
            </w:pPr>
            <w:r>
              <w:rPr>
                <w:sz w:val="22"/>
              </w:rPr>
              <w:t>2.81</w:t>
            </w:r>
          </w:p>
        </w:tc>
        <w:tc>
          <w:tcPr>
            <w:tcW w:w="1076" w:type="dxa"/>
          </w:tcPr>
          <w:p>
            <w:pPr>
              <w:pStyle w:val="TableParagraph"/>
              <w:spacing w:before="22"/>
              <w:ind w:left="346"/>
              <w:rPr>
                <w:sz w:val="22"/>
              </w:rPr>
            </w:pPr>
            <w:r>
              <w:rPr>
                <w:sz w:val="22"/>
              </w:rPr>
              <w:t>2.16</w:t>
            </w:r>
          </w:p>
        </w:tc>
        <w:tc>
          <w:tcPr>
            <w:tcW w:w="1090" w:type="dxa"/>
          </w:tcPr>
          <w:p>
            <w:pPr>
              <w:pStyle w:val="TableParagraph"/>
              <w:spacing w:before="22"/>
              <w:ind w:left="353"/>
              <w:rPr>
                <w:sz w:val="22"/>
              </w:rPr>
            </w:pPr>
            <w:r>
              <w:rPr>
                <w:sz w:val="22"/>
              </w:rPr>
              <w:t>4.09</w:t>
            </w:r>
          </w:p>
        </w:tc>
        <w:tc>
          <w:tcPr>
            <w:tcW w:w="1086" w:type="dxa"/>
          </w:tcPr>
          <w:p>
            <w:pPr>
              <w:pStyle w:val="TableParagraph"/>
              <w:spacing w:before="22"/>
              <w:ind w:left="172" w:right="156"/>
              <w:jc w:val="center"/>
              <w:rPr>
                <w:sz w:val="22"/>
              </w:rPr>
            </w:pPr>
            <w:r>
              <w:rPr>
                <w:sz w:val="22"/>
              </w:rPr>
              <w:t>3.145</w:t>
            </w:r>
          </w:p>
        </w:tc>
        <w:tc>
          <w:tcPr>
            <w:tcW w:w="2248" w:type="dxa"/>
          </w:tcPr>
          <w:p>
            <w:pPr>
              <w:pStyle w:val="TableParagraph"/>
              <w:spacing w:before="22"/>
              <w:ind w:left="110" w:right="95"/>
              <w:jc w:val="center"/>
              <w:rPr>
                <w:sz w:val="22"/>
              </w:rPr>
            </w:pPr>
            <w:r>
              <w:rPr>
                <w:sz w:val="22"/>
              </w:rPr>
              <w:t>Hazardous/Hazardous</w:t>
            </w:r>
          </w:p>
        </w:tc>
        <w:tc>
          <w:tcPr>
            <w:tcW w:w="2128" w:type="dxa"/>
          </w:tcPr>
          <w:p>
            <w:pPr>
              <w:pStyle w:val="TableParagraph"/>
              <w:spacing w:before="22"/>
              <w:ind w:left="120" w:right="102"/>
              <w:jc w:val="center"/>
              <w:rPr>
                <w:sz w:val="22"/>
              </w:rPr>
            </w:pPr>
            <w:r>
              <w:rPr>
                <w:sz w:val="22"/>
              </w:rPr>
              <w:t>Collapse/Collapse</w:t>
            </w:r>
          </w:p>
        </w:tc>
      </w:tr>
      <w:tr>
        <w:trPr>
          <w:trHeight w:val="300" w:hRule="atLeast"/>
        </w:trPr>
        <w:tc>
          <w:tcPr>
            <w:tcW w:w="4240" w:type="dxa"/>
            <w:gridSpan w:val="4"/>
            <w:shd w:val="clear" w:color="auto" w:fill="C0C0C0"/>
          </w:tcPr>
          <w:p>
            <w:pPr>
              <w:pStyle w:val="TableParagraph"/>
              <w:spacing w:line="234" w:lineRule="exact" w:before="46"/>
              <w:ind w:left="649"/>
              <w:rPr>
                <w:sz w:val="22"/>
              </w:rPr>
            </w:pPr>
            <w:r>
              <w:rPr>
                <w:sz w:val="22"/>
              </w:rPr>
              <w:t>Simply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Supported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end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conditions</w:t>
            </w:r>
          </w:p>
        </w:tc>
        <w:tc>
          <w:tcPr>
            <w:tcW w:w="8705" w:type="dxa"/>
            <w:gridSpan w:val="6"/>
            <w:shd w:val="clear" w:color="auto" w:fill="C0C0C0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1264" w:hRule="atLeast"/>
        </w:trPr>
        <w:tc>
          <w:tcPr>
            <w:tcW w:w="623" w:type="dxa"/>
            <w:shd w:val="clear" w:color="auto" w:fill="C0C0C0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0"/>
              <w:rPr>
                <w:i/>
                <w:sz w:val="19"/>
              </w:rPr>
            </w:pPr>
          </w:p>
          <w:p>
            <w:pPr>
              <w:pStyle w:val="TableParagraph"/>
              <w:ind w:left="89" w:right="80"/>
              <w:jc w:val="center"/>
              <w:rPr>
                <w:sz w:val="22"/>
              </w:rPr>
            </w:pPr>
            <w:r>
              <w:rPr>
                <w:sz w:val="22"/>
              </w:rPr>
              <w:t>Shot</w:t>
            </w:r>
          </w:p>
        </w:tc>
        <w:tc>
          <w:tcPr>
            <w:tcW w:w="864" w:type="dxa"/>
            <w:shd w:val="clear" w:color="auto" w:fill="C0C0C0"/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ind w:left="217"/>
              <w:rPr>
                <w:sz w:val="22"/>
              </w:rPr>
            </w:pPr>
            <w:r>
              <w:rPr>
                <w:sz w:val="22"/>
              </w:rPr>
              <w:t>TNT</w:t>
            </w:r>
          </w:p>
          <w:p>
            <w:pPr>
              <w:pStyle w:val="TableParagraph"/>
              <w:ind w:left="244" w:right="79" w:hanging="137"/>
              <w:rPr>
                <w:sz w:val="22"/>
              </w:rPr>
            </w:pPr>
            <w:r>
              <w:rPr>
                <w:sz w:val="22"/>
              </w:rPr>
              <w:t>Weight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[lb.]</w:t>
            </w:r>
          </w:p>
        </w:tc>
        <w:tc>
          <w:tcPr>
            <w:tcW w:w="1376" w:type="dxa"/>
            <w:shd w:val="clear" w:color="auto" w:fill="C0C0C0"/>
          </w:tcPr>
          <w:p>
            <w:pPr>
              <w:pStyle w:val="TableParagraph"/>
              <w:ind w:left="106" w:right="97" w:firstLine="1"/>
              <w:jc w:val="center"/>
              <w:rPr>
                <w:sz w:val="22"/>
              </w:rPr>
            </w:pPr>
            <w:r>
              <w:rPr>
                <w:sz w:val="22"/>
              </w:rPr>
              <w:t>Inbound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model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1"/>
                <w:sz w:val="22"/>
              </w:rPr>
              <w:t>displacement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(UFC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loads)</w:t>
            </w:r>
          </w:p>
          <w:p>
            <w:pPr>
              <w:pStyle w:val="TableParagraph"/>
              <w:spacing w:line="234" w:lineRule="exact"/>
              <w:ind w:left="138" w:right="131"/>
              <w:jc w:val="center"/>
              <w:rPr>
                <w:sz w:val="22"/>
              </w:rPr>
            </w:pPr>
            <w:r>
              <w:rPr>
                <w:sz w:val="22"/>
              </w:rPr>
              <w:t>[in]</w:t>
            </w:r>
          </w:p>
        </w:tc>
        <w:tc>
          <w:tcPr>
            <w:tcW w:w="1377" w:type="dxa"/>
            <w:shd w:val="clear" w:color="auto" w:fill="C0C0C0"/>
          </w:tcPr>
          <w:p>
            <w:pPr>
              <w:pStyle w:val="TableParagraph"/>
              <w:ind w:left="107" w:right="96" w:firstLine="1"/>
              <w:jc w:val="center"/>
              <w:rPr>
                <w:sz w:val="22"/>
              </w:rPr>
            </w:pPr>
            <w:r>
              <w:rPr>
                <w:sz w:val="22"/>
              </w:rPr>
              <w:t>Inbound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model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1"/>
                <w:sz w:val="22"/>
              </w:rPr>
              <w:t>displacement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(field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data)</w:t>
            </w:r>
          </w:p>
          <w:p>
            <w:pPr>
              <w:pStyle w:val="TableParagraph"/>
              <w:spacing w:line="234" w:lineRule="exact"/>
              <w:ind w:left="200" w:right="191"/>
              <w:jc w:val="center"/>
              <w:rPr>
                <w:sz w:val="22"/>
              </w:rPr>
            </w:pPr>
            <w:r>
              <w:rPr>
                <w:sz w:val="22"/>
              </w:rPr>
              <w:t>[in]</w:t>
            </w:r>
          </w:p>
        </w:tc>
        <w:tc>
          <w:tcPr>
            <w:tcW w:w="1077" w:type="dxa"/>
            <w:shd w:val="clear" w:color="auto" w:fill="C0C0C0"/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ind w:left="139" w:right="129" w:firstLine="6"/>
              <w:jc w:val="both"/>
              <w:rPr>
                <w:sz w:val="22"/>
              </w:rPr>
            </w:pPr>
            <w:r>
              <w:rPr>
                <w:sz w:val="22"/>
              </w:rPr>
              <w:t>Ductility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Ratio (μ)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(UFC)</w:t>
            </w:r>
          </w:p>
        </w:tc>
        <w:tc>
          <w:tcPr>
            <w:tcW w:w="1076" w:type="dxa"/>
            <w:shd w:val="clear" w:color="auto" w:fill="C0C0C0"/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ind w:left="141" w:right="126" w:firstLine="6"/>
              <w:jc w:val="both"/>
              <w:rPr>
                <w:sz w:val="22"/>
              </w:rPr>
            </w:pPr>
            <w:r>
              <w:rPr>
                <w:sz w:val="22"/>
              </w:rPr>
              <w:t>Ductility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Ratio (μ)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(field)</w:t>
            </w:r>
          </w:p>
        </w:tc>
        <w:tc>
          <w:tcPr>
            <w:tcW w:w="1090" w:type="dxa"/>
            <w:shd w:val="clear" w:color="auto" w:fill="C0C0C0"/>
          </w:tcPr>
          <w:p>
            <w:pPr>
              <w:pStyle w:val="TableParagraph"/>
              <w:spacing w:before="124"/>
              <w:ind w:left="167" w:right="152" w:firstLine="30"/>
              <w:jc w:val="both"/>
              <w:rPr>
                <w:sz w:val="22"/>
              </w:rPr>
            </w:pPr>
            <w:r>
              <w:rPr>
                <w:sz w:val="22"/>
              </w:rPr>
              <w:t>Support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Rotation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(degree)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(UFC)</w:t>
            </w:r>
          </w:p>
        </w:tc>
        <w:tc>
          <w:tcPr>
            <w:tcW w:w="1086" w:type="dxa"/>
            <w:shd w:val="clear" w:color="auto" w:fill="C0C0C0"/>
          </w:tcPr>
          <w:p>
            <w:pPr>
              <w:pStyle w:val="TableParagraph"/>
              <w:spacing w:before="124"/>
              <w:ind w:left="166" w:right="149" w:firstLine="31"/>
              <w:jc w:val="both"/>
              <w:rPr>
                <w:sz w:val="22"/>
              </w:rPr>
            </w:pPr>
            <w:r>
              <w:rPr>
                <w:sz w:val="22"/>
              </w:rPr>
              <w:t>Support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Rotation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(degree)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(field)</w:t>
            </w:r>
          </w:p>
        </w:tc>
        <w:tc>
          <w:tcPr>
            <w:tcW w:w="2248" w:type="dxa"/>
            <w:shd w:val="clear" w:color="auto" w:fill="C0C0C0"/>
          </w:tcPr>
          <w:p>
            <w:pPr>
              <w:pStyle w:val="TableParagraph"/>
              <w:spacing w:before="9"/>
              <w:rPr>
                <w:i/>
                <w:sz w:val="32"/>
              </w:rPr>
            </w:pPr>
          </w:p>
          <w:p>
            <w:pPr>
              <w:pStyle w:val="TableParagraph"/>
              <w:ind w:left="583" w:right="288" w:hanging="260"/>
              <w:rPr>
                <w:sz w:val="22"/>
              </w:rPr>
            </w:pPr>
            <w:r>
              <w:rPr>
                <w:sz w:val="22"/>
              </w:rPr>
              <w:t>Expected Damage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(UFC/Field)</w:t>
            </w:r>
          </w:p>
        </w:tc>
        <w:tc>
          <w:tcPr>
            <w:tcW w:w="2128" w:type="dxa"/>
            <w:shd w:val="clear" w:color="auto" w:fill="C0C0C0"/>
          </w:tcPr>
          <w:p>
            <w:pPr>
              <w:pStyle w:val="TableParagraph"/>
              <w:spacing w:before="9"/>
              <w:rPr>
                <w:i/>
                <w:sz w:val="32"/>
              </w:rPr>
            </w:pPr>
          </w:p>
          <w:p>
            <w:pPr>
              <w:pStyle w:val="TableParagraph"/>
              <w:ind w:left="523" w:right="181" w:hanging="305"/>
              <w:rPr>
                <w:sz w:val="22"/>
              </w:rPr>
            </w:pPr>
            <w:r>
              <w:rPr>
                <w:sz w:val="22"/>
              </w:rPr>
              <w:t>Level of Protection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(UFC/Field)</w:t>
            </w:r>
          </w:p>
        </w:tc>
      </w:tr>
      <w:tr>
        <w:trPr>
          <w:trHeight w:val="299" w:hRule="atLeast"/>
        </w:trPr>
        <w:tc>
          <w:tcPr>
            <w:tcW w:w="623" w:type="dxa"/>
          </w:tcPr>
          <w:p>
            <w:pPr>
              <w:pStyle w:val="TableParagraph"/>
              <w:spacing w:before="22"/>
              <w:ind w:left="7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1</w:t>
            </w:r>
          </w:p>
        </w:tc>
        <w:tc>
          <w:tcPr>
            <w:tcW w:w="864" w:type="dxa"/>
          </w:tcPr>
          <w:p>
            <w:pPr>
              <w:pStyle w:val="TableParagraph"/>
              <w:spacing w:before="22"/>
              <w:ind w:left="321"/>
              <w:rPr>
                <w:sz w:val="22"/>
              </w:rPr>
            </w:pPr>
            <w:r>
              <w:rPr>
                <w:sz w:val="22"/>
              </w:rPr>
              <w:t>32</w:t>
            </w:r>
          </w:p>
        </w:tc>
        <w:tc>
          <w:tcPr>
            <w:tcW w:w="1376" w:type="dxa"/>
          </w:tcPr>
          <w:p>
            <w:pPr>
              <w:pStyle w:val="TableParagraph"/>
              <w:spacing w:before="22"/>
              <w:ind w:left="139" w:right="130"/>
              <w:jc w:val="center"/>
              <w:rPr>
                <w:sz w:val="22"/>
              </w:rPr>
            </w:pPr>
            <w:r>
              <w:rPr>
                <w:sz w:val="22"/>
              </w:rPr>
              <w:t>1.566</w:t>
            </w:r>
          </w:p>
        </w:tc>
        <w:tc>
          <w:tcPr>
            <w:tcW w:w="1377" w:type="dxa"/>
          </w:tcPr>
          <w:p>
            <w:pPr>
              <w:pStyle w:val="TableParagraph"/>
              <w:spacing w:before="22"/>
              <w:ind w:left="202" w:right="191"/>
              <w:jc w:val="center"/>
              <w:rPr>
                <w:sz w:val="22"/>
              </w:rPr>
            </w:pPr>
            <w:r>
              <w:rPr>
                <w:sz w:val="22"/>
              </w:rPr>
              <w:t>1.416</w:t>
            </w:r>
          </w:p>
        </w:tc>
        <w:tc>
          <w:tcPr>
            <w:tcW w:w="1077" w:type="dxa"/>
          </w:tcPr>
          <w:p>
            <w:pPr>
              <w:pStyle w:val="TableParagraph"/>
              <w:spacing w:before="22"/>
              <w:ind w:left="345"/>
              <w:rPr>
                <w:sz w:val="22"/>
              </w:rPr>
            </w:pPr>
            <w:r>
              <w:rPr>
                <w:sz w:val="22"/>
              </w:rPr>
              <w:t>1.05</w:t>
            </w:r>
          </w:p>
        </w:tc>
        <w:tc>
          <w:tcPr>
            <w:tcW w:w="1076" w:type="dxa"/>
          </w:tcPr>
          <w:p>
            <w:pPr>
              <w:pStyle w:val="TableParagraph"/>
              <w:spacing w:before="22"/>
              <w:ind w:left="292"/>
              <w:rPr>
                <w:sz w:val="22"/>
              </w:rPr>
            </w:pPr>
            <w:r>
              <w:rPr>
                <w:sz w:val="22"/>
              </w:rPr>
              <w:t>0.949</w:t>
            </w:r>
          </w:p>
        </w:tc>
        <w:tc>
          <w:tcPr>
            <w:tcW w:w="1090" w:type="dxa"/>
          </w:tcPr>
          <w:p>
            <w:pPr>
              <w:pStyle w:val="TableParagraph"/>
              <w:spacing w:before="22"/>
              <w:ind w:left="299"/>
              <w:rPr>
                <w:sz w:val="22"/>
              </w:rPr>
            </w:pPr>
            <w:r>
              <w:rPr>
                <w:sz w:val="22"/>
              </w:rPr>
              <w:t>1.246</w:t>
            </w:r>
          </w:p>
        </w:tc>
        <w:tc>
          <w:tcPr>
            <w:tcW w:w="1086" w:type="dxa"/>
          </w:tcPr>
          <w:p>
            <w:pPr>
              <w:pStyle w:val="TableParagraph"/>
              <w:spacing w:before="22"/>
              <w:ind w:left="172" w:right="156"/>
              <w:jc w:val="center"/>
              <w:rPr>
                <w:sz w:val="22"/>
              </w:rPr>
            </w:pPr>
            <w:r>
              <w:rPr>
                <w:sz w:val="22"/>
              </w:rPr>
              <w:t>1.126</w:t>
            </w:r>
          </w:p>
        </w:tc>
        <w:tc>
          <w:tcPr>
            <w:tcW w:w="2248" w:type="dxa"/>
          </w:tcPr>
          <w:p>
            <w:pPr>
              <w:pStyle w:val="TableParagraph"/>
              <w:spacing w:before="22"/>
              <w:ind w:left="111" w:right="93"/>
              <w:jc w:val="center"/>
              <w:rPr>
                <w:sz w:val="22"/>
              </w:rPr>
            </w:pPr>
            <w:r>
              <w:rPr>
                <w:sz w:val="22"/>
              </w:rPr>
              <w:t>Mod/Super</w:t>
            </w:r>
          </w:p>
        </w:tc>
        <w:tc>
          <w:tcPr>
            <w:tcW w:w="2128" w:type="dxa"/>
          </w:tcPr>
          <w:p>
            <w:pPr>
              <w:pStyle w:val="TableParagraph"/>
              <w:spacing w:before="22"/>
              <w:ind w:left="121" w:right="101"/>
              <w:jc w:val="center"/>
              <w:rPr>
                <w:sz w:val="22"/>
              </w:rPr>
            </w:pPr>
            <w:r>
              <w:rPr>
                <w:sz w:val="22"/>
              </w:rPr>
              <w:t>Low/Medium</w:t>
            </w:r>
          </w:p>
        </w:tc>
      </w:tr>
      <w:tr>
        <w:trPr>
          <w:trHeight w:val="300" w:hRule="atLeast"/>
        </w:trPr>
        <w:tc>
          <w:tcPr>
            <w:tcW w:w="623" w:type="dxa"/>
          </w:tcPr>
          <w:p>
            <w:pPr>
              <w:pStyle w:val="TableParagraph"/>
              <w:spacing w:before="22"/>
              <w:ind w:left="7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2</w:t>
            </w:r>
          </w:p>
        </w:tc>
        <w:tc>
          <w:tcPr>
            <w:tcW w:w="864" w:type="dxa"/>
          </w:tcPr>
          <w:p>
            <w:pPr>
              <w:pStyle w:val="TableParagraph"/>
              <w:spacing w:before="22"/>
              <w:ind w:left="321"/>
              <w:rPr>
                <w:sz w:val="22"/>
              </w:rPr>
            </w:pPr>
            <w:r>
              <w:rPr>
                <w:sz w:val="22"/>
              </w:rPr>
              <w:t>67</w:t>
            </w:r>
          </w:p>
        </w:tc>
        <w:tc>
          <w:tcPr>
            <w:tcW w:w="1376" w:type="dxa"/>
          </w:tcPr>
          <w:p>
            <w:pPr>
              <w:pStyle w:val="TableParagraph"/>
              <w:spacing w:before="22"/>
              <w:ind w:left="139" w:right="130"/>
              <w:jc w:val="center"/>
              <w:rPr>
                <w:sz w:val="22"/>
              </w:rPr>
            </w:pPr>
            <w:r>
              <w:rPr>
                <w:sz w:val="22"/>
              </w:rPr>
              <w:t>2.783</w:t>
            </w:r>
          </w:p>
        </w:tc>
        <w:tc>
          <w:tcPr>
            <w:tcW w:w="1377" w:type="dxa"/>
          </w:tcPr>
          <w:p>
            <w:pPr>
              <w:pStyle w:val="TableParagraph"/>
              <w:spacing w:before="22"/>
              <w:ind w:left="200" w:right="191"/>
              <w:jc w:val="center"/>
              <w:rPr>
                <w:sz w:val="22"/>
              </w:rPr>
            </w:pPr>
            <w:r>
              <w:rPr>
                <w:sz w:val="22"/>
              </w:rPr>
              <w:t>2.39</w:t>
            </w:r>
          </w:p>
        </w:tc>
        <w:tc>
          <w:tcPr>
            <w:tcW w:w="1077" w:type="dxa"/>
          </w:tcPr>
          <w:p>
            <w:pPr>
              <w:pStyle w:val="TableParagraph"/>
              <w:spacing w:before="22"/>
              <w:ind w:left="291"/>
              <w:rPr>
                <w:sz w:val="22"/>
              </w:rPr>
            </w:pPr>
            <w:r>
              <w:rPr>
                <w:sz w:val="22"/>
              </w:rPr>
              <w:t>1.866</w:t>
            </w:r>
          </w:p>
        </w:tc>
        <w:tc>
          <w:tcPr>
            <w:tcW w:w="1076" w:type="dxa"/>
          </w:tcPr>
          <w:p>
            <w:pPr>
              <w:pStyle w:val="TableParagraph"/>
              <w:spacing w:before="22"/>
              <w:ind w:left="292"/>
              <w:rPr>
                <w:sz w:val="22"/>
              </w:rPr>
            </w:pPr>
            <w:r>
              <w:rPr>
                <w:sz w:val="22"/>
              </w:rPr>
              <w:t>1.602</w:t>
            </w:r>
          </w:p>
        </w:tc>
        <w:tc>
          <w:tcPr>
            <w:tcW w:w="1090" w:type="dxa"/>
          </w:tcPr>
          <w:p>
            <w:pPr>
              <w:pStyle w:val="TableParagraph"/>
              <w:spacing w:before="22"/>
              <w:ind w:left="299"/>
              <w:rPr>
                <w:sz w:val="22"/>
              </w:rPr>
            </w:pPr>
            <w:r>
              <w:rPr>
                <w:sz w:val="22"/>
              </w:rPr>
              <w:t>2.214</w:t>
            </w:r>
          </w:p>
        </w:tc>
        <w:tc>
          <w:tcPr>
            <w:tcW w:w="1086" w:type="dxa"/>
          </w:tcPr>
          <w:p>
            <w:pPr>
              <w:pStyle w:val="TableParagraph"/>
              <w:spacing w:before="22"/>
              <w:ind w:left="172" w:right="156"/>
              <w:jc w:val="center"/>
              <w:rPr>
                <w:sz w:val="22"/>
              </w:rPr>
            </w:pPr>
            <w:r>
              <w:rPr>
                <w:sz w:val="22"/>
              </w:rPr>
              <w:t>1.901</w:t>
            </w:r>
          </w:p>
        </w:tc>
        <w:tc>
          <w:tcPr>
            <w:tcW w:w="2248" w:type="dxa"/>
          </w:tcPr>
          <w:p>
            <w:pPr>
              <w:pStyle w:val="TableParagraph"/>
              <w:spacing w:before="22"/>
              <w:ind w:left="110" w:right="95"/>
              <w:jc w:val="center"/>
              <w:rPr>
                <w:sz w:val="22"/>
              </w:rPr>
            </w:pPr>
            <w:r>
              <w:rPr>
                <w:sz w:val="22"/>
              </w:rPr>
              <w:t>Heavy/Heavy</w:t>
            </w:r>
          </w:p>
        </w:tc>
        <w:tc>
          <w:tcPr>
            <w:tcW w:w="2128" w:type="dxa"/>
          </w:tcPr>
          <w:p>
            <w:pPr>
              <w:pStyle w:val="TableParagraph"/>
              <w:spacing w:before="22"/>
              <w:ind w:left="121" w:right="102"/>
              <w:jc w:val="center"/>
              <w:rPr>
                <w:sz w:val="22"/>
              </w:rPr>
            </w:pPr>
            <w:r>
              <w:rPr>
                <w:sz w:val="22"/>
              </w:rPr>
              <w:t>Very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Low/Very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Low</w:t>
            </w:r>
          </w:p>
        </w:tc>
      </w:tr>
      <w:tr>
        <w:trPr>
          <w:trHeight w:val="299" w:hRule="atLeast"/>
        </w:trPr>
        <w:tc>
          <w:tcPr>
            <w:tcW w:w="623" w:type="dxa"/>
          </w:tcPr>
          <w:p>
            <w:pPr>
              <w:pStyle w:val="TableParagraph"/>
              <w:spacing w:before="22"/>
              <w:ind w:left="7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3</w:t>
            </w:r>
          </w:p>
        </w:tc>
        <w:tc>
          <w:tcPr>
            <w:tcW w:w="864" w:type="dxa"/>
          </w:tcPr>
          <w:p>
            <w:pPr>
              <w:pStyle w:val="TableParagraph"/>
              <w:spacing w:before="22"/>
              <w:ind w:left="265"/>
              <w:rPr>
                <w:sz w:val="22"/>
              </w:rPr>
            </w:pPr>
            <w:r>
              <w:rPr>
                <w:sz w:val="22"/>
              </w:rPr>
              <w:t>199</w:t>
            </w:r>
          </w:p>
        </w:tc>
        <w:tc>
          <w:tcPr>
            <w:tcW w:w="1376" w:type="dxa"/>
          </w:tcPr>
          <w:p>
            <w:pPr>
              <w:pStyle w:val="TableParagraph"/>
              <w:spacing w:before="22"/>
              <w:ind w:left="139" w:right="130"/>
              <w:jc w:val="center"/>
              <w:rPr>
                <w:sz w:val="22"/>
              </w:rPr>
            </w:pPr>
            <w:r>
              <w:rPr>
                <w:sz w:val="22"/>
              </w:rPr>
              <w:t>10.276</w:t>
            </w:r>
          </w:p>
        </w:tc>
        <w:tc>
          <w:tcPr>
            <w:tcW w:w="1377" w:type="dxa"/>
          </w:tcPr>
          <w:p>
            <w:pPr>
              <w:pStyle w:val="TableParagraph"/>
              <w:spacing w:before="22"/>
              <w:ind w:left="202" w:right="191"/>
              <w:jc w:val="center"/>
              <w:rPr>
                <w:sz w:val="22"/>
              </w:rPr>
            </w:pPr>
            <w:r>
              <w:rPr>
                <w:sz w:val="22"/>
              </w:rPr>
              <w:t>7.186</w:t>
            </w:r>
          </w:p>
        </w:tc>
        <w:tc>
          <w:tcPr>
            <w:tcW w:w="1077" w:type="dxa"/>
          </w:tcPr>
          <w:p>
            <w:pPr>
              <w:pStyle w:val="TableParagraph"/>
              <w:spacing w:before="22"/>
              <w:ind w:left="291"/>
              <w:rPr>
                <w:sz w:val="22"/>
              </w:rPr>
            </w:pPr>
            <w:r>
              <w:rPr>
                <w:sz w:val="22"/>
              </w:rPr>
              <w:t>6.889</w:t>
            </w:r>
          </w:p>
        </w:tc>
        <w:tc>
          <w:tcPr>
            <w:tcW w:w="1076" w:type="dxa"/>
          </w:tcPr>
          <w:p>
            <w:pPr>
              <w:pStyle w:val="TableParagraph"/>
              <w:spacing w:before="22"/>
              <w:ind w:left="292"/>
              <w:rPr>
                <w:sz w:val="22"/>
              </w:rPr>
            </w:pPr>
            <w:r>
              <w:rPr>
                <w:sz w:val="22"/>
              </w:rPr>
              <w:t>4.817</w:t>
            </w:r>
          </w:p>
        </w:tc>
        <w:tc>
          <w:tcPr>
            <w:tcW w:w="1090" w:type="dxa"/>
          </w:tcPr>
          <w:p>
            <w:pPr>
              <w:pStyle w:val="TableParagraph"/>
              <w:spacing w:before="22"/>
              <w:ind w:left="299"/>
              <w:rPr>
                <w:sz w:val="22"/>
              </w:rPr>
            </w:pPr>
            <w:r>
              <w:rPr>
                <w:sz w:val="22"/>
              </w:rPr>
              <w:t>8.123</w:t>
            </w:r>
          </w:p>
        </w:tc>
        <w:tc>
          <w:tcPr>
            <w:tcW w:w="1086" w:type="dxa"/>
          </w:tcPr>
          <w:p>
            <w:pPr>
              <w:pStyle w:val="TableParagraph"/>
              <w:spacing w:before="22"/>
              <w:ind w:left="172" w:right="156"/>
              <w:jc w:val="center"/>
              <w:rPr>
                <w:sz w:val="22"/>
              </w:rPr>
            </w:pPr>
            <w:r>
              <w:rPr>
                <w:sz w:val="22"/>
              </w:rPr>
              <w:t>5.699</w:t>
            </w:r>
          </w:p>
        </w:tc>
        <w:tc>
          <w:tcPr>
            <w:tcW w:w="2248" w:type="dxa"/>
          </w:tcPr>
          <w:p>
            <w:pPr>
              <w:pStyle w:val="TableParagraph"/>
              <w:spacing w:before="22"/>
              <w:ind w:left="109" w:right="95"/>
              <w:jc w:val="center"/>
              <w:rPr>
                <w:sz w:val="22"/>
              </w:rPr>
            </w:pPr>
            <w:r>
              <w:rPr>
                <w:sz w:val="22"/>
              </w:rPr>
              <w:t>Collapse/Collapse</w:t>
            </w:r>
          </w:p>
        </w:tc>
        <w:tc>
          <w:tcPr>
            <w:tcW w:w="2128" w:type="dxa"/>
          </w:tcPr>
          <w:p>
            <w:pPr>
              <w:pStyle w:val="TableParagraph"/>
              <w:spacing w:before="22"/>
              <w:ind w:left="120" w:right="102"/>
              <w:jc w:val="center"/>
              <w:rPr>
                <w:sz w:val="22"/>
              </w:rPr>
            </w:pPr>
            <w:r>
              <w:rPr>
                <w:sz w:val="22"/>
              </w:rPr>
              <w:t>Collapse/Collapse</w:t>
            </w:r>
          </w:p>
        </w:tc>
      </w:tr>
      <w:tr>
        <w:trPr>
          <w:trHeight w:val="299" w:hRule="atLeast"/>
        </w:trPr>
        <w:tc>
          <w:tcPr>
            <w:tcW w:w="4240" w:type="dxa"/>
            <w:gridSpan w:val="4"/>
            <w:shd w:val="clear" w:color="auto" w:fill="C0C0C0"/>
          </w:tcPr>
          <w:p>
            <w:pPr>
              <w:pStyle w:val="TableParagraph"/>
              <w:spacing w:line="234" w:lineRule="exact" w:before="45"/>
              <w:ind w:left="933"/>
              <w:rPr>
                <w:sz w:val="22"/>
              </w:rPr>
            </w:pPr>
            <w:r>
              <w:rPr>
                <w:sz w:val="22"/>
              </w:rPr>
              <w:t>Fixed-fixed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end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conditions</w:t>
            </w:r>
          </w:p>
        </w:tc>
        <w:tc>
          <w:tcPr>
            <w:tcW w:w="8705" w:type="dxa"/>
            <w:gridSpan w:val="6"/>
            <w:shd w:val="clear" w:color="auto" w:fill="C0C0C0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1265" w:hRule="atLeast"/>
        </w:trPr>
        <w:tc>
          <w:tcPr>
            <w:tcW w:w="623" w:type="dxa"/>
            <w:shd w:val="clear" w:color="auto" w:fill="C0C0C0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0"/>
              <w:rPr>
                <w:i/>
                <w:sz w:val="19"/>
              </w:rPr>
            </w:pPr>
          </w:p>
          <w:p>
            <w:pPr>
              <w:pStyle w:val="TableParagraph"/>
              <w:ind w:left="89" w:right="80"/>
              <w:jc w:val="center"/>
              <w:rPr>
                <w:sz w:val="22"/>
              </w:rPr>
            </w:pPr>
            <w:r>
              <w:rPr>
                <w:sz w:val="22"/>
              </w:rPr>
              <w:t>Shot</w:t>
            </w:r>
          </w:p>
        </w:tc>
        <w:tc>
          <w:tcPr>
            <w:tcW w:w="864" w:type="dxa"/>
            <w:shd w:val="clear" w:color="auto" w:fill="C0C0C0"/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ind w:left="217"/>
              <w:rPr>
                <w:sz w:val="22"/>
              </w:rPr>
            </w:pPr>
            <w:r>
              <w:rPr>
                <w:sz w:val="22"/>
              </w:rPr>
              <w:t>TNT</w:t>
            </w:r>
          </w:p>
          <w:p>
            <w:pPr>
              <w:pStyle w:val="TableParagraph"/>
              <w:ind w:left="244" w:right="79" w:hanging="137"/>
              <w:rPr>
                <w:sz w:val="22"/>
              </w:rPr>
            </w:pPr>
            <w:r>
              <w:rPr>
                <w:sz w:val="22"/>
              </w:rPr>
              <w:t>Weight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[lb.]</w:t>
            </w:r>
          </w:p>
        </w:tc>
        <w:tc>
          <w:tcPr>
            <w:tcW w:w="1376" w:type="dxa"/>
            <w:shd w:val="clear" w:color="auto" w:fill="C0C0C0"/>
          </w:tcPr>
          <w:p>
            <w:pPr>
              <w:pStyle w:val="TableParagraph"/>
              <w:ind w:left="106" w:right="97" w:firstLine="1"/>
              <w:jc w:val="center"/>
              <w:rPr>
                <w:sz w:val="22"/>
              </w:rPr>
            </w:pPr>
            <w:r>
              <w:rPr>
                <w:sz w:val="22"/>
              </w:rPr>
              <w:t>Inbound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model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1"/>
                <w:sz w:val="22"/>
              </w:rPr>
              <w:t>displacement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(UFC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loads)</w:t>
            </w:r>
          </w:p>
          <w:p>
            <w:pPr>
              <w:pStyle w:val="TableParagraph"/>
              <w:spacing w:line="234" w:lineRule="exact"/>
              <w:ind w:left="138" w:right="131"/>
              <w:jc w:val="center"/>
              <w:rPr>
                <w:sz w:val="22"/>
              </w:rPr>
            </w:pPr>
            <w:r>
              <w:rPr>
                <w:sz w:val="22"/>
              </w:rPr>
              <w:t>[in]</w:t>
            </w:r>
          </w:p>
        </w:tc>
        <w:tc>
          <w:tcPr>
            <w:tcW w:w="1377" w:type="dxa"/>
            <w:shd w:val="clear" w:color="auto" w:fill="C0C0C0"/>
          </w:tcPr>
          <w:p>
            <w:pPr>
              <w:pStyle w:val="TableParagraph"/>
              <w:ind w:left="107" w:right="96" w:firstLine="1"/>
              <w:jc w:val="center"/>
              <w:rPr>
                <w:sz w:val="22"/>
              </w:rPr>
            </w:pPr>
            <w:r>
              <w:rPr>
                <w:sz w:val="22"/>
              </w:rPr>
              <w:t>Inbound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model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1"/>
                <w:sz w:val="22"/>
              </w:rPr>
              <w:t>displacement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(field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data)</w:t>
            </w:r>
          </w:p>
          <w:p>
            <w:pPr>
              <w:pStyle w:val="TableParagraph"/>
              <w:spacing w:line="234" w:lineRule="exact"/>
              <w:ind w:left="200" w:right="191"/>
              <w:jc w:val="center"/>
              <w:rPr>
                <w:sz w:val="22"/>
              </w:rPr>
            </w:pPr>
            <w:r>
              <w:rPr>
                <w:sz w:val="22"/>
              </w:rPr>
              <w:t>[in]</w:t>
            </w:r>
          </w:p>
        </w:tc>
        <w:tc>
          <w:tcPr>
            <w:tcW w:w="1077" w:type="dxa"/>
            <w:shd w:val="clear" w:color="auto" w:fill="C0C0C0"/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ind w:left="139" w:right="129" w:firstLine="6"/>
              <w:jc w:val="both"/>
              <w:rPr>
                <w:sz w:val="22"/>
              </w:rPr>
            </w:pPr>
            <w:r>
              <w:rPr>
                <w:sz w:val="22"/>
              </w:rPr>
              <w:t>Ductility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Ratio (μ)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(UFC)</w:t>
            </w:r>
          </w:p>
        </w:tc>
        <w:tc>
          <w:tcPr>
            <w:tcW w:w="1076" w:type="dxa"/>
            <w:shd w:val="clear" w:color="auto" w:fill="C0C0C0"/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ind w:left="141" w:right="126" w:firstLine="6"/>
              <w:jc w:val="both"/>
              <w:rPr>
                <w:sz w:val="22"/>
              </w:rPr>
            </w:pPr>
            <w:r>
              <w:rPr>
                <w:sz w:val="22"/>
              </w:rPr>
              <w:t>Ductility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Ratio (μ)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(field)</w:t>
            </w:r>
          </w:p>
        </w:tc>
        <w:tc>
          <w:tcPr>
            <w:tcW w:w="1090" w:type="dxa"/>
            <w:shd w:val="clear" w:color="auto" w:fill="C0C0C0"/>
          </w:tcPr>
          <w:p>
            <w:pPr>
              <w:pStyle w:val="TableParagraph"/>
              <w:spacing w:before="125"/>
              <w:ind w:left="167" w:right="152" w:firstLine="30"/>
              <w:jc w:val="both"/>
              <w:rPr>
                <w:sz w:val="22"/>
              </w:rPr>
            </w:pPr>
            <w:r>
              <w:rPr>
                <w:sz w:val="22"/>
              </w:rPr>
              <w:t>Support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Rotation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(degree)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(UFC)</w:t>
            </w:r>
          </w:p>
        </w:tc>
        <w:tc>
          <w:tcPr>
            <w:tcW w:w="1086" w:type="dxa"/>
            <w:shd w:val="clear" w:color="auto" w:fill="C0C0C0"/>
          </w:tcPr>
          <w:p>
            <w:pPr>
              <w:pStyle w:val="TableParagraph"/>
              <w:spacing w:before="125"/>
              <w:ind w:left="166" w:right="149" w:firstLine="31"/>
              <w:jc w:val="both"/>
              <w:rPr>
                <w:sz w:val="22"/>
              </w:rPr>
            </w:pPr>
            <w:r>
              <w:rPr>
                <w:sz w:val="22"/>
              </w:rPr>
              <w:t>Support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Rotation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(degree)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(field)</w:t>
            </w:r>
          </w:p>
        </w:tc>
        <w:tc>
          <w:tcPr>
            <w:tcW w:w="2248" w:type="dxa"/>
            <w:shd w:val="clear" w:color="auto" w:fill="C0C0C0"/>
          </w:tcPr>
          <w:p>
            <w:pPr>
              <w:pStyle w:val="TableParagraph"/>
              <w:spacing w:before="10"/>
              <w:rPr>
                <w:i/>
                <w:sz w:val="32"/>
              </w:rPr>
            </w:pPr>
          </w:p>
          <w:p>
            <w:pPr>
              <w:pStyle w:val="TableParagraph"/>
              <w:spacing w:before="1"/>
              <w:ind w:left="583" w:right="288" w:hanging="260"/>
              <w:rPr>
                <w:sz w:val="22"/>
              </w:rPr>
            </w:pPr>
            <w:r>
              <w:rPr>
                <w:sz w:val="22"/>
              </w:rPr>
              <w:t>Expected Damage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(UFC/Field)</w:t>
            </w:r>
          </w:p>
        </w:tc>
        <w:tc>
          <w:tcPr>
            <w:tcW w:w="2128" w:type="dxa"/>
            <w:shd w:val="clear" w:color="auto" w:fill="C0C0C0"/>
          </w:tcPr>
          <w:p>
            <w:pPr>
              <w:pStyle w:val="TableParagraph"/>
              <w:spacing w:before="10"/>
              <w:rPr>
                <w:i/>
                <w:sz w:val="32"/>
              </w:rPr>
            </w:pPr>
          </w:p>
          <w:p>
            <w:pPr>
              <w:pStyle w:val="TableParagraph"/>
              <w:spacing w:before="1"/>
              <w:ind w:left="523" w:right="181" w:hanging="305"/>
              <w:rPr>
                <w:sz w:val="22"/>
              </w:rPr>
            </w:pPr>
            <w:r>
              <w:rPr>
                <w:sz w:val="22"/>
              </w:rPr>
              <w:t>Level of Protection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(UFC/Field)</w:t>
            </w:r>
          </w:p>
        </w:tc>
      </w:tr>
      <w:tr>
        <w:trPr>
          <w:trHeight w:val="299" w:hRule="atLeast"/>
        </w:trPr>
        <w:tc>
          <w:tcPr>
            <w:tcW w:w="623" w:type="dxa"/>
          </w:tcPr>
          <w:p>
            <w:pPr>
              <w:pStyle w:val="TableParagraph"/>
              <w:spacing w:before="22"/>
              <w:ind w:left="7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1</w:t>
            </w:r>
          </w:p>
        </w:tc>
        <w:tc>
          <w:tcPr>
            <w:tcW w:w="864" w:type="dxa"/>
          </w:tcPr>
          <w:p>
            <w:pPr>
              <w:pStyle w:val="TableParagraph"/>
              <w:spacing w:before="22"/>
              <w:ind w:left="321"/>
              <w:rPr>
                <w:sz w:val="22"/>
              </w:rPr>
            </w:pPr>
            <w:r>
              <w:rPr>
                <w:sz w:val="22"/>
              </w:rPr>
              <w:t>32</w:t>
            </w:r>
          </w:p>
        </w:tc>
        <w:tc>
          <w:tcPr>
            <w:tcW w:w="1376" w:type="dxa"/>
          </w:tcPr>
          <w:p>
            <w:pPr>
              <w:pStyle w:val="TableParagraph"/>
              <w:spacing w:before="22"/>
              <w:ind w:left="139" w:right="130"/>
              <w:jc w:val="center"/>
              <w:rPr>
                <w:sz w:val="22"/>
              </w:rPr>
            </w:pPr>
            <w:r>
              <w:rPr>
                <w:sz w:val="22"/>
              </w:rPr>
              <w:t>1.227</w:t>
            </w:r>
          </w:p>
        </w:tc>
        <w:tc>
          <w:tcPr>
            <w:tcW w:w="1377" w:type="dxa"/>
          </w:tcPr>
          <w:p>
            <w:pPr>
              <w:pStyle w:val="TableParagraph"/>
              <w:spacing w:before="22"/>
              <w:ind w:left="201" w:right="191"/>
              <w:jc w:val="center"/>
              <w:rPr>
                <w:sz w:val="22"/>
              </w:rPr>
            </w:pPr>
            <w:r>
              <w:rPr>
                <w:sz w:val="22"/>
              </w:rPr>
              <w:t>1.11</w:t>
            </w:r>
          </w:p>
        </w:tc>
        <w:tc>
          <w:tcPr>
            <w:tcW w:w="1077" w:type="dxa"/>
          </w:tcPr>
          <w:p>
            <w:pPr>
              <w:pStyle w:val="TableParagraph"/>
              <w:spacing w:before="22"/>
              <w:ind w:left="291"/>
              <w:rPr>
                <w:sz w:val="22"/>
              </w:rPr>
            </w:pPr>
            <w:r>
              <w:rPr>
                <w:sz w:val="22"/>
              </w:rPr>
              <w:t>0.649</w:t>
            </w:r>
          </w:p>
        </w:tc>
        <w:tc>
          <w:tcPr>
            <w:tcW w:w="1076" w:type="dxa"/>
          </w:tcPr>
          <w:p>
            <w:pPr>
              <w:pStyle w:val="TableParagraph"/>
              <w:spacing w:before="22"/>
              <w:ind w:left="292"/>
              <w:rPr>
                <w:sz w:val="22"/>
              </w:rPr>
            </w:pPr>
            <w:r>
              <w:rPr>
                <w:sz w:val="22"/>
              </w:rPr>
              <w:t>0.587</w:t>
            </w:r>
          </w:p>
        </w:tc>
        <w:tc>
          <w:tcPr>
            <w:tcW w:w="1090" w:type="dxa"/>
          </w:tcPr>
          <w:p>
            <w:pPr>
              <w:pStyle w:val="TableParagraph"/>
              <w:spacing w:before="22"/>
              <w:ind w:left="299"/>
              <w:rPr>
                <w:sz w:val="22"/>
              </w:rPr>
            </w:pPr>
            <w:r>
              <w:rPr>
                <w:sz w:val="22"/>
              </w:rPr>
              <w:t>0.976</w:t>
            </w:r>
          </w:p>
        </w:tc>
        <w:tc>
          <w:tcPr>
            <w:tcW w:w="1086" w:type="dxa"/>
          </w:tcPr>
          <w:p>
            <w:pPr>
              <w:pStyle w:val="TableParagraph"/>
              <w:spacing w:before="22"/>
              <w:ind w:left="172" w:right="156"/>
              <w:jc w:val="center"/>
              <w:rPr>
                <w:sz w:val="22"/>
              </w:rPr>
            </w:pPr>
            <w:r>
              <w:rPr>
                <w:sz w:val="22"/>
              </w:rPr>
              <w:t>0.883</w:t>
            </w:r>
          </w:p>
        </w:tc>
        <w:tc>
          <w:tcPr>
            <w:tcW w:w="2248" w:type="dxa"/>
          </w:tcPr>
          <w:p>
            <w:pPr>
              <w:pStyle w:val="TableParagraph"/>
              <w:spacing w:before="22"/>
              <w:ind w:left="111" w:right="95"/>
              <w:jc w:val="center"/>
              <w:rPr>
                <w:sz w:val="22"/>
              </w:rPr>
            </w:pPr>
            <w:r>
              <w:rPr>
                <w:sz w:val="22"/>
              </w:rPr>
              <w:t>Superficial/Superficial</w:t>
            </w:r>
          </w:p>
        </w:tc>
        <w:tc>
          <w:tcPr>
            <w:tcW w:w="2128" w:type="dxa"/>
          </w:tcPr>
          <w:p>
            <w:pPr>
              <w:pStyle w:val="TableParagraph"/>
              <w:spacing w:before="22"/>
              <w:ind w:left="120" w:right="102"/>
              <w:jc w:val="center"/>
              <w:rPr>
                <w:sz w:val="22"/>
              </w:rPr>
            </w:pPr>
            <w:r>
              <w:rPr>
                <w:sz w:val="22"/>
              </w:rPr>
              <w:t>Medium/Medium</w:t>
            </w:r>
          </w:p>
        </w:tc>
      </w:tr>
      <w:tr>
        <w:trPr>
          <w:trHeight w:val="300" w:hRule="atLeast"/>
        </w:trPr>
        <w:tc>
          <w:tcPr>
            <w:tcW w:w="623" w:type="dxa"/>
          </w:tcPr>
          <w:p>
            <w:pPr>
              <w:pStyle w:val="TableParagraph"/>
              <w:spacing w:before="22"/>
              <w:ind w:left="7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2</w:t>
            </w:r>
          </w:p>
        </w:tc>
        <w:tc>
          <w:tcPr>
            <w:tcW w:w="864" w:type="dxa"/>
          </w:tcPr>
          <w:p>
            <w:pPr>
              <w:pStyle w:val="TableParagraph"/>
              <w:spacing w:before="22"/>
              <w:ind w:left="321"/>
              <w:rPr>
                <w:sz w:val="22"/>
              </w:rPr>
            </w:pPr>
            <w:r>
              <w:rPr>
                <w:sz w:val="22"/>
              </w:rPr>
              <w:t>67</w:t>
            </w:r>
          </w:p>
        </w:tc>
        <w:tc>
          <w:tcPr>
            <w:tcW w:w="1376" w:type="dxa"/>
          </w:tcPr>
          <w:p>
            <w:pPr>
              <w:pStyle w:val="TableParagraph"/>
              <w:spacing w:before="22"/>
              <w:ind w:left="139" w:right="130"/>
              <w:jc w:val="center"/>
              <w:rPr>
                <w:sz w:val="22"/>
              </w:rPr>
            </w:pPr>
            <w:r>
              <w:rPr>
                <w:sz w:val="22"/>
              </w:rPr>
              <w:t>1.981</w:t>
            </w:r>
          </w:p>
        </w:tc>
        <w:tc>
          <w:tcPr>
            <w:tcW w:w="1377" w:type="dxa"/>
          </w:tcPr>
          <w:p>
            <w:pPr>
              <w:pStyle w:val="TableParagraph"/>
              <w:spacing w:before="22"/>
              <w:ind w:left="202" w:right="191"/>
              <w:jc w:val="center"/>
              <w:rPr>
                <w:sz w:val="22"/>
              </w:rPr>
            </w:pPr>
            <w:r>
              <w:rPr>
                <w:sz w:val="22"/>
              </w:rPr>
              <w:t>1.816</w:t>
            </w:r>
          </w:p>
        </w:tc>
        <w:tc>
          <w:tcPr>
            <w:tcW w:w="1077" w:type="dxa"/>
          </w:tcPr>
          <w:p>
            <w:pPr>
              <w:pStyle w:val="TableParagraph"/>
              <w:spacing w:before="22"/>
              <w:ind w:left="291"/>
              <w:rPr>
                <w:sz w:val="22"/>
              </w:rPr>
            </w:pPr>
            <w:r>
              <w:rPr>
                <w:sz w:val="22"/>
              </w:rPr>
              <w:t>1.049</w:t>
            </w:r>
          </w:p>
        </w:tc>
        <w:tc>
          <w:tcPr>
            <w:tcW w:w="1076" w:type="dxa"/>
          </w:tcPr>
          <w:p>
            <w:pPr>
              <w:pStyle w:val="TableParagraph"/>
              <w:spacing w:before="22"/>
              <w:ind w:left="292"/>
              <w:rPr>
                <w:sz w:val="22"/>
              </w:rPr>
            </w:pPr>
            <w:r>
              <w:rPr>
                <w:sz w:val="22"/>
              </w:rPr>
              <w:t>0.961</w:t>
            </w:r>
          </w:p>
        </w:tc>
        <w:tc>
          <w:tcPr>
            <w:tcW w:w="1090" w:type="dxa"/>
          </w:tcPr>
          <w:p>
            <w:pPr>
              <w:pStyle w:val="TableParagraph"/>
              <w:spacing w:before="22"/>
              <w:ind w:left="299"/>
              <w:rPr>
                <w:sz w:val="22"/>
              </w:rPr>
            </w:pPr>
            <w:r>
              <w:rPr>
                <w:sz w:val="22"/>
              </w:rPr>
              <w:t>1.576</w:t>
            </w:r>
          </w:p>
        </w:tc>
        <w:tc>
          <w:tcPr>
            <w:tcW w:w="1086" w:type="dxa"/>
          </w:tcPr>
          <w:p>
            <w:pPr>
              <w:pStyle w:val="TableParagraph"/>
              <w:spacing w:before="22"/>
              <w:ind w:left="172" w:right="156"/>
              <w:jc w:val="center"/>
              <w:rPr>
                <w:sz w:val="22"/>
              </w:rPr>
            </w:pPr>
            <w:r>
              <w:rPr>
                <w:sz w:val="22"/>
              </w:rPr>
              <w:t>1.444</w:t>
            </w:r>
          </w:p>
        </w:tc>
        <w:tc>
          <w:tcPr>
            <w:tcW w:w="2248" w:type="dxa"/>
          </w:tcPr>
          <w:p>
            <w:pPr>
              <w:pStyle w:val="TableParagraph"/>
              <w:spacing w:before="22"/>
              <w:ind w:left="109" w:right="95"/>
              <w:jc w:val="center"/>
              <w:rPr>
                <w:sz w:val="22"/>
              </w:rPr>
            </w:pPr>
            <w:r>
              <w:rPr>
                <w:sz w:val="22"/>
              </w:rPr>
              <w:t>Moderate/Superficial</w:t>
            </w:r>
          </w:p>
        </w:tc>
        <w:tc>
          <w:tcPr>
            <w:tcW w:w="2128" w:type="dxa"/>
          </w:tcPr>
          <w:p>
            <w:pPr>
              <w:pStyle w:val="TableParagraph"/>
              <w:spacing w:before="22"/>
              <w:ind w:left="121" w:right="101"/>
              <w:jc w:val="center"/>
              <w:rPr>
                <w:sz w:val="22"/>
              </w:rPr>
            </w:pPr>
            <w:r>
              <w:rPr>
                <w:sz w:val="22"/>
              </w:rPr>
              <w:t>Low/Medium</w:t>
            </w:r>
          </w:p>
        </w:tc>
      </w:tr>
      <w:tr>
        <w:trPr>
          <w:trHeight w:val="299" w:hRule="atLeast"/>
        </w:trPr>
        <w:tc>
          <w:tcPr>
            <w:tcW w:w="623" w:type="dxa"/>
          </w:tcPr>
          <w:p>
            <w:pPr>
              <w:pStyle w:val="TableParagraph"/>
              <w:spacing w:before="21"/>
              <w:ind w:left="7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3</w:t>
            </w:r>
          </w:p>
        </w:tc>
        <w:tc>
          <w:tcPr>
            <w:tcW w:w="864" w:type="dxa"/>
          </w:tcPr>
          <w:p>
            <w:pPr>
              <w:pStyle w:val="TableParagraph"/>
              <w:spacing w:before="21"/>
              <w:ind w:left="265"/>
              <w:rPr>
                <w:sz w:val="22"/>
              </w:rPr>
            </w:pPr>
            <w:r>
              <w:rPr>
                <w:sz w:val="22"/>
              </w:rPr>
              <w:t>199</w:t>
            </w:r>
          </w:p>
        </w:tc>
        <w:tc>
          <w:tcPr>
            <w:tcW w:w="1376" w:type="dxa"/>
          </w:tcPr>
          <w:p>
            <w:pPr>
              <w:pStyle w:val="TableParagraph"/>
              <w:spacing w:before="21"/>
              <w:ind w:left="139" w:right="131"/>
              <w:jc w:val="center"/>
              <w:rPr>
                <w:sz w:val="22"/>
              </w:rPr>
            </w:pPr>
            <w:r>
              <w:rPr>
                <w:sz w:val="22"/>
              </w:rPr>
              <w:t>5.19</w:t>
            </w:r>
          </w:p>
        </w:tc>
        <w:tc>
          <w:tcPr>
            <w:tcW w:w="1377" w:type="dxa"/>
          </w:tcPr>
          <w:p>
            <w:pPr>
              <w:pStyle w:val="TableParagraph"/>
              <w:spacing w:before="21"/>
              <w:ind w:left="202" w:right="191"/>
              <w:jc w:val="center"/>
              <w:rPr>
                <w:sz w:val="22"/>
              </w:rPr>
            </w:pPr>
            <w:r>
              <w:rPr>
                <w:sz w:val="22"/>
              </w:rPr>
              <w:t>3.993</w:t>
            </w:r>
          </w:p>
        </w:tc>
        <w:tc>
          <w:tcPr>
            <w:tcW w:w="1077" w:type="dxa"/>
          </w:tcPr>
          <w:p>
            <w:pPr>
              <w:pStyle w:val="TableParagraph"/>
              <w:spacing w:before="21"/>
              <w:ind w:left="291"/>
              <w:rPr>
                <w:sz w:val="22"/>
              </w:rPr>
            </w:pPr>
            <w:r>
              <w:rPr>
                <w:sz w:val="22"/>
              </w:rPr>
              <w:t>2.747</w:t>
            </w:r>
          </w:p>
        </w:tc>
        <w:tc>
          <w:tcPr>
            <w:tcW w:w="1076" w:type="dxa"/>
          </w:tcPr>
          <w:p>
            <w:pPr>
              <w:pStyle w:val="TableParagraph"/>
              <w:spacing w:before="21"/>
              <w:ind w:left="292"/>
              <w:rPr>
                <w:sz w:val="22"/>
              </w:rPr>
            </w:pPr>
            <w:r>
              <w:rPr>
                <w:sz w:val="22"/>
              </w:rPr>
              <w:t>2.114</w:t>
            </w:r>
          </w:p>
        </w:tc>
        <w:tc>
          <w:tcPr>
            <w:tcW w:w="1090" w:type="dxa"/>
          </w:tcPr>
          <w:p>
            <w:pPr>
              <w:pStyle w:val="TableParagraph"/>
              <w:spacing w:before="21"/>
              <w:ind w:left="299"/>
              <w:rPr>
                <w:sz w:val="22"/>
              </w:rPr>
            </w:pPr>
            <w:r>
              <w:rPr>
                <w:sz w:val="22"/>
              </w:rPr>
              <w:t>4.123</w:t>
            </w:r>
          </w:p>
        </w:tc>
        <w:tc>
          <w:tcPr>
            <w:tcW w:w="1086" w:type="dxa"/>
          </w:tcPr>
          <w:p>
            <w:pPr>
              <w:pStyle w:val="TableParagraph"/>
              <w:spacing w:before="21"/>
              <w:ind w:left="172" w:right="156"/>
              <w:jc w:val="center"/>
              <w:rPr>
                <w:sz w:val="22"/>
              </w:rPr>
            </w:pPr>
            <w:r>
              <w:rPr>
                <w:sz w:val="22"/>
              </w:rPr>
              <w:t>3.147</w:t>
            </w:r>
          </w:p>
        </w:tc>
        <w:tc>
          <w:tcPr>
            <w:tcW w:w="2248" w:type="dxa"/>
          </w:tcPr>
          <w:p>
            <w:pPr>
              <w:pStyle w:val="TableParagraph"/>
              <w:spacing w:before="21"/>
              <w:ind w:left="111" w:right="95"/>
              <w:jc w:val="center"/>
              <w:rPr>
                <w:sz w:val="22"/>
              </w:rPr>
            </w:pPr>
            <w:r>
              <w:rPr>
                <w:sz w:val="22"/>
              </w:rPr>
              <w:t>Hazardous/Hazardous</w:t>
            </w:r>
          </w:p>
        </w:tc>
        <w:tc>
          <w:tcPr>
            <w:tcW w:w="2128" w:type="dxa"/>
          </w:tcPr>
          <w:p>
            <w:pPr>
              <w:pStyle w:val="TableParagraph"/>
              <w:spacing w:before="21"/>
              <w:ind w:left="120" w:right="102"/>
              <w:jc w:val="center"/>
              <w:rPr>
                <w:sz w:val="22"/>
              </w:rPr>
            </w:pPr>
            <w:r>
              <w:rPr>
                <w:sz w:val="22"/>
              </w:rPr>
              <w:t>Collapse/Collapse</w:t>
            </w:r>
          </w:p>
        </w:tc>
      </w:tr>
    </w:tbl>
    <w:p>
      <w:pPr>
        <w:spacing w:after="0"/>
        <w:jc w:val="center"/>
        <w:rPr>
          <w:sz w:val="22"/>
        </w:rPr>
        <w:sectPr>
          <w:footerReference w:type="default" r:id="rId437"/>
          <w:pgSz w:w="15840" w:h="12240" w:orient="landscape"/>
          <w:pgMar w:footer="0" w:header="0" w:top="1140" w:bottom="280" w:left="1340" w:right="1320"/>
        </w:sectPr>
      </w:pPr>
    </w:p>
    <w:p>
      <w:pPr>
        <w:pStyle w:val="Heading9"/>
        <w:numPr>
          <w:ilvl w:val="1"/>
          <w:numId w:val="27"/>
        </w:numPr>
        <w:tabs>
          <w:tab w:pos="2080" w:val="left" w:leader="none"/>
        </w:tabs>
        <w:spacing w:line="240" w:lineRule="auto" w:before="60" w:after="0"/>
        <w:ind w:left="2080" w:right="0" w:hanging="360"/>
        <w:jc w:val="both"/>
      </w:pPr>
      <w:bookmarkStart w:name="_TOC_250010" w:id="578"/>
      <w:bookmarkStart w:name="8.5 Summary" w:id="579"/>
      <w:r>
        <w:rPr>
          <w:b w:val="0"/>
        </w:rPr>
      </w:r>
      <w:bookmarkEnd w:id="579"/>
      <w:bookmarkStart w:name="8.5 Summary" w:id="580"/>
      <w:r>
        <w:rPr/>
        <w:t>S</w:t>
      </w:r>
      <w:bookmarkEnd w:id="578"/>
      <w:r>
        <w:rPr/>
        <w:t>ummary</w:t>
      </w:r>
    </w:p>
    <w:p>
      <w:pPr>
        <w:pStyle w:val="BodyText"/>
        <w:spacing w:line="480" w:lineRule="auto" w:before="139"/>
        <w:ind w:left="1719" w:right="557" w:firstLine="720"/>
        <w:jc w:val="both"/>
      </w:pPr>
      <w:r>
        <w:rPr/>
        <w:t>In order for CLT to be considered as an optional construction material for DoD</w:t>
      </w:r>
      <w:r>
        <w:rPr>
          <w:spacing w:val="1"/>
        </w:rPr>
        <w:t> </w:t>
      </w:r>
      <w:r>
        <w:rPr/>
        <w:t>facilities,</w:t>
      </w:r>
      <w:r>
        <w:rPr>
          <w:spacing w:val="1"/>
        </w:rPr>
        <w:t> </w:t>
      </w:r>
      <w:r>
        <w:rPr/>
        <w:t>temporary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permanent,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material</w:t>
      </w:r>
      <w:r>
        <w:rPr>
          <w:spacing w:val="1"/>
        </w:rPr>
        <w:t> </w:t>
      </w:r>
      <w:r>
        <w:rPr/>
        <w:t>response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blast</w:t>
      </w:r>
      <w:r>
        <w:rPr>
          <w:spacing w:val="1"/>
        </w:rPr>
        <w:t> </w:t>
      </w:r>
      <w:r>
        <w:rPr/>
        <w:t>loading</w:t>
      </w:r>
      <w:r>
        <w:rPr>
          <w:spacing w:val="1"/>
        </w:rPr>
        <w:t> </w:t>
      </w:r>
      <w:r>
        <w:rPr/>
        <w:t>must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determined.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characteristic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material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just</w:t>
      </w:r>
      <w:r>
        <w:rPr>
          <w:spacing w:val="1"/>
        </w:rPr>
        <w:t> </w:t>
      </w:r>
      <w:r>
        <w:rPr/>
        <w:t>beginning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explored.</w:t>
      </w:r>
      <w:r>
        <w:rPr>
          <w:spacing w:val="1"/>
        </w:rPr>
        <w:t> </w:t>
      </w:r>
      <w:r>
        <w:rPr/>
        <w:t>Preliminary testing shows positive response, with less damage than generally expected.</w:t>
      </w:r>
      <w:r>
        <w:rPr>
          <w:spacing w:val="1"/>
        </w:rPr>
        <w:t> </w:t>
      </w:r>
      <w:r>
        <w:rPr/>
        <w:t>However, blast testing is resource intensive in both cost and time.</w:t>
      </w:r>
      <w:r>
        <w:rPr>
          <w:spacing w:val="1"/>
        </w:rPr>
        <w:t> </w:t>
      </w:r>
      <w:r>
        <w:rPr/>
        <w:t>Analytic tools, like the</w:t>
      </w:r>
      <w:r>
        <w:rPr>
          <w:spacing w:val="-57"/>
        </w:rPr>
        <w:t> </w:t>
      </w:r>
      <w:r>
        <w:rPr/>
        <w:t>CLT</w:t>
      </w:r>
      <w:r>
        <w:rPr>
          <w:spacing w:val="-14"/>
        </w:rPr>
        <w:t> </w:t>
      </w:r>
      <w:r>
        <w:rPr/>
        <w:t>blast</w:t>
      </w:r>
      <w:r>
        <w:rPr>
          <w:spacing w:val="-13"/>
        </w:rPr>
        <w:t> </w:t>
      </w:r>
      <w:r>
        <w:rPr/>
        <w:t>analysis</w:t>
      </w:r>
      <w:r>
        <w:rPr>
          <w:spacing w:val="-14"/>
        </w:rPr>
        <w:t> </w:t>
      </w:r>
      <w:r>
        <w:rPr/>
        <w:t>tool</w:t>
      </w:r>
      <w:r>
        <w:rPr>
          <w:spacing w:val="-14"/>
        </w:rPr>
        <w:t> </w:t>
      </w:r>
      <w:r>
        <w:rPr/>
        <w:t>developed</w:t>
      </w:r>
      <w:r>
        <w:rPr>
          <w:spacing w:val="-13"/>
        </w:rPr>
        <w:t> </w:t>
      </w:r>
      <w:r>
        <w:rPr/>
        <w:t>in</w:t>
      </w:r>
      <w:r>
        <w:rPr>
          <w:spacing w:val="-15"/>
        </w:rPr>
        <w:t> </w:t>
      </w:r>
      <w:r>
        <w:rPr/>
        <w:t>this</w:t>
      </w:r>
      <w:r>
        <w:rPr>
          <w:spacing w:val="-13"/>
        </w:rPr>
        <w:t> </w:t>
      </w:r>
      <w:r>
        <w:rPr/>
        <w:t>research,</w:t>
      </w:r>
      <w:r>
        <w:rPr>
          <w:spacing w:val="-13"/>
        </w:rPr>
        <w:t> </w:t>
      </w:r>
      <w:r>
        <w:rPr/>
        <w:t>can</w:t>
      </w:r>
      <w:r>
        <w:rPr>
          <w:spacing w:val="-13"/>
        </w:rPr>
        <w:t> </w:t>
      </w:r>
      <w:r>
        <w:rPr/>
        <w:t>help</w:t>
      </w:r>
      <w:r>
        <w:rPr>
          <w:spacing w:val="-13"/>
        </w:rPr>
        <w:t> </w:t>
      </w:r>
      <w:r>
        <w:rPr/>
        <w:t>provide</w:t>
      </w:r>
      <w:r>
        <w:rPr>
          <w:spacing w:val="-13"/>
        </w:rPr>
        <w:t> </w:t>
      </w:r>
      <w:r>
        <w:rPr/>
        <w:t>insight</w:t>
      </w:r>
      <w:r>
        <w:rPr>
          <w:spacing w:val="-13"/>
        </w:rPr>
        <w:t> </w:t>
      </w:r>
      <w:r>
        <w:rPr/>
        <w:t>into</w:t>
      </w:r>
      <w:r>
        <w:rPr>
          <w:spacing w:val="-13"/>
        </w:rPr>
        <w:t> </w:t>
      </w:r>
      <w:r>
        <w:rPr/>
        <w:t>what</w:t>
      </w:r>
      <w:r>
        <w:rPr>
          <w:spacing w:val="-14"/>
        </w:rPr>
        <w:t> </w:t>
      </w:r>
      <w:r>
        <w:rPr/>
        <w:t>might</w:t>
      </w:r>
      <w:r>
        <w:rPr>
          <w:spacing w:val="-58"/>
        </w:rPr>
        <w:t> </w:t>
      </w:r>
      <w:r>
        <w:rPr/>
        <w:t>be</w:t>
      </w:r>
      <w:r>
        <w:rPr>
          <w:spacing w:val="-8"/>
        </w:rPr>
        <w:t> </w:t>
      </w:r>
      <w:r>
        <w:rPr/>
        <w:t>expected</w:t>
      </w:r>
      <w:r>
        <w:rPr>
          <w:spacing w:val="-10"/>
        </w:rPr>
        <w:t> </w:t>
      </w:r>
      <w:r>
        <w:rPr/>
        <w:t>given</w:t>
      </w:r>
      <w:r>
        <w:rPr>
          <w:spacing w:val="-8"/>
        </w:rPr>
        <w:t> </w:t>
      </w:r>
      <w:r>
        <w:rPr/>
        <w:t>a</w:t>
      </w:r>
      <w:r>
        <w:rPr>
          <w:spacing w:val="-8"/>
        </w:rPr>
        <w:t> </w:t>
      </w:r>
      <w:r>
        <w:rPr/>
        <w:t>blast</w:t>
      </w:r>
      <w:r>
        <w:rPr>
          <w:spacing w:val="-9"/>
        </w:rPr>
        <w:t> </w:t>
      </w:r>
      <w:r>
        <w:rPr/>
        <w:t>load</w:t>
      </w:r>
      <w:r>
        <w:rPr>
          <w:spacing w:val="-8"/>
        </w:rPr>
        <w:t> </w:t>
      </w:r>
      <w:r>
        <w:rPr/>
        <w:t>against</w:t>
      </w:r>
      <w:r>
        <w:rPr>
          <w:spacing w:val="-9"/>
        </w:rPr>
        <w:t> </w:t>
      </w:r>
      <w:r>
        <w:rPr/>
        <w:t>a</w:t>
      </w:r>
      <w:r>
        <w:rPr>
          <w:spacing w:val="-8"/>
        </w:rPr>
        <w:t> </w:t>
      </w:r>
      <w:r>
        <w:rPr/>
        <w:t>CLT</w:t>
      </w:r>
      <w:r>
        <w:rPr>
          <w:spacing w:val="-8"/>
        </w:rPr>
        <w:t> </w:t>
      </w:r>
      <w:r>
        <w:rPr/>
        <w:t>panel</w:t>
      </w:r>
      <w:r>
        <w:rPr>
          <w:spacing w:val="-8"/>
        </w:rPr>
        <w:t> </w:t>
      </w:r>
      <w:r>
        <w:rPr/>
        <w:t>using</w:t>
      </w:r>
      <w:r>
        <w:rPr>
          <w:spacing w:val="-10"/>
        </w:rPr>
        <w:t> </w:t>
      </w:r>
      <w:r>
        <w:rPr/>
        <w:t>the</w:t>
      </w:r>
      <w:r>
        <w:rPr>
          <w:spacing w:val="-7"/>
        </w:rPr>
        <w:t> </w:t>
      </w:r>
      <w:r>
        <w:rPr/>
        <w:t>fundamental</w:t>
      </w:r>
      <w:r>
        <w:rPr>
          <w:spacing w:val="-8"/>
        </w:rPr>
        <w:t> </w:t>
      </w:r>
      <w:r>
        <w:rPr/>
        <w:t>concepts</w:t>
      </w:r>
      <w:r>
        <w:rPr>
          <w:spacing w:val="-8"/>
        </w:rPr>
        <w:t> </w:t>
      </w:r>
      <w:r>
        <w:rPr/>
        <w:t>of</w:t>
      </w:r>
      <w:r>
        <w:rPr>
          <w:spacing w:val="-10"/>
        </w:rPr>
        <w:t> </w:t>
      </w:r>
      <w:r>
        <w:rPr/>
        <w:t>blast</w:t>
      </w:r>
      <w:r>
        <w:rPr>
          <w:spacing w:val="-58"/>
        </w:rPr>
        <w:t> </w:t>
      </w:r>
      <w:r>
        <w:rPr/>
        <w:t>design and CLT design.</w:t>
      </w:r>
      <w:r>
        <w:rPr>
          <w:spacing w:val="1"/>
        </w:rPr>
        <w:t> </w:t>
      </w:r>
      <w:r>
        <w:rPr/>
        <w:t>The objective of this initial version of the tool was to capture the</w:t>
      </w:r>
      <w:r>
        <w:rPr>
          <w:spacing w:val="-57"/>
        </w:rPr>
        <w:t> </w:t>
      </w:r>
      <w:r>
        <w:rPr/>
        <w:t>composite</w:t>
      </w:r>
      <w:r>
        <w:rPr>
          <w:spacing w:val="-11"/>
        </w:rPr>
        <w:t> </w:t>
      </w:r>
      <w:r>
        <w:rPr/>
        <w:t>wood</w:t>
      </w:r>
      <w:r>
        <w:rPr>
          <w:spacing w:val="-11"/>
        </w:rPr>
        <w:t> </w:t>
      </w:r>
      <w:r>
        <w:rPr/>
        <w:t>product</w:t>
      </w:r>
      <w:r>
        <w:rPr>
          <w:spacing w:val="-12"/>
        </w:rPr>
        <w:t> </w:t>
      </w:r>
      <w:r>
        <w:rPr/>
        <w:t>behavior</w:t>
      </w:r>
      <w:r>
        <w:rPr>
          <w:spacing w:val="-12"/>
        </w:rPr>
        <w:t> </w:t>
      </w:r>
      <w:r>
        <w:rPr/>
        <w:t>to</w:t>
      </w:r>
      <w:r>
        <w:rPr>
          <w:spacing w:val="-12"/>
        </w:rPr>
        <w:t> </w:t>
      </w:r>
      <w:r>
        <w:rPr/>
        <w:t>peak</w:t>
      </w:r>
      <w:r>
        <w:rPr>
          <w:spacing w:val="-11"/>
        </w:rPr>
        <w:t> </w:t>
      </w:r>
      <w:r>
        <w:rPr/>
        <w:t>resistance</w:t>
      </w:r>
      <w:r>
        <w:rPr>
          <w:spacing w:val="-11"/>
        </w:rPr>
        <w:t> </w:t>
      </w:r>
      <w:r>
        <w:rPr/>
        <w:t>in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elastic</w:t>
      </w:r>
      <w:r>
        <w:rPr>
          <w:spacing w:val="-11"/>
        </w:rPr>
        <w:t> </w:t>
      </w:r>
      <w:r>
        <w:rPr/>
        <w:t>regime</w:t>
      </w:r>
      <w:r>
        <w:rPr>
          <w:spacing w:val="-9"/>
        </w:rPr>
        <w:t> </w:t>
      </w:r>
      <w:r>
        <w:rPr/>
        <w:t>based</w:t>
      </w:r>
      <w:r>
        <w:rPr>
          <w:spacing w:val="-11"/>
        </w:rPr>
        <w:t> </w:t>
      </w:r>
      <w:r>
        <w:rPr/>
        <w:t>on</w:t>
      </w:r>
      <w:r>
        <w:rPr>
          <w:spacing w:val="-11"/>
        </w:rPr>
        <w:t> </w:t>
      </w:r>
      <w:r>
        <w:rPr/>
        <w:t>existing</w:t>
      </w:r>
      <w:r>
        <w:rPr>
          <w:spacing w:val="-58"/>
        </w:rPr>
        <w:t> </w:t>
      </w:r>
      <w:r>
        <w:rPr/>
        <w:t>data</w:t>
      </w:r>
      <w:r>
        <w:rPr>
          <w:spacing w:val="-13"/>
        </w:rPr>
        <w:t> </w:t>
      </w:r>
      <w:r>
        <w:rPr/>
        <w:t>from</w:t>
      </w:r>
      <w:r>
        <w:rPr>
          <w:spacing w:val="-14"/>
        </w:rPr>
        <w:t> </w:t>
      </w:r>
      <w:r>
        <w:rPr/>
        <w:t>live</w:t>
      </w:r>
      <w:r>
        <w:rPr>
          <w:spacing w:val="-13"/>
        </w:rPr>
        <w:t> </w:t>
      </w:r>
      <w:r>
        <w:rPr/>
        <w:t>blast</w:t>
      </w:r>
      <w:r>
        <w:rPr>
          <w:spacing w:val="-13"/>
        </w:rPr>
        <w:t> </w:t>
      </w:r>
      <w:r>
        <w:rPr/>
        <w:t>tests.</w:t>
      </w:r>
      <w:r>
        <w:rPr>
          <w:spacing w:val="34"/>
        </w:rPr>
        <w:t> </w:t>
      </w:r>
      <w:r>
        <w:rPr/>
        <w:t>With</w:t>
      </w:r>
      <w:r>
        <w:rPr>
          <w:spacing w:val="-12"/>
        </w:rPr>
        <w:t> </w:t>
      </w:r>
      <w:r>
        <w:rPr/>
        <w:t>refinement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the</w:t>
      </w:r>
      <w:r>
        <w:rPr>
          <w:spacing w:val="-13"/>
        </w:rPr>
        <w:t> </w:t>
      </w:r>
      <w:r>
        <w:rPr/>
        <w:t>tool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further</w:t>
      </w:r>
      <w:r>
        <w:rPr>
          <w:spacing w:val="-13"/>
        </w:rPr>
        <w:t> </w:t>
      </w:r>
      <w:r>
        <w:rPr/>
        <w:t>validations,</w:t>
      </w:r>
      <w:r>
        <w:rPr>
          <w:spacing w:val="-12"/>
        </w:rPr>
        <w:t> </w:t>
      </w:r>
      <w:r>
        <w:rPr/>
        <w:t>it</w:t>
      </w:r>
      <w:r>
        <w:rPr>
          <w:spacing w:val="-13"/>
        </w:rPr>
        <w:t> </w:t>
      </w:r>
      <w:r>
        <w:rPr/>
        <w:t>can</w:t>
      </w:r>
      <w:r>
        <w:rPr>
          <w:spacing w:val="-13"/>
        </w:rPr>
        <w:t> </w:t>
      </w:r>
      <w:r>
        <w:rPr/>
        <w:t>provide</w:t>
      </w:r>
      <w:r>
        <w:rPr>
          <w:spacing w:val="-58"/>
        </w:rPr>
        <w:t> </w:t>
      </w:r>
      <w:r>
        <w:rPr/>
        <w:t>important</w:t>
      </w:r>
      <w:r>
        <w:rPr>
          <w:spacing w:val="-1"/>
        </w:rPr>
        <w:t> </w:t>
      </w:r>
      <w:r>
        <w:rPr/>
        <w:t>insight in</w:t>
      </w:r>
      <w:r>
        <w:rPr>
          <w:spacing w:val="-3"/>
        </w:rPr>
        <w:t> </w:t>
      </w:r>
      <w:r>
        <w:rPr/>
        <w:t>expected CLT</w:t>
      </w:r>
      <w:r>
        <w:rPr>
          <w:spacing w:val="-1"/>
        </w:rPr>
        <w:t> </w:t>
      </w:r>
      <w:r>
        <w:rPr/>
        <w:t>response</w:t>
      </w:r>
      <w:r>
        <w:rPr>
          <w:spacing w:val="-1"/>
        </w:rPr>
        <w:t> </w:t>
      </w:r>
      <w:r>
        <w:rPr/>
        <w:t>to blast loads</w:t>
      </w:r>
      <w:r>
        <w:rPr>
          <w:spacing w:val="-1"/>
        </w:rPr>
        <w:t> </w:t>
      </w:r>
      <w:r>
        <w:rPr/>
        <w:t>for designers.</w:t>
      </w:r>
    </w:p>
    <w:p>
      <w:pPr>
        <w:spacing w:after="0" w:line="480" w:lineRule="auto"/>
        <w:jc w:val="both"/>
        <w:sectPr>
          <w:footerReference w:type="default" r:id="rId438"/>
          <w:pgSz w:w="12240" w:h="15840"/>
          <w:pgMar w:footer="1064" w:header="0" w:top="1380" w:bottom="1260" w:left="440" w:right="880"/>
          <w:pgNumType w:start="350"/>
        </w:sectPr>
      </w:pPr>
    </w:p>
    <w:p>
      <w:pPr>
        <w:spacing w:before="60"/>
        <w:ind w:left="1856" w:right="778" w:firstLine="0"/>
        <w:jc w:val="center"/>
        <w:rPr>
          <w:b/>
          <w:sz w:val="28"/>
        </w:rPr>
      </w:pPr>
      <w:bookmarkStart w:name="Chapter 9" w:id="581"/>
      <w:bookmarkEnd w:id="581"/>
      <w:r>
        <w:rPr/>
      </w:r>
      <w:r>
        <w:rPr>
          <w:b/>
          <w:sz w:val="28"/>
        </w:rPr>
        <w:t>CHAPTER</w:t>
      </w:r>
      <w:r>
        <w:rPr>
          <w:b/>
          <w:spacing w:val="-7"/>
          <w:sz w:val="28"/>
        </w:rPr>
        <w:t> </w:t>
      </w:r>
      <w:r>
        <w:rPr>
          <w:b/>
          <w:sz w:val="28"/>
        </w:rPr>
        <w:t>9</w:t>
      </w:r>
    </w:p>
    <w:p>
      <w:pPr>
        <w:spacing w:line="259" w:lineRule="auto" w:before="27"/>
        <w:ind w:left="1940" w:right="778" w:firstLine="0"/>
        <w:jc w:val="center"/>
        <w:rPr>
          <w:b/>
          <w:sz w:val="28"/>
        </w:rPr>
      </w:pPr>
      <w:r>
        <w:rPr>
          <w:b/>
          <w:sz w:val="28"/>
        </w:rPr>
        <w:t>ASSESSING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CLT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FOR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USE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IN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TEMPORARY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MILITARY</w:t>
      </w:r>
      <w:r>
        <w:rPr>
          <w:b/>
          <w:spacing w:val="-67"/>
          <w:sz w:val="28"/>
        </w:rPr>
        <w:t> </w:t>
      </w:r>
      <w:r>
        <w:rPr>
          <w:b/>
          <w:sz w:val="28"/>
        </w:rPr>
        <w:t>STRUCTURES</w:t>
      </w: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 w:before="1"/>
        <w:ind w:left="1719" w:right="556" w:firstLine="720"/>
        <w:jc w:val="both"/>
      </w:pPr>
      <w:r>
        <w:rPr/>
        <w:t>The overall goal of this dissertation is to assess the suitability of CLT for use in</w:t>
      </w:r>
      <w:r>
        <w:rPr>
          <w:spacing w:val="1"/>
        </w:rPr>
        <w:t> </w:t>
      </w:r>
      <w:r>
        <w:rPr/>
        <w:t>housing for the U.S. military.</w:t>
      </w:r>
      <w:r>
        <w:rPr>
          <w:spacing w:val="1"/>
        </w:rPr>
        <w:t> </w:t>
      </w:r>
      <w:r>
        <w:rPr/>
        <w:t>The majority of the work focuses on issues of force</w:t>
      </w:r>
      <w:r>
        <w:rPr>
          <w:spacing w:val="1"/>
        </w:rPr>
        <w:t> </w:t>
      </w:r>
      <w:r>
        <w:rPr/>
        <w:t>protection, that is, the suitability of CLT structures for ballistic and blast resistance. This</w:t>
      </w:r>
      <w:r>
        <w:rPr>
          <w:spacing w:val="1"/>
        </w:rPr>
        <w:t> </w:t>
      </w:r>
      <w:r>
        <w:rPr/>
        <w:t>chapter</w:t>
      </w:r>
      <w:r>
        <w:rPr>
          <w:spacing w:val="1"/>
        </w:rPr>
        <w:t> </w:t>
      </w:r>
      <w:r>
        <w:rPr/>
        <w:t>introduces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broader</w:t>
      </w:r>
      <w:r>
        <w:rPr>
          <w:spacing w:val="1"/>
        </w:rPr>
        <w:t> </w:t>
      </w:r>
      <w:r>
        <w:rPr/>
        <w:t>set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issues</w:t>
      </w:r>
      <w:r>
        <w:rPr>
          <w:spacing w:val="1"/>
        </w:rPr>
        <w:t> </w:t>
      </w:r>
      <w:r>
        <w:rPr/>
        <w:t>regarding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design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construction</w:t>
      </w:r>
      <w:r>
        <w:rPr>
          <w:spacing w:val="1"/>
        </w:rPr>
        <w:t> </w:t>
      </w:r>
      <w:r>
        <w:rPr/>
        <w:t>of</w:t>
      </w:r>
      <w:r>
        <w:rPr>
          <w:spacing w:val="-57"/>
        </w:rPr>
        <w:t> </w:t>
      </w:r>
      <w:r>
        <w:rPr/>
        <w:t>temporary military structures and develops a framework for decision making to assess the</w:t>
      </w:r>
      <w:r>
        <w:rPr>
          <w:spacing w:val="-57"/>
        </w:rPr>
        <w:t> </w:t>
      </w:r>
      <w:r>
        <w:rPr/>
        <w:t>overall</w:t>
      </w:r>
      <w:r>
        <w:rPr>
          <w:spacing w:val="-3"/>
        </w:rPr>
        <w:t> </w:t>
      </w:r>
      <w:r>
        <w:rPr/>
        <w:t>efficacy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CLT</w:t>
      </w:r>
      <w:r>
        <w:rPr>
          <w:spacing w:val="-3"/>
        </w:rPr>
        <w:t> </w:t>
      </w:r>
      <w:r>
        <w:rPr/>
        <w:t>buildings</w:t>
      </w:r>
      <w:r>
        <w:rPr>
          <w:spacing w:val="-5"/>
        </w:rPr>
        <w:t> </w:t>
      </w:r>
      <w:r>
        <w:rPr/>
        <w:t>in</w:t>
      </w:r>
      <w:r>
        <w:rPr>
          <w:spacing w:val="-4"/>
        </w:rPr>
        <w:t> </w:t>
      </w:r>
      <w:r>
        <w:rPr/>
        <w:t>military</w:t>
      </w:r>
      <w:r>
        <w:rPr>
          <w:spacing w:val="-4"/>
        </w:rPr>
        <w:t> </w:t>
      </w:r>
      <w:r>
        <w:rPr/>
        <w:t>applications.</w:t>
      </w:r>
      <w:r>
        <w:rPr>
          <w:spacing w:val="-4"/>
        </w:rPr>
        <w:t> </w:t>
      </w:r>
      <w:r>
        <w:rPr/>
        <w:t>The</w:t>
      </w:r>
      <w:r>
        <w:rPr>
          <w:spacing w:val="-2"/>
        </w:rPr>
        <w:t> </w:t>
      </w:r>
      <w:r>
        <w:rPr/>
        <w:t>assessment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framework</w:t>
      </w:r>
      <w:r>
        <w:rPr>
          <w:spacing w:val="-57"/>
        </w:rPr>
        <w:t> </w:t>
      </w:r>
      <w:r>
        <w:rPr/>
        <w:t>also inform future research on CLT. The chapter reviews decision-making methodologies</w:t>
      </w:r>
      <w:r>
        <w:rPr>
          <w:spacing w:val="-57"/>
        </w:rPr>
        <w:t> </w:t>
      </w:r>
      <w:r>
        <w:rPr/>
        <w:t>and tools before introducing a critical set of performance criteria for military structures</w:t>
      </w:r>
      <w:r>
        <w:rPr>
          <w:spacing w:val="1"/>
        </w:rPr>
        <w:t> </w:t>
      </w:r>
      <w:r>
        <w:rPr/>
        <w:t>used in theater.</w:t>
      </w:r>
      <w:r>
        <w:rPr>
          <w:spacing w:val="1"/>
        </w:rPr>
        <w:t> </w:t>
      </w:r>
      <w:r>
        <w:rPr/>
        <w:t>Each of these criterion are then discussed in detail with respect to the</w:t>
      </w:r>
      <w:r>
        <w:rPr>
          <w:spacing w:val="1"/>
        </w:rPr>
        <w:t> </w:t>
      </w:r>
      <w:r>
        <w:rPr/>
        <w:t>specific</w:t>
      </w:r>
      <w:r>
        <w:rPr>
          <w:spacing w:val="-1"/>
        </w:rPr>
        <w:t> </w:t>
      </w:r>
      <w:r>
        <w:rPr/>
        <w:t>attributes of</w:t>
      </w:r>
      <w:r>
        <w:rPr>
          <w:spacing w:val="-1"/>
        </w:rPr>
        <w:t> </w:t>
      </w:r>
      <w:r>
        <w:rPr/>
        <w:t>CLT.</w:t>
      </w:r>
    </w:p>
    <w:p>
      <w:pPr>
        <w:pStyle w:val="Heading9"/>
        <w:numPr>
          <w:ilvl w:val="1"/>
          <w:numId w:val="28"/>
        </w:numPr>
        <w:tabs>
          <w:tab w:pos="2080" w:val="left" w:leader="none"/>
        </w:tabs>
        <w:spacing w:line="240" w:lineRule="auto" w:before="162" w:after="0"/>
        <w:ind w:left="2080" w:right="0" w:hanging="361"/>
        <w:jc w:val="both"/>
      </w:pPr>
      <w:bookmarkStart w:name="_TOC_250009" w:id="582"/>
      <w:bookmarkStart w:name="9.1 Introduction" w:id="583"/>
      <w:r>
        <w:rPr>
          <w:b w:val="0"/>
        </w:rPr>
      </w:r>
      <w:bookmarkEnd w:id="583"/>
      <w:bookmarkStart w:name="9.1 Introduction" w:id="584"/>
      <w:r>
        <w:rPr/>
        <w:t>I</w:t>
      </w:r>
      <w:bookmarkEnd w:id="582"/>
      <w:r>
        <w:rPr/>
        <w:t>ntroduction</w:t>
      </w:r>
    </w:p>
    <w:p>
      <w:pPr>
        <w:pStyle w:val="BodyText"/>
        <w:spacing w:before="6"/>
        <w:rPr>
          <w:b/>
          <w:sz w:val="22"/>
        </w:rPr>
      </w:pPr>
    </w:p>
    <w:p>
      <w:pPr>
        <w:pStyle w:val="BodyText"/>
        <w:spacing w:line="480" w:lineRule="auto"/>
        <w:ind w:left="1719" w:right="557" w:firstLine="720"/>
        <w:jc w:val="both"/>
      </w:pPr>
      <w:r>
        <w:rPr/>
        <w:t>Decision making can be based on many different inputs including experience, pre-</w:t>
      </w:r>
      <w:r>
        <w:rPr>
          <w:spacing w:val="-57"/>
        </w:rPr>
        <w:t> </w:t>
      </w:r>
      <w:r>
        <w:rPr/>
        <w:t>existing knowledge, assessment of alternatives, and/or prioritization of evaluation criteria</w:t>
      </w:r>
      <w:r>
        <w:rPr>
          <w:spacing w:val="-57"/>
        </w:rPr>
        <w:t> </w:t>
      </w:r>
      <w:r>
        <w:rPr/>
        <w:t>[37]. Decision making is the selection of a choice based on the alternatives. Optimization</w:t>
      </w:r>
      <w:r>
        <w:rPr>
          <w:spacing w:val="1"/>
        </w:rPr>
        <w:t> </w:t>
      </w:r>
      <w:r>
        <w:rPr/>
        <w:t>is the process of making the optimal or “best” choice based on a pre-determined set of</w:t>
      </w:r>
      <w:r>
        <w:rPr>
          <w:spacing w:val="1"/>
        </w:rPr>
        <w:t> </w:t>
      </w:r>
      <w:r>
        <w:rPr/>
        <w:t>variables and constraints.</w:t>
      </w:r>
      <w:r>
        <w:rPr>
          <w:spacing w:val="1"/>
        </w:rPr>
        <w:t> </w:t>
      </w:r>
      <w:r>
        <w:rPr/>
        <w:t>A multi-criteria or multi-attribute tool provides a means for</w:t>
      </w:r>
      <w:r>
        <w:rPr>
          <w:spacing w:val="1"/>
        </w:rPr>
        <w:t> </w:t>
      </w:r>
      <w:r>
        <w:rPr/>
        <w:t>assessment</w:t>
      </w:r>
      <w:r>
        <w:rPr>
          <w:spacing w:val="-13"/>
        </w:rPr>
        <w:t> </w:t>
      </w:r>
      <w:r>
        <w:rPr/>
        <w:t>based</w:t>
      </w:r>
      <w:r>
        <w:rPr>
          <w:spacing w:val="-13"/>
        </w:rPr>
        <w:t> </w:t>
      </w:r>
      <w:r>
        <w:rPr/>
        <w:t>on</w:t>
      </w:r>
      <w:r>
        <w:rPr>
          <w:spacing w:val="-12"/>
        </w:rPr>
        <w:t> </w:t>
      </w:r>
      <w:r>
        <w:rPr/>
        <w:t>defined</w:t>
      </w:r>
      <w:r>
        <w:rPr>
          <w:spacing w:val="-13"/>
        </w:rPr>
        <w:t> </w:t>
      </w:r>
      <w:r>
        <w:rPr/>
        <w:t>evaluation</w:t>
      </w:r>
      <w:r>
        <w:rPr>
          <w:spacing w:val="-13"/>
        </w:rPr>
        <w:t> </w:t>
      </w:r>
      <w:r>
        <w:rPr/>
        <w:t>criteria,</w:t>
      </w:r>
      <w:r>
        <w:rPr>
          <w:spacing w:val="-12"/>
        </w:rPr>
        <w:t> </w:t>
      </w:r>
      <w:r>
        <w:rPr/>
        <w:t>alternatives,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given</w:t>
      </w:r>
      <w:r>
        <w:rPr>
          <w:spacing w:val="-12"/>
        </w:rPr>
        <w:t> </w:t>
      </w:r>
      <w:r>
        <w:rPr/>
        <w:t>objectives</w:t>
      </w:r>
      <w:r>
        <w:rPr>
          <w:spacing w:val="-13"/>
        </w:rPr>
        <w:t> </w:t>
      </w:r>
      <w:r>
        <w:rPr/>
        <w:t>or</w:t>
      </w:r>
      <w:r>
        <w:rPr>
          <w:spacing w:val="-13"/>
        </w:rPr>
        <w:t> </w:t>
      </w:r>
      <w:r>
        <w:rPr/>
        <w:t>goals.</w:t>
      </w:r>
      <w:r>
        <w:rPr>
          <w:spacing w:val="-57"/>
        </w:rPr>
        <w:t> </w:t>
      </w:r>
      <w:r>
        <w:rPr/>
        <w:t>Using tools employed in the construction management and project management industry</w:t>
      </w:r>
      <w:r>
        <w:rPr>
          <w:spacing w:val="1"/>
        </w:rPr>
        <w:t> </w:t>
      </w:r>
      <w:r>
        <w:rPr/>
        <w:t>often</w:t>
      </w:r>
      <w:r>
        <w:rPr>
          <w:spacing w:val="2"/>
        </w:rPr>
        <w:t> </w:t>
      </w:r>
      <w:r>
        <w:rPr/>
        <w:t>used</w:t>
      </w:r>
      <w:r>
        <w:rPr>
          <w:spacing w:val="59"/>
        </w:rPr>
        <w:t> </w:t>
      </w:r>
      <w:r>
        <w:rPr/>
        <w:t>for</w:t>
      </w:r>
      <w:r>
        <w:rPr>
          <w:spacing w:val="1"/>
        </w:rPr>
        <w:t> </w:t>
      </w:r>
      <w:r>
        <w:rPr/>
        <w:t>risk  assessment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project  evaluation,  CLT</w:t>
      </w:r>
      <w:r>
        <w:rPr>
          <w:spacing w:val="1"/>
        </w:rPr>
        <w:t> </w:t>
      </w:r>
      <w:r>
        <w:rPr/>
        <w:t>could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comparatively</w:t>
      </w:r>
    </w:p>
    <w:p>
      <w:pPr>
        <w:spacing w:after="0" w:line="480" w:lineRule="auto"/>
        <w:jc w:val="both"/>
        <w:sectPr>
          <w:pgSz w:w="12240" w:h="15840"/>
          <w:pgMar w:header="0" w:footer="1064" w:top="1380" w:bottom="1260" w:left="440" w:right="880"/>
        </w:sectPr>
      </w:pPr>
    </w:p>
    <w:p>
      <w:pPr>
        <w:pStyle w:val="BodyText"/>
        <w:spacing w:line="480" w:lineRule="auto" w:before="78"/>
        <w:ind w:left="1720" w:right="557"/>
        <w:jc w:val="both"/>
      </w:pPr>
      <w:r>
        <w:rPr/>
        <w:t>assessed</w:t>
      </w:r>
      <w:r>
        <w:rPr>
          <w:spacing w:val="-7"/>
        </w:rPr>
        <w:t> </w:t>
      </w:r>
      <w:r>
        <w:rPr/>
        <w:t>as</w:t>
      </w:r>
      <w:r>
        <w:rPr>
          <w:spacing w:val="-7"/>
        </w:rPr>
        <w:t> </w:t>
      </w:r>
      <w:r>
        <w:rPr/>
        <w:t>a</w:t>
      </w:r>
      <w:r>
        <w:rPr>
          <w:spacing w:val="-5"/>
        </w:rPr>
        <w:t> </w:t>
      </w:r>
      <w:r>
        <w:rPr/>
        <w:t>material</w:t>
      </w:r>
      <w:r>
        <w:rPr>
          <w:spacing w:val="-6"/>
        </w:rPr>
        <w:t> </w:t>
      </w:r>
      <w:r>
        <w:rPr/>
        <w:t>for</w:t>
      </w:r>
      <w:r>
        <w:rPr>
          <w:spacing w:val="-7"/>
        </w:rPr>
        <w:t> </w:t>
      </w:r>
      <w:r>
        <w:rPr/>
        <w:t>use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temporary</w:t>
      </w:r>
      <w:r>
        <w:rPr>
          <w:spacing w:val="-6"/>
        </w:rPr>
        <w:t> </w:t>
      </w:r>
      <w:r>
        <w:rPr/>
        <w:t>military</w:t>
      </w:r>
      <w:r>
        <w:rPr>
          <w:spacing w:val="-6"/>
        </w:rPr>
        <w:t> </w:t>
      </w:r>
      <w:r>
        <w:rPr/>
        <w:t>structures</w:t>
      </w:r>
      <w:r>
        <w:rPr>
          <w:spacing w:val="-7"/>
        </w:rPr>
        <w:t> </w:t>
      </w:r>
      <w:r>
        <w:rPr/>
        <w:t>or</w:t>
      </w:r>
      <w:r>
        <w:rPr>
          <w:spacing w:val="-6"/>
        </w:rPr>
        <w:t> </w:t>
      </w:r>
      <w:r>
        <w:rPr/>
        <w:t>other</w:t>
      </w:r>
      <w:r>
        <w:rPr>
          <w:spacing w:val="-6"/>
        </w:rPr>
        <w:t> </w:t>
      </w:r>
      <w:r>
        <w:rPr/>
        <w:t>construction</w:t>
      </w:r>
      <w:r>
        <w:rPr>
          <w:spacing w:val="-6"/>
        </w:rPr>
        <w:t> </w:t>
      </w:r>
      <w:r>
        <w:rPr/>
        <w:t>project</w:t>
      </w:r>
      <w:r>
        <w:rPr>
          <w:spacing w:val="-58"/>
        </w:rPr>
        <w:t> </w:t>
      </w:r>
      <w:r>
        <w:rPr/>
        <w:t>with</w:t>
      </w:r>
      <w:r>
        <w:rPr>
          <w:spacing w:val="-1"/>
        </w:rPr>
        <w:t> </w:t>
      </w:r>
      <w:r>
        <w:rPr/>
        <w:t>unique</w:t>
      </w:r>
      <w:r>
        <w:rPr>
          <w:spacing w:val="-1"/>
        </w:rPr>
        <w:t> </w:t>
      </w:r>
      <w:r>
        <w:rPr/>
        <w:t>or challenging requirements and constraints.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/>
        <w:ind w:left="1720" w:right="557" w:firstLine="720"/>
        <w:jc w:val="both"/>
      </w:pPr>
      <w:r>
        <w:rPr/>
        <w:t>The goal of this chapter is to discuss the development of a methodology and</w:t>
      </w:r>
      <w:r>
        <w:rPr>
          <w:spacing w:val="1"/>
        </w:rPr>
        <w:t> </w:t>
      </w:r>
      <w:r>
        <w:rPr/>
        <w:t>preliminary tool to using critical evaluation criteria to assess the choice of construction</w:t>
      </w:r>
      <w:r>
        <w:rPr>
          <w:spacing w:val="1"/>
        </w:rPr>
        <w:t> </w:t>
      </w:r>
      <w:r>
        <w:rPr/>
        <w:t>material for temporary military structures given specific mission scenarios.</w:t>
      </w:r>
      <w:r>
        <w:rPr>
          <w:spacing w:val="1"/>
        </w:rPr>
        <w:t> </w:t>
      </w:r>
      <w:r>
        <w:rPr/>
        <w:t>The focus of</w:t>
      </w:r>
      <w:r>
        <w:rPr>
          <w:spacing w:val="1"/>
        </w:rPr>
        <w:t> </w:t>
      </w:r>
      <w:r>
        <w:rPr/>
        <w:t>this</w:t>
      </w:r>
      <w:r>
        <w:rPr>
          <w:spacing w:val="-6"/>
        </w:rPr>
        <w:t> </w:t>
      </w:r>
      <w:r>
        <w:rPr/>
        <w:t>research</w:t>
      </w:r>
      <w:r>
        <w:rPr>
          <w:spacing w:val="-6"/>
        </w:rPr>
        <w:t> </w:t>
      </w:r>
      <w:r>
        <w:rPr/>
        <w:t>heretofore</w:t>
      </w:r>
      <w:r>
        <w:rPr>
          <w:spacing w:val="-5"/>
        </w:rPr>
        <w:t> </w:t>
      </w:r>
      <w:r>
        <w:rPr/>
        <w:t>has</w:t>
      </w:r>
      <w:r>
        <w:rPr>
          <w:spacing w:val="-5"/>
        </w:rPr>
        <w:t> </w:t>
      </w:r>
      <w:r>
        <w:rPr/>
        <w:t>been</w:t>
      </w:r>
      <w:r>
        <w:rPr>
          <w:spacing w:val="-5"/>
        </w:rPr>
        <w:t> </w:t>
      </w:r>
      <w:r>
        <w:rPr/>
        <w:t>on</w:t>
      </w:r>
      <w:r>
        <w:rPr>
          <w:spacing w:val="-6"/>
        </w:rPr>
        <w:t> </w:t>
      </w:r>
      <w:r>
        <w:rPr/>
        <w:t>force</w:t>
      </w:r>
      <w:r>
        <w:rPr>
          <w:spacing w:val="-5"/>
        </w:rPr>
        <w:t> </w:t>
      </w:r>
      <w:r>
        <w:rPr/>
        <w:t>protection</w:t>
      </w:r>
      <w:r>
        <w:rPr>
          <w:spacing w:val="-5"/>
        </w:rPr>
        <w:t> </w:t>
      </w:r>
      <w:r>
        <w:rPr/>
        <w:t>with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ultimate</w:t>
      </w:r>
      <w:r>
        <w:rPr>
          <w:spacing w:val="-6"/>
        </w:rPr>
        <w:t> </w:t>
      </w:r>
      <w:r>
        <w:rPr/>
        <w:t>goal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contributing</w:t>
      </w:r>
      <w:r>
        <w:rPr>
          <w:spacing w:val="-58"/>
        </w:rPr>
        <w:t> </w:t>
      </w:r>
      <w:r>
        <w:rPr/>
        <w:t>to a body of knowledge for the military to consider using CLT in theater.</w:t>
      </w:r>
      <w:r>
        <w:rPr>
          <w:spacing w:val="1"/>
        </w:rPr>
        <w:t> </w:t>
      </w:r>
      <w:r>
        <w:rPr/>
        <w:t>Regardless of</w:t>
      </w:r>
      <w:r>
        <w:rPr>
          <w:spacing w:val="1"/>
        </w:rPr>
        <w:t> </w:t>
      </w:r>
      <w:r>
        <w:rPr/>
        <w:t>the decision tool used, the development of thorough evaluation criteria that pertain to the</w:t>
      </w:r>
      <w:r>
        <w:rPr>
          <w:spacing w:val="1"/>
        </w:rPr>
        <w:t> </w:t>
      </w:r>
      <w:r>
        <w:rPr/>
        <w:t>unusual requirements of military construction is essential to selecting the best systems.</w:t>
      </w:r>
      <w:r>
        <w:rPr>
          <w:spacing w:val="1"/>
        </w:rPr>
        <w:t> </w:t>
      </w:r>
      <w:r>
        <w:rPr/>
        <w:t>Identification of areas where CLT lags competitor systems will guide future work needed</w:t>
      </w:r>
      <w:r>
        <w:rPr>
          <w:spacing w:val="-57"/>
        </w:rPr>
        <w:t> </w:t>
      </w:r>
      <w:r>
        <w:rPr/>
        <w:t>with</w:t>
      </w:r>
      <w:r>
        <w:rPr>
          <w:spacing w:val="-1"/>
        </w:rPr>
        <w:t> </w:t>
      </w:r>
      <w:r>
        <w:rPr/>
        <w:t>respect</w:t>
      </w:r>
      <w:r>
        <w:rPr>
          <w:spacing w:val="-1"/>
        </w:rPr>
        <w:t> </w:t>
      </w:r>
      <w:r>
        <w:rPr/>
        <w:t>to CLT</w:t>
      </w:r>
      <w:r>
        <w:rPr>
          <w:spacing w:val="-1"/>
        </w:rPr>
        <w:t> </w:t>
      </w:r>
      <w:r>
        <w:rPr/>
        <w:t>performance.</w:t>
      </w:r>
    </w:p>
    <w:p>
      <w:pPr>
        <w:pStyle w:val="Heading9"/>
        <w:numPr>
          <w:ilvl w:val="1"/>
          <w:numId w:val="28"/>
        </w:numPr>
        <w:tabs>
          <w:tab w:pos="2080" w:val="left" w:leader="none"/>
        </w:tabs>
        <w:spacing w:line="240" w:lineRule="auto" w:before="162" w:after="0"/>
        <w:ind w:left="2080" w:right="0" w:hanging="360"/>
        <w:jc w:val="both"/>
      </w:pPr>
      <w:bookmarkStart w:name="_TOC_250008" w:id="585"/>
      <w:bookmarkStart w:name="9.2 Background on decision-making tools" w:id="586"/>
      <w:r>
        <w:rPr>
          <w:b w:val="0"/>
        </w:rPr>
      </w:r>
      <w:bookmarkEnd w:id="586"/>
      <w:bookmarkStart w:name="9.2 Background on decision-making tools" w:id="587"/>
      <w:r>
        <w:rPr/>
        <w:t>B</w:t>
      </w:r>
      <w:r>
        <w:rPr/>
        <w:t>ackground</w:t>
      </w:r>
      <w:r>
        <w:rPr>
          <w:spacing w:val="-5"/>
        </w:rPr>
        <w:t> </w:t>
      </w:r>
      <w:r>
        <w:rPr/>
        <w:t>on</w:t>
      </w:r>
      <w:r>
        <w:rPr>
          <w:spacing w:val="-5"/>
        </w:rPr>
        <w:t> </w:t>
      </w:r>
      <w:r>
        <w:rPr/>
        <w:t>decision-making</w:t>
      </w:r>
      <w:r>
        <w:rPr>
          <w:spacing w:val="-4"/>
        </w:rPr>
        <w:t> </w:t>
      </w:r>
      <w:bookmarkEnd w:id="585"/>
      <w:r>
        <w:rPr/>
        <w:t>tools</w:t>
      </w:r>
    </w:p>
    <w:p>
      <w:pPr>
        <w:pStyle w:val="BodyText"/>
        <w:spacing w:before="6"/>
        <w:rPr>
          <w:b/>
          <w:sz w:val="22"/>
        </w:rPr>
      </w:pPr>
    </w:p>
    <w:p>
      <w:pPr>
        <w:pStyle w:val="BodyText"/>
        <w:spacing w:line="480" w:lineRule="auto"/>
        <w:ind w:left="1719" w:right="557" w:firstLine="720"/>
        <w:jc w:val="both"/>
      </w:pPr>
      <w:r>
        <w:rPr/>
        <w:t>Many of the decision making tools in the field of architecture, engineering and</w:t>
      </w:r>
      <w:r>
        <w:rPr>
          <w:spacing w:val="1"/>
        </w:rPr>
        <w:t> </w:t>
      </w:r>
      <w:r>
        <w:rPr/>
        <w:t>construction (AEC), focus on risk and assessment of risk.</w:t>
      </w:r>
      <w:r>
        <w:rPr>
          <w:spacing w:val="1"/>
        </w:rPr>
        <w:t> </w:t>
      </w:r>
      <w:r>
        <w:rPr/>
        <w:t>Common areas of risk in</w:t>
      </w:r>
      <w:r>
        <w:rPr>
          <w:spacing w:val="1"/>
        </w:rPr>
        <w:t> </w:t>
      </w:r>
      <w:r>
        <w:rPr/>
        <w:t>construction include cost, time to completion and quality of work.</w:t>
      </w:r>
      <w:r>
        <w:rPr>
          <w:spacing w:val="1"/>
        </w:rPr>
        <w:t> </w:t>
      </w:r>
      <w:r>
        <w:rPr/>
        <w:t>Often the tools for</w:t>
      </w:r>
      <w:r>
        <w:rPr>
          <w:spacing w:val="1"/>
        </w:rPr>
        <w:t> </w:t>
      </w:r>
      <w:r>
        <w:rPr/>
        <w:t>evaluating risk focus on a probability-impact (P-I) model.</w:t>
      </w:r>
      <w:r>
        <w:rPr>
          <w:spacing w:val="1"/>
        </w:rPr>
        <w:t> </w:t>
      </w:r>
      <w:r>
        <w:rPr/>
        <w:t>The model requires a rating of</w:t>
      </w:r>
      <w:r>
        <w:rPr>
          <w:spacing w:val="1"/>
        </w:rPr>
        <w:t> </w:t>
      </w:r>
      <w:r>
        <w:rPr/>
        <w:t>the likelihood of an expected event, the probability, and the consequences if the event</w:t>
      </w:r>
      <w:r>
        <w:rPr>
          <w:spacing w:val="1"/>
        </w:rPr>
        <w:t> </w:t>
      </w:r>
      <w:r>
        <w:rPr/>
        <w:t>occurs, the impact.</w:t>
      </w:r>
      <w:r>
        <w:rPr>
          <w:spacing w:val="1"/>
        </w:rPr>
        <w:t> </w:t>
      </w:r>
      <w:r>
        <w:rPr/>
        <w:t>A simplified example of this type of model is shown in </w:t>
      </w:r>
      <w:hyperlink w:history="true" w:anchor="_bookmark206">
        <w:r>
          <w:rPr/>
          <w:t>Figure 9-1</w:t>
        </w:r>
      </w:hyperlink>
      <w:r>
        <w:rPr>
          <w:spacing w:val="1"/>
        </w:rPr>
        <w:t> </w:t>
      </w:r>
      <w:r>
        <w:rPr/>
        <w:t>where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terms</w:t>
      </w:r>
      <w:r>
        <w:rPr>
          <w:spacing w:val="-2"/>
        </w:rPr>
        <w:t> </w:t>
      </w:r>
      <w:r>
        <w:rPr/>
        <w:t>very</w:t>
      </w:r>
      <w:r>
        <w:rPr>
          <w:spacing w:val="-3"/>
        </w:rPr>
        <w:t> </w:t>
      </w:r>
      <w:r>
        <w:rPr/>
        <w:t>low,</w:t>
      </w:r>
      <w:r>
        <w:rPr>
          <w:spacing w:val="-3"/>
        </w:rPr>
        <w:t> </w:t>
      </w:r>
      <w:r>
        <w:rPr/>
        <w:t>low, medium,</w:t>
      </w:r>
      <w:r>
        <w:rPr>
          <w:spacing w:val="-3"/>
        </w:rPr>
        <w:t> </w:t>
      </w:r>
      <w:r>
        <w:rPr/>
        <w:t>high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/>
        <w:t>very</w:t>
      </w:r>
      <w:r>
        <w:rPr>
          <w:spacing w:val="-3"/>
        </w:rPr>
        <w:t> </w:t>
      </w:r>
      <w:r>
        <w:rPr/>
        <w:t>high</w:t>
      </w:r>
      <w:r>
        <w:rPr>
          <w:spacing w:val="-3"/>
        </w:rPr>
        <w:t> </w:t>
      </w:r>
      <w:r>
        <w:rPr/>
        <w:t>are</w:t>
      </w:r>
      <w:r>
        <w:rPr>
          <w:spacing w:val="-2"/>
        </w:rPr>
        <w:t> </w:t>
      </w:r>
      <w:r>
        <w:rPr/>
        <w:t>used</w:t>
      </w:r>
      <w:r>
        <w:rPr>
          <w:spacing w:val="-3"/>
        </w:rPr>
        <w:t> </w:t>
      </w:r>
      <w:r>
        <w:rPr/>
        <w:t>as</w:t>
      </w:r>
      <w:r>
        <w:rPr>
          <w:spacing w:val="-4"/>
        </w:rPr>
        <w:t> </w:t>
      </w:r>
      <w:r>
        <w:rPr/>
        <w:t>variable</w:t>
      </w:r>
      <w:r>
        <w:rPr>
          <w:spacing w:val="-2"/>
        </w:rPr>
        <w:t> </w:t>
      </w:r>
      <w:r>
        <w:rPr/>
        <w:t>for</w:t>
      </w:r>
      <w:r>
        <w:rPr>
          <w:spacing w:val="-2"/>
        </w:rPr>
        <w:t> </w:t>
      </w:r>
      <w:r>
        <w:rPr/>
        <w:t>rating</w:t>
      </w:r>
      <w:r>
        <w:rPr>
          <w:spacing w:val="-58"/>
        </w:rPr>
        <w:t> </w:t>
      </w:r>
      <w:r>
        <w:rPr/>
        <w:t>both the probability and impact.</w:t>
      </w:r>
      <w:r>
        <w:rPr>
          <w:spacing w:val="1"/>
        </w:rPr>
        <w:t> </w:t>
      </w:r>
      <w:r>
        <w:rPr/>
        <w:t>Often in this type of model, the impact is assumed to be</w:t>
      </w:r>
      <w:r>
        <w:rPr>
          <w:spacing w:val="1"/>
        </w:rPr>
        <w:t> </w:t>
      </w:r>
      <w:r>
        <w:rPr/>
        <w:t>negative.</w:t>
      </w:r>
      <w:r>
        <w:rPr>
          <w:spacing w:val="1"/>
        </w:rPr>
        <w:t> </w:t>
      </w:r>
      <w:r>
        <w:rPr/>
        <w:t>These terms can also be assigned a numerical value and a basic calculation of</w:t>
      </w:r>
      <w:r>
        <w:rPr>
          <w:spacing w:val="1"/>
        </w:rPr>
        <w:t> </w:t>
      </w:r>
      <w:r>
        <w:rPr/>
        <w:t>risk</w:t>
      </w:r>
      <w:r>
        <w:rPr>
          <w:spacing w:val="39"/>
        </w:rPr>
        <w:t> </w:t>
      </w:r>
      <w:r>
        <w:rPr/>
        <w:t>computed</w:t>
      </w:r>
      <w:r>
        <w:rPr>
          <w:spacing w:val="39"/>
        </w:rPr>
        <w:t> </w:t>
      </w:r>
      <w:r>
        <w:rPr/>
        <w:t>by</w:t>
      </w:r>
      <w:r>
        <w:rPr>
          <w:spacing w:val="41"/>
        </w:rPr>
        <w:t> </w:t>
      </w:r>
      <w:r>
        <w:rPr/>
        <w:t>multiplying</w:t>
      </w:r>
      <w:r>
        <w:rPr>
          <w:spacing w:val="39"/>
        </w:rPr>
        <w:t> </w:t>
      </w:r>
      <w:r>
        <w:rPr/>
        <w:t>the</w:t>
      </w:r>
      <w:r>
        <w:rPr>
          <w:spacing w:val="40"/>
        </w:rPr>
        <w:t> </w:t>
      </w:r>
      <w:r>
        <w:rPr/>
        <w:t>impact</w:t>
      </w:r>
      <w:r>
        <w:rPr>
          <w:spacing w:val="40"/>
        </w:rPr>
        <w:t> </w:t>
      </w:r>
      <w:r>
        <w:rPr/>
        <w:t>by</w:t>
      </w:r>
      <w:r>
        <w:rPr>
          <w:spacing w:val="39"/>
        </w:rPr>
        <w:t> </w:t>
      </w:r>
      <w:r>
        <w:rPr/>
        <w:t>the</w:t>
      </w:r>
      <w:r>
        <w:rPr>
          <w:spacing w:val="40"/>
        </w:rPr>
        <w:t> </w:t>
      </w:r>
      <w:r>
        <w:rPr/>
        <w:t>likelihood.</w:t>
      </w:r>
      <w:r>
        <w:rPr>
          <w:spacing w:val="20"/>
        </w:rPr>
        <w:t> </w:t>
      </w:r>
      <w:r>
        <w:rPr/>
        <w:t>The</w:t>
      </w:r>
      <w:r>
        <w:rPr>
          <w:spacing w:val="40"/>
        </w:rPr>
        <w:t> </w:t>
      </w:r>
      <w:r>
        <w:rPr/>
        <w:t>resulting</w:t>
      </w:r>
      <w:r>
        <w:rPr>
          <w:spacing w:val="39"/>
        </w:rPr>
        <w:t> </w:t>
      </w:r>
      <w:r>
        <w:rPr/>
        <w:t>value</w:t>
      </w:r>
      <w:r>
        <w:rPr>
          <w:spacing w:val="40"/>
        </w:rPr>
        <w:t> </w:t>
      </w:r>
      <w:r>
        <w:rPr/>
        <w:t>then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440" w:right="880"/>
        </w:sectPr>
      </w:pPr>
    </w:p>
    <w:p>
      <w:pPr>
        <w:pStyle w:val="BodyText"/>
        <w:spacing w:line="480" w:lineRule="auto" w:before="78"/>
        <w:ind w:left="1720"/>
      </w:pPr>
      <w:r>
        <w:rPr/>
        <w:t>represents</w:t>
      </w:r>
      <w:r>
        <w:rPr>
          <w:spacing w:val="-2"/>
        </w:rPr>
        <w:t> </w:t>
      </w:r>
      <w:r>
        <w:rPr/>
        <w:t>risk</w:t>
      </w:r>
      <w:r>
        <w:rPr>
          <w:spacing w:val="-1"/>
        </w:rPr>
        <w:t> </w:t>
      </w:r>
      <w:r>
        <w:rPr/>
        <w:t>on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numerical</w:t>
      </w:r>
      <w:r>
        <w:rPr>
          <w:spacing w:val="-1"/>
        </w:rPr>
        <w:t> </w:t>
      </w:r>
      <w:r>
        <w:rPr/>
        <w:t>scale</w:t>
      </w:r>
      <w:r>
        <w:rPr>
          <w:spacing w:val="-3"/>
        </w:rPr>
        <w:t> </w:t>
      </w:r>
      <w:r>
        <w:rPr/>
        <w:t>where</w:t>
      </w:r>
      <w:r>
        <w:rPr>
          <w:spacing w:val="-1"/>
        </w:rPr>
        <w:t> </w:t>
      </w:r>
      <w:r>
        <w:rPr/>
        <w:t>lower</w:t>
      </w:r>
      <w:r>
        <w:rPr>
          <w:spacing w:val="-2"/>
        </w:rPr>
        <w:t> </w:t>
      </w:r>
      <w:r>
        <w:rPr/>
        <w:t>values</w:t>
      </w:r>
      <w:r>
        <w:rPr>
          <w:spacing w:val="-2"/>
        </w:rPr>
        <w:t> </w:t>
      </w:r>
      <w:r>
        <w:rPr/>
        <w:t>are</w:t>
      </w:r>
      <w:r>
        <w:rPr>
          <w:spacing w:val="-2"/>
        </w:rPr>
        <w:t> </w:t>
      </w:r>
      <w:r>
        <w:rPr/>
        <w:t>less risk</w:t>
      </w:r>
      <w:r>
        <w:rPr>
          <w:spacing w:val="-1"/>
        </w:rPr>
        <w:t> </w:t>
      </w:r>
      <w:r>
        <w:rPr/>
        <w:t>and</w:t>
      </w:r>
      <w:r>
        <w:rPr>
          <w:spacing w:val="-3"/>
        </w:rPr>
        <w:t> </w:t>
      </w:r>
      <w:r>
        <w:rPr/>
        <w:t>higher</w:t>
      </w:r>
      <w:r>
        <w:rPr>
          <w:spacing w:val="-1"/>
        </w:rPr>
        <w:t> </w:t>
      </w:r>
      <w:r>
        <w:rPr/>
        <w:t>values</w:t>
      </w:r>
      <w:r>
        <w:rPr>
          <w:spacing w:val="-1"/>
        </w:rPr>
        <w:t> </w:t>
      </w:r>
      <w:r>
        <w:rPr/>
        <w:t>are</w:t>
      </w:r>
      <w:r>
        <w:rPr>
          <w:spacing w:val="-57"/>
        </w:rPr>
        <w:t> </w:t>
      </w:r>
      <w:r>
        <w:rPr/>
        <w:t>riskier.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6"/>
        </w:rPr>
      </w:pPr>
    </w:p>
    <w:tbl>
      <w:tblPr>
        <w:tblW w:w="0" w:type="auto"/>
        <w:jc w:val="left"/>
        <w:tblInd w:w="26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60"/>
        <w:gridCol w:w="1460"/>
        <w:gridCol w:w="960"/>
        <w:gridCol w:w="960"/>
        <w:gridCol w:w="961"/>
        <w:gridCol w:w="960"/>
        <w:gridCol w:w="960"/>
      </w:tblGrid>
      <w:tr>
        <w:trPr>
          <w:trHeight w:val="300" w:hRule="atLeast"/>
        </w:trPr>
        <w:tc>
          <w:tcPr>
            <w:tcW w:w="960" w:type="dxa"/>
            <w:vMerge w:val="restart"/>
            <w:textDirection w:val="btLr"/>
          </w:tcPr>
          <w:p>
            <w:pPr>
              <w:pStyle w:val="TableParagraph"/>
              <w:spacing w:before="7"/>
              <w:rPr>
                <w:sz w:val="30"/>
              </w:rPr>
            </w:pPr>
          </w:p>
          <w:p>
            <w:pPr>
              <w:pStyle w:val="TableParagraph"/>
              <w:ind w:left="464"/>
              <w:rPr>
                <w:sz w:val="22"/>
              </w:rPr>
            </w:pPr>
            <w:bookmarkStart w:name="_bookmark206" w:id="588"/>
            <w:bookmarkEnd w:id="588"/>
            <w:r>
              <w:rPr/>
            </w:r>
            <w:r>
              <w:rPr>
                <w:sz w:val="22"/>
              </w:rPr>
              <w:t>Impact</w:t>
            </w:r>
          </w:p>
        </w:tc>
        <w:tc>
          <w:tcPr>
            <w:tcW w:w="1460" w:type="dxa"/>
          </w:tcPr>
          <w:p>
            <w:pPr>
              <w:pStyle w:val="TableParagraph"/>
              <w:spacing w:before="22"/>
              <w:ind w:left="243" w:right="233"/>
              <w:jc w:val="center"/>
              <w:rPr>
                <w:sz w:val="22"/>
              </w:rPr>
            </w:pPr>
            <w:r>
              <w:rPr>
                <w:sz w:val="22"/>
              </w:rPr>
              <w:t>Very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High</w:t>
            </w:r>
          </w:p>
        </w:tc>
        <w:tc>
          <w:tcPr>
            <w:tcW w:w="960" w:type="dxa"/>
            <w:shd w:val="clear" w:color="auto" w:fill="00B050"/>
          </w:tcPr>
          <w:p>
            <w:pPr>
              <w:pStyle w:val="TableParagraph"/>
              <w:spacing w:line="234" w:lineRule="exact" w:before="46"/>
              <w:ind w:left="425"/>
              <w:rPr>
                <w:sz w:val="22"/>
              </w:rPr>
            </w:pPr>
            <w:r>
              <w:rPr>
                <w:w w:val="99"/>
                <w:sz w:val="22"/>
              </w:rPr>
              <w:t>5</w:t>
            </w:r>
          </w:p>
        </w:tc>
        <w:tc>
          <w:tcPr>
            <w:tcW w:w="960" w:type="dxa"/>
            <w:shd w:val="clear" w:color="auto" w:fill="FFFF00"/>
          </w:tcPr>
          <w:p>
            <w:pPr>
              <w:pStyle w:val="TableParagraph"/>
              <w:spacing w:line="234" w:lineRule="exact" w:before="46"/>
              <w:ind w:left="114" w:right="104"/>
              <w:jc w:val="center"/>
              <w:rPr>
                <w:sz w:val="22"/>
              </w:rPr>
            </w:pPr>
            <w:r>
              <w:rPr>
                <w:sz w:val="22"/>
              </w:rPr>
              <w:t>10</w:t>
            </w:r>
          </w:p>
        </w:tc>
        <w:tc>
          <w:tcPr>
            <w:tcW w:w="961" w:type="dxa"/>
            <w:shd w:val="clear" w:color="auto" w:fill="FF0000"/>
          </w:tcPr>
          <w:p>
            <w:pPr>
              <w:pStyle w:val="TableParagraph"/>
              <w:spacing w:line="234" w:lineRule="exact" w:before="46"/>
              <w:ind w:left="88" w:right="77"/>
              <w:jc w:val="center"/>
              <w:rPr>
                <w:sz w:val="22"/>
              </w:rPr>
            </w:pPr>
            <w:r>
              <w:rPr>
                <w:sz w:val="22"/>
              </w:rPr>
              <w:t>15</w:t>
            </w:r>
          </w:p>
        </w:tc>
        <w:tc>
          <w:tcPr>
            <w:tcW w:w="960" w:type="dxa"/>
            <w:shd w:val="clear" w:color="auto" w:fill="FF0000"/>
          </w:tcPr>
          <w:p>
            <w:pPr>
              <w:pStyle w:val="TableParagraph"/>
              <w:spacing w:line="234" w:lineRule="exact" w:before="46"/>
              <w:ind w:left="114" w:right="104"/>
              <w:jc w:val="center"/>
              <w:rPr>
                <w:sz w:val="22"/>
              </w:rPr>
            </w:pPr>
            <w:r>
              <w:rPr>
                <w:sz w:val="22"/>
              </w:rPr>
              <w:t>20</w:t>
            </w:r>
          </w:p>
        </w:tc>
        <w:tc>
          <w:tcPr>
            <w:tcW w:w="960" w:type="dxa"/>
            <w:shd w:val="clear" w:color="auto" w:fill="FF0000"/>
          </w:tcPr>
          <w:p>
            <w:pPr>
              <w:pStyle w:val="TableParagraph"/>
              <w:spacing w:line="234" w:lineRule="exact" w:before="46"/>
              <w:ind w:left="370"/>
              <w:rPr>
                <w:sz w:val="22"/>
              </w:rPr>
            </w:pPr>
            <w:r>
              <w:rPr>
                <w:sz w:val="22"/>
              </w:rPr>
              <w:t>25</w:t>
            </w:r>
          </w:p>
        </w:tc>
      </w:tr>
      <w:tr>
        <w:trPr>
          <w:trHeight w:val="299" w:hRule="atLeast"/>
        </w:trPr>
        <w:tc>
          <w:tcPr>
            <w:tcW w:w="960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60" w:type="dxa"/>
          </w:tcPr>
          <w:p>
            <w:pPr>
              <w:pStyle w:val="TableParagraph"/>
              <w:spacing w:before="21"/>
              <w:ind w:left="242" w:right="233"/>
              <w:jc w:val="center"/>
              <w:rPr>
                <w:sz w:val="22"/>
              </w:rPr>
            </w:pPr>
            <w:r>
              <w:rPr>
                <w:sz w:val="22"/>
              </w:rPr>
              <w:t>High</w:t>
            </w:r>
          </w:p>
        </w:tc>
        <w:tc>
          <w:tcPr>
            <w:tcW w:w="960" w:type="dxa"/>
            <w:shd w:val="clear" w:color="auto" w:fill="00B050"/>
          </w:tcPr>
          <w:p>
            <w:pPr>
              <w:pStyle w:val="TableParagraph"/>
              <w:spacing w:line="234" w:lineRule="exact" w:before="45"/>
              <w:ind w:left="425"/>
              <w:rPr>
                <w:sz w:val="22"/>
              </w:rPr>
            </w:pPr>
            <w:r>
              <w:rPr>
                <w:w w:val="99"/>
                <w:sz w:val="22"/>
              </w:rPr>
              <w:t>4</w:t>
            </w:r>
          </w:p>
        </w:tc>
        <w:tc>
          <w:tcPr>
            <w:tcW w:w="960" w:type="dxa"/>
            <w:shd w:val="clear" w:color="auto" w:fill="FFFF00"/>
          </w:tcPr>
          <w:p>
            <w:pPr>
              <w:pStyle w:val="TableParagraph"/>
              <w:spacing w:line="234" w:lineRule="exact" w:before="45"/>
              <w:ind w:left="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8</w:t>
            </w:r>
          </w:p>
        </w:tc>
        <w:tc>
          <w:tcPr>
            <w:tcW w:w="961" w:type="dxa"/>
            <w:shd w:val="clear" w:color="auto" w:fill="FFFF00"/>
          </w:tcPr>
          <w:p>
            <w:pPr>
              <w:pStyle w:val="TableParagraph"/>
              <w:spacing w:line="234" w:lineRule="exact" w:before="45"/>
              <w:ind w:left="88" w:right="77"/>
              <w:jc w:val="center"/>
              <w:rPr>
                <w:sz w:val="22"/>
              </w:rPr>
            </w:pPr>
            <w:r>
              <w:rPr>
                <w:sz w:val="22"/>
              </w:rPr>
              <w:t>12</w:t>
            </w:r>
          </w:p>
        </w:tc>
        <w:tc>
          <w:tcPr>
            <w:tcW w:w="960" w:type="dxa"/>
            <w:shd w:val="clear" w:color="auto" w:fill="FF0000"/>
          </w:tcPr>
          <w:p>
            <w:pPr>
              <w:pStyle w:val="TableParagraph"/>
              <w:spacing w:line="234" w:lineRule="exact" w:before="45"/>
              <w:ind w:left="114" w:right="104"/>
              <w:jc w:val="center"/>
              <w:rPr>
                <w:sz w:val="22"/>
              </w:rPr>
            </w:pPr>
            <w:r>
              <w:rPr>
                <w:sz w:val="22"/>
              </w:rPr>
              <w:t>16</w:t>
            </w:r>
          </w:p>
        </w:tc>
        <w:tc>
          <w:tcPr>
            <w:tcW w:w="960" w:type="dxa"/>
            <w:shd w:val="clear" w:color="auto" w:fill="FF0000"/>
          </w:tcPr>
          <w:p>
            <w:pPr>
              <w:pStyle w:val="TableParagraph"/>
              <w:spacing w:line="234" w:lineRule="exact" w:before="45"/>
              <w:ind w:left="370"/>
              <w:rPr>
                <w:sz w:val="22"/>
              </w:rPr>
            </w:pPr>
            <w:r>
              <w:rPr>
                <w:sz w:val="22"/>
              </w:rPr>
              <w:t>20</w:t>
            </w:r>
          </w:p>
        </w:tc>
      </w:tr>
      <w:tr>
        <w:trPr>
          <w:trHeight w:val="299" w:hRule="atLeast"/>
        </w:trPr>
        <w:tc>
          <w:tcPr>
            <w:tcW w:w="960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60" w:type="dxa"/>
          </w:tcPr>
          <w:p>
            <w:pPr>
              <w:pStyle w:val="TableParagraph"/>
              <w:spacing w:before="22"/>
              <w:ind w:left="243" w:right="232"/>
              <w:jc w:val="center"/>
              <w:rPr>
                <w:sz w:val="22"/>
              </w:rPr>
            </w:pPr>
            <w:r>
              <w:rPr>
                <w:sz w:val="22"/>
              </w:rPr>
              <w:t>Medium</w:t>
            </w:r>
          </w:p>
        </w:tc>
        <w:tc>
          <w:tcPr>
            <w:tcW w:w="960" w:type="dxa"/>
            <w:shd w:val="clear" w:color="auto" w:fill="00B050"/>
          </w:tcPr>
          <w:p>
            <w:pPr>
              <w:pStyle w:val="TableParagraph"/>
              <w:spacing w:line="234" w:lineRule="exact" w:before="45"/>
              <w:ind w:left="425"/>
              <w:rPr>
                <w:sz w:val="22"/>
              </w:rPr>
            </w:pPr>
            <w:r>
              <w:rPr>
                <w:w w:val="99"/>
                <w:sz w:val="22"/>
              </w:rPr>
              <w:t>3</w:t>
            </w:r>
          </w:p>
        </w:tc>
        <w:tc>
          <w:tcPr>
            <w:tcW w:w="960" w:type="dxa"/>
            <w:shd w:val="clear" w:color="auto" w:fill="FFFF00"/>
          </w:tcPr>
          <w:p>
            <w:pPr>
              <w:pStyle w:val="TableParagraph"/>
              <w:spacing w:line="234" w:lineRule="exact" w:before="45"/>
              <w:ind w:left="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6</w:t>
            </w:r>
          </w:p>
        </w:tc>
        <w:tc>
          <w:tcPr>
            <w:tcW w:w="961" w:type="dxa"/>
            <w:shd w:val="clear" w:color="auto" w:fill="FFFF00"/>
          </w:tcPr>
          <w:p>
            <w:pPr>
              <w:pStyle w:val="TableParagraph"/>
              <w:spacing w:line="234" w:lineRule="exact" w:before="45"/>
              <w:ind w:left="11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9</w:t>
            </w:r>
          </w:p>
        </w:tc>
        <w:tc>
          <w:tcPr>
            <w:tcW w:w="960" w:type="dxa"/>
            <w:shd w:val="clear" w:color="auto" w:fill="FFFF00"/>
          </w:tcPr>
          <w:p>
            <w:pPr>
              <w:pStyle w:val="TableParagraph"/>
              <w:spacing w:line="234" w:lineRule="exact" w:before="45"/>
              <w:ind w:left="114" w:right="104"/>
              <w:jc w:val="center"/>
              <w:rPr>
                <w:sz w:val="22"/>
              </w:rPr>
            </w:pPr>
            <w:r>
              <w:rPr>
                <w:sz w:val="22"/>
              </w:rPr>
              <w:t>12</w:t>
            </w:r>
          </w:p>
        </w:tc>
        <w:tc>
          <w:tcPr>
            <w:tcW w:w="960" w:type="dxa"/>
            <w:shd w:val="clear" w:color="auto" w:fill="FF0000"/>
          </w:tcPr>
          <w:p>
            <w:pPr>
              <w:pStyle w:val="TableParagraph"/>
              <w:spacing w:line="234" w:lineRule="exact" w:before="45"/>
              <w:ind w:left="370"/>
              <w:rPr>
                <w:sz w:val="22"/>
              </w:rPr>
            </w:pPr>
            <w:r>
              <w:rPr>
                <w:sz w:val="22"/>
              </w:rPr>
              <w:t>15</w:t>
            </w:r>
          </w:p>
        </w:tc>
      </w:tr>
      <w:tr>
        <w:trPr>
          <w:trHeight w:val="300" w:hRule="atLeast"/>
        </w:trPr>
        <w:tc>
          <w:tcPr>
            <w:tcW w:w="960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60" w:type="dxa"/>
          </w:tcPr>
          <w:p>
            <w:pPr>
              <w:pStyle w:val="TableParagraph"/>
              <w:spacing w:before="22"/>
              <w:ind w:left="241" w:right="233"/>
              <w:jc w:val="center"/>
              <w:rPr>
                <w:sz w:val="22"/>
              </w:rPr>
            </w:pPr>
            <w:r>
              <w:rPr>
                <w:sz w:val="22"/>
              </w:rPr>
              <w:t>Low</w:t>
            </w:r>
          </w:p>
        </w:tc>
        <w:tc>
          <w:tcPr>
            <w:tcW w:w="960" w:type="dxa"/>
            <w:shd w:val="clear" w:color="auto" w:fill="00B050"/>
          </w:tcPr>
          <w:p>
            <w:pPr>
              <w:pStyle w:val="TableParagraph"/>
              <w:spacing w:line="234" w:lineRule="exact" w:before="46"/>
              <w:ind w:left="425"/>
              <w:rPr>
                <w:sz w:val="22"/>
              </w:rPr>
            </w:pPr>
            <w:r>
              <w:rPr>
                <w:w w:val="99"/>
                <w:sz w:val="22"/>
              </w:rPr>
              <w:t>2</w:t>
            </w:r>
          </w:p>
        </w:tc>
        <w:tc>
          <w:tcPr>
            <w:tcW w:w="960" w:type="dxa"/>
            <w:shd w:val="clear" w:color="auto" w:fill="00B050"/>
          </w:tcPr>
          <w:p>
            <w:pPr>
              <w:pStyle w:val="TableParagraph"/>
              <w:spacing w:line="234" w:lineRule="exact" w:before="46"/>
              <w:ind w:left="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4</w:t>
            </w:r>
          </w:p>
        </w:tc>
        <w:tc>
          <w:tcPr>
            <w:tcW w:w="961" w:type="dxa"/>
            <w:shd w:val="clear" w:color="auto" w:fill="FFFF00"/>
          </w:tcPr>
          <w:p>
            <w:pPr>
              <w:pStyle w:val="TableParagraph"/>
              <w:spacing w:line="234" w:lineRule="exact" w:before="46"/>
              <w:ind w:left="11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6</w:t>
            </w:r>
          </w:p>
        </w:tc>
        <w:tc>
          <w:tcPr>
            <w:tcW w:w="960" w:type="dxa"/>
            <w:shd w:val="clear" w:color="auto" w:fill="FFFF00"/>
          </w:tcPr>
          <w:p>
            <w:pPr>
              <w:pStyle w:val="TableParagraph"/>
              <w:spacing w:line="234" w:lineRule="exact" w:before="46"/>
              <w:ind w:left="10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8</w:t>
            </w:r>
          </w:p>
        </w:tc>
        <w:tc>
          <w:tcPr>
            <w:tcW w:w="960" w:type="dxa"/>
            <w:shd w:val="clear" w:color="auto" w:fill="FFFF00"/>
          </w:tcPr>
          <w:p>
            <w:pPr>
              <w:pStyle w:val="TableParagraph"/>
              <w:spacing w:line="234" w:lineRule="exact" w:before="46"/>
              <w:ind w:left="370"/>
              <w:rPr>
                <w:sz w:val="22"/>
              </w:rPr>
            </w:pPr>
            <w:r>
              <w:rPr>
                <w:sz w:val="22"/>
              </w:rPr>
              <w:t>10</w:t>
            </w:r>
          </w:p>
        </w:tc>
      </w:tr>
      <w:tr>
        <w:trPr>
          <w:trHeight w:val="299" w:hRule="atLeast"/>
        </w:trPr>
        <w:tc>
          <w:tcPr>
            <w:tcW w:w="960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60" w:type="dxa"/>
          </w:tcPr>
          <w:p>
            <w:pPr>
              <w:pStyle w:val="TableParagraph"/>
              <w:spacing w:before="21"/>
              <w:ind w:left="243" w:right="233"/>
              <w:jc w:val="center"/>
              <w:rPr>
                <w:sz w:val="22"/>
              </w:rPr>
            </w:pPr>
            <w:r>
              <w:rPr>
                <w:sz w:val="22"/>
              </w:rPr>
              <w:t>Very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Low</w:t>
            </w:r>
          </w:p>
        </w:tc>
        <w:tc>
          <w:tcPr>
            <w:tcW w:w="960" w:type="dxa"/>
            <w:shd w:val="clear" w:color="auto" w:fill="00B050"/>
          </w:tcPr>
          <w:p>
            <w:pPr>
              <w:pStyle w:val="TableParagraph"/>
              <w:spacing w:line="234" w:lineRule="exact" w:before="45"/>
              <w:ind w:left="425"/>
              <w:rPr>
                <w:sz w:val="22"/>
              </w:rPr>
            </w:pPr>
            <w:r>
              <w:rPr>
                <w:w w:val="99"/>
                <w:sz w:val="22"/>
              </w:rPr>
              <w:t>1</w:t>
            </w:r>
          </w:p>
        </w:tc>
        <w:tc>
          <w:tcPr>
            <w:tcW w:w="960" w:type="dxa"/>
            <w:shd w:val="clear" w:color="auto" w:fill="00B050"/>
          </w:tcPr>
          <w:p>
            <w:pPr>
              <w:pStyle w:val="TableParagraph"/>
              <w:spacing w:line="234" w:lineRule="exact" w:before="45"/>
              <w:ind w:left="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2</w:t>
            </w:r>
          </w:p>
        </w:tc>
        <w:tc>
          <w:tcPr>
            <w:tcW w:w="961" w:type="dxa"/>
            <w:shd w:val="clear" w:color="auto" w:fill="00B050"/>
          </w:tcPr>
          <w:p>
            <w:pPr>
              <w:pStyle w:val="TableParagraph"/>
              <w:spacing w:line="234" w:lineRule="exact" w:before="45"/>
              <w:ind w:left="11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3</w:t>
            </w:r>
          </w:p>
        </w:tc>
        <w:tc>
          <w:tcPr>
            <w:tcW w:w="960" w:type="dxa"/>
            <w:shd w:val="clear" w:color="auto" w:fill="00B050"/>
          </w:tcPr>
          <w:p>
            <w:pPr>
              <w:pStyle w:val="TableParagraph"/>
              <w:spacing w:line="234" w:lineRule="exact" w:before="45"/>
              <w:ind w:left="10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4</w:t>
            </w:r>
          </w:p>
        </w:tc>
        <w:tc>
          <w:tcPr>
            <w:tcW w:w="960" w:type="dxa"/>
            <w:shd w:val="clear" w:color="auto" w:fill="00B050"/>
          </w:tcPr>
          <w:p>
            <w:pPr>
              <w:pStyle w:val="TableParagraph"/>
              <w:spacing w:line="234" w:lineRule="exact" w:before="45"/>
              <w:ind w:left="425"/>
              <w:rPr>
                <w:sz w:val="22"/>
              </w:rPr>
            </w:pPr>
            <w:r>
              <w:rPr>
                <w:w w:val="99"/>
                <w:sz w:val="22"/>
              </w:rPr>
              <w:t>5</w:t>
            </w:r>
          </w:p>
        </w:tc>
      </w:tr>
      <w:tr>
        <w:trPr>
          <w:trHeight w:val="599" w:hRule="atLeast"/>
        </w:trPr>
        <w:tc>
          <w:tcPr>
            <w:tcW w:w="2420" w:type="dxa"/>
            <w:gridSpan w:val="2"/>
            <w:vMerge w:val="restart"/>
            <w:tcBorders>
              <w:left w:val="nil"/>
              <w:bottom w:val="nil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60" w:type="dxa"/>
          </w:tcPr>
          <w:p>
            <w:pPr>
              <w:pStyle w:val="TableParagraph"/>
              <w:spacing w:before="45"/>
              <w:ind w:left="278" w:right="232" w:hanging="20"/>
              <w:rPr>
                <w:sz w:val="22"/>
              </w:rPr>
            </w:pPr>
            <w:r>
              <w:rPr>
                <w:sz w:val="22"/>
              </w:rPr>
              <w:t>Very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Low</w:t>
            </w:r>
          </w:p>
        </w:tc>
        <w:tc>
          <w:tcPr>
            <w:tcW w:w="960" w:type="dxa"/>
          </w:tcPr>
          <w:p>
            <w:pPr>
              <w:pStyle w:val="TableParagraph"/>
              <w:spacing w:before="172"/>
              <w:ind w:left="114" w:right="104"/>
              <w:jc w:val="center"/>
              <w:rPr>
                <w:sz w:val="22"/>
              </w:rPr>
            </w:pPr>
            <w:r>
              <w:rPr>
                <w:sz w:val="22"/>
              </w:rPr>
              <w:t>Low</w:t>
            </w:r>
          </w:p>
        </w:tc>
        <w:tc>
          <w:tcPr>
            <w:tcW w:w="961" w:type="dxa"/>
          </w:tcPr>
          <w:p>
            <w:pPr>
              <w:pStyle w:val="TableParagraph"/>
              <w:spacing w:before="172"/>
              <w:ind w:left="88" w:right="77"/>
              <w:jc w:val="center"/>
              <w:rPr>
                <w:sz w:val="22"/>
              </w:rPr>
            </w:pPr>
            <w:r>
              <w:rPr>
                <w:sz w:val="22"/>
              </w:rPr>
              <w:t>Medium</w:t>
            </w:r>
          </w:p>
        </w:tc>
        <w:tc>
          <w:tcPr>
            <w:tcW w:w="960" w:type="dxa"/>
          </w:tcPr>
          <w:p>
            <w:pPr>
              <w:pStyle w:val="TableParagraph"/>
              <w:spacing w:before="172"/>
              <w:ind w:left="112" w:right="104"/>
              <w:jc w:val="center"/>
              <w:rPr>
                <w:sz w:val="22"/>
              </w:rPr>
            </w:pPr>
            <w:r>
              <w:rPr>
                <w:sz w:val="22"/>
              </w:rPr>
              <w:t>High</w:t>
            </w:r>
          </w:p>
        </w:tc>
        <w:tc>
          <w:tcPr>
            <w:tcW w:w="960" w:type="dxa"/>
          </w:tcPr>
          <w:p>
            <w:pPr>
              <w:pStyle w:val="TableParagraph"/>
              <w:spacing w:before="45"/>
              <w:ind w:left="259" w:right="231"/>
              <w:rPr>
                <w:sz w:val="22"/>
              </w:rPr>
            </w:pPr>
            <w:r>
              <w:rPr>
                <w:sz w:val="22"/>
              </w:rPr>
              <w:t>Very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High</w:t>
            </w:r>
          </w:p>
        </w:tc>
      </w:tr>
      <w:tr>
        <w:trPr>
          <w:trHeight w:val="300" w:hRule="atLeast"/>
        </w:trPr>
        <w:tc>
          <w:tcPr>
            <w:tcW w:w="2420" w:type="dxa"/>
            <w:gridSpan w:val="2"/>
            <w:vMerge/>
            <w:tcBorders>
              <w:top w:val="nil"/>
              <w:left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801" w:type="dxa"/>
            <w:gridSpan w:val="5"/>
          </w:tcPr>
          <w:p>
            <w:pPr>
              <w:pStyle w:val="TableParagraph"/>
              <w:spacing w:line="234" w:lineRule="exact" w:before="46"/>
              <w:ind w:left="1399"/>
              <w:rPr>
                <w:sz w:val="22"/>
              </w:rPr>
            </w:pPr>
            <w:r>
              <w:rPr>
                <w:sz w:val="22"/>
              </w:rPr>
              <w:t>Probability/Likelihood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1"/>
        </w:rPr>
      </w:pPr>
    </w:p>
    <w:p>
      <w:pPr>
        <w:spacing w:before="0"/>
        <w:ind w:left="3790" w:right="0" w:firstLine="0"/>
        <w:jc w:val="left"/>
        <w:rPr>
          <w:i/>
          <w:sz w:val="24"/>
        </w:rPr>
      </w:pPr>
      <w:r>
        <w:rPr>
          <w:i/>
          <w:sz w:val="24"/>
        </w:rPr>
        <w:t>Figure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9-1.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Example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simplified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P-I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model.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2"/>
        <w:rPr>
          <w:i/>
          <w:sz w:val="37"/>
        </w:rPr>
      </w:pPr>
    </w:p>
    <w:p>
      <w:pPr>
        <w:pStyle w:val="BodyText"/>
        <w:spacing w:line="480" w:lineRule="auto"/>
        <w:ind w:left="1720" w:right="557" w:firstLine="780"/>
        <w:jc w:val="both"/>
      </w:pPr>
      <w:r>
        <w:rPr/>
        <w:t>Identifying objective probabilities of occurrence and impact to a project can be</w:t>
      </w:r>
      <w:r>
        <w:rPr>
          <w:spacing w:val="1"/>
        </w:rPr>
        <w:t> </w:t>
      </w:r>
      <w:r>
        <w:rPr/>
        <w:t>challenging,</w:t>
      </w:r>
      <w:r>
        <w:rPr>
          <w:spacing w:val="1"/>
        </w:rPr>
        <w:t> </w:t>
      </w:r>
      <w:r>
        <w:rPr/>
        <w:t>especially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decision</w:t>
      </w:r>
      <w:r>
        <w:rPr>
          <w:spacing w:val="1"/>
        </w:rPr>
        <w:t> </w:t>
      </w:r>
      <w:r>
        <w:rPr/>
        <w:t>spaces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combinations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qualitative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quantitative measurements.</w:t>
      </w:r>
      <w:r>
        <w:rPr>
          <w:spacing w:val="1"/>
        </w:rPr>
        <w:t> </w:t>
      </w:r>
      <w:r>
        <w:rPr/>
        <w:t>Probabilistic theory and Monte Carlo simulations served as</w:t>
      </w:r>
      <w:r>
        <w:rPr>
          <w:spacing w:val="1"/>
        </w:rPr>
        <w:t> </w:t>
      </w:r>
      <w:r>
        <w:rPr/>
        <w:t>one</w:t>
      </w:r>
      <w:r>
        <w:rPr>
          <w:spacing w:val="-10"/>
        </w:rPr>
        <w:t> </w:t>
      </w:r>
      <w:r>
        <w:rPr/>
        <w:t>of</w:t>
      </w:r>
      <w:r>
        <w:rPr>
          <w:spacing w:val="-11"/>
        </w:rPr>
        <w:t> </w:t>
      </w:r>
      <w:r>
        <w:rPr/>
        <w:t>the</w:t>
      </w:r>
      <w:r>
        <w:rPr>
          <w:spacing w:val="-10"/>
        </w:rPr>
        <w:t> </w:t>
      </w:r>
      <w:r>
        <w:rPr/>
        <w:t>early</w:t>
      </w:r>
      <w:r>
        <w:rPr>
          <w:spacing w:val="-10"/>
        </w:rPr>
        <w:t> </w:t>
      </w:r>
      <w:r>
        <w:rPr/>
        <w:t>methods</w:t>
      </w:r>
      <w:r>
        <w:rPr>
          <w:spacing w:val="-9"/>
        </w:rPr>
        <w:t> </w:t>
      </w:r>
      <w:r>
        <w:rPr/>
        <w:t>to</w:t>
      </w:r>
      <w:r>
        <w:rPr>
          <w:spacing w:val="-10"/>
        </w:rPr>
        <w:t> </w:t>
      </w:r>
      <w:r>
        <w:rPr/>
        <w:t>handle</w:t>
      </w:r>
      <w:r>
        <w:rPr>
          <w:spacing w:val="-11"/>
        </w:rPr>
        <w:t> </w:t>
      </w:r>
      <w:r>
        <w:rPr/>
        <w:t>risk</w:t>
      </w:r>
      <w:r>
        <w:rPr>
          <w:spacing w:val="-10"/>
        </w:rPr>
        <w:t> </w:t>
      </w:r>
      <w:r>
        <w:rPr/>
        <w:t>assessment</w:t>
      </w:r>
      <w:r>
        <w:rPr>
          <w:spacing w:val="-9"/>
        </w:rPr>
        <w:t> </w:t>
      </w:r>
      <w:r>
        <w:rPr/>
        <w:t>as</w:t>
      </w:r>
      <w:r>
        <w:rPr>
          <w:spacing w:val="-9"/>
        </w:rPr>
        <w:t> </w:t>
      </w:r>
      <w:r>
        <w:rPr/>
        <w:t>related</w:t>
      </w:r>
      <w:r>
        <w:rPr>
          <w:spacing w:val="-10"/>
        </w:rPr>
        <w:t> </w:t>
      </w:r>
      <w:r>
        <w:rPr/>
        <w:t>to</w:t>
      </w:r>
      <w:r>
        <w:rPr>
          <w:spacing w:val="-10"/>
        </w:rPr>
        <w:t> </w:t>
      </w:r>
      <w:r>
        <w:rPr/>
        <w:t>cost</w:t>
      </w:r>
      <w:r>
        <w:rPr>
          <w:spacing w:val="-9"/>
        </w:rPr>
        <w:t> </w:t>
      </w:r>
      <w:r>
        <w:rPr/>
        <w:t>estimates</w:t>
      </w:r>
      <w:r>
        <w:rPr>
          <w:spacing w:val="-10"/>
        </w:rPr>
        <w:t> </w:t>
      </w:r>
      <w:r>
        <w:rPr/>
        <w:t>and</w:t>
      </w:r>
      <w:r>
        <w:rPr>
          <w:spacing w:val="-9"/>
        </w:rPr>
        <w:t> </w:t>
      </w:r>
      <w:r>
        <w:rPr/>
        <w:t>variance</w:t>
      </w:r>
      <w:r>
        <w:rPr>
          <w:spacing w:val="-58"/>
        </w:rPr>
        <w:t> </w:t>
      </w:r>
      <w:r>
        <w:rPr/>
        <w:t>[108].</w:t>
      </w:r>
      <w:r>
        <w:rPr>
          <w:spacing w:val="1"/>
        </w:rPr>
        <w:t> </w:t>
      </w:r>
      <w:r>
        <w:rPr/>
        <w:t>Mont Carlo simulation requires significant computing time and requires accurate</w:t>
      </w:r>
      <w:r>
        <w:rPr>
          <w:spacing w:val="1"/>
        </w:rPr>
        <w:t> </w:t>
      </w:r>
      <w:r>
        <w:rPr/>
        <w:t>information,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may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unknown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reality</w:t>
      </w:r>
      <w:r>
        <w:rPr>
          <w:spacing w:val="1"/>
        </w:rPr>
        <w:t> </w:t>
      </w:r>
      <w:r>
        <w:rPr/>
        <w:t>[73].</w:t>
      </w:r>
      <w:r>
        <w:rPr>
          <w:spacing w:val="1"/>
        </w:rPr>
        <w:t> </w:t>
      </w:r>
      <w:r>
        <w:rPr/>
        <w:t>Fuzzy</w:t>
      </w:r>
      <w:r>
        <w:rPr>
          <w:spacing w:val="1"/>
        </w:rPr>
        <w:t> </w:t>
      </w:r>
      <w:r>
        <w:rPr/>
        <w:t>Set</w:t>
      </w:r>
      <w:r>
        <w:rPr>
          <w:spacing w:val="1"/>
        </w:rPr>
        <w:t> </w:t>
      </w:r>
      <w:r>
        <w:rPr/>
        <w:t>Theory</w:t>
      </w:r>
      <w:r>
        <w:rPr>
          <w:spacing w:val="1"/>
        </w:rPr>
        <w:t> </w:t>
      </w:r>
      <w:r>
        <w:rPr/>
        <w:t>(FST)</w:t>
      </w:r>
      <w:r>
        <w:rPr>
          <w:spacing w:val="1"/>
        </w:rPr>
        <w:t> </w:t>
      </w:r>
      <w:r>
        <w:rPr/>
        <w:t>was</w:t>
      </w:r>
      <w:r>
        <w:rPr>
          <w:spacing w:val="-57"/>
        </w:rPr>
        <w:t> </w:t>
      </w:r>
      <w:r>
        <w:rPr/>
        <w:t>developed to represent uncertainty in risk assessment.</w:t>
      </w:r>
      <w:r>
        <w:rPr>
          <w:spacing w:val="1"/>
        </w:rPr>
        <w:t> </w:t>
      </w:r>
      <w:r>
        <w:rPr/>
        <w:t>This type of model allows for the</w:t>
      </w:r>
      <w:r>
        <w:rPr>
          <w:spacing w:val="1"/>
        </w:rPr>
        <w:t> </w:t>
      </w:r>
      <w:r>
        <w:rPr/>
        <w:t>use of words, known as linguistic variables, in the fuzzy set.</w:t>
      </w:r>
      <w:r>
        <w:rPr>
          <w:spacing w:val="1"/>
        </w:rPr>
        <w:t> </w:t>
      </w:r>
      <w:r>
        <w:rPr/>
        <w:t>A fuzzy set is a group of</w:t>
      </w:r>
      <w:r>
        <w:rPr>
          <w:spacing w:val="1"/>
        </w:rPr>
        <w:t> </w:t>
      </w:r>
      <w:r>
        <w:rPr/>
        <w:t>numbers that represent those linguistic variables by rating the level of agreement or</w:t>
      </w:r>
      <w:r>
        <w:rPr>
          <w:spacing w:val="1"/>
        </w:rPr>
        <w:t> </w:t>
      </w:r>
      <w:r>
        <w:rPr/>
        <w:t>disagreement</w:t>
      </w:r>
      <w:r>
        <w:rPr>
          <w:spacing w:val="-1"/>
        </w:rPr>
        <w:t> </w:t>
      </w:r>
      <w:r>
        <w:rPr/>
        <w:t>to the definition of</w:t>
      </w:r>
      <w:r>
        <w:rPr>
          <w:spacing w:val="-1"/>
        </w:rPr>
        <w:t> </w:t>
      </w:r>
      <w:r>
        <w:rPr/>
        <w:t>that</w:t>
      </w:r>
      <w:r>
        <w:rPr>
          <w:spacing w:val="-2"/>
        </w:rPr>
        <w:t> </w:t>
      </w:r>
      <w:r>
        <w:rPr/>
        <w:t>variable [108].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440" w:right="880"/>
        </w:sectPr>
      </w:pPr>
    </w:p>
    <w:p>
      <w:pPr>
        <w:pStyle w:val="BodyText"/>
        <w:spacing w:line="480" w:lineRule="auto" w:before="78"/>
        <w:ind w:left="1719" w:right="556" w:firstLine="720"/>
        <w:jc w:val="both"/>
      </w:pPr>
      <w:r>
        <w:rPr/>
        <w:t>In the 1980s, Analytical Hierarchy Process (AHP) emerged as concept for use in</w:t>
      </w:r>
      <w:r>
        <w:rPr>
          <w:spacing w:val="1"/>
        </w:rPr>
        <w:t> </w:t>
      </w:r>
      <w:r>
        <w:rPr/>
        <w:t>multi-attribute decision making based on mathematics and psychology.</w:t>
      </w:r>
      <w:r>
        <w:rPr>
          <w:spacing w:val="1"/>
        </w:rPr>
        <w:t> </w:t>
      </w:r>
      <w:r>
        <w:rPr/>
        <w:t>It included value</w:t>
      </w:r>
      <w:r>
        <w:rPr>
          <w:spacing w:val="1"/>
        </w:rPr>
        <w:t> </w:t>
      </w:r>
      <w:r>
        <w:rPr/>
        <w:t>and</w:t>
      </w:r>
      <w:r>
        <w:rPr>
          <w:spacing w:val="-10"/>
        </w:rPr>
        <w:t> </w:t>
      </w:r>
      <w:r>
        <w:rPr/>
        <w:t>weight</w:t>
      </w:r>
      <w:r>
        <w:rPr>
          <w:spacing w:val="-9"/>
        </w:rPr>
        <w:t> </w:t>
      </w:r>
      <w:r>
        <w:rPr/>
        <w:t>to</w:t>
      </w:r>
      <w:r>
        <w:rPr>
          <w:spacing w:val="-9"/>
        </w:rPr>
        <w:t> </w:t>
      </w:r>
      <w:r>
        <w:rPr/>
        <w:t>assess</w:t>
      </w:r>
      <w:r>
        <w:rPr>
          <w:spacing w:val="-10"/>
        </w:rPr>
        <w:t> </w:t>
      </w:r>
      <w:r>
        <w:rPr/>
        <w:t>probability</w:t>
      </w:r>
      <w:r>
        <w:rPr>
          <w:spacing w:val="-10"/>
        </w:rPr>
        <w:t> </w:t>
      </w:r>
      <w:r>
        <w:rPr/>
        <w:t>and</w:t>
      </w:r>
      <w:r>
        <w:rPr>
          <w:spacing w:val="-9"/>
        </w:rPr>
        <w:t> </w:t>
      </w:r>
      <w:r>
        <w:rPr/>
        <w:t>impact.</w:t>
      </w:r>
      <w:r>
        <w:rPr>
          <w:spacing w:val="42"/>
        </w:rPr>
        <w:t> </w:t>
      </w:r>
      <w:r>
        <w:rPr/>
        <w:t>AHP</w:t>
      </w:r>
      <w:r>
        <w:rPr>
          <w:spacing w:val="-10"/>
        </w:rPr>
        <w:t> </w:t>
      </w:r>
      <w:r>
        <w:rPr/>
        <w:t>also</w:t>
      </w:r>
      <w:r>
        <w:rPr>
          <w:spacing w:val="-10"/>
        </w:rPr>
        <w:t> </w:t>
      </w:r>
      <w:r>
        <w:rPr/>
        <w:t>allows</w:t>
      </w:r>
      <w:r>
        <w:rPr>
          <w:spacing w:val="-9"/>
        </w:rPr>
        <w:t> </w:t>
      </w:r>
      <w:r>
        <w:rPr/>
        <w:t>for</w:t>
      </w:r>
      <w:r>
        <w:rPr>
          <w:spacing w:val="-9"/>
        </w:rPr>
        <w:t> </w:t>
      </w:r>
      <w:r>
        <w:rPr/>
        <w:t>judgment</w:t>
      </w:r>
      <w:r>
        <w:rPr>
          <w:spacing w:val="-8"/>
        </w:rPr>
        <w:t> </w:t>
      </w:r>
      <w:r>
        <w:rPr/>
        <w:t>of</w:t>
      </w:r>
      <w:r>
        <w:rPr>
          <w:spacing w:val="-11"/>
        </w:rPr>
        <w:t> </w:t>
      </w:r>
      <w:r>
        <w:rPr/>
        <w:t>the</w:t>
      </w:r>
      <w:r>
        <w:rPr>
          <w:spacing w:val="-10"/>
        </w:rPr>
        <w:t> </w:t>
      </w:r>
      <w:r>
        <w:rPr/>
        <w:t>decision</w:t>
      </w:r>
      <w:r>
        <w:rPr>
          <w:spacing w:val="-57"/>
        </w:rPr>
        <w:t> </w:t>
      </w:r>
      <w:r>
        <w:rPr/>
        <w:t>maker and the use of both qualitative and quantitative assessments for a P-I risk model.</w:t>
      </w:r>
      <w:r>
        <w:rPr>
          <w:spacing w:val="1"/>
        </w:rPr>
        <w:t> </w:t>
      </w:r>
      <w:r>
        <w:rPr/>
        <w:t>The</w:t>
      </w:r>
      <w:r>
        <w:rPr>
          <w:spacing w:val="-6"/>
        </w:rPr>
        <w:t> </w:t>
      </w:r>
      <w:r>
        <w:rPr/>
        <w:t>process</w:t>
      </w:r>
      <w:r>
        <w:rPr>
          <w:spacing w:val="-7"/>
        </w:rPr>
        <w:t> </w:t>
      </w:r>
      <w:r>
        <w:rPr/>
        <w:t>effectively</w:t>
      </w:r>
      <w:r>
        <w:rPr>
          <w:spacing w:val="-7"/>
        </w:rPr>
        <w:t> </w:t>
      </w:r>
      <w:r>
        <w:rPr/>
        <w:t>reduces</w:t>
      </w:r>
      <w:r>
        <w:rPr>
          <w:spacing w:val="-6"/>
        </w:rPr>
        <w:t> </w:t>
      </w:r>
      <w:r>
        <w:rPr/>
        <w:t>complex</w:t>
      </w:r>
      <w:r>
        <w:rPr>
          <w:spacing w:val="-6"/>
        </w:rPr>
        <w:t> </w:t>
      </w:r>
      <w:r>
        <w:rPr/>
        <w:t>decisions</w:t>
      </w:r>
      <w:r>
        <w:rPr>
          <w:spacing w:val="-6"/>
        </w:rPr>
        <w:t> </w:t>
      </w:r>
      <w:r>
        <w:rPr/>
        <w:t>with</w:t>
      </w:r>
      <w:r>
        <w:rPr>
          <w:spacing w:val="-6"/>
        </w:rPr>
        <w:t> </w:t>
      </w:r>
      <w:r>
        <w:rPr/>
        <w:t>multiple</w:t>
      </w:r>
      <w:r>
        <w:rPr>
          <w:spacing w:val="-7"/>
        </w:rPr>
        <w:t> </w:t>
      </w:r>
      <w:r>
        <w:rPr/>
        <w:t>considerations</w:t>
      </w:r>
      <w:r>
        <w:rPr>
          <w:spacing w:val="-6"/>
        </w:rPr>
        <w:t> </w:t>
      </w:r>
      <w:r>
        <w:rPr/>
        <w:t>to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/>
        <w:t>series</w:t>
      </w:r>
      <w:r>
        <w:rPr>
          <w:spacing w:val="-57"/>
        </w:rPr>
        <w:t> </w:t>
      </w:r>
      <w:r>
        <w:rPr/>
        <w:t>of</w:t>
      </w:r>
      <w:r>
        <w:rPr>
          <w:spacing w:val="-15"/>
        </w:rPr>
        <w:t> </w:t>
      </w:r>
      <w:r>
        <w:rPr/>
        <w:t>pairwise</w:t>
      </w:r>
      <w:r>
        <w:rPr>
          <w:spacing w:val="-14"/>
        </w:rPr>
        <w:t> </w:t>
      </w:r>
      <w:r>
        <w:rPr/>
        <w:t>comparisons,</w:t>
      </w:r>
      <w:r>
        <w:rPr>
          <w:spacing w:val="-15"/>
        </w:rPr>
        <w:t> </w:t>
      </w:r>
      <w:r>
        <w:rPr/>
        <w:t>which</w:t>
      </w:r>
      <w:r>
        <w:rPr>
          <w:spacing w:val="-15"/>
        </w:rPr>
        <w:t> </w:t>
      </w:r>
      <w:r>
        <w:rPr/>
        <w:t>can</w:t>
      </w:r>
      <w:r>
        <w:rPr>
          <w:spacing w:val="-14"/>
        </w:rPr>
        <w:t> </w:t>
      </w:r>
      <w:r>
        <w:rPr/>
        <w:t>then</w:t>
      </w:r>
      <w:r>
        <w:rPr>
          <w:spacing w:val="-15"/>
        </w:rPr>
        <w:t> </w:t>
      </w:r>
      <w:r>
        <w:rPr/>
        <w:t>be</w:t>
      </w:r>
      <w:r>
        <w:rPr>
          <w:spacing w:val="-14"/>
        </w:rPr>
        <w:t> </w:t>
      </w:r>
      <w:r>
        <w:rPr/>
        <w:t>combined</w:t>
      </w:r>
      <w:r>
        <w:rPr>
          <w:spacing w:val="-15"/>
        </w:rPr>
        <w:t> </w:t>
      </w:r>
      <w:r>
        <w:rPr/>
        <w:t>for</w:t>
      </w:r>
      <w:r>
        <w:rPr>
          <w:spacing w:val="-14"/>
        </w:rPr>
        <w:t> </w:t>
      </w:r>
      <w:r>
        <w:rPr/>
        <w:t>overall</w:t>
      </w:r>
      <w:r>
        <w:rPr>
          <w:spacing w:val="-13"/>
        </w:rPr>
        <w:t> </w:t>
      </w:r>
      <w:r>
        <w:rPr/>
        <w:t>results</w:t>
      </w:r>
      <w:r>
        <w:rPr>
          <w:spacing w:val="-14"/>
        </w:rPr>
        <w:t> </w:t>
      </w:r>
      <w:r>
        <w:rPr/>
        <w:t>to</w:t>
      </w:r>
      <w:r>
        <w:rPr>
          <w:spacing w:val="-15"/>
        </w:rPr>
        <w:t> </w:t>
      </w:r>
      <w:r>
        <w:rPr/>
        <w:t>assist</w:t>
      </w:r>
      <w:r>
        <w:rPr>
          <w:spacing w:val="-14"/>
        </w:rPr>
        <w:t> </w:t>
      </w:r>
      <w:r>
        <w:rPr/>
        <w:t>a</w:t>
      </w:r>
      <w:r>
        <w:rPr>
          <w:spacing w:val="-13"/>
        </w:rPr>
        <w:t> </w:t>
      </w:r>
      <w:r>
        <w:rPr/>
        <w:t>decision</w:t>
      </w:r>
      <w:r>
        <w:rPr>
          <w:spacing w:val="-58"/>
        </w:rPr>
        <w:t> </w:t>
      </w:r>
      <w:r>
        <w:rPr/>
        <w:t>maker.</w:t>
      </w:r>
      <w:r>
        <w:rPr>
          <w:spacing w:val="1"/>
        </w:rPr>
        <w:t> </w:t>
      </w:r>
      <w:r>
        <w:rPr/>
        <w:t>The comparisons can be based on measurements or a given scale, called the</w:t>
      </w:r>
      <w:r>
        <w:rPr>
          <w:spacing w:val="1"/>
        </w:rPr>
        <w:t> </w:t>
      </w:r>
      <w:r>
        <w:rPr/>
        <w:t>fundamental</w:t>
      </w:r>
      <w:r>
        <w:rPr>
          <w:spacing w:val="-9"/>
        </w:rPr>
        <w:t> </w:t>
      </w:r>
      <w:r>
        <w:rPr/>
        <w:t>scale,</w:t>
      </w:r>
      <w:r>
        <w:rPr>
          <w:spacing w:val="-9"/>
        </w:rPr>
        <w:t> </w:t>
      </w:r>
      <w:r>
        <w:rPr/>
        <w:t>representing</w:t>
      </w:r>
      <w:r>
        <w:rPr>
          <w:spacing w:val="-10"/>
        </w:rPr>
        <w:t> </w:t>
      </w:r>
      <w:r>
        <w:rPr/>
        <w:t>the</w:t>
      </w:r>
      <w:r>
        <w:rPr>
          <w:spacing w:val="-8"/>
        </w:rPr>
        <w:t> </w:t>
      </w:r>
      <w:r>
        <w:rPr/>
        <w:t>strength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preferences</w:t>
      </w:r>
      <w:r>
        <w:rPr>
          <w:spacing w:val="-8"/>
        </w:rPr>
        <w:t> </w:t>
      </w:r>
      <w:r>
        <w:rPr/>
        <w:t>[98].</w:t>
      </w:r>
      <w:r>
        <w:rPr>
          <w:spacing w:val="42"/>
        </w:rPr>
        <w:t> </w:t>
      </w:r>
      <w:r>
        <w:rPr/>
        <w:t>As</w:t>
      </w:r>
      <w:r>
        <w:rPr>
          <w:spacing w:val="-7"/>
        </w:rPr>
        <w:t> </w:t>
      </w:r>
      <w:r>
        <w:rPr/>
        <w:t>indicated</w:t>
      </w:r>
      <w:r>
        <w:rPr>
          <w:spacing w:val="-9"/>
        </w:rPr>
        <w:t> </w:t>
      </w:r>
      <w:r>
        <w:rPr/>
        <w:t>by</w:t>
      </w:r>
      <w:r>
        <w:rPr>
          <w:spacing w:val="-9"/>
        </w:rPr>
        <w:t> </w:t>
      </w:r>
      <w:r>
        <w:rPr/>
        <w:t>its</w:t>
      </w:r>
      <w:r>
        <w:rPr>
          <w:spacing w:val="-8"/>
        </w:rPr>
        <w:t> </w:t>
      </w:r>
      <w:r>
        <w:rPr/>
        <w:t>name,</w:t>
      </w:r>
      <w:r>
        <w:rPr>
          <w:spacing w:val="-58"/>
        </w:rPr>
        <w:t> </w:t>
      </w:r>
      <w:r>
        <w:rPr>
          <w:spacing w:val="-1"/>
        </w:rPr>
        <w:t>the</w:t>
      </w:r>
      <w:r>
        <w:rPr>
          <w:spacing w:val="-13"/>
        </w:rPr>
        <w:t> </w:t>
      </w:r>
      <w:r>
        <w:rPr>
          <w:spacing w:val="-1"/>
        </w:rPr>
        <w:t>technique</w:t>
      </w:r>
      <w:r>
        <w:rPr>
          <w:spacing w:val="-13"/>
        </w:rPr>
        <w:t> </w:t>
      </w:r>
      <w:r>
        <w:rPr>
          <w:spacing w:val="-1"/>
        </w:rPr>
        <w:t>uses</w:t>
      </w:r>
      <w:r>
        <w:rPr>
          <w:spacing w:val="-15"/>
        </w:rPr>
        <w:t> </w:t>
      </w:r>
      <w:r>
        <w:rPr>
          <w:spacing w:val="-1"/>
        </w:rPr>
        <w:t>a</w:t>
      </w:r>
      <w:r>
        <w:rPr>
          <w:spacing w:val="-13"/>
        </w:rPr>
        <w:t> </w:t>
      </w:r>
      <w:r>
        <w:rPr>
          <w:spacing w:val="-1"/>
        </w:rPr>
        <w:t>hierarchical</w:t>
      </w:r>
      <w:r>
        <w:rPr>
          <w:spacing w:val="-13"/>
        </w:rPr>
        <w:t> </w:t>
      </w:r>
      <w:r>
        <w:rPr/>
        <w:t>structure</w:t>
      </w:r>
      <w:r>
        <w:rPr>
          <w:spacing w:val="-15"/>
        </w:rPr>
        <w:t> </w:t>
      </w:r>
      <w:r>
        <w:rPr/>
        <w:t>to</w:t>
      </w:r>
      <w:r>
        <w:rPr>
          <w:spacing w:val="-14"/>
        </w:rPr>
        <w:t> </w:t>
      </w:r>
      <w:r>
        <w:rPr/>
        <w:t>model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decision.</w:t>
      </w:r>
      <w:r>
        <w:rPr>
          <w:spacing w:val="33"/>
        </w:rPr>
        <w:t> </w:t>
      </w:r>
      <w:r>
        <w:rPr/>
        <w:t>At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top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the</w:t>
      </w:r>
      <w:r>
        <w:rPr>
          <w:spacing w:val="-13"/>
        </w:rPr>
        <w:t> </w:t>
      </w:r>
      <w:r>
        <w:rPr/>
        <w:t>hierarchy</w:t>
      </w:r>
      <w:r>
        <w:rPr>
          <w:spacing w:val="-57"/>
        </w:rPr>
        <w:t> </w:t>
      </w:r>
      <w:r>
        <w:rPr/>
        <w:t>is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objective,</w:t>
      </w:r>
      <w:r>
        <w:rPr>
          <w:spacing w:val="-5"/>
        </w:rPr>
        <w:t> </w:t>
      </w:r>
      <w:r>
        <w:rPr/>
        <w:t>while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second</w:t>
      </w:r>
      <w:r>
        <w:rPr>
          <w:spacing w:val="-6"/>
        </w:rPr>
        <w:t> </w:t>
      </w:r>
      <w:r>
        <w:rPr/>
        <w:t>level</w:t>
      </w:r>
      <w:r>
        <w:rPr>
          <w:spacing w:val="-5"/>
        </w:rPr>
        <w:t> </w:t>
      </w:r>
      <w:r>
        <w:rPr/>
        <w:t>is</w:t>
      </w:r>
      <w:r>
        <w:rPr>
          <w:spacing w:val="-5"/>
        </w:rPr>
        <w:t> </w:t>
      </w:r>
      <w:r>
        <w:rPr/>
        <w:t>criteria</w:t>
      </w:r>
      <w:r>
        <w:rPr>
          <w:spacing w:val="-5"/>
        </w:rPr>
        <w:t> </w:t>
      </w:r>
      <w:r>
        <w:rPr/>
        <w:t>for</w:t>
      </w:r>
      <w:r>
        <w:rPr>
          <w:spacing w:val="-5"/>
        </w:rPr>
        <w:t> </w:t>
      </w:r>
      <w:r>
        <w:rPr/>
        <w:t>evaluation</w:t>
      </w:r>
      <w:r>
        <w:rPr>
          <w:spacing w:val="-5"/>
        </w:rPr>
        <w:t> </w:t>
      </w:r>
      <w:r>
        <w:rPr/>
        <w:t>followed</w:t>
      </w:r>
      <w:r>
        <w:rPr>
          <w:spacing w:val="-6"/>
        </w:rPr>
        <w:t> </w:t>
      </w:r>
      <w:r>
        <w:rPr/>
        <w:t>by</w:t>
      </w:r>
      <w:r>
        <w:rPr>
          <w:spacing w:val="-5"/>
        </w:rPr>
        <w:t> </w:t>
      </w:r>
      <w:r>
        <w:rPr/>
        <w:t>alternatives</w:t>
      </w:r>
      <w:r>
        <w:rPr>
          <w:spacing w:val="-5"/>
        </w:rPr>
        <w:t> </w:t>
      </w:r>
      <w:r>
        <w:rPr/>
        <w:t>at</w:t>
      </w:r>
      <w:r>
        <w:rPr>
          <w:spacing w:val="-58"/>
        </w:rPr>
        <w:t> </w:t>
      </w:r>
      <w:r>
        <w:rPr/>
        <w:t>the bottom level.</w:t>
      </w:r>
      <w:r>
        <w:rPr>
          <w:spacing w:val="1"/>
        </w:rPr>
        <w:t> </w:t>
      </w:r>
      <w:r>
        <w:rPr/>
        <w:t>Depending on the complexity of the decision, sub-criteria can be added</w:t>
      </w:r>
      <w:r>
        <w:rPr>
          <w:spacing w:val="1"/>
        </w:rPr>
        <w:t> </w:t>
      </w:r>
      <w:r>
        <w:rPr/>
        <w:t>as additional levels between the first level of criteria and the bottom level of alternatives</w:t>
      </w:r>
      <w:r>
        <w:rPr>
          <w:spacing w:val="1"/>
        </w:rPr>
        <w:t> </w:t>
      </w:r>
      <w:r>
        <w:rPr/>
        <w:t>[76].</w:t>
      </w:r>
      <w:r>
        <w:rPr>
          <w:spacing w:val="59"/>
        </w:rPr>
        <w:t> </w:t>
      </w:r>
      <w:hyperlink w:history="true" w:anchor="_bookmark207">
        <w:r>
          <w:rPr/>
          <w:t>Figure 9-2</w:t>
        </w:r>
      </w:hyperlink>
      <w:r>
        <w:rPr/>
        <w:t> shows a</w:t>
      </w:r>
      <w:r>
        <w:rPr>
          <w:spacing w:val="-1"/>
        </w:rPr>
        <w:t> </w:t>
      </w:r>
      <w:r>
        <w:rPr/>
        <w:t>generic</w:t>
      </w:r>
      <w:r>
        <w:rPr>
          <w:spacing w:val="-1"/>
        </w:rPr>
        <w:t> </w:t>
      </w:r>
      <w:r>
        <w:rPr/>
        <w:t>depiction 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hierarchy.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342">
            <wp:simplePos x="0" y="0"/>
            <wp:positionH relativeFrom="page">
              <wp:posOffset>1371600</wp:posOffset>
            </wp:positionH>
            <wp:positionV relativeFrom="paragraph">
              <wp:posOffset>190670</wp:posOffset>
            </wp:positionV>
            <wp:extent cx="5315406" cy="2426208"/>
            <wp:effectExtent l="0" t="0" r="0" b="0"/>
            <wp:wrapTopAndBottom/>
            <wp:docPr id="259" name="image4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427.png"/>
                    <pic:cNvPicPr/>
                  </pic:nvPicPr>
                  <pic:blipFill>
                    <a:blip r:embed="rId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5406" cy="242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sz w:val="34"/>
        </w:rPr>
      </w:pPr>
    </w:p>
    <w:p>
      <w:pPr>
        <w:spacing w:before="0"/>
        <w:ind w:left="2193" w:right="0" w:firstLine="0"/>
        <w:jc w:val="left"/>
        <w:rPr>
          <w:i/>
          <w:sz w:val="24"/>
        </w:rPr>
      </w:pPr>
      <w:bookmarkStart w:name="_bookmark207" w:id="589"/>
      <w:bookmarkEnd w:id="589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9-2.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generic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hierarchy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set-up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AHP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application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decision-making.</w:t>
      </w:r>
    </w:p>
    <w:p>
      <w:pPr>
        <w:spacing w:after="0"/>
        <w:jc w:val="left"/>
        <w:rPr>
          <w:sz w:val="24"/>
        </w:rPr>
        <w:sectPr>
          <w:pgSz w:w="12240" w:h="15840"/>
          <w:pgMar w:header="0" w:footer="1064" w:top="1360" w:bottom="1260" w:left="440" w:right="880"/>
        </w:sectPr>
      </w:pPr>
    </w:p>
    <w:p>
      <w:pPr>
        <w:pStyle w:val="BodyText"/>
        <w:spacing w:before="9"/>
        <w:rPr>
          <w:i/>
          <w:sz w:val="10"/>
        </w:rPr>
      </w:pPr>
    </w:p>
    <w:p>
      <w:pPr>
        <w:pStyle w:val="BodyText"/>
        <w:spacing w:line="480" w:lineRule="auto" w:before="90"/>
        <w:ind w:left="1720" w:right="557" w:firstLine="720"/>
        <w:jc w:val="both"/>
      </w:pPr>
      <w:r>
        <w:rPr/>
        <w:t>After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development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hierarchy,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problem</w:t>
      </w:r>
      <w:r>
        <w:rPr>
          <w:spacing w:val="-3"/>
        </w:rPr>
        <w:t> </w:t>
      </w:r>
      <w:r>
        <w:rPr/>
        <w:t>is</w:t>
      </w:r>
      <w:r>
        <w:rPr>
          <w:spacing w:val="-1"/>
        </w:rPr>
        <w:t> </w:t>
      </w:r>
      <w:r>
        <w:rPr/>
        <w:t>evaluated</w:t>
      </w:r>
      <w:r>
        <w:rPr>
          <w:spacing w:val="-1"/>
        </w:rPr>
        <w:t> </w:t>
      </w:r>
      <w:r>
        <w:rPr/>
        <w:t>with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pairwise</w:t>
      </w:r>
      <w:r>
        <w:rPr>
          <w:spacing w:val="-58"/>
        </w:rPr>
        <w:t> </w:t>
      </w:r>
      <w:r>
        <w:rPr/>
        <w:t>comparisons using a scale of relative measurement of priorities or weights for the criteria</w:t>
      </w:r>
      <w:r>
        <w:rPr>
          <w:spacing w:val="1"/>
        </w:rPr>
        <w:t> </w:t>
      </w:r>
      <w:r>
        <w:rPr/>
        <w:t>as determined by decision maker input.</w:t>
      </w:r>
      <w:r>
        <w:rPr>
          <w:spacing w:val="1"/>
        </w:rPr>
        <w:t> </w:t>
      </w:r>
      <w:r>
        <w:rPr/>
        <w:t>Alternatives to reach the objective are compared</w:t>
      </w:r>
      <w:r>
        <w:rPr>
          <w:spacing w:val="1"/>
        </w:rPr>
        <w:t> </w:t>
      </w:r>
      <w:r>
        <w:rPr/>
        <w:t>for each criterion and then a total score is developed through aggregation.</w:t>
      </w:r>
      <w:r>
        <w:rPr>
          <w:spacing w:val="1"/>
        </w:rPr>
        <w:t> </w:t>
      </w:r>
      <w:r>
        <w:rPr/>
        <w:t>AHP and FST</w:t>
      </w:r>
      <w:r>
        <w:rPr>
          <w:spacing w:val="1"/>
        </w:rPr>
        <w:t> </w:t>
      </w:r>
      <w:r>
        <w:rPr/>
        <w:t>became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principle</w:t>
      </w:r>
      <w:r>
        <w:rPr>
          <w:spacing w:val="-13"/>
        </w:rPr>
        <w:t> </w:t>
      </w:r>
      <w:r>
        <w:rPr/>
        <w:t>approaches</w:t>
      </w:r>
      <w:r>
        <w:rPr>
          <w:spacing w:val="-12"/>
        </w:rPr>
        <w:t> </w:t>
      </w:r>
      <w:r>
        <w:rPr/>
        <w:t>for</w:t>
      </w:r>
      <w:r>
        <w:rPr>
          <w:spacing w:val="-12"/>
        </w:rPr>
        <w:t> </w:t>
      </w:r>
      <w:r>
        <w:rPr/>
        <w:t>complex</w:t>
      </w:r>
      <w:r>
        <w:rPr>
          <w:spacing w:val="-11"/>
        </w:rPr>
        <w:t> </w:t>
      </w:r>
      <w:r>
        <w:rPr/>
        <w:t>problems</w:t>
      </w:r>
      <w:r>
        <w:rPr>
          <w:spacing w:val="-12"/>
        </w:rPr>
        <w:t> </w:t>
      </w:r>
      <w:r>
        <w:rPr/>
        <w:t>that</w:t>
      </w:r>
      <w:r>
        <w:rPr>
          <w:spacing w:val="-12"/>
        </w:rPr>
        <w:t> </w:t>
      </w:r>
      <w:r>
        <w:rPr/>
        <w:t>involved</w:t>
      </w:r>
      <w:r>
        <w:rPr>
          <w:spacing w:val="-12"/>
        </w:rPr>
        <w:t> </w:t>
      </w:r>
      <w:r>
        <w:rPr/>
        <w:t>subjectivity</w:t>
      </w:r>
      <w:r>
        <w:rPr>
          <w:spacing w:val="-12"/>
        </w:rPr>
        <w:t> </w:t>
      </w:r>
      <w:r>
        <w:rPr/>
        <w:t>and</w:t>
      </w:r>
      <w:r>
        <w:rPr>
          <w:spacing w:val="-13"/>
        </w:rPr>
        <w:t> </w:t>
      </w:r>
      <w:r>
        <w:rPr/>
        <w:t>were</w:t>
      </w:r>
      <w:r>
        <w:rPr>
          <w:spacing w:val="-57"/>
        </w:rPr>
        <w:t> </w:t>
      </w:r>
      <w:r>
        <w:rPr/>
        <w:t>often</w:t>
      </w:r>
      <w:r>
        <w:rPr>
          <w:spacing w:val="-1"/>
        </w:rPr>
        <w:t> </w:t>
      </w:r>
      <w:r>
        <w:rPr/>
        <w:t>ill-defined [108].</w:t>
      </w:r>
    </w:p>
    <w:p>
      <w:pPr>
        <w:pStyle w:val="BodyText"/>
        <w:spacing w:line="480" w:lineRule="auto" w:before="160"/>
        <w:ind w:left="1720" w:right="557" w:firstLine="720"/>
        <w:jc w:val="both"/>
      </w:pPr>
      <w:r>
        <w:rPr/>
        <w:t>Risk</w:t>
      </w:r>
      <w:r>
        <w:rPr>
          <w:spacing w:val="-9"/>
        </w:rPr>
        <w:t> </w:t>
      </w:r>
      <w:r>
        <w:rPr/>
        <w:t>came</w:t>
      </w:r>
      <w:r>
        <w:rPr>
          <w:spacing w:val="-8"/>
        </w:rPr>
        <w:t> </w:t>
      </w:r>
      <w:r>
        <w:rPr/>
        <w:t>to</w:t>
      </w:r>
      <w:r>
        <w:rPr>
          <w:spacing w:val="-9"/>
        </w:rPr>
        <w:t> </w:t>
      </w:r>
      <w:r>
        <w:rPr/>
        <w:t>be</w:t>
      </w:r>
      <w:r>
        <w:rPr>
          <w:spacing w:val="-8"/>
        </w:rPr>
        <w:t> </w:t>
      </w:r>
      <w:r>
        <w:rPr/>
        <w:t>viewed</w:t>
      </w:r>
      <w:r>
        <w:rPr>
          <w:spacing w:val="-10"/>
        </w:rPr>
        <w:t> </w:t>
      </w:r>
      <w:r>
        <w:rPr/>
        <w:t>in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construction</w:t>
      </w:r>
      <w:r>
        <w:rPr>
          <w:spacing w:val="-10"/>
        </w:rPr>
        <w:t> </w:t>
      </w:r>
      <w:r>
        <w:rPr/>
        <w:t>industry</w:t>
      </w:r>
      <w:r>
        <w:rPr>
          <w:spacing w:val="-9"/>
        </w:rPr>
        <w:t> </w:t>
      </w:r>
      <w:r>
        <w:rPr/>
        <w:t>as</w:t>
      </w:r>
      <w:r>
        <w:rPr>
          <w:spacing w:val="-10"/>
        </w:rPr>
        <w:t> </w:t>
      </w:r>
      <w:r>
        <w:rPr/>
        <w:t>a</w:t>
      </w:r>
      <w:r>
        <w:rPr>
          <w:spacing w:val="-8"/>
        </w:rPr>
        <w:t> </w:t>
      </w:r>
      <w:r>
        <w:rPr/>
        <w:t>project</w:t>
      </w:r>
      <w:r>
        <w:rPr>
          <w:spacing w:val="-8"/>
        </w:rPr>
        <w:t> </w:t>
      </w:r>
      <w:r>
        <w:rPr/>
        <w:t>attribute</w:t>
      </w:r>
      <w:r>
        <w:rPr>
          <w:spacing w:val="-10"/>
        </w:rPr>
        <w:t> </w:t>
      </w:r>
      <w:r>
        <w:rPr/>
        <w:t>more</w:t>
      </w:r>
      <w:r>
        <w:rPr>
          <w:spacing w:val="-8"/>
        </w:rPr>
        <w:t> </w:t>
      </w:r>
      <w:r>
        <w:rPr/>
        <w:t>than</w:t>
      </w:r>
      <w:r>
        <w:rPr>
          <w:spacing w:val="-58"/>
        </w:rPr>
        <w:t> </w:t>
      </w:r>
      <w:r>
        <w:rPr/>
        <w:t>an estimation variance and the risk assessment tools have been found applicable to other</w:t>
      </w:r>
      <w:r>
        <w:rPr>
          <w:spacing w:val="1"/>
        </w:rPr>
        <w:t> </w:t>
      </w:r>
      <w:r>
        <w:rPr/>
        <w:t>attributes besides risk.</w:t>
      </w:r>
      <w:r>
        <w:rPr>
          <w:spacing w:val="1"/>
        </w:rPr>
        <w:t> </w:t>
      </w:r>
      <w:r>
        <w:rPr/>
        <w:t>Tools like the P-I risk model were extended to other aspects of</w:t>
      </w:r>
      <w:r>
        <w:rPr>
          <w:spacing w:val="1"/>
        </w:rPr>
        <w:t> </w:t>
      </w:r>
      <w:r>
        <w:rPr>
          <w:spacing w:val="-1"/>
        </w:rPr>
        <w:t>consideration</w:t>
      </w:r>
      <w:r>
        <w:rPr>
          <w:spacing w:val="-13"/>
        </w:rPr>
        <w:t> </w:t>
      </w:r>
      <w:r>
        <w:rPr/>
        <w:t>in</w:t>
      </w:r>
      <w:r>
        <w:rPr>
          <w:spacing w:val="-13"/>
        </w:rPr>
        <w:t> </w:t>
      </w:r>
      <w:r>
        <w:rPr/>
        <w:t>attempt</w:t>
      </w:r>
      <w:r>
        <w:rPr>
          <w:spacing w:val="-13"/>
        </w:rPr>
        <w:t> </w:t>
      </w:r>
      <w:r>
        <w:rPr/>
        <w:t>to</w:t>
      </w:r>
      <w:r>
        <w:rPr>
          <w:spacing w:val="-12"/>
        </w:rPr>
        <w:t> </w:t>
      </w:r>
      <w:r>
        <w:rPr/>
        <w:t>better</w:t>
      </w:r>
      <w:r>
        <w:rPr>
          <w:spacing w:val="-14"/>
        </w:rPr>
        <w:t> </w:t>
      </w:r>
      <w:r>
        <w:rPr/>
        <w:t>capture</w:t>
      </w:r>
      <w:r>
        <w:rPr>
          <w:spacing w:val="-14"/>
        </w:rPr>
        <w:t> </w:t>
      </w:r>
      <w:r>
        <w:rPr/>
        <w:t>the</w:t>
      </w:r>
      <w:r>
        <w:rPr>
          <w:spacing w:val="-12"/>
        </w:rPr>
        <w:t> </w:t>
      </w:r>
      <w:r>
        <w:rPr/>
        <w:t>overall</w:t>
      </w:r>
      <w:r>
        <w:rPr>
          <w:spacing w:val="-13"/>
        </w:rPr>
        <w:t> </w:t>
      </w:r>
      <w:r>
        <w:rPr/>
        <w:t>decision</w:t>
      </w:r>
      <w:r>
        <w:rPr>
          <w:spacing w:val="-15"/>
        </w:rPr>
        <w:t> </w:t>
      </w:r>
      <w:r>
        <w:rPr/>
        <w:t>at</w:t>
      </w:r>
      <w:r>
        <w:rPr>
          <w:spacing w:val="-12"/>
        </w:rPr>
        <w:t> </w:t>
      </w:r>
      <w:r>
        <w:rPr/>
        <w:t>hand.</w:t>
      </w:r>
      <w:r>
        <w:rPr>
          <w:spacing w:val="34"/>
        </w:rPr>
        <w:t> </w:t>
      </w:r>
      <w:r>
        <w:rPr/>
        <w:t>Additional</w:t>
      </w:r>
      <w:r>
        <w:rPr>
          <w:spacing w:val="-12"/>
        </w:rPr>
        <w:t> </w:t>
      </w:r>
      <w:r>
        <w:rPr/>
        <w:t>attributes</w:t>
      </w:r>
      <w:r>
        <w:rPr>
          <w:spacing w:val="-58"/>
        </w:rPr>
        <w:t> </w:t>
      </w:r>
      <w:r>
        <w:rPr/>
        <w:t>or evaluation criteria for a decision required clear definitions with specified ranges of</w:t>
      </w:r>
      <w:r>
        <w:rPr>
          <w:spacing w:val="1"/>
        </w:rPr>
        <w:t> </w:t>
      </w:r>
      <w:r>
        <w:rPr/>
        <w:t>value.</w:t>
      </w:r>
    </w:p>
    <w:p>
      <w:pPr>
        <w:pStyle w:val="BodyText"/>
        <w:spacing w:line="480" w:lineRule="auto" w:before="159"/>
        <w:ind w:left="1720" w:right="557" w:firstLine="720"/>
        <w:jc w:val="both"/>
      </w:pPr>
      <w:r>
        <w:rPr/>
        <w:t>The methodologies used in construction risk assessment may be adjusted to allow</w:t>
      </w:r>
      <w:r>
        <w:rPr>
          <w:spacing w:val="1"/>
        </w:rPr>
        <w:t> </w:t>
      </w:r>
      <w:r>
        <w:rPr/>
        <w:t>for broader application to construction decision making. No existing decision making tool</w:t>
      </w:r>
      <w:r>
        <w:rPr>
          <w:spacing w:val="-57"/>
        </w:rPr>
        <w:t> </w:t>
      </w:r>
      <w:r>
        <w:rPr/>
        <w:t>exists for material assessment for temporary military structures.</w:t>
      </w:r>
      <w:r>
        <w:rPr>
          <w:spacing w:val="1"/>
        </w:rPr>
        <w:t> </w:t>
      </w:r>
      <w:r>
        <w:rPr/>
        <w:t>While a military leader</w:t>
      </w:r>
      <w:r>
        <w:rPr>
          <w:spacing w:val="1"/>
        </w:rPr>
        <w:t> </w:t>
      </w:r>
      <w:r>
        <w:rPr/>
        <w:t>may be familiar with risk and general decision making, the challenge with material</w:t>
      </w:r>
      <w:r>
        <w:rPr>
          <w:spacing w:val="1"/>
        </w:rPr>
        <w:t> </w:t>
      </w:r>
      <w:r>
        <w:rPr/>
        <w:t>selection</w:t>
      </w:r>
      <w:r>
        <w:rPr>
          <w:spacing w:val="-11"/>
        </w:rPr>
        <w:t> </w:t>
      </w:r>
      <w:r>
        <w:rPr/>
        <w:t>can</w:t>
      </w:r>
      <w:r>
        <w:rPr>
          <w:spacing w:val="-9"/>
        </w:rPr>
        <w:t> </w:t>
      </w:r>
      <w:r>
        <w:rPr/>
        <w:t>be</w:t>
      </w:r>
      <w:r>
        <w:rPr>
          <w:spacing w:val="-8"/>
        </w:rPr>
        <w:t> </w:t>
      </w:r>
      <w:r>
        <w:rPr/>
        <w:t>the</w:t>
      </w:r>
      <w:r>
        <w:rPr>
          <w:spacing w:val="-10"/>
        </w:rPr>
        <w:t> </w:t>
      </w:r>
      <w:r>
        <w:rPr/>
        <w:t>inclusion</w:t>
      </w:r>
      <w:r>
        <w:rPr>
          <w:spacing w:val="-10"/>
        </w:rPr>
        <w:t> </w:t>
      </w:r>
      <w:r>
        <w:rPr/>
        <w:t>of</w:t>
      </w:r>
      <w:r>
        <w:rPr>
          <w:spacing w:val="-9"/>
        </w:rPr>
        <w:t> </w:t>
      </w:r>
      <w:r>
        <w:rPr/>
        <w:t>relevant</w:t>
      </w:r>
      <w:r>
        <w:rPr>
          <w:spacing w:val="-8"/>
        </w:rPr>
        <w:t> </w:t>
      </w:r>
      <w:r>
        <w:rPr/>
        <w:t>technical</w:t>
      </w:r>
      <w:r>
        <w:rPr>
          <w:spacing w:val="-8"/>
        </w:rPr>
        <w:t> </w:t>
      </w:r>
      <w:r>
        <w:rPr/>
        <w:t>information</w:t>
      </w:r>
      <w:r>
        <w:rPr>
          <w:spacing w:val="-9"/>
        </w:rPr>
        <w:t> </w:t>
      </w:r>
      <w:r>
        <w:rPr/>
        <w:t>by</w:t>
      </w:r>
      <w:r>
        <w:rPr>
          <w:spacing w:val="-10"/>
        </w:rPr>
        <w:t> </w:t>
      </w:r>
      <w:r>
        <w:rPr/>
        <w:t>a</w:t>
      </w:r>
      <w:r>
        <w:rPr>
          <w:spacing w:val="-8"/>
        </w:rPr>
        <w:t> </w:t>
      </w:r>
      <w:r>
        <w:rPr/>
        <w:t>non-technical</w:t>
      </w:r>
      <w:r>
        <w:rPr>
          <w:spacing w:val="-9"/>
        </w:rPr>
        <w:t> </w:t>
      </w:r>
      <w:r>
        <w:rPr/>
        <w:t>decision</w:t>
      </w:r>
      <w:r>
        <w:rPr>
          <w:spacing w:val="-58"/>
        </w:rPr>
        <w:t> </w:t>
      </w:r>
      <w:r>
        <w:rPr/>
        <w:t>maker. The leader or group of leaders responsible for making decisions may not have any</w:t>
      </w:r>
      <w:r>
        <w:rPr>
          <w:spacing w:val="-57"/>
        </w:rPr>
        <w:t> </w:t>
      </w:r>
      <w:r>
        <w:rPr/>
        <w:t>experience with construction or engineering in general but need to make an informed</w:t>
      </w:r>
      <w:r>
        <w:rPr>
          <w:spacing w:val="1"/>
        </w:rPr>
        <w:t> </w:t>
      </w:r>
      <w:r>
        <w:rPr/>
        <w:t>decision</w:t>
      </w:r>
      <w:r>
        <w:rPr>
          <w:spacing w:val="-8"/>
        </w:rPr>
        <w:t> </w:t>
      </w:r>
      <w:r>
        <w:rPr/>
        <w:t>based</w:t>
      </w:r>
      <w:r>
        <w:rPr>
          <w:spacing w:val="-8"/>
        </w:rPr>
        <w:t> </w:t>
      </w:r>
      <w:r>
        <w:rPr/>
        <w:t>on</w:t>
      </w:r>
      <w:r>
        <w:rPr>
          <w:spacing w:val="-8"/>
        </w:rPr>
        <w:t> </w:t>
      </w:r>
      <w:r>
        <w:rPr/>
        <w:t>complicated</w:t>
      </w:r>
      <w:r>
        <w:rPr>
          <w:spacing w:val="-7"/>
        </w:rPr>
        <w:t> </w:t>
      </w:r>
      <w:r>
        <w:rPr/>
        <w:t>interdependences</w:t>
      </w:r>
      <w:r>
        <w:rPr>
          <w:spacing w:val="-11"/>
        </w:rPr>
        <w:t> </w:t>
      </w:r>
      <w:r>
        <w:rPr/>
        <w:t>related</w:t>
      </w:r>
      <w:r>
        <w:rPr>
          <w:spacing w:val="-10"/>
        </w:rPr>
        <w:t> </w:t>
      </w:r>
      <w:r>
        <w:rPr/>
        <w:t>to</w:t>
      </w:r>
      <w:r>
        <w:rPr>
          <w:spacing w:val="-8"/>
        </w:rPr>
        <w:t> </w:t>
      </w:r>
      <w:r>
        <w:rPr/>
        <w:t>material</w:t>
      </w:r>
      <w:r>
        <w:rPr>
          <w:spacing w:val="-8"/>
        </w:rPr>
        <w:t> </w:t>
      </w:r>
      <w:r>
        <w:rPr/>
        <w:t>performance</w:t>
      </w:r>
      <w:r>
        <w:rPr>
          <w:spacing w:val="-8"/>
        </w:rPr>
        <w:t> </w:t>
      </w:r>
      <w:r>
        <w:rPr/>
        <w:t>and</w:t>
      </w:r>
      <w:r>
        <w:rPr>
          <w:spacing w:val="-8"/>
        </w:rPr>
        <w:t> </w:t>
      </w:r>
      <w:r>
        <w:rPr/>
        <w:t>other</w:t>
      </w:r>
      <w:r>
        <w:rPr>
          <w:spacing w:val="-57"/>
        </w:rPr>
        <w:t> </w:t>
      </w:r>
      <w:r>
        <w:rPr/>
        <w:t>criteria.</w:t>
      </w:r>
    </w:p>
    <w:p>
      <w:pPr>
        <w:spacing w:after="0" w:line="480" w:lineRule="auto"/>
        <w:jc w:val="both"/>
        <w:sectPr>
          <w:pgSz w:w="12240" w:h="15840"/>
          <w:pgMar w:header="0" w:footer="1064" w:top="1500" w:bottom="1260" w:left="440" w:right="880"/>
        </w:sectPr>
      </w:pPr>
    </w:p>
    <w:p>
      <w:pPr>
        <w:pStyle w:val="Heading9"/>
        <w:numPr>
          <w:ilvl w:val="1"/>
          <w:numId w:val="28"/>
        </w:numPr>
        <w:tabs>
          <w:tab w:pos="2080" w:val="left" w:leader="none"/>
        </w:tabs>
        <w:spacing w:line="240" w:lineRule="auto" w:before="60" w:after="0"/>
        <w:ind w:left="2080" w:right="0" w:hanging="360"/>
        <w:jc w:val="both"/>
      </w:pPr>
      <w:bookmarkStart w:name="_TOC_250007" w:id="590"/>
      <w:bookmarkStart w:name="9.3 Evaluation criteria for temporary mi" w:id="591"/>
      <w:r>
        <w:rPr>
          <w:b w:val="0"/>
        </w:rPr>
      </w:r>
      <w:bookmarkEnd w:id="591"/>
      <w:bookmarkStart w:name="9.3 Evaluation criteria for temporary mi" w:id="592"/>
      <w:r>
        <w:rPr/>
        <w:t>E</w:t>
      </w:r>
      <w:r>
        <w:rPr/>
        <w:t>valuation</w:t>
      </w:r>
      <w:r>
        <w:rPr>
          <w:spacing w:val="-4"/>
        </w:rPr>
        <w:t> </w:t>
      </w:r>
      <w:r>
        <w:rPr/>
        <w:t>criteria</w:t>
      </w:r>
      <w:r>
        <w:rPr>
          <w:spacing w:val="-3"/>
        </w:rPr>
        <w:t> </w:t>
      </w:r>
      <w:r>
        <w:rPr/>
        <w:t>for</w:t>
      </w:r>
      <w:r>
        <w:rPr>
          <w:spacing w:val="-3"/>
        </w:rPr>
        <w:t> </w:t>
      </w:r>
      <w:r>
        <w:rPr/>
        <w:t>temporary</w:t>
      </w:r>
      <w:r>
        <w:rPr>
          <w:spacing w:val="-3"/>
        </w:rPr>
        <w:t> </w:t>
      </w:r>
      <w:r>
        <w:rPr/>
        <w:t>military</w:t>
      </w:r>
      <w:r>
        <w:rPr>
          <w:spacing w:val="-5"/>
        </w:rPr>
        <w:t> </w:t>
      </w:r>
      <w:bookmarkEnd w:id="590"/>
      <w:r>
        <w:rPr/>
        <w:t>structures</w:t>
      </w:r>
    </w:p>
    <w:p>
      <w:pPr>
        <w:pStyle w:val="BodyText"/>
        <w:spacing w:before="6"/>
        <w:rPr>
          <w:b/>
          <w:sz w:val="22"/>
        </w:rPr>
      </w:pPr>
    </w:p>
    <w:p>
      <w:pPr>
        <w:pStyle w:val="BodyText"/>
        <w:spacing w:line="480" w:lineRule="auto"/>
        <w:ind w:left="1720" w:right="557" w:firstLine="720"/>
        <w:jc w:val="both"/>
      </w:pPr>
      <w:r>
        <w:rPr/>
        <w:t>In</w:t>
      </w:r>
      <w:r>
        <w:rPr>
          <w:spacing w:val="-4"/>
        </w:rPr>
        <w:t> </w:t>
      </w:r>
      <w:r>
        <w:rPr/>
        <w:t>order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/>
        <w:t>make</w:t>
      </w:r>
      <w:r>
        <w:rPr>
          <w:spacing w:val="-2"/>
        </w:rPr>
        <w:t> </w:t>
      </w:r>
      <w:r>
        <w:rPr/>
        <w:t>a</w:t>
      </w:r>
      <w:r>
        <w:rPr>
          <w:spacing w:val="-3"/>
        </w:rPr>
        <w:t> </w:t>
      </w:r>
      <w:r>
        <w:rPr/>
        <w:t>choice</w:t>
      </w:r>
      <w:r>
        <w:rPr>
          <w:spacing w:val="-2"/>
        </w:rPr>
        <w:t> </w:t>
      </w:r>
      <w:r>
        <w:rPr/>
        <w:t>in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/>
        <w:t>multi-attribute</w:t>
      </w:r>
      <w:r>
        <w:rPr>
          <w:spacing w:val="-3"/>
        </w:rPr>
        <w:t> </w:t>
      </w:r>
      <w:r>
        <w:rPr/>
        <w:t>problem,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criteria</w:t>
      </w:r>
      <w:r>
        <w:rPr>
          <w:spacing w:val="-2"/>
        </w:rPr>
        <w:t> </w:t>
      </w:r>
      <w:r>
        <w:rPr/>
        <w:t>of</w:t>
      </w:r>
      <w:r>
        <w:rPr>
          <w:spacing w:val="-4"/>
        </w:rPr>
        <w:t> </w:t>
      </w:r>
      <w:r>
        <w:rPr/>
        <w:t>interest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/>
        <w:t>the</w:t>
      </w:r>
      <w:r>
        <w:rPr>
          <w:spacing w:val="-58"/>
        </w:rPr>
        <w:t> </w:t>
      </w:r>
      <w:r>
        <w:rPr/>
        <w:t>decision must be well defined. The performance of each alternatives will be evaluated for</w:t>
      </w:r>
      <w:r>
        <w:rPr>
          <w:spacing w:val="-57"/>
        </w:rPr>
        <w:t> </w:t>
      </w:r>
      <w:r>
        <w:rPr/>
        <w:t>each</w:t>
      </w:r>
      <w:r>
        <w:rPr>
          <w:spacing w:val="1"/>
        </w:rPr>
        <w:t> </w:t>
      </w:r>
      <w:r>
        <w:rPr/>
        <w:t>attribute</w:t>
      </w:r>
      <w:r>
        <w:rPr>
          <w:spacing w:val="1"/>
        </w:rPr>
        <w:t> </w:t>
      </w:r>
      <w:r>
        <w:rPr/>
        <w:t>so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description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well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method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measuring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level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performance should be thoroughly detailed.</w:t>
      </w:r>
      <w:r>
        <w:rPr>
          <w:spacing w:val="1"/>
        </w:rPr>
        <w:t> </w:t>
      </w:r>
      <w:r>
        <w:rPr/>
        <w:t>For temporary military structures, there are</w:t>
      </w:r>
      <w:r>
        <w:rPr>
          <w:spacing w:val="1"/>
        </w:rPr>
        <w:t> </w:t>
      </w:r>
      <w:r>
        <w:rPr/>
        <w:t>several distinctive performance attributes of interest which will be detailed.</w:t>
      </w:r>
      <w:r>
        <w:rPr>
          <w:spacing w:val="1"/>
        </w:rPr>
        <w:t> </w:t>
      </w:r>
      <w:r>
        <w:rPr/>
        <w:t>Generally, in</w:t>
      </w:r>
      <w:r>
        <w:rPr>
          <w:spacing w:val="-57"/>
        </w:rPr>
        <w:t> </w:t>
      </w:r>
      <w:r>
        <w:rPr/>
        <w:t>construction risk assessment and decision making criteria may be included or excluded</w:t>
      </w:r>
      <w:r>
        <w:rPr>
          <w:spacing w:val="1"/>
        </w:rPr>
        <w:t> </w:t>
      </w:r>
      <w:r>
        <w:rPr/>
        <w:t>depending on the purpose and environment of the project.</w:t>
      </w:r>
      <w:r>
        <w:rPr>
          <w:spacing w:val="1"/>
        </w:rPr>
        <w:t> </w:t>
      </w:r>
      <w:r>
        <w:rPr/>
        <w:t>Some criteria may have no</w:t>
      </w:r>
      <w:r>
        <w:rPr>
          <w:spacing w:val="1"/>
        </w:rPr>
        <w:t> </w:t>
      </w:r>
      <w:r>
        <w:rPr/>
        <w:t>difference between the given alternatives which makes them non-differentiating factors.</w:t>
      </w:r>
      <w:r>
        <w:rPr>
          <w:spacing w:val="1"/>
        </w:rPr>
        <w:t> </w:t>
      </w:r>
      <w:r>
        <w:rPr/>
        <w:t>These</w:t>
      </w:r>
      <w:r>
        <w:rPr>
          <w:spacing w:val="-10"/>
        </w:rPr>
        <w:t> </w:t>
      </w:r>
      <w:r>
        <w:rPr/>
        <w:t>criteria</w:t>
      </w:r>
      <w:r>
        <w:rPr>
          <w:spacing w:val="-9"/>
        </w:rPr>
        <w:t> </w:t>
      </w:r>
      <w:r>
        <w:rPr/>
        <w:t>are</w:t>
      </w:r>
      <w:r>
        <w:rPr>
          <w:spacing w:val="-11"/>
        </w:rPr>
        <w:t> </w:t>
      </w:r>
      <w:r>
        <w:rPr/>
        <w:t>still</w:t>
      </w:r>
      <w:r>
        <w:rPr>
          <w:spacing w:val="-10"/>
        </w:rPr>
        <w:t> </w:t>
      </w:r>
      <w:r>
        <w:rPr/>
        <w:t>important</w:t>
      </w:r>
      <w:r>
        <w:rPr>
          <w:spacing w:val="-9"/>
        </w:rPr>
        <w:t> </w:t>
      </w:r>
      <w:r>
        <w:rPr/>
        <w:t>to</w:t>
      </w:r>
      <w:r>
        <w:rPr>
          <w:spacing w:val="-11"/>
        </w:rPr>
        <w:t> </w:t>
      </w:r>
      <w:r>
        <w:rPr/>
        <w:t>identify</w:t>
      </w:r>
      <w:r>
        <w:rPr>
          <w:spacing w:val="-10"/>
        </w:rPr>
        <w:t> </w:t>
      </w:r>
      <w:r>
        <w:rPr/>
        <w:t>because</w:t>
      </w:r>
      <w:r>
        <w:rPr>
          <w:spacing w:val="-10"/>
        </w:rPr>
        <w:t> </w:t>
      </w:r>
      <w:r>
        <w:rPr/>
        <w:t>additional</w:t>
      </w:r>
      <w:r>
        <w:rPr>
          <w:spacing w:val="-10"/>
        </w:rPr>
        <w:t> </w:t>
      </w:r>
      <w:r>
        <w:rPr/>
        <w:t>alternatives</w:t>
      </w:r>
      <w:r>
        <w:rPr>
          <w:spacing w:val="-11"/>
        </w:rPr>
        <w:t> </w:t>
      </w:r>
      <w:r>
        <w:rPr/>
        <w:t>considered</w:t>
      </w:r>
      <w:r>
        <w:rPr>
          <w:spacing w:val="-10"/>
        </w:rPr>
        <w:t> </w:t>
      </w:r>
      <w:r>
        <w:rPr/>
        <w:t>later</w:t>
      </w:r>
      <w:r>
        <w:rPr>
          <w:spacing w:val="-58"/>
        </w:rPr>
        <w:t> </w:t>
      </w:r>
      <w:r>
        <w:rPr/>
        <w:t>may introduce differences. The following sections discuss evaluation criteria identified as</w:t>
      </w:r>
      <w:r>
        <w:rPr>
          <w:spacing w:val="-57"/>
        </w:rPr>
        <w:t> </w:t>
      </w:r>
      <w:r>
        <w:rPr/>
        <w:t>attributes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critical</w:t>
      </w:r>
      <w:r>
        <w:rPr>
          <w:spacing w:val="-7"/>
        </w:rPr>
        <w:t> </w:t>
      </w:r>
      <w:r>
        <w:rPr/>
        <w:t>interest</w:t>
      </w:r>
      <w:r>
        <w:rPr>
          <w:spacing w:val="-7"/>
        </w:rPr>
        <w:t> </w:t>
      </w:r>
      <w:r>
        <w:rPr/>
        <w:t>relative</w:t>
      </w:r>
      <w:r>
        <w:rPr>
          <w:spacing w:val="-7"/>
        </w:rPr>
        <w:t> </w:t>
      </w:r>
      <w:r>
        <w:rPr/>
        <w:t>to</w:t>
      </w:r>
      <w:r>
        <w:rPr>
          <w:spacing w:val="-7"/>
        </w:rPr>
        <w:t> </w:t>
      </w:r>
      <w:r>
        <w:rPr/>
        <w:t>material</w:t>
      </w:r>
      <w:r>
        <w:rPr>
          <w:spacing w:val="-7"/>
        </w:rPr>
        <w:t> </w:t>
      </w:r>
      <w:r>
        <w:rPr/>
        <w:t>selection</w:t>
      </w:r>
      <w:r>
        <w:rPr>
          <w:spacing w:val="-7"/>
        </w:rPr>
        <w:t> </w:t>
      </w:r>
      <w:r>
        <w:rPr/>
        <w:t>for</w:t>
      </w:r>
      <w:r>
        <w:rPr>
          <w:spacing w:val="-7"/>
        </w:rPr>
        <w:t> </w:t>
      </w:r>
      <w:r>
        <w:rPr/>
        <w:t>temporary</w:t>
      </w:r>
      <w:r>
        <w:rPr>
          <w:spacing w:val="-7"/>
        </w:rPr>
        <w:t> </w:t>
      </w:r>
      <w:r>
        <w:rPr/>
        <w:t>military</w:t>
      </w:r>
      <w:r>
        <w:rPr>
          <w:spacing w:val="-7"/>
        </w:rPr>
        <w:t> </w:t>
      </w:r>
      <w:r>
        <w:rPr/>
        <w:t>structures.</w:t>
      </w:r>
      <w:r>
        <w:rPr>
          <w:spacing w:val="-58"/>
        </w:rPr>
        <w:t> </w:t>
      </w:r>
      <w:r>
        <w:rPr/>
        <w:t>A similar process of determining criteria of interest could be used for other decisions</w:t>
      </w:r>
      <w:r>
        <w:rPr>
          <w:spacing w:val="1"/>
        </w:rPr>
        <w:t> </w:t>
      </w:r>
      <w:r>
        <w:rPr/>
        <w:t>related</w:t>
      </w:r>
      <w:r>
        <w:rPr>
          <w:spacing w:val="-4"/>
        </w:rPr>
        <w:t> </w:t>
      </w:r>
      <w:r>
        <w:rPr/>
        <w:t>to</w:t>
      </w:r>
      <w:r>
        <w:rPr>
          <w:spacing w:val="-1"/>
        </w:rPr>
        <w:t> </w:t>
      </w:r>
      <w:r>
        <w:rPr/>
        <w:t>temporary</w:t>
      </w:r>
      <w:r>
        <w:rPr>
          <w:spacing w:val="-1"/>
        </w:rPr>
        <w:t> </w:t>
      </w:r>
      <w:r>
        <w:rPr/>
        <w:t>structures,</w:t>
      </w:r>
      <w:r>
        <w:rPr>
          <w:spacing w:val="-3"/>
        </w:rPr>
        <w:t> </w:t>
      </w:r>
      <w:r>
        <w:rPr/>
        <w:t>such</w:t>
      </w:r>
      <w:r>
        <w:rPr>
          <w:spacing w:val="-1"/>
        </w:rPr>
        <w:t> </w:t>
      </w:r>
      <w:r>
        <w:rPr/>
        <w:t>as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type,</w:t>
      </w:r>
      <w:r>
        <w:rPr>
          <w:spacing w:val="-1"/>
        </w:rPr>
        <w:t> </w:t>
      </w:r>
      <w:r>
        <w:rPr/>
        <w:t>design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structure,</w:t>
      </w:r>
      <w:r>
        <w:rPr>
          <w:spacing w:val="-3"/>
        </w:rPr>
        <w:t> </w:t>
      </w:r>
      <w:r>
        <w:rPr/>
        <w:t>or</w:t>
      </w:r>
      <w:r>
        <w:rPr>
          <w:spacing w:val="-1"/>
        </w:rPr>
        <w:t> </w:t>
      </w:r>
      <w:r>
        <w:rPr/>
        <w:t>site</w:t>
      </w:r>
      <w:r>
        <w:rPr>
          <w:spacing w:val="-2"/>
        </w:rPr>
        <w:t> </w:t>
      </w:r>
      <w:r>
        <w:rPr/>
        <w:t>layout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a</w:t>
      </w:r>
      <w:r>
        <w:rPr>
          <w:spacing w:val="-58"/>
        </w:rPr>
        <w:t> </w:t>
      </w:r>
      <w:r>
        <w:rPr/>
        <w:t>group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structures.</w:t>
      </w:r>
      <w:r>
        <w:rPr>
          <w:spacing w:val="34"/>
        </w:rPr>
        <w:t> </w:t>
      </w:r>
      <w:r>
        <w:rPr/>
        <w:t>The</w:t>
      </w:r>
      <w:r>
        <w:rPr>
          <w:spacing w:val="-13"/>
        </w:rPr>
        <w:t> </w:t>
      </w:r>
      <w:r>
        <w:rPr/>
        <w:t>scope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identified</w:t>
      </w:r>
      <w:r>
        <w:rPr>
          <w:spacing w:val="-13"/>
        </w:rPr>
        <w:t> </w:t>
      </w:r>
      <w:r>
        <w:rPr/>
        <w:t>criteria</w:t>
      </w:r>
      <w:r>
        <w:rPr>
          <w:spacing w:val="-12"/>
        </w:rPr>
        <w:t> </w:t>
      </w:r>
      <w:r>
        <w:rPr/>
        <w:t>is</w:t>
      </w:r>
      <w:r>
        <w:rPr>
          <w:spacing w:val="-14"/>
        </w:rPr>
        <w:t> </w:t>
      </w:r>
      <w:r>
        <w:rPr/>
        <w:t>limited</w:t>
      </w:r>
      <w:r>
        <w:rPr>
          <w:spacing w:val="-13"/>
        </w:rPr>
        <w:t> </w:t>
      </w:r>
      <w:r>
        <w:rPr/>
        <w:t>to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decision</w:t>
      </w:r>
      <w:r>
        <w:rPr>
          <w:spacing w:val="-12"/>
        </w:rPr>
        <w:t> </w:t>
      </w:r>
      <w:r>
        <w:rPr/>
        <w:t>of</w:t>
      </w:r>
      <w:r>
        <w:rPr>
          <w:spacing w:val="-14"/>
        </w:rPr>
        <w:t> </w:t>
      </w:r>
      <w:r>
        <w:rPr/>
        <w:t>material</w:t>
      </w:r>
      <w:r>
        <w:rPr>
          <w:spacing w:val="-58"/>
        </w:rPr>
        <w:t> </w:t>
      </w:r>
      <w:r>
        <w:rPr/>
        <w:t>selection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this research.</w:t>
      </w:r>
    </w:p>
    <w:p>
      <w:pPr>
        <w:pStyle w:val="ListParagraph"/>
        <w:numPr>
          <w:ilvl w:val="2"/>
          <w:numId w:val="28"/>
        </w:numPr>
        <w:tabs>
          <w:tab w:pos="2260" w:val="left" w:leader="none"/>
        </w:tabs>
        <w:spacing w:line="240" w:lineRule="auto" w:before="162" w:after="0"/>
        <w:ind w:left="2260" w:right="0" w:hanging="540"/>
        <w:jc w:val="both"/>
        <w:rPr>
          <w:i/>
          <w:sz w:val="24"/>
        </w:rPr>
      </w:pPr>
      <w:bookmarkStart w:name="9.3.1 Material Cost" w:id="593"/>
      <w:bookmarkEnd w:id="593"/>
      <w:r>
        <w:rPr/>
      </w:r>
      <w:bookmarkStart w:name="9.3.1 Material Cost" w:id="594"/>
      <w:bookmarkEnd w:id="594"/>
      <w:r>
        <w:rPr>
          <w:i/>
          <w:sz w:val="24"/>
        </w:rPr>
        <w:t>Mate</w:t>
      </w:r>
      <w:r>
        <w:rPr>
          <w:i/>
          <w:sz w:val="24"/>
        </w:rPr>
        <w:t>rial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Cost</w:t>
      </w:r>
    </w:p>
    <w:p>
      <w:pPr>
        <w:pStyle w:val="BodyText"/>
        <w:spacing w:before="7"/>
        <w:rPr>
          <w:i/>
          <w:sz w:val="22"/>
        </w:rPr>
      </w:pPr>
    </w:p>
    <w:p>
      <w:pPr>
        <w:pStyle w:val="BodyText"/>
        <w:spacing w:line="480" w:lineRule="auto"/>
        <w:ind w:left="1720" w:right="557" w:firstLine="720"/>
        <w:jc w:val="both"/>
      </w:pPr>
      <w:r>
        <w:rPr/>
        <w:t>This</w:t>
      </w:r>
      <w:r>
        <w:rPr>
          <w:spacing w:val="-12"/>
        </w:rPr>
        <w:t> </w:t>
      </w:r>
      <w:r>
        <w:rPr/>
        <w:t>criterion</w:t>
      </w:r>
      <w:r>
        <w:rPr>
          <w:spacing w:val="-12"/>
        </w:rPr>
        <w:t> </w:t>
      </w:r>
      <w:r>
        <w:rPr/>
        <w:t>is</w:t>
      </w:r>
      <w:r>
        <w:rPr>
          <w:spacing w:val="-12"/>
        </w:rPr>
        <w:t> </w:t>
      </w:r>
      <w:r>
        <w:rPr/>
        <w:t>likely</w:t>
      </w:r>
      <w:r>
        <w:rPr>
          <w:spacing w:val="-12"/>
        </w:rPr>
        <w:t> </w:t>
      </w:r>
      <w:r>
        <w:rPr/>
        <w:t>one</w:t>
      </w:r>
      <w:r>
        <w:rPr>
          <w:spacing w:val="-11"/>
        </w:rPr>
        <w:t> </w:t>
      </w:r>
      <w:r>
        <w:rPr/>
        <w:t>of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least</w:t>
      </w:r>
      <w:r>
        <w:rPr>
          <w:spacing w:val="-13"/>
        </w:rPr>
        <w:t> </w:t>
      </w:r>
      <w:r>
        <w:rPr/>
        <w:t>complicated.</w:t>
      </w:r>
      <w:r>
        <w:rPr>
          <w:spacing w:val="37"/>
        </w:rPr>
        <w:t> </w:t>
      </w:r>
      <w:r>
        <w:rPr/>
        <w:t>Construction</w:t>
      </w:r>
      <w:r>
        <w:rPr>
          <w:spacing w:val="-12"/>
        </w:rPr>
        <w:t> </w:t>
      </w:r>
      <w:r>
        <w:rPr/>
        <w:t>materials</w:t>
      </w:r>
      <w:r>
        <w:rPr>
          <w:spacing w:val="-13"/>
        </w:rPr>
        <w:t> </w:t>
      </w:r>
      <w:r>
        <w:rPr/>
        <w:t>all</w:t>
      </w:r>
      <w:r>
        <w:rPr>
          <w:spacing w:val="-13"/>
        </w:rPr>
        <w:t> </w:t>
      </w:r>
      <w:r>
        <w:rPr/>
        <w:t>have</w:t>
      </w:r>
      <w:r>
        <w:rPr>
          <w:spacing w:val="-57"/>
        </w:rPr>
        <w:t> </w:t>
      </w:r>
      <w:r>
        <w:rPr/>
        <w:t>an associated cost and in general, the overarching goal is to reduce costs to the greatest</w:t>
      </w:r>
      <w:r>
        <w:rPr>
          <w:spacing w:val="1"/>
        </w:rPr>
        <w:t> </w:t>
      </w:r>
      <w:r>
        <w:rPr/>
        <w:t>extent possible.</w:t>
      </w:r>
      <w:r>
        <w:rPr>
          <w:spacing w:val="1"/>
        </w:rPr>
        <w:t> </w:t>
      </w:r>
      <w:r>
        <w:rPr/>
        <w:t>Material costs are provided in various measurements depending on the</w:t>
      </w:r>
      <w:r>
        <w:rPr>
          <w:spacing w:val="1"/>
        </w:rPr>
        <w:t> </w:t>
      </w:r>
      <w:r>
        <w:rPr/>
        <w:t>material being purchased.</w:t>
      </w:r>
      <w:r>
        <w:rPr>
          <w:spacing w:val="1"/>
        </w:rPr>
        <w:t> </w:t>
      </w:r>
      <w:r>
        <w:rPr/>
        <w:t>Common examples are price per item, price per specific</w:t>
      </w:r>
      <w:r>
        <w:rPr>
          <w:spacing w:val="1"/>
        </w:rPr>
        <w:t> </w:t>
      </w:r>
      <w:r>
        <w:rPr/>
        <w:t>measurement (per linear feet or per square feet) or even price by weight.</w:t>
      </w:r>
      <w:r>
        <w:rPr>
          <w:spacing w:val="1"/>
        </w:rPr>
        <w:t> </w:t>
      </w:r>
      <w:r>
        <w:rPr/>
        <w:t>If alternatives</w:t>
      </w:r>
      <w:r>
        <w:rPr>
          <w:spacing w:val="1"/>
        </w:rPr>
        <w:t> </w:t>
      </w:r>
      <w:r>
        <w:rPr/>
        <w:t>have</w:t>
      </w:r>
      <w:r>
        <w:rPr>
          <w:spacing w:val="34"/>
        </w:rPr>
        <w:t> </w:t>
      </w:r>
      <w:r>
        <w:rPr/>
        <w:t>different</w:t>
      </w:r>
      <w:r>
        <w:rPr>
          <w:spacing w:val="34"/>
        </w:rPr>
        <w:t> </w:t>
      </w:r>
      <w:r>
        <w:rPr/>
        <w:t>cost</w:t>
      </w:r>
      <w:r>
        <w:rPr>
          <w:spacing w:val="34"/>
        </w:rPr>
        <w:t> </w:t>
      </w:r>
      <w:r>
        <w:rPr/>
        <w:t>measurements</w:t>
      </w:r>
      <w:r>
        <w:rPr>
          <w:spacing w:val="34"/>
        </w:rPr>
        <w:t> </w:t>
      </w:r>
      <w:r>
        <w:rPr/>
        <w:t>then</w:t>
      </w:r>
      <w:r>
        <w:rPr>
          <w:spacing w:val="35"/>
        </w:rPr>
        <w:t> </w:t>
      </w:r>
      <w:r>
        <w:rPr/>
        <w:t>this</w:t>
      </w:r>
      <w:r>
        <w:rPr>
          <w:spacing w:val="34"/>
        </w:rPr>
        <w:t> </w:t>
      </w:r>
      <w:r>
        <w:rPr/>
        <w:t>performance</w:t>
      </w:r>
      <w:r>
        <w:rPr>
          <w:spacing w:val="35"/>
        </w:rPr>
        <w:t> </w:t>
      </w:r>
      <w:r>
        <w:rPr/>
        <w:t>metric</w:t>
      </w:r>
      <w:r>
        <w:rPr>
          <w:spacing w:val="34"/>
        </w:rPr>
        <w:t> </w:t>
      </w:r>
      <w:r>
        <w:rPr/>
        <w:t>must</w:t>
      </w:r>
      <w:r>
        <w:rPr>
          <w:spacing w:val="34"/>
        </w:rPr>
        <w:t> </w:t>
      </w:r>
      <w:r>
        <w:rPr/>
        <w:t>be</w:t>
      </w:r>
      <w:r>
        <w:rPr>
          <w:spacing w:val="35"/>
        </w:rPr>
        <w:t> </w:t>
      </w:r>
      <w:r>
        <w:rPr/>
        <w:t>normalized</w:t>
      </w:r>
      <w:r>
        <w:rPr>
          <w:spacing w:val="34"/>
        </w:rPr>
        <w:t> </w:t>
      </w:r>
      <w:r>
        <w:rPr/>
        <w:t>to</w:t>
      </w:r>
    </w:p>
    <w:p>
      <w:pPr>
        <w:spacing w:after="0" w:line="480" w:lineRule="auto"/>
        <w:jc w:val="both"/>
        <w:sectPr>
          <w:pgSz w:w="12240" w:h="15840"/>
          <w:pgMar w:header="0" w:footer="1064" w:top="1380" w:bottom="1260" w:left="440" w:right="880"/>
        </w:sectPr>
      </w:pPr>
    </w:p>
    <w:p>
      <w:pPr>
        <w:pStyle w:val="BodyText"/>
        <w:spacing w:line="480" w:lineRule="auto" w:before="78"/>
        <w:ind w:left="1720" w:right="557"/>
        <w:jc w:val="both"/>
      </w:pPr>
      <w:r>
        <w:rPr/>
        <w:t>allow for direct comparison.</w:t>
      </w:r>
      <w:r>
        <w:rPr>
          <w:spacing w:val="1"/>
        </w:rPr>
        <w:t> </w:t>
      </w:r>
      <w:r>
        <w:rPr/>
        <w:t>One method to address non-uniform pricing is to complete a</w:t>
      </w:r>
      <w:r>
        <w:rPr>
          <w:spacing w:val="-57"/>
        </w:rPr>
        <w:t> </w:t>
      </w:r>
      <w:r>
        <w:rPr/>
        <w:t>cost</w:t>
      </w:r>
      <w:r>
        <w:rPr>
          <w:spacing w:val="-1"/>
        </w:rPr>
        <w:t> </w:t>
      </w:r>
      <w:r>
        <w:rPr/>
        <w:t>estimate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material based</w:t>
      </w:r>
      <w:r>
        <w:rPr>
          <w:spacing w:val="-1"/>
        </w:rPr>
        <w:t> </w:t>
      </w:r>
      <w:r>
        <w:rPr/>
        <w:t>on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plans of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specific</w:t>
      </w:r>
      <w:r>
        <w:rPr>
          <w:spacing w:val="-1"/>
        </w:rPr>
        <w:t> </w:t>
      </w:r>
      <w:r>
        <w:rPr/>
        <w:t>temporary</w:t>
      </w:r>
      <w:r>
        <w:rPr>
          <w:spacing w:val="-1"/>
        </w:rPr>
        <w:t> </w:t>
      </w:r>
      <w:r>
        <w:rPr/>
        <w:t>structure.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/>
        <w:ind w:left="1720" w:right="557" w:firstLine="720"/>
        <w:jc w:val="both"/>
      </w:pPr>
      <w:r>
        <w:rPr/>
        <w:t>It is important to note that the lowest price may not always be the most desirable,</w:t>
      </w:r>
      <w:r>
        <w:rPr>
          <w:spacing w:val="1"/>
        </w:rPr>
        <w:t> </w:t>
      </w:r>
      <w:r>
        <w:rPr/>
        <w:t>just as the lowest bidder is not always the most desirable.</w:t>
      </w:r>
      <w:r>
        <w:rPr>
          <w:spacing w:val="1"/>
        </w:rPr>
        <w:t> </w:t>
      </w:r>
      <w:r>
        <w:rPr/>
        <w:t>The material has to be feasible</w:t>
      </w:r>
      <w:r>
        <w:rPr>
          <w:spacing w:val="1"/>
        </w:rPr>
        <w:t> </w:t>
      </w:r>
      <w:r>
        <w:rPr/>
        <w:t>and meet the minimum requirements for other desired performance attributes.</w:t>
      </w:r>
      <w:r>
        <w:rPr>
          <w:spacing w:val="1"/>
        </w:rPr>
        <w:t> </w:t>
      </w:r>
      <w:r>
        <w:rPr/>
        <w:t>With a</w:t>
      </w:r>
      <w:r>
        <w:rPr>
          <w:spacing w:val="1"/>
        </w:rPr>
        <w:t> </w:t>
      </w:r>
      <w:r>
        <w:rPr/>
        <w:t>multi-attribute decision methodology, other characteristics, which may be related to cost,</w:t>
      </w:r>
      <w:r>
        <w:rPr>
          <w:spacing w:val="1"/>
        </w:rPr>
        <w:t> </w:t>
      </w:r>
      <w:r>
        <w:rPr/>
        <w:t>can help determine the most overall cost effective solution.</w:t>
      </w:r>
      <w:r>
        <w:rPr>
          <w:spacing w:val="1"/>
        </w:rPr>
        <w:t> </w:t>
      </w:r>
      <w:r>
        <w:rPr/>
        <w:t>For example, a canvas tent</w:t>
      </w:r>
      <w:r>
        <w:rPr>
          <w:spacing w:val="1"/>
        </w:rPr>
        <w:t> </w:t>
      </w:r>
      <w:r>
        <w:rPr/>
        <w:t>may be the lowest cost material for a temporary structure, and so this alternative would</w:t>
      </w:r>
      <w:r>
        <w:rPr>
          <w:spacing w:val="1"/>
        </w:rPr>
        <w:t> </w:t>
      </w:r>
      <w:r>
        <w:rPr/>
        <w:t>earn a high assessment for the cost criterion.</w:t>
      </w:r>
      <w:r>
        <w:rPr>
          <w:spacing w:val="1"/>
        </w:rPr>
        <w:t> </w:t>
      </w:r>
      <w:r>
        <w:rPr/>
        <w:t>However, other attributes such as blast</w:t>
      </w:r>
      <w:r>
        <w:rPr>
          <w:spacing w:val="1"/>
        </w:rPr>
        <w:t> </w:t>
      </w:r>
      <w:r>
        <w:rPr/>
        <w:t>protection and energy efficiency would earn low performance values thereby countering</w:t>
      </w:r>
      <w:r>
        <w:rPr>
          <w:spacing w:val="1"/>
        </w:rPr>
        <w:t> </w:t>
      </w:r>
      <w:r>
        <w:rPr/>
        <w:t>the cost criterion. Conversely, a net zero energy, blast-proof structure may have very high</w:t>
      </w:r>
      <w:r>
        <w:rPr>
          <w:spacing w:val="-57"/>
        </w:rPr>
        <w:t> </w:t>
      </w:r>
      <w:r>
        <w:rPr/>
        <w:t>material costs.</w:t>
      </w:r>
      <w:r>
        <w:rPr>
          <w:spacing w:val="1"/>
        </w:rPr>
        <w:t> </w:t>
      </w:r>
      <w:r>
        <w:rPr/>
        <w:t>Cost must be considered as the situation will likely call for multiple</w:t>
      </w:r>
      <w:r>
        <w:rPr>
          <w:spacing w:val="1"/>
        </w:rPr>
        <w:t> </w:t>
      </w:r>
      <w:r>
        <w:rPr/>
        <w:t>temporary</w:t>
      </w:r>
      <w:r>
        <w:rPr>
          <w:spacing w:val="-13"/>
        </w:rPr>
        <w:t> </w:t>
      </w:r>
      <w:r>
        <w:rPr/>
        <w:t>structures,</w:t>
      </w:r>
      <w:r>
        <w:rPr>
          <w:spacing w:val="-12"/>
        </w:rPr>
        <w:t> </w:t>
      </w:r>
      <w:r>
        <w:rPr/>
        <w:t>and</w:t>
      </w:r>
      <w:r>
        <w:rPr>
          <w:spacing w:val="-13"/>
        </w:rPr>
        <w:t> </w:t>
      </w:r>
      <w:r>
        <w:rPr/>
        <w:t>thus</w:t>
      </w:r>
      <w:r>
        <w:rPr>
          <w:spacing w:val="-13"/>
        </w:rPr>
        <w:t> </w:t>
      </w:r>
      <w:r>
        <w:rPr/>
        <w:t>high</w:t>
      </w:r>
      <w:r>
        <w:rPr>
          <w:spacing w:val="-12"/>
        </w:rPr>
        <w:t> </w:t>
      </w:r>
      <w:r>
        <w:rPr/>
        <w:t>costs</w:t>
      </w:r>
      <w:r>
        <w:rPr>
          <w:spacing w:val="-13"/>
        </w:rPr>
        <w:t> </w:t>
      </w:r>
      <w:r>
        <w:rPr/>
        <w:t>may</w:t>
      </w:r>
      <w:r>
        <w:rPr>
          <w:spacing w:val="-12"/>
        </w:rPr>
        <w:t> </w:t>
      </w:r>
      <w:r>
        <w:rPr/>
        <w:t>be</w:t>
      </w:r>
      <w:r>
        <w:rPr>
          <w:spacing w:val="-13"/>
        </w:rPr>
        <w:t> </w:t>
      </w:r>
      <w:r>
        <w:rPr/>
        <w:t>prohibitively</w:t>
      </w:r>
      <w:r>
        <w:rPr>
          <w:spacing w:val="-12"/>
        </w:rPr>
        <w:t> </w:t>
      </w:r>
      <w:r>
        <w:rPr/>
        <w:t>expensive</w:t>
      </w:r>
      <w:r>
        <w:rPr>
          <w:spacing w:val="-14"/>
        </w:rPr>
        <w:t> </w:t>
      </w:r>
      <w:r>
        <w:rPr/>
        <w:t>for</w:t>
      </w:r>
      <w:r>
        <w:rPr>
          <w:spacing w:val="-12"/>
        </w:rPr>
        <w:t> </w:t>
      </w:r>
      <w:r>
        <w:rPr/>
        <w:t>a</w:t>
      </w:r>
      <w:r>
        <w:rPr>
          <w:spacing w:val="-13"/>
        </w:rPr>
        <w:t> </w:t>
      </w:r>
      <w:r>
        <w:rPr/>
        <w:t>large</w:t>
      </w:r>
      <w:r>
        <w:rPr>
          <w:spacing w:val="-12"/>
        </w:rPr>
        <w:t> </w:t>
      </w:r>
      <w:r>
        <w:rPr/>
        <w:t>project</w:t>
      </w:r>
      <w:r>
        <w:rPr>
          <w:spacing w:val="-58"/>
        </w:rPr>
        <w:t> </w:t>
      </w:r>
      <w:r>
        <w:rPr/>
        <w:t>such</w:t>
      </w:r>
      <w:r>
        <w:rPr>
          <w:spacing w:val="-1"/>
        </w:rPr>
        <w:t> </w:t>
      </w:r>
      <w:r>
        <w:rPr/>
        <w:t>as a basecamp based on fiscal</w:t>
      </w:r>
      <w:r>
        <w:rPr>
          <w:spacing w:val="-1"/>
        </w:rPr>
        <w:t> </w:t>
      </w:r>
      <w:r>
        <w:rPr/>
        <w:t>resources</w:t>
      </w:r>
      <w:r>
        <w:rPr>
          <w:spacing w:val="-1"/>
        </w:rPr>
        <w:t> </w:t>
      </w:r>
      <w:r>
        <w:rPr/>
        <w:t>available.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/>
        <w:ind w:left="1720" w:right="557" w:firstLine="720"/>
        <w:jc w:val="both"/>
      </w:pPr>
      <w:r>
        <w:rPr/>
        <w:t>It</w:t>
      </w:r>
      <w:r>
        <w:rPr>
          <w:spacing w:val="-14"/>
        </w:rPr>
        <w:t> </w:t>
      </w:r>
      <w:r>
        <w:rPr/>
        <w:t>is</w:t>
      </w:r>
      <w:r>
        <w:rPr>
          <w:spacing w:val="-13"/>
        </w:rPr>
        <w:t> </w:t>
      </w:r>
      <w:r>
        <w:rPr/>
        <w:t>likely</w:t>
      </w:r>
      <w:r>
        <w:rPr>
          <w:spacing w:val="-13"/>
        </w:rPr>
        <w:t> </w:t>
      </w:r>
      <w:r>
        <w:rPr/>
        <w:t>that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cost</w:t>
      </w:r>
      <w:r>
        <w:rPr>
          <w:spacing w:val="-13"/>
        </w:rPr>
        <w:t> </w:t>
      </w:r>
      <w:r>
        <w:rPr/>
        <w:t>criterion</w:t>
      </w:r>
      <w:r>
        <w:rPr>
          <w:spacing w:val="-14"/>
        </w:rPr>
        <w:t> </w:t>
      </w:r>
      <w:r>
        <w:rPr/>
        <w:t>is</w:t>
      </w:r>
      <w:r>
        <w:rPr>
          <w:spacing w:val="-13"/>
        </w:rPr>
        <w:t> </w:t>
      </w:r>
      <w:r>
        <w:rPr/>
        <w:t>a</w:t>
      </w:r>
      <w:r>
        <w:rPr>
          <w:spacing w:val="-12"/>
        </w:rPr>
        <w:t> </w:t>
      </w:r>
      <w:r>
        <w:rPr/>
        <w:t>quantitative</w:t>
      </w:r>
      <w:r>
        <w:rPr>
          <w:spacing w:val="-14"/>
        </w:rPr>
        <w:t> </w:t>
      </w:r>
      <w:r>
        <w:rPr/>
        <w:t>measurement</w:t>
      </w:r>
      <w:r>
        <w:rPr>
          <w:spacing w:val="-12"/>
        </w:rPr>
        <w:t> </w:t>
      </w:r>
      <w:r>
        <w:rPr/>
        <w:t>based</w:t>
      </w:r>
      <w:r>
        <w:rPr>
          <w:spacing w:val="-13"/>
        </w:rPr>
        <w:t> </w:t>
      </w:r>
      <w:r>
        <w:rPr/>
        <w:t>on</w:t>
      </w:r>
      <w:r>
        <w:rPr>
          <w:spacing w:val="-14"/>
        </w:rPr>
        <w:t> </w:t>
      </w:r>
      <w:r>
        <w:rPr/>
        <w:t>the</w:t>
      </w:r>
      <w:r>
        <w:rPr>
          <w:spacing w:val="-12"/>
        </w:rPr>
        <w:t> </w:t>
      </w:r>
      <w:r>
        <w:rPr/>
        <w:t>expense</w:t>
      </w:r>
      <w:r>
        <w:rPr>
          <w:spacing w:val="-57"/>
        </w:rPr>
        <w:t> </w:t>
      </w:r>
      <w:r>
        <w:rPr/>
        <w:t>of procuring the construction material. It should also be noted in the criteria description if</w:t>
      </w:r>
      <w:r>
        <w:rPr>
          <w:spacing w:val="-57"/>
        </w:rPr>
        <w:t> </w:t>
      </w:r>
      <w:r>
        <w:rPr/>
        <w:t>the</w:t>
      </w:r>
      <w:r>
        <w:rPr>
          <w:spacing w:val="-7"/>
        </w:rPr>
        <w:t> </w:t>
      </w:r>
      <w:r>
        <w:rPr/>
        <w:t>cost</w:t>
      </w:r>
      <w:r>
        <w:rPr>
          <w:spacing w:val="-6"/>
        </w:rPr>
        <w:t> </w:t>
      </w:r>
      <w:r>
        <w:rPr/>
        <w:t>assessed</w:t>
      </w:r>
      <w:r>
        <w:rPr>
          <w:spacing w:val="-6"/>
        </w:rPr>
        <w:t> </w:t>
      </w:r>
      <w:r>
        <w:rPr/>
        <w:t>is</w:t>
      </w:r>
      <w:r>
        <w:rPr>
          <w:spacing w:val="-6"/>
        </w:rPr>
        <w:t> </w:t>
      </w:r>
      <w:r>
        <w:rPr/>
        <w:t>purely</w:t>
      </w:r>
      <w:r>
        <w:rPr>
          <w:spacing w:val="-7"/>
        </w:rPr>
        <w:t> </w:t>
      </w:r>
      <w:r>
        <w:rPr/>
        <w:t>purchase</w:t>
      </w:r>
      <w:r>
        <w:rPr>
          <w:spacing w:val="-7"/>
        </w:rPr>
        <w:t> </w:t>
      </w:r>
      <w:r>
        <w:rPr/>
        <w:t>costs</w:t>
      </w:r>
      <w:r>
        <w:rPr>
          <w:spacing w:val="-6"/>
        </w:rPr>
        <w:t> </w:t>
      </w:r>
      <w:r>
        <w:rPr/>
        <w:t>or</w:t>
      </w:r>
      <w:r>
        <w:rPr>
          <w:spacing w:val="-7"/>
        </w:rPr>
        <w:t> </w:t>
      </w:r>
      <w:r>
        <w:rPr/>
        <w:t>if</w:t>
      </w:r>
      <w:r>
        <w:rPr>
          <w:spacing w:val="-8"/>
        </w:rPr>
        <w:t> </w:t>
      </w:r>
      <w:r>
        <w:rPr/>
        <w:t>transportation</w:t>
      </w:r>
      <w:r>
        <w:rPr>
          <w:spacing w:val="-7"/>
        </w:rPr>
        <w:t> </w:t>
      </w:r>
      <w:r>
        <w:rPr/>
        <w:t>associated</w:t>
      </w:r>
      <w:r>
        <w:rPr>
          <w:spacing w:val="-7"/>
        </w:rPr>
        <w:t> </w:t>
      </w:r>
      <w:r>
        <w:rPr/>
        <w:t>costs</w:t>
      </w:r>
      <w:r>
        <w:rPr>
          <w:spacing w:val="-6"/>
        </w:rPr>
        <w:t> </w:t>
      </w:r>
      <w:r>
        <w:rPr/>
        <w:t>are</w:t>
      </w:r>
      <w:r>
        <w:rPr>
          <w:spacing w:val="-6"/>
        </w:rPr>
        <w:t> </w:t>
      </w:r>
      <w:r>
        <w:rPr/>
        <w:t>included.</w:t>
      </w:r>
      <w:r>
        <w:rPr>
          <w:spacing w:val="-58"/>
        </w:rPr>
        <w:t> </w:t>
      </w:r>
      <w:r>
        <w:rPr/>
        <w:t>Construction materials can vary in transportation costs based on prefabricated size for</w:t>
      </w:r>
      <w:r>
        <w:rPr>
          <w:spacing w:val="1"/>
        </w:rPr>
        <w:t> </w:t>
      </w:r>
      <w:r>
        <w:rPr/>
        <w:t>delivery,</w:t>
      </w:r>
      <w:r>
        <w:rPr>
          <w:spacing w:val="1"/>
        </w:rPr>
        <w:t> </w:t>
      </w:r>
      <w:r>
        <w:rPr/>
        <w:t>weight</w:t>
      </w:r>
      <w:r>
        <w:rPr>
          <w:spacing w:val="1"/>
        </w:rPr>
        <w:t> </w:t>
      </w:r>
      <w:r>
        <w:rPr/>
        <w:t>of the</w:t>
      </w:r>
      <w:r>
        <w:rPr>
          <w:spacing w:val="1"/>
        </w:rPr>
        <w:t> </w:t>
      </w:r>
      <w:r>
        <w:rPr/>
        <w:t>material,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distance to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transported.</w:t>
      </w:r>
      <w:r>
        <w:rPr>
          <w:spacing w:val="1"/>
        </w:rPr>
        <w:t> </w:t>
      </w:r>
      <w:r>
        <w:rPr/>
        <w:t>Depending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complexity of the scenario, transportation costs may need to be a separate criterion from</w:t>
      </w:r>
      <w:r>
        <w:rPr>
          <w:spacing w:val="1"/>
        </w:rPr>
        <w:t> </w:t>
      </w:r>
      <w:r>
        <w:rPr/>
        <w:t>material</w:t>
      </w:r>
      <w:r>
        <w:rPr>
          <w:spacing w:val="-5"/>
        </w:rPr>
        <w:t> </w:t>
      </w:r>
      <w:r>
        <w:rPr/>
        <w:t>costs,</w:t>
      </w:r>
      <w:r>
        <w:rPr>
          <w:spacing w:val="-5"/>
        </w:rPr>
        <w:t> </w:t>
      </w:r>
      <w:r>
        <w:rPr/>
        <w:t>but</w:t>
      </w:r>
      <w:r>
        <w:rPr>
          <w:spacing w:val="-5"/>
        </w:rPr>
        <w:t> </w:t>
      </w:r>
      <w:r>
        <w:rPr/>
        <w:t>given</w:t>
      </w:r>
      <w:r>
        <w:rPr>
          <w:spacing w:val="-6"/>
        </w:rPr>
        <w:t> </w:t>
      </w:r>
      <w:r>
        <w:rPr/>
        <w:t>that</w:t>
      </w:r>
      <w:r>
        <w:rPr>
          <w:spacing w:val="-6"/>
        </w:rPr>
        <w:t> </w:t>
      </w:r>
      <w:r>
        <w:rPr/>
        <w:t>these</w:t>
      </w:r>
      <w:r>
        <w:rPr>
          <w:spacing w:val="-6"/>
        </w:rPr>
        <w:t> </w:t>
      </w:r>
      <w:r>
        <w:rPr/>
        <w:t>costs</w:t>
      </w:r>
      <w:r>
        <w:rPr>
          <w:spacing w:val="-5"/>
        </w:rPr>
        <w:t> </w:t>
      </w:r>
      <w:r>
        <w:rPr/>
        <w:t>can</w:t>
      </w:r>
      <w:r>
        <w:rPr>
          <w:spacing w:val="-5"/>
        </w:rPr>
        <w:t> </w:t>
      </w:r>
      <w:r>
        <w:rPr/>
        <w:t>often</w:t>
      </w:r>
      <w:r>
        <w:rPr>
          <w:spacing w:val="-5"/>
        </w:rPr>
        <w:t> </w:t>
      </w:r>
      <w:r>
        <w:rPr/>
        <w:t>be</w:t>
      </w:r>
      <w:r>
        <w:rPr>
          <w:spacing w:val="-5"/>
        </w:rPr>
        <w:t> </w:t>
      </w:r>
      <w:r>
        <w:rPr/>
        <w:t>as</w:t>
      </w:r>
      <w:r>
        <w:rPr>
          <w:spacing w:val="-5"/>
        </w:rPr>
        <w:t> </w:t>
      </w:r>
      <w:r>
        <w:rPr/>
        <w:t>high</w:t>
      </w:r>
      <w:r>
        <w:rPr>
          <w:spacing w:val="-6"/>
        </w:rPr>
        <w:t> </w:t>
      </w:r>
      <w:r>
        <w:rPr/>
        <w:t>as</w:t>
      </w:r>
      <w:r>
        <w:rPr>
          <w:spacing w:val="-5"/>
        </w:rPr>
        <w:t> </w:t>
      </w:r>
      <w:r>
        <w:rPr/>
        <w:t>or</w:t>
      </w:r>
      <w:r>
        <w:rPr>
          <w:spacing w:val="-5"/>
        </w:rPr>
        <w:t> </w:t>
      </w:r>
      <w:r>
        <w:rPr/>
        <w:t>higher</w:t>
      </w:r>
      <w:r>
        <w:rPr>
          <w:spacing w:val="-6"/>
        </w:rPr>
        <w:t> </w:t>
      </w:r>
      <w:r>
        <w:rPr/>
        <w:t>than</w:t>
      </w:r>
      <w:r>
        <w:rPr>
          <w:spacing w:val="-4"/>
        </w:rPr>
        <w:t> </w:t>
      </w:r>
      <w:r>
        <w:rPr/>
        <w:t>the</w:t>
      </w:r>
      <w:r>
        <w:rPr>
          <w:spacing w:val="-6"/>
        </w:rPr>
        <w:t> </w:t>
      </w:r>
      <w:r>
        <w:rPr/>
        <w:t>material</w:t>
      </w:r>
      <w:r>
        <w:rPr>
          <w:spacing w:val="-58"/>
        </w:rPr>
        <w:t> </w:t>
      </w:r>
      <w:r>
        <w:rPr/>
        <w:t>costs</w:t>
      </w:r>
      <w:r>
        <w:rPr>
          <w:spacing w:val="-1"/>
        </w:rPr>
        <w:t> </w:t>
      </w:r>
      <w:r>
        <w:rPr/>
        <w:t>alone,</w:t>
      </w:r>
      <w:r>
        <w:rPr>
          <w:spacing w:val="-2"/>
        </w:rPr>
        <w:t> </w:t>
      </w:r>
      <w:r>
        <w:rPr/>
        <w:t>their</w:t>
      </w:r>
      <w:r>
        <w:rPr>
          <w:spacing w:val="-1"/>
        </w:rPr>
        <w:t> </w:t>
      </w:r>
      <w:r>
        <w:rPr/>
        <w:t>inclusion in</w:t>
      </w:r>
      <w:r>
        <w:rPr>
          <w:spacing w:val="-1"/>
        </w:rPr>
        <w:t> </w:t>
      </w:r>
      <w:r>
        <w:rPr/>
        <w:t>any decision-making framework</w:t>
      </w:r>
      <w:r>
        <w:rPr>
          <w:spacing w:val="-1"/>
        </w:rPr>
        <w:t> </w:t>
      </w:r>
      <w:r>
        <w:rPr/>
        <w:t>is essential.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440" w:right="880"/>
        </w:sectPr>
      </w:pPr>
    </w:p>
    <w:p>
      <w:pPr>
        <w:pStyle w:val="ListParagraph"/>
        <w:numPr>
          <w:ilvl w:val="2"/>
          <w:numId w:val="28"/>
        </w:numPr>
        <w:tabs>
          <w:tab w:pos="2260" w:val="left" w:leader="none"/>
        </w:tabs>
        <w:spacing w:line="240" w:lineRule="auto" w:before="79" w:after="0"/>
        <w:ind w:left="2260" w:right="0" w:hanging="540"/>
        <w:jc w:val="both"/>
        <w:rPr>
          <w:i/>
          <w:sz w:val="24"/>
        </w:rPr>
      </w:pPr>
      <w:bookmarkStart w:name="9.3.2 Logistics" w:id="595"/>
      <w:bookmarkEnd w:id="595"/>
      <w:r>
        <w:rPr/>
      </w:r>
      <w:bookmarkStart w:name="9.3.2 Logistics" w:id="596"/>
      <w:bookmarkEnd w:id="596"/>
      <w:r>
        <w:rPr>
          <w:i/>
          <w:sz w:val="24"/>
        </w:rPr>
        <w:t>L</w:t>
      </w:r>
      <w:r>
        <w:rPr>
          <w:i/>
          <w:sz w:val="24"/>
        </w:rPr>
        <w:t>ogistics</w:t>
      </w:r>
    </w:p>
    <w:p>
      <w:pPr>
        <w:pStyle w:val="BodyText"/>
        <w:spacing w:before="7"/>
        <w:rPr>
          <w:i/>
          <w:sz w:val="22"/>
        </w:rPr>
      </w:pPr>
    </w:p>
    <w:p>
      <w:pPr>
        <w:pStyle w:val="BodyText"/>
        <w:spacing w:line="480" w:lineRule="auto"/>
        <w:ind w:left="1719" w:right="557" w:firstLine="720"/>
        <w:jc w:val="both"/>
      </w:pPr>
      <w:r>
        <w:rPr/>
        <w:t>Each material alternative will have some logistical aspects to consider. These may</w:t>
      </w:r>
      <w:r>
        <w:rPr>
          <w:spacing w:val="-57"/>
        </w:rPr>
        <w:t> </w:t>
      </w:r>
      <w:r>
        <w:rPr/>
        <w:t>include time of production, locational availability, and resources required to move the</w:t>
      </w:r>
      <w:r>
        <w:rPr>
          <w:spacing w:val="1"/>
        </w:rPr>
        <w:t> </w:t>
      </w:r>
      <w:r>
        <w:rPr/>
        <w:t>material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desired</w:t>
      </w:r>
      <w:r>
        <w:rPr>
          <w:spacing w:val="1"/>
        </w:rPr>
        <w:t> </w:t>
      </w:r>
      <w:r>
        <w:rPr/>
        <w:t>end</w:t>
      </w:r>
      <w:r>
        <w:rPr>
          <w:spacing w:val="1"/>
        </w:rPr>
        <w:t> </w:t>
      </w:r>
      <w:r>
        <w:rPr/>
        <w:t>location,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haul</w:t>
      </w:r>
      <w:r>
        <w:rPr>
          <w:spacing w:val="1"/>
        </w:rPr>
        <w:t> </w:t>
      </w:r>
      <w:r>
        <w:rPr/>
        <w:t>assets,</w:t>
      </w:r>
      <w:r>
        <w:rPr>
          <w:spacing w:val="1"/>
        </w:rPr>
        <w:t> </w:t>
      </w:r>
      <w:r>
        <w:rPr/>
        <w:t>containers,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trailers.</w:t>
      </w:r>
      <w:r>
        <w:rPr>
          <w:spacing w:val="1"/>
        </w:rPr>
        <w:t> </w:t>
      </w:r>
      <w:r>
        <w:rPr/>
        <w:t>Additionally,</w:t>
      </w:r>
      <w:r>
        <w:rPr>
          <w:spacing w:val="1"/>
        </w:rPr>
        <w:t> </w:t>
      </w:r>
      <w:r>
        <w:rPr/>
        <w:t>each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logistical</w:t>
      </w:r>
      <w:r>
        <w:rPr>
          <w:spacing w:val="1"/>
        </w:rPr>
        <w:t> </w:t>
      </w:r>
      <w:r>
        <w:rPr/>
        <w:t>transport</w:t>
      </w:r>
      <w:r>
        <w:rPr>
          <w:spacing w:val="1"/>
        </w:rPr>
        <w:t> </w:t>
      </w:r>
      <w:r>
        <w:rPr/>
        <w:t>resources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associated</w:t>
      </w:r>
      <w:r>
        <w:rPr>
          <w:spacing w:val="1"/>
        </w:rPr>
        <w:t> </w:t>
      </w:r>
      <w:r>
        <w:rPr/>
        <w:t>constraints</w:t>
      </w:r>
      <w:r>
        <w:rPr>
          <w:spacing w:val="-57"/>
        </w:rPr>
        <w:t> </w:t>
      </w:r>
      <w:r>
        <w:rPr/>
        <w:t>relative to volume and weight capacities.</w:t>
      </w:r>
      <w:r>
        <w:rPr>
          <w:spacing w:val="1"/>
        </w:rPr>
        <w:t> </w:t>
      </w:r>
      <w:r>
        <w:rPr/>
        <w:t>This criteria may also include assessing the</w:t>
      </w:r>
      <w:r>
        <w:rPr>
          <w:spacing w:val="1"/>
        </w:rPr>
        <w:t> </w:t>
      </w:r>
      <w:r>
        <w:rPr/>
        <w:t>operational and maintenance requirements of</w:t>
      </w:r>
      <w:r>
        <w:rPr>
          <w:spacing w:val="1"/>
        </w:rPr>
        <w:t> </w:t>
      </w:r>
      <w:r>
        <w:rPr/>
        <w:t>the various material alternatives.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criteria</w:t>
      </w:r>
      <w:r>
        <w:rPr>
          <w:spacing w:val="-9"/>
        </w:rPr>
        <w:t> </w:t>
      </w:r>
      <w:r>
        <w:rPr/>
        <w:t>is</w:t>
      </w:r>
      <w:r>
        <w:rPr>
          <w:spacing w:val="-8"/>
        </w:rPr>
        <w:t> </w:t>
      </w:r>
      <w:r>
        <w:rPr/>
        <w:t>less</w:t>
      </w:r>
      <w:r>
        <w:rPr>
          <w:spacing w:val="-8"/>
        </w:rPr>
        <w:t> </w:t>
      </w:r>
      <w:r>
        <w:rPr/>
        <w:t>objective</w:t>
      </w:r>
      <w:r>
        <w:rPr>
          <w:spacing w:val="-8"/>
        </w:rPr>
        <w:t> </w:t>
      </w:r>
      <w:r>
        <w:rPr/>
        <w:t>than</w:t>
      </w:r>
      <w:r>
        <w:rPr>
          <w:spacing w:val="-9"/>
        </w:rPr>
        <w:t> </w:t>
      </w:r>
      <w:r>
        <w:rPr/>
        <w:t>cost</w:t>
      </w:r>
      <w:r>
        <w:rPr>
          <w:spacing w:val="-8"/>
        </w:rPr>
        <w:t> </w:t>
      </w:r>
      <w:r>
        <w:rPr/>
        <w:t>and</w:t>
      </w:r>
      <w:r>
        <w:rPr>
          <w:spacing w:val="-10"/>
        </w:rPr>
        <w:t> </w:t>
      </w:r>
      <w:r>
        <w:rPr/>
        <w:t>will</w:t>
      </w:r>
      <w:r>
        <w:rPr>
          <w:spacing w:val="-9"/>
        </w:rPr>
        <w:t> </w:t>
      </w:r>
      <w:r>
        <w:rPr/>
        <w:t>be</w:t>
      </w:r>
      <w:r>
        <w:rPr>
          <w:spacing w:val="-8"/>
        </w:rPr>
        <w:t> </w:t>
      </w:r>
      <w:r>
        <w:rPr/>
        <w:t>assessed</w:t>
      </w:r>
      <w:r>
        <w:rPr>
          <w:spacing w:val="-9"/>
        </w:rPr>
        <w:t> </w:t>
      </w:r>
      <w:r>
        <w:rPr/>
        <w:t>qualitatively.</w:t>
      </w:r>
      <w:r>
        <w:rPr>
          <w:spacing w:val="43"/>
        </w:rPr>
        <w:t> </w:t>
      </w:r>
      <w:r>
        <w:rPr/>
        <w:t>A</w:t>
      </w:r>
      <w:r>
        <w:rPr>
          <w:spacing w:val="-9"/>
        </w:rPr>
        <w:t> </w:t>
      </w:r>
      <w:r>
        <w:rPr/>
        <w:t>performance</w:t>
      </w:r>
      <w:r>
        <w:rPr>
          <w:spacing w:val="-7"/>
        </w:rPr>
        <w:t> </w:t>
      </w:r>
      <w:r>
        <w:rPr/>
        <w:t>metric</w:t>
      </w:r>
      <w:r>
        <w:rPr>
          <w:spacing w:val="-58"/>
        </w:rPr>
        <w:t> </w:t>
      </w:r>
      <w:r>
        <w:rPr/>
        <w:t>in the form of an assigned numerical value, would need to be tied to a relative scale such</w:t>
      </w:r>
      <w:r>
        <w:rPr>
          <w:spacing w:val="1"/>
        </w:rPr>
        <w:t> </w:t>
      </w:r>
      <w:r>
        <w:rPr/>
        <w:t>as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example</w:t>
      </w:r>
      <w:r>
        <w:rPr>
          <w:spacing w:val="-6"/>
        </w:rPr>
        <w:t> </w:t>
      </w:r>
      <w:r>
        <w:rPr/>
        <w:t>shown</w:t>
      </w:r>
      <w:r>
        <w:rPr>
          <w:spacing w:val="-7"/>
        </w:rPr>
        <w:t> </w:t>
      </w:r>
      <w:r>
        <w:rPr/>
        <w:t>in</w:t>
      </w:r>
      <w:r>
        <w:rPr>
          <w:spacing w:val="-7"/>
        </w:rPr>
        <w:t> </w:t>
      </w:r>
      <w:hyperlink w:history="true" w:anchor="_bookmark208">
        <w:r>
          <w:rPr/>
          <w:t>Table</w:t>
        </w:r>
        <w:r>
          <w:rPr>
            <w:spacing w:val="-7"/>
          </w:rPr>
          <w:t> </w:t>
        </w:r>
        <w:r>
          <w:rPr/>
          <w:t>9-1</w:t>
        </w:r>
        <w:r>
          <w:rPr>
            <w:spacing w:val="-7"/>
          </w:rPr>
          <w:t> </w:t>
        </w:r>
      </w:hyperlink>
      <w:r>
        <w:rPr/>
        <w:t>for</w:t>
      </w:r>
      <w:r>
        <w:rPr>
          <w:spacing w:val="-6"/>
        </w:rPr>
        <w:t> </w:t>
      </w:r>
      <w:r>
        <w:rPr/>
        <w:t>evaluation.</w:t>
      </w:r>
      <w:r>
        <w:rPr>
          <w:spacing w:val="48"/>
        </w:rPr>
        <w:t> </w:t>
      </w:r>
      <w:r>
        <w:rPr/>
        <w:t>A</w:t>
      </w:r>
      <w:r>
        <w:rPr>
          <w:spacing w:val="-7"/>
        </w:rPr>
        <w:t> </w:t>
      </w:r>
      <w:r>
        <w:rPr/>
        <w:t>fully</w:t>
      </w:r>
      <w:r>
        <w:rPr>
          <w:spacing w:val="-7"/>
        </w:rPr>
        <w:t> </w:t>
      </w:r>
      <w:r>
        <w:rPr/>
        <w:t>defined</w:t>
      </w:r>
      <w:r>
        <w:rPr>
          <w:spacing w:val="-6"/>
        </w:rPr>
        <w:t> </w:t>
      </w:r>
      <w:r>
        <w:rPr/>
        <w:t>measure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logistics</w:t>
      </w:r>
      <w:r>
        <w:rPr>
          <w:spacing w:val="-58"/>
        </w:rPr>
        <w:t> </w:t>
      </w:r>
      <w:r>
        <w:rPr/>
        <w:t>attribute</w:t>
      </w:r>
      <w:r>
        <w:rPr>
          <w:spacing w:val="-7"/>
        </w:rPr>
        <w:t> </w:t>
      </w:r>
      <w:r>
        <w:rPr/>
        <w:t>is</w:t>
      </w:r>
      <w:r>
        <w:rPr>
          <w:spacing w:val="-6"/>
        </w:rPr>
        <w:t> </w:t>
      </w:r>
      <w:r>
        <w:rPr/>
        <w:t>outside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scope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this</w:t>
      </w:r>
      <w:r>
        <w:rPr>
          <w:spacing w:val="-7"/>
        </w:rPr>
        <w:t> </w:t>
      </w:r>
      <w:r>
        <w:rPr/>
        <w:t>work.</w:t>
      </w:r>
      <w:r>
        <w:rPr>
          <w:spacing w:val="48"/>
        </w:rPr>
        <w:t> </w:t>
      </w:r>
      <w:r>
        <w:rPr/>
        <w:t>If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decision</w:t>
      </w:r>
      <w:r>
        <w:rPr>
          <w:spacing w:val="-6"/>
        </w:rPr>
        <w:t> </w:t>
      </w:r>
      <w:r>
        <w:rPr/>
        <w:t>tool</w:t>
      </w:r>
      <w:r>
        <w:rPr>
          <w:spacing w:val="-7"/>
        </w:rPr>
        <w:t> </w:t>
      </w:r>
      <w:r>
        <w:rPr/>
        <w:t>does</w:t>
      </w:r>
      <w:r>
        <w:rPr>
          <w:spacing w:val="-6"/>
        </w:rPr>
        <w:t> </w:t>
      </w:r>
      <w:r>
        <w:rPr/>
        <w:t>not</w:t>
      </w:r>
      <w:r>
        <w:rPr>
          <w:spacing w:val="-7"/>
        </w:rPr>
        <w:t> </w:t>
      </w:r>
      <w:r>
        <w:rPr/>
        <w:t>require</w:t>
      </w:r>
      <w:r>
        <w:rPr>
          <w:spacing w:val="-7"/>
        </w:rPr>
        <w:t> </w:t>
      </w:r>
      <w:r>
        <w:rPr/>
        <w:t>a</w:t>
      </w:r>
      <w:r>
        <w:rPr>
          <w:spacing w:val="-6"/>
        </w:rPr>
        <w:t> </w:t>
      </w:r>
      <w:r>
        <w:rPr/>
        <w:t>numerical</w:t>
      </w:r>
      <w:r>
        <w:rPr>
          <w:spacing w:val="-58"/>
        </w:rPr>
        <w:t> </w:t>
      </w:r>
      <w:r>
        <w:rPr/>
        <w:t>value,</w:t>
      </w:r>
      <w:r>
        <w:rPr>
          <w:spacing w:val="-15"/>
        </w:rPr>
        <w:t> </w:t>
      </w:r>
      <w:r>
        <w:rPr/>
        <w:t>the</w:t>
      </w:r>
      <w:r>
        <w:rPr>
          <w:spacing w:val="-13"/>
        </w:rPr>
        <w:t> </w:t>
      </w:r>
      <w:r>
        <w:rPr/>
        <w:t>assessed</w:t>
      </w:r>
      <w:r>
        <w:rPr>
          <w:spacing w:val="-15"/>
        </w:rPr>
        <w:t> </w:t>
      </w:r>
      <w:r>
        <w:rPr/>
        <w:t>linguistic</w:t>
      </w:r>
      <w:r>
        <w:rPr>
          <w:spacing w:val="-14"/>
        </w:rPr>
        <w:t> </w:t>
      </w:r>
      <w:r>
        <w:rPr/>
        <w:t>value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high,</w:t>
      </w:r>
      <w:r>
        <w:rPr>
          <w:spacing w:val="-13"/>
        </w:rPr>
        <w:t> </w:t>
      </w:r>
      <w:r>
        <w:rPr/>
        <w:t>medium,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low</w:t>
      </w:r>
      <w:r>
        <w:rPr>
          <w:spacing w:val="-13"/>
        </w:rPr>
        <w:t> </w:t>
      </w:r>
      <w:r>
        <w:rPr/>
        <w:t>could</w:t>
      </w:r>
      <w:r>
        <w:rPr>
          <w:spacing w:val="-13"/>
        </w:rPr>
        <w:t> </w:t>
      </w:r>
      <w:r>
        <w:rPr/>
        <w:t>also</w:t>
      </w:r>
      <w:r>
        <w:rPr>
          <w:spacing w:val="-13"/>
        </w:rPr>
        <w:t> </w:t>
      </w:r>
      <w:r>
        <w:rPr/>
        <w:t>be</w:t>
      </w:r>
      <w:r>
        <w:rPr>
          <w:spacing w:val="-14"/>
        </w:rPr>
        <w:t> </w:t>
      </w:r>
      <w:r>
        <w:rPr/>
        <w:t>used.</w:t>
      </w:r>
      <w:r>
        <w:rPr>
          <w:spacing w:val="34"/>
        </w:rPr>
        <w:t> </w:t>
      </w:r>
      <w:r>
        <w:rPr/>
        <w:t>However,</w:t>
      </w:r>
      <w:r>
        <w:rPr>
          <w:spacing w:val="-57"/>
        </w:rPr>
        <w:t> </w:t>
      </w:r>
      <w:r>
        <w:rPr/>
        <w:t>a clear and concise definition of those ratings is necessary for proper inclusion in the</w:t>
      </w:r>
      <w:r>
        <w:rPr>
          <w:spacing w:val="1"/>
        </w:rPr>
        <w:t> </w:t>
      </w:r>
      <w:r>
        <w:rPr/>
        <w:t>decision-making</w:t>
      </w:r>
      <w:r>
        <w:rPr>
          <w:spacing w:val="-1"/>
        </w:rPr>
        <w:t> </w:t>
      </w:r>
      <w:r>
        <w:rPr/>
        <w:t>tool.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spacing w:before="232"/>
        <w:ind w:left="2690" w:right="0" w:firstLine="0"/>
        <w:jc w:val="left"/>
        <w:rPr>
          <w:i/>
          <w:sz w:val="24"/>
        </w:rPr>
      </w:pPr>
      <w:bookmarkStart w:name="_bookmark208" w:id="597"/>
      <w:bookmarkEnd w:id="597"/>
      <w:r>
        <w:rPr/>
      </w:r>
      <w:r>
        <w:rPr>
          <w:i/>
          <w:sz w:val="24"/>
        </w:rPr>
        <w:t>Table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9-1.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Example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simplified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scale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logistical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considerations.</w:t>
      </w:r>
    </w:p>
    <w:p>
      <w:pPr>
        <w:pStyle w:val="BodyText"/>
        <w:spacing w:before="5"/>
        <w:rPr>
          <w:i/>
          <w:sz w:val="17"/>
        </w:rPr>
      </w:pPr>
    </w:p>
    <w:tbl>
      <w:tblPr>
        <w:tblW w:w="0" w:type="auto"/>
        <w:jc w:val="left"/>
        <w:tblInd w:w="17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82"/>
        <w:gridCol w:w="1198"/>
        <w:gridCol w:w="1594"/>
        <w:gridCol w:w="2403"/>
        <w:gridCol w:w="2575"/>
      </w:tblGrid>
      <w:tr>
        <w:trPr>
          <w:trHeight w:val="300" w:hRule="atLeast"/>
        </w:trPr>
        <w:tc>
          <w:tcPr>
            <w:tcW w:w="1980" w:type="dxa"/>
            <w:gridSpan w:val="2"/>
            <w:tcBorders>
              <w:left w:val="nil"/>
            </w:tcBorders>
            <w:shd w:val="clear" w:color="auto" w:fill="C0C0C0"/>
          </w:tcPr>
          <w:p>
            <w:pPr>
              <w:pStyle w:val="TableParagraph"/>
              <w:spacing w:line="234" w:lineRule="exact" w:before="46"/>
              <w:ind w:left="412"/>
              <w:rPr>
                <w:sz w:val="22"/>
              </w:rPr>
            </w:pPr>
            <w:r>
              <w:rPr>
                <w:sz w:val="22"/>
              </w:rPr>
              <w:t>Logistic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ease</w:t>
            </w:r>
          </w:p>
        </w:tc>
        <w:tc>
          <w:tcPr>
            <w:tcW w:w="6572" w:type="dxa"/>
            <w:gridSpan w:val="3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line="234" w:lineRule="exact" w:before="46"/>
              <w:ind w:left="2329" w:right="2336"/>
              <w:jc w:val="center"/>
              <w:rPr>
                <w:sz w:val="22"/>
              </w:rPr>
            </w:pPr>
            <w:r>
              <w:rPr>
                <w:sz w:val="22"/>
              </w:rPr>
              <w:t>Definitions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by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aspect</w:t>
            </w:r>
          </w:p>
        </w:tc>
      </w:tr>
      <w:tr>
        <w:trPr>
          <w:trHeight w:val="613" w:hRule="atLeast"/>
        </w:trPr>
        <w:tc>
          <w:tcPr>
            <w:tcW w:w="782" w:type="dxa"/>
            <w:tcBorders>
              <w:left w:val="nil"/>
              <w:bottom w:val="single" w:sz="8" w:space="0" w:color="000000"/>
              <w:right w:val="nil"/>
            </w:tcBorders>
            <w:shd w:val="clear" w:color="auto" w:fill="C0C0C0"/>
          </w:tcPr>
          <w:p>
            <w:pPr>
              <w:pStyle w:val="TableParagraph"/>
              <w:spacing w:before="3"/>
              <w:rPr>
                <w:i/>
                <w:sz w:val="31"/>
              </w:rPr>
            </w:pPr>
          </w:p>
          <w:p>
            <w:pPr>
              <w:pStyle w:val="TableParagraph"/>
              <w:spacing w:line="234" w:lineRule="exact"/>
              <w:ind w:left="135" w:right="130"/>
              <w:jc w:val="center"/>
              <w:rPr>
                <w:sz w:val="22"/>
              </w:rPr>
            </w:pPr>
            <w:r>
              <w:rPr>
                <w:sz w:val="22"/>
              </w:rPr>
              <w:t>Scale</w:t>
            </w:r>
          </w:p>
        </w:tc>
        <w:tc>
          <w:tcPr>
            <w:tcW w:w="1198" w:type="dxa"/>
            <w:tcBorders>
              <w:left w:val="nil"/>
              <w:bottom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before="3"/>
              <w:rPr>
                <w:i/>
                <w:sz w:val="31"/>
              </w:rPr>
            </w:pPr>
          </w:p>
          <w:p>
            <w:pPr>
              <w:pStyle w:val="TableParagraph"/>
              <w:spacing w:line="234" w:lineRule="exact"/>
              <w:ind w:left="130" w:right="118"/>
              <w:jc w:val="center"/>
              <w:rPr>
                <w:sz w:val="22"/>
              </w:rPr>
            </w:pPr>
            <w:r>
              <w:rPr>
                <w:sz w:val="22"/>
              </w:rPr>
              <w:t>Definition</w:t>
            </w:r>
          </w:p>
        </w:tc>
        <w:tc>
          <w:tcPr>
            <w:tcW w:w="1594" w:type="dxa"/>
            <w:tcBorders>
              <w:bottom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line="252" w:lineRule="exact" w:before="90"/>
              <w:ind w:left="128" w:right="124" w:firstLine="180"/>
              <w:rPr>
                <w:sz w:val="22"/>
              </w:rPr>
            </w:pPr>
            <w:r>
              <w:rPr>
                <w:sz w:val="22"/>
              </w:rPr>
              <w:t>Production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Time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Required</w:t>
            </w:r>
          </w:p>
        </w:tc>
        <w:tc>
          <w:tcPr>
            <w:tcW w:w="2403" w:type="dxa"/>
            <w:tcBorders>
              <w:bottom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before="3"/>
              <w:rPr>
                <w:i/>
                <w:sz w:val="31"/>
              </w:rPr>
            </w:pPr>
          </w:p>
          <w:p>
            <w:pPr>
              <w:pStyle w:val="TableParagraph"/>
              <w:spacing w:line="234" w:lineRule="exact"/>
              <w:ind w:left="102"/>
              <w:rPr>
                <w:sz w:val="22"/>
              </w:rPr>
            </w:pPr>
            <w:r>
              <w:rPr>
                <w:sz w:val="22"/>
              </w:rPr>
              <w:t>Locational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Availability</w:t>
            </w:r>
          </w:p>
        </w:tc>
        <w:tc>
          <w:tcPr>
            <w:tcW w:w="2575" w:type="dxa"/>
            <w:tcBorders>
              <w:bottom w:val="single" w:sz="8" w:space="0" w:color="000000"/>
              <w:right w:val="nil"/>
            </w:tcBorders>
            <w:shd w:val="clear" w:color="auto" w:fill="C0C0C0"/>
          </w:tcPr>
          <w:p>
            <w:pPr>
              <w:pStyle w:val="TableParagraph"/>
              <w:spacing w:before="3"/>
              <w:rPr>
                <w:i/>
                <w:sz w:val="31"/>
              </w:rPr>
            </w:pPr>
          </w:p>
          <w:p>
            <w:pPr>
              <w:pStyle w:val="TableParagraph"/>
              <w:spacing w:line="234" w:lineRule="exact"/>
              <w:ind w:left="275"/>
              <w:rPr>
                <w:sz w:val="22"/>
              </w:rPr>
            </w:pPr>
            <w:r>
              <w:rPr>
                <w:sz w:val="22"/>
              </w:rPr>
              <w:t>Resource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Requirement</w:t>
            </w:r>
          </w:p>
        </w:tc>
      </w:tr>
      <w:tr>
        <w:trPr>
          <w:trHeight w:val="506" w:hRule="atLeast"/>
        </w:trPr>
        <w:tc>
          <w:tcPr>
            <w:tcW w:w="782" w:type="dxa"/>
            <w:tcBorders>
              <w:top w:val="single" w:sz="8" w:space="0" w:color="000000"/>
              <w:left w:val="nil"/>
              <w:right w:val="nil"/>
            </w:tcBorders>
          </w:tcPr>
          <w:p>
            <w:pPr>
              <w:pStyle w:val="TableParagraph"/>
              <w:spacing w:before="125"/>
              <w:ind w:left="7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1</w:t>
            </w:r>
          </w:p>
        </w:tc>
        <w:tc>
          <w:tcPr>
            <w:tcW w:w="1198" w:type="dxa"/>
            <w:tcBorders>
              <w:top w:val="single" w:sz="8" w:space="0" w:color="000000"/>
              <w:left w:val="nil"/>
            </w:tcBorders>
          </w:tcPr>
          <w:p>
            <w:pPr>
              <w:pStyle w:val="TableParagraph"/>
              <w:spacing w:before="125"/>
              <w:ind w:left="130" w:right="118"/>
              <w:jc w:val="center"/>
              <w:rPr>
                <w:sz w:val="22"/>
              </w:rPr>
            </w:pPr>
            <w:r>
              <w:rPr>
                <w:sz w:val="22"/>
              </w:rPr>
              <w:t>Very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low</w:t>
            </w:r>
          </w:p>
        </w:tc>
        <w:tc>
          <w:tcPr>
            <w:tcW w:w="1594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54" w:lineRule="exact"/>
              <w:ind w:left="103" w:right="562"/>
              <w:rPr>
                <w:sz w:val="22"/>
              </w:rPr>
            </w:pPr>
            <w:r>
              <w:rPr>
                <w:sz w:val="22"/>
              </w:rPr>
              <w:t>Months to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years</w:t>
            </w:r>
          </w:p>
        </w:tc>
        <w:tc>
          <w:tcPr>
            <w:tcW w:w="2403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52" w:lineRule="exact"/>
              <w:ind w:left="102"/>
              <w:rPr>
                <w:sz w:val="22"/>
              </w:rPr>
            </w:pPr>
            <w:r>
              <w:rPr>
                <w:sz w:val="22"/>
              </w:rPr>
              <w:t>Unavailable</w:t>
            </w:r>
          </w:p>
        </w:tc>
        <w:tc>
          <w:tcPr>
            <w:tcW w:w="2575" w:type="dxa"/>
            <w:tcBorders>
              <w:top w:val="single" w:sz="8" w:space="0" w:color="000000"/>
              <w:right w:val="nil"/>
            </w:tcBorders>
          </w:tcPr>
          <w:p>
            <w:pPr>
              <w:pStyle w:val="TableParagraph"/>
              <w:spacing w:line="254" w:lineRule="exact"/>
              <w:ind w:left="101" w:right="848"/>
              <w:rPr>
                <w:sz w:val="22"/>
              </w:rPr>
            </w:pPr>
            <w:r>
              <w:rPr>
                <w:sz w:val="22"/>
              </w:rPr>
              <w:t>Intensive, specific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requirements</w:t>
            </w:r>
          </w:p>
        </w:tc>
      </w:tr>
      <w:tr>
        <w:trPr>
          <w:trHeight w:val="505" w:hRule="atLeast"/>
        </w:trPr>
        <w:tc>
          <w:tcPr>
            <w:tcW w:w="782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123"/>
              <w:ind w:left="7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2</w:t>
            </w:r>
          </w:p>
        </w:tc>
        <w:tc>
          <w:tcPr>
            <w:tcW w:w="1198" w:type="dxa"/>
            <w:tcBorders>
              <w:left w:val="nil"/>
            </w:tcBorders>
          </w:tcPr>
          <w:p>
            <w:pPr>
              <w:pStyle w:val="TableParagraph"/>
              <w:spacing w:before="123"/>
              <w:ind w:left="130" w:right="118"/>
              <w:jc w:val="center"/>
              <w:rPr>
                <w:sz w:val="22"/>
              </w:rPr>
            </w:pPr>
            <w:r>
              <w:rPr>
                <w:sz w:val="22"/>
              </w:rPr>
              <w:t>Low</w:t>
            </w:r>
          </w:p>
        </w:tc>
        <w:tc>
          <w:tcPr>
            <w:tcW w:w="1594" w:type="dxa"/>
          </w:tcPr>
          <w:p>
            <w:pPr>
              <w:pStyle w:val="TableParagraph"/>
              <w:spacing w:line="254" w:lineRule="exact"/>
              <w:ind w:left="103" w:right="642"/>
              <w:rPr>
                <w:sz w:val="22"/>
              </w:rPr>
            </w:pPr>
            <w:r>
              <w:rPr>
                <w:spacing w:val="-1"/>
                <w:sz w:val="22"/>
              </w:rPr>
              <w:t>Weeks </w:t>
            </w:r>
            <w:r>
              <w:rPr>
                <w:sz w:val="22"/>
              </w:rPr>
              <w:t>to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months</w:t>
            </w:r>
          </w:p>
        </w:tc>
        <w:tc>
          <w:tcPr>
            <w:tcW w:w="2403" w:type="dxa"/>
          </w:tcPr>
          <w:p>
            <w:pPr>
              <w:pStyle w:val="TableParagraph"/>
              <w:spacing w:line="254" w:lineRule="exact"/>
              <w:ind w:left="102" w:right="505"/>
              <w:rPr>
                <w:sz w:val="22"/>
              </w:rPr>
            </w:pPr>
            <w:r>
              <w:rPr>
                <w:sz w:val="22"/>
              </w:rPr>
              <w:t>Requires significant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shipping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time</w:t>
            </w:r>
          </w:p>
        </w:tc>
        <w:tc>
          <w:tcPr>
            <w:tcW w:w="2575" w:type="dxa"/>
            <w:tcBorders>
              <w:right w:val="nil"/>
            </w:tcBorders>
          </w:tcPr>
          <w:p>
            <w:pPr>
              <w:pStyle w:val="TableParagraph"/>
              <w:spacing w:line="250" w:lineRule="exact"/>
              <w:ind w:left="101"/>
              <w:rPr>
                <w:sz w:val="22"/>
              </w:rPr>
            </w:pPr>
            <w:r>
              <w:rPr>
                <w:sz w:val="22"/>
              </w:rPr>
              <w:t>Many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resources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required</w:t>
            </w:r>
          </w:p>
        </w:tc>
      </w:tr>
      <w:tr>
        <w:trPr>
          <w:trHeight w:val="296" w:hRule="atLeast"/>
        </w:trPr>
        <w:tc>
          <w:tcPr>
            <w:tcW w:w="782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18"/>
              <w:ind w:left="7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3</w:t>
            </w:r>
          </w:p>
        </w:tc>
        <w:tc>
          <w:tcPr>
            <w:tcW w:w="1198" w:type="dxa"/>
            <w:tcBorders>
              <w:left w:val="nil"/>
            </w:tcBorders>
          </w:tcPr>
          <w:p>
            <w:pPr>
              <w:pStyle w:val="TableParagraph"/>
              <w:spacing w:before="18"/>
              <w:ind w:left="130" w:right="117"/>
              <w:jc w:val="center"/>
              <w:rPr>
                <w:sz w:val="22"/>
              </w:rPr>
            </w:pPr>
            <w:r>
              <w:rPr>
                <w:sz w:val="22"/>
              </w:rPr>
              <w:t>Moderate</w:t>
            </w:r>
          </w:p>
        </w:tc>
        <w:tc>
          <w:tcPr>
            <w:tcW w:w="1594" w:type="dxa"/>
          </w:tcPr>
          <w:p>
            <w:pPr>
              <w:pStyle w:val="TableParagraph"/>
              <w:spacing w:line="248" w:lineRule="exact"/>
              <w:ind w:left="103"/>
              <w:rPr>
                <w:sz w:val="22"/>
              </w:rPr>
            </w:pPr>
            <w:r>
              <w:rPr>
                <w:sz w:val="22"/>
              </w:rPr>
              <w:t>Weeks</w:t>
            </w:r>
          </w:p>
        </w:tc>
        <w:tc>
          <w:tcPr>
            <w:tcW w:w="2403" w:type="dxa"/>
          </w:tcPr>
          <w:p>
            <w:pPr>
              <w:pStyle w:val="TableParagraph"/>
              <w:spacing w:line="248" w:lineRule="exact"/>
              <w:ind w:left="102"/>
              <w:rPr>
                <w:sz w:val="22"/>
              </w:rPr>
            </w:pPr>
            <w:r>
              <w:rPr>
                <w:sz w:val="22"/>
              </w:rPr>
              <w:t>Moderate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shipping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time</w:t>
            </w:r>
          </w:p>
        </w:tc>
        <w:tc>
          <w:tcPr>
            <w:tcW w:w="2575" w:type="dxa"/>
            <w:tcBorders>
              <w:right w:val="nil"/>
            </w:tcBorders>
          </w:tcPr>
          <w:p>
            <w:pPr>
              <w:pStyle w:val="TableParagraph"/>
              <w:spacing w:line="248" w:lineRule="exact"/>
              <w:ind w:left="101"/>
              <w:rPr>
                <w:sz w:val="22"/>
              </w:rPr>
            </w:pPr>
            <w:r>
              <w:rPr>
                <w:sz w:val="22"/>
              </w:rPr>
              <w:t>Some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resources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required</w:t>
            </w:r>
          </w:p>
        </w:tc>
      </w:tr>
      <w:tr>
        <w:trPr>
          <w:trHeight w:val="759" w:hRule="atLeast"/>
        </w:trPr>
        <w:tc>
          <w:tcPr>
            <w:tcW w:w="782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ind w:left="7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4</w:t>
            </w:r>
          </w:p>
        </w:tc>
        <w:tc>
          <w:tcPr>
            <w:tcW w:w="1198" w:type="dxa"/>
            <w:tcBorders>
              <w:left w:val="nil"/>
            </w:tcBorders>
          </w:tcPr>
          <w:p>
            <w:pPr>
              <w:pStyle w:val="TableParagraph"/>
              <w:spacing w:before="10"/>
              <w:rPr>
                <w:i/>
                <w:sz w:val="21"/>
              </w:rPr>
            </w:pPr>
          </w:p>
          <w:p>
            <w:pPr>
              <w:pStyle w:val="TableParagraph"/>
              <w:ind w:left="128" w:right="118"/>
              <w:jc w:val="center"/>
              <w:rPr>
                <w:sz w:val="22"/>
              </w:rPr>
            </w:pPr>
            <w:r>
              <w:rPr>
                <w:sz w:val="22"/>
              </w:rPr>
              <w:t>High</w:t>
            </w:r>
          </w:p>
        </w:tc>
        <w:tc>
          <w:tcPr>
            <w:tcW w:w="1594" w:type="dxa"/>
          </w:tcPr>
          <w:p>
            <w:pPr>
              <w:pStyle w:val="TableParagraph"/>
              <w:spacing w:line="251" w:lineRule="exact"/>
              <w:ind w:left="103"/>
              <w:rPr>
                <w:sz w:val="22"/>
              </w:rPr>
            </w:pPr>
            <w:r>
              <w:rPr>
                <w:sz w:val="22"/>
              </w:rPr>
              <w:t>Days</w:t>
            </w:r>
          </w:p>
        </w:tc>
        <w:tc>
          <w:tcPr>
            <w:tcW w:w="2403" w:type="dxa"/>
          </w:tcPr>
          <w:p>
            <w:pPr>
              <w:pStyle w:val="TableParagraph"/>
              <w:spacing w:line="254" w:lineRule="exact"/>
              <w:ind w:left="102" w:right="303"/>
              <w:rPr>
                <w:sz w:val="22"/>
              </w:rPr>
            </w:pPr>
            <w:r>
              <w:rPr>
                <w:sz w:val="22"/>
              </w:rPr>
              <w:t>Readily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available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with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minimal shipping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requirements</w:t>
            </w:r>
          </w:p>
        </w:tc>
        <w:tc>
          <w:tcPr>
            <w:tcW w:w="2575" w:type="dxa"/>
            <w:tcBorders>
              <w:right w:val="nil"/>
            </w:tcBorders>
          </w:tcPr>
          <w:p>
            <w:pPr>
              <w:pStyle w:val="TableParagraph"/>
              <w:ind w:left="101" w:right="170"/>
              <w:rPr>
                <w:sz w:val="22"/>
              </w:rPr>
            </w:pPr>
            <w:r>
              <w:rPr>
                <w:sz w:val="22"/>
              </w:rPr>
              <w:t>Minor resources required,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commonly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available</w:t>
            </w:r>
          </w:p>
        </w:tc>
      </w:tr>
      <w:tr>
        <w:trPr>
          <w:trHeight w:val="296" w:hRule="atLeast"/>
        </w:trPr>
        <w:tc>
          <w:tcPr>
            <w:tcW w:w="782" w:type="dxa"/>
            <w:tcBorders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19"/>
              <w:ind w:left="7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5</w:t>
            </w:r>
          </w:p>
        </w:tc>
        <w:tc>
          <w:tcPr>
            <w:tcW w:w="1198" w:type="dxa"/>
            <w:tcBorders>
              <w:left w:val="nil"/>
              <w:bottom w:val="nil"/>
            </w:tcBorders>
          </w:tcPr>
          <w:p>
            <w:pPr>
              <w:pStyle w:val="TableParagraph"/>
              <w:spacing w:before="19"/>
              <w:ind w:left="130" w:right="117"/>
              <w:jc w:val="center"/>
              <w:rPr>
                <w:sz w:val="22"/>
              </w:rPr>
            </w:pPr>
            <w:r>
              <w:rPr>
                <w:sz w:val="22"/>
              </w:rPr>
              <w:t>Very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high</w:t>
            </w:r>
          </w:p>
        </w:tc>
        <w:tc>
          <w:tcPr>
            <w:tcW w:w="1594" w:type="dxa"/>
            <w:tcBorders>
              <w:bottom w:val="nil"/>
            </w:tcBorders>
          </w:tcPr>
          <w:p>
            <w:pPr>
              <w:pStyle w:val="TableParagraph"/>
              <w:spacing w:line="249" w:lineRule="exact"/>
              <w:ind w:left="103"/>
              <w:rPr>
                <w:sz w:val="22"/>
              </w:rPr>
            </w:pPr>
            <w:r>
              <w:rPr>
                <w:sz w:val="22"/>
              </w:rPr>
              <w:t>On-hand</w:t>
            </w:r>
          </w:p>
        </w:tc>
        <w:tc>
          <w:tcPr>
            <w:tcW w:w="2403" w:type="dxa"/>
            <w:tcBorders>
              <w:bottom w:val="nil"/>
            </w:tcBorders>
          </w:tcPr>
          <w:p>
            <w:pPr>
              <w:pStyle w:val="TableParagraph"/>
              <w:spacing w:line="249" w:lineRule="exact"/>
              <w:ind w:left="102"/>
              <w:rPr>
                <w:sz w:val="22"/>
              </w:rPr>
            </w:pPr>
            <w:r>
              <w:rPr>
                <w:sz w:val="22"/>
              </w:rPr>
              <w:t>Immediately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available</w:t>
            </w:r>
          </w:p>
        </w:tc>
        <w:tc>
          <w:tcPr>
            <w:tcW w:w="2575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249" w:lineRule="exact"/>
              <w:ind w:left="101"/>
              <w:rPr>
                <w:sz w:val="22"/>
              </w:rPr>
            </w:pPr>
            <w:r>
              <w:rPr>
                <w:sz w:val="22"/>
              </w:rPr>
              <w:t>No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resources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required</w:t>
            </w:r>
          </w:p>
        </w:tc>
      </w:tr>
    </w:tbl>
    <w:p>
      <w:pPr>
        <w:spacing w:after="0" w:line="249" w:lineRule="exact"/>
        <w:rPr>
          <w:sz w:val="22"/>
        </w:rPr>
        <w:sectPr>
          <w:pgSz w:w="12240" w:h="15840"/>
          <w:pgMar w:header="0" w:footer="1064" w:top="1360" w:bottom="1260" w:left="440" w:right="880"/>
        </w:sectPr>
      </w:pPr>
    </w:p>
    <w:p>
      <w:pPr>
        <w:pStyle w:val="ListParagraph"/>
        <w:numPr>
          <w:ilvl w:val="2"/>
          <w:numId w:val="28"/>
        </w:numPr>
        <w:tabs>
          <w:tab w:pos="2260" w:val="left" w:leader="none"/>
        </w:tabs>
        <w:spacing w:line="240" w:lineRule="auto" w:before="60" w:after="0"/>
        <w:ind w:left="2260" w:right="0" w:hanging="540"/>
        <w:jc w:val="both"/>
        <w:rPr>
          <w:i/>
          <w:sz w:val="24"/>
        </w:rPr>
      </w:pPr>
      <w:bookmarkStart w:name="9.3.3 Energy Efficiency" w:id="598"/>
      <w:bookmarkEnd w:id="598"/>
      <w:r>
        <w:rPr/>
      </w:r>
      <w:bookmarkStart w:name="9.3.3 Energy Efficiency" w:id="599"/>
      <w:bookmarkEnd w:id="599"/>
      <w:r>
        <w:rPr>
          <w:i/>
          <w:sz w:val="24"/>
        </w:rPr>
        <w:t>E</w:t>
      </w:r>
      <w:r>
        <w:rPr>
          <w:i/>
          <w:sz w:val="24"/>
        </w:rPr>
        <w:t>nergy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Efficiency</w:t>
      </w:r>
    </w:p>
    <w:p>
      <w:pPr>
        <w:pStyle w:val="BodyText"/>
        <w:spacing w:before="6"/>
        <w:rPr>
          <w:i/>
          <w:sz w:val="22"/>
        </w:rPr>
      </w:pPr>
    </w:p>
    <w:p>
      <w:pPr>
        <w:pStyle w:val="BodyText"/>
        <w:spacing w:line="480" w:lineRule="auto"/>
        <w:ind w:left="1719" w:right="556" w:firstLine="720"/>
        <w:jc w:val="both"/>
      </w:pPr>
      <w:r>
        <w:rPr/>
        <w:t>Different</w:t>
      </w:r>
      <w:r>
        <w:rPr>
          <w:spacing w:val="-13"/>
        </w:rPr>
        <w:t> </w:t>
      </w:r>
      <w:r>
        <w:rPr/>
        <w:t>measurements</w:t>
      </w:r>
      <w:r>
        <w:rPr>
          <w:spacing w:val="-13"/>
        </w:rPr>
        <w:t> </w:t>
      </w:r>
      <w:r>
        <w:rPr/>
        <w:t>can</w:t>
      </w:r>
      <w:r>
        <w:rPr>
          <w:spacing w:val="-13"/>
        </w:rPr>
        <w:t> </w:t>
      </w:r>
      <w:r>
        <w:rPr/>
        <w:t>be</w:t>
      </w:r>
      <w:r>
        <w:rPr>
          <w:spacing w:val="-12"/>
        </w:rPr>
        <w:t> </w:t>
      </w:r>
      <w:r>
        <w:rPr/>
        <w:t>used</w:t>
      </w:r>
      <w:r>
        <w:rPr>
          <w:spacing w:val="-13"/>
        </w:rPr>
        <w:t> </w:t>
      </w:r>
      <w:r>
        <w:rPr/>
        <w:t>in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AEC</w:t>
      </w:r>
      <w:r>
        <w:rPr>
          <w:spacing w:val="-13"/>
        </w:rPr>
        <w:t> </w:t>
      </w:r>
      <w:r>
        <w:rPr/>
        <w:t>industry</w:t>
      </w:r>
      <w:r>
        <w:rPr>
          <w:spacing w:val="-13"/>
        </w:rPr>
        <w:t> </w:t>
      </w:r>
      <w:r>
        <w:rPr/>
        <w:t>for</w:t>
      </w:r>
      <w:r>
        <w:rPr>
          <w:spacing w:val="-13"/>
        </w:rPr>
        <w:t> </w:t>
      </w:r>
      <w:r>
        <w:rPr/>
        <w:t>energy</w:t>
      </w:r>
      <w:r>
        <w:rPr>
          <w:spacing w:val="-13"/>
        </w:rPr>
        <w:t> </w:t>
      </w:r>
      <w:r>
        <w:rPr/>
        <w:t>efficiency.</w:t>
      </w:r>
      <w:r>
        <w:rPr>
          <w:spacing w:val="35"/>
        </w:rPr>
        <w:t> </w:t>
      </w:r>
      <w:r>
        <w:rPr/>
        <w:t>For</w:t>
      </w:r>
      <w:r>
        <w:rPr>
          <w:spacing w:val="-58"/>
        </w:rPr>
        <w:t> </w:t>
      </w:r>
      <w:r>
        <w:rPr/>
        <w:t>temporary military structures, the circumstances are different from typical construction</w:t>
      </w:r>
      <w:r>
        <w:rPr>
          <w:spacing w:val="1"/>
        </w:rPr>
        <w:t> </w:t>
      </w:r>
      <w:r>
        <w:rPr/>
        <w:t>types in that the standard of comfort is different and the equipment used for heating, air</w:t>
      </w:r>
      <w:r>
        <w:rPr>
          <w:spacing w:val="1"/>
        </w:rPr>
        <w:t> </w:t>
      </w:r>
      <w:r>
        <w:rPr>
          <w:spacing w:val="-1"/>
        </w:rPr>
        <w:t>conditioning</w:t>
      </w:r>
      <w:r>
        <w:rPr>
          <w:spacing w:val="-14"/>
        </w:rPr>
        <w:t> </w:t>
      </w:r>
      <w:r>
        <w:rPr>
          <w:spacing w:val="-1"/>
        </w:rPr>
        <w:t>and</w:t>
      </w:r>
      <w:r>
        <w:rPr>
          <w:spacing w:val="-11"/>
        </w:rPr>
        <w:t> </w:t>
      </w:r>
      <w:r>
        <w:rPr>
          <w:spacing w:val="-1"/>
        </w:rPr>
        <w:t>ventilation</w:t>
      </w:r>
      <w:r>
        <w:rPr>
          <w:spacing w:val="-12"/>
        </w:rPr>
        <w:t> </w:t>
      </w:r>
      <w:r>
        <w:rPr/>
        <w:t>(HVAC)</w:t>
      </w:r>
      <w:r>
        <w:rPr>
          <w:spacing w:val="-11"/>
        </w:rPr>
        <w:t> </w:t>
      </w:r>
      <w:r>
        <w:rPr/>
        <w:t>is</w:t>
      </w:r>
      <w:r>
        <w:rPr>
          <w:spacing w:val="-11"/>
        </w:rPr>
        <w:t> </w:t>
      </w:r>
      <w:r>
        <w:rPr/>
        <w:t>also</w:t>
      </w:r>
      <w:r>
        <w:rPr>
          <w:spacing w:val="-12"/>
        </w:rPr>
        <w:t> </w:t>
      </w:r>
      <w:r>
        <w:rPr/>
        <w:t>temporary</w:t>
      </w:r>
      <w:r>
        <w:rPr>
          <w:spacing w:val="-13"/>
        </w:rPr>
        <w:t> </w:t>
      </w:r>
      <w:r>
        <w:rPr/>
        <w:t>in</w:t>
      </w:r>
      <w:r>
        <w:rPr>
          <w:spacing w:val="-11"/>
        </w:rPr>
        <w:t> </w:t>
      </w:r>
      <w:r>
        <w:rPr/>
        <w:t>nature.</w:t>
      </w:r>
      <w:r>
        <w:rPr>
          <w:spacing w:val="37"/>
        </w:rPr>
        <w:t> </w:t>
      </w:r>
      <w:r>
        <w:rPr/>
        <w:t>These</w:t>
      </w:r>
      <w:r>
        <w:rPr>
          <w:spacing w:val="-12"/>
        </w:rPr>
        <w:t> </w:t>
      </w:r>
      <w:r>
        <w:rPr/>
        <w:t>two</w:t>
      </w:r>
      <w:r>
        <w:rPr>
          <w:spacing w:val="-12"/>
        </w:rPr>
        <w:t> </w:t>
      </w:r>
      <w:r>
        <w:rPr/>
        <w:t>facts</w:t>
      </w:r>
      <w:r>
        <w:rPr>
          <w:spacing w:val="-11"/>
        </w:rPr>
        <w:t> </w:t>
      </w:r>
      <w:r>
        <w:rPr/>
        <w:t>combine</w:t>
      </w:r>
      <w:r>
        <w:rPr>
          <w:spacing w:val="-58"/>
        </w:rPr>
        <w:t> </w:t>
      </w:r>
      <w:r>
        <w:rPr/>
        <w:t>to provide a unique scenario for energy efficiency evaluation.</w:t>
      </w:r>
      <w:r>
        <w:rPr>
          <w:spacing w:val="1"/>
        </w:rPr>
        <w:t> </w:t>
      </w:r>
      <w:r>
        <w:rPr/>
        <w:t>To achieve an accurate</w:t>
      </w:r>
      <w:r>
        <w:rPr>
          <w:spacing w:val="1"/>
        </w:rPr>
        <w:t> </w:t>
      </w:r>
      <w:r>
        <w:rPr/>
        <w:t>energy efficiency valuation of a construction material, a model estimating the building</w:t>
      </w:r>
      <w:r>
        <w:rPr>
          <w:spacing w:val="1"/>
        </w:rPr>
        <w:t> </w:t>
      </w:r>
      <w:r>
        <w:rPr/>
        <w:t>energy performance metrics could be developed for each material type.</w:t>
      </w:r>
      <w:r>
        <w:rPr>
          <w:spacing w:val="1"/>
        </w:rPr>
        <w:t> </w:t>
      </w:r>
      <w:r>
        <w:rPr/>
        <w:t>Alternatively, a</w:t>
      </w:r>
      <w:r>
        <w:rPr>
          <w:spacing w:val="1"/>
        </w:rPr>
        <w:t> </w:t>
      </w:r>
      <w:r>
        <w:rPr/>
        <w:t>simplified</w:t>
      </w:r>
      <w:r>
        <w:rPr>
          <w:spacing w:val="-14"/>
        </w:rPr>
        <w:t> </w:t>
      </w:r>
      <w:r>
        <w:rPr/>
        <w:t>assessment</w:t>
      </w:r>
      <w:r>
        <w:rPr>
          <w:spacing w:val="-14"/>
        </w:rPr>
        <w:t> </w:t>
      </w:r>
      <w:r>
        <w:rPr/>
        <w:t>could</w:t>
      </w:r>
      <w:r>
        <w:rPr>
          <w:spacing w:val="-13"/>
        </w:rPr>
        <w:t> </w:t>
      </w:r>
      <w:r>
        <w:rPr/>
        <w:t>compare</w:t>
      </w:r>
      <w:r>
        <w:rPr>
          <w:spacing w:val="-14"/>
        </w:rPr>
        <w:t> </w:t>
      </w:r>
      <w:r>
        <w:rPr/>
        <w:t>the</w:t>
      </w:r>
      <w:r>
        <w:rPr>
          <w:spacing w:val="-13"/>
        </w:rPr>
        <w:t> </w:t>
      </w:r>
      <w:r>
        <w:rPr/>
        <w:t>thermal</w:t>
      </w:r>
      <w:r>
        <w:rPr>
          <w:spacing w:val="-14"/>
        </w:rPr>
        <w:t> </w:t>
      </w:r>
      <w:r>
        <w:rPr/>
        <w:t>resistance</w:t>
      </w:r>
      <w:r>
        <w:rPr>
          <w:spacing w:val="-13"/>
        </w:rPr>
        <w:t> </w:t>
      </w:r>
      <w:r>
        <w:rPr/>
        <w:t>performance</w:t>
      </w:r>
      <w:r>
        <w:rPr>
          <w:spacing w:val="-14"/>
        </w:rPr>
        <w:t> </w:t>
      </w:r>
      <w:r>
        <w:rPr/>
        <w:t>using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R-value</w:t>
      </w:r>
      <w:r>
        <w:rPr>
          <w:spacing w:val="-58"/>
        </w:rPr>
        <w:t> </w:t>
      </w:r>
      <w:r>
        <w:rPr/>
        <w:t>of the basic material or proposed building envelope assembly [26, 70].</w:t>
      </w:r>
      <w:r>
        <w:rPr>
          <w:spacing w:val="1"/>
        </w:rPr>
        <w:t> </w:t>
      </w:r>
      <w:r>
        <w:rPr/>
        <w:t>The R-value is a</w:t>
      </w:r>
      <w:r>
        <w:rPr>
          <w:spacing w:val="1"/>
        </w:rPr>
        <w:t> </w:t>
      </w:r>
      <w:r>
        <w:rPr/>
        <w:t>commonly used measure of insulating effectiveness.</w:t>
      </w:r>
      <w:r>
        <w:rPr>
          <w:spacing w:val="1"/>
        </w:rPr>
        <w:t> </w:t>
      </w:r>
      <w:r>
        <w:rPr/>
        <w:t>Both of these methodologies could</w:t>
      </w:r>
      <w:r>
        <w:rPr>
          <w:spacing w:val="1"/>
        </w:rPr>
        <w:t> </w:t>
      </w:r>
      <w:r>
        <w:rPr/>
        <w:t>be employed for temporary military structure evaluation. To accurately model and predict</w:t>
      </w:r>
      <w:r>
        <w:rPr>
          <w:spacing w:val="-57"/>
        </w:rPr>
        <w:t> </w:t>
      </w:r>
      <w:r>
        <w:rPr/>
        <w:t>the performance in terms of energy efficiency, additional information would be required</w:t>
      </w:r>
      <w:r>
        <w:rPr>
          <w:spacing w:val="1"/>
        </w:rPr>
        <w:t> </w:t>
      </w:r>
      <w:r>
        <w:rPr/>
        <w:t>such</w:t>
      </w:r>
      <w:r>
        <w:rPr>
          <w:spacing w:val="-7"/>
        </w:rPr>
        <w:t> </w:t>
      </w:r>
      <w:r>
        <w:rPr/>
        <w:t>as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environmental</w:t>
      </w:r>
      <w:r>
        <w:rPr>
          <w:spacing w:val="-6"/>
        </w:rPr>
        <w:t> </w:t>
      </w:r>
      <w:r>
        <w:rPr/>
        <w:t>operating</w:t>
      </w:r>
      <w:r>
        <w:rPr>
          <w:spacing w:val="-7"/>
        </w:rPr>
        <w:t> </w:t>
      </w:r>
      <w:r>
        <w:rPr/>
        <w:t>conditions,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building</w:t>
      </w:r>
      <w:r>
        <w:rPr>
          <w:spacing w:val="-6"/>
        </w:rPr>
        <w:t> </w:t>
      </w:r>
      <w:r>
        <w:rPr/>
        <w:t>design,</w:t>
      </w:r>
      <w:r>
        <w:rPr>
          <w:spacing w:val="-8"/>
        </w:rPr>
        <w:t> </w:t>
      </w:r>
      <w:r>
        <w:rPr/>
        <w:t>layout</w:t>
      </w:r>
      <w:r>
        <w:rPr>
          <w:spacing w:val="-7"/>
        </w:rPr>
        <w:t> </w:t>
      </w:r>
      <w:r>
        <w:rPr/>
        <w:t>and</w:t>
      </w:r>
      <w:r>
        <w:rPr>
          <w:spacing w:val="-6"/>
        </w:rPr>
        <w:t> </w:t>
      </w:r>
      <w:r>
        <w:rPr/>
        <w:t>occupancy</w:t>
      </w:r>
      <w:r>
        <w:rPr>
          <w:spacing w:val="-58"/>
        </w:rPr>
        <w:t> </w:t>
      </w:r>
      <w:r>
        <w:rPr/>
        <w:t>schedule</w:t>
      </w:r>
      <w:r>
        <w:rPr>
          <w:spacing w:val="-3"/>
        </w:rPr>
        <w:t> </w:t>
      </w:r>
      <w:r>
        <w:rPr/>
        <w:t>as</w:t>
      </w:r>
      <w:r>
        <w:rPr>
          <w:spacing w:val="-2"/>
        </w:rPr>
        <w:t> </w:t>
      </w:r>
      <w:r>
        <w:rPr/>
        <w:t>well</w:t>
      </w:r>
      <w:r>
        <w:rPr>
          <w:spacing w:val="-1"/>
        </w:rPr>
        <w:t> </w:t>
      </w:r>
      <w:r>
        <w:rPr/>
        <w:t>as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available</w:t>
      </w:r>
      <w:r>
        <w:rPr>
          <w:spacing w:val="-2"/>
        </w:rPr>
        <w:t> </w:t>
      </w:r>
      <w:r>
        <w:rPr/>
        <w:t>or</w:t>
      </w:r>
      <w:r>
        <w:rPr>
          <w:spacing w:val="-1"/>
        </w:rPr>
        <w:t> </w:t>
      </w:r>
      <w:r>
        <w:rPr/>
        <w:t>planned</w:t>
      </w:r>
      <w:r>
        <w:rPr>
          <w:spacing w:val="-1"/>
        </w:rPr>
        <w:t> </w:t>
      </w:r>
      <w:r>
        <w:rPr/>
        <w:t>HVAC</w:t>
      </w:r>
      <w:r>
        <w:rPr>
          <w:spacing w:val="-2"/>
        </w:rPr>
        <w:t> </w:t>
      </w:r>
      <w:r>
        <w:rPr/>
        <w:t>systems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their</w:t>
      </w:r>
      <w:r>
        <w:rPr>
          <w:spacing w:val="-2"/>
        </w:rPr>
        <w:t> </w:t>
      </w:r>
      <w:r>
        <w:rPr/>
        <w:t>specifications</w:t>
      </w:r>
      <w:r>
        <w:rPr>
          <w:spacing w:val="-1"/>
        </w:rPr>
        <w:t> </w:t>
      </w:r>
      <w:r>
        <w:rPr/>
        <w:t>[70].</w:t>
      </w:r>
    </w:p>
    <w:p>
      <w:pPr>
        <w:pStyle w:val="BodyText"/>
        <w:spacing w:before="11"/>
        <w:rPr>
          <w:sz w:val="20"/>
        </w:rPr>
      </w:pPr>
    </w:p>
    <w:p>
      <w:pPr>
        <w:pStyle w:val="BodyText"/>
        <w:spacing w:line="480" w:lineRule="auto"/>
        <w:ind w:left="1719" w:right="557" w:firstLine="720"/>
        <w:jc w:val="both"/>
      </w:pPr>
      <w:r>
        <w:rPr/>
        <w:t>The American Society of Heating, Refrigerating and Air-Conditioning Engineers</w:t>
      </w:r>
      <w:r>
        <w:rPr>
          <w:spacing w:val="1"/>
        </w:rPr>
        <w:t> </w:t>
      </w:r>
      <w:r>
        <w:rPr/>
        <w:t>(ASHRAE), outlines comfort zones for indoor air design conditions as 74 to 80 degrees</w:t>
      </w:r>
      <w:r>
        <w:rPr>
          <w:spacing w:val="1"/>
        </w:rPr>
        <w:t> </w:t>
      </w:r>
      <w:r>
        <w:rPr/>
        <w:t>Fahrenheit at 50 percent relative humidity for summer and 68 to 75 degrees Fahrenheit</w:t>
      </w:r>
      <w:r>
        <w:rPr>
          <w:spacing w:val="1"/>
        </w:rPr>
        <w:t> </w:t>
      </w:r>
      <w:r>
        <w:rPr/>
        <w:t>with a minimum of 30 percent relative humidity for winter [70].</w:t>
      </w:r>
      <w:r>
        <w:rPr>
          <w:spacing w:val="1"/>
        </w:rPr>
        <w:t> </w:t>
      </w:r>
      <w:r>
        <w:rPr/>
        <w:t>These conditions are</w:t>
      </w:r>
      <w:r>
        <w:rPr>
          <w:spacing w:val="1"/>
        </w:rPr>
        <w:t> </w:t>
      </w:r>
      <w:r>
        <w:rPr/>
        <w:t>unlikely to be the standard for temporary military structures unless the structure has</w:t>
      </w:r>
      <w:r>
        <w:rPr>
          <w:spacing w:val="1"/>
        </w:rPr>
        <w:t> </w:t>
      </w:r>
      <w:r>
        <w:rPr/>
        <w:t>specific functional requirements, such as medical facilities, housing of specialized heat</w:t>
      </w:r>
      <w:r>
        <w:rPr>
          <w:spacing w:val="1"/>
        </w:rPr>
        <w:t> </w:t>
      </w:r>
      <w:r>
        <w:rPr/>
        <w:t>sensitive</w:t>
      </w:r>
      <w:r>
        <w:rPr>
          <w:spacing w:val="-1"/>
        </w:rPr>
        <w:t> </w:t>
      </w:r>
      <w:r>
        <w:rPr/>
        <w:t>equipment, or storage of</w:t>
      </w:r>
      <w:r>
        <w:rPr>
          <w:spacing w:val="-1"/>
        </w:rPr>
        <w:t> </w:t>
      </w:r>
      <w:r>
        <w:rPr/>
        <w:t>military</w:t>
      </w:r>
      <w:r>
        <w:rPr>
          <w:spacing w:val="-2"/>
        </w:rPr>
        <w:t> </w:t>
      </w:r>
      <w:r>
        <w:rPr/>
        <w:t>aircraft.</w:t>
      </w:r>
    </w:p>
    <w:p>
      <w:pPr>
        <w:spacing w:after="0" w:line="480" w:lineRule="auto"/>
        <w:jc w:val="both"/>
        <w:sectPr>
          <w:pgSz w:w="12240" w:h="15840"/>
          <w:pgMar w:header="0" w:footer="1064" w:top="1380" w:bottom="1260" w:left="440" w:right="880"/>
        </w:sectPr>
      </w:pPr>
    </w:p>
    <w:p>
      <w:pPr>
        <w:pStyle w:val="BodyText"/>
        <w:spacing w:line="480" w:lineRule="auto" w:before="78"/>
        <w:ind w:left="1720" w:right="557" w:firstLine="720"/>
        <w:jc w:val="both"/>
      </w:pPr>
      <w:r>
        <w:rPr/>
        <w:t>There is no set standard for HVAC comfort standards outlined in </w:t>
      </w:r>
      <w:r>
        <w:rPr>
          <w:i/>
        </w:rPr>
        <w:t>UFC 1-201-01,</w:t>
      </w:r>
      <w:r>
        <w:rPr>
          <w:i/>
          <w:spacing w:val="1"/>
        </w:rPr>
        <w:t> </w:t>
      </w:r>
      <w:r>
        <w:rPr>
          <w:i/>
        </w:rPr>
        <w:t>Non-Permanent DOD Faculties in Support of Military Operations, </w:t>
      </w:r>
      <w:r>
        <w:rPr/>
        <w:t>which focuses on the</w:t>
      </w:r>
      <w:r>
        <w:rPr>
          <w:spacing w:val="1"/>
        </w:rPr>
        <w:t> </w:t>
      </w:r>
      <w:r>
        <w:rPr/>
        <w:t>life safety and habitability aspects of temporary military structures [14].</w:t>
      </w:r>
      <w:r>
        <w:rPr>
          <w:spacing w:val="1"/>
        </w:rPr>
        <w:t> </w:t>
      </w:r>
      <w:r>
        <w:rPr/>
        <w:t>The standard</w:t>
      </w:r>
      <w:r>
        <w:rPr>
          <w:spacing w:val="1"/>
        </w:rPr>
        <w:t> </w:t>
      </w:r>
      <w:r>
        <w:rPr/>
        <w:t>includes reference to ventilation system calculations based on building function and local</w:t>
      </w:r>
      <w:r>
        <w:rPr>
          <w:spacing w:val="1"/>
        </w:rPr>
        <w:t> </w:t>
      </w:r>
      <w:r>
        <w:rPr/>
        <w:t>environmental conditions.</w:t>
      </w:r>
      <w:r>
        <w:rPr>
          <w:spacing w:val="1"/>
        </w:rPr>
        <w:t> </w:t>
      </w:r>
      <w:r>
        <w:rPr/>
        <w:t>The standard further specifies that HVAC systems are to be</w:t>
      </w:r>
      <w:r>
        <w:rPr>
          <w:spacing w:val="1"/>
        </w:rPr>
        <w:t> </w:t>
      </w:r>
      <w:r>
        <w:rPr/>
        <w:t>installed in accordance with manufacturer instructions.</w:t>
      </w:r>
      <w:r>
        <w:rPr>
          <w:spacing w:val="1"/>
        </w:rPr>
        <w:t> </w:t>
      </w:r>
      <w:r>
        <w:rPr/>
        <w:t>The comfort zone of the interior</w:t>
      </w:r>
      <w:r>
        <w:rPr>
          <w:spacing w:val="1"/>
        </w:rPr>
        <w:t> </w:t>
      </w:r>
      <w:r>
        <w:rPr/>
        <w:t>conditions is generally left up to the discretion of the commander.</w:t>
      </w:r>
      <w:r>
        <w:rPr>
          <w:spacing w:val="1"/>
        </w:rPr>
        <w:t> </w:t>
      </w:r>
      <w:r>
        <w:rPr/>
        <w:t>It is important to note</w:t>
      </w:r>
      <w:r>
        <w:rPr>
          <w:spacing w:val="1"/>
        </w:rPr>
        <w:t> </w:t>
      </w:r>
      <w:r>
        <w:rPr/>
        <w:t>this does not</w:t>
      </w:r>
      <w:r>
        <w:rPr>
          <w:spacing w:val="1"/>
        </w:rPr>
        <w:t> </w:t>
      </w:r>
      <w:r>
        <w:rPr/>
        <w:t>necessarily mean no</w:t>
      </w:r>
      <w:r>
        <w:rPr>
          <w:spacing w:val="1"/>
        </w:rPr>
        <w:t> </w:t>
      </w:r>
      <w:r>
        <w:rPr/>
        <w:t>temperature conditioning as military commanders</w:t>
      </w:r>
      <w:r>
        <w:rPr>
          <w:spacing w:val="1"/>
        </w:rPr>
        <w:t> </w:t>
      </w:r>
      <w:r>
        <w:rPr/>
        <w:t>recognize</w:t>
      </w:r>
      <w:r>
        <w:rPr>
          <w:spacing w:val="-14"/>
        </w:rPr>
        <w:t> </w:t>
      </w:r>
      <w:r>
        <w:rPr/>
        <w:t>that</w:t>
      </w:r>
      <w:r>
        <w:rPr>
          <w:spacing w:val="-14"/>
        </w:rPr>
        <w:t> </w:t>
      </w:r>
      <w:r>
        <w:rPr/>
        <w:t>uninhabitable</w:t>
      </w:r>
      <w:r>
        <w:rPr>
          <w:spacing w:val="-13"/>
        </w:rPr>
        <w:t> </w:t>
      </w:r>
      <w:r>
        <w:rPr/>
        <w:t>conditions</w:t>
      </w:r>
      <w:r>
        <w:rPr>
          <w:spacing w:val="-14"/>
        </w:rPr>
        <w:t> </w:t>
      </w:r>
      <w:r>
        <w:rPr/>
        <w:t>will</w:t>
      </w:r>
      <w:r>
        <w:rPr>
          <w:spacing w:val="-13"/>
        </w:rPr>
        <w:t> </w:t>
      </w:r>
      <w:r>
        <w:rPr/>
        <w:t>contribute</w:t>
      </w:r>
      <w:r>
        <w:rPr>
          <w:spacing w:val="-14"/>
        </w:rPr>
        <w:t> </w:t>
      </w:r>
      <w:r>
        <w:rPr/>
        <w:t>to</w:t>
      </w:r>
      <w:r>
        <w:rPr>
          <w:spacing w:val="-13"/>
        </w:rPr>
        <w:t> </w:t>
      </w:r>
      <w:r>
        <w:rPr/>
        <w:t>decreased</w:t>
      </w:r>
      <w:r>
        <w:rPr>
          <w:spacing w:val="-14"/>
        </w:rPr>
        <w:t> </w:t>
      </w:r>
      <w:r>
        <w:rPr/>
        <w:t>performance</w:t>
      </w:r>
      <w:r>
        <w:rPr>
          <w:spacing w:val="-13"/>
        </w:rPr>
        <w:t> </w:t>
      </w:r>
      <w:r>
        <w:rPr/>
        <w:t>from</w:t>
      </w:r>
      <w:r>
        <w:rPr>
          <w:spacing w:val="-15"/>
        </w:rPr>
        <w:t> </w:t>
      </w:r>
      <w:r>
        <w:rPr/>
        <w:t>lack</w:t>
      </w:r>
      <w:r>
        <w:rPr>
          <w:spacing w:val="-57"/>
        </w:rPr>
        <w:t> </w:t>
      </w:r>
      <w:r>
        <w:rPr/>
        <w:t>of appropriate rest.</w:t>
      </w:r>
      <w:r>
        <w:rPr>
          <w:spacing w:val="1"/>
        </w:rPr>
        <w:t> </w:t>
      </w:r>
      <w:r>
        <w:rPr/>
        <w:t>The threshold of acceptable temperature comfort zone is likely to be</w:t>
      </w:r>
      <w:r>
        <w:rPr>
          <w:spacing w:val="1"/>
        </w:rPr>
        <w:t> </w:t>
      </w:r>
      <w:r>
        <w:rPr/>
        <w:t>significantly</w:t>
      </w:r>
      <w:r>
        <w:rPr>
          <w:spacing w:val="-3"/>
        </w:rPr>
        <w:t> </w:t>
      </w:r>
      <w:r>
        <w:rPr/>
        <w:t>outside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range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typical structures</w:t>
      </w:r>
      <w:r>
        <w:rPr>
          <w:spacing w:val="-1"/>
        </w:rPr>
        <w:t> </w:t>
      </w:r>
      <w:r>
        <w:rPr/>
        <w:t>in the United</w:t>
      </w:r>
      <w:r>
        <w:rPr>
          <w:spacing w:val="-1"/>
        </w:rPr>
        <w:t> </w:t>
      </w:r>
      <w:r>
        <w:rPr/>
        <w:t>States.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/>
        <w:ind w:left="1720" w:right="557" w:firstLine="720"/>
        <w:jc w:val="both"/>
      </w:pPr>
      <w:r>
        <w:rPr/>
        <w:t>The available HVAC equipment can vary depending on location but the military</w:t>
      </w:r>
      <w:r>
        <w:rPr>
          <w:spacing w:val="1"/>
        </w:rPr>
        <w:t> </w:t>
      </w:r>
      <w:r>
        <w:rPr/>
        <w:t>frequently deploys equipment known as Environmental Control Units (ECUs).</w:t>
      </w:r>
      <w:r>
        <w:rPr>
          <w:spacing w:val="1"/>
        </w:rPr>
        <w:t> </w:t>
      </w:r>
      <w:r>
        <w:rPr/>
        <w:t>ECUs</w:t>
      </w:r>
      <w:r>
        <w:rPr>
          <w:spacing w:val="1"/>
        </w:rPr>
        <w:t> </w:t>
      </w:r>
      <w:r>
        <w:rPr/>
        <w:t>either</w:t>
      </w:r>
      <w:r>
        <w:rPr>
          <w:spacing w:val="1"/>
        </w:rPr>
        <w:t> </w:t>
      </w:r>
      <w:r>
        <w:rPr/>
        <w:t>come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power</w:t>
      </w:r>
      <w:r>
        <w:rPr>
          <w:spacing w:val="1"/>
        </w:rPr>
        <w:t> </w:t>
      </w:r>
      <w:r>
        <w:rPr/>
        <w:t>source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require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power</w:t>
      </w:r>
      <w:r>
        <w:rPr>
          <w:spacing w:val="1"/>
        </w:rPr>
        <w:t> </w:t>
      </w:r>
      <w:r>
        <w:rPr/>
        <w:t>supply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generator.</w:t>
      </w:r>
      <w:r>
        <w:rPr>
          <w:spacing w:val="1"/>
        </w:rPr>
        <w:t> </w:t>
      </w:r>
      <w:r>
        <w:rPr/>
        <w:t>Manufacturers build the equipment to be rugged and easily transported to meet military</w:t>
      </w:r>
      <w:r>
        <w:rPr>
          <w:spacing w:val="1"/>
        </w:rPr>
        <w:t> </w:t>
      </w:r>
      <w:r>
        <w:rPr/>
        <w:t>requirements.</w:t>
      </w:r>
      <w:r>
        <w:rPr>
          <w:spacing w:val="1"/>
        </w:rPr>
        <w:t> </w:t>
      </w:r>
      <w:r>
        <w:rPr/>
        <w:t>An in-depth analysis of the energy required to cool and heat a temporary</w:t>
      </w:r>
      <w:r>
        <w:rPr>
          <w:spacing w:val="1"/>
        </w:rPr>
        <w:t> </w:t>
      </w:r>
      <w:r>
        <w:rPr/>
        <w:t>structure could calculate the heating and cooling demand of a single structure in order to</w:t>
      </w:r>
      <w:r>
        <w:rPr>
          <w:spacing w:val="1"/>
        </w:rPr>
        <w:t> </w:t>
      </w:r>
      <w:r>
        <w:rPr/>
        <w:t>determine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number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ECUs</w:t>
      </w:r>
      <w:r>
        <w:rPr>
          <w:spacing w:val="-10"/>
        </w:rPr>
        <w:t> </w:t>
      </w:r>
      <w:r>
        <w:rPr/>
        <w:t>and</w:t>
      </w:r>
      <w:r>
        <w:rPr>
          <w:spacing w:val="-10"/>
        </w:rPr>
        <w:t> </w:t>
      </w:r>
      <w:r>
        <w:rPr/>
        <w:t>accompanying</w:t>
      </w:r>
      <w:r>
        <w:rPr>
          <w:spacing w:val="-10"/>
        </w:rPr>
        <w:t> </w:t>
      </w:r>
      <w:r>
        <w:rPr/>
        <w:t>generators</w:t>
      </w:r>
      <w:r>
        <w:rPr>
          <w:spacing w:val="-10"/>
        </w:rPr>
        <w:t> </w:t>
      </w:r>
      <w:r>
        <w:rPr/>
        <w:t>required.</w:t>
      </w:r>
      <w:r>
        <w:rPr>
          <w:spacing w:val="41"/>
        </w:rPr>
        <w:t> </w:t>
      </w:r>
      <w:r>
        <w:rPr/>
        <w:t>The</w:t>
      </w:r>
      <w:r>
        <w:rPr>
          <w:spacing w:val="-10"/>
        </w:rPr>
        <w:t> </w:t>
      </w:r>
      <w:r>
        <w:rPr/>
        <w:t>key</w:t>
      </w:r>
      <w:r>
        <w:rPr>
          <w:spacing w:val="-10"/>
        </w:rPr>
        <w:t> </w:t>
      </w:r>
      <w:r>
        <w:rPr/>
        <w:t>aspect</w:t>
      </w:r>
      <w:r>
        <w:rPr>
          <w:spacing w:val="-9"/>
        </w:rPr>
        <w:t> </w:t>
      </w:r>
      <w:r>
        <w:rPr/>
        <w:t>for</w:t>
      </w:r>
      <w:r>
        <w:rPr>
          <w:spacing w:val="-58"/>
        </w:rPr>
        <w:t> </w:t>
      </w:r>
      <w:r>
        <w:rPr/>
        <w:t>deciding on a building material is to evaluate the thermal performance of the structure</w:t>
      </w:r>
      <w:r>
        <w:rPr>
          <w:spacing w:val="1"/>
        </w:rPr>
        <w:t> </w:t>
      </w:r>
      <w:r>
        <w:rPr/>
        <w:t>given</w:t>
      </w:r>
      <w:r>
        <w:rPr>
          <w:spacing w:val="-1"/>
        </w:rPr>
        <w:t> </w:t>
      </w:r>
      <w:r>
        <w:rPr/>
        <w:t>the operational</w:t>
      </w:r>
      <w:r>
        <w:rPr>
          <w:spacing w:val="-1"/>
        </w:rPr>
        <w:t> </w:t>
      </w:r>
      <w:r>
        <w:rPr/>
        <w:t>environment</w:t>
      </w:r>
      <w:r>
        <w:rPr>
          <w:spacing w:val="-1"/>
        </w:rPr>
        <w:t> </w:t>
      </w:r>
      <w:r>
        <w:rPr/>
        <w:t>and expected</w:t>
      </w:r>
      <w:r>
        <w:rPr>
          <w:spacing w:val="-2"/>
        </w:rPr>
        <w:t> </w:t>
      </w:r>
      <w:r>
        <w:rPr/>
        <w:t>operating conditions.</w:t>
      </w:r>
    </w:p>
    <w:p>
      <w:pPr>
        <w:pStyle w:val="ListParagraph"/>
        <w:numPr>
          <w:ilvl w:val="2"/>
          <w:numId w:val="28"/>
        </w:numPr>
        <w:tabs>
          <w:tab w:pos="2260" w:val="left" w:leader="none"/>
        </w:tabs>
        <w:spacing w:line="240" w:lineRule="auto" w:before="161" w:after="0"/>
        <w:ind w:left="2260" w:right="0" w:hanging="540"/>
        <w:jc w:val="both"/>
        <w:rPr>
          <w:i/>
          <w:sz w:val="24"/>
        </w:rPr>
      </w:pPr>
      <w:bookmarkStart w:name="9.3.4 Blast protection" w:id="600"/>
      <w:bookmarkEnd w:id="600"/>
      <w:r>
        <w:rPr/>
      </w:r>
      <w:bookmarkStart w:name="9.3.4 Blast protection" w:id="601"/>
      <w:bookmarkEnd w:id="601"/>
      <w:r>
        <w:rPr>
          <w:i/>
          <w:sz w:val="24"/>
        </w:rPr>
        <w:t>B</w:t>
      </w:r>
      <w:r>
        <w:rPr>
          <w:i/>
          <w:sz w:val="24"/>
        </w:rPr>
        <w:t>last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protection</w:t>
      </w:r>
    </w:p>
    <w:p>
      <w:pPr>
        <w:pStyle w:val="BodyText"/>
        <w:spacing w:before="8"/>
        <w:rPr>
          <w:i/>
          <w:sz w:val="22"/>
        </w:rPr>
      </w:pPr>
    </w:p>
    <w:p>
      <w:pPr>
        <w:pStyle w:val="BodyText"/>
        <w:spacing w:line="480" w:lineRule="auto"/>
        <w:ind w:left="1720" w:right="557" w:firstLine="720"/>
        <w:jc w:val="both"/>
      </w:pPr>
      <w:r>
        <w:rPr/>
        <w:t>Blast</w:t>
      </w:r>
      <w:r>
        <w:rPr>
          <w:spacing w:val="-4"/>
        </w:rPr>
        <w:t> </w:t>
      </w:r>
      <w:r>
        <w:rPr/>
        <w:t>protection</w:t>
      </w:r>
      <w:r>
        <w:rPr>
          <w:spacing w:val="-4"/>
        </w:rPr>
        <w:t> </w:t>
      </w:r>
      <w:r>
        <w:rPr/>
        <w:t>is</w:t>
      </w:r>
      <w:r>
        <w:rPr>
          <w:spacing w:val="-4"/>
        </w:rPr>
        <w:t> </w:t>
      </w:r>
      <w:r>
        <w:rPr/>
        <w:t>generally</w:t>
      </w:r>
      <w:r>
        <w:rPr>
          <w:spacing w:val="-5"/>
        </w:rPr>
        <w:t> </w:t>
      </w:r>
      <w:r>
        <w:rPr/>
        <w:t>achieved</w:t>
      </w:r>
      <w:r>
        <w:rPr>
          <w:spacing w:val="-5"/>
        </w:rPr>
        <w:t> </w:t>
      </w:r>
      <w:r>
        <w:rPr/>
        <w:t>through</w:t>
      </w:r>
      <w:r>
        <w:rPr>
          <w:spacing w:val="-4"/>
        </w:rPr>
        <w:t> </w:t>
      </w:r>
      <w:r>
        <w:rPr/>
        <w:t>a</w:t>
      </w:r>
      <w:r>
        <w:rPr>
          <w:spacing w:val="-5"/>
        </w:rPr>
        <w:t> </w:t>
      </w:r>
      <w:r>
        <w:rPr/>
        <w:t>combination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two</w:t>
      </w:r>
      <w:r>
        <w:rPr>
          <w:spacing w:val="-5"/>
        </w:rPr>
        <w:t> </w:t>
      </w:r>
      <w:r>
        <w:rPr/>
        <w:t>factors,</w:t>
      </w:r>
      <w:r>
        <w:rPr>
          <w:spacing w:val="-4"/>
        </w:rPr>
        <w:t> </w:t>
      </w:r>
      <w:r>
        <w:rPr/>
        <w:t>stand-</w:t>
      </w:r>
      <w:r>
        <w:rPr>
          <w:spacing w:val="-58"/>
        </w:rPr>
        <w:t> </w:t>
      </w:r>
      <w:r>
        <w:rPr/>
        <w:t>off</w:t>
      </w:r>
      <w:r>
        <w:rPr>
          <w:spacing w:val="13"/>
        </w:rPr>
        <w:t> </w:t>
      </w:r>
      <w:r>
        <w:rPr/>
        <w:t>distance</w:t>
      </w:r>
      <w:r>
        <w:rPr>
          <w:spacing w:val="14"/>
        </w:rPr>
        <w:t> </w:t>
      </w:r>
      <w:r>
        <w:rPr/>
        <w:t>and</w:t>
      </w:r>
      <w:r>
        <w:rPr>
          <w:spacing w:val="14"/>
        </w:rPr>
        <w:t> </w:t>
      </w:r>
      <w:r>
        <w:rPr/>
        <w:t>the</w:t>
      </w:r>
      <w:r>
        <w:rPr>
          <w:spacing w:val="14"/>
        </w:rPr>
        <w:t> </w:t>
      </w:r>
      <w:r>
        <w:rPr/>
        <w:t>structures</w:t>
      </w:r>
      <w:r>
        <w:rPr>
          <w:spacing w:val="14"/>
        </w:rPr>
        <w:t> </w:t>
      </w:r>
      <w:r>
        <w:rPr/>
        <w:t>response</w:t>
      </w:r>
      <w:r>
        <w:rPr>
          <w:spacing w:val="14"/>
        </w:rPr>
        <w:t> </w:t>
      </w:r>
      <w:r>
        <w:rPr/>
        <w:t>to</w:t>
      </w:r>
      <w:r>
        <w:rPr>
          <w:spacing w:val="14"/>
        </w:rPr>
        <w:t> </w:t>
      </w:r>
      <w:r>
        <w:rPr/>
        <w:t>blast</w:t>
      </w:r>
      <w:r>
        <w:rPr>
          <w:spacing w:val="15"/>
        </w:rPr>
        <w:t> </w:t>
      </w:r>
      <w:r>
        <w:rPr/>
        <w:t>loading.</w:t>
      </w:r>
      <w:r>
        <w:rPr>
          <w:spacing w:val="30"/>
        </w:rPr>
        <w:t> </w:t>
      </w:r>
      <w:r>
        <w:rPr/>
        <w:t>Stand-off</w:t>
      </w:r>
      <w:r>
        <w:rPr>
          <w:spacing w:val="13"/>
        </w:rPr>
        <w:t> </w:t>
      </w:r>
      <w:r>
        <w:rPr/>
        <w:t>distance</w:t>
      </w:r>
      <w:r>
        <w:rPr>
          <w:spacing w:val="15"/>
        </w:rPr>
        <w:t> </w:t>
      </w:r>
      <w:r>
        <w:rPr/>
        <w:t>is</w:t>
      </w:r>
      <w:r>
        <w:rPr>
          <w:spacing w:val="14"/>
        </w:rPr>
        <w:t> </w:t>
      </w:r>
      <w:r>
        <w:rPr/>
        <w:t>the</w:t>
      </w:r>
      <w:r>
        <w:rPr>
          <w:spacing w:val="14"/>
        </w:rPr>
        <w:t> </w:t>
      </w:r>
      <w:r>
        <w:rPr/>
        <w:t>space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440" w:right="880"/>
        </w:sectPr>
      </w:pPr>
    </w:p>
    <w:p>
      <w:pPr>
        <w:pStyle w:val="BodyText"/>
        <w:spacing w:line="480" w:lineRule="auto" w:before="78"/>
        <w:ind w:left="1719" w:right="557"/>
        <w:jc w:val="both"/>
      </w:pPr>
      <w:r>
        <w:rPr/>
        <w:t>between the structure and the detonated explosive which relates to site layout and exterior</w:t>
      </w:r>
      <w:r>
        <w:rPr>
          <w:spacing w:val="-57"/>
        </w:rPr>
        <w:t> </w:t>
      </w:r>
      <w:r>
        <w:rPr/>
        <w:t>force protection measures such as bollards and barriers designed to provide defense in</w:t>
      </w:r>
      <w:r>
        <w:rPr>
          <w:spacing w:val="1"/>
        </w:rPr>
        <w:t> </w:t>
      </w:r>
      <w:r>
        <w:rPr/>
        <w:t>depth.</w:t>
      </w:r>
      <w:r>
        <w:rPr>
          <w:spacing w:val="1"/>
        </w:rPr>
        <w:t> </w:t>
      </w:r>
      <w:r>
        <w:rPr/>
        <w:t>The response of the structure is a product of both the building design and material</w:t>
      </w:r>
      <w:r>
        <w:rPr>
          <w:spacing w:val="1"/>
        </w:rPr>
        <w:t> </w:t>
      </w:r>
      <w:r>
        <w:rPr/>
        <w:t>type.</w:t>
      </w:r>
      <w:r>
        <w:rPr>
          <w:spacing w:val="1"/>
        </w:rPr>
        <w:t> </w:t>
      </w:r>
      <w:r>
        <w:rPr/>
        <w:t>A building can be assessed a Level of Protection (LOP) as a qualitative measure</w:t>
      </w:r>
      <w:r>
        <w:rPr>
          <w:spacing w:val="1"/>
        </w:rPr>
        <w:t> </w:t>
      </w:r>
      <w:r>
        <w:rPr/>
        <w:t>related to an explosive event.</w:t>
      </w:r>
      <w:r>
        <w:rPr>
          <w:spacing w:val="1"/>
        </w:rPr>
        <w:t> </w:t>
      </w:r>
      <w:r>
        <w:rPr/>
        <w:t>It is defined by ASCE as the expected performance of the</w:t>
      </w:r>
      <w:r>
        <w:rPr>
          <w:spacing w:val="1"/>
        </w:rPr>
        <w:t> </w:t>
      </w:r>
      <w:r>
        <w:rPr/>
        <w:t>building in terms of structural damage and potential injury to personnel and equipment</w:t>
      </w:r>
      <w:r>
        <w:rPr>
          <w:spacing w:val="1"/>
        </w:rPr>
        <w:t> </w:t>
      </w:r>
      <w:r>
        <w:rPr/>
        <w:t>contained</w:t>
      </w:r>
      <w:r>
        <w:rPr>
          <w:spacing w:val="-13"/>
        </w:rPr>
        <w:t> </w:t>
      </w:r>
      <w:r>
        <w:rPr/>
        <w:t>within</w:t>
      </w:r>
      <w:r>
        <w:rPr>
          <w:spacing w:val="-12"/>
        </w:rPr>
        <w:t> </w:t>
      </w:r>
      <w:r>
        <w:rPr/>
        <w:t>and</w:t>
      </w:r>
      <w:r>
        <w:rPr>
          <w:spacing w:val="-13"/>
        </w:rPr>
        <w:t> </w:t>
      </w:r>
      <w:r>
        <w:rPr/>
        <w:t>around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structure.</w:t>
      </w:r>
      <w:r>
        <w:rPr>
          <w:spacing w:val="35"/>
        </w:rPr>
        <w:t> </w:t>
      </w:r>
      <w:r>
        <w:rPr/>
        <w:t>As</w:t>
      </w:r>
      <w:r>
        <w:rPr>
          <w:spacing w:val="-13"/>
        </w:rPr>
        <w:t> </w:t>
      </w:r>
      <w:r>
        <w:rPr/>
        <w:t>detailed</w:t>
      </w:r>
      <w:r>
        <w:rPr>
          <w:spacing w:val="-13"/>
        </w:rPr>
        <w:t> </w:t>
      </w:r>
      <w:r>
        <w:rPr/>
        <w:t>in</w:t>
      </w:r>
      <w:r>
        <w:rPr>
          <w:spacing w:val="-12"/>
        </w:rPr>
        <w:t> </w:t>
      </w:r>
      <w:r>
        <w:rPr/>
        <w:t>Chapter</w:t>
      </w:r>
      <w:r>
        <w:rPr>
          <w:spacing w:val="-12"/>
        </w:rPr>
        <w:t> </w:t>
      </w:r>
      <w:r>
        <w:rPr/>
        <w:t>8,</w:t>
      </w:r>
      <w:r>
        <w:rPr>
          <w:spacing w:val="-14"/>
        </w:rPr>
        <w:t> </w:t>
      </w:r>
      <w:r>
        <w:rPr/>
        <w:t>the</w:t>
      </w:r>
      <w:r>
        <w:rPr>
          <w:spacing w:val="-13"/>
        </w:rPr>
        <w:t> </w:t>
      </w:r>
      <w:r>
        <w:rPr/>
        <w:t>expected</w:t>
      </w:r>
      <w:r>
        <w:rPr>
          <w:spacing w:val="-13"/>
        </w:rPr>
        <w:t> </w:t>
      </w:r>
      <w:r>
        <w:rPr/>
        <w:t>structural</w:t>
      </w:r>
      <w:r>
        <w:rPr>
          <w:spacing w:val="-58"/>
        </w:rPr>
        <w:t> </w:t>
      </w:r>
      <w:r>
        <w:rPr/>
        <w:t>damage is derived from anticipated damage to individual elements of the structure.</w:t>
      </w:r>
      <w:r>
        <w:rPr>
          <w:spacing w:val="1"/>
        </w:rPr>
        <w:t> </w:t>
      </w:r>
      <w:hyperlink w:history="true" w:anchor="_bookmark209">
        <w:r>
          <w:rPr/>
          <w:t>Table</w:t>
        </w:r>
      </w:hyperlink>
      <w:r>
        <w:rPr>
          <w:spacing w:val="-57"/>
        </w:rPr>
        <w:t> </w:t>
      </w:r>
      <w:hyperlink w:history="true" w:anchor="_bookmark209">
        <w:r>
          <w:rPr/>
          <w:t>9-2</w:t>
        </w:r>
      </w:hyperlink>
      <w:r>
        <w:rPr/>
        <w:t>, from </w:t>
      </w:r>
      <w:r>
        <w:rPr>
          <w:i/>
        </w:rPr>
        <w:t>UFC 4-010-01, DoD Minimum Antiterrorism Standards for Buildings</w:t>
      </w:r>
      <w:r>
        <w:rPr/>
        <w:t>, outlines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Levels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Protection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expeditionary</w:t>
      </w:r>
      <w:r>
        <w:rPr>
          <w:spacing w:val="1"/>
        </w:rPr>
        <w:t> </w:t>
      </w:r>
      <w:r>
        <w:rPr/>
        <w:t>structures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qualitative</w:t>
      </w:r>
      <w:r>
        <w:rPr>
          <w:spacing w:val="1"/>
        </w:rPr>
        <w:t> </w:t>
      </w:r>
      <w:r>
        <w:rPr/>
        <w:t>descriptions.</w:t>
      </w:r>
      <w:r>
        <w:rPr>
          <w:spacing w:val="1"/>
        </w:rPr>
        <w:t> </w:t>
      </w:r>
      <w:r>
        <w:rPr/>
        <w:t>Temporary military structures are often classified as expeditionary structures for they are</w:t>
      </w:r>
      <w:r>
        <w:rPr>
          <w:spacing w:val="1"/>
        </w:rPr>
        <w:t> </w:t>
      </w:r>
      <w:r>
        <w:rPr/>
        <w:t>used</w:t>
      </w:r>
      <w:r>
        <w:rPr>
          <w:spacing w:val="-1"/>
        </w:rPr>
        <w:t> </w:t>
      </w:r>
      <w:r>
        <w:rPr/>
        <w:t>in an overseas or deployed environment.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/>
        <w:ind w:left="1720" w:right="557" w:firstLine="720"/>
        <w:jc w:val="both"/>
      </w:pPr>
      <w:r>
        <w:rPr/>
        <w:t>Knowledge</w:t>
      </w:r>
      <w:r>
        <w:rPr>
          <w:spacing w:val="-12"/>
        </w:rPr>
        <w:t> </w:t>
      </w:r>
      <w:r>
        <w:rPr/>
        <w:t>on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expected</w:t>
      </w:r>
      <w:r>
        <w:rPr>
          <w:spacing w:val="-12"/>
        </w:rPr>
        <w:t> </w:t>
      </w:r>
      <w:r>
        <w:rPr/>
        <w:t>behavior</w:t>
      </w:r>
      <w:r>
        <w:rPr>
          <w:spacing w:val="-12"/>
        </w:rPr>
        <w:t> </w:t>
      </w:r>
      <w:r>
        <w:rPr/>
        <w:t>of</w:t>
      </w:r>
      <w:r>
        <w:rPr>
          <w:spacing w:val="-12"/>
        </w:rPr>
        <w:t> </w:t>
      </w:r>
      <w:r>
        <w:rPr/>
        <w:t>building</w:t>
      </w:r>
      <w:r>
        <w:rPr>
          <w:spacing w:val="-13"/>
        </w:rPr>
        <w:t> </w:t>
      </w:r>
      <w:r>
        <w:rPr/>
        <w:t>elements</w:t>
      </w:r>
      <w:r>
        <w:rPr>
          <w:spacing w:val="-11"/>
        </w:rPr>
        <w:t> </w:t>
      </w:r>
      <w:r>
        <w:rPr/>
        <w:t>and</w:t>
      </w:r>
      <w:r>
        <w:rPr>
          <w:spacing w:val="-11"/>
        </w:rPr>
        <w:t> </w:t>
      </w:r>
      <w:r>
        <w:rPr/>
        <w:t>elements</w:t>
      </w:r>
      <w:r>
        <w:rPr>
          <w:spacing w:val="-13"/>
        </w:rPr>
        <w:t> </w:t>
      </w:r>
      <w:r>
        <w:rPr/>
        <w:t>made</w:t>
      </w:r>
      <w:r>
        <w:rPr>
          <w:spacing w:val="-11"/>
        </w:rPr>
        <w:t> </w:t>
      </w:r>
      <w:r>
        <w:rPr/>
        <w:t>from</w:t>
      </w:r>
      <w:r>
        <w:rPr>
          <w:spacing w:val="-58"/>
        </w:rPr>
        <w:t> </w:t>
      </w:r>
      <w:r>
        <w:rPr/>
        <w:t>specific</w:t>
      </w:r>
      <w:r>
        <w:rPr>
          <w:spacing w:val="-9"/>
        </w:rPr>
        <w:t> </w:t>
      </w:r>
      <w:r>
        <w:rPr/>
        <w:t>materials</w:t>
      </w:r>
      <w:r>
        <w:rPr>
          <w:spacing w:val="-9"/>
        </w:rPr>
        <w:t> </w:t>
      </w:r>
      <w:r>
        <w:rPr/>
        <w:t>can</w:t>
      </w:r>
      <w:r>
        <w:rPr>
          <w:spacing w:val="-9"/>
        </w:rPr>
        <w:t> </w:t>
      </w:r>
      <w:r>
        <w:rPr/>
        <w:t>be</w:t>
      </w:r>
      <w:r>
        <w:rPr>
          <w:spacing w:val="-11"/>
        </w:rPr>
        <w:t> </w:t>
      </w:r>
      <w:r>
        <w:rPr/>
        <w:t>assessed</w:t>
      </w:r>
      <w:r>
        <w:rPr>
          <w:spacing w:val="-9"/>
        </w:rPr>
        <w:t> </w:t>
      </w:r>
      <w:r>
        <w:rPr/>
        <w:t>using</w:t>
      </w:r>
      <w:r>
        <w:rPr>
          <w:spacing w:val="-10"/>
        </w:rPr>
        <w:t> </w:t>
      </w:r>
      <w:r>
        <w:rPr/>
        <w:t>analytical</w:t>
      </w:r>
      <w:r>
        <w:rPr>
          <w:spacing w:val="-10"/>
        </w:rPr>
        <w:t> </w:t>
      </w:r>
      <w:r>
        <w:rPr/>
        <w:t>models</w:t>
      </w:r>
      <w:r>
        <w:rPr>
          <w:spacing w:val="-8"/>
        </w:rPr>
        <w:t> </w:t>
      </w:r>
      <w:r>
        <w:rPr/>
        <w:t>like</w:t>
      </w:r>
      <w:r>
        <w:rPr>
          <w:spacing w:val="-11"/>
        </w:rPr>
        <w:t> </w:t>
      </w:r>
      <w:r>
        <w:rPr/>
        <w:t>SDOF</w:t>
      </w:r>
      <w:r>
        <w:rPr>
          <w:spacing w:val="-8"/>
        </w:rPr>
        <w:t> </w:t>
      </w:r>
      <w:r>
        <w:rPr/>
        <w:t>models</w:t>
      </w:r>
      <w:r>
        <w:rPr>
          <w:spacing w:val="-9"/>
        </w:rPr>
        <w:t> </w:t>
      </w:r>
      <w:r>
        <w:rPr/>
        <w:t>to</w:t>
      </w:r>
      <w:r>
        <w:rPr>
          <w:spacing w:val="-11"/>
        </w:rPr>
        <w:t> </w:t>
      </w:r>
      <w:r>
        <w:rPr/>
        <w:t>predict</w:t>
      </w:r>
      <w:r>
        <w:rPr>
          <w:spacing w:val="-11"/>
        </w:rPr>
        <w:t> </w:t>
      </w:r>
      <w:r>
        <w:rPr/>
        <w:t>the</w:t>
      </w:r>
      <w:r>
        <w:rPr>
          <w:spacing w:val="-58"/>
        </w:rPr>
        <w:t> </w:t>
      </w:r>
      <w:r>
        <w:rPr/>
        <w:t>response.</w:t>
      </w:r>
      <w:r>
        <w:rPr>
          <w:spacing w:val="1"/>
        </w:rPr>
        <w:t> </w:t>
      </w:r>
      <w:r>
        <w:rPr/>
        <w:t>These models can examine different aspects such as material type, connections</w:t>
      </w:r>
      <w:r>
        <w:rPr>
          <w:spacing w:val="-57"/>
        </w:rPr>
        <w:t> </w:t>
      </w:r>
      <w:r>
        <w:rPr/>
        <w:t>within the structure, or differing levels of blast threat.</w:t>
      </w:r>
      <w:r>
        <w:rPr>
          <w:spacing w:val="1"/>
        </w:rPr>
        <w:t> </w:t>
      </w:r>
      <w:r>
        <w:rPr/>
        <w:t>The models, through use of a</w:t>
      </w:r>
      <w:r>
        <w:rPr>
          <w:spacing w:val="1"/>
        </w:rPr>
        <w:t> </w:t>
      </w:r>
      <w:r>
        <w:rPr/>
        <w:t>resistance</w:t>
      </w:r>
      <w:r>
        <w:rPr>
          <w:spacing w:val="-9"/>
        </w:rPr>
        <w:t> </w:t>
      </w:r>
      <w:r>
        <w:rPr/>
        <w:t>function,</w:t>
      </w:r>
      <w:r>
        <w:rPr>
          <w:spacing w:val="-10"/>
        </w:rPr>
        <w:t> </w:t>
      </w:r>
      <w:r>
        <w:rPr/>
        <w:t>predicts</w:t>
      </w:r>
      <w:r>
        <w:rPr>
          <w:spacing w:val="-10"/>
        </w:rPr>
        <w:t> </w:t>
      </w:r>
      <w:r>
        <w:rPr/>
        <w:t>the</w:t>
      </w:r>
      <w:r>
        <w:rPr>
          <w:spacing w:val="-9"/>
        </w:rPr>
        <w:t> </w:t>
      </w:r>
      <w:r>
        <w:rPr/>
        <w:t>displacement</w:t>
      </w:r>
      <w:r>
        <w:rPr>
          <w:spacing w:val="-9"/>
        </w:rPr>
        <w:t> </w:t>
      </w:r>
      <w:r>
        <w:rPr/>
        <w:t>response</w:t>
      </w:r>
      <w:r>
        <w:rPr>
          <w:spacing w:val="-8"/>
        </w:rPr>
        <w:t> </w:t>
      </w:r>
      <w:r>
        <w:rPr/>
        <w:t>of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structural</w:t>
      </w:r>
      <w:r>
        <w:rPr>
          <w:spacing w:val="-9"/>
        </w:rPr>
        <w:t> </w:t>
      </w:r>
      <w:r>
        <w:rPr/>
        <w:t>element.</w:t>
      </w:r>
      <w:r>
        <w:rPr>
          <w:spacing w:val="42"/>
        </w:rPr>
        <w:t> </w:t>
      </w:r>
      <w:r>
        <w:rPr/>
        <w:t>Based</w:t>
      </w:r>
      <w:r>
        <w:rPr>
          <w:spacing w:val="-10"/>
        </w:rPr>
        <w:t> </w:t>
      </w:r>
      <w:r>
        <w:rPr/>
        <w:t>on</w:t>
      </w:r>
      <w:r>
        <w:rPr>
          <w:spacing w:val="-58"/>
        </w:rPr>
        <w:t> </w:t>
      </w:r>
      <w:r>
        <w:rPr/>
        <w:t>the classification of the element as either a primary, secondary or non-structural element</w:t>
      </w:r>
      <w:r>
        <w:rPr>
          <w:spacing w:val="1"/>
        </w:rPr>
        <w:t> </w:t>
      </w:r>
      <w:r>
        <w:rPr/>
        <w:t>combined with the model’s predicted deformations, a component damage level may be</w:t>
      </w:r>
      <w:r>
        <w:rPr>
          <w:spacing w:val="1"/>
        </w:rPr>
        <w:t> </w:t>
      </w:r>
      <w:r>
        <w:rPr/>
        <w:t>assessed.</w:t>
      </w:r>
      <w:r>
        <w:rPr>
          <w:spacing w:val="1"/>
        </w:rPr>
        <w:t> </w:t>
      </w:r>
      <w:r>
        <w:rPr/>
        <w:t>While blast pressures may be survivable on their own, structures and building</w:t>
      </w:r>
      <w:r>
        <w:rPr>
          <w:spacing w:val="1"/>
        </w:rPr>
        <w:t> </w:t>
      </w:r>
      <w:r>
        <w:rPr/>
        <w:t>components that fail under a blast-loading event may cause injury or fatalities through</w:t>
      </w:r>
      <w:r>
        <w:rPr>
          <w:spacing w:val="1"/>
        </w:rPr>
        <w:t> </w:t>
      </w:r>
      <w:r>
        <w:rPr/>
        <w:t>structural</w:t>
      </w:r>
      <w:r>
        <w:rPr>
          <w:spacing w:val="-1"/>
        </w:rPr>
        <w:t> </w:t>
      </w:r>
      <w:r>
        <w:rPr/>
        <w:t>collapse.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440" w:right="880"/>
        </w:sectPr>
      </w:pPr>
    </w:p>
    <w:p>
      <w:pPr>
        <w:pStyle w:val="BodyText"/>
        <w:spacing w:line="480" w:lineRule="auto" w:before="78"/>
        <w:ind w:left="1720" w:right="557" w:firstLine="720"/>
        <w:jc w:val="both"/>
      </w:pP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evaluation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material</w:t>
      </w:r>
      <w:r>
        <w:rPr>
          <w:spacing w:val="1"/>
        </w:rPr>
        <w:t> </w:t>
      </w:r>
      <w:r>
        <w:rPr/>
        <w:t>selection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temporary</w:t>
      </w:r>
      <w:r>
        <w:rPr>
          <w:spacing w:val="1"/>
        </w:rPr>
        <w:t> </w:t>
      </w:r>
      <w:r>
        <w:rPr/>
        <w:t>military</w:t>
      </w:r>
      <w:r>
        <w:rPr>
          <w:spacing w:val="1"/>
        </w:rPr>
        <w:t> </w:t>
      </w:r>
      <w:r>
        <w:rPr/>
        <w:t>structures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is</w:t>
      </w:r>
      <w:r>
        <w:rPr>
          <w:spacing w:val="-57"/>
        </w:rPr>
        <w:t> </w:t>
      </w:r>
      <w:r>
        <w:rPr/>
        <w:t>important to ensure the SDOF model used an appropriate resistance function for the</w:t>
      </w:r>
      <w:r>
        <w:rPr>
          <w:spacing w:val="1"/>
        </w:rPr>
        <w:t> </w:t>
      </w:r>
      <w:r>
        <w:rPr/>
        <w:t>material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/>
        <w:t>that</w:t>
      </w:r>
      <w:r>
        <w:rPr>
          <w:spacing w:val="-6"/>
        </w:rPr>
        <w:t> </w:t>
      </w:r>
      <w:r>
        <w:rPr/>
        <w:t>the</w:t>
      </w:r>
      <w:r>
        <w:rPr>
          <w:spacing w:val="-4"/>
        </w:rPr>
        <w:t> </w:t>
      </w:r>
      <w:r>
        <w:rPr/>
        <w:t>end</w:t>
      </w:r>
      <w:r>
        <w:rPr>
          <w:spacing w:val="-5"/>
        </w:rPr>
        <w:t> </w:t>
      </w:r>
      <w:r>
        <w:rPr/>
        <w:t>conditions</w:t>
      </w:r>
      <w:r>
        <w:rPr>
          <w:spacing w:val="-5"/>
        </w:rPr>
        <w:t> </w:t>
      </w:r>
      <w:r>
        <w:rPr/>
        <w:t>are</w:t>
      </w:r>
      <w:r>
        <w:rPr>
          <w:spacing w:val="-4"/>
        </w:rPr>
        <w:t> </w:t>
      </w:r>
      <w:r>
        <w:rPr/>
        <w:t>representative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actual</w:t>
      </w:r>
      <w:r>
        <w:rPr>
          <w:spacing w:val="-4"/>
        </w:rPr>
        <w:t> </w:t>
      </w:r>
      <w:r>
        <w:rPr/>
        <w:t>structural</w:t>
      </w:r>
      <w:r>
        <w:rPr>
          <w:spacing w:val="-3"/>
        </w:rPr>
        <w:t> </w:t>
      </w:r>
      <w:r>
        <w:rPr/>
        <w:t>connections.</w:t>
      </w:r>
      <w:r>
        <w:rPr>
          <w:spacing w:val="-58"/>
        </w:rPr>
        <w:t> </w:t>
      </w:r>
      <w:r>
        <w:rPr/>
        <w:t>A higher level of protection is generally preferred although some consideration must be</w:t>
      </w:r>
      <w:r>
        <w:rPr>
          <w:spacing w:val="1"/>
        </w:rPr>
        <w:t> </w:t>
      </w:r>
      <w:r>
        <w:rPr/>
        <w:t>given to the effect on level of protection when the site layout likely implements inherent</w:t>
      </w:r>
      <w:r>
        <w:rPr>
          <w:spacing w:val="1"/>
        </w:rPr>
        <w:t> </w:t>
      </w:r>
      <w:r>
        <w:rPr/>
        <w:t>stand-off</w:t>
      </w:r>
      <w:r>
        <w:rPr>
          <w:spacing w:val="-7"/>
        </w:rPr>
        <w:t> </w:t>
      </w:r>
      <w:r>
        <w:rPr/>
        <w:t>distance.</w:t>
      </w:r>
      <w:r>
        <w:rPr>
          <w:spacing w:val="49"/>
        </w:rPr>
        <w:t> </w:t>
      </w:r>
      <w:r>
        <w:rPr/>
        <w:t>For</w:t>
      </w:r>
      <w:r>
        <w:rPr>
          <w:spacing w:val="-6"/>
        </w:rPr>
        <w:t> </w:t>
      </w:r>
      <w:r>
        <w:rPr/>
        <w:t>example,</w:t>
      </w:r>
      <w:r>
        <w:rPr>
          <w:spacing w:val="-5"/>
        </w:rPr>
        <w:t> </w:t>
      </w:r>
      <w:r>
        <w:rPr/>
        <w:t>if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structure</w:t>
      </w:r>
      <w:r>
        <w:rPr>
          <w:spacing w:val="-6"/>
        </w:rPr>
        <w:t> </w:t>
      </w:r>
      <w:r>
        <w:rPr/>
        <w:t>is</w:t>
      </w:r>
      <w:r>
        <w:rPr>
          <w:spacing w:val="-6"/>
        </w:rPr>
        <w:t> </w:t>
      </w:r>
      <w:r>
        <w:rPr/>
        <w:t>going</w:t>
      </w:r>
      <w:r>
        <w:rPr>
          <w:spacing w:val="-6"/>
        </w:rPr>
        <w:t> </w:t>
      </w:r>
      <w:r>
        <w:rPr/>
        <w:t>to</w:t>
      </w:r>
      <w:r>
        <w:rPr>
          <w:spacing w:val="-5"/>
        </w:rPr>
        <w:t> </w:t>
      </w:r>
      <w:r>
        <w:rPr/>
        <w:t>be</w:t>
      </w:r>
      <w:r>
        <w:rPr>
          <w:spacing w:val="-6"/>
        </w:rPr>
        <w:t> </w:t>
      </w:r>
      <w:r>
        <w:rPr/>
        <w:t>a</w:t>
      </w:r>
      <w:r>
        <w:rPr>
          <w:spacing w:val="-6"/>
        </w:rPr>
        <w:t> </w:t>
      </w:r>
      <w:r>
        <w:rPr/>
        <w:t>set</w:t>
      </w:r>
      <w:r>
        <w:rPr>
          <w:spacing w:val="-5"/>
        </w:rPr>
        <w:t> </w:t>
      </w:r>
      <w:r>
        <w:rPr/>
        <w:t>distance</w:t>
      </w:r>
      <w:r>
        <w:rPr>
          <w:spacing w:val="-5"/>
        </w:rPr>
        <w:t> </w:t>
      </w:r>
      <w:r>
        <w:rPr/>
        <w:t>from</w:t>
      </w:r>
      <w:r>
        <w:rPr>
          <w:spacing w:val="-7"/>
        </w:rPr>
        <w:t> </w:t>
      </w:r>
      <w:r>
        <w:rPr/>
        <w:t>the</w:t>
      </w:r>
      <w:r>
        <w:rPr>
          <w:spacing w:val="-5"/>
        </w:rPr>
        <w:t> </w:t>
      </w:r>
      <w:r>
        <w:rPr/>
        <w:t>blast</w:t>
      </w:r>
      <w:r>
        <w:rPr>
          <w:spacing w:val="-58"/>
        </w:rPr>
        <w:t> </w:t>
      </w:r>
      <w:r>
        <w:rPr/>
        <w:t>threat</w:t>
      </w:r>
      <w:r>
        <w:rPr>
          <w:spacing w:val="-9"/>
        </w:rPr>
        <w:t> </w:t>
      </w:r>
      <w:r>
        <w:rPr/>
        <w:t>by</w:t>
      </w:r>
      <w:r>
        <w:rPr>
          <w:spacing w:val="-10"/>
        </w:rPr>
        <w:t> </w:t>
      </w:r>
      <w:r>
        <w:rPr/>
        <w:t>nature</w:t>
      </w:r>
      <w:r>
        <w:rPr>
          <w:spacing w:val="-10"/>
        </w:rPr>
        <w:t> </w:t>
      </w:r>
      <w:r>
        <w:rPr/>
        <w:t>of</w:t>
      </w:r>
      <w:r>
        <w:rPr>
          <w:spacing w:val="-11"/>
        </w:rPr>
        <w:t> </w:t>
      </w:r>
      <w:r>
        <w:rPr/>
        <w:t>its</w:t>
      </w:r>
      <w:r>
        <w:rPr>
          <w:spacing w:val="-9"/>
        </w:rPr>
        <w:t> </w:t>
      </w:r>
      <w:r>
        <w:rPr/>
        <w:t>location</w:t>
      </w:r>
      <w:r>
        <w:rPr>
          <w:spacing w:val="-10"/>
        </w:rPr>
        <w:t> </w:t>
      </w:r>
      <w:r>
        <w:rPr/>
        <w:t>within</w:t>
      </w:r>
      <w:r>
        <w:rPr>
          <w:spacing w:val="-10"/>
        </w:rPr>
        <w:t> </w:t>
      </w:r>
      <w:r>
        <w:rPr/>
        <w:t>a</w:t>
      </w:r>
      <w:r>
        <w:rPr>
          <w:spacing w:val="-8"/>
        </w:rPr>
        <w:t> </w:t>
      </w:r>
      <w:r>
        <w:rPr/>
        <w:t>military</w:t>
      </w:r>
      <w:r>
        <w:rPr>
          <w:spacing w:val="-10"/>
        </w:rPr>
        <w:t> </w:t>
      </w:r>
      <w:r>
        <w:rPr/>
        <w:t>compound,</w:t>
      </w:r>
      <w:r>
        <w:rPr>
          <w:spacing w:val="-9"/>
        </w:rPr>
        <w:t> </w:t>
      </w:r>
      <w:r>
        <w:rPr/>
        <w:t>then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structure</w:t>
      </w:r>
      <w:r>
        <w:rPr>
          <w:spacing w:val="-10"/>
        </w:rPr>
        <w:t> </w:t>
      </w:r>
      <w:r>
        <w:rPr/>
        <w:t>may</w:t>
      </w:r>
      <w:r>
        <w:rPr>
          <w:spacing w:val="-8"/>
        </w:rPr>
        <w:t> </w:t>
      </w:r>
      <w:r>
        <w:rPr/>
        <w:t>not</w:t>
      </w:r>
      <w:r>
        <w:rPr>
          <w:spacing w:val="-9"/>
        </w:rPr>
        <w:t> </w:t>
      </w:r>
      <w:r>
        <w:rPr/>
        <w:t>need</w:t>
      </w:r>
      <w:r>
        <w:rPr>
          <w:spacing w:val="-58"/>
        </w:rPr>
        <w:t> </w:t>
      </w:r>
      <w:r>
        <w:rPr/>
        <w:t>to</w:t>
      </w:r>
      <w:r>
        <w:rPr>
          <w:spacing w:val="-12"/>
        </w:rPr>
        <w:t> </w:t>
      </w:r>
      <w:r>
        <w:rPr/>
        <w:t>be</w:t>
      </w:r>
      <w:r>
        <w:rPr>
          <w:spacing w:val="-12"/>
        </w:rPr>
        <w:t> </w:t>
      </w:r>
      <w:r>
        <w:rPr/>
        <w:t>as</w:t>
      </w:r>
      <w:r>
        <w:rPr>
          <w:spacing w:val="-12"/>
        </w:rPr>
        <w:t> </w:t>
      </w:r>
      <w:r>
        <w:rPr/>
        <w:t>robust</w:t>
      </w:r>
      <w:r>
        <w:rPr>
          <w:spacing w:val="-12"/>
        </w:rPr>
        <w:t> </w:t>
      </w:r>
      <w:r>
        <w:rPr/>
        <w:t>to</w:t>
      </w:r>
      <w:r>
        <w:rPr>
          <w:spacing w:val="-11"/>
        </w:rPr>
        <w:t> </w:t>
      </w:r>
      <w:r>
        <w:rPr/>
        <w:t>achieve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same</w:t>
      </w:r>
      <w:r>
        <w:rPr>
          <w:spacing w:val="-12"/>
        </w:rPr>
        <w:t> </w:t>
      </w:r>
      <w:r>
        <w:rPr/>
        <w:t>LOP.</w:t>
      </w:r>
      <w:r>
        <w:rPr>
          <w:spacing w:val="37"/>
        </w:rPr>
        <w:t> </w:t>
      </w:r>
      <w:r>
        <w:rPr/>
        <w:t>The</w:t>
      </w:r>
      <w:r>
        <w:rPr>
          <w:spacing w:val="-12"/>
        </w:rPr>
        <w:t> </w:t>
      </w:r>
      <w:r>
        <w:rPr/>
        <w:t>consideration</w:t>
      </w:r>
      <w:r>
        <w:rPr>
          <w:spacing w:val="-12"/>
        </w:rPr>
        <w:t> </w:t>
      </w:r>
      <w:r>
        <w:rPr/>
        <w:t>and</w:t>
      </w:r>
      <w:r>
        <w:rPr>
          <w:spacing w:val="-13"/>
        </w:rPr>
        <w:t> </w:t>
      </w:r>
      <w:r>
        <w:rPr/>
        <w:t>incorporation</w:t>
      </w:r>
      <w:r>
        <w:rPr>
          <w:spacing w:val="-12"/>
        </w:rPr>
        <w:t> </w:t>
      </w:r>
      <w:r>
        <w:rPr/>
        <w:t>of</w:t>
      </w:r>
      <w:r>
        <w:rPr>
          <w:spacing w:val="-12"/>
        </w:rPr>
        <w:t> </w:t>
      </w:r>
      <w:r>
        <w:rPr/>
        <w:t>additional</w:t>
      </w:r>
      <w:r>
        <w:rPr>
          <w:spacing w:val="-58"/>
        </w:rPr>
        <w:t> </w:t>
      </w:r>
      <w:r>
        <w:rPr/>
        <w:t>stand-off distance would have the effect of potentially reducing costs while not having to</w:t>
      </w:r>
      <w:r>
        <w:rPr>
          <w:spacing w:val="1"/>
        </w:rPr>
        <w:t> </w:t>
      </w:r>
      <w:r>
        <w:rPr/>
        <w:t>make</w:t>
      </w:r>
      <w:r>
        <w:rPr>
          <w:spacing w:val="-1"/>
        </w:rPr>
        <w:t> </w:t>
      </w:r>
      <w:r>
        <w:rPr/>
        <w:t>trade-offs</w:t>
      </w:r>
      <w:r>
        <w:rPr>
          <w:spacing w:val="1"/>
        </w:rPr>
        <w:t> </w:t>
      </w:r>
      <w:r>
        <w:rPr/>
        <w:t>for other criteria.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440" w:right="880"/>
        </w:sectPr>
      </w:pPr>
    </w:p>
    <w:p>
      <w:pPr>
        <w:spacing w:before="79"/>
        <w:ind w:left="1719" w:right="0" w:firstLine="0"/>
        <w:jc w:val="left"/>
        <w:rPr>
          <w:i/>
          <w:sz w:val="24"/>
        </w:rPr>
      </w:pPr>
      <w:bookmarkStart w:name="_bookmark209" w:id="602"/>
      <w:bookmarkEnd w:id="602"/>
      <w:r>
        <w:rPr/>
      </w:r>
      <w:r>
        <w:rPr>
          <w:i/>
          <w:sz w:val="24"/>
        </w:rPr>
        <w:t>Table</w:t>
      </w:r>
      <w:r>
        <w:rPr>
          <w:i/>
          <w:spacing w:val="17"/>
          <w:sz w:val="24"/>
        </w:rPr>
        <w:t> </w:t>
      </w:r>
      <w:r>
        <w:rPr>
          <w:i/>
          <w:sz w:val="24"/>
        </w:rPr>
        <w:t>9-2.</w:t>
      </w:r>
      <w:r>
        <w:rPr>
          <w:i/>
          <w:spacing w:val="18"/>
          <w:sz w:val="24"/>
        </w:rPr>
        <w:t> </w:t>
      </w:r>
      <w:r>
        <w:rPr>
          <w:i/>
          <w:sz w:val="24"/>
        </w:rPr>
        <w:t>Levels</w:t>
      </w:r>
      <w:r>
        <w:rPr>
          <w:i/>
          <w:spacing w:val="17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8"/>
          <w:sz w:val="24"/>
        </w:rPr>
        <w:t> </w:t>
      </w:r>
      <w:r>
        <w:rPr>
          <w:i/>
          <w:sz w:val="24"/>
        </w:rPr>
        <w:t>Protection</w:t>
      </w:r>
      <w:r>
        <w:rPr>
          <w:i/>
          <w:spacing w:val="17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17"/>
          <w:sz w:val="24"/>
        </w:rPr>
        <w:t> </w:t>
      </w:r>
      <w:r>
        <w:rPr>
          <w:i/>
          <w:sz w:val="24"/>
        </w:rPr>
        <w:t>Expeditionary</w:t>
      </w:r>
      <w:r>
        <w:rPr>
          <w:i/>
          <w:spacing w:val="17"/>
          <w:sz w:val="24"/>
        </w:rPr>
        <w:t> </w:t>
      </w:r>
      <w:r>
        <w:rPr>
          <w:i/>
          <w:sz w:val="24"/>
        </w:rPr>
        <w:t>Structures,</w:t>
      </w:r>
      <w:r>
        <w:rPr>
          <w:i/>
          <w:spacing w:val="18"/>
          <w:sz w:val="24"/>
        </w:rPr>
        <w:t> </w:t>
      </w:r>
      <w:r>
        <w:rPr>
          <w:i/>
          <w:sz w:val="24"/>
        </w:rPr>
        <w:t>from</w:t>
      </w:r>
      <w:r>
        <w:rPr>
          <w:i/>
          <w:spacing w:val="16"/>
          <w:sz w:val="24"/>
        </w:rPr>
        <w:t> </w:t>
      </w:r>
      <w:r>
        <w:rPr>
          <w:i/>
          <w:sz w:val="24"/>
        </w:rPr>
        <w:t>UFC</w:t>
      </w:r>
      <w:r>
        <w:rPr>
          <w:i/>
          <w:spacing w:val="18"/>
          <w:sz w:val="24"/>
        </w:rPr>
        <w:t> </w:t>
      </w:r>
      <w:r>
        <w:rPr>
          <w:i/>
          <w:sz w:val="24"/>
        </w:rPr>
        <w:t>4-010-01,</w:t>
      </w:r>
      <w:r>
        <w:rPr>
          <w:i/>
          <w:spacing w:val="17"/>
          <w:sz w:val="24"/>
        </w:rPr>
        <w:t> </w:t>
      </w:r>
      <w:r>
        <w:rPr>
          <w:i/>
          <w:sz w:val="24"/>
        </w:rPr>
        <w:t>DoD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Minimum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Antiterrorism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Standards for Buildings [15].</w:t>
      </w:r>
    </w:p>
    <w:p>
      <w:pPr>
        <w:pStyle w:val="BodyText"/>
        <w:spacing w:before="5" w:after="1"/>
        <w:rPr>
          <w:i/>
          <w:sz w:val="17"/>
        </w:rPr>
      </w:pPr>
    </w:p>
    <w:tbl>
      <w:tblPr>
        <w:tblW w:w="0" w:type="auto"/>
        <w:jc w:val="left"/>
        <w:tblInd w:w="172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60"/>
        <w:gridCol w:w="3099"/>
        <w:gridCol w:w="3399"/>
      </w:tblGrid>
      <w:tr>
        <w:trPr>
          <w:trHeight w:val="314" w:hRule="atLeast"/>
        </w:trPr>
        <w:tc>
          <w:tcPr>
            <w:tcW w:w="2060" w:type="dxa"/>
            <w:tcBorders>
              <w:top w:val="nil"/>
              <w:left w:val="nil"/>
              <w:right w:val="single" w:sz="4" w:space="0" w:color="000000"/>
            </w:tcBorders>
            <w:shd w:val="clear" w:color="auto" w:fill="C0C0C0"/>
          </w:tcPr>
          <w:p>
            <w:pPr>
              <w:pStyle w:val="TableParagraph"/>
              <w:spacing w:line="234" w:lineRule="exact" w:before="60"/>
              <w:ind w:left="108"/>
              <w:rPr>
                <w:sz w:val="22"/>
              </w:rPr>
            </w:pPr>
            <w:r>
              <w:rPr>
                <w:sz w:val="22"/>
              </w:rPr>
              <w:t>Level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Protection</w:t>
            </w:r>
          </w:p>
        </w:tc>
        <w:tc>
          <w:tcPr>
            <w:tcW w:w="3099" w:type="dxa"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C0C0C0"/>
          </w:tcPr>
          <w:p>
            <w:pPr>
              <w:pStyle w:val="TableParagraph"/>
              <w:spacing w:line="234" w:lineRule="exact" w:before="60"/>
              <w:ind w:left="103"/>
              <w:rPr>
                <w:sz w:val="22"/>
              </w:rPr>
            </w:pPr>
            <w:r>
              <w:rPr>
                <w:sz w:val="22"/>
              </w:rPr>
              <w:t>Potential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Structural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Damage</w:t>
            </w:r>
          </w:p>
        </w:tc>
        <w:tc>
          <w:tcPr>
            <w:tcW w:w="3399" w:type="dxa"/>
            <w:tcBorders>
              <w:top w:val="nil"/>
              <w:left w:val="single" w:sz="4" w:space="0" w:color="000000"/>
              <w:right w:val="nil"/>
            </w:tcBorders>
            <w:shd w:val="clear" w:color="auto" w:fill="C0C0C0"/>
          </w:tcPr>
          <w:p>
            <w:pPr>
              <w:pStyle w:val="TableParagraph"/>
              <w:spacing w:line="234" w:lineRule="exact" w:before="60"/>
              <w:ind w:left="103"/>
              <w:rPr>
                <w:sz w:val="22"/>
              </w:rPr>
            </w:pPr>
            <w:r>
              <w:rPr>
                <w:sz w:val="22"/>
              </w:rPr>
              <w:t>Potential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Injury</w:t>
            </w:r>
          </w:p>
        </w:tc>
      </w:tr>
      <w:tr>
        <w:trPr>
          <w:trHeight w:val="1200" w:hRule="atLeast"/>
        </w:trPr>
        <w:tc>
          <w:tcPr>
            <w:tcW w:w="2060" w:type="dxa"/>
            <w:tcBorders>
              <w:left w:val="nil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8" w:right="996"/>
              <w:rPr>
                <w:sz w:val="22"/>
              </w:rPr>
            </w:pPr>
            <w:r>
              <w:rPr>
                <w:sz w:val="22"/>
              </w:rPr>
              <w:t>Below AT</w:t>
            </w:r>
            <w:r>
              <w:rPr>
                <w:spacing w:val="-52"/>
                <w:sz w:val="22"/>
              </w:rPr>
              <w:t> </w:t>
            </w:r>
            <w:r>
              <w:rPr>
                <w:spacing w:val="-1"/>
                <w:sz w:val="22"/>
              </w:rPr>
              <w:t>standards*</w:t>
            </w:r>
          </w:p>
        </w:tc>
        <w:tc>
          <w:tcPr>
            <w:tcW w:w="309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3" w:right="387"/>
              <w:rPr>
                <w:sz w:val="22"/>
              </w:rPr>
            </w:pPr>
            <w:r>
              <w:rPr>
                <w:sz w:val="22"/>
              </w:rPr>
              <w:t>Severe damage. Frame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collapse/massive destruction.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Little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left standing.</w:t>
            </w:r>
          </w:p>
        </w:tc>
        <w:tc>
          <w:tcPr>
            <w:tcW w:w="3399" w:type="dxa"/>
            <w:tcBorders>
              <w:left w:val="single" w:sz="4" w:space="0" w:color="000000"/>
              <w:bottom w:val="single" w:sz="4" w:space="0" w:color="000000"/>
              <w:right w:val="nil"/>
            </w:tcBorders>
          </w:tcPr>
          <w:p>
            <w:pPr>
              <w:pStyle w:val="TableParagraph"/>
              <w:ind w:left="103" w:right="350"/>
              <w:rPr>
                <w:sz w:val="22"/>
              </w:rPr>
            </w:pPr>
            <w:r>
              <w:rPr>
                <w:sz w:val="22"/>
              </w:rPr>
              <w:t>Majority of personnel in collapse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region suffer fatalities.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Potential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fatalities in areas outside 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collapsed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area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likely.</w:t>
            </w:r>
          </w:p>
        </w:tc>
      </w:tr>
      <w:tr>
        <w:trPr>
          <w:trHeight w:val="1799" w:hRule="atLeast"/>
        </w:trPr>
        <w:tc>
          <w:tcPr>
            <w:tcW w:w="20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1" w:lineRule="exact"/>
              <w:ind w:left="108"/>
              <w:rPr>
                <w:sz w:val="22"/>
              </w:rPr>
            </w:pPr>
            <w:r>
              <w:rPr>
                <w:sz w:val="22"/>
              </w:rPr>
              <w:t>Very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Low</w:t>
            </w:r>
          </w:p>
        </w:tc>
        <w:tc>
          <w:tcPr>
            <w:tcW w:w="3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3" w:right="152"/>
              <w:rPr>
                <w:sz w:val="22"/>
              </w:rPr>
            </w:pPr>
            <w:r>
              <w:rPr>
                <w:sz w:val="22"/>
              </w:rPr>
              <w:t>Heavy damage.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Major portions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structure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will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collapse.</w:t>
            </w:r>
            <w:r>
              <w:rPr>
                <w:spacing w:val="51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significant percentage 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secondary structural members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will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collapse.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>
            <w:pPr>
              <w:pStyle w:val="TableParagraph"/>
              <w:ind w:left="103"/>
              <w:rPr>
                <w:sz w:val="22"/>
              </w:rPr>
            </w:pPr>
            <w:r>
              <w:rPr>
                <w:sz w:val="22"/>
              </w:rPr>
              <w:t>Majority of personnel in damaged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area suffer serious injuries with a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potential for fatalities.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Personnel in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areas outside damaged area will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experience minor to moderate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injuries.</w:t>
            </w:r>
          </w:p>
        </w:tc>
      </w:tr>
      <w:tr>
        <w:trPr>
          <w:trHeight w:val="2023" w:hRule="atLeast"/>
        </w:trPr>
        <w:tc>
          <w:tcPr>
            <w:tcW w:w="20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1" w:lineRule="exact"/>
              <w:ind w:left="108"/>
              <w:rPr>
                <w:sz w:val="22"/>
              </w:rPr>
            </w:pPr>
            <w:r>
              <w:rPr>
                <w:sz w:val="22"/>
              </w:rPr>
              <w:t>Low</w:t>
            </w:r>
          </w:p>
        </w:tc>
        <w:tc>
          <w:tcPr>
            <w:tcW w:w="3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3" w:right="103"/>
              <w:rPr>
                <w:sz w:val="22"/>
              </w:rPr>
            </w:pPr>
            <w:r>
              <w:rPr>
                <w:sz w:val="22"/>
              </w:rPr>
              <w:t>Moderate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damage.</w:t>
            </w:r>
            <w:r>
              <w:rPr>
                <w:spacing w:val="49"/>
                <w:sz w:val="22"/>
              </w:rPr>
              <w:t> </w:t>
            </w:r>
            <w:r>
              <w:rPr>
                <w:sz w:val="22"/>
              </w:rPr>
              <w:t>Damage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will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be unrepairable.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Some sections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of the structure may collapse or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lose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structural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capacity.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>
            <w:pPr>
              <w:pStyle w:val="TableParagraph"/>
              <w:ind w:left="103" w:right="110"/>
              <w:rPr>
                <w:sz w:val="22"/>
              </w:rPr>
            </w:pPr>
            <w:r>
              <w:rPr>
                <w:sz w:val="22"/>
              </w:rPr>
              <w:t>Majority of personnel in damaged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area suffer minor to moderate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injuries with the potential for a few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serious injuries, but fatalities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unlikely.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Personnel in areas outside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damage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areas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will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potentially</w:t>
            </w:r>
          </w:p>
          <w:p>
            <w:pPr>
              <w:pStyle w:val="TableParagraph"/>
              <w:spacing w:line="250" w:lineRule="atLeast"/>
              <w:ind w:left="103" w:right="485"/>
              <w:rPr>
                <w:sz w:val="22"/>
              </w:rPr>
            </w:pPr>
            <w:r>
              <w:rPr>
                <w:sz w:val="22"/>
              </w:rPr>
              <w:t>experience a minor to moderate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injury.</w:t>
            </w:r>
          </w:p>
        </w:tc>
      </w:tr>
      <w:tr>
        <w:trPr>
          <w:trHeight w:val="2399" w:hRule="atLeast"/>
        </w:trPr>
        <w:tc>
          <w:tcPr>
            <w:tcW w:w="20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1" w:lineRule="exact"/>
              <w:ind w:left="108"/>
              <w:rPr>
                <w:sz w:val="22"/>
              </w:rPr>
            </w:pPr>
            <w:r>
              <w:rPr>
                <w:sz w:val="22"/>
              </w:rPr>
              <w:t>Medium</w:t>
            </w:r>
          </w:p>
        </w:tc>
        <w:tc>
          <w:tcPr>
            <w:tcW w:w="3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3" w:right="174"/>
              <w:rPr>
                <w:sz w:val="22"/>
              </w:rPr>
            </w:pPr>
            <w:r>
              <w:rPr>
                <w:sz w:val="22"/>
              </w:rPr>
              <w:t>Minor damage. Damage will be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repairable.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Minor to major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deformations of both structural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members and non-structural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elements.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Some secondary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debris will be likely, but 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structure remains intact with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collapse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unlikely.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>
            <w:pPr>
              <w:pStyle w:val="TableParagraph"/>
              <w:ind w:left="103" w:right="110"/>
              <w:rPr>
                <w:sz w:val="22"/>
              </w:rPr>
            </w:pPr>
            <w:r>
              <w:rPr>
                <w:sz w:val="22"/>
              </w:rPr>
              <w:t>Personnel in damaged area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potentially</w:t>
            </w:r>
            <w:r>
              <w:rPr>
                <w:spacing w:val="15"/>
                <w:sz w:val="22"/>
              </w:rPr>
              <w:t> </w:t>
            </w:r>
            <w:r>
              <w:rPr>
                <w:sz w:val="22"/>
              </w:rPr>
              <w:t>suffer</w:t>
            </w:r>
            <w:r>
              <w:rPr>
                <w:spacing w:val="16"/>
                <w:sz w:val="22"/>
              </w:rPr>
              <w:t> </w:t>
            </w:r>
            <w:r>
              <w:rPr>
                <w:sz w:val="22"/>
              </w:rPr>
              <w:t>minor</w:t>
            </w:r>
            <w:r>
              <w:rPr>
                <w:spacing w:val="15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moderate injuries, but fatalities are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unlikely.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Personnel in areas outside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damaged areas will potentially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experience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superficial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injuries.</w:t>
            </w:r>
          </w:p>
        </w:tc>
      </w:tr>
      <w:tr>
        <w:trPr>
          <w:trHeight w:val="1265" w:hRule="atLeast"/>
        </w:trPr>
        <w:tc>
          <w:tcPr>
            <w:tcW w:w="2060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51" w:lineRule="exact"/>
              <w:ind w:left="108"/>
              <w:rPr>
                <w:sz w:val="22"/>
              </w:rPr>
            </w:pPr>
            <w:r>
              <w:rPr>
                <w:sz w:val="22"/>
              </w:rPr>
              <w:t>High</w:t>
            </w:r>
          </w:p>
        </w:tc>
        <w:tc>
          <w:tcPr>
            <w:tcW w:w="3099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54" w:lineRule="exact"/>
              <w:ind w:left="103" w:right="577"/>
              <w:rPr>
                <w:sz w:val="22"/>
              </w:rPr>
            </w:pPr>
            <w:r>
              <w:rPr>
                <w:sz w:val="22"/>
              </w:rPr>
              <w:t>Minimal damage.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No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permanent deformation 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primary and secondary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structural members or non-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structural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elements.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</w:tcPr>
          <w:p>
            <w:pPr>
              <w:pStyle w:val="TableParagraph"/>
              <w:spacing w:line="251" w:lineRule="exact"/>
              <w:ind w:left="103"/>
              <w:rPr>
                <w:sz w:val="22"/>
              </w:rPr>
            </w:pPr>
            <w:r>
              <w:rPr>
                <w:sz w:val="22"/>
              </w:rPr>
              <w:t>Only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superficial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injuries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are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likely.</w:t>
            </w:r>
          </w:p>
        </w:tc>
      </w:tr>
    </w:tbl>
    <w:p>
      <w:pPr>
        <w:pStyle w:val="BodyText"/>
        <w:spacing w:before="9"/>
        <w:rPr>
          <w:i/>
          <w:sz w:val="21"/>
        </w:rPr>
      </w:pPr>
    </w:p>
    <w:p>
      <w:pPr>
        <w:spacing w:before="0"/>
        <w:ind w:left="1828" w:right="443" w:firstLine="0"/>
        <w:jc w:val="left"/>
        <w:rPr>
          <w:sz w:val="22"/>
        </w:rPr>
      </w:pPr>
      <w:r>
        <w:rPr>
          <w:sz w:val="22"/>
        </w:rPr>
        <w:t>*</w:t>
      </w:r>
      <w:r>
        <w:rPr>
          <w:spacing w:val="-2"/>
          <w:sz w:val="22"/>
        </w:rPr>
        <w:t> </w:t>
      </w:r>
      <w:r>
        <w:rPr>
          <w:sz w:val="22"/>
        </w:rPr>
        <w:t>Not</w:t>
      </w:r>
      <w:r>
        <w:rPr>
          <w:spacing w:val="-2"/>
          <w:sz w:val="22"/>
        </w:rPr>
        <w:t> </w:t>
      </w:r>
      <w:r>
        <w:rPr>
          <w:sz w:val="22"/>
        </w:rPr>
        <w:t>a</w:t>
      </w:r>
      <w:r>
        <w:rPr>
          <w:spacing w:val="-2"/>
          <w:sz w:val="22"/>
        </w:rPr>
        <w:t> </w:t>
      </w:r>
      <w:r>
        <w:rPr>
          <w:sz w:val="22"/>
        </w:rPr>
        <w:t>level</w:t>
      </w:r>
      <w:r>
        <w:rPr>
          <w:spacing w:val="-2"/>
          <w:sz w:val="22"/>
        </w:rPr>
        <w:t> </w:t>
      </w:r>
      <w:r>
        <w:rPr>
          <w:sz w:val="22"/>
        </w:rPr>
        <w:t>of</w:t>
      </w:r>
      <w:r>
        <w:rPr>
          <w:spacing w:val="-2"/>
          <w:sz w:val="22"/>
        </w:rPr>
        <w:t> </w:t>
      </w:r>
      <w:r>
        <w:rPr>
          <w:sz w:val="22"/>
        </w:rPr>
        <w:t>protection,</w:t>
      </w:r>
      <w:r>
        <w:rPr>
          <w:spacing w:val="-2"/>
          <w:sz w:val="22"/>
        </w:rPr>
        <w:t> </w:t>
      </w:r>
      <w:r>
        <w:rPr>
          <w:sz w:val="22"/>
        </w:rPr>
        <w:t>should</w:t>
      </w:r>
      <w:r>
        <w:rPr>
          <w:spacing w:val="-3"/>
          <w:sz w:val="22"/>
        </w:rPr>
        <w:t> </w:t>
      </w:r>
      <w:r>
        <w:rPr>
          <w:sz w:val="22"/>
        </w:rPr>
        <w:t>not</w:t>
      </w:r>
      <w:r>
        <w:rPr>
          <w:spacing w:val="-3"/>
          <w:sz w:val="22"/>
        </w:rPr>
        <w:t> </w:t>
      </w:r>
      <w:r>
        <w:rPr>
          <w:sz w:val="22"/>
        </w:rPr>
        <w:t>be</w:t>
      </w:r>
      <w:r>
        <w:rPr>
          <w:spacing w:val="-2"/>
          <w:sz w:val="22"/>
        </w:rPr>
        <w:t> </w:t>
      </w:r>
      <w:r>
        <w:rPr>
          <w:sz w:val="22"/>
        </w:rPr>
        <w:t>used</w:t>
      </w:r>
      <w:r>
        <w:rPr>
          <w:spacing w:val="-2"/>
          <w:sz w:val="22"/>
        </w:rPr>
        <w:t> </w:t>
      </w:r>
      <w:r>
        <w:rPr>
          <w:sz w:val="22"/>
        </w:rPr>
        <w:t>as</w:t>
      </w:r>
      <w:r>
        <w:rPr>
          <w:spacing w:val="-3"/>
          <w:sz w:val="22"/>
        </w:rPr>
        <w:t> </w:t>
      </w:r>
      <w:r>
        <w:rPr>
          <w:sz w:val="22"/>
        </w:rPr>
        <w:t>a</w:t>
      </w:r>
      <w:r>
        <w:rPr>
          <w:spacing w:val="-2"/>
          <w:sz w:val="22"/>
        </w:rPr>
        <w:t> </w:t>
      </w:r>
      <w:r>
        <w:rPr>
          <w:sz w:val="22"/>
        </w:rPr>
        <w:t>design</w:t>
      </w:r>
      <w:r>
        <w:rPr>
          <w:spacing w:val="-2"/>
          <w:sz w:val="22"/>
        </w:rPr>
        <w:t> </w:t>
      </w:r>
      <w:r>
        <w:rPr>
          <w:sz w:val="22"/>
        </w:rPr>
        <w:t>goal.</w:t>
      </w:r>
      <w:r>
        <w:rPr>
          <w:spacing w:val="52"/>
          <w:sz w:val="22"/>
        </w:rPr>
        <w:t> </w:t>
      </w:r>
      <w:r>
        <w:rPr>
          <w:sz w:val="22"/>
        </w:rPr>
        <w:t>Provided</w:t>
      </w:r>
      <w:r>
        <w:rPr>
          <w:spacing w:val="-2"/>
          <w:sz w:val="22"/>
        </w:rPr>
        <w:t> </w:t>
      </w:r>
      <w:r>
        <w:rPr>
          <w:sz w:val="22"/>
        </w:rPr>
        <w:t>to</w:t>
      </w:r>
      <w:r>
        <w:rPr>
          <w:spacing w:val="-1"/>
          <w:sz w:val="22"/>
        </w:rPr>
        <w:t> </w:t>
      </w:r>
      <w:r>
        <w:rPr>
          <w:sz w:val="22"/>
        </w:rPr>
        <w:t>define</w:t>
      </w:r>
      <w:r>
        <w:rPr>
          <w:spacing w:val="-3"/>
          <w:sz w:val="22"/>
        </w:rPr>
        <w:t> </w:t>
      </w:r>
      <w:r>
        <w:rPr>
          <w:sz w:val="22"/>
        </w:rPr>
        <w:t>a</w:t>
      </w:r>
      <w:r>
        <w:rPr>
          <w:spacing w:val="-3"/>
          <w:sz w:val="22"/>
        </w:rPr>
        <w:t> </w:t>
      </w:r>
      <w:r>
        <w:rPr>
          <w:sz w:val="22"/>
        </w:rPr>
        <w:t>realm</w:t>
      </w:r>
      <w:r>
        <w:rPr>
          <w:spacing w:val="-3"/>
          <w:sz w:val="22"/>
        </w:rPr>
        <w:t> </w:t>
      </w:r>
      <w:r>
        <w:rPr>
          <w:sz w:val="22"/>
        </w:rPr>
        <w:t>of</w:t>
      </w:r>
      <w:r>
        <w:rPr>
          <w:spacing w:val="-52"/>
          <w:sz w:val="22"/>
        </w:rPr>
        <w:t> </w:t>
      </w:r>
      <w:r>
        <w:rPr>
          <w:sz w:val="22"/>
        </w:rPr>
        <w:t>more</w:t>
      </w:r>
      <w:r>
        <w:rPr>
          <w:spacing w:val="-2"/>
          <w:sz w:val="22"/>
        </w:rPr>
        <w:t> </w:t>
      </w:r>
      <w:r>
        <w:rPr>
          <w:sz w:val="22"/>
        </w:rPr>
        <w:t>severe</w:t>
      </w:r>
      <w:r>
        <w:rPr>
          <w:spacing w:val="-1"/>
          <w:sz w:val="22"/>
        </w:rPr>
        <w:t> </w:t>
      </w:r>
      <w:r>
        <w:rPr>
          <w:sz w:val="22"/>
        </w:rPr>
        <w:t>structural</w:t>
      </w:r>
      <w:r>
        <w:rPr>
          <w:spacing w:val="-1"/>
          <w:sz w:val="22"/>
        </w:rPr>
        <w:t> </w:t>
      </w:r>
      <w:r>
        <w:rPr>
          <w:sz w:val="22"/>
        </w:rPr>
        <w:t>response</w:t>
      </w:r>
      <w:r>
        <w:rPr>
          <w:spacing w:val="-1"/>
          <w:sz w:val="22"/>
        </w:rPr>
        <w:t> </w:t>
      </w:r>
      <w:r>
        <w:rPr>
          <w:sz w:val="22"/>
        </w:rPr>
        <w:t>for</w:t>
      </w:r>
      <w:r>
        <w:rPr>
          <w:spacing w:val="-1"/>
          <w:sz w:val="22"/>
        </w:rPr>
        <w:t> </w:t>
      </w:r>
      <w:r>
        <w:rPr>
          <w:sz w:val="22"/>
        </w:rPr>
        <w:t>informational purposes.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9"/>
        <w:rPr>
          <w:sz w:val="34"/>
        </w:rPr>
      </w:pPr>
    </w:p>
    <w:p>
      <w:pPr>
        <w:pStyle w:val="ListParagraph"/>
        <w:numPr>
          <w:ilvl w:val="2"/>
          <w:numId w:val="28"/>
        </w:numPr>
        <w:tabs>
          <w:tab w:pos="2260" w:val="left" w:leader="none"/>
        </w:tabs>
        <w:spacing w:line="240" w:lineRule="auto" w:before="0" w:after="0"/>
        <w:ind w:left="2260" w:right="0" w:hanging="540"/>
        <w:jc w:val="left"/>
        <w:rPr>
          <w:i/>
          <w:sz w:val="24"/>
        </w:rPr>
      </w:pPr>
      <w:bookmarkStart w:name="9.3.5 Ballistic protection" w:id="603"/>
      <w:bookmarkEnd w:id="603"/>
      <w:r>
        <w:rPr/>
      </w:r>
      <w:bookmarkStart w:name="9.3.5 Ballistic protection" w:id="604"/>
      <w:bookmarkEnd w:id="604"/>
      <w:r>
        <w:rPr>
          <w:i/>
          <w:sz w:val="24"/>
        </w:rPr>
        <w:t>B</w:t>
      </w:r>
      <w:r>
        <w:rPr>
          <w:i/>
          <w:sz w:val="24"/>
        </w:rPr>
        <w:t>allistic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protection</w:t>
      </w:r>
    </w:p>
    <w:p>
      <w:pPr>
        <w:pStyle w:val="BodyText"/>
        <w:spacing w:before="1"/>
        <w:rPr>
          <w:i/>
          <w:sz w:val="22"/>
        </w:rPr>
      </w:pPr>
    </w:p>
    <w:p>
      <w:pPr>
        <w:pStyle w:val="BodyText"/>
        <w:spacing w:line="480" w:lineRule="auto"/>
        <w:ind w:left="1720" w:right="443" w:firstLine="720"/>
      </w:pPr>
      <w:r>
        <w:rPr/>
        <w:t>Much</w:t>
      </w:r>
      <w:r>
        <w:rPr>
          <w:spacing w:val="-8"/>
        </w:rPr>
        <w:t> </w:t>
      </w:r>
      <w:r>
        <w:rPr/>
        <w:t>like</w:t>
      </w:r>
      <w:r>
        <w:rPr>
          <w:spacing w:val="-7"/>
        </w:rPr>
        <w:t> </w:t>
      </w:r>
      <w:r>
        <w:rPr/>
        <w:t>blast</w:t>
      </w:r>
      <w:r>
        <w:rPr>
          <w:spacing w:val="-7"/>
        </w:rPr>
        <w:t> </w:t>
      </w:r>
      <w:r>
        <w:rPr/>
        <w:t>resistance,</w:t>
      </w:r>
      <w:r>
        <w:rPr>
          <w:spacing w:val="-8"/>
        </w:rPr>
        <w:t> </w:t>
      </w:r>
      <w:r>
        <w:rPr/>
        <w:t>ballistic</w:t>
      </w:r>
      <w:r>
        <w:rPr>
          <w:spacing w:val="-7"/>
        </w:rPr>
        <w:t> </w:t>
      </w:r>
      <w:r>
        <w:rPr/>
        <w:t>resistance</w:t>
      </w:r>
      <w:r>
        <w:rPr>
          <w:spacing w:val="-7"/>
        </w:rPr>
        <w:t> </w:t>
      </w:r>
      <w:r>
        <w:rPr/>
        <w:t>is</w:t>
      </w:r>
      <w:r>
        <w:rPr>
          <w:spacing w:val="-8"/>
        </w:rPr>
        <w:t> </w:t>
      </w:r>
      <w:r>
        <w:rPr/>
        <w:t>a</w:t>
      </w:r>
      <w:r>
        <w:rPr>
          <w:spacing w:val="-8"/>
        </w:rPr>
        <w:t> </w:t>
      </w:r>
      <w:r>
        <w:rPr/>
        <w:t>product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both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munition</w:t>
      </w:r>
      <w:r>
        <w:rPr>
          <w:spacing w:val="-7"/>
        </w:rPr>
        <w:t> </w:t>
      </w:r>
      <w:r>
        <w:rPr/>
        <w:t>and</w:t>
      </w:r>
      <w:r>
        <w:rPr>
          <w:spacing w:val="-57"/>
        </w:rPr>
        <w:t> </w:t>
      </w:r>
      <w:r>
        <w:rPr/>
        <w:t>the</w:t>
      </w:r>
      <w:r>
        <w:rPr>
          <w:spacing w:val="-6"/>
        </w:rPr>
        <w:t> </w:t>
      </w:r>
      <w:r>
        <w:rPr/>
        <w:t>target.</w:t>
      </w:r>
      <w:r>
        <w:rPr>
          <w:spacing w:val="48"/>
        </w:rPr>
        <w:t> </w:t>
      </w:r>
      <w:r>
        <w:rPr/>
        <w:t>Direct</w:t>
      </w:r>
      <w:r>
        <w:rPr>
          <w:spacing w:val="-6"/>
        </w:rPr>
        <w:t> </w:t>
      </w:r>
      <w:r>
        <w:rPr/>
        <w:t>fire</w:t>
      </w:r>
      <w:r>
        <w:rPr>
          <w:spacing w:val="-6"/>
        </w:rPr>
        <w:t> </w:t>
      </w:r>
      <w:r>
        <w:rPr/>
        <w:t>weapon</w:t>
      </w:r>
      <w:r>
        <w:rPr>
          <w:spacing w:val="-6"/>
        </w:rPr>
        <w:t> </w:t>
      </w:r>
      <w:r>
        <w:rPr/>
        <w:t>threats</w:t>
      </w:r>
      <w:r>
        <w:rPr>
          <w:spacing w:val="-6"/>
        </w:rPr>
        <w:t> </w:t>
      </w:r>
      <w:r>
        <w:rPr/>
        <w:t>covered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UFC</w:t>
      </w:r>
      <w:r>
        <w:rPr>
          <w:spacing w:val="-7"/>
        </w:rPr>
        <w:t> </w:t>
      </w:r>
      <w:r>
        <w:rPr/>
        <w:t>include</w:t>
      </w:r>
      <w:r>
        <w:rPr>
          <w:spacing w:val="-6"/>
        </w:rPr>
        <w:t> </w:t>
      </w:r>
      <w:r>
        <w:rPr/>
        <w:t>small</w:t>
      </w:r>
      <w:r>
        <w:rPr>
          <w:spacing w:val="-5"/>
        </w:rPr>
        <w:t> </w:t>
      </w:r>
      <w:r>
        <w:rPr/>
        <w:t>arms</w:t>
      </w:r>
      <w:r>
        <w:rPr>
          <w:spacing w:val="-5"/>
        </w:rPr>
        <w:t> </w:t>
      </w:r>
      <w:r>
        <w:rPr/>
        <w:t>weapons</w:t>
      </w:r>
      <w:r>
        <w:rPr>
          <w:spacing w:val="-6"/>
        </w:rPr>
        <w:t> </w:t>
      </w:r>
      <w:r>
        <w:rPr/>
        <w:t>and</w:t>
      </w:r>
    </w:p>
    <w:p>
      <w:pPr>
        <w:spacing w:after="0" w:line="480" w:lineRule="auto"/>
        <w:sectPr>
          <w:pgSz w:w="12240" w:h="15840"/>
          <w:pgMar w:header="0" w:footer="1064" w:top="1360" w:bottom="1260" w:left="440" w:right="880"/>
        </w:sectPr>
      </w:pPr>
    </w:p>
    <w:p>
      <w:pPr>
        <w:pStyle w:val="BodyText"/>
        <w:spacing w:line="480" w:lineRule="auto" w:before="78"/>
        <w:ind w:left="1720" w:right="557"/>
        <w:jc w:val="both"/>
      </w:pPr>
      <w:r>
        <w:rPr/>
        <w:t>shoulder fired rockets which all require direct lines of sight.</w:t>
      </w:r>
      <w:r>
        <w:rPr>
          <w:spacing w:val="1"/>
        </w:rPr>
        <w:t> </w:t>
      </w:r>
      <w:r>
        <w:rPr/>
        <w:t>Similar to standoff distance</w:t>
      </w:r>
      <w:r>
        <w:rPr>
          <w:spacing w:val="1"/>
        </w:rPr>
        <w:t> </w:t>
      </w:r>
      <w:r>
        <w:rPr/>
        <w:t>with</w:t>
      </w:r>
      <w:r>
        <w:rPr>
          <w:spacing w:val="-13"/>
        </w:rPr>
        <w:t> </w:t>
      </w:r>
      <w:r>
        <w:rPr/>
        <w:t>blast,</w:t>
      </w:r>
      <w:r>
        <w:rPr>
          <w:spacing w:val="-12"/>
        </w:rPr>
        <w:t> </w:t>
      </w:r>
      <w:r>
        <w:rPr/>
        <w:t>obscuration</w:t>
      </w:r>
      <w:r>
        <w:rPr>
          <w:spacing w:val="-12"/>
        </w:rPr>
        <w:t> </w:t>
      </w:r>
      <w:r>
        <w:rPr/>
        <w:t>or</w:t>
      </w:r>
      <w:r>
        <w:rPr>
          <w:spacing w:val="-12"/>
        </w:rPr>
        <w:t> </w:t>
      </w:r>
      <w:r>
        <w:rPr/>
        <w:t>denial</w:t>
      </w:r>
      <w:r>
        <w:rPr>
          <w:spacing w:val="-13"/>
        </w:rPr>
        <w:t> </w:t>
      </w:r>
      <w:r>
        <w:rPr/>
        <w:t>of</w:t>
      </w:r>
      <w:r>
        <w:rPr>
          <w:spacing w:val="-13"/>
        </w:rPr>
        <w:t> </w:t>
      </w:r>
      <w:r>
        <w:rPr/>
        <w:t>that</w:t>
      </w:r>
      <w:r>
        <w:rPr>
          <w:spacing w:val="-12"/>
        </w:rPr>
        <w:t> </w:t>
      </w:r>
      <w:r>
        <w:rPr/>
        <w:t>clear</w:t>
      </w:r>
      <w:r>
        <w:rPr>
          <w:spacing w:val="-13"/>
        </w:rPr>
        <w:t> </w:t>
      </w:r>
      <w:r>
        <w:rPr/>
        <w:t>line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sight</w:t>
      </w:r>
      <w:r>
        <w:rPr>
          <w:spacing w:val="-12"/>
        </w:rPr>
        <w:t> </w:t>
      </w:r>
      <w:r>
        <w:rPr/>
        <w:t>is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default</w:t>
      </w:r>
      <w:r>
        <w:rPr>
          <w:spacing w:val="-14"/>
        </w:rPr>
        <w:t> </w:t>
      </w:r>
      <w:r>
        <w:rPr/>
        <w:t>technique</w:t>
      </w:r>
      <w:r>
        <w:rPr>
          <w:spacing w:val="-12"/>
        </w:rPr>
        <w:t> </w:t>
      </w:r>
      <w:r>
        <w:rPr/>
        <w:t>to</w:t>
      </w:r>
      <w:r>
        <w:rPr>
          <w:spacing w:val="-13"/>
        </w:rPr>
        <w:t> </w:t>
      </w:r>
      <w:r>
        <w:rPr/>
        <w:t>counter</w:t>
      </w:r>
      <w:r>
        <w:rPr>
          <w:spacing w:val="-58"/>
        </w:rPr>
        <w:t> </w:t>
      </w:r>
      <w:r>
        <w:rPr/>
        <w:t>the threat.</w:t>
      </w:r>
      <w:r>
        <w:rPr>
          <w:spacing w:val="1"/>
        </w:rPr>
        <w:t> </w:t>
      </w:r>
      <w:r>
        <w:rPr/>
        <w:t>The Levels of Protection associated with ballistic protection tie to a general</w:t>
      </w:r>
      <w:r>
        <w:rPr>
          <w:spacing w:val="1"/>
        </w:rPr>
        <w:t> </w:t>
      </w:r>
      <w:r>
        <w:rPr/>
        <w:t>design</w:t>
      </w:r>
      <w:r>
        <w:rPr>
          <w:spacing w:val="-6"/>
        </w:rPr>
        <w:t> </w:t>
      </w:r>
      <w:r>
        <w:rPr/>
        <w:t>protective</w:t>
      </w:r>
      <w:r>
        <w:rPr>
          <w:spacing w:val="-6"/>
        </w:rPr>
        <w:t> </w:t>
      </w:r>
      <w:r>
        <w:rPr/>
        <w:t>system</w:t>
      </w:r>
      <w:r>
        <w:rPr>
          <w:spacing w:val="-7"/>
        </w:rPr>
        <w:t> </w:t>
      </w:r>
      <w:r>
        <w:rPr/>
        <w:t>which</w:t>
      </w:r>
      <w:r>
        <w:rPr>
          <w:spacing w:val="-5"/>
        </w:rPr>
        <w:t> </w:t>
      </w:r>
      <w:r>
        <w:rPr/>
        <w:t>is</w:t>
      </w:r>
      <w:r>
        <w:rPr>
          <w:spacing w:val="-7"/>
        </w:rPr>
        <w:t> </w:t>
      </w:r>
      <w:r>
        <w:rPr/>
        <w:t>a</w:t>
      </w:r>
      <w:r>
        <w:rPr>
          <w:spacing w:val="-5"/>
        </w:rPr>
        <w:t> </w:t>
      </w:r>
      <w:r>
        <w:rPr/>
        <w:t>series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countermeasures</w:t>
      </w:r>
      <w:r>
        <w:rPr>
          <w:spacing w:val="-5"/>
        </w:rPr>
        <w:t> </w:t>
      </w:r>
      <w:r>
        <w:rPr/>
        <w:t>to</w:t>
      </w:r>
      <w:r>
        <w:rPr>
          <w:spacing w:val="-6"/>
        </w:rPr>
        <w:t> </w:t>
      </w:r>
      <w:r>
        <w:rPr/>
        <w:t>mitigate</w:t>
      </w:r>
      <w:r>
        <w:rPr>
          <w:spacing w:val="-6"/>
        </w:rPr>
        <w:t> </w:t>
      </w:r>
      <w:r>
        <w:rPr/>
        <w:t>a</w:t>
      </w:r>
      <w:r>
        <w:rPr>
          <w:spacing w:val="-6"/>
        </w:rPr>
        <w:t> </w:t>
      </w:r>
      <w:r>
        <w:rPr/>
        <w:t>ballistic</w:t>
      </w:r>
      <w:r>
        <w:rPr>
          <w:spacing w:val="-5"/>
        </w:rPr>
        <w:t> </w:t>
      </w:r>
      <w:r>
        <w:rPr/>
        <w:t>threat.</w:t>
      </w:r>
      <w:r>
        <w:rPr>
          <w:spacing w:val="-58"/>
        </w:rPr>
        <w:t> </w:t>
      </w:r>
      <w:r>
        <w:rPr/>
        <w:t>The protective system includes site work elements, building elements, building support</w:t>
      </w:r>
      <w:r>
        <w:rPr>
          <w:spacing w:val="1"/>
        </w:rPr>
        <w:t> </w:t>
      </w:r>
      <w:r>
        <w:rPr/>
        <w:t>elements, equipment and manpower and procedures.</w:t>
      </w:r>
      <w:r>
        <w:rPr>
          <w:spacing w:val="1"/>
        </w:rPr>
        <w:t> </w:t>
      </w:r>
      <w:r>
        <w:rPr/>
        <w:t>The selection of a construction</w:t>
      </w:r>
      <w:r>
        <w:rPr>
          <w:spacing w:val="1"/>
        </w:rPr>
        <w:t> </w:t>
      </w:r>
      <w:r>
        <w:rPr/>
        <w:t>material applied only to the building element category of the system. Other categories are</w:t>
      </w:r>
      <w:r>
        <w:rPr>
          <w:spacing w:val="-57"/>
        </w:rPr>
        <w:t> </w:t>
      </w:r>
      <w:r>
        <w:rPr/>
        <w:t>outside</w:t>
      </w:r>
      <w:r>
        <w:rPr>
          <w:spacing w:val="-2"/>
        </w:rPr>
        <w:t> </w:t>
      </w:r>
      <w:r>
        <w:rPr/>
        <w:t>the scope of</w:t>
      </w:r>
      <w:r>
        <w:rPr>
          <w:spacing w:val="-1"/>
        </w:rPr>
        <w:t> </w:t>
      </w:r>
      <w:r>
        <w:rPr/>
        <w:t>this</w:t>
      </w:r>
      <w:r>
        <w:rPr>
          <w:spacing w:val="-1"/>
        </w:rPr>
        <w:t> </w:t>
      </w:r>
      <w:r>
        <w:rPr/>
        <w:t>body of</w:t>
      </w:r>
      <w:r>
        <w:rPr>
          <w:spacing w:val="-1"/>
        </w:rPr>
        <w:t> </w:t>
      </w:r>
      <w:r>
        <w:rPr/>
        <w:t>work.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/>
        <w:ind w:left="1719" w:right="557" w:firstLine="720"/>
        <w:jc w:val="both"/>
      </w:pPr>
      <w:r>
        <w:rPr/>
        <w:t>Walls and building layout design strategies to achieve the Levels of Protection as</w:t>
      </w:r>
      <w:r>
        <w:rPr>
          <w:spacing w:val="1"/>
        </w:rPr>
        <w:t> </w:t>
      </w:r>
      <w:r>
        <w:rPr/>
        <w:t>specified by </w:t>
      </w:r>
      <w:r>
        <w:rPr>
          <w:i/>
        </w:rPr>
        <w:t>UFC 4-023-07 Design to Resist Direct Fire Weapons Effects </w:t>
      </w:r>
      <w:r>
        <w:rPr/>
        <w:t>are shown in</w:t>
      </w:r>
      <w:r>
        <w:rPr>
          <w:spacing w:val="1"/>
        </w:rPr>
        <w:t> </w:t>
      </w:r>
      <w:hyperlink w:history="true" w:anchor="_bookmark210">
        <w:r>
          <w:rPr/>
          <w:t>Table 9-3</w:t>
        </w:r>
      </w:hyperlink>
      <w:r>
        <w:rPr/>
        <w:t> [7].</w:t>
      </w:r>
      <w:r>
        <w:rPr>
          <w:spacing w:val="1"/>
        </w:rPr>
        <w:t> </w:t>
      </w:r>
      <w:r>
        <w:rPr/>
        <w:t>Additional strategies exist for window and door design but given the</w:t>
      </w:r>
      <w:r>
        <w:rPr>
          <w:spacing w:val="1"/>
        </w:rPr>
        <w:t> </w:t>
      </w:r>
      <w:r>
        <w:rPr/>
        <w:t>decision of material selection for temporary military structures, the wall is the primary</w:t>
      </w:r>
      <w:r>
        <w:rPr>
          <w:spacing w:val="1"/>
        </w:rPr>
        <w:t> </w:t>
      </w:r>
      <w:r>
        <w:rPr/>
        <w:t>structural element as windows and doors are minimized.</w:t>
      </w:r>
      <w:r>
        <w:rPr>
          <w:spacing w:val="1"/>
        </w:rPr>
        <w:t> </w:t>
      </w:r>
      <w:r>
        <w:rPr/>
        <w:t>The key to increased protection</w:t>
      </w:r>
      <w:r>
        <w:rPr>
          <w:spacing w:val="1"/>
        </w:rPr>
        <w:t> </w:t>
      </w:r>
      <w:r>
        <w:rPr/>
        <w:t>is</w:t>
      </w:r>
      <w:r>
        <w:rPr>
          <w:spacing w:val="-13"/>
        </w:rPr>
        <w:t> </w:t>
      </w:r>
      <w:r>
        <w:rPr/>
        <w:t>energy</w:t>
      </w:r>
      <w:r>
        <w:rPr>
          <w:spacing w:val="-13"/>
        </w:rPr>
        <w:t> </w:t>
      </w:r>
      <w:r>
        <w:rPr/>
        <w:t>absorbing</w:t>
      </w:r>
      <w:r>
        <w:rPr>
          <w:spacing w:val="-13"/>
        </w:rPr>
        <w:t> </w:t>
      </w:r>
      <w:r>
        <w:rPr/>
        <w:t>materials</w:t>
      </w:r>
      <w:r>
        <w:rPr>
          <w:spacing w:val="-12"/>
        </w:rPr>
        <w:t> </w:t>
      </w:r>
      <w:r>
        <w:rPr/>
        <w:t>or</w:t>
      </w:r>
      <w:r>
        <w:rPr>
          <w:spacing w:val="-13"/>
        </w:rPr>
        <w:t> </w:t>
      </w:r>
      <w:r>
        <w:rPr/>
        <w:t>hardened</w:t>
      </w:r>
      <w:r>
        <w:rPr>
          <w:spacing w:val="-13"/>
        </w:rPr>
        <w:t> </w:t>
      </w:r>
      <w:r>
        <w:rPr/>
        <w:t>construction</w:t>
      </w:r>
      <w:r>
        <w:rPr>
          <w:spacing w:val="-13"/>
        </w:rPr>
        <w:t> </w:t>
      </w:r>
      <w:r>
        <w:rPr/>
        <w:t>that</w:t>
      </w:r>
      <w:r>
        <w:rPr>
          <w:spacing w:val="-12"/>
        </w:rPr>
        <w:t> </w:t>
      </w:r>
      <w:r>
        <w:rPr/>
        <w:t>stops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penetrating</w:t>
      </w:r>
      <w:r>
        <w:rPr>
          <w:spacing w:val="-13"/>
        </w:rPr>
        <w:t> </w:t>
      </w:r>
      <w:r>
        <w:rPr/>
        <w:t>projectile.</w:t>
      </w:r>
    </w:p>
    <w:p>
      <w:pPr>
        <w:spacing w:line="480" w:lineRule="auto" w:before="232"/>
        <w:ind w:left="1719" w:right="556" w:firstLine="720"/>
        <w:jc w:val="both"/>
        <w:rPr>
          <w:sz w:val="24"/>
        </w:rPr>
      </w:pPr>
      <w:r>
        <w:rPr>
          <w:sz w:val="24"/>
        </w:rPr>
        <w:t>Standards related to material performance in stopping different types of munitions</w:t>
      </w:r>
      <w:r>
        <w:rPr>
          <w:spacing w:val="-57"/>
          <w:sz w:val="24"/>
        </w:rPr>
        <w:t> </w:t>
      </w:r>
      <w:r>
        <w:rPr>
          <w:sz w:val="24"/>
        </w:rPr>
        <w:t>include </w:t>
      </w:r>
      <w:r>
        <w:rPr>
          <w:i/>
          <w:sz w:val="24"/>
        </w:rPr>
        <w:t>ASTM F1233, Standard Test Method for Security Glazing Materials and Systems,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National</w:t>
      </w:r>
      <w:r>
        <w:rPr>
          <w:i/>
          <w:spacing w:val="-13"/>
          <w:sz w:val="24"/>
        </w:rPr>
        <w:t> </w:t>
      </w:r>
      <w:r>
        <w:rPr>
          <w:i/>
          <w:sz w:val="24"/>
        </w:rPr>
        <w:t>Institute</w:t>
      </w:r>
      <w:r>
        <w:rPr>
          <w:i/>
          <w:spacing w:val="-1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4"/>
          <w:sz w:val="24"/>
        </w:rPr>
        <w:t> </w:t>
      </w:r>
      <w:r>
        <w:rPr>
          <w:i/>
          <w:sz w:val="24"/>
        </w:rPr>
        <w:t>Justice</w:t>
      </w:r>
      <w:r>
        <w:rPr>
          <w:i/>
          <w:spacing w:val="-12"/>
          <w:sz w:val="24"/>
        </w:rPr>
        <w:t> </w:t>
      </w:r>
      <w:r>
        <w:rPr>
          <w:i/>
          <w:sz w:val="24"/>
        </w:rPr>
        <w:t>(NIJ)</w:t>
      </w:r>
      <w:r>
        <w:rPr>
          <w:i/>
          <w:spacing w:val="-15"/>
          <w:sz w:val="24"/>
        </w:rPr>
        <w:t> </w:t>
      </w:r>
      <w:r>
        <w:rPr>
          <w:i/>
          <w:sz w:val="24"/>
        </w:rPr>
        <w:t>0108.01,</w:t>
      </w:r>
      <w:r>
        <w:rPr>
          <w:i/>
          <w:spacing w:val="-12"/>
          <w:sz w:val="24"/>
        </w:rPr>
        <w:t> </w:t>
      </w:r>
      <w:r>
        <w:rPr>
          <w:i/>
          <w:sz w:val="24"/>
        </w:rPr>
        <w:t>Underwriters</w:t>
      </w:r>
      <w:r>
        <w:rPr>
          <w:i/>
          <w:spacing w:val="-12"/>
          <w:sz w:val="24"/>
        </w:rPr>
        <w:t> </w:t>
      </w:r>
      <w:r>
        <w:rPr>
          <w:i/>
          <w:sz w:val="24"/>
        </w:rPr>
        <w:t>Laboratories</w:t>
      </w:r>
      <w:r>
        <w:rPr>
          <w:i/>
          <w:spacing w:val="-13"/>
          <w:sz w:val="24"/>
        </w:rPr>
        <w:t> </w:t>
      </w:r>
      <w:r>
        <w:rPr>
          <w:i/>
          <w:sz w:val="24"/>
        </w:rPr>
        <w:t>(UL)</w:t>
      </w:r>
      <w:r>
        <w:rPr>
          <w:i/>
          <w:spacing w:val="-14"/>
          <w:sz w:val="24"/>
        </w:rPr>
        <w:t> </w:t>
      </w:r>
      <w:r>
        <w:rPr>
          <w:i/>
          <w:sz w:val="24"/>
        </w:rPr>
        <w:t>752,</w:t>
      </w:r>
      <w:r>
        <w:rPr>
          <w:i/>
          <w:spacing w:val="-13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1"/>
          <w:sz w:val="24"/>
        </w:rPr>
        <w:t> </w:t>
      </w:r>
      <w:r>
        <w:rPr>
          <w:i/>
          <w:sz w:val="24"/>
        </w:rPr>
        <w:t>State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Department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SD-STD-02.01</w:t>
      </w:r>
      <w:r>
        <w:rPr>
          <w:i/>
          <w:spacing w:val="-7"/>
          <w:sz w:val="24"/>
        </w:rPr>
        <w:t> </w:t>
      </w:r>
      <w:r>
        <w:rPr>
          <w:sz w:val="24"/>
        </w:rPr>
        <w:t>as</w:t>
      </w:r>
      <w:r>
        <w:rPr>
          <w:spacing w:val="-7"/>
          <w:sz w:val="24"/>
        </w:rPr>
        <w:t> </w:t>
      </w:r>
      <w:r>
        <w:rPr>
          <w:sz w:val="24"/>
        </w:rPr>
        <w:t>well</w:t>
      </w:r>
      <w:r>
        <w:rPr>
          <w:spacing w:val="-7"/>
          <w:sz w:val="24"/>
        </w:rPr>
        <w:t> </w:t>
      </w:r>
      <w:r>
        <w:rPr>
          <w:sz w:val="24"/>
        </w:rPr>
        <w:t>as</w:t>
      </w:r>
      <w:r>
        <w:rPr>
          <w:spacing w:val="-7"/>
          <w:sz w:val="24"/>
        </w:rPr>
        <w:t> </w:t>
      </w:r>
      <w:r>
        <w:rPr>
          <w:sz w:val="24"/>
        </w:rPr>
        <w:t>multiple</w:t>
      </w:r>
      <w:r>
        <w:rPr>
          <w:spacing w:val="-7"/>
          <w:sz w:val="24"/>
        </w:rPr>
        <w:t> </w:t>
      </w:r>
      <w:r>
        <w:rPr>
          <w:sz w:val="24"/>
        </w:rPr>
        <w:t>European</w:t>
      </w:r>
      <w:r>
        <w:rPr>
          <w:spacing w:val="-7"/>
          <w:sz w:val="24"/>
        </w:rPr>
        <w:t> </w:t>
      </w:r>
      <w:r>
        <w:rPr>
          <w:sz w:val="24"/>
        </w:rPr>
        <w:t>standards.</w:t>
      </w:r>
      <w:r>
        <w:rPr>
          <w:spacing w:val="45"/>
          <w:sz w:val="24"/>
        </w:rPr>
        <w:t> </w:t>
      </w:r>
      <w:r>
        <w:rPr>
          <w:sz w:val="24"/>
        </w:rPr>
        <w:t>The</w:t>
      </w:r>
      <w:r>
        <w:rPr>
          <w:spacing w:val="-7"/>
          <w:sz w:val="24"/>
        </w:rPr>
        <w:t> </w:t>
      </w:r>
      <w:r>
        <w:rPr>
          <w:sz w:val="24"/>
        </w:rPr>
        <w:t>appendix</w:t>
      </w:r>
      <w:r>
        <w:rPr>
          <w:spacing w:val="-7"/>
          <w:sz w:val="24"/>
        </w:rPr>
        <w:t> </w:t>
      </w:r>
      <w:r>
        <w:rPr>
          <w:sz w:val="24"/>
        </w:rPr>
        <w:t>of</w:t>
      </w:r>
      <w:r>
        <w:rPr>
          <w:spacing w:val="-8"/>
          <w:sz w:val="24"/>
        </w:rPr>
        <w:t> </w:t>
      </w:r>
      <w:r>
        <w:rPr>
          <w:sz w:val="24"/>
        </w:rPr>
        <w:t>UFC</w:t>
      </w:r>
      <w:r>
        <w:rPr>
          <w:spacing w:val="-58"/>
          <w:sz w:val="24"/>
        </w:rPr>
        <w:t> </w:t>
      </w:r>
      <w:r>
        <w:rPr>
          <w:sz w:val="24"/>
        </w:rPr>
        <w:t>4-023-07</w:t>
      </w:r>
      <w:r>
        <w:rPr>
          <w:spacing w:val="-12"/>
          <w:sz w:val="24"/>
        </w:rPr>
        <w:t> </w:t>
      </w:r>
      <w:r>
        <w:rPr>
          <w:sz w:val="24"/>
        </w:rPr>
        <w:t>includes</w:t>
      </w:r>
      <w:r>
        <w:rPr>
          <w:spacing w:val="-12"/>
          <w:sz w:val="24"/>
        </w:rPr>
        <w:t> </w:t>
      </w:r>
      <w:r>
        <w:rPr>
          <w:sz w:val="24"/>
        </w:rPr>
        <w:t>tables</w:t>
      </w:r>
      <w:r>
        <w:rPr>
          <w:spacing w:val="-13"/>
          <w:sz w:val="24"/>
        </w:rPr>
        <w:t> </w:t>
      </w:r>
      <w:r>
        <w:rPr>
          <w:sz w:val="24"/>
        </w:rPr>
        <w:t>for</w:t>
      </w:r>
      <w:r>
        <w:rPr>
          <w:spacing w:val="-12"/>
          <w:sz w:val="24"/>
        </w:rPr>
        <w:t> </w:t>
      </w:r>
      <w:r>
        <w:rPr>
          <w:sz w:val="24"/>
        </w:rPr>
        <w:t>these</w:t>
      </w:r>
      <w:r>
        <w:rPr>
          <w:spacing w:val="-12"/>
          <w:sz w:val="24"/>
        </w:rPr>
        <w:t> </w:t>
      </w:r>
      <w:r>
        <w:rPr>
          <w:sz w:val="24"/>
        </w:rPr>
        <w:t>standards,</w:t>
      </w:r>
      <w:r>
        <w:rPr>
          <w:spacing w:val="-12"/>
          <w:sz w:val="24"/>
        </w:rPr>
        <w:t> </w:t>
      </w:r>
      <w:r>
        <w:rPr>
          <w:sz w:val="24"/>
        </w:rPr>
        <w:t>which</w:t>
      </w:r>
      <w:r>
        <w:rPr>
          <w:spacing w:val="-12"/>
          <w:sz w:val="24"/>
        </w:rPr>
        <w:t> </w:t>
      </w:r>
      <w:r>
        <w:rPr>
          <w:sz w:val="24"/>
        </w:rPr>
        <w:t>all</w:t>
      </w:r>
      <w:r>
        <w:rPr>
          <w:spacing w:val="-13"/>
          <w:sz w:val="24"/>
        </w:rPr>
        <w:t> </w:t>
      </w:r>
      <w:r>
        <w:rPr>
          <w:sz w:val="24"/>
        </w:rPr>
        <w:t>list</w:t>
      </w:r>
      <w:r>
        <w:rPr>
          <w:spacing w:val="-12"/>
          <w:sz w:val="24"/>
        </w:rPr>
        <w:t> </w:t>
      </w:r>
      <w:r>
        <w:rPr>
          <w:sz w:val="24"/>
        </w:rPr>
        <w:t>the</w:t>
      </w:r>
      <w:r>
        <w:rPr>
          <w:spacing w:val="-13"/>
          <w:sz w:val="24"/>
        </w:rPr>
        <w:t> </w:t>
      </w:r>
      <w:r>
        <w:rPr>
          <w:sz w:val="24"/>
        </w:rPr>
        <w:t>standard</w:t>
      </w:r>
      <w:r>
        <w:rPr>
          <w:spacing w:val="-12"/>
          <w:sz w:val="24"/>
        </w:rPr>
        <w:t> </w:t>
      </w:r>
      <w:r>
        <w:rPr>
          <w:sz w:val="24"/>
        </w:rPr>
        <w:t>or</w:t>
      </w:r>
      <w:r>
        <w:rPr>
          <w:spacing w:val="-12"/>
          <w:sz w:val="24"/>
        </w:rPr>
        <w:t> </w:t>
      </w:r>
      <w:r>
        <w:rPr>
          <w:sz w:val="24"/>
        </w:rPr>
        <w:t>rating</w:t>
      </w:r>
      <w:r>
        <w:rPr>
          <w:spacing w:val="-13"/>
          <w:sz w:val="24"/>
        </w:rPr>
        <w:t> </w:t>
      </w:r>
      <w:r>
        <w:rPr>
          <w:sz w:val="24"/>
        </w:rPr>
        <w:t>levels</w:t>
      </w:r>
      <w:r>
        <w:rPr>
          <w:spacing w:val="-13"/>
          <w:sz w:val="24"/>
        </w:rPr>
        <w:t> </w:t>
      </w:r>
      <w:r>
        <w:rPr>
          <w:sz w:val="24"/>
        </w:rPr>
        <w:t>with</w:t>
      </w:r>
      <w:r>
        <w:rPr>
          <w:spacing w:val="-58"/>
          <w:sz w:val="24"/>
        </w:rPr>
        <w:t> </w:t>
      </w:r>
      <w:r>
        <w:rPr>
          <w:sz w:val="24"/>
        </w:rPr>
        <w:t>associated ammunitions and their weights, diameters, nose shape coefficient, velocities,</w:t>
      </w:r>
      <w:r>
        <w:rPr>
          <w:spacing w:val="1"/>
          <w:sz w:val="24"/>
        </w:rPr>
        <w:t> </w:t>
      </w:r>
      <w:r>
        <w:rPr>
          <w:sz w:val="24"/>
        </w:rPr>
        <w:t>and the number of shots required.</w:t>
      </w:r>
      <w:r>
        <w:rPr>
          <w:spacing w:val="1"/>
          <w:sz w:val="24"/>
        </w:rPr>
        <w:t> </w:t>
      </w:r>
      <w:r>
        <w:rPr>
          <w:sz w:val="24"/>
        </w:rPr>
        <w:t>In evaluating and comparing ballistic protection levels</w:t>
      </w:r>
      <w:r>
        <w:rPr>
          <w:spacing w:val="1"/>
          <w:sz w:val="24"/>
        </w:rPr>
        <w:t> </w:t>
      </w:r>
      <w:r>
        <w:rPr>
          <w:sz w:val="24"/>
        </w:rPr>
        <w:t>of a specified material, its ability to resist ballistic penetration or at least determination 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amount of</w:t>
      </w:r>
      <w:r>
        <w:rPr>
          <w:spacing w:val="-2"/>
          <w:sz w:val="24"/>
        </w:rPr>
        <w:t> </w:t>
      </w:r>
      <w:r>
        <w:rPr>
          <w:sz w:val="24"/>
        </w:rPr>
        <w:t>energy absorbed</w:t>
      </w:r>
      <w:r>
        <w:rPr>
          <w:spacing w:val="-1"/>
          <w:sz w:val="24"/>
        </w:rPr>
        <w:t> </w:t>
      </w:r>
      <w:r>
        <w:rPr>
          <w:sz w:val="24"/>
        </w:rPr>
        <w:t>should</w:t>
      </w:r>
      <w:r>
        <w:rPr>
          <w:spacing w:val="-1"/>
          <w:sz w:val="24"/>
        </w:rPr>
        <w:t> </w:t>
      </w:r>
      <w:r>
        <w:rPr>
          <w:sz w:val="24"/>
        </w:rPr>
        <w:t>be examined.</w:t>
      </w:r>
      <w:r>
        <w:rPr>
          <w:spacing w:val="58"/>
          <w:sz w:val="24"/>
        </w:rPr>
        <w:t> </w:t>
      </w:r>
      <w:r>
        <w:rPr>
          <w:sz w:val="24"/>
        </w:rPr>
        <w:t>If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material</w:t>
      </w:r>
      <w:r>
        <w:rPr>
          <w:spacing w:val="-2"/>
          <w:sz w:val="24"/>
        </w:rPr>
        <w:t> </w:t>
      </w:r>
      <w:r>
        <w:rPr>
          <w:sz w:val="24"/>
        </w:rPr>
        <w:t>is capable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resisting</w:t>
      </w:r>
    </w:p>
    <w:p>
      <w:pPr>
        <w:spacing w:after="0" w:line="480" w:lineRule="auto"/>
        <w:jc w:val="both"/>
        <w:rPr>
          <w:sz w:val="24"/>
        </w:rPr>
        <w:sectPr>
          <w:pgSz w:w="12240" w:h="15840"/>
          <w:pgMar w:header="0" w:footer="1064" w:top="1360" w:bottom="1260" w:left="440" w:right="880"/>
        </w:sectPr>
      </w:pPr>
    </w:p>
    <w:p>
      <w:pPr>
        <w:pStyle w:val="BodyText"/>
        <w:spacing w:line="480" w:lineRule="auto" w:before="78"/>
        <w:ind w:left="1720" w:right="559"/>
        <w:jc w:val="both"/>
      </w:pPr>
      <w:r>
        <w:rPr/>
        <w:t>rounds without hardening then it should be rated to one of the aforementioned standards,</w:t>
      </w:r>
      <w:r>
        <w:rPr>
          <w:spacing w:val="1"/>
        </w:rPr>
        <w:t> </w:t>
      </w:r>
      <w:r>
        <w:rPr/>
        <w:t>preferably UL 752 as it is a standard specifically for building components and appears to</w:t>
      </w:r>
      <w:r>
        <w:rPr>
          <w:spacing w:val="1"/>
        </w:rPr>
        <w:t> </w:t>
      </w:r>
      <w:r>
        <w:rPr/>
        <w:t>be</w:t>
      </w:r>
      <w:r>
        <w:rPr>
          <w:spacing w:val="-1"/>
        </w:rPr>
        <w:t> </w:t>
      </w:r>
      <w:r>
        <w:rPr/>
        <w:t>the universal standard</w:t>
      </w:r>
      <w:r>
        <w:rPr>
          <w:spacing w:val="-2"/>
        </w:rPr>
        <w:t> </w:t>
      </w:r>
      <w:r>
        <w:rPr/>
        <w:t>used with</w:t>
      </w:r>
      <w:r>
        <w:rPr>
          <w:spacing w:val="-2"/>
        </w:rPr>
        <w:t> </w:t>
      </w:r>
      <w:r>
        <w:rPr/>
        <w:t>materials.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spacing w:before="231"/>
        <w:ind w:left="1720" w:right="443" w:firstLine="0"/>
        <w:jc w:val="left"/>
        <w:rPr>
          <w:i/>
          <w:sz w:val="24"/>
        </w:rPr>
      </w:pPr>
      <w:bookmarkStart w:name="_bookmark210" w:id="605"/>
      <w:bookmarkEnd w:id="605"/>
      <w:r>
        <w:rPr/>
      </w:r>
      <w:r>
        <w:rPr>
          <w:i/>
          <w:sz w:val="24"/>
        </w:rPr>
        <w:t>Table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9-3.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Design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strategy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achieve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Levels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Protection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against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direct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fire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ballistic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threat,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based on [7].</w:t>
      </w:r>
    </w:p>
    <w:p>
      <w:pPr>
        <w:pStyle w:val="BodyText"/>
        <w:spacing w:before="4" w:after="1"/>
        <w:rPr>
          <w:i/>
          <w:sz w:val="17"/>
        </w:rPr>
      </w:pPr>
    </w:p>
    <w:tbl>
      <w:tblPr>
        <w:tblW w:w="0" w:type="auto"/>
        <w:jc w:val="left"/>
        <w:tblInd w:w="172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34"/>
        <w:gridCol w:w="3018"/>
        <w:gridCol w:w="4388"/>
      </w:tblGrid>
      <w:tr>
        <w:trPr>
          <w:trHeight w:val="615" w:hRule="atLeast"/>
        </w:trPr>
        <w:tc>
          <w:tcPr>
            <w:tcW w:w="1234" w:type="dxa"/>
            <w:tcBorders>
              <w:top w:val="nil"/>
              <w:left w:val="nil"/>
              <w:right w:val="single" w:sz="4" w:space="0" w:color="000000"/>
            </w:tcBorders>
            <w:shd w:val="clear" w:color="auto" w:fill="C0C0C0"/>
          </w:tcPr>
          <w:p>
            <w:pPr>
              <w:pStyle w:val="TableParagraph"/>
              <w:spacing w:line="250" w:lineRule="atLeast" w:before="89"/>
              <w:ind w:left="164" w:right="140" w:firstLine="82"/>
              <w:rPr>
                <w:sz w:val="22"/>
              </w:rPr>
            </w:pPr>
            <w:r>
              <w:rPr>
                <w:sz w:val="22"/>
              </w:rPr>
              <w:t>Level 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Protection</w:t>
            </w:r>
          </w:p>
        </w:tc>
        <w:tc>
          <w:tcPr>
            <w:tcW w:w="3018" w:type="dxa"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C0C0C0"/>
          </w:tcPr>
          <w:p>
            <w:pPr>
              <w:pStyle w:val="TableParagraph"/>
              <w:spacing w:before="4"/>
              <w:rPr>
                <w:i/>
                <w:sz w:val="31"/>
              </w:rPr>
            </w:pPr>
          </w:p>
          <w:p>
            <w:pPr>
              <w:pStyle w:val="TableParagraph"/>
              <w:spacing w:line="234" w:lineRule="exact"/>
              <w:ind w:left="815"/>
              <w:rPr>
                <w:sz w:val="22"/>
              </w:rPr>
            </w:pPr>
            <w:r>
              <w:rPr>
                <w:sz w:val="22"/>
              </w:rPr>
              <w:t>Building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layout</w:t>
            </w:r>
          </w:p>
        </w:tc>
        <w:tc>
          <w:tcPr>
            <w:tcW w:w="4388" w:type="dxa"/>
            <w:tcBorders>
              <w:top w:val="nil"/>
              <w:left w:val="single" w:sz="4" w:space="0" w:color="000000"/>
              <w:right w:val="nil"/>
            </w:tcBorders>
            <w:shd w:val="clear" w:color="auto" w:fill="C0C0C0"/>
          </w:tcPr>
          <w:p>
            <w:pPr>
              <w:pStyle w:val="TableParagraph"/>
              <w:spacing w:before="4"/>
              <w:rPr>
                <w:i/>
                <w:sz w:val="31"/>
              </w:rPr>
            </w:pPr>
          </w:p>
          <w:p>
            <w:pPr>
              <w:pStyle w:val="TableParagraph"/>
              <w:spacing w:line="234" w:lineRule="exact"/>
              <w:ind w:left="1135"/>
              <w:rPr>
                <w:sz w:val="22"/>
              </w:rPr>
            </w:pPr>
            <w:r>
              <w:rPr>
                <w:sz w:val="22"/>
              </w:rPr>
              <w:t>Building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Element: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Wall</w:t>
            </w:r>
          </w:p>
        </w:tc>
      </w:tr>
      <w:tr>
        <w:trPr>
          <w:trHeight w:val="758" w:hRule="atLeast"/>
        </w:trPr>
        <w:tc>
          <w:tcPr>
            <w:tcW w:w="1234" w:type="dxa"/>
            <w:tcBorders>
              <w:left w:val="nil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1" w:lineRule="exact"/>
              <w:ind w:left="108"/>
              <w:rPr>
                <w:sz w:val="22"/>
              </w:rPr>
            </w:pPr>
            <w:r>
              <w:rPr>
                <w:sz w:val="22"/>
              </w:rPr>
              <w:t>Very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Low</w:t>
            </w:r>
          </w:p>
        </w:tc>
        <w:tc>
          <w:tcPr>
            <w:tcW w:w="30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4" w:lineRule="exact"/>
              <w:ind w:left="102" w:right="165"/>
              <w:rPr>
                <w:sz w:val="22"/>
              </w:rPr>
            </w:pPr>
            <w:r>
              <w:rPr>
                <w:sz w:val="22"/>
              </w:rPr>
              <w:t>Main entrances do not face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uncontrolled vantage points, or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line-of-sight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blocked</w:t>
            </w:r>
          </w:p>
        </w:tc>
        <w:tc>
          <w:tcPr>
            <w:tcW w:w="4388" w:type="dxa"/>
            <w:tcBorders>
              <w:left w:val="single" w:sz="4" w:space="0" w:color="000000"/>
              <w:bottom w:val="single" w:sz="4" w:space="0" w:color="000000"/>
              <w:right w:val="nil"/>
            </w:tcBorders>
          </w:tcPr>
          <w:p>
            <w:pPr>
              <w:pStyle w:val="TableParagraph"/>
              <w:spacing w:line="251" w:lineRule="exact"/>
              <w:ind w:left="101"/>
              <w:rPr>
                <w:sz w:val="22"/>
              </w:rPr>
            </w:pPr>
            <w:r>
              <w:rPr>
                <w:sz w:val="22"/>
              </w:rPr>
              <w:t>No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requirement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this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level</w:t>
            </w:r>
          </w:p>
        </w:tc>
      </w:tr>
      <w:tr>
        <w:trPr>
          <w:trHeight w:val="1261" w:hRule="atLeast"/>
        </w:trPr>
        <w:tc>
          <w:tcPr>
            <w:tcW w:w="12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8" w:lineRule="exact"/>
              <w:ind w:left="108"/>
              <w:rPr>
                <w:sz w:val="22"/>
              </w:rPr>
            </w:pPr>
            <w:r>
              <w:rPr>
                <w:sz w:val="22"/>
              </w:rPr>
              <w:t>Low</w:t>
            </w:r>
          </w:p>
        </w:tc>
        <w:tc>
          <w:tcPr>
            <w:tcW w:w="3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2" w:right="165"/>
              <w:rPr>
                <w:sz w:val="22"/>
              </w:rPr>
            </w:pPr>
            <w:r>
              <w:rPr>
                <w:sz w:val="22"/>
              </w:rPr>
              <w:t>Line-of-sight minimized;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interior layout set to locate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critical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assets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within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interior;</w:t>
            </w:r>
          </w:p>
          <w:p>
            <w:pPr>
              <w:pStyle w:val="TableParagraph"/>
              <w:spacing w:line="252" w:lineRule="exact"/>
              <w:ind w:left="102" w:right="193"/>
              <w:rPr>
                <w:sz w:val="22"/>
              </w:rPr>
            </w:pPr>
            <w:r>
              <w:rPr>
                <w:sz w:val="22"/>
              </w:rPr>
              <w:t>buildings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oriented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minimize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exposure</w:t>
            </w:r>
          </w:p>
        </w:tc>
        <w:tc>
          <w:tcPr>
            <w:tcW w:w="4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>
            <w:pPr>
              <w:pStyle w:val="TableParagraph"/>
              <w:ind w:left="101"/>
              <w:rPr>
                <w:sz w:val="22"/>
              </w:rPr>
            </w:pPr>
            <w:r>
              <w:rPr>
                <w:sz w:val="22"/>
              </w:rPr>
              <w:t>Glass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block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walls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use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translucent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otherwise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prevent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line-of-sight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necessary</w:t>
            </w:r>
          </w:p>
        </w:tc>
      </w:tr>
      <w:tr>
        <w:trPr>
          <w:trHeight w:val="1498" w:hRule="atLeast"/>
        </w:trPr>
        <w:tc>
          <w:tcPr>
            <w:tcW w:w="12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1" w:lineRule="exact"/>
              <w:ind w:left="108"/>
              <w:rPr>
                <w:sz w:val="22"/>
              </w:rPr>
            </w:pPr>
            <w:r>
              <w:rPr>
                <w:sz w:val="22"/>
              </w:rPr>
              <w:t>Medium</w:t>
            </w:r>
          </w:p>
        </w:tc>
        <w:tc>
          <w:tcPr>
            <w:tcW w:w="3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2" w:right="222"/>
              <w:rPr>
                <w:sz w:val="22"/>
              </w:rPr>
            </w:pPr>
            <w:r>
              <w:rPr>
                <w:sz w:val="22"/>
              </w:rPr>
              <w:t>Employment of energy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absorption in building shell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and/or pre-detonation screens;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minimize doors and windows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targeted assets</w:t>
            </w:r>
          </w:p>
        </w:tc>
        <w:tc>
          <w:tcPr>
            <w:tcW w:w="4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>
            <w:pPr>
              <w:pStyle w:val="TableParagraph"/>
              <w:ind w:left="101" w:right="454"/>
              <w:rPr>
                <w:sz w:val="22"/>
              </w:rPr>
            </w:pPr>
            <w:r>
              <w:rPr>
                <w:sz w:val="22"/>
              </w:rPr>
              <w:t>Select material and thickness for energy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absorption screen and design wall to resist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residual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velocity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round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after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impact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with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screen (including resisting spall on interior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face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applicable)</w:t>
            </w:r>
          </w:p>
        </w:tc>
      </w:tr>
      <w:tr>
        <w:trPr>
          <w:trHeight w:val="1011" w:hRule="atLeast"/>
        </w:trPr>
        <w:tc>
          <w:tcPr>
            <w:tcW w:w="1234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51" w:lineRule="exact"/>
              <w:ind w:left="108"/>
              <w:rPr>
                <w:sz w:val="22"/>
              </w:rPr>
            </w:pPr>
            <w:r>
              <w:rPr>
                <w:sz w:val="22"/>
              </w:rPr>
              <w:t>High</w:t>
            </w:r>
          </w:p>
        </w:tc>
        <w:tc>
          <w:tcPr>
            <w:tcW w:w="3018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ind w:left="102" w:right="228"/>
              <w:rPr>
                <w:sz w:val="22"/>
              </w:rPr>
            </w:pPr>
            <w:r>
              <w:rPr>
                <w:sz w:val="22"/>
              </w:rPr>
              <w:t>Building exteriors designed to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resist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direct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impacts;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avoid</w:t>
            </w:r>
          </w:p>
          <w:p>
            <w:pPr>
              <w:pStyle w:val="TableParagraph"/>
              <w:spacing w:line="252" w:lineRule="exact"/>
              <w:ind w:left="102" w:right="295"/>
              <w:rPr>
                <w:sz w:val="22"/>
              </w:rPr>
            </w:pPr>
            <w:r>
              <w:rPr>
                <w:sz w:val="22"/>
              </w:rPr>
              <w:t>exposure of targeted assets to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windows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doors</w:t>
            </w:r>
          </w:p>
        </w:tc>
        <w:tc>
          <w:tcPr>
            <w:tcW w:w="4388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</w:tcPr>
          <w:p>
            <w:pPr>
              <w:pStyle w:val="TableParagraph"/>
              <w:ind w:left="101" w:right="107"/>
              <w:rPr>
                <w:sz w:val="22"/>
              </w:rPr>
            </w:pPr>
            <w:r>
              <w:rPr>
                <w:sz w:val="22"/>
              </w:rPr>
              <w:t>Design using hardened construction techniques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to include retrofit with steel plate and bullet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resisting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fiberglass</w:t>
            </w:r>
          </w:p>
        </w:tc>
      </w:tr>
    </w:tbl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5"/>
        <w:rPr>
          <w:i/>
          <w:sz w:val="23"/>
        </w:rPr>
      </w:pPr>
    </w:p>
    <w:p>
      <w:pPr>
        <w:pStyle w:val="ListParagraph"/>
        <w:numPr>
          <w:ilvl w:val="2"/>
          <w:numId w:val="28"/>
        </w:numPr>
        <w:tabs>
          <w:tab w:pos="2260" w:val="left" w:leader="none"/>
        </w:tabs>
        <w:spacing w:line="240" w:lineRule="auto" w:before="0" w:after="0"/>
        <w:ind w:left="2260" w:right="0" w:hanging="540"/>
        <w:jc w:val="both"/>
        <w:rPr>
          <w:i/>
          <w:sz w:val="24"/>
        </w:rPr>
      </w:pPr>
      <w:bookmarkStart w:name="9.3.6 Rapid constructability" w:id="606"/>
      <w:bookmarkEnd w:id="606"/>
      <w:r>
        <w:rPr/>
      </w:r>
      <w:bookmarkStart w:name="9.3.6 Rapid constructability" w:id="607"/>
      <w:bookmarkEnd w:id="607"/>
      <w:r>
        <w:rPr>
          <w:i/>
          <w:sz w:val="24"/>
        </w:rPr>
        <w:t>R</w:t>
      </w:r>
      <w:r>
        <w:rPr>
          <w:i/>
          <w:sz w:val="24"/>
        </w:rPr>
        <w:t>apid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constructability</w:t>
      </w:r>
    </w:p>
    <w:p>
      <w:pPr>
        <w:pStyle w:val="BodyText"/>
        <w:spacing w:before="11"/>
        <w:rPr>
          <w:i/>
          <w:sz w:val="21"/>
        </w:rPr>
      </w:pPr>
    </w:p>
    <w:p>
      <w:pPr>
        <w:pStyle w:val="BodyText"/>
        <w:spacing w:line="480" w:lineRule="auto"/>
        <w:ind w:left="1720" w:right="557" w:firstLine="720"/>
        <w:jc w:val="both"/>
      </w:pPr>
      <w:r>
        <w:rPr/>
        <w:t>One</w:t>
      </w:r>
      <w:r>
        <w:rPr>
          <w:spacing w:val="-13"/>
        </w:rPr>
        <w:t> </w:t>
      </w:r>
      <w:r>
        <w:rPr/>
        <w:t>of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more</w:t>
      </w:r>
      <w:r>
        <w:rPr>
          <w:spacing w:val="-12"/>
        </w:rPr>
        <w:t> </w:t>
      </w:r>
      <w:r>
        <w:rPr/>
        <w:t>unique</w:t>
      </w:r>
      <w:r>
        <w:rPr>
          <w:spacing w:val="-14"/>
        </w:rPr>
        <w:t> </w:t>
      </w:r>
      <w:r>
        <w:rPr/>
        <w:t>criterion</w:t>
      </w:r>
      <w:r>
        <w:rPr>
          <w:spacing w:val="-12"/>
        </w:rPr>
        <w:t> </w:t>
      </w:r>
      <w:r>
        <w:rPr/>
        <w:t>for</w:t>
      </w:r>
      <w:r>
        <w:rPr>
          <w:spacing w:val="-14"/>
        </w:rPr>
        <w:t> </w:t>
      </w:r>
      <w:r>
        <w:rPr/>
        <w:t>temporary</w:t>
      </w:r>
      <w:r>
        <w:rPr>
          <w:spacing w:val="-11"/>
        </w:rPr>
        <w:t> </w:t>
      </w:r>
      <w:r>
        <w:rPr/>
        <w:t>military</w:t>
      </w:r>
      <w:r>
        <w:rPr>
          <w:spacing w:val="-13"/>
        </w:rPr>
        <w:t> </w:t>
      </w:r>
      <w:r>
        <w:rPr/>
        <w:t>structures</w:t>
      </w:r>
      <w:r>
        <w:rPr>
          <w:spacing w:val="-12"/>
        </w:rPr>
        <w:t> </w:t>
      </w:r>
      <w:r>
        <w:rPr/>
        <w:t>is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assessment</w:t>
      </w:r>
      <w:r>
        <w:rPr>
          <w:spacing w:val="-58"/>
        </w:rPr>
        <w:t> </w:t>
      </w:r>
      <w:r>
        <w:rPr/>
        <w:t>of</w:t>
      </w:r>
      <w:r>
        <w:rPr>
          <w:spacing w:val="-8"/>
        </w:rPr>
        <w:t> </w:t>
      </w:r>
      <w:r>
        <w:rPr/>
        <w:t>rapid</w:t>
      </w:r>
      <w:r>
        <w:rPr>
          <w:spacing w:val="-6"/>
        </w:rPr>
        <w:t> </w:t>
      </w:r>
      <w:r>
        <w:rPr/>
        <w:t>constructability.</w:t>
      </w:r>
      <w:r>
        <w:rPr>
          <w:spacing w:val="46"/>
        </w:rPr>
        <w:t> </w:t>
      </w:r>
      <w:r>
        <w:rPr/>
        <w:t>This</w:t>
      </w:r>
      <w:r>
        <w:rPr>
          <w:spacing w:val="-6"/>
        </w:rPr>
        <w:t> </w:t>
      </w:r>
      <w:r>
        <w:rPr/>
        <w:t>feature</w:t>
      </w:r>
      <w:r>
        <w:rPr>
          <w:spacing w:val="-7"/>
        </w:rPr>
        <w:t> </w:t>
      </w:r>
      <w:r>
        <w:rPr/>
        <w:t>can</w:t>
      </w:r>
      <w:r>
        <w:rPr>
          <w:spacing w:val="-6"/>
        </w:rPr>
        <w:t> </w:t>
      </w:r>
      <w:r>
        <w:rPr/>
        <w:t>be</w:t>
      </w:r>
      <w:r>
        <w:rPr>
          <w:spacing w:val="-8"/>
        </w:rPr>
        <w:t> </w:t>
      </w:r>
      <w:r>
        <w:rPr/>
        <w:t>important</w:t>
      </w:r>
      <w:r>
        <w:rPr>
          <w:spacing w:val="-6"/>
        </w:rPr>
        <w:t> </w:t>
      </w:r>
      <w:r>
        <w:rPr/>
        <w:t>because</w:t>
      </w:r>
      <w:r>
        <w:rPr>
          <w:spacing w:val="-6"/>
        </w:rPr>
        <w:t> </w:t>
      </w:r>
      <w:r>
        <w:rPr/>
        <w:t>the</w:t>
      </w:r>
      <w:r>
        <w:rPr>
          <w:spacing w:val="-8"/>
        </w:rPr>
        <w:t> </w:t>
      </w:r>
      <w:r>
        <w:rPr/>
        <w:t>structures</w:t>
      </w:r>
      <w:r>
        <w:rPr>
          <w:spacing w:val="-6"/>
        </w:rPr>
        <w:t> </w:t>
      </w:r>
      <w:r>
        <w:rPr/>
        <w:t>may</w:t>
      </w:r>
      <w:r>
        <w:rPr>
          <w:spacing w:val="-7"/>
        </w:rPr>
        <w:t> </w:t>
      </w:r>
      <w:r>
        <w:rPr/>
        <w:t>need</w:t>
      </w:r>
      <w:r>
        <w:rPr>
          <w:spacing w:val="-6"/>
        </w:rPr>
        <w:t> </w:t>
      </w:r>
      <w:r>
        <w:rPr/>
        <w:t>to</w:t>
      </w:r>
      <w:r>
        <w:rPr>
          <w:spacing w:val="-58"/>
        </w:rPr>
        <w:t> </w:t>
      </w:r>
      <w:r>
        <w:rPr>
          <w:spacing w:val="-1"/>
        </w:rPr>
        <w:t>be</w:t>
      </w:r>
      <w:r>
        <w:rPr>
          <w:spacing w:val="-15"/>
        </w:rPr>
        <w:t> </w:t>
      </w:r>
      <w:r>
        <w:rPr>
          <w:spacing w:val="-1"/>
        </w:rPr>
        <w:t>constructed</w:t>
      </w:r>
      <w:r>
        <w:rPr>
          <w:spacing w:val="-15"/>
        </w:rPr>
        <w:t> </w:t>
      </w:r>
      <w:r>
        <w:rPr>
          <w:spacing w:val="-1"/>
        </w:rPr>
        <w:t>in</w:t>
      </w:r>
      <w:r>
        <w:rPr>
          <w:spacing w:val="-15"/>
        </w:rPr>
        <w:t> </w:t>
      </w:r>
      <w:r>
        <w:rPr/>
        <w:t>multiples</w:t>
      </w:r>
      <w:r>
        <w:rPr>
          <w:spacing w:val="-15"/>
        </w:rPr>
        <w:t> </w:t>
      </w:r>
      <w:r>
        <w:rPr/>
        <w:t>to</w:t>
      </w:r>
      <w:r>
        <w:rPr>
          <w:spacing w:val="-15"/>
        </w:rPr>
        <w:t> </w:t>
      </w:r>
      <w:r>
        <w:rPr/>
        <w:t>house</w:t>
      </w:r>
      <w:r>
        <w:rPr>
          <w:spacing w:val="-15"/>
        </w:rPr>
        <w:t> </w:t>
      </w:r>
      <w:r>
        <w:rPr/>
        <w:t>deployed</w:t>
      </w:r>
      <w:r>
        <w:rPr>
          <w:spacing w:val="-15"/>
        </w:rPr>
        <w:t> </w:t>
      </w:r>
      <w:r>
        <w:rPr/>
        <w:t>units,</w:t>
      </w:r>
      <w:r>
        <w:rPr>
          <w:spacing w:val="-15"/>
        </w:rPr>
        <w:t> </w:t>
      </w:r>
      <w:r>
        <w:rPr/>
        <w:t>and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timeline</w:t>
      </w:r>
      <w:r>
        <w:rPr>
          <w:spacing w:val="-15"/>
        </w:rPr>
        <w:t> </w:t>
      </w:r>
      <w:r>
        <w:rPr/>
        <w:t>for</w:t>
      </w:r>
      <w:r>
        <w:rPr>
          <w:spacing w:val="-14"/>
        </w:rPr>
        <w:t> </w:t>
      </w:r>
      <w:r>
        <w:rPr/>
        <w:t>desired</w:t>
      </w:r>
      <w:r>
        <w:rPr>
          <w:spacing w:val="-16"/>
        </w:rPr>
        <w:t> </w:t>
      </w:r>
      <w:r>
        <w:rPr/>
        <w:t>completion</w:t>
      </w:r>
      <w:r>
        <w:rPr>
          <w:spacing w:val="-57"/>
        </w:rPr>
        <w:t> </w:t>
      </w:r>
      <w:r>
        <w:rPr/>
        <w:t>is</w:t>
      </w:r>
      <w:r>
        <w:rPr>
          <w:spacing w:val="-13"/>
        </w:rPr>
        <w:t> </w:t>
      </w:r>
      <w:r>
        <w:rPr/>
        <w:t>as</w:t>
      </w:r>
      <w:r>
        <w:rPr>
          <w:spacing w:val="-12"/>
        </w:rPr>
        <w:t> </w:t>
      </w:r>
      <w:r>
        <w:rPr/>
        <w:t>soon</w:t>
      </w:r>
      <w:r>
        <w:rPr>
          <w:spacing w:val="-12"/>
        </w:rPr>
        <w:t> </w:t>
      </w:r>
      <w:r>
        <w:rPr/>
        <w:t>as</w:t>
      </w:r>
      <w:r>
        <w:rPr>
          <w:spacing w:val="-12"/>
        </w:rPr>
        <w:t> </w:t>
      </w:r>
      <w:r>
        <w:rPr/>
        <w:t>possible.</w:t>
      </w:r>
      <w:r>
        <w:rPr>
          <w:spacing w:val="36"/>
        </w:rPr>
        <w:t> </w:t>
      </w:r>
      <w:r>
        <w:rPr/>
        <w:t>Prior</w:t>
      </w:r>
      <w:r>
        <w:rPr>
          <w:spacing w:val="-12"/>
        </w:rPr>
        <w:t> </w:t>
      </w:r>
      <w:r>
        <w:rPr/>
        <w:t>to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completed</w:t>
      </w:r>
      <w:r>
        <w:rPr>
          <w:spacing w:val="-12"/>
        </w:rPr>
        <w:t> </w:t>
      </w:r>
      <w:r>
        <w:rPr/>
        <w:t>construction</w:t>
      </w:r>
      <w:r>
        <w:rPr>
          <w:spacing w:val="-12"/>
        </w:rPr>
        <w:t> </w:t>
      </w:r>
      <w:r>
        <w:rPr/>
        <w:t>of</w:t>
      </w:r>
      <w:r>
        <w:rPr>
          <w:spacing w:val="-13"/>
        </w:rPr>
        <w:t> </w:t>
      </w:r>
      <w:r>
        <w:rPr/>
        <w:t>temporary</w:t>
      </w:r>
      <w:r>
        <w:rPr>
          <w:spacing w:val="-11"/>
        </w:rPr>
        <w:t> </w:t>
      </w:r>
      <w:r>
        <w:rPr/>
        <w:t>military</w:t>
      </w:r>
      <w:r>
        <w:rPr>
          <w:spacing w:val="-12"/>
        </w:rPr>
        <w:t> </w:t>
      </w:r>
      <w:r>
        <w:rPr/>
        <w:t>structures,</w:t>
      </w:r>
      <w:r>
        <w:rPr>
          <w:spacing w:val="-58"/>
        </w:rPr>
        <w:t> </w:t>
      </w:r>
      <w:r>
        <w:rPr/>
        <w:t>deployed personnel may have minimal to no shelter from which to live and work.</w:t>
      </w:r>
      <w:r>
        <w:rPr>
          <w:spacing w:val="1"/>
        </w:rPr>
        <w:t> </w:t>
      </w:r>
      <w:r>
        <w:rPr/>
        <w:t>Units</w:t>
      </w:r>
      <w:r>
        <w:rPr>
          <w:spacing w:val="1"/>
        </w:rPr>
        <w:t> </w:t>
      </w:r>
      <w:r>
        <w:rPr/>
        <w:t>may</w:t>
      </w:r>
      <w:r>
        <w:rPr>
          <w:spacing w:val="13"/>
        </w:rPr>
        <w:t> </w:t>
      </w:r>
      <w:r>
        <w:rPr/>
        <w:t>be</w:t>
      </w:r>
      <w:r>
        <w:rPr>
          <w:spacing w:val="14"/>
        </w:rPr>
        <w:t> </w:t>
      </w:r>
      <w:r>
        <w:rPr/>
        <w:t>held</w:t>
      </w:r>
      <w:r>
        <w:rPr>
          <w:spacing w:val="14"/>
        </w:rPr>
        <w:t> </w:t>
      </w:r>
      <w:r>
        <w:rPr/>
        <w:t>at</w:t>
      </w:r>
      <w:r>
        <w:rPr>
          <w:spacing w:val="15"/>
        </w:rPr>
        <w:t> </w:t>
      </w:r>
      <w:r>
        <w:rPr/>
        <w:t>reception</w:t>
      </w:r>
      <w:r>
        <w:rPr>
          <w:spacing w:val="13"/>
        </w:rPr>
        <w:t> </w:t>
      </w:r>
      <w:r>
        <w:rPr/>
        <w:t>and</w:t>
      </w:r>
      <w:r>
        <w:rPr>
          <w:spacing w:val="14"/>
        </w:rPr>
        <w:t> </w:t>
      </w:r>
      <w:r>
        <w:rPr/>
        <w:t>staging</w:t>
      </w:r>
      <w:r>
        <w:rPr>
          <w:spacing w:val="13"/>
        </w:rPr>
        <w:t> </w:t>
      </w:r>
      <w:r>
        <w:rPr/>
        <w:t>areas</w:t>
      </w:r>
      <w:r>
        <w:rPr>
          <w:spacing w:val="14"/>
        </w:rPr>
        <w:t> </w:t>
      </w:r>
      <w:r>
        <w:rPr/>
        <w:t>until</w:t>
      </w:r>
      <w:r>
        <w:rPr>
          <w:spacing w:val="15"/>
        </w:rPr>
        <w:t> </w:t>
      </w:r>
      <w:r>
        <w:rPr/>
        <w:t>the</w:t>
      </w:r>
      <w:r>
        <w:rPr>
          <w:spacing w:val="14"/>
        </w:rPr>
        <w:t> </w:t>
      </w:r>
      <w:r>
        <w:rPr/>
        <w:t>temporary</w:t>
      </w:r>
      <w:r>
        <w:rPr>
          <w:spacing w:val="14"/>
        </w:rPr>
        <w:t> </w:t>
      </w:r>
      <w:r>
        <w:rPr/>
        <w:t>structures</w:t>
      </w:r>
      <w:r>
        <w:rPr>
          <w:spacing w:val="13"/>
        </w:rPr>
        <w:t> </w:t>
      </w:r>
      <w:r>
        <w:rPr/>
        <w:t>are</w:t>
      </w:r>
      <w:r>
        <w:rPr>
          <w:spacing w:val="14"/>
        </w:rPr>
        <w:t> </w:t>
      </w:r>
      <w:r>
        <w:rPr/>
        <w:t>completed.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440" w:right="880"/>
        </w:sectPr>
      </w:pPr>
    </w:p>
    <w:p>
      <w:pPr>
        <w:pStyle w:val="BodyText"/>
        <w:spacing w:line="480" w:lineRule="auto" w:before="78"/>
        <w:ind w:left="1719" w:right="557"/>
        <w:jc w:val="both"/>
      </w:pPr>
      <w:r>
        <w:rPr/>
        <w:t>Additionally, military tents may be used for short-term temporary occupancy until a more</w:t>
      </w:r>
      <w:r>
        <w:rPr>
          <w:spacing w:val="-57"/>
        </w:rPr>
        <w:t> </w:t>
      </w:r>
      <w:r>
        <w:rPr/>
        <w:t>robust</w:t>
      </w:r>
      <w:r>
        <w:rPr>
          <w:spacing w:val="-1"/>
        </w:rPr>
        <w:t> </w:t>
      </w:r>
      <w:r>
        <w:rPr/>
        <w:t>temporary structure like a B-hut</w:t>
      </w:r>
      <w:r>
        <w:rPr>
          <w:spacing w:val="-1"/>
        </w:rPr>
        <w:t> </w:t>
      </w:r>
      <w:r>
        <w:rPr/>
        <w:t>can be occupied.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/>
        <w:ind w:left="1719" w:right="557" w:firstLine="720"/>
        <w:jc w:val="both"/>
      </w:pPr>
      <w:r>
        <w:rPr/>
        <w:t>Military</w:t>
      </w:r>
      <w:r>
        <w:rPr>
          <w:spacing w:val="-11"/>
        </w:rPr>
        <w:t> </w:t>
      </w:r>
      <w:r>
        <w:rPr/>
        <w:t>engineers</w:t>
      </w:r>
      <w:r>
        <w:rPr>
          <w:spacing w:val="-12"/>
        </w:rPr>
        <w:t> </w:t>
      </w:r>
      <w:r>
        <w:rPr/>
        <w:t>work</w:t>
      </w:r>
      <w:r>
        <w:rPr>
          <w:spacing w:val="-11"/>
        </w:rPr>
        <w:t> </w:t>
      </w:r>
      <w:r>
        <w:rPr/>
        <w:t>to</w:t>
      </w:r>
      <w:r>
        <w:rPr>
          <w:spacing w:val="-11"/>
        </w:rPr>
        <w:t> </w:t>
      </w:r>
      <w:r>
        <w:rPr/>
        <w:t>project</w:t>
      </w:r>
      <w:r>
        <w:rPr>
          <w:spacing w:val="-10"/>
        </w:rPr>
        <w:t> </w:t>
      </w:r>
      <w:r>
        <w:rPr/>
        <w:t>estimated</w:t>
      </w:r>
      <w:r>
        <w:rPr>
          <w:spacing w:val="-11"/>
        </w:rPr>
        <w:t> </w:t>
      </w:r>
      <w:r>
        <w:rPr/>
        <w:t>completion</w:t>
      </w:r>
      <w:r>
        <w:rPr>
          <w:spacing w:val="-10"/>
        </w:rPr>
        <w:t> </w:t>
      </w:r>
      <w:r>
        <w:rPr/>
        <w:t>dates</w:t>
      </w:r>
      <w:r>
        <w:rPr>
          <w:spacing w:val="-12"/>
        </w:rPr>
        <w:t> </w:t>
      </w:r>
      <w:r>
        <w:rPr/>
        <w:t>based</w:t>
      </w:r>
      <w:r>
        <w:rPr>
          <w:spacing w:val="-11"/>
        </w:rPr>
        <w:t> </w:t>
      </w:r>
      <w:r>
        <w:rPr/>
        <w:t>on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number</w:t>
      </w:r>
      <w:r>
        <w:rPr>
          <w:spacing w:val="-57"/>
        </w:rPr>
        <w:t> </w:t>
      </w:r>
      <w:r>
        <w:rPr/>
        <w:t>of resources available to assign to the project.</w:t>
      </w:r>
      <w:r>
        <w:rPr>
          <w:spacing w:val="1"/>
        </w:rPr>
        <w:t> </w:t>
      </w:r>
      <w:r>
        <w:rPr/>
        <w:t>Evaluating the rapid constructability of a</w:t>
      </w:r>
      <w:r>
        <w:rPr>
          <w:spacing w:val="1"/>
        </w:rPr>
        <w:t> </w:t>
      </w:r>
      <w:r>
        <w:rPr/>
        <w:t>material is similar to traditional construction schedule estimates.</w:t>
      </w:r>
      <w:r>
        <w:rPr>
          <w:spacing w:val="1"/>
        </w:rPr>
        <w:t> </w:t>
      </w:r>
      <w:r>
        <w:rPr/>
        <w:t>The project is analyzed</w:t>
      </w:r>
      <w:r>
        <w:rPr>
          <w:spacing w:val="1"/>
        </w:rPr>
        <w:t> </w:t>
      </w:r>
      <w:r>
        <w:rPr/>
        <w:t>and deconstructed into logical activities related to the work and resources required. Based</w:t>
      </w:r>
      <w:r>
        <w:rPr>
          <w:spacing w:val="-57"/>
        </w:rPr>
        <w:t> </w:t>
      </w:r>
      <w:r>
        <w:rPr/>
        <w:t>on the resources and work hours required, a project duration can be estimated.</w:t>
      </w:r>
      <w:r>
        <w:rPr>
          <w:spacing w:val="1"/>
        </w:rPr>
        <w:t> </w:t>
      </w:r>
      <w:r>
        <w:rPr/>
        <w:t>Materials</w:t>
      </w:r>
      <w:r>
        <w:rPr>
          <w:spacing w:val="1"/>
        </w:rPr>
        <w:t> </w:t>
      </w:r>
      <w:r>
        <w:rPr/>
        <w:t>that can be prefabricated into larger components of the structure are favored over stick-</w:t>
      </w:r>
      <w:r>
        <w:rPr>
          <w:spacing w:val="1"/>
        </w:rPr>
        <w:t> </w:t>
      </w:r>
      <w:r>
        <w:rPr/>
        <w:t>built materials that are constructed entirely on-site.</w:t>
      </w:r>
      <w:r>
        <w:rPr>
          <w:spacing w:val="1"/>
        </w:rPr>
        <w:t> </w:t>
      </w:r>
      <w:r>
        <w:rPr/>
        <w:t>The quantity of temporary structures</w:t>
      </w:r>
      <w:r>
        <w:rPr>
          <w:spacing w:val="1"/>
        </w:rPr>
        <w:t> </w:t>
      </w:r>
      <w:r>
        <w:rPr/>
        <w:t>required</w:t>
      </w:r>
      <w:r>
        <w:rPr>
          <w:spacing w:val="-1"/>
        </w:rPr>
        <w:t> </w:t>
      </w:r>
      <w:r>
        <w:rPr/>
        <w:t>may also be a factor.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/>
        <w:ind w:left="1719" w:right="557" w:firstLine="720"/>
        <w:jc w:val="both"/>
      </w:pPr>
      <w:r>
        <w:rPr/>
        <w:t>While there is a quantitative portion to assessing this aspect with estimating the</w:t>
      </w:r>
      <w:r>
        <w:rPr>
          <w:spacing w:val="1"/>
        </w:rPr>
        <w:t> </w:t>
      </w:r>
      <w:r>
        <w:rPr/>
        <w:t>project duration, the final assessment can be qualitative like the logistics criterion.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simplified</w:t>
      </w:r>
      <w:r>
        <w:rPr>
          <w:spacing w:val="1"/>
        </w:rPr>
        <w:t> </w:t>
      </w:r>
      <w:r>
        <w:rPr/>
        <w:t>qualitative</w:t>
      </w:r>
      <w:r>
        <w:rPr>
          <w:spacing w:val="1"/>
        </w:rPr>
        <w:t> </w:t>
      </w:r>
      <w:r>
        <w:rPr/>
        <w:t>assessment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based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number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pieces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connections required with a particular material if a full project schedule estimate is more</w:t>
      </w:r>
      <w:r>
        <w:rPr>
          <w:spacing w:val="1"/>
        </w:rPr>
        <w:t> </w:t>
      </w:r>
      <w:r>
        <w:rPr/>
        <w:t>intensive</w:t>
      </w:r>
      <w:r>
        <w:rPr>
          <w:spacing w:val="-8"/>
        </w:rPr>
        <w:t> </w:t>
      </w:r>
      <w:r>
        <w:rPr/>
        <w:t>than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time</w:t>
      </w:r>
      <w:r>
        <w:rPr>
          <w:spacing w:val="-6"/>
        </w:rPr>
        <w:t> </w:t>
      </w:r>
      <w:r>
        <w:rPr/>
        <w:t>available.</w:t>
      </w:r>
      <w:r>
        <w:rPr>
          <w:spacing w:val="47"/>
        </w:rPr>
        <w:t> </w:t>
      </w:r>
      <w:hyperlink w:history="true" w:anchor="_bookmark211">
        <w:r>
          <w:rPr/>
          <w:t>Table</w:t>
        </w:r>
        <w:r>
          <w:rPr>
            <w:spacing w:val="-6"/>
          </w:rPr>
          <w:t> </w:t>
        </w:r>
        <w:r>
          <w:rPr/>
          <w:t>9-4</w:t>
        </w:r>
        <w:r>
          <w:rPr>
            <w:spacing w:val="-7"/>
          </w:rPr>
          <w:t> </w:t>
        </w:r>
      </w:hyperlink>
      <w:r>
        <w:rPr/>
        <w:t>provides</w:t>
      </w:r>
      <w:r>
        <w:rPr>
          <w:spacing w:val="-6"/>
        </w:rPr>
        <w:t> </w:t>
      </w:r>
      <w:r>
        <w:rPr/>
        <w:t>an</w:t>
      </w:r>
      <w:r>
        <w:rPr>
          <w:spacing w:val="-8"/>
        </w:rPr>
        <w:t> </w:t>
      </w:r>
      <w:r>
        <w:rPr/>
        <w:t>example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a</w:t>
      </w:r>
      <w:r>
        <w:rPr>
          <w:spacing w:val="-6"/>
        </w:rPr>
        <w:t> </w:t>
      </w:r>
      <w:r>
        <w:rPr/>
        <w:t>five</w:t>
      </w:r>
      <w:r>
        <w:rPr>
          <w:spacing w:val="-6"/>
        </w:rPr>
        <w:t> </w:t>
      </w:r>
      <w:r>
        <w:rPr/>
        <w:t>level</w:t>
      </w:r>
      <w:r>
        <w:rPr>
          <w:spacing w:val="-6"/>
        </w:rPr>
        <w:t> </w:t>
      </w:r>
      <w:r>
        <w:rPr/>
        <w:t>qualitative</w:t>
      </w:r>
      <w:r>
        <w:rPr>
          <w:spacing w:val="-58"/>
        </w:rPr>
        <w:t> </w:t>
      </w:r>
      <w:r>
        <w:rPr/>
        <w:t>scale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rapid constructability.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440" w:right="880"/>
        </w:sectPr>
      </w:pPr>
    </w:p>
    <w:p>
      <w:pPr>
        <w:spacing w:before="79"/>
        <w:ind w:left="1720" w:right="0" w:firstLine="0"/>
        <w:jc w:val="left"/>
        <w:rPr>
          <w:i/>
          <w:sz w:val="24"/>
        </w:rPr>
      </w:pPr>
      <w:bookmarkStart w:name="_bookmark211" w:id="608"/>
      <w:bookmarkEnd w:id="608"/>
      <w:r>
        <w:rPr/>
      </w:r>
      <w:r>
        <w:rPr>
          <w:i/>
          <w:sz w:val="24"/>
        </w:rPr>
        <w:t>Table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9-4.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Example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qualitative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rating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scale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rapid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constructability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evaluation.</w:t>
      </w:r>
    </w:p>
    <w:p>
      <w:pPr>
        <w:pStyle w:val="BodyText"/>
        <w:spacing w:before="5" w:after="1"/>
        <w:rPr>
          <w:i/>
          <w:sz w:val="17"/>
        </w:rPr>
      </w:pPr>
    </w:p>
    <w:tbl>
      <w:tblPr>
        <w:tblW w:w="0" w:type="auto"/>
        <w:jc w:val="left"/>
        <w:tblInd w:w="282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60"/>
        <w:gridCol w:w="1121"/>
        <w:gridCol w:w="4359"/>
      </w:tblGrid>
      <w:tr>
        <w:trPr>
          <w:trHeight w:val="314" w:hRule="atLeast"/>
        </w:trPr>
        <w:tc>
          <w:tcPr>
            <w:tcW w:w="960" w:type="dxa"/>
            <w:tcBorders>
              <w:bottom w:val="single" w:sz="8" w:space="0" w:color="000000"/>
              <w:right w:val="single" w:sz="4" w:space="0" w:color="000000"/>
            </w:tcBorders>
            <w:shd w:val="clear" w:color="auto" w:fill="C0C0C0"/>
          </w:tcPr>
          <w:p>
            <w:pPr>
              <w:pStyle w:val="TableParagraph"/>
              <w:spacing w:line="234" w:lineRule="exact" w:before="60"/>
              <w:ind w:left="220" w:right="218"/>
              <w:jc w:val="center"/>
              <w:rPr>
                <w:sz w:val="22"/>
              </w:rPr>
            </w:pPr>
            <w:r>
              <w:rPr>
                <w:sz w:val="22"/>
              </w:rPr>
              <w:t>Scale</w:t>
            </w:r>
          </w:p>
        </w:tc>
        <w:tc>
          <w:tcPr>
            <w:tcW w:w="1121" w:type="dxa"/>
            <w:tcBorders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C0C0C0"/>
          </w:tcPr>
          <w:p>
            <w:pPr>
              <w:pStyle w:val="TableParagraph"/>
              <w:spacing w:line="234" w:lineRule="exact" w:before="60"/>
              <w:ind w:left="83" w:right="83"/>
              <w:jc w:val="center"/>
              <w:rPr>
                <w:sz w:val="22"/>
              </w:rPr>
            </w:pPr>
            <w:r>
              <w:rPr>
                <w:sz w:val="22"/>
              </w:rPr>
              <w:t>Definition</w:t>
            </w:r>
          </w:p>
        </w:tc>
        <w:tc>
          <w:tcPr>
            <w:tcW w:w="4359" w:type="dxa"/>
            <w:tcBorders>
              <w:left w:val="single" w:sz="4" w:space="0" w:color="000000"/>
              <w:bottom w:val="single" w:sz="8" w:space="0" w:color="000000"/>
            </w:tcBorders>
            <w:shd w:val="clear" w:color="auto" w:fill="C0C0C0"/>
          </w:tcPr>
          <w:p>
            <w:pPr>
              <w:pStyle w:val="TableParagraph"/>
              <w:spacing w:line="234" w:lineRule="exact" w:before="60"/>
              <w:ind w:left="1702" w:right="1706"/>
              <w:jc w:val="center"/>
              <w:rPr>
                <w:sz w:val="22"/>
              </w:rPr>
            </w:pPr>
            <w:r>
              <w:rPr>
                <w:sz w:val="22"/>
              </w:rPr>
              <w:t>Definition</w:t>
            </w:r>
          </w:p>
        </w:tc>
      </w:tr>
      <w:tr>
        <w:trPr>
          <w:trHeight w:val="509" w:hRule="atLeast"/>
        </w:trPr>
        <w:tc>
          <w:tcPr>
            <w:tcW w:w="960" w:type="dxa"/>
            <w:tcBorders>
              <w:top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before="125"/>
              <w:ind w:left="4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1</w:t>
            </w:r>
          </w:p>
        </w:tc>
        <w:tc>
          <w:tcPr>
            <w:tcW w:w="1121" w:type="dxa"/>
            <w:tcBorders>
              <w:top w:val="single" w:sz="8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25"/>
              <w:ind w:left="83" w:right="83"/>
              <w:jc w:val="center"/>
              <w:rPr>
                <w:sz w:val="22"/>
              </w:rPr>
            </w:pPr>
            <w:r>
              <w:rPr>
                <w:sz w:val="22"/>
              </w:rPr>
              <w:t>Very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low</w:t>
            </w:r>
          </w:p>
        </w:tc>
        <w:tc>
          <w:tcPr>
            <w:tcW w:w="4359" w:type="dxa"/>
            <w:tcBorders>
              <w:top w:val="single" w:sz="8" w:space="0" w:color="000000"/>
              <w:left w:val="single" w:sz="4" w:space="0" w:color="000000"/>
            </w:tcBorders>
          </w:tcPr>
          <w:p>
            <w:pPr>
              <w:pStyle w:val="TableParagraph"/>
              <w:spacing w:line="252" w:lineRule="exact"/>
              <w:ind w:left="102" w:right="999"/>
              <w:rPr>
                <w:sz w:val="22"/>
              </w:rPr>
            </w:pPr>
            <w:r>
              <w:rPr>
                <w:sz w:val="22"/>
              </w:rPr>
              <w:t>Stick built; many components, many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connections</w:t>
            </w:r>
          </w:p>
        </w:tc>
      </w:tr>
      <w:tr>
        <w:trPr>
          <w:trHeight w:val="553" w:hRule="atLeast"/>
        </w:trPr>
        <w:tc>
          <w:tcPr>
            <w:tcW w:w="960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169"/>
              <w:ind w:left="4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2</w:t>
            </w:r>
          </w:p>
        </w:tc>
        <w:tc>
          <w:tcPr>
            <w:tcW w:w="11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9"/>
              <w:ind w:left="83" w:right="83"/>
              <w:jc w:val="center"/>
              <w:rPr>
                <w:sz w:val="22"/>
              </w:rPr>
            </w:pPr>
            <w:r>
              <w:rPr>
                <w:sz w:val="22"/>
              </w:rPr>
              <w:t>Low</w:t>
            </w:r>
          </w:p>
        </w:tc>
        <w:tc>
          <w:tcPr>
            <w:tcW w:w="4359" w:type="dxa"/>
            <w:tcBorders>
              <w:left w:val="single" w:sz="4" w:space="0" w:color="000000"/>
            </w:tcBorders>
          </w:tcPr>
          <w:p>
            <w:pPr>
              <w:pStyle w:val="TableParagraph"/>
              <w:ind w:left="102" w:right="25"/>
              <w:rPr>
                <w:sz w:val="22"/>
              </w:rPr>
            </w:pPr>
            <w:r>
              <w:rPr>
                <w:sz w:val="22"/>
              </w:rPr>
              <w:t>Mostly stick built, minor prefabricated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elements;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significant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number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connections</w:t>
            </w:r>
          </w:p>
        </w:tc>
      </w:tr>
      <w:tr>
        <w:trPr>
          <w:trHeight w:val="600" w:hRule="atLeast"/>
        </w:trPr>
        <w:tc>
          <w:tcPr>
            <w:tcW w:w="960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i/>
                <w:sz w:val="18"/>
              </w:rPr>
            </w:pPr>
          </w:p>
          <w:p>
            <w:pPr>
              <w:pStyle w:val="TableParagraph"/>
              <w:ind w:left="4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3</w:t>
            </w:r>
          </w:p>
        </w:tc>
        <w:tc>
          <w:tcPr>
            <w:tcW w:w="11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i/>
                <w:sz w:val="18"/>
              </w:rPr>
            </w:pPr>
          </w:p>
          <w:p>
            <w:pPr>
              <w:pStyle w:val="TableParagraph"/>
              <w:ind w:left="83" w:right="83"/>
              <w:jc w:val="center"/>
              <w:rPr>
                <w:sz w:val="22"/>
              </w:rPr>
            </w:pPr>
            <w:r>
              <w:rPr>
                <w:sz w:val="22"/>
              </w:rPr>
              <w:t>Moderate</w:t>
            </w:r>
          </w:p>
        </w:tc>
        <w:tc>
          <w:tcPr>
            <w:tcW w:w="4359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42"/>
              <w:ind w:left="102" w:right="542"/>
              <w:rPr>
                <w:sz w:val="22"/>
              </w:rPr>
            </w:pPr>
            <w:r>
              <w:rPr>
                <w:sz w:val="22"/>
              </w:rPr>
              <w:t>Some prefabrication; moderate number of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connections</w:t>
            </w:r>
          </w:p>
        </w:tc>
      </w:tr>
      <w:tr>
        <w:trPr>
          <w:trHeight w:val="600" w:hRule="atLeast"/>
        </w:trPr>
        <w:tc>
          <w:tcPr>
            <w:tcW w:w="960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i/>
                <w:sz w:val="18"/>
              </w:rPr>
            </w:pPr>
          </w:p>
          <w:p>
            <w:pPr>
              <w:pStyle w:val="TableParagraph"/>
              <w:ind w:left="4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4</w:t>
            </w:r>
          </w:p>
        </w:tc>
        <w:tc>
          <w:tcPr>
            <w:tcW w:w="11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rPr>
                <w:i/>
                <w:sz w:val="18"/>
              </w:rPr>
            </w:pPr>
          </w:p>
          <w:p>
            <w:pPr>
              <w:pStyle w:val="TableParagraph"/>
              <w:ind w:left="82" w:right="83"/>
              <w:jc w:val="center"/>
              <w:rPr>
                <w:sz w:val="22"/>
              </w:rPr>
            </w:pPr>
            <w:r>
              <w:rPr>
                <w:sz w:val="22"/>
              </w:rPr>
              <w:t>High</w:t>
            </w:r>
          </w:p>
        </w:tc>
        <w:tc>
          <w:tcPr>
            <w:tcW w:w="4359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42"/>
              <w:ind w:left="102" w:right="908"/>
              <w:rPr>
                <w:sz w:val="22"/>
              </w:rPr>
            </w:pPr>
            <w:r>
              <w:rPr>
                <w:sz w:val="22"/>
              </w:rPr>
              <w:t>Large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prefabricated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sections;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minimal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connections</w:t>
            </w:r>
          </w:p>
        </w:tc>
      </w:tr>
      <w:tr>
        <w:trPr>
          <w:trHeight w:val="343" w:hRule="atLeast"/>
        </w:trPr>
        <w:tc>
          <w:tcPr>
            <w:tcW w:w="960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66"/>
              <w:ind w:left="4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5</w:t>
            </w:r>
          </w:p>
        </w:tc>
        <w:tc>
          <w:tcPr>
            <w:tcW w:w="112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66"/>
              <w:ind w:left="83" w:right="83"/>
              <w:jc w:val="center"/>
              <w:rPr>
                <w:sz w:val="22"/>
              </w:rPr>
            </w:pPr>
            <w:r>
              <w:rPr>
                <w:sz w:val="22"/>
              </w:rPr>
              <w:t>Very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high</w:t>
            </w:r>
          </w:p>
        </w:tc>
        <w:tc>
          <w:tcPr>
            <w:tcW w:w="4359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42"/>
              <w:ind w:left="102"/>
              <w:rPr>
                <w:sz w:val="22"/>
              </w:rPr>
            </w:pPr>
            <w:r>
              <w:rPr>
                <w:sz w:val="22"/>
              </w:rPr>
              <w:t>Modular;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arrives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on-site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complete</w:t>
            </w:r>
          </w:p>
        </w:tc>
      </w:tr>
    </w:tbl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9"/>
        <w:rPr>
          <w:i/>
          <w:sz w:val="35"/>
        </w:rPr>
      </w:pPr>
    </w:p>
    <w:p>
      <w:pPr>
        <w:pStyle w:val="ListParagraph"/>
        <w:numPr>
          <w:ilvl w:val="2"/>
          <w:numId w:val="28"/>
        </w:numPr>
        <w:tabs>
          <w:tab w:pos="2260" w:val="left" w:leader="none"/>
        </w:tabs>
        <w:spacing w:line="240" w:lineRule="auto" w:before="0" w:after="0"/>
        <w:ind w:left="2260" w:right="0" w:hanging="540"/>
        <w:jc w:val="both"/>
        <w:rPr>
          <w:i/>
          <w:sz w:val="24"/>
        </w:rPr>
      </w:pPr>
      <w:bookmarkStart w:name="9.3.7 Adaptability" w:id="609"/>
      <w:bookmarkEnd w:id="609"/>
      <w:r>
        <w:rPr/>
      </w:r>
      <w:bookmarkStart w:name="9.3.7 Adaptability" w:id="610"/>
      <w:bookmarkEnd w:id="610"/>
      <w:r>
        <w:rPr>
          <w:i/>
          <w:sz w:val="24"/>
        </w:rPr>
        <w:t>A</w:t>
      </w:r>
      <w:r>
        <w:rPr>
          <w:i/>
          <w:sz w:val="24"/>
        </w:rPr>
        <w:t>daptability</w:t>
      </w:r>
    </w:p>
    <w:p>
      <w:pPr>
        <w:pStyle w:val="BodyText"/>
        <w:spacing w:before="7"/>
        <w:rPr>
          <w:i/>
          <w:sz w:val="22"/>
        </w:rPr>
      </w:pPr>
    </w:p>
    <w:p>
      <w:pPr>
        <w:pStyle w:val="BodyText"/>
        <w:spacing w:line="480" w:lineRule="auto"/>
        <w:ind w:left="1720" w:right="557" w:firstLine="720"/>
        <w:jc w:val="both"/>
      </w:pPr>
      <w:r>
        <w:rPr/>
        <w:t>Another</w:t>
      </w:r>
      <w:r>
        <w:rPr>
          <w:spacing w:val="1"/>
        </w:rPr>
        <w:t> </w:t>
      </w:r>
      <w:r>
        <w:rPr/>
        <w:t>unique</w:t>
      </w:r>
      <w:r>
        <w:rPr>
          <w:spacing w:val="1"/>
        </w:rPr>
        <w:t> </w:t>
      </w:r>
      <w:r>
        <w:rPr/>
        <w:t>criterion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temporary</w:t>
      </w:r>
      <w:r>
        <w:rPr>
          <w:spacing w:val="1"/>
        </w:rPr>
        <w:t> </w:t>
      </w:r>
      <w:r>
        <w:rPr/>
        <w:t>military</w:t>
      </w:r>
      <w:r>
        <w:rPr>
          <w:spacing w:val="1"/>
        </w:rPr>
        <w:t> </w:t>
      </w:r>
      <w:r>
        <w:rPr/>
        <w:t>structures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adaptability.</w:t>
      </w:r>
      <w:r>
        <w:rPr>
          <w:spacing w:val="1"/>
        </w:rPr>
        <w:t> </w:t>
      </w:r>
      <w:r>
        <w:rPr/>
        <w:t>Adaptability</w:t>
      </w:r>
      <w:r>
        <w:rPr>
          <w:spacing w:val="-12"/>
        </w:rPr>
        <w:t> </w:t>
      </w:r>
      <w:r>
        <w:rPr/>
        <w:t>is</w:t>
      </w:r>
      <w:r>
        <w:rPr>
          <w:spacing w:val="-10"/>
        </w:rPr>
        <w:t> </w:t>
      </w:r>
      <w:r>
        <w:rPr/>
        <w:t>defined</w:t>
      </w:r>
      <w:r>
        <w:rPr>
          <w:spacing w:val="-10"/>
        </w:rPr>
        <w:t> </w:t>
      </w:r>
      <w:r>
        <w:rPr/>
        <w:t>as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capacity</w:t>
      </w:r>
      <w:r>
        <w:rPr>
          <w:spacing w:val="-10"/>
        </w:rPr>
        <w:t> </w:t>
      </w:r>
      <w:r>
        <w:rPr/>
        <w:t>to</w:t>
      </w:r>
      <w:r>
        <w:rPr>
          <w:spacing w:val="-10"/>
        </w:rPr>
        <w:t> </w:t>
      </w:r>
      <w:r>
        <w:rPr/>
        <w:t>be</w:t>
      </w:r>
      <w:r>
        <w:rPr>
          <w:spacing w:val="-10"/>
        </w:rPr>
        <w:t> </w:t>
      </w:r>
      <w:r>
        <w:rPr/>
        <w:t>altered</w:t>
      </w:r>
      <w:r>
        <w:rPr>
          <w:spacing w:val="-10"/>
        </w:rPr>
        <w:t> </w:t>
      </w:r>
      <w:r>
        <w:rPr/>
        <w:t>for</w:t>
      </w:r>
      <w:r>
        <w:rPr>
          <w:spacing w:val="-9"/>
        </w:rPr>
        <w:t> </w:t>
      </w:r>
      <w:r>
        <w:rPr/>
        <w:t>a</w:t>
      </w:r>
      <w:r>
        <w:rPr>
          <w:spacing w:val="-10"/>
        </w:rPr>
        <w:t> </w:t>
      </w:r>
      <w:r>
        <w:rPr/>
        <w:t>new</w:t>
      </w:r>
      <w:r>
        <w:rPr>
          <w:spacing w:val="-10"/>
        </w:rPr>
        <w:t> </w:t>
      </w:r>
      <w:r>
        <w:rPr/>
        <w:t>purpose.</w:t>
      </w:r>
      <w:r>
        <w:rPr>
          <w:spacing w:val="41"/>
        </w:rPr>
        <w:t> </w:t>
      </w:r>
      <w:r>
        <w:rPr/>
        <w:t>This</w:t>
      </w:r>
      <w:r>
        <w:rPr>
          <w:spacing w:val="-10"/>
        </w:rPr>
        <w:t> </w:t>
      </w:r>
      <w:r>
        <w:rPr/>
        <w:t>quality</w:t>
      </w:r>
      <w:r>
        <w:rPr>
          <w:spacing w:val="-11"/>
        </w:rPr>
        <w:t> </w:t>
      </w:r>
      <w:r>
        <w:rPr/>
        <w:t>is</w:t>
      </w:r>
      <w:r>
        <w:rPr>
          <w:spacing w:val="-10"/>
        </w:rPr>
        <w:t> </w:t>
      </w:r>
      <w:r>
        <w:rPr/>
        <w:t>ideal</w:t>
      </w:r>
      <w:r>
        <w:rPr>
          <w:spacing w:val="-58"/>
        </w:rPr>
        <w:t> </w:t>
      </w:r>
      <w:r>
        <w:rPr/>
        <w:t>from multiple perspectives with a temporary military structure. One aspect is that the</w:t>
      </w:r>
      <w:r>
        <w:rPr>
          <w:spacing w:val="1"/>
        </w:rPr>
        <w:t> </w:t>
      </w:r>
      <w:r>
        <w:rPr>
          <w:spacing w:val="-1"/>
        </w:rPr>
        <w:t>building</w:t>
      </w:r>
      <w:r>
        <w:rPr>
          <w:spacing w:val="-14"/>
        </w:rPr>
        <w:t> </w:t>
      </w:r>
      <w:r>
        <w:rPr>
          <w:spacing w:val="-1"/>
        </w:rPr>
        <w:t>may</w:t>
      </w:r>
      <w:r>
        <w:rPr>
          <w:spacing w:val="-12"/>
        </w:rPr>
        <w:t> </w:t>
      </w:r>
      <w:r>
        <w:rPr>
          <w:spacing w:val="-1"/>
        </w:rPr>
        <w:t>need</w:t>
      </w:r>
      <w:r>
        <w:rPr>
          <w:spacing w:val="-12"/>
        </w:rPr>
        <w:t> </w:t>
      </w:r>
      <w:r>
        <w:rPr>
          <w:spacing w:val="-1"/>
        </w:rPr>
        <w:t>to</w:t>
      </w:r>
      <w:r>
        <w:rPr>
          <w:spacing w:val="-14"/>
        </w:rPr>
        <w:t> </w:t>
      </w:r>
      <w:r>
        <w:rPr/>
        <w:t>change</w:t>
      </w:r>
      <w:r>
        <w:rPr>
          <w:spacing w:val="-12"/>
        </w:rPr>
        <w:t> </w:t>
      </w:r>
      <w:r>
        <w:rPr/>
        <w:t>functional</w:t>
      </w:r>
      <w:r>
        <w:rPr>
          <w:spacing w:val="-12"/>
        </w:rPr>
        <w:t> </w:t>
      </w:r>
      <w:r>
        <w:rPr/>
        <w:t>purpose.</w:t>
      </w:r>
      <w:r>
        <w:rPr>
          <w:spacing w:val="34"/>
        </w:rPr>
        <w:t> </w:t>
      </w:r>
      <w:r>
        <w:rPr/>
        <w:t>For</w:t>
      </w:r>
      <w:r>
        <w:rPr>
          <w:spacing w:val="-11"/>
        </w:rPr>
        <w:t> </w:t>
      </w:r>
      <w:r>
        <w:rPr/>
        <w:t>example,</w:t>
      </w:r>
      <w:r>
        <w:rPr>
          <w:spacing w:val="-12"/>
        </w:rPr>
        <w:t> </w:t>
      </w:r>
      <w:r>
        <w:rPr/>
        <w:t>a</w:t>
      </w:r>
      <w:r>
        <w:rPr>
          <w:spacing w:val="-12"/>
        </w:rPr>
        <w:t> </w:t>
      </w:r>
      <w:r>
        <w:rPr/>
        <w:t>structure</w:t>
      </w:r>
      <w:r>
        <w:rPr>
          <w:spacing w:val="-13"/>
        </w:rPr>
        <w:t> </w:t>
      </w:r>
      <w:r>
        <w:rPr/>
        <w:t>that</w:t>
      </w:r>
      <w:r>
        <w:rPr>
          <w:spacing w:val="-12"/>
        </w:rPr>
        <w:t> </w:t>
      </w:r>
      <w:r>
        <w:rPr/>
        <w:t>was</w:t>
      </w:r>
      <w:r>
        <w:rPr>
          <w:spacing w:val="-13"/>
        </w:rPr>
        <w:t> </w:t>
      </w:r>
      <w:r>
        <w:rPr/>
        <w:t>housing</w:t>
      </w:r>
      <w:r>
        <w:rPr>
          <w:spacing w:val="-57"/>
        </w:rPr>
        <w:t> </w:t>
      </w:r>
      <w:r>
        <w:rPr/>
        <w:t>a platoon of Soldiers last week may need to change into a medical facility in the future.</w:t>
      </w:r>
      <w:r>
        <w:rPr>
          <w:spacing w:val="1"/>
        </w:rPr>
        <w:t> </w:t>
      </w:r>
      <w:r>
        <w:rPr/>
        <w:t>Another</w:t>
      </w:r>
      <w:r>
        <w:rPr>
          <w:spacing w:val="-3"/>
        </w:rPr>
        <w:t> </w:t>
      </w:r>
      <w:r>
        <w:rPr/>
        <w:t>characteristic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adaptability</w:t>
      </w:r>
      <w:r>
        <w:rPr>
          <w:spacing w:val="-5"/>
        </w:rPr>
        <w:t> </w:t>
      </w:r>
      <w:r>
        <w:rPr/>
        <w:t>is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potential</w:t>
      </w:r>
      <w:r>
        <w:rPr>
          <w:spacing w:val="-3"/>
        </w:rPr>
        <w:t> </w:t>
      </w:r>
      <w:r>
        <w:rPr/>
        <w:t>for</w:t>
      </w:r>
      <w:r>
        <w:rPr>
          <w:spacing w:val="-3"/>
        </w:rPr>
        <w:t> </w:t>
      </w:r>
      <w:r>
        <w:rPr/>
        <w:t>disassembly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relocation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58"/>
        </w:rPr>
        <w:t> </w:t>
      </w:r>
      <w:r>
        <w:rPr/>
        <w:t>structure.</w:t>
      </w:r>
      <w:r>
        <w:rPr>
          <w:spacing w:val="1"/>
        </w:rPr>
        <w:t> </w:t>
      </w:r>
      <w:r>
        <w:rPr/>
        <w:t>The ability for the structure to be disassembled, packed up, transported to</w:t>
      </w:r>
      <w:r>
        <w:rPr>
          <w:spacing w:val="1"/>
        </w:rPr>
        <w:t> </w:t>
      </w:r>
      <w:r>
        <w:rPr/>
        <w:t>another location and reassembled would be a highly desirable quality as it would save</w:t>
      </w:r>
      <w:r>
        <w:rPr>
          <w:spacing w:val="1"/>
        </w:rPr>
        <w:t> </w:t>
      </w:r>
      <w:r>
        <w:rPr/>
        <w:t>resources and remove the hassle of disposal.</w:t>
      </w:r>
      <w:r>
        <w:rPr>
          <w:spacing w:val="1"/>
        </w:rPr>
        <w:t> </w:t>
      </w:r>
      <w:r>
        <w:rPr/>
        <w:t>This criterion is one of the more openly</w:t>
      </w:r>
      <w:r>
        <w:rPr>
          <w:spacing w:val="1"/>
        </w:rPr>
        <w:t> </w:t>
      </w:r>
      <w:r>
        <w:rPr/>
        <w:t>defined evaluation metrics.</w:t>
      </w:r>
      <w:r>
        <w:rPr>
          <w:spacing w:val="1"/>
        </w:rPr>
        <w:t> </w:t>
      </w:r>
      <w:r>
        <w:rPr/>
        <w:t>The rating of the materials relative to adaptability would be</w:t>
      </w:r>
      <w:r>
        <w:rPr>
          <w:spacing w:val="1"/>
        </w:rPr>
        <w:t> </w:t>
      </w:r>
      <w:r>
        <w:rPr/>
        <w:t>qualitative,</w:t>
      </w:r>
      <w:r>
        <w:rPr>
          <w:spacing w:val="-3"/>
        </w:rPr>
        <w:t> </w:t>
      </w:r>
      <w:r>
        <w:rPr/>
        <w:t>which</w:t>
      </w:r>
      <w:r>
        <w:rPr>
          <w:spacing w:val="-1"/>
        </w:rPr>
        <w:t> </w:t>
      </w:r>
      <w:r>
        <w:rPr/>
        <w:t>could</w:t>
      </w:r>
      <w:r>
        <w:rPr>
          <w:spacing w:val="-3"/>
        </w:rPr>
        <w:t> </w:t>
      </w:r>
      <w:r>
        <w:rPr/>
        <w:t>then be</w:t>
      </w:r>
      <w:r>
        <w:rPr>
          <w:spacing w:val="-1"/>
        </w:rPr>
        <w:t> </w:t>
      </w:r>
      <w:r>
        <w:rPr/>
        <w:t>translated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a numerical</w:t>
      </w:r>
      <w:r>
        <w:rPr>
          <w:spacing w:val="-2"/>
        </w:rPr>
        <w:t> </w:t>
      </w:r>
      <w:r>
        <w:rPr/>
        <w:t>scale</w:t>
      </w:r>
      <w:r>
        <w:rPr>
          <w:spacing w:val="-1"/>
        </w:rPr>
        <w:t> </w:t>
      </w:r>
      <w:r>
        <w:rPr/>
        <w:t>by</w:t>
      </w:r>
      <w:r>
        <w:rPr>
          <w:spacing w:val="-1"/>
        </w:rPr>
        <w:t> </w:t>
      </w:r>
      <w:r>
        <w:rPr/>
        <w:t>outlined definition.</w:t>
      </w:r>
    </w:p>
    <w:p>
      <w:pPr>
        <w:pStyle w:val="ListParagraph"/>
        <w:numPr>
          <w:ilvl w:val="2"/>
          <w:numId w:val="28"/>
        </w:numPr>
        <w:tabs>
          <w:tab w:pos="2260" w:val="left" w:leader="none"/>
        </w:tabs>
        <w:spacing w:line="240" w:lineRule="auto" w:before="162" w:after="0"/>
        <w:ind w:left="2260" w:right="0" w:hanging="540"/>
        <w:jc w:val="both"/>
        <w:rPr>
          <w:i/>
          <w:sz w:val="24"/>
        </w:rPr>
      </w:pPr>
      <w:bookmarkStart w:name="9.3.8 Prioritizing criteria" w:id="611"/>
      <w:bookmarkEnd w:id="611"/>
      <w:r>
        <w:rPr/>
      </w:r>
      <w:bookmarkStart w:name="9.3.8 Prioritizing criteria" w:id="612"/>
      <w:bookmarkEnd w:id="612"/>
      <w:r>
        <w:rPr>
          <w:i/>
          <w:sz w:val="24"/>
        </w:rPr>
        <w:t>P</w:t>
      </w:r>
      <w:r>
        <w:rPr>
          <w:i/>
          <w:sz w:val="24"/>
        </w:rPr>
        <w:t>rioritizing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criteria</w:t>
      </w:r>
    </w:p>
    <w:p>
      <w:pPr>
        <w:pStyle w:val="BodyText"/>
        <w:spacing w:before="7"/>
        <w:rPr>
          <w:i/>
          <w:sz w:val="22"/>
        </w:rPr>
      </w:pPr>
    </w:p>
    <w:p>
      <w:pPr>
        <w:pStyle w:val="BodyText"/>
        <w:spacing w:line="480" w:lineRule="auto"/>
        <w:ind w:left="1720" w:right="557" w:firstLine="720"/>
        <w:jc w:val="both"/>
      </w:pPr>
      <w:r>
        <w:rPr/>
        <w:t>An important aspect of the decision making tools is setting the priority of criteria,</w:t>
      </w:r>
      <w:r>
        <w:rPr>
          <w:spacing w:val="1"/>
        </w:rPr>
        <w:t> </w:t>
      </w:r>
      <w:r>
        <w:rPr/>
        <w:t>potentially</w:t>
      </w:r>
      <w:r>
        <w:rPr>
          <w:spacing w:val="-1"/>
        </w:rPr>
        <w:t> </w:t>
      </w:r>
      <w:r>
        <w:rPr/>
        <w:t>via expert opinion or</w:t>
      </w:r>
      <w:r>
        <w:rPr>
          <w:spacing w:val="-2"/>
        </w:rPr>
        <w:t> </w:t>
      </w:r>
      <w:r>
        <w:rPr/>
        <w:t>just</w:t>
      </w:r>
      <w:r>
        <w:rPr>
          <w:spacing w:val="-1"/>
        </w:rPr>
        <w:t> </w:t>
      </w:r>
      <w:r>
        <w:rPr/>
        <w:t>based on the</w:t>
      </w:r>
      <w:r>
        <w:rPr>
          <w:spacing w:val="-2"/>
        </w:rPr>
        <w:t> </w:t>
      </w:r>
      <w:r>
        <w:rPr/>
        <w:t>given circumstances of the</w:t>
      </w:r>
      <w:r>
        <w:rPr>
          <w:spacing w:val="-1"/>
        </w:rPr>
        <w:t> </w:t>
      </w:r>
      <w:r>
        <w:rPr/>
        <w:t>project.</w:t>
      </w:r>
      <w:r>
        <w:rPr>
          <w:spacing w:val="59"/>
        </w:rPr>
        <w:t> </w:t>
      </w:r>
      <w:r>
        <w:rPr/>
        <w:t>For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440" w:right="880"/>
        </w:sectPr>
      </w:pPr>
    </w:p>
    <w:p>
      <w:pPr>
        <w:pStyle w:val="BodyText"/>
        <w:spacing w:line="480" w:lineRule="auto" w:before="78"/>
        <w:ind w:left="1720" w:right="557"/>
        <w:jc w:val="both"/>
      </w:pPr>
      <w:r>
        <w:rPr/>
        <w:t>example, a humanitarian mission in Africa may have different threat parameters than an</w:t>
      </w:r>
      <w:r>
        <w:rPr>
          <w:spacing w:val="1"/>
        </w:rPr>
        <w:t> </w:t>
      </w:r>
      <w:r>
        <w:rPr/>
        <w:t>austere combat outpost in the mountains of Afghanistan and that difference may drive the</w:t>
      </w:r>
      <w:r>
        <w:rPr>
          <w:spacing w:val="-57"/>
        </w:rPr>
        <w:t> </w:t>
      </w:r>
      <w:r>
        <w:rPr/>
        <w:t>value of criteria related to protection and threat mitigation, such as blast and ballistic</w:t>
      </w:r>
      <w:r>
        <w:rPr>
          <w:spacing w:val="1"/>
        </w:rPr>
        <w:t> </w:t>
      </w:r>
      <w:r>
        <w:rPr/>
        <w:t>resistance.</w:t>
      </w:r>
      <w:r>
        <w:rPr>
          <w:spacing w:val="1"/>
        </w:rPr>
        <w:t> </w:t>
      </w:r>
      <w:r>
        <w:rPr/>
        <w:t>The ability to adjust to the environment is important for decisions related to</w:t>
      </w:r>
      <w:r>
        <w:rPr>
          <w:spacing w:val="1"/>
        </w:rPr>
        <w:t> </w:t>
      </w:r>
      <w:r>
        <w:rPr/>
        <w:t>temporary military structures due to the wide variety of uses and missions for which they</w:t>
      </w:r>
      <w:r>
        <w:rPr>
          <w:spacing w:val="1"/>
        </w:rPr>
        <w:t> </w:t>
      </w:r>
      <w:r>
        <w:rPr/>
        <w:t>may</w:t>
      </w:r>
      <w:r>
        <w:rPr>
          <w:spacing w:val="-1"/>
        </w:rPr>
        <w:t> </w:t>
      </w:r>
      <w:r>
        <w:rPr/>
        <w:t>be employed.</w:t>
      </w:r>
    </w:p>
    <w:p>
      <w:pPr>
        <w:pStyle w:val="BodyText"/>
        <w:spacing w:line="480" w:lineRule="auto" w:before="160"/>
        <w:ind w:left="1719" w:right="558" w:firstLine="720"/>
        <w:jc w:val="both"/>
      </w:pPr>
      <w:r>
        <w:rPr/>
        <w:t>In</w:t>
      </w:r>
      <w:r>
        <w:rPr>
          <w:spacing w:val="1"/>
        </w:rPr>
        <w:t> </w:t>
      </w:r>
      <w:r>
        <w:rPr/>
        <w:t>addition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case-by-case</w:t>
      </w:r>
      <w:r>
        <w:rPr>
          <w:spacing w:val="1"/>
        </w:rPr>
        <w:t> </w:t>
      </w:r>
      <w:r>
        <w:rPr/>
        <w:t>assessment,</w:t>
      </w:r>
      <w:r>
        <w:rPr>
          <w:spacing w:val="1"/>
        </w:rPr>
        <w:t> </w:t>
      </w:r>
      <w:r>
        <w:rPr/>
        <w:t>trade-offs</w:t>
      </w:r>
      <w:r>
        <w:rPr>
          <w:spacing w:val="1"/>
        </w:rPr>
        <w:t> </w:t>
      </w:r>
      <w:r>
        <w:rPr/>
        <w:t>between</w:t>
      </w:r>
      <w:r>
        <w:rPr>
          <w:spacing w:val="1"/>
        </w:rPr>
        <w:t> </w:t>
      </w:r>
      <w:r>
        <w:rPr/>
        <w:t>criteria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weighing of criteria or alternative advantages is important.</w:t>
      </w:r>
      <w:r>
        <w:rPr>
          <w:spacing w:val="1"/>
        </w:rPr>
        <w:t> </w:t>
      </w:r>
      <w:r>
        <w:rPr/>
        <w:t>This allows for flexibility in</w:t>
      </w:r>
      <w:r>
        <w:rPr>
          <w:spacing w:val="1"/>
        </w:rPr>
        <w:t> </w:t>
      </w:r>
      <w:r>
        <w:rPr/>
        <w:t>application of the tool.</w:t>
      </w:r>
      <w:r>
        <w:rPr>
          <w:spacing w:val="1"/>
        </w:rPr>
        <w:t> </w:t>
      </w:r>
      <w:r>
        <w:rPr/>
        <w:t>The inclusion of multiple stakeholders should also be possible as</w:t>
      </w:r>
      <w:r>
        <w:rPr>
          <w:spacing w:val="1"/>
        </w:rPr>
        <w:t> </w:t>
      </w:r>
      <w:r>
        <w:rPr/>
        <w:t>there will likely be many parties with varied interests and knowledge, providing data,</w:t>
      </w:r>
      <w:r>
        <w:rPr>
          <w:spacing w:val="1"/>
        </w:rPr>
        <w:t> </w:t>
      </w:r>
      <w:r>
        <w:rPr/>
        <w:t>analysis, and opinion.</w:t>
      </w:r>
      <w:r>
        <w:rPr>
          <w:spacing w:val="1"/>
        </w:rPr>
        <w:t> </w:t>
      </w:r>
      <w:r>
        <w:rPr/>
        <w:t>These parties may be the leader or group making the decision or</w:t>
      </w:r>
      <w:r>
        <w:rPr>
          <w:spacing w:val="1"/>
        </w:rPr>
        <w:t> </w:t>
      </w:r>
      <w:r>
        <w:rPr/>
        <w:t>they</w:t>
      </w:r>
      <w:r>
        <w:rPr>
          <w:spacing w:val="-1"/>
        </w:rPr>
        <w:t> </w:t>
      </w:r>
      <w:r>
        <w:rPr/>
        <w:t>may be providing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</w:t>
      </w:r>
      <w:r>
        <w:rPr/>
        <w:t>recommendation</w:t>
      </w:r>
      <w:r>
        <w:rPr>
          <w:spacing w:val="-2"/>
        </w:rPr>
        <w:t> </w:t>
      </w:r>
      <w:r>
        <w:rPr/>
        <w:t>to a</w:t>
      </w:r>
      <w:r>
        <w:rPr>
          <w:spacing w:val="-1"/>
        </w:rPr>
        <w:t> </w:t>
      </w:r>
      <w:r>
        <w:rPr/>
        <w:t>decision maker.</w:t>
      </w:r>
    </w:p>
    <w:p>
      <w:pPr>
        <w:pStyle w:val="Heading9"/>
        <w:numPr>
          <w:ilvl w:val="1"/>
          <w:numId w:val="28"/>
        </w:numPr>
        <w:tabs>
          <w:tab w:pos="2080" w:val="left" w:leader="none"/>
        </w:tabs>
        <w:spacing w:line="240" w:lineRule="auto" w:before="162" w:after="0"/>
        <w:ind w:left="2080" w:right="0" w:hanging="361"/>
        <w:jc w:val="both"/>
      </w:pPr>
      <w:bookmarkStart w:name="_TOC_250006" w:id="613"/>
      <w:bookmarkStart w:name="9.4 Case study: material selection for t" w:id="614"/>
      <w:r>
        <w:rPr>
          <w:b w:val="0"/>
        </w:rPr>
      </w:r>
      <w:bookmarkEnd w:id="614"/>
      <w:bookmarkStart w:name="9.4 Case study: material selection for t" w:id="615"/>
      <w:r>
        <w:rPr/>
        <w:t>C</w:t>
      </w:r>
      <w:r>
        <w:rPr/>
        <w:t>ase</w:t>
      </w:r>
      <w:r>
        <w:rPr>
          <w:spacing w:val="-3"/>
        </w:rPr>
        <w:t> </w:t>
      </w:r>
      <w:r>
        <w:rPr/>
        <w:t>study:</w:t>
      </w:r>
      <w:r>
        <w:rPr>
          <w:spacing w:val="-3"/>
        </w:rPr>
        <w:t> </w:t>
      </w:r>
      <w:r>
        <w:rPr/>
        <w:t>material</w:t>
      </w:r>
      <w:r>
        <w:rPr>
          <w:spacing w:val="-2"/>
        </w:rPr>
        <w:t> </w:t>
      </w:r>
      <w:r>
        <w:rPr/>
        <w:t>selection</w:t>
      </w:r>
      <w:r>
        <w:rPr>
          <w:spacing w:val="-4"/>
        </w:rPr>
        <w:t> </w:t>
      </w:r>
      <w:r>
        <w:rPr/>
        <w:t>for</w:t>
      </w:r>
      <w:r>
        <w:rPr>
          <w:spacing w:val="-3"/>
        </w:rPr>
        <w:t> </w:t>
      </w:r>
      <w:r>
        <w:rPr/>
        <w:t>temporary</w:t>
      </w:r>
      <w:r>
        <w:rPr>
          <w:spacing w:val="-2"/>
        </w:rPr>
        <w:t> </w:t>
      </w:r>
      <w:r>
        <w:rPr/>
        <w:t>military</w:t>
      </w:r>
      <w:r>
        <w:rPr>
          <w:spacing w:val="-5"/>
        </w:rPr>
        <w:t> </w:t>
      </w:r>
      <w:bookmarkEnd w:id="613"/>
      <w:r>
        <w:rPr/>
        <w:t>structures</w:t>
      </w:r>
    </w:p>
    <w:p>
      <w:pPr>
        <w:pStyle w:val="BodyText"/>
        <w:spacing w:before="6"/>
        <w:rPr>
          <w:b/>
          <w:sz w:val="22"/>
        </w:rPr>
      </w:pPr>
    </w:p>
    <w:p>
      <w:pPr>
        <w:pStyle w:val="BodyText"/>
        <w:spacing w:line="480" w:lineRule="auto"/>
        <w:ind w:left="1719" w:right="558" w:firstLine="720"/>
        <w:jc w:val="both"/>
      </w:pPr>
      <w:r>
        <w:rPr/>
        <w:t>Temporary</w:t>
      </w:r>
      <w:r>
        <w:rPr>
          <w:spacing w:val="1"/>
        </w:rPr>
        <w:t> </w:t>
      </w:r>
      <w:r>
        <w:rPr/>
        <w:t>military</w:t>
      </w:r>
      <w:r>
        <w:rPr>
          <w:spacing w:val="1"/>
        </w:rPr>
        <w:t> </w:t>
      </w:r>
      <w:r>
        <w:rPr/>
        <w:t>structures</w:t>
      </w:r>
      <w:r>
        <w:rPr>
          <w:spacing w:val="1"/>
        </w:rPr>
        <w:t> </w:t>
      </w:r>
      <w:r>
        <w:rPr/>
        <w:t>may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simple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structural</w:t>
      </w:r>
      <w:r>
        <w:rPr>
          <w:spacing w:val="1"/>
        </w:rPr>
        <w:t> </w:t>
      </w:r>
      <w:r>
        <w:rPr/>
        <w:t>design,</w:t>
      </w:r>
      <w:r>
        <w:rPr>
          <w:spacing w:val="1"/>
        </w:rPr>
        <w:t> </w:t>
      </w:r>
      <w:r>
        <w:rPr/>
        <w:t>but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construction project there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still complex</w:t>
      </w:r>
      <w:r>
        <w:rPr>
          <w:spacing w:val="1"/>
        </w:rPr>
        <w:t> </w:t>
      </w:r>
      <w:r>
        <w:rPr/>
        <w:t>decisions in</w:t>
      </w:r>
      <w:r>
        <w:rPr>
          <w:spacing w:val="1"/>
        </w:rPr>
        <w:t> </w:t>
      </w:r>
      <w:r>
        <w:rPr/>
        <w:t>terms</w:t>
      </w:r>
      <w:r>
        <w:rPr>
          <w:spacing w:val="1"/>
        </w:rPr>
        <w:t> </w:t>
      </w:r>
      <w:r>
        <w:rPr/>
        <w:t>of risk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assessing</w:t>
      </w:r>
      <w:r>
        <w:rPr>
          <w:spacing w:val="1"/>
        </w:rPr>
        <w:t> </w:t>
      </w:r>
      <w:r>
        <w:rPr/>
        <w:t>standards of performance.</w:t>
      </w:r>
      <w:r>
        <w:rPr>
          <w:spacing w:val="1"/>
        </w:rPr>
        <w:t> </w:t>
      </w:r>
      <w:r>
        <w:rPr/>
        <w:t>Decisions in terms of types of material used, structural design,</w:t>
      </w:r>
      <w:r>
        <w:rPr>
          <w:spacing w:val="-57"/>
        </w:rPr>
        <w:t> </w:t>
      </w:r>
      <w:r>
        <w:rPr/>
        <w:t>and site layout all involve attributes such as cost, logistical feasibility, energy efficiency,</w:t>
      </w:r>
      <w:r>
        <w:rPr>
          <w:spacing w:val="1"/>
        </w:rPr>
        <w:t> </w:t>
      </w:r>
      <w:r>
        <w:rPr/>
        <w:t>and force protection capacity (blast resistance and ballistic resistance).</w:t>
      </w:r>
      <w:r>
        <w:rPr>
          <w:spacing w:val="1"/>
        </w:rPr>
        <w:t> </w:t>
      </w:r>
      <w:r>
        <w:rPr/>
        <w:t>Embedded in the</w:t>
      </w:r>
      <w:r>
        <w:rPr>
          <w:spacing w:val="1"/>
        </w:rPr>
        <w:t> </w:t>
      </w:r>
      <w:r>
        <w:rPr/>
        <w:t>decision space are interdependencies and both subjective and objective assessment levels.</w:t>
      </w:r>
      <w:r>
        <w:rPr>
          <w:spacing w:val="-57"/>
        </w:rPr>
        <w:t> </w:t>
      </w:r>
      <w:r>
        <w:rPr/>
        <w:t>Often in the construction industry, decision making tools are focused on risk assessment</w:t>
      </w:r>
      <w:r>
        <w:rPr>
          <w:spacing w:val="1"/>
        </w:rPr>
        <w:t> </w:t>
      </w:r>
      <w:r>
        <w:rPr/>
        <w:t>and mitigating risk in terms of cost and project duration. In temporary military structures,</w:t>
      </w:r>
      <w:r>
        <w:rPr>
          <w:spacing w:val="-57"/>
        </w:rPr>
        <w:t> </w:t>
      </w:r>
      <w:r>
        <w:rPr/>
        <w:t>those two attributes are important but depending on the intended operating environment,</w:t>
      </w:r>
      <w:r>
        <w:rPr>
          <w:spacing w:val="1"/>
        </w:rPr>
        <w:t> </w:t>
      </w:r>
      <w:r>
        <w:rPr/>
        <w:t>there</w:t>
      </w:r>
      <w:r>
        <w:rPr>
          <w:spacing w:val="-2"/>
        </w:rPr>
        <w:t> </w:t>
      </w:r>
      <w:r>
        <w:rPr/>
        <w:t>are many additional</w:t>
      </w:r>
      <w:r>
        <w:rPr>
          <w:spacing w:val="-1"/>
        </w:rPr>
        <w:t> </w:t>
      </w:r>
      <w:r>
        <w:rPr/>
        <w:t>attributes of</w:t>
      </w:r>
      <w:r>
        <w:rPr>
          <w:spacing w:val="-1"/>
        </w:rPr>
        <w:t> </w:t>
      </w:r>
      <w:r>
        <w:rPr/>
        <w:t>equal</w:t>
      </w:r>
      <w:r>
        <w:rPr>
          <w:spacing w:val="-1"/>
        </w:rPr>
        <w:t> </w:t>
      </w:r>
      <w:r>
        <w:rPr/>
        <w:t>or greater importance.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440" w:right="880"/>
        </w:sectPr>
      </w:pPr>
    </w:p>
    <w:p>
      <w:pPr>
        <w:pStyle w:val="ListParagraph"/>
        <w:numPr>
          <w:ilvl w:val="2"/>
          <w:numId w:val="28"/>
        </w:numPr>
        <w:tabs>
          <w:tab w:pos="2260" w:val="left" w:leader="none"/>
        </w:tabs>
        <w:spacing w:line="240" w:lineRule="auto" w:before="79" w:after="0"/>
        <w:ind w:left="2260" w:right="0" w:hanging="540"/>
        <w:jc w:val="both"/>
        <w:rPr>
          <w:i/>
          <w:sz w:val="24"/>
        </w:rPr>
      </w:pPr>
      <w:bookmarkStart w:name="9.4.1 Applying AHP to the problem" w:id="616"/>
      <w:bookmarkEnd w:id="616"/>
      <w:r>
        <w:rPr/>
      </w:r>
      <w:bookmarkStart w:name="9.4.1 Applying AHP to the problem" w:id="617"/>
      <w:bookmarkEnd w:id="617"/>
      <w:r>
        <w:rPr>
          <w:i/>
          <w:sz w:val="24"/>
        </w:rPr>
        <w:t>A</w:t>
      </w:r>
      <w:r>
        <w:rPr>
          <w:i/>
          <w:sz w:val="24"/>
        </w:rPr>
        <w:t>pplying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AHP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problem</w:t>
      </w:r>
    </w:p>
    <w:p>
      <w:pPr>
        <w:pStyle w:val="BodyText"/>
        <w:spacing w:before="7"/>
        <w:rPr>
          <w:i/>
          <w:sz w:val="22"/>
        </w:rPr>
      </w:pPr>
    </w:p>
    <w:p>
      <w:pPr>
        <w:pStyle w:val="BodyText"/>
        <w:spacing w:line="480" w:lineRule="auto"/>
        <w:ind w:left="1719" w:right="556" w:firstLine="720"/>
        <w:jc w:val="both"/>
      </w:pPr>
      <w:r>
        <w:rPr/>
        <w:t>A hierarchical design for the decision of material selection for temporary military</w:t>
      </w:r>
      <w:r>
        <w:rPr>
          <w:spacing w:val="1"/>
        </w:rPr>
        <w:t> </w:t>
      </w:r>
      <w:r>
        <w:rPr/>
        <w:t>structures</w:t>
      </w:r>
      <w:r>
        <w:rPr>
          <w:spacing w:val="-13"/>
        </w:rPr>
        <w:t> </w:t>
      </w:r>
      <w:r>
        <w:rPr/>
        <w:t>would</w:t>
      </w:r>
      <w:r>
        <w:rPr>
          <w:spacing w:val="-13"/>
        </w:rPr>
        <w:t> </w:t>
      </w:r>
      <w:r>
        <w:rPr/>
        <w:t>set</w:t>
      </w:r>
      <w:r>
        <w:rPr>
          <w:spacing w:val="-12"/>
        </w:rPr>
        <w:t> </w:t>
      </w:r>
      <w:r>
        <w:rPr/>
        <w:t>the</w:t>
      </w:r>
      <w:r>
        <w:rPr>
          <w:spacing w:val="-14"/>
        </w:rPr>
        <w:t> </w:t>
      </w:r>
      <w:r>
        <w:rPr/>
        <w:t>goal</w:t>
      </w:r>
      <w:r>
        <w:rPr>
          <w:spacing w:val="-13"/>
        </w:rPr>
        <w:t> </w:t>
      </w:r>
      <w:r>
        <w:rPr/>
        <w:t>of</w:t>
      </w:r>
      <w:r>
        <w:rPr>
          <w:spacing w:val="-13"/>
        </w:rPr>
        <w:t> </w:t>
      </w:r>
      <w:r>
        <w:rPr/>
        <w:t>choosing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best</w:t>
      </w:r>
      <w:r>
        <w:rPr>
          <w:spacing w:val="-14"/>
        </w:rPr>
        <w:t> </w:t>
      </w:r>
      <w:r>
        <w:rPr/>
        <w:t>material.</w:t>
      </w:r>
      <w:r>
        <w:rPr>
          <w:spacing w:val="36"/>
        </w:rPr>
        <w:t> </w:t>
      </w:r>
      <w:r>
        <w:rPr/>
        <w:t>While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term</w:t>
      </w:r>
      <w:r>
        <w:rPr>
          <w:spacing w:val="-12"/>
        </w:rPr>
        <w:t> </w:t>
      </w:r>
      <w:r>
        <w:rPr/>
        <w:t>material</w:t>
      </w:r>
      <w:r>
        <w:rPr>
          <w:spacing w:val="-13"/>
        </w:rPr>
        <w:t> </w:t>
      </w:r>
      <w:r>
        <w:rPr/>
        <w:t>is</w:t>
      </w:r>
      <w:r>
        <w:rPr>
          <w:spacing w:val="-12"/>
        </w:rPr>
        <w:t> </w:t>
      </w:r>
      <w:r>
        <w:rPr/>
        <w:t>used,</w:t>
      </w:r>
      <w:r>
        <w:rPr>
          <w:spacing w:val="-58"/>
        </w:rPr>
        <w:t> </w:t>
      </w:r>
      <w:r>
        <w:rPr/>
        <w:t>the material is representative of a material system which can have significant impacts on</w:t>
      </w:r>
      <w:r>
        <w:rPr>
          <w:spacing w:val="1"/>
        </w:rPr>
        <w:t> </w:t>
      </w:r>
      <w:r>
        <w:rPr/>
        <w:t>the</w:t>
      </w:r>
      <w:r>
        <w:rPr>
          <w:spacing w:val="-12"/>
        </w:rPr>
        <w:t> </w:t>
      </w:r>
      <w:r>
        <w:rPr/>
        <w:t>selection</w:t>
      </w:r>
      <w:r>
        <w:rPr>
          <w:spacing w:val="-12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actual</w:t>
      </w:r>
      <w:r>
        <w:rPr>
          <w:spacing w:val="-12"/>
        </w:rPr>
        <w:t> </w:t>
      </w:r>
      <w:r>
        <w:rPr/>
        <w:t>primary</w:t>
      </w:r>
      <w:r>
        <w:rPr>
          <w:spacing w:val="-11"/>
        </w:rPr>
        <w:t> </w:t>
      </w:r>
      <w:r>
        <w:rPr/>
        <w:t>construction</w:t>
      </w:r>
      <w:r>
        <w:rPr>
          <w:spacing w:val="-11"/>
        </w:rPr>
        <w:t> </w:t>
      </w:r>
      <w:r>
        <w:rPr/>
        <w:t>material.</w:t>
      </w:r>
      <w:r>
        <w:rPr>
          <w:spacing w:val="38"/>
        </w:rPr>
        <w:t> </w:t>
      </w:r>
      <w:r>
        <w:rPr/>
        <w:t>Evaluation</w:t>
      </w:r>
      <w:r>
        <w:rPr>
          <w:spacing w:val="-11"/>
        </w:rPr>
        <w:t> </w:t>
      </w:r>
      <w:r>
        <w:rPr/>
        <w:t>criteria</w:t>
      </w:r>
      <w:r>
        <w:rPr>
          <w:spacing w:val="-12"/>
        </w:rPr>
        <w:t> </w:t>
      </w:r>
      <w:r>
        <w:rPr/>
        <w:t>would</w:t>
      </w:r>
      <w:r>
        <w:rPr>
          <w:spacing w:val="-11"/>
        </w:rPr>
        <w:t> </w:t>
      </w:r>
      <w:r>
        <w:rPr/>
        <w:t>include</w:t>
      </w:r>
      <w:r>
        <w:rPr>
          <w:spacing w:val="-58"/>
        </w:rPr>
        <w:t> </w:t>
      </w:r>
      <w:r>
        <w:rPr/>
        <w:t>attributes such as cost, logistics, energy efficiency, and force protection with the sub-</w:t>
      </w:r>
      <w:r>
        <w:rPr>
          <w:spacing w:val="1"/>
        </w:rPr>
        <w:t> </w:t>
      </w:r>
      <w:r>
        <w:rPr/>
        <w:t>criteria of blast resistance, and ballistic resistance.</w:t>
      </w:r>
      <w:r>
        <w:rPr>
          <w:spacing w:val="1"/>
        </w:rPr>
        <w:t> </w:t>
      </w:r>
      <w:r>
        <w:rPr/>
        <w:t>Other parameters could be included</w:t>
      </w:r>
      <w:r>
        <w:rPr>
          <w:spacing w:val="1"/>
        </w:rPr>
        <w:t> </w:t>
      </w:r>
      <w:r>
        <w:rPr/>
        <w:t>depending</w:t>
      </w:r>
      <w:r>
        <w:rPr>
          <w:spacing w:val="-8"/>
        </w:rPr>
        <w:t> </w:t>
      </w:r>
      <w:r>
        <w:rPr/>
        <w:t>on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environment</w:t>
      </w:r>
      <w:r>
        <w:rPr>
          <w:spacing w:val="-7"/>
        </w:rPr>
        <w:t> </w:t>
      </w:r>
      <w:r>
        <w:rPr/>
        <w:t>in</w:t>
      </w:r>
      <w:r>
        <w:rPr>
          <w:spacing w:val="-7"/>
        </w:rPr>
        <w:t> </w:t>
      </w:r>
      <w:r>
        <w:rPr/>
        <w:t>which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structures</w:t>
      </w:r>
      <w:r>
        <w:rPr>
          <w:spacing w:val="-7"/>
        </w:rPr>
        <w:t> </w:t>
      </w:r>
      <w:r>
        <w:rPr/>
        <w:t>will</w:t>
      </w:r>
      <w:r>
        <w:rPr>
          <w:spacing w:val="-7"/>
        </w:rPr>
        <w:t> </w:t>
      </w:r>
      <w:r>
        <w:rPr/>
        <w:t>be</w:t>
      </w:r>
      <w:r>
        <w:rPr>
          <w:spacing w:val="-8"/>
        </w:rPr>
        <w:t> </w:t>
      </w:r>
      <w:r>
        <w:rPr/>
        <w:t>employed.</w:t>
      </w:r>
      <w:r>
        <w:rPr>
          <w:spacing w:val="47"/>
        </w:rPr>
        <w:t> </w:t>
      </w:r>
      <w:r>
        <w:rPr/>
        <w:t>The</w:t>
      </w:r>
      <w:r>
        <w:rPr>
          <w:spacing w:val="-7"/>
        </w:rPr>
        <w:t> </w:t>
      </w:r>
      <w:r>
        <w:rPr/>
        <w:t>bottom</w:t>
      </w:r>
      <w:r>
        <w:rPr>
          <w:spacing w:val="-9"/>
        </w:rPr>
        <w:t> </w:t>
      </w:r>
      <w:r>
        <w:rPr/>
        <w:t>layer</w:t>
      </w:r>
      <w:r>
        <w:rPr>
          <w:spacing w:val="-58"/>
        </w:rPr>
        <w:t> </w:t>
      </w:r>
      <w:r>
        <w:rPr/>
        <w:t>of the design is the alternatives, which in this case are the different material systems.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simple</w:t>
      </w:r>
      <w:r>
        <w:rPr>
          <w:spacing w:val="1"/>
        </w:rPr>
        <w:t> </w:t>
      </w:r>
      <w:r>
        <w:rPr/>
        <w:t>example,</w:t>
      </w:r>
      <w:r>
        <w:rPr>
          <w:spacing w:val="1"/>
        </w:rPr>
        <w:t> </w:t>
      </w:r>
      <w:r>
        <w:rPr/>
        <w:t>three</w:t>
      </w:r>
      <w:r>
        <w:rPr>
          <w:spacing w:val="1"/>
        </w:rPr>
        <w:t> </w:t>
      </w:r>
      <w:r>
        <w:rPr/>
        <w:t>material</w:t>
      </w:r>
      <w:r>
        <w:rPr>
          <w:spacing w:val="1"/>
        </w:rPr>
        <w:t> </w:t>
      </w:r>
      <w:r>
        <w:rPr/>
        <w:t>systems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included:</w:t>
      </w:r>
      <w:r>
        <w:rPr>
          <w:spacing w:val="1"/>
        </w:rPr>
        <w:t> </w:t>
      </w:r>
      <w:r>
        <w:rPr/>
        <w:t>lightweight</w:t>
      </w:r>
      <w:r>
        <w:rPr>
          <w:spacing w:val="1"/>
        </w:rPr>
        <w:t> </w:t>
      </w:r>
      <w:r>
        <w:rPr/>
        <w:t>steel</w:t>
      </w:r>
      <w:r>
        <w:rPr>
          <w:spacing w:val="1"/>
        </w:rPr>
        <w:t> </w:t>
      </w:r>
      <w:r>
        <w:rPr/>
        <w:t>frame-</w:t>
      </w:r>
      <w:r>
        <w:rPr>
          <w:spacing w:val="1"/>
        </w:rPr>
        <w:t> </w:t>
      </w:r>
      <w:r>
        <w:rPr/>
        <w:t>aluminum skin, CLT, and concrete masonry.</w:t>
      </w:r>
      <w:r>
        <w:rPr>
          <w:spacing w:val="1"/>
        </w:rPr>
        <w:t> </w:t>
      </w:r>
      <w:r>
        <w:rPr/>
        <w:t>The lightweight steel-frame-aluminum skin</w:t>
      </w:r>
      <w:r>
        <w:rPr>
          <w:spacing w:val="-57"/>
        </w:rPr>
        <w:t> </w:t>
      </w:r>
      <w:r>
        <w:rPr/>
        <w:t>design represents the K-span type structure shown in Chapter 2, while a CLT replacement</w:t>
      </w:r>
      <w:r>
        <w:rPr>
          <w:spacing w:val="-57"/>
        </w:rPr>
        <w:t> </w:t>
      </w:r>
      <w:r>
        <w:rPr/>
        <w:t>for lightweight wood frame construction is used as the wood product.</w:t>
      </w:r>
      <w:r>
        <w:rPr>
          <w:spacing w:val="1"/>
        </w:rPr>
        <w:t> </w:t>
      </w:r>
      <w:r>
        <w:rPr/>
        <w:t>Concrete masonry</w:t>
      </w:r>
      <w:r>
        <w:rPr>
          <w:spacing w:val="1"/>
        </w:rPr>
        <w:t> </w:t>
      </w:r>
      <w:r>
        <w:rPr/>
        <w:t>or CMU is considered as a potentially low-cost, locally-sourced option for temporary</w:t>
      </w:r>
      <w:r>
        <w:rPr>
          <w:spacing w:val="1"/>
        </w:rPr>
        <w:t> </w:t>
      </w:r>
      <w:r>
        <w:rPr/>
        <w:t>military construction. Other alternatives could be considered, including lightweight wood</w:t>
      </w:r>
      <w:r>
        <w:rPr>
          <w:spacing w:val="-57"/>
        </w:rPr>
        <w:t> </w:t>
      </w:r>
      <w:r>
        <w:rPr/>
        <w:t>frame, clay masonry brick, and others.</w:t>
      </w:r>
      <w:r>
        <w:rPr>
          <w:spacing w:val="1"/>
        </w:rPr>
        <w:t> </w:t>
      </w:r>
      <w:r>
        <w:rPr/>
        <w:t>There are many sub-criteria for cost, logistics, and</w:t>
      </w:r>
      <w:r>
        <w:rPr>
          <w:spacing w:val="-58"/>
        </w:rPr>
        <w:t> </w:t>
      </w:r>
      <w:r>
        <w:rPr/>
        <w:t>energy</w:t>
      </w:r>
      <w:r>
        <w:rPr>
          <w:spacing w:val="-10"/>
        </w:rPr>
        <w:t> </w:t>
      </w:r>
      <w:r>
        <w:rPr/>
        <w:t>efficiency,</w:t>
      </w:r>
      <w:r>
        <w:rPr>
          <w:spacing w:val="-9"/>
        </w:rPr>
        <w:t> </w:t>
      </w:r>
      <w:r>
        <w:rPr/>
        <w:t>which</w:t>
      </w:r>
      <w:r>
        <w:rPr>
          <w:spacing w:val="-9"/>
        </w:rPr>
        <w:t> </w:t>
      </w:r>
      <w:r>
        <w:rPr/>
        <w:t>are</w:t>
      </w:r>
      <w:r>
        <w:rPr>
          <w:spacing w:val="-8"/>
        </w:rPr>
        <w:t> </w:t>
      </w:r>
      <w:r>
        <w:rPr/>
        <w:t>excluded</w:t>
      </w:r>
      <w:r>
        <w:rPr>
          <w:spacing w:val="-10"/>
        </w:rPr>
        <w:t> </w:t>
      </w:r>
      <w:r>
        <w:rPr/>
        <w:t>for</w:t>
      </w:r>
      <w:r>
        <w:rPr>
          <w:spacing w:val="-9"/>
        </w:rPr>
        <w:t> </w:t>
      </w:r>
      <w:r>
        <w:rPr/>
        <w:t>simplicity</w:t>
      </w:r>
      <w:r>
        <w:rPr>
          <w:spacing w:val="-9"/>
        </w:rPr>
        <w:t> </w:t>
      </w:r>
      <w:r>
        <w:rPr/>
        <w:t>in</w:t>
      </w:r>
      <w:r>
        <w:rPr>
          <w:spacing w:val="-9"/>
        </w:rPr>
        <w:t> </w:t>
      </w:r>
      <w:r>
        <w:rPr/>
        <w:t>this</w:t>
      </w:r>
      <w:r>
        <w:rPr>
          <w:spacing w:val="-8"/>
        </w:rPr>
        <w:t> </w:t>
      </w:r>
      <w:r>
        <w:rPr/>
        <w:t>example.</w:t>
      </w:r>
      <w:r>
        <w:rPr>
          <w:spacing w:val="42"/>
        </w:rPr>
        <w:t> </w:t>
      </w:r>
      <w:r>
        <w:rPr/>
        <w:t>Furthermore,</w:t>
      </w:r>
      <w:r>
        <w:rPr>
          <w:spacing w:val="-9"/>
        </w:rPr>
        <w:t> </w:t>
      </w:r>
      <w:r>
        <w:rPr/>
        <w:t>criteria</w:t>
      </w:r>
      <w:r>
        <w:rPr>
          <w:spacing w:val="-58"/>
        </w:rPr>
        <w:t> </w:t>
      </w:r>
      <w:r>
        <w:rPr/>
        <w:t>can be interrelated.</w:t>
      </w:r>
      <w:r>
        <w:rPr>
          <w:spacing w:val="1"/>
        </w:rPr>
        <w:t> </w:t>
      </w:r>
      <w:r>
        <w:rPr/>
        <w:t>For example, cost is tied to logistics and energy, so there is some</w:t>
      </w:r>
      <w:r>
        <w:rPr>
          <w:spacing w:val="1"/>
        </w:rPr>
        <w:t> </w:t>
      </w:r>
      <w:r>
        <w:rPr/>
        <w:t>relationship between the criteria, which is allowable.</w:t>
      </w:r>
      <w:r>
        <w:rPr>
          <w:spacing w:val="1"/>
        </w:rPr>
        <w:t> </w:t>
      </w:r>
      <w:r>
        <w:rPr/>
        <w:t>Some decision tools handle that</w:t>
      </w:r>
      <w:r>
        <w:rPr>
          <w:spacing w:val="1"/>
        </w:rPr>
        <w:t> </w:t>
      </w:r>
      <w:r>
        <w:rPr/>
        <w:t>interrelatedness better than others; AHP is known for representing that connectivity well</w:t>
      </w:r>
      <w:r>
        <w:rPr>
          <w:spacing w:val="1"/>
        </w:rPr>
        <w:t> </w:t>
      </w:r>
      <w:r>
        <w:rPr/>
        <w:t>[76].</w:t>
      </w:r>
      <w:r>
        <w:rPr>
          <w:spacing w:val="58"/>
        </w:rPr>
        <w:t> </w:t>
      </w:r>
      <w:hyperlink w:history="true" w:anchor="_bookmark212">
        <w:r>
          <w:rPr/>
          <w:t>Figure</w:t>
        </w:r>
        <w:r>
          <w:rPr>
            <w:spacing w:val="-1"/>
          </w:rPr>
          <w:t> </w:t>
        </w:r>
        <w:r>
          <w:rPr/>
          <w:t>9-3</w:t>
        </w:r>
      </w:hyperlink>
      <w:r>
        <w:rPr>
          <w:spacing w:val="-1"/>
        </w:rPr>
        <w:t> </w:t>
      </w:r>
      <w:r>
        <w:rPr/>
        <w:t>shows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possible</w:t>
      </w:r>
      <w:r>
        <w:rPr>
          <w:spacing w:val="-1"/>
        </w:rPr>
        <w:t> </w:t>
      </w:r>
      <w:r>
        <w:rPr/>
        <w:t>hierarchy</w:t>
      </w:r>
      <w:r>
        <w:rPr>
          <w:spacing w:val="-1"/>
        </w:rPr>
        <w:t> </w:t>
      </w:r>
      <w:r>
        <w:rPr/>
        <w:t>design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the problem</w:t>
      </w:r>
      <w:r>
        <w:rPr>
          <w:spacing w:val="-3"/>
        </w:rPr>
        <w:t> </w:t>
      </w:r>
      <w:r>
        <w:rPr/>
        <w:t>set</w:t>
      </w:r>
      <w:r>
        <w:rPr>
          <w:spacing w:val="-1"/>
        </w:rPr>
        <w:t> </w:t>
      </w:r>
      <w:r>
        <w:rPr/>
        <w:t>as</w:t>
      </w:r>
      <w:r>
        <w:rPr>
          <w:spacing w:val="-1"/>
        </w:rPr>
        <w:t> </w:t>
      </w:r>
      <w:r>
        <w:rPr/>
        <w:t>an</w:t>
      </w:r>
      <w:r>
        <w:rPr>
          <w:spacing w:val="-1"/>
        </w:rPr>
        <w:t> </w:t>
      </w:r>
      <w:r>
        <w:rPr/>
        <w:t>example.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440" w:right="880"/>
        </w:sectPr>
      </w:pPr>
    </w:p>
    <w:p>
      <w:pPr>
        <w:pStyle w:val="BodyText"/>
        <w:ind w:left="1810"/>
        <w:rPr>
          <w:sz w:val="20"/>
        </w:rPr>
      </w:pPr>
      <w:r>
        <w:rPr>
          <w:sz w:val="20"/>
        </w:rPr>
        <w:drawing>
          <wp:inline distT="0" distB="0" distL="0" distR="0">
            <wp:extent cx="5371489" cy="2724912"/>
            <wp:effectExtent l="0" t="0" r="0" b="0"/>
            <wp:docPr id="261" name="image4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428.png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1489" cy="2724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sz w:val="29"/>
        </w:rPr>
      </w:pPr>
    </w:p>
    <w:p>
      <w:pPr>
        <w:spacing w:before="90"/>
        <w:ind w:left="1720" w:right="0" w:firstLine="0"/>
        <w:jc w:val="left"/>
        <w:rPr>
          <w:i/>
          <w:sz w:val="24"/>
        </w:rPr>
      </w:pPr>
      <w:bookmarkStart w:name="_bookmark212" w:id="618"/>
      <w:bookmarkEnd w:id="618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9-3.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Example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hierarchy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design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material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selection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temporary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structures.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229"/>
        <w:ind w:left="1719" w:right="557" w:firstLine="720"/>
        <w:jc w:val="both"/>
      </w:pPr>
      <w:r>
        <w:rPr/>
        <w:t>With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hierarchy</w:t>
      </w:r>
      <w:r>
        <w:rPr>
          <w:spacing w:val="1"/>
        </w:rPr>
        <w:t> </w:t>
      </w:r>
      <w:r>
        <w:rPr/>
        <w:t>design,</w:t>
      </w:r>
      <w:r>
        <w:rPr>
          <w:spacing w:val="1"/>
        </w:rPr>
        <w:t> </w:t>
      </w:r>
      <w:r>
        <w:rPr/>
        <w:t>information</w:t>
      </w:r>
      <w:r>
        <w:rPr>
          <w:spacing w:val="1"/>
        </w:rPr>
        <w:t> </w:t>
      </w:r>
      <w:r>
        <w:rPr/>
        <w:t>relative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alternatives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performance for the determined criteria are gathered.</w:t>
      </w:r>
      <w:r>
        <w:rPr>
          <w:spacing w:val="1"/>
        </w:rPr>
        <w:t> </w:t>
      </w:r>
      <w:r>
        <w:rPr/>
        <w:t>Some of this information will be</w:t>
      </w:r>
      <w:r>
        <w:rPr>
          <w:spacing w:val="1"/>
        </w:rPr>
        <w:t> </w:t>
      </w:r>
      <w:r>
        <w:rPr/>
        <w:t>quantitative such as a cost data while other criteria may be qualitative such as logistical</w:t>
      </w:r>
      <w:r>
        <w:rPr>
          <w:spacing w:val="1"/>
        </w:rPr>
        <w:t> </w:t>
      </w:r>
      <w:r>
        <w:rPr/>
        <w:t>feasibility.</w:t>
      </w:r>
      <w:r>
        <w:rPr>
          <w:spacing w:val="1"/>
        </w:rPr>
        <w:t> </w:t>
      </w:r>
      <w:r>
        <w:rPr/>
        <w:t>Understanding the evaluation criteria for the decision under consideration and</w:t>
      </w:r>
      <w:r>
        <w:rPr>
          <w:spacing w:val="-57"/>
        </w:rPr>
        <w:t> </w:t>
      </w:r>
      <w:r>
        <w:rPr>
          <w:spacing w:val="-1"/>
        </w:rPr>
        <w:t>then</w:t>
      </w:r>
      <w:r>
        <w:rPr>
          <w:spacing w:val="-12"/>
        </w:rPr>
        <w:t> </w:t>
      </w:r>
      <w:r>
        <w:rPr>
          <w:spacing w:val="-1"/>
        </w:rPr>
        <w:t>having</w:t>
      </w:r>
      <w:r>
        <w:rPr>
          <w:spacing w:val="-14"/>
        </w:rPr>
        <w:t> </w:t>
      </w:r>
      <w:r>
        <w:rPr>
          <w:spacing w:val="-1"/>
        </w:rPr>
        <w:t>the</w:t>
      </w:r>
      <w:r>
        <w:rPr>
          <w:spacing w:val="-12"/>
        </w:rPr>
        <w:t> </w:t>
      </w:r>
      <w:r>
        <w:rPr>
          <w:spacing w:val="-1"/>
        </w:rPr>
        <w:t>technical</w:t>
      </w:r>
      <w:r>
        <w:rPr>
          <w:spacing w:val="-12"/>
        </w:rPr>
        <w:t> </w:t>
      </w:r>
      <w:r>
        <w:rPr/>
        <w:t>information</w:t>
      </w:r>
      <w:r>
        <w:rPr>
          <w:spacing w:val="-12"/>
        </w:rPr>
        <w:t> </w:t>
      </w:r>
      <w:r>
        <w:rPr/>
        <w:t>on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alternatives</w:t>
      </w:r>
      <w:r>
        <w:rPr>
          <w:spacing w:val="-12"/>
        </w:rPr>
        <w:t> </w:t>
      </w:r>
      <w:r>
        <w:rPr/>
        <w:t>relevant</w:t>
      </w:r>
      <w:r>
        <w:rPr>
          <w:spacing w:val="-12"/>
        </w:rPr>
        <w:t> </w:t>
      </w:r>
      <w:r>
        <w:rPr/>
        <w:t>to</w:t>
      </w:r>
      <w:r>
        <w:rPr>
          <w:spacing w:val="-11"/>
        </w:rPr>
        <w:t> </w:t>
      </w:r>
      <w:r>
        <w:rPr/>
        <w:t>those</w:t>
      </w:r>
      <w:r>
        <w:rPr>
          <w:spacing w:val="-12"/>
        </w:rPr>
        <w:t> </w:t>
      </w:r>
      <w:r>
        <w:rPr/>
        <w:t>identified</w:t>
      </w:r>
      <w:r>
        <w:rPr>
          <w:spacing w:val="-12"/>
        </w:rPr>
        <w:t> </w:t>
      </w:r>
      <w:r>
        <w:rPr/>
        <w:t>criteria</w:t>
      </w:r>
      <w:r>
        <w:rPr>
          <w:spacing w:val="-57"/>
        </w:rPr>
        <w:t> </w:t>
      </w:r>
      <w:r>
        <w:rPr/>
        <w:t>is key.</w:t>
      </w:r>
    </w:p>
    <w:p>
      <w:pPr>
        <w:pStyle w:val="BodyText"/>
        <w:spacing w:line="480" w:lineRule="auto" w:before="160"/>
        <w:ind w:left="1719" w:right="557" w:firstLine="720"/>
        <w:jc w:val="both"/>
      </w:pPr>
      <w:r>
        <w:rPr/>
        <w:t>AHP can utilize all types of criteria.</w:t>
      </w:r>
      <w:r>
        <w:rPr>
          <w:spacing w:val="1"/>
        </w:rPr>
        <w:t> </w:t>
      </w:r>
      <w:r>
        <w:rPr/>
        <w:t>The next step in the process is comparing the</w:t>
      </w:r>
      <w:r>
        <w:rPr>
          <w:spacing w:val="-57"/>
        </w:rPr>
        <w:t> </w:t>
      </w:r>
      <w:r>
        <w:rPr/>
        <w:t>criteria with respect to the objective of the decision.</w:t>
      </w:r>
      <w:r>
        <w:rPr>
          <w:spacing w:val="1"/>
        </w:rPr>
        <w:t> </w:t>
      </w:r>
      <w:r>
        <w:rPr/>
        <w:t>This involves the judgment of the</w:t>
      </w:r>
      <w:r>
        <w:rPr>
          <w:spacing w:val="1"/>
        </w:rPr>
        <w:t> </w:t>
      </w:r>
      <w:r>
        <w:rPr/>
        <w:t>decision makers to determine which criteria is more important in the pair and how much</w:t>
      </w:r>
      <w:r>
        <w:rPr>
          <w:spacing w:val="1"/>
        </w:rPr>
        <w:t> </w:t>
      </w:r>
      <w:r>
        <w:rPr/>
        <w:t>more important in reaching the goal.</w:t>
      </w:r>
      <w:r>
        <w:rPr>
          <w:spacing w:val="1"/>
        </w:rPr>
        <w:t> </w:t>
      </w:r>
      <w:r>
        <w:rPr/>
        <w:t>Judgments can be changed later and the model can</w:t>
      </w:r>
      <w:r>
        <w:rPr>
          <w:spacing w:val="1"/>
        </w:rPr>
        <w:t> </w:t>
      </w:r>
      <w:r>
        <w:rPr/>
        <w:t>be re-run.</w:t>
      </w:r>
      <w:r>
        <w:rPr>
          <w:spacing w:val="1"/>
        </w:rPr>
        <w:t> </w:t>
      </w:r>
      <w:r>
        <w:rPr/>
        <w:t>The intensity of importance may be entered into AHP software, if used, based</w:t>
      </w:r>
      <w:r>
        <w:rPr>
          <w:spacing w:val="1"/>
        </w:rPr>
        <w:t> </w:t>
      </w:r>
      <w:r>
        <w:rPr/>
        <w:t>on</w:t>
      </w:r>
      <w:r>
        <w:rPr>
          <w:spacing w:val="-1"/>
        </w:rPr>
        <w:t> </w:t>
      </w:r>
      <w:r>
        <w:rPr/>
        <w:t>AHP’s fundamental</w:t>
      </w:r>
      <w:r>
        <w:rPr>
          <w:spacing w:val="-1"/>
        </w:rPr>
        <w:t> </w:t>
      </w:r>
      <w:r>
        <w:rPr/>
        <w:t>scale for</w:t>
      </w:r>
      <w:r>
        <w:rPr>
          <w:spacing w:val="-1"/>
        </w:rPr>
        <w:t> </w:t>
      </w:r>
      <w:r>
        <w:rPr/>
        <w:t>pairwise comparisons,</w:t>
      </w:r>
      <w:r>
        <w:rPr>
          <w:spacing w:val="-1"/>
        </w:rPr>
        <w:t> </w:t>
      </w:r>
      <w:r>
        <w:rPr/>
        <w:t>shown in</w:t>
      </w:r>
      <w:r>
        <w:rPr>
          <w:spacing w:val="-1"/>
        </w:rPr>
        <w:t> </w:t>
      </w:r>
      <w:hyperlink w:history="true" w:anchor="_bookmark213">
        <w:r>
          <w:rPr/>
          <w:t>Table 9-5.</w:t>
        </w:r>
      </w:hyperlink>
    </w:p>
    <w:p>
      <w:pPr>
        <w:spacing w:after="0" w:line="480" w:lineRule="auto"/>
        <w:jc w:val="both"/>
        <w:sectPr>
          <w:pgSz w:w="12240" w:h="15840"/>
          <w:pgMar w:header="0" w:footer="1064" w:top="1440" w:bottom="1260" w:left="440" w:right="880"/>
        </w:sectPr>
      </w:pPr>
    </w:p>
    <w:p>
      <w:pPr>
        <w:spacing w:before="79"/>
        <w:ind w:left="2816" w:right="0" w:firstLine="0"/>
        <w:jc w:val="left"/>
        <w:rPr>
          <w:i/>
          <w:sz w:val="24"/>
        </w:rPr>
      </w:pPr>
      <w:bookmarkStart w:name="_bookmark213" w:id="619"/>
      <w:bookmarkEnd w:id="619"/>
      <w:r>
        <w:rPr/>
      </w:r>
      <w:r>
        <w:rPr>
          <w:i/>
          <w:sz w:val="24"/>
        </w:rPr>
        <w:t>Table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9-5.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fundamental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scale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used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AHP,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adapted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from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[98].</w:t>
      </w:r>
    </w:p>
    <w:p>
      <w:pPr>
        <w:pStyle w:val="BodyText"/>
        <w:spacing w:before="5" w:after="1"/>
        <w:rPr>
          <w:i/>
          <w:sz w:val="17"/>
        </w:rPr>
      </w:pPr>
    </w:p>
    <w:tbl>
      <w:tblPr>
        <w:tblW w:w="0" w:type="auto"/>
        <w:jc w:val="left"/>
        <w:tblInd w:w="19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49"/>
        <w:gridCol w:w="2935"/>
        <w:gridCol w:w="3795"/>
      </w:tblGrid>
      <w:tr>
        <w:trPr>
          <w:trHeight w:val="951" w:hRule="atLeast"/>
        </w:trPr>
        <w:tc>
          <w:tcPr>
            <w:tcW w:w="1549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154"/>
              <w:ind w:left="167" w:right="170" w:firstLine="97"/>
              <w:rPr>
                <w:sz w:val="22"/>
              </w:rPr>
            </w:pPr>
            <w:r>
              <w:rPr>
                <w:sz w:val="22"/>
              </w:rPr>
              <w:t>Intensity 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important</w:t>
            </w:r>
            <w:r>
              <w:rPr>
                <w:spacing w:val="-12"/>
                <w:sz w:val="22"/>
              </w:rPr>
              <w:t> </w:t>
            </w:r>
            <w:r>
              <w:rPr>
                <w:sz w:val="22"/>
              </w:rPr>
              <w:t>(on</w:t>
            </w:r>
          </w:p>
          <w:p>
            <w:pPr>
              <w:pStyle w:val="TableParagraph"/>
              <w:tabs>
                <w:tab w:pos="8279" w:val="left" w:leader="none"/>
              </w:tabs>
              <w:spacing w:line="252" w:lineRule="exact"/>
              <w:ind w:right="-6740"/>
              <w:rPr>
                <w:sz w:val="22"/>
              </w:rPr>
            </w:pPr>
            <w:r>
              <w:rPr>
                <w:w w:val="99"/>
                <w:sz w:val="22"/>
                <w:u w:val="single"/>
              </w:rPr>
              <w:t> </w:t>
            </w:r>
            <w:r>
              <w:rPr>
                <w:spacing w:val="8"/>
                <w:sz w:val="22"/>
                <w:u w:val="single"/>
              </w:rPr>
              <w:t> </w:t>
            </w:r>
            <w:r>
              <w:rPr>
                <w:sz w:val="22"/>
                <w:u w:val="single"/>
              </w:rPr>
              <w:t>absolute</w:t>
            </w:r>
            <w:r>
              <w:rPr>
                <w:spacing w:val="-5"/>
                <w:sz w:val="22"/>
                <w:u w:val="single"/>
              </w:rPr>
              <w:t> </w:t>
            </w:r>
            <w:r>
              <w:rPr>
                <w:sz w:val="22"/>
                <w:u w:val="single"/>
              </w:rPr>
              <w:t>scale)</w:t>
              <w:tab/>
            </w:r>
          </w:p>
        </w:tc>
        <w:tc>
          <w:tcPr>
            <w:tcW w:w="2935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7"/>
              <w:rPr>
                <w:i/>
                <w:sz w:val="28"/>
              </w:rPr>
            </w:pPr>
          </w:p>
          <w:p>
            <w:pPr>
              <w:pStyle w:val="TableParagraph"/>
              <w:ind w:left="112" w:right="107"/>
              <w:jc w:val="center"/>
              <w:rPr>
                <w:sz w:val="22"/>
              </w:rPr>
            </w:pPr>
            <w:r>
              <w:rPr>
                <w:sz w:val="22"/>
              </w:rPr>
              <w:t>Definition</w:t>
            </w:r>
          </w:p>
        </w:tc>
        <w:tc>
          <w:tcPr>
            <w:tcW w:w="3795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7"/>
              <w:rPr>
                <w:i/>
                <w:sz w:val="28"/>
              </w:rPr>
            </w:pPr>
          </w:p>
          <w:p>
            <w:pPr>
              <w:pStyle w:val="TableParagraph"/>
              <w:ind w:left="123"/>
              <w:rPr>
                <w:sz w:val="22"/>
              </w:rPr>
            </w:pPr>
            <w:r>
              <w:rPr>
                <w:sz w:val="22"/>
              </w:rPr>
              <w:t>Explanation</w:t>
            </w:r>
          </w:p>
        </w:tc>
      </w:tr>
      <w:tr>
        <w:trPr>
          <w:trHeight w:val="586" w:hRule="atLeast"/>
        </w:trPr>
        <w:tc>
          <w:tcPr>
            <w:tcW w:w="1549" w:type="dxa"/>
          </w:tcPr>
          <w:p>
            <w:pPr>
              <w:pStyle w:val="TableParagraph"/>
              <w:spacing w:before="156"/>
              <w:ind w:right="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1</w:t>
            </w:r>
          </w:p>
        </w:tc>
        <w:tc>
          <w:tcPr>
            <w:tcW w:w="2935" w:type="dxa"/>
          </w:tcPr>
          <w:p>
            <w:pPr>
              <w:pStyle w:val="TableParagraph"/>
              <w:spacing w:before="156"/>
              <w:ind w:left="111" w:right="107"/>
              <w:jc w:val="center"/>
              <w:rPr>
                <w:sz w:val="22"/>
              </w:rPr>
            </w:pPr>
            <w:r>
              <w:rPr>
                <w:sz w:val="22"/>
              </w:rPr>
              <w:t>Equal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importance</w:t>
            </w:r>
          </w:p>
        </w:tc>
        <w:tc>
          <w:tcPr>
            <w:tcW w:w="3795" w:type="dxa"/>
          </w:tcPr>
          <w:p>
            <w:pPr>
              <w:pStyle w:val="TableParagraph"/>
              <w:spacing w:before="29"/>
              <w:ind w:left="123" w:right="200"/>
              <w:rPr>
                <w:sz w:val="22"/>
              </w:rPr>
            </w:pPr>
            <w:r>
              <w:rPr>
                <w:sz w:val="22"/>
              </w:rPr>
              <w:t>Two activities contribute equally to the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objective</w:t>
            </w:r>
          </w:p>
        </w:tc>
      </w:tr>
      <w:tr>
        <w:trPr>
          <w:trHeight w:val="599" w:hRule="atLeast"/>
        </w:trPr>
        <w:tc>
          <w:tcPr>
            <w:tcW w:w="1549" w:type="dxa"/>
          </w:tcPr>
          <w:p>
            <w:pPr>
              <w:pStyle w:val="TableParagraph"/>
              <w:spacing w:before="169"/>
              <w:ind w:right="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3</w:t>
            </w:r>
          </w:p>
        </w:tc>
        <w:tc>
          <w:tcPr>
            <w:tcW w:w="2935" w:type="dxa"/>
          </w:tcPr>
          <w:p>
            <w:pPr>
              <w:pStyle w:val="TableParagraph"/>
              <w:spacing w:before="42"/>
              <w:ind w:left="918" w:right="196" w:hanging="698"/>
              <w:rPr>
                <w:sz w:val="22"/>
              </w:rPr>
            </w:pPr>
            <w:r>
              <w:rPr>
                <w:sz w:val="22"/>
              </w:rPr>
              <w:t>Moderate importance of one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over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another</w:t>
            </w:r>
          </w:p>
        </w:tc>
        <w:tc>
          <w:tcPr>
            <w:tcW w:w="3795" w:type="dxa"/>
          </w:tcPr>
          <w:p>
            <w:pPr>
              <w:pStyle w:val="TableParagraph"/>
              <w:spacing w:before="42"/>
              <w:ind w:left="124" w:right="125"/>
              <w:rPr>
                <w:sz w:val="22"/>
              </w:rPr>
            </w:pPr>
            <w:r>
              <w:rPr>
                <w:sz w:val="22"/>
              </w:rPr>
              <w:t>Experience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judgment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strongly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favor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one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activity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over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another</w:t>
            </w:r>
          </w:p>
        </w:tc>
      </w:tr>
      <w:tr>
        <w:trPr>
          <w:trHeight w:val="599" w:hRule="atLeast"/>
        </w:trPr>
        <w:tc>
          <w:tcPr>
            <w:tcW w:w="1549" w:type="dxa"/>
          </w:tcPr>
          <w:p>
            <w:pPr>
              <w:pStyle w:val="TableParagraph"/>
              <w:spacing w:before="169"/>
              <w:ind w:right="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5</w:t>
            </w:r>
          </w:p>
        </w:tc>
        <w:tc>
          <w:tcPr>
            <w:tcW w:w="2935" w:type="dxa"/>
          </w:tcPr>
          <w:p>
            <w:pPr>
              <w:pStyle w:val="TableParagraph"/>
              <w:spacing w:before="169"/>
              <w:ind w:left="114" w:right="107"/>
              <w:jc w:val="center"/>
              <w:rPr>
                <w:sz w:val="22"/>
              </w:rPr>
            </w:pPr>
            <w:r>
              <w:rPr>
                <w:sz w:val="22"/>
              </w:rPr>
              <w:t>Essential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strong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importance</w:t>
            </w:r>
          </w:p>
        </w:tc>
        <w:tc>
          <w:tcPr>
            <w:tcW w:w="3795" w:type="dxa"/>
          </w:tcPr>
          <w:p>
            <w:pPr>
              <w:pStyle w:val="TableParagraph"/>
              <w:spacing w:before="42"/>
              <w:ind w:left="124" w:right="125"/>
              <w:rPr>
                <w:sz w:val="22"/>
              </w:rPr>
            </w:pPr>
            <w:r>
              <w:rPr>
                <w:sz w:val="22"/>
              </w:rPr>
              <w:t>Experience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judgment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strongly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favor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one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activity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over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another</w:t>
            </w:r>
          </w:p>
        </w:tc>
      </w:tr>
      <w:tr>
        <w:trPr>
          <w:trHeight w:val="612" w:hRule="atLeast"/>
        </w:trPr>
        <w:tc>
          <w:tcPr>
            <w:tcW w:w="1549" w:type="dxa"/>
          </w:tcPr>
          <w:p>
            <w:pPr>
              <w:pStyle w:val="TableParagraph"/>
              <w:spacing w:before="169"/>
              <w:ind w:right="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7</w:t>
            </w:r>
          </w:p>
        </w:tc>
        <w:tc>
          <w:tcPr>
            <w:tcW w:w="2935" w:type="dxa"/>
          </w:tcPr>
          <w:p>
            <w:pPr>
              <w:pStyle w:val="TableParagraph"/>
              <w:spacing w:before="169"/>
              <w:ind w:left="113" w:right="107"/>
              <w:jc w:val="center"/>
              <w:rPr>
                <w:sz w:val="22"/>
              </w:rPr>
            </w:pPr>
            <w:r>
              <w:rPr>
                <w:sz w:val="22"/>
              </w:rPr>
              <w:t>Very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strong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importance</w:t>
            </w:r>
          </w:p>
        </w:tc>
        <w:tc>
          <w:tcPr>
            <w:tcW w:w="3795" w:type="dxa"/>
          </w:tcPr>
          <w:p>
            <w:pPr>
              <w:pStyle w:val="TableParagraph"/>
              <w:spacing w:before="42"/>
              <w:ind w:left="124" w:right="327"/>
              <w:rPr>
                <w:sz w:val="22"/>
              </w:rPr>
            </w:pPr>
            <w:r>
              <w:rPr>
                <w:sz w:val="22"/>
              </w:rPr>
              <w:t>An activity is strongly favored and its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dominance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demonstrated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practice</w:t>
            </w:r>
          </w:p>
        </w:tc>
      </w:tr>
      <w:tr>
        <w:trPr>
          <w:trHeight w:val="876" w:hRule="atLeast"/>
        </w:trPr>
        <w:tc>
          <w:tcPr>
            <w:tcW w:w="1549" w:type="dxa"/>
          </w:tcPr>
          <w:p>
            <w:pPr>
              <w:pStyle w:val="TableParagraph"/>
              <w:spacing w:before="8"/>
              <w:rPr>
                <w:i/>
                <w:sz w:val="26"/>
              </w:rPr>
            </w:pPr>
          </w:p>
          <w:p>
            <w:pPr>
              <w:pStyle w:val="TableParagraph"/>
              <w:ind w:right="8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9</w:t>
            </w:r>
          </w:p>
        </w:tc>
        <w:tc>
          <w:tcPr>
            <w:tcW w:w="2935" w:type="dxa"/>
          </w:tcPr>
          <w:p>
            <w:pPr>
              <w:pStyle w:val="TableParagraph"/>
              <w:spacing w:before="8"/>
              <w:rPr>
                <w:i/>
                <w:sz w:val="26"/>
              </w:rPr>
            </w:pPr>
          </w:p>
          <w:p>
            <w:pPr>
              <w:pStyle w:val="TableParagraph"/>
              <w:ind w:left="114" w:right="107"/>
              <w:jc w:val="center"/>
              <w:rPr>
                <w:sz w:val="22"/>
              </w:rPr>
            </w:pPr>
            <w:r>
              <w:rPr>
                <w:sz w:val="22"/>
              </w:rPr>
              <w:t>Extreme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importance</w:t>
            </w:r>
          </w:p>
        </w:tc>
        <w:tc>
          <w:tcPr>
            <w:tcW w:w="3795" w:type="dxa"/>
          </w:tcPr>
          <w:p>
            <w:pPr>
              <w:pStyle w:val="TableParagraph"/>
              <w:spacing w:before="54"/>
              <w:ind w:left="124" w:right="138"/>
              <w:rPr>
                <w:sz w:val="22"/>
              </w:rPr>
            </w:pPr>
            <w:r>
              <w:rPr>
                <w:sz w:val="22"/>
              </w:rPr>
              <w:t>The evidence favoring one activity over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another is of the highest possible order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affirmation</w:t>
            </w:r>
          </w:p>
        </w:tc>
      </w:tr>
      <w:tr>
        <w:trPr>
          <w:trHeight w:val="560" w:hRule="atLeast"/>
        </w:trPr>
        <w:tc>
          <w:tcPr>
            <w:tcW w:w="1549" w:type="dxa"/>
          </w:tcPr>
          <w:p>
            <w:pPr>
              <w:pStyle w:val="TableParagraph"/>
              <w:spacing w:before="181"/>
              <w:ind w:left="448" w:right="455"/>
              <w:jc w:val="center"/>
              <w:rPr>
                <w:sz w:val="22"/>
              </w:rPr>
            </w:pPr>
            <w:r>
              <w:rPr>
                <w:sz w:val="22"/>
              </w:rPr>
              <w:t>2,4,6,8</w:t>
            </w:r>
          </w:p>
        </w:tc>
        <w:tc>
          <w:tcPr>
            <w:tcW w:w="2935" w:type="dxa"/>
          </w:tcPr>
          <w:p>
            <w:pPr>
              <w:pStyle w:val="TableParagraph"/>
              <w:spacing w:line="250" w:lineRule="atLeast" w:before="34"/>
              <w:ind w:left="426" w:right="186" w:hanging="214"/>
              <w:rPr>
                <w:sz w:val="22"/>
              </w:rPr>
            </w:pPr>
            <w:r>
              <w:rPr>
                <w:sz w:val="22"/>
              </w:rPr>
              <w:t>Intermediate values between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two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adjacent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judgments</w:t>
            </w:r>
          </w:p>
        </w:tc>
        <w:tc>
          <w:tcPr>
            <w:tcW w:w="3795" w:type="dxa"/>
          </w:tcPr>
          <w:p>
            <w:pPr>
              <w:pStyle w:val="TableParagraph"/>
              <w:spacing w:before="181"/>
              <w:ind w:left="124"/>
              <w:rPr>
                <w:sz w:val="22"/>
              </w:rPr>
            </w:pPr>
            <w:r>
              <w:rPr>
                <w:sz w:val="22"/>
              </w:rPr>
              <w:t>When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compromise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needed</w:t>
            </w:r>
          </w:p>
        </w:tc>
      </w:tr>
    </w:tbl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</w:rPr>
      </w:pPr>
    </w:p>
    <w:p>
      <w:pPr>
        <w:pStyle w:val="BodyText"/>
        <w:spacing w:line="480" w:lineRule="auto"/>
        <w:ind w:left="1720" w:right="556" w:firstLine="720"/>
        <w:jc w:val="both"/>
      </w:pPr>
      <w:r>
        <w:rPr/>
        <w:t>Using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AHP</w:t>
      </w:r>
      <w:r>
        <w:rPr>
          <w:spacing w:val="1"/>
        </w:rPr>
        <w:t> </w:t>
      </w:r>
      <w:r>
        <w:rPr/>
        <w:t>model,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evaluation</w:t>
      </w:r>
      <w:r>
        <w:rPr>
          <w:spacing w:val="1"/>
        </w:rPr>
        <w:t> </w:t>
      </w:r>
      <w:r>
        <w:rPr/>
        <w:t>criteria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assessed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pairwise</w:t>
      </w:r>
      <w:r>
        <w:rPr>
          <w:spacing w:val="1"/>
        </w:rPr>
        <w:t> </w:t>
      </w:r>
      <w:r>
        <w:rPr/>
        <w:t>comparison that examines the importance of one relative to another and by how much.</w:t>
      </w:r>
      <w:r>
        <w:rPr>
          <w:spacing w:val="1"/>
        </w:rPr>
        <w:t> </w:t>
      </w:r>
      <w:hyperlink w:history="true" w:anchor="_bookmark214">
        <w:r>
          <w:rPr/>
          <w:t>Table 9-6 </w:t>
        </w:r>
      </w:hyperlink>
      <w:r>
        <w:rPr/>
        <w:t>shows an example based on the theoretical problem set with temporary military</w:t>
      </w:r>
      <w:r>
        <w:rPr>
          <w:spacing w:val="-57"/>
        </w:rPr>
        <w:t> </w:t>
      </w:r>
      <w:r>
        <w:rPr/>
        <w:t>structures.</w:t>
      </w:r>
      <w:r>
        <w:rPr>
          <w:spacing w:val="1"/>
        </w:rPr>
        <w:t> </w:t>
      </w:r>
      <w:r>
        <w:rPr/>
        <w:t>In this case, the decision makers have determined cost is twice as important as</w:t>
      </w:r>
      <w:r>
        <w:rPr>
          <w:spacing w:val="-57"/>
        </w:rPr>
        <w:t> </w:t>
      </w:r>
      <w:r>
        <w:rPr/>
        <w:t>logistics</w:t>
      </w:r>
      <w:r>
        <w:rPr>
          <w:spacing w:val="-5"/>
        </w:rPr>
        <w:t> </w:t>
      </w:r>
      <w:r>
        <w:rPr/>
        <w:t>for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given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scenario,</w:t>
      </w:r>
      <w:r>
        <w:rPr>
          <w:spacing w:val="-5"/>
        </w:rPr>
        <w:t> </w:t>
      </w:r>
      <w:r>
        <w:rPr/>
        <w:t>so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2</w:t>
      </w:r>
      <w:r>
        <w:rPr>
          <w:spacing w:val="-5"/>
        </w:rPr>
        <w:t> </w:t>
      </w:r>
      <w:r>
        <w:rPr/>
        <w:t>is</w:t>
      </w:r>
      <w:r>
        <w:rPr>
          <w:spacing w:val="-5"/>
        </w:rPr>
        <w:t> </w:t>
      </w:r>
      <w:r>
        <w:rPr/>
        <w:t>entered</w:t>
      </w:r>
      <w:r>
        <w:rPr>
          <w:spacing w:val="-4"/>
        </w:rPr>
        <w:t> </w:t>
      </w:r>
      <w:r>
        <w:rPr/>
        <w:t>in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comparison</w:t>
      </w:r>
      <w:r>
        <w:rPr>
          <w:spacing w:val="-3"/>
        </w:rPr>
        <w:t> </w:t>
      </w:r>
      <w:r>
        <w:rPr/>
        <w:t>matrix</w:t>
      </w:r>
      <w:r>
        <w:rPr>
          <w:spacing w:val="-4"/>
        </w:rPr>
        <w:t> </w:t>
      </w:r>
      <w:r>
        <w:rPr/>
        <w:t>for</w:t>
      </w:r>
      <w:r>
        <w:rPr>
          <w:spacing w:val="-3"/>
        </w:rPr>
        <w:t> </w:t>
      </w:r>
      <w:r>
        <w:rPr/>
        <w:t>in</w:t>
      </w:r>
      <w:r>
        <w:rPr>
          <w:spacing w:val="-4"/>
        </w:rPr>
        <w:t> </w:t>
      </w:r>
      <w:r>
        <w:rPr/>
        <w:t>row</w:t>
      </w:r>
      <w:r>
        <w:rPr>
          <w:spacing w:val="-4"/>
        </w:rPr>
        <w:t> </w:t>
      </w:r>
      <w:r>
        <w:rPr/>
        <w:t>1,</w:t>
      </w:r>
      <w:r>
        <w:rPr>
          <w:spacing w:val="-58"/>
        </w:rPr>
        <w:t> </w:t>
      </w:r>
      <w:r>
        <w:rPr/>
        <w:t>column 2, (cost vs. logistics) and its reciprocal, 1/2 is placed in row 2, column 1 for the</w:t>
      </w:r>
      <w:r>
        <w:rPr>
          <w:spacing w:val="1"/>
        </w:rPr>
        <w:t> </w:t>
      </w:r>
      <w:r>
        <w:rPr/>
        <w:t>opposite perspective (logistics vs. cost).</w:t>
      </w:r>
      <w:r>
        <w:rPr>
          <w:spacing w:val="1"/>
        </w:rPr>
        <w:t> </w:t>
      </w:r>
      <w:r>
        <w:rPr/>
        <w:t>These values are assigned based on personal</w:t>
      </w:r>
      <w:r>
        <w:rPr>
          <w:spacing w:val="1"/>
        </w:rPr>
        <w:t> </w:t>
      </w:r>
      <w:r>
        <w:rPr/>
        <w:t>experience with overseas military construction and perceived value of assessed criteria.</w:t>
      </w:r>
      <w:r>
        <w:rPr>
          <w:spacing w:val="1"/>
        </w:rPr>
        <w:t> </w:t>
      </w:r>
      <w:r>
        <w:rPr/>
        <w:t>They</w:t>
      </w:r>
      <w:r>
        <w:rPr>
          <w:spacing w:val="-11"/>
        </w:rPr>
        <w:t> </w:t>
      </w:r>
      <w:r>
        <w:rPr/>
        <w:t>are</w:t>
      </w:r>
      <w:r>
        <w:rPr>
          <w:spacing w:val="-11"/>
        </w:rPr>
        <w:t> </w:t>
      </w:r>
      <w:r>
        <w:rPr/>
        <w:t>not</w:t>
      </w:r>
      <w:r>
        <w:rPr>
          <w:spacing w:val="-12"/>
        </w:rPr>
        <w:t> </w:t>
      </w:r>
      <w:r>
        <w:rPr/>
        <w:t>meant</w:t>
      </w:r>
      <w:r>
        <w:rPr>
          <w:spacing w:val="-10"/>
        </w:rPr>
        <w:t> </w:t>
      </w:r>
      <w:r>
        <w:rPr/>
        <w:t>to</w:t>
      </w:r>
      <w:r>
        <w:rPr>
          <w:spacing w:val="-11"/>
        </w:rPr>
        <w:t> </w:t>
      </w:r>
      <w:r>
        <w:rPr/>
        <w:t>accurately</w:t>
      </w:r>
      <w:r>
        <w:rPr>
          <w:spacing w:val="-12"/>
        </w:rPr>
        <w:t> </w:t>
      </w:r>
      <w:r>
        <w:rPr/>
        <w:t>represent</w:t>
      </w:r>
      <w:r>
        <w:rPr>
          <w:spacing w:val="-10"/>
        </w:rPr>
        <w:t> </w:t>
      </w:r>
      <w:r>
        <w:rPr/>
        <w:t>every</w:t>
      </w:r>
      <w:r>
        <w:rPr>
          <w:spacing w:val="-11"/>
        </w:rPr>
        <w:t> </w:t>
      </w:r>
      <w:r>
        <w:rPr/>
        <w:t>scenario</w:t>
      </w:r>
      <w:r>
        <w:rPr>
          <w:spacing w:val="-11"/>
        </w:rPr>
        <w:t> </w:t>
      </w:r>
      <w:r>
        <w:rPr/>
        <w:t>for</w:t>
      </w:r>
      <w:r>
        <w:rPr>
          <w:spacing w:val="-10"/>
        </w:rPr>
        <w:t> </w:t>
      </w:r>
      <w:r>
        <w:rPr/>
        <w:t>temporary</w:t>
      </w:r>
      <w:r>
        <w:rPr>
          <w:spacing w:val="-10"/>
        </w:rPr>
        <w:t> </w:t>
      </w:r>
      <w:r>
        <w:rPr/>
        <w:t>military</w:t>
      </w:r>
      <w:r>
        <w:rPr>
          <w:spacing w:val="-10"/>
        </w:rPr>
        <w:t> </w:t>
      </w:r>
      <w:r>
        <w:rPr/>
        <w:t>structures</w:t>
      </w:r>
      <w:r>
        <w:rPr>
          <w:spacing w:val="-58"/>
        </w:rPr>
        <w:t> </w:t>
      </w:r>
      <w:r>
        <w:rPr/>
        <w:t>and</w:t>
      </w:r>
      <w:r>
        <w:rPr>
          <w:spacing w:val="-1"/>
        </w:rPr>
        <w:t> </w:t>
      </w:r>
      <w:r>
        <w:rPr/>
        <w:t>would need to be evaluated and</w:t>
      </w:r>
      <w:r>
        <w:rPr>
          <w:spacing w:val="-2"/>
        </w:rPr>
        <w:t> </w:t>
      </w:r>
      <w:r>
        <w:rPr/>
        <w:t>assigned</w:t>
      </w:r>
      <w:r>
        <w:rPr>
          <w:spacing w:val="-1"/>
        </w:rPr>
        <w:t> </w:t>
      </w:r>
      <w:r>
        <w:rPr/>
        <w:t>on</w:t>
      </w:r>
      <w:r>
        <w:rPr>
          <w:spacing w:val="-2"/>
        </w:rPr>
        <w:t> </w:t>
      </w:r>
      <w:r>
        <w:rPr/>
        <w:t>a case-by-case basis.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440" w:right="880"/>
        </w:sectPr>
      </w:pPr>
    </w:p>
    <w:p>
      <w:pPr>
        <w:spacing w:before="79"/>
        <w:ind w:left="1720" w:right="614" w:firstLine="0"/>
        <w:jc w:val="left"/>
        <w:rPr>
          <w:i/>
          <w:sz w:val="24"/>
        </w:rPr>
      </w:pPr>
      <w:bookmarkStart w:name="_bookmark214" w:id="620"/>
      <w:bookmarkEnd w:id="620"/>
      <w:r>
        <w:rPr/>
      </w:r>
      <w:r>
        <w:rPr>
          <w:i/>
          <w:sz w:val="24"/>
        </w:rPr>
        <w:t>Table 9-6. Example of matrix of pairwise comparisons of evaluation criteria with respect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to goal.</w:t>
      </w:r>
    </w:p>
    <w:p>
      <w:pPr>
        <w:pStyle w:val="BodyText"/>
        <w:spacing w:before="5" w:after="1"/>
        <w:rPr>
          <w:i/>
          <w:sz w:val="17"/>
        </w:rPr>
      </w:pPr>
    </w:p>
    <w:tbl>
      <w:tblPr>
        <w:tblW w:w="0" w:type="auto"/>
        <w:jc w:val="left"/>
        <w:tblInd w:w="21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40"/>
        <w:gridCol w:w="873"/>
        <w:gridCol w:w="1125"/>
        <w:gridCol w:w="1171"/>
        <w:gridCol w:w="1185"/>
        <w:gridCol w:w="1164"/>
      </w:tblGrid>
      <w:tr>
        <w:trPr>
          <w:trHeight w:val="899" w:hRule="atLeast"/>
        </w:trPr>
        <w:tc>
          <w:tcPr>
            <w:tcW w:w="2240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rPr>
                <w:i/>
                <w:sz w:val="27"/>
              </w:rPr>
            </w:pPr>
          </w:p>
          <w:p>
            <w:pPr>
              <w:pStyle w:val="TableParagraph"/>
              <w:spacing w:before="1"/>
              <w:ind w:left="793" w:right="790"/>
              <w:jc w:val="center"/>
              <w:rPr>
                <w:sz w:val="22"/>
              </w:rPr>
            </w:pPr>
            <w:r>
              <w:rPr>
                <w:sz w:val="22"/>
              </w:rPr>
              <w:t>GOAL</w:t>
            </w:r>
          </w:p>
        </w:tc>
        <w:tc>
          <w:tcPr>
            <w:tcW w:w="87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"/>
              <w:rPr>
                <w:i/>
                <w:sz w:val="32"/>
              </w:rPr>
            </w:pPr>
          </w:p>
          <w:p>
            <w:pPr>
              <w:pStyle w:val="TableParagraph"/>
              <w:spacing w:line="234" w:lineRule="exact"/>
              <w:ind w:left="251" w:right="172"/>
              <w:jc w:val="center"/>
              <w:rPr>
                <w:sz w:val="22"/>
              </w:rPr>
            </w:pPr>
            <w:r>
              <w:rPr>
                <w:sz w:val="22"/>
              </w:rPr>
              <w:t>Cost</w:t>
            </w:r>
          </w:p>
        </w:tc>
        <w:tc>
          <w:tcPr>
            <w:tcW w:w="1125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"/>
              <w:rPr>
                <w:i/>
                <w:sz w:val="32"/>
              </w:rPr>
            </w:pPr>
          </w:p>
          <w:p>
            <w:pPr>
              <w:pStyle w:val="TableParagraph"/>
              <w:spacing w:line="234" w:lineRule="exact"/>
              <w:ind w:left="174" w:right="104"/>
              <w:jc w:val="center"/>
              <w:rPr>
                <w:sz w:val="22"/>
              </w:rPr>
            </w:pPr>
            <w:r>
              <w:rPr>
                <w:sz w:val="22"/>
              </w:rPr>
              <w:t>Logistics</w:t>
            </w:r>
          </w:p>
        </w:tc>
        <w:tc>
          <w:tcPr>
            <w:tcW w:w="1171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5"/>
              <w:rPr>
                <w:i/>
                <w:sz w:val="32"/>
              </w:rPr>
            </w:pPr>
          </w:p>
          <w:p>
            <w:pPr>
              <w:pStyle w:val="TableParagraph"/>
              <w:spacing w:line="250" w:lineRule="atLeast" w:before="1"/>
              <w:ind w:left="126" w:right="118" w:firstLine="140"/>
              <w:rPr>
                <w:sz w:val="22"/>
              </w:rPr>
            </w:pPr>
            <w:r>
              <w:rPr>
                <w:sz w:val="22"/>
              </w:rPr>
              <w:t>Energy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1"/>
                <w:sz w:val="22"/>
              </w:rPr>
              <w:t>Efficiency</w:t>
            </w:r>
          </w:p>
        </w:tc>
        <w:tc>
          <w:tcPr>
            <w:tcW w:w="118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5"/>
              <w:rPr>
                <w:i/>
                <w:sz w:val="32"/>
              </w:rPr>
            </w:pPr>
          </w:p>
          <w:p>
            <w:pPr>
              <w:pStyle w:val="TableParagraph"/>
              <w:spacing w:line="250" w:lineRule="atLeast" w:before="1"/>
              <w:ind w:left="132" w:right="102" w:firstLine="244"/>
              <w:rPr>
                <w:sz w:val="22"/>
              </w:rPr>
            </w:pPr>
            <w:r>
              <w:rPr>
                <w:sz w:val="22"/>
              </w:rPr>
              <w:t>Blast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1"/>
                <w:sz w:val="22"/>
              </w:rPr>
              <w:t>Resistance</w:t>
            </w:r>
          </w:p>
        </w:tc>
        <w:tc>
          <w:tcPr>
            <w:tcW w:w="116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5"/>
              <w:rPr>
                <w:i/>
                <w:sz w:val="32"/>
              </w:rPr>
            </w:pPr>
          </w:p>
          <w:p>
            <w:pPr>
              <w:pStyle w:val="TableParagraph"/>
              <w:spacing w:line="250" w:lineRule="atLeast" w:before="1"/>
              <w:ind w:left="116" w:right="97" w:firstLine="104"/>
              <w:rPr>
                <w:sz w:val="22"/>
              </w:rPr>
            </w:pPr>
            <w:r>
              <w:rPr>
                <w:sz w:val="22"/>
              </w:rPr>
              <w:t>Ballistic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1"/>
                <w:sz w:val="22"/>
              </w:rPr>
              <w:t>Resistance</w:t>
            </w:r>
          </w:p>
        </w:tc>
      </w:tr>
      <w:tr>
        <w:trPr>
          <w:trHeight w:val="302" w:hRule="atLeast"/>
        </w:trPr>
        <w:tc>
          <w:tcPr>
            <w:tcW w:w="2240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1"/>
              <w:ind w:left="107"/>
              <w:rPr>
                <w:sz w:val="22"/>
              </w:rPr>
            </w:pPr>
            <w:r>
              <w:rPr>
                <w:sz w:val="22"/>
              </w:rPr>
              <w:t>Cost</w:t>
            </w:r>
          </w:p>
        </w:tc>
        <w:tc>
          <w:tcPr>
            <w:tcW w:w="873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before="21"/>
              <w:ind w:left="7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1</w:t>
            </w:r>
          </w:p>
        </w:tc>
        <w:tc>
          <w:tcPr>
            <w:tcW w:w="1125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21"/>
              <w:ind w:left="6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2</w:t>
            </w:r>
          </w:p>
        </w:tc>
        <w:tc>
          <w:tcPr>
            <w:tcW w:w="1171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21"/>
              <w:ind w:right="1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4</w:t>
            </w:r>
          </w:p>
        </w:tc>
        <w:tc>
          <w:tcPr>
            <w:tcW w:w="1185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21"/>
              <w:ind w:left="442" w:right="421"/>
              <w:jc w:val="center"/>
              <w:rPr>
                <w:sz w:val="22"/>
              </w:rPr>
            </w:pPr>
            <w:r>
              <w:rPr>
                <w:sz w:val="22"/>
              </w:rPr>
              <w:t>1/5</w:t>
            </w:r>
          </w:p>
        </w:tc>
        <w:tc>
          <w:tcPr>
            <w:tcW w:w="1164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21"/>
              <w:ind w:left="426" w:right="416"/>
              <w:jc w:val="center"/>
              <w:rPr>
                <w:sz w:val="22"/>
              </w:rPr>
            </w:pPr>
            <w:r>
              <w:rPr>
                <w:sz w:val="22"/>
              </w:rPr>
              <w:t>1/5</w:t>
            </w:r>
          </w:p>
        </w:tc>
      </w:tr>
      <w:tr>
        <w:trPr>
          <w:trHeight w:val="300" w:hRule="atLeast"/>
        </w:trPr>
        <w:tc>
          <w:tcPr>
            <w:tcW w:w="2240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18"/>
              <w:ind w:left="107"/>
              <w:rPr>
                <w:sz w:val="22"/>
              </w:rPr>
            </w:pPr>
            <w:r>
              <w:rPr>
                <w:sz w:val="22"/>
              </w:rPr>
              <w:t>Logistics</w:t>
            </w:r>
          </w:p>
        </w:tc>
        <w:tc>
          <w:tcPr>
            <w:tcW w:w="873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18"/>
              <w:ind w:left="251" w:right="170"/>
              <w:jc w:val="center"/>
              <w:rPr>
                <w:sz w:val="22"/>
              </w:rPr>
            </w:pPr>
            <w:r>
              <w:rPr>
                <w:sz w:val="22"/>
              </w:rPr>
              <w:t>1/2</w:t>
            </w:r>
          </w:p>
        </w:tc>
        <w:tc>
          <w:tcPr>
            <w:tcW w:w="1125" w:type="dxa"/>
          </w:tcPr>
          <w:p>
            <w:pPr>
              <w:pStyle w:val="TableParagraph"/>
              <w:spacing w:before="18"/>
              <w:ind w:left="6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1</w:t>
            </w:r>
          </w:p>
        </w:tc>
        <w:tc>
          <w:tcPr>
            <w:tcW w:w="1171" w:type="dxa"/>
          </w:tcPr>
          <w:p>
            <w:pPr>
              <w:pStyle w:val="TableParagraph"/>
              <w:spacing w:before="18"/>
              <w:ind w:right="1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2</w:t>
            </w:r>
          </w:p>
        </w:tc>
        <w:tc>
          <w:tcPr>
            <w:tcW w:w="1185" w:type="dxa"/>
          </w:tcPr>
          <w:p>
            <w:pPr>
              <w:pStyle w:val="TableParagraph"/>
              <w:spacing w:before="18"/>
              <w:ind w:left="442" w:right="421"/>
              <w:jc w:val="center"/>
              <w:rPr>
                <w:sz w:val="22"/>
              </w:rPr>
            </w:pPr>
            <w:r>
              <w:rPr>
                <w:sz w:val="22"/>
              </w:rPr>
              <w:t>1/2</w:t>
            </w:r>
          </w:p>
        </w:tc>
        <w:tc>
          <w:tcPr>
            <w:tcW w:w="1164" w:type="dxa"/>
          </w:tcPr>
          <w:p>
            <w:pPr>
              <w:pStyle w:val="TableParagraph"/>
              <w:spacing w:before="18"/>
              <w:ind w:left="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2</w:t>
            </w:r>
          </w:p>
        </w:tc>
      </w:tr>
      <w:tr>
        <w:trPr>
          <w:trHeight w:val="300" w:hRule="atLeast"/>
        </w:trPr>
        <w:tc>
          <w:tcPr>
            <w:tcW w:w="2240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18"/>
              <w:ind w:left="107"/>
              <w:rPr>
                <w:sz w:val="22"/>
              </w:rPr>
            </w:pPr>
            <w:r>
              <w:rPr>
                <w:sz w:val="22"/>
              </w:rPr>
              <w:t>Energy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Efficiency</w:t>
            </w:r>
          </w:p>
        </w:tc>
        <w:tc>
          <w:tcPr>
            <w:tcW w:w="873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18"/>
              <w:ind w:left="251" w:right="170"/>
              <w:jc w:val="center"/>
              <w:rPr>
                <w:sz w:val="22"/>
              </w:rPr>
            </w:pPr>
            <w:r>
              <w:rPr>
                <w:sz w:val="22"/>
              </w:rPr>
              <w:t>1/4</w:t>
            </w:r>
          </w:p>
        </w:tc>
        <w:tc>
          <w:tcPr>
            <w:tcW w:w="1125" w:type="dxa"/>
          </w:tcPr>
          <w:p>
            <w:pPr>
              <w:pStyle w:val="TableParagraph"/>
              <w:spacing w:before="18"/>
              <w:ind w:left="174" w:right="104"/>
              <w:jc w:val="center"/>
              <w:rPr>
                <w:sz w:val="22"/>
              </w:rPr>
            </w:pPr>
            <w:r>
              <w:rPr>
                <w:sz w:val="22"/>
              </w:rPr>
              <w:t>1/2</w:t>
            </w:r>
          </w:p>
        </w:tc>
        <w:tc>
          <w:tcPr>
            <w:tcW w:w="1171" w:type="dxa"/>
          </w:tcPr>
          <w:p>
            <w:pPr>
              <w:pStyle w:val="TableParagraph"/>
              <w:spacing w:before="18"/>
              <w:ind w:right="1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1</w:t>
            </w:r>
          </w:p>
        </w:tc>
        <w:tc>
          <w:tcPr>
            <w:tcW w:w="1185" w:type="dxa"/>
          </w:tcPr>
          <w:p>
            <w:pPr>
              <w:pStyle w:val="TableParagraph"/>
              <w:spacing w:before="18"/>
              <w:ind w:left="442" w:right="421"/>
              <w:jc w:val="center"/>
              <w:rPr>
                <w:sz w:val="22"/>
              </w:rPr>
            </w:pPr>
            <w:r>
              <w:rPr>
                <w:sz w:val="22"/>
              </w:rPr>
              <w:t>1/5</w:t>
            </w:r>
          </w:p>
        </w:tc>
        <w:tc>
          <w:tcPr>
            <w:tcW w:w="1164" w:type="dxa"/>
          </w:tcPr>
          <w:p>
            <w:pPr>
              <w:pStyle w:val="TableParagraph"/>
              <w:spacing w:before="18"/>
              <w:ind w:left="426" w:right="416"/>
              <w:jc w:val="center"/>
              <w:rPr>
                <w:sz w:val="22"/>
              </w:rPr>
            </w:pPr>
            <w:r>
              <w:rPr>
                <w:sz w:val="22"/>
              </w:rPr>
              <w:t>1/5</w:t>
            </w:r>
          </w:p>
        </w:tc>
      </w:tr>
      <w:tr>
        <w:trPr>
          <w:trHeight w:val="300" w:hRule="atLeast"/>
        </w:trPr>
        <w:tc>
          <w:tcPr>
            <w:tcW w:w="2240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18"/>
              <w:ind w:left="107"/>
              <w:rPr>
                <w:sz w:val="22"/>
              </w:rPr>
            </w:pPr>
            <w:r>
              <w:rPr>
                <w:sz w:val="22"/>
              </w:rPr>
              <w:t>Blast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Resistance</w:t>
            </w:r>
          </w:p>
        </w:tc>
        <w:tc>
          <w:tcPr>
            <w:tcW w:w="873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18"/>
              <w:ind w:left="7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5</w:t>
            </w:r>
          </w:p>
        </w:tc>
        <w:tc>
          <w:tcPr>
            <w:tcW w:w="1125" w:type="dxa"/>
          </w:tcPr>
          <w:p>
            <w:pPr>
              <w:pStyle w:val="TableParagraph"/>
              <w:spacing w:before="18"/>
              <w:ind w:left="6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2</w:t>
            </w:r>
          </w:p>
        </w:tc>
        <w:tc>
          <w:tcPr>
            <w:tcW w:w="1171" w:type="dxa"/>
          </w:tcPr>
          <w:p>
            <w:pPr>
              <w:pStyle w:val="TableParagraph"/>
              <w:spacing w:before="18"/>
              <w:ind w:right="1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5</w:t>
            </w:r>
          </w:p>
        </w:tc>
        <w:tc>
          <w:tcPr>
            <w:tcW w:w="1185" w:type="dxa"/>
          </w:tcPr>
          <w:p>
            <w:pPr>
              <w:pStyle w:val="TableParagraph"/>
              <w:spacing w:before="18"/>
              <w:ind w:left="20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1</w:t>
            </w:r>
          </w:p>
        </w:tc>
        <w:tc>
          <w:tcPr>
            <w:tcW w:w="1164" w:type="dxa"/>
          </w:tcPr>
          <w:p>
            <w:pPr>
              <w:pStyle w:val="TableParagraph"/>
              <w:spacing w:before="18"/>
              <w:ind w:left="426" w:right="416"/>
              <w:jc w:val="center"/>
              <w:rPr>
                <w:sz w:val="22"/>
              </w:rPr>
            </w:pPr>
            <w:r>
              <w:rPr>
                <w:sz w:val="22"/>
              </w:rPr>
              <w:t>1/2</w:t>
            </w:r>
          </w:p>
        </w:tc>
      </w:tr>
      <w:tr>
        <w:trPr>
          <w:trHeight w:val="297" w:hRule="atLeast"/>
        </w:trPr>
        <w:tc>
          <w:tcPr>
            <w:tcW w:w="2240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18"/>
              <w:ind w:left="107"/>
              <w:rPr>
                <w:sz w:val="22"/>
              </w:rPr>
            </w:pPr>
            <w:r>
              <w:rPr>
                <w:sz w:val="22"/>
              </w:rPr>
              <w:t>Ballistic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Resistance</w:t>
            </w:r>
          </w:p>
        </w:tc>
        <w:tc>
          <w:tcPr>
            <w:tcW w:w="873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18"/>
              <w:ind w:left="7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5</w:t>
            </w:r>
          </w:p>
        </w:tc>
        <w:tc>
          <w:tcPr>
            <w:tcW w:w="1125" w:type="dxa"/>
          </w:tcPr>
          <w:p>
            <w:pPr>
              <w:pStyle w:val="TableParagraph"/>
              <w:spacing w:before="18"/>
              <w:ind w:left="174" w:right="104"/>
              <w:jc w:val="center"/>
              <w:rPr>
                <w:sz w:val="22"/>
              </w:rPr>
            </w:pPr>
            <w:r>
              <w:rPr>
                <w:sz w:val="22"/>
              </w:rPr>
              <w:t>1/2</w:t>
            </w:r>
          </w:p>
        </w:tc>
        <w:tc>
          <w:tcPr>
            <w:tcW w:w="1171" w:type="dxa"/>
          </w:tcPr>
          <w:p>
            <w:pPr>
              <w:pStyle w:val="TableParagraph"/>
              <w:spacing w:before="18"/>
              <w:ind w:right="1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5</w:t>
            </w:r>
          </w:p>
        </w:tc>
        <w:tc>
          <w:tcPr>
            <w:tcW w:w="1185" w:type="dxa"/>
          </w:tcPr>
          <w:p>
            <w:pPr>
              <w:pStyle w:val="TableParagraph"/>
              <w:spacing w:before="18"/>
              <w:ind w:left="20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2</w:t>
            </w:r>
          </w:p>
        </w:tc>
        <w:tc>
          <w:tcPr>
            <w:tcW w:w="1164" w:type="dxa"/>
          </w:tcPr>
          <w:p>
            <w:pPr>
              <w:pStyle w:val="TableParagraph"/>
              <w:spacing w:before="18"/>
              <w:ind w:left="9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1</w:t>
            </w:r>
          </w:p>
        </w:tc>
      </w:tr>
    </w:tbl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228"/>
        <w:ind w:left="1720" w:right="556" w:firstLine="720"/>
        <w:jc w:val="both"/>
      </w:pPr>
      <w:r>
        <w:rPr/>
        <w:t>Relative weights are assigned to the criteria based on the judged importance and</w:t>
      </w:r>
      <w:r>
        <w:rPr>
          <w:spacing w:val="1"/>
        </w:rPr>
        <w:t> </w:t>
      </w:r>
      <w:r>
        <w:rPr/>
        <w:t>the matrix is normalized.</w:t>
      </w:r>
      <w:r>
        <w:rPr>
          <w:spacing w:val="1"/>
        </w:rPr>
        <w:t> </w:t>
      </w:r>
      <w:r>
        <w:rPr/>
        <w:t>Each alternative under consideration is then assessed with a</w:t>
      </w:r>
      <w:r>
        <w:rPr>
          <w:spacing w:val="1"/>
        </w:rPr>
        <w:t> </w:t>
      </w:r>
      <w:r>
        <w:rPr/>
        <w:t>pairwise comparison for each criteria.</w:t>
      </w:r>
      <w:r>
        <w:rPr>
          <w:spacing w:val="1"/>
        </w:rPr>
        <w:t> </w:t>
      </w:r>
      <w:r>
        <w:rPr/>
        <w:t>This results in an associated weight value for each</w:t>
      </w:r>
      <w:r>
        <w:rPr>
          <w:spacing w:val="1"/>
        </w:rPr>
        <w:t> </w:t>
      </w:r>
      <w:r>
        <w:rPr/>
        <w:t>alternative under each criteria.</w:t>
      </w:r>
      <w:r>
        <w:rPr>
          <w:spacing w:val="1"/>
        </w:rPr>
        <w:t> </w:t>
      </w:r>
      <w:r>
        <w:rPr/>
        <w:t>The matrix of alternative weights and then multiplied by</w:t>
      </w:r>
      <w:r>
        <w:rPr>
          <w:spacing w:val="1"/>
        </w:rPr>
        <w:t> </w:t>
      </w:r>
      <w:r>
        <w:rPr/>
        <w:t>the criteria weight vector to produce a final value for each alternative. The highest valued</w:t>
      </w:r>
      <w:r>
        <w:rPr>
          <w:spacing w:val="-57"/>
        </w:rPr>
        <w:t> </w:t>
      </w:r>
      <w:r>
        <w:rPr/>
        <w:t>alternative</w:t>
      </w:r>
      <w:r>
        <w:rPr>
          <w:spacing w:val="-2"/>
        </w:rPr>
        <w:t> </w:t>
      </w:r>
      <w:r>
        <w:rPr/>
        <w:t>in that</w:t>
      </w:r>
      <w:r>
        <w:rPr>
          <w:spacing w:val="-1"/>
        </w:rPr>
        <w:t> </w:t>
      </w:r>
      <w:r>
        <w:rPr/>
        <w:t>resulting</w:t>
      </w:r>
      <w:r>
        <w:rPr>
          <w:spacing w:val="-1"/>
        </w:rPr>
        <w:t> </w:t>
      </w:r>
      <w:r>
        <w:rPr/>
        <w:t>vector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the most</w:t>
      </w:r>
      <w:r>
        <w:rPr>
          <w:spacing w:val="-1"/>
        </w:rPr>
        <w:t> </w:t>
      </w:r>
      <w:r>
        <w:rPr/>
        <w:t>preferred choice [98].</w:t>
      </w:r>
    </w:p>
    <w:p>
      <w:pPr>
        <w:pStyle w:val="ListParagraph"/>
        <w:numPr>
          <w:ilvl w:val="2"/>
          <w:numId w:val="28"/>
        </w:numPr>
        <w:tabs>
          <w:tab w:pos="2260" w:val="left" w:leader="none"/>
        </w:tabs>
        <w:spacing w:line="240" w:lineRule="auto" w:before="161" w:after="0"/>
        <w:ind w:left="2260" w:right="0" w:hanging="540"/>
        <w:jc w:val="both"/>
        <w:rPr>
          <w:i/>
          <w:sz w:val="24"/>
        </w:rPr>
      </w:pPr>
      <w:bookmarkStart w:name="9.4.2 Development of the Simplified Mult" w:id="621"/>
      <w:bookmarkEnd w:id="621"/>
      <w:r>
        <w:rPr/>
      </w:r>
      <w:bookmarkStart w:name="9.4.2 Development of the Simplified Mult" w:id="622"/>
      <w:bookmarkEnd w:id="622"/>
      <w:r>
        <w:rPr>
          <w:i/>
          <w:sz w:val="24"/>
        </w:rPr>
        <w:t>D</w:t>
      </w:r>
      <w:r>
        <w:rPr>
          <w:i/>
          <w:sz w:val="24"/>
        </w:rPr>
        <w:t>evelopment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Simplified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Multi-Attribute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Radar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Tool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(SMART)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assessment</w:t>
      </w:r>
    </w:p>
    <w:p>
      <w:pPr>
        <w:pStyle w:val="BodyText"/>
        <w:spacing w:before="7"/>
        <w:rPr>
          <w:i/>
          <w:sz w:val="22"/>
        </w:rPr>
      </w:pPr>
    </w:p>
    <w:p>
      <w:pPr>
        <w:pStyle w:val="BodyText"/>
        <w:spacing w:line="480" w:lineRule="auto"/>
        <w:ind w:left="1720" w:right="557" w:firstLine="720"/>
        <w:jc w:val="both"/>
      </w:pPr>
      <w:r>
        <w:rPr/>
        <w:t>Simplicity is a key factor in tool implementation or adoption [108].</w:t>
      </w:r>
      <w:r>
        <w:rPr>
          <w:spacing w:val="1"/>
        </w:rPr>
        <w:t> </w:t>
      </w:r>
      <w:r>
        <w:rPr/>
        <w:t>This research</w:t>
      </w:r>
      <w:r>
        <w:rPr>
          <w:spacing w:val="-57"/>
        </w:rPr>
        <w:t> </w:t>
      </w:r>
      <w:r>
        <w:rPr>
          <w:spacing w:val="-1"/>
        </w:rPr>
        <w:t>employed</w:t>
      </w:r>
      <w:r>
        <w:rPr>
          <w:spacing w:val="-14"/>
        </w:rPr>
        <w:t> </w:t>
      </w:r>
      <w:r>
        <w:rPr>
          <w:spacing w:val="-1"/>
        </w:rPr>
        <w:t>a</w:t>
      </w:r>
      <w:r>
        <w:rPr>
          <w:spacing w:val="-12"/>
        </w:rPr>
        <w:t> </w:t>
      </w:r>
      <w:r>
        <w:rPr>
          <w:spacing w:val="-1"/>
        </w:rPr>
        <w:t>radar</w:t>
      </w:r>
      <w:r>
        <w:rPr>
          <w:spacing w:val="-13"/>
        </w:rPr>
        <w:t> </w:t>
      </w:r>
      <w:r>
        <w:rPr>
          <w:spacing w:val="-1"/>
        </w:rPr>
        <w:t>chart</w:t>
      </w:r>
      <w:r>
        <w:rPr>
          <w:spacing w:val="-12"/>
        </w:rPr>
        <w:t> </w:t>
      </w:r>
      <w:r>
        <w:rPr>
          <w:spacing w:val="-1"/>
        </w:rPr>
        <w:t>to</w:t>
      </w:r>
      <w:r>
        <w:rPr>
          <w:spacing w:val="-16"/>
        </w:rPr>
        <w:t> </w:t>
      </w:r>
      <w:r>
        <w:rPr>
          <w:spacing w:val="-1"/>
        </w:rPr>
        <w:t>develop</w:t>
      </w:r>
      <w:r>
        <w:rPr>
          <w:spacing w:val="-13"/>
        </w:rPr>
        <w:t> </w:t>
      </w:r>
      <w:r>
        <w:rPr/>
        <w:t>a</w:t>
      </w:r>
      <w:r>
        <w:rPr>
          <w:spacing w:val="-15"/>
        </w:rPr>
        <w:t> </w:t>
      </w:r>
      <w:r>
        <w:rPr/>
        <w:t>material</w:t>
      </w:r>
      <w:r>
        <w:rPr>
          <w:spacing w:val="-13"/>
        </w:rPr>
        <w:t> </w:t>
      </w:r>
      <w:r>
        <w:rPr/>
        <w:t>selection</w:t>
      </w:r>
      <w:r>
        <w:rPr>
          <w:spacing w:val="-14"/>
        </w:rPr>
        <w:t> </w:t>
      </w:r>
      <w:r>
        <w:rPr/>
        <w:t>assessment</w:t>
      </w:r>
      <w:r>
        <w:rPr>
          <w:spacing w:val="-12"/>
        </w:rPr>
        <w:t> </w:t>
      </w:r>
      <w:r>
        <w:rPr/>
        <w:t>tool</w:t>
      </w:r>
      <w:r>
        <w:rPr>
          <w:spacing w:val="-13"/>
        </w:rPr>
        <w:t> </w:t>
      </w:r>
      <w:r>
        <w:rPr/>
        <w:t>called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>
          <w:u w:val="single"/>
        </w:rPr>
        <w:t>S</w:t>
      </w:r>
      <w:r>
        <w:rPr/>
        <w:t>implified</w:t>
      </w:r>
    </w:p>
    <w:p>
      <w:pPr>
        <w:pStyle w:val="BodyText"/>
        <w:ind w:left="1720"/>
      </w:pPr>
      <w:r>
        <w:rPr>
          <w:u w:val="single"/>
        </w:rPr>
        <w:t>M</w:t>
      </w:r>
      <w:r>
        <w:rPr/>
        <w:t>ulti-</w:t>
      </w:r>
      <w:r>
        <w:rPr>
          <w:u w:val="single"/>
        </w:rPr>
        <w:t>A</w:t>
      </w:r>
      <w:r>
        <w:rPr/>
        <w:t>ttribute</w:t>
      </w:r>
      <w:r>
        <w:rPr>
          <w:spacing w:val="18"/>
        </w:rPr>
        <w:t> </w:t>
      </w:r>
      <w:r>
        <w:rPr>
          <w:u w:val="single"/>
        </w:rPr>
        <w:t>R</w:t>
      </w:r>
      <w:r>
        <w:rPr/>
        <w:t>adar</w:t>
      </w:r>
      <w:r>
        <w:rPr>
          <w:spacing w:val="18"/>
        </w:rPr>
        <w:t> </w:t>
      </w:r>
      <w:r>
        <w:rPr>
          <w:u w:val="single"/>
        </w:rPr>
        <w:t>T</w:t>
      </w:r>
      <w:r>
        <w:rPr/>
        <w:t>ool,</w:t>
      </w:r>
      <w:r>
        <w:rPr>
          <w:spacing w:val="19"/>
        </w:rPr>
        <w:t> </w:t>
      </w:r>
      <w:r>
        <w:rPr/>
        <w:t>or</w:t>
      </w:r>
      <w:r>
        <w:rPr>
          <w:spacing w:val="18"/>
        </w:rPr>
        <w:t> </w:t>
      </w:r>
      <w:r>
        <w:rPr/>
        <w:t>SMART.</w:t>
      </w:r>
      <w:r>
        <w:rPr>
          <w:spacing w:val="98"/>
        </w:rPr>
        <w:t> </w:t>
      </w:r>
      <w:r>
        <w:rPr/>
        <w:t>A</w:t>
      </w:r>
      <w:r>
        <w:rPr>
          <w:spacing w:val="17"/>
        </w:rPr>
        <w:t> </w:t>
      </w:r>
      <w:r>
        <w:rPr/>
        <w:t>radar</w:t>
      </w:r>
      <w:r>
        <w:rPr>
          <w:spacing w:val="19"/>
        </w:rPr>
        <w:t> </w:t>
      </w:r>
      <w:r>
        <w:rPr/>
        <w:t>chart</w:t>
      </w:r>
      <w:r>
        <w:rPr>
          <w:spacing w:val="18"/>
        </w:rPr>
        <w:t> </w:t>
      </w:r>
      <w:r>
        <w:rPr/>
        <w:t>is</w:t>
      </w:r>
      <w:r>
        <w:rPr>
          <w:spacing w:val="17"/>
        </w:rPr>
        <w:t> </w:t>
      </w:r>
      <w:r>
        <w:rPr/>
        <w:t>a</w:t>
      </w:r>
      <w:r>
        <w:rPr>
          <w:spacing w:val="19"/>
        </w:rPr>
        <w:t> </w:t>
      </w:r>
      <w:r>
        <w:rPr/>
        <w:t>simple</w:t>
      </w:r>
      <w:r>
        <w:rPr>
          <w:spacing w:val="19"/>
        </w:rPr>
        <w:t> </w:t>
      </w:r>
      <w:r>
        <w:rPr/>
        <w:t>graphical</w:t>
      </w:r>
      <w:r>
        <w:rPr>
          <w:spacing w:val="17"/>
        </w:rPr>
        <w:t> </w:t>
      </w:r>
      <w:r>
        <w:rPr/>
        <w:t>method</w:t>
      </w:r>
      <w:r>
        <w:rPr>
          <w:spacing w:val="19"/>
        </w:rPr>
        <w:t> </w:t>
      </w:r>
      <w:r>
        <w:rPr/>
        <w:t>of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80" w:lineRule="auto" w:before="90"/>
        <w:ind w:left="1720" w:right="559"/>
        <w:jc w:val="both"/>
      </w:pPr>
      <w:r>
        <w:rPr/>
        <w:t>showing</w:t>
      </w:r>
      <w:r>
        <w:rPr>
          <w:spacing w:val="-14"/>
        </w:rPr>
        <w:t> </w:t>
      </w:r>
      <w:r>
        <w:rPr/>
        <w:t>multivariate</w:t>
      </w:r>
      <w:r>
        <w:rPr>
          <w:spacing w:val="-14"/>
        </w:rPr>
        <w:t> </w:t>
      </w:r>
      <w:r>
        <w:rPr/>
        <w:t>data,</w:t>
      </w:r>
      <w:r>
        <w:rPr>
          <w:spacing w:val="-14"/>
        </w:rPr>
        <w:t> </w:t>
      </w:r>
      <w:r>
        <w:rPr/>
        <w:t>often</w:t>
      </w:r>
      <w:r>
        <w:rPr>
          <w:spacing w:val="-14"/>
        </w:rPr>
        <w:t> </w:t>
      </w:r>
      <w:r>
        <w:rPr/>
        <w:t>associated</w:t>
      </w:r>
      <w:r>
        <w:rPr>
          <w:spacing w:val="-14"/>
        </w:rPr>
        <w:t> </w:t>
      </w:r>
      <w:r>
        <w:rPr/>
        <w:t>with</w:t>
      </w:r>
      <w:r>
        <w:rPr>
          <w:spacing w:val="-14"/>
        </w:rPr>
        <w:t> </w:t>
      </w:r>
      <w:r>
        <w:rPr/>
        <w:t>benchmarking</w:t>
      </w:r>
      <w:r>
        <w:rPr>
          <w:spacing w:val="-14"/>
        </w:rPr>
        <w:t> </w:t>
      </w:r>
      <w:r>
        <w:rPr/>
        <w:t>[86].</w:t>
      </w:r>
      <w:r>
        <w:rPr>
          <w:spacing w:val="32"/>
        </w:rPr>
        <w:t> </w:t>
      </w:r>
      <w:r>
        <w:rPr/>
        <w:t>The</w:t>
      </w:r>
      <w:r>
        <w:rPr>
          <w:spacing w:val="-14"/>
        </w:rPr>
        <w:t> </w:t>
      </w:r>
      <w:r>
        <w:rPr/>
        <w:t>two-dimensional</w:t>
      </w:r>
      <w:r>
        <w:rPr>
          <w:spacing w:val="-57"/>
        </w:rPr>
        <w:t> </w:t>
      </w:r>
      <w:r>
        <w:rPr/>
        <w:t>plot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graphically</w:t>
      </w:r>
      <w:r>
        <w:rPr>
          <w:spacing w:val="1"/>
        </w:rPr>
        <w:t> </w:t>
      </w:r>
      <w:r>
        <w:rPr/>
        <w:t>depict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entity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multiple</w:t>
      </w:r>
      <w:r>
        <w:rPr>
          <w:spacing w:val="1"/>
        </w:rPr>
        <w:t> </w:t>
      </w:r>
      <w:r>
        <w:rPr/>
        <w:t>characteristics and if desired, multiple entities can be plotted on the same chart for</w:t>
      </w:r>
      <w:r>
        <w:rPr>
          <w:spacing w:val="1"/>
        </w:rPr>
        <w:t> </w:t>
      </w:r>
      <w:r>
        <w:rPr/>
        <w:t>comparison.</w:t>
      </w:r>
    </w:p>
    <w:p>
      <w:pPr>
        <w:pStyle w:val="BodyText"/>
        <w:spacing w:line="552" w:lineRule="exact" w:before="23"/>
        <w:ind w:left="1720" w:right="556" w:firstLine="720"/>
        <w:jc w:val="both"/>
      </w:pPr>
      <w:r>
        <w:rPr/>
        <w:t>This tool was designed to assist the multi-attribute decision making process of</w:t>
      </w:r>
      <w:r>
        <w:rPr>
          <w:spacing w:val="1"/>
        </w:rPr>
        <w:t> </w:t>
      </w:r>
      <w:r>
        <w:rPr/>
        <w:t>material</w:t>
      </w:r>
      <w:r>
        <w:rPr>
          <w:spacing w:val="59"/>
        </w:rPr>
        <w:t> </w:t>
      </w:r>
      <w:r>
        <w:rPr/>
        <w:t>assessment</w:t>
      </w:r>
      <w:r>
        <w:rPr>
          <w:spacing w:val="59"/>
        </w:rPr>
        <w:t> </w:t>
      </w:r>
      <w:r>
        <w:rPr/>
        <w:t>for</w:t>
      </w:r>
      <w:r>
        <w:rPr>
          <w:spacing w:val="59"/>
        </w:rPr>
        <w:t> </w:t>
      </w:r>
      <w:r>
        <w:rPr/>
        <w:t>use</w:t>
      </w:r>
      <w:r>
        <w:rPr>
          <w:spacing w:val="59"/>
        </w:rPr>
        <w:t> </w:t>
      </w:r>
      <w:r>
        <w:rPr/>
        <w:t>in</w:t>
      </w:r>
      <w:r>
        <w:rPr>
          <w:spacing w:val="58"/>
        </w:rPr>
        <w:t> </w:t>
      </w:r>
      <w:r>
        <w:rPr/>
        <w:t>temporary  military</w:t>
      </w:r>
      <w:r>
        <w:rPr>
          <w:spacing w:val="59"/>
        </w:rPr>
        <w:t> </w:t>
      </w:r>
      <w:r>
        <w:rPr/>
        <w:t>structures,</w:t>
      </w:r>
      <w:r>
        <w:rPr>
          <w:spacing w:val="59"/>
        </w:rPr>
        <w:t> </w:t>
      </w:r>
      <w:r>
        <w:rPr/>
        <w:t>specifically</w:t>
      </w:r>
      <w:r>
        <w:rPr>
          <w:spacing w:val="58"/>
        </w:rPr>
        <w:t> </w:t>
      </w:r>
      <w:r>
        <w:rPr/>
        <w:t>for</w:t>
      </w:r>
      <w:r>
        <w:rPr>
          <w:spacing w:val="59"/>
        </w:rPr>
        <w:t> </w:t>
      </w:r>
      <w:r>
        <w:rPr/>
        <w:t>a</w:t>
      </w:r>
      <w:r>
        <w:rPr>
          <w:spacing w:val="59"/>
        </w:rPr>
        <w:t> </w:t>
      </w:r>
      <w:r>
        <w:rPr/>
        <w:t>non-</w:t>
      </w:r>
    </w:p>
    <w:p>
      <w:pPr>
        <w:spacing w:after="0" w:line="552" w:lineRule="exact"/>
        <w:jc w:val="both"/>
        <w:sectPr>
          <w:pgSz w:w="12240" w:h="15840"/>
          <w:pgMar w:header="0" w:footer="1064" w:top="1360" w:bottom="1260" w:left="440" w:right="880"/>
        </w:sectPr>
      </w:pPr>
    </w:p>
    <w:p>
      <w:pPr>
        <w:pStyle w:val="BodyText"/>
        <w:spacing w:line="480" w:lineRule="auto" w:before="78"/>
        <w:ind w:left="1720" w:right="557"/>
        <w:jc w:val="both"/>
      </w:pPr>
      <w:r>
        <w:rPr/>
        <w:t>technical audience. In the military, the team assigned to select the material system may or</w:t>
      </w:r>
      <w:r>
        <w:rPr>
          <w:spacing w:val="-57"/>
        </w:rPr>
        <w:t> </w:t>
      </w:r>
      <w:r>
        <w:rPr/>
        <w:t>may not have a technical background or the time necessary to complete a comprehensive</w:t>
      </w:r>
      <w:r>
        <w:rPr>
          <w:spacing w:val="1"/>
        </w:rPr>
        <w:t> </w:t>
      </w:r>
      <w:r>
        <w:rPr/>
        <w:t>technical</w:t>
      </w:r>
      <w:r>
        <w:rPr>
          <w:spacing w:val="1"/>
        </w:rPr>
        <w:t> </w:t>
      </w:r>
      <w:r>
        <w:rPr/>
        <w:t>assessment.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SMART</w:t>
      </w:r>
      <w:r>
        <w:rPr>
          <w:spacing w:val="1"/>
        </w:rPr>
        <w:t> </w:t>
      </w:r>
      <w:r>
        <w:rPr/>
        <w:t>assessment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designed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allow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technical</w:t>
      </w:r>
      <w:r>
        <w:rPr>
          <w:spacing w:val="1"/>
        </w:rPr>
        <w:t> </w:t>
      </w:r>
      <w:r>
        <w:rPr/>
        <w:t>background information on the material and the environment to be pulled into the tool so</w:t>
      </w:r>
      <w:r>
        <w:rPr>
          <w:spacing w:val="1"/>
        </w:rPr>
        <w:t> </w:t>
      </w:r>
      <w:r>
        <w:rPr/>
        <w:t>that the decision maker can determine relevant evaluation criteria to the specific situation,</w:t>
      </w:r>
      <w:r>
        <w:rPr>
          <w:spacing w:val="-57"/>
        </w:rPr>
        <w:t> </w:t>
      </w:r>
      <w:r>
        <w:rPr/>
        <w:t>if any prioritization or weights should be assigned.</w:t>
      </w:r>
      <w:r>
        <w:rPr>
          <w:spacing w:val="1"/>
        </w:rPr>
        <w:t> </w:t>
      </w:r>
      <w:r>
        <w:rPr/>
        <w:t>After determining what evaluation</w:t>
      </w:r>
      <w:r>
        <w:rPr>
          <w:spacing w:val="1"/>
        </w:rPr>
        <w:t> </w:t>
      </w:r>
      <w:r>
        <w:rPr/>
        <w:t>criteria and respective weights of the criteria, the decision maker just needs to look at the</w:t>
      </w:r>
      <w:r>
        <w:rPr>
          <w:spacing w:val="1"/>
        </w:rPr>
        <w:t> </w:t>
      </w:r>
      <w:r>
        <w:rPr/>
        <w:t>SMART</w:t>
      </w:r>
      <w:r>
        <w:rPr>
          <w:spacing w:val="-2"/>
        </w:rPr>
        <w:t> </w:t>
      </w:r>
      <w:r>
        <w:rPr/>
        <w:t>plot and</w:t>
      </w:r>
      <w:r>
        <w:rPr>
          <w:spacing w:val="-1"/>
        </w:rPr>
        <w:t> </w:t>
      </w:r>
      <w:r>
        <w:rPr/>
        <w:t>can</w:t>
      </w:r>
      <w:r>
        <w:rPr>
          <w:spacing w:val="-2"/>
        </w:rPr>
        <w:t> </w:t>
      </w:r>
      <w:r>
        <w:rPr/>
        <w:t>then make a</w:t>
      </w:r>
      <w:r>
        <w:rPr>
          <w:spacing w:val="-1"/>
        </w:rPr>
        <w:t> </w:t>
      </w:r>
      <w:r>
        <w:rPr/>
        <w:t>rapid judgment</w:t>
      </w:r>
      <w:r>
        <w:rPr>
          <w:spacing w:val="-1"/>
        </w:rPr>
        <w:t> </w:t>
      </w:r>
      <w:r>
        <w:rPr/>
        <w:t>on the</w:t>
      </w:r>
      <w:r>
        <w:rPr>
          <w:spacing w:val="-1"/>
        </w:rPr>
        <w:t> </w:t>
      </w:r>
      <w:r>
        <w:rPr/>
        <w:t>best</w:t>
      </w:r>
      <w:r>
        <w:rPr>
          <w:spacing w:val="-1"/>
        </w:rPr>
        <w:t> </w:t>
      </w:r>
      <w:r>
        <w:rPr/>
        <w:t>fitting</w:t>
      </w:r>
      <w:r>
        <w:rPr>
          <w:spacing w:val="-1"/>
        </w:rPr>
        <w:t> </w:t>
      </w:r>
      <w:r>
        <w:rPr/>
        <w:t>alternative.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/>
        <w:ind w:left="1719" w:right="557" w:firstLine="720"/>
        <w:jc w:val="both"/>
      </w:pPr>
      <w:r>
        <w:rPr/>
        <w:t>The key to the radar chart is the selection of evaluation criteria.</w:t>
      </w:r>
      <w:r>
        <w:rPr>
          <w:spacing w:val="1"/>
        </w:rPr>
        <w:t> </w:t>
      </w:r>
      <w:r>
        <w:rPr/>
        <w:t>The criteria must</w:t>
      </w:r>
      <w:r>
        <w:rPr>
          <w:spacing w:val="1"/>
        </w:rPr>
        <w:t> </w:t>
      </w:r>
      <w:r>
        <w:rPr/>
        <w:t>be</w:t>
      </w:r>
      <w:r>
        <w:rPr>
          <w:spacing w:val="-3"/>
        </w:rPr>
        <w:t> </w:t>
      </w:r>
      <w:r>
        <w:rPr/>
        <w:t>well</w:t>
      </w:r>
      <w:r>
        <w:rPr>
          <w:spacing w:val="-3"/>
        </w:rPr>
        <w:t> </w:t>
      </w:r>
      <w:r>
        <w:rPr/>
        <w:t>defined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consider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methodology</w:t>
      </w:r>
      <w:r>
        <w:rPr>
          <w:spacing w:val="-3"/>
        </w:rPr>
        <w:t> </w:t>
      </w:r>
      <w:r>
        <w:rPr/>
        <w:t>for</w:t>
      </w:r>
      <w:r>
        <w:rPr>
          <w:spacing w:val="-2"/>
        </w:rPr>
        <w:t> </w:t>
      </w:r>
      <w:r>
        <w:rPr/>
        <w:t>determining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/>
        <w:t>rated</w:t>
      </w:r>
      <w:r>
        <w:rPr>
          <w:spacing w:val="-4"/>
        </w:rPr>
        <w:t> </w:t>
      </w:r>
      <w:r>
        <w:rPr/>
        <w:t>value</w:t>
      </w:r>
      <w:r>
        <w:rPr>
          <w:spacing w:val="-2"/>
        </w:rPr>
        <w:t> </w:t>
      </w:r>
      <w:r>
        <w:rPr/>
        <w:t>relative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the</w:t>
      </w:r>
      <w:r>
        <w:rPr>
          <w:spacing w:val="-58"/>
        </w:rPr>
        <w:t> </w:t>
      </w:r>
      <w:r>
        <w:rPr/>
        <w:t>performance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criteria</w:t>
      </w:r>
      <w:r>
        <w:rPr>
          <w:spacing w:val="-6"/>
        </w:rPr>
        <w:t> </w:t>
      </w:r>
      <w:r>
        <w:rPr/>
        <w:t>by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entity</w:t>
      </w:r>
      <w:r>
        <w:rPr>
          <w:spacing w:val="-5"/>
        </w:rPr>
        <w:t> </w:t>
      </w:r>
      <w:r>
        <w:rPr/>
        <w:t>in</w:t>
      </w:r>
      <w:r>
        <w:rPr>
          <w:spacing w:val="-7"/>
        </w:rPr>
        <w:t> </w:t>
      </w:r>
      <w:r>
        <w:rPr/>
        <w:t>question.</w:t>
      </w:r>
      <w:r>
        <w:rPr>
          <w:spacing w:val="46"/>
        </w:rPr>
        <w:t> </w:t>
      </w:r>
      <w:r>
        <w:rPr/>
        <w:t>It</w:t>
      </w:r>
      <w:r>
        <w:rPr>
          <w:spacing w:val="-6"/>
        </w:rPr>
        <w:t> </w:t>
      </w:r>
      <w:r>
        <w:rPr/>
        <w:t>is</w:t>
      </w:r>
      <w:r>
        <w:rPr>
          <w:spacing w:val="-5"/>
        </w:rPr>
        <w:t> </w:t>
      </w:r>
      <w:r>
        <w:rPr/>
        <w:t>difficult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/>
        <w:t>plot</w:t>
      </w:r>
      <w:r>
        <w:rPr>
          <w:spacing w:val="-6"/>
        </w:rPr>
        <w:t> </w:t>
      </w:r>
      <w:r>
        <w:rPr/>
        <w:t>sub-criteria</w:t>
      </w:r>
      <w:r>
        <w:rPr>
          <w:spacing w:val="-6"/>
        </w:rPr>
        <w:t> </w:t>
      </w:r>
      <w:r>
        <w:rPr/>
        <w:t>with</w:t>
      </w:r>
      <w:r>
        <w:rPr>
          <w:spacing w:val="-58"/>
        </w:rPr>
        <w:t> </w:t>
      </w:r>
      <w:r>
        <w:rPr/>
        <w:t>this tool, so it may not work for very complex multi-attribute problems where sub-criteria</w:t>
      </w:r>
      <w:r>
        <w:rPr>
          <w:spacing w:val="-57"/>
        </w:rPr>
        <w:t> </w:t>
      </w:r>
      <w:r>
        <w:rPr/>
        <w:t>levels are desired.</w:t>
      </w:r>
      <w:r>
        <w:rPr>
          <w:spacing w:val="1"/>
        </w:rPr>
        <w:t> </w:t>
      </w:r>
      <w:r>
        <w:rPr/>
        <w:t>In addition, the tool does not inherently consider the weighing of</w:t>
      </w:r>
      <w:r>
        <w:rPr>
          <w:spacing w:val="1"/>
        </w:rPr>
        <w:t> </w:t>
      </w:r>
      <w:r>
        <w:rPr/>
        <w:t>different attributes. With the material selection for temporary military structures decision,</w:t>
      </w:r>
      <w:r>
        <w:rPr>
          <w:spacing w:val="-57"/>
        </w:rPr>
        <w:t> </w:t>
      </w:r>
      <w:r>
        <w:rPr/>
        <w:t>the two force protection performance measures identified previously as sub-criteria using</w:t>
      </w:r>
      <w:r>
        <w:rPr>
          <w:spacing w:val="1"/>
        </w:rPr>
        <w:t> </w:t>
      </w:r>
      <w:r>
        <w:rPr/>
        <w:t>AHP, blast resistance and ballistic resistance, can be evaluated separately as stand-alone</w:t>
      </w:r>
      <w:r>
        <w:rPr>
          <w:spacing w:val="1"/>
        </w:rPr>
        <w:t> </w:t>
      </w:r>
      <w:r>
        <w:rPr/>
        <w:t>criteria</w:t>
      </w:r>
      <w:r>
        <w:rPr>
          <w:spacing w:val="-1"/>
        </w:rPr>
        <w:t> </w:t>
      </w:r>
      <w:r>
        <w:rPr/>
        <w:t>if</w:t>
      </w:r>
      <w:r>
        <w:rPr>
          <w:spacing w:val="-1"/>
        </w:rPr>
        <w:t> </w:t>
      </w:r>
      <w:r>
        <w:rPr/>
        <w:t>desired and</w:t>
      </w:r>
      <w:r>
        <w:rPr>
          <w:spacing w:val="-2"/>
        </w:rPr>
        <w:t> </w:t>
      </w:r>
      <w:r>
        <w:rPr/>
        <w:t>information is</w:t>
      </w:r>
      <w:r>
        <w:rPr>
          <w:spacing w:val="-1"/>
        </w:rPr>
        <w:t> </w:t>
      </w:r>
      <w:r>
        <w:rPr/>
        <w:t>available.</w:t>
      </w:r>
    </w:p>
    <w:p>
      <w:pPr>
        <w:pStyle w:val="BodyText"/>
        <w:spacing w:line="480" w:lineRule="auto" w:before="232"/>
        <w:ind w:left="1719" w:right="557" w:firstLine="720"/>
        <w:jc w:val="both"/>
      </w:pPr>
      <w:r>
        <w:rPr/>
        <w:t>The</w:t>
      </w:r>
      <w:r>
        <w:rPr>
          <w:spacing w:val="-7"/>
        </w:rPr>
        <w:t> </w:t>
      </w:r>
      <w:r>
        <w:rPr/>
        <w:t>overall</w:t>
      </w:r>
      <w:r>
        <w:rPr>
          <w:spacing w:val="-7"/>
        </w:rPr>
        <w:t> </w:t>
      </w:r>
      <w:r>
        <w:rPr/>
        <w:t>plot</w:t>
      </w:r>
      <w:r>
        <w:rPr>
          <w:spacing w:val="-6"/>
        </w:rPr>
        <w:t> </w:t>
      </w:r>
      <w:r>
        <w:rPr/>
        <w:t>represents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decision</w:t>
      </w:r>
      <w:r>
        <w:rPr>
          <w:spacing w:val="-6"/>
        </w:rPr>
        <w:t> </w:t>
      </w:r>
      <w:r>
        <w:rPr/>
        <w:t>at</w:t>
      </w:r>
      <w:r>
        <w:rPr>
          <w:spacing w:val="-7"/>
        </w:rPr>
        <w:t> </w:t>
      </w:r>
      <w:r>
        <w:rPr/>
        <w:t>hand,</w:t>
      </w:r>
      <w:r>
        <w:rPr>
          <w:spacing w:val="-7"/>
        </w:rPr>
        <w:t> </w:t>
      </w:r>
      <w:r>
        <w:rPr/>
        <w:t>such</w:t>
      </w:r>
      <w:r>
        <w:rPr>
          <w:spacing w:val="-6"/>
        </w:rPr>
        <w:t> </w:t>
      </w:r>
      <w:r>
        <w:rPr/>
        <w:t>as</w:t>
      </w:r>
      <w:r>
        <w:rPr>
          <w:spacing w:val="-7"/>
        </w:rPr>
        <w:t> </w:t>
      </w:r>
      <w:r>
        <w:rPr/>
        <w:t>what</w:t>
      </w:r>
      <w:r>
        <w:rPr>
          <w:spacing w:val="-7"/>
        </w:rPr>
        <w:t> </w:t>
      </w:r>
      <w:r>
        <w:rPr/>
        <w:t>construction</w:t>
      </w:r>
      <w:r>
        <w:rPr>
          <w:spacing w:val="-5"/>
        </w:rPr>
        <w:t> </w:t>
      </w:r>
      <w:r>
        <w:rPr/>
        <w:t>material</w:t>
      </w:r>
      <w:r>
        <w:rPr>
          <w:spacing w:val="-58"/>
        </w:rPr>
        <w:t> </w:t>
      </w:r>
      <w:r>
        <w:rPr/>
        <w:t>to select for temporary military structures for a specific mission or deployment.</w:t>
      </w:r>
      <w:r>
        <w:rPr>
          <w:spacing w:val="1"/>
        </w:rPr>
        <w:t> </w:t>
      </w:r>
      <w:r>
        <w:rPr/>
        <w:t>The axes</w:t>
      </w:r>
      <w:r>
        <w:rPr>
          <w:spacing w:val="-57"/>
        </w:rPr>
        <w:t> </w:t>
      </w:r>
      <w:r>
        <w:rPr/>
        <w:t>of</w:t>
      </w:r>
      <w:r>
        <w:rPr>
          <w:spacing w:val="-14"/>
        </w:rPr>
        <w:t> </w:t>
      </w:r>
      <w:r>
        <w:rPr/>
        <w:t>the</w:t>
      </w:r>
      <w:r>
        <w:rPr>
          <w:spacing w:val="-12"/>
        </w:rPr>
        <w:t> </w:t>
      </w:r>
      <w:r>
        <w:rPr/>
        <w:t>plot,</w:t>
      </w:r>
      <w:r>
        <w:rPr>
          <w:spacing w:val="-13"/>
        </w:rPr>
        <w:t> </w:t>
      </w:r>
      <w:r>
        <w:rPr/>
        <w:t>or</w:t>
      </w:r>
      <w:r>
        <w:rPr>
          <w:spacing w:val="-12"/>
        </w:rPr>
        <w:t> </w:t>
      </w:r>
      <w:r>
        <w:rPr/>
        <w:t>spokes,</w:t>
      </w:r>
      <w:r>
        <w:rPr>
          <w:spacing w:val="-13"/>
        </w:rPr>
        <w:t> </w:t>
      </w:r>
      <w:r>
        <w:rPr/>
        <w:t>represent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metrics</w:t>
      </w:r>
      <w:r>
        <w:rPr>
          <w:spacing w:val="-12"/>
        </w:rPr>
        <w:t> </w:t>
      </w:r>
      <w:r>
        <w:rPr/>
        <w:t>of</w:t>
      </w:r>
      <w:r>
        <w:rPr>
          <w:spacing w:val="-13"/>
        </w:rPr>
        <w:t> </w:t>
      </w:r>
      <w:r>
        <w:rPr/>
        <w:t>evaluation</w:t>
      </w:r>
      <w:r>
        <w:rPr>
          <w:spacing w:val="-13"/>
        </w:rPr>
        <w:t> </w:t>
      </w:r>
      <w:r>
        <w:rPr/>
        <w:t>criteria.</w:t>
      </w:r>
      <w:r>
        <w:rPr>
          <w:spacing w:val="36"/>
        </w:rPr>
        <w:t> </w:t>
      </w:r>
      <w:r>
        <w:rPr/>
        <w:t>The</w:t>
      </w:r>
      <w:r>
        <w:rPr>
          <w:spacing w:val="-12"/>
        </w:rPr>
        <w:t> </w:t>
      </w:r>
      <w:r>
        <w:rPr/>
        <w:t>scale</w:t>
      </w:r>
      <w:r>
        <w:rPr>
          <w:spacing w:val="-13"/>
        </w:rPr>
        <w:t> </w:t>
      </w:r>
      <w:r>
        <w:rPr/>
        <w:t>of</w:t>
      </w:r>
      <w:r>
        <w:rPr>
          <w:spacing w:val="-13"/>
        </w:rPr>
        <w:t> </w:t>
      </w:r>
      <w:r>
        <w:rPr/>
        <w:t>these</w:t>
      </w:r>
      <w:r>
        <w:rPr>
          <w:spacing w:val="-12"/>
        </w:rPr>
        <w:t> </w:t>
      </w:r>
      <w:r>
        <w:rPr/>
        <w:t>spokes</w:t>
      </w:r>
      <w:r>
        <w:rPr>
          <w:spacing w:val="-58"/>
        </w:rPr>
        <w:t> </w:t>
      </w:r>
      <w:r>
        <w:rPr/>
        <w:t>must be explained in the definition of each criteria.</w:t>
      </w:r>
      <w:r>
        <w:rPr>
          <w:spacing w:val="1"/>
        </w:rPr>
        <w:t> </w:t>
      </w:r>
      <w:r>
        <w:rPr/>
        <w:t>This explanation should include</w:t>
      </w:r>
      <w:r>
        <w:rPr>
          <w:spacing w:val="1"/>
        </w:rPr>
        <w:t> </w:t>
      </w:r>
      <w:r>
        <w:rPr/>
        <w:t>whether a data point assessed closer to the origin of the plot or further from the origin is a</w:t>
      </w:r>
      <w:r>
        <w:rPr>
          <w:spacing w:val="-57"/>
        </w:rPr>
        <w:t> </w:t>
      </w:r>
      <w:r>
        <w:rPr/>
        <w:t>positive</w:t>
      </w:r>
      <w:r>
        <w:rPr>
          <w:spacing w:val="13"/>
        </w:rPr>
        <w:t> </w:t>
      </w:r>
      <w:r>
        <w:rPr/>
        <w:t>or</w:t>
      </w:r>
      <w:r>
        <w:rPr>
          <w:spacing w:val="12"/>
        </w:rPr>
        <w:t> </w:t>
      </w:r>
      <w:r>
        <w:rPr/>
        <w:t>negative</w:t>
      </w:r>
      <w:r>
        <w:rPr>
          <w:spacing w:val="14"/>
        </w:rPr>
        <w:t> </w:t>
      </w:r>
      <w:r>
        <w:rPr/>
        <w:t>attribute;</w:t>
      </w:r>
      <w:r>
        <w:rPr>
          <w:spacing w:val="14"/>
        </w:rPr>
        <w:t> </w:t>
      </w:r>
      <w:r>
        <w:rPr/>
        <w:t>this</w:t>
      </w:r>
      <w:r>
        <w:rPr>
          <w:spacing w:val="13"/>
        </w:rPr>
        <w:t> </w:t>
      </w:r>
      <w:r>
        <w:rPr/>
        <w:t>directional</w:t>
      </w:r>
      <w:r>
        <w:rPr>
          <w:spacing w:val="15"/>
        </w:rPr>
        <w:t> </w:t>
      </w:r>
      <w:r>
        <w:rPr/>
        <w:t>assignment</w:t>
      </w:r>
      <w:r>
        <w:rPr>
          <w:spacing w:val="14"/>
        </w:rPr>
        <w:t> </w:t>
      </w:r>
      <w:r>
        <w:rPr/>
        <w:t>should</w:t>
      </w:r>
      <w:r>
        <w:rPr>
          <w:spacing w:val="13"/>
        </w:rPr>
        <w:t> </w:t>
      </w:r>
      <w:r>
        <w:rPr/>
        <w:t>be</w:t>
      </w:r>
      <w:r>
        <w:rPr>
          <w:spacing w:val="14"/>
        </w:rPr>
        <w:t> </w:t>
      </w:r>
      <w:r>
        <w:rPr/>
        <w:t>consistent</w:t>
      </w:r>
      <w:r>
        <w:rPr>
          <w:spacing w:val="14"/>
        </w:rPr>
        <w:t> </w:t>
      </w:r>
      <w:r>
        <w:rPr/>
        <w:t>for</w:t>
      </w:r>
      <w:r>
        <w:rPr>
          <w:spacing w:val="14"/>
        </w:rPr>
        <w:t> </w:t>
      </w:r>
      <w:r>
        <w:rPr/>
        <w:t>all</w:t>
      </w:r>
      <w:r>
        <w:rPr>
          <w:spacing w:val="15"/>
        </w:rPr>
        <w:t> </w:t>
      </w:r>
      <w:r>
        <w:rPr/>
        <w:t>the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440" w:right="880"/>
        </w:sectPr>
      </w:pPr>
    </w:p>
    <w:p>
      <w:pPr>
        <w:pStyle w:val="BodyText"/>
        <w:spacing w:line="480" w:lineRule="auto" w:before="78"/>
        <w:ind w:left="1720" w:right="557"/>
        <w:jc w:val="both"/>
      </w:pPr>
      <w:r>
        <w:rPr/>
        <w:t>spokes evaluated for a given decision.</w:t>
      </w:r>
      <w:r>
        <w:rPr>
          <w:spacing w:val="60"/>
        </w:rPr>
        <w:t> </w:t>
      </w:r>
      <w:r>
        <w:rPr/>
        <w:t>In the radar plot, the scale of the spoke can be set</w:t>
      </w:r>
      <w:r>
        <w:rPr>
          <w:spacing w:val="1"/>
        </w:rPr>
        <w:t> </w:t>
      </w:r>
      <w:r>
        <w:rPr/>
        <w:t>to reflect the weighting or importance value.</w:t>
      </w:r>
      <w:r>
        <w:rPr>
          <w:spacing w:val="1"/>
        </w:rPr>
        <w:t> </w:t>
      </w:r>
      <w:r>
        <w:rPr/>
        <w:t>If criteria A is twice as important as criteria</w:t>
      </w:r>
      <w:r>
        <w:rPr>
          <w:spacing w:val="1"/>
        </w:rPr>
        <w:t> </w:t>
      </w:r>
      <w:r>
        <w:rPr/>
        <w:t>B, then the assigned values relative to criteria A can simply be doubled to account for the</w:t>
      </w:r>
      <w:r>
        <w:rPr>
          <w:spacing w:val="1"/>
        </w:rPr>
        <w:t> </w:t>
      </w:r>
      <w:r>
        <w:rPr/>
        <w:t>increased</w:t>
      </w:r>
      <w:r>
        <w:rPr>
          <w:spacing w:val="-1"/>
        </w:rPr>
        <w:t> </w:t>
      </w:r>
      <w:r>
        <w:rPr/>
        <w:t>value of</w:t>
      </w:r>
      <w:r>
        <w:rPr>
          <w:spacing w:val="-1"/>
        </w:rPr>
        <w:t> </w:t>
      </w:r>
      <w:r>
        <w:rPr/>
        <w:t>that characteristic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performance.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/>
        <w:ind w:left="1719" w:right="556" w:firstLine="720"/>
        <w:jc w:val="both"/>
      </w:pPr>
      <w:r>
        <w:rPr/>
        <w:t>Each alternative, in this case each material under consideration, is then assessed a</w:t>
      </w:r>
      <w:r>
        <w:rPr>
          <w:spacing w:val="1"/>
        </w:rPr>
        <w:t> </w:t>
      </w:r>
      <w:r>
        <w:rPr/>
        <w:t>value for each of the spokes.</w:t>
      </w:r>
      <w:r>
        <w:rPr>
          <w:spacing w:val="1"/>
        </w:rPr>
        <w:t> </w:t>
      </w:r>
      <w:r>
        <w:rPr/>
        <w:t>The assessed value on each spoke can then be connected to</w:t>
      </w:r>
      <w:r>
        <w:rPr>
          <w:spacing w:val="1"/>
        </w:rPr>
        <w:t> </w:t>
      </w:r>
      <w:r>
        <w:rPr/>
        <w:t>create an area for that particular alternative on the plot, as shown in </w:t>
      </w:r>
      <w:hyperlink w:history="true" w:anchor="_bookmark215">
        <w:r>
          <w:rPr/>
          <w:t>Figure 9-4</w:t>
        </w:r>
      </w:hyperlink>
      <w:r>
        <w:rPr/>
        <w:t>.</w:t>
      </w:r>
      <w:r>
        <w:rPr>
          <w:spacing w:val="1"/>
        </w:rPr>
        <w:t> </w:t>
      </w:r>
      <w:r>
        <w:rPr/>
        <w:t>It should</w:t>
      </w:r>
      <w:r>
        <w:rPr>
          <w:spacing w:val="1"/>
        </w:rPr>
        <w:t> </w:t>
      </w:r>
      <w:r>
        <w:rPr/>
        <w:t>be</w:t>
      </w:r>
      <w:r>
        <w:rPr>
          <w:spacing w:val="-10"/>
        </w:rPr>
        <w:t> </w:t>
      </w:r>
      <w:r>
        <w:rPr/>
        <w:t>noted</w:t>
      </w:r>
      <w:r>
        <w:rPr>
          <w:spacing w:val="-10"/>
        </w:rPr>
        <w:t> </w:t>
      </w:r>
      <w:r>
        <w:rPr/>
        <w:t>that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three</w:t>
      </w:r>
      <w:r>
        <w:rPr>
          <w:spacing w:val="-9"/>
        </w:rPr>
        <w:t> </w:t>
      </w:r>
      <w:r>
        <w:rPr/>
        <w:t>material</w:t>
      </w:r>
      <w:r>
        <w:rPr>
          <w:spacing w:val="-9"/>
        </w:rPr>
        <w:t> </w:t>
      </w:r>
      <w:r>
        <w:rPr/>
        <w:t>system</w:t>
      </w:r>
      <w:r>
        <w:rPr>
          <w:spacing w:val="-10"/>
        </w:rPr>
        <w:t> </w:t>
      </w:r>
      <w:r>
        <w:rPr/>
        <w:t>options</w:t>
      </w:r>
      <w:r>
        <w:rPr>
          <w:spacing w:val="-10"/>
        </w:rPr>
        <w:t> </w:t>
      </w:r>
      <w:r>
        <w:rPr/>
        <w:t>shown</w:t>
      </w:r>
      <w:r>
        <w:rPr>
          <w:spacing w:val="-9"/>
        </w:rPr>
        <w:t> </w:t>
      </w:r>
      <w:r>
        <w:rPr/>
        <w:t>in</w:t>
      </w:r>
      <w:r>
        <w:rPr>
          <w:spacing w:val="-10"/>
        </w:rPr>
        <w:t> </w:t>
      </w:r>
      <w:r>
        <w:rPr/>
        <w:t>the</w:t>
      </w:r>
      <w:r>
        <w:rPr>
          <w:spacing w:val="-9"/>
        </w:rPr>
        <w:t> </w:t>
      </w:r>
      <w:r>
        <w:rPr/>
        <w:t>example</w:t>
      </w:r>
      <w:r>
        <w:rPr>
          <w:spacing w:val="-10"/>
        </w:rPr>
        <w:t> </w:t>
      </w:r>
      <w:r>
        <w:rPr/>
        <w:t>are</w:t>
      </w:r>
      <w:r>
        <w:rPr>
          <w:spacing w:val="-9"/>
        </w:rPr>
        <w:t> </w:t>
      </w:r>
      <w:r>
        <w:rPr/>
        <w:t>light</w:t>
      </w:r>
      <w:r>
        <w:rPr>
          <w:spacing w:val="-9"/>
        </w:rPr>
        <w:t> </w:t>
      </w:r>
      <w:r>
        <w:rPr/>
        <w:t>frame</w:t>
      </w:r>
      <w:r>
        <w:rPr>
          <w:spacing w:val="-9"/>
        </w:rPr>
        <w:t> </w:t>
      </w:r>
      <w:r>
        <w:rPr/>
        <w:t>wood,</w:t>
      </w:r>
      <w:r>
        <w:rPr>
          <w:spacing w:val="-58"/>
        </w:rPr>
        <w:t> </w:t>
      </w:r>
      <w:r>
        <w:rPr/>
        <w:t>CMU and CLT, in contrast to the options in the AHP example.</w:t>
      </w:r>
      <w:r>
        <w:rPr>
          <w:spacing w:val="1"/>
        </w:rPr>
        <w:t> </w:t>
      </w:r>
      <w:r>
        <w:rPr/>
        <w:t>The optimal decision</w:t>
      </w:r>
      <w:r>
        <w:rPr>
          <w:spacing w:val="1"/>
        </w:rPr>
        <w:t> </w:t>
      </w:r>
      <w:r>
        <w:rPr/>
        <w:t>relative to the combined evaluation criteria may either be the largest or smallest area</w:t>
      </w:r>
      <w:r>
        <w:rPr>
          <w:spacing w:val="1"/>
        </w:rPr>
        <w:t> </w:t>
      </w:r>
      <w:r>
        <w:rPr/>
        <w:t>depending on if the outward direction from the origin is determined to be a negative or</w:t>
      </w:r>
      <w:r>
        <w:rPr>
          <w:spacing w:val="1"/>
        </w:rPr>
        <w:t> </w:t>
      </w:r>
      <w:r>
        <w:rPr/>
        <w:t>positive</w:t>
      </w:r>
      <w:r>
        <w:rPr>
          <w:spacing w:val="-14"/>
        </w:rPr>
        <w:t> </w:t>
      </w:r>
      <w:r>
        <w:rPr/>
        <w:t>trait.</w:t>
      </w:r>
      <w:r>
        <w:rPr>
          <w:spacing w:val="34"/>
        </w:rPr>
        <w:t> </w:t>
      </w:r>
      <w:r>
        <w:rPr/>
        <w:t>For</w:t>
      </w:r>
      <w:r>
        <w:rPr>
          <w:spacing w:val="-14"/>
        </w:rPr>
        <w:t> </w:t>
      </w:r>
      <w:r>
        <w:rPr/>
        <w:t>comparison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alternatives,</w:t>
      </w:r>
      <w:r>
        <w:rPr>
          <w:spacing w:val="-12"/>
        </w:rPr>
        <w:t> </w:t>
      </w:r>
      <w:r>
        <w:rPr/>
        <w:t>multiple</w:t>
      </w:r>
      <w:r>
        <w:rPr>
          <w:spacing w:val="-13"/>
        </w:rPr>
        <w:t> </w:t>
      </w:r>
      <w:r>
        <w:rPr/>
        <w:t>materials</w:t>
      </w:r>
      <w:r>
        <w:rPr>
          <w:spacing w:val="-13"/>
        </w:rPr>
        <w:t> </w:t>
      </w:r>
      <w:r>
        <w:rPr/>
        <w:t>can</w:t>
      </w:r>
      <w:r>
        <w:rPr>
          <w:spacing w:val="-14"/>
        </w:rPr>
        <w:t> </w:t>
      </w:r>
      <w:r>
        <w:rPr/>
        <w:t>be</w:t>
      </w:r>
      <w:r>
        <w:rPr>
          <w:spacing w:val="-13"/>
        </w:rPr>
        <w:t> </w:t>
      </w:r>
      <w:r>
        <w:rPr/>
        <w:t>plotted</w:t>
      </w:r>
      <w:r>
        <w:rPr>
          <w:spacing w:val="-13"/>
        </w:rPr>
        <w:t> </w:t>
      </w:r>
      <w:r>
        <w:rPr/>
        <w:t>on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same</w:t>
      </w:r>
      <w:r>
        <w:rPr>
          <w:spacing w:val="-58"/>
        </w:rPr>
        <w:t> </w:t>
      </w:r>
      <w:r>
        <w:rPr/>
        <w:t>radar plot, as shown in </w:t>
      </w:r>
      <w:hyperlink w:history="true" w:anchor="_bookmark216">
        <w:r>
          <w:rPr/>
          <w:t>Figure 9-5</w:t>
        </w:r>
      </w:hyperlink>
      <w:r>
        <w:rPr/>
        <w:t>.</w:t>
      </w:r>
      <w:r>
        <w:rPr>
          <w:spacing w:val="1"/>
        </w:rPr>
        <w:t> </w:t>
      </w:r>
      <w:r>
        <w:rPr/>
        <w:t>With the comparison, the decision maker can see by</w:t>
      </w:r>
      <w:r>
        <w:rPr>
          <w:spacing w:val="1"/>
        </w:rPr>
        <w:t> </w:t>
      </w:r>
      <w:r>
        <w:rPr/>
        <w:t>inspection which alternative to select.</w:t>
      </w:r>
      <w:r>
        <w:rPr>
          <w:spacing w:val="1"/>
        </w:rPr>
        <w:t> </w:t>
      </w:r>
      <w:r>
        <w:rPr/>
        <w:t>The individual alternatives on the plot can be</w:t>
      </w:r>
      <w:r>
        <w:rPr>
          <w:spacing w:val="1"/>
        </w:rPr>
        <w:t> </w:t>
      </w:r>
      <w:r>
        <w:rPr/>
        <w:t>shaded, as shown in </w:t>
      </w:r>
      <w:hyperlink w:history="true" w:anchor="_bookmark217">
        <w:r>
          <w:rPr/>
          <w:t>Figure 9-6</w:t>
        </w:r>
      </w:hyperlink>
      <w:r>
        <w:rPr/>
        <w:t>, and approximate area calculations could be evaluated to</w:t>
      </w:r>
      <w:r>
        <w:rPr>
          <w:spacing w:val="1"/>
        </w:rPr>
        <w:t> </w:t>
      </w:r>
      <w:r>
        <w:rPr/>
        <w:t>help with the choice between alternatives.</w:t>
      </w:r>
      <w:r>
        <w:rPr>
          <w:spacing w:val="1"/>
        </w:rPr>
        <w:t> </w:t>
      </w:r>
      <w:r>
        <w:rPr/>
        <w:t>Restrictions could also be implemented, often</w:t>
      </w:r>
      <w:r>
        <w:rPr>
          <w:spacing w:val="1"/>
        </w:rPr>
        <w:t> </w:t>
      </w:r>
      <w:r>
        <w:rPr/>
        <w:t>tied to risk, such as specifying that the material cannot rate less than a 2 on the scale for</w:t>
      </w:r>
      <w:r>
        <w:rPr>
          <w:spacing w:val="1"/>
        </w:rPr>
        <w:t> </w:t>
      </w:r>
      <w:r>
        <w:rPr/>
        <w:t>protection,</w:t>
      </w:r>
      <w:r>
        <w:rPr>
          <w:spacing w:val="-1"/>
        </w:rPr>
        <w:t> </w:t>
      </w:r>
      <w:r>
        <w:rPr/>
        <w:t>both ballistic</w:t>
      </w:r>
      <w:r>
        <w:rPr>
          <w:spacing w:val="-1"/>
        </w:rPr>
        <w:t> </w:t>
      </w:r>
      <w:r>
        <w:rPr/>
        <w:t>and blast, as</w:t>
      </w:r>
      <w:r>
        <w:rPr>
          <w:spacing w:val="-1"/>
        </w:rPr>
        <w:t> </w:t>
      </w:r>
      <w:r>
        <w:rPr/>
        <w:t>shown in</w:t>
      </w:r>
      <w:r>
        <w:rPr>
          <w:spacing w:val="-1"/>
        </w:rPr>
        <w:t> </w:t>
      </w:r>
      <w:hyperlink w:history="true" w:anchor="_bookmark218">
        <w:r>
          <w:rPr/>
          <w:t>Figure 9-7</w:t>
        </w:r>
      </w:hyperlink>
      <w:r>
        <w:rPr/>
        <w:t>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440" w:right="880"/>
        </w:sectPr>
      </w:pPr>
    </w:p>
    <w:p>
      <w:pPr>
        <w:pStyle w:val="BodyText"/>
        <w:ind w:left="2648"/>
        <w:rPr>
          <w:sz w:val="20"/>
        </w:rPr>
      </w:pPr>
      <w:r>
        <w:rPr>
          <w:sz w:val="20"/>
        </w:rPr>
        <w:drawing>
          <wp:inline distT="0" distB="0" distL="0" distR="0">
            <wp:extent cx="4275459" cy="2775585"/>
            <wp:effectExtent l="0" t="0" r="0" b="0"/>
            <wp:docPr id="263" name="image4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429.png"/>
                    <pic:cNvPicPr/>
                  </pic:nvPicPr>
                  <pic:blipFill>
                    <a:blip r:embed="rId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5459" cy="2775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0"/>
        </w:rPr>
      </w:pPr>
    </w:p>
    <w:p>
      <w:pPr>
        <w:spacing w:before="0"/>
        <w:ind w:left="1720" w:right="0" w:firstLine="0"/>
        <w:jc w:val="left"/>
        <w:rPr>
          <w:i/>
          <w:sz w:val="24"/>
        </w:rPr>
      </w:pPr>
      <w:bookmarkStart w:name="_bookmark215" w:id="623"/>
      <w:bookmarkEnd w:id="623"/>
      <w:r>
        <w:rPr/>
      </w:r>
      <w:r>
        <w:rPr>
          <w:i/>
          <w:sz w:val="24"/>
        </w:rPr>
        <w:t>Figure</w:t>
      </w:r>
      <w:r>
        <w:rPr>
          <w:i/>
          <w:spacing w:val="14"/>
          <w:sz w:val="24"/>
        </w:rPr>
        <w:t> </w:t>
      </w:r>
      <w:r>
        <w:rPr>
          <w:i/>
          <w:sz w:val="24"/>
        </w:rPr>
        <w:t>9-4.</w:t>
      </w:r>
      <w:r>
        <w:rPr>
          <w:i/>
          <w:spacing w:val="13"/>
          <w:sz w:val="24"/>
        </w:rPr>
        <w:t> </w:t>
      </w:r>
      <w:r>
        <w:rPr>
          <w:i/>
          <w:sz w:val="24"/>
        </w:rPr>
        <w:t>An</w:t>
      </w:r>
      <w:r>
        <w:rPr>
          <w:i/>
          <w:spacing w:val="14"/>
          <w:sz w:val="24"/>
        </w:rPr>
        <w:t> </w:t>
      </w:r>
      <w:r>
        <w:rPr>
          <w:i/>
          <w:sz w:val="24"/>
        </w:rPr>
        <w:t>example</w:t>
      </w:r>
      <w:r>
        <w:rPr>
          <w:i/>
          <w:spacing w:val="14"/>
          <w:sz w:val="24"/>
        </w:rPr>
        <w:t> </w:t>
      </w:r>
      <w:r>
        <w:rPr>
          <w:i/>
          <w:sz w:val="24"/>
        </w:rPr>
        <w:t>radar</w:t>
      </w:r>
      <w:r>
        <w:rPr>
          <w:i/>
          <w:spacing w:val="14"/>
          <w:sz w:val="24"/>
        </w:rPr>
        <w:t> </w:t>
      </w:r>
      <w:r>
        <w:rPr>
          <w:i/>
          <w:sz w:val="24"/>
        </w:rPr>
        <w:t>plot</w:t>
      </w:r>
      <w:r>
        <w:rPr>
          <w:i/>
          <w:spacing w:val="15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14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14"/>
          <w:sz w:val="24"/>
        </w:rPr>
        <w:t> </w:t>
      </w:r>
      <w:r>
        <w:rPr>
          <w:i/>
          <w:sz w:val="24"/>
        </w:rPr>
        <w:t>single</w:t>
      </w:r>
      <w:r>
        <w:rPr>
          <w:i/>
          <w:spacing w:val="13"/>
          <w:sz w:val="24"/>
        </w:rPr>
        <w:t> </w:t>
      </w:r>
      <w:r>
        <w:rPr>
          <w:i/>
          <w:sz w:val="24"/>
        </w:rPr>
        <w:t>alternative</w:t>
      </w:r>
      <w:r>
        <w:rPr>
          <w:i/>
          <w:spacing w:val="14"/>
          <w:sz w:val="24"/>
        </w:rPr>
        <w:t> </w:t>
      </w:r>
      <w:r>
        <w:rPr>
          <w:i/>
          <w:sz w:val="24"/>
        </w:rPr>
        <w:t>is</w:t>
      </w:r>
      <w:r>
        <w:rPr>
          <w:i/>
          <w:spacing w:val="14"/>
          <w:sz w:val="24"/>
        </w:rPr>
        <w:t> </w:t>
      </w:r>
      <w:r>
        <w:rPr>
          <w:i/>
          <w:sz w:val="24"/>
        </w:rPr>
        <w:t>shown</w:t>
      </w:r>
      <w:r>
        <w:rPr>
          <w:i/>
          <w:spacing w:val="14"/>
          <w:sz w:val="24"/>
        </w:rPr>
        <w:t> </w:t>
      </w:r>
      <w:r>
        <w:rPr>
          <w:i/>
          <w:sz w:val="24"/>
        </w:rPr>
        <w:t>with</w:t>
      </w:r>
      <w:r>
        <w:rPr>
          <w:i/>
          <w:spacing w:val="14"/>
          <w:sz w:val="24"/>
        </w:rPr>
        <w:t> </w:t>
      </w:r>
      <w:r>
        <w:rPr>
          <w:i/>
          <w:sz w:val="24"/>
        </w:rPr>
        <w:t>five</w:t>
      </w:r>
      <w:r>
        <w:rPr>
          <w:i/>
          <w:spacing w:val="14"/>
          <w:sz w:val="24"/>
        </w:rPr>
        <w:t> </w:t>
      </w:r>
      <w:r>
        <w:rPr>
          <w:i/>
          <w:sz w:val="24"/>
        </w:rPr>
        <w:t>evaluation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criteria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metrics.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2"/>
        <w:rPr>
          <w:i/>
          <w:sz w:val="14"/>
        </w:rPr>
      </w:pPr>
      <w:r>
        <w:rPr/>
        <w:drawing>
          <wp:anchor distT="0" distB="0" distL="0" distR="0" allowOverlap="1" layoutInCell="1" locked="0" behindDoc="0" simplePos="0" relativeHeight="343">
            <wp:simplePos x="0" y="0"/>
            <wp:positionH relativeFrom="page">
              <wp:posOffset>1796734</wp:posOffset>
            </wp:positionH>
            <wp:positionV relativeFrom="paragraph">
              <wp:posOffset>128278</wp:posOffset>
            </wp:positionV>
            <wp:extent cx="4673785" cy="3172110"/>
            <wp:effectExtent l="0" t="0" r="0" b="0"/>
            <wp:wrapTopAndBottom/>
            <wp:docPr id="265" name="image4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430.png"/>
                    <pic:cNvPicPr/>
                  </pic:nvPicPr>
                  <pic:blipFill>
                    <a:blip r:embed="rId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3785" cy="3172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12"/>
        <w:ind w:left="1720" w:right="443" w:firstLine="0"/>
        <w:jc w:val="left"/>
        <w:rPr>
          <w:i/>
          <w:sz w:val="24"/>
        </w:rPr>
      </w:pPr>
      <w:bookmarkStart w:name="_bookmark216" w:id="624"/>
      <w:bookmarkEnd w:id="624"/>
      <w:r>
        <w:rPr/>
      </w:r>
      <w:r>
        <w:rPr>
          <w:i/>
          <w:sz w:val="24"/>
        </w:rPr>
        <w:t>Figure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9-5.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An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example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radar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plot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with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multiple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alternatives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shown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five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evaluation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criteria.</w:t>
      </w:r>
    </w:p>
    <w:p>
      <w:pPr>
        <w:spacing w:after="0"/>
        <w:jc w:val="left"/>
        <w:rPr>
          <w:sz w:val="24"/>
        </w:rPr>
        <w:sectPr>
          <w:pgSz w:w="12240" w:h="15840"/>
          <w:pgMar w:header="0" w:footer="1064" w:top="1440" w:bottom="1260" w:left="440" w:right="880"/>
        </w:sectPr>
      </w:pPr>
    </w:p>
    <w:p>
      <w:pPr>
        <w:pStyle w:val="BodyText"/>
        <w:ind w:left="1720"/>
        <w:rPr>
          <w:sz w:val="20"/>
        </w:rPr>
      </w:pPr>
      <w:r>
        <w:rPr>
          <w:sz w:val="20"/>
        </w:rPr>
        <w:drawing>
          <wp:inline distT="0" distB="0" distL="0" distR="0">
            <wp:extent cx="5537674" cy="1508759"/>
            <wp:effectExtent l="0" t="0" r="0" b="0"/>
            <wp:docPr id="267" name="image4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431.png"/>
                    <pic:cNvPicPr/>
                  </pic:nvPicPr>
                  <pic:blipFill>
                    <a:blip r:embed="rId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7674" cy="1508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158"/>
        <w:ind w:left="1720" w:right="0" w:firstLine="0"/>
        <w:jc w:val="left"/>
        <w:rPr>
          <w:i/>
          <w:sz w:val="24"/>
        </w:rPr>
      </w:pPr>
      <w:bookmarkStart w:name="_bookmark217" w:id="625"/>
      <w:bookmarkEnd w:id="625"/>
      <w:r>
        <w:rPr/>
      </w:r>
      <w:r>
        <w:rPr>
          <w:i/>
          <w:sz w:val="24"/>
        </w:rPr>
        <w:t>Figure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9-6.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An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example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shading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individual alternatives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on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SMART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plot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easier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assessment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between choices.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spacing w:after="0"/>
        <w:rPr>
          <w:sz w:val="20"/>
        </w:rPr>
        <w:sectPr>
          <w:pgSz w:w="12240" w:h="15840"/>
          <w:pgMar w:header="0" w:footer="1064" w:top="1440" w:bottom="1260" w:left="440" w:right="880"/>
        </w:sect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197"/>
        <w:ind w:left="3383"/>
      </w:pPr>
      <w:r>
        <w:rPr/>
        <w:t>Adaptability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35"/>
        </w:rPr>
      </w:pPr>
    </w:p>
    <w:p>
      <w:pPr>
        <w:pStyle w:val="BodyText"/>
        <w:ind w:left="2217"/>
      </w:pPr>
      <w:r>
        <w:rPr/>
        <w:t>Protection</w:t>
      </w:r>
      <w:r>
        <w:rPr>
          <w:spacing w:val="-4"/>
        </w:rPr>
        <w:t> </w:t>
      </w:r>
      <w:r>
        <w:rPr/>
        <w:t>(Ballistic)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0"/>
        <w:rPr>
          <w:sz w:val="33"/>
        </w:rPr>
      </w:pPr>
    </w:p>
    <w:p>
      <w:pPr>
        <w:pStyle w:val="BodyText"/>
        <w:jc w:val="right"/>
      </w:pPr>
      <w:r>
        <w:rPr/>
        <w:t>Protection</w:t>
      </w:r>
      <w:r>
        <w:rPr>
          <w:spacing w:val="-3"/>
        </w:rPr>
        <w:t> </w:t>
      </w:r>
      <w:r>
        <w:rPr/>
        <w:t>(Blast)</w:t>
      </w:r>
    </w:p>
    <w:p>
      <w:pPr>
        <w:pStyle w:val="BodyText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spacing w:line="253" w:lineRule="exact"/>
        <w:ind w:left="547"/>
      </w:pPr>
      <w:r>
        <w:rPr/>
        <w:t>Cost</w:t>
      </w:r>
    </w:p>
    <w:p>
      <w:pPr>
        <w:spacing w:line="230" w:lineRule="exact" w:before="0"/>
        <w:ind w:left="437" w:right="0" w:firstLine="0"/>
        <w:jc w:val="left"/>
        <w:rPr>
          <w:sz w:val="22"/>
        </w:rPr>
      </w:pPr>
      <w:r>
        <w:rPr/>
        <w:pict>
          <v:group style="position:absolute;margin-left:236.203995pt;margin-top:1.94541pt;width:178.65pt;height:177.25pt;mso-position-horizontal-relative:page;mso-position-vertical-relative:paragraph;z-index:-34802176" coordorigin="4724,39" coordsize="3573,3545">
            <v:shape style="position:absolute;left:6120;top:1530;width:719;height:701" type="#_x0000_t75" stroked="false">
              <v:imagedata r:id="rId444" o:title=""/>
            </v:shape>
            <v:shape style="position:absolute;left:4734;top:108;width:3492;height:3405" coordorigin="4734,108" coordsize="3492,3405" path="m6480,1183l7040,1452m7040,1452l7178,2058m7178,2058l6791,2544m6791,2544l6169,2544m6169,2544l5782,2058m5782,2058l5920,1452m5920,1452l6480,1183m6480,825l7320,1229m7320,1229l7528,2139m7528,2139l6947,2867m6947,2867l6013,2867m6013,2867l5432,2139m5432,2139l5640,1229m5640,1229l6480,825m6480,467l7600,1006m7600,1006l7877,2218m7877,2218l7102,3190m7102,3190l5858,3190m5858,3190l5083,2218m5083,2218l5360,1006m5360,1006l6480,467m6480,108l7880,783m7880,783l8226,2298m8226,2298l7258,3513m7258,3513l5702,3513m5702,3513l4734,2298m4734,2298l5080,783m5080,783l6480,108e" filled="false" stroked="true" strokeweight="1pt" strokecolor="#000000">
              <v:path arrowok="t"/>
              <v:stroke dashstyle="solid"/>
            </v:shape>
            <v:shape style="position:absolute;left:5781;top:466;width:1819;height:2079" coordorigin="5782,466" coordsize="1819,2079" path="m5920,1452l6480,466,7600,1006,7528,2139,6791,2544,6169,2544,5782,2058,5920,1452e" filled="false" stroked="true" strokeweight="3pt" strokecolor="#ed7d31">
              <v:path arrowok="t"/>
              <v:stroke dashstyle="solid"/>
            </v:shape>
            <v:shape style="position:absolute;left:6440;top:427;width:81;height:81" type="#_x0000_t75" stroked="false">
              <v:imagedata r:id="rId445" o:title=""/>
            </v:shape>
            <v:shape style="position:absolute;left:6410;top:397;width:141;height:141" type="#_x0000_t75" stroked="false">
              <v:imagedata r:id="rId446" o:title=""/>
            </v:shape>
            <v:shape style="position:absolute;left:7560;top:966;width:81;height:81" type="#_x0000_t75" stroked="false">
              <v:imagedata r:id="rId447" o:title=""/>
            </v:shape>
            <v:shape style="position:absolute;left:7530;top:936;width:141;height:141" type="#_x0000_t75" stroked="false">
              <v:imagedata r:id="rId448" o:title=""/>
            </v:shape>
            <v:shape style="position:absolute;left:7488;top:2099;width:81;height:81" type="#_x0000_t75" stroked="false">
              <v:imagedata r:id="rId447" o:title=""/>
            </v:shape>
            <v:shape style="position:absolute;left:7458;top:2069;width:141;height:141" type="#_x0000_t75" stroked="false">
              <v:imagedata r:id="rId448" o:title=""/>
            </v:shape>
            <v:shape style="position:absolute;left:6751;top:2504;width:81;height:81" type="#_x0000_t75" stroked="false">
              <v:imagedata r:id="rId449" o:title=""/>
            </v:shape>
            <v:shape style="position:absolute;left:6721;top:2474;width:141;height:141" type="#_x0000_t75" stroked="false">
              <v:imagedata r:id="rId450" o:title=""/>
            </v:shape>
            <v:shape style="position:absolute;left:6129;top:2504;width:81;height:81" type="#_x0000_t75" stroked="false">
              <v:imagedata r:id="rId449" o:title=""/>
            </v:shape>
            <v:shape style="position:absolute;left:6099;top:2474;width:141;height:141" type="#_x0000_t75" stroked="false">
              <v:imagedata r:id="rId451" o:title=""/>
            </v:shape>
            <v:shape style="position:absolute;left:5742;top:2018;width:81;height:81" type="#_x0000_t75" stroked="false">
              <v:imagedata r:id="rId445" o:title=""/>
            </v:shape>
            <v:shape style="position:absolute;left:5712;top:1988;width:141;height:141" type="#_x0000_t75" stroked="false">
              <v:imagedata r:id="rId446" o:title=""/>
            </v:shape>
            <v:shape style="position:absolute;left:5880;top:1412;width:81;height:81" type="#_x0000_t75" stroked="false">
              <v:imagedata r:id="rId449" o:title=""/>
            </v:shape>
            <v:shape style="position:absolute;left:5850;top:1382;width:141;height:141" type="#_x0000_t75" stroked="false">
              <v:imagedata r:id="rId452" o:title=""/>
            </v:shape>
            <v:shape style="position:absolute;left:5359;top:108;width:2867;height:2190" coordorigin="5360,108" coordsize="2867,2190" path="m5360,1006l6480,108,7880,783,8226,2298,6635,2221,6325,2221,6131,1979,5360,1006e" filled="false" stroked="true" strokeweight="3pt" strokecolor="#ffc000">
              <v:path arrowok="t"/>
              <v:stroke dashstyle="solid"/>
            </v:shape>
            <v:shape style="position:absolute;left:6440;top:68;width:81;height:81" type="#_x0000_t75" stroked="false">
              <v:imagedata r:id="rId453" o:title=""/>
            </v:shape>
            <v:shape style="position:absolute;left:6410;top:38;width:141;height:141" type="#_x0000_t75" stroked="false">
              <v:imagedata r:id="rId454" o:title=""/>
            </v:shape>
            <v:shape style="position:absolute;left:7840;top:743;width:81;height:81" type="#_x0000_t75" stroked="false">
              <v:imagedata r:id="rId455" o:title=""/>
            </v:shape>
            <v:shape style="position:absolute;left:7810;top:713;width:141;height:141" type="#_x0000_t75" stroked="false">
              <v:imagedata r:id="rId456" o:title=""/>
            </v:shape>
            <v:shape style="position:absolute;left:8186;top:2258;width:81;height:81" type="#_x0000_t75" stroked="false">
              <v:imagedata r:id="rId453" o:title=""/>
            </v:shape>
            <v:shape style="position:absolute;left:8156;top:2228;width:141;height:141" type="#_x0000_t75" stroked="false">
              <v:imagedata r:id="rId454" o:title=""/>
            </v:shape>
            <v:shape style="position:absolute;left:6595;top:2182;width:81;height:81" type="#_x0000_t75" stroked="false">
              <v:imagedata r:id="rId455" o:title=""/>
            </v:shape>
            <v:shape style="position:absolute;left:6565;top:2152;width:141;height:141" type="#_x0000_t75" stroked="false">
              <v:imagedata r:id="rId456" o:title=""/>
            </v:shape>
            <v:shape style="position:absolute;left:6285;top:2182;width:81;height:81" type="#_x0000_t75" stroked="false">
              <v:imagedata r:id="rId455" o:title=""/>
            </v:shape>
            <v:shape style="position:absolute;left:6255;top:2152;width:141;height:141" type="#_x0000_t75" stroked="false">
              <v:imagedata r:id="rId457" o:title=""/>
            </v:shape>
            <v:shape style="position:absolute;left:6091;top:1939;width:81;height:81" type="#_x0000_t75" stroked="false">
              <v:imagedata r:id="rId455" o:title=""/>
            </v:shape>
            <v:shape style="position:absolute;left:6061;top:1909;width:141;height:141" type="#_x0000_t75" stroked="false">
              <v:imagedata r:id="rId457" o:title=""/>
            </v:shape>
            <v:shape style="position:absolute;left:5320;top:966;width:81;height:81" type="#_x0000_t75" stroked="false">
              <v:imagedata r:id="rId458" o:title=""/>
            </v:shape>
            <v:shape style="position:absolute;left:5290;top:936;width:141;height:141" type="#_x0000_t75" stroked="false">
              <v:imagedata r:id="rId459" o:title=""/>
            </v:shape>
            <v:shape style="position:absolute;left:5359;top:1005;width:2517;height:2507" coordorigin="5360,1006" coordsize="2517,2507" path="m5360,1006l6480,1183,7040,1452,7877,2218,7256,3513,5704,3513,5432,2138,5360,1006e" filled="false" stroked="true" strokeweight="3pt" strokecolor="#70ad47">
              <v:path arrowok="t"/>
              <v:stroke dashstyle="solid"/>
            </v:shape>
            <v:shape style="position:absolute;left:6440;top:1144;width:81;height:81" type="#_x0000_t75" stroked="false">
              <v:imagedata r:id="rId460" o:title=""/>
            </v:shape>
            <v:shape style="position:absolute;left:6410;top:1114;width:141;height:141" type="#_x0000_t75" stroked="false">
              <v:imagedata r:id="rId461" o:title=""/>
            </v:shape>
            <v:shape style="position:absolute;left:7000;top:1412;width:81;height:81" type="#_x0000_t75" stroked="false">
              <v:imagedata r:id="rId462" o:title=""/>
            </v:shape>
            <v:shape style="position:absolute;left:6970;top:1382;width:141;height:141" type="#_x0000_t75" stroked="false">
              <v:imagedata r:id="rId463" o:title=""/>
            </v:shape>
            <v:shape style="position:absolute;left:7837;top:2178;width:81;height:81" type="#_x0000_t75" stroked="false">
              <v:imagedata r:id="rId462" o:title=""/>
            </v:shape>
            <v:shape style="position:absolute;left:7807;top:2148;width:141;height:141" type="#_x0000_t75" stroked="false">
              <v:imagedata r:id="rId463" o:title=""/>
            </v:shape>
            <v:shape style="position:absolute;left:7216;top:3473;width:81;height:81" type="#_x0000_t75" stroked="false">
              <v:imagedata r:id="rId462" o:title=""/>
            </v:shape>
            <v:shape style="position:absolute;left:7186;top:3443;width:141;height:141" type="#_x0000_t75" stroked="false">
              <v:imagedata r:id="rId464" o:title=""/>
            </v:shape>
            <v:shape style="position:absolute;left:5664;top:3473;width:81;height:81" type="#_x0000_t75" stroked="false">
              <v:imagedata r:id="rId462" o:title=""/>
            </v:shape>
            <v:shape style="position:absolute;left:5634;top:3443;width:141;height:141" type="#_x0000_t75" stroked="false">
              <v:imagedata r:id="rId465" o:title=""/>
            </v:shape>
            <v:shape style="position:absolute;left:5392;top:2099;width:81;height:81" type="#_x0000_t75" stroked="false">
              <v:imagedata r:id="rId466" o:title=""/>
            </v:shape>
            <v:shape style="position:absolute;left:5362;top:2069;width:141;height:141" type="#_x0000_t75" stroked="false">
              <v:imagedata r:id="rId467" o:title=""/>
            </v:shape>
            <v:shape style="position:absolute;left:5320;top:966;width:81;height:81" type="#_x0000_t75" stroked="false">
              <v:imagedata r:id="rId466" o:title=""/>
            </v:shape>
            <v:shape style="position:absolute;left:5290;top:936;width:141;height:141" type="#_x0000_t75" stroked="false">
              <v:imagedata r:id="rId467" o:title=""/>
            </v:shape>
            <w10:wrap type="none"/>
          </v:group>
        </w:pict>
      </w:r>
      <w:r>
        <w:rPr/>
        <w:pict>
          <v:group style="position:absolute;margin-left:265.469086pt;margin-top:2.89291pt;width:146.1pt;height:171.9pt;mso-position-horizontal-relative:page;mso-position-vertical-relative:paragraph;z-index:15906816" coordorigin="5309,58" coordsize="2922,3438">
            <v:shape style="position:absolute;left:5340;top:883;width:2494;height:2602" coordorigin="5341,883" coordsize="2494,2602" path="m5341,883l5431,2055,5690,3485,7227,3472,7834,2164,6994,1346,6452,1074,5341,883xe" filled="true" fillcolor="#70ad47" stroked="false">
              <v:path arrowok="t"/>
              <v:fill opacity="46003f" type="solid"/>
            </v:shape>
            <v:shape style="position:absolute;left:5340;top:883;width:2494;height:2602" coordorigin="5341,883" coordsize="2494,2602" path="m5341,883l6452,1074,6994,1346,7834,2164,7227,3472,5690,3485,5431,2055,5341,883xe" filled="false" stroked="true" strokeweight="1pt" strokecolor="#70ad47">
              <v:path arrowok="t"/>
              <v:stroke dashstyle="solid"/>
            </v:shape>
            <v:shape style="position:absolute;left:5319;top:67;width:2902;height:2171" coordorigin="5319,68" coordsize="2902,2171" path="m6438,68l5319,988,6094,1896,6291,2144,6598,2144,8221,2239,7877,752,6438,68xe" filled="true" fillcolor="#ffd966" stroked="false">
              <v:path arrowok="t"/>
              <v:fill opacity="46003f" type="solid"/>
            </v:shape>
            <v:shape style="position:absolute;left:5319;top:67;width:2902;height:2171" coordorigin="5319,68" coordsize="2902,2171" path="m6438,68l7877,752,8221,2239,6598,2144,6291,2144,6094,1896,5319,988,6438,68xe" filled="false" stroked="true" strokeweight="1pt" strokecolor="#ffd966">
              <v:path arrowok="t"/>
              <v:stroke dashstyle="solid"/>
            </v:shape>
            <v:shape style="position:absolute;left:5757;top:1821;width:687;height:752" type="#_x0000_t75" stroked="false">
              <v:imagedata r:id="rId468" o:title=""/>
            </v:shape>
            <v:shape style="position:absolute;left:5757;top:1821;width:687;height:752" coordorigin="5757,1821" coordsize="687,752" path="m5757,2004l6165,2573,6444,1821,5757,2004xe" filled="false" stroked="true" strokeweight="1pt" strokecolor="#ff0000">
              <v:path arrowok="t"/>
              <v:stroke dashstyle="solid"/>
            </v:shape>
            <w10:wrap type="none"/>
          </v:group>
        </w:pict>
      </w:r>
      <w:r>
        <w:rPr>
          <w:w w:val="99"/>
          <w:sz w:val="22"/>
        </w:rPr>
        <w:t>5</w:t>
      </w:r>
    </w:p>
    <w:p>
      <w:pPr>
        <w:spacing w:before="105"/>
        <w:ind w:left="0" w:right="0" w:firstLine="0"/>
        <w:jc w:val="center"/>
        <w:rPr>
          <w:sz w:val="22"/>
        </w:rPr>
      </w:pPr>
      <w:r>
        <w:rPr>
          <w:w w:val="99"/>
          <w:sz w:val="22"/>
        </w:rPr>
        <w:t>4</w:t>
      </w:r>
    </w:p>
    <w:p>
      <w:pPr>
        <w:spacing w:before="105"/>
        <w:ind w:left="0" w:right="0" w:firstLine="0"/>
        <w:jc w:val="center"/>
        <w:rPr>
          <w:sz w:val="22"/>
        </w:rPr>
      </w:pPr>
      <w:r>
        <w:rPr>
          <w:w w:val="99"/>
          <w:sz w:val="22"/>
        </w:rPr>
        <w:t>3</w:t>
      </w:r>
    </w:p>
    <w:p>
      <w:pPr>
        <w:spacing w:before="105"/>
        <w:ind w:left="0" w:right="0" w:firstLine="0"/>
        <w:jc w:val="center"/>
        <w:rPr>
          <w:sz w:val="22"/>
        </w:rPr>
      </w:pPr>
      <w:r>
        <w:rPr>
          <w:w w:val="99"/>
          <w:sz w:val="22"/>
        </w:rPr>
        <w:t>2</w:t>
      </w:r>
    </w:p>
    <w:p>
      <w:pPr>
        <w:spacing w:before="105"/>
        <w:ind w:left="0" w:right="0" w:firstLine="0"/>
        <w:jc w:val="center"/>
        <w:rPr>
          <w:sz w:val="22"/>
        </w:rPr>
      </w:pPr>
      <w:r>
        <w:rPr>
          <w:w w:val="99"/>
          <w:sz w:val="22"/>
        </w:rPr>
        <w:t>1</w:t>
      </w:r>
    </w:p>
    <w:p>
      <w:pPr>
        <w:spacing w:before="106"/>
        <w:ind w:left="0" w:right="0" w:firstLine="0"/>
        <w:jc w:val="center"/>
        <w:rPr>
          <w:sz w:val="22"/>
        </w:rPr>
      </w:pPr>
      <w:r>
        <w:rPr>
          <w:w w:val="99"/>
          <w:sz w:val="22"/>
        </w:rPr>
        <w:t>0</w:t>
      </w:r>
    </w:p>
    <w:p>
      <w:pPr>
        <w:pStyle w:val="BodyText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97"/>
        <w:ind w:left="1196"/>
      </w:pPr>
      <w:r>
        <w:rPr/>
        <w:t>Logistics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3"/>
        </w:rPr>
      </w:pPr>
    </w:p>
    <w:p>
      <w:pPr>
        <w:pStyle w:val="BodyText"/>
        <w:ind w:left="1555" w:right="1570" w:firstLine="1"/>
        <w:jc w:val="center"/>
      </w:pPr>
      <w:r>
        <w:rPr/>
        <w:t>Rapid</w:t>
      </w:r>
      <w:r>
        <w:rPr>
          <w:spacing w:val="1"/>
        </w:rPr>
        <w:t> </w:t>
      </w:r>
      <w:r>
        <w:rPr>
          <w:spacing w:val="-1"/>
        </w:rPr>
        <w:t>constructability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0"/>
        <w:rPr>
          <w:sz w:val="21"/>
        </w:rPr>
      </w:pPr>
    </w:p>
    <w:p>
      <w:pPr>
        <w:pStyle w:val="BodyText"/>
        <w:ind w:left="548"/>
      </w:pPr>
      <w:r>
        <w:rPr/>
        <w:t>Energy</w:t>
      </w:r>
      <w:r>
        <w:rPr>
          <w:spacing w:val="-3"/>
        </w:rPr>
        <w:t> </w:t>
      </w:r>
      <w:r>
        <w:rPr/>
        <w:t>Efficiency</w:t>
      </w:r>
    </w:p>
    <w:p>
      <w:pPr>
        <w:spacing w:after="0"/>
        <w:sectPr>
          <w:type w:val="continuous"/>
          <w:pgSz w:w="12240" w:h="15840"/>
          <w:pgMar w:top="1380" w:bottom="280" w:left="440" w:right="880"/>
          <w:cols w:num="3" w:equalWidth="0">
            <w:col w:w="5233" w:space="40"/>
            <w:col w:w="988" w:space="39"/>
            <w:col w:w="462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3"/>
        </w:rPr>
      </w:pPr>
    </w:p>
    <w:p>
      <w:pPr>
        <w:pStyle w:val="BodyText"/>
        <w:tabs>
          <w:tab w:pos="6290" w:val="left" w:leader="none"/>
          <w:tab w:pos="8293" w:val="left" w:leader="none"/>
        </w:tabs>
        <w:spacing w:before="90"/>
        <w:ind w:left="3615"/>
      </w:pPr>
      <w:r>
        <w:rPr/>
        <w:pict>
          <v:group style="position:absolute;margin-left:181.538498pt;margin-top:8.460314pt;width:19.2pt;height:7.05pt;mso-position-horizontal-relative:page;mso-position-vertical-relative:paragraph;z-index:15905280" coordorigin="3631,169" coordsize="384,141">
            <v:line style="position:absolute" from="3631,240" to="4015,240" stroked="true" strokeweight="3pt" strokecolor="#ed7d31">
              <v:stroke dashstyle="solid"/>
            </v:line>
            <v:shape style="position:absolute;left:3782;top:199;width:81;height:81" type="#_x0000_t75" stroked="false">
              <v:imagedata r:id="rId449" o:title=""/>
            </v:shape>
            <v:shape style="position:absolute;left:3782;top:199;width:81;height:81" coordorigin="3782,199" coordsize="81,81" path="m3863,239l3860,255,3851,268,3838,276,3823,280,3807,276,3794,268,3786,255,3782,239,3786,224,3794,211,3807,202,3823,199,3838,202,3851,211,3860,224,3863,239xe" filled="false" stroked="true" strokeweight="3pt" strokecolor="#e87a30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315.323486pt;margin-top:8.460314pt;width:19.2pt;height:7.05pt;mso-position-horizontal-relative:page;mso-position-vertical-relative:paragraph;z-index:-34801152" coordorigin="6306,169" coordsize="384,141">
            <v:line style="position:absolute" from="6306,240" to="6690,240" stroked="true" strokeweight="3pt" strokecolor="#ffc000">
              <v:stroke dashstyle="solid"/>
            </v:line>
            <v:shape style="position:absolute;left:6458;top:199;width:81;height:81" type="#_x0000_t75" stroked="false">
              <v:imagedata r:id="rId455" o:title=""/>
            </v:shape>
            <v:shape style="position:absolute;left:6458;top:199;width:81;height:81" coordorigin="6458,199" coordsize="81,81" path="m6539,239l6536,255,6527,268,6514,276,6499,280,6483,276,6470,268,6462,255,6458,239,6462,224,6470,211,6483,202,6499,199,6514,202,6527,211,6536,224,6539,239xe" filled="false" stroked="true" strokeweight="3pt" strokecolor="#f9bc00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415.433411pt;margin-top:8.460314pt;width:19.2pt;height:7.05pt;mso-position-horizontal-relative:page;mso-position-vertical-relative:paragraph;z-index:-34800640" coordorigin="8309,169" coordsize="384,141">
            <v:line style="position:absolute" from="8309,240" to="8693,240" stroked="true" strokeweight="3pt" strokecolor="#70ad47">
              <v:stroke dashstyle="solid"/>
            </v:line>
            <v:shape style="position:absolute;left:8460;top:199;width:81;height:81" type="#_x0000_t75" stroked="false">
              <v:imagedata r:id="rId462" o:title=""/>
            </v:shape>
            <v:shape style="position:absolute;left:8460;top:199;width:81;height:81" coordorigin="8460,199" coordsize="81,81" path="m8540,239l8537,255,8529,268,8516,276,8500,280,8485,276,8472,268,8463,255,8460,239,8463,224,8472,211,8485,202,8500,199,8516,202,8529,211,8537,224,8540,239xe" filled="false" stroked="true" strokeweight="3pt" strokecolor="#6da945">
              <v:path arrowok="t"/>
              <v:stroke dashstyle="solid"/>
            </v:shape>
            <w10:wrap type="none"/>
          </v:group>
        </w:pict>
      </w:r>
      <w:r>
        <w:rPr/>
        <w:t>Light</w:t>
      </w:r>
      <w:r>
        <w:rPr>
          <w:spacing w:val="-2"/>
        </w:rPr>
        <w:t> </w:t>
      </w:r>
      <w:r>
        <w:rPr/>
        <w:t>wood</w:t>
        <w:tab/>
        <w:t>Tent</w:t>
        <w:tab/>
        <w:t>CLT</w:t>
      </w:r>
    </w:p>
    <w:p>
      <w:pPr>
        <w:pStyle w:val="BodyText"/>
        <w:spacing w:before="10"/>
        <w:rPr>
          <w:sz w:val="18"/>
        </w:rPr>
      </w:pPr>
    </w:p>
    <w:p>
      <w:pPr>
        <w:spacing w:before="90"/>
        <w:ind w:left="1720" w:right="828" w:firstLine="0"/>
        <w:jc w:val="left"/>
        <w:rPr>
          <w:i/>
          <w:sz w:val="24"/>
        </w:rPr>
      </w:pPr>
      <w:bookmarkStart w:name="_bookmark218" w:id="626"/>
      <w:bookmarkEnd w:id="626"/>
      <w:r>
        <w:rPr/>
      </w:r>
      <w:r>
        <w:rPr>
          <w:i/>
          <w:sz w:val="24"/>
        </w:rPr>
        <w:t>Figure 9-7. An example of a restriction applied to the SMART plot; this case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demonstrates that the Protection (Blast) and Protection (Ballistic) criteria must have a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rating of 2 or higher for the material system to be in considerations.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The red hash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marked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area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represents the restriction.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Heading9"/>
        <w:numPr>
          <w:ilvl w:val="1"/>
          <w:numId w:val="28"/>
        </w:numPr>
        <w:tabs>
          <w:tab w:pos="2080" w:val="left" w:leader="none"/>
        </w:tabs>
        <w:spacing w:line="240" w:lineRule="auto" w:before="221" w:after="0"/>
        <w:ind w:left="2080" w:right="0" w:hanging="360"/>
        <w:jc w:val="left"/>
      </w:pPr>
      <w:bookmarkStart w:name="_TOC_250005" w:id="627"/>
      <w:bookmarkStart w:name="9.5 Summary" w:id="628"/>
      <w:r>
        <w:rPr>
          <w:b w:val="0"/>
        </w:rPr>
      </w:r>
      <w:bookmarkEnd w:id="628"/>
      <w:bookmarkStart w:name="9.5 Summary" w:id="629"/>
      <w:r>
        <w:rPr/>
        <w:t>S</w:t>
      </w:r>
      <w:bookmarkEnd w:id="627"/>
      <w:r>
        <w:rPr/>
        <w:t>ummary</w:t>
      </w:r>
    </w:p>
    <w:p>
      <w:pPr>
        <w:pStyle w:val="BodyText"/>
        <w:spacing w:line="480" w:lineRule="auto" w:before="139"/>
        <w:ind w:left="1720" w:firstLine="720"/>
      </w:pPr>
      <w:r>
        <w:rPr/>
        <w:t>Construction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temporary</w:t>
      </w:r>
      <w:r>
        <w:rPr>
          <w:spacing w:val="2"/>
        </w:rPr>
        <w:t> </w:t>
      </w:r>
      <w:r>
        <w:rPr/>
        <w:t>military</w:t>
      </w:r>
      <w:r>
        <w:rPr>
          <w:spacing w:val="1"/>
        </w:rPr>
        <w:t> </w:t>
      </w:r>
      <w:r>
        <w:rPr/>
        <w:t>structures out</w:t>
      </w:r>
      <w:r>
        <w:rPr>
          <w:spacing w:val="3"/>
        </w:rPr>
        <w:t> </w:t>
      </w:r>
      <w:r>
        <w:rPr/>
        <w:t>of</w:t>
      </w:r>
      <w:r>
        <w:rPr>
          <w:spacing w:val="1"/>
        </w:rPr>
        <w:t> </w:t>
      </w:r>
      <w:r>
        <w:rPr/>
        <w:t>CLT</w:t>
      </w:r>
      <w:r>
        <w:rPr>
          <w:spacing w:val="2"/>
        </w:rPr>
        <w:t> </w:t>
      </w:r>
      <w:r>
        <w:rPr/>
        <w:t>would</w:t>
      </w:r>
      <w:r>
        <w:rPr>
          <w:spacing w:val="2"/>
        </w:rPr>
        <w:t> </w:t>
      </w:r>
      <w:r>
        <w:rPr/>
        <w:t>be</w:t>
      </w:r>
      <w:r>
        <w:rPr>
          <w:spacing w:val="1"/>
        </w:rPr>
        <w:t> </w:t>
      </w:r>
      <w:r>
        <w:rPr/>
        <w:t>a</w:t>
      </w:r>
      <w:r>
        <w:rPr>
          <w:spacing w:val="2"/>
        </w:rPr>
        <w:t> </w:t>
      </w:r>
      <w:r>
        <w:rPr/>
        <w:t>change</w:t>
      </w:r>
      <w:r>
        <w:rPr>
          <w:spacing w:val="2"/>
        </w:rPr>
        <w:t> </w:t>
      </w:r>
      <w:r>
        <w:rPr/>
        <w:t>from</w:t>
      </w:r>
      <w:r>
        <w:rPr>
          <w:spacing w:val="-57"/>
        </w:rPr>
        <w:t> </w:t>
      </w:r>
      <w:r>
        <w:rPr/>
        <w:t>current</w:t>
      </w:r>
      <w:r>
        <w:rPr>
          <w:spacing w:val="-1"/>
        </w:rPr>
        <w:t> </w:t>
      </w:r>
      <w:r>
        <w:rPr/>
        <w:t>practices.  Such a</w:t>
      </w:r>
      <w:r>
        <w:rPr>
          <w:spacing w:val="-1"/>
        </w:rPr>
        <w:t> </w:t>
      </w:r>
      <w:r>
        <w:rPr/>
        <w:t>change would require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critical assessment and decision making</w:t>
      </w:r>
    </w:p>
    <w:p>
      <w:pPr>
        <w:spacing w:after="0" w:line="480" w:lineRule="auto"/>
        <w:sectPr>
          <w:type w:val="continuous"/>
          <w:pgSz w:w="12240" w:h="15840"/>
          <w:pgMar w:top="1380" w:bottom="280" w:left="440" w:right="880"/>
        </w:sectPr>
      </w:pPr>
    </w:p>
    <w:p>
      <w:pPr>
        <w:pStyle w:val="BodyText"/>
        <w:spacing w:line="480" w:lineRule="auto" w:before="78"/>
        <w:ind w:left="1719" w:right="556"/>
        <w:jc w:val="both"/>
      </w:pPr>
      <w:r>
        <w:rPr/>
        <w:t>process.</w:t>
      </w:r>
      <w:r>
        <w:rPr>
          <w:spacing w:val="1"/>
        </w:rPr>
        <w:t> </w:t>
      </w:r>
      <w:r>
        <w:rPr/>
        <w:t>Many approaches and processes exist to model complex multi-criterion decision</w:t>
      </w:r>
      <w:r>
        <w:rPr>
          <w:spacing w:val="-57"/>
        </w:rPr>
        <w:t> </w:t>
      </w:r>
      <w:r>
        <w:rPr/>
        <w:t>making.</w:t>
      </w:r>
      <w:r>
        <w:rPr>
          <w:spacing w:val="1"/>
        </w:rPr>
        <w:t> </w:t>
      </w:r>
      <w:r>
        <w:rPr/>
        <w:t>Construction is one of many fields that employ a variety of tools related to risk</w:t>
      </w:r>
      <w:r>
        <w:rPr>
          <w:spacing w:val="1"/>
        </w:rPr>
        <w:t> </w:t>
      </w:r>
      <w:r>
        <w:rPr/>
        <w:t>assessment and decisions related to project selection or other aspects of design with</w:t>
      </w:r>
      <w:r>
        <w:rPr>
          <w:spacing w:val="1"/>
        </w:rPr>
        <w:t> </w:t>
      </w:r>
      <w:r>
        <w:rPr/>
        <w:t>multiple contributing factors.</w:t>
      </w:r>
      <w:r>
        <w:rPr>
          <w:spacing w:val="1"/>
        </w:rPr>
        <w:t> </w:t>
      </w:r>
      <w:r>
        <w:rPr/>
        <w:t>Analytic hierarchy process is a commonly used approach</w:t>
      </w:r>
      <w:r>
        <w:rPr>
          <w:spacing w:val="1"/>
        </w:rPr>
        <w:t> </w:t>
      </w:r>
      <w:r>
        <w:rPr/>
        <w:t>and</w:t>
      </w:r>
      <w:r>
        <w:rPr>
          <w:spacing w:val="-10"/>
        </w:rPr>
        <w:t> </w:t>
      </w:r>
      <w:r>
        <w:rPr/>
        <w:t>could</w:t>
      </w:r>
      <w:r>
        <w:rPr>
          <w:spacing w:val="-9"/>
        </w:rPr>
        <w:t> </w:t>
      </w:r>
      <w:r>
        <w:rPr/>
        <w:t>be</w:t>
      </w:r>
      <w:r>
        <w:rPr>
          <w:spacing w:val="-10"/>
        </w:rPr>
        <w:t> </w:t>
      </w:r>
      <w:r>
        <w:rPr/>
        <w:t>applied</w:t>
      </w:r>
      <w:r>
        <w:rPr>
          <w:spacing w:val="-9"/>
        </w:rPr>
        <w:t> </w:t>
      </w:r>
      <w:r>
        <w:rPr/>
        <w:t>to</w:t>
      </w:r>
      <w:r>
        <w:rPr>
          <w:spacing w:val="-10"/>
        </w:rPr>
        <w:t> </w:t>
      </w:r>
      <w:r>
        <w:rPr/>
        <w:t>the</w:t>
      </w:r>
      <w:r>
        <w:rPr>
          <w:spacing w:val="-8"/>
        </w:rPr>
        <w:t> </w:t>
      </w:r>
      <w:r>
        <w:rPr/>
        <w:t>decision</w:t>
      </w:r>
      <w:r>
        <w:rPr>
          <w:spacing w:val="-9"/>
        </w:rPr>
        <w:t> </w:t>
      </w:r>
      <w:r>
        <w:rPr/>
        <w:t>of</w:t>
      </w:r>
      <w:r>
        <w:rPr>
          <w:spacing w:val="-8"/>
        </w:rPr>
        <w:t> </w:t>
      </w:r>
      <w:r>
        <w:rPr/>
        <w:t>material</w:t>
      </w:r>
      <w:r>
        <w:rPr>
          <w:spacing w:val="-9"/>
        </w:rPr>
        <w:t> </w:t>
      </w:r>
      <w:r>
        <w:rPr/>
        <w:t>selection</w:t>
      </w:r>
      <w:r>
        <w:rPr>
          <w:spacing w:val="-9"/>
        </w:rPr>
        <w:t> </w:t>
      </w:r>
      <w:r>
        <w:rPr/>
        <w:t>for</w:t>
      </w:r>
      <w:r>
        <w:rPr>
          <w:spacing w:val="-8"/>
        </w:rPr>
        <w:t> </w:t>
      </w:r>
      <w:r>
        <w:rPr/>
        <w:t>temporary</w:t>
      </w:r>
      <w:r>
        <w:rPr>
          <w:spacing w:val="-7"/>
        </w:rPr>
        <w:t> </w:t>
      </w:r>
      <w:r>
        <w:rPr/>
        <w:t>military</w:t>
      </w:r>
      <w:r>
        <w:rPr>
          <w:spacing w:val="-9"/>
        </w:rPr>
        <w:t> </w:t>
      </w:r>
      <w:r>
        <w:rPr/>
        <w:t>structures.</w:t>
      </w:r>
      <w:r>
        <w:rPr>
          <w:spacing w:val="-58"/>
        </w:rPr>
        <w:t> </w:t>
      </w:r>
      <w:r>
        <w:rPr/>
        <w:t>SMART, a simplified tool, was developed for material selection decision using a radar</w:t>
      </w:r>
      <w:r>
        <w:rPr>
          <w:spacing w:val="1"/>
        </w:rPr>
        <w:t> </w:t>
      </w:r>
      <w:r>
        <w:rPr/>
        <w:t>chart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provide</w:t>
      </w:r>
      <w:r>
        <w:rPr>
          <w:spacing w:val="-2"/>
        </w:rPr>
        <w:t> </w:t>
      </w:r>
      <w:r>
        <w:rPr/>
        <w:t>a</w:t>
      </w:r>
      <w:r>
        <w:rPr>
          <w:spacing w:val="-4"/>
        </w:rPr>
        <w:t> </w:t>
      </w:r>
      <w:r>
        <w:rPr/>
        <w:t>visual</w:t>
      </w:r>
      <w:r>
        <w:rPr>
          <w:spacing w:val="-3"/>
        </w:rPr>
        <w:t> </w:t>
      </w:r>
      <w:r>
        <w:rPr/>
        <w:t>model</w:t>
      </w:r>
      <w:r>
        <w:rPr>
          <w:spacing w:val="-2"/>
        </w:rPr>
        <w:t> </w:t>
      </w:r>
      <w:r>
        <w:rPr/>
        <w:t>for</w:t>
      </w:r>
      <w:r>
        <w:rPr>
          <w:spacing w:val="-2"/>
        </w:rPr>
        <w:t> </w:t>
      </w:r>
      <w:r>
        <w:rPr/>
        <w:t>military</w:t>
      </w:r>
      <w:r>
        <w:rPr>
          <w:spacing w:val="-4"/>
        </w:rPr>
        <w:t> </w:t>
      </w:r>
      <w:r>
        <w:rPr/>
        <w:t>decision</w:t>
      </w:r>
      <w:r>
        <w:rPr>
          <w:spacing w:val="-4"/>
        </w:rPr>
        <w:t> </w:t>
      </w:r>
      <w:r>
        <w:rPr/>
        <w:t>makers</w:t>
      </w:r>
      <w:r>
        <w:rPr>
          <w:spacing w:val="-2"/>
        </w:rPr>
        <w:t> </w:t>
      </w:r>
      <w:r>
        <w:rPr/>
        <w:t>based</w:t>
      </w:r>
      <w:r>
        <w:rPr>
          <w:spacing w:val="-3"/>
        </w:rPr>
        <w:t> </w:t>
      </w:r>
      <w:r>
        <w:rPr/>
        <w:t>on</w:t>
      </w:r>
      <w:r>
        <w:rPr>
          <w:spacing w:val="-4"/>
        </w:rPr>
        <w:t> </w:t>
      </w:r>
      <w:r>
        <w:rPr/>
        <w:t>multiple</w:t>
      </w:r>
      <w:r>
        <w:rPr>
          <w:spacing w:val="-4"/>
        </w:rPr>
        <w:t> </w:t>
      </w:r>
      <w:r>
        <w:rPr/>
        <w:t>criteria</w:t>
      </w:r>
      <w:r>
        <w:rPr>
          <w:spacing w:val="-5"/>
        </w:rPr>
        <w:t> </w:t>
      </w:r>
      <w:r>
        <w:rPr/>
        <w:t>and</w:t>
      </w:r>
      <w:r>
        <w:rPr>
          <w:spacing w:val="-58"/>
        </w:rPr>
        <w:t> </w:t>
      </w:r>
      <w:r>
        <w:rPr/>
        <w:t>potential options for construction materials.</w:t>
      </w:r>
      <w:r>
        <w:rPr>
          <w:spacing w:val="1"/>
        </w:rPr>
        <w:t> </w:t>
      </w:r>
      <w:r>
        <w:rPr/>
        <w:t>The evaluation criteria are one of the most</w:t>
      </w:r>
      <w:r>
        <w:rPr>
          <w:spacing w:val="1"/>
        </w:rPr>
        <w:t> </w:t>
      </w:r>
      <w:r>
        <w:rPr/>
        <w:t>important aspects of a decision as they shape the conclusion.</w:t>
      </w:r>
      <w:r>
        <w:rPr>
          <w:spacing w:val="1"/>
        </w:rPr>
        <w:t> </w:t>
      </w:r>
      <w:r>
        <w:rPr/>
        <w:t>The criterion must be</w:t>
      </w:r>
      <w:r>
        <w:rPr>
          <w:spacing w:val="1"/>
        </w:rPr>
        <w:t> </w:t>
      </w:r>
      <w:r>
        <w:rPr/>
        <w:t>thoroughly</w:t>
      </w:r>
      <w:r>
        <w:rPr>
          <w:spacing w:val="-13"/>
        </w:rPr>
        <w:t> </w:t>
      </w:r>
      <w:r>
        <w:rPr/>
        <w:t>defined</w:t>
      </w:r>
      <w:r>
        <w:rPr>
          <w:spacing w:val="-12"/>
        </w:rPr>
        <w:t> </w:t>
      </w:r>
      <w:r>
        <w:rPr/>
        <w:t>and</w:t>
      </w:r>
      <w:r>
        <w:rPr>
          <w:spacing w:val="-12"/>
        </w:rPr>
        <w:t> </w:t>
      </w:r>
      <w:r>
        <w:rPr/>
        <w:t>then</w:t>
      </w:r>
      <w:r>
        <w:rPr>
          <w:spacing w:val="-12"/>
        </w:rPr>
        <w:t> </w:t>
      </w:r>
      <w:r>
        <w:rPr/>
        <w:t>methodologies</w:t>
      </w:r>
      <w:r>
        <w:rPr>
          <w:spacing w:val="-14"/>
        </w:rPr>
        <w:t> </w:t>
      </w:r>
      <w:r>
        <w:rPr/>
        <w:t>and</w:t>
      </w:r>
      <w:r>
        <w:rPr>
          <w:spacing w:val="-13"/>
        </w:rPr>
        <w:t> </w:t>
      </w:r>
      <w:r>
        <w:rPr/>
        <w:t>metrics</w:t>
      </w:r>
      <w:r>
        <w:rPr>
          <w:spacing w:val="-12"/>
        </w:rPr>
        <w:t> </w:t>
      </w:r>
      <w:r>
        <w:rPr/>
        <w:t>to</w:t>
      </w:r>
      <w:r>
        <w:rPr>
          <w:spacing w:val="-12"/>
        </w:rPr>
        <w:t> </w:t>
      </w:r>
      <w:r>
        <w:rPr/>
        <w:t>assess</w:t>
      </w:r>
      <w:r>
        <w:rPr>
          <w:spacing w:val="-12"/>
        </w:rPr>
        <w:t> </w:t>
      </w:r>
      <w:r>
        <w:rPr/>
        <w:t>and</w:t>
      </w:r>
      <w:r>
        <w:rPr>
          <w:spacing w:val="-13"/>
        </w:rPr>
        <w:t> </w:t>
      </w:r>
      <w:r>
        <w:rPr/>
        <w:t>evaluate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potential</w:t>
      </w:r>
      <w:r>
        <w:rPr>
          <w:spacing w:val="-58"/>
        </w:rPr>
        <w:t> </w:t>
      </w:r>
      <w:r>
        <w:rPr/>
        <w:t>choices should also be outlined.</w:t>
      </w:r>
      <w:r>
        <w:rPr>
          <w:spacing w:val="1"/>
        </w:rPr>
        <w:t> </w:t>
      </w:r>
      <w:r>
        <w:rPr/>
        <w:t>Selection of a material for temporary military structures</w:t>
      </w:r>
      <w:r>
        <w:rPr>
          <w:spacing w:val="1"/>
        </w:rPr>
        <w:t> </w:t>
      </w:r>
      <w:r>
        <w:rPr/>
        <w:t>should include cost, logistical considerations, energy efficiency, blast protection, ballistic</w:t>
      </w:r>
      <w:r>
        <w:rPr>
          <w:spacing w:val="1"/>
        </w:rPr>
        <w:t> </w:t>
      </w:r>
      <w:r>
        <w:rPr/>
        <w:t>protection,</w:t>
      </w:r>
      <w:r>
        <w:rPr>
          <w:spacing w:val="-3"/>
        </w:rPr>
        <w:t> </w:t>
      </w:r>
      <w:r>
        <w:rPr/>
        <w:t>rapid constructability, and adaptability.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440" w:right="880"/>
        </w:sectPr>
      </w:pPr>
    </w:p>
    <w:p>
      <w:pPr>
        <w:pStyle w:val="Heading4"/>
        <w:spacing w:line="259" w:lineRule="auto"/>
        <w:ind w:left="5090" w:right="3929" w:hanging="79"/>
      </w:pPr>
      <w:bookmarkStart w:name="_TOC_250004" w:id="630"/>
      <w:bookmarkStart w:name="Chapter 10" w:id="631"/>
      <w:r>
        <w:rPr>
          <w:b w:val="0"/>
        </w:rPr>
      </w:r>
      <w:r>
        <w:rPr/>
        <w:t>CHAPTER 10</w:t>
      </w:r>
      <w:r>
        <w:rPr>
          <w:spacing w:val="1"/>
        </w:rPr>
        <w:t> </w:t>
      </w:r>
      <w:bookmarkEnd w:id="630"/>
      <w:r>
        <w:rPr>
          <w:spacing w:val="-1"/>
        </w:rPr>
        <w:t>CONCLUSION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Heading9"/>
        <w:numPr>
          <w:ilvl w:val="1"/>
          <w:numId w:val="29"/>
        </w:numPr>
        <w:tabs>
          <w:tab w:pos="2200" w:val="left" w:leader="none"/>
        </w:tabs>
        <w:spacing w:line="240" w:lineRule="auto" w:before="228" w:after="0"/>
        <w:ind w:left="2200" w:right="0" w:hanging="480"/>
        <w:jc w:val="both"/>
      </w:pPr>
      <w:bookmarkStart w:name="_TOC_250003" w:id="632"/>
      <w:bookmarkStart w:name="10.1 Summary" w:id="633"/>
      <w:r>
        <w:rPr>
          <w:b w:val="0"/>
        </w:rPr>
      </w:r>
      <w:bookmarkEnd w:id="633"/>
      <w:bookmarkStart w:name="10.1 Summary" w:id="634"/>
      <w:r>
        <w:rPr/>
        <w:t>S</w:t>
      </w:r>
      <w:bookmarkEnd w:id="632"/>
      <w:r>
        <w:rPr/>
        <w:t>ummary</w:t>
      </w:r>
    </w:p>
    <w:p>
      <w:pPr>
        <w:pStyle w:val="BodyText"/>
        <w:spacing w:before="6"/>
        <w:rPr>
          <w:b/>
          <w:sz w:val="22"/>
        </w:rPr>
      </w:pPr>
    </w:p>
    <w:p>
      <w:pPr>
        <w:pStyle w:val="BodyText"/>
        <w:spacing w:line="480" w:lineRule="auto"/>
        <w:ind w:left="1720" w:right="557" w:firstLine="360"/>
        <w:jc w:val="both"/>
      </w:pPr>
      <w:r>
        <w:rPr/>
        <w:t>CLT is an emerging construction material with significant potential to change the</w:t>
      </w:r>
      <w:r>
        <w:rPr>
          <w:spacing w:val="1"/>
        </w:rPr>
        <w:t> </w:t>
      </w:r>
      <w:r>
        <w:rPr/>
        <w:t>industry.</w:t>
      </w:r>
      <w:r>
        <w:rPr>
          <w:spacing w:val="1"/>
        </w:rPr>
        <w:t> </w:t>
      </w:r>
      <w:r>
        <w:rPr/>
        <w:t>As interest and knowledge in the product gains momentum in the U.S., CLT is</w:t>
      </w:r>
      <w:r>
        <w:rPr>
          <w:spacing w:val="1"/>
        </w:rPr>
        <w:t> </w:t>
      </w:r>
      <w:r>
        <w:rPr/>
        <w:t>being</w:t>
      </w:r>
      <w:r>
        <w:rPr>
          <w:spacing w:val="-13"/>
        </w:rPr>
        <w:t> </w:t>
      </w:r>
      <w:r>
        <w:rPr/>
        <w:t>used</w:t>
      </w:r>
      <w:r>
        <w:rPr>
          <w:spacing w:val="-13"/>
        </w:rPr>
        <w:t> </w:t>
      </w:r>
      <w:r>
        <w:rPr/>
        <w:t>in</w:t>
      </w:r>
      <w:r>
        <w:rPr>
          <w:spacing w:val="-12"/>
        </w:rPr>
        <w:t> </w:t>
      </w:r>
      <w:r>
        <w:rPr/>
        <w:t>more</w:t>
      </w:r>
      <w:r>
        <w:rPr>
          <w:spacing w:val="-13"/>
        </w:rPr>
        <w:t> </w:t>
      </w:r>
      <w:r>
        <w:rPr/>
        <w:t>sectors</w:t>
      </w:r>
      <w:r>
        <w:rPr>
          <w:spacing w:val="-12"/>
        </w:rPr>
        <w:t> </w:t>
      </w:r>
      <w:r>
        <w:rPr/>
        <w:t>of</w:t>
      </w:r>
      <w:r>
        <w:rPr>
          <w:spacing w:val="-14"/>
        </w:rPr>
        <w:t> </w:t>
      </w:r>
      <w:r>
        <w:rPr/>
        <w:t>the</w:t>
      </w:r>
      <w:r>
        <w:rPr>
          <w:spacing w:val="-13"/>
        </w:rPr>
        <w:t> </w:t>
      </w:r>
      <w:r>
        <w:rPr/>
        <w:t>industry.</w:t>
      </w:r>
      <w:r>
        <w:rPr>
          <w:spacing w:val="34"/>
        </w:rPr>
        <w:t> </w:t>
      </w:r>
      <w:r>
        <w:rPr/>
        <w:t>One</w:t>
      </w:r>
      <w:r>
        <w:rPr>
          <w:spacing w:val="-12"/>
        </w:rPr>
        <w:t> </w:t>
      </w:r>
      <w:r>
        <w:rPr/>
        <w:t>previously</w:t>
      </w:r>
      <w:r>
        <w:rPr>
          <w:spacing w:val="-13"/>
        </w:rPr>
        <w:t> </w:t>
      </w:r>
      <w:r>
        <w:rPr/>
        <w:t>unexplored</w:t>
      </w:r>
      <w:r>
        <w:rPr>
          <w:spacing w:val="-13"/>
        </w:rPr>
        <w:t> </w:t>
      </w:r>
      <w:r>
        <w:rPr/>
        <w:t>market</w:t>
      </w:r>
      <w:r>
        <w:rPr>
          <w:spacing w:val="-13"/>
        </w:rPr>
        <w:t> </w:t>
      </w:r>
      <w:r>
        <w:rPr/>
        <w:t>is</w:t>
      </w:r>
      <w:r>
        <w:rPr>
          <w:spacing w:val="-13"/>
        </w:rPr>
        <w:t> </w:t>
      </w:r>
      <w:r>
        <w:rPr/>
        <w:t>temporary</w:t>
      </w:r>
      <w:r>
        <w:rPr>
          <w:spacing w:val="-58"/>
        </w:rPr>
        <w:t> </w:t>
      </w:r>
      <w:r>
        <w:rPr/>
        <w:t>military structures, which could potentially expand CLT’s use into other military and</w:t>
      </w:r>
      <w:r>
        <w:rPr>
          <w:spacing w:val="1"/>
        </w:rPr>
        <w:t> </w:t>
      </w:r>
      <w:r>
        <w:rPr/>
        <w:t>government projects.</w:t>
      </w:r>
      <w:r>
        <w:rPr>
          <w:spacing w:val="1"/>
        </w:rPr>
        <w:t> </w:t>
      </w:r>
      <w:r>
        <w:rPr/>
        <w:t>Military construction has unique requirements, especially in the</w:t>
      </w:r>
      <w:r>
        <w:rPr>
          <w:spacing w:val="1"/>
        </w:rPr>
        <w:t> </w:t>
      </w:r>
      <w:r>
        <w:rPr>
          <w:spacing w:val="-1"/>
        </w:rPr>
        <w:t>realm</w:t>
      </w:r>
      <w:r>
        <w:rPr>
          <w:spacing w:val="-17"/>
        </w:rPr>
        <w:t> </w:t>
      </w:r>
      <w:r>
        <w:rPr>
          <w:spacing w:val="-1"/>
        </w:rPr>
        <w:t>of</w:t>
      </w:r>
      <w:r>
        <w:rPr>
          <w:spacing w:val="-13"/>
        </w:rPr>
        <w:t> </w:t>
      </w:r>
      <w:r>
        <w:rPr>
          <w:spacing w:val="-1"/>
        </w:rPr>
        <w:t>force</w:t>
      </w:r>
      <w:r>
        <w:rPr>
          <w:spacing w:val="-15"/>
        </w:rPr>
        <w:t> </w:t>
      </w:r>
      <w:r>
        <w:rPr>
          <w:spacing w:val="-1"/>
        </w:rPr>
        <w:t>protection</w:t>
      </w:r>
      <w:r>
        <w:rPr>
          <w:spacing w:val="-15"/>
        </w:rPr>
        <w:t> </w:t>
      </w:r>
      <w:r>
        <w:rPr/>
        <w:t>measures.</w:t>
      </w:r>
      <w:r>
        <w:rPr>
          <w:spacing w:val="32"/>
        </w:rPr>
        <w:t> </w:t>
      </w:r>
      <w:r>
        <w:rPr/>
        <w:t>Designs</w:t>
      </w:r>
      <w:r>
        <w:rPr>
          <w:spacing w:val="-14"/>
        </w:rPr>
        <w:t> </w:t>
      </w:r>
      <w:r>
        <w:rPr/>
        <w:t>incorporating</w:t>
      </w:r>
      <w:r>
        <w:rPr>
          <w:spacing w:val="-15"/>
        </w:rPr>
        <w:t> </w:t>
      </w:r>
      <w:r>
        <w:rPr/>
        <w:t>force</w:t>
      </w:r>
      <w:r>
        <w:rPr>
          <w:spacing w:val="-14"/>
        </w:rPr>
        <w:t> </w:t>
      </w:r>
      <w:r>
        <w:rPr/>
        <w:t>protection</w:t>
      </w:r>
      <w:r>
        <w:rPr>
          <w:spacing w:val="-15"/>
        </w:rPr>
        <w:t> </w:t>
      </w:r>
      <w:r>
        <w:rPr/>
        <w:t>systems</w:t>
      </w:r>
      <w:r>
        <w:rPr>
          <w:spacing w:val="-14"/>
        </w:rPr>
        <w:t> </w:t>
      </w:r>
      <w:r>
        <w:rPr/>
        <w:t>require</w:t>
      </w:r>
      <w:r>
        <w:rPr>
          <w:spacing w:val="-58"/>
        </w:rPr>
        <w:t> </w:t>
      </w:r>
      <w:r>
        <w:rPr/>
        <w:t>knowledge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a building</w:t>
      </w:r>
      <w:r>
        <w:rPr>
          <w:spacing w:val="-1"/>
        </w:rPr>
        <w:t> </w:t>
      </w:r>
      <w:r>
        <w:rPr/>
        <w:t>material’s</w:t>
      </w:r>
      <w:r>
        <w:rPr>
          <w:spacing w:val="-1"/>
        </w:rPr>
        <w:t> </w:t>
      </w:r>
      <w:r>
        <w:rPr/>
        <w:t>response to</w:t>
      </w:r>
      <w:r>
        <w:rPr>
          <w:spacing w:val="-1"/>
        </w:rPr>
        <w:t> </w:t>
      </w:r>
      <w:r>
        <w:rPr/>
        <w:t>ballistic and blast</w:t>
      </w:r>
      <w:r>
        <w:rPr>
          <w:spacing w:val="-2"/>
        </w:rPr>
        <w:t> </w:t>
      </w:r>
      <w:r>
        <w:rPr/>
        <w:t>threats.</w:t>
      </w:r>
    </w:p>
    <w:p>
      <w:pPr>
        <w:pStyle w:val="BodyText"/>
        <w:spacing w:line="480" w:lineRule="auto" w:before="160"/>
        <w:ind w:left="1720" w:right="557" w:firstLine="360"/>
        <w:jc w:val="both"/>
      </w:pPr>
      <w:r>
        <w:rPr/>
        <w:t>This research conducted the first experimental testing of CLT for ballistic resistance</w:t>
      </w:r>
      <w:r>
        <w:rPr>
          <w:spacing w:val="1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examined</w:t>
      </w:r>
      <w:r>
        <w:rPr>
          <w:spacing w:val="1"/>
        </w:rPr>
        <w:t> </w:t>
      </w:r>
      <w:r>
        <w:rPr/>
        <w:t>empirical</w:t>
      </w:r>
      <w:r>
        <w:rPr>
          <w:spacing w:val="1"/>
        </w:rPr>
        <w:t> </w:t>
      </w:r>
      <w:r>
        <w:rPr/>
        <w:t>models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determine</w:t>
      </w:r>
      <w:r>
        <w:rPr>
          <w:spacing w:val="1"/>
        </w:rPr>
        <w:t> </w:t>
      </w:r>
      <w:r>
        <w:rPr/>
        <w:t>methods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predict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performance of CLT against ballistic threats posed by conventional small arms weaponry.</w:t>
      </w:r>
      <w:r>
        <w:rPr>
          <w:spacing w:val="-57"/>
        </w:rPr>
        <w:t> </w:t>
      </w:r>
      <w:r>
        <w:rPr/>
        <w:t>It identified that current wood penetration models used in military design guides do not</w:t>
      </w:r>
      <w:r>
        <w:rPr>
          <w:spacing w:val="1"/>
        </w:rPr>
        <w:t> </w:t>
      </w:r>
      <w:r>
        <w:rPr/>
        <w:t>accurately predict the performance of CLT, likely due to the fact that the models were</w:t>
      </w:r>
      <w:r>
        <w:rPr>
          <w:spacing w:val="1"/>
        </w:rPr>
        <w:t> </w:t>
      </w:r>
      <w:r>
        <w:rPr/>
        <w:t>calibrated from material systems (e.g., plywood) that behave in a different manner than</w:t>
      </w:r>
      <w:r>
        <w:rPr>
          <w:spacing w:val="1"/>
        </w:rPr>
        <w:t> </w:t>
      </w:r>
      <w:r>
        <w:rPr/>
        <w:t>CLT.</w:t>
      </w:r>
      <w:r>
        <w:rPr>
          <w:spacing w:val="1"/>
        </w:rPr>
        <w:t> </w:t>
      </w:r>
      <w:r>
        <w:rPr/>
        <w:t>Ballistic tests were used to develop and calibrate a model specifically for CLT</w:t>
      </w:r>
      <w:r>
        <w:rPr>
          <w:spacing w:val="1"/>
        </w:rPr>
        <w:t> </w:t>
      </w:r>
      <w:r>
        <w:rPr/>
        <w:t>ballistic performance.</w:t>
      </w:r>
      <w:r>
        <w:rPr>
          <w:spacing w:val="1"/>
        </w:rPr>
        <w:t> </w:t>
      </w:r>
      <w:r>
        <w:rPr/>
        <w:t>Additionally, it</w:t>
      </w:r>
      <w:r>
        <w:rPr>
          <w:spacing w:val="1"/>
        </w:rPr>
        <w:t> </w:t>
      </w:r>
      <w:r>
        <w:rPr/>
        <w:t>recommends a path forward in exploring the</w:t>
      </w:r>
      <w:r>
        <w:rPr>
          <w:spacing w:val="1"/>
        </w:rPr>
        <w:t> </w:t>
      </w:r>
      <w:r>
        <w:rPr/>
        <w:t>ballistic performance of CLT to achieve UL standard performance ratings.</w:t>
      </w:r>
      <w:r>
        <w:rPr>
          <w:spacing w:val="1"/>
        </w:rPr>
        <w:t> </w:t>
      </w:r>
      <w:r>
        <w:rPr/>
        <w:t>The testing</w:t>
      </w:r>
      <w:r>
        <w:rPr>
          <w:spacing w:val="1"/>
        </w:rPr>
        <w:t> </w:t>
      </w:r>
      <w:r>
        <w:rPr/>
        <w:t>conducted</w:t>
      </w:r>
      <w:r>
        <w:rPr>
          <w:spacing w:val="-4"/>
        </w:rPr>
        <w:t> </w:t>
      </w:r>
      <w:r>
        <w:rPr/>
        <w:t>for</w:t>
      </w:r>
      <w:r>
        <w:rPr>
          <w:spacing w:val="-4"/>
        </w:rPr>
        <w:t> </w:t>
      </w:r>
      <w:r>
        <w:rPr/>
        <w:t>this</w:t>
      </w:r>
      <w:r>
        <w:rPr>
          <w:spacing w:val="-3"/>
        </w:rPr>
        <w:t> </w:t>
      </w:r>
      <w:r>
        <w:rPr/>
        <w:t>research</w:t>
      </w:r>
      <w:r>
        <w:rPr>
          <w:spacing w:val="-4"/>
        </w:rPr>
        <w:t> </w:t>
      </w:r>
      <w:r>
        <w:rPr/>
        <w:t>was</w:t>
      </w:r>
      <w:r>
        <w:rPr>
          <w:spacing w:val="-5"/>
        </w:rPr>
        <w:t> </w:t>
      </w:r>
      <w:r>
        <w:rPr/>
        <w:t>intended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provide</w:t>
      </w:r>
      <w:r>
        <w:rPr>
          <w:spacing w:val="-3"/>
        </w:rPr>
        <w:t> </w:t>
      </w:r>
      <w:r>
        <w:rPr/>
        <w:t>preliminary</w:t>
      </w:r>
      <w:r>
        <w:rPr>
          <w:spacing w:val="-4"/>
        </w:rPr>
        <w:t> </w:t>
      </w:r>
      <w:r>
        <w:rPr/>
        <w:t>performance</w:t>
      </w:r>
      <w:r>
        <w:rPr>
          <w:spacing w:val="-3"/>
        </w:rPr>
        <w:t> </w:t>
      </w:r>
      <w:r>
        <w:rPr/>
        <w:t>capacities</w:t>
      </w:r>
      <w:r>
        <w:rPr>
          <w:spacing w:val="-5"/>
        </w:rPr>
        <w:t> </w:t>
      </w:r>
      <w:r>
        <w:rPr/>
        <w:t>to</w:t>
      </w:r>
      <w:r>
        <w:rPr>
          <w:spacing w:val="-57"/>
        </w:rPr>
        <w:t> </w:t>
      </w:r>
      <w:r>
        <w:rPr/>
        <w:t>inform</w:t>
      </w:r>
      <w:r>
        <w:rPr>
          <w:spacing w:val="-2"/>
        </w:rPr>
        <w:t> </w:t>
      </w:r>
      <w:r>
        <w:rPr/>
        <w:t>future testing related to UL</w:t>
      </w:r>
      <w:r>
        <w:rPr>
          <w:spacing w:val="-1"/>
        </w:rPr>
        <w:t> </w:t>
      </w:r>
      <w:r>
        <w:rPr/>
        <w:t>ratings.</w:t>
      </w:r>
    </w:p>
    <w:p>
      <w:pPr>
        <w:spacing w:after="0" w:line="480" w:lineRule="auto"/>
        <w:jc w:val="both"/>
        <w:sectPr>
          <w:pgSz w:w="12240" w:h="15840"/>
          <w:pgMar w:header="0" w:footer="1064" w:top="1380" w:bottom="1260" w:left="440" w:right="880"/>
        </w:sectPr>
      </w:pPr>
    </w:p>
    <w:p>
      <w:pPr>
        <w:pStyle w:val="BodyText"/>
        <w:spacing w:line="480" w:lineRule="auto" w:before="78"/>
        <w:ind w:left="1719" w:right="557" w:firstLine="360"/>
        <w:jc w:val="both"/>
      </w:pPr>
      <w:r>
        <w:rPr/>
        <w:t>Through</w:t>
      </w:r>
      <w:r>
        <w:rPr>
          <w:spacing w:val="-14"/>
        </w:rPr>
        <w:t> </w:t>
      </w:r>
      <w:r>
        <w:rPr/>
        <w:t>empirical</w:t>
      </w:r>
      <w:r>
        <w:rPr>
          <w:spacing w:val="-13"/>
        </w:rPr>
        <w:t> </w:t>
      </w:r>
      <w:r>
        <w:rPr/>
        <w:t>model</w:t>
      </w:r>
      <w:r>
        <w:rPr>
          <w:spacing w:val="-14"/>
        </w:rPr>
        <w:t> </w:t>
      </w:r>
      <w:r>
        <w:rPr/>
        <w:t>development</w:t>
      </w:r>
      <w:r>
        <w:rPr>
          <w:spacing w:val="-13"/>
        </w:rPr>
        <w:t> </w:t>
      </w:r>
      <w:r>
        <w:rPr/>
        <w:t>and</w:t>
      </w:r>
      <w:r>
        <w:rPr>
          <w:spacing w:val="-14"/>
        </w:rPr>
        <w:t> </w:t>
      </w:r>
      <w:r>
        <w:rPr/>
        <w:t>qualitative</w:t>
      </w:r>
      <w:r>
        <w:rPr>
          <w:spacing w:val="-13"/>
        </w:rPr>
        <w:t> </w:t>
      </w:r>
      <w:r>
        <w:rPr/>
        <w:t>analysis</w:t>
      </w:r>
      <w:r>
        <w:rPr>
          <w:spacing w:val="-14"/>
        </w:rPr>
        <w:t> </w:t>
      </w:r>
      <w:r>
        <w:rPr/>
        <w:t>of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ballistic</w:t>
      </w:r>
      <w:r>
        <w:rPr>
          <w:spacing w:val="-14"/>
        </w:rPr>
        <w:t> </w:t>
      </w:r>
      <w:r>
        <w:rPr/>
        <w:t>test</w:t>
      </w:r>
      <w:r>
        <w:rPr>
          <w:spacing w:val="-14"/>
        </w:rPr>
        <w:t> </w:t>
      </w:r>
      <w:r>
        <w:rPr/>
        <w:t>data,</w:t>
      </w:r>
      <w:r>
        <w:rPr>
          <w:spacing w:val="-57"/>
        </w:rPr>
        <w:t> </w:t>
      </w:r>
      <w:r>
        <w:rPr/>
        <w:t>CLT and its material characteristics were investigated based on relevant wood properties,</w:t>
      </w:r>
      <w:r>
        <w:rPr>
          <w:spacing w:val="1"/>
        </w:rPr>
        <w:t> </w:t>
      </w:r>
      <w:r>
        <w:rPr/>
        <w:t>including the unique properties of the composite wood product.</w:t>
      </w:r>
      <w:r>
        <w:rPr>
          <w:spacing w:val="1"/>
        </w:rPr>
        <w:t> </w:t>
      </w:r>
      <w:r>
        <w:rPr/>
        <w:t>Characteristics such as</w:t>
      </w:r>
      <w:r>
        <w:rPr>
          <w:spacing w:val="1"/>
        </w:rPr>
        <w:t> </w:t>
      </w:r>
      <w:r>
        <w:rPr/>
        <w:t>hardness</w:t>
      </w:r>
      <w:r>
        <w:rPr>
          <w:spacing w:val="-12"/>
        </w:rPr>
        <w:t> </w:t>
      </w:r>
      <w:r>
        <w:rPr/>
        <w:t>and</w:t>
      </w:r>
      <w:r>
        <w:rPr>
          <w:spacing w:val="-10"/>
        </w:rPr>
        <w:t> </w:t>
      </w:r>
      <w:r>
        <w:rPr/>
        <w:t>shear</w:t>
      </w:r>
      <w:r>
        <w:rPr>
          <w:spacing w:val="-9"/>
        </w:rPr>
        <w:t> </w:t>
      </w:r>
      <w:r>
        <w:rPr/>
        <w:t>strength</w:t>
      </w:r>
      <w:r>
        <w:rPr>
          <w:spacing w:val="-10"/>
        </w:rPr>
        <w:t> </w:t>
      </w:r>
      <w:r>
        <w:rPr/>
        <w:t>were</w:t>
      </w:r>
      <w:r>
        <w:rPr>
          <w:spacing w:val="-10"/>
        </w:rPr>
        <w:t> </w:t>
      </w:r>
      <w:r>
        <w:rPr/>
        <w:t>explored</w:t>
      </w:r>
      <w:r>
        <w:rPr>
          <w:spacing w:val="-11"/>
        </w:rPr>
        <w:t> </w:t>
      </w:r>
      <w:r>
        <w:rPr/>
        <w:t>to</w:t>
      </w:r>
      <w:r>
        <w:rPr>
          <w:spacing w:val="-10"/>
        </w:rPr>
        <w:t> </w:t>
      </w:r>
      <w:r>
        <w:rPr/>
        <w:t>provide</w:t>
      </w:r>
      <w:r>
        <w:rPr>
          <w:spacing w:val="-11"/>
        </w:rPr>
        <w:t> </w:t>
      </w:r>
      <w:r>
        <w:rPr/>
        <w:t>an</w:t>
      </w:r>
      <w:r>
        <w:rPr>
          <w:spacing w:val="-10"/>
        </w:rPr>
        <w:t> </w:t>
      </w:r>
      <w:r>
        <w:rPr/>
        <w:t>understanding</w:t>
      </w:r>
      <w:r>
        <w:rPr>
          <w:spacing w:val="-10"/>
        </w:rPr>
        <w:t> </w:t>
      </w:r>
      <w:r>
        <w:rPr/>
        <w:t>of</w:t>
      </w:r>
      <w:r>
        <w:rPr>
          <w:spacing w:val="-12"/>
        </w:rPr>
        <w:t> </w:t>
      </w:r>
      <w:r>
        <w:rPr/>
        <w:t>how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material</w:t>
      </w:r>
      <w:r>
        <w:rPr>
          <w:spacing w:val="-58"/>
        </w:rPr>
        <w:t> </w:t>
      </w:r>
      <w:r>
        <w:rPr/>
        <w:t>responded to penetration and blast loading events.</w:t>
      </w:r>
      <w:r>
        <w:rPr>
          <w:spacing w:val="1"/>
        </w:rPr>
        <w:t> </w:t>
      </w:r>
      <w:r>
        <w:rPr/>
        <w:t>The qualitative analysis of CLT test</w:t>
      </w:r>
      <w:r>
        <w:rPr>
          <w:spacing w:val="1"/>
        </w:rPr>
        <w:t> </w:t>
      </w:r>
      <w:r>
        <w:rPr/>
        <w:t>specimens based on observed wood properties examined the impact of wood’s natural</w:t>
      </w:r>
      <w:r>
        <w:rPr>
          <w:spacing w:val="1"/>
        </w:rPr>
        <w:t> </w:t>
      </w:r>
      <w:r>
        <w:rPr/>
        <w:t>variation on ballistic resistance performance.</w:t>
      </w:r>
      <w:r>
        <w:rPr>
          <w:spacing w:val="1"/>
        </w:rPr>
        <w:t> </w:t>
      </w:r>
      <w:r>
        <w:rPr/>
        <w:t>A lack of existing knowledge for wood and</w:t>
      </w:r>
      <w:r>
        <w:rPr>
          <w:spacing w:val="-57"/>
        </w:rPr>
        <w:t> </w:t>
      </w:r>
      <w:r>
        <w:rPr/>
        <w:t>wood products under dynamic and high strain rate loads exposed gaps in fundamental</w:t>
      </w:r>
      <w:r>
        <w:rPr>
          <w:spacing w:val="1"/>
        </w:rPr>
        <w:t> </w:t>
      </w:r>
      <w:r>
        <w:rPr/>
        <w:t>material</w:t>
      </w:r>
      <w:r>
        <w:rPr>
          <w:spacing w:val="-1"/>
        </w:rPr>
        <w:t> </w:t>
      </w:r>
      <w:r>
        <w:rPr/>
        <w:t>characterization</w:t>
      </w:r>
      <w:r>
        <w:rPr>
          <w:spacing w:val="-3"/>
        </w:rPr>
        <w:t> </w:t>
      </w:r>
      <w:r>
        <w:rPr/>
        <w:t>needed for</w:t>
      </w:r>
      <w:r>
        <w:rPr>
          <w:spacing w:val="-2"/>
        </w:rPr>
        <w:t> </w:t>
      </w:r>
      <w:r>
        <w:rPr/>
        <w:t>analytical and</w:t>
      </w:r>
      <w:r>
        <w:rPr>
          <w:spacing w:val="-1"/>
        </w:rPr>
        <w:t> </w:t>
      </w:r>
      <w:r>
        <w:rPr/>
        <w:t>numerical</w:t>
      </w:r>
      <w:r>
        <w:rPr>
          <w:spacing w:val="-1"/>
        </w:rPr>
        <w:t> </w:t>
      </w:r>
      <w:r>
        <w:rPr/>
        <w:t>models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CLT.</w:t>
      </w:r>
    </w:p>
    <w:p>
      <w:pPr>
        <w:pStyle w:val="BodyText"/>
        <w:spacing w:line="480" w:lineRule="auto" w:before="160"/>
        <w:ind w:left="1719" w:right="557" w:firstLine="360"/>
        <w:jc w:val="both"/>
      </w:pPr>
      <w:r>
        <w:rPr/>
        <w:t>Based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initial</w:t>
      </w:r>
      <w:r>
        <w:rPr>
          <w:spacing w:val="1"/>
        </w:rPr>
        <w:t> </w:t>
      </w:r>
      <w:r>
        <w:rPr/>
        <w:t>ballistic</w:t>
      </w:r>
      <w:r>
        <w:rPr>
          <w:spacing w:val="1"/>
        </w:rPr>
        <w:t> </w:t>
      </w:r>
      <w:r>
        <w:rPr/>
        <w:t>testing,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new</w:t>
      </w:r>
      <w:r>
        <w:rPr>
          <w:spacing w:val="1"/>
        </w:rPr>
        <w:t> </w:t>
      </w:r>
      <w:r>
        <w:rPr/>
        <w:t>material,</w:t>
      </w:r>
      <w:r>
        <w:rPr>
          <w:spacing w:val="1"/>
        </w:rPr>
        <w:t> </w:t>
      </w:r>
      <w:r>
        <w:rPr/>
        <w:t>ECLT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developed</w:t>
      </w:r>
      <w:r>
        <w:rPr>
          <w:spacing w:val="1"/>
        </w:rPr>
        <w:t> </w:t>
      </w:r>
      <w:r>
        <w:rPr/>
        <w:t>and</w:t>
      </w:r>
      <w:r>
        <w:rPr>
          <w:spacing w:val="-57"/>
        </w:rPr>
        <w:t> </w:t>
      </w:r>
      <w:r>
        <w:rPr/>
        <w:t>investigated in terms of constructability and improved ballistic performance.</w:t>
      </w:r>
      <w:r>
        <w:rPr>
          <w:spacing w:val="1"/>
        </w:rPr>
        <w:t> </w:t>
      </w:r>
      <w:r>
        <w:rPr/>
        <w:t>Challenges</w:t>
      </w:r>
      <w:r>
        <w:rPr>
          <w:spacing w:val="1"/>
        </w:rPr>
        <w:t> </w:t>
      </w:r>
      <w:r>
        <w:rPr/>
        <w:t>with adding heavy armor plates to the composite were identified. The advantages of</w:t>
      </w:r>
      <w:r>
        <w:rPr>
          <w:spacing w:val="1"/>
        </w:rPr>
        <w:t> </w:t>
      </w:r>
      <w:r>
        <w:rPr/>
        <w:t>flexible fiber materials developed for use in lightweight armored panels showed promise</w:t>
      </w:r>
      <w:r>
        <w:rPr>
          <w:spacing w:val="1"/>
        </w:rPr>
        <w:t> </w:t>
      </w:r>
      <w:r>
        <w:rPr/>
        <w:t>even with only a few plies of the fabric.</w:t>
      </w:r>
      <w:r>
        <w:rPr>
          <w:spacing w:val="1"/>
        </w:rPr>
        <w:t> </w:t>
      </w:r>
      <w:r>
        <w:rPr/>
        <w:t>Increased ballistic performance can be achieved</w:t>
      </w:r>
      <w:r>
        <w:rPr>
          <w:spacing w:val="1"/>
        </w:rPr>
        <w:t> </w:t>
      </w:r>
      <w:r>
        <w:rPr/>
        <w:t>but typically at either a significant weight or cost increase, and so decisions must be made</w:t>
      </w:r>
      <w:r>
        <w:rPr>
          <w:spacing w:val="-57"/>
        </w:rPr>
        <w:t> </w:t>
      </w:r>
      <w:r>
        <w:rPr/>
        <w:t>on acceptable protection levels and trade-offs may be required, such as less protection but</w:t>
      </w:r>
      <w:r>
        <w:rPr>
          <w:spacing w:val="-57"/>
        </w:rPr>
        <w:t> </w:t>
      </w:r>
      <w:r>
        <w:rPr/>
        <w:t>at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much</w:t>
      </w:r>
      <w:r>
        <w:rPr>
          <w:spacing w:val="-1"/>
        </w:rPr>
        <w:t> </w:t>
      </w:r>
      <w:r>
        <w:rPr/>
        <w:t>lower</w:t>
      </w:r>
      <w:r>
        <w:rPr>
          <w:spacing w:val="-1"/>
        </w:rPr>
        <w:t> </w:t>
      </w:r>
      <w:r>
        <w:rPr/>
        <w:t>cost.</w:t>
      </w:r>
      <w:r>
        <w:rPr>
          <w:spacing w:val="59"/>
        </w:rPr>
        <w:t> </w:t>
      </w:r>
      <w:r>
        <w:rPr/>
        <w:t>This</w:t>
      </w:r>
      <w:r>
        <w:rPr>
          <w:spacing w:val="-1"/>
        </w:rPr>
        <w:t> </w:t>
      </w:r>
      <w:r>
        <w:rPr/>
        <w:t>work</w:t>
      </w:r>
      <w:r>
        <w:rPr>
          <w:spacing w:val="-1"/>
        </w:rPr>
        <w:t> </w:t>
      </w:r>
      <w:r>
        <w:rPr/>
        <w:t>proposed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method</w:t>
      </w:r>
      <w:r>
        <w:rPr>
          <w:spacing w:val="-1"/>
        </w:rPr>
        <w:t> </w:t>
      </w:r>
      <w:r>
        <w:rPr/>
        <w:t>to help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decision</w:t>
      </w:r>
      <w:r>
        <w:rPr>
          <w:spacing w:val="-3"/>
        </w:rPr>
        <w:t> </w:t>
      </w:r>
      <w:r>
        <w:rPr/>
        <w:t>making</w:t>
      </w:r>
      <w:r>
        <w:rPr>
          <w:spacing w:val="-1"/>
        </w:rPr>
        <w:t> </w:t>
      </w:r>
      <w:r>
        <w:rPr/>
        <w:t>process.</w:t>
      </w:r>
    </w:p>
    <w:p>
      <w:pPr>
        <w:pStyle w:val="BodyText"/>
        <w:spacing w:line="480" w:lineRule="auto" w:before="160"/>
        <w:ind w:left="1719" w:right="558" w:firstLine="360"/>
        <w:jc w:val="both"/>
      </w:pPr>
      <w:r>
        <w:rPr/>
        <w:t>This</w:t>
      </w:r>
      <w:r>
        <w:rPr>
          <w:spacing w:val="-12"/>
        </w:rPr>
        <w:t> </w:t>
      </w:r>
      <w:r>
        <w:rPr/>
        <w:t>research</w:t>
      </w:r>
      <w:r>
        <w:rPr>
          <w:spacing w:val="-12"/>
        </w:rPr>
        <w:t> </w:t>
      </w:r>
      <w:r>
        <w:rPr/>
        <w:t>developed</w:t>
      </w:r>
      <w:r>
        <w:rPr>
          <w:spacing w:val="-11"/>
        </w:rPr>
        <w:t> </w:t>
      </w:r>
      <w:r>
        <w:rPr/>
        <w:t>a</w:t>
      </w:r>
      <w:r>
        <w:rPr>
          <w:spacing w:val="-12"/>
        </w:rPr>
        <w:t> </w:t>
      </w:r>
      <w:r>
        <w:rPr/>
        <w:t>single-degree-of-freedom</w:t>
      </w:r>
      <w:r>
        <w:rPr>
          <w:spacing w:val="-13"/>
        </w:rPr>
        <w:t> </w:t>
      </w:r>
      <w:r>
        <w:rPr/>
        <w:t>model</w:t>
      </w:r>
      <w:r>
        <w:rPr>
          <w:spacing w:val="-11"/>
        </w:rPr>
        <w:t> </w:t>
      </w:r>
      <w:r>
        <w:rPr/>
        <w:t>and</w:t>
      </w:r>
      <w:r>
        <w:rPr>
          <w:spacing w:val="-12"/>
        </w:rPr>
        <w:t> </w:t>
      </w:r>
      <w:r>
        <w:rPr/>
        <w:t>CLT</w:t>
      </w:r>
      <w:r>
        <w:rPr>
          <w:spacing w:val="-10"/>
        </w:rPr>
        <w:t> </w:t>
      </w:r>
      <w:r>
        <w:rPr/>
        <w:t>blast</w:t>
      </w:r>
      <w:r>
        <w:rPr>
          <w:spacing w:val="-12"/>
        </w:rPr>
        <w:t> </w:t>
      </w:r>
      <w:r>
        <w:rPr/>
        <w:t>analysis</w:t>
      </w:r>
      <w:r>
        <w:rPr>
          <w:spacing w:val="-12"/>
        </w:rPr>
        <w:t> </w:t>
      </w:r>
      <w:r>
        <w:rPr/>
        <w:t>tool</w:t>
      </w:r>
      <w:r>
        <w:rPr>
          <w:spacing w:val="-57"/>
        </w:rPr>
        <w:t> </w:t>
      </w:r>
      <w:r>
        <w:rPr/>
        <w:t>to evaluate blast performance of CLT panels.</w:t>
      </w:r>
      <w:r>
        <w:rPr>
          <w:spacing w:val="1"/>
        </w:rPr>
        <w:t> </w:t>
      </w:r>
      <w:r>
        <w:rPr/>
        <w:t>The tool was validated based on live blast</w:t>
      </w:r>
      <w:r>
        <w:rPr>
          <w:spacing w:val="1"/>
        </w:rPr>
        <w:t> </w:t>
      </w:r>
      <w:r>
        <w:rPr/>
        <w:t>test data for CLT response in the elastic regime.</w:t>
      </w:r>
      <w:r>
        <w:rPr>
          <w:spacing w:val="1"/>
        </w:rPr>
        <w:t> </w:t>
      </w:r>
      <w:r>
        <w:rPr/>
        <w:t>Further testing is proposed to investigate</w:t>
      </w:r>
      <w:r>
        <w:rPr>
          <w:spacing w:val="-57"/>
        </w:rPr>
        <w:t> </w:t>
      </w:r>
      <w:r>
        <w:rPr/>
        <w:t>and</w:t>
      </w:r>
      <w:r>
        <w:rPr>
          <w:spacing w:val="-1"/>
        </w:rPr>
        <w:t> </w:t>
      </w:r>
      <w:r>
        <w:rPr/>
        <w:t>improve the model’s predictions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inelastic regime.</w:t>
      </w:r>
    </w:p>
    <w:p>
      <w:pPr>
        <w:pStyle w:val="BodyText"/>
        <w:spacing w:line="480" w:lineRule="auto" w:before="151"/>
        <w:ind w:left="1719" w:right="558" w:firstLine="360"/>
        <w:jc w:val="both"/>
      </w:pPr>
      <w:r>
        <w:rPr/>
        <w:t>Two</w:t>
      </w:r>
      <w:r>
        <w:rPr>
          <w:spacing w:val="1"/>
        </w:rPr>
        <w:t> </w:t>
      </w:r>
      <w:r>
        <w:rPr/>
        <w:t>decision-making</w:t>
      </w:r>
      <w:r>
        <w:rPr>
          <w:spacing w:val="1"/>
        </w:rPr>
        <w:t> </w:t>
      </w:r>
      <w:r>
        <w:rPr/>
        <w:t>models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considered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determining</w:t>
      </w:r>
      <w:r>
        <w:rPr>
          <w:spacing w:val="1"/>
        </w:rPr>
        <w:t> </w:t>
      </w:r>
      <w:r>
        <w:rPr/>
        <w:t>what</w:t>
      </w:r>
      <w:r>
        <w:rPr>
          <w:spacing w:val="1"/>
        </w:rPr>
        <w:t> </w:t>
      </w:r>
      <w:r>
        <w:rPr/>
        <w:t>construction</w:t>
      </w:r>
      <w:r>
        <w:rPr>
          <w:spacing w:val="1"/>
        </w:rPr>
        <w:t> </w:t>
      </w:r>
      <w:r>
        <w:rPr/>
        <w:t>material</w:t>
      </w:r>
      <w:r>
        <w:rPr>
          <w:spacing w:val="-12"/>
        </w:rPr>
        <w:t> </w:t>
      </w:r>
      <w:r>
        <w:rPr/>
        <w:t>to</w:t>
      </w:r>
      <w:r>
        <w:rPr>
          <w:spacing w:val="-11"/>
        </w:rPr>
        <w:t> </w:t>
      </w:r>
      <w:r>
        <w:rPr/>
        <w:t>select</w:t>
      </w:r>
      <w:r>
        <w:rPr>
          <w:spacing w:val="-9"/>
        </w:rPr>
        <w:t> </w:t>
      </w:r>
      <w:r>
        <w:rPr/>
        <w:t>for</w:t>
      </w:r>
      <w:r>
        <w:rPr>
          <w:spacing w:val="-10"/>
        </w:rPr>
        <w:t> </w:t>
      </w:r>
      <w:r>
        <w:rPr/>
        <w:t>use</w:t>
      </w:r>
      <w:r>
        <w:rPr>
          <w:spacing w:val="-12"/>
        </w:rPr>
        <w:t> </w:t>
      </w:r>
      <w:r>
        <w:rPr/>
        <w:t>in</w:t>
      </w:r>
      <w:r>
        <w:rPr>
          <w:spacing w:val="-11"/>
        </w:rPr>
        <w:t> </w:t>
      </w:r>
      <w:r>
        <w:rPr/>
        <w:t>temporary</w:t>
      </w:r>
      <w:r>
        <w:rPr>
          <w:spacing w:val="-12"/>
        </w:rPr>
        <w:t> </w:t>
      </w:r>
      <w:r>
        <w:rPr/>
        <w:t>military</w:t>
      </w:r>
      <w:r>
        <w:rPr>
          <w:spacing w:val="-11"/>
        </w:rPr>
        <w:t> </w:t>
      </w:r>
      <w:r>
        <w:rPr/>
        <w:t>structures</w:t>
      </w:r>
      <w:r>
        <w:rPr>
          <w:spacing w:val="-12"/>
        </w:rPr>
        <w:t> </w:t>
      </w:r>
      <w:r>
        <w:rPr/>
        <w:t>given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evaluation</w:t>
      </w:r>
      <w:r>
        <w:rPr>
          <w:spacing w:val="-10"/>
        </w:rPr>
        <w:t> </w:t>
      </w:r>
      <w:r>
        <w:rPr/>
        <w:t>criteria.</w:t>
      </w:r>
      <w:r>
        <w:rPr>
          <w:spacing w:val="38"/>
        </w:rPr>
        <w:t> </w:t>
      </w:r>
      <w:r>
        <w:rPr/>
        <w:t>The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440" w:right="880"/>
        </w:sectPr>
      </w:pPr>
    </w:p>
    <w:p>
      <w:pPr>
        <w:pStyle w:val="BodyText"/>
        <w:spacing w:line="480" w:lineRule="auto" w:before="78"/>
        <w:ind w:left="1720" w:right="556"/>
        <w:jc w:val="both"/>
      </w:pPr>
      <w:r>
        <w:rPr/>
        <w:t>evaluation criteria for the specific requirements of this type of project were defined in</w:t>
      </w:r>
      <w:r>
        <w:rPr>
          <w:spacing w:val="1"/>
        </w:rPr>
        <w:t> </w:t>
      </w:r>
      <w:r>
        <w:rPr/>
        <w:t>detail.</w:t>
      </w:r>
      <w:r>
        <w:rPr>
          <w:spacing w:val="1"/>
        </w:rPr>
        <w:t> </w:t>
      </w:r>
      <w:r>
        <w:rPr/>
        <w:t>Additionally, a multi-attribute tool named SMART, shown in </w:t>
      </w:r>
      <w:hyperlink w:history="true" w:anchor="_bookmark219">
        <w:r>
          <w:rPr/>
          <w:t>Figure 10-1</w:t>
        </w:r>
      </w:hyperlink>
      <w:r>
        <w:rPr/>
        <w:t>, was</w:t>
      </w:r>
      <w:r>
        <w:rPr>
          <w:spacing w:val="1"/>
        </w:rPr>
        <w:t> </w:t>
      </w:r>
      <w:r>
        <w:rPr/>
        <w:t>developed to provide military leaders a quick graphical representation using a radar chart</w:t>
      </w:r>
      <w:r>
        <w:rPr>
          <w:spacing w:val="1"/>
        </w:rPr>
        <w:t> </w:t>
      </w:r>
      <w:r>
        <w:rPr/>
        <w:t>for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decision</w:t>
      </w:r>
      <w:r>
        <w:rPr>
          <w:spacing w:val="-9"/>
        </w:rPr>
        <w:t> </w:t>
      </w:r>
      <w:r>
        <w:rPr/>
        <w:t>between</w:t>
      </w:r>
      <w:r>
        <w:rPr>
          <w:spacing w:val="-10"/>
        </w:rPr>
        <w:t> </w:t>
      </w:r>
      <w:r>
        <w:rPr/>
        <w:t>material</w:t>
      </w:r>
      <w:r>
        <w:rPr>
          <w:spacing w:val="-8"/>
        </w:rPr>
        <w:t> </w:t>
      </w:r>
      <w:r>
        <w:rPr/>
        <w:t>selection</w:t>
      </w:r>
      <w:r>
        <w:rPr>
          <w:spacing w:val="-9"/>
        </w:rPr>
        <w:t> </w:t>
      </w:r>
      <w:r>
        <w:rPr/>
        <w:t>based</w:t>
      </w:r>
      <w:r>
        <w:rPr>
          <w:spacing w:val="-9"/>
        </w:rPr>
        <w:t> </w:t>
      </w:r>
      <w:r>
        <w:rPr/>
        <w:t>on</w:t>
      </w:r>
      <w:r>
        <w:rPr>
          <w:spacing w:val="-7"/>
        </w:rPr>
        <w:t> </w:t>
      </w:r>
      <w:r>
        <w:rPr/>
        <w:t>multiple</w:t>
      </w:r>
      <w:r>
        <w:rPr>
          <w:spacing w:val="-10"/>
        </w:rPr>
        <w:t> </w:t>
      </w:r>
      <w:r>
        <w:rPr/>
        <w:t>benchmarks.</w:t>
      </w:r>
      <w:r>
        <w:rPr>
          <w:spacing w:val="43"/>
        </w:rPr>
        <w:t> </w:t>
      </w:r>
      <w:r>
        <w:rPr/>
        <w:t>This</w:t>
      </w:r>
      <w:r>
        <w:rPr>
          <w:spacing w:val="-8"/>
        </w:rPr>
        <w:t> </w:t>
      </w:r>
      <w:r>
        <w:rPr/>
        <w:t>tool</w:t>
      </w:r>
      <w:r>
        <w:rPr>
          <w:spacing w:val="-8"/>
        </w:rPr>
        <w:t> </w:t>
      </w:r>
      <w:r>
        <w:rPr/>
        <w:t>could</w:t>
      </w:r>
      <w:r>
        <w:rPr>
          <w:spacing w:val="-58"/>
        </w:rPr>
        <w:t> </w:t>
      </w:r>
      <w:r>
        <w:rPr/>
        <w:t>be</w:t>
      </w:r>
      <w:r>
        <w:rPr>
          <w:spacing w:val="-1"/>
        </w:rPr>
        <w:t> </w:t>
      </w:r>
      <w:r>
        <w:rPr/>
        <w:t>adjusted to</w:t>
      </w:r>
      <w:r>
        <w:rPr>
          <w:spacing w:val="-1"/>
        </w:rPr>
        <w:t> </w:t>
      </w:r>
      <w:r>
        <w:rPr/>
        <w:t>other</w:t>
      </w:r>
      <w:r>
        <w:rPr>
          <w:spacing w:val="-1"/>
        </w:rPr>
        <w:t> </w:t>
      </w:r>
      <w:r>
        <w:rPr/>
        <w:t>types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construction</w:t>
      </w:r>
      <w:r>
        <w:rPr>
          <w:spacing w:val="-1"/>
        </w:rPr>
        <w:t> </w:t>
      </w:r>
      <w:r>
        <w:rPr/>
        <w:t>with other</w:t>
      </w:r>
      <w:r>
        <w:rPr>
          <w:spacing w:val="-1"/>
        </w:rPr>
        <w:t> </w:t>
      </w:r>
      <w:r>
        <w:rPr/>
        <w:t>criteria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alternatives.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349">
            <wp:simplePos x="0" y="0"/>
            <wp:positionH relativeFrom="page">
              <wp:posOffset>1600200</wp:posOffset>
            </wp:positionH>
            <wp:positionV relativeFrom="paragraph">
              <wp:posOffset>190495</wp:posOffset>
            </wp:positionV>
            <wp:extent cx="5223646" cy="3545300"/>
            <wp:effectExtent l="0" t="0" r="0" b="0"/>
            <wp:wrapTopAndBottom/>
            <wp:docPr id="269" name="image4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430.png"/>
                    <pic:cNvPicPr/>
                  </pic:nvPicPr>
                  <pic:blipFill>
                    <a:blip r:embed="rId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3646" cy="354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32"/>
        </w:rPr>
      </w:pPr>
    </w:p>
    <w:p>
      <w:pPr>
        <w:spacing w:before="0"/>
        <w:ind w:left="1720" w:right="559" w:firstLine="0"/>
        <w:jc w:val="both"/>
        <w:rPr>
          <w:i/>
          <w:sz w:val="24"/>
        </w:rPr>
      </w:pPr>
      <w:bookmarkStart w:name="_bookmark219" w:id="635"/>
      <w:bookmarkEnd w:id="635"/>
      <w:r>
        <w:rPr/>
      </w:r>
      <w:r>
        <w:rPr>
          <w:i/>
          <w:sz w:val="24"/>
        </w:rPr>
        <w:t>Figure 10-1. An example of the SMART assessment for material selection for temporary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military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structures.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7"/>
        <w:rPr>
          <w:i/>
          <w:sz w:val="35"/>
        </w:rPr>
      </w:pPr>
    </w:p>
    <w:p>
      <w:pPr>
        <w:pStyle w:val="BodyText"/>
        <w:spacing w:line="480" w:lineRule="auto" w:before="1"/>
        <w:ind w:left="1720" w:firstLine="720"/>
      </w:pPr>
      <w:r>
        <w:rPr/>
        <w:t>In</w:t>
      </w:r>
      <w:r>
        <w:rPr>
          <w:spacing w:val="21"/>
        </w:rPr>
        <w:t> </w:t>
      </w:r>
      <w:r>
        <w:rPr/>
        <w:t>summary,</w:t>
      </w:r>
      <w:r>
        <w:rPr>
          <w:spacing w:val="21"/>
        </w:rPr>
        <w:t> </w:t>
      </w:r>
      <w:r>
        <w:rPr/>
        <w:t>the</w:t>
      </w:r>
      <w:r>
        <w:rPr>
          <w:spacing w:val="22"/>
        </w:rPr>
        <w:t> </w:t>
      </w:r>
      <w:r>
        <w:rPr/>
        <w:t>key</w:t>
      </w:r>
      <w:r>
        <w:rPr>
          <w:spacing w:val="21"/>
        </w:rPr>
        <w:t> </w:t>
      </w:r>
      <w:r>
        <w:rPr/>
        <w:t>conclusions</w:t>
      </w:r>
      <w:r>
        <w:rPr>
          <w:spacing w:val="22"/>
        </w:rPr>
        <w:t> </w:t>
      </w:r>
      <w:r>
        <w:rPr/>
        <w:t>from</w:t>
      </w:r>
      <w:r>
        <w:rPr>
          <w:spacing w:val="19"/>
        </w:rPr>
        <w:t> </w:t>
      </w:r>
      <w:r>
        <w:rPr/>
        <w:t>this</w:t>
      </w:r>
      <w:r>
        <w:rPr>
          <w:spacing w:val="23"/>
        </w:rPr>
        <w:t> </w:t>
      </w:r>
      <w:r>
        <w:rPr/>
        <w:t>research</w:t>
      </w:r>
      <w:r>
        <w:rPr>
          <w:spacing w:val="21"/>
        </w:rPr>
        <w:t> </w:t>
      </w:r>
      <w:r>
        <w:rPr/>
        <w:t>with</w:t>
      </w:r>
      <w:r>
        <w:rPr>
          <w:spacing w:val="21"/>
        </w:rPr>
        <w:t> </w:t>
      </w:r>
      <w:r>
        <w:rPr/>
        <w:t>respect</w:t>
      </w:r>
      <w:r>
        <w:rPr>
          <w:spacing w:val="22"/>
        </w:rPr>
        <w:t> </w:t>
      </w:r>
      <w:r>
        <w:rPr/>
        <w:t>to</w:t>
      </w:r>
      <w:r>
        <w:rPr>
          <w:spacing w:val="20"/>
        </w:rPr>
        <w:t> </w:t>
      </w:r>
      <w:r>
        <w:rPr/>
        <w:t>the</w:t>
      </w:r>
      <w:r>
        <w:rPr>
          <w:spacing w:val="20"/>
        </w:rPr>
        <w:t> </w:t>
      </w:r>
      <w:r>
        <w:rPr/>
        <w:t>research</w:t>
      </w:r>
      <w:r>
        <w:rPr>
          <w:spacing w:val="-57"/>
        </w:rPr>
        <w:t> </w:t>
      </w:r>
      <w:r>
        <w:rPr/>
        <w:t>questions</w:t>
      </w:r>
      <w:r>
        <w:rPr>
          <w:spacing w:val="-1"/>
        </w:rPr>
        <w:t> </w:t>
      </w:r>
      <w:r>
        <w:rPr/>
        <w:t>presented</w:t>
      </w:r>
      <w:r>
        <w:rPr>
          <w:spacing w:val="-2"/>
        </w:rPr>
        <w:t> </w:t>
      </w:r>
      <w:r>
        <w:rPr/>
        <w:t>in Chapter 1</w:t>
      </w:r>
      <w:r>
        <w:rPr>
          <w:spacing w:val="-2"/>
        </w:rPr>
        <w:t> </w:t>
      </w:r>
      <w:r>
        <w:rPr/>
        <w:t>include:</w:t>
      </w:r>
    </w:p>
    <w:p>
      <w:pPr>
        <w:spacing w:after="0" w:line="480" w:lineRule="auto"/>
        <w:sectPr>
          <w:pgSz w:w="12240" w:h="15840"/>
          <w:pgMar w:header="0" w:footer="1064" w:top="1360" w:bottom="1260" w:left="440" w:right="880"/>
        </w:sectPr>
      </w:pPr>
    </w:p>
    <w:p>
      <w:pPr>
        <w:pStyle w:val="ListParagraph"/>
        <w:numPr>
          <w:ilvl w:val="2"/>
          <w:numId w:val="29"/>
        </w:numPr>
        <w:tabs>
          <w:tab w:pos="2440" w:val="left" w:leader="none"/>
        </w:tabs>
        <w:spacing w:line="480" w:lineRule="auto" w:before="78" w:after="0"/>
        <w:ind w:left="2440" w:right="557" w:hanging="360"/>
        <w:jc w:val="both"/>
        <w:rPr>
          <w:sz w:val="24"/>
        </w:rPr>
      </w:pPr>
      <w:r>
        <w:rPr>
          <w:sz w:val="24"/>
        </w:rPr>
        <w:t>A new construction material for temporary military structures can be assessed</w:t>
      </w:r>
      <w:r>
        <w:rPr>
          <w:spacing w:val="1"/>
          <w:sz w:val="24"/>
        </w:rPr>
        <w:t> </w:t>
      </w:r>
      <w:r>
        <w:rPr>
          <w:sz w:val="24"/>
        </w:rPr>
        <w:t>across multiple criteria using a decision making tool that allows for input on</w:t>
      </w:r>
      <w:r>
        <w:rPr>
          <w:spacing w:val="1"/>
          <w:sz w:val="24"/>
        </w:rPr>
        <w:t> </w:t>
      </w:r>
      <w:r>
        <w:rPr>
          <w:sz w:val="24"/>
        </w:rPr>
        <w:t>alternatives</w:t>
      </w:r>
      <w:r>
        <w:rPr>
          <w:spacing w:val="-4"/>
          <w:sz w:val="24"/>
        </w:rPr>
        <w:t> </w:t>
      </w:r>
      <w:r>
        <w:rPr>
          <w:sz w:val="24"/>
        </w:rPr>
        <w:t>as</w:t>
      </w:r>
      <w:r>
        <w:rPr>
          <w:spacing w:val="-1"/>
          <w:sz w:val="24"/>
        </w:rPr>
        <w:t> </w:t>
      </w:r>
      <w:r>
        <w:rPr>
          <w:sz w:val="24"/>
        </w:rPr>
        <w:t>well</w:t>
      </w:r>
      <w:r>
        <w:rPr>
          <w:spacing w:val="-2"/>
          <w:sz w:val="24"/>
        </w:rPr>
        <w:t> </w:t>
      </w:r>
      <w:r>
        <w:rPr>
          <w:sz w:val="24"/>
        </w:rPr>
        <w:t>as</w:t>
      </w:r>
      <w:r>
        <w:rPr>
          <w:spacing w:val="-1"/>
          <w:sz w:val="24"/>
        </w:rPr>
        <w:t> </w:t>
      </w:r>
      <w:r>
        <w:rPr>
          <w:sz w:val="24"/>
        </w:rPr>
        <w:t>defined</w:t>
      </w:r>
      <w:r>
        <w:rPr>
          <w:spacing w:val="-1"/>
          <w:sz w:val="24"/>
        </w:rPr>
        <w:t> </w:t>
      </w:r>
      <w:r>
        <w:rPr>
          <w:sz w:val="24"/>
        </w:rPr>
        <w:t>evaluation</w:t>
      </w:r>
      <w:r>
        <w:rPr>
          <w:spacing w:val="-1"/>
          <w:sz w:val="24"/>
        </w:rPr>
        <w:t> </w:t>
      </w:r>
      <w:r>
        <w:rPr>
          <w:sz w:val="24"/>
        </w:rPr>
        <w:t>criteria</w:t>
      </w:r>
      <w:r>
        <w:rPr>
          <w:spacing w:val="-2"/>
          <w:sz w:val="24"/>
        </w:rPr>
        <w:t> </w:t>
      </w:r>
      <w:r>
        <w:rPr>
          <w:sz w:val="24"/>
        </w:rPr>
        <w:t>based</w:t>
      </w:r>
      <w:r>
        <w:rPr>
          <w:spacing w:val="-1"/>
          <w:sz w:val="24"/>
        </w:rPr>
        <w:t> </w:t>
      </w:r>
      <w:r>
        <w:rPr>
          <w:sz w:val="24"/>
        </w:rPr>
        <w:t>on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users</w:t>
      </w:r>
      <w:r>
        <w:rPr>
          <w:spacing w:val="-2"/>
          <w:sz w:val="24"/>
        </w:rPr>
        <w:t> </w:t>
      </w:r>
      <w:r>
        <w:rPr>
          <w:sz w:val="24"/>
        </w:rPr>
        <w:t>judgment,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58"/>
          <w:sz w:val="24"/>
        </w:rPr>
        <w:t> </w:t>
      </w:r>
      <w:r>
        <w:rPr>
          <w:sz w:val="24"/>
        </w:rPr>
        <w:t>knowledge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the material.</w:t>
      </w:r>
    </w:p>
    <w:p>
      <w:pPr>
        <w:pStyle w:val="ListParagraph"/>
        <w:numPr>
          <w:ilvl w:val="2"/>
          <w:numId w:val="29"/>
        </w:numPr>
        <w:tabs>
          <w:tab w:pos="2440" w:val="left" w:leader="none"/>
        </w:tabs>
        <w:spacing w:line="480" w:lineRule="auto" w:before="0" w:after="0"/>
        <w:ind w:left="2440" w:right="556" w:hanging="360"/>
        <w:jc w:val="both"/>
        <w:rPr>
          <w:sz w:val="24"/>
        </w:rPr>
      </w:pPr>
      <w:r>
        <w:rPr>
          <w:sz w:val="24"/>
        </w:rPr>
        <w:t>The ballistic performance of CLT can be empirically modeled used curve-fitting</w:t>
      </w:r>
      <w:r>
        <w:rPr>
          <w:spacing w:val="1"/>
          <w:sz w:val="24"/>
        </w:rPr>
        <w:t> </w:t>
      </w:r>
      <w:r>
        <w:rPr>
          <w:sz w:val="24"/>
        </w:rPr>
        <w:t>equations developed from experimental test data. These equations can be expected</w:t>
      </w:r>
      <w:r>
        <w:rPr>
          <w:spacing w:val="-58"/>
          <w:sz w:val="24"/>
        </w:rPr>
        <w:t> </w:t>
      </w:r>
      <w:r>
        <w:rPr>
          <w:sz w:val="24"/>
        </w:rPr>
        <w:t>to reasonably predict the performance as long as the ballistic munition is the same</w:t>
      </w:r>
      <w:r>
        <w:rPr>
          <w:spacing w:val="-57"/>
          <w:sz w:val="24"/>
        </w:rPr>
        <w:t> </w:t>
      </w:r>
      <w:r>
        <w:rPr>
          <w:sz w:val="24"/>
        </w:rPr>
        <w:t>as the experimental round.</w:t>
      </w:r>
      <w:r>
        <w:rPr>
          <w:spacing w:val="1"/>
          <w:sz w:val="24"/>
        </w:rPr>
        <w:t> </w:t>
      </w:r>
      <w:r>
        <w:rPr>
          <w:sz w:val="24"/>
        </w:rPr>
        <w:t>Re-calibration of the model is required to change</w:t>
      </w:r>
      <w:r>
        <w:rPr>
          <w:spacing w:val="1"/>
          <w:sz w:val="24"/>
        </w:rPr>
        <w:t> </w:t>
      </w:r>
      <w:r>
        <w:rPr>
          <w:sz w:val="24"/>
        </w:rPr>
        <w:t>munitions, especially for with variations on nose shape, as this parameter was not</w:t>
      </w:r>
      <w:r>
        <w:rPr>
          <w:spacing w:val="1"/>
          <w:sz w:val="24"/>
        </w:rPr>
        <w:t> </w:t>
      </w:r>
      <w:r>
        <w:rPr>
          <w:sz w:val="24"/>
        </w:rPr>
        <w:t>included</w:t>
      </w:r>
      <w:r>
        <w:rPr>
          <w:spacing w:val="-3"/>
          <w:sz w:val="24"/>
        </w:rPr>
        <w:t> </w:t>
      </w:r>
      <w:r>
        <w:rPr>
          <w:sz w:val="24"/>
        </w:rPr>
        <w:t>in these models.</w:t>
      </w:r>
    </w:p>
    <w:p>
      <w:pPr>
        <w:pStyle w:val="ListParagraph"/>
        <w:numPr>
          <w:ilvl w:val="2"/>
          <w:numId w:val="29"/>
        </w:numPr>
        <w:tabs>
          <w:tab w:pos="2440" w:val="left" w:leader="none"/>
        </w:tabs>
        <w:spacing w:line="480" w:lineRule="auto" w:before="0" w:after="0"/>
        <w:ind w:left="2440" w:right="557" w:hanging="360"/>
        <w:jc w:val="both"/>
        <w:rPr>
          <w:sz w:val="24"/>
        </w:rPr>
      </w:pPr>
      <w:r>
        <w:rPr>
          <w:sz w:val="24"/>
        </w:rPr>
        <w:t>CLT can be altered with modest effort to include an additional enhancing layer to</w:t>
      </w:r>
      <w:r>
        <w:rPr>
          <w:spacing w:val="1"/>
          <w:sz w:val="24"/>
        </w:rPr>
        <w:t> </w:t>
      </w:r>
      <w:r>
        <w:rPr>
          <w:sz w:val="24"/>
        </w:rPr>
        <w:t>improve its ballistic resistance.</w:t>
      </w:r>
      <w:r>
        <w:rPr>
          <w:spacing w:val="1"/>
          <w:sz w:val="24"/>
        </w:rPr>
        <w:t> </w:t>
      </w:r>
      <w:r>
        <w:rPr>
          <w:sz w:val="24"/>
        </w:rPr>
        <w:t>Inexpensive fiberglass fabric shows greatest cost-</w:t>
      </w:r>
      <w:r>
        <w:rPr>
          <w:spacing w:val="1"/>
          <w:sz w:val="24"/>
        </w:rPr>
        <w:t> </w:t>
      </w:r>
      <w:r>
        <w:rPr>
          <w:sz w:val="24"/>
        </w:rPr>
        <w:t>benefit</w:t>
      </w:r>
      <w:r>
        <w:rPr>
          <w:spacing w:val="-1"/>
          <w:sz w:val="24"/>
        </w:rPr>
        <w:t> </w:t>
      </w:r>
      <w:r>
        <w:rPr>
          <w:sz w:val="24"/>
        </w:rPr>
        <w:t>potential of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investigated</w:t>
      </w:r>
      <w:r>
        <w:rPr>
          <w:spacing w:val="-2"/>
          <w:sz w:val="24"/>
        </w:rPr>
        <w:t> </w:t>
      </w:r>
      <w:r>
        <w:rPr>
          <w:sz w:val="24"/>
        </w:rPr>
        <w:t>modified layups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ECLT.</w:t>
      </w:r>
    </w:p>
    <w:p>
      <w:pPr>
        <w:pStyle w:val="ListParagraph"/>
        <w:numPr>
          <w:ilvl w:val="2"/>
          <w:numId w:val="29"/>
        </w:numPr>
        <w:tabs>
          <w:tab w:pos="2440" w:val="left" w:leader="none"/>
        </w:tabs>
        <w:spacing w:line="480" w:lineRule="auto" w:before="0" w:after="0"/>
        <w:ind w:left="2440" w:right="557" w:hanging="360"/>
        <w:jc w:val="both"/>
        <w:rPr>
          <w:sz w:val="24"/>
        </w:rPr>
      </w:pPr>
      <w:r>
        <w:rPr>
          <w:sz w:val="24"/>
        </w:rPr>
        <w:t>Currently,</w:t>
      </w:r>
      <w:r>
        <w:rPr>
          <w:spacing w:val="-4"/>
          <w:sz w:val="24"/>
        </w:rPr>
        <w:t> </w:t>
      </w:r>
      <w:r>
        <w:rPr>
          <w:sz w:val="24"/>
        </w:rPr>
        <w:t>CLT</w:t>
      </w:r>
      <w:r>
        <w:rPr>
          <w:spacing w:val="-3"/>
          <w:sz w:val="24"/>
        </w:rPr>
        <w:t> </w:t>
      </w:r>
      <w:r>
        <w:rPr>
          <w:sz w:val="24"/>
        </w:rPr>
        <w:t>can</w:t>
      </w:r>
      <w:r>
        <w:rPr>
          <w:spacing w:val="-3"/>
          <w:sz w:val="24"/>
        </w:rPr>
        <w:t> </w:t>
      </w:r>
      <w:r>
        <w:rPr>
          <w:sz w:val="24"/>
        </w:rPr>
        <w:t>be</w:t>
      </w:r>
      <w:r>
        <w:rPr>
          <w:spacing w:val="-1"/>
          <w:sz w:val="24"/>
        </w:rPr>
        <w:t> </w:t>
      </w:r>
      <w:r>
        <w:rPr>
          <w:sz w:val="24"/>
        </w:rPr>
        <w:t>modeled</w:t>
      </w:r>
      <w:r>
        <w:rPr>
          <w:spacing w:val="-3"/>
          <w:sz w:val="24"/>
        </w:rPr>
        <w:t> </w:t>
      </w:r>
      <w:r>
        <w:rPr>
          <w:sz w:val="24"/>
        </w:rPr>
        <w:t>for</w:t>
      </w:r>
      <w:r>
        <w:rPr>
          <w:spacing w:val="-2"/>
          <w:sz w:val="24"/>
        </w:rPr>
        <w:t> </w:t>
      </w:r>
      <w:r>
        <w:rPr>
          <w:sz w:val="24"/>
        </w:rPr>
        <w:t>blast</w:t>
      </w:r>
      <w:r>
        <w:rPr>
          <w:spacing w:val="-2"/>
          <w:sz w:val="24"/>
        </w:rPr>
        <w:t> </w:t>
      </w:r>
      <w:r>
        <w:rPr>
          <w:sz w:val="24"/>
        </w:rPr>
        <w:t>performance</w:t>
      </w:r>
      <w:r>
        <w:rPr>
          <w:spacing w:val="-2"/>
          <w:sz w:val="24"/>
        </w:rPr>
        <w:t> </w:t>
      </w:r>
      <w:r>
        <w:rPr>
          <w:sz w:val="24"/>
        </w:rPr>
        <w:t>in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elastic</w:t>
      </w:r>
      <w:r>
        <w:rPr>
          <w:spacing w:val="-2"/>
          <w:sz w:val="24"/>
        </w:rPr>
        <w:t> </w:t>
      </w:r>
      <w:r>
        <w:rPr>
          <w:sz w:val="24"/>
        </w:rPr>
        <w:t>regime</w:t>
      </w:r>
      <w:r>
        <w:rPr>
          <w:spacing w:val="-2"/>
          <w:sz w:val="24"/>
        </w:rPr>
        <w:t> </w:t>
      </w:r>
      <w:r>
        <w:rPr>
          <w:sz w:val="24"/>
        </w:rPr>
        <w:t>using</w:t>
      </w:r>
      <w:r>
        <w:rPr>
          <w:spacing w:val="-3"/>
          <w:sz w:val="24"/>
        </w:rPr>
        <w:t> </w:t>
      </w:r>
      <w:r>
        <w:rPr>
          <w:sz w:val="24"/>
        </w:rPr>
        <w:t>a</w:t>
      </w:r>
      <w:r>
        <w:rPr>
          <w:spacing w:val="-58"/>
          <w:sz w:val="24"/>
        </w:rPr>
        <w:t> </w:t>
      </w:r>
      <w:r>
        <w:rPr>
          <w:sz w:val="24"/>
        </w:rPr>
        <w:t>single-degree-of-freedom model and resistance function.</w:t>
      </w:r>
      <w:r>
        <w:rPr>
          <w:spacing w:val="1"/>
          <w:sz w:val="24"/>
        </w:rPr>
        <w:t> </w:t>
      </w:r>
      <w:r>
        <w:rPr>
          <w:sz w:val="24"/>
        </w:rPr>
        <w:t>Further blast testing is</w:t>
      </w:r>
      <w:r>
        <w:rPr>
          <w:spacing w:val="1"/>
          <w:sz w:val="24"/>
        </w:rPr>
        <w:t> </w:t>
      </w:r>
      <w:r>
        <w:rPr>
          <w:sz w:val="24"/>
        </w:rPr>
        <w:t>required to expand this model and resistance function accurately into the inelastic</w:t>
      </w:r>
      <w:r>
        <w:rPr>
          <w:spacing w:val="1"/>
          <w:sz w:val="24"/>
        </w:rPr>
        <w:t> </w:t>
      </w:r>
      <w:r>
        <w:rPr>
          <w:sz w:val="24"/>
        </w:rPr>
        <w:t>regime.</w:t>
      </w:r>
    </w:p>
    <w:p>
      <w:pPr>
        <w:pStyle w:val="Heading9"/>
        <w:numPr>
          <w:ilvl w:val="1"/>
          <w:numId w:val="29"/>
        </w:numPr>
        <w:tabs>
          <w:tab w:pos="2200" w:val="left" w:leader="none"/>
        </w:tabs>
        <w:spacing w:line="240" w:lineRule="auto" w:before="162" w:after="0"/>
        <w:ind w:left="2200" w:right="0" w:hanging="480"/>
        <w:jc w:val="both"/>
      </w:pPr>
      <w:bookmarkStart w:name="_TOC_250002" w:id="636"/>
      <w:bookmarkStart w:name="10.2 Contributions and significance" w:id="637"/>
      <w:r>
        <w:rPr>
          <w:b w:val="0"/>
        </w:rPr>
      </w:r>
      <w:bookmarkEnd w:id="637"/>
      <w:bookmarkStart w:name="10.2 Contributions and significance" w:id="638"/>
      <w:r>
        <w:rPr/>
        <w:t>C</w:t>
      </w:r>
      <w:r>
        <w:rPr/>
        <w:t>ontributions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bookmarkEnd w:id="636"/>
      <w:r>
        <w:rPr/>
        <w:t>significance</w:t>
      </w:r>
    </w:p>
    <w:p>
      <w:pPr>
        <w:pStyle w:val="BodyText"/>
        <w:spacing w:before="6"/>
        <w:rPr>
          <w:b/>
          <w:sz w:val="22"/>
        </w:rPr>
      </w:pPr>
    </w:p>
    <w:p>
      <w:pPr>
        <w:pStyle w:val="BodyText"/>
        <w:spacing w:line="480" w:lineRule="auto" w:before="1"/>
        <w:ind w:left="1720" w:right="557" w:firstLine="720"/>
        <w:jc w:val="both"/>
      </w:pPr>
      <w:r>
        <w:rPr/>
        <w:t>The contributions and significance of this research exploring CLT for use in</w:t>
      </w:r>
      <w:r>
        <w:rPr>
          <w:spacing w:val="1"/>
        </w:rPr>
        <w:t> </w:t>
      </w:r>
      <w:r>
        <w:rPr/>
        <w:t>temporary</w:t>
      </w:r>
      <w:r>
        <w:rPr>
          <w:spacing w:val="-1"/>
        </w:rPr>
        <w:t> </w:t>
      </w:r>
      <w:r>
        <w:rPr/>
        <w:t>military structures</w:t>
      </w:r>
      <w:r>
        <w:rPr>
          <w:spacing w:val="-1"/>
        </w:rPr>
        <w:t> </w:t>
      </w:r>
      <w:r>
        <w:rPr/>
        <w:t>include:</w:t>
      </w:r>
    </w:p>
    <w:p>
      <w:pPr>
        <w:pStyle w:val="ListParagraph"/>
        <w:numPr>
          <w:ilvl w:val="2"/>
          <w:numId w:val="29"/>
        </w:numPr>
        <w:tabs>
          <w:tab w:pos="2800" w:val="left" w:leader="none"/>
        </w:tabs>
        <w:spacing w:line="480" w:lineRule="auto" w:before="159" w:after="0"/>
        <w:ind w:left="2800" w:right="557" w:hanging="360"/>
        <w:jc w:val="both"/>
        <w:rPr>
          <w:sz w:val="24"/>
        </w:rPr>
      </w:pPr>
      <w:r>
        <w:rPr>
          <w:sz w:val="24"/>
        </w:rPr>
        <w:t>The first ballistic tests of CLT were conducted from which initial empirical</w:t>
      </w:r>
      <w:r>
        <w:rPr>
          <w:spacing w:val="1"/>
          <w:sz w:val="24"/>
        </w:rPr>
        <w:t> </w:t>
      </w:r>
      <w:r>
        <w:rPr>
          <w:sz w:val="24"/>
        </w:rPr>
        <w:t>models</w:t>
      </w:r>
      <w:r>
        <w:rPr>
          <w:spacing w:val="14"/>
          <w:sz w:val="24"/>
        </w:rPr>
        <w:t> </w:t>
      </w:r>
      <w:r>
        <w:rPr>
          <w:sz w:val="24"/>
        </w:rPr>
        <w:t>were</w:t>
      </w:r>
      <w:r>
        <w:rPr>
          <w:spacing w:val="14"/>
          <w:sz w:val="24"/>
        </w:rPr>
        <w:t> </w:t>
      </w:r>
      <w:r>
        <w:rPr>
          <w:sz w:val="24"/>
        </w:rPr>
        <w:t>developed</w:t>
      </w:r>
      <w:r>
        <w:rPr>
          <w:spacing w:val="13"/>
          <w:sz w:val="24"/>
        </w:rPr>
        <w:t> </w:t>
      </w:r>
      <w:r>
        <w:rPr>
          <w:sz w:val="24"/>
        </w:rPr>
        <w:t>and</w:t>
      </w:r>
      <w:r>
        <w:rPr>
          <w:spacing w:val="15"/>
          <w:sz w:val="24"/>
        </w:rPr>
        <w:t> </w:t>
      </w:r>
      <w:r>
        <w:rPr>
          <w:sz w:val="24"/>
        </w:rPr>
        <w:t>calibrated.</w:t>
      </w:r>
      <w:r>
        <w:rPr>
          <w:spacing w:val="30"/>
          <w:sz w:val="24"/>
        </w:rPr>
        <w:t> </w:t>
      </w:r>
      <w:r>
        <w:rPr>
          <w:sz w:val="24"/>
        </w:rPr>
        <w:t>The</w:t>
      </w:r>
      <w:r>
        <w:rPr>
          <w:spacing w:val="14"/>
          <w:sz w:val="24"/>
        </w:rPr>
        <w:t> </w:t>
      </w:r>
      <w:r>
        <w:rPr>
          <w:sz w:val="24"/>
        </w:rPr>
        <w:t>testing</w:t>
      </w:r>
      <w:r>
        <w:rPr>
          <w:spacing w:val="14"/>
          <w:sz w:val="24"/>
        </w:rPr>
        <w:t> </w:t>
      </w:r>
      <w:r>
        <w:rPr>
          <w:sz w:val="24"/>
        </w:rPr>
        <w:t>and</w:t>
      </w:r>
      <w:r>
        <w:rPr>
          <w:spacing w:val="14"/>
          <w:sz w:val="24"/>
        </w:rPr>
        <w:t> </w:t>
      </w:r>
      <w:r>
        <w:rPr>
          <w:sz w:val="24"/>
        </w:rPr>
        <w:t>analysis</w:t>
      </w:r>
      <w:r>
        <w:rPr>
          <w:spacing w:val="15"/>
          <w:sz w:val="24"/>
        </w:rPr>
        <w:t> </w:t>
      </w:r>
      <w:r>
        <w:rPr>
          <w:sz w:val="24"/>
        </w:rPr>
        <w:t>showed</w:t>
      </w:r>
      <w:r>
        <w:rPr>
          <w:spacing w:val="14"/>
          <w:sz w:val="24"/>
        </w:rPr>
        <w:t> </w:t>
      </w:r>
      <w:r>
        <w:rPr>
          <w:sz w:val="24"/>
        </w:rPr>
        <w:t>that</w:t>
      </w:r>
    </w:p>
    <w:p>
      <w:pPr>
        <w:spacing w:after="0" w:line="480" w:lineRule="auto"/>
        <w:jc w:val="both"/>
        <w:rPr>
          <w:sz w:val="24"/>
        </w:rPr>
        <w:sectPr>
          <w:pgSz w:w="12240" w:h="15840"/>
          <w:pgMar w:header="0" w:footer="1064" w:top="1360" w:bottom="1260" w:left="440" w:right="880"/>
        </w:sectPr>
      </w:pPr>
    </w:p>
    <w:p>
      <w:pPr>
        <w:pStyle w:val="BodyText"/>
        <w:spacing w:line="480" w:lineRule="auto" w:before="78"/>
        <w:ind w:left="2800" w:right="557"/>
        <w:jc w:val="both"/>
      </w:pPr>
      <w:r>
        <w:rPr/>
        <w:t>current empirical models in military guidelines for protective design using</w:t>
      </w:r>
      <w:r>
        <w:rPr>
          <w:spacing w:val="1"/>
        </w:rPr>
        <w:t> </w:t>
      </w:r>
      <w:r>
        <w:rPr/>
        <w:t>wood</w:t>
      </w:r>
      <w:r>
        <w:rPr>
          <w:spacing w:val="-1"/>
        </w:rPr>
        <w:t> </w:t>
      </w:r>
      <w:r>
        <w:rPr/>
        <w:t>do not apply to CLT.</w:t>
      </w:r>
    </w:p>
    <w:p>
      <w:pPr>
        <w:pStyle w:val="ListParagraph"/>
        <w:numPr>
          <w:ilvl w:val="2"/>
          <w:numId w:val="29"/>
        </w:numPr>
        <w:tabs>
          <w:tab w:pos="2800" w:val="left" w:leader="none"/>
        </w:tabs>
        <w:spacing w:line="480" w:lineRule="auto" w:before="0" w:after="0"/>
        <w:ind w:left="2799" w:right="557" w:hanging="360"/>
        <w:jc w:val="both"/>
        <w:rPr>
          <w:sz w:val="24"/>
        </w:rPr>
      </w:pPr>
      <w:r>
        <w:rPr>
          <w:sz w:val="24"/>
        </w:rPr>
        <w:t>A new variation of CLT, ECLT with an enhanced layer for improved ballistic</w:t>
      </w:r>
      <w:r>
        <w:rPr>
          <w:spacing w:val="1"/>
          <w:sz w:val="24"/>
        </w:rPr>
        <w:t> </w:t>
      </w:r>
      <w:r>
        <w:rPr>
          <w:sz w:val="24"/>
        </w:rPr>
        <w:t>resistance was prototyped.</w:t>
      </w:r>
      <w:r>
        <w:rPr>
          <w:spacing w:val="1"/>
          <w:sz w:val="24"/>
        </w:rPr>
        <w:t> </w:t>
      </w:r>
      <w:r>
        <w:rPr>
          <w:sz w:val="24"/>
        </w:rPr>
        <w:t>Testing of several layups using existing armored</w:t>
      </w:r>
      <w:r>
        <w:rPr>
          <w:spacing w:val="1"/>
          <w:sz w:val="24"/>
        </w:rPr>
        <w:t> </w:t>
      </w:r>
      <w:r>
        <w:rPr>
          <w:sz w:val="24"/>
        </w:rPr>
        <w:t>materials demonstrated the feasibility of manufacturing the product and that</w:t>
      </w:r>
      <w:r>
        <w:rPr>
          <w:spacing w:val="1"/>
          <w:sz w:val="24"/>
        </w:rPr>
        <w:t> </w:t>
      </w:r>
      <w:r>
        <w:rPr>
          <w:sz w:val="24"/>
        </w:rPr>
        <w:t>improved performance can be achieved even with thin, relatively inexpensive</w:t>
      </w:r>
      <w:r>
        <w:rPr>
          <w:spacing w:val="1"/>
          <w:sz w:val="24"/>
        </w:rPr>
        <w:t> </w:t>
      </w:r>
      <w:r>
        <w:rPr>
          <w:sz w:val="24"/>
        </w:rPr>
        <w:t>materials</w:t>
      </w:r>
      <w:r>
        <w:rPr>
          <w:spacing w:val="-1"/>
          <w:sz w:val="24"/>
        </w:rPr>
        <w:t> </w:t>
      </w:r>
      <w:r>
        <w:rPr>
          <w:sz w:val="24"/>
        </w:rPr>
        <w:t>such</w:t>
      </w:r>
      <w:r>
        <w:rPr>
          <w:spacing w:val="-1"/>
          <w:sz w:val="24"/>
        </w:rPr>
        <w:t> </w:t>
      </w:r>
      <w:r>
        <w:rPr>
          <w:sz w:val="24"/>
        </w:rPr>
        <w:t>as fiberglass</w:t>
      </w:r>
      <w:r>
        <w:rPr>
          <w:spacing w:val="-1"/>
          <w:sz w:val="24"/>
        </w:rPr>
        <w:t> </w:t>
      </w:r>
      <w:r>
        <w:rPr>
          <w:sz w:val="24"/>
        </w:rPr>
        <w:t>fabric</w:t>
      </w:r>
      <w:r>
        <w:rPr>
          <w:spacing w:val="-1"/>
          <w:sz w:val="24"/>
        </w:rPr>
        <w:t> </w:t>
      </w:r>
      <w:r>
        <w:rPr>
          <w:sz w:val="24"/>
        </w:rPr>
        <w:t>added</w:t>
      </w:r>
      <w:r>
        <w:rPr>
          <w:spacing w:val="-1"/>
          <w:sz w:val="24"/>
        </w:rPr>
        <w:t> </w:t>
      </w:r>
      <w:r>
        <w:rPr>
          <w:sz w:val="24"/>
        </w:rPr>
        <w:t>to the</w:t>
      </w:r>
      <w:r>
        <w:rPr>
          <w:spacing w:val="-2"/>
          <w:sz w:val="24"/>
        </w:rPr>
        <w:t> </w:t>
      </w:r>
      <w:r>
        <w:rPr>
          <w:sz w:val="24"/>
        </w:rPr>
        <w:t>sandwich composite.</w:t>
      </w:r>
    </w:p>
    <w:p>
      <w:pPr>
        <w:pStyle w:val="ListParagraph"/>
        <w:numPr>
          <w:ilvl w:val="2"/>
          <w:numId w:val="29"/>
        </w:numPr>
        <w:tabs>
          <w:tab w:pos="2800" w:val="left" w:leader="none"/>
        </w:tabs>
        <w:spacing w:line="480" w:lineRule="auto" w:before="0" w:after="0"/>
        <w:ind w:left="2799" w:right="557" w:hanging="360"/>
        <w:jc w:val="both"/>
        <w:rPr>
          <w:sz w:val="24"/>
        </w:rPr>
      </w:pPr>
      <w:r>
        <w:rPr>
          <w:sz w:val="24"/>
        </w:rPr>
        <w:t>A tool based on a single-degree-of-freedom model was developed to evaluate</w:t>
      </w:r>
      <w:r>
        <w:rPr>
          <w:spacing w:val="1"/>
          <w:sz w:val="24"/>
        </w:rPr>
        <w:t> </w:t>
      </w:r>
      <w:r>
        <w:rPr>
          <w:sz w:val="24"/>
        </w:rPr>
        <w:t>the expected performance of CLT panels under blast loading.</w:t>
      </w:r>
      <w:r>
        <w:rPr>
          <w:spacing w:val="1"/>
          <w:sz w:val="24"/>
        </w:rPr>
        <w:t> </w:t>
      </w:r>
      <w:r>
        <w:rPr>
          <w:sz w:val="24"/>
        </w:rPr>
        <w:t>The tool allows</w:t>
      </w:r>
      <w:r>
        <w:rPr>
          <w:spacing w:val="1"/>
          <w:sz w:val="24"/>
        </w:rPr>
        <w:t> </w:t>
      </w:r>
      <w:r>
        <w:rPr>
          <w:sz w:val="24"/>
        </w:rPr>
        <w:t>the user to input various parameters related to the CLT panel, including grade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-11"/>
          <w:sz w:val="24"/>
        </w:rPr>
        <w:t> </w:t>
      </w:r>
      <w:r>
        <w:rPr>
          <w:sz w:val="24"/>
        </w:rPr>
        <w:t>dimensional</w:t>
      </w:r>
      <w:r>
        <w:rPr>
          <w:spacing w:val="-11"/>
          <w:sz w:val="24"/>
        </w:rPr>
        <w:t> </w:t>
      </w:r>
      <w:r>
        <w:rPr>
          <w:sz w:val="24"/>
        </w:rPr>
        <w:t>data</w:t>
      </w:r>
      <w:r>
        <w:rPr>
          <w:spacing w:val="-11"/>
          <w:sz w:val="24"/>
        </w:rPr>
        <w:t> </w:t>
      </w:r>
      <w:r>
        <w:rPr>
          <w:sz w:val="24"/>
        </w:rPr>
        <w:t>as</w:t>
      </w:r>
      <w:r>
        <w:rPr>
          <w:spacing w:val="-11"/>
          <w:sz w:val="24"/>
        </w:rPr>
        <w:t> </w:t>
      </w:r>
      <w:r>
        <w:rPr>
          <w:sz w:val="24"/>
        </w:rPr>
        <w:t>well</w:t>
      </w:r>
      <w:r>
        <w:rPr>
          <w:spacing w:val="-11"/>
          <w:sz w:val="24"/>
        </w:rPr>
        <w:t> </w:t>
      </w:r>
      <w:r>
        <w:rPr>
          <w:sz w:val="24"/>
        </w:rPr>
        <w:t>as</w:t>
      </w:r>
      <w:r>
        <w:rPr>
          <w:spacing w:val="-11"/>
          <w:sz w:val="24"/>
        </w:rPr>
        <w:t> </w:t>
      </w:r>
      <w:r>
        <w:rPr>
          <w:sz w:val="24"/>
        </w:rPr>
        <w:t>blast</w:t>
      </w:r>
      <w:r>
        <w:rPr>
          <w:spacing w:val="-11"/>
          <w:sz w:val="24"/>
        </w:rPr>
        <w:t> </w:t>
      </w:r>
      <w:r>
        <w:rPr>
          <w:sz w:val="24"/>
        </w:rPr>
        <w:t>information.</w:t>
      </w:r>
      <w:r>
        <w:rPr>
          <w:spacing w:val="38"/>
          <w:sz w:val="24"/>
        </w:rPr>
        <w:t> </w:t>
      </w:r>
      <w:r>
        <w:rPr>
          <w:sz w:val="24"/>
        </w:rPr>
        <w:t>It</w:t>
      </w:r>
      <w:r>
        <w:rPr>
          <w:spacing w:val="-10"/>
          <w:sz w:val="24"/>
        </w:rPr>
        <w:t> </w:t>
      </w:r>
      <w:r>
        <w:rPr>
          <w:sz w:val="24"/>
        </w:rPr>
        <w:t>employs</w:t>
      </w:r>
      <w:r>
        <w:rPr>
          <w:spacing w:val="-10"/>
          <w:sz w:val="24"/>
        </w:rPr>
        <w:t> </w:t>
      </w:r>
      <w:r>
        <w:rPr>
          <w:sz w:val="24"/>
        </w:rPr>
        <w:t>the</w:t>
      </w:r>
      <w:r>
        <w:rPr>
          <w:spacing w:val="-11"/>
          <w:sz w:val="24"/>
        </w:rPr>
        <w:t> </w:t>
      </w:r>
      <w:r>
        <w:rPr>
          <w:sz w:val="24"/>
        </w:rPr>
        <w:t>shear</w:t>
      </w:r>
      <w:r>
        <w:rPr>
          <w:spacing w:val="-10"/>
          <w:sz w:val="24"/>
        </w:rPr>
        <w:t> </w:t>
      </w:r>
      <w:r>
        <w:rPr>
          <w:sz w:val="24"/>
        </w:rPr>
        <w:t>analogy</w:t>
      </w:r>
      <w:r>
        <w:rPr>
          <w:spacing w:val="-58"/>
          <w:sz w:val="24"/>
        </w:rPr>
        <w:t> </w:t>
      </w:r>
      <w:r>
        <w:rPr>
          <w:sz w:val="24"/>
        </w:rPr>
        <w:t>method to estimate the CLT panel structural properties.</w:t>
      </w:r>
      <w:r>
        <w:rPr>
          <w:spacing w:val="1"/>
          <w:sz w:val="24"/>
        </w:rPr>
        <w:t> </w:t>
      </w:r>
      <w:r>
        <w:rPr>
          <w:sz w:val="24"/>
        </w:rPr>
        <w:t>Currently the tool is</w:t>
      </w:r>
      <w:r>
        <w:rPr>
          <w:spacing w:val="1"/>
          <w:sz w:val="24"/>
        </w:rPr>
        <w:t> </w:t>
      </w:r>
      <w:r>
        <w:rPr>
          <w:sz w:val="24"/>
        </w:rPr>
        <w:t>validated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2"/>
          <w:sz w:val="24"/>
        </w:rPr>
        <w:t> </w:t>
      </w:r>
      <w:r>
        <w:rPr>
          <w:sz w:val="24"/>
        </w:rPr>
        <w:t>the elastic regime based</w:t>
      </w:r>
      <w:r>
        <w:rPr>
          <w:spacing w:val="-1"/>
          <w:sz w:val="24"/>
        </w:rPr>
        <w:t> </w:t>
      </w:r>
      <w:r>
        <w:rPr>
          <w:sz w:val="24"/>
        </w:rPr>
        <w:t>on live blast</w:t>
      </w:r>
      <w:r>
        <w:rPr>
          <w:spacing w:val="-1"/>
          <w:sz w:val="24"/>
        </w:rPr>
        <w:t> </w:t>
      </w:r>
      <w:r>
        <w:rPr>
          <w:sz w:val="24"/>
        </w:rPr>
        <w:t>tests.</w:t>
      </w:r>
    </w:p>
    <w:p>
      <w:pPr>
        <w:pStyle w:val="ListParagraph"/>
        <w:numPr>
          <w:ilvl w:val="2"/>
          <w:numId w:val="29"/>
        </w:numPr>
        <w:tabs>
          <w:tab w:pos="2800" w:val="left" w:leader="none"/>
        </w:tabs>
        <w:spacing w:line="480" w:lineRule="auto" w:before="0" w:after="0"/>
        <w:ind w:left="2800" w:right="559" w:hanging="360"/>
        <w:jc w:val="both"/>
        <w:rPr>
          <w:sz w:val="24"/>
        </w:rPr>
      </w:pPr>
      <w:r>
        <w:rPr>
          <w:sz w:val="24"/>
        </w:rPr>
        <w:t>A multi-attribute decision making tool was developed to provide a simple,</w:t>
      </w:r>
      <w:r>
        <w:rPr>
          <w:spacing w:val="1"/>
          <w:sz w:val="24"/>
        </w:rPr>
        <w:t> </w:t>
      </w:r>
      <w:r>
        <w:rPr>
          <w:sz w:val="24"/>
        </w:rPr>
        <w:t>visual</w:t>
      </w:r>
      <w:r>
        <w:rPr>
          <w:spacing w:val="1"/>
          <w:sz w:val="24"/>
        </w:rPr>
        <w:t> </w:t>
      </w:r>
      <w:r>
        <w:rPr>
          <w:sz w:val="24"/>
        </w:rPr>
        <w:t>representation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material</w:t>
      </w:r>
      <w:r>
        <w:rPr>
          <w:spacing w:val="1"/>
          <w:sz w:val="24"/>
        </w:rPr>
        <w:t> </w:t>
      </w:r>
      <w:r>
        <w:rPr>
          <w:sz w:val="24"/>
        </w:rPr>
        <w:t>alternatives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1"/>
          <w:sz w:val="24"/>
        </w:rPr>
        <w:t> </w:t>
      </w:r>
      <w:r>
        <w:rPr>
          <w:sz w:val="24"/>
        </w:rPr>
        <w:t>temporary</w:t>
      </w:r>
      <w:r>
        <w:rPr>
          <w:spacing w:val="1"/>
          <w:sz w:val="24"/>
        </w:rPr>
        <w:t> </w:t>
      </w:r>
      <w:r>
        <w:rPr>
          <w:sz w:val="24"/>
        </w:rPr>
        <w:t>military</w:t>
      </w:r>
      <w:r>
        <w:rPr>
          <w:spacing w:val="1"/>
          <w:sz w:val="24"/>
        </w:rPr>
        <w:t> </w:t>
      </w:r>
      <w:r>
        <w:rPr>
          <w:sz w:val="24"/>
        </w:rPr>
        <w:t>structures</w:t>
      </w:r>
      <w:r>
        <w:rPr>
          <w:spacing w:val="-1"/>
          <w:sz w:val="24"/>
        </w:rPr>
        <w:t> </w:t>
      </w:r>
      <w:r>
        <w:rPr>
          <w:sz w:val="24"/>
        </w:rPr>
        <w:t>based on specified</w:t>
      </w:r>
      <w:r>
        <w:rPr>
          <w:spacing w:val="-1"/>
          <w:sz w:val="24"/>
        </w:rPr>
        <w:t> </w:t>
      </w:r>
      <w:r>
        <w:rPr>
          <w:sz w:val="24"/>
        </w:rPr>
        <w:t>and defined evaluation</w:t>
      </w:r>
      <w:r>
        <w:rPr>
          <w:spacing w:val="-1"/>
          <w:sz w:val="24"/>
        </w:rPr>
        <w:t> </w:t>
      </w:r>
      <w:r>
        <w:rPr>
          <w:sz w:val="24"/>
        </w:rPr>
        <w:t>criteria.</w:t>
      </w:r>
    </w:p>
    <w:p>
      <w:pPr>
        <w:pStyle w:val="Heading9"/>
        <w:numPr>
          <w:ilvl w:val="1"/>
          <w:numId w:val="29"/>
        </w:numPr>
        <w:tabs>
          <w:tab w:pos="2200" w:val="left" w:leader="none"/>
        </w:tabs>
        <w:spacing w:line="240" w:lineRule="auto" w:before="162" w:after="0"/>
        <w:ind w:left="2200" w:right="0" w:hanging="480"/>
        <w:jc w:val="both"/>
      </w:pPr>
      <w:bookmarkStart w:name="_TOC_250001" w:id="639"/>
      <w:bookmarkStart w:name="10.3 Recommendations for future work" w:id="640"/>
      <w:r>
        <w:rPr>
          <w:b w:val="0"/>
        </w:rPr>
      </w:r>
      <w:bookmarkEnd w:id="640"/>
      <w:bookmarkStart w:name="10.3 Recommendations for future work" w:id="641"/>
      <w:r>
        <w:rPr/>
        <w:t>R</w:t>
      </w:r>
      <w:r>
        <w:rPr/>
        <w:t>ecommendations</w:t>
      </w:r>
      <w:r>
        <w:rPr>
          <w:spacing w:val="-4"/>
        </w:rPr>
        <w:t> </w:t>
      </w:r>
      <w:r>
        <w:rPr/>
        <w:t>for</w:t>
      </w:r>
      <w:r>
        <w:rPr>
          <w:spacing w:val="-3"/>
        </w:rPr>
        <w:t> </w:t>
      </w:r>
      <w:r>
        <w:rPr/>
        <w:t>future</w:t>
      </w:r>
      <w:r>
        <w:rPr>
          <w:spacing w:val="-4"/>
        </w:rPr>
        <w:t> </w:t>
      </w:r>
      <w:bookmarkEnd w:id="639"/>
      <w:r>
        <w:rPr/>
        <w:t>work</w:t>
      </w:r>
    </w:p>
    <w:p>
      <w:pPr>
        <w:pStyle w:val="BodyText"/>
        <w:spacing w:before="6"/>
        <w:rPr>
          <w:b/>
          <w:sz w:val="22"/>
        </w:rPr>
      </w:pPr>
    </w:p>
    <w:p>
      <w:pPr>
        <w:pStyle w:val="BodyText"/>
        <w:spacing w:line="480" w:lineRule="auto" w:before="1"/>
        <w:ind w:left="1719" w:right="557" w:firstLine="720"/>
        <w:jc w:val="both"/>
      </w:pPr>
      <w:r>
        <w:rPr/>
        <w:t>The foremost recommendation for future work is additional experimental testing</w:t>
      </w:r>
      <w:r>
        <w:rPr>
          <w:spacing w:val="1"/>
        </w:rPr>
        <w:t> </w:t>
      </w:r>
      <w:r>
        <w:rPr/>
        <w:t>for both ballistic resistance and blast performance of CLT to allow for standard ratings to</w:t>
      </w:r>
      <w:r>
        <w:rPr>
          <w:spacing w:val="1"/>
        </w:rPr>
        <w:t> </w:t>
      </w:r>
      <w:r>
        <w:rPr/>
        <w:t>be assigned to the material.</w:t>
      </w:r>
      <w:r>
        <w:rPr>
          <w:spacing w:val="1"/>
        </w:rPr>
        <w:t> </w:t>
      </w:r>
      <w:r>
        <w:rPr/>
        <w:t>The ballistic testing needs to expand into additional munition</w:t>
      </w:r>
      <w:r>
        <w:rPr>
          <w:spacing w:val="-57"/>
        </w:rPr>
        <w:t> </w:t>
      </w:r>
      <w:r>
        <w:rPr/>
        <w:t>types with varied nose shapes to allow for empirical models to include that variable.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blast</w:t>
      </w:r>
      <w:r>
        <w:rPr>
          <w:spacing w:val="27"/>
        </w:rPr>
        <w:t> </w:t>
      </w:r>
      <w:r>
        <w:rPr/>
        <w:t>testing</w:t>
      </w:r>
      <w:r>
        <w:rPr>
          <w:spacing w:val="27"/>
        </w:rPr>
        <w:t> </w:t>
      </w:r>
      <w:r>
        <w:rPr/>
        <w:t>needs</w:t>
      </w:r>
      <w:r>
        <w:rPr>
          <w:spacing w:val="28"/>
        </w:rPr>
        <w:t> </w:t>
      </w:r>
      <w:r>
        <w:rPr/>
        <w:t>to</w:t>
      </w:r>
      <w:r>
        <w:rPr>
          <w:spacing w:val="28"/>
        </w:rPr>
        <w:t> </w:t>
      </w:r>
      <w:r>
        <w:rPr/>
        <w:t>extend</w:t>
      </w:r>
      <w:r>
        <w:rPr>
          <w:spacing w:val="29"/>
        </w:rPr>
        <w:t> </w:t>
      </w:r>
      <w:r>
        <w:rPr/>
        <w:t>the</w:t>
      </w:r>
      <w:r>
        <w:rPr>
          <w:spacing w:val="28"/>
        </w:rPr>
        <w:t> </w:t>
      </w:r>
      <w:r>
        <w:rPr/>
        <w:t>material</w:t>
      </w:r>
      <w:r>
        <w:rPr>
          <w:spacing w:val="28"/>
        </w:rPr>
        <w:t> </w:t>
      </w:r>
      <w:r>
        <w:rPr/>
        <w:t>response</w:t>
      </w:r>
      <w:r>
        <w:rPr>
          <w:spacing w:val="29"/>
        </w:rPr>
        <w:t> </w:t>
      </w:r>
      <w:r>
        <w:rPr/>
        <w:t>into</w:t>
      </w:r>
      <w:r>
        <w:rPr>
          <w:spacing w:val="28"/>
        </w:rPr>
        <w:t> </w:t>
      </w:r>
      <w:r>
        <w:rPr/>
        <w:t>the</w:t>
      </w:r>
      <w:r>
        <w:rPr>
          <w:spacing w:val="28"/>
        </w:rPr>
        <w:t> </w:t>
      </w:r>
      <w:r>
        <w:rPr/>
        <w:t>inelastic</w:t>
      </w:r>
      <w:r>
        <w:rPr>
          <w:spacing w:val="28"/>
        </w:rPr>
        <w:t> </w:t>
      </w:r>
      <w:r>
        <w:rPr/>
        <w:t>regime</w:t>
      </w:r>
      <w:r>
        <w:rPr>
          <w:spacing w:val="28"/>
        </w:rPr>
        <w:t> </w:t>
      </w:r>
      <w:r>
        <w:rPr/>
        <w:t>so</w:t>
      </w:r>
      <w:r>
        <w:rPr>
          <w:spacing w:val="29"/>
        </w:rPr>
        <w:t> </w:t>
      </w:r>
      <w:r>
        <w:rPr/>
        <w:t>that</w:t>
      </w:r>
      <w:r>
        <w:rPr>
          <w:spacing w:val="29"/>
        </w:rPr>
        <w:t> </w:t>
      </w:r>
      <w:r>
        <w:rPr/>
        <w:t>the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440" w:right="880"/>
        </w:sectPr>
      </w:pPr>
    </w:p>
    <w:p>
      <w:pPr>
        <w:pStyle w:val="BodyText"/>
        <w:spacing w:line="480" w:lineRule="auto" w:before="78"/>
        <w:ind w:left="1720" w:right="559"/>
        <w:jc w:val="both"/>
      </w:pPr>
      <w:r>
        <w:rPr/>
        <w:t>resistance function can include the expected displacements and associated panel stiffness</w:t>
      </w:r>
      <w:r>
        <w:rPr>
          <w:spacing w:val="1"/>
        </w:rPr>
        <w:t> </w:t>
      </w:r>
      <w:r>
        <w:rPr/>
        <w:t>as</w:t>
      </w:r>
      <w:r>
        <w:rPr>
          <w:spacing w:val="-1"/>
        </w:rPr>
        <w:t> </w:t>
      </w:r>
      <w:r>
        <w:rPr/>
        <w:t>plies fracture in</w:t>
      </w:r>
      <w:r>
        <w:rPr>
          <w:spacing w:val="-2"/>
        </w:rPr>
        <w:t> </w:t>
      </w:r>
      <w:r>
        <w:rPr/>
        <w:t>the composite material.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/>
        <w:ind w:left="1720" w:right="557" w:firstLine="720"/>
        <w:jc w:val="both"/>
      </w:pPr>
      <w:r>
        <w:rPr/>
        <w:t>Additional ECLT layups based on the test results of this research are another area</w:t>
      </w:r>
      <w:r>
        <w:rPr>
          <w:spacing w:val="1"/>
        </w:rPr>
        <w:t> </w:t>
      </w:r>
      <w:r>
        <w:rPr/>
        <w:t>of</w:t>
      </w:r>
      <w:r>
        <w:rPr>
          <w:spacing w:val="-10"/>
        </w:rPr>
        <w:t> </w:t>
      </w:r>
      <w:r>
        <w:rPr/>
        <w:t>research</w:t>
      </w:r>
      <w:r>
        <w:rPr>
          <w:spacing w:val="-10"/>
        </w:rPr>
        <w:t> </w:t>
      </w:r>
      <w:r>
        <w:rPr/>
        <w:t>that</w:t>
      </w:r>
      <w:r>
        <w:rPr>
          <w:spacing w:val="-8"/>
        </w:rPr>
        <w:t> </w:t>
      </w:r>
      <w:r>
        <w:rPr/>
        <w:t>yield</w:t>
      </w:r>
      <w:r>
        <w:rPr>
          <w:spacing w:val="-11"/>
        </w:rPr>
        <w:t> </w:t>
      </w:r>
      <w:r>
        <w:rPr/>
        <w:t>significant</w:t>
      </w:r>
      <w:r>
        <w:rPr>
          <w:spacing w:val="-8"/>
        </w:rPr>
        <w:t> </w:t>
      </w:r>
      <w:r>
        <w:rPr/>
        <w:t>developments</w:t>
      </w:r>
      <w:r>
        <w:rPr>
          <w:spacing w:val="-9"/>
        </w:rPr>
        <w:t> </w:t>
      </w:r>
      <w:r>
        <w:rPr/>
        <w:t>in</w:t>
      </w:r>
      <w:r>
        <w:rPr>
          <w:spacing w:val="-10"/>
        </w:rPr>
        <w:t> </w:t>
      </w:r>
      <w:r>
        <w:rPr/>
        <w:t>terms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hybridizing</w:t>
      </w:r>
      <w:r>
        <w:rPr>
          <w:spacing w:val="-11"/>
        </w:rPr>
        <w:t> </w:t>
      </w:r>
      <w:r>
        <w:rPr/>
        <w:t>the</w:t>
      </w:r>
      <w:r>
        <w:rPr>
          <w:spacing w:val="-10"/>
        </w:rPr>
        <w:t> </w:t>
      </w:r>
      <w:r>
        <w:rPr/>
        <w:t>composite</w:t>
      </w:r>
      <w:r>
        <w:rPr>
          <w:spacing w:val="-9"/>
        </w:rPr>
        <w:t> </w:t>
      </w:r>
      <w:r>
        <w:rPr/>
        <w:t>panel</w:t>
      </w:r>
      <w:r>
        <w:rPr>
          <w:spacing w:val="-58"/>
        </w:rPr>
        <w:t> </w:t>
      </w:r>
      <w:r>
        <w:rPr>
          <w:spacing w:val="-1"/>
        </w:rPr>
        <w:t>to</w:t>
      </w:r>
      <w:r>
        <w:rPr>
          <w:spacing w:val="-15"/>
        </w:rPr>
        <w:t> </w:t>
      </w:r>
      <w:r>
        <w:rPr>
          <w:spacing w:val="-1"/>
        </w:rPr>
        <w:t>create</w:t>
      </w:r>
      <w:r>
        <w:rPr>
          <w:spacing w:val="-15"/>
        </w:rPr>
        <w:t> </w:t>
      </w:r>
      <w:r>
        <w:rPr>
          <w:spacing w:val="-1"/>
        </w:rPr>
        <w:t>a</w:t>
      </w:r>
      <w:r>
        <w:rPr>
          <w:spacing w:val="-14"/>
        </w:rPr>
        <w:t> </w:t>
      </w:r>
      <w:r>
        <w:rPr>
          <w:spacing w:val="-1"/>
        </w:rPr>
        <w:t>cost-effective,</w:t>
      </w:r>
      <w:r>
        <w:rPr>
          <w:spacing w:val="-15"/>
        </w:rPr>
        <w:t> </w:t>
      </w:r>
      <w:r>
        <w:rPr/>
        <w:t>highly</w:t>
      </w:r>
      <w:r>
        <w:rPr>
          <w:spacing w:val="-15"/>
        </w:rPr>
        <w:t> </w:t>
      </w:r>
      <w:r>
        <w:rPr/>
        <w:t>ballistic</w:t>
      </w:r>
      <w:r>
        <w:rPr>
          <w:spacing w:val="-15"/>
        </w:rPr>
        <w:t> </w:t>
      </w:r>
      <w:r>
        <w:rPr/>
        <w:t>resistant</w:t>
      </w:r>
      <w:r>
        <w:rPr>
          <w:spacing w:val="-16"/>
        </w:rPr>
        <w:t> </w:t>
      </w:r>
      <w:r>
        <w:rPr/>
        <w:t>construction</w:t>
      </w:r>
      <w:r>
        <w:rPr>
          <w:spacing w:val="-14"/>
        </w:rPr>
        <w:t> </w:t>
      </w:r>
      <w:r>
        <w:rPr/>
        <w:t>material</w:t>
      </w:r>
      <w:r>
        <w:rPr>
          <w:spacing w:val="-14"/>
        </w:rPr>
        <w:t> </w:t>
      </w:r>
      <w:r>
        <w:rPr/>
        <w:t>for</w:t>
      </w:r>
      <w:r>
        <w:rPr>
          <w:spacing w:val="-14"/>
        </w:rPr>
        <w:t> </w:t>
      </w:r>
      <w:r>
        <w:rPr/>
        <w:t>specialized</w:t>
      </w:r>
      <w:r>
        <w:rPr>
          <w:spacing w:val="-15"/>
        </w:rPr>
        <w:t> </w:t>
      </w:r>
      <w:r>
        <w:rPr/>
        <w:t>uses</w:t>
      </w:r>
      <w:r>
        <w:rPr>
          <w:spacing w:val="-58"/>
        </w:rPr>
        <w:t> </w:t>
      </w:r>
      <w:r>
        <w:rPr/>
        <w:t>to</w:t>
      </w:r>
      <w:r>
        <w:rPr>
          <w:spacing w:val="-11"/>
        </w:rPr>
        <w:t> </w:t>
      </w:r>
      <w:r>
        <w:rPr/>
        <w:t>include,</w:t>
      </w:r>
      <w:r>
        <w:rPr>
          <w:spacing w:val="-11"/>
        </w:rPr>
        <w:t> </w:t>
      </w:r>
      <w:r>
        <w:rPr/>
        <w:t>but</w:t>
      </w:r>
      <w:r>
        <w:rPr>
          <w:spacing w:val="-9"/>
        </w:rPr>
        <w:t> </w:t>
      </w:r>
      <w:r>
        <w:rPr/>
        <w:t>not</w:t>
      </w:r>
      <w:r>
        <w:rPr>
          <w:spacing w:val="-11"/>
        </w:rPr>
        <w:t> </w:t>
      </w:r>
      <w:r>
        <w:rPr/>
        <w:t>limited</w:t>
      </w:r>
      <w:r>
        <w:rPr>
          <w:spacing w:val="-11"/>
        </w:rPr>
        <w:t> </w:t>
      </w:r>
      <w:r>
        <w:rPr/>
        <w:t>to,</w:t>
      </w:r>
      <w:r>
        <w:rPr>
          <w:spacing w:val="-11"/>
        </w:rPr>
        <w:t> </w:t>
      </w:r>
      <w:r>
        <w:rPr/>
        <w:t>temporary</w:t>
      </w:r>
      <w:r>
        <w:rPr>
          <w:spacing w:val="-10"/>
        </w:rPr>
        <w:t> </w:t>
      </w:r>
      <w:r>
        <w:rPr/>
        <w:t>military</w:t>
      </w:r>
      <w:r>
        <w:rPr>
          <w:spacing w:val="-11"/>
        </w:rPr>
        <w:t> </w:t>
      </w:r>
      <w:r>
        <w:rPr/>
        <w:t>structures.</w:t>
      </w:r>
      <w:r>
        <w:rPr>
          <w:spacing w:val="37"/>
        </w:rPr>
        <w:t> </w:t>
      </w:r>
      <w:r>
        <w:rPr/>
        <w:t>Each</w:t>
      </w:r>
      <w:r>
        <w:rPr>
          <w:spacing w:val="-10"/>
        </w:rPr>
        <w:t> </w:t>
      </w:r>
      <w:r>
        <w:rPr/>
        <w:t>new</w:t>
      </w:r>
      <w:r>
        <w:rPr>
          <w:spacing w:val="-10"/>
        </w:rPr>
        <w:t> </w:t>
      </w:r>
      <w:r>
        <w:rPr/>
        <w:t>layup</w:t>
      </w:r>
      <w:r>
        <w:rPr>
          <w:spacing w:val="-11"/>
        </w:rPr>
        <w:t> </w:t>
      </w:r>
      <w:r>
        <w:rPr/>
        <w:t>would</w:t>
      </w:r>
      <w:r>
        <w:rPr>
          <w:spacing w:val="-10"/>
        </w:rPr>
        <w:t> </w:t>
      </w:r>
      <w:r>
        <w:rPr/>
        <w:t>require</w:t>
      </w:r>
      <w:r>
        <w:rPr>
          <w:spacing w:val="-58"/>
        </w:rPr>
        <w:t> </w:t>
      </w:r>
      <w:r>
        <w:rPr/>
        <w:t>not just ballistic testing but also blast testing and other static tests of strength and stiffness</w:t>
      </w:r>
      <w:r>
        <w:rPr>
          <w:spacing w:val="-57"/>
        </w:rPr>
        <w:t> </w:t>
      </w:r>
      <w:r>
        <w:rPr/>
        <w:t>for</w:t>
      </w:r>
      <w:r>
        <w:rPr>
          <w:spacing w:val="-1"/>
        </w:rPr>
        <w:t> </w:t>
      </w:r>
      <w:r>
        <w:rPr/>
        <w:t>use in constructing a</w:t>
      </w:r>
      <w:r>
        <w:rPr>
          <w:spacing w:val="-1"/>
        </w:rPr>
        <w:t> </w:t>
      </w:r>
      <w:r>
        <w:rPr/>
        <w:t>structure.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/>
        <w:ind w:left="1720" w:right="557" w:firstLine="720"/>
        <w:jc w:val="both"/>
      </w:pPr>
      <w:r>
        <w:rPr/>
        <w:t>Additionally, beyond the realm of force protection, other areas related to the</w:t>
      </w:r>
      <w:r>
        <w:rPr>
          <w:spacing w:val="1"/>
        </w:rPr>
        <w:t> </w:t>
      </w:r>
      <w:r>
        <w:rPr/>
        <w:t>evaluation criteria defined for temporary military structures need to be explored for CLT.</w:t>
      </w:r>
      <w:r>
        <w:rPr>
          <w:spacing w:val="1"/>
        </w:rPr>
        <w:t> </w:t>
      </w:r>
      <w:r>
        <w:rPr/>
        <w:t>This includes energy efficiency, logistical feasibility and rapid constructability.</w:t>
      </w:r>
      <w:r>
        <w:rPr>
          <w:spacing w:val="1"/>
        </w:rPr>
        <w:t> </w:t>
      </w:r>
      <w:r>
        <w:rPr/>
        <w:t>Energy</w:t>
      </w:r>
      <w:r>
        <w:rPr>
          <w:spacing w:val="1"/>
        </w:rPr>
        <w:t> </w:t>
      </w:r>
      <w:r>
        <w:rPr/>
        <w:t>efficiency could examine cost-benefit of using the heavier CLT panels in temporary</w:t>
      </w:r>
      <w:r>
        <w:rPr>
          <w:spacing w:val="1"/>
        </w:rPr>
        <w:t> </w:t>
      </w:r>
      <w:r>
        <w:rPr/>
        <w:t>military structures given its thermal performance.</w:t>
      </w:r>
      <w:r>
        <w:rPr>
          <w:spacing w:val="1"/>
        </w:rPr>
        <w:t> </w:t>
      </w:r>
      <w:r>
        <w:rPr/>
        <w:t>The logistical feasibility assessment</w:t>
      </w:r>
      <w:r>
        <w:rPr>
          <w:spacing w:val="1"/>
        </w:rPr>
        <w:t> </w:t>
      </w:r>
      <w:r>
        <w:rPr/>
        <w:t>could</w:t>
      </w:r>
      <w:r>
        <w:rPr>
          <w:spacing w:val="-11"/>
        </w:rPr>
        <w:t> </w:t>
      </w:r>
      <w:r>
        <w:rPr/>
        <w:t>include</w:t>
      </w:r>
      <w:r>
        <w:rPr>
          <w:spacing w:val="-10"/>
        </w:rPr>
        <w:t> </w:t>
      </w:r>
      <w:r>
        <w:rPr/>
        <w:t>developing</w:t>
      </w:r>
      <w:r>
        <w:rPr>
          <w:spacing w:val="-11"/>
        </w:rPr>
        <w:t> </w:t>
      </w:r>
      <w:r>
        <w:rPr/>
        <w:t>a</w:t>
      </w:r>
      <w:r>
        <w:rPr>
          <w:spacing w:val="-10"/>
        </w:rPr>
        <w:t> </w:t>
      </w:r>
      <w:r>
        <w:rPr/>
        <w:t>prototype</w:t>
      </w:r>
      <w:r>
        <w:rPr>
          <w:spacing w:val="-11"/>
        </w:rPr>
        <w:t> </w:t>
      </w:r>
      <w:r>
        <w:rPr/>
        <w:t>CLT</w:t>
      </w:r>
      <w:r>
        <w:rPr>
          <w:spacing w:val="-10"/>
        </w:rPr>
        <w:t> </w:t>
      </w:r>
      <w:r>
        <w:rPr/>
        <w:t>structure</w:t>
      </w:r>
      <w:r>
        <w:rPr>
          <w:spacing w:val="-10"/>
        </w:rPr>
        <w:t> </w:t>
      </w:r>
      <w:r>
        <w:rPr/>
        <w:t>similar</w:t>
      </w:r>
      <w:r>
        <w:rPr>
          <w:spacing w:val="-11"/>
        </w:rPr>
        <w:t> </w:t>
      </w:r>
      <w:r>
        <w:rPr/>
        <w:t>to</w:t>
      </w:r>
      <w:r>
        <w:rPr>
          <w:spacing w:val="-11"/>
        </w:rPr>
        <w:t> </w:t>
      </w:r>
      <w:r>
        <w:rPr/>
        <w:t>a</w:t>
      </w:r>
      <w:r>
        <w:rPr>
          <w:spacing w:val="-10"/>
        </w:rPr>
        <w:t> </w:t>
      </w:r>
      <w:r>
        <w:rPr/>
        <w:t>B-hut</w:t>
      </w:r>
      <w:r>
        <w:rPr>
          <w:spacing w:val="-9"/>
        </w:rPr>
        <w:t> </w:t>
      </w:r>
      <w:r>
        <w:rPr/>
        <w:t>based</w:t>
      </w:r>
      <w:r>
        <w:rPr>
          <w:spacing w:val="-10"/>
        </w:rPr>
        <w:t> </w:t>
      </w:r>
      <w:r>
        <w:rPr/>
        <w:t>on</w:t>
      </w:r>
      <w:r>
        <w:rPr>
          <w:spacing w:val="-10"/>
        </w:rPr>
        <w:t> </w:t>
      </w:r>
      <w:r>
        <w:rPr/>
        <w:t>weight</w:t>
      </w:r>
      <w:r>
        <w:rPr>
          <w:spacing w:val="-11"/>
        </w:rPr>
        <w:t> </w:t>
      </w:r>
      <w:r>
        <w:rPr/>
        <w:t>and</w:t>
      </w:r>
      <w:r>
        <w:rPr>
          <w:spacing w:val="-58"/>
        </w:rPr>
        <w:t> </w:t>
      </w:r>
      <w:r>
        <w:rPr/>
        <w:t>capacity limitations of commonly available equipment for transport and assembly.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>
          <w:spacing w:val="-1"/>
        </w:rPr>
        <w:t>would</w:t>
      </w:r>
      <w:r>
        <w:rPr>
          <w:spacing w:val="-13"/>
        </w:rPr>
        <w:t> </w:t>
      </w:r>
      <w:r>
        <w:rPr/>
        <w:t>tie</w:t>
      </w:r>
      <w:r>
        <w:rPr>
          <w:spacing w:val="-13"/>
        </w:rPr>
        <w:t> </w:t>
      </w:r>
      <w:r>
        <w:rPr/>
        <w:t>to</w:t>
      </w:r>
      <w:r>
        <w:rPr>
          <w:spacing w:val="-15"/>
        </w:rPr>
        <w:t> </w:t>
      </w:r>
      <w:r>
        <w:rPr/>
        <w:t>the</w:t>
      </w:r>
      <w:r>
        <w:rPr>
          <w:spacing w:val="-12"/>
        </w:rPr>
        <w:t> </w:t>
      </w:r>
      <w:r>
        <w:rPr/>
        <w:t>rapid</w:t>
      </w:r>
      <w:r>
        <w:rPr>
          <w:spacing w:val="-13"/>
        </w:rPr>
        <w:t> </w:t>
      </w:r>
      <w:r>
        <w:rPr/>
        <w:t>constructability</w:t>
      </w:r>
      <w:r>
        <w:rPr>
          <w:spacing w:val="-13"/>
        </w:rPr>
        <w:t> </w:t>
      </w:r>
      <w:r>
        <w:rPr/>
        <w:t>as</w:t>
      </w:r>
      <w:r>
        <w:rPr>
          <w:spacing w:val="-12"/>
        </w:rPr>
        <w:t> </w:t>
      </w:r>
      <w:r>
        <w:rPr/>
        <w:t>well</w:t>
      </w:r>
      <w:r>
        <w:rPr>
          <w:spacing w:val="-13"/>
        </w:rPr>
        <w:t> </w:t>
      </w:r>
      <w:r>
        <w:rPr/>
        <w:t>because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structure</w:t>
      </w:r>
      <w:r>
        <w:rPr>
          <w:spacing w:val="-13"/>
        </w:rPr>
        <w:t> </w:t>
      </w:r>
      <w:r>
        <w:rPr/>
        <w:t>would</w:t>
      </w:r>
      <w:r>
        <w:rPr>
          <w:spacing w:val="-15"/>
        </w:rPr>
        <w:t> </w:t>
      </w:r>
      <w:r>
        <w:rPr/>
        <w:t>need</w:t>
      </w:r>
      <w:r>
        <w:rPr>
          <w:spacing w:val="-12"/>
        </w:rPr>
        <w:t> </w:t>
      </w:r>
      <w:r>
        <w:rPr/>
        <w:t>connections</w:t>
      </w:r>
      <w:r>
        <w:rPr>
          <w:spacing w:val="-58"/>
        </w:rPr>
        <w:t> </w:t>
      </w:r>
      <w:r>
        <w:rPr/>
        <w:t>between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CLT</w:t>
      </w:r>
      <w:r>
        <w:rPr>
          <w:spacing w:val="-1"/>
        </w:rPr>
        <w:t> </w:t>
      </w:r>
      <w:r>
        <w:rPr/>
        <w:t>panels.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/>
        <w:ind w:left="1719" w:right="557" w:firstLine="720"/>
        <w:jc w:val="both"/>
      </w:pPr>
      <w:r>
        <w:rPr/>
        <w:t>In conclusion, this research was intended to explore CLT for use in temporary</w:t>
      </w:r>
      <w:r>
        <w:rPr>
          <w:spacing w:val="1"/>
        </w:rPr>
        <w:t> </w:t>
      </w:r>
      <w:r>
        <w:rPr/>
        <w:t>military structures.</w:t>
      </w:r>
      <w:r>
        <w:rPr>
          <w:spacing w:val="1"/>
        </w:rPr>
        <w:t> </w:t>
      </w:r>
      <w:r>
        <w:rPr/>
        <w:t>As a wood product, the composite is a complex material offering</w:t>
      </w:r>
      <w:r>
        <w:rPr>
          <w:spacing w:val="1"/>
        </w:rPr>
        <w:t> </w:t>
      </w:r>
      <w:r>
        <w:rPr/>
        <w:t>unique characteristics and an expanded use of wood as a structural component. A primary</w:t>
      </w:r>
      <w:r>
        <w:rPr>
          <w:spacing w:val="-57"/>
        </w:rPr>
        <w:t> </w:t>
      </w:r>
      <w:r>
        <w:rPr/>
        <w:t>concern with temporary military structures is protection of the occupants from threats in</w:t>
      </w:r>
      <w:r>
        <w:rPr>
          <w:spacing w:val="1"/>
        </w:rPr>
        <w:t> </w:t>
      </w:r>
      <w:r>
        <w:rPr/>
        <w:t>overseas</w:t>
      </w:r>
      <w:r>
        <w:rPr>
          <w:spacing w:val="26"/>
        </w:rPr>
        <w:t> </w:t>
      </w:r>
      <w:r>
        <w:rPr/>
        <w:t>environments</w:t>
      </w:r>
      <w:r>
        <w:rPr>
          <w:spacing w:val="26"/>
        </w:rPr>
        <w:t> </w:t>
      </w:r>
      <w:r>
        <w:rPr/>
        <w:t>such</w:t>
      </w:r>
      <w:r>
        <w:rPr>
          <w:spacing w:val="26"/>
        </w:rPr>
        <w:t> </w:t>
      </w:r>
      <w:r>
        <w:rPr/>
        <w:t>as</w:t>
      </w:r>
      <w:r>
        <w:rPr>
          <w:spacing w:val="26"/>
        </w:rPr>
        <w:t> </w:t>
      </w:r>
      <w:r>
        <w:rPr/>
        <w:t>small</w:t>
      </w:r>
      <w:r>
        <w:rPr>
          <w:spacing w:val="27"/>
        </w:rPr>
        <w:t> </w:t>
      </w:r>
      <w:r>
        <w:rPr/>
        <w:t>arms</w:t>
      </w:r>
      <w:r>
        <w:rPr>
          <w:spacing w:val="26"/>
        </w:rPr>
        <w:t> </w:t>
      </w:r>
      <w:r>
        <w:rPr/>
        <w:t>weapons</w:t>
      </w:r>
      <w:r>
        <w:rPr>
          <w:spacing w:val="27"/>
        </w:rPr>
        <w:t> </w:t>
      </w:r>
      <w:r>
        <w:rPr/>
        <w:t>and</w:t>
      </w:r>
      <w:r>
        <w:rPr>
          <w:spacing w:val="26"/>
        </w:rPr>
        <w:t> </w:t>
      </w:r>
      <w:r>
        <w:rPr/>
        <w:t>explosives.</w:t>
      </w:r>
      <w:r>
        <w:rPr>
          <w:spacing w:val="54"/>
        </w:rPr>
        <w:t> </w:t>
      </w:r>
      <w:r>
        <w:rPr/>
        <w:t>Today,</w:t>
      </w:r>
      <w:r>
        <w:rPr>
          <w:spacing w:val="26"/>
        </w:rPr>
        <w:t> </w:t>
      </w:r>
      <w:r>
        <w:rPr/>
        <w:t>troops</w:t>
      </w:r>
      <w:r>
        <w:rPr>
          <w:spacing w:val="25"/>
        </w:rPr>
        <w:t> </w:t>
      </w:r>
      <w:r>
        <w:rPr/>
        <w:t>are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440" w:right="880"/>
        </w:sectPr>
      </w:pPr>
    </w:p>
    <w:p>
      <w:pPr>
        <w:pStyle w:val="BodyText"/>
        <w:spacing w:line="480" w:lineRule="auto" w:before="78"/>
        <w:ind w:left="1719" w:right="557"/>
        <w:jc w:val="both"/>
      </w:pPr>
      <w:r>
        <w:rPr/>
        <w:t>protected by standoff distances, concrete bunkers and barriers.</w:t>
      </w:r>
      <w:r>
        <w:rPr>
          <w:spacing w:val="1"/>
        </w:rPr>
        <w:t> </w:t>
      </w:r>
      <w:r>
        <w:rPr/>
        <w:t>However, wood has a</w:t>
      </w:r>
      <w:r>
        <w:rPr>
          <w:spacing w:val="1"/>
        </w:rPr>
        <w:t> </w:t>
      </w:r>
      <w:r>
        <w:rPr/>
        <w:t>unique energy absorption capacity and thick wooden panels of CLT may provide a viable</w:t>
      </w:r>
      <w:r>
        <w:rPr>
          <w:spacing w:val="-57"/>
        </w:rPr>
        <w:t> </w:t>
      </w:r>
      <w:r>
        <w:rPr/>
        <w:t>material alternative for temporary military structure construction. This investigation into</w:t>
      </w:r>
      <w:r>
        <w:rPr>
          <w:spacing w:val="1"/>
        </w:rPr>
        <w:t> </w:t>
      </w:r>
      <w:r>
        <w:rPr/>
        <w:t>CLT</w:t>
      </w:r>
      <w:r>
        <w:rPr>
          <w:spacing w:val="-14"/>
        </w:rPr>
        <w:t> </w:t>
      </w:r>
      <w:r>
        <w:rPr/>
        <w:t>performance</w:t>
      </w:r>
      <w:r>
        <w:rPr>
          <w:spacing w:val="-13"/>
        </w:rPr>
        <w:t> </w:t>
      </w:r>
      <w:r>
        <w:rPr/>
        <w:t>has</w:t>
      </w:r>
      <w:r>
        <w:rPr>
          <w:spacing w:val="-12"/>
        </w:rPr>
        <w:t> </w:t>
      </w:r>
      <w:r>
        <w:rPr/>
        <w:t>shown</w:t>
      </w:r>
      <w:r>
        <w:rPr>
          <w:spacing w:val="-13"/>
        </w:rPr>
        <w:t> </w:t>
      </w:r>
      <w:r>
        <w:rPr/>
        <w:t>that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material</w:t>
      </w:r>
      <w:r>
        <w:rPr>
          <w:spacing w:val="-12"/>
        </w:rPr>
        <w:t> </w:t>
      </w:r>
      <w:r>
        <w:rPr/>
        <w:t>has</w:t>
      </w:r>
      <w:r>
        <w:rPr>
          <w:spacing w:val="-13"/>
        </w:rPr>
        <w:t> </w:t>
      </w:r>
      <w:r>
        <w:rPr/>
        <w:t>potential</w:t>
      </w:r>
      <w:r>
        <w:rPr>
          <w:spacing w:val="-12"/>
        </w:rPr>
        <w:t> </w:t>
      </w:r>
      <w:r>
        <w:rPr/>
        <w:t>for</w:t>
      </w:r>
      <w:r>
        <w:rPr>
          <w:spacing w:val="-13"/>
        </w:rPr>
        <w:t> </w:t>
      </w:r>
      <w:r>
        <w:rPr/>
        <w:t>improved</w:t>
      </w:r>
      <w:r>
        <w:rPr>
          <w:spacing w:val="-12"/>
        </w:rPr>
        <w:t> </w:t>
      </w:r>
      <w:r>
        <w:rPr/>
        <w:t>performance</w:t>
      </w:r>
      <w:r>
        <w:rPr>
          <w:spacing w:val="-13"/>
        </w:rPr>
        <w:t> </w:t>
      </w:r>
      <w:r>
        <w:rPr/>
        <w:t>over</w:t>
      </w:r>
      <w:r>
        <w:rPr>
          <w:spacing w:val="-57"/>
        </w:rPr>
        <w:t> </w:t>
      </w:r>
      <w:r>
        <w:rPr/>
        <w:t>currently used materials and serves as a starting point for future work involving ballistic</w:t>
      </w:r>
      <w:r>
        <w:rPr>
          <w:spacing w:val="1"/>
        </w:rPr>
        <w:t> </w:t>
      </w:r>
      <w:r>
        <w:rPr/>
        <w:t>ratings</w:t>
      </w:r>
      <w:r>
        <w:rPr>
          <w:spacing w:val="-1"/>
        </w:rPr>
        <w:t> </w:t>
      </w:r>
      <w:r>
        <w:rPr/>
        <w:t>and expected blast performance.</w:t>
      </w:r>
    </w:p>
    <w:p>
      <w:pPr>
        <w:spacing w:after="0" w:line="480" w:lineRule="auto"/>
        <w:jc w:val="both"/>
        <w:sectPr>
          <w:pgSz w:w="12240" w:h="15840"/>
          <w:pgMar w:header="0" w:footer="1064" w:top="1360" w:bottom="1260" w:left="440" w:right="880"/>
        </w:sectPr>
      </w:pPr>
    </w:p>
    <w:p>
      <w:pPr>
        <w:pStyle w:val="Heading4"/>
        <w:ind w:left="1937" w:right="778"/>
      </w:pPr>
      <w:r>
        <w:rPr/>
        <w:t>APPENDIX</w:t>
      </w:r>
      <w:r>
        <w:rPr>
          <w:spacing w:val="-4"/>
        </w:rPr>
        <w:t> </w:t>
      </w:r>
      <w:r>
        <w:rPr/>
        <w:t>A</w:t>
      </w: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spacing w:before="6"/>
        <w:rPr>
          <w:b/>
          <w:sz w:val="43"/>
        </w:rPr>
      </w:pPr>
    </w:p>
    <w:p>
      <w:pPr>
        <w:tabs>
          <w:tab w:pos="2152" w:val="left" w:leader="none"/>
        </w:tabs>
        <w:spacing w:before="0"/>
        <w:ind w:left="1158" w:right="0" w:firstLine="0"/>
        <w:jc w:val="center"/>
        <w:rPr>
          <w:b/>
          <w:sz w:val="20"/>
        </w:rPr>
      </w:pPr>
      <w:r>
        <w:rPr/>
        <w:pict>
          <v:shape style="position:absolute;margin-left:132.330002pt;margin-top:23.496136pt;width:382.95pt;height:142.450pt;mso-position-horizontal-relative:page;mso-position-vertical-relative:paragraph;z-index:1590784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546"/>
                    <w:gridCol w:w="1026"/>
                    <w:gridCol w:w="751"/>
                    <w:gridCol w:w="1200"/>
                    <w:gridCol w:w="1050"/>
                    <w:gridCol w:w="1014"/>
                    <w:gridCol w:w="1073"/>
                  </w:tblGrid>
                  <w:tr>
                    <w:trPr>
                      <w:trHeight w:val="508" w:hRule="atLeast"/>
                    </w:trPr>
                    <w:tc>
                      <w:tcPr>
                        <w:tcW w:w="1546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026" w:type="dxa"/>
                        <w:vMerge w:val="restart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0"/>
                          <w:rPr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59" w:lineRule="auto"/>
                          <w:ind w:left="198" w:right="159" w:hanging="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Powder</w:t>
                        </w:r>
                        <w:r>
                          <w:rPr>
                            <w:b/>
                            <w:spacing w:val="-47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Mass</w:t>
                        </w:r>
                        <w:r>
                          <w:rPr>
                            <w:b/>
                            <w:spacing w:val="1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(grains)</w:t>
                        </w:r>
                      </w:p>
                    </w:tc>
                    <w:tc>
                      <w:tcPr>
                        <w:tcW w:w="1951" w:type="dxa"/>
                        <w:gridSpan w:val="2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"/>
                          <w:rPr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23" w:lineRule="exact"/>
                          <w:ind w:left="193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Chrono-Based</w:t>
                        </w:r>
                      </w:p>
                    </w:tc>
                    <w:tc>
                      <w:tcPr>
                        <w:tcW w:w="2064" w:type="dxa"/>
                        <w:gridSpan w:val="2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"/>
                          <w:rPr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23" w:lineRule="exact"/>
                          <w:ind w:left="491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Chrono-Based</w:t>
                        </w:r>
                      </w:p>
                    </w:tc>
                    <w:tc>
                      <w:tcPr>
                        <w:tcW w:w="1073" w:type="dxa"/>
                        <w:vMerge w:val="restart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46"/>
                          <w:ind w:left="273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DOP</w:t>
                        </w:r>
                      </w:p>
                      <w:p>
                        <w:pPr>
                          <w:pStyle w:val="TableParagraph"/>
                          <w:spacing w:before="18"/>
                          <w:ind w:left="334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(in)</w:t>
                        </w:r>
                      </w:p>
                    </w:tc>
                  </w:tr>
                  <w:tr>
                    <w:trPr>
                      <w:trHeight w:val="256" w:hRule="atLeast"/>
                    </w:trPr>
                    <w:tc>
                      <w:tcPr>
                        <w:tcW w:w="1546" w:type="dxa"/>
                      </w:tcPr>
                      <w:p>
                        <w:pPr>
                          <w:pStyle w:val="TableParagraph"/>
                          <w:spacing w:before="5"/>
                          <w:ind w:left="566" w:right="477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Shot</w:t>
                        </w:r>
                      </w:p>
                    </w:tc>
                    <w:tc>
                      <w:tcPr>
                        <w:tcW w:w="1026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51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200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050" w:type="dxa"/>
                      </w:tcPr>
                      <w:p>
                        <w:pPr>
                          <w:pStyle w:val="TableParagraph"/>
                          <w:tabs>
                            <w:tab w:pos="1965" w:val="left" w:leader="none"/>
                          </w:tabs>
                          <w:spacing w:before="5"/>
                          <w:ind w:left="255" w:right="-922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100"/>
                            <w:sz w:val="20"/>
                            <w:u w:val="single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  <w:u w:val="single"/>
                          </w:rPr>
                          <w:tab/>
                        </w:r>
                      </w:p>
                    </w:tc>
                    <w:tc>
                      <w:tcPr>
                        <w:tcW w:w="1014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073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509" w:hRule="atLeast"/>
                    </w:trPr>
                    <w:tc>
                      <w:tcPr>
                        <w:tcW w:w="1546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026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51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165" w:right="177" w:firstLine="11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s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(fps)</w:t>
                        </w:r>
                      </w:p>
                    </w:tc>
                    <w:tc>
                      <w:tcPr>
                        <w:tcW w:w="1200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247" w:right="499" w:firstLine="141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s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(m/s)</w:t>
                        </w:r>
                      </w:p>
                    </w:tc>
                    <w:tc>
                      <w:tcPr>
                        <w:tcW w:w="1050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464" w:right="177" w:firstLine="11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r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(fps)</w:t>
                        </w:r>
                      </w:p>
                    </w:tc>
                    <w:tc>
                      <w:tcPr>
                        <w:tcW w:w="1014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247" w:right="313" w:firstLine="13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r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(m/s)</w:t>
                        </w:r>
                      </w:p>
                    </w:tc>
                    <w:tc>
                      <w:tcPr>
                        <w:tcW w:w="1073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305" w:hRule="atLeast"/>
                    </w:trPr>
                    <w:tc>
                      <w:tcPr>
                        <w:tcW w:w="1546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E-5P-1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4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01</w:t>
                        </w:r>
                      </w:p>
                    </w:tc>
                    <w:tc>
                      <w:tcPr>
                        <w:tcW w:w="1026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211" w:right="17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124.5</w:t>
                        </w:r>
                      </w:p>
                    </w:tc>
                    <w:tc>
                      <w:tcPr>
                        <w:tcW w:w="751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6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2739</w:t>
                        </w:r>
                      </w:p>
                    </w:tc>
                    <w:tc>
                      <w:tcPr>
                        <w:tcW w:w="1200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9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834.81</w:t>
                        </w:r>
                      </w:p>
                    </w:tc>
                    <w:tc>
                      <w:tcPr>
                        <w:tcW w:w="1050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46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1427</w:t>
                        </w:r>
                      </w:p>
                    </w:tc>
                    <w:tc>
                      <w:tcPr>
                        <w:tcW w:w="1014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9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434.93</w:t>
                        </w:r>
                      </w:p>
                    </w:tc>
                    <w:tc>
                      <w:tcPr>
                        <w:tcW w:w="1073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4"/>
                          <w:ind w:left="41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546" w:type="dxa"/>
                      </w:tcPr>
                      <w:p>
                        <w:pPr>
                          <w:pStyle w:val="TableParagraph"/>
                          <w:spacing w:before="43"/>
                          <w:ind w:left="1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E-5P-1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4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02</w:t>
                        </w:r>
                      </w:p>
                    </w:tc>
                    <w:tc>
                      <w:tcPr>
                        <w:tcW w:w="1026" w:type="dxa"/>
                      </w:tcPr>
                      <w:p>
                        <w:pPr>
                          <w:pStyle w:val="TableParagraph"/>
                          <w:spacing w:before="43"/>
                          <w:ind w:left="211" w:right="17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127.3</w:t>
                        </w:r>
                      </w:p>
                    </w:tc>
                    <w:tc>
                      <w:tcPr>
                        <w:tcW w:w="751" w:type="dxa"/>
                      </w:tcPr>
                      <w:p>
                        <w:pPr>
                          <w:pStyle w:val="TableParagraph"/>
                          <w:spacing w:before="43"/>
                          <w:ind w:left="16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2789</w:t>
                        </w:r>
                      </w:p>
                    </w:tc>
                    <w:tc>
                      <w:tcPr>
                        <w:tcW w:w="1200" w:type="dxa"/>
                      </w:tcPr>
                      <w:p>
                        <w:pPr>
                          <w:pStyle w:val="TableParagraph"/>
                          <w:spacing w:before="43"/>
                          <w:ind w:left="19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850.05</w:t>
                        </w:r>
                      </w:p>
                    </w:tc>
                    <w:tc>
                      <w:tcPr>
                        <w:tcW w:w="1050" w:type="dxa"/>
                      </w:tcPr>
                      <w:p>
                        <w:pPr>
                          <w:pStyle w:val="TableParagraph"/>
                          <w:spacing w:before="43"/>
                          <w:ind w:left="46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1571</w:t>
                        </w:r>
                      </w:p>
                    </w:tc>
                    <w:tc>
                      <w:tcPr>
                        <w:tcW w:w="1014" w:type="dxa"/>
                      </w:tcPr>
                      <w:p>
                        <w:pPr>
                          <w:pStyle w:val="TableParagraph"/>
                          <w:spacing w:before="43"/>
                          <w:ind w:left="19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478.82</w:t>
                        </w:r>
                      </w:p>
                    </w:tc>
                    <w:tc>
                      <w:tcPr>
                        <w:tcW w:w="1073" w:type="dxa"/>
                      </w:tcPr>
                      <w:p>
                        <w:pPr>
                          <w:pStyle w:val="TableParagraph"/>
                          <w:spacing w:before="18"/>
                          <w:ind w:left="41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546" w:type="dxa"/>
                      </w:tcPr>
                      <w:p>
                        <w:pPr>
                          <w:pStyle w:val="TableParagraph"/>
                          <w:spacing w:before="43"/>
                          <w:ind w:left="1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E-5P-1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4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03</w:t>
                        </w:r>
                      </w:p>
                    </w:tc>
                    <w:tc>
                      <w:tcPr>
                        <w:tcW w:w="1026" w:type="dxa"/>
                      </w:tcPr>
                      <w:p>
                        <w:pPr>
                          <w:pStyle w:val="TableParagraph"/>
                          <w:spacing w:before="43"/>
                          <w:ind w:left="212" w:right="17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81</w:t>
                        </w:r>
                      </w:p>
                    </w:tc>
                    <w:tc>
                      <w:tcPr>
                        <w:tcW w:w="751" w:type="dxa"/>
                      </w:tcPr>
                      <w:p>
                        <w:pPr>
                          <w:pStyle w:val="TableParagraph"/>
                          <w:spacing w:before="43"/>
                          <w:ind w:left="16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1989</w:t>
                        </w:r>
                      </w:p>
                    </w:tc>
                    <w:tc>
                      <w:tcPr>
                        <w:tcW w:w="1200" w:type="dxa"/>
                      </w:tcPr>
                      <w:p>
                        <w:pPr>
                          <w:pStyle w:val="TableParagraph"/>
                          <w:spacing w:before="43"/>
                          <w:ind w:left="19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606.22</w:t>
                        </w:r>
                      </w:p>
                    </w:tc>
                    <w:tc>
                      <w:tcPr>
                        <w:tcW w:w="1050" w:type="dxa"/>
                      </w:tcPr>
                      <w:p>
                        <w:pPr>
                          <w:pStyle w:val="TableParagraph"/>
                          <w:spacing w:before="43"/>
                          <w:ind w:left="50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588</w:t>
                        </w:r>
                      </w:p>
                    </w:tc>
                    <w:tc>
                      <w:tcPr>
                        <w:tcW w:w="1014" w:type="dxa"/>
                      </w:tcPr>
                      <w:p>
                        <w:pPr>
                          <w:pStyle w:val="TableParagraph"/>
                          <w:spacing w:before="43"/>
                          <w:ind w:left="19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179.21</w:t>
                        </w:r>
                      </w:p>
                    </w:tc>
                    <w:tc>
                      <w:tcPr>
                        <w:tcW w:w="1073" w:type="dxa"/>
                      </w:tcPr>
                      <w:p>
                        <w:pPr>
                          <w:pStyle w:val="TableParagraph"/>
                          <w:spacing w:before="18"/>
                          <w:ind w:left="41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</w:tr>
                  <w:tr>
                    <w:trPr>
                      <w:trHeight w:val="303" w:hRule="atLeast"/>
                    </w:trPr>
                    <w:tc>
                      <w:tcPr>
                        <w:tcW w:w="1546" w:type="dxa"/>
                      </w:tcPr>
                      <w:p>
                        <w:pPr>
                          <w:pStyle w:val="TableParagraph"/>
                          <w:spacing w:before="43"/>
                          <w:ind w:left="1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E-5P-1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4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04</w:t>
                        </w:r>
                      </w:p>
                    </w:tc>
                    <w:tc>
                      <w:tcPr>
                        <w:tcW w:w="1026" w:type="dxa"/>
                      </w:tcPr>
                      <w:p>
                        <w:pPr>
                          <w:pStyle w:val="TableParagraph"/>
                          <w:spacing w:before="43"/>
                          <w:ind w:left="212" w:right="17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74</w:t>
                        </w:r>
                      </w:p>
                    </w:tc>
                    <w:tc>
                      <w:tcPr>
                        <w:tcW w:w="751" w:type="dxa"/>
                      </w:tcPr>
                      <w:p>
                        <w:pPr>
                          <w:pStyle w:val="TableParagraph"/>
                          <w:spacing w:before="43"/>
                          <w:ind w:left="16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1781</w:t>
                        </w:r>
                      </w:p>
                    </w:tc>
                    <w:tc>
                      <w:tcPr>
                        <w:tcW w:w="1200" w:type="dxa"/>
                      </w:tcPr>
                      <w:p>
                        <w:pPr>
                          <w:pStyle w:val="TableParagraph"/>
                          <w:spacing w:before="43"/>
                          <w:ind w:left="19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542.82</w:t>
                        </w:r>
                      </w:p>
                    </w:tc>
                    <w:tc>
                      <w:tcPr>
                        <w:tcW w:w="1050" w:type="dxa"/>
                      </w:tcPr>
                      <w:p>
                        <w:pPr>
                          <w:pStyle w:val="TableParagraph"/>
                          <w:spacing w:before="43"/>
                          <w:ind w:left="50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639</w:t>
                        </w:r>
                      </w:p>
                    </w:tc>
                    <w:tc>
                      <w:tcPr>
                        <w:tcW w:w="1014" w:type="dxa"/>
                      </w:tcPr>
                      <w:p>
                        <w:pPr>
                          <w:pStyle w:val="TableParagraph"/>
                          <w:spacing w:before="43"/>
                          <w:ind w:left="19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194.76</w:t>
                        </w:r>
                      </w:p>
                    </w:tc>
                    <w:tc>
                      <w:tcPr>
                        <w:tcW w:w="1073" w:type="dxa"/>
                      </w:tcPr>
                      <w:p>
                        <w:pPr>
                          <w:pStyle w:val="TableParagraph"/>
                          <w:spacing w:before="18"/>
                          <w:ind w:left="41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</w:tr>
                  <w:tr>
                    <w:trPr>
                      <w:trHeight w:val="305" w:hRule="atLeast"/>
                    </w:trPr>
                    <w:tc>
                      <w:tcPr>
                        <w:tcW w:w="1546" w:type="dxa"/>
                        <w:tcBorders>
                          <w:bottom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55"/>
                          <w:ind w:left="1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E-5P-1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4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05</w:t>
                        </w:r>
                      </w:p>
                    </w:tc>
                    <w:tc>
                      <w:tcPr>
                        <w:tcW w:w="1026" w:type="dxa"/>
                        <w:tcBorders>
                          <w:bottom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55"/>
                          <w:ind w:left="212" w:right="17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67</w:t>
                        </w:r>
                      </w:p>
                    </w:tc>
                    <w:tc>
                      <w:tcPr>
                        <w:tcW w:w="751" w:type="dxa"/>
                        <w:tcBorders>
                          <w:bottom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55"/>
                          <w:ind w:left="16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1554</w:t>
                        </w:r>
                      </w:p>
                    </w:tc>
                    <w:tc>
                      <w:tcPr>
                        <w:tcW w:w="1200" w:type="dxa"/>
                        <w:tcBorders>
                          <w:bottom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55"/>
                          <w:ind w:left="19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473.64</w:t>
                        </w:r>
                      </w:p>
                    </w:tc>
                    <w:tc>
                      <w:tcPr>
                        <w:tcW w:w="1050" w:type="dxa"/>
                        <w:tcBorders>
                          <w:bottom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55"/>
                          <w:ind w:left="50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214</w:t>
                        </w:r>
                      </w:p>
                    </w:tc>
                    <w:tc>
                      <w:tcPr>
                        <w:tcW w:w="1014" w:type="dxa"/>
                        <w:tcBorders>
                          <w:bottom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55"/>
                          <w:ind w:left="23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65.22</w:t>
                        </w:r>
                      </w:p>
                    </w:tc>
                    <w:tc>
                      <w:tcPr>
                        <w:tcW w:w="1073" w:type="dxa"/>
                        <w:tcBorders>
                          <w:bottom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22"/>
                          <w:ind w:left="41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b/>
          <w:sz w:val="20"/>
        </w:rPr>
        <w:t>Table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1</w:t>
        <w:tab/>
        <w:t>0.50-cal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FSP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striking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specimen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E-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5P-1</w:t>
      </w: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spacing w:before="2"/>
        <w:rPr>
          <w:b/>
          <w:sz w:val="23"/>
        </w:rPr>
      </w:pPr>
    </w:p>
    <w:p>
      <w:pPr>
        <w:tabs>
          <w:tab w:pos="1971" w:val="left" w:leader="none"/>
        </w:tabs>
        <w:spacing w:before="1"/>
        <w:ind w:left="261" w:right="0" w:firstLine="0"/>
        <w:jc w:val="center"/>
        <w:rPr>
          <w:b/>
          <w:sz w:val="20"/>
        </w:rPr>
      </w:pPr>
      <w:r>
        <w:rPr>
          <w:b/>
          <w:w w:val="100"/>
          <w:sz w:val="20"/>
          <w:u w:val="single"/>
        </w:rPr>
        <w:t> </w:t>
      </w:r>
      <w:r>
        <w:rPr>
          <w:b/>
          <w:sz w:val="20"/>
          <w:u w:val="single"/>
        </w:rPr>
        <w:tab/>
      </w: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spacing w:before="4"/>
        <w:rPr>
          <w:b/>
          <w:sz w:val="21"/>
        </w:rPr>
      </w:pPr>
    </w:p>
    <w:p>
      <w:pPr>
        <w:tabs>
          <w:tab w:pos="2496" w:val="left" w:leader="none"/>
          <w:tab w:pos="3490" w:val="left" w:leader="none"/>
          <w:tab w:pos="8271" w:val="left" w:leader="none"/>
        </w:tabs>
        <w:spacing w:before="1"/>
        <w:ind w:left="1161" w:right="0" w:firstLine="0"/>
        <w:jc w:val="center"/>
        <w:rPr>
          <w:b/>
          <w:sz w:val="20"/>
        </w:rPr>
      </w:pPr>
      <w:r>
        <w:rPr>
          <w:b/>
          <w:w w:val="100"/>
          <w:sz w:val="20"/>
          <w:u w:val="single"/>
        </w:rPr>
        <w:t> </w:t>
      </w:r>
      <w:r>
        <w:rPr>
          <w:b/>
          <w:sz w:val="20"/>
          <w:u w:val="single"/>
        </w:rPr>
        <w:tab/>
      </w:r>
      <w:r>
        <w:rPr>
          <w:b/>
          <w:sz w:val="20"/>
          <w:u w:val="single"/>
        </w:rPr>
        <w:t>Table</w:t>
      </w:r>
      <w:r>
        <w:rPr>
          <w:b/>
          <w:spacing w:val="-2"/>
          <w:sz w:val="20"/>
          <w:u w:val="single"/>
        </w:rPr>
        <w:t> </w:t>
      </w:r>
      <w:r>
        <w:rPr>
          <w:b/>
          <w:sz w:val="20"/>
          <w:u w:val="single"/>
        </w:rPr>
        <w:t>2</w:t>
        <w:tab/>
        <w:t>0.50-in.</w:t>
      </w:r>
      <w:r>
        <w:rPr>
          <w:b/>
          <w:spacing w:val="-4"/>
          <w:sz w:val="20"/>
          <w:u w:val="single"/>
        </w:rPr>
        <w:t> </w:t>
      </w:r>
      <w:r>
        <w:rPr>
          <w:b/>
          <w:sz w:val="20"/>
          <w:u w:val="single"/>
        </w:rPr>
        <w:t>sphere</w:t>
      </w:r>
      <w:r>
        <w:rPr>
          <w:b/>
          <w:spacing w:val="-3"/>
          <w:sz w:val="20"/>
          <w:u w:val="single"/>
        </w:rPr>
        <w:t> </w:t>
      </w:r>
      <w:r>
        <w:rPr>
          <w:b/>
          <w:sz w:val="20"/>
          <w:u w:val="single"/>
        </w:rPr>
        <w:t>striking</w:t>
      </w:r>
      <w:r>
        <w:rPr>
          <w:b/>
          <w:spacing w:val="-2"/>
          <w:sz w:val="20"/>
          <w:u w:val="single"/>
        </w:rPr>
        <w:t> </w:t>
      </w:r>
      <w:r>
        <w:rPr>
          <w:b/>
          <w:sz w:val="20"/>
          <w:u w:val="single"/>
        </w:rPr>
        <w:t>specimen</w:t>
      </w:r>
      <w:r>
        <w:rPr>
          <w:b/>
          <w:spacing w:val="-3"/>
          <w:sz w:val="20"/>
          <w:u w:val="single"/>
        </w:rPr>
        <w:t> </w:t>
      </w:r>
      <w:r>
        <w:rPr>
          <w:b/>
          <w:sz w:val="20"/>
          <w:u w:val="single"/>
        </w:rPr>
        <w:t>E-5P-2</w:t>
        <w:tab/>
      </w:r>
    </w:p>
    <w:p>
      <w:pPr>
        <w:pStyle w:val="BodyText"/>
        <w:rPr>
          <w:b/>
          <w:sz w:val="22"/>
        </w:rPr>
      </w:pPr>
    </w:p>
    <w:p>
      <w:pPr>
        <w:pStyle w:val="BodyText"/>
        <w:spacing w:before="4"/>
        <w:rPr>
          <w:b/>
        </w:rPr>
      </w:pPr>
    </w:p>
    <w:p>
      <w:pPr>
        <w:tabs>
          <w:tab w:pos="2151" w:val="left" w:leader="none"/>
        </w:tabs>
        <w:spacing w:before="0"/>
        <w:ind w:left="334" w:right="0" w:firstLine="0"/>
        <w:jc w:val="center"/>
        <w:rPr>
          <w:b/>
          <w:sz w:val="20"/>
        </w:rPr>
      </w:pPr>
      <w:r>
        <w:rPr/>
        <w:pict>
          <v:shape style="position:absolute;margin-left:145.740005pt;margin-top:-12.48877pt;width:356.05pt;height:127pt;mso-position-horizontal-relative:page;mso-position-vertical-relative:paragraph;z-index:1590835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359"/>
                    <w:gridCol w:w="913"/>
                    <w:gridCol w:w="755"/>
                    <w:gridCol w:w="1114"/>
                    <w:gridCol w:w="937"/>
                    <w:gridCol w:w="1008"/>
                    <w:gridCol w:w="1034"/>
                  </w:tblGrid>
                  <w:tr>
                    <w:trPr>
                      <w:trHeight w:val="234" w:hRule="atLeast"/>
                    </w:trPr>
                    <w:tc>
                      <w:tcPr>
                        <w:tcW w:w="1359" w:type="dxa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913" w:type="dxa"/>
                        <w:vMerge w:val="restart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59" w:lineRule="auto" w:before="1"/>
                          <w:ind w:left="108" w:right="136" w:hanging="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Powder</w:t>
                        </w:r>
                        <w:r>
                          <w:rPr>
                            <w:b/>
                            <w:spacing w:val="-47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Mass</w:t>
                        </w:r>
                        <w:r>
                          <w:rPr>
                            <w:b/>
                            <w:spacing w:val="1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(grains)</w:t>
                        </w:r>
                      </w:p>
                    </w:tc>
                    <w:tc>
                      <w:tcPr>
                        <w:tcW w:w="1869" w:type="dxa"/>
                        <w:gridSpan w:val="2"/>
                      </w:tcPr>
                      <w:p>
                        <w:pPr>
                          <w:pStyle w:val="TableParagraph"/>
                          <w:spacing w:line="215" w:lineRule="exact"/>
                          <w:ind w:left="261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Chrono-Based</w:t>
                        </w:r>
                      </w:p>
                    </w:tc>
                    <w:tc>
                      <w:tcPr>
                        <w:tcW w:w="1945" w:type="dxa"/>
                        <w:gridSpan w:val="2"/>
                      </w:tcPr>
                      <w:p>
                        <w:pPr>
                          <w:pStyle w:val="TableParagraph"/>
                          <w:spacing w:line="215" w:lineRule="exact"/>
                          <w:ind w:left="42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Chrono-Based</w:t>
                        </w:r>
                      </w:p>
                    </w:tc>
                    <w:tc>
                      <w:tcPr>
                        <w:tcW w:w="1034" w:type="dxa"/>
                        <w:vMerge w:val="restart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26"/>
                          <w:ind w:left="281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DOP</w:t>
                        </w:r>
                      </w:p>
                      <w:p>
                        <w:pPr>
                          <w:pStyle w:val="TableParagraph"/>
                          <w:spacing w:before="17"/>
                          <w:ind w:left="342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(in)</w:t>
                        </w:r>
                      </w:p>
                    </w:tc>
                  </w:tr>
                  <w:tr>
                    <w:trPr>
                      <w:trHeight w:val="256" w:hRule="atLeast"/>
                    </w:trPr>
                    <w:tc>
                      <w:tcPr>
                        <w:tcW w:w="1359" w:type="dxa"/>
                      </w:tcPr>
                      <w:p>
                        <w:pPr>
                          <w:pStyle w:val="TableParagraph"/>
                          <w:spacing w:before="5"/>
                          <w:ind w:left="98" w:right="89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Shot</w:t>
                        </w:r>
                      </w:p>
                    </w:tc>
                    <w:tc>
                      <w:tcPr>
                        <w:tcW w:w="913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55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114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7" w:type="dxa"/>
                      </w:tcPr>
                      <w:p>
                        <w:pPr>
                          <w:pStyle w:val="TableParagraph"/>
                          <w:tabs>
                            <w:tab w:pos="1899" w:val="left" w:leader="none"/>
                          </w:tabs>
                          <w:spacing w:before="5"/>
                          <w:ind w:left="189" w:right="-96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100"/>
                            <w:sz w:val="20"/>
                            <w:u w:val="single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  <w:u w:val="single"/>
                          </w:rPr>
                          <w:tab/>
                        </w:r>
                      </w:p>
                    </w:tc>
                    <w:tc>
                      <w:tcPr>
                        <w:tcW w:w="1008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03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509" w:hRule="atLeast"/>
                    </w:trPr>
                    <w:tc>
                      <w:tcPr>
                        <w:tcW w:w="1359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913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55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144" w:right="202" w:firstLine="11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s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(fps)</w:t>
                        </w:r>
                      </w:p>
                    </w:tc>
                    <w:tc>
                      <w:tcPr>
                        <w:tcW w:w="1114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275" w:right="385" w:firstLine="141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s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(m/s)</w:t>
                        </w:r>
                      </w:p>
                    </w:tc>
                    <w:tc>
                      <w:tcPr>
                        <w:tcW w:w="937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354" w:right="174" w:firstLine="11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r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(fps)</w:t>
                        </w:r>
                      </w:p>
                    </w:tc>
                    <w:tc>
                      <w:tcPr>
                        <w:tcW w:w="1008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250" w:right="304" w:firstLine="13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r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(m/s)</w:t>
                        </w:r>
                      </w:p>
                    </w:tc>
                    <w:tc>
                      <w:tcPr>
                        <w:tcW w:w="103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305" w:hRule="atLeast"/>
                    </w:trPr>
                    <w:tc>
                      <w:tcPr>
                        <w:tcW w:w="1359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98" w:right="8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E-5P-2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913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89" w:right="11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106.5</w:t>
                        </w:r>
                      </w:p>
                    </w:tc>
                    <w:tc>
                      <w:tcPr>
                        <w:tcW w:w="755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20" w:right="19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2527</w:t>
                        </w:r>
                      </w:p>
                    </w:tc>
                    <w:tc>
                      <w:tcPr>
                        <w:tcW w:w="1114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21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770.19</w:t>
                        </w:r>
                      </w:p>
                    </w:tc>
                    <w:tc>
                      <w:tcPr>
                        <w:tcW w:w="937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34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1218</w:t>
                        </w:r>
                      </w:p>
                    </w:tc>
                    <w:tc>
                      <w:tcPr>
                        <w:tcW w:w="1008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72" w:right="24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371.23</w:t>
                        </w:r>
                      </w:p>
                    </w:tc>
                    <w:tc>
                      <w:tcPr>
                        <w:tcW w:w="1034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4"/>
                          <w:ind w:left="249" w:right="29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359" w:type="dxa"/>
                      </w:tcPr>
                      <w:p>
                        <w:pPr>
                          <w:pStyle w:val="TableParagraph"/>
                          <w:spacing w:before="43"/>
                          <w:ind w:left="98" w:right="8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E-5P-2 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w="913" w:type="dxa"/>
                      </w:tcPr>
                      <w:p>
                        <w:pPr>
                          <w:pStyle w:val="TableParagraph"/>
                          <w:spacing w:before="43"/>
                          <w:ind w:left="89" w:right="11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94.5</w:t>
                        </w:r>
                      </w:p>
                    </w:tc>
                    <w:tc>
                      <w:tcPr>
                        <w:tcW w:w="755" w:type="dxa"/>
                      </w:tcPr>
                      <w:p>
                        <w:pPr>
                          <w:pStyle w:val="TableParagraph"/>
                          <w:spacing w:before="43"/>
                          <w:ind w:left="120" w:right="19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2060</w:t>
                        </w:r>
                      </w:p>
                    </w:tc>
                    <w:tc>
                      <w:tcPr>
                        <w:tcW w:w="1114" w:type="dxa"/>
                      </w:tcPr>
                      <w:p>
                        <w:pPr>
                          <w:pStyle w:val="TableParagraph"/>
                          <w:spacing w:before="43"/>
                          <w:ind w:left="21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627.86</w:t>
                        </w:r>
                      </w:p>
                    </w:tc>
                    <w:tc>
                      <w:tcPr>
                        <w:tcW w:w="937" w:type="dxa"/>
                      </w:tcPr>
                      <w:p>
                        <w:pPr>
                          <w:pStyle w:val="TableParagraph"/>
                          <w:spacing w:before="43"/>
                          <w:ind w:left="39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934</w:t>
                        </w:r>
                      </w:p>
                    </w:tc>
                    <w:tc>
                      <w:tcPr>
                        <w:tcW w:w="1008" w:type="dxa"/>
                      </w:tcPr>
                      <w:p>
                        <w:pPr>
                          <w:pStyle w:val="TableParagraph"/>
                          <w:spacing w:before="43"/>
                          <w:ind w:left="172" w:right="24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284.67</w:t>
                        </w:r>
                      </w:p>
                    </w:tc>
                    <w:tc>
                      <w:tcPr>
                        <w:tcW w:w="1034" w:type="dxa"/>
                      </w:tcPr>
                      <w:p>
                        <w:pPr>
                          <w:pStyle w:val="TableParagraph"/>
                          <w:spacing w:before="18"/>
                          <w:ind w:left="249" w:right="29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</w:tr>
                  <w:tr>
                    <w:trPr>
                      <w:trHeight w:val="312" w:hRule="atLeast"/>
                    </w:trPr>
                    <w:tc>
                      <w:tcPr>
                        <w:tcW w:w="1359" w:type="dxa"/>
                      </w:tcPr>
                      <w:p>
                        <w:pPr>
                          <w:pStyle w:val="TableParagraph"/>
                          <w:spacing w:before="43"/>
                          <w:ind w:left="98" w:right="8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E-5P-2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3</w:t>
                        </w:r>
                      </w:p>
                    </w:tc>
                    <w:tc>
                      <w:tcPr>
                        <w:tcW w:w="913" w:type="dxa"/>
                      </w:tcPr>
                      <w:p>
                        <w:pPr>
                          <w:pStyle w:val="TableParagraph"/>
                          <w:spacing w:before="43"/>
                          <w:ind w:left="89" w:right="11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70.5</w:t>
                        </w:r>
                      </w:p>
                    </w:tc>
                    <w:tc>
                      <w:tcPr>
                        <w:tcW w:w="755" w:type="dxa"/>
                      </w:tcPr>
                      <w:p>
                        <w:pPr>
                          <w:pStyle w:val="TableParagraph"/>
                          <w:spacing w:before="43"/>
                          <w:ind w:left="120" w:right="19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1806</w:t>
                        </w:r>
                      </w:p>
                    </w:tc>
                    <w:tc>
                      <w:tcPr>
                        <w:tcW w:w="1114" w:type="dxa"/>
                      </w:tcPr>
                      <w:p>
                        <w:pPr>
                          <w:pStyle w:val="TableParagraph"/>
                          <w:spacing w:before="43"/>
                          <w:ind w:left="21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550.44</w:t>
                        </w:r>
                      </w:p>
                    </w:tc>
                    <w:tc>
                      <w:tcPr>
                        <w:tcW w:w="937" w:type="dxa"/>
                      </w:tcPr>
                      <w:p>
                        <w:pPr>
                          <w:pStyle w:val="TableParagraph"/>
                          <w:spacing w:before="43"/>
                          <w:ind w:left="39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456</w:t>
                        </w:r>
                      </w:p>
                    </w:tc>
                    <w:tc>
                      <w:tcPr>
                        <w:tcW w:w="1008" w:type="dxa"/>
                      </w:tcPr>
                      <w:p>
                        <w:pPr>
                          <w:pStyle w:val="TableParagraph"/>
                          <w:spacing w:before="43"/>
                          <w:ind w:left="171" w:right="24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138.98</w:t>
                        </w:r>
                      </w:p>
                    </w:tc>
                    <w:tc>
                      <w:tcPr>
                        <w:tcW w:w="1034" w:type="dxa"/>
                      </w:tcPr>
                      <w:p>
                        <w:pPr>
                          <w:pStyle w:val="TableParagraph"/>
                          <w:spacing w:before="18"/>
                          <w:ind w:left="249" w:right="29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359" w:type="dxa"/>
                      </w:tcPr>
                      <w:p>
                        <w:pPr>
                          <w:pStyle w:val="TableParagraph"/>
                          <w:spacing w:before="31"/>
                          <w:ind w:left="98" w:right="8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E-5P-2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4</w:t>
                        </w:r>
                      </w:p>
                    </w:tc>
                    <w:tc>
                      <w:tcPr>
                        <w:tcW w:w="913" w:type="dxa"/>
                      </w:tcPr>
                      <w:p>
                        <w:pPr>
                          <w:pStyle w:val="TableParagraph"/>
                          <w:spacing w:before="31"/>
                          <w:ind w:left="89" w:right="1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57</w:t>
                        </w:r>
                      </w:p>
                    </w:tc>
                    <w:tc>
                      <w:tcPr>
                        <w:tcW w:w="755" w:type="dxa"/>
                      </w:tcPr>
                      <w:p>
                        <w:pPr>
                          <w:pStyle w:val="TableParagraph"/>
                          <w:spacing w:before="31"/>
                          <w:ind w:left="120" w:right="19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1409</w:t>
                        </w:r>
                      </w:p>
                    </w:tc>
                    <w:tc>
                      <w:tcPr>
                        <w:tcW w:w="1114" w:type="dxa"/>
                      </w:tcPr>
                      <w:p>
                        <w:pPr>
                          <w:pStyle w:val="TableParagraph"/>
                          <w:spacing w:before="31"/>
                          <w:ind w:left="21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429.44</w:t>
                        </w:r>
                      </w:p>
                    </w:tc>
                    <w:tc>
                      <w:tcPr>
                        <w:tcW w:w="937" w:type="dxa"/>
                      </w:tcPr>
                      <w:p>
                        <w:pPr>
                          <w:pStyle w:val="TableParagraph"/>
                          <w:spacing w:before="31"/>
                          <w:ind w:left="171"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008" w:type="dxa"/>
                      </w:tcPr>
                      <w:p>
                        <w:pPr>
                          <w:pStyle w:val="TableParagraph"/>
                          <w:spacing w:before="31"/>
                          <w:ind w:left="172" w:right="24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034" w:type="dxa"/>
                      </w:tcPr>
                      <w:p>
                        <w:pPr>
                          <w:pStyle w:val="TableParagraph"/>
                          <w:spacing w:before="31"/>
                          <w:ind w:left="249" w:right="29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4.875</w:t>
                        </w:r>
                      </w:p>
                    </w:tc>
                  </w:tr>
                  <w:tr>
                    <w:trPr>
                      <w:trHeight w:val="281" w:hRule="atLeast"/>
                    </w:trPr>
                    <w:tc>
                      <w:tcPr>
                        <w:tcW w:w="1359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98" w:right="8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E-5P-2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5</w:t>
                        </w:r>
                      </w:p>
                    </w:tc>
                    <w:tc>
                      <w:tcPr>
                        <w:tcW w:w="913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89" w:right="11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60.2</w:t>
                        </w:r>
                      </w:p>
                    </w:tc>
                    <w:tc>
                      <w:tcPr>
                        <w:tcW w:w="755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20" w:right="19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1418</w:t>
                        </w:r>
                      </w:p>
                    </w:tc>
                    <w:tc>
                      <w:tcPr>
                        <w:tcW w:w="1114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21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432.19</w:t>
                        </w:r>
                      </w:p>
                    </w:tc>
                    <w:tc>
                      <w:tcPr>
                        <w:tcW w:w="937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71"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008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72" w:right="24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034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249" w:right="29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5.250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b/>
          <w:w w:val="100"/>
          <w:sz w:val="20"/>
          <w:u w:val="single"/>
        </w:rPr>
        <w:t> </w:t>
      </w:r>
      <w:r>
        <w:rPr>
          <w:b/>
          <w:sz w:val="20"/>
          <w:u w:val="single"/>
        </w:rPr>
        <w:tab/>
      </w: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tabs>
          <w:tab w:pos="2153" w:val="left" w:leader="none"/>
        </w:tabs>
        <w:spacing w:before="149"/>
        <w:ind w:left="1160" w:right="0" w:firstLine="0"/>
        <w:jc w:val="center"/>
        <w:rPr>
          <w:b/>
          <w:sz w:val="20"/>
        </w:rPr>
      </w:pPr>
      <w:r>
        <w:rPr/>
        <w:pict>
          <v:shape style="position:absolute;margin-left:139.050003pt;margin-top:30.944944pt;width:369.45pt;height:141.2pt;mso-position-horizontal-relative:page;mso-position-vertical-relative:paragraph;z-index:1590886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363"/>
                    <w:gridCol w:w="940"/>
                    <w:gridCol w:w="841"/>
                    <w:gridCol w:w="1247"/>
                    <w:gridCol w:w="1038"/>
                    <w:gridCol w:w="939"/>
                    <w:gridCol w:w="1020"/>
                  </w:tblGrid>
                  <w:tr>
                    <w:trPr>
                      <w:trHeight w:val="508" w:hRule="atLeast"/>
                    </w:trPr>
                    <w:tc>
                      <w:tcPr>
                        <w:tcW w:w="1363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940" w:type="dxa"/>
                        <w:vMerge w:val="restart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0"/>
                          <w:rPr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59" w:lineRule="auto"/>
                          <w:ind w:left="112" w:right="159" w:hanging="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Powder</w:t>
                        </w:r>
                        <w:r>
                          <w:rPr>
                            <w:b/>
                            <w:spacing w:val="-47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Mass</w:t>
                        </w:r>
                        <w:r>
                          <w:rPr>
                            <w:b/>
                            <w:spacing w:val="1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(grains)</w:t>
                        </w:r>
                      </w:p>
                    </w:tc>
                    <w:tc>
                      <w:tcPr>
                        <w:tcW w:w="2088" w:type="dxa"/>
                        <w:gridSpan w:val="2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"/>
                          <w:rPr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23" w:lineRule="exact"/>
                          <w:ind w:left="373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Chrono-Based</w:t>
                        </w:r>
                      </w:p>
                    </w:tc>
                    <w:tc>
                      <w:tcPr>
                        <w:tcW w:w="1977" w:type="dxa"/>
                        <w:gridSpan w:val="2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"/>
                          <w:rPr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23" w:lineRule="exact"/>
                          <w:ind w:left="464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Chrono-Based</w:t>
                        </w:r>
                      </w:p>
                    </w:tc>
                    <w:tc>
                      <w:tcPr>
                        <w:tcW w:w="1020" w:type="dxa"/>
                        <w:vMerge w:val="restart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47"/>
                          <w:ind w:left="256" w:right="27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DOP</w:t>
                        </w:r>
                      </w:p>
                      <w:p>
                        <w:pPr>
                          <w:pStyle w:val="TableParagraph"/>
                          <w:spacing w:before="17"/>
                          <w:ind w:left="256" w:right="27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(in)</w:t>
                        </w:r>
                      </w:p>
                    </w:tc>
                  </w:tr>
                  <w:tr>
                    <w:trPr>
                      <w:trHeight w:val="256" w:hRule="atLeast"/>
                    </w:trPr>
                    <w:tc>
                      <w:tcPr>
                        <w:tcW w:w="1363" w:type="dxa"/>
                      </w:tcPr>
                      <w:p>
                        <w:pPr>
                          <w:pStyle w:val="TableParagraph"/>
                          <w:spacing w:before="5"/>
                          <w:ind w:left="98" w:right="94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Shot</w:t>
                        </w:r>
                      </w:p>
                    </w:tc>
                    <w:tc>
                      <w:tcPr>
                        <w:tcW w:w="940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41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038" w:type="dxa"/>
                      </w:tcPr>
                      <w:p>
                        <w:pPr>
                          <w:pStyle w:val="TableParagraph"/>
                          <w:tabs>
                            <w:tab w:pos="1957" w:val="left" w:leader="none"/>
                          </w:tabs>
                          <w:spacing w:before="5"/>
                          <w:ind w:left="207" w:right="-922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100"/>
                            <w:sz w:val="20"/>
                            <w:u w:val="single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  <w:u w:val="single"/>
                          </w:rPr>
                          <w:tab/>
                        </w:r>
                      </w:p>
                    </w:tc>
                    <w:tc>
                      <w:tcPr>
                        <w:tcW w:w="939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020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509" w:hRule="atLeast"/>
                    </w:trPr>
                    <w:tc>
                      <w:tcPr>
                        <w:tcW w:w="1363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940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41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165" w:right="267" w:firstLine="11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s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(fps)</w:t>
                        </w:r>
                      </w:p>
                    </w:tc>
                    <w:tc>
                      <w:tcPr>
                        <w:tcW w:w="1247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337" w:right="456" w:firstLine="141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s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(m/s)</w:t>
                        </w:r>
                      </w:p>
                    </w:tc>
                    <w:tc>
                      <w:tcPr>
                        <w:tcW w:w="1038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417" w:right="212" w:firstLine="11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r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(fps)</w:t>
                        </w:r>
                      </w:p>
                    </w:tc>
                    <w:tc>
                      <w:tcPr>
                        <w:tcW w:w="939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232" w:right="253" w:firstLine="13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r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(m/s)</w:t>
                        </w:r>
                      </w:p>
                    </w:tc>
                    <w:tc>
                      <w:tcPr>
                        <w:tcW w:w="1020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318" w:hRule="atLeast"/>
                    </w:trPr>
                    <w:tc>
                      <w:tcPr>
                        <w:tcW w:w="1363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98" w:right="9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E-5P-3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940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34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57</w:t>
                        </w:r>
                      </w:p>
                    </w:tc>
                    <w:tc>
                      <w:tcPr>
                        <w:tcW w:w="841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6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1304</w:t>
                        </w:r>
                      </w:p>
                    </w:tc>
                    <w:tc>
                      <w:tcPr>
                        <w:tcW w:w="1247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28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397.44</w:t>
                        </w:r>
                      </w:p>
                    </w:tc>
                    <w:tc>
                      <w:tcPr>
                        <w:tcW w:w="1038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414" w:right="22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39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38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256" w:right="27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4.000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363" w:type="dxa"/>
                      </w:tcPr>
                      <w:p>
                        <w:pPr>
                          <w:pStyle w:val="TableParagraph"/>
                          <w:spacing w:before="31"/>
                          <w:ind w:left="98" w:right="9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E-5P-3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w="940" w:type="dxa"/>
                      </w:tcPr>
                      <w:p>
                        <w:pPr>
                          <w:pStyle w:val="TableParagraph"/>
                          <w:spacing w:before="31"/>
                          <w:ind w:left="34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57</w:t>
                        </w:r>
                      </w:p>
                    </w:tc>
                    <w:tc>
                      <w:tcPr>
                        <w:tcW w:w="841" w:type="dxa"/>
                      </w:tcPr>
                      <w:p>
                        <w:pPr>
                          <w:pStyle w:val="TableParagraph"/>
                          <w:spacing w:before="31"/>
                          <w:ind w:left="16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1388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31"/>
                          <w:ind w:left="28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423.04</w:t>
                        </w:r>
                      </w:p>
                    </w:tc>
                    <w:tc>
                      <w:tcPr>
                        <w:tcW w:w="1038" w:type="dxa"/>
                      </w:tcPr>
                      <w:p>
                        <w:pPr>
                          <w:pStyle w:val="TableParagraph"/>
                          <w:spacing w:before="31"/>
                          <w:ind w:left="414" w:right="22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39" w:type="dxa"/>
                      </w:tcPr>
                      <w:p>
                        <w:pPr>
                          <w:pStyle w:val="TableParagraph"/>
                          <w:spacing w:before="31"/>
                          <w:ind w:left="38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020" w:type="dxa"/>
                      </w:tcPr>
                      <w:p>
                        <w:pPr>
                          <w:pStyle w:val="TableParagraph"/>
                          <w:spacing w:before="31"/>
                          <w:ind w:left="256" w:right="27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5.125</w:t>
                        </w:r>
                      </w:p>
                    </w:tc>
                  </w:tr>
                  <w:tr>
                    <w:trPr>
                      <w:trHeight w:val="299" w:hRule="atLeast"/>
                    </w:trPr>
                    <w:tc>
                      <w:tcPr>
                        <w:tcW w:w="1363" w:type="dxa"/>
                      </w:tcPr>
                      <w:p>
                        <w:pPr>
                          <w:pStyle w:val="TableParagraph"/>
                          <w:spacing w:before="31"/>
                          <w:ind w:left="98" w:right="9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E-5P-3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3</w:t>
                        </w:r>
                      </w:p>
                    </w:tc>
                    <w:tc>
                      <w:tcPr>
                        <w:tcW w:w="940" w:type="dxa"/>
                      </w:tcPr>
                      <w:p>
                        <w:pPr>
                          <w:pStyle w:val="TableParagraph"/>
                          <w:spacing w:before="31"/>
                          <w:ind w:left="34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57</w:t>
                        </w:r>
                      </w:p>
                    </w:tc>
                    <w:tc>
                      <w:tcPr>
                        <w:tcW w:w="841" w:type="dxa"/>
                      </w:tcPr>
                      <w:p>
                        <w:pPr>
                          <w:pStyle w:val="TableParagraph"/>
                          <w:spacing w:before="31"/>
                          <w:ind w:left="16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1382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31"/>
                          <w:ind w:left="28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421.21</w:t>
                        </w:r>
                      </w:p>
                    </w:tc>
                    <w:tc>
                      <w:tcPr>
                        <w:tcW w:w="1038" w:type="dxa"/>
                      </w:tcPr>
                      <w:p>
                        <w:pPr>
                          <w:pStyle w:val="TableParagraph"/>
                          <w:spacing w:before="31"/>
                          <w:ind w:left="414" w:right="22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39" w:type="dxa"/>
                      </w:tcPr>
                      <w:p>
                        <w:pPr>
                          <w:pStyle w:val="TableParagraph"/>
                          <w:spacing w:before="31"/>
                          <w:ind w:left="38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020" w:type="dxa"/>
                      </w:tcPr>
                      <w:p>
                        <w:pPr>
                          <w:pStyle w:val="TableParagraph"/>
                          <w:spacing w:before="31"/>
                          <w:ind w:left="256" w:right="27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4.875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363" w:type="dxa"/>
                      </w:tcPr>
                      <w:p>
                        <w:pPr>
                          <w:pStyle w:val="TableParagraph"/>
                          <w:spacing w:before="31"/>
                          <w:ind w:left="98" w:right="9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E-5P-3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4</w:t>
                        </w:r>
                      </w:p>
                    </w:tc>
                    <w:tc>
                      <w:tcPr>
                        <w:tcW w:w="940" w:type="dxa"/>
                      </w:tcPr>
                      <w:p>
                        <w:pPr>
                          <w:pStyle w:val="TableParagraph"/>
                          <w:spacing w:before="31"/>
                          <w:ind w:left="34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57</w:t>
                        </w:r>
                      </w:p>
                    </w:tc>
                    <w:tc>
                      <w:tcPr>
                        <w:tcW w:w="841" w:type="dxa"/>
                      </w:tcPr>
                      <w:p>
                        <w:pPr>
                          <w:pStyle w:val="TableParagraph"/>
                          <w:spacing w:before="31"/>
                          <w:ind w:left="16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1407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31"/>
                          <w:ind w:left="28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428.83</w:t>
                        </w:r>
                      </w:p>
                    </w:tc>
                    <w:tc>
                      <w:tcPr>
                        <w:tcW w:w="1038" w:type="dxa"/>
                      </w:tcPr>
                      <w:p>
                        <w:pPr>
                          <w:pStyle w:val="TableParagraph"/>
                          <w:spacing w:before="31"/>
                          <w:ind w:left="414" w:right="22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39" w:type="dxa"/>
                      </w:tcPr>
                      <w:p>
                        <w:pPr>
                          <w:pStyle w:val="TableParagraph"/>
                          <w:spacing w:before="31"/>
                          <w:ind w:left="38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020" w:type="dxa"/>
                      </w:tcPr>
                      <w:p>
                        <w:pPr>
                          <w:pStyle w:val="TableParagraph"/>
                          <w:spacing w:before="31"/>
                          <w:ind w:left="256" w:right="27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3.250</w:t>
                        </w:r>
                      </w:p>
                    </w:tc>
                  </w:tr>
                  <w:tr>
                    <w:trPr>
                      <w:trHeight w:val="281" w:hRule="atLeast"/>
                    </w:trPr>
                    <w:tc>
                      <w:tcPr>
                        <w:tcW w:w="1363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98" w:right="9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E-5P-3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5</w:t>
                        </w:r>
                      </w:p>
                    </w:tc>
                    <w:tc>
                      <w:tcPr>
                        <w:tcW w:w="940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34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57</w:t>
                        </w:r>
                      </w:p>
                    </w:tc>
                    <w:tc>
                      <w:tcPr>
                        <w:tcW w:w="841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6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1307</w:t>
                        </w:r>
                      </w:p>
                    </w:tc>
                    <w:tc>
                      <w:tcPr>
                        <w:tcW w:w="1247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28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398.35</w:t>
                        </w:r>
                      </w:p>
                    </w:tc>
                    <w:tc>
                      <w:tcPr>
                        <w:tcW w:w="1038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414" w:right="22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39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38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020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256" w:right="27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3.500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b/>
          <w:sz w:val="20"/>
        </w:rPr>
        <w:t>Table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3</w:t>
        <w:tab/>
        <w:t>0.50-in.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sphere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striking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specimen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E-5P-3</w:t>
      </w: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spacing w:before="2"/>
        <w:rPr>
          <w:b/>
          <w:sz w:val="23"/>
        </w:rPr>
      </w:pPr>
    </w:p>
    <w:p>
      <w:pPr>
        <w:tabs>
          <w:tab w:pos="2419" w:val="left" w:leader="none"/>
        </w:tabs>
        <w:spacing w:before="1"/>
        <w:ind w:left="350" w:right="0" w:firstLine="0"/>
        <w:jc w:val="center"/>
        <w:rPr>
          <w:b/>
          <w:sz w:val="20"/>
        </w:rPr>
      </w:pPr>
      <w:r>
        <w:rPr>
          <w:b/>
          <w:w w:val="100"/>
          <w:sz w:val="20"/>
          <w:u w:val="single"/>
        </w:rPr>
        <w:t> </w:t>
      </w:r>
      <w:r>
        <w:rPr>
          <w:b/>
          <w:sz w:val="20"/>
          <w:u w:val="single"/>
        </w:rPr>
        <w:tab/>
      </w:r>
    </w:p>
    <w:p>
      <w:pPr>
        <w:spacing w:after="0"/>
        <w:jc w:val="center"/>
        <w:rPr>
          <w:sz w:val="20"/>
        </w:rPr>
        <w:sectPr>
          <w:pgSz w:w="12240" w:h="15840"/>
          <w:pgMar w:header="0" w:footer="1064" w:top="1380" w:bottom="1260" w:left="440" w:right="880"/>
        </w:sectPr>
      </w:pPr>
    </w:p>
    <w:p>
      <w:pPr>
        <w:tabs>
          <w:tab w:pos="4814" w:val="left" w:leader="none"/>
        </w:tabs>
        <w:spacing w:before="70"/>
        <w:ind w:left="3821" w:right="0" w:firstLine="0"/>
        <w:jc w:val="left"/>
        <w:rPr>
          <w:b/>
          <w:sz w:val="20"/>
        </w:rPr>
      </w:pPr>
      <w:r>
        <w:rPr>
          <w:b/>
          <w:sz w:val="20"/>
        </w:rPr>
        <w:t>Table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4</w:t>
        <w:tab/>
        <w:t>0.50-in.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sphere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striking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specimen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E-5P-4</w:t>
      </w:r>
    </w:p>
    <w:p>
      <w:pPr>
        <w:pStyle w:val="BodyText"/>
        <w:spacing w:before="5"/>
        <w:rPr>
          <w:b/>
          <w:sz w:val="17"/>
        </w:rPr>
      </w:pPr>
      <w:r>
        <w:rPr/>
        <w:pict>
          <v:rect style="position:absolute;margin-left:144pt;margin-top:12.000943pt;width:360.000017pt;height:.48pt;mso-position-horizontal-relative:page;mso-position-vertical-relative:paragraph;z-index:-1554790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BodyText"/>
        <w:spacing w:before="6"/>
        <w:rPr>
          <w:b/>
          <w:sz w:val="12"/>
        </w:rPr>
      </w:pPr>
    </w:p>
    <w:p>
      <w:pPr>
        <w:tabs>
          <w:tab w:pos="4972" w:val="left" w:leader="none"/>
          <w:tab w:pos="6997" w:val="left" w:leader="none"/>
          <w:tab w:pos="8842" w:val="left" w:leader="none"/>
        </w:tabs>
        <w:spacing w:line="96" w:lineRule="auto" w:before="126"/>
        <w:ind w:left="3910" w:right="0" w:firstLine="0"/>
        <w:jc w:val="left"/>
        <w:rPr>
          <w:b/>
          <w:sz w:val="20"/>
        </w:rPr>
      </w:pPr>
      <w:r>
        <w:rPr>
          <w:b/>
          <w:sz w:val="20"/>
        </w:rPr>
        <w:t>Powder</w:t>
        <w:tab/>
      </w:r>
      <w:r>
        <w:rPr>
          <w:b/>
          <w:position w:val="1"/>
          <w:sz w:val="20"/>
        </w:rPr>
        <w:t>Chrono-Based</w:t>
        <w:tab/>
        <w:t>Chrono-Based</w:t>
        <w:tab/>
      </w:r>
      <w:r>
        <w:rPr>
          <w:b/>
          <w:position w:val="-12"/>
          <w:sz w:val="20"/>
        </w:rPr>
        <w:t>DOP</w:t>
      </w:r>
    </w:p>
    <w:p>
      <w:pPr>
        <w:spacing w:after="0" w:line="96" w:lineRule="auto"/>
        <w:jc w:val="left"/>
        <w:rPr>
          <w:sz w:val="20"/>
        </w:rPr>
        <w:sectPr>
          <w:pgSz w:w="12240" w:h="15840"/>
          <w:pgMar w:header="0" w:footer="1064" w:top="1380" w:bottom="1260" w:left="440" w:right="880"/>
        </w:sectPr>
      </w:pPr>
    </w:p>
    <w:p>
      <w:pPr>
        <w:spacing w:line="223" w:lineRule="exact" w:before="0"/>
        <w:ind w:left="0" w:right="0" w:firstLine="0"/>
        <w:jc w:val="right"/>
        <w:rPr>
          <w:b/>
          <w:sz w:val="20"/>
        </w:rPr>
      </w:pPr>
      <w:r>
        <w:rPr/>
        <w:pict>
          <v:shape style="position:absolute;margin-left:143.639999pt;margin-top:12.466941pt;width:360.4pt;height:102pt;mso-position-horizontal-relative:page;mso-position-vertical-relative:paragraph;z-index:1591040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361"/>
                    <w:gridCol w:w="917"/>
                    <w:gridCol w:w="751"/>
                    <w:gridCol w:w="1110"/>
                    <w:gridCol w:w="937"/>
                    <w:gridCol w:w="1110"/>
                    <w:gridCol w:w="1021"/>
                  </w:tblGrid>
                  <w:tr>
                    <w:trPr>
                      <w:trHeight w:val="261" w:hRule="atLeast"/>
                    </w:trPr>
                    <w:tc>
                      <w:tcPr>
                        <w:tcW w:w="1361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17" w:type="dxa"/>
                      </w:tcPr>
                      <w:p>
                        <w:pPr>
                          <w:pStyle w:val="TableParagraph"/>
                          <w:spacing w:line="222" w:lineRule="exact"/>
                          <w:ind w:left="93" w:right="116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(grains)</w:t>
                        </w:r>
                      </w:p>
                    </w:tc>
                    <w:tc>
                      <w:tcPr>
                        <w:tcW w:w="751" w:type="dxa"/>
                      </w:tcPr>
                      <w:p>
                        <w:pPr>
                          <w:pStyle w:val="TableParagraph"/>
                          <w:spacing w:line="224" w:lineRule="exact" w:before="17"/>
                          <w:ind w:left="120" w:right="190"/>
                          <w:jc w:val="center"/>
                          <w:rPr>
                            <w:b/>
                            <w:sz w:val="13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s</w:t>
                        </w:r>
                      </w:p>
                    </w:tc>
                    <w:tc>
                      <w:tcPr>
                        <w:tcW w:w="1110" w:type="dxa"/>
                      </w:tcPr>
                      <w:p>
                        <w:pPr>
                          <w:pStyle w:val="TableParagraph"/>
                          <w:spacing w:line="224" w:lineRule="exact" w:before="17"/>
                          <w:ind w:left="368" w:right="499"/>
                          <w:jc w:val="center"/>
                          <w:rPr>
                            <w:b/>
                            <w:sz w:val="13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s</w:t>
                        </w:r>
                      </w:p>
                    </w:tc>
                    <w:tc>
                      <w:tcPr>
                        <w:tcW w:w="937" w:type="dxa"/>
                      </w:tcPr>
                      <w:p>
                        <w:pPr>
                          <w:pStyle w:val="TableParagraph"/>
                          <w:spacing w:line="224" w:lineRule="exact" w:before="17"/>
                          <w:ind w:left="171" w:right="12"/>
                          <w:jc w:val="center"/>
                          <w:rPr>
                            <w:b/>
                            <w:sz w:val="13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r</w:t>
                        </w:r>
                      </w:p>
                    </w:tc>
                    <w:tc>
                      <w:tcPr>
                        <w:tcW w:w="1110" w:type="dxa"/>
                      </w:tcPr>
                      <w:p>
                        <w:pPr>
                          <w:pStyle w:val="TableParagraph"/>
                          <w:spacing w:line="224" w:lineRule="exact" w:before="17"/>
                          <w:ind w:left="349" w:right="525"/>
                          <w:jc w:val="center"/>
                          <w:rPr>
                            <w:b/>
                            <w:sz w:val="13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r</w:t>
                        </w:r>
                      </w:p>
                    </w:tc>
                    <w:tc>
                      <w:tcPr>
                        <w:tcW w:w="1021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</w:tr>
                  <w:tr>
                    <w:trPr>
                      <w:trHeight w:val="252" w:hRule="atLeast"/>
                    </w:trPr>
                    <w:tc>
                      <w:tcPr>
                        <w:tcW w:w="1361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17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751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28" w:lineRule="exact" w:before="5"/>
                          <w:ind w:left="120" w:right="190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(fps)</w:t>
                        </w:r>
                      </w:p>
                    </w:tc>
                    <w:tc>
                      <w:tcPr>
                        <w:tcW w:w="1110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28" w:lineRule="exact" w:before="5"/>
                          <w:ind w:right="403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(m/s)</w:t>
                        </w:r>
                      </w:p>
                    </w:tc>
                    <w:tc>
                      <w:tcPr>
                        <w:tcW w:w="937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28" w:lineRule="exact" w:before="5"/>
                          <w:ind w:left="171" w:right="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(fps)</w:t>
                        </w:r>
                      </w:p>
                    </w:tc>
                    <w:tc>
                      <w:tcPr>
                        <w:tcW w:w="1110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28" w:lineRule="exact" w:before="5"/>
                          <w:ind w:left="24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(m/s)</w:t>
                        </w:r>
                      </w:p>
                    </w:tc>
                    <w:tc>
                      <w:tcPr>
                        <w:tcW w:w="1021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</w:tr>
                  <w:tr>
                    <w:trPr>
                      <w:trHeight w:val="318" w:hRule="atLeast"/>
                    </w:trPr>
                    <w:tc>
                      <w:tcPr>
                        <w:tcW w:w="1361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96" w:right="9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E-5P-4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917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93" w:right="11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106.5</w:t>
                        </w:r>
                      </w:p>
                    </w:tc>
                    <w:tc>
                      <w:tcPr>
                        <w:tcW w:w="751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20" w:right="19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2564</w:t>
                        </w:r>
                      </w:p>
                    </w:tc>
                    <w:tc>
                      <w:tcPr>
                        <w:tcW w:w="1110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right="34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781.47</w:t>
                        </w:r>
                      </w:p>
                    </w:tc>
                    <w:tc>
                      <w:tcPr>
                        <w:tcW w:w="937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71" w:right="1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1169</w:t>
                        </w:r>
                      </w:p>
                    </w:tc>
                    <w:tc>
                      <w:tcPr>
                        <w:tcW w:w="1110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9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356.29</w:t>
                        </w:r>
                      </w:p>
                    </w:tc>
                    <w:tc>
                      <w:tcPr>
                        <w:tcW w:w="1021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36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361" w:type="dxa"/>
                      </w:tcPr>
                      <w:p>
                        <w:pPr>
                          <w:pStyle w:val="TableParagraph"/>
                          <w:spacing w:before="31"/>
                          <w:ind w:left="96" w:right="9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E-5P-4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w="917" w:type="dxa"/>
                      </w:tcPr>
                      <w:p>
                        <w:pPr>
                          <w:pStyle w:val="TableParagraph"/>
                          <w:spacing w:before="31"/>
                          <w:ind w:left="93" w:right="11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106.5</w:t>
                        </w:r>
                      </w:p>
                    </w:tc>
                    <w:tc>
                      <w:tcPr>
                        <w:tcW w:w="751" w:type="dxa"/>
                      </w:tcPr>
                      <w:p>
                        <w:pPr>
                          <w:pStyle w:val="TableParagraph"/>
                          <w:spacing w:before="31"/>
                          <w:ind w:left="120" w:right="19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2427</w:t>
                        </w:r>
                      </w:p>
                    </w:tc>
                    <w:tc>
                      <w:tcPr>
                        <w:tcW w:w="1110" w:type="dxa"/>
                      </w:tcPr>
                      <w:p>
                        <w:pPr>
                          <w:pStyle w:val="TableParagraph"/>
                          <w:spacing w:before="31"/>
                          <w:ind w:right="34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739.71</w:t>
                        </w:r>
                      </w:p>
                    </w:tc>
                    <w:tc>
                      <w:tcPr>
                        <w:tcW w:w="937" w:type="dxa"/>
                      </w:tcPr>
                      <w:p>
                        <w:pPr>
                          <w:pStyle w:val="TableParagraph"/>
                          <w:spacing w:before="31"/>
                          <w:ind w:left="171" w:right="1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1082</w:t>
                        </w:r>
                      </w:p>
                    </w:tc>
                    <w:tc>
                      <w:tcPr>
                        <w:tcW w:w="1110" w:type="dxa"/>
                      </w:tcPr>
                      <w:p>
                        <w:pPr>
                          <w:pStyle w:val="TableParagraph"/>
                          <w:spacing w:before="31"/>
                          <w:ind w:left="19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329.78</w:t>
                        </w:r>
                      </w:p>
                    </w:tc>
                    <w:tc>
                      <w:tcPr>
                        <w:tcW w:w="1021" w:type="dxa"/>
                      </w:tcPr>
                      <w:p>
                        <w:pPr>
                          <w:pStyle w:val="TableParagraph"/>
                          <w:spacing w:before="31"/>
                          <w:ind w:left="36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361" w:type="dxa"/>
                      </w:tcPr>
                      <w:p>
                        <w:pPr>
                          <w:pStyle w:val="TableParagraph"/>
                          <w:spacing w:before="31"/>
                          <w:ind w:left="96" w:right="9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E-5P-4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3</w:t>
                        </w:r>
                      </w:p>
                    </w:tc>
                    <w:tc>
                      <w:tcPr>
                        <w:tcW w:w="917" w:type="dxa"/>
                      </w:tcPr>
                      <w:p>
                        <w:pPr>
                          <w:pStyle w:val="TableParagraph"/>
                          <w:spacing w:before="31"/>
                          <w:ind w:left="93" w:right="11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106.5</w:t>
                        </w:r>
                      </w:p>
                    </w:tc>
                    <w:tc>
                      <w:tcPr>
                        <w:tcW w:w="751" w:type="dxa"/>
                      </w:tcPr>
                      <w:p>
                        <w:pPr>
                          <w:pStyle w:val="TableParagraph"/>
                          <w:spacing w:before="31"/>
                          <w:ind w:left="120" w:right="19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2522</w:t>
                        </w:r>
                      </w:p>
                    </w:tc>
                    <w:tc>
                      <w:tcPr>
                        <w:tcW w:w="1110" w:type="dxa"/>
                      </w:tcPr>
                      <w:p>
                        <w:pPr>
                          <w:pStyle w:val="TableParagraph"/>
                          <w:spacing w:before="31"/>
                          <w:ind w:right="34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768.67</w:t>
                        </w:r>
                      </w:p>
                    </w:tc>
                    <w:tc>
                      <w:tcPr>
                        <w:tcW w:w="937" w:type="dxa"/>
                      </w:tcPr>
                      <w:p>
                        <w:pPr>
                          <w:pStyle w:val="TableParagraph"/>
                          <w:spacing w:before="31"/>
                          <w:ind w:left="171" w:right="1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1225</w:t>
                        </w:r>
                      </w:p>
                    </w:tc>
                    <w:tc>
                      <w:tcPr>
                        <w:tcW w:w="1110" w:type="dxa"/>
                      </w:tcPr>
                      <w:p>
                        <w:pPr>
                          <w:pStyle w:val="TableParagraph"/>
                          <w:spacing w:before="31"/>
                          <w:ind w:left="19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373.36</w:t>
                        </w:r>
                      </w:p>
                    </w:tc>
                    <w:tc>
                      <w:tcPr>
                        <w:tcW w:w="1021" w:type="dxa"/>
                      </w:tcPr>
                      <w:p>
                        <w:pPr>
                          <w:pStyle w:val="TableParagraph"/>
                          <w:spacing w:before="31"/>
                          <w:ind w:left="36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361" w:type="dxa"/>
                      </w:tcPr>
                      <w:p>
                        <w:pPr>
                          <w:pStyle w:val="TableParagraph"/>
                          <w:spacing w:before="31"/>
                          <w:ind w:left="96" w:right="9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E-5P-4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4</w:t>
                        </w:r>
                      </w:p>
                    </w:tc>
                    <w:tc>
                      <w:tcPr>
                        <w:tcW w:w="917" w:type="dxa"/>
                      </w:tcPr>
                      <w:p>
                        <w:pPr>
                          <w:pStyle w:val="TableParagraph"/>
                          <w:spacing w:before="31"/>
                          <w:ind w:left="93" w:right="11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106.5</w:t>
                        </w:r>
                      </w:p>
                    </w:tc>
                    <w:tc>
                      <w:tcPr>
                        <w:tcW w:w="751" w:type="dxa"/>
                      </w:tcPr>
                      <w:p>
                        <w:pPr>
                          <w:pStyle w:val="TableParagraph"/>
                          <w:spacing w:before="31"/>
                          <w:ind w:left="120" w:right="19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2373</w:t>
                        </w:r>
                      </w:p>
                    </w:tc>
                    <w:tc>
                      <w:tcPr>
                        <w:tcW w:w="1110" w:type="dxa"/>
                      </w:tcPr>
                      <w:p>
                        <w:pPr>
                          <w:pStyle w:val="TableParagraph"/>
                          <w:spacing w:before="31"/>
                          <w:ind w:right="34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723.26</w:t>
                        </w:r>
                      </w:p>
                    </w:tc>
                    <w:tc>
                      <w:tcPr>
                        <w:tcW w:w="937" w:type="dxa"/>
                      </w:tcPr>
                      <w:p>
                        <w:pPr>
                          <w:pStyle w:val="TableParagraph"/>
                          <w:spacing w:before="31"/>
                          <w:ind w:left="171" w:right="1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1143</w:t>
                        </w:r>
                      </w:p>
                    </w:tc>
                    <w:tc>
                      <w:tcPr>
                        <w:tcW w:w="1110" w:type="dxa"/>
                      </w:tcPr>
                      <w:p>
                        <w:pPr>
                          <w:pStyle w:val="TableParagraph"/>
                          <w:spacing w:before="31"/>
                          <w:ind w:left="19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348.37</w:t>
                        </w:r>
                      </w:p>
                    </w:tc>
                    <w:tc>
                      <w:tcPr>
                        <w:tcW w:w="1021" w:type="dxa"/>
                      </w:tcPr>
                      <w:p>
                        <w:pPr>
                          <w:pStyle w:val="TableParagraph"/>
                          <w:spacing w:before="31"/>
                          <w:ind w:left="36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</w:tr>
                  <w:tr>
                    <w:trPr>
                      <w:trHeight w:val="282" w:hRule="atLeast"/>
                    </w:trPr>
                    <w:tc>
                      <w:tcPr>
                        <w:tcW w:w="1361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96" w:right="9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E-5P-4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5</w:t>
                        </w:r>
                      </w:p>
                    </w:tc>
                    <w:tc>
                      <w:tcPr>
                        <w:tcW w:w="917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93" w:right="11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106.5</w:t>
                        </w:r>
                      </w:p>
                    </w:tc>
                    <w:tc>
                      <w:tcPr>
                        <w:tcW w:w="751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20" w:right="19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2632</w:t>
                        </w:r>
                      </w:p>
                    </w:tc>
                    <w:tc>
                      <w:tcPr>
                        <w:tcW w:w="1110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right="34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802.19</w:t>
                        </w:r>
                      </w:p>
                    </w:tc>
                    <w:tc>
                      <w:tcPr>
                        <w:tcW w:w="937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71" w:right="1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1324</w:t>
                        </w:r>
                      </w:p>
                    </w:tc>
                    <w:tc>
                      <w:tcPr>
                        <w:tcW w:w="1110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9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403.54</w:t>
                        </w:r>
                      </w:p>
                    </w:tc>
                    <w:tc>
                      <w:tcPr>
                        <w:tcW w:w="1021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36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b/>
          <w:sz w:val="20"/>
        </w:rPr>
        <w:t>Shot</w:t>
      </w:r>
    </w:p>
    <w:p>
      <w:pPr>
        <w:tabs>
          <w:tab w:pos="1340" w:val="left" w:leader="none"/>
          <w:tab w:pos="3140" w:val="left" w:leader="none"/>
          <w:tab w:pos="3410" w:val="left" w:leader="none"/>
          <w:tab w:pos="5120" w:val="left" w:leader="none"/>
        </w:tabs>
        <w:spacing w:line="223" w:lineRule="exact" w:before="0"/>
        <w:ind w:left="667" w:right="0" w:firstLine="0"/>
        <w:jc w:val="left"/>
        <w:rPr>
          <w:b/>
          <w:sz w:val="20"/>
        </w:rPr>
      </w:pPr>
      <w:r>
        <w:rPr/>
        <w:br w:type="column"/>
      </w:r>
      <w:r>
        <w:rPr>
          <w:b/>
          <w:sz w:val="20"/>
        </w:rPr>
        <w:t>Mass</w:t>
        <w:tab/>
      </w:r>
      <w:r>
        <w:rPr>
          <w:b/>
          <w:w w:val="100"/>
          <w:sz w:val="20"/>
          <w:u w:val="single"/>
        </w:rPr>
        <w:t> </w:t>
      </w:r>
      <w:r>
        <w:rPr>
          <w:b/>
          <w:sz w:val="20"/>
          <w:u w:val="single"/>
        </w:rPr>
        <w:tab/>
      </w:r>
      <w:r>
        <w:rPr>
          <w:b/>
          <w:sz w:val="20"/>
        </w:rPr>
        <w:tab/>
      </w:r>
      <w:r>
        <w:rPr>
          <w:b/>
          <w:w w:val="100"/>
          <w:sz w:val="20"/>
          <w:u w:val="single"/>
        </w:rPr>
        <w:t> </w:t>
      </w:r>
      <w:r>
        <w:rPr>
          <w:b/>
          <w:sz w:val="20"/>
          <w:u w:val="single"/>
        </w:rPr>
        <w:tab/>
      </w:r>
    </w:p>
    <w:p>
      <w:pPr>
        <w:spacing w:before="117"/>
        <w:ind w:left="393" w:right="0" w:firstLine="0"/>
        <w:jc w:val="left"/>
        <w:rPr>
          <w:b/>
          <w:sz w:val="20"/>
        </w:rPr>
      </w:pPr>
      <w:r>
        <w:rPr/>
        <w:br w:type="column"/>
      </w:r>
      <w:r>
        <w:rPr>
          <w:b/>
          <w:sz w:val="20"/>
        </w:rPr>
        <w:t>(in)</w:t>
      </w:r>
    </w:p>
    <w:p>
      <w:pPr>
        <w:spacing w:after="0"/>
        <w:jc w:val="left"/>
        <w:rPr>
          <w:sz w:val="20"/>
        </w:rPr>
        <w:sectPr>
          <w:type w:val="continuous"/>
          <w:pgSz w:w="12240" w:h="15840"/>
          <w:pgMar w:top="1380" w:bottom="280" w:left="440" w:right="880"/>
          <w:cols w:num="3" w:equalWidth="0">
            <w:col w:w="3310" w:space="40"/>
            <w:col w:w="5121" w:space="39"/>
            <w:col w:w="2410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0"/>
        </w:rPr>
      </w:pPr>
    </w:p>
    <w:p>
      <w:pPr>
        <w:tabs>
          <w:tab w:pos="4814" w:val="left" w:leader="none"/>
        </w:tabs>
        <w:spacing w:before="92"/>
        <w:ind w:left="3821" w:right="0" w:firstLine="0"/>
        <w:jc w:val="left"/>
        <w:rPr>
          <w:b/>
          <w:sz w:val="20"/>
        </w:rPr>
      </w:pPr>
      <w:r>
        <w:rPr>
          <w:b/>
          <w:sz w:val="20"/>
        </w:rPr>
        <w:t>Table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5</w:t>
        <w:tab/>
        <w:t>0.50-in.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sphere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striking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specimen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E-5P-5</w:t>
      </w:r>
    </w:p>
    <w:p>
      <w:pPr>
        <w:pStyle w:val="BodyText"/>
        <w:spacing w:before="5"/>
        <w:rPr>
          <w:b/>
          <w:sz w:val="17"/>
        </w:rPr>
      </w:pPr>
      <w:r>
        <w:rPr/>
        <w:pict>
          <v:rect style="position:absolute;margin-left:139.5pt;margin-top:12.004625pt;width:369.000018pt;height:.48pt;mso-position-horizontal-relative:page;mso-position-vertical-relative:paragraph;z-index:-15547392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BodyText"/>
        <w:spacing w:before="3"/>
        <w:rPr>
          <w:b/>
          <w:sz w:val="21"/>
        </w:rPr>
      </w:pPr>
    </w:p>
    <w:tbl>
      <w:tblPr>
        <w:tblW w:w="0" w:type="auto"/>
        <w:jc w:val="left"/>
        <w:tblInd w:w="23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96"/>
        <w:gridCol w:w="870"/>
        <w:gridCol w:w="817"/>
        <w:gridCol w:w="1100"/>
        <w:gridCol w:w="882"/>
        <w:gridCol w:w="1165"/>
        <w:gridCol w:w="1058"/>
      </w:tblGrid>
      <w:tr>
        <w:trPr>
          <w:trHeight w:val="506" w:hRule="atLeast"/>
        </w:trPr>
        <w:tc>
          <w:tcPr>
            <w:tcW w:w="1496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556" w:right="50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Shot</w:t>
            </w:r>
          </w:p>
        </w:tc>
        <w:tc>
          <w:tcPr>
            <w:tcW w:w="870" w:type="dxa"/>
          </w:tcPr>
          <w:p>
            <w:pPr>
              <w:pStyle w:val="TableParagraph"/>
              <w:spacing w:before="1"/>
              <w:ind w:left="153"/>
              <w:rPr>
                <w:b/>
                <w:sz w:val="20"/>
              </w:rPr>
            </w:pPr>
            <w:r>
              <w:rPr>
                <w:b/>
                <w:sz w:val="20"/>
              </w:rPr>
              <w:t>Powder</w:t>
            </w:r>
          </w:p>
          <w:p>
            <w:pPr>
              <w:pStyle w:val="TableParagraph"/>
              <w:spacing w:before="18"/>
              <w:ind w:left="259"/>
              <w:rPr>
                <w:b/>
                <w:sz w:val="20"/>
              </w:rPr>
            </w:pPr>
            <w:r>
              <w:rPr>
                <w:b/>
                <w:sz w:val="20"/>
              </w:rPr>
              <w:t>Mass</w:t>
            </w:r>
          </w:p>
        </w:tc>
        <w:tc>
          <w:tcPr>
            <w:tcW w:w="1917" w:type="dxa"/>
            <w:gridSpan w:val="2"/>
          </w:tcPr>
          <w:p>
            <w:pPr>
              <w:pStyle w:val="TableParagraph"/>
              <w:spacing w:line="222" w:lineRule="exact"/>
              <w:ind w:right="8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Chrono-Based</w:t>
            </w:r>
          </w:p>
          <w:p>
            <w:pPr>
              <w:pStyle w:val="TableParagraph"/>
              <w:tabs>
                <w:tab w:pos="1726" w:val="left" w:leader="none"/>
              </w:tabs>
              <w:spacing w:before="28"/>
              <w:ind w:right="79"/>
              <w:jc w:val="center"/>
              <w:rPr>
                <w:b/>
                <w:sz w:val="20"/>
              </w:rPr>
            </w:pPr>
            <w:r>
              <w:rPr>
                <w:b/>
                <w:w w:val="100"/>
                <w:sz w:val="20"/>
                <w:u w:val="single"/>
              </w:rPr>
              <w:t> </w:t>
            </w:r>
            <w:r>
              <w:rPr>
                <w:b/>
                <w:sz w:val="20"/>
                <w:u w:val="single"/>
              </w:rPr>
              <w:tab/>
            </w:r>
          </w:p>
        </w:tc>
        <w:tc>
          <w:tcPr>
            <w:tcW w:w="2047" w:type="dxa"/>
            <w:gridSpan w:val="2"/>
          </w:tcPr>
          <w:p>
            <w:pPr>
              <w:pStyle w:val="TableParagraph"/>
              <w:spacing w:line="222" w:lineRule="exact"/>
              <w:ind w:right="6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Chrono-Based</w:t>
            </w:r>
          </w:p>
          <w:p>
            <w:pPr>
              <w:pStyle w:val="TableParagraph"/>
              <w:tabs>
                <w:tab w:pos="1709" w:val="left" w:leader="none"/>
              </w:tabs>
              <w:spacing w:before="28"/>
              <w:ind w:right="66"/>
              <w:jc w:val="center"/>
              <w:rPr>
                <w:b/>
                <w:sz w:val="20"/>
              </w:rPr>
            </w:pPr>
            <w:r>
              <w:rPr>
                <w:b/>
                <w:w w:val="100"/>
                <w:sz w:val="20"/>
                <w:u w:val="single"/>
              </w:rPr>
              <w:t> </w:t>
            </w:r>
            <w:r>
              <w:rPr>
                <w:b/>
                <w:sz w:val="20"/>
                <w:u w:val="single"/>
              </w:rPr>
              <w:tab/>
            </w:r>
          </w:p>
        </w:tc>
        <w:tc>
          <w:tcPr>
            <w:tcW w:w="1058" w:type="dxa"/>
          </w:tcPr>
          <w:p>
            <w:pPr>
              <w:pStyle w:val="TableParagraph"/>
              <w:spacing w:before="126"/>
              <w:ind w:left="215"/>
              <w:rPr>
                <w:b/>
                <w:sz w:val="20"/>
              </w:rPr>
            </w:pPr>
            <w:r>
              <w:rPr>
                <w:b/>
                <w:sz w:val="20"/>
              </w:rPr>
              <w:t>DOP</w:t>
            </w:r>
          </w:p>
          <w:p>
            <w:pPr>
              <w:pStyle w:val="TableParagraph"/>
              <w:spacing w:line="112" w:lineRule="exact" w:before="19"/>
              <w:ind w:left="276"/>
              <w:rPr>
                <w:b/>
                <w:sz w:val="20"/>
              </w:rPr>
            </w:pPr>
            <w:r>
              <w:rPr>
                <w:b/>
                <w:sz w:val="20"/>
              </w:rPr>
              <w:t>(in)</w:t>
            </w:r>
          </w:p>
        </w:tc>
      </w:tr>
      <w:tr>
        <w:trPr>
          <w:trHeight w:val="261" w:hRule="atLeast"/>
        </w:trPr>
        <w:tc>
          <w:tcPr>
            <w:tcW w:w="1496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870" w:type="dxa"/>
          </w:tcPr>
          <w:p>
            <w:pPr>
              <w:pStyle w:val="TableParagraph"/>
              <w:spacing w:line="222" w:lineRule="exact"/>
              <w:ind w:left="128" w:right="3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(grains)</w:t>
            </w:r>
          </w:p>
        </w:tc>
        <w:tc>
          <w:tcPr>
            <w:tcW w:w="817" w:type="dxa"/>
          </w:tcPr>
          <w:p>
            <w:pPr>
              <w:pStyle w:val="TableParagraph"/>
              <w:spacing w:line="224" w:lineRule="exact" w:before="17"/>
              <w:ind w:left="202" w:right="174"/>
              <w:jc w:val="center"/>
              <w:rPr>
                <w:b/>
                <w:sz w:val="13"/>
              </w:rPr>
            </w:pPr>
            <w:r>
              <w:rPr>
                <w:b/>
                <w:position w:val="1"/>
                <w:sz w:val="20"/>
              </w:rPr>
              <w:t>v</w:t>
            </w:r>
            <w:r>
              <w:rPr>
                <w:b/>
                <w:sz w:val="13"/>
              </w:rPr>
              <w:t>s</w:t>
            </w:r>
          </w:p>
        </w:tc>
        <w:tc>
          <w:tcPr>
            <w:tcW w:w="1100" w:type="dxa"/>
          </w:tcPr>
          <w:p>
            <w:pPr>
              <w:pStyle w:val="TableParagraph"/>
              <w:spacing w:line="224" w:lineRule="exact" w:before="17"/>
              <w:ind w:left="87" w:right="247"/>
              <w:jc w:val="center"/>
              <w:rPr>
                <w:b/>
                <w:sz w:val="13"/>
              </w:rPr>
            </w:pPr>
            <w:r>
              <w:rPr>
                <w:b/>
                <w:position w:val="1"/>
                <w:sz w:val="20"/>
              </w:rPr>
              <w:t>v</w:t>
            </w:r>
            <w:r>
              <w:rPr>
                <w:b/>
                <w:sz w:val="13"/>
              </w:rPr>
              <w:t>s</w:t>
            </w:r>
          </w:p>
        </w:tc>
        <w:tc>
          <w:tcPr>
            <w:tcW w:w="882" w:type="dxa"/>
          </w:tcPr>
          <w:p>
            <w:pPr>
              <w:pStyle w:val="TableParagraph"/>
              <w:spacing w:line="224" w:lineRule="exact" w:before="17"/>
              <w:ind w:left="279" w:right="173"/>
              <w:jc w:val="center"/>
              <w:rPr>
                <w:b/>
                <w:sz w:val="13"/>
              </w:rPr>
            </w:pPr>
            <w:r>
              <w:rPr>
                <w:b/>
                <w:position w:val="1"/>
                <w:sz w:val="20"/>
              </w:rPr>
              <w:t>v</w:t>
            </w:r>
            <w:r>
              <w:rPr>
                <w:b/>
                <w:sz w:val="13"/>
              </w:rPr>
              <w:t>r</w:t>
            </w:r>
          </w:p>
        </w:tc>
        <w:tc>
          <w:tcPr>
            <w:tcW w:w="1165" w:type="dxa"/>
          </w:tcPr>
          <w:p>
            <w:pPr>
              <w:pStyle w:val="TableParagraph"/>
              <w:spacing w:line="224" w:lineRule="exact" w:before="17"/>
              <w:ind w:left="387"/>
              <w:rPr>
                <w:b/>
                <w:sz w:val="13"/>
              </w:rPr>
            </w:pPr>
            <w:r>
              <w:rPr>
                <w:b/>
                <w:position w:val="1"/>
                <w:sz w:val="20"/>
              </w:rPr>
              <w:t>v</w:t>
            </w:r>
            <w:r>
              <w:rPr>
                <w:b/>
                <w:sz w:val="13"/>
              </w:rPr>
              <w:t>r</w:t>
            </w:r>
          </w:p>
        </w:tc>
        <w:tc>
          <w:tcPr>
            <w:tcW w:w="1058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252" w:hRule="atLeast"/>
        </w:trPr>
        <w:tc>
          <w:tcPr>
            <w:tcW w:w="1496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870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81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28" w:lineRule="exact" w:before="5"/>
              <w:ind w:left="202" w:right="17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(fps)</w:t>
            </w:r>
          </w:p>
        </w:tc>
        <w:tc>
          <w:tcPr>
            <w:tcW w:w="110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28" w:lineRule="exact" w:before="5"/>
              <w:ind w:right="41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(m/s)</w:t>
            </w:r>
          </w:p>
        </w:tc>
        <w:tc>
          <w:tcPr>
            <w:tcW w:w="88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28" w:lineRule="exact" w:before="5"/>
              <w:ind w:left="279" w:right="17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(fps)</w:t>
            </w:r>
          </w:p>
        </w:tc>
        <w:tc>
          <w:tcPr>
            <w:tcW w:w="116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28" w:lineRule="exact" w:before="5"/>
              <w:ind w:left="250"/>
              <w:rPr>
                <w:b/>
                <w:sz w:val="20"/>
              </w:rPr>
            </w:pPr>
            <w:r>
              <w:rPr>
                <w:b/>
                <w:sz w:val="20"/>
              </w:rPr>
              <w:t>(m/s)</w:t>
            </w:r>
          </w:p>
        </w:tc>
        <w:tc>
          <w:tcPr>
            <w:tcW w:w="1058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319" w:hRule="atLeast"/>
        </w:trPr>
        <w:tc>
          <w:tcPr>
            <w:tcW w:w="1496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50"/>
              <w:ind w:left="115"/>
              <w:rPr>
                <w:sz w:val="20"/>
              </w:rPr>
            </w:pPr>
            <w:r>
              <w:rPr>
                <w:sz w:val="20"/>
              </w:rPr>
              <w:t>E-5P-5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1</w:t>
            </w:r>
          </w:p>
        </w:tc>
        <w:tc>
          <w:tcPr>
            <w:tcW w:w="870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50"/>
              <w:ind w:left="128" w:right="32"/>
              <w:jc w:val="center"/>
              <w:rPr>
                <w:sz w:val="20"/>
              </w:rPr>
            </w:pPr>
            <w:r>
              <w:rPr>
                <w:sz w:val="20"/>
              </w:rPr>
              <w:t>30.9</w:t>
            </w:r>
          </w:p>
        </w:tc>
        <w:tc>
          <w:tcPr>
            <w:tcW w:w="817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50"/>
              <w:ind w:left="202" w:right="174"/>
              <w:jc w:val="center"/>
              <w:rPr>
                <w:sz w:val="20"/>
              </w:rPr>
            </w:pPr>
            <w:r>
              <w:rPr>
                <w:sz w:val="20"/>
              </w:rPr>
              <w:t>985</w:t>
            </w:r>
          </w:p>
        </w:tc>
        <w:tc>
          <w:tcPr>
            <w:tcW w:w="1100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50"/>
              <w:ind w:right="354"/>
              <w:jc w:val="right"/>
              <w:rPr>
                <w:sz w:val="20"/>
              </w:rPr>
            </w:pPr>
            <w:r>
              <w:rPr>
                <w:sz w:val="20"/>
              </w:rPr>
              <w:t>300.21</w:t>
            </w:r>
          </w:p>
        </w:tc>
        <w:tc>
          <w:tcPr>
            <w:tcW w:w="882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50"/>
              <w:ind w:left="279" w:right="173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1165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50"/>
              <w:ind w:left="382" w:right="609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1058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50"/>
              <w:ind w:left="183" w:right="383"/>
              <w:jc w:val="center"/>
              <w:rPr>
                <w:sz w:val="20"/>
              </w:rPr>
            </w:pPr>
            <w:r>
              <w:rPr>
                <w:sz w:val="20"/>
              </w:rPr>
              <w:t>1.25</w:t>
            </w:r>
          </w:p>
        </w:tc>
      </w:tr>
      <w:tr>
        <w:trPr>
          <w:trHeight w:val="300" w:hRule="atLeast"/>
        </w:trPr>
        <w:tc>
          <w:tcPr>
            <w:tcW w:w="1496" w:type="dxa"/>
          </w:tcPr>
          <w:p>
            <w:pPr>
              <w:pStyle w:val="TableParagraph"/>
              <w:spacing w:before="31"/>
              <w:ind w:left="115"/>
              <w:rPr>
                <w:sz w:val="20"/>
              </w:rPr>
            </w:pPr>
            <w:r>
              <w:rPr>
                <w:sz w:val="20"/>
              </w:rPr>
              <w:t>E-5P-5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2</w:t>
            </w:r>
          </w:p>
        </w:tc>
        <w:tc>
          <w:tcPr>
            <w:tcW w:w="870" w:type="dxa"/>
          </w:tcPr>
          <w:p>
            <w:pPr>
              <w:pStyle w:val="TableParagraph"/>
              <w:spacing w:before="31"/>
              <w:ind w:left="128" w:right="32"/>
              <w:jc w:val="center"/>
              <w:rPr>
                <w:sz w:val="20"/>
              </w:rPr>
            </w:pPr>
            <w:r>
              <w:rPr>
                <w:sz w:val="20"/>
              </w:rPr>
              <w:t>67.2</w:t>
            </w:r>
          </w:p>
        </w:tc>
        <w:tc>
          <w:tcPr>
            <w:tcW w:w="817" w:type="dxa"/>
          </w:tcPr>
          <w:p>
            <w:pPr>
              <w:pStyle w:val="TableParagraph"/>
              <w:spacing w:before="31"/>
              <w:ind w:left="202" w:right="175"/>
              <w:jc w:val="center"/>
              <w:rPr>
                <w:sz w:val="20"/>
              </w:rPr>
            </w:pPr>
            <w:r>
              <w:rPr>
                <w:sz w:val="20"/>
              </w:rPr>
              <w:t>1888</w:t>
            </w:r>
          </w:p>
        </w:tc>
        <w:tc>
          <w:tcPr>
            <w:tcW w:w="1100" w:type="dxa"/>
          </w:tcPr>
          <w:p>
            <w:pPr>
              <w:pStyle w:val="TableParagraph"/>
              <w:spacing w:before="31"/>
              <w:ind w:right="354"/>
              <w:jc w:val="right"/>
              <w:rPr>
                <w:sz w:val="20"/>
              </w:rPr>
            </w:pPr>
            <w:r>
              <w:rPr>
                <w:sz w:val="20"/>
              </w:rPr>
              <w:t>575.43</w:t>
            </w:r>
          </w:p>
        </w:tc>
        <w:tc>
          <w:tcPr>
            <w:tcW w:w="882" w:type="dxa"/>
          </w:tcPr>
          <w:p>
            <w:pPr>
              <w:pStyle w:val="TableParagraph"/>
              <w:spacing w:before="31"/>
              <w:ind w:left="279" w:right="173"/>
              <w:jc w:val="center"/>
              <w:rPr>
                <w:sz w:val="20"/>
              </w:rPr>
            </w:pPr>
            <w:r>
              <w:rPr>
                <w:sz w:val="20"/>
              </w:rPr>
              <w:t>564</w:t>
            </w:r>
          </w:p>
        </w:tc>
        <w:tc>
          <w:tcPr>
            <w:tcW w:w="1165" w:type="dxa"/>
          </w:tcPr>
          <w:p>
            <w:pPr>
              <w:pStyle w:val="TableParagraph"/>
              <w:spacing w:before="31"/>
              <w:ind w:left="191"/>
              <w:rPr>
                <w:sz w:val="20"/>
              </w:rPr>
            </w:pPr>
            <w:r>
              <w:rPr>
                <w:sz w:val="20"/>
              </w:rPr>
              <w:t>171.90</w:t>
            </w:r>
          </w:p>
        </w:tc>
        <w:tc>
          <w:tcPr>
            <w:tcW w:w="1058" w:type="dxa"/>
          </w:tcPr>
          <w:p>
            <w:pPr>
              <w:pStyle w:val="TableParagraph"/>
              <w:spacing w:before="31"/>
              <w:ind w:left="283" w:right="484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</w:tr>
      <w:tr>
        <w:trPr>
          <w:trHeight w:val="300" w:hRule="atLeast"/>
        </w:trPr>
        <w:tc>
          <w:tcPr>
            <w:tcW w:w="1496" w:type="dxa"/>
          </w:tcPr>
          <w:p>
            <w:pPr>
              <w:pStyle w:val="TableParagraph"/>
              <w:spacing w:before="31"/>
              <w:ind w:left="115"/>
              <w:rPr>
                <w:sz w:val="20"/>
              </w:rPr>
            </w:pPr>
            <w:r>
              <w:rPr>
                <w:sz w:val="20"/>
              </w:rPr>
              <w:t>E-5P-5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3</w:t>
            </w:r>
          </w:p>
        </w:tc>
        <w:tc>
          <w:tcPr>
            <w:tcW w:w="870" w:type="dxa"/>
          </w:tcPr>
          <w:p>
            <w:pPr>
              <w:pStyle w:val="TableParagraph"/>
              <w:spacing w:before="31"/>
              <w:ind w:left="128" w:right="32"/>
              <w:jc w:val="center"/>
              <w:rPr>
                <w:sz w:val="20"/>
              </w:rPr>
            </w:pPr>
            <w:r>
              <w:rPr>
                <w:sz w:val="20"/>
              </w:rPr>
              <w:t>37.6</w:t>
            </w:r>
          </w:p>
        </w:tc>
        <w:tc>
          <w:tcPr>
            <w:tcW w:w="817" w:type="dxa"/>
          </w:tcPr>
          <w:p>
            <w:pPr>
              <w:pStyle w:val="TableParagraph"/>
              <w:spacing w:before="31"/>
              <w:ind w:left="202" w:right="175"/>
              <w:jc w:val="center"/>
              <w:rPr>
                <w:sz w:val="20"/>
              </w:rPr>
            </w:pPr>
            <w:r>
              <w:rPr>
                <w:sz w:val="20"/>
              </w:rPr>
              <w:t>1226</w:t>
            </w:r>
          </w:p>
        </w:tc>
        <w:tc>
          <w:tcPr>
            <w:tcW w:w="1100" w:type="dxa"/>
          </w:tcPr>
          <w:p>
            <w:pPr>
              <w:pStyle w:val="TableParagraph"/>
              <w:spacing w:before="31"/>
              <w:ind w:right="354"/>
              <w:jc w:val="right"/>
              <w:rPr>
                <w:sz w:val="20"/>
              </w:rPr>
            </w:pPr>
            <w:r>
              <w:rPr>
                <w:sz w:val="20"/>
              </w:rPr>
              <w:t>373.67</w:t>
            </w:r>
          </w:p>
        </w:tc>
        <w:tc>
          <w:tcPr>
            <w:tcW w:w="882" w:type="dxa"/>
          </w:tcPr>
          <w:p>
            <w:pPr>
              <w:pStyle w:val="TableParagraph"/>
              <w:spacing w:before="31"/>
              <w:ind w:left="279" w:right="173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1165" w:type="dxa"/>
          </w:tcPr>
          <w:p>
            <w:pPr>
              <w:pStyle w:val="TableParagraph"/>
              <w:spacing w:before="31"/>
              <w:ind w:left="382" w:right="609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1058" w:type="dxa"/>
          </w:tcPr>
          <w:p>
            <w:pPr>
              <w:pStyle w:val="TableParagraph"/>
              <w:spacing w:before="31"/>
              <w:ind w:left="183" w:right="385"/>
              <w:jc w:val="center"/>
              <w:rPr>
                <w:sz w:val="20"/>
              </w:rPr>
            </w:pPr>
            <w:r>
              <w:rPr>
                <w:sz w:val="20"/>
              </w:rPr>
              <w:t>3.625</w:t>
            </w:r>
          </w:p>
        </w:tc>
      </w:tr>
      <w:tr>
        <w:trPr>
          <w:trHeight w:val="300" w:hRule="atLeast"/>
        </w:trPr>
        <w:tc>
          <w:tcPr>
            <w:tcW w:w="1496" w:type="dxa"/>
          </w:tcPr>
          <w:p>
            <w:pPr>
              <w:pStyle w:val="TableParagraph"/>
              <w:spacing w:before="31"/>
              <w:ind w:left="115"/>
              <w:rPr>
                <w:sz w:val="20"/>
              </w:rPr>
            </w:pPr>
            <w:r>
              <w:rPr>
                <w:sz w:val="20"/>
              </w:rPr>
              <w:t>E-5P-5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4</w:t>
            </w:r>
          </w:p>
        </w:tc>
        <w:tc>
          <w:tcPr>
            <w:tcW w:w="870" w:type="dxa"/>
          </w:tcPr>
          <w:p>
            <w:pPr>
              <w:pStyle w:val="TableParagraph"/>
              <w:spacing w:before="31"/>
              <w:ind w:left="128" w:right="32"/>
              <w:jc w:val="center"/>
              <w:rPr>
                <w:sz w:val="20"/>
              </w:rPr>
            </w:pPr>
            <w:r>
              <w:rPr>
                <w:sz w:val="20"/>
              </w:rPr>
              <w:t>33.7</w:t>
            </w:r>
          </w:p>
        </w:tc>
        <w:tc>
          <w:tcPr>
            <w:tcW w:w="817" w:type="dxa"/>
          </w:tcPr>
          <w:p>
            <w:pPr>
              <w:pStyle w:val="TableParagraph"/>
              <w:spacing w:before="31"/>
              <w:ind w:left="202" w:right="175"/>
              <w:jc w:val="center"/>
              <w:rPr>
                <w:sz w:val="20"/>
              </w:rPr>
            </w:pPr>
            <w:r>
              <w:rPr>
                <w:sz w:val="20"/>
              </w:rPr>
              <w:t>1153</w:t>
            </w:r>
          </w:p>
        </w:tc>
        <w:tc>
          <w:tcPr>
            <w:tcW w:w="1100" w:type="dxa"/>
          </w:tcPr>
          <w:p>
            <w:pPr>
              <w:pStyle w:val="TableParagraph"/>
              <w:spacing w:before="31"/>
              <w:ind w:right="354"/>
              <w:jc w:val="right"/>
              <w:rPr>
                <w:sz w:val="20"/>
              </w:rPr>
            </w:pPr>
            <w:r>
              <w:rPr>
                <w:sz w:val="20"/>
              </w:rPr>
              <w:t>351.42</w:t>
            </w:r>
          </w:p>
        </w:tc>
        <w:tc>
          <w:tcPr>
            <w:tcW w:w="882" w:type="dxa"/>
          </w:tcPr>
          <w:p>
            <w:pPr>
              <w:pStyle w:val="TableParagraph"/>
              <w:spacing w:before="31"/>
              <w:ind w:left="279" w:right="173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1165" w:type="dxa"/>
          </w:tcPr>
          <w:p>
            <w:pPr>
              <w:pStyle w:val="TableParagraph"/>
              <w:spacing w:before="31"/>
              <w:ind w:left="382" w:right="609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1058" w:type="dxa"/>
          </w:tcPr>
          <w:p>
            <w:pPr>
              <w:pStyle w:val="TableParagraph"/>
              <w:spacing w:before="31"/>
              <w:ind w:left="183" w:right="385"/>
              <w:jc w:val="center"/>
              <w:rPr>
                <w:sz w:val="20"/>
              </w:rPr>
            </w:pPr>
            <w:r>
              <w:rPr>
                <w:sz w:val="20"/>
              </w:rPr>
              <w:t>2.875</w:t>
            </w:r>
          </w:p>
        </w:tc>
      </w:tr>
      <w:tr>
        <w:trPr>
          <w:trHeight w:val="300" w:hRule="atLeast"/>
        </w:trPr>
        <w:tc>
          <w:tcPr>
            <w:tcW w:w="1496" w:type="dxa"/>
          </w:tcPr>
          <w:p>
            <w:pPr>
              <w:pStyle w:val="TableParagraph"/>
              <w:spacing w:before="31"/>
              <w:ind w:left="115"/>
              <w:rPr>
                <w:sz w:val="20"/>
              </w:rPr>
            </w:pPr>
            <w:r>
              <w:rPr>
                <w:sz w:val="20"/>
              </w:rPr>
              <w:t>E-5P-5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5</w:t>
            </w:r>
          </w:p>
        </w:tc>
        <w:tc>
          <w:tcPr>
            <w:tcW w:w="870" w:type="dxa"/>
          </w:tcPr>
          <w:p>
            <w:pPr>
              <w:pStyle w:val="TableParagraph"/>
              <w:spacing w:before="31"/>
              <w:ind w:left="128" w:right="32"/>
              <w:jc w:val="center"/>
              <w:rPr>
                <w:sz w:val="20"/>
              </w:rPr>
            </w:pPr>
            <w:r>
              <w:rPr>
                <w:sz w:val="20"/>
              </w:rPr>
              <w:t>27.1</w:t>
            </w:r>
          </w:p>
        </w:tc>
        <w:tc>
          <w:tcPr>
            <w:tcW w:w="817" w:type="dxa"/>
          </w:tcPr>
          <w:p>
            <w:pPr>
              <w:pStyle w:val="TableParagraph"/>
              <w:spacing w:before="31"/>
              <w:ind w:left="202" w:right="174"/>
              <w:jc w:val="center"/>
              <w:rPr>
                <w:sz w:val="20"/>
              </w:rPr>
            </w:pPr>
            <w:r>
              <w:rPr>
                <w:sz w:val="20"/>
              </w:rPr>
              <w:t>986</w:t>
            </w:r>
          </w:p>
        </w:tc>
        <w:tc>
          <w:tcPr>
            <w:tcW w:w="1100" w:type="dxa"/>
          </w:tcPr>
          <w:p>
            <w:pPr>
              <w:pStyle w:val="TableParagraph"/>
              <w:spacing w:before="31"/>
              <w:ind w:right="354"/>
              <w:jc w:val="right"/>
              <w:rPr>
                <w:sz w:val="20"/>
              </w:rPr>
            </w:pPr>
            <w:r>
              <w:rPr>
                <w:sz w:val="20"/>
              </w:rPr>
              <w:t>300.52</w:t>
            </w:r>
          </w:p>
        </w:tc>
        <w:tc>
          <w:tcPr>
            <w:tcW w:w="882" w:type="dxa"/>
          </w:tcPr>
          <w:p>
            <w:pPr>
              <w:pStyle w:val="TableParagraph"/>
              <w:spacing w:before="31"/>
              <w:ind w:left="279" w:right="173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1165" w:type="dxa"/>
          </w:tcPr>
          <w:p>
            <w:pPr>
              <w:pStyle w:val="TableParagraph"/>
              <w:spacing w:before="31"/>
              <w:ind w:left="382" w:right="609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1058" w:type="dxa"/>
          </w:tcPr>
          <w:p>
            <w:pPr>
              <w:pStyle w:val="TableParagraph"/>
              <w:spacing w:before="31"/>
              <w:ind w:left="183" w:right="383"/>
              <w:jc w:val="center"/>
              <w:rPr>
                <w:sz w:val="20"/>
              </w:rPr>
            </w:pPr>
            <w:r>
              <w:rPr>
                <w:sz w:val="20"/>
              </w:rPr>
              <w:t>1.75</w:t>
            </w:r>
          </w:p>
        </w:tc>
      </w:tr>
      <w:tr>
        <w:trPr>
          <w:trHeight w:val="300" w:hRule="atLeast"/>
        </w:trPr>
        <w:tc>
          <w:tcPr>
            <w:tcW w:w="1496" w:type="dxa"/>
          </w:tcPr>
          <w:p>
            <w:pPr>
              <w:pStyle w:val="TableParagraph"/>
              <w:spacing w:before="31"/>
              <w:ind w:left="115"/>
              <w:rPr>
                <w:sz w:val="20"/>
              </w:rPr>
            </w:pPr>
            <w:r>
              <w:rPr>
                <w:sz w:val="20"/>
              </w:rPr>
              <w:t>E-5P-5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6</w:t>
            </w:r>
          </w:p>
        </w:tc>
        <w:tc>
          <w:tcPr>
            <w:tcW w:w="870" w:type="dxa"/>
          </w:tcPr>
          <w:p>
            <w:pPr>
              <w:pStyle w:val="TableParagraph"/>
              <w:spacing w:before="31"/>
              <w:ind w:left="128" w:right="32"/>
              <w:jc w:val="center"/>
              <w:rPr>
                <w:sz w:val="20"/>
              </w:rPr>
            </w:pPr>
            <w:r>
              <w:rPr>
                <w:sz w:val="20"/>
              </w:rPr>
              <w:t>21.9</w:t>
            </w:r>
          </w:p>
        </w:tc>
        <w:tc>
          <w:tcPr>
            <w:tcW w:w="817" w:type="dxa"/>
          </w:tcPr>
          <w:p>
            <w:pPr>
              <w:pStyle w:val="TableParagraph"/>
              <w:spacing w:before="31"/>
              <w:ind w:left="202" w:right="174"/>
              <w:jc w:val="center"/>
              <w:rPr>
                <w:sz w:val="20"/>
              </w:rPr>
            </w:pPr>
            <w:r>
              <w:rPr>
                <w:sz w:val="20"/>
              </w:rPr>
              <w:t>838</w:t>
            </w:r>
          </w:p>
        </w:tc>
        <w:tc>
          <w:tcPr>
            <w:tcW w:w="1100" w:type="dxa"/>
          </w:tcPr>
          <w:p>
            <w:pPr>
              <w:pStyle w:val="TableParagraph"/>
              <w:spacing w:before="31"/>
              <w:ind w:right="354"/>
              <w:jc w:val="right"/>
              <w:rPr>
                <w:sz w:val="20"/>
              </w:rPr>
            </w:pPr>
            <w:r>
              <w:rPr>
                <w:sz w:val="20"/>
              </w:rPr>
              <w:t>255.41</w:t>
            </w:r>
          </w:p>
        </w:tc>
        <w:tc>
          <w:tcPr>
            <w:tcW w:w="882" w:type="dxa"/>
          </w:tcPr>
          <w:p>
            <w:pPr>
              <w:pStyle w:val="TableParagraph"/>
              <w:spacing w:before="31"/>
              <w:ind w:left="279" w:right="173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1165" w:type="dxa"/>
          </w:tcPr>
          <w:p>
            <w:pPr>
              <w:pStyle w:val="TableParagraph"/>
              <w:spacing w:before="31"/>
              <w:ind w:left="382" w:right="609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1058" w:type="dxa"/>
          </w:tcPr>
          <w:p>
            <w:pPr>
              <w:pStyle w:val="TableParagraph"/>
              <w:spacing w:before="31"/>
              <w:ind w:left="283" w:right="484"/>
              <w:jc w:val="center"/>
              <w:rPr>
                <w:sz w:val="20"/>
              </w:rPr>
            </w:pPr>
            <w:r>
              <w:rPr>
                <w:sz w:val="20"/>
              </w:rPr>
              <w:t>1.5</w:t>
            </w:r>
          </w:p>
        </w:tc>
      </w:tr>
      <w:tr>
        <w:trPr>
          <w:trHeight w:val="300" w:hRule="atLeast"/>
        </w:trPr>
        <w:tc>
          <w:tcPr>
            <w:tcW w:w="1496" w:type="dxa"/>
          </w:tcPr>
          <w:p>
            <w:pPr>
              <w:pStyle w:val="TableParagraph"/>
              <w:spacing w:before="31"/>
              <w:ind w:left="115"/>
              <w:rPr>
                <w:sz w:val="20"/>
              </w:rPr>
            </w:pPr>
            <w:r>
              <w:rPr>
                <w:sz w:val="20"/>
              </w:rPr>
              <w:t>E-5P-5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7</w:t>
            </w:r>
          </w:p>
        </w:tc>
        <w:tc>
          <w:tcPr>
            <w:tcW w:w="870" w:type="dxa"/>
          </w:tcPr>
          <w:p>
            <w:pPr>
              <w:pStyle w:val="TableParagraph"/>
              <w:spacing w:before="31"/>
              <w:ind w:left="128" w:right="32"/>
              <w:jc w:val="center"/>
              <w:rPr>
                <w:sz w:val="20"/>
              </w:rPr>
            </w:pPr>
            <w:r>
              <w:rPr>
                <w:sz w:val="20"/>
              </w:rPr>
              <w:t>16.7</w:t>
            </w:r>
          </w:p>
        </w:tc>
        <w:tc>
          <w:tcPr>
            <w:tcW w:w="817" w:type="dxa"/>
          </w:tcPr>
          <w:p>
            <w:pPr>
              <w:pStyle w:val="TableParagraph"/>
              <w:spacing w:before="31"/>
              <w:ind w:left="202" w:right="174"/>
              <w:jc w:val="center"/>
              <w:rPr>
                <w:sz w:val="20"/>
              </w:rPr>
            </w:pPr>
            <w:r>
              <w:rPr>
                <w:sz w:val="20"/>
              </w:rPr>
              <w:t>507</w:t>
            </w:r>
          </w:p>
        </w:tc>
        <w:tc>
          <w:tcPr>
            <w:tcW w:w="1100" w:type="dxa"/>
          </w:tcPr>
          <w:p>
            <w:pPr>
              <w:pStyle w:val="TableParagraph"/>
              <w:spacing w:before="31"/>
              <w:ind w:right="354"/>
              <w:jc w:val="right"/>
              <w:rPr>
                <w:sz w:val="20"/>
              </w:rPr>
            </w:pPr>
            <w:r>
              <w:rPr>
                <w:sz w:val="20"/>
              </w:rPr>
              <w:t>154.53</w:t>
            </w:r>
          </w:p>
        </w:tc>
        <w:tc>
          <w:tcPr>
            <w:tcW w:w="882" w:type="dxa"/>
          </w:tcPr>
          <w:p>
            <w:pPr>
              <w:pStyle w:val="TableParagraph"/>
              <w:spacing w:before="31"/>
              <w:ind w:left="279" w:right="173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1165" w:type="dxa"/>
          </w:tcPr>
          <w:p>
            <w:pPr>
              <w:pStyle w:val="TableParagraph"/>
              <w:spacing w:before="31"/>
              <w:ind w:left="382" w:right="609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1058" w:type="dxa"/>
          </w:tcPr>
          <w:p>
            <w:pPr>
              <w:pStyle w:val="TableParagraph"/>
              <w:spacing w:before="31"/>
              <w:ind w:left="183" w:right="385"/>
              <w:jc w:val="center"/>
              <w:rPr>
                <w:sz w:val="20"/>
              </w:rPr>
            </w:pPr>
            <w:r>
              <w:rPr>
                <w:sz w:val="20"/>
              </w:rPr>
              <w:t>0.375</w:t>
            </w:r>
          </w:p>
        </w:tc>
      </w:tr>
      <w:tr>
        <w:trPr>
          <w:trHeight w:val="300" w:hRule="atLeast"/>
        </w:trPr>
        <w:tc>
          <w:tcPr>
            <w:tcW w:w="1496" w:type="dxa"/>
          </w:tcPr>
          <w:p>
            <w:pPr>
              <w:pStyle w:val="TableParagraph"/>
              <w:spacing w:before="31"/>
              <w:ind w:left="115"/>
              <w:rPr>
                <w:sz w:val="20"/>
              </w:rPr>
            </w:pPr>
            <w:r>
              <w:rPr>
                <w:sz w:val="20"/>
              </w:rPr>
              <w:t>E-5P-5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8*</w:t>
            </w:r>
          </w:p>
        </w:tc>
        <w:tc>
          <w:tcPr>
            <w:tcW w:w="870" w:type="dxa"/>
          </w:tcPr>
          <w:p>
            <w:pPr>
              <w:pStyle w:val="TableParagraph"/>
              <w:spacing w:before="31"/>
              <w:ind w:left="128" w:right="32"/>
              <w:jc w:val="center"/>
              <w:rPr>
                <w:sz w:val="20"/>
              </w:rPr>
            </w:pPr>
            <w:r>
              <w:rPr>
                <w:sz w:val="20"/>
              </w:rPr>
              <w:t>18.3</w:t>
            </w:r>
          </w:p>
        </w:tc>
        <w:tc>
          <w:tcPr>
            <w:tcW w:w="817" w:type="dxa"/>
          </w:tcPr>
          <w:p>
            <w:pPr>
              <w:pStyle w:val="TableParagraph"/>
              <w:spacing w:before="31"/>
              <w:ind w:left="202" w:right="174"/>
              <w:jc w:val="center"/>
              <w:rPr>
                <w:sz w:val="20"/>
              </w:rPr>
            </w:pPr>
            <w:r>
              <w:rPr>
                <w:sz w:val="20"/>
              </w:rPr>
              <w:t>624</w:t>
            </w:r>
          </w:p>
        </w:tc>
        <w:tc>
          <w:tcPr>
            <w:tcW w:w="1100" w:type="dxa"/>
          </w:tcPr>
          <w:p>
            <w:pPr>
              <w:pStyle w:val="TableParagraph"/>
              <w:spacing w:before="31"/>
              <w:ind w:right="354"/>
              <w:jc w:val="right"/>
              <w:rPr>
                <w:sz w:val="20"/>
              </w:rPr>
            </w:pPr>
            <w:r>
              <w:rPr>
                <w:sz w:val="20"/>
              </w:rPr>
              <w:t>190.19</w:t>
            </w:r>
          </w:p>
        </w:tc>
        <w:tc>
          <w:tcPr>
            <w:tcW w:w="882" w:type="dxa"/>
          </w:tcPr>
          <w:p>
            <w:pPr>
              <w:pStyle w:val="TableParagraph"/>
              <w:spacing w:before="31"/>
              <w:ind w:left="279" w:right="173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1165" w:type="dxa"/>
          </w:tcPr>
          <w:p>
            <w:pPr>
              <w:pStyle w:val="TableParagraph"/>
              <w:spacing w:before="31"/>
              <w:ind w:left="382" w:right="609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1058" w:type="dxa"/>
          </w:tcPr>
          <w:p>
            <w:pPr>
              <w:pStyle w:val="TableParagraph"/>
              <w:spacing w:before="31"/>
              <w:ind w:left="183" w:right="383"/>
              <w:jc w:val="center"/>
              <w:rPr>
                <w:sz w:val="20"/>
              </w:rPr>
            </w:pPr>
            <w:r>
              <w:rPr>
                <w:sz w:val="20"/>
              </w:rPr>
              <w:t>0.75</w:t>
            </w:r>
          </w:p>
        </w:tc>
      </w:tr>
      <w:tr>
        <w:trPr>
          <w:trHeight w:val="300" w:hRule="atLeast"/>
        </w:trPr>
        <w:tc>
          <w:tcPr>
            <w:tcW w:w="1496" w:type="dxa"/>
          </w:tcPr>
          <w:p>
            <w:pPr>
              <w:pStyle w:val="TableParagraph"/>
              <w:spacing w:before="31"/>
              <w:ind w:left="115"/>
              <w:rPr>
                <w:sz w:val="20"/>
              </w:rPr>
            </w:pPr>
            <w:r>
              <w:rPr>
                <w:sz w:val="20"/>
              </w:rPr>
              <w:t>E-5P-5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9</w:t>
            </w:r>
          </w:p>
        </w:tc>
        <w:tc>
          <w:tcPr>
            <w:tcW w:w="870" w:type="dxa"/>
          </w:tcPr>
          <w:p>
            <w:pPr>
              <w:pStyle w:val="TableParagraph"/>
              <w:spacing w:before="31"/>
              <w:ind w:left="128" w:right="32"/>
              <w:jc w:val="center"/>
              <w:rPr>
                <w:sz w:val="20"/>
              </w:rPr>
            </w:pPr>
            <w:r>
              <w:rPr>
                <w:sz w:val="20"/>
              </w:rPr>
              <w:t>20.7</w:t>
            </w:r>
          </w:p>
        </w:tc>
        <w:tc>
          <w:tcPr>
            <w:tcW w:w="817" w:type="dxa"/>
          </w:tcPr>
          <w:p>
            <w:pPr>
              <w:pStyle w:val="TableParagraph"/>
              <w:spacing w:before="31"/>
              <w:ind w:left="202" w:right="174"/>
              <w:jc w:val="center"/>
              <w:rPr>
                <w:sz w:val="20"/>
              </w:rPr>
            </w:pPr>
            <w:r>
              <w:rPr>
                <w:sz w:val="20"/>
              </w:rPr>
              <w:t>629</w:t>
            </w:r>
          </w:p>
        </w:tc>
        <w:tc>
          <w:tcPr>
            <w:tcW w:w="1100" w:type="dxa"/>
          </w:tcPr>
          <w:p>
            <w:pPr>
              <w:pStyle w:val="TableParagraph"/>
              <w:spacing w:before="31"/>
              <w:ind w:right="354"/>
              <w:jc w:val="right"/>
              <w:rPr>
                <w:sz w:val="20"/>
              </w:rPr>
            </w:pPr>
            <w:r>
              <w:rPr>
                <w:sz w:val="20"/>
              </w:rPr>
              <w:t>191.71</w:t>
            </w:r>
          </w:p>
        </w:tc>
        <w:tc>
          <w:tcPr>
            <w:tcW w:w="882" w:type="dxa"/>
          </w:tcPr>
          <w:p>
            <w:pPr>
              <w:pStyle w:val="TableParagraph"/>
              <w:spacing w:before="31"/>
              <w:ind w:left="279" w:right="173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1165" w:type="dxa"/>
          </w:tcPr>
          <w:p>
            <w:pPr>
              <w:pStyle w:val="TableParagraph"/>
              <w:spacing w:before="31"/>
              <w:ind w:left="382" w:right="609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1058" w:type="dxa"/>
          </w:tcPr>
          <w:p>
            <w:pPr>
              <w:pStyle w:val="TableParagraph"/>
              <w:spacing w:before="31"/>
              <w:ind w:left="183" w:right="385"/>
              <w:jc w:val="center"/>
              <w:rPr>
                <w:sz w:val="20"/>
              </w:rPr>
            </w:pPr>
            <w:r>
              <w:rPr>
                <w:sz w:val="20"/>
              </w:rPr>
              <w:t>0.375</w:t>
            </w:r>
          </w:p>
        </w:tc>
      </w:tr>
      <w:tr>
        <w:trPr>
          <w:trHeight w:val="281" w:hRule="atLeast"/>
        </w:trPr>
        <w:tc>
          <w:tcPr>
            <w:tcW w:w="149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1"/>
              <w:ind w:left="115"/>
              <w:rPr>
                <w:sz w:val="20"/>
              </w:rPr>
            </w:pPr>
            <w:r>
              <w:rPr>
                <w:sz w:val="20"/>
              </w:rPr>
              <w:t>E-5P-5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10</w:t>
            </w:r>
          </w:p>
        </w:tc>
        <w:tc>
          <w:tcPr>
            <w:tcW w:w="87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1"/>
              <w:ind w:left="128" w:right="32"/>
              <w:jc w:val="center"/>
              <w:rPr>
                <w:sz w:val="20"/>
              </w:rPr>
            </w:pPr>
            <w:r>
              <w:rPr>
                <w:sz w:val="20"/>
              </w:rPr>
              <w:t>21.5</w:t>
            </w:r>
          </w:p>
        </w:tc>
        <w:tc>
          <w:tcPr>
            <w:tcW w:w="81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1"/>
              <w:ind w:left="202" w:right="174"/>
              <w:jc w:val="center"/>
              <w:rPr>
                <w:sz w:val="20"/>
              </w:rPr>
            </w:pPr>
            <w:r>
              <w:rPr>
                <w:sz w:val="20"/>
              </w:rPr>
              <w:t>664</w:t>
            </w:r>
          </w:p>
        </w:tc>
        <w:tc>
          <w:tcPr>
            <w:tcW w:w="110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1"/>
              <w:ind w:right="354"/>
              <w:jc w:val="right"/>
              <w:rPr>
                <w:sz w:val="20"/>
              </w:rPr>
            </w:pPr>
            <w:r>
              <w:rPr>
                <w:sz w:val="20"/>
              </w:rPr>
              <w:t>202.38</w:t>
            </w:r>
          </w:p>
        </w:tc>
        <w:tc>
          <w:tcPr>
            <w:tcW w:w="88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1"/>
              <w:ind w:left="279" w:right="173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116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1"/>
              <w:ind w:left="382" w:right="609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105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1"/>
              <w:ind w:left="183" w:right="383"/>
              <w:jc w:val="center"/>
              <w:rPr>
                <w:sz w:val="20"/>
              </w:rPr>
            </w:pPr>
            <w:r>
              <w:rPr>
                <w:sz w:val="20"/>
              </w:rPr>
              <w:t>0.75</w:t>
            </w:r>
          </w:p>
        </w:tc>
      </w:tr>
    </w:tbl>
    <w:p>
      <w:pPr>
        <w:spacing w:line="223" w:lineRule="exact" w:before="0"/>
        <w:ind w:left="2546" w:right="0" w:firstLine="0"/>
        <w:jc w:val="left"/>
        <w:rPr>
          <w:sz w:val="20"/>
        </w:rPr>
      </w:pPr>
      <w:r>
        <w:rPr>
          <w:sz w:val="20"/>
        </w:rPr>
        <w:t>Note:</w:t>
      </w:r>
      <w:r>
        <w:rPr>
          <w:spacing w:val="-4"/>
          <w:sz w:val="20"/>
        </w:rPr>
        <w:t> </w:t>
      </w:r>
      <w:r>
        <w:rPr>
          <w:sz w:val="20"/>
        </w:rPr>
        <w:t>* Shot</w:t>
      </w:r>
      <w:r>
        <w:rPr>
          <w:spacing w:val="-3"/>
          <w:sz w:val="20"/>
        </w:rPr>
        <w:t> </w:t>
      </w:r>
      <w:r>
        <w:rPr>
          <w:sz w:val="20"/>
        </w:rPr>
        <w:t>8</w:t>
      </w:r>
      <w:r>
        <w:rPr>
          <w:spacing w:val="-3"/>
          <w:sz w:val="20"/>
        </w:rPr>
        <w:t> </w:t>
      </w:r>
      <w:r>
        <w:rPr>
          <w:sz w:val="20"/>
        </w:rPr>
        <w:t>was</w:t>
      </w:r>
      <w:r>
        <w:rPr>
          <w:spacing w:val="-2"/>
          <w:sz w:val="20"/>
        </w:rPr>
        <w:t> </w:t>
      </w:r>
      <w:r>
        <w:rPr>
          <w:sz w:val="20"/>
        </w:rPr>
        <w:t>about</w:t>
      </w:r>
      <w:r>
        <w:rPr>
          <w:spacing w:val="-3"/>
          <w:sz w:val="20"/>
        </w:rPr>
        <w:t> </w:t>
      </w:r>
      <w:r>
        <w:rPr>
          <w:sz w:val="20"/>
        </w:rPr>
        <w:t>1-1/8-inch</w:t>
      </w:r>
      <w:r>
        <w:rPr>
          <w:spacing w:val="-2"/>
          <w:sz w:val="20"/>
        </w:rPr>
        <w:t> </w:t>
      </w:r>
      <w:r>
        <w:rPr>
          <w:sz w:val="20"/>
        </w:rPr>
        <w:t>from</w:t>
      </w:r>
      <w:r>
        <w:rPr>
          <w:spacing w:val="-4"/>
          <w:sz w:val="20"/>
        </w:rPr>
        <w:t> </w:t>
      </w:r>
      <w:r>
        <w:rPr>
          <w:sz w:val="20"/>
        </w:rPr>
        <w:t>Shot</w:t>
      </w:r>
      <w:r>
        <w:rPr>
          <w:spacing w:val="-2"/>
          <w:sz w:val="20"/>
        </w:rPr>
        <w:t> </w:t>
      </w:r>
      <w:r>
        <w:rPr>
          <w:sz w:val="20"/>
        </w:rPr>
        <w:t>7</w:t>
      </w:r>
      <w:r>
        <w:rPr>
          <w:spacing w:val="-3"/>
          <w:sz w:val="20"/>
        </w:rPr>
        <w:t> </w:t>
      </w:r>
      <w:r>
        <w:rPr>
          <w:sz w:val="20"/>
        </w:rPr>
        <w:t>due</w:t>
      </w:r>
      <w:r>
        <w:rPr>
          <w:spacing w:val="-1"/>
          <w:sz w:val="20"/>
        </w:rPr>
        <w:t> </w:t>
      </w:r>
      <w:r>
        <w:rPr>
          <w:sz w:val="20"/>
        </w:rPr>
        <w:t>to error</w:t>
      </w:r>
      <w:r>
        <w:rPr>
          <w:spacing w:val="-2"/>
          <w:sz w:val="20"/>
        </w:rPr>
        <w:t> </w:t>
      </w:r>
      <w:r>
        <w:rPr>
          <w:sz w:val="20"/>
        </w:rPr>
        <w:t>in</w:t>
      </w:r>
      <w:r>
        <w:rPr>
          <w:spacing w:val="-2"/>
          <w:sz w:val="20"/>
        </w:rPr>
        <w:t> </w:t>
      </w:r>
      <w:r>
        <w:rPr>
          <w:sz w:val="20"/>
        </w:rPr>
        <w:t>not</w:t>
      </w:r>
      <w:r>
        <w:rPr>
          <w:spacing w:val="-3"/>
          <w:sz w:val="20"/>
        </w:rPr>
        <w:t> </w:t>
      </w:r>
      <w:r>
        <w:rPr>
          <w:sz w:val="20"/>
        </w:rPr>
        <w:t>resetting the</w:t>
      </w:r>
      <w:r>
        <w:rPr>
          <w:spacing w:val="-3"/>
          <w:sz w:val="20"/>
        </w:rPr>
        <w:t> </w:t>
      </w:r>
      <w:r>
        <w:rPr>
          <w:sz w:val="20"/>
        </w:rPr>
        <w:t>target.</w:t>
      </w:r>
    </w:p>
    <w:p>
      <w:pPr>
        <w:spacing w:after="0" w:line="223" w:lineRule="exact"/>
        <w:jc w:val="left"/>
        <w:rPr>
          <w:sz w:val="20"/>
        </w:rPr>
        <w:sectPr>
          <w:type w:val="continuous"/>
          <w:pgSz w:w="12240" w:h="15840"/>
          <w:pgMar w:top="1380" w:bottom="280" w:left="440" w:right="880"/>
        </w:sectPr>
      </w:pPr>
    </w:p>
    <w:p>
      <w:pPr>
        <w:tabs>
          <w:tab w:pos="4880" w:val="left" w:leader="none"/>
        </w:tabs>
        <w:spacing w:before="70"/>
        <w:ind w:left="3887" w:right="0" w:firstLine="0"/>
        <w:jc w:val="left"/>
        <w:rPr>
          <w:b/>
          <w:sz w:val="20"/>
        </w:rPr>
      </w:pPr>
      <w:r>
        <w:rPr>
          <w:b/>
          <w:sz w:val="20"/>
        </w:rPr>
        <w:t>Table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6</w:t>
        <w:tab/>
        <w:t>0.50-cal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FSP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striking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specimen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E-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5P-8</w:t>
      </w:r>
    </w:p>
    <w:p>
      <w:pPr>
        <w:pStyle w:val="BodyText"/>
        <w:spacing w:before="5"/>
        <w:rPr>
          <w:b/>
          <w:sz w:val="17"/>
        </w:rPr>
      </w:pPr>
      <w:r>
        <w:rPr/>
        <w:pict>
          <v:rect style="position:absolute;margin-left:148.5pt;margin-top:12.000943pt;width:351.000017pt;height:.48pt;mso-position-horizontal-relative:page;mso-position-vertical-relative:paragraph;z-index:-15546368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BodyText"/>
        <w:spacing w:before="3"/>
        <w:rPr>
          <w:b/>
          <w:sz w:val="21"/>
        </w:rPr>
      </w:pPr>
    </w:p>
    <w:tbl>
      <w:tblPr>
        <w:tblW w:w="0" w:type="auto"/>
        <w:jc w:val="left"/>
        <w:tblInd w:w="253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61"/>
        <w:gridCol w:w="838"/>
        <w:gridCol w:w="808"/>
        <w:gridCol w:w="1096"/>
        <w:gridCol w:w="928"/>
        <w:gridCol w:w="1076"/>
        <w:gridCol w:w="924"/>
      </w:tblGrid>
      <w:tr>
        <w:trPr>
          <w:trHeight w:val="506" w:hRule="atLeast"/>
        </w:trPr>
        <w:tc>
          <w:tcPr>
            <w:tcW w:w="1361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96" w:right="9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Shot</w:t>
            </w:r>
          </w:p>
        </w:tc>
        <w:tc>
          <w:tcPr>
            <w:tcW w:w="838" w:type="dxa"/>
          </w:tcPr>
          <w:p>
            <w:pPr>
              <w:pStyle w:val="TableParagraph"/>
              <w:spacing w:before="1"/>
              <w:ind w:left="117"/>
              <w:rPr>
                <w:b/>
                <w:sz w:val="20"/>
              </w:rPr>
            </w:pPr>
            <w:r>
              <w:rPr>
                <w:b/>
                <w:sz w:val="20"/>
              </w:rPr>
              <w:t>Powder</w:t>
            </w:r>
          </w:p>
          <w:p>
            <w:pPr>
              <w:pStyle w:val="TableParagraph"/>
              <w:spacing w:before="18"/>
              <w:ind w:left="223"/>
              <w:rPr>
                <w:b/>
                <w:sz w:val="20"/>
              </w:rPr>
            </w:pPr>
            <w:r>
              <w:rPr>
                <w:b/>
                <w:sz w:val="20"/>
              </w:rPr>
              <w:t>Mass</w:t>
            </w:r>
          </w:p>
        </w:tc>
        <w:tc>
          <w:tcPr>
            <w:tcW w:w="1904" w:type="dxa"/>
            <w:gridSpan w:val="2"/>
          </w:tcPr>
          <w:p>
            <w:pPr>
              <w:pStyle w:val="TableParagraph"/>
              <w:spacing w:line="222" w:lineRule="exact"/>
              <w:ind w:right="7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Chrono-Based</w:t>
            </w:r>
          </w:p>
          <w:p>
            <w:pPr>
              <w:pStyle w:val="TableParagraph"/>
              <w:tabs>
                <w:tab w:pos="1709" w:val="left" w:leader="none"/>
              </w:tabs>
              <w:spacing w:before="28"/>
              <w:ind w:right="75"/>
              <w:jc w:val="center"/>
              <w:rPr>
                <w:b/>
                <w:sz w:val="20"/>
              </w:rPr>
            </w:pPr>
            <w:r>
              <w:rPr>
                <w:b/>
                <w:w w:val="100"/>
                <w:sz w:val="20"/>
                <w:u w:val="single"/>
              </w:rPr>
              <w:t> </w:t>
            </w:r>
            <w:r>
              <w:rPr>
                <w:b/>
                <w:sz w:val="20"/>
                <w:u w:val="single"/>
              </w:rPr>
              <w:tab/>
            </w:r>
          </w:p>
        </w:tc>
        <w:tc>
          <w:tcPr>
            <w:tcW w:w="2004" w:type="dxa"/>
            <w:gridSpan w:val="2"/>
          </w:tcPr>
          <w:p>
            <w:pPr>
              <w:pStyle w:val="TableParagraph"/>
              <w:spacing w:line="222" w:lineRule="exact"/>
              <w:ind w:right="2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Hi-speed</w:t>
            </w:r>
            <w:r>
              <w:rPr>
                <w:b/>
                <w:spacing w:val="-5"/>
                <w:sz w:val="20"/>
              </w:rPr>
              <w:t> </w:t>
            </w:r>
            <w:r>
              <w:rPr>
                <w:b/>
                <w:sz w:val="20"/>
              </w:rPr>
              <w:t>camera</w:t>
            </w:r>
          </w:p>
          <w:p>
            <w:pPr>
              <w:pStyle w:val="TableParagraph"/>
              <w:tabs>
                <w:tab w:pos="1709" w:val="left" w:leader="none"/>
              </w:tabs>
              <w:spacing w:before="28"/>
              <w:ind w:right="23"/>
              <w:jc w:val="center"/>
              <w:rPr>
                <w:b/>
                <w:sz w:val="20"/>
              </w:rPr>
            </w:pPr>
            <w:r>
              <w:rPr>
                <w:b/>
                <w:w w:val="100"/>
                <w:sz w:val="20"/>
                <w:u w:val="single"/>
              </w:rPr>
              <w:t> </w:t>
            </w:r>
            <w:r>
              <w:rPr>
                <w:b/>
                <w:sz w:val="20"/>
                <w:u w:val="single"/>
              </w:rPr>
              <w:tab/>
            </w:r>
          </w:p>
        </w:tc>
        <w:tc>
          <w:tcPr>
            <w:tcW w:w="924" w:type="dxa"/>
          </w:tcPr>
          <w:p>
            <w:pPr>
              <w:pStyle w:val="TableParagraph"/>
              <w:spacing w:before="126"/>
              <w:ind w:left="168"/>
              <w:rPr>
                <w:b/>
                <w:sz w:val="20"/>
              </w:rPr>
            </w:pPr>
            <w:r>
              <w:rPr>
                <w:b/>
                <w:sz w:val="20"/>
              </w:rPr>
              <w:t>DOP</w:t>
            </w:r>
          </w:p>
          <w:p>
            <w:pPr>
              <w:pStyle w:val="TableParagraph"/>
              <w:spacing w:line="112" w:lineRule="exact" w:before="19"/>
              <w:ind w:left="229"/>
              <w:rPr>
                <w:b/>
                <w:sz w:val="20"/>
              </w:rPr>
            </w:pPr>
            <w:r>
              <w:rPr>
                <w:b/>
                <w:sz w:val="20"/>
              </w:rPr>
              <w:t>(in)</w:t>
            </w:r>
          </w:p>
        </w:tc>
      </w:tr>
      <w:tr>
        <w:trPr>
          <w:trHeight w:val="261" w:hRule="atLeast"/>
        </w:trPr>
        <w:tc>
          <w:tcPr>
            <w:tcW w:w="1361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838" w:type="dxa"/>
          </w:tcPr>
          <w:p>
            <w:pPr>
              <w:pStyle w:val="TableParagraph"/>
              <w:spacing w:line="222" w:lineRule="exact"/>
              <w:ind w:left="92" w:right="3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(grains)</w:t>
            </w:r>
          </w:p>
        </w:tc>
        <w:tc>
          <w:tcPr>
            <w:tcW w:w="808" w:type="dxa"/>
          </w:tcPr>
          <w:p>
            <w:pPr>
              <w:pStyle w:val="TableParagraph"/>
              <w:spacing w:line="224" w:lineRule="exact" w:before="17"/>
              <w:ind w:left="197" w:right="169"/>
              <w:jc w:val="center"/>
              <w:rPr>
                <w:b/>
                <w:sz w:val="13"/>
              </w:rPr>
            </w:pPr>
            <w:r>
              <w:rPr>
                <w:b/>
                <w:position w:val="1"/>
                <w:sz w:val="20"/>
              </w:rPr>
              <w:t>v</w:t>
            </w:r>
            <w:r>
              <w:rPr>
                <w:b/>
                <w:sz w:val="13"/>
              </w:rPr>
              <w:t>s</w:t>
            </w:r>
          </w:p>
        </w:tc>
        <w:tc>
          <w:tcPr>
            <w:tcW w:w="1096" w:type="dxa"/>
          </w:tcPr>
          <w:p>
            <w:pPr>
              <w:pStyle w:val="TableParagraph"/>
              <w:spacing w:line="224" w:lineRule="exact" w:before="17"/>
              <w:ind w:left="188" w:right="352"/>
              <w:jc w:val="center"/>
              <w:rPr>
                <w:b/>
                <w:sz w:val="13"/>
              </w:rPr>
            </w:pPr>
            <w:r>
              <w:rPr>
                <w:b/>
                <w:position w:val="1"/>
                <w:sz w:val="20"/>
              </w:rPr>
              <w:t>v</w:t>
            </w:r>
            <w:r>
              <w:rPr>
                <w:b/>
                <w:sz w:val="13"/>
              </w:rPr>
              <w:t>s</w:t>
            </w:r>
          </w:p>
        </w:tc>
        <w:tc>
          <w:tcPr>
            <w:tcW w:w="928" w:type="dxa"/>
          </w:tcPr>
          <w:p>
            <w:pPr>
              <w:pStyle w:val="TableParagraph"/>
              <w:spacing w:line="224" w:lineRule="exact" w:before="17"/>
              <w:ind w:left="161" w:right="12"/>
              <w:jc w:val="center"/>
              <w:rPr>
                <w:b/>
                <w:sz w:val="13"/>
              </w:rPr>
            </w:pPr>
            <w:r>
              <w:rPr>
                <w:b/>
                <w:position w:val="1"/>
                <w:sz w:val="20"/>
              </w:rPr>
              <w:t>v</w:t>
            </w:r>
            <w:r>
              <w:rPr>
                <w:b/>
                <w:sz w:val="13"/>
              </w:rPr>
              <w:t>r</w:t>
            </w:r>
          </w:p>
        </w:tc>
        <w:tc>
          <w:tcPr>
            <w:tcW w:w="1076" w:type="dxa"/>
          </w:tcPr>
          <w:p>
            <w:pPr>
              <w:pStyle w:val="TableParagraph"/>
              <w:spacing w:line="224" w:lineRule="exact" w:before="17"/>
              <w:ind w:left="121" w:right="262"/>
              <w:jc w:val="center"/>
              <w:rPr>
                <w:b/>
                <w:sz w:val="13"/>
              </w:rPr>
            </w:pPr>
            <w:r>
              <w:rPr>
                <w:b/>
                <w:position w:val="1"/>
                <w:sz w:val="20"/>
              </w:rPr>
              <w:t>v</w:t>
            </w:r>
            <w:r>
              <w:rPr>
                <w:b/>
                <w:sz w:val="13"/>
              </w:rPr>
              <w:t>r</w:t>
            </w:r>
          </w:p>
        </w:tc>
        <w:tc>
          <w:tcPr>
            <w:tcW w:w="924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252" w:hRule="atLeast"/>
        </w:trPr>
        <w:tc>
          <w:tcPr>
            <w:tcW w:w="1361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838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80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28" w:lineRule="exact" w:before="5"/>
              <w:ind w:left="197" w:right="16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(fps)</w:t>
            </w:r>
          </w:p>
        </w:tc>
        <w:tc>
          <w:tcPr>
            <w:tcW w:w="109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28" w:lineRule="exact" w:before="5"/>
              <w:ind w:right="41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(m/s)</w:t>
            </w:r>
          </w:p>
        </w:tc>
        <w:tc>
          <w:tcPr>
            <w:tcW w:w="92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28" w:lineRule="exact" w:before="5"/>
              <w:ind w:left="161" w:right="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(fps)</w:t>
            </w:r>
          </w:p>
        </w:tc>
        <w:tc>
          <w:tcPr>
            <w:tcW w:w="107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28" w:lineRule="exact" w:before="5"/>
              <w:ind w:left="120" w:right="26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(m/s)</w:t>
            </w:r>
          </w:p>
        </w:tc>
        <w:tc>
          <w:tcPr>
            <w:tcW w:w="924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318" w:hRule="atLeast"/>
        </w:trPr>
        <w:tc>
          <w:tcPr>
            <w:tcW w:w="1361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49"/>
              <w:ind w:left="96" w:right="94"/>
              <w:jc w:val="center"/>
              <w:rPr>
                <w:sz w:val="20"/>
              </w:rPr>
            </w:pPr>
            <w:r>
              <w:rPr>
                <w:sz w:val="20"/>
              </w:rPr>
              <w:t>E-5P-8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1</w:t>
            </w:r>
          </w:p>
        </w:tc>
        <w:tc>
          <w:tcPr>
            <w:tcW w:w="838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49"/>
              <w:ind w:left="92" w:right="39"/>
              <w:jc w:val="center"/>
              <w:rPr>
                <w:sz w:val="20"/>
              </w:rPr>
            </w:pPr>
            <w:r>
              <w:rPr>
                <w:sz w:val="20"/>
              </w:rPr>
              <w:t>136.0</w:t>
            </w:r>
          </w:p>
        </w:tc>
        <w:tc>
          <w:tcPr>
            <w:tcW w:w="808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49"/>
              <w:ind w:left="197" w:right="170"/>
              <w:jc w:val="center"/>
              <w:rPr>
                <w:sz w:val="20"/>
              </w:rPr>
            </w:pPr>
            <w:r>
              <w:rPr>
                <w:sz w:val="20"/>
              </w:rPr>
              <w:t>1883</w:t>
            </w:r>
          </w:p>
        </w:tc>
        <w:tc>
          <w:tcPr>
            <w:tcW w:w="1096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49"/>
              <w:ind w:right="354"/>
              <w:jc w:val="right"/>
              <w:rPr>
                <w:sz w:val="20"/>
              </w:rPr>
            </w:pPr>
            <w:r>
              <w:rPr>
                <w:sz w:val="20"/>
              </w:rPr>
              <w:t>573.91</w:t>
            </w:r>
          </w:p>
        </w:tc>
        <w:tc>
          <w:tcPr>
            <w:tcW w:w="928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49"/>
              <w:ind w:left="161" w:right="12"/>
              <w:jc w:val="center"/>
              <w:rPr>
                <w:sz w:val="20"/>
              </w:rPr>
            </w:pPr>
            <w:r>
              <w:rPr>
                <w:sz w:val="20"/>
              </w:rPr>
              <w:t>573</w:t>
            </w:r>
          </w:p>
        </w:tc>
        <w:tc>
          <w:tcPr>
            <w:tcW w:w="1076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49"/>
              <w:ind w:left="121" w:right="262"/>
              <w:jc w:val="center"/>
              <w:rPr>
                <w:sz w:val="20"/>
              </w:rPr>
            </w:pPr>
            <w:r>
              <w:rPr>
                <w:sz w:val="20"/>
              </w:rPr>
              <w:t>174.64</w:t>
            </w:r>
          </w:p>
        </w:tc>
        <w:tc>
          <w:tcPr>
            <w:tcW w:w="924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49"/>
              <w:ind w:left="136" w:right="297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</w:tr>
      <w:tr>
        <w:trPr>
          <w:trHeight w:val="300" w:hRule="atLeast"/>
        </w:trPr>
        <w:tc>
          <w:tcPr>
            <w:tcW w:w="1361" w:type="dxa"/>
          </w:tcPr>
          <w:p>
            <w:pPr>
              <w:pStyle w:val="TableParagraph"/>
              <w:spacing w:before="31"/>
              <w:ind w:left="96" w:right="94"/>
              <w:jc w:val="center"/>
              <w:rPr>
                <w:sz w:val="20"/>
              </w:rPr>
            </w:pPr>
            <w:r>
              <w:rPr>
                <w:sz w:val="20"/>
              </w:rPr>
              <w:t>E-5P-8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2</w:t>
            </w:r>
          </w:p>
        </w:tc>
        <w:tc>
          <w:tcPr>
            <w:tcW w:w="838" w:type="dxa"/>
          </w:tcPr>
          <w:p>
            <w:pPr>
              <w:pStyle w:val="TableParagraph"/>
              <w:spacing w:before="31"/>
              <w:ind w:left="92" w:right="39"/>
              <w:jc w:val="center"/>
              <w:rPr>
                <w:sz w:val="20"/>
              </w:rPr>
            </w:pPr>
            <w:r>
              <w:rPr>
                <w:sz w:val="20"/>
              </w:rPr>
              <w:t>119.0</w:t>
            </w:r>
          </w:p>
        </w:tc>
        <w:tc>
          <w:tcPr>
            <w:tcW w:w="808" w:type="dxa"/>
          </w:tcPr>
          <w:p>
            <w:pPr>
              <w:pStyle w:val="TableParagraph"/>
              <w:spacing w:before="31"/>
              <w:ind w:left="197" w:right="170"/>
              <w:jc w:val="center"/>
              <w:rPr>
                <w:sz w:val="20"/>
              </w:rPr>
            </w:pPr>
            <w:r>
              <w:rPr>
                <w:sz w:val="20"/>
              </w:rPr>
              <w:t>1719</w:t>
            </w:r>
          </w:p>
        </w:tc>
        <w:tc>
          <w:tcPr>
            <w:tcW w:w="1096" w:type="dxa"/>
          </w:tcPr>
          <w:p>
            <w:pPr>
              <w:pStyle w:val="TableParagraph"/>
              <w:spacing w:before="31"/>
              <w:ind w:right="354"/>
              <w:jc w:val="right"/>
              <w:rPr>
                <w:sz w:val="20"/>
              </w:rPr>
            </w:pPr>
            <w:r>
              <w:rPr>
                <w:sz w:val="20"/>
              </w:rPr>
              <w:t>523.93</w:t>
            </w:r>
          </w:p>
        </w:tc>
        <w:tc>
          <w:tcPr>
            <w:tcW w:w="928" w:type="dxa"/>
          </w:tcPr>
          <w:p>
            <w:pPr>
              <w:pStyle w:val="TableParagraph"/>
              <w:spacing w:before="31"/>
              <w:ind w:left="161" w:right="12"/>
              <w:jc w:val="center"/>
              <w:rPr>
                <w:sz w:val="20"/>
              </w:rPr>
            </w:pPr>
            <w:r>
              <w:rPr>
                <w:sz w:val="20"/>
              </w:rPr>
              <w:t>471</w:t>
            </w:r>
          </w:p>
        </w:tc>
        <w:tc>
          <w:tcPr>
            <w:tcW w:w="1076" w:type="dxa"/>
          </w:tcPr>
          <w:p>
            <w:pPr>
              <w:pStyle w:val="TableParagraph"/>
              <w:spacing w:before="31"/>
              <w:ind w:left="121" w:right="262"/>
              <w:jc w:val="center"/>
              <w:rPr>
                <w:sz w:val="20"/>
              </w:rPr>
            </w:pPr>
            <w:r>
              <w:rPr>
                <w:sz w:val="20"/>
              </w:rPr>
              <w:t>143.55</w:t>
            </w:r>
          </w:p>
        </w:tc>
        <w:tc>
          <w:tcPr>
            <w:tcW w:w="924" w:type="dxa"/>
          </w:tcPr>
          <w:p>
            <w:pPr>
              <w:pStyle w:val="TableParagraph"/>
              <w:spacing w:before="31"/>
              <w:ind w:left="136" w:right="297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</w:tr>
      <w:tr>
        <w:trPr>
          <w:trHeight w:val="300" w:hRule="atLeast"/>
        </w:trPr>
        <w:tc>
          <w:tcPr>
            <w:tcW w:w="1361" w:type="dxa"/>
          </w:tcPr>
          <w:p>
            <w:pPr>
              <w:pStyle w:val="TableParagraph"/>
              <w:spacing w:before="31"/>
              <w:ind w:left="96" w:right="94"/>
              <w:jc w:val="center"/>
              <w:rPr>
                <w:sz w:val="20"/>
              </w:rPr>
            </w:pPr>
            <w:r>
              <w:rPr>
                <w:sz w:val="20"/>
              </w:rPr>
              <w:t>E-5P-8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3</w:t>
            </w:r>
          </w:p>
        </w:tc>
        <w:tc>
          <w:tcPr>
            <w:tcW w:w="838" w:type="dxa"/>
          </w:tcPr>
          <w:p>
            <w:pPr>
              <w:pStyle w:val="TableParagraph"/>
              <w:spacing w:before="31"/>
              <w:ind w:left="92" w:right="39"/>
              <w:jc w:val="center"/>
              <w:rPr>
                <w:sz w:val="20"/>
              </w:rPr>
            </w:pPr>
            <w:r>
              <w:rPr>
                <w:sz w:val="20"/>
              </w:rPr>
              <w:t>106.0</w:t>
            </w:r>
          </w:p>
        </w:tc>
        <w:tc>
          <w:tcPr>
            <w:tcW w:w="808" w:type="dxa"/>
          </w:tcPr>
          <w:p>
            <w:pPr>
              <w:pStyle w:val="TableParagraph"/>
              <w:spacing w:before="31"/>
              <w:ind w:left="197" w:right="170"/>
              <w:jc w:val="center"/>
              <w:rPr>
                <w:sz w:val="20"/>
              </w:rPr>
            </w:pPr>
            <w:r>
              <w:rPr>
                <w:sz w:val="20"/>
              </w:rPr>
              <w:t>1641</w:t>
            </w:r>
          </w:p>
        </w:tc>
        <w:tc>
          <w:tcPr>
            <w:tcW w:w="1096" w:type="dxa"/>
          </w:tcPr>
          <w:p>
            <w:pPr>
              <w:pStyle w:val="TableParagraph"/>
              <w:spacing w:before="31"/>
              <w:ind w:right="354"/>
              <w:jc w:val="right"/>
              <w:rPr>
                <w:sz w:val="20"/>
              </w:rPr>
            </w:pPr>
            <w:r>
              <w:rPr>
                <w:sz w:val="20"/>
              </w:rPr>
              <w:t>500.15</w:t>
            </w:r>
          </w:p>
        </w:tc>
        <w:tc>
          <w:tcPr>
            <w:tcW w:w="928" w:type="dxa"/>
          </w:tcPr>
          <w:p>
            <w:pPr>
              <w:pStyle w:val="TableParagraph"/>
              <w:spacing w:before="31"/>
              <w:ind w:left="161" w:right="12"/>
              <w:jc w:val="center"/>
              <w:rPr>
                <w:sz w:val="20"/>
              </w:rPr>
            </w:pPr>
            <w:r>
              <w:rPr>
                <w:sz w:val="20"/>
              </w:rPr>
              <w:t>266</w:t>
            </w:r>
          </w:p>
        </w:tc>
        <w:tc>
          <w:tcPr>
            <w:tcW w:w="1076" w:type="dxa"/>
          </w:tcPr>
          <w:p>
            <w:pPr>
              <w:pStyle w:val="TableParagraph"/>
              <w:spacing w:before="31"/>
              <w:ind w:left="120" w:right="262"/>
              <w:jc w:val="center"/>
              <w:rPr>
                <w:sz w:val="20"/>
              </w:rPr>
            </w:pPr>
            <w:r>
              <w:rPr>
                <w:sz w:val="20"/>
              </w:rPr>
              <w:t>81.07</w:t>
            </w:r>
          </w:p>
        </w:tc>
        <w:tc>
          <w:tcPr>
            <w:tcW w:w="924" w:type="dxa"/>
          </w:tcPr>
          <w:p>
            <w:pPr>
              <w:pStyle w:val="TableParagraph"/>
              <w:spacing w:before="31"/>
              <w:ind w:left="136" w:right="297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</w:tr>
      <w:tr>
        <w:trPr>
          <w:trHeight w:val="300" w:hRule="atLeast"/>
        </w:trPr>
        <w:tc>
          <w:tcPr>
            <w:tcW w:w="1361" w:type="dxa"/>
          </w:tcPr>
          <w:p>
            <w:pPr>
              <w:pStyle w:val="TableParagraph"/>
              <w:spacing w:before="31"/>
              <w:ind w:left="96" w:right="94"/>
              <w:jc w:val="center"/>
              <w:rPr>
                <w:sz w:val="20"/>
              </w:rPr>
            </w:pPr>
            <w:r>
              <w:rPr>
                <w:sz w:val="20"/>
              </w:rPr>
              <w:t>E-5P-8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4</w:t>
            </w:r>
          </w:p>
        </w:tc>
        <w:tc>
          <w:tcPr>
            <w:tcW w:w="838" w:type="dxa"/>
          </w:tcPr>
          <w:p>
            <w:pPr>
              <w:pStyle w:val="TableParagraph"/>
              <w:spacing w:before="31"/>
              <w:ind w:left="92" w:right="37"/>
              <w:jc w:val="center"/>
              <w:rPr>
                <w:sz w:val="20"/>
              </w:rPr>
            </w:pPr>
            <w:r>
              <w:rPr>
                <w:sz w:val="20"/>
              </w:rPr>
              <w:t>90.5</w:t>
            </w:r>
          </w:p>
        </w:tc>
        <w:tc>
          <w:tcPr>
            <w:tcW w:w="808" w:type="dxa"/>
          </w:tcPr>
          <w:p>
            <w:pPr>
              <w:pStyle w:val="TableParagraph"/>
              <w:spacing w:before="31"/>
              <w:ind w:left="197" w:right="170"/>
              <w:jc w:val="center"/>
              <w:rPr>
                <w:sz w:val="20"/>
              </w:rPr>
            </w:pPr>
            <w:r>
              <w:rPr>
                <w:sz w:val="20"/>
              </w:rPr>
              <w:t>1536</w:t>
            </w:r>
          </w:p>
        </w:tc>
        <w:tc>
          <w:tcPr>
            <w:tcW w:w="1096" w:type="dxa"/>
          </w:tcPr>
          <w:p>
            <w:pPr>
              <w:pStyle w:val="TableParagraph"/>
              <w:spacing w:before="31"/>
              <w:ind w:right="354"/>
              <w:jc w:val="right"/>
              <w:rPr>
                <w:sz w:val="20"/>
              </w:rPr>
            </w:pPr>
            <w:r>
              <w:rPr>
                <w:sz w:val="20"/>
              </w:rPr>
              <w:t>468.15</w:t>
            </w:r>
          </w:p>
        </w:tc>
        <w:tc>
          <w:tcPr>
            <w:tcW w:w="928" w:type="dxa"/>
          </w:tcPr>
          <w:p>
            <w:pPr>
              <w:pStyle w:val="TableParagraph"/>
              <w:spacing w:before="31"/>
              <w:ind w:left="161" w:right="10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1076" w:type="dxa"/>
          </w:tcPr>
          <w:p>
            <w:pPr>
              <w:pStyle w:val="TableParagraph"/>
              <w:spacing w:before="31"/>
              <w:ind w:left="121" w:right="262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924" w:type="dxa"/>
          </w:tcPr>
          <w:p>
            <w:pPr>
              <w:pStyle w:val="TableParagraph"/>
              <w:spacing w:before="31"/>
              <w:ind w:left="136" w:right="298"/>
              <w:jc w:val="center"/>
              <w:rPr>
                <w:sz w:val="20"/>
              </w:rPr>
            </w:pPr>
            <w:r>
              <w:rPr>
                <w:sz w:val="20"/>
              </w:rPr>
              <w:t>5.125</w:t>
            </w:r>
          </w:p>
        </w:tc>
      </w:tr>
      <w:tr>
        <w:trPr>
          <w:trHeight w:val="282" w:hRule="atLeast"/>
        </w:trPr>
        <w:tc>
          <w:tcPr>
            <w:tcW w:w="1361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1"/>
              <w:ind w:left="96" w:right="94"/>
              <w:jc w:val="center"/>
              <w:rPr>
                <w:sz w:val="20"/>
              </w:rPr>
            </w:pPr>
            <w:r>
              <w:rPr>
                <w:sz w:val="20"/>
              </w:rPr>
              <w:t>E-5P-8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5</w:t>
            </w:r>
          </w:p>
        </w:tc>
        <w:tc>
          <w:tcPr>
            <w:tcW w:w="83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1"/>
              <w:ind w:left="92" w:right="39"/>
              <w:jc w:val="center"/>
              <w:rPr>
                <w:sz w:val="20"/>
              </w:rPr>
            </w:pPr>
            <w:r>
              <w:rPr>
                <w:sz w:val="20"/>
              </w:rPr>
              <w:t>150.5</w:t>
            </w:r>
          </w:p>
        </w:tc>
        <w:tc>
          <w:tcPr>
            <w:tcW w:w="80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1"/>
              <w:ind w:left="197" w:right="170"/>
              <w:jc w:val="center"/>
              <w:rPr>
                <w:sz w:val="20"/>
              </w:rPr>
            </w:pPr>
            <w:r>
              <w:rPr>
                <w:sz w:val="20"/>
              </w:rPr>
              <w:t>2015</w:t>
            </w:r>
          </w:p>
        </w:tc>
        <w:tc>
          <w:tcPr>
            <w:tcW w:w="109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1"/>
              <w:ind w:right="354"/>
              <w:jc w:val="right"/>
              <w:rPr>
                <w:sz w:val="20"/>
              </w:rPr>
            </w:pPr>
            <w:r>
              <w:rPr>
                <w:sz w:val="20"/>
              </w:rPr>
              <w:t>614.14</w:t>
            </w:r>
          </w:p>
        </w:tc>
        <w:tc>
          <w:tcPr>
            <w:tcW w:w="92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1"/>
              <w:ind w:left="161" w:right="12"/>
              <w:jc w:val="center"/>
              <w:rPr>
                <w:sz w:val="20"/>
              </w:rPr>
            </w:pPr>
            <w:r>
              <w:rPr>
                <w:sz w:val="20"/>
              </w:rPr>
              <w:t>628</w:t>
            </w:r>
          </w:p>
        </w:tc>
        <w:tc>
          <w:tcPr>
            <w:tcW w:w="107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1"/>
              <w:ind w:left="121" w:right="262"/>
              <w:jc w:val="center"/>
              <w:rPr>
                <w:sz w:val="20"/>
              </w:rPr>
            </w:pPr>
            <w:r>
              <w:rPr>
                <w:sz w:val="20"/>
              </w:rPr>
              <w:t>191.41</w:t>
            </w:r>
          </w:p>
        </w:tc>
        <w:tc>
          <w:tcPr>
            <w:tcW w:w="92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1"/>
              <w:ind w:left="136" w:right="297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7"/>
        </w:rPr>
      </w:pPr>
    </w:p>
    <w:p>
      <w:pPr>
        <w:tabs>
          <w:tab w:pos="4880" w:val="left" w:leader="none"/>
        </w:tabs>
        <w:spacing w:before="92"/>
        <w:ind w:left="3887" w:right="0" w:firstLine="0"/>
        <w:jc w:val="left"/>
        <w:rPr>
          <w:b/>
          <w:sz w:val="20"/>
        </w:rPr>
      </w:pPr>
      <w:r>
        <w:rPr>
          <w:b/>
          <w:sz w:val="20"/>
        </w:rPr>
        <w:t>Table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7</w:t>
        <w:tab/>
        <w:t>0.50-cal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FSP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striking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specimen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E-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5P-9</w:t>
      </w:r>
    </w:p>
    <w:p>
      <w:pPr>
        <w:pStyle w:val="BodyText"/>
        <w:spacing w:line="20" w:lineRule="exact"/>
        <w:ind w:left="2395"/>
        <w:rPr>
          <w:sz w:val="2"/>
        </w:rPr>
      </w:pPr>
      <w:r>
        <w:rPr>
          <w:sz w:val="2"/>
        </w:rPr>
        <w:pict>
          <v:group style="width:364.5pt;height:.5pt;mso-position-horizontal-relative:char;mso-position-vertical-relative:line" coordorigin="0,0" coordsize="7290,10">
            <v:shape style="position:absolute;left:0;top:0;width:7290;height:10" coordorigin="0,0" coordsize="7290,10" path="m4320,0l4060,0,4050,0,2243,0,2233,0,1360,0,1360,0,1350,0,0,0,0,10,1350,10,1360,10,1360,10,2233,10,2243,10,4050,10,4060,10,4320,10,4320,0xm6300,0l4330,0,4320,0,4320,10,4330,10,6300,10,6300,0xm7290,0l6310,0,6300,0,6300,10,6310,10,7290,10,7290,0xe" filled="true" fillcolor="#000000" stroked="false">
              <v:path arrowok="t"/>
              <v:fill type="solid"/>
            </v:shape>
          </v:group>
        </w:pict>
      </w:r>
      <w:r>
        <w:rPr>
          <w:sz w:val="2"/>
        </w:rPr>
      </w:r>
    </w:p>
    <w:p>
      <w:pPr>
        <w:pStyle w:val="BodyText"/>
        <w:spacing w:before="2"/>
        <w:rPr>
          <w:b/>
          <w:sz w:val="14"/>
        </w:rPr>
      </w:pPr>
    </w:p>
    <w:p>
      <w:pPr>
        <w:tabs>
          <w:tab w:pos="4918" w:val="left" w:leader="none"/>
          <w:tab w:pos="6984" w:val="left" w:leader="none"/>
          <w:tab w:pos="8976" w:val="left" w:leader="none"/>
        </w:tabs>
        <w:spacing w:line="96" w:lineRule="auto" w:before="126"/>
        <w:ind w:left="3856" w:right="0" w:firstLine="0"/>
        <w:jc w:val="left"/>
        <w:rPr>
          <w:b/>
          <w:sz w:val="20"/>
        </w:rPr>
      </w:pPr>
      <w:r>
        <w:rPr>
          <w:b/>
          <w:sz w:val="20"/>
        </w:rPr>
        <w:t>Powder</w:t>
        <w:tab/>
      </w:r>
      <w:r>
        <w:rPr>
          <w:b/>
          <w:position w:val="1"/>
          <w:sz w:val="20"/>
        </w:rPr>
        <w:t>Chrono-Based</w:t>
        <w:tab/>
        <w:t>Hi-speed</w:t>
      </w:r>
      <w:r>
        <w:rPr>
          <w:b/>
          <w:spacing w:val="-3"/>
          <w:position w:val="1"/>
          <w:sz w:val="20"/>
        </w:rPr>
        <w:t> </w:t>
      </w:r>
      <w:r>
        <w:rPr>
          <w:b/>
          <w:position w:val="1"/>
          <w:sz w:val="20"/>
        </w:rPr>
        <w:t>camera</w:t>
        <w:tab/>
      </w:r>
      <w:r>
        <w:rPr>
          <w:b/>
          <w:position w:val="-12"/>
          <w:sz w:val="20"/>
        </w:rPr>
        <w:t>DOP</w:t>
      </w:r>
    </w:p>
    <w:p>
      <w:pPr>
        <w:spacing w:after="0" w:line="96" w:lineRule="auto"/>
        <w:jc w:val="left"/>
        <w:rPr>
          <w:sz w:val="20"/>
        </w:rPr>
        <w:sectPr>
          <w:pgSz w:w="12240" w:h="15840"/>
          <w:pgMar w:header="0" w:footer="1064" w:top="1380" w:bottom="1260" w:left="440" w:right="880"/>
        </w:sectPr>
      </w:pPr>
    </w:p>
    <w:p>
      <w:pPr>
        <w:spacing w:line="222" w:lineRule="exact" w:before="0"/>
        <w:ind w:left="0" w:right="0" w:firstLine="0"/>
        <w:jc w:val="right"/>
        <w:rPr>
          <w:b/>
          <w:sz w:val="20"/>
        </w:rPr>
      </w:pPr>
      <w:r>
        <w:rPr/>
        <w:pict>
          <v:shape style="position:absolute;margin-left:141.419998pt;margin-top:12.447079pt;width:364.9pt;height:102pt;mso-position-horizontal-relative:page;mso-position-vertical-relative:paragraph;z-index:1591244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355"/>
                    <w:gridCol w:w="913"/>
                    <w:gridCol w:w="755"/>
                    <w:gridCol w:w="1137"/>
                    <w:gridCol w:w="1027"/>
                    <w:gridCol w:w="1176"/>
                    <w:gridCol w:w="932"/>
                  </w:tblGrid>
                  <w:tr>
                    <w:trPr>
                      <w:trHeight w:val="256" w:hRule="atLeast"/>
                    </w:trPr>
                    <w:tc>
                      <w:tcPr>
                        <w:tcW w:w="1355" w:type="dxa"/>
                        <w:vMerge w:val="restart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13" w:type="dxa"/>
                      </w:tcPr>
                      <w:p>
                        <w:pPr>
                          <w:pStyle w:val="TableParagraph"/>
                          <w:spacing w:line="222" w:lineRule="exact"/>
                          <w:ind w:left="89" w:right="116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(grains)</w:t>
                        </w:r>
                      </w:p>
                    </w:tc>
                    <w:tc>
                      <w:tcPr>
                        <w:tcW w:w="755" w:type="dxa"/>
                      </w:tcPr>
                      <w:p>
                        <w:pPr>
                          <w:pStyle w:val="TableParagraph"/>
                          <w:spacing w:line="219" w:lineRule="exact" w:before="17"/>
                          <w:ind w:left="120" w:right="193"/>
                          <w:jc w:val="center"/>
                          <w:rPr>
                            <w:b/>
                            <w:sz w:val="13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s</w:t>
                        </w:r>
                      </w:p>
                    </w:tc>
                    <w:tc>
                      <w:tcPr>
                        <w:tcW w:w="1137" w:type="dxa"/>
                      </w:tcPr>
                      <w:p>
                        <w:pPr>
                          <w:pStyle w:val="TableParagraph"/>
                          <w:spacing w:line="219" w:lineRule="exact" w:before="17"/>
                          <w:ind w:left="217" w:right="365"/>
                          <w:jc w:val="center"/>
                          <w:rPr>
                            <w:b/>
                            <w:sz w:val="13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s</w:t>
                        </w:r>
                      </w:p>
                    </w:tc>
                    <w:tc>
                      <w:tcPr>
                        <w:tcW w:w="1027" w:type="dxa"/>
                      </w:tcPr>
                      <w:p>
                        <w:pPr>
                          <w:pStyle w:val="TableParagraph"/>
                          <w:spacing w:line="219" w:lineRule="exact" w:before="17"/>
                          <w:ind w:left="397" w:right="284"/>
                          <w:jc w:val="center"/>
                          <w:rPr>
                            <w:b/>
                            <w:sz w:val="13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r</w:t>
                        </w:r>
                      </w:p>
                    </w:tc>
                    <w:tc>
                      <w:tcPr>
                        <w:tcW w:w="1176" w:type="dxa"/>
                      </w:tcPr>
                      <w:p>
                        <w:pPr>
                          <w:pStyle w:val="TableParagraph"/>
                          <w:spacing w:line="219" w:lineRule="exact" w:before="17"/>
                          <w:ind w:left="437" w:right="541"/>
                          <w:jc w:val="center"/>
                          <w:rPr>
                            <w:b/>
                            <w:sz w:val="13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r</w:t>
                        </w:r>
                      </w:p>
                    </w:tc>
                    <w:tc>
                      <w:tcPr>
                        <w:tcW w:w="932" w:type="dxa"/>
                        <w:vMerge w:val="restart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</w:tr>
                  <w:tr>
                    <w:trPr>
                      <w:trHeight w:val="247" w:hRule="atLeast"/>
                    </w:trPr>
                    <w:tc>
                      <w:tcPr>
                        <w:tcW w:w="1355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913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755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28" w:lineRule="exact"/>
                          <w:ind w:left="120" w:right="19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(fps)</w:t>
                        </w:r>
                      </w:p>
                    </w:tc>
                    <w:tc>
                      <w:tcPr>
                        <w:tcW w:w="1137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28" w:lineRule="exact"/>
                          <w:ind w:right="425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(m/s)</w:t>
                        </w:r>
                      </w:p>
                    </w:tc>
                    <w:tc>
                      <w:tcPr>
                        <w:tcW w:w="1027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28" w:lineRule="exact"/>
                          <w:ind w:right="259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(fps)</w:t>
                        </w:r>
                      </w:p>
                    </w:tc>
                    <w:tc>
                      <w:tcPr>
                        <w:tcW w:w="1176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28" w:lineRule="exact"/>
                          <w:ind w:right="397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(m/s)</w:t>
                        </w:r>
                      </w:p>
                    </w:tc>
                    <w:tc>
                      <w:tcPr>
                        <w:tcW w:w="932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318" w:hRule="atLeast"/>
                    </w:trPr>
                    <w:tc>
                      <w:tcPr>
                        <w:tcW w:w="1355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right="10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E-5P-9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913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89" w:right="1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156</w:t>
                        </w:r>
                      </w:p>
                    </w:tc>
                    <w:tc>
                      <w:tcPr>
                        <w:tcW w:w="755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20" w:right="19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2280</w:t>
                        </w:r>
                      </w:p>
                    </w:tc>
                    <w:tc>
                      <w:tcPr>
                        <w:tcW w:w="1137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right="36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694.91</w:t>
                        </w:r>
                      </w:p>
                    </w:tc>
                    <w:tc>
                      <w:tcPr>
                        <w:tcW w:w="1027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right="254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1108</w:t>
                        </w:r>
                      </w:p>
                    </w:tc>
                    <w:tc>
                      <w:tcPr>
                        <w:tcW w:w="1176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right="36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337.70</w:t>
                        </w:r>
                      </w:p>
                    </w:tc>
                    <w:tc>
                      <w:tcPr>
                        <w:tcW w:w="932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37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355" w:type="dxa"/>
                      </w:tcPr>
                      <w:p>
                        <w:pPr>
                          <w:pStyle w:val="TableParagraph"/>
                          <w:spacing w:before="31"/>
                          <w:ind w:right="10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E-5P-9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w="913" w:type="dxa"/>
                      </w:tcPr>
                      <w:p>
                        <w:pPr>
                          <w:pStyle w:val="TableParagraph"/>
                          <w:spacing w:before="31"/>
                          <w:ind w:left="89" w:right="1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151</w:t>
                        </w:r>
                      </w:p>
                    </w:tc>
                    <w:tc>
                      <w:tcPr>
                        <w:tcW w:w="755" w:type="dxa"/>
                      </w:tcPr>
                      <w:p>
                        <w:pPr>
                          <w:pStyle w:val="TableParagraph"/>
                          <w:spacing w:before="31"/>
                          <w:ind w:left="120" w:right="19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1952</w:t>
                        </w:r>
                      </w:p>
                    </w:tc>
                    <w:tc>
                      <w:tcPr>
                        <w:tcW w:w="1137" w:type="dxa"/>
                      </w:tcPr>
                      <w:p>
                        <w:pPr>
                          <w:pStyle w:val="TableParagraph"/>
                          <w:spacing w:before="31"/>
                          <w:ind w:right="36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594.94</w:t>
                        </w:r>
                      </w:p>
                    </w:tc>
                    <w:tc>
                      <w:tcPr>
                        <w:tcW w:w="1027" w:type="dxa"/>
                      </w:tcPr>
                      <w:p>
                        <w:pPr>
                          <w:pStyle w:val="TableParagraph"/>
                          <w:spacing w:before="31"/>
                          <w:ind w:right="304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708</w:t>
                        </w:r>
                      </w:p>
                    </w:tc>
                    <w:tc>
                      <w:tcPr>
                        <w:tcW w:w="1176" w:type="dxa"/>
                      </w:tcPr>
                      <w:p>
                        <w:pPr>
                          <w:pStyle w:val="TableParagraph"/>
                          <w:spacing w:before="31"/>
                          <w:ind w:right="36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215.79</w:t>
                        </w:r>
                      </w:p>
                    </w:tc>
                    <w:tc>
                      <w:tcPr>
                        <w:tcW w:w="932" w:type="dxa"/>
                      </w:tcPr>
                      <w:p>
                        <w:pPr>
                          <w:pStyle w:val="TableParagraph"/>
                          <w:spacing w:before="31"/>
                          <w:ind w:left="37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355" w:type="dxa"/>
                      </w:tcPr>
                      <w:p>
                        <w:pPr>
                          <w:pStyle w:val="TableParagraph"/>
                          <w:spacing w:before="31"/>
                          <w:ind w:right="10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E-5P-9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3</w:t>
                        </w:r>
                      </w:p>
                    </w:tc>
                    <w:tc>
                      <w:tcPr>
                        <w:tcW w:w="913" w:type="dxa"/>
                      </w:tcPr>
                      <w:p>
                        <w:pPr>
                          <w:pStyle w:val="TableParagraph"/>
                          <w:spacing w:before="31"/>
                          <w:ind w:left="89" w:right="1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152</w:t>
                        </w:r>
                      </w:p>
                    </w:tc>
                    <w:tc>
                      <w:tcPr>
                        <w:tcW w:w="755" w:type="dxa"/>
                      </w:tcPr>
                      <w:p>
                        <w:pPr>
                          <w:pStyle w:val="TableParagraph"/>
                          <w:spacing w:before="31"/>
                          <w:ind w:left="120" w:right="19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2213</w:t>
                        </w:r>
                      </w:p>
                    </w:tc>
                    <w:tc>
                      <w:tcPr>
                        <w:tcW w:w="1137" w:type="dxa"/>
                      </w:tcPr>
                      <w:p>
                        <w:pPr>
                          <w:pStyle w:val="TableParagraph"/>
                          <w:spacing w:before="31"/>
                          <w:ind w:right="36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674.49</w:t>
                        </w:r>
                      </w:p>
                    </w:tc>
                    <w:tc>
                      <w:tcPr>
                        <w:tcW w:w="1027" w:type="dxa"/>
                      </w:tcPr>
                      <w:p>
                        <w:pPr>
                          <w:pStyle w:val="TableParagraph"/>
                          <w:spacing w:before="31"/>
                          <w:ind w:right="254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1029</w:t>
                        </w:r>
                      </w:p>
                    </w:tc>
                    <w:tc>
                      <w:tcPr>
                        <w:tcW w:w="1176" w:type="dxa"/>
                      </w:tcPr>
                      <w:p>
                        <w:pPr>
                          <w:pStyle w:val="TableParagraph"/>
                          <w:spacing w:before="31"/>
                          <w:ind w:right="36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313.62</w:t>
                        </w:r>
                      </w:p>
                    </w:tc>
                    <w:tc>
                      <w:tcPr>
                        <w:tcW w:w="932" w:type="dxa"/>
                      </w:tcPr>
                      <w:p>
                        <w:pPr>
                          <w:pStyle w:val="TableParagraph"/>
                          <w:spacing w:before="31"/>
                          <w:ind w:left="37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355" w:type="dxa"/>
                      </w:tcPr>
                      <w:p>
                        <w:pPr>
                          <w:pStyle w:val="TableParagraph"/>
                          <w:spacing w:before="31"/>
                          <w:ind w:right="10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E-5P-9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4</w:t>
                        </w:r>
                      </w:p>
                    </w:tc>
                    <w:tc>
                      <w:tcPr>
                        <w:tcW w:w="913" w:type="dxa"/>
                      </w:tcPr>
                      <w:p>
                        <w:pPr>
                          <w:pStyle w:val="TableParagraph"/>
                          <w:spacing w:before="31"/>
                          <w:ind w:left="89" w:right="1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152</w:t>
                        </w:r>
                      </w:p>
                    </w:tc>
                    <w:tc>
                      <w:tcPr>
                        <w:tcW w:w="755" w:type="dxa"/>
                      </w:tcPr>
                      <w:p>
                        <w:pPr>
                          <w:pStyle w:val="TableParagraph"/>
                          <w:spacing w:before="31"/>
                          <w:ind w:left="120" w:right="19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2198</w:t>
                        </w:r>
                      </w:p>
                    </w:tc>
                    <w:tc>
                      <w:tcPr>
                        <w:tcW w:w="1137" w:type="dxa"/>
                      </w:tcPr>
                      <w:p>
                        <w:pPr>
                          <w:pStyle w:val="TableParagraph"/>
                          <w:spacing w:before="31"/>
                          <w:ind w:right="36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669.92</w:t>
                        </w:r>
                      </w:p>
                    </w:tc>
                    <w:tc>
                      <w:tcPr>
                        <w:tcW w:w="1027" w:type="dxa"/>
                      </w:tcPr>
                      <w:p>
                        <w:pPr>
                          <w:pStyle w:val="TableParagraph"/>
                          <w:spacing w:before="31"/>
                          <w:ind w:right="254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1031</w:t>
                        </w:r>
                      </w:p>
                    </w:tc>
                    <w:tc>
                      <w:tcPr>
                        <w:tcW w:w="1176" w:type="dxa"/>
                      </w:tcPr>
                      <w:p>
                        <w:pPr>
                          <w:pStyle w:val="TableParagraph"/>
                          <w:spacing w:before="31"/>
                          <w:ind w:right="36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314.23</w:t>
                        </w:r>
                      </w:p>
                    </w:tc>
                    <w:tc>
                      <w:tcPr>
                        <w:tcW w:w="932" w:type="dxa"/>
                      </w:tcPr>
                      <w:p>
                        <w:pPr>
                          <w:pStyle w:val="TableParagraph"/>
                          <w:spacing w:before="31"/>
                          <w:ind w:left="37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</w:tr>
                  <w:tr>
                    <w:trPr>
                      <w:trHeight w:val="282" w:hRule="atLeast"/>
                    </w:trPr>
                    <w:tc>
                      <w:tcPr>
                        <w:tcW w:w="1355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right="10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E-5P-9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5</w:t>
                        </w:r>
                      </w:p>
                    </w:tc>
                    <w:tc>
                      <w:tcPr>
                        <w:tcW w:w="913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89" w:right="1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126</w:t>
                        </w:r>
                      </w:p>
                    </w:tc>
                    <w:tc>
                      <w:tcPr>
                        <w:tcW w:w="755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20" w:right="19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2003</w:t>
                        </w:r>
                      </w:p>
                    </w:tc>
                    <w:tc>
                      <w:tcPr>
                        <w:tcW w:w="1137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right="36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610.48</w:t>
                        </w:r>
                      </w:p>
                    </w:tc>
                    <w:tc>
                      <w:tcPr>
                        <w:tcW w:w="1027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right="304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848</w:t>
                        </w:r>
                      </w:p>
                    </w:tc>
                    <w:tc>
                      <w:tcPr>
                        <w:tcW w:w="1176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right="36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258.46</w:t>
                        </w:r>
                      </w:p>
                    </w:tc>
                    <w:tc>
                      <w:tcPr>
                        <w:tcW w:w="932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37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b/>
          <w:sz w:val="20"/>
        </w:rPr>
        <w:t>Shot</w:t>
      </w:r>
    </w:p>
    <w:p>
      <w:pPr>
        <w:tabs>
          <w:tab w:pos="1325" w:val="left" w:leader="none"/>
          <w:tab w:pos="3141" w:val="left" w:leader="none"/>
          <w:tab w:pos="3411" w:val="left" w:leader="none"/>
          <w:tab w:pos="5391" w:val="left" w:leader="none"/>
        </w:tabs>
        <w:spacing w:line="222" w:lineRule="exact" w:before="0"/>
        <w:ind w:left="658" w:right="0" w:firstLine="0"/>
        <w:jc w:val="left"/>
        <w:rPr>
          <w:b/>
          <w:sz w:val="20"/>
        </w:rPr>
      </w:pPr>
      <w:r>
        <w:rPr/>
        <w:br w:type="column"/>
      </w:r>
      <w:r>
        <w:rPr>
          <w:b/>
          <w:sz w:val="20"/>
        </w:rPr>
        <w:t>Mass</w:t>
        <w:tab/>
      </w:r>
      <w:r>
        <w:rPr>
          <w:b/>
          <w:w w:val="100"/>
          <w:sz w:val="20"/>
          <w:u w:val="single"/>
        </w:rPr>
        <w:t> </w:t>
      </w:r>
      <w:r>
        <w:rPr>
          <w:b/>
          <w:sz w:val="20"/>
          <w:u w:val="single"/>
        </w:rPr>
        <w:tab/>
      </w:r>
      <w:r>
        <w:rPr>
          <w:b/>
          <w:sz w:val="20"/>
        </w:rPr>
        <w:tab/>
      </w:r>
      <w:r>
        <w:rPr>
          <w:b/>
          <w:w w:val="100"/>
          <w:sz w:val="20"/>
          <w:u w:val="single"/>
        </w:rPr>
        <w:t> </w:t>
      </w:r>
      <w:r>
        <w:rPr>
          <w:b/>
          <w:sz w:val="20"/>
          <w:u w:val="single"/>
        </w:rPr>
        <w:tab/>
      </w:r>
    </w:p>
    <w:p>
      <w:pPr>
        <w:spacing w:before="117"/>
        <w:ind w:left="302" w:right="0" w:firstLine="0"/>
        <w:jc w:val="left"/>
        <w:rPr>
          <w:b/>
          <w:sz w:val="20"/>
        </w:rPr>
      </w:pPr>
      <w:r>
        <w:rPr/>
        <w:br w:type="column"/>
      </w:r>
      <w:r>
        <w:rPr>
          <w:b/>
          <w:sz w:val="20"/>
        </w:rPr>
        <w:t>(in)</w:t>
      </w:r>
    </w:p>
    <w:p>
      <w:pPr>
        <w:spacing w:after="0"/>
        <w:jc w:val="left"/>
        <w:rPr>
          <w:sz w:val="20"/>
        </w:rPr>
        <w:sectPr>
          <w:type w:val="continuous"/>
          <w:pgSz w:w="12240" w:h="15840"/>
          <w:pgMar w:top="1380" w:bottom="280" w:left="440" w:right="880"/>
          <w:cols w:num="3" w:equalWidth="0">
            <w:col w:w="3264" w:space="40"/>
            <w:col w:w="5392" w:space="39"/>
            <w:col w:w="2185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2"/>
        </w:rPr>
      </w:pPr>
    </w:p>
    <w:p>
      <w:pPr>
        <w:tabs>
          <w:tab w:pos="4831" w:val="left" w:leader="none"/>
        </w:tabs>
        <w:spacing w:before="92"/>
        <w:ind w:left="3838" w:right="0" w:firstLine="0"/>
        <w:jc w:val="left"/>
        <w:rPr>
          <w:b/>
          <w:sz w:val="20"/>
        </w:rPr>
      </w:pPr>
      <w:r>
        <w:rPr/>
        <w:pict>
          <v:shape style="position:absolute;margin-left:143.550003pt;margin-top:28.097036pt;width:360.45pt;height:141.2pt;mso-position-horizontal-relative:page;mso-position-vertical-relative:paragraph;z-index:1591193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639"/>
                    <w:gridCol w:w="992"/>
                    <w:gridCol w:w="720"/>
                    <w:gridCol w:w="1057"/>
                    <w:gridCol w:w="915"/>
                    <w:gridCol w:w="937"/>
                    <w:gridCol w:w="949"/>
                  </w:tblGrid>
                  <w:tr>
                    <w:trPr>
                      <w:trHeight w:val="508" w:hRule="atLeast"/>
                    </w:trPr>
                    <w:tc>
                      <w:tcPr>
                        <w:tcW w:w="1639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92" w:type="dxa"/>
                        <w:vMerge w:val="restart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0"/>
                          <w:rPr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59" w:lineRule="auto"/>
                          <w:ind w:left="187" w:right="136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Powder</w:t>
                        </w:r>
                        <w:r>
                          <w:rPr>
                            <w:b/>
                            <w:spacing w:val="-47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Mass</w:t>
                        </w:r>
                        <w:r>
                          <w:rPr>
                            <w:b/>
                            <w:spacing w:val="1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pacing w:val="-1"/>
                            <w:sz w:val="20"/>
                          </w:rPr>
                          <w:t>(grains)</w:t>
                        </w:r>
                      </w:p>
                    </w:tc>
                    <w:tc>
                      <w:tcPr>
                        <w:tcW w:w="1777" w:type="dxa"/>
                        <w:gridSpan w:val="2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"/>
                          <w:rPr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23" w:lineRule="exact"/>
                          <w:ind w:left="191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Chrono-Based</w:t>
                        </w:r>
                      </w:p>
                    </w:tc>
                    <w:tc>
                      <w:tcPr>
                        <w:tcW w:w="1852" w:type="dxa"/>
                        <w:gridSpan w:val="2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"/>
                          <w:rPr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23" w:lineRule="exact"/>
                          <w:ind w:left="37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Chrono-Based</w:t>
                        </w:r>
                      </w:p>
                    </w:tc>
                    <w:tc>
                      <w:tcPr>
                        <w:tcW w:w="949" w:type="dxa"/>
                        <w:vMerge w:val="restart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47"/>
                          <w:ind w:left="242" w:right="24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DOP</w:t>
                        </w:r>
                      </w:p>
                      <w:p>
                        <w:pPr>
                          <w:pStyle w:val="TableParagraph"/>
                          <w:spacing w:before="18"/>
                          <w:ind w:left="241" w:right="24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(in)</w:t>
                        </w:r>
                      </w:p>
                    </w:tc>
                  </w:tr>
                  <w:tr>
                    <w:trPr>
                      <w:trHeight w:val="256" w:hRule="atLeast"/>
                    </w:trPr>
                    <w:tc>
                      <w:tcPr>
                        <w:tcW w:w="1639" w:type="dxa"/>
                      </w:tcPr>
                      <w:p>
                        <w:pPr>
                          <w:pStyle w:val="TableParagraph"/>
                          <w:spacing w:before="5"/>
                          <w:ind w:left="648" w:right="560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Shot</w:t>
                        </w:r>
                      </w:p>
                    </w:tc>
                    <w:tc>
                      <w:tcPr>
                        <w:tcW w:w="992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20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057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15" w:type="dxa"/>
                      </w:tcPr>
                      <w:p>
                        <w:pPr>
                          <w:pStyle w:val="TableParagraph"/>
                          <w:tabs>
                            <w:tab w:pos="1850" w:val="left" w:leader="none"/>
                          </w:tabs>
                          <w:spacing w:before="5"/>
                          <w:ind w:left="141" w:right="-93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100"/>
                            <w:sz w:val="20"/>
                            <w:u w:val="single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  <w:u w:val="single"/>
                          </w:rPr>
                          <w:tab/>
                        </w:r>
                      </w:p>
                    </w:tc>
                    <w:tc>
                      <w:tcPr>
                        <w:tcW w:w="937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49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509" w:hRule="atLeast"/>
                    </w:trPr>
                    <w:tc>
                      <w:tcPr>
                        <w:tcW w:w="1639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92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20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145" w:right="166" w:firstLine="11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s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(fps)</w:t>
                        </w:r>
                      </w:p>
                    </w:tc>
                    <w:tc>
                      <w:tcPr>
                        <w:tcW w:w="1057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240" w:right="363" w:firstLine="141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s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(m/s)</w:t>
                        </w:r>
                      </w:p>
                    </w:tc>
                    <w:tc>
                      <w:tcPr>
                        <w:tcW w:w="915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331" w:right="175" w:firstLine="11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r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(fps)</w:t>
                        </w:r>
                      </w:p>
                    </w:tc>
                    <w:tc>
                      <w:tcPr>
                        <w:tcW w:w="937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247" w:right="236" w:firstLine="13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r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(m/s)</w:t>
                        </w:r>
                      </w:p>
                    </w:tc>
                    <w:tc>
                      <w:tcPr>
                        <w:tcW w:w="949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318" w:hRule="atLeast"/>
                    </w:trPr>
                    <w:tc>
                      <w:tcPr>
                        <w:tcW w:w="1639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1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E-5P-11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01</w:t>
                        </w:r>
                      </w:p>
                    </w:tc>
                    <w:tc>
                      <w:tcPr>
                        <w:tcW w:w="992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86" w:right="13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127.3</w:t>
                        </w:r>
                      </w:p>
                    </w:tc>
                    <w:tc>
                      <w:tcPr>
                        <w:tcW w:w="720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60" w:right="10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2753</w:t>
                        </w:r>
                      </w:p>
                    </w:tc>
                    <w:tc>
                      <w:tcPr>
                        <w:tcW w:w="1057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8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839.07</w:t>
                        </w:r>
                      </w:p>
                    </w:tc>
                    <w:tc>
                      <w:tcPr>
                        <w:tcW w:w="915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32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1344</w:t>
                        </w:r>
                      </w:p>
                    </w:tc>
                    <w:tc>
                      <w:tcPr>
                        <w:tcW w:w="937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65" w:right="16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409.63</w:t>
                        </w:r>
                      </w:p>
                    </w:tc>
                    <w:tc>
                      <w:tcPr>
                        <w:tcW w:w="949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79" w:right="18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639" w:type="dxa"/>
                      </w:tcPr>
                      <w:p>
                        <w:pPr>
                          <w:pStyle w:val="TableParagraph"/>
                          <w:spacing w:before="31"/>
                          <w:ind w:left="11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E-5P-11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02</w:t>
                        </w:r>
                      </w:p>
                    </w:tc>
                    <w:tc>
                      <w:tcPr>
                        <w:tcW w:w="992" w:type="dxa"/>
                      </w:tcPr>
                      <w:p>
                        <w:pPr>
                          <w:pStyle w:val="TableParagraph"/>
                          <w:spacing w:before="31"/>
                          <w:ind w:left="187" w:right="13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81</w:t>
                        </w:r>
                      </w:p>
                    </w:tc>
                    <w:tc>
                      <w:tcPr>
                        <w:tcW w:w="720" w:type="dxa"/>
                      </w:tcPr>
                      <w:p>
                        <w:pPr>
                          <w:pStyle w:val="TableParagraph"/>
                          <w:spacing w:before="31"/>
                          <w:ind w:left="60" w:right="10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1954</w:t>
                        </w:r>
                      </w:p>
                    </w:tc>
                    <w:tc>
                      <w:tcPr>
                        <w:tcW w:w="1057" w:type="dxa"/>
                      </w:tcPr>
                      <w:p>
                        <w:pPr>
                          <w:pStyle w:val="TableParagraph"/>
                          <w:spacing w:before="31"/>
                          <w:ind w:left="18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595.55</w:t>
                        </w:r>
                      </w:p>
                    </w:tc>
                    <w:tc>
                      <w:tcPr>
                        <w:tcW w:w="915" w:type="dxa"/>
                      </w:tcPr>
                      <w:p>
                        <w:pPr>
                          <w:pStyle w:val="TableParagraph"/>
                          <w:spacing w:before="31"/>
                          <w:ind w:left="37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553</w:t>
                        </w:r>
                      </w:p>
                    </w:tc>
                    <w:tc>
                      <w:tcPr>
                        <w:tcW w:w="937" w:type="dxa"/>
                      </w:tcPr>
                      <w:p>
                        <w:pPr>
                          <w:pStyle w:val="TableParagraph"/>
                          <w:spacing w:before="31"/>
                          <w:ind w:left="165" w:right="16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168.55</w:t>
                        </w:r>
                      </w:p>
                    </w:tc>
                    <w:tc>
                      <w:tcPr>
                        <w:tcW w:w="949" w:type="dxa"/>
                      </w:tcPr>
                      <w:p>
                        <w:pPr>
                          <w:pStyle w:val="TableParagraph"/>
                          <w:spacing w:before="31"/>
                          <w:ind w:left="179" w:right="18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639" w:type="dxa"/>
                      </w:tcPr>
                      <w:p>
                        <w:pPr>
                          <w:pStyle w:val="TableParagraph"/>
                          <w:spacing w:before="31"/>
                          <w:ind w:left="11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E-5P-11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03</w:t>
                        </w:r>
                      </w:p>
                    </w:tc>
                    <w:tc>
                      <w:tcPr>
                        <w:tcW w:w="992" w:type="dxa"/>
                      </w:tcPr>
                      <w:p>
                        <w:pPr>
                          <w:pStyle w:val="TableParagraph"/>
                          <w:spacing w:before="31"/>
                          <w:ind w:left="187" w:right="13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67</w:t>
                        </w:r>
                      </w:p>
                    </w:tc>
                    <w:tc>
                      <w:tcPr>
                        <w:tcW w:w="720" w:type="dxa"/>
                      </w:tcPr>
                      <w:p>
                        <w:pPr>
                          <w:pStyle w:val="TableParagraph"/>
                          <w:spacing w:before="31"/>
                          <w:ind w:left="60" w:right="10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1585</w:t>
                        </w:r>
                      </w:p>
                    </w:tc>
                    <w:tc>
                      <w:tcPr>
                        <w:tcW w:w="1057" w:type="dxa"/>
                      </w:tcPr>
                      <w:p>
                        <w:pPr>
                          <w:pStyle w:val="TableParagraph"/>
                          <w:spacing w:before="31"/>
                          <w:ind w:left="18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483.08</w:t>
                        </w:r>
                      </w:p>
                    </w:tc>
                    <w:tc>
                      <w:tcPr>
                        <w:tcW w:w="915" w:type="dxa"/>
                      </w:tcPr>
                      <w:p>
                        <w:pPr>
                          <w:pStyle w:val="TableParagraph"/>
                          <w:spacing w:before="31"/>
                          <w:ind w:left="438" w:right="30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37" w:type="dxa"/>
                      </w:tcPr>
                      <w:p>
                        <w:pPr>
                          <w:pStyle w:val="TableParagraph"/>
                          <w:spacing w:before="31"/>
                          <w:ind w:left="165" w:right="16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49" w:type="dxa"/>
                      </w:tcPr>
                      <w:p>
                        <w:pPr>
                          <w:pStyle w:val="TableParagraph"/>
                          <w:spacing w:before="31"/>
                          <w:ind w:left="179" w:right="18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5.1875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639" w:type="dxa"/>
                      </w:tcPr>
                      <w:p>
                        <w:pPr>
                          <w:pStyle w:val="TableParagraph"/>
                          <w:spacing w:before="31"/>
                          <w:ind w:left="11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E-5P-11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04</w:t>
                        </w:r>
                      </w:p>
                    </w:tc>
                    <w:tc>
                      <w:tcPr>
                        <w:tcW w:w="992" w:type="dxa"/>
                      </w:tcPr>
                      <w:p>
                        <w:pPr>
                          <w:pStyle w:val="TableParagraph"/>
                          <w:spacing w:before="31"/>
                          <w:ind w:left="186" w:right="13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75</w:t>
                        </w:r>
                      </w:p>
                    </w:tc>
                    <w:tc>
                      <w:tcPr>
                        <w:tcW w:w="720" w:type="dxa"/>
                      </w:tcPr>
                      <w:p>
                        <w:pPr>
                          <w:pStyle w:val="TableParagraph"/>
                          <w:spacing w:before="31"/>
                          <w:ind w:left="60" w:right="10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1846</w:t>
                        </w:r>
                      </w:p>
                    </w:tc>
                    <w:tc>
                      <w:tcPr>
                        <w:tcW w:w="1057" w:type="dxa"/>
                      </w:tcPr>
                      <w:p>
                        <w:pPr>
                          <w:pStyle w:val="TableParagraph"/>
                          <w:spacing w:before="31"/>
                          <w:ind w:left="18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562.63</w:t>
                        </w:r>
                      </w:p>
                    </w:tc>
                    <w:tc>
                      <w:tcPr>
                        <w:tcW w:w="915" w:type="dxa"/>
                      </w:tcPr>
                      <w:p>
                        <w:pPr>
                          <w:pStyle w:val="TableParagraph"/>
                          <w:spacing w:before="31"/>
                          <w:ind w:left="37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364</w:t>
                        </w:r>
                      </w:p>
                    </w:tc>
                    <w:tc>
                      <w:tcPr>
                        <w:tcW w:w="937" w:type="dxa"/>
                      </w:tcPr>
                      <w:p>
                        <w:pPr>
                          <w:pStyle w:val="TableParagraph"/>
                          <w:spacing w:before="31"/>
                          <w:ind w:left="165" w:right="16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110.94</w:t>
                        </w:r>
                      </w:p>
                    </w:tc>
                    <w:tc>
                      <w:tcPr>
                        <w:tcW w:w="949" w:type="dxa"/>
                      </w:tcPr>
                      <w:p>
                        <w:pPr>
                          <w:pStyle w:val="TableParagraph"/>
                          <w:spacing w:before="31"/>
                          <w:ind w:left="179" w:right="18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</w:tr>
                  <w:tr>
                    <w:trPr>
                      <w:trHeight w:val="281" w:hRule="atLeast"/>
                    </w:trPr>
                    <w:tc>
                      <w:tcPr>
                        <w:tcW w:w="1639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1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E-5P-11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05</w:t>
                        </w:r>
                      </w:p>
                    </w:tc>
                    <w:tc>
                      <w:tcPr>
                        <w:tcW w:w="992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87" w:right="13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69.5</w:t>
                        </w:r>
                      </w:p>
                    </w:tc>
                    <w:tc>
                      <w:tcPr>
                        <w:tcW w:w="720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60" w:right="10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1659</w:t>
                        </w:r>
                      </w:p>
                    </w:tc>
                    <w:tc>
                      <w:tcPr>
                        <w:tcW w:w="1057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8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505.64</w:t>
                        </w:r>
                      </w:p>
                    </w:tc>
                    <w:tc>
                      <w:tcPr>
                        <w:tcW w:w="915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438" w:right="30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37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65" w:right="16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49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79" w:right="18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4.6875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b/>
          <w:sz w:val="20"/>
        </w:rPr>
        <w:t>Table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8</w:t>
        <w:tab/>
        <w:t>0.50-cal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FSP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striking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specimen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E-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5P-11</w:t>
      </w: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spacing w:before="3"/>
        <w:rPr>
          <w:b/>
          <w:sz w:val="23"/>
        </w:rPr>
      </w:pPr>
    </w:p>
    <w:p>
      <w:pPr>
        <w:tabs>
          <w:tab w:pos="2499" w:val="left" w:leader="none"/>
        </w:tabs>
        <w:spacing w:before="0"/>
        <w:ind w:left="822" w:right="0" w:firstLine="0"/>
        <w:jc w:val="center"/>
        <w:rPr>
          <w:b/>
          <w:sz w:val="20"/>
        </w:rPr>
      </w:pPr>
      <w:r>
        <w:rPr>
          <w:b/>
          <w:w w:val="100"/>
          <w:sz w:val="20"/>
          <w:u w:val="single"/>
        </w:rPr>
        <w:t> </w:t>
      </w:r>
      <w:r>
        <w:rPr>
          <w:b/>
          <w:sz w:val="20"/>
          <w:u w:val="single"/>
        </w:rPr>
        <w:tab/>
      </w:r>
    </w:p>
    <w:p>
      <w:pPr>
        <w:spacing w:after="0"/>
        <w:jc w:val="center"/>
        <w:rPr>
          <w:sz w:val="20"/>
        </w:rPr>
        <w:sectPr>
          <w:type w:val="continuous"/>
          <w:pgSz w:w="12240" w:h="15840"/>
          <w:pgMar w:top="1380" w:bottom="280" w:left="440" w:right="880"/>
        </w:sectPr>
      </w:pPr>
    </w:p>
    <w:p>
      <w:pPr>
        <w:tabs>
          <w:tab w:pos="2154" w:val="left" w:leader="none"/>
        </w:tabs>
        <w:spacing w:before="70"/>
        <w:ind w:left="1161" w:right="0" w:firstLine="0"/>
        <w:jc w:val="center"/>
        <w:rPr>
          <w:b/>
          <w:sz w:val="20"/>
        </w:rPr>
      </w:pPr>
      <w:r>
        <w:rPr/>
        <w:pict>
          <v:shape style="position:absolute;margin-left:116.550003pt;margin-top:26.995911pt;width:414.45pt;height:201.25pt;mso-position-horizontal-relative:page;mso-position-vertical-relative:paragraph;z-index:1591296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460"/>
                    <w:gridCol w:w="913"/>
                    <w:gridCol w:w="713"/>
                    <w:gridCol w:w="1053"/>
                    <w:gridCol w:w="915"/>
                    <w:gridCol w:w="984"/>
                    <w:gridCol w:w="897"/>
                    <w:gridCol w:w="1354"/>
                  </w:tblGrid>
                  <w:tr>
                    <w:trPr>
                      <w:trHeight w:val="508" w:hRule="atLeast"/>
                    </w:trPr>
                    <w:tc>
                      <w:tcPr>
                        <w:tcW w:w="1460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913" w:type="dxa"/>
                        <w:vMerge w:val="restart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0"/>
                          <w:rPr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59" w:lineRule="auto"/>
                          <w:ind w:left="110" w:right="133" w:hanging="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Powder</w:t>
                        </w:r>
                        <w:r>
                          <w:rPr>
                            <w:b/>
                            <w:spacing w:val="-47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Mass</w:t>
                        </w:r>
                        <w:r>
                          <w:rPr>
                            <w:b/>
                            <w:spacing w:val="1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(grains)</w:t>
                        </w:r>
                      </w:p>
                    </w:tc>
                    <w:tc>
                      <w:tcPr>
                        <w:tcW w:w="1766" w:type="dxa"/>
                        <w:gridSpan w:val="2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"/>
                          <w:rPr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23" w:lineRule="exact"/>
                          <w:ind w:left="18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Chrono-Based</w:t>
                        </w:r>
                      </w:p>
                    </w:tc>
                    <w:tc>
                      <w:tcPr>
                        <w:tcW w:w="1899" w:type="dxa"/>
                        <w:gridSpan w:val="2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"/>
                          <w:rPr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23" w:lineRule="exact"/>
                          <w:ind w:left="37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Chrono-Based</w:t>
                        </w:r>
                      </w:p>
                    </w:tc>
                    <w:tc>
                      <w:tcPr>
                        <w:tcW w:w="897" w:type="dxa"/>
                        <w:vMerge w:val="restart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47"/>
                          <w:ind w:left="25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DOP</w:t>
                        </w:r>
                      </w:p>
                      <w:p>
                        <w:pPr>
                          <w:pStyle w:val="TableParagraph"/>
                          <w:spacing w:before="18"/>
                          <w:ind w:left="320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(in)</w:t>
                        </w:r>
                      </w:p>
                    </w:tc>
                    <w:tc>
                      <w:tcPr>
                        <w:tcW w:w="1354" w:type="dxa"/>
                        <w:vMerge w:val="restart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59" w:lineRule="auto" w:before="147"/>
                          <w:ind w:left="540" w:right="201" w:hanging="22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Projectile</w:t>
                        </w:r>
                        <w:r>
                          <w:rPr>
                            <w:b/>
                            <w:spacing w:val="-47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type</w:t>
                        </w:r>
                      </w:p>
                    </w:tc>
                  </w:tr>
                  <w:tr>
                    <w:trPr>
                      <w:trHeight w:val="256" w:hRule="atLeast"/>
                    </w:trPr>
                    <w:tc>
                      <w:tcPr>
                        <w:tcW w:w="1460" w:type="dxa"/>
                      </w:tcPr>
                      <w:p>
                        <w:pPr>
                          <w:pStyle w:val="TableParagraph"/>
                          <w:spacing w:before="5"/>
                          <w:ind w:left="98" w:right="90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Shot</w:t>
                        </w:r>
                      </w:p>
                    </w:tc>
                    <w:tc>
                      <w:tcPr>
                        <w:tcW w:w="913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053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15" w:type="dxa"/>
                      </w:tcPr>
                      <w:p>
                        <w:pPr>
                          <w:pStyle w:val="TableParagraph"/>
                          <w:tabs>
                            <w:tab w:pos="1849" w:val="left" w:leader="none"/>
                          </w:tabs>
                          <w:spacing w:before="5"/>
                          <w:ind w:left="140" w:right="-93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100"/>
                            <w:sz w:val="20"/>
                            <w:u w:val="single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  <w:u w:val="single"/>
                          </w:rPr>
                          <w:tab/>
                        </w:r>
                      </w:p>
                    </w:tc>
                    <w:tc>
                      <w:tcPr>
                        <w:tcW w:w="984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897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3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509" w:hRule="atLeast"/>
                    </w:trPr>
                    <w:tc>
                      <w:tcPr>
                        <w:tcW w:w="1460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913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13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141" w:right="163" w:firstLine="11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s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(fps)</w:t>
                        </w:r>
                      </w:p>
                    </w:tc>
                    <w:tc>
                      <w:tcPr>
                        <w:tcW w:w="1053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235" w:right="364" w:firstLine="141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s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(m/s)</w:t>
                        </w:r>
                      </w:p>
                    </w:tc>
                    <w:tc>
                      <w:tcPr>
                        <w:tcW w:w="915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330" w:right="176" w:firstLine="11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r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(fps)</w:t>
                        </w:r>
                      </w:p>
                    </w:tc>
                    <w:tc>
                      <w:tcPr>
                        <w:tcW w:w="984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247" w:right="283" w:firstLine="13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r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(m/s)</w:t>
                        </w:r>
                      </w:p>
                    </w:tc>
                    <w:tc>
                      <w:tcPr>
                        <w:tcW w:w="897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3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318" w:hRule="atLeast"/>
                    </w:trPr>
                    <w:tc>
                      <w:tcPr>
                        <w:tcW w:w="1460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98" w:right="9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E-5P-12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913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89" w:right="11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150</w:t>
                        </w:r>
                      </w:p>
                    </w:tc>
                    <w:tc>
                      <w:tcPr>
                        <w:tcW w:w="713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3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2183</w:t>
                        </w:r>
                      </w:p>
                    </w:tc>
                    <w:tc>
                      <w:tcPr>
                        <w:tcW w:w="1053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7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665.35</w:t>
                        </w:r>
                      </w:p>
                    </w:tc>
                    <w:tc>
                      <w:tcPr>
                        <w:tcW w:w="915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37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796</w:t>
                        </w:r>
                      </w:p>
                    </w:tc>
                    <w:tc>
                      <w:tcPr>
                        <w:tcW w:w="984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69" w:right="22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242.61</w:t>
                        </w:r>
                      </w:p>
                    </w:tc>
                    <w:tc>
                      <w:tcPr>
                        <w:tcW w:w="897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224" w:right="18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354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62" w:right="9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1/2"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sphere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460" w:type="dxa"/>
                      </w:tcPr>
                      <w:p>
                        <w:pPr>
                          <w:pStyle w:val="TableParagraph"/>
                          <w:spacing w:before="31"/>
                          <w:ind w:left="98" w:right="9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E-5P-12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w="913" w:type="dxa"/>
                      </w:tcPr>
                      <w:p>
                        <w:pPr>
                          <w:pStyle w:val="TableParagraph"/>
                          <w:spacing w:before="31"/>
                          <w:ind w:left="89" w:right="11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167.5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spacing w:before="31"/>
                          <w:ind w:left="13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2428</w:t>
                        </w:r>
                      </w:p>
                    </w:tc>
                    <w:tc>
                      <w:tcPr>
                        <w:tcW w:w="1053" w:type="dxa"/>
                      </w:tcPr>
                      <w:p>
                        <w:pPr>
                          <w:pStyle w:val="TableParagraph"/>
                          <w:spacing w:before="31"/>
                          <w:ind w:left="17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740.02</w:t>
                        </w:r>
                      </w:p>
                    </w:tc>
                    <w:tc>
                      <w:tcPr>
                        <w:tcW w:w="915" w:type="dxa"/>
                      </w:tcPr>
                      <w:p>
                        <w:pPr>
                          <w:pStyle w:val="TableParagraph"/>
                          <w:spacing w:before="31"/>
                          <w:ind w:left="32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1297</w:t>
                        </w:r>
                      </w:p>
                    </w:tc>
                    <w:tc>
                      <w:tcPr>
                        <w:tcW w:w="984" w:type="dxa"/>
                      </w:tcPr>
                      <w:p>
                        <w:pPr>
                          <w:pStyle w:val="TableParagraph"/>
                          <w:spacing w:before="31"/>
                          <w:ind w:left="169" w:right="22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395.31</w:t>
                        </w:r>
                      </w:p>
                    </w:tc>
                    <w:tc>
                      <w:tcPr>
                        <w:tcW w:w="897" w:type="dxa"/>
                      </w:tcPr>
                      <w:p>
                        <w:pPr>
                          <w:pStyle w:val="TableParagraph"/>
                          <w:spacing w:before="31"/>
                          <w:ind w:left="224" w:right="18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354" w:type="dxa"/>
                      </w:tcPr>
                      <w:p>
                        <w:pPr>
                          <w:pStyle w:val="TableParagraph"/>
                          <w:spacing w:before="31"/>
                          <w:ind w:left="62" w:right="9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1/2"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sphere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460" w:type="dxa"/>
                      </w:tcPr>
                      <w:p>
                        <w:pPr>
                          <w:pStyle w:val="TableParagraph"/>
                          <w:spacing w:before="31"/>
                          <w:ind w:left="98" w:right="9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E-5P-12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3</w:t>
                        </w:r>
                      </w:p>
                    </w:tc>
                    <w:tc>
                      <w:tcPr>
                        <w:tcW w:w="913" w:type="dxa"/>
                      </w:tcPr>
                      <w:p>
                        <w:pPr>
                          <w:pStyle w:val="TableParagraph"/>
                          <w:spacing w:before="31"/>
                          <w:ind w:left="89" w:right="11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181.5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spacing w:before="31"/>
                          <w:ind w:left="13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2552</w:t>
                        </w:r>
                      </w:p>
                    </w:tc>
                    <w:tc>
                      <w:tcPr>
                        <w:tcW w:w="1053" w:type="dxa"/>
                      </w:tcPr>
                      <w:p>
                        <w:pPr>
                          <w:pStyle w:val="TableParagraph"/>
                          <w:spacing w:before="31"/>
                          <w:ind w:left="17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777.81</w:t>
                        </w:r>
                      </w:p>
                    </w:tc>
                    <w:tc>
                      <w:tcPr>
                        <w:tcW w:w="915" w:type="dxa"/>
                      </w:tcPr>
                      <w:p>
                        <w:pPr>
                          <w:pStyle w:val="TableParagraph"/>
                          <w:spacing w:before="31"/>
                          <w:ind w:left="32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1193</w:t>
                        </w:r>
                      </w:p>
                    </w:tc>
                    <w:tc>
                      <w:tcPr>
                        <w:tcW w:w="984" w:type="dxa"/>
                      </w:tcPr>
                      <w:p>
                        <w:pPr>
                          <w:pStyle w:val="TableParagraph"/>
                          <w:spacing w:before="31"/>
                          <w:ind w:left="169" w:right="22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363.61</w:t>
                        </w:r>
                      </w:p>
                    </w:tc>
                    <w:tc>
                      <w:tcPr>
                        <w:tcW w:w="897" w:type="dxa"/>
                      </w:tcPr>
                      <w:p>
                        <w:pPr>
                          <w:pStyle w:val="TableParagraph"/>
                          <w:spacing w:before="31"/>
                          <w:ind w:left="224" w:right="18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354" w:type="dxa"/>
                      </w:tcPr>
                      <w:p>
                        <w:pPr>
                          <w:pStyle w:val="TableParagraph"/>
                          <w:spacing w:before="31"/>
                          <w:ind w:left="62" w:right="9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1/2"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sphere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460" w:type="dxa"/>
                      </w:tcPr>
                      <w:p>
                        <w:pPr>
                          <w:pStyle w:val="TableParagraph"/>
                          <w:spacing w:before="31"/>
                          <w:ind w:left="98" w:right="9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E-5P-12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4</w:t>
                        </w:r>
                      </w:p>
                    </w:tc>
                    <w:tc>
                      <w:tcPr>
                        <w:tcW w:w="913" w:type="dxa"/>
                      </w:tcPr>
                      <w:p>
                        <w:pPr>
                          <w:pStyle w:val="TableParagraph"/>
                          <w:spacing w:before="31"/>
                          <w:ind w:left="89" w:right="11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205.5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spacing w:before="31"/>
                          <w:ind w:left="13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2796</w:t>
                        </w:r>
                      </w:p>
                    </w:tc>
                    <w:tc>
                      <w:tcPr>
                        <w:tcW w:w="1053" w:type="dxa"/>
                      </w:tcPr>
                      <w:p>
                        <w:pPr>
                          <w:pStyle w:val="TableParagraph"/>
                          <w:spacing w:before="31"/>
                          <w:ind w:left="17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852.18</w:t>
                        </w:r>
                      </w:p>
                    </w:tc>
                    <w:tc>
                      <w:tcPr>
                        <w:tcW w:w="915" w:type="dxa"/>
                      </w:tcPr>
                      <w:p>
                        <w:pPr>
                          <w:pStyle w:val="TableParagraph"/>
                          <w:spacing w:before="31"/>
                          <w:ind w:left="32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1252</w:t>
                        </w:r>
                      </w:p>
                    </w:tc>
                    <w:tc>
                      <w:tcPr>
                        <w:tcW w:w="984" w:type="dxa"/>
                      </w:tcPr>
                      <w:p>
                        <w:pPr>
                          <w:pStyle w:val="TableParagraph"/>
                          <w:spacing w:before="31"/>
                          <w:ind w:left="170" w:right="22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381.59</w:t>
                        </w:r>
                      </w:p>
                    </w:tc>
                    <w:tc>
                      <w:tcPr>
                        <w:tcW w:w="897" w:type="dxa"/>
                      </w:tcPr>
                      <w:p>
                        <w:pPr>
                          <w:pStyle w:val="TableParagraph"/>
                          <w:spacing w:before="31"/>
                          <w:ind w:left="224" w:right="18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354" w:type="dxa"/>
                      </w:tcPr>
                      <w:p>
                        <w:pPr>
                          <w:pStyle w:val="TableParagraph"/>
                          <w:spacing w:before="31"/>
                          <w:ind w:left="62" w:right="9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1/2"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sphere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460" w:type="dxa"/>
                      </w:tcPr>
                      <w:p>
                        <w:pPr>
                          <w:pStyle w:val="TableParagraph"/>
                          <w:spacing w:before="31"/>
                          <w:ind w:left="98" w:right="9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E-5P-12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5</w:t>
                        </w:r>
                      </w:p>
                    </w:tc>
                    <w:tc>
                      <w:tcPr>
                        <w:tcW w:w="913" w:type="dxa"/>
                      </w:tcPr>
                      <w:p>
                        <w:pPr>
                          <w:pStyle w:val="TableParagraph"/>
                          <w:spacing w:before="31"/>
                          <w:ind w:left="89" w:right="11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175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spacing w:before="31"/>
                          <w:ind w:left="13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2408</w:t>
                        </w:r>
                      </w:p>
                    </w:tc>
                    <w:tc>
                      <w:tcPr>
                        <w:tcW w:w="1053" w:type="dxa"/>
                      </w:tcPr>
                      <w:p>
                        <w:pPr>
                          <w:pStyle w:val="TableParagraph"/>
                          <w:spacing w:before="31"/>
                          <w:ind w:left="17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733.92</w:t>
                        </w:r>
                      </w:p>
                    </w:tc>
                    <w:tc>
                      <w:tcPr>
                        <w:tcW w:w="915" w:type="dxa"/>
                      </w:tcPr>
                      <w:p>
                        <w:pPr>
                          <w:pStyle w:val="TableParagraph"/>
                          <w:spacing w:before="31"/>
                          <w:ind w:left="32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1029</w:t>
                        </w:r>
                      </w:p>
                    </w:tc>
                    <w:tc>
                      <w:tcPr>
                        <w:tcW w:w="984" w:type="dxa"/>
                      </w:tcPr>
                      <w:p>
                        <w:pPr>
                          <w:pStyle w:val="TableParagraph"/>
                          <w:spacing w:before="31"/>
                          <w:ind w:left="170" w:right="22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313.62</w:t>
                        </w:r>
                      </w:p>
                    </w:tc>
                    <w:tc>
                      <w:tcPr>
                        <w:tcW w:w="897" w:type="dxa"/>
                      </w:tcPr>
                      <w:p>
                        <w:pPr>
                          <w:pStyle w:val="TableParagraph"/>
                          <w:spacing w:before="31"/>
                          <w:ind w:left="224" w:right="18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354" w:type="dxa"/>
                      </w:tcPr>
                      <w:p>
                        <w:pPr>
                          <w:pStyle w:val="TableParagraph"/>
                          <w:spacing w:before="31"/>
                          <w:ind w:left="183" w:right="9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0.50-cal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FSP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460" w:type="dxa"/>
                      </w:tcPr>
                      <w:p>
                        <w:pPr>
                          <w:pStyle w:val="TableParagraph"/>
                          <w:spacing w:before="31"/>
                          <w:ind w:left="98" w:right="9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E-5P-12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6</w:t>
                        </w:r>
                      </w:p>
                    </w:tc>
                    <w:tc>
                      <w:tcPr>
                        <w:tcW w:w="913" w:type="dxa"/>
                      </w:tcPr>
                      <w:p>
                        <w:pPr>
                          <w:pStyle w:val="TableParagraph"/>
                          <w:spacing w:before="31"/>
                          <w:ind w:left="89" w:right="11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109.0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spacing w:before="31"/>
                          <w:ind w:left="13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1132</w:t>
                        </w:r>
                      </w:p>
                    </w:tc>
                    <w:tc>
                      <w:tcPr>
                        <w:tcW w:w="1053" w:type="dxa"/>
                      </w:tcPr>
                      <w:p>
                        <w:pPr>
                          <w:pStyle w:val="TableParagraph"/>
                          <w:spacing w:before="31"/>
                          <w:ind w:left="17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345.02</w:t>
                        </w:r>
                      </w:p>
                    </w:tc>
                    <w:tc>
                      <w:tcPr>
                        <w:tcW w:w="915" w:type="dxa"/>
                      </w:tcPr>
                      <w:p>
                        <w:pPr>
                          <w:pStyle w:val="TableParagraph"/>
                          <w:spacing w:before="31"/>
                          <w:ind w:left="437" w:right="30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84" w:type="dxa"/>
                      </w:tcPr>
                      <w:p>
                        <w:pPr>
                          <w:pStyle w:val="TableParagraph"/>
                          <w:spacing w:before="31"/>
                          <w:ind w:left="170" w:right="22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897" w:type="dxa"/>
                      </w:tcPr>
                      <w:p>
                        <w:pPr>
                          <w:pStyle w:val="TableParagraph"/>
                          <w:spacing w:before="31"/>
                          <w:ind w:left="224" w:right="18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3.000</w:t>
                        </w:r>
                      </w:p>
                    </w:tc>
                    <w:tc>
                      <w:tcPr>
                        <w:tcW w:w="1354" w:type="dxa"/>
                      </w:tcPr>
                      <w:p>
                        <w:pPr>
                          <w:pStyle w:val="TableParagraph"/>
                          <w:spacing w:before="31"/>
                          <w:ind w:left="183" w:right="9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0.50-cal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FSP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460" w:type="dxa"/>
                      </w:tcPr>
                      <w:p>
                        <w:pPr>
                          <w:pStyle w:val="TableParagraph"/>
                          <w:spacing w:before="31"/>
                          <w:ind w:left="98" w:right="9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E-5P-12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7</w:t>
                        </w:r>
                      </w:p>
                    </w:tc>
                    <w:tc>
                      <w:tcPr>
                        <w:tcW w:w="913" w:type="dxa"/>
                      </w:tcPr>
                      <w:p>
                        <w:pPr>
                          <w:pStyle w:val="TableParagraph"/>
                          <w:spacing w:before="31"/>
                          <w:ind w:left="89" w:right="11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132.5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spacing w:before="31"/>
                          <w:ind w:left="13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1866</w:t>
                        </w:r>
                      </w:p>
                    </w:tc>
                    <w:tc>
                      <w:tcPr>
                        <w:tcW w:w="1053" w:type="dxa"/>
                      </w:tcPr>
                      <w:p>
                        <w:pPr>
                          <w:pStyle w:val="TableParagraph"/>
                          <w:spacing w:before="31"/>
                          <w:ind w:left="17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568.73</w:t>
                        </w:r>
                      </w:p>
                    </w:tc>
                    <w:tc>
                      <w:tcPr>
                        <w:tcW w:w="915" w:type="dxa"/>
                      </w:tcPr>
                      <w:p>
                        <w:pPr>
                          <w:pStyle w:val="TableParagraph"/>
                          <w:spacing w:before="31"/>
                          <w:ind w:left="437" w:right="30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84" w:type="dxa"/>
                      </w:tcPr>
                      <w:p>
                        <w:pPr>
                          <w:pStyle w:val="TableParagraph"/>
                          <w:spacing w:before="31"/>
                          <w:ind w:left="170" w:right="22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897" w:type="dxa"/>
                      </w:tcPr>
                      <w:p>
                        <w:pPr>
                          <w:pStyle w:val="TableParagraph"/>
                          <w:spacing w:before="31"/>
                          <w:ind w:left="224" w:right="18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NR</w:t>
                        </w:r>
                      </w:p>
                    </w:tc>
                    <w:tc>
                      <w:tcPr>
                        <w:tcW w:w="1354" w:type="dxa"/>
                      </w:tcPr>
                      <w:p>
                        <w:pPr>
                          <w:pStyle w:val="TableParagraph"/>
                          <w:spacing w:before="31"/>
                          <w:ind w:left="183" w:right="9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0.50-cal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FSP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460" w:type="dxa"/>
                      </w:tcPr>
                      <w:p>
                        <w:pPr>
                          <w:pStyle w:val="TableParagraph"/>
                          <w:spacing w:before="31"/>
                          <w:ind w:left="98" w:right="9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E-5P-12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8</w:t>
                        </w:r>
                      </w:p>
                    </w:tc>
                    <w:tc>
                      <w:tcPr>
                        <w:tcW w:w="913" w:type="dxa"/>
                      </w:tcPr>
                      <w:p>
                        <w:pPr>
                          <w:pStyle w:val="TableParagraph"/>
                          <w:spacing w:before="31"/>
                          <w:ind w:left="89" w:right="11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127.5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spacing w:before="31"/>
                          <w:ind w:left="13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1803</w:t>
                        </w:r>
                      </w:p>
                    </w:tc>
                    <w:tc>
                      <w:tcPr>
                        <w:tcW w:w="1053" w:type="dxa"/>
                      </w:tcPr>
                      <w:p>
                        <w:pPr>
                          <w:pStyle w:val="TableParagraph"/>
                          <w:spacing w:before="31"/>
                          <w:ind w:left="17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549.53</w:t>
                        </w:r>
                      </w:p>
                    </w:tc>
                    <w:tc>
                      <w:tcPr>
                        <w:tcW w:w="915" w:type="dxa"/>
                      </w:tcPr>
                      <w:p>
                        <w:pPr>
                          <w:pStyle w:val="TableParagraph"/>
                          <w:spacing w:before="31"/>
                          <w:ind w:left="37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498</w:t>
                        </w:r>
                      </w:p>
                    </w:tc>
                    <w:tc>
                      <w:tcPr>
                        <w:tcW w:w="984" w:type="dxa"/>
                      </w:tcPr>
                      <w:p>
                        <w:pPr>
                          <w:pStyle w:val="TableParagraph"/>
                          <w:spacing w:before="31"/>
                          <w:ind w:left="170" w:right="22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151.78</w:t>
                        </w:r>
                      </w:p>
                    </w:tc>
                    <w:tc>
                      <w:tcPr>
                        <w:tcW w:w="897" w:type="dxa"/>
                      </w:tcPr>
                      <w:p>
                        <w:pPr>
                          <w:pStyle w:val="TableParagraph"/>
                          <w:spacing w:before="31"/>
                          <w:ind w:left="224" w:right="18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0.750</w:t>
                        </w:r>
                      </w:p>
                    </w:tc>
                    <w:tc>
                      <w:tcPr>
                        <w:tcW w:w="1354" w:type="dxa"/>
                      </w:tcPr>
                      <w:p>
                        <w:pPr>
                          <w:pStyle w:val="TableParagraph"/>
                          <w:spacing w:before="31"/>
                          <w:ind w:left="183" w:right="9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0.50-cal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FSP</w:t>
                        </w:r>
                      </w:p>
                    </w:tc>
                  </w:tr>
                  <w:tr>
                    <w:trPr>
                      <w:trHeight w:val="282" w:hRule="atLeast"/>
                    </w:trPr>
                    <w:tc>
                      <w:tcPr>
                        <w:tcW w:w="1460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98" w:right="9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E-5P-12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9</w:t>
                        </w:r>
                      </w:p>
                    </w:tc>
                    <w:tc>
                      <w:tcPr>
                        <w:tcW w:w="913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89" w:right="11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119.5</w:t>
                        </w:r>
                      </w:p>
                    </w:tc>
                    <w:tc>
                      <w:tcPr>
                        <w:tcW w:w="713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3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1766</w:t>
                        </w:r>
                      </w:p>
                    </w:tc>
                    <w:tc>
                      <w:tcPr>
                        <w:tcW w:w="1053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7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538.25</w:t>
                        </w:r>
                      </w:p>
                    </w:tc>
                    <w:tc>
                      <w:tcPr>
                        <w:tcW w:w="915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37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153</w:t>
                        </w:r>
                      </w:p>
                    </w:tc>
                    <w:tc>
                      <w:tcPr>
                        <w:tcW w:w="984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69" w:right="22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46.63</w:t>
                        </w:r>
                      </w:p>
                    </w:tc>
                    <w:tc>
                      <w:tcPr>
                        <w:tcW w:w="897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224" w:right="18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0.375</w:t>
                        </w:r>
                      </w:p>
                    </w:tc>
                    <w:tc>
                      <w:tcPr>
                        <w:tcW w:w="1354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83" w:right="9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0.50-cal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FSP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b/>
          <w:sz w:val="20"/>
        </w:rPr>
        <w:t>Table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9</w:t>
        <w:tab/>
        <w:t>0.50-in.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sphere</w:t>
      </w:r>
      <w:r>
        <w:rPr>
          <w:b/>
          <w:spacing w:val="-1"/>
          <w:sz w:val="20"/>
        </w:rPr>
        <w:t> </w:t>
      </w:r>
      <w:r>
        <w:rPr>
          <w:b/>
          <w:sz w:val="20"/>
        </w:rPr>
        <w:t>&amp;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0.50-cal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FSP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striking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specimen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E-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5P-12</w:t>
      </w: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spacing w:before="2"/>
        <w:rPr>
          <w:b/>
          <w:sz w:val="23"/>
        </w:rPr>
      </w:pPr>
    </w:p>
    <w:p>
      <w:pPr>
        <w:tabs>
          <w:tab w:pos="1659" w:val="left" w:leader="none"/>
        </w:tabs>
        <w:spacing w:before="1"/>
        <w:ind w:left="0" w:right="778" w:firstLine="0"/>
        <w:jc w:val="center"/>
        <w:rPr>
          <w:b/>
          <w:sz w:val="20"/>
        </w:rPr>
      </w:pPr>
      <w:r>
        <w:rPr>
          <w:b/>
          <w:w w:val="100"/>
          <w:sz w:val="20"/>
          <w:u w:val="single"/>
        </w:rPr>
        <w:t> </w:t>
      </w:r>
      <w:r>
        <w:rPr>
          <w:b/>
          <w:sz w:val="20"/>
          <w:u w:val="single"/>
        </w:rPr>
        <w:tab/>
      </w: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spacing w:before="5"/>
        <w:rPr>
          <w:b/>
          <w:sz w:val="19"/>
        </w:rPr>
      </w:pPr>
    </w:p>
    <w:p>
      <w:pPr>
        <w:spacing w:before="0"/>
        <w:ind w:left="1938" w:right="778" w:firstLine="0"/>
        <w:jc w:val="center"/>
        <w:rPr>
          <w:sz w:val="20"/>
        </w:rPr>
      </w:pPr>
      <w:r>
        <w:rPr>
          <w:sz w:val="20"/>
        </w:rPr>
        <w:t>Note:</w:t>
      </w:r>
      <w:r>
        <w:rPr>
          <w:spacing w:val="-4"/>
          <w:sz w:val="20"/>
        </w:rPr>
        <w:t> </w:t>
      </w:r>
      <w:r>
        <w:rPr>
          <w:sz w:val="20"/>
        </w:rPr>
        <w:t>Shot</w:t>
      </w:r>
      <w:r>
        <w:rPr>
          <w:spacing w:val="-3"/>
          <w:sz w:val="20"/>
        </w:rPr>
        <w:t> </w:t>
      </w:r>
      <w:r>
        <w:rPr>
          <w:sz w:val="20"/>
        </w:rPr>
        <w:t>7</w:t>
      </w:r>
      <w:r>
        <w:rPr>
          <w:spacing w:val="-3"/>
          <w:sz w:val="20"/>
        </w:rPr>
        <w:t> </w:t>
      </w:r>
      <w:r>
        <w:rPr>
          <w:sz w:val="20"/>
        </w:rPr>
        <w:t>fully</w:t>
      </w:r>
      <w:r>
        <w:rPr>
          <w:spacing w:val="-3"/>
          <w:sz w:val="20"/>
        </w:rPr>
        <w:t> </w:t>
      </w:r>
      <w:r>
        <w:rPr>
          <w:sz w:val="20"/>
        </w:rPr>
        <w:t>perforated</w:t>
      </w:r>
      <w:r>
        <w:rPr>
          <w:spacing w:val="-1"/>
          <w:sz w:val="20"/>
        </w:rPr>
        <w:t> </w:t>
      </w:r>
      <w:r>
        <w:rPr>
          <w:sz w:val="20"/>
        </w:rPr>
        <w:t>the</w:t>
      </w:r>
      <w:r>
        <w:rPr>
          <w:spacing w:val="-3"/>
          <w:sz w:val="20"/>
        </w:rPr>
        <w:t> </w:t>
      </w:r>
      <w:r>
        <w:rPr>
          <w:sz w:val="20"/>
        </w:rPr>
        <w:t>specimen</w:t>
      </w:r>
      <w:r>
        <w:rPr>
          <w:spacing w:val="-1"/>
          <w:sz w:val="20"/>
        </w:rPr>
        <w:t> </w:t>
      </w:r>
      <w:r>
        <w:rPr>
          <w:sz w:val="20"/>
        </w:rPr>
        <w:t>at</w:t>
      </w:r>
      <w:r>
        <w:rPr>
          <w:spacing w:val="-3"/>
          <w:sz w:val="20"/>
        </w:rPr>
        <w:t> </w:t>
      </w:r>
      <w:r>
        <w:rPr>
          <w:sz w:val="20"/>
        </w:rPr>
        <w:t>a</w:t>
      </w:r>
      <w:r>
        <w:rPr>
          <w:spacing w:val="-2"/>
          <w:sz w:val="20"/>
        </w:rPr>
        <w:t> </w:t>
      </w:r>
      <w:r>
        <w:rPr>
          <w:sz w:val="20"/>
        </w:rPr>
        <w:t>residual</w:t>
      </w:r>
      <w:r>
        <w:rPr>
          <w:spacing w:val="-5"/>
          <w:sz w:val="20"/>
        </w:rPr>
        <w:t> </w:t>
      </w:r>
      <w:r>
        <w:rPr>
          <w:sz w:val="20"/>
        </w:rPr>
        <w:t>velocity</w:t>
      </w:r>
      <w:r>
        <w:rPr>
          <w:spacing w:val="-3"/>
          <w:sz w:val="20"/>
        </w:rPr>
        <w:t> </w:t>
      </w:r>
      <w:r>
        <w:rPr>
          <w:sz w:val="20"/>
        </w:rPr>
        <w:t>that</w:t>
      </w:r>
      <w:r>
        <w:rPr>
          <w:spacing w:val="-3"/>
          <w:sz w:val="20"/>
        </w:rPr>
        <w:t> </w:t>
      </w:r>
      <w:r>
        <w:rPr>
          <w:sz w:val="20"/>
        </w:rPr>
        <w:t>was</w:t>
      </w:r>
      <w:r>
        <w:rPr>
          <w:spacing w:val="-2"/>
          <w:sz w:val="20"/>
        </w:rPr>
        <w:t> </w:t>
      </w:r>
      <w:r>
        <w:rPr>
          <w:sz w:val="20"/>
        </w:rPr>
        <w:t>too</w:t>
      </w:r>
      <w:r>
        <w:rPr>
          <w:spacing w:val="-1"/>
          <w:sz w:val="20"/>
        </w:rPr>
        <w:t> </w:t>
      </w:r>
      <w:r>
        <w:rPr>
          <w:sz w:val="20"/>
        </w:rPr>
        <w:t>low</w:t>
      </w:r>
      <w:r>
        <w:rPr>
          <w:spacing w:val="-3"/>
          <w:sz w:val="20"/>
        </w:rPr>
        <w:t> </w:t>
      </w:r>
      <w:r>
        <w:rPr>
          <w:sz w:val="20"/>
        </w:rPr>
        <w:t>to</w:t>
      </w:r>
      <w:r>
        <w:rPr>
          <w:spacing w:val="-3"/>
          <w:sz w:val="20"/>
        </w:rPr>
        <w:t> </w:t>
      </w:r>
      <w:r>
        <w:rPr>
          <w:sz w:val="20"/>
        </w:rPr>
        <w:t>be</w:t>
      </w:r>
      <w:r>
        <w:rPr>
          <w:spacing w:val="-2"/>
          <w:sz w:val="20"/>
        </w:rPr>
        <w:t> </w:t>
      </w:r>
      <w:r>
        <w:rPr>
          <w:sz w:val="20"/>
        </w:rPr>
        <w:t>captured.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5"/>
        <w:rPr>
          <w:sz w:val="17"/>
        </w:rPr>
      </w:pPr>
    </w:p>
    <w:p>
      <w:pPr>
        <w:tabs>
          <w:tab w:pos="2153" w:val="left" w:leader="none"/>
        </w:tabs>
        <w:spacing w:before="0"/>
        <w:ind w:left="1159" w:right="0" w:firstLine="0"/>
        <w:jc w:val="center"/>
        <w:rPr>
          <w:b/>
          <w:sz w:val="20"/>
        </w:rPr>
      </w:pPr>
      <w:r>
        <w:rPr/>
        <w:pict>
          <v:shape style="position:absolute;margin-left:143.550003pt;margin-top:23.486238pt;width:360.45pt;height:141.25pt;mso-position-horizontal-relative:page;mso-position-vertical-relative:paragraph;z-index:1591347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498"/>
                    <w:gridCol w:w="953"/>
                    <w:gridCol w:w="719"/>
                    <w:gridCol w:w="1021"/>
                    <w:gridCol w:w="891"/>
                    <w:gridCol w:w="1073"/>
                    <w:gridCol w:w="1047"/>
                  </w:tblGrid>
                  <w:tr>
                    <w:trPr>
                      <w:trHeight w:val="510" w:hRule="atLeast"/>
                    </w:trPr>
                    <w:tc>
                      <w:tcPr>
                        <w:tcW w:w="1498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953" w:type="dxa"/>
                        <w:vMerge w:val="restart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b/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59" w:lineRule="auto"/>
                          <w:ind w:left="148" w:right="135" w:hanging="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Powder</w:t>
                        </w:r>
                        <w:r>
                          <w:rPr>
                            <w:b/>
                            <w:spacing w:val="-47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Mass</w:t>
                        </w:r>
                        <w:r>
                          <w:rPr>
                            <w:b/>
                            <w:spacing w:val="1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(grains)</w:t>
                        </w:r>
                      </w:p>
                    </w:tc>
                    <w:tc>
                      <w:tcPr>
                        <w:tcW w:w="1740" w:type="dxa"/>
                        <w:gridSpan w:val="2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"/>
                          <w:rPr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23" w:lineRule="exact"/>
                          <w:ind w:left="191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Chrono-Based</w:t>
                        </w:r>
                      </w:p>
                    </w:tc>
                    <w:tc>
                      <w:tcPr>
                        <w:tcW w:w="1964" w:type="dxa"/>
                        <w:gridSpan w:val="2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"/>
                          <w:rPr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23" w:lineRule="exact"/>
                          <w:ind w:left="293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Hi-speed</w:t>
                        </w:r>
                        <w:r>
                          <w:rPr>
                            <w:b/>
                            <w:spacing w:val="-5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camera</w:t>
                        </w:r>
                      </w:p>
                    </w:tc>
                    <w:tc>
                      <w:tcPr>
                        <w:tcW w:w="1047" w:type="dxa"/>
                        <w:vMerge w:val="restart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47"/>
                          <w:ind w:left="25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DOP</w:t>
                        </w:r>
                      </w:p>
                      <w:p>
                        <w:pPr>
                          <w:pStyle w:val="TableParagraph"/>
                          <w:spacing w:before="18"/>
                          <w:ind w:left="31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(in)</w:t>
                        </w:r>
                      </w:p>
                    </w:tc>
                  </w:tr>
                  <w:tr>
                    <w:trPr>
                      <w:trHeight w:val="256" w:hRule="atLeast"/>
                    </w:trPr>
                    <w:tc>
                      <w:tcPr>
                        <w:tcW w:w="1498" w:type="dxa"/>
                      </w:tcPr>
                      <w:p>
                        <w:pPr>
                          <w:pStyle w:val="TableParagraph"/>
                          <w:spacing w:before="5"/>
                          <w:ind w:left="99" w:right="5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Shot</w:t>
                        </w:r>
                      </w:p>
                    </w:tc>
                    <w:tc>
                      <w:tcPr>
                        <w:tcW w:w="953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19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021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tabs>
                            <w:tab w:pos="1847" w:val="left" w:leader="none"/>
                          </w:tabs>
                          <w:spacing w:before="5"/>
                          <w:ind w:left="178" w:right="-96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100"/>
                            <w:sz w:val="20"/>
                            <w:u w:val="single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  <w:u w:val="single"/>
                          </w:rPr>
                          <w:tab/>
                        </w:r>
                      </w:p>
                    </w:tc>
                    <w:tc>
                      <w:tcPr>
                        <w:tcW w:w="1073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047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508" w:hRule="atLeast"/>
                    </w:trPr>
                    <w:tc>
                      <w:tcPr>
                        <w:tcW w:w="1498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953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19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2"/>
                          <w:ind w:left="145" w:right="165" w:firstLine="11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s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(fps)</w:t>
                        </w:r>
                      </w:p>
                    </w:tc>
                    <w:tc>
                      <w:tcPr>
                        <w:tcW w:w="1021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2"/>
                          <w:ind w:left="241" w:right="326" w:firstLine="141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s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(m/s)</w:t>
                        </w:r>
                      </w:p>
                    </w:tc>
                    <w:tc>
                      <w:tcPr>
                        <w:tcW w:w="891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2"/>
                          <w:ind w:left="323" w:right="159" w:firstLine="11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r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(fps)</w:t>
                        </w:r>
                      </w:p>
                    </w:tc>
                    <w:tc>
                      <w:tcPr>
                        <w:tcW w:w="1073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2"/>
                          <w:ind w:left="245" w:right="374" w:firstLine="13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r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(m/s)</w:t>
                        </w:r>
                      </w:p>
                    </w:tc>
                    <w:tc>
                      <w:tcPr>
                        <w:tcW w:w="1047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319" w:hRule="atLeast"/>
                    </w:trPr>
                    <w:tc>
                      <w:tcPr>
                        <w:tcW w:w="1498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0"/>
                          <w:ind w:left="99" w:right="12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E-5P-15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953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0"/>
                          <w:ind w:left="25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146.0</w:t>
                        </w:r>
                      </w:p>
                    </w:tc>
                    <w:tc>
                      <w:tcPr>
                        <w:tcW w:w="719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0"/>
                          <w:ind w:left="13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1937</w:t>
                        </w:r>
                      </w:p>
                    </w:tc>
                    <w:tc>
                      <w:tcPr>
                        <w:tcW w:w="1021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0"/>
                          <w:ind w:left="18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590.37</w:t>
                        </w:r>
                      </w:p>
                    </w:tc>
                    <w:tc>
                      <w:tcPr>
                        <w:tcW w:w="891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0"/>
                          <w:ind w:left="36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274</w:t>
                        </w:r>
                      </w:p>
                    </w:tc>
                    <w:tc>
                      <w:tcPr>
                        <w:tcW w:w="1073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0"/>
                          <w:ind w:left="23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83.51</w:t>
                        </w:r>
                      </w:p>
                    </w:tc>
                    <w:tc>
                      <w:tcPr>
                        <w:tcW w:w="1047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0"/>
                          <w:ind w:left="225" w:right="33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498" w:type="dxa"/>
                      </w:tcPr>
                      <w:p>
                        <w:pPr>
                          <w:pStyle w:val="TableParagraph"/>
                          <w:spacing w:before="31"/>
                          <w:ind w:left="99" w:right="12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E-5P-15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w="953" w:type="dxa"/>
                      </w:tcPr>
                      <w:p>
                        <w:pPr>
                          <w:pStyle w:val="TableParagraph"/>
                          <w:spacing w:before="31"/>
                          <w:ind w:left="25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149.5</w:t>
                        </w:r>
                      </w:p>
                    </w:tc>
                    <w:tc>
                      <w:tcPr>
                        <w:tcW w:w="719" w:type="dxa"/>
                      </w:tcPr>
                      <w:p>
                        <w:pPr>
                          <w:pStyle w:val="TableParagraph"/>
                          <w:spacing w:before="31"/>
                          <w:ind w:left="13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1984</w:t>
                        </w:r>
                      </w:p>
                    </w:tc>
                    <w:tc>
                      <w:tcPr>
                        <w:tcW w:w="1021" w:type="dxa"/>
                      </w:tcPr>
                      <w:p>
                        <w:pPr>
                          <w:pStyle w:val="TableParagraph"/>
                          <w:spacing w:before="31"/>
                          <w:ind w:left="18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604.69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before="31"/>
                          <w:ind w:left="431" w:right="28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073" w:type="dxa"/>
                      </w:tcPr>
                      <w:p>
                        <w:pPr>
                          <w:pStyle w:val="TableParagraph"/>
                          <w:spacing w:before="31"/>
                          <w:ind w:left="377" w:right="52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047" w:type="dxa"/>
                      </w:tcPr>
                      <w:p>
                        <w:pPr>
                          <w:pStyle w:val="TableParagraph"/>
                          <w:spacing w:before="31"/>
                          <w:ind w:left="225" w:right="33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6.125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498" w:type="dxa"/>
                      </w:tcPr>
                      <w:p>
                        <w:pPr>
                          <w:pStyle w:val="TableParagraph"/>
                          <w:spacing w:before="31"/>
                          <w:ind w:left="99" w:right="12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E-5P-15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3</w:t>
                        </w:r>
                      </w:p>
                    </w:tc>
                    <w:tc>
                      <w:tcPr>
                        <w:tcW w:w="953" w:type="dxa"/>
                      </w:tcPr>
                      <w:p>
                        <w:pPr>
                          <w:pStyle w:val="TableParagraph"/>
                          <w:spacing w:before="31"/>
                          <w:ind w:left="25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157.0</w:t>
                        </w:r>
                      </w:p>
                    </w:tc>
                    <w:tc>
                      <w:tcPr>
                        <w:tcW w:w="719" w:type="dxa"/>
                      </w:tcPr>
                      <w:p>
                        <w:pPr>
                          <w:pStyle w:val="TableParagraph"/>
                          <w:spacing w:before="31"/>
                          <w:ind w:left="13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2063</w:t>
                        </w:r>
                      </w:p>
                    </w:tc>
                    <w:tc>
                      <w:tcPr>
                        <w:tcW w:w="1021" w:type="dxa"/>
                      </w:tcPr>
                      <w:p>
                        <w:pPr>
                          <w:pStyle w:val="TableParagraph"/>
                          <w:spacing w:before="31"/>
                          <w:ind w:left="18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628.77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before="31"/>
                          <w:ind w:left="36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553</w:t>
                        </w:r>
                      </w:p>
                    </w:tc>
                    <w:tc>
                      <w:tcPr>
                        <w:tcW w:w="1073" w:type="dxa"/>
                      </w:tcPr>
                      <w:p>
                        <w:pPr>
                          <w:pStyle w:val="TableParagraph"/>
                          <w:spacing w:before="31"/>
                          <w:ind w:left="18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168.55</w:t>
                        </w:r>
                      </w:p>
                    </w:tc>
                    <w:tc>
                      <w:tcPr>
                        <w:tcW w:w="1047" w:type="dxa"/>
                      </w:tcPr>
                      <w:p>
                        <w:pPr>
                          <w:pStyle w:val="TableParagraph"/>
                          <w:spacing w:before="31"/>
                          <w:ind w:left="225" w:right="33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498" w:type="dxa"/>
                      </w:tcPr>
                      <w:p>
                        <w:pPr>
                          <w:pStyle w:val="TableParagraph"/>
                          <w:spacing w:before="31"/>
                          <w:ind w:left="99" w:right="12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E-5P-15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4</w:t>
                        </w:r>
                      </w:p>
                    </w:tc>
                    <w:tc>
                      <w:tcPr>
                        <w:tcW w:w="953" w:type="dxa"/>
                      </w:tcPr>
                      <w:p>
                        <w:pPr>
                          <w:pStyle w:val="TableParagraph"/>
                          <w:spacing w:before="31"/>
                          <w:ind w:left="25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177.0</w:t>
                        </w:r>
                      </w:p>
                    </w:tc>
                    <w:tc>
                      <w:tcPr>
                        <w:tcW w:w="719" w:type="dxa"/>
                      </w:tcPr>
                      <w:p>
                        <w:pPr>
                          <w:pStyle w:val="TableParagraph"/>
                          <w:spacing w:before="31"/>
                          <w:ind w:left="13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2222</w:t>
                        </w:r>
                      </w:p>
                    </w:tc>
                    <w:tc>
                      <w:tcPr>
                        <w:tcW w:w="1021" w:type="dxa"/>
                      </w:tcPr>
                      <w:p>
                        <w:pPr>
                          <w:pStyle w:val="TableParagraph"/>
                          <w:spacing w:before="31"/>
                          <w:ind w:left="18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677.23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before="31"/>
                          <w:ind w:left="36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576</w:t>
                        </w:r>
                      </w:p>
                    </w:tc>
                    <w:tc>
                      <w:tcPr>
                        <w:tcW w:w="1073" w:type="dxa"/>
                      </w:tcPr>
                      <w:p>
                        <w:pPr>
                          <w:pStyle w:val="TableParagraph"/>
                          <w:spacing w:before="31"/>
                          <w:ind w:left="18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175.56</w:t>
                        </w:r>
                      </w:p>
                    </w:tc>
                    <w:tc>
                      <w:tcPr>
                        <w:tcW w:w="1047" w:type="dxa"/>
                      </w:tcPr>
                      <w:p>
                        <w:pPr>
                          <w:pStyle w:val="TableParagraph"/>
                          <w:spacing w:before="31"/>
                          <w:ind w:left="225" w:right="33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</w:tr>
                  <w:tr>
                    <w:trPr>
                      <w:trHeight w:val="281" w:hRule="atLeast"/>
                    </w:trPr>
                    <w:tc>
                      <w:tcPr>
                        <w:tcW w:w="1498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99" w:right="12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E-5P-15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5</w:t>
                        </w:r>
                      </w:p>
                    </w:tc>
                    <w:tc>
                      <w:tcPr>
                        <w:tcW w:w="953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25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185.0</w:t>
                        </w:r>
                      </w:p>
                    </w:tc>
                    <w:tc>
                      <w:tcPr>
                        <w:tcW w:w="719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3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2311</w:t>
                        </w:r>
                      </w:p>
                    </w:tc>
                    <w:tc>
                      <w:tcPr>
                        <w:tcW w:w="1021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8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704.36</w:t>
                        </w:r>
                      </w:p>
                    </w:tc>
                    <w:tc>
                      <w:tcPr>
                        <w:tcW w:w="891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36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857</w:t>
                        </w:r>
                      </w:p>
                    </w:tc>
                    <w:tc>
                      <w:tcPr>
                        <w:tcW w:w="1073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8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261.20</w:t>
                        </w:r>
                      </w:p>
                    </w:tc>
                    <w:tc>
                      <w:tcPr>
                        <w:tcW w:w="1047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225" w:right="33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b/>
          <w:sz w:val="20"/>
        </w:rPr>
        <w:t>Table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10</w:t>
        <w:tab/>
        <w:t>0.50-cal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FSP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striking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specimen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E-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5P-15</w:t>
      </w: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spacing w:before="4"/>
        <w:rPr>
          <w:b/>
          <w:sz w:val="23"/>
        </w:rPr>
      </w:pPr>
    </w:p>
    <w:p>
      <w:pPr>
        <w:tabs>
          <w:tab w:pos="2139" w:val="left" w:leader="none"/>
        </w:tabs>
        <w:spacing w:before="0"/>
        <w:ind w:left="462" w:right="0" w:firstLine="0"/>
        <w:jc w:val="center"/>
        <w:rPr>
          <w:b/>
          <w:sz w:val="20"/>
        </w:rPr>
      </w:pPr>
      <w:r>
        <w:rPr>
          <w:b/>
          <w:w w:val="100"/>
          <w:sz w:val="20"/>
          <w:u w:val="single"/>
        </w:rPr>
        <w:t> </w:t>
      </w:r>
      <w:r>
        <w:rPr>
          <w:b/>
          <w:sz w:val="20"/>
          <w:u w:val="single"/>
        </w:rPr>
        <w:tab/>
      </w:r>
    </w:p>
    <w:p>
      <w:pPr>
        <w:spacing w:after="0"/>
        <w:jc w:val="center"/>
        <w:rPr>
          <w:sz w:val="20"/>
        </w:rPr>
        <w:sectPr>
          <w:pgSz w:w="12240" w:h="15840"/>
          <w:pgMar w:header="0" w:footer="1064" w:top="1380" w:bottom="1260" w:left="440" w:right="880"/>
        </w:sectPr>
      </w:pPr>
    </w:p>
    <w:p>
      <w:pPr>
        <w:tabs>
          <w:tab w:pos="4764" w:val="left" w:leader="none"/>
        </w:tabs>
        <w:spacing w:before="70"/>
        <w:ind w:left="3770" w:right="0" w:firstLine="0"/>
        <w:jc w:val="left"/>
        <w:rPr>
          <w:b/>
          <w:sz w:val="20"/>
        </w:rPr>
      </w:pPr>
      <w:r>
        <w:rPr/>
        <w:pict>
          <v:shape style="position:absolute;margin-left:139.050003pt;margin-top:26.995911pt;width:369.45pt;height:201.25pt;mso-position-horizontal-relative:page;mso-position-vertical-relative:paragraph;z-index:1591398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543"/>
                    <w:gridCol w:w="998"/>
                    <w:gridCol w:w="719"/>
                    <w:gridCol w:w="1059"/>
                    <w:gridCol w:w="996"/>
                    <w:gridCol w:w="1038"/>
                    <w:gridCol w:w="1030"/>
                  </w:tblGrid>
                  <w:tr>
                    <w:trPr>
                      <w:trHeight w:val="508" w:hRule="atLeast"/>
                    </w:trPr>
                    <w:tc>
                      <w:tcPr>
                        <w:tcW w:w="1543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0"/>
                          <w:rPr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59" w:lineRule="auto"/>
                          <w:ind w:left="193" w:right="135" w:hanging="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Powder</w:t>
                        </w:r>
                        <w:r>
                          <w:rPr>
                            <w:b/>
                            <w:spacing w:val="-47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Mass</w:t>
                        </w:r>
                        <w:r>
                          <w:rPr>
                            <w:b/>
                            <w:spacing w:val="1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(grains)</w:t>
                        </w:r>
                      </w:p>
                    </w:tc>
                    <w:tc>
                      <w:tcPr>
                        <w:tcW w:w="1778" w:type="dxa"/>
                        <w:gridSpan w:val="2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"/>
                          <w:rPr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23" w:lineRule="exact"/>
                          <w:ind w:left="191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Chrono-Based</w:t>
                        </w:r>
                      </w:p>
                    </w:tc>
                    <w:tc>
                      <w:tcPr>
                        <w:tcW w:w="2034" w:type="dxa"/>
                        <w:gridSpan w:val="2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"/>
                          <w:rPr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23" w:lineRule="exact"/>
                          <w:ind w:left="493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Chrono-Based</w:t>
                        </w:r>
                      </w:p>
                    </w:tc>
                    <w:tc>
                      <w:tcPr>
                        <w:tcW w:w="1030" w:type="dxa"/>
                        <w:vMerge w:val="restart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47"/>
                          <w:ind w:left="32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DOP</w:t>
                        </w:r>
                      </w:p>
                      <w:p>
                        <w:pPr>
                          <w:pStyle w:val="TableParagraph"/>
                          <w:spacing w:before="18"/>
                          <w:ind w:left="390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(in)</w:t>
                        </w:r>
                      </w:p>
                    </w:tc>
                  </w:tr>
                  <w:tr>
                    <w:trPr>
                      <w:trHeight w:val="256" w:hRule="atLeast"/>
                    </w:trPr>
                    <w:tc>
                      <w:tcPr>
                        <w:tcW w:w="1543" w:type="dxa"/>
                      </w:tcPr>
                      <w:p>
                        <w:pPr>
                          <w:pStyle w:val="TableParagraph"/>
                          <w:spacing w:before="5"/>
                          <w:ind w:left="604" w:right="509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Shot</w:t>
                        </w:r>
                      </w:p>
                    </w:tc>
                    <w:tc>
                      <w:tcPr>
                        <w:tcW w:w="998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19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059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96" w:type="dxa"/>
                      </w:tcPr>
                      <w:p>
                        <w:pPr>
                          <w:pStyle w:val="TableParagraph"/>
                          <w:tabs>
                            <w:tab w:pos="2079" w:val="left" w:leader="none"/>
                          </w:tabs>
                          <w:spacing w:before="5"/>
                          <w:ind w:left="140" w:right="-109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100"/>
                            <w:sz w:val="20"/>
                            <w:u w:val="single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  <w:u w:val="single"/>
                          </w:rPr>
                          <w:tab/>
                        </w:r>
                      </w:p>
                    </w:tc>
                    <w:tc>
                      <w:tcPr>
                        <w:tcW w:w="1038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030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509" w:hRule="atLeast"/>
                    </w:trPr>
                    <w:tc>
                      <w:tcPr>
                        <w:tcW w:w="1543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98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19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145" w:right="165" w:firstLine="11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s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(fps)</w:t>
                        </w:r>
                      </w:p>
                    </w:tc>
                    <w:tc>
                      <w:tcPr>
                        <w:tcW w:w="1059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241" w:right="364" w:firstLine="141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s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(m/s)</w:t>
                        </w:r>
                      </w:p>
                    </w:tc>
                    <w:tc>
                      <w:tcPr>
                        <w:tcW w:w="996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330" w:right="257" w:firstLine="11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r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(fps)</w:t>
                        </w:r>
                      </w:p>
                    </w:tc>
                    <w:tc>
                      <w:tcPr>
                        <w:tcW w:w="1038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282" w:right="302" w:firstLine="13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r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(m/s)</w:t>
                        </w:r>
                      </w:p>
                    </w:tc>
                    <w:tc>
                      <w:tcPr>
                        <w:tcW w:w="1030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318" w:hRule="atLeast"/>
                    </w:trPr>
                    <w:tc>
                      <w:tcPr>
                        <w:tcW w:w="1543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1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E-5P-13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998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332" w:right="27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89</w:t>
                        </w:r>
                      </w:p>
                    </w:tc>
                    <w:tc>
                      <w:tcPr>
                        <w:tcW w:w="719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3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2158</w:t>
                        </w:r>
                      </w:p>
                    </w:tc>
                    <w:tc>
                      <w:tcPr>
                        <w:tcW w:w="1059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8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657.73</w:t>
                        </w:r>
                      </w:p>
                    </w:tc>
                    <w:tc>
                      <w:tcPr>
                        <w:tcW w:w="996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438" w:right="38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038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301" w:right="33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030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right="26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4.750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543" w:type="dxa"/>
                      </w:tcPr>
                      <w:p>
                        <w:pPr>
                          <w:pStyle w:val="TableParagraph"/>
                          <w:spacing w:before="31"/>
                          <w:ind w:left="11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E-5P-13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w="998" w:type="dxa"/>
                      </w:tcPr>
                      <w:p>
                        <w:pPr>
                          <w:pStyle w:val="TableParagraph"/>
                          <w:spacing w:before="31"/>
                          <w:ind w:left="332" w:right="27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78.2</w:t>
                        </w:r>
                      </w:p>
                    </w:tc>
                    <w:tc>
                      <w:tcPr>
                        <w:tcW w:w="719" w:type="dxa"/>
                      </w:tcPr>
                      <w:p>
                        <w:pPr>
                          <w:pStyle w:val="TableParagraph"/>
                          <w:spacing w:before="31"/>
                          <w:ind w:left="13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2053</w:t>
                        </w:r>
                      </w:p>
                    </w:tc>
                    <w:tc>
                      <w:tcPr>
                        <w:tcW w:w="1059" w:type="dxa"/>
                      </w:tcPr>
                      <w:p>
                        <w:pPr>
                          <w:pStyle w:val="TableParagraph"/>
                          <w:spacing w:before="31"/>
                          <w:ind w:left="18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625.72</w:t>
                        </w:r>
                      </w:p>
                    </w:tc>
                    <w:tc>
                      <w:tcPr>
                        <w:tcW w:w="996" w:type="dxa"/>
                      </w:tcPr>
                      <w:p>
                        <w:pPr>
                          <w:pStyle w:val="TableParagraph"/>
                          <w:spacing w:before="31"/>
                          <w:ind w:left="438" w:right="38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038" w:type="dxa"/>
                      </w:tcPr>
                      <w:p>
                        <w:pPr>
                          <w:pStyle w:val="TableParagraph"/>
                          <w:spacing w:before="31"/>
                          <w:ind w:left="301" w:right="33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030" w:type="dxa"/>
                      </w:tcPr>
                      <w:p>
                        <w:pPr>
                          <w:pStyle w:val="TableParagraph"/>
                          <w:spacing w:before="31"/>
                          <w:ind w:right="26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4.500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543" w:type="dxa"/>
                      </w:tcPr>
                      <w:p>
                        <w:pPr>
                          <w:pStyle w:val="TableParagraph"/>
                          <w:spacing w:before="31"/>
                          <w:ind w:left="11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E-5P-13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3</w:t>
                        </w:r>
                      </w:p>
                    </w:tc>
                    <w:tc>
                      <w:tcPr>
                        <w:tcW w:w="998" w:type="dxa"/>
                      </w:tcPr>
                      <w:p>
                        <w:pPr>
                          <w:pStyle w:val="TableParagraph"/>
                          <w:spacing w:before="31"/>
                          <w:ind w:left="332" w:right="27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75</w:t>
                        </w:r>
                      </w:p>
                    </w:tc>
                    <w:tc>
                      <w:tcPr>
                        <w:tcW w:w="719" w:type="dxa"/>
                      </w:tcPr>
                      <w:p>
                        <w:pPr>
                          <w:pStyle w:val="TableParagraph"/>
                          <w:spacing w:before="31"/>
                          <w:ind w:left="13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1999</w:t>
                        </w:r>
                      </w:p>
                    </w:tc>
                    <w:tc>
                      <w:tcPr>
                        <w:tcW w:w="1059" w:type="dxa"/>
                      </w:tcPr>
                      <w:p>
                        <w:pPr>
                          <w:pStyle w:val="TableParagraph"/>
                          <w:spacing w:before="31"/>
                          <w:ind w:left="18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609.27</w:t>
                        </w:r>
                      </w:p>
                    </w:tc>
                    <w:tc>
                      <w:tcPr>
                        <w:tcW w:w="996" w:type="dxa"/>
                      </w:tcPr>
                      <w:p>
                        <w:pPr>
                          <w:pStyle w:val="TableParagraph"/>
                          <w:spacing w:before="31"/>
                          <w:ind w:left="438" w:right="38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038" w:type="dxa"/>
                      </w:tcPr>
                      <w:p>
                        <w:pPr>
                          <w:pStyle w:val="TableParagraph"/>
                          <w:spacing w:before="31"/>
                          <w:ind w:left="301" w:right="33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030" w:type="dxa"/>
                      </w:tcPr>
                      <w:p>
                        <w:pPr>
                          <w:pStyle w:val="TableParagraph"/>
                          <w:spacing w:before="31"/>
                          <w:ind w:right="26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4.625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543" w:type="dxa"/>
                      </w:tcPr>
                      <w:p>
                        <w:pPr>
                          <w:pStyle w:val="TableParagraph"/>
                          <w:spacing w:before="31"/>
                          <w:ind w:left="11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E-5P-13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4</w:t>
                        </w:r>
                      </w:p>
                    </w:tc>
                    <w:tc>
                      <w:tcPr>
                        <w:tcW w:w="998" w:type="dxa"/>
                      </w:tcPr>
                      <w:p>
                        <w:pPr>
                          <w:pStyle w:val="TableParagraph"/>
                          <w:spacing w:before="31"/>
                          <w:ind w:left="332" w:right="27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63</w:t>
                        </w:r>
                      </w:p>
                    </w:tc>
                    <w:tc>
                      <w:tcPr>
                        <w:tcW w:w="719" w:type="dxa"/>
                      </w:tcPr>
                      <w:p>
                        <w:pPr>
                          <w:pStyle w:val="TableParagraph"/>
                          <w:spacing w:before="31"/>
                          <w:ind w:left="13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1709</w:t>
                        </w:r>
                      </w:p>
                    </w:tc>
                    <w:tc>
                      <w:tcPr>
                        <w:tcW w:w="1059" w:type="dxa"/>
                      </w:tcPr>
                      <w:p>
                        <w:pPr>
                          <w:pStyle w:val="TableParagraph"/>
                          <w:spacing w:before="31"/>
                          <w:ind w:left="18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520.88</w:t>
                        </w:r>
                      </w:p>
                    </w:tc>
                    <w:tc>
                      <w:tcPr>
                        <w:tcW w:w="996" w:type="dxa"/>
                      </w:tcPr>
                      <w:p>
                        <w:pPr>
                          <w:pStyle w:val="TableParagraph"/>
                          <w:spacing w:before="31"/>
                          <w:ind w:left="438" w:right="38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038" w:type="dxa"/>
                      </w:tcPr>
                      <w:p>
                        <w:pPr>
                          <w:pStyle w:val="TableParagraph"/>
                          <w:spacing w:before="31"/>
                          <w:ind w:left="301" w:right="33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030" w:type="dxa"/>
                      </w:tcPr>
                      <w:p>
                        <w:pPr>
                          <w:pStyle w:val="TableParagraph"/>
                          <w:spacing w:before="31"/>
                          <w:ind w:right="26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3.500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543" w:type="dxa"/>
                      </w:tcPr>
                      <w:p>
                        <w:pPr>
                          <w:pStyle w:val="TableParagraph"/>
                          <w:spacing w:before="31"/>
                          <w:ind w:left="11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E-5P-13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5</w:t>
                        </w:r>
                      </w:p>
                    </w:tc>
                    <w:tc>
                      <w:tcPr>
                        <w:tcW w:w="998" w:type="dxa"/>
                      </w:tcPr>
                      <w:p>
                        <w:pPr>
                          <w:pStyle w:val="TableParagraph"/>
                          <w:spacing w:before="31"/>
                          <w:ind w:left="332" w:right="27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55.5</w:t>
                        </w:r>
                      </w:p>
                    </w:tc>
                    <w:tc>
                      <w:tcPr>
                        <w:tcW w:w="719" w:type="dxa"/>
                      </w:tcPr>
                      <w:p>
                        <w:pPr>
                          <w:pStyle w:val="TableParagraph"/>
                          <w:spacing w:before="31"/>
                          <w:ind w:left="13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1573</w:t>
                        </w:r>
                      </w:p>
                    </w:tc>
                    <w:tc>
                      <w:tcPr>
                        <w:tcW w:w="1059" w:type="dxa"/>
                      </w:tcPr>
                      <w:p>
                        <w:pPr>
                          <w:pStyle w:val="TableParagraph"/>
                          <w:spacing w:before="31"/>
                          <w:ind w:left="18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479.43</w:t>
                        </w:r>
                      </w:p>
                    </w:tc>
                    <w:tc>
                      <w:tcPr>
                        <w:tcW w:w="996" w:type="dxa"/>
                      </w:tcPr>
                      <w:p>
                        <w:pPr>
                          <w:pStyle w:val="TableParagraph"/>
                          <w:spacing w:before="31"/>
                          <w:ind w:left="438" w:right="38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038" w:type="dxa"/>
                      </w:tcPr>
                      <w:p>
                        <w:pPr>
                          <w:pStyle w:val="TableParagraph"/>
                          <w:spacing w:before="31"/>
                          <w:ind w:left="301" w:right="33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030" w:type="dxa"/>
                      </w:tcPr>
                      <w:p>
                        <w:pPr>
                          <w:pStyle w:val="TableParagraph"/>
                          <w:spacing w:before="31"/>
                          <w:ind w:right="26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3.000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543" w:type="dxa"/>
                      </w:tcPr>
                      <w:p>
                        <w:pPr>
                          <w:pStyle w:val="TableParagraph"/>
                          <w:spacing w:before="31"/>
                          <w:ind w:left="11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E-5P-13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6</w:t>
                        </w:r>
                      </w:p>
                    </w:tc>
                    <w:tc>
                      <w:tcPr>
                        <w:tcW w:w="998" w:type="dxa"/>
                      </w:tcPr>
                      <w:p>
                        <w:pPr>
                          <w:pStyle w:val="TableParagraph"/>
                          <w:spacing w:before="31"/>
                          <w:ind w:left="332" w:right="27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44.1</w:t>
                        </w:r>
                      </w:p>
                    </w:tc>
                    <w:tc>
                      <w:tcPr>
                        <w:tcW w:w="719" w:type="dxa"/>
                      </w:tcPr>
                      <w:p>
                        <w:pPr>
                          <w:pStyle w:val="TableParagraph"/>
                          <w:spacing w:before="31"/>
                          <w:ind w:left="13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1381</w:t>
                        </w:r>
                      </w:p>
                    </w:tc>
                    <w:tc>
                      <w:tcPr>
                        <w:tcW w:w="1059" w:type="dxa"/>
                      </w:tcPr>
                      <w:p>
                        <w:pPr>
                          <w:pStyle w:val="TableParagraph"/>
                          <w:spacing w:before="31"/>
                          <w:ind w:left="18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420.91</w:t>
                        </w:r>
                      </w:p>
                    </w:tc>
                    <w:tc>
                      <w:tcPr>
                        <w:tcW w:w="996" w:type="dxa"/>
                      </w:tcPr>
                      <w:p>
                        <w:pPr>
                          <w:pStyle w:val="TableParagraph"/>
                          <w:spacing w:before="31"/>
                          <w:ind w:left="438" w:right="38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038" w:type="dxa"/>
                      </w:tcPr>
                      <w:p>
                        <w:pPr>
                          <w:pStyle w:val="TableParagraph"/>
                          <w:spacing w:before="31"/>
                          <w:ind w:left="301" w:right="33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030" w:type="dxa"/>
                      </w:tcPr>
                      <w:p>
                        <w:pPr>
                          <w:pStyle w:val="TableParagraph"/>
                          <w:spacing w:before="31"/>
                          <w:ind w:right="26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1.750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543" w:type="dxa"/>
                      </w:tcPr>
                      <w:p>
                        <w:pPr>
                          <w:pStyle w:val="TableParagraph"/>
                          <w:spacing w:before="31"/>
                          <w:ind w:left="11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E-5P-13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7</w:t>
                        </w:r>
                      </w:p>
                    </w:tc>
                    <w:tc>
                      <w:tcPr>
                        <w:tcW w:w="998" w:type="dxa"/>
                      </w:tcPr>
                      <w:p>
                        <w:pPr>
                          <w:pStyle w:val="TableParagraph"/>
                          <w:spacing w:before="31"/>
                          <w:ind w:left="332" w:right="27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32</w:t>
                        </w:r>
                      </w:p>
                    </w:tc>
                    <w:tc>
                      <w:tcPr>
                        <w:tcW w:w="719" w:type="dxa"/>
                      </w:tcPr>
                      <w:p>
                        <w:pPr>
                          <w:pStyle w:val="TableParagraph"/>
                          <w:spacing w:before="31"/>
                          <w:ind w:left="13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1044</w:t>
                        </w:r>
                      </w:p>
                    </w:tc>
                    <w:tc>
                      <w:tcPr>
                        <w:tcW w:w="1059" w:type="dxa"/>
                      </w:tcPr>
                      <w:p>
                        <w:pPr>
                          <w:pStyle w:val="TableParagraph"/>
                          <w:spacing w:before="31"/>
                          <w:ind w:left="18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318.20</w:t>
                        </w:r>
                      </w:p>
                    </w:tc>
                    <w:tc>
                      <w:tcPr>
                        <w:tcW w:w="996" w:type="dxa"/>
                      </w:tcPr>
                      <w:p>
                        <w:pPr>
                          <w:pStyle w:val="TableParagraph"/>
                          <w:spacing w:before="31"/>
                          <w:ind w:left="438" w:right="38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038" w:type="dxa"/>
                      </w:tcPr>
                      <w:p>
                        <w:pPr>
                          <w:pStyle w:val="TableParagraph"/>
                          <w:spacing w:before="31"/>
                          <w:ind w:left="301" w:right="33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030" w:type="dxa"/>
                      </w:tcPr>
                      <w:p>
                        <w:pPr>
                          <w:pStyle w:val="TableParagraph"/>
                          <w:spacing w:before="31"/>
                          <w:ind w:right="26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1.625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543" w:type="dxa"/>
                      </w:tcPr>
                      <w:p>
                        <w:pPr>
                          <w:pStyle w:val="TableParagraph"/>
                          <w:spacing w:before="31"/>
                          <w:ind w:left="11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E-5P-13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8</w:t>
                        </w:r>
                      </w:p>
                    </w:tc>
                    <w:tc>
                      <w:tcPr>
                        <w:tcW w:w="998" w:type="dxa"/>
                      </w:tcPr>
                      <w:p>
                        <w:pPr>
                          <w:pStyle w:val="TableParagraph"/>
                          <w:spacing w:before="31"/>
                          <w:ind w:left="332" w:right="27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24.5</w:t>
                        </w:r>
                      </w:p>
                    </w:tc>
                    <w:tc>
                      <w:tcPr>
                        <w:tcW w:w="719" w:type="dxa"/>
                      </w:tcPr>
                      <w:p>
                        <w:pPr>
                          <w:pStyle w:val="TableParagraph"/>
                          <w:spacing w:before="31"/>
                          <w:ind w:left="18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830</w:t>
                        </w:r>
                      </w:p>
                    </w:tc>
                    <w:tc>
                      <w:tcPr>
                        <w:tcW w:w="1059" w:type="dxa"/>
                      </w:tcPr>
                      <w:p>
                        <w:pPr>
                          <w:pStyle w:val="TableParagraph"/>
                          <w:spacing w:before="31"/>
                          <w:ind w:left="18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252.97</w:t>
                        </w:r>
                      </w:p>
                    </w:tc>
                    <w:tc>
                      <w:tcPr>
                        <w:tcW w:w="996" w:type="dxa"/>
                      </w:tcPr>
                      <w:p>
                        <w:pPr>
                          <w:pStyle w:val="TableParagraph"/>
                          <w:spacing w:before="31"/>
                          <w:ind w:left="438" w:right="38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038" w:type="dxa"/>
                      </w:tcPr>
                      <w:p>
                        <w:pPr>
                          <w:pStyle w:val="TableParagraph"/>
                          <w:spacing w:before="31"/>
                          <w:ind w:left="301" w:right="33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030" w:type="dxa"/>
                      </w:tcPr>
                      <w:p>
                        <w:pPr>
                          <w:pStyle w:val="TableParagraph"/>
                          <w:spacing w:before="31"/>
                          <w:ind w:right="26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0.375</w:t>
                        </w:r>
                      </w:p>
                    </w:tc>
                  </w:tr>
                  <w:tr>
                    <w:trPr>
                      <w:trHeight w:val="282" w:hRule="atLeast"/>
                    </w:trPr>
                    <w:tc>
                      <w:tcPr>
                        <w:tcW w:w="1543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1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E-5P-13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9</w:t>
                        </w:r>
                      </w:p>
                    </w:tc>
                    <w:tc>
                      <w:tcPr>
                        <w:tcW w:w="998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332" w:right="27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18</w:t>
                        </w:r>
                      </w:p>
                    </w:tc>
                    <w:tc>
                      <w:tcPr>
                        <w:tcW w:w="719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8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656</w:t>
                        </w:r>
                      </w:p>
                    </w:tc>
                    <w:tc>
                      <w:tcPr>
                        <w:tcW w:w="1059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8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199.94</w:t>
                        </w:r>
                      </w:p>
                    </w:tc>
                    <w:tc>
                      <w:tcPr>
                        <w:tcW w:w="996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438" w:right="38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038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301" w:right="33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030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right="26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0.250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b/>
          <w:sz w:val="20"/>
        </w:rPr>
        <w:t>Table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11</w:t>
        <w:tab/>
        <w:t>0.50-in.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sphere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striking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specimen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E-5P-13</w:t>
      </w: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spacing w:before="2"/>
        <w:rPr>
          <w:b/>
          <w:sz w:val="23"/>
        </w:rPr>
      </w:pPr>
    </w:p>
    <w:p>
      <w:pPr>
        <w:tabs>
          <w:tab w:pos="2139" w:val="left" w:leader="none"/>
        </w:tabs>
        <w:spacing w:before="1"/>
        <w:ind w:left="462" w:right="0" w:firstLine="0"/>
        <w:jc w:val="center"/>
        <w:rPr>
          <w:b/>
          <w:sz w:val="20"/>
        </w:rPr>
      </w:pPr>
      <w:r>
        <w:rPr>
          <w:b/>
          <w:w w:val="100"/>
          <w:sz w:val="20"/>
          <w:u w:val="single"/>
        </w:rPr>
        <w:t> </w:t>
      </w:r>
      <w:r>
        <w:rPr>
          <w:b/>
          <w:sz w:val="20"/>
          <w:u w:val="single"/>
        </w:rPr>
        <w:tab/>
      </w: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tabs>
          <w:tab w:pos="4814" w:val="left" w:leader="none"/>
        </w:tabs>
        <w:spacing w:before="133"/>
        <w:ind w:left="3821" w:right="0" w:firstLine="0"/>
        <w:jc w:val="left"/>
        <w:rPr>
          <w:b/>
          <w:sz w:val="20"/>
        </w:rPr>
      </w:pPr>
      <w:r>
        <w:rPr>
          <w:b/>
          <w:sz w:val="20"/>
        </w:rPr>
        <w:t>Table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12</w:t>
        <w:tab/>
        <w:t>0.50-in.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sphere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striking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specimen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E-9P-2</w:t>
      </w:r>
    </w:p>
    <w:p>
      <w:pPr>
        <w:pStyle w:val="BodyText"/>
        <w:spacing w:before="10"/>
        <w:rPr>
          <w:b/>
          <w:sz w:val="20"/>
        </w:rPr>
      </w:pPr>
    </w:p>
    <w:tbl>
      <w:tblPr>
        <w:tblW w:w="0" w:type="auto"/>
        <w:jc w:val="left"/>
        <w:tblInd w:w="234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13"/>
        <w:gridCol w:w="976"/>
        <w:gridCol w:w="810"/>
        <w:gridCol w:w="1040"/>
        <w:gridCol w:w="270"/>
        <w:gridCol w:w="777"/>
        <w:gridCol w:w="934"/>
        <w:gridCol w:w="1171"/>
      </w:tblGrid>
      <w:tr>
        <w:trPr>
          <w:trHeight w:val="508" w:hRule="atLeast"/>
        </w:trPr>
        <w:tc>
          <w:tcPr>
            <w:tcW w:w="1413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976" w:type="dxa"/>
            <w:vMerge w:val="restart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0"/>
              <w:rPr>
                <w:b/>
                <w:sz w:val="23"/>
              </w:rPr>
            </w:pPr>
          </w:p>
          <w:p>
            <w:pPr>
              <w:pStyle w:val="TableParagraph"/>
              <w:spacing w:line="259" w:lineRule="auto"/>
              <w:ind w:left="161" w:right="145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Powder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Mass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(grains)</w:t>
            </w:r>
          </w:p>
        </w:tc>
        <w:tc>
          <w:tcPr>
            <w:tcW w:w="1850" w:type="dxa"/>
            <w:gridSpan w:val="2"/>
            <w:tcBorders>
              <w:top w:val="single" w:sz="4" w:space="0" w:color="000000"/>
            </w:tcBorders>
          </w:tcPr>
          <w:p>
            <w:pPr>
              <w:pStyle w:val="TableParagraph"/>
              <w:spacing w:before="1"/>
              <w:rPr>
                <w:b/>
                <w:sz w:val="23"/>
              </w:rPr>
            </w:pPr>
          </w:p>
          <w:p>
            <w:pPr>
              <w:pStyle w:val="TableParagraph"/>
              <w:spacing w:line="223" w:lineRule="exact"/>
              <w:ind w:left="307"/>
              <w:rPr>
                <w:b/>
                <w:sz w:val="20"/>
              </w:rPr>
            </w:pPr>
            <w:r>
              <w:rPr>
                <w:b/>
                <w:sz w:val="20"/>
              </w:rPr>
              <w:t>Chrono-Based</w:t>
            </w:r>
          </w:p>
        </w:tc>
        <w:tc>
          <w:tcPr>
            <w:tcW w:w="1981" w:type="dxa"/>
            <w:gridSpan w:val="3"/>
            <w:tcBorders>
              <w:top w:val="single" w:sz="4" w:space="0" w:color="000000"/>
            </w:tcBorders>
          </w:tcPr>
          <w:p>
            <w:pPr>
              <w:pStyle w:val="TableParagraph"/>
              <w:spacing w:before="1"/>
              <w:rPr>
                <w:b/>
                <w:sz w:val="23"/>
              </w:rPr>
            </w:pPr>
          </w:p>
          <w:p>
            <w:pPr>
              <w:pStyle w:val="TableParagraph"/>
              <w:spacing w:line="223" w:lineRule="exact"/>
              <w:ind w:left="507"/>
              <w:rPr>
                <w:b/>
                <w:sz w:val="20"/>
              </w:rPr>
            </w:pPr>
            <w:r>
              <w:rPr>
                <w:b/>
                <w:sz w:val="20"/>
              </w:rPr>
              <w:t>Chrono-Based</w:t>
            </w:r>
          </w:p>
        </w:tc>
        <w:tc>
          <w:tcPr>
            <w:tcW w:w="1171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259" w:hRule="atLeast"/>
        </w:trPr>
        <w:tc>
          <w:tcPr>
            <w:tcW w:w="1413" w:type="dxa"/>
          </w:tcPr>
          <w:p>
            <w:pPr>
              <w:pStyle w:val="TableParagraph"/>
              <w:spacing w:before="5"/>
              <w:ind w:left="100" w:right="7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Shot</w:t>
            </w:r>
          </w:p>
        </w:tc>
        <w:tc>
          <w:tcPr>
            <w:tcW w:w="976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0" w:type="dxa"/>
            <w:tcBorders>
              <w:bottom w:val="single" w:sz="8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040" w:type="dxa"/>
            <w:tcBorders>
              <w:bottom w:val="single" w:sz="8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70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777" w:type="dxa"/>
            <w:tcBorders>
              <w:bottom w:val="single" w:sz="8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934" w:type="dxa"/>
            <w:tcBorders>
              <w:bottom w:val="single" w:sz="8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171" w:type="dxa"/>
          </w:tcPr>
          <w:p>
            <w:pPr>
              <w:pStyle w:val="TableParagraph"/>
              <w:spacing w:before="5"/>
              <w:ind w:left="179" w:right="18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DOP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(in)</w:t>
            </w:r>
          </w:p>
        </w:tc>
      </w:tr>
      <w:tr>
        <w:trPr>
          <w:trHeight w:val="496" w:hRule="atLeast"/>
        </w:trPr>
        <w:tc>
          <w:tcPr>
            <w:tcW w:w="1413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976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0" w:type="dxa"/>
            <w:tcBorders>
              <w:top w:val="single" w:sz="8" w:space="0" w:color="000000"/>
              <w:bottom w:val="single" w:sz="4" w:space="0" w:color="000000"/>
            </w:tcBorders>
          </w:tcPr>
          <w:p>
            <w:pPr>
              <w:pStyle w:val="TableParagraph"/>
              <w:spacing w:line="238" w:lineRule="exact"/>
              <w:ind w:left="190" w:right="211" w:firstLine="118"/>
              <w:rPr>
                <w:b/>
                <w:sz w:val="20"/>
              </w:rPr>
            </w:pPr>
            <w:r>
              <w:rPr>
                <w:b/>
                <w:position w:val="1"/>
                <w:sz w:val="20"/>
              </w:rPr>
              <w:t>v</w:t>
            </w:r>
            <w:r>
              <w:rPr>
                <w:b/>
                <w:sz w:val="13"/>
              </w:rPr>
              <w:t>s</w:t>
            </w:r>
            <w:r>
              <w:rPr>
                <w:b/>
                <w:spacing w:val="1"/>
                <w:sz w:val="13"/>
              </w:rPr>
              <w:t> </w:t>
            </w:r>
            <w:r>
              <w:rPr>
                <w:b/>
                <w:sz w:val="20"/>
              </w:rPr>
              <w:t>(fps)</w:t>
            </w:r>
          </w:p>
        </w:tc>
        <w:tc>
          <w:tcPr>
            <w:tcW w:w="1040" w:type="dxa"/>
            <w:tcBorders>
              <w:top w:val="single" w:sz="8" w:space="0" w:color="000000"/>
              <w:bottom w:val="single" w:sz="4" w:space="0" w:color="000000"/>
            </w:tcBorders>
          </w:tcPr>
          <w:p>
            <w:pPr>
              <w:pStyle w:val="TableParagraph"/>
              <w:spacing w:line="238" w:lineRule="exact"/>
              <w:ind w:left="282" w:right="304" w:firstLine="141"/>
              <w:rPr>
                <w:b/>
                <w:sz w:val="20"/>
              </w:rPr>
            </w:pPr>
            <w:r>
              <w:rPr>
                <w:b/>
                <w:position w:val="1"/>
                <w:sz w:val="20"/>
              </w:rPr>
              <w:t>v</w:t>
            </w:r>
            <w:r>
              <w:rPr>
                <w:b/>
                <w:sz w:val="13"/>
              </w:rPr>
              <w:t>s</w:t>
            </w:r>
            <w:r>
              <w:rPr>
                <w:b/>
                <w:spacing w:val="1"/>
                <w:sz w:val="13"/>
              </w:rPr>
              <w:t> </w:t>
            </w:r>
            <w:r>
              <w:rPr>
                <w:b/>
                <w:sz w:val="20"/>
              </w:rPr>
              <w:t>(m/s)</w:t>
            </w:r>
          </w:p>
        </w:tc>
        <w:tc>
          <w:tcPr>
            <w:tcW w:w="270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777" w:type="dxa"/>
            <w:tcBorders>
              <w:top w:val="single" w:sz="8" w:space="0" w:color="000000"/>
              <w:bottom w:val="single" w:sz="4" w:space="0" w:color="000000"/>
            </w:tcBorders>
          </w:tcPr>
          <w:p>
            <w:pPr>
              <w:pStyle w:val="TableParagraph"/>
              <w:spacing w:line="238" w:lineRule="exact"/>
              <w:ind w:left="165" w:right="203" w:firstLine="115"/>
              <w:rPr>
                <w:b/>
                <w:sz w:val="20"/>
              </w:rPr>
            </w:pPr>
            <w:r>
              <w:rPr>
                <w:b/>
                <w:position w:val="1"/>
                <w:sz w:val="20"/>
              </w:rPr>
              <w:t>v</w:t>
            </w:r>
            <w:r>
              <w:rPr>
                <w:b/>
                <w:sz w:val="13"/>
              </w:rPr>
              <w:t>r</w:t>
            </w:r>
            <w:r>
              <w:rPr>
                <w:b/>
                <w:spacing w:val="1"/>
                <w:sz w:val="13"/>
              </w:rPr>
              <w:t> </w:t>
            </w:r>
            <w:r>
              <w:rPr>
                <w:b/>
                <w:sz w:val="20"/>
              </w:rPr>
              <w:t>(fps)</w:t>
            </w:r>
          </w:p>
        </w:tc>
        <w:tc>
          <w:tcPr>
            <w:tcW w:w="934" w:type="dxa"/>
            <w:tcBorders>
              <w:top w:val="single" w:sz="8" w:space="0" w:color="000000"/>
              <w:bottom w:val="single" w:sz="4" w:space="0" w:color="000000"/>
            </w:tcBorders>
          </w:tcPr>
          <w:p>
            <w:pPr>
              <w:pStyle w:val="TableParagraph"/>
              <w:spacing w:line="238" w:lineRule="exact"/>
              <w:ind w:left="221" w:right="259" w:firstLine="136"/>
              <w:rPr>
                <w:b/>
                <w:sz w:val="20"/>
              </w:rPr>
            </w:pPr>
            <w:r>
              <w:rPr>
                <w:b/>
                <w:position w:val="1"/>
                <w:sz w:val="20"/>
              </w:rPr>
              <w:t>v</w:t>
            </w:r>
            <w:r>
              <w:rPr>
                <w:b/>
                <w:sz w:val="13"/>
              </w:rPr>
              <w:t>r</w:t>
            </w:r>
            <w:r>
              <w:rPr>
                <w:b/>
                <w:spacing w:val="1"/>
                <w:sz w:val="13"/>
              </w:rPr>
              <w:t> </w:t>
            </w:r>
            <w:r>
              <w:rPr>
                <w:b/>
                <w:sz w:val="20"/>
              </w:rPr>
              <w:t>(m/s)</w:t>
            </w:r>
          </w:p>
        </w:tc>
        <w:tc>
          <w:tcPr>
            <w:tcW w:w="1171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319" w:hRule="atLeast"/>
        </w:trPr>
        <w:tc>
          <w:tcPr>
            <w:tcW w:w="1413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50"/>
              <w:ind w:left="100" w:right="143"/>
              <w:jc w:val="center"/>
              <w:rPr>
                <w:sz w:val="20"/>
              </w:rPr>
            </w:pPr>
            <w:r>
              <w:rPr>
                <w:sz w:val="20"/>
              </w:rPr>
              <w:t>E-9P-2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1</w:t>
            </w:r>
          </w:p>
        </w:tc>
        <w:tc>
          <w:tcPr>
            <w:tcW w:w="976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50"/>
              <w:ind w:left="300" w:right="285"/>
              <w:jc w:val="center"/>
              <w:rPr>
                <w:sz w:val="20"/>
              </w:rPr>
            </w:pPr>
            <w:r>
              <w:rPr>
                <w:sz w:val="20"/>
              </w:rPr>
              <w:t>51.5</w:t>
            </w:r>
          </w:p>
        </w:tc>
        <w:tc>
          <w:tcPr>
            <w:tcW w:w="810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50"/>
              <w:ind w:left="184"/>
              <w:rPr>
                <w:sz w:val="20"/>
              </w:rPr>
            </w:pPr>
            <w:r>
              <w:rPr>
                <w:sz w:val="20"/>
              </w:rPr>
              <w:t>1445</w:t>
            </w:r>
          </w:p>
        </w:tc>
        <w:tc>
          <w:tcPr>
            <w:tcW w:w="1040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50"/>
              <w:ind w:left="225"/>
              <w:rPr>
                <w:sz w:val="20"/>
              </w:rPr>
            </w:pPr>
            <w:r>
              <w:rPr>
                <w:sz w:val="20"/>
              </w:rPr>
              <w:t>440.41</w:t>
            </w:r>
          </w:p>
        </w:tc>
        <w:tc>
          <w:tcPr>
            <w:tcW w:w="270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777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50"/>
              <w:ind w:left="292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934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50"/>
              <w:ind w:left="371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1171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50"/>
              <w:ind w:left="179" w:right="179"/>
              <w:jc w:val="center"/>
              <w:rPr>
                <w:sz w:val="20"/>
              </w:rPr>
            </w:pPr>
            <w:r>
              <w:rPr>
                <w:sz w:val="20"/>
              </w:rPr>
              <w:t>4.375</w:t>
            </w:r>
          </w:p>
        </w:tc>
      </w:tr>
      <w:tr>
        <w:trPr>
          <w:trHeight w:val="300" w:hRule="atLeast"/>
        </w:trPr>
        <w:tc>
          <w:tcPr>
            <w:tcW w:w="1413" w:type="dxa"/>
          </w:tcPr>
          <w:p>
            <w:pPr>
              <w:pStyle w:val="TableParagraph"/>
              <w:spacing w:before="31"/>
              <w:ind w:left="100" w:right="143"/>
              <w:jc w:val="center"/>
              <w:rPr>
                <w:sz w:val="20"/>
              </w:rPr>
            </w:pPr>
            <w:r>
              <w:rPr>
                <w:sz w:val="20"/>
              </w:rPr>
              <w:t>E-9P-2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2</w:t>
            </w:r>
          </w:p>
        </w:tc>
        <w:tc>
          <w:tcPr>
            <w:tcW w:w="976" w:type="dxa"/>
          </w:tcPr>
          <w:p>
            <w:pPr>
              <w:pStyle w:val="TableParagraph"/>
              <w:spacing w:before="31"/>
              <w:ind w:left="300" w:right="285"/>
              <w:jc w:val="center"/>
              <w:rPr>
                <w:sz w:val="20"/>
              </w:rPr>
            </w:pPr>
            <w:r>
              <w:rPr>
                <w:sz w:val="20"/>
              </w:rPr>
              <w:t>53.6</w:t>
            </w:r>
          </w:p>
        </w:tc>
        <w:tc>
          <w:tcPr>
            <w:tcW w:w="810" w:type="dxa"/>
          </w:tcPr>
          <w:p>
            <w:pPr>
              <w:pStyle w:val="TableParagraph"/>
              <w:spacing w:before="31"/>
              <w:ind w:left="184"/>
              <w:rPr>
                <w:sz w:val="20"/>
              </w:rPr>
            </w:pPr>
            <w:r>
              <w:rPr>
                <w:sz w:val="20"/>
              </w:rPr>
              <w:t>1479</w:t>
            </w:r>
          </w:p>
        </w:tc>
        <w:tc>
          <w:tcPr>
            <w:tcW w:w="1040" w:type="dxa"/>
          </w:tcPr>
          <w:p>
            <w:pPr>
              <w:pStyle w:val="TableParagraph"/>
              <w:spacing w:before="31"/>
              <w:ind w:left="225"/>
              <w:rPr>
                <w:sz w:val="20"/>
              </w:rPr>
            </w:pPr>
            <w:r>
              <w:rPr>
                <w:sz w:val="20"/>
              </w:rPr>
              <w:t>450.78</w:t>
            </w:r>
          </w:p>
        </w:tc>
        <w:tc>
          <w:tcPr>
            <w:tcW w:w="270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777" w:type="dxa"/>
          </w:tcPr>
          <w:p>
            <w:pPr>
              <w:pStyle w:val="TableParagraph"/>
              <w:spacing w:before="31"/>
              <w:ind w:left="292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934" w:type="dxa"/>
          </w:tcPr>
          <w:p>
            <w:pPr>
              <w:pStyle w:val="TableParagraph"/>
              <w:spacing w:before="31"/>
              <w:ind w:left="371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1171" w:type="dxa"/>
          </w:tcPr>
          <w:p>
            <w:pPr>
              <w:pStyle w:val="TableParagraph"/>
              <w:spacing w:before="31"/>
              <w:ind w:left="179" w:right="180"/>
              <w:jc w:val="center"/>
              <w:rPr>
                <w:sz w:val="20"/>
              </w:rPr>
            </w:pPr>
            <w:r>
              <w:rPr>
                <w:sz w:val="20"/>
              </w:rPr>
              <w:t>4.500</w:t>
            </w:r>
          </w:p>
        </w:tc>
      </w:tr>
      <w:tr>
        <w:trPr>
          <w:trHeight w:val="300" w:hRule="atLeast"/>
        </w:trPr>
        <w:tc>
          <w:tcPr>
            <w:tcW w:w="1413" w:type="dxa"/>
          </w:tcPr>
          <w:p>
            <w:pPr>
              <w:pStyle w:val="TableParagraph"/>
              <w:spacing w:before="31"/>
              <w:ind w:left="100" w:right="143"/>
              <w:jc w:val="center"/>
              <w:rPr>
                <w:sz w:val="20"/>
              </w:rPr>
            </w:pPr>
            <w:r>
              <w:rPr>
                <w:sz w:val="20"/>
              </w:rPr>
              <w:t>E-9P-2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3</w:t>
            </w:r>
          </w:p>
        </w:tc>
        <w:tc>
          <w:tcPr>
            <w:tcW w:w="976" w:type="dxa"/>
          </w:tcPr>
          <w:p>
            <w:pPr>
              <w:pStyle w:val="TableParagraph"/>
              <w:spacing w:before="31"/>
              <w:ind w:left="300" w:right="285"/>
              <w:jc w:val="center"/>
              <w:rPr>
                <w:sz w:val="20"/>
              </w:rPr>
            </w:pPr>
            <w:r>
              <w:rPr>
                <w:sz w:val="20"/>
              </w:rPr>
              <w:t>64.3</w:t>
            </w:r>
          </w:p>
        </w:tc>
        <w:tc>
          <w:tcPr>
            <w:tcW w:w="810" w:type="dxa"/>
          </w:tcPr>
          <w:p>
            <w:pPr>
              <w:pStyle w:val="TableParagraph"/>
              <w:spacing w:before="31"/>
              <w:ind w:left="184"/>
              <w:rPr>
                <w:sz w:val="20"/>
              </w:rPr>
            </w:pPr>
            <w:r>
              <w:rPr>
                <w:sz w:val="20"/>
              </w:rPr>
              <w:t>1765</w:t>
            </w:r>
          </w:p>
        </w:tc>
        <w:tc>
          <w:tcPr>
            <w:tcW w:w="1040" w:type="dxa"/>
          </w:tcPr>
          <w:p>
            <w:pPr>
              <w:pStyle w:val="TableParagraph"/>
              <w:spacing w:before="31"/>
              <w:ind w:left="225"/>
              <w:rPr>
                <w:sz w:val="20"/>
              </w:rPr>
            </w:pPr>
            <w:r>
              <w:rPr>
                <w:sz w:val="20"/>
              </w:rPr>
              <w:t>537.95</w:t>
            </w:r>
          </w:p>
        </w:tc>
        <w:tc>
          <w:tcPr>
            <w:tcW w:w="270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777" w:type="dxa"/>
          </w:tcPr>
          <w:p>
            <w:pPr>
              <w:pStyle w:val="TableParagraph"/>
              <w:spacing w:before="31"/>
              <w:ind w:left="292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934" w:type="dxa"/>
          </w:tcPr>
          <w:p>
            <w:pPr>
              <w:pStyle w:val="TableParagraph"/>
              <w:spacing w:before="31"/>
              <w:ind w:left="371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1171" w:type="dxa"/>
          </w:tcPr>
          <w:p>
            <w:pPr>
              <w:pStyle w:val="TableParagraph"/>
              <w:spacing w:before="31"/>
              <w:ind w:left="179" w:right="180"/>
              <w:jc w:val="center"/>
              <w:rPr>
                <w:sz w:val="20"/>
              </w:rPr>
            </w:pPr>
            <w:r>
              <w:rPr>
                <w:sz w:val="20"/>
              </w:rPr>
              <w:t>6.500</w:t>
            </w:r>
          </w:p>
        </w:tc>
      </w:tr>
      <w:tr>
        <w:trPr>
          <w:trHeight w:val="300" w:hRule="atLeast"/>
        </w:trPr>
        <w:tc>
          <w:tcPr>
            <w:tcW w:w="1413" w:type="dxa"/>
          </w:tcPr>
          <w:p>
            <w:pPr>
              <w:pStyle w:val="TableParagraph"/>
              <w:spacing w:before="31"/>
              <w:ind w:left="100" w:right="143"/>
              <w:jc w:val="center"/>
              <w:rPr>
                <w:sz w:val="20"/>
              </w:rPr>
            </w:pPr>
            <w:r>
              <w:rPr>
                <w:sz w:val="20"/>
              </w:rPr>
              <w:t>E-9P-2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4</w:t>
            </w:r>
          </w:p>
        </w:tc>
        <w:tc>
          <w:tcPr>
            <w:tcW w:w="976" w:type="dxa"/>
          </w:tcPr>
          <w:p>
            <w:pPr>
              <w:pStyle w:val="TableParagraph"/>
              <w:spacing w:before="31"/>
              <w:ind w:left="300" w:right="285"/>
              <w:jc w:val="center"/>
              <w:rPr>
                <w:sz w:val="20"/>
              </w:rPr>
            </w:pPr>
            <w:r>
              <w:rPr>
                <w:sz w:val="20"/>
              </w:rPr>
              <w:t>66.5</w:t>
            </w:r>
          </w:p>
        </w:tc>
        <w:tc>
          <w:tcPr>
            <w:tcW w:w="810" w:type="dxa"/>
          </w:tcPr>
          <w:p>
            <w:pPr>
              <w:pStyle w:val="TableParagraph"/>
              <w:spacing w:before="31"/>
              <w:ind w:left="184"/>
              <w:rPr>
                <w:sz w:val="20"/>
              </w:rPr>
            </w:pPr>
            <w:r>
              <w:rPr>
                <w:sz w:val="20"/>
              </w:rPr>
              <w:t>1821</w:t>
            </w:r>
          </w:p>
        </w:tc>
        <w:tc>
          <w:tcPr>
            <w:tcW w:w="1040" w:type="dxa"/>
          </w:tcPr>
          <w:p>
            <w:pPr>
              <w:pStyle w:val="TableParagraph"/>
              <w:spacing w:before="31"/>
              <w:ind w:left="225"/>
              <w:rPr>
                <w:sz w:val="20"/>
              </w:rPr>
            </w:pPr>
            <w:r>
              <w:rPr>
                <w:sz w:val="20"/>
              </w:rPr>
              <w:t>555.01</w:t>
            </w:r>
          </w:p>
        </w:tc>
        <w:tc>
          <w:tcPr>
            <w:tcW w:w="270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777" w:type="dxa"/>
          </w:tcPr>
          <w:p>
            <w:pPr>
              <w:pStyle w:val="TableParagraph"/>
              <w:spacing w:before="31"/>
              <w:ind w:left="292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934" w:type="dxa"/>
          </w:tcPr>
          <w:p>
            <w:pPr>
              <w:pStyle w:val="TableParagraph"/>
              <w:spacing w:before="31"/>
              <w:ind w:left="371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1171" w:type="dxa"/>
          </w:tcPr>
          <w:p>
            <w:pPr>
              <w:pStyle w:val="TableParagraph"/>
              <w:spacing w:before="31"/>
              <w:ind w:left="179" w:right="179"/>
              <w:jc w:val="center"/>
              <w:rPr>
                <w:sz w:val="20"/>
              </w:rPr>
            </w:pPr>
            <w:r>
              <w:rPr>
                <w:sz w:val="20"/>
              </w:rPr>
              <w:t>6.750</w:t>
            </w:r>
          </w:p>
        </w:tc>
      </w:tr>
      <w:tr>
        <w:trPr>
          <w:trHeight w:val="300" w:hRule="atLeast"/>
        </w:trPr>
        <w:tc>
          <w:tcPr>
            <w:tcW w:w="1413" w:type="dxa"/>
          </w:tcPr>
          <w:p>
            <w:pPr>
              <w:pStyle w:val="TableParagraph"/>
              <w:spacing w:before="31"/>
              <w:ind w:left="100" w:right="143"/>
              <w:jc w:val="center"/>
              <w:rPr>
                <w:sz w:val="20"/>
              </w:rPr>
            </w:pPr>
            <w:r>
              <w:rPr>
                <w:sz w:val="20"/>
              </w:rPr>
              <w:t>E-9P-2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5</w:t>
            </w:r>
          </w:p>
        </w:tc>
        <w:tc>
          <w:tcPr>
            <w:tcW w:w="976" w:type="dxa"/>
          </w:tcPr>
          <w:p>
            <w:pPr>
              <w:pStyle w:val="TableParagraph"/>
              <w:spacing w:before="31"/>
              <w:ind w:left="300" w:right="285"/>
              <w:jc w:val="center"/>
              <w:rPr>
                <w:sz w:val="20"/>
              </w:rPr>
            </w:pPr>
            <w:r>
              <w:rPr>
                <w:sz w:val="20"/>
              </w:rPr>
              <w:t>83.5</w:t>
            </w:r>
          </w:p>
        </w:tc>
        <w:tc>
          <w:tcPr>
            <w:tcW w:w="810" w:type="dxa"/>
          </w:tcPr>
          <w:p>
            <w:pPr>
              <w:pStyle w:val="TableParagraph"/>
              <w:spacing w:before="31"/>
              <w:ind w:left="184"/>
              <w:rPr>
                <w:sz w:val="20"/>
              </w:rPr>
            </w:pPr>
            <w:r>
              <w:rPr>
                <w:sz w:val="20"/>
              </w:rPr>
              <w:t>2188</w:t>
            </w:r>
          </w:p>
        </w:tc>
        <w:tc>
          <w:tcPr>
            <w:tcW w:w="1040" w:type="dxa"/>
          </w:tcPr>
          <w:p>
            <w:pPr>
              <w:pStyle w:val="TableParagraph"/>
              <w:spacing w:before="31"/>
              <w:ind w:left="225"/>
              <w:rPr>
                <w:sz w:val="20"/>
              </w:rPr>
            </w:pPr>
            <w:r>
              <w:rPr>
                <w:sz w:val="20"/>
              </w:rPr>
              <w:t>666.87</w:t>
            </w:r>
          </w:p>
        </w:tc>
        <w:tc>
          <w:tcPr>
            <w:tcW w:w="270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777" w:type="dxa"/>
          </w:tcPr>
          <w:p>
            <w:pPr>
              <w:pStyle w:val="TableParagraph"/>
              <w:spacing w:before="31"/>
              <w:ind w:left="292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934" w:type="dxa"/>
          </w:tcPr>
          <w:p>
            <w:pPr>
              <w:pStyle w:val="TableParagraph"/>
              <w:spacing w:before="31"/>
              <w:ind w:left="371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1171" w:type="dxa"/>
          </w:tcPr>
          <w:p>
            <w:pPr>
              <w:pStyle w:val="TableParagraph"/>
              <w:spacing w:before="31"/>
              <w:ind w:left="179" w:right="179"/>
              <w:jc w:val="center"/>
              <w:rPr>
                <w:sz w:val="20"/>
              </w:rPr>
            </w:pPr>
            <w:r>
              <w:rPr>
                <w:sz w:val="20"/>
              </w:rPr>
              <w:t>8.625</w:t>
            </w:r>
          </w:p>
        </w:tc>
      </w:tr>
      <w:tr>
        <w:trPr>
          <w:trHeight w:val="300" w:hRule="atLeast"/>
        </w:trPr>
        <w:tc>
          <w:tcPr>
            <w:tcW w:w="1413" w:type="dxa"/>
          </w:tcPr>
          <w:p>
            <w:pPr>
              <w:pStyle w:val="TableParagraph"/>
              <w:spacing w:before="31"/>
              <w:ind w:left="100" w:right="143"/>
              <w:jc w:val="center"/>
              <w:rPr>
                <w:sz w:val="20"/>
              </w:rPr>
            </w:pPr>
            <w:r>
              <w:rPr>
                <w:sz w:val="20"/>
              </w:rPr>
              <w:t>E-9P-2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6</w:t>
            </w:r>
          </w:p>
        </w:tc>
        <w:tc>
          <w:tcPr>
            <w:tcW w:w="976" w:type="dxa"/>
          </w:tcPr>
          <w:p>
            <w:pPr>
              <w:pStyle w:val="TableParagraph"/>
              <w:spacing w:before="31"/>
              <w:ind w:left="300" w:right="285"/>
              <w:jc w:val="center"/>
              <w:rPr>
                <w:sz w:val="20"/>
              </w:rPr>
            </w:pPr>
            <w:r>
              <w:rPr>
                <w:sz w:val="20"/>
              </w:rPr>
              <w:t>78</w:t>
            </w:r>
          </w:p>
        </w:tc>
        <w:tc>
          <w:tcPr>
            <w:tcW w:w="810" w:type="dxa"/>
          </w:tcPr>
          <w:p>
            <w:pPr>
              <w:pStyle w:val="TableParagraph"/>
              <w:spacing w:before="31"/>
              <w:ind w:left="184"/>
              <w:rPr>
                <w:sz w:val="20"/>
              </w:rPr>
            </w:pPr>
            <w:r>
              <w:rPr>
                <w:sz w:val="20"/>
              </w:rPr>
              <w:t>2071</w:t>
            </w:r>
          </w:p>
        </w:tc>
        <w:tc>
          <w:tcPr>
            <w:tcW w:w="1040" w:type="dxa"/>
          </w:tcPr>
          <w:p>
            <w:pPr>
              <w:pStyle w:val="TableParagraph"/>
              <w:spacing w:before="31"/>
              <w:ind w:left="225"/>
              <w:rPr>
                <w:sz w:val="20"/>
              </w:rPr>
            </w:pPr>
            <w:r>
              <w:rPr>
                <w:sz w:val="20"/>
              </w:rPr>
              <w:t>631.21</w:t>
            </w:r>
          </w:p>
        </w:tc>
        <w:tc>
          <w:tcPr>
            <w:tcW w:w="270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777" w:type="dxa"/>
          </w:tcPr>
          <w:p>
            <w:pPr>
              <w:pStyle w:val="TableParagraph"/>
              <w:spacing w:before="31"/>
              <w:ind w:left="292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934" w:type="dxa"/>
          </w:tcPr>
          <w:p>
            <w:pPr>
              <w:pStyle w:val="TableParagraph"/>
              <w:spacing w:before="31"/>
              <w:ind w:left="371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1171" w:type="dxa"/>
          </w:tcPr>
          <w:p>
            <w:pPr>
              <w:pStyle w:val="TableParagraph"/>
              <w:spacing w:before="31"/>
              <w:ind w:left="179" w:right="180"/>
              <w:jc w:val="center"/>
              <w:rPr>
                <w:sz w:val="20"/>
              </w:rPr>
            </w:pPr>
            <w:r>
              <w:rPr>
                <w:sz w:val="20"/>
              </w:rPr>
              <w:t>7.500</w:t>
            </w:r>
          </w:p>
        </w:tc>
      </w:tr>
      <w:tr>
        <w:trPr>
          <w:trHeight w:val="300" w:hRule="atLeast"/>
        </w:trPr>
        <w:tc>
          <w:tcPr>
            <w:tcW w:w="1413" w:type="dxa"/>
          </w:tcPr>
          <w:p>
            <w:pPr>
              <w:pStyle w:val="TableParagraph"/>
              <w:spacing w:before="31"/>
              <w:ind w:left="100" w:right="143"/>
              <w:jc w:val="center"/>
              <w:rPr>
                <w:sz w:val="20"/>
              </w:rPr>
            </w:pPr>
            <w:r>
              <w:rPr>
                <w:sz w:val="20"/>
              </w:rPr>
              <w:t>E-9P-2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7</w:t>
            </w:r>
          </w:p>
        </w:tc>
        <w:tc>
          <w:tcPr>
            <w:tcW w:w="976" w:type="dxa"/>
          </w:tcPr>
          <w:p>
            <w:pPr>
              <w:pStyle w:val="TableParagraph"/>
              <w:spacing w:before="31"/>
              <w:ind w:left="300" w:right="285"/>
              <w:jc w:val="center"/>
              <w:rPr>
                <w:sz w:val="20"/>
              </w:rPr>
            </w:pPr>
            <w:r>
              <w:rPr>
                <w:sz w:val="20"/>
              </w:rPr>
              <w:t>60</w:t>
            </w:r>
          </w:p>
        </w:tc>
        <w:tc>
          <w:tcPr>
            <w:tcW w:w="810" w:type="dxa"/>
          </w:tcPr>
          <w:p>
            <w:pPr>
              <w:pStyle w:val="TableParagraph"/>
              <w:spacing w:before="31"/>
              <w:ind w:left="184"/>
              <w:rPr>
                <w:sz w:val="20"/>
              </w:rPr>
            </w:pPr>
            <w:r>
              <w:rPr>
                <w:sz w:val="20"/>
              </w:rPr>
              <w:t>1631</w:t>
            </w:r>
          </w:p>
        </w:tc>
        <w:tc>
          <w:tcPr>
            <w:tcW w:w="1040" w:type="dxa"/>
          </w:tcPr>
          <w:p>
            <w:pPr>
              <w:pStyle w:val="TableParagraph"/>
              <w:spacing w:before="31"/>
              <w:ind w:left="225"/>
              <w:rPr>
                <w:sz w:val="20"/>
              </w:rPr>
            </w:pPr>
            <w:r>
              <w:rPr>
                <w:sz w:val="20"/>
              </w:rPr>
              <w:t>497.10</w:t>
            </w:r>
          </w:p>
        </w:tc>
        <w:tc>
          <w:tcPr>
            <w:tcW w:w="270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777" w:type="dxa"/>
          </w:tcPr>
          <w:p>
            <w:pPr>
              <w:pStyle w:val="TableParagraph"/>
              <w:spacing w:before="31"/>
              <w:ind w:left="292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934" w:type="dxa"/>
          </w:tcPr>
          <w:p>
            <w:pPr>
              <w:pStyle w:val="TableParagraph"/>
              <w:spacing w:before="31"/>
              <w:ind w:left="371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1171" w:type="dxa"/>
          </w:tcPr>
          <w:p>
            <w:pPr>
              <w:pStyle w:val="TableParagraph"/>
              <w:spacing w:before="31"/>
              <w:ind w:left="179" w:right="179"/>
              <w:jc w:val="center"/>
              <w:rPr>
                <w:sz w:val="20"/>
              </w:rPr>
            </w:pPr>
            <w:r>
              <w:rPr>
                <w:sz w:val="20"/>
              </w:rPr>
              <w:t>5.375</w:t>
            </w:r>
          </w:p>
        </w:tc>
      </w:tr>
      <w:tr>
        <w:trPr>
          <w:trHeight w:val="300" w:hRule="atLeast"/>
        </w:trPr>
        <w:tc>
          <w:tcPr>
            <w:tcW w:w="1413" w:type="dxa"/>
          </w:tcPr>
          <w:p>
            <w:pPr>
              <w:pStyle w:val="TableParagraph"/>
              <w:spacing w:before="31"/>
              <w:ind w:left="100" w:right="143"/>
              <w:jc w:val="center"/>
              <w:rPr>
                <w:sz w:val="20"/>
              </w:rPr>
            </w:pPr>
            <w:r>
              <w:rPr>
                <w:sz w:val="20"/>
              </w:rPr>
              <w:t>E-9P-2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8</w:t>
            </w:r>
          </w:p>
        </w:tc>
        <w:tc>
          <w:tcPr>
            <w:tcW w:w="976" w:type="dxa"/>
          </w:tcPr>
          <w:p>
            <w:pPr>
              <w:pStyle w:val="TableParagraph"/>
              <w:spacing w:before="31"/>
              <w:ind w:left="300" w:right="285"/>
              <w:jc w:val="center"/>
              <w:rPr>
                <w:sz w:val="20"/>
              </w:rPr>
            </w:pPr>
            <w:r>
              <w:rPr>
                <w:sz w:val="20"/>
              </w:rPr>
              <w:t>61.8</w:t>
            </w:r>
          </w:p>
        </w:tc>
        <w:tc>
          <w:tcPr>
            <w:tcW w:w="810" w:type="dxa"/>
          </w:tcPr>
          <w:p>
            <w:pPr>
              <w:pStyle w:val="TableParagraph"/>
              <w:spacing w:before="31"/>
              <w:ind w:left="184"/>
              <w:rPr>
                <w:sz w:val="20"/>
              </w:rPr>
            </w:pPr>
            <w:r>
              <w:rPr>
                <w:sz w:val="20"/>
              </w:rPr>
              <w:t>1689</w:t>
            </w:r>
          </w:p>
        </w:tc>
        <w:tc>
          <w:tcPr>
            <w:tcW w:w="1040" w:type="dxa"/>
          </w:tcPr>
          <w:p>
            <w:pPr>
              <w:pStyle w:val="TableParagraph"/>
              <w:spacing w:before="31"/>
              <w:ind w:left="225"/>
              <w:rPr>
                <w:sz w:val="20"/>
              </w:rPr>
            </w:pPr>
            <w:r>
              <w:rPr>
                <w:sz w:val="20"/>
              </w:rPr>
              <w:t>514.78</w:t>
            </w:r>
          </w:p>
        </w:tc>
        <w:tc>
          <w:tcPr>
            <w:tcW w:w="270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777" w:type="dxa"/>
          </w:tcPr>
          <w:p>
            <w:pPr>
              <w:pStyle w:val="TableParagraph"/>
              <w:spacing w:before="31"/>
              <w:ind w:left="292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934" w:type="dxa"/>
          </w:tcPr>
          <w:p>
            <w:pPr>
              <w:pStyle w:val="TableParagraph"/>
              <w:spacing w:before="31"/>
              <w:ind w:left="371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1171" w:type="dxa"/>
          </w:tcPr>
          <w:p>
            <w:pPr>
              <w:pStyle w:val="TableParagraph"/>
              <w:spacing w:before="31"/>
              <w:ind w:left="179" w:right="179"/>
              <w:jc w:val="center"/>
              <w:rPr>
                <w:sz w:val="20"/>
              </w:rPr>
            </w:pPr>
            <w:r>
              <w:rPr>
                <w:sz w:val="20"/>
              </w:rPr>
              <w:t>6.250</w:t>
            </w:r>
          </w:p>
        </w:tc>
      </w:tr>
      <w:tr>
        <w:trPr>
          <w:trHeight w:val="281" w:hRule="atLeast"/>
        </w:trPr>
        <w:tc>
          <w:tcPr>
            <w:tcW w:w="1413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1"/>
              <w:ind w:left="100" w:right="143"/>
              <w:jc w:val="center"/>
              <w:rPr>
                <w:sz w:val="20"/>
              </w:rPr>
            </w:pPr>
            <w:r>
              <w:rPr>
                <w:sz w:val="20"/>
              </w:rPr>
              <w:t>E-9P-2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9</w:t>
            </w:r>
          </w:p>
        </w:tc>
        <w:tc>
          <w:tcPr>
            <w:tcW w:w="97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1"/>
              <w:ind w:left="300" w:right="285"/>
              <w:jc w:val="center"/>
              <w:rPr>
                <w:sz w:val="20"/>
              </w:rPr>
            </w:pPr>
            <w:r>
              <w:rPr>
                <w:sz w:val="20"/>
              </w:rPr>
              <w:t>55</w:t>
            </w:r>
          </w:p>
        </w:tc>
        <w:tc>
          <w:tcPr>
            <w:tcW w:w="81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1"/>
              <w:ind w:left="184"/>
              <w:rPr>
                <w:sz w:val="20"/>
              </w:rPr>
            </w:pPr>
            <w:r>
              <w:rPr>
                <w:sz w:val="20"/>
              </w:rPr>
              <w:t>1555</w:t>
            </w:r>
          </w:p>
        </w:tc>
        <w:tc>
          <w:tcPr>
            <w:tcW w:w="104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1"/>
              <w:ind w:left="225"/>
              <w:rPr>
                <w:sz w:val="20"/>
              </w:rPr>
            </w:pPr>
            <w:r>
              <w:rPr>
                <w:sz w:val="20"/>
              </w:rPr>
              <w:t>473.94</w:t>
            </w:r>
          </w:p>
        </w:tc>
        <w:tc>
          <w:tcPr>
            <w:tcW w:w="270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77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1"/>
              <w:ind w:left="292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93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1"/>
              <w:ind w:left="371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1171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1"/>
              <w:ind w:left="179" w:right="180"/>
              <w:jc w:val="center"/>
              <w:rPr>
                <w:sz w:val="20"/>
              </w:rPr>
            </w:pPr>
            <w:r>
              <w:rPr>
                <w:sz w:val="20"/>
              </w:rPr>
              <w:t>5.500</w:t>
            </w:r>
          </w:p>
        </w:tc>
      </w:tr>
    </w:tbl>
    <w:p>
      <w:pPr>
        <w:spacing w:after="0"/>
        <w:jc w:val="center"/>
        <w:rPr>
          <w:sz w:val="20"/>
        </w:rPr>
        <w:sectPr>
          <w:pgSz w:w="12240" w:h="15840"/>
          <w:pgMar w:header="0" w:footer="1064" w:top="1380" w:bottom="1260" w:left="440" w:right="880"/>
        </w:sectPr>
      </w:pPr>
    </w:p>
    <w:p>
      <w:pPr>
        <w:spacing w:before="70"/>
        <w:ind w:left="0" w:right="2610" w:firstLine="0"/>
        <w:jc w:val="right"/>
        <w:rPr>
          <w:b/>
          <w:sz w:val="20"/>
        </w:rPr>
      </w:pPr>
      <w:r>
        <w:rPr/>
        <w:pict>
          <v:shape style="position:absolute;margin-left:139.050003pt;margin-top:26.995911pt;width:369.45pt;height:201.25pt;mso-position-horizontal-relative:page;mso-position-vertical-relative:paragraph;z-index:1591449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413"/>
                    <w:gridCol w:w="995"/>
                    <w:gridCol w:w="769"/>
                    <w:gridCol w:w="1103"/>
                    <w:gridCol w:w="985"/>
                    <w:gridCol w:w="998"/>
                    <w:gridCol w:w="1130"/>
                  </w:tblGrid>
                  <w:tr>
                    <w:trPr>
                      <w:trHeight w:val="508" w:hRule="atLeast"/>
                    </w:trPr>
                    <w:tc>
                      <w:tcPr>
                        <w:tcW w:w="1413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95" w:type="dxa"/>
                        <w:vMerge w:val="restart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0"/>
                          <w:rPr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59" w:lineRule="auto"/>
                          <w:ind w:left="161" w:right="164" w:hanging="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Powder</w:t>
                        </w:r>
                        <w:r>
                          <w:rPr>
                            <w:b/>
                            <w:spacing w:val="-47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Mass</w:t>
                        </w:r>
                        <w:r>
                          <w:rPr>
                            <w:b/>
                            <w:spacing w:val="1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(grains)</w:t>
                        </w:r>
                      </w:p>
                    </w:tc>
                    <w:tc>
                      <w:tcPr>
                        <w:tcW w:w="1872" w:type="dxa"/>
                        <w:gridSpan w:val="2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"/>
                          <w:rPr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23" w:lineRule="exact"/>
                          <w:ind w:left="243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Chrono-Based</w:t>
                        </w:r>
                      </w:p>
                    </w:tc>
                    <w:tc>
                      <w:tcPr>
                        <w:tcW w:w="1983" w:type="dxa"/>
                        <w:gridSpan w:val="2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"/>
                          <w:rPr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23" w:lineRule="exact"/>
                          <w:ind w:left="421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Chrono-Based</w:t>
                        </w:r>
                      </w:p>
                    </w:tc>
                    <w:tc>
                      <w:tcPr>
                        <w:tcW w:w="1130" w:type="dxa"/>
                        <w:vMerge w:val="restart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47"/>
                          <w:ind w:left="295" w:right="34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DOP</w:t>
                        </w:r>
                      </w:p>
                      <w:p>
                        <w:pPr>
                          <w:pStyle w:val="TableParagraph"/>
                          <w:spacing w:before="18"/>
                          <w:ind w:left="294" w:right="34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(in)</w:t>
                        </w:r>
                      </w:p>
                    </w:tc>
                  </w:tr>
                  <w:tr>
                    <w:trPr>
                      <w:trHeight w:val="256" w:hRule="atLeast"/>
                    </w:trPr>
                    <w:tc>
                      <w:tcPr>
                        <w:tcW w:w="1413" w:type="dxa"/>
                      </w:tcPr>
                      <w:p>
                        <w:pPr>
                          <w:pStyle w:val="TableParagraph"/>
                          <w:spacing w:before="5"/>
                          <w:ind w:left="100" w:right="77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Shot</w:t>
                        </w:r>
                      </w:p>
                    </w:tc>
                    <w:tc>
                      <w:tcPr>
                        <w:tcW w:w="995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69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103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85" w:type="dxa"/>
                      </w:tcPr>
                      <w:p>
                        <w:pPr>
                          <w:pStyle w:val="TableParagraph"/>
                          <w:tabs>
                            <w:tab w:pos="1938" w:val="left" w:leader="none"/>
                          </w:tabs>
                          <w:spacing w:before="5"/>
                          <w:ind w:left="138" w:right="-96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100"/>
                            <w:sz w:val="20"/>
                            <w:u w:val="single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  <w:u w:val="single"/>
                          </w:rPr>
                          <w:tab/>
                        </w:r>
                      </w:p>
                    </w:tc>
                    <w:tc>
                      <w:tcPr>
                        <w:tcW w:w="998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130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509" w:hRule="atLeast"/>
                    </w:trPr>
                    <w:tc>
                      <w:tcPr>
                        <w:tcW w:w="1413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95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69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171" w:right="189" w:firstLine="11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s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(fps)</w:t>
                        </w:r>
                      </w:p>
                    </w:tc>
                    <w:tc>
                      <w:tcPr>
                        <w:tcW w:w="1103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260" w:right="389" w:firstLine="140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s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(m/s)</w:t>
                        </w:r>
                      </w:p>
                    </w:tc>
                    <w:tc>
                      <w:tcPr>
                        <w:tcW w:w="985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348" w:right="228" w:firstLine="11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r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(fps)</w:t>
                        </w:r>
                      </w:p>
                    </w:tc>
                    <w:tc>
                      <w:tcPr>
                        <w:tcW w:w="998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242" w:right="302" w:firstLine="13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r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(m/s)</w:t>
                        </w:r>
                      </w:p>
                    </w:tc>
                    <w:tc>
                      <w:tcPr>
                        <w:tcW w:w="1130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318" w:hRule="atLeast"/>
                    </w:trPr>
                    <w:tc>
                      <w:tcPr>
                        <w:tcW w:w="1413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00" w:right="14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E-9P-4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995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251" w:right="25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92</w:t>
                        </w:r>
                      </w:p>
                    </w:tc>
                    <w:tc>
                      <w:tcPr>
                        <w:tcW w:w="769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46" w:right="18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2388</w:t>
                        </w:r>
                      </w:p>
                    </w:tc>
                    <w:tc>
                      <w:tcPr>
                        <w:tcW w:w="1103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20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727.83</w:t>
                        </w:r>
                      </w:p>
                    </w:tc>
                    <w:tc>
                      <w:tcPr>
                        <w:tcW w:w="985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457" w:right="35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98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39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130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296" w:right="34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8.500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413" w:type="dxa"/>
                      </w:tcPr>
                      <w:p>
                        <w:pPr>
                          <w:pStyle w:val="TableParagraph"/>
                          <w:spacing w:before="31"/>
                          <w:ind w:left="100" w:right="14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E-9P-4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w="995" w:type="dxa"/>
                      </w:tcPr>
                      <w:p>
                        <w:pPr>
                          <w:pStyle w:val="TableParagraph"/>
                          <w:spacing w:before="31"/>
                          <w:ind w:left="251" w:right="25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88.5</w:t>
                        </w:r>
                      </w:p>
                    </w:tc>
                    <w:tc>
                      <w:tcPr>
                        <w:tcW w:w="769" w:type="dxa"/>
                      </w:tcPr>
                      <w:p>
                        <w:pPr>
                          <w:pStyle w:val="TableParagraph"/>
                          <w:spacing w:before="31"/>
                          <w:ind w:left="146" w:right="18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2291</w:t>
                        </w:r>
                      </w:p>
                    </w:tc>
                    <w:tc>
                      <w:tcPr>
                        <w:tcW w:w="1103" w:type="dxa"/>
                      </w:tcPr>
                      <w:p>
                        <w:pPr>
                          <w:pStyle w:val="TableParagraph"/>
                          <w:spacing w:before="31"/>
                          <w:ind w:left="20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698.26</w:t>
                        </w:r>
                      </w:p>
                    </w:tc>
                    <w:tc>
                      <w:tcPr>
                        <w:tcW w:w="985" w:type="dxa"/>
                      </w:tcPr>
                      <w:p>
                        <w:pPr>
                          <w:pStyle w:val="TableParagraph"/>
                          <w:spacing w:before="31"/>
                          <w:ind w:left="457" w:right="35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98" w:type="dxa"/>
                      </w:tcPr>
                      <w:p>
                        <w:pPr>
                          <w:pStyle w:val="TableParagraph"/>
                          <w:spacing w:before="31"/>
                          <w:ind w:left="39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130" w:type="dxa"/>
                      </w:tcPr>
                      <w:p>
                        <w:pPr>
                          <w:pStyle w:val="TableParagraph"/>
                          <w:spacing w:before="31"/>
                          <w:ind w:left="297" w:right="34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8.000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413" w:type="dxa"/>
                      </w:tcPr>
                      <w:p>
                        <w:pPr>
                          <w:pStyle w:val="TableParagraph"/>
                          <w:spacing w:before="31"/>
                          <w:ind w:left="100" w:right="14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E-9P-4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3</w:t>
                        </w:r>
                      </w:p>
                    </w:tc>
                    <w:tc>
                      <w:tcPr>
                        <w:tcW w:w="995" w:type="dxa"/>
                      </w:tcPr>
                      <w:p>
                        <w:pPr>
                          <w:pStyle w:val="TableParagraph"/>
                          <w:spacing w:before="31"/>
                          <w:ind w:left="251" w:right="25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99</w:t>
                        </w:r>
                      </w:p>
                    </w:tc>
                    <w:tc>
                      <w:tcPr>
                        <w:tcW w:w="769" w:type="dxa"/>
                      </w:tcPr>
                      <w:p>
                        <w:pPr>
                          <w:pStyle w:val="TableParagraph"/>
                          <w:spacing w:before="31"/>
                          <w:ind w:left="146" w:right="18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2483</w:t>
                        </w:r>
                      </w:p>
                    </w:tc>
                    <w:tc>
                      <w:tcPr>
                        <w:tcW w:w="1103" w:type="dxa"/>
                      </w:tcPr>
                      <w:p>
                        <w:pPr>
                          <w:pStyle w:val="TableParagraph"/>
                          <w:spacing w:before="31"/>
                          <w:ind w:left="20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756.78</w:t>
                        </w:r>
                      </w:p>
                    </w:tc>
                    <w:tc>
                      <w:tcPr>
                        <w:tcW w:w="985" w:type="dxa"/>
                      </w:tcPr>
                      <w:p>
                        <w:pPr>
                          <w:pStyle w:val="TableParagraph"/>
                          <w:spacing w:before="31"/>
                          <w:ind w:left="457" w:right="35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98" w:type="dxa"/>
                      </w:tcPr>
                      <w:p>
                        <w:pPr>
                          <w:pStyle w:val="TableParagraph"/>
                          <w:spacing w:before="31"/>
                          <w:ind w:left="39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130" w:type="dxa"/>
                      </w:tcPr>
                      <w:p>
                        <w:pPr>
                          <w:pStyle w:val="TableParagraph"/>
                          <w:spacing w:before="31"/>
                          <w:ind w:left="297" w:right="34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8.875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413" w:type="dxa"/>
                      </w:tcPr>
                      <w:p>
                        <w:pPr>
                          <w:pStyle w:val="TableParagraph"/>
                          <w:spacing w:before="31"/>
                          <w:ind w:left="100" w:right="14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E-9P-4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4</w:t>
                        </w:r>
                      </w:p>
                    </w:tc>
                    <w:tc>
                      <w:tcPr>
                        <w:tcW w:w="995" w:type="dxa"/>
                      </w:tcPr>
                      <w:p>
                        <w:pPr>
                          <w:pStyle w:val="TableParagraph"/>
                          <w:spacing w:before="31"/>
                          <w:ind w:left="251" w:right="25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105.5</w:t>
                        </w:r>
                      </w:p>
                    </w:tc>
                    <w:tc>
                      <w:tcPr>
                        <w:tcW w:w="769" w:type="dxa"/>
                      </w:tcPr>
                      <w:p>
                        <w:pPr>
                          <w:pStyle w:val="TableParagraph"/>
                          <w:spacing w:before="31"/>
                          <w:ind w:left="146" w:right="18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2533</w:t>
                        </w:r>
                      </w:p>
                    </w:tc>
                    <w:tc>
                      <w:tcPr>
                        <w:tcW w:w="1103" w:type="dxa"/>
                      </w:tcPr>
                      <w:p>
                        <w:pPr>
                          <w:pStyle w:val="TableParagraph"/>
                          <w:spacing w:before="31"/>
                          <w:ind w:left="20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772.02</w:t>
                        </w:r>
                      </w:p>
                    </w:tc>
                    <w:tc>
                      <w:tcPr>
                        <w:tcW w:w="985" w:type="dxa"/>
                      </w:tcPr>
                      <w:p>
                        <w:pPr>
                          <w:pStyle w:val="TableParagraph"/>
                          <w:spacing w:before="31"/>
                          <w:ind w:left="457" w:right="35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98" w:type="dxa"/>
                      </w:tcPr>
                      <w:p>
                        <w:pPr>
                          <w:pStyle w:val="TableParagraph"/>
                          <w:spacing w:before="31"/>
                          <w:ind w:left="39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130" w:type="dxa"/>
                      </w:tcPr>
                      <w:p>
                        <w:pPr>
                          <w:pStyle w:val="TableParagraph"/>
                          <w:spacing w:before="31"/>
                          <w:ind w:left="297" w:right="34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9.125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413" w:type="dxa"/>
                      </w:tcPr>
                      <w:p>
                        <w:pPr>
                          <w:pStyle w:val="TableParagraph"/>
                          <w:spacing w:before="31"/>
                          <w:ind w:left="100" w:right="14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E-9P-4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5</w:t>
                        </w:r>
                      </w:p>
                    </w:tc>
                    <w:tc>
                      <w:tcPr>
                        <w:tcW w:w="995" w:type="dxa"/>
                      </w:tcPr>
                      <w:p>
                        <w:pPr>
                          <w:pStyle w:val="TableParagraph"/>
                          <w:spacing w:before="31"/>
                          <w:ind w:left="251" w:right="25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118</w:t>
                        </w:r>
                      </w:p>
                    </w:tc>
                    <w:tc>
                      <w:tcPr>
                        <w:tcW w:w="769" w:type="dxa"/>
                      </w:tcPr>
                      <w:p>
                        <w:pPr>
                          <w:pStyle w:val="TableParagraph"/>
                          <w:spacing w:before="31"/>
                          <w:ind w:left="146" w:right="18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2900</w:t>
                        </w:r>
                      </w:p>
                    </w:tc>
                    <w:tc>
                      <w:tcPr>
                        <w:tcW w:w="1103" w:type="dxa"/>
                      </w:tcPr>
                      <w:p>
                        <w:pPr>
                          <w:pStyle w:val="TableParagraph"/>
                          <w:spacing w:before="31"/>
                          <w:ind w:left="20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883.88</w:t>
                        </w:r>
                      </w:p>
                    </w:tc>
                    <w:tc>
                      <w:tcPr>
                        <w:tcW w:w="985" w:type="dxa"/>
                      </w:tcPr>
                      <w:p>
                        <w:pPr>
                          <w:pStyle w:val="TableParagraph"/>
                          <w:spacing w:before="31"/>
                          <w:ind w:left="457" w:right="35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98" w:type="dxa"/>
                      </w:tcPr>
                      <w:p>
                        <w:pPr>
                          <w:pStyle w:val="TableParagraph"/>
                          <w:spacing w:before="31"/>
                          <w:ind w:left="39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130" w:type="dxa"/>
                      </w:tcPr>
                      <w:p>
                        <w:pPr>
                          <w:pStyle w:val="TableParagraph"/>
                          <w:spacing w:before="31"/>
                          <w:ind w:left="296" w:right="34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10.25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413" w:type="dxa"/>
                      </w:tcPr>
                      <w:p>
                        <w:pPr>
                          <w:pStyle w:val="TableParagraph"/>
                          <w:spacing w:before="31"/>
                          <w:ind w:left="100" w:right="14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E-9P-4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6</w:t>
                        </w:r>
                      </w:p>
                    </w:tc>
                    <w:tc>
                      <w:tcPr>
                        <w:tcW w:w="995" w:type="dxa"/>
                      </w:tcPr>
                      <w:p>
                        <w:pPr>
                          <w:pStyle w:val="TableParagraph"/>
                          <w:spacing w:before="31"/>
                          <w:ind w:left="251" w:right="25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111.5</w:t>
                        </w:r>
                      </w:p>
                    </w:tc>
                    <w:tc>
                      <w:tcPr>
                        <w:tcW w:w="769" w:type="dxa"/>
                      </w:tcPr>
                      <w:p>
                        <w:pPr>
                          <w:pStyle w:val="TableParagraph"/>
                          <w:spacing w:before="31"/>
                          <w:ind w:left="146" w:right="18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2744</w:t>
                        </w:r>
                      </w:p>
                    </w:tc>
                    <w:tc>
                      <w:tcPr>
                        <w:tcW w:w="1103" w:type="dxa"/>
                      </w:tcPr>
                      <w:p>
                        <w:pPr>
                          <w:pStyle w:val="TableParagraph"/>
                          <w:spacing w:before="31"/>
                          <w:ind w:left="20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836.33</w:t>
                        </w:r>
                      </w:p>
                    </w:tc>
                    <w:tc>
                      <w:tcPr>
                        <w:tcW w:w="985" w:type="dxa"/>
                      </w:tcPr>
                      <w:p>
                        <w:pPr>
                          <w:pStyle w:val="TableParagraph"/>
                          <w:spacing w:before="31"/>
                          <w:ind w:left="457" w:right="35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98" w:type="dxa"/>
                      </w:tcPr>
                      <w:p>
                        <w:pPr>
                          <w:pStyle w:val="TableParagraph"/>
                          <w:spacing w:before="31"/>
                          <w:ind w:left="39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130" w:type="dxa"/>
                      </w:tcPr>
                      <w:p>
                        <w:pPr>
                          <w:pStyle w:val="TableParagraph"/>
                          <w:spacing w:before="31"/>
                          <w:ind w:left="297" w:right="34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9.250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413" w:type="dxa"/>
                      </w:tcPr>
                      <w:p>
                        <w:pPr>
                          <w:pStyle w:val="TableParagraph"/>
                          <w:spacing w:before="31"/>
                          <w:ind w:left="100" w:right="14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E-9P-4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7</w:t>
                        </w:r>
                      </w:p>
                    </w:tc>
                    <w:tc>
                      <w:tcPr>
                        <w:tcW w:w="995" w:type="dxa"/>
                      </w:tcPr>
                      <w:p>
                        <w:pPr>
                          <w:pStyle w:val="TableParagraph"/>
                          <w:spacing w:before="31"/>
                          <w:ind w:left="251" w:right="25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106.8</w:t>
                        </w:r>
                      </w:p>
                    </w:tc>
                    <w:tc>
                      <w:tcPr>
                        <w:tcW w:w="769" w:type="dxa"/>
                      </w:tcPr>
                      <w:p>
                        <w:pPr>
                          <w:pStyle w:val="TableParagraph"/>
                          <w:spacing w:before="31"/>
                          <w:ind w:left="146" w:right="18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2380</w:t>
                        </w:r>
                      </w:p>
                    </w:tc>
                    <w:tc>
                      <w:tcPr>
                        <w:tcW w:w="1103" w:type="dxa"/>
                      </w:tcPr>
                      <w:p>
                        <w:pPr>
                          <w:pStyle w:val="TableParagraph"/>
                          <w:spacing w:before="31"/>
                          <w:ind w:left="20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725.39</w:t>
                        </w:r>
                      </w:p>
                    </w:tc>
                    <w:tc>
                      <w:tcPr>
                        <w:tcW w:w="985" w:type="dxa"/>
                      </w:tcPr>
                      <w:p>
                        <w:pPr>
                          <w:pStyle w:val="TableParagraph"/>
                          <w:spacing w:before="31"/>
                          <w:ind w:left="457" w:right="35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98" w:type="dxa"/>
                      </w:tcPr>
                      <w:p>
                        <w:pPr>
                          <w:pStyle w:val="TableParagraph"/>
                          <w:spacing w:before="31"/>
                          <w:ind w:left="39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130" w:type="dxa"/>
                      </w:tcPr>
                      <w:p>
                        <w:pPr>
                          <w:pStyle w:val="TableParagraph"/>
                          <w:spacing w:before="31"/>
                          <w:ind w:left="296" w:right="34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8.500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413" w:type="dxa"/>
                      </w:tcPr>
                      <w:p>
                        <w:pPr>
                          <w:pStyle w:val="TableParagraph"/>
                          <w:spacing w:before="31"/>
                          <w:ind w:left="100" w:right="14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E-9P-4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8</w:t>
                        </w:r>
                      </w:p>
                    </w:tc>
                    <w:tc>
                      <w:tcPr>
                        <w:tcW w:w="995" w:type="dxa"/>
                      </w:tcPr>
                      <w:p>
                        <w:pPr>
                          <w:pStyle w:val="TableParagraph"/>
                          <w:spacing w:before="31"/>
                          <w:ind w:left="251" w:right="25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89.5</w:t>
                        </w:r>
                      </w:p>
                    </w:tc>
                    <w:tc>
                      <w:tcPr>
                        <w:tcW w:w="769" w:type="dxa"/>
                      </w:tcPr>
                      <w:p>
                        <w:pPr>
                          <w:pStyle w:val="TableParagraph"/>
                          <w:spacing w:before="31"/>
                          <w:ind w:left="146" w:right="18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2056</w:t>
                        </w:r>
                      </w:p>
                    </w:tc>
                    <w:tc>
                      <w:tcPr>
                        <w:tcW w:w="1103" w:type="dxa"/>
                      </w:tcPr>
                      <w:p>
                        <w:pPr>
                          <w:pStyle w:val="TableParagraph"/>
                          <w:spacing w:before="31"/>
                          <w:ind w:left="20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626.64</w:t>
                        </w:r>
                      </w:p>
                    </w:tc>
                    <w:tc>
                      <w:tcPr>
                        <w:tcW w:w="985" w:type="dxa"/>
                      </w:tcPr>
                      <w:p>
                        <w:pPr>
                          <w:pStyle w:val="TableParagraph"/>
                          <w:spacing w:before="31"/>
                          <w:ind w:left="457" w:right="35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98" w:type="dxa"/>
                      </w:tcPr>
                      <w:p>
                        <w:pPr>
                          <w:pStyle w:val="TableParagraph"/>
                          <w:spacing w:before="31"/>
                          <w:ind w:left="39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130" w:type="dxa"/>
                      </w:tcPr>
                      <w:p>
                        <w:pPr>
                          <w:pStyle w:val="TableParagraph"/>
                          <w:spacing w:before="31"/>
                          <w:ind w:left="297" w:right="34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7.000</w:t>
                        </w:r>
                      </w:p>
                    </w:tc>
                  </w:tr>
                  <w:tr>
                    <w:trPr>
                      <w:trHeight w:val="282" w:hRule="atLeast"/>
                    </w:trPr>
                    <w:tc>
                      <w:tcPr>
                        <w:tcW w:w="1413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00" w:right="14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E-9P-4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9</w:t>
                        </w:r>
                      </w:p>
                    </w:tc>
                    <w:tc>
                      <w:tcPr>
                        <w:tcW w:w="995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251" w:right="25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95.6</w:t>
                        </w:r>
                      </w:p>
                    </w:tc>
                    <w:tc>
                      <w:tcPr>
                        <w:tcW w:w="769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46" w:right="18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2101</w:t>
                        </w:r>
                      </w:p>
                    </w:tc>
                    <w:tc>
                      <w:tcPr>
                        <w:tcW w:w="1103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20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640.35</w:t>
                        </w:r>
                      </w:p>
                    </w:tc>
                    <w:tc>
                      <w:tcPr>
                        <w:tcW w:w="985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457" w:right="35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98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39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130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297" w:right="34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7.375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b/>
          <w:sz w:val="20"/>
        </w:rPr>
        <w:t>Table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13</w:t>
      </w:r>
      <w:r>
        <w:rPr>
          <w:b/>
          <w:spacing w:val="93"/>
          <w:sz w:val="20"/>
        </w:rPr>
        <w:t> </w:t>
      </w:r>
      <w:r>
        <w:rPr>
          <w:b/>
          <w:sz w:val="20"/>
        </w:rPr>
        <w:t>0.50-in.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sphere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striking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specimen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E-9P-4</w:t>
      </w: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spacing w:before="2"/>
        <w:rPr>
          <w:b/>
          <w:sz w:val="23"/>
        </w:rPr>
      </w:pPr>
    </w:p>
    <w:p>
      <w:pPr>
        <w:tabs>
          <w:tab w:pos="6489" w:val="left" w:leader="none"/>
        </w:tabs>
        <w:spacing w:before="1"/>
        <w:ind w:left="4729" w:right="0" w:firstLine="0"/>
        <w:jc w:val="left"/>
        <w:rPr>
          <w:b/>
          <w:sz w:val="20"/>
        </w:rPr>
      </w:pPr>
      <w:r>
        <w:rPr>
          <w:b/>
          <w:w w:val="100"/>
          <w:sz w:val="20"/>
          <w:u w:val="single"/>
        </w:rPr>
        <w:t> </w:t>
      </w:r>
      <w:r>
        <w:rPr>
          <w:b/>
          <w:sz w:val="20"/>
          <w:u w:val="single"/>
        </w:rPr>
        <w:tab/>
      </w: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spacing w:before="193"/>
        <w:ind w:left="0" w:right="2635" w:firstLine="0"/>
        <w:jc w:val="right"/>
        <w:rPr>
          <w:b/>
          <w:sz w:val="20"/>
        </w:rPr>
      </w:pPr>
      <w:r>
        <w:rPr/>
        <w:pict>
          <v:shape style="position:absolute;margin-left:141.330002pt;margin-top:34.453339pt;width:364.95pt;height:141.2pt;mso-position-horizontal-relative:page;mso-position-vertical-relative:paragraph;z-index:1591500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497"/>
                    <w:gridCol w:w="953"/>
                    <w:gridCol w:w="732"/>
                    <w:gridCol w:w="1072"/>
                    <w:gridCol w:w="926"/>
                    <w:gridCol w:w="982"/>
                    <w:gridCol w:w="1137"/>
                  </w:tblGrid>
                  <w:tr>
                    <w:trPr>
                      <w:trHeight w:val="508" w:hRule="atLeast"/>
                    </w:trPr>
                    <w:tc>
                      <w:tcPr>
                        <w:tcW w:w="1497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53" w:type="dxa"/>
                        <w:vMerge w:val="restart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0"/>
                          <w:rPr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59" w:lineRule="auto" w:before="1"/>
                          <w:ind w:left="148" w:right="135" w:hanging="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Powder</w:t>
                        </w:r>
                        <w:r>
                          <w:rPr>
                            <w:b/>
                            <w:spacing w:val="-47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Mass</w:t>
                        </w:r>
                        <w:r>
                          <w:rPr>
                            <w:b/>
                            <w:spacing w:val="1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(grains)</w:t>
                        </w:r>
                      </w:p>
                    </w:tc>
                    <w:tc>
                      <w:tcPr>
                        <w:tcW w:w="1804" w:type="dxa"/>
                        <w:gridSpan w:val="2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"/>
                          <w:rPr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23" w:lineRule="exact"/>
                          <w:ind w:left="21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Chrono-Based</w:t>
                        </w:r>
                      </w:p>
                    </w:tc>
                    <w:tc>
                      <w:tcPr>
                        <w:tcW w:w="1908" w:type="dxa"/>
                        <w:gridSpan w:val="2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"/>
                          <w:rPr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23" w:lineRule="exact"/>
                          <w:ind w:left="37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Chrono-Based</w:t>
                        </w:r>
                      </w:p>
                    </w:tc>
                    <w:tc>
                      <w:tcPr>
                        <w:tcW w:w="1137" w:type="dxa"/>
                        <w:vMerge w:val="restart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46"/>
                          <w:ind w:left="314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DOP</w:t>
                        </w:r>
                      </w:p>
                      <w:p>
                        <w:pPr>
                          <w:pStyle w:val="TableParagraph"/>
                          <w:spacing w:before="18"/>
                          <w:ind w:left="37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(in)</w:t>
                        </w:r>
                      </w:p>
                    </w:tc>
                  </w:tr>
                  <w:tr>
                    <w:trPr>
                      <w:trHeight w:val="256" w:hRule="atLeast"/>
                    </w:trPr>
                    <w:tc>
                      <w:tcPr>
                        <w:tcW w:w="1497" w:type="dxa"/>
                      </w:tcPr>
                      <w:p>
                        <w:pPr>
                          <w:pStyle w:val="TableParagraph"/>
                          <w:spacing w:before="5"/>
                          <w:ind w:left="98" w:right="50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Shot</w:t>
                        </w:r>
                      </w:p>
                    </w:tc>
                    <w:tc>
                      <w:tcPr>
                        <w:tcW w:w="953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32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26" w:type="dxa"/>
                      </w:tcPr>
                      <w:p>
                        <w:pPr>
                          <w:pStyle w:val="TableParagraph"/>
                          <w:tabs>
                            <w:tab w:pos="1824" w:val="left" w:leader="none"/>
                          </w:tabs>
                          <w:spacing w:before="5"/>
                          <w:ind w:left="164" w:right="-90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100"/>
                            <w:sz w:val="20"/>
                            <w:u w:val="single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  <w:u w:val="single"/>
                          </w:rPr>
                          <w:tab/>
                        </w:r>
                      </w:p>
                    </w:tc>
                    <w:tc>
                      <w:tcPr>
                        <w:tcW w:w="982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137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509" w:hRule="atLeast"/>
                    </w:trPr>
                    <w:tc>
                      <w:tcPr>
                        <w:tcW w:w="1497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53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32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145" w:right="178" w:firstLine="11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s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(fps)</w:t>
                        </w:r>
                      </w:p>
                    </w:tc>
                    <w:tc>
                      <w:tcPr>
                        <w:tcW w:w="1072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254" w:right="364" w:firstLine="140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s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(m/s)</w:t>
                        </w:r>
                      </w:p>
                    </w:tc>
                    <w:tc>
                      <w:tcPr>
                        <w:tcW w:w="926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329" w:right="188" w:firstLine="11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r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(fps)</w:t>
                        </w:r>
                      </w:p>
                    </w:tc>
                    <w:tc>
                      <w:tcPr>
                        <w:tcW w:w="982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209" w:right="319" w:firstLine="13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r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(m/s)</w:t>
                        </w:r>
                      </w:p>
                    </w:tc>
                    <w:tc>
                      <w:tcPr>
                        <w:tcW w:w="1137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318" w:hRule="atLeast"/>
                    </w:trPr>
                    <w:tc>
                      <w:tcPr>
                        <w:tcW w:w="1497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98" w:right="12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E-10P-1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953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right="31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120</w:t>
                        </w:r>
                      </w:p>
                    </w:tc>
                    <w:tc>
                      <w:tcPr>
                        <w:tcW w:w="732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20" w:right="17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2772</w:t>
                        </w:r>
                      </w:p>
                    </w:tc>
                    <w:tc>
                      <w:tcPr>
                        <w:tcW w:w="1072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9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844.86</w:t>
                        </w:r>
                      </w:p>
                    </w:tc>
                    <w:tc>
                      <w:tcPr>
                        <w:tcW w:w="926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436" w:right="3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82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35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137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282" w:right="36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12.5</w:t>
                        </w:r>
                      </w:p>
                    </w:tc>
                  </w:tr>
                  <w:tr>
                    <w:trPr>
                      <w:trHeight w:val="299" w:hRule="atLeast"/>
                    </w:trPr>
                    <w:tc>
                      <w:tcPr>
                        <w:tcW w:w="1497" w:type="dxa"/>
                      </w:tcPr>
                      <w:p>
                        <w:pPr>
                          <w:pStyle w:val="TableParagraph"/>
                          <w:spacing w:before="31"/>
                          <w:ind w:left="98" w:right="12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E-10P-1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w="953" w:type="dxa"/>
                      </w:tcPr>
                      <w:p>
                        <w:pPr>
                          <w:pStyle w:val="TableParagraph"/>
                          <w:spacing w:before="31"/>
                          <w:ind w:right="31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108</w:t>
                        </w:r>
                      </w:p>
                    </w:tc>
                    <w:tc>
                      <w:tcPr>
                        <w:tcW w:w="732" w:type="dxa"/>
                      </w:tcPr>
                      <w:p>
                        <w:pPr>
                          <w:pStyle w:val="TableParagraph"/>
                          <w:spacing w:before="31"/>
                          <w:ind w:left="120" w:right="17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2602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31"/>
                          <w:ind w:left="19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793.05</w:t>
                        </w:r>
                      </w:p>
                    </w:tc>
                    <w:tc>
                      <w:tcPr>
                        <w:tcW w:w="926" w:type="dxa"/>
                      </w:tcPr>
                      <w:p>
                        <w:pPr>
                          <w:pStyle w:val="TableParagraph"/>
                          <w:spacing w:before="31"/>
                          <w:ind w:left="436" w:right="3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82" w:type="dxa"/>
                      </w:tcPr>
                      <w:p>
                        <w:pPr>
                          <w:pStyle w:val="TableParagraph"/>
                          <w:spacing w:before="31"/>
                          <w:ind w:left="35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137" w:type="dxa"/>
                      </w:tcPr>
                      <w:p>
                        <w:pPr>
                          <w:pStyle w:val="TableParagraph"/>
                          <w:spacing w:before="31"/>
                          <w:ind w:left="282" w:right="36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11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497" w:type="dxa"/>
                      </w:tcPr>
                      <w:p>
                        <w:pPr>
                          <w:pStyle w:val="TableParagraph"/>
                          <w:spacing w:before="31"/>
                          <w:ind w:left="98" w:right="12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E-10P-1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3</w:t>
                        </w:r>
                      </w:p>
                    </w:tc>
                    <w:tc>
                      <w:tcPr>
                        <w:tcW w:w="953" w:type="dxa"/>
                      </w:tcPr>
                      <w:p>
                        <w:pPr>
                          <w:pStyle w:val="TableParagraph"/>
                          <w:spacing w:before="31"/>
                          <w:ind w:right="29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99.5</w:t>
                        </w:r>
                      </w:p>
                    </w:tc>
                    <w:tc>
                      <w:tcPr>
                        <w:tcW w:w="732" w:type="dxa"/>
                      </w:tcPr>
                      <w:p>
                        <w:pPr>
                          <w:pStyle w:val="TableParagraph"/>
                          <w:spacing w:before="31"/>
                          <w:ind w:left="120" w:right="17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2329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31"/>
                          <w:ind w:left="19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709.84</w:t>
                        </w:r>
                      </w:p>
                    </w:tc>
                    <w:tc>
                      <w:tcPr>
                        <w:tcW w:w="926" w:type="dxa"/>
                      </w:tcPr>
                      <w:p>
                        <w:pPr>
                          <w:pStyle w:val="TableParagraph"/>
                          <w:spacing w:before="31"/>
                          <w:ind w:left="436" w:right="3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82" w:type="dxa"/>
                      </w:tcPr>
                      <w:p>
                        <w:pPr>
                          <w:pStyle w:val="TableParagraph"/>
                          <w:spacing w:before="31"/>
                          <w:ind w:left="35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137" w:type="dxa"/>
                      </w:tcPr>
                      <w:p>
                        <w:pPr>
                          <w:pStyle w:val="TableParagraph"/>
                          <w:spacing w:before="31"/>
                          <w:ind w:left="282" w:right="36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9.25</w:t>
                        </w:r>
                      </w:p>
                    </w:tc>
                  </w:tr>
                  <w:tr>
                    <w:trPr>
                      <w:trHeight w:val="299" w:hRule="atLeast"/>
                    </w:trPr>
                    <w:tc>
                      <w:tcPr>
                        <w:tcW w:w="1497" w:type="dxa"/>
                      </w:tcPr>
                      <w:p>
                        <w:pPr>
                          <w:pStyle w:val="TableParagraph"/>
                          <w:spacing w:before="31"/>
                          <w:ind w:left="98" w:right="12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E-10P-1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4</w:t>
                        </w:r>
                      </w:p>
                    </w:tc>
                    <w:tc>
                      <w:tcPr>
                        <w:tcW w:w="953" w:type="dxa"/>
                      </w:tcPr>
                      <w:p>
                        <w:pPr>
                          <w:pStyle w:val="TableParagraph"/>
                          <w:spacing w:before="31"/>
                          <w:ind w:right="243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105.3</w:t>
                        </w:r>
                      </w:p>
                    </w:tc>
                    <w:tc>
                      <w:tcPr>
                        <w:tcW w:w="732" w:type="dxa"/>
                      </w:tcPr>
                      <w:p>
                        <w:pPr>
                          <w:pStyle w:val="TableParagraph"/>
                          <w:spacing w:before="31"/>
                          <w:ind w:left="120" w:right="17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2438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31"/>
                          <w:ind w:left="19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743.07</w:t>
                        </w:r>
                      </w:p>
                    </w:tc>
                    <w:tc>
                      <w:tcPr>
                        <w:tcW w:w="926" w:type="dxa"/>
                      </w:tcPr>
                      <w:p>
                        <w:pPr>
                          <w:pStyle w:val="TableParagraph"/>
                          <w:spacing w:before="31"/>
                          <w:ind w:left="436" w:right="3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82" w:type="dxa"/>
                      </w:tcPr>
                      <w:p>
                        <w:pPr>
                          <w:pStyle w:val="TableParagraph"/>
                          <w:spacing w:before="31"/>
                          <w:ind w:left="35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137" w:type="dxa"/>
                      </w:tcPr>
                      <w:p>
                        <w:pPr>
                          <w:pStyle w:val="TableParagraph"/>
                          <w:spacing w:before="31"/>
                          <w:ind w:left="282" w:right="36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9.625</w:t>
                        </w:r>
                      </w:p>
                    </w:tc>
                  </w:tr>
                  <w:tr>
                    <w:trPr>
                      <w:trHeight w:val="281" w:hRule="atLeast"/>
                    </w:trPr>
                    <w:tc>
                      <w:tcPr>
                        <w:tcW w:w="1497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98" w:right="12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E-10P-1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5</w:t>
                        </w:r>
                      </w:p>
                    </w:tc>
                    <w:tc>
                      <w:tcPr>
                        <w:tcW w:w="953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right="243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106.5</w:t>
                        </w:r>
                      </w:p>
                    </w:tc>
                    <w:tc>
                      <w:tcPr>
                        <w:tcW w:w="732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20" w:right="17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2275</w:t>
                        </w:r>
                      </w:p>
                    </w:tc>
                    <w:tc>
                      <w:tcPr>
                        <w:tcW w:w="1072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9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693.39</w:t>
                        </w:r>
                      </w:p>
                    </w:tc>
                    <w:tc>
                      <w:tcPr>
                        <w:tcW w:w="926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436" w:right="3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82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35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137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282" w:right="36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7.75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b/>
          <w:sz w:val="20"/>
        </w:rPr>
        <w:t>Table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14</w:t>
      </w:r>
      <w:r>
        <w:rPr>
          <w:b/>
          <w:spacing w:val="92"/>
          <w:sz w:val="20"/>
        </w:rPr>
        <w:t> </w:t>
      </w:r>
      <w:r>
        <w:rPr>
          <w:b/>
          <w:sz w:val="20"/>
        </w:rPr>
        <w:t>0.50-in.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sphere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striking</w:t>
      </w:r>
      <w:r>
        <w:rPr>
          <w:b/>
          <w:spacing w:val="-1"/>
          <w:sz w:val="20"/>
        </w:rPr>
        <w:t> </w:t>
      </w:r>
      <w:r>
        <w:rPr>
          <w:b/>
          <w:sz w:val="20"/>
        </w:rPr>
        <w:t>specimen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E-10P-1</w:t>
      </w: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spacing w:before="6"/>
        <w:rPr>
          <w:b/>
          <w:sz w:val="25"/>
        </w:rPr>
      </w:pPr>
    </w:p>
    <w:p>
      <w:pPr>
        <w:tabs>
          <w:tab w:pos="6535" w:val="left" w:leader="none"/>
        </w:tabs>
        <w:spacing w:before="0"/>
        <w:ind w:left="4808" w:right="0" w:firstLine="0"/>
        <w:jc w:val="left"/>
        <w:rPr>
          <w:b/>
          <w:sz w:val="20"/>
        </w:rPr>
      </w:pPr>
      <w:r>
        <w:rPr>
          <w:b/>
          <w:w w:val="100"/>
          <w:sz w:val="20"/>
          <w:u w:val="single"/>
        </w:rPr>
        <w:t> </w:t>
      </w:r>
      <w:r>
        <w:rPr>
          <w:b/>
          <w:sz w:val="20"/>
          <w:u w:val="single"/>
        </w:rPr>
        <w:tab/>
      </w: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spacing w:before="2"/>
        <w:rPr>
          <w:b/>
          <w:sz w:val="31"/>
        </w:rPr>
      </w:pPr>
    </w:p>
    <w:p>
      <w:pPr>
        <w:tabs>
          <w:tab w:pos="4987" w:val="left" w:leader="none"/>
        </w:tabs>
        <w:spacing w:before="1"/>
        <w:ind w:left="3547" w:right="0" w:firstLine="0"/>
        <w:jc w:val="left"/>
        <w:rPr>
          <w:b/>
          <w:sz w:val="20"/>
        </w:rPr>
      </w:pPr>
      <w:r>
        <w:rPr>
          <w:b/>
          <w:sz w:val="20"/>
        </w:rPr>
        <w:t>Table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15</w:t>
        <w:tab/>
        <w:t>0.50-in.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sphere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striking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specimen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E-10P-5</w:t>
      </w:r>
    </w:p>
    <w:p>
      <w:pPr>
        <w:pStyle w:val="BodyText"/>
        <w:spacing w:before="5"/>
        <w:rPr>
          <w:b/>
          <w:sz w:val="15"/>
        </w:rPr>
      </w:pPr>
    </w:p>
    <w:tbl>
      <w:tblPr>
        <w:tblW w:w="0" w:type="auto"/>
        <w:jc w:val="left"/>
        <w:tblInd w:w="239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97"/>
        <w:gridCol w:w="925"/>
        <w:gridCol w:w="761"/>
        <w:gridCol w:w="966"/>
        <w:gridCol w:w="270"/>
        <w:gridCol w:w="730"/>
        <w:gridCol w:w="980"/>
        <w:gridCol w:w="1170"/>
      </w:tblGrid>
      <w:tr>
        <w:trPr>
          <w:trHeight w:val="509" w:hRule="atLeast"/>
        </w:trPr>
        <w:tc>
          <w:tcPr>
            <w:tcW w:w="1497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925" w:type="dxa"/>
            <w:vMerge w:val="restart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59" w:lineRule="auto"/>
              <w:ind w:left="148" w:right="107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Powder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Mass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(grains)</w:t>
            </w:r>
          </w:p>
        </w:tc>
        <w:tc>
          <w:tcPr>
            <w:tcW w:w="1727" w:type="dxa"/>
            <w:gridSpan w:val="2"/>
            <w:tcBorders>
              <w:top w:val="single" w:sz="4" w:space="0" w:color="000000"/>
            </w:tcBorders>
          </w:tcPr>
          <w:p>
            <w:pPr>
              <w:pStyle w:val="TableParagraph"/>
              <w:spacing w:before="1"/>
              <w:rPr>
                <w:b/>
                <w:sz w:val="23"/>
              </w:rPr>
            </w:pPr>
          </w:p>
          <w:p>
            <w:pPr>
              <w:pStyle w:val="TableParagraph"/>
              <w:spacing w:line="224" w:lineRule="exact"/>
              <w:ind w:left="244"/>
              <w:rPr>
                <w:b/>
                <w:sz w:val="20"/>
              </w:rPr>
            </w:pPr>
            <w:r>
              <w:rPr>
                <w:b/>
                <w:sz w:val="20"/>
              </w:rPr>
              <w:t>Chrono-Based</w:t>
            </w:r>
          </w:p>
        </w:tc>
        <w:tc>
          <w:tcPr>
            <w:tcW w:w="1980" w:type="dxa"/>
            <w:gridSpan w:val="3"/>
            <w:tcBorders>
              <w:top w:val="single" w:sz="4" w:space="0" w:color="000000"/>
            </w:tcBorders>
          </w:tcPr>
          <w:p>
            <w:pPr>
              <w:pStyle w:val="TableParagraph"/>
              <w:spacing w:before="1"/>
              <w:rPr>
                <w:b/>
                <w:sz w:val="23"/>
              </w:rPr>
            </w:pPr>
          </w:p>
          <w:p>
            <w:pPr>
              <w:pStyle w:val="TableParagraph"/>
              <w:spacing w:line="224" w:lineRule="exact"/>
              <w:ind w:left="505"/>
              <w:rPr>
                <w:b/>
                <w:sz w:val="20"/>
              </w:rPr>
            </w:pPr>
            <w:r>
              <w:rPr>
                <w:b/>
                <w:sz w:val="20"/>
              </w:rPr>
              <w:t>Chrono-Based</w:t>
            </w:r>
          </w:p>
        </w:tc>
        <w:tc>
          <w:tcPr>
            <w:tcW w:w="1170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258" w:hRule="atLeast"/>
        </w:trPr>
        <w:tc>
          <w:tcPr>
            <w:tcW w:w="1497" w:type="dxa"/>
          </w:tcPr>
          <w:p>
            <w:pPr>
              <w:pStyle w:val="TableParagraph"/>
              <w:spacing w:before="5"/>
              <w:ind w:left="98" w:right="5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Shot</w:t>
            </w:r>
          </w:p>
        </w:tc>
        <w:tc>
          <w:tcPr>
            <w:tcW w:w="925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61" w:type="dxa"/>
            <w:tcBorders>
              <w:bottom w:val="single" w:sz="8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966" w:type="dxa"/>
            <w:tcBorders>
              <w:bottom w:val="single" w:sz="8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70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730" w:type="dxa"/>
            <w:tcBorders>
              <w:bottom w:val="single" w:sz="8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980" w:type="dxa"/>
            <w:tcBorders>
              <w:bottom w:val="single" w:sz="8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170" w:type="dxa"/>
          </w:tcPr>
          <w:p>
            <w:pPr>
              <w:pStyle w:val="TableParagraph"/>
              <w:spacing w:before="5"/>
              <w:ind w:left="179" w:right="1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DOP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(in)</w:t>
            </w:r>
          </w:p>
        </w:tc>
      </w:tr>
      <w:tr>
        <w:trPr>
          <w:trHeight w:val="496" w:hRule="atLeast"/>
        </w:trPr>
        <w:tc>
          <w:tcPr>
            <w:tcW w:w="1497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925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61" w:type="dxa"/>
            <w:tcBorders>
              <w:top w:val="single" w:sz="8" w:space="0" w:color="000000"/>
              <w:bottom w:val="single" w:sz="4" w:space="0" w:color="000000"/>
            </w:tcBorders>
          </w:tcPr>
          <w:p>
            <w:pPr>
              <w:pStyle w:val="TableParagraph"/>
              <w:spacing w:line="238" w:lineRule="exact"/>
              <w:ind w:left="172" w:right="180" w:firstLine="118"/>
              <w:rPr>
                <w:b/>
                <w:sz w:val="20"/>
              </w:rPr>
            </w:pPr>
            <w:r>
              <w:rPr>
                <w:b/>
                <w:position w:val="1"/>
                <w:sz w:val="20"/>
              </w:rPr>
              <w:t>v</w:t>
            </w:r>
            <w:r>
              <w:rPr>
                <w:b/>
                <w:sz w:val="13"/>
              </w:rPr>
              <w:t>s</w:t>
            </w:r>
            <w:r>
              <w:rPr>
                <w:b/>
                <w:spacing w:val="1"/>
                <w:sz w:val="13"/>
              </w:rPr>
              <w:t> </w:t>
            </w:r>
            <w:r>
              <w:rPr>
                <w:b/>
                <w:sz w:val="20"/>
              </w:rPr>
              <w:t>(fps)</w:t>
            </w:r>
          </w:p>
        </w:tc>
        <w:tc>
          <w:tcPr>
            <w:tcW w:w="966" w:type="dxa"/>
            <w:tcBorders>
              <w:top w:val="single" w:sz="8" w:space="0" w:color="000000"/>
              <w:bottom w:val="single" w:sz="4" w:space="0" w:color="000000"/>
            </w:tcBorders>
          </w:tcPr>
          <w:p>
            <w:pPr>
              <w:pStyle w:val="TableParagraph"/>
              <w:spacing w:line="238" w:lineRule="exact"/>
              <w:ind w:left="253" w:right="259" w:firstLine="140"/>
              <w:rPr>
                <w:b/>
                <w:sz w:val="20"/>
              </w:rPr>
            </w:pPr>
            <w:r>
              <w:rPr>
                <w:b/>
                <w:position w:val="1"/>
                <w:sz w:val="20"/>
              </w:rPr>
              <w:t>v</w:t>
            </w:r>
            <w:r>
              <w:rPr>
                <w:b/>
                <w:sz w:val="13"/>
              </w:rPr>
              <w:t>s</w:t>
            </w:r>
            <w:r>
              <w:rPr>
                <w:b/>
                <w:spacing w:val="1"/>
                <w:sz w:val="13"/>
              </w:rPr>
              <w:t> </w:t>
            </w:r>
            <w:r>
              <w:rPr>
                <w:b/>
                <w:sz w:val="20"/>
              </w:rPr>
              <w:t>(m/s)</w:t>
            </w:r>
          </w:p>
        </w:tc>
        <w:tc>
          <w:tcPr>
            <w:tcW w:w="270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730" w:type="dxa"/>
            <w:tcBorders>
              <w:top w:val="single" w:sz="8" w:space="0" w:color="000000"/>
              <w:bottom w:val="single" w:sz="4" w:space="0" w:color="000000"/>
            </w:tcBorders>
          </w:tcPr>
          <w:p>
            <w:pPr>
              <w:pStyle w:val="TableParagraph"/>
              <w:spacing w:line="238" w:lineRule="exact"/>
              <w:ind w:left="118" w:right="203" w:firstLine="115"/>
              <w:rPr>
                <w:b/>
                <w:sz w:val="20"/>
              </w:rPr>
            </w:pPr>
            <w:r>
              <w:rPr>
                <w:b/>
                <w:position w:val="1"/>
                <w:sz w:val="20"/>
              </w:rPr>
              <w:t>v</w:t>
            </w:r>
            <w:r>
              <w:rPr>
                <w:b/>
                <w:sz w:val="13"/>
              </w:rPr>
              <w:t>r</w:t>
            </w:r>
            <w:r>
              <w:rPr>
                <w:b/>
                <w:spacing w:val="1"/>
                <w:sz w:val="13"/>
              </w:rPr>
              <w:t> </w:t>
            </w:r>
            <w:r>
              <w:rPr>
                <w:b/>
                <w:sz w:val="20"/>
              </w:rPr>
              <w:t>(fps)</w:t>
            </w:r>
          </w:p>
        </w:tc>
        <w:tc>
          <w:tcPr>
            <w:tcW w:w="980" w:type="dxa"/>
            <w:tcBorders>
              <w:top w:val="single" w:sz="8" w:space="0" w:color="000000"/>
              <w:bottom w:val="single" w:sz="4" w:space="0" w:color="000000"/>
            </w:tcBorders>
          </w:tcPr>
          <w:p>
            <w:pPr>
              <w:pStyle w:val="TableParagraph"/>
              <w:spacing w:line="238" w:lineRule="exact"/>
              <w:ind w:left="221" w:right="305" w:firstLine="138"/>
              <w:rPr>
                <w:b/>
                <w:sz w:val="20"/>
              </w:rPr>
            </w:pPr>
            <w:r>
              <w:rPr>
                <w:b/>
                <w:position w:val="1"/>
                <w:sz w:val="20"/>
              </w:rPr>
              <w:t>v</w:t>
            </w:r>
            <w:r>
              <w:rPr>
                <w:b/>
                <w:sz w:val="13"/>
              </w:rPr>
              <w:t>r</w:t>
            </w:r>
            <w:r>
              <w:rPr>
                <w:b/>
                <w:spacing w:val="1"/>
                <w:sz w:val="13"/>
              </w:rPr>
              <w:t> </w:t>
            </w:r>
            <w:r>
              <w:rPr>
                <w:b/>
                <w:sz w:val="20"/>
              </w:rPr>
              <w:t>(m/s)</w:t>
            </w:r>
          </w:p>
        </w:tc>
        <w:tc>
          <w:tcPr>
            <w:tcW w:w="1170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319" w:hRule="atLeast"/>
        </w:trPr>
        <w:tc>
          <w:tcPr>
            <w:tcW w:w="1497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50"/>
              <w:ind w:left="98" w:right="128"/>
              <w:jc w:val="center"/>
              <w:rPr>
                <w:sz w:val="20"/>
              </w:rPr>
            </w:pPr>
            <w:r>
              <w:rPr>
                <w:sz w:val="20"/>
              </w:rPr>
              <w:t>E-10P-5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1</w:t>
            </w:r>
          </w:p>
        </w:tc>
        <w:tc>
          <w:tcPr>
            <w:tcW w:w="925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50"/>
              <w:ind w:right="215"/>
              <w:jc w:val="right"/>
              <w:rPr>
                <w:sz w:val="20"/>
              </w:rPr>
            </w:pPr>
            <w:r>
              <w:rPr>
                <w:sz w:val="20"/>
              </w:rPr>
              <w:t>106.9</w:t>
            </w:r>
          </w:p>
        </w:tc>
        <w:tc>
          <w:tcPr>
            <w:tcW w:w="761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50"/>
              <w:ind w:left="148" w:right="173"/>
              <w:jc w:val="center"/>
              <w:rPr>
                <w:sz w:val="20"/>
              </w:rPr>
            </w:pPr>
            <w:r>
              <w:rPr>
                <w:sz w:val="20"/>
              </w:rPr>
              <w:t>2546</w:t>
            </w:r>
          </w:p>
        </w:tc>
        <w:tc>
          <w:tcPr>
            <w:tcW w:w="966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50"/>
              <w:ind w:left="175" w:right="200"/>
              <w:jc w:val="center"/>
              <w:rPr>
                <w:sz w:val="20"/>
              </w:rPr>
            </w:pPr>
            <w:r>
              <w:rPr>
                <w:sz w:val="20"/>
              </w:rPr>
              <w:t>775.98</w:t>
            </w:r>
          </w:p>
        </w:tc>
        <w:tc>
          <w:tcPr>
            <w:tcW w:w="270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730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50"/>
              <w:ind w:left="247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980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50"/>
              <w:ind w:left="371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1170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50"/>
              <w:ind w:left="178" w:right="179"/>
              <w:jc w:val="center"/>
              <w:rPr>
                <w:sz w:val="20"/>
              </w:rPr>
            </w:pPr>
            <w:r>
              <w:rPr>
                <w:sz w:val="20"/>
              </w:rPr>
              <w:t>10.375</w:t>
            </w:r>
          </w:p>
        </w:tc>
      </w:tr>
      <w:tr>
        <w:trPr>
          <w:trHeight w:val="300" w:hRule="atLeast"/>
        </w:trPr>
        <w:tc>
          <w:tcPr>
            <w:tcW w:w="1497" w:type="dxa"/>
          </w:tcPr>
          <w:p>
            <w:pPr>
              <w:pStyle w:val="TableParagraph"/>
              <w:spacing w:before="31"/>
              <w:ind w:left="98" w:right="128"/>
              <w:jc w:val="center"/>
              <w:rPr>
                <w:sz w:val="20"/>
              </w:rPr>
            </w:pPr>
            <w:r>
              <w:rPr>
                <w:sz w:val="20"/>
              </w:rPr>
              <w:t>E-10P-5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2</w:t>
            </w:r>
          </w:p>
        </w:tc>
        <w:tc>
          <w:tcPr>
            <w:tcW w:w="925" w:type="dxa"/>
          </w:tcPr>
          <w:p>
            <w:pPr>
              <w:pStyle w:val="TableParagraph"/>
              <w:spacing w:before="31"/>
              <w:ind w:right="264"/>
              <w:jc w:val="right"/>
              <w:rPr>
                <w:sz w:val="20"/>
              </w:rPr>
            </w:pPr>
            <w:r>
              <w:rPr>
                <w:sz w:val="20"/>
              </w:rPr>
              <w:t>86.2</w:t>
            </w:r>
          </w:p>
        </w:tc>
        <w:tc>
          <w:tcPr>
            <w:tcW w:w="761" w:type="dxa"/>
          </w:tcPr>
          <w:p>
            <w:pPr>
              <w:pStyle w:val="TableParagraph"/>
              <w:spacing w:before="31"/>
              <w:ind w:left="148" w:right="173"/>
              <w:jc w:val="center"/>
              <w:rPr>
                <w:sz w:val="20"/>
              </w:rPr>
            </w:pPr>
            <w:r>
              <w:rPr>
                <w:sz w:val="20"/>
              </w:rPr>
              <w:t>1982</w:t>
            </w:r>
          </w:p>
        </w:tc>
        <w:tc>
          <w:tcPr>
            <w:tcW w:w="966" w:type="dxa"/>
          </w:tcPr>
          <w:p>
            <w:pPr>
              <w:pStyle w:val="TableParagraph"/>
              <w:spacing w:before="31"/>
              <w:ind w:left="175" w:right="200"/>
              <w:jc w:val="center"/>
              <w:rPr>
                <w:sz w:val="20"/>
              </w:rPr>
            </w:pPr>
            <w:r>
              <w:rPr>
                <w:sz w:val="20"/>
              </w:rPr>
              <w:t>604.08</w:t>
            </w:r>
          </w:p>
        </w:tc>
        <w:tc>
          <w:tcPr>
            <w:tcW w:w="270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730" w:type="dxa"/>
          </w:tcPr>
          <w:p>
            <w:pPr>
              <w:pStyle w:val="TableParagraph"/>
              <w:spacing w:before="31"/>
              <w:ind w:left="247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980" w:type="dxa"/>
          </w:tcPr>
          <w:p>
            <w:pPr>
              <w:pStyle w:val="TableParagraph"/>
              <w:spacing w:before="31"/>
              <w:ind w:left="371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1170" w:type="dxa"/>
          </w:tcPr>
          <w:p>
            <w:pPr>
              <w:pStyle w:val="TableParagraph"/>
              <w:spacing w:before="31"/>
              <w:ind w:left="179" w:right="179"/>
              <w:jc w:val="center"/>
              <w:rPr>
                <w:sz w:val="20"/>
              </w:rPr>
            </w:pPr>
            <w:r>
              <w:rPr>
                <w:sz w:val="20"/>
              </w:rPr>
              <w:t>7.25</w:t>
            </w:r>
          </w:p>
        </w:tc>
      </w:tr>
      <w:tr>
        <w:trPr>
          <w:trHeight w:val="300" w:hRule="atLeast"/>
        </w:trPr>
        <w:tc>
          <w:tcPr>
            <w:tcW w:w="1497" w:type="dxa"/>
          </w:tcPr>
          <w:p>
            <w:pPr>
              <w:pStyle w:val="TableParagraph"/>
              <w:spacing w:before="31"/>
              <w:ind w:left="98" w:right="128"/>
              <w:jc w:val="center"/>
              <w:rPr>
                <w:sz w:val="20"/>
              </w:rPr>
            </w:pPr>
            <w:r>
              <w:rPr>
                <w:sz w:val="20"/>
              </w:rPr>
              <w:t>E-10P-5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3</w:t>
            </w:r>
          </w:p>
        </w:tc>
        <w:tc>
          <w:tcPr>
            <w:tcW w:w="925" w:type="dxa"/>
          </w:tcPr>
          <w:p>
            <w:pPr>
              <w:pStyle w:val="TableParagraph"/>
              <w:spacing w:before="31"/>
              <w:ind w:right="215"/>
              <w:jc w:val="right"/>
              <w:rPr>
                <w:sz w:val="20"/>
              </w:rPr>
            </w:pPr>
            <w:r>
              <w:rPr>
                <w:sz w:val="20"/>
              </w:rPr>
              <w:t>111.5</w:t>
            </w:r>
          </w:p>
        </w:tc>
        <w:tc>
          <w:tcPr>
            <w:tcW w:w="761" w:type="dxa"/>
          </w:tcPr>
          <w:p>
            <w:pPr>
              <w:pStyle w:val="TableParagraph"/>
              <w:spacing w:before="31"/>
              <w:ind w:left="148" w:right="173"/>
              <w:jc w:val="center"/>
              <w:rPr>
                <w:sz w:val="20"/>
              </w:rPr>
            </w:pPr>
            <w:r>
              <w:rPr>
                <w:sz w:val="20"/>
              </w:rPr>
              <w:t>2603</w:t>
            </w:r>
          </w:p>
        </w:tc>
        <w:tc>
          <w:tcPr>
            <w:tcW w:w="966" w:type="dxa"/>
          </w:tcPr>
          <w:p>
            <w:pPr>
              <w:pStyle w:val="TableParagraph"/>
              <w:spacing w:before="31"/>
              <w:ind w:left="175" w:right="200"/>
              <w:jc w:val="center"/>
              <w:rPr>
                <w:sz w:val="20"/>
              </w:rPr>
            </w:pPr>
            <w:r>
              <w:rPr>
                <w:sz w:val="20"/>
              </w:rPr>
              <w:t>793.36</w:t>
            </w:r>
          </w:p>
        </w:tc>
        <w:tc>
          <w:tcPr>
            <w:tcW w:w="270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730" w:type="dxa"/>
          </w:tcPr>
          <w:p>
            <w:pPr>
              <w:pStyle w:val="TableParagraph"/>
              <w:spacing w:before="31"/>
              <w:ind w:left="247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980" w:type="dxa"/>
          </w:tcPr>
          <w:p>
            <w:pPr>
              <w:pStyle w:val="TableParagraph"/>
              <w:spacing w:before="31"/>
              <w:ind w:left="371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1170" w:type="dxa"/>
          </w:tcPr>
          <w:p>
            <w:pPr>
              <w:pStyle w:val="TableParagraph"/>
              <w:spacing w:before="31"/>
              <w:ind w:left="177" w:right="179"/>
              <w:jc w:val="center"/>
              <w:rPr>
                <w:sz w:val="20"/>
              </w:rPr>
            </w:pPr>
            <w:r>
              <w:rPr>
                <w:sz w:val="20"/>
              </w:rPr>
              <w:t>11.5</w:t>
            </w:r>
          </w:p>
        </w:tc>
      </w:tr>
      <w:tr>
        <w:trPr>
          <w:trHeight w:val="300" w:hRule="atLeast"/>
        </w:trPr>
        <w:tc>
          <w:tcPr>
            <w:tcW w:w="1497" w:type="dxa"/>
          </w:tcPr>
          <w:p>
            <w:pPr>
              <w:pStyle w:val="TableParagraph"/>
              <w:spacing w:before="31"/>
              <w:ind w:left="98" w:right="128"/>
              <w:jc w:val="center"/>
              <w:rPr>
                <w:sz w:val="20"/>
              </w:rPr>
            </w:pPr>
            <w:r>
              <w:rPr>
                <w:sz w:val="20"/>
              </w:rPr>
              <w:t>E-10P-5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4</w:t>
            </w:r>
          </w:p>
        </w:tc>
        <w:tc>
          <w:tcPr>
            <w:tcW w:w="925" w:type="dxa"/>
          </w:tcPr>
          <w:p>
            <w:pPr>
              <w:pStyle w:val="TableParagraph"/>
              <w:spacing w:before="31"/>
              <w:ind w:right="290"/>
              <w:jc w:val="right"/>
              <w:rPr>
                <w:sz w:val="20"/>
              </w:rPr>
            </w:pPr>
            <w:r>
              <w:rPr>
                <w:sz w:val="20"/>
              </w:rPr>
              <w:t>114</w:t>
            </w:r>
          </w:p>
        </w:tc>
        <w:tc>
          <w:tcPr>
            <w:tcW w:w="761" w:type="dxa"/>
          </w:tcPr>
          <w:p>
            <w:pPr>
              <w:pStyle w:val="TableParagraph"/>
              <w:spacing w:before="31"/>
              <w:ind w:left="148" w:right="173"/>
              <w:jc w:val="center"/>
              <w:rPr>
                <w:sz w:val="20"/>
              </w:rPr>
            </w:pPr>
            <w:r>
              <w:rPr>
                <w:sz w:val="20"/>
              </w:rPr>
              <w:t>2660</w:t>
            </w:r>
          </w:p>
        </w:tc>
        <w:tc>
          <w:tcPr>
            <w:tcW w:w="966" w:type="dxa"/>
          </w:tcPr>
          <w:p>
            <w:pPr>
              <w:pStyle w:val="TableParagraph"/>
              <w:spacing w:before="31"/>
              <w:ind w:left="175" w:right="200"/>
              <w:jc w:val="center"/>
              <w:rPr>
                <w:sz w:val="20"/>
              </w:rPr>
            </w:pPr>
            <w:r>
              <w:rPr>
                <w:sz w:val="20"/>
              </w:rPr>
              <w:t>810.73</w:t>
            </w:r>
          </w:p>
        </w:tc>
        <w:tc>
          <w:tcPr>
            <w:tcW w:w="270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730" w:type="dxa"/>
          </w:tcPr>
          <w:p>
            <w:pPr>
              <w:pStyle w:val="TableParagraph"/>
              <w:spacing w:before="31"/>
              <w:ind w:left="247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980" w:type="dxa"/>
          </w:tcPr>
          <w:p>
            <w:pPr>
              <w:pStyle w:val="TableParagraph"/>
              <w:spacing w:before="31"/>
              <w:ind w:left="371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1170" w:type="dxa"/>
          </w:tcPr>
          <w:p>
            <w:pPr>
              <w:pStyle w:val="TableParagraph"/>
              <w:spacing w:before="31"/>
              <w:ind w:left="178" w:right="179"/>
              <w:jc w:val="center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</w:tr>
      <w:tr>
        <w:trPr>
          <w:trHeight w:val="281" w:hRule="atLeast"/>
        </w:trPr>
        <w:tc>
          <w:tcPr>
            <w:tcW w:w="149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1"/>
              <w:ind w:left="98" w:right="128"/>
              <w:jc w:val="center"/>
              <w:rPr>
                <w:sz w:val="20"/>
              </w:rPr>
            </w:pPr>
            <w:r>
              <w:rPr>
                <w:sz w:val="20"/>
              </w:rPr>
              <w:t>E-10P-5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5</w:t>
            </w:r>
          </w:p>
        </w:tc>
        <w:tc>
          <w:tcPr>
            <w:tcW w:w="92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1"/>
              <w:ind w:right="264"/>
              <w:jc w:val="right"/>
              <w:rPr>
                <w:sz w:val="20"/>
              </w:rPr>
            </w:pPr>
            <w:r>
              <w:rPr>
                <w:sz w:val="20"/>
              </w:rPr>
              <w:t>98.6</w:t>
            </w:r>
          </w:p>
        </w:tc>
        <w:tc>
          <w:tcPr>
            <w:tcW w:w="761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1"/>
              <w:ind w:left="148" w:right="173"/>
              <w:jc w:val="center"/>
              <w:rPr>
                <w:sz w:val="20"/>
              </w:rPr>
            </w:pPr>
            <w:r>
              <w:rPr>
                <w:sz w:val="20"/>
              </w:rPr>
              <w:t>2331</w:t>
            </w:r>
          </w:p>
        </w:tc>
        <w:tc>
          <w:tcPr>
            <w:tcW w:w="96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1"/>
              <w:ind w:left="175" w:right="200"/>
              <w:jc w:val="center"/>
              <w:rPr>
                <w:sz w:val="20"/>
              </w:rPr>
            </w:pPr>
            <w:r>
              <w:rPr>
                <w:sz w:val="20"/>
              </w:rPr>
              <w:t>710.45</w:t>
            </w:r>
          </w:p>
        </w:tc>
        <w:tc>
          <w:tcPr>
            <w:tcW w:w="270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73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1"/>
              <w:ind w:left="247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98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1"/>
              <w:ind w:left="371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117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1"/>
              <w:ind w:left="178" w:right="179"/>
              <w:jc w:val="center"/>
              <w:rPr>
                <w:sz w:val="20"/>
              </w:rPr>
            </w:pPr>
            <w:r>
              <w:rPr>
                <w:sz w:val="20"/>
              </w:rPr>
              <w:t>7.625</w:t>
            </w:r>
          </w:p>
        </w:tc>
      </w:tr>
    </w:tbl>
    <w:p>
      <w:pPr>
        <w:spacing w:after="0"/>
        <w:jc w:val="center"/>
        <w:rPr>
          <w:sz w:val="20"/>
        </w:rPr>
        <w:sectPr>
          <w:pgSz w:w="12240" w:h="15840"/>
          <w:pgMar w:header="0" w:footer="1064" w:top="1380" w:bottom="1260" w:left="440" w:right="8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18"/>
        </w:rPr>
      </w:pPr>
    </w:p>
    <w:p>
      <w:pPr>
        <w:tabs>
          <w:tab w:pos="2152" w:val="left" w:leader="none"/>
        </w:tabs>
        <w:spacing w:before="0"/>
        <w:ind w:left="1159" w:right="0" w:firstLine="0"/>
        <w:jc w:val="center"/>
        <w:rPr>
          <w:b/>
          <w:sz w:val="20"/>
        </w:rPr>
      </w:pPr>
      <w:r>
        <w:rPr/>
        <w:pict>
          <v:shape style="position:absolute;margin-left:145.830002pt;margin-top:23.496233pt;width:355.95pt;height:201.2pt;mso-position-horizontal-relative:page;mso-position-vertical-relative:paragraph;z-index:1591552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542"/>
                    <w:gridCol w:w="998"/>
                    <w:gridCol w:w="694"/>
                    <w:gridCol w:w="1088"/>
                    <w:gridCol w:w="867"/>
                    <w:gridCol w:w="911"/>
                    <w:gridCol w:w="1014"/>
                  </w:tblGrid>
                  <w:tr>
                    <w:trPr>
                      <w:trHeight w:val="508" w:hRule="atLeast"/>
                    </w:trPr>
                    <w:tc>
                      <w:tcPr>
                        <w:tcW w:w="1542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998" w:type="dxa"/>
                        <w:vMerge w:val="restart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0"/>
                          <w:rPr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59" w:lineRule="auto"/>
                          <w:ind w:left="193" w:right="135" w:hanging="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Powder</w:t>
                        </w:r>
                        <w:r>
                          <w:rPr>
                            <w:b/>
                            <w:spacing w:val="-47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Mass</w:t>
                        </w:r>
                        <w:r>
                          <w:rPr>
                            <w:b/>
                            <w:spacing w:val="1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(grains)</w:t>
                        </w:r>
                      </w:p>
                    </w:tc>
                    <w:tc>
                      <w:tcPr>
                        <w:tcW w:w="1782" w:type="dxa"/>
                        <w:gridSpan w:val="2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"/>
                          <w:rPr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23" w:lineRule="exact"/>
                          <w:ind w:left="191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Chrono-Based</w:t>
                        </w:r>
                      </w:p>
                    </w:tc>
                    <w:tc>
                      <w:tcPr>
                        <w:tcW w:w="1778" w:type="dxa"/>
                        <w:gridSpan w:val="2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"/>
                          <w:rPr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23" w:lineRule="exact"/>
                          <w:ind w:left="32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Chrono-Based</w:t>
                        </w:r>
                      </w:p>
                    </w:tc>
                    <w:tc>
                      <w:tcPr>
                        <w:tcW w:w="1014" w:type="dxa"/>
                        <w:vMerge w:val="restart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47"/>
                          <w:ind w:left="268" w:right="28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DOP</w:t>
                        </w:r>
                      </w:p>
                      <w:p>
                        <w:pPr>
                          <w:pStyle w:val="TableParagraph"/>
                          <w:spacing w:before="17"/>
                          <w:ind w:left="267" w:right="28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(in)</w:t>
                        </w:r>
                      </w:p>
                    </w:tc>
                  </w:tr>
                  <w:tr>
                    <w:trPr>
                      <w:trHeight w:val="256" w:hRule="atLeast"/>
                    </w:trPr>
                    <w:tc>
                      <w:tcPr>
                        <w:tcW w:w="1542" w:type="dxa"/>
                      </w:tcPr>
                      <w:p>
                        <w:pPr>
                          <w:pStyle w:val="TableParagraph"/>
                          <w:spacing w:before="5"/>
                          <w:ind w:left="602" w:right="509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Shot</w:t>
                        </w:r>
                      </w:p>
                    </w:tc>
                    <w:tc>
                      <w:tcPr>
                        <w:tcW w:w="998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94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088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867" w:type="dxa"/>
                      </w:tcPr>
                      <w:p>
                        <w:pPr>
                          <w:pStyle w:val="TableParagraph"/>
                          <w:tabs>
                            <w:tab w:pos="1756" w:val="left" w:leader="none"/>
                          </w:tabs>
                          <w:spacing w:before="5"/>
                          <w:ind w:left="137" w:right="-893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100"/>
                            <w:sz w:val="20"/>
                            <w:u w:val="single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  <w:u w:val="single"/>
                          </w:rPr>
                          <w:tab/>
                        </w:r>
                      </w:p>
                    </w:tc>
                    <w:tc>
                      <w:tcPr>
                        <w:tcW w:w="911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01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509" w:hRule="atLeast"/>
                    </w:trPr>
                    <w:tc>
                      <w:tcPr>
                        <w:tcW w:w="1542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998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94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145" w:right="140" w:firstLine="11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s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(fps)</w:t>
                        </w:r>
                      </w:p>
                    </w:tc>
                    <w:tc>
                      <w:tcPr>
                        <w:tcW w:w="1088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265" w:right="369" w:firstLine="141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s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(m/s)</w:t>
                        </w:r>
                      </w:p>
                    </w:tc>
                    <w:tc>
                      <w:tcPr>
                        <w:tcW w:w="867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283" w:right="175" w:firstLine="11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r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(fps)</w:t>
                        </w:r>
                      </w:p>
                    </w:tc>
                    <w:tc>
                      <w:tcPr>
                        <w:tcW w:w="911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200" w:right="257" w:firstLine="13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r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(m/s)</w:t>
                        </w:r>
                      </w:p>
                    </w:tc>
                    <w:tc>
                      <w:tcPr>
                        <w:tcW w:w="101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318" w:hRule="atLeast"/>
                    </w:trPr>
                    <w:tc>
                      <w:tcPr>
                        <w:tcW w:w="1542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E-10P-6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4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998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37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120</w:t>
                        </w:r>
                      </w:p>
                    </w:tc>
                    <w:tc>
                      <w:tcPr>
                        <w:tcW w:w="694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20" w:right="13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2938</w:t>
                        </w:r>
                      </w:p>
                    </w:tc>
                    <w:tc>
                      <w:tcPr>
                        <w:tcW w:w="1088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20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895.46</w:t>
                        </w:r>
                      </w:p>
                    </w:tc>
                    <w:tc>
                      <w:tcPr>
                        <w:tcW w:w="867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390" w:right="30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11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35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014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203" w:right="21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9.625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542" w:type="dxa"/>
                      </w:tcPr>
                      <w:p>
                        <w:pPr>
                          <w:pStyle w:val="TableParagraph"/>
                          <w:spacing w:before="31"/>
                          <w:ind w:left="1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E-10P-6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4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w="998" w:type="dxa"/>
                      </w:tcPr>
                      <w:p>
                        <w:pPr>
                          <w:pStyle w:val="TableParagraph"/>
                          <w:spacing w:before="31"/>
                          <w:ind w:left="37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136</w:t>
                        </w:r>
                      </w:p>
                    </w:tc>
                    <w:tc>
                      <w:tcPr>
                        <w:tcW w:w="694" w:type="dxa"/>
                      </w:tcPr>
                      <w:p>
                        <w:pPr>
                          <w:pStyle w:val="TableParagraph"/>
                          <w:spacing w:before="31"/>
                          <w:ind w:left="120" w:right="13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3143</w:t>
                        </w:r>
                      </w:p>
                    </w:tc>
                    <w:tc>
                      <w:tcPr>
                        <w:tcW w:w="1088" w:type="dxa"/>
                      </w:tcPr>
                      <w:p>
                        <w:pPr>
                          <w:pStyle w:val="TableParagraph"/>
                          <w:spacing w:before="31"/>
                          <w:ind w:left="20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957.94</w:t>
                        </w:r>
                      </w:p>
                    </w:tc>
                    <w:tc>
                      <w:tcPr>
                        <w:tcW w:w="867" w:type="dxa"/>
                      </w:tcPr>
                      <w:p>
                        <w:pPr>
                          <w:pStyle w:val="TableParagraph"/>
                          <w:spacing w:before="31"/>
                          <w:ind w:left="390" w:right="30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11" w:type="dxa"/>
                      </w:tcPr>
                      <w:p>
                        <w:pPr>
                          <w:pStyle w:val="TableParagraph"/>
                          <w:spacing w:before="31"/>
                          <w:ind w:left="35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014" w:type="dxa"/>
                      </w:tcPr>
                      <w:p>
                        <w:pPr>
                          <w:pStyle w:val="TableParagraph"/>
                          <w:spacing w:before="31"/>
                          <w:ind w:left="204" w:right="21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10.625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542" w:type="dxa"/>
                      </w:tcPr>
                      <w:p>
                        <w:pPr>
                          <w:pStyle w:val="TableParagraph"/>
                          <w:spacing w:before="31"/>
                          <w:ind w:left="1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E-10P-6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4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3</w:t>
                        </w:r>
                      </w:p>
                    </w:tc>
                    <w:tc>
                      <w:tcPr>
                        <w:tcW w:w="998" w:type="dxa"/>
                      </w:tcPr>
                      <w:p>
                        <w:pPr>
                          <w:pStyle w:val="TableParagraph"/>
                          <w:spacing w:before="31"/>
                          <w:ind w:left="37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152</w:t>
                        </w:r>
                      </w:p>
                    </w:tc>
                    <w:tc>
                      <w:tcPr>
                        <w:tcW w:w="694" w:type="dxa"/>
                      </w:tcPr>
                      <w:p>
                        <w:pPr>
                          <w:pStyle w:val="TableParagraph"/>
                          <w:spacing w:before="31"/>
                          <w:ind w:left="120" w:right="13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3415</w:t>
                        </w:r>
                      </w:p>
                    </w:tc>
                    <w:tc>
                      <w:tcPr>
                        <w:tcW w:w="1088" w:type="dxa"/>
                      </w:tcPr>
                      <w:p>
                        <w:pPr>
                          <w:pStyle w:val="TableParagraph"/>
                          <w:spacing w:before="31"/>
                          <w:ind w:left="15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1040.84</w:t>
                        </w:r>
                      </w:p>
                    </w:tc>
                    <w:tc>
                      <w:tcPr>
                        <w:tcW w:w="867" w:type="dxa"/>
                      </w:tcPr>
                      <w:p>
                        <w:pPr>
                          <w:pStyle w:val="TableParagraph"/>
                          <w:spacing w:before="31"/>
                          <w:ind w:left="390" w:right="30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11" w:type="dxa"/>
                      </w:tcPr>
                      <w:p>
                        <w:pPr>
                          <w:pStyle w:val="TableParagraph"/>
                          <w:spacing w:before="31"/>
                          <w:ind w:left="35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014" w:type="dxa"/>
                      </w:tcPr>
                      <w:p>
                        <w:pPr>
                          <w:pStyle w:val="TableParagraph"/>
                          <w:spacing w:before="31"/>
                          <w:ind w:left="203" w:right="21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11.750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542" w:type="dxa"/>
                      </w:tcPr>
                      <w:p>
                        <w:pPr>
                          <w:pStyle w:val="TableParagraph"/>
                          <w:spacing w:before="31"/>
                          <w:ind w:left="1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E-10P-6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4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4</w:t>
                        </w:r>
                      </w:p>
                    </w:tc>
                    <w:tc>
                      <w:tcPr>
                        <w:tcW w:w="998" w:type="dxa"/>
                      </w:tcPr>
                      <w:p>
                        <w:pPr>
                          <w:pStyle w:val="TableParagraph"/>
                          <w:spacing w:before="31"/>
                          <w:ind w:left="37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169</w:t>
                        </w:r>
                      </w:p>
                    </w:tc>
                    <w:tc>
                      <w:tcPr>
                        <w:tcW w:w="694" w:type="dxa"/>
                      </w:tcPr>
                      <w:p>
                        <w:pPr>
                          <w:pStyle w:val="TableParagraph"/>
                          <w:spacing w:before="31"/>
                          <w:ind w:left="120" w:right="13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3683</w:t>
                        </w:r>
                      </w:p>
                    </w:tc>
                    <w:tc>
                      <w:tcPr>
                        <w:tcW w:w="1088" w:type="dxa"/>
                      </w:tcPr>
                      <w:p>
                        <w:pPr>
                          <w:pStyle w:val="TableParagraph"/>
                          <w:spacing w:before="31"/>
                          <w:ind w:left="15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1122.52</w:t>
                        </w:r>
                      </w:p>
                    </w:tc>
                    <w:tc>
                      <w:tcPr>
                        <w:tcW w:w="867" w:type="dxa"/>
                      </w:tcPr>
                      <w:p>
                        <w:pPr>
                          <w:pStyle w:val="TableParagraph"/>
                          <w:spacing w:before="31"/>
                          <w:ind w:left="390" w:right="30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11" w:type="dxa"/>
                      </w:tcPr>
                      <w:p>
                        <w:pPr>
                          <w:pStyle w:val="TableParagraph"/>
                          <w:spacing w:before="31"/>
                          <w:ind w:left="35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014" w:type="dxa"/>
                      </w:tcPr>
                      <w:p>
                        <w:pPr>
                          <w:pStyle w:val="TableParagraph"/>
                          <w:spacing w:before="31"/>
                          <w:ind w:left="203" w:right="21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12.250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542" w:type="dxa"/>
                      </w:tcPr>
                      <w:p>
                        <w:pPr>
                          <w:pStyle w:val="TableParagraph"/>
                          <w:spacing w:before="31"/>
                          <w:ind w:left="1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E-10P-6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4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5</w:t>
                        </w:r>
                      </w:p>
                    </w:tc>
                    <w:tc>
                      <w:tcPr>
                        <w:tcW w:w="998" w:type="dxa"/>
                      </w:tcPr>
                      <w:p>
                        <w:pPr>
                          <w:pStyle w:val="TableParagraph"/>
                          <w:spacing w:before="31"/>
                          <w:ind w:left="30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106.5</w:t>
                        </w:r>
                      </w:p>
                    </w:tc>
                    <w:tc>
                      <w:tcPr>
                        <w:tcW w:w="694" w:type="dxa"/>
                      </w:tcPr>
                      <w:p>
                        <w:pPr>
                          <w:pStyle w:val="TableParagraph"/>
                          <w:spacing w:before="31"/>
                          <w:ind w:left="120" w:right="13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2625</w:t>
                        </w:r>
                      </w:p>
                    </w:tc>
                    <w:tc>
                      <w:tcPr>
                        <w:tcW w:w="1088" w:type="dxa"/>
                      </w:tcPr>
                      <w:p>
                        <w:pPr>
                          <w:pStyle w:val="TableParagraph"/>
                          <w:spacing w:before="31"/>
                          <w:ind w:left="20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800.06</w:t>
                        </w:r>
                      </w:p>
                    </w:tc>
                    <w:tc>
                      <w:tcPr>
                        <w:tcW w:w="867" w:type="dxa"/>
                      </w:tcPr>
                      <w:p>
                        <w:pPr>
                          <w:pStyle w:val="TableParagraph"/>
                          <w:spacing w:before="31"/>
                          <w:ind w:left="390" w:right="30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11" w:type="dxa"/>
                      </w:tcPr>
                      <w:p>
                        <w:pPr>
                          <w:pStyle w:val="TableParagraph"/>
                          <w:spacing w:before="31"/>
                          <w:ind w:left="35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014" w:type="dxa"/>
                      </w:tcPr>
                      <w:p>
                        <w:pPr>
                          <w:pStyle w:val="TableParagraph"/>
                          <w:spacing w:before="31"/>
                          <w:ind w:left="203" w:right="21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7.625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542" w:type="dxa"/>
                      </w:tcPr>
                      <w:p>
                        <w:pPr>
                          <w:pStyle w:val="TableParagraph"/>
                          <w:spacing w:before="31"/>
                          <w:ind w:left="1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E-10P-6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4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6</w:t>
                        </w:r>
                      </w:p>
                    </w:tc>
                    <w:tc>
                      <w:tcPr>
                        <w:tcW w:w="998" w:type="dxa"/>
                      </w:tcPr>
                      <w:p>
                        <w:pPr>
                          <w:pStyle w:val="TableParagraph"/>
                          <w:spacing w:before="31"/>
                          <w:ind w:left="331" w:right="27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99</w:t>
                        </w:r>
                      </w:p>
                    </w:tc>
                    <w:tc>
                      <w:tcPr>
                        <w:tcW w:w="694" w:type="dxa"/>
                      </w:tcPr>
                      <w:p>
                        <w:pPr>
                          <w:pStyle w:val="TableParagraph"/>
                          <w:spacing w:before="31"/>
                          <w:ind w:left="120" w:right="13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2388</w:t>
                        </w:r>
                      </w:p>
                    </w:tc>
                    <w:tc>
                      <w:tcPr>
                        <w:tcW w:w="1088" w:type="dxa"/>
                      </w:tcPr>
                      <w:p>
                        <w:pPr>
                          <w:pStyle w:val="TableParagraph"/>
                          <w:spacing w:before="31"/>
                          <w:ind w:left="20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727.83</w:t>
                        </w:r>
                      </w:p>
                    </w:tc>
                    <w:tc>
                      <w:tcPr>
                        <w:tcW w:w="867" w:type="dxa"/>
                      </w:tcPr>
                      <w:p>
                        <w:pPr>
                          <w:pStyle w:val="TableParagraph"/>
                          <w:spacing w:before="31"/>
                          <w:ind w:left="390" w:right="30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11" w:type="dxa"/>
                      </w:tcPr>
                      <w:p>
                        <w:pPr>
                          <w:pStyle w:val="TableParagraph"/>
                          <w:spacing w:before="31"/>
                          <w:ind w:left="35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014" w:type="dxa"/>
                      </w:tcPr>
                      <w:p>
                        <w:pPr>
                          <w:pStyle w:val="TableParagraph"/>
                          <w:spacing w:before="31"/>
                          <w:ind w:left="203" w:right="21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6.500</w:t>
                        </w:r>
                      </w:p>
                    </w:tc>
                  </w:tr>
                  <w:tr>
                    <w:trPr>
                      <w:trHeight w:val="299" w:hRule="atLeast"/>
                    </w:trPr>
                    <w:tc>
                      <w:tcPr>
                        <w:tcW w:w="1542" w:type="dxa"/>
                      </w:tcPr>
                      <w:p>
                        <w:pPr>
                          <w:pStyle w:val="TableParagraph"/>
                          <w:spacing w:before="31"/>
                          <w:ind w:left="1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E-10P-6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4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7</w:t>
                        </w:r>
                      </w:p>
                    </w:tc>
                    <w:tc>
                      <w:tcPr>
                        <w:tcW w:w="998" w:type="dxa"/>
                      </w:tcPr>
                      <w:p>
                        <w:pPr>
                          <w:pStyle w:val="TableParagraph"/>
                          <w:spacing w:before="31"/>
                          <w:ind w:left="331" w:right="27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92</w:t>
                        </w:r>
                      </w:p>
                    </w:tc>
                    <w:tc>
                      <w:tcPr>
                        <w:tcW w:w="694" w:type="dxa"/>
                      </w:tcPr>
                      <w:p>
                        <w:pPr>
                          <w:pStyle w:val="TableParagraph"/>
                          <w:spacing w:before="31"/>
                          <w:ind w:left="120" w:right="13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2372</w:t>
                        </w:r>
                      </w:p>
                    </w:tc>
                    <w:tc>
                      <w:tcPr>
                        <w:tcW w:w="1088" w:type="dxa"/>
                      </w:tcPr>
                      <w:p>
                        <w:pPr>
                          <w:pStyle w:val="TableParagraph"/>
                          <w:spacing w:before="31"/>
                          <w:ind w:left="20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722.95</w:t>
                        </w:r>
                      </w:p>
                    </w:tc>
                    <w:tc>
                      <w:tcPr>
                        <w:tcW w:w="867" w:type="dxa"/>
                      </w:tcPr>
                      <w:p>
                        <w:pPr>
                          <w:pStyle w:val="TableParagraph"/>
                          <w:spacing w:before="31"/>
                          <w:ind w:left="390" w:right="30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11" w:type="dxa"/>
                      </w:tcPr>
                      <w:p>
                        <w:pPr>
                          <w:pStyle w:val="TableParagraph"/>
                          <w:spacing w:before="31"/>
                          <w:ind w:left="35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014" w:type="dxa"/>
                      </w:tcPr>
                      <w:p>
                        <w:pPr>
                          <w:pStyle w:val="TableParagraph"/>
                          <w:spacing w:before="31"/>
                          <w:ind w:left="203" w:right="21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6.500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542" w:type="dxa"/>
                      </w:tcPr>
                      <w:p>
                        <w:pPr>
                          <w:pStyle w:val="TableParagraph"/>
                          <w:spacing w:before="31"/>
                          <w:ind w:left="1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E-10P-6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4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8</w:t>
                        </w:r>
                      </w:p>
                    </w:tc>
                    <w:tc>
                      <w:tcPr>
                        <w:tcW w:w="998" w:type="dxa"/>
                      </w:tcPr>
                      <w:p>
                        <w:pPr>
                          <w:pStyle w:val="TableParagraph"/>
                          <w:spacing w:before="31"/>
                          <w:ind w:left="30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106.5</w:t>
                        </w:r>
                      </w:p>
                    </w:tc>
                    <w:tc>
                      <w:tcPr>
                        <w:tcW w:w="694" w:type="dxa"/>
                      </w:tcPr>
                      <w:p>
                        <w:pPr>
                          <w:pStyle w:val="TableParagraph"/>
                          <w:spacing w:before="31"/>
                          <w:ind w:left="120" w:right="13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2566</w:t>
                        </w:r>
                      </w:p>
                    </w:tc>
                    <w:tc>
                      <w:tcPr>
                        <w:tcW w:w="1088" w:type="dxa"/>
                      </w:tcPr>
                      <w:p>
                        <w:pPr>
                          <w:pStyle w:val="TableParagraph"/>
                          <w:spacing w:before="31"/>
                          <w:ind w:left="20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782.08</w:t>
                        </w:r>
                      </w:p>
                    </w:tc>
                    <w:tc>
                      <w:tcPr>
                        <w:tcW w:w="867" w:type="dxa"/>
                      </w:tcPr>
                      <w:p>
                        <w:pPr>
                          <w:pStyle w:val="TableParagraph"/>
                          <w:spacing w:before="31"/>
                          <w:ind w:left="390" w:right="30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11" w:type="dxa"/>
                      </w:tcPr>
                      <w:p>
                        <w:pPr>
                          <w:pStyle w:val="TableParagraph"/>
                          <w:spacing w:before="31"/>
                          <w:ind w:left="35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014" w:type="dxa"/>
                      </w:tcPr>
                      <w:p>
                        <w:pPr>
                          <w:pStyle w:val="TableParagraph"/>
                          <w:spacing w:before="31"/>
                          <w:ind w:left="203" w:right="21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8.000</w:t>
                        </w:r>
                      </w:p>
                    </w:tc>
                  </w:tr>
                  <w:tr>
                    <w:trPr>
                      <w:trHeight w:val="281" w:hRule="atLeast"/>
                    </w:trPr>
                    <w:tc>
                      <w:tcPr>
                        <w:tcW w:w="1542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E-10P-6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4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9</w:t>
                        </w:r>
                      </w:p>
                    </w:tc>
                    <w:tc>
                      <w:tcPr>
                        <w:tcW w:w="998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30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121.5</w:t>
                        </w:r>
                      </w:p>
                    </w:tc>
                    <w:tc>
                      <w:tcPr>
                        <w:tcW w:w="694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20" w:right="13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2930</w:t>
                        </w:r>
                      </w:p>
                    </w:tc>
                    <w:tc>
                      <w:tcPr>
                        <w:tcW w:w="1088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20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893.02</w:t>
                        </w:r>
                      </w:p>
                    </w:tc>
                    <w:tc>
                      <w:tcPr>
                        <w:tcW w:w="867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390" w:right="30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11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35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014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203" w:right="21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9.250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b/>
          <w:sz w:val="20"/>
        </w:rPr>
        <w:t>Table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16</w:t>
        <w:tab/>
        <w:t>0.50-in.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sphere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striking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specimen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E-10P-6</w:t>
      </w: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spacing w:before="3"/>
        <w:rPr>
          <w:b/>
          <w:sz w:val="23"/>
        </w:rPr>
      </w:pPr>
    </w:p>
    <w:p>
      <w:pPr>
        <w:tabs>
          <w:tab w:pos="2410" w:val="left" w:leader="none"/>
        </w:tabs>
        <w:spacing w:before="0"/>
        <w:ind w:left="733" w:right="0" w:firstLine="0"/>
        <w:jc w:val="center"/>
        <w:rPr>
          <w:b/>
          <w:sz w:val="20"/>
        </w:rPr>
      </w:pPr>
      <w:r>
        <w:rPr>
          <w:b/>
          <w:w w:val="100"/>
          <w:sz w:val="20"/>
          <w:u w:val="single"/>
        </w:rPr>
        <w:t> </w:t>
      </w:r>
      <w:r>
        <w:rPr>
          <w:b/>
          <w:sz w:val="20"/>
          <w:u w:val="single"/>
        </w:rPr>
        <w:tab/>
      </w: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spacing w:before="4"/>
        <w:rPr>
          <w:b/>
          <w:sz w:val="29"/>
        </w:rPr>
      </w:pPr>
    </w:p>
    <w:p>
      <w:pPr>
        <w:tabs>
          <w:tab w:pos="2153" w:val="left" w:leader="none"/>
        </w:tabs>
        <w:spacing w:before="0"/>
        <w:ind w:left="1159" w:right="0" w:firstLine="0"/>
        <w:jc w:val="center"/>
        <w:rPr>
          <w:b/>
          <w:sz w:val="20"/>
        </w:rPr>
      </w:pPr>
      <w:r>
        <w:rPr/>
        <w:pict>
          <v:shape style="position:absolute;margin-left:109.830002pt;margin-top:23.495949pt;width:427.95pt;height:231.25pt;mso-position-horizontal-relative:page;mso-position-vertical-relative:paragraph;z-index:1591603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497"/>
                    <w:gridCol w:w="953"/>
                    <w:gridCol w:w="719"/>
                    <w:gridCol w:w="1057"/>
                    <w:gridCol w:w="927"/>
                    <w:gridCol w:w="1048"/>
                    <w:gridCol w:w="961"/>
                    <w:gridCol w:w="1394"/>
                  </w:tblGrid>
                  <w:tr>
                    <w:trPr>
                      <w:trHeight w:val="508" w:hRule="atLeast"/>
                    </w:trPr>
                    <w:tc>
                      <w:tcPr>
                        <w:tcW w:w="1497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953" w:type="dxa"/>
                        <w:vMerge w:val="restart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0"/>
                          <w:rPr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59" w:lineRule="auto"/>
                          <w:ind w:left="148" w:right="135" w:hanging="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Powder</w:t>
                        </w:r>
                        <w:r>
                          <w:rPr>
                            <w:b/>
                            <w:spacing w:val="-47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Mass</w:t>
                        </w:r>
                        <w:r>
                          <w:rPr>
                            <w:b/>
                            <w:spacing w:val="1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(grains)</w:t>
                        </w:r>
                      </w:p>
                    </w:tc>
                    <w:tc>
                      <w:tcPr>
                        <w:tcW w:w="1776" w:type="dxa"/>
                        <w:gridSpan w:val="2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"/>
                          <w:rPr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23" w:lineRule="exact"/>
                          <w:ind w:left="191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Chrono-Based</w:t>
                        </w:r>
                      </w:p>
                    </w:tc>
                    <w:tc>
                      <w:tcPr>
                        <w:tcW w:w="1975" w:type="dxa"/>
                        <w:gridSpan w:val="2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"/>
                          <w:rPr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23" w:lineRule="exact"/>
                          <w:ind w:left="40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Chrono-Based</w:t>
                        </w:r>
                      </w:p>
                    </w:tc>
                    <w:tc>
                      <w:tcPr>
                        <w:tcW w:w="961" w:type="dxa"/>
                        <w:vMerge w:val="restart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47"/>
                          <w:ind w:left="29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DOP</w:t>
                        </w:r>
                      </w:p>
                      <w:p>
                        <w:pPr>
                          <w:pStyle w:val="TableParagraph"/>
                          <w:spacing w:before="18"/>
                          <w:ind w:left="360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(in)</w:t>
                        </w:r>
                      </w:p>
                    </w:tc>
                    <w:tc>
                      <w:tcPr>
                        <w:tcW w:w="1394" w:type="dxa"/>
                        <w:vMerge w:val="restart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59" w:lineRule="auto" w:before="147"/>
                          <w:ind w:left="581" w:right="200" w:hanging="22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Projectile</w:t>
                        </w:r>
                        <w:r>
                          <w:rPr>
                            <w:b/>
                            <w:spacing w:val="-47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type</w:t>
                        </w:r>
                      </w:p>
                    </w:tc>
                  </w:tr>
                  <w:tr>
                    <w:trPr>
                      <w:trHeight w:val="256" w:hRule="atLeast"/>
                    </w:trPr>
                    <w:tc>
                      <w:tcPr>
                        <w:tcW w:w="1497" w:type="dxa"/>
                      </w:tcPr>
                      <w:p>
                        <w:pPr>
                          <w:pStyle w:val="TableParagraph"/>
                          <w:spacing w:before="5"/>
                          <w:ind w:left="98" w:right="50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Shot</w:t>
                        </w:r>
                      </w:p>
                    </w:tc>
                    <w:tc>
                      <w:tcPr>
                        <w:tcW w:w="953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19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057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27" w:type="dxa"/>
                      </w:tcPr>
                      <w:p>
                        <w:pPr>
                          <w:pStyle w:val="TableParagraph"/>
                          <w:tabs>
                            <w:tab w:pos="1902" w:val="left" w:leader="none"/>
                          </w:tabs>
                          <w:spacing w:before="5"/>
                          <w:ind w:left="143" w:right="-980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100"/>
                            <w:sz w:val="20"/>
                            <w:u w:val="single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  <w:u w:val="single"/>
                          </w:rPr>
                          <w:tab/>
                        </w:r>
                      </w:p>
                    </w:tc>
                    <w:tc>
                      <w:tcPr>
                        <w:tcW w:w="1048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61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39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509" w:hRule="atLeast"/>
                    </w:trPr>
                    <w:tc>
                      <w:tcPr>
                        <w:tcW w:w="1497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953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19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145" w:right="165" w:firstLine="11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s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(fps)</w:t>
                        </w:r>
                      </w:p>
                    </w:tc>
                    <w:tc>
                      <w:tcPr>
                        <w:tcW w:w="1057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240" w:right="363" w:firstLine="141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s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(m/s)</w:t>
                        </w:r>
                      </w:p>
                    </w:tc>
                    <w:tc>
                      <w:tcPr>
                        <w:tcW w:w="927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333" w:right="185" w:firstLine="11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r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(fps)</w:t>
                        </w:r>
                      </w:p>
                    </w:tc>
                    <w:tc>
                      <w:tcPr>
                        <w:tcW w:w="1048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263" w:right="331" w:firstLine="13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r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(m/s)</w:t>
                        </w:r>
                      </w:p>
                    </w:tc>
                    <w:tc>
                      <w:tcPr>
                        <w:tcW w:w="961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39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318" w:hRule="atLeast"/>
                    </w:trPr>
                    <w:tc>
                      <w:tcPr>
                        <w:tcW w:w="1497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E-3P-11</w:t>
                        </w:r>
                      </w:p>
                    </w:tc>
                    <w:tc>
                      <w:tcPr>
                        <w:tcW w:w="953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237" w:right="22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109</w:t>
                        </w:r>
                      </w:p>
                    </w:tc>
                    <w:tc>
                      <w:tcPr>
                        <w:tcW w:w="719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20" w:right="1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2469</w:t>
                        </w:r>
                      </w:p>
                    </w:tc>
                    <w:tc>
                      <w:tcPr>
                        <w:tcW w:w="1057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8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752.51</w:t>
                        </w:r>
                      </w:p>
                    </w:tc>
                    <w:tc>
                      <w:tcPr>
                        <w:tcW w:w="927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32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1569</w:t>
                        </w:r>
                      </w:p>
                    </w:tc>
                    <w:tc>
                      <w:tcPr>
                        <w:tcW w:w="1048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20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478.21</w:t>
                        </w:r>
                      </w:p>
                    </w:tc>
                    <w:tc>
                      <w:tcPr>
                        <w:tcW w:w="961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right="379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394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24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0.50-cal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FSP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497" w:type="dxa"/>
                      </w:tcPr>
                      <w:p>
                        <w:pPr>
                          <w:pStyle w:val="TableParagraph"/>
                          <w:spacing w:before="31"/>
                          <w:ind w:left="1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E-3P-12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953" w:type="dxa"/>
                      </w:tcPr>
                      <w:p>
                        <w:pPr>
                          <w:pStyle w:val="TableParagraph"/>
                          <w:spacing w:before="31"/>
                          <w:ind w:left="237" w:right="22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100.0</w:t>
                        </w:r>
                      </w:p>
                    </w:tc>
                    <w:tc>
                      <w:tcPr>
                        <w:tcW w:w="719" w:type="dxa"/>
                      </w:tcPr>
                      <w:p>
                        <w:pPr>
                          <w:pStyle w:val="TableParagraph"/>
                          <w:spacing w:before="31"/>
                          <w:ind w:left="120" w:right="1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2526</w:t>
                        </w:r>
                      </w:p>
                    </w:tc>
                    <w:tc>
                      <w:tcPr>
                        <w:tcW w:w="1057" w:type="dxa"/>
                      </w:tcPr>
                      <w:p>
                        <w:pPr>
                          <w:pStyle w:val="TableParagraph"/>
                          <w:spacing w:before="31"/>
                          <w:ind w:left="18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769.89</w:t>
                        </w:r>
                      </w:p>
                    </w:tc>
                    <w:tc>
                      <w:tcPr>
                        <w:tcW w:w="927" w:type="dxa"/>
                      </w:tcPr>
                      <w:p>
                        <w:pPr>
                          <w:pStyle w:val="TableParagraph"/>
                          <w:spacing w:before="31"/>
                          <w:ind w:left="32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1587</w:t>
                        </w:r>
                      </w:p>
                    </w:tc>
                    <w:tc>
                      <w:tcPr>
                        <w:tcW w:w="1048" w:type="dxa"/>
                      </w:tcPr>
                      <w:p>
                        <w:pPr>
                          <w:pStyle w:val="TableParagraph"/>
                          <w:spacing w:before="31"/>
                          <w:ind w:left="20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483.69</w:t>
                        </w:r>
                      </w:p>
                    </w:tc>
                    <w:tc>
                      <w:tcPr>
                        <w:tcW w:w="961" w:type="dxa"/>
                      </w:tcPr>
                      <w:p>
                        <w:pPr>
                          <w:pStyle w:val="TableParagraph"/>
                          <w:spacing w:before="31"/>
                          <w:ind w:right="379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394" w:type="dxa"/>
                      </w:tcPr>
                      <w:p>
                        <w:pPr>
                          <w:pStyle w:val="TableParagraph"/>
                          <w:spacing w:before="31"/>
                          <w:ind w:left="24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1/2"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sphere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497" w:type="dxa"/>
                      </w:tcPr>
                      <w:p>
                        <w:pPr>
                          <w:pStyle w:val="TableParagraph"/>
                          <w:spacing w:before="31"/>
                          <w:ind w:left="1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E-3P-12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w="953" w:type="dxa"/>
                      </w:tcPr>
                      <w:p>
                        <w:pPr>
                          <w:pStyle w:val="TableParagraph"/>
                          <w:spacing w:before="31"/>
                          <w:ind w:left="237" w:right="22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100.0</w:t>
                        </w:r>
                      </w:p>
                    </w:tc>
                    <w:tc>
                      <w:tcPr>
                        <w:tcW w:w="719" w:type="dxa"/>
                      </w:tcPr>
                      <w:p>
                        <w:pPr>
                          <w:pStyle w:val="TableParagraph"/>
                          <w:spacing w:before="31"/>
                          <w:ind w:left="120" w:right="1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2392</w:t>
                        </w:r>
                      </w:p>
                    </w:tc>
                    <w:tc>
                      <w:tcPr>
                        <w:tcW w:w="1057" w:type="dxa"/>
                      </w:tcPr>
                      <w:p>
                        <w:pPr>
                          <w:pStyle w:val="TableParagraph"/>
                          <w:spacing w:before="31"/>
                          <w:ind w:left="18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729.05</w:t>
                        </w:r>
                      </w:p>
                    </w:tc>
                    <w:tc>
                      <w:tcPr>
                        <w:tcW w:w="927" w:type="dxa"/>
                      </w:tcPr>
                      <w:p>
                        <w:pPr>
                          <w:pStyle w:val="TableParagraph"/>
                          <w:spacing w:before="31"/>
                          <w:ind w:left="32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1452</w:t>
                        </w:r>
                      </w:p>
                    </w:tc>
                    <w:tc>
                      <w:tcPr>
                        <w:tcW w:w="1048" w:type="dxa"/>
                      </w:tcPr>
                      <w:p>
                        <w:pPr>
                          <w:pStyle w:val="TableParagraph"/>
                          <w:spacing w:before="31"/>
                          <w:ind w:left="20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442.55</w:t>
                        </w:r>
                      </w:p>
                    </w:tc>
                    <w:tc>
                      <w:tcPr>
                        <w:tcW w:w="961" w:type="dxa"/>
                      </w:tcPr>
                      <w:p>
                        <w:pPr>
                          <w:pStyle w:val="TableParagraph"/>
                          <w:spacing w:before="31"/>
                          <w:ind w:right="379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394" w:type="dxa"/>
                      </w:tcPr>
                      <w:p>
                        <w:pPr>
                          <w:pStyle w:val="TableParagraph"/>
                          <w:spacing w:before="31"/>
                          <w:ind w:left="24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1/2"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sphere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497" w:type="dxa"/>
                      </w:tcPr>
                      <w:p>
                        <w:pPr>
                          <w:pStyle w:val="TableParagraph"/>
                          <w:spacing w:before="31"/>
                          <w:ind w:left="1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E-3P-12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3</w:t>
                        </w:r>
                      </w:p>
                    </w:tc>
                    <w:tc>
                      <w:tcPr>
                        <w:tcW w:w="953" w:type="dxa"/>
                      </w:tcPr>
                      <w:p>
                        <w:pPr>
                          <w:pStyle w:val="TableParagraph"/>
                          <w:spacing w:before="31"/>
                          <w:ind w:left="237" w:right="22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100.0</w:t>
                        </w:r>
                      </w:p>
                    </w:tc>
                    <w:tc>
                      <w:tcPr>
                        <w:tcW w:w="719" w:type="dxa"/>
                      </w:tcPr>
                      <w:p>
                        <w:pPr>
                          <w:pStyle w:val="TableParagraph"/>
                          <w:spacing w:before="31"/>
                          <w:ind w:left="120" w:right="1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2400</w:t>
                        </w:r>
                      </w:p>
                    </w:tc>
                    <w:tc>
                      <w:tcPr>
                        <w:tcW w:w="1057" w:type="dxa"/>
                      </w:tcPr>
                      <w:p>
                        <w:pPr>
                          <w:pStyle w:val="TableParagraph"/>
                          <w:spacing w:before="31"/>
                          <w:ind w:left="18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731.48</w:t>
                        </w:r>
                      </w:p>
                    </w:tc>
                    <w:tc>
                      <w:tcPr>
                        <w:tcW w:w="927" w:type="dxa"/>
                      </w:tcPr>
                      <w:p>
                        <w:pPr>
                          <w:pStyle w:val="TableParagraph"/>
                          <w:spacing w:before="31"/>
                          <w:ind w:left="32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1352</w:t>
                        </w:r>
                      </w:p>
                    </w:tc>
                    <w:tc>
                      <w:tcPr>
                        <w:tcW w:w="1048" w:type="dxa"/>
                      </w:tcPr>
                      <w:p>
                        <w:pPr>
                          <w:pStyle w:val="TableParagraph"/>
                          <w:spacing w:before="31"/>
                          <w:ind w:left="20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412.07</w:t>
                        </w:r>
                      </w:p>
                    </w:tc>
                    <w:tc>
                      <w:tcPr>
                        <w:tcW w:w="961" w:type="dxa"/>
                      </w:tcPr>
                      <w:p>
                        <w:pPr>
                          <w:pStyle w:val="TableParagraph"/>
                          <w:spacing w:before="31"/>
                          <w:ind w:right="379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394" w:type="dxa"/>
                      </w:tcPr>
                      <w:p>
                        <w:pPr>
                          <w:pStyle w:val="TableParagraph"/>
                          <w:spacing w:before="31"/>
                          <w:ind w:left="24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1/2"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sphere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497" w:type="dxa"/>
                      </w:tcPr>
                      <w:p>
                        <w:pPr>
                          <w:pStyle w:val="TableParagraph"/>
                          <w:spacing w:before="31"/>
                          <w:ind w:left="1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E-3P-12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4</w:t>
                        </w:r>
                      </w:p>
                    </w:tc>
                    <w:tc>
                      <w:tcPr>
                        <w:tcW w:w="953" w:type="dxa"/>
                      </w:tcPr>
                      <w:p>
                        <w:pPr>
                          <w:pStyle w:val="TableParagraph"/>
                          <w:spacing w:before="31"/>
                          <w:ind w:left="237" w:right="22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104.5</w:t>
                        </w:r>
                      </w:p>
                    </w:tc>
                    <w:tc>
                      <w:tcPr>
                        <w:tcW w:w="719" w:type="dxa"/>
                      </w:tcPr>
                      <w:p>
                        <w:pPr>
                          <w:pStyle w:val="TableParagraph"/>
                          <w:spacing w:before="31"/>
                          <w:ind w:left="120" w:right="1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2453</w:t>
                        </w:r>
                      </w:p>
                    </w:tc>
                    <w:tc>
                      <w:tcPr>
                        <w:tcW w:w="1057" w:type="dxa"/>
                      </w:tcPr>
                      <w:p>
                        <w:pPr>
                          <w:pStyle w:val="TableParagraph"/>
                          <w:spacing w:before="31"/>
                          <w:ind w:left="18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747.64</w:t>
                        </w:r>
                      </w:p>
                    </w:tc>
                    <w:tc>
                      <w:tcPr>
                        <w:tcW w:w="927" w:type="dxa"/>
                      </w:tcPr>
                      <w:p>
                        <w:pPr>
                          <w:pStyle w:val="TableParagraph"/>
                          <w:spacing w:before="31"/>
                          <w:ind w:left="32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1504</w:t>
                        </w:r>
                      </w:p>
                    </w:tc>
                    <w:tc>
                      <w:tcPr>
                        <w:tcW w:w="1048" w:type="dxa"/>
                      </w:tcPr>
                      <w:p>
                        <w:pPr>
                          <w:pStyle w:val="TableParagraph"/>
                          <w:spacing w:before="31"/>
                          <w:ind w:left="20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458.40</w:t>
                        </w:r>
                      </w:p>
                    </w:tc>
                    <w:tc>
                      <w:tcPr>
                        <w:tcW w:w="961" w:type="dxa"/>
                      </w:tcPr>
                      <w:p>
                        <w:pPr>
                          <w:pStyle w:val="TableParagraph"/>
                          <w:spacing w:before="31"/>
                          <w:ind w:right="379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394" w:type="dxa"/>
                      </w:tcPr>
                      <w:p>
                        <w:pPr>
                          <w:pStyle w:val="TableParagraph"/>
                          <w:spacing w:before="31"/>
                          <w:ind w:left="24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1/2"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sphere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497" w:type="dxa"/>
                      </w:tcPr>
                      <w:p>
                        <w:pPr>
                          <w:pStyle w:val="TableParagraph"/>
                          <w:spacing w:before="31"/>
                          <w:ind w:left="1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E-3P-12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5</w:t>
                        </w:r>
                      </w:p>
                    </w:tc>
                    <w:tc>
                      <w:tcPr>
                        <w:tcW w:w="953" w:type="dxa"/>
                      </w:tcPr>
                      <w:p>
                        <w:pPr>
                          <w:pStyle w:val="TableParagraph"/>
                          <w:spacing w:before="31"/>
                          <w:ind w:left="237" w:right="22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106.5</w:t>
                        </w:r>
                      </w:p>
                    </w:tc>
                    <w:tc>
                      <w:tcPr>
                        <w:tcW w:w="719" w:type="dxa"/>
                      </w:tcPr>
                      <w:p>
                        <w:pPr>
                          <w:pStyle w:val="TableParagraph"/>
                          <w:spacing w:before="31"/>
                          <w:ind w:left="120" w:right="1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2597</w:t>
                        </w:r>
                      </w:p>
                    </w:tc>
                    <w:tc>
                      <w:tcPr>
                        <w:tcW w:w="1057" w:type="dxa"/>
                      </w:tcPr>
                      <w:p>
                        <w:pPr>
                          <w:pStyle w:val="TableParagraph"/>
                          <w:spacing w:before="31"/>
                          <w:ind w:left="18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791.53</w:t>
                        </w:r>
                      </w:p>
                    </w:tc>
                    <w:tc>
                      <w:tcPr>
                        <w:tcW w:w="927" w:type="dxa"/>
                      </w:tcPr>
                      <w:p>
                        <w:pPr>
                          <w:pStyle w:val="TableParagraph"/>
                          <w:spacing w:before="31"/>
                          <w:ind w:left="32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1651</w:t>
                        </w:r>
                      </w:p>
                    </w:tc>
                    <w:tc>
                      <w:tcPr>
                        <w:tcW w:w="1048" w:type="dxa"/>
                      </w:tcPr>
                      <w:p>
                        <w:pPr>
                          <w:pStyle w:val="TableParagraph"/>
                          <w:spacing w:before="31"/>
                          <w:ind w:left="20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503.20</w:t>
                        </w:r>
                      </w:p>
                    </w:tc>
                    <w:tc>
                      <w:tcPr>
                        <w:tcW w:w="961" w:type="dxa"/>
                      </w:tcPr>
                      <w:p>
                        <w:pPr>
                          <w:pStyle w:val="TableParagraph"/>
                          <w:spacing w:before="31"/>
                          <w:ind w:right="379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394" w:type="dxa"/>
                      </w:tcPr>
                      <w:p>
                        <w:pPr>
                          <w:pStyle w:val="TableParagraph"/>
                          <w:spacing w:before="31"/>
                          <w:ind w:left="24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1/2"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sphere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497" w:type="dxa"/>
                      </w:tcPr>
                      <w:p>
                        <w:pPr>
                          <w:pStyle w:val="TableParagraph"/>
                          <w:spacing w:before="31"/>
                          <w:ind w:left="1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E-3P-17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953" w:type="dxa"/>
                      </w:tcPr>
                      <w:p>
                        <w:pPr>
                          <w:pStyle w:val="TableParagraph"/>
                          <w:spacing w:before="31"/>
                          <w:ind w:left="237" w:right="22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103.0</w:t>
                        </w:r>
                      </w:p>
                    </w:tc>
                    <w:tc>
                      <w:tcPr>
                        <w:tcW w:w="719" w:type="dxa"/>
                      </w:tcPr>
                      <w:p>
                        <w:pPr>
                          <w:pStyle w:val="TableParagraph"/>
                          <w:spacing w:before="31"/>
                          <w:ind w:left="120" w:right="1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2429</w:t>
                        </w:r>
                      </w:p>
                    </w:tc>
                    <w:tc>
                      <w:tcPr>
                        <w:tcW w:w="1057" w:type="dxa"/>
                      </w:tcPr>
                      <w:p>
                        <w:pPr>
                          <w:pStyle w:val="TableParagraph"/>
                          <w:spacing w:before="31"/>
                          <w:ind w:left="18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740.32</w:t>
                        </w:r>
                      </w:p>
                    </w:tc>
                    <w:tc>
                      <w:tcPr>
                        <w:tcW w:w="927" w:type="dxa"/>
                      </w:tcPr>
                      <w:p>
                        <w:pPr>
                          <w:pStyle w:val="TableParagraph"/>
                          <w:spacing w:before="31"/>
                          <w:ind w:left="32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1186</w:t>
                        </w:r>
                      </w:p>
                    </w:tc>
                    <w:tc>
                      <w:tcPr>
                        <w:tcW w:w="1048" w:type="dxa"/>
                      </w:tcPr>
                      <w:p>
                        <w:pPr>
                          <w:pStyle w:val="TableParagraph"/>
                          <w:spacing w:before="31"/>
                          <w:ind w:left="20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361.48</w:t>
                        </w:r>
                      </w:p>
                    </w:tc>
                    <w:tc>
                      <w:tcPr>
                        <w:tcW w:w="961" w:type="dxa"/>
                      </w:tcPr>
                      <w:p>
                        <w:pPr>
                          <w:pStyle w:val="TableParagraph"/>
                          <w:spacing w:before="31"/>
                          <w:ind w:right="379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394" w:type="dxa"/>
                      </w:tcPr>
                      <w:p>
                        <w:pPr>
                          <w:pStyle w:val="TableParagraph"/>
                          <w:spacing w:before="31"/>
                          <w:ind w:left="24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1/2"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sphere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497" w:type="dxa"/>
                      </w:tcPr>
                      <w:p>
                        <w:pPr>
                          <w:pStyle w:val="TableParagraph"/>
                          <w:spacing w:before="31"/>
                          <w:ind w:left="1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E-3P-17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w="953" w:type="dxa"/>
                      </w:tcPr>
                      <w:p>
                        <w:pPr>
                          <w:pStyle w:val="TableParagraph"/>
                          <w:spacing w:before="31"/>
                          <w:ind w:left="237" w:right="22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103.5</w:t>
                        </w:r>
                      </w:p>
                    </w:tc>
                    <w:tc>
                      <w:tcPr>
                        <w:tcW w:w="719" w:type="dxa"/>
                      </w:tcPr>
                      <w:p>
                        <w:pPr>
                          <w:pStyle w:val="TableParagraph"/>
                          <w:spacing w:before="31"/>
                          <w:ind w:left="120" w:right="1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2416</w:t>
                        </w:r>
                      </w:p>
                    </w:tc>
                    <w:tc>
                      <w:tcPr>
                        <w:tcW w:w="1057" w:type="dxa"/>
                      </w:tcPr>
                      <w:p>
                        <w:pPr>
                          <w:pStyle w:val="TableParagraph"/>
                          <w:spacing w:before="31"/>
                          <w:ind w:left="18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736.36</w:t>
                        </w:r>
                      </w:p>
                    </w:tc>
                    <w:tc>
                      <w:tcPr>
                        <w:tcW w:w="927" w:type="dxa"/>
                      </w:tcPr>
                      <w:p>
                        <w:pPr>
                          <w:pStyle w:val="TableParagraph"/>
                          <w:spacing w:before="31"/>
                          <w:ind w:left="32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1308</w:t>
                        </w:r>
                      </w:p>
                    </w:tc>
                    <w:tc>
                      <w:tcPr>
                        <w:tcW w:w="1048" w:type="dxa"/>
                      </w:tcPr>
                      <w:p>
                        <w:pPr>
                          <w:pStyle w:val="TableParagraph"/>
                          <w:spacing w:before="31"/>
                          <w:ind w:left="20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398.66</w:t>
                        </w:r>
                      </w:p>
                    </w:tc>
                    <w:tc>
                      <w:tcPr>
                        <w:tcW w:w="961" w:type="dxa"/>
                      </w:tcPr>
                      <w:p>
                        <w:pPr>
                          <w:pStyle w:val="TableParagraph"/>
                          <w:spacing w:before="31"/>
                          <w:ind w:right="379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394" w:type="dxa"/>
                      </w:tcPr>
                      <w:p>
                        <w:pPr>
                          <w:pStyle w:val="TableParagraph"/>
                          <w:spacing w:before="31"/>
                          <w:ind w:left="24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1/2"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sphere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497" w:type="dxa"/>
                      </w:tcPr>
                      <w:p>
                        <w:pPr>
                          <w:pStyle w:val="TableParagraph"/>
                          <w:spacing w:before="31"/>
                          <w:ind w:left="1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E-3P-17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3</w:t>
                        </w:r>
                      </w:p>
                    </w:tc>
                    <w:tc>
                      <w:tcPr>
                        <w:tcW w:w="953" w:type="dxa"/>
                      </w:tcPr>
                      <w:p>
                        <w:pPr>
                          <w:pStyle w:val="TableParagraph"/>
                          <w:spacing w:before="31"/>
                          <w:ind w:left="237" w:right="22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104.0</w:t>
                        </w:r>
                      </w:p>
                    </w:tc>
                    <w:tc>
                      <w:tcPr>
                        <w:tcW w:w="719" w:type="dxa"/>
                      </w:tcPr>
                      <w:p>
                        <w:pPr>
                          <w:pStyle w:val="TableParagraph"/>
                          <w:spacing w:before="31"/>
                          <w:ind w:left="120" w:right="1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2544</w:t>
                        </w:r>
                      </w:p>
                    </w:tc>
                    <w:tc>
                      <w:tcPr>
                        <w:tcW w:w="1057" w:type="dxa"/>
                      </w:tcPr>
                      <w:p>
                        <w:pPr>
                          <w:pStyle w:val="TableParagraph"/>
                          <w:spacing w:before="31"/>
                          <w:ind w:left="18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775.37</w:t>
                        </w:r>
                      </w:p>
                    </w:tc>
                    <w:tc>
                      <w:tcPr>
                        <w:tcW w:w="927" w:type="dxa"/>
                      </w:tcPr>
                      <w:p>
                        <w:pPr>
                          <w:pStyle w:val="TableParagraph"/>
                          <w:spacing w:before="31"/>
                          <w:ind w:left="32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1487</w:t>
                        </w:r>
                      </w:p>
                    </w:tc>
                    <w:tc>
                      <w:tcPr>
                        <w:tcW w:w="1048" w:type="dxa"/>
                      </w:tcPr>
                      <w:p>
                        <w:pPr>
                          <w:pStyle w:val="TableParagraph"/>
                          <w:spacing w:before="31"/>
                          <w:ind w:left="20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453.22</w:t>
                        </w:r>
                      </w:p>
                    </w:tc>
                    <w:tc>
                      <w:tcPr>
                        <w:tcW w:w="961" w:type="dxa"/>
                      </w:tcPr>
                      <w:p>
                        <w:pPr>
                          <w:pStyle w:val="TableParagraph"/>
                          <w:spacing w:before="31"/>
                          <w:ind w:right="379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394" w:type="dxa"/>
                      </w:tcPr>
                      <w:p>
                        <w:pPr>
                          <w:pStyle w:val="TableParagraph"/>
                          <w:spacing w:before="31"/>
                          <w:ind w:left="24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1/2"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sphere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497" w:type="dxa"/>
                      </w:tcPr>
                      <w:p>
                        <w:pPr>
                          <w:pStyle w:val="TableParagraph"/>
                          <w:spacing w:before="31"/>
                          <w:ind w:left="1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E-3P-17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4</w:t>
                        </w:r>
                      </w:p>
                    </w:tc>
                    <w:tc>
                      <w:tcPr>
                        <w:tcW w:w="953" w:type="dxa"/>
                      </w:tcPr>
                      <w:p>
                        <w:pPr>
                          <w:pStyle w:val="TableParagraph"/>
                          <w:spacing w:before="31"/>
                          <w:ind w:left="237" w:right="22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103.0</w:t>
                        </w:r>
                      </w:p>
                    </w:tc>
                    <w:tc>
                      <w:tcPr>
                        <w:tcW w:w="719" w:type="dxa"/>
                      </w:tcPr>
                      <w:p>
                        <w:pPr>
                          <w:pStyle w:val="TableParagraph"/>
                          <w:spacing w:before="31"/>
                          <w:ind w:left="120" w:right="1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2550</w:t>
                        </w:r>
                      </w:p>
                    </w:tc>
                    <w:tc>
                      <w:tcPr>
                        <w:tcW w:w="1057" w:type="dxa"/>
                      </w:tcPr>
                      <w:p>
                        <w:pPr>
                          <w:pStyle w:val="TableParagraph"/>
                          <w:spacing w:before="31"/>
                          <w:ind w:left="18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777.20</w:t>
                        </w:r>
                      </w:p>
                    </w:tc>
                    <w:tc>
                      <w:tcPr>
                        <w:tcW w:w="927" w:type="dxa"/>
                      </w:tcPr>
                      <w:p>
                        <w:pPr>
                          <w:pStyle w:val="TableParagraph"/>
                          <w:spacing w:before="31"/>
                          <w:ind w:left="32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1327</w:t>
                        </w:r>
                      </w:p>
                    </w:tc>
                    <w:tc>
                      <w:tcPr>
                        <w:tcW w:w="1048" w:type="dxa"/>
                      </w:tcPr>
                      <w:p>
                        <w:pPr>
                          <w:pStyle w:val="TableParagraph"/>
                          <w:spacing w:before="31"/>
                          <w:ind w:left="20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404.45</w:t>
                        </w:r>
                      </w:p>
                    </w:tc>
                    <w:tc>
                      <w:tcPr>
                        <w:tcW w:w="961" w:type="dxa"/>
                      </w:tcPr>
                      <w:p>
                        <w:pPr>
                          <w:pStyle w:val="TableParagraph"/>
                          <w:spacing w:before="31"/>
                          <w:ind w:right="379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394" w:type="dxa"/>
                      </w:tcPr>
                      <w:p>
                        <w:pPr>
                          <w:pStyle w:val="TableParagraph"/>
                          <w:spacing w:before="31"/>
                          <w:ind w:left="24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1/2"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sphere</w:t>
                        </w:r>
                      </w:p>
                    </w:tc>
                  </w:tr>
                  <w:tr>
                    <w:trPr>
                      <w:trHeight w:val="282" w:hRule="atLeast"/>
                    </w:trPr>
                    <w:tc>
                      <w:tcPr>
                        <w:tcW w:w="1497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E-3P-16</w:t>
                        </w:r>
                      </w:p>
                    </w:tc>
                    <w:tc>
                      <w:tcPr>
                        <w:tcW w:w="953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237" w:right="22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103.0</w:t>
                        </w:r>
                      </w:p>
                    </w:tc>
                    <w:tc>
                      <w:tcPr>
                        <w:tcW w:w="719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20" w:right="1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2538</w:t>
                        </w:r>
                      </w:p>
                    </w:tc>
                    <w:tc>
                      <w:tcPr>
                        <w:tcW w:w="1057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8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773.54</w:t>
                        </w:r>
                      </w:p>
                    </w:tc>
                    <w:tc>
                      <w:tcPr>
                        <w:tcW w:w="927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32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1363</w:t>
                        </w:r>
                      </w:p>
                    </w:tc>
                    <w:tc>
                      <w:tcPr>
                        <w:tcW w:w="1048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20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415.42</w:t>
                        </w:r>
                      </w:p>
                    </w:tc>
                    <w:tc>
                      <w:tcPr>
                        <w:tcW w:w="961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right="379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394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24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1/2"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sphere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b/>
          <w:sz w:val="20"/>
        </w:rPr>
        <w:t>Table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17</w:t>
        <w:tab/>
        <w:t>Various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3-P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specimens</w:t>
      </w: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spacing w:before="2"/>
        <w:rPr>
          <w:b/>
          <w:sz w:val="23"/>
        </w:rPr>
      </w:pPr>
    </w:p>
    <w:p>
      <w:pPr>
        <w:tabs>
          <w:tab w:pos="1676" w:val="left" w:leader="none"/>
        </w:tabs>
        <w:spacing w:before="1"/>
        <w:ind w:left="0" w:right="885" w:firstLine="0"/>
        <w:jc w:val="center"/>
        <w:rPr>
          <w:b/>
          <w:sz w:val="20"/>
        </w:rPr>
      </w:pPr>
      <w:r>
        <w:rPr>
          <w:b/>
          <w:w w:val="100"/>
          <w:sz w:val="20"/>
          <w:u w:val="single"/>
        </w:rPr>
        <w:t> </w:t>
      </w:r>
      <w:r>
        <w:rPr>
          <w:b/>
          <w:sz w:val="20"/>
          <w:u w:val="single"/>
        </w:rPr>
        <w:tab/>
      </w:r>
    </w:p>
    <w:p>
      <w:pPr>
        <w:spacing w:after="0"/>
        <w:jc w:val="center"/>
        <w:rPr>
          <w:sz w:val="20"/>
        </w:rPr>
        <w:sectPr>
          <w:pgSz w:w="12240" w:h="15840"/>
          <w:pgMar w:header="0" w:footer="1064" w:top="1500" w:bottom="1260" w:left="440" w:right="880"/>
        </w:sectPr>
      </w:pPr>
    </w:p>
    <w:p>
      <w:pPr>
        <w:spacing w:before="80"/>
        <w:ind w:left="1938" w:right="778" w:firstLine="0"/>
        <w:jc w:val="center"/>
        <w:rPr>
          <w:b/>
          <w:sz w:val="20"/>
        </w:rPr>
      </w:pPr>
      <w:r>
        <w:rPr>
          <w:b/>
          <w:sz w:val="20"/>
        </w:rPr>
        <w:t>Table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18</w:t>
      </w:r>
      <w:r>
        <w:rPr>
          <w:b/>
          <w:spacing w:val="46"/>
          <w:sz w:val="20"/>
        </w:rPr>
        <w:t> </w:t>
      </w:r>
      <w:r>
        <w:rPr>
          <w:b/>
          <w:sz w:val="20"/>
        </w:rPr>
        <w:t>Fog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room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weathered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specimens</w:t>
      </w:r>
    </w:p>
    <w:p>
      <w:pPr>
        <w:pStyle w:val="BodyText"/>
        <w:spacing w:before="5"/>
        <w:rPr>
          <w:b/>
          <w:sz w:val="15"/>
        </w:rPr>
      </w:pPr>
    </w:p>
    <w:tbl>
      <w:tblPr>
        <w:tblW w:w="0" w:type="auto"/>
        <w:jc w:val="left"/>
        <w:tblInd w:w="2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47"/>
        <w:gridCol w:w="981"/>
        <w:gridCol w:w="637"/>
        <w:gridCol w:w="803"/>
        <w:gridCol w:w="360"/>
        <w:gridCol w:w="637"/>
        <w:gridCol w:w="803"/>
        <w:gridCol w:w="900"/>
      </w:tblGrid>
      <w:tr>
        <w:trPr>
          <w:trHeight w:val="778" w:hRule="atLeast"/>
        </w:trPr>
        <w:tc>
          <w:tcPr>
            <w:tcW w:w="1547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6"/>
              <w:rPr>
                <w:b/>
                <w:sz w:val="23"/>
              </w:rPr>
            </w:pPr>
          </w:p>
          <w:p>
            <w:pPr>
              <w:pStyle w:val="TableParagraph"/>
              <w:ind w:left="603" w:right="5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Shot</w:t>
            </w:r>
          </w:p>
        </w:tc>
        <w:tc>
          <w:tcPr>
            <w:tcW w:w="981" w:type="dxa"/>
            <w:vMerge w:val="restart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59" w:lineRule="auto"/>
              <w:ind w:left="197" w:right="1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Powder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Mass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pacing w:val="-1"/>
                <w:sz w:val="20"/>
              </w:rPr>
              <w:t>(grains)</w:t>
            </w:r>
          </w:p>
        </w:tc>
        <w:tc>
          <w:tcPr>
            <w:tcW w:w="1440" w:type="dxa"/>
            <w:gridSpan w:val="2"/>
            <w:tcBorders>
              <w:top w:val="single" w:sz="4" w:space="0" w:color="000000"/>
              <w:bottom w:val="single" w:sz="8" w:space="0" w:color="000000"/>
            </w:tcBorders>
          </w:tcPr>
          <w:p>
            <w:pPr>
              <w:pStyle w:val="TableParagraph"/>
              <w:spacing w:line="259" w:lineRule="auto" w:before="142"/>
              <w:ind w:left="464" w:right="339" w:hanging="106"/>
              <w:rPr>
                <w:b/>
                <w:sz w:val="20"/>
              </w:rPr>
            </w:pPr>
            <w:r>
              <w:rPr>
                <w:b/>
                <w:sz w:val="20"/>
              </w:rPr>
              <w:t>Chrono-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Based</w:t>
            </w:r>
          </w:p>
        </w:tc>
        <w:tc>
          <w:tcPr>
            <w:tcW w:w="1800" w:type="dxa"/>
            <w:gridSpan w:val="3"/>
            <w:tcBorders>
              <w:top w:val="single" w:sz="4" w:space="0" w:color="000000"/>
            </w:tcBorders>
          </w:tcPr>
          <w:p>
            <w:pPr>
              <w:pStyle w:val="TableParagraph"/>
              <w:spacing w:line="259" w:lineRule="auto" w:before="142"/>
              <w:ind w:left="824" w:right="339" w:hanging="106"/>
              <w:rPr>
                <w:b/>
                <w:sz w:val="20"/>
              </w:rPr>
            </w:pPr>
            <w:r>
              <w:rPr>
                <w:b/>
                <w:sz w:val="20"/>
              </w:rPr>
              <w:t>Chrono-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Based</w:t>
            </w:r>
          </w:p>
        </w:tc>
        <w:tc>
          <w:tcPr>
            <w:tcW w:w="900" w:type="dxa"/>
            <w:vMerge w:val="restart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47"/>
              <w:ind w:left="238"/>
              <w:rPr>
                <w:b/>
                <w:sz w:val="20"/>
              </w:rPr>
            </w:pPr>
            <w:r>
              <w:rPr>
                <w:b/>
                <w:sz w:val="20"/>
              </w:rPr>
              <w:t>DOP</w:t>
            </w:r>
          </w:p>
          <w:p>
            <w:pPr>
              <w:pStyle w:val="TableParagraph"/>
              <w:spacing w:before="18"/>
              <w:ind w:left="299"/>
              <w:rPr>
                <w:b/>
                <w:sz w:val="20"/>
              </w:rPr>
            </w:pPr>
            <w:r>
              <w:rPr>
                <w:b/>
                <w:sz w:val="20"/>
              </w:rPr>
              <w:t>(in)</w:t>
            </w:r>
          </w:p>
        </w:tc>
      </w:tr>
      <w:tr>
        <w:trPr>
          <w:trHeight w:val="496" w:hRule="atLeast"/>
        </w:trPr>
        <w:tc>
          <w:tcPr>
            <w:tcW w:w="1547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981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37" w:type="dxa"/>
            <w:tcBorders>
              <w:top w:val="single" w:sz="8" w:space="0" w:color="000000"/>
              <w:bottom w:val="single" w:sz="4" w:space="0" w:color="000000"/>
            </w:tcBorders>
          </w:tcPr>
          <w:p>
            <w:pPr>
              <w:pStyle w:val="TableParagraph"/>
              <w:spacing w:line="238" w:lineRule="exact"/>
              <w:ind w:left="120" w:right="108" w:firstLine="118"/>
              <w:rPr>
                <w:b/>
                <w:sz w:val="20"/>
              </w:rPr>
            </w:pPr>
            <w:r>
              <w:rPr>
                <w:b/>
                <w:position w:val="1"/>
                <w:sz w:val="20"/>
              </w:rPr>
              <w:t>v</w:t>
            </w:r>
            <w:r>
              <w:rPr>
                <w:b/>
                <w:sz w:val="13"/>
              </w:rPr>
              <w:t>s</w:t>
            </w:r>
            <w:r>
              <w:rPr>
                <w:b/>
                <w:spacing w:val="1"/>
                <w:sz w:val="13"/>
              </w:rPr>
              <w:t> </w:t>
            </w:r>
            <w:r>
              <w:rPr>
                <w:b/>
                <w:sz w:val="20"/>
              </w:rPr>
              <w:t>(fps)</w:t>
            </w:r>
          </w:p>
        </w:tc>
        <w:tc>
          <w:tcPr>
            <w:tcW w:w="803" w:type="dxa"/>
            <w:tcBorders>
              <w:top w:val="single" w:sz="8" w:space="0" w:color="000000"/>
              <w:bottom w:val="single" w:sz="4" w:space="0" w:color="000000"/>
            </w:tcBorders>
          </w:tcPr>
          <w:p>
            <w:pPr>
              <w:pStyle w:val="TableParagraph"/>
              <w:spacing w:line="238" w:lineRule="exact"/>
              <w:ind w:left="181" w:right="168" w:firstLine="140"/>
              <w:rPr>
                <w:b/>
                <w:sz w:val="20"/>
              </w:rPr>
            </w:pPr>
            <w:r>
              <w:rPr>
                <w:b/>
                <w:position w:val="1"/>
                <w:sz w:val="20"/>
              </w:rPr>
              <w:t>v</w:t>
            </w:r>
            <w:r>
              <w:rPr>
                <w:b/>
                <w:sz w:val="13"/>
              </w:rPr>
              <w:t>s</w:t>
            </w:r>
            <w:r>
              <w:rPr>
                <w:b/>
                <w:spacing w:val="1"/>
                <w:sz w:val="13"/>
              </w:rPr>
              <w:t> </w:t>
            </w:r>
            <w:r>
              <w:rPr>
                <w:b/>
                <w:sz w:val="20"/>
              </w:rPr>
              <w:t>(m/s)</w:t>
            </w:r>
          </w:p>
        </w:tc>
        <w:tc>
          <w:tcPr>
            <w:tcW w:w="360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  <w:tcBorders>
              <w:top w:val="single" w:sz="8" w:space="0" w:color="000000"/>
              <w:bottom w:val="single" w:sz="4" w:space="0" w:color="000000"/>
            </w:tcBorders>
          </w:tcPr>
          <w:p>
            <w:pPr>
              <w:pStyle w:val="TableParagraph"/>
              <w:spacing w:line="238" w:lineRule="exact"/>
              <w:ind w:left="120" w:right="108" w:firstLine="115"/>
              <w:rPr>
                <w:b/>
                <w:sz w:val="20"/>
              </w:rPr>
            </w:pPr>
            <w:r>
              <w:rPr>
                <w:b/>
                <w:position w:val="1"/>
                <w:sz w:val="20"/>
              </w:rPr>
              <w:t>v</w:t>
            </w:r>
            <w:r>
              <w:rPr>
                <w:b/>
                <w:sz w:val="13"/>
              </w:rPr>
              <w:t>r</w:t>
            </w:r>
            <w:r>
              <w:rPr>
                <w:b/>
                <w:spacing w:val="1"/>
                <w:sz w:val="13"/>
              </w:rPr>
              <w:t> </w:t>
            </w:r>
            <w:r>
              <w:rPr>
                <w:b/>
                <w:sz w:val="20"/>
              </w:rPr>
              <w:t>(fps)</w:t>
            </w:r>
          </w:p>
        </w:tc>
        <w:tc>
          <w:tcPr>
            <w:tcW w:w="803" w:type="dxa"/>
            <w:tcBorders>
              <w:top w:val="single" w:sz="8" w:space="0" w:color="000000"/>
              <w:bottom w:val="single" w:sz="4" w:space="0" w:color="000000"/>
            </w:tcBorders>
          </w:tcPr>
          <w:p>
            <w:pPr>
              <w:pStyle w:val="TableParagraph"/>
              <w:spacing w:line="238" w:lineRule="exact"/>
              <w:ind w:left="181" w:right="168" w:firstLine="136"/>
              <w:rPr>
                <w:b/>
                <w:sz w:val="20"/>
              </w:rPr>
            </w:pPr>
            <w:r>
              <w:rPr>
                <w:b/>
                <w:position w:val="1"/>
                <w:sz w:val="20"/>
              </w:rPr>
              <w:t>v</w:t>
            </w:r>
            <w:r>
              <w:rPr>
                <w:b/>
                <w:sz w:val="13"/>
              </w:rPr>
              <w:t>r</w:t>
            </w:r>
            <w:r>
              <w:rPr>
                <w:b/>
                <w:spacing w:val="1"/>
                <w:sz w:val="13"/>
              </w:rPr>
              <w:t> </w:t>
            </w:r>
            <w:r>
              <w:rPr>
                <w:b/>
                <w:sz w:val="20"/>
              </w:rPr>
              <w:t>(m/s)</w:t>
            </w:r>
          </w:p>
        </w:tc>
        <w:tc>
          <w:tcPr>
            <w:tcW w:w="900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06" w:hRule="atLeast"/>
        </w:trPr>
        <w:tc>
          <w:tcPr>
            <w:tcW w:w="1547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50"/>
              <w:ind w:left="116"/>
              <w:rPr>
                <w:sz w:val="20"/>
              </w:rPr>
            </w:pPr>
            <w:r>
              <w:rPr>
                <w:sz w:val="20"/>
              </w:rPr>
              <w:t>E-5P-18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1</w:t>
            </w:r>
          </w:p>
        </w:tc>
        <w:tc>
          <w:tcPr>
            <w:tcW w:w="981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24"/>
              <w:ind w:left="196" w:right="116"/>
              <w:jc w:val="center"/>
              <w:rPr>
                <w:sz w:val="20"/>
              </w:rPr>
            </w:pPr>
            <w:r>
              <w:rPr>
                <w:sz w:val="20"/>
              </w:rPr>
              <w:t>106.5</w:t>
            </w:r>
          </w:p>
        </w:tc>
        <w:tc>
          <w:tcPr>
            <w:tcW w:w="637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24"/>
              <w:ind w:left="115"/>
              <w:rPr>
                <w:sz w:val="20"/>
              </w:rPr>
            </w:pPr>
            <w:r>
              <w:rPr>
                <w:sz w:val="20"/>
              </w:rPr>
              <w:t>2247</w:t>
            </w:r>
          </w:p>
        </w:tc>
        <w:tc>
          <w:tcPr>
            <w:tcW w:w="803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50"/>
              <w:ind w:left="122"/>
              <w:rPr>
                <w:sz w:val="20"/>
              </w:rPr>
            </w:pPr>
            <w:r>
              <w:rPr>
                <w:sz w:val="20"/>
              </w:rPr>
              <w:t>685.06</w:t>
            </w:r>
          </w:p>
        </w:tc>
        <w:tc>
          <w:tcPr>
            <w:tcW w:w="360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24"/>
              <w:ind w:left="96" w:right="99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803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24"/>
              <w:ind w:left="103" w:right="106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900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24"/>
              <w:ind w:left="155" w:right="155"/>
              <w:jc w:val="center"/>
              <w:rPr>
                <w:sz w:val="20"/>
              </w:rPr>
            </w:pPr>
            <w:r>
              <w:rPr>
                <w:sz w:val="20"/>
              </w:rPr>
              <w:t>5.1875</w:t>
            </w:r>
          </w:p>
        </w:tc>
      </w:tr>
      <w:tr>
        <w:trPr>
          <w:trHeight w:val="300" w:hRule="atLeast"/>
        </w:trPr>
        <w:tc>
          <w:tcPr>
            <w:tcW w:w="1547" w:type="dxa"/>
          </w:tcPr>
          <w:p>
            <w:pPr>
              <w:pStyle w:val="TableParagraph"/>
              <w:spacing w:before="44"/>
              <w:ind w:left="116"/>
              <w:rPr>
                <w:sz w:val="20"/>
              </w:rPr>
            </w:pPr>
            <w:r>
              <w:rPr>
                <w:sz w:val="20"/>
              </w:rPr>
              <w:t>E-5P-18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2</w:t>
            </w:r>
          </w:p>
        </w:tc>
        <w:tc>
          <w:tcPr>
            <w:tcW w:w="981" w:type="dxa"/>
          </w:tcPr>
          <w:p>
            <w:pPr>
              <w:pStyle w:val="TableParagraph"/>
              <w:spacing w:before="17"/>
              <w:ind w:left="196" w:right="116"/>
              <w:jc w:val="center"/>
              <w:rPr>
                <w:sz w:val="20"/>
              </w:rPr>
            </w:pPr>
            <w:r>
              <w:rPr>
                <w:sz w:val="20"/>
              </w:rPr>
              <w:t>118.5</w:t>
            </w:r>
          </w:p>
        </w:tc>
        <w:tc>
          <w:tcPr>
            <w:tcW w:w="637" w:type="dxa"/>
          </w:tcPr>
          <w:p>
            <w:pPr>
              <w:pStyle w:val="TableParagraph"/>
              <w:spacing w:before="17"/>
              <w:ind w:left="115"/>
              <w:rPr>
                <w:sz w:val="20"/>
              </w:rPr>
            </w:pPr>
            <w:r>
              <w:rPr>
                <w:sz w:val="20"/>
              </w:rPr>
              <w:t>2697</w:t>
            </w:r>
          </w:p>
        </w:tc>
        <w:tc>
          <w:tcPr>
            <w:tcW w:w="803" w:type="dxa"/>
          </w:tcPr>
          <w:p>
            <w:pPr>
              <w:pStyle w:val="TableParagraph"/>
              <w:spacing w:before="44"/>
              <w:ind w:left="122"/>
              <w:rPr>
                <w:sz w:val="20"/>
              </w:rPr>
            </w:pPr>
            <w:r>
              <w:rPr>
                <w:sz w:val="20"/>
              </w:rPr>
              <w:t>822.26</w:t>
            </w:r>
          </w:p>
        </w:tc>
        <w:tc>
          <w:tcPr>
            <w:tcW w:w="36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>
            <w:pPr>
              <w:pStyle w:val="TableParagraph"/>
              <w:spacing w:before="44"/>
              <w:ind w:left="96" w:right="100"/>
              <w:jc w:val="center"/>
              <w:rPr>
                <w:sz w:val="20"/>
              </w:rPr>
            </w:pPr>
            <w:r>
              <w:rPr>
                <w:sz w:val="20"/>
              </w:rPr>
              <w:t>1209</w:t>
            </w:r>
          </w:p>
        </w:tc>
        <w:tc>
          <w:tcPr>
            <w:tcW w:w="803" w:type="dxa"/>
          </w:tcPr>
          <w:p>
            <w:pPr>
              <w:pStyle w:val="TableParagraph"/>
              <w:spacing w:before="44"/>
              <w:ind w:left="103" w:right="109"/>
              <w:jc w:val="center"/>
              <w:rPr>
                <w:sz w:val="20"/>
              </w:rPr>
            </w:pPr>
            <w:r>
              <w:rPr>
                <w:sz w:val="20"/>
              </w:rPr>
              <w:t>368.60</w:t>
            </w:r>
          </w:p>
        </w:tc>
        <w:tc>
          <w:tcPr>
            <w:tcW w:w="900" w:type="dxa"/>
          </w:tcPr>
          <w:p>
            <w:pPr>
              <w:pStyle w:val="TableParagraph"/>
              <w:spacing w:before="17"/>
              <w:ind w:left="155" w:right="155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</w:tr>
      <w:tr>
        <w:trPr>
          <w:trHeight w:val="300" w:hRule="atLeast"/>
        </w:trPr>
        <w:tc>
          <w:tcPr>
            <w:tcW w:w="1547" w:type="dxa"/>
          </w:tcPr>
          <w:p>
            <w:pPr>
              <w:pStyle w:val="TableParagraph"/>
              <w:spacing w:before="44"/>
              <w:ind w:left="116"/>
              <w:rPr>
                <w:sz w:val="20"/>
              </w:rPr>
            </w:pPr>
            <w:r>
              <w:rPr>
                <w:sz w:val="20"/>
              </w:rPr>
              <w:t>E-5P-18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3</w:t>
            </w:r>
          </w:p>
        </w:tc>
        <w:tc>
          <w:tcPr>
            <w:tcW w:w="981" w:type="dxa"/>
          </w:tcPr>
          <w:p>
            <w:pPr>
              <w:pStyle w:val="TableParagraph"/>
              <w:spacing w:before="17"/>
              <w:ind w:left="196" w:right="116"/>
              <w:jc w:val="center"/>
              <w:rPr>
                <w:sz w:val="20"/>
              </w:rPr>
            </w:pPr>
            <w:r>
              <w:rPr>
                <w:sz w:val="20"/>
              </w:rPr>
              <w:t>113.5</w:t>
            </w:r>
          </w:p>
        </w:tc>
        <w:tc>
          <w:tcPr>
            <w:tcW w:w="637" w:type="dxa"/>
          </w:tcPr>
          <w:p>
            <w:pPr>
              <w:pStyle w:val="TableParagraph"/>
              <w:spacing w:before="17"/>
              <w:ind w:left="115"/>
              <w:rPr>
                <w:sz w:val="20"/>
              </w:rPr>
            </w:pPr>
            <w:r>
              <w:rPr>
                <w:sz w:val="20"/>
              </w:rPr>
              <w:t>2615</w:t>
            </w:r>
          </w:p>
        </w:tc>
        <w:tc>
          <w:tcPr>
            <w:tcW w:w="803" w:type="dxa"/>
          </w:tcPr>
          <w:p>
            <w:pPr>
              <w:pStyle w:val="TableParagraph"/>
              <w:spacing w:before="44"/>
              <w:ind w:left="122"/>
              <w:rPr>
                <w:sz w:val="20"/>
              </w:rPr>
            </w:pPr>
            <w:r>
              <w:rPr>
                <w:sz w:val="20"/>
              </w:rPr>
              <w:t>797.26</w:t>
            </w:r>
          </w:p>
        </w:tc>
        <w:tc>
          <w:tcPr>
            <w:tcW w:w="36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>
            <w:pPr>
              <w:pStyle w:val="TableParagraph"/>
              <w:spacing w:before="44"/>
              <w:ind w:left="96" w:right="100"/>
              <w:jc w:val="center"/>
              <w:rPr>
                <w:sz w:val="20"/>
              </w:rPr>
            </w:pPr>
            <w:r>
              <w:rPr>
                <w:sz w:val="20"/>
              </w:rPr>
              <w:t>1026</w:t>
            </w:r>
          </w:p>
        </w:tc>
        <w:tc>
          <w:tcPr>
            <w:tcW w:w="803" w:type="dxa"/>
          </w:tcPr>
          <w:p>
            <w:pPr>
              <w:pStyle w:val="TableParagraph"/>
              <w:spacing w:before="44"/>
              <w:ind w:left="103" w:right="109"/>
              <w:jc w:val="center"/>
              <w:rPr>
                <w:sz w:val="20"/>
              </w:rPr>
            </w:pPr>
            <w:r>
              <w:rPr>
                <w:sz w:val="20"/>
              </w:rPr>
              <w:t>312.80</w:t>
            </w:r>
          </w:p>
        </w:tc>
        <w:tc>
          <w:tcPr>
            <w:tcW w:w="900" w:type="dxa"/>
          </w:tcPr>
          <w:p>
            <w:pPr>
              <w:pStyle w:val="TableParagraph"/>
              <w:spacing w:before="17"/>
              <w:ind w:left="155" w:right="155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</w:tr>
      <w:tr>
        <w:trPr>
          <w:trHeight w:val="303" w:hRule="atLeast"/>
        </w:trPr>
        <w:tc>
          <w:tcPr>
            <w:tcW w:w="1547" w:type="dxa"/>
          </w:tcPr>
          <w:p>
            <w:pPr>
              <w:pStyle w:val="TableParagraph"/>
              <w:spacing w:before="44"/>
              <w:ind w:left="116"/>
              <w:rPr>
                <w:sz w:val="20"/>
              </w:rPr>
            </w:pPr>
            <w:r>
              <w:rPr>
                <w:sz w:val="20"/>
              </w:rPr>
              <w:t>E-5P-18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4</w:t>
            </w:r>
          </w:p>
        </w:tc>
        <w:tc>
          <w:tcPr>
            <w:tcW w:w="981" w:type="dxa"/>
          </w:tcPr>
          <w:p>
            <w:pPr>
              <w:pStyle w:val="TableParagraph"/>
              <w:spacing w:before="17"/>
              <w:ind w:left="197" w:right="116"/>
              <w:jc w:val="center"/>
              <w:rPr>
                <w:sz w:val="20"/>
              </w:rPr>
            </w:pPr>
            <w:r>
              <w:rPr>
                <w:sz w:val="20"/>
              </w:rPr>
              <w:t>110</w:t>
            </w:r>
          </w:p>
        </w:tc>
        <w:tc>
          <w:tcPr>
            <w:tcW w:w="637" w:type="dxa"/>
          </w:tcPr>
          <w:p>
            <w:pPr>
              <w:pStyle w:val="TableParagraph"/>
              <w:spacing w:before="17"/>
              <w:ind w:left="115"/>
              <w:rPr>
                <w:sz w:val="20"/>
              </w:rPr>
            </w:pPr>
            <w:r>
              <w:rPr>
                <w:sz w:val="20"/>
              </w:rPr>
              <w:t>2486</w:t>
            </w:r>
          </w:p>
        </w:tc>
        <w:tc>
          <w:tcPr>
            <w:tcW w:w="803" w:type="dxa"/>
          </w:tcPr>
          <w:p>
            <w:pPr>
              <w:pStyle w:val="TableParagraph"/>
              <w:spacing w:before="44"/>
              <w:ind w:left="122"/>
              <w:rPr>
                <w:sz w:val="20"/>
              </w:rPr>
            </w:pPr>
            <w:r>
              <w:rPr>
                <w:sz w:val="20"/>
              </w:rPr>
              <w:t>757.93</w:t>
            </w:r>
          </w:p>
        </w:tc>
        <w:tc>
          <w:tcPr>
            <w:tcW w:w="36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>
            <w:pPr>
              <w:pStyle w:val="TableParagraph"/>
              <w:spacing w:before="44"/>
              <w:ind w:left="94" w:right="100"/>
              <w:jc w:val="center"/>
              <w:rPr>
                <w:sz w:val="20"/>
              </w:rPr>
            </w:pPr>
            <w:r>
              <w:rPr>
                <w:sz w:val="20"/>
              </w:rPr>
              <w:t>867</w:t>
            </w:r>
          </w:p>
        </w:tc>
        <w:tc>
          <w:tcPr>
            <w:tcW w:w="803" w:type="dxa"/>
          </w:tcPr>
          <w:p>
            <w:pPr>
              <w:pStyle w:val="TableParagraph"/>
              <w:spacing w:before="44"/>
              <w:ind w:left="103" w:right="109"/>
              <w:jc w:val="center"/>
              <w:rPr>
                <w:sz w:val="20"/>
              </w:rPr>
            </w:pPr>
            <w:r>
              <w:rPr>
                <w:sz w:val="20"/>
              </w:rPr>
              <w:t>264.33</w:t>
            </w:r>
          </w:p>
        </w:tc>
        <w:tc>
          <w:tcPr>
            <w:tcW w:w="900" w:type="dxa"/>
          </w:tcPr>
          <w:p>
            <w:pPr>
              <w:pStyle w:val="TableParagraph"/>
              <w:spacing w:before="17"/>
              <w:ind w:left="155" w:right="155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</w:tr>
      <w:tr>
        <w:trPr>
          <w:trHeight w:val="305" w:hRule="atLeast"/>
        </w:trPr>
        <w:tc>
          <w:tcPr>
            <w:tcW w:w="154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55"/>
              <w:ind w:left="116"/>
              <w:rPr>
                <w:sz w:val="20"/>
              </w:rPr>
            </w:pPr>
            <w:r>
              <w:rPr>
                <w:sz w:val="20"/>
              </w:rPr>
              <w:t>E-5P-18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5</w:t>
            </w:r>
          </w:p>
        </w:tc>
        <w:tc>
          <w:tcPr>
            <w:tcW w:w="981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21"/>
              <w:ind w:left="197" w:right="116"/>
              <w:jc w:val="center"/>
              <w:rPr>
                <w:sz w:val="20"/>
              </w:rPr>
            </w:pPr>
            <w:r>
              <w:rPr>
                <w:sz w:val="20"/>
              </w:rPr>
              <w:t>110</w:t>
            </w:r>
          </w:p>
        </w:tc>
        <w:tc>
          <w:tcPr>
            <w:tcW w:w="63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21"/>
              <w:ind w:left="115"/>
              <w:rPr>
                <w:sz w:val="20"/>
              </w:rPr>
            </w:pPr>
            <w:r>
              <w:rPr>
                <w:sz w:val="20"/>
              </w:rPr>
              <w:t>2490</w:t>
            </w:r>
          </w:p>
        </w:tc>
        <w:tc>
          <w:tcPr>
            <w:tcW w:w="803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55"/>
              <w:ind w:left="122"/>
              <w:rPr>
                <w:sz w:val="20"/>
              </w:rPr>
            </w:pPr>
            <w:r>
              <w:rPr>
                <w:sz w:val="20"/>
              </w:rPr>
              <w:t>759.15</w:t>
            </w:r>
          </w:p>
        </w:tc>
        <w:tc>
          <w:tcPr>
            <w:tcW w:w="360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55"/>
              <w:ind w:left="94" w:right="100"/>
              <w:jc w:val="center"/>
              <w:rPr>
                <w:sz w:val="20"/>
              </w:rPr>
            </w:pPr>
            <w:r>
              <w:rPr>
                <w:sz w:val="20"/>
              </w:rPr>
              <w:t>864</w:t>
            </w:r>
          </w:p>
        </w:tc>
        <w:tc>
          <w:tcPr>
            <w:tcW w:w="803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55"/>
              <w:ind w:left="103" w:right="109"/>
              <w:jc w:val="center"/>
              <w:rPr>
                <w:sz w:val="20"/>
              </w:rPr>
            </w:pPr>
            <w:r>
              <w:rPr>
                <w:sz w:val="20"/>
              </w:rPr>
              <w:t>263.41</w:t>
            </w:r>
          </w:p>
        </w:tc>
        <w:tc>
          <w:tcPr>
            <w:tcW w:w="90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21"/>
              <w:ind w:left="155" w:right="155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</w:tr>
      <w:tr>
        <w:trPr>
          <w:trHeight w:val="305" w:hRule="atLeast"/>
        </w:trPr>
        <w:tc>
          <w:tcPr>
            <w:tcW w:w="1547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49"/>
              <w:ind w:left="116"/>
              <w:rPr>
                <w:sz w:val="20"/>
              </w:rPr>
            </w:pPr>
            <w:r>
              <w:rPr>
                <w:sz w:val="20"/>
              </w:rPr>
              <w:t>E-5P-7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1</w:t>
            </w:r>
          </w:p>
        </w:tc>
        <w:tc>
          <w:tcPr>
            <w:tcW w:w="981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24"/>
              <w:ind w:left="197" w:right="116"/>
              <w:jc w:val="center"/>
              <w:rPr>
                <w:sz w:val="20"/>
              </w:rPr>
            </w:pPr>
            <w:r>
              <w:rPr>
                <w:sz w:val="20"/>
              </w:rPr>
              <w:t>110</w:t>
            </w:r>
          </w:p>
        </w:tc>
        <w:tc>
          <w:tcPr>
            <w:tcW w:w="637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24"/>
              <w:ind w:left="115"/>
              <w:rPr>
                <w:sz w:val="20"/>
              </w:rPr>
            </w:pPr>
            <w:r>
              <w:rPr>
                <w:sz w:val="20"/>
              </w:rPr>
              <w:t>2627</w:t>
            </w:r>
          </w:p>
        </w:tc>
        <w:tc>
          <w:tcPr>
            <w:tcW w:w="803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49"/>
              <w:ind w:left="122"/>
              <w:rPr>
                <w:sz w:val="20"/>
              </w:rPr>
            </w:pPr>
            <w:r>
              <w:rPr>
                <w:sz w:val="20"/>
              </w:rPr>
              <w:t>800.91</w:t>
            </w:r>
          </w:p>
        </w:tc>
        <w:tc>
          <w:tcPr>
            <w:tcW w:w="360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49"/>
              <w:ind w:left="96" w:right="100"/>
              <w:jc w:val="center"/>
              <w:rPr>
                <w:sz w:val="20"/>
              </w:rPr>
            </w:pPr>
            <w:r>
              <w:rPr>
                <w:sz w:val="20"/>
              </w:rPr>
              <w:t>1271</w:t>
            </w:r>
          </w:p>
        </w:tc>
        <w:tc>
          <w:tcPr>
            <w:tcW w:w="803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49"/>
              <w:ind w:left="103" w:right="109"/>
              <w:jc w:val="center"/>
              <w:rPr>
                <w:sz w:val="20"/>
              </w:rPr>
            </w:pPr>
            <w:r>
              <w:rPr>
                <w:sz w:val="20"/>
              </w:rPr>
              <w:t>387.50</w:t>
            </w:r>
          </w:p>
        </w:tc>
        <w:tc>
          <w:tcPr>
            <w:tcW w:w="900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24"/>
              <w:ind w:left="155" w:right="155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</w:tr>
      <w:tr>
        <w:trPr>
          <w:trHeight w:val="303" w:hRule="atLeast"/>
        </w:trPr>
        <w:tc>
          <w:tcPr>
            <w:tcW w:w="1547" w:type="dxa"/>
          </w:tcPr>
          <w:p>
            <w:pPr>
              <w:pStyle w:val="TableParagraph"/>
              <w:spacing w:before="43"/>
              <w:ind w:left="116"/>
              <w:rPr>
                <w:sz w:val="20"/>
              </w:rPr>
            </w:pPr>
            <w:r>
              <w:rPr>
                <w:sz w:val="20"/>
              </w:rPr>
              <w:t>E-5P-7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2</w:t>
            </w:r>
          </w:p>
        </w:tc>
        <w:tc>
          <w:tcPr>
            <w:tcW w:w="981" w:type="dxa"/>
          </w:tcPr>
          <w:p>
            <w:pPr>
              <w:pStyle w:val="TableParagraph"/>
              <w:spacing w:before="18"/>
              <w:ind w:left="197" w:right="116"/>
              <w:jc w:val="center"/>
              <w:rPr>
                <w:sz w:val="20"/>
              </w:rPr>
            </w:pPr>
            <w:r>
              <w:rPr>
                <w:sz w:val="20"/>
              </w:rPr>
              <w:t>105</w:t>
            </w:r>
          </w:p>
        </w:tc>
        <w:tc>
          <w:tcPr>
            <w:tcW w:w="637" w:type="dxa"/>
          </w:tcPr>
          <w:p>
            <w:pPr>
              <w:pStyle w:val="TableParagraph"/>
              <w:spacing w:before="18"/>
              <w:ind w:left="115"/>
              <w:rPr>
                <w:sz w:val="20"/>
              </w:rPr>
            </w:pPr>
            <w:r>
              <w:rPr>
                <w:sz w:val="20"/>
              </w:rPr>
              <w:t>2440</w:t>
            </w:r>
          </w:p>
        </w:tc>
        <w:tc>
          <w:tcPr>
            <w:tcW w:w="803" w:type="dxa"/>
          </w:tcPr>
          <w:p>
            <w:pPr>
              <w:pStyle w:val="TableParagraph"/>
              <w:spacing w:before="43"/>
              <w:ind w:left="122"/>
              <w:rPr>
                <w:sz w:val="20"/>
              </w:rPr>
            </w:pPr>
            <w:r>
              <w:rPr>
                <w:sz w:val="20"/>
              </w:rPr>
              <w:t>743.90</w:t>
            </w:r>
          </w:p>
        </w:tc>
        <w:tc>
          <w:tcPr>
            <w:tcW w:w="36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>
            <w:pPr>
              <w:pStyle w:val="TableParagraph"/>
              <w:spacing w:before="43"/>
              <w:ind w:left="96" w:right="100"/>
              <w:jc w:val="center"/>
              <w:rPr>
                <w:sz w:val="20"/>
              </w:rPr>
            </w:pPr>
            <w:r>
              <w:rPr>
                <w:sz w:val="20"/>
              </w:rPr>
              <w:t>1309</w:t>
            </w:r>
          </w:p>
        </w:tc>
        <w:tc>
          <w:tcPr>
            <w:tcW w:w="803" w:type="dxa"/>
          </w:tcPr>
          <w:p>
            <w:pPr>
              <w:pStyle w:val="TableParagraph"/>
              <w:spacing w:before="43"/>
              <w:ind w:left="103" w:right="109"/>
              <w:jc w:val="center"/>
              <w:rPr>
                <w:sz w:val="20"/>
              </w:rPr>
            </w:pPr>
            <w:r>
              <w:rPr>
                <w:sz w:val="20"/>
              </w:rPr>
              <w:t>399.09</w:t>
            </w:r>
          </w:p>
        </w:tc>
        <w:tc>
          <w:tcPr>
            <w:tcW w:w="900" w:type="dxa"/>
          </w:tcPr>
          <w:p>
            <w:pPr>
              <w:pStyle w:val="TableParagraph"/>
              <w:spacing w:before="18"/>
              <w:ind w:left="155" w:right="155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</w:tr>
      <w:tr>
        <w:trPr>
          <w:trHeight w:val="311" w:hRule="atLeast"/>
        </w:trPr>
        <w:tc>
          <w:tcPr>
            <w:tcW w:w="1547" w:type="dxa"/>
          </w:tcPr>
          <w:p>
            <w:pPr>
              <w:pStyle w:val="TableParagraph"/>
              <w:spacing w:before="55"/>
              <w:ind w:left="116"/>
              <w:rPr>
                <w:sz w:val="20"/>
              </w:rPr>
            </w:pPr>
            <w:r>
              <w:rPr>
                <w:sz w:val="20"/>
              </w:rPr>
              <w:t>E-5P-7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3</w:t>
            </w:r>
          </w:p>
        </w:tc>
        <w:tc>
          <w:tcPr>
            <w:tcW w:w="981" w:type="dxa"/>
          </w:tcPr>
          <w:p>
            <w:pPr>
              <w:pStyle w:val="TableParagraph"/>
              <w:spacing w:before="22"/>
              <w:ind w:left="196" w:right="116"/>
              <w:jc w:val="center"/>
              <w:rPr>
                <w:sz w:val="20"/>
              </w:rPr>
            </w:pPr>
            <w:r>
              <w:rPr>
                <w:sz w:val="20"/>
              </w:rPr>
              <w:t>106.1</w:t>
            </w:r>
          </w:p>
        </w:tc>
        <w:tc>
          <w:tcPr>
            <w:tcW w:w="637" w:type="dxa"/>
          </w:tcPr>
          <w:p>
            <w:pPr>
              <w:pStyle w:val="TableParagraph"/>
              <w:spacing w:before="22"/>
              <w:ind w:left="115"/>
              <w:rPr>
                <w:sz w:val="20"/>
              </w:rPr>
            </w:pPr>
            <w:r>
              <w:rPr>
                <w:sz w:val="20"/>
              </w:rPr>
              <w:t>2607</w:t>
            </w:r>
          </w:p>
        </w:tc>
        <w:tc>
          <w:tcPr>
            <w:tcW w:w="803" w:type="dxa"/>
          </w:tcPr>
          <w:p>
            <w:pPr>
              <w:pStyle w:val="TableParagraph"/>
              <w:spacing w:before="55"/>
              <w:ind w:left="122"/>
              <w:rPr>
                <w:sz w:val="20"/>
              </w:rPr>
            </w:pPr>
            <w:r>
              <w:rPr>
                <w:sz w:val="20"/>
              </w:rPr>
              <w:t>794.82</w:t>
            </w:r>
          </w:p>
        </w:tc>
        <w:tc>
          <w:tcPr>
            <w:tcW w:w="36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>
            <w:pPr>
              <w:pStyle w:val="TableParagraph"/>
              <w:spacing w:before="55"/>
              <w:ind w:left="96" w:right="100"/>
              <w:jc w:val="center"/>
              <w:rPr>
                <w:sz w:val="20"/>
              </w:rPr>
            </w:pPr>
            <w:r>
              <w:rPr>
                <w:sz w:val="20"/>
              </w:rPr>
              <w:t>1339</w:t>
            </w:r>
          </w:p>
        </w:tc>
        <w:tc>
          <w:tcPr>
            <w:tcW w:w="803" w:type="dxa"/>
          </w:tcPr>
          <w:p>
            <w:pPr>
              <w:pStyle w:val="TableParagraph"/>
              <w:spacing w:before="55"/>
              <w:ind w:left="103" w:right="109"/>
              <w:jc w:val="center"/>
              <w:rPr>
                <w:sz w:val="20"/>
              </w:rPr>
            </w:pPr>
            <w:r>
              <w:rPr>
                <w:sz w:val="20"/>
              </w:rPr>
              <w:t>408.23</w:t>
            </w:r>
          </w:p>
        </w:tc>
        <w:tc>
          <w:tcPr>
            <w:tcW w:w="900" w:type="dxa"/>
          </w:tcPr>
          <w:p>
            <w:pPr>
              <w:pStyle w:val="TableParagraph"/>
              <w:spacing w:before="22"/>
              <w:ind w:left="155" w:right="155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</w:tr>
      <w:tr>
        <w:trPr>
          <w:trHeight w:val="299" w:hRule="atLeast"/>
        </w:trPr>
        <w:tc>
          <w:tcPr>
            <w:tcW w:w="1547" w:type="dxa"/>
          </w:tcPr>
          <w:p>
            <w:pPr>
              <w:pStyle w:val="TableParagraph"/>
              <w:spacing w:before="44"/>
              <w:ind w:left="116"/>
              <w:rPr>
                <w:sz w:val="20"/>
              </w:rPr>
            </w:pPr>
            <w:r>
              <w:rPr>
                <w:sz w:val="20"/>
              </w:rPr>
              <w:t>E-5P-7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4</w:t>
            </w:r>
          </w:p>
        </w:tc>
        <w:tc>
          <w:tcPr>
            <w:tcW w:w="981" w:type="dxa"/>
          </w:tcPr>
          <w:p>
            <w:pPr>
              <w:pStyle w:val="TableParagraph"/>
              <w:spacing w:before="17"/>
              <w:ind w:left="197" w:right="116"/>
              <w:jc w:val="center"/>
              <w:rPr>
                <w:sz w:val="20"/>
              </w:rPr>
            </w:pPr>
            <w:r>
              <w:rPr>
                <w:sz w:val="20"/>
              </w:rPr>
              <w:t>102</w:t>
            </w:r>
          </w:p>
        </w:tc>
        <w:tc>
          <w:tcPr>
            <w:tcW w:w="637" w:type="dxa"/>
          </w:tcPr>
          <w:p>
            <w:pPr>
              <w:pStyle w:val="TableParagraph"/>
              <w:spacing w:before="17"/>
              <w:ind w:left="115"/>
              <w:rPr>
                <w:sz w:val="20"/>
              </w:rPr>
            </w:pPr>
            <w:r>
              <w:rPr>
                <w:sz w:val="20"/>
              </w:rPr>
              <w:t>2455</w:t>
            </w:r>
          </w:p>
        </w:tc>
        <w:tc>
          <w:tcPr>
            <w:tcW w:w="803" w:type="dxa"/>
          </w:tcPr>
          <w:p>
            <w:pPr>
              <w:pStyle w:val="TableParagraph"/>
              <w:spacing w:before="44"/>
              <w:ind w:left="122"/>
              <w:rPr>
                <w:sz w:val="20"/>
              </w:rPr>
            </w:pPr>
            <w:r>
              <w:rPr>
                <w:sz w:val="20"/>
              </w:rPr>
              <w:t>748.48</w:t>
            </w:r>
          </w:p>
        </w:tc>
        <w:tc>
          <w:tcPr>
            <w:tcW w:w="36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</w:tcPr>
          <w:p>
            <w:pPr>
              <w:pStyle w:val="TableParagraph"/>
              <w:spacing w:before="44"/>
              <w:ind w:left="96" w:right="100"/>
              <w:jc w:val="center"/>
              <w:rPr>
                <w:sz w:val="20"/>
              </w:rPr>
            </w:pPr>
            <w:r>
              <w:rPr>
                <w:sz w:val="20"/>
              </w:rPr>
              <w:t>1149</w:t>
            </w:r>
          </w:p>
        </w:tc>
        <w:tc>
          <w:tcPr>
            <w:tcW w:w="803" w:type="dxa"/>
          </w:tcPr>
          <w:p>
            <w:pPr>
              <w:pStyle w:val="TableParagraph"/>
              <w:spacing w:before="44"/>
              <w:ind w:left="103" w:right="109"/>
              <w:jc w:val="center"/>
              <w:rPr>
                <w:sz w:val="20"/>
              </w:rPr>
            </w:pPr>
            <w:r>
              <w:rPr>
                <w:sz w:val="20"/>
              </w:rPr>
              <w:t>350.30</w:t>
            </w:r>
          </w:p>
        </w:tc>
        <w:tc>
          <w:tcPr>
            <w:tcW w:w="900" w:type="dxa"/>
          </w:tcPr>
          <w:p>
            <w:pPr>
              <w:pStyle w:val="TableParagraph"/>
              <w:spacing w:before="17"/>
              <w:ind w:left="155" w:right="155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</w:tr>
      <w:tr>
        <w:trPr>
          <w:trHeight w:val="294" w:hRule="atLeast"/>
        </w:trPr>
        <w:tc>
          <w:tcPr>
            <w:tcW w:w="154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44"/>
              <w:ind w:left="116"/>
              <w:rPr>
                <w:sz w:val="20"/>
              </w:rPr>
            </w:pPr>
            <w:r>
              <w:rPr>
                <w:sz w:val="20"/>
              </w:rPr>
              <w:t>E-5P-7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5</w:t>
            </w:r>
          </w:p>
        </w:tc>
        <w:tc>
          <w:tcPr>
            <w:tcW w:w="981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7"/>
              <w:ind w:left="197" w:right="116"/>
              <w:jc w:val="center"/>
              <w:rPr>
                <w:sz w:val="20"/>
              </w:rPr>
            </w:pPr>
            <w:r>
              <w:rPr>
                <w:sz w:val="20"/>
              </w:rPr>
              <w:t>103</w:t>
            </w:r>
          </w:p>
        </w:tc>
        <w:tc>
          <w:tcPr>
            <w:tcW w:w="63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7"/>
              <w:ind w:left="115"/>
              <w:rPr>
                <w:sz w:val="20"/>
              </w:rPr>
            </w:pPr>
            <w:r>
              <w:rPr>
                <w:sz w:val="20"/>
              </w:rPr>
              <w:t>2389</w:t>
            </w:r>
          </w:p>
        </w:tc>
        <w:tc>
          <w:tcPr>
            <w:tcW w:w="803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44"/>
              <w:ind w:left="122"/>
              <w:rPr>
                <w:sz w:val="20"/>
              </w:rPr>
            </w:pPr>
            <w:r>
              <w:rPr>
                <w:sz w:val="20"/>
              </w:rPr>
              <w:t>728.35</w:t>
            </w:r>
          </w:p>
        </w:tc>
        <w:tc>
          <w:tcPr>
            <w:tcW w:w="360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63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44"/>
              <w:ind w:left="96" w:right="100"/>
              <w:jc w:val="center"/>
              <w:rPr>
                <w:sz w:val="20"/>
              </w:rPr>
            </w:pPr>
            <w:r>
              <w:rPr>
                <w:sz w:val="20"/>
              </w:rPr>
              <w:t>1243</w:t>
            </w:r>
          </w:p>
        </w:tc>
        <w:tc>
          <w:tcPr>
            <w:tcW w:w="803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44"/>
              <w:ind w:left="103" w:right="109"/>
              <w:jc w:val="center"/>
              <w:rPr>
                <w:sz w:val="20"/>
              </w:rPr>
            </w:pPr>
            <w:r>
              <w:rPr>
                <w:sz w:val="20"/>
              </w:rPr>
              <w:t>378.96</w:t>
            </w:r>
          </w:p>
        </w:tc>
        <w:tc>
          <w:tcPr>
            <w:tcW w:w="90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7"/>
              <w:ind w:left="155" w:right="155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</w:tr>
    </w:tbl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spacing w:before="184"/>
        <w:ind w:left="1938" w:right="778" w:firstLine="0"/>
        <w:jc w:val="center"/>
        <w:rPr>
          <w:b/>
          <w:sz w:val="20"/>
        </w:rPr>
      </w:pPr>
      <w:r>
        <w:rPr>
          <w:b/>
          <w:sz w:val="20"/>
        </w:rPr>
        <w:t>Table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19</w:t>
      </w:r>
      <w:r>
        <w:rPr>
          <w:b/>
          <w:spacing w:val="44"/>
          <w:sz w:val="20"/>
        </w:rPr>
        <w:t> </w:t>
      </w:r>
      <w:r>
        <w:rPr>
          <w:b/>
          <w:sz w:val="20"/>
        </w:rPr>
        <w:t>Water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submerged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weathered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specimens</w:t>
      </w:r>
    </w:p>
    <w:p>
      <w:pPr>
        <w:pStyle w:val="BodyText"/>
        <w:spacing w:before="5"/>
        <w:rPr>
          <w:b/>
          <w:sz w:val="15"/>
        </w:rPr>
      </w:pPr>
    </w:p>
    <w:tbl>
      <w:tblPr>
        <w:tblW w:w="0" w:type="auto"/>
        <w:jc w:val="left"/>
        <w:tblInd w:w="248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04"/>
        <w:gridCol w:w="923"/>
        <w:gridCol w:w="633"/>
        <w:gridCol w:w="895"/>
        <w:gridCol w:w="269"/>
        <w:gridCol w:w="745"/>
        <w:gridCol w:w="1053"/>
        <w:gridCol w:w="989"/>
      </w:tblGrid>
      <w:tr>
        <w:trPr>
          <w:trHeight w:val="508" w:hRule="atLeast"/>
        </w:trPr>
        <w:tc>
          <w:tcPr>
            <w:tcW w:w="1604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923" w:type="dxa"/>
            <w:vMerge w:val="restart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59" w:lineRule="auto"/>
              <w:ind w:left="139" w:right="11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Powder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Mass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pacing w:val="-1"/>
                <w:sz w:val="20"/>
              </w:rPr>
              <w:t>(grains)</w:t>
            </w:r>
          </w:p>
        </w:tc>
        <w:tc>
          <w:tcPr>
            <w:tcW w:w="1528" w:type="dxa"/>
            <w:gridSpan w:val="2"/>
            <w:tcBorders>
              <w:top w:val="single" w:sz="4" w:space="0" w:color="000000"/>
            </w:tcBorders>
          </w:tcPr>
          <w:p>
            <w:pPr>
              <w:pStyle w:val="TableParagraph"/>
              <w:spacing w:before="1"/>
              <w:rPr>
                <w:b/>
                <w:sz w:val="23"/>
              </w:rPr>
            </w:pPr>
          </w:p>
          <w:p>
            <w:pPr>
              <w:pStyle w:val="TableParagraph"/>
              <w:spacing w:line="223" w:lineRule="exact"/>
              <w:ind w:left="147"/>
              <w:rPr>
                <w:b/>
                <w:sz w:val="20"/>
              </w:rPr>
            </w:pPr>
            <w:r>
              <w:rPr>
                <w:b/>
                <w:sz w:val="20"/>
              </w:rPr>
              <w:t>Chrono-Based</w:t>
            </w:r>
          </w:p>
        </w:tc>
        <w:tc>
          <w:tcPr>
            <w:tcW w:w="2067" w:type="dxa"/>
            <w:gridSpan w:val="3"/>
            <w:tcBorders>
              <w:top w:val="single" w:sz="4" w:space="0" w:color="000000"/>
            </w:tcBorders>
          </w:tcPr>
          <w:p>
            <w:pPr>
              <w:pStyle w:val="TableParagraph"/>
              <w:spacing w:before="1"/>
              <w:rPr>
                <w:b/>
                <w:sz w:val="23"/>
              </w:rPr>
            </w:pPr>
          </w:p>
          <w:p>
            <w:pPr>
              <w:pStyle w:val="TableParagraph"/>
              <w:spacing w:line="223" w:lineRule="exact"/>
              <w:ind w:left="554"/>
              <w:rPr>
                <w:b/>
                <w:sz w:val="20"/>
              </w:rPr>
            </w:pPr>
            <w:r>
              <w:rPr>
                <w:b/>
                <w:sz w:val="20"/>
              </w:rPr>
              <w:t>Chrono-Based</w:t>
            </w:r>
          </w:p>
        </w:tc>
        <w:tc>
          <w:tcPr>
            <w:tcW w:w="989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59" w:hRule="atLeast"/>
        </w:trPr>
        <w:tc>
          <w:tcPr>
            <w:tcW w:w="1604" w:type="dxa"/>
          </w:tcPr>
          <w:p>
            <w:pPr>
              <w:pStyle w:val="TableParagraph"/>
              <w:spacing w:before="5"/>
              <w:ind w:left="97" w:right="6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Shot</w:t>
            </w:r>
          </w:p>
        </w:tc>
        <w:tc>
          <w:tcPr>
            <w:tcW w:w="923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33" w:type="dxa"/>
            <w:tcBorders>
              <w:bottom w:val="single" w:sz="8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895" w:type="dxa"/>
            <w:tcBorders>
              <w:bottom w:val="single" w:sz="8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69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745" w:type="dxa"/>
            <w:tcBorders>
              <w:bottom w:val="single" w:sz="8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053" w:type="dxa"/>
            <w:tcBorders>
              <w:bottom w:val="single" w:sz="8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989" w:type="dxa"/>
          </w:tcPr>
          <w:p>
            <w:pPr>
              <w:pStyle w:val="TableParagraph"/>
              <w:spacing w:before="5"/>
              <w:ind w:left="94" w:right="8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DOP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(in)</w:t>
            </w:r>
          </w:p>
        </w:tc>
      </w:tr>
      <w:tr>
        <w:trPr>
          <w:trHeight w:val="496" w:hRule="atLeast"/>
        </w:trPr>
        <w:tc>
          <w:tcPr>
            <w:tcW w:w="1604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923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33" w:type="dxa"/>
            <w:tcBorders>
              <w:top w:val="single" w:sz="8" w:space="0" w:color="000000"/>
              <w:bottom w:val="single" w:sz="4" w:space="0" w:color="000000"/>
            </w:tcBorders>
          </w:tcPr>
          <w:p>
            <w:pPr>
              <w:pStyle w:val="TableParagraph"/>
              <w:spacing w:line="238" w:lineRule="exact"/>
              <w:ind w:left="119" w:right="105" w:firstLine="118"/>
              <w:rPr>
                <w:b/>
                <w:sz w:val="20"/>
              </w:rPr>
            </w:pPr>
            <w:r>
              <w:rPr>
                <w:b/>
                <w:position w:val="1"/>
                <w:sz w:val="20"/>
              </w:rPr>
              <w:t>v</w:t>
            </w:r>
            <w:r>
              <w:rPr>
                <w:b/>
                <w:sz w:val="13"/>
              </w:rPr>
              <w:t>s</w:t>
            </w:r>
            <w:r>
              <w:rPr>
                <w:b/>
                <w:spacing w:val="1"/>
                <w:sz w:val="13"/>
              </w:rPr>
              <w:t> </w:t>
            </w:r>
            <w:r>
              <w:rPr>
                <w:b/>
                <w:sz w:val="20"/>
              </w:rPr>
              <w:t>(fps)</w:t>
            </w:r>
          </w:p>
        </w:tc>
        <w:tc>
          <w:tcPr>
            <w:tcW w:w="895" w:type="dxa"/>
            <w:tcBorders>
              <w:top w:val="single" w:sz="8" w:space="0" w:color="000000"/>
              <w:bottom w:val="single" w:sz="4" w:space="0" w:color="000000"/>
            </w:tcBorders>
          </w:tcPr>
          <w:p>
            <w:pPr>
              <w:pStyle w:val="TableParagraph"/>
              <w:spacing w:line="238" w:lineRule="exact"/>
              <w:ind w:left="229" w:right="212" w:firstLine="141"/>
              <w:rPr>
                <w:b/>
                <w:sz w:val="20"/>
              </w:rPr>
            </w:pPr>
            <w:r>
              <w:rPr>
                <w:b/>
                <w:position w:val="1"/>
                <w:sz w:val="20"/>
              </w:rPr>
              <w:t>v</w:t>
            </w:r>
            <w:r>
              <w:rPr>
                <w:b/>
                <w:sz w:val="13"/>
              </w:rPr>
              <w:t>s</w:t>
            </w:r>
            <w:r>
              <w:rPr>
                <w:b/>
                <w:spacing w:val="1"/>
                <w:sz w:val="13"/>
              </w:rPr>
              <w:t> </w:t>
            </w:r>
            <w:r>
              <w:rPr>
                <w:b/>
                <w:sz w:val="20"/>
              </w:rPr>
              <w:t>(m/s)</w:t>
            </w:r>
          </w:p>
        </w:tc>
        <w:tc>
          <w:tcPr>
            <w:tcW w:w="269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745" w:type="dxa"/>
            <w:tcBorders>
              <w:top w:val="single" w:sz="8" w:space="0" w:color="000000"/>
              <w:bottom w:val="single" w:sz="4" w:space="0" w:color="000000"/>
            </w:tcBorders>
          </w:tcPr>
          <w:p>
            <w:pPr>
              <w:pStyle w:val="TableParagraph"/>
              <w:spacing w:line="238" w:lineRule="exact"/>
              <w:ind w:left="168" w:right="168" w:firstLine="115"/>
              <w:rPr>
                <w:b/>
                <w:sz w:val="20"/>
              </w:rPr>
            </w:pPr>
            <w:r>
              <w:rPr>
                <w:b/>
                <w:position w:val="1"/>
                <w:sz w:val="20"/>
              </w:rPr>
              <w:t>v</w:t>
            </w:r>
            <w:r>
              <w:rPr>
                <w:b/>
                <w:sz w:val="13"/>
              </w:rPr>
              <w:t>r</w:t>
            </w:r>
            <w:r>
              <w:rPr>
                <w:b/>
                <w:spacing w:val="1"/>
                <w:sz w:val="13"/>
              </w:rPr>
              <w:t> </w:t>
            </w:r>
            <w:r>
              <w:rPr>
                <w:b/>
                <w:sz w:val="20"/>
              </w:rPr>
              <w:t>(fps)</w:t>
            </w:r>
          </w:p>
        </w:tc>
        <w:tc>
          <w:tcPr>
            <w:tcW w:w="1053" w:type="dxa"/>
            <w:tcBorders>
              <w:top w:val="single" w:sz="8" w:space="0" w:color="000000"/>
              <w:bottom w:val="single" w:sz="4" w:space="0" w:color="000000"/>
            </w:tcBorders>
          </w:tcPr>
          <w:p>
            <w:pPr>
              <w:pStyle w:val="TableParagraph"/>
              <w:spacing w:line="238" w:lineRule="exact"/>
              <w:ind w:left="300" w:right="299" w:firstLine="138"/>
              <w:rPr>
                <w:b/>
                <w:sz w:val="20"/>
              </w:rPr>
            </w:pPr>
            <w:r>
              <w:rPr>
                <w:b/>
                <w:position w:val="1"/>
                <w:sz w:val="20"/>
              </w:rPr>
              <w:t>v</w:t>
            </w:r>
            <w:r>
              <w:rPr>
                <w:b/>
                <w:sz w:val="13"/>
              </w:rPr>
              <w:t>r</w:t>
            </w:r>
            <w:r>
              <w:rPr>
                <w:b/>
                <w:spacing w:val="1"/>
                <w:sz w:val="13"/>
              </w:rPr>
              <w:t> </w:t>
            </w:r>
            <w:r>
              <w:rPr>
                <w:b/>
                <w:sz w:val="20"/>
              </w:rPr>
              <w:t>(m/s)</w:t>
            </w:r>
          </w:p>
        </w:tc>
        <w:tc>
          <w:tcPr>
            <w:tcW w:w="989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306" w:hRule="atLeast"/>
        </w:trPr>
        <w:tc>
          <w:tcPr>
            <w:tcW w:w="1604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50"/>
              <w:ind w:left="61" w:right="82"/>
              <w:jc w:val="center"/>
              <w:rPr>
                <w:sz w:val="20"/>
              </w:rPr>
            </w:pPr>
            <w:r>
              <w:rPr>
                <w:sz w:val="20"/>
              </w:rPr>
              <w:t>E-5P-17 -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1</w:t>
            </w:r>
          </w:p>
        </w:tc>
        <w:tc>
          <w:tcPr>
            <w:tcW w:w="923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24"/>
              <w:ind w:left="302" w:right="280"/>
              <w:jc w:val="center"/>
              <w:rPr>
                <w:sz w:val="20"/>
              </w:rPr>
            </w:pPr>
            <w:r>
              <w:rPr>
                <w:sz w:val="20"/>
              </w:rPr>
              <w:t>171</w:t>
            </w:r>
          </w:p>
        </w:tc>
        <w:tc>
          <w:tcPr>
            <w:tcW w:w="633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24"/>
              <w:ind w:left="115"/>
              <w:rPr>
                <w:sz w:val="20"/>
              </w:rPr>
            </w:pPr>
            <w:r>
              <w:rPr>
                <w:sz w:val="20"/>
              </w:rPr>
              <w:t>2421</w:t>
            </w:r>
          </w:p>
        </w:tc>
        <w:tc>
          <w:tcPr>
            <w:tcW w:w="895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50"/>
              <w:ind w:left="102" w:right="102"/>
              <w:jc w:val="center"/>
              <w:rPr>
                <w:sz w:val="20"/>
              </w:rPr>
            </w:pPr>
            <w:r>
              <w:rPr>
                <w:sz w:val="20"/>
              </w:rPr>
              <w:t>7940.88</w:t>
            </w:r>
          </w:p>
        </w:tc>
        <w:tc>
          <w:tcPr>
            <w:tcW w:w="269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745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50"/>
              <w:ind w:left="212"/>
              <w:rPr>
                <w:sz w:val="20"/>
              </w:rPr>
            </w:pPr>
            <w:r>
              <w:rPr>
                <w:sz w:val="20"/>
              </w:rPr>
              <w:t>816</w:t>
            </w:r>
          </w:p>
        </w:tc>
        <w:tc>
          <w:tcPr>
            <w:tcW w:w="1053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50"/>
              <w:ind w:left="173" w:right="188"/>
              <w:jc w:val="center"/>
              <w:rPr>
                <w:sz w:val="20"/>
              </w:rPr>
            </w:pPr>
            <w:r>
              <w:rPr>
                <w:sz w:val="20"/>
              </w:rPr>
              <w:t>2676.48</w:t>
            </w:r>
          </w:p>
        </w:tc>
        <w:tc>
          <w:tcPr>
            <w:tcW w:w="989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24"/>
              <w:ind w:left="94" w:right="83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</w:tr>
      <w:tr>
        <w:trPr>
          <w:trHeight w:val="303" w:hRule="atLeast"/>
        </w:trPr>
        <w:tc>
          <w:tcPr>
            <w:tcW w:w="1604" w:type="dxa"/>
          </w:tcPr>
          <w:p>
            <w:pPr>
              <w:pStyle w:val="TableParagraph"/>
              <w:spacing w:before="44"/>
              <w:ind w:left="61" w:right="82"/>
              <w:jc w:val="center"/>
              <w:rPr>
                <w:sz w:val="20"/>
              </w:rPr>
            </w:pPr>
            <w:r>
              <w:rPr>
                <w:sz w:val="20"/>
              </w:rPr>
              <w:t>E-5P-17 -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2</w:t>
            </w:r>
          </w:p>
        </w:tc>
        <w:tc>
          <w:tcPr>
            <w:tcW w:w="923" w:type="dxa"/>
          </w:tcPr>
          <w:p>
            <w:pPr>
              <w:pStyle w:val="TableParagraph"/>
              <w:spacing w:before="17"/>
              <w:ind w:left="302" w:right="280"/>
              <w:jc w:val="center"/>
              <w:rPr>
                <w:sz w:val="20"/>
              </w:rPr>
            </w:pPr>
            <w:r>
              <w:rPr>
                <w:sz w:val="20"/>
              </w:rPr>
              <w:t>176</w:t>
            </w:r>
          </w:p>
        </w:tc>
        <w:tc>
          <w:tcPr>
            <w:tcW w:w="633" w:type="dxa"/>
          </w:tcPr>
          <w:p>
            <w:pPr>
              <w:pStyle w:val="TableParagraph"/>
              <w:spacing w:before="17"/>
              <w:ind w:left="115"/>
              <w:rPr>
                <w:sz w:val="20"/>
              </w:rPr>
            </w:pPr>
            <w:r>
              <w:rPr>
                <w:sz w:val="20"/>
              </w:rPr>
              <w:t>2516</w:t>
            </w:r>
          </w:p>
        </w:tc>
        <w:tc>
          <w:tcPr>
            <w:tcW w:w="895" w:type="dxa"/>
          </w:tcPr>
          <w:p>
            <w:pPr>
              <w:pStyle w:val="TableParagraph"/>
              <w:spacing w:before="44"/>
              <w:ind w:left="102" w:right="102"/>
              <w:jc w:val="center"/>
              <w:rPr>
                <w:sz w:val="20"/>
              </w:rPr>
            </w:pPr>
            <w:r>
              <w:rPr>
                <w:sz w:val="20"/>
              </w:rPr>
              <w:t>8252.48</w:t>
            </w:r>
          </w:p>
        </w:tc>
        <w:tc>
          <w:tcPr>
            <w:tcW w:w="26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745" w:type="dxa"/>
          </w:tcPr>
          <w:p>
            <w:pPr>
              <w:pStyle w:val="TableParagraph"/>
              <w:spacing w:before="44"/>
              <w:ind w:left="162"/>
              <w:rPr>
                <w:sz w:val="20"/>
              </w:rPr>
            </w:pPr>
            <w:r>
              <w:rPr>
                <w:sz w:val="20"/>
              </w:rPr>
              <w:t>1061</w:t>
            </w:r>
          </w:p>
        </w:tc>
        <w:tc>
          <w:tcPr>
            <w:tcW w:w="1053" w:type="dxa"/>
          </w:tcPr>
          <w:p>
            <w:pPr>
              <w:pStyle w:val="TableParagraph"/>
              <w:spacing w:before="44"/>
              <w:ind w:left="173" w:right="188"/>
              <w:jc w:val="center"/>
              <w:rPr>
                <w:sz w:val="20"/>
              </w:rPr>
            </w:pPr>
            <w:r>
              <w:rPr>
                <w:sz w:val="20"/>
              </w:rPr>
              <w:t>3480.08</w:t>
            </w:r>
          </w:p>
        </w:tc>
        <w:tc>
          <w:tcPr>
            <w:tcW w:w="989" w:type="dxa"/>
          </w:tcPr>
          <w:p>
            <w:pPr>
              <w:pStyle w:val="TableParagraph"/>
              <w:spacing w:before="17"/>
              <w:ind w:left="94" w:right="83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</w:tr>
      <w:tr>
        <w:trPr>
          <w:trHeight w:val="311" w:hRule="atLeast"/>
        </w:trPr>
        <w:tc>
          <w:tcPr>
            <w:tcW w:w="1604" w:type="dxa"/>
          </w:tcPr>
          <w:p>
            <w:pPr>
              <w:pStyle w:val="TableParagraph"/>
              <w:spacing w:before="55"/>
              <w:ind w:left="61" w:right="82"/>
              <w:jc w:val="center"/>
              <w:rPr>
                <w:sz w:val="20"/>
              </w:rPr>
            </w:pPr>
            <w:r>
              <w:rPr>
                <w:sz w:val="20"/>
              </w:rPr>
              <w:t>E-5P-17 -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3</w:t>
            </w:r>
          </w:p>
        </w:tc>
        <w:tc>
          <w:tcPr>
            <w:tcW w:w="923" w:type="dxa"/>
          </w:tcPr>
          <w:p>
            <w:pPr>
              <w:pStyle w:val="TableParagraph"/>
              <w:spacing w:before="21"/>
              <w:ind w:left="302" w:right="280"/>
              <w:jc w:val="center"/>
              <w:rPr>
                <w:sz w:val="20"/>
              </w:rPr>
            </w:pPr>
            <w:r>
              <w:rPr>
                <w:sz w:val="20"/>
              </w:rPr>
              <w:t>176</w:t>
            </w:r>
          </w:p>
        </w:tc>
        <w:tc>
          <w:tcPr>
            <w:tcW w:w="633" w:type="dxa"/>
          </w:tcPr>
          <w:p>
            <w:pPr>
              <w:pStyle w:val="TableParagraph"/>
              <w:spacing w:before="21"/>
              <w:ind w:left="115"/>
              <w:rPr>
                <w:sz w:val="20"/>
              </w:rPr>
            </w:pPr>
            <w:r>
              <w:rPr>
                <w:sz w:val="20"/>
              </w:rPr>
              <w:t>2426</w:t>
            </w:r>
          </w:p>
        </w:tc>
        <w:tc>
          <w:tcPr>
            <w:tcW w:w="895" w:type="dxa"/>
          </w:tcPr>
          <w:p>
            <w:pPr>
              <w:pStyle w:val="TableParagraph"/>
              <w:spacing w:before="55"/>
              <w:ind w:left="102" w:right="102"/>
              <w:jc w:val="center"/>
              <w:rPr>
                <w:sz w:val="20"/>
              </w:rPr>
            </w:pPr>
            <w:r>
              <w:rPr>
                <w:sz w:val="20"/>
              </w:rPr>
              <w:t>7957.28</w:t>
            </w:r>
          </w:p>
        </w:tc>
        <w:tc>
          <w:tcPr>
            <w:tcW w:w="26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745" w:type="dxa"/>
          </w:tcPr>
          <w:p>
            <w:pPr>
              <w:pStyle w:val="TableParagraph"/>
              <w:spacing w:before="55"/>
              <w:ind w:left="212"/>
              <w:rPr>
                <w:sz w:val="20"/>
              </w:rPr>
            </w:pPr>
            <w:r>
              <w:rPr>
                <w:sz w:val="20"/>
              </w:rPr>
              <w:t>938</w:t>
            </w:r>
          </w:p>
        </w:tc>
        <w:tc>
          <w:tcPr>
            <w:tcW w:w="1053" w:type="dxa"/>
          </w:tcPr>
          <w:p>
            <w:pPr>
              <w:pStyle w:val="TableParagraph"/>
              <w:spacing w:before="55"/>
              <w:ind w:left="173" w:right="188"/>
              <w:jc w:val="center"/>
              <w:rPr>
                <w:sz w:val="20"/>
              </w:rPr>
            </w:pPr>
            <w:r>
              <w:rPr>
                <w:sz w:val="20"/>
              </w:rPr>
              <w:t>3076.64</w:t>
            </w:r>
          </w:p>
        </w:tc>
        <w:tc>
          <w:tcPr>
            <w:tcW w:w="989" w:type="dxa"/>
          </w:tcPr>
          <w:p>
            <w:pPr>
              <w:pStyle w:val="TableParagraph"/>
              <w:spacing w:before="21"/>
              <w:ind w:left="94" w:right="83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</w:tr>
      <w:tr>
        <w:trPr>
          <w:trHeight w:val="300" w:hRule="atLeast"/>
        </w:trPr>
        <w:tc>
          <w:tcPr>
            <w:tcW w:w="1604" w:type="dxa"/>
          </w:tcPr>
          <w:p>
            <w:pPr>
              <w:pStyle w:val="TableParagraph"/>
              <w:spacing w:before="43"/>
              <w:ind w:left="61" w:right="82"/>
              <w:jc w:val="center"/>
              <w:rPr>
                <w:sz w:val="20"/>
              </w:rPr>
            </w:pPr>
            <w:r>
              <w:rPr>
                <w:sz w:val="20"/>
              </w:rPr>
              <w:t>E-5P-17 -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4</w:t>
            </w:r>
          </w:p>
        </w:tc>
        <w:tc>
          <w:tcPr>
            <w:tcW w:w="923" w:type="dxa"/>
          </w:tcPr>
          <w:p>
            <w:pPr>
              <w:pStyle w:val="TableParagraph"/>
              <w:spacing w:before="18"/>
              <w:ind w:left="302" w:right="280"/>
              <w:jc w:val="center"/>
              <w:rPr>
                <w:sz w:val="20"/>
              </w:rPr>
            </w:pPr>
            <w:r>
              <w:rPr>
                <w:sz w:val="20"/>
              </w:rPr>
              <w:t>176</w:t>
            </w:r>
          </w:p>
        </w:tc>
        <w:tc>
          <w:tcPr>
            <w:tcW w:w="633" w:type="dxa"/>
          </w:tcPr>
          <w:p>
            <w:pPr>
              <w:pStyle w:val="TableParagraph"/>
              <w:spacing w:before="18"/>
              <w:ind w:left="115"/>
              <w:rPr>
                <w:sz w:val="20"/>
              </w:rPr>
            </w:pPr>
            <w:r>
              <w:rPr>
                <w:sz w:val="20"/>
              </w:rPr>
              <w:t>2400</w:t>
            </w:r>
          </w:p>
        </w:tc>
        <w:tc>
          <w:tcPr>
            <w:tcW w:w="895" w:type="dxa"/>
          </w:tcPr>
          <w:p>
            <w:pPr>
              <w:pStyle w:val="TableParagraph"/>
              <w:spacing w:before="43"/>
              <w:ind w:left="102" w:right="102"/>
              <w:jc w:val="center"/>
              <w:rPr>
                <w:sz w:val="20"/>
              </w:rPr>
            </w:pPr>
            <w:r>
              <w:rPr>
                <w:sz w:val="20"/>
              </w:rPr>
              <w:t>7872.00</w:t>
            </w:r>
          </w:p>
        </w:tc>
        <w:tc>
          <w:tcPr>
            <w:tcW w:w="26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745" w:type="dxa"/>
          </w:tcPr>
          <w:p>
            <w:pPr>
              <w:pStyle w:val="TableParagraph"/>
              <w:spacing w:before="43"/>
              <w:ind w:left="162"/>
              <w:rPr>
                <w:sz w:val="20"/>
              </w:rPr>
            </w:pPr>
            <w:r>
              <w:rPr>
                <w:sz w:val="20"/>
              </w:rPr>
              <w:t>1002</w:t>
            </w:r>
          </w:p>
        </w:tc>
        <w:tc>
          <w:tcPr>
            <w:tcW w:w="1053" w:type="dxa"/>
          </w:tcPr>
          <w:p>
            <w:pPr>
              <w:pStyle w:val="TableParagraph"/>
              <w:spacing w:before="43"/>
              <w:ind w:left="174" w:right="188"/>
              <w:jc w:val="center"/>
              <w:rPr>
                <w:sz w:val="20"/>
              </w:rPr>
            </w:pPr>
            <w:r>
              <w:rPr>
                <w:sz w:val="20"/>
              </w:rPr>
              <w:t>3286.56</w:t>
            </w:r>
          </w:p>
        </w:tc>
        <w:tc>
          <w:tcPr>
            <w:tcW w:w="989" w:type="dxa"/>
          </w:tcPr>
          <w:p>
            <w:pPr>
              <w:pStyle w:val="TableParagraph"/>
              <w:spacing w:before="18"/>
              <w:ind w:left="94" w:right="83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</w:tr>
      <w:tr>
        <w:trPr>
          <w:trHeight w:val="300" w:hRule="atLeast"/>
        </w:trPr>
        <w:tc>
          <w:tcPr>
            <w:tcW w:w="1604" w:type="dxa"/>
          </w:tcPr>
          <w:p>
            <w:pPr>
              <w:pStyle w:val="TableParagraph"/>
              <w:spacing w:before="43"/>
              <w:ind w:left="61" w:right="82"/>
              <w:jc w:val="center"/>
              <w:rPr>
                <w:sz w:val="20"/>
              </w:rPr>
            </w:pPr>
            <w:r>
              <w:rPr>
                <w:sz w:val="20"/>
              </w:rPr>
              <w:t>E-5P-17 -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5</w:t>
            </w:r>
          </w:p>
        </w:tc>
        <w:tc>
          <w:tcPr>
            <w:tcW w:w="923" w:type="dxa"/>
          </w:tcPr>
          <w:p>
            <w:pPr>
              <w:pStyle w:val="TableParagraph"/>
              <w:spacing w:before="18"/>
              <w:ind w:left="302" w:right="280"/>
              <w:jc w:val="center"/>
              <w:rPr>
                <w:sz w:val="20"/>
              </w:rPr>
            </w:pPr>
            <w:r>
              <w:rPr>
                <w:sz w:val="20"/>
              </w:rPr>
              <w:t>176</w:t>
            </w:r>
          </w:p>
        </w:tc>
        <w:tc>
          <w:tcPr>
            <w:tcW w:w="633" w:type="dxa"/>
          </w:tcPr>
          <w:p>
            <w:pPr>
              <w:pStyle w:val="TableParagraph"/>
              <w:spacing w:before="18"/>
              <w:ind w:left="115"/>
              <w:rPr>
                <w:sz w:val="20"/>
              </w:rPr>
            </w:pPr>
            <w:r>
              <w:rPr>
                <w:sz w:val="20"/>
              </w:rPr>
              <w:t>1919</w:t>
            </w:r>
          </w:p>
        </w:tc>
        <w:tc>
          <w:tcPr>
            <w:tcW w:w="895" w:type="dxa"/>
          </w:tcPr>
          <w:p>
            <w:pPr>
              <w:pStyle w:val="TableParagraph"/>
              <w:spacing w:before="43"/>
              <w:ind w:left="102" w:right="102"/>
              <w:jc w:val="center"/>
              <w:rPr>
                <w:sz w:val="20"/>
              </w:rPr>
            </w:pPr>
            <w:r>
              <w:rPr>
                <w:sz w:val="20"/>
              </w:rPr>
              <w:t>6294.32</w:t>
            </w:r>
          </w:p>
        </w:tc>
        <w:tc>
          <w:tcPr>
            <w:tcW w:w="26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745" w:type="dxa"/>
          </w:tcPr>
          <w:p>
            <w:pPr>
              <w:pStyle w:val="TableParagraph"/>
              <w:spacing w:before="43"/>
              <w:ind w:left="212"/>
              <w:rPr>
                <w:sz w:val="20"/>
              </w:rPr>
            </w:pPr>
            <w:r>
              <w:rPr>
                <w:sz w:val="20"/>
              </w:rPr>
              <w:t>284</w:t>
            </w:r>
          </w:p>
        </w:tc>
        <w:tc>
          <w:tcPr>
            <w:tcW w:w="1053" w:type="dxa"/>
          </w:tcPr>
          <w:p>
            <w:pPr>
              <w:pStyle w:val="TableParagraph"/>
              <w:spacing w:before="43"/>
              <w:ind w:left="173" w:right="188"/>
              <w:jc w:val="center"/>
              <w:rPr>
                <w:sz w:val="20"/>
              </w:rPr>
            </w:pPr>
            <w:r>
              <w:rPr>
                <w:sz w:val="20"/>
              </w:rPr>
              <w:t>931.52</w:t>
            </w:r>
          </w:p>
        </w:tc>
        <w:tc>
          <w:tcPr>
            <w:tcW w:w="989" w:type="dxa"/>
          </w:tcPr>
          <w:p>
            <w:pPr>
              <w:pStyle w:val="TableParagraph"/>
              <w:spacing w:before="18"/>
              <w:ind w:left="94" w:right="83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</w:tr>
      <w:tr>
        <w:trPr>
          <w:trHeight w:val="300" w:hRule="atLeast"/>
        </w:trPr>
        <w:tc>
          <w:tcPr>
            <w:tcW w:w="1604" w:type="dxa"/>
          </w:tcPr>
          <w:p>
            <w:pPr>
              <w:pStyle w:val="TableParagraph"/>
              <w:spacing w:before="43"/>
              <w:ind w:left="61" w:right="82"/>
              <w:jc w:val="center"/>
              <w:rPr>
                <w:sz w:val="20"/>
              </w:rPr>
            </w:pPr>
            <w:r>
              <w:rPr>
                <w:sz w:val="20"/>
              </w:rPr>
              <w:t>E-5P-17 -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6</w:t>
            </w:r>
          </w:p>
        </w:tc>
        <w:tc>
          <w:tcPr>
            <w:tcW w:w="923" w:type="dxa"/>
          </w:tcPr>
          <w:p>
            <w:pPr>
              <w:pStyle w:val="TableParagraph"/>
              <w:spacing w:before="18"/>
              <w:ind w:left="302" w:right="280"/>
              <w:jc w:val="center"/>
              <w:rPr>
                <w:sz w:val="20"/>
              </w:rPr>
            </w:pPr>
            <w:r>
              <w:rPr>
                <w:sz w:val="20"/>
              </w:rPr>
              <w:t>182</w:t>
            </w:r>
          </w:p>
        </w:tc>
        <w:tc>
          <w:tcPr>
            <w:tcW w:w="633" w:type="dxa"/>
          </w:tcPr>
          <w:p>
            <w:pPr>
              <w:pStyle w:val="TableParagraph"/>
              <w:spacing w:before="18"/>
              <w:ind w:left="115"/>
              <w:rPr>
                <w:sz w:val="20"/>
              </w:rPr>
            </w:pPr>
            <w:r>
              <w:rPr>
                <w:sz w:val="20"/>
              </w:rPr>
              <w:t>2592</w:t>
            </w:r>
          </w:p>
        </w:tc>
        <w:tc>
          <w:tcPr>
            <w:tcW w:w="895" w:type="dxa"/>
          </w:tcPr>
          <w:p>
            <w:pPr>
              <w:pStyle w:val="TableParagraph"/>
              <w:spacing w:before="43"/>
              <w:ind w:left="102" w:right="102"/>
              <w:jc w:val="center"/>
              <w:rPr>
                <w:sz w:val="20"/>
              </w:rPr>
            </w:pPr>
            <w:r>
              <w:rPr>
                <w:sz w:val="20"/>
              </w:rPr>
              <w:t>8501.76</w:t>
            </w:r>
          </w:p>
        </w:tc>
        <w:tc>
          <w:tcPr>
            <w:tcW w:w="26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745" w:type="dxa"/>
          </w:tcPr>
          <w:p>
            <w:pPr>
              <w:pStyle w:val="TableParagraph"/>
              <w:spacing w:before="43"/>
              <w:ind w:left="190"/>
              <w:rPr>
                <w:sz w:val="20"/>
              </w:rPr>
            </w:pPr>
            <w:r>
              <w:rPr>
                <w:sz w:val="20"/>
              </w:rPr>
              <w:t>N/A</w:t>
            </w:r>
          </w:p>
        </w:tc>
        <w:tc>
          <w:tcPr>
            <w:tcW w:w="1053" w:type="dxa"/>
          </w:tcPr>
          <w:p>
            <w:pPr>
              <w:pStyle w:val="TableParagraph"/>
              <w:spacing w:before="43"/>
              <w:ind w:left="173" w:right="188"/>
              <w:jc w:val="center"/>
              <w:rPr>
                <w:sz w:val="20"/>
              </w:rPr>
            </w:pPr>
            <w:r>
              <w:rPr>
                <w:sz w:val="20"/>
              </w:rPr>
              <w:t>N/A</w:t>
            </w:r>
          </w:p>
        </w:tc>
        <w:tc>
          <w:tcPr>
            <w:tcW w:w="989" w:type="dxa"/>
          </w:tcPr>
          <w:p>
            <w:pPr>
              <w:pStyle w:val="TableParagraph"/>
              <w:spacing w:before="18"/>
              <w:ind w:left="94" w:right="83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</w:tr>
      <w:tr>
        <w:trPr>
          <w:trHeight w:val="300" w:hRule="atLeast"/>
        </w:trPr>
        <w:tc>
          <w:tcPr>
            <w:tcW w:w="1604" w:type="dxa"/>
          </w:tcPr>
          <w:p>
            <w:pPr>
              <w:pStyle w:val="TableParagraph"/>
              <w:spacing w:before="43"/>
              <w:ind w:left="61" w:right="82"/>
              <w:jc w:val="center"/>
              <w:rPr>
                <w:sz w:val="20"/>
              </w:rPr>
            </w:pPr>
            <w:r>
              <w:rPr>
                <w:sz w:val="20"/>
              </w:rPr>
              <w:t>E-5P-17 -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7</w:t>
            </w:r>
          </w:p>
        </w:tc>
        <w:tc>
          <w:tcPr>
            <w:tcW w:w="923" w:type="dxa"/>
          </w:tcPr>
          <w:p>
            <w:pPr>
              <w:pStyle w:val="TableParagraph"/>
              <w:spacing w:before="18"/>
              <w:ind w:left="302" w:right="280"/>
              <w:jc w:val="center"/>
              <w:rPr>
                <w:sz w:val="20"/>
              </w:rPr>
            </w:pPr>
            <w:r>
              <w:rPr>
                <w:sz w:val="20"/>
              </w:rPr>
              <w:t>179</w:t>
            </w:r>
          </w:p>
        </w:tc>
        <w:tc>
          <w:tcPr>
            <w:tcW w:w="633" w:type="dxa"/>
          </w:tcPr>
          <w:p>
            <w:pPr>
              <w:pStyle w:val="TableParagraph"/>
              <w:spacing w:before="18"/>
              <w:ind w:left="115"/>
              <w:rPr>
                <w:sz w:val="20"/>
              </w:rPr>
            </w:pPr>
            <w:r>
              <w:rPr>
                <w:sz w:val="20"/>
              </w:rPr>
              <w:t>2478</w:t>
            </w:r>
          </w:p>
        </w:tc>
        <w:tc>
          <w:tcPr>
            <w:tcW w:w="895" w:type="dxa"/>
          </w:tcPr>
          <w:p>
            <w:pPr>
              <w:pStyle w:val="TableParagraph"/>
              <w:spacing w:before="43"/>
              <w:ind w:left="102" w:right="102"/>
              <w:jc w:val="center"/>
              <w:rPr>
                <w:sz w:val="20"/>
              </w:rPr>
            </w:pPr>
            <w:r>
              <w:rPr>
                <w:sz w:val="20"/>
              </w:rPr>
              <w:t>8127.84</w:t>
            </w:r>
          </w:p>
        </w:tc>
        <w:tc>
          <w:tcPr>
            <w:tcW w:w="26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745" w:type="dxa"/>
          </w:tcPr>
          <w:p>
            <w:pPr>
              <w:pStyle w:val="TableParagraph"/>
              <w:spacing w:before="43"/>
              <w:ind w:left="190"/>
              <w:rPr>
                <w:sz w:val="20"/>
              </w:rPr>
            </w:pPr>
            <w:r>
              <w:rPr>
                <w:sz w:val="20"/>
              </w:rPr>
              <w:t>N/A</w:t>
            </w:r>
          </w:p>
        </w:tc>
        <w:tc>
          <w:tcPr>
            <w:tcW w:w="1053" w:type="dxa"/>
          </w:tcPr>
          <w:p>
            <w:pPr>
              <w:pStyle w:val="TableParagraph"/>
              <w:spacing w:before="43"/>
              <w:ind w:left="173" w:right="188"/>
              <w:jc w:val="center"/>
              <w:rPr>
                <w:sz w:val="20"/>
              </w:rPr>
            </w:pPr>
            <w:r>
              <w:rPr>
                <w:sz w:val="20"/>
              </w:rPr>
              <w:t>N/A</w:t>
            </w:r>
          </w:p>
        </w:tc>
        <w:tc>
          <w:tcPr>
            <w:tcW w:w="989" w:type="dxa"/>
          </w:tcPr>
          <w:p>
            <w:pPr>
              <w:pStyle w:val="TableParagraph"/>
              <w:spacing w:before="18"/>
              <w:ind w:left="94" w:right="83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</w:tr>
      <w:tr>
        <w:trPr>
          <w:trHeight w:val="293" w:hRule="atLeast"/>
        </w:trPr>
        <w:tc>
          <w:tcPr>
            <w:tcW w:w="160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43"/>
              <w:ind w:left="61" w:right="82"/>
              <w:jc w:val="center"/>
              <w:rPr>
                <w:sz w:val="20"/>
              </w:rPr>
            </w:pPr>
            <w:r>
              <w:rPr>
                <w:sz w:val="20"/>
              </w:rPr>
              <w:t>E-5P-17 -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8</w:t>
            </w:r>
          </w:p>
        </w:tc>
        <w:tc>
          <w:tcPr>
            <w:tcW w:w="923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8"/>
              <w:ind w:left="302" w:right="280"/>
              <w:jc w:val="center"/>
              <w:rPr>
                <w:sz w:val="20"/>
              </w:rPr>
            </w:pPr>
            <w:r>
              <w:rPr>
                <w:sz w:val="20"/>
              </w:rPr>
              <w:t>180</w:t>
            </w:r>
          </w:p>
        </w:tc>
        <w:tc>
          <w:tcPr>
            <w:tcW w:w="633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8"/>
              <w:ind w:left="115"/>
              <w:rPr>
                <w:sz w:val="20"/>
              </w:rPr>
            </w:pPr>
            <w:r>
              <w:rPr>
                <w:sz w:val="20"/>
              </w:rPr>
              <w:t>2519</w:t>
            </w:r>
          </w:p>
        </w:tc>
        <w:tc>
          <w:tcPr>
            <w:tcW w:w="89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43"/>
              <w:ind w:left="102" w:right="102"/>
              <w:jc w:val="center"/>
              <w:rPr>
                <w:sz w:val="20"/>
              </w:rPr>
            </w:pPr>
            <w:r>
              <w:rPr>
                <w:sz w:val="20"/>
              </w:rPr>
              <w:t>8262.32</w:t>
            </w:r>
          </w:p>
        </w:tc>
        <w:tc>
          <w:tcPr>
            <w:tcW w:w="269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74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43"/>
              <w:ind w:left="212"/>
              <w:rPr>
                <w:sz w:val="20"/>
              </w:rPr>
            </w:pPr>
            <w:r>
              <w:rPr>
                <w:sz w:val="20"/>
              </w:rPr>
              <w:t>945</w:t>
            </w:r>
          </w:p>
        </w:tc>
        <w:tc>
          <w:tcPr>
            <w:tcW w:w="1053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43"/>
              <w:ind w:left="173" w:right="188"/>
              <w:jc w:val="center"/>
              <w:rPr>
                <w:sz w:val="20"/>
              </w:rPr>
            </w:pPr>
            <w:r>
              <w:rPr>
                <w:sz w:val="20"/>
              </w:rPr>
              <w:t>3099.60</w:t>
            </w:r>
          </w:p>
        </w:tc>
        <w:tc>
          <w:tcPr>
            <w:tcW w:w="98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8"/>
              <w:ind w:left="94" w:right="83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</w:tr>
      <w:tr>
        <w:trPr>
          <w:trHeight w:val="306" w:hRule="atLeast"/>
        </w:trPr>
        <w:tc>
          <w:tcPr>
            <w:tcW w:w="1604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50"/>
              <w:ind w:left="97" w:right="219"/>
              <w:jc w:val="center"/>
              <w:rPr>
                <w:sz w:val="20"/>
              </w:rPr>
            </w:pPr>
            <w:r>
              <w:rPr>
                <w:sz w:val="20"/>
              </w:rPr>
              <w:t>E-5P-6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1</w:t>
            </w:r>
          </w:p>
        </w:tc>
        <w:tc>
          <w:tcPr>
            <w:tcW w:w="923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50"/>
              <w:ind w:left="302" w:right="280"/>
              <w:jc w:val="center"/>
              <w:rPr>
                <w:sz w:val="20"/>
              </w:rPr>
            </w:pPr>
            <w:r>
              <w:rPr>
                <w:sz w:val="20"/>
              </w:rPr>
              <w:t>208</w:t>
            </w:r>
          </w:p>
        </w:tc>
        <w:tc>
          <w:tcPr>
            <w:tcW w:w="633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24"/>
              <w:ind w:left="115"/>
              <w:rPr>
                <w:sz w:val="20"/>
              </w:rPr>
            </w:pPr>
            <w:r>
              <w:rPr>
                <w:sz w:val="20"/>
              </w:rPr>
              <w:t>2504</w:t>
            </w:r>
          </w:p>
        </w:tc>
        <w:tc>
          <w:tcPr>
            <w:tcW w:w="895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50"/>
              <w:ind w:left="102" w:right="102"/>
              <w:jc w:val="center"/>
              <w:rPr>
                <w:sz w:val="20"/>
              </w:rPr>
            </w:pPr>
            <w:r>
              <w:rPr>
                <w:sz w:val="20"/>
              </w:rPr>
              <w:t>8213.12</w:t>
            </w:r>
          </w:p>
        </w:tc>
        <w:tc>
          <w:tcPr>
            <w:tcW w:w="269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745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50"/>
              <w:ind w:left="162"/>
              <w:rPr>
                <w:sz w:val="20"/>
              </w:rPr>
            </w:pPr>
            <w:r>
              <w:rPr>
                <w:sz w:val="20"/>
              </w:rPr>
              <w:t>1144</w:t>
            </w:r>
          </w:p>
        </w:tc>
        <w:tc>
          <w:tcPr>
            <w:tcW w:w="1053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50"/>
              <w:ind w:left="173" w:right="188"/>
              <w:jc w:val="center"/>
              <w:rPr>
                <w:sz w:val="20"/>
              </w:rPr>
            </w:pPr>
            <w:r>
              <w:rPr>
                <w:sz w:val="20"/>
              </w:rPr>
              <w:t>3752.32</w:t>
            </w:r>
          </w:p>
        </w:tc>
        <w:tc>
          <w:tcPr>
            <w:tcW w:w="989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24"/>
              <w:ind w:left="94" w:right="83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</w:tr>
      <w:tr>
        <w:trPr>
          <w:trHeight w:val="300" w:hRule="atLeast"/>
        </w:trPr>
        <w:tc>
          <w:tcPr>
            <w:tcW w:w="1604" w:type="dxa"/>
          </w:tcPr>
          <w:p>
            <w:pPr>
              <w:pStyle w:val="TableParagraph"/>
              <w:spacing w:before="44"/>
              <w:ind w:left="97" w:right="219"/>
              <w:jc w:val="center"/>
              <w:rPr>
                <w:sz w:val="20"/>
              </w:rPr>
            </w:pPr>
            <w:r>
              <w:rPr>
                <w:sz w:val="20"/>
              </w:rPr>
              <w:t>E-5P-6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2</w:t>
            </w:r>
          </w:p>
        </w:tc>
        <w:tc>
          <w:tcPr>
            <w:tcW w:w="923" w:type="dxa"/>
          </w:tcPr>
          <w:p>
            <w:pPr>
              <w:pStyle w:val="TableParagraph"/>
              <w:spacing w:before="44"/>
              <w:ind w:left="302" w:right="280"/>
              <w:jc w:val="center"/>
              <w:rPr>
                <w:sz w:val="20"/>
              </w:rPr>
            </w:pPr>
            <w:r>
              <w:rPr>
                <w:sz w:val="20"/>
              </w:rPr>
              <w:t>205</w:t>
            </w:r>
          </w:p>
        </w:tc>
        <w:tc>
          <w:tcPr>
            <w:tcW w:w="633" w:type="dxa"/>
          </w:tcPr>
          <w:p>
            <w:pPr>
              <w:pStyle w:val="TableParagraph"/>
              <w:spacing w:before="17"/>
              <w:ind w:left="115"/>
              <w:rPr>
                <w:sz w:val="20"/>
              </w:rPr>
            </w:pPr>
            <w:r>
              <w:rPr>
                <w:sz w:val="20"/>
              </w:rPr>
              <w:t>2874</w:t>
            </w:r>
          </w:p>
        </w:tc>
        <w:tc>
          <w:tcPr>
            <w:tcW w:w="895" w:type="dxa"/>
          </w:tcPr>
          <w:p>
            <w:pPr>
              <w:pStyle w:val="TableParagraph"/>
              <w:spacing w:before="44"/>
              <w:ind w:left="102" w:right="102"/>
              <w:jc w:val="center"/>
              <w:rPr>
                <w:sz w:val="20"/>
              </w:rPr>
            </w:pPr>
            <w:r>
              <w:rPr>
                <w:sz w:val="20"/>
              </w:rPr>
              <w:t>9426.72</w:t>
            </w:r>
          </w:p>
        </w:tc>
        <w:tc>
          <w:tcPr>
            <w:tcW w:w="26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745" w:type="dxa"/>
          </w:tcPr>
          <w:p>
            <w:pPr>
              <w:pStyle w:val="TableParagraph"/>
              <w:spacing w:before="44"/>
              <w:ind w:left="162"/>
              <w:rPr>
                <w:sz w:val="20"/>
              </w:rPr>
            </w:pPr>
            <w:r>
              <w:rPr>
                <w:sz w:val="20"/>
              </w:rPr>
              <w:t>1653</w:t>
            </w:r>
          </w:p>
        </w:tc>
        <w:tc>
          <w:tcPr>
            <w:tcW w:w="1053" w:type="dxa"/>
          </w:tcPr>
          <w:p>
            <w:pPr>
              <w:pStyle w:val="TableParagraph"/>
              <w:spacing w:before="44"/>
              <w:ind w:left="173" w:right="188"/>
              <w:jc w:val="center"/>
              <w:rPr>
                <w:sz w:val="20"/>
              </w:rPr>
            </w:pPr>
            <w:r>
              <w:rPr>
                <w:sz w:val="20"/>
              </w:rPr>
              <w:t>5421.84</w:t>
            </w:r>
          </w:p>
        </w:tc>
        <w:tc>
          <w:tcPr>
            <w:tcW w:w="989" w:type="dxa"/>
          </w:tcPr>
          <w:p>
            <w:pPr>
              <w:pStyle w:val="TableParagraph"/>
              <w:spacing w:before="17"/>
              <w:ind w:left="94" w:right="83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</w:tr>
      <w:tr>
        <w:trPr>
          <w:trHeight w:val="303" w:hRule="atLeast"/>
        </w:trPr>
        <w:tc>
          <w:tcPr>
            <w:tcW w:w="1604" w:type="dxa"/>
          </w:tcPr>
          <w:p>
            <w:pPr>
              <w:pStyle w:val="TableParagraph"/>
              <w:spacing w:before="44"/>
              <w:ind w:left="97" w:right="219"/>
              <w:jc w:val="center"/>
              <w:rPr>
                <w:sz w:val="20"/>
              </w:rPr>
            </w:pPr>
            <w:r>
              <w:rPr>
                <w:sz w:val="20"/>
              </w:rPr>
              <w:t>E-5P-6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3</w:t>
            </w:r>
          </w:p>
        </w:tc>
        <w:tc>
          <w:tcPr>
            <w:tcW w:w="923" w:type="dxa"/>
          </w:tcPr>
          <w:p>
            <w:pPr>
              <w:pStyle w:val="TableParagraph"/>
              <w:spacing w:before="44"/>
              <w:ind w:left="302" w:right="280"/>
              <w:jc w:val="center"/>
              <w:rPr>
                <w:sz w:val="20"/>
              </w:rPr>
            </w:pPr>
            <w:r>
              <w:rPr>
                <w:sz w:val="20"/>
              </w:rPr>
              <w:t>178</w:t>
            </w:r>
          </w:p>
        </w:tc>
        <w:tc>
          <w:tcPr>
            <w:tcW w:w="633" w:type="dxa"/>
          </w:tcPr>
          <w:p>
            <w:pPr>
              <w:pStyle w:val="TableParagraph"/>
              <w:spacing w:before="17"/>
              <w:ind w:left="115"/>
              <w:rPr>
                <w:sz w:val="20"/>
              </w:rPr>
            </w:pPr>
            <w:r>
              <w:rPr>
                <w:sz w:val="20"/>
              </w:rPr>
              <w:t>2501</w:t>
            </w:r>
          </w:p>
        </w:tc>
        <w:tc>
          <w:tcPr>
            <w:tcW w:w="895" w:type="dxa"/>
          </w:tcPr>
          <w:p>
            <w:pPr>
              <w:pStyle w:val="TableParagraph"/>
              <w:spacing w:before="44"/>
              <w:ind w:left="102" w:right="102"/>
              <w:jc w:val="center"/>
              <w:rPr>
                <w:sz w:val="20"/>
              </w:rPr>
            </w:pPr>
            <w:r>
              <w:rPr>
                <w:sz w:val="20"/>
              </w:rPr>
              <w:t>8203.28</w:t>
            </w:r>
          </w:p>
        </w:tc>
        <w:tc>
          <w:tcPr>
            <w:tcW w:w="26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745" w:type="dxa"/>
          </w:tcPr>
          <w:p>
            <w:pPr>
              <w:pStyle w:val="TableParagraph"/>
              <w:spacing w:before="44"/>
              <w:ind w:left="212"/>
              <w:rPr>
                <w:sz w:val="20"/>
              </w:rPr>
            </w:pPr>
            <w:r>
              <w:rPr>
                <w:sz w:val="20"/>
              </w:rPr>
              <w:t>743</w:t>
            </w:r>
          </w:p>
        </w:tc>
        <w:tc>
          <w:tcPr>
            <w:tcW w:w="1053" w:type="dxa"/>
          </w:tcPr>
          <w:p>
            <w:pPr>
              <w:pStyle w:val="TableParagraph"/>
              <w:spacing w:before="44"/>
              <w:ind w:left="173" w:right="188"/>
              <w:jc w:val="center"/>
              <w:rPr>
                <w:sz w:val="20"/>
              </w:rPr>
            </w:pPr>
            <w:r>
              <w:rPr>
                <w:sz w:val="20"/>
              </w:rPr>
              <w:t>2437.04</w:t>
            </w:r>
          </w:p>
        </w:tc>
        <w:tc>
          <w:tcPr>
            <w:tcW w:w="989" w:type="dxa"/>
          </w:tcPr>
          <w:p>
            <w:pPr>
              <w:pStyle w:val="TableParagraph"/>
              <w:spacing w:before="17"/>
              <w:ind w:left="94" w:right="83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</w:tr>
      <w:tr>
        <w:trPr>
          <w:trHeight w:val="310" w:hRule="atLeast"/>
        </w:trPr>
        <w:tc>
          <w:tcPr>
            <w:tcW w:w="1604" w:type="dxa"/>
          </w:tcPr>
          <w:p>
            <w:pPr>
              <w:pStyle w:val="TableParagraph"/>
              <w:spacing w:before="55"/>
              <w:ind w:left="97" w:right="219"/>
              <w:jc w:val="center"/>
              <w:rPr>
                <w:sz w:val="20"/>
              </w:rPr>
            </w:pPr>
            <w:r>
              <w:rPr>
                <w:sz w:val="20"/>
              </w:rPr>
              <w:t>E-5P-6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4</w:t>
            </w:r>
          </w:p>
        </w:tc>
        <w:tc>
          <w:tcPr>
            <w:tcW w:w="923" w:type="dxa"/>
          </w:tcPr>
          <w:p>
            <w:pPr>
              <w:pStyle w:val="TableParagraph"/>
              <w:spacing w:before="55"/>
              <w:ind w:left="302" w:right="280"/>
              <w:jc w:val="center"/>
              <w:rPr>
                <w:sz w:val="20"/>
              </w:rPr>
            </w:pPr>
            <w:r>
              <w:rPr>
                <w:sz w:val="20"/>
              </w:rPr>
              <w:t>178</w:t>
            </w:r>
          </w:p>
        </w:tc>
        <w:tc>
          <w:tcPr>
            <w:tcW w:w="633" w:type="dxa"/>
          </w:tcPr>
          <w:p>
            <w:pPr>
              <w:pStyle w:val="TableParagraph"/>
              <w:spacing w:before="21"/>
              <w:ind w:left="115"/>
              <w:rPr>
                <w:sz w:val="20"/>
              </w:rPr>
            </w:pPr>
            <w:r>
              <w:rPr>
                <w:sz w:val="20"/>
              </w:rPr>
              <w:t>2545</w:t>
            </w:r>
          </w:p>
        </w:tc>
        <w:tc>
          <w:tcPr>
            <w:tcW w:w="895" w:type="dxa"/>
          </w:tcPr>
          <w:p>
            <w:pPr>
              <w:pStyle w:val="TableParagraph"/>
              <w:spacing w:before="55"/>
              <w:ind w:left="102" w:right="102"/>
              <w:jc w:val="center"/>
              <w:rPr>
                <w:sz w:val="20"/>
              </w:rPr>
            </w:pPr>
            <w:r>
              <w:rPr>
                <w:sz w:val="20"/>
              </w:rPr>
              <w:t>8347.60</w:t>
            </w:r>
          </w:p>
        </w:tc>
        <w:tc>
          <w:tcPr>
            <w:tcW w:w="26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745" w:type="dxa"/>
          </w:tcPr>
          <w:p>
            <w:pPr>
              <w:pStyle w:val="TableParagraph"/>
              <w:spacing w:before="55"/>
              <w:ind w:left="162"/>
              <w:rPr>
                <w:sz w:val="20"/>
              </w:rPr>
            </w:pPr>
            <w:r>
              <w:rPr>
                <w:sz w:val="20"/>
              </w:rPr>
              <w:t>1146</w:t>
            </w:r>
          </w:p>
        </w:tc>
        <w:tc>
          <w:tcPr>
            <w:tcW w:w="1053" w:type="dxa"/>
          </w:tcPr>
          <w:p>
            <w:pPr>
              <w:pStyle w:val="TableParagraph"/>
              <w:spacing w:before="55"/>
              <w:ind w:left="173" w:right="188"/>
              <w:jc w:val="center"/>
              <w:rPr>
                <w:sz w:val="20"/>
              </w:rPr>
            </w:pPr>
            <w:r>
              <w:rPr>
                <w:sz w:val="20"/>
              </w:rPr>
              <w:t>3758.88</w:t>
            </w:r>
          </w:p>
        </w:tc>
        <w:tc>
          <w:tcPr>
            <w:tcW w:w="989" w:type="dxa"/>
          </w:tcPr>
          <w:p>
            <w:pPr>
              <w:pStyle w:val="TableParagraph"/>
              <w:spacing w:before="21"/>
              <w:ind w:left="94" w:right="83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</w:tr>
      <w:tr>
        <w:trPr>
          <w:trHeight w:val="300" w:hRule="atLeast"/>
        </w:trPr>
        <w:tc>
          <w:tcPr>
            <w:tcW w:w="1604" w:type="dxa"/>
          </w:tcPr>
          <w:p>
            <w:pPr>
              <w:pStyle w:val="TableParagraph"/>
              <w:spacing w:before="44"/>
              <w:ind w:left="97" w:right="219"/>
              <w:jc w:val="center"/>
              <w:rPr>
                <w:sz w:val="20"/>
              </w:rPr>
            </w:pPr>
            <w:r>
              <w:rPr>
                <w:sz w:val="20"/>
              </w:rPr>
              <w:t>E-5P-6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5</w:t>
            </w:r>
          </w:p>
        </w:tc>
        <w:tc>
          <w:tcPr>
            <w:tcW w:w="923" w:type="dxa"/>
          </w:tcPr>
          <w:p>
            <w:pPr>
              <w:pStyle w:val="TableParagraph"/>
              <w:spacing w:before="44"/>
              <w:ind w:left="302" w:right="280"/>
              <w:jc w:val="center"/>
              <w:rPr>
                <w:sz w:val="20"/>
              </w:rPr>
            </w:pPr>
            <w:r>
              <w:rPr>
                <w:sz w:val="20"/>
              </w:rPr>
              <w:t>178</w:t>
            </w:r>
          </w:p>
        </w:tc>
        <w:tc>
          <w:tcPr>
            <w:tcW w:w="633" w:type="dxa"/>
          </w:tcPr>
          <w:p>
            <w:pPr>
              <w:pStyle w:val="TableParagraph"/>
              <w:spacing w:before="17"/>
              <w:ind w:left="115"/>
              <w:rPr>
                <w:sz w:val="20"/>
              </w:rPr>
            </w:pPr>
            <w:r>
              <w:rPr>
                <w:sz w:val="20"/>
              </w:rPr>
              <w:t>2243</w:t>
            </w:r>
          </w:p>
        </w:tc>
        <w:tc>
          <w:tcPr>
            <w:tcW w:w="895" w:type="dxa"/>
          </w:tcPr>
          <w:p>
            <w:pPr>
              <w:pStyle w:val="TableParagraph"/>
              <w:spacing w:before="44"/>
              <w:ind w:left="102" w:right="102"/>
              <w:jc w:val="center"/>
              <w:rPr>
                <w:sz w:val="20"/>
              </w:rPr>
            </w:pPr>
            <w:r>
              <w:rPr>
                <w:sz w:val="20"/>
              </w:rPr>
              <w:t>7357.04</w:t>
            </w:r>
          </w:p>
        </w:tc>
        <w:tc>
          <w:tcPr>
            <w:tcW w:w="26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745" w:type="dxa"/>
          </w:tcPr>
          <w:p>
            <w:pPr>
              <w:pStyle w:val="TableParagraph"/>
              <w:spacing w:before="44"/>
              <w:ind w:left="162"/>
              <w:rPr>
                <w:sz w:val="20"/>
              </w:rPr>
            </w:pPr>
            <w:r>
              <w:rPr>
                <w:sz w:val="20"/>
              </w:rPr>
              <w:t>1015</w:t>
            </w:r>
          </w:p>
        </w:tc>
        <w:tc>
          <w:tcPr>
            <w:tcW w:w="1053" w:type="dxa"/>
          </w:tcPr>
          <w:p>
            <w:pPr>
              <w:pStyle w:val="TableParagraph"/>
              <w:spacing w:before="44"/>
              <w:ind w:left="173" w:right="188"/>
              <w:jc w:val="center"/>
              <w:rPr>
                <w:sz w:val="20"/>
              </w:rPr>
            </w:pPr>
            <w:r>
              <w:rPr>
                <w:sz w:val="20"/>
              </w:rPr>
              <w:t>3329.20</w:t>
            </w:r>
          </w:p>
        </w:tc>
        <w:tc>
          <w:tcPr>
            <w:tcW w:w="989" w:type="dxa"/>
          </w:tcPr>
          <w:p>
            <w:pPr>
              <w:pStyle w:val="TableParagraph"/>
              <w:spacing w:before="17"/>
              <w:ind w:left="94" w:right="83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</w:tr>
      <w:tr>
        <w:trPr>
          <w:trHeight w:val="294" w:hRule="atLeast"/>
        </w:trPr>
        <w:tc>
          <w:tcPr>
            <w:tcW w:w="160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44"/>
              <w:ind w:left="97" w:right="219"/>
              <w:jc w:val="center"/>
              <w:rPr>
                <w:sz w:val="20"/>
              </w:rPr>
            </w:pPr>
            <w:r>
              <w:rPr>
                <w:sz w:val="20"/>
              </w:rPr>
              <w:t>E-5P-6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6</w:t>
            </w:r>
          </w:p>
        </w:tc>
        <w:tc>
          <w:tcPr>
            <w:tcW w:w="923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44"/>
              <w:ind w:left="302" w:right="280"/>
              <w:jc w:val="center"/>
              <w:rPr>
                <w:sz w:val="20"/>
              </w:rPr>
            </w:pPr>
            <w:r>
              <w:rPr>
                <w:sz w:val="20"/>
              </w:rPr>
              <w:t>178</w:t>
            </w:r>
          </w:p>
        </w:tc>
        <w:tc>
          <w:tcPr>
            <w:tcW w:w="633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7"/>
              <w:ind w:left="115"/>
              <w:rPr>
                <w:sz w:val="20"/>
              </w:rPr>
            </w:pPr>
            <w:r>
              <w:rPr>
                <w:sz w:val="20"/>
              </w:rPr>
              <w:t>2527</w:t>
            </w:r>
          </w:p>
        </w:tc>
        <w:tc>
          <w:tcPr>
            <w:tcW w:w="89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44"/>
              <w:ind w:left="102" w:right="102"/>
              <w:jc w:val="center"/>
              <w:rPr>
                <w:sz w:val="20"/>
              </w:rPr>
            </w:pPr>
            <w:r>
              <w:rPr>
                <w:sz w:val="20"/>
              </w:rPr>
              <w:t>8288.56</w:t>
            </w:r>
          </w:p>
        </w:tc>
        <w:tc>
          <w:tcPr>
            <w:tcW w:w="269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74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44"/>
              <w:ind w:left="162"/>
              <w:rPr>
                <w:sz w:val="20"/>
              </w:rPr>
            </w:pPr>
            <w:r>
              <w:rPr>
                <w:sz w:val="20"/>
              </w:rPr>
              <w:t>1461</w:t>
            </w:r>
          </w:p>
        </w:tc>
        <w:tc>
          <w:tcPr>
            <w:tcW w:w="1053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44"/>
              <w:ind w:left="173" w:right="188"/>
              <w:jc w:val="center"/>
              <w:rPr>
                <w:sz w:val="20"/>
              </w:rPr>
            </w:pPr>
            <w:r>
              <w:rPr>
                <w:sz w:val="20"/>
              </w:rPr>
              <w:t>4792.08</w:t>
            </w:r>
          </w:p>
        </w:tc>
        <w:tc>
          <w:tcPr>
            <w:tcW w:w="98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7"/>
              <w:ind w:left="94" w:right="83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</w:tr>
    </w:tbl>
    <w:p>
      <w:pPr>
        <w:spacing w:before="7"/>
        <w:ind w:left="1936" w:right="778" w:firstLine="0"/>
        <w:jc w:val="center"/>
        <w:rPr>
          <w:sz w:val="20"/>
        </w:rPr>
      </w:pPr>
      <w:r>
        <w:rPr>
          <w:sz w:val="20"/>
        </w:rPr>
        <w:t>Note:</w:t>
      </w:r>
      <w:r>
        <w:rPr>
          <w:spacing w:val="-4"/>
          <w:sz w:val="20"/>
        </w:rPr>
        <w:t> </w:t>
      </w:r>
      <w:r>
        <w:rPr>
          <w:sz w:val="20"/>
        </w:rPr>
        <w:t>N/A</w:t>
      </w:r>
      <w:r>
        <w:rPr>
          <w:spacing w:val="-3"/>
          <w:sz w:val="20"/>
        </w:rPr>
        <w:t> </w:t>
      </w:r>
      <w:r>
        <w:rPr>
          <w:sz w:val="20"/>
        </w:rPr>
        <w:t>represents</w:t>
      </w:r>
      <w:r>
        <w:rPr>
          <w:spacing w:val="-4"/>
          <w:sz w:val="20"/>
        </w:rPr>
        <w:t> </w:t>
      </w:r>
      <w:r>
        <w:rPr>
          <w:sz w:val="20"/>
        </w:rPr>
        <w:t>data</w:t>
      </w:r>
      <w:r>
        <w:rPr>
          <w:spacing w:val="-2"/>
          <w:sz w:val="20"/>
        </w:rPr>
        <w:t> </w:t>
      </w:r>
      <w:r>
        <w:rPr>
          <w:sz w:val="20"/>
        </w:rPr>
        <w:t>that</w:t>
      </w:r>
      <w:r>
        <w:rPr>
          <w:spacing w:val="-4"/>
          <w:sz w:val="20"/>
        </w:rPr>
        <w:t> </w:t>
      </w:r>
      <w:r>
        <w:rPr>
          <w:sz w:val="20"/>
        </w:rPr>
        <w:t>could</w:t>
      </w:r>
      <w:r>
        <w:rPr>
          <w:spacing w:val="-3"/>
          <w:sz w:val="20"/>
        </w:rPr>
        <w:t> </w:t>
      </w:r>
      <w:r>
        <w:rPr>
          <w:sz w:val="20"/>
        </w:rPr>
        <w:t>not</w:t>
      </w:r>
      <w:r>
        <w:rPr>
          <w:spacing w:val="-3"/>
          <w:sz w:val="20"/>
        </w:rPr>
        <w:t> </w:t>
      </w:r>
      <w:r>
        <w:rPr>
          <w:sz w:val="20"/>
        </w:rPr>
        <w:t>be</w:t>
      </w:r>
      <w:r>
        <w:rPr>
          <w:spacing w:val="-3"/>
          <w:sz w:val="20"/>
        </w:rPr>
        <w:t> </w:t>
      </w:r>
      <w:r>
        <w:rPr>
          <w:sz w:val="20"/>
        </w:rPr>
        <w:t>collected</w:t>
      </w:r>
      <w:r>
        <w:rPr>
          <w:spacing w:val="-3"/>
          <w:sz w:val="20"/>
        </w:rPr>
        <w:t> </w:t>
      </w:r>
      <w:r>
        <w:rPr>
          <w:sz w:val="20"/>
        </w:rPr>
        <w:t>due</w:t>
      </w:r>
      <w:r>
        <w:rPr>
          <w:spacing w:val="-3"/>
          <w:sz w:val="20"/>
        </w:rPr>
        <w:t> </w:t>
      </w:r>
      <w:r>
        <w:rPr>
          <w:sz w:val="20"/>
        </w:rPr>
        <w:t>to</w:t>
      </w:r>
      <w:r>
        <w:rPr>
          <w:spacing w:val="-3"/>
          <w:sz w:val="20"/>
        </w:rPr>
        <w:t> </w:t>
      </w:r>
      <w:r>
        <w:rPr>
          <w:sz w:val="20"/>
        </w:rPr>
        <w:t>equipment</w:t>
      </w:r>
      <w:r>
        <w:rPr>
          <w:spacing w:val="-1"/>
          <w:sz w:val="20"/>
        </w:rPr>
        <w:t> </w:t>
      </w:r>
      <w:r>
        <w:rPr>
          <w:sz w:val="20"/>
        </w:rPr>
        <w:t>malfunction</w:t>
      </w:r>
      <w:r>
        <w:rPr>
          <w:spacing w:val="-3"/>
          <w:sz w:val="20"/>
        </w:rPr>
        <w:t> </w:t>
      </w:r>
      <w:r>
        <w:rPr>
          <w:sz w:val="20"/>
        </w:rPr>
        <w:t>or</w:t>
      </w:r>
      <w:r>
        <w:rPr>
          <w:spacing w:val="-3"/>
          <w:sz w:val="20"/>
        </w:rPr>
        <w:t> </w:t>
      </w:r>
      <w:r>
        <w:rPr>
          <w:sz w:val="20"/>
        </w:rPr>
        <w:t>user</w:t>
      </w:r>
      <w:r>
        <w:rPr>
          <w:spacing w:val="-2"/>
          <w:sz w:val="20"/>
        </w:rPr>
        <w:t> </w:t>
      </w:r>
      <w:r>
        <w:rPr>
          <w:sz w:val="20"/>
        </w:rPr>
        <w:t>error</w:t>
      </w:r>
    </w:p>
    <w:p>
      <w:pPr>
        <w:spacing w:after="0"/>
        <w:jc w:val="center"/>
        <w:rPr>
          <w:sz w:val="20"/>
        </w:rPr>
        <w:sectPr>
          <w:pgSz w:w="12240" w:h="15840"/>
          <w:pgMar w:header="0" w:footer="1064" w:top="1360" w:bottom="1260" w:left="440" w:right="880"/>
        </w:sectPr>
      </w:pPr>
    </w:p>
    <w:p>
      <w:pPr>
        <w:tabs>
          <w:tab w:pos="2153" w:val="left" w:leader="none"/>
        </w:tabs>
        <w:spacing w:before="70"/>
        <w:ind w:left="1160" w:right="0" w:firstLine="0"/>
        <w:jc w:val="center"/>
        <w:rPr>
          <w:b/>
          <w:sz w:val="20"/>
        </w:rPr>
      </w:pPr>
      <w:r>
        <w:rPr/>
        <w:pict>
          <v:shape style="position:absolute;margin-left:139.050003pt;margin-top:26.995911pt;width:369.45pt;height:291.25pt;mso-position-horizontal-relative:page;mso-position-vertical-relative:paragraph;z-index:1591654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549"/>
                    <w:gridCol w:w="993"/>
                    <w:gridCol w:w="733"/>
                    <w:gridCol w:w="1093"/>
                    <w:gridCol w:w="961"/>
                    <w:gridCol w:w="1037"/>
                    <w:gridCol w:w="1027"/>
                  </w:tblGrid>
                  <w:tr>
                    <w:trPr>
                      <w:trHeight w:val="508" w:hRule="atLeast"/>
                    </w:trPr>
                    <w:tc>
                      <w:tcPr>
                        <w:tcW w:w="1549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993" w:type="dxa"/>
                        <w:vMerge w:val="restart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0"/>
                          <w:rPr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59" w:lineRule="auto"/>
                          <w:ind w:left="187" w:right="136" w:hanging="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Powder</w:t>
                        </w:r>
                        <w:r>
                          <w:rPr>
                            <w:b/>
                            <w:spacing w:val="-47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Mass</w:t>
                        </w:r>
                        <w:r>
                          <w:rPr>
                            <w:b/>
                            <w:spacing w:val="1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(grains)</w:t>
                        </w:r>
                      </w:p>
                    </w:tc>
                    <w:tc>
                      <w:tcPr>
                        <w:tcW w:w="1826" w:type="dxa"/>
                        <w:gridSpan w:val="2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"/>
                          <w:rPr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23" w:lineRule="exact"/>
                          <w:ind w:left="21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Chrono-Based</w:t>
                        </w:r>
                      </w:p>
                    </w:tc>
                    <w:tc>
                      <w:tcPr>
                        <w:tcW w:w="1998" w:type="dxa"/>
                        <w:gridSpan w:val="2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"/>
                          <w:rPr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23" w:lineRule="exact"/>
                          <w:ind w:left="423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Chrono-Based</w:t>
                        </w:r>
                      </w:p>
                    </w:tc>
                    <w:tc>
                      <w:tcPr>
                        <w:tcW w:w="1027" w:type="dxa"/>
                        <w:vMerge w:val="restart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47"/>
                          <w:ind w:left="271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DOP</w:t>
                        </w:r>
                      </w:p>
                      <w:p>
                        <w:pPr>
                          <w:pStyle w:val="TableParagraph"/>
                          <w:spacing w:before="18"/>
                          <w:ind w:left="332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(in)</w:t>
                        </w:r>
                      </w:p>
                    </w:tc>
                  </w:tr>
                  <w:tr>
                    <w:trPr>
                      <w:trHeight w:val="256" w:hRule="atLeast"/>
                    </w:trPr>
                    <w:tc>
                      <w:tcPr>
                        <w:tcW w:w="1549" w:type="dxa"/>
                      </w:tcPr>
                      <w:p>
                        <w:pPr>
                          <w:pStyle w:val="TableParagraph"/>
                          <w:spacing w:before="5"/>
                          <w:ind w:left="448" w:right="359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Shot</w:t>
                        </w:r>
                      </w:p>
                    </w:tc>
                    <w:tc>
                      <w:tcPr>
                        <w:tcW w:w="993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33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093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61" w:type="dxa"/>
                      </w:tcPr>
                      <w:p>
                        <w:pPr>
                          <w:pStyle w:val="TableParagraph"/>
                          <w:tabs>
                            <w:tab w:pos="1940" w:val="left" w:leader="none"/>
                          </w:tabs>
                          <w:spacing w:before="5"/>
                          <w:ind w:left="141" w:right="-994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100"/>
                            <w:sz w:val="20"/>
                            <w:u w:val="single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  <w:u w:val="single"/>
                          </w:rPr>
                          <w:tab/>
                        </w:r>
                      </w:p>
                    </w:tc>
                    <w:tc>
                      <w:tcPr>
                        <w:tcW w:w="1037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027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509" w:hRule="atLeast"/>
                    </w:trPr>
                    <w:tc>
                      <w:tcPr>
                        <w:tcW w:w="1549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993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33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144" w:right="180" w:firstLine="11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s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(fps)</w:t>
                        </w:r>
                      </w:p>
                    </w:tc>
                    <w:tc>
                      <w:tcPr>
                        <w:tcW w:w="1093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252" w:right="387" w:firstLine="140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s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(m/s)</w:t>
                        </w:r>
                      </w:p>
                    </w:tc>
                    <w:tc>
                      <w:tcPr>
                        <w:tcW w:w="961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351" w:right="201" w:firstLine="11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r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(fps)</w:t>
                        </w:r>
                      </w:p>
                    </w:tc>
                    <w:tc>
                      <w:tcPr>
                        <w:tcW w:w="1037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268" w:right="315" w:firstLine="13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r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(m/s)</w:t>
                        </w:r>
                      </w:p>
                    </w:tc>
                    <w:tc>
                      <w:tcPr>
                        <w:tcW w:w="1027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318" w:hRule="atLeast"/>
                    </w:trPr>
                    <w:tc>
                      <w:tcPr>
                        <w:tcW w:w="1549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1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E-Base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993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276" w:right="22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105.5</w:t>
                        </w:r>
                      </w:p>
                    </w:tc>
                    <w:tc>
                      <w:tcPr>
                        <w:tcW w:w="733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3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2560</w:t>
                        </w:r>
                      </w:p>
                    </w:tc>
                    <w:tc>
                      <w:tcPr>
                        <w:tcW w:w="1093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9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780.25</w:t>
                        </w:r>
                      </w:p>
                    </w:tc>
                    <w:tc>
                      <w:tcPr>
                        <w:tcW w:w="961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39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236</w:t>
                        </w:r>
                      </w:p>
                    </w:tc>
                    <w:tc>
                      <w:tcPr>
                        <w:tcW w:w="1037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right="27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478.21</w:t>
                        </w:r>
                      </w:p>
                    </w:tc>
                    <w:tc>
                      <w:tcPr>
                        <w:tcW w:w="1027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299" w:right="35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549" w:type="dxa"/>
                      </w:tcPr>
                      <w:p>
                        <w:pPr>
                          <w:pStyle w:val="TableParagraph"/>
                          <w:spacing w:before="31"/>
                          <w:ind w:left="11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E-Base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w="993" w:type="dxa"/>
                      </w:tcPr>
                      <w:p>
                        <w:pPr>
                          <w:pStyle w:val="TableParagraph"/>
                          <w:spacing w:before="31"/>
                          <w:ind w:left="276" w:right="22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105.0</w:t>
                        </w:r>
                      </w:p>
                    </w:tc>
                    <w:tc>
                      <w:tcPr>
                        <w:tcW w:w="733" w:type="dxa"/>
                      </w:tcPr>
                      <w:p>
                        <w:pPr>
                          <w:pStyle w:val="TableParagraph"/>
                          <w:spacing w:before="31"/>
                          <w:ind w:left="13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2628</w:t>
                        </w:r>
                      </w:p>
                    </w:tc>
                    <w:tc>
                      <w:tcPr>
                        <w:tcW w:w="1093" w:type="dxa"/>
                      </w:tcPr>
                      <w:p>
                        <w:pPr>
                          <w:pStyle w:val="TableParagraph"/>
                          <w:spacing w:before="31"/>
                          <w:ind w:left="19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800.98</w:t>
                        </w:r>
                      </w:p>
                    </w:tc>
                    <w:tc>
                      <w:tcPr>
                        <w:tcW w:w="961" w:type="dxa"/>
                      </w:tcPr>
                      <w:p>
                        <w:pPr>
                          <w:pStyle w:val="TableParagraph"/>
                          <w:spacing w:before="31"/>
                          <w:ind w:left="34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1017</w:t>
                        </w:r>
                      </w:p>
                    </w:tc>
                    <w:tc>
                      <w:tcPr>
                        <w:tcW w:w="1037" w:type="dxa"/>
                      </w:tcPr>
                      <w:p>
                        <w:pPr>
                          <w:pStyle w:val="TableParagraph"/>
                          <w:spacing w:before="31"/>
                          <w:ind w:right="27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309.97</w:t>
                        </w:r>
                      </w:p>
                    </w:tc>
                    <w:tc>
                      <w:tcPr>
                        <w:tcW w:w="1027" w:type="dxa"/>
                      </w:tcPr>
                      <w:p>
                        <w:pPr>
                          <w:pStyle w:val="TableParagraph"/>
                          <w:spacing w:before="31"/>
                          <w:ind w:left="299" w:right="35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549" w:type="dxa"/>
                      </w:tcPr>
                      <w:p>
                        <w:pPr>
                          <w:pStyle w:val="TableParagraph"/>
                          <w:spacing w:before="31"/>
                          <w:ind w:left="11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E-Base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3</w:t>
                        </w:r>
                      </w:p>
                    </w:tc>
                    <w:tc>
                      <w:tcPr>
                        <w:tcW w:w="993" w:type="dxa"/>
                      </w:tcPr>
                      <w:p>
                        <w:pPr>
                          <w:pStyle w:val="TableParagraph"/>
                          <w:spacing w:before="31"/>
                          <w:ind w:left="276" w:right="22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104.5</w:t>
                        </w:r>
                      </w:p>
                    </w:tc>
                    <w:tc>
                      <w:tcPr>
                        <w:tcW w:w="733" w:type="dxa"/>
                      </w:tcPr>
                      <w:p>
                        <w:pPr>
                          <w:pStyle w:val="TableParagraph"/>
                          <w:spacing w:before="31"/>
                          <w:ind w:left="13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2512</w:t>
                        </w:r>
                      </w:p>
                    </w:tc>
                    <w:tc>
                      <w:tcPr>
                        <w:tcW w:w="1093" w:type="dxa"/>
                      </w:tcPr>
                      <w:p>
                        <w:pPr>
                          <w:pStyle w:val="TableParagraph"/>
                          <w:spacing w:before="31"/>
                          <w:ind w:left="19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765.62</w:t>
                        </w:r>
                      </w:p>
                    </w:tc>
                    <w:tc>
                      <w:tcPr>
                        <w:tcW w:w="961" w:type="dxa"/>
                      </w:tcPr>
                      <w:p>
                        <w:pPr>
                          <w:pStyle w:val="TableParagraph"/>
                          <w:spacing w:before="31"/>
                          <w:ind w:left="34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1131</w:t>
                        </w:r>
                      </w:p>
                    </w:tc>
                    <w:tc>
                      <w:tcPr>
                        <w:tcW w:w="1037" w:type="dxa"/>
                      </w:tcPr>
                      <w:p>
                        <w:pPr>
                          <w:pStyle w:val="TableParagraph"/>
                          <w:spacing w:before="31"/>
                          <w:ind w:right="27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344.71</w:t>
                        </w:r>
                      </w:p>
                    </w:tc>
                    <w:tc>
                      <w:tcPr>
                        <w:tcW w:w="1027" w:type="dxa"/>
                      </w:tcPr>
                      <w:p>
                        <w:pPr>
                          <w:pStyle w:val="TableParagraph"/>
                          <w:spacing w:before="31"/>
                          <w:ind w:left="299" w:right="35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549" w:type="dxa"/>
                      </w:tcPr>
                      <w:p>
                        <w:pPr>
                          <w:pStyle w:val="TableParagraph"/>
                          <w:spacing w:before="31"/>
                          <w:ind w:left="11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E-Base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4</w:t>
                        </w:r>
                      </w:p>
                    </w:tc>
                    <w:tc>
                      <w:tcPr>
                        <w:tcW w:w="993" w:type="dxa"/>
                      </w:tcPr>
                      <w:p>
                        <w:pPr>
                          <w:pStyle w:val="TableParagraph"/>
                          <w:spacing w:before="31"/>
                          <w:ind w:left="276" w:right="22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104.5</w:t>
                        </w:r>
                      </w:p>
                    </w:tc>
                    <w:tc>
                      <w:tcPr>
                        <w:tcW w:w="733" w:type="dxa"/>
                      </w:tcPr>
                      <w:p>
                        <w:pPr>
                          <w:pStyle w:val="TableParagraph"/>
                          <w:spacing w:before="31"/>
                          <w:ind w:left="13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2723</w:t>
                        </w:r>
                      </w:p>
                    </w:tc>
                    <w:tc>
                      <w:tcPr>
                        <w:tcW w:w="1093" w:type="dxa"/>
                      </w:tcPr>
                      <w:p>
                        <w:pPr>
                          <w:pStyle w:val="TableParagraph"/>
                          <w:spacing w:before="31"/>
                          <w:ind w:left="19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829.93</w:t>
                        </w:r>
                      </w:p>
                    </w:tc>
                    <w:tc>
                      <w:tcPr>
                        <w:tcW w:w="961" w:type="dxa"/>
                      </w:tcPr>
                      <w:p>
                        <w:pPr>
                          <w:pStyle w:val="TableParagraph"/>
                          <w:spacing w:before="31"/>
                          <w:ind w:left="34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1158</w:t>
                        </w:r>
                      </w:p>
                    </w:tc>
                    <w:tc>
                      <w:tcPr>
                        <w:tcW w:w="1037" w:type="dxa"/>
                      </w:tcPr>
                      <w:p>
                        <w:pPr>
                          <w:pStyle w:val="TableParagraph"/>
                          <w:spacing w:before="31"/>
                          <w:ind w:right="27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352.94</w:t>
                        </w:r>
                      </w:p>
                    </w:tc>
                    <w:tc>
                      <w:tcPr>
                        <w:tcW w:w="1027" w:type="dxa"/>
                      </w:tcPr>
                      <w:p>
                        <w:pPr>
                          <w:pStyle w:val="TableParagraph"/>
                          <w:spacing w:before="31"/>
                          <w:ind w:left="299" w:right="35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549" w:type="dxa"/>
                      </w:tcPr>
                      <w:p>
                        <w:pPr>
                          <w:pStyle w:val="TableParagraph"/>
                          <w:spacing w:before="31"/>
                          <w:ind w:left="11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E-Base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5</w:t>
                        </w:r>
                      </w:p>
                    </w:tc>
                    <w:tc>
                      <w:tcPr>
                        <w:tcW w:w="993" w:type="dxa"/>
                      </w:tcPr>
                      <w:p>
                        <w:pPr>
                          <w:pStyle w:val="TableParagraph"/>
                          <w:spacing w:before="31"/>
                          <w:ind w:left="276" w:right="22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104.5</w:t>
                        </w:r>
                      </w:p>
                    </w:tc>
                    <w:tc>
                      <w:tcPr>
                        <w:tcW w:w="733" w:type="dxa"/>
                      </w:tcPr>
                      <w:p>
                        <w:pPr>
                          <w:pStyle w:val="TableParagraph"/>
                          <w:spacing w:before="31"/>
                          <w:ind w:left="13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2595</w:t>
                        </w:r>
                      </w:p>
                    </w:tc>
                    <w:tc>
                      <w:tcPr>
                        <w:tcW w:w="1093" w:type="dxa"/>
                      </w:tcPr>
                      <w:p>
                        <w:pPr>
                          <w:pStyle w:val="TableParagraph"/>
                          <w:spacing w:before="31"/>
                          <w:ind w:left="19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790.92</w:t>
                        </w:r>
                      </w:p>
                    </w:tc>
                    <w:tc>
                      <w:tcPr>
                        <w:tcW w:w="961" w:type="dxa"/>
                      </w:tcPr>
                      <w:p>
                        <w:pPr>
                          <w:pStyle w:val="TableParagraph"/>
                          <w:spacing w:before="31"/>
                          <w:ind w:left="34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1156</w:t>
                        </w:r>
                      </w:p>
                    </w:tc>
                    <w:tc>
                      <w:tcPr>
                        <w:tcW w:w="1037" w:type="dxa"/>
                      </w:tcPr>
                      <w:p>
                        <w:pPr>
                          <w:pStyle w:val="TableParagraph"/>
                          <w:spacing w:before="31"/>
                          <w:ind w:right="27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352.33</w:t>
                        </w:r>
                      </w:p>
                    </w:tc>
                    <w:tc>
                      <w:tcPr>
                        <w:tcW w:w="1027" w:type="dxa"/>
                      </w:tcPr>
                      <w:p>
                        <w:pPr>
                          <w:pStyle w:val="TableParagraph"/>
                          <w:spacing w:before="31"/>
                          <w:ind w:left="299" w:right="35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549" w:type="dxa"/>
                      </w:tcPr>
                      <w:p>
                        <w:pPr>
                          <w:pStyle w:val="TableParagraph"/>
                          <w:spacing w:before="31"/>
                          <w:ind w:left="11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E-Base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6</w:t>
                        </w:r>
                      </w:p>
                    </w:tc>
                    <w:tc>
                      <w:tcPr>
                        <w:tcW w:w="993" w:type="dxa"/>
                      </w:tcPr>
                      <w:p>
                        <w:pPr>
                          <w:pStyle w:val="TableParagraph"/>
                          <w:spacing w:before="31"/>
                          <w:ind w:left="276" w:right="22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104.0</w:t>
                        </w:r>
                      </w:p>
                    </w:tc>
                    <w:tc>
                      <w:tcPr>
                        <w:tcW w:w="733" w:type="dxa"/>
                      </w:tcPr>
                      <w:p>
                        <w:pPr>
                          <w:pStyle w:val="TableParagraph"/>
                          <w:spacing w:before="31"/>
                          <w:ind w:left="13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2692</w:t>
                        </w:r>
                      </w:p>
                    </w:tc>
                    <w:tc>
                      <w:tcPr>
                        <w:tcW w:w="1093" w:type="dxa"/>
                      </w:tcPr>
                      <w:p>
                        <w:pPr>
                          <w:pStyle w:val="TableParagraph"/>
                          <w:spacing w:before="31"/>
                          <w:ind w:left="19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820.48</w:t>
                        </w:r>
                      </w:p>
                    </w:tc>
                    <w:tc>
                      <w:tcPr>
                        <w:tcW w:w="961" w:type="dxa"/>
                      </w:tcPr>
                      <w:p>
                        <w:pPr>
                          <w:pStyle w:val="TableParagraph"/>
                          <w:spacing w:before="31"/>
                          <w:ind w:left="34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1225</w:t>
                        </w:r>
                      </w:p>
                    </w:tc>
                    <w:tc>
                      <w:tcPr>
                        <w:tcW w:w="1037" w:type="dxa"/>
                      </w:tcPr>
                      <w:p>
                        <w:pPr>
                          <w:pStyle w:val="TableParagraph"/>
                          <w:spacing w:before="31"/>
                          <w:ind w:right="27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373.36</w:t>
                        </w:r>
                      </w:p>
                    </w:tc>
                    <w:tc>
                      <w:tcPr>
                        <w:tcW w:w="1027" w:type="dxa"/>
                      </w:tcPr>
                      <w:p>
                        <w:pPr>
                          <w:pStyle w:val="TableParagraph"/>
                          <w:spacing w:before="31"/>
                          <w:ind w:left="299" w:right="35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549" w:type="dxa"/>
                      </w:tcPr>
                      <w:p>
                        <w:pPr>
                          <w:pStyle w:val="TableParagraph"/>
                          <w:spacing w:before="31"/>
                          <w:ind w:left="11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E-Base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7</w:t>
                        </w:r>
                      </w:p>
                    </w:tc>
                    <w:tc>
                      <w:tcPr>
                        <w:tcW w:w="993" w:type="dxa"/>
                      </w:tcPr>
                      <w:p>
                        <w:pPr>
                          <w:pStyle w:val="TableParagraph"/>
                          <w:spacing w:before="31"/>
                          <w:ind w:left="276" w:right="22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104.0</w:t>
                        </w:r>
                      </w:p>
                    </w:tc>
                    <w:tc>
                      <w:tcPr>
                        <w:tcW w:w="733" w:type="dxa"/>
                      </w:tcPr>
                      <w:p>
                        <w:pPr>
                          <w:pStyle w:val="TableParagraph"/>
                          <w:spacing w:before="31"/>
                          <w:ind w:left="13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2745</w:t>
                        </w:r>
                      </w:p>
                    </w:tc>
                    <w:tc>
                      <w:tcPr>
                        <w:tcW w:w="1093" w:type="dxa"/>
                      </w:tcPr>
                      <w:p>
                        <w:pPr>
                          <w:pStyle w:val="TableParagraph"/>
                          <w:spacing w:before="31"/>
                          <w:ind w:left="19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836.64</w:t>
                        </w:r>
                      </w:p>
                    </w:tc>
                    <w:tc>
                      <w:tcPr>
                        <w:tcW w:w="961" w:type="dxa"/>
                      </w:tcPr>
                      <w:p>
                        <w:pPr>
                          <w:pStyle w:val="TableParagraph"/>
                          <w:spacing w:before="31"/>
                          <w:ind w:left="39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993</w:t>
                        </w:r>
                      </w:p>
                    </w:tc>
                    <w:tc>
                      <w:tcPr>
                        <w:tcW w:w="1037" w:type="dxa"/>
                      </w:tcPr>
                      <w:p>
                        <w:pPr>
                          <w:pStyle w:val="TableParagraph"/>
                          <w:spacing w:before="31"/>
                          <w:ind w:right="27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302.65</w:t>
                        </w:r>
                      </w:p>
                    </w:tc>
                    <w:tc>
                      <w:tcPr>
                        <w:tcW w:w="1027" w:type="dxa"/>
                      </w:tcPr>
                      <w:p>
                        <w:pPr>
                          <w:pStyle w:val="TableParagraph"/>
                          <w:spacing w:before="31"/>
                          <w:ind w:left="299" w:right="35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549" w:type="dxa"/>
                      </w:tcPr>
                      <w:p>
                        <w:pPr>
                          <w:pStyle w:val="TableParagraph"/>
                          <w:spacing w:before="31"/>
                          <w:ind w:left="11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E-Base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8</w:t>
                        </w:r>
                      </w:p>
                    </w:tc>
                    <w:tc>
                      <w:tcPr>
                        <w:tcW w:w="993" w:type="dxa"/>
                      </w:tcPr>
                      <w:p>
                        <w:pPr>
                          <w:pStyle w:val="TableParagraph"/>
                          <w:spacing w:before="31"/>
                          <w:ind w:left="276" w:right="22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100.0</w:t>
                        </w:r>
                      </w:p>
                    </w:tc>
                    <w:tc>
                      <w:tcPr>
                        <w:tcW w:w="733" w:type="dxa"/>
                      </w:tcPr>
                      <w:p>
                        <w:pPr>
                          <w:pStyle w:val="TableParagraph"/>
                          <w:spacing w:before="31"/>
                          <w:ind w:left="13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2668</w:t>
                        </w:r>
                      </w:p>
                    </w:tc>
                    <w:tc>
                      <w:tcPr>
                        <w:tcW w:w="1093" w:type="dxa"/>
                      </w:tcPr>
                      <w:p>
                        <w:pPr>
                          <w:pStyle w:val="TableParagraph"/>
                          <w:spacing w:before="31"/>
                          <w:ind w:left="19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813.17</w:t>
                        </w:r>
                      </w:p>
                    </w:tc>
                    <w:tc>
                      <w:tcPr>
                        <w:tcW w:w="961" w:type="dxa"/>
                      </w:tcPr>
                      <w:p>
                        <w:pPr>
                          <w:pStyle w:val="TableParagraph"/>
                          <w:spacing w:before="31"/>
                          <w:ind w:left="39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691</w:t>
                        </w:r>
                      </w:p>
                    </w:tc>
                    <w:tc>
                      <w:tcPr>
                        <w:tcW w:w="1037" w:type="dxa"/>
                      </w:tcPr>
                      <w:p>
                        <w:pPr>
                          <w:pStyle w:val="TableParagraph"/>
                          <w:spacing w:before="31"/>
                          <w:ind w:right="27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210.61</w:t>
                        </w:r>
                      </w:p>
                    </w:tc>
                    <w:tc>
                      <w:tcPr>
                        <w:tcW w:w="1027" w:type="dxa"/>
                      </w:tcPr>
                      <w:p>
                        <w:pPr>
                          <w:pStyle w:val="TableParagraph"/>
                          <w:spacing w:before="31"/>
                          <w:ind w:left="299" w:right="35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549" w:type="dxa"/>
                      </w:tcPr>
                      <w:p>
                        <w:pPr>
                          <w:pStyle w:val="TableParagraph"/>
                          <w:spacing w:before="31"/>
                          <w:ind w:left="11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E-Base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9</w:t>
                        </w:r>
                      </w:p>
                    </w:tc>
                    <w:tc>
                      <w:tcPr>
                        <w:tcW w:w="993" w:type="dxa"/>
                      </w:tcPr>
                      <w:p>
                        <w:pPr>
                          <w:pStyle w:val="TableParagraph"/>
                          <w:spacing w:before="31"/>
                          <w:ind w:left="276" w:right="22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96.0</w:t>
                        </w:r>
                      </w:p>
                    </w:tc>
                    <w:tc>
                      <w:tcPr>
                        <w:tcW w:w="733" w:type="dxa"/>
                      </w:tcPr>
                      <w:p>
                        <w:pPr>
                          <w:pStyle w:val="TableParagraph"/>
                          <w:spacing w:before="31"/>
                          <w:ind w:left="13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2498</w:t>
                        </w:r>
                      </w:p>
                    </w:tc>
                    <w:tc>
                      <w:tcPr>
                        <w:tcW w:w="1093" w:type="dxa"/>
                      </w:tcPr>
                      <w:p>
                        <w:pPr>
                          <w:pStyle w:val="TableParagraph"/>
                          <w:spacing w:before="31"/>
                          <w:ind w:left="19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761.35</w:t>
                        </w:r>
                      </w:p>
                    </w:tc>
                    <w:tc>
                      <w:tcPr>
                        <w:tcW w:w="961" w:type="dxa"/>
                      </w:tcPr>
                      <w:p>
                        <w:pPr>
                          <w:pStyle w:val="TableParagraph"/>
                          <w:spacing w:before="31"/>
                          <w:ind w:left="39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319</w:t>
                        </w:r>
                      </w:p>
                    </w:tc>
                    <w:tc>
                      <w:tcPr>
                        <w:tcW w:w="1037" w:type="dxa"/>
                      </w:tcPr>
                      <w:p>
                        <w:pPr>
                          <w:pStyle w:val="TableParagraph"/>
                          <w:spacing w:before="31"/>
                          <w:ind w:right="32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97.23</w:t>
                        </w:r>
                      </w:p>
                    </w:tc>
                    <w:tc>
                      <w:tcPr>
                        <w:tcW w:w="1027" w:type="dxa"/>
                      </w:tcPr>
                      <w:p>
                        <w:pPr>
                          <w:pStyle w:val="TableParagraph"/>
                          <w:spacing w:before="31"/>
                          <w:ind w:left="299" w:right="35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549" w:type="dxa"/>
                      </w:tcPr>
                      <w:p>
                        <w:pPr>
                          <w:pStyle w:val="TableParagraph"/>
                          <w:spacing w:before="31"/>
                          <w:ind w:left="11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E-Base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993" w:type="dxa"/>
                      </w:tcPr>
                      <w:p>
                        <w:pPr>
                          <w:pStyle w:val="TableParagraph"/>
                          <w:spacing w:before="31"/>
                          <w:ind w:left="276" w:right="22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96.0</w:t>
                        </w:r>
                      </w:p>
                    </w:tc>
                    <w:tc>
                      <w:tcPr>
                        <w:tcW w:w="733" w:type="dxa"/>
                      </w:tcPr>
                      <w:p>
                        <w:pPr>
                          <w:pStyle w:val="TableParagraph"/>
                          <w:spacing w:before="31"/>
                          <w:ind w:left="13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2469</w:t>
                        </w:r>
                      </w:p>
                    </w:tc>
                    <w:tc>
                      <w:tcPr>
                        <w:tcW w:w="1093" w:type="dxa"/>
                      </w:tcPr>
                      <w:p>
                        <w:pPr>
                          <w:pStyle w:val="TableParagraph"/>
                          <w:spacing w:before="31"/>
                          <w:ind w:left="19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752.51</w:t>
                        </w:r>
                      </w:p>
                    </w:tc>
                    <w:tc>
                      <w:tcPr>
                        <w:tcW w:w="961" w:type="dxa"/>
                      </w:tcPr>
                      <w:p>
                        <w:pPr>
                          <w:pStyle w:val="TableParagraph"/>
                          <w:spacing w:before="31"/>
                          <w:ind w:left="39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598</w:t>
                        </w:r>
                      </w:p>
                    </w:tc>
                    <w:tc>
                      <w:tcPr>
                        <w:tcW w:w="1037" w:type="dxa"/>
                      </w:tcPr>
                      <w:p>
                        <w:pPr>
                          <w:pStyle w:val="TableParagraph"/>
                          <w:spacing w:before="31"/>
                          <w:ind w:right="27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182.26</w:t>
                        </w:r>
                      </w:p>
                    </w:tc>
                    <w:tc>
                      <w:tcPr>
                        <w:tcW w:w="1027" w:type="dxa"/>
                      </w:tcPr>
                      <w:p>
                        <w:pPr>
                          <w:pStyle w:val="TableParagraph"/>
                          <w:spacing w:before="31"/>
                          <w:ind w:left="299" w:right="35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549" w:type="dxa"/>
                      </w:tcPr>
                      <w:p>
                        <w:pPr>
                          <w:pStyle w:val="TableParagraph"/>
                          <w:spacing w:before="31"/>
                          <w:ind w:left="11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E-Base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11</w:t>
                        </w:r>
                      </w:p>
                    </w:tc>
                    <w:tc>
                      <w:tcPr>
                        <w:tcW w:w="993" w:type="dxa"/>
                      </w:tcPr>
                      <w:p>
                        <w:pPr>
                          <w:pStyle w:val="TableParagraph"/>
                          <w:spacing w:before="31"/>
                          <w:ind w:left="276" w:right="22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96.0</w:t>
                        </w:r>
                      </w:p>
                    </w:tc>
                    <w:tc>
                      <w:tcPr>
                        <w:tcW w:w="733" w:type="dxa"/>
                      </w:tcPr>
                      <w:p>
                        <w:pPr>
                          <w:pStyle w:val="TableParagraph"/>
                          <w:spacing w:before="31"/>
                          <w:ind w:left="13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2408</w:t>
                        </w:r>
                      </w:p>
                    </w:tc>
                    <w:tc>
                      <w:tcPr>
                        <w:tcW w:w="1093" w:type="dxa"/>
                      </w:tcPr>
                      <w:p>
                        <w:pPr>
                          <w:pStyle w:val="TableParagraph"/>
                          <w:spacing w:before="31"/>
                          <w:ind w:left="19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733.92</w:t>
                        </w:r>
                      </w:p>
                    </w:tc>
                    <w:tc>
                      <w:tcPr>
                        <w:tcW w:w="961" w:type="dxa"/>
                      </w:tcPr>
                      <w:p>
                        <w:pPr>
                          <w:pStyle w:val="TableParagraph"/>
                          <w:spacing w:before="31"/>
                          <w:ind w:left="39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710</w:t>
                        </w:r>
                      </w:p>
                    </w:tc>
                    <w:tc>
                      <w:tcPr>
                        <w:tcW w:w="1037" w:type="dxa"/>
                      </w:tcPr>
                      <w:p>
                        <w:pPr>
                          <w:pStyle w:val="TableParagraph"/>
                          <w:spacing w:before="31"/>
                          <w:ind w:right="27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216.40</w:t>
                        </w:r>
                      </w:p>
                    </w:tc>
                    <w:tc>
                      <w:tcPr>
                        <w:tcW w:w="1027" w:type="dxa"/>
                      </w:tcPr>
                      <w:p>
                        <w:pPr>
                          <w:pStyle w:val="TableParagraph"/>
                          <w:spacing w:before="31"/>
                          <w:ind w:left="299" w:right="35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549" w:type="dxa"/>
                      </w:tcPr>
                      <w:p>
                        <w:pPr>
                          <w:pStyle w:val="TableParagraph"/>
                          <w:spacing w:before="31"/>
                          <w:ind w:left="11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E-Base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12</w:t>
                        </w:r>
                      </w:p>
                    </w:tc>
                    <w:tc>
                      <w:tcPr>
                        <w:tcW w:w="993" w:type="dxa"/>
                      </w:tcPr>
                      <w:p>
                        <w:pPr>
                          <w:pStyle w:val="TableParagraph"/>
                          <w:spacing w:before="31"/>
                          <w:ind w:left="276" w:right="22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97.0</w:t>
                        </w:r>
                      </w:p>
                    </w:tc>
                    <w:tc>
                      <w:tcPr>
                        <w:tcW w:w="733" w:type="dxa"/>
                      </w:tcPr>
                      <w:p>
                        <w:pPr>
                          <w:pStyle w:val="TableParagraph"/>
                          <w:spacing w:before="31"/>
                          <w:ind w:left="13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2409</w:t>
                        </w:r>
                      </w:p>
                    </w:tc>
                    <w:tc>
                      <w:tcPr>
                        <w:tcW w:w="1093" w:type="dxa"/>
                      </w:tcPr>
                      <w:p>
                        <w:pPr>
                          <w:pStyle w:val="TableParagraph"/>
                          <w:spacing w:before="31"/>
                          <w:ind w:left="19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734.23</w:t>
                        </w:r>
                      </w:p>
                    </w:tc>
                    <w:tc>
                      <w:tcPr>
                        <w:tcW w:w="961" w:type="dxa"/>
                      </w:tcPr>
                      <w:p>
                        <w:pPr>
                          <w:pStyle w:val="TableParagraph"/>
                          <w:spacing w:before="31"/>
                          <w:ind w:left="39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709</w:t>
                        </w:r>
                      </w:p>
                    </w:tc>
                    <w:tc>
                      <w:tcPr>
                        <w:tcW w:w="1037" w:type="dxa"/>
                      </w:tcPr>
                      <w:p>
                        <w:pPr>
                          <w:pStyle w:val="TableParagraph"/>
                          <w:spacing w:before="31"/>
                          <w:ind w:right="27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216.09</w:t>
                        </w:r>
                      </w:p>
                    </w:tc>
                    <w:tc>
                      <w:tcPr>
                        <w:tcW w:w="1027" w:type="dxa"/>
                      </w:tcPr>
                      <w:p>
                        <w:pPr>
                          <w:pStyle w:val="TableParagraph"/>
                          <w:spacing w:before="31"/>
                          <w:ind w:left="299" w:right="35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549" w:type="dxa"/>
                      </w:tcPr>
                      <w:p>
                        <w:pPr>
                          <w:pStyle w:val="TableParagraph"/>
                          <w:spacing w:before="31"/>
                          <w:ind w:left="11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E-Base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13</w:t>
                        </w:r>
                      </w:p>
                    </w:tc>
                    <w:tc>
                      <w:tcPr>
                        <w:tcW w:w="993" w:type="dxa"/>
                      </w:tcPr>
                      <w:p>
                        <w:pPr>
                          <w:pStyle w:val="TableParagraph"/>
                          <w:spacing w:before="31"/>
                          <w:ind w:left="276" w:right="22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100.0</w:t>
                        </w:r>
                      </w:p>
                    </w:tc>
                    <w:tc>
                      <w:tcPr>
                        <w:tcW w:w="733" w:type="dxa"/>
                      </w:tcPr>
                      <w:p>
                        <w:pPr>
                          <w:pStyle w:val="TableParagraph"/>
                          <w:spacing w:before="31"/>
                          <w:ind w:left="13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2579</w:t>
                        </w:r>
                      </w:p>
                    </w:tc>
                    <w:tc>
                      <w:tcPr>
                        <w:tcW w:w="1093" w:type="dxa"/>
                      </w:tcPr>
                      <w:p>
                        <w:pPr>
                          <w:pStyle w:val="TableParagraph"/>
                          <w:spacing w:before="31"/>
                          <w:ind w:left="19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786.04</w:t>
                        </w:r>
                      </w:p>
                    </w:tc>
                    <w:tc>
                      <w:tcPr>
                        <w:tcW w:w="961" w:type="dxa"/>
                      </w:tcPr>
                      <w:p>
                        <w:pPr>
                          <w:pStyle w:val="TableParagraph"/>
                          <w:spacing w:before="31"/>
                          <w:ind w:left="39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832</w:t>
                        </w:r>
                      </w:p>
                    </w:tc>
                    <w:tc>
                      <w:tcPr>
                        <w:tcW w:w="1037" w:type="dxa"/>
                      </w:tcPr>
                      <w:p>
                        <w:pPr>
                          <w:pStyle w:val="TableParagraph"/>
                          <w:spacing w:before="31"/>
                          <w:ind w:right="27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253.58</w:t>
                        </w:r>
                      </w:p>
                    </w:tc>
                    <w:tc>
                      <w:tcPr>
                        <w:tcW w:w="1027" w:type="dxa"/>
                      </w:tcPr>
                      <w:p>
                        <w:pPr>
                          <w:pStyle w:val="TableParagraph"/>
                          <w:spacing w:before="31"/>
                          <w:ind w:left="299" w:right="35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549" w:type="dxa"/>
                      </w:tcPr>
                      <w:p>
                        <w:pPr>
                          <w:pStyle w:val="TableParagraph"/>
                          <w:spacing w:before="31"/>
                          <w:ind w:left="11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E-Base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14</w:t>
                        </w:r>
                      </w:p>
                    </w:tc>
                    <w:tc>
                      <w:tcPr>
                        <w:tcW w:w="993" w:type="dxa"/>
                      </w:tcPr>
                      <w:p>
                        <w:pPr>
                          <w:pStyle w:val="TableParagraph"/>
                          <w:spacing w:before="31"/>
                          <w:ind w:left="276" w:right="22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99.0</w:t>
                        </w:r>
                      </w:p>
                    </w:tc>
                    <w:tc>
                      <w:tcPr>
                        <w:tcW w:w="733" w:type="dxa"/>
                      </w:tcPr>
                      <w:p>
                        <w:pPr>
                          <w:pStyle w:val="TableParagraph"/>
                          <w:spacing w:before="31"/>
                          <w:ind w:left="13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2441</w:t>
                        </w:r>
                      </w:p>
                    </w:tc>
                    <w:tc>
                      <w:tcPr>
                        <w:tcW w:w="1093" w:type="dxa"/>
                      </w:tcPr>
                      <w:p>
                        <w:pPr>
                          <w:pStyle w:val="TableParagraph"/>
                          <w:spacing w:before="31"/>
                          <w:ind w:left="19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743.98</w:t>
                        </w:r>
                      </w:p>
                    </w:tc>
                    <w:tc>
                      <w:tcPr>
                        <w:tcW w:w="961" w:type="dxa"/>
                      </w:tcPr>
                      <w:p>
                        <w:pPr>
                          <w:pStyle w:val="TableParagraph"/>
                          <w:spacing w:before="31"/>
                          <w:ind w:left="39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746</w:t>
                        </w:r>
                      </w:p>
                    </w:tc>
                    <w:tc>
                      <w:tcPr>
                        <w:tcW w:w="1037" w:type="dxa"/>
                      </w:tcPr>
                      <w:p>
                        <w:pPr>
                          <w:pStyle w:val="TableParagraph"/>
                          <w:spacing w:before="31"/>
                          <w:ind w:right="27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227.37</w:t>
                        </w:r>
                      </w:p>
                    </w:tc>
                    <w:tc>
                      <w:tcPr>
                        <w:tcW w:w="1027" w:type="dxa"/>
                      </w:tcPr>
                      <w:p>
                        <w:pPr>
                          <w:pStyle w:val="TableParagraph"/>
                          <w:spacing w:before="31"/>
                          <w:ind w:left="299" w:right="35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</w:tr>
                  <w:tr>
                    <w:trPr>
                      <w:trHeight w:val="282" w:hRule="atLeast"/>
                    </w:trPr>
                    <w:tc>
                      <w:tcPr>
                        <w:tcW w:w="1549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1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E-Base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15</w:t>
                        </w:r>
                      </w:p>
                    </w:tc>
                    <w:tc>
                      <w:tcPr>
                        <w:tcW w:w="993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276" w:right="22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100.0</w:t>
                        </w:r>
                      </w:p>
                    </w:tc>
                    <w:tc>
                      <w:tcPr>
                        <w:tcW w:w="733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3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2532</w:t>
                        </w:r>
                      </w:p>
                    </w:tc>
                    <w:tc>
                      <w:tcPr>
                        <w:tcW w:w="1093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9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771.72</w:t>
                        </w:r>
                      </w:p>
                    </w:tc>
                    <w:tc>
                      <w:tcPr>
                        <w:tcW w:w="961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39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726</w:t>
                        </w:r>
                      </w:p>
                    </w:tc>
                    <w:tc>
                      <w:tcPr>
                        <w:tcW w:w="1037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right="27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221.27</w:t>
                        </w:r>
                      </w:p>
                    </w:tc>
                    <w:tc>
                      <w:tcPr>
                        <w:tcW w:w="1027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299" w:right="35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b/>
          <w:sz w:val="20"/>
        </w:rPr>
        <w:t>Table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20</w:t>
        <w:tab/>
        <w:t>0.50-in.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sphere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striking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specimen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E-Base</w:t>
      </w: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spacing w:before="2"/>
        <w:rPr>
          <w:b/>
          <w:sz w:val="23"/>
        </w:rPr>
      </w:pPr>
    </w:p>
    <w:p>
      <w:pPr>
        <w:tabs>
          <w:tab w:pos="2239" w:val="left" w:leader="none"/>
        </w:tabs>
        <w:spacing w:before="1"/>
        <w:ind w:left="513" w:right="0" w:firstLine="0"/>
        <w:jc w:val="center"/>
        <w:rPr>
          <w:b/>
          <w:sz w:val="20"/>
        </w:rPr>
      </w:pPr>
      <w:r>
        <w:rPr>
          <w:b/>
          <w:w w:val="100"/>
          <w:sz w:val="20"/>
          <w:u w:val="single"/>
        </w:rPr>
        <w:t> </w:t>
      </w:r>
      <w:r>
        <w:rPr>
          <w:b/>
          <w:sz w:val="20"/>
          <w:u w:val="single"/>
        </w:rPr>
        <w:tab/>
      </w: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tabs>
          <w:tab w:pos="2153" w:val="left" w:leader="none"/>
        </w:tabs>
        <w:spacing w:before="159"/>
        <w:ind w:left="1159" w:right="0" w:firstLine="0"/>
        <w:jc w:val="center"/>
        <w:rPr>
          <w:b/>
          <w:sz w:val="20"/>
        </w:rPr>
      </w:pPr>
      <w:r>
        <w:rPr/>
        <w:pict>
          <v:shape style="position:absolute;margin-left:143.595001pt;margin-top:31.445169pt;width:360.45pt;height:216.75pt;mso-position-horizontal-relative:page;mso-position-vertical-relative:paragraph;z-index:1591705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504"/>
                    <w:gridCol w:w="948"/>
                    <w:gridCol w:w="720"/>
                    <w:gridCol w:w="1060"/>
                    <w:gridCol w:w="935"/>
                    <w:gridCol w:w="938"/>
                    <w:gridCol w:w="1105"/>
                  </w:tblGrid>
                  <w:tr>
                    <w:trPr>
                      <w:trHeight w:val="509" w:hRule="atLeast"/>
                    </w:trPr>
                    <w:tc>
                      <w:tcPr>
                        <w:tcW w:w="1504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948" w:type="dxa"/>
                        <w:vMerge w:val="restart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b/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59" w:lineRule="auto"/>
                          <w:ind w:left="142" w:right="137" w:hanging="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Powder</w:t>
                        </w:r>
                        <w:r>
                          <w:rPr>
                            <w:b/>
                            <w:spacing w:val="-47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Mass</w:t>
                        </w:r>
                        <w:r>
                          <w:rPr>
                            <w:b/>
                            <w:spacing w:val="1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(grains)</w:t>
                        </w:r>
                      </w:p>
                    </w:tc>
                    <w:tc>
                      <w:tcPr>
                        <w:tcW w:w="1780" w:type="dxa"/>
                        <w:gridSpan w:val="2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"/>
                          <w:rPr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23" w:lineRule="exact"/>
                          <w:ind w:left="18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Chrono-Based</w:t>
                        </w:r>
                      </w:p>
                    </w:tc>
                    <w:tc>
                      <w:tcPr>
                        <w:tcW w:w="1873" w:type="dxa"/>
                        <w:gridSpan w:val="2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"/>
                          <w:rPr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23" w:lineRule="exact"/>
                          <w:ind w:left="373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Chrono-Based</w:t>
                        </w:r>
                      </w:p>
                    </w:tc>
                    <w:tc>
                      <w:tcPr>
                        <w:tcW w:w="1105" w:type="dxa"/>
                        <w:vMerge w:val="restart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47"/>
                          <w:ind w:left="243" w:right="27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DOP</w:t>
                        </w:r>
                      </w:p>
                      <w:p>
                        <w:pPr>
                          <w:pStyle w:val="TableParagraph"/>
                          <w:spacing w:before="18"/>
                          <w:ind w:left="243" w:right="27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(in)</w:t>
                        </w:r>
                      </w:p>
                    </w:tc>
                  </w:tr>
                  <w:tr>
                    <w:trPr>
                      <w:trHeight w:val="256" w:hRule="atLeast"/>
                    </w:trPr>
                    <w:tc>
                      <w:tcPr>
                        <w:tcW w:w="1504" w:type="dxa"/>
                      </w:tcPr>
                      <w:p>
                        <w:pPr>
                          <w:pStyle w:val="TableParagraph"/>
                          <w:spacing w:before="5"/>
                          <w:ind w:left="100" w:right="59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Shot</w:t>
                        </w:r>
                      </w:p>
                    </w:tc>
                    <w:tc>
                      <w:tcPr>
                        <w:tcW w:w="948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20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060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5" w:type="dxa"/>
                      </w:tcPr>
                      <w:p>
                        <w:pPr>
                          <w:pStyle w:val="TableParagraph"/>
                          <w:tabs>
                            <w:tab w:pos="1845" w:val="left" w:leader="none"/>
                          </w:tabs>
                          <w:spacing w:before="5"/>
                          <w:ind w:left="136" w:right="-922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100"/>
                            <w:sz w:val="20"/>
                            <w:u w:val="single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  <w:u w:val="single"/>
                          </w:rPr>
                          <w:tab/>
                        </w:r>
                      </w:p>
                    </w:tc>
                    <w:tc>
                      <w:tcPr>
                        <w:tcW w:w="938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105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508" w:hRule="atLeast"/>
                    </w:trPr>
                    <w:tc>
                      <w:tcPr>
                        <w:tcW w:w="1504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948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20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2"/>
                          <w:ind w:left="143" w:right="168" w:firstLine="11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s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(fps)</w:t>
                        </w:r>
                      </w:p>
                    </w:tc>
                    <w:tc>
                      <w:tcPr>
                        <w:tcW w:w="1060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2"/>
                          <w:ind w:left="238" w:right="368" w:firstLine="141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s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(m/s)</w:t>
                        </w:r>
                      </w:p>
                    </w:tc>
                    <w:tc>
                      <w:tcPr>
                        <w:tcW w:w="935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2"/>
                          <w:ind w:left="326" w:right="200" w:firstLine="11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r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(fps)</w:t>
                        </w:r>
                      </w:p>
                    </w:tc>
                    <w:tc>
                      <w:tcPr>
                        <w:tcW w:w="938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2"/>
                          <w:ind w:left="223" w:right="261" w:firstLine="13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r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(m/s)</w:t>
                        </w:r>
                      </w:p>
                    </w:tc>
                    <w:tc>
                      <w:tcPr>
                        <w:tcW w:w="1105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319" w:hRule="atLeast"/>
                    </w:trPr>
                    <w:tc>
                      <w:tcPr>
                        <w:tcW w:w="1504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0"/>
                          <w:ind w:left="100" w:right="12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E-FF4-1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948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0"/>
                          <w:ind w:left="30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99.5</w:t>
                        </w:r>
                      </w:p>
                    </w:tc>
                    <w:tc>
                      <w:tcPr>
                        <w:tcW w:w="720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0"/>
                          <w:ind w:left="13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2498</w:t>
                        </w:r>
                      </w:p>
                    </w:tc>
                    <w:tc>
                      <w:tcPr>
                        <w:tcW w:w="1060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0"/>
                          <w:ind w:left="18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761.35</w:t>
                        </w:r>
                      </w:p>
                    </w:tc>
                    <w:tc>
                      <w:tcPr>
                        <w:tcW w:w="935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0"/>
                          <w:ind w:left="435" w:right="32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38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0"/>
                          <w:ind w:left="196" w:right="25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105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0"/>
                          <w:ind w:left="243" w:right="27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6.1875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504" w:type="dxa"/>
                      </w:tcPr>
                      <w:p>
                        <w:pPr>
                          <w:pStyle w:val="TableParagraph"/>
                          <w:spacing w:before="31"/>
                          <w:ind w:left="100" w:right="12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E-FF4-1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w="948" w:type="dxa"/>
                      </w:tcPr>
                      <w:p>
                        <w:pPr>
                          <w:pStyle w:val="TableParagraph"/>
                          <w:spacing w:before="31"/>
                          <w:ind w:left="30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99.5</w:t>
                        </w:r>
                      </w:p>
                    </w:tc>
                    <w:tc>
                      <w:tcPr>
                        <w:tcW w:w="720" w:type="dxa"/>
                      </w:tcPr>
                      <w:p>
                        <w:pPr>
                          <w:pStyle w:val="TableParagraph"/>
                          <w:spacing w:before="31"/>
                          <w:ind w:left="13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2547</w:t>
                        </w:r>
                      </w:p>
                    </w:tc>
                    <w:tc>
                      <w:tcPr>
                        <w:tcW w:w="1060" w:type="dxa"/>
                      </w:tcPr>
                      <w:p>
                        <w:pPr>
                          <w:pStyle w:val="TableParagraph"/>
                          <w:spacing w:before="31"/>
                          <w:ind w:left="18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776.29</w:t>
                        </w:r>
                      </w:p>
                    </w:tc>
                    <w:tc>
                      <w:tcPr>
                        <w:tcW w:w="935" w:type="dxa"/>
                      </w:tcPr>
                      <w:p>
                        <w:pPr>
                          <w:pStyle w:val="TableParagraph"/>
                          <w:spacing w:before="31"/>
                          <w:ind w:left="435" w:right="32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38" w:type="dxa"/>
                      </w:tcPr>
                      <w:p>
                        <w:pPr>
                          <w:pStyle w:val="TableParagraph"/>
                          <w:spacing w:before="31"/>
                          <w:ind w:left="196" w:right="25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105" w:type="dxa"/>
                      </w:tcPr>
                      <w:p>
                        <w:pPr>
                          <w:pStyle w:val="TableParagraph"/>
                          <w:spacing w:before="31"/>
                          <w:ind w:left="243" w:right="27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6.3750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504" w:type="dxa"/>
                      </w:tcPr>
                      <w:p>
                        <w:pPr>
                          <w:pStyle w:val="TableParagraph"/>
                          <w:spacing w:before="31"/>
                          <w:ind w:left="100" w:right="12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E-FF4-1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3</w:t>
                        </w:r>
                      </w:p>
                    </w:tc>
                    <w:tc>
                      <w:tcPr>
                        <w:tcW w:w="948" w:type="dxa"/>
                      </w:tcPr>
                      <w:p>
                        <w:pPr>
                          <w:pStyle w:val="TableParagraph"/>
                          <w:spacing w:before="31"/>
                          <w:ind w:left="30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99.5</w:t>
                        </w:r>
                      </w:p>
                    </w:tc>
                    <w:tc>
                      <w:tcPr>
                        <w:tcW w:w="720" w:type="dxa"/>
                      </w:tcPr>
                      <w:p>
                        <w:pPr>
                          <w:pStyle w:val="TableParagraph"/>
                          <w:spacing w:before="31"/>
                          <w:ind w:left="13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2390</w:t>
                        </w:r>
                      </w:p>
                    </w:tc>
                    <w:tc>
                      <w:tcPr>
                        <w:tcW w:w="1060" w:type="dxa"/>
                      </w:tcPr>
                      <w:p>
                        <w:pPr>
                          <w:pStyle w:val="TableParagraph"/>
                          <w:spacing w:before="31"/>
                          <w:ind w:left="18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728.44</w:t>
                        </w:r>
                      </w:p>
                    </w:tc>
                    <w:tc>
                      <w:tcPr>
                        <w:tcW w:w="935" w:type="dxa"/>
                      </w:tcPr>
                      <w:p>
                        <w:pPr>
                          <w:pStyle w:val="TableParagraph"/>
                          <w:spacing w:before="31"/>
                          <w:ind w:left="435" w:right="32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38" w:type="dxa"/>
                      </w:tcPr>
                      <w:p>
                        <w:pPr>
                          <w:pStyle w:val="TableParagraph"/>
                          <w:spacing w:before="31"/>
                          <w:ind w:left="196" w:right="25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105" w:type="dxa"/>
                      </w:tcPr>
                      <w:p>
                        <w:pPr>
                          <w:pStyle w:val="TableParagraph"/>
                          <w:spacing w:before="31"/>
                          <w:ind w:left="243" w:right="27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5.7500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504" w:type="dxa"/>
                      </w:tcPr>
                      <w:p>
                        <w:pPr>
                          <w:pStyle w:val="TableParagraph"/>
                          <w:spacing w:before="31"/>
                          <w:ind w:left="100" w:right="12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E-FF4-1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4</w:t>
                        </w:r>
                      </w:p>
                    </w:tc>
                    <w:tc>
                      <w:tcPr>
                        <w:tcW w:w="948" w:type="dxa"/>
                      </w:tcPr>
                      <w:p>
                        <w:pPr>
                          <w:pStyle w:val="TableParagraph"/>
                          <w:spacing w:before="31"/>
                          <w:ind w:left="30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99.5</w:t>
                        </w:r>
                      </w:p>
                    </w:tc>
                    <w:tc>
                      <w:tcPr>
                        <w:tcW w:w="720" w:type="dxa"/>
                      </w:tcPr>
                      <w:p>
                        <w:pPr>
                          <w:pStyle w:val="TableParagraph"/>
                          <w:spacing w:before="31"/>
                          <w:ind w:left="13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2449</w:t>
                        </w:r>
                      </w:p>
                    </w:tc>
                    <w:tc>
                      <w:tcPr>
                        <w:tcW w:w="1060" w:type="dxa"/>
                      </w:tcPr>
                      <w:p>
                        <w:pPr>
                          <w:pStyle w:val="TableParagraph"/>
                          <w:spacing w:before="31"/>
                          <w:ind w:left="18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746.42</w:t>
                        </w:r>
                      </w:p>
                    </w:tc>
                    <w:tc>
                      <w:tcPr>
                        <w:tcW w:w="935" w:type="dxa"/>
                      </w:tcPr>
                      <w:p>
                        <w:pPr>
                          <w:pStyle w:val="TableParagraph"/>
                          <w:spacing w:before="31"/>
                          <w:ind w:left="435" w:right="32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38" w:type="dxa"/>
                      </w:tcPr>
                      <w:p>
                        <w:pPr>
                          <w:pStyle w:val="TableParagraph"/>
                          <w:spacing w:before="31"/>
                          <w:ind w:left="196" w:right="25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105" w:type="dxa"/>
                      </w:tcPr>
                      <w:p>
                        <w:pPr>
                          <w:pStyle w:val="TableParagraph"/>
                          <w:spacing w:before="31"/>
                          <w:ind w:left="243" w:right="27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5.4375</w:t>
                        </w:r>
                      </w:p>
                    </w:tc>
                  </w:tr>
                  <w:tr>
                    <w:trPr>
                      <w:trHeight w:val="281" w:hRule="atLeast"/>
                    </w:trPr>
                    <w:tc>
                      <w:tcPr>
                        <w:tcW w:w="1504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00" w:right="12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E-FF4-1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5</w:t>
                        </w:r>
                      </w:p>
                    </w:tc>
                    <w:tc>
                      <w:tcPr>
                        <w:tcW w:w="948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25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100.5</w:t>
                        </w:r>
                      </w:p>
                    </w:tc>
                    <w:tc>
                      <w:tcPr>
                        <w:tcW w:w="720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3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2432</w:t>
                        </w:r>
                      </w:p>
                    </w:tc>
                    <w:tc>
                      <w:tcPr>
                        <w:tcW w:w="1060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8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741.24</w:t>
                        </w:r>
                      </w:p>
                    </w:tc>
                    <w:tc>
                      <w:tcPr>
                        <w:tcW w:w="935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435" w:right="32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38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96" w:right="25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105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243" w:right="27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6.0000</w:t>
                        </w:r>
                      </w:p>
                    </w:tc>
                  </w:tr>
                  <w:tr>
                    <w:trPr>
                      <w:trHeight w:val="318" w:hRule="atLeast"/>
                    </w:trPr>
                    <w:tc>
                      <w:tcPr>
                        <w:tcW w:w="1504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00" w:right="12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E-FF4-2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948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25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103.0</w:t>
                        </w:r>
                      </w:p>
                    </w:tc>
                    <w:tc>
                      <w:tcPr>
                        <w:tcW w:w="720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3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2463</w:t>
                        </w:r>
                      </w:p>
                    </w:tc>
                    <w:tc>
                      <w:tcPr>
                        <w:tcW w:w="1060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8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750.69</w:t>
                        </w:r>
                      </w:p>
                    </w:tc>
                    <w:tc>
                      <w:tcPr>
                        <w:tcW w:w="935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435" w:right="32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38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96" w:right="25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105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243" w:right="27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6.4375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504" w:type="dxa"/>
                      </w:tcPr>
                      <w:p>
                        <w:pPr>
                          <w:pStyle w:val="TableParagraph"/>
                          <w:spacing w:before="31"/>
                          <w:ind w:left="100" w:right="12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E-FF4-2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w="948" w:type="dxa"/>
                      </w:tcPr>
                      <w:p>
                        <w:pPr>
                          <w:pStyle w:val="TableParagraph"/>
                          <w:spacing w:before="31"/>
                          <w:ind w:left="25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103.0</w:t>
                        </w:r>
                      </w:p>
                    </w:tc>
                    <w:tc>
                      <w:tcPr>
                        <w:tcW w:w="720" w:type="dxa"/>
                      </w:tcPr>
                      <w:p>
                        <w:pPr>
                          <w:pStyle w:val="TableParagraph"/>
                          <w:spacing w:before="31"/>
                          <w:ind w:left="13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2462</w:t>
                        </w:r>
                      </w:p>
                    </w:tc>
                    <w:tc>
                      <w:tcPr>
                        <w:tcW w:w="1060" w:type="dxa"/>
                      </w:tcPr>
                      <w:p>
                        <w:pPr>
                          <w:pStyle w:val="TableParagraph"/>
                          <w:spacing w:before="31"/>
                          <w:ind w:left="18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750.38</w:t>
                        </w:r>
                      </w:p>
                    </w:tc>
                    <w:tc>
                      <w:tcPr>
                        <w:tcW w:w="935" w:type="dxa"/>
                      </w:tcPr>
                      <w:p>
                        <w:pPr>
                          <w:pStyle w:val="TableParagraph"/>
                          <w:spacing w:before="31"/>
                          <w:ind w:left="37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301</w:t>
                        </w:r>
                      </w:p>
                    </w:tc>
                    <w:tc>
                      <w:tcPr>
                        <w:tcW w:w="938" w:type="dxa"/>
                      </w:tcPr>
                      <w:p>
                        <w:pPr>
                          <w:pStyle w:val="TableParagraph"/>
                          <w:spacing w:before="31"/>
                          <w:ind w:left="196" w:right="25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91.74</w:t>
                        </w:r>
                      </w:p>
                    </w:tc>
                    <w:tc>
                      <w:tcPr>
                        <w:tcW w:w="1105" w:type="dxa"/>
                      </w:tcPr>
                      <w:p>
                        <w:pPr>
                          <w:pStyle w:val="TableParagraph"/>
                          <w:spacing w:before="31"/>
                          <w:ind w:left="243" w:right="2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504" w:type="dxa"/>
                      </w:tcPr>
                      <w:p>
                        <w:pPr>
                          <w:pStyle w:val="TableParagraph"/>
                          <w:spacing w:before="31"/>
                          <w:ind w:left="100" w:right="12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E-FF4-2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3</w:t>
                        </w:r>
                      </w:p>
                    </w:tc>
                    <w:tc>
                      <w:tcPr>
                        <w:tcW w:w="948" w:type="dxa"/>
                      </w:tcPr>
                      <w:p>
                        <w:pPr>
                          <w:pStyle w:val="TableParagraph"/>
                          <w:spacing w:before="31"/>
                          <w:ind w:left="25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103.0</w:t>
                        </w:r>
                      </w:p>
                    </w:tc>
                    <w:tc>
                      <w:tcPr>
                        <w:tcW w:w="720" w:type="dxa"/>
                      </w:tcPr>
                      <w:p>
                        <w:pPr>
                          <w:pStyle w:val="TableParagraph"/>
                          <w:spacing w:before="31"/>
                          <w:ind w:left="13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2484</w:t>
                        </w:r>
                      </w:p>
                    </w:tc>
                    <w:tc>
                      <w:tcPr>
                        <w:tcW w:w="1060" w:type="dxa"/>
                      </w:tcPr>
                      <w:p>
                        <w:pPr>
                          <w:pStyle w:val="TableParagraph"/>
                          <w:spacing w:before="31"/>
                          <w:ind w:left="18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757.09</w:t>
                        </w:r>
                      </w:p>
                    </w:tc>
                    <w:tc>
                      <w:tcPr>
                        <w:tcW w:w="935" w:type="dxa"/>
                      </w:tcPr>
                      <w:p>
                        <w:pPr>
                          <w:pStyle w:val="TableParagraph"/>
                          <w:spacing w:before="31"/>
                          <w:ind w:left="435" w:right="32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38" w:type="dxa"/>
                      </w:tcPr>
                      <w:p>
                        <w:pPr>
                          <w:pStyle w:val="TableParagraph"/>
                          <w:spacing w:before="31"/>
                          <w:ind w:left="196" w:right="25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105" w:type="dxa"/>
                      </w:tcPr>
                      <w:p>
                        <w:pPr>
                          <w:pStyle w:val="TableParagraph"/>
                          <w:spacing w:before="31"/>
                          <w:ind w:left="243" w:right="27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6.2500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504" w:type="dxa"/>
                      </w:tcPr>
                      <w:p>
                        <w:pPr>
                          <w:pStyle w:val="TableParagraph"/>
                          <w:spacing w:before="31"/>
                          <w:ind w:left="100" w:right="12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E-FF4-2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4</w:t>
                        </w:r>
                      </w:p>
                    </w:tc>
                    <w:tc>
                      <w:tcPr>
                        <w:tcW w:w="948" w:type="dxa"/>
                      </w:tcPr>
                      <w:p>
                        <w:pPr>
                          <w:pStyle w:val="TableParagraph"/>
                          <w:spacing w:before="31"/>
                          <w:ind w:left="25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103.0</w:t>
                        </w:r>
                      </w:p>
                    </w:tc>
                    <w:tc>
                      <w:tcPr>
                        <w:tcW w:w="720" w:type="dxa"/>
                      </w:tcPr>
                      <w:p>
                        <w:pPr>
                          <w:pStyle w:val="TableParagraph"/>
                          <w:spacing w:before="31"/>
                          <w:ind w:left="13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2492</w:t>
                        </w:r>
                      </w:p>
                    </w:tc>
                    <w:tc>
                      <w:tcPr>
                        <w:tcW w:w="1060" w:type="dxa"/>
                      </w:tcPr>
                      <w:p>
                        <w:pPr>
                          <w:pStyle w:val="TableParagraph"/>
                          <w:spacing w:before="31"/>
                          <w:ind w:left="18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759.52</w:t>
                        </w:r>
                      </w:p>
                    </w:tc>
                    <w:tc>
                      <w:tcPr>
                        <w:tcW w:w="935" w:type="dxa"/>
                      </w:tcPr>
                      <w:p>
                        <w:pPr>
                          <w:pStyle w:val="TableParagraph"/>
                          <w:spacing w:before="31"/>
                          <w:ind w:left="37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327</w:t>
                        </w:r>
                      </w:p>
                    </w:tc>
                    <w:tc>
                      <w:tcPr>
                        <w:tcW w:w="938" w:type="dxa"/>
                      </w:tcPr>
                      <w:p>
                        <w:pPr>
                          <w:pStyle w:val="TableParagraph"/>
                          <w:spacing w:before="31"/>
                          <w:ind w:left="196" w:right="25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99.66</w:t>
                        </w:r>
                      </w:p>
                    </w:tc>
                    <w:tc>
                      <w:tcPr>
                        <w:tcW w:w="1105" w:type="dxa"/>
                      </w:tcPr>
                      <w:p>
                        <w:pPr>
                          <w:pStyle w:val="TableParagraph"/>
                          <w:spacing w:before="31"/>
                          <w:ind w:left="243" w:right="2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</w:tr>
                  <w:tr>
                    <w:trPr>
                      <w:trHeight w:val="281" w:hRule="atLeast"/>
                    </w:trPr>
                    <w:tc>
                      <w:tcPr>
                        <w:tcW w:w="1504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00" w:right="12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E-FF4-2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5</w:t>
                        </w:r>
                      </w:p>
                    </w:tc>
                    <w:tc>
                      <w:tcPr>
                        <w:tcW w:w="948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25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103.0</w:t>
                        </w:r>
                      </w:p>
                    </w:tc>
                    <w:tc>
                      <w:tcPr>
                        <w:tcW w:w="720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3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2468</w:t>
                        </w:r>
                      </w:p>
                    </w:tc>
                    <w:tc>
                      <w:tcPr>
                        <w:tcW w:w="1060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8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752.21</w:t>
                        </w:r>
                      </w:p>
                    </w:tc>
                    <w:tc>
                      <w:tcPr>
                        <w:tcW w:w="935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435" w:right="32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38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96" w:right="25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105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243" w:right="27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6.6250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b/>
          <w:sz w:val="20"/>
        </w:rPr>
        <w:t>Table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21</w:t>
        <w:tab/>
        <w:t>0.50-in.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sphere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striking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E-glass,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woven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roving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(4-ply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consolidated)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ECLT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specimens</w:t>
      </w: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spacing w:before="3"/>
        <w:rPr>
          <w:b/>
          <w:sz w:val="23"/>
        </w:rPr>
      </w:pPr>
    </w:p>
    <w:p>
      <w:pPr>
        <w:tabs>
          <w:tab w:pos="2139" w:val="left" w:leader="none"/>
        </w:tabs>
        <w:spacing w:before="1"/>
        <w:ind w:left="462" w:right="0" w:firstLine="0"/>
        <w:jc w:val="center"/>
        <w:rPr>
          <w:b/>
          <w:sz w:val="20"/>
        </w:rPr>
      </w:pPr>
      <w:r>
        <w:rPr>
          <w:b/>
          <w:w w:val="100"/>
          <w:sz w:val="20"/>
          <w:u w:val="single"/>
        </w:rPr>
        <w:t> </w:t>
      </w:r>
      <w:r>
        <w:rPr>
          <w:b/>
          <w:sz w:val="20"/>
          <w:u w:val="single"/>
        </w:rPr>
        <w:tab/>
      </w:r>
    </w:p>
    <w:p>
      <w:pPr>
        <w:spacing w:after="0"/>
        <w:jc w:val="center"/>
        <w:rPr>
          <w:sz w:val="20"/>
        </w:rPr>
        <w:sectPr>
          <w:pgSz w:w="12240" w:h="15840"/>
          <w:pgMar w:header="0" w:footer="1064" w:top="1380" w:bottom="1260" w:left="440" w:right="880"/>
        </w:sectPr>
      </w:pPr>
    </w:p>
    <w:p>
      <w:pPr>
        <w:tabs>
          <w:tab w:pos="2154" w:val="left" w:leader="none"/>
        </w:tabs>
        <w:spacing w:before="70"/>
        <w:ind w:left="1161" w:right="0" w:firstLine="0"/>
        <w:jc w:val="center"/>
        <w:rPr>
          <w:b/>
          <w:sz w:val="20"/>
        </w:rPr>
      </w:pPr>
      <w:r>
        <w:rPr>
          <w:b/>
          <w:sz w:val="20"/>
        </w:rPr>
        <w:t>Table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22</w:t>
        <w:tab/>
        <w:t>0.50-in.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sphere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striking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E-glass,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woven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roving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(4-ply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separated)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ECLT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specimens</w:t>
      </w:r>
    </w:p>
    <w:p>
      <w:pPr>
        <w:pStyle w:val="BodyText"/>
        <w:spacing w:before="10"/>
        <w:rPr>
          <w:b/>
          <w:sz w:val="20"/>
        </w:rPr>
      </w:pPr>
    </w:p>
    <w:tbl>
      <w:tblPr>
        <w:tblW w:w="0" w:type="auto"/>
        <w:jc w:val="left"/>
        <w:tblInd w:w="24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49"/>
        <w:gridCol w:w="963"/>
        <w:gridCol w:w="750"/>
        <w:gridCol w:w="928"/>
        <w:gridCol w:w="272"/>
        <w:gridCol w:w="797"/>
        <w:gridCol w:w="914"/>
        <w:gridCol w:w="1041"/>
      </w:tblGrid>
      <w:tr>
        <w:trPr>
          <w:trHeight w:val="508" w:hRule="atLeast"/>
        </w:trPr>
        <w:tc>
          <w:tcPr>
            <w:tcW w:w="1549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963" w:type="dxa"/>
            <w:vMerge w:val="restart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0"/>
              <w:rPr>
                <w:b/>
                <w:sz w:val="23"/>
              </w:rPr>
            </w:pPr>
          </w:p>
          <w:p>
            <w:pPr>
              <w:pStyle w:val="TableParagraph"/>
              <w:spacing w:line="259" w:lineRule="auto"/>
              <w:ind w:left="187" w:right="107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Powder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Mass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(grains)</w:t>
            </w:r>
          </w:p>
        </w:tc>
        <w:tc>
          <w:tcPr>
            <w:tcW w:w="1678" w:type="dxa"/>
            <w:gridSpan w:val="2"/>
            <w:tcBorders>
              <w:top w:val="single" w:sz="4" w:space="0" w:color="000000"/>
            </w:tcBorders>
          </w:tcPr>
          <w:p>
            <w:pPr>
              <w:pStyle w:val="TableParagraph"/>
              <w:spacing w:before="1"/>
              <w:rPr>
                <w:b/>
                <w:sz w:val="23"/>
              </w:rPr>
            </w:pPr>
          </w:p>
          <w:p>
            <w:pPr>
              <w:pStyle w:val="TableParagraph"/>
              <w:spacing w:line="223" w:lineRule="exact"/>
              <w:ind w:left="220"/>
              <w:rPr>
                <w:b/>
                <w:sz w:val="20"/>
              </w:rPr>
            </w:pPr>
            <w:r>
              <w:rPr>
                <w:b/>
                <w:sz w:val="20"/>
              </w:rPr>
              <w:t>Chrono-Based</w:t>
            </w:r>
          </w:p>
        </w:tc>
        <w:tc>
          <w:tcPr>
            <w:tcW w:w="1983" w:type="dxa"/>
            <w:gridSpan w:val="3"/>
            <w:tcBorders>
              <w:top w:val="single" w:sz="4" w:space="0" w:color="000000"/>
            </w:tcBorders>
          </w:tcPr>
          <w:p>
            <w:pPr>
              <w:pStyle w:val="TableParagraph"/>
              <w:spacing w:before="1"/>
              <w:rPr>
                <w:b/>
                <w:sz w:val="23"/>
              </w:rPr>
            </w:pPr>
          </w:p>
          <w:p>
            <w:pPr>
              <w:pStyle w:val="TableParagraph"/>
              <w:spacing w:line="223" w:lineRule="exact"/>
              <w:ind w:left="505"/>
              <w:rPr>
                <w:b/>
                <w:sz w:val="20"/>
              </w:rPr>
            </w:pPr>
            <w:r>
              <w:rPr>
                <w:b/>
                <w:sz w:val="20"/>
              </w:rPr>
              <w:t>Chrono-Based</w:t>
            </w:r>
          </w:p>
        </w:tc>
        <w:tc>
          <w:tcPr>
            <w:tcW w:w="1041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59" w:hRule="atLeast"/>
        </w:trPr>
        <w:tc>
          <w:tcPr>
            <w:tcW w:w="1549" w:type="dxa"/>
          </w:tcPr>
          <w:p>
            <w:pPr>
              <w:pStyle w:val="TableParagraph"/>
              <w:spacing w:before="5"/>
              <w:ind w:left="448" w:right="36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Shot</w:t>
            </w:r>
          </w:p>
        </w:tc>
        <w:tc>
          <w:tcPr>
            <w:tcW w:w="963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50" w:type="dxa"/>
            <w:tcBorders>
              <w:bottom w:val="single" w:sz="8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928" w:type="dxa"/>
            <w:tcBorders>
              <w:bottom w:val="single" w:sz="8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72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797" w:type="dxa"/>
            <w:tcBorders>
              <w:bottom w:val="single" w:sz="8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914" w:type="dxa"/>
            <w:tcBorders>
              <w:bottom w:val="single" w:sz="8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041" w:type="dxa"/>
          </w:tcPr>
          <w:p>
            <w:pPr>
              <w:pStyle w:val="TableParagraph"/>
              <w:spacing w:before="5"/>
              <w:ind w:left="109" w:right="1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DOP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(in)</w:t>
            </w:r>
          </w:p>
        </w:tc>
      </w:tr>
      <w:tr>
        <w:trPr>
          <w:trHeight w:val="496" w:hRule="atLeast"/>
        </w:trPr>
        <w:tc>
          <w:tcPr>
            <w:tcW w:w="1549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963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50" w:type="dxa"/>
            <w:tcBorders>
              <w:top w:val="single" w:sz="8" w:space="0" w:color="000000"/>
              <w:bottom w:val="single" w:sz="4" w:space="0" w:color="000000"/>
            </w:tcBorders>
          </w:tcPr>
          <w:p>
            <w:pPr>
              <w:pStyle w:val="TableParagraph"/>
              <w:spacing w:line="238" w:lineRule="exact"/>
              <w:ind w:left="173" w:right="168" w:firstLine="118"/>
              <w:rPr>
                <w:b/>
                <w:sz w:val="20"/>
              </w:rPr>
            </w:pPr>
            <w:r>
              <w:rPr>
                <w:b/>
                <w:position w:val="1"/>
                <w:sz w:val="20"/>
              </w:rPr>
              <w:t>v</w:t>
            </w:r>
            <w:r>
              <w:rPr>
                <w:b/>
                <w:sz w:val="13"/>
              </w:rPr>
              <w:t>s</w:t>
            </w:r>
            <w:r>
              <w:rPr>
                <w:b/>
                <w:spacing w:val="1"/>
                <w:sz w:val="13"/>
              </w:rPr>
              <w:t> </w:t>
            </w:r>
            <w:r>
              <w:rPr>
                <w:b/>
                <w:sz w:val="20"/>
              </w:rPr>
              <w:t>(fps)</w:t>
            </w:r>
          </w:p>
        </w:tc>
        <w:tc>
          <w:tcPr>
            <w:tcW w:w="928" w:type="dxa"/>
            <w:tcBorders>
              <w:top w:val="single" w:sz="8" w:space="0" w:color="000000"/>
              <w:bottom w:val="single" w:sz="4" w:space="0" w:color="000000"/>
            </w:tcBorders>
          </w:tcPr>
          <w:p>
            <w:pPr>
              <w:pStyle w:val="TableParagraph"/>
              <w:spacing w:line="238" w:lineRule="exact"/>
              <w:ind w:left="238" w:right="236" w:firstLine="141"/>
              <w:rPr>
                <w:b/>
                <w:sz w:val="20"/>
              </w:rPr>
            </w:pPr>
            <w:r>
              <w:rPr>
                <w:b/>
                <w:position w:val="1"/>
                <w:sz w:val="20"/>
              </w:rPr>
              <w:t>v</w:t>
            </w:r>
            <w:r>
              <w:rPr>
                <w:b/>
                <w:sz w:val="13"/>
              </w:rPr>
              <w:t>s</w:t>
            </w:r>
            <w:r>
              <w:rPr>
                <w:b/>
                <w:spacing w:val="1"/>
                <w:sz w:val="13"/>
              </w:rPr>
              <w:t> </w:t>
            </w:r>
            <w:r>
              <w:rPr>
                <w:b/>
                <w:sz w:val="20"/>
              </w:rPr>
              <w:t>(m/s)</w:t>
            </w:r>
          </w:p>
        </w:tc>
        <w:tc>
          <w:tcPr>
            <w:tcW w:w="272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797" w:type="dxa"/>
            <w:tcBorders>
              <w:top w:val="single" w:sz="8" w:space="0" w:color="000000"/>
              <w:bottom w:val="single" w:sz="4" w:space="0" w:color="000000"/>
            </w:tcBorders>
          </w:tcPr>
          <w:p>
            <w:pPr>
              <w:pStyle w:val="TableParagraph"/>
              <w:spacing w:line="238" w:lineRule="exact"/>
              <w:ind w:left="186" w:right="202" w:firstLine="115"/>
              <w:rPr>
                <w:b/>
                <w:sz w:val="20"/>
              </w:rPr>
            </w:pPr>
            <w:r>
              <w:rPr>
                <w:b/>
                <w:position w:val="1"/>
                <w:sz w:val="20"/>
              </w:rPr>
              <w:t>v</w:t>
            </w:r>
            <w:r>
              <w:rPr>
                <w:b/>
                <w:sz w:val="13"/>
              </w:rPr>
              <w:t>r</w:t>
            </w:r>
            <w:r>
              <w:rPr>
                <w:b/>
                <w:spacing w:val="1"/>
                <w:sz w:val="13"/>
              </w:rPr>
              <w:t> </w:t>
            </w:r>
            <w:r>
              <w:rPr>
                <w:b/>
                <w:sz w:val="20"/>
              </w:rPr>
              <w:t>(fps)</w:t>
            </w:r>
          </w:p>
        </w:tc>
        <w:tc>
          <w:tcPr>
            <w:tcW w:w="914" w:type="dxa"/>
            <w:tcBorders>
              <w:top w:val="single" w:sz="8" w:space="0" w:color="000000"/>
              <w:bottom w:val="single" w:sz="4" w:space="0" w:color="000000"/>
            </w:tcBorders>
          </w:tcPr>
          <w:p>
            <w:pPr>
              <w:pStyle w:val="TableParagraph"/>
              <w:spacing w:line="238" w:lineRule="exact"/>
              <w:ind w:left="221" w:right="239" w:firstLine="138"/>
              <w:rPr>
                <w:b/>
                <w:sz w:val="20"/>
              </w:rPr>
            </w:pPr>
            <w:r>
              <w:rPr>
                <w:b/>
                <w:position w:val="1"/>
                <w:sz w:val="20"/>
              </w:rPr>
              <w:t>v</w:t>
            </w:r>
            <w:r>
              <w:rPr>
                <w:b/>
                <w:sz w:val="13"/>
              </w:rPr>
              <w:t>r</w:t>
            </w:r>
            <w:r>
              <w:rPr>
                <w:b/>
                <w:spacing w:val="1"/>
                <w:sz w:val="13"/>
              </w:rPr>
              <w:t> </w:t>
            </w:r>
            <w:r>
              <w:rPr>
                <w:b/>
                <w:sz w:val="20"/>
              </w:rPr>
              <w:t>(m/s)</w:t>
            </w:r>
          </w:p>
        </w:tc>
        <w:tc>
          <w:tcPr>
            <w:tcW w:w="1041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318" w:hRule="atLeast"/>
        </w:trPr>
        <w:tc>
          <w:tcPr>
            <w:tcW w:w="1549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49"/>
              <w:ind w:left="116"/>
              <w:rPr>
                <w:sz w:val="20"/>
              </w:rPr>
            </w:pPr>
            <w:r>
              <w:rPr>
                <w:sz w:val="20"/>
              </w:rPr>
              <w:t>E-FF1-1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1</w:t>
            </w:r>
          </w:p>
        </w:tc>
        <w:tc>
          <w:tcPr>
            <w:tcW w:w="963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49"/>
              <w:ind w:right="215"/>
              <w:jc w:val="right"/>
              <w:rPr>
                <w:sz w:val="20"/>
              </w:rPr>
            </w:pPr>
            <w:r>
              <w:rPr>
                <w:sz w:val="20"/>
              </w:rPr>
              <w:t>103.0</w:t>
            </w:r>
          </w:p>
        </w:tc>
        <w:tc>
          <w:tcPr>
            <w:tcW w:w="750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49"/>
              <w:ind w:left="167"/>
              <w:rPr>
                <w:sz w:val="20"/>
              </w:rPr>
            </w:pPr>
            <w:r>
              <w:rPr>
                <w:sz w:val="20"/>
              </w:rPr>
              <w:t>2484</w:t>
            </w:r>
          </w:p>
        </w:tc>
        <w:tc>
          <w:tcPr>
            <w:tcW w:w="928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49"/>
              <w:ind w:left="160" w:right="175"/>
              <w:jc w:val="center"/>
              <w:rPr>
                <w:sz w:val="20"/>
              </w:rPr>
            </w:pPr>
            <w:r>
              <w:rPr>
                <w:sz w:val="20"/>
              </w:rPr>
              <w:t>757.09</w:t>
            </w:r>
          </w:p>
        </w:tc>
        <w:tc>
          <w:tcPr>
            <w:tcW w:w="272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797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49"/>
              <w:ind w:left="212" w:right="242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914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49"/>
              <w:ind w:left="194" w:right="229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1041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49"/>
              <w:ind w:left="109" w:right="119"/>
              <w:jc w:val="center"/>
              <w:rPr>
                <w:sz w:val="20"/>
              </w:rPr>
            </w:pPr>
            <w:r>
              <w:rPr>
                <w:sz w:val="20"/>
              </w:rPr>
              <w:t>5.7500</w:t>
            </w:r>
          </w:p>
        </w:tc>
      </w:tr>
      <w:tr>
        <w:trPr>
          <w:trHeight w:val="300" w:hRule="atLeast"/>
        </w:trPr>
        <w:tc>
          <w:tcPr>
            <w:tcW w:w="1549" w:type="dxa"/>
          </w:tcPr>
          <w:p>
            <w:pPr>
              <w:pStyle w:val="TableParagraph"/>
              <w:spacing w:before="31"/>
              <w:ind w:left="116"/>
              <w:rPr>
                <w:sz w:val="20"/>
              </w:rPr>
            </w:pPr>
            <w:r>
              <w:rPr>
                <w:sz w:val="20"/>
              </w:rPr>
              <w:t>E-FF1-1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2</w:t>
            </w:r>
          </w:p>
        </w:tc>
        <w:tc>
          <w:tcPr>
            <w:tcW w:w="963" w:type="dxa"/>
          </w:tcPr>
          <w:p>
            <w:pPr>
              <w:pStyle w:val="TableParagraph"/>
              <w:spacing w:before="31"/>
              <w:ind w:right="215"/>
              <w:jc w:val="right"/>
              <w:rPr>
                <w:sz w:val="20"/>
              </w:rPr>
            </w:pPr>
            <w:r>
              <w:rPr>
                <w:sz w:val="20"/>
              </w:rPr>
              <w:t>103.5</w:t>
            </w:r>
          </w:p>
        </w:tc>
        <w:tc>
          <w:tcPr>
            <w:tcW w:w="750" w:type="dxa"/>
          </w:tcPr>
          <w:p>
            <w:pPr>
              <w:pStyle w:val="TableParagraph"/>
              <w:spacing w:before="31"/>
              <w:ind w:left="167"/>
              <w:rPr>
                <w:sz w:val="20"/>
              </w:rPr>
            </w:pPr>
            <w:r>
              <w:rPr>
                <w:sz w:val="20"/>
              </w:rPr>
              <w:t>2632</w:t>
            </w:r>
          </w:p>
        </w:tc>
        <w:tc>
          <w:tcPr>
            <w:tcW w:w="928" w:type="dxa"/>
          </w:tcPr>
          <w:p>
            <w:pPr>
              <w:pStyle w:val="TableParagraph"/>
              <w:spacing w:before="31"/>
              <w:ind w:left="160" w:right="175"/>
              <w:jc w:val="center"/>
              <w:rPr>
                <w:sz w:val="20"/>
              </w:rPr>
            </w:pPr>
            <w:r>
              <w:rPr>
                <w:sz w:val="20"/>
              </w:rPr>
              <w:t>802.19</w:t>
            </w:r>
          </w:p>
        </w:tc>
        <w:tc>
          <w:tcPr>
            <w:tcW w:w="27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797" w:type="dxa"/>
          </w:tcPr>
          <w:p>
            <w:pPr>
              <w:pStyle w:val="TableParagraph"/>
              <w:spacing w:before="31"/>
              <w:ind w:left="212" w:right="245"/>
              <w:jc w:val="center"/>
              <w:rPr>
                <w:sz w:val="20"/>
              </w:rPr>
            </w:pPr>
            <w:r>
              <w:rPr>
                <w:sz w:val="20"/>
              </w:rPr>
              <w:t>176</w:t>
            </w:r>
          </w:p>
        </w:tc>
        <w:tc>
          <w:tcPr>
            <w:tcW w:w="914" w:type="dxa"/>
          </w:tcPr>
          <w:p>
            <w:pPr>
              <w:pStyle w:val="TableParagraph"/>
              <w:spacing w:before="31"/>
              <w:ind w:left="194" w:right="230"/>
              <w:jc w:val="center"/>
              <w:rPr>
                <w:sz w:val="20"/>
              </w:rPr>
            </w:pPr>
            <w:r>
              <w:rPr>
                <w:sz w:val="20"/>
              </w:rPr>
              <w:t>53.64</w:t>
            </w:r>
          </w:p>
        </w:tc>
        <w:tc>
          <w:tcPr>
            <w:tcW w:w="1041" w:type="dxa"/>
          </w:tcPr>
          <w:p>
            <w:pPr>
              <w:pStyle w:val="TableParagraph"/>
              <w:spacing w:before="31"/>
              <w:ind w:left="109" w:right="119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</w:tr>
      <w:tr>
        <w:trPr>
          <w:trHeight w:val="300" w:hRule="atLeast"/>
        </w:trPr>
        <w:tc>
          <w:tcPr>
            <w:tcW w:w="1549" w:type="dxa"/>
          </w:tcPr>
          <w:p>
            <w:pPr>
              <w:pStyle w:val="TableParagraph"/>
              <w:spacing w:before="31"/>
              <w:ind w:left="116"/>
              <w:rPr>
                <w:sz w:val="20"/>
              </w:rPr>
            </w:pPr>
            <w:r>
              <w:rPr>
                <w:sz w:val="20"/>
              </w:rPr>
              <w:t>E-FF1-1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3</w:t>
            </w:r>
          </w:p>
        </w:tc>
        <w:tc>
          <w:tcPr>
            <w:tcW w:w="963" w:type="dxa"/>
          </w:tcPr>
          <w:p>
            <w:pPr>
              <w:pStyle w:val="TableParagraph"/>
              <w:spacing w:before="31"/>
              <w:ind w:right="215"/>
              <w:jc w:val="right"/>
              <w:rPr>
                <w:sz w:val="20"/>
              </w:rPr>
            </w:pPr>
            <w:r>
              <w:rPr>
                <w:sz w:val="20"/>
              </w:rPr>
              <w:t>103.0</w:t>
            </w:r>
          </w:p>
        </w:tc>
        <w:tc>
          <w:tcPr>
            <w:tcW w:w="750" w:type="dxa"/>
          </w:tcPr>
          <w:p>
            <w:pPr>
              <w:pStyle w:val="TableParagraph"/>
              <w:spacing w:before="31"/>
              <w:ind w:left="167"/>
              <w:rPr>
                <w:sz w:val="20"/>
              </w:rPr>
            </w:pPr>
            <w:r>
              <w:rPr>
                <w:sz w:val="20"/>
              </w:rPr>
              <w:t>2402</w:t>
            </w:r>
          </w:p>
        </w:tc>
        <w:tc>
          <w:tcPr>
            <w:tcW w:w="928" w:type="dxa"/>
          </w:tcPr>
          <w:p>
            <w:pPr>
              <w:pStyle w:val="TableParagraph"/>
              <w:spacing w:before="31"/>
              <w:ind w:left="160" w:right="175"/>
              <w:jc w:val="center"/>
              <w:rPr>
                <w:sz w:val="20"/>
              </w:rPr>
            </w:pPr>
            <w:r>
              <w:rPr>
                <w:sz w:val="20"/>
              </w:rPr>
              <w:t>732.09</w:t>
            </w:r>
          </w:p>
        </w:tc>
        <w:tc>
          <w:tcPr>
            <w:tcW w:w="27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797" w:type="dxa"/>
          </w:tcPr>
          <w:p>
            <w:pPr>
              <w:pStyle w:val="TableParagraph"/>
              <w:spacing w:before="31"/>
              <w:ind w:left="212" w:right="242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914" w:type="dxa"/>
          </w:tcPr>
          <w:p>
            <w:pPr>
              <w:pStyle w:val="TableParagraph"/>
              <w:spacing w:before="31"/>
              <w:ind w:left="194" w:right="229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1041" w:type="dxa"/>
          </w:tcPr>
          <w:p>
            <w:pPr>
              <w:pStyle w:val="TableParagraph"/>
              <w:spacing w:before="31"/>
              <w:ind w:left="109" w:right="119"/>
              <w:jc w:val="center"/>
              <w:rPr>
                <w:sz w:val="20"/>
              </w:rPr>
            </w:pPr>
            <w:r>
              <w:rPr>
                <w:sz w:val="20"/>
              </w:rPr>
              <w:t>5.3438</w:t>
            </w:r>
          </w:p>
        </w:tc>
      </w:tr>
      <w:tr>
        <w:trPr>
          <w:trHeight w:val="300" w:hRule="atLeast"/>
        </w:trPr>
        <w:tc>
          <w:tcPr>
            <w:tcW w:w="1549" w:type="dxa"/>
          </w:tcPr>
          <w:p>
            <w:pPr>
              <w:pStyle w:val="TableParagraph"/>
              <w:spacing w:before="31"/>
              <w:ind w:left="116"/>
              <w:rPr>
                <w:sz w:val="20"/>
              </w:rPr>
            </w:pPr>
            <w:r>
              <w:rPr>
                <w:sz w:val="20"/>
              </w:rPr>
              <w:t>E-FF1-1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4</w:t>
            </w:r>
          </w:p>
        </w:tc>
        <w:tc>
          <w:tcPr>
            <w:tcW w:w="963" w:type="dxa"/>
          </w:tcPr>
          <w:p>
            <w:pPr>
              <w:pStyle w:val="TableParagraph"/>
              <w:spacing w:before="31"/>
              <w:ind w:right="215"/>
              <w:jc w:val="right"/>
              <w:rPr>
                <w:sz w:val="20"/>
              </w:rPr>
            </w:pPr>
            <w:r>
              <w:rPr>
                <w:sz w:val="20"/>
              </w:rPr>
              <w:t>103.0</w:t>
            </w:r>
          </w:p>
        </w:tc>
        <w:tc>
          <w:tcPr>
            <w:tcW w:w="750" w:type="dxa"/>
          </w:tcPr>
          <w:p>
            <w:pPr>
              <w:pStyle w:val="TableParagraph"/>
              <w:spacing w:before="31"/>
              <w:ind w:left="167"/>
              <w:rPr>
                <w:sz w:val="20"/>
              </w:rPr>
            </w:pPr>
            <w:r>
              <w:rPr>
                <w:sz w:val="20"/>
              </w:rPr>
              <w:t>2472</w:t>
            </w:r>
          </w:p>
        </w:tc>
        <w:tc>
          <w:tcPr>
            <w:tcW w:w="928" w:type="dxa"/>
          </w:tcPr>
          <w:p>
            <w:pPr>
              <w:pStyle w:val="TableParagraph"/>
              <w:spacing w:before="31"/>
              <w:ind w:left="160" w:right="175"/>
              <w:jc w:val="center"/>
              <w:rPr>
                <w:sz w:val="20"/>
              </w:rPr>
            </w:pPr>
            <w:r>
              <w:rPr>
                <w:sz w:val="20"/>
              </w:rPr>
              <w:t>753.43</w:t>
            </w:r>
          </w:p>
        </w:tc>
        <w:tc>
          <w:tcPr>
            <w:tcW w:w="27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797" w:type="dxa"/>
          </w:tcPr>
          <w:p>
            <w:pPr>
              <w:pStyle w:val="TableParagraph"/>
              <w:spacing w:before="31"/>
              <w:ind w:left="212" w:right="242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914" w:type="dxa"/>
          </w:tcPr>
          <w:p>
            <w:pPr>
              <w:pStyle w:val="TableParagraph"/>
              <w:spacing w:before="31"/>
              <w:ind w:left="194" w:right="229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1041" w:type="dxa"/>
          </w:tcPr>
          <w:p>
            <w:pPr>
              <w:pStyle w:val="TableParagraph"/>
              <w:spacing w:before="31"/>
              <w:ind w:left="109" w:right="119"/>
              <w:jc w:val="center"/>
              <w:rPr>
                <w:sz w:val="20"/>
              </w:rPr>
            </w:pPr>
            <w:r>
              <w:rPr>
                <w:sz w:val="20"/>
              </w:rPr>
              <w:t>5.8125</w:t>
            </w:r>
          </w:p>
        </w:tc>
      </w:tr>
      <w:tr>
        <w:trPr>
          <w:trHeight w:val="281" w:hRule="atLeast"/>
        </w:trPr>
        <w:tc>
          <w:tcPr>
            <w:tcW w:w="154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1"/>
              <w:ind w:left="116"/>
              <w:rPr>
                <w:sz w:val="20"/>
              </w:rPr>
            </w:pPr>
            <w:r>
              <w:rPr>
                <w:sz w:val="20"/>
              </w:rPr>
              <w:t>E-FF1-1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5</w:t>
            </w:r>
          </w:p>
        </w:tc>
        <w:tc>
          <w:tcPr>
            <w:tcW w:w="963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1"/>
              <w:ind w:right="215"/>
              <w:jc w:val="right"/>
              <w:rPr>
                <w:sz w:val="20"/>
              </w:rPr>
            </w:pPr>
            <w:r>
              <w:rPr>
                <w:sz w:val="20"/>
              </w:rPr>
              <w:t>103.0</w:t>
            </w:r>
          </w:p>
        </w:tc>
        <w:tc>
          <w:tcPr>
            <w:tcW w:w="75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1"/>
              <w:ind w:left="167"/>
              <w:rPr>
                <w:sz w:val="20"/>
              </w:rPr>
            </w:pPr>
            <w:r>
              <w:rPr>
                <w:sz w:val="20"/>
              </w:rPr>
              <w:t>2527</w:t>
            </w:r>
          </w:p>
        </w:tc>
        <w:tc>
          <w:tcPr>
            <w:tcW w:w="92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1"/>
              <w:ind w:left="160" w:right="175"/>
              <w:jc w:val="center"/>
              <w:rPr>
                <w:sz w:val="20"/>
              </w:rPr>
            </w:pPr>
            <w:r>
              <w:rPr>
                <w:sz w:val="20"/>
              </w:rPr>
              <w:t>770.19</w:t>
            </w:r>
          </w:p>
        </w:tc>
        <w:tc>
          <w:tcPr>
            <w:tcW w:w="272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79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1"/>
              <w:ind w:left="212" w:right="242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91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1"/>
              <w:ind w:left="194" w:right="229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1041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1"/>
              <w:ind w:left="109" w:right="118"/>
              <w:jc w:val="center"/>
              <w:rPr>
                <w:sz w:val="20"/>
              </w:rPr>
            </w:pPr>
            <w:r>
              <w:rPr>
                <w:sz w:val="20"/>
              </w:rPr>
              <w:t>6.1250</w:t>
            </w:r>
          </w:p>
        </w:tc>
      </w:tr>
      <w:tr>
        <w:trPr>
          <w:trHeight w:val="319" w:hRule="atLeast"/>
        </w:trPr>
        <w:tc>
          <w:tcPr>
            <w:tcW w:w="1549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50"/>
              <w:ind w:left="116"/>
              <w:rPr>
                <w:sz w:val="20"/>
              </w:rPr>
            </w:pPr>
            <w:r>
              <w:rPr>
                <w:sz w:val="20"/>
              </w:rPr>
              <w:t>E-FF1-2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1</w:t>
            </w:r>
          </w:p>
        </w:tc>
        <w:tc>
          <w:tcPr>
            <w:tcW w:w="963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50"/>
              <w:ind w:right="215"/>
              <w:jc w:val="right"/>
              <w:rPr>
                <w:sz w:val="20"/>
              </w:rPr>
            </w:pPr>
            <w:r>
              <w:rPr>
                <w:sz w:val="20"/>
              </w:rPr>
              <w:t>103.0</w:t>
            </w:r>
          </w:p>
        </w:tc>
        <w:tc>
          <w:tcPr>
            <w:tcW w:w="750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50"/>
              <w:ind w:left="167"/>
              <w:rPr>
                <w:sz w:val="20"/>
              </w:rPr>
            </w:pPr>
            <w:r>
              <w:rPr>
                <w:sz w:val="20"/>
              </w:rPr>
              <w:t>2491</w:t>
            </w:r>
          </w:p>
        </w:tc>
        <w:tc>
          <w:tcPr>
            <w:tcW w:w="928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50"/>
              <w:ind w:left="160" w:right="175"/>
              <w:jc w:val="center"/>
              <w:rPr>
                <w:sz w:val="20"/>
              </w:rPr>
            </w:pPr>
            <w:r>
              <w:rPr>
                <w:sz w:val="20"/>
              </w:rPr>
              <w:t>759.22</w:t>
            </w:r>
          </w:p>
        </w:tc>
        <w:tc>
          <w:tcPr>
            <w:tcW w:w="272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797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50"/>
              <w:ind w:left="212" w:right="242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914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50"/>
              <w:ind w:left="194" w:right="229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1041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50"/>
              <w:ind w:left="109" w:right="119"/>
              <w:jc w:val="center"/>
              <w:rPr>
                <w:sz w:val="20"/>
              </w:rPr>
            </w:pPr>
            <w:r>
              <w:rPr>
                <w:sz w:val="20"/>
              </w:rPr>
              <w:t>6.4375</w:t>
            </w:r>
          </w:p>
        </w:tc>
      </w:tr>
      <w:tr>
        <w:trPr>
          <w:trHeight w:val="300" w:hRule="atLeast"/>
        </w:trPr>
        <w:tc>
          <w:tcPr>
            <w:tcW w:w="1549" w:type="dxa"/>
          </w:tcPr>
          <w:p>
            <w:pPr>
              <w:pStyle w:val="TableParagraph"/>
              <w:spacing w:before="31"/>
              <w:ind w:left="116"/>
              <w:rPr>
                <w:sz w:val="20"/>
              </w:rPr>
            </w:pPr>
            <w:r>
              <w:rPr>
                <w:sz w:val="20"/>
              </w:rPr>
              <w:t>E-FF1-2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2</w:t>
            </w:r>
          </w:p>
        </w:tc>
        <w:tc>
          <w:tcPr>
            <w:tcW w:w="963" w:type="dxa"/>
          </w:tcPr>
          <w:p>
            <w:pPr>
              <w:pStyle w:val="TableParagraph"/>
              <w:spacing w:before="31"/>
              <w:ind w:right="215"/>
              <w:jc w:val="right"/>
              <w:rPr>
                <w:sz w:val="20"/>
              </w:rPr>
            </w:pPr>
            <w:r>
              <w:rPr>
                <w:sz w:val="20"/>
              </w:rPr>
              <w:t>103.0</w:t>
            </w:r>
          </w:p>
        </w:tc>
        <w:tc>
          <w:tcPr>
            <w:tcW w:w="750" w:type="dxa"/>
          </w:tcPr>
          <w:p>
            <w:pPr>
              <w:pStyle w:val="TableParagraph"/>
              <w:spacing w:before="31"/>
              <w:ind w:left="167"/>
              <w:rPr>
                <w:sz w:val="20"/>
              </w:rPr>
            </w:pPr>
            <w:r>
              <w:rPr>
                <w:sz w:val="20"/>
              </w:rPr>
              <w:t>2626</w:t>
            </w:r>
          </w:p>
        </w:tc>
        <w:tc>
          <w:tcPr>
            <w:tcW w:w="928" w:type="dxa"/>
          </w:tcPr>
          <w:p>
            <w:pPr>
              <w:pStyle w:val="TableParagraph"/>
              <w:spacing w:before="31"/>
              <w:ind w:left="160" w:right="175"/>
              <w:jc w:val="center"/>
              <w:rPr>
                <w:sz w:val="20"/>
              </w:rPr>
            </w:pPr>
            <w:r>
              <w:rPr>
                <w:sz w:val="20"/>
              </w:rPr>
              <w:t>800.37</w:t>
            </w:r>
          </w:p>
        </w:tc>
        <w:tc>
          <w:tcPr>
            <w:tcW w:w="27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797" w:type="dxa"/>
          </w:tcPr>
          <w:p>
            <w:pPr>
              <w:pStyle w:val="TableParagraph"/>
              <w:spacing w:before="31"/>
              <w:ind w:left="212" w:right="245"/>
              <w:jc w:val="center"/>
              <w:rPr>
                <w:sz w:val="20"/>
              </w:rPr>
            </w:pPr>
            <w:r>
              <w:rPr>
                <w:sz w:val="20"/>
              </w:rPr>
              <w:t>301</w:t>
            </w:r>
          </w:p>
        </w:tc>
        <w:tc>
          <w:tcPr>
            <w:tcW w:w="914" w:type="dxa"/>
          </w:tcPr>
          <w:p>
            <w:pPr>
              <w:pStyle w:val="TableParagraph"/>
              <w:spacing w:before="31"/>
              <w:ind w:left="194" w:right="230"/>
              <w:jc w:val="center"/>
              <w:rPr>
                <w:sz w:val="20"/>
              </w:rPr>
            </w:pPr>
            <w:r>
              <w:rPr>
                <w:sz w:val="20"/>
              </w:rPr>
              <w:t>91.74</w:t>
            </w:r>
          </w:p>
        </w:tc>
        <w:tc>
          <w:tcPr>
            <w:tcW w:w="1041" w:type="dxa"/>
          </w:tcPr>
          <w:p>
            <w:pPr>
              <w:pStyle w:val="TableParagraph"/>
              <w:spacing w:before="31"/>
              <w:ind w:left="109" w:right="119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</w:tr>
      <w:tr>
        <w:trPr>
          <w:trHeight w:val="300" w:hRule="atLeast"/>
        </w:trPr>
        <w:tc>
          <w:tcPr>
            <w:tcW w:w="1549" w:type="dxa"/>
          </w:tcPr>
          <w:p>
            <w:pPr>
              <w:pStyle w:val="TableParagraph"/>
              <w:spacing w:before="31"/>
              <w:ind w:left="116"/>
              <w:rPr>
                <w:sz w:val="20"/>
              </w:rPr>
            </w:pPr>
            <w:r>
              <w:rPr>
                <w:sz w:val="20"/>
              </w:rPr>
              <w:t>E-FF1-2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3</w:t>
            </w:r>
          </w:p>
        </w:tc>
        <w:tc>
          <w:tcPr>
            <w:tcW w:w="963" w:type="dxa"/>
          </w:tcPr>
          <w:p>
            <w:pPr>
              <w:pStyle w:val="TableParagraph"/>
              <w:spacing w:before="31"/>
              <w:ind w:right="215"/>
              <w:jc w:val="right"/>
              <w:rPr>
                <w:sz w:val="20"/>
              </w:rPr>
            </w:pPr>
            <w:r>
              <w:rPr>
                <w:sz w:val="20"/>
              </w:rPr>
              <w:t>103.0</w:t>
            </w:r>
          </w:p>
        </w:tc>
        <w:tc>
          <w:tcPr>
            <w:tcW w:w="750" w:type="dxa"/>
          </w:tcPr>
          <w:p>
            <w:pPr>
              <w:pStyle w:val="TableParagraph"/>
              <w:spacing w:before="31"/>
              <w:ind w:left="167"/>
              <w:rPr>
                <w:sz w:val="20"/>
              </w:rPr>
            </w:pPr>
            <w:r>
              <w:rPr>
                <w:sz w:val="20"/>
              </w:rPr>
              <w:t>2297</w:t>
            </w:r>
          </w:p>
        </w:tc>
        <w:tc>
          <w:tcPr>
            <w:tcW w:w="928" w:type="dxa"/>
          </w:tcPr>
          <w:p>
            <w:pPr>
              <w:pStyle w:val="TableParagraph"/>
              <w:spacing w:before="31"/>
              <w:ind w:left="160" w:right="175"/>
              <w:jc w:val="center"/>
              <w:rPr>
                <w:sz w:val="20"/>
              </w:rPr>
            </w:pPr>
            <w:r>
              <w:rPr>
                <w:sz w:val="20"/>
              </w:rPr>
              <w:t>700.09</w:t>
            </w:r>
          </w:p>
        </w:tc>
        <w:tc>
          <w:tcPr>
            <w:tcW w:w="27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797" w:type="dxa"/>
          </w:tcPr>
          <w:p>
            <w:pPr>
              <w:pStyle w:val="TableParagraph"/>
              <w:spacing w:before="31"/>
              <w:ind w:left="212" w:right="242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914" w:type="dxa"/>
          </w:tcPr>
          <w:p>
            <w:pPr>
              <w:pStyle w:val="TableParagraph"/>
              <w:spacing w:before="31"/>
              <w:ind w:left="194" w:right="229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1041" w:type="dxa"/>
          </w:tcPr>
          <w:p>
            <w:pPr>
              <w:pStyle w:val="TableParagraph"/>
              <w:spacing w:before="31"/>
              <w:ind w:left="109" w:right="119"/>
              <w:jc w:val="center"/>
              <w:rPr>
                <w:sz w:val="20"/>
              </w:rPr>
            </w:pPr>
            <w:r>
              <w:rPr>
                <w:sz w:val="20"/>
              </w:rPr>
              <w:t>6.2500</w:t>
            </w:r>
          </w:p>
        </w:tc>
      </w:tr>
      <w:tr>
        <w:trPr>
          <w:trHeight w:val="300" w:hRule="atLeast"/>
        </w:trPr>
        <w:tc>
          <w:tcPr>
            <w:tcW w:w="1549" w:type="dxa"/>
          </w:tcPr>
          <w:p>
            <w:pPr>
              <w:pStyle w:val="TableParagraph"/>
              <w:spacing w:before="31"/>
              <w:ind w:left="116"/>
              <w:rPr>
                <w:sz w:val="20"/>
              </w:rPr>
            </w:pPr>
            <w:r>
              <w:rPr>
                <w:sz w:val="20"/>
              </w:rPr>
              <w:t>E-FF1-2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4</w:t>
            </w:r>
          </w:p>
        </w:tc>
        <w:tc>
          <w:tcPr>
            <w:tcW w:w="963" w:type="dxa"/>
          </w:tcPr>
          <w:p>
            <w:pPr>
              <w:pStyle w:val="TableParagraph"/>
              <w:spacing w:before="31"/>
              <w:ind w:right="215"/>
              <w:jc w:val="right"/>
              <w:rPr>
                <w:sz w:val="20"/>
              </w:rPr>
            </w:pPr>
            <w:r>
              <w:rPr>
                <w:sz w:val="20"/>
              </w:rPr>
              <w:t>103.0</w:t>
            </w:r>
          </w:p>
        </w:tc>
        <w:tc>
          <w:tcPr>
            <w:tcW w:w="750" w:type="dxa"/>
          </w:tcPr>
          <w:p>
            <w:pPr>
              <w:pStyle w:val="TableParagraph"/>
              <w:spacing w:before="31"/>
              <w:ind w:left="167"/>
              <w:rPr>
                <w:sz w:val="20"/>
              </w:rPr>
            </w:pPr>
            <w:r>
              <w:rPr>
                <w:sz w:val="20"/>
              </w:rPr>
              <w:t>2382</w:t>
            </w:r>
          </w:p>
        </w:tc>
        <w:tc>
          <w:tcPr>
            <w:tcW w:w="928" w:type="dxa"/>
          </w:tcPr>
          <w:p>
            <w:pPr>
              <w:pStyle w:val="TableParagraph"/>
              <w:spacing w:before="31"/>
              <w:ind w:left="160" w:right="175"/>
              <w:jc w:val="center"/>
              <w:rPr>
                <w:sz w:val="20"/>
              </w:rPr>
            </w:pPr>
            <w:r>
              <w:rPr>
                <w:sz w:val="20"/>
              </w:rPr>
              <w:t>726.00</w:t>
            </w:r>
          </w:p>
        </w:tc>
        <w:tc>
          <w:tcPr>
            <w:tcW w:w="27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797" w:type="dxa"/>
          </w:tcPr>
          <w:p>
            <w:pPr>
              <w:pStyle w:val="TableParagraph"/>
              <w:spacing w:before="31"/>
              <w:ind w:left="212" w:right="245"/>
              <w:jc w:val="center"/>
              <w:rPr>
                <w:sz w:val="20"/>
              </w:rPr>
            </w:pPr>
            <w:r>
              <w:rPr>
                <w:sz w:val="20"/>
              </w:rPr>
              <w:t>327</w:t>
            </w:r>
          </w:p>
        </w:tc>
        <w:tc>
          <w:tcPr>
            <w:tcW w:w="914" w:type="dxa"/>
          </w:tcPr>
          <w:p>
            <w:pPr>
              <w:pStyle w:val="TableParagraph"/>
              <w:spacing w:before="31"/>
              <w:ind w:left="194" w:right="230"/>
              <w:jc w:val="center"/>
              <w:rPr>
                <w:sz w:val="20"/>
              </w:rPr>
            </w:pPr>
            <w:r>
              <w:rPr>
                <w:sz w:val="20"/>
              </w:rPr>
              <w:t>99.66</w:t>
            </w:r>
          </w:p>
        </w:tc>
        <w:tc>
          <w:tcPr>
            <w:tcW w:w="1041" w:type="dxa"/>
          </w:tcPr>
          <w:p>
            <w:pPr>
              <w:pStyle w:val="TableParagraph"/>
              <w:spacing w:before="31"/>
              <w:ind w:left="109" w:right="119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</w:tr>
      <w:tr>
        <w:trPr>
          <w:trHeight w:val="281" w:hRule="atLeast"/>
        </w:trPr>
        <w:tc>
          <w:tcPr>
            <w:tcW w:w="154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1"/>
              <w:ind w:left="116"/>
              <w:rPr>
                <w:sz w:val="20"/>
              </w:rPr>
            </w:pPr>
            <w:r>
              <w:rPr>
                <w:sz w:val="20"/>
              </w:rPr>
              <w:t>E-FF1-2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5</w:t>
            </w:r>
          </w:p>
        </w:tc>
        <w:tc>
          <w:tcPr>
            <w:tcW w:w="963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1"/>
              <w:ind w:right="215"/>
              <w:jc w:val="right"/>
              <w:rPr>
                <w:sz w:val="20"/>
              </w:rPr>
            </w:pPr>
            <w:r>
              <w:rPr>
                <w:sz w:val="20"/>
              </w:rPr>
              <w:t>103.0</w:t>
            </w:r>
          </w:p>
        </w:tc>
        <w:tc>
          <w:tcPr>
            <w:tcW w:w="75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1"/>
              <w:ind w:left="167"/>
              <w:rPr>
                <w:sz w:val="20"/>
              </w:rPr>
            </w:pPr>
            <w:r>
              <w:rPr>
                <w:sz w:val="20"/>
              </w:rPr>
              <w:t>2356</w:t>
            </w:r>
          </w:p>
        </w:tc>
        <w:tc>
          <w:tcPr>
            <w:tcW w:w="92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1"/>
              <w:ind w:left="160" w:right="175"/>
              <w:jc w:val="center"/>
              <w:rPr>
                <w:sz w:val="20"/>
              </w:rPr>
            </w:pPr>
            <w:r>
              <w:rPr>
                <w:sz w:val="20"/>
              </w:rPr>
              <w:t>718.07</w:t>
            </w:r>
          </w:p>
        </w:tc>
        <w:tc>
          <w:tcPr>
            <w:tcW w:w="272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79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1"/>
              <w:ind w:left="212" w:right="242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91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1"/>
              <w:ind w:left="194" w:right="229"/>
              <w:jc w:val="center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1041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1"/>
              <w:ind w:left="109" w:right="118"/>
              <w:jc w:val="center"/>
              <w:rPr>
                <w:sz w:val="20"/>
              </w:rPr>
            </w:pPr>
            <w:r>
              <w:rPr>
                <w:sz w:val="20"/>
              </w:rPr>
              <w:t>6.6250</w:t>
            </w:r>
          </w:p>
        </w:tc>
      </w:tr>
    </w:tbl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spacing w:before="8"/>
        <w:rPr>
          <w:b/>
          <w:sz w:val="31"/>
        </w:rPr>
      </w:pPr>
    </w:p>
    <w:p>
      <w:pPr>
        <w:tabs>
          <w:tab w:pos="2153" w:val="left" w:leader="none"/>
        </w:tabs>
        <w:spacing w:before="0"/>
        <w:ind w:left="1160" w:right="0" w:firstLine="0"/>
        <w:jc w:val="center"/>
        <w:rPr>
          <w:b/>
          <w:sz w:val="20"/>
        </w:rPr>
      </w:pPr>
      <w:r>
        <w:rPr/>
        <w:pict>
          <v:shape style="position:absolute;margin-left:143.550003pt;margin-top:23.674952pt;width:360.45pt;height:171.25pt;mso-position-horizontal-relative:page;mso-position-vertical-relative:paragraph;z-index:1591756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488"/>
                    <w:gridCol w:w="965"/>
                    <w:gridCol w:w="733"/>
                    <w:gridCol w:w="1073"/>
                    <w:gridCol w:w="940"/>
                    <w:gridCol w:w="978"/>
                    <w:gridCol w:w="1036"/>
                  </w:tblGrid>
                  <w:tr>
                    <w:trPr>
                      <w:trHeight w:val="508" w:hRule="atLeast"/>
                    </w:trPr>
                    <w:tc>
                      <w:tcPr>
                        <w:tcW w:w="1488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965" w:type="dxa"/>
                        <w:vMerge w:val="restart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b/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59" w:lineRule="auto"/>
                          <w:ind w:left="158" w:right="137" w:hanging="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Powder</w:t>
                        </w:r>
                        <w:r>
                          <w:rPr>
                            <w:b/>
                            <w:spacing w:val="-47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Mass</w:t>
                        </w:r>
                        <w:r>
                          <w:rPr>
                            <w:b/>
                            <w:spacing w:val="1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(grains)</w:t>
                        </w:r>
                      </w:p>
                    </w:tc>
                    <w:tc>
                      <w:tcPr>
                        <w:tcW w:w="1806" w:type="dxa"/>
                        <w:gridSpan w:val="2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"/>
                          <w:rPr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23" w:lineRule="exact"/>
                          <w:ind w:left="214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Chrono-Based</w:t>
                        </w:r>
                      </w:p>
                    </w:tc>
                    <w:tc>
                      <w:tcPr>
                        <w:tcW w:w="1918" w:type="dxa"/>
                        <w:gridSpan w:val="2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"/>
                          <w:rPr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23" w:lineRule="exact"/>
                          <w:ind w:left="39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Chrono-Based</w:t>
                        </w:r>
                      </w:p>
                    </w:tc>
                    <w:tc>
                      <w:tcPr>
                        <w:tcW w:w="1036" w:type="dxa"/>
                        <w:vMerge w:val="restart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47"/>
                          <w:ind w:left="280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DOP</w:t>
                        </w:r>
                      </w:p>
                      <w:p>
                        <w:pPr>
                          <w:pStyle w:val="TableParagraph"/>
                          <w:spacing w:before="18"/>
                          <w:ind w:left="341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(in)</w:t>
                        </w:r>
                      </w:p>
                    </w:tc>
                  </w:tr>
                  <w:tr>
                    <w:trPr>
                      <w:trHeight w:val="256" w:hRule="atLeast"/>
                    </w:trPr>
                    <w:tc>
                      <w:tcPr>
                        <w:tcW w:w="1488" w:type="dxa"/>
                      </w:tcPr>
                      <w:p>
                        <w:pPr>
                          <w:pStyle w:val="TableParagraph"/>
                          <w:spacing w:before="5"/>
                          <w:ind w:left="558" w:right="499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Shot</w:t>
                        </w:r>
                      </w:p>
                    </w:tc>
                    <w:tc>
                      <w:tcPr>
                        <w:tcW w:w="965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33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073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40" w:type="dxa"/>
                      </w:tcPr>
                      <w:p>
                        <w:pPr>
                          <w:pStyle w:val="TableParagraph"/>
                          <w:tabs>
                            <w:tab w:pos="1869" w:val="left" w:leader="none"/>
                          </w:tabs>
                          <w:spacing w:before="5"/>
                          <w:ind w:left="160" w:right="-93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100"/>
                            <w:sz w:val="20"/>
                            <w:u w:val="single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  <w:u w:val="single"/>
                          </w:rPr>
                          <w:tab/>
                        </w:r>
                      </w:p>
                    </w:tc>
                    <w:tc>
                      <w:tcPr>
                        <w:tcW w:w="978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036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508" w:hRule="atLeast"/>
                    </w:trPr>
                    <w:tc>
                      <w:tcPr>
                        <w:tcW w:w="1488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965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33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143" w:right="181" w:firstLine="11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s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(fps)</w:t>
                        </w:r>
                      </w:p>
                    </w:tc>
                    <w:tc>
                      <w:tcPr>
                        <w:tcW w:w="1073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251" w:right="368" w:firstLine="140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s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(m/s)</w:t>
                        </w:r>
                      </w:p>
                    </w:tc>
                    <w:tc>
                      <w:tcPr>
                        <w:tcW w:w="940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325" w:right="206" w:firstLine="11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r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(fps)</w:t>
                        </w:r>
                      </w:p>
                    </w:tc>
                    <w:tc>
                      <w:tcPr>
                        <w:tcW w:w="978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218" w:right="306" w:firstLine="13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r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(m/s)</w:t>
                        </w:r>
                      </w:p>
                    </w:tc>
                    <w:tc>
                      <w:tcPr>
                        <w:tcW w:w="1036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319" w:hRule="atLeast"/>
                    </w:trPr>
                    <w:tc>
                      <w:tcPr>
                        <w:tcW w:w="1488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0"/>
                          <w:ind w:left="11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E-PM-1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965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0"/>
                          <w:ind w:left="247" w:right="22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105.0</w:t>
                        </w:r>
                      </w:p>
                    </w:tc>
                    <w:tc>
                      <w:tcPr>
                        <w:tcW w:w="733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0"/>
                          <w:ind w:left="13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2642</w:t>
                        </w:r>
                      </w:p>
                    </w:tc>
                    <w:tc>
                      <w:tcPr>
                        <w:tcW w:w="1073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0"/>
                          <w:ind w:left="19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805.24</w:t>
                        </w:r>
                      </w:p>
                    </w:tc>
                    <w:tc>
                      <w:tcPr>
                        <w:tcW w:w="940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0"/>
                          <w:ind w:left="117" w:right="1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78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0"/>
                          <w:ind w:left="36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036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0"/>
                          <w:ind w:left="299" w:right="34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3.72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488" w:type="dxa"/>
                      </w:tcPr>
                      <w:p>
                        <w:pPr>
                          <w:pStyle w:val="TableParagraph"/>
                          <w:spacing w:before="31"/>
                          <w:ind w:left="11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E-PM-1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w="965" w:type="dxa"/>
                      </w:tcPr>
                      <w:p>
                        <w:pPr>
                          <w:pStyle w:val="TableParagraph"/>
                          <w:spacing w:before="31"/>
                          <w:ind w:left="247" w:right="22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103.5</w:t>
                        </w:r>
                      </w:p>
                    </w:tc>
                    <w:tc>
                      <w:tcPr>
                        <w:tcW w:w="733" w:type="dxa"/>
                      </w:tcPr>
                      <w:p>
                        <w:pPr>
                          <w:pStyle w:val="TableParagraph"/>
                          <w:spacing w:before="31"/>
                          <w:ind w:left="13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2636</w:t>
                        </w:r>
                      </w:p>
                    </w:tc>
                    <w:tc>
                      <w:tcPr>
                        <w:tcW w:w="1073" w:type="dxa"/>
                      </w:tcPr>
                      <w:p>
                        <w:pPr>
                          <w:pStyle w:val="TableParagraph"/>
                          <w:spacing w:before="31"/>
                          <w:ind w:left="19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803.41</w:t>
                        </w:r>
                      </w:p>
                    </w:tc>
                    <w:tc>
                      <w:tcPr>
                        <w:tcW w:w="940" w:type="dxa"/>
                      </w:tcPr>
                      <w:p>
                        <w:pPr>
                          <w:pStyle w:val="TableParagraph"/>
                          <w:spacing w:before="31"/>
                          <w:ind w:left="117" w:right="1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78" w:type="dxa"/>
                      </w:tcPr>
                      <w:p>
                        <w:pPr>
                          <w:pStyle w:val="TableParagraph"/>
                          <w:spacing w:before="31"/>
                          <w:ind w:left="36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036" w:type="dxa"/>
                      </w:tcPr>
                      <w:p>
                        <w:pPr>
                          <w:pStyle w:val="TableParagraph"/>
                          <w:spacing w:before="31"/>
                          <w:ind w:left="299" w:right="34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3.75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488" w:type="dxa"/>
                      </w:tcPr>
                      <w:p>
                        <w:pPr>
                          <w:pStyle w:val="TableParagraph"/>
                          <w:spacing w:before="31"/>
                          <w:ind w:left="11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E-PM-1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3</w:t>
                        </w:r>
                      </w:p>
                    </w:tc>
                    <w:tc>
                      <w:tcPr>
                        <w:tcW w:w="965" w:type="dxa"/>
                      </w:tcPr>
                      <w:p>
                        <w:pPr>
                          <w:pStyle w:val="TableParagraph"/>
                          <w:spacing w:before="31"/>
                          <w:ind w:left="247" w:right="22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100.0</w:t>
                        </w:r>
                      </w:p>
                    </w:tc>
                    <w:tc>
                      <w:tcPr>
                        <w:tcW w:w="733" w:type="dxa"/>
                      </w:tcPr>
                      <w:p>
                        <w:pPr>
                          <w:pStyle w:val="TableParagraph"/>
                          <w:spacing w:before="31"/>
                          <w:ind w:left="13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2288</w:t>
                        </w:r>
                      </w:p>
                    </w:tc>
                    <w:tc>
                      <w:tcPr>
                        <w:tcW w:w="1073" w:type="dxa"/>
                      </w:tcPr>
                      <w:p>
                        <w:pPr>
                          <w:pStyle w:val="TableParagraph"/>
                          <w:spacing w:before="31"/>
                          <w:ind w:left="19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697.35</w:t>
                        </w:r>
                      </w:p>
                    </w:tc>
                    <w:tc>
                      <w:tcPr>
                        <w:tcW w:w="940" w:type="dxa"/>
                      </w:tcPr>
                      <w:p>
                        <w:pPr>
                          <w:pStyle w:val="TableParagraph"/>
                          <w:spacing w:before="31"/>
                          <w:ind w:left="117" w:right="1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78" w:type="dxa"/>
                      </w:tcPr>
                      <w:p>
                        <w:pPr>
                          <w:pStyle w:val="TableParagraph"/>
                          <w:spacing w:before="31"/>
                          <w:ind w:left="36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036" w:type="dxa"/>
                      </w:tcPr>
                      <w:p>
                        <w:pPr>
                          <w:pStyle w:val="TableParagraph"/>
                          <w:spacing w:before="31"/>
                          <w:ind w:left="299" w:right="34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2.75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488" w:type="dxa"/>
                      </w:tcPr>
                      <w:p>
                        <w:pPr>
                          <w:pStyle w:val="TableParagraph"/>
                          <w:spacing w:before="31"/>
                          <w:ind w:left="11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E-PM-1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4</w:t>
                        </w:r>
                      </w:p>
                    </w:tc>
                    <w:tc>
                      <w:tcPr>
                        <w:tcW w:w="965" w:type="dxa"/>
                      </w:tcPr>
                      <w:p>
                        <w:pPr>
                          <w:pStyle w:val="TableParagraph"/>
                          <w:spacing w:before="31"/>
                          <w:ind w:left="247" w:right="22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103.0</w:t>
                        </w:r>
                      </w:p>
                    </w:tc>
                    <w:tc>
                      <w:tcPr>
                        <w:tcW w:w="733" w:type="dxa"/>
                      </w:tcPr>
                      <w:p>
                        <w:pPr>
                          <w:pStyle w:val="TableParagraph"/>
                          <w:spacing w:before="31"/>
                          <w:ind w:left="13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2565</w:t>
                        </w:r>
                      </w:p>
                    </w:tc>
                    <w:tc>
                      <w:tcPr>
                        <w:tcW w:w="1073" w:type="dxa"/>
                      </w:tcPr>
                      <w:p>
                        <w:pPr>
                          <w:pStyle w:val="TableParagraph"/>
                          <w:spacing w:before="31"/>
                          <w:ind w:left="19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781.77</w:t>
                        </w:r>
                      </w:p>
                    </w:tc>
                    <w:tc>
                      <w:tcPr>
                        <w:tcW w:w="940" w:type="dxa"/>
                      </w:tcPr>
                      <w:p>
                        <w:pPr>
                          <w:pStyle w:val="TableParagraph"/>
                          <w:spacing w:before="31"/>
                          <w:ind w:left="117" w:right="1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78" w:type="dxa"/>
                      </w:tcPr>
                      <w:p>
                        <w:pPr>
                          <w:pStyle w:val="TableParagraph"/>
                          <w:spacing w:before="31"/>
                          <w:ind w:left="36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036" w:type="dxa"/>
                      </w:tcPr>
                      <w:p>
                        <w:pPr>
                          <w:pStyle w:val="TableParagraph"/>
                          <w:spacing w:before="31"/>
                          <w:ind w:left="299" w:right="34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3.59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488" w:type="dxa"/>
                      </w:tcPr>
                      <w:p>
                        <w:pPr>
                          <w:pStyle w:val="TableParagraph"/>
                          <w:spacing w:before="31"/>
                          <w:ind w:left="11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E-PM-1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5</w:t>
                        </w:r>
                      </w:p>
                    </w:tc>
                    <w:tc>
                      <w:tcPr>
                        <w:tcW w:w="965" w:type="dxa"/>
                      </w:tcPr>
                      <w:p>
                        <w:pPr>
                          <w:pStyle w:val="TableParagraph"/>
                          <w:spacing w:before="31"/>
                          <w:ind w:left="247" w:right="22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103.0</w:t>
                        </w:r>
                      </w:p>
                    </w:tc>
                    <w:tc>
                      <w:tcPr>
                        <w:tcW w:w="733" w:type="dxa"/>
                      </w:tcPr>
                      <w:p>
                        <w:pPr>
                          <w:pStyle w:val="TableParagraph"/>
                          <w:spacing w:before="31"/>
                          <w:ind w:left="13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2501</w:t>
                        </w:r>
                      </w:p>
                    </w:tc>
                    <w:tc>
                      <w:tcPr>
                        <w:tcW w:w="1073" w:type="dxa"/>
                      </w:tcPr>
                      <w:p>
                        <w:pPr>
                          <w:pStyle w:val="TableParagraph"/>
                          <w:spacing w:before="31"/>
                          <w:ind w:left="19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762.27</w:t>
                        </w:r>
                      </w:p>
                    </w:tc>
                    <w:tc>
                      <w:tcPr>
                        <w:tcW w:w="940" w:type="dxa"/>
                      </w:tcPr>
                      <w:p>
                        <w:pPr>
                          <w:pStyle w:val="TableParagraph"/>
                          <w:spacing w:before="31"/>
                          <w:ind w:left="117" w:right="1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78" w:type="dxa"/>
                      </w:tcPr>
                      <w:p>
                        <w:pPr>
                          <w:pStyle w:val="TableParagraph"/>
                          <w:spacing w:before="31"/>
                          <w:ind w:left="36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036" w:type="dxa"/>
                      </w:tcPr>
                      <w:p>
                        <w:pPr>
                          <w:pStyle w:val="TableParagraph"/>
                          <w:spacing w:before="31"/>
                          <w:ind w:left="299" w:right="34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3.59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488" w:type="dxa"/>
                      </w:tcPr>
                      <w:p>
                        <w:pPr>
                          <w:pStyle w:val="TableParagraph"/>
                          <w:spacing w:before="31"/>
                          <w:ind w:left="11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E-PM-1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6</w:t>
                        </w:r>
                      </w:p>
                    </w:tc>
                    <w:tc>
                      <w:tcPr>
                        <w:tcW w:w="965" w:type="dxa"/>
                      </w:tcPr>
                      <w:p>
                        <w:pPr>
                          <w:pStyle w:val="TableParagraph"/>
                          <w:spacing w:before="31"/>
                          <w:ind w:left="247" w:right="22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103.0</w:t>
                        </w:r>
                      </w:p>
                    </w:tc>
                    <w:tc>
                      <w:tcPr>
                        <w:tcW w:w="733" w:type="dxa"/>
                      </w:tcPr>
                      <w:p>
                        <w:pPr>
                          <w:pStyle w:val="TableParagraph"/>
                          <w:spacing w:before="31"/>
                          <w:ind w:left="13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2514</w:t>
                        </w:r>
                      </w:p>
                    </w:tc>
                    <w:tc>
                      <w:tcPr>
                        <w:tcW w:w="1073" w:type="dxa"/>
                      </w:tcPr>
                      <w:p>
                        <w:pPr>
                          <w:pStyle w:val="TableParagraph"/>
                          <w:spacing w:before="31"/>
                          <w:ind w:left="19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766.23</w:t>
                        </w:r>
                      </w:p>
                    </w:tc>
                    <w:tc>
                      <w:tcPr>
                        <w:tcW w:w="940" w:type="dxa"/>
                      </w:tcPr>
                      <w:p>
                        <w:pPr>
                          <w:pStyle w:val="TableParagraph"/>
                          <w:spacing w:before="31"/>
                          <w:ind w:left="117" w:right="1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78" w:type="dxa"/>
                      </w:tcPr>
                      <w:p>
                        <w:pPr>
                          <w:pStyle w:val="TableParagraph"/>
                          <w:spacing w:before="31"/>
                          <w:ind w:left="36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036" w:type="dxa"/>
                      </w:tcPr>
                      <w:p>
                        <w:pPr>
                          <w:pStyle w:val="TableParagraph"/>
                          <w:spacing w:before="31"/>
                          <w:ind w:left="299" w:right="34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3.53</w:t>
                        </w:r>
                      </w:p>
                    </w:tc>
                  </w:tr>
                  <w:tr>
                    <w:trPr>
                      <w:trHeight w:val="281" w:hRule="atLeast"/>
                    </w:trPr>
                    <w:tc>
                      <w:tcPr>
                        <w:tcW w:w="1488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1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E-PM-1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7</w:t>
                        </w:r>
                      </w:p>
                    </w:tc>
                    <w:tc>
                      <w:tcPr>
                        <w:tcW w:w="965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247" w:right="22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103.0</w:t>
                        </w:r>
                      </w:p>
                    </w:tc>
                    <w:tc>
                      <w:tcPr>
                        <w:tcW w:w="733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3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2547</w:t>
                        </w:r>
                      </w:p>
                    </w:tc>
                    <w:tc>
                      <w:tcPr>
                        <w:tcW w:w="1073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9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776.29</w:t>
                        </w:r>
                      </w:p>
                    </w:tc>
                    <w:tc>
                      <w:tcPr>
                        <w:tcW w:w="940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17" w:right="1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78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36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036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right="5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100"/>
                            <w:sz w:val="20"/>
                          </w:rPr>
                          <w:t>3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b/>
          <w:sz w:val="20"/>
        </w:rPr>
        <w:t>Table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23</w:t>
        <w:tab/>
        <w:t>0.50-in.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sphere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striking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perforated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metal,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P900,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ECLT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specimens</w:t>
      </w: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spacing w:before="6"/>
        <w:rPr>
          <w:b/>
          <w:sz w:val="23"/>
        </w:rPr>
      </w:pPr>
    </w:p>
    <w:p>
      <w:pPr>
        <w:tabs>
          <w:tab w:pos="2239" w:val="left" w:leader="none"/>
        </w:tabs>
        <w:spacing w:before="0"/>
        <w:ind w:left="513" w:right="0" w:firstLine="0"/>
        <w:jc w:val="center"/>
        <w:rPr>
          <w:b/>
          <w:sz w:val="20"/>
        </w:rPr>
      </w:pPr>
      <w:r>
        <w:rPr>
          <w:b/>
          <w:w w:val="100"/>
          <w:sz w:val="20"/>
          <w:u w:val="single"/>
        </w:rPr>
        <w:t> </w:t>
      </w:r>
      <w:r>
        <w:rPr>
          <w:b/>
          <w:sz w:val="20"/>
          <w:u w:val="single"/>
        </w:rPr>
        <w:tab/>
      </w:r>
    </w:p>
    <w:p>
      <w:pPr>
        <w:spacing w:after="0"/>
        <w:jc w:val="center"/>
        <w:rPr>
          <w:sz w:val="20"/>
        </w:rPr>
        <w:sectPr>
          <w:pgSz w:w="12240" w:h="15840"/>
          <w:pgMar w:header="0" w:footer="1064" w:top="1380" w:bottom="1260" w:left="440" w:right="880"/>
        </w:sectPr>
      </w:pPr>
    </w:p>
    <w:p>
      <w:pPr>
        <w:tabs>
          <w:tab w:pos="4655" w:val="left" w:leader="none"/>
        </w:tabs>
        <w:spacing w:before="70"/>
        <w:ind w:left="3488" w:right="0" w:firstLine="0"/>
        <w:jc w:val="left"/>
        <w:rPr>
          <w:b/>
          <w:sz w:val="20"/>
        </w:rPr>
      </w:pPr>
      <w:r>
        <w:rPr/>
        <w:pict>
          <v:shape style="position:absolute;margin-left:141.330002pt;margin-top:26.995911pt;width:364.95pt;height:186.25pt;mso-position-horizontal-relative:page;mso-position-vertical-relative:paragraph;z-index:1591808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532"/>
                    <w:gridCol w:w="1010"/>
                    <w:gridCol w:w="720"/>
                    <w:gridCol w:w="1061"/>
                    <w:gridCol w:w="939"/>
                    <w:gridCol w:w="960"/>
                    <w:gridCol w:w="1080"/>
                  </w:tblGrid>
                  <w:tr>
                    <w:trPr>
                      <w:trHeight w:val="508" w:hRule="atLeast"/>
                    </w:trPr>
                    <w:tc>
                      <w:tcPr>
                        <w:tcW w:w="1532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010" w:type="dxa"/>
                        <w:vMerge w:val="restart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0"/>
                          <w:rPr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59" w:lineRule="auto"/>
                          <w:ind w:left="204" w:right="137" w:hanging="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Powder</w:t>
                        </w:r>
                        <w:r>
                          <w:rPr>
                            <w:b/>
                            <w:spacing w:val="-47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Mass</w:t>
                        </w:r>
                        <w:r>
                          <w:rPr>
                            <w:b/>
                            <w:spacing w:val="1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(grains)</w:t>
                        </w:r>
                      </w:p>
                    </w:tc>
                    <w:tc>
                      <w:tcPr>
                        <w:tcW w:w="1781" w:type="dxa"/>
                        <w:gridSpan w:val="2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23" w:lineRule="exact"/>
                          <w:ind w:left="190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Chrono-Based</w:t>
                        </w:r>
                      </w:p>
                    </w:tc>
                    <w:tc>
                      <w:tcPr>
                        <w:tcW w:w="1899" w:type="dxa"/>
                        <w:gridSpan w:val="2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23" w:lineRule="exact"/>
                          <w:ind w:left="373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Chrono-Based</w:t>
                        </w:r>
                      </w:p>
                    </w:tc>
                    <w:tc>
                      <w:tcPr>
                        <w:tcW w:w="1080" w:type="dxa"/>
                        <w:vMerge w:val="restart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47"/>
                          <w:ind w:left="281" w:right="335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DOP</w:t>
                        </w:r>
                      </w:p>
                      <w:p>
                        <w:pPr>
                          <w:pStyle w:val="TableParagraph"/>
                          <w:spacing w:before="18"/>
                          <w:ind w:left="280" w:right="335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(in)</w:t>
                        </w:r>
                      </w:p>
                    </w:tc>
                  </w:tr>
                  <w:tr>
                    <w:trPr>
                      <w:trHeight w:val="256" w:hRule="atLeast"/>
                    </w:trPr>
                    <w:tc>
                      <w:tcPr>
                        <w:tcW w:w="1532" w:type="dxa"/>
                      </w:tcPr>
                      <w:p>
                        <w:pPr>
                          <w:pStyle w:val="TableParagraph"/>
                          <w:spacing w:before="5"/>
                          <w:ind w:left="603" w:right="498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Shot</w:t>
                        </w:r>
                      </w:p>
                    </w:tc>
                    <w:tc>
                      <w:tcPr>
                        <w:tcW w:w="1010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20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061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9" w:type="dxa"/>
                      </w:tcPr>
                      <w:p>
                        <w:pPr>
                          <w:pStyle w:val="TableParagraph"/>
                          <w:tabs>
                            <w:tab w:pos="1845" w:val="left" w:leader="none"/>
                          </w:tabs>
                          <w:spacing w:before="5"/>
                          <w:ind w:left="136" w:right="-90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100"/>
                            <w:sz w:val="20"/>
                            <w:u w:val="single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  <w:u w:val="single"/>
                          </w:rPr>
                          <w:tab/>
                        </w:r>
                      </w:p>
                    </w:tc>
                    <w:tc>
                      <w:tcPr>
                        <w:tcW w:w="960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080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509" w:hRule="atLeast"/>
                    </w:trPr>
                    <w:tc>
                      <w:tcPr>
                        <w:tcW w:w="1532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010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20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142" w:right="169" w:firstLine="11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s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(fps)</w:t>
                        </w:r>
                      </w:p>
                    </w:tc>
                    <w:tc>
                      <w:tcPr>
                        <w:tcW w:w="1061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237" w:right="370" w:firstLine="141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s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(m/s)</w:t>
                        </w:r>
                      </w:p>
                    </w:tc>
                    <w:tc>
                      <w:tcPr>
                        <w:tcW w:w="939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326" w:right="204" w:firstLine="11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r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(fps)</w:t>
                        </w:r>
                      </w:p>
                    </w:tc>
                    <w:tc>
                      <w:tcPr>
                        <w:tcW w:w="960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217" w:right="289" w:firstLine="13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r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(m/s)</w:t>
                        </w:r>
                      </w:p>
                    </w:tc>
                    <w:tc>
                      <w:tcPr>
                        <w:tcW w:w="1080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318" w:hRule="atLeast"/>
                    </w:trPr>
                    <w:tc>
                      <w:tcPr>
                        <w:tcW w:w="1532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E-PM-2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010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right="24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105.0</w:t>
                        </w:r>
                      </w:p>
                    </w:tc>
                    <w:tc>
                      <w:tcPr>
                        <w:tcW w:w="720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56" w:right="10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2524</w:t>
                        </w:r>
                      </w:p>
                    </w:tc>
                    <w:tc>
                      <w:tcPr>
                        <w:tcW w:w="1061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8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769.28</w:t>
                        </w:r>
                      </w:p>
                    </w:tc>
                    <w:tc>
                      <w:tcPr>
                        <w:tcW w:w="939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434" w:right="33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36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080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28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3.656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532" w:type="dxa"/>
                      </w:tcPr>
                      <w:p>
                        <w:pPr>
                          <w:pStyle w:val="TableParagraph"/>
                          <w:spacing w:before="31"/>
                          <w:ind w:left="1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E-PM-2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w="1010" w:type="dxa"/>
                      </w:tcPr>
                      <w:p>
                        <w:pPr>
                          <w:pStyle w:val="TableParagraph"/>
                          <w:spacing w:before="31"/>
                          <w:ind w:right="24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105.0</w:t>
                        </w:r>
                      </w:p>
                    </w:tc>
                    <w:tc>
                      <w:tcPr>
                        <w:tcW w:w="720" w:type="dxa"/>
                      </w:tcPr>
                      <w:p>
                        <w:pPr>
                          <w:pStyle w:val="TableParagraph"/>
                          <w:spacing w:before="31"/>
                          <w:ind w:left="56" w:right="10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2555</w:t>
                        </w:r>
                      </w:p>
                    </w:tc>
                    <w:tc>
                      <w:tcPr>
                        <w:tcW w:w="1061" w:type="dxa"/>
                      </w:tcPr>
                      <w:p>
                        <w:pPr>
                          <w:pStyle w:val="TableParagraph"/>
                          <w:spacing w:before="31"/>
                          <w:ind w:left="18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778.73</w:t>
                        </w:r>
                      </w:p>
                    </w:tc>
                    <w:tc>
                      <w:tcPr>
                        <w:tcW w:w="939" w:type="dxa"/>
                      </w:tcPr>
                      <w:p>
                        <w:pPr>
                          <w:pStyle w:val="TableParagraph"/>
                          <w:spacing w:before="31"/>
                          <w:ind w:left="434" w:right="33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60" w:type="dxa"/>
                      </w:tcPr>
                      <w:p>
                        <w:pPr>
                          <w:pStyle w:val="TableParagraph"/>
                          <w:spacing w:before="31"/>
                          <w:ind w:left="36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080" w:type="dxa"/>
                      </w:tcPr>
                      <w:p>
                        <w:pPr>
                          <w:pStyle w:val="TableParagraph"/>
                          <w:spacing w:before="31"/>
                          <w:ind w:left="28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3.750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532" w:type="dxa"/>
                      </w:tcPr>
                      <w:p>
                        <w:pPr>
                          <w:pStyle w:val="TableParagraph"/>
                          <w:spacing w:before="31"/>
                          <w:ind w:left="1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E-PM-2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3</w:t>
                        </w:r>
                      </w:p>
                    </w:tc>
                    <w:tc>
                      <w:tcPr>
                        <w:tcW w:w="1010" w:type="dxa"/>
                      </w:tcPr>
                      <w:p>
                        <w:pPr>
                          <w:pStyle w:val="TableParagraph"/>
                          <w:spacing w:before="31"/>
                          <w:ind w:right="24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105.0</w:t>
                        </w:r>
                      </w:p>
                    </w:tc>
                    <w:tc>
                      <w:tcPr>
                        <w:tcW w:w="720" w:type="dxa"/>
                      </w:tcPr>
                      <w:p>
                        <w:pPr>
                          <w:pStyle w:val="TableParagraph"/>
                          <w:spacing w:before="31"/>
                          <w:ind w:left="56" w:right="10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2520</w:t>
                        </w:r>
                      </w:p>
                    </w:tc>
                    <w:tc>
                      <w:tcPr>
                        <w:tcW w:w="1061" w:type="dxa"/>
                      </w:tcPr>
                      <w:p>
                        <w:pPr>
                          <w:pStyle w:val="TableParagraph"/>
                          <w:spacing w:before="31"/>
                          <w:ind w:left="18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768.06</w:t>
                        </w:r>
                      </w:p>
                    </w:tc>
                    <w:tc>
                      <w:tcPr>
                        <w:tcW w:w="939" w:type="dxa"/>
                      </w:tcPr>
                      <w:p>
                        <w:pPr>
                          <w:pStyle w:val="TableParagraph"/>
                          <w:spacing w:before="31"/>
                          <w:ind w:left="434" w:right="33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60" w:type="dxa"/>
                      </w:tcPr>
                      <w:p>
                        <w:pPr>
                          <w:pStyle w:val="TableParagraph"/>
                          <w:spacing w:before="31"/>
                          <w:ind w:left="36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080" w:type="dxa"/>
                      </w:tcPr>
                      <w:p>
                        <w:pPr>
                          <w:pStyle w:val="TableParagraph"/>
                          <w:spacing w:before="31"/>
                          <w:ind w:left="28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4.531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532" w:type="dxa"/>
                      </w:tcPr>
                      <w:p>
                        <w:pPr>
                          <w:pStyle w:val="TableParagraph"/>
                          <w:spacing w:before="31"/>
                          <w:ind w:left="1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E-PM-2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4</w:t>
                        </w:r>
                      </w:p>
                    </w:tc>
                    <w:tc>
                      <w:tcPr>
                        <w:tcW w:w="1010" w:type="dxa"/>
                      </w:tcPr>
                      <w:p>
                        <w:pPr>
                          <w:pStyle w:val="TableParagraph"/>
                          <w:spacing w:before="31"/>
                          <w:ind w:right="24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105.0</w:t>
                        </w:r>
                      </w:p>
                    </w:tc>
                    <w:tc>
                      <w:tcPr>
                        <w:tcW w:w="720" w:type="dxa"/>
                      </w:tcPr>
                      <w:p>
                        <w:pPr>
                          <w:pStyle w:val="TableParagraph"/>
                          <w:spacing w:before="31"/>
                          <w:ind w:left="56" w:right="10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2635</w:t>
                        </w:r>
                      </w:p>
                    </w:tc>
                    <w:tc>
                      <w:tcPr>
                        <w:tcW w:w="1061" w:type="dxa"/>
                      </w:tcPr>
                      <w:p>
                        <w:pPr>
                          <w:pStyle w:val="TableParagraph"/>
                          <w:spacing w:before="31"/>
                          <w:ind w:left="18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803.11</w:t>
                        </w:r>
                      </w:p>
                    </w:tc>
                    <w:tc>
                      <w:tcPr>
                        <w:tcW w:w="939" w:type="dxa"/>
                      </w:tcPr>
                      <w:p>
                        <w:pPr>
                          <w:pStyle w:val="TableParagraph"/>
                          <w:spacing w:before="31"/>
                          <w:ind w:left="434" w:right="33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60" w:type="dxa"/>
                      </w:tcPr>
                      <w:p>
                        <w:pPr>
                          <w:pStyle w:val="TableParagraph"/>
                          <w:spacing w:before="31"/>
                          <w:ind w:left="36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080" w:type="dxa"/>
                      </w:tcPr>
                      <w:p>
                        <w:pPr>
                          <w:pStyle w:val="TableParagraph"/>
                          <w:spacing w:before="31"/>
                          <w:ind w:left="28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2.750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532" w:type="dxa"/>
                      </w:tcPr>
                      <w:p>
                        <w:pPr>
                          <w:pStyle w:val="TableParagraph"/>
                          <w:spacing w:before="31"/>
                          <w:ind w:left="1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E-PM-2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5</w:t>
                        </w:r>
                      </w:p>
                    </w:tc>
                    <w:tc>
                      <w:tcPr>
                        <w:tcW w:w="1010" w:type="dxa"/>
                      </w:tcPr>
                      <w:p>
                        <w:pPr>
                          <w:pStyle w:val="TableParagraph"/>
                          <w:spacing w:before="31"/>
                          <w:ind w:right="24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104.0</w:t>
                        </w:r>
                      </w:p>
                    </w:tc>
                    <w:tc>
                      <w:tcPr>
                        <w:tcW w:w="720" w:type="dxa"/>
                      </w:tcPr>
                      <w:p>
                        <w:pPr>
                          <w:pStyle w:val="TableParagraph"/>
                          <w:spacing w:before="31"/>
                          <w:ind w:left="56" w:right="10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2569</w:t>
                        </w:r>
                      </w:p>
                    </w:tc>
                    <w:tc>
                      <w:tcPr>
                        <w:tcW w:w="1061" w:type="dxa"/>
                      </w:tcPr>
                      <w:p>
                        <w:pPr>
                          <w:pStyle w:val="TableParagraph"/>
                          <w:spacing w:before="31"/>
                          <w:ind w:left="18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782.99</w:t>
                        </w:r>
                      </w:p>
                    </w:tc>
                    <w:tc>
                      <w:tcPr>
                        <w:tcW w:w="939" w:type="dxa"/>
                      </w:tcPr>
                      <w:p>
                        <w:pPr>
                          <w:pStyle w:val="TableParagraph"/>
                          <w:spacing w:before="31"/>
                          <w:ind w:left="434" w:right="33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60" w:type="dxa"/>
                      </w:tcPr>
                      <w:p>
                        <w:pPr>
                          <w:pStyle w:val="TableParagraph"/>
                          <w:spacing w:before="31"/>
                          <w:ind w:left="36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080" w:type="dxa"/>
                      </w:tcPr>
                      <w:p>
                        <w:pPr>
                          <w:pStyle w:val="TableParagraph"/>
                          <w:spacing w:before="31"/>
                          <w:ind w:left="28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2.750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532" w:type="dxa"/>
                      </w:tcPr>
                      <w:p>
                        <w:pPr>
                          <w:pStyle w:val="TableParagraph"/>
                          <w:spacing w:before="31"/>
                          <w:ind w:left="1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E-PM-2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6</w:t>
                        </w:r>
                      </w:p>
                    </w:tc>
                    <w:tc>
                      <w:tcPr>
                        <w:tcW w:w="1010" w:type="dxa"/>
                      </w:tcPr>
                      <w:p>
                        <w:pPr>
                          <w:pStyle w:val="TableParagraph"/>
                          <w:spacing w:before="31"/>
                          <w:ind w:right="24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103.5</w:t>
                        </w:r>
                      </w:p>
                    </w:tc>
                    <w:tc>
                      <w:tcPr>
                        <w:tcW w:w="720" w:type="dxa"/>
                      </w:tcPr>
                      <w:p>
                        <w:pPr>
                          <w:pStyle w:val="TableParagraph"/>
                          <w:spacing w:before="31"/>
                          <w:ind w:left="56" w:right="10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2503</w:t>
                        </w:r>
                      </w:p>
                    </w:tc>
                    <w:tc>
                      <w:tcPr>
                        <w:tcW w:w="1061" w:type="dxa"/>
                      </w:tcPr>
                      <w:p>
                        <w:pPr>
                          <w:pStyle w:val="TableParagraph"/>
                          <w:spacing w:before="31"/>
                          <w:ind w:left="18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762.88</w:t>
                        </w:r>
                      </w:p>
                    </w:tc>
                    <w:tc>
                      <w:tcPr>
                        <w:tcW w:w="939" w:type="dxa"/>
                      </w:tcPr>
                      <w:p>
                        <w:pPr>
                          <w:pStyle w:val="TableParagraph"/>
                          <w:spacing w:before="31"/>
                          <w:ind w:left="434" w:right="33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60" w:type="dxa"/>
                      </w:tcPr>
                      <w:p>
                        <w:pPr>
                          <w:pStyle w:val="TableParagraph"/>
                          <w:spacing w:before="31"/>
                          <w:ind w:left="36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080" w:type="dxa"/>
                      </w:tcPr>
                      <w:p>
                        <w:pPr>
                          <w:pStyle w:val="TableParagraph"/>
                          <w:spacing w:before="31"/>
                          <w:ind w:left="28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2.750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532" w:type="dxa"/>
                      </w:tcPr>
                      <w:p>
                        <w:pPr>
                          <w:pStyle w:val="TableParagraph"/>
                          <w:spacing w:before="31"/>
                          <w:ind w:left="1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E-PM-2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7</w:t>
                        </w:r>
                      </w:p>
                    </w:tc>
                    <w:tc>
                      <w:tcPr>
                        <w:tcW w:w="1010" w:type="dxa"/>
                      </w:tcPr>
                      <w:p>
                        <w:pPr>
                          <w:pStyle w:val="TableParagraph"/>
                          <w:spacing w:before="31"/>
                          <w:ind w:right="24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103.5</w:t>
                        </w:r>
                      </w:p>
                    </w:tc>
                    <w:tc>
                      <w:tcPr>
                        <w:tcW w:w="720" w:type="dxa"/>
                      </w:tcPr>
                      <w:p>
                        <w:pPr>
                          <w:pStyle w:val="TableParagraph"/>
                          <w:spacing w:before="31"/>
                          <w:ind w:left="56" w:right="10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2429</w:t>
                        </w:r>
                      </w:p>
                    </w:tc>
                    <w:tc>
                      <w:tcPr>
                        <w:tcW w:w="1061" w:type="dxa"/>
                      </w:tcPr>
                      <w:p>
                        <w:pPr>
                          <w:pStyle w:val="TableParagraph"/>
                          <w:spacing w:before="31"/>
                          <w:ind w:left="18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740.32</w:t>
                        </w:r>
                      </w:p>
                    </w:tc>
                    <w:tc>
                      <w:tcPr>
                        <w:tcW w:w="939" w:type="dxa"/>
                      </w:tcPr>
                      <w:p>
                        <w:pPr>
                          <w:pStyle w:val="TableParagraph"/>
                          <w:spacing w:before="31"/>
                          <w:ind w:left="434" w:right="33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60" w:type="dxa"/>
                      </w:tcPr>
                      <w:p>
                        <w:pPr>
                          <w:pStyle w:val="TableParagraph"/>
                          <w:spacing w:before="31"/>
                          <w:ind w:left="36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080" w:type="dxa"/>
                      </w:tcPr>
                      <w:p>
                        <w:pPr>
                          <w:pStyle w:val="TableParagraph"/>
                          <w:spacing w:before="31"/>
                          <w:ind w:left="28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4.031</w:t>
                        </w:r>
                      </w:p>
                    </w:tc>
                  </w:tr>
                  <w:tr>
                    <w:trPr>
                      <w:trHeight w:val="282" w:hRule="atLeast"/>
                    </w:trPr>
                    <w:tc>
                      <w:tcPr>
                        <w:tcW w:w="1532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E-PM-2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8</w:t>
                        </w:r>
                      </w:p>
                    </w:tc>
                    <w:tc>
                      <w:tcPr>
                        <w:tcW w:w="1010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right="24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104.0</w:t>
                        </w:r>
                      </w:p>
                    </w:tc>
                    <w:tc>
                      <w:tcPr>
                        <w:tcW w:w="720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56" w:right="10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2610</w:t>
                        </w:r>
                      </w:p>
                    </w:tc>
                    <w:tc>
                      <w:tcPr>
                        <w:tcW w:w="1061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8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795.49</w:t>
                        </w:r>
                      </w:p>
                    </w:tc>
                    <w:tc>
                      <w:tcPr>
                        <w:tcW w:w="939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434" w:right="33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60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36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080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28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4.625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b/>
          <w:sz w:val="20"/>
        </w:rPr>
        <w:t>Table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24</w:t>
        <w:tab/>
        <w:t>0.50-in.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sphere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striking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expanded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metal,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ECLT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specimens</w:t>
      </w: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spacing w:before="2"/>
        <w:rPr>
          <w:b/>
          <w:sz w:val="23"/>
        </w:rPr>
      </w:pPr>
    </w:p>
    <w:p>
      <w:pPr>
        <w:tabs>
          <w:tab w:pos="2230" w:val="left" w:leader="none"/>
        </w:tabs>
        <w:spacing w:before="1"/>
        <w:ind w:left="553" w:right="0" w:firstLine="0"/>
        <w:jc w:val="center"/>
        <w:rPr>
          <w:b/>
          <w:sz w:val="20"/>
        </w:rPr>
      </w:pPr>
      <w:r>
        <w:rPr>
          <w:b/>
          <w:w w:val="100"/>
          <w:sz w:val="20"/>
          <w:u w:val="single"/>
        </w:rPr>
        <w:t> </w:t>
      </w:r>
      <w:r>
        <w:rPr>
          <w:b/>
          <w:sz w:val="20"/>
          <w:u w:val="single"/>
        </w:rPr>
        <w:tab/>
      </w: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spacing w:before="3"/>
        <w:rPr>
          <w:b/>
          <w:sz w:val="31"/>
        </w:rPr>
      </w:pPr>
    </w:p>
    <w:p>
      <w:pPr>
        <w:spacing w:before="0"/>
        <w:ind w:left="1938" w:right="778" w:firstLine="0"/>
        <w:jc w:val="center"/>
        <w:rPr>
          <w:b/>
          <w:sz w:val="20"/>
        </w:rPr>
      </w:pPr>
      <w:r>
        <w:rPr>
          <w:b/>
          <w:sz w:val="20"/>
        </w:rPr>
        <w:t>Table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25</w:t>
      </w:r>
      <w:r>
        <w:rPr>
          <w:b/>
          <w:spacing w:val="46"/>
          <w:sz w:val="20"/>
        </w:rPr>
        <w:t> </w:t>
      </w:r>
      <w:r>
        <w:rPr>
          <w:b/>
          <w:sz w:val="20"/>
        </w:rPr>
        <w:t>0.50-in.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sphere</w:t>
      </w:r>
      <w:r>
        <w:rPr>
          <w:b/>
          <w:spacing w:val="-1"/>
          <w:sz w:val="20"/>
        </w:rPr>
        <w:t> </w:t>
      </w:r>
      <w:r>
        <w:rPr>
          <w:b/>
          <w:sz w:val="20"/>
        </w:rPr>
        <w:t>striking</w:t>
      </w:r>
      <w:r>
        <w:rPr>
          <w:b/>
          <w:spacing w:val="-1"/>
          <w:sz w:val="20"/>
        </w:rPr>
        <w:t> </w:t>
      </w:r>
      <w:r>
        <w:rPr>
          <w:b/>
          <w:sz w:val="20"/>
        </w:rPr>
        <w:t>mild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steel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plate,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ECLT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specimens</w:t>
      </w:r>
    </w:p>
    <w:p>
      <w:pPr>
        <w:pStyle w:val="BodyText"/>
        <w:spacing w:before="10"/>
        <w:rPr>
          <w:b/>
          <w:sz w:val="20"/>
        </w:rPr>
      </w:pPr>
    </w:p>
    <w:tbl>
      <w:tblPr>
        <w:tblW w:w="0" w:type="auto"/>
        <w:jc w:val="left"/>
        <w:tblInd w:w="22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97"/>
        <w:gridCol w:w="1057"/>
        <w:gridCol w:w="855"/>
        <w:gridCol w:w="1187"/>
        <w:gridCol w:w="1057"/>
        <w:gridCol w:w="900"/>
        <w:gridCol w:w="1026"/>
      </w:tblGrid>
      <w:tr>
        <w:trPr>
          <w:trHeight w:val="553" w:hRule="atLeast"/>
        </w:trPr>
        <w:tc>
          <w:tcPr>
            <w:tcW w:w="1397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057" w:type="dxa"/>
            <w:vMerge w:val="restart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0"/>
              <w:rPr>
                <w:b/>
                <w:sz w:val="27"/>
              </w:rPr>
            </w:pPr>
          </w:p>
          <w:p>
            <w:pPr>
              <w:pStyle w:val="TableParagraph"/>
              <w:ind w:left="183"/>
              <w:rPr>
                <w:b/>
                <w:sz w:val="20"/>
              </w:rPr>
            </w:pPr>
            <w:r>
              <w:rPr>
                <w:b/>
                <w:sz w:val="20"/>
              </w:rPr>
              <w:t>Powder</w:t>
            </w:r>
          </w:p>
          <w:p>
            <w:pPr>
              <w:pStyle w:val="TableParagraph"/>
              <w:tabs>
                <w:tab w:pos="990" w:val="left" w:leader="none"/>
                <w:tab w:pos="2910" w:val="left" w:leader="none"/>
              </w:tabs>
              <w:spacing w:line="259" w:lineRule="auto" w:before="17"/>
              <w:ind w:left="178" w:right="-1858" w:firstLine="110"/>
              <w:rPr>
                <w:b/>
                <w:sz w:val="20"/>
              </w:rPr>
            </w:pPr>
            <w:r>
              <w:rPr>
                <w:b/>
                <w:sz w:val="20"/>
              </w:rPr>
              <w:t>Mass</w:t>
              <w:tab/>
            </w:r>
            <w:r>
              <w:rPr>
                <w:b/>
                <w:w w:val="100"/>
                <w:sz w:val="20"/>
                <w:u w:val="single"/>
              </w:rPr>
              <w:t> </w:t>
            </w:r>
            <w:r>
              <w:rPr>
                <w:b/>
                <w:sz w:val="20"/>
                <w:u w:val="single"/>
              </w:rPr>
              <w:tab/>
            </w:r>
            <w:r>
              <w:rPr>
                <w:b/>
                <w:sz w:val="20"/>
              </w:rPr>
              <w:t> (grains)</w:t>
            </w:r>
          </w:p>
        </w:tc>
        <w:tc>
          <w:tcPr>
            <w:tcW w:w="2042" w:type="dxa"/>
            <w:gridSpan w:val="2"/>
            <w:tcBorders>
              <w:top w:val="single" w:sz="4" w:space="0" w:color="000000"/>
            </w:tcBorders>
          </w:tcPr>
          <w:p>
            <w:pPr>
              <w:pStyle w:val="TableParagraph"/>
              <w:spacing w:before="11"/>
              <w:rPr>
                <w:b/>
                <w:sz w:val="26"/>
              </w:rPr>
            </w:pPr>
          </w:p>
          <w:p>
            <w:pPr>
              <w:pStyle w:val="TableParagraph"/>
              <w:spacing w:line="223" w:lineRule="exact"/>
              <w:ind w:left="278"/>
              <w:rPr>
                <w:b/>
                <w:sz w:val="20"/>
              </w:rPr>
            </w:pPr>
            <w:r>
              <w:rPr>
                <w:b/>
                <w:sz w:val="20"/>
              </w:rPr>
              <w:t>Chrono-Based</w:t>
            </w:r>
          </w:p>
        </w:tc>
        <w:tc>
          <w:tcPr>
            <w:tcW w:w="1957" w:type="dxa"/>
            <w:gridSpan w:val="2"/>
            <w:tcBorders>
              <w:top w:val="single" w:sz="4" w:space="0" w:color="000000"/>
            </w:tcBorders>
          </w:tcPr>
          <w:p>
            <w:pPr>
              <w:pStyle w:val="TableParagraph"/>
              <w:spacing w:before="11"/>
              <w:rPr>
                <w:b/>
                <w:sz w:val="26"/>
              </w:rPr>
            </w:pPr>
          </w:p>
          <w:p>
            <w:pPr>
              <w:pStyle w:val="TableParagraph"/>
              <w:spacing w:line="223" w:lineRule="exact"/>
              <w:ind w:left="455"/>
              <w:rPr>
                <w:b/>
                <w:sz w:val="20"/>
              </w:rPr>
            </w:pPr>
            <w:r>
              <w:rPr>
                <w:b/>
                <w:sz w:val="20"/>
              </w:rPr>
              <w:t>Chrono-Based</w:t>
            </w:r>
          </w:p>
        </w:tc>
        <w:tc>
          <w:tcPr>
            <w:tcW w:w="1026" w:type="dxa"/>
            <w:vMerge w:val="restart"/>
            <w:tcBorders>
              <w:top w:val="single" w:sz="4" w:space="0" w:color="000000"/>
            </w:tcBorders>
          </w:tcPr>
          <w:p>
            <w:pPr>
              <w:pStyle w:val="TableParagraph"/>
              <w:spacing w:before="7"/>
              <w:rPr>
                <w:b/>
                <w:sz w:val="38"/>
              </w:rPr>
            </w:pPr>
          </w:p>
          <w:p>
            <w:pPr>
              <w:pStyle w:val="TableParagraph"/>
              <w:tabs>
                <w:tab w:pos="344" w:val="left" w:leader="none"/>
              </w:tabs>
              <w:ind w:left="-1846"/>
              <w:rPr>
                <w:b/>
                <w:sz w:val="20"/>
              </w:rPr>
            </w:pPr>
            <w:r>
              <w:rPr>
                <w:b/>
                <w:w w:val="100"/>
                <w:position w:val="-11"/>
                <w:sz w:val="20"/>
                <w:u w:val="single"/>
              </w:rPr>
              <w:t> </w:t>
            </w:r>
            <w:r>
              <w:rPr>
                <w:b/>
                <w:position w:val="-11"/>
                <w:sz w:val="20"/>
                <w:u w:val="single"/>
              </w:rPr>
              <w:t>                                    </w:t>
            </w:r>
            <w:r>
              <w:rPr>
                <w:b/>
                <w:spacing w:val="19"/>
                <w:position w:val="-11"/>
                <w:sz w:val="20"/>
                <w:u w:val="single"/>
              </w:rPr>
              <w:t> </w:t>
            </w:r>
            <w:r>
              <w:rPr>
                <w:b/>
                <w:position w:val="-11"/>
                <w:sz w:val="20"/>
              </w:rPr>
              <w:tab/>
            </w:r>
            <w:r>
              <w:rPr>
                <w:b/>
                <w:sz w:val="20"/>
              </w:rPr>
              <w:t>DOP</w:t>
            </w:r>
          </w:p>
          <w:p>
            <w:pPr>
              <w:pStyle w:val="TableParagraph"/>
              <w:spacing w:line="185" w:lineRule="exact" w:before="19"/>
              <w:ind w:left="405"/>
              <w:rPr>
                <w:b/>
                <w:sz w:val="20"/>
              </w:rPr>
            </w:pPr>
            <w:r>
              <w:rPr>
                <w:b/>
                <w:sz w:val="20"/>
              </w:rPr>
              <w:t>(in)</w:t>
            </w:r>
          </w:p>
        </w:tc>
      </w:tr>
      <w:tr>
        <w:trPr>
          <w:trHeight w:val="334" w:hRule="atLeast"/>
        </w:trPr>
        <w:tc>
          <w:tcPr>
            <w:tcW w:w="1397" w:type="dxa"/>
          </w:tcPr>
          <w:p>
            <w:pPr>
              <w:pStyle w:val="TableParagraph"/>
              <w:spacing w:before="5"/>
              <w:ind w:left="502" w:right="46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Shot</w:t>
            </w:r>
          </w:p>
        </w:tc>
        <w:tc>
          <w:tcPr>
            <w:tcW w:w="1057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5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187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057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900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0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76" w:hRule="atLeast"/>
        </w:trPr>
        <w:tc>
          <w:tcPr>
            <w:tcW w:w="1397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057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10" w:lineRule="exact"/>
              <w:ind w:left="201" w:right="224"/>
              <w:jc w:val="center"/>
              <w:rPr>
                <w:b/>
                <w:sz w:val="13"/>
              </w:rPr>
            </w:pPr>
            <w:r>
              <w:rPr>
                <w:b/>
                <w:position w:val="1"/>
                <w:sz w:val="20"/>
              </w:rPr>
              <w:t>v</w:t>
            </w:r>
            <w:r>
              <w:rPr>
                <w:b/>
                <w:sz w:val="13"/>
              </w:rPr>
              <w:t>s</w:t>
            </w:r>
          </w:p>
          <w:p>
            <w:pPr>
              <w:pStyle w:val="TableParagraph"/>
              <w:spacing w:line="228" w:lineRule="exact" w:before="19"/>
              <w:ind w:left="202" w:right="22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(fps)</w:t>
            </w:r>
          </w:p>
        </w:tc>
        <w:tc>
          <w:tcPr>
            <w:tcW w:w="118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10" w:lineRule="exact"/>
              <w:ind w:left="284" w:right="429"/>
              <w:jc w:val="center"/>
              <w:rPr>
                <w:b/>
                <w:sz w:val="13"/>
              </w:rPr>
            </w:pPr>
            <w:r>
              <w:rPr>
                <w:b/>
                <w:position w:val="1"/>
                <w:sz w:val="20"/>
              </w:rPr>
              <w:t>v</w:t>
            </w:r>
            <w:r>
              <w:rPr>
                <w:b/>
                <w:sz w:val="13"/>
              </w:rPr>
              <w:t>s</w:t>
            </w:r>
          </w:p>
          <w:p>
            <w:pPr>
              <w:pStyle w:val="TableParagraph"/>
              <w:spacing w:line="228" w:lineRule="exact" w:before="19"/>
              <w:ind w:left="284" w:right="42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(m/s)</w:t>
            </w:r>
          </w:p>
        </w:tc>
        <w:tc>
          <w:tcPr>
            <w:tcW w:w="105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10" w:lineRule="exact"/>
              <w:ind w:left="377" w:right="249"/>
              <w:jc w:val="center"/>
              <w:rPr>
                <w:b/>
                <w:sz w:val="13"/>
              </w:rPr>
            </w:pPr>
            <w:r>
              <w:rPr>
                <w:b/>
                <w:position w:val="1"/>
                <w:sz w:val="20"/>
              </w:rPr>
              <w:t>v</w:t>
            </w:r>
            <w:r>
              <w:rPr>
                <w:b/>
                <w:sz w:val="13"/>
              </w:rPr>
              <w:t>r</w:t>
            </w:r>
          </w:p>
          <w:p>
            <w:pPr>
              <w:pStyle w:val="TableParagraph"/>
              <w:spacing w:line="228" w:lineRule="exact" w:before="19"/>
              <w:ind w:left="378" w:right="24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(fps)</w:t>
            </w:r>
          </w:p>
        </w:tc>
        <w:tc>
          <w:tcPr>
            <w:tcW w:w="90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10" w:lineRule="exact"/>
              <w:ind w:left="155" w:right="64"/>
              <w:jc w:val="center"/>
              <w:rPr>
                <w:b/>
                <w:sz w:val="13"/>
              </w:rPr>
            </w:pPr>
            <w:r>
              <w:rPr>
                <w:b/>
                <w:position w:val="1"/>
                <w:sz w:val="20"/>
              </w:rPr>
              <w:t>v</w:t>
            </w:r>
            <w:r>
              <w:rPr>
                <w:b/>
                <w:sz w:val="13"/>
              </w:rPr>
              <w:t>r</w:t>
            </w:r>
          </w:p>
          <w:p>
            <w:pPr>
              <w:pStyle w:val="TableParagraph"/>
              <w:spacing w:line="228" w:lineRule="exact" w:before="19"/>
              <w:ind w:left="155" w:right="6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(m/s)</w:t>
            </w:r>
          </w:p>
        </w:tc>
        <w:tc>
          <w:tcPr>
            <w:tcW w:w="1026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318" w:hRule="atLeast"/>
        </w:trPr>
        <w:tc>
          <w:tcPr>
            <w:tcW w:w="1397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49"/>
              <w:ind w:left="8"/>
              <w:rPr>
                <w:sz w:val="20"/>
              </w:rPr>
            </w:pPr>
            <w:r>
              <w:rPr>
                <w:sz w:val="20"/>
              </w:rPr>
              <w:t>E-MS-1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1</w:t>
            </w:r>
          </w:p>
        </w:tc>
        <w:tc>
          <w:tcPr>
            <w:tcW w:w="1057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49"/>
              <w:ind w:left="286"/>
              <w:rPr>
                <w:sz w:val="20"/>
              </w:rPr>
            </w:pPr>
            <w:r>
              <w:rPr>
                <w:sz w:val="20"/>
              </w:rPr>
              <w:t>104.0</w:t>
            </w:r>
          </w:p>
        </w:tc>
        <w:tc>
          <w:tcPr>
            <w:tcW w:w="855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49"/>
              <w:ind w:left="214"/>
              <w:rPr>
                <w:sz w:val="20"/>
              </w:rPr>
            </w:pPr>
            <w:r>
              <w:rPr>
                <w:sz w:val="20"/>
              </w:rPr>
              <w:t>2556</w:t>
            </w:r>
          </w:p>
        </w:tc>
        <w:tc>
          <w:tcPr>
            <w:tcW w:w="1187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49"/>
              <w:ind w:left="245"/>
              <w:rPr>
                <w:sz w:val="20"/>
              </w:rPr>
            </w:pPr>
            <w:r>
              <w:rPr>
                <w:sz w:val="20"/>
              </w:rPr>
              <w:t>779.03</w:t>
            </w:r>
          </w:p>
        </w:tc>
        <w:tc>
          <w:tcPr>
            <w:tcW w:w="1057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49"/>
              <w:ind w:right="395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900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49"/>
              <w:ind w:right="335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1026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49"/>
              <w:ind w:left="260" w:right="175"/>
              <w:jc w:val="center"/>
              <w:rPr>
                <w:sz w:val="20"/>
              </w:rPr>
            </w:pPr>
            <w:r>
              <w:rPr>
                <w:sz w:val="20"/>
              </w:rPr>
              <w:t>2.6875</w:t>
            </w:r>
          </w:p>
        </w:tc>
      </w:tr>
      <w:tr>
        <w:trPr>
          <w:trHeight w:val="300" w:hRule="atLeast"/>
        </w:trPr>
        <w:tc>
          <w:tcPr>
            <w:tcW w:w="1397" w:type="dxa"/>
          </w:tcPr>
          <w:p>
            <w:pPr>
              <w:pStyle w:val="TableParagraph"/>
              <w:spacing w:before="31"/>
              <w:ind w:left="8"/>
              <w:rPr>
                <w:sz w:val="20"/>
              </w:rPr>
            </w:pPr>
            <w:r>
              <w:rPr>
                <w:sz w:val="20"/>
              </w:rPr>
              <w:t>E-MS-1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2</w:t>
            </w:r>
          </w:p>
        </w:tc>
        <w:tc>
          <w:tcPr>
            <w:tcW w:w="1057" w:type="dxa"/>
          </w:tcPr>
          <w:p>
            <w:pPr>
              <w:pStyle w:val="TableParagraph"/>
              <w:spacing w:before="31"/>
              <w:ind w:left="286"/>
              <w:rPr>
                <w:sz w:val="20"/>
              </w:rPr>
            </w:pPr>
            <w:r>
              <w:rPr>
                <w:sz w:val="20"/>
              </w:rPr>
              <w:t>104.0</w:t>
            </w:r>
          </w:p>
        </w:tc>
        <w:tc>
          <w:tcPr>
            <w:tcW w:w="855" w:type="dxa"/>
          </w:tcPr>
          <w:p>
            <w:pPr>
              <w:pStyle w:val="TableParagraph"/>
              <w:spacing w:before="31"/>
              <w:ind w:left="214"/>
              <w:rPr>
                <w:sz w:val="20"/>
              </w:rPr>
            </w:pPr>
            <w:r>
              <w:rPr>
                <w:sz w:val="20"/>
              </w:rPr>
              <w:t>2649</w:t>
            </w:r>
          </w:p>
        </w:tc>
        <w:tc>
          <w:tcPr>
            <w:tcW w:w="1187" w:type="dxa"/>
          </w:tcPr>
          <w:p>
            <w:pPr>
              <w:pStyle w:val="TableParagraph"/>
              <w:spacing w:before="31"/>
              <w:ind w:left="245"/>
              <w:rPr>
                <w:sz w:val="20"/>
              </w:rPr>
            </w:pPr>
            <w:r>
              <w:rPr>
                <w:sz w:val="20"/>
              </w:rPr>
              <w:t>807.38</w:t>
            </w:r>
          </w:p>
        </w:tc>
        <w:tc>
          <w:tcPr>
            <w:tcW w:w="1057" w:type="dxa"/>
          </w:tcPr>
          <w:p>
            <w:pPr>
              <w:pStyle w:val="TableParagraph"/>
              <w:spacing w:before="31"/>
              <w:ind w:right="395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900" w:type="dxa"/>
          </w:tcPr>
          <w:p>
            <w:pPr>
              <w:pStyle w:val="TableParagraph"/>
              <w:spacing w:before="31"/>
              <w:ind w:right="335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1026" w:type="dxa"/>
          </w:tcPr>
          <w:p>
            <w:pPr>
              <w:pStyle w:val="TableParagraph"/>
              <w:spacing w:before="31"/>
              <w:ind w:left="260" w:right="175"/>
              <w:jc w:val="center"/>
              <w:rPr>
                <w:sz w:val="20"/>
              </w:rPr>
            </w:pPr>
            <w:r>
              <w:rPr>
                <w:sz w:val="20"/>
              </w:rPr>
              <w:t>2.7500</w:t>
            </w:r>
          </w:p>
        </w:tc>
      </w:tr>
      <w:tr>
        <w:trPr>
          <w:trHeight w:val="300" w:hRule="atLeast"/>
        </w:trPr>
        <w:tc>
          <w:tcPr>
            <w:tcW w:w="1397" w:type="dxa"/>
          </w:tcPr>
          <w:p>
            <w:pPr>
              <w:pStyle w:val="TableParagraph"/>
              <w:spacing w:before="31"/>
              <w:ind w:left="8"/>
              <w:rPr>
                <w:sz w:val="20"/>
              </w:rPr>
            </w:pPr>
            <w:r>
              <w:rPr>
                <w:sz w:val="20"/>
              </w:rPr>
              <w:t>E-MS-1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3</w:t>
            </w:r>
          </w:p>
        </w:tc>
        <w:tc>
          <w:tcPr>
            <w:tcW w:w="1057" w:type="dxa"/>
          </w:tcPr>
          <w:p>
            <w:pPr>
              <w:pStyle w:val="TableParagraph"/>
              <w:spacing w:before="31"/>
              <w:ind w:left="286"/>
              <w:rPr>
                <w:sz w:val="20"/>
              </w:rPr>
            </w:pPr>
            <w:r>
              <w:rPr>
                <w:sz w:val="20"/>
              </w:rPr>
              <w:t>103.5</w:t>
            </w:r>
          </w:p>
        </w:tc>
        <w:tc>
          <w:tcPr>
            <w:tcW w:w="855" w:type="dxa"/>
          </w:tcPr>
          <w:p>
            <w:pPr>
              <w:pStyle w:val="TableParagraph"/>
              <w:spacing w:before="31"/>
              <w:ind w:left="214"/>
              <w:rPr>
                <w:sz w:val="20"/>
              </w:rPr>
            </w:pPr>
            <w:r>
              <w:rPr>
                <w:sz w:val="20"/>
              </w:rPr>
              <w:t>2470</w:t>
            </w:r>
          </w:p>
        </w:tc>
        <w:tc>
          <w:tcPr>
            <w:tcW w:w="1187" w:type="dxa"/>
          </w:tcPr>
          <w:p>
            <w:pPr>
              <w:pStyle w:val="TableParagraph"/>
              <w:spacing w:before="31"/>
              <w:ind w:left="245"/>
              <w:rPr>
                <w:sz w:val="20"/>
              </w:rPr>
            </w:pPr>
            <w:r>
              <w:rPr>
                <w:sz w:val="20"/>
              </w:rPr>
              <w:t>752.82</w:t>
            </w:r>
          </w:p>
        </w:tc>
        <w:tc>
          <w:tcPr>
            <w:tcW w:w="1057" w:type="dxa"/>
          </w:tcPr>
          <w:p>
            <w:pPr>
              <w:pStyle w:val="TableParagraph"/>
              <w:spacing w:before="31"/>
              <w:ind w:right="395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900" w:type="dxa"/>
          </w:tcPr>
          <w:p>
            <w:pPr>
              <w:pStyle w:val="TableParagraph"/>
              <w:spacing w:before="31"/>
              <w:ind w:right="335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1026" w:type="dxa"/>
          </w:tcPr>
          <w:p>
            <w:pPr>
              <w:pStyle w:val="TableParagraph"/>
              <w:spacing w:before="31"/>
              <w:ind w:left="260" w:right="175"/>
              <w:jc w:val="center"/>
              <w:rPr>
                <w:sz w:val="20"/>
              </w:rPr>
            </w:pPr>
            <w:r>
              <w:rPr>
                <w:sz w:val="20"/>
              </w:rPr>
              <w:t>2.6250</w:t>
            </w:r>
          </w:p>
        </w:tc>
      </w:tr>
      <w:tr>
        <w:trPr>
          <w:trHeight w:val="300" w:hRule="atLeast"/>
        </w:trPr>
        <w:tc>
          <w:tcPr>
            <w:tcW w:w="1397" w:type="dxa"/>
          </w:tcPr>
          <w:p>
            <w:pPr>
              <w:pStyle w:val="TableParagraph"/>
              <w:spacing w:before="31"/>
              <w:ind w:left="8"/>
              <w:rPr>
                <w:sz w:val="20"/>
              </w:rPr>
            </w:pPr>
            <w:r>
              <w:rPr>
                <w:sz w:val="20"/>
              </w:rPr>
              <w:t>E-MS-1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4</w:t>
            </w:r>
          </w:p>
        </w:tc>
        <w:tc>
          <w:tcPr>
            <w:tcW w:w="1057" w:type="dxa"/>
          </w:tcPr>
          <w:p>
            <w:pPr>
              <w:pStyle w:val="TableParagraph"/>
              <w:spacing w:before="31"/>
              <w:ind w:left="286"/>
              <w:rPr>
                <w:sz w:val="20"/>
              </w:rPr>
            </w:pPr>
            <w:r>
              <w:rPr>
                <w:sz w:val="20"/>
              </w:rPr>
              <w:t>103.7</w:t>
            </w:r>
          </w:p>
        </w:tc>
        <w:tc>
          <w:tcPr>
            <w:tcW w:w="855" w:type="dxa"/>
          </w:tcPr>
          <w:p>
            <w:pPr>
              <w:pStyle w:val="TableParagraph"/>
              <w:spacing w:before="31"/>
              <w:ind w:left="214"/>
              <w:rPr>
                <w:sz w:val="20"/>
              </w:rPr>
            </w:pPr>
            <w:r>
              <w:rPr>
                <w:sz w:val="20"/>
              </w:rPr>
              <w:t>2515</w:t>
            </w:r>
          </w:p>
        </w:tc>
        <w:tc>
          <w:tcPr>
            <w:tcW w:w="1187" w:type="dxa"/>
          </w:tcPr>
          <w:p>
            <w:pPr>
              <w:pStyle w:val="TableParagraph"/>
              <w:spacing w:before="31"/>
              <w:ind w:left="245"/>
              <w:rPr>
                <w:sz w:val="20"/>
              </w:rPr>
            </w:pPr>
            <w:r>
              <w:rPr>
                <w:sz w:val="20"/>
              </w:rPr>
              <w:t>766.53</w:t>
            </w:r>
          </w:p>
        </w:tc>
        <w:tc>
          <w:tcPr>
            <w:tcW w:w="1057" w:type="dxa"/>
          </w:tcPr>
          <w:p>
            <w:pPr>
              <w:pStyle w:val="TableParagraph"/>
              <w:spacing w:before="31"/>
              <w:ind w:right="395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900" w:type="dxa"/>
          </w:tcPr>
          <w:p>
            <w:pPr>
              <w:pStyle w:val="TableParagraph"/>
              <w:spacing w:before="31"/>
              <w:ind w:right="335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1026" w:type="dxa"/>
          </w:tcPr>
          <w:p>
            <w:pPr>
              <w:pStyle w:val="TableParagraph"/>
              <w:spacing w:before="31"/>
              <w:ind w:left="260" w:right="175"/>
              <w:jc w:val="center"/>
              <w:rPr>
                <w:sz w:val="20"/>
              </w:rPr>
            </w:pPr>
            <w:r>
              <w:rPr>
                <w:sz w:val="20"/>
              </w:rPr>
              <w:t>2.7500</w:t>
            </w:r>
          </w:p>
        </w:tc>
      </w:tr>
      <w:tr>
        <w:trPr>
          <w:trHeight w:val="281" w:hRule="atLeast"/>
        </w:trPr>
        <w:tc>
          <w:tcPr>
            <w:tcW w:w="139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1"/>
              <w:ind w:left="8"/>
              <w:rPr>
                <w:sz w:val="20"/>
              </w:rPr>
            </w:pPr>
            <w:r>
              <w:rPr>
                <w:sz w:val="20"/>
              </w:rPr>
              <w:t>E-MS-1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5</w:t>
            </w:r>
          </w:p>
        </w:tc>
        <w:tc>
          <w:tcPr>
            <w:tcW w:w="105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1"/>
              <w:ind w:left="286"/>
              <w:rPr>
                <w:sz w:val="20"/>
              </w:rPr>
            </w:pPr>
            <w:r>
              <w:rPr>
                <w:sz w:val="20"/>
              </w:rPr>
              <w:t>103.7</w:t>
            </w:r>
          </w:p>
        </w:tc>
        <w:tc>
          <w:tcPr>
            <w:tcW w:w="85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1"/>
              <w:ind w:left="214"/>
              <w:rPr>
                <w:sz w:val="20"/>
              </w:rPr>
            </w:pPr>
            <w:r>
              <w:rPr>
                <w:sz w:val="20"/>
              </w:rPr>
              <w:t>2548</w:t>
            </w:r>
          </w:p>
        </w:tc>
        <w:tc>
          <w:tcPr>
            <w:tcW w:w="118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1"/>
              <w:ind w:left="245"/>
              <w:rPr>
                <w:sz w:val="20"/>
              </w:rPr>
            </w:pPr>
            <w:r>
              <w:rPr>
                <w:sz w:val="20"/>
              </w:rPr>
              <w:t>776.59</w:t>
            </w:r>
          </w:p>
        </w:tc>
        <w:tc>
          <w:tcPr>
            <w:tcW w:w="105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1"/>
              <w:ind w:right="395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90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1"/>
              <w:ind w:right="335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102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1"/>
              <w:ind w:left="260" w:right="175"/>
              <w:jc w:val="center"/>
              <w:rPr>
                <w:sz w:val="20"/>
              </w:rPr>
            </w:pPr>
            <w:r>
              <w:rPr>
                <w:sz w:val="20"/>
              </w:rPr>
              <w:t>2.6875</w:t>
            </w:r>
          </w:p>
        </w:tc>
      </w:tr>
      <w:tr>
        <w:trPr>
          <w:trHeight w:val="318" w:hRule="atLeast"/>
        </w:trPr>
        <w:tc>
          <w:tcPr>
            <w:tcW w:w="1397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49"/>
              <w:ind w:left="8"/>
              <w:rPr>
                <w:sz w:val="20"/>
              </w:rPr>
            </w:pPr>
            <w:r>
              <w:rPr>
                <w:sz w:val="20"/>
              </w:rPr>
              <w:t>E-MS-2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1</w:t>
            </w:r>
          </w:p>
        </w:tc>
        <w:tc>
          <w:tcPr>
            <w:tcW w:w="1057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49"/>
              <w:ind w:left="286"/>
              <w:rPr>
                <w:sz w:val="20"/>
              </w:rPr>
            </w:pPr>
            <w:r>
              <w:rPr>
                <w:sz w:val="20"/>
              </w:rPr>
              <w:t>103.7</w:t>
            </w:r>
          </w:p>
        </w:tc>
        <w:tc>
          <w:tcPr>
            <w:tcW w:w="855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49"/>
              <w:ind w:left="214"/>
              <w:rPr>
                <w:sz w:val="20"/>
              </w:rPr>
            </w:pPr>
            <w:r>
              <w:rPr>
                <w:sz w:val="20"/>
              </w:rPr>
              <w:t>2554</w:t>
            </w:r>
          </w:p>
        </w:tc>
        <w:tc>
          <w:tcPr>
            <w:tcW w:w="1187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49"/>
              <w:ind w:left="245"/>
              <w:rPr>
                <w:sz w:val="20"/>
              </w:rPr>
            </w:pPr>
            <w:r>
              <w:rPr>
                <w:sz w:val="20"/>
              </w:rPr>
              <w:t>778.42</w:t>
            </w:r>
          </w:p>
        </w:tc>
        <w:tc>
          <w:tcPr>
            <w:tcW w:w="1057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49"/>
              <w:ind w:right="395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900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49"/>
              <w:ind w:right="335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1026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49"/>
              <w:ind w:left="260" w:right="175"/>
              <w:jc w:val="center"/>
              <w:rPr>
                <w:sz w:val="20"/>
              </w:rPr>
            </w:pPr>
            <w:r>
              <w:rPr>
                <w:sz w:val="20"/>
              </w:rPr>
              <w:t>2.6875</w:t>
            </w:r>
          </w:p>
        </w:tc>
      </w:tr>
      <w:tr>
        <w:trPr>
          <w:trHeight w:val="300" w:hRule="atLeast"/>
        </w:trPr>
        <w:tc>
          <w:tcPr>
            <w:tcW w:w="1397" w:type="dxa"/>
          </w:tcPr>
          <w:p>
            <w:pPr>
              <w:pStyle w:val="TableParagraph"/>
              <w:spacing w:before="31"/>
              <w:ind w:left="8"/>
              <w:rPr>
                <w:sz w:val="20"/>
              </w:rPr>
            </w:pPr>
            <w:r>
              <w:rPr>
                <w:sz w:val="20"/>
              </w:rPr>
              <w:t>E-MS-2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2</w:t>
            </w:r>
          </w:p>
        </w:tc>
        <w:tc>
          <w:tcPr>
            <w:tcW w:w="1057" w:type="dxa"/>
          </w:tcPr>
          <w:p>
            <w:pPr>
              <w:pStyle w:val="TableParagraph"/>
              <w:spacing w:before="31"/>
              <w:ind w:left="286"/>
              <w:rPr>
                <w:sz w:val="20"/>
              </w:rPr>
            </w:pPr>
            <w:r>
              <w:rPr>
                <w:sz w:val="20"/>
              </w:rPr>
              <w:t>103.7</w:t>
            </w:r>
          </w:p>
        </w:tc>
        <w:tc>
          <w:tcPr>
            <w:tcW w:w="855" w:type="dxa"/>
          </w:tcPr>
          <w:p>
            <w:pPr>
              <w:pStyle w:val="TableParagraph"/>
              <w:spacing w:before="31"/>
              <w:ind w:left="248"/>
              <w:rPr>
                <w:sz w:val="20"/>
              </w:rPr>
            </w:pPr>
            <w:r>
              <w:rPr>
                <w:sz w:val="20"/>
              </w:rPr>
              <w:t>N/R</w:t>
            </w:r>
          </w:p>
        </w:tc>
        <w:tc>
          <w:tcPr>
            <w:tcW w:w="1187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057" w:type="dxa"/>
          </w:tcPr>
          <w:p>
            <w:pPr>
              <w:pStyle w:val="TableParagraph"/>
              <w:spacing w:before="31"/>
              <w:ind w:right="395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900" w:type="dxa"/>
          </w:tcPr>
          <w:p>
            <w:pPr>
              <w:pStyle w:val="TableParagraph"/>
              <w:spacing w:before="31"/>
              <w:ind w:right="335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1026" w:type="dxa"/>
          </w:tcPr>
          <w:p>
            <w:pPr>
              <w:pStyle w:val="TableParagraph"/>
              <w:spacing w:before="31"/>
              <w:ind w:left="260" w:right="175"/>
              <w:jc w:val="center"/>
              <w:rPr>
                <w:sz w:val="20"/>
              </w:rPr>
            </w:pPr>
            <w:r>
              <w:rPr>
                <w:sz w:val="20"/>
              </w:rPr>
              <w:t>2.8125</w:t>
            </w:r>
          </w:p>
        </w:tc>
      </w:tr>
      <w:tr>
        <w:trPr>
          <w:trHeight w:val="300" w:hRule="atLeast"/>
        </w:trPr>
        <w:tc>
          <w:tcPr>
            <w:tcW w:w="1397" w:type="dxa"/>
          </w:tcPr>
          <w:p>
            <w:pPr>
              <w:pStyle w:val="TableParagraph"/>
              <w:spacing w:before="31"/>
              <w:ind w:left="8"/>
              <w:rPr>
                <w:sz w:val="20"/>
              </w:rPr>
            </w:pPr>
            <w:r>
              <w:rPr>
                <w:sz w:val="20"/>
              </w:rPr>
              <w:t>E-MS-2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3</w:t>
            </w:r>
          </w:p>
        </w:tc>
        <w:tc>
          <w:tcPr>
            <w:tcW w:w="1057" w:type="dxa"/>
          </w:tcPr>
          <w:p>
            <w:pPr>
              <w:pStyle w:val="TableParagraph"/>
              <w:spacing w:before="31"/>
              <w:ind w:left="286"/>
              <w:rPr>
                <w:sz w:val="20"/>
              </w:rPr>
            </w:pPr>
            <w:r>
              <w:rPr>
                <w:sz w:val="20"/>
              </w:rPr>
              <w:t>103.7</w:t>
            </w:r>
          </w:p>
        </w:tc>
        <w:tc>
          <w:tcPr>
            <w:tcW w:w="855" w:type="dxa"/>
          </w:tcPr>
          <w:p>
            <w:pPr>
              <w:pStyle w:val="TableParagraph"/>
              <w:spacing w:before="31"/>
              <w:ind w:left="214"/>
              <w:rPr>
                <w:sz w:val="20"/>
              </w:rPr>
            </w:pPr>
            <w:r>
              <w:rPr>
                <w:sz w:val="20"/>
              </w:rPr>
              <w:t>2637</w:t>
            </w:r>
          </w:p>
        </w:tc>
        <w:tc>
          <w:tcPr>
            <w:tcW w:w="1187" w:type="dxa"/>
          </w:tcPr>
          <w:p>
            <w:pPr>
              <w:pStyle w:val="TableParagraph"/>
              <w:spacing w:before="31"/>
              <w:ind w:left="245"/>
              <w:rPr>
                <w:sz w:val="20"/>
              </w:rPr>
            </w:pPr>
            <w:r>
              <w:rPr>
                <w:sz w:val="20"/>
              </w:rPr>
              <w:t>803.72</w:t>
            </w:r>
          </w:p>
        </w:tc>
        <w:tc>
          <w:tcPr>
            <w:tcW w:w="1057" w:type="dxa"/>
          </w:tcPr>
          <w:p>
            <w:pPr>
              <w:pStyle w:val="TableParagraph"/>
              <w:spacing w:before="31"/>
              <w:ind w:right="395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900" w:type="dxa"/>
          </w:tcPr>
          <w:p>
            <w:pPr>
              <w:pStyle w:val="TableParagraph"/>
              <w:spacing w:before="31"/>
              <w:ind w:right="335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1026" w:type="dxa"/>
          </w:tcPr>
          <w:p>
            <w:pPr>
              <w:pStyle w:val="TableParagraph"/>
              <w:spacing w:before="31"/>
              <w:ind w:left="260" w:right="175"/>
              <w:jc w:val="center"/>
              <w:rPr>
                <w:sz w:val="20"/>
              </w:rPr>
            </w:pPr>
            <w:r>
              <w:rPr>
                <w:sz w:val="20"/>
              </w:rPr>
              <w:t>2.9375</w:t>
            </w:r>
          </w:p>
        </w:tc>
      </w:tr>
      <w:tr>
        <w:trPr>
          <w:trHeight w:val="300" w:hRule="atLeast"/>
        </w:trPr>
        <w:tc>
          <w:tcPr>
            <w:tcW w:w="1397" w:type="dxa"/>
          </w:tcPr>
          <w:p>
            <w:pPr>
              <w:pStyle w:val="TableParagraph"/>
              <w:spacing w:before="31"/>
              <w:ind w:left="8"/>
              <w:rPr>
                <w:sz w:val="20"/>
              </w:rPr>
            </w:pPr>
            <w:r>
              <w:rPr>
                <w:sz w:val="20"/>
              </w:rPr>
              <w:t>E-MS-2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4</w:t>
            </w:r>
          </w:p>
        </w:tc>
        <w:tc>
          <w:tcPr>
            <w:tcW w:w="1057" w:type="dxa"/>
          </w:tcPr>
          <w:p>
            <w:pPr>
              <w:pStyle w:val="TableParagraph"/>
              <w:spacing w:before="31"/>
              <w:ind w:left="286"/>
              <w:rPr>
                <w:sz w:val="20"/>
              </w:rPr>
            </w:pPr>
            <w:r>
              <w:rPr>
                <w:sz w:val="20"/>
              </w:rPr>
              <w:t>103.7</w:t>
            </w:r>
          </w:p>
        </w:tc>
        <w:tc>
          <w:tcPr>
            <w:tcW w:w="855" w:type="dxa"/>
          </w:tcPr>
          <w:p>
            <w:pPr>
              <w:pStyle w:val="TableParagraph"/>
              <w:spacing w:before="31"/>
              <w:ind w:left="214"/>
              <w:rPr>
                <w:sz w:val="20"/>
              </w:rPr>
            </w:pPr>
            <w:r>
              <w:rPr>
                <w:sz w:val="20"/>
              </w:rPr>
              <w:t>2675</w:t>
            </w:r>
          </w:p>
        </w:tc>
        <w:tc>
          <w:tcPr>
            <w:tcW w:w="1187" w:type="dxa"/>
          </w:tcPr>
          <w:p>
            <w:pPr>
              <w:pStyle w:val="TableParagraph"/>
              <w:spacing w:before="31"/>
              <w:ind w:left="245"/>
              <w:rPr>
                <w:sz w:val="20"/>
              </w:rPr>
            </w:pPr>
            <w:r>
              <w:rPr>
                <w:sz w:val="20"/>
              </w:rPr>
              <w:t>815.30</w:t>
            </w:r>
          </w:p>
        </w:tc>
        <w:tc>
          <w:tcPr>
            <w:tcW w:w="1057" w:type="dxa"/>
          </w:tcPr>
          <w:p>
            <w:pPr>
              <w:pStyle w:val="TableParagraph"/>
              <w:spacing w:before="31"/>
              <w:ind w:right="395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900" w:type="dxa"/>
          </w:tcPr>
          <w:p>
            <w:pPr>
              <w:pStyle w:val="TableParagraph"/>
              <w:spacing w:before="31"/>
              <w:ind w:right="335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1026" w:type="dxa"/>
          </w:tcPr>
          <w:p>
            <w:pPr>
              <w:pStyle w:val="TableParagraph"/>
              <w:spacing w:before="31"/>
              <w:ind w:left="260" w:right="175"/>
              <w:jc w:val="center"/>
              <w:rPr>
                <w:sz w:val="20"/>
              </w:rPr>
            </w:pPr>
            <w:r>
              <w:rPr>
                <w:sz w:val="20"/>
              </w:rPr>
              <w:t>2.9375</w:t>
            </w:r>
          </w:p>
        </w:tc>
      </w:tr>
      <w:tr>
        <w:trPr>
          <w:trHeight w:val="282" w:hRule="atLeast"/>
        </w:trPr>
        <w:tc>
          <w:tcPr>
            <w:tcW w:w="139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1"/>
              <w:ind w:left="8"/>
              <w:rPr>
                <w:sz w:val="20"/>
              </w:rPr>
            </w:pPr>
            <w:r>
              <w:rPr>
                <w:sz w:val="20"/>
              </w:rPr>
              <w:t>E-MS-2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Shot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5</w:t>
            </w:r>
          </w:p>
        </w:tc>
        <w:tc>
          <w:tcPr>
            <w:tcW w:w="105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1"/>
              <w:ind w:left="286"/>
              <w:rPr>
                <w:sz w:val="20"/>
              </w:rPr>
            </w:pPr>
            <w:r>
              <w:rPr>
                <w:sz w:val="20"/>
              </w:rPr>
              <w:t>103.0</w:t>
            </w:r>
          </w:p>
        </w:tc>
        <w:tc>
          <w:tcPr>
            <w:tcW w:w="85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1"/>
              <w:ind w:left="214"/>
              <w:rPr>
                <w:sz w:val="20"/>
              </w:rPr>
            </w:pPr>
            <w:r>
              <w:rPr>
                <w:sz w:val="20"/>
              </w:rPr>
              <w:t>2661</w:t>
            </w:r>
          </w:p>
        </w:tc>
        <w:tc>
          <w:tcPr>
            <w:tcW w:w="118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1"/>
              <w:ind w:left="245"/>
              <w:rPr>
                <w:sz w:val="20"/>
              </w:rPr>
            </w:pPr>
            <w:r>
              <w:rPr>
                <w:sz w:val="20"/>
              </w:rPr>
              <w:t>811.03</w:t>
            </w:r>
          </w:p>
        </w:tc>
        <w:tc>
          <w:tcPr>
            <w:tcW w:w="105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1"/>
              <w:ind w:right="395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90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1"/>
              <w:ind w:right="335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102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1"/>
              <w:ind w:left="260" w:right="175"/>
              <w:jc w:val="center"/>
              <w:rPr>
                <w:sz w:val="20"/>
              </w:rPr>
            </w:pPr>
            <w:r>
              <w:rPr>
                <w:sz w:val="20"/>
              </w:rPr>
              <w:t>3.0000</w:t>
            </w:r>
          </w:p>
        </w:tc>
      </w:tr>
    </w:tbl>
    <w:p>
      <w:pPr>
        <w:spacing w:before="28"/>
        <w:ind w:left="1967" w:right="762" w:firstLine="0"/>
        <w:jc w:val="center"/>
        <w:rPr>
          <w:sz w:val="18"/>
        </w:rPr>
      </w:pPr>
      <w:r>
        <w:rPr>
          <w:sz w:val="18"/>
        </w:rPr>
        <w:t>Note:</w:t>
      </w:r>
      <w:r>
        <w:rPr>
          <w:spacing w:val="-2"/>
          <w:sz w:val="18"/>
        </w:rPr>
        <w:t> </w:t>
      </w:r>
      <w:r>
        <w:rPr>
          <w:sz w:val="18"/>
        </w:rPr>
        <w:t>N/R</w:t>
      </w:r>
      <w:r>
        <w:rPr>
          <w:spacing w:val="-1"/>
          <w:sz w:val="18"/>
        </w:rPr>
        <w:t> </w:t>
      </w:r>
      <w:r>
        <w:rPr>
          <w:sz w:val="18"/>
        </w:rPr>
        <w:t>represents</w:t>
      </w:r>
      <w:r>
        <w:rPr>
          <w:spacing w:val="-1"/>
          <w:sz w:val="18"/>
        </w:rPr>
        <w:t> </w:t>
      </w:r>
      <w:r>
        <w:rPr>
          <w:sz w:val="18"/>
        </w:rPr>
        <w:t>data</w:t>
      </w:r>
      <w:r>
        <w:rPr>
          <w:spacing w:val="-2"/>
          <w:sz w:val="18"/>
        </w:rPr>
        <w:t> </w:t>
      </w:r>
      <w:r>
        <w:rPr>
          <w:sz w:val="18"/>
        </w:rPr>
        <w:t>that</w:t>
      </w:r>
      <w:r>
        <w:rPr>
          <w:spacing w:val="-2"/>
          <w:sz w:val="18"/>
        </w:rPr>
        <w:t> </w:t>
      </w:r>
      <w:r>
        <w:rPr>
          <w:sz w:val="18"/>
        </w:rPr>
        <w:t>could</w:t>
      </w:r>
      <w:r>
        <w:rPr>
          <w:spacing w:val="-1"/>
          <w:sz w:val="18"/>
        </w:rPr>
        <w:t> </w:t>
      </w:r>
      <w:r>
        <w:rPr>
          <w:sz w:val="18"/>
        </w:rPr>
        <w:t>not</w:t>
      </w:r>
      <w:r>
        <w:rPr>
          <w:spacing w:val="-2"/>
          <w:sz w:val="18"/>
        </w:rPr>
        <w:t> </w:t>
      </w:r>
      <w:r>
        <w:rPr>
          <w:sz w:val="18"/>
        </w:rPr>
        <w:t>be</w:t>
      </w:r>
      <w:r>
        <w:rPr>
          <w:spacing w:val="-2"/>
          <w:sz w:val="18"/>
        </w:rPr>
        <w:t> </w:t>
      </w:r>
      <w:r>
        <w:rPr>
          <w:sz w:val="18"/>
        </w:rPr>
        <w:t>collected</w:t>
      </w:r>
      <w:r>
        <w:rPr>
          <w:spacing w:val="-2"/>
          <w:sz w:val="18"/>
        </w:rPr>
        <w:t> </w:t>
      </w:r>
      <w:r>
        <w:rPr>
          <w:sz w:val="18"/>
        </w:rPr>
        <w:t>due</w:t>
      </w:r>
      <w:r>
        <w:rPr>
          <w:spacing w:val="-2"/>
          <w:sz w:val="18"/>
        </w:rPr>
        <w:t> </w:t>
      </w:r>
      <w:r>
        <w:rPr>
          <w:sz w:val="18"/>
        </w:rPr>
        <w:t>to</w:t>
      </w:r>
      <w:r>
        <w:rPr>
          <w:spacing w:val="-2"/>
          <w:sz w:val="18"/>
        </w:rPr>
        <w:t> </w:t>
      </w:r>
      <w:r>
        <w:rPr>
          <w:sz w:val="18"/>
        </w:rPr>
        <w:t>equipment</w:t>
      </w:r>
      <w:r>
        <w:rPr>
          <w:spacing w:val="-1"/>
          <w:sz w:val="18"/>
        </w:rPr>
        <w:t> </w:t>
      </w:r>
      <w:r>
        <w:rPr>
          <w:sz w:val="18"/>
        </w:rPr>
        <w:t>malfunction</w:t>
      </w:r>
      <w:r>
        <w:rPr>
          <w:spacing w:val="-1"/>
          <w:sz w:val="18"/>
        </w:rPr>
        <w:t> </w:t>
      </w:r>
      <w:r>
        <w:rPr>
          <w:sz w:val="18"/>
        </w:rPr>
        <w:t>or user</w:t>
      </w:r>
      <w:r>
        <w:rPr>
          <w:spacing w:val="-2"/>
          <w:sz w:val="18"/>
        </w:rPr>
        <w:t> </w:t>
      </w:r>
      <w:r>
        <w:rPr>
          <w:sz w:val="18"/>
        </w:rPr>
        <w:t>error</w:t>
      </w:r>
    </w:p>
    <w:p>
      <w:pPr>
        <w:spacing w:after="0"/>
        <w:jc w:val="center"/>
        <w:rPr>
          <w:sz w:val="18"/>
        </w:rPr>
        <w:sectPr>
          <w:pgSz w:w="12240" w:h="15840"/>
          <w:pgMar w:header="0" w:footer="1064" w:top="1380" w:bottom="1260" w:left="440" w:right="880"/>
        </w:sectPr>
      </w:pPr>
    </w:p>
    <w:p>
      <w:pPr>
        <w:spacing w:before="70"/>
        <w:ind w:left="1937" w:right="778" w:firstLine="0"/>
        <w:jc w:val="center"/>
        <w:rPr>
          <w:b/>
          <w:sz w:val="20"/>
        </w:rPr>
      </w:pPr>
      <w:r>
        <w:rPr/>
        <w:pict>
          <v:shape style="position:absolute;margin-left:148.095001pt;margin-top:26.995911pt;width:351.45pt;height:216.75pt;mso-position-horizontal-relative:page;mso-position-vertical-relative:paragraph;z-index:1591859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587"/>
                    <w:gridCol w:w="931"/>
                    <w:gridCol w:w="687"/>
                    <w:gridCol w:w="1058"/>
                    <w:gridCol w:w="916"/>
                    <w:gridCol w:w="888"/>
                    <w:gridCol w:w="957"/>
                  </w:tblGrid>
                  <w:tr>
                    <w:trPr>
                      <w:trHeight w:val="508" w:hRule="atLeast"/>
                    </w:trPr>
                    <w:tc>
                      <w:tcPr>
                        <w:tcW w:w="1587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931" w:type="dxa"/>
                        <w:vMerge w:val="restart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0"/>
                          <w:rPr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59" w:lineRule="auto"/>
                          <w:ind w:left="148" w:right="113" w:hanging="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Powder</w:t>
                        </w:r>
                        <w:r>
                          <w:rPr>
                            <w:b/>
                            <w:spacing w:val="-47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Mass</w:t>
                        </w:r>
                        <w:r>
                          <w:rPr>
                            <w:b/>
                            <w:spacing w:val="1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(grains)</w:t>
                        </w:r>
                      </w:p>
                    </w:tc>
                    <w:tc>
                      <w:tcPr>
                        <w:tcW w:w="1745" w:type="dxa"/>
                        <w:gridSpan w:val="2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"/>
                          <w:rPr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23" w:lineRule="exact"/>
                          <w:ind w:left="194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Chrono-Based</w:t>
                        </w:r>
                      </w:p>
                    </w:tc>
                    <w:tc>
                      <w:tcPr>
                        <w:tcW w:w="1804" w:type="dxa"/>
                        <w:gridSpan w:val="2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"/>
                          <w:rPr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23" w:lineRule="exact"/>
                          <w:ind w:left="36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Chrono-Based</w:t>
                        </w:r>
                      </w:p>
                    </w:tc>
                    <w:tc>
                      <w:tcPr>
                        <w:tcW w:w="957" w:type="dxa"/>
                        <w:vMerge w:val="restart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47"/>
                          <w:ind w:left="253" w:right="24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DOP</w:t>
                        </w:r>
                      </w:p>
                      <w:p>
                        <w:pPr>
                          <w:pStyle w:val="TableParagraph"/>
                          <w:spacing w:before="18"/>
                          <w:ind w:left="253" w:right="24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(in)</w:t>
                        </w:r>
                      </w:p>
                    </w:tc>
                  </w:tr>
                  <w:tr>
                    <w:trPr>
                      <w:trHeight w:val="256" w:hRule="atLeast"/>
                    </w:trPr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5"/>
                          <w:ind w:left="100" w:right="5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Shot</w:t>
                        </w:r>
                      </w:p>
                    </w:tc>
                    <w:tc>
                      <w:tcPr>
                        <w:tcW w:w="931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058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16" w:type="dxa"/>
                      </w:tcPr>
                      <w:p>
                        <w:pPr>
                          <w:pStyle w:val="TableParagraph"/>
                          <w:tabs>
                            <w:tab w:pos="1814" w:val="left" w:leader="none"/>
                          </w:tabs>
                          <w:spacing w:before="5"/>
                          <w:ind w:left="155" w:right="-90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100"/>
                            <w:sz w:val="20"/>
                            <w:u w:val="single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  <w:u w:val="single"/>
                          </w:rPr>
                          <w:tab/>
                        </w:r>
                      </w:p>
                    </w:tc>
                    <w:tc>
                      <w:tcPr>
                        <w:tcW w:w="888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57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509" w:hRule="atLeast"/>
                    </w:trPr>
                    <w:tc>
                      <w:tcPr>
                        <w:tcW w:w="1587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931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87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121" w:right="157" w:firstLine="11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s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(fps)</w:t>
                        </w:r>
                      </w:p>
                    </w:tc>
                    <w:tc>
                      <w:tcPr>
                        <w:tcW w:w="1058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231" w:right="373" w:firstLine="140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s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(m/s)</w:t>
                        </w:r>
                      </w:p>
                    </w:tc>
                    <w:tc>
                      <w:tcPr>
                        <w:tcW w:w="916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320" w:right="187" w:firstLine="11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r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(fps)</w:t>
                        </w:r>
                      </w:p>
                    </w:tc>
                    <w:tc>
                      <w:tcPr>
                        <w:tcW w:w="888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211" w:right="223" w:firstLine="13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r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(m/s)</w:t>
                        </w:r>
                      </w:p>
                    </w:tc>
                    <w:tc>
                      <w:tcPr>
                        <w:tcW w:w="957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318" w:hRule="atLeast"/>
                    </w:trPr>
                    <w:tc>
                      <w:tcPr>
                        <w:tcW w:w="1587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00" w:right="12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E-HHS-1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931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237" w:right="20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103.7</w:t>
                        </w:r>
                      </w:p>
                    </w:tc>
                    <w:tc>
                      <w:tcPr>
                        <w:tcW w:w="687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1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2533</w:t>
                        </w:r>
                      </w:p>
                    </w:tc>
                    <w:tc>
                      <w:tcPr>
                        <w:tcW w:w="1058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7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772.02</w:t>
                        </w:r>
                      </w:p>
                    </w:tc>
                    <w:tc>
                      <w:tcPr>
                        <w:tcW w:w="916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428" w:right="3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888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36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57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20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2.3750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31"/>
                          <w:ind w:left="100" w:right="12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E-HHS-1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w="931" w:type="dxa"/>
                      </w:tcPr>
                      <w:p>
                        <w:pPr>
                          <w:pStyle w:val="TableParagraph"/>
                          <w:spacing w:before="31"/>
                          <w:ind w:left="237" w:right="20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103.7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before="31"/>
                          <w:ind w:left="11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2693</w:t>
                        </w:r>
                      </w:p>
                    </w:tc>
                    <w:tc>
                      <w:tcPr>
                        <w:tcW w:w="1058" w:type="dxa"/>
                      </w:tcPr>
                      <w:p>
                        <w:pPr>
                          <w:pStyle w:val="TableParagraph"/>
                          <w:spacing w:before="31"/>
                          <w:ind w:left="17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820.79</w:t>
                        </w:r>
                      </w:p>
                    </w:tc>
                    <w:tc>
                      <w:tcPr>
                        <w:tcW w:w="916" w:type="dxa"/>
                      </w:tcPr>
                      <w:p>
                        <w:pPr>
                          <w:pStyle w:val="TableParagraph"/>
                          <w:spacing w:before="31"/>
                          <w:ind w:left="428" w:right="3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888" w:type="dxa"/>
                      </w:tcPr>
                      <w:p>
                        <w:pPr>
                          <w:pStyle w:val="TableParagraph"/>
                          <w:spacing w:before="31"/>
                          <w:ind w:left="36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57" w:type="dxa"/>
                      </w:tcPr>
                      <w:p>
                        <w:pPr>
                          <w:pStyle w:val="TableParagraph"/>
                          <w:spacing w:before="31"/>
                          <w:ind w:left="20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2.5000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31"/>
                          <w:ind w:left="100" w:right="12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E-HHS-1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3</w:t>
                        </w:r>
                      </w:p>
                    </w:tc>
                    <w:tc>
                      <w:tcPr>
                        <w:tcW w:w="931" w:type="dxa"/>
                      </w:tcPr>
                      <w:p>
                        <w:pPr>
                          <w:pStyle w:val="TableParagraph"/>
                          <w:spacing w:before="31"/>
                          <w:ind w:left="237" w:right="20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103.7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before="31"/>
                          <w:ind w:left="11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2598</w:t>
                        </w:r>
                      </w:p>
                    </w:tc>
                    <w:tc>
                      <w:tcPr>
                        <w:tcW w:w="1058" w:type="dxa"/>
                      </w:tcPr>
                      <w:p>
                        <w:pPr>
                          <w:pStyle w:val="TableParagraph"/>
                          <w:spacing w:before="31"/>
                          <w:ind w:left="17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791.83</w:t>
                        </w:r>
                      </w:p>
                    </w:tc>
                    <w:tc>
                      <w:tcPr>
                        <w:tcW w:w="916" w:type="dxa"/>
                      </w:tcPr>
                      <w:p>
                        <w:pPr>
                          <w:pStyle w:val="TableParagraph"/>
                          <w:spacing w:before="31"/>
                          <w:ind w:left="428" w:right="3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888" w:type="dxa"/>
                      </w:tcPr>
                      <w:p>
                        <w:pPr>
                          <w:pStyle w:val="TableParagraph"/>
                          <w:spacing w:before="31"/>
                          <w:ind w:left="36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57" w:type="dxa"/>
                      </w:tcPr>
                      <w:p>
                        <w:pPr>
                          <w:pStyle w:val="TableParagraph"/>
                          <w:spacing w:before="31"/>
                          <w:ind w:left="20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2.5625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31"/>
                          <w:ind w:left="100" w:right="12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E-HHS-1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4</w:t>
                        </w:r>
                      </w:p>
                    </w:tc>
                    <w:tc>
                      <w:tcPr>
                        <w:tcW w:w="931" w:type="dxa"/>
                      </w:tcPr>
                      <w:p>
                        <w:pPr>
                          <w:pStyle w:val="TableParagraph"/>
                          <w:spacing w:before="31"/>
                          <w:ind w:left="237" w:right="20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103.7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before="31"/>
                          <w:ind w:left="11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2362</w:t>
                        </w:r>
                      </w:p>
                    </w:tc>
                    <w:tc>
                      <w:tcPr>
                        <w:tcW w:w="1058" w:type="dxa"/>
                      </w:tcPr>
                      <w:p>
                        <w:pPr>
                          <w:pStyle w:val="TableParagraph"/>
                          <w:spacing w:before="31"/>
                          <w:ind w:left="17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719.90</w:t>
                        </w:r>
                      </w:p>
                    </w:tc>
                    <w:tc>
                      <w:tcPr>
                        <w:tcW w:w="916" w:type="dxa"/>
                      </w:tcPr>
                      <w:p>
                        <w:pPr>
                          <w:pStyle w:val="TableParagraph"/>
                          <w:spacing w:before="31"/>
                          <w:ind w:left="428" w:right="3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888" w:type="dxa"/>
                      </w:tcPr>
                      <w:p>
                        <w:pPr>
                          <w:pStyle w:val="TableParagraph"/>
                          <w:spacing w:before="31"/>
                          <w:ind w:left="36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57" w:type="dxa"/>
                      </w:tcPr>
                      <w:p>
                        <w:pPr>
                          <w:pStyle w:val="TableParagraph"/>
                          <w:spacing w:before="31"/>
                          <w:ind w:left="20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2.6250</w:t>
                        </w:r>
                      </w:p>
                    </w:tc>
                  </w:tr>
                  <w:tr>
                    <w:trPr>
                      <w:trHeight w:val="281" w:hRule="atLeast"/>
                    </w:trPr>
                    <w:tc>
                      <w:tcPr>
                        <w:tcW w:w="1587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00" w:right="12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E-HHS-1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5</w:t>
                        </w:r>
                      </w:p>
                    </w:tc>
                    <w:tc>
                      <w:tcPr>
                        <w:tcW w:w="931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237" w:right="20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103.7</w:t>
                        </w:r>
                      </w:p>
                    </w:tc>
                    <w:tc>
                      <w:tcPr>
                        <w:tcW w:w="687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1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2572</w:t>
                        </w:r>
                      </w:p>
                    </w:tc>
                    <w:tc>
                      <w:tcPr>
                        <w:tcW w:w="1058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7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783.91</w:t>
                        </w:r>
                      </w:p>
                    </w:tc>
                    <w:tc>
                      <w:tcPr>
                        <w:tcW w:w="916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428" w:right="3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888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36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57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20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2.6250</w:t>
                        </w:r>
                      </w:p>
                    </w:tc>
                  </w:tr>
                  <w:tr>
                    <w:trPr>
                      <w:trHeight w:val="319" w:hRule="atLeast"/>
                    </w:trPr>
                    <w:tc>
                      <w:tcPr>
                        <w:tcW w:w="1587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0"/>
                          <w:ind w:left="100" w:right="12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E-HHS-2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931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0"/>
                          <w:ind w:left="237" w:right="20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103.0</w:t>
                        </w:r>
                      </w:p>
                    </w:tc>
                    <w:tc>
                      <w:tcPr>
                        <w:tcW w:w="687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0"/>
                          <w:ind w:left="11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2602</w:t>
                        </w:r>
                      </w:p>
                    </w:tc>
                    <w:tc>
                      <w:tcPr>
                        <w:tcW w:w="1058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0"/>
                          <w:ind w:left="17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793.05</w:t>
                        </w:r>
                      </w:p>
                    </w:tc>
                    <w:tc>
                      <w:tcPr>
                        <w:tcW w:w="916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0"/>
                          <w:ind w:left="428" w:right="3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888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0"/>
                          <w:ind w:left="36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57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0"/>
                          <w:ind w:left="20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2.6250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31"/>
                          <w:ind w:left="100" w:right="12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E-HHS-2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w="931" w:type="dxa"/>
                      </w:tcPr>
                      <w:p>
                        <w:pPr>
                          <w:pStyle w:val="TableParagraph"/>
                          <w:spacing w:before="31"/>
                          <w:ind w:left="237" w:right="20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101.0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before="31"/>
                          <w:ind w:left="11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2569</w:t>
                        </w:r>
                      </w:p>
                    </w:tc>
                    <w:tc>
                      <w:tcPr>
                        <w:tcW w:w="1058" w:type="dxa"/>
                      </w:tcPr>
                      <w:p>
                        <w:pPr>
                          <w:pStyle w:val="TableParagraph"/>
                          <w:spacing w:before="31"/>
                          <w:ind w:left="17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782.99</w:t>
                        </w:r>
                      </w:p>
                    </w:tc>
                    <w:tc>
                      <w:tcPr>
                        <w:tcW w:w="916" w:type="dxa"/>
                      </w:tcPr>
                      <w:p>
                        <w:pPr>
                          <w:pStyle w:val="TableParagraph"/>
                          <w:spacing w:before="31"/>
                          <w:ind w:left="428" w:right="3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888" w:type="dxa"/>
                      </w:tcPr>
                      <w:p>
                        <w:pPr>
                          <w:pStyle w:val="TableParagraph"/>
                          <w:spacing w:before="31"/>
                          <w:ind w:left="36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57" w:type="dxa"/>
                      </w:tcPr>
                      <w:p>
                        <w:pPr>
                          <w:pStyle w:val="TableParagraph"/>
                          <w:spacing w:before="31"/>
                          <w:ind w:left="20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2.5000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31"/>
                          <w:ind w:left="100" w:right="12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E-HHS-2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3</w:t>
                        </w:r>
                      </w:p>
                    </w:tc>
                    <w:tc>
                      <w:tcPr>
                        <w:tcW w:w="931" w:type="dxa"/>
                      </w:tcPr>
                      <w:p>
                        <w:pPr>
                          <w:pStyle w:val="TableParagraph"/>
                          <w:spacing w:before="31"/>
                          <w:ind w:left="237" w:right="20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100.0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before="31"/>
                          <w:ind w:left="11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2389</w:t>
                        </w:r>
                      </w:p>
                    </w:tc>
                    <w:tc>
                      <w:tcPr>
                        <w:tcW w:w="1058" w:type="dxa"/>
                      </w:tcPr>
                      <w:p>
                        <w:pPr>
                          <w:pStyle w:val="TableParagraph"/>
                          <w:spacing w:before="31"/>
                          <w:ind w:left="17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728.13</w:t>
                        </w:r>
                      </w:p>
                    </w:tc>
                    <w:tc>
                      <w:tcPr>
                        <w:tcW w:w="916" w:type="dxa"/>
                      </w:tcPr>
                      <w:p>
                        <w:pPr>
                          <w:pStyle w:val="TableParagraph"/>
                          <w:spacing w:before="31"/>
                          <w:ind w:left="428" w:right="3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888" w:type="dxa"/>
                      </w:tcPr>
                      <w:p>
                        <w:pPr>
                          <w:pStyle w:val="TableParagraph"/>
                          <w:spacing w:before="31"/>
                          <w:ind w:left="36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57" w:type="dxa"/>
                      </w:tcPr>
                      <w:p>
                        <w:pPr>
                          <w:pStyle w:val="TableParagraph"/>
                          <w:spacing w:before="31"/>
                          <w:ind w:left="20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2.4375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31"/>
                          <w:ind w:left="100" w:right="12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E-HHS-2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4</w:t>
                        </w:r>
                      </w:p>
                    </w:tc>
                    <w:tc>
                      <w:tcPr>
                        <w:tcW w:w="931" w:type="dxa"/>
                      </w:tcPr>
                      <w:p>
                        <w:pPr>
                          <w:pStyle w:val="TableParagraph"/>
                          <w:spacing w:before="31"/>
                          <w:ind w:left="237" w:right="20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101.5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before="31"/>
                          <w:ind w:left="11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2541</w:t>
                        </w:r>
                      </w:p>
                    </w:tc>
                    <w:tc>
                      <w:tcPr>
                        <w:tcW w:w="1058" w:type="dxa"/>
                      </w:tcPr>
                      <w:p>
                        <w:pPr>
                          <w:pStyle w:val="TableParagraph"/>
                          <w:spacing w:before="31"/>
                          <w:ind w:left="17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774.46</w:t>
                        </w:r>
                      </w:p>
                    </w:tc>
                    <w:tc>
                      <w:tcPr>
                        <w:tcW w:w="916" w:type="dxa"/>
                      </w:tcPr>
                      <w:p>
                        <w:pPr>
                          <w:pStyle w:val="TableParagraph"/>
                          <w:spacing w:before="31"/>
                          <w:ind w:left="428" w:right="3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888" w:type="dxa"/>
                      </w:tcPr>
                      <w:p>
                        <w:pPr>
                          <w:pStyle w:val="TableParagraph"/>
                          <w:spacing w:before="31"/>
                          <w:ind w:left="36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57" w:type="dxa"/>
                      </w:tcPr>
                      <w:p>
                        <w:pPr>
                          <w:pStyle w:val="TableParagraph"/>
                          <w:spacing w:before="31"/>
                          <w:ind w:left="20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2.5625</w:t>
                        </w:r>
                      </w:p>
                    </w:tc>
                  </w:tr>
                  <w:tr>
                    <w:trPr>
                      <w:trHeight w:val="281" w:hRule="atLeast"/>
                    </w:trPr>
                    <w:tc>
                      <w:tcPr>
                        <w:tcW w:w="1587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00" w:right="12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E-HHS-2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5</w:t>
                        </w:r>
                      </w:p>
                    </w:tc>
                    <w:tc>
                      <w:tcPr>
                        <w:tcW w:w="931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237" w:right="20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101.5</w:t>
                        </w:r>
                      </w:p>
                    </w:tc>
                    <w:tc>
                      <w:tcPr>
                        <w:tcW w:w="687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1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2397</w:t>
                        </w:r>
                      </w:p>
                    </w:tc>
                    <w:tc>
                      <w:tcPr>
                        <w:tcW w:w="1058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7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730.57</w:t>
                        </w:r>
                      </w:p>
                    </w:tc>
                    <w:tc>
                      <w:tcPr>
                        <w:tcW w:w="916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428" w:right="3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888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36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57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20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2.5000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b/>
          <w:sz w:val="20"/>
        </w:rPr>
        <w:t>Table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26</w:t>
      </w:r>
      <w:r>
        <w:rPr>
          <w:b/>
          <w:spacing w:val="46"/>
          <w:sz w:val="20"/>
        </w:rPr>
        <w:t> </w:t>
      </w:r>
      <w:r>
        <w:rPr>
          <w:b/>
          <w:sz w:val="20"/>
        </w:rPr>
        <w:t>0.50-in.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sphere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striking</w:t>
      </w:r>
      <w:r>
        <w:rPr>
          <w:b/>
          <w:spacing w:val="-1"/>
          <w:sz w:val="20"/>
        </w:rPr>
        <w:t> </w:t>
      </w:r>
      <w:r>
        <w:rPr>
          <w:b/>
          <w:sz w:val="20"/>
        </w:rPr>
        <w:t>high-hard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steel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plate,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ECLT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specimens</w:t>
      </w: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spacing w:before="2"/>
        <w:rPr>
          <w:b/>
          <w:sz w:val="23"/>
        </w:rPr>
      </w:pPr>
    </w:p>
    <w:p>
      <w:pPr>
        <w:tabs>
          <w:tab w:pos="2419" w:val="left" w:leader="none"/>
        </w:tabs>
        <w:spacing w:before="1"/>
        <w:ind w:left="783" w:right="0" w:firstLine="0"/>
        <w:jc w:val="center"/>
        <w:rPr>
          <w:b/>
          <w:sz w:val="20"/>
        </w:rPr>
      </w:pPr>
      <w:r>
        <w:rPr>
          <w:b/>
          <w:w w:val="100"/>
          <w:sz w:val="20"/>
          <w:u w:val="single"/>
        </w:rPr>
        <w:t> </w:t>
      </w:r>
      <w:r>
        <w:rPr>
          <w:b/>
          <w:sz w:val="20"/>
          <w:u w:val="single"/>
        </w:rPr>
        <w:tab/>
      </w: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spacing w:before="7"/>
        <w:rPr>
          <w:b/>
          <w:sz w:val="18"/>
        </w:rPr>
      </w:pPr>
    </w:p>
    <w:p>
      <w:pPr>
        <w:spacing w:line="249" w:lineRule="auto" w:before="0"/>
        <w:ind w:left="1938" w:right="778" w:firstLine="0"/>
        <w:jc w:val="center"/>
        <w:rPr>
          <w:b/>
          <w:sz w:val="20"/>
        </w:rPr>
      </w:pPr>
      <w:r>
        <w:rPr/>
        <w:pict>
          <v:shape style="position:absolute;margin-left:145.830002pt;margin-top:35.502228pt;width:355.95pt;height:186.25pt;mso-position-horizontal-relative:page;mso-position-vertical-relative:paragraph;z-index:1591910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346"/>
                    <w:gridCol w:w="1062"/>
                    <w:gridCol w:w="720"/>
                    <w:gridCol w:w="1086"/>
                    <w:gridCol w:w="839"/>
                    <w:gridCol w:w="962"/>
                    <w:gridCol w:w="1104"/>
                  </w:tblGrid>
                  <w:tr>
                    <w:trPr>
                      <w:trHeight w:val="508" w:hRule="atLeast"/>
                    </w:trPr>
                    <w:tc>
                      <w:tcPr>
                        <w:tcW w:w="1346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062" w:type="dxa"/>
                        <w:vMerge w:val="restart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0"/>
                          <w:rPr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59" w:lineRule="auto"/>
                          <w:ind w:left="229" w:right="164" w:hanging="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Powder</w:t>
                        </w:r>
                        <w:r>
                          <w:rPr>
                            <w:b/>
                            <w:spacing w:val="-47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Mass</w:t>
                        </w:r>
                        <w:r>
                          <w:rPr>
                            <w:b/>
                            <w:spacing w:val="1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(grains)</w:t>
                        </w:r>
                      </w:p>
                    </w:tc>
                    <w:tc>
                      <w:tcPr>
                        <w:tcW w:w="1806" w:type="dxa"/>
                        <w:gridSpan w:val="2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"/>
                          <w:rPr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23" w:lineRule="exact"/>
                          <w:ind w:left="19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Chrono-Based</w:t>
                        </w:r>
                      </w:p>
                    </w:tc>
                    <w:tc>
                      <w:tcPr>
                        <w:tcW w:w="1801" w:type="dxa"/>
                        <w:gridSpan w:val="2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"/>
                          <w:rPr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23" w:lineRule="exact"/>
                          <w:ind w:left="30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Chrono-Based</w:t>
                        </w:r>
                      </w:p>
                    </w:tc>
                    <w:tc>
                      <w:tcPr>
                        <w:tcW w:w="1104" w:type="dxa"/>
                        <w:vMerge w:val="restart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47"/>
                          <w:ind w:left="30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DOP</w:t>
                        </w:r>
                      </w:p>
                      <w:p>
                        <w:pPr>
                          <w:pStyle w:val="TableParagraph"/>
                          <w:spacing w:before="18"/>
                          <w:ind w:left="36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(in)</w:t>
                        </w:r>
                      </w:p>
                    </w:tc>
                  </w:tr>
                  <w:tr>
                    <w:trPr>
                      <w:trHeight w:val="256" w:hRule="atLeast"/>
                    </w:trPr>
                    <w:tc>
                      <w:tcPr>
                        <w:tcW w:w="1346" w:type="dxa"/>
                      </w:tcPr>
                      <w:p>
                        <w:pPr>
                          <w:pStyle w:val="TableParagraph"/>
                          <w:spacing w:before="5"/>
                          <w:ind w:left="522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Shot</w:t>
                        </w:r>
                      </w:p>
                    </w:tc>
                    <w:tc>
                      <w:tcPr>
                        <w:tcW w:w="1062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20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086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839" w:type="dxa"/>
                      </w:tcPr>
                      <w:p>
                        <w:pPr>
                          <w:pStyle w:val="TableParagraph"/>
                          <w:tabs>
                            <w:tab w:pos="1734" w:val="left" w:leader="none"/>
                          </w:tabs>
                          <w:spacing w:before="5"/>
                          <w:ind w:left="114" w:right="-90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100"/>
                            <w:sz w:val="20"/>
                            <w:u w:val="single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  <w:u w:val="single"/>
                          </w:rPr>
                          <w:tab/>
                        </w:r>
                      </w:p>
                    </w:tc>
                    <w:tc>
                      <w:tcPr>
                        <w:tcW w:w="962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10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509" w:hRule="atLeast"/>
                    </w:trPr>
                    <w:tc>
                      <w:tcPr>
                        <w:tcW w:w="1346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062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20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171" w:right="140" w:firstLine="11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s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(fps)</w:t>
                        </w:r>
                      </w:p>
                    </w:tc>
                    <w:tc>
                      <w:tcPr>
                        <w:tcW w:w="1086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262" w:right="370" w:firstLine="141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s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(m/s)</w:t>
                        </w:r>
                      </w:p>
                    </w:tc>
                    <w:tc>
                      <w:tcPr>
                        <w:tcW w:w="839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279" w:right="151" w:firstLine="11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r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(fps)</w:t>
                        </w:r>
                      </w:p>
                    </w:tc>
                    <w:tc>
                      <w:tcPr>
                        <w:tcW w:w="962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227" w:right="281" w:firstLine="13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r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(m/s)</w:t>
                        </w:r>
                      </w:p>
                    </w:tc>
                    <w:tc>
                      <w:tcPr>
                        <w:tcW w:w="110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318" w:hRule="atLeast"/>
                    </w:trPr>
                    <w:tc>
                      <w:tcPr>
                        <w:tcW w:w="1346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E-D1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062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93" w:right="3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102.0</w:t>
                        </w:r>
                      </w:p>
                    </w:tc>
                    <w:tc>
                      <w:tcPr>
                        <w:tcW w:w="720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10" w:right="10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2624</w:t>
                        </w:r>
                      </w:p>
                    </w:tc>
                    <w:tc>
                      <w:tcPr>
                        <w:tcW w:w="1086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35" w:right="2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799.76</w:t>
                        </w:r>
                      </w:p>
                    </w:tc>
                    <w:tc>
                      <w:tcPr>
                        <w:tcW w:w="839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386" w:right="27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62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51" w:right="2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104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223" w:right="29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2.2500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346" w:type="dxa"/>
                      </w:tcPr>
                      <w:p>
                        <w:pPr>
                          <w:pStyle w:val="TableParagraph"/>
                          <w:spacing w:before="31"/>
                          <w:ind w:left="1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E-D1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w="1062" w:type="dxa"/>
                      </w:tcPr>
                      <w:p>
                        <w:pPr>
                          <w:pStyle w:val="TableParagraph"/>
                          <w:spacing w:before="31"/>
                          <w:ind w:left="93" w:right="3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102.0</w:t>
                        </w:r>
                      </w:p>
                    </w:tc>
                    <w:tc>
                      <w:tcPr>
                        <w:tcW w:w="720" w:type="dxa"/>
                      </w:tcPr>
                      <w:p>
                        <w:pPr>
                          <w:pStyle w:val="TableParagraph"/>
                          <w:spacing w:before="31"/>
                          <w:ind w:left="110" w:right="10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2402</w:t>
                        </w:r>
                      </w:p>
                    </w:tc>
                    <w:tc>
                      <w:tcPr>
                        <w:tcW w:w="1086" w:type="dxa"/>
                      </w:tcPr>
                      <w:p>
                        <w:pPr>
                          <w:pStyle w:val="TableParagraph"/>
                          <w:spacing w:before="31"/>
                          <w:ind w:left="135" w:right="2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732.09</w:t>
                        </w:r>
                      </w:p>
                    </w:tc>
                    <w:tc>
                      <w:tcPr>
                        <w:tcW w:w="839" w:type="dxa"/>
                      </w:tcPr>
                      <w:p>
                        <w:pPr>
                          <w:pStyle w:val="TableParagraph"/>
                          <w:spacing w:before="31"/>
                          <w:ind w:left="386" w:right="27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62" w:type="dxa"/>
                      </w:tcPr>
                      <w:p>
                        <w:pPr>
                          <w:pStyle w:val="TableParagraph"/>
                          <w:spacing w:before="31"/>
                          <w:ind w:left="151" w:right="2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104" w:type="dxa"/>
                      </w:tcPr>
                      <w:p>
                        <w:pPr>
                          <w:pStyle w:val="TableParagraph"/>
                          <w:spacing w:before="31"/>
                          <w:ind w:left="223" w:right="29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2.3750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346" w:type="dxa"/>
                      </w:tcPr>
                      <w:p>
                        <w:pPr>
                          <w:pStyle w:val="TableParagraph"/>
                          <w:spacing w:before="31"/>
                          <w:ind w:left="1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E-D1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3</w:t>
                        </w:r>
                      </w:p>
                    </w:tc>
                    <w:tc>
                      <w:tcPr>
                        <w:tcW w:w="1062" w:type="dxa"/>
                      </w:tcPr>
                      <w:p>
                        <w:pPr>
                          <w:pStyle w:val="TableParagraph"/>
                          <w:spacing w:before="31"/>
                          <w:ind w:left="93" w:right="3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103.0</w:t>
                        </w:r>
                      </w:p>
                    </w:tc>
                    <w:tc>
                      <w:tcPr>
                        <w:tcW w:w="720" w:type="dxa"/>
                      </w:tcPr>
                      <w:p>
                        <w:pPr>
                          <w:pStyle w:val="TableParagraph"/>
                          <w:spacing w:before="31"/>
                          <w:ind w:left="110" w:right="10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2563</w:t>
                        </w:r>
                      </w:p>
                    </w:tc>
                    <w:tc>
                      <w:tcPr>
                        <w:tcW w:w="1086" w:type="dxa"/>
                      </w:tcPr>
                      <w:p>
                        <w:pPr>
                          <w:pStyle w:val="TableParagraph"/>
                          <w:spacing w:before="31"/>
                          <w:ind w:left="135" w:right="2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781.16</w:t>
                        </w:r>
                      </w:p>
                    </w:tc>
                    <w:tc>
                      <w:tcPr>
                        <w:tcW w:w="839" w:type="dxa"/>
                      </w:tcPr>
                      <w:p>
                        <w:pPr>
                          <w:pStyle w:val="TableParagraph"/>
                          <w:spacing w:before="31"/>
                          <w:ind w:left="386" w:right="27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62" w:type="dxa"/>
                      </w:tcPr>
                      <w:p>
                        <w:pPr>
                          <w:pStyle w:val="TableParagraph"/>
                          <w:spacing w:before="31"/>
                          <w:ind w:left="151" w:right="2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104" w:type="dxa"/>
                      </w:tcPr>
                      <w:p>
                        <w:pPr>
                          <w:pStyle w:val="TableParagraph"/>
                          <w:spacing w:before="31"/>
                          <w:ind w:left="223" w:right="29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2.4375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346" w:type="dxa"/>
                      </w:tcPr>
                      <w:p>
                        <w:pPr>
                          <w:pStyle w:val="TableParagraph"/>
                          <w:spacing w:before="31"/>
                          <w:ind w:left="1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E-D1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4</w:t>
                        </w:r>
                      </w:p>
                    </w:tc>
                    <w:tc>
                      <w:tcPr>
                        <w:tcW w:w="1062" w:type="dxa"/>
                      </w:tcPr>
                      <w:p>
                        <w:pPr>
                          <w:pStyle w:val="TableParagraph"/>
                          <w:spacing w:before="31"/>
                          <w:ind w:left="93" w:right="3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103.0</w:t>
                        </w:r>
                      </w:p>
                    </w:tc>
                    <w:tc>
                      <w:tcPr>
                        <w:tcW w:w="720" w:type="dxa"/>
                      </w:tcPr>
                      <w:p>
                        <w:pPr>
                          <w:pStyle w:val="TableParagraph"/>
                          <w:spacing w:before="31"/>
                          <w:ind w:left="110" w:right="10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2512</w:t>
                        </w:r>
                      </w:p>
                    </w:tc>
                    <w:tc>
                      <w:tcPr>
                        <w:tcW w:w="1086" w:type="dxa"/>
                      </w:tcPr>
                      <w:p>
                        <w:pPr>
                          <w:pStyle w:val="TableParagraph"/>
                          <w:spacing w:before="31"/>
                          <w:ind w:left="135" w:right="2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765.62</w:t>
                        </w:r>
                      </w:p>
                    </w:tc>
                    <w:tc>
                      <w:tcPr>
                        <w:tcW w:w="839" w:type="dxa"/>
                      </w:tcPr>
                      <w:p>
                        <w:pPr>
                          <w:pStyle w:val="TableParagraph"/>
                          <w:spacing w:before="31"/>
                          <w:ind w:left="386" w:right="27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62" w:type="dxa"/>
                      </w:tcPr>
                      <w:p>
                        <w:pPr>
                          <w:pStyle w:val="TableParagraph"/>
                          <w:spacing w:before="31"/>
                          <w:ind w:left="151" w:right="2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104" w:type="dxa"/>
                      </w:tcPr>
                      <w:p>
                        <w:pPr>
                          <w:pStyle w:val="TableParagraph"/>
                          <w:spacing w:before="31"/>
                          <w:ind w:left="223" w:right="29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2.4375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346" w:type="dxa"/>
                      </w:tcPr>
                      <w:p>
                        <w:pPr>
                          <w:pStyle w:val="TableParagraph"/>
                          <w:spacing w:before="31"/>
                          <w:ind w:left="1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E-D1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5</w:t>
                        </w:r>
                      </w:p>
                    </w:tc>
                    <w:tc>
                      <w:tcPr>
                        <w:tcW w:w="1062" w:type="dxa"/>
                      </w:tcPr>
                      <w:p>
                        <w:pPr>
                          <w:pStyle w:val="TableParagraph"/>
                          <w:spacing w:before="31"/>
                          <w:ind w:left="93" w:right="3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103.0</w:t>
                        </w:r>
                      </w:p>
                    </w:tc>
                    <w:tc>
                      <w:tcPr>
                        <w:tcW w:w="720" w:type="dxa"/>
                      </w:tcPr>
                      <w:p>
                        <w:pPr>
                          <w:pStyle w:val="TableParagraph"/>
                          <w:spacing w:before="31"/>
                          <w:ind w:left="110" w:right="10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2416</w:t>
                        </w:r>
                      </w:p>
                    </w:tc>
                    <w:tc>
                      <w:tcPr>
                        <w:tcW w:w="1086" w:type="dxa"/>
                      </w:tcPr>
                      <w:p>
                        <w:pPr>
                          <w:pStyle w:val="TableParagraph"/>
                          <w:spacing w:before="31"/>
                          <w:ind w:left="135" w:right="2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736.36</w:t>
                        </w:r>
                      </w:p>
                    </w:tc>
                    <w:tc>
                      <w:tcPr>
                        <w:tcW w:w="839" w:type="dxa"/>
                      </w:tcPr>
                      <w:p>
                        <w:pPr>
                          <w:pStyle w:val="TableParagraph"/>
                          <w:spacing w:before="31"/>
                          <w:ind w:left="386" w:right="27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62" w:type="dxa"/>
                      </w:tcPr>
                      <w:p>
                        <w:pPr>
                          <w:pStyle w:val="TableParagraph"/>
                          <w:spacing w:before="31"/>
                          <w:ind w:left="151" w:right="2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104" w:type="dxa"/>
                      </w:tcPr>
                      <w:p>
                        <w:pPr>
                          <w:pStyle w:val="TableParagraph"/>
                          <w:spacing w:before="31"/>
                          <w:ind w:left="223" w:right="29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2.2500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346" w:type="dxa"/>
                      </w:tcPr>
                      <w:p>
                        <w:pPr>
                          <w:pStyle w:val="TableParagraph"/>
                          <w:spacing w:before="31"/>
                          <w:ind w:left="1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E-D1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6</w:t>
                        </w:r>
                      </w:p>
                    </w:tc>
                    <w:tc>
                      <w:tcPr>
                        <w:tcW w:w="1062" w:type="dxa"/>
                      </w:tcPr>
                      <w:p>
                        <w:pPr>
                          <w:pStyle w:val="TableParagraph"/>
                          <w:spacing w:before="31"/>
                          <w:ind w:left="93" w:right="3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103.0</w:t>
                        </w:r>
                      </w:p>
                    </w:tc>
                    <w:tc>
                      <w:tcPr>
                        <w:tcW w:w="720" w:type="dxa"/>
                      </w:tcPr>
                      <w:p>
                        <w:pPr>
                          <w:pStyle w:val="TableParagraph"/>
                          <w:spacing w:before="31"/>
                          <w:ind w:left="110" w:right="10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3610</w:t>
                        </w:r>
                      </w:p>
                    </w:tc>
                    <w:tc>
                      <w:tcPr>
                        <w:tcW w:w="1086" w:type="dxa"/>
                      </w:tcPr>
                      <w:p>
                        <w:pPr>
                          <w:pStyle w:val="TableParagraph"/>
                          <w:spacing w:before="31"/>
                          <w:ind w:left="136" w:right="2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1100.27</w:t>
                        </w:r>
                      </w:p>
                    </w:tc>
                    <w:tc>
                      <w:tcPr>
                        <w:tcW w:w="839" w:type="dxa"/>
                      </w:tcPr>
                      <w:p>
                        <w:pPr>
                          <w:pStyle w:val="TableParagraph"/>
                          <w:spacing w:before="31"/>
                          <w:ind w:left="386" w:right="27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62" w:type="dxa"/>
                      </w:tcPr>
                      <w:p>
                        <w:pPr>
                          <w:pStyle w:val="TableParagraph"/>
                          <w:spacing w:before="31"/>
                          <w:ind w:left="151" w:right="2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104" w:type="dxa"/>
                      </w:tcPr>
                      <w:p>
                        <w:pPr>
                          <w:pStyle w:val="TableParagraph"/>
                          <w:spacing w:before="31"/>
                          <w:ind w:left="223" w:right="29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3.6875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346" w:type="dxa"/>
                      </w:tcPr>
                      <w:p>
                        <w:pPr>
                          <w:pStyle w:val="TableParagraph"/>
                          <w:spacing w:before="31"/>
                          <w:ind w:left="1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E-D1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7</w:t>
                        </w:r>
                      </w:p>
                    </w:tc>
                    <w:tc>
                      <w:tcPr>
                        <w:tcW w:w="1062" w:type="dxa"/>
                      </w:tcPr>
                      <w:p>
                        <w:pPr>
                          <w:pStyle w:val="TableParagraph"/>
                          <w:spacing w:before="31"/>
                          <w:ind w:left="93" w:right="3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103.0</w:t>
                        </w:r>
                      </w:p>
                    </w:tc>
                    <w:tc>
                      <w:tcPr>
                        <w:tcW w:w="720" w:type="dxa"/>
                      </w:tcPr>
                      <w:p>
                        <w:pPr>
                          <w:pStyle w:val="TableParagraph"/>
                          <w:spacing w:before="31"/>
                          <w:ind w:left="110" w:right="10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4169</w:t>
                        </w:r>
                      </w:p>
                    </w:tc>
                    <w:tc>
                      <w:tcPr>
                        <w:tcW w:w="1086" w:type="dxa"/>
                      </w:tcPr>
                      <w:p>
                        <w:pPr>
                          <w:pStyle w:val="TableParagraph"/>
                          <w:spacing w:before="31"/>
                          <w:ind w:left="136" w:right="2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1270.65</w:t>
                        </w:r>
                      </w:p>
                    </w:tc>
                    <w:tc>
                      <w:tcPr>
                        <w:tcW w:w="839" w:type="dxa"/>
                      </w:tcPr>
                      <w:p>
                        <w:pPr>
                          <w:pStyle w:val="TableParagraph"/>
                          <w:spacing w:before="31"/>
                          <w:ind w:left="32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560</w:t>
                        </w:r>
                      </w:p>
                    </w:tc>
                    <w:tc>
                      <w:tcPr>
                        <w:tcW w:w="962" w:type="dxa"/>
                      </w:tcPr>
                      <w:p>
                        <w:pPr>
                          <w:pStyle w:val="TableParagraph"/>
                          <w:spacing w:before="31"/>
                          <w:ind w:left="151" w:right="2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170.68</w:t>
                        </w:r>
                      </w:p>
                    </w:tc>
                    <w:tc>
                      <w:tcPr>
                        <w:tcW w:w="1104" w:type="dxa"/>
                      </w:tcPr>
                      <w:p>
                        <w:pPr>
                          <w:pStyle w:val="TableParagraph"/>
                          <w:spacing w:before="31"/>
                          <w:ind w:left="223" w:right="28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</w:tr>
                  <w:tr>
                    <w:trPr>
                      <w:trHeight w:val="282" w:hRule="atLeast"/>
                    </w:trPr>
                    <w:tc>
                      <w:tcPr>
                        <w:tcW w:w="1346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E-D1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8</w:t>
                        </w:r>
                      </w:p>
                    </w:tc>
                    <w:tc>
                      <w:tcPr>
                        <w:tcW w:w="1062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93" w:right="3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103.0</w:t>
                        </w:r>
                      </w:p>
                    </w:tc>
                    <w:tc>
                      <w:tcPr>
                        <w:tcW w:w="720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10" w:right="10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3907</w:t>
                        </w:r>
                      </w:p>
                    </w:tc>
                    <w:tc>
                      <w:tcPr>
                        <w:tcW w:w="1086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36" w:right="2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1190.80</w:t>
                        </w:r>
                      </w:p>
                    </w:tc>
                    <w:tc>
                      <w:tcPr>
                        <w:tcW w:w="839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386" w:right="27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62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51" w:right="2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1104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223" w:right="29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5.3125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b/>
          <w:sz w:val="20"/>
        </w:rPr>
        <w:t>Table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27</w:t>
      </w:r>
      <w:r>
        <w:rPr>
          <w:b/>
          <w:spacing w:val="44"/>
          <w:sz w:val="20"/>
        </w:rPr>
        <w:t> </w:t>
      </w:r>
      <w:r>
        <w:rPr>
          <w:b/>
          <w:sz w:val="20"/>
        </w:rPr>
        <w:t>0.50-in.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sphere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striking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ultra-high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molecular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weight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polyethylene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(UHMWPE),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ECLT</w:t>
      </w:r>
      <w:r>
        <w:rPr>
          <w:b/>
          <w:spacing w:val="-47"/>
          <w:sz w:val="20"/>
        </w:rPr>
        <w:t> </w:t>
      </w:r>
      <w:r>
        <w:rPr>
          <w:b/>
          <w:sz w:val="20"/>
        </w:rPr>
        <w:t>specimens</w:t>
      </w: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spacing w:before="6"/>
        <w:rPr>
          <w:b/>
          <w:sz w:val="22"/>
        </w:rPr>
      </w:pPr>
    </w:p>
    <w:p>
      <w:pPr>
        <w:tabs>
          <w:tab w:pos="2151" w:val="left" w:leader="none"/>
        </w:tabs>
        <w:spacing w:before="0"/>
        <w:ind w:left="480" w:right="0" w:firstLine="0"/>
        <w:jc w:val="center"/>
        <w:rPr>
          <w:b/>
          <w:sz w:val="20"/>
        </w:rPr>
      </w:pPr>
      <w:r>
        <w:rPr>
          <w:b/>
          <w:w w:val="100"/>
          <w:sz w:val="20"/>
          <w:u w:val="single"/>
        </w:rPr>
        <w:t> </w:t>
      </w:r>
      <w:r>
        <w:rPr>
          <w:b/>
          <w:sz w:val="20"/>
          <w:u w:val="single"/>
        </w:rPr>
        <w:tab/>
      </w:r>
    </w:p>
    <w:p>
      <w:pPr>
        <w:spacing w:after="0"/>
        <w:jc w:val="center"/>
        <w:rPr>
          <w:sz w:val="20"/>
        </w:rPr>
        <w:sectPr>
          <w:pgSz w:w="12240" w:h="15840"/>
          <w:pgMar w:header="0" w:footer="1064" w:top="1380" w:bottom="1260" w:left="440" w:right="880"/>
        </w:sectPr>
      </w:pPr>
    </w:p>
    <w:p>
      <w:pPr>
        <w:spacing w:before="70"/>
        <w:ind w:left="3007" w:right="0" w:firstLine="0"/>
        <w:jc w:val="left"/>
        <w:rPr>
          <w:b/>
          <w:sz w:val="20"/>
        </w:rPr>
      </w:pPr>
      <w:r>
        <w:rPr/>
        <w:pict>
          <v:shape style="position:absolute;margin-left:150.397507pt;margin-top:26.995911pt;width:346.9pt;height:382.2pt;mso-position-horizontal-relative:page;mso-position-vertical-relative:paragraph;z-index:1591961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344"/>
                    <w:gridCol w:w="1062"/>
                    <w:gridCol w:w="746"/>
                    <w:gridCol w:w="1049"/>
                    <w:gridCol w:w="896"/>
                    <w:gridCol w:w="895"/>
                    <w:gridCol w:w="947"/>
                  </w:tblGrid>
                  <w:tr>
                    <w:trPr>
                      <w:trHeight w:val="508" w:hRule="atLeast"/>
                    </w:trPr>
                    <w:tc>
                      <w:tcPr>
                        <w:tcW w:w="1344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062" w:type="dxa"/>
                        <w:vMerge w:val="restart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0"/>
                          <w:rPr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59" w:lineRule="auto"/>
                          <w:ind w:left="229" w:right="163" w:hanging="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Powder</w:t>
                        </w:r>
                        <w:r>
                          <w:rPr>
                            <w:b/>
                            <w:spacing w:val="-47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Mass</w:t>
                        </w:r>
                        <w:r>
                          <w:rPr>
                            <w:b/>
                            <w:spacing w:val="1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(grains)</w:t>
                        </w:r>
                      </w:p>
                    </w:tc>
                    <w:tc>
                      <w:tcPr>
                        <w:tcW w:w="1795" w:type="dxa"/>
                        <w:gridSpan w:val="2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"/>
                          <w:rPr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23" w:lineRule="exact"/>
                          <w:ind w:left="19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Chrono-Based</w:t>
                        </w:r>
                      </w:p>
                    </w:tc>
                    <w:tc>
                      <w:tcPr>
                        <w:tcW w:w="1791" w:type="dxa"/>
                        <w:gridSpan w:val="2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"/>
                          <w:rPr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23" w:lineRule="exact"/>
                          <w:ind w:left="31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Chrono-Based</w:t>
                        </w:r>
                      </w:p>
                    </w:tc>
                    <w:tc>
                      <w:tcPr>
                        <w:tcW w:w="947" w:type="dxa"/>
                        <w:vMerge w:val="restart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47"/>
                          <w:ind w:left="23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DOP</w:t>
                        </w:r>
                      </w:p>
                      <w:p>
                        <w:pPr>
                          <w:pStyle w:val="TableParagraph"/>
                          <w:spacing w:before="18"/>
                          <w:ind w:left="29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(in)</w:t>
                        </w:r>
                      </w:p>
                    </w:tc>
                  </w:tr>
                  <w:tr>
                    <w:trPr>
                      <w:trHeight w:val="256" w:hRule="atLeast"/>
                    </w:trPr>
                    <w:tc>
                      <w:tcPr>
                        <w:tcW w:w="1344" w:type="dxa"/>
                      </w:tcPr>
                      <w:p>
                        <w:pPr>
                          <w:pStyle w:val="TableParagraph"/>
                          <w:spacing w:before="5"/>
                          <w:ind w:left="521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Shot</w:t>
                        </w:r>
                      </w:p>
                    </w:tc>
                    <w:tc>
                      <w:tcPr>
                        <w:tcW w:w="1062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46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049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896" w:type="dxa"/>
                      </w:tcPr>
                      <w:p>
                        <w:pPr>
                          <w:pStyle w:val="TableParagraph"/>
                          <w:tabs>
                            <w:tab w:pos="1746" w:val="left" w:leader="none"/>
                          </w:tabs>
                          <w:spacing w:before="5"/>
                          <w:ind w:left="126" w:right="-864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100"/>
                            <w:sz w:val="20"/>
                            <w:u w:val="single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  <w:u w:val="single"/>
                          </w:rPr>
                          <w:tab/>
                        </w:r>
                      </w:p>
                    </w:tc>
                    <w:tc>
                      <w:tcPr>
                        <w:tcW w:w="895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47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509" w:hRule="atLeast"/>
                    </w:trPr>
                    <w:tc>
                      <w:tcPr>
                        <w:tcW w:w="1344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062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46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172" w:right="165" w:firstLine="11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s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(fps)</w:t>
                        </w:r>
                      </w:p>
                    </w:tc>
                    <w:tc>
                      <w:tcPr>
                        <w:tcW w:w="1049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237" w:right="358" w:firstLine="141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s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(m/s)</w:t>
                        </w:r>
                      </w:p>
                    </w:tc>
                    <w:tc>
                      <w:tcPr>
                        <w:tcW w:w="896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335" w:right="152" w:firstLine="11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r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(fps)</w:t>
                        </w:r>
                      </w:p>
                    </w:tc>
                    <w:tc>
                      <w:tcPr>
                        <w:tcW w:w="895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38" w:lineRule="exact" w:before="13"/>
                          <w:ind w:left="227" w:right="214" w:firstLine="13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1"/>
                            <w:sz w:val="20"/>
                          </w:rPr>
                          <w:t>v</w:t>
                        </w:r>
                        <w:r>
                          <w:rPr>
                            <w:b/>
                            <w:sz w:val="13"/>
                          </w:rPr>
                          <w:t>r</w:t>
                        </w:r>
                        <w:r>
                          <w:rPr>
                            <w:b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(m/s)</w:t>
                        </w:r>
                      </w:p>
                    </w:tc>
                    <w:tc>
                      <w:tcPr>
                        <w:tcW w:w="947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318" w:hRule="atLeast"/>
                    </w:trPr>
                    <w:tc>
                      <w:tcPr>
                        <w:tcW w:w="1344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1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E-K1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062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right="27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102.0</w:t>
                        </w:r>
                      </w:p>
                    </w:tc>
                    <w:tc>
                      <w:tcPr>
                        <w:tcW w:w="746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22" w:right="13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2443</w:t>
                        </w:r>
                      </w:p>
                    </w:tc>
                    <w:tc>
                      <w:tcPr>
                        <w:tcW w:w="1049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7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744.59</w:t>
                        </w:r>
                      </w:p>
                    </w:tc>
                    <w:tc>
                      <w:tcPr>
                        <w:tcW w:w="896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46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895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99" w:right="10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47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55" w:right="20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4.0000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344" w:type="dxa"/>
                      </w:tcPr>
                      <w:p>
                        <w:pPr>
                          <w:pStyle w:val="TableParagraph"/>
                          <w:spacing w:before="31"/>
                          <w:ind w:left="11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E-K1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w="1062" w:type="dxa"/>
                      </w:tcPr>
                      <w:p>
                        <w:pPr>
                          <w:pStyle w:val="TableParagraph"/>
                          <w:spacing w:before="31"/>
                          <w:ind w:right="27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102.0</w:t>
                        </w:r>
                      </w:p>
                    </w:tc>
                    <w:tc>
                      <w:tcPr>
                        <w:tcW w:w="746" w:type="dxa"/>
                      </w:tcPr>
                      <w:p>
                        <w:pPr>
                          <w:pStyle w:val="TableParagraph"/>
                          <w:spacing w:before="31"/>
                          <w:ind w:left="123" w:right="13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2413</w:t>
                        </w:r>
                      </w:p>
                    </w:tc>
                    <w:tc>
                      <w:tcPr>
                        <w:tcW w:w="1049" w:type="dxa"/>
                      </w:tcPr>
                      <w:p>
                        <w:pPr>
                          <w:pStyle w:val="TableParagraph"/>
                          <w:spacing w:before="31"/>
                          <w:ind w:left="17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735.45</w:t>
                        </w:r>
                      </w:p>
                    </w:tc>
                    <w:tc>
                      <w:tcPr>
                        <w:tcW w:w="896" w:type="dxa"/>
                      </w:tcPr>
                      <w:p>
                        <w:pPr>
                          <w:pStyle w:val="TableParagraph"/>
                          <w:spacing w:before="31"/>
                          <w:ind w:left="46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895" w:type="dxa"/>
                      </w:tcPr>
                      <w:p>
                        <w:pPr>
                          <w:pStyle w:val="TableParagraph"/>
                          <w:spacing w:before="31"/>
                          <w:ind w:left="99" w:right="10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47" w:type="dxa"/>
                      </w:tcPr>
                      <w:p>
                        <w:pPr>
                          <w:pStyle w:val="TableParagraph"/>
                          <w:spacing w:before="31"/>
                          <w:ind w:left="155" w:right="20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3.4375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344" w:type="dxa"/>
                      </w:tcPr>
                      <w:p>
                        <w:pPr>
                          <w:pStyle w:val="TableParagraph"/>
                          <w:spacing w:before="31"/>
                          <w:ind w:left="11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E-K1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3</w:t>
                        </w:r>
                      </w:p>
                    </w:tc>
                    <w:tc>
                      <w:tcPr>
                        <w:tcW w:w="1062" w:type="dxa"/>
                      </w:tcPr>
                      <w:p>
                        <w:pPr>
                          <w:pStyle w:val="TableParagraph"/>
                          <w:spacing w:before="31"/>
                          <w:ind w:right="27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103.0</w:t>
                        </w:r>
                      </w:p>
                    </w:tc>
                    <w:tc>
                      <w:tcPr>
                        <w:tcW w:w="746" w:type="dxa"/>
                      </w:tcPr>
                      <w:p>
                        <w:pPr>
                          <w:pStyle w:val="TableParagraph"/>
                          <w:spacing w:before="31"/>
                          <w:ind w:left="122" w:right="13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2481</w:t>
                        </w:r>
                      </w:p>
                    </w:tc>
                    <w:tc>
                      <w:tcPr>
                        <w:tcW w:w="1049" w:type="dxa"/>
                      </w:tcPr>
                      <w:p>
                        <w:pPr>
                          <w:pStyle w:val="TableParagraph"/>
                          <w:spacing w:before="31"/>
                          <w:ind w:left="17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756.17</w:t>
                        </w:r>
                      </w:p>
                    </w:tc>
                    <w:tc>
                      <w:tcPr>
                        <w:tcW w:w="896" w:type="dxa"/>
                      </w:tcPr>
                      <w:p>
                        <w:pPr>
                          <w:pStyle w:val="TableParagraph"/>
                          <w:spacing w:before="31"/>
                          <w:ind w:left="46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895" w:type="dxa"/>
                      </w:tcPr>
                      <w:p>
                        <w:pPr>
                          <w:pStyle w:val="TableParagraph"/>
                          <w:spacing w:before="31"/>
                          <w:ind w:left="99" w:right="10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47" w:type="dxa"/>
                      </w:tcPr>
                      <w:p>
                        <w:pPr>
                          <w:pStyle w:val="TableParagraph"/>
                          <w:spacing w:before="31"/>
                          <w:ind w:left="155" w:right="20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4.3125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344" w:type="dxa"/>
                      </w:tcPr>
                      <w:p>
                        <w:pPr>
                          <w:pStyle w:val="TableParagraph"/>
                          <w:spacing w:before="31"/>
                          <w:ind w:left="11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E-K1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4</w:t>
                        </w:r>
                      </w:p>
                    </w:tc>
                    <w:tc>
                      <w:tcPr>
                        <w:tcW w:w="1062" w:type="dxa"/>
                      </w:tcPr>
                      <w:p>
                        <w:pPr>
                          <w:pStyle w:val="TableParagraph"/>
                          <w:spacing w:before="31"/>
                          <w:ind w:right="27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103.0</w:t>
                        </w:r>
                      </w:p>
                    </w:tc>
                    <w:tc>
                      <w:tcPr>
                        <w:tcW w:w="746" w:type="dxa"/>
                      </w:tcPr>
                      <w:p>
                        <w:pPr>
                          <w:pStyle w:val="TableParagraph"/>
                          <w:spacing w:before="31"/>
                          <w:ind w:left="122" w:right="13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2606</w:t>
                        </w:r>
                      </w:p>
                    </w:tc>
                    <w:tc>
                      <w:tcPr>
                        <w:tcW w:w="1049" w:type="dxa"/>
                      </w:tcPr>
                      <w:p>
                        <w:pPr>
                          <w:pStyle w:val="TableParagraph"/>
                          <w:spacing w:before="31"/>
                          <w:ind w:left="17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794.27</w:t>
                        </w:r>
                      </w:p>
                    </w:tc>
                    <w:tc>
                      <w:tcPr>
                        <w:tcW w:w="896" w:type="dxa"/>
                      </w:tcPr>
                      <w:p>
                        <w:pPr>
                          <w:pStyle w:val="TableParagraph"/>
                          <w:spacing w:before="31"/>
                          <w:ind w:left="46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895" w:type="dxa"/>
                      </w:tcPr>
                      <w:p>
                        <w:pPr>
                          <w:pStyle w:val="TableParagraph"/>
                          <w:spacing w:before="31"/>
                          <w:ind w:left="99" w:right="10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47" w:type="dxa"/>
                      </w:tcPr>
                      <w:p>
                        <w:pPr>
                          <w:pStyle w:val="TableParagraph"/>
                          <w:spacing w:before="31"/>
                          <w:ind w:left="155" w:right="20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5.4375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344" w:type="dxa"/>
                      </w:tcPr>
                      <w:p>
                        <w:pPr>
                          <w:pStyle w:val="TableParagraph"/>
                          <w:spacing w:before="31"/>
                          <w:ind w:left="11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E-K1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5</w:t>
                        </w:r>
                      </w:p>
                    </w:tc>
                    <w:tc>
                      <w:tcPr>
                        <w:tcW w:w="1062" w:type="dxa"/>
                      </w:tcPr>
                      <w:p>
                        <w:pPr>
                          <w:pStyle w:val="TableParagraph"/>
                          <w:spacing w:before="31"/>
                          <w:ind w:right="27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103.0</w:t>
                        </w:r>
                      </w:p>
                    </w:tc>
                    <w:tc>
                      <w:tcPr>
                        <w:tcW w:w="746" w:type="dxa"/>
                      </w:tcPr>
                      <w:p>
                        <w:pPr>
                          <w:pStyle w:val="TableParagraph"/>
                          <w:spacing w:before="31"/>
                          <w:ind w:left="122" w:right="13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2502</w:t>
                        </w:r>
                      </w:p>
                    </w:tc>
                    <w:tc>
                      <w:tcPr>
                        <w:tcW w:w="1049" w:type="dxa"/>
                      </w:tcPr>
                      <w:p>
                        <w:pPr>
                          <w:pStyle w:val="TableParagraph"/>
                          <w:spacing w:before="31"/>
                          <w:ind w:left="17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762.57</w:t>
                        </w:r>
                      </w:p>
                    </w:tc>
                    <w:tc>
                      <w:tcPr>
                        <w:tcW w:w="896" w:type="dxa"/>
                      </w:tcPr>
                      <w:p>
                        <w:pPr>
                          <w:pStyle w:val="TableParagraph"/>
                          <w:spacing w:before="31"/>
                          <w:ind w:left="46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895" w:type="dxa"/>
                      </w:tcPr>
                      <w:p>
                        <w:pPr>
                          <w:pStyle w:val="TableParagraph"/>
                          <w:spacing w:before="31"/>
                          <w:ind w:left="99" w:right="10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47" w:type="dxa"/>
                      </w:tcPr>
                      <w:p>
                        <w:pPr>
                          <w:pStyle w:val="TableParagraph"/>
                          <w:spacing w:before="31"/>
                          <w:ind w:left="155" w:right="20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3.2500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344" w:type="dxa"/>
                      </w:tcPr>
                      <w:p>
                        <w:pPr>
                          <w:pStyle w:val="TableParagraph"/>
                          <w:spacing w:before="31"/>
                          <w:ind w:left="11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E-K1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6</w:t>
                        </w:r>
                      </w:p>
                    </w:tc>
                    <w:tc>
                      <w:tcPr>
                        <w:tcW w:w="1062" w:type="dxa"/>
                      </w:tcPr>
                      <w:p>
                        <w:pPr>
                          <w:pStyle w:val="TableParagraph"/>
                          <w:spacing w:before="31"/>
                          <w:ind w:right="27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103.0</w:t>
                        </w:r>
                      </w:p>
                    </w:tc>
                    <w:tc>
                      <w:tcPr>
                        <w:tcW w:w="746" w:type="dxa"/>
                      </w:tcPr>
                      <w:p>
                        <w:pPr>
                          <w:pStyle w:val="TableParagraph"/>
                          <w:spacing w:before="31"/>
                          <w:ind w:left="122" w:right="13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2600</w:t>
                        </w:r>
                      </w:p>
                    </w:tc>
                    <w:tc>
                      <w:tcPr>
                        <w:tcW w:w="1049" w:type="dxa"/>
                      </w:tcPr>
                      <w:p>
                        <w:pPr>
                          <w:pStyle w:val="TableParagraph"/>
                          <w:spacing w:before="31"/>
                          <w:ind w:left="17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792.44</w:t>
                        </w:r>
                      </w:p>
                    </w:tc>
                    <w:tc>
                      <w:tcPr>
                        <w:tcW w:w="896" w:type="dxa"/>
                      </w:tcPr>
                      <w:p>
                        <w:pPr>
                          <w:pStyle w:val="TableParagraph"/>
                          <w:spacing w:before="31"/>
                          <w:ind w:left="46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895" w:type="dxa"/>
                      </w:tcPr>
                      <w:p>
                        <w:pPr>
                          <w:pStyle w:val="TableParagraph"/>
                          <w:spacing w:before="31"/>
                          <w:ind w:left="99" w:right="10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47" w:type="dxa"/>
                      </w:tcPr>
                      <w:p>
                        <w:pPr>
                          <w:pStyle w:val="TableParagraph"/>
                          <w:spacing w:before="31"/>
                          <w:ind w:left="155" w:right="20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4.6875</w:t>
                        </w:r>
                      </w:p>
                    </w:tc>
                  </w:tr>
                  <w:tr>
                    <w:trPr>
                      <w:trHeight w:val="281" w:hRule="atLeast"/>
                    </w:trPr>
                    <w:tc>
                      <w:tcPr>
                        <w:tcW w:w="1344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1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E-K1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7</w:t>
                        </w:r>
                      </w:p>
                    </w:tc>
                    <w:tc>
                      <w:tcPr>
                        <w:tcW w:w="1062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right="27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103.0</w:t>
                        </w:r>
                      </w:p>
                    </w:tc>
                    <w:tc>
                      <w:tcPr>
                        <w:tcW w:w="746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22" w:right="13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2621</w:t>
                        </w:r>
                      </w:p>
                    </w:tc>
                    <w:tc>
                      <w:tcPr>
                        <w:tcW w:w="1049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7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798.84</w:t>
                        </w:r>
                      </w:p>
                    </w:tc>
                    <w:tc>
                      <w:tcPr>
                        <w:tcW w:w="896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46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895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99" w:right="10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47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55" w:right="20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5.3750</w:t>
                        </w:r>
                      </w:p>
                    </w:tc>
                  </w:tr>
                  <w:tr>
                    <w:trPr>
                      <w:trHeight w:val="319" w:hRule="atLeast"/>
                    </w:trPr>
                    <w:tc>
                      <w:tcPr>
                        <w:tcW w:w="1344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0"/>
                          <w:ind w:left="11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E-K2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062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0"/>
                          <w:ind w:right="27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103.0</w:t>
                        </w:r>
                      </w:p>
                    </w:tc>
                    <w:tc>
                      <w:tcPr>
                        <w:tcW w:w="746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0"/>
                          <w:ind w:left="122" w:right="13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2407</w:t>
                        </w:r>
                      </w:p>
                    </w:tc>
                    <w:tc>
                      <w:tcPr>
                        <w:tcW w:w="1049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0"/>
                          <w:ind w:left="17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733.62</w:t>
                        </w:r>
                      </w:p>
                    </w:tc>
                    <w:tc>
                      <w:tcPr>
                        <w:tcW w:w="896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0"/>
                          <w:ind w:left="46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895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0"/>
                          <w:ind w:left="99" w:right="10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47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0"/>
                          <w:ind w:left="155" w:right="20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4.2500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344" w:type="dxa"/>
                      </w:tcPr>
                      <w:p>
                        <w:pPr>
                          <w:pStyle w:val="TableParagraph"/>
                          <w:spacing w:before="31"/>
                          <w:ind w:left="11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E-K2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w="1062" w:type="dxa"/>
                      </w:tcPr>
                      <w:p>
                        <w:pPr>
                          <w:pStyle w:val="TableParagraph"/>
                          <w:spacing w:before="31"/>
                          <w:ind w:right="27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103.0</w:t>
                        </w:r>
                      </w:p>
                    </w:tc>
                    <w:tc>
                      <w:tcPr>
                        <w:tcW w:w="746" w:type="dxa"/>
                      </w:tcPr>
                      <w:p>
                        <w:pPr>
                          <w:pStyle w:val="TableParagraph"/>
                          <w:spacing w:before="31"/>
                          <w:ind w:left="122" w:right="13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2347</w:t>
                        </w:r>
                      </w:p>
                    </w:tc>
                    <w:tc>
                      <w:tcPr>
                        <w:tcW w:w="1049" w:type="dxa"/>
                      </w:tcPr>
                      <w:p>
                        <w:pPr>
                          <w:pStyle w:val="TableParagraph"/>
                          <w:spacing w:before="31"/>
                          <w:ind w:left="17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715.33</w:t>
                        </w:r>
                      </w:p>
                    </w:tc>
                    <w:tc>
                      <w:tcPr>
                        <w:tcW w:w="896" w:type="dxa"/>
                      </w:tcPr>
                      <w:p>
                        <w:pPr>
                          <w:pStyle w:val="TableParagraph"/>
                          <w:spacing w:before="31"/>
                          <w:ind w:left="46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895" w:type="dxa"/>
                      </w:tcPr>
                      <w:p>
                        <w:pPr>
                          <w:pStyle w:val="TableParagraph"/>
                          <w:spacing w:before="31"/>
                          <w:ind w:left="99" w:right="10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47" w:type="dxa"/>
                      </w:tcPr>
                      <w:p>
                        <w:pPr>
                          <w:pStyle w:val="TableParagraph"/>
                          <w:spacing w:before="31"/>
                          <w:ind w:left="155" w:right="20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4.0313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344" w:type="dxa"/>
                      </w:tcPr>
                      <w:p>
                        <w:pPr>
                          <w:pStyle w:val="TableParagraph"/>
                          <w:spacing w:before="31"/>
                          <w:ind w:left="11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E-K2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3</w:t>
                        </w:r>
                      </w:p>
                    </w:tc>
                    <w:tc>
                      <w:tcPr>
                        <w:tcW w:w="1062" w:type="dxa"/>
                      </w:tcPr>
                      <w:p>
                        <w:pPr>
                          <w:pStyle w:val="TableParagraph"/>
                          <w:spacing w:before="31"/>
                          <w:ind w:right="27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103.0</w:t>
                        </w:r>
                      </w:p>
                    </w:tc>
                    <w:tc>
                      <w:tcPr>
                        <w:tcW w:w="746" w:type="dxa"/>
                      </w:tcPr>
                      <w:p>
                        <w:pPr>
                          <w:pStyle w:val="TableParagraph"/>
                          <w:spacing w:before="31"/>
                          <w:ind w:left="122" w:right="13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2510</w:t>
                        </w:r>
                      </w:p>
                    </w:tc>
                    <w:tc>
                      <w:tcPr>
                        <w:tcW w:w="1049" w:type="dxa"/>
                      </w:tcPr>
                      <w:p>
                        <w:pPr>
                          <w:pStyle w:val="TableParagraph"/>
                          <w:spacing w:before="31"/>
                          <w:ind w:left="17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765.01</w:t>
                        </w:r>
                      </w:p>
                    </w:tc>
                    <w:tc>
                      <w:tcPr>
                        <w:tcW w:w="896" w:type="dxa"/>
                      </w:tcPr>
                      <w:p>
                        <w:pPr>
                          <w:pStyle w:val="TableParagraph"/>
                          <w:spacing w:before="31"/>
                          <w:ind w:left="46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895" w:type="dxa"/>
                      </w:tcPr>
                      <w:p>
                        <w:pPr>
                          <w:pStyle w:val="TableParagraph"/>
                          <w:spacing w:before="31"/>
                          <w:ind w:left="99" w:right="10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47" w:type="dxa"/>
                      </w:tcPr>
                      <w:p>
                        <w:pPr>
                          <w:pStyle w:val="TableParagraph"/>
                          <w:spacing w:before="31"/>
                          <w:ind w:left="155" w:right="20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4.1250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344" w:type="dxa"/>
                      </w:tcPr>
                      <w:p>
                        <w:pPr>
                          <w:pStyle w:val="TableParagraph"/>
                          <w:spacing w:before="31"/>
                          <w:ind w:left="11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E-K2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4</w:t>
                        </w:r>
                      </w:p>
                    </w:tc>
                    <w:tc>
                      <w:tcPr>
                        <w:tcW w:w="1062" w:type="dxa"/>
                      </w:tcPr>
                      <w:p>
                        <w:pPr>
                          <w:pStyle w:val="TableParagraph"/>
                          <w:spacing w:before="31"/>
                          <w:ind w:right="27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103.0</w:t>
                        </w:r>
                      </w:p>
                    </w:tc>
                    <w:tc>
                      <w:tcPr>
                        <w:tcW w:w="746" w:type="dxa"/>
                      </w:tcPr>
                      <w:p>
                        <w:pPr>
                          <w:pStyle w:val="TableParagraph"/>
                          <w:spacing w:before="31"/>
                          <w:ind w:left="122" w:right="13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2435</w:t>
                        </w:r>
                      </w:p>
                    </w:tc>
                    <w:tc>
                      <w:tcPr>
                        <w:tcW w:w="1049" w:type="dxa"/>
                      </w:tcPr>
                      <w:p>
                        <w:pPr>
                          <w:pStyle w:val="TableParagraph"/>
                          <w:spacing w:before="31"/>
                          <w:ind w:left="17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742.15</w:t>
                        </w:r>
                      </w:p>
                    </w:tc>
                    <w:tc>
                      <w:tcPr>
                        <w:tcW w:w="896" w:type="dxa"/>
                      </w:tcPr>
                      <w:p>
                        <w:pPr>
                          <w:pStyle w:val="TableParagraph"/>
                          <w:spacing w:before="31"/>
                          <w:ind w:left="46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895" w:type="dxa"/>
                      </w:tcPr>
                      <w:p>
                        <w:pPr>
                          <w:pStyle w:val="TableParagraph"/>
                          <w:spacing w:before="31"/>
                          <w:ind w:left="99" w:right="10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47" w:type="dxa"/>
                      </w:tcPr>
                      <w:p>
                        <w:pPr>
                          <w:pStyle w:val="TableParagraph"/>
                          <w:spacing w:before="31"/>
                          <w:ind w:left="155" w:right="20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4.6250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344" w:type="dxa"/>
                      </w:tcPr>
                      <w:p>
                        <w:pPr>
                          <w:pStyle w:val="TableParagraph"/>
                          <w:spacing w:before="31"/>
                          <w:ind w:left="11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E-K2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5</w:t>
                        </w:r>
                      </w:p>
                    </w:tc>
                    <w:tc>
                      <w:tcPr>
                        <w:tcW w:w="1062" w:type="dxa"/>
                      </w:tcPr>
                      <w:p>
                        <w:pPr>
                          <w:pStyle w:val="TableParagraph"/>
                          <w:spacing w:before="31"/>
                          <w:ind w:right="27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103.0</w:t>
                        </w:r>
                      </w:p>
                    </w:tc>
                    <w:tc>
                      <w:tcPr>
                        <w:tcW w:w="746" w:type="dxa"/>
                      </w:tcPr>
                      <w:p>
                        <w:pPr>
                          <w:pStyle w:val="TableParagraph"/>
                          <w:spacing w:before="31"/>
                          <w:ind w:left="122" w:right="13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2625</w:t>
                        </w:r>
                      </w:p>
                    </w:tc>
                    <w:tc>
                      <w:tcPr>
                        <w:tcW w:w="1049" w:type="dxa"/>
                      </w:tcPr>
                      <w:p>
                        <w:pPr>
                          <w:pStyle w:val="TableParagraph"/>
                          <w:spacing w:before="31"/>
                          <w:ind w:left="17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800.06</w:t>
                        </w:r>
                      </w:p>
                    </w:tc>
                    <w:tc>
                      <w:tcPr>
                        <w:tcW w:w="896" w:type="dxa"/>
                      </w:tcPr>
                      <w:p>
                        <w:pPr>
                          <w:pStyle w:val="TableParagraph"/>
                          <w:spacing w:before="31"/>
                          <w:ind w:left="46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895" w:type="dxa"/>
                      </w:tcPr>
                      <w:p>
                        <w:pPr>
                          <w:pStyle w:val="TableParagraph"/>
                          <w:spacing w:before="31"/>
                          <w:ind w:left="99" w:right="10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47" w:type="dxa"/>
                      </w:tcPr>
                      <w:p>
                        <w:pPr>
                          <w:pStyle w:val="TableParagraph"/>
                          <w:spacing w:before="31"/>
                          <w:ind w:left="155" w:right="20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5.8125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344" w:type="dxa"/>
                      </w:tcPr>
                      <w:p>
                        <w:pPr>
                          <w:pStyle w:val="TableParagraph"/>
                          <w:spacing w:before="31"/>
                          <w:ind w:left="11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E-K2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6</w:t>
                        </w:r>
                      </w:p>
                    </w:tc>
                    <w:tc>
                      <w:tcPr>
                        <w:tcW w:w="1062" w:type="dxa"/>
                      </w:tcPr>
                      <w:p>
                        <w:pPr>
                          <w:pStyle w:val="TableParagraph"/>
                          <w:spacing w:before="31"/>
                          <w:ind w:right="27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103.0</w:t>
                        </w:r>
                      </w:p>
                    </w:tc>
                    <w:tc>
                      <w:tcPr>
                        <w:tcW w:w="746" w:type="dxa"/>
                      </w:tcPr>
                      <w:p>
                        <w:pPr>
                          <w:pStyle w:val="TableParagraph"/>
                          <w:spacing w:before="31"/>
                          <w:ind w:left="122" w:right="13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2601</w:t>
                        </w:r>
                      </w:p>
                    </w:tc>
                    <w:tc>
                      <w:tcPr>
                        <w:tcW w:w="1049" w:type="dxa"/>
                      </w:tcPr>
                      <w:p>
                        <w:pPr>
                          <w:pStyle w:val="TableParagraph"/>
                          <w:spacing w:before="31"/>
                          <w:ind w:left="17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792.75</w:t>
                        </w:r>
                      </w:p>
                    </w:tc>
                    <w:tc>
                      <w:tcPr>
                        <w:tcW w:w="896" w:type="dxa"/>
                      </w:tcPr>
                      <w:p>
                        <w:pPr>
                          <w:pStyle w:val="TableParagraph"/>
                          <w:spacing w:before="31"/>
                          <w:ind w:left="46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895" w:type="dxa"/>
                      </w:tcPr>
                      <w:p>
                        <w:pPr>
                          <w:pStyle w:val="TableParagraph"/>
                          <w:spacing w:before="31"/>
                          <w:ind w:left="99" w:right="10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47" w:type="dxa"/>
                      </w:tcPr>
                      <w:p>
                        <w:pPr>
                          <w:pStyle w:val="TableParagraph"/>
                          <w:spacing w:before="31"/>
                          <w:ind w:left="155" w:right="20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5.6250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344" w:type="dxa"/>
                      </w:tcPr>
                      <w:p>
                        <w:pPr>
                          <w:pStyle w:val="TableParagraph"/>
                          <w:spacing w:before="31"/>
                          <w:ind w:left="11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E-K2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7</w:t>
                        </w:r>
                      </w:p>
                    </w:tc>
                    <w:tc>
                      <w:tcPr>
                        <w:tcW w:w="1062" w:type="dxa"/>
                      </w:tcPr>
                      <w:p>
                        <w:pPr>
                          <w:pStyle w:val="TableParagraph"/>
                          <w:spacing w:before="31"/>
                          <w:ind w:right="27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103.0</w:t>
                        </w:r>
                      </w:p>
                    </w:tc>
                    <w:tc>
                      <w:tcPr>
                        <w:tcW w:w="746" w:type="dxa"/>
                      </w:tcPr>
                      <w:p>
                        <w:pPr>
                          <w:pStyle w:val="TableParagraph"/>
                          <w:spacing w:before="31"/>
                          <w:ind w:left="122" w:right="13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2483</w:t>
                        </w:r>
                      </w:p>
                    </w:tc>
                    <w:tc>
                      <w:tcPr>
                        <w:tcW w:w="1049" w:type="dxa"/>
                      </w:tcPr>
                      <w:p>
                        <w:pPr>
                          <w:pStyle w:val="TableParagraph"/>
                          <w:spacing w:before="31"/>
                          <w:ind w:left="17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756.78</w:t>
                        </w:r>
                      </w:p>
                    </w:tc>
                    <w:tc>
                      <w:tcPr>
                        <w:tcW w:w="896" w:type="dxa"/>
                      </w:tcPr>
                      <w:p>
                        <w:pPr>
                          <w:pStyle w:val="TableParagraph"/>
                          <w:spacing w:before="31"/>
                          <w:ind w:left="46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895" w:type="dxa"/>
                      </w:tcPr>
                      <w:p>
                        <w:pPr>
                          <w:pStyle w:val="TableParagraph"/>
                          <w:spacing w:before="31"/>
                          <w:ind w:left="99" w:right="10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47" w:type="dxa"/>
                      </w:tcPr>
                      <w:p>
                        <w:pPr>
                          <w:pStyle w:val="TableParagraph"/>
                          <w:spacing w:before="31"/>
                          <w:ind w:left="155" w:right="20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3.8750</w:t>
                        </w:r>
                      </w:p>
                    </w:tc>
                  </w:tr>
                  <w:tr>
                    <w:trPr>
                      <w:trHeight w:val="281" w:hRule="atLeast"/>
                    </w:trPr>
                    <w:tc>
                      <w:tcPr>
                        <w:tcW w:w="1344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1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E-K2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8</w:t>
                        </w:r>
                      </w:p>
                    </w:tc>
                    <w:tc>
                      <w:tcPr>
                        <w:tcW w:w="1062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right="27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103.0</w:t>
                        </w:r>
                      </w:p>
                    </w:tc>
                    <w:tc>
                      <w:tcPr>
                        <w:tcW w:w="746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22" w:right="13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2619</w:t>
                        </w:r>
                      </w:p>
                    </w:tc>
                    <w:tc>
                      <w:tcPr>
                        <w:tcW w:w="1049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7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798.23</w:t>
                        </w:r>
                      </w:p>
                    </w:tc>
                    <w:tc>
                      <w:tcPr>
                        <w:tcW w:w="896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46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895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99" w:right="10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47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55" w:right="20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5.5000</w:t>
                        </w:r>
                      </w:p>
                    </w:tc>
                  </w:tr>
                  <w:tr>
                    <w:trPr>
                      <w:trHeight w:val="318" w:hRule="atLeast"/>
                    </w:trPr>
                    <w:tc>
                      <w:tcPr>
                        <w:tcW w:w="1344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1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E-K3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062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right="27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124.0</w:t>
                        </w:r>
                      </w:p>
                    </w:tc>
                    <w:tc>
                      <w:tcPr>
                        <w:tcW w:w="746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22" w:right="13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3041</w:t>
                        </w:r>
                      </w:p>
                    </w:tc>
                    <w:tc>
                      <w:tcPr>
                        <w:tcW w:w="1049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7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926.85</w:t>
                        </w:r>
                      </w:p>
                    </w:tc>
                    <w:tc>
                      <w:tcPr>
                        <w:tcW w:w="896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37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343</w:t>
                        </w:r>
                      </w:p>
                    </w:tc>
                    <w:tc>
                      <w:tcPr>
                        <w:tcW w:w="895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97" w:right="10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104.54</w:t>
                        </w:r>
                      </w:p>
                    </w:tc>
                    <w:tc>
                      <w:tcPr>
                        <w:tcW w:w="947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155" w:right="20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344" w:type="dxa"/>
                      </w:tcPr>
                      <w:p>
                        <w:pPr>
                          <w:pStyle w:val="TableParagraph"/>
                          <w:spacing w:before="31"/>
                          <w:ind w:left="11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E-K3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w="1062" w:type="dxa"/>
                      </w:tcPr>
                      <w:p>
                        <w:pPr>
                          <w:pStyle w:val="TableParagraph"/>
                          <w:spacing w:before="31"/>
                          <w:ind w:right="27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118.0</w:t>
                        </w:r>
                      </w:p>
                    </w:tc>
                    <w:tc>
                      <w:tcPr>
                        <w:tcW w:w="746" w:type="dxa"/>
                      </w:tcPr>
                      <w:p>
                        <w:pPr>
                          <w:pStyle w:val="TableParagraph"/>
                          <w:spacing w:before="31"/>
                          <w:ind w:left="122" w:right="13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2992</w:t>
                        </w:r>
                      </w:p>
                    </w:tc>
                    <w:tc>
                      <w:tcPr>
                        <w:tcW w:w="1049" w:type="dxa"/>
                      </w:tcPr>
                      <w:p>
                        <w:pPr>
                          <w:pStyle w:val="TableParagraph"/>
                          <w:spacing w:before="31"/>
                          <w:ind w:left="17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911.92</w:t>
                        </w:r>
                      </w:p>
                    </w:tc>
                    <w:tc>
                      <w:tcPr>
                        <w:tcW w:w="896" w:type="dxa"/>
                      </w:tcPr>
                      <w:p>
                        <w:pPr>
                          <w:pStyle w:val="TableParagraph"/>
                          <w:spacing w:before="31"/>
                          <w:ind w:left="37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429</w:t>
                        </w:r>
                      </w:p>
                    </w:tc>
                    <w:tc>
                      <w:tcPr>
                        <w:tcW w:w="895" w:type="dxa"/>
                      </w:tcPr>
                      <w:p>
                        <w:pPr>
                          <w:pStyle w:val="TableParagraph"/>
                          <w:spacing w:before="31"/>
                          <w:ind w:left="97" w:right="10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130.75</w:t>
                        </w:r>
                      </w:p>
                    </w:tc>
                    <w:tc>
                      <w:tcPr>
                        <w:tcW w:w="947" w:type="dxa"/>
                      </w:tcPr>
                      <w:p>
                        <w:pPr>
                          <w:pStyle w:val="TableParagraph"/>
                          <w:spacing w:before="31"/>
                          <w:ind w:left="155" w:right="20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344" w:type="dxa"/>
                      </w:tcPr>
                      <w:p>
                        <w:pPr>
                          <w:pStyle w:val="TableParagraph"/>
                          <w:spacing w:before="31"/>
                          <w:ind w:left="11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E-K3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3</w:t>
                        </w:r>
                      </w:p>
                    </w:tc>
                    <w:tc>
                      <w:tcPr>
                        <w:tcW w:w="1062" w:type="dxa"/>
                      </w:tcPr>
                      <w:p>
                        <w:pPr>
                          <w:pStyle w:val="TableParagraph"/>
                          <w:spacing w:before="31"/>
                          <w:ind w:right="27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114.5</w:t>
                        </w:r>
                      </w:p>
                    </w:tc>
                    <w:tc>
                      <w:tcPr>
                        <w:tcW w:w="746" w:type="dxa"/>
                      </w:tcPr>
                      <w:p>
                        <w:pPr>
                          <w:pStyle w:val="TableParagraph"/>
                          <w:spacing w:before="31"/>
                          <w:ind w:left="122" w:right="13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2851</w:t>
                        </w:r>
                      </w:p>
                    </w:tc>
                    <w:tc>
                      <w:tcPr>
                        <w:tcW w:w="1049" w:type="dxa"/>
                      </w:tcPr>
                      <w:p>
                        <w:pPr>
                          <w:pStyle w:val="TableParagraph"/>
                          <w:spacing w:before="31"/>
                          <w:ind w:left="17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868.94</w:t>
                        </w:r>
                      </w:p>
                    </w:tc>
                    <w:tc>
                      <w:tcPr>
                        <w:tcW w:w="896" w:type="dxa"/>
                      </w:tcPr>
                      <w:p>
                        <w:pPr>
                          <w:pStyle w:val="TableParagraph"/>
                          <w:spacing w:before="31"/>
                          <w:ind w:left="46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895" w:type="dxa"/>
                      </w:tcPr>
                      <w:p>
                        <w:pPr>
                          <w:pStyle w:val="TableParagraph"/>
                          <w:spacing w:before="31"/>
                          <w:ind w:left="99" w:right="10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47" w:type="dxa"/>
                      </w:tcPr>
                      <w:p>
                        <w:pPr>
                          <w:pStyle w:val="TableParagraph"/>
                          <w:spacing w:before="31"/>
                          <w:ind w:left="155" w:right="20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6.4375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344" w:type="dxa"/>
                      </w:tcPr>
                      <w:p>
                        <w:pPr>
                          <w:pStyle w:val="TableParagraph"/>
                          <w:spacing w:before="31"/>
                          <w:ind w:left="11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E-K3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4</w:t>
                        </w:r>
                      </w:p>
                    </w:tc>
                    <w:tc>
                      <w:tcPr>
                        <w:tcW w:w="1062" w:type="dxa"/>
                      </w:tcPr>
                      <w:p>
                        <w:pPr>
                          <w:pStyle w:val="TableParagraph"/>
                          <w:spacing w:before="31"/>
                          <w:ind w:right="27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116.5</w:t>
                        </w:r>
                      </w:p>
                    </w:tc>
                    <w:tc>
                      <w:tcPr>
                        <w:tcW w:w="746" w:type="dxa"/>
                      </w:tcPr>
                      <w:p>
                        <w:pPr>
                          <w:pStyle w:val="TableParagraph"/>
                          <w:spacing w:before="31"/>
                          <w:ind w:left="122" w:right="13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2866</w:t>
                        </w:r>
                      </w:p>
                    </w:tc>
                    <w:tc>
                      <w:tcPr>
                        <w:tcW w:w="1049" w:type="dxa"/>
                      </w:tcPr>
                      <w:p>
                        <w:pPr>
                          <w:pStyle w:val="TableParagraph"/>
                          <w:spacing w:before="31"/>
                          <w:ind w:left="17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873.51</w:t>
                        </w:r>
                      </w:p>
                    </w:tc>
                    <w:tc>
                      <w:tcPr>
                        <w:tcW w:w="896" w:type="dxa"/>
                      </w:tcPr>
                      <w:p>
                        <w:pPr>
                          <w:pStyle w:val="TableParagraph"/>
                          <w:spacing w:before="31"/>
                          <w:ind w:left="46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895" w:type="dxa"/>
                      </w:tcPr>
                      <w:p>
                        <w:pPr>
                          <w:pStyle w:val="TableParagraph"/>
                          <w:spacing w:before="31"/>
                          <w:ind w:left="99" w:right="10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47" w:type="dxa"/>
                      </w:tcPr>
                      <w:p>
                        <w:pPr>
                          <w:pStyle w:val="TableParagraph"/>
                          <w:spacing w:before="31"/>
                          <w:ind w:left="155" w:right="20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6.1250</w:t>
                        </w:r>
                      </w:p>
                    </w:tc>
                  </w:tr>
                  <w:tr>
                    <w:trPr>
                      <w:trHeight w:val="300" w:hRule="atLeast"/>
                    </w:trPr>
                    <w:tc>
                      <w:tcPr>
                        <w:tcW w:w="1344" w:type="dxa"/>
                      </w:tcPr>
                      <w:p>
                        <w:pPr>
                          <w:pStyle w:val="TableParagraph"/>
                          <w:spacing w:before="31"/>
                          <w:ind w:left="11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E-K3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5</w:t>
                        </w:r>
                      </w:p>
                    </w:tc>
                    <w:tc>
                      <w:tcPr>
                        <w:tcW w:w="1062" w:type="dxa"/>
                      </w:tcPr>
                      <w:p>
                        <w:pPr>
                          <w:pStyle w:val="TableParagraph"/>
                          <w:spacing w:before="31"/>
                          <w:ind w:right="27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119.0</w:t>
                        </w:r>
                      </w:p>
                    </w:tc>
                    <w:tc>
                      <w:tcPr>
                        <w:tcW w:w="746" w:type="dxa"/>
                      </w:tcPr>
                      <w:p>
                        <w:pPr>
                          <w:pStyle w:val="TableParagraph"/>
                          <w:spacing w:before="31"/>
                          <w:ind w:left="122" w:right="13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2952</w:t>
                        </w:r>
                      </w:p>
                    </w:tc>
                    <w:tc>
                      <w:tcPr>
                        <w:tcW w:w="1049" w:type="dxa"/>
                      </w:tcPr>
                      <w:p>
                        <w:pPr>
                          <w:pStyle w:val="TableParagraph"/>
                          <w:spacing w:before="31"/>
                          <w:ind w:left="17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899.73</w:t>
                        </w:r>
                      </w:p>
                    </w:tc>
                    <w:tc>
                      <w:tcPr>
                        <w:tcW w:w="896" w:type="dxa"/>
                      </w:tcPr>
                      <w:p>
                        <w:pPr>
                          <w:pStyle w:val="TableParagraph"/>
                          <w:spacing w:before="31"/>
                          <w:ind w:left="37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426</w:t>
                        </w:r>
                      </w:p>
                    </w:tc>
                    <w:tc>
                      <w:tcPr>
                        <w:tcW w:w="895" w:type="dxa"/>
                      </w:tcPr>
                      <w:p>
                        <w:pPr>
                          <w:pStyle w:val="TableParagraph"/>
                          <w:spacing w:before="31"/>
                          <w:ind w:left="97" w:right="10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129.84</w:t>
                        </w:r>
                      </w:p>
                    </w:tc>
                    <w:tc>
                      <w:tcPr>
                        <w:tcW w:w="947" w:type="dxa"/>
                      </w:tcPr>
                      <w:p>
                        <w:pPr>
                          <w:pStyle w:val="TableParagraph"/>
                          <w:spacing w:before="31"/>
                          <w:ind w:left="155" w:right="20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</w:tr>
                  <w:tr>
                    <w:trPr>
                      <w:trHeight w:val="281" w:hRule="atLeast"/>
                    </w:trPr>
                    <w:tc>
                      <w:tcPr>
                        <w:tcW w:w="1344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1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E-K3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Shot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6</w:t>
                        </w:r>
                      </w:p>
                    </w:tc>
                    <w:tc>
                      <w:tcPr>
                        <w:tcW w:w="1062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right="27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118.0</w:t>
                        </w:r>
                      </w:p>
                    </w:tc>
                    <w:tc>
                      <w:tcPr>
                        <w:tcW w:w="746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22" w:right="13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2878</w:t>
                        </w:r>
                      </w:p>
                    </w:tc>
                    <w:tc>
                      <w:tcPr>
                        <w:tcW w:w="1049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7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877.17</w:t>
                        </w:r>
                      </w:p>
                    </w:tc>
                    <w:tc>
                      <w:tcPr>
                        <w:tcW w:w="896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46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895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99" w:right="10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--</w:t>
                        </w:r>
                      </w:p>
                    </w:tc>
                    <w:tc>
                      <w:tcPr>
                        <w:tcW w:w="947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1"/>
                          <w:ind w:left="155" w:right="20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6.7500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b/>
          <w:sz w:val="20"/>
        </w:rPr>
        <w:t>Table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28</w:t>
      </w:r>
      <w:r>
        <w:rPr>
          <w:b/>
          <w:spacing w:val="46"/>
          <w:sz w:val="20"/>
        </w:rPr>
        <w:t> </w:t>
      </w:r>
      <w:r>
        <w:rPr>
          <w:b/>
          <w:sz w:val="20"/>
        </w:rPr>
        <w:t>0.50-in.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sphere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striking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aramid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epoxy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plate,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ECLT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specimens</w:t>
      </w: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spacing w:before="2"/>
        <w:rPr>
          <w:b/>
          <w:sz w:val="23"/>
        </w:rPr>
      </w:pPr>
    </w:p>
    <w:p>
      <w:pPr>
        <w:tabs>
          <w:tab w:pos="2331" w:val="left" w:leader="none"/>
        </w:tabs>
        <w:spacing w:before="1"/>
        <w:ind w:left="660" w:right="0" w:firstLine="0"/>
        <w:jc w:val="center"/>
        <w:rPr>
          <w:b/>
          <w:sz w:val="20"/>
        </w:rPr>
      </w:pPr>
      <w:r>
        <w:rPr>
          <w:b/>
          <w:w w:val="100"/>
          <w:sz w:val="20"/>
          <w:u w:val="single"/>
        </w:rPr>
        <w:t> </w:t>
      </w:r>
      <w:r>
        <w:rPr>
          <w:b/>
          <w:sz w:val="20"/>
          <w:u w:val="single"/>
        </w:rPr>
        <w:tab/>
      </w:r>
    </w:p>
    <w:p>
      <w:pPr>
        <w:spacing w:after="0"/>
        <w:jc w:val="center"/>
        <w:rPr>
          <w:sz w:val="20"/>
        </w:rPr>
        <w:sectPr>
          <w:pgSz w:w="12240" w:h="15840"/>
          <w:pgMar w:header="0" w:footer="1064" w:top="1380" w:bottom="1260" w:left="440" w:right="8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7"/>
        </w:rPr>
      </w:pPr>
    </w:p>
    <w:p>
      <w:pPr>
        <w:spacing w:before="92"/>
        <w:ind w:left="5017" w:right="0" w:firstLine="0"/>
        <w:jc w:val="left"/>
        <w:rPr>
          <w:rFonts w:ascii="Arial"/>
          <w:b/>
          <w:sz w:val="28"/>
        </w:rPr>
      </w:pPr>
      <w:r>
        <w:rPr/>
        <w:drawing>
          <wp:anchor distT="0" distB="0" distL="0" distR="0" allowOverlap="1" layoutInCell="1" locked="0" behindDoc="0" simplePos="0" relativeHeight="15921152">
            <wp:simplePos x="0" y="0"/>
            <wp:positionH relativeFrom="page">
              <wp:posOffset>914399</wp:posOffset>
            </wp:positionH>
            <wp:positionV relativeFrom="paragraph">
              <wp:posOffset>11960</wp:posOffset>
            </wp:positionV>
            <wp:extent cx="2320289" cy="2320289"/>
            <wp:effectExtent l="0" t="0" r="0" b="0"/>
            <wp:wrapNone/>
            <wp:docPr id="271" name="image45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457.jpeg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0289" cy="23202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Woven Roving Spec sheet.pdf" w:id="642"/>
      <w:bookmarkEnd w:id="642"/>
      <w:r>
        <w:rPr/>
      </w:r>
      <w:r>
        <w:rPr>
          <w:rFonts w:ascii="Arial"/>
          <w:b/>
          <w:color w:val="003399"/>
          <w:w w:val="90"/>
          <w:sz w:val="28"/>
        </w:rPr>
        <w:t>Woven</w:t>
      </w:r>
      <w:r>
        <w:rPr>
          <w:rFonts w:ascii="Arial"/>
          <w:b/>
          <w:color w:val="003399"/>
          <w:spacing w:val="-6"/>
          <w:w w:val="90"/>
          <w:sz w:val="28"/>
        </w:rPr>
        <w:t> </w:t>
      </w:r>
      <w:r>
        <w:rPr>
          <w:rFonts w:ascii="Arial"/>
          <w:b/>
          <w:color w:val="003399"/>
          <w:w w:val="90"/>
          <w:sz w:val="28"/>
        </w:rPr>
        <w:t>Roving</w:t>
      </w:r>
    </w:p>
    <w:p>
      <w:pPr>
        <w:spacing w:before="133"/>
        <w:ind w:left="5017" w:right="0" w:firstLine="0"/>
        <w:jc w:val="left"/>
        <w:rPr>
          <w:rFonts w:ascii="Arial"/>
          <w:i/>
          <w:sz w:val="15"/>
        </w:rPr>
      </w:pPr>
      <w:r>
        <w:rPr>
          <w:rFonts w:ascii="Arial"/>
          <w:i/>
          <w:color w:val="455560"/>
          <w:sz w:val="15"/>
        </w:rPr>
        <w:t>Part #</w:t>
      </w:r>
      <w:r>
        <w:rPr>
          <w:rFonts w:ascii="Arial"/>
          <w:i/>
          <w:color w:val="455560"/>
          <w:spacing w:val="-1"/>
          <w:sz w:val="15"/>
        </w:rPr>
        <w:t> </w:t>
      </w:r>
      <w:r>
        <w:rPr>
          <w:rFonts w:ascii="Arial"/>
          <w:i/>
          <w:color w:val="455560"/>
          <w:sz w:val="15"/>
        </w:rPr>
        <w:t>-</w:t>
      </w:r>
      <w:r>
        <w:rPr>
          <w:rFonts w:ascii="Arial"/>
          <w:i/>
          <w:color w:val="455560"/>
          <w:spacing w:val="-1"/>
          <w:sz w:val="15"/>
        </w:rPr>
        <w:t> </w:t>
      </w:r>
      <w:r>
        <w:rPr>
          <w:rFonts w:ascii="Arial"/>
          <w:i/>
          <w:color w:val="455560"/>
          <w:sz w:val="15"/>
        </w:rPr>
        <w:t>223</w:t>
      </w:r>
    </w:p>
    <w:p>
      <w:pPr>
        <w:pStyle w:val="BodyText"/>
        <w:rPr>
          <w:rFonts w:ascii="Arial"/>
          <w:i/>
          <w:sz w:val="19"/>
        </w:rPr>
      </w:pPr>
    </w:p>
    <w:p>
      <w:pPr>
        <w:spacing w:before="0"/>
        <w:ind w:left="5017" w:right="0" w:firstLine="0"/>
        <w:jc w:val="both"/>
        <w:rPr>
          <w:rFonts w:ascii="Arial MT"/>
          <w:sz w:val="15"/>
        </w:rPr>
      </w:pPr>
      <w:r>
        <w:rPr>
          <w:rFonts w:ascii="Arial MT"/>
          <w:color w:val="455560"/>
          <w:sz w:val="15"/>
        </w:rPr>
        <w:t>18</w:t>
      </w:r>
      <w:r>
        <w:rPr>
          <w:rFonts w:ascii="Arial MT"/>
          <w:color w:val="455560"/>
          <w:spacing w:val="-1"/>
          <w:sz w:val="15"/>
        </w:rPr>
        <w:t> </w:t>
      </w:r>
      <w:r>
        <w:rPr>
          <w:rFonts w:ascii="Arial MT"/>
          <w:color w:val="455560"/>
          <w:sz w:val="15"/>
        </w:rPr>
        <w:t>oz/sq</w:t>
      </w:r>
      <w:r>
        <w:rPr>
          <w:rFonts w:ascii="Arial MT"/>
          <w:color w:val="455560"/>
          <w:spacing w:val="-1"/>
          <w:sz w:val="15"/>
        </w:rPr>
        <w:t> </w:t>
      </w:r>
      <w:r>
        <w:rPr>
          <w:rFonts w:ascii="Arial MT"/>
          <w:color w:val="455560"/>
          <w:sz w:val="15"/>
        </w:rPr>
        <w:t>yd,</w:t>
      </w:r>
      <w:r>
        <w:rPr>
          <w:rFonts w:ascii="Arial MT"/>
          <w:color w:val="455560"/>
          <w:spacing w:val="-2"/>
          <w:sz w:val="15"/>
        </w:rPr>
        <w:t> </w:t>
      </w:r>
      <w:r>
        <w:rPr>
          <w:rFonts w:ascii="Arial MT"/>
          <w:color w:val="455560"/>
          <w:sz w:val="15"/>
        </w:rPr>
        <w:t>50"</w:t>
      </w:r>
      <w:r>
        <w:rPr>
          <w:rFonts w:ascii="Arial MT"/>
          <w:color w:val="455560"/>
          <w:spacing w:val="-9"/>
          <w:sz w:val="15"/>
        </w:rPr>
        <w:t> </w:t>
      </w:r>
      <w:r>
        <w:rPr>
          <w:rFonts w:ascii="Arial MT"/>
          <w:color w:val="455560"/>
          <w:sz w:val="15"/>
        </w:rPr>
        <w:t>Wide,</w:t>
      </w:r>
      <w:r>
        <w:rPr>
          <w:rFonts w:ascii="Arial MT"/>
          <w:color w:val="455560"/>
          <w:spacing w:val="-1"/>
          <w:sz w:val="15"/>
        </w:rPr>
        <w:t> </w:t>
      </w:r>
      <w:r>
        <w:rPr>
          <w:rFonts w:ascii="Arial MT"/>
          <w:color w:val="455560"/>
          <w:sz w:val="15"/>
        </w:rPr>
        <w:t>.030"</w:t>
      </w:r>
      <w:r>
        <w:rPr>
          <w:rFonts w:ascii="Arial MT"/>
          <w:color w:val="455560"/>
          <w:spacing w:val="-2"/>
          <w:sz w:val="15"/>
        </w:rPr>
        <w:t> </w:t>
      </w:r>
      <w:r>
        <w:rPr>
          <w:rFonts w:ascii="Arial MT"/>
          <w:color w:val="455560"/>
          <w:sz w:val="15"/>
        </w:rPr>
        <w:t>Thick</w:t>
      </w:r>
    </w:p>
    <w:p>
      <w:pPr>
        <w:spacing w:line="333" w:lineRule="auto" w:before="68"/>
        <w:ind w:left="5017" w:right="392" w:firstLine="0"/>
        <w:jc w:val="both"/>
        <w:rPr>
          <w:rFonts w:ascii="Arial MT"/>
          <w:sz w:val="15"/>
        </w:rPr>
      </w:pPr>
      <w:r>
        <w:rPr>
          <w:rFonts w:ascii="Arial MT"/>
          <w:color w:val="455560"/>
          <w:sz w:val="15"/>
        </w:rPr>
        <w:t>Woven Roving is used in laminating large fiberglass parts such as boats and tanks</w:t>
      </w:r>
      <w:r>
        <w:rPr>
          <w:rFonts w:ascii="Arial MT"/>
          <w:color w:val="455560"/>
          <w:spacing w:val="-39"/>
          <w:sz w:val="15"/>
        </w:rPr>
        <w:t> </w:t>
      </w:r>
      <w:r>
        <w:rPr>
          <w:rFonts w:ascii="Arial MT"/>
          <w:color w:val="455560"/>
          <w:sz w:val="15"/>
        </w:rPr>
        <w:t>where an inexpensive, high impact, high strength reinforcement is required. Woven</w:t>
      </w:r>
      <w:r>
        <w:rPr>
          <w:rFonts w:ascii="Arial MT"/>
          <w:color w:val="455560"/>
          <w:spacing w:val="-39"/>
          <w:sz w:val="15"/>
        </w:rPr>
        <w:t> </w:t>
      </w:r>
      <w:r>
        <w:rPr>
          <w:rFonts w:ascii="Arial MT"/>
          <w:color w:val="455560"/>
          <w:sz w:val="15"/>
        </w:rPr>
        <w:t>roving</w:t>
      </w:r>
      <w:r>
        <w:rPr>
          <w:rFonts w:ascii="Arial MT"/>
          <w:color w:val="455560"/>
          <w:spacing w:val="-4"/>
          <w:sz w:val="15"/>
        </w:rPr>
        <w:t> </w:t>
      </w:r>
      <w:r>
        <w:rPr>
          <w:rFonts w:ascii="Arial MT"/>
          <w:color w:val="455560"/>
          <w:sz w:val="15"/>
        </w:rPr>
        <w:t>should</w:t>
      </w:r>
      <w:r>
        <w:rPr>
          <w:rFonts w:ascii="Arial MT"/>
          <w:color w:val="455560"/>
          <w:spacing w:val="-2"/>
          <w:sz w:val="15"/>
        </w:rPr>
        <w:t> </w:t>
      </w:r>
      <w:r>
        <w:rPr>
          <w:rFonts w:ascii="Arial MT"/>
          <w:color w:val="455560"/>
          <w:sz w:val="15"/>
        </w:rPr>
        <w:t>be</w:t>
      </w:r>
      <w:r>
        <w:rPr>
          <w:rFonts w:ascii="Arial MT"/>
          <w:color w:val="455560"/>
          <w:spacing w:val="-3"/>
          <w:sz w:val="15"/>
        </w:rPr>
        <w:t> </w:t>
      </w:r>
      <w:r>
        <w:rPr>
          <w:rFonts w:ascii="Arial MT"/>
          <w:color w:val="455560"/>
          <w:sz w:val="15"/>
        </w:rPr>
        <w:t>used</w:t>
      </w:r>
      <w:r>
        <w:rPr>
          <w:rFonts w:ascii="Arial MT"/>
          <w:color w:val="455560"/>
          <w:spacing w:val="-2"/>
          <w:sz w:val="15"/>
        </w:rPr>
        <w:t> </w:t>
      </w:r>
      <w:r>
        <w:rPr>
          <w:rFonts w:ascii="Arial MT"/>
          <w:color w:val="455560"/>
          <w:sz w:val="15"/>
        </w:rPr>
        <w:t>with mat</w:t>
      </w:r>
      <w:r>
        <w:rPr>
          <w:rFonts w:ascii="Arial MT"/>
          <w:color w:val="455560"/>
          <w:spacing w:val="-2"/>
          <w:sz w:val="15"/>
        </w:rPr>
        <w:t> </w:t>
      </w:r>
      <w:r>
        <w:rPr>
          <w:rFonts w:ascii="Arial MT"/>
          <w:color w:val="455560"/>
          <w:sz w:val="15"/>
        </w:rPr>
        <w:t>whenever</w:t>
      </w:r>
      <w:r>
        <w:rPr>
          <w:rFonts w:ascii="Arial MT"/>
          <w:color w:val="455560"/>
          <w:spacing w:val="-2"/>
          <w:sz w:val="15"/>
        </w:rPr>
        <w:t> </w:t>
      </w:r>
      <w:r>
        <w:rPr>
          <w:rFonts w:ascii="Arial MT"/>
          <w:color w:val="455560"/>
          <w:sz w:val="15"/>
        </w:rPr>
        <w:t>bonding</w:t>
      </w:r>
      <w:r>
        <w:rPr>
          <w:rFonts w:ascii="Arial MT"/>
          <w:color w:val="455560"/>
          <w:spacing w:val="-2"/>
          <w:sz w:val="15"/>
        </w:rPr>
        <w:t> </w:t>
      </w:r>
      <w:r>
        <w:rPr>
          <w:rFonts w:ascii="Arial MT"/>
          <w:color w:val="455560"/>
          <w:sz w:val="15"/>
        </w:rPr>
        <w:t>to</w:t>
      </w:r>
      <w:r>
        <w:rPr>
          <w:rFonts w:ascii="Arial MT"/>
          <w:color w:val="455560"/>
          <w:spacing w:val="-3"/>
          <w:sz w:val="15"/>
        </w:rPr>
        <w:t> </w:t>
      </w:r>
      <w:r>
        <w:rPr>
          <w:rFonts w:ascii="Arial MT"/>
          <w:color w:val="455560"/>
          <w:sz w:val="15"/>
        </w:rPr>
        <w:t>plywood or</w:t>
      </w:r>
      <w:r>
        <w:rPr>
          <w:rFonts w:ascii="Arial MT"/>
          <w:color w:val="455560"/>
          <w:spacing w:val="-3"/>
          <w:sz w:val="15"/>
        </w:rPr>
        <w:t> </w:t>
      </w:r>
      <w:r>
        <w:rPr>
          <w:rFonts w:ascii="Arial MT"/>
          <w:color w:val="455560"/>
          <w:sz w:val="15"/>
        </w:rPr>
        <w:t>making</w:t>
      </w:r>
      <w:r>
        <w:rPr>
          <w:rFonts w:ascii="Arial MT"/>
          <w:color w:val="455560"/>
          <w:spacing w:val="-2"/>
          <w:sz w:val="15"/>
        </w:rPr>
        <w:t> </w:t>
      </w:r>
      <w:r>
        <w:rPr>
          <w:rFonts w:ascii="Arial MT"/>
          <w:color w:val="455560"/>
          <w:sz w:val="15"/>
        </w:rPr>
        <w:t>repairs.</w:t>
      </w:r>
    </w:p>
    <w:p>
      <w:pPr>
        <w:pStyle w:val="BodyText"/>
        <w:rPr>
          <w:rFonts w:ascii="Arial MT"/>
          <w:sz w:val="16"/>
        </w:rPr>
      </w:pPr>
    </w:p>
    <w:p>
      <w:pPr>
        <w:pStyle w:val="BodyText"/>
        <w:rPr>
          <w:rFonts w:ascii="Arial MT"/>
          <w:sz w:val="16"/>
        </w:rPr>
      </w:pPr>
    </w:p>
    <w:p>
      <w:pPr>
        <w:spacing w:before="112"/>
        <w:ind w:left="5017" w:right="0" w:firstLine="0"/>
        <w:jc w:val="both"/>
        <w:rPr>
          <w:rFonts w:ascii="Arial MT"/>
          <w:sz w:val="15"/>
        </w:rPr>
      </w:pPr>
      <w:r>
        <w:rPr>
          <w:rFonts w:ascii="Arial MT"/>
          <w:color w:val="455560"/>
          <w:sz w:val="15"/>
        </w:rPr>
        <w:t>(Typical</w:t>
      </w:r>
      <w:r>
        <w:rPr>
          <w:rFonts w:ascii="Arial MT"/>
          <w:color w:val="455560"/>
          <w:spacing w:val="-3"/>
          <w:sz w:val="15"/>
        </w:rPr>
        <w:t> </w:t>
      </w:r>
      <w:r>
        <w:rPr>
          <w:rFonts w:ascii="Arial MT"/>
          <w:color w:val="455560"/>
          <w:sz w:val="15"/>
        </w:rPr>
        <w:t>full</w:t>
      </w:r>
      <w:r>
        <w:rPr>
          <w:rFonts w:ascii="Arial MT"/>
          <w:color w:val="455560"/>
          <w:spacing w:val="-2"/>
          <w:sz w:val="15"/>
        </w:rPr>
        <w:t> </w:t>
      </w:r>
      <w:r>
        <w:rPr>
          <w:rFonts w:ascii="Arial MT"/>
          <w:color w:val="455560"/>
          <w:sz w:val="15"/>
        </w:rPr>
        <w:t>roll</w:t>
      </w:r>
      <w:r>
        <w:rPr>
          <w:rFonts w:ascii="Arial MT"/>
          <w:color w:val="455560"/>
          <w:spacing w:val="-2"/>
          <w:sz w:val="15"/>
        </w:rPr>
        <w:t> </w:t>
      </w:r>
      <w:r>
        <w:rPr>
          <w:rFonts w:ascii="Arial MT"/>
          <w:color w:val="455560"/>
          <w:sz w:val="15"/>
        </w:rPr>
        <w:t>length is</w:t>
      </w:r>
      <w:r>
        <w:rPr>
          <w:rFonts w:ascii="Arial MT"/>
          <w:color w:val="455560"/>
          <w:spacing w:val="-1"/>
          <w:sz w:val="15"/>
        </w:rPr>
        <w:t> </w:t>
      </w:r>
      <w:r>
        <w:rPr>
          <w:rFonts w:ascii="Arial MT"/>
          <w:color w:val="455560"/>
          <w:sz w:val="15"/>
        </w:rPr>
        <w:t>100</w:t>
      </w:r>
      <w:r>
        <w:rPr>
          <w:rFonts w:ascii="Arial MT"/>
          <w:color w:val="455560"/>
          <w:spacing w:val="-3"/>
          <w:sz w:val="15"/>
        </w:rPr>
        <w:t> </w:t>
      </w:r>
      <w:r>
        <w:rPr>
          <w:rFonts w:ascii="Arial MT"/>
          <w:color w:val="455560"/>
          <w:sz w:val="15"/>
        </w:rPr>
        <w:t>yards)</w:t>
      </w:r>
    </w:p>
    <w:p>
      <w:pPr>
        <w:pStyle w:val="BodyText"/>
        <w:rPr>
          <w:rFonts w:ascii="Arial MT"/>
          <w:sz w:val="16"/>
        </w:rPr>
      </w:pPr>
    </w:p>
    <w:p>
      <w:pPr>
        <w:pStyle w:val="BodyText"/>
        <w:rPr>
          <w:rFonts w:ascii="Arial MT"/>
          <w:sz w:val="16"/>
        </w:rPr>
      </w:pPr>
    </w:p>
    <w:p>
      <w:pPr>
        <w:pStyle w:val="BodyText"/>
        <w:rPr>
          <w:rFonts w:ascii="Arial MT"/>
          <w:sz w:val="16"/>
        </w:rPr>
      </w:pPr>
    </w:p>
    <w:p>
      <w:pPr>
        <w:pStyle w:val="BodyText"/>
        <w:rPr>
          <w:rFonts w:ascii="Arial MT"/>
          <w:sz w:val="16"/>
        </w:rPr>
      </w:pPr>
    </w:p>
    <w:p>
      <w:pPr>
        <w:pStyle w:val="BodyText"/>
        <w:rPr>
          <w:rFonts w:ascii="Arial MT"/>
          <w:sz w:val="16"/>
        </w:rPr>
      </w:pPr>
    </w:p>
    <w:p>
      <w:pPr>
        <w:pStyle w:val="BodyText"/>
        <w:rPr>
          <w:rFonts w:ascii="Arial MT"/>
          <w:sz w:val="16"/>
        </w:rPr>
      </w:pPr>
    </w:p>
    <w:p>
      <w:pPr>
        <w:pStyle w:val="BodyText"/>
        <w:rPr>
          <w:rFonts w:ascii="Arial MT"/>
          <w:sz w:val="16"/>
        </w:rPr>
      </w:pPr>
    </w:p>
    <w:p>
      <w:pPr>
        <w:pStyle w:val="BodyText"/>
        <w:rPr>
          <w:rFonts w:ascii="Arial MT"/>
          <w:sz w:val="16"/>
        </w:rPr>
      </w:pPr>
    </w:p>
    <w:p>
      <w:pPr>
        <w:pStyle w:val="BodyText"/>
        <w:rPr>
          <w:rFonts w:ascii="Arial MT"/>
          <w:sz w:val="16"/>
        </w:rPr>
      </w:pPr>
    </w:p>
    <w:p>
      <w:pPr>
        <w:pStyle w:val="BodyText"/>
        <w:rPr>
          <w:rFonts w:ascii="Arial MT"/>
          <w:sz w:val="16"/>
        </w:rPr>
      </w:pPr>
    </w:p>
    <w:p>
      <w:pPr>
        <w:pStyle w:val="BodyText"/>
        <w:rPr>
          <w:rFonts w:ascii="Arial MT"/>
          <w:sz w:val="16"/>
        </w:rPr>
      </w:pPr>
    </w:p>
    <w:p>
      <w:pPr>
        <w:pStyle w:val="BodyText"/>
        <w:rPr>
          <w:rFonts w:ascii="Arial MT"/>
          <w:sz w:val="16"/>
        </w:rPr>
      </w:pPr>
    </w:p>
    <w:p>
      <w:pPr>
        <w:pStyle w:val="BodyText"/>
        <w:spacing w:before="3"/>
        <w:rPr>
          <w:rFonts w:ascii="Arial MT"/>
          <w:sz w:val="13"/>
        </w:rPr>
      </w:pPr>
    </w:p>
    <w:p>
      <w:pPr>
        <w:spacing w:before="0"/>
        <w:ind w:left="6457" w:right="0" w:firstLine="0"/>
        <w:jc w:val="left"/>
        <w:rPr>
          <w:rFonts w:ascii="Arial"/>
          <w:b/>
          <w:sz w:val="15"/>
        </w:rPr>
      </w:pPr>
      <w:r>
        <w:rPr/>
        <w:pict>
          <v:shape style="position:absolute;margin-left:87.239998pt;margin-top:-3.165074pt;width:204.15pt;height:167.4pt;mso-position-horizontal-relative:page;mso-position-vertical-relative:paragraph;z-index:1592166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455560"/>
                      <w:left w:val="single" w:sz="4" w:space="0" w:color="455560"/>
                      <w:bottom w:val="single" w:sz="4" w:space="0" w:color="455560"/>
                      <w:right w:val="single" w:sz="4" w:space="0" w:color="455560"/>
                      <w:insideH w:val="single" w:sz="4" w:space="0" w:color="455560"/>
                      <w:insideV w:val="single" w:sz="4" w:space="0" w:color="45556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860"/>
                    <w:gridCol w:w="2208"/>
                  </w:tblGrid>
                  <w:tr>
                    <w:trPr>
                      <w:trHeight w:val="347" w:hRule="atLeast"/>
                    </w:trPr>
                    <w:tc>
                      <w:tcPr>
                        <w:tcW w:w="4068" w:type="dxa"/>
                        <w:gridSpan w:val="2"/>
                        <w:shd w:val="clear" w:color="auto" w:fill="E1E1E1"/>
                      </w:tcPr>
                      <w:p>
                        <w:pPr>
                          <w:pStyle w:val="TableParagraph"/>
                          <w:spacing w:before="118"/>
                          <w:ind w:left="107"/>
                          <w:rPr>
                            <w:rFonts w:ascii="Arial"/>
                            <w:b/>
                            <w:sz w:val="15"/>
                          </w:rPr>
                        </w:pPr>
                        <w:r>
                          <w:rPr>
                            <w:rFonts w:ascii="Arial"/>
                            <w:b/>
                            <w:color w:val="455560"/>
                            <w:sz w:val="15"/>
                          </w:rPr>
                          <w:t>Specific</w:t>
                        </w:r>
                        <w:r>
                          <w:rPr>
                            <w:rFonts w:ascii="Arial"/>
                            <w:b/>
                            <w:color w:val="455560"/>
                            <w:spacing w:val="-4"/>
                            <w:sz w:val="15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455560"/>
                            <w:sz w:val="15"/>
                          </w:rPr>
                          <w:t>Product</w:t>
                        </w:r>
                        <w:r>
                          <w:rPr>
                            <w:rFonts w:ascii="Arial"/>
                            <w:b/>
                            <w:color w:val="455560"/>
                            <w:spacing w:val="-4"/>
                            <w:sz w:val="15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455560"/>
                            <w:sz w:val="15"/>
                          </w:rPr>
                          <w:t>Properties</w:t>
                        </w:r>
                      </w:p>
                    </w:tc>
                  </w:tr>
                  <w:tr>
                    <w:trPr>
                      <w:trHeight w:val="479" w:hRule="atLeast"/>
                    </w:trPr>
                    <w:tc>
                      <w:tcPr>
                        <w:tcW w:w="1860" w:type="dxa"/>
                        <w:tcBorders>
                          <w:bottom w:val="single" w:sz="6" w:space="0" w:color="455560"/>
                        </w:tcBorders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Arial MT"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ind w:left="107"/>
                          <w:rPr>
                            <w:rFonts w:ascii="Arial MT"/>
                            <w:sz w:val="15"/>
                          </w:rPr>
                        </w:pP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Finish</w:t>
                        </w:r>
                      </w:p>
                    </w:tc>
                    <w:tc>
                      <w:tcPr>
                        <w:tcW w:w="2208" w:type="dxa"/>
                        <w:tcBorders>
                          <w:bottom w:val="single" w:sz="6" w:space="0" w:color="455560"/>
                        </w:tcBorders>
                      </w:tcPr>
                      <w:p>
                        <w:pPr>
                          <w:pStyle w:val="TableParagraph"/>
                          <w:spacing w:before="51"/>
                          <w:ind w:left="110"/>
                          <w:rPr>
                            <w:rFonts w:ascii="Arial MT"/>
                            <w:sz w:val="15"/>
                          </w:rPr>
                        </w:pP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Compatible</w:t>
                        </w:r>
                        <w:r>
                          <w:rPr>
                            <w:rFonts w:ascii="Arial MT"/>
                            <w:color w:val="455560"/>
                            <w:spacing w:val="-3"/>
                            <w:sz w:val="15"/>
                          </w:rPr>
                          <w:t> </w:t>
                        </w: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with</w:t>
                        </w:r>
                        <w:r>
                          <w:rPr>
                            <w:rFonts w:ascii="Arial MT"/>
                            <w:color w:val="455560"/>
                            <w:spacing w:val="-3"/>
                            <w:sz w:val="15"/>
                          </w:rPr>
                          <w:t> </w:t>
                        </w: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Polyester,</w:t>
                        </w:r>
                      </w:p>
                      <w:p>
                        <w:pPr>
                          <w:pStyle w:val="TableParagraph"/>
                          <w:spacing w:line="168" w:lineRule="exact" w:before="67"/>
                          <w:ind w:left="110"/>
                          <w:rPr>
                            <w:rFonts w:ascii="Arial MT"/>
                            <w:sz w:val="15"/>
                          </w:rPr>
                        </w:pP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Vinyl</w:t>
                        </w:r>
                        <w:r>
                          <w:rPr>
                            <w:rFonts w:ascii="Arial MT"/>
                            <w:color w:val="455560"/>
                            <w:spacing w:val="-1"/>
                            <w:sz w:val="15"/>
                          </w:rPr>
                          <w:t> </w:t>
                        </w: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Ester</w:t>
                        </w:r>
                        <w:r>
                          <w:rPr>
                            <w:rFonts w:ascii="Arial MT"/>
                            <w:color w:val="455560"/>
                            <w:spacing w:val="-3"/>
                            <w:sz w:val="15"/>
                          </w:rPr>
                          <w:t> </w:t>
                        </w: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and</w:t>
                        </w:r>
                        <w:r>
                          <w:rPr>
                            <w:rFonts w:ascii="Arial MT"/>
                            <w:color w:val="455560"/>
                            <w:spacing w:val="-4"/>
                            <w:sz w:val="15"/>
                          </w:rPr>
                          <w:t> </w:t>
                        </w: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Epoxy</w:t>
                        </w:r>
                      </w:p>
                    </w:tc>
                  </w:tr>
                  <w:tr>
                    <w:trPr>
                      <w:trHeight w:val="352" w:hRule="atLeast"/>
                    </w:trPr>
                    <w:tc>
                      <w:tcPr>
                        <w:tcW w:w="1860" w:type="dxa"/>
                        <w:tcBorders>
                          <w:top w:val="single" w:sz="6" w:space="0" w:color="455560"/>
                          <w:bottom w:val="single" w:sz="6" w:space="0" w:color="455560"/>
                        </w:tcBorders>
                      </w:tcPr>
                      <w:p>
                        <w:pPr>
                          <w:pStyle w:val="TableParagraph"/>
                          <w:spacing w:before="108"/>
                          <w:ind w:left="107"/>
                          <w:rPr>
                            <w:rFonts w:ascii="Arial MT"/>
                            <w:sz w:val="15"/>
                          </w:rPr>
                        </w:pP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Weave</w:t>
                        </w:r>
                        <w:r>
                          <w:rPr>
                            <w:rFonts w:ascii="Arial MT"/>
                            <w:color w:val="455560"/>
                            <w:spacing w:val="-4"/>
                            <w:sz w:val="15"/>
                          </w:rPr>
                          <w:t> </w:t>
                        </w: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Pattern</w:t>
                        </w:r>
                      </w:p>
                    </w:tc>
                    <w:tc>
                      <w:tcPr>
                        <w:tcW w:w="2208" w:type="dxa"/>
                        <w:tcBorders>
                          <w:top w:val="single" w:sz="6" w:space="0" w:color="455560"/>
                          <w:bottom w:val="single" w:sz="6" w:space="0" w:color="455560"/>
                        </w:tcBorders>
                      </w:tcPr>
                      <w:p>
                        <w:pPr>
                          <w:pStyle w:val="TableParagraph"/>
                          <w:spacing w:before="108"/>
                          <w:ind w:left="110"/>
                          <w:rPr>
                            <w:rFonts w:ascii="Arial MT"/>
                            <w:sz w:val="15"/>
                          </w:rPr>
                        </w:pP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Plain</w:t>
                        </w:r>
                      </w:p>
                    </w:tc>
                  </w:tr>
                  <w:tr>
                    <w:trPr>
                      <w:trHeight w:val="345" w:hRule="atLeast"/>
                    </w:trPr>
                    <w:tc>
                      <w:tcPr>
                        <w:tcW w:w="1860" w:type="dxa"/>
                        <w:tcBorders>
                          <w:top w:val="single" w:sz="6" w:space="0" w:color="455560"/>
                        </w:tcBorders>
                      </w:tcPr>
                      <w:p>
                        <w:pPr>
                          <w:pStyle w:val="TableParagraph"/>
                          <w:spacing w:before="104"/>
                          <w:ind w:left="107"/>
                          <w:rPr>
                            <w:rFonts w:ascii="Arial MT"/>
                            <w:sz w:val="15"/>
                          </w:rPr>
                        </w:pP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Count:</w:t>
                        </w:r>
                        <w:r>
                          <w:rPr>
                            <w:rFonts w:ascii="Arial MT"/>
                            <w:color w:val="455560"/>
                            <w:spacing w:val="-2"/>
                            <w:sz w:val="15"/>
                          </w:rPr>
                          <w:t> </w:t>
                        </w: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Ends</w:t>
                        </w:r>
                        <w:r>
                          <w:rPr>
                            <w:rFonts w:ascii="Arial MT"/>
                            <w:color w:val="455560"/>
                            <w:spacing w:val="-2"/>
                            <w:sz w:val="15"/>
                          </w:rPr>
                          <w:t> </w:t>
                        </w: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x</w:t>
                        </w:r>
                        <w:r>
                          <w:rPr>
                            <w:rFonts w:ascii="Arial MT"/>
                            <w:color w:val="455560"/>
                            <w:spacing w:val="-2"/>
                            <w:sz w:val="15"/>
                          </w:rPr>
                          <w:t> </w:t>
                        </w: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Picks</w:t>
                        </w:r>
                        <w:r>
                          <w:rPr>
                            <w:rFonts w:ascii="Arial MT"/>
                            <w:color w:val="455560"/>
                            <w:spacing w:val="-2"/>
                            <w:sz w:val="15"/>
                          </w:rPr>
                          <w:t> </w:t>
                        </w: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(in)</w:t>
                        </w:r>
                      </w:p>
                    </w:tc>
                    <w:tc>
                      <w:tcPr>
                        <w:tcW w:w="2208" w:type="dxa"/>
                        <w:tcBorders>
                          <w:top w:val="single" w:sz="6" w:space="0" w:color="455560"/>
                        </w:tcBorders>
                      </w:tcPr>
                      <w:p>
                        <w:pPr>
                          <w:pStyle w:val="TableParagraph"/>
                          <w:spacing w:before="104"/>
                          <w:ind w:left="110"/>
                          <w:rPr>
                            <w:rFonts w:ascii="Arial MT"/>
                            <w:sz w:val="15"/>
                          </w:rPr>
                        </w:pP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4.5-5.5</w:t>
                        </w:r>
                        <w:r>
                          <w:rPr>
                            <w:rFonts w:ascii="Arial MT"/>
                            <w:color w:val="455560"/>
                            <w:spacing w:val="-1"/>
                            <w:sz w:val="15"/>
                          </w:rPr>
                          <w:t> </w:t>
                        </w: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x</w:t>
                        </w:r>
                        <w:r>
                          <w:rPr>
                            <w:rFonts w:ascii="Arial MT"/>
                            <w:color w:val="455560"/>
                            <w:spacing w:val="-2"/>
                            <w:sz w:val="15"/>
                          </w:rPr>
                          <w:t> </w:t>
                        </w: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3-4</w:t>
                        </w:r>
                      </w:p>
                    </w:tc>
                  </w:tr>
                  <w:tr>
                    <w:trPr>
                      <w:trHeight w:val="342" w:hRule="atLeast"/>
                    </w:trPr>
                    <w:tc>
                      <w:tcPr>
                        <w:tcW w:w="1860" w:type="dxa"/>
                      </w:tcPr>
                      <w:p>
                        <w:pPr>
                          <w:pStyle w:val="TableParagraph"/>
                          <w:spacing w:before="101"/>
                          <w:ind w:left="107"/>
                          <w:rPr>
                            <w:rFonts w:ascii="Arial MT"/>
                            <w:sz w:val="15"/>
                          </w:rPr>
                        </w:pP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Tensile</w:t>
                        </w:r>
                        <w:r>
                          <w:rPr>
                            <w:rFonts w:ascii="Arial MT"/>
                            <w:color w:val="455560"/>
                            <w:spacing w:val="-3"/>
                            <w:sz w:val="15"/>
                          </w:rPr>
                          <w:t> </w:t>
                        </w: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Strength</w:t>
                        </w:r>
                      </w:p>
                    </w:tc>
                    <w:tc>
                      <w:tcPr>
                        <w:tcW w:w="2208" w:type="dxa"/>
                      </w:tcPr>
                      <w:p>
                        <w:pPr>
                          <w:pStyle w:val="TableParagraph"/>
                          <w:spacing w:before="101"/>
                          <w:ind w:left="110"/>
                          <w:rPr>
                            <w:rFonts w:ascii="Arial MT"/>
                            <w:sz w:val="15"/>
                          </w:rPr>
                        </w:pP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27-33</w:t>
                        </w:r>
                        <w:r>
                          <w:rPr>
                            <w:rFonts w:ascii="Arial MT"/>
                            <w:color w:val="455560"/>
                            <w:spacing w:val="-3"/>
                            <w:sz w:val="15"/>
                          </w:rPr>
                          <w:t> </w:t>
                        </w: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ksi</w:t>
                        </w:r>
                      </w:p>
                    </w:tc>
                  </w:tr>
                  <w:tr>
                    <w:trPr>
                      <w:trHeight w:val="342" w:hRule="atLeast"/>
                    </w:trPr>
                    <w:tc>
                      <w:tcPr>
                        <w:tcW w:w="1860" w:type="dxa"/>
                      </w:tcPr>
                      <w:p>
                        <w:pPr>
                          <w:pStyle w:val="TableParagraph"/>
                          <w:spacing w:before="101"/>
                          <w:ind w:left="107"/>
                          <w:rPr>
                            <w:rFonts w:ascii="Arial MT"/>
                            <w:sz w:val="15"/>
                          </w:rPr>
                        </w:pP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Compressive</w:t>
                        </w:r>
                        <w:r>
                          <w:rPr>
                            <w:rFonts w:ascii="Arial MT"/>
                            <w:color w:val="455560"/>
                            <w:spacing w:val="-5"/>
                            <w:sz w:val="15"/>
                          </w:rPr>
                          <w:t> </w:t>
                        </w: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Strength</w:t>
                        </w:r>
                      </w:p>
                    </w:tc>
                    <w:tc>
                      <w:tcPr>
                        <w:tcW w:w="2208" w:type="dxa"/>
                      </w:tcPr>
                      <w:p>
                        <w:pPr>
                          <w:pStyle w:val="TableParagraph"/>
                          <w:spacing w:before="101"/>
                          <w:ind w:left="110"/>
                          <w:rPr>
                            <w:rFonts w:ascii="Arial MT"/>
                            <w:sz w:val="15"/>
                          </w:rPr>
                        </w:pP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27-30</w:t>
                        </w:r>
                        <w:r>
                          <w:rPr>
                            <w:rFonts w:ascii="Arial MT"/>
                            <w:color w:val="455560"/>
                            <w:spacing w:val="-3"/>
                            <w:sz w:val="15"/>
                          </w:rPr>
                          <w:t> </w:t>
                        </w: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ksi</w:t>
                        </w:r>
                      </w:p>
                    </w:tc>
                  </w:tr>
                  <w:tr>
                    <w:trPr>
                      <w:trHeight w:val="342" w:hRule="atLeast"/>
                    </w:trPr>
                    <w:tc>
                      <w:tcPr>
                        <w:tcW w:w="1860" w:type="dxa"/>
                      </w:tcPr>
                      <w:p>
                        <w:pPr>
                          <w:pStyle w:val="TableParagraph"/>
                          <w:spacing w:before="101"/>
                          <w:ind w:left="107"/>
                          <w:rPr>
                            <w:rFonts w:ascii="Arial MT"/>
                            <w:sz w:val="15"/>
                          </w:rPr>
                        </w:pP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Weight</w:t>
                        </w:r>
                      </w:p>
                    </w:tc>
                    <w:tc>
                      <w:tcPr>
                        <w:tcW w:w="2208" w:type="dxa"/>
                      </w:tcPr>
                      <w:p>
                        <w:pPr>
                          <w:pStyle w:val="TableParagraph"/>
                          <w:spacing w:before="98"/>
                          <w:ind w:left="110"/>
                          <w:rPr>
                            <w:rFonts w:ascii="Arial MT"/>
                            <w:sz w:val="10"/>
                          </w:rPr>
                        </w:pP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16.0-18.5</w:t>
                        </w:r>
                        <w:r>
                          <w:rPr>
                            <w:rFonts w:ascii="Arial MT"/>
                            <w:color w:val="455560"/>
                            <w:spacing w:val="-4"/>
                            <w:sz w:val="15"/>
                          </w:rPr>
                          <w:t> </w:t>
                        </w: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oz/yd</w:t>
                        </w:r>
                        <w:r>
                          <w:rPr>
                            <w:rFonts w:ascii="Arial MT"/>
                            <w:color w:val="455560"/>
                            <w:position w:val="5"/>
                            <w:sz w:val="10"/>
                          </w:rPr>
                          <w:t>2</w:t>
                        </w:r>
                      </w:p>
                    </w:tc>
                  </w:tr>
                  <w:tr>
                    <w:trPr>
                      <w:trHeight w:val="342" w:hRule="atLeast"/>
                    </w:trPr>
                    <w:tc>
                      <w:tcPr>
                        <w:tcW w:w="1860" w:type="dxa"/>
                      </w:tcPr>
                      <w:p>
                        <w:pPr>
                          <w:pStyle w:val="TableParagraph"/>
                          <w:spacing w:before="101"/>
                          <w:ind w:left="107"/>
                          <w:rPr>
                            <w:rFonts w:ascii="Arial MT"/>
                            <w:sz w:val="15"/>
                          </w:rPr>
                        </w:pP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Thickness</w:t>
                        </w:r>
                      </w:p>
                    </w:tc>
                    <w:tc>
                      <w:tcPr>
                        <w:tcW w:w="2208" w:type="dxa"/>
                      </w:tcPr>
                      <w:p>
                        <w:pPr>
                          <w:pStyle w:val="TableParagraph"/>
                          <w:spacing w:before="101"/>
                          <w:ind w:left="110"/>
                          <w:rPr>
                            <w:rFonts w:ascii="Arial MT"/>
                            <w:sz w:val="15"/>
                          </w:rPr>
                        </w:pP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.030</w:t>
                        </w:r>
                        <w:r>
                          <w:rPr>
                            <w:rFonts w:ascii="Arial MT"/>
                            <w:color w:val="455560"/>
                            <w:spacing w:val="-1"/>
                            <w:sz w:val="15"/>
                          </w:rPr>
                          <w:t> </w:t>
                        </w: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in</w:t>
                        </w:r>
                      </w:p>
                    </w:tc>
                  </w:tr>
                  <w:tr>
                    <w:trPr>
                      <w:trHeight w:val="342" w:hRule="atLeast"/>
                    </w:trPr>
                    <w:tc>
                      <w:tcPr>
                        <w:tcW w:w="1860" w:type="dxa"/>
                      </w:tcPr>
                      <w:p>
                        <w:pPr>
                          <w:pStyle w:val="TableParagraph"/>
                          <w:spacing w:before="104"/>
                          <w:ind w:left="107"/>
                          <w:rPr>
                            <w:rFonts w:ascii="Arial MT"/>
                            <w:sz w:val="15"/>
                          </w:rPr>
                        </w:pP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Roll</w:t>
                        </w:r>
                        <w:r>
                          <w:rPr>
                            <w:rFonts w:ascii="Arial MT"/>
                            <w:color w:val="455560"/>
                            <w:spacing w:val="-1"/>
                            <w:sz w:val="15"/>
                          </w:rPr>
                          <w:t> </w:t>
                        </w: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Length</w:t>
                        </w:r>
                      </w:p>
                    </w:tc>
                    <w:tc>
                      <w:tcPr>
                        <w:tcW w:w="2208" w:type="dxa"/>
                      </w:tcPr>
                      <w:p>
                        <w:pPr>
                          <w:pStyle w:val="TableParagraph"/>
                          <w:spacing w:before="104"/>
                          <w:ind w:left="110"/>
                          <w:rPr>
                            <w:rFonts w:ascii="Arial MT"/>
                            <w:sz w:val="15"/>
                          </w:rPr>
                        </w:pP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100</w:t>
                        </w:r>
                        <w:r>
                          <w:rPr>
                            <w:rFonts w:ascii="Arial MT"/>
                            <w:color w:val="455560"/>
                            <w:spacing w:val="-1"/>
                            <w:sz w:val="15"/>
                          </w:rPr>
                          <w:t> </w:t>
                        </w: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yd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Arial"/>
          <w:b/>
          <w:color w:val="455560"/>
          <w:sz w:val="15"/>
        </w:rPr>
        <w:t>DESCRIPTION</w:t>
      </w:r>
    </w:p>
    <w:p>
      <w:pPr>
        <w:spacing w:line="333" w:lineRule="auto" w:before="70"/>
        <w:ind w:left="6457" w:right="882" w:firstLine="0"/>
        <w:jc w:val="left"/>
        <w:rPr>
          <w:rFonts w:ascii="Arial MT"/>
          <w:sz w:val="15"/>
        </w:rPr>
      </w:pPr>
      <w:r>
        <w:rPr>
          <w:rFonts w:ascii="Arial MT"/>
          <w:color w:val="455560"/>
          <w:sz w:val="15"/>
        </w:rPr>
        <w:t>Woven fabrics are strong reinforcements because the</w:t>
      </w:r>
      <w:r>
        <w:rPr>
          <w:rFonts w:ascii="Arial MT"/>
          <w:color w:val="455560"/>
          <w:spacing w:val="-39"/>
          <w:sz w:val="15"/>
        </w:rPr>
        <w:t> </w:t>
      </w:r>
      <w:r>
        <w:rPr>
          <w:rFonts w:ascii="Arial MT"/>
          <w:color w:val="455560"/>
          <w:sz w:val="15"/>
        </w:rPr>
        <w:t>fibers are bundled into yarns oriented in just two</w:t>
      </w:r>
      <w:r>
        <w:rPr>
          <w:rFonts w:ascii="Arial MT"/>
          <w:color w:val="455560"/>
          <w:spacing w:val="1"/>
          <w:sz w:val="15"/>
        </w:rPr>
        <w:t> </w:t>
      </w:r>
      <w:r>
        <w:rPr>
          <w:rFonts w:ascii="Arial MT"/>
          <w:color w:val="455560"/>
          <w:sz w:val="15"/>
        </w:rPr>
        <w:t>directions. The warp and fill yarns run at 0 and 90</w:t>
      </w:r>
      <w:r>
        <w:rPr>
          <w:rFonts w:ascii="Arial MT"/>
          <w:color w:val="455560"/>
          <w:spacing w:val="1"/>
          <w:sz w:val="15"/>
        </w:rPr>
        <w:t> </w:t>
      </w:r>
      <w:r>
        <w:rPr>
          <w:rFonts w:ascii="Arial MT"/>
          <w:color w:val="455560"/>
          <w:sz w:val="15"/>
        </w:rPr>
        <w:t>degrees respectively. Thus, fabrics are anisotropic, or</w:t>
      </w:r>
      <w:r>
        <w:rPr>
          <w:rFonts w:ascii="Arial MT"/>
          <w:color w:val="455560"/>
          <w:spacing w:val="-39"/>
          <w:sz w:val="15"/>
        </w:rPr>
        <w:t> </w:t>
      </w:r>
      <w:r>
        <w:rPr>
          <w:rFonts w:ascii="Arial MT"/>
          <w:color w:val="455560"/>
          <w:sz w:val="15"/>
        </w:rPr>
        <w:t>strong</w:t>
      </w:r>
      <w:r>
        <w:rPr>
          <w:rFonts w:ascii="Arial MT"/>
          <w:color w:val="455560"/>
          <w:spacing w:val="-2"/>
          <w:sz w:val="15"/>
        </w:rPr>
        <w:t> </w:t>
      </w:r>
      <w:r>
        <w:rPr>
          <w:rFonts w:ascii="Arial MT"/>
          <w:color w:val="455560"/>
          <w:sz w:val="15"/>
        </w:rPr>
        <w:t>in</w:t>
      </w:r>
      <w:r>
        <w:rPr>
          <w:rFonts w:ascii="Arial MT"/>
          <w:color w:val="455560"/>
          <w:spacing w:val="-1"/>
          <w:sz w:val="15"/>
        </w:rPr>
        <w:t> </w:t>
      </w:r>
      <w:r>
        <w:rPr>
          <w:rFonts w:ascii="Arial MT"/>
          <w:color w:val="455560"/>
          <w:sz w:val="15"/>
        </w:rPr>
        <w:t>only</w:t>
      </w:r>
      <w:r>
        <w:rPr>
          <w:rFonts w:ascii="Arial MT"/>
          <w:color w:val="455560"/>
          <w:spacing w:val="-5"/>
          <w:sz w:val="15"/>
        </w:rPr>
        <w:t> </w:t>
      </w:r>
      <w:r>
        <w:rPr>
          <w:rFonts w:ascii="Arial MT"/>
          <w:color w:val="455560"/>
          <w:sz w:val="15"/>
        </w:rPr>
        <w:t>two</w:t>
      </w:r>
      <w:r>
        <w:rPr>
          <w:rFonts w:ascii="Arial MT"/>
          <w:color w:val="455560"/>
          <w:spacing w:val="1"/>
          <w:sz w:val="15"/>
        </w:rPr>
        <w:t> </w:t>
      </w:r>
      <w:r>
        <w:rPr>
          <w:rFonts w:ascii="Arial MT"/>
          <w:color w:val="455560"/>
          <w:sz w:val="15"/>
        </w:rPr>
        <w:t>directions.</w:t>
      </w:r>
    </w:p>
    <w:p>
      <w:pPr>
        <w:pStyle w:val="BodyText"/>
        <w:spacing w:before="10"/>
        <w:rPr>
          <w:rFonts w:ascii="Arial MT"/>
          <w:sz w:val="20"/>
        </w:rPr>
      </w:pPr>
    </w:p>
    <w:p>
      <w:pPr>
        <w:spacing w:line="333" w:lineRule="auto" w:before="1"/>
        <w:ind w:left="6457" w:right="640" w:firstLine="0"/>
        <w:jc w:val="left"/>
        <w:rPr>
          <w:rFonts w:ascii="Arial MT"/>
          <w:sz w:val="15"/>
        </w:rPr>
      </w:pPr>
      <w:r>
        <w:rPr>
          <w:rFonts w:ascii="Arial MT"/>
          <w:color w:val="455560"/>
          <w:sz w:val="15"/>
        </w:rPr>
        <w:t>Fabrics need to be oriented so the fiber yarns run parallel</w:t>
      </w:r>
      <w:r>
        <w:rPr>
          <w:rFonts w:ascii="Arial MT"/>
          <w:color w:val="455560"/>
          <w:spacing w:val="-39"/>
          <w:sz w:val="15"/>
        </w:rPr>
        <w:t> </w:t>
      </w:r>
      <w:r>
        <w:rPr>
          <w:rFonts w:ascii="Arial MT"/>
          <w:color w:val="455560"/>
          <w:sz w:val="15"/>
        </w:rPr>
        <w:t>to the expected loads. If extra strength is needed in a</w:t>
      </w:r>
      <w:r>
        <w:rPr>
          <w:rFonts w:ascii="Arial MT"/>
          <w:color w:val="455560"/>
          <w:spacing w:val="1"/>
          <w:sz w:val="15"/>
        </w:rPr>
        <w:t> </w:t>
      </w:r>
      <w:r>
        <w:rPr>
          <w:rFonts w:ascii="Arial MT"/>
          <w:color w:val="455560"/>
          <w:sz w:val="15"/>
        </w:rPr>
        <w:t>different direction, another ply must be added at an angle</w:t>
      </w:r>
      <w:r>
        <w:rPr>
          <w:rFonts w:ascii="Arial MT"/>
          <w:color w:val="455560"/>
          <w:spacing w:val="-39"/>
          <w:sz w:val="15"/>
        </w:rPr>
        <w:t> </w:t>
      </w:r>
      <w:r>
        <w:rPr>
          <w:rFonts w:ascii="Arial MT"/>
          <w:color w:val="455560"/>
          <w:sz w:val="15"/>
        </w:rPr>
        <w:t>to</w:t>
      </w:r>
      <w:r>
        <w:rPr>
          <w:rFonts w:ascii="Arial MT"/>
          <w:color w:val="455560"/>
          <w:spacing w:val="-2"/>
          <w:sz w:val="15"/>
        </w:rPr>
        <w:t> </w:t>
      </w:r>
      <w:r>
        <w:rPr>
          <w:rFonts w:ascii="Arial MT"/>
          <w:color w:val="455560"/>
          <w:sz w:val="15"/>
        </w:rPr>
        <w:t>the</w:t>
      </w:r>
      <w:r>
        <w:rPr>
          <w:rFonts w:ascii="Arial MT"/>
          <w:color w:val="455560"/>
          <w:spacing w:val="-1"/>
          <w:sz w:val="15"/>
        </w:rPr>
        <w:t> </w:t>
      </w:r>
      <w:r>
        <w:rPr>
          <w:rFonts w:ascii="Arial MT"/>
          <w:color w:val="455560"/>
          <w:sz w:val="15"/>
        </w:rPr>
        <w:t>first.</w:t>
      </w:r>
      <w:r>
        <w:rPr>
          <w:rFonts w:ascii="Arial MT"/>
          <w:color w:val="455560"/>
          <w:spacing w:val="-1"/>
          <w:sz w:val="15"/>
        </w:rPr>
        <w:t> </w:t>
      </w:r>
      <w:r>
        <w:rPr>
          <w:rFonts w:ascii="Arial MT"/>
          <w:color w:val="455560"/>
          <w:sz w:val="15"/>
        </w:rPr>
        <w:t>The</w:t>
      </w:r>
      <w:r>
        <w:rPr>
          <w:rFonts w:ascii="Arial MT"/>
          <w:color w:val="455560"/>
          <w:spacing w:val="-4"/>
          <w:sz w:val="15"/>
        </w:rPr>
        <w:t> </w:t>
      </w:r>
      <w:r>
        <w:rPr>
          <w:rFonts w:ascii="Arial MT"/>
          <w:color w:val="455560"/>
          <w:sz w:val="15"/>
        </w:rPr>
        <w:t>most</w:t>
      </w:r>
      <w:r>
        <w:rPr>
          <w:rFonts w:ascii="Arial MT"/>
          <w:color w:val="455560"/>
          <w:spacing w:val="-4"/>
          <w:sz w:val="15"/>
        </w:rPr>
        <w:t> </w:t>
      </w:r>
      <w:r>
        <w:rPr>
          <w:rFonts w:ascii="Arial MT"/>
          <w:color w:val="455560"/>
          <w:sz w:val="15"/>
        </w:rPr>
        <w:t>common</w:t>
      </w:r>
      <w:r>
        <w:rPr>
          <w:rFonts w:ascii="Arial MT"/>
          <w:color w:val="455560"/>
          <w:spacing w:val="-1"/>
          <w:sz w:val="15"/>
        </w:rPr>
        <w:t> </w:t>
      </w:r>
      <w:r>
        <w:rPr>
          <w:rFonts w:ascii="Arial MT"/>
          <w:color w:val="455560"/>
          <w:sz w:val="15"/>
        </w:rPr>
        <w:t>angles</w:t>
      </w:r>
      <w:r>
        <w:rPr>
          <w:rFonts w:ascii="Arial MT"/>
          <w:color w:val="455560"/>
          <w:spacing w:val="-1"/>
          <w:sz w:val="15"/>
        </w:rPr>
        <w:t> </w:t>
      </w:r>
      <w:r>
        <w:rPr>
          <w:rFonts w:ascii="Arial MT"/>
          <w:color w:val="455560"/>
          <w:sz w:val="15"/>
        </w:rPr>
        <w:t>are</w:t>
      </w:r>
      <w:r>
        <w:rPr>
          <w:rFonts w:ascii="Arial MT"/>
          <w:color w:val="455560"/>
          <w:spacing w:val="-1"/>
          <w:sz w:val="15"/>
        </w:rPr>
        <w:t> </w:t>
      </w:r>
      <w:r>
        <w:rPr>
          <w:rFonts w:ascii="Arial MT"/>
          <w:color w:val="455560"/>
          <w:sz w:val="15"/>
        </w:rPr>
        <w:t>+/-</w:t>
      </w:r>
      <w:r>
        <w:rPr>
          <w:rFonts w:ascii="Arial MT"/>
          <w:color w:val="455560"/>
          <w:spacing w:val="-2"/>
          <w:sz w:val="15"/>
        </w:rPr>
        <w:t> </w:t>
      </w:r>
      <w:r>
        <w:rPr>
          <w:rFonts w:ascii="Arial MT"/>
          <w:color w:val="455560"/>
          <w:sz w:val="15"/>
        </w:rPr>
        <w:t>45</w:t>
      </w:r>
      <w:r>
        <w:rPr>
          <w:rFonts w:ascii="Arial MT"/>
          <w:color w:val="455560"/>
          <w:spacing w:val="-1"/>
          <w:sz w:val="15"/>
        </w:rPr>
        <w:t> </w:t>
      </w:r>
      <w:r>
        <w:rPr>
          <w:rFonts w:ascii="Arial MT"/>
          <w:color w:val="455560"/>
          <w:sz w:val="15"/>
        </w:rPr>
        <w:t>degrees.</w:t>
      </w:r>
    </w:p>
    <w:p>
      <w:pPr>
        <w:pStyle w:val="BodyText"/>
        <w:rPr>
          <w:rFonts w:ascii="Arial MT"/>
          <w:sz w:val="16"/>
        </w:rPr>
      </w:pPr>
    </w:p>
    <w:p>
      <w:pPr>
        <w:pStyle w:val="BodyText"/>
        <w:rPr>
          <w:rFonts w:ascii="Arial MT"/>
          <w:sz w:val="16"/>
        </w:rPr>
      </w:pPr>
    </w:p>
    <w:p>
      <w:pPr>
        <w:spacing w:before="110"/>
        <w:ind w:left="6457" w:right="0" w:firstLine="0"/>
        <w:jc w:val="left"/>
        <w:rPr>
          <w:rFonts w:ascii="Arial"/>
          <w:b/>
          <w:sz w:val="15"/>
        </w:rPr>
      </w:pPr>
      <w:r>
        <w:rPr>
          <w:rFonts w:ascii="Arial"/>
          <w:b/>
          <w:color w:val="455560"/>
          <w:sz w:val="15"/>
        </w:rPr>
        <w:t>Resin</w:t>
      </w:r>
      <w:r>
        <w:rPr>
          <w:rFonts w:ascii="Arial"/>
          <w:b/>
          <w:color w:val="455560"/>
          <w:spacing w:val="-3"/>
          <w:sz w:val="15"/>
        </w:rPr>
        <w:t> </w:t>
      </w:r>
      <w:r>
        <w:rPr>
          <w:rFonts w:ascii="Arial"/>
          <w:b/>
          <w:color w:val="455560"/>
          <w:sz w:val="15"/>
        </w:rPr>
        <w:t>Compatibility:</w:t>
      </w:r>
    </w:p>
    <w:p>
      <w:pPr>
        <w:spacing w:before="70"/>
        <w:ind w:left="6457" w:right="0" w:firstLine="0"/>
        <w:jc w:val="left"/>
        <w:rPr>
          <w:rFonts w:ascii="Arial MT"/>
          <w:sz w:val="15"/>
        </w:rPr>
      </w:pPr>
      <w:r>
        <w:rPr>
          <w:rFonts w:ascii="Arial MT"/>
          <w:color w:val="455560"/>
          <w:sz w:val="15"/>
        </w:rPr>
        <w:t>223</w:t>
      </w:r>
      <w:r>
        <w:rPr>
          <w:rFonts w:ascii="Arial MT"/>
          <w:color w:val="455560"/>
          <w:spacing w:val="-2"/>
          <w:sz w:val="15"/>
        </w:rPr>
        <w:t> </w:t>
      </w:r>
      <w:r>
        <w:rPr>
          <w:rFonts w:ascii="Arial MT"/>
          <w:color w:val="455560"/>
          <w:sz w:val="15"/>
        </w:rPr>
        <w:t>is</w:t>
      </w:r>
      <w:r>
        <w:rPr>
          <w:rFonts w:ascii="Arial MT"/>
          <w:color w:val="455560"/>
          <w:spacing w:val="-5"/>
          <w:sz w:val="15"/>
        </w:rPr>
        <w:t> </w:t>
      </w:r>
      <w:r>
        <w:rPr>
          <w:rFonts w:ascii="Arial MT"/>
          <w:color w:val="455560"/>
          <w:sz w:val="15"/>
        </w:rPr>
        <w:t>compatible</w:t>
      </w:r>
      <w:r>
        <w:rPr>
          <w:rFonts w:ascii="Arial MT"/>
          <w:color w:val="455560"/>
          <w:spacing w:val="-2"/>
          <w:sz w:val="15"/>
        </w:rPr>
        <w:t> </w:t>
      </w:r>
      <w:r>
        <w:rPr>
          <w:rFonts w:ascii="Arial MT"/>
          <w:color w:val="455560"/>
          <w:sz w:val="15"/>
        </w:rPr>
        <w:t>with</w:t>
      </w:r>
      <w:r>
        <w:rPr>
          <w:rFonts w:ascii="Arial MT"/>
          <w:color w:val="455560"/>
          <w:spacing w:val="-1"/>
          <w:sz w:val="15"/>
        </w:rPr>
        <w:t> </w:t>
      </w:r>
      <w:r>
        <w:rPr>
          <w:rFonts w:ascii="Arial MT"/>
          <w:color w:val="455560"/>
          <w:sz w:val="15"/>
        </w:rPr>
        <w:t>Polyester,</w:t>
      </w:r>
      <w:r>
        <w:rPr>
          <w:rFonts w:ascii="Arial MT"/>
          <w:color w:val="455560"/>
          <w:spacing w:val="-3"/>
          <w:sz w:val="15"/>
        </w:rPr>
        <w:t> </w:t>
      </w:r>
      <w:r>
        <w:rPr>
          <w:rFonts w:ascii="Arial MT"/>
          <w:color w:val="455560"/>
          <w:sz w:val="15"/>
        </w:rPr>
        <w:t>Vinyl</w:t>
      </w:r>
      <w:r>
        <w:rPr>
          <w:rFonts w:ascii="Arial MT"/>
          <w:color w:val="455560"/>
          <w:spacing w:val="-1"/>
          <w:sz w:val="15"/>
        </w:rPr>
        <w:t> </w:t>
      </w:r>
      <w:r>
        <w:rPr>
          <w:rFonts w:ascii="Arial MT"/>
          <w:color w:val="455560"/>
          <w:sz w:val="15"/>
        </w:rPr>
        <w:t>Ester,</w:t>
      </w:r>
      <w:r>
        <w:rPr>
          <w:rFonts w:ascii="Arial MT"/>
          <w:color w:val="455560"/>
          <w:spacing w:val="-2"/>
          <w:sz w:val="15"/>
        </w:rPr>
        <w:t> </w:t>
      </w:r>
      <w:r>
        <w:rPr>
          <w:rFonts w:ascii="Arial MT"/>
          <w:color w:val="455560"/>
          <w:sz w:val="15"/>
        </w:rPr>
        <w:t>and</w:t>
      </w:r>
      <w:r>
        <w:rPr>
          <w:rFonts w:ascii="Arial MT"/>
          <w:color w:val="455560"/>
          <w:spacing w:val="-4"/>
          <w:sz w:val="15"/>
        </w:rPr>
        <w:t> </w:t>
      </w:r>
      <w:r>
        <w:rPr>
          <w:rFonts w:ascii="Arial MT"/>
          <w:color w:val="455560"/>
          <w:sz w:val="15"/>
        </w:rPr>
        <w:t>Epoxy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8"/>
        <w:rPr>
          <w:rFonts w:ascii="Arial MT"/>
          <w:sz w:val="15"/>
        </w:rPr>
      </w:pPr>
    </w:p>
    <w:p>
      <w:pPr>
        <w:spacing w:after="0"/>
        <w:rPr>
          <w:rFonts w:ascii="Arial MT"/>
          <w:sz w:val="15"/>
        </w:rPr>
        <w:sectPr>
          <w:pgSz w:w="12240" w:h="15840"/>
          <w:pgMar w:header="0" w:footer="1064" w:top="0" w:bottom="1260" w:left="440" w:right="880"/>
        </w:sectPr>
      </w:pPr>
    </w:p>
    <w:p>
      <w:pPr>
        <w:pStyle w:val="BodyText"/>
        <w:spacing w:before="2"/>
        <w:rPr>
          <w:rFonts w:ascii="Arial MT"/>
          <w:sz w:val="10"/>
        </w:rPr>
      </w:pPr>
      <w:r>
        <w:rPr/>
        <w:pict>
          <v:group style="position:absolute;margin-left:0pt;margin-top:0pt;width:612pt;height:72pt;mso-position-horizontal-relative:page;mso-position-vertical-relative:page;z-index:-34786816" coordorigin="0,0" coordsize="12240,1440">
            <v:shape style="position:absolute;left:0;top:0;width:12240;height:1440" type="#_x0000_t75" stroked="false">
              <v:imagedata r:id="rId470" o:title=""/>
            </v:shape>
            <v:shape style="position:absolute;left:4095;top:186;width:4560;height:311" type="#_x0000_t202" filled="false" stroked="false">
              <v:textbox inset="0,0,0,0">
                <w:txbxContent>
                  <w:p>
                    <w:pPr>
                      <w:spacing w:line="310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color w:val="FFFFFF"/>
                        <w:w w:val="90"/>
                        <w:sz w:val="28"/>
                      </w:rPr>
                      <w:t>APPENDIX</w:t>
                    </w:r>
                    <w:r>
                      <w:rPr>
                        <w:color w:val="FFFFFF"/>
                        <w:spacing w:val="4"/>
                        <w:w w:val="90"/>
                        <w:sz w:val="28"/>
                      </w:rPr>
                      <w:t> </w:t>
                    </w:r>
                    <w:r>
                      <w:rPr>
                        <w:color w:val="FFFFFF"/>
                        <w:w w:val="90"/>
                        <w:sz w:val="28"/>
                      </w:rPr>
                      <w:t>B</w:t>
                    </w:r>
                    <w:r>
                      <w:rPr>
                        <w:color w:val="FFFFFF"/>
                        <w:spacing w:val="5"/>
                        <w:w w:val="90"/>
                        <w:sz w:val="28"/>
                      </w:rPr>
                      <w:t> </w:t>
                    </w:r>
                    <w:r>
                      <w:rPr>
                        <w:color w:val="FFFFFF"/>
                        <w:w w:val="90"/>
                        <w:sz w:val="28"/>
                      </w:rPr>
                      <w:t>-</w:t>
                    </w:r>
                    <w:r>
                      <w:rPr>
                        <w:color w:val="FFFFFF"/>
                        <w:spacing w:val="5"/>
                        <w:w w:val="90"/>
                        <w:sz w:val="28"/>
                      </w:rPr>
                      <w:t> </w:t>
                    </w:r>
                    <w:r>
                      <w:rPr>
                        <w:color w:val="FFFFFF"/>
                        <w:w w:val="90"/>
                        <w:sz w:val="28"/>
                      </w:rPr>
                      <w:t>Enhancing</w:t>
                    </w:r>
                    <w:r>
                      <w:rPr>
                        <w:color w:val="FFFFFF"/>
                        <w:spacing w:val="5"/>
                        <w:w w:val="90"/>
                        <w:sz w:val="28"/>
                      </w:rPr>
                      <w:t> </w:t>
                    </w:r>
                    <w:r>
                      <w:rPr>
                        <w:color w:val="FFFFFF"/>
                        <w:w w:val="90"/>
                        <w:sz w:val="28"/>
                      </w:rPr>
                      <w:t>layer</w:t>
                    </w:r>
                    <w:r>
                      <w:rPr>
                        <w:color w:val="FFFFFF"/>
                        <w:spacing w:val="4"/>
                        <w:w w:val="90"/>
                        <w:sz w:val="28"/>
                      </w:rPr>
                      <w:t> </w:t>
                    </w:r>
                    <w:r>
                      <w:rPr>
                        <w:color w:val="FFFFFF"/>
                        <w:w w:val="90"/>
                        <w:sz w:val="28"/>
                      </w:rPr>
                      <w:t>data</w:t>
                    </w:r>
                    <w:r>
                      <w:rPr>
                        <w:color w:val="FFFFFF"/>
                        <w:spacing w:val="5"/>
                        <w:w w:val="90"/>
                        <w:sz w:val="28"/>
                      </w:rPr>
                      <w:t> </w:t>
                    </w:r>
                    <w:r>
                      <w:rPr>
                        <w:color w:val="FFFFFF"/>
                        <w:w w:val="90"/>
                        <w:sz w:val="28"/>
                      </w:rPr>
                      <w:t>sheets</w:t>
                    </w:r>
                  </w:p>
                </w:txbxContent>
              </v:textbox>
              <w10:wrap type="none"/>
            </v:shape>
            <v:shape style="position:absolute;left:417;top:658;width:3093;height:223" type="#_x0000_t202" filled="false" stroked="false">
              <v:textbox inset="0,0,0,0">
                <w:txbxContent>
                  <w:p>
                    <w:pPr>
                      <w:spacing w:line="223" w:lineRule="exact" w:before="0"/>
                      <w:ind w:left="0" w:right="0" w:firstLine="0"/>
                      <w:jc w:val="left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 MT"/>
                        <w:color w:val="FFFFFF"/>
                        <w:w w:val="90"/>
                        <w:sz w:val="20"/>
                      </w:rPr>
                      <w:t>Fibre</w:t>
                    </w:r>
                    <w:r>
                      <w:rPr>
                        <w:rFonts w:ascii="Arial MT"/>
                        <w:color w:val="FFFFFF"/>
                        <w:spacing w:val="-4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MT"/>
                        <w:color w:val="FFFFFF"/>
                        <w:w w:val="90"/>
                        <w:sz w:val="20"/>
                      </w:rPr>
                      <w:t>Glast</w:t>
                    </w:r>
                    <w:r>
                      <w:rPr>
                        <w:rFonts w:ascii="Arial MT"/>
                        <w:color w:val="FFFFFF"/>
                        <w:spacing w:val="-4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MT"/>
                        <w:color w:val="FFFFFF"/>
                        <w:w w:val="90"/>
                        <w:sz w:val="20"/>
                      </w:rPr>
                      <w:t>Developments</w:t>
                    </w:r>
                    <w:r>
                      <w:rPr>
                        <w:rFonts w:ascii="Arial MT"/>
                        <w:color w:val="FFFFFF"/>
                        <w:spacing w:val="-6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MT"/>
                        <w:color w:val="FFFFFF"/>
                        <w:w w:val="90"/>
                        <w:sz w:val="20"/>
                      </w:rPr>
                      <w:t>Corporation</w:t>
                    </w:r>
                  </w:p>
                </w:txbxContent>
              </v:textbox>
              <w10:wrap type="none"/>
            </v:shape>
            <v:shape style="position:absolute;left:5817;top:691;width:902;height:180" type="#_x0000_t202" filled="false" stroked="false">
              <v:textbox inset="0,0,0,0">
                <w:txbxContent>
                  <w:p>
                    <w:pPr>
                      <w:spacing w:line="179" w:lineRule="exact" w:before="0"/>
                      <w:ind w:left="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FFFFFF"/>
                        <w:w w:val="90"/>
                        <w:sz w:val="16"/>
                      </w:rPr>
                      <w:t>800.214.8572</w:t>
                    </w:r>
                  </w:p>
                </w:txbxContent>
              </v:textbox>
              <w10:wrap type="none"/>
            </v:shape>
            <v:shape style="position:absolute;left:7257;top:691;width:1268;height:180" type="#_x0000_t202" filled="false" stroked="false">
              <v:textbox inset="0,0,0,0">
                <w:txbxContent>
                  <w:p>
                    <w:pPr>
                      <w:spacing w:line="179" w:lineRule="exact" w:before="0"/>
                      <w:ind w:left="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hyperlink r:id="rId471">
                      <w:r>
                        <w:rPr>
                          <w:rFonts w:ascii="Arial MT"/>
                          <w:color w:val="FFFFFF"/>
                          <w:w w:val="90"/>
                          <w:sz w:val="16"/>
                        </w:rPr>
                        <w:t>www.fibreglast.com</w:t>
                      </w:r>
                    </w:hyperlink>
                  </w:p>
                </w:txbxContent>
              </v:textbox>
              <w10:wrap type="none"/>
            </v:shape>
            <v:shape style="position:absolute;left:8995;top:558;width:2847;height:403" type="#_x0000_t202" filled="false" stroked="false">
              <v:textbox inset="0,0,0,0">
                <w:txbxContent>
                  <w:p>
                    <w:pPr>
                      <w:spacing w:line="402" w:lineRule="exact" w:before="0"/>
                      <w:ind w:left="0" w:right="0" w:firstLine="0"/>
                      <w:jc w:val="left"/>
                      <w:rPr>
                        <w:rFonts w:ascii="Arial MT"/>
                        <w:sz w:val="36"/>
                      </w:rPr>
                    </w:pPr>
                    <w:r>
                      <w:rPr>
                        <w:rFonts w:ascii="Arial MT"/>
                        <w:color w:val="FFFFFF"/>
                        <w:w w:val="90"/>
                        <w:sz w:val="36"/>
                      </w:rPr>
                      <w:t>Product</w:t>
                    </w:r>
                    <w:r>
                      <w:rPr>
                        <w:rFonts w:ascii="Arial MT"/>
                        <w:color w:val="FFFFFF"/>
                        <w:spacing w:val="-5"/>
                        <w:w w:val="90"/>
                        <w:sz w:val="36"/>
                      </w:rPr>
                      <w:t> </w:t>
                    </w:r>
                    <w:r>
                      <w:rPr>
                        <w:rFonts w:ascii="Arial MT"/>
                        <w:color w:val="FFFFFF"/>
                        <w:w w:val="90"/>
                        <w:sz w:val="36"/>
                      </w:rPr>
                      <w:t>Data</w:t>
                    </w:r>
                    <w:r>
                      <w:rPr>
                        <w:rFonts w:ascii="Arial MT"/>
                        <w:color w:val="FFFFFF"/>
                        <w:spacing w:val="-4"/>
                        <w:w w:val="90"/>
                        <w:sz w:val="36"/>
                      </w:rPr>
                      <w:t> </w:t>
                    </w:r>
                    <w:r>
                      <w:rPr>
                        <w:rFonts w:ascii="Arial MT"/>
                        <w:color w:val="FFFFFF"/>
                        <w:w w:val="90"/>
                        <w:sz w:val="36"/>
                      </w:rPr>
                      <w:t>Sheet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920640" from="27pt,647pt" to="585pt,647pt" stroked="true" strokeweight=".75pt" strokecolor="#818181">
            <v:stroke dashstyle="solid"/>
            <w10:wrap type="none"/>
          </v:line>
        </w:pict>
      </w:r>
    </w:p>
    <w:p>
      <w:pPr>
        <w:spacing w:line="278" w:lineRule="auto" w:before="0"/>
        <w:ind w:left="157" w:right="36" w:firstLine="0"/>
        <w:jc w:val="left"/>
        <w:rPr>
          <w:rFonts w:ascii="Arial MT" w:hAnsi="Arial MT"/>
          <w:sz w:val="12"/>
        </w:rPr>
      </w:pPr>
      <w:r>
        <w:rPr>
          <w:rFonts w:ascii="Arial MT" w:hAnsi="Arial MT"/>
          <w:color w:val="676767"/>
          <w:sz w:val="12"/>
        </w:rPr>
        <w:t>Information present herein has been compiled from sources considered to be dependable and is accurate and</w:t>
      </w:r>
      <w:r>
        <w:rPr>
          <w:rFonts w:ascii="Arial MT" w:hAnsi="Arial MT"/>
          <w:color w:val="676767"/>
          <w:spacing w:val="1"/>
          <w:sz w:val="12"/>
        </w:rPr>
        <w:t> </w:t>
      </w:r>
      <w:r>
        <w:rPr>
          <w:rFonts w:ascii="Arial MT" w:hAnsi="Arial MT"/>
          <w:color w:val="676767"/>
          <w:sz w:val="12"/>
        </w:rPr>
        <w:t>reliable to the best of our knowledge and belief but is not guaranteed to be so. Nothing herein is to be construed as</w:t>
      </w:r>
      <w:r>
        <w:rPr>
          <w:rFonts w:ascii="Arial MT" w:hAnsi="Arial MT"/>
          <w:color w:val="676767"/>
          <w:spacing w:val="1"/>
          <w:sz w:val="12"/>
        </w:rPr>
        <w:t> </w:t>
      </w:r>
      <w:r>
        <w:rPr>
          <w:rFonts w:ascii="Arial MT" w:hAnsi="Arial MT"/>
          <w:color w:val="676767"/>
          <w:sz w:val="12"/>
        </w:rPr>
        <w:t>recommending any practice or any product violation of any patent or in violation of any law or regulation. It is the</w:t>
      </w:r>
      <w:r>
        <w:rPr>
          <w:rFonts w:ascii="Arial MT" w:hAnsi="Arial MT"/>
          <w:color w:val="676767"/>
          <w:spacing w:val="1"/>
          <w:sz w:val="12"/>
        </w:rPr>
        <w:t> </w:t>
      </w:r>
      <w:r>
        <w:rPr>
          <w:rFonts w:ascii="Arial MT" w:hAnsi="Arial MT"/>
          <w:color w:val="676767"/>
          <w:sz w:val="12"/>
        </w:rPr>
        <w:t>user’s responsibility to determine for himself the suitability of any material for a specific purpose and to adopt such</w:t>
      </w:r>
      <w:r>
        <w:rPr>
          <w:rFonts w:ascii="Arial MT" w:hAnsi="Arial MT"/>
          <w:color w:val="676767"/>
          <w:spacing w:val="1"/>
          <w:sz w:val="12"/>
        </w:rPr>
        <w:t> </w:t>
      </w:r>
      <w:r>
        <w:rPr>
          <w:rFonts w:ascii="Arial MT" w:hAnsi="Arial MT"/>
          <w:color w:val="676767"/>
          <w:sz w:val="12"/>
        </w:rPr>
        <w:t>safety precautions as may be necessary. We make no warranty as to the results to be obtained in using any material</w:t>
      </w:r>
      <w:r>
        <w:rPr>
          <w:rFonts w:ascii="Arial MT" w:hAnsi="Arial MT"/>
          <w:color w:val="676767"/>
          <w:spacing w:val="-31"/>
          <w:sz w:val="12"/>
        </w:rPr>
        <w:t> </w:t>
      </w:r>
      <w:r>
        <w:rPr>
          <w:rFonts w:ascii="Arial MT" w:hAnsi="Arial MT"/>
          <w:color w:val="676767"/>
          <w:sz w:val="12"/>
        </w:rPr>
        <w:t>and, since conditions of use are not under our control, we must necessarily disclaim all liability with respect to the</w:t>
      </w:r>
      <w:r>
        <w:rPr>
          <w:rFonts w:ascii="Arial MT" w:hAnsi="Arial MT"/>
          <w:color w:val="676767"/>
          <w:spacing w:val="1"/>
          <w:sz w:val="12"/>
        </w:rPr>
        <w:t> </w:t>
      </w:r>
      <w:r>
        <w:rPr>
          <w:rFonts w:ascii="Arial MT" w:hAnsi="Arial MT"/>
          <w:color w:val="676767"/>
          <w:sz w:val="12"/>
        </w:rPr>
        <w:t>use</w:t>
      </w:r>
      <w:r>
        <w:rPr>
          <w:rFonts w:ascii="Arial MT" w:hAnsi="Arial MT"/>
          <w:color w:val="676767"/>
          <w:spacing w:val="-1"/>
          <w:sz w:val="12"/>
        </w:rPr>
        <w:t> </w:t>
      </w:r>
      <w:r>
        <w:rPr>
          <w:rFonts w:ascii="Arial MT" w:hAnsi="Arial MT"/>
          <w:color w:val="676767"/>
          <w:sz w:val="12"/>
        </w:rPr>
        <w:t>of any material</w:t>
      </w:r>
      <w:r>
        <w:rPr>
          <w:rFonts w:ascii="Arial MT" w:hAnsi="Arial MT"/>
          <w:color w:val="676767"/>
          <w:spacing w:val="2"/>
          <w:sz w:val="12"/>
        </w:rPr>
        <w:t> </w:t>
      </w:r>
      <w:r>
        <w:rPr>
          <w:rFonts w:ascii="Arial MT" w:hAnsi="Arial MT"/>
          <w:color w:val="676767"/>
          <w:sz w:val="12"/>
        </w:rPr>
        <w:t>supplied</w:t>
      </w:r>
      <w:r>
        <w:rPr>
          <w:rFonts w:ascii="Arial MT" w:hAnsi="Arial MT"/>
          <w:color w:val="676767"/>
          <w:spacing w:val="-2"/>
          <w:sz w:val="12"/>
        </w:rPr>
        <w:t> </w:t>
      </w:r>
      <w:r>
        <w:rPr>
          <w:rFonts w:ascii="Arial MT" w:hAnsi="Arial MT"/>
          <w:color w:val="676767"/>
          <w:sz w:val="12"/>
        </w:rPr>
        <w:t>by us.</w:t>
      </w:r>
    </w:p>
    <w:p>
      <w:pPr>
        <w:spacing w:before="2"/>
        <w:ind w:left="157" w:right="0" w:firstLine="0"/>
        <w:jc w:val="left"/>
        <w:rPr>
          <w:rFonts w:ascii="Arial MT" w:hAnsi="Arial MT"/>
          <w:sz w:val="12"/>
        </w:rPr>
      </w:pPr>
      <w:r>
        <w:rPr>
          <w:rFonts w:ascii="Arial MT" w:hAnsi="Arial MT"/>
          <w:color w:val="676767"/>
          <w:sz w:val="12"/>
        </w:rPr>
        <w:t>©Copyright</w:t>
      </w:r>
      <w:r>
        <w:rPr>
          <w:rFonts w:ascii="Arial MT" w:hAnsi="Arial MT"/>
          <w:color w:val="676767"/>
          <w:spacing w:val="-3"/>
          <w:sz w:val="12"/>
        </w:rPr>
        <w:t> </w:t>
      </w:r>
      <w:r>
        <w:rPr>
          <w:rFonts w:ascii="Arial MT" w:hAnsi="Arial MT"/>
          <w:color w:val="676767"/>
          <w:sz w:val="12"/>
        </w:rPr>
        <w:t>2010</w:t>
      </w:r>
      <w:r>
        <w:rPr>
          <w:rFonts w:ascii="Arial MT" w:hAnsi="Arial MT"/>
          <w:color w:val="676767"/>
          <w:spacing w:val="-5"/>
          <w:sz w:val="12"/>
        </w:rPr>
        <w:t> </w:t>
      </w:r>
      <w:r>
        <w:rPr>
          <w:rFonts w:ascii="Arial MT" w:hAnsi="Arial MT"/>
          <w:color w:val="676767"/>
          <w:sz w:val="12"/>
        </w:rPr>
        <w:t>Fibre</w:t>
      </w:r>
      <w:r>
        <w:rPr>
          <w:rFonts w:ascii="Arial MT" w:hAnsi="Arial MT"/>
          <w:color w:val="676767"/>
          <w:spacing w:val="-2"/>
          <w:sz w:val="12"/>
        </w:rPr>
        <w:t> </w:t>
      </w:r>
      <w:r>
        <w:rPr>
          <w:rFonts w:ascii="Arial MT" w:hAnsi="Arial MT"/>
          <w:color w:val="676767"/>
          <w:sz w:val="12"/>
        </w:rPr>
        <w:t>Glast</w:t>
      </w:r>
      <w:r>
        <w:rPr>
          <w:rFonts w:ascii="Arial MT" w:hAnsi="Arial MT"/>
          <w:color w:val="676767"/>
          <w:spacing w:val="-3"/>
          <w:sz w:val="12"/>
        </w:rPr>
        <w:t> </w:t>
      </w:r>
      <w:r>
        <w:rPr>
          <w:rFonts w:ascii="Arial MT" w:hAnsi="Arial MT"/>
          <w:color w:val="676767"/>
          <w:sz w:val="12"/>
        </w:rPr>
        <w:t>Developments</w:t>
      </w:r>
      <w:r>
        <w:rPr>
          <w:rFonts w:ascii="Arial MT" w:hAnsi="Arial MT"/>
          <w:color w:val="676767"/>
          <w:spacing w:val="-3"/>
          <w:sz w:val="12"/>
        </w:rPr>
        <w:t> </w:t>
      </w:r>
      <w:r>
        <w:rPr>
          <w:rFonts w:ascii="Arial MT" w:hAnsi="Arial MT"/>
          <w:color w:val="676767"/>
          <w:sz w:val="12"/>
        </w:rPr>
        <w:t>Corporation</w:t>
      </w:r>
    </w:p>
    <w:p>
      <w:pPr>
        <w:pStyle w:val="BodyText"/>
        <w:spacing w:before="2"/>
        <w:rPr>
          <w:rFonts w:ascii="Arial MT"/>
          <w:sz w:val="10"/>
        </w:rPr>
      </w:pPr>
      <w:r>
        <w:rPr/>
        <w:br w:type="column"/>
      </w:r>
      <w:r>
        <w:rPr>
          <w:rFonts w:ascii="Arial MT"/>
          <w:sz w:val="10"/>
        </w:rPr>
      </w:r>
    </w:p>
    <w:p>
      <w:pPr>
        <w:spacing w:line="280" w:lineRule="auto" w:before="0"/>
        <w:ind w:left="157" w:right="23" w:firstLine="0"/>
        <w:jc w:val="left"/>
        <w:rPr>
          <w:rFonts w:ascii="Arial MT"/>
          <w:sz w:val="12"/>
        </w:rPr>
      </w:pPr>
      <w:r>
        <w:rPr>
          <w:rFonts w:ascii="Arial MT"/>
          <w:color w:val="676767"/>
          <w:sz w:val="12"/>
        </w:rPr>
        <w:t>Fibre Glast Developments Corporation</w:t>
      </w:r>
      <w:r>
        <w:rPr>
          <w:rFonts w:ascii="Arial MT"/>
          <w:color w:val="676767"/>
          <w:spacing w:val="-31"/>
          <w:sz w:val="12"/>
        </w:rPr>
        <w:t> </w:t>
      </w:r>
      <w:r>
        <w:rPr>
          <w:rFonts w:ascii="Arial MT"/>
          <w:color w:val="676767"/>
          <w:sz w:val="12"/>
        </w:rPr>
        <w:t>385</w:t>
      </w:r>
      <w:r>
        <w:rPr>
          <w:rFonts w:ascii="Arial MT"/>
          <w:color w:val="676767"/>
          <w:spacing w:val="-1"/>
          <w:sz w:val="12"/>
        </w:rPr>
        <w:t> </w:t>
      </w:r>
      <w:r>
        <w:rPr>
          <w:rFonts w:ascii="Arial MT"/>
          <w:color w:val="676767"/>
          <w:sz w:val="12"/>
        </w:rPr>
        <w:t>Carr</w:t>
      </w:r>
      <w:r>
        <w:rPr>
          <w:rFonts w:ascii="Arial MT"/>
          <w:color w:val="676767"/>
          <w:spacing w:val="-2"/>
          <w:sz w:val="12"/>
        </w:rPr>
        <w:t> </w:t>
      </w:r>
      <w:r>
        <w:rPr>
          <w:rFonts w:ascii="Arial MT"/>
          <w:color w:val="676767"/>
          <w:sz w:val="12"/>
        </w:rPr>
        <w:t>Drive</w:t>
      </w:r>
    </w:p>
    <w:p>
      <w:pPr>
        <w:spacing w:line="134" w:lineRule="exact" w:before="0"/>
        <w:ind w:left="157" w:right="0" w:firstLine="0"/>
        <w:jc w:val="left"/>
        <w:rPr>
          <w:rFonts w:ascii="Arial MT"/>
          <w:sz w:val="12"/>
        </w:rPr>
      </w:pPr>
      <w:r>
        <w:rPr>
          <w:rFonts w:ascii="Arial MT"/>
          <w:color w:val="676767"/>
          <w:sz w:val="12"/>
        </w:rPr>
        <w:t>Brookville,</w:t>
      </w:r>
      <w:r>
        <w:rPr>
          <w:rFonts w:ascii="Arial MT"/>
          <w:color w:val="676767"/>
          <w:spacing w:val="-4"/>
          <w:sz w:val="12"/>
        </w:rPr>
        <w:t> </w:t>
      </w:r>
      <w:r>
        <w:rPr>
          <w:rFonts w:ascii="Arial MT"/>
          <w:color w:val="676767"/>
          <w:sz w:val="12"/>
        </w:rPr>
        <w:t>Ohio</w:t>
      </w:r>
      <w:r>
        <w:rPr>
          <w:rFonts w:ascii="Arial MT"/>
          <w:color w:val="676767"/>
          <w:spacing w:val="-2"/>
          <w:sz w:val="12"/>
        </w:rPr>
        <w:t> </w:t>
      </w:r>
      <w:r>
        <w:rPr>
          <w:rFonts w:ascii="Arial MT"/>
          <w:color w:val="676767"/>
          <w:sz w:val="12"/>
        </w:rPr>
        <w:t>45309</w:t>
      </w:r>
    </w:p>
    <w:p>
      <w:pPr>
        <w:spacing w:before="23"/>
        <w:ind w:left="157" w:right="0" w:firstLine="0"/>
        <w:jc w:val="left"/>
        <w:rPr>
          <w:rFonts w:ascii="Arial MT" w:hAnsi="Arial MT"/>
          <w:sz w:val="12"/>
        </w:rPr>
      </w:pPr>
      <w:r>
        <w:rPr>
          <w:rFonts w:ascii="Arial MT" w:hAnsi="Arial MT"/>
          <w:color w:val="676767"/>
          <w:sz w:val="12"/>
        </w:rPr>
        <w:t>Phone</w:t>
      </w:r>
      <w:r>
        <w:rPr>
          <w:rFonts w:ascii="Arial MT" w:hAnsi="Arial MT"/>
          <w:color w:val="676767"/>
          <w:spacing w:val="-4"/>
          <w:sz w:val="12"/>
        </w:rPr>
        <w:t> </w:t>
      </w:r>
      <w:r>
        <w:rPr>
          <w:rFonts w:ascii="Arial MT" w:hAnsi="Arial MT"/>
          <w:color w:val="676767"/>
          <w:sz w:val="12"/>
        </w:rPr>
        <w:t>–</w:t>
      </w:r>
      <w:r>
        <w:rPr>
          <w:rFonts w:ascii="Arial MT" w:hAnsi="Arial MT"/>
          <w:color w:val="676767"/>
          <w:spacing w:val="-3"/>
          <w:sz w:val="12"/>
        </w:rPr>
        <w:t> </w:t>
      </w:r>
      <w:r>
        <w:rPr>
          <w:rFonts w:ascii="Arial MT" w:hAnsi="Arial MT"/>
          <w:color w:val="676767"/>
          <w:sz w:val="12"/>
        </w:rPr>
        <w:t>800.214.8572</w:t>
      </w:r>
    </w:p>
    <w:p>
      <w:pPr>
        <w:spacing w:before="22"/>
        <w:ind w:left="157" w:right="0" w:firstLine="0"/>
        <w:jc w:val="left"/>
        <w:rPr>
          <w:rFonts w:ascii="Arial MT" w:hAnsi="Arial MT"/>
          <w:sz w:val="12"/>
        </w:rPr>
      </w:pPr>
      <w:r>
        <w:rPr>
          <w:rFonts w:ascii="Arial MT" w:hAnsi="Arial MT"/>
          <w:color w:val="676767"/>
          <w:sz w:val="12"/>
        </w:rPr>
        <w:t>Fax</w:t>
      </w:r>
      <w:r>
        <w:rPr>
          <w:rFonts w:ascii="Arial MT" w:hAnsi="Arial MT"/>
          <w:color w:val="676767"/>
          <w:spacing w:val="-5"/>
          <w:sz w:val="12"/>
        </w:rPr>
        <w:t> </w:t>
      </w:r>
      <w:r>
        <w:rPr>
          <w:rFonts w:ascii="Arial MT" w:hAnsi="Arial MT"/>
          <w:color w:val="676767"/>
          <w:sz w:val="12"/>
        </w:rPr>
        <w:t>–</w:t>
      </w:r>
      <w:r>
        <w:rPr>
          <w:rFonts w:ascii="Arial MT" w:hAnsi="Arial MT"/>
          <w:color w:val="676767"/>
          <w:spacing w:val="-1"/>
          <w:sz w:val="12"/>
        </w:rPr>
        <w:t> </w:t>
      </w:r>
      <w:r>
        <w:rPr>
          <w:rFonts w:ascii="Arial MT" w:hAnsi="Arial MT"/>
          <w:color w:val="676767"/>
          <w:sz w:val="12"/>
        </w:rPr>
        <w:t>937.833.6555</w:t>
      </w:r>
    </w:p>
    <w:p>
      <w:pPr>
        <w:spacing w:before="21"/>
        <w:ind w:left="157" w:right="0" w:firstLine="0"/>
        <w:jc w:val="left"/>
        <w:rPr>
          <w:rFonts w:ascii="Arial MT"/>
          <w:sz w:val="12"/>
        </w:rPr>
      </w:pPr>
      <w:hyperlink r:id="rId471">
        <w:r>
          <w:rPr>
            <w:rFonts w:ascii="Arial MT"/>
            <w:color w:val="676767"/>
            <w:sz w:val="12"/>
          </w:rPr>
          <w:t>www.fibreglast.com</w:t>
        </w:r>
      </w:hyperlink>
    </w:p>
    <w:p>
      <w:pPr>
        <w:spacing w:before="97"/>
        <w:ind w:left="195" w:right="0" w:firstLine="0"/>
        <w:jc w:val="left"/>
        <w:rPr>
          <w:rFonts w:ascii="Arial MT"/>
          <w:sz w:val="12"/>
        </w:rPr>
      </w:pPr>
      <w:r>
        <w:rPr/>
        <w:br w:type="column"/>
      </w:r>
      <w:r>
        <w:rPr>
          <w:rFonts w:ascii="Arial MT"/>
          <w:color w:val="676767"/>
          <w:sz w:val="12"/>
        </w:rPr>
        <w:t>PDCT-PDS-00088-E-01/18-BE</w:t>
      </w:r>
    </w:p>
    <w:p>
      <w:pPr>
        <w:pStyle w:val="BodyText"/>
        <w:spacing w:before="1"/>
        <w:rPr>
          <w:rFonts w:ascii="Arial MT"/>
          <w:sz w:val="9"/>
        </w:rPr>
      </w:pPr>
    </w:p>
    <w:p>
      <w:pPr>
        <w:pStyle w:val="BodyText"/>
        <w:ind w:left="157"/>
        <w:rPr>
          <w:rFonts w:ascii="Arial MT"/>
          <w:sz w:val="20"/>
        </w:rPr>
      </w:pPr>
      <w:r>
        <w:rPr>
          <w:rFonts w:ascii="Arial MT"/>
          <w:sz w:val="20"/>
        </w:rPr>
        <w:drawing>
          <wp:inline distT="0" distB="0" distL="0" distR="0">
            <wp:extent cx="1109867" cy="451104"/>
            <wp:effectExtent l="0" t="0" r="0" b="0"/>
            <wp:docPr id="273" name="image4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459.jpeg"/>
                    <pic:cNvPicPr/>
                  </pic:nvPicPr>
                  <pic:blipFill>
                    <a:blip r:embed="rId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9867" cy="451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MT"/>
          <w:sz w:val="20"/>
        </w:rPr>
      </w:r>
    </w:p>
    <w:p>
      <w:pPr>
        <w:spacing w:after="0"/>
        <w:rPr>
          <w:rFonts w:ascii="Arial MT"/>
          <w:sz w:val="20"/>
        </w:rPr>
        <w:sectPr>
          <w:type w:val="continuous"/>
          <w:pgSz w:w="12240" w:h="15840"/>
          <w:pgMar w:top="1380" w:bottom="280" w:left="440" w:right="880"/>
          <w:cols w:num="3" w:equalWidth="0">
            <w:col w:w="6383" w:space="97"/>
            <w:col w:w="2248" w:space="93"/>
            <w:col w:w="2099"/>
          </w:cols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3"/>
        </w:rPr>
      </w:pPr>
    </w:p>
    <w:p>
      <w:pPr>
        <w:spacing w:before="91"/>
        <w:ind w:left="5017" w:right="0" w:firstLine="0"/>
        <w:jc w:val="left"/>
        <w:rPr>
          <w:rFonts w:ascii="Arial"/>
          <w:b/>
          <w:sz w:val="33"/>
        </w:rPr>
      </w:pPr>
      <w:r>
        <w:rPr/>
        <w:drawing>
          <wp:anchor distT="0" distB="0" distL="0" distR="0" allowOverlap="1" layoutInCell="1" locked="0" behindDoc="0" simplePos="0" relativeHeight="15923712">
            <wp:simplePos x="0" y="0"/>
            <wp:positionH relativeFrom="page">
              <wp:posOffset>887729</wp:posOffset>
            </wp:positionH>
            <wp:positionV relativeFrom="paragraph">
              <wp:posOffset>16342</wp:posOffset>
            </wp:positionV>
            <wp:extent cx="2346959" cy="2346959"/>
            <wp:effectExtent l="0" t="0" r="0" b="0"/>
            <wp:wrapNone/>
            <wp:docPr id="275" name="image46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460.jpeg"/>
                    <pic:cNvPicPr/>
                  </pic:nvPicPr>
                  <pic:blipFill>
                    <a:blip r:embed="rId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6959" cy="2346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0 ounce fabric.pdf" w:id="643"/>
      <w:bookmarkEnd w:id="643"/>
      <w:r>
        <w:rPr/>
      </w:r>
      <w:r>
        <w:rPr>
          <w:rFonts w:ascii="Arial"/>
          <w:b/>
          <w:color w:val="024C8C"/>
          <w:sz w:val="33"/>
        </w:rPr>
        <w:t>10</w:t>
      </w:r>
      <w:r>
        <w:rPr>
          <w:rFonts w:ascii="Arial"/>
          <w:b/>
          <w:color w:val="024C8C"/>
          <w:spacing w:val="-1"/>
          <w:sz w:val="33"/>
        </w:rPr>
        <w:t> </w:t>
      </w:r>
      <w:r>
        <w:rPr>
          <w:rFonts w:ascii="Arial"/>
          <w:b/>
          <w:color w:val="024C8C"/>
          <w:sz w:val="33"/>
        </w:rPr>
        <w:t>oz</w:t>
      </w:r>
      <w:r>
        <w:rPr>
          <w:rFonts w:ascii="Arial"/>
          <w:b/>
          <w:color w:val="024C8C"/>
          <w:spacing w:val="-1"/>
          <w:sz w:val="33"/>
        </w:rPr>
        <w:t> </w:t>
      </w:r>
      <w:r>
        <w:rPr>
          <w:rFonts w:ascii="Arial"/>
          <w:b/>
          <w:color w:val="024C8C"/>
          <w:sz w:val="33"/>
        </w:rPr>
        <w:t>Fabric</w:t>
      </w:r>
    </w:p>
    <w:p>
      <w:pPr>
        <w:spacing w:before="123"/>
        <w:ind w:left="5017" w:right="0" w:firstLine="0"/>
        <w:jc w:val="left"/>
        <w:rPr>
          <w:rFonts w:ascii="Arial"/>
          <w:i/>
          <w:sz w:val="15"/>
        </w:rPr>
      </w:pPr>
      <w:r>
        <w:rPr>
          <w:rFonts w:ascii="Arial"/>
          <w:i/>
          <w:color w:val="455560"/>
          <w:sz w:val="15"/>
        </w:rPr>
        <w:t>Part</w:t>
      </w:r>
      <w:r>
        <w:rPr>
          <w:rFonts w:ascii="Arial"/>
          <w:i/>
          <w:color w:val="455560"/>
          <w:spacing w:val="-1"/>
          <w:sz w:val="15"/>
        </w:rPr>
        <w:t> </w:t>
      </w:r>
      <w:r>
        <w:rPr>
          <w:rFonts w:ascii="Arial"/>
          <w:i/>
          <w:color w:val="455560"/>
          <w:sz w:val="15"/>
        </w:rPr>
        <w:t>#</w:t>
      </w:r>
      <w:r>
        <w:rPr>
          <w:rFonts w:ascii="Arial"/>
          <w:i/>
          <w:color w:val="455560"/>
          <w:spacing w:val="-2"/>
          <w:sz w:val="15"/>
        </w:rPr>
        <w:t> </w:t>
      </w:r>
      <w:r>
        <w:rPr>
          <w:rFonts w:ascii="Arial"/>
          <w:i/>
          <w:color w:val="455560"/>
          <w:sz w:val="15"/>
        </w:rPr>
        <w:t>-</w:t>
      </w:r>
      <w:r>
        <w:rPr>
          <w:rFonts w:ascii="Arial"/>
          <w:i/>
          <w:color w:val="455560"/>
          <w:spacing w:val="-1"/>
          <w:sz w:val="15"/>
        </w:rPr>
        <w:t> </w:t>
      </w:r>
      <w:r>
        <w:rPr>
          <w:rFonts w:ascii="Arial"/>
          <w:i/>
          <w:color w:val="455560"/>
          <w:sz w:val="15"/>
        </w:rPr>
        <w:t>245,</w:t>
      </w:r>
      <w:r>
        <w:rPr>
          <w:rFonts w:ascii="Arial"/>
          <w:i/>
          <w:color w:val="455560"/>
          <w:spacing w:val="-1"/>
          <w:sz w:val="15"/>
        </w:rPr>
        <w:t> </w:t>
      </w:r>
      <w:r>
        <w:rPr>
          <w:rFonts w:ascii="Arial"/>
          <w:i/>
          <w:color w:val="455560"/>
          <w:sz w:val="15"/>
        </w:rPr>
        <w:t>247, 271</w:t>
      </w:r>
    </w:p>
    <w:p>
      <w:pPr>
        <w:pStyle w:val="BodyText"/>
        <w:rPr>
          <w:rFonts w:ascii="Arial"/>
          <w:i/>
          <w:sz w:val="19"/>
        </w:rPr>
      </w:pPr>
    </w:p>
    <w:p>
      <w:pPr>
        <w:spacing w:line="333" w:lineRule="auto" w:before="0"/>
        <w:ind w:left="5017" w:right="106" w:firstLine="0"/>
        <w:jc w:val="left"/>
        <w:rPr>
          <w:rFonts w:ascii="Arial MT"/>
          <w:sz w:val="15"/>
        </w:rPr>
      </w:pPr>
      <w:r>
        <w:rPr>
          <w:rFonts w:ascii="Arial MT"/>
          <w:color w:val="455560"/>
          <w:sz w:val="15"/>
        </w:rPr>
        <w:t>10 oz/sq yd 38", 50" and 60" Wide .014" Thick, 16 x 14 Plain Weave Frequently used in</w:t>
      </w:r>
      <w:r>
        <w:rPr>
          <w:rFonts w:ascii="Arial MT"/>
          <w:color w:val="455560"/>
          <w:spacing w:val="-39"/>
          <w:sz w:val="15"/>
        </w:rPr>
        <w:t> </w:t>
      </w:r>
      <w:r>
        <w:rPr>
          <w:rFonts w:ascii="Arial MT"/>
          <w:color w:val="455560"/>
          <w:sz w:val="15"/>
        </w:rPr>
        <w:t>mold building, sandwich core panels, and high strength layups. 8 plies of 10 oz fabric</w:t>
      </w:r>
      <w:r>
        <w:rPr>
          <w:rFonts w:ascii="Arial MT"/>
          <w:color w:val="455560"/>
          <w:spacing w:val="1"/>
          <w:sz w:val="15"/>
        </w:rPr>
        <w:t> </w:t>
      </w:r>
      <w:r>
        <w:rPr>
          <w:rFonts w:ascii="Arial MT"/>
          <w:color w:val="455560"/>
          <w:sz w:val="15"/>
        </w:rPr>
        <w:t>will produce a strong 1/8" laminate weighing 1 lb per sq ft. This Style 7500 fabric meets</w:t>
      </w:r>
      <w:r>
        <w:rPr>
          <w:rFonts w:ascii="Arial MT"/>
          <w:color w:val="455560"/>
          <w:spacing w:val="-39"/>
          <w:sz w:val="15"/>
        </w:rPr>
        <w:t> </w:t>
      </w:r>
      <w:r>
        <w:rPr>
          <w:rFonts w:ascii="Arial MT"/>
          <w:color w:val="455560"/>
          <w:sz w:val="15"/>
        </w:rPr>
        <w:t>AMS-C-9084 Type</w:t>
      </w:r>
      <w:r>
        <w:rPr>
          <w:rFonts w:ascii="Arial MT"/>
          <w:color w:val="455560"/>
          <w:spacing w:val="-1"/>
          <w:sz w:val="15"/>
        </w:rPr>
        <w:t> </w:t>
      </w:r>
      <w:r>
        <w:rPr>
          <w:rFonts w:ascii="Arial MT"/>
          <w:color w:val="455560"/>
          <w:sz w:val="15"/>
        </w:rPr>
        <w:t>XII-A</w:t>
      </w:r>
      <w:r>
        <w:rPr>
          <w:rFonts w:ascii="Arial MT"/>
          <w:color w:val="455560"/>
          <w:spacing w:val="-1"/>
          <w:sz w:val="15"/>
        </w:rPr>
        <w:t> </w:t>
      </w:r>
      <w:r>
        <w:rPr>
          <w:rFonts w:ascii="Arial MT"/>
          <w:color w:val="455560"/>
          <w:sz w:val="15"/>
        </w:rPr>
        <w:t>(Class 1</w:t>
      </w:r>
      <w:r>
        <w:rPr>
          <w:rFonts w:ascii="Arial MT"/>
          <w:color w:val="455560"/>
          <w:spacing w:val="1"/>
          <w:sz w:val="15"/>
        </w:rPr>
        <w:t> </w:t>
      </w:r>
      <w:r>
        <w:rPr>
          <w:rFonts w:ascii="Arial MT"/>
          <w:color w:val="455560"/>
          <w:sz w:val="15"/>
        </w:rPr>
        <w:t>&amp;</w:t>
      </w:r>
      <w:r>
        <w:rPr>
          <w:rFonts w:ascii="Arial MT"/>
          <w:color w:val="455560"/>
          <w:spacing w:val="-4"/>
          <w:sz w:val="15"/>
        </w:rPr>
        <w:t> </w:t>
      </w:r>
      <w:r>
        <w:rPr>
          <w:rFonts w:ascii="Arial MT"/>
          <w:color w:val="455560"/>
          <w:sz w:val="15"/>
        </w:rPr>
        <w:t>2).</w:t>
      </w:r>
    </w:p>
    <w:p>
      <w:pPr>
        <w:pStyle w:val="BodyText"/>
        <w:rPr>
          <w:rFonts w:ascii="Arial MT"/>
          <w:sz w:val="16"/>
        </w:rPr>
      </w:pPr>
    </w:p>
    <w:p>
      <w:pPr>
        <w:pStyle w:val="BodyText"/>
        <w:rPr>
          <w:rFonts w:ascii="Arial MT"/>
          <w:sz w:val="16"/>
        </w:rPr>
      </w:pPr>
    </w:p>
    <w:p>
      <w:pPr>
        <w:pStyle w:val="BodyText"/>
        <w:rPr>
          <w:rFonts w:ascii="Arial MT"/>
          <w:sz w:val="16"/>
        </w:rPr>
      </w:pPr>
    </w:p>
    <w:p>
      <w:pPr>
        <w:pStyle w:val="BodyText"/>
        <w:rPr>
          <w:rFonts w:ascii="Arial MT"/>
          <w:sz w:val="16"/>
        </w:rPr>
      </w:pPr>
    </w:p>
    <w:p>
      <w:pPr>
        <w:pStyle w:val="BodyText"/>
        <w:rPr>
          <w:rFonts w:ascii="Arial MT"/>
          <w:sz w:val="16"/>
        </w:rPr>
      </w:pPr>
    </w:p>
    <w:p>
      <w:pPr>
        <w:pStyle w:val="BodyText"/>
        <w:rPr>
          <w:rFonts w:ascii="Arial MT"/>
          <w:sz w:val="16"/>
        </w:rPr>
      </w:pPr>
    </w:p>
    <w:p>
      <w:pPr>
        <w:pStyle w:val="BodyText"/>
        <w:rPr>
          <w:rFonts w:ascii="Arial MT"/>
          <w:sz w:val="16"/>
        </w:rPr>
      </w:pPr>
    </w:p>
    <w:p>
      <w:pPr>
        <w:pStyle w:val="BodyText"/>
        <w:rPr>
          <w:rFonts w:ascii="Arial MT"/>
          <w:sz w:val="16"/>
        </w:rPr>
      </w:pPr>
    </w:p>
    <w:p>
      <w:pPr>
        <w:pStyle w:val="BodyText"/>
        <w:rPr>
          <w:rFonts w:ascii="Arial MT"/>
          <w:sz w:val="16"/>
        </w:rPr>
      </w:pPr>
    </w:p>
    <w:p>
      <w:pPr>
        <w:pStyle w:val="BodyText"/>
        <w:rPr>
          <w:rFonts w:ascii="Arial MT"/>
          <w:sz w:val="16"/>
        </w:rPr>
      </w:pPr>
    </w:p>
    <w:p>
      <w:pPr>
        <w:pStyle w:val="BodyText"/>
        <w:rPr>
          <w:rFonts w:ascii="Arial MT"/>
          <w:sz w:val="16"/>
        </w:rPr>
      </w:pPr>
    </w:p>
    <w:p>
      <w:pPr>
        <w:pStyle w:val="BodyText"/>
        <w:rPr>
          <w:rFonts w:ascii="Arial MT"/>
          <w:sz w:val="16"/>
        </w:rPr>
      </w:pPr>
    </w:p>
    <w:p>
      <w:pPr>
        <w:pStyle w:val="BodyText"/>
        <w:rPr>
          <w:rFonts w:ascii="Arial MT"/>
          <w:sz w:val="16"/>
        </w:rPr>
      </w:pPr>
    </w:p>
    <w:p>
      <w:pPr>
        <w:pStyle w:val="BodyText"/>
        <w:rPr>
          <w:rFonts w:ascii="Arial MT"/>
          <w:sz w:val="16"/>
        </w:rPr>
      </w:pPr>
    </w:p>
    <w:p>
      <w:pPr>
        <w:pStyle w:val="BodyText"/>
        <w:rPr>
          <w:rFonts w:ascii="Arial MT"/>
          <w:sz w:val="16"/>
        </w:rPr>
      </w:pPr>
    </w:p>
    <w:p>
      <w:pPr>
        <w:pStyle w:val="BodyText"/>
        <w:rPr>
          <w:rFonts w:ascii="Arial MT"/>
          <w:sz w:val="22"/>
        </w:rPr>
      </w:pPr>
    </w:p>
    <w:p>
      <w:pPr>
        <w:spacing w:before="0"/>
        <w:ind w:left="6457" w:right="0" w:firstLine="0"/>
        <w:jc w:val="left"/>
        <w:rPr>
          <w:rFonts w:ascii="Arial"/>
          <w:b/>
          <w:sz w:val="15"/>
        </w:rPr>
      </w:pPr>
      <w:r>
        <w:rPr/>
        <w:pict>
          <v:shape style="position:absolute;margin-left:87.239998pt;margin-top:-3.165074pt;width:204.15pt;height:182.4pt;mso-position-horizontal-relative:page;mso-position-vertical-relative:paragraph;z-index:1592422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455560"/>
                      <w:left w:val="single" w:sz="4" w:space="0" w:color="455560"/>
                      <w:bottom w:val="single" w:sz="4" w:space="0" w:color="455560"/>
                      <w:right w:val="single" w:sz="4" w:space="0" w:color="455560"/>
                      <w:insideH w:val="single" w:sz="4" w:space="0" w:color="455560"/>
                      <w:insideV w:val="single" w:sz="4" w:space="0" w:color="45556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860"/>
                    <w:gridCol w:w="2208"/>
                  </w:tblGrid>
                  <w:tr>
                    <w:trPr>
                      <w:trHeight w:val="347" w:hRule="atLeast"/>
                    </w:trPr>
                    <w:tc>
                      <w:tcPr>
                        <w:tcW w:w="4068" w:type="dxa"/>
                        <w:gridSpan w:val="2"/>
                        <w:shd w:val="clear" w:color="auto" w:fill="E1E1E1"/>
                      </w:tcPr>
                      <w:p>
                        <w:pPr>
                          <w:pStyle w:val="TableParagraph"/>
                          <w:spacing w:before="118"/>
                          <w:ind w:left="107"/>
                          <w:rPr>
                            <w:rFonts w:ascii="Arial"/>
                            <w:b/>
                            <w:sz w:val="15"/>
                          </w:rPr>
                        </w:pPr>
                        <w:r>
                          <w:rPr>
                            <w:rFonts w:ascii="Arial"/>
                            <w:b/>
                            <w:color w:val="455560"/>
                            <w:sz w:val="15"/>
                          </w:rPr>
                          <w:t>Specific</w:t>
                        </w:r>
                        <w:r>
                          <w:rPr>
                            <w:rFonts w:ascii="Arial"/>
                            <w:b/>
                            <w:color w:val="455560"/>
                            <w:spacing w:val="-4"/>
                            <w:sz w:val="15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455560"/>
                            <w:sz w:val="15"/>
                          </w:rPr>
                          <w:t>Product</w:t>
                        </w:r>
                        <w:r>
                          <w:rPr>
                            <w:rFonts w:ascii="Arial"/>
                            <w:b/>
                            <w:color w:val="455560"/>
                            <w:spacing w:val="-4"/>
                            <w:sz w:val="15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455560"/>
                            <w:sz w:val="15"/>
                          </w:rPr>
                          <w:t>Properties</w:t>
                        </w:r>
                      </w:p>
                    </w:tc>
                  </w:tr>
                  <w:tr>
                    <w:trPr>
                      <w:trHeight w:val="347" w:hRule="atLeast"/>
                    </w:trPr>
                    <w:tc>
                      <w:tcPr>
                        <w:tcW w:w="1860" w:type="dxa"/>
                        <w:tcBorders>
                          <w:bottom w:val="single" w:sz="6" w:space="0" w:color="455560"/>
                        </w:tcBorders>
                      </w:tcPr>
                      <w:p>
                        <w:pPr>
                          <w:pStyle w:val="TableParagraph"/>
                          <w:spacing w:before="106"/>
                          <w:ind w:left="107"/>
                          <w:rPr>
                            <w:rFonts w:ascii="Arial MT"/>
                            <w:sz w:val="15"/>
                          </w:rPr>
                        </w:pP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Style</w:t>
                        </w:r>
                      </w:p>
                    </w:tc>
                    <w:tc>
                      <w:tcPr>
                        <w:tcW w:w="2208" w:type="dxa"/>
                        <w:tcBorders>
                          <w:bottom w:val="single" w:sz="6" w:space="0" w:color="455560"/>
                        </w:tcBorders>
                      </w:tcPr>
                      <w:p>
                        <w:pPr>
                          <w:pStyle w:val="TableParagraph"/>
                          <w:spacing w:before="106"/>
                          <w:ind w:left="110"/>
                          <w:rPr>
                            <w:rFonts w:ascii="Arial MT"/>
                            <w:sz w:val="15"/>
                          </w:rPr>
                        </w:pP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7500</w:t>
                        </w:r>
                      </w:p>
                    </w:tc>
                  </w:tr>
                  <w:tr>
                    <w:trPr>
                      <w:trHeight w:val="481" w:hRule="atLeast"/>
                    </w:trPr>
                    <w:tc>
                      <w:tcPr>
                        <w:tcW w:w="1860" w:type="dxa"/>
                        <w:tcBorders>
                          <w:top w:val="single" w:sz="6" w:space="0" w:color="455560"/>
                          <w:bottom w:val="single" w:sz="6" w:space="0" w:color="455560"/>
                        </w:tcBorders>
                      </w:tcPr>
                      <w:p>
                        <w:pPr>
                          <w:pStyle w:val="TableParagraph"/>
                          <w:rPr>
                            <w:rFonts w:ascii="Arial MT"/>
                            <w:sz w:val="15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107"/>
                          <w:rPr>
                            <w:rFonts w:ascii="Arial MT"/>
                            <w:sz w:val="15"/>
                          </w:rPr>
                        </w:pP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Finish</w:t>
                        </w:r>
                      </w:p>
                    </w:tc>
                    <w:tc>
                      <w:tcPr>
                        <w:tcW w:w="2208" w:type="dxa"/>
                        <w:tcBorders>
                          <w:top w:val="single" w:sz="6" w:space="0" w:color="455560"/>
                          <w:bottom w:val="single" w:sz="6" w:space="0" w:color="455560"/>
                        </w:tcBorders>
                      </w:tcPr>
                      <w:p>
                        <w:pPr>
                          <w:pStyle w:val="TableParagraph"/>
                          <w:spacing w:line="240" w:lineRule="exact"/>
                          <w:ind w:left="110" w:right="292"/>
                          <w:rPr>
                            <w:rFonts w:ascii="Arial MT"/>
                            <w:sz w:val="15"/>
                          </w:rPr>
                        </w:pP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Compatible with Polyester,</w:t>
                        </w:r>
                        <w:r>
                          <w:rPr>
                            <w:rFonts w:ascii="Arial MT"/>
                            <w:color w:val="455560"/>
                            <w:spacing w:val="-39"/>
                            <w:sz w:val="15"/>
                          </w:rPr>
                          <w:t> </w:t>
                        </w: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Vinyl Ester</w:t>
                        </w:r>
                        <w:r>
                          <w:rPr>
                            <w:rFonts w:ascii="Arial MT"/>
                            <w:color w:val="455560"/>
                            <w:spacing w:val="-2"/>
                            <w:sz w:val="15"/>
                          </w:rPr>
                          <w:t> </w:t>
                        </w: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and</w:t>
                        </w:r>
                        <w:r>
                          <w:rPr>
                            <w:rFonts w:ascii="Arial MT"/>
                            <w:color w:val="455560"/>
                            <w:spacing w:val="-3"/>
                            <w:sz w:val="15"/>
                          </w:rPr>
                          <w:t> </w:t>
                        </w: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Epoxy</w:t>
                        </w:r>
                      </w:p>
                    </w:tc>
                  </w:tr>
                  <w:tr>
                    <w:trPr>
                      <w:trHeight w:val="352" w:hRule="atLeast"/>
                    </w:trPr>
                    <w:tc>
                      <w:tcPr>
                        <w:tcW w:w="1860" w:type="dxa"/>
                        <w:tcBorders>
                          <w:top w:val="single" w:sz="6" w:space="0" w:color="455560"/>
                          <w:bottom w:val="single" w:sz="6" w:space="0" w:color="455560"/>
                        </w:tcBorders>
                      </w:tcPr>
                      <w:p>
                        <w:pPr>
                          <w:pStyle w:val="TableParagraph"/>
                          <w:spacing w:before="106"/>
                          <w:ind w:left="107"/>
                          <w:rPr>
                            <w:rFonts w:ascii="Arial MT"/>
                            <w:sz w:val="15"/>
                          </w:rPr>
                        </w:pP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Weave</w:t>
                        </w:r>
                        <w:r>
                          <w:rPr>
                            <w:rFonts w:ascii="Arial MT"/>
                            <w:color w:val="455560"/>
                            <w:spacing w:val="-4"/>
                            <w:sz w:val="15"/>
                          </w:rPr>
                          <w:t> </w:t>
                        </w: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Pattern</w:t>
                        </w:r>
                      </w:p>
                    </w:tc>
                    <w:tc>
                      <w:tcPr>
                        <w:tcW w:w="2208" w:type="dxa"/>
                        <w:tcBorders>
                          <w:top w:val="single" w:sz="6" w:space="0" w:color="455560"/>
                          <w:bottom w:val="single" w:sz="6" w:space="0" w:color="455560"/>
                        </w:tcBorders>
                      </w:tcPr>
                      <w:p>
                        <w:pPr>
                          <w:pStyle w:val="TableParagraph"/>
                          <w:spacing w:before="106"/>
                          <w:ind w:left="110"/>
                          <w:rPr>
                            <w:rFonts w:ascii="Arial MT"/>
                            <w:sz w:val="15"/>
                          </w:rPr>
                        </w:pP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Plain</w:t>
                        </w:r>
                      </w:p>
                    </w:tc>
                  </w:tr>
                  <w:tr>
                    <w:trPr>
                      <w:trHeight w:val="239" w:hRule="atLeast"/>
                    </w:trPr>
                    <w:tc>
                      <w:tcPr>
                        <w:tcW w:w="1860" w:type="dxa"/>
                        <w:vMerge w:val="restart"/>
                        <w:tcBorders>
                          <w:top w:val="single" w:sz="6" w:space="0" w:color="455560"/>
                        </w:tcBorders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Arial MT"/>
                            <w:sz w:val="15"/>
                          </w:rPr>
                        </w:pPr>
                      </w:p>
                      <w:p>
                        <w:pPr>
                          <w:pStyle w:val="TableParagraph"/>
                          <w:ind w:left="107"/>
                          <w:rPr>
                            <w:rFonts w:ascii="Arial MT"/>
                            <w:sz w:val="15"/>
                          </w:rPr>
                        </w:pP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Yarn</w:t>
                        </w:r>
                        <w:r>
                          <w:rPr>
                            <w:rFonts w:ascii="Arial MT"/>
                            <w:color w:val="455560"/>
                            <w:spacing w:val="-4"/>
                            <w:sz w:val="15"/>
                          </w:rPr>
                          <w:t> </w:t>
                        </w: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Description</w:t>
                        </w:r>
                      </w:p>
                    </w:tc>
                    <w:tc>
                      <w:tcPr>
                        <w:tcW w:w="2208" w:type="dxa"/>
                        <w:tcBorders>
                          <w:top w:val="single" w:sz="6" w:space="0" w:color="455560"/>
                        </w:tcBorders>
                      </w:tcPr>
                      <w:p>
                        <w:pPr>
                          <w:pStyle w:val="TableParagraph"/>
                          <w:spacing w:line="168" w:lineRule="exact" w:before="51"/>
                          <w:ind w:left="110"/>
                          <w:rPr>
                            <w:rFonts w:ascii="Arial MT"/>
                            <w:sz w:val="15"/>
                          </w:rPr>
                        </w:pP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Warp:</w:t>
                        </w:r>
                        <w:r>
                          <w:rPr>
                            <w:rFonts w:ascii="Arial MT"/>
                            <w:color w:val="455560"/>
                            <w:spacing w:val="-1"/>
                            <w:sz w:val="15"/>
                          </w:rPr>
                          <w:t> </w:t>
                        </w: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ECG</w:t>
                        </w:r>
                        <w:r>
                          <w:rPr>
                            <w:rFonts w:ascii="Arial MT"/>
                            <w:color w:val="455560"/>
                            <w:spacing w:val="-2"/>
                            <w:sz w:val="15"/>
                          </w:rPr>
                          <w:t> </w:t>
                        </w: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37</w:t>
                        </w:r>
                        <w:r>
                          <w:rPr>
                            <w:rFonts w:ascii="Arial MT"/>
                            <w:color w:val="455560"/>
                            <w:spacing w:val="1"/>
                            <w:sz w:val="15"/>
                          </w:rPr>
                          <w:t> </w:t>
                        </w: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1/2</w:t>
                        </w:r>
                      </w:p>
                    </w:tc>
                  </w:tr>
                  <w:tr>
                    <w:trPr>
                      <w:trHeight w:val="244" w:hRule="atLeast"/>
                    </w:trPr>
                    <w:tc>
                      <w:tcPr>
                        <w:tcW w:w="186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208" w:type="dxa"/>
                      </w:tcPr>
                      <w:p>
                        <w:pPr>
                          <w:pStyle w:val="TableParagraph"/>
                          <w:spacing w:line="168" w:lineRule="exact" w:before="56"/>
                          <w:ind w:left="110"/>
                          <w:rPr>
                            <w:rFonts w:ascii="Arial MT"/>
                            <w:sz w:val="15"/>
                          </w:rPr>
                        </w:pP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Fill: ECG</w:t>
                        </w:r>
                        <w:r>
                          <w:rPr>
                            <w:rFonts w:ascii="Arial MT"/>
                            <w:color w:val="455560"/>
                            <w:spacing w:val="-1"/>
                            <w:sz w:val="15"/>
                          </w:rPr>
                          <w:t> </w:t>
                        </w: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37</w:t>
                        </w:r>
                        <w:r>
                          <w:rPr>
                            <w:rFonts w:ascii="Arial MT"/>
                            <w:color w:val="455560"/>
                            <w:spacing w:val="-1"/>
                            <w:sz w:val="15"/>
                          </w:rPr>
                          <w:t> </w:t>
                        </w: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1/2</w:t>
                        </w:r>
                      </w:p>
                    </w:tc>
                  </w:tr>
                  <w:tr>
                    <w:trPr>
                      <w:trHeight w:val="342" w:hRule="atLeast"/>
                    </w:trPr>
                    <w:tc>
                      <w:tcPr>
                        <w:tcW w:w="1860" w:type="dxa"/>
                      </w:tcPr>
                      <w:p>
                        <w:pPr>
                          <w:pStyle w:val="TableParagraph"/>
                          <w:spacing w:before="104"/>
                          <w:ind w:left="107"/>
                          <w:rPr>
                            <w:rFonts w:ascii="Arial MT"/>
                            <w:sz w:val="15"/>
                          </w:rPr>
                        </w:pP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Count:</w:t>
                        </w:r>
                        <w:r>
                          <w:rPr>
                            <w:rFonts w:ascii="Arial MT"/>
                            <w:color w:val="455560"/>
                            <w:spacing w:val="-2"/>
                            <w:sz w:val="15"/>
                          </w:rPr>
                          <w:t> </w:t>
                        </w: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Ends</w:t>
                        </w:r>
                        <w:r>
                          <w:rPr>
                            <w:rFonts w:ascii="Arial MT"/>
                            <w:color w:val="455560"/>
                            <w:spacing w:val="-2"/>
                            <w:sz w:val="15"/>
                          </w:rPr>
                          <w:t> </w:t>
                        </w: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x</w:t>
                        </w:r>
                        <w:r>
                          <w:rPr>
                            <w:rFonts w:ascii="Arial MT"/>
                            <w:color w:val="455560"/>
                            <w:spacing w:val="-2"/>
                            <w:sz w:val="15"/>
                          </w:rPr>
                          <w:t> </w:t>
                        </w: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Picks</w:t>
                        </w:r>
                        <w:r>
                          <w:rPr>
                            <w:rFonts w:ascii="Arial MT"/>
                            <w:color w:val="455560"/>
                            <w:spacing w:val="-2"/>
                            <w:sz w:val="15"/>
                          </w:rPr>
                          <w:t> </w:t>
                        </w: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(in)</w:t>
                        </w:r>
                      </w:p>
                    </w:tc>
                    <w:tc>
                      <w:tcPr>
                        <w:tcW w:w="2208" w:type="dxa"/>
                      </w:tcPr>
                      <w:p>
                        <w:pPr>
                          <w:pStyle w:val="TableParagraph"/>
                          <w:spacing w:before="104"/>
                          <w:ind w:left="110"/>
                          <w:rPr>
                            <w:rFonts w:ascii="Arial MT"/>
                            <w:sz w:val="15"/>
                          </w:rPr>
                        </w:pP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13-17</w:t>
                        </w:r>
                        <w:r>
                          <w:rPr>
                            <w:rFonts w:ascii="Arial MT"/>
                            <w:color w:val="455560"/>
                            <w:spacing w:val="-2"/>
                            <w:sz w:val="15"/>
                          </w:rPr>
                          <w:t> </w:t>
                        </w: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x 11-15</w:t>
                        </w:r>
                      </w:p>
                    </w:tc>
                  </w:tr>
                  <w:tr>
                    <w:trPr>
                      <w:trHeight w:val="479" w:hRule="atLeast"/>
                    </w:trPr>
                    <w:tc>
                      <w:tcPr>
                        <w:tcW w:w="1860" w:type="dxa"/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Arial MT"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ind w:left="107"/>
                          <w:rPr>
                            <w:rFonts w:ascii="Arial MT"/>
                            <w:sz w:val="15"/>
                          </w:rPr>
                        </w:pP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Breaking</w:t>
                        </w:r>
                        <w:r>
                          <w:rPr>
                            <w:rFonts w:ascii="Arial MT"/>
                            <w:color w:val="455560"/>
                            <w:spacing w:val="-4"/>
                            <w:sz w:val="15"/>
                          </w:rPr>
                          <w:t> </w:t>
                        </w: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Strength</w:t>
                        </w:r>
                      </w:p>
                    </w:tc>
                    <w:tc>
                      <w:tcPr>
                        <w:tcW w:w="2208" w:type="dxa"/>
                      </w:tcPr>
                      <w:p>
                        <w:pPr>
                          <w:pStyle w:val="TableParagraph"/>
                          <w:spacing w:before="51"/>
                          <w:ind w:left="110"/>
                          <w:rPr>
                            <w:rFonts w:ascii="Arial MT"/>
                            <w:sz w:val="15"/>
                          </w:rPr>
                        </w:pP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Warp:</w:t>
                        </w:r>
                        <w:r>
                          <w:rPr>
                            <w:rFonts w:ascii="Arial MT"/>
                            <w:color w:val="455560"/>
                            <w:spacing w:val="-1"/>
                            <w:sz w:val="15"/>
                          </w:rPr>
                          <w:t> </w:t>
                        </w: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&gt;100</w:t>
                        </w:r>
                        <w:r>
                          <w:rPr>
                            <w:rFonts w:ascii="Arial MT"/>
                            <w:color w:val="455560"/>
                            <w:spacing w:val="-2"/>
                            <w:sz w:val="15"/>
                          </w:rPr>
                          <w:t> </w:t>
                        </w: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lb/in</w:t>
                        </w:r>
                      </w:p>
                      <w:p>
                        <w:pPr>
                          <w:pStyle w:val="TableParagraph"/>
                          <w:spacing w:line="168" w:lineRule="exact" w:before="67"/>
                          <w:ind w:left="110"/>
                          <w:rPr>
                            <w:rFonts w:ascii="Arial MT"/>
                            <w:sz w:val="15"/>
                          </w:rPr>
                        </w:pP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Fill: &gt;85</w:t>
                        </w:r>
                        <w:r>
                          <w:rPr>
                            <w:rFonts w:ascii="Arial MT"/>
                            <w:color w:val="455560"/>
                            <w:spacing w:val="-1"/>
                            <w:sz w:val="15"/>
                          </w:rPr>
                          <w:t> </w:t>
                        </w: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lb/in</w:t>
                        </w:r>
                      </w:p>
                    </w:tc>
                  </w:tr>
                  <w:tr>
                    <w:trPr>
                      <w:trHeight w:val="342" w:hRule="atLeast"/>
                    </w:trPr>
                    <w:tc>
                      <w:tcPr>
                        <w:tcW w:w="1860" w:type="dxa"/>
                      </w:tcPr>
                      <w:p>
                        <w:pPr>
                          <w:pStyle w:val="TableParagraph"/>
                          <w:spacing w:before="104"/>
                          <w:ind w:left="107"/>
                          <w:rPr>
                            <w:rFonts w:ascii="Arial MT"/>
                            <w:sz w:val="15"/>
                          </w:rPr>
                        </w:pP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Weight</w:t>
                        </w:r>
                      </w:p>
                    </w:tc>
                    <w:tc>
                      <w:tcPr>
                        <w:tcW w:w="2208" w:type="dxa"/>
                      </w:tcPr>
                      <w:p>
                        <w:pPr>
                          <w:pStyle w:val="TableParagraph"/>
                          <w:spacing w:before="101"/>
                          <w:ind w:left="110"/>
                          <w:rPr>
                            <w:rFonts w:ascii="Arial MT"/>
                            <w:sz w:val="10"/>
                          </w:rPr>
                        </w:pP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9.0-10.2</w:t>
                        </w:r>
                        <w:r>
                          <w:rPr>
                            <w:rFonts w:ascii="Arial MT"/>
                            <w:color w:val="455560"/>
                            <w:spacing w:val="-4"/>
                            <w:sz w:val="15"/>
                          </w:rPr>
                          <w:t> </w:t>
                        </w: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oz/yd</w:t>
                        </w:r>
                        <w:r>
                          <w:rPr>
                            <w:rFonts w:ascii="Arial MT"/>
                            <w:color w:val="455560"/>
                            <w:position w:val="5"/>
                            <w:sz w:val="10"/>
                          </w:rPr>
                          <w:t>2</w:t>
                        </w:r>
                      </w:p>
                    </w:tc>
                  </w:tr>
                  <w:tr>
                    <w:trPr>
                      <w:trHeight w:val="345" w:hRule="atLeast"/>
                    </w:trPr>
                    <w:tc>
                      <w:tcPr>
                        <w:tcW w:w="1860" w:type="dxa"/>
                      </w:tcPr>
                      <w:p>
                        <w:pPr>
                          <w:pStyle w:val="TableParagraph"/>
                          <w:spacing w:before="104"/>
                          <w:ind w:left="107"/>
                          <w:rPr>
                            <w:rFonts w:ascii="Arial MT"/>
                            <w:sz w:val="15"/>
                          </w:rPr>
                        </w:pP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Thickness</w:t>
                        </w:r>
                      </w:p>
                    </w:tc>
                    <w:tc>
                      <w:tcPr>
                        <w:tcW w:w="2208" w:type="dxa"/>
                      </w:tcPr>
                      <w:p>
                        <w:pPr>
                          <w:pStyle w:val="TableParagraph"/>
                          <w:spacing w:before="104"/>
                          <w:ind w:left="110"/>
                          <w:rPr>
                            <w:rFonts w:ascii="Arial MT"/>
                            <w:sz w:val="15"/>
                          </w:rPr>
                        </w:pP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.011-.017</w:t>
                        </w:r>
                        <w:r>
                          <w:rPr>
                            <w:rFonts w:ascii="Arial MT"/>
                            <w:color w:val="455560"/>
                            <w:spacing w:val="-2"/>
                            <w:sz w:val="15"/>
                          </w:rPr>
                          <w:t> </w:t>
                        </w:r>
                        <w:r>
                          <w:rPr>
                            <w:rFonts w:ascii="Arial MT"/>
                            <w:color w:val="455560"/>
                            <w:sz w:val="15"/>
                          </w:rPr>
                          <w:t>in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Arial"/>
          <w:b/>
          <w:color w:val="455560"/>
          <w:sz w:val="15"/>
        </w:rPr>
        <w:t>DESCRIPTION</w:t>
      </w:r>
    </w:p>
    <w:p>
      <w:pPr>
        <w:spacing w:line="333" w:lineRule="auto" w:before="70"/>
        <w:ind w:left="6457" w:right="682" w:firstLine="0"/>
        <w:jc w:val="left"/>
        <w:rPr>
          <w:rFonts w:ascii="Arial MT"/>
          <w:sz w:val="15"/>
        </w:rPr>
      </w:pPr>
      <w:r>
        <w:rPr>
          <w:rFonts w:ascii="Arial MT"/>
          <w:color w:val="455560"/>
          <w:sz w:val="15"/>
        </w:rPr>
        <w:t>Woven fabrics are strong reinforcements because the</w:t>
      </w:r>
      <w:r>
        <w:rPr>
          <w:rFonts w:ascii="Arial MT"/>
          <w:color w:val="455560"/>
          <w:spacing w:val="1"/>
          <w:sz w:val="15"/>
        </w:rPr>
        <w:t> </w:t>
      </w:r>
      <w:r>
        <w:rPr>
          <w:rFonts w:ascii="Arial MT"/>
          <w:color w:val="455560"/>
          <w:sz w:val="15"/>
        </w:rPr>
        <w:t>fibers are bundled into yarns oriented in just two</w:t>
      </w:r>
      <w:r>
        <w:rPr>
          <w:rFonts w:ascii="Arial MT"/>
          <w:color w:val="455560"/>
          <w:spacing w:val="1"/>
          <w:sz w:val="15"/>
        </w:rPr>
        <w:t> </w:t>
      </w:r>
      <w:r>
        <w:rPr>
          <w:rFonts w:ascii="Arial MT"/>
          <w:color w:val="455560"/>
          <w:sz w:val="15"/>
        </w:rPr>
        <w:t>directions. The warp and fill yarns run at 0 and 90</w:t>
      </w:r>
      <w:r>
        <w:rPr>
          <w:rFonts w:ascii="Arial MT"/>
          <w:color w:val="455560"/>
          <w:spacing w:val="1"/>
          <w:sz w:val="15"/>
        </w:rPr>
        <w:t> </w:t>
      </w:r>
      <w:r>
        <w:rPr>
          <w:rFonts w:ascii="Arial MT"/>
          <w:color w:val="455560"/>
          <w:sz w:val="15"/>
        </w:rPr>
        <w:t>degrees respectively. Thus, fabrics are anisotropic, or</w:t>
      </w:r>
      <w:r>
        <w:rPr>
          <w:rFonts w:ascii="Arial MT"/>
          <w:color w:val="455560"/>
          <w:spacing w:val="1"/>
          <w:sz w:val="15"/>
        </w:rPr>
        <w:t> </w:t>
      </w:r>
      <w:r>
        <w:rPr>
          <w:rFonts w:ascii="Arial MT"/>
          <w:color w:val="455560"/>
          <w:sz w:val="15"/>
        </w:rPr>
        <w:t>strong in only two directions. Fabrics need to be oriented</w:t>
      </w:r>
      <w:r>
        <w:rPr>
          <w:rFonts w:ascii="Arial MT"/>
          <w:color w:val="455560"/>
          <w:spacing w:val="-39"/>
          <w:sz w:val="15"/>
        </w:rPr>
        <w:t> </w:t>
      </w:r>
      <w:r>
        <w:rPr>
          <w:rFonts w:ascii="Arial MT"/>
          <w:color w:val="455560"/>
          <w:sz w:val="15"/>
        </w:rPr>
        <w:t>so the fiber yarns run parallel to the expected loads. If</w:t>
      </w:r>
      <w:r>
        <w:rPr>
          <w:rFonts w:ascii="Arial MT"/>
          <w:color w:val="455560"/>
          <w:spacing w:val="1"/>
          <w:sz w:val="15"/>
        </w:rPr>
        <w:t> </w:t>
      </w:r>
      <w:r>
        <w:rPr>
          <w:rFonts w:ascii="Arial MT"/>
          <w:color w:val="455560"/>
          <w:sz w:val="15"/>
        </w:rPr>
        <w:t>extra strength is needed in a different direction, another</w:t>
      </w:r>
      <w:r>
        <w:rPr>
          <w:rFonts w:ascii="Arial MT"/>
          <w:color w:val="455560"/>
          <w:spacing w:val="1"/>
          <w:sz w:val="15"/>
        </w:rPr>
        <w:t> </w:t>
      </w:r>
      <w:r>
        <w:rPr>
          <w:rFonts w:ascii="Arial MT"/>
          <w:color w:val="455560"/>
          <w:sz w:val="15"/>
        </w:rPr>
        <w:t>ply must be added at an angle to the first. The most</w:t>
      </w:r>
      <w:r>
        <w:rPr>
          <w:rFonts w:ascii="Arial MT"/>
          <w:color w:val="455560"/>
          <w:spacing w:val="1"/>
          <w:sz w:val="15"/>
        </w:rPr>
        <w:t> </w:t>
      </w:r>
      <w:r>
        <w:rPr>
          <w:rFonts w:ascii="Arial MT"/>
          <w:color w:val="455560"/>
          <w:sz w:val="15"/>
        </w:rPr>
        <w:t>common</w:t>
      </w:r>
      <w:r>
        <w:rPr>
          <w:rFonts w:ascii="Arial MT"/>
          <w:color w:val="455560"/>
          <w:spacing w:val="-2"/>
          <w:sz w:val="15"/>
        </w:rPr>
        <w:t> </w:t>
      </w:r>
      <w:r>
        <w:rPr>
          <w:rFonts w:ascii="Arial MT"/>
          <w:color w:val="455560"/>
          <w:sz w:val="15"/>
        </w:rPr>
        <w:t>angles are</w:t>
      </w:r>
      <w:r>
        <w:rPr>
          <w:rFonts w:ascii="Arial MT"/>
          <w:color w:val="455560"/>
          <w:spacing w:val="-1"/>
          <w:sz w:val="15"/>
        </w:rPr>
        <w:t> </w:t>
      </w:r>
      <w:r>
        <w:rPr>
          <w:rFonts w:ascii="Arial MT"/>
          <w:color w:val="455560"/>
          <w:sz w:val="15"/>
        </w:rPr>
        <w:t>+/-</w:t>
      </w:r>
      <w:r>
        <w:rPr>
          <w:rFonts w:ascii="Arial MT"/>
          <w:color w:val="455560"/>
          <w:spacing w:val="-1"/>
          <w:sz w:val="15"/>
        </w:rPr>
        <w:t> </w:t>
      </w:r>
      <w:r>
        <w:rPr>
          <w:rFonts w:ascii="Arial MT"/>
          <w:color w:val="455560"/>
          <w:sz w:val="15"/>
        </w:rPr>
        <w:t>45</w:t>
      </w:r>
      <w:r>
        <w:rPr>
          <w:rFonts w:ascii="Arial MT"/>
          <w:color w:val="455560"/>
          <w:spacing w:val="-2"/>
          <w:sz w:val="15"/>
        </w:rPr>
        <w:t> </w:t>
      </w:r>
      <w:r>
        <w:rPr>
          <w:rFonts w:ascii="Arial MT"/>
          <w:color w:val="455560"/>
          <w:sz w:val="15"/>
        </w:rPr>
        <w:t>degrees</w:t>
      </w:r>
    </w:p>
    <w:p>
      <w:pPr>
        <w:pStyle w:val="BodyText"/>
        <w:spacing w:before="9"/>
        <w:rPr>
          <w:rFonts w:ascii="Arial MT"/>
          <w:sz w:val="20"/>
        </w:rPr>
      </w:pPr>
    </w:p>
    <w:p>
      <w:pPr>
        <w:spacing w:before="0"/>
        <w:ind w:left="6457" w:right="0" w:firstLine="0"/>
        <w:jc w:val="left"/>
        <w:rPr>
          <w:rFonts w:ascii="Arial"/>
          <w:b/>
          <w:sz w:val="15"/>
        </w:rPr>
      </w:pPr>
      <w:r>
        <w:rPr>
          <w:rFonts w:ascii="Arial"/>
          <w:b/>
          <w:color w:val="455560"/>
          <w:sz w:val="15"/>
        </w:rPr>
        <w:t>This</w:t>
      </w:r>
      <w:r>
        <w:rPr>
          <w:rFonts w:ascii="Arial"/>
          <w:b/>
          <w:color w:val="455560"/>
          <w:spacing w:val="-3"/>
          <w:sz w:val="15"/>
        </w:rPr>
        <w:t> </w:t>
      </w:r>
      <w:r>
        <w:rPr>
          <w:rFonts w:ascii="Arial"/>
          <w:b/>
          <w:color w:val="455560"/>
          <w:sz w:val="15"/>
        </w:rPr>
        <w:t>material</w:t>
      </w:r>
      <w:r>
        <w:rPr>
          <w:rFonts w:ascii="Arial"/>
          <w:b/>
          <w:color w:val="455560"/>
          <w:spacing w:val="-1"/>
          <w:sz w:val="15"/>
        </w:rPr>
        <w:t> </w:t>
      </w:r>
      <w:r>
        <w:rPr>
          <w:rFonts w:ascii="Arial"/>
          <w:b/>
          <w:color w:val="455560"/>
          <w:sz w:val="15"/>
        </w:rPr>
        <w:t>can</w:t>
      </w:r>
      <w:r>
        <w:rPr>
          <w:rFonts w:ascii="Arial"/>
          <w:b/>
          <w:color w:val="455560"/>
          <w:spacing w:val="-1"/>
          <w:sz w:val="15"/>
        </w:rPr>
        <w:t> </w:t>
      </w:r>
      <w:r>
        <w:rPr>
          <w:rFonts w:ascii="Arial"/>
          <w:b/>
          <w:color w:val="455560"/>
          <w:sz w:val="15"/>
        </w:rPr>
        <w:t>be</w:t>
      </w:r>
      <w:r>
        <w:rPr>
          <w:rFonts w:ascii="Arial"/>
          <w:b/>
          <w:color w:val="455560"/>
          <w:spacing w:val="-2"/>
          <w:sz w:val="15"/>
        </w:rPr>
        <w:t> </w:t>
      </w:r>
      <w:r>
        <w:rPr>
          <w:rFonts w:ascii="Arial"/>
          <w:b/>
          <w:color w:val="455560"/>
          <w:sz w:val="15"/>
        </w:rPr>
        <w:t>certified</w:t>
      </w:r>
      <w:r>
        <w:rPr>
          <w:rFonts w:ascii="Arial"/>
          <w:b/>
          <w:color w:val="455560"/>
          <w:spacing w:val="-1"/>
          <w:sz w:val="15"/>
        </w:rPr>
        <w:t> </w:t>
      </w:r>
      <w:r>
        <w:rPr>
          <w:rFonts w:ascii="Arial"/>
          <w:b/>
          <w:color w:val="455560"/>
          <w:sz w:val="15"/>
        </w:rPr>
        <w:t>to</w:t>
      </w:r>
      <w:r>
        <w:rPr>
          <w:rFonts w:ascii="Arial"/>
          <w:b/>
          <w:color w:val="455560"/>
          <w:spacing w:val="-5"/>
          <w:sz w:val="15"/>
        </w:rPr>
        <w:t> </w:t>
      </w:r>
      <w:r>
        <w:rPr>
          <w:rFonts w:ascii="Arial"/>
          <w:b/>
          <w:color w:val="455560"/>
          <w:sz w:val="15"/>
        </w:rPr>
        <w:t>meet:</w:t>
      </w:r>
    </w:p>
    <w:p>
      <w:pPr>
        <w:spacing w:before="70"/>
        <w:ind w:left="6457" w:right="0" w:firstLine="0"/>
        <w:jc w:val="left"/>
        <w:rPr>
          <w:rFonts w:ascii="Arial MT"/>
          <w:sz w:val="15"/>
        </w:rPr>
      </w:pPr>
      <w:r>
        <w:rPr>
          <w:rFonts w:ascii="Arial MT"/>
          <w:color w:val="455560"/>
          <w:sz w:val="15"/>
        </w:rPr>
        <w:t>-AMS-C-9084</w:t>
      </w:r>
      <w:r>
        <w:rPr>
          <w:rFonts w:ascii="Arial MT"/>
          <w:color w:val="455560"/>
          <w:spacing w:val="-3"/>
          <w:sz w:val="15"/>
        </w:rPr>
        <w:t> </w:t>
      </w:r>
      <w:r>
        <w:rPr>
          <w:rFonts w:ascii="Arial MT"/>
          <w:color w:val="455560"/>
          <w:sz w:val="15"/>
        </w:rPr>
        <w:t>Type XII-A</w:t>
      </w:r>
      <w:r>
        <w:rPr>
          <w:rFonts w:ascii="Arial MT"/>
          <w:color w:val="455560"/>
          <w:spacing w:val="-2"/>
          <w:sz w:val="15"/>
        </w:rPr>
        <w:t> </w:t>
      </w:r>
      <w:r>
        <w:rPr>
          <w:rFonts w:ascii="Arial MT"/>
          <w:color w:val="455560"/>
          <w:sz w:val="15"/>
        </w:rPr>
        <w:t>(Class</w:t>
      </w:r>
      <w:r>
        <w:rPr>
          <w:rFonts w:ascii="Arial MT"/>
          <w:color w:val="455560"/>
          <w:spacing w:val="-1"/>
          <w:sz w:val="15"/>
        </w:rPr>
        <w:t> </w:t>
      </w:r>
      <w:r>
        <w:rPr>
          <w:rFonts w:ascii="Arial MT"/>
          <w:color w:val="455560"/>
          <w:sz w:val="15"/>
        </w:rPr>
        <w:t>1</w:t>
      </w:r>
      <w:r>
        <w:rPr>
          <w:rFonts w:ascii="Arial MT"/>
          <w:color w:val="455560"/>
          <w:spacing w:val="-2"/>
          <w:sz w:val="15"/>
        </w:rPr>
        <w:t> </w:t>
      </w:r>
      <w:r>
        <w:rPr>
          <w:rFonts w:ascii="Arial MT"/>
          <w:color w:val="455560"/>
          <w:sz w:val="15"/>
        </w:rPr>
        <w:t>&amp;</w:t>
      </w:r>
      <w:r>
        <w:rPr>
          <w:rFonts w:ascii="Arial MT"/>
          <w:color w:val="455560"/>
          <w:spacing w:val="-2"/>
          <w:sz w:val="15"/>
        </w:rPr>
        <w:t> </w:t>
      </w:r>
      <w:r>
        <w:rPr>
          <w:rFonts w:ascii="Arial MT"/>
          <w:color w:val="455560"/>
          <w:sz w:val="15"/>
        </w:rPr>
        <w:t>2)</w:t>
      </w:r>
    </w:p>
    <w:p>
      <w:pPr>
        <w:spacing w:before="68"/>
        <w:ind w:left="6457" w:right="0" w:firstLine="0"/>
        <w:jc w:val="left"/>
        <w:rPr>
          <w:rFonts w:ascii="Arial MT" w:hAnsi="Arial MT"/>
          <w:sz w:val="15"/>
        </w:rPr>
      </w:pPr>
      <w:r>
        <w:rPr>
          <w:rFonts w:ascii="Arial MT" w:hAnsi="Arial MT"/>
          <w:color w:val="455560"/>
          <w:sz w:val="15"/>
        </w:rPr>
        <w:t>*exception:</w:t>
      </w:r>
      <w:r>
        <w:rPr>
          <w:rFonts w:ascii="Arial MT" w:hAnsi="Arial MT"/>
          <w:color w:val="455560"/>
          <w:spacing w:val="-2"/>
          <w:sz w:val="15"/>
        </w:rPr>
        <w:t> </w:t>
      </w:r>
      <w:r>
        <w:rPr>
          <w:rFonts w:ascii="Arial MT" w:hAnsi="Arial MT"/>
          <w:color w:val="455560"/>
          <w:sz w:val="15"/>
        </w:rPr>
        <w:t>G37</w:t>
      </w:r>
      <w:r>
        <w:rPr>
          <w:rFonts w:ascii="Arial MT" w:hAnsi="Arial MT"/>
          <w:color w:val="455560"/>
          <w:spacing w:val="-5"/>
          <w:sz w:val="15"/>
        </w:rPr>
        <w:t> </w:t>
      </w:r>
      <w:r>
        <w:rPr>
          <w:rFonts w:ascii="Arial MT" w:hAnsi="Arial MT"/>
          <w:color w:val="455560"/>
          <w:sz w:val="15"/>
        </w:rPr>
        <w:t>½</w:t>
      </w:r>
      <w:r>
        <w:rPr>
          <w:rFonts w:ascii="Arial MT" w:hAnsi="Arial MT"/>
          <w:color w:val="455560"/>
          <w:spacing w:val="-2"/>
          <w:sz w:val="15"/>
        </w:rPr>
        <w:t> </w:t>
      </w:r>
      <w:r>
        <w:rPr>
          <w:rFonts w:ascii="Arial MT" w:hAnsi="Arial MT"/>
          <w:color w:val="455560"/>
          <w:sz w:val="15"/>
        </w:rPr>
        <w:t>replaces</w:t>
      </w:r>
      <w:r>
        <w:rPr>
          <w:rFonts w:ascii="Arial MT" w:hAnsi="Arial MT"/>
          <w:color w:val="455560"/>
          <w:spacing w:val="-1"/>
          <w:sz w:val="15"/>
        </w:rPr>
        <w:t> </w:t>
      </w:r>
      <w:r>
        <w:rPr>
          <w:rFonts w:ascii="Arial MT" w:hAnsi="Arial MT"/>
          <w:color w:val="455560"/>
          <w:sz w:val="15"/>
        </w:rPr>
        <w:t>K75</w:t>
      </w:r>
      <w:r>
        <w:rPr>
          <w:rFonts w:ascii="Arial MT" w:hAnsi="Arial MT"/>
          <w:color w:val="455560"/>
          <w:spacing w:val="-1"/>
          <w:sz w:val="15"/>
        </w:rPr>
        <w:t> </w:t>
      </w:r>
      <w:r>
        <w:rPr>
          <w:rFonts w:ascii="Arial MT" w:hAnsi="Arial MT"/>
          <w:color w:val="455560"/>
          <w:sz w:val="15"/>
        </w:rPr>
        <w:t>2/2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10"/>
        <w:rPr>
          <w:rFonts w:ascii="Arial MT"/>
          <w:sz w:val="27"/>
        </w:rPr>
      </w:pPr>
    </w:p>
    <w:p>
      <w:pPr>
        <w:spacing w:after="0"/>
        <w:rPr>
          <w:rFonts w:ascii="Arial MT"/>
          <w:sz w:val="27"/>
        </w:rPr>
        <w:sectPr>
          <w:footerReference w:type="default" r:id="rId473"/>
          <w:pgSz w:w="12240" w:h="15840"/>
          <w:pgMar w:footer="1064" w:header="0" w:top="0" w:bottom="1260" w:left="440" w:right="880"/>
        </w:sectPr>
      </w:pPr>
    </w:p>
    <w:p>
      <w:pPr>
        <w:spacing w:line="278" w:lineRule="auto" w:before="96"/>
        <w:ind w:left="157" w:right="36" w:firstLine="0"/>
        <w:jc w:val="left"/>
        <w:rPr>
          <w:rFonts w:ascii="Arial MT" w:hAnsi="Arial MT"/>
          <w:sz w:val="12"/>
        </w:rPr>
      </w:pPr>
      <w:r>
        <w:rPr/>
        <w:pict>
          <v:group style="position:absolute;margin-left:0pt;margin-top:0pt;width:612pt;height:72pt;mso-position-horizontal-relative:page;mso-position-vertical-relative:page;z-index:-34784768" coordorigin="0,0" coordsize="12240,1440">
            <v:shape style="position:absolute;left:0;top:0;width:12240;height:1440" type="#_x0000_t75" stroked="false">
              <v:imagedata r:id="rId470" o:title=""/>
            </v:shape>
            <v:shape style="position:absolute;left:4095;top:186;width:4560;height:311" type="#_x0000_t202" filled="false" stroked="false">
              <v:textbox inset="0,0,0,0">
                <w:txbxContent>
                  <w:p>
                    <w:pPr>
                      <w:spacing w:line="310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color w:val="FFFFFF"/>
                        <w:w w:val="90"/>
                        <w:sz w:val="28"/>
                      </w:rPr>
                      <w:t>APPENDIX</w:t>
                    </w:r>
                    <w:r>
                      <w:rPr>
                        <w:color w:val="FFFFFF"/>
                        <w:spacing w:val="4"/>
                        <w:w w:val="90"/>
                        <w:sz w:val="28"/>
                      </w:rPr>
                      <w:t> </w:t>
                    </w:r>
                    <w:r>
                      <w:rPr>
                        <w:color w:val="FFFFFF"/>
                        <w:w w:val="90"/>
                        <w:sz w:val="28"/>
                      </w:rPr>
                      <w:t>B</w:t>
                    </w:r>
                    <w:r>
                      <w:rPr>
                        <w:color w:val="FFFFFF"/>
                        <w:spacing w:val="5"/>
                        <w:w w:val="90"/>
                        <w:sz w:val="28"/>
                      </w:rPr>
                      <w:t> </w:t>
                    </w:r>
                    <w:r>
                      <w:rPr>
                        <w:color w:val="FFFFFF"/>
                        <w:w w:val="90"/>
                        <w:sz w:val="28"/>
                      </w:rPr>
                      <w:t>-</w:t>
                    </w:r>
                    <w:r>
                      <w:rPr>
                        <w:color w:val="FFFFFF"/>
                        <w:spacing w:val="5"/>
                        <w:w w:val="90"/>
                        <w:sz w:val="28"/>
                      </w:rPr>
                      <w:t> </w:t>
                    </w:r>
                    <w:r>
                      <w:rPr>
                        <w:color w:val="FFFFFF"/>
                        <w:w w:val="90"/>
                        <w:sz w:val="28"/>
                      </w:rPr>
                      <w:t>Enhancing</w:t>
                    </w:r>
                    <w:r>
                      <w:rPr>
                        <w:color w:val="FFFFFF"/>
                        <w:spacing w:val="5"/>
                        <w:w w:val="90"/>
                        <w:sz w:val="28"/>
                      </w:rPr>
                      <w:t> </w:t>
                    </w:r>
                    <w:r>
                      <w:rPr>
                        <w:color w:val="FFFFFF"/>
                        <w:w w:val="90"/>
                        <w:sz w:val="28"/>
                      </w:rPr>
                      <w:t>layer</w:t>
                    </w:r>
                    <w:r>
                      <w:rPr>
                        <w:color w:val="FFFFFF"/>
                        <w:spacing w:val="4"/>
                        <w:w w:val="90"/>
                        <w:sz w:val="28"/>
                      </w:rPr>
                      <w:t> </w:t>
                    </w:r>
                    <w:r>
                      <w:rPr>
                        <w:color w:val="FFFFFF"/>
                        <w:w w:val="90"/>
                        <w:sz w:val="28"/>
                      </w:rPr>
                      <w:t>data</w:t>
                    </w:r>
                    <w:r>
                      <w:rPr>
                        <w:color w:val="FFFFFF"/>
                        <w:spacing w:val="5"/>
                        <w:w w:val="90"/>
                        <w:sz w:val="28"/>
                      </w:rPr>
                      <w:t> </w:t>
                    </w:r>
                    <w:r>
                      <w:rPr>
                        <w:color w:val="FFFFFF"/>
                        <w:w w:val="90"/>
                        <w:sz w:val="28"/>
                      </w:rPr>
                      <w:t>sheets</w:t>
                    </w:r>
                  </w:p>
                </w:txbxContent>
              </v:textbox>
              <w10:wrap type="none"/>
            </v:shape>
            <v:shape style="position:absolute;left:417;top:678;width:3093;height:223" type="#_x0000_t202" filled="false" stroked="false">
              <v:textbox inset="0,0,0,0">
                <w:txbxContent>
                  <w:p>
                    <w:pPr>
                      <w:spacing w:line="223" w:lineRule="exact" w:before="0"/>
                      <w:ind w:left="0" w:right="0" w:firstLine="0"/>
                      <w:jc w:val="left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 MT"/>
                        <w:color w:val="FFFFFF"/>
                        <w:w w:val="90"/>
                        <w:sz w:val="20"/>
                      </w:rPr>
                      <w:t>Fibre</w:t>
                    </w:r>
                    <w:r>
                      <w:rPr>
                        <w:rFonts w:ascii="Arial MT"/>
                        <w:color w:val="FFFFFF"/>
                        <w:spacing w:val="-4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MT"/>
                        <w:color w:val="FFFFFF"/>
                        <w:w w:val="90"/>
                        <w:sz w:val="20"/>
                      </w:rPr>
                      <w:t>Glast</w:t>
                    </w:r>
                    <w:r>
                      <w:rPr>
                        <w:rFonts w:ascii="Arial MT"/>
                        <w:color w:val="FFFFFF"/>
                        <w:spacing w:val="-4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MT"/>
                        <w:color w:val="FFFFFF"/>
                        <w:w w:val="90"/>
                        <w:sz w:val="20"/>
                      </w:rPr>
                      <w:t>Developments</w:t>
                    </w:r>
                    <w:r>
                      <w:rPr>
                        <w:rFonts w:ascii="Arial MT"/>
                        <w:color w:val="FFFFFF"/>
                        <w:spacing w:val="-6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MT"/>
                        <w:color w:val="FFFFFF"/>
                        <w:w w:val="90"/>
                        <w:sz w:val="20"/>
                      </w:rPr>
                      <w:t>Corporation</w:t>
                    </w:r>
                  </w:p>
                </w:txbxContent>
              </v:textbox>
              <w10:wrap type="none"/>
            </v:shape>
            <v:shape style="position:absolute;left:5817;top:711;width:902;height:180" type="#_x0000_t202" filled="false" stroked="false">
              <v:textbox inset="0,0,0,0">
                <w:txbxContent>
                  <w:p>
                    <w:pPr>
                      <w:spacing w:line="179" w:lineRule="exact" w:before="0"/>
                      <w:ind w:left="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FFFFFF"/>
                        <w:w w:val="90"/>
                        <w:sz w:val="16"/>
                      </w:rPr>
                      <w:t>800.214.8572</w:t>
                    </w:r>
                  </w:p>
                </w:txbxContent>
              </v:textbox>
              <w10:wrap type="none"/>
            </v:shape>
            <v:shape style="position:absolute;left:7257;top:711;width:1268;height:180" type="#_x0000_t202" filled="false" stroked="false">
              <v:textbox inset="0,0,0,0">
                <w:txbxContent>
                  <w:p>
                    <w:pPr>
                      <w:spacing w:line="179" w:lineRule="exact" w:before="0"/>
                      <w:ind w:left="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hyperlink r:id="rId471">
                      <w:r>
                        <w:rPr>
                          <w:rFonts w:ascii="Arial MT"/>
                          <w:color w:val="FFFFFF"/>
                          <w:w w:val="90"/>
                          <w:sz w:val="16"/>
                        </w:rPr>
                        <w:t>www.fibreglast.com</w:t>
                      </w:r>
                    </w:hyperlink>
                  </w:p>
                </w:txbxContent>
              </v:textbox>
              <w10:wrap type="none"/>
            </v:shape>
            <v:shape style="position:absolute;left:8995;top:578;width:2847;height:403" type="#_x0000_t202" filled="false" stroked="false">
              <v:textbox inset="0,0,0,0">
                <w:txbxContent>
                  <w:p>
                    <w:pPr>
                      <w:spacing w:line="402" w:lineRule="exact" w:before="0"/>
                      <w:ind w:left="0" w:right="0" w:firstLine="0"/>
                      <w:jc w:val="left"/>
                      <w:rPr>
                        <w:rFonts w:ascii="Arial MT"/>
                        <w:sz w:val="36"/>
                      </w:rPr>
                    </w:pPr>
                    <w:r>
                      <w:rPr>
                        <w:rFonts w:ascii="Arial MT"/>
                        <w:color w:val="FFFFFF"/>
                        <w:w w:val="90"/>
                        <w:sz w:val="36"/>
                      </w:rPr>
                      <w:t>Product</w:t>
                    </w:r>
                    <w:r>
                      <w:rPr>
                        <w:rFonts w:ascii="Arial MT"/>
                        <w:color w:val="FFFFFF"/>
                        <w:spacing w:val="-5"/>
                        <w:w w:val="90"/>
                        <w:sz w:val="36"/>
                      </w:rPr>
                      <w:t> </w:t>
                    </w:r>
                    <w:r>
                      <w:rPr>
                        <w:rFonts w:ascii="Arial MT"/>
                        <w:color w:val="FFFFFF"/>
                        <w:w w:val="90"/>
                        <w:sz w:val="36"/>
                      </w:rPr>
                      <w:t>Data</w:t>
                    </w:r>
                    <w:r>
                      <w:rPr>
                        <w:rFonts w:ascii="Arial MT"/>
                        <w:color w:val="FFFFFF"/>
                        <w:spacing w:val="-4"/>
                        <w:w w:val="90"/>
                        <w:sz w:val="36"/>
                      </w:rPr>
                      <w:t> </w:t>
                    </w:r>
                    <w:r>
                      <w:rPr>
                        <w:rFonts w:ascii="Arial MT"/>
                        <w:color w:val="FFFFFF"/>
                        <w:w w:val="90"/>
                        <w:sz w:val="36"/>
                      </w:rPr>
                      <w:t>Sheet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923200" from="27pt,619pt" to="585pt,619pt" stroked="true" strokeweight=".75pt" strokecolor="#818181">
            <v:stroke dashstyle="solid"/>
            <w10:wrap type="none"/>
          </v:line>
        </w:pict>
      </w:r>
      <w:r>
        <w:rPr>
          <w:rFonts w:ascii="Arial MT" w:hAnsi="Arial MT"/>
          <w:color w:val="676767"/>
          <w:sz w:val="12"/>
        </w:rPr>
        <w:t>Information present herein has been compiled from sources considered to be dependable and is accurate and</w:t>
      </w:r>
      <w:r>
        <w:rPr>
          <w:rFonts w:ascii="Arial MT" w:hAnsi="Arial MT"/>
          <w:color w:val="676767"/>
          <w:spacing w:val="1"/>
          <w:sz w:val="12"/>
        </w:rPr>
        <w:t> </w:t>
      </w:r>
      <w:r>
        <w:rPr>
          <w:rFonts w:ascii="Arial MT" w:hAnsi="Arial MT"/>
          <w:color w:val="676767"/>
          <w:sz w:val="12"/>
        </w:rPr>
        <w:t>reliable to the best of our knowledge and belief but is not guaranteed to be so. Nothing herein is to be construed as</w:t>
      </w:r>
      <w:r>
        <w:rPr>
          <w:rFonts w:ascii="Arial MT" w:hAnsi="Arial MT"/>
          <w:color w:val="676767"/>
          <w:spacing w:val="1"/>
          <w:sz w:val="12"/>
        </w:rPr>
        <w:t> </w:t>
      </w:r>
      <w:r>
        <w:rPr>
          <w:rFonts w:ascii="Arial MT" w:hAnsi="Arial MT"/>
          <w:color w:val="676767"/>
          <w:sz w:val="12"/>
        </w:rPr>
        <w:t>recommending any practice or any product violation of any patent or in violation of any law or regulation. It is the</w:t>
      </w:r>
      <w:r>
        <w:rPr>
          <w:rFonts w:ascii="Arial MT" w:hAnsi="Arial MT"/>
          <w:color w:val="676767"/>
          <w:spacing w:val="1"/>
          <w:sz w:val="12"/>
        </w:rPr>
        <w:t> </w:t>
      </w:r>
      <w:r>
        <w:rPr>
          <w:rFonts w:ascii="Arial MT" w:hAnsi="Arial MT"/>
          <w:color w:val="676767"/>
          <w:sz w:val="12"/>
        </w:rPr>
        <w:t>user’s responsibility to determine for himself the suitability of any material for a specific purpose and to adopt such</w:t>
      </w:r>
      <w:r>
        <w:rPr>
          <w:rFonts w:ascii="Arial MT" w:hAnsi="Arial MT"/>
          <w:color w:val="676767"/>
          <w:spacing w:val="1"/>
          <w:sz w:val="12"/>
        </w:rPr>
        <w:t> </w:t>
      </w:r>
      <w:r>
        <w:rPr>
          <w:rFonts w:ascii="Arial MT" w:hAnsi="Arial MT"/>
          <w:color w:val="676767"/>
          <w:sz w:val="12"/>
        </w:rPr>
        <w:t>safety precautions as may be necessary. We make no warranty as to the results to be obtained in using any material</w:t>
      </w:r>
      <w:r>
        <w:rPr>
          <w:rFonts w:ascii="Arial MT" w:hAnsi="Arial MT"/>
          <w:color w:val="676767"/>
          <w:spacing w:val="-31"/>
          <w:sz w:val="12"/>
        </w:rPr>
        <w:t> </w:t>
      </w:r>
      <w:r>
        <w:rPr>
          <w:rFonts w:ascii="Arial MT" w:hAnsi="Arial MT"/>
          <w:color w:val="676767"/>
          <w:sz w:val="12"/>
        </w:rPr>
        <w:t>and, since conditions of use are not under our control, we must necessarily disclaim all liability with respect to the</w:t>
      </w:r>
      <w:r>
        <w:rPr>
          <w:rFonts w:ascii="Arial MT" w:hAnsi="Arial MT"/>
          <w:color w:val="676767"/>
          <w:spacing w:val="1"/>
          <w:sz w:val="12"/>
        </w:rPr>
        <w:t> </w:t>
      </w:r>
      <w:r>
        <w:rPr>
          <w:rFonts w:ascii="Arial MT" w:hAnsi="Arial MT"/>
          <w:color w:val="676767"/>
          <w:sz w:val="12"/>
        </w:rPr>
        <w:t>use</w:t>
      </w:r>
      <w:r>
        <w:rPr>
          <w:rFonts w:ascii="Arial MT" w:hAnsi="Arial MT"/>
          <w:color w:val="676767"/>
          <w:spacing w:val="-1"/>
          <w:sz w:val="12"/>
        </w:rPr>
        <w:t> </w:t>
      </w:r>
      <w:r>
        <w:rPr>
          <w:rFonts w:ascii="Arial MT" w:hAnsi="Arial MT"/>
          <w:color w:val="676767"/>
          <w:sz w:val="12"/>
        </w:rPr>
        <w:t>of any material</w:t>
      </w:r>
      <w:r>
        <w:rPr>
          <w:rFonts w:ascii="Arial MT" w:hAnsi="Arial MT"/>
          <w:color w:val="676767"/>
          <w:spacing w:val="2"/>
          <w:sz w:val="12"/>
        </w:rPr>
        <w:t> </w:t>
      </w:r>
      <w:r>
        <w:rPr>
          <w:rFonts w:ascii="Arial MT" w:hAnsi="Arial MT"/>
          <w:color w:val="676767"/>
          <w:sz w:val="12"/>
        </w:rPr>
        <w:t>supplied</w:t>
      </w:r>
      <w:r>
        <w:rPr>
          <w:rFonts w:ascii="Arial MT" w:hAnsi="Arial MT"/>
          <w:color w:val="676767"/>
          <w:spacing w:val="-2"/>
          <w:sz w:val="12"/>
        </w:rPr>
        <w:t> </w:t>
      </w:r>
      <w:r>
        <w:rPr>
          <w:rFonts w:ascii="Arial MT" w:hAnsi="Arial MT"/>
          <w:color w:val="676767"/>
          <w:sz w:val="12"/>
        </w:rPr>
        <w:t>by us.</w:t>
      </w:r>
    </w:p>
    <w:p>
      <w:pPr>
        <w:spacing w:before="3"/>
        <w:ind w:left="157" w:right="0" w:firstLine="0"/>
        <w:jc w:val="left"/>
        <w:rPr>
          <w:rFonts w:ascii="Arial MT" w:hAnsi="Arial MT"/>
          <w:sz w:val="12"/>
        </w:rPr>
      </w:pPr>
      <w:r>
        <w:rPr>
          <w:rFonts w:ascii="Arial MT" w:hAnsi="Arial MT"/>
          <w:color w:val="676767"/>
          <w:sz w:val="12"/>
        </w:rPr>
        <w:t>©Copyright</w:t>
      </w:r>
      <w:r>
        <w:rPr>
          <w:rFonts w:ascii="Arial MT" w:hAnsi="Arial MT"/>
          <w:color w:val="676767"/>
          <w:spacing w:val="-3"/>
          <w:sz w:val="12"/>
        </w:rPr>
        <w:t> </w:t>
      </w:r>
      <w:r>
        <w:rPr>
          <w:rFonts w:ascii="Arial MT" w:hAnsi="Arial MT"/>
          <w:color w:val="676767"/>
          <w:sz w:val="12"/>
        </w:rPr>
        <w:t>2010</w:t>
      </w:r>
      <w:r>
        <w:rPr>
          <w:rFonts w:ascii="Arial MT" w:hAnsi="Arial MT"/>
          <w:color w:val="676767"/>
          <w:spacing w:val="-5"/>
          <w:sz w:val="12"/>
        </w:rPr>
        <w:t> </w:t>
      </w:r>
      <w:r>
        <w:rPr>
          <w:rFonts w:ascii="Arial MT" w:hAnsi="Arial MT"/>
          <w:color w:val="676767"/>
          <w:sz w:val="12"/>
        </w:rPr>
        <w:t>Fibre</w:t>
      </w:r>
      <w:r>
        <w:rPr>
          <w:rFonts w:ascii="Arial MT" w:hAnsi="Arial MT"/>
          <w:color w:val="676767"/>
          <w:spacing w:val="-2"/>
          <w:sz w:val="12"/>
        </w:rPr>
        <w:t> </w:t>
      </w:r>
      <w:r>
        <w:rPr>
          <w:rFonts w:ascii="Arial MT" w:hAnsi="Arial MT"/>
          <w:color w:val="676767"/>
          <w:sz w:val="12"/>
        </w:rPr>
        <w:t>Glast</w:t>
      </w:r>
      <w:r>
        <w:rPr>
          <w:rFonts w:ascii="Arial MT" w:hAnsi="Arial MT"/>
          <w:color w:val="676767"/>
          <w:spacing w:val="-3"/>
          <w:sz w:val="12"/>
        </w:rPr>
        <w:t> </w:t>
      </w:r>
      <w:r>
        <w:rPr>
          <w:rFonts w:ascii="Arial MT" w:hAnsi="Arial MT"/>
          <w:color w:val="676767"/>
          <w:sz w:val="12"/>
        </w:rPr>
        <w:t>Developments</w:t>
      </w:r>
      <w:r>
        <w:rPr>
          <w:rFonts w:ascii="Arial MT" w:hAnsi="Arial MT"/>
          <w:color w:val="676767"/>
          <w:spacing w:val="-3"/>
          <w:sz w:val="12"/>
        </w:rPr>
        <w:t> </w:t>
      </w:r>
      <w:r>
        <w:rPr>
          <w:rFonts w:ascii="Arial MT" w:hAnsi="Arial MT"/>
          <w:color w:val="676767"/>
          <w:sz w:val="12"/>
        </w:rPr>
        <w:t>Corporation</w:t>
      </w:r>
    </w:p>
    <w:p>
      <w:pPr>
        <w:spacing w:line="280" w:lineRule="auto" w:before="96"/>
        <w:ind w:left="157" w:right="22" w:firstLine="0"/>
        <w:jc w:val="left"/>
        <w:rPr>
          <w:rFonts w:ascii="Arial MT"/>
          <w:sz w:val="12"/>
        </w:rPr>
      </w:pPr>
      <w:r>
        <w:rPr/>
        <w:br w:type="column"/>
      </w:r>
      <w:r>
        <w:rPr>
          <w:rFonts w:ascii="Arial MT"/>
          <w:color w:val="676767"/>
          <w:sz w:val="12"/>
        </w:rPr>
        <w:t>Fibre Glast Developments Corporation</w:t>
      </w:r>
      <w:r>
        <w:rPr>
          <w:rFonts w:ascii="Arial MT"/>
          <w:color w:val="676767"/>
          <w:spacing w:val="-31"/>
          <w:sz w:val="12"/>
        </w:rPr>
        <w:t> </w:t>
      </w:r>
      <w:r>
        <w:rPr>
          <w:rFonts w:ascii="Arial MT"/>
          <w:color w:val="676767"/>
          <w:sz w:val="12"/>
        </w:rPr>
        <w:t>385</w:t>
      </w:r>
      <w:r>
        <w:rPr>
          <w:rFonts w:ascii="Arial MT"/>
          <w:color w:val="676767"/>
          <w:spacing w:val="-1"/>
          <w:sz w:val="12"/>
        </w:rPr>
        <w:t> </w:t>
      </w:r>
      <w:r>
        <w:rPr>
          <w:rFonts w:ascii="Arial MT"/>
          <w:color w:val="676767"/>
          <w:sz w:val="12"/>
        </w:rPr>
        <w:t>Carr</w:t>
      </w:r>
      <w:r>
        <w:rPr>
          <w:rFonts w:ascii="Arial MT"/>
          <w:color w:val="676767"/>
          <w:spacing w:val="-2"/>
          <w:sz w:val="12"/>
        </w:rPr>
        <w:t> </w:t>
      </w:r>
      <w:r>
        <w:rPr>
          <w:rFonts w:ascii="Arial MT"/>
          <w:color w:val="676767"/>
          <w:sz w:val="12"/>
        </w:rPr>
        <w:t>Drive</w:t>
      </w:r>
    </w:p>
    <w:p>
      <w:pPr>
        <w:spacing w:line="134" w:lineRule="exact" w:before="0"/>
        <w:ind w:left="157" w:right="0" w:firstLine="0"/>
        <w:jc w:val="left"/>
        <w:rPr>
          <w:rFonts w:ascii="Arial MT"/>
          <w:sz w:val="12"/>
        </w:rPr>
      </w:pPr>
      <w:r>
        <w:rPr>
          <w:rFonts w:ascii="Arial MT"/>
          <w:color w:val="676767"/>
          <w:sz w:val="12"/>
        </w:rPr>
        <w:t>Brookville,</w:t>
      </w:r>
      <w:r>
        <w:rPr>
          <w:rFonts w:ascii="Arial MT"/>
          <w:color w:val="676767"/>
          <w:spacing w:val="-4"/>
          <w:sz w:val="12"/>
        </w:rPr>
        <w:t> </w:t>
      </w:r>
      <w:r>
        <w:rPr>
          <w:rFonts w:ascii="Arial MT"/>
          <w:color w:val="676767"/>
          <w:sz w:val="12"/>
        </w:rPr>
        <w:t>Ohio</w:t>
      </w:r>
      <w:r>
        <w:rPr>
          <w:rFonts w:ascii="Arial MT"/>
          <w:color w:val="676767"/>
          <w:spacing w:val="-2"/>
          <w:sz w:val="12"/>
        </w:rPr>
        <w:t> </w:t>
      </w:r>
      <w:r>
        <w:rPr>
          <w:rFonts w:ascii="Arial MT"/>
          <w:color w:val="676767"/>
          <w:sz w:val="12"/>
        </w:rPr>
        <w:t>45309</w:t>
      </w:r>
    </w:p>
    <w:p>
      <w:pPr>
        <w:spacing w:before="23"/>
        <w:ind w:left="157" w:right="0" w:firstLine="0"/>
        <w:jc w:val="left"/>
        <w:rPr>
          <w:rFonts w:ascii="Arial MT" w:hAnsi="Arial MT"/>
          <w:sz w:val="12"/>
        </w:rPr>
      </w:pPr>
      <w:r>
        <w:rPr>
          <w:rFonts w:ascii="Arial MT" w:hAnsi="Arial MT"/>
          <w:color w:val="676767"/>
          <w:sz w:val="12"/>
        </w:rPr>
        <w:t>Phone</w:t>
      </w:r>
      <w:r>
        <w:rPr>
          <w:rFonts w:ascii="Arial MT" w:hAnsi="Arial MT"/>
          <w:color w:val="676767"/>
          <w:spacing w:val="-4"/>
          <w:sz w:val="12"/>
        </w:rPr>
        <w:t> </w:t>
      </w:r>
      <w:r>
        <w:rPr>
          <w:rFonts w:ascii="Arial MT" w:hAnsi="Arial MT"/>
          <w:color w:val="676767"/>
          <w:sz w:val="12"/>
        </w:rPr>
        <w:t>–</w:t>
      </w:r>
      <w:r>
        <w:rPr>
          <w:rFonts w:ascii="Arial MT" w:hAnsi="Arial MT"/>
          <w:color w:val="676767"/>
          <w:spacing w:val="-3"/>
          <w:sz w:val="12"/>
        </w:rPr>
        <w:t> </w:t>
      </w:r>
      <w:r>
        <w:rPr>
          <w:rFonts w:ascii="Arial MT" w:hAnsi="Arial MT"/>
          <w:color w:val="676767"/>
          <w:sz w:val="12"/>
        </w:rPr>
        <w:t>800.214.8572</w:t>
      </w:r>
    </w:p>
    <w:p>
      <w:pPr>
        <w:spacing w:before="23"/>
        <w:ind w:left="157" w:right="0" w:firstLine="0"/>
        <w:jc w:val="left"/>
        <w:rPr>
          <w:rFonts w:ascii="Arial MT" w:hAnsi="Arial MT"/>
          <w:sz w:val="12"/>
        </w:rPr>
      </w:pPr>
      <w:r>
        <w:rPr>
          <w:rFonts w:ascii="Arial MT" w:hAnsi="Arial MT"/>
          <w:color w:val="676767"/>
          <w:sz w:val="12"/>
        </w:rPr>
        <w:t>Fax</w:t>
      </w:r>
      <w:r>
        <w:rPr>
          <w:rFonts w:ascii="Arial MT" w:hAnsi="Arial MT"/>
          <w:color w:val="676767"/>
          <w:spacing w:val="-5"/>
          <w:sz w:val="12"/>
        </w:rPr>
        <w:t> </w:t>
      </w:r>
      <w:r>
        <w:rPr>
          <w:rFonts w:ascii="Arial MT" w:hAnsi="Arial MT"/>
          <w:color w:val="676767"/>
          <w:sz w:val="12"/>
        </w:rPr>
        <w:t>–</w:t>
      </w:r>
      <w:r>
        <w:rPr>
          <w:rFonts w:ascii="Arial MT" w:hAnsi="Arial MT"/>
          <w:color w:val="676767"/>
          <w:spacing w:val="-1"/>
          <w:sz w:val="12"/>
        </w:rPr>
        <w:t> </w:t>
      </w:r>
      <w:r>
        <w:rPr>
          <w:rFonts w:ascii="Arial MT" w:hAnsi="Arial MT"/>
          <w:color w:val="676767"/>
          <w:sz w:val="12"/>
        </w:rPr>
        <w:t>937.833.6555</w:t>
      </w:r>
    </w:p>
    <w:p>
      <w:pPr>
        <w:spacing w:before="20"/>
        <w:ind w:left="157" w:right="0" w:firstLine="0"/>
        <w:jc w:val="left"/>
        <w:rPr>
          <w:rFonts w:ascii="Arial MT"/>
          <w:sz w:val="12"/>
        </w:rPr>
      </w:pPr>
      <w:hyperlink r:id="rId471">
        <w:r>
          <w:rPr>
            <w:rFonts w:ascii="Arial MT"/>
            <w:color w:val="676767"/>
            <w:sz w:val="12"/>
          </w:rPr>
          <w:t>www.fibreglast.com</w:t>
        </w:r>
      </w:hyperlink>
    </w:p>
    <w:p>
      <w:pPr>
        <w:pStyle w:val="BodyText"/>
        <w:rPr>
          <w:rFonts w:ascii="Arial MT"/>
          <w:sz w:val="12"/>
        </w:rPr>
      </w:pPr>
      <w:r>
        <w:rPr/>
        <w:br w:type="column"/>
      </w:r>
      <w:r>
        <w:rPr>
          <w:rFonts w:ascii="Arial MT"/>
          <w:sz w:val="12"/>
        </w:rPr>
      </w:r>
    </w:p>
    <w:p>
      <w:pPr>
        <w:pStyle w:val="BodyText"/>
        <w:rPr>
          <w:rFonts w:ascii="Arial MT"/>
          <w:sz w:val="12"/>
        </w:rPr>
      </w:pPr>
    </w:p>
    <w:p>
      <w:pPr>
        <w:pStyle w:val="BodyText"/>
        <w:rPr>
          <w:rFonts w:ascii="Arial MT"/>
          <w:sz w:val="12"/>
        </w:rPr>
      </w:pPr>
    </w:p>
    <w:p>
      <w:pPr>
        <w:pStyle w:val="BodyText"/>
        <w:rPr>
          <w:rFonts w:ascii="Arial MT"/>
          <w:sz w:val="12"/>
        </w:rPr>
      </w:pPr>
    </w:p>
    <w:p>
      <w:pPr>
        <w:pStyle w:val="BodyText"/>
        <w:rPr>
          <w:rFonts w:ascii="Arial MT"/>
          <w:sz w:val="12"/>
        </w:rPr>
      </w:pPr>
    </w:p>
    <w:p>
      <w:pPr>
        <w:pStyle w:val="BodyText"/>
        <w:rPr>
          <w:rFonts w:ascii="Arial MT"/>
          <w:sz w:val="11"/>
        </w:rPr>
      </w:pPr>
    </w:p>
    <w:p>
      <w:pPr>
        <w:spacing w:before="0"/>
        <w:ind w:left="188" w:right="0" w:firstLine="0"/>
        <w:jc w:val="left"/>
        <w:rPr>
          <w:rFonts w:ascii="Arial MT"/>
          <w:sz w:val="12"/>
        </w:rPr>
      </w:pPr>
      <w:r>
        <w:rPr/>
        <w:drawing>
          <wp:anchor distT="0" distB="0" distL="0" distR="0" allowOverlap="1" layoutInCell="1" locked="0" behindDoc="0" simplePos="0" relativeHeight="15922688">
            <wp:simplePos x="0" y="0"/>
            <wp:positionH relativeFrom="page">
              <wp:posOffset>5980428</wp:posOffset>
            </wp:positionH>
            <wp:positionV relativeFrom="paragraph">
              <wp:posOffset>-544349</wp:posOffset>
            </wp:positionV>
            <wp:extent cx="1102994" cy="448310"/>
            <wp:effectExtent l="0" t="0" r="0" b="0"/>
            <wp:wrapNone/>
            <wp:docPr id="277" name="image4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459.jpeg"/>
                    <pic:cNvPicPr/>
                  </pic:nvPicPr>
                  <pic:blipFill>
                    <a:blip r:embed="rId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2994" cy="448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MT"/>
          <w:color w:val="676767"/>
          <w:sz w:val="12"/>
        </w:rPr>
        <w:t>PDCT-PDS-00345-C-01/18-BE</w:t>
      </w:r>
    </w:p>
    <w:p>
      <w:pPr>
        <w:spacing w:after="0"/>
        <w:jc w:val="left"/>
        <w:rPr>
          <w:rFonts w:ascii="Arial MT"/>
          <w:sz w:val="12"/>
        </w:rPr>
        <w:sectPr>
          <w:type w:val="continuous"/>
          <w:pgSz w:w="12240" w:h="15840"/>
          <w:pgMar w:top="1380" w:bottom="280" w:left="440" w:right="880"/>
          <w:cols w:num="3" w:equalWidth="0">
            <w:col w:w="6383" w:space="97"/>
            <w:col w:w="2247" w:space="93"/>
            <w:col w:w="2100"/>
          </w:cols>
        </w:sectPr>
      </w:pPr>
    </w:p>
    <w:p>
      <w:pPr>
        <w:pStyle w:val="Heading4"/>
        <w:spacing w:before="61"/>
        <w:ind w:left="1937" w:right="778"/>
      </w:pPr>
      <w:bookmarkStart w:name="_TOC_250000" w:id="644"/>
      <w:bookmarkStart w:name="References.pdf" w:id="645"/>
      <w:r>
        <w:rPr>
          <w:b w:val="0"/>
        </w:rPr>
      </w:r>
      <w:bookmarkEnd w:id="644"/>
      <w:r>
        <w:rPr/>
        <w:t>REFERENCES</w:t>
      </w:r>
    </w:p>
    <w:p>
      <w:pPr>
        <w:pStyle w:val="BodyText"/>
        <w:rPr>
          <w:b/>
          <w:sz w:val="30"/>
        </w:rPr>
      </w:pPr>
    </w:p>
    <w:p>
      <w:pPr>
        <w:pStyle w:val="BodyText"/>
        <w:spacing w:before="8"/>
        <w:rPr>
          <w:b/>
          <w:sz w:val="23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684" w:hanging="720"/>
        <w:jc w:val="left"/>
        <w:rPr>
          <w:sz w:val="24"/>
        </w:rPr>
      </w:pPr>
      <w:r>
        <w:rPr>
          <w:sz w:val="24"/>
        </w:rPr>
        <w:t>"Ceiling/ Wood Construction Ceiling Plan, Wood Frame Building," ed.</w:t>
      </w:r>
      <w:r>
        <w:rPr>
          <w:spacing w:val="1"/>
          <w:sz w:val="24"/>
        </w:rPr>
        <w:t> </w:t>
      </w:r>
      <w:r>
        <w:rPr>
          <w:sz w:val="24"/>
        </w:rPr>
        <w:t>Washington,</w:t>
      </w:r>
      <w:r>
        <w:rPr>
          <w:spacing w:val="-4"/>
          <w:sz w:val="24"/>
        </w:rPr>
        <w:t> </w:t>
      </w:r>
      <w:r>
        <w:rPr>
          <w:sz w:val="24"/>
        </w:rPr>
        <w:t>DC:</w:t>
      </w:r>
      <w:r>
        <w:rPr>
          <w:spacing w:val="-1"/>
          <w:sz w:val="24"/>
        </w:rPr>
        <w:t> </w:t>
      </w:r>
      <w:r>
        <w:rPr>
          <w:sz w:val="24"/>
        </w:rPr>
        <w:t>Contingency</w:t>
      </w:r>
      <w:r>
        <w:rPr>
          <w:spacing w:val="-2"/>
          <w:sz w:val="24"/>
        </w:rPr>
        <w:t> </w:t>
      </w:r>
      <w:r>
        <w:rPr>
          <w:sz w:val="24"/>
        </w:rPr>
        <w:t>Standard</w:t>
      </w:r>
      <w:r>
        <w:rPr>
          <w:spacing w:val="-1"/>
          <w:sz w:val="24"/>
        </w:rPr>
        <w:t> </w:t>
      </w:r>
      <w:r>
        <w:rPr>
          <w:sz w:val="24"/>
        </w:rPr>
        <w:t>Designs</w:t>
      </w:r>
      <w:r>
        <w:rPr>
          <w:spacing w:val="-3"/>
          <w:sz w:val="24"/>
        </w:rPr>
        <w:t> </w:t>
      </w:r>
      <w:r>
        <w:rPr>
          <w:sz w:val="24"/>
        </w:rPr>
        <w:t>U.S.</w:t>
      </w:r>
      <w:r>
        <w:rPr>
          <w:spacing w:val="-1"/>
          <w:sz w:val="24"/>
        </w:rPr>
        <w:t> </w:t>
      </w:r>
      <w:r>
        <w:rPr>
          <w:sz w:val="24"/>
        </w:rPr>
        <w:t>Army</w:t>
      </w:r>
      <w:r>
        <w:rPr>
          <w:spacing w:val="-1"/>
          <w:sz w:val="24"/>
        </w:rPr>
        <w:t> </w:t>
      </w:r>
      <w:r>
        <w:rPr>
          <w:sz w:val="24"/>
        </w:rPr>
        <w:t>Corps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Engineers.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1" w:after="0"/>
        <w:ind w:left="2440" w:right="650" w:hanging="720"/>
        <w:jc w:val="left"/>
        <w:rPr>
          <w:sz w:val="24"/>
        </w:rPr>
      </w:pPr>
      <w:r>
        <w:rPr>
          <w:sz w:val="24"/>
        </w:rPr>
        <w:t>"The</w:t>
      </w:r>
      <w:r>
        <w:rPr>
          <w:spacing w:val="-2"/>
          <w:sz w:val="24"/>
        </w:rPr>
        <w:t> </w:t>
      </w:r>
      <w:r>
        <w:rPr>
          <w:sz w:val="24"/>
        </w:rPr>
        <w:t>Resistance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Various</w:t>
      </w:r>
      <w:r>
        <w:rPr>
          <w:spacing w:val="-2"/>
          <w:sz w:val="24"/>
        </w:rPr>
        <w:t> </w:t>
      </w:r>
      <w:r>
        <w:rPr>
          <w:sz w:val="24"/>
        </w:rPr>
        <w:t>Metallic</w:t>
      </w:r>
      <w:r>
        <w:rPr>
          <w:spacing w:val="-2"/>
          <w:sz w:val="24"/>
        </w:rPr>
        <w:t> </w:t>
      </w:r>
      <w:r>
        <w:rPr>
          <w:sz w:val="24"/>
        </w:rPr>
        <w:t>Materials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4"/>
          <w:sz w:val="24"/>
        </w:rPr>
        <w:t> </w:t>
      </w:r>
      <w:r>
        <w:rPr>
          <w:sz w:val="24"/>
        </w:rPr>
        <w:t>Perforation</w:t>
      </w:r>
      <w:r>
        <w:rPr>
          <w:spacing w:val="-4"/>
          <w:sz w:val="24"/>
        </w:rPr>
        <w:t> </w:t>
      </w:r>
      <w:r>
        <w:rPr>
          <w:sz w:val="24"/>
        </w:rPr>
        <w:t>by</w:t>
      </w:r>
      <w:r>
        <w:rPr>
          <w:spacing w:val="-1"/>
          <w:sz w:val="24"/>
        </w:rPr>
        <w:t> </w:t>
      </w:r>
      <w:r>
        <w:rPr>
          <w:sz w:val="24"/>
        </w:rPr>
        <w:t>Steel</w:t>
      </w:r>
      <w:r>
        <w:rPr>
          <w:spacing w:val="-2"/>
          <w:sz w:val="24"/>
        </w:rPr>
        <w:t> </w:t>
      </w:r>
      <w:r>
        <w:rPr>
          <w:sz w:val="24"/>
        </w:rPr>
        <w:t>Fragments;</w:t>
      </w:r>
      <w:r>
        <w:rPr>
          <w:spacing w:val="-57"/>
          <w:sz w:val="24"/>
        </w:rPr>
        <w:t> </w:t>
      </w:r>
      <w:r>
        <w:rPr>
          <w:sz w:val="24"/>
        </w:rPr>
        <w:t>Empirical Relationships for Fragment Residual Velocity and Residual Weight,"</w:t>
      </w:r>
      <w:r>
        <w:rPr>
          <w:spacing w:val="1"/>
          <w:sz w:val="24"/>
        </w:rPr>
        <w:t> </w:t>
      </w:r>
      <w:r>
        <w:rPr>
          <w:sz w:val="24"/>
        </w:rPr>
        <w:t>Ballistic</w:t>
      </w:r>
      <w:r>
        <w:rPr>
          <w:spacing w:val="-1"/>
          <w:sz w:val="24"/>
        </w:rPr>
        <w:t> </w:t>
      </w:r>
      <w:r>
        <w:rPr>
          <w:sz w:val="24"/>
        </w:rPr>
        <w:t>Analysis Laboratory, Baltimore,</w:t>
      </w:r>
      <w:r>
        <w:rPr>
          <w:spacing w:val="-1"/>
          <w:sz w:val="24"/>
        </w:rPr>
        <w:t> </w:t>
      </w:r>
      <w:r>
        <w:rPr>
          <w:sz w:val="24"/>
        </w:rPr>
        <w:t>MD1961.</w:t>
      </w:r>
    </w:p>
    <w:p>
      <w:pPr>
        <w:pStyle w:val="BodyText"/>
        <w:spacing w:before="11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1366" w:hanging="720"/>
        <w:jc w:val="left"/>
        <w:rPr>
          <w:sz w:val="24"/>
        </w:rPr>
      </w:pPr>
      <w:r>
        <w:rPr>
          <w:sz w:val="24"/>
        </w:rPr>
        <w:t>U.S.</w:t>
      </w:r>
      <w:r>
        <w:rPr>
          <w:spacing w:val="-2"/>
          <w:sz w:val="24"/>
        </w:rPr>
        <w:t> </w:t>
      </w:r>
      <w:r>
        <w:rPr>
          <w:sz w:val="24"/>
        </w:rPr>
        <w:t>Department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Justic,</w:t>
      </w:r>
      <w:r>
        <w:rPr>
          <w:spacing w:val="-2"/>
          <w:sz w:val="24"/>
        </w:rPr>
        <w:t> </w:t>
      </w:r>
      <w:r>
        <w:rPr>
          <w:sz w:val="24"/>
        </w:rPr>
        <w:t>National</w:t>
      </w:r>
      <w:r>
        <w:rPr>
          <w:spacing w:val="-3"/>
          <w:sz w:val="24"/>
        </w:rPr>
        <w:t> </w:t>
      </w:r>
      <w:r>
        <w:rPr>
          <w:sz w:val="24"/>
        </w:rPr>
        <w:t>Institute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Justice,</w:t>
      </w:r>
      <w:r>
        <w:rPr>
          <w:spacing w:val="-2"/>
          <w:sz w:val="24"/>
        </w:rPr>
        <w:t> </w:t>
      </w:r>
      <w:r>
        <w:rPr>
          <w:sz w:val="24"/>
        </w:rPr>
        <w:t>Ballistic</w:t>
      </w:r>
      <w:r>
        <w:rPr>
          <w:spacing w:val="-2"/>
          <w:sz w:val="24"/>
        </w:rPr>
        <w:t> </w:t>
      </w:r>
      <w:r>
        <w:rPr>
          <w:sz w:val="24"/>
        </w:rPr>
        <w:t>Resistant</w:t>
      </w:r>
      <w:r>
        <w:rPr>
          <w:spacing w:val="-57"/>
          <w:sz w:val="24"/>
        </w:rPr>
        <w:t> </w:t>
      </w:r>
      <w:r>
        <w:rPr>
          <w:sz w:val="24"/>
        </w:rPr>
        <w:t>Protective</w:t>
      </w:r>
      <w:r>
        <w:rPr>
          <w:spacing w:val="-2"/>
          <w:sz w:val="24"/>
        </w:rPr>
        <w:t> </w:t>
      </w:r>
      <w:r>
        <w:rPr>
          <w:sz w:val="24"/>
        </w:rPr>
        <w:t>Materials, NIJ 0108.01,</w:t>
      </w:r>
      <w:r>
        <w:rPr>
          <w:spacing w:val="-2"/>
          <w:sz w:val="24"/>
        </w:rPr>
        <w:t> </w:t>
      </w:r>
      <w:r>
        <w:rPr>
          <w:sz w:val="24"/>
        </w:rPr>
        <w:t>1985.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1446" w:hanging="720"/>
        <w:jc w:val="left"/>
        <w:rPr>
          <w:sz w:val="24"/>
        </w:rPr>
      </w:pPr>
      <w:r>
        <w:rPr>
          <w:sz w:val="24"/>
        </w:rPr>
        <w:t>American Institute of Timber Construction AITC 405-2005, Standard for</w:t>
      </w:r>
      <w:r>
        <w:rPr>
          <w:spacing w:val="-58"/>
          <w:sz w:val="24"/>
        </w:rPr>
        <w:t> </w:t>
      </w:r>
      <w:r>
        <w:rPr>
          <w:sz w:val="24"/>
        </w:rPr>
        <w:t>Adhesives</w:t>
      </w:r>
      <w:r>
        <w:rPr>
          <w:spacing w:val="-1"/>
          <w:sz w:val="24"/>
        </w:rPr>
        <w:t> </w:t>
      </w:r>
      <w:r>
        <w:rPr>
          <w:sz w:val="24"/>
        </w:rPr>
        <w:t>for</w:t>
      </w:r>
      <w:r>
        <w:rPr>
          <w:spacing w:val="-1"/>
          <w:sz w:val="24"/>
        </w:rPr>
        <w:t> </w:t>
      </w:r>
      <w:r>
        <w:rPr>
          <w:sz w:val="24"/>
        </w:rPr>
        <w:t>Use in</w:t>
      </w:r>
      <w:r>
        <w:rPr>
          <w:spacing w:val="-1"/>
          <w:sz w:val="24"/>
        </w:rPr>
        <w:t> </w:t>
      </w:r>
      <w:r>
        <w:rPr>
          <w:sz w:val="24"/>
        </w:rPr>
        <w:t>Structural Glued</w:t>
      </w:r>
      <w:r>
        <w:rPr>
          <w:spacing w:val="-1"/>
          <w:sz w:val="24"/>
        </w:rPr>
        <w:t> </w:t>
      </w:r>
      <w:r>
        <w:rPr>
          <w:sz w:val="24"/>
        </w:rPr>
        <w:t>Laminated</w:t>
      </w:r>
      <w:r>
        <w:rPr>
          <w:spacing w:val="-1"/>
          <w:sz w:val="24"/>
        </w:rPr>
        <w:t> </w:t>
      </w:r>
      <w:r>
        <w:rPr>
          <w:sz w:val="24"/>
        </w:rPr>
        <w:t>Timber, 2005.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1132" w:hanging="720"/>
        <w:jc w:val="left"/>
        <w:rPr>
          <w:sz w:val="24"/>
        </w:rPr>
      </w:pPr>
      <w:r>
        <w:rPr>
          <w:sz w:val="24"/>
        </w:rPr>
        <w:t>American Society of Testing and Materials, ASTM D143 - 94 Standard Test</w:t>
      </w:r>
      <w:r>
        <w:rPr>
          <w:spacing w:val="-58"/>
          <w:sz w:val="24"/>
        </w:rPr>
        <w:t> </w:t>
      </w:r>
      <w:r>
        <w:rPr>
          <w:sz w:val="24"/>
        </w:rPr>
        <w:t>Methods</w:t>
      </w:r>
      <w:r>
        <w:rPr>
          <w:spacing w:val="-1"/>
          <w:sz w:val="24"/>
        </w:rPr>
        <w:t> </w:t>
      </w:r>
      <w:r>
        <w:rPr>
          <w:sz w:val="24"/>
        </w:rPr>
        <w:t>for</w:t>
      </w:r>
      <w:r>
        <w:rPr>
          <w:spacing w:val="-1"/>
          <w:sz w:val="24"/>
        </w:rPr>
        <w:t> </w:t>
      </w:r>
      <w:r>
        <w:rPr>
          <w:sz w:val="24"/>
        </w:rPr>
        <w:t>Small Clear</w:t>
      </w:r>
      <w:r>
        <w:rPr>
          <w:spacing w:val="-1"/>
          <w:sz w:val="24"/>
        </w:rPr>
        <w:t> </w:t>
      </w:r>
      <w:r>
        <w:rPr>
          <w:sz w:val="24"/>
        </w:rPr>
        <w:t>Specimens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Timber, 2007.</w:t>
      </w:r>
    </w:p>
    <w:p>
      <w:pPr>
        <w:pStyle w:val="BodyText"/>
        <w:rPr>
          <w:sz w:val="38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1008" w:hanging="720"/>
        <w:jc w:val="left"/>
        <w:rPr>
          <w:sz w:val="24"/>
        </w:rPr>
      </w:pPr>
      <w:r>
        <w:rPr>
          <w:sz w:val="24"/>
        </w:rPr>
        <w:t>"Performance Specification: Perforated Homogeneous Steel Armor," D. o. t.</w:t>
      </w:r>
      <w:r>
        <w:rPr>
          <w:spacing w:val="1"/>
          <w:sz w:val="24"/>
        </w:rPr>
        <w:t> </w:t>
      </w:r>
      <w:r>
        <w:rPr>
          <w:sz w:val="24"/>
        </w:rPr>
        <w:t>Army, Ed., ed. Aberdeen Proving Ground, MD: Army Research Laboratory,</w:t>
      </w:r>
      <w:r>
        <w:rPr>
          <w:spacing w:val="1"/>
          <w:sz w:val="24"/>
        </w:rPr>
        <w:t> </w:t>
      </w:r>
      <w:r>
        <w:rPr>
          <w:sz w:val="24"/>
        </w:rPr>
        <w:t>Weapons</w:t>
      </w:r>
      <w:r>
        <w:rPr>
          <w:spacing w:val="-3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Materials</w:t>
      </w:r>
      <w:r>
        <w:rPr>
          <w:spacing w:val="-4"/>
          <w:sz w:val="24"/>
        </w:rPr>
        <w:t> </w:t>
      </w:r>
      <w:r>
        <w:rPr>
          <w:sz w:val="24"/>
        </w:rPr>
        <w:t>Research</w:t>
      </w:r>
      <w:r>
        <w:rPr>
          <w:spacing w:val="-2"/>
          <w:sz w:val="24"/>
        </w:rPr>
        <w:t> </w:t>
      </w:r>
      <w:r>
        <w:rPr>
          <w:sz w:val="24"/>
        </w:rPr>
        <w:t>Directorate,</w:t>
      </w:r>
      <w:r>
        <w:rPr>
          <w:spacing w:val="-3"/>
          <w:sz w:val="24"/>
        </w:rPr>
        <w:t> </w:t>
      </w:r>
      <w:r>
        <w:rPr>
          <w:sz w:val="24"/>
        </w:rPr>
        <w:t>Materials</w:t>
      </w:r>
      <w:r>
        <w:rPr>
          <w:spacing w:val="-2"/>
          <w:sz w:val="24"/>
        </w:rPr>
        <w:t> </w:t>
      </w:r>
      <w:r>
        <w:rPr>
          <w:sz w:val="24"/>
        </w:rPr>
        <w:t>Applications</w:t>
      </w:r>
      <w:r>
        <w:rPr>
          <w:spacing w:val="-3"/>
          <w:sz w:val="24"/>
        </w:rPr>
        <w:t> </w:t>
      </w:r>
      <w:r>
        <w:rPr>
          <w:sz w:val="24"/>
        </w:rPr>
        <w:t>Branch,</w:t>
      </w:r>
      <w:r>
        <w:rPr>
          <w:spacing w:val="-57"/>
          <w:sz w:val="24"/>
        </w:rPr>
        <w:t> </w:t>
      </w:r>
      <w:r>
        <w:rPr>
          <w:sz w:val="24"/>
        </w:rPr>
        <w:t>Specifications</w:t>
      </w:r>
      <w:r>
        <w:rPr>
          <w:spacing w:val="-1"/>
          <w:sz w:val="24"/>
        </w:rPr>
        <w:t> </w:t>
      </w:r>
      <w:r>
        <w:rPr>
          <w:sz w:val="24"/>
        </w:rPr>
        <w:t>and Standards Office, 2007.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631" w:hanging="720"/>
        <w:jc w:val="left"/>
        <w:rPr>
          <w:sz w:val="24"/>
        </w:rPr>
      </w:pPr>
      <w:r>
        <w:rPr>
          <w:sz w:val="24"/>
        </w:rPr>
        <w:t>U.S. Army Corps of Engineers, Unifed Facilities Criteria (UFC) 4-023-07 Design</w:t>
      </w:r>
      <w:r>
        <w:rPr>
          <w:spacing w:val="-57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Resist Direct Fire Weapons Effects,</w:t>
      </w:r>
      <w:r>
        <w:rPr>
          <w:spacing w:val="-1"/>
          <w:sz w:val="24"/>
        </w:rPr>
        <w:t> </w:t>
      </w:r>
      <w:r>
        <w:rPr>
          <w:sz w:val="24"/>
        </w:rPr>
        <w:t>2008.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1" w:after="0"/>
        <w:ind w:left="2439" w:right="779" w:hanging="720"/>
        <w:jc w:val="left"/>
        <w:rPr>
          <w:sz w:val="24"/>
        </w:rPr>
      </w:pPr>
      <w:r>
        <w:rPr>
          <w:sz w:val="24"/>
        </w:rPr>
        <w:t>U.S. Army Corps of Engineers, Unified Facilities Criteria (UFC) 4-020-01 DoD</w:t>
      </w:r>
      <w:r>
        <w:rPr>
          <w:spacing w:val="-58"/>
          <w:sz w:val="24"/>
        </w:rPr>
        <w:t> </w:t>
      </w:r>
      <w:r>
        <w:rPr>
          <w:sz w:val="24"/>
        </w:rPr>
        <w:t>Security</w:t>
      </w:r>
      <w:r>
        <w:rPr>
          <w:spacing w:val="-1"/>
          <w:sz w:val="24"/>
        </w:rPr>
        <w:t> </w:t>
      </w:r>
      <w:r>
        <w:rPr>
          <w:sz w:val="24"/>
        </w:rPr>
        <w:t>Engineering</w:t>
      </w:r>
      <w:r>
        <w:rPr>
          <w:spacing w:val="-1"/>
          <w:sz w:val="24"/>
        </w:rPr>
        <w:t> </w:t>
      </w:r>
      <w:r>
        <w:rPr>
          <w:sz w:val="24"/>
        </w:rPr>
        <w:t>Facilities Planning</w:t>
      </w:r>
      <w:r>
        <w:rPr>
          <w:spacing w:val="-1"/>
          <w:sz w:val="24"/>
        </w:rPr>
        <w:t> </w:t>
      </w:r>
      <w:r>
        <w:rPr>
          <w:sz w:val="24"/>
        </w:rPr>
        <w:t>Manual,</w:t>
      </w:r>
      <w:r>
        <w:rPr>
          <w:spacing w:val="-1"/>
          <w:sz w:val="24"/>
        </w:rPr>
        <w:t> </w:t>
      </w:r>
      <w:r>
        <w:rPr>
          <w:sz w:val="24"/>
        </w:rPr>
        <w:t>UFC</w:t>
      </w:r>
      <w:r>
        <w:rPr>
          <w:spacing w:val="-1"/>
          <w:sz w:val="24"/>
        </w:rPr>
        <w:t> </w:t>
      </w:r>
      <w:r>
        <w:rPr>
          <w:sz w:val="24"/>
        </w:rPr>
        <w:t>4-020-01,</w:t>
      </w:r>
      <w:r>
        <w:rPr>
          <w:spacing w:val="-1"/>
          <w:sz w:val="24"/>
        </w:rPr>
        <w:t> </w:t>
      </w:r>
      <w:r>
        <w:rPr>
          <w:sz w:val="24"/>
        </w:rPr>
        <w:t>2008.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39" w:right="860" w:hanging="720"/>
        <w:jc w:val="left"/>
        <w:rPr>
          <w:sz w:val="24"/>
        </w:rPr>
      </w:pPr>
      <w:r>
        <w:rPr>
          <w:sz w:val="24"/>
        </w:rPr>
        <w:t>U.S.</w:t>
      </w:r>
      <w:r>
        <w:rPr>
          <w:spacing w:val="-2"/>
          <w:sz w:val="24"/>
        </w:rPr>
        <w:t> </w:t>
      </w:r>
      <w:r>
        <w:rPr>
          <w:sz w:val="24"/>
        </w:rPr>
        <w:t>Department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Housing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Urban</w:t>
      </w:r>
      <w:r>
        <w:rPr>
          <w:spacing w:val="-2"/>
          <w:sz w:val="24"/>
        </w:rPr>
        <w:t> </w:t>
      </w:r>
      <w:r>
        <w:rPr>
          <w:sz w:val="24"/>
        </w:rPr>
        <w:t>Development,</w:t>
      </w:r>
      <w:r>
        <w:rPr>
          <w:spacing w:val="-2"/>
          <w:sz w:val="24"/>
        </w:rPr>
        <w:t> </w:t>
      </w:r>
      <w:r>
        <w:rPr>
          <w:sz w:val="24"/>
        </w:rPr>
        <w:t>HUD</w:t>
      </w:r>
      <w:r>
        <w:rPr>
          <w:spacing w:val="-2"/>
          <w:sz w:val="24"/>
        </w:rPr>
        <w:t> </w:t>
      </w:r>
      <w:r>
        <w:rPr>
          <w:sz w:val="24"/>
        </w:rPr>
        <w:t>Noise</w:t>
      </w:r>
      <w:r>
        <w:rPr>
          <w:spacing w:val="-1"/>
          <w:sz w:val="24"/>
        </w:rPr>
        <w:t> </w:t>
      </w:r>
      <w:r>
        <w:rPr>
          <w:sz w:val="24"/>
        </w:rPr>
        <w:t>Guidebook,</w:t>
      </w:r>
      <w:r>
        <w:rPr>
          <w:spacing w:val="-57"/>
          <w:sz w:val="24"/>
        </w:rPr>
        <w:t> </w:t>
      </w:r>
      <w:r>
        <w:rPr>
          <w:sz w:val="24"/>
        </w:rPr>
        <w:t>2009.</w:t>
      </w:r>
    </w:p>
    <w:p>
      <w:pPr>
        <w:pStyle w:val="BodyText"/>
        <w:rPr>
          <w:sz w:val="38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39" w:right="1132" w:hanging="720"/>
        <w:jc w:val="left"/>
        <w:rPr>
          <w:sz w:val="24"/>
        </w:rPr>
      </w:pPr>
      <w:r>
        <w:rPr>
          <w:sz w:val="24"/>
        </w:rPr>
        <w:t>American Society of Testing and Materials, ASTM D3499-11 Standard Test</w:t>
      </w:r>
      <w:r>
        <w:rPr>
          <w:spacing w:val="-58"/>
          <w:sz w:val="24"/>
        </w:rPr>
        <w:t> </w:t>
      </w:r>
      <w:r>
        <w:rPr>
          <w:sz w:val="24"/>
        </w:rPr>
        <w:t>Method</w:t>
      </w:r>
      <w:r>
        <w:rPr>
          <w:spacing w:val="-1"/>
          <w:sz w:val="24"/>
        </w:rPr>
        <w:t> </w:t>
      </w:r>
      <w:r>
        <w:rPr>
          <w:sz w:val="24"/>
        </w:rPr>
        <w:t>for</w:t>
      </w:r>
      <w:r>
        <w:rPr>
          <w:spacing w:val="-1"/>
          <w:sz w:val="24"/>
        </w:rPr>
        <w:t> </w:t>
      </w:r>
      <w:r>
        <w:rPr>
          <w:sz w:val="24"/>
        </w:rPr>
        <w:t>Toughness</w:t>
      </w:r>
      <w:r>
        <w:rPr>
          <w:spacing w:val="-1"/>
          <w:sz w:val="24"/>
        </w:rPr>
        <w:t> </w:t>
      </w:r>
      <w:r>
        <w:rPr>
          <w:sz w:val="24"/>
        </w:rPr>
        <w:t>of Wood-Based</w:t>
      </w:r>
      <w:r>
        <w:rPr>
          <w:spacing w:val="-1"/>
          <w:sz w:val="24"/>
        </w:rPr>
        <w:t> </w:t>
      </w:r>
      <w:r>
        <w:rPr>
          <w:sz w:val="24"/>
        </w:rPr>
        <w:t>Structural Panels, 2011.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39" w:right="991" w:hanging="720"/>
        <w:jc w:val="left"/>
        <w:rPr>
          <w:sz w:val="24"/>
        </w:rPr>
      </w:pPr>
      <w:r>
        <w:rPr>
          <w:sz w:val="24"/>
        </w:rPr>
        <w:t>American Society for Testing and Materials, ASTM D 1037-12 Standard Test</w:t>
      </w:r>
      <w:r>
        <w:rPr>
          <w:spacing w:val="-57"/>
          <w:sz w:val="24"/>
        </w:rPr>
        <w:t> </w:t>
      </w:r>
      <w:r>
        <w:rPr>
          <w:sz w:val="24"/>
        </w:rPr>
        <w:t>Methods for Evaluating Properties of Wood-Base Fiber and Particle Panel</w:t>
      </w:r>
      <w:r>
        <w:rPr>
          <w:spacing w:val="1"/>
          <w:sz w:val="24"/>
        </w:rPr>
        <w:t> </w:t>
      </w:r>
      <w:r>
        <w:rPr>
          <w:sz w:val="24"/>
        </w:rPr>
        <w:t>Materials,</w:t>
      </w:r>
      <w:r>
        <w:rPr>
          <w:spacing w:val="-1"/>
          <w:sz w:val="24"/>
        </w:rPr>
        <w:t> </w:t>
      </w:r>
      <w:r>
        <w:rPr>
          <w:sz w:val="24"/>
        </w:rPr>
        <w:t>2012.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1064" w:top="1380" w:bottom="1260" w:left="440" w:right="880"/>
        </w:sect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78" w:after="0"/>
        <w:ind w:left="2440" w:right="558" w:hanging="720"/>
        <w:jc w:val="left"/>
        <w:rPr>
          <w:sz w:val="24"/>
        </w:rPr>
      </w:pPr>
      <w:r>
        <w:rPr>
          <w:sz w:val="24"/>
        </w:rPr>
        <w:t>American National Standards Institute; APA - The Engineered Wood Association,</w:t>
      </w:r>
      <w:r>
        <w:rPr>
          <w:spacing w:val="-57"/>
          <w:sz w:val="24"/>
        </w:rPr>
        <w:t> </w:t>
      </w:r>
      <w:r>
        <w:rPr>
          <w:sz w:val="24"/>
        </w:rPr>
        <w:t>Standard for Performance-Rated Cross-Laminated Timber ANSI/APA PRG 320-</w:t>
      </w:r>
      <w:r>
        <w:rPr>
          <w:spacing w:val="1"/>
          <w:sz w:val="24"/>
        </w:rPr>
        <w:t> </w:t>
      </w:r>
      <w:r>
        <w:rPr>
          <w:sz w:val="24"/>
        </w:rPr>
        <w:t>2012, 2012.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39" w:right="1678" w:hanging="720"/>
        <w:jc w:val="left"/>
        <w:rPr>
          <w:sz w:val="24"/>
        </w:rPr>
      </w:pPr>
      <w:r>
        <w:rPr>
          <w:sz w:val="24"/>
        </w:rPr>
        <w:t>Underwriters Laboratory, UL 752 Standard for Safety Bullet-Resisting</w:t>
      </w:r>
      <w:r>
        <w:rPr>
          <w:spacing w:val="-57"/>
          <w:sz w:val="24"/>
        </w:rPr>
        <w:t> </w:t>
      </w:r>
      <w:r>
        <w:rPr>
          <w:sz w:val="24"/>
        </w:rPr>
        <w:t>Equipment, 11th Ed., 2013.</w:t>
      </w:r>
    </w:p>
    <w:p>
      <w:pPr>
        <w:pStyle w:val="BodyText"/>
        <w:rPr>
          <w:sz w:val="38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39" w:right="752" w:hanging="720"/>
        <w:jc w:val="left"/>
        <w:rPr>
          <w:sz w:val="24"/>
        </w:rPr>
      </w:pPr>
      <w:r>
        <w:rPr>
          <w:sz w:val="24"/>
        </w:rPr>
        <w:t>U.S. Army Corps of Engineers, Unified Facilities Criteria (UFC) 1-201-02 Non-</w:t>
      </w:r>
      <w:r>
        <w:rPr>
          <w:spacing w:val="-58"/>
          <w:sz w:val="24"/>
        </w:rPr>
        <w:t> </w:t>
      </w:r>
      <w:r>
        <w:rPr>
          <w:sz w:val="24"/>
        </w:rPr>
        <w:t>Permanent</w:t>
      </w:r>
      <w:r>
        <w:rPr>
          <w:spacing w:val="-1"/>
          <w:sz w:val="24"/>
        </w:rPr>
        <w:t> </w:t>
      </w:r>
      <w:r>
        <w:rPr>
          <w:sz w:val="24"/>
        </w:rPr>
        <w:t>DoD</w:t>
      </w:r>
      <w:r>
        <w:rPr>
          <w:spacing w:val="-1"/>
          <w:sz w:val="24"/>
        </w:rPr>
        <w:t> </w:t>
      </w:r>
      <w:r>
        <w:rPr>
          <w:sz w:val="24"/>
        </w:rPr>
        <w:t>Facilities</w:t>
      </w:r>
      <w:r>
        <w:rPr>
          <w:spacing w:val="-1"/>
          <w:sz w:val="24"/>
        </w:rPr>
        <w:t> </w:t>
      </w:r>
      <w:r>
        <w:rPr>
          <w:sz w:val="24"/>
        </w:rPr>
        <w:t>in Support of</w:t>
      </w:r>
      <w:r>
        <w:rPr>
          <w:spacing w:val="-2"/>
          <w:sz w:val="24"/>
        </w:rPr>
        <w:t> </w:t>
      </w:r>
      <w:r>
        <w:rPr>
          <w:sz w:val="24"/>
        </w:rPr>
        <w:t>Military</w:t>
      </w:r>
      <w:r>
        <w:rPr>
          <w:spacing w:val="-2"/>
          <w:sz w:val="24"/>
        </w:rPr>
        <w:t> </w:t>
      </w:r>
      <w:r>
        <w:rPr>
          <w:sz w:val="24"/>
        </w:rPr>
        <w:t>Operations,</w:t>
      </w:r>
      <w:r>
        <w:rPr>
          <w:spacing w:val="-3"/>
          <w:sz w:val="24"/>
        </w:rPr>
        <w:t> </w:t>
      </w:r>
      <w:r>
        <w:rPr>
          <w:sz w:val="24"/>
        </w:rPr>
        <w:t>2013.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39" w:right="779" w:hanging="720"/>
        <w:jc w:val="left"/>
        <w:rPr>
          <w:sz w:val="24"/>
        </w:rPr>
      </w:pPr>
      <w:r>
        <w:rPr>
          <w:sz w:val="24"/>
        </w:rPr>
        <w:t>U.S. Army Corps of Engineers, Unified Facilities Criteria (UFC) 4-010-01 DoD</w:t>
      </w:r>
      <w:r>
        <w:rPr>
          <w:spacing w:val="-58"/>
          <w:sz w:val="24"/>
        </w:rPr>
        <w:t> </w:t>
      </w:r>
      <w:r>
        <w:rPr>
          <w:sz w:val="24"/>
        </w:rPr>
        <w:t>Minimum</w:t>
      </w:r>
      <w:r>
        <w:rPr>
          <w:spacing w:val="-3"/>
          <w:sz w:val="24"/>
        </w:rPr>
        <w:t> </w:t>
      </w:r>
      <w:r>
        <w:rPr>
          <w:sz w:val="24"/>
        </w:rPr>
        <w:t>Antiterrorism</w:t>
      </w:r>
      <w:r>
        <w:rPr>
          <w:spacing w:val="-3"/>
          <w:sz w:val="24"/>
        </w:rPr>
        <w:t> </w:t>
      </w:r>
      <w:r>
        <w:rPr>
          <w:sz w:val="24"/>
        </w:rPr>
        <w:t>Standards for</w:t>
      </w:r>
      <w:r>
        <w:rPr>
          <w:spacing w:val="-1"/>
          <w:sz w:val="24"/>
        </w:rPr>
        <w:t> </w:t>
      </w:r>
      <w:r>
        <w:rPr>
          <w:sz w:val="24"/>
        </w:rPr>
        <w:t>Buildings</w:t>
      </w:r>
      <w:r>
        <w:rPr>
          <w:spacing w:val="-1"/>
          <w:sz w:val="24"/>
        </w:rPr>
        <w:t> </w:t>
      </w:r>
      <w:r>
        <w:rPr>
          <w:sz w:val="24"/>
        </w:rPr>
        <w:t>with</w:t>
      </w:r>
      <w:r>
        <w:rPr>
          <w:spacing w:val="-1"/>
          <w:sz w:val="24"/>
        </w:rPr>
        <w:t> </w:t>
      </w:r>
      <w:r>
        <w:rPr>
          <w:sz w:val="24"/>
        </w:rPr>
        <w:t>Change</w:t>
      </w:r>
      <w:r>
        <w:rPr>
          <w:spacing w:val="-1"/>
          <w:sz w:val="24"/>
        </w:rPr>
        <w:t> </w:t>
      </w:r>
      <w:r>
        <w:rPr>
          <w:sz w:val="24"/>
        </w:rPr>
        <w:t>1,</w:t>
      </w:r>
      <w:r>
        <w:rPr>
          <w:spacing w:val="-1"/>
          <w:sz w:val="24"/>
        </w:rPr>
        <w:t> </w:t>
      </w:r>
      <w:r>
        <w:rPr>
          <w:sz w:val="24"/>
        </w:rPr>
        <w:t>2013.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0" w:hanging="721"/>
        <w:jc w:val="left"/>
        <w:rPr>
          <w:sz w:val="24"/>
        </w:rPr>
      </w:pPr>
      <w:r>
        <w:rPr>
          <w:sz w:val="24"/>
        </w:rPr>
        <w:t>International</w:t>
      </w:r>
      <w:r>
        <w:rPr>
          <w:spacing w:val="-3"/>
          <w:sz w:val="24"/>
        </w:rPr>
        <w:t> </w:t>
      </w:r>
      <w:r>
        <w:rPr>
          <w:sz w:val="24"/>
        </w:rPr>
        <w:t>Code</w:t>
      </w:r>
      <w:r>
        <w:rPr>
          <w:spacing w:val="-1"/>
          <w:sz w:val="24"/>
        </w:rPr>
        <w:t> </w:t>
      </w:r>
      <w:r>
        <w:rPr>
          <w:sz w:val="24"/>
        </w:rPr>
        <w:t>Council,</w:t>
      </w:r>
      <w:r>
        <w:rPr>
          <w:spacing w:val="-2"/>
          <w:sz w:val="24"/>
        </w:rPr>
        <w:t> </w:t>
      </w:r>
      <w:r>
        <w:rPr>
          <w:sz w:val="24"/>
        </w:rPr>
        <w:t>2015</w:t>
      </w:r>
      <w:r>
        <w:rPr>
          <w:spacing w:val="-3"/>
          <w:sz w:val="24"/>
        </w:rPr>
        <w:t> </w:t>
      </w:r>
      <w:r>
        <w:rPr>
          <w:sz w:val="24"/>
        </w:rPr>
        <w:t>International</w:t>
      </w:r>
      <w:r>
        <w:rPr>
          <w:spacing w:val="-1"/>
          <w:sz w:val="24"/>
        </w:rPr>
        <w:t> </w:t>
      </w:r>
      <w:r>
        <w:rPr>
          <w:sz w:val="24"/>
        </w:rPr>
        <w:t>Building</w:t>
      </w:r>
      <w:r>
        <w:rPr>
          <w:spacing w:val="-1"/>
          <w:sz w:val="24"/>
        </w:rPr>
        <w:t> </w:t>
      </w:r>
      <w:r>
        <w:rPr>
          <w:sz w:val="24"/>
        </w:rPr>
        <w:t>Code,</w:t>
      </w:r>
      <w:r>
        <w:rPr>
          <w:spacing w:val="-2"/>
          <w:sz w:val="24"/>
        </w:rPr>
        <w:t> </w:t>
      </w:r>
      <w:r>
        <w:rPr>
          <w:sz w:val="24"/>
        </w:rPr>
        <w:t>2014.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39" w:right="1306" w:hanging="720"/>
        <w:jc w:val="left"/>
        <w:rPr>
          <w:sz w:val="24"/>
        </w:rPr>
      </w:pPr>
      <w:r>
        <w:rPr>
          <w:sz w:val="24"/>
        </w:rPr>
        <w:t>U.S.</w:t>
      </w:r>
      <w:r>
        <w:rPr>
          <w:spacing w:val="-3"/>
          <w:sz w:val="24"/>
        </w:rPr>
        <w:t> </w:t>
      </w:r>
      <w:r>
        <w:rPr>
          <w:sz w:val="24"/>
        </w:rPr>
        <w:t>Army</w:t>
      </w:r>
      <w:r>
        <w:rPr>
          <w:spacing w:val="-1"/>
          <w:sz w:val="24"/>
        </w:rPr>
        <w:t> </w:t>
      </w:r>
      <w:r>
        <w:rPr>
          <w:sz w:val="24"/>
        </w:rPr>
        <w:t>Corps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4"/>
          <w:sz w:val="24"/>
        </w:rPr>
        <w:t> </w:t>
      </w:r>
      <w:r>
        <w:rPr>
          <w:sz w:val="24"/>
        </w:rPr>
        <w:t>Engineers,</w:t>
      </w:r>
      <w:r>
        <w:rPr>
          <w:spacing w:val="-2"/>
          <w:sz w:val="24"/>
        </w:rPr>
        <w:t> </w:t>
      </w:r>
      <w:r>
        <w:rPr>
          <w:sz w:val="24"/>
        </w:rPr>
        <w:t>Unified</w:t>
      </w:r>
      <w:r>
        <w:rPr>
          <w:spacing w:val="-2"/>
          <w:sz w:val="24"/>
        </w:rPr>
        <w:t> </w:t>
      </w:r>
      <w:r>
        <w:rPr>
          <w:sz w:val="24"/>
        </w:rPr>
        <w:t>Facilities</w:t>
      </w:r>
      <w:r>
        <w:rPr>
          <w:spacing w:val="-2"/>
          <w:sz w:val="24"/>
        </w:rPr>
        <w:t> </w:t>
      </w:r>
      <w:r>
        <w:rPr>
          <w:sz w:val="24"/>
        </w:rPr>
        <w:t>Criteria</w:t>
      </w:r>
      <w:r>
        <w:rPr>
          <w:spacing w:val="-4"/>
          <w:sz w:val="24"/>
        </w:rPr>
        <w:t> </w:t>
      </w:r>
      <w:r>
        <w:rPr>
          <w:sz w:val="24"/>
        </w:rPr>
        <w:t>(UFC)</w:t>
      </w:r>
      <w:r>
        <w:rPr>
          <w:spacing w:val="-2"/>
          <w:sz w:val="24"/>
        </w:rPr>
        <w:t> </w:t>
      </w:r>
      <w:r>
        <w:rPr>
          <w:sz w:val="24"/>
        </w:rPr>
        <w:t>3-340-02</w:t>
      </w:r>
      <w:r>
        <w:rPr>
          <w:spacing w:val="-57"/>
          <w:sz w:val="24"/>
        </w:rPr>
        <w:t> </w:t>
      </w:r>
      <w:r>
        <w:rPr>
          <w:sz w:val="24"/>
        </w:rPr>
        <w:t>Structures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3"/>
          <w:sz w:val="24"/>
        </w:rPr>
        <w:t> </w:t>
      </w:r>
      <w:r>
        <w:rPr>
          <w:sz w:val="24"/>
        </w:rPr>
        <w:t>Resist the</w:t>
      </w:r>
      <w:r>
        <w:rPr>
          <w:spacing w:val="-1"/>
          <w:sz w:val="24"/>
        </w:rPr>
        <w:t> </w:t>
      </w:r>
      <w:r>
        <w:rPr>
          <w:sz w:val="24"/>
        </w:rPr>
        <w:t>Effects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Accidental</w:t>
      </w:r>
      <w:r>
        <w:rPr>
          <w:spacing w:val="-1"/>
          <w:sz w:val="24"/>
        </w:rPr>
        <w:t> </w:t>
      </w:r>
      <w:r>
        <w:rPr>
          <w:sz w:val="24"/>
        </w:rPr>
        <w:t>Explosions, 2014.</w:t>
      </w:r>
    </w:p>
    <w:p>
      <w:pPr>
        <w:pStyle w:val="BodyText"/>
        <w:rPr>
          <w:sz w:val="38"/>
        </w:rPr>
      </w:pPr>
    </w:p>
    <w:p>
      <w:pPr>
        <w:pStyle w:val="ListParagraph"/>
        <w:numPr>
          <w:ilvl w:val="0"/>
          <w:numId w:val="30"/>
        </w:numPr>
        <w:tabs>
          <w:tab w:pos="2440" w:val="left" w:leader="none"/>
        </w:tabs>
        <w:spacing w:line="240" w:lineRule="auto" w:before="0" w:after="0"/>
        <w:ind w:left="2439" w:right="1013" w:hanging="720"/>
        <w:jc w:val="both"/>
        <w:rPr>
          <w:sz w:val="24"/>
        </w:rPr>
      </w:pPr>
      <w:r>
        <w:rPr>
          <w:sz w:val="24"/>
        </w:rPr>
        <w:t>American Society for Testing and Materials, ASTM D905 - 08 Standard Test</w:t>
      </w:r>
      <w:r>
        <w:rPr>
          <w:spacing w:val="-57"/>
          <w:sz w:val="24"/>
        </w:rPr>
        <w:t> </w:t>
      </w:r>
      <w:r>
        <w:rPr>
          <w:sz w:val="24"/>
        </w:rPr>
        <w:t>Method for Determining Strength of Gap-Filling Adhesive Bonds in Shear by</w:t>
      </w:r>
      <w:r>
        <w:rPr>
          <w:spacing w:val="-58"/>
          <w:sz w:val="24"/>
        </w:rPr>
        <w:t> </w:t>
      </w:r>
      <w:r>
        <w:rPr>
          <w:sz w:val="24"/>
        </w:rPr>
        <w:t>Compression</w:t>
      </w:r>
      <w:r>
        <w:rPr>
          <w:spacing w:val="-1"/>
          <w:sz w:val="24"/>
        </w:rPr>
        <w:t> </w:t>
      </w:r>
      <w:r>
        <w:rPr>
          <w:sz w:val="24"/>
        </w:rPr>
        <w:t>Loading, 2015.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39" w:right="704" w:hanging="720"/>
        <w:jc w:val="left"/>
        <w:rPr>
          <w:sz w:val="24"/>
        </w:rPr>
      </w:pPr>
      <w:r>
        <w:rPr>
          <w:sz w:val="24"/>
        </w:rPr>
        <w:t>American Wood Council, National Design Specification for Wood Construction,</w:t>
      </w:r>
      <w:r>
        <w:rPr>
          <w:spacing w:val="-57"/>
          <w:sz w:val="24"/>
        </w:rPr>
        <w:t> </w:t>
      </w:r>
      <w:r>
        <w:rPr>
          <w:sz w:val="24"/>
        </w:rPr>
        <w:t>2015.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1" w:after="0"/>
        <w:ind w:left="2440" w:right="0" w:hanging="721"/>
        <w:jc w:val="left"/>
        <w:rPr>
          <w:sz w:val="24"/>
        </w:rPr>
      </w:pPr>
      <w:r>
        <w:rPr>
          <w:sz w:val="24"/>
        </w:rPr>
        <w:t>Ahrens,</w:t>
      </w:r>
      <w:r>
        <w:rPr>
          <w:spacing w:val="-2"/>
          <w:sz w:val="24"/>
        </w:rPr>
        <w:t> </w:t>
      </w:r>
      <w:r>
        <w:rPr>
          <w:sz w:val="24"/>
        </w:rPr>
        <w:t>T.J.,</w:t>
      </w:r>
      <w:r>
        <w:rPr>
          <w:spacing w:val="-1"/>
          <w:sz w:val="24"/>
        </w:rPr>
        <w:t> </w:t>
      </w:r>
      <w:r>
        <w:rPr>
          <w:sz w:val="24"/>
        </w:rPr>
        <w:t>"Equation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State,"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2"/>
          <w:sz w:val="24"/>
        </w:rPr>
        <w:t> </w:t>
      </w:r>
      <w:r>
        <w:rPr>
          <w:i/>
          <w:sz w:val="24"/>
        </w:rPr>
        <w:t>High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Pressure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Shock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Compression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Solids</w:t>
      </w:r>
      <w:r>
        <w:rPr>
          <w:sz w:val="24"/>
        </w:rPr>
        <w:t>,</w:t>
      </w:r>
    </w:p>
    <w:p>
      <w:pPr>
        <w:pStyle w:val="BodyText"/>
        <w:ind w:left="2439" w:right="926"/>
      </w:pPr>
      <w:r>
        <w:rPr/>
        <w:t>J. R. Asay and M. Shahinpoor, Eds., ed New York: Springer-Verlag, 1993, pp.</w:t>
      </w:r>
      <w:r>
        <w:rPr>
          <w:spacing w:val="-58"/>
        </w:rPr>
        <w:t> </w:t>
      </w:r>
      <w:r>
        <w:rPr/>
        <w:t>75-1114.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39" w:right="575" w:hanging="720"/>
        <w:jc w:val="left"/>
        <w:rPr>
          <w:sz w:val="24"/>
        </w:rPr>
      </w:pPr>
      <w:r>
        <w:rPr>
          <w:sz w:val="24"/>
        </w:rPr>
        <w:t>Aicher,</w:t>
      </w:r>
      <w:r>
        <w:rPr>
          <w:spacing w:val="-2"/>
          <w:sz w:val="24"/>
        </w:rPr>
        <w:t> </w:t>
      </w:r>
      <w:r>
        <w:rPr>
          <w:sz w:val="24"/>
        </w:rPr>
        <w:t>S.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G.</w:t>
      </w:r>
      <w:r>
        <w:rPr>
          <w:spacing w:val="-2"/>
          <w:sz w:val="24"/>
        </w:rPr>
        <w:t> </w:t>
      </w:r>
      <w:r>
        <w:rPr>
          <w:sz w:val="24"/>
        </w:rPr>
        <w:t>Dill-Langer,</w:t>
      </w:r>
      <w:r>
        <w:rPr>
          <w:spacing w:val="-2"/>
          <w:sz w:val="24"/>
        </w:rPr>
        <w:t> </w:t>
      </w:r>
      <w:r>
        <w:rPr>
          <w:sz w:val="24"/>
        </w:rPr>
        <w:t>"Basic</w:t>
      </w:r>
      <w:r>
        <w:rPr>
          <w:spacing w:val="-1"/>
          <w:sz w:val="24"/>
        </w:rPr>
        <w:t> </w:t>
      </w:r>
      <w:r>
        <w:rPr>
          <w:sz w:val="24"/>
        </w:rPr>
        <w:t>Considerations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2"/>
          <w:sz w:val="24"/>
        </w:rPr>
        <w:t> </w:t>
      </w:r>
      <w:r>
        <w:rPr>
          <w:sz w:val="24"/>
        </w:rPr>
        <w:t>Rolling</w:t>
      </w:r>
      <w:r>
        <w:rPr>
          <w:spacing w:val="-1"/>
          <w:sz w:val="24"/>
        </w:rPr>
        <w:t> </w:t>
      </w:r>
      <w:r>
        <w:rPr>
          <w:sz w:val="24"/>
        </w:rPr>
        <w:t>Shear</w:t>
      </w:r>
      <w:r>
        <w:rPr>
          <w:spacing w:val="-2"/>
          <w:sz w:val="24"/>
        </w:rPr>
        <w:t> </w:t>
      </w:r>
      <w:r>
        <w:rPr>
          <w:sz w:val="24"/>
        </w:rPr>
        <w:t>Modulus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57"/>
          <w:sz w:val="24"/>
        </w:rPr>
        <w:t> </w:t>
      </w:r>
      <w:r>
        <w:rPr>
          <w:sz w:val="24"/>
        </w:rPr>
        <w:t>Wooden Boards," </w:t>
      </w:r>
      <w:r>
        <w:rPr>
          <w:i/>
          <w:sz w:val="24"/>
        </w:rPr>
        <w:t>Annual Journal on Research and Testing of Materials, </w:t>
      </w:r>
      <w:r>
        <w:rPr>
          <w:sz w:val="24"/>
        </w:rPr>
        <w:t>vol. 11,</w:t>
      </w:r>
      <w:r>
        <w:rPr>
          <w:spacing w:val="1"/>
          <w:sz w:val="24"/>
        </w:rPr>
        <w:t> </w:t>
      </w:r>
      <w:r>
        <w:rPr>
          <w:sz w:val="24"/>
        </w:rPr>
        <w:t>pp. 157-165, 2000.</w:t>
      </w:r>
    </w:p>
    <w:p>
      <w:pPr>
        <w:pStyle w:val="BodyText"/>
        <w:spacing w:before="11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40" w:val="left" w:leader="none"/>
        </w:tabs>
        <w:spacing w:line="240" w:lineRule="auto" w:before="0" w:after="0"/>
        <w:ind w:left="2439" w:right="893" w:hanging="720"/>
        <w:jc w:val="both"/>
        <w:rPr>
          <w:sz w:val="24"/>
        </w:rPr>
      </w:pPr>
      <w:r>
        <w:rPr>
          <w:sz w:val="24"/>
        </w:rPr>
        <w:t>Aicher, S., M. Hirsch, and Z. Christian, "Hybrid cross-laminated timber plates</w:t>
      </w:r>
      <w:r>
        <w:rPr>
          <w:spacing w:val="1"/>
          <w:sz w:val="24"/>
        </w:rPr>
        <w:t> </w:t>
      </w:r>
      <w:r>
        <w:rPr>
          <w:sz w:val="24"/>
        </w:rPr>
        <w:t>with beech wood cross-layers," </w:t>
      </w:r>
      <w:r>
        <w:rPr>
          <w:i/>
          <w:sz w:val="24"/>
        </w:rPr>
        <w:t>Construction and Building Materials, </w:t>
      </w:r>
      <w:r>
        <w:rPr>
          <w:sz w:val="24"/>
        </w:rPr>
        <w:t>vol. 124,</w:t>
      </w:r>
      <w:r>
        <w:rPr>
          <w:spacing w:val="-57"/>
          <w:sz w:val="24"/>
        </w:rPr>
        <w:t> </w:t>
      </w:r>
      <w:r>
        <w:rPr>
          <w:sz w:val="24"/>
        </w:rPr>
        <w:t>pp. 1007-1018, 2016.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0" w:hanging="721"/>
        <w:jc w:val="left"/>
        <w:rPr>
          <w:sz w:val="24"/>
        </w:rPr>
      </w:pPr>
      <w:r>
        <w:rPr>
          <w:sz w:val="24"/>
        </w:rPr>
        <w:t>Allen,</w:t>
      </w:r>
      <w:r>
        <w:rPr>
          <w:spacing w:val="-2"/>
          <w:sz w:val="24"/>
        </w:rPr>
        <w:t> </w:t>
      </w:r>
      <w:r>
        <w:rPr>
          <w:sz w:val="24"/>
        </w:rPr>
        <w:t>W.A. and</w:t>
      </w:r>
      <w:r>
        <w:rPr>
          <w:spacing w:val="-2"/>
          <w:sz w:val="24"/>
        </w:rPr>
        <w:t> </w:t>
      </w:r>
      <w:r>
        <w:rPr>
          <w:sz w:val="24"/>
        </w:rPr>
        <w:t>J.W. Rogers,</w:t>
      </w:r>
      <w:r>
        <w:rPr>
          <w:spacing w:val="-2"/>
          <w:sz w:val="24"/>
        </w:rPr>
        <w:t> </w:t>
      </w:r>
      <w:r>
        <w:rPr>
          <w:sz w:val="24"/>
        </w:rPr>
        <w:t>"Penetration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Rod</w:t>
      </w:r>
      <w:r>
        <w:rPr>
          <w:spacing w:val="-2"/>
          <w:sz w:val="24"/>
        </w:rPr>
        <w:t> </w:t>
      </w:r>
      <w:r>
        <w:rPr>
          <w:sz w:val="24"/>
        </w:rPr>
        <w:t>into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Semi-Infinite</w:t>
      </w:r>
      <w:r>
        <w:rPr>
          <w:spacing w:val="-3"/>
          <w:sz w:val="24"/>
        </w:rPr>
        <w:t> </w:t>
      </w:r>
      <w:r>
        <w:rPr>
          <w:sz w:val="24"/>
        </w:rPr>
        <w:t>Target,"</w:t>
      </w:r>
    </w:p>
    <w:p>
      <w:pPr>
        <w:spacing w:before="0"/>
        <w:ind w:left="679" w:right="778" w:firstLine="0"/>
        <w:jc w:val="center"/>
        <w:rPr>
          <w:sz w:val="24"/>
        </w:rPr>
      </w:pPr>
      <w:r>
        <w:rPr>
          <w:i/>
          <w:sz w:val="24"/>
        </w:rPr>
        <w:t>Journal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Franklin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Institute,</w:t>
      </w:r>
      <w:r>
        <w:rPr>
          <w:i/>
          <w:spacing w:val="-1"/>
          <w:sz w:val="24"/>
        </w:rPr>
        <w:t> </w:t>
      </w:r>
      <w:r>
        <w:rPr>
          <w:sz w:val="24"/>
        </w:rPr>
        <w:t>vol. 272,</w:t>
      </w:r>
      <w:r>
        <w:rPr>
          <w:spacing w:val="-1"/>
          <w:sz w:val="24"/>
        </w:rPr>
        <w:t> </w:t>
      </w:r>
      <w:r>
        <w:rPr>
          <w:sz w:val="24"/>
        </w:rPr>
        <w:t>pp. 275-284,</w:t>
      </w:r>
      <w:r>
        <w:rPr>
          <w:spacing w:val="-1"/>
          <w:sz w:val="24"/>
        </w:rPr>
        <w:t> </w:t>
      </w:r>
      <w:r>
        <w:rPr>
          <w:sz w:val="24"/>
        </w:rPr>
        <w:t>1961.</w:t>
      </w:r>
    </w:p>
    <w:p>
      <w:pPr>
        <w:spacing w:after="0"/>
        <w:jc w:val="center"/>
        <w:rPr>
          <w:sz w:val="24"/>
        </w:rPr>
        <w:sectPr>
          <w:pgSz w:w="12240" w:h="15840"/>
          <w:pgMar w:header="0" w:footer="1064" w:top="1360" w:bottom="1260" w:left="440" w:right="880"/>
        </w:sect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78" w:after="0"/>
        <w:ind w:left="2440" w:right="686" w:hanging="720"/>
        <w:jc w:val="left"/>
        <w:rPr>
          <w:sz w:val="24"/>
        </w:rPr>
      </w:pPr>
      <w:r>
        <w:rPr>
          <w:sz w:val="24"/>
        </w:rPr>
        <w:t>Andrews, C. (2012, September 17, 2012) Wood in warfare. </w:t>
      </w:r>
      <w:r>
        <w:rPr>
          <w:i/>
          <w:sz w:val="24"/>
        </w:rPr>
        <w:t>Engineering &amp;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Technology</w:t>
      </w:r>
      <w:r>
        <w:rPr>
          <w:sz w:val="24"/>
        </w:rPr>
        <w:t>. Available: https://eandt.theiet.org/content/articles/2012/09/wood-in-</w:t>
      </w:r>
      <w:r>
        <w:rPr>
          <w:spacing w:val="-58"/>
          <w:sz w:val="24"/>
        </w:rPr>
        <w:t> </w:t>
      </w:r>
      <w:r>
        <w:rPr>
          <w:sz w:val="24"/>
        </w:rPr>
        <w:t>warfare/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39" w:right="625" w:hanging="720"/>
        <w:jc w:val="left"/>
        <w:rPr>
          <w:sz w:val="24"/>
        </w:rPr>
      </w:pPr>
      <w:r>
        <w:rPr>
          <w:sz w:val="24"/>
        </w:rPr>
        <w:t>Asay, J.R. and M. Shahinpoor, </w:t>
      </w:r>
      <w:r>
        <w:rPr>
          <w:i/>
          <w:sz w:val="24"/>
        </w:rPr>
        <w:t>High-Pressure Shock Compression of Solids</w:t>
      </w:r>
      <w:r>
        <w:rPr>
          <w:sz w:val="24"/>
        </w:rPr>
        <w:t>. New</w:t>
      </w:r>
      <w:r>
        <w:rPr>
          <w:spacing w:val="-58"/>
          <w:sz w:val="24"/>
        </w:rPr>
        <w:t> </w:t>
      </w:r>
      <w:r>
        <w:rPr>
          <w:sz w:val="24"/>
        </w:rPr>
        <w:t>York:</w:t>
      </w:r>
      <w:r>
        <w:rPr>
          <w:spacing w:val="-1"/>
          <w:sz w:val="24"/>
        </w:rPr>
        <w:t> </w:t>
      </w:r>
      <w:r>
        <w:rPr>
          <w:sz w:val="24"/>
        </w:rPr>
        <w:t>Springer-Verlag,</w:t>
      </w:r>
      <w:r>
        <w:rPr>
          <w:spacing w:val="-2"/>
          <w:sz w:val="24"/>
        </w:rPr>
        <w:t> </w:t>
      </w:r>
      <w:r>
        <w:rPr>
          <w:sz w:val="24"/>
        </w:rPr>
        <w:t>1993.</w:t>
      </w:r>
    </w:p>
    <w:p>
      <w:pPr>
        <w:pStyle w:val="BodyText"/>
        <w:rPr>
          <w:sz w:val="38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39" w:right="734" w:hanging="720"/>
        <w:jc w:val="left"/>
        <w:rPr>
          <w:sz w:val="24"/>
        </w:rPr>
      </w:pPr>
      <w:r>
        <w:rPr>
          <w:sz w:val="24"/>
        </w:rPr>
        <w:t>Awad, H., M. Gül, H. Zaman, H. Yu, and M. Al-Hussein, "Evaluation of the</w:t>
      </w:r>
      <w:r>
        <w:rPr>
          <w:spacing w:val="1"/>
          <w:sz w:val="24"/>
        </w:rPr>
        <w:t> </w:t>
      </w:r>
      <w:r>
        <w:rPr>
          <w:sz w:val="24"/>
        </w:rPr>
        <w:t>thermal and structural performance of potential energy efficient wall systems for</w:t>
      </w:r>
      <w:r>
        <w:rPr>
          <w:spacing w:val="-57"/>
          <w:sz w:val="24"/>
        </w:rPr>
        <w:t> </w:t>
      </w:r>
      <w:r>
        <w:rPr>
          <w:sz w:val="24"/>
        </w:rPr>
        <w:t>mid-rise wood-frame buildings," </w:t>
      </w:r>
      <w:r>
        <w:rPr>
          <w:i/>
          <w:sz w:val="24"/>
        </w:rPr>
        <w:t>Energy and Buildings, </w:t>
      </w:r>
      <w:r>
        <w:rPr>
          <w:sz w:val="24"/>
        </w:rPr>
        <w:t>vol. 82, pp. 416-427,</w:t>
      </w:r>
      <w:r>
        <w:rPr>
          <w:spacing w:val="1"/>
          <w:sz w:val="24"/>
        </w:rPr>
        <w:t> </w:t>
      </w:r>
      <w:r>
        <w:rPr>
          <w:sz w:val="24"/>
        </w:rPr>
        <w:t>2014.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40" w:val="left" w:leader="none"/>
        </w:tabs>
        <w:spacing w:line="240" w:lineRule="auto" w:before="0" w:after="0"/>
        <w:ind w:left="2440" w:right="916" w:hanging="720"/>
        <w:jc w:val="both"/>
        <w:rPr>
          <w:sz w:val="24"/>
        </w:rPr>
      </w:pPr>
      <w:r>
        <w:rPr>
          <w:sz w:val="24"/>
        </w:rPr>
        <w:t>Backman, M. and W. Goldsmith, "The Mechanics of Penetration of Projectiles</w:t>
      </w:r>
      <w:r>
        <w:rPr>
          <w:spacing w:val="-58"/>
          <w:sz w:val="24"/>
        </w:rPr>
        <w:t> </w:t>
      </w:r>
      <w:r>
        <w:rPr>
          <w:sz w:val="24"/>
        </w:rPr>
        <w:t>into Targets," </w:t>
      </w:r>
      <w:r>
        <w:rPr>
          <w:i/>
          <w:sz w:val="24"/>
        </w:rPr>
        <w:t>International Journal of Engineering Science, </w:t>
      </w:r>
      <w:r>
        <w:rPr>
          <w:sz w:val="24"/>
        </w:rPr>
        <w:t>vol. 16, pp. 1-99,</w:t>
      </w:r>
      <w:r>
        <w:rPr>
          <w:spacing w:val="1"/>
          <w:sz w:val="24"/>
        </w:rPr>
        <w:t> </w:t>
      </w:r>
      <w:r>
        <w:rPr>
          <w:sz w:val="24"/>
        </w:rPr>
        <w:t>1978.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1161" w:hanging="720"/>
        <w:jc w:val="left"/>
        <w:rPr>
          <w:sz w:val="24"/>
        </w:rPr>
      </w:pPr>
      <w:r>
        <w:rPr>
          <w:sz w:val="24"/>
        </w:rPr>
        <w:t>Bartlett, F.M. and J.G. MacGregor, "Statistical Analysis of the Compressive</w:t>
      </w:r>
      <w:r>
        <w:rPr>
          <w:spacing w:val="-58"/>
          <w:sz w:val="24"/>
        </w:rPr>
        <w:t> </w:t>
      </w:r>
      <w:r>
        <w:rPr>
          <w:sz w:val="24"/>
        </w:rPr>
        <w:t>Strength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Concrete</w:t>
      </w:r>
      <w:r>
        <w:rPr>
          <w:spacing w:val="-2"/>
          <w:sz w:val="24"/>
        </w:rPr>
        <w:t> </w:t>
      </w:r>
      <w:r>
        <w:rPr>
          <w:sz w:val="24"/>
        </w:rPr>
        <w:t>in</w:t>
      </w:r>
      <w:r>
        <w:rPr>
          <w:spacing w:val="-2"/>
          <w:sz w:val="24"/>
        </w:rPr>
        <w:t> </w:t>
      </w:r>
      <w:r>
        <w:rPr>
          <w:sz w:val="24"/>
        </w:rPr>
        <w:t>Structures,"</w:t>
      </w:r>
      <w:r>
        <w:rPr>
          <w:spacing w:val="-2"/>
          <w:sz w:val="24"/>
        </w:rPr>
        <w:t> </w:t>
      </w:r>
      <w:r>
        <w:rPr>
          <w:i/>
          <w:sz w:val="24"/>
        </w:rPr>
        <w:t>ACI Materials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Journal, </w:t>
      </w:r>
      <w:r>
        <w:rPr>
          <w:sz w:val="24"/>
        </w:rPr>
        <w:t>1996.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40" w:val="left" w:leader="none"/>
        </w:tabs>
        <w:spacing w:line="240" w:lineRule="auto" w:before="0" w:after="0"/>
        <w:ind w:left="2440" w:right="884" w:hanging="720"/>
        <w:jc w:val="both"/>
        <w:rPr>
          <w:sz w:val="24"/>
        </w:rPr>
      </w:pPr>
      <w:r>
        <w:rPr>
          <w:sz w:val="24"/>
        </w:rPr>
        <w:t>Biggs, J.M. and J.M. Biggs, </w:t>
      </w:r>
      <w:r>
        <w:rPr>
          <w:i/>
          <w:sz w:val="24"/>
        </w:rPr>
        <w:t>Introduction to structural dynamics</w:t>
      </w:r>
      <w:r>
        <w:rPr>
          <w:sz w:val="24"/>
        </w:rPr>
        <w:t>: McGraw-Hill</w:t>
      </w:r>
      <w:r>
        <w:rPr>
          <w:spacing w:val="-58"/>
          <w:sz w:val="24"/>
        </w:rPr>
        <w:t> </w:t>
      </w:r>
      <w:r>
        <w:rPr>
          <w:sz w:val="24"/>
        </w:rPr>
        <w:t>College,</w:t>
      </w:r>
      <w:r>
        <w:rPr>
          <w:spacing w:val="-1"/>
          <w:sz w:val="24"/>
        </w:rPr>
        <w:t> </w:t>
      </w:r>
      <w:r>
        <w:rPr>
          <w:sz w:val="24"/>
        </w:rPr>
        <w:t>1964.</w:t>
      </w:r>
    </w:p>
    <w:p>
      <w:pPr>
        <w:pStyle w:val="BodyText"/>
        <w:rPr>
          <w:sz w:val="38"/>
        </w:rPr>
      </w:pPr>
    </w:p>
    <w:p>
      <w:pPr>
        <w:pStyle w:val="ListParagraph"/>
        <w:numPr>
          <w:ilvl w:val="0"/>
          <w:numId w:val="30"/>
        </w:numPr>
        <w:tabs>
          <w:tab w:pos="2440" w:val="left" w:leader="none"/>
        </w:tabs>
        <w:spacing w:line="240" w:lineRule="auto" w:before="0" w:after="0"/>
        <w:ind w:left="2440" w:right="928" w:hanging="720"/>
        <w:jc w:val="both"/>
        <w:rPr>
          <w:sz w:val="24"/>
        </w:rPr>
      </w:pPr>
      <w:r>
        <w:rPr>
          <w:sz w:val="24"/>
        </w:rPr>
        <w:t>Birkhoff, G., D.P. MacDougall, E.M. Pugh, and S.G. Taylor, "Explosives with</w:t>
      </w:r>
      <w:r>
        <w:rPr>
          <w:spacing w:val="-58"/>
          <w:sz w:val="24"/>
        </w:rPr>
        <w:t> </w:t>
      </w:r>
      <w:r>
        <w:rPr>
          <w:sz w:val="24"/>
        </w:rPr>
        <w:t>Lined</w:t>
      </w:r>
      <w:r>
        <w:rPr>
          <w:spacing w:val="-1"/>
          <w:sz w:val="24"/>
        </w:rPr>
        <w:t> </w:t>
      </w:r>
      <w:r>
        <w:rPr>
          <w:sz w:val="24"/>
        </w:rPr>
        <w:t>Cavities,"</w:t>
      </w:r>
      <w:r>
        <w:rPr>
          <w:spacing w:val="-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Applied Physics,</w:t>
      </w:r>
      <w:r>
        <w:rPr>
          <w:i/>
          <w:spacing w:val="-1"/>
          <w:sz w:val="24"/>
        </w:rPr>
        <w:t> </w:t>
      </w:r>
      <w:r>
        <w:rPr>
          <w:sz w:val="24"/>
        </w:rPr>
        <w:t>vol.</w:t>
      </w:r>
      <w:r>
        <w:rPr>
          <w:spacing w:val="-2"/>
          <w:sz w:val="24"/>
        </w:rPr>
        <w:t> </w:t>
      </w:r>
      <w:r>
        <w:rPr>
          <w:sz w:val="24"/>
        </w:rPr>
        <w:t>19,</w:t>
      </w:r>
      <w:r>
        <w:rPr>
          <w:spacing w:val="-1"/>
          <w:sz w:val="24"/>
        </w:rPr>
        <w:t> </w:t>
      </w:r>
      <w:r>
        <w:rPr>
          <w:sz w:val="24"/>
        </w:rPr>
        <w:t>pp. 563-582,</w:t>
      </w:r>
      <w:r>
        <w:rPr>
          <w:spacing w:val="-1"/>
          <w:sz w:val="24"/>
        </w:rPr>
        <w:t> </w:t>
      </w:r>
      <w:r>
        <w:rPr>
          <w:sz w:val="24"/>
        </w:rPr>
        <w:t>1948.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660" w:hanging="720"/>
        <w:jc w:val="left"/>
        <w:rPr>
          <w:sz w:val="24"/>
        </w:rPr>
      </w:pPr>
      <w:r>
        <w:rPr>
          <w:sz w:val="24"/>
        </w:rPr>
        <w:t>Bodig,</w:t>
      </w:r>
      <w:r>
        <w:rPr>
          <w:spacing w:val="-2"/>
          <w:sz w:val="24"/>
        </w:rPr>
        <w:t> </w:t>
      </w:r>
      <w:r>
        <w:rPr>
          <w:sz w:val="24"/>
        </w:rPr>
        <w:t>J.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B.A.</w:t>
      </w:r>
      <w:r>
        <w:rPr>
          <w:spacing w:val="-1"/>
          <w:sz w:val="24"/>
        </w:rPr>
        <w:t> </w:t>
      </w:r>
      <w:r>
        <w:rPr>
          <w:sz w:val="24"/>
        </w:rPr>
        <w:t>Jayne,</w:t>
      </w:r>
      <w:r>
        <w:rPr>
          <w:spacing w:val="-1"/>
          <w:sz w:val="24"/>
        </w:rPr>
        <w:t> </w:t>
      </w:r>
      <w:r>
        <w:rPr>
          <w:i/>
          <w:sz w:val="24"/>
        </w:rPr>
        <w:t>Mechanics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Wood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Wood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Composites</w:t>
      </w:r>
      <w:r>
        <w:rPr>
          <w:sz w:val="24"/>
        </w:rPr>
        <w:t>.</w:t>
      </w:r>
      <w:r>
        <w:rPr>
          <w:spacing w:val="-2"/>
          <w:sz w:val="24"/>
        </w:rPr>
        <w:t> </w:t>
      </w:r>
      <w:r>
        <w:rPr>
          <w:sz w:val="24"/>
        </w:rPr>
        <w:t>New</w:t>
      </w:r>
      <w:r>
        <w:rPr>
          <w:spacing w:val="-2"/>
          <w:sz w:val="24"/>
        </w:rPr>
        <w:t> </w:t>
      </w:r>
      <w:r>
        <w:rPr>
          <w:sz w:val="24"/>
        </w:rPr>
        <w:t>York,</w:t>
      </w:r>
      <w:r>
        <w:rPr>
          <w:spacing w:val="-57"/>
          <w:sz w:val="24"/>
        </w:rPr>
        <w:t> </w:t>
      </w:r>
      <w:r>
        <w:rPr>
          <w:sz w:val="24"/>
        </w:rPr>
        <w:t>NY:</w:t>
      </w:r>
      <w:r>
        <w:rPr>
          <w:spacing w:val="-1"/>
          <w:sz w:val="24"/>
        </w:rPr>
        <w:t> </w:t>
      </w:r>
      <w:r>
        <w:rPr>
          <w:sz w:val="24"/>
        </w:rPr>
        <w:t>Van Nostrand Reinhold Company, 1982.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1" w:after="0"/>
        <w:ind w:left="2440" w:right="561" w:hanging="720"/>
        <w:jc w:val="left"/>
        <w:rPr>
          <w:sz w:val="24"/>
        </w:rPr>
      </w:pPr>
      <w:r>
        <w:rPr>
          <w:sz w:val="24"/>
        </w:rPr>
        <w:t>Brandner, R., "Production and Technology of Cross Laminated Timber (CLT): A</w:t>
      </w:r>
      <w:r>
        <w:rPr>
          <w:spacing w:val="1"/>
          <w:sz w:val="24"/>
        </w:rPr>
        <w:t> </w:t>
      </w:r>
      <w:r>
        <w:rPr>
          <w:sz w:val="24"/>
        </w:rPr>
        <w:t>state-of-the-art Report," presented at the Focus Solid Timber Solutions - European</w:t>
      </w:r>
      <w:r>
        <w:rPr>
          <w:spacing w:val="-58"/>
          <w:sz w:val="24"/>
        </w:rPr>
        <w:t> </w:t>
      </w:r>
      <w:r>
        <w:rPr>
          <w:sz w:val="24"/>
        </w:rPr>
        <w:t>Conference</w:t>
      </w:r>
      <w:r>
        <w:rPr>
          <w:spacing w:val="-1"/>
          <w:sz w:val="24"/>
        </w:rPr>
        <w:t> </w:t>
      </w:r>
      <w:r>
        <w:rPr>
          <w:sz w:val="24"/>
        </w:rPr>
        <w:t>on Cross</w:t>
      </w:r>
      <w:r>
        <w:rPr>
          <w:spacing w:val="-1"/>
          <w:sz w:val="24"/>
        </w:rPr>
        <w:t> </w:t>
      </w:r>
      <w:r>
        <w:rPr>
          <w:sz w:val="24"/>
        </w:rPr>
        <w:t>Laminated Timber</w:t>
      </w:r>
      <w:r>
        <w:rPr>
          <w:spacing w:val="-1"/>
          <w:sz w:val="24"/>
        </w:rPr>
        <w:t> </w:t>
      </w:r>
      <w:r>
        <w:rPr>
          <w:sz w:val="24"/>
        </w:rPr>
        <w:t>(CLT), Graz,</w:t>
      </w:r>
      <w:r>
        <w:rPr>
          <w:spacing w:val="-1"/>
          <w:sz w:val="24"/>
        </w:rPr>
        <w:t> </w:t>
      </w:r>
      <w:r>
        <w:rPr>
          <w:sz w:val="24"/>
        </w:rPr>
        <w:t>Austria, 2013.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607" w:hanging="720"/>
        <w:jc w:val="left"/>
        <w:rPr>
          <w:sz w:val="24"/>
        </w:rPr>
      </w:pPr>
      <w:r>
        <w:rPr>
          <w:sz w:val="24"/>
        </w:rPr>
        <w:t>Brandner, R., G. Flatscher, A. Ringhofer, G. Schickhofer, and A. Thiel, "Cross</w:t>
      </w:r>
      <w:r>
        <w:rPr>
          <w:spacing w:val="1"/>
          <w:sz w:val="24"/>
        </w:rPr>
        <w:t> </w:t>
      </w:r>
      <w:r>
        <w:rPr>
          <w:sz w:val="24"/>
        </w:rPr>
        <w:t>laminated timber (CLT): overview and development," </w:t>
      </w:r>
      <w:r>
        <w:rPr>
          <w:i/>
          <w:sz w:val="24"/>
        </w:rPr>
        <w:t>European Journal of Wood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Wood Products, </w:t>
      </w:r>
      <w:r>
        <w:rPr>
          <w:sz w:val="24"/>
        </w:rPr>
        <w:t>2016.</w:t>
      </w:r>
    </w:p>
    <w:p>
      <w:pPr>
        <w:pStyle w:val="BodyText"/>
        <w:rPr>
          <w:sz w:val="38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1237" w:hanging="720"/>
        <w:jc w:val="left"/>
        <w:rPr>
          <w:sz w:val="24"/>
        </w:rPr>
      </w:pPr>
      <w:r>
        <w:rPr>
          <w:sz w:val="24"/>
        </w:rPr>
        <w:t>Breyer, D.E., K.J. Fridley, K.E. Cobeen, and D.G. Pollock, </w:t>
      </w:r>
      <w:r>
        <w:rPr>
          <w:i/>
          <w:sz w:val="24"/>
        </w:rPr>
        <w:t>Design of wood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structures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-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ASD/LRFD</w:t>
      </w:r>
      <w:r>
        <w:rPr>
          <w:sz w:val="24"/>
        </w:rPr>
        <w:t>, 6th</w:t>
      </w:r>
      <w:r>
        <w:rPr>
          <w:spacing w:val="-1"/>
          <w:sz w:val="24"/>
        </w:rPr>
        <w:t> </w:t>
      </w:r>
      <w:r>
        <w:rPr>
          <w:sz w:val="24"/>
        </w:rPr>
        <w:t>ed.</w:t>
      </w:r>
      <w:r>
        <w:rPr>
          <w:spacing w:val="-1"/>
          <w:sz w:val="24"/>
        </w:rPr>
        <w:t> </w:t>
      </w:r>
      <w:r>
        <w:rPr>
          <w:sz w:val="24"/>
        </w:rPr>
        <w:t>New</w:t>
      </w:r>
      <w:r>
        <w:rPr>
          <w:spacing w:val="-2"/>
          <w:sz w:val="24"/>
        </w:rPr>
        <w:t> </w:t>
      </w:r>
      <w:r>
        <w:rPr>
          <w:sz w:val="24"/>
        </w:rPr>
        <w:t>York,</w:t>
      </w:r>
      <w:r>
        <w:rPr>
          <w:spacing w:val="-1"/>
          <w:sz w:val="24"/>
        </w:rPr>
        <w:t> </w:t>
      </w:r>
      <w:r>
        <w:rPr>
          <w:sz w:val="24"/>
        </w:rPr>
        <w:t>NY:</w:t>
      </w:r>
      <w:r>
        <w:rPr>
          <w:spacing w:val="-1"/>
          <w:sz w:val="24"/>
        </w:rPr>
        <w:t> </w:t>
      </w:r>
      <w:r>
        <w:rPr>
          <w:sz w:val="24"/>
        </w:rPr>
        <w:t>McGraw-Hill, 2007.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0" w:hanging="720"/>
        <w:jc w:val="left"/>
        <w:rPr>
          <w:sz w:val="24"/>
        </w:rPr>
      </w:pPr>
      <w:r>
        <w:rPr>
          <w:sz w:val="24"/>
        </w:rPr>
        <w:t>Export</w:t>
      </w:r>
      <w:r>
        <w:rPr>
          <w:spacing w:val="-2"/>
          <w:sz w:val="24"/>
        </w:rPr>
        <w:t> </w:t>
      </w:r>
      <w:r>
        <w:rPr>
          <w:sz w:val="24"/>
        </w:rPr>
        <w:t>Grading</w:t>
      </w:r>
      <w:r>
        <w:rPr>
          <w:spacing w:val="-1"/>
          <w:sz w:val="24"/>
        </w:rPr>
        <w:t> </w:t>
      </w:r>
      <w:r>
        <w:rPr>
          <w:sz w:val="24"/>
        </w:rPr>
        <w:t>for</w:t>
      </w:r>
      <w:r>
        <w:rPr>
          <w:spacing w:val="-2"/>
          <w:sz w:val="24"/>
        </w:rPr>
        <w:t> </w:t>
      </w:r>
      <w:r>
        <w:rPr>
          <w:sz w:val="24"/>
        </w:rPr>
        <w:t>Southern</w:t>
      </w:r>
      <w:r>
        <w:rPr>
          <w:spacing w:val="-1"/>
          <w:sz w:val="24"/>
        </w:rPr>
        <w:t> </w:t>
      </w:r>
      <w:r>
        <w:rPr>
          <w:sz w:val="24"/>
        </w:rPr>
        <w:t>Pine</w:t>
      </w:r>
      <w:r>
        <w:rPr>
          <w:spacing w:val="-1"/>
          <w:sz w:val="24"/>
        </w:rPr>
        <w:t> </w:t>
      </w:r>
      <w:r>
        <w:rPr>
          <w:sz w:val="24"/>
        </w:rPr>
        <w:t>Lumber,</w:t>
      </w:r>
      <w:r>
        <w:rPr>
          <w:spacing w:val="-2"/>
          <w:sz w:val="24"/>
        </w:rPr>
        <w:t> </w:t>
      </w:r>
      <w:r>
        <w:rPr>
          <w:sz w:val="24"/>
        </w:rPr>
        <w:t>1981.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1064" w:top="1360" w:bottom="1260" w:left="440" w:right="880"/>
        </w:sectPr>
      </w:pPr>
    </w:p>
    <w:p>
      <w:pPr>
        <w:pStyle w:val="BodyText"/>
        <w:spacing w:before="7"/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90" w:after="0"/>
        <w:ind w:left="2440" w:right="615" w:hanging="720"/>
        <w:jc w:val="left"/>
        <w:rPr>
          <w:sz w:val="24"/>
        </w:rPr>
      </w:pPr>
      <w:r>
        <w:rPr>
          <w:sz w:val="24"/>
        </w:rPr>
        <w:t>Ceccotti, A., C. Sandhaas, M. Okabe, M. Yasumura, C. Minowa, and N. Kawai,</w:t>
      </w:r>
      <w:r>
        <w:rPr>
          <w:spacing w:val="1"/>
          <w:sz w:val="24"/>
        </w:rPr>
        <w:t> </w:t>
      </w:r>
      <w:r>
        <w:rPr>
          <w:sz w:val="24"/>
        </w:rPr>
        <w:t>"SOFIE project - 3D shaking table test on a seven-storey full-scale cross-</w:t>
      </w:r>
      <w:r>
        <w:rPr>
          <w:spacing w:val="1"/>
          <w:sz w:val="24"/>
        </w:rPr>
        <w:t> </w:t>
      </w:r>
      <w:r>
        <w:rPr>
          <w:sz w:val="24"/>
        </w:rPr>
        <w:t>laminated</w:t>
      </w:r>
      <w:r>
        <w:rPr>
          <w:spacing w:val="-3"/>
          <w:sz w:val="24"/>
        </w:rPr>
        <w:t> </w:t>
      </w:r>
      <w:r>
        <w:rPr>
          <w:sz w:val="24"/>
        </w:rPr>
        <w:t>timber</w:t>
      </w:r>
      <w:r>
        <w:rPr>
          <w:spacing w:val="-2"/>
          <w:sz w:val="24"/>
        </w:rPr>
        <w:t> </w:t>
      </w:r>
      <w:r>
        <w:rPr>
          <w:sz w:val="24"/>
        </w:rPr>
        <w:t>building,"</w:t>
      </w:r>
      <w:r>
        <w:rPr>
          <w:spacing w:val="-2"/>
          <w:sz w:val="24"/>
        </w:rPr>
        <w:t> </w:t>
      </w:r>
      <w:r>
        <w:rPr>
          <w:i/>
          <w:sz w:val="24"/>
        </w:rPr>
        <w:t>Earthquake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Engineering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&amp;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Structural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Dynamics,</w:t>
      </w:r>
      <w:r>
        <w:rPr>
          <w:i/>
          <w:spacing w:val="-2"/>
          <w:sz w:val="24"/>
        </w:rPr>
        <w:t> </w:t>
      </w:r>
      <w:r>
        <w:rPr>
          <w:sz w:val="24"/>
        </w:rPr>
        <w:t>vol.</w:t>
      </w:r>
      <w:r>
        <w:rPr>
          <w:spacing w:val="-57"/>
          <w:sz w:val="24"/>
        </w:rPr>
        <w:t> </w:t>
      </w:r>
      <w:r>
        <w:rPr>
          <w:sz w:val="24"/>
        </w:rPr>
        <w:t>42, pp. 2003-2021, 2013.</w:t>
      </w:r>
    </w:p>
    <w:p>
      <w:pPr>
        <w:pStyle w:val="BodyText"/>
        <w:rPr>
          <w:sz w:val="38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621" w:hanging="720"/>
        <w:jc w:val="left"/>
        <w:rPr>
          <w:sz w:val="24"/>
        </w:rPr>
      </w:pPr>
      <w:r>
        <w:rPr>
          <w:sz w:val="24"/>
        </w:rPr>
        <w:t>Chachere, J.M. and J.R. Haymaker, "Framework for Measuring the Rationale</w:t>
      </w:r>
      <w:r>
        <w:rPr>
          <w:spacing w:val="1"/>
          <w:sz w:val="24"/>
        </w:rPr>
        <w:t> </w:t>
      </w:r>
      <w:r>
        <w:rPr>
          <w:sz w:val="24"/>
        </w:rPr>
        <w:t>Clarity of AEC Design Decisions," </w:t>
      </w:r>
      <w:r>
        <w:rPr>
          <w:i/>
          <w:sz w:val="24"/>
        </w:rPr>
        <w:t>Journal of Architectural Engineering, </w:t>
      </w:r>
      <w:r>
        <w:rPr>
          <w:sz w:val="24"/>
        </w:rPr>
        <w:t>vol. 17,</w:t>
      </w:r>
      <w:r>
        <w:rPr>
          <w:spacing w:val="-58"/>
          <w:sz w:val="24"/>
        </w:rPr>
        <w:t> </w:t>
      </w:r>
      <w:r>
        <w:rPr>
          <w:sz w:val="24"/>
        </w:rPr>
        <w:t>pp. 86-96, 2011.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1106" w:hanging="720"/>
        <w:jc w:val="left"/>
        <w:rPr>
          <w:sz w:val="24"/>
        </w:rPr>
      </w:pPr>
      <w:r>
        <w:rPr>
          <w:sz w:val="24"/>
        </w:rPr>
        <w:t>Christman, D.R. and J.W. Gehring, "Analysis of High‐Velocity Projectile</w:t>
      </w:r>
      <w:r>
        <w:rPr>
          <w:spacing w:val="1"/>
          <w:sz w:val="24"/>
        </w:rPr>
        <w:t> </w:t>
      </w:r>
      <w:r>
        <w:rPr>
          <w:sz w:val="24"/>
        </w:rPr>
        <w:t>Penetration Mechanics," </w:t>
      </w:r>
      <w:r>
        <w:rPr>
          <w:i/>
          <w:sz w:val="24"/>
        </w:rPr>
        <w:t>Journal of Applied Physics, </w:t>
      </w:r>
      <w:r>
        <w:rPr>
          <w:sz w:val="24"/>
        </w:rPr>
        <w:t>vol. 37, pp. 1579-1587,</w:t>
      </w:r>
      <w:r>
        <w:rPr>
          <w:spacing w:val="-57"/>
          <w:sz w:val="24"/>
        </w:rPr>
        <w:t> </w:t>
      </w:r>
      <w:r>
        <w:rPr>
          <w:sz w:val="24"/>
        </w:rPr>
        <w:t>1966.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1" w:after="0"/>
        <w:ind w:left="2440" w:right="1248" w:hanging="720"/>
        <w:jc w:val="left"/>
        <w:rPr>
          <w:sz w:val="24"/>
        </w:rPr>
      </w:pPr>
      <w:r>
        <w:rPr>
          <w:sz w:val="24"/>
        </w:rPr>
        <w:t>Dalheim, R., "International Beams says its upcoming CLT plant will be the</w:t>
      </w:r>
      <w:r>
        <w:rPr>
          <w:spacing w:val="-58"/>
          <w:sz w:val="24"/>
        </w:rPr>
        <w:t> </w:t>
      </w:r>
      <w:r>
        <w:rPr>
          <w:sz w:val="24"/>
        </w:rPr>
        <w:t>biggest</w:t>
      </w:r>
      <w:r>
        <w:rPr>
          <w:spacing w:val="-2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U.S.,"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i/>
          <w:sz w:val="24"/>
        </w:rPr>
        <w:t>Woodworking Network</w:t>
      </w:r>
      <w:r>
        <w:rPr>
          <w:sz w:val="24"/>
        </w:rPr>
        <w:t>,</w:t>
      </w:r>
      <w:r>
        <w:rPr>
          <w:spacing w:val="-1"/>
          <w:sz w:val="24"/>
        </w:rPr>
        <w:t> </w:t>
      </w:r>
      <w:r>
        <w:rPr>
          <w:sz w:val="24"/>
        </w:rPr>
        <w:t>ed.</w:t>
      </w:r>
      <w:r>
        <w:rPr>
          <w:spacing w:val="-3"/>
          <w:sz w:val="24"/>
        </w:rPr>
        <w:t> </w:t>
      </w:r>
      <w:r>
        <w:rPr>
          <w:sz w:val="24"/>
        </w:rPr>
        <w:t>Dothan,</w:t>
      </w:r>
      <w:r>
        <w:rPr>
          <w:spacing w:val="-1"/>
          <w:sz w:val="24"/>
        </w:rPr>
        <w:t> </w:t>
      </w:r>
      <w:r>
        <w:rPr>
          <w:sz w:val="24"/>
        </w:rPr>
        <w:t>Alabama,</w:t>
      </w:r>
      <w:r>
        <w:rPr>
          <w:spacing w:val="-1"/>
          <w:sz w:val="24"/>
        </w:rPr>
        <w:t> </w:t>
      </w:r>
      <w:r>
        <w:rPr>
          <w:sz w:val="24"/>
        </w:rPr>
        <w:t>2017.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592" w:hanging="720"/>
        <w:jc w:val="left"/>
        <w:rPr>
          <w:sz w:val="24"/>
        </w:rPr>
      </w:pPr>
      <w:r>
        <w:rPr>
          <w:sz w:val="24"/>
        </w:rPr>
        <w:t>Davids, W.G., N. Willey, R. Lopez-Anido, S. Shaler, D. Gardner, R. Edgar</w:t>
      </w:r>
      <w:r>
        <w:rPr>
          <w:i/>
          <w:sz w:val="24"/>
        </w:rPr>
        <w:t>, et al.</w:t>
      </w:r>
      <w:r>
        <w:rPr>
          <w:sz w:val="24"/>
        </w:rPr>
        <w:t>,</w:t>
      </w:r>
      <w:r>
        <w:rPr>
          <w:spacing w:val="-57"/>
          <w:sz w:val="24"/>
        </w:rPr>
        <w:t> </w:t>
      </w:r>
      <w:r>
        <w:rPr>
          <w:sz w:val="24"/>
        </w:rPr>
        <w:t>"Structural performance of hybrid SPFs-LSL cross-laminated timber panels,"</w:t>
      </w:r>
      <w:r>
        <w:rPr>
          <w:spacing w:val="1"/>
          <w:sz w:val="24"/>
        </w:rPr>
        <w:t> </w:t>
      </w:r>
      <w:r>
        <w:rPr>
          <w:i/>
          <w:sz w:val="24"/>
        </w:rPr>
        <w:t>Construction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 Building Materials, </w:t>
      </w:r>
      <w:r>
        <w:rPr>
          <w:sz w:val="24"/>
        </w:rPr>
        <w:t>vol.</w:t>
      </w:r>
      <w:r>
        <w:rPr>
          <w:spacing w:val="-1"/>
          <w:sz w:val="24"/>
        </w:rPr>
        <w:t> </w:t>
      </w:r>
      <w:r>
        <w:rPr>
          <w:sz w:val="24"/>
        </w:rPr>
        <w:t>149,</w:t>
      </w:r>
      <w:r>
        <w:rPr>
          <w:spacing w:val="-2"/>
          <w:sz w:val="24"/>
        </w:rPr>
        <w:t> </w:t>
      </w:r>
      <w:r>
        <w:rPr>
          <w:sz w:val="24"/>
        </w:rPr>
        <w:t>pp. 156-163, 2017.</w:t>
      </w:r>
    </w:p>
    <w:p>
      <w:pPr>
        <w:pStyle w:val="BodyText"/>
        <w:spacing w:before="11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856" w:hanging="720"/>
        <w:jc w:val="left"/>
        <w:rPr>
          <w:sz w:val="24"/>
        </w:rPr>
      </w:pPr>
      <w:r>
        <w:rPr>
          <w:sz w:val="24"/>
        </w:rPr>
        <w:t>Doyle, J. and J.C.F. Walker, "Indentation Hardness of Wood," </w:t>
      </w:r>
      <w:r>
        <w:rPr>
          <w:i/>
          <w:sz w:val="24"/>
        </w:rPr>
        <w:t>Wood and Fiber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Science,</w:t>
      </w:r>
      <w:r>
        <w:rPr>
          <w:i/>
          <w:spacing w:val="-1"/>
          <w:sz w:val="24"/>
        </w:rPr>
        <w:t> </w:t>
      </w:r>
      <w:r>
        <w:rPr>
          <w:sz w:val="24"/>
        </w:rPr>
        <w:t>vol.</w:t>
      </w:r>
      <w:r>
        <w:rPr>
          <w:spacing w:val="-2"/>
          <w:sz w:val="24"/>
        </w:rPr>
        <w:t> </w:t>
      </w:r>
      <w:r>
        <w:rPr>
          <w:sz w:val="24"/>
        </w:rPr>
        <w:t>17, pp. 369-376, 1985.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786" w:hanging="720"/>
        <w:jc w:val="left"/>
        <w:rPr>
          <w:sz w:val="24"/>
        </w:rPr>
      </w:pPr>
      <w:r>
        <w:rPr>
          <w:sz w:val="24"/>
        </w:rPr>
        <w:t>Dusenberry,</w:t>
      </w:r>
      <w:r>
        <w:rPr>
          <w:spacing w:val="-4"/>
          <w:sz w:val="24"/>
        </w:rPr>
        <w:t> </w:t>
      </w:r>
      <w:r>
        <w:rPr>
          <w:sz w:val="24"/>
        </w:rPr>
        <w:t>D.O.,</w:t>
      </w:r>
      <w:r>
        <w:rPr>
          <w:spacing w:val="-2"/>
          <w:sz w:val="24"/>
        </w:rPr>
        <w:t> </w:t>
      </w:r>
      <w:r>
        <w:rPr>
          <w:i/>
          <w:sz w:val="24"/>
        </w:rPr>
        <w:t>Handbook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blast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resistant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design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buildings</w:t>
      </w:r>
      <w:r>
        <w:rPr>
          <w:sz w:val="24"/>
        </w:rPr>
        <w:t>:</w:t>
      </w:r>
      <w:r>
        <w:rPr>
          <w:spacing w:val="-2"/>
          <w:sz w:val="24"/>
        </w:rPr>
        <w:t> </w:t>
      </w:r>
      <w:r>
        <w:rPr>
          <w:sz w:val="24"/>
        </w:rPr>
        <w:t>John</w:t>
      </w:r>
      <w:r>
        <w:rPr>
          <w:spacing w:val="-3"/>
          <w:sz w:val="24"/>
        </w:rPr>
        <w:t> </w:t>
      </w:r>
      <w:r>
        <w:rPr>
          <w:sz w:val="24"/>
        </w:rPr>
        <w:t>Wiley</w:t>
      </w:r>
      <w:r>
        <w:rPr>
          <w:spacing w:val="-57"/>
          <w:sz w:val="24"/>
        </w:rPr>
        <w:t> </w:t>
      </w:r>
      <w:r>
        <w:rPr>
          <w:sz w:val="24"/>
        </w:rPr>
        <w:t>&amp;</w:t>
      </w:r>
      <w:r>
        <w:rPr>
          <w:spacing w:val="-1"/>
          <w:sz w:val="24"/>
        </w:rPr>
        <w:t> </w:t>
      </w:r>
      <w:r>
        <w:rPr>
          <w:sz w:val="24"/>
        </w:rPr>
        <w:t>Sons, 2010.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1" w:after="0"/>
        <w:ind w:left="2440" w:right="879" w:hanging="720"/>
        <w:jc w:val="left"/>
        <w:rPr>
          <w:sz w:val="24"/>
        </w:rPr>
      </w:pPr>
      <w:r>
        <w:rPr>
          <w:sz w:val="24"/>
        </w:rPr>
        <w:t>Eberhardt, T.L. and L.J. Samuelson, "Collection of wood quality data by X-ray</w:t>
      </w:r>
      <w:r>
        <w:rPr>
          <w:spacing w:val="-57"/>
          <w:sz w:val="24"/>
        </w:rPr>
        <w:t> </w:t>
      </w:r>
      <w:r>
        <w:rPr>
          <w:sz w:val="24"/>
        </w:rPr>
        <w:t>densitometry: a case study with three southern pines," </w:t>
      </w:r>
      <w:r>
        <w:rPr>
          <w:i/>
          <w:sz w:val="24"/>
        </w:rPr>
        <w:t>Wood Science 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Technology,</w:t>
      </w:r>
      <w:r>
        <w:rPr>
          <w:i/>
          <w:spacing w:val="-3"/>
          <w:sz w:val="24"/>
        </w:rPr>
        <w:t> </w:t>
      </w:r>
      <w:r>
        <w:rPr>
          <w:sz w:val="24"/>
        </w:rPr>
        <w:t>vol. 49, pp. 739-753, 2015.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0" w:hanging="720"/>
        <w:jc w:val="left"/>
        <w:rPr>
          <w:sz w:val="24"/>
        </w:rPr>
      </w:pPr>
      <w:r>
        <w:rPr>
          <w:sz w:val="24"/>
        </w:rPr>
        <w:t>ASCE,</w:t>
      </w:r>
      <w:r>
        <w:rPr>
          <w:spacing w:val="-1"/>
          <w:sz w:val="24"/>
        </w:rPr>
        <w:t> </w:t>
      </w:r>
      <w:r>
        <w:rPr>
          <w:sz w:val="24"/>
        </w:rPr>
        <w:t>Blast</w:t>
      </w:r>
      <w:r>
        <w:rPr>
          <w:spacing w:val="-3"/>
          <w:sz w:val="24"/>
        </w:rPr>
        <w:t> </w:t>
      </w:r>
      <w:r>
        <w:rPr>
          <w:sz w:val="24"/>
        </w:rPr>
        <w:t>Protection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Buildings</w:t>
      </w:r>
      <w:r>
        <w:rPr>
          <w:spacing w:val="-2"/>
          <w:sz w:val="24"/>
        </w:rPr>
        <w:t> </w:t>
      </w:r>
      <w:r>
        <w:rPr>
          <w:sz w:val="24"/>
        </w:rPr>
        <w:t>(ASCE/SEI</w:t>
      </w:r>
      <w:r>
        <w:rPr>
          <w:spacing w:val="-2"/>
          <w:sz w:val="24"/>
        </w:rPr>
        <w:t> </w:t>
      </w:r>
      <w:r>
        <w:rPr>
          <w:sz w:val="24"/>
        </w:rPr>
        <w:t>59-11),</w:t>
      </w:r>
      <w:r>
        <w:rPr>
          <w:spacing w:val="-2"/>
          <w:sz w:val="24"/>
        </w:rPr>
        <w:t> </w:t>
      </w:r>
      <w:r>
        <w:rPr>
          <w:sz w:val="24"/>
        </w:rPr>
        <w:t>2011.</w:t>
      </w:r>
    </w:p>
    <w:p>
      <w:pPr>
        <w:pStyle w:val="BodyText"/>
        <w:spacing w:before="11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655" w:hanging="720"/>
        <w:jc w:val="left"/>
        <w:rPr>
          <w:sz w:val="24"/>
        </w:rPr>
      </w:pPr>
      <w:r>
        <w:rPr>
          <w:sz w:val="24"/>
        </w:rPr>
        <w:t>Espinoza,</w:t>
      </w:r>
      <w:r>
        <w:rPr>
          <w:spacing w:val="-2"/>
          <w:sz w:val="24"/>
        </w:rPr>
        <w:t> </w:t>
      </w:r>
      <w:r>
        <w:rPr>
          <w:sz w:val="24"/>
        </w:rPr>
        <w:t>O.,</w:t>
      </w:r>
      <w:r>
        <w:rPr>
          <w:spacing w:val="-2"/>
          <w:sz w:val="24"/>
        </w:rPr>
        <w:t> </w:t>
      </w:r>
      <w:r>
        <w:rPr>
          <w:sz w:val="24"/>
        </w:rPr>
        <w:t>V.R.</w:t>
      </w:r>
      <w:r>
        <w:rPr>
          <w:spacing w:val="-1"/>
          <w:sz w:val="24"/>
        </w:rPr>
        <w:t> </w:t>
      </w:r>
      <w:r>
        <w:rPr>
          <w:sz w:val="24"/>
        </w:rPr>
        <w:t>Trujillo,</w:t>
      </w:r>
      <w:r>
        <w:rPr>
          <w:spacing w:val="-2"/>
          <w:sz w:val="24"/>
        </w:rPr>
        <w:t> </w:t>
      </w:r>
      <w:r>
        <w:rPr>
          <w:sz w:val="24"/>
        </w:rPr>
        <w:t>M.F.L.</w:t>
      </w:r>
      <w:r>
        <w:rPr>
          <w:spacing w:val="-4"/>
          <w:sz w:val="24"/>
        </w:rPr>
        <w:t> </w:t>
      </w:r>
      <w:r>
        <w:rPr>
          <w:sz w:val="24"/>
        </w:rPr>
        <w:t>Mallo,</w:t>
      </w:r>
      <w:r>
        <w:rPr>
          <w:spacing w:val="-3"/>
          <w:sz w:val="24"/>
        </w:rPr>
        <w:t> </w:t>
      </w:r>
      <w:r>
        <w:rPr>
          <w:sz w:val="24"/>
        </w:rPr>
        <w:t>and</w:t>
      </w:r>
      <w:r>
        <w:rPr>
          <w:spacing w:val="-4"/>
          <w:sz w:val="24"/>
        </w:rPr>
        <w:t> </w:t>
      </w:r>
      <w:r>
        <w:rPr>
          <w:sz w:val="24"/>
        </w:rPr>
        <w:t>U.</w:t>
      </w:r>
      <w:r>
        <w:rPr>
          <w:spacing w:val="-2"/>
          <w:sz w:val="24"/>
        </w:rPr>
        <w:t> </w:t>
      </w:r>
      <w:r>
        <w:rPr>
          <w:sz w:val="24"/>
        </w:rPr>
        <w:t>Buehlmann,</w:t>
      </w:r>
      <w:r>
        <w:rPr>
          <w:spacing w:val="-1"/>
          <w:sz w:val="24"/>
        </w:rPr>
        <w:t> </w:t>
      </w:r>
      <w:r>
        <w:rPr>
          <w:sz w:val="24"/>
        </w:rPr>
        <w:t>"Cross-Laminated</w:t>
      </w:r>
      <w:r>
        <w:rPr>
          <w:spacing w:val="-57"/>
          <w:sz w:val="24"/>
        </w:rPr>
        <w:t> </w:t>
      </w:r>
      <w:r>
        <w:rPr>
          <w:sz w:val="24"/>
        </w:rPr>
        <w:t>Timber Status and Research Needs in Europe," </w:t>
      </w:r>
      <w:r>
        <w:rPr>
          <w:i/>
          <w:sz w:val="24"/>
        </w:rPr>
        <w:t>BioResources, </w:t>
      </w:r>
      <w:r>
        <w:rPr>
          <w:sz w:val="24"/>
        </w:rPr>
        <w:t>vol. 11, pp. 281-</w:t>
      </w:r>
      <w:r>
        <w:rPr>
          <w:spacing w:val="1"/>
          <w:sz w:val="24"/>
        </w:rPr>
        <w:t> </w:t>
      </w:r>
      <w:r>
        <w:rPr>
          <w:sz w:val="24"/>
        </w:rPr>
        <w:t>295, 2016.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866" w:hanging="720"/>
        <w:jc w:val="left"/>
        <w:rPr>
          <w:sz w:val="24"/>
        </w:rPr>
      </w:pPr>
      <w:r>
        <w:rPr>
          <w:sz w:val="24"/>
        </w:rPr>
        <w:t>Falk, A., "Cross-Laminated timber: driving forces and innovation," in </w:t>
      </w:r>
      <w:r>
        <w:rPr>
          <w:i/>
          <w:sz w:val="24"/>
        </w:rPr>
        <w:t>2nd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International Conference on Structures and Architecture</w:t>
      </w:r>
      <w:r>
        <w:rPr>
          <w:sz w:val="24"/>
        </w:rPr>
        <w:t>, Guimaraes, Portugal,</w:t>
      </w:r>
      <w:r>
        <w:rPr>
          <w:spacing w:val="-58"/>
          <w:sz w:val="24"/>
        </w:rPr>
        <w:t> </w:t>
      </w:r>
      <w:r>
        <w:rPr>
          <w:sz w:val="24"/>
        </w:rPr>
        <w:t>2013, pp. 511-518.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1064" w:top="1500" w:bottom="1260" w:left="440" w:right="880"/>
        </w:sectPr>
      </w:pPr>
    </w:p>
    <w:p>
      <w:pPr>
        <w:pStyle w:val="BodyText"/>
        <w:spacing w:before="7"/>
      </w:pPr>
    </w:p>
    <w:p>
      <w:pPr>
        <w:pStyle w:val="ListParagraph"/>
        <w:numPr>
          <w:ilvl w:val="0"/>
          <w:numId w:val="30"/>
        </w:numPr>
        <w:tabs>
          <w:tab w:pos="2440" w:val="left" w:leader="none"/>
        </w:tabs>
        <w:spacing w:line="240" w:lineRule="auto" w:before="90" w:after="0"/>
        <w:ind w:left="2440" w:right="886" w:hanging="720"/>
        <w:jc w:val="both"/>
        <w:rPr>
          <w:sz w:val="24"/>
        </w:rPr>
      </w:pPr>
      <w:r>
        <w:rPr>
          <w:sz w:val="24"/>
        </w:rPr>
        <w:t>Fellmoser and H.J. Blaß, "Influence of Rolling Shear Modulus on Strength and</w:t>
      </w:r>
      <w:r>
        <w:rPr>
          <w:spacing w:val="-57"/>
          <w:sz w:val="24"/>
        </w:rPr>
        <w:t> </w:t>
      </w:r>
      <w:r>
        <w:rPr>
          <w:sz w:val="24"/>
        </w:rPr>
        <w:t>Stiffness of Structural Bonded Timber Members," Edinburgh, UKAugust 2004</w:t>
      </w:r>
      <w:r>
        <w:rPr>
          <w:spacing w:val="-57"/>
          <w:sz w:val="24"/>
        </w:rPr>
        <w:t> </w:t>
      </w:r>
      <w:r>
        <w:rPr>
          <w:sz w:val="24"/>
        </w:rPr>
        <w:t>2004.</w:t>
      </w:r>
    </w:p>
    <w:p>
      <w:pPr>
        <w:pStyle w:val="BodyText"/>
        <w:rPr>
          <w:sz w:val="38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39" w:right="703" w:hanging="720"/>
        <w:jc w:val="left"/>
        <w:rPr>
          <w:sz w:val="24"/>
        </w:rPr>
      </w:pPr>
      <w:r>
        <w:rPr>
          <w:sz w:val="24"/>
        </w:rPr>
        <w:t>Fernández,</w:t>
      </w:r>
      <w:r>
        <w:rPr>
          <w:spacing w:val="-4"/>
          <w:sz w:val="24"/>
        </w:rPr>
        <w:t> </w:t>
      </w:r>
      <w:r>
        <w:rPr>
          <w:sz w:val="24"/>
        </w:rPr>
        <w:t>M.,</w:t>
      </w:r>
      <w:r>
        <w:rPr>
          <w:spacing w:val="-1"/>
          <w:sz w:val="24"/>
        </w:rPr>
        <w:t> </w:t>
      </w:r>
      <w:r>
        <w:rPr>
          <w:sz w:val="24"/>
        </w:rPr>
        <w:t>A.</w:t>
      </w:r>
      <w:r>
        <w:rPr>
          <w:spacing w:val="-1"/>
          <w:sz w:val="24"/>
        </w:rPr>
        <w:t> </w:t>
      </w:r>
      <w:r>
        <w:rPr>
          <w:sz w:val="24"/>
        </w:rPr>
        <w:t>Martínez,</w:t>
      </w:r>
      <w:r>
        <w:rPr>
          <w:spacing w:val="-1"/>
          <w:sz w:val="24"/>
        </w:rPr>
        <w:t> </w:t>
      </w:r>
      <w:r>
        <w:rPr>
          <w:sz w:val="24"/>
        </w:rPr>
        <w:t>A.</w:t>
      </w:r>
      <w:r>
        <w:rPr>
          <w:spacing w:val="-1"/>
          <w:sz w:val="24"/>
        </w:rPr>
        <w:t> </w:t>
      </w:r>
      <w:r>
        <w:rPr>
          <w:sz w:val="24"/>
        </w:rPr>
        <w:t>Alonso,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L.</w:t>
      </w:r>
      <w:r>
        <w:rPr>
          <w:spacing w:val="-1"/>
          <w:sz w:val="24"/>
        </w:rPr>
        <w:t> </w:t>
      </w:r>
      <w:r>
        <w:rPr>
          <w:sz w:val="24"/>
        </w:rPr>
        <w:t>Lizondo,</w:t>
      </w:r>
      <w:r>
        <w:rPr>
          <w:spacing w:val="-1"/>
          <w:sz w:val="24"/>
        </w:rPr>
        <w:t> </w:t>
      </w:r>
      <w:r>
        <w:rPr>
          <w:sz w:val="24"/>
        </w:rPr>
        <w:t>"A</w:t>
      </w:r>
      <w:r>
        <w:rPr>
          <w:spacing w:val="-2"/>
          <w:sz w:val="24"/>
        </w:rPr>
        <w:t> </w:t>
      </w:r>
      <w:r>
        <w:rPr>
          <w:sz w:val="24"/>
        </w:rPr>
        <w:t>mathematical</w:t>
      </w:r>
      <w:r>
        <w:rPr>
          <w:spacing w:val="-3"/>
          <w:sz w:val="24"/>
        </w:rPr>
        <w:t> </w:t>
      </w:r>
      <w:r>
        <w:rPr>
          <w:sz w:val="24"/>
        </w:rPr>
        <w:t>model</w:t>
      </w:r>
      <w:r>
        <w:rPr>
          <w:spacing w:val="-57"/>
          <w:sz w:val="24"/>
        </w:rPr>
        <w:t> </w:t>
      </w:r>
      <w:r>
        <w:rPr>
          <w:sz w:val="24"/>
        </w:rPr>
        <w:t>for the sustainability of the use of cross-laminated timber in the construction</w:t>
      </w:r>
      <w:r>
        <w:rPr>
          <w:spacing w:val="1"/>
          <w:sz w:val="24"/>
        </w:rPr>
        <w:t> </w:t>
      </w:r>
      <w:r>
        <w:rPr>
          <w:sz w:val="24"/>
        </w:rPr>
        <w:t>industry: the case of Spain," </w:t>
      </w:r>
      <w:r>
        <w:rPr>
          <w:i/>
          <w:sz w:val="24"/>
        </w:rPr>
        <w:t>Clean Technologies and Environmental Policy, </w:t>
      </w:r>
      <w:r>
        <w:rPr>
          <w:sz w:val="24"/>
        </w:rPr>
        <w:t>vol.</w:t>
      </w:r>
      <w:r>
        <w:rPr>
          <w:spacing w:val="-57"/>
          <w:sz w:val="24"/>
        </w:rPr>
        <w:t> </w:t>
      </w:r>
      <w:r>
        <w:rPr>
          <w:sz w:val="24"/>
        </w:rPr>
        <w:t>16, pp. 1625-1636, 2014.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966" w:hanging="720"/>
        <w:jc w:val="left"/>
        <w:rPr>
          <w:sz w:val="24"/>
        </w:rPr>
      </w:pPr>
      <w:r>
        <w:rPr>
          <w:sz w:val="24"/>
        </w:rPr>
        <w:t>Forbes,</w:t>
      </w:r>
      <w:r>
        <w:rPr>
          <w:spacing w:val="-2"/>
          <w:sz w:val="24"/>
        </w:rPr>
        <w:t> </w:t>
      </w:r>
      <w:r>
        <w:rPr>
          <w:sz w:val="24"/>
        </w:rPr>
        <w:t>J.W.,</w:t>
      </w:r>
      <w:r>
        <w:rPr>
          <w:spacing w:val="-1"/>
          <w:sz w:val="24"/>
        </w:rPr>
        <w:t> </w:t>
      </w:r>
      <w:r>
        <w:rPr>
          <w:i/>
          <w:sz w:val="24"/>
        </w:rPr>
        <w:t>Shock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Wave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Compression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Condensed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Matter: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Primer</w:t>
      </w:r>
      <w:r>
        <w:rPr>
          <w:sz w:val="24"/>
        </w:rPr>
        <w:t>.</w:t>
      </w:r>
      <w:r>
        <w:rPr>
          <w:spacing w:val="-4"/>
          <w:sz w:val="24"/>
        </w:rPr>
        <w:t> </w:t>
      </w:r>
      <w:r>
        <w:rPr>
          <w:sz w:val="24"/>
        </w:rPr>
        <w:t>New</w:t>
      </w:r>
      <w:r>
        <w:rPr>
          <w:spacing w:val="-57"/>
          <w:sz w:val="24"/>
        </w:rPr>
        <w:t> </w:t>
      </w:r>
      <w:r>
        <w:rPr>
          <w:sz w:val="24"/>
        </w:rPr>
        <w:t>York:</w:t>
      </w:r>
      <w:r>
        <w:rPr>
          <w:spacing w:val="-1"/>
          <w:sz w:val="24"/>
        </w:rPr>
        <w:t> </w:t>
      </w:r>
      <w:r>
        <w:rPr>
          <w:sz w:val="24"/>
        </w:rPr>
        <w:t>Springer, 2012.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1" w:after="0"/>
        <w:ind w:left="2440" w:right="598" w:hanging="720"/>
        <w:jc w:val="left"/>
        <w:rPr>
          <w:sz w:val="24"/>
        </w:rPr>
      </w:pPr>
      <w:r>
        <w:rPr>
          <w:sz w:val="24"/>
        </w:rPr>
        <w:t>Forrestal, M.J., K. Okajima, and V.K. Luk, "Penetration of 6061-T651 Aluminum</w:t>
      </w:r>
      <w:r>
        <w:rPr>
          <w:spacing w:val="-57"/>
          <w:sz w:val="24"/>
        </w:rPr>
        <w:t> </w:t>
      </w:r>
      <w:r>
        <w:rPr>
          <w:sz w:val="24"/>
        </w:rPr>
        <w:t>Targets with Rigid Long Rods," </w:t>
      </w:r>
      <w:r>
        <w:rPr>
          <w:i/>
          <w:sz w:val="24"/>
        </w:rPr>
        <w:t>Journal of Applied Mechanics, </w:t>
      </w:r>
      <w:r>
        <w:rPr>
          <w:sz w:val="24"/>
        </w:rPr>
        <w:t>vol. 55, pp. 755-</w:t>
      </w:r>
      <w:r>
        <w:rPr>
          <w:spacing w:val="1"/>
          <w:sz w:val="24"/>
        </w:rPr>
        <w:t> </w:t>
      </w:r>
      <w:r>
        <w:rPr>
          <w:sz w:val="24"/>
        </w:rPr>
        <w:t>760, 1988.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799" w:hanging="720"/>
        <w:jc w:val="left"/>
        <w:rPr>
          <w:sz w:val="24"/>
        </w:rPr>
      </w:pPr>
      <w:r>
        <w:rPr>
          <w:sz w:val="24"/>
        </w:rPr>
        <w:t>Frangi, A., M. Fontana, E. Hugi, and R. Jübstl, "Experimental analysis of cross-</w:t>
      </w:r>
      <w:r>
        <w:rPr>
          <w:spacing w:val="-57"/>
          <w:sz w:val="24"/>
        </w:rPr>
        <w:t> </w:t>
      </w:r>
      <w:r>
        <w:rPr>
          <w:sz w:val="24"/>
        </w:rPr>
        <w:t>laminated timber panels in fire," </w:t>
      </w:r>
      <w:r>
        <w:rPr>
          <w:i/>
          <w:sz w:val="24"/>
        </w:rPr>
        <w:t>Fire Safety Journal, </w:t>
      </w:r>
      <w:r>
        <w:rPr>
          <w:sz w:val="24"/>
        </w:rPr>
        <w:t>vol. 44, pp. 1078-1087,</w:t>
      </w:r>
      <w:r>
        <w:rPr>
          <w:spacing w:val="1"/>
          <w:sz w:val="24"/>
        </w:rPr>
        <w:t> </w:t>
      </w:r>
      <w:r>
        <w:rPr>
          <w:sz w:val="24"/>
        </w:rPr>
        <w:t>2009.</w:t>
      </w:r>
    </w:p>
    <w:p>
      <w:pPr>
        <w:pStyle w:val="BodyText"/>
        <w:spacing w:before="11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692" w:hanging="720"/>
        <w:jc w:val="left"/>
        <w:rPr>
          <w:sz w:val="24"/>
        </w:rPr>
      </w:pPr>
      <w:r>
        <w:rPr>
          <w:sz w:val="24"/>
        </w:rPr>
        <w:t>Garratt, G., </w:t>
      </w:r>
      <w:r>
        <w:rPr>
          <w:i/>
          <w:sz w:val="24"/>
        </w:rPr>
        <w:t>The Mechanical Properties of Wood</w:t>
      </w:r>
      <w:r>
        <w:rPr>
          <w:sz w:val="24"/>
        </w:rPr>
        <w:t>. New York, NY: Wiley &amp; Sons,</w:t>
      </w:r>
      <w:r>
        <w:rPr>
          <w:spacing w:val="-58"/>
          <w:sz w:val="24"/>
        </w:rPr>
        <w:t> </w:t>
      </w:r>
      <w:r>
        <w:rPr>
          <w:sz w:val="24"/>
        </w:rPr>
        <w:t>Inc., 1931.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749" w:hanging="720"/>
        <w:jc w:val="left"/>
        <w:rPr>
          <w:sz w:val="24"/>
        </w:rPr>
      </w:pPr>
      <w:r>
        <w:rPr>
          <w:sz w:val="24"/>
        </w:rPr>
        <w:t>Gebo,</w:t>
      </w:r>
      <w:r>
        <w:rPr>
          <w:spacing w:val="-2"/>
          <w:sz w:val="24"/>
        </w:rPr>
        <w:t> </w:t>
      </w:r>
      <w:r>
        <w:rPr>
          <w:sz w:val="24"/>
        </w:rPr>
        <w:t>K.M.,</w:t>
      </w:r>
      <w:r>
        <w:rPr>
          <w:spacing w:val="-1"/>
          <w:sz w:val="24"/>
        </w:rPr>
        <w:t> </w:t>
      </w:r>
      <w:r>
        <w:rPr>
          <w:sz w:val="24"/>
        </w:rPr>
        <w:t>"A</w:t>
      </w:r>
      <w:r>
        <w:rPr>
          <w:spacing w:val="-3"/>
          <w:sz w:val="24"/>
        </w:rPr>
        <w:t> </w:t>
      </w:r>
      <w:r>
        <w:rPr>
          <w:sz w:val="24"/>
        </w:rPr>
        <w:t>Comparison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Lifecycle</w:t>
      </w:r>
      <w:r>
        <w:rPr>
          <w:spacing w:val="-1"/>
          <w:sz w:val="24"/>
        </w:rPr>
        <w:t> </w:t>
      </w:r>
      <w:r>
        <w:rPr>
          <w:sz w:val="24"/>
        </w:rPr>
        <w:t>Cost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Environmental</w:t>
      </w:r>
      <w:r>
        <w:rPr>
          <w:spacing w:val="-1"/>
          <w:sz w:val="24"/>
        </w:rPr>
        <w:t> </w:t>
      </w:r>
      <w:r>
        <w:rPr>
          <w:sz w:val="24"/>
        </w:rPr>
        <w:t>Impact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57"/>
          <w:sz w:val="24"/>
        </w:rPr>
        <w:t> </w:t>
      </w:r>
      <w:r>
        <w:rPr>
          <w:sz w:val="24"/>
        </w:rPr>
        <w:t>Military Barracks Huts in Deployed Environments Constructed from Structural</w:t>
      </w:r>
      <w:r>
        <w:rPr>
          <w:spacing w:val="1"/>
          <w:sz w:val="24"/>
        </w:rPr>
        <w:t> </w:t>
      </w:r>
      <w:r>
        <w:rPr>
          <w:sz w:val="24"/>
        </w:rPr>
        <w:t>Insulated Panels (SIPs) versus Traditional Techniques," Master of Science,</w:t>
      </w:r>
      <w:r>
        <w:rPr>
          <w:spacing w:val="1"/>
          <w:sz w:val="24"/>
        </w:rPr>
        <w:t> </w:t>
      </w:r>
      <w:r>
        <w:rPr>
          <w:sz w:val="24"/>
        </w:rPr>
        <w:t>Department of Industrial and Systems Engineering, Rochester Institute of</w:t>
      </w:r>
      <w:r>
        <w:rPr>
          <w:spacing w:val="1"/>
          <w:sz w:val="24"/>
        </w:rPr>
        <w:t> </w:t>
      </w:r>
      <w:r>
        <w:rPr>
          <w:sz w:val="24"/>
        </w:rPr>
        <w:t>Technology,</w:t>
      </w:r>
      <w:r>
        <w:rPr>
          <w:spacing w:val="-3"/>
          <w:sz w:val="24"/>
        </w:rPr>
        <w:t> </w:t>
      </w:r>
      <w:r>
        <w:rPr>
          <w:sz w:val="24"/>
        </w:rPr>
        <w:t>Rochester,</w:t>
      </w:r>
      <w:r>
        <w:rPr>
          <w:spacing w:val="-2"/>
          <w:sz w:val="24"/>
        </w:rPr>
        <w:t> </w:t>
      </w:r>
      <w:r>
        <w:rPr>
          <w:sz w:val="24"/>
        </w:rPr>
        <w:t>NY, 2014.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1" w:after="0"/>
        <w:ind w:left="2440" w:right="721" w:hanging="720"/>
        <w:jc w:val="left"/>
        <w:rPr>
          <w:sz w:val="24"/>
        </w:rPr>
      </w:pPr>
      <w:r>
        <w:rPr>
          <w:sz w:val="24"/>
        </w:rPr>
        <w:t>Gilbertson, C.G. and W.M. Bulleit, "Load Duration Effects in Wood at High</w:t>
      </w:r>
      <w:r>
        <w:rPr>
          <w:spacing w:val="1"/>
          <w:sz w:val="24"/>
        </w:rPr>
        <w:t> </w:t>
      </w:r>
      <w:r>
        <w:rPr>
          <w:sz w:val="24"/>
        </w:rPr>
        <w:t>Strain</w:t>
      </w:r>
      <w:r>
        <w:rPr>
          <w:spacing w:val="-2"/>
          <w:sz w:val="24"/>
        </w:rPr>
        <w:t> </w:t>
      </w:r>
      <w:r>
        <w:rPr>
          <w:sz w:val="24"/>
        </w:rPr>
        <w:t>Rates,"</w:t>
      </w:r>
      <w:r>
        <w:rPr>
          <w:spacing w:val="-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Materials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Civil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Engineering,</w:t>
      </w:r>
      <w:r>
        <w:rPr>
          <w:i/>
          <w:spacing w:val="-2"/>
          <w:sz w:val="24"/>
        </w:rPr>
        <w:t> </w:t>
      </w:r>
      <w:r>
        <w:rPr>
          <w:sz w:val="24"/>
        </w:rPr>
        <w:t>vol.</w:t>
      </w:r>
      <w:r>
        <w:rPr>
          <w:spacing w:val="-3"/>
          <w:sz w:val="24"/>
        </w:rPr>
        <w:t> </w:t>
      </w:r>
      <w:r>
        <w:rPr>
          <w:sz w:val="24"/>
        </w:rPr>
        <w:t>25,</w:t>
      </w:r>
      <w:r>
        <w:rPr>
          <w:spacing w:val="-1"/>
          <w:sz w:val="24"/>
        </w:rPr>
        <w:t> </w:t>
      </w:r>
      <w:r>
        <w:rPr>
          <w:sz w:val="24"/>
        </w:rPr>
        <w:t>pp.</w:t>
      </w:r>
      <w:r>
        <w:rPr>
          <w:spacing w:val="-1"/>
          <w:sz w:val="24"/>
        </w:rPr>
        <w:t> </w:t>
      </w:r>
      <w:r>
        <w:rPr>
          <w:sz w:val="24"/>
        </w:rPr>
        <w:t>1647-1654,</w:t>
      </w:r>
      <w:r>
        <w:rPr>
          <w:spacing w:val="-57"/>
          <w:sz w:val="24"/>
        </w:rPr>
        <w:t> </w:t>
      </w:r>
      <w:r>
        <w:rPr>
          <w:sz w:val="24"/>
        </w:rPr>
        <w:t>2013.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787" w:hanging="720"/>
        <w:jc w:val="left"/>
        <w:rPr>
          <w:sz w:val="24"/>
        </w:rPr>
      </w:pPr>
      <w:r>
        <w:rPr>
          <w:sz w:val="24"/>
        </w:rPr>
        <w:t>Gooch, W.A., M.S. Burkins, L.F. Mills, J.W. Ogilvy, and A.J. Ricchiazzi, "Cast</w:t>
      </w:r>
      <w:r>
        <w:rPr>
          <w:spacing w:val="-58"/>
          <w:sz w:val="24"/>
        </w:rPr>
        <w:t> </w:t>
      </w:r>
      <w:r>
        <w:rPr>
          <w:sz w:val="24"/>
        </w:rPr>
        <w:t>Single</w:t>
      </w:r>
      <w:r>
        <w:rPr>
          <w:spacing w:val="-1"/>
          <w:sz w:val="24"/>
        </w:rPr>
        <w:t> </w:t>
      </w:r>
      <w:r>
        <w:rPr>
          <w:sz w:val="24"/>
        </w:rPr>
        <w:t>Plate</w:t>
      </w:r>
      <w:r>
        <w:rPr>
          <w:spacing w:val="-1"/>
          <w:sz w:val="24"/>
        </w:rPr>
        <w:t> </w:t>
      </w:r>
      <w:r>
        <w:rPr>
          <w:sz w:val="24"/>
        </w:rPr>
        <w:t>P900</w:t>
      </w:r>
      <w:r>
        <w:rPr>
          <w:spacing w:val="-1"/>
          <w:sz w:val="24"/>
        </w:rPr>
        <w:t> </w:t>
      </w:r>
      <w:r>
        <w:rPr>
          <w:sz w:val="24"/>
        </w:rPr>
        <w:t>Armor," United</w:t>
      </w:r>
      <w:r>
        <w:rPr>
          <w:spacing w:val="-1"/>
          <w:sz w:val="24"/>
        </w:rPr>
        <w:t> </w:t>
      </w:r>
      <w:r>
        <w:rPr>
          <w:sz w:val="24"/>
        </w:rPr>
        <w:t>States Patent 5,007,326,</w:t>
      </w:r>
      <w:r>
        <w:rPr>
          <w:spacing w:val="-1"/>
          <w:sz w:val="24"/>
        </w:rPr>
        <w:t> </w:t>
      </w:r>
      <w:r>
        <w:rPr>
          <w:sz w:val="24"/>
        </w:rPr>
        <w:t>1991.</w:t>
      </w:r>
    </w:p>
    <w:p>
      <w:pPr>
        <w:pStyle w:val="BodyText"/>
        <w:rPr>
          <w:sz w:val="38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1335" w:hanging="720"/>
        <w:jc w:val="left"/>
        <w:rPr>
          <w:sz w:val="24"/>
        </w:rPr>
      </w:pPr>
      <w:r>
        <w:rPr>
          <w:sz w:val="24"/>
        </w:rPr>
        <w:t>Green,</w:t>
      </w:r>
      <w:r>
        <w:rPr>
          <w:spacing w:val="-2"/>
          <w:sz w:val="24"/>
        </w:rPr>
        <w:t> </w:t>
      </w:r>
      <w:r>
        <w:rPr>
          <w:sz w:val="24"/>
        </w:rPr>
        <w:t>D.,</w:t>
      </w:r>
      <w:r>
        <w:rPr>
          <w:spacing w:val="-2"/>
          <w:sz w:val="24"/>
        </w:rPr>
        <w:t> </w:t>
      </w:r>
      <w:r>
        <w:rPr>
          <w:sz w:val="24"/>
        </w:rPr>
        <w:t>M.</w:t>
      </w:r>
      <w:r>
        <w:rPr>
          <w:spacing w:val="-1"/>
          <w:sz w:val="24"/>
        </w:rPr>
        <w:t> </w:t>
      </w:r>
      <w:r>
        <w:rPr>
          <w:sz w:val="24"/>
        </w:rPr>
        <w:t>Begel,</w:t>
      </w:r>
      <w:r>
        <w:rPr>
          <w:spacing w:val="-2"/>
          <w:sz w:val="24"/>
        </w:rPr>
        <w:t> </w:t>
      </w:r>
      <w:r>
        <w:rPr>
          <w:sz w:val="24"/>
        </w:rPr>
        <w:t>and W.</w:t>
      </w:r>
      <w:r>
        <w:rPr>
          <w:spacing w:val="-2"/>
          <w:sz w:val="24"/>
        </w:rPr>
        <w:t> </w:t>
      </w:r>
      <w:r>
        <w:rPr>
          <w:sz w:val="24"/>
        </w:rPr>
        <w:t>Nelson,</w:t>
      </w:r>
      <w:r>
        <w:rPr>
          <w:spacing w:val="-1"/>
          <w:sz w:val="24"/>
        </w:rPr>
        <w:t> </w:t>
      </w:r>
      <w:r>
        <w:rPr>
          <w:sz w:val="24"/>
        </w:rPr>
        <w:t>"Janka</w:t>
      </w:r>
      <w:r>
        <w:rPr>
          <w:spacing w:val="-2"/>
          <w:sz w:val="24"/>
        </w:rPr>
        <w:t> </w:t>
      </w:r>
      <w:r>
        <w:rPr>
          <w:sz w:val="24"/>
        </w:rPr>
        <w:t>Hardness</w:t>
      </w:r>
      <w:r>
        <w:rPr>
          <w:spacing w:val="-1"/>
          <w:sz w:val="24"/>
        </w:rPr>
        <w:t> </w:t>
      </w:r>
      <w:r>
        <w:rPr>
          <w:sz w:val="24"/>
        </w:rPr>
        <w:t>Using</w:t>
      </w:r>
      <w:r>
        <w:rPr>
          <w:spacing w:val="-2"/>
          <w:sz w:val="24"/>
        </w:rPr>
        <w:t> </w:t>
      </w:r>
      <w:r>
        <w:rPr>
          <w:sz w:val="24"/>
        </w:rPr>
        <w:t>Nonstandard</w:t>
      </w:r>
      <w:r>
        <w:rPr>
          <w:spacing w:val="-57"/>
          <w:sz w:val="24"/>
        </w:rPr>
        <w:t> </w:t>
      </w:r>
      <w:r>
        <w:rPr>
          <w:sz w:val="24"/>
        </w:rPr>
        <w:t>Specimens,"</w:t>
      </w:r>
      <w:r>
        <w:rPr>
          <w:spacing w:val="59"/>
          <w:sz w:val="24"/>
        </w:rPr>
        <w:t> </w:t>
      </w:r>
      <w:r>
        <w:rPr>
          <w:sz w:val="24"/>
        </w:rPr>
        <w:t>FPL-RN-0303, 2006.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1064" w:top="1500" w:bottom="1260" w:left="440" w:right="880"/>
        </w:sectPr>
      </w:pPr>
    </w:p>
    <w:p>
      <w:pPr>
        <w:pStyle w:val="ListParagraph"/>
        <w:numPr>
          <w:ilvl w:val="0"/>
          <w:numId w:val="30"/>
        </w:numPr>
        <w:tabs>
          <w:tab w:pos="2440" w:val="left" w:leader="none"/>
        </w:tabs>
        <w:spacing w:line="240" w:lineRule="auto" w:before="78" w:after="0"/>
        <w:ind w:left="2440" w:right="1099" w:hanging="720"/>
        <w:jc w:val="both"/>
        <w:rPr>
          <w:sz w:val="24"/>
        </w:rPr>
      </w:pPr>
      <w:r>
        <w:rPr>
          <w:sz w:val="24"/>
        </w:rPr>
        <w:t>Gupta, N.K. and V. Madha, "An Experimental Study of Normal and Oblique</w:t>
      </w:r>
      <w:r>
        <w:rPr>
          <w:spacing w:val="-57"/>
          <w:sz w:val="24"/>
        </w:rPr>
        <w:t> </w:t>
      </w:r>
      <w:r>
        <w:rPr>
          <w:sz w:val="24"/>
        </w:rPr>
        <w:t>Impact of Hard-Core Projectile on Single and Layered Plates," </w:t>
      </w:r>
      <w:r>
        <w:rPr>
          <w:i/>
          <w:sz w:val="24"/>
        </w:rPr>
        <w:t>International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Impact Engineering, </w:t>
      </w:r>
      <w:r>
        <w:rPr>
          <w:sz w:val="24"/>
        </w:rPr>
        <w:t>vol.</w:t>
      </w:r>
      <w:r>
        <w:rPr>
          <w:spacing w:val="-2"/>
          <w:sz w:val="24"/>
        </w:rPr>
        <w:t> </w:t>
      </w:r>
      <w:r>
        <w:rPr>
          <w:sz w:val="24"/>
        </w:rPr>
        <w:t>19,</w:t>
      </w:r>
      <w:r>
        <w:rPr>
          <w:spacing w:val="-1"/>
          <w:sz w:val="24"/>
        </w:rPr>
        <w:t> </w:t>
      </w:r>
      <w:r>
        <w:rPr>
          <w:sz w:val="24"/>
        </w:rPr>
        <w:t>pp. 395-414, 1997.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655" w:hanging="720"/>
        <w:jc w:val="left"/>
        <w:rPr>
          <w:sz w:val="24"/>
        </w:rPr>
      </w:pPr>
      <w:r>
        <w:rPr>
          <w:sz w:val="24"/>
        </w:rPr>
        <w:t>Hasburgh, L., K. Bourne, P. Peralta, P. Mitchell, S. Schiff, and W. Pang, "Effect</w:t>
      </w:r>
      <w:r>
        <w:rPr>
          <w:spacing w:val="1"/>
          <w:sz w:val="24"/>
        </w:rPr>
        <w:t> </w:t>
      </w:r>
      <w:r>
        <w:rPr>
          <w:sz w:val="24"/>
        </w:rPr>
        <w:t>of Adhesive and Ply Configuration on the Fire Performance of Southern Pine</w:t>
      </w:r>
      <w:r>
        <w:rPr>
          <w:spacing w:val="1"/>
          <w:sz w:val="24"/>
        </w:rPr>
        <w:t> </w:t>
      </w:r>
      <w:r>
        <w:rPr>
          <w:sz w:val="24"/>
        </w:rPr>
        <w:t>Cross-Laminated</w:t>
      </w:r>
      <w:r>
        <w:rPr>
          <w:spacing w:val="-2"/>
          <w:sz w:val="24"/>
        </w:rPr>
        <w:t> </w:t>
      </w:r>
      <w:r>
        <w:rPr>
          <w:sz w:val="24"/>
        </w:rPr>
        <w:t>Timber,"</w:t>
      </w:r>
      <w:r>
        <w:rPr>
          <w:spacing w:val="-2"/>
          <w:sz w:val="24"/>
        </w:rPr>
        <w:t> </w:t>
      </w:r>
      <w:r>
        <w:rPr>
          <w:sz w:val="24"/>
        </w:rPr>
        <w:t>in</w:t>
      </w:r>
      <w:r>
        <w:rPr>
          <w:spacing w:val="-2"/>
          <w:sz w:val="24"/>
        </w:rPr>
        <w:t> </w:t>
      </w:r>
      <w:r>
        <w:rPr>
          <w:i/>
          <w:sz w:val="24"/>
        </w:rPr>
        <w:t>World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Conference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Timber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Engineering</w:t>
      </w:r>
      <w:r>
        <w:rPr>
          <w:sz w:val="24"/>
        </w:rPr>
        <w:t>,</w:t>
      </w:r>
      <w:r>
        <w:rPr>
          <w:spacing w:val="-3"/>
          <w:sz w:val="24"/>
        </w:rPr>
        <w:t> </w:t>
      </w:r>
      <w:r>
        <w:rPr>
          <w:sz w:val="24"/>
        </w:rPr>
        <w:t>Vienna,</w:t>
      </w:r>
      <w:r>
        <w:rPr>
          <w:spacing w:val="-57"/>
          <w:sz w:val="24"/>
        </w:rPr>
        <w:t> </w:t>
      </w:r>
      <w:r>
        <w:rPr>
          <w:sz w:val="24"/>
        </w:rPr>
        <w:t>Austria,</w:t>
      </w:r>
      <w:r>
        <w:rPr>
          <w:spacing w:val="-1"/>
          <w:sz w:val="24"/>
        </w:rPr>
        <w:t> </w:t>
      </w:r>
      <w:r>
        <w:rPr>
          <w:sz w:val="24"/>
        </w:rPr>
        <w:t>2016.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1056" w:hanging="720"/>
        <w:jc w:val="left"/>
        <w:rPr>
          <w:sz w:val="24"/>
        </w:rPr>
      </w:pPr>
      <w:r>
        <w:rPr>
          <w:sz w:val="24"/>
        </w:rPr>
        <w:t>Heil,</w:t>
      </w:r>
      <w:r>
        <w:rPr>
          <w:spacing w:val="-2"/>
          <w:sz w:val="24"/>
        </w:rPr>
        <w:t> </w:t>
      </w:r>
      <w:r>
        <w:rPr>
          <w:sz w:val="24"/>
        </w:rPr>
        <w:t>M.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4"/>
          <w:sz w:val="24"/>
        </w:rPr>
        <w:t> </w:t>
      </w:r>
      <w:r>
        <w:rPr>
          <w:sz w:val="24"/>
        </w:rPr>
        <w:t>L.</w:t>
      </w:r>
      <w:r>
        <w:rPr>
          <w:spacing w:val="-1"/>
          <w:sz w:val="24"/>
        </w:rPr>
        <w:t> </w:t>
      </w:r>
      <w:r>
        <w:rPr>
          <w:sz w:val="24"/>
        </w:rPr>
        <w:t>Tune,</w:t>
      </w:r>
      <w:r>
        <w:rPr>
          <w:spacing w:val="-2"/>
          <w:sz w:val="24"/>
        </w:rPr>
        <w:t> </w:t>
      </w:r>
      <w:r>
        <w:rPr>
          <w:sz w:val="24"/>
        </w:rPr>
        <w:t>"UMD</w:t>
      </w:r>
      <w:r>
        <w:rPr>
          <w:spacing w:val="-2"/>
          <w:sz w:val="24"/>
        </w:rPr>
        <w:t> </w:t>
      </w:r>
      <w:r>
        <w:rPr>
          <w:sz w:val="24"/>
        </w:rPr>
        <w:t>Researchers</w:t>
      </w:r>
      <w:r>
        <w:rPr>
          <w:spacing w:val="-2"/>
          <w:sz w:val="24"/>
        </w:rPr>
        <w:t> </w:t>
      </w:r>
      <w:r>
        <w:rPr>
          <w:sz w:val="24"/>
        </w:rPr>
        <w:t>Create</w:t>
      </w:r>
      <w:r>
        <w:rPr>
          <w:spacing w:val="-2"/>
          <w:sz w:val="24"/>
        </w:rPr>
        <w:t> </w:t>
      </w:r>
      <w:r>
        <w:rPr>
          <w:sz w:val="24"/>
        </w:rPr>
        <w:t>Super</w:t>
      </w:r>
      <w:r>
        <w:rPr>
          <w:spacing w:val="-1"/>
          <w:sz w:val="24"/>
        </w:rPr>
        <w:t> </w:t>
      </w:r>
      <w:r>
        <w:rPr>
          <w:sz w:val="24"/>
        </w:rPr>
        <w:t>Wood</w:t>
      </w:r>
      <w:r>
        <w:rPr>
          <w:spacing w:val="-1"/>
          <w:sz w:val="24"/>
        </w:rPr>
        <w:t> </w:t>
      </w:r>
      <w:r>
        <w:rPr>
          <w:sz w:val="24"/>
        </w:rPr>
        <w:t>Stronger</w:t>
      </w:r>
      <w:r>
        <w:rPr>
          <w:spacing w:val="-1"/>
          <w:sz w:val="24"/>
        </w:rPr>
        <w:t> </w:t>
      </w:r>
      <w:r>
        <w:rPr>
          <w:sz w:val="24"/>
        </w:rPr>
        <w:t>Than</w:t>
      </w:r>
      <w:r>
        <w:rPr>
          <w:spacing w:val="-57"/>
          <w:sz w:val="24"/>
        </w:rPr>
        <w:t> </w:t>
      </w:r>
      <w:r>
        <w:rPr>
          <w:sz w:val="24"/>
        </w:rPr>
        <w:t>Most</w:t>
      </w:r>
      <w:r>
        <w:rPr>
          <w:spacing w:val="-1"/>
          <w:sz w:val="24"/>
        </w:rPr>
        <w:t> </w:t>
      </w:r>
      <w:r>
        <w:rPr>
          <w:sz w:val="24"/>
        </w:rPr>
        <w:t>Metals," ed, 2018.</w:t>
      </w:r>
    </w:p>
    <w:p>
      <w:pPr>
        <w:pStyle w:val="BodyText"/>
        <w:rPr>
          <w:sz w:val="38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775" w:hanging="720"/>
        <w:jc w:val="left"/>
        <w:rPr>
          <w:sz w:val="24"/>
        </w:rPr>
      </w:pPr>
      <w:r>
        <w:rPr>
          <w:sz w:val="24"/>
        </w:rPr>
        <w:t>Hess, P.E., D. Bruchman, I. Assakkaf, and B.M. Ayyub, "Uncertainties in</w:t>
      </w:r>
      <w:r>
        <w:rPr>
          <w:spacing w:val="1"/>
          <w:sz w:val="24"/>
        </w:rPr>
        <w:t> </w:t>
      </w:r>
      <w:r>
        <w:rPr>
          <w:sz w:val="24"/>
        </w:rPr>
        <w:t>Material and Geometric Strength and Load Variable," </w:t>
      </w:r>
      <w:r>
        <w:rPr>
          <w:i/>
          <w:sz w:val="24"/>
        </w:rPr>
        <w:t>Naval Engineers Journal,</w:t>
      </w:r>
      <w:r>
        <w:rPr>
          <w:i/>
          <w:spacing w:val="-58"/>
          <w:sz w:val="24"/>
        </w:rPr>
        <w:t> </w:t>
      </w:r>
      <w:r>
        <w:rPr>
          <w:sz w:val="24"/>
        </w:rPr>
        <w:t>2002.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682" w:hanging="720"/>
        <w:jc w:val="left"/>
        <w:rPr>
          <w:sz w:val="24"/>
        </w:rPr>
      </w:pPr>
      <w:r>
        <w:rPr>
          <w:sz w:val="24"/>
        </w:rPr>
        <w:t>Hill, R., "Cavitation and the influence of headshape in attack of thick targets by</w:t>
      </w:r>
      <w:r>
        <w:rPr>
          <w:spacing w:val="1"/>
          <w:sz w:val="24"/>
        </w:rPr>
        <w:t> </w:t>
      </w:r>
      <w:r>
        <w:rPr>
          <w:sz w:val="24"/>
        </w:rPr>
        <w:t>non-deforming</w:t>
      </w:r>
      <w:r>
        <w:rPr>
          <w:spacing w:val="-2"/>
          <w:sz w:val="24"/>
        </w:rPr>
        <w:t> </w:t>
      </w:r>
      <w:r>
        <w:rPr>
          <w:sz w:val="24"/>
        </w:rPr>
        <w:t>projectiles,"</w:t>
      </w:r>
      <w:r>
        <w:rPr>
          <w:spacing w:val="-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Mechanics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Physical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Solids,</w:t>
      </w:r>
      <w:r>
        <w:rPr>
          <w:i/>
          <w:spacing w:val="-1"/>
          <w:sz w:val="24"/>
        </w:rPr>
        <w:t> </w:t>
      </w:r>
      <w:r>
        <w:rPr>
          <w:sz w:val="24"/>
        </w:rPr>
        <w:t>vol.</w:t>
      </w:r>
      <w:r>
        <w:rPr>
          <w:spacing w:val="-3"/>
          <w:sz w:val="24"/>
        </w:rPr>
        <w:t> </w:t>
      </w:r>
      <w:r>
        <w:rPr>
          <w:sz w:val="24"/>
        </w:rPr>
        <w:t>28,</w:t>
      </w:r>
      <w:r>
        <w:rPr>
          <w:spacing w:val="-1"/>
          <w:sz w:val="24"/>
        </w:rPr>
        <w:t> </w:t>
      </w:r>
      <w:r>
        <w:rPr>
          <w:sz w:val="24"/>
        </w:rPr>
        <w:t>pp.</w:t>
      </w:r>
      <w:r>
        <w:rPr>
          <w:spacing w:val="-57"/>
          <w:sz w:val="24"/>
        </w:rPr>
        <w:t> </w:t>
      </w:r>
      <w:r>
        <w:rPr>
          <w:sz w:val="24"/>
        </w:rPr>
        <w:t>249-263., 1980.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634" w:hanging="720"/>
        <w:jc w:val="left"/>
        <w:rPr>
          <w:sz w:val="24"/>
        </w:rPr>
      </w:pPr>
      <w:r>
        <w:rPr>
          <w:sz w:val="24"/>
        </w:rPr>
        <w:t>Hindman, D.P. and J.C. Bouldin, "Mechanical Properties of Southern Pine Cross-</w:t>
      </w:r>
      <w:r>
        <w:rPr>
          <w:spacing w:val="-58"/>
          <w:sz w:val="24"/>
        </w:rPr>
        <w:t> </w:t>
      </w:r>
      <w:r>
        <w:rPr>
          <w:sz w:val="24"/>
        </w:rPr>
        <w:t>Laminated Timber," </w:t>
      </w:r>
      <w:r>
        <w:rPr>
          <w:i/>
          <w:sz w:val="24"/>
        </w:rPr>
        <w:t>Journal of Materials in Civil Engineering, </w:t>
      </w:r>
      <w:r>
        <w:rPr>
          <w:sz w:val="24"/>
        </w:rPr>
        <w:t>vol. 27, p.</w:t>
      </w:r>
      <w:r>
        <w:rPr>
          <w:spacing w:val="1"/>
          <w:sz w:val="24"/>
        </w:rPr>
        <w:t> </w:t>
      </w:r>
      <w:r>
        <w:rPr>
          <w:sz w:val="24"/>
        </w:rPr>
        <w:t>04014251, 2015.</w:t>
      </w:r>
    </w:p>
    <w:p>
      <w:pPr>
        <w:pStyle w:val="BodyText"/>
        <w:rPr>
          <w:sz w:val="38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1094" w:hanging="720"/>
        <w:jc w:val="left"/>
        <w:rPr>
          <w:sz w:val="24"/>
        </w:rPr>
      </w:pPr>
      <w:r>
        <w:rPr>
          <w:sz w:val="24"/>
        </w:rPr>
        <w:t>Hough, R., J. Kell, and J. Koopman, "CLT Apartment Blocks for the Sydney</w:t>
      </w:r>
      <w:r>
        <w:rPr>
          <w:spacing w:val="-58"/>
          <w:sz w:val="24"/>
        </w:rPr>
        <w:t> </w:t>
      </w:r>
      <w:r>
        <w:rPr>
          <w:sz w:val="24"/>
        </w:rPr>
        <w:t>Affordable Housing Market," in </w:t>
      </w:r>
      <w:r>
        <w:rPr>
          <w:i/>
          <w:sz w:val="24"/>
        </w:rPr>
        <w:t>World Conference on Timber Engineering</w:t>
      </w:r>
      <w:r>
        <w:rPr>
          <w:sz w:val="24"/>
        </w:rPr>
        <w:t>,</w:t>
      </w:r>
      <w:r>
        <w:rPr>
          <w:spacing w:val="1"/>
          <w:sz w:val="24"/>
        </w:rPr>
        <w:t> </w:t>
      </w:r>
      <w:r>
        <w:rPr>
          <w:sz w:val="24"/>
        </w:rPr>
        <w:t>Auckland,</w:t>
      </w:r>
      <w:r>
        <w:rPr>
          <w:spacing w:val="-1"/>
          <w:sz w:val="24"/>
        </w:rPr>
        <w:t> </w:t>
      </w:r>
      <w:r>
        <w:rPr>
          <w:sz w:val="24"/>
        </w:rPr>
        <w:t>New</w:t>
      </w:r>
      <w:r>
        <w:rPr>
          <w:spacing w:val="-1"/>
          <w:sz w:val="24"/>
        </w:rPr>
        <w:t> </w:t>
      </w:r>
      <w:r>
        <w:rPr>
          <w:sz w:val="24"/>
        </w:rPr>
        <w:t>Zealand,</w:t>
      </w:r>
      <w:r>
        <w:rPr>
          <w:spacing w:val="-2"/>
          <w:sz w:val="24"/>
        </w:rPr>
        <w:t> </w:t>
      </w:r>
      <w:r>
        <w:rPr>
          <w:sz w:val="24"/>
        </w:rPr>
        <w:t>2012.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627" w:hanging="720"/>
        <w:jc w:val="left"/>
        <w:rPr>
          <w:sz w:val="24"/>
        </w:rPr>
      </w:pPr>
      <w:r>
        <w:rPr>
          <w:sz w:val="24"/>
        </w:rPr>
        <w:t>Howell, R.A., J.S. Montgomery, and D.C. Van Aken, "Advancements in Steel for</w:t>
      </w:r>
      <w:r>
        <w:rPr>
          <w:spacing w:val="-58"/>
          <w:sz w:val="24"/>
        </w:rPr>
        <w:t> </w:t>
      </w:r>
      <w:r>
        <w:rPr>
          <w:sz w:val="24"/>
        </w:rPr>
        <w:t>Weight Reduction of P900 Armor Plate," in </w:t>
      </w:r>
      <w:r>
        <w:rPr>
          <w:i/>
          <w:sz w:val="24"/>
        </w:rPr>
        <w:t>Army Science Conference</w:t>
      </w:r>
      <w:r>
        <w:rPr>
          <w:sz w:val="24"/>
        </w:rPr>
        <w:t>, Orlando,</w:t>
      </w:r>
      <w:r>
        <w:rPr>
          <w:spacing w:val="1"/>
          <w:sz w:val="24"/>
        </w:rPr>
        <w:t> </w:t>
      </w:r>
      <w:r>
        <w:rPr>
          <w:sz w:val="24"/>
        </w:rPr>
        <w:t>FL,</w:t>
      </w:r>
      <w:r>
        <w:rPr>
          <w:spacing w:val="-1"/>
          <w:sz w:val="24"/>
        </w:rPr>
        <w:t> </w:t>
      </w:r>
      <w:r>
        <w:rPr>
          <w:sz w:val="24"/>
        </w:rPr>
        <w:t>2008.</w:t>
      </w:r>
    </w:p>
    <w:p>
      <w:pPr>
        <w:pStyle w:val="BodyText"/>
        <w:spacing w:before="11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2433" w:hanging="720"/>
        <w:jc w:val="left"/>
        <w:rPr>
          <w:sz w:val="24"/>
        </w:rPr>
      </w:pPr>
      <w:r>
        <w:rPr>
          <w:sz w:val="24"/>
        </w:rPr>
        <w:t>U.S.Navy</w:t>
      </w:r>
      <w:r>
        <w:rPr>
          <w:spacing w:val="-2"/>
          <w:sz w:val="24"/>
        </w:rPr>
        <w:t> </w:t>
      </w:r>
      <w:r>
        <w:rPr>
          <w:sz w:val="24"/>
        </w:rPr>
        <w:t>Office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Information.</w:t>
      </w:r>
      <w:r>
        <w:rPr>
          <w:spacing w:val="56"/>
          <w:sz w:val="24"/>
        </w:rPr>
        <w:t> </w:t>
      </w:r>
      <w:r>
        <w:rPr>
          <w:i/>
          <w:sz w:val="24"/>
        </w:rPr>
        <w:t>USS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Constitution</w:t>
      </w:r>
      <w:r>
        <w:rPr>
          <w:sz w:val="24"/>
        </w:rPr>
        <w:t>.</w:t>
      </w:r>
      <w:r>
        <w:rPr>
          <w:spacing w:val="-2"/>
          <w:sz w:val="24"/>
        </w:rPr>
        <w:t> </w:t>
      </w:r>
      <w:r>
        <w:rPr>
          <w:sz w:val="24"/>
        </w:rPr>
        <w:t>Available:</w:t>
      </w:r>
      <w:r>
        <w:rPr>
          <w:spacing w:val="-57"/>
          <w:sz w:val="24"/>
        </w:rPr>
        <w:t> </w:t>
      </w:r>
      <w:hyperlink r:id="rId475">
        <w:r>
          <w:rPr>
            <w:sz w:val="24"/>
          </w:rPr>
          <w:t>http://www.navy.mil/ah_online/constitution/.</w:t>
        </w:r>
      </w:hyperlink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628" w:hanging="720"/>
        <w:jc w:val="left"/>
        <w:rPr>
          <w:sz w:val="24"/>
        </w:rPr>
      </w:pPr>
      <w:r>
        <w:rPr>
          <w:sz w:val="24"/>
        </w:rPr>
        <w:t>Jacques, E., A. Lloyd, A. Braimah, M. Saatcioglu, G. Doudak, and O. Abdelalim,</w:t>
      </w:r>
      <w:r>
        <w:rPr>
          <w:spacing w:val="-57"/>
          <w:sz w:val="24"/>
        </w:rPr>
        <w:t> </w:t>
      </w:r>
      <w:r>
        <w:rPr>
          <w:sz w:val="24"/>
        </w:rPr>
        <w:t>"Influence of high strain-rates on the dynamic flexural material properties of</w:t>
      </w:r>
      <w:r>
        <w:rPr>
          <w:spacing w:val="1"/>
          <w:sz w:val="24"/>
        </w:rPr>
        <w:t> </w:t>
      </w:r>
      <w:r>
        <w:rPr>
          <w:sz w:val="24"/>
        </w:rPr>
        <w:t>spruce–pine–fir</w:t>
      </w:r>
      <w:r>
        <w:rPr>
          <w:spacing w:val="-2"/>
          <w:sz w:val="24"/>
        </w:rPr>
        <w:t> </w:t>
      </w:r>
      <w:r>
        <w:rPr>
          <w:sz w:val="24"/>
        </w:rPr>
        <w:t>wood</w:t>
      </w:r>
      <w:r>
        <w:rPr>
          <w:spacing w:val="-1"/>
          <w:sz w:val="24"/>
        </w:rPr>
        <w:t> </w:t>
      </w:r>
      <w:r>
        <w:rPr>
          <w:sz w:val="24"/>
        </w:rPr>
        <w:t>studs,"</w:t>
      </w:r>
      <w:r>
        <w:rPr>
          <w:spacing w:val="-1"/>
          <w:sz w:val="24"/>
        </w:rPr>
        <w:t> </w:t>
      </w:r>
      <w:r>
        <w:rPr>
          <w:i/>
          <w:sz w:val="24"/>
        </w:rPr>
        <w:t>Canadian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Civil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Engineering,</w:t>
      </w:r>
      <w:r>
        <w:rPr>
          <w:i/>
          <w:spacing w:val="-1"/>
          <w:sz w:val="24"/>
        </w:rPr>
        <w:t> </w:t>
      </w:r>
      <w:r>
        <w:rPr>
          <w:sz w:val="24"/>
        </w:rPr>
        <w:t>vol.</w:t>
      </w:r>
      <w:r>
        <w:rPr>
          <w:spacing w:val="-3"/>
          <w:sz w:val="24"/>
        </w:rPr>
        <w:t> </w:t>
      </w:r>
      <w:r>
        <w:rPr>
          <w:sz w:val="24"/>
        </w:rPr>
        <w:t>41,</w:t>
      </w:r>
      <w:r>
        <w:rPr>
          <w:spacing w:val="-1"/>
          <w:sz w:val="24"/>
        </w:rPr>
        <w:t> </w:t>
      </w:r>
      <w:r>
        <w:rPr>
          <w:sz w:val="24"/>
        </w:rPr>
        <w:t>pp.</w:t>
      </w:r>
      <w:r>
        <w:rPr>
          <w:spacing w:val="-57"/>
          <w:sz w:val="24"/>
        </w:rPr>
        <w:t> </w:t>
      </w:r>
      <w:r>
        <w:rPr>
          <w:sz w:val="24"/>
        </w:rPr>
        <w:t>56-64, 2014.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1064" w:top="1360" w:bottom="1260" w:left="440" w:right="880"/>
        </w:sect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78" w:after="0"/>
        <w:ind w:left="2440" w:right="901" w:hanging="720"/>
        <w:jc w:val="left"/>
        <w:rPr>
          <w:sz w:val="24"/>
        </w:rPr>
      </w:pPr>
      <w:r>
        <w:rPr>
          <w:sz w:val="24"/>
        </w:rPr>
        <w:t>Jonas, G.H. and J.A. Zukas, "Mechanics of Penetration: Analysis and</w:t>
      </w:r>
      <w:r>
        <w:rPr>
          <w:spacing w:val="1"/>
          <w:sz w:val="24"/>
        </w:rPr>
        <w:t> </w:t>
      </w:r>
      <w:r>
        <w:rPr>
          <w:sz w:val="24"/>
        </w:rPr>
        <w:t>Experiment," </w:t>
      </w:r>
      <w:r>
        <w:rPr>
          <w:i/>
          <w:sz w:val="24"/>
        </w:rPr>
        <w:t>International Journal Engineering Science, </w:t>
      </w:r>
      <w:r>
        <w:rPr>
          <w:sz w:val="24"/>
        </w:rPr>
        <w:t>vol. 16, pp. 879-903,</w:t>
      </w:r>
      <w:r>
        <w:rPr>
          <w:spacing w:val="-58"/>
          <w:sz w:val="24"/>
        </w:rPr>
        <w:t> </w:t>
      </w:r>
      <w:r>
        <w:rPr>
          <w:sz w:val="24"/>
        </w:rPr>
        <w:t>1978.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1270" w:hanging="720"/>
        <w:jc w:val="left"/>
        <w:rPr>
          <w:sz w:val="24"/>
        </w:rPr>
      </w:pPr>
      <w:r>
        <w:rPr>
          <w:sz w:val="24"/>
        </w:rPr>
        <w:t>Karacabeyli, E. and B. Douglas. (2013). </w:t>
      </w:r>
      <w:r>
        <w:rPr>
          <w:i/>
          <w:sz w:val="24"/>
        </w:rPr>
        <w:t>CLT Handbook (Cross-Laminated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Timber)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U.S. Edition</w:t>
      </w:r>
      <w:r>
        <w:rPr>
          <w:sz w:val="24"/>
        </w:rPr>
        <w:t>.</w:t>
      </w:r>
    </w:p>
    <w:p>
      <w:pPr>
        <w:pStyle w:val="BodyText"/>
        <w:rPr>
          <w:sz w:val="38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842" w:hanging="720"/>
        <w:jc w:val="left"/>
        <w:rPr>
          <w:sz w:val="24"/>
        </w:rPr>
      </w:pPr>
      <w:r>
        <w:rPr>
          <w:sz w:val="24"/>
        </w:rPr>
        <w:t>Kaufmann,</w:t>
      </w:r>
      <w:r>
        <w:rPr>
          <w:spacing w:val="-1"/>
          <w:sz w:val="24"/>
        </w:rPr>
        <w:t> </w:t>
      </w:r>
      <w:r>
        <w:rPr>
          <w:sz w:val="24"/>
        </w:rPr>
        <w:t>C.,</w:t>
      </w:r>
      <w:r>
        <w:rPr>
          <w:spacing w:val="-1"/>
          <w:sz w:val="24"/>
        </w:rPr>
        <w:t> </w:t>
      </w:r>
      <w:r>
        <w:rPr>
          <w:sz w:val="24"/>
        </w:rPr>
        <w:t>D.</w:t>
      </w:r>
      <w:r>
        <w:rPr>
          <w:spacing w:val="-2"/>
          <w:sz w:val="24"/>
        </w:rPr>
        <w:t> </w:t>
      </w:r>
      <w:r>
        <w:rPr>
          <w:sz w:val="24"/>
        </w:rPr>
        <w:t>Cronin,</w:t>
      </w:r>
      <w:r>
        <w:rPr>
          <w:spacing w:val="-1"/>
          <w:sz w:val="24"/>
        </w:rPr>
        <w:t> </w:t>
      </w:r>
      <w:r>
        <w:rPr>
          <w:sz w:val="24"/>
        </w:rPr>
        <w:t>M.</w:t>
      </w:r>
      <w:r>
        <w:rPr>
          <w:spacing w:val="-1"/>
          <w:sz w:val="24"/>
        </w:rPr>
        <w:t> </w:t>
      </w:r>
      <w:r>
        <w:rPr>
          <w:sz w:val="24"/>
        </w:rPr>
        <w:t>Worswick,</w:t>
      </w:r>
      <w:r>
        <w:rPr>
          <w:spacing w:val="-1"/>
          <w:sz w:val="24"/>
        </w:rPr>
        <w:t> </w:t>
      </w:r>
      <w:r>
        <w:rPr>
          <w:sz w:val="24"/>
        </w:rPr>
        <w:t>G.</w:t>
      </w:r>
      <w:r>
        <w:rPr>
          <w:spacing w:val="-1"/>
          <w:sz w:val="24"/>
        </w:rPr>
        <w:t> </w:t>
      </w:r>
      <w:r>
        <w:rPr>
          <w:sz w:val="24"/>
        </w:rPr>
        <w:t>Pageau,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A.</w:t>
      </w:r>
      <w:r>
        <w:rPr>
          <w:spacing w:val="-2"/>
          <w:sz w:val="24"/>
        </w:rPr>
        <w:t> </w:t>
      </w:r>
      <w:r>
        <w:rPr>
          <w:sz w:val="24"/>
        </w:rPr>
        <w:t>Beth,</w:t>
      </w:r>
      <w:r>
        <w:rPr>
          <w:spacing w:val="-1"/>
          <w:sz w:val="24"/>
        </w:rPr>
        <w:t> </w:t>
      </w:r>
      <w:r>
        <w:rPr>
          <w:sz w:val="24"/>
        </w:rPr>
        <w:t>"Influence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57"/>
          <w:sz w:val="24"/>
        </w:rPr>
        <w:t> </w:t>
      </w:r>
      <w:r>
        <w:rPr>
          <w:sz w:val="24"/>
        </w:rPr>
        <w:t>material properties on the ballistic performance of ceramics for personal body</w:t>
      </w:r>
      <w:r>
        <w:rPr>
          <w:spacing w:val="1"/>
          <w:sz w:val="24"/>
        </w:rPr>
        <w:t> </w:t>
      </w:r>
      <w:r>
        <w:rPr>
          <w:sz w:val="24"/>
        </w:rPr>
        <w:t>armour,"</w:t>
      </w:r>
      <w:r>
        <w:rPr>
          <w:spacing w:val="-1"/>
          <w:sz w:val="24"/>
        </w:rPr>
        <w:t> </w:t>
      </w:r>
      <w:r>
        <w:rPr>
          <w:i/>
          <w:sz w:val="24"/>
        </w:rPr>
        <w:t>Shock and Vibration, </w:t>
      </w:r>
      <w:r>
        <w:rPr>
          <w:sz w:val="24"/>
        </w:rPr>
        <w:t>vol.</w:t>
      </w:r>
      <w:r>
        <w:rPr>
          <w:spacing w:val="-2"/>
          <w:sz w:val="24"/>
        </w:rPr>
        <w:t> </w:t>
      </w:r>
      <w:r>
        <w:rPr>
          <w:sz w:val="24"/>
        </w:rPr>
        <w:t>10, pp.</w:t>
      </w:r>
      <w:r>
        <w:rPr>
          <w:spacing w:val="-1"/>
          <w:sz w:val="24"/>
        </w:rPr>
        <w:t> </w:t>
      </w:r>
      <w:r>
        <w:rPr>
          <w:sz w:val="24"/>
        </w:rPr>
        <w:t>51-58, 2003.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0" w:hanging="720"/>
        <w:jc w:val="left"/>
        <w:rPr>
          <w:sz w:val="24"/>
        </w:rPr>
      </w:pPr>
      <w:r>
        <w:rPr>
          <w:sz w:val="24"/>
        </w:rPr>
        <w:t>Kavanaugh,</w:t>
      </w:r>
      <w:r>
        <w:rPr>
          <w:spacing w:val="-3"/>
          <w:sz w:val="24"/>
        </w:rPr>
        <w:t> </w:t>
      </w:r>
      <w:r>
        <w:rPr>
          <w:sz w:val="24"/>
        </w:rPr>
        <w:t>S.P.,</w:t>
      </w:r>
      <w:r>
        <w:rPr>
          <w:spacing w:val="-2"/>
          <w:sz w:val="24"/>
        </w:rPr>
        <w:t> </w:t>
      </w:r>
      <w:r>
        <w:rPr>
          <w:i/>
          <w:sz w:val="24"/>
        </w:rPr>
        <w:t>HVAC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Simplified</w:t>
      </w:r>
      <w:r>
        <w:rPr>
          <w:sz w:val="24"/>
        </w:rPr>
        <w:t>.</w:t>
      </w:r>
      <w:r>
        <w:rPr>
          <w:spacing w:val="-4"/>
          <w:sz w:val="24"/>
        </w:rPr>
        <w:t> </w:t>
      </w:r>
      <w:r>
        <w:rPr>
          <w:sz w:val="24"/>
        </w:rPr>
        <w:t>Atlanta,</w:t>
      </w:r>
      <w:r>
        <w:rPr>
          <w:spacing w:val="-2"/>
          <w:sz w:val="24"/>
        </w:rPr>
        <w:t> </w:t>
      </w:r>
      <w:r>
        <w:rPr>
          <w:sz w:val="24"/>
        </w:rPr>
        <w:t>GA:</w:t>
      </w:r>
      <w:r>
        <w:rPr>
          <w:spacing w:val="-3"/>
          <w:sz w:val="24"/>
        </w:rPr>
        <w:t> </w:t>
      </w:r>
      <w:r>
        <w:rPr>
          <w:sz w:val="24"/>
        </w:rPr>
        <w:t>ASHRAE,</w:t>
      </w:r>
      <w:r>
        <w:rPr>
          <w:spacing w:val="-1"/>
          <w:sz w:val="24"/>
        </w:rPr>
        <w:t> </w:t>
      </w:r>
      <w:r>
        <w:rPr>
          <w:sz w:val="24"/>
        </w:rPr>
        <w:t>2006.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893" w:hanging="720"/>
        <w:jc w:val="left"/>
        <w:rPr>
          <w:sz w:val="24"/>
        </w:rPr>
      </w:pPr>
      <w:r>
        <w:rPr>
          <w:sz w:val="24"/>
        </w:rPr>
        <w:t>Kipfer, A. (2017, July 14, 2017) Cross-laminated timber fire testing sees</w:t>
      </w:r>
      <w:r>
        <w:rPr>
          <w:spacing w:val="1"/>
          <w:sz w:val="24"/>
        </w:rPr>
        <w:t> </w:t>
      </w:r>
      <w:r>
        <w:rPr>
          <w:sz w:val="24"/>
        </w:rPr>
        <w:t>promising results. </w:t>
      </w:r>
      <w:r>
        <w:rPr>
          <w:i/>
          <w:sz w:val="24"/>
        </w:rPr>
        <w:t>Woodworking Network</w:t>
      </w:r>
      <w:r>
        <w:rPr>
          <w:sz w:val="24"/>
        </w:rPr>
        <w:t>. Available:</w:t>
      </w:r>
      <w:r>
        <w:rPr>
          <w:spacing w:val="1"/>
          <w:sz w:val="24"/>
        </w:rPr>
        <w:t> </w:t>
      </w:r>
      <w:hyperlink r:id="rId476">
        <w:r>
          <w:rPr>
            <w:spacing w:val="-1"/>
            <w:sz w:val="24"/>
          </w:rPr>
          <w:t>http://www.woodworkingnetwork.com/architectural-products/cross-laminated-</w:t>
        </w:r>
      </w:hyperlink>
      <w:r>
        <w:rPr>
          <w:sz w:val="24"/>
        </w:rPr>
        <w:t> timber-fire-testing-sees-promising-results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763" w:hanging="720"/>
        <w:jc w:val="left"/>
        <w:rPr>
          <w:sz w:val="24"/>
        </w:rPr>
      </w:pPr>
      <w:r>
        <w:rPr>
          <w:sz w:val="24"/>
        </w:rPr>
        <w:t>Kreiger, M., D. Chu, S. Shrestha, K.J. Hay, M.R. Kemme, A.C. Johannes</w:t>
      </w:r>
      <w:r>
        <w:rPr>
          <w:i/>
          <w:sz w:val="24"/>
        </w:rPr>
        <w:t>, et al.</w:t>
      </w:r>
      <w:r>
        <w:rPr>
          <w:sz w:val="24"/>
        </w:rPr>
        <w:t>,</w:t>
      </w:r>
      <w:r>
        <w:rPr>
          <w:spacing w:val="-57"/>
          <w:sz w:val="24"/>
        </w:rPr>
        <w:t> </w:t>
      </w:r>
      <w:r>
        <w:rPr>
          <w:sz w:val="24"/>
        </w:rPr>
        <w:t>"The</w:t>
      </w:r>
      <w:r>
        <w:rPr>
          <w:spacing w:val="-1"/>
          <w:sz w:val="24"/>
        </w:rPr>
        <w:t> </w:t>
      </w:r>
      <w:r>
        <w:rPr>
          <w:sz w:val="24"/>
        </w:rPr>
        <w:t>Stuctural Insulated</w:t>
      </w:r>
      <w:r>
        <w:rPr>
          <w:spacing w:val="-2"/>
          <w:sz w:val="24"/>
        </w:rPr>
        <w:t> </w:t>
      </w:r>
      <w:r>
        <w:rPr>
          <w:sz w:val="24"/>
        </w:rPr>
        <w:t>Panel "SIP</w:t>
      </w:r>
      <w:r>
        <w:rPr>
          <w:spacing w:val="-2"/>
          <w:sz w:val="24"/>
        </w:rPr>
        <w:t> </w:t>
      </w:r>
      <w:r>
        <w:rPr>
          <w:sz w:val="24"/>
        </w:rPr>
        <w:t>Hut","</w:t>
      </w:r>
      <w:r>
        <w:rPr>
          <w:spacing w:val="-1"/>
          <w:sz w:val="24"/>
        </w:rPr>
        <w:t> </w:t>
      </w:r>
      <w:r>
        <w:rPr>
          <w:sz w:val="24"/>
        </w:rPr>
        <w:t>2015.</w:t>
      </w:r>
    </w:p>
    <w:p>
      <w:pPr>
        <w:pStyle w:val="BodyText"/>
        <w:rPr>
          <w:sz w:val="38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830" w:hanging="720"/>
        <w:jc w:val="left"/>
        <w:rPr>
          <w:sz w:val="24"/>
        </w:rPr>
      </w:pPr>
      <w:r>
        <w:rPr>
          <w:sz w:val="24"/>
        </w:rPr>
        <w:t>Kwak,</w:t>
      </w:r>
      <w:r>
        <w:rPr>
          <w:spacing w:val="-3"/>
          <w:sz w:val="24"/>
        </w:rPr>
        <w:t> </w:t>
      </w:r>
      <w:r>
        <w:rPr>
          <w:sz w:val="24"/>
        </w:rPr>
        <w:t>Y.H.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L.</w:t>
      </w:r>
      <w:r>
        <w:rPr>
          <w:spacing w:val="-2"/>
          <w:sz w:val="24"/>
        </w:rPr>
        <w:t> </w:t>
      </w:r>
      <w:r>
        <w:rPr>
          <w:sz w:val="24"/>
        </w:rPr>
        <w:t>Ingall,</w:t>
      </w:r>
      <w:r>
        <w:rPr>
          <w:spacing w:val="-2"/>
          <w:sz w:val="24"/>
        </w:rPr>
        <w:t> </w:t>
      </w:r>
      <w:r>
        <w:rPr>
          <w:sz w:val="24"/>
        </w:rPr>
        <w:t>"Exploring</w:t>
      </w:r>
      <w:r>
        <w:rPr>
          <w:spacing w:val="-2"/>
          <w:sz w:val="24"/>
        </w:rPr>
        <w:t> </w:t>
      </w:r>
      <w:r>
        <w:rPr>
          <w:sz w:val="24"/>
        </w:rPr>
        <w:t>Monte</w:t>
      </w:r>
      <w:r>
        <w:rPr>
          <w:spacing w:val="-3"/>
          <w:sz w:val="24"/>
        </w:rPr>
        <w:t> </w:t>
      </w:r>
      <w:r>
        <w:rPr>
          <w:sz w:val="24"/>
        </w:rPr>
        <w:t>Carlo</w:t>
      </w:r>
      <w:r>
        <w:rPr>
          <w:spacing w:val="-2"/>
          <w:sz w:val="24"/>
        </w:rPr>
        <w:t> </w:t>
      </w:r>
      <w:r>
        <w:rPr>
          <w:sz w:val="24"/>
        </w:rPr>
        <w:t>Simulation</w:t>
      </w:r>
      <w:r>
        <w:rPr>
          <w:spacing w:val="-2"/>
          <w:sz w:val="24"/>
        </w:rPr>
        <w:t> </w:t>
      </w:r>
      <w:r>
        <w:rPr>
          <w:sz w:val="24"/>
        </w:rPr>
        <w:t>Applications</w:t>
      </w:r>
      <w:r>
        <w:rPr>
          <w:spacing w:val="-2"/>
          <w:sz w:val="24"/>
        </w:rPr>
        <w:t> </w:t>
      </w:r>
      <w:r>
        <w:rPr>
          <w:sz w:val="24"/>
        </w:rPr>
        <w:t>for</w:t>
      </w:r>
      <w:r>
        <w:rPr>
          <w:spacing w:val="-57"/>
          <w:sz w:val="24"/>
        </w:rPr>
        <w:t> </w:t>
      </w:r>
      <w:r>
        <w:rPr>
          <w:sz w:val="24"/>
        </w:rPr>
        <w:t>Project</w:t>
      </w:r>
      <w:r>
        <w:rPr>
          <w:spacing w:val="-1"/>
          <w:sz w:val="24"/>
        </w:rPr>
        <w:t> </w:t>
      </w:r>
      <w:r>
        <w:rPr>
          <w:sz w:val="24"/>
        </w:rPr>
        <w:t>Management," </w:t>
      </w:r>
      <w:r>
        <w:rPr>
          <w:i/>
          <w:sz w:val="24"/>
        </w:rPr>
        <w:t>Risk Management,</w:t>
      </w:r>
      <w:r>
        <w:rPr>
          <w:i/>
          <w:spacing w:val="-1"/>
          <w:sz w:val="24"/>
        </w:rPr>
        <w:t> </w:t>
      </w:r>
      <w:r>
        <w:rPr>
          <w:sz w:val="24"/>
        </w:rPr>
        <w:t>vol. 9,</w:t>
      </w:r>
      <w:r>
        <w:rPr>
          <w:spacing w:val="-2"/>
          <w:sz w:val="24"/>
        </w:rPr>
        <w:t> </w:t>
      </w:r>
      <w:r>
        <w:rPr>
          <w:sz w:val="24"/>
        </w:rPr>
        <w:t>pp.</w:t>
      </w:r>
      <w:r>
        <w:rPr>
          <w:spacing w:val="-1"/>
          <w:sz w:val="24"/>
        </w:rPr>
        <w:t> </w:t>
      </w:r>
      <w:r>
        <w:rPr>
          <w:sz w:val="24"/>
        </w:rPr>
        <w:t>44-57, 2007.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39" w:right="1081" w:hanging="720"/>
        <w:jc w:val="left"/>
        <w:rPr>
          <w:sz w:val="24"/>
        </w:rPr>
      </w:pPr>
      <w:r>
        <w:rPr>
          <w:sz w:val="24"/>
        </w:rPr>
        <w:t>Lacroix, D.N. and G. Doudak, "Investigation of Dynamic Increase Factors in</w:t>
      </w:r>
      <w:r>
        <w:rPr>
          <w:spacing w:val="-57"/>
          <w:sz w:val="24"/>
        </w:rPr>
        <w:t> </w:t>
      </w:r>
      <w:r>
        <w:rPr>
          <w:sz w:val="24"/>
        </w:rPr>
        <w:t>Light-Frame Wood Stud Walls Subjected to Out-of-Plane Blast Loading,"</w:t>
      </w:r>
      <w:r>
        <w:rPr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Structural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Engineering, </w:t>
      </w:r>
      <w:r>
        <w:rPr>
          <w:sz w:val="24"/>
        </w:rPr>
        <w:t>vol. 141,</w:t>
      </w:r>
      <w:r>
        <w:rPr>
          <w:spacing w:val="-1"/>
          <w:sz w:val="24"/>
        </w:rPr>
        <w:t> </w:t>
      </w:r>
      <w:r>
        <w:rPr>
          <w:sz w:val="24"/>
        </w:rPr>
        <w:t>p. 04014159, 2015.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40" w:val="left" w:leader="none"/>
        </w:tabs>
        <w:spacing w:line="240" w:lineRule="auto" w:before="1" w:after="0"/>
        <w:ind w:left="2439" w:right="1054" w:hanging="720"/>
        <w:jc w:val="both"/>
        <w:rPr>
          <w:sz w:val="24"/>
        </w:rPr>
      </w:pPr>
      <w:r>
        <w:rPr>
          <w:sz w:val="24"/>
        </w:rPr>
        <w:t>Lee, K. and J. Shin, "Equivalent single-degree-of-freedom analysis for blast-</w:t>
      </w:r>
      <w:r>
        <w:rPr>
          <w:spacing w:val="-57"/>
          <w:sz w:val="24"/>
        </w:rPr>
        <w:t> </w:t>
      </w:r>
      <w:r>
        <w:rPr>
          <w:sz w:val="24"/>
        </w:rPr>
        <w:t>resistant design," </w:t>
      </w:r>
      <w:r>
        <w:rPr>
          <w:i/>
          <w:sz w:val="24"/>
        </w:rPr>
        <w:t>International Journal of Steel Structures, </w:t>
      </w:r>
      <w:r>
        <w:rPr>
          <w:sz w:val="24"/>
        </w:rPr>
        <w:t>vol. 16, pp. 1263-</w:t>
      </w:r>
      <w:r>
        <w:rPr>
          <w:spacing w:val="-57"/>
          <w:sz w:val="24"/>
        </w:rPr>
        <w:t> </w:t>
      </w:r>
      <w:r>
        <w:rPr>
          <w:sz w:val="24"/>
        </w:rPr>
        <w:t>1271, 2016.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39" w:right="568" w:hanging="720"/>
        <w:jc w:val="left"/>
        <w:rPr>
          <w:sz w:val="24"/>
        </w:rPr>
      </w:pPr>
      <w:r>
        <w:rPr>
          <w:sz w:val="24"/>
        </w:rPr>
        <w:t>Lee, S., "Determination of Priority Weights under Multiattribute Decision Making</w:t>
      </w:r>
      <w:r>
        <w:rPr>
          <w:spacing w:val="-58"/>
          <w:sz w:val="24"/>
        </w:rPr>
        <w:t> </w:t>
      </w:r>
      <w:r>
        <w:rPr>
          <w:sz w:val="24"/>
        </w:rPr>
        <w:t>Situations: AHP versus Fuzzy AHP," </w:t>
      </w:r>
      <w:r>
        <w:rPr>
          <w:i/>
          <w:sz w:val="24"/>
        </w:rPr>
        <w:t>Journal of Construction Engineering 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Management,</w:t>
      </w:r>
      <w:r>
        <w:rPr>
          <w:i/>
          <w:spacing w:val="-1"/>
          <w:sz w:val="24"/>
        </w:rPr>
        <w:t> </w:t>
      </w:r>
      <w:r>
        <w:rPr>
          <w:sz w:val="24"/>
        </w:rPr>
        <w:t>vol. 141, pp. 05014015-1, 2015.</w:t>
      </w:r>
    </w:p>
    <w:p>
      <w:pPr>
        <w:pStyle w:val="BodyText"/>
        <w:rPr>
          <w:sz w:val="38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39" w:right="1738" w:hanging="720"/>
        <w:jc w:val="left"/>
        <w:rPr>
          <w:sz w:val="24"/>
        </w:rPr>
      </w:pPr>
      <w:r>
        <w:rPr>
          <w:sz w:val="24"/>
        </w:rPr>
        <w:t>LeVan, S.L. and R.M. Rowell, </w:t>
      </w:r>
      <w:r>
        <w:rPr>
          <w:i/>
          <w:sz w:val="24"/>
        </w:rPr>
        <w:t>The Chemistry of Solid Wood </w:t>
      </w:r>
      <w:r>
        <w:rPr>
          <w:sz w:val="24"/>
        </w:rPr>
        <w:t>vol. 207.</w:t>
      </w:r>
      <w:r>
        <w:rPr>
          <w:spacing w:val="-58"/>
          <w:sz w:val="24"/>
        </w:rPr>
        <w:t> </w:t>
      </w:r>
      <w:r>
        <w:rPr>
          <w:sz w:val="24"/>
        </w:rPr>
        <w:t>Washington,</w:t>
      </w:r>
      <w:r>
        <w:rPr>
          <w:spacing w:val="-3"/>
          <w:sz w:val="24"/>
        </w:rPr>
        <w:t> </w:t>
      </w:r>
      <w:r>
        <w:rPr>
          <w:sz w:val="24"/>
        </w:rPr>
        <w:t>D.C.: American</w:t>
      </w:r>
      <w:r>
        <w:rPr>
          <w:spacing w:val="-1"/>
          <w:sz w:val="24"/>
        </w:rPr>
        <w:t> </w:t>
      </w:r>
      <w:r>
        <w:rPr>
          <w:sz w:val="24"/>
        </w:rPr>
        <w:t>Chemical Society, 1984.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1064" w:top="1360" w:bottom="1260" w:left="440" w:right="880"/>
        </w:sect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78" w:after="0"/>
        <w:ind w:left="2440" w:right="715" w:hanging="720"/>
        <w:jc w:val="left"/>
        <w:rPr>
          <w:sz w:val="24"/>
        </w:rPr>
      </w:pPr>
      <w:r>
        <w:rPr>
          <w:sz w:val="24"/>
        </w:rPr>
        <w:t>Lui, J.Y. and L.H. Floeter, "Shear Strength in Principal Plane of Wood," </w:t>
      </w:r>
      <w:r>
        <w:rPr>
          <w:i/>
          <w:sz w:val="24"/>
        </w:rPr>
        <w:t>Journal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Engineering Mechanics, </w:t>
      </w:r>
      <w:r>
        <w:rPr>
          <w:sz w:val="24"/>
        </w:rPr>
        <w:t>vol. 110,</w:t>
      </w:r>
      <w:r>
        <w:rPr>
          <w:spacing w:val="-2"/>
          <w:sz w:val="24"/>
        </w:rPr>
        <w:t> </w:t>
      </w:r>
      <w:r>
        <w:rPr>
          <w:sz w:val="24"/>
        </w:rPr>
        <w:t>pp. 930-936, 1984.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636" w:hanging="720"/>
        <w:jc w:val="left"/>
        <w:rPr>
          <w:sz w:val="24"/>
        </w:rPr>
      </w:pPr>
      <w:r>
        <w:rPr>
          <w:sz w:val="24"/>
        </w:rPr>
        <w:t>Mahamid, M., T. Brindley, N. Triandafilou, and S. Domagala, "Behavior and</w:t>
      </w:r>
      <w:r>
        <w:rPr>
          <w:spacing w:val="1"/>
          <w:sz w:val="24"/>
        </w:rPr>
        <w:t> </w:t>
      </w:r>
      <w:r>
        <w:rPr>
          <w:sz w:val="24"/>
        </w:rPr>
        <w:t>Strength Characteristics of Cross-Laminated Timber Mats: Experimental and</w:t>
      </w:r>
      <w:r>
        <w:rPr>
          <w:spacing w:val="1"/>
          <w:sz w:val="24"/>
        </w:rPr>
        <w:t> </w:t>
      </w:r>
      <w:r>
        <w:rPr>
          <w:sz w:val="24"/>
        </w:rPr>
        <w:t>Numerical</w:t>
      </w:r>
      <w:r>
        <w:rPr>
          <w:spacing w:val="-2"/>
          <w:sz w:val="24"/>
        </w:rPr>
        <w:t> </w:t>
      </w:r>
      <w:r>
        <w:rPr>
          <w:sz w:val="24"/>
        </w:rPr>
        <w:t>Study,"</w:t>
      </w:r>
      <w:r>
        <w:rPr>
          <w:spacing w:val="-2"/>
          <w:sz w:val="24"/>
        </w:rPr>
        <w:t> </w:t>
      </w:r>
      <w:r>
        <w:rPr>
          <w:sz w:val="24"/>
        </w:rPr>
        <w:t>presented</w:t>
      </w:r>
      <w:r>
        <w:rPr>
          <w:spacing w:val="-2"/>
          <w:sz w:val="24"/>
        </w:rPr>
        <w:t> </w:t>
      </w:r>
      <w:r>
        <w:rPr>
          <w:sz w:val="24"/>
        </w:rPr>
        <w:t>at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Structures</w:t>
      </w:r>
      <w:r>
        <w:rPr>
          <w:spacing w:val="-2"/>
          <w:sz w:val="24"/>
        </w:rPr>
        <w:t> </w:t>
      </w:r>
      <w:r>
        <w:rPr>
          <w:sz w:val="24"/>
        </w:rPr>
        <w:t>Congress,</w:t>
      </w:r>
      <w:r>
        <w:rPr>
          <w:spacing w:val="-2"/>
          <w:sz w:val="24"/>
        </w:rPr>
        <w:t> </w:t>
      </w:r>
      <w:r>
        <w:rPr>
          <w:sz w:val="24"/>
        </w:rPr>
        <w:t>Denver,</w:t>
      </w:r>
      <w:r>
        <w:rPr>
          <w:spacing w:val="-2"/>
          <w:sz w:val="24"/>
        </w:rPr>
        <w:t> </w:t>
      </w:r>
      <w:r>
        <w:rPr>
          <w:sz w:val="24"/>
        </w:rPr>
        <w:t>Colorado,</w:t>
      </w:r>
      <w:r>
        <w:rPr>
          <w:spacing w:val="-2"/>
          <w:sz w:val="24"/>
        </w:rPr>
        <w:t> </w:t>
      </w:r>
      <w:r>
        <w:rPr>
          <w:sz w:val="24"/>
        </w:rPr>
        <w:t>2017.</w:t>
      </w:r>
    </w:p>
    <w:p>
      <w:pPr>
        <w:pStyle w:val="BodyText"/>
        <w:rPr>
          <w:sz w:val="38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620" w:hanging="720"/>
        <w:jc w:val="left"/>
        <w:rPr>
          <w:sz w:val="24"/>
        </w:rPr>
      </w:pPr>
      <w:r>
        <w:rPr>
          <w:sz w:val="24"/>
        </w:rPr>
        <w:t>Malick, D., "The Resistance of Various Woods to Perforation by Steel Fragments</w:t>
      </w:r>
      <w:r>
        <w:rPr>
          <w:spacing w:val="-57"/>
          <w:sz w:val="24"/>
        </w:rPr>
        <w:t> </w:t>
      </w:r>
      <w:r>
        <w:rPr>
          <w:sz w:val="24"/>
        </w:rPr>
        <w:t>and Small Caliber Projectiles," Ballistic Analysis Laboratory, Institute for</w:t>
      </w:r>
      <w:r>
        <w:rPr>
          <w:spacing w:val="1"/>
          <w:sz w:val="24"/>
        </w:rPr>
        <w:t> </w:t>
      </w:r>
      <w:r>
        <w:rPr>
          <w:sz w:val="24"/>
        </w:rPr>
        <w:t>Cooperative</w:t>
      </w:r>
      <w:r>
        <w:rPr>
          <w:spacing w:val="-3"/>
          <w:sz w:val="24"/>
        </w:rPr>
        <w:t> </w:t>
      </w:r>
      <w:r>
        <w:rPr>
          <w:sz w:val="24"/>
        </w:rPr>
        <w:t>Research,</w:t>
      </w:r>
      <w:r>
        <w:rPr>
          <w:spacing w:val="-2"/>
          <w:sz w:val="24"/>
        </w:rPr>
        <w:t> </w:t>
      </w:r>
      <w:r>
        <w:rPr>
          <w:sz w:val="24"/>
        </w:rPr>
        <w:t>Johns</w:t>
      </w:r>
      <w:r>
        <w:rPr>
          <w:spacing w:val="-2"/>
          <w:sz w:val="24"/>
        </w:rPr>
        <w:t> </w:t>
      </w:r>
      <w:r>
        <w:rPr>
          <w:sz w:val="24"/>
        </w:rPr>
        <w:t>Hopkins</w:t>
      </w:r>
      <w:r>
        <w:rPr>
          <w:spacing w:val="-2"/>
          <w:sz w:val="24"/>
        </w:rPr>
        <w:t> </w:t>
      </w:r>
      <w:r>
        <w:rPr>
          <w:sz w:val="24"/>
        </w:rPr>
        <w:t>University,</w:t>
      </w:r>
      <w:r>
        <w:rPr>
          <w:spacing w:val="-2"/>
          <w:sz w:val="24"/>
        </w:rPr>
        <w:t> </w:t>
      </w:r>
      <w:r>
        <w:rPr>
          <w:sz w:val="24"/>
        </w:rPr>
        <w:t>Baltimore,</w:t>
      </w:r>
      <w:r>
        <w:rPr>
          <w:spacing w:val="-2"/>
          <w:sz w:val="24"/>
        </w:rPr>
        <w:t> </w:t>
      </w:r>
      <w:r>
        <w:rPr>
          <w:sz w:val="24"/>
        </w:rPr>
        <w:t>MD</w:t>
      </w:r>
      <w:r>
        <w:rPr>
          <w:spacing w:val="-3"/>
          <w:sz w:val="24"/>
        </w:rPr>
        <w:t> </w:t>
      </w:r>
      <w:r>
        <w:rPr>
          <w:sz w:val="24"/>
        </w:rPr>
        <w:t>BAL</w:t>
      </w:r>
      <w:r>
        <w:rPr>
          <w:spacing w:val="-2"/>
          <w:sz w:val="24"/>
        </w:rPr>
        <w:t> </w:t>
      </w:r>
      <w:r>
        <w:rPr>
          <w:sz w:val="24"/>
        </w:rPr>
        <w:t>Technical</w:t>
      </w:r>
      <w:r>
        <w:rPr>
          <w:spacing w:val="-57"/>
          <w:sz w:val="24"/>
        </w:rPr>
        <w:t> </w:t>
      </w:r>
      <w:r>
        <w:rPr>
          <w:sz w:val="24"/>
        </w:rPr>
        <w:t>Report</w:t>
      </w:r>
      <w:r>
        <w:rPr>
          <w:spacing w:val="-1"/>
          <w:sz w:val="24"/>
        </w:rPr>
        <w:t> </w:t>
      </w:r>
      <w:r>
        <w:rPr>
          <w:sz w:val="24"/>
        </w:rPr>
        <w:t>No. 62, 1966.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1047" w:hanging="720"/>
        <w:jc w:val="left"/>
        <w:rPr>
          <w:sz w:val="24"/>
        </w:rPr>
      </w:pPr>
      <w:r>
        <w:rPr>
          <w:sz w:val="24"/>
        </w:rPr>
        <w:t>Mallo, M.F.L. and O. Espinoza, "Outlook for Cross-Laminated Timber in the</w:t>
      </w:r>
      <w:r>
        <w:rPr>
          <w:spacing w:val="-58"/>
          <w:sz w:val="24"/>
        </w:rPr>
        <w:t> </w:t>
      </w:r>
      <w:r>
        <w:rPr>
          <w:sz w:val="24"/>
        </w:rPr>
        <w:t>United</w:t>
      </w:r>
      <w:r>
        <w:rPr>
          <w:spacing w:val="-1"/>
          <w:sz w:val="24"/>
        </w:rPr>
        <w:t> </w:t>
      </w:r>
      <w:r>
        <w:rPr>
          <w:sz w:val="24"/>
        </w:rPr>
        <w:t>States," </w:t>
      </w:r>
      <w:r>
        <w:rPr>
          <w:i/>
          <w:sz w:val="24"/>
        </w:rPr>
        <w:t>BioResources, </w:t>
      </w:r>
      <w:r>
        <w:rPr>
          <w:sz w:val="24"/>
        </w:rPr>
        <w:t>vol.</w:t>
      </w:r>
      <w:r>
        <w:rPr>
          <w:spacing w:val="-1"/>
          <w:sz w:val="24"/>
        </w:rPr>
        <w:t> </w:t>
      </w:r>
      <w:r>
        <w:rPr>
          <w:sz w:val="24"/>
        </w:rPr>
        <w:t>9, pp. 7427-7443, 2014.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748" w:hanging="720"/>
        <w:jc w:val="left"/>
        <w:rPr>
          <w:sz w:val="24"/>
        </w:rPr>
      </w:pPr>
      <w:r>
        <w:rPr>
          <w:sz w:val="24"/>
        </w:rPr>
        <w:t>Marquardt, D.W., "An algorithm for least-squares estimation of nonlinear</w:t>
      </w:r>
      <w:r>
        <w:rPr>
          <w:spacing w:val="1"/>
          <w:sz w:val="24"/>
        </w:rPr>
        <w:t> </w:t>
      </w:r>
      <w:r>
        <w:rPr>
          <w:sz w:val="24"/>
        </w:rPr>
        <w:t>parameters," </w:t>
      </w:r>
      <w:r>
        <w:rPr>
          <w:i/>
          <w:sz w:val="24"/>
        </w:rPr>
        <w:t>Journal of the Society for Industrial and Applied Mathematics, </w:t>
      </w:r>
      <w:r>
        <w:rPr>
          <w:sz w:val="24"/>
        </w:rPr>
        <w:t>vol.</w:t>
      </w:r>
      <w:r>
        <w:rPr>
          <w:spacing w:val="-58"/>
          <w:sz w:val="24"/>
        </w:rPr>
        <w:t> </w:t>
      </w:r>
      <w:r>
        <w:rPr>
          <w:sz w:val="24"/>
        </w:rPr>
        <w:t>11, pp. 431-441, 1963.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1114" w:hanging="720"/>
        <w:jc w:val="left"/>
        <w:rPr>
          <w:sz w:val="24"/>
        </w:rPr>
      </w:pPr>
      <w:r>
        <w:rPr>
          <w:sz w:val="24"/>
        </w:rPr>
        <w:t>Mestek, P., H. Kreuzinger, and S. Winter, "Design of cross laminated timber</w:t>
      </w:r>
      <w:r>
        <w:rPr>
          <w:spacing w:val="-57"/>
          <w:sz w:val="24"/>
        </w:rPr>
        <w:t> </w:t>
      </w:r>
      <w:r>
        <w:rPr>
          <w:sz w:val="24"/>
        </w:rPr>
        <w:t>(CLT),"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i/>
          <w:sz w:val="24"/>
        </w:rPr>
        <w:t>10th World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Conference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on Timber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Engineering</w:t>
      </w:r>
      <w:r>
        <w:rPr>
          <w:sz w:val="24"/>
        </w:rPr>
        <w:t>, 2008.</w:t>
      </w:r>
    </w:p>
    <w:p>
      <w:pPr>
        <w:pStyle w:val="BodyText"/>
        <w:rPr>
          <w:sz w:val="38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869" w:hanging="720"/>
        <w:jc w:val="left"/>
        <w:rPr>
          <w:sz w:val="24"/>
        </w:rPr>
      </w:pPr>
      <w:r>
        <w:rPr>
          <w:sz w:val="24"/>
        </w:rPr>
        <w:t>Meyer, L., C. Brischke, and C.R. Welzbacher, "Dynamic and static hardness of</w:t>
      </w:r>
      <w:r>
        <w:rPr>
          <w:spacing w:val="-58"/>
          <w:sz w:val="24"/>
        </w:rPr>
        <w:t> </w:t>
      </w:r>
      <w:r>
        <w:rPr>
          <w:sz w:val="24"/>
        </w:rPr>
        <w:t>wood: method development and comparative studies," </w:t>
      </w:r>
      <w:r>
        <w:rPr>
          <w:i/>
          <w:sz w:val="24"/>
        </w:rPr>
        <w:t>International Wood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Products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Journal, </w:t>
      </w:r>
      <w:r>
        <w:rPr>
          <w:sz w:val="24"/>
        </w:rPr>
        <w:t>vol. 2, pp. 5-11, 2013.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880" w:hanging="720"/>
        <w:jc w:val="left"/>
        <w:rPr>
          <w:sz w:val="24"/>
        </w:rPr>
      </w:pPr>
      <w:r>
        <w:rPr>
          <w:sz w:val="24"/>
        </w:rPr>
        <w:t>Moon, F.C., "A Critical Survey of Wave Propagation and Impact in Composite</w:t>
      </w:r>
      <w:r>
        <w:rPr>
          <w:spacing w:val="-57"/>
          <w:sz w:val="24"/>
        </w:rPr>
        <w:t> </w:t>
      </w:r>
      <w:r>
        <w:rPr>
          <w:sz w:val="24"/>
        </w:rPr>
        <w:t>Materials,"</w:t>
      </w:r>
      <w:r>
        <w:rPr>
          <w:spacing w:val="-2"/>
          <w:sz w:val="24"/>
        </w:rPr>
        <w:t> </w:t>
      </w:r>
      <w:r>
        <w:rPr>
          <w:sz w:val="24"/>
        </w:rPr>
        <w:t>National</w:t>
      </w:r>
      <w:r>
        <w:rPr>
          <w:spacing w:val="-1"/>
          <w:sz w:val="24"/>
        </w:rPr>
        <w:t> </w:t>
      </w:r>
      <w:r>
        <w:rPr>
          <w:sz w:val="24"/>
        </w:rPr>
        <w:t>Aeronautics and</w:t>
      </w:r>
      <w:r>
        <w:rPr>
          <w:spacing w:val="-1"/>
          <w:sz w:val="24"/>
        </w:rPr>
        <w:t> </w:t>
      </w:r>
      <w:r>
        <w:rPr>
          <w:sz w:val="24"/>
        </w:rPr>
        <w:t>Space Administration1973.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1" w:after="0"/>
        <w:ind w:left="2440" w:right="584" w:hanging="720"/>
        <w:jc w:val="left"/>
        <w:rPr>
          <w:sz w:val="24"/>
        </w:rPr>
      </w:pPr>
      <w:r>
        <w:rPr>
          <w:sz w:val="24"/>
        </w:rPr>
        <w:t>Mosley,</w:t>
      </w:r>
      <w:r>
        <w:rPr>
          <w:spacing w:val="-2"/>
          <w:sz w:val="24"/>
        </w:rPr>
        <w:t> </w:t>
      </w:r>
      <w:r>
        <w:rPr>
          <w:sz w:val="24"/>
        </w:rPr>
        <w:t>H.</w:t>
      </w:r>
      <w:r>
        <w:rPr>
          <w:spacing w:val="-4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A.</w:t>
      </w:r>
      <w:r>
        <w:rPr>
          <w:spacing w:val="-2"/>
          <w:sz w:val="24"/>
        </w:rPr>
        <w:t> </w:t>
      </w:r>
      <w:r>
        <w:rPr>
          <w:sz w:val="24"/>
        </w:rPr>
        <w:t>Mayer,</w:t>
      </w:r>
      <w:r>
        <w:rPr>
          <w:spacing w:val="-2"/>
          <w:sz w:val="24"/>
        </w:rPr>
        <w:t> </w:t>
      </w:r>
      <w:r>
        <w:rPr>
          <w:sz w:val="24"/>
        </w:rPr>
        <w:t>"Benchmarking</w:t>
      </w:r>
      <w:r>
        <w:rPr>
          <w:spacing w:val="-2"/>
          <w:sz w:val="24"/>
        </w:rPr>
        <w:t> </w:t>
      </w:r>
      <w:r>
        <w:rPr>
          <w:sz w:val="24"/>
        </w:rPr>
        <w:t>national</w:t>
      </w:r>
      <w:r>
        <w:rPr>
          <w:spacing w:val="-1"/>
          <w:sz w:val="24"/>
        </w:rPr>
        <w:t> </w:t>
      </w:r>
      <w:r>
        <w:rPr>
          <w:sz w:val="24"/>
        </w:rPr>
        <w:t>labour</w:t>
      </w:r>
      <w:r>
        <w:rPr>
          <w:spacing w:val="-2"/>
          <w:sz w:val="24"/>
        </w:rPr>
        <w:t> </w:t>
      </w:r>
      <w:r>
        <w:rPr>
          <w:sz w:val="24"/>
        </w:rPr>
        <w:t>market</w:t>
      </w:r>
      <w:r>
        <w:rPr>
          <w:spacing w:val="-2"/>
          <w:sz w:val="24"/>
        </w:rPr>
        <w:t> </w:t>
      </w:r>
      <w:r>
        <w:rPr>
          <w:sz w:val="24"/>
        </w:rPr>
        <w:t>performance: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57"/>
          <w:sz w:val="24"/>
        </w:rPr>
        <w:t> </w:t>
      </w:r>
      <w:r>
        <w:rPr>
          <w:sz w:val="24"/>
        </w:rPr>
        <w:t>radar</w:t>
      </w:r>
      <w:r>
        <w:rPr>
          <w:spacing w:val="-2"/>
          <w:sz w:val="24"/>
        </w:rPr>
        <w:t> </w:t>
      </w:r>
      <w:r>
        <w:rPr>
          <w:sz w:val="24"/>
        </w:rPr>
        <w:t>chart approach,"  No. FS</w:t>
      </w:r>
      <w:r>
        <w:rPr>
          <w:spacing w:val="-1"/>
          <w:sz w:val="24"/>
        </w:rPr>
        <w:t> </w:t>
      </w:r>
      <w:r>
        <w:rPr>
          <w:sz w:val="24"/>
        </w:rPr>
        <w:t>|</w:t>
      </w:r>
      <w:r>
        <w:rPr>
          <w:spacing w:val="1"/>
          <w:sz w:val="24"/>
        </w:rPr>
        <w:t> </w:t>
      </w:r>
      <w:r>
        <w:rPr>
          <w:sz w:val="24"/>
        </w:rPr>
        <w:t>99-202, 1999.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688" w:hanging="720"/>
        <w:jc w:val="left"/>
        <w:rPr>
          <w:sz w:val="24"/>
        </w:rPr>
      </w:pPr>
      <w:r>
        <w:rPr>
          <w:sz w:val="24"/>
        </w:rPr>
        <w:t>Pandya, K.S., J.R. Pothnis, G. Ravikumar, and N.K. Naik, "Ballistic impact</w:t>
      </w:r>
      <w:r>
        <w:rPr>
          <w:spacing w:val="1"/>
          <w:sz w:val="24"/>
        </w:rPr>
        <w:t> </w:t>
      </w:r>
      <w:r>
        <w:rPr>
          <w:sz w:val="24"/>
        </w:rPr>
        <w:t>behavior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hybrid</w:t>
      </w:r>
      <w:r>
        <w:rPr>
          <w:spacing w:val="-1"/>
          <w:sz w:val="24"/>
        </w:rPr>
        <w:t> </w:t>
      </w:r>
      <w:r>
        <w:rPr>
          <w:sz w:val="24"/>
        </w:rPr>
        <w:t>composites,"</w:t>
      </w:r>
      <w:r>
        <w:rPr>
          <w:spacing w:val="-1"/>
          <w:sz w:val="24"/>
        </w:rPr>
        <w:t> </w:t>
      </w:r>
      <w:r>
        <w:rPr>
          <w:i/>
          <w:sz w:val="24"/>
        </w:rPr>
        <w:t>Materials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&amp; Design,</w:t>
      </w:r>
      <w:r>
        <w:rPr>
          <w:i/>
          <w:spacing w:val="-1"/>
          <w:sz w:val="24"/>
        </w:rPr>
        <w:t> </w:t>
      </w:r>
      <w:r>
        <w:rPr>
          <w:sz w:val="24"/>
        </w:rPr>
        <w:t>vol.</w:t>
      </w:r>
      <w:r>
        <w:rPr>
          <w:spacing w:val="-1"/>
          <w:sz w:val="24"/>
        </w:rPr>
        <w:t> </w:t>
      </w:r>
      <w:r>
        <w:rPr>
          <w:sz w:val="24"/>
        </w:rPr>
        <w:t>44,</w:t>
      </w:r>
      <w:r>
        <w:rPr>
          <w:spacing w:val="-3"/>
          <w:sz w:val="24"/>
        </w:rPr>
        <w:t> </w:t>
      </w:r>
      <w:r>
        <w:rPr>
          <w:sz w:val="24"/>
        </w:rPr>
        <w:t>pp.</w:t>
      </w:r>
      <w:r>
        <w:rPr>
          <w:spacing w:val="-1"/>
          <w:sz w:val="24"/>
        </w:rPr>
        <w:t> </w:t>
      </w:r>
      <w:r>
        <w:rPr>
          <w:sz w:val="24"/>
        </w:rPr>
        <w:t>128-135,</w:t>
      </w:r>
      <w:r>
        <w:rPr>
          <w:spacing w:val="-1"/>
          <w:sz w:val="24"/>
        </w:rPr>
        <w:t> </w:t>
      </w:r>
      <w:r>
        <w:rPr>
          <w:sz w:val="24"/>
        </w:rPr>
        <w:t>2013.</w:t>
      </w:r>
    </w:p>
    <w:p>
      <w:pPr>
        <w:pStyle w:val="BodyText"/>
        <w:spacing w:before="11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40" w:val="left" w:leader="none"/>
        </w:tabs>
        <w:spacing w:line="240" w:lineRule="auto" w:before="0" w:after="0"/>
        <w:ind w:left="2440" w:right="1254" w:hanging="720"/>
        <w:jc w:val="both"/>
        <w:rPr>
          <w:sz w:val="24"/>
        </w:rPr>
      </w:pPr>
      <w:r>
        <w:rPr>
          <w:sz w:val="24"/>
        </w:rPr>
        <w:t>Payne, B., "D.R. Johnson Passes Two Critical Tests for Safety of its Cross-</w:t>
      </w:r>
      <w:r>
        <w:rPr>
          <w:spacing w:val="-58"/>
          <w:sz w:val="24"/>
        </w:rPr>
        <w:t> </w:t>
      </w:r>
      <w:r>
        <w:rPr>
          <w:sz w:val="24"/>
        </w:rPr>
        <w:t>Laminated Timber Panels - Flame Spread and Fire Resistance," ed. Riddle,</w:t>
      </w:r>
      <w:r>
        <w:rPr>
          <w:spacing w:val="-57"/>
          <w:sz w:val="24"/>
        </w:rPr>
        <w:t> </w:t>
      </w:r>
      <w:r>
        <w:rPr>
          <w:sz w:val="24"/>
        </w:rPr>
        <w:t>Oregon,</w:t>
      </w:r>
      <w:r>
        <w:rPr>
          <w:spacing w:val="-1"/>
          <w:sz w:val="24"/>
        </w:rPr>
        <w:t> </w:t>
      </w:r>
      <w:r>
        <w:rPr>
          <w:sz w:val="24"/>
        </w:rPr>
        <w:t>2016.</w:t>
      </w:r>
    </w:p>
    <w:p>
      <w:pPr>
        <w:spacing w:after="0" w:line="240" w:lineRule="auto"/>
        <w:jc w:val="both"/>
        <w:rPr>
          <w:sz w:val="24"/>
        </w:rPr>
        <w:sectPr>
          <w:pgSz w:w="12240" w:h="15840"/>
          <w:pgMar w:header="0" w:footer="1064" w:top="1360" w:bottom="1260" w:left="440" w:right="880"/>
        </w:sectPr>
      </w:pPr>
    </w:p>
    <w:p>
      <w:pPr>
        <w:pStyle w:val="ListParagraph"/>
        <w:numPr>
          <w:ilvl w:val="0"/>
          <w:numId w:val="30"/>
        </w:numPr>
        <w:tabs>
          <w:tab w:pos="2440" w:val="left" w:leader="none"/>
        </w:tabs>
        <w:spacing w:line="240" w:lineRule="auto" w:before="78" w:after="0"/>
        <w:ind w:left="2440" w:right="641" w:hanging="720"/>
        <w:jc w:val="both"/>
        <w:rPr>
          <w:sz w:val="24"/>
        </w:rPr>
      </w:pPr>
      <w:r>
        <w:rPr>
          <w:sz w:val="24"/>
        </w:rPr>
        <w:t>Poulin, M., C. Viau, D.N. Lacroix, and G. Doudak, "Experimental and Analytical</w:t>
      </w:r>
      <w:r>
        <w:rPr>
          <w:spacing w:val="-58"/>
          <w:sz w:val="24"/>
        </w:rPr>
        <w:t> </w:t>
      </w:r>
      <w:r>
        <w:rPr>
          <w:sz w:val="24"/>
        </w:rPr>
        <w:t>Investigation of Cross-Laminated Timber Panels Subjected to Out-of-Plane Blast</w:t>
      </w:r>
      <w:r>
        <w:rPr>
          <w:spacing w:val="-57"/>
          <w:sz w:val="24"/>
        </w:rPr>
        <w:t> </w:t>
      </w:r>
      <w:r>
        <w:rPr>
          <w:sz w:val="24"/>
        </w:rPr>
        <w:t>Loads,"</w:t>
      </w:r>
      <w:r>
        <w:rPr>
          <w:spacing w:val="-1"/>
          <w:sz w:val="24"/>
        </w:rPr>
        <w:t> </w:t>
      </w:r>
      <w:r>
        <w:rPr>
          <w:i/>
          <w:sz w:val="24"/>
        </w:rPr>
        <w:t>Journal 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Structural Engineering,</w:t>
      </w:r>
      <w:r>
        <w:rPr>
          <w:i/>
          <w:spacing w:val="-1"/>
          <w:sz w:val="24"/>
        </w:rPr>
        <w:t> </w:t>
      </w:r>
      <w:r>
        <w:rPr>
          <w:sz w:val="24"/>
        </w:rPr>
        <w:t>vol. 144,</w:t>
      </w:r>
      <w:r>
        <w:rPr>
          <w:spacing w:val="-1"/>
          <w:sz w:val="24"/>
        </w:rPr>
        <w:t> </w:t>
      </w:r>
      <w:r>
        <w:rPr>
          <w:sz w:val="24"/>
        </w:rPr>
        <w:t>p. 04017197,</w:t>
      </w:r>
      <w:r>
        <w:rPr>
          <w:spacing w:val="-1"/>
          <w:sz w:val="24"/>
        </w:rPr>
        <w:t> </w:t>
      </w:r>
      <w:r>
        <w:rPr>
          <w:sz w:val="24"/>
        </w:rPr>
        <w:t>2018.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879" w:hanging="720"/>
        <w:jc w:val="left"/>
        <w:rPr>
          <w:sz w:val="24"/>
        </w:rPr>
      </w:pPr>
      <w:r>
        <w:rPr>
          <w:sz w:val="24"/>
        </w:rPr>
        <w:t>Rao, C.L., V. Narayanamurthy, and K.R.Y. Simha, </w:t>
      </w:r>
      <w:r>
        <w:rPr>
          <w:i/>
          <w:sz w:val="24"/>
        </w:rPr>
        <w:t>Applied Impact Mechanics</w:t>
      </w:r>
      <w:r>
        <w:rPr>
          <w:sz w:val="24"/>
        </w:rPr>
        <w:t>.</w:t>
      </w:r>
      <w:r>
        <w:rPr>
          <w:spacing w:val="-58"/>
          <w:sz w:val="24"/>
        </w:rPr>
        <w:t> </w:t>
      </w:r>
      <w:r>
        <w:rPr>
          <w:sz w:val="24"/>
        </w:rPr>
        <w:t>West</w:t>
      </w:r>
      <w:r>
        <w:rPr>
          <w:spacing w:val="-1"/>
          <w:sz w:val="24"/>
        </w:rPr>
        <w:t> </w:t>
      </w:r>
      <w:r>
        <w:rPr>
          <w:sz w:val="24"/>
        </w:rPr>
        <w:t>Sussex, United</w:t>
      </w:r>
      <w:r>
        <w:rPr>
          <w:spacing w:val="-1"/>
          <w:sz w:val="24"/>
        </w:rPr>
        <w:t> </w:t>
      </w:r>
      <w:r>
        <w:rPr>
          <w:sz w:val="24"/>
        </w:rPr>
        <w:t>Kingdom: John Wiley</w:t>
      </w:r>
      <w:r>
        <w:rPr>
          <w:spacing w:val="-1"/>
          <w:sz w:val="24"/>
        </w:rPr>
        <w:t> </w:t>
      </w:r>
      <w:r>
        <w:rPr>
          <w:sz w:val="24"/>
        </w:rPr>
        <w:t>&amp; Sons Ltd,</w:t>
      </w:r>
      <w:r>
        <w:rPr>
          <w:spacing w:val="-1"/>
          <w:sz w:val="24"/>
        </w:rPr>
        <w:t> </w:t>
      </w:r>
      <w:r>
        <w:rPr>
          <w:sz w:val="24"/>
        </w:rPr>
        <w:t>2016.</w:t>
      </w:r>
    </w:p>
    <w:p>
      <w:pPr>
        <w:pStyle w:val="BodyText"/>
        <w:rPr>
          <w:sz w:val="38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623" w:hanging="720"/>
        <w:jc w:val="left"/>
        <w:rPr>
          <w:sz w:val="24"/>
        </w:rPr>
      </w:pPr>
      <w:r>
        <w:rPr>
          <w:sz w:val="24"/>
        </w:rPr>
        <w:t>Recht, R.F. and T.W. Ipson, "Ballistic Perforation Dynamics," </w:t>
      </w:r>
      <w:r>
        <w:rPr>
          <w:i/>
          <w:sz w:val="24"/>
        </w:rPr>
        <w:t>Journal of Applied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Mechanics,</w:t>
      </w:r>
      <w:r>
        <w:rPr>
          <w:i/>
          <w:spacing w:val="-3"/>
          <w:sz w:val="24"/>
        </w:rPr>
        <w:t> </w:t>
      </w:r>
      <w:r>
        <w:rPr>
          <w:sz w:val="24"/>
        </w:rPr>
        <w:t>pp. 384-390, 1963.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950" w:hanging="720"/>
        <w:jc w:val="left"/>
        <w:rPr>
          <w:sz w:val="24"/>
        </w:rPr>
      </w:pPr>
      <w:r>
        <w:rPr>
          <w:sz w:val="24"/>
        </w:rPr>
        <w:t>Reid,</w:t>
      </w:r>
      <w:r>
        <w:rPr>
          <w:spacing w:val="-2"/>
          <w:sz w:val="24"/>
        </w:rPr>
        <w:t> </w:t>
      </w:r>
      <w:r>
        <w:rPr>
          <w:sz w:val="24"/>
        </w:rPr>
        <w:t>S.R.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C.</w:t>
      </w:r>
      <w:r>
        <w:rPr>
          <w:spacing w:val="-1"/>
          <w:sz w:val="24"/>
        </w:rPr>
        <w:t> </w:t>
      </w:r>
      <w:r>
        <w:rPr>
          <w:sz w:val="24"/>
        </w:rPr>
        <w:t>Peng,</w:t>
      </w:r>
      <w:r>
        <w:rPr>
          <w:spacing w:val="-2"/>
          <w:sz w:val="24"/>
        </w:rPr>
        <w:t> </w:t>
      </w:r>
      <w:r>
        <w:rPr>
          <w:sz w:val="24"/>
        </w:rPr>
        <w:t>"Dynamic</w:t>
      </w:r>
      <w:r>
        <w:rPr>
          <w:spacing w:val="-1"/>
          <w:sz w:val="24"/>
        </w:rPr>
        <w:t> </w:t>
      </w:r>
      <w:r>
        <w:rPr>
          <w:sz w:val="24"/>
        </w:rPr>
        <w:t>Uniaxial</w:t>
      </w:r>
      <w:r>
        <w:rPr>
          <w:spacing w:val="-2"/>
          <w:sz w:val="24"/>
        </w:rPr>
        <w:t> </w:t>
      </w:r>
      <w:r>
        <w:rPr>
          <w:sz w:val="24"/>
        </w:rPr>
        <w:t>Crushing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Wood,"</w:t>
      </w:r>
      <w:r>
        <w:rPr>
          <w:spacing w:val="-1"/>
          <w:sz w:val="24"/>
        </w:rPr>
        <w:t> </w:t>
      </w:r>
      <w:r>
        <w:rPr>
          <w:i/>
          <w:sz w:val="24"/>
        </w:rPr>
        <w:t>International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Impact Engineering, </w:t>
      </w:r>
      <w:r>
        <w:rPr>
          <w:sz w:val="24"/>
        </w:rPr>
        <w:t>vol.</w:t>
      </w:r>
      <w:r>
        <w:rPr>
          <w:spacing w:val="-2"/>
          <w:sz w:val="24"/>
        </w:rPr>
        <w:t> </w:t>
      </w:r>
      <w:r>
        <w:rPr>
          <w:sz w:val="24"/>
        </w:rPr>
        <w:t>19,</w:t>
      </w:r>
      <w:r>
        <w:rPr>
          <w:spacing w:val="-1"/>
          <w:sz w:val="24"/>
        </w:rPr>
        <w:t> </w:t>
      </w:r>
      <w:r>
        <w:rPr>
          <w:sz w:val="24"/>
        </w:rPr>
        <w:t>pp. 531-570, 1997.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733" w:hanging="720"/>
        <w:jc w:val="left"/>
        <w:rPr>
          <w:sz w:val="24"/>
        </w:rPr>
      </w:pPr>
      <w:r>
        <w:rPr>
          <w:sz w:val="24"/>
        </w:rPr>
        <w:t>Rosenberg, Z., S.J. Bless, and N.S. Brar, "On the Influence of the Loss of Shear</w:t>
      </w:r>
      <w:r>
        <w:rPr>
          <w:spacing w:val="1"/>
          <w:sz w:val="24"/>
        </w:rPr>
        <w:t> </w:t>
      </w:r>
      <w:r>
        <w:rPr>
          <w:sz w:val="24"/>
        </w:rPr>
        <w:t>Strength on the Ballistic Performance of Brittle Solids," </w:t>
      </w:r>
      <w:r>
        <w:rPr>
          <w:i/>
          <w:sz w:val="24"/>
        </w:rPr>
        <w:t>International Journal of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Impact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Engineering, </w:t>
      </w:r>
      <w:r>
        <w:rPr>
          <w:sz w:val="24"/>
        </w:rPr>
        <w:t>vol.</w:t>
      </w:r>
      <w:r>
        <w:rPr>
          <w:spacing w:val="-2"/>
          <w:sz w:val="24"/>
        </w:rPr>
        <w:t> </w:t>
      </w:r>
      <w:r>
        <w:rPr>
          <w:sz w:val="24"/>
        </w:rPr>
        <w:t>9, pp. 45-49, 1990.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0" w:hanging="720"/>
        <w:jc w:val="left"/>
        <w:rPr>
          <w:sz w:val="24"/>
        </w:rPr>
      </w:pPr>
      <w:r>
        <w:rPr>
          <w:sz w:val="24"/>
        </w:rPr>
        <w:t>Rosenberg,</w:t>
      </w:r>
      <w:r>
        <w:rPr>
          <w:spacing w:val="-3"/>
          <w:sz w:val="24"/>
        </w:rPr>
        <w:t> </w:t>
      </w:r>
      <w:r>
        <w:rPr>
          <w:sz w:val="24"/>
        </w:rPr>
        <w:t>Z.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E.</w:t>
      </w:r>
      <w:r>
        <w:rPr>
          <w:spacing w:val="-1"/>
          <w:sz w:val="24"/>
        </w:rPr>
        <w:t> </w:t>
      </w:r>
      <w:r>
        <w:rPr>
          <w:sz w:val="24"/>
        </w:rPr>
        <w:t>Dekel,</w:t>
      </w:r>
      <w:r>
        <w:rPr>
          <w:spacing w:val="-1"/>
          <w:sz w:val="24"/>
        </w:rPr>
        <w:t> </w:t>
      </w:r>
      <w:r>
        <w:rPr>
          <w:sz w:val="24"/>
        </w:rPr>
        <w:t>"The</w:t>
      </w:r>
      <w:r>
        <w:rPr>
          <w:spacing w:val="-1"/>
          <w:sz w:val="24"/>
        </w:rPr>
        <w:t> </w:t>
      </w:r>
      <w:r>
        <w:rPr>
          <w:sz w:val="24"/>
        </w:rPr>
        <w:t>penetration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rigid</w:t>
      </w:r>
      <w:r>
        <w:rPr>
          <w:spacing w:val="-3"/>
          <w:sz w:val="24"/>
        </w:rPr>
        <w:t> </w:t>
      </w:r>
      <w:r>
        <w:rPr>
          <w:sz w:val="24"/>
        </w:rPr>
        <w:t>long</w:t>
      </w:r>
      <w:r>
        <w:rPr>
          <w:spacing w:val="-1"/>
          <w:sz w:val="24"/>
        </w:rPr>
        <w:t> </w:t>
      </w:r>
      <w:r>
        <w:rPr>
          <w:sz w:val="24"/>
        </w:rPr>
        <w:t>rods</w:t>
      </w:r>
      <w:r>
        <w:rPr>
          <w:spacing w:val="-1"/>
          <w:sz w:val="24"/>
        </w:rPr>
        <w:t> </w:t>
      </w:r>
      <w:r>
        <w:rPr>
          <w:sz w:val="24"/>
        </w:rPr>
        <w:t>–</w:t>
      </w:r>
      <w:r>
        <w:rPr>
          <w:spacing w:val="-1"/>
          <w:sz w:val="24"/>
        </w:rPr>
        <w:t> </w:t>
      </w:r>
      <w:r>
        <w:rPr>
          <w:sz w:val="24"/>
        </w:rPr>
        <w:t>revisited,"</w:t>
      </w:r>
    </w:p>
    <w:p>
      <w:pPr>
        <w:spacing w:before="0"/>
        <w:ind w:left="2440" w:right="0" w:firstLine="0"/>
        <w:jc w:val="left"/>
        <w:rPr>
          <w:sz w:val="24"/>
        </w:rPr>
      </w:pPr>
      <w:r>
        <w:rPr>
          <w:i/>
          <w:sz w:val="24"/>
        </w:rPr>
        <w:t>International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Impact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Engineering,</w:t>
      </w:r>
      <w:r>
        <w:rPr>
          <w:i/>
          <w:spacing w:val="-1"/>
          <w:sz w:val="24"/>
        </w:rPr>
        <w:t> </w:t>
      </w:r>
      <w:r>
        <w:rPr>
          <w:sz w:val="24"/>
        </w:rPr>
        <w:t>vol.</w:t>
      </w:r>
      <w:r>
        <w:rPr>
          <w:spacing w:val="-3"/>
          <w:sz w:val="24"/>
        </w:rPr>
        <w:t> </w:t>
      </w:r>
      <w:r>
        <w:rPr>
          <w:sz w:val="24"/>
        </w:rPr>
        <w:t>36,</w:t>
      </w:r>
      <w:r>
        <w:rPr>
          <w:spacing w:val="-1"/>
          <w:sz w:val="24"/>
        </w:rPr>
        <w:t> </w:t>
      </w:r>
      <w:r>
        <w:rPr>
          <w:sz w:val="24"/>
        </w:rPr>
        <w:t>pp.</w:t>
      </w:r>
      <w:r>
        <w:rPr>
          <w:spacing w:val="-1"/>
          <w:sz w:val="24"/>
        </w:rPr>
        <w:t> </w:t>
      </w:r>
      <w:r>
        <w:rPr>
          <w:sz w:val="24"/>
        </w:rPr>
        <w:t>551-564,</w:t>
      </w:r>
      <w:r>
        <w:rPr>
          <w:spacing w:val="-1"/>
          <w:sz w:val="24"/>
        </w:rPr>
        <w:t> </w:t>
      </w:r>
      <w:r>
        <w:rPr>
          <w:sz w:val="24"/>
        </w:rPr>
        <w:t>2009.</w:t>
      </w:r>
    </w:p>
    <w:p>
      <w:pPr>
        <w:pStyle w:val="BodyText"/>
        <w:rPr>
          <w:sz w:val="38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0" w:hanging="720"/>
        <w:jc w:val="left"/>
        <w:rPr>
          <w:sz w:val="24"/>
        </w:rPr>
      </w:pPr>
      <w:r>
        <w:rPr>
          <w:sz w:val="24"/>
        </w:rPr>
        <w:t>Rosenberg,</w:t>
      </w:r>
      <w:r>
        <w:rPr>
          <w:spacing w:val="-4"/>
          <w:sz w:val="24"/>
        </w:rPr>
        <w:t> </w:t>
      </w:r>
      <w:r>
        <w:rPr>
          <w:sz w:val="24"/>
        </w:rPr>
        <w:t>Z.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E.</w:t>
      </w:r>
      <w:r>
        <w:rPr>
          <w:spacing w:val="-1"/>
          <w:sz w:val="24"/>
        </w:rPr>
        <w:t> </w:t>
      </w:r>
      <w:r>
        <w:rPr>
          <w:sz w:val="24"/>
        </w:rPr>
        <w:t>Dekel.</w:t>
      </w:r>
      <w:r>
        <w:rPr>
          <w:spacing w:val="-1"/>
          <w:sz w:val="24"/>
        </w:rPr>
        <w:t> </w:t>
      </w:r>
      <w:r>
        <w:rPr>
          <w:sz w:val="24"/>
        </w:rPr>
        <w:t>(2016).</w:t>
      </w:r>
      <w:r>
        <w:rPr>
          <w:spacing w:val="-4"/>
          <w:sz w:val="24"/>
        </w:rPr>
        <w:t> </w:t>
      </w:r>
      <w:r>
        <w:rPr>
          <w:i/>
          <w:sz w:val="24"/>
        </w:rPr>
        <w:t>Terminal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Ballistics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(Second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ed.)</w:t>
      </w:r>
      <w:r>
        <w:rPr>
          <w:sz w:val="24"/>
        </w:rPr>
        <w:t>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799" w:hanging="720"/>
        <w:jc w:val="left"/>
        <w:rPr>
          <w:sz w:val="24"/>
        </w:rPr>
      </w:pPr>
      <w:r>
        <w:rPr>
          <w:sz w:val="24"/>
        </w:rPr>
        <w:t>Ross, R.J., "Wood handbook: Wood as an engineering material," F. S. U.S.</w:t>
      </w:r>
      <w:r>
        <w:rPr>
          <w:spacing w:val="1"/>
          <w:sz w:val="24"/>
        </w:rPr>
        <w:t> </w:t>
      </w:r>
      <w:r>
        <w:rPr>
          <w:sz w:val="24"/>
        </w:rPr>
        <w:t>Department of Agriculture, Forest Products Laboratory, Ed., Centennial Edition</w:t>
      </w:r>
      <w:r>
        <w:rPr>
          <w:spacing w:val="-58"/>
          <w:sz w:val="24"/>
        </w:rPr>
        <w:t> </w:t>
      </w:r>
      <w:r>
        <w:rPr>
          <w:sz w:val="24"/>
        </w:rPr>
        <w:t>ed.</w:t>
      </w:r>
      <w:r>
        <w:rPr>
          <w:spacing w:val="-1"/>
          <w:sz w:val="24"/>
        </w:rPr>
        <w:t> </w:t>
      </w:r>
      <w:r>
        <w:rPr>
          <w:sz w:val="24"/>
        </w:rPr>
        <w:t>Madison,</w:t>
      </w:r>
      <w:r>
        <w:rPr>
          <w:spacing w:val="1"/>
          <w:sz w:val="24"/>
        </w:rPr>
        <w:t> </w:t>
      </w:r>
      <w:r>
        <w:rPr>
          <w:sz w:val="24"/>
        </w:rPr>
        <w:t>WI: US, 2010.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1" w:after="0"/>
        <w:ind w:left="2440" w:right="793" w:hanging="720"/>
        <w:jc w:val="left"/>
        <w:rPr>
          <w:sz w:val="24"/>
        </w:rPr>
      </w:pPr>
      <w:r>
        <w:rPr>
          <w:sz w:val="24"/>
        </w:rPr>
        <w:t>Rottman,</w:t>
      </w:r>
      <w:r>
        <w:rPr>
          <w:spacing w:val="-2"/>
          <w:sz w:val="24"/>
        </w:rPr>
        <w:t> </w:t>
      </w:r>
      <w:r>
        <w:rPr>
          <w:sz w:val="24"/>
        </w:rPr>
        <w:t>G.L.,</w:t>
      </w:r>
      <w:r>
        <w:rPr>
          <w:spacing w:val="-2"/>
          <w:sz w:val="24"/>
        </w:rPr>
        <w:t> </w:t>
      </w:r>
      <w:r>
        <w:rPr>
          <w:i/>
          <w:sz w:val="24"/>
        </w:rPr>
        <w:t>Japanese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Pacific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Island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Defenses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1941-45</w:t>
      </w:r>
      <w:r>
        <w:rPr>
          <w:sz w:val="24"/>
        </w:rPr>
        <w:t>.</w:t>
      </w:r>
      <w:r>
        <w:rPr>
          <w:spacing w:val="-1"/>
          <w:sz w:val="24"/>
        </w:rPr>
        <w:t> </w:t>
      </w:r>
      <w:r>
        <w:rPr>
          <w:sz w:val="24"/>
        </w:rPr>
        <w:t>Oxford,</w:t>
      </w:r>
      <w:r>
        <w:rPr>
          <w:spacing w:val="-2"/>
          <w:sz w:val="24"/>
        </w:rPr>
        <w:t> </w:t>
      </w:r>
      <w:r>
        <w:rPr>
          <w:sz w:val="24"/>
        </w:rPr>
        <w:t>UK:</w:t>
      </w:r>
      <w:r>
        <w:rPr>
          <w:spacing w:val="-1"/>
          <w:sz w:val="24"/>
        </w:rPr>
        <w:t> </w:t>
      </w:r>
      <w:r>
        <w:rPr>
          <w:sz w:val="24"/>
        </w:rPr>
        <w:t>Osprey</w:t>
      </w:r>
      <w:r>
        <w:rPr>
          <w:spacing w:val="-57"/>
          <w:sz w:val="24"/>
        </w:rPr>
        <w:t> </w:t>
      </w:r>
      <w:r>
        <w:rPr>
          <w:sz w:val="24"/>
        </w:rPr>
        <w:t>Publishing,</w:t>
      </w:r>
      <w:r>
        <w:rPr>
          <w:spacing w:val="-3"/>
          <w:sz w:val="24"/>
        </w:rPr>
        <w:t> </w:t>
      </w:r>
      <w:r>
        <w:rPr>
          <w:sz w:val="24"/>
        </w:rPr>
        <w:t>2003.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0" w:hanging="720"/>
        <w:jc w:val="left"/>
        <w:rPr>
          <w:sz w:val="24"/>
        </w:rPr>
      </w:pPr>
      <w:r>
        <w:rPr>
          <w:sz w:val="24"/>
        </w:rPr>
        <w:t>Saaty,</w:t>
      </w:r>
      <w:r>
        <w:rPr>
          <w:spacing w:val="-2"/>
          <w:sz w:val="24"/>
        </w:rPr>
        <w:t> </w:t>
      </w:r>
      <w:r>
        <w:rPr>
          <w:sz w:val="24"/>
        </w:rPr>
        <w:t>R.W., "The</w:t>
      </w:r>
      <w:r>
        <w:rPr>
          <w:spacing w:val="-2"/>
          <w:sz w:val="24"/>
        </w:rPr>
        <w:t> </w:t>
      </w:r>
      <w:r>
        <w:rPr>
          <w:sz w:val="24"/>
        </w:rPr>
        <w:t>Analytic</w:t>
      </w:r>
      <w:r>
        <w:rPr>
          <w:spacing w:val="-1"/>
          <w:sz w:val="24"/>
        </w:rPr>
        <w:t> </w:t>
      </w:r>
      <w:r>
        <w:rPr>
          <w:sz w:val="24"/>
        </w:rPr>
        <w:t>Hierarchy</w:t>
      </w:r>
      <w:r>
        <w:rPr>
          <w:spacing w:val="-2"/>
          <w:sz w:val="24"/>
        </w:rPr>
        <w:t> </w:t>
      </w:r>
      <w:r>
        <w:rPr>
          <w:sz w:val="24"/>
        </w:rPr>
        <w:t>Process</w:t>
      </w:r>
      <w:r>
        <w:rPr>
          <w:spacing w:val="-1"/>
          <w:sz w:val="24"/>
        </w:rPr>
        <w:t> </w:t>
      </w:r>
      <w:r>
        <w:rPr>
          <w:sz w:val="24"/>
        </w:rPr>
        <w:t>-</w:t>
      </w:r>
      <w:r>
        <w:rPr>
          <w:spacing w:val="-2"/>
          <w:sz w:val="24"/>
        </w:rPr>
        <w:t> </w:t>
      </w:r>
      <w:r>
        <w:rPr>
          <w:sz w:val="24"/>
        </w:rPr>
        <w:t>What</w:t>
      </w:r>
      <w:r>
        <w:rPr>
          <w:spacing w:val="-2"/>
          <w:sz w:val="24"/>
        </w:rPr>
        <w:t> </w:t>
      </w:r>
      <w:r>
        <w:rPr>
          <w:sz w:val="24"/>
        </w:rPr>
        <w:t>it</w:t>
      </w:r>
      <w:r>
        <w:rPr>
          <w:spacing w:val="-1"/>
          <w:sz w:val="24"/>
        </w:rPr>
        <w:t> </w:t>
      </w:r>
      <w:r>
        <w:rPr>
          <w:sz w:val="24"/>
        </w:rPr>
        <w:t>is</w:t>
      </w:r>
      <w:r>
        <w:rPr>
          <w:spacing w:val="-3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how</w:t>
      </w:r>
      <w:r>
        <w:rPr>
          <w:spacing w:val="-2"/>
          <w:sz w:val="24"/>
        </w:rPr>
        <w:t> </w:t>
      </w:r>
      <w:r>
        <w:rPr>
          <w:sz w:val="24"/>
        </w:rPr>
        <w:t>it</w:t>
      </w:r>
      <w:r>
        <w:rPr>
          <w:spacing w:val="-2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used,"</w:t>
      </w:r>
    </w:p>
    <w:p>
      <w:pPr>
        <w:spacing w:before="0"/>
        <w:ind w:left="2440" w:right="0" w:firstLine="0"/>
        <w:jc w:val="left"/>
        <w:rPr>
          <w:sz w:val="24"/>
        </w:rPr>
      </w:pPr>
      <w:r>
        <w:rPr>
          <w:i/>
          <w:sz w:val="24"/>
        </w:rPr>
        <w:t>Mathematical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Modelling,</w:t>
      </w:r>
      <w:r>
        <w:rPr>
          <w:i/>
          <w:spacing w:val="-1"/>
          <w:sz w:val="24"/>
        </w:rPr>
        <w:t> </w:t>
      </w:r>
      <w:r>
        <w:rPr>
          <w:sz w:val="24"/>
        </w:rPr>
        <w:t>vol.</w:t>
      </w:r>
      <w:r>
        <w:rPr>
          <w:spacing w:val="-1"/>
          <w:sz w:val="24"/>
        </w:rPr>
        <w:t> </w:t>
      </w:r>
      <w:r>
        <w:rPr>
          <w:sz w:val="24"/>
        </w:rPr>
        <w:t>9,</w:t>
      </w:r>
      <w:r>
        <w:rPr>
          <w:spacing w:val="-1"/>
          <w:sz w:val="24"/>
        </w:rPr>
        <w:t> </w:t>
      </w:r>
      <w:r>
        <w:rPr>
          <w:sz w:val="24"/>
        </w:rPr>
        <w:t>pp.</w:t>
      </w:r>
      <w:r>
        <w:rPr>
          <w:spacing w:val="-1"/>
          <w:sz w:val="24"/>
        </w:rPr>
        <w:t> </w:t>
      </w:r>
      <w:r>
        <w:rPr>
          <w:sz w:val="24"/>
        </w:rPr>
        <w:t>161-176, 1987.</w:t>
      </w:r>
    </w:p>
    <w:p>
      <w:pPr>
        <w:pStyle w:val="BodyText"/>
        <w:spacing w:before="11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740" w:hanging="720"/>
        <w:jc w:val="left"/>
        <w:rPr>
          <w:sz w:val="24"/>
        </w:rPr>
      </w:pPr>
      <w:r>
        <w:rPr>
          <w:sz w:val="24"/>
        </w:rPr>
        <w:t>Saavedra Flores, E.I., K. Saavedra, J. Hinojosa, Y. Chandra, and R. Das, "Multi-</w:t>
      </w:r>
      <w:r>
        <w:rPr>
          <w:spacing w:val="-57"/>
          <w:sz w:val="24"/>
        </w:rPr>
        <w:t> </w:t>
      </w:r>
      <w:r>
        <w:rPr>
          <w:sz w:val="24"/>
        </w:rPr>
        <w:t>scale modelling of rolling shear failure in cross-laminated timber structures by</w:t>
      </w:r>
      <w:r>
        <w:rPr>
          <w:spacing w:val="1"/>
          <w:sz w:val="24"/>
        </w:rPr>
        <w:t> </w:t>
      </w:r>
      <w:r>
        <w:rPr>
          <w:sz w:val="24"/>
        </w:rPr>
        <w:t>homogenisation and cohesive zone models," </w:t>
      </w:r>
      <w:r>
        <w:rPr>
          <w:i/>
          <w:sz w:val="24"/>
        </w:rPr>
        <w:t>International Journal of Solids and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Structures,</w:t>
      </w:r>
      <w:r>
        <w:rPr>
          <w:i/>
          <w:spacing w:val="-1"/>
          <w:sz w:val="24"/>
        </w:rPr>
        <w:t> </w:t>
      </w:r>
      <w:r>
        <w:rPr>
          <w:sz w:val="24"/>
        </w:rPr>
        <w:t>vol. 81, pp. 219-232, 2016.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760" w:hanging="720"/>
        <w:jc w:val="left"/>
        <w:rPr>
          <w:sz w:val="24"/>
        </w:rPr>
      </w:pPr>
      <w:r>
        <w:rPr>
          <w:sz w:val="24"/>
        </w:rPr>
        <w:t>Scott, B., Mechanical/Materials Engineer,Multi-Threat Armor Branch, RDRL-</w:t>
      </w:r>
      <w:r>
        <w:rPr>
          <w:spacing w:val="1"/>
          <w:sz w:val="24"/>
        </w:rPr>
        <w:t> </w:t>
      </w:r>
      <w:r>
        <w:rPr>
          <w:sz w:val="24"/>
        </w:rPr>
        <w:t>WMP-D,</w:t>
      </w:r>
      <w:r>
        <w:rPr>
          <w:spacing w:val="-3"/>
          <w:sz w:val="24"/>
        </w:rPr>
        <w:t> </w:t>
      </w:r>
      <w:r>
        <w:rPr>
          <w:sz w:val="24"/>
        </w:rPr>
        <w:t>US</w:t>
      </w:r>
      <w:r>
        <w:rPr>
          <w:spacing w:val="-3"/>
          <w:sz w:val="24"/>
        </w:rPr>
        <w:t> </w:t>
      </w:r>
      <w:r>
        <w:rPr>
          <w:sz w:val="24"/>
        </w:rPr>
        <w:t>Army</w:t>
      </w:r>
      <w:r>
        <w:rPr>
          <w:spacing w:val="-2"/>
          <w:sz w:val="24"/>
        </w:rPr>
        <w:t> </w:t>
      </w:r>
      <w:r>
        <w:rPr>
          <w:sz w:val="24"/>
        </w:rPr>
        <w:t>Research</w:t>
      </w:r>
      <w:r>
        <w:rPr>
          <w:spacing w:val="-2"/>
          <w:sz w:val="24"/>
        </w:rPr>
        <w:t> </w:t>
      </w:r>
      <w:r>
        <w:rPr>
          <w:sz w:val="24"/>
        </w:rPr>
        <w:t>Laboratory,</w:t>
      </w:r>
      <w:r>
        <w:rPr>
          <w:spacing w:val="-2"/>
          <w:sz w:val="24"/>
        </w:rPr>
        <w:t> </w:t>
      </w:r>
      <w:r>
        <w:rPr>
          <w:sz w:val="24"/>
        </w:rPr>
        <w:t>Personal</w:t>
      </w:r>
      <w:r>
        <w:rPr>
          <w:spacing w:val="-3"/>
          <w:sz w:val="24"/>
        </w:rPr>
        <w:t> </w:t>
      </w:r>
      <w:r>
        <w:rPr>
          <w:sz w:val="24"/>
        </w:rPr>
        <w:t>Communication,</w:t>
      </w:r>
      <w:r>
        <w:rPr>
          <w:spacing w:val="-2"/>
          <w:sz w:val="24"/>
        </w:rPr>
        <w:t> </w:t>
      </w:r>
      <w:r>
        <w:rPr>
          <w:sz w:val="24"/>
        </w:rPr>
        <w:t>January</w:t>
      </w:r>
      <w:r>
        <w:rPr>
          <w:spacing w:val="-2"/>
          <w:sz w:val="24"/>
        </w:rPr>
        <w:t> </w:t>
      </w:r>
      <w:r>
        <w:rPr>
          <w:sz w:val="24"/>
        </w:rPr>
        <w:t>25,</w:t>
      </w:r>
      <w:r>
        <w:rPr>
          <w:spacing w:val="-57"/>
          <w:sz w:val="24"/>
        </w:rPr>
        <w:t> </w:t>
      </w:r>
      <w:r>
        <w:rPr>
          <w:sz w:val="24"/>
        </w:rPr>
        <w:t>2018.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1064" w:top="1360" w:bottom="1260" w:left="440" w:right="880"/>
        </w:sectPr>
      </w:pPr>
    </w:p>
    <w:p>
      <w:pPr>
        <w:pStyle w:val="BodyText"/>
        <w:spacing w:before="7"/>
      </w:pPr>
    </w:p>
    <w:p>
      <w:pPr>
        <w:pStyle w:val="ListParagraph"/>
        <w:numPr>
          <w:ilvl w:val="0"/>
          <w:numId w:val="30"/>
        </w:numPr>
        <w:tabs>
          <w:tab w:pos="2440" w:val="left" w:leader="none"/>
        </w:tabs>
        <w:spacing w:line="240" w:lineRule="auto" w:before="90" w:after="0"/>
        <w:ind w:left="2439" w:right="601" w:hanging="720"/>
        <w:jc w:val="both"/>
        <w:rPr>
          <w:sz w:val="24"/>
        </w:rPr>
      </w:pPr>
      <w:r>
        <w:rPr>
          <w:sz w:val="24"/>
        </w:rPr>
        <w:t>Shiling, P., J.W. van de Lindt, and M. Popovski, "Approximate R-Factor for CLT</w:t>
      </w:r>
      <w:r>
        <w:rPr>
          <w:spacing w:val="-57"/>
          <w:sz w:val="24"/>
        </w:rPr>
        <w:t> </w:t>
      </w:r>
      <w:r>
        <w:rPr>
          <w:sz w:val="24"/>
        </w:rPr>
        <w:t>Walls in Multistory Buildings," </w:t>
      </w:r>
      <w:r>
        <w:rPr>
          <w:i/>
          <w:sz w:val="24"/>
        </w:rPr>
        <w:t>Journal of Architectural Engineering, </w:t>
      </w:r>
      <w:r>
        <w:rPr>
          <w:sz w:val="24"/>
        </w:rPr>
        <w:t>vol. 19, pp.</w:t>
      </w:r>
      <w:r>
        <w:rPr>
          <w:spacing w:val="-58"/>
          <w:sz w:val="24"/>
        </w:rPr>
        <w:t> </w:t>
      </w:r>
      <w:r>
        <w:rPr>
          <w:sz w:val="24"/>
        </w:rPr>
        <w:t>245-255, 2013.</w:t>
      </w:r>
    </w:p>
    <w:p>
      <w:pPr>
        <w:pStyle w:val="BodyText"/>
        <w:rPr>
          <w:sz w:val="38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39" w:right="827" w:hanging="720"/>
        <w:jc w:val="left"/>
        <w:rPr>
          <w:sz w:val="24"/>
        </w:rPr>
      </w:pPr>
      <w:r>
        <w:rPr>
          <w:sz w:val="24"/>
        </w:rPr>
        <w:t>Showalter, J., B. Douglas, and M. Kam-Biron, "Changes to the 2015 National</w:t>
      </w:r>
      <w:r>
        <w:rPr>
          <w:spacing w:val="1"/>
          <w:sz w:val="24"/>
        </w:rPr>
        <w:t> </w:t>
      </w:r>
      <w:r>
        <w:rPr>
          <w:sz w:val="24"/>
        </w:rPr>
        <w:t>Design Specification (NDS) for Wood Construction and the Inclusion of Cross-</w:t>
      </w:r>
      <w:r>
        <w:rPr>
          <w:spacing w:val="-58"/>
          <w:sz w:val="24"/>
        </w:rPr>
        <w:t> </w:t>
      </w:r>
      <w:r>
        <w:rPr>
          <w:sz w:val="24"/>
        </w:rPr>
        <w:t>Laminated</w:t>
      </w:r>
      <w:r>
        <w:rPr>
          <w:spacing w:val="-2"/>
          <w:sz w:val="24"/>
        </w:rPr>
        <w:t> </w:t>
      </w:r>
      <w:r>
        <w:rPr>
          <w:sz w:val="24"/>
        </w:rPr>
        <w:t>Timber,"</w:t>
      </w:r>
      <w:r>
        <w:rPr>
          <w:spacing w:val="-1"/>
          <w:sz w:val="24"/>
        </w:rPr>
        <w:t> </w:t>
      </w:r>
      <w:r>
        <w:rPr>
          <w:sz w:val="24"/>
        </w:rPr>
        <w:t>presented</w:t>
      </w:r>
      <w:r>
        <w:rPr>
          <w:spacing w:val="-4"/>
          <w:sz w:val="24"/>
        </w:rPr>
        <w:t> </w:t>
      </w:r>
      <w:r>
        <w:rPr>
          <w:sz w:val="24"/>
        </w:rPr>
        <w:t>at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Structures</w:t>
      </w:r>
      <w:r>
        <w:rPr>
          <w:spacing w:val="-3"/>
          <w:sz w:val="24"/>
        </w:rPr>
        <w:t> </w:t>
      </w:r>
      <w:r>
        <w:rPr>
          <w:sz w:val="24"/>
        </w:rPr>
        <w:t>Congress,</w:t>
      </w:r>
      <w:r>
        <w:rPr>
          <w:spacing w:val="-1"/>
          <w:sz w:val="24"/>
        </w:rPr>
        <w:t> </w:t>
      </w:r>
      <w:r>
        <w:rPr>
          <w:sz w:val="24"/>
        </w:rPr>
        <w:t>Portland,</w:t>
      </w:r>
      <w:r>
        <w:rPr>
          <w:spacing w:val="-2"/>
          <w:sz w:val="24"/>
        </w:rPr>
        <w:t> </w:t>
      </w:r>
      <w:r>
        <w:rPr>
          <w:sz w:val="24"/>
        </w:rPr>
        <w:t>OR,</w:t>
      </w:r>
      <w:r>
        <w:rPr>
          <w:spacing w:val="-1"/>
          <w:sz w:val="24"/>
        </w:rPr>
        <w:t> </w:t>
      </w:r>
      <w:r>
        <w:rPr>
          <w:sz w:val="24"/>
        </w:rPr>
        <w:t>2015.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39" w:right="566" w:hanging="720"/>
        <w:jc w:val="left"/>
        <w:rPr>
          <w:sz w:val="24"/>
        </w:rPr>
      </w:pPr>
      <w:r>
        <w:rPr>
          <w:sz w:val="24"/>
        </w:rPr>
        <w:t>Sikora, K.S., D.O. McPolin, and A.M. Harte, "Shear Strength and Durability</w:t>
      </w:r>
      <w:r>
        <w:rPr>
          <w:spacing w:val="1"/>
          <w:sz w:val="24"/>
        </w:rPr>
        <w:t> </w:t>
      </w:r>
      <w:r>
        <w:rPr>
          <w:sz w:val="24"/>
        </w:rPr>
        <w:t>Testing of Adhesive Bonds in Cross-laminated Timber," </w:t>
      </w:r>
      <w:r>
        <w:rPr>
          <w:i/>
          <w:sz w:val="24"/>
        </w:rPr>
        <w:t>The Journal of Adhesion,</w:t>
      </w:r>
      <w:r>
        <w:rPr>
          <w:i/>
          <w:spacing w:val="-57"/>
          <w:sz w:val="24"/>
        </w:rPr>
        <w:t> </w:t>
      </w:r>
      <w:r>
        <w:rPr>
          <w:sz w:val="24"/>
        </w:rPr>
        <w:t>vol. 92, pp. 758-777, 2015.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1" w:after="0"/>
        <w:ind w:left="2439" w:right="615" w:hanging="720"/>
        <w:jc w:val="left"/>
        <w:rPr>
          <w:sz w:val="24"/>
        </w:rPr>
      </w:pPr>
      <w:r>
        <w:rPr>
          <w:sz w:val="24"/>
        </w:rPr>
        <w:t>Stewart, L., </w:t>
      </w:r>
      <w:r>
        <w:rPr>
          <w:i/>
          <w:sz w:val="24"/>
        </w:rPr>
        <w:t>Course Notes CEE 8813: Multi-hazard Analysis and Design</w:t>
      </w:r>
      <w:r>
        <w:rPr>
          <w:sz w:val="24"/>
        </w:rPr>
        <w:t>. Atlanta,</w:t>
      </w:r>
      <w:r>
        <w:rPr>
          <w:spacing w:val="-57"/>
          <w:sz w:val="24"/>
        </w:rPr>
        <w:t> </w:t>
      </w:r>
      <w:r>
        <w:rPr>
          <w:sz w:val="24"/>
        </w:rPr>
        <w:t>GA:</w:t>
      </w:r>
      <w:r>
        <w:rPr>
          <w:spacing w:val="-1"/>
          <w:sz w:val="24"/>
        </w:rPr>
        <w:t> </w:t>
      </w:r>
      <w:r>
        <w:rPr>
          <w:sz w:val="24"/>
        </w:rPr>
        <w:t>Georgia Institute of</w:t>
      </w:r>
      <w:r>
        <w:rPr>
          <w:spacing w:val="-1"/>
          <w:sz w:val="24"/>
        </w:rPr>
        <w:t> </w:t>
      </w:r>
      <w:r>
        <w:rPr>
          <w:sz w:val="24"/>
        </w:rPr>
        <w:t>Technology, 2015.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39" w:right="662" w:hanging="720"/>
        <w:jc w:val="left"/>
        <w:rPr>
          <w:sz w:val="24"/>
        </w:rPr>
      </w:pPr>
      <w:r>
        <w:rPr>
          <w:sz w:val="24"/>
        </w:rPr>
        <w:t>Stewart, L.K., A. Freidenberg, T. Rodriguez-Nikl, M. Oesterle, J. Wolfson, B.</w:t>
      </w:r>
      <w:r>
        <w:rPr>
          <w:spacing w:val="1"/>
          <w:sz w:val="24"/>
        </w:rPr>
        <w:t> </w:t>
      </w:r>
      <w:r>
        <w:rPr>
          <w:sz w:val="24"/>
        </w:rPr>
        <w:t>Durant</w:t>
      </w:r>
      <w:r>
        <w:rPr>
          <w:i/>
          <w:sz w:val="24"/>
        </w:rPr>
        <w:t>, et al.</w:t>
      </w:r>
      <w:r>
        <w:rPr>
          <w:sz w:val="24"/>
        </w:rPr>
        <w:t>, "Methodology and validation for blast and shock testing of</w:t>
      </w:r>
      <w:r>
        <w:rPr>
          <w:spacing w:val="1"/>
          <w:sz w:val="24"/>
        </w:rPr>
        <w:t> </w:t>
      </w:r>
      <w:r>
        <w:rPr>
          <w:sz w:val="24"/>
        </w:rPr>
        <w:t>structures using high-speed hydraulic actuators," </w:t>
      </w:r>
      <w:r>
        <w:rPr>
          <w:i/>
          <w:sz w:val="24"/>
        </w:rPr>
        <w:t>Engineering Structures, </w:t>
      </w:r>
      <w:r>
        <w:rPr>
          <w:sz w:val="24"/>
        </w:rPr>
        <w:t>vol. 70,</w:t>
      </w:r>
      <w:r>
        <w:rPr>
          <w:spacing w:val="-58"/>
          <w:sz w:val="24"/>
        </w:rPr>
        <w:t> </w:t>
      </w:r>
      <w:r>
        <w:rPr>
          <w:sz w:val="24"/>
        </w:rPr>
        <w:t>pp. 168-180, 2014.</w:t>
      </w:r>
    </w:p>
    <w:p>
      <w:pPr>
        <w:pStyle w:val="BodyText"/>
        <w:spacing w:before="11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39" w:right="662" w:hanging="720"/>
        <w:jc w:val="left"/>
        <w:rPr>
          <w:sz w:val="24"/>
        </w:rPr>
      </w:pPr>
      <w:r>
        <w:rPr>
          <w:sz w:val="24"/>
        </w:rPr>
        <w:t>Stürzenbecher, R., K. Hofstetter, and J. Eberhardsteiner, "Structural design of</w:t>
      </w:r>
      <w:r>
        <w:rPr>
          <w:spacing w:val="1"/>
          <w:sz w:val="24"/>
        </w:rPr>
        <w:t> </w:t>
      </w:r>
      <w:r>
        <w:rPr>
          <w:sz w:val="24"/>
        </w:rPr>
        <w:t>Cross Laminated Timber (CLT) by advanced plate theories," </w:t>
      </w:r>
      <w:r>
        <w:rPr>
          <w:i/>
          <w:sz w:val="24"/>
        </w:rPr>
        <w:t>Composites Science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Technology, </w:t>
      </w:r>
      <w:r>
        <w:rPr>
          <w:sz w:val="24"/>
        </w:rPr>
        <w:t>vol. 70,</w:t>
      </w:r>
      <w:r>
        <w:rPr>
          <w:spacing w:val="-2"/>
          <w:sz w:val="24"/>
        </w:rPr>
        <w:t> </w:t>
      </w:r>
      <w:r>
        <w:rPr>
          <w:sz w:val="24"/>
        </w:rPr>
        <w:t>pp. 1368-1379, 2010.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39" w:right="890" w:hanging="720"/>
        <w:jc w:val="left"/>
        <w:rPr>
          <w:sz w:val="24"/>
        </w:rPr>
      </w:pPr>
      <w:r>
        <w:rPr>
          <w:sz w:val="24"/>
        </w:rPr>
        <w:t>Sukontasukkul,</w:t>
      </w:r>
      <w:r>
        <w:rPr>
          <w:spacing w:val="-2"/>
          <w:sz w:val="24"/>
        </w:rPr>
        <w:t> </w:t>
      </w:r>
      <w:r>
        <w:rPr>
          <w:sz w:val="24"/>
        </w:rPr>
        <w:t>P.,</w:t>
      </w:r>
      <w:r>
        <w:rPr>
          <w:spacing w:val="-2"/>
          <w:sz w:val="24"/>
        </w:rPr>
        <w:t> </w:t>
      </w:r>
      <w:r>
        <w:rPr>
          <w:sz w:val="24"/>
        </w:rPr>
        <w:t>F.</w:t>
      </w:r>
      <w:r>
        <w:rPr>
          <w:spacing w:val="-1"/>
          <w:sz w:val="24"/>
        </w:rPr>
        <w:t> </w:t>
      </w:r>
      <w:r>
        <w:rPr>
          <w:sz w:val="24"/>
        </w:rPr>
        <w:t>Lam,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S.</w:t>
      </w:r>
      <w:r>
        <w:rPr>
          <w:spacing w:val="-1"/>
          <w:sz w:val="24"/>
        </w:rPr>
        <w:t> </w:t>
      </w:r>
      <w:r>
        <w:rPr>
          <w:sz w:val="24"/>
        </w:rPr>
        <w:t>Mindess,</w:t>
      </w:r>
      <w:r>
        <w:rPr>
          <w:spacing w:val="-3"/>
          <w:sz w:val="24"/>
        </w:rPr>
        <w:t> </w:t>
      </w:r>
      <w:r>
        <w:rPr>
          <w:sz w:val="24"/>
        </w:rPr>
        <w:t>"Fracture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parallel</w:t>
      </w:r>
      <w:r>
        <w:rPr>
          <w:spacing w:val="-2"/>
          <w:sz w:val="24"/>
        </w:rPr>
        <w:t> </w:t>
      </w:r>
      <w:r>
        <w:rPr>
          <w:sz w:val="24"/>
        </w:rPr>
        <w:t>strand</w:t>
      </w:r>
      <w:r>
        <w:rPr>
          <w:spacing w:val="-3"/>
          <w:sz w:val="24"/>
        </w:rPr>
        <w:t> </w:t>
      </w:r>
      <w:r>
        <w:rPr>
          <w:sz w:val="24"/>
        </w:rPr>
        <w:t>lumber</w:t>
      </w:r>
      <w:r>
        <w:rPr>
          <w:spacing w:val="-57"/>
          <w:sz w:val="24"/>
        </w:rPr>
        <w:t> </w:t>
      </w:r>
      <w:r>
        <w:rPr>
          <w:sz w:val="24"/>
        </w:rPr>
        <w:t>(PSL) under impact loading," </w:t>
      </w:r>
      <w:r>
        <w:rPr>
          <w:i/>
          <w:sz w:val="24"/>
        </w:rPr>
        <w:t>Materials and Structures, </w:t>
      </w:r>
      <w:r>
        <w:rPr>
          <w:sz w:val="24"/>
        </w:rPr>
        <w:t>vol. 33, pp. 445-449,</w:t>
      </w:r>
      <w:r>
        <w:rPr>
          <w:spacing w:val="1"/>
          <w:sz w:val="24"/>
        </w:rPr>
        <w:t> </w:t>
      </w:r>
      <w:r>
        <w:rPr>
          <w:sz w:val="24"/>
        </w:rPr>
        <w:t>2000.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1" w:after="0"/>
        <w:ind w:left="2439" w:right="708" w:hanging="720"/>
        <w:jc w:val="left"/>
        <w:rPr>
          <w:sz w:val="24"/>
        </w:rPr>
      </w:pPr>
      <w:r>
        <w:rPr>
          <w:sz w:val="24"/>
        </w:rPr>
        <w:t>Taroun, A., "Towards a better modelling and assessment of construction risk:</w:t>
      </w:r>
      <w:r>
        <w:rPr>
          <w:spacing w:val="1"/>
          <w:sz w:val="24"/>
        </w:rPr>
        <w:t> </w:t>
      </w:r>
      <w:r>
        <w:rPr>
          <w:sz w:val="24"/>
        </w:rPr>
        <w:t>Insights from a literature review," </w:t>
      </w:r>
      <w:r>
        <w:rPr>
          <w:i/>
          <w:sz w:val="24"/>
        </w:rPr>
        <w:t>International Journal of Project Management,</w:t>
      </w:r>
      <w:r>
        <w:rPr>
          <w:i/>
          <w:spacing w:val="-57"/>
          <w:sz w:val="24"/>
        </w:rPr>
        <w:t> </w:t>
      </w:r>
      <w:r>
        <w:rPr>
          <w:sz w:val="24"/>
        </w:rPr>
        <w:t>vol. 32, pp. 101-115, 2014.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39" w:right="1373" w:hanging="720"/>
        <w:jc w:val="left"/>
        <w:rPr>
          <w:sz w:val="24"/>
        </w:rPr>
      </w:pPr>
      <w:r>
        <w:rPr>
          <w:sz w:val="24"/>
        </w:rPr>
        <w:t>Tobin, W., Operations Director, Timber &amp; Innovations Group, Lendlease,</w:t>
      </w:r>
      <w:r>
        <w:rPr>
          <w:spacing w:val="-58"/>
          <w:sz w:val="24"/>
        </w:rPr>
        <w:t> </w:t>
      </w:r>
      <w:r>
        <w:rPr>
          <w:sz w:val="24"/>
        </w:rPr>
        <w:t>Personal</w:t>
      </w:r>
      <w:r>
        <w:rPr>
          <w:spacing w:val="-1"/>
          <w:sz w:val="24"/>
        </w:rPr>
        <w:t> </w:t>
      </w:r>
      <w:r>
        <w:rPr>
          <w:sz w:val="24"/>
        </w:rPr>
        <w:t>Communication, October 12, 2016.</w:t>
      </w:r>
    </w:p>
    <w:p>
      <w:pPr>
        <w:pStyle w:val="BodyText"/>
        <w:spacing w:before="11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39" w:right="1258" w:hanging="720"/>
        <w:jc w:val="left"/>
        <w:rPr>
          <w:sz w:val="24"/>
        </w:rPr>
      </w:pPr>
      <w:r>
        <w:rPr>
          <w:sz w:val="24"/>
        </w:rPr>
        <w:t>Tudhope, R., Vice President of Product Development, SmartLam, Personal</w:t>
      </w:r>
      <w:r>
        <w:rPr>
          <w:spacing w:val="-57"/>
          <w:sz w:val="24"/>
        </w:rPr>
        <w:t> </w:t>
      </w:r>
      <w:r>
        <w:rPr>
          <w:sz w:val="24"/>
        </w:rPr>
        <w:t>Communication,</w:t>
      </w:r>
      <w:r>
        <w:rPr>
          <w:spacing w:val="-1"/>
          <w:sz w:val="24"/>
        </w:rPr>
        <w:t> </w:t>
      </w:r>
      <w:r>
        <w:rPr>
          <w:sz w:val="24"/>
        </w:rPr>
        <w:t>February 9, 2017.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1064" w:top="1500" w:bottom="1260" w:left="440" w:right="880"/>
        </w:sect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78" w:after="0"/>
        <w:ind w:left="2440" w:right="673" w:hanging="720"/>
        <w:jc w:val="left"/>
        <w:rPr>
          <w:sz w:val="24"/>
        </w:rPr>
      </w:pPr>
      <w:r>
        <w:rPr>
          <w:sz w:val="24"/>
        </w:rPr>
        <w:t>Vaidya, U.K., S. Pillay, M. Magrini, and P.R. Mantena, "Ballistic Impact Testing</w:t>
      </w:r>
      <w:r>
        <w:rPr>
          <w:spacing w:val="-57"/>
          <w:sz w:val="24"/>
        </w:rPr>
        <w:t> </w:t>
      </w:r>
      <w:r>
        <w:rPr>
          <w:sz w:val="24"/>
        </w:rPr>
        <w:t>of Balsa, PVC Foam, Glass Reinforces Polyurethane Core Sandwich Structures,"</w:t>
      </w:r>
      <w:r>
        <w:rPr>
          <w:spacing w:val="-57"/>
          <w:sz w:val="24"/>
        </w:rPr>
        <w:t> </w:t>
      </w:r>
      <w:r>
        <w:rPr>
          <w:sz w:val="24"/>
        </w:rPr>
        <w:t>presented at the 17th International Conference on Composite Materials,</w:t>
      </w:r>
      <w:r>
        <w:rPr>
          <w:spacing w:val="1"/>
          <w:sz w:val="24"/>
        </w:rPr>
        <w:t> </w:t>
      </w:r>
      <w:r>
        <w:rPr>
          <w:sz w:val="24"/>
        </w:rPr>
        <w:t>Edinburgh,</w:t>
      </w:r>
      <w:r>
        <w:rPr>
          <w:spacing w:val="-3"/>
          <w:sz w:val="24"/>
        </w:rPr>
        <w:t> </w:t>
      </w:r>
      <w:r>
        <w:rPr>
          <w:sz w:val="24"/>
        </w:rPr>
        <w:t>UK, 2009.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980" w:val="left" w:leader="none"/>
          <w:tab w:pos="2440" w:val="left" w:leader="none"/>
        </w:tabs>
        <w:spacing w:line="240" w:lineRule="auto" w:before="0" w:after="0"/>
        <w:ind w:left="2440" w:right="0" w:hanging="2180"/>
        <w:jc w:val="left"/>
        <w:rPr>
          <w:sz w:val="24"/>
        </w:rPr>
      </w:pPr>
      <w:r>
        <w:rPr>
          <w:sz w:val="24"/>
        </w:rPr>
        <w:t>van</w:t>
      </w:r>
      <w:r>
        <w:rPr>
          <w:spacing w:val="-2"/>
          <w:sz w:val="24"/>
        </w:rPr>
        <w:t> </w:t>
      </w:r>
      <w:r>
        <w:rPr>
          <w:sz w:val="24"/>
        </w:rPr>
        <w:t>Dingenen,</w:t>
      </w:r>
      <w:r>
        <w:rPr>
          <w:spacing w:val="-1"/>
          <w:sz w:val="24"/>
        </w:rPr>
        <w:t> </w:t>
      </w:r>
      <w:r>
        <w:rPr>
          <w:sz w:val="24"/>
        </w:rPr>
        <w:t>J.L.J.,</w:t>
      </w:r>
      <w:r>
        <w:rPr>
          <w:spacing w:val="-1"/>
          <w:sz w:val="24"/>
        </w:rPr>
        <w:t> </w:t>
      </w:r>
      <w:r>
        <w:rPr>
          <w:sz w:val="24"/>
        </w:rPr>
        <w:t>"High</w:t>
      </w:r>
      <w:r>
        <w:rPr>
          <w:spacing w:val="-1"/>
          <w:sz w:val="24"/>
        </w:rPr>
        <w:t> </w:t>
      </w:r>
      <w:r>
        <w:rPr>
          <w:sz w:val="24"/>
        </w:rPr>
        <w:t>performance</w:t>
      </w:r>
      <w:r>
        <w:rPr>
          <w:spacing w:val="-2"/>
          <w:sz w:val="24"/>
        </w:rPr>
        <w:t> </w:t>
      </w:r>
      <w:r>
        <w:rPr>
          <w:sz w:val="24"/>
        </w:rPr>
        <w:t>dyneema</w:t>
      </w:r>
      <w:r>
        <w:rPr>
          <w:spacing w:val="-1"/>
          <w:sz w:val="24"/>
        </w:rPr>
        <w:t> </w:t>
      </w:r>
      <w:r>
        <w:rPr>
          <w:sz w:val="24"/>
        </w:rPr>
        <w:t>fibres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3"/>
          <w:sz w:val="24"/>
        </w:rPr>
        <w:t> </w:t>
      </w:r>
      <w:r>
        <w:rPr>
          <w:sz w:val="24"/>
        </w:rPr>
        <w:t>composites,"</w:t>
      </w:r>
    </w:p>
    <w:p>
      <w:pPr>
        <w:spacing w:before="0"/>
        <w:ind w:left="608" w:right="778" w:firstLine="0"/>
        <w:jc w:val="center"/>
        <w:rPr>
          <w:sz w:val="24"/>
        </w:rPr>
      </w:pPr>
      <w:r>
        <w:rPr>
          <w:i/>
          <w:sz w:val="24"/>
        </w:rPr>
        <w:t>Materials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&amp;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Design, </w:t>
      </w:r>
      <w:r>
        <w:rPr>
          <w:sz w:val="24"/>
        </w:rPr>
        <w:t>vol.</w:t>
      </w:r>
      <w:r>
        <w:rPr>
          <w:spacing w:val="-2"/>
          <w:sz w:val="24"/>
        </w:rPr>
        <w:t> </w:t>
      </w:r>
      <w:r>
        <w:rPr>
          <w:sz w:val="24"/>
        </w:rPr>
        <w:t>10,</w:t>
      </w:r>
      <w:r>
        <w:rPr>
          <w:spacing w:val="-1"/>
          <w:sz w:val="24"/>
        </w:rPr>
        <w:t> </w:t>
      </w:r>
      <w:r>
        <w:rPr>
          <w:sz w:val="24"/>
        </w:rPr>
        <w:t>pp. 101-104, 1989/03/01/ 1989.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716" w:hanging="720"/>
        <w:jc w:val="left"/>
        <w:rPr>
          <w:sz w:val="24"/>
        </w:rPr>
      </w:pPr>
      <w:r>
        <w:rPr>
          <w:sz w:val="24"/>
        </w:rPr>
        <w:t>Vural, M. and G. Ravichandran, "Dynamic response and energy dissipation</w:t>
      </w:r>
      <w:r>
        <w:rPr>
          <w:spacing w:val="1"/>
          <w:sz w:val="24"/>
        </w:rPr>
        <w:t> </w:t>
      </w:r>
      <w:r>
        <w:rPr>
          <w:sz w:val="24"/>
        </w:rPr>
        <w:t>characteristics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balsa</w:t>
      </w:r>
      <w:r>
        <w:rPr>
          <w:spacing w:val="-3"/>
          <w:sz w:val="24"/>
        </w:rPr>
        <w:t> </w:t>
      </w:r>
      <w:r>
        <w:rPr>
          <w:sz w:val="24"/>
        </w:rPr>
        <w:t>wood:</w:t>
      </w:r>
      <w:r>
        <w:rPr>
          <w:spacing w:val="-1"/>
          <w:sz w:val="24"/>
        </w:rPr>
        <w:t> </w:t>
      </w:r>
      <w:r>
        <w:rPr>
          <w:sz w:val="24"/>
        </w:rPr>
        <w:t>experiment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analysis,"</w:t>
      </w:r>
      <w:r>
        <w:rPr>
          <w:spacing w:val="-2"/>
          <w:sz w:val="24"/>
        </w:rPr>
        <w:t> </w:t>
      </w:r>
      <w:r>
        <w:rPr>
          <w:i/>
          <w:sz w:val="24"/>
        </w:rPr>
        <w:t>International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Solids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 Structures, </w:t>
      </w:r>
      <w:r>
        <w:rPr>
          <w:sz w:val="24"/>
        </w:rPr>
        <w:t>vol. 40, pp. 2147-2170, 2003.</w:t>
      </w:r>
    </w:p>
    <w:p>
      <w:pPr>
        <w:pStyle w:val="BodyText"/>
        <w:rPr>
          <w:sz w:val="38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631" w:hanging="720"/>
        <w:jc w:val="left"/>
        <w:rPr>
          <w:sz w:val="24"/>
        </w:rPr>
      </w:pPr>
      <w:r>
        <w:rPr>
          <w:sz w:val="24"/>
        </w:rPr>
        <w:t>Waller, J.C.C. (2011) From Manufacturer to Forward Operating Base. </w:t>
      </w:r>
      <w:r>
        <w:rPr>
          <w:i/>
          <w:sz w:val="24"/>
        </w:rPr>
        <w:t>Army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Sustainment</w:t>
      </w:r>
      <w:r>
        <w:rPr>
          <w:sz w:val="24"/>
        </w:rPr>
        <w:t>. Available:</w:t>
      </w:r>
      <w:r>
        <w:rPr>
          <w:spacing w:val="1"/>
          <w:sz w:val="24"/>
        </w:rPr>
        <w:t> </w:t>
      </w:r>
      <w:hyperlink r:id="rId477">
        <w:r>
          <w:rPr>
            <w:spacing w:val="-1"/>
            <w:sz w:val="24"/>
          </w:rPr>
          <w:t>http://www.almc.army.mil/alog/issues/JulAug11/spectrum_forward_operating%2</w:t>
        </w:r>
      </w:hyperlink>
      <w:r>
        <w:rPr>
          <w:sz w:val="24"/>
        </w:rPr>
        <w:t> 0base.html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787" w:hanging="720"/>
        <w:jc w:val="left"/>
        <w:rPr>
          <w:sz w:val="24"/>
        </w:rPr>
      </w:pPr>
      <w:r>
        <w:rPr>
          <w:sz w:val="24"/>
        </w:rPr>
        <w:t>Walley, S.M. and J.E. Field, "Elastic Wave Propagation in Materials," in</w:t>
      </w:r>
      <w:r>
        <w:rPr>
          <w:spacing w:val="1"/>
          <w:sz w:val="24"/>
        </w:rPr>
        <w:t> </w:t>
      </w:r>
      <w:r>
        <w:rPr>
          <w:i/>
          <w:sz w:val="24"/>
        </w:rPr>
        <w:t>Encyclopedia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Materials: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Science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Technology</w:t>
      </w:r>
      <w:r>
        <w:rPr>
          <w:sz w:val="24"/>
        </w:rPr>
        <w:t>,</w:t>
      </w:r>
      <w:r>
        <w:rPr>
          <w:spacing w:val="-2"/>
          <w:sz w:val="24"/>
        </w:rPr>
        <w:t> </w:t>
      </w:r>
      <w:r>
        <w:rPr>
          <w:sz w:val="24"/>
        </w:rPr>
        <w:t>ed:</w:t>
      </w:r>
      <w:r>
        <w:rPr>
          <w:spacing w:val="-1"/>
          <w:sz w:val="24"/>
        </w:rPr>
        <w:t> </w:t>
      </w:r>
      <w:r>
        <w:rPr>
          <w:sz w:val="24"/>
        </w:rPr>
        <w:t>Elsevier</w:t>
      </w:r>
      <w:r>
        <w:rPr>
          <w:spacing w:val="-2"/>
          <w:sz w:val="24"/>
        </w:rPr>
        <w:t> </w:t>
      </w:r>
      <w:r>
        <w:rPr>
          <w:sz w:val="24"/>
        </w:rPr>
        <w:t>Ltd,</w:t>
      </w:r>
      <w:r>
        <w:rPr>
          <w:spacing w:val="-2"/>
          <w:sz w:val="24"/>
        </w:rPr>
        <w:t> </w:t>
      </w:r>
      <w:r>
        <w:rPr>
          <w:sz w:val="24"/>
        </w:rPr>
        <w:t>2001,</w:t>
      </w:r>
      <w:r>
        <w:rPr>
          <w:spacing w:val="-2"/>
          <w:sz w:val="24"/>
        </w:rPr>
        <w:t> </w:t>
      </w:r>
      <w:r>
        <w:rPr>
          <w:sz w:val="24"/>
        </w:rPr>
        <w:t>pp.</w:t>
      </w:r>
      <w:r>
        <w:rPr>
          <w:spacing w:val="-57"/>
          <w:sz w:val="24"/>
        </w:rPr>
        <w:t> </w:t>
      </w:r>
      <w:r>
        <w:rPr>
          <w:sz w:val="24"/>
        </w:rPr>
        <w:t>1-7.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574" w:hanging="720"/>
        <w:jc w:val="left"/>
        <w:rPr>
          <w:sz w:val="24"/>
        </w:rPr>
      </w:pPr>
      <w:r>
        <w:rPr>
          <w:sz w:val="24"/>
        </w:rPr>
        <w:t>Wang, Z., H. Fu, M. Gong, J. Luo, W. Dong, T. Wang</w:t>
      </w:r>
      <w:r>
        <w:rPr>
          <w:i/>
          <w:sz w:val="24"/>
        </w:rPr>
        <w:t>, et al.</w:t>
      </w:r>
      <w:r>
        <w:rPr>
          <w:sz w:val="24"/>
        </w:rPr>
        <w:t>, "Planar shear and</w:t>
      </w:r>
      <w:r>
        <w:rPr>
          <w:spacing w:val="1"/>
          <w:sz w:val="24"/>
        </w:rPr>
        <w:t> </w:t>
      </w:r>
      <w:r>
        <w:rPr>
          <w:sz w:val="24"/>
        </w:rPr>
        <w:t>bending properties of hybrid CLT fabricated with lumber and LVL," </w:t>
      </w:r>
      <w:r>
        <w:rPr>
          <w:i/>
          <w:sz w:val="24"/>
        </w:rPr>
        <w:t>Construction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Building Materials,</w:t>
      </w:r>
      <w:r>
        <w:rPr>
          <w:i/>
          <w:spacing w:val="-2"/>
          <w:sz w:val="24"/>
        </w:rPr>
        <w:t> </w:t>
      </w:r>
      <w:r>
        <w:rPr>
          <w:sz w:val="24"/>
        </w:rPr>
        <w:t>vol. 151, pp. 172-177, 2017.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1" w:after="0"/>
        <w:ind w:left="2439" w:right="608" w:hanging="720"/>
        <w:jc w:val="left"/>
        <w:rPr>
          <w:sz w:val="24"/>
        </w:rPr>
      </w:pPr>
      <w:r>
        <w:rPr>
          <w:sz w:val="24"/>
        </w:rPr>
        <w:t>Wang, Z., M. Gong, and Y.-H. Chui, "Mechanical properties of laminated strand</w:t>
      </w:r>
      <w:r>
        <w:rPr>
          <w:spacing w:val="1"/>
          <w:sz w:val="24"/>
        </w:rPr>
        <w:t> </w:t>
      </w:r>
      <w:r>
        <w:rPr>
          <w:sz w:val="24"/>
        </w:rPr>
        <w:t>lumber and hybrid cross-laminated timber," </w:t>
      </w:r>
      <w:r>
        <w:rPr>
          <w:i/>
          <w:sz w:val="24"/>
        </w:rPr>
        <w:t>Construction and Building Materials,</w:t>
      </w:r>
      <w:r>
        <w:rPr>
          <w:i/>
          <w:spacing w:val="-58"/>
          <w:sz w:val="24"/>
        </w:rPr>
        <w:t> </w:t>
      </w:r>
      <w:r>
        <w:rPr>
          <w:sz w:val="24"/>
        </w:rPr>
        <w:t>vol. 101, pp. 622-627, 2015.</w:t>
      </w:r>
    </w:p>
    <w:p>
      <w:pPr>
        <w:pStyle w:val="BodyText"/>
        <w:spacing w:before="11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40" w:val="left" w:leader="none"/>
        </w:tabs>
        <w:spacing w:line="240" w:lineRule="auto" w:before="0" w:after="0"/>
        <w:ind w:left="2439" w:right="811" w:hanging="720"/>
        <w:jc w:val="both"/>
        <w:rPr>
          <w:sz w:val="24"/>
        </w:rPr>
      </w:pPr>
      <w:r>
        <w:rPr>
          <w:sz w:val="24"/>
        </w:rPr>
        <w:t>Weaver, M.K., C. O'Laughlin, and C.M. Newberry, "Blast Resistance of Cross-</w:t>
      </w:r>
      <w:r>
        <w:rPr>
          <w:spacing w:val="-57"/>
          <w:sz w:val="24"/>
        </w:rPr>
        <w:t> </w:t>
      </w:r>
      <w:r>
        <w:rPr>
          <w:sz w:val="24"/>
        </w:rPr>
        <w:t>Laminated Timber Construction," presented at the International Symposium on</w:t>
      </w:r>
      <w:r>
        <w:rPr>
          <w:spacing w:val="1"/>
          <w:sz w:val="24"/>
        </w:rPr>
        <w:t> </w:t>
      </w:r>
      <w:r>
        <w:rPr>
          <w:sz w:val="24"/>
        </w:rPr>
        <w:t>the Interactions of the Effects of Munitions with Structures (17th ISIEMS), Bad</w:t>
      </w:r>
      <w:r>
        <w:rPr>
          <w:spacing w:val="-57"/>
          <w:sz w:val="24"/>
        </w:rPr>
        <w:t> </w:t>
      </w:r>
      <w:r>
        <w:rPr>
          <w:sz w:val="24"/>
        </w:rPr>
        <w:t>Neuenahr,</w:t>
      </w:r>
      <w:r>
        <w:rPr>
          <w:spacing w:val="-1"/>
          <w:sz w:val="24"/>
        </w:rPr>
        <w:t> </w:t>
      </w:r>
      <w:r>
        <w:rPr>
          <w:sz w:val="24"/>
        </w:rPr>
        <w:t>Germany, 2017.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39" w:right="911" w:hanging="720"/>
        <w:jc w:val="left"/>
        <w:rPr>
          <w:sz w:val="24"/>
        </w:rPr>
      </w:pPr>
      <w:r>
        <w:rPr>
          <w:sz w:val="24"/>
        </w:rPr>
        <w:t>Weirer,</w:t>
      </w:r>
      <w:r>
        <w:rPr>
          <w:spacing w:val="-2"/>
          <w:sz w:val="24"/>
        </w:rPr>
        <w:t> </w:t>
      </w:r>
      <w:r>
        <w:rPr>
          <w:sz w:val="24"/>
        </w:rPr>
        <w:t>W., "History</w:t>
      </w:r>
      <w:r>
        <w:rPr>
          <w:spacing w:val="-3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Development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CLT</w:t>
      </w:r>
      <w:r>
        <w:rPr>
          <w:spacing w:val="-2"/>
          <w:sz w:val="24"/>
        </w:rPr>
        <w:t> </w:t>
      </w:r>
      <w:r>
        <w:rPr>
          <w:sz w:val="24"/>
        </w:rPr>
        <w:t>using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example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KLH,"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57"/>
          <w:sz w:val="24"/>
        </w:rPr>
        <w:t> </w:t>
      </w:r>
      <w:r>
        <w:rPr>
          <w:i/>
          <w:sz w:val="24"/>
        </w:rPr>
        <w:t>WoodWorks website</w:t>
      </w:r>
      <w:r>
        <w:rPr>
          <w:sz w:val="24"/>
        </w:rPr>
        <w:t>, KLH, Ed., ed. </w:t>
      </w:r>
      <w:hyperlink r:id="rId478">
        <w:r>
          <w:rPr>
            <w:sz w:val="24"/>
          </w:rPr>
          <w:t>http://www.woodworks.org/wp-</w:t>
        </w:r>
      </w:hyperlink>
      <w:r>
        <w:rPr>
          <w:spacing w:val="1"/>
          <w:sz w:val="24"/>
        </w:rPr>
        <w:t> </w:t>
      </w:r>
      <w:r>
        <w:rPr>
          <w:sz w:val="24"/>
        </w:rPr>
        <w:t>content/uploads/CLT-Weirer.pdf,</w:t>
      </w:r>
      <w:r>
        <w:rPr>
          <w:spacing w:val="-1"/>
          <w:sz w:val="24"/>
        </w:rPr>
        <w:t> </w:t>
      </w:r>
      <w:r>
        <w:rPr>
          <w:sz w:val="24"/>
        </w:rPr>
        <w:t>2012.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39" w:right="694" w:hanging="720"/>
        <w:jc w:val="left"/>
        <w:rPr>
          <w:sz w:val="24"/>
        </w:rPr>
      </w:pPr>
      <w:r>
        <w:rPr>
          <w:sz w:val="24"/>
        </w:rPr>
        <w:t>Widehammar, S., "Stress-Strain Relationships for Spruce Wood: Influence of</w:t>
      </w:r>
      <w:r>
        <w:rPr>
          <w:spacing w:val="1"/>
          <w:sz w:val="24"/>
        </w:rPr>
        <w:t> </w:t>
      </w:r>
      <w:r>
        <w:rPr>
          <w:sz w:val="24"/>
        </w:rPr>
        <w:t>Strain Rate, Moisture Content and Loading Direction," </w:t>
      </w:r>
      <w:r>
        <w:rPr>
          <w:i/>
          <w:sz w:val="24"/>
        </w:rPr>
        <w:t>Experimental Mechanics,</w:t>
      </w:r>
      <w:r>
        <w:rPr>
          <w:i/>
          <w:spacing w:val="-57"/>
          <w:sz w:val="24"/>
        </w:rPr>
        <w:t> </w:t>
      </w:r>
      <w:r>
        <w:rPr>
          <w:sz w:val="24"/>
        </w:rPr>
        <w:t>vol. 44, pp. 44-48, 2004.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1064" w:top="1360" w:bottom="1260" w:left="440" w:right="880"/>
        </w:sectPr>
      </w:pPr>
    </w:p>
    <w:p>
      <w:pPr>
        <w:pStyle w:val="BodyText"/>
        <w:spacing w:before="7"/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90" w:after="0"/>
        <w:ind w:left="2440" w:right="609" w:hanging="720"/>
        <w:jc w:val="left"/>
        <w:rPr>
          <w:sz w:val="24"/>
        </w:rPr>
      </w:pPr>
      <w:r>
        <w:rPr>
          <w:sz w:val="24"/>
        </w:rPr>
        <w:t>Wilkins, M.L., "Mechanics of Penetration and Perforation," </w:t>
      </w:r>
      <w:r>
        <w:rPr>
          <w:i/>
          <w:sz w:val="24"/>
        </w:rPr>
        <w:t>International Journal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Engineering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Science, </w:t>
      </w:r>
      <w:r>
        <w:rPr>
          <w:sz w:val="24"/>
        </w:rPr>
        <w:t>vol. 16, pp. 793-807, 1978.</w:t>
      </w:r>
    </w:p>
    <w:p>
      <w:pPr>
        <w:pStyle w:val="BodyText"/>
        <w:rPr>
          <w:sz w:val="38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1275" w:hanging="720"/>
        <w:jc w:val="left"/>
        <w:rPr>
          <w:sz w:val="24"/>
        </w:rPr>
      </w:pPr>
      <w:r>
        <w:rPr>
          <w:sz w:val="24"/>
        </w:rPr>
        <w:t>Wonderly, C., J. Grenestedt, G. Fernlund, and E. Cěpus, "Comparison of</w:t>
      </w:r>
      <w:r>
        <w:rPr>
          <w:spacing w:val="1"/>
          <w:sz w:val="24"/>
        </w:rPr>
        <w:t> </w:t>
      </w:r>
      <w:r>
        <w:rPr>
          <w:sz w:val="24"/>
        </w:rPr>
        <w:t>mechanical</w:t>
      </w:r>
      <w:r>
        <w:rPr>
          <w:spacing w:val="-2"/>
          <w:sz w:val="24"/>
        </w:rPr>
        <w:t> </w:t>
      </w:r>
      <w:r>
        <w:rPr>
          <w:sz w:val="24"/>
        </w:rPr>
        <w:t>properties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glass</w:t>
      </w:r>
      <w:r>
        <w:rPr>
          <w:spacing w:val="-2"/>
          <w:sz w:val="24"/>
        </w:rPr>
        <w:t> </w:t>
      </w:r>
      <w:r>
        <w:rPr>
          <w:sz w:val="24"/>
        </w:rPr>
        <w:t>fiber/vinyl</w:t>
      </w:r>
      <w:r>
        <w:rPr>
          <w:spacing w:val="-1"/>
          <w:sz w:val="24"/>
        </w:rPr>
        <w:t> </w:t>
      </w:r>
      <w:r>
        <w:rPr>
          <w:sz w:val="24"/>
        </w:rPr>
        <w:t>ester</w:t>
      </w:r>
      <w:r>
        <w:rPr>
          <w:spacing w:val="-3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carbon</w:t>
      </w:r>
      <w:r>
        <w:rPr>
          <w:spacing w:val="-2"/>
          <w:sz w:val="24"/>
        </w:rPr>
        <w:t> </w:t>
      </w:r>
      <w:r>
        <w:rPr>
          <w:sz w:val="24"/>
        </w:rPr>
        <w:t>fiber/vinyl</w:t>
      </w:r>
      <w:r>
        <w:rPr>
          <w:spacing w:val="-1"/>
          <w:sz w:val="24"/>
        </w:rPr>
        <w:t> </w:t>
      </w:r>
      <w:r>
        <w:rPr>
          <w:sz w:val="24"/>
        </w:rPr>
        <w:t>ester</w:t>
      </w:r>
      <w:r>
        <w:rPr>
          <w:spacing w:val="-57"/>
          <w:sz w:val="24"/>
        </w:rPr>
        <w:t> </w:t>
      </w:r>
      <w:r>
        <w:rPr>
          <w:sz w:val="24"/>
        </w:rPr>
        <w:t>composites,"</w:t>
      </w:r>
      <w:r>
        <w:rPr>
          <w:spacing w:val="-2"/>
          <w:sz w:val="24"/>
        </w:rPr>
        <w:t> </w:t>
      </w:r>
      <w:r>
        <w:rPr>
          <w:i/>
          <w:sz w:val="24"/>
        </w:rPr>
        <w:t>Composites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Part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B: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Engineering,</w:t>
      </w:r>
      <w:r>
        <w:rPr>
          <w:i/>
          <w:spacing w:val="-1"/>
          <w:sz w:val="24"/>
        </w:rPr>
        <w:t> </w:t>
      </w:r>
      <w:r>
        <w:rPr>
          <w:sz w:val="24"/>
        </w:rPr>
        <w:t>vol.</w:t>
      </w:r>
      <w:r>
        <w:rPr>
          <w:spacing w:val="-2"/>
          <w:sz w:val="24"/>
        </w:rPr>
        <w:t> </w:t>
      </w:r>
      <w:r>
        <w:rPr>
          <w:sz w:val="24"/>
        </w:rPr>
        <w:t>36,</w:t>
      </w:r>
      <w:r>
        <w:rPr>
          <w:spacing w:val="-1"/>
          <w:sz w:val="24"/>
        </w:rPr>
        <w:t> </w:t>
      </w:r>
      <w:r>
        <w:rPr>
          <w:sz w:val="24"/>
        </w:rPr>
        <w:t>pp.</w:t>
      </w:r>
      <w:r>
        <w:rPr>
          <w:spacing w:val="-1"/>
          <w:sz w:val="24"/>
        </w:rPr>
        <w:t> </w:t>
      </w:r>
      <w:r>
        <w:rPr>
          <w:sz w:val="24"/>
        </w:rPr>
        <w:t>417-426,</w:t>
      </w:r>
      <w:r>
        <w:rPr>
          <w:spacing w:val="-2"/>
          <w:sz w:val="24"/>
        </w:rPr>
        <w:t> </w:t>
      </w:r>
      <w:r>
        <w:rPr>
          <w:sz w:val="24"/>
        </w:rPr>
        <w:t>2005.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39" w:right="646" w:hanging="720"/>
        <w:jc w:val="left"/>
        <w:rPr>
          <w:sz w:val="24"/>
        </w:rPr>
      </w:pPr>
      <w:r>
        <w:rPr>
          <w:sz w:val="24"/>
        </w:rPr>
        <w:t>Wouts, J., G. Haugou, M. Oudjene, D. Coutellier, and H. Morvan, "Strain rate</w:t>
      </w:r>
      <w:r>
        <w:rPr>
          <w:spacing w:val="1"/>
          <w:sz w:val="24"/>
        </w:rPr>
        <w:t> </w:t>
      </w:r>
      <w:r>
        <w:rPr>
          <w:sz w:val="24"/>
        </w:rPr>
        <w:t>effects on the compressive response of wood and energy absorption capabilities –</w:t>
      </w:r>
      <w:r>
        <w:rPr>
          <w:spacing w:val="-57"/>
          <w:sz w:val="24"/>
        </w:rPr>
        <w:t> </w:t>
      </w:r>
      <w:r>
        <w:rPr>
          <w:sz w:val="24"/>
        </w:rPr>
        <w:t>Part A: Experimental investigations," </w:t>
      </w:r>
      <w:r>
        <w:rPr>
          <w:i/>
          <w:sz w:val="24"/>
        </w:rPr>
        <w:t>Composite Structures, </w:t>
      </w:r>
      <w:r>
        <w:rPr>
          <w:sz w:val="24"/>
        </w:rPr>
        <w:t>vol. 149, pp. 315-</w:t>
      </w:r>
      <w:r>
        <w:rPr>
          <w:spacing w:val="1"/>
          <w:sz w:val="24"/>
        </w:rPr>
        <w:t> </w:t>
      </w:r>
      <w:r>
        <w:rPr>
          <w:sz w:val="24"/>
        </w:rPr>
        <w:t>328, 2016.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1" w:after="0"/>
        <w:ind w:left="2440" w:right="0" w:hanging="720"/>
        <w:jc w:val="left"/>
        <w:rPr>
          <w:sz w:val="24"/>
        </w:rPr>
      </w:pPr>
      <w:r>
        <w:rPr>
          <w:sz w:val="24"/>
        </w:rPr>
        <w:t>Zukas,</w:t>
      </w:r>
      <w:r>
        <w:rPr>
          <w:spacing w:val="-2"/>
          <w:sz w:val="24"/>
        </w:rPr>
        <w:t> </w:t>
      </w:r>
      <w:r>
        <w:rPr>
          <w:sz w:val="24"/>
        </w:rPr>
        <w:t>J.,</w:t>
      </w:r>
      <w:r>
        <w:rPr>
          <w:spacing w:val="-1"/>
          <w:sz w:val="24"/>
        </w:rPr>
        <w:t> </w:t>
      </w:r>
      <w:r>
        <w:rPr>
          <w:i/>
          <w:sz w:val="24"/>
        </w:rPr>
        <w:t>Introduction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Hydrocodes</w:t>
      </w:r>
      <w:r>
        <w:rPr>
          <w:sz w:val="24"/>
        </w:rPr>
        <w:t>:</w:t>
      </w:r>
      <w:r>
        <w:rPr>
          <w:spacing w:val="-2"/>
          <w:sz w:val="24"/>
        </w:rPr>
        <w:t> </w:t>
      </w:r>
      <w:r>
        <w:rPr>
          <w:sz w:val="24"/>
        </w:rPr>
        <w:t>Elsevier</w:t>
      </w:r>
      <w:r>
        <w:rPr>
          <w:spacing w:val="-2"/>
          <w:sz w:val="24"/>
        </w:rPr>
        <w:t> </w:t>
      </w:r>
      <w:r>
        <w:rPr>
          <w:sz w:val="24"/>
        </w:rPr>
        <w:t>Science,</w:t>
      </w:r>
      <w:r>
        <w:rPr>
          <w:spacing w:val="-2"/>
          <w:sz w:val="24"/>
        </w:rPr>
        <w:t> </w:t>
      </w:r>
      <w:r>
        <w:rPr>
          <w:sz w:val="24"/>
        </w:rPr>
        <w:t>2004.</w:t>
      </w: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738" w:hanging="720"/>
        <w:jc w:val="left"/>
        <w:rPr>
          <w:sz w:val="24"/>
        </w:rPr>
      </w:pPr>
      <w:r>
        <w:rPr>
          <w:sz w:val="24"/>
        </w:rPr>
        <w:t>Zukas, J.A., "Impact Dynamics: Theory and Experiment," US Army Armament</w:t>
      </w:r>
      <w:r>
        <w:rPr>
          <w:spacing w:val="1"/>
          <w:sz w:val="24"/>
        </w:rPr>
        <w:t> </w:t>
      </w:r>
      <w:r>
        <w:rPr>
          <w:sz w:val="24"/>
        </w:rPr>
        <w:t>Research and Development Command, Ballistic Research Laboratory, Aberdeen</w:t>
      </w:r>
      <w:r>
        <w:rPr>
          <w:spacing w:val="-57"/>
          <w:sz w:val="24"/>
        </w:rPr>
        <w:t> </w:t>
      </w:r>
      <w:r>
        <w:rPr>
          <w:sz w:val="24"/>
        </w:rPr>
        <w:t>Proving</w:t>
      </w:r>
      <w:r>
        <w:rPr>
          <w:spacing w:val="-1"/>
          <w:sz w:val="24"/>
        </w:rPr>
        <w:t> </w:t>
      </w:r>
      <w:r>
        <w:rPr>
          <w:sz w:val="24"/>
        </w:rPr>
        <w:t>Ground, MD</w:t>
      </w:r>
      <w:r>
        <w:rPr>
          <w:spacing w:val="-1"/>
          <w:sz w:val="24"/>
        </w:rPr>
        <w:t> </w:t>
      </w:r>
      <w:r>
        <w:rPr>
          <w:sz w:val="24"/>
        </w:rPr>
        <w:t>ARBRL-TR-02271, 1980.</w:t>
      </w:r>
    </w:p>
    <w:p>
      <w:pPr>
        <w:pStyle w:val="BodyText"/>
        <w:spacing w:before="11"/>
        <w:rPr>
          <w:sz w:val="37"/>
        </w:rPr>
      </w:pPr>
    </w:p>
    <w:p>
      <w:pPr>
        <w:pStyle w:val="ListParagraph"/>
        <w:numPr>
          <w:ilvl w:val="0"/>
          <w:numId w:val="30"/>
        </w:numPr>
        <w:tabs>
          <w:tab w:pos="2439" w:val="left" w:leader="none"/>
          <w:tab w:pos="2440" w:val="left" w:leader="none"/>
        </w:tabs>
        <w:spacing w:line="240" w:lineRule="auto" w:before="0" w:after="0"/>
        <w:ind w:left="2440" w:right="0" w:hanging="720"/>
        <w:jc w:val="left"/>
        <w:rPr>
          <w:sz w:val="24"/>
        </w:rPr>
      </w:pPr>
      <w:r>
        <w:rPr>
          <w:sz w:val="24"/>
        </w:rPr>
        <w:t>Zukas,</w:t>
      </w:r>
      <w:r>
        <w:rPr>
          <w:spacing w:val="-2"/>
          <w:sz w:val="24"/>
        </w:rPr>
        <w:t> </w:t>
      </w:r>
      <w:r>
        <w:rPr>
          <w:sz w:val="24"/>
        </w:rPr>
        <w:t>J.A.,</w:t>
      </w:r>
      <w:r>
        <w:rPr>
          <w:spacing w:val="-1"/>
          <w:sz w:val="24"/>
        </w:rPr>
        <w:t> </w:t>
      </w:r>
      <w:r>
        <w:rPr>
          <w:i/>
          <w:sz w:val="24"/>
        </w:rPr>
        <w:t>High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velocity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impact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dynamics</w:t>
      </w:r>
      <w:r>
        <w:rPr>
          <w:sz w:val="24"/>
        </w:rPr>
        <w:t>.</w:t>
      </w:r>
      <w:r>
        <w:rPr>
          <w:spacing w:val="-2"/>
          <w:sz w:val="24"/>
        </w:rPr>
        <w:t> </w:t>
      </w:r>
      <w:r>
        <w:rPr>
          <w:sz w:val="24"/>
        </w:rPr>
        <w:t>New</w:t>
      </w:r>
      <w:r>
        <w:rPr>
          <w:spacing w:val="-2"/>
          <w:sz w:val="24"/>
        </w:rPr>
        <w:t> </w:t>
      </w:r>
      <w:r>
        <w:rPr>
          <w:sz w:val="24"/>
        </w:rPr>
        <w:t>York:</w:t>
      </w:r>
      <w:r>
        <w:rPr>
          <w:spacing w:val="-2"/>
          <w:sz w:val="24"/>
        </w:rPr>
        <w:t> </w:t>
      </w:r>
      <w:r>
        <w:rPr>
          <w:sz w:val="24"/>
        </w:rPr>
        <w:t>Wiley,</w:t>
      </w:r>
      <w:r>
        <w:rPr>
          <w:spacing w:val="-1"/>
          <w:sz w:val="24"/>
        </w:rPr>
        <w:t> </w:t>
      </w:r>
      <w:r>
        <w:rPr>
          <w:sz w:val="24"/>
        </w:rPr>
        <w:t>1990.</w:t>
      </w:r>
    </w:p>
    <w:sectPr>
      <w:pgSz w:w="12240" w:h="15840"/>
      <w:pgMar w:header="0" w:footer="1064" w:top="1500" w:bottom="1260" w:left="440" w:right="8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">
    <w:altName w:val="Arial"/>
    <w:charset w:val="1"/>
    <w:family w:val="swiss"/>
    <w:pitch w:val="variable"/>
  </w:font>
  <w:font w:name="Arial MT">
    <w:altName w:val="Arial MT"/>
    <w:charset w:val="1"/>
    <w:family w:val="swiss"/>
    <w:pitch w:val="variable"/>
  </w:font>
  <w:font w:name="Courier New">
    <w:altName w:val="Courier New"/>
    <w:charset w:val="1"/>
    <w:family w:val="modern"/>
    <w:pitch w:val="default"/>
  </w:font>
  <w:font w:name="Calibri Light">
    <w:altName w:val="Calibri Light"/>
    <w:charset w:val="1"/>
    <w:family w:val="roman"/>
    <w:pitch w:val="variable"/>
  </w:font>
  <w:font w:name="Wingdings">
    <w:altName w:val="Wingdings"/>
    <w:charset w:val="2"/>
    <w:family w:val="decorative"/>
    <w:pitch w:val="variable"/>
  </w:font>
  <w:font w:name="Calibri">
    <w:altName w:val="Calibri"/>
    <w:charset w:val="1"/>
    <w:family w:val="roman"/>
    <w:pitch w:val="variable"/>
  </w:font>
  <w:font w:name="Symbol">
    <w:altName w:val="Symbol"/>
    <w:charset w:val="2"/>
    <w:family w:val="decorative"/>
    <w:pitch w:val="variable"/>
  </w:font>
  <w:font w:name="Cambria Math">
    <w:altName w:val="Cambria Math"/>
    <w:charset w:val="1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9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03.959991pt;margin-top:727.806641pt;width:40.1pt;height:15.3pt;mso-position-horizontal-relative:page;mso-position-vertical-relative:page;z-index:-34978304" type="#_x0000_t202" filled="false" stroked="false">
          <v:textbox inset="0,0,0,0">
            <w:txbxContent>
              <w:p>
                <w:pPr>
                  <w:pStyle w:val="BodyText"/>
                  <w:spacing w:before="10"/>
                  <w:ind w:left="60"/>
                </w:pPr>
                <w:r>
                  <w:rPr/>
                  <w:fldChar w:fldCharType="begin"/>
                </w:r>
                <w:r>
                  <w:rPr/>
                  <w:instrText> PAGE  \* roman </w:instrText>
                </w:r>
                <w:r>
                  <w:rPr/>
                  <w:fldChar w:fldCharType="separate"/>
                </w:r>
                <w:r>
                  <w:rPr/>
                  <w:t>xxxviii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15pt;margin-top:727.806641pt;width:18pt;height:15.3pt;mso-position-horizontal-relative:page;mso-position-vertical-relative:page;z-index:-34977792" type="#_x0000_t202" filled="false" stroked="false">
          <v:textbox inset="0,0,0,0">
            <w:txbxContent>
              <w:p>
                <w:pPr>
                  <w:pStyle w:val="BodyText"/>
                  <w:spacing w:before="10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12pt;margin-top:727.806641pt;width:24pt;height:15.3pt;mso-position-horizontal-relative:page;mso-position-vertical-relative:page;z-index:-34977280" type="#_x0000_t202" filled="false" stroked="false">
          <v:textbox inset="0,0,0,0">
            <w:txbxContent>
              <w:p>
                <w:pPr>
                  <w:pStyle w:val="BodyText"/>
                  <w:spacing w:before="10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100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12pt;margin-top:727.806641pt;width:24pt;height:15.3pt;mso-position-horizontal-relative:page;mso-position-vertical-relative:page;z-index:-34976768" type="#_x0000_t202" filled="false" stroked="false">
          <v:textbox inset="0,0,0,0">
            <w:txbxContent>
              <w:p>
                <w:pPr>
                  <w:pStyle w:val="BodyText"/>
                  <w:spacing w:before="10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155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12pt;margin-top:727.806641pt;width:24pt;height:15.3pt;mso-position-horizontal-relative:page;mso-position-vertical-relative:page;z-index:-34976256" type="#_x0000_t202" filled="false" stroked="false">
          <v:textbox inset="0,0,0,0">
            <w:txbxContent>
              <w:p>
                <w:pPr>
                  <w:pStyle w:val="BodyText"/>
                  <w:spacing w:before="10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350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4"/>
      </w:rPr>
    </w:pPr>
    <w:r>
      <w:rPr/>
      <w:pict>
        <v:shape style="position:absolute;margin-left:311.921997pt;margin-top:721.581665pt;width:24.1pt;height:21.55pt;mso-position-horizontal-relative:page;mso-position-vertical-relative:page;z-index:-34975744" type="#_x0000_t202" filled="false" stroked="false">
          <v:textbox inset="0,0,0,0">
            <w:txbxContent>
              <w:p>
                <w:pPr>
                  <w:pStyle w:val="BodyText"/>
                  <w:spacing w:before="134"/>
                  <w:ind w:left="61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400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29">
    <w:multiLevelType w:val="hybridMultilevel"/>
    <w:lvl w:ilvl="0">
      <w:start w:val="1"/>
      <w:numFmt w:val="decimal"/>
      <w:lvlText w:val="[%1]"/>
      <w:lvlJc w:val="left"/>
      <w:pPr>
        <w:ind w:left="2440" w:hanging="720"/>
        <w:jc w:val="left"/>
      </w:pPr>
      <w:rPr>
        <w:rFonts w:hint="default" w:ascii="Times New Roman" w:hAnsi="Times New Roman" w:eastAsia="Times New Roman" w:cs="Times New Roman"/>
        <w:spacing w:val="-1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288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136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84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32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68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528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376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224" w:hanging="720"/>
      </w:pPr>
      <w:rPr>
        <w:rFonts w:hint="default"/>
        <w:lang w:val="en-US" w:eastAsia="en-US" w:bidi="ar-SA"/>
      </w:rPr>
    </w:lvl>
  </w:abstractNum>
  <w:abstractNum w:abstractNumId="28">
    <w:multiLevelType w:val="hybridMultilevel"/>
    <w:lvl w:ilvl="0">
      <w:start w:val="10"/>
      <w:numFmt w:val="decimal"/>
      <w:lvlText w:val="%1"/>
      <w:lvlJc w:val="left"/>
      <w:pPr>
        <w:ind w:left="2200" w:hanging="48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2200" w:hanging="48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3."/>
      <w:lvlJc w:val="left"/>
      <w:pPr>
        <w:ind w:left="2440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815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30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845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860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875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890" w:hanging="360"/>
      </w:pPr>
      <w:rPr>
        <w:rFonts w:hint="default"/>
        <w:lang w:val="en-US" w:eastAsia="en-US" w:bidi="ar-SA"/>
      </w:rPr>
    </w:lvl>
  </w:abstractNum>
  <w:abstractNum w:abstractNumId="27">
    <w:multiLevelType w:val="hybridMultilevel"/>
    <w:lvl w:ilvl="0">
      <w:start w:val="9"/>
      <w:numFmt w:val="decimal"/>
      <w:lvlText w:val="%1"/>
      <w:lvlJc w:val="left"/>
      <w:pPr>
        <w:ind w:left="2080" w:hanging="36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2080" w:hanging="36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2260" w:hanging="540"/>
        <w:jc w:val="left"/>
      </w:pPr>
      <w:rPr>
        <w:rFonts w:hint="default" w:ascii="Times New Roman" w:hAnsi="Times New Roman" w:eastAsia="Times New Roman" w:cs="Times New Roman"/>
        <w:i/>
        <w:iCs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184" w:hanging="5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146" w:hanging="5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108" w:hanging="5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071" w:hanging="5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033" w:hanging="5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995" w:hanging="540"/>
      </w:pPr>
      <w:rPr>
        <w:rFonts w:hint="default"/>
        <w:lang w:val="en-US" w:eastAsia="en-US" w:bidi="ar-SA"/>
      </w:rPr>
    </w:lvl>
  </w:abstractNum>
  <w:abstractNum w:abstractNumId="26">
    <w:multiLevelType w:val="hybridMultilevel"/>
    <w:lvl w:ilvl="0">
      <w:start w:val="8"/>
      <w:numFmt w:val="decimal"/>
      <w:lvlText w:val="%1"/>
      <w:lvlJc w:val="left"/>
      <w:pPr>
        <w:ind w:left="800" w:hanging="36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800" w:hanging="360"/>
        <w:jc w:val="righ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980" w:hanging="540"/>
        <w:jc w:val="left"/>
      </w:pPr>
      <w:rPr>
        <w:rFonts w:hint="default" w:ascii="Times New Roman" w:hAnsi="Times New Roman" w:eastAsia="Times New Roman" w:cs="Times New Roman"/>
        <w:i/>
        <w:iCs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873" w:hanging="5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820" w:hanging="5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766" w:hanging="5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713" w:hanging="5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660" w:hanging="5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606" w:hanging="540"/>
      </w:pPr>
      <w:rPr>
        <w:rFonts w:hint="default"/>
        <w:lang w:val="en-US" w:eastAsia="en-US" w:bidi="ar-SA"/>
      </w:rPr>
    </w:lvl>
  </w:abstractNum>
  <w:abstractNum w:abstractNumId="25">
    <w:multiLevelType w:val="hybridMultilevel"/>
    <w:lvl w:ilvl="0">
      <w:start w:val="7"/>
      <w:numFmt w:val="decimal"/>
      <w:lvlText w:val="%1"/>
      <w:lvlJc w:val="left"/>
      <w:pPr>
        <w:ind w:left="980" w:hanging="540"/>
        <w:jc w:val="left"/>
      </w:pPr>
      <w:rPr>
        <w:rFonts w:hint="default"/>
        <w:lang w:val="en-US" w:eastAsia="en-US" w:bidi="ar-SA"/>
      </w:rPr>
    </w:lvl>
    <w:lvl w:ilvl="1">
      <w:start w:val="3"/>
      <w:numFmt w:val="decimal"/>
      <w:lvlText w:val="%1.%2"/>
      <w:lvlJc w:val="left"/>
      <w:pPr>
        <w:ind w:left="980" w:hanging="540"/>
        <w:jc w:val="left"/>
      </w:pPr>
      <w:rPr>
        <w:rFonts w:hint="default"/>
        <w:lang w:val="en-US" w:eastAsia="en-US" w:bidi="ar-SA"/>
      </w:rPr>
    </w:lvl>
    <w:lvl w:ilvl="2">
      <w:start w:val="4"/>
      <w:numFmt w:val="decimal"/>
      <w:lvlText w:val="%1.%2.%3"/>
      <w:lvlJc w:val="left"/>
      <w:pPr>
        <w:ind w:left="980" w:hanging="540"/>
        <w:jc w:val="left"/>
      </w:pPr>
      <w:rPr>
        <w:rFonts w:hint="default" w:ascii="Times New Roman" w:hAnsi="Times New Roman" w:eastAsia="Times New Roman" w:cs="Times New Roman"/>
        <w:i/>
        <w:iCs/>
        <w:w w:val="100"/>
        <w:sz w:val="24"/>
        <w:szCs w:val="24"/>
        <w:lang w:val="en-US" w:eastAsia="en-US" w:bidi="ar-SA"/>
      </w:rPr>
    </w:lvl>
    <w:lvl w:ilvl="3">
      <w:start w:val="1"/>
      <w:numFmt w:val="decimal"/>
      <w:lvlText w:val="%1.%2.%3.%4"/>
      <w:lvlJc w:val="left"/>
      <w:pPr>
        <w:ind w:left="1160" w:hanging="720"/>
        <w:jc w:val="left"/>
      </w:pPr>
      <w:rPr>
        <w:rFonts w:hint="default" w:ascii="Times New Roman" w:hAnsi="Times New Roman" w:eastAsia="Times New Roman" w:cs="Times New Roman"/>
        <w:i/>
        <w:iCs/>
        <w:w w:val="100"/>
        <w:sz w:val="24"/>
        <w:szCs w:val="24"/>
        <w:u w:val="single" w:color="000000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940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866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793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720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646" w:hanging="720"/>
      </w:pPr>
      <w:rPr>
        <w:rFonts w:hint="default"/>
        <w:lang w:val="en-US" w:eastAsia="en-US" w:bidi="ar-SA"/>
      </w:rPr>
    </w:lvl>
  </w:abstractNum>
  <w:abstractNum w:abstractNumId="24">
    <w:multiLevelType w:val="hybridMultilevel"/>
    <w:lvl w:ilvl="0">
      <w:start w:val="7"/>
      <w:numFmt w:val="decimal"/>
      <w:lvlText w:val="%1"/>
      <w:lvlJc w:val="left"/>
      <w:pPr>
        <w:ind w:left="1040" w:hanging="600"/>
        <w:jc w:val="left"/>
      </w:pPr>
      <w:rPr>
        <w:rFonts w:hint="default"/>
        <w:lang w:val="en-US" w:eastAsia="en-US" w:bidi="ar-SA"/>
      </w:rPr>
    </w:lvl>
    <w:lvl w:ilvl="1">
      <w:start w:val="3"/>
      <w:numFmt w:val="decimal"/>
      <w:lvlText w:val="%1.%2"/>
      <w:lvlJc w:val="left"/>
      <w:pPr>
        <w:ind w:left="1040" w:hanging="600"/>
        <w:jc w:val="left"/>
      </w:pPr>
      <w:rPr>
        <w:rFonts w:hint="default"/>
        <w:lang w:val="en-US" w:eastAsia="en-US" w:bidi="ar-SA"/>
      </w:rPr>
    </w:lvl>
    <w:lvl w:ilvl="2">
      <w:start w:val="3"/>
      <w:numFmt w:val="decimal"/>
      <w:lvlText w:val="%1.%2.%3."/>
      <w:lvlJc w:val="left"/>
      <w:pPr>
        <w:ind w:left="1040" w:hanging="600"/>
        <w:jc w:val="left"/>
      </w:pPr>
      <w:rPr>
        <w:rFonts w:hint="default" w:ascii="Times New Roman" w:hAnsi="Times New Roman" w:eastAsia="Times New Roman" w:cs="Times New Roman"/>
        <w:i/>
        <w:iCs/>
        <w:w w:val="100"/>
        <w:sz w:val="24"/>
        <w:szCs w:val="24"/>
        <w:lang w:val="en-US" w:eastAsia="en-US" w:bidi="ar-SA"/>
      </w:rPr>
    </w:lvl>
    <w:lvl w:ilvl="3">
      <w:start w:val="1"/>
      <w:numFmt w:val="decimal"/>
      <w:lvlText w:val="%1.%2.%3.%4"/>
      <w:lvlJc w:val="left"/>
      <w:pPr>
        <w:ind w:left="1160" w:hanging="720"/>
        <w:jc w:val="left"/>
      </w:pPr>
      <w:rPr>
        <w:rFonts w:hint="default" w:ascii="Times New Roman" w:hAnsi="Times New Roman" w:eastAsia="Times New Roman" w:cs="Times New Roman"/>
        <w:i/>
        <w:iCs/>
        <w:w w:val="100"/>
        <w:sz w:val="24"/>
        <w:szCs w:val="24"/>
        <w:u w:val="single" w:color="000000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940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866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793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720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646" w:hanging="720"/>
      </w:pPr>
      <w:rPr>
        <w:rFonts w:hint="default"/>
        <w:lang w:val="en-US" w:eastAsia="en-US" w:bidi="ar-SA"/>
      </w:rPr>
    </w:lvl>
  </w:abstractNum>
  <w:abstractNum w:abstractNumId="23">
    <w:multiLevelType w:val="hybridMultilevel"/>
    <w:lvl w:ilvl="0">
      <w:start w:val="7"/>
      <w:numFmt w:val="decimal"/>
      <w:lvlText w:val="%1"/>
      <w:lvlJc w:val="left"/>
      <w:pPr>
        <w:ind w:left="800" w:hanging="36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800" w:hanging="36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980" w:hanging="540"/>
        <w:jc w:val="left"/>
      </w:pPr>
      <w:rPr>
        <w:rFonts w:hint="default" w:ascii="Times New Roman" w:hAnsi="Times New Roman" w:eastAsia="Times New Roman" w:cs="Times New Roman"/>
        <w:i/>
        <w:iCs/>
        <w:w w:val="100"/>
        <w:sz w:val="24"/>
        <w:szCs w:val="24"/>
        <w:lang w:val="en-US" w:eastAsia="en-US" w:bidi="ar-SA"/>
      </w:rPr>
    </w:lvl>
    <w:lvl w:ilvl="3">
      <w:start w:val="1"/>
      <w:numFmt w:val="decimal"/>
      <w:lvlText w:val="%1.%2.%3.%4"/>
      <w:lvlJc w:val="left"/>
      <w:pPr>
        <w:ind w:left="1160" w:hanging="720"/>
        <w:jc w:val="left"/>
      </w:pPr>
      <w:rPr>
        <w:rFonts w:hint="default" w:ascii="Times New Roman" w:hAnsi="Times New Roman" w:eastAsia="Times New Roman" w:cs="Times New Roman"/>
        <w:i/>
        <w:iCs/>
        <w:w w:val="100"/>
        <w:sz w:val="24"/>
        <w:szCs w:val="24"/>
        <w:u w:val="single" w:color="000000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245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87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330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372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415" w:hanging="720"/>
      </w:pPr>
      <w:rPr>
        <w:rFonts w:hint="default"/>
        <w:lang w:val="en-US" w:eastAsia="en-US" w:bidi="ar-SA"/>
      </w:rPr>
    </w:lvl>
  </w:abstractNum>
  <w:abstractNum w:abstractNumId="22">
    <w:multiLevelType w:val="hybridMultilevel"/>
    <w:lvl w:ilvl="0">
      <w:start w:val="6"/>
      <w:numFmt w:val="decimal"/>
      <w:lvlText w:val="%1"/>
      <w:lvlJc w:val="left"/>
      <w:pPr>
        <w:ind w:left="800" w:hanging="36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800" w:hanging="36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980" w:hanging="540"/>
        <w:jc w:val="left"/>
      </w:pPr>
      <w:rPr>
        <w:rFonts w:hint="default" w:ascii="Times New Roman" w:hAnsi="Times New Roman" w:eastAsia="Times New Roman" w:cs="Times New Roman"/>
        <w:i/>
        <w:iCs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873" w:hanging="5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820" w:hanging="5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766" w:hanging="5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713" w:hanging="5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660" w:hanging="5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606" w:hanging="540"/>
      </w:pPr>
      <w:rPr>
        <w:rFonts w:hint="default"/>
        <w:lang w:val="en-US" w:eastAsia="en-US" w:bidi="ar-SA"/>
      </w:rPr>
    </w:lvl>
  </w:abstractNum>
  <w:abstractNum w:abstractNumId="21">
    <w:multiLevelType w:val="hybridMultilevel"/>
    <w:lvl w:ilvl="0">
      <w:start w:val="5"/>
      <w:numFmt w:val="decimal"/>
      <w:lvlText w:val="%1"/>
      <w:lvlJc w:val="left"/>
      <w:pPr>
        <w:ind w:left="800" w:hanging="360"/>
        <w:jc w:val="left"/>
      </w:pPr>
      <w:rPr>
        <w:rFonts w:hint="default"/>
        <w:lang w:val="en-US" w:eastAsia="en-US" w:bidi="ar-SA"/>
      </w:rPr>
    </w:lvl>
    <w:lvl w:ilvl="1">
      <w:start w:val="8"/>
      <w:numFmt w:val="decimal"/>
      <w:lvlText w:val="%1.%2"/>
      <w:lvlJc w:val="left"/>
      <w:pPr>
        <w:ind w:left="800" w:hanging="36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540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410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280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15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020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890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760" w:hanging="360"/>
      </w:pPr>
      <w:rPr>
        <w:rFonts w:hint="default"/>
        <w:lang w:val="en-US" w:eastAsia="en-US" w:bidi="ar-SA"/>
      </w:rPr>
    </w:lvl>
  </w:abstractNum>
  <w:abstractNum w:abstractNumId="20">
    <w:multiLevelType w:val="hybridMultilevel"/>
    <w:lvl w:ilvl="0">
      <w:start w:val="5"/>
      <w:numFmt w:val="decimal"/>
      <w:lvlText w:val="%1"/>
      <w:lvlJc w:val="left"/>
      <w:pPr>
        <w:ind w:left="800" w:hanging="36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800" w:hanging="36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980" w:hanging="540"/>
        <w:jc w:val="left"/>
      </w:pPr>
      <w:rPr>
        <w:rFonts w:hint="default" w:ascii="Times New Roman" w:hAnsi="Times New Roman" w:eastAsia="Times New Roman" w:cs="Times New Roman"/>
        <w:i/>
        <w:iCs/>
        <w:w w:val="100"/>
        <w:sz w:val="24"/>
        <w:szCs w:val="24"/>
        <w:lang w:val="en-US" w:eastAsia="en-US" w:bidi="ar-SA"/>
      </w:rPr>
    </w:lvl>
    <w:lvl w:ilvl="3">
      <w:start w:val="1"/>
      <w:numFmt w:val="decimal"/>
      <w:lvlText w:val="%1.%2.%3.%4"/>
      <w:lvlJc w:val="left"/>
      <w:pPr>
        <w:ind w:left="1160" w:hanging="720"/>
        <w:jc w:val="left"/>
      </w:pPr>
      <w:rPr>
        <w:rFonts w:hint="default" w:ascii="Times New Roman" w:hAnsi="Times New Roman" w:eastAsia="Times New Roman" w:cs="Times New Roman"/>
        <w:i/>
        <w:iCs/>
        <w:w w:val="100"/>
        <w:sz w:val="24"/>
        <w:szCs w:val="24"/>
        <w:u w:val="single" w:color="000000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205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27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250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272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295" w:hanging="720"/>
      </w:pPr>
      <w:rPr>
        <w:rFonts w:hint="default"/>
        <w:lang w:val="en-US" w:eastAsia="en-US" w:bidi="ar-SA"/>
      </w:rPr>
    </w:lvl>
  </w:abstractNum>
  <w:abstractNum w:abstractNumId="19">
    <w:multiLevelType w:val="hybridMultilevel"/>
    <w:lvl w:ilvl="0">
      <w:start w:val="4"/>
      <w:numFmt w:val="decimal"/>
      <w:lvlText w:val="%1"/>
      <w:lvlJc w:val="left"/>
      <w:pPr>
        <w:ind w:left="800" w:hanging="360"/>
        <w:jc w:val="left"/>
      </w:pPr>
      <w:rPr>
        <w:rFonts w:hint="default"/>
        <w:lang w:val="en-US" w:eastAsia="en-US" w:bidi="ar-SA"/>
      </w:rPr>
    </w:lvl>
    <w:lvl w:ilvl="1">
      <w:start w:val="5"/>
      <w:numFmt w:val="decimal"/>
      <w:lvlText w:val="%1.%2"/>
      <w:lvlJc w:val="left"/>
      <w:pPr>
        <w:ind w:left="800" w:hanging="360"/>
        <w:jc w:val="righ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508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362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21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07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924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77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632" w:hanging="360"/>
      </w:pPr>
      <w:rPr>
        <w:rFonts w:hint="default"/>
        <w:lang w:val="en-US" w:eastAsia="en-US" w:bidi="ar-SA"/>
      </w:rPr>
    </w:lvl>
  </w:abstractNum>
  <w:abstractNum w:abstractNumId="18">
    <w:multiLevelType w:val="hybridMultilevel"/>
    <w:lvl w:ilvl="0">
      <w:start w:val="4"/>
      <w:numFmt w:val="decimal"/>
      <w:lvlText w:val="%1"/>
      <w:lvlJc w:val="left"/>
      <w:pPr>
        <w:ind w:left="800" w:hanging="36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800" w:hanging="360"/>
        <w:jc w:val="righ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980" w:hanging="540"/>
        <w:jc w:val="left"/>
      </w:pPr>
      <w:rPr>
        <w:rFonts w:hint="default"/>
        <w:b/>
        <w:bCs/>
        <w:i/>
        <w:iCs/>
        <w:w w:val="100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837" w:hanging="5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766" w:hanging="5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695" w:hanging="5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624" w:hanging="5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553" w:hanging="5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482" w:hanging="540"/>
      </w:pPr>
      <w:rPr>
        <w:rFonts w:hint="default"/>
        <w:lang w:val="en-US" w:eastAsia="en-US" w:bidi="ar-SA"/>
      </w:rPr>
    </w:lvl>
  </w:abstractNum>
  <w:abstractNum w:abstractNumId="17">
    <w:multiLevelType w:val="hybridMultilevel"/>
    <w:lvl w:ilvl="0">
      <w:start w:val="1"/>
      <w:numFmt w:val="decimal"/>
      <w:lvlText w:val="%1."/>
      <w:lvlJc w:val="left"/>
      <w:pPr>
        <w:ind w:left="1160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978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796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614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432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25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068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886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704" w:hanging="360"/>
      </w:pPr>
      <w:rPr>
        <w:rFonts w:hint="default"/>
        <w:lang w:val="en-US" w:eastAsia="en-US" w:bidi="ar-SA"/>
      </w:rPr>
    </w:lvl>
  </w:abstractNum>
  <w:abstractNum w:abstractNumId="16">
    <w:multiLevelType w:val="hybridMultilevel"/>
    <w:lvl w:ilvl="0">
      <w:start w:val="3"/>
      <w:numFmt w:val="decimal"/>
      <w:lvlText w:val="%1"/>
      <w:lvlJc w:val="left"/>
      <w:pPr>
        <w:ind w:left="800" w:hanging="36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800" w:hanging="36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980" w:hanging="540"/>
        <w:jc w:val="left"/>
      </w:pPr>
      <w:rPr>
        <w:rFonts w:hint="default" w:ascii="Times New Roman" w:hAnsi="Times New Roman" w:eastAsia="Times New Roman" w:cs="Times New Roman"/>
        <w:i/>
        <w:iCs/>
        <w:w w:val="100"/>
        <w:sz w:val="24"/>
        <w:szCs w:val="24"/>
        <w:lang w:val="en-US" w:eastAsia="en-US" w:bidi="ar-SA"/>
      </w:rPr>
    </w:lvl>
    <w:lvl w:ilvl="3">
      <w:start w:val="1"/>
      <w:numFmt w:val="decimal"/>
      <w:lvlText w:val="%4."/>
      <w:lvlJc w:val="left"/>
      <w:pPr>
        <w:ind w:left="1520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637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754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71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98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105" w:hanging="360"/>
      </w:pPr>
      <w:rPr>
        <w:rFonts w:hint="default"/>
        <w:lang w:val="en-US" w:eastAsia="en-US" w:bidi="ar-SA"/>
      </w:rPr>
    </w:lvl>
  </w:abstractNum>
  <w:abstractNum w:abstractNumId="15">
    <w:multiLevelType w:val="hybridMultilevel"/>
    <w:lvl w:ilvl="0">
      <w:start w:val="2"/>
      <w:numFmt w:val="decimal"/>
      <w:lvlText w:val="%1"/>
      <w:lvlJc w:val="left"/>
      <w:pPr>
        <w:ind w:left="980" w:hanging="54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980" w:hanging="540"/>
        <w:jc w:val="left"/>
      </w:pPr>
      <w:rPr>
        <w:rFonts w:hint="default"/>
        <w:lang w:val="en-US" w:eastAsia="en-US" w:bidi="ar-SA"/>
      </w:rPr>
    </w:lvl>
    <w:lvl w:ilvl="2">
      <w:start w:val="7"/>
      <w:numFmt w:val="decimal"/>
      <w:lvlText w:val="%1.%2.%3"/>
      <w:lvlJc w:val="left"/>
      <w:pPr>
        <w:ind w:left="980" w:hanging="540"/>
        <w:jc w:val="left"/>
      </w:pPr>
      <w:rPr>
        <w:rFonts w:hint="default" w:ascii="Times New Roman" w:hAnsi="Times New Roman" w:eastAsia="Times New Roman" w:cs="Times New Roman"/>
        <w:i/>
        <w:iCs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488" w:hanging="5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324" w:hanging="5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160" w:hanging="5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996" w:hanging="5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832" w:hanging="5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668" w:hanging="540"/>
      </w:pPr>
      <w:rPr>
        <w:rFonts w:hint="default"/>
        <w:lang w:val="en-US" w:eastAsia="en-US" w:bidi="ar-SA"/>
      </w:rPr>
    </w:lvl>
  </w:abstractNum>
  <w:abstractNum w:abstractNumId="14">
    <w:multiLevelType w:val="hybridMultilevel"/>
    <w:lvl w:ilvl="0">
      <w:start w:val="2"/>
      <w:numFmt w:val="decimal"/>
      <w:lvlText w:val="%1"/>
      <w:lvlJc w:val="left"/>
      <w:pPr>
        <w:ind w:left="980" w:hanging="54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980" w:hanging="540"/>
        <w:jc w:val="left"/>
      </w:pPr>
      <w:rPr>
        <w:rFonts w:hint="default"/>
        <w:lang w:val="en-US" w:eastAsia="en-US" w:bidi="ar-SA"/>
      </w:rPr>
    </w:lvl>
    <w:lvl w:ilvl="2">
      <w:start w:val="4"/>
      <w:numFmt w:val="decimal"/>
      <w:lvlText w:val="%1.%2.%3"/>
      <w:lvlJc w:val="left"/>
      <w:pPr>
        <w:ind w:left="980" w:hanging="540"/>
        <w:jc w:val="left"/>
      </w:pPr>
      <w:rPr>
        <w:rFonts w:hint="default" w:ascii="Times New Roman" w:hAnsi="Times New Roman" w:eastAsia="Times New Roman" w:cs="Times New Roman"/>
        <w:i/>
        <w:iCs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488" w:hanging="5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324" w:hanging="5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160" w:hanging="5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996" w:hanging="5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832" w:hanging="5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668" w:hanging="540"/>
      </w:pPr>
      <w:rPr>
        <w:rFonts w:hint="default"/>
        <w:lang w:val="en-US" w:eastAsia="en-US" w:bidi="ar-SA"/>
      </w:rPr>
    </w:lvl>
  </w:abstractNum>
  <w:abstractNum w:abstractNumId="13">
    <w:multiLevelType w:val="hybridMultilevel"/>
    <w:lvl w:ilvl="0">
      <w:start w:val="2"/>
      <w:numFmt w:val="decimal"/>
      <w:lvlText w:val="%1"/>
      <w:lvlJc w:val="left"/>
      <w:pPr>
        <w:ind w:left="800" w:hanging="36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800" w:hanging="36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980" w:hanging="540"/>
        <w:jc w:val="left"/>
      </w:pPr>
      <w:rPr>
        <w:rFonts w:hint="default" w:ascii="Times New Roman" w:hAnsi="Times New Roman" w:eastAsia="Times New Roman" w:cs="Times New Roman"/>
        <w:i/>
        <w:iCs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806" w:hanging="5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720" w:hanging="5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633" w:hanging="5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546" w:hanging="5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460" w:hanging="5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373" w:hanging="540"/>
      </w:pPr>
      <w:rPr>
        <w:rFonts w:hint="default"/>
        <w:lang w:val="en-US" w:eastAsia="en-US" w:bidi="ar-SA"/>
      </w:rPr>
    </w:lvl>
  </w:abstractNum>
  <w:abstractNum w:abstractNumId="12">
    <w:multiLevelType w:val="hybridMultilevel"/>
    <w:lvl w:ilvl="0">
      <w:start w:val="0"/>
      <w:numFmt w:val="bullet"/>
      <w:lvlText w:val="o"/>
      <w:lvlJc w:val="left"/>
      <w:pPr>
        <w:ind w:left="1160" w:hanging="360"/>
      </w:pPr>
      <w:rPr>
        <w:rFonts w:hint="default" w:ascii="Courier New" w:hAnsi="Courier New" w:eastAsia="Courier New" w:cs="Courier New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964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768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572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37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18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984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78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592" w:hanging="360"/>
      </w:pPr>
      <w:rPr>
        <w:rFonts w:hint="default"/>
        <w:lang w:val="en-US" w:eastAsia="en-US" w:bidi="ar-SA"/>
      </w:rPr>
    </w:lvl>
  </w:abstractNum>
  <w:abstractNum w:abstractNumId="11">
    <w:multiLevelType w:val="hybridMultilevel"/>
    <w:lvl w:ilvl="0">
      <w:start w:val="1"/>
      <w:numFmt w:val="decimal"/>
      <w:lvlText w:val="%1"/>
      <w:lvlJc w:val="left"/>
      <w:pPr>
        <w:ind w:left="800" w:hanging="36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800" w:hanging="36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980" w:hanging="540"/>
        <w:jc w:val="left"/>
      </w:pPr>
      <w:rPr>
        <w:rFonts w:hint="default" w:ascii="Times New Roman" w:hAnsi="Times New Roman" w:eastAsia="Times New Roman" w:cs="Times New Roman"/>
        <w:i/>
        <w:iCs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"/>
      <w:lvlJc w:val="left"/>
      <w:pPr>
        <w:ind w:left="1160" w:hanging="360"/>
      </w:pPr>
      <w:rPr>
        <w:rFonts w:hint="default" w:ascii="Symbol" w:hAnsi="Symbol" w:eastAsia="Symbol" w:cs="Symbol"/>
        <w:w w:val="100"/>
        <w:sz w:val="24"/>
        <w:szCs w:val="24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170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175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180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185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190" w:hanging="360"/>
      </w:pPr>
      <w:rPr>
        <w:rFonts w:hint="default"/>
        <w:lang w:val="en-US" w:eastAsia="en-US" w:bidi="ar-SA"/>
      </w:rPr>
    </w:lvl>
  </w:abstractNum>
  <w:abstractNum w:abstractNumId="10">
    <w:multiLevelType w:val="hybridMultilevel"/>
    <w:lvl w:ilvl="0">
      <w:start w:val="10"/>
      <w:numFmt w:val="decimal"/>
      <w:lvlText w:val="%1"/>
      <w:lvlJc w:val="left"/>
      <w:pPr>
        <w:ind w:left="1640" w:hanging="48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640" w:hanging="48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2">
      <w:start w:val="5"/>
      <w:numFmt w:val="lowerLetter"/>
      <w:lvlText w:val="(%3)"/>
      <w:lvlJc w:val="left"/>
      <w:pPr>
        <w:ind w:left="2207" w:hanging="328"/>
        <w:jc w:val="right"/>
      </w:pPr>
      <w:rPr>
        <w:rFonts w:hint="default"/>
        <w:w w:val="99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755" w:hanging="32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533" w:hanging="32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311" w:hanging="32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088" w:hanging="32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866" w:hanging="32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644" w:hanging="328"/>
      </w:pPr>
      <w:rPr>
        <w:rFonts w:hint="default"/>
        <w:lang w:val="en-US" w:eastAsia="en-US" w:bidi="ar-SA"/>
      </w:rPr>
    </w:lvl>
  </w:abstractNum>
  <w:abstractNum w:abstractNumId="9">
    <w:multiLevelType w:val="hybridMultilevel"/>
    <w:lvl w:ilvl="0">
      <w:start w:val="9"/>
      <w:numFmt w:val="decimal"/>
      <w:lvlText w:val="%1"/>
      <w:lvlJc w:val="left"/>
      <w:pPr>
        <w:ind w:left="1520" w:hanging="36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520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2060" w:hanging="54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646" w:hanging="5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440" w:hanging="5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233" w:hanging="5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026" w:hanging="5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820" w:hanging="5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613" w:hanging="540"/>
      </w:pPr>
      <w:rPr>
        <w:rFonts w:hint="default"/>
        <w:lang w:val="en-US" w:eastAsia="en-US" w:bidi="ar-SA"/>
      </w:rPr>
    </w:lvl>
  </w:abstractNum>
  <w:abstractNum w:abstractNumId="8">
    <w:multiLevelType w:val="hybridMultilevel"/>
    <w:lvl w:ilvl="0">
      <w:start w:val="8"/>
      <w:numFmt w:val="decimal"/>
      <w:lvlText w:val="%1"/>
      <w:lvlJc w:val="left"/>
      <w:pPr>
        <w:ind w:left="2150" w:hanging="54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2150" w:hanging="540"/>
        <w:jc w:val="left"/>
      </w:pPr>
      <w:rPr>
        <w:rFonts w:hint="default"/>
        <w:lang w:val="en-US" w:eastAsia="en-US" w:bidi="ar-SA"/>
      </w:rPr>
    </w:lvl>
    <w:lvl w:ilvl="2">
      <w:start w:val="2"/>
      <w:numFmt w:val="decimal"/>
      <w:lvlText w:val="%1.%2.%3"/>
      <w:lvlJc w:val="left"/>
      <w:pPr>
        <w:ind w:left="2150" w:hanging="54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272" w:hanging="5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976" w:hanging="5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680" w:hanging="5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384" w:hanging="5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088" w:hanging="5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792" w:hanging="540"/>
      </w:pPr>
      <w:rPr>
        <w:rFonts w:hint="default"/>
        <w:lang w:val="en-US" w:eastAsia="en-US" w:bidi="ar-SA"/>
      </w:rPr>
    </w:lvl>
  </w:abstractNum>
  <w:abstractNum w:abstractNumId="7">
    <w:multiLevelType w:val="hybridMultilevel"/>
    <w:lvl w:ilvl="0">
      <w:start w:val="8"/>
      <w:numFmt w:val="decimal"/>
      <w:lvlText w:val="%1"/>
      <w:lvlJc w:val="left"/>
      <w:pPr>
        <w:ind w:left="1520" w:hanging="36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520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2150" w:hanging="54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040" w:hanging="5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920" w:hanging="5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800" w:hanging="5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680" w:hanging="5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560" w:hanging="5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440" w:hanging="540"/>
      </w:pPr>
      <w:rPr>
        <w:rFonts w:hint="default"/>
        <w:lang w:val="en-US" w:eastAsia="en-US" w:bidi="ar-SA"/>
      </w:rPr>
    </w:lvl>
  </w:abstractNum>
  <w:abstractNum w:abstractNumId="6">
    <w:multiLevelType w:val="hybridMultilevel"/>
    <w:lvl w:ilvl="0">
      <w:start w:val="7"/>
      <w:numFmt w:val="decimal"/>
      <w:lvlText w:val="%1"/>
      <w:lvlJc w:val="left"/>
      <w:pPr>
        <w:ind w:left="1520" w:hanging="36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520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2060" w:hanging="54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646" w:hanging="5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440" w:hanging="5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233" w:hanging="5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026" w:hanging="5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820" w:hanging="5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613" w:hanging="540"/>
      </w:pPr>
      <w:rPr>
        <w:rFonts w:hint="default"/>
        <w:lang w:val="en-US" w:eastAsia="en-US" w:bidi="ar-SA"/>
      </w:rPr>
    </w:lvl>
  </w:abstractNum>
  <w:abstractNum w:abstractNumId="5">
    <w:multiLevelType w:val="hybridMultilevel"/>
    <w:lvl w:ilvl="0">
      <w:start w:val="6"/>
      <w:numFmt w:val="decimal"/>
      <w:lvlText w:val="%1"/>
      <w:lvlJc w:val="left"/>
      <w:pPr>
        <w:ind w:left="1520" w:hanging="36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520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2061" w:hanging="542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646" w:hanging="54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440" w:hanging="54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233" w:hanging="54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026" w:hanging="54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820" w:hanging="54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613" w:hanging="542"/>
      </w:pPr>
      <w:rPr>
        <w:rFonts w:hint="default"/>
        <w:lang w:val="en-US" w:eastAsia="en-US" w:bidi="ar-SA"/>
      </w:rPr>
    </w:lvl>
  </w:abstractNum>
  <w:abstractNum w:abstractNumId="4">
    <w:multiLevelType w:val="hybridMultilevel"/>
    <w:lvl w:ilvl="0">
      <w:start w:val="5"/>
      <w:numFmt w:val="decimal"/>
      <w:lvlText w:val="%1"/>
      <w:lvlJc w:val="left"/>
      <w:pPr>
        <w:ind w:left="1520" w:hanging="36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520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2060" w:hanging="54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646" w:hanging="5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440" w:hanging="5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233" w:hanging="5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026" w:hanging="5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820" w:hanging="5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613" w:hanging="540"/>
      </w:pPr>
      <w:rPr>
        <w:rFonts w:hint="default"/>
        <w:lang w:val="en-US" w:eastAsia="en-US" w:bidi="ar-SA"/>
      </w:rPr>
    </w:lvl>
  </w:abstractNum>
  <w:abstractNum w:abstractNumId="3">
    <w:multiLevelType w:val="hybridMultilevel"/>
    <w:lvl w:ilvl="0">
      <w:start w:val="4"/>
      <w:numFmt w:val="decimal"/>
      <w:lvlText w:val="%1"/>
      <w:lvlJc w:val="left"/>
      <w:pPr>
        <w:ind w:left="1520" w:hanging="36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520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2060" w:hanging="54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646" w:hanging="5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440" w:hanging="5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233" w:hanging="5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026" w:hanging="5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820" w:hanging="5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613" w:hanging="540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3"/>
      <w:numFmt w:val="decimal"/>
      <w:lvlText w:val="%1"/>
      <w:lvlJc w:val="left"/>
      <w:pPr>
        <w:ind w:left="1520" w:hanging="36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520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2060" w:hanging="54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057" w:hanging="5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935" w:hanging="5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812" w:hanging="5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690" w:hanging="5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567" w:hanging="5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445" w:hanging="540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2"/>
      <w:numFmt w:val="decimal"/>
      <w:lvlText w:val="%1"/>
      <w:lvlJc w:val="left"/>
      <w:pPr>
        <w:ind w:left="1520" w:hanging="36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520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2060" w:hanging="54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646" w:hanging="5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440" w:hanging="5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233" w:hanging="5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026" w:hanging="5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820" w:hanging="5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613" w:hanging="540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"/>
      <w:lvlJc w:val="left"/>
      <w:pPr>
        <w:ind w:left="1520" w:hanging="36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520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2060" w:hanging="54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646" w:hanging="5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440" w:hanging="5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233" w:hanging="5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026" w:hanging="5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820" w:hanging="5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613" w:hanging="540"/>
      </w:pPr>
      <w:rPr>
        <w:rFonts w:hint="default"/>
        <w:lang w:val="en-US" w:eastAsia="en-US" w:bidi="ar-SA"/>
      </w:rPr>
    </w:lvl>
  </w:abstract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en-US" w:eastAsia="en-US" w:bidi="ar-SA"/>
    </w:rPr>
  </w:style>
  <w:style w:styleId="TOC1" w:type="paragraph">
    <w:name w:val="TOC 1"/>
    <w:basedOn w:val="Normal"/>
    <w:uiPriority w:val="1"/>
    <w:qFormat/>
    <w:pPr>
      <w:spacing w:before="276"/>
      <w:ind w:left="440"/>
    </w:pPr>
    <w:rPr>
      <w:rFonts w:ascii="Times New Roman" w:hAnsi="Times New Roman" w:eastAsia="Times New Roman" w:cs="Times New Roman"/>
      <w:sz w:val="24"/>
      <w:szCs w:val="24"/>
      <w:lang w:val="en-US" w:eastAsia="en-US" w:bidi="ar-SA"/>
    </w:rPr>
  </w:style>
  <w:style w:styleId="TOC2" w:type="paragraph">
    <w:name w:val="TOC 2"/>
    <w:basedOn w:val="Normal"/>
    <w:uiPriority w:val="1"/>
    <w:qFormat/>
    <w:pPr>
      <w:spacing w:before="276"/>
      <w:ind w:left="1520" w:hanging="360"/>
    </w:pPr>
    <w:rPr>
      <w:rFonts w:ascii="Times New Roman" w:hAnsi="Times New Roman" w:eastAsia="Times New Roman" w:cs="Times New Roman"/>
      <w:sz w:val="24"/>
      <w:szCs w:val="24"/>
      <w:lang w:val="en-US" w:eastAsia="en-US" w:bidi="ar-SA"/>
    </w:rPr>
  </w:style>
  <w:style w:styleId="TOC3" w:type="paragraph">
    <w:name w:val="TOC 3"/>
    <w:basedOn w:val="Normal"/>
    <w:uiPriority w:val="1"/>
    <w:qFormat/>
    <w:pPr>
      <w:ind w:left="1550" w:hanging="360"/>
    </w:pPr>
    <w:rPr>
      <w:rFonts w:ascii="Times New Roman" w:hAnsi="Times New Roman" w:eastAsia="Times New Roman" w:cs="Times New Roman"/>
      <w:sz w:val="24"/>
      <w:szCs w:val="24"/>
      <w:lang w:val="en-US" w:eastAsia="en-US" w:bidi="ar-SA"/>
    </w:rPr>
  </w:style>
  <w:style w:styleId="TOC4" w:type="paragraph">
    <w:name w:val="TOC 4"/>
    <w:basedOn w:val="Normal"/>
    <w:uiPriority w:val="1"/>
    <w:qFormat/>
    <w:pPr>
      <w:ind w:left="2060" w:hanging="540"/>
    </w:pPr>
    <w:rPr>
      <w:rFonts w:ascii="Times New Roman" w:hAnsi="Times New Roman" w:eastAsia="Times New Roman" w:cs="Times New Roman"/>
      <w:sz w:val="24"/>
      <w:szCs w:val="24"/>
      <w:lang w:val="en-US" w:eastAsia="en-US" w:bidi="ar-SA"/>
    </w:rPr>
  </w:style>
  <w:style w:styleId="TOC5" w:type="paragraph">
    <w:name w:val="TOC 5"/>
    <w:basedOn w:val="Normal"/>
    <w:uiPriority w:val="1"/>
    <w:qFormat/>
    <w:pPr>
      <w:ind w:left="2150" w:hanging="540"/>
    </w:pPr>
    <w:rPr>
      <w:rFonts w:ascii="Times New Roman" w:hAnsi="Times New Roman" w:eastAsia="Times New Roman" w:cs="Times New Roman"/>
      <w:sz w:val="24"/>
      <w:szCs w:val="24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4"/>
      <w:szCs w:val="24"/>
      <w:lang w:val="en-US" w:eastAsia="en-US" w:bidi="ar-SA"/>
    </w:rPr>
  </w:style>
  <w:style w:styleId="Heading1" w:type="paragraph">
    <w:name w:val="Heading 1"/>
    <w:basedOn w:val="Normal"/>
    <w:uiPriority w:val="1"/>
    <w:qFormat/>
    <w:pPr>
      <w:ind w:left="658"/>
      <w:outlineLvl w:val="1"/>
    </w:pPr>
    <w:rPr>
      <w:rFonts w:ascii="Times New Roman" w:hAnsi="Times New Roman" w:eastAsia="Times New Roman" w:cs="Times New Roman"/>
      <w:sz w:val="35"/>
      <w:szCs w:val="35"/>
      <w:lang w:val="en-US" w:eastAsia="en-US" w:bidi="ar-SA"/>
    </w:rPr>
  </w:style>
  <w:style w:styleId="Heading2" w:type="paragraph">
    <w:name w:val="Heading 2"/>
    <w:basedOn w:val="Normal"/>
    <w:uiPriority w:val="1"/>
    <w:qFormat/>
    <w:pPr>
      <w:spacing w:before="11"/>
      <w:ind w:left="20"/>
      <w:outlineLvl w:val="2"/>
    </w:pPr>
    <w:rPr>
      <w:rFonts w:ascii="Times New Roman" w:hAnsi="Times New Roman" w:eastAsia="Times New Roman" w:cs="Times New Roman"/>
      <w:sz w:val="30"/>
      <w:szCs w:val="30"/>
      <w:lang w:val="en-US" w:eastAsia="en-US" w:bidi="ar-SA"/>
    </w:rPr>
  </w:style>
  <w:style w:styleId="Heading3" w:type="paragraph">
    <w:name w:val="Heading 3"/>
    <w:basedOn w:val="Normal"/>
    <w:uiPriority w:val="1"/>
    <w:qFormat/>
    <w:pPr>
      <w:spacing w:before="40"/>
      <w:ind w:left="2532"/>
      <w:outlineLvl w:val="3"/>
    </w:pPr>
    <w:rPr>
      <w:rFonts w:ascii="Calibri" w:hAnsi="Calibri" w:eastAsia="Calibri" w:cs="Calibri"/>
      <w:sz w:val="29"/>
      <w:szCs w:val="29"/>
      <w:lang w:val="en-US" w:eastAsia="en-US" w:bidi="ar-SA"/>
    </w:rPr>
  </w:style>
  <w:style w:styleId="Heading4" w:type="paragraph">
    <w:name w:val="Heading 4"/>
    <w:basedOn w:val="Normal"/>
    <w:uiPriority w:val="1"/>
    <w:qFormat/>
    <w:pPr>
      <w:spacing w:before="60"/>
      <w:ind w:left="359"/>
      <w:jc w:val="center"/>
      <w:outlineLvl w:val="4"/>
    </w:pPr>
    <w:rPr>
      <w:rFonts w:ascii="Times New Roman" w:hAnsi="Times New Roman" w:eastAsia="Times New Roman" w:cs="Times New Roman"/>
      <w:b/>
      <w:bCs/>
      <w:sz w:val="28"/>
      <w:szCs w:val="28"/>
      <w:lang w:val="en-US" w:eastAsia="en-US" w:bidi="ar-SA"/>
    </w:rPr>
  </w:style>
  <w:style w:styleId="Heading5" w:type="paragraph">
    <w:name w:val="Heading 5"/>
    <w:basedOn w:val="Normal"/>
    <w:uiPriority w:val="1"/>
    <w:qFormat/>
    <w:pPr>
      <w:ind w:left="20"/>
      <w:outlineLvl w:val="5"/>
    </w:pPr>
    <w:rPr>
      <w:rFonts w:ascii="Times New Roman" w:hAnsi="Times New Roman" w:eastAsia="Times New Roman" w:cs="Times New Roman"/>
      <w:sz w:val="28"/>
      <w:szCs w:val="28"/>
      <w:lang w:val="en-US" w:eastAsia="en-US" w:bidi="ar-SA"/>
    </w:rPr>
  </w:style>
  <w:style w:styleId="Heading6" w:type="paragraph">
    <w:name w:val="Heading 6"/>
    <w:basedOn w:val="Normal"/>
    <w:uiPriority w:val="1"/>
    <w:qFormat/>
    <w:pPr>
      <w:spacing w:before="14"/>
      <w:ind w:left="20"/>
      <w:outlineLvl w:val="6"/>
    </w:pPr>
    <w:rPr>
      <w:rFonts w:ascii="Times New Roman" w:hAnsi="Times New Roman" w:eastAsia="Times New Roman" w:cs="Times New Roman"/>
      <w:sz w:val="27"/>
      <w:szCs w:val="27"/>
      <w:lang w:val="en-US" w:eastAsia="en-US" w:bidi="ar-SA"/>
    </w:rPr>
  </w:style>
  <w:style w:styleId="Heading7" w:type="paragraph">
    <w:name w:val="Heading 7"/>
    <w:basedOn w:val="Normal"/>
    <w:uiPriority w:val="1"/>
    <w:qFormat/>
    <w:pPr>
      <w:spacing w:before="11"/>
      <w:ind w:left="20"/>
      <w:outlineLvl w:val="7"/>
    </w:pPr>
    <w:rPr>
      <w:rFonts w:ascii="Times New Roman" w:hAnsi="Times New Roman" w:eastAsia="Times New Roman" w:cs="Times New Roman"/>
      <w:sz w:val="26"/>
      <w:szCs w:val="26"/>
      <w:lang w:val="en-US" w:eastAsia="en-US" w:bidi="ar-SA"/>
    </w:rPr>
  </w:style>
  <w:style w:styleId="Heading8" w:type="paragraph">
    <w:name w:val="Heading 8"/>
    <w:basedOn w:val="Normal"/>
    <w:uiPriority w:val="1"/>
    <w:qFormat/>
    <w:pPr>
      <w:spacing w:before="10"/>
      <w:ind w:left="20"/>
      <w:outlineLvl w:val="8"/>
    </w:pPr>
    <w:rPr>
      <w:rFonts w:ascii="Times New Roman" w:hAnsi="Times New Roman" w:eastAsia="Times New Roman" w:cs="Times New Roman"/>
      <w:sz w:val="25"/>
      <w:szCs w:val="25"/>
      <w:lang w:val="en-US" w:eastAsia="en-US" w:bidi="ar-SA"/>
    </w:rPr>
  </w:style>
  <w:style w:styleId="Heading9" w:type="paragraph">
    <w:name w:val="Heading 9"/>
    <w:basedOn w:val="Normal"/>
    <w:uiPriority w:val="1"/>
    <w:qFormat/>
    <w:pPr>
      <w:spacing w:before="162"/>
      <w:ind w:left="800" w:hanging="360"/>
      <w:jc w:val="both"/>
      <w:outlineLvl w:val="9"/>
    </w:pPr>
    <w:rPr>
      <w:rFonts w:ascii="Times New Roman" w:hAnsi="Times New Roman" w:eastAsia="Times New Roman" w:cs="Times New Roman"/>
      <w:b/>
      <w:bCs/>
      <w:sz w:val="24"/>
      <w:szCs w:val="24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ind w:left="2440" w:hanging="720"/>
    </w:pPr>
    <w:rPr>
      <w:rFonts w:ascii="Times New Roman" w:hAnsi="Times New Roman" w:eastAsia="Times New Roman" w:cs="Times New Roman"/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footer" Target="footer2.xml"/><Relationship Id="rId7" Type="http://schemas.openxmlformats.org/officeDocument/2006/relationships/image" Target="media/image1.png"/><Relationship Id="rId8" Type="http://schemas.openxmlformats.org/officeDocument/2006/relationships/image" Target="media/image2.png"/><Relationship Id="rId9" Type="http://schemas.openxmlformats.org/officeDocument/2006/relationships/image" Target="media/image3.png"/><Relationship Id="rId10" Type="http://schemas.openxmlformats.org/officeDocument/2006/relationships/image" Target="media/image4.png"/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20" Type="http://schemas.openxmlformats.org/officeDocument/2006/relationships/image" Target="media/image14.png"/><Relationship Id="rId21" Type="http://schemas.openxmlformats.org/officeDocument/2006/relationships/image" Target="media/image15.png"/><Relationship Id="rId22" Type="http://schemas.openxmlformats.org/officeDocument/2006/relationships/image" Target="media/image16.png"/><Relationship Id="rId23" Type="http://schemas.openxmlformats.org/officeDocument/2006/relationships/image" Target="media/image17.png"/><Relationship Id="rId24" Type="http://schemas.openxmlformats.org/officeDocument/2006/relationships/image" Target="media/image18.png"/><Relationship Id="rId25" Type="http://schemas.openxmlformats.org/officeDocument/2006/relationships/image" Target="media/image19.png"/><Relationship Id="rId26" Type="http://schemas.openxmlformats.org/officeDocument/2006/relationships/image" Target="media/image20.png"/><Relationship Id="rId27" Type="http://schemas.openxmlformats.org/officeDocument/2006/relationships/image" Target="media/image21.png"/><Relationship Id="rId28" Type="http://schemas.openxmlformats.org/officeDocument/2006/relationships/image" Target="media/image22.png"/><Relationship Id="rId29" Type="http://schemas.openxmlformats.org/officeDocument/2006/relationships/image" Target="media/image23.png"/><Relationship Id="rId30" Type="http://schemas.openxmlformats.org/officeDocument/2006/relationships/image" Target="media/image24.png"/><Relationship Id="rId31" Type="http://schemas.openxmlformats.org/officeDocument/2006/relationships/image" Target="media/image25.png"/><Relationship Id="rId32" Type="http://schemas.openxmlformats.org/officeDocument/2006/relationships/image" Target="media/image26.png"/><Relationship Id="rId33" Type="http://schemas.openxmlformats.org/officeDocument/2006/relationships/image" Target="media/image27.png"/><Relationship Id="rId34" Type="http://schemas.openxmlformats.org/officeDocument/2006/relationships/image" Target="media/image28.jpeg"/><Relationship Id="rId35" Type="http://schemas.openxmlformats.org/officeDocument/2006/relationships/image" Target="media/image29.png"/><Relationship Id="rId36" Type="http://schemas.openxmlformats.org/officeDocument/2006/relationships/footer" Target="footer3.xml"/><Relationship Id="rId37" Type="http://schemas.openxmlformats.org/officeDocument/2006/relationships/footer" Target="footer4.xml"/><Relationship Id="rId38" Type="http://schemas.openxmlformats.org/officeDocument/2006/relationships/image" Target="media/image30.jpeg"/><Relationship Id="rId39" Type="http://schemas.openxmlformats.org/officeDocument/2006/relationships/image" Target="media/image31.jpeg"/><Relationship Id="rId40" Type="http://schemas.openxmlformats.org/officeDocument/2006/relationships/image" Target="media/image32.png"/><Relationship Id="rId41" Type="http://schemas.openxmlformats.org/officeDocument/2006/relationships/image" Target="media/image33.png"/><Relationship Id="rId42" Type="http://schemas.openxmlformats.org/officeDocument/2006/relationships/image" Target="media/image34.jpeg"/><Relationship Id="rId43" Type="http://schemas.openxmlformats.org/officeDocument/2006/relationships/image" Target="media/image35.jpeg"/><Relationship Id="rId44" Type="http://schemas.openxmlformats.org/officeDocument/2006/relationships/image" Target="media/image36.png"/><Relationship Id="rId45" Type="http://schemas.openxmlformats.org/officeDocument/2006/relationships/image" Target="media/image37.jpeg"/><Relationship Id="rId46" Type="http://schemas.openxmlformats.org/officeDocument/2006/relationships/image" Target="media/image38.png"/><Relationship Id="rId47" Type="http://schemas.openxmlformats.org/officeDocument/2006/relationships/image" Target="media/image39.png"/><Relationship Id="rId48" Type="http://schemas.openxmlformats.org/officeDocument/2006/relationships/image" Target="media/image40.png"/><Relationship Id="rId49" Type="http://schemas.openxmlformats.org/officeDocument/2006/relationships/image" Target="media/image41.png"/><Relationship Id="rId50" Type="http://schemas.openxmlformats.org/officeDocument/2006/relationships/image" Target="media/image42.png"/><Relationship Id="rId51" Type="http://schemas.openxmlformats.org/officeDocument/2006/relationships/image" Target="media/image43.png"/><Relationship Id="rId52" Type="http://schemas.openxmlformats.org/officeDocument/2006/relationships/image" Target="media/image44.png"/><Relationship Id="rId53" Type="http://schemas.openxmlformats.org/officeDocument/2006/relationships/image" Target="media/image45.png"/><Relationship Id="rId54" Type="http://schemas.openxmlformats.org/officeDocument/2006/relationships/image" Target="media/image46.png"/><Relationship Id="rId55" Type="http://schemas.openxmlformats.org/officeDocument/2006/relationships/image" Target="media/image47.png"/><Relationship Id="rId56" Type="http://schemas.openxmlformats.org/officeDocument/2006/relationships/image" Target="media/image48.png"/><Relationship Id="rId57" Type="http://schemas.openxmlformats.org/officeDocument/2006/relationships/image" Target="media/image49.png"/><Relationship Id="rId58" Type="http://schemas.openxmlformats.org/officeDocument/2006/relationships/image" Target="media/image50.png"/><Relationship Id="rId59" Type="http://schemas.openxmlformats.org/officeDocument/2006/relationships/image" Target="media/image51.png"/><Relationship Id="rId60" Type="http://schemas.openxmlformats.org/officeDocument/2006/relationships/image" Target="media/image52.png"/><Relationship Id="rId61" Type="http://schemas.openxmlformats.org/officeDocument/2006/relationships/image" Target="media/image53.png"/><Relationship Id="rId62" Type="http://schemas.openxmlformats.org/officeDocument/2006/relationships/image" Target="media/image54.png"/><Relationship Id="rId63" Type="http://schemas.openxmlformats.org/officeDocument/2006/relationships/image" Target="media/image55.png"/><Relationship Id="rId64" Type="http://schemas.openxmlformats.org/officeDocument/2006/relationships/image" Target="media/image56.png"/><Relationship Id="rId65" Type="http://schemas.openxmlformats.org/officeDocument/2006/relationships/image" Target="media/image57.png"/><Relationship Id="rId66" Type="http://schemas.openxmlformats.org/officeDocument/2006/relationships/image" Target="media/image58.png"/><Relationship Id="rId67" Type="http://schemas.openxmlformats.org/officeDocument/2006/relationships/image" Target="media/image59.png"/><Relationship Id="rId68" Type="http://schemas.openxmlformats.org/officeDocument/2006/relationships/image" Target="media/image60.png"/><Relationship Id="rId69" Type="http://schemas.openxmlformats.org/officeDocument/2006/relationships/image" Target="media/image61.png"/><Relationship Id="rId70" Type="http://schemas.openxmlformats.org/officeDocument/2006/relationships/image" Target="media/image62.png"/><Relationship Id="rId71" Type="http://schemas.openxmlformats.org/officeDocument/2006/relationships/image" Target="media/image63.png"/><Relationship Id="rId72" Type="http://schemas.openxmlformats.org/officeDocument/2006/relationships/image" Target="media/image64.png"/><Relationship Id="rId73" Type="http://schemas.openxmlformats.org/officeDocument/2006/relationships/image" Target="media/image65.png"/><Relationship Id="rId74" Type="http://schemas.openxmlformats.org/officeDocument/2006/relationships/image" Target="media/image66.png"/><Relationship Id="rId75" Type="http://schemas.openxmlformats.org/officeDocument/2006/relationships/image" Target="media/image67.png"/><Relationship Id="rId76" Type="http://schemas.openxmlformats.org/officeDocument/2006/relationships/image" Target="media/image68.png"/><Relationship Id="rId77" Type="http://schemas.openxmlformats.org/officeDocument/2006/relationships/image" Target="media/image69.jpeg"/><Relationship Id="rId78" Type="http://schemas.openxmlformats.org/officeDocument/2006/relationships/image" Target="media/image70.jpeg"/><Relationship Id="rId79" Type="http://schemas.openxmlformats.org/officeDocument/2006/relationships/image" Target="media/image71.jpeg"/><Relationship Id="rId80" Type="http://schemas.openxmlformats.org/officeDocument/2006/relationships/image" Target="media/image72.jpeg"/><Relationship Id="rId81" Type="http://schemas.openxmlformats.org/officeDocument/2006/relationships/image" Target="media/image73.jpeg"/><Relationship Id="rId82" Type="http://schemas.openxmlformats.org/officeDocument/2006/relationships/image" Target="media/image74.jpeg"/><Relationship Id="rId83" Type="http://schemas.openxmlformats.org/officeDocument/2006/relationships/image" Target="media/image75.jpeg"/><Relationship Id="rId84" Type="http://schemas.openxmlformats.org/officeDocument/2006/relationships/image" Target="media/image76.jpeg"/><Relationship Id="rId85" Type="http://schemas.openxmlformats.org/officeDocument/2006/relationships/image" Target="media/image77.jpeg"/><Relationship Id="rId86" Type="http://schemas.openxmlformats.org/officeDocument/2006/relationships/image" Target="media/image78.jpeg"/><Relationship Id="rId87" Type="http://schemas.openxmlformats.org/officeDocument/2006/relationships/image" Target="media/image79.png"/><Relationship Id="rId88" Type="http://schemas.openxmlformats.org/officeDocument/2006/relationships/image" Target="media/image80.jpeg"/><Relationship Id="rId89" Type="http://schemas.openxmlformats.org/officeDocument/2006/relationships/image" Target="media/image81.jpeg"/><Relationship Id="rId90" Type="http://schemas.openxmlformats.org/officeDocument/2006/relationships/image" Target="media/image82.jpeg"/><Relationship Id="rId91" Type="http://schemas.openxmlformats.org/officeDocument/2006/relationships/image" Target="media/image83.jpeg"/><Relationship Id="rId92" Type="http://schemas.openxmlformats.org/officeDocument/2006/relationships/image" Target="media/image84.jpeg"/><Relationship Id="rId93" Type="http://schemas.openxmlformats.org/officeDocument/2006/relationships/image" Target="media/image85.jpeg"/><Relationship Id="rId94" Type="http://schemas.openxmlformats.org/officeDocument/2006/relationships/image" Target="media/image86.jpeg"/><Relationship Id="rId95" Type="http://schemas.openxmlformats.org/officeDocument/2006/relationships/image" Target="media/image87.png"/><Relationship Id="rId96" Type="http://schemas.openxmlformats.org/officeDocument/2006/relationships/image" Target="media/image88.png"/><Relationship Id="rId97" Type="http://schemas.openxmlformats.org/officeDocument/2006/relationships/image" Target="media/image89.png"/><Relationship Id="rId98" Type="http://schemas.openxmlformats.org/officeDocument/2006/relationships/image" Target="media/image90.png"/><Relationship Id="rId99" Type="http://schemas.openxmlformats.org/officeDocument/2006/relationships/image" Target="media/image91.png"/><Relationship Id="rId100" Type="http://schemas.openxmlformats.org/officeDocument/2006/relationships/image" Target="media/image92.png"/><Relationship Id="rId101" Type="http://schemas.openxmlformats.org/officeDocument/2006/relationships/footer" Target="footer5.xml"/><Relationship Id="rId102" Type="http://schemas.openxmlformats.org/officeDocument/2006/relationships/footer" Target="footer6.xml"/><Relationship Id="rId103" Type="http://schemas.openxmlformats.org/officeDocument/2006/relationships/image" Target="media/image93.jpeg"/><Relationship Id="rId104" Type="http://schemas.openxmlformats.org/officeDocument/2006/relationships/image" Target="media/image94.jpeg"/><Relationship Id="rId105" Type="http://schemas.openxmlformats.org/officeDocument/2006/relationships/image" Target="media/image95.jpeg"/><Relationship Id="rId106" Type="http://schemas.openxmlformats.org/officeDocument/2006/relationships/image" Target="media/image96.jpeg"/><Relationship Id="rId107" Type="http://schemas.openxmlformats.org/officeDocument/2006/relationships/image" Target="media/image97.png"/><Relationship Id="rId108" Type="http://schemas.openxmlformats.org/officeDocument/2006/relationships/image" Target="media/image98.png"/><Relationship Id="rId109" Type="http://schemas.openxmlformats.org/officeDocument/2006/relationships/image" Target="media/image99.png"/><Relationship Id="rId110" Type="http://schemas.openxmlformats.org/officeDocument/2006/relationships/image" Target="media/image100.png"/><Relationship Id="rId111" Type="http://schemas.openxmlformats.org/officeDocument/2006/relationships/image" Target="media/image101.png"/><Relationship Id="rId112" Type="http://schemas.openxmlformats.org/officeDocument/2006/relationships/image" Target="media/image102.png"/><Relationship Id="rId113" Type="http://schemas.openxmlformats.org/officeDocument/2006/relationships/image" Target="media/image103.png"/><Relationship Id="rId114" Type="http://schemas.openxmlformats.org/officeDocument/2006/relationships/image" Target="media/image104.png"/><Relationship Id="rId115" Type="http://schemas.openxmlformats.org/officeDocument/2006/relationships/image" Target="media/image105.png"/><Relationship Id="rId116" Type="http://schemas.openxmlformats.org/officeDocument/2006/relationships/image" Target="media/image106.png"/><Relationship Id="rId117" Type="http://schemas.openxmlformats.org/officeDocument/2006/relationships/image" Target="media/image107.png"/><Relationship Id="rId118" Type="http://schemas.openxmlformats.org/officeDocument/2006/relationships/image" Target="media/image108.png"/><Relationship Id="rId119" Type="http://schemas.openxmlformats.org/officeDocument/2006/relationships/image" Target="media/image109.png"/><Relationship Id="rId120" Type="http://schemas.openxmlformats.org/officeDocument/2006/relationships/image" Target="media/image110.png"/><Relationship Id="rId121" Type="http://schemas.openxmlformats.org/officeDocument/2006/relationships/image" Target="media/image111.png"/><Relationship Id="rId122" Type="http://schemas.openxmlformats.org/officeDocument/2006/relationships/image" Target="media/image112.png"/><Relationship Id="rId123" Type="http://schemas.openxmlformats.org/officeDocument/2006/relationships/image" Target="media/image113.png"/><Relationship Id="rId124" Type="http://schemas.openxmlformats.org/officeDocument/2006/relationships/image" Target="media/image114.png"/><Relationship Id="rId125" Type="http://schemas.openxmlformats.org/officeDocument/2006/relationships/image" Target="media/image115.png"/><Relationship Id="rId126" Type="http://schemas.openxmlformats.org/officeDocument/2006/relationships/image" Target="media/image116.png"/><Relationship Id="rId127" Type="http://schemas.openxmlformats.org/officeDocument/2006/relationships/image" Target="media/image117.png"/><Relationship Id="rId128" Type="http://schemas.openxmlformats.org/officeDocument/2006/relationships/image" Target="media/image118.png"/><Relationship Id="rId129" Type="http://schemas.openxmlformats.org/officeDocument/2006/relationships/image" Target="media/image119.png"/><Relationship Id="rId130" Type="http://schemas.openxmlformats.org/officeDocument/2006/relationships/image" Target="media/image120.png"/><Relationship Id="rId131" Type="http://schemas.openxmlformats.org/officeDocument/2006/relationships/image" Target="media/image121.png"/><Relationship Id="rId132" Type="http://schemas.openxmlformats.org/officeDocument/2006/relationships/image" Target="media/image122.png"/><Relationship Id="rId133" Type="http://schemas.openxmlformats.org/officeDocument/2006/relationships/image" Target="media/image123.png"/><Relationship Id="rId134" Type="http://schemas.openxmlformats.org/officeDocument/2006/relationships/image" Target="media/image124.png"/><Relationship Id="rId135" Type="http://schemas.openxmlformats.org/officeDocument/2006/relationships/image" Target="media/image125.png"/><Relationship Id="rId136" Type="http://schemas.openxmlformats.org/officeDocument/2006/relationships/image" Target="media/image126.png"/><Relationship Id="rId137" Type="http://schemas.openxmlformats.org/officeDocument/2006/relationships/image" Target="media/image127.png"/><Relationship Id="rId138" Type="http://schemas.openxmlformats.org/officeDocument/2006/relationships/image" Target="media/image128.png"/><Relationship Id="rId139" Type="http://schemas.openxmlformats.org/officeDocument/2006/relationships/image" Target="media/image129.png"/><Relationship Id="rId140" Type="http://schemas.openxmlformats.org/officeDocument/2006/relationships/image" Target="media/image130.png"/><Relationship Id="rId141" Type="http://schemas.openxmlformats.org/officeDocument/2006/relationships/image" Target="media/image131.png"/><Relationship Id="rId142" Type="http://schemas.openxmlformats.org/officeDocument/2006/relationships/image" Target="media/image132.png"/><Relationship Id="rId143" Type="http://schemas.openxmlformats.org/officeDocument/2006/relationships/image" Target="media/image133.png"/><Relationship Id="rId144" Type="http://schemas.openxmlformats.org/officeDocument/2006/relationships/image" Target="media/image134.png"/><Relationship Id="rId145" Type="http://schemas.openxmlformats.org/officeDocument/2006/relationships/image" Target="media/image135.png"/><Relationship Id="rId146" Type="http://schemas.openxmlformats.org/officeDocument/2006/relationships/image" Target="media/image136.png"/><Relationship Id="rId147" Type="http://schemas.openxmlformats.org/officeDocument/2006/relationships/image" Target="media/image137.png"/><Relationship Id="rId148" Type="http://schemas.openxmlformats.org/officeDocument/2006/relationships/image" Target="media/image138.png"/><Relationship Id="rId149" Type="http://schemas.openxmlformats.org/officeDocument/2006/relationships/image" Target="media/image139.png"/><Relationship Id="rId150" Type="http://schemas.openxmlformats.org/officeDocument/2006/relationships/image" Target="media/image140.png"/><Relationship Id="rId151" Type="http://schemas.openxmlformats.org/officeDocument/2006/relationships/image" Target="media/image141.png"/><Relationship Id="rId152" Type="http://schemas.openxmlformats.org/officeDocument/2006/relationships/image" Target="media/image142.png"/><Relationship Id="rId153" Type="http://schemas.openxmlformats.org/officeDocument/2006/relationships/image" Target="media/image143.png"/><Relationship Id="rId154" Type="http://schemas.openxmlformats.org/officeDocument/2006/relationships/image" Target="media/image144.png"/><Relationship Id="rId155" Type="http://schemas.openxmlformats.org/officeDocument/2006/relationships/image" Target="media/image145.png"/><Relationship Id="rId156" Type="http://schemas.openxmlformats.org/officeDocument/2006/relationships/image" Target="media/image146.png"/><Relationship Id="rId157" Type="http://schemas.openxmlformats.org/officeDocument/2006/relationships/image" Target="media/image147.png"/><Relationship Id="rId158" Type="http://schemas.openxmlformats.org/officeDocument/2006/relationships/image" Target="media/image148.png"/><Relationship Id="rId159" Type="http://schemas.openxmlformats.org/officeDocument/2006/relationships/image" Target="media/image149.png"/><Relationship Id="rId160" Type="http://schemas.openxmlformats.org/officeDocument/2006/relationships/image" Target="media/image150.png"/><Relationship Id="rId161" Type="http://schemas.openxmlformats.org/officeDocument/2006/relationships/image" Target="media/image151.png"/><Relationship Id="rId162" Type="http://schemas.openxmlformats.org/officeDocument/2006/relationships/image" Target="media/image152.png"/><Relationship Id="rId163" Type="http://schemas.openxmlformats.org/officeDocument/2006/relationships/image" Target="media/image153.png"/><Relationship Id="rId164" Type="http://schemas.openxmlformats.org/officeDocument/2006/relationships/image" Target="media/image154.png"/><Relationship Id="rId165" Type="http://schemas.openxmlformats.org/officeDocument/2006/relationships/image" Target="media/image155.png"/><Relationship Id="rId166" Type="http://schemas.openxmlformats.org/officeDocument/2006/relationships/image" Target="media/image156.png"/><Relationship Id="rId167" Type="http://schemas.openxmlformats.org/officeDocument/2006/relationships/image" Target="media/image157.png"/><Relationship Id="rId168" Type="http://schemas.openxmlformats.org/officeDocument/2006/relationships/image" Target="media/image158.png"/><Relationship Id="rId169" Type="http://schemas.openxmlformats.org/officeDocument/2006/relationships/image" Target="media/image159.png"/><Relationship Id="rId170" Type="http://schemas.openxmlformats.org/officeDocument/2006/relationships/image" Target="media/image160.png"/><Relationship Id="rId171" Type="http://schemas.openxmlformats.org/officeDocument/2006/relationships/image" Target="media/image161.png"/><Relationship Id="rId172" Type="http://schemas.openxmlformats.org/officeDocument/2006/relationships/image" Target="media/image162.png"/><Relationship Id="rId173" Type="http://schemas.openxmlformats.org/officeDocument/2006/relationships/image" Target="media/image163.png"/><Relationship Id="rId174" Type="http://schemas.openxmlformats.org/officeDocument/2006/relationships/image" Target="media/image164.png"/><Relationship Id="rId175" Type="http://schemas.openxmlformats.org/officeDocument/2006/relationships/image" Target="media/image165.png"/><Relationship Id="rId176" Type="http://schemas.openxmlformats.org/officeDocument/2006/relationships/image" Target="media/image166.png"/><Relationship Id="rId177" Type="http://schemas.openxmlformats.org/officeDocument/2006/relationships/image" Target="media/image167.png"/><Relationship Id="rId178" Type="http://schemas.openxmlformats.org/officeDocument/2006/relationships/image" Target="media/image168.png"/><Relationship Id="rId179" Type="http://schemas.openxmlformats.org/officeDocument/2006/relationships/image" Target="media/image169.png"/><Relationship Id="rId180" Type="http://schemas.openxmlformats.org/officeDocument/2006/relationships/image" Target="media/image170.png"/><Relationship Id="rId181" Type="http://schemas.openxmlformats.org/officeDocument/2006/relationships/image" Target="media/image171.png"/><Relationship Id="rId182" Type="http://schemas.openxmlformats.org/officeDocument/2006/relationships/image" Target="media/image172.png"/><Relationship Id="rId183" Type="http://schemas.openxmlformats.org/officeDocument/2006/relationships/image" Target="media/image173.png"/><Relationship Id="rId184" Type="http://schemas.openxmlformats.org/officeDocument/2006/relationships/image" Target="media/image174.png"/><Relationship Id="rId185" Type="http://schemas.openxmlformats.org/officeDocument/2006/relationships/image" Target="media/image175.png"/><Relationship Id="rId186" Type="http://schemas.openxmlformats.org/officeDocument/2006/relationships/image" Target="media/image176.png"/><Relationship Id="rId187" Type="http://schemas.openxmlformats.org/officeDocument/2006/relationships/image" Target="media/image177.png"/><Relationship Id="rId188" Type="http://schemas.openxmlformats.org/officeDocument/2006/relationships/image" Target="media/image178.png"/><Relationship Id="rId189" Type="http://schemas.openxmlformats.org/officeDocument/2006/relationships/image" Target="media/image179.png"/><Relationship Id="rId190" Type="http://schemas.openxmlformats.org/officeDocument/2006/relationships/image" Target="media/image180.png"/><Relationship Id="rId191" Type="http://schemas.openxmlformats.org/officeDocument/2006/relationships/image" Target="media/image181.png"/><Relationship Id="rId192" Type="http://schemas.openxmlformats.org/officeDocument/2006/relationships/image" Target="media/image182.png"/><Relationship Id="rId193" Type="http://schemas.openxmlformats.org/officeDocument/2006/relationships/image" Target="media/image183.png"/><Relationship Id="rId194" Type="http://schemas.openxmlformats.org/officeDocument/2006/relationships/image" Target="media/image184.png"/><Relationship Id="rId195" Type="http://schemas.openxmlformats.org/officeDocument/2006/relationships/image" Target="media/image185.png"/><Relationship Id="rId196" Type="http://schemas.openxmlformats.org/officeDocument/2006/relationships/image" Target="media/image186.png"/><Relationship Id="rId197" Type="http://schemas.openxmlformats.org/officeDocument/2006/relationships/image" Target="media/image187.png"/><Relationship Id="rId198" Type="http://schemas.openxmlformats.org/officeDocument/2006/relationships/image" Target="media/image188.png"/><Relationship Id="rId199" Type="http://schemas.openxmlformats.org/officeDocument/2006/relationships/image" Target="media/image189.png"/><Relationship Id="rId200" Type="http://schemas.openxmlformats.org/officeDocument/2006/relationships/image" Target="media/image190.png"/><Relationship Id="rId201" Type="http://schemas.openxmlformats.org/officeDocument/2006/relationships/image" Target="media/image191.png"/><Relationship Id="rId202" Type="http://schemas.openxmlformats.org/officeDocument/2006/relationships/image" Target="media/image192.png"/><Relationship Id="rId203" Type="http://schemas.openxmlformats.org/officeDocument/2006/relationships/image" Target="media/image193.png"/><Relationship Id="rId204" Type="http://schemas.openxmlformats.org/officeDocument/2006/relationships/image" Target="media/image194.png"/><Relationship Id="rId205" Type="http://schemas.openxmlformats.org/officeDocument/2006/relationships/image" Target="media/image195.png"/><Relationship Id="rId206" Type="http://schemas.openxmlformats.org/officeDocument/2006/relationships/image" Target="media/image196.png"/><Relationship Id="rId207" Type="http://schemas.openxmlformats.org/officeDocument/2006/relationships/image" Target="media/image197.png"/><Relationship Id="rId208" Type="http://schemas.openxmlformats.org/officeDocument/2006/relationships/image" Target="media/image198.png"/><Relationship Id="rId209" Type="http://schemas.openxmlformats.org/officeDocument/2006/relationships/image" Target="media/image199.png"/><Relationship Id="rId210" Type="http://schemas.openxmlformats.org/officeDocument/2006/relationships/image" Target="media/image200.png"/><Relationship Id="rId211" Type="http://schemas.openxmlformats.org/officeDocument/2006/relationships/image" Target="media/image201.png"/><Relationship Id="rId212" Type="http://schemas.openxmlformats.org/officeDocument/2006/relationships/image" Target="media/image202.png"/><Relationship Id="rId213" Type="http://schemas.openxmlformats.org/officeDocument/2006/relationships/image" Target="media/image203.png"/><Relationship Id="rId214" Type="http://schemas.openxmlformats.org/officeDocument/2006/relationships/image" Target="media/image204.png"/><Relationship Id="rId215" Type="http://schemas.openxmlformats.org/officeDocument/2006/relationships/image" Target="media/image205.png"/><Relationship Id="rId216" Type="http://schemas.openxmlformats.org/officeDocument/2006/relationships/image" Target="media/image206.png"/><Relationship Id="rId217" Type="http://schemas.openxmlformats.org/officeDocument/2006/relationships/image" Target="media/image207.png"/><Relationship Id="rId218" Type="http://schemas.openxmlformats.org/officeDocument/2006/relationships/image" Target="media/image208.png"/><Relationship Id="rId219" Type="http://schemas.openxmlformats.org/officeDocument/2006/relationships/image" Target="media/image209.png"/><Relationship Id="rId220" Type="http://schemas.openxmlformats.org/officeDocument/2006/relationships/image" Target="media/image210.png"/><Relationship Id="rId221" Type="http://schemas.openxmlformats.org/officeDocument/2006/relationships/image" Target="media/image211.png"/><Relationship Id="rId222" Type="http://schemas.openxmlformats.org/officeDocument/2006/relationships/image" Target="media/image212.png"/><Relationship Id="rId223" Type="http://schemas.openxmlformats.org/officeDocument/2006/relationships/image" Target="media/image213.png"/><Relationship Id="rId224" Type="http://schemas.openxmlformats.org/officeDocument/2006/relationships/image" Target="media/image214.png"/><Relationship Id="rId225" Type="http://schemas.openxmlformats.org/officeDocument/2006/relationships/image" Target="media/image215.png"/><Relationship Id="rId226" Type="http://schemas.openxmlformats.org/officeDocument/2006/relationships/image" Target="media/image216.png"/><Relationship Id="rId227" Type="http://schemas.openxmlformats.org/officeDocument/2006/relationships/image" Target="media/image217.png"/><Relationship Id="rId228" Type="http://schemas.openxmlformats.org/officeDocument/2006/relationships/image" Target="media/image218.png"/><Relationship Id="rId229" Type="http://schemas.openxmlformats.org/officeDocument/2006/relationships/image" Target="media/image219.png"/><Relationship Id="rId230" Type="http://schemas.openxmlformats.org/officeDocument/2006/relationships/image" Target="media/image220.png"/><Relationship Id="rId231" Type="http://schemas.openxmlformats.org/officeDocument/2006/relationships/image" Target="media/image221.png"/><Relationship Id="rId232" Type="http://schemas.openxmlformats.org/officeDocument/2006/relationships/image" Target="media/image222.png"/><Relationship Id="rId233" Type="http://schemas.openxmlformats.org/officeDocument/2006/relationships/image" Target="media/image223.png"/><Relationship Id="rId234" Type="http://schemas.openxmlformats.org/officeDocument/2006/relationships/image" Target="media/image224.png"/><Relationship Id="rId235" Type="http://schemas.openxmlformats.org/officeDocument/2006/relationships/image" Target="media/image225.png"/><Relationship Id="rId236" Type="http://schemas.openxmlformats.org/officeDocument/2006/relationships/image" Target="media/image226.png"/><Relationship Id="rId237" Type="http://schemas.openxmlformats.org/officeDocument/2006/relationships/image" Target="media/image227.png"/><Relationship Id="rId238" Type="http://schemas.openxmlformats.org/officeDocument/2006/relationships/image" Target="media/image228.png"/><Relationship Id="rId239" Type="http://schemas.openxmlformats.org/officeDocument/2006/relationships/image" Target="media/image229.png"/><Relationship Id="rId240" Type="http://schemas.openxmlformats.org/officeDocument/2006/relationships/image" Target="media/image230.png"/><Relationship Id="rId241" Type="http://schemas.openxmlformats.org/officeDocument/2006/relationships/image" Target="media/image231.png"/><Relationship Id="rId242" Type="http://schemas.openxmlformats.org/officeDocument/2006/relationships/image" Target="media/image232.png"/><Relationship Id="rId243" Type="http://schemas.openxmlformats.org/officeDocument/2006/relationships/image" Target="media/image233.png"/><Relationship Id="rId244" Type="http://schemas.openxmlformats.org/officeDocument/2006/relationships/image" Target="media/image234.png"/><Relationship Id="rId245" Type="http://schemas.openxmlformats.org/officeDocument/2006/relationships/image" Target="media/image235.png"/><Relationship Id="rId246" Type="http://schemas.openxmlformats.org/officeDocument/2006/relationships/image" Target="media/image236.png"/><Relationship Id="rId247" Type="http://schemas.openxmlformats.org/officeDocument/2006/relationships/image" Target="media/image237.png"/><Relationship Id="rId248" Type="http://schemas.openxmlformats.org/officeDocument/2006/relationships/image" Target="media/image238.png"/><Relationship Id="rId249" Type="http://schemas.openxmlformats.org/officeDocument/2006/relationships/image" Target="media/image239.png"/><Relationship Id="rId250" Type="http://schemas.openxmlformats.org/officeDocument/2006/relationships/image" Target="media/image240.png"/><Relationship Id="rId251" Type="http://schemas.openxmlformats.org/officeDocument/2006/relationships/image" Target="media/image241.png"/><Relationship Id="rId252" Type="http://schemas.openxmlformats.org/officeDocument/2006/relationships/image" Target="media/image242.png"/><Relationship Id="rId253" Type="http://schemas.openxmlformats.org/officeDocument/2006/relationships/image" Target="media/image243.png"/><Relationship Id="rId254" Type="http://schemas.openxmlformats.org/officeDocument/2006/relationships/image" Target="media/image244.png"/><Relationship Id="rId255" Type="http://schemas.openxmlformats.org/officeDocument/2006/relationships/image" Target="media/image245.png"/><Relationship Id="rId256" Type="http://schemas.openxmlformats.org/officeDocument/2006/relationships/image" Target="media/image246.png"/><Relationship Id="rId257" Type="http://schemas.openxmlformats.org/officeDocument/2006/relationships/image" Target="media/image247.png"/><Relationship Id="rId258" Type="http://schemas.openxmlformats.org/officeDocument/2006/relationships/image" Target="media/image248.png"/><Relationship Id="rId259" Type="http://schemas.openxmlformats.org/officeDocument/2006/relationships/image" Target="media/image249.png"/><Relationship Id="rId260" Type="http://schemas.openxmlformats.org/officeDocument/2006/relationships/image" Target="media/image250.png"/><Relationship Id="rId261" Type="http://schemas.openxmlformats.org/officeDocument/2006/relationships/image" Target="media/image251.png"/><Relationship Id="rId262" Type="http://schemas.openxmlformats.org/officeDocument/2006/relationships/image" Target="media/image252.png"/><Relationship Id="rId263" Type="http://schemas.openxmlformats.org/officeDocument/2006/relationships/image" Target="media/image253.png"/><Relationship Id="rId264" Type="http://schemas.openxmlformats.org/officeDocument/2006/relationships/image" Target="media/image254.png"/><Relationship Id="rId265" Type="http://schemas.openxmlformats.org/officeDocument/2006/relationships/image" Target="media/image255.png"/><Relationship Id="rId266" Type="http://schemas.openxmlformats.org/officeDocument/2006/relationships/image" Target="media/image256.png"/><Relationship Id="rId267" Type="http://schemas.openxmlformats.org/officeDocument/2006/relationships/image" Target="media/image257.png"/><Relationship Id="rId268" Type="http://schemas.openxmlformats.org/officeDocument/2006/relationships/image" Target="media/image258.png"/><Relationship Id="rId269" Type="http://schemas.openxmlformats.org/officeDocument/2006/relationships/image" Target="media/image259.png"/><Relationship Id="rId270" Type="http://schemas.openxmlformats.org/officeDocument/2006/relationships/image" Target="media/image260.png"/><Relationship Id="rId271" Type="http://schemas.openxmlformats.org/officeDocument/2006/relationships/image" Target="media/image261.png"/><Relationship Id="rId272" Type="http://schemas.openxmlformats.org/officeDocument/2006/relationships/image" Target="media/image262.png"/><Relationship Id="rId273" Type="http://schemas.openxmlformats.org/officeDocument/2006/relationships/image" Target="media/image263.png"/><Relationship Id="rId274" Type="http://schemas.openxmlformats.org/officeDocument/2006/relationships/image" Target="media/image264.png"/><Relationship Id="rId275" Type="http://schemas.openxmlformats.org/officeDocument/2006/relationships/image" Target="media/image265.png"/><Relationship Id="rId276" Type="http://schemas.openxmlformats.org/officeDocument/2006/relationships/image" Target="media/image266.png"/><Relationship Id="rId277" Type="http://schemas.openxmlformats.org/officeDocument/2006/relationships/image" Target="media/image267.png"/><Relationship Id="rId278" Type="http://schemas.openxmlformats.org/officeDocument/2006/relationships/image" Target="media/image268.png"/><Relationship Id="rId279" Type="http://schemas.openxmlformats.org/officeDocument/2006/relationships/image" Target="media/image269.png"/><Relationship Id="rId280" Type="http://schemas.openxmlformats.org/officeDocument/2006/relationships/image" Target="media/image270.png"/><Relationship Id="rId281" Type="http://schemas.openxmlformats.org/officeDocument/2006/relationships/image" Target="media/image271.png"/><Relationship Id="rId282" Type="http://schemas.openxmlformats.org/officeDocument/2006/relationships/image" Target="media/image272.png"/><Relationship Id="rId283" Type="http://schemas.openxmlformats.org/officeDocument/2006/relationships/image" Target="media/image273.png"/><Relationship Id="rId284" Type="http://schemas.openxmlformats.org/officeDocument/2006/relationships/image" Target="media/image274.png"/><Relationship Id="rId285" Type="http://schemas.openxmlformats.org/officeDocument/2006/relationships/image" Target="media/image275.png"/><Relationship Id="rId286" Type="http://schemas.openxmlformats.org/officeDocument/2006/relationships/image" Target="media/image276.png"/><Relationship Id="rId287" Type="http://schemas.openxmlformats.org/officeDocument/2006/relationships/image" Target="media/image277.png"/><Relationship Id="rId288" Type="http://schemas.openxmlformats.org/officeDocument/2006/relationships/image" Target="media/image278.png"/><Relationship Id="rId289" Type="http://schemas.openxmlformats.org/officeDocument/2006/relationships/image" Target="media/image279.png"/><Relationship Id="rId290" Type="http://schemas.openxmlformats.org/officeDocument/2006/relationships/image" Target="media/image280.png"/><Relationship Id="rId291" Type="http://schemas.openxmlformats.org/officeDocument/2006/relationships/image" Target="media/image281.png"/><Relationship Id="rId292" Type="http://schemas.openxmlformats.org/officeDocument/2006/relationships/image" Target="media/image282.png"/><Relationship Id="rId293" Type="http://schemas.openxmlformats.org/officeDocument/2006/relationships/image" Target="media/image283.jpeg"/><Relationship Id="rId294" Type="http://schemas.openxmlformats.org/officeDocument/2006/relationships/image" Target="media/image284.png"/><Relationship Id="rId295" Type="http://schemas.openxmlformats.org/officeDocument/2006/relationships/image" Target="media/image285.png"/><Relationship Id="rId296" Type="http://schemas.openxmlformats.org/officeDocument/2006/relationships/image" Target="media/image286.png"/><Relationship Id="rId297" Type="http://schemas.openxmlformats.org/officeDocument/2006/relationships/image" Target="media/image287.png"/><Relationship Id="rId298" Type="http://schemas.openxmlformats.org/officeDocument/2006/relationships/image" Target="media/image288.jpeg"/><Relationship Id="rId299" Type="http://schemas.openxmlformats.org/officeDocument/2006/relationships/image" Target="media/image289.png"/><Relationship Id="rId300" Type="http://schemas.openxmlformats.org/officeDocument/2006/relationships/image" Target="media/image290.png"/><Relationship Id="rId301" Type="http://schemas.openxmlformats.org/officeDocument/2006/relationships/image" Target="media/image291.jpeg"/><Relationship Id="rId302" Type="http://schemas.openxmlformats.org/officeDocument/2006/relationships/image" Target="media/image292.jpeg"/><Relationship Id="rId303" Type="http://schemas.openxmlformats.org/officeDocument/2006/relationships/image" Target="media/image293.png"/><Relationship Id="rId304" Type="http://schemas.openxmlformats.org/officeDocument/2006/relationships/image" Target="media/image294.png"/><Relationship Id="rId305" Type="http://schemas.openxmlformats.org/officeDocument/2006/relationships/image" Target="media/image295.jpeg"/><Relationship Id="rId306" Type="http://schemas.openxmlformats.org/officeDocument/2006/relationships/image" Target="media/image296.png"/><Relationship Id="rId307" Type="http://schemas.openxmlformats.org/officeDocument/2006/relationships/image" Target="media/image297.png"/><Relationship Id="rId308" Type="http://schemas.openxmlformats.org/officeDocument/2006/relationships/image" Target="media/image298.jpeg"/><Relationship Id="rId309" Type="http://schemas.openxmlformats.org/officeDocument/2006/relationships/image" Target="media/image299.png"/><Relationship Id="rId310" Type="http://schemas.openxmlformats.org/officeDocument/2006/relationships/image" Target="media/image300.png"/><Relationship Id="rId311" Type="http://schemas.openxmlformats.org/officeDocument/2006/relationships/image" Target="media/image301.jpeg"/><Relationship Id="rId312" Type="http://schemas.openxmlformats.org/officeDocument/2006/relationships/image" Target="media/image302.png"/><Relationship Id="rId313" Type="http://schemas.openxmlformats.org/officeDocument/2006/relationships/image" Target="media/image303.png"/><Relationship Id="rId314" Type="http://schemas.openxmlformats.org/officeDocument/2006/relationships/image" Target="media/image304.png"/><Relationship Id="rId315" Type="http://schemas.openxmlformats.org/officeDocument/2006/relationships/image" Target="media/image305.jpeg"/><Relationship Id="rId316" Type="http://schemas.openxmlformats.org/officeDocument/2006/relationships/image" Target="media/image306.jpeg"/><Relationship Id="rId317" Type="http://schemas.openxmlformats.org/officeDocument/2006/relationships/image" Target="media/image307.jpeg"/><Relationship Id="rId318" Type="http://schemas.openxmlformats.org/officeDocument/2006/relationships/image" Target="media/image308.jpeg"/><Relationship Id="rId319" Type="http://schemas.openxmlformats.org/officeDocument/2006/relationships/image" Target="media/image309.png"/><Relationship Id="rId320" Type="http://schemas.openxmlformats.org/officeDocument/2006/relationships/image" Target="media/image310.png"/><Relationship Id="rId321" Type="http://schemas.openxmlformats.org/officeDocument/2006/relationships/image" Target="media/image311.jpeg"/><Relationship Id="rId322" Type="http://schemas.openxmlformats.org/officeDocument/2006/relationships/image" Target="media/image312.jpeg"/><Relationship Id="rId323" Type="http://schemas.openxmlformats.org/officeDocument/2006/relationships/image" Target="media/image313.png"/><Relationship Id="rId324" Type="http://schemas.openxmlformats.org/officeDocument/2006/relationships/image" Target="media/image314.jpeg"/><Relationship Id="rId325" Type="http://schemas.openxmlformats.org/officeDocument/2006/relationships/image" Target="media/image315.jpeg"/><Relationship Id="rId326" Type="http://schemas.openxmlformats.org/officeDocument/2006/relationships/image" Target="media/image316.png"/><Relationship Id="rId327" Type="http://schemas.openxmlformats.org/officeDocument/2006/relationships/image" Target="media/image317.jpeg"/><Relationship Id="rId328" Type="http://schemas.openxmlformats.org/officeDocument/2006/relationships/image" Target="media/image318.jpeg"/><Relationship Id="rId329" Type="http://schemas.openxmlformats.org/officeDocument/2006/relationships/image" Target="media/image319.jpeg"/><Relationship Id="rId330" Type="http://schemas.openxmlformats.org/officeDocument/2006/relationships/image" Target="media/image320.jpeg"/><Relationship Id="rId331" Type="http://schemas.openxmlformats.org/officeDocument/2006/relationships/image" Target="media/image321.jpeg"/><Relationship Id="rId332" Type="http://schemas.openxmlformats.org/officeDocument/2006/relationships/image" Target="media/image322.jpeg"/><Relationship Id="rId333" Type="http://schemas.openxmlformats.org/officeDocument/2006/relationships/image" Target="media/image323.jpeg"/><Relationship Id="rId334" Type="http://schemas.openxmlformats.org/officeDocument/2006/relationships/image" Target="media/image324.jpeg"/><Relationship Id="rId335" Type="http://schemas.openxmlformats.org/officeDocument/2006/relationships/image" Target="media/image325.jpeg"/><Relationship Id="rId336" Type="http://schemas.openxmlformats.org/officeDocument/2006/relationships/image" Target="media/image326.jpeg"/><Relationship Id="rId337" Type="http://schemas.openxmlformats.org/officeDocument/2006/relationships/image" Target="media/image327.jpeg"/><Relationship Id="rId338" Type="http://schemas.openxmlformats.org/officeDocument/2006/relationships/image" Target="media/image328.jpeg"/><Relationship Id="rId339" Type="http://schemas.openxmlformats.org/officeDocument/2006/relationships/image" Target="media/image329.jpeg"/><Relationship Id="rId340" Type="http://schemas.openxmlformats.org/officeDocument/2006/relationships/image" Target="media/image330.jpeg"/><Relationship Id="rId341" Type="http://schemas.openxmlformats.org/officeDocument/2006/relationships/image" Target="media/image331.jpeg"/><Relationship Id="rId342" Type="http://schemas.openxmlformats.org/officeDocument/2006/relationships/image" Target="media/image332.jpeg"/><Relationship Id="rId343" Type="http://schemas.openxmlformats.org/officeDocument/2006/relationships/image" Target="media/image333.jpeg"/><Relationship Id="rId344" Type="http://schemas.openxmlformats.org/officeDocument/2006/relationships/image" Target="media/image334.jpeg"/><Relationship Id="rId345" Type="http://schemas.openxmlformats.org/officeDocument/2006/relationships/image" Target="media/image335.jpeg"/><Relationship Id="rId346" Type="http://schemas.openxmlformats.org/officeDocument/2006/relationships/image" Target="media/image336.jpeg"/><Relationship Id="rId347" Type="http://schemas.openxmlformats.org/officeDocument/2006/relationships/image" Target="media/image337.jpeg"/><Relationship Id="rId348" Type="http://schemas.openxmlformats.org/officeDocument/2006/relationships/image" Target="media/image338.jpeg"/><Relationship Id="rId349" Type="http://schemas.openxmlformats.org/officeDocument/2006/relationships/image" Target="media/image339.jpeg"/><Relationship Id="rId350" Type="http://schemas.openxmlformats.org/officeDocument/2006/relationships/image" Target="media/image340.jpeg"/><Relationship Id="rId351" Type="http://schemas.openxmlformats.org/officeDocument/2006/relationships/image" Target="media/image341.jpeg"/><Relationship Id="rId352" Type="http://schemas.openxmlformats.org/officeDocument/2006/relationships/image" Target="media/image342.jpeg"/><Relationship Id="rId353" Type="http://schemas.openxmlformats.org/officeDocument/2006/relationships/image" Target="media/image343.jpeg"/><Relationship Id="rId354" Type="http://schemas.openxmlformats.org/officeDocument/2006/relationships/image" Target="media/image344.jpeg"/><Relationship Id="rId355" Type="http://schemas.openxmlformats.org/officeDocument/2006/relationships/image" Target="media/image345.jpeg"/><Relationship Id="rId356" Type="http://schemas.openxmlformats.org/officeDocument/2006/relationships/image" Target="media/image346.jpeg"/><Relationship Id="rId357" Type="http://schemas.openxmlformats.org/officeDocument/2006/relationships/image" Target="media/image347.jpeg"/><Relationship Id="rId358" Type="http://schemas.openxmlformats.org/officeDocument/2006/relationships/image" Target="media/image348.jpeg"/><Relationship Id="rId359" Type="http://schemas.openxmlformats.org/officeDocument/2006/relationships/image" Target="media/image349.jpeg"/><Relationship Id="rId360" Type="http://schemas.openxmlformats.org/officeDocument/2006/relationships/image" Target="media/image350.jpeg"/><Relationship Id="rId361" Type="http://schemas.openxmlformats.org/officeDocument/2006/relationships/image" Target="media/image351.jpeg"/><Relationship Id="rId362" Type="http://schemas.openxmlformats.org/officeDocument/2006/relationships/image" Target="media/image352.jpeg"/><Relationship Id="rId363" Type="http://schemas.openxmlformats.org/officeDocument/2006/relationships/image" Target="media/image353.jpeg"/><Relationship Id="rId364" Type="http://schemas.openxmlformats.org/officeDocument/2006/relationships/image" Target="media/image354.jpeg"/><Relationship Id="rId365" Type="http://schemas.openxmlformats.org/officeDocument/2006/relationships/image" Target="media/image355.jpeg"/><Relationship Id="rId366" Type="http://schemas.openxmlformats.org/officeDocument/2006/relationships/image" Target="media/image356.jpeg"/><Relationship Id="rId367" Type="http://schemas.openxmlformats.org/officeDocument/2006/relationships/image" Target="media/image357.jpeg"/><Relationship Id="rId368" Type="http://schemas.openxmlformats.org/officeDocument/2006/relationships/image" Target="media/image358.jpeg"/><Relationship Id="rId369" Type="http://schemas.openxmlformats.org/officeDocument/2006/relationships/image" Target="media/image359.jpeg"/><Relationship Id="rId370" Type="http://schemas.openxmlformats.org/officeDocument/2006/relationships/image" Target="media/image360.jpeg"/><Relationship Id="rId371" Type="http://schemas.openxmlformats.org/officeDocument/2006/relationships/image" Target="media/image361.jpeg"/><Relationship Id="rId372" Type="http://schemas.openxmlformats.org/officeDocument/2006/relationships/image" Target="media/image362.jpeg"/><Relationship Id="rId373" Type="http://schemas.openxmlformats.org/officeDocument/2006/relationships/image" Target="media/image363.jpeg"/><Relationship Id="rId374" Type="http://schemas.openxmlformats.org/officeDocument/2006/relationships/image" Target="media/image364.jpeg"/><Relationship Id="rId375" Type="http://schemas.openxmlformats.org/officeDocument/2006/relationships/image" Target="media/image365.jpeg"/><Relationship Id="rId376" Type="http://schemas.openxmlformats.org/officeDocument/2006/relationships/image" Target="media/image366.jpeg"/><Relationship Id="rId377" Type="http://schemas.openxmlformats.org/officeDocument/2006/relationships/image" Target="media/image367.jpeg"/><Relationship Id="rId378" Type="http://schemas.openxmlformats.org/officeDocument/2006/relationships/image" Target="media/image368.jpeg"/><Relationship Id="rId379" Type="http://schemas.openxmlformats.org/officeDocument/2006/relationships/image" Target="media/image369.jpeg"/><Relationship Id="rId380" Type="http://schemas.openxmlformats.org/officeDocument/2006/relationships/image" Target="media/image370.jpeg"/><Relationship Id="rId381" Type="http://schemas.openxmlformats.org/officeDocument/2006/relationships/image" Target="media/image371.jpeg"/><Relationship Id="rId382" Type="http://schemas.openxmlformats.org/officeDocument/2006/relationships/image" Target="media/image372.jpeg"/><Relationship Id="rId383" Type="http://schemas.openxmlformats.org/officeDocument/2006/relationships/image" Target="media/image373.jpeg"/><Relationship Id="rId384" Type="http://schemas.openxmlformats.org/officeDocument/2006/relationships/image" Target="media/image374.jpeg"/><Relationship Id="rId385" Type="http://schemas.openxmlformats.org/officeDocument/2006/relationships/image" Target="media/image375.jpeg"/><Relationship Id="rId386" Type="http://schemas.openxmlformats.org/officeDocument/2006/relationships/image" Target="media/image376.jpeg"/><Relationship Id="rId387" Type="http://schemas.openxmlformats.org/officeDocument/2006/relationships/image" Target="media/image377.jpeg"/><Relationship Id="rId388" Type="http://schemas.openxmlformats.org/officeDocument/2006/relationships/image" Target="media/image378.jpeg"/><Relationship Id="rId389" Type="http://schemas.openxmlformats.org/officeDocument/2006/relationships/image" Target="media/image379.jpeg"/><Relationship Id="rId390" Type="http://schemas.openxmlformats.org/officeDocument/2006/relationships/image" Target="media/image380.jpeg"/><Relationship Id="rId391" Type="http://schemas.openxmlformats.org/officeDocument/2006/relationships/image" Target="media/image381.jpeg"/><Relationship Id="rId392" Type="http://schemas.openxmlformats.org/officeDocument/2006/relationships/image" Target="media/image382.jpeg"/><Relationship Id="rId393" Type="http://schemas.openxmlformats.org/officeDocument/2006/relationships/image" Target="media/image383.jpeg"/><Relationship Id="rId394" Type="http://schemas.openxmlformats.org/officeDocument/2006/relationships/image" Target="media/image384.jpeg"/><Relationship Id="rId395" Type="http://schemas.openxmlformats.org/officeDocument/2006/relationships/image" Target="media/image385.jpeg"/><Relationship Id="rId396" Type="http://schemas.openxmlformats.org/officeDocument/2006/relationships/image" Target="media/image386.jpeg"/><Relationship Id="rId397" Type="http://schemas.openxmlformats.org/officeDocument/2006/relationships/image" Target="media/image387.jpeg"/><Relationship Id="rId398" Type="http://schemas.openxmlformats.org/officeDocument/2006/relationships/image" Target="media/image388.jpeg"/><Relationship Id="rId399" Type="http://schemas.openxmlformats.org/officeDocument/2006/relationships/image" Target="media/image389.jpeg"/><Relationship Id="rId400" Type="http://schemas.openxmlformats.org/officeDocument/2006/relationships/image" Target="media/image390.jpeg"/><Relationship Id="rId401" Type="http://schemas.openxmlformats.org/officeDocument/2006/relationships/image" Target="media/image391.jpeg"/><Relationship Id="rId402" Type="http://schemas.openxmlformats.org/officeDocument/2006/relationships/image" Target="media/image392.jpeg"/><Relationship Id="rId403" Type="http://schemas.openxmlformats.org/officeDocument/2006/relationships/image" Target="media/image393.jpeg"/><Relationship Id="rId404" Type="http://schemas.openxmlformats.org/officeDocument/2006/relationships/image" Target="media/image394.jpeg"/><Relationship Id="rId405" Type="http://schemas.openxmlformats.org/officeDocument/2006/relationships/image" Target="media/image395.jpeg"/><Relationship Id="rId406" Type="http://schemas.openxmlformats.org/officeDocument/2006/relationships/image" Target="media/image396.jpeg"/><Relationship Id="rId407" Type="http://schemas.openxmlformats.org/officeDocument/2006/relationships/image" Target="media/image397.jpeg"/><Relationship Id="rId408" Type="http://schemas.openxmlformats.org/officeDocument/2006/relationships/image" Target="media/image398.jpeg"/><Relationship Id="rId409" Type="http://schemas.openxmlformats.org/officeDocument/2006/relationships/image" Target="media/image399.jpeg"/><Relationship Id="rId410" Type="http://schemas.openxmlformats.org/officeDocument/2006/relationships/image" Target="media/image400.jpeg"/><Relationship Id="rId411" Type="http://schemas.openxmlformats.org/officeDocument/2006/relationships/image" Target="media/image401.jpeg"/><Relationship Id="rId412" Type="http://schemas.openxmlformats.org/officeDocument/2006/relationships/image" Target="media/image402.jpeg"/><Relationship Id="rId413" Type="http://schemas.openxmlformats.org/officeDocument/2006/relationships/image" Target="media/image403.jpeg"/><Relationship Id="rId414" Type="http://schemas.openxmlformats.org/officeDocument/2006/relationships/image" Target="media/image404.jpeg"/><Relationship Id="rId415" Type="http://schemas.openxmlformats.org/officeDocument/2006/relationships/image" Target="media/image405.jpeg"/><Relationship Id="rId416" Type="http://schemas.openxmlformats.org/officeDocument/2006/relationships/image" Target="media/image406.jpeg"/><Relationship Id="rId417" Type="http://schemas.openxmlformats.org/officeDocument/2006/relationships/image" Target="media/image407.jpeg"/><Relationship Id="rId418" Type="http://schemas.openxmlformats.org/officeDocument/2006/relationships/image" Target="media/image408.jpeg"/><Relationship Id="rId419" Type="http://schemas.openxmlformats.org/officeDocument/2006/relationships/image" Target="media/image409.jpeg"/><Relationship Id="rId420" Type="http://schemas.openxmlformats.org/officeDocument/2006/relationships/image" Target="media/image410.png"/><Relationship Id="rId421" Type="http://schemas.openxmlformats.org/officeDocument/2006/relationships/image" Target="media/image411.png"/><Relationship Id="rId422" Type="http://schemas.openxmlformats.org/officeDocument/2006/relationships/image" Target="media/image412.png"/><Relationship Id="rId423" Type="http://schemas.openxmlformats.org/officeDocument/2006/relationships/image" Target="media/image413.png"/><Relationship Id="rId424" Type="http://schemas.openxmlformats.org/officeDocument/2006/relationships/image" Target="media/image414.png"/><Relationship Id="rId425" Type="http://schemas.openxmlformats.org/officeDocument/2006/relationships/image" Target="media/image415.png"/><Relationship Id="rId426" Type="http://schemas.openxmlformats.org/officeDocument/2006/relationships/image" Target="media/image416.jpeg"/><Relationship Id="rId427" Type="http://schemas.openxmlformats.org/officeDocument/2006/relationships/image" Target="media/image417.png"/><Relationship Id="rId428" Type="http://schemas.openxmlformats.org/officeDocument/2006/relationships/image" Target="media/image418.png"/><Relationship Id="rId429" Type="http://schemas.openxmlformats.org/officeDocument/2006/relationships/image" Target="media/image419.png"/><Relationship Id="rId430" Type="http://schemas.openxmlformats.org/officeDocument/2006/relationships/image" Target="media/image420.png"/><Relationship Id="rId431" Type="http://schemas.openxmlformats.org/officeDocument/2006/relationships/image" Target="media/image421.jpeg"/><Relationship Id="rId432" Type="http://schemas.openxmlformats.org/officeDocument/2006/relationships/image" Target="media/image422.jpeg"/><Relationship Id="rId433" Type="http://schemas.openxmlformats.org/officeDocument/2006/relationships/image" Target="media/image423.png"/><Relationship Id="rId434" Type="http://schemas.openxmlformats.org/officeDocument/2006/relationships/image" Target="media/image424.png"/><Relationship Id="rId435" Type="http://schemas.openxmlformats.org/officeDocument/2006/relationships/image" Target="media/image425.png"/><Relationship Id="rId436" Type="http://schemas.openxmlformats.org/officeDocument/2006/relationships/image" Target="media/image426.png"/><Relationship Id="rId437" Type="http://schemas.openxmlformats.org/officeDocument/2006/relationships/footer" Target="footer7.xml"/><Relationship Id="rId438" Type="http://schemas.openxmlformats.org/officeDocument/2006/relationships/footer" Target="footer8.xml"/><Relationship Id="rId439" Type="http://schemas.openxmlformats.org/officeDocument/2006/relationships/image" Target="media/image427.png"/><Relationship Id="rId440" Type="http://schemas.openxmlformats.org/officeDocument/2006/relationships/image" Target="media/image428.png"/><Relationship Id="rId441" Type="http://schemas.openxmlformats.org/officeDocument/2006/relationships/image" Target="media/image429.png"/><Relationship Id="rId442" Type="http://schemas.openxmlformats.org/officeDocument/2006/relationships/image" Target="media/image430.png"/><Relationship Id="rId443" Type="http://schemas.openxmlformats.org/officeDocument/2006/relationships/image" Target="media/image431.png"/><Relationship Id="rId444" Type="http://schemas.openxmlformats.org/officeDocument/2006/relationships/image" Target="media/image432.png"/><Relationship Id="rId445" Type="http://schemas.openxmlformats.org/officeDocument/2006/relationships/image" Target="media/image433.png"/><Relationship Id="rId446" Type="http://schemas.openxmlformats.org/officeDocument/2006/relationships/image" Target="media/image434.png"/><Relationship Id="rId447" Type="http://schemas.openxmlformats.org/officeDocument/2006/relationships/image" Target="media/image435.png"/><Relationship Id="rId448" Type="http://schemas.openxmlformats.org/officeDocument/2006/relationships/image" Target="media/image436.png"/><Relationship Id="rId449" Type="http://schemas.openxmlformats.org/officeDocument/2006/relationships/image" Target="media/image437.png"/><Relationship Id="rId450" Type="http://schemas.openxmlformats.org/officeDocument/2006/relationships/image" Target="media/image438.png"/><Relationship Id="rId451" Type="http://schemas.openxmlformats.org/officeDocument/2006/relationships/image" Target="media/image439.png"/><Relationship Id="rId452" Type="http://schemas.openxmlformats.org/officeDocument/2006/relationships/image" Target="media/image440.png"/><Relationship Id="rId453" Type="http://schemas.openxmlformats.org/officeDocument/2006/relationships/image" Target="media/image441.png"/><Relationship Id="rId454" Type="http://schemas.openxmlformats.org/officeDocument/2006/relationships/image" Target="media/image442.png"/><Relationship Id="rId455" Type="http://schemas.openxmlformats.org/officeDocument/2006/relationships/image" Target="media/image443.png"/><Relationship Id="rId456" Type="http://schemas.openxmlformats.org/officeDocument/2006/relationships/image" Target="media/image444.png"/><Relationship Id="rId457" Type="http://schemas.openxmlformats.org/officeDocument/2006/relationships/image" Target="media/image445.png"/><Relationship Id="rId458" Type="http://schemas.openxmlformats.org/officeDocument/2006/relationships/image" Target="media/image446.png"/><Relationship Id="rId459" Type="http://schemas.openxmlformats.org/officeDocument/2006/relationships/image" Target="media/image447.png"/><Relationship Id="rId460" Type="http://schemas.openxmlformats.org/officeDocument/2006/relationships/image" Target="media/image448.png"/><Relationship Id="rId461" Type="http://schemas.openxmlformats.org/officeDocument/2006/relationships/image" Target="media/image449.png"/><Relationship Id="rId462" Type="http://schemas.openxmlformats.org/officeDocument/2006/relationships/image" Target="media/image450.png"/><Relationship Id="rId463" Type="http://schemas.openxmlformats.org/officeDocument/2006/relationships/image" Target="media/image451.png"/><Relationship Id="rId464" Type="http://schemas.openxmlformats.org/officeDocument/2006/relationships/image" Target="media/image452.png"/><Relationship Id="rId465" Type="http://schemas.openxmlformats.org/officeDocument/2006/relationships/image" Target="media/image453.png"/><Relationship Id="rId466" Type="http://schemas.openxmlformats.org/officeDocument/2006/relationships/image" Target="media/image454.png"/><Relationship Id="rId467" Type="http://schemas.openxmlformats.org/officeDocument/2006/relationships/image" Target="media/image455.png"/><Relationship Id="rId468" Type="http://schemas.openxmlformats.org/officeDocument/2006/relationships/image" Target="media/image456.png"/><Relationship Id="rId469" Type="http://schemas.openxmlformats.org/officeDocument/2006/relationships/image" Target="media/image457.jpeg"/><Relationship Id="rId470" Type="http://schemas.openxmlformats.org/officeDocument/2006/relationships/image" Target="media/image458.png"/><Relationship Id="rId471" Type="http://schemas.openxmlformats.org/officeDocument/2006/relationships/hyperlink" Target="http://www.fibreglast.com/" TargetMode="External"/><Relationship Id="rId472" Type="http://schemas.openxmlformats.org/officeDocument/2006/relationships/image" Target="media/image459.jpeg"/><Relationship Id="rId473" Type="http://schemas.openxmlformats.org/officeDocument/2006/relationships/footer" Target="footer9.xml"/><Relationship Id="rId474" Type="http://schemas.openxmlformats.org/officeDocument/2006/relationships/image" Target="media/image460.jpeg"/><Relationship Id="rId475" Type="http://schemas.openxmlformats.org/officeDocument/2006/relationships/hyperlink" Target="http://www.navy.mil/ah_online/constitution/" TargetMode="External"/><Relationship Id="rId476" Type="http://schemas.openxmlformats.org/officeDocument/2006/relationships/hyperlink" Target="http://www.woodworkingnetwork.com/architectural-products/cross-laminated-" TargetMode="External"/><Relationship Id="rId477" Type="http://schemas.openxmlformats.org/officeDocument/2006/relationships/hyperlink" Target="http://www.almc.army.mil/alog/issues/JulAug11/spectrum_forward_operating%252" TargetMode="External"/><Relationship Id="rId478" Type="http://schemas.openxmlformats.org/officeDocument/2006/relationships/hyperlink" Target="http://www.woodworks.org/wp-" TargetMode="External"/><Relationship Id="rId479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Kathryn Sanborn</dc:creator>
  <dcterms:created xsi:type="dcterms:W3CDTF">2023-11-14T19:44:21Z</dcterms:created>
  <dcterms:modified xsi:type="dcterms:W3CDTF">2023-11-14T19:44:21Z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2018-04-04T00:00:00Z</vt:filetime>
  </property>
  <property fmtid="{D5CDD505-2E9C-101B-9397-08002B2CF9AE}" pid="3" name="Creator">
    <vt:lpwstr>Acrobat PDFMaker 18 for Word</vt:lpwstr>
  </property>
  <property fmtid="{D5CDD505-2E9C-101B-9397-08002B2CF9AE}" pid="4" name="LastSaved">
    <vt:filetime>2023-11-14T00:00:00Z</vt:filetime>
  </property>
</Properties>
</file>